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null)" ContentType="image/x-emf"/>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8.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ACA7CD" w14:textId="079FD362" w:rsidR="006070CB" w:rsidRPr="006070CB" w:rsidRDefault="00054D50" w:rsidP="006070CB">
      <w:pPr>
        <w:tabs>
          <w:tab w:val="left" w:pos="2127"/>
        </w:tabs>
        <w:spacing w:before="0" w:after="200" w:line="276" w:lineRule="auto"/>
        <w:rPr>
          <w:rFonts w:asciiTheme="minorHAnsi" w:eastAsiaTheme="minorHAnsi" w:hAnsiTheme="minorHAnsi" w:cstheme="minorBidi"/>
          <w:noProof/>
          <w:szCs w:val="22"/>
          <w:lang w:eastAsia="en-AU"/>
        </w:rPr>
        <w:sectPr w:rsidR="006070CB" w:rsidRPr="006070CB" w:rsidSect="00D10D59">
          <w:pgSz w:w="11906" w:h="16838"/>
          <w:pgMar w:top="261" w:right="249" w:bottom="261" w:left="142" w:header="709" w:footer="709" w:gutter="0"/>
          <w:cols w:space="708"/>
          <w:docGrid w:linePitch="360"/>
        </w:sectPr>
      </w:pPr>
      <w:bookmarkStart w:id="0" w:name="_GoBack"/>
      <w:bookmarkEnd w:id="0"/>
      <w:r w:rsidRPr="00054D50">
        <w:rPr>
          <w:rFonts w:asciiTheme="minorHAnsi" w:eastAsiaTheme="minorHAnsi" w:hAnsiTheme="minorHAnsi" w:cstheme="minorBidi"/>
          <w:noProof/>
          <w:szCs w:val="22"/>
          <w:lang w:eastAsia="en-AU"/>
        </w:rPr>
        <w:drawing>
          <wp:inline distT="0" distB="0" distL="0" distR="0" wp14:anchorId="4D26DA91" wp14:editId="1879C386">
            <wp:extent cx="7312025" cy="10341819"/>
            <wp:effectExtent l="0" t="0" r="3175" b="2540"/>
            <wp:docPr id="16" name="Picture 16" descr="\\gbrmpa.gov.au\SHARES\Publications\2018-0311 MMP Report Covers\RRMMP-Cover-Inshore-Seagrass-1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Publications\2018-0311 MMP Report Covers\RRMMP-Cover-Inshore-Seagrass-16-17.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312025" cy="10341819"/>
                    </a:xfrm>
                    <a:prstGeom prst="rect">
                      <a:avLst/>
                    </a:prstGeom>
                    <a:noFill/>
                    <a:ln>
                      <a:noFill/>
                    </a:ln>
                  </pic:spPr>
                </pic:pic>
              </a:graphicData>
            </a:graphic>
          </wp:inline>
        </w:drawing>
      </w:r>
    </w:p>
    <w:p w14:paraId="1B6E1A0F" w14:textId="3290318A" w:rsidR="00CF2E2A" w:rsidRPr="00CF2E2A" w:rsidRDefault="00CF2E2A" w:rsidP="00CF2E2A">
      <w:pPr>
        <w:spacing w:line="276" w:lineRule="auto"/>
        <w:ind w:left="284" w:hanging="284"/>
        <w:rPr>
          <w:rFonts w:ascii="Arial" w:hAnsi="Arial" w:cs="Arial"/>
          <w:sz w:val="18"/>
          <w:szCs w:val="18"/>
        </w:rPr>
      </w:pPr>
      <w:r w:rsidRPr="00CF2E2A">
        <w:rPr>
          <w:rFonts w:ascii="Arial" w:hAnsi="Arial" w:cs="Arial"/>
          <w:sz w:val="18"/>
          <w:szCs w:val="18"/>
        </w:rPr>
        <w:lastRenderedPageBreak/>
        <w:t>© James Cook University</w:t>
      </w:r>
      <w:r>
        <w:rPr>
          <w:rFonts w:ascii="Arial" w:hAnsi="Arial" w:cs="Arial"/>
          <w:sz w:val="18"/>
          <w:szCs w:val="18"/>
        </w:rPr>
        <w:t xml:space="preserve"> (TropWATER), </w:t>
      </w:r>
      <w:r w:rsidRPr="00CF2E2A">
        <w:rPr>
          <w:rFonts w:ascii="Arial" w:hAnsi="Arial" w:cs="Arial"/>
          <w:sz w:val="18"/>
          <w:szCs w:val="18"/>
        </w:rPr>
        <w:t>201</w:t>
      </w:r>
      <w:r w:rsidR="006574F1">
        <w:rPr>
          <w:rFonts w:ascii="Arial" w:hAnsi="Arial" w:cs="Arial"/>
          <w:sz w:val="18"/>
          <w:szCs w:val="18"/>
        </w:rPr>
        <w:t>8</w:t>
      </w:r>
    </w:p>
    <w:p w14:paraId="69EA6F0A" w14:textId="77777777" w:rsidR="00CF2E2A" w:rsidRPr="00CF2E2A" w:rsidRDefault="00CF2E2A" w:rsidP="00CF2E2A">
      <w:pPr>
        <w:spacing w:line="276" w:lineRule="auto"/>
        <w:ind w:left="284" w:hanging="284"/>
        <w:rPr>
          <w:rFonts w:ascii="Arial" w:hAnsi="Arial" w:cs="Arial"/>
          <w:sz w:val="18"/>
          <w:szCs w:val="18"/>
        </w:rPr>
      </w:pPr>
      <w:r w:rsidRPr="00CF2E2A">
        <w:rPr>
          <w:rFonts w:ascii="Arial" w:hAnsi="Arial" w:cs="Arial"/>
          <w:sz w:val="18"/>
          <w:szCs w:val="18"/>
        </w:rPr>
        <w:t>Published by the Great Barrier Reef Marine Park Authority</w:t>
      </w:r>
    </w:p>
    <w:p w14:paraId="61B2B84F" w14:textId="319B7F94" w:rsidR="00CF2E2A" w:rsidRPr="00CF2E2A" w:rsidRDefault="00CF2E2A" w:rsidP="00CF2E2A">
      <w:pPr>
        <w:spacing w:line="276" w:lineRule="auto"/>
        <w:rPr>
          <w:rFonts w:ascii="Arial" w:hAnsi="Arial" w:cs="Arial"/>
          <w:sz w:val="18"/>
          <w:szCs w:val="18"/>
          <w:lang w:eastAsia="en-AU"/>
        </w:rPr>
      </w:pPr>
      <w:r w:rsidRPr="005E440F">
        <w:rPr>
          <w:rFonts w:ascii="Arial" w:hAnsi="Arial" w:cs="Arial"/>
          <w:sz w:val="18"/>
          <w:szCs w:val="18"/>
        </w:rPr>
        <w:t>IS</w:t>
      </w:r>
      <w:r w:rsidR="00542340" w:rsidRPr="005E440F">
        <w:rPr>
          <w:rFonts w:ascii="Arial" w:hAnsi="Arial" w:cs="Arial"/>
          <w:sz w:val="18"/>
          <w:szCs w:val="18"/>
        </w:rPr>
        <w:t>SN</w:t>
      </w:r>
      <w:r w:rsidRPr="005E440F">
        <w:rPr>
          <w:rFonts w:ascii="Arial" w:hAnsi="Arial" w:cs="Arial"/>
          <w:sz w:val="18"/>
          <w:szCs w:val="18"/>
        </w:rPr>
        <w:t xml:space="preserve">: </w:t>
      </w:r>
      <w:r w:rsidR="00542340" w:rsidRPr="005E440F">
        <w:rPr>
          <w:rFonts w:ascii="Arial" w:hAnsi="Arial" w:cs="Arial"/>
          <w:sz w:val="18"/>
          <w:szCs w:val="18"/>
        </w:rPr>
        <w:t>2208-4037</w:t>
      </w:r>
    </w:p>
    <w:p w14:paraId="20559B33" w14:textId="77777777" w:rsidR="00CF2E2A" w:rsidRPr="00CF2E2A" w:rsidRDefault="00CF2E2A" w:rsidP="00CF2E2A">
      <w:pPr>
        <w:ind w:left="284" w:hanging="284"/>
        <w:rPr>
          <w:rFonts w:ascii="Arial" w:hAnsi="Arial" w:cs="Arial"/>
          <w:sz w:val="18"/>
          <w:szCs w:val="18"/>
        </w:rPr>
      </w:pPr>
    </w:p>
    <w:p w14:paraId="0F2FA79B" w14:textId="64997F19" w:rsidR="00CF2E2A" w:rsidRPr="00CF2E2A" w:rsidRDefault="00CF2E2A" w:rsidP="00CF2E2A">
      <w:pPr>
        <w:spacing w:after="0"/>
        <w:rPr>
          <w:rFonts w:ascii="Arial" w:hAnsi="Arial" w:cs="Arial"/>
          <w:sz w:val="18"/>
          <w:szCs w:val="18"/>
        </w:rPr>
      </w:pPr>
      <w:r w:rsidRPr="00CF2E2A">
        <w:rPr>
          <w:rFonts w:ascii="Arial" w:hAnsi="Arial" w:cs="Arial"/>
          <w:i/>
          <w:color w:val="000000"/>
          <w:sz w:val="18"/>
          <w:szCs w:val="18"/>
          <w:lang w:val="en-US"/>
        </w:rPr>
        <w:t xml:space="preserve">Marine Monitoring Program: </w:t>
      </w:r>
      <w:r w:rsidRPr="00CF2E2A">
        <w:rPr>
          <w:rFonts w:ascii="Arial" w:hAnsi="Arial" w:cs="Arial"/>
          <w:i/>
          <w:sz w:val="18"/>
          <w:szCs w:val="18"/>
        </w:rPr>
        <w:t>Annual Report for inshore seagrass monitoring</w:t>
      </w:r>
      <w:r w:rsidRPr="00CF2E2A">
        <w:rPr>
          <w:rFonts w:ascii="Arial" w:hAnsi="Arial" w:cs="Arial"/>
          <w:i/>
          <w:color w:val="000000"/>
          <w:sz w:val="18"/>
          <w:szCs w:val="18"/>
          <w:lang w:val="en-US"/>
        </w:rPr>
        <w:t xml:space="preserve"> 201</w:t>
      </w:r>
      <w:r w:rsidR="006574F1">
        <w:rPr>
          <w:rFonts w:ascii="Arial" w:hAnsi="Arial" w:cs="Arial"/>
          <w:i/>
          <w:color w:val="000000"/>
          <w:sz w:val="18"/>
          <w:szCs w:val="18"/>
          <w:lang w:val="en-US"/>
        </w:rPr>
        <w:t>6</w:t>
      </w:r>
      <w:r w:rsidRPr="00CF2E2A">
        <w:rPr>
          <w:rFonts w:ascii="Arial" w:hAnsi="Arial" w:cs="Arial"/>
          <w:i/>
          <w:color w:val="000000"/>
          <w:sz w:val="18"/>
          <w:szCs w:val="18"/>
          <w:lang w:val="en-US"/>
        </w:rPr>
        <w:t>-201</w:t>
      </w:r>
      <w:r w:rsidR="006574F1">
        <w:rPr>
          <w:rFonts w:ascii="Arial" w:hAnsi="Arial" w:cs="Arial"/>
          <w:i/>
          <w:color w:val="000000"/>
          <w:sz w:val="18"/>
          <w:szCs w:val="18"/>
          <w:lang w:val="en-US"/>
        </w:rPr>
        <w:t>7</w:t>
      </w:r>
      <w:r w:rsidRPr="00CF2E2A">
        <w:rPr>
          <w:rFonts w:ascii="Arial" w:hAnsi="Arial" w:cs="Arial"/>
          <w:color w:val="000000"/>
          <w:sz w:val="18"/>
          <w:szCs w:val="18"/>
          <w:lang w:val="en-US"/>
        </w:rPr>
        <w:t xml:space="preserve"> </w:t>
      </w:r>
      <w:r w:rsidRPr="00CF2E2A">
        <w:rPr>
          <w:rFonts w:ascii="Arial" w:hAnsi="Arial" w:cs="Arial"/>
          <w:sz w:val="18"/>
          <w:szCs w:val="18"/>
        </w:rPr>
        <w:t>is licensed for use under a Creative Commons By Attribution 4.0 International licence with the exception of the Coat of Arms of the Commonwealth of Australia, the logos of the Great Barrier Reef Marine Park Authority, J</w:t>
      </w:r>
      <w:r>
        <w:rPr>
          <w:rFonts w:ascii="Arial" w:hAnsi="Arial" w:cs="Arial"/>
          <w:sz w:val="18"/>
          <w:szCs w:val="18"/>
        </w:rPr>
        <w:t xml:space="preserve">ames </w:t>
      </w:r>
      <w:r w:rsidRPr="00CF2E2A">
        <w:rPr>
          <w:rFonts w:ascii="Arial" w:hAnsi="Arial" w:cs="Arial"/>
          <w:sz w:val="18"/>
          <w:szCs w:val="18"/>
        </w:rPr>
        <w:t>C</w:t>
      </w:r>
      <w:r>
        <w:rPr>
          <w:rFonts w:ascii="Arial" w:hAnsi="Arial" w:cs="Arial"/>
          <w:sz w:val="18"/>
          <w:szCs w:val="18"/>
        </w:rPr>
        <w:t xml:space="preserve">ook </w:t>
      </w:r>
      <w:r w:rsidRPr="00CF2E2A">
        <w:rPr>
          <w:rFonts w:ascii="Arial" w:hAnsi="Arial" w:cs="Arial"/>
          <w:sz w:val="18"/>
          <w:szCs w:val="18"/>
        </w:rPr>
        <w:t>U</w:t>
      </w:r>
      <w:r>
        <w:rPr>
          <w:rFonts w:ascii="Arial" w:hAnsi="Arial" w:cs="Arial"/>
          <w:sz w:val="18"/>
          <w:szCs w:val="18"/>
        </w:rPr>
        <w:t>niversity</w:t>
      </w:r>
      <w:r w:rsidRPr="00CF2E2A">
        <w:rPr>
          <w:rFonts w:ascii="Arial" w:hAnsi="Arial" w:cs="Arial"/>
          <w:sz w:val="18"/>
          <w:szCs w:val="18"/>
        </w:rPr>
        <w:t xml:space="preserve"> and TropWATER, any other material protected by a trademark, content supplied by third parties and any photographs. For licence conditions see: </w:t>
      </w:r>
      <w:hyperlink r:id="rId13" w:history="1">
        <w:r w:rsidRPr="00CF2E2A">
          <w:rPr>
            <w:rStyle w:val="Hyperlink"/>
            <w:rFonts w:ascii="Arial" w:hAnsi="Arial" w:cs="Arial"/>
            <w:sz w:val="18"/>
            <w:szCs w:val="18"/>
          </w:rPr>
          <w:t>http://creativecommons.org/licences/by/4.0</w:t>
        </w:r>
      </w:hyperlink>
      <w:r w:rsidRPr="00CF2E2A">
        <w:rPr>
          <w:rFonts w:ascii="Arial" w:hAnsi="Arial" w:cs="Arial"/>
          <w:sz w:val="18"/>
          <w:szCs w:val="18"/>
        </w:rPr>
        <w:t xml:space="preserve"> </w:t>
      </w:r>
    </w:p>
    <w:p w14:paraId="323DA200" w14:textId="77777777" w:rsidR="00CF2E2A" w:rsidRPr="00CF2E2A" w:rsidRDefault="00CF2E2A" w:rsidP="00CF2E2A">
      <w:pPr>
        <w:ind w:left="284" w:hanging="284"/>
        <w:rPr>
          <w:rFonts w:ascii="Arial" w:hAnsi="Arial" w:cs="Arial"/>
          <w:sz w:val="18"/>
          <w:szCs w:val="18"/>
        </w:rPr>
      </w:pPr>
      <w:r w:rsidRPr="00CF2E2A">
        <w:rPr>
          <w:rFonts w:ascii="Arial" w:eastAsiaTheme="minorEastAsia" w:hAnsi="Arial" w:cs="Arial"/>
          <w:noProof/>
          <w:sz w:val="18"/>
          <w:szCs w:val="18"/>
          <w:lang w:eastAsia="en-AU"/>
        </w:rPr>
        <w:drawing>
          <wp:inline distT="0" distB="0" distL="0" distR="0" wp14:anchorId="1777FEAD" wp14:editId="7171E0ED">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017CB8CA" w14:textId="77777777" w:rsidR="00CF2E2A" w:rsidRPr="00CF2E2A" w:rsidRDefault="00CF2E2A" w:rsidP="00CF2E2A">
      <w:pPr>
        <w:ind w:left="284" w:hanging="284"/>
        <w:rPr>
          <w:rFonts w:ascii="Arial" w:hAnsi="Arial" w:cs="Arial"/>
          <w:sz w:val="18"/>
          <w:szCs w:val="18"/>
        </w:rPr>
      </w:pPr>
    </w:p>
    <w:p w14:paraId="28C9C83E" w14:textId="77777777" w:rsidR="00CF2E2A" w:rsidRPr="00223B18" w:rsidRDefault="00CF2E2A" w:rsidP="00223B18">
      <w:pPr>
        <w:ind w:left="284" w:hanging="284"/>
        <w:rPr>
          <w:rFonts w:ascii="Arial" w:hAnsi="Arial" w:cs="Arial"/>
          <w:b/>
          <w:sz w:val="18"/>
          <w:szCs w:val="18"/>
        </w:rPr>
      </w:pPr>
      <w:r w:rsidRPr="00223B18">
        <w:rPr>
          <w:rFonts w:ascii="Arial" w:hAnsi="Arial" w:cs="Arial"/>
          <w:b/>
          <w:sz w:val="18"/>
          <w:szCs w:val="18"/>
        </w:rPr>
        <w:t xml:space="preserve">This publication should be cited as: </w:t>
      </w:r>
    </w:p>
    <w:p w14:paraId="6013C877" w14:textId="6BD595F1" w:rsidR="00CF2E2A" w:rsidRPr="00304971" w:rsidRDefault="00CF2E2A" w:rsidP="00CF2E2A">
      <w:pPr>
        <w:pStyle w:val="Infopage"/>
        <w:rPr>
          <w:rFonts w:ascii="Arial" w:hAnsi="Arial" w:cs="Arial"/>
          <w:sz w:val="18"/>
          <w:szCs w:val="18"/>
          <w:lang w:val="en-AU"/>
        </w:rPr>
      </w:pPr>
      <w:r w:rsidRPr="00CF2E2A">
        <w:rPr>
          <w:rFonts w:ascii="Arial" w:hAnsi="Arial" w:cs="Arial"/>
          <w:sz w:val="18"/>
          <w:szCs w:val="18"/>
          <w:lang w:val="en-AU"/>
        </w:rPr>
        <w:t>McKenzie, L.J., Collier, C.J, Langlois, L.A</w:t>
      </w:r>
      <w:r>
        <w:rPr>
          <w:rFonts w:ascii="Arial" w:hAnsi="Arial" w:cs="Arial"/>
          <w:sz w:val="18"/>
          <w:szCs w:val="18"/>
          <w:lang w:val="en-AU"/>
        </w:rPr>
        <w:t>.</w:t>
      </w:r>
      <w:r w:rsidRPr="00CF2E2A">
        <w:rPr>
          <w:rFonts w:ascii="Arial" w:hAnsi="Arial" w:cs="Arial"/>
          <w:sz w:val="18"/>
          <w:szCs w:val="18"/>
          <w:lang w:val="en-AU"/>
        </w:rPr>
        <w:t>, Yoshida, R.L</w:t>
      </w:r>
      <w:r>
        <w:rPr>
          <w:rFonts w:ascii="Arial" w:hAnsi="Arial" w:cs="Arial"/>
          <w:sz w:val="18"/>
          <w:szCs w:val="18"/>
          <w:lang w:val="en-AU"/>
        </w:rPr>
        <w:t>.</w:t>
      </w:r>
      <w:r w:rsidRPr="00CF2E2A">
        <w:rPr>
          <w:rFonts w:ascii="Arial" w:hAnsi="Arial" w:cs="Arial"/>
          <w:sz w:val="18"/>
          <w:szCs w:val="18"/>
          <w:lang w:val="en-AU"/>
        </w:rPr>
        <w:t>, Smith, N.</w:t>
      </w:r>
      <w:r>
        <w:rPr>
          <w:rFonts w:ascii="Arial" w:hAnsi="Arial" w:cs="Arial"/>
          <w:sz w:val="18"/>
          <w:szCs w:val="18"/>
          <w:lang w:val="en-AU"/>
        </w:rPr>
        <w:t xml:space="preserve"> and </w:t>
      </w:r>
      <w:r w:rsidRPr="00CF2E2A">
        <w:rPr>
          <w:rFonts w:ascii="Arial" w:hAnsi="Arial" w:cs="Arial"/>
          <w:sz w:val="18"/>
          <w:szCs w:val="18"/>
          <w:lang w:val="en-AU"/>
        </w:rPr>
        <w:t xml:space="preserve">Waycott, M. </w:t>
      </w:r>
      <w:r w:rsidRPr="00CF2E2A">
        <w:rPr>
          <w:rFonts w:ascii="Arial" w:hAnsi="Arial" w:cs="Arial"/>
          <w:sz w:val="18"/>
          <w:szCs w:val="18"/>
        </w:rPr>
        <w:t>201</w:t>
      </w:r>
      <w:r w:rsidR="006574F1">
        <w:rPr>
          <w:rFonts w:ascii="Arial" w:hAnsi="Arial" w:cs="Arial"/>
          <w:sz w:val="18"/>
          <w:szCs w:val="18"/>
        </w:rPr>
        <w:t>8</w:t>
      </w:r>
      <w:r>
        <w:rPr>
          <w:rFonts w:ascii="Arial" w:hAnsi="Arial" w:cs="Arial"/>
          <w:sz w:val="18"/>
          <w:szCs w:val="18"/>
        </w:rPr>
        <w:t xml:space="preserve">, </w:t>
      </w:r>
      <w:r w:rsidRPr="00CF2E2A">
        <w:rPr>
          <w:rFonts w:ascii="Arial" w:hAnsi="Arial" w:cs="Arial"/>
          <w:i/>
          <w:sz w:val="18"/>
          <w:szCs w:val="18"/>
        </w:rPr>
        <w:t>Marine Monitoring Program</w:t>
      </w:r>
      <w:r w:rsidR="008F265A">
        <w:rPr>
          <w:rFonts w:ascii="Arial" w:hAnsi="Arial" w:cs="Arial"/>
          <w:i/>
          <w:sz w:val="18"/>
          <w:szCs w:val="18"/>
        </w:rPr>
        <w:t>:</w:t>
      </w:r>
      <w:r w:rsidRPr="00CF2E2A">
        <w:rPr>
          <w:rFonts w:ascii="Arial" w:hAnsi="Arial" w:cs="Arial"/>
          <w:i/>
          <w:sz w:val="18"/>
          <w:szCs w:val="18"/>
        </w:rPr>
        <w:t xml:space="preserve"> Annual Report for inshore seagrass monitoring</w:t>
      </w:r>
      <w:r w:rsidRPr="00CF2E2A">
        <w:rPr>
          <w:rFonts w:ascii="Arial" w:hAnsi="Arial" w:cs="Arial"/>
          <w:i/>
          <w:color w:val="000000"/>
          <w:sz w:val="18"/>
          <w:szCs w:val="18"/>
        </w:rPr>
        <w:t xml:space="preserve"> 201</w:t>
      </w:r>
      <w:r w:rsidR="006574F1">
        <w:rPr>
          <w:rFonts w:ascii="Arial" w:hAnsi="Arial" w:cs="Arial"/>
          <w:i/>
          <w:color w:val="000000"/>
          <w:sz w:val="18"/>
          <w:szCs w:val="18"/>
        </w:rPr>
        <w:t>6</w:t>
      </w:r>
      <w:r w:rsidRPr="00CF2E2A">
        <w:rPr>
          <w:rFonts w:ascii="Arial" w:hAnsi="Arial" w:cs="Arial"/>
          <w:i/>
          <w:color w:val="000000"/>
          <w:sz w:val="18"/>
          <w:szCs w:val="18"/>
        </w:rPr>
        <w:t>-201</w:t>
      </w:r>
      <w:r w:rsidR="006574F1">
        <w:rPr>
          <w:rFonts w:ascii="Arial" w:hAnsi="Arial" w:cs="Arial"/>
          <w:i/>
          <w:color w:val="000000"/>
          <w:sz w:val="18"/>
          <w:szCs w:val="18"/>
        </w:rPr>
        <w:t>7</w:t>
      </w:r>
      <w:r w:rsidRPr="00CF2E2A">
        <w:rPr>
          <w:rFonts w:ascii="Arial" w:hAnsi="Arial" w:cs="Arial"/>
          <w:i/>
          <w:color w:val="000000"/>
          <w:sz w:val="18"/>
          <w:szCs w:val="18"/>
        </w:rPr>
        <w:t xml:space="preserve">. Report </w:t>
      </w:r>
      <w:r w:rsidRPr="00CF2E2A">
        <w:rPr>
          <w:rFonts w:ascii="Arial" w:hAnsi="Arial" w:cs="Arial"/>
          <w:i/>
          <w:sz w:val="18"/>
          <w:szCs w:val="18"/>
        </w:rPr>
        <w:t xml:space="preserve">for the Great Barrier Reef Marine Park </w:t>
      </w:r>
      <w:r w:rsidRPr="00C91CDD">
        <w:rPr>
          <w:rFonts w:ascii="Arial" w:hAnsi="Arial" w:cs="Arial"/>
          <w:i/>
          <w:sz w:val="18"/>
          <w:szCs w:val="18"/>
        </w:rPr>
        <w:t>Authority</w:t>
      </w:r>
      <w:r w:rsidRPr="00C91CDD">
        <w:rPr>
          <w:rFonts w:ascii="Arial" w:hAnsi="Arial" w:cs="Arial"/>
          <w:sz w:val="18"/>
          <w:szCs w:val="18"/>
          <w:lang w:val="en-AU"/>
        </w:rPr>
        <w:t xml:space="preserve">, </w:t>
      </w:r>
      <w:r w:rsidRPr="00C91CDD">
        <w:rPr>
          <w:rFonts w:ascii="Arial" w:hAnsi="Arial" w:cs="Arial"/>
          <w:sz w:val="18"/>
          <w:szCs w:val="18"/>
        </w:rPr>
        <w:t>Great Barrier Reef Marine Park Authority, Townsville, 2</w:t>
      </w:r>
      <w:r w:rsidR="001F6AA0">
        <w:rPr>
          <w:rFonts w:ascii="Arial" w:hAnsi="Arial" w:cs="Arial"/>
          <w:sz w:val="18"/>
          <w:szCs w:val="18"/>
        </w:rPr>
        <w:t>48</w:t>
      </w:r>
      <w:r w:rsidRPr="00C91CDD">
        <w:rPr>
          <w:rFonts w:ascii="Arial" w:hAnsi="Arial" w:cs="Arial"/>
          <w:sz w:val="18"/>
          <w:szCs w:val="18"/>
        </w:rPr>
        <w:t>pp.</w:t>
      </w:r>
    </w:p>
    <w:p w14:paraId="71FE6FAE" w14:textId="77777777" w:rsidR="00CF2E2A" w:rsidRPr="00CF2E2A" w:rsidRDefault="00CF2E2A" w:rsidP="00CF2E2A">
      <w:pPr>
        <w:ind w:left="284" w:hanging="284"/>
        <w:rPr>
          <w:rFonts w:ascii="Arial" w:hAnsi="Arial" w:cs="Arial"/>
          <w:sz w:val="18"/>
          <w:szCs w:val="18"/>
        </w:rPr>
      </w:pPr>
    </w:p>
    <w:p w14:paraId="490F64B1" w14:textId="77777777" w:rsidR="00CF2E2A" w:rsidRPr="00CF2E2A" w:rsidRDefault="00CF2E2A" w:rsidP="00223B18">
      <w:pPr>
        <w:ind w:left="284" w:hanging="284"/>
        <w:rPr>
          <w:rFonts w:ascii="Arial" w:hAnsi="Arial" w:cs="Arial"/>
          <w:b/>
          <w:sz w:val="18"/>
          <w:szCs w:val="18"/>
        </w:rPr>
      </w:pPr>
      <w:r w:rsidRPr="00CF2E2A">
        <w:rPr>
          <w:rFonts w:ascii="Arial" w:hAnsi="Arial" w:cs="Arial"/>
          <w:b/>
          <w:sz w:val="18"/>
          <w:szCs w:val="18"/>
        </w:rPr>
        <w:t>A catalogue record for this publication is available from the National Library of Australia</w:t>
      </w:r>
    </w:p>
    <w:p w14:paraId="6E96A527" w14:textId="77777777" w:rsidR="00CF2E2A" w:rsidRPr="00CF2E2A" w:rsidRDefault="00CF2E2A" w:rsidP="00CF2E2A">
      <w:pPr>
        <w:ind w:left="284" w:hanging="284"/>
        <w:rPr>
          <w:rFonts w:ascii="Arial" w:hAnsi="Arial" w:cs="Arial"/>
          <w:sz w:val="18"/>
          <w:szCs w:val="18"/>
        </w:rPr>
      </w:pPr>
    </w:p>
    <w:p w14:paraId="522E0303" w14:textId="77777777" w:rsidR="007B49D0" w:rsidRPr="00CF2E2A" w:rsidRDefault="007B49D0" w:rsidP="007B49D0">
      <w:pPr>
        <w:rPr>
          <w:rFonts w:ascii="Arial" w:eastAsia="MS Mincho" w:hAnsi="Arial" w:cs="Arial"/>
          <w:sz w:val="18"/>
          <w:szCs w:val="18"/>
          <w:lang w:eastAsia="ja-JP"/>
        </w:rPr>
      </w:pPr>
      <w:r w:rsidRPr="00CF2E2A">
        <w:rPr>
          <w:rFonts w:ascii="Arial" w:eastAsia="MS Mincho" w:hAnsi="Arial" w:cs="Arial"/>
          <w:sz w:val="18"/>
          <w:szCs w:val="18"/>
          <w:lang w:eastAsia="ja-JP"/>
        </w:rPr>
        <w:t xml:space="preserve">Front cover image: </w:t>
      </w:r>
      <w:r>
        <w:rPr>
          <w:rFonts w:ascii="Arial" w:hAnsi="Arial" w:cs="Arial"/>
          <w:sz w:val="18"/>
          <w:szCs w:val="18"/>
        </w:rPr>
        <w:t xml:space="preserve">Seagrass (mainly Cymodocea spp.) on the reef flat at Green Island </w:t>
      </w:r>
      <w:r w:rsidRPr="00CF2E2A">
        <w:rPr>
          <w:rFonts w:ascii="Arial" w:hAnsi="Arial" w:cs="Arial"/>
          <w:sz w:val="18"/>
          <w:szCs w:val="18"/>
        </w:rPr>
        <w:sym w:font="Symbol" w:char="F0E3"/>
      </w:r>
      <w:r w:rsidRPr="00CF2E2A">
        <w:rPr>
          <w:rFonts w:ascii="Arial" w:hAnsi="Arial" w:cs="Arial"/>
          <w:sz w:val="18"/>
          <w:szCs w:val="18"/>
        </w:rPr>
        <w:t>Dieter Tracey 2013</w:t>
      </w:r>
      <w:r>
        <w:rPr>
          <w:rFonts w:ascii="Arial" w:hAnsi="Arial" w:cs="Arial"/>
          <w:sz w:val="18"/>
          <w:szCs w:val="18"/>
        </w:rPr>
        <w:t>.</w:t>
      </w:r>
    </w:p>
    <w:p w14:paraId="60FFD728" w14:textId="77777777" w:rsidR="00CF2E2A" w:rsidRDefault="00CF2E2A" w:rsidP="00CF2E2A">
      <w:pPr>
        <w:rPr>
          <w:rFonts w:ascii="Arial" w:eastAsia="MS Mincho" w:hAnsi="Arial" w:cs="Arial"/>
          <w:b/>
          <w:sz w:val="18"/>
          <w:szCs w:val="18"/>
          <w:lang w:eastAsia="ja-JP"/>
        </w:rPr>
      </w:pPr>
    </w:p>
    <w:p w14:paraId="51EDF77E" w14:textId="77777777" w:rsidR="00CF2E2A" w:rsidRPr="009F09A4" w:rsidRDefault="00CF2E2A" w:rsidP="009F09A4">
      <w:pPr>
        <w:ind w:left="284" w:hanging="284"/>
        <w:rPr>
          <w:rFonts w:ascii="Arial" w:hAnsi="Arial" w:cs="Arial"/>
          <w:b/>
          <w:sz w:val="18"/>
          <w:szCs w:val="18"/>
        </w:rPr>
      </w:pPr>
      <w:r w:rsidRPr="009F09A4">
        <w:rPr>
          <w:rFonts w:ascii="Arial" w:hAnsi="Arial" w:cs="Arial"/>
          <w:b/>
          <w:sz w:val="18"/>
          <w:szCs w:val="18"/>
        </w:rPr>
        <w:t>DISCLAIMER</w:t>
      </w:r>
    </w:p>
    <w:p w14:paraId="313C6E12" w14:textId="77777777" w:rsidR="00CF2E2A" w:rsidRPr="00CF2E2A" w:rsidRDefault="00CF2E2A" w:rsidP="00CF2E2A">
      <w:pPr>
        <w:rPr>
          <w:rFonts w:ascii="Arial" w:eastAsia="MS Mincho" w:hAnsi="Arial" w:cs="Arial"/>
          <w:sz w:val="18"/>
          <w:szCs w:val="18"/>
          <w:lang w:eastAsia="ja-JP"/>
        </w:rPr>
      </w:pPr>
      <w:r w:rsidRPr="00CF2E2A">
        <w:rPr>
          <w:rFonts w:ascii="Arial" w:eastAsia="MS Mincho" w:hAnsi="Arial" w:cs="Arial"/>
          <w:sz w:val="18"/>
          <w:szCs w:val="18"/>
          <w:lang w:eastAsia="ja-JP"/>
        </w:rPr>
        <w:t>While reasonable efforts have been made to ensure that the contents of this document are factually correct, JCU and TropWater do not make any representation or give any warranty regarding the accuracy, completeness, currency or suitability for any particular purpose of the information or statements contained in this document. To the extent permitted by law JCU and TropWater shall not be liable for any loss, damage, cost or expense that may be occasioned directly or indirectly through the use of or reliance on the contents of this document.</w:t>
      </w:r>
    </w:p>
    <w:p w14:paraId="76578572" w14:textId="77777777" w:rsidR="00CF2E2A" w:rsidRPr="00CF2E2A" w:rsidRDefault="00CF2E2A" w:rsidP="00CF2E2A">
      <w:pPr>
        <w:ind w:left="284" w:hanging="284"/>
        <w:rPr>
          <w:rFonts w:ascii="Arial" w:hAnsi="Arial" w:cs="Arial"/>
          <w:sz w:val="18"/>
          <w:szCs w:val="18"/>
        </w:rPr>
      </w:pPr>
    </w:p>
    <w:p w14:paraId="16A76F9C" w14:textId="77777777" w:rsidR="00CF2E2A" w:rsidRPr="00CF2E2A" w:rsidRDefault="00CF2E2A" w:rsidP="00CF2E2A">
      <w:pPr>
        <w:rPr>
          <w:rFonts w:ascii="Arial" w:hAnsi="Arial" w:cs="Arial"/>
          <w:sz w:val="18"/>
          <w:szCs w:val="18"/>
        </w:rPr>
      </w:pPr>
      <w:r w:rsidRPr="00CF2E2A">
        <w:rPr>
          <w:rFonts w:ascii="Arial" w:hAnsi="Arial" w:cs="Arial"/>
          <w:sz w:val="18"/>
          <w:szCs w:val="18"/>
        </w:rPr>
        <w:t>Comments and questions regarding this document are welcome and should be addressed to:</w:t>
      </w:r>
    </w:p>
    <w:p w14:paraId="0CED47AF" w14:textId="77777777" w:rsidR="00CF2E2A" w:rsidRDefault="00CF2E2A" w:rsidP="00CF2E2A">
      <w:pPr>
        <w:pStyle w:val="Infopage"/>
        <w:tabs>
          <w:tab w:val="left" w:pos="2700"/>
          <w:tab w:val="left" w:pos="5040"/>
        </w:tabs>
        <w:spacing w:after="0"/>
        <w:jc w:val="left"/>
        <w:rPr>
          <w:rFonts w:ascii="Arial" w:hAnsi="Arial" w:cs="Arial"/>
          <w:color w:val="000000"/>
          <w:sz w:val="18"/>
          <w:szCs w:val="18"/>
          <w:lang w:val="en-AU" w:eastAsia="en-GB"/>
        </w:rPr>
      </w:pPr>
    </w:p>
    <w:p w14:paraId="05E3AEEA" w14:textId="77777777" w:rsidR="00CF2E2A" w:rsidRPr="00304971" w:rsidRDefault="00CF2E2A" w:rsidP="009F09A4">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TropWATER- Centre for Tropical Water and Aquatic Ecosystem Research</w:t>
      </w:r>
    </w:p>
    <w:p w14:paraId="0AB9EC2D" w14:textId="77777777" w:rsidR="00CF2E2A" w:rsidRPr="00304971" w:rsidRDefault="00CF2E2A" w:rsidP="00CF2E2A">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James Cook University</w:t>
      </w:r>
    </w:p>
    <w:p w14:paraId="19A6316C" w14:textId="77777777" w:rsidR="00CF2E2A" w:rsidRPr="00304971" w:rsidRDefault="00CF2E2A" w:rsidP="00CF2E2A">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Townsville, Qld 4811</w:t>
      </w:r>
    </w:p>
    <w:p w14:paraId="17C2C31F" w14:textId="77777777" w:rsidR="00CF2E2A" w:rsidRPr="009F09A4" w:rsidRDefault="00D05880" w:rsidP="009F09A4">
      <w:pPr>
        <w:pStyle w:val="Infopage"/>
        <w:tabs>
          <w:tab w:val="left" w:pos="2700"/>
          <w:tab w:val="left" w:pos="5040"/>
        </w:tabs>
        <w:spacing w:after="0"/>
        <w:jc w:val="left"/>
        <w:rPr>
          <w:rFonts w:ascii="Arial" w:hAnsi="Arial" w:cs="Arial"/>
          <w:color w:val="0563C1"/>
          <w:sz w:val="18"/>
          <w:szCs w:val="18"/>
          <w:u w:val="single"/>
          <w:lang w:val="en-AU" w:eastAsia="en-GB"/>
        </w:rPr>
      </w:pPr>
      <w:hyperlink r:id="rId16" w:history="1">
        <w:r w:rsidR="00CF2E2A" w:rsidRPr="009F09A4">
          <w:rPr>
            <w:color w:val="0563C1"/>
            <w:u w:val="single"/>
            <w:lang w:eastAsia="en-GB"/>
          </w:rPr>
          <w:t>Tropwater@jcu.edu.au</w:t>
        </w:r>
      </w:hyperlink>
    </w:p>
    <w:p w14:paraId="25C4294C" w14:textId="77777777" w:rsidR="00CF2E2A" w:rsidRPr="00304971" w:rsidRDefault="00CF2E2A" w:rsidP="00CF2E2A">
      <w:pPr>
        <w:pStyle w:val="Infopage"/>
        <w:rPr>
          <w:rFonts w:ascii="Arial" w:hAnsi="Arial" w:cs="Arial"/>
          <w:sz w:val="18"/>
          <w:szCs w:val="18"/>
          <w:lang w:val="en-AU"/>
        </w:rPr>
      </w:pPr>
    </w:p>
    <w:p w14:paraId="71710274" w14:textId="60A43B67" w:rsidR="00CF2E2A" w:rsidRPr="006E408D" w:rsidRDefault="00CF2E2A" w:rsidP="00CF2E2A">
      <w:pPr>
        <w:spacing w:before="100" w:beforeAutospacing="1" w:after="100" w:afterAutospacing="1"/>
        <w:rPr>
          <w:rFonts w:ascii="Arial" w:hAnsi="Arial" w:cs="Arial"/>
          <w:i/>
          <w:iCs/>
          <w:sz w:val="18"/>
          <w:szCs w:val="18"/>
          <w:lang w:val="en-US"/>
        </w:rPr>
      </w:pPr>
      <w:r w:rsidRPr="006E408D">
        <w:rPr>
          <w:rFonts w:ascii="Arial" w:hAnsi="Arial" w:cs="Arial"/>
          <w:i/>
          <w:iCs/>
          <w:sz w:val="18"/>
          <w:szCs w:val="18"/>
          <w:lang w:val="en-US"/>
        </w:rPr>
        <w:t xml:space="preserve">This project is supported by the Great Barrier Reef Marine Park Authority through funding from the Australian Government Reef Program, the </w:t>
      </w:r>
      <w:r w:rsidRPr="006E408D">
        <w:rPr>
          <w:rFonts w:ascii="Arial" w:hAnsi="Arial" w:cs="Arial"/>
          <w:i/>
          <w:iCs/>
          <w:sz w:val="18"/>
          <w:szCs w:val="18"/>
        </w:rPr>
        <w:t>Reef 2050 Integrated Monitoring</w:t>
      </w:r>
      <w:r w:rsidR="000826D4" w:rsidRPr="006E408D">
        <w:rPr>
          <w:rFonts w:ascii="Arial" w:hAnsi="Arial" w:cs="Arial"/>
          <w:i/>
          <w:iCs/>
          <w:sz w:val="18"/>
          <w:szCs w:val="18"/>
        </w:rPr>
        <w:t xml:space="preserve"> </w:t>
      </w:r>
      <w:r w:rsidRPr="006E408D">
        <w:rPr>
          <w:rFonts w:ascii="Arial" w:hAnsi="Arial" w:cs="Arial"/>
          <w:i/>
          <w:iCs/>
          <w:sz w:val="18"/>
          <w:szCs w:val="18"/>
        </w:rPr>
        <w:t>and</w:t>
      </w:r>
      <w:r w:rsidR="00512A00" w:rsidRPr="006E408D">
        <w:rPr>
          <w:rFonts w:ascii="Arial" w:hAnsi="Arial" w:cs="Arial"/>
          <w:i/>
          <w:iCs/>
          <w:sz w:val="18"/>
          <w:szCs w:val="18"/>
        </w:rPr>
        <w:t xml:space="preserve"> Reporting Program, Austalian Institute of Marine Science and James Cook University</w:t>
      </w:r>
      <w:r w:rsidRPr="006E408D">
        <w:rPr>
          <w:rFonts w:ascii="Arial" w:hAnsi="Arial" w:cs="Arial"/>
          <w:i/>
          <w:iCs/>
          <w:sz w:val="18"/>
          <w:szCs w:val="18"/>
        </w:rPr>
        <w:t>.</w:t>
      </w:r>
    </w:p>
    <w:p w14:paraId="04AE30E1" w14:textId="77777777" w:rsidR="006070CB" w:rsidRPr="00C43B68" w:rsidRDefault="006070CB" w:rsidP="006070CB">
      <w:pPr>
        <w:pStyle w:val="Infopage"/>
        <w:spacing w:before="120"/>
      </w:pPr>
    </w:p>
    <w:p w14:paraId="57674619" w14:textId="77777777" w:rsidR="006070CB" w:rsidRDefault="006070CB" w:rsidP="006070CB">
      <w:pPr>
        <w:tabs>
          <w:tab w:val="left" w:pos="2127"/>
        </w:tabs>
        <w:rPr>
          <w:rFonts w:ascii="Arial Narrow" w:eastAsia="MS Mincho" w:hAnsi="Arial Narrow" w:cs="Arial"/>
          <w:szCs w:val="22"/>
          <w:lang w:eastAsia="ja-JP"/>
        </w:rPr>
      </w:pPr>
    </w:p>
    <w:p w14:paraId="2FF91A8E" w14:textId="77777777" w:rsidR="006070CB" w:rsidRDefault="006070CB" w:rsidP="006070CB">
      <w:pPr>
        <w:tabs>
          <w:tab w:val="left" w:pos="2127"/>
        </w:tabs>
        <w:rPr>
          <w:rFonts w:ascii="Arial Narrow" w:eastAsia="MS Mincho" w:hAnsi="Arial Narrow" w:cs="Arial"/>
          <w:szCs w:val="22"/>
          <w:lang w:eastAsia="ja-JP"/>
        </w:rPr>
      </w:pPr>
    </w:p>
    <w:p w14:paraId="027C7B87" w14:textId="77777777" w:rsidR="006070CB" w:rsidRDefault="006070CB" w:rsidP="006070CB">
      <w:pPr>
        <w:tabs>
          <w:tab w:val="left" w:pos="2127"/>
        </w:tabs>
        <w:rPr>
          <w:rFonts w:ascii="Arial Narrow" w:eastAsia="MS Mincho" w:hAnsi="Arial Narrow" w:cs="Arial"/>
          <w:szCs w:val="22"/>
          <w:lang w:eastAsia="ja-JP"/>
        </w:rPr>
        <w:sectPr w:rsidR="006070CB" w:rsidSect="00D10D59">
          <w:headerReference w:type="even" r:id="rId17"/>
          <w:headerReference w:type="default" r:id="rId18"/>
          <w:footerReference w:type="even" r:id="rId19"/>
          <w:headerReference w:type="first" r:id="rId20"/>
          <w:pgSz w:w="11906" w:h="16838" w:code="9"/>
          <w:pgMar w:top="1418" w:right="1418" w:bottom="1418" w:left="1418" w:header="720" w:footer="851" w:gutter="0"/>
          <w:pgNumType w:fmt="lowerRoman" w:start="2"/>
          <w:cols w:space="720"/>
        </w:sectPr>
      </w:pPr>
    </w:p>
    <w:p w14:paraId="7C9B9785" w14:textId="77777777" w:rsidR="001F4593" w:rsidRPr="0095258E" w:rsidRDefault="001F4593" w:rsidP="00DD3BAE">
      <w:pPr>
        <w:spacing w:after="0"/>
        <w:rPr>
          <w:rFonts w:ascii="Century Gothic" w:hAnsi="Century Gothic"/>
          <w:b/>
          <w:color w:val="000000"/>
          <w:sz w:val="36"/>
          <w:szCs w:val="36"/>
        </w:rPr>
      </w:pPr>
      <w:r w:rsidRPr="0095258E">
        <w:rPr>
          <w:rFonts w:ascii="Century Gothic" w:hAnsi="Century Gothic"/>
          <w:b/>
          <w:color w:val="000000"/>
          <w:sz w:val="36"/>
          <w:szCs w:val="36"/>
        </w:rPr>
        <w:lastRenderedPageBreak/>
        <w:t>Contents</w:t>
      </w:r>
    </w:p>
    <w:p w14:paraId="7810D355" w14:textId="77777777" w:rsidR="00A719AF" w:rsidRDefault="00A719AF" w:rsidP="009F09A4">
      <w:pPr>
        <w:pStyle w:val="TOC1"/>
      </w:pPr>
    </w:p>
    <w:p w14:paraId="3D5FC71F" w14:textId="6259B394" w:rsidR="00BD038B" w:rsidRDefault="00E150BC">
      <w:pPr>
        <w:pStyle w:val="TOC1"/>
        <w:rPr>
          <w:rFonts w:eastAsiaTheme="minorEastAsia" w:cstheme="minorBidi"/>
          <w:b w:val="0"/>
          <w:bCs w:val="0"/>
          <w:caps w:val="0"/>
          <w:noProof/>
          <w:sz w:val="22"/>
          <w:szCs w:val="22"/>
          <w:lang w:eastAsia="en-AU"/>
        </w:rPr>
      </w:pPr>
      <w:r w:rsidRPr="008A426D">
        <w:rPr>
          <w:color w:val="000000"/>
        </w:rPr>
        <w:fldChar w:fldCharType="begin"/>
      </w:r>
      <w:r w:rsidRPr="008A426D">
        <w:rPr>
          <w:color w:val="000000"/>
        </w:rPr>
        <w:instrText xml:space="preserve"> TOC \o "1-3" \h \z \u </w:instrText>
      </w:r>
      <w:r w:rsidRPr="008A426D">
        <w:rPr>
          <w:color w:val="000000"/>
        </w:rPr>
        <w:fldChar w:fldCharType="separate"/>
      </w:r>
      <w:hyperlink w:anchor="_Toc516053113" w:history="1">
        <w:r w:rsidR="00BD038B" w:rsidRPr="003E7827">
          <w:rPr>
            <w:rStyle w:val="Hyperlink"/>
            <w:rFonts w:ascii="Century Gothic" w:hAnsi="Century Gothic"/>
            <w:noProof/>
          </w:rPr>
          <w:t>Acronyms &amp; Abbreviations Used In This Report</w:t>
        </w:r>
        <w:r w:rsidR="00BD038B">
          <w:rPr>
            <w:noProof/>
            <w:webHidden/>
          </w:rPr>
          <w:tab/>
        </w:r>
        <w:r w:rsidR="00BD038B">
          <w:rPr>
            <w:noProof/>
            <w:webHidden/>
          </w:rPr>
          <w:fldChar w:fldCharType="begin"/>
        </w:r>
        <w:r w:rsidR="00BD038B">
          <w:rPr>
            <w:noProof/>
            <w:webHidden/>
          </w:rPr>
          <w:instrText xml:space="preserve"> PAGEREF _Toc516053113 \h </w:instrText>
        </w:r>
        <w:r w:rsidR="00BD038B">
          <w:rPr>
            <w:noProof/>
            <w:webHidden/>
          </w:rPr>
        </w:r>
        <w:r w:rsidR="00BD038B">
          <w:rPr>
            <w:noProof/>
            <w:webHidden/>
          </w:rPr>
          <w:fldChar w:fldCharType="separate"/>
        </w:r>
        <w:r w:rsidR="00F87DF9">
          <w:rPr>
            <w:noProof/>
            <w:webHidden/>
          </w:rPr>
          <w:t>xvi</w:t>
        </w:r>
        <w:r w:rsidR="00BD038B">
          <w:rPr>
            <w:noProof/>
            <w:webHidden/>
          </w:rPr>
          <w:fldChar w:fldCharType="end"/>
        </w:r>
      </w:hyperlink>
    </w:p>
    <w:p w14:paraId="1E66BF04" w14:textId="293139D6" w:rsidR="00BD038B" w:rsidRDefault="00D05880">
      <w:pPr>
        <w:pStyle w:val="TOC1"/>
        <w:rPr>
          <w:rFonts w:eastAsiaTheme="minorEastAsia" w:cstheme="minorBidi"/>
          <w:b w:val="0"/>
          <w:bCs w:val="0"/>
          <w:caps w:val="0"/>
          <w:noProof/>
          <w:sz w:val="22"/>
          <w:szCs w:val="22"/>
          <w:lang w:eastAsia="en-AU"/>
        </w:rPr>
      </w:pPr>
      <w:hyperlink w:anchor="_Toc516053114" w:history="1">
        <w:r w:rsidR="00BD038B" w:rsidRPr="003E7827">
          <w:rPr>
            <w:rStyle w:val="Hyperlink"/>
            <w:rFonts w:ascii="Century Gothic" w:hAnsi="Century Gothic"/>
            <w:noProof/>
          </w:rPr>
          <w:t>Acknowledgements</w:t>
        </w:r>
        <w:r w:rsidR="00BD038B">
          <w:rPr>
            <w:noProof/>
            <w:webHidden/>
          </w:rPr>
          <w:tab/>
        </w:r>
        <w:r w:rsidR="00BD038B">
          <w:rPr>
            <w:noProof/>
            <w:webHidden/>
          </w:rPr>
          <w:fldChar w:fldCharType="begin"/>
        </w:r>
        <w:r w:rsidR="00BD038B">
          <w:rPr>
            <w:noProof/>
            <w:webHidden/>
          </w:rPr>
          <w:instrText xml:space="preserve"> PAGEREF _Toc516053114 \h </w:instrText>
        </w:r>
        <w:r w:rsidR="00BD038B">
          <w:rPr>
            <w:noProof/>
            <w:webHidden/>
          </w:rPr>
        </w:r>
        <w:r w:rsidR="00BD038B">
          <w:rPr>
            <w:noProof/>
            <w:webHidden/>
          </w:rPr>
          <w:fldChar w:fldCharType="separate"/>
        </w:r>
        <w:r w:rsidR="00F87DF9">
          <w:rPr>
            <w:noProof/>
            <w:webHidden/>
          </w:rPr>
          <w:t>xvii</w:t>
        </w:r>
        <w:r w:rsidR="00BD038B">
          <w:rPr>
            <w:noProof/>
            <w:webHidden/>
          </w:rPr>
          <w:fldChar w:fldCharType="end"/>
        </w:r>
      </w:hyperlink>
    </w:p>
    <w:p w14:paraId="66BAAC41" w14:textId="56965967" w:rsidR="00BD038B" w:rsidRDefault="00D05880">
      <w:pPr>
        <w:pStyle w:val="TOC1"/>
        <w:rPr>
          <w:rFonts w:eastAsiaTheme="minorEastAsia" w:cstheme="minorBidi"/>
          <w:b w:val="0"/>
          <w:bCs w:val="0"/>
          <w:caps w:val="0"/>
          <w:noProof/>
          <w:sz w:val="22"/>
          <w:szCs w:val="22"/>
          <w:lang w:eastAsia="en-AU"/>
        </w:rPr>
      </w:pPr>
      <w:hyperlink w:anchor="_Toc516053115" w:history="1">
        <w:r w:rsidR="00BD038B" w:rsidRPr="003E7827">
          <w:rPr>
            <w:rStyle w:val="Hyperlink"/>
            <w:rFonts w:ascii="Century Gothic" w:hAnsi="Century Gothic"/>
            <w:noProof/>
          </w:rPr>
          <w:t>Executive summary</w:t>
        </w:r>
        <w:r w:rsidR="00BD038B">
          <w:rPr>
            <w:noProof/>
            <w:webHidden/>
          </w:rPr>
          <w:tab/>
        </w:r>
        <w:r w:rsidR="00BD038B">
          <w:rPr>
            <w:noProof/>
            <w:webHidden/>
          </w:rPr>
          <w:fldChar w:fldCharType="begin"/>
        </w:r>
        <w:r w:rsidR="00BD038B">
          <w:rPr>
            <w:noProof/>
            <w:webHidden/>
          </w:rPr>
          <w:instrText xml:space="preserve"> PAGEREF _Toc516053115 \h </w:instrText>
        </w:r>
        <w:r w:rsidR="00BD038B">
          <w:rPr>
            <w:noProof/>
            <w:webHidden/>
          </w:rPr>
        </w:r>
        <w:r w:rsidR="00BD038B">
          <w:rPr>
            <w:noProof/>
            <w:webHidden/>
          </w:rPr>
          <w:fldChar w:fldCharType="separate"/>
        </w:r>
        <w:r w:rsidR="00F87DF9">
          <w:rPr>
            <w:noProof/>
            <w:webHidden/>
          </w:rPr>
          <w:t>1</w:t>
        </w:r>
        <w:r w:rsidR="00BD038B">
          <w:rPr>
            <w:noProof/>
            <w:webHidden/>
          </w:rPr>
          <w:fldChar w:fldCharType="end"/>
        </w:r>
      </w:hyperlink>
    </w:p>
    <w:p w14:paraId="226F3579" w14:textId="0916C59C" w:rsidR="00BD038B" w:rsidRDefault="00D05880">
      <w:pPr>
        <w:pStyle w:val="TOC1"/>
        <w:tabs>
          <w:tab w:val="left" w:pos="440"/>
        </w:tabs>
        <w:rPr>
          <w:rFonts w:eastAsiaTheme="minorEastAsia" w:cstheme="minorBidi"/>
          <w:b w:val="0"/>
          <w:bCs w:val="0"/>
          <w:caps w:val="0"/>
          <w:noProof/>
          <w:sz w:val="22"/>
          <w:szCs w:val="22"/>
          <w:lang w:eastAsia="en-AU"/>
        </w:rPr>
      </w:pPr>
      <w:hyperlink w:anchor="_Toc516053116" w:history="1">
        <w:r w:rsidR="00BD038B" w:rsidRPr="003E7827">
          <w:rPr>
            <w:rStyle w:val="Hyperlink"/>
            <w:rFonts w:ascii="Century Gothic" w:hAnsi="Century Gothic"/>
            <w:noProof/>
          </w:rPr>
          <w:t>1</w:t>
        </w:r>
        <w:r w:rsidR="00BD038B">
          <w:rPr>
            <w:rFonts w:eastAsiaTheme="minorEastAsia" w:cstheme="minorBidi"/>
            <w:b w:val="0"/>
            <w:bCs w:val="0"/>
            <w:caps w:val="0"/>
            <w:noProof/>
            <w:sz w:val="22"/>
            <w:szCs w:val="22"/>
            <w:lang w:eastAsia="en-AU"/>
          </w:rPr>
          <w:tab/>
        </w:r>
        <w:r w:rsidR="00BD038B" w:rsidRPr="003E7827">
          <w:rPr>
            <w:rStyle w:val="Hyperlink"/>
            <w:rFonts w:ascii="Century Gothic" w:hAnsi="Century Gothic"/>
            <w:noProof/>
          </w:rPr>
          <w:t>Preface</w:t>
        </w:r>
        <w:r w:rsidR="00BD038B">
          <w:rPr>
            <w:noProof/>
            <w:webHidden/>
          </w:rPr>
          <w:tab/>
        </w:r>
        <w:r w:rsidR="00BD038B">
          <w:rPr>
            <w:noProof/>
            <w:webHidden/>
          </w:rPr>
          <w:fldChar w:fldCharType="begin"/>
        </w:r>
        <w:r w:rsidR="00BD038B">
          <w:rPr>
            <w:noProof/>
            <w:webHidden/>
          </w:rPr>
          <w:instrText xml:space="preserve"> PAGEREF _Toc516053116 \h </w:instrText>
        </w:r>
        <w:r w:rsidR="00BD038B">
          <w:rPr>
            <w:noProof/>
            <w:webHidden/>
          </w:rPr>
        </w:r>
        <w:r w:rsidR="00BD038B">
          <w:rPr>
            <w:noProof/>
            <w:webHidden/>
          </w:rPr>
          <w:fldChar w:fldCharType="separate"/>
        </w:r>
        <w:r w:rsidR="00F87DF9">
          <w:rPr>
            <w:noProof/>
            <w:webHidden/>
          </w:rPr>
          <w:t>4</w:t>
        </w:r>
        <w:r w:rsidR="00BD038B">
          <w:rPr>
            <w:noProof/>
            <w:webHidden/>
          </w:rPr>
          <w:fldChar w:fldCharType="end"/>
        </w:r>
      </w:hyperlink>
    </w:p>
    <w:p w14:paraId="1F63201A" w14:textId="40F5C347" w:rsidR="00BD038B" w:rsidRDefault="00D05880">
      <w:pPr>
        <w:pStyle w:val="TOC1"/>
        <w:tabs>
          <w:tab w:val="left" w:pos="440"/>
        </w:tabs>
        <w:rPr>
          <w:rFonts w:eastAsiaTheme="minorEastAsia" w:cstheme="minorBidi"/>
          <w:b w:val="0"/>
          <w:bCs w:val="0"/>
          <w:caps w:val="0"/>
          <w:noProof/>
          <w:sz w:val="22"/>
          <w:szCs w:val="22"/>
          <w:lang w:eastAsia="en-AU"/>
        </w:rPr>
      </w:pPr>
      <w:hyperlink w:anchor="_Toc516053117" w:history="1">
        <w:r w:rsidR="00BD038B" w:rsidRPr="003E7827">
          <w:rPr>
            <w:rStyle w:val="Hyperlink"/>
            <w:rFonts w:ascii="Century Gothic" w:hAnsi="Century Gothic"/>
            <w:noProof/>
          </w:rPr>
          <w:t>2</w:t>
        </w:r>
        <w:r w:rsidR="00BD038B">
          <w:rPr>
            <w:rFonts w:eastAsiaTheme="minorEastAsia" w:cstheme="minorBidi"/>
            <w:b w:val="0"/>
            <w:bCs w:val="0"/>
            <w:caps w:val="0"/>
            <w:noProof/>
            <w:sz w:val="22"/>
            <w:szCs w:val="22"/>
            <w:lang w:eastAsia="en-AU"/>
          </w:rPr>
          <w:tab/>
        </w:r>
        <w:r w:rsidR="00BD038B" w:rsidRPr="003E7827">
          <w:rPr>
            <w:rStyle w:val="Hyperlink"/>
            <w:rFonts w:ascii="Century Gothic" w:hAnsi="Century Gothic"/>
            <w:noProof/>
          </w:rPr>
          <w:t>Introduction</w:t>
        </w:r>
        <w:r w:rsidR="00BD038B">
          <w:rPr>
            <w:noProof/>
            <w:webHidden/>
          </w:rPr>
          <w:tab/>
        </w:r>
        <w:r w:rsidR="00BD038B">
          <w:rPr>
            <w:noProof/>
            <w:webHidden/>
          </w:rPr>
          <w:fldChar w:fldCharType="begin"/>
        </w:r>
        <w:r w:rsidR="00BD038B">
          <w:rPr>
            <w:noProof/>
            <w:webHidden/>
          </w:rPr>
          <w:instrText xml:space="preserve"> PAGEREF _Toc516053117 \h </w:instrText>
        </w:r>
        <w:r w:rsidR="00BD038B">
          <w:rPr>
            <w:noProof/>
            <w:webHidden/>
          </w:rPr>
        </w:r>
        <w:r w:rsidR="00BD038B">
          <w:rPr>
            <w:noProof/>
            <w:webHidden/>
          </w:rPr>
          <w:fldChar w:fldCharType="separate"/>
        </w:r>
        <w:r w:rsidR="00F87DF9">
          <w:rPr>
            <w:noProof/>
            <w:webHidden/>
          </w:rPr>
          <w:t>5</w:t>
        </w:r>
        <w:r w:rsidR="00BD038B">
          <w:rPr>
            <w:noProof/>
            <w:webHidden/>
          </w:rPr>
          <w:fldChar w:fldCharType="end"/>
        </w:r>
      </w:hyperlink>
    </w:p>
    <w:p w14:paraId="38D34150" w14:textId="5C70D04F" w:rsidR="00BD038B" w:rsidRDefault="00D05880">
      <w:pPr>
        <w:pStyle w:val="TOC1"/>
        <w:tabs>
          <w:tab w:val="left" w:pos="440"/>
        </w:tabs>
        <w:rPr>
          <w:rFonts w:eastAsiaTheme="minorEastAsia" w:cstheme="minorBidi"/>
          <w:b w:val="0"/>
          <w:bCs w:val="0"/>
          <w:caps w:val="0"/>
          <w:noProof/>
          <w:sz w:val="22"/>
          <w:szCs w:val="22"/>
          <w:lang w:eastAsia="en-AU"/>
        </w:rPr>
      </w:pPr>
      <w:hyperlink w:anchor="_Toc516053118" w:history="1">
        <w:r w:rsidR="00BD038B" w:rsidRPr="003E7827">
          <w:rPr>
            <w:rStyle w:val="Hyperlink"/>
            <w:rFonts w:ascii="Century Gothic" w:hAnsi="Century Gothic"/>
            <w:noProof/>
          </w:rPr>
          <w:t>3</w:t>
        </w:r>
        <w:r w:rsidR="00BD038B">
          <w:rPr>
            <w:rFonts w:eastAsiaTheme="minorEastAsia" w:cstheme="minorBidi"/>
            <w:b w:val="0"/>
            <w:bCs w:val="0"/>
            <w:caps w:val="0"/>
            <w:noProof/>
            <w:sz w:val="22"/>
            <w:szCs w:val="22"/>
            <w:lang w:eastAsia="en-AU"/>
          </w:rPr>
          <w:tab/>
        </w:r>
        <w:r w:rsidR="00BD038B" w:rsidRPr="003E7827">
          <w:rPr>
            <w:rStyle w:val="Hyperlink"/>
            <w:rFonts w:ascii="Century Gothic" w:hAnsi="Century Gothic"/>
            <w:noProof/>
          </w:rPr>
          <w:t>Methods summary</w:t>
        </w:r>
        <w:r w:rsidR="00BD038B">
          <w:rPr>
            <w:noProof/>
            <w:webHidden/>
          </w:rPr>
          <w:tab/>
        </w:r>
        <w:r w:rsidR="00BD038B">
          <w:rPr>
            <w:noProof/>
            <w:webHidden/>
          </w:rPr>
          <w:fldChar w:fldCharType="begin"/>
        </w:r>
        <w:r w:rsidR="00BD038B">
          <w:rPr>
            <w:noProof/>
            <w:webHidden/>
          </w:rPr>
          <w:instrText xml:space="preserve"> PAGEREF _Toc516053118 \h </w:instrText>
        </w:r>
        <w:r w:rsidR="00BD038B">
          <w:rPr>
            <w:noProof/>
            <w:webHidden/>
          </w:rPr>
        </w:r>
        <w:r w:rsidR="00BD038B">
          <w:rPr>
            <w:noProof/>
            <w:webHidden/>
          </w:rPr>
          <w:fldChar w:fldCharType="separate"/>
        </w:r>
        <w:r w:rsidR="00F87DF9">
          <w:rPr>
            <w:noProof/>
            <w:webHidden/>
          </w:rPr>
          <w:t>11</w:t>
        </w:r>
        <w:r w:rsidR="00BD038B">
          <w:rPr>
            <w:noProof/>
            <w:webHidden/>
          </w:rPr>
          <w:fldChar w:fldCharType="end"/>
        </w:r>
      </w:hyperlink>
    </w:p>
    <w:p w14:paraId="1B7D78ED" w14:textId="2DCC83BE"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19" w:history="1">
        <w:r w:rsidR="00BD038B" w:rsidRPr="003E7827">
          <w:rPr>
            <w:rStyle w:val="Hyperlink"/>
            <w:rFonts w:ascii="Century Gothic" w:hAnsi="Century Gothic"/>
            <w:noProof/>
          </w:rPr>
          <w:t>3.1</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_Toc516053119 \h </w:instrText>
        </w:r>
        <w:r w:rsidR="00BD038B">
          <w:rPr>
            <w:noProof/>
            <w:webHidden/>
          </w:rPr>
        </w:r>
        <w:r w:rsidR="00BD038B">
          <w:rPr>
            <w:noProof/>
            <w:webHidden/>
          </w:rPr>
          <w:fldChar w:fldCharType="separate"/>
        </w:r>
        <w:r w:rsidR="00F87DF9">
          <w:rPr>
            <w:noProof/>
            <w:webHidden/>
          </w:rPr>
          <w:t>11</w:t>
        </w:r>
        <w:r w:rsidR="00BD038B">
          <w:rPr>
            <w:noProof/>
            <w:webHidden/>
          </w:rPr>
          <w:fldChar w:fldCharType="end"/>
        </w:r>
      </w:hyperlink>
    </w:p>
    <w:p w14:paraId="3794CDED" w14:textId="48CF2A2B"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20" w:history="1">
        <w:r w:rsidR="00BD038B" w:rsidRPr="003E7827">
          <w:rPr>
            <w:rStyle w:val="Hyperlink"/>
            <w:rFonts w:ascii="Century Gothic" w:hAnsi="Century Gothic"/>
            <w:noProof/>
          </w:rPr>
          <w:t>3.2</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Sampling design &amp; site selection</w:t>
        </w:r>
        <w:r w:rsidR="00BD038B">
          <w:rPr>
            <w:noProof/>
            <w:webHidden/>
          </w:rPr>
          <w:tab/>
        </w:r>
        <w:r w:rsidR="00BD038B">
          <w:rPr>
            <w:noProof/>
            <w:webHidden/>
          </w:rPr>
          <w:fldChar w:fldCharType="begin"/>
        </w:r>
        <w:r w:rsidR="00BD038B">
          <w:rPr>
            <w:noProof/>
            <w:webHidden/>
          </w:rPr>
          <w:instrText xml:space="preserve"> PAGEREF _Toc516053120 \h </w:instrText>
        </w:r>
        <w:r w:rsidR="00BD038B">
          <w:rPr>
            <w:noProof/>
            <w:webHidden/>
          </w:rPr>
        </w:r>
        <w:r w:rsidR="00BD038B">
          <w:rPr>
            <w:noProof/>
            <w:webHidden/>
          </w:rPr>
          <w:fldChar w:fldCharType="separate"/>
        </w:r>
        <w:r w:rsidR="00F87DF9">
          <w:rPr>
            <w:noProof/>
            <w:webHidden/>
          </w:rPr>
          <w:t>14</w:t>
        </w:r>
        <w:r w:rsidR="00BD038B">
          <w:rPr>
            <w:noProof/>
            <w:webHidden/>
          </w:rPr>
          <w:fldChar w:fldCharType="end"/>
        </w:r>
      </w:hyperlink>
    </w:p>
    <w:p w14:paraId="62ACCEEB" w14:textId="3EA813AA"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21" w:history="1">
        <w:r w:rsidR="00BD038B" w:rsidRPr="003E7827">
          <w:rPr>
            <w:rStyle w:val="Hyperlink"/>
            <w:rFonts w:ascii="Century Gothic" w:hAnsi="Century Gothic"/>
            <w:noProof/>
          </w:rPr>
          <w:t>3.3</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Seagrass condition monitoring</w:t>
        </w:r>
        <w:r w:rsidR="00BD038B">
          <w:rPr>
            <w:noProof/>
            <w:webHidden/>
          </w:rPr>
          <w:tab/>
        </w:r>
        <w:r w:rsidR="00BD038B">
          <w:rPr>
            <w:noProof/>
            <w:webHidden/>
          </w:rPr>
          <w:fldChar w:fldCharType="begin"/>
        </w:r>
        <w:r w:rsidR="00BD038B">
          <w:rPr>
            <w:noProof/>
            <w:webHidden/>
          </w:rPr>
          <w:instrText xml:space="preserve"> PAGEREF _Toc516053121 \h </w:instrText>
        </w:r>
        <w:r w:rsidR="00BD038B">
          <w:rPr>
            <w:noProof/>
            <w:webHidden/>
          </w:rPr>
        </w:r>
        <w:r w:rsidR="00BD038B">
          <w:rPr>
            <w:noProof/>
            <w:webHidden/>
          </w:rPr>
          <w:fldChar w:fldCharType="separate"/>
        </w:r>
        <w:r w:rsidR="00F87DF9">
          <w:rPr>
            <w:noProof/>
            <w:webHidden/>
          </w:rPr>
          <w:t>19</w:t>
        </w:r>
        <w:r w:rsidR="00BD038B">
          <w:rPr>
            <w:noProof/>
            <w:webHidden/>
          </w:rPr>
          <w:fldChar w:fldCharType="end"/>
        </w:r>
      </w:hyperlink>
    </w:p>
    <w:p w14:paraId="1A8AF4B3" w14:textId="1B93E5F3"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22" w:history="1">
        <w:r w:rsidR="00BD038B" w:rsidRPr="003E7827">
          <w:rPr>
            <w:rStyle w:val="Hyperlink"/>
            <w:rFonts w:ascii="Arial" w:hAnsi="Arial" w:cs="Arial"/>
            <w:noProof/>
          </w:rPr>
          <w:t>3.3.1</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abundance, composition and extent</w:t>
        </w:r>
        <w:r w:rsidR="00BD038B">
          <w:rPr>
            <w:noProof/>
            <w:webHidden/>
          </w:rPr>
          <w:tab/>
        </w:r>
        <w:r w:rsidR="00BD038B">
          <w:rPr>
            <w:noProof/>
            <w:webHidden/>
          </w:rPr>
          <w:fldChar w:fldCharType="begin"/>
        </w:r>
        <w:r w:rsidR="00BD038B">
          <w:rPr>
            <w:noProof/>
            <w:webHidden/>
          </w:rPr>
          <w:instrText xml:space="preserve"> PAGEREF _Toc516053122 \h </w:instrText>
        </w:r>
        <w:r w:rsidR="00BD038B">
          <w:rPr>
            <w:noProof/>
            <w:webHidden/>
          </w:rPr>
        </w:r>
        <w:r w:rsidR="00BD038B">
          <w:rPr>
            <w:noProof/>
            <w:webHidden/>
          </w:rPr>
          <w:fldChar w:fldCharType="separate"/>
        </w:r>
        <w:r w:rsidR="00F87DF9">
          <w:rPr>
            <w:noProof/>
            <w:webHidden/>
          </w:rPr>
          <w:t>19</w:t>
        </w:r>
        <w:r w:rsidR="00BD038B">
          <w:rPr>
            <w:noProof/>
            <w:webHidden/>
          </w:rPr>
          <w:fldChar w:fldCharType="end"/>
        </w:r>
      </w:hyperlink>
    </w:p>
    <w:p w14:paraId="5FDA3D02" w14:textId="7981C825"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23" w:history="1">
        <w:r w:rsidR="00BD038B" w:rsidRPr="003E7827">
          <w:rPr>
            <w:rStyle w:val="Hyperlink"/>
            <w:rFonts w:ascii="Arial" w:hAnsi="Arial" w:cs="Arial"/>
            <w:noProof/>
          </w:rPr>
          <w:t>3.3.2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reproductive health</w:t>
        </w:r>
        <w:r w:rsidR="00BD038B">
          <w:rPr>
            <w:noProof/>
            <w:webHidden/>
          </w:rPr>
          <w:tab/>
        </w:r>
        <w:r w:rsidR="00BD038B">
          <w:rPr>
            <w:noProof/>
            <w:webHidden/>
          </w:rPr>
          <w:fldChar w:fldCharType="begin"/>
        </w:r>
        <w:r w:rsidR="00BD038B">
          <w:rPr>
            <w:noProof/>
            <w:webHidden/>
          </w:rPr>
          <w:instrText xml:space="preserve"> PAGEREF _Toc516053123 \h </w:instrText>
        </w:r>
        <w:r w:rsidR="00BD038B">
          <w:rPr>
            <w:noProof/>
            <w:webHidden/>
          </w:rPr>
        </w:r>
        <w:r w:rsidR="00BD038B">
          <w:rPr>
            <w:noProof/>
            <w:webHidden/>
          </w:rPr>
          <w:fldChar w:fldCharType="separate"/>
        </w:r>
        <w:r w:rsidR="00F87DF9">
          <w:rPr>
            <w:noProof/>
            <w:webHidden/>
          </w:rPr>
          <w:t>19</w:t>
        </w:r>
        <w:r w:rsidR="00BD038B">
          <w:rPr>
            <w:noProof/>
            <w:webHidden/>
          </w:rPr>
          <w:fldChar w:fldCharType="end"/>
        </w:r>
      </w:hyperlink>
    </w:p>
    <w:p w14:paraId="52636897" w14:textId="1D29BFB2"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24" w:history="1">
        <w:r w:rsidR="00BD038B" w:rsidRPr="003E7827">
          <w:rPr>
            <w:rStyle w:val="Hyperlink"/>
            <w:rFonts w:ascii="Arial" w:hAnsi="Arial" w:cs="Arial"/>
            <w:noProof/>
          </w:rPr>
          <w:t>3.3.3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tissue nutrients</w:t>
        </w:r>
        <w:r w:rsidR="00BD038B">
          <w:rPr>
            <w:noProof/>
            <w:webHidden/>
          </w:rPr>
          <w:tab/>
        </w:r>
        <w:r w:rsidR="00BD038B">
          <w:rPr>
            <w:noProof/>
            <w:webHidden/>
          </w:rPr>
          <w:fldChar w:fldCharType="begin"/>
        </w:r>
        <w:r w:rsidR="00BD038B">
          <w:rPr>
            <w:noProof/>
            <w:webHidden/>
          </w:rPr>
          <w:instrText xml:space="preserve"> PAGEREF _Toc516053124 \h </w:instrText>
        </w:r>
        <w:r w:rsidR="00BD038B">
          <w:rPr>
            <w:noProof/>
            <w:webHidden/>
          </w:rPr>
        </w:r>
        <w:r w:rsidR="00BD038B">
          <w:rPr>
            <w:noProof/>
            <w:webHidden/>
          </w:rPr>
          <w:fldChar w:fldCharType="separate"/>
        </w:r>
        <w:r w:rsidR="00F87DF9">
          <w:rPr>
            <w:noProof/>
            <w:webHidden/>
          </w:rPr>
          <w:t>19</w:t>
        </w:r>
        <w:r w:rsidR="00BD038B">
          <w:rPr>
            <w:noProof/>
            <w:webHidden/>
          </w:rPr>
          <w:fldChar w:fldCharType="end"/>
        </w:r>
      </w:hyperlink>
    </w:p>
    <w:p w14:paraId="4AB05427" w14:textId="0C97A028"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25" w:history="1">
        <w:r w:rsidR="00BD038B" w:rsidRPr="003E7827">
          <w:rPr>
            <w:rStyle w:val="Hyperlink"/>
            <w:rFonts w:ascii="Century Gothic" w:hAnsi="Century Gothic"/>
            <w:noProof/>
            <w:lang w:val="en-US"/>
          </w:rPr>
          <w:t>3.4</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lang w:val="en-US"/>
          </w:rPr>
          <w:t>Data analyses</w:t>
        </w:r>
        <w:r w:rsidR="00BD038B">
          <w:rPr>
            <w:noProof/>
            <w:webHidden/>
          </w:rPr>
          <w:tab/>
        </w:r>
        <w:r w:rsidR="00BD038B">
          <w:rPr>
            <w:noProof/>
            <w:webHidden/>
          </w:rPr>
          <w:fldChar w:fldCharType="begin"/>
        </w:r>
        <w:r w:rsidR="00BD038B">
          <w:rPr>
            <w:noProof/>
            <w:webHidden/>
          </w:rPr>
          <w:instrText xml:space="preserve"> PAGEREF _Toc516053125 \h </w:instrText>
        </w:r>
        <w:r w:rsidR="00BD038B">
          <w:rPr>
            <w:noProof/>
            <w:webHidden/>
          </w:rPr>
        </w:r>
        <w:r w:rsidR="00BD038B">
          <w:rPr>
            <w:noProof/>
            <w:webHidden/>
          </w:rPr>
          <w:fldChar w:fldCharType="separate"/>
        </w:r>
        <w:r w:rsidR="00F87DF9">
          <w:rPr>
            <w:noProof/>
            <w:webHidden/>
          </w:rPr>
          <w:t>20</w:t>
        </w:r>
        <w:r w:rsidR="00BD038B">
          <w:rPr>
            <w:noProof/>
            <w:webHidden/>
          </w:rPr>
          <w:fldChar w:fldCharType="end"/>
        </w:r>
      </w:hyperlink>
    </w:p>
    <w:p w14:paraId="69993A33" w14:textId="6D75D11E"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26" w:history="1">
        <w:r w:rsidR="00BD038B" w:rsidRPr="003E7827">
          <w:rPr>
            <w:rStyle w:val="Hyperlink"/>
            <w:rFonts w:ascii="Century Gothic" w:hAnsi="Century Gothic"/>
            <w:noProof/>
          </w:rPr>
          <w:t>3.5</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Reporting Approach</w:t>
        </w:r>
        <w:r w:rsidR="00BD038B">
          <w:rPr>
            <w:noProof/>
            <w:webHidden/>
          </w:rPr>
          <w:tab/>
        </w:r>
        <w:r w:rsidR="00BD038B">
          <w:rPr>
            <w:noProof/>
            <w:webHidden/>
          </w:rPr>
          <w:fldChar w:fldCharType="begin"/>
        </w:r>
        <w:r w:rsidR="00BD038B">
          <w:rPr>
            <w:noProof/>
            <w:webHidden/>
          </w:rPr>
          <w:instrText xml:space="preserve"> PAGEREF _Toc516053126 \h </w:instrText>
        </w:r>
        <w:r w:rsidR="00BD038B">
          <w:rPr>
            <w:noProof/>
            <w:webHidden/>
          </w:rPr>
        </w:r>
        <w:r w:rsidR="00BD038B">
          <w:rPr>
            <w:noProof/>
            <w:webHidden/>
          </w:rPr>
          <w:fldChar w:fldCharType="separate"/>
        </w:r>
        <w:r w:rsidR="00F87DF9">
          <w:rPr>
            <w:noProof/>
            <w:webHidden/>
          </w:rPr>
          <w:t>21</w:t>
        </w:r>
        <w:r w:rsidR="00BD038B">
          <w:rPr>
            <w:noProof/>
            <w:webHidden/>
          </w:rPr>
          <w:fldChar w:fldCharType="end"/>
        </w:r>
      </w:hyperlink>
    </w:p>
    <w:p w14:paraId="365AB528" w14:textId="63144A36"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27" w:history="1">
        <w:r w:rsidR="00BD038B" w:rsidRPr="003E7827">
          <w:rPr>
            <w:rStyle w:val="Hyperlink"/>
            <w:rFonts w:ascii="Century Gothic" w:hAnsi="Century Gothic"/>
            <w:noProof/>
          </w:rPr>
          <w:t>3.6</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Calculating scores for the Report card</w:t>
        </w:r>
        <w:r w:rsidR="00BD038B">
          <w:rPr>
            <w:noProof/>
            <w:webHidden/>
          </w:rPr>
          <w:tab/>
        </w:r>
        <w:r w:rsidR="00BD038B">
          <w:rPr>
            <w:noProof/>
            <w:webHidden/>
          </w:rPr>
          <w:fldChar w:fldCharType="begin"/>
        </w:r>
        <w:r w:rsidR="00BD038B">
          <w:rPr>
            <w:noProof/>
            <w:webHidden/>
          </w:rPr>
          <w:instrText xml:space="preserve"> PAGEREF _Toc516053127 \h </w:instrText>
        </w:r>
        <w:r w:rsidR="00BD038B">
          <w:rPr>
            <w:noProof/>
            <w:webHidden/>
          </w:rPr>
        </w:r>
        <w:r w:rsidR="00BD038B">
          <w:rPr>
            <w:noProof/>
            <w:webHidden/>
          </w:rPr>
          <w:fldChar w:fldCharType="separate"/>
        </w:r>
        <w:r w:rsidR="00F87DF9">
          <w:rPr>
            <w:noProof/>
            <w:webHidden/>
          </w:rPr>
          <w:t>22</w:t>
        </w:r>
        <w:r w:rsidR="00BD038B">
          <w:rPr>
            <w:noProof/>
            <w:webHidden/>
          </w:rPr>
          <w:fldChar w:fldCharType="end"/>
        </w:r>
      </w:hyperlink>
    </w:p>
    <w:p w14:paraId="50E49852" w14:textId="0ABC4DE9"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28" w:history="1">
        <w:r w:rsidR="00BD038B" w:rsidRPr="003E7827">
          <w:rPr>
            <w:rStyle w:val="Hyperlink"/>
            <w:rFonts w:ascii="Arial" w:hAnsi="Arial" w:cs="Arial"/>
            <w:noProof/>
          </w:rPr>
          <w:t>3.6.1</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abundance</w:t>
        </w:r>
        <w:r w:rsidR="00BD038B">
          <w:rPr>
            <w:noProof/>
            <w:webHidden/>
          </w:rPr>
          <w:tab/>
        </w:r>
        <w:r w:rsidR="00BD038B">
          <w:rPr>
            <w:noProof/>
            <w:webHidden/>
          </w:rPr>
          <w:fldChar w:fldCharType="begin"/>
        </w:r>
        <w:r w:rsidR="00BD038B">
          <w:rPr>
            <w:noProof/>
            <w:webHidden/>
          </w:rPr>
          <w:instrText xml:space="preserve"> PAGEREF _Toc516053128 \h </w:instrText>
        </w:r>
        <w:r w:rsidR="00BD038B">
          <w:rPr>
            <w:noProof/>
            <w:webHidden/>
          </w:rPr>
        </w:r>
        <w:r w:rsidR="00BD038B">
          <w:rPr>
            <w:noProof/>
            <w:webHidden/>
          </w:rPr>
          <w:fldChar w:fldCharType="separate"/>
        </w:r>
        <w:r w:rsidR="00F87DF9">
          <w:rPr>
            <w:noProof/>
            <w:webHidden/>
          </w:rPr>
          <w:t>22</w:t>
        </w:r>
        <w:r w:rsidR="00BD038B">
          <w:rPr>
            <w:noProof/>
            <w:webHidden/>
          </w:rPr>
          <w:fldChar w:fldCharType="end"/>
        </w:r>
      </w:hyperlink>
    </w:p>
    <w:p w14:paraId="6CB464FE" w14:textId="72697318"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29" w:history="1">
        <w:r w:rsidR="00BD038B" w:rsidRPr="003E7827">
          <w:rPr>
            <w:rStyle w:val="Hyperlink"/>
            <w:rFonts w:ascii="Arial" w:hAnsi="Arial" w:cs="Arial"/>
            <w:noProof/>
          </w:rPr>
          <w:t>3.6.2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reproductive effort</w:t>
        </w:r>
        <w:r w:rsidR="00BD038B">
          <w:rPr>
            <w:noProof/>
            <w:webHidden/>
          </w:rPr>
          <w:tab/>
        </w:r>
        <w:r w:rsidR="00BD038B">
          <w:rPr>
            <w:noProof/>
            <w:webHidden/>
          </w:rPr>
          <w:fldChar w:fldCharType="begin"/>
        </w:r>
        <w:r w:rsidR="00BD038B">
          <w:rPr>
            <w:noProof/>
            <w:webHidden/>
          </w:rPr>
          <w:instrText xml:space="preserve"> PAGEREF _Toc516053129 \h </w:instrText>
        </w:r>
        <w:r w:rsidR="00BD038B">
          <w:rPr>
            <w:noProof/>
            <w:webHidden/>
          </w:rPr>
        </w:r>
        <w:r w:rsidR="00BD038B">
          <w:rPr>
            <w:noProof/>
            <w:webHidden/>
          </w:rPr>
          <w:fldChar w:fldCharType="separate"/>
        </w:r>
        <w:r w:rsidR="00F87DF9">
          <w:rPr>
            <w:noProof/>
            <w:webHidden/>
          </w:rPr>
          <w:t>23</w:t>
        </w:r>
        <w:r w:rsidR="00BD038B">
          <w:rPr>
            <w:noProof/>
            <w:webHidden/>
          </w:rPr>
          <w:fldChar w:fldCharType="end"/>
        </w:r>
      </w:hyperlink>
    </w:p>
    <w:p w14:paraId="5F9350FE" w14:textId="623A7553"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0" w:history="1">
        <w:r w:rsidR="00BD038B" w:rsidRPr="003E7827">
          <w:rPr>
            <w:rStyle w:val="Hyperlink"/>
            <w:rFonts w:ascii="Arial" w:hAnsi="Arial" w:cs="Arial"/>
            <w:noProof/>
          </w:rPr>
          <w:t>3.6.3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nutrient status.</w:t>
        </w:r>
        <w:r w:rsidR="00BD038B">
          <w:rPr>
            <w:noProof/>
            <w:webHidden/>
          </w:rPr>
          <w:tab/>
        </w:r>
        <w:r w:rsidR="00BD038B">
          <w:rPr>
            <w:noProof/>
            <w:webHidden/>
          </w:rPr>
          <w:fldChar w:fldCharType="begin"/>
        </w:r>
        <w:r w:rsidR="00BD038B">
          <w:rPr>
            <w:noProof/>
            <w:webHidden/>
          </w:rPr>
          <w:instrText xml:space="preserve"> PAGEREF _Toc516053130 \h </w:instrText>
        </w:r>
        <w:r w:rsidR="00BD038B">
          <w:rPr>
            <w:noProof/>
            <w:webHidden/>
          </w:rPr>
        </w:r>
        <w:r w:rsidR="00BD038B">
          <w:rPr>
            <w:noProof/>
            <w:webHidden/>
          </w:rPr>
          <w:fldChar w:fldCharType="separate"/>
        </w:r>
        <w:r w:rsidR="00F87DF9">
          <w:rPr>
            <w:noProof/>
            <w:webHidden/>
          </w:rPr>
          <w:t>23</w:t>
        </w:r>
        <w:r w:rsidR="00BD038B">
          <w:rPr>
            <w:noProof/>
            <w:webHidden/>
          </w:rPr>
          <w:fldChar w:fldCharType="end"/>
        </w:r>
      </w:hyperlink>
    </w:p>
    <w:p w14:paraId="31970FB1" w14:textId="4A9000A4"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1" w:history="1">
        <w:r w:rsidR="00BD038B" w:rsidRPr="003E7827">
          <w:rPr>
            <w:rStyle w:val="Hyperlink"/>
            <w:rFonts w:ascii="Arial" w:hAnsi="Arial" w:cs="Arial"/>
            <w:noProof/>
          </w:rPr>
          <w:t>3.6.4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Seagrass index</w:t>
        </w:r>
        <w:r w:rsidR="00BD038B">
          <w:rPr>
            <w:noProof/>
            <w:webHidden/>
          </w:rPr>
          <w:tab/>
        </w:r>
        <w:r w:rsidR="00BD038B">
          <w:rPr>
            <w:noProof/>
            <w:webHidden/>
          </w:rPr>
          <w:fldChar w:fldCharType="begin"/>
        </w:r>
        <w:r w:rsidR="00BD038B">
          <w:rPr>
            <w:noProof/>
            <w:webHidden/>
          </w:rPr>
          <w:instrText xml:space="preserve"> PAGEREF _Toc516053131 \h </w:instrText>
        </w:r>
        <w:r w:rsidR="00BD038B">
          <w:rPr>
            <w:noProof/>
            <w:webHidden/>
          </w:rPr>
        </w:r>
        <w:r w:rsidR="00BD038B">
          <w:rPr>
            <w:noProof/>
            <w:webHidden/>
          </w:rPr>
          <w:fldChar w:fldCharType="separate"/>
        </w:r>
        <w:r w:rsidR="00F87DF9">
          <w:rPr>
            <w:noProof/>
            <w:webHidden/>
          </w:rPr>
          <w:t>24</w:t>
        </w:r>
        <w:r w:rsidR="00BD038B">
          <w:rPr>
            <w:noProof/>
            <w:webHidden/>
          </w:rPr>
          <w:fldChar w:fldCharType="end"/>
        </w:r>
      </w:hyperlink>
    </w:p>
    <w:p w14:paraId="0B41D6F7" w14:textId="5F0509C9" w:rsidR="00BD038B" w:rsidRDefault="00D05880">
      <w:pPr>
        <w:pStyle w:val="TOC1"/>
        <w:tabs>
          <w:tab w:val="left" w:pos="440"/>
        </w:tabs>
        <w:rPr>
          <w:rFonts w:eastAsiaTheme="minorEastAsia" w:cstheme="minorBidi"/>
          <w:b w:val="0"/>
          <w:bCs w:val="0"/>
          <w:caps w:val="0"/>
          <w:noProof/>
          <w:sz w:val="22"/>
          <w:szCs w:val="22"/>
          <w:lang w:eastAsia="en-AU"/>
        </w:rPr>
      </w:pPr>
      <w:hyperlink w:anchor="_Toc516053132" w:history="1">
        <w:r w:rsidR="00BD038B" w:rsidRPr="003E7827">
          <w:rPr>
            <w:rStyle w:val="Hyperlink"/>
            <w:rFonts w:ascii="Century Gothic" w:hAnsi="Century Gothic"/>
            <w:noProof/>
          </w:rPr>
          <w:t>4</w:t>
        </w:r>
        <w:r w:rsidR="00BD038B">
          <w:rPr>
            <w:rFonts w:eastAsiaTheme="minorEastAsia" w:cstheme="minorBidi"/>
            <w:b w:val="0"/>
            <w:bCs w:val="0"/>
            <w:caps w:val="0"/>
            <w:noProof/>
            <w:sz w:val="22"/>
            <w:szCs w:val="22"/>
            <w:lang w:eastAsia="en-AU"/>
          </w:rPr>
          <w:tab/>
        </w:r>
        <w:r w:rsidR="00BD038B" w:rsidRPr="003E7827">
          <w:rPr>
            <w:rStyle w:val="Hyperlink"/>
            <w:rFonts w:ascii="Century Gothic" w:hAnsi="Century Gothic"/>
            <w:noProof/>
          </w:rPr>
          <w:t>Results &amp; Discussion</w:t>
        </w:r>
        <w:r w:rsidR="00BD038B">
          <w:rPr>
            <w:noProof/>
            <w:webHidden/>
          </w:rPr>
          <w:tab/>
        </w:r>
        <w:r w:rsidR="00BD038B">
          <w:rPr>
            <w:noProof/>
            <w:webHidden/>
          </w:rPr>
          <w:fldChar w:fldCharType="begin"/>
        </w:r>
        <w:r w:rsidR="00BD038B">
          <w:rPr>
            <w:noProof/>
            <w:webHidden/>
          </w:rPr>
          <w:instrText xml:space="preserve"> PAGEREF _Toc516053132 \h </w:instrText>
        </w:r>
        <w:r w:rsidR="00BD038B">
          <w:rPr>
            <w:noProof/>
            <w:webHidden/>
          </w:rPr>
        </w:r>
        <w:r w:rsidR="00BD038B">
          <w:rPr>
            <w:noProof/>
            <w:webHidden/>
          </w:rPr>
          <w:fldChar w:fldCharType="separate"/>
        </w:r>
        <w:r w:rsidR="00F87DF9">
          <w:rPr>
            <w:noProof/>
            <w:webHidden/>
          </w:rPr>
          <w:t>25</w:t>
        </w:r>
        <w:r w:rsidR="00BD038B">
          <w:rPr>
            <w:noProof/>
            <w:webHidden/>
          </w:rPr>
          <w:fldChar w:fldCharType="end"/>
        </w:r>
      </w:hyperlink>
    </w:p>
    <w:p w14:paraId="77E07727" w14:textId="66DF13D0"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33" w:history="1">
        <w:r w:rsidR="00BD038B" w:rsidRPr="003E7827">
          <w:rPr>
            <w:rStyle w:val="Hyperlink"/>
            <w:rFonts w:ascii="Century Gothic" w:hAnsi="Century Gothic"/>
            <w:noProof/>
          </w:rPr>
          <w:t>4.1</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GBR-wide Summary</w:t>
        </w:r>
        <w:r w:rsidR="00BD038B">
          <w:rPr>
            <w:noProof/>
            <w:webHidden/>
          </w:rPr>
          <w:tab/>
        </w:r>
        <w:r w:rsidR="00BD038B">
          <w:rPr>
            <w:noProof/>
            <w:webHidden/>
          </w:rPr>
          <w:fldChar w:fldCharType="begin"/>
        </w:r>
        <w:r w:rsidR="00BD038B">
          <w:rPr>
            <w:noProof/>
            <w:webHidden/>
          </w:rPr>
          <w:instrText xml:space="preserve"> PAGEREF _Toc516053133 \h </w:instrText>
        </w:r>
        <w:r w:rsidR="00BD038B">
          <w:rPr>
            <w:noProof/>
            <w:webHidden/>
          </w:rPr>
        </w:r>
        <w:r w:rsidR="00BD038B">
          <w:rPr>
            <w:noProof/>
            <w:webHidden/>
          </w:rPr>
          <w:fldChar w:fldCharType="separate"/>
        </w:r>
        <w:r w:rsidR="00F87DF9">
          <w:rPr>
            <w:noProof/>
            <w:webHidden/>
          </w:rPr>
          <w:t>26</w:t>
        </w:r>
        <w:r w:rsidR="00BD038B">
          <w:rPr>
            <w:noProof/>
            <w:webHidden/>
          </w:rPr>
          <w:fldChar w:fldCharType="end"/>
        </w:r>
      </w:hyperlink>
    </w:p>
    <w:p w14:paraId="7948008F" w14:textId="2871E128"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4" w:history="1">
        <w:r w:rsidR="00BD038B" w:rsidRPr="003E7827">
          <w:rPr>
            <w:rStyle w:val="Hyperlink"/>
            <w:rFonts w:ascii="Arial" w:hAnsi="Arial" w:cs="Arial"/>
            <w:noProof/>
          </w:rPr>
          <w:t>4.1.1</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_Toc516053134 \h </w:instrText>
        </w:r>
        <w:r w:rsidR="00BD038B">
          <w:rPr>
            <w:noProof/>
            <w:webHidden/>
          </w:rPr>
        </w:r>
        <w:r w:rsidR="00BD038B">
          <w:rPr>
            <w:noProof/>
            <w:webHidden/>
          </w:rPr>
          <w:fldChar w:fldCharType="separate"/>
        </w:r>
        <w:r w:rsidR="00F87DF9">
          <w:rPr>
            <w:noProof/>
            <w:webHidden/>
          </w:rPr>
          <w:t>28</w:t>
        </w:r>
        <w:r w:rsidR="00BD038B">
          <w:rPr>
            <w:noProof/>
            <w:webHidden/>
          </w:rPr>
          <w:fldChar w:fldCharType="end"/>
        </w:r>
      </w:hyperlink>
    </w:p>
    <w:p w14:paraId="5A4A75A5" w14:textId="6F4DFD68"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5" w:history="1">
        <w:r w:rsidR="00BD038B" w:rsidRPr="003E7827">
          <w:rPr>
            <w:rStyle w:val="Hyperlink"/>
            <w:rFonts w:ascii="Arial" w:hAnsi="Arial" w:cs="Arial"/>
            <w:noProof/>
          </w:rPr>
          <w:t>4.1.2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_Toc516053135 \h </w:instrText>
        </w:r>
        <w:r w:rsidR="00BD038B">
          <w:rPr>
            <w:noProof/>
            <w:webHidden/>
          </w:rPr>
        </w:r>
        <w:r w:rsidR="00BD038B">
          <w:rPr>
            <w:noProof/>
            <w:webHidden/>
          </w:rPr>
          <w:fldChar w:fldCharType="separate"/>
        </w:r>
        <w:r w:rsidR="00F87DF9">
          <w:rPr>
            <w:noProof/>
            <w:webHidden/>
          </w:rPr>
          <w:t>36</w:t>
        </w:r>
        <w:r w:rsidR="00BD038B">
          <w:rPr>
            <w:noProof/>
            <w:webHidden/>
          </w:rPr>
          <w:fldChar w:fldCharType="end"/>
        </w:r>
      </w:hyperlink>
    </w:p>
    <w:p w14:paraId="759012FB" w14:textId="6C97E839"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6" w:history="1">
        <w:r w:rsidR="00BD038B" w:rsidRPr="003E7827">
          <w:rPr>
            <w:rStyle w:val="Hyperlink"/>
            <w:rFonts w:ascii="Arial" w:hAnsi="Arial" w:cs="Arial"/>
            <w:noProof/>
          </w:rPr>
          <w:t>4.1.3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_Toc516053136 \h </w:instrText>
        </w:r>
        <w:r w:rsidR="00BD038B">
          <w:rPr>
            <w:noProof/>
            <w:webHidden/>
          </w:rPr>
        </w:r>
        <w:r w:rsidR="00BD038B">
          <w:rPr>
            <w:noProof/>
            <w:webHidden/>
          </w:rPr>
          <w:fldChar w:fldCharType="separate"/>
        </w:r>
        <w:r w:rsidR="00F87DF9">
          <w:rPr>
            <w:noProof/>
            <w:webHidden/>
          </w:rPr>
          <w:t>41</w:t>
        </w:r>
        <w:r w:rsidR="00BD038B">
          <w:rPr>
            <w:noProof/>
            <w:webHidden/>
          </w:rPr>
          <w:fldChar w:fldCharType="end"/>
        </w:r>
      </w:hyperlink>
    </w:p>
    <w:p w14:paraId="3335116F" w14:textId="258AAC4A"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37" w:history="1">
        <w:r w:rsidR="00BD038B" w:rsidRPr="003E7827">
          <w:rPr>
            <w:rStyle w:val="Hyperlink"/>
            <w:rFonts w:ascii="Century Gothic" w:hAnsi="Century Gothic"/>
            <w:noProof/>
          </w:rPr>
          <w:t>4.2</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Cape York</w:t>
        </w:r>
        <w:r w:rsidR="00BD038B">
          <w:rPr>
            <w:noProof/>
            <w:webHidden/>
          </w:rPr>
          <w:tab/>
        </w:r>
        <w:r w:rsidR="00BD038B">
          <w:rPr>
            <w:noProof/>
            <w:webHidden/>
          </w:rPr>
          <w:fldChar w:fldCharType="begin"/>
        </w:r>
        <w:r w:rsidR="00BD038B">
          <w:rPr>
            <w:noProof/>
            <w:webHidden/>
          </w:rPr>
          <w:instrText xml:space="preserve"> PAGEREF _Toc516053137 \h </w:instrText>
        </w:r>
        <w:r w:rsidR="00BD038B">
          <w:rPr>
            <w:noProof/>
            <w:webHidden/>
          </w:rPr>
        </w:r>
        <w:r w:rsidR="00BD038B">
          <w:rPr>
            <w:noProof/>
            <w:webHidden/>
          </w:rPr>
          <w:fldChar w:fldCharType="separate"/>
        </w:r>
        <w:r w:rsidR="00F87DF9">
          <w:rPr>
            <w:noProof/>
            <w:webHidden/>
          </w:rPr>
          <w:t>47</w:t>
        </w:r>
        <w:r w:rsidR="00BD038B">
          <w:rPr>
            <w:noProof/>
            <w:webHidden/>
          </w:rPr>
          <w:fldChar w:fldCharType="end"/>
        </w:r>
      </w:hyperlink>
    </w:p>
    <w:p w14:paraId="15EA98AF" w14:textId="3EF2859C"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8" w:history="1">
        <w:r w:rsidR="00BD038B" w:rsidRPr="003E7827">
          <w:rPr>
            <w:rStyle w:val="Hyperlink"/>
            <w:rFonts w:ascii="Arial" w:hAnsi="Arial" w:cs="Arial"/>
            <w:noProof/>
          </w:rPr>
          <w:t>4.2.1</w:t>
        </w:r>
        <w:r w:rsidR="00BD038B">
          <w:rPr>
            <w:rFonts w:eastAsiaTheme="minorEastAsia" w:cstheme="minorBidi"/>
            <w:i w:val="0"/>
            <w:iCs w:val="0"/>
            <w:noProof/>
            <w:sz w:val="22"/>
            <w:szCs w:val="22"/>
            <w:lang w:eastAsia="en-AU"/>
          </w:rPr>
          <w:tab/>
        </w:r>
        <w:r w:rsidR="008574EC">
          <w:rPr>
            <w:rStyle w:val="Hyperlink"/>
            <w:rFonts w:ascii="Arial" w:hAnsi="Arial" w:cs="Arial"/>
            <w:noProof/>
          </w:rPr>
          <w:t>2016–17</w:t>
        </w:r>
        <w:r w:rsidR="00BD038B" w:rsidRPr="003E7827">
          <w:rPr>
            <w:rStyle w:val="Hyperlink"/>
            <w:rFonts w:ascii="Arial" w:hAnsi="Arial" w:cs="Arial"/>
            <w:noProof/>
          </w:rPr>
          <w:t xml:space="preserve"> Summary</w:t>
        </w:r>
        <w:r w:rsidR="00BD038B">
          <w:rPr>
            <w:noProof/>
            <w:webHidden/>
          </w:rPr>
          <w:tab/>
        </w:r>
        <w:r w:rsidR="00BD038B">
          <w:rPr>
            <w:noProof/>
            <w:webHidden/>
          </w:rPr>
          <w:fldChar w:fldCharType="begin"/>
        </w:r>
        <w:r w:rsidR="00BD038B">
          <w:rPr>
            <w:noProof/>
            <w:webHidden/>
          </w:rPr>
          <w:instrText xml:space="preserve"> PAGEREF _Toc516053138 \h </w:instrText>
        </w:r>
        <w:r w:rsidR="00BD038B">
          <w:rPr>
            <w:noProof/>
            <w:webHidden/>
          </w:rPr>
        </w:r>
        <w:r w:rsidR="00BD038B">
          <w:rPr>
            <w:noProof/>
            <w:webHidden/>
          </w:rPr>
          <w:fldChar w:fldCharType="separate"/>
        </w:r>
        <w:r w:rsidR="00F87DF9">
          <w:rPr>
            <w:noProof/>
            <w:webHidden/>
          </w:rPr>
          <w:t>47</w:t>
        </w:r>
        <w:r w:rsidR="00BD038B">
          <w:rPr>
            <w:noProof/>
            <w:webHidden/>
          </w:rPr>
          <w:fldChar w:fldCharType="end"/>
        </w:r>
      </w:hyperlink>
    </w:p>
    <w:p w14:paraId="63F01E61" w14:textId="384C3EA9"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39" w:history="1">
        <w:r w:rsidR="00BD038B" w:rsidRPr="003E7827">
          <w:rPr>
            <w:rStyle w:val="Hyperlink"/>
            <w:rFonts w:ascii="Arial" w:hAnsi="Arial" w:cs="Arial"/>
            <w:noProof/>
          </w:rPr>
          <w:t>4.2.2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_Toc516053139 \h </w:instrText>
        </w:r>
        <w:r w:rsidR="00BD038B">
          <w:rPr>
            <w:noProof/>
            <w:webHidden/>
          </w:rPr>
        </w:r>
        <w:r w:rsidR="00BD038B">
          <w:rPr>
            <w:noProof/>
            <w:webHidden/>
          </w:rPr>
          <w:fldChar w:fldCharType="separate"/>
        </w:r>
        <w:r w:rsidR="00F87DF9">
          <w:rPr>
            <w:noProof/>
            <w:webHidden/>
          </w:rPr>
          <w:t>48</w:t>
        </w:r>
        <w:r w:rsidR="00BD038B">
          <w:rPr>
            <w:noProof/>
            <w:webHidden/>
          </w:rPr>
          <w:fldChar w:fldCharType="end"/>
        </w:r>
      </w:hyperlink>
    </w:p>
    <w:p w14:paraId="0DCA60E8" w14:textId="61C37C49"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0" w:history="1">
        <w:r w:rsidR="00BD038B" w:rsidRPr="003E7827">
          <w:rPr>
            <w:rStyle w:val="Hyperlink"/>
            <w:rFonts w:ascii="Arial" w:hAnsi="Arial" w:cs="Arial"/>
            <w:noProof/>
          </w:rPr>
          <w:t>4.2.3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_Toc516053140 \h </w:instrText>
        </w:r>
        <w:r w:rsidR="00BD038B">
          <w:rPr>
            <w:noProof/>
            <w:webHidden/>
          </w:rPr>
        </w:r>
        <w:r w:rsidR="00BD038B">
          <w:rPr>
            <w:noProof/>
            <w:webHidden/>
          </w:rPr>
          <w:fldChar w:fldCharType="separate"/>
        </w:r>
        <w:r w:rsidR="00F87DF9">
          <w:rPr>
            <w:noProof/>
            <w:webHidden/>
          </w:rPr>
          <w:t>50</w:t>
        </w:r>
        <w:r w:rsidR="00BD038B">
          <w:rPr>
            <w:noProof/>
            <w:webHidden/>
          </w:rPr>
          <w:fldChar w:fldCharType="end"/>
        </w:r>
      </w:hyperlink>
    </w:p>
    <w:p w14:paraId="27F46CD0" w14:textId="187D82A6"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1" w:history="1">
        <w:r w:rsidR="00BD038B" w:rsidRPr="003E7827">
          <w:rPr>
            <w:rStyle w:val="Hyperlink"/>
            <w:rFonts w:ascii="Arial" w:hAnsi="Arial" w:cs="Arial"/>
            <w:noProof/>
          </w:rPr>
          <w:t>4.2.4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_Toc516053141 \h </w:instrText>
        </w:r>
        <w:r w:rsidR="00BD038B">
          <w:rPr>
            <w:noProof/>
            <w:webHidden/>
          </w:rPr>
        </w:r>
        <w:r w:rsidR="00BD038B">
          <w:rPr>
            <w:noProof/>
            <w:webHidden/>
          </w:rPr>
          <w:fldChar w:fldCharType="separate"/>
        </w:r>
        <w:r w:rsidR="00F87DF9">
          <w:rPr>
            <w:noProof/>
            <w:webHidden/>
          </w:rPr>
          <w:t>54</w:t>
        </w:r>
        <w:r w:rsidR="00BD038B">
          <w:rPr>
            <w:noProof/>
            <w:webHidden/>
          </w:rPr>
          <w:fldChar w:fldCharType="end"/>
        </w:r>
      </w:hyperlink>
    </w:p>
    <w:p w14:paraId="66FF3ACE" w14:textId="718C30C2"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2" w:history="1">
        <w:r w:rsidR="00BD038B" w:rsidRPr="003E7827">
          <w:rPr>
            <w:rStyle w:val="Hyperlink"/>
            <w:rFonts w:ascii="Arial" w:hAnsi="Arial" w:cs="Arial"/>
            <w:noProof/>
          </w:rPr>
          <w:t>4.2.5</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Report card for inshore seagrass status</w:t>
        </w:r>
        <w:r w:rsidR="00BD038B">
          <w:rPr>
            <w:noProof/>
            <w:webHidden/>
          </w:rPr>
          <w:tab/>
        </w:r>
        <w:r w:rsidR="00BD038B">
          <w:rPr>
            <w:noProof/>
            <w:webHidden/>
          </w:rPr>
          <w:fldChar w:fldCharType="begin"/>
        </w:r>
        <w:r w:rsidR="00BD038B">
          <w:rPr>
            <w:noProof/>
            <w:webHidden/>
          </w:rPr>
          <w:instrText xml:space="preserve"> PAGEREF _Toc516053142 \h </w:instrText>
        </w:r>
        <w:r w:rsidR="00BD038B">
          <w:rPr>
            <w:noProof/>
            <w:webHidden/>
          </w:rPr>
        </w:r>
        <w:r w:rsidR="00BD038B">
          <w:rPr>
            <w:noProof/>
            <w:webHidden/>
          </w:rPr>
          <w:fldChar w:fldCharType="separate"/>
        </w:r>
        <w:r w:rsidR="00F87DF9">
          <w:rPr>
            <w:noProof/>
            <w:webHidden/>
          </w:rPr>
          <w:t>56</w:t>
        </w:r>
        <w:r w:rsidR="00BD038B">
          <w:rPr>
            <w:noProof/>
            <w:webHidden/>
          </w:rPr>
          <w:fldChar w:fldCharType="end"/>
        </w:r>
      </w:hyperlink>
    </w:p>
    <w:p w14:paraId="687FE978" w14:textId="2E88FFCA"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43" w:history="1">
        <w:r w:rsidR="00BD038B" w:rsidRPr="003E7827">
          <w:rPr>
            <w:rStyle w:val="Hyperlink"/>
            <w:rFonts w:ascii="Century Gothic" w:hAnsi="Century Gothic"/>
            <w:noProof/>
          </w:rPr>
          <w:t>5.1</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Wet Tropics</w:t>
        </w:r>
        <w:r w:rsidR="00BD038B">
          <w:rPr>
            <w:noProof/>
            <w:webHidden/>
          </w:rPr>
          <w:tab/>
        </w:r>
        <w:r w:rsidR="00BD038B">
          <w:rPr>
            <w:noProof/>
            <w:webHidden/>
          </w:rPr>
          <w:fldChar w:fldCharType="begin"/>
        </w:r>
        <w:r w:rsidR="00BD038B">
          <w:rPr>
            <w:noProof/>
            <w:webHidden/>
          </w:rPr>
          <w:instrText xml:space="preserve"> PAGEREF _Toc516053143 \h </w:instrText>
        </w:r>
        <w:r w:rsidR="00BD038B">
          <w:rPr>
            <w:noProof/>
            <w:webHidden/>
          </w:rPr>
        </w:r>
        <w:r w:rsidR="00BD038B">
          <w:rPr>
            <w:noProof/>
            <w:webHidden/>
          </w:rPr>
          <w:fldChar w:fldCharType="separate"/>
        </w:r>
        <w:r w:rsidR="00F87DF9">
          <w:rPr>
            <w:noProof/>
            <w:webHidden/>
          </w:rPr>
          <w:t>58</w:t>
        </w:r>
        <w:r w:rsidR="00BD038B">
          <w:rPr>
            <w:noProof/>
            <w:webHidden/>
          </w:rPr>
          <w:fldChar w:fldCharType="end"/>
        </w:r>
      </w:hyperlink>
    </w:p>
    <w:p w14:paraId="0E2C8B5F" w14:textId="78FC91E0"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4" w:history="1">
        <w:r w:rsidR="00BD038B" w:rsidRPr="003E7827">
          <w:rPr>
            <w:rStyle w:val="Hyperlink"/>
            <w:rFonts w:ascii="Arial" w:hAnsi="Arial" w:cs="Arial"/>
            <w:noProof/>
          </w:rPr>
          <w:t>5.1.1</w:t>
        </w:r>
        <w:r w:rsidR="00BD038B">
          <w:rPr>
            <w:rFonts w:eastAsiaTheme="minorEastAsia" w:cstheme="minorBidi"/>
            <w:i w:val="0"/>
            <w:iCs w:val="0"/>
            <w:noProof/>
            <w:sz w:val="22"/>
            <w:szCs w:val="22"/>
            <w:lang w:eastAsia="en-AU"/>
          </w:rPr>
          <w:tab/>
        </w:r>
        <w:r w:rsidR="008574EC">
          <w:rPr>
            <w:rStyle w:val="Hyperlink"/>
            <w:rFonts w:ascii="Arial" w:hAnsi="Arial" w:cs="Arial"/>
            <w:noProof/>
          </w:rPr>
          <w:t>2016–17</w:t>
        </w:r>
        <w:r w:rsidR="00BD038B" w:rsidRPr="003E7827">
          <w:rPr>
            <w:rStyle w:val="Hyperlink"/>
            <w:rFonts w:ascii="Arial" w:hAnsi="Arial" w:cs="Arial"/>
            <w:noProof/>
          </w:rPr>
          <w:t xml:space="preserve"> Summary</w:t>
        </w:r>
        <w:r w:rsidR="00BD038B">
          <w:rPr>
            <w:noProof/>
            <w:webHidden/>
          </w:rPr>
          <w:tab/>
        </w:r>
        <w:r w:rsidR="00BD038B">
          <w:rPr>
            <w:noProof/>
            <w:webHidden/>
          </w:rPr>
          <w:fldChar w:fldCharType="begin"/>
        </w:r>
        <w:r w:rsidR="00BD038B">
          <w:rPr>
            <w:noProof/>
            <w:webHidden/>
          </w:rPr>
          <w:instrText xml:space="preserve"> PAGEREF _Toc516053144 \h </w:instrText>
        </w:r>
        <w:r w:rsidR="00BD038B">
          <w:rPr>
            <w:noProof/>
            <w:webHidden/>
          </w:rPr>
        </w:r>
        <w:r w:rsidR="00BD038B">
          <w:rPr>
            <w:noProof/>
            <w:webHidden/>
          </w:rPr>
          <w:fldChar w:fldCharType="separate"/>
        </w:r>
        <w:r w:rsidR="00F87DF9">
          <w:rPr>
            <w:noProof/>
            <w:webHidden/>
          </w:rPr>
          <w:t>58</w:t>
        </w:r>
        <w:r w:rsidR="00BD038B">
          <w:rPr>
            <w:noProof/>
            <w:webHidden/>
          </w:rPr>
          <w:fldChar w:fldCharType="end"/>
        </w:r>
      </w:hyperlink>
    </w:p>
    <w:p w14:paraId="5DEB68C4" w14:textId="3C2FE3BF"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5" w:history="1">
        <w:r w:rsidR="00BD038B" w:rsidRPr="003E7827">
          <w:rPr>
            <w:rStyle w:val="Hyperlink"/>
            <w:rFonts w:ascii="Arial" w:hAnsi="Arial" w:cs="Arial"/>
            <w:noProof/>
          </w:rPr>
          <w:t>5.1.2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_Toc516053145 \h </w:instrText>
        </w:r>
        <w:r w:rsidR="00BD038B">
          <w:rPr>
            <w:noProof/>
            <w:webHidden/>
          </w:rPr>
        </w:r>
        <w:r w:rsidR="00BD038B">
          <w:rPr>
            <w:noProof/>
            <w:webHidden/>
          </w:rPr>
          <w:fldChar w:fldCharType="separate"/>
        </w:r>
        <w:r w:rsidR="00F87DF9">
          <w:rPr>
            <w:noProof/>
            <w:webHidden/>
          </w:rPr>
          <w:t>59</w:t>
        </w:r>
        <w:r w:rsidR="00BD038B">
          <w:rPr>
            <w:noProof/>
            <w:webHidden/>
          </w:rPr>
          <w:fldChar w:fldCharType="end"/>
        </w:r>
      </w:hyperlink>
    </w:p>
    <w:p w14:paraId="2B1F1C51" w14:textId="1963DD38"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6" w:history="1">
        <w:r w:rsidR="00BD038B" w:rsidRPr="003E7827">
          <w:rPr>
            <w:rStyle w:val="Hyperlink"/>
            <w:rFonts w:ascii="Arial" w:hAnsi="Arial" w:cs="Arial"/>
            <w:noProof/>
          </w:rPr>
          <w:t>5.1.3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_Toc516053146 \h </w:instrText>
        </w:r>
        <w:r w:rsidR="00BD038B">
          <w:rPr>
            <w:noProof/>
            <w:webHidden/>
          </w:rPr>
        </w:r>
        <w:r w:rsidR="00BD038B">
          <w:rPr>
            <w:noProof/>
            <w:webHidden/>
          </w:rPr>
          <w:fldChar w:fldCharType="separate"/>
        </w:r>
        <w:r w:rsidR="00F87DF9">
          <w:rPr>
            <w:noProof/>
            <w:webHidden/>
          </w:rPr>
          <w:t>61</w:t>
        </w:r>
        <w:r w:rsidR="00BD038B">
          <w:rPr>
            <w:noProof/>
            <w:webHidden/>
          </w:rPr>
          <w:fldChar w:fldCharType="end"/>
        </w:r>
      </w:hyperlink>
    </w:p>
    <w:p w14:paraId="638E2597" w14:textId="23C7DC50"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7" w:history="1">
        <w:r w:rsidR="00BD038B" w:rsidRPr="003E7827">
          <w:rPr>
            <w:rStyle w:val="Hyperlink"/>
            <w:rFonts w:ascii="Arial" w:hAnsi="Arial" w:cs="Arial"/>
            <w:noProof/>
          </w:rPr>
          <w:t>5.1.4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_Toc516053147 \h </w:instrText>
        </w:r>
        <w:r w:rsidR="00BD038B">
          <w:rPr>
            <w:noProof/>
            <w:webHidden/>
          </w:rPr>
        </w:r>
        <w:r w:rsidR="00BD038B">
          <w:rPr>
            <w:noProof/>
            <w:webHidden/>
          </w:rPr>
          <w:fldChar w:fldCharType="separate"/>
        </w:r>
        <w:r w:rsidR="00F87DF9">
          <w:rPr>
            <w:noProof/>
            <w:webHidden/>
          </w:rPr>
          <w:t>67</w:t>
        </w:r>
        <w:r w:rsidR="00BD038B">
          <w:rPr>
            <w:noProof/>
            <w:webHidden/>
          </w:rPr>
          <w:fldChar w:fldCharType="end"/>
        </w:r>
      </w:hyperlink>
    </w:p>
    <w:p w14:paraId="5F450DB6" w14:textId="66F5C747"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48" w:history="1">
        <w:r w:rsidR="00BD038B" w:rsidRPr="003E7827">
          <w:rPr>
            <w:rStyle w:val="Hyperlink"/>
            <w:rFonts w:ascii="Arial" w:hAnsi="Arial" w:cs="Arial"/>
            <w:noProof/>
          </w:rPr>
          <w:t>5.1.5</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Report card for inshore seagrass status</w:t>
        </w:r>
        <w:r w:rsidR="00BD038B">
          <w:rPr>
            <w:noProof/>
            <w:webHidden/>
          </w:rPr>
          <w:tab/>
        </w:r>
        <w:r w:rsidR="00BD038B">
          <w:rPr>
            <w:noProof/>
            <w:webHidden/>
          </w:rPr>
          <w:fldChar w:fldCharType="begin"/>
        </w:r>
        <w:r w:rsidR="00BD038B">
          <w:rPr>
            <w:noProof/>
            <w:webHidden/>
          </w:rPr>
          <w:instrText xml:space="preserve"> PAGEREF _Toc516053148 \h </w:instrText>
        </w:r>
        <w:r w:rsidR="00BD038B">
          <w:rPr>
            <w:noProof/>
            <w:webHidden/>
          </w:rPr>
        </w:r>
        <w:r w:rsidR="00BD038B">
          <w:rPr>
            <w:noProof/>
            <w:webHidden/>
          </w:rPr>
          <w:fldChar w:fldCharType="separate"/>
        </w:r>
        <w:r w:rsidR="00F87DF9">
          <w:rPr>
            <w:noProof/>
            <w:webHidden/>
          </w:rPr>
          <w:t>69</w:t>
        </w:r>
        <w:r w:rsidR="00BD038B">
          <w:rPr>
            <w:noProof/>
            <w:webHidden/>
          </w:rPr>
          <w:fldChar w:fldCharType="end"/>
        </w:r>
      </w:hyperlink>
    </w:p>
    <w:p w14:paraId="772BE29E" w14:textId="34701165"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49" w:history="1">
        <w:r w:rsidR="00BD038B" w:rsidRPr="003E7827">
          <w:rPr>
            <w:rStyle w:val="Hyperlink"/>
            <w:rFonts w:ascii="Century Gothic" w:hAnsi="Century Gothic"/>
            <w:noProof/>
          </w:rPr>
          <w:t>5.2</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Burdekin</w:t>
        </w:r>
        <w:r w:rsidR="00BD038B">
          <w:rPr>
            <w:noProof/>
            <w:webHidden/>
          </w:rPr>
          <w:tab/>
        </w:r>
        <w:r w:rsidR="00BD038B">
          <w:rPr>
            <w:noProof/>
            <w:webHidden/>
          </w:rPr>
          <w:fldChar w:fldCharType="begin"/>
        </w:r>
        <w:r w:rsidR="00BD038B">
          <w:rPr>
            <w:noProof/>
            <w:webHidden/>
          </w:rPr>
          <w:instrText xml:space="preserve"> PAGEREF _Toc516053149 \h </w:instrText>
        </w:r>
        <w:r w:rsidR="00BD038B">
          <w:rPr>
            <w:noProof/>
            <w:webHidden/>
          </w:rPr>
        </w:r>
        <w:r w:rsidR="00BD038B">
          <w:rPr>
            <w:noProof/>
            <w:webHidden/>
          </w:rPr>
          <w:fldChar w:fldCharType="separate"/>
        </w:r>
        <w:r w:rsidR="00F87DF9">
          <w:rPr>
            <w:noProof/>
            <w:webHidden/>
          </w:rPr>
          <w:t>71</w:t>
        </w:r>
        <w:r w:rsidR="00BD038B">
          <w:rPr>
            <w:noProof/>
            <w:webHidden/>
          </w:rPr>
          <w:fldChar w:fldCharType="end"/>
        </w:r>
      </w:hyperlink>
    </w:p>
    <w:p w14:paraId="69A1CFFE" w14:textId="0C754746"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0" w:history="1">
        <w:r w:rsidR="00BD038B" w:rsidRPr="003E7827">
          <w:rPr>
            <w:rStyle w:val="Hyperlink"/>
            <w:rFonts w:ascii="Arial" w:hAnsi="Arial" w:cs="Arial"/>
            <w:noProof/>
          </w:rPr>
          <w:t>5.2.1</w:t>
        </w:r>
        <w:r w:rsidR="00BD038B">
          <w:rPr>
            <w:rFonts w:eastAsiaTheme="minorEastAsia" w:cstheme="minorBidi"/>
            <w:i w:val="0"/>
            <w:iCs w:val="0"/>
            <w:noProof/>
            <w:sz w:val="22"/>
            <w:szCs w:val="22"/>
            <w:lang w:eastAsia="en-AU"/>
          </w:rPr>
          <w:tab/>
        </w:r>
        <w:r w:rsidR="008574EC">
          <w:rPr>
            <w:rStyle w:val="Hyperlink"/>
            <w:rFonts w:ascii="Arial" w:hAnsi="Arial" w:cs="Arial"/>
            <w:noProof/>
          </w:rPr>
          <w:t>2016–17</w:t>
        </w:r>
        <w:r w:rsidR="00BD038B" w:rsidRPr="003E7827">
          <w:rPr>
            <w:rStyle w:val="Hyperlink"/>
            <w:rFonts w:ascii="Arial" w:hAnsi="Arial" w:cs="Arial"/>
            <w:noProof/>
          </w:rPr>
          <w:t xml:space="preserve"> Summary</w:t>
        </w:r>
        <w:r w:rsidR="00BD038B">
          <w:rPr>
            <w:noProof/>
            <w:webHidden/>
          </w:rPr>
          <w:tab/>
        </w:r>
        <w:r w:rsidR="00BD038B">
          <w:rPr>
            <w:noProof/>
            <w:webHidden/>
          </w:rPr>
          <w:fldChar w:fldCharType="begin"/>
        </w:r>
        <w:r w:rsidR="00BD038B">
          <w:rPr>
            <w:noProof/>
            <w:webHidden/>
          </w:rPr>
          <w:instrText xml:space="preserve"> PAGEREF _Toc516053150 \h </w:instrText>
        </w:r>
        <w:r w:rsidR="00BD038B">
          <w:rPr>
            <w:noProof/>
            <w:webHidden/>
          </w:rPr>
        </w:r>
        <w:r w:rsidR="00BD038B">
          <w:rPr>
            <w:noProof/>
            <w:webHidden/>
          </w:rPr>
          <w:fldChar w:fldCharType="separate"/>
        </w:r>
        <w:r w:rsidR="00F87DF9">
          <w:rPr>
            <w:noProof/>
            <w:webHidden/>
          </w:rPr>
          <w:t>71</w:t>
        </w:r>
        <w:r w:rsidR="00BD038B">
          <w:rPr>
            <w:noProof/>
            <w:webHidden/>
          </w:rPr>
          <w:fldChar w:fldCharType="end"/>
        </w:r>
      </w:hyperlink>
    </w:p>
    <w:p w14:paraId="7FB52234" w14:textId="75338F3C"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1" w:history="1">
        <w:r w:rsidR="00BD038B" w:rsidRPr="003E7827">
          <w:rPr>
            <w:rStyle w:val="Hyperlink"/>
            <w:rFonts w:ascii="Arial" w:hAnsi="Arial" w:cs="Arial"/>
            <w:noProof/>
          </w:rPr>
          <w:t>5.2.2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_Toc516053151 \h </w:instrText>
        </w:r>
        <w:r w:rsidR="00BD038B">
          <w:rPr>
            <w:noProof/>
            <w:webHidden/>
          </w:rPr>
        </w:r>
        <w:r w:rsidR="00BD038B">
          <w:rPr>
            <w:noProof/>
            <w:webHidden/>
          </w:rPr>
          <w:fldChar w:fldCharType="separate"/>
        </w:r>
        <w:r w:rsidR="00F87DF9">
          <w:rPr>
            <w:noProof/>
            <w:webHidden/>
          </w:rPr>
          <w:t>72</w:t>
        </w:r>
        <w:r w:rsidR="00BD038B">
          <w:rPr>
            <w:noProof/>
            <w:webHidden/>
          </w:rPr>
          <w:fldChar w:fldCharType="end"/>
        </w:r>
      </w:hyperlink>
    </w:p>
    <w:p w14:paraId="62EE2A69" w14:textId="7BACEBAD"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2" w:history="1">
        <w:r w:rsidR="00BD038B" w:rsidRPr="003E7827">
          <w:rPr>
            <w:rStyle w:val="Hyperlink"/>
            <w:rFonts w:ascii="Arial" w:hAnsi="Arial" w:cs="Arial"/>
            <w:noProof/>
          </w:rPr>
          <w:t>5.2.3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_Toc516053152 \h </w:instrText>
        </w:r>
        <w:r w:rsidR="00BD038B">
          <w:rPr>
            <w:noProof/>
            <w:webHidden/>
          </w:rPr>
        </w:r>
        <w:r w:rsidR="00BD038B">
          <w:rPr>
            <w:noProof/>
            <w:webHidden/>
          </w:rPr>
          <w:fldChar w:fldCharType="separate"/>
        </w:r>
        <w:r w:rsidR="00F87DF9">
          <w:rPr>
            <w:noProof/>
            <w:webHidden/>
          </w:rPr>
          <w:t>75</w:t>
        </w:r>
        <w:r w:rsidR="00BD038B">
          <w:rPr>
            <w:noProof/>
            <w:webHidden/>
          </w:rPr>
          <w:fldChar w:fldCharType="end"/>
        </w:r>
      </w:hyperlink>
    </w:p>
    <w:p w14:paraId="65DDF25B" w14:textId="5823065D"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3" w:history="1">
        <w:r w:rsidR="00BD038B" w:rsidRPr="003E7827">
          <w:rPr>
            <w:rStyle w:val="Hyperlink"/>
            <w:rFonts w:ascii="Arial" w:hAnsi="Arial" w:cs="Arial"/>
            <w:noProof/>
          </w:rPr>
          <w:t>5.2.4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_Toc516053153 \h </w:instrText>
        </w:r>
        <w:r w:rsidR="00BD038B">
          <w:rPr>
            <w:noProof/>
            <w:webHidden/>
          </w:rPr>
        </w:r>
        <w:r w:rsidR="00BD038B">
          <w:rPr>
            <w:noProof/>
            <w:webHidden/>
          </w:rPr>
          <w:fldChar w:fldCharType="separate"/>
        </w:r>
        <w:r w:rsidR="00F87DF9">
          <w:rPr>
            <w:noProof/>
            <w:webHidden/>
          </w:rPr>
          <w:t>80</w:t>
        </w:r>
        <w:r w:rsidR="00BD038B">
          <w:rPr>
            <w:noProof/>
            <w:webHidden/>
          </w:rPr>
          <w:fldChar w:fldCharType="end"/>
        </w:r>
      </w:hyperlink>
    </w:p>
    <w:p w14:paraId="0EA782B3" w14:textId="77B49A82"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4" w:history="1">
        <w:r w:rsidR="00BD038B" w:rsidRPr="003E7827">
          <w:rPr>
            <w:rStyle w:val="Hyperlink"/>
            <w:rFonts w:ascii="Arial" w:hAnsi="Arial" w:cs="Arial"/>
            <w:noProof/>
          </w:rPr>
          <w:t>5.2.5</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Report card for inshore seagrass status</w:t>
        </w:r>
        <w:r w:rsidR="00BD038B">
          <w:rPr>
            <w:noProof/>
            <w:webHidden/>
          </w:rPr>
          <w:tab/>
        </w:r>
        <w:r w:rsidR="00BD038B">
          <w:rPr>
            <w:noProof/>
            <w:webHidden/>
          </w:rPr>
          <w:fldChar w:fldCharType="begin"/>
        </w:r>
        <w:r w:rsidR="00BD038B">
          <w:rPr>
            <w:noProof/>
            <w:webHidden/>
          </w:rPr>
          <w:instrText xml:space="preserve"> PAGEREF _Toc516053154 \h </w:instrText>
        </w:r>
        <w:r w:rsidR="00BD038B">
          <w:rPr>
            <w:noProof/>
            <w:webHidden/>
          </w:rPr>
        </w:r>
        <w:r w:rsidR="00BD038B">
          <w:rPr>
            <w:noProof/>
            <w:webHidden/>
          </w:rPr>
          <w:fldChar w:fldCharType="separate"/>
        </w:r>
        <w:r w:rsidR="00F87DF9">
          <w:rPr>
            <w:noProof/>
            <w:webHidden/>
          </w:rPr>
          <w:t>82</w:t>
        </w:r>
        <w:r w:rsidR="00BD038B">
          <w:rPr>
            <w:noProof/>
            <w:webHidden/>
          </w:rPr>
          <w:fldChar w:fldCharType="end"/>
        </w:r>
      </w:hyperlink>
    </w:p>
    <w:p w14:paraId="4B4DC73F" w14:textId="7F6BD4FC"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55" w:history="1">
        <w:r w:rsidR="00BD038B" w:rsidRPr="003E7827">
          <w:rPr>
            <w:rStyle w:val="Hyperlink"/>
            <w:rFonts w:ascii="Century Gothic" w:hAnsi="Century Gothic"/>
            <w:noProof/>
          </w:rPr>
          <w:t>5.3</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Mackay Whitsunday</w:t>
        </w:r>
        <w:r w:rsidR="00BD038B">
          <w:rPr>
            <w:noProof/>
            <w:webHidden/>
          </w:rPr>
          <w:tab/>
        </w:r>
        <w:r w:rsidR="00BD038B">
          <w:rPr>
            <w:noProof/>
            <w:webHidden/>
          </w:rPr>
          <w:fldChar w:fldCharType="begin"/>
        </w:r>
        <w:r w:rsidR="00BD038B">
          <w:rPr>
            <w:noProof/>
            <w:webHidden/>
          </w:rPr>
          <w:instrText xml:space="preserve"> PAGEREF _Toc516053155 \h </w:instrText>
        </w:r>
        <w:r w:rsidR="00BD038B">
          <w:rPr>
            <w:noProof/>
            <w:webHidden/>
          </w:rPr>
        </w:r>
        <w:r w:rsidR="00BD038B">
          <w:rPr>
            <w:noProof/>
            <w:webHidden/>
          </w:rPr>
          <w:fldChar w:fldCharType="separate"/>
        </w:r>
        <w:r w:rsidR="00F87DF9">
          <w:rPr>
            <w:noProof/>
            <w:webHidden/>
          </w:rPr>
          <w:t>83</w:t>
        </w:r>
        <w:r w:rsidR="00BD038B">
          <w:rPr>
            <w:noProof/>
            <w:webHidden/>
          </w:rPr>
          <w:fldChar w:fldCharType="end"/>
        </w:r>
      </w:hyperlink>
    </w:p>
    <w:p w14:paraId="01E19AE6" w14:textId="0A3BF684"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6" w:history="1">
        <w:r w:rsidR="00BD038B" w:rsidRPr="003E7827">
          <w:rPr>
            <w:rStyle w:val="Hyperlink"/>
            <w:rFonts w:ascii="Arial" w:hAnsi="Arial" w:cs="Arial"/>
            <w:noProof/>
          </w:rPr>
          <w:t>5.3.1</w:t>
        </w:r>
        <w:r w:rsidR="00BD038B">
          <w:rPr>
            <w:rFonts w:eastAsiaTheme="minorEastAsia" w:cstheme="minorBidi"/>
            <w:i w:val="0"/>
            <w:iCs w:val="0"/>
            <w:noProof/>
            <w:sz w:val="22"/>
            <w:szCs w:val="22"/>
            <w:lang w:eastAsia="en-AU"/>
          </w:rPr>
          <w:tab/>
        </w:r>
        <w:r w:rsidR="008574EC">
          <w:rPr>
            <w:rStyle w:val="Hyperlink"/>
            <w:rFonts w:ascii="Arial" w:hAnsi="Arial" w:cs="Arial"/>
            <w:noProof/>
          </w:rPr>
          <w:t>2016–17</w:t>
        </w:r>
        <w:r w:rsidR="00BD038B" w:rsidRPr="003E7827">
          <w:rPr>
            <w:rStyle w:val="Hyperlink"/>
            <w:rFonts w:ascii="Arial" w:hAnsi="Arial" w:cs="Arial"/>
            <w:noProof/>
          </w:rPr>
          <w:t xml:space="preserve"> Summary</w:t>
        </w:r>
        <w:r w:rsidR="00BD038B">
          <w:rPr>
            <w:noProof/>
            <w:webHidden/>
          </w:rPr>
          <w:tab/>
        </w:r>
        <w:r w:rsidR="00BD038B">
          <w:rPr>
            <w:noProof/>
            <w:webHidden/>
          </w:rPr>
          <w:fldChar w:fldCharType="begin"/>
        </w:r>
        <w:r w:rsidR="00BD038B">
          <w:rPr>
            <w:noProof/>
            <w:webHidden/>
          </w:rPr>
          <w:instrText xml:space="preserve"> PAGEREF _Toc516053156 \h </w:instrText>
        </w:r>
        <w:r w:rsidR="00BD038B">
          <w:rPr>
            <w:noProof/>
            <w:webHidden/>
          </w:rPr>
        </w:r>
        <w:r w:rsidR="00BD038B">
          <w:rPr>
            <w:noProof/>
            <w:webHidden/>
          </w:rPr>
          <w:fldChar w:fldCharType="separate"/>
        </w:r>
        <w:r w:rsidR="00F87DF9">
          <w:rPr>
            <w:noProof/>
            <w:webHidden/>
          </w:rPr>
          <w:t>83</w:t>
        </w:r>
        <w:r w:rsidR="00BD038B">
          <w:rPr>
            <w:noProof/>
            <w:webHidden/>
          </w:rPr>
          <w:fldChar w:fldCharType="end"/>
        </w:r>
      </w:hyperlink>
    </w:p>
    <w:p w14:paraId="47002952" w14:textId="0FCFDD03"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7" w:history="1">
        <w:r w:rsidR="00BD038B" w:rsidRPr="003E7827">
          <w:rPr>
            <w:rStyle w:val="Hyperlink"/>
            <w:rFonts w:ascii="Arial" w:hAnsi="Arial" w:cs="Arial"/>
            <w:noProof/>
          </w:rPr>
          <w:t>5.3.2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_Toc516053157 \h </w:instrText>
        </w:r>
        <w:r w:rsidR="00BD038B">
          <w:rPr>
            <w:noProof/>
            <w:webHidden/>
          </w:rPr>
        </w:r>
        <w:r w:rsidR="00BD038B">
          <w:rPr>
            <w:noProof/>
            <w:webHidden/>
          </w:rPr>
          <w:fldChar w:fldCharType="separate"/>
        </w:r>
        <w:r w:rsidR="00F87DF9">
          <w:rPr>
            <w:noProof/>
            <w:webHidden/>
          </w:rPr>
          <w:t>84</w:t>
        </w:r>
        <w:r w:rsidR="00BD038B">
          <w:rPr>
            <w:noProof/>
            <w:webHidden/>
          </w:rPr>
          <w:fldChar w:fldCharType="end"/>
        </w:r>
      </w:hyperlink>
    </w:p>
    <w:p w14:paraId="6C3DF85E" w14:textId="24ABCDB4"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8" w:history="1">
        <w:r w:rsidR="00BD038B" w:rsidRPr="003E7827">
          <w:rPr>
            <w:rStyle w:val="Hyperlink"/>
            <w:rFonts w:ascii="Arial" w:hAnsi="Arial" w:cs="Arial"/>
            <w:noProof/>
          </w:rPr>
          <w:t>5.3.3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_Toc516053158 \h </w:instrText>
        </w:r>
        <w:r w:rsidR="00BD038B">
          <w:rPr>
            <w:noProof/>
            <w:webHidden/>
          </w:rPr>
        </w:r>
        <w:r w:rsidR="00BD038B">
          <w:rPr>
            <w:noProof/>
            <w:webHidden/>
          </w:rPr>
          <w:fldChar w:fldCharType="separate"/>
        </w:r>
        <w:r w:rsidR="00F87DF9">
          <w:rPr>
            <w:noProof/>
            <w:webHidden/>
          </w:rPr>
          <w:t>86</w:t>
        </w:r>
        <w:r w:rsidR="00BD038B">
          <w:rPr>
            <w:noProof/>
            <w:webHidden/>
          </w:rPr>
          <w:fldChar w:fldCharType="end"/>
        </w:r>
      </w:hyperlink>
    </w:p>
    <w:p w14:paraId="206E2D3B" w14:textId="759AEAEC"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59" w:history="1">
        <w:r w:rsidR="00BD038B" w:rsidRPr="003E7827">
          <w:rPr>
            <w:rStyle w:val="Hyperlink"/>
            <w:rFonts w:ascii="Arial" w:hAnsi="Arial" w:cs="Arial"/>
            <w:noProof/>
          </w:rPr>
          <w:t>5.3.4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_Toc516053159 \h </w:instrText>
        </w:r>
        <w:r w:rsidR="00BD038B">
          <w:rPr>
            <w:noProof/>
            <w:webHidden/>
          </w:rPr>
        </w:r>
        <w:r w:rsidR="00BD038B">
          <w:rPr>
            <w:noProof/>
            <w:webHidden/>
          </w:rPr>
          <w:fldChar w:fldCharType="separate"/>
        </w:r>
        <w:r w:rsidR="00F87DF9">
          <w:rPr>
            <w:noProof/>
            <w:webHidden/>
          </w:rPr>
          <w:t>91</w:t>
        </w:r>
        <w:r w:rsidR="00BD038B">
          <w:rPr>
            <w:noProof/>
            <w:webHidden/>
          </w:rPr>
          <w:fldChar w:fldCharType="end"/>
        </w:r>
      </w:hyperlink>
    </w:p>
    <w:p w14:paraId="3DC9E64F" w14:textId="73F19792"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0" w:history="1">
        <w:r w:rsidR="00BD038B" w:rsidRPr="003E7827">
          <w:rPr>
            <w:rStyle w:val="Hyperlink"/>
            <w:rFonts w:ascii="Arial" w:hAnsi="Arial" w:cs="Arial"/>
            <w:noProof/>
          </w:rPr>
          <w:t>5.3.5</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Report card for inshore seagrass status</w:t>
        </w:r>
        <w:r w:rsidR="00BD038B">
          <w:rPr>
            <w:noProof/>
            <w:webHidden/>
          </w:rPr>
          <w:tab/>
        </w:r>
        <w:r w:rsidR="00BD038B">
          <w:rPr>
            <w:noProof/>
            <w:webHidden/>
          </w:rPr>
          <w:fldChar w:fldCharType="begin"/>
        </w:r>
        <w:r w:rsidR="00BD038B">
          <w:rPr>
            <w:noProof/>
            <w:webHidden/>
          </w:rPr>
          <w:instrText xml:space="preserve"> PAGEREF _Toc516053160 \h </w:instrText>
        </w:r>
        <w:r w:rsidR="00BD038B">
          <w:rPr>
            <w:noProof/>
            <w:webHidden/>
          </w:rPr>
        </w:r>
        <w:r w:rsidR="00BD038B">
          <w:rPr>
            <w:noProof/>
            <w:webHidden/>
          </w:rPr>
          <w:fldChar w:fldCharType="separate"/>
        </w:r>
        <w:r w:rsidR="00F87DF9">
          <w:rPr>
            <w:noProof/>
            <w:webHidden/>
          </w:rPr>
          <w:t>93</w:t>
        </w:r>
        <w:r w:rsidR="00BD038B">
          <w:rPr>
            <w:noProof/>
            <w:webHidden/>
          </w:rPr>
          <w:fldChar w:fldCharType="end"/>
        </w:r>
      </w:hyperlink>
    </w:p>
    <w:p w14:paraId="05952F2F" w14:textId="3163D2EE"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61" w:history="1">
        <w:r w:rsidR="00BD038B" w:rsidRPr="003E7827">
          <w:rPr>
            <w:rStyle w:val="Hyperlink"/>
            <w:rFonts w:ascii="Century Gothic" w:hAnsi="Century Gothic"/>
            <w:noProof/>
          </w:rPr>
          <w:t>5.4</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Fitzroy</w:t>
        </w:r>
        <w:r w:rsidR="00BD038B">
          <w:rPr>
            <w:noProof/>
            <w:webHidden/>
          </w:rPr>
          <w:tab/>
        </w:r>
        <w:r w:rsidR="00BD038B">
          <w:rPr>
            <w:noProof/>
            <w:webHidden/>
          </w:rPr>
          <w:fldChar w:fldCharType="begin"/>
        </w:r>
        <w:r w:rsidR="00BD038B">
          <w:rPr>
            <w:noProof/>
            <w:webHidden/>
          </w:rPr>
          <w:instrText xml:space="preserve"> PAGEREF _Toc516053161 \h </w:instrText>
        </w:r>
        <w:r w:rsidR="00BD038B">
          <w:rPr>
            <w:noProof/>
            <w:webHidden/>
          </w:rPr>
        </w:r>
        <w:r w:rsidR="00BD038B">
          <w:rPr>
            <w:noProof/>
            <w:webHidden/>
          </w:rPr>
          <w:fldChar w:fldCharType="separate"/>
        </w:r>
        <w:r w:rsidR="00F87DF9">
          <w:rPr>
            <w:noProof/>
            <w:webHidden/>
          </w:rPr>
          <w:t>94</w:t>
        </w:r>
        <w:r w:rsidR="00BD038B">
          <w:rPr>
            <w:noProof/>
            <w:webHidden/>
          </w:rPr>
          <w:fldChar w:fldCharType="end"/>
        </w:r>
      </w:hyperlink>
    </w:p>
    <w:p w14:paraId="473FC051" w14:textId="396CCE44"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2" w:history="1">
        <w:r w:rsidR="00BD038B" w:rsidRPr="003E7827">
          <w:rPr>
            <w:rStyle w:val="Hyperlink"/>
            <w:rFonts w:ascii="Arial" w:hAnsi="Arial" w:cs="Arial"/>
            <w:noProof/>
          </w:rPr>
          <w:t>5.4.1</w:t>
        </w:r>
        <w:r w:rsidR="00BD038B">
          <w:rPr>
            <w:rFonts w:eastAsiaTheme="minorEastAsia" w:cstheme="minorBidi"/>
            <w:i w:val="0"/>
            <w:iCs w:val="0"/>
            <w:noProof/>
            <w:sz w:val="22"/>
            <w:szCs w:val="22"/>
            <w:lang w:eastAsia="en-AU"/>
          </w:rPr>
          <w:tab/>
        </w:r>
        <w:r w:rsidR="008574EC">
          <w:rPr>
            <w:rStyle w:val="Hyperlink"/>
            <w:rFonts w:ascii="Arial" w:hAnsi="Arial" w:cs="Arial"/>
            <w:noProof/>
          </w:rPr>
          <w:t>2016–17</w:t>
        </w:r>
        <w:r w:rsidR="00BD038B" w:rsidRPr="003E7827">
          <w:rPr>
            <w:rStyle w:val="Hyperlink"/>
            <w:rFonts w:ascii="Arial" w:hAnsi="Arial" w:cs="Arial"/>
            <w:noProof/>
          </w:rPr>
          <w:t xml:space="preserve"> Summary</w:t>
        </w:r>
        <w:r w:rsidR="00BD038B">
          <w:rPr>
            <w:noProof/>
            <w:webHidden/>
          </w:rPr>
          <w:tab/>
        </w:r>
        <w:r w:rsidR="00BD038B">
          <w:rPr>
            <w:noProof/>
            <w:webHidden/>
          </w:rPr>
          <w:fldChar w:fldCharType="begin"/>
        </w:r>
        <w:r w:rsidR="00BD038B">
          <w:rPr>
            <w:noProof/>
            <w:webHidden/>
          </w:rPr>
          <w:instrText xml:space="preserve"> PAGEREF _Toc516053162 \h </w:instrText>
        </w:r>
        <w:r w:rsidR="00BD038B">
          <w:rPr>
            <w:noProof/>
            <w:webHidden/>
          </w:rPr>
        </w:r>
        <w:r w:rsidR="00BD038B">
          <w:rPr>
            <w:noProof/>
            <w:webHidden/>
          </w:rPr>
          <w:fldChar w:fldCharType="separate"/>
        </w:r>
        <w:r w:rsidR="00F87DF9">
          <w:rPr>
            <w:noProof/>
            <w:webHidden/>
          </w:rPr>
          <w:t>94</w:t>
        </w:r>
        <w:r w:rsidR="00BD038B">
          <w:rPr>
            <w:noProof/>
            <w:webHidden/>
          </w:rPr>
          <w:fldChar w:fldCharType="end"/>
        </w:r>
      </w:hyperlink>
    </w:p>
    <w:p w14:paraId="73C1BDA3" w14:textId="0754112C"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3" w:history="1">
        <w:r w:rsidR="00BD038B" w:rsidRPr="003E7827">
          <w:rPr>
            <w:rStyle w:val="Hyperlink"/>
            <w:rFonts w:ascii="Arial" w:hAnsi="Arial" w:cs="Arial"/>
            <w:noProof/>
          </w:rPr>
          <w:t>5.4.2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_Toc516053163 \h </w:instrText>
        </w:r>
        <w:r w:rsidR="00BD038B">
          <w:rPr>
            <w:noProof/>
            <w:webHidden/>
          </w:rPr>
        </w:r>
        <w:r w:rsidR="00BD038B">
          <w:rPr>
            <w:noProof/>
            <w:webHidden/>
          </w:rPr>
          <w:fldChar w:fldCharType="separate"/>
        </w:r>
        <w:r w:rsidR="00F87DF9">
          <w:rPr>
            <w:noProof/>
            <w:webHidden/>
          </w:rPr>
          <w:t>95</w:t>
        </w:r>
        <w:r w:rsidR="00BD038B">
          <w:rPr>
            <w:noProof/>
            <w:webHidden/>
          </w:rPr>
          <w:fldChar w:fldCharType="end"/>
        </w:r>
      </w:hyperlink>
    </w:p>
    <w:p w14:paraId="6A950ABA" w14:textId="4F91AFE0"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4" w:history="1">
        <w:r w:rsidR="00BD038B" w:rsidRPr="003E7827">
          <w:rPr>
            <w:rStyle w:val="Hyperlink"/>
            <w:rFonts w:ascii="Arial" w:hAnsi="Arial" w:cs="Arial"/>
            <w:noProof/>
          </w:rPr>
          <w:t>5.4.3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_Toc516053164 \h </w:instrText>
        </w:r>
        <w:r w:rsidR="00BD038B">
          <w:rPr>
            <w:noProof/>
            <w:webHidden/>
          </w:rPr>
        </w:r>
        <w:r w:rsidR="00BD038B">
          <w:rPr>
            <w:noProof/>
            <w:webHidden/>
          </w:rPr>
          <w:fldChar w:fldCharType="separate"/>
        </w:r>
        <w:r w:rsidR="00F87DF9">
          <w:rPr>
            <w:noProof/>
            <w:webHidden/>
          </w:rPr>
          <w:t>97</w:t>
        </w:r>
        <w:r w:rsidR="00BD038B">
          <w:rPr>
            <w:noProof/>
            <w:webHidden/>
          </w:rPr>
          <w:fldChar w:fldCharType="end"/>
        </w:r>
      </w:hyperlink>
    </w:p>
    <w:p w14:paraId="72C96CCA" w14:textId="7635C37D"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5" w:history="1">
        <w:r w:rsidR="00BD038B" w:rsidRPr="003E7827">
          <w:rPr>
            <w:rStyle w:val="Hyperlink"/>
            <w:rFonts w:ascii="Arial" w:hAnsi="Arial" w:cs="Arial"/>
            <w:noProof/>
          </w:rPr>
          <w:t>5.4.4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_Toc516053165 \h </w:instrText>
        </w:r>
        <w:r w:rsidR="00BD038B">
          <w:rPr>
            <w:noProof/>
            <w:webHidden/>
          </w:rPr>
        </w:r>
        <w:r w:rsidR="00BD038B">
          <w:rPr>
            <w:noProof/>
            <w:webHidden/>
          </w:rPr>
          <w:fldChar w:fldCharType="separate"/>
        </w:r>
        <w:r w:rsidR="00F87DF9">
          <w:rPr>
            <w:noProof/>
            <w:webHidden/>
          </w:rPr>
          <w:t>101</w:t>
        </w:r>
        <w:r w:rsidR="00BD038B">
          <w:rPr>
            <w:noProof/>
            <w:webHidden/>
          </w:rPr>
          <w:fldChar w:fldCharType="end"/>
        </w:r>
      </w:hyperlink>
    </w:p>
    <w:p w14:paraId="345F7ED0" w14:textId="26A0A521"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6" w:history="1">
        <w:r w:rsidR="00BD038B" w:rsidRPr="003E7827">
          <w:rPr>
            <w:rStyle w:val="Hyperlink"/>
            <w:rFonts w:ascii="Arial" w:hAnsi="Arial" w:cs="Arial"/>
            <w:noProof/>
          </w:rPr>
          <w:t>5.4.5</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Report card for inshore seagrass status</w:t>
        </w:r>
        <w:r w:rsidR="00BD038B">
          <w:rPr>
            <w:noProof/>
            <w:webHidden/>
          </w:rPr>
          <w:tab/>
        </w:r>
        <w:r w:rsidR="00BD038B">
          <w:rPr>
            <w:noProof/>
            <w:webHidden/>
          </w:rPr>
          <w:fldChar w:fldCharType="begin"/>
        </w:r>
        <w:r w:rsidR="00BD038B">
          <w:rPr>
            <w:noProof/>
            <w:webHidden/>
          </w:rPr>
          <w:instrText xml:space="preserve"> PAGEREF _Toc516053166 \h </w:instrText>
        </w:r>
        <w:r w:rsidR="00BD038B">
          <w:rPr>
            <w:noProof/>
            <w:webHidden/>
          </w:rPr>
        </w:r>
        <w:r w:rsidR="00BD038B">
          <w:rPr>
            <w:noProof/>
            <w:webHidden/>
          </w:rPr>
          <w:fldChar w:fldCharType="separate"/>
        </w:r>
        <w:r w:rsidR="00F87DF9">
          <w:rPr>
            <w:noProof/>
            <w:webHidden/>
          </w:rPr>
          <w:t>103</w:t>
        </w:r>
        <w:r w:rsidR="00BD038B">
          <w:rPr>
            <w:noProof/>
            <w:webHidden/>
          </w:rPr>
          <w:fldChar w:fldCharType="end"/>
        </w:r>
      </w:hyperlink>
    </w:p>
    <w:p w14:paraId="4E90CE19" w14:textId="1CAC8EB8"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67" w:history="1">
        <w:r w:rsidR="00BD038B" w:rsidRPr="003E7827">
          <w:rPr>
            <w:rStyle w:val="Hyperlink"/>
            <w:rFonts w:ascii="Century Gothic" w:hAnsi="Century Gothic"/>
            <w:noProof/>
          </w:rPr>
          <w:t>5.5</w:t>
        </w:r>
        <w:r w:rsidR="00BD038B">
          <w:rPr>
            <w:rFonts w:eastAsiaTheme="minorEastAsia" w:cstheme="minorBidi"/>
            <w:smallCaps w:val="0"/>
            <w:noProof/>
            <w:sz w:val="22"/>
            <w:szCs w:val="22"/>
            <w:lang w:eastAsia="en-AU"/>
          </w:rPr>
          <w:tab/>
        </w:r>
        <w:r w:rsidR="00BD038B" w:rsidRPr="003E7827">
          <w:rPr>
            <w:rStyle w:val="Hyperlink"/>
            <w:rFonts w:ascii="Century Gothic" w:hAnsi="Century Gothic"/>
            <w:noProof/>
          </w:rPr>
          <w:t>Burnett Mary</w:t>
        </w:r>
        <w:r w:rsidR="00BD038B">
          <w:rPr>
            <w:noProof/>
            <w:webHidden/>
          </w:rPr>
          <w:tab/>
        </w:r>
        <w:r w:rsidR="00BD038B">
          <w:rPr>
            <w:noProof/>
            <w:webHidden/>
          </w:rPr>
          <w:fldChar w:fldCharType="begin"/>
        </w:r>
        <w:r w:rsidR="00BD038B">
          <w:rPr>
            <w:noProof/>
            <w:webHidden/>
          </w:rPr>
          <w:instrText xml:space="preserve"> PAGEREF _Toc516053167 \h </w:instrText>
        </w:r>
        <w:r w:rsidR="00BD038B">
          <w:rPr>
            <w:noProof/>
            <w:webHidden/>
          </w:rPr>
        </w:r>
        <w:r w:rsidR="00BD038B">
          <w:rPr>
            <w:noProof/>
            <w:webHidden/>
          </w:rPr>
          <w:fldChar w:fldCharType="separate"/>
        </w:r>
        <w:r w:rsidR="00F87DF9">
          <w:rPr>
            <w:noProof/>
            <w:webHidden/>
          </w:rPr>
          <w:t>104</w:t>
        </w:r>
        <w:r w:rsidR="00BD038B">
          <w:rPr>
            <w:noProof/>
            <w:webHidden/>
          </w:rPr>
          <w:fldChar w:fldCharType="end"/>
        </w:r>
      </w:hyperlink>
    </w:p>
    <w:p w14:paraId="243F7B70" w14:textId="1E31D5E8"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8" w:history="1">
        <w:r w:rsidR="00BD038B" w:rsidRPr="003E7827">
          <w:rPr>
            <w:rStyle w:val="Hyperlink"/>
            <w:rFonts w:ascii="Arial" w:hAnsi="Arial" w:cs="Arial"/>
            <w:noProof/>
          </w:rPr>
          <w:t>5.5.1</w:t>
        </w:r>
        <w:r w:rsidR="00BD038B">
          <w:rPr>
            <w:rFonts w:eastAsiaTheme="minorEastAsia" w:cstheme="minorBidi"/>
            <w:i w:val="0"/>
            <w:iCs w:val="0"/>
            <w:noProof/>
            <w:sz w:val="22"/>
            <w:szCs w:val="22"/>
            <w:lang w:eastAsia="en-AU"/>
          </w:rPr>
          <w:tab/>
        </w:r>
        <w:r w:rsidR="008574EC">
          <w:rPr>
            <w:rStyle w:val="Hyperlink"/>
            <w:rFonts w:ascii="Arial" w:hAnsi="Arial" w:cs="Arial"/>
            <w:noProof/>
          </w:rPr>
          <w:t>2016–17</w:t>
        </w:r>
        <w:r w:rsidR="00BD038B" w:rsidRPr="003E7827">
          <w:rPr>
            <w:rStyle w:val="Hyperlink"/>
            <w:rFonts w:ascii="Arial" w:hAnsi="Arial" w:cs="Arial"/>
            <w:noProof/>
          </w:rPr>
          <w:t xml:space="preserve"> Summary</w:t>
        </w:r>
        <w:r w:rsidR="00BD038B">
          <w:rPr>
            <w:noProof/>
            <w:webHidden/>
          </w:rPr>
          <w:tab/>
        </w:r>
        <w:r w:rsidR="00BD038B">
          <w:rPr>
            <w:noProof/>
            <w:webHidden/>
          </w:rPr>
          <w:fldChar w:fldCharType="begin"/>
        </w:r>
        <w:r w:rsidR="00BD038B">
          <w:rPr>
            <w:noProof/>
            <w:webHidden/>
          </w:rPr>
          <w:instrText xml:space="preserve"> PAGEREF _Toc516053168 \h </w:instrText>
        </w:r>
        <w:r w:rsidR="00BD038B">
          <w:rPr>
            <w:noProof/>
            <w:webHidden/>
          </w:rPr>
        </w:r>
        <w:r w:rsidR="00BD038B">
          <w:rPr>
            <w:noProof/>
            <w:webHidden/>
          </w:rPr>
          <w:fldChar w:fldCharType="separate"/>
        </w:r>
        <w:r w:rsidR="00F87DF9">
          <w:rPr>
            <w:noProof/>
            <w:webHidden/>
          </w:rPr>
          <w:t>104</w:t>
        </w:r>
        <w:r w:rsidR="00BD038B">
          <w:rPr>
            <w:noProof/>
            <w:webHidden/>
          </w:rPr>
          <w:fldChar w:fldCharType="end"/>
        </w:r>
      </w:hyperlink>
    </w:p>
    <w:p w14:paraId="326F2FCF" w14:textId="1783772D"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69" w:history="1">
        <w:r w:rsidR="00BD038B" w:rsidRPr="003E7827">
          <w:rPr>
            <w:rStyle w:val="Hyperlink"/>
            <w:rFonts w:ascii="Arial" w:hAnsi="Arial" w:cs="Arial"/>
            <w:noProof/>
          </w:rPr>
          <w:t>5.5.2</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_Toc516053169 \h </w:instrText>
        </w:r>
        <w:r w:rsidR="00BD038B">
          <w:rPr>
            <w:noProof/>
            <w:webHidden/>
          </w:rPr>
        </w:r>
        <w:r w:rsidR="00BD038B">
          <w:rPr>
            <w:noProof/>
            <w:webHidden/>
          </w:rPr>
          <w:fldChar w:fldCharType="separate"/>
        </w:r>
        <w:r w:rsidR="00F87DF9">
          <w:rPr>
            <w:noProof/>
            <w:webHidden/>
          </w:rPr>
          <w:t>105</w:t>
        </w:r>
        <w:r w:rsidR="00BD038B">
          <w:rPr>
            <w:noProof/>
            <w:webHidden/>
          </w:rPr>
          <w:fldChar w:fldCharType="end"/>
        </w:r>
      </w:hyperlink>
    </w:p>
    <w:p w14:paraId="6E89F3E9" w14:textId="254087DB"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70" w:history="1">
        <w:r w:rsidR="00BD038B" w:rsidRPr="003E7827">
          <w:rPr>
            <w:rStyle w:val="Hyperlink"/>
            <w:rFonts w:ascii="Arial" w:hAnsi="Arial" w:cs="Arial"/>
            <w:noProof/>
          </w:rPr>
          <w:t>5.5.3</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seagrass condition</w:t>
        </w:r>
        <w:r w:rsidR="00BD038B">
          <w:rPr>
            <w:noProof/>
            <w:webHidden/>
          </w:rPr>
          <w:tab/>
        </w:r>
        <w:r w:rsidR="00BD038B">
          <w:rPr>
            <w:noProof/>
            <w:webHidden/>
          </w:rPr>
          <w:fldChar w:fldCharType="begin"/>
        </w:r>
        <w:r w:rsidR="00BD038B">
          <w:rPr>
            <w:noProof/>
            <w:webHidden/>
          </w:rPr>
          <w:instrText xml:space="preserve"> PAGEREF _Toc516053170 \h </w:instrText>
        </w:r>
        <w:r w:rsidR="00BD038B">
          <w:rPr>
            <w:noProof/>
            <w:webHidden/>
          </w:rPr>
        </w:r>
        <w:r w:rsidR="00BD038B">
          <w:rPr>
            <w:noProof/>
            <w:webHidden/>
          </w:rPr>
          <w:fldChar w:fldCharType="separate"/>
        </w:r>
        <w:r w:rsidR="00F87DF9">
          <w:rPr>
            <w:noProof/>
            <w:webHidden/>
          </w:rPr>
          <w:t>107</w:t>
        </w:r>
        <w:r w:rsidR="00BD038B">
          <w:rPr>
            <w:noProof/>
            <w:webHidden/>
          </w:rPr>
          <w:fldChar w:fldCharType="end"/>
        </w:r>
      </w:hyperlink>
    </w:p>
    <w:p w14:paraId="3D5F1812" w14:textId="5CA9CCE6"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71" w:history="1">
        <w:r w:rsidR="00BD038B" w:rsidRPr="003E7827">
          <w:rPr>
            <w:rStyle w:val="Hyperlink"/>
            <w:rFonts w:ascii="Arial" w:hAnsi="Arial" w:cs="Arial"/>
            <w:noProof/>
          </w:rPr>
          <w:t>5.5.4</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Indicators of environmental condition</w:t>
        </w:r>
        <w:r w:rsidR="00BD038B">
          <w:rPr>
            <w:noProof/>
            <w:webHidden/>
          </w:rPr>
          <w:tab/>
        </w:r>
        <w:r w:rsidR="00BD038B">
          <w:rPr>
            <w:noProof/>
            <w:webHidden/>
          </w:rPr>
          <w:fldChar w:fldCharType="begin"/>
        </w:r>
        <w:r w:rsidR="00BD038B">
          <w:rPr>
            <w:noProof/>
            <w:webHidden/>
          </w:rPr>
          <w:instrText xml:space="preserve"> PAGEREF _Toc516053171 \h </w:instrText>
        </w:r>
        <w:r w:rsidR="00BD038B">
          <w:rPr>
            <w:noProof/>
            <w:webHidden/>
          </w:rPr>
        </w:r>
        <w:r w:rsidR="00BD038B">
          <w:rPr>
            <w:noProof/>
            <w:webHidden/>
          </w:rPr>
          <w:fldChar w:fldCharType="separate"/>
        </w:r>
        <w:r w:rsidR="00F87DF9">
          <w:rPr>
            <w:noProof/>
            <w:webHidden/>
          </w:rPr>
          <w:t>111</w:t>
        </w:r>
        <w:r w:rsidR="00BD038B">
          <w:rPr>
            <w:noProof/>
            <w:webHidden/>
          </w:rPr>
          <w:fldChar w:fldCharType="end"/>
        </w:r>
      </w:hyperlink>
    </w:p>
    <w:p w14:paraId="042B5012" w14:textId="56899BF6"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72" w:history="1">
        <w:r w:rsidR="00BD038B" w:rsidRPr="003E7827">
          <w:rPr>
            <w:rStyle w:val="Hyperlink"/>
            <w:rFonts w:ascii="Arial" w:hAnsi="Arial" w:cs="Arial"/>
            <w:noProof/>
          </w:rPr>
          <w:t>5.5.5</w:t>
        </w:r>
        <w:r w:rsidR="00BD038B">
          <w:rPr>
            <w:rFonts w:eastAsiaTheme="minorEastAsia" w:cstheme="minorBidi"/>
            <w:i w:val="0"/>
            <w:iCs w:val="0"/>
            <w:noProof/>
            <w:sz w:val="22"/>
            <w:szCs w:val="22"/>
            <w:lang w:eastAsia="en-AU"/>
          </w:rPr>
          <w:tab/>
        </w:r>
        <w:r w:rsidR="00BD038B" w:rsidRPr="003E7827">
          <w:rPr>
            <w:rStyle w:val="Hyperlink"/>
            <w:rFonts w:ascii="Arial" w:hAnsi="Arial" w:cs="Arial"/>
            <w:noProof/>
          </w:rPr>
          <w:t>Report card for inshore seagrass status</w:t>
        </w:r>
        <w:r w:rsidR="00BD038B">
          <w:rPr>
            <w:noProof/>
            <w:webHidden/>
          </w:rPr>
          <w:tab/>
        </w:r>
        <w:r w:rsidR="00BD038B">
          <w:rPr>
            <w:noProof/>
            <w:webHidden/>
          </w:rPr>
          <w:fldChar w:fldCharType="begin"/>
        </w:r>
        <w:r w:rsidR="00BD038B">
          <w:rPr>
            <w:noProof/>
            <w:webHidden/>
          </w:rPr>
          <w:instrText xml:space="preserve"> PAGEREF _Toc516053172 \h </w:instrText>
        </w:r>
        <w:r w:rsidR="00BD038B">
          <w:rPr>
            <w:noProof/>
            <w:webHidden/>
          </w:rPr>
        </w:r>
        <w:r w:rsidR="00BD038B">
          <w:rPr>
            <w:noProof/>
            <w:webHidden/>
          </w:rPr>
          <w:fldChar w:fldCharType="separate"/>
        </w:r>
        <w:r w:rsidR="00F87DF9">
          <w:rPr>
            <w:noProof/>
            <w:webHidden/>
          </w:rPr>
          <w:t>113</w:t>
        </w:r>
        <w:r w:rsidR="00BD038B">
          <w:rPr>
            <w:noProof/>
            <w:webHidden/>
          </w:rPr>
          <w:fldChar w:fldCharType="end"/>
        </w:r>
      </w:hyperlink>
    </w:p>
    <w:p w14:paraId="0CAB7ABD" w14:textId="0B82F408" w:rsidR="00BD038B" w:rsidRDefault="00D05880">
      <w:pPr>
        <w:pStyle w:val="TOC1"/>
        <w:tabs>
          <w:tab w:val="left" w:pos="440"/>
        </w:tabs>
        <w:rPr>
          <w:rFonts w:eastAsiaTheme="minorEastAsia" w:cstheme="minorBidi"/>
          <w:b w:val="0"/>
          <w:bCs w:val="0"/>
          <w:caps w:val="0"/>
          <w:noProof/>
          <w:sz w:val="22"/>
          <w:szCs w:val="22"/>
          <w:lang w:eastAsia="en-AU"/>
        </w:rPr>
      </w:pPr>
      <w:hyperlink w:anchor="_Toc516053173" w:history="1">
        <w:r w:rsidR="00BD038B" w:rsidRPr="003E7827">
          <w:rPr>
            <w:rStyle w:val="Hyperlink"/>
            <w:rFonts w:ascii="Century Gothic" w:hAnsi="Century Gothic"/>
            <w:noProof/>
          </w:rPr>
          <w:t>6</w:t>
        </w:r>
        <w:r w:rsidR="00BD038B">
          <w:rPr>
            <w:rFonts w:eastAsiaTheme="minorEastAsia" w:cstheme="minorBidi"/>
            <w:b w:val="0"/>
            <w:bCs w:val="0"/>
            <w:caps w:val="0"/>
            <w:noProof/>
            <w:sz w:val="22"/>
            <w:szCs w:val="22"/>
            <w:lang w:eastAsia="en-AU"/>
          </w:rPr>
          <w:tab/>
        </w:r>
        <w:r w:rsidR="00BD038B" w:rsidRPr="003E7827">
          <w:rPr>
            <w:rStyle w:val="Hyperlink"/>
            <w:rFonts w:ascii="Century Gothic" w:hAnsi="Century Gothic"/>
            <w:noProof/>
          </w:rPr>
          <w:t>Conclusions</w:t>
        </w:r>
        <w:r w:rsidR="00BD038B">
          <w:rPr>
            <w:noProof/>
            <w:webHidden/>
          </w:rPr>
          <w:tab/>
        </w:r>
        <w:r w:rsidR="00BD038B">
          <w:rPr>
            <w:noProof/>
            <w:webHidden/>
          </w:rPr>
          <w:fldChar w:fldCharType="begin"/>
        </w:r>
        <w:r w:rsidR="00BD038B">
          <w:rPr>
            <w:noProof/>
            <w:webHidden/>
          </w:rPr>
          <w:instrText xml:space="preserve"> PAGEREF _Toc516053173 \h </w:instrText>
        </w:r>
        <w:r w:rsidR="00BD038B">
          <w:rPr>
            <w:noProof/>
            <w:webHidden/>
          </w:rPr>
        </w:r>
        <w:r w:rsidR="00BD038B">
          <w:rPr>
            <w:noProof/>
            <w:webHidden/>
          </w:rPr>
          <w:fldChar w:fldCharType="separate"/>
        </w:r>
        <w:r w:rsidR="00F87DF9">
          <w:rPr>
            <w:noProof/>
            <w:webHidden/>
          </w:rPr>
          <w:t>114</w:t>
        </w:r>
        <w:r w:rsidR="00BD038B">
          <w:rPr>
            <w:noProof/>
            <w:webHidden/>
          </w:rPr>
          <w:fldChar w:fldCharType="end"/>
        </w:r>
      </w:hyperlink>
    </w:p>
    <w:p w14:paraId="299060FB" w14:textId="4688FD83" w:rsidR="00BD038B" w:rsidRDefault="00D05880">
      <w:pPr>
        <w:pStyle w:val="TOC1"/>
        <w:tabs>
          <w:tab w:val="left" w:pos="440"/>
        </w:tabs>
        <w:rPr>
          <w:rFonts w:eastAsiaTheme="minorEastAsia" w:cstheme="minorBidi"/>
          <w:b w:val="0"/>
          <w:bCs w:val="0"/>
          <w:caps w:val="0"/>
          <w:noProof/>
          <w:sz w:val="22"/>
          <w:szCs w:val="22"/>
          <w:lang w:eastAsia="en-AU"/>
        </w:rPr>
      </w:pPr>
      <w:hyperlink w:anchor="_Toc516053174" w:history="1">
        <w:r w:rsidR="00BD038B" w:rsidRPr="003E7827">
          <w:rPr>
            <w:rStyle w:val="Hyperlink"/>
            <w:rFonts w:ascii="Century Gothic" w:hAnsi="Century Gothic"/>
            <w:noProof/>
          </w:rPr>
          <w:t>7</w:t>
        </w:r>
        <w:r w:rsidR="00BD038B">
          <w:rPr>
            <w:rFonts w:eastAsiaTheme="minorEastAsia" w:cstheme="minorBidi"/>
            <w:b w:val="0"/>
            <w:bCs w:val="0"/>
            <w:caps w:val="0"/>
            <w:noProof/>
            <w:sz w:val="22"/>
            <w:szCs w:val="22"/>
            <w:lang w:eastAsia="en-AU"/>
          </w:rPr>
          <w:tab/>
        </w:r>
        <w:r w:rsidR="00BD038B" w:rsidRPr="003E7827">
          <w:rPr>
            <w:rStyle w:val="Hyperlink"/>
            <w:rFonts w:ascii="Century Gothic" w:hAnsi="Century Gothic"/>
            <w:noProof/>
          </w:rPr>
          <w:t>References</w:t>
        </w:r>
        <w:r w:rsidR="00BD038B">
          <w:rPr>
            <w:noProof/>
            <w:webHidden/>
          </w:rPr>
          <w:tab/>
        </w:r>
        <w:r w:rsidR="00BD038B">
          <w:rPr>
            <w:noProof/>
            <w:webHidden/>
          </w:rPr>
          <w:fldChar w:fldCharType="begin"/>
        </w:r>
        <w:r w:rsidR="00BD038B">
          <w:rPr>
            <w:noProof/>
            <w:webHidden/>
          </w:rPr>
          <w:instrText xml:space="preserve"> PAGEREF _Toc516053174 \h </w:instrText>
        </w:r>
        <w:r w:rsidR="00BD038B">
          <w:rPr>
            <w:noProof/>
            <w:webHidden/>
          </w:rPr>
        </w:r>
        <w:r w:rsidR="00BD038B">
          <w:rPr>
            <w:noProof/>
            <w:webHidden/>
          </w:rPr>
          <w:fldChar w:fldCharType="separate"/>
        </w:r>
        <w:r w:rsidR="00F87DF9">
          <w:rPr>
            <w:noProof/>
            <w:webHidden/>
          </w:rPr>
          <w:t>128</w:t>
        </w:r>
        <w:r w:rsidR="00BD038B">
          <w:rPr>
            <w:noProof/>
            <w:webHidden/>
          </w:rPr>
          <w:fldChar w:fldCharType="end"/>
        </w:r>
      </w:hyperlink>
    </w:p>
    <w:p w14:paraId="22E53921" w14:textId="0D55FABA" w:rsidR="00BD038B" w:rsidRDefault="00D05880">
      <w:pPr>
        <w:pStyle w:val="TOC1"/>
        <w:tabs>
          <w:tab w:val="left" w:pos="1540"/>
        </w:tabs>
        <w:rPr>
          <w:rFonts w:eastAsiaTheme="minorEastAsia" w:cstheme="minorBidi"/>
          <w:b w:val="0"/>
          <w:bCs w:val="0"/>
          <w:caps w:val="0"/>
          <w:noProof/>
          <w:sz w:val="22"/>
          <w:szCs w:val="22"/>
          <w:lang w:eastAsia="en-AU"/>
        </w:rPr>
      </w:pPr>
      <w:hyperlink w:anchor="_Toc516053175" w:history="1">
        <w:r w:rsidR="00BD038B" w:rsidRPr="003E7827">
          <w:rPr>
            <w:rStyle w:val="Hyperlink"/>
            <w:rFonts w:ascii="Century Gothic" w:hAnsi="Century Gothic"/>
            <w:noProof/>
          </w:rPr>
          <w:t>Appendix 1</w:t>
        </w:r>
        <w:r w:rsidR="00BD038B">
          <w:rPr>
            <w:rFonts w:eastAsiaTheme="minorEastAsia" w:cstheme="minorBidi"/>
            <w:b w:val="0"/>
            <w:bCs w:val="0"/>
            <w:caps w:val="0"/>
            <w:noProof/>
            <w:sz w:val="22"/>
            <w:szCs w:val="22"/>
            <w:lang w:eastAsia="en-AU"/>
          </w:rPr>
          <w:tab/>
        </w:r>
        <w:r w:rsidR="00BD038B" w:rsidRPr="003E7827">
          <w:rPr>
            <w:rStyle w:val="Hyperlink"/>
            <w:noProof/>
          </w:rPr>
          <w:t>Background to the NRMs, including conceptual models</w:t>
        </w:r>
        <w:r w:rsidR="00BD038B">
          <w:rPr>
            <w:noProof/>
            <w:webHidden/>
          </w:rPr>
          <w:tab/>
        </w:r>
        <w:r w:rsidR="00BD038B">
          <w:rPr>
            <w:noProof/>
            <w:webHidden/>
          </w:rPr>
          <w:fldChar w:fldCharType="begin"/>
        </w:r>
        <w:r w:rsidR="00BD038B">
          <w:rPr>
            <w:noProof/>
            <w:webHidden/>
          </w:rPr>
          <w:instrText xml:space="preserve"> PAGEREF _Toc516053175 \h </w:instrText>
        </w:r>
        <w:r w:rsidR="00BD038B">
          <w:rPr>
            <w:noProof/>
            <w:webHidden/>
          </w:rPr>
        </w:r>
        <w:r w:rsidR="00BD038B">
          <w:rPr>
            <w:noProof/>
            <w:webHidden/>
          </w:rPr>
          <w:fldChar w:fldCharType="separate"/>
        </w:r>
        <w:r w:rsidR="00F87DF9">
          <w:rPr>
            <w:noProof/>
            <w:webHidden/>
          </w:rPr>
          <w:t>142</w:t>
        </w:r>
        <w:r w:rsidR="00BD038B">
          <w:rPr>
            <w:noProof/>
            <w:webHidden/>
          </w:rPr>
          <w:fldChar w:fldCharType="end"/>
        </w:r>
      </w:hyperlink>
    </w:p>
    <w:p w14:paraId="4ECD6674" w14:textId="75B45A69"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76" w:history="1">
        <w:r w:rsidR="00BD038B" w:rsidRPr="003E7827">
          <w:rPr>
            <w:rStyle w:val="Hyperlink"/>
            <w:noProof/>
          </w:rPr>
          <w:t>A1.1</w:t>
        </w:r>
        <w:r w:rsidR="00BD038B">
          <w:rPr>
            <w:rFonts w:eastAsiaTheme="minorEastAsia" w:cstheme="minorBidi"/>
            <w:smallCaps w:val="0"/>
            <w:noProof/>
            <w:sz w:val="22"/>
            <w:szCs w:val="22"/>
            <w:lang w:eastAsia="en-AU"/>
          </w:rPr>
          <w:tab/>
        </w:r>
        <w:r w:rsidR="00BD038B" w:rsidRPr="003E7827">
          <w:rPr>
            <w:rStyle w:val="Hyperlink"/>
            <w:noProof/>
          </w:rPr>
          <w:t>Cape York</w:t>
        </w:r>
        <w:r w:rsidR="00BD038B">
          <w:rPr>
            <w:noProof/>
            <w:webHidden/>
          </w:rPr>
          <w:tab/>
        </w:r>
        <w:r w:rsidR="00BD038B">
          <w:rPr>
            <w:noProof/>
            <w:webHidden/>
          </w:rPr>
          <w:fldChar w:fldCharType="begin"/>
        </w:r>
        <w:r w:rsidR="00BD038B">
          <w:rPr>
            <w:noProof/>
            <w:webHidden/>
          </w:rPr>
          <w:instrText xml:space="preserve"> PAGEREF _Toc516053176 \h </w:instrText>
        </w:r>
        <w:r w:rsidR="00BD038B">
          <w:rPr>
            <w:noProof/>
            <w:webHidden/>
          </w:rPr>
        </w:r>
        <w:r w:rsidR="00BD038B">
          <w:rPr>
            <w:noProof/>
            <w:webHidden/>
          </w:rPr>
          <w:fldChar w:fldCharType="separate"/>
        </w:r>
        <w:r w:rsidR="00F87DF9">
          <w:rPr>
            <w:noProof/>
            <w:webHidden/>
          </w:rPr>
          <w:t>143</w:t>
        </w:r>
        <w:r w:rsidR="00BD038B">
          <w:rPr>
            <w:noProof/>
            <w:webHidden/>
          </w:rPr>
          <w:fldChar w:fldCharType="end"/>
        </w:r>
      </w:hyperlink>
    </w:p>
    <w:p w14:paraId="38E04436" w14:textId="6C490310"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77" w:history="1">
        <w:r w:rsidR="00BD038B" w:rsidRPr="003E7827">
          <w:rPr>
            <w:rStyle w:val="Hyperlink"/>
            <w:noProof/>
          </w:rPr>
          <w:t>A1.2</w:t>
        </w:r>
        <w:r w:rsidR="00BD038B">
          <w:rPr>
            <w:rFonts w:eastAsiaTheme="minorEastAsia" w:cstheme="minorBidi"/>
            <w:smallCaps w:val="0"/>
            <w:noProof/>
            <w:sz w:val="22"/>
            <w:szCs w:val="22"/>
            <w:lang w:eastAsia="en-AU"/>
          </w:rPr>
          <w:tab/>
        </w:r>
        <w:r w:rsidR="00BD038B" w:rsidRPr="003E7827">
          <w:rPr>
            <w:rStyle w:val="Hyperlink"/>
            <w:noProof/>
          </w:rPr>
          <w:t>Wet Tropics</w:t>
        </w:r>
        <w:r w:rsidR="00BD038B">
          <w:rPr>
            <w:noProof/>
            <w:webHidden/>
          </w:rPr>
          <w:tab/>
        </w:r>
        <w:r w:rsidR="00BD038B">
          <w:rPr>
            <w:noProof/>
            <w:webHidden/>
          </w:rPr>
          <w:fldChar w:fldCharType="begin"/>
        </w:r>
        <w:r w:rsidR="00BD038B">
          <w:rPr>
            <w:noProof/>
            <w:webHidden/>
          </w:rPr>
          <w:instrText xml:space="preserve"> PAGEREF _Toc516053177 \h </w:instrText>
        </w:r>
        <w:r w:rsidR="00BD038B">
          <w:rPr>
            <w:noProof/>
            <w:webHidden/>
          </w:rPr>
        </w:r>
        <w:r w:rsidR="00BD038B">
          <w:rPr>
            <w:noProof/>
            <w:webHidden/>
          </w:rPr>
          <w:fldChar w:fldCharType="separate"/>
        </w:r>
        <w:r w:rsidR="00F87DF9">
          <w:rPr>
            <w:noProof/>
            <w:webHidden/>
          </w:rPr>
          <w:t>147</w:t>
        </w:r>
        <w:r w:rsidR="00BD038B">
          <w:rPr>
            <w:noProof/>
            <w:webHidden/>
          </w:rPr>
          <w:fldChar w:fldCharType="end"/>
        </w:r>
      </w:hyperlink>
    </w:p>
    <w:p w14:paraId="0EA59DD1" w14:textId="61B5BB3C"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78" w:history="1">
        <w:r w:rsidR="00BD038B" w:rsidRPr="003E7827">
          <w:rPr>
            <w:rStyle w:val="Hyperlink"/>
            <w:noProof/>
          </w:rPr>
          <w:t>A1.3</w:t>
        </w:r>
        <w:r w:rsidR="00BD038B">
          <w:rPr>
            <w:rFonts w:eastAsiaTheme="minorEastAsia" w:cstheme="minorBidi"/>
            <w:smallCaps w:val="0"/>
            <w:noProof/>
            <w:sz w:val="22"/>
            <w:szCs w:val="22"/>
            <w:lang w:eastAsia="en-AU"/>
          </w:rPr>
          <w:tab/>
        </w:r>
        <w:r w:rsidR="00BD038B" w:rsidRPr="003E7827">
          <w:rPr>
            <w:rStyle w:val="Hyperlink"/>
            <w:noProof/>
          </w:rPr>
          <w:t>Burdekin</w:t>
        </w:r>
        <w:r w:rsidR="00BD038B">
          <w:rPr>
            <w:noProof/>
            <w:webHidden/>
          </w:rPr>
          <w:tab/>
        </w:r>
        <w:r w:rsidR="00BD038B">
          <w:rPr>
            <w:noProof/>
            <w:webHidden/>
          </w:rPr>
          <w:fldChar w:fldCharType="begin"/>
        </w:r>
        <w:r w:rsidR="00BD038B">
          <w:rPr>
            <w:noProof/>
            <w:webHidden/>
          </w:rPr>
          <w:instrText xml:space="preserve"> PAGEREF _Toc516053178 \h </w:instrText>
        </w:r>
        <w:r w:rsidR="00BD038B">
          <w:rPr>
            <w:noProof/>
            <w:webHidden/>
          </w:rPr>
        </w:r>
        <w:r w:rsidR="00BD038B">
          <w:rPr>
            <w:noProof/>
            <w:webHidden/>
          </w:rPr>
          <w:fldChar w:fldCharType="separate"/>
        </w:r>
        <w:r w:rsidR="00F87DF9">
          <w:rPr>
            <w:noProof/>
            <w:webHidden/>
          </w:rPr>
          <w:t>149</w:t>
        </w:r>
        <w:r w:rsidR="00BD038B">
          <w:rPr>
            <w:noProof/>
            <w:webHidden/>
          </w:rPr>
          <w:fldChar w:fldCharType="end"/>
        </w:r>
      </w:hyperlink>
    </w:p>
    <w:p w14:paraId="02A4185F" w14:textId="1CE49187"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79" w:history="1">
        <w:r w:rsidR="00BD038B" w:rsidRPr="003E7827">
          <w:rPr>
            <w:rStyle w:val="Hyperlink"/>
            <w:noProof/>
          </w:rPr>
          <w:t>A1.4</w:t>
        </w:r>
        <w:r w:rsidR="00BD038B">
          <w:rPr>
            <w:rFonts w:eastAsiaTheme="minorEastAsia" w:cstheme="minorBidi"/>
            <w:smallCaps w:val="0"/>
            <w:noProof/>
            <w:sz w:val="22"/>
            <w:szCs w:val="22"/>
            <w:lang w:eastAsia="en-AU"/>
          </w:rPr>
          <w:tab/>
        </w:r>
        <w:r w:rsidR="00BD038B" w:rsidRPr="003E7827">
          <w:rPr>
            <w:rStyle w:val="Hyperlink"/>
            <w:noProof/>
          </w:rPr>
          <w:t>Mackay Whitsunday</w:t>
        </w:r>
        <w:r w:rsidR="00BD038B">
          <w:rPr>
            <w:noProof/>
            <w:webHidden/>
          </w:rPr>
          <w:tab/>
        </w:r>
        <w:r w:rsidR="00BD038B">
          <w:rPr>
            <w:noProof/>
            <w:webHidden/>
          </w:rPr>
          <w:fldChar w:fldCharType="begin"/>
        </w:r>
        <w:r w:rsidR="00BD038B">
          <w:rPr>
            <w:noProof/>
            <w:webHidden/>
          </w:rPr>
          <w:instrText xml:space="preserve"> PAGEREF _Toc516053179 \h </w:instrText>
        </w:r>
        <w:r w:rsidR="00BD038B">
          <w:rPr>
            <w:noProof/>
            <w:webHidden/>
          </w:rPr>
        </w:r>
        <w:r w:rsidR="00BD038B">
          <w:rPr>
            <w:noProof/>
            <w:webHidden/>
          </w:rPr>
          <w:fldChar w:fldCharType="separate"/>
        </w:r>
        <w:r w:rsidR="00F87DF9">
          <w:rPr>
            <w:noProof/>
            <w:webHidden/>
          </w:rPr>
          <w:t>151</w:t>
        </w:r>
        <w:r w:rsidR="00BD038B">
          <w:rPr>
            <w:noProof/>
            <w:webHidden/>
          </w:rPr>
          <w:fldChar w:fldCharType="end"/>
        </w:r>
      </w:hyperlink>
    </w:p>
    <w:p w14:paraId="6C47A5E3" w14:textId="7AD941DA"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80" w:history="1">
        <w:r w:rsidR="00BD038B" w:rsidRPr="003E7827">
          <w:rPr>
            <w:rStyle w:val="Hyperlink"/>
            <w:noProof/>
          </w:rPr>
          <w:t>A1.5</w:t>
        </w:r>
        <w:r w:rsidR="00BD038B">
          <w:rPr>
            <w:rFonts w:eastAsiaTheme="minorEastAsia" w:cstheme="minorBidi"/>
            <w:smallCaps w:val="0"/>
            <w:noProof/>
            <w:sz w:val="22"/>
            <w:szCs w:val="22"/>
            <w:lang w:eastAsia="en-AU"/>
          </w:rPr>
          <w:tab/>
        </w:r>
        <w:r w:rsidR="00BD038B" w:rsidRPr="003E7827">
          <w:rPr>
            <w:rStyle w:val="Hyperlink"/>
            <w:noProof/>
          </w:rPr>
          <w:t>Fitzroy</w:t>
        </w:r>
        <w:r w:rsidR="00BD038B">
          <w:rPr>
            <w:noProof/>
            <w:webHidden/>
          </w:rPr>
          <w:tab/>
        </w:r>
        <w:r w:rsidR="00BD038B">
          <w:rPr>
            <w:noProof/>
            <w:webHidden/>
          </w:rPr>
          <w:fldChar w:fldCharType="begin"/>
        </w:r>
        <w:r w:rsidR="00BD038B">
          <w:rPr>
            <w:noProof/>
            <w:webHidden/>
          </w:rPr>
          <w:instrText xml:space="preserve"> PAGEREF _Toc516053180 \h </w:instrText>
        </w:r>
        <w:r w:rsidR="00BD038B">
          <w:rPr>
            <w:noProof/>
            <w:webHidden/>
          </w:rPr>
        </w:r>
        <w:r w:rsidR="00BD038B">
          <w:rPr>
            <w:noProof/>
            <w:webHidden/>
          </w:rPr>
          <w:fldChar w:fldCharType="separate"/>
        </w:r>
        <w:r w:rsidR="00F87DF9">
          <w:rPr>
            <w:noProof/>
            <w:webHidden/>
          </w:rPr>
          <w:t>154</w:t>
        </w:r>
        <w:r w:rsidR="00BD038B">
          <w:rPr>
            <w:noProof/>
            <w:webHidden/>
          </w:rPr>
          <w:fldChar w:fldCharType="end"/>
        </w:r>
      </w:hyperlink>
    </w:p>
    <w:p w14:paraId="13B3EA35" w14:textId="17C3841E"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81" w:history="1">
        <w:r w:rsidR="00BD038B" w:rsidRPr="003E7827">
          <w:rPr>
            <w:rStyle w:val="Hyperlink"/>
            <w:noProof/>
          </w:rPr>
          <w:t>A1.6</w:t>
        </w:r>
        <w:r w:rsidR="00BD038B">
          <w:rPr>
            <w:rFonts w:eastAsiaTheme="minorEastAsia" w:cstheme="minorBidi"/>
            <w:smallCaps w:val="0"/>
            <w:noProof/>
            <w:sz w:val="22"/>
            <w:szCs w:val="22"/>
            <w:lang w:eastAsia="en-AU"/>
          </w:rPr>
          <w:tab/>
        </w:r>
        <w:r w:rsidR="00BD038B" w:rsidRPr="003E7827">
          <w:rPr>
            <w:rStyle w:val="Hyperlink"/>
            <w:noProof/>
          </w:rPr>
          <w:t>Burnett-Mary</w:t>
        </w:r>
        <w:r w:rsidR="00BD038B">
          <w:rPr>
            <w:noProof/>
            <w:webHidden/>
          </w:rPr>
          <w:tab/>
        </w:r>
        <w:r w:rsidR="00BD038B">
          <w:rPr>
            <w:noProof/>
            <w:webHidden/>
          </w:rPr>
          <w:fldChar w:fldCharType="begin"/>
        </w:r>
        <w:r w:rsidR="00BD038B">
          <w:rPr>
            <w:noProof/>
            <w:webHidden/>
          </w:rPr>
          <w:instrText xml:space="preserve"> PAGEREF _Toc516053181 \h </w:instrText>
        </w:r>
        <w:r w:rsidR="00BD038B">
          <w:rPr>
            <w:noProof/>
            <w:webHidden/>
          </w:rPr>
        </w:r>
        <w:r w:rsidR="00BD038B">
          <w:rPr>
            <w:noProof/>
            <w:webHidden/>
          </w:rPr>
          <w:fldChar w:fldCharType="separate"/>
        </w:r>
        <w:r w:rsidR="00F87DF9">
          <w:rPr>
            <w:noProof/>
            <w:webHidden/>
          </w:rPr>
          <w:t>157</w:t>
        </w:r>
        <w:r w:rsidR="00BD038B">
          <w:rPr>
            <w:noProof/>
            <w:webHidden/>
          </w:rPr>
          <w:fldChar w:fldCharType="end"/>
        </w:r>
      </w:hyperlink>
    </w:p>
    <w:p w14:paraId="782CBDA8" w14:textId="7A838521" w:rsidR="00BD038B" w:rsidRDefault="00D05880">
      <w:pPr>
        <w:pStyle w:val="TOC1"/>
        <w:tabs>
          <w:tab w:val="left" w:pos="1540"/>
        </w:tabs>
        <w:rPr>
          <w:rFonts w:eastAsiaTheme="minorEastAsia" w:cstheme="minorBidi"/>
          <w:b w:val="0"/>
          <w:bCs w:val="0"/>
          <w:caps w:val="0"/>
          <w:noProof/>
          <w:sz w:val="22"/>
          <w:szCs w:val="22"/>
          <w:lang w:eastAsia="en-AU"/>
        </w:rPr>
      </w:pPr>
      <w:hyperlink w:anchor="_Toc516053182" w:history="1">
        <w:r w:rsidR="00BD038B" w:rsidRPr="003E7827">
          <w:rPr>
            <w:rStyle w:val="Hyperlink"/>
            <w:rFonts w:ascii="Century Gothic" w:hAnsi="Century Gothic"/>
            <w:noProof/>
          </w:rPr>
          <w:t>Appendix 2</w:t>
        </w:r>
        <w:r w:rsidR="00BD038B">
          <w:rPr>
            <w:rFonts w:eastAsiaTheme="minorEastAsia" w:cstheme="minorBidi"/>
            <w:b w:val="0"/>
            <w:bCs w:val="0"/>
            <w:caps w:val="0"/>
            <w:noProof/>
            <w:sz w:val="22"/>
            <w:szCs w:val="22"/>
            <w:lang w:eastAsia="en-AU"/>
          </w:rPr>
          <w:tab/>
        </w:r>
        <w:r w:rsidR="00BD038B" w:rsidRPr="003E7827">
          <w:rPr>
            <w:rStyle w:val="Hyperlink"/>
            <w:noProof/>
          </w:rPr>
          <w:t>Materials and Methods</w:t>
        </w:r>
        <w:r w:rsidR="00BD038B">
          <w:rPr>
            <w:noProof/>
            <w:webHidden/>
          </w:rPr>
          <w:tab/>
        </w:r>
        <w:r w:rsidR="00BD038B">
          <w:rPr>
            <w:noProof/>
            <w:webHidden/>
          </w:rPr>
          <w:fldChar w:fldCharType="begin"/>
        </w:r>
        <w:r w:rsidR="00BD038B">
          <w:rPr>
            <w:noProof/>
            <w:webHidden/>
          </w:rPr>
          <w:instrText xml:space="preserve"> PAGEREF _Toc516053182 \h </w:instrText>
        </w:r>
        <w:r w:rsidR="00BD038B">
          <w:rPr>
            <w:noProof/>
            <w:webHidden/>
          </w:rPr>
        </w:r>
        <w:r w:rsidR="00BD038B">
          <w:rPr>
            <w:noProof/>
            <w:webHidden/>
          </w:rPr>
          <w:fldChar w:fldCharType="separate"/>
        </w:r>
        <w:r w:rsidR="00F87DF9">
          <w:rPr>
            <w:noProof/>
            <w:webHidden/>
          </w:rPr>
          <w:t>160</w:t>
        </w:r>
        <w:r w:rsidR="00BD038B">
          <w:rPr>
            <w:noProof/>
            <w:webHidden/>
          </w:rPr>
          <w:fldChar w:fldCharType="end"/>
        </w:r>
      </w:hyperlink>
    </w:p>
    <w:p w14:paraId="6774BE08" w14:textId="20C2B77F"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83" w:history="1">
        <w:r w:rsidR="00BD038B" w:rsidRPr="003E7827">
          <w:rPr>
            <w:rStyle w:val="Hyperlink"/>
            <w:noProof/>
          </w:rPr>
          <w:t>A2.1</w:t>
        </w:r>
        <w:r w:rsidR="00BD038B">
          <w:rPr>
            <w:rFonts w:eastAsiaTheme="minorEastAsia" w:cstheme="minorBidi"/>
            <w:smallCaps w:val="0"/>
            <w:noProof/>
            <w:sz w:val="22"/>
            <w:szCs w:val="22"/>
            <w:lang w:eastAsia="en-AU"/>
          </w:rPr>
          <w:tab/>
        </w:r>
        <w:r w:rsidR="00BD038B" w:rsidRPr="003E7827">
          <w:rPr>
            <w:rStyle w:val="Hyperlink"/>
            <w:noProof/>
          </w:rPr>
          <w:t>Sampling design</w:t>
        </w:r>
        <w:r w:rsidR="00BD038B">
          <w:rPr>
            <w:noProof/>
            <w:webHidden/>
          </w:rPr>
          <w:tab/>
        </w:r>
        <w:r w:rsidR="00BD038B">
          <w:rPr>
            <w:noProof/>
            <w:webHidden/>
          </w:rPr>
          <w:fldChar w:fldCharType="begin"/>
        </w:r>
        <w:r w:rsidR="00BD038B">
          <w:rPr>
            <w:noProof/>
            <w:webHidden/>
          </w:rPr>
          <w:instrText xml:space="preserve"> PAGEREF _Toc516053183 \h </w:instrText>
        </w:r>
        <w:r w:rsidR="00BD038B">
          <w:rPr>
            <w:noProof/>
            <w:webHidden/>
          </w:rPr>
        </w:r>
        <w:r w:rsidR="00BD038B">
          <w:rPr>
            <w:noProof/>
            <w:webHidden/>
          </w:rPr>
          <w:fldChar w:fldCharType="separate"/>
        </w:r>
        <w:r w:rsidR="00F87DF9">
          <w:rPr>
            <w:noProof/>
            <w:webHidden/>
          </w:rPr>
          <w:t>161</w:t>
        </w:r>
        <w:r w:rsidR="00BD038B">
          <w:rPr>
            <w:noProof/>
            <w:webHidden/>
          </w:rPr>
          <w:fldChar w:fldCharType="end"/>
        </w:r>
      </w:hyperlink>
    </w:p>
    <w:p w14:paraId="04AB173F" w14:textId="32272BA5"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84" w:history="1">
        <w:r w:rsidR="00BD038B" w:rsidRPr="003E7827">
          <w:rPr>
            <w:rStyle w:val="Hyperlink"/>
            <w:noProof/>
          </w:rPr>
          <w:t>A2.2</w:t>
        </w:r>
        <w:r w:rsidR="00BD038B">
          <w:rPr>
            <w:rFonts w:eastAsiaTheme="minorEastAsia" w:cstheme="minorBidi"/>
            <w:smallCaps w:val="0"/>
            <w:noProof/>
            <w:sz w:val="22"/>
            <w:szCs w:val="22"/>
            <w:lang w:eastAsia="en-AU"/>
          </w:rPr>
          <w:tab/>
        </w:r>
        <w:r w:rsidR="00BD038B" w:rsidRPr="003E7827">
          <w:rPr>
            <w:rStyle w:val="Hyperlink"/>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_Toc516053184 \h </w:instrText>
        </w:r>
        <w:r w:rsidR="00BD038B">
          <w:rPr>
            <w:noProof/>
            <w:webHidden/>
          </w:rPr>
        </w:r>
        <w:r w:rsidR="00BD038B">
          <w:rPr>
            <w:noProof/>
            <w:webHidden/>
          </w:rPr>
          <w:fldChar w:fldCharType="separate"/>
        </w:r>
        <w:r w:rsidR="00F87DF9">
          <w:rPr>
            <w:noProof/>
            <w:webHidden/>
          </w:rPr>
          <w:t>164</w:t>
        </w:r>
        <w:r w:rsidR="00BD038B">
          <w:rPr>
            <w:noProof/>
            <w:webHidden/>
          </w:rPr>
          <w:fldChar w:fldCharType="end"/>
        </w:r>
      </w:hyperlink>
    </w:p>
    <w:p w14:paraId="32A7734D" w14:textId="67A24830"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85" w:history="1">
        <w:r w:rsidR="00BD038B" w:rsidRPr="003E7827">
          <w:rPr>
            <w:rStyle w:val="Hyperlink"/>
            <w:rFonts w:ascii="Calibri" w:hAnsi="Calibri"/>
            <w:noProof/>
          </w:rPr>
          <w:t>A2.2.1</w:t>
        </w:r>
        <w:r w:rsidR="00BD038B">
          <w:rPr>
            <w:rFonts w:eastAsiaTheme="minorEastAsia" w:cstheme="minorBidi"/>
            <w:i w:val="0"/>
            <w:iCs w:val="0"/>
            <w:noProof/>
            <w:sz w:val="22"/>
            <w:szCs w:val="22"/>
            <w:lang w:eastAsia="en-AU"/>
          </w:rPr>
          <w:tab/>
        </w:r>
        <w:r w:rsidR="00BD038B" w:rsidRPr="003E7827">
          <w:rPr>
            <w:rStyle w:val="Hyperlink"/>
            <w:noProof/>
          </w:rPr>
          <w:t>Tidal exposure</w:t>
        </w:r>
        <w:r w:rsidR="00BD038B">
          <w:rPr>
            <w:noProof/>
            <w:webHidden/>
          </w:rPr>
          <w:tab/>
        </w:r>
        <w:r w:rsidR="00BD038B">
          <w:rPr>
            <w:noProof/>
            <w:webHidden/>
          </w:rPr>
          <w:fldChar w:fldCharType="begin"/>
        </w:r>
        <w:r w:rsidR="00BD038B">
          <w:rPr>
            <w:noProof/>
            <w:webHidden/>
          </w:rPr>
          <w:instrText xml:space="preserve"> PAGEREF _Toc516053185 \h </w:instrText>
        </w:r>
        <w:r w:rsidR="00BD038B">
          <w:rPr>
            <w:noProof/>
            <w:webHidden/>
          </w:rPr>
        </w:r>
        <w:r w:rsidR="00BD038B">
          <w:rPr>
            <w:noProof/>
            <w:webHidden/>
          </w:rPr>
          <w:fldChar w:fldCharType="separate"/>
        </w:r>
        <w:r w:rsidR="00F87DF9">
          <w:rPr>
            <w:noProof/>
            <w:webHidden/>
          </w:rPr>
          <w:t>164</w:t>
        </w:r>
        <w:r w:rsidR="00BD038B">
          <w:rPr>
            <w:noProof/>
            <w:webHidden/>
          </w:rPr>
          <w:fldChar w:fldCharType="end"/>
        </w:r>
      </w:hyperlink>
    </w:p>
    <w:p w14:paraId="5CFF1947" w14:textId="50F2D832"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86" w:history="1">
        <w:r w:rsidR="00BD038B" w:rsidRPr="003E7827">
          <w:rPr>
            <w:rStyle w:val="Hyperlink"/>
            <w:rFonts w:ascii="Calibri" w:hAnsi="Calibri"/>
            <w:noProof/>
          </w:rPr>
          <w:t>A2.2.2</w:t>
        </w:r>
        <w:r w:rsidR="00BD038B">
          <w:rPr>
            <w:rFonts w:eastAsiaTheme="minorEastAsia" w:cstheme="minorBidi"/>
            <w:i w:val="0"/>
            <w:iCs w:val="0"/>
            <w:noProof/>
            <w:sz w:val="22"/>
            <w:szCs w:val="22"/>
            <w:lang w:eastAsia="en-AU"/>
          </w:rPr>
          <w:tab/>
        </w:r>
        <w:r w:rsidR="00BD038B" w:rsidRPr="003E7827">
          <w:rPr>
            <w:rStyle w:val="Hyperlink"/>
            <w:noProof/>
          </w:rPr>
          <w:t>Light loggers</w:t>
        </w:r>
        <w:r w:rsidR="00BD038B">
          <w:rPr>
            <w:noProof/>
            <w:webHidden/>
          </w:rPr>
          <w:tab/>
        </w:r>
        <w:r w:rsidR="00BD038B">
          <w:rPr>
            <w:noProof/>
            <w:webHidden/>
          </w:rPr>
          <w:fldChar w:fldCharType="begin"/>
        </w:r>
        <w:r w:rsidR="00BD038B">
          <w:rPr>
            <w:noProof/>
            <w:webHidden/>
          </w:rPr>
          <w:instrText xml:space="preserve"> PAGEREF _Toc516053186 \h </w:instrText>
        </w:r>
        <w:r w:rsidR="00BD038B">
          <w:rPr>
            <w:noProof/>
            <w:webHidden/>
          </w:rPr>
        </w:r>
        <w:r w:rsidR="00BD038B">
          <w:rPr>
            <w:noProof/>
            <w:webHidden/>
          </w:rPr>
          <w:fldChar w:fldCharType="separate"/>
        </w:r>
        <w:r w:rsidR="00F87DF9">
          <w:rPr>
            <w:noProof/>
            <w:webHidden/>
          </w:rPr>
          <w:t>164</w:t>
        </w:r>
        <w:r w:rsidR="00BD038B">
          <w:rPr>
            <w:noProof/>
            <w:webHidden/>
          </w:rPr>
          <w:fldChar w:fldCharType="end"/>
        </w:r>
      </w:hyperlink>
    </w:p>
    <w:p w14:paraId="41799D7F" w14:textId="79310AAD"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87" w:history="1">
        <w:r w:rsidR="00BD038B" w:rsidRPr="003E7827">
          <w:rPr>
            <w:rStyle w:val="Hyperlink"/>
            <w:rFonts w:ascii="Calibri" w:hAnsi="Calibri"/>
            <w:noProof/>
          </w:rPr>
          <w:t>A2.2.3</w:t>
        </w:r>
        <w:r w:rsidR="00BD038B">
          <w:rPr>
            <w:rFonts w:eastAsiaTheme="minorEastAsia" w:cstheme="minorBidi"/>
            <w:i w:val="0"/>
            <w:iCs w:val="0"/>
            <w:noProof/>
            <w:sz w:val="22"/>
            <w:szCs w:val="22"/>
            <w:lang w:eastAsia="en-AU"/>
          </w:rPr>
          <w:tab/>
        </w:r>
        <w:r w:rsidR="00BD038B" w:rsidRPr="003E7827">
          <w:rPr>
            <w:rStyle w:val="Hyperlink"/>
            <w:noProof/>
          </w:rPr>
          <w:t>Within seagrass canopy temperature loggers</w:t>
        </w:r>
        <w:r w:rsidR="00BD038B">
          <w:rPr>
            <w:noProof/>
            <w:webHidden/>
          </w:rPr>
          <w:tab/>
        </w:r>
        <w:r w:rsidR="00BD038B">
          <w:rPr>
            <w:noProof/>
            <w:webHidden/>
          </w:rPr>
          <w:fldChar w:fldCharType="begin"/>
        </w:r>
        <w:r w:rsidR="00BD038B">
          <w:rPr>
            <w:noProof/>
            <w:webHidden/>
          </w:rPr>
          <w:instrText xml:space="preserve"> PAGEREF _Toc516053187 \h </w:instrText>
        </w:r>
        <w:r w:rsidR="00BD038B">
          <w:rPr>
            <w:noProof/>
            <w:webHidden/>
          </w:rPr>
        </w:r>
        <w:r w:rsidR="00BD038B">
          <w:rPr>
            <w:noProof/>
            <w:webHidden/>
          </w:rPr>
          <w:fldChar w:fldCharType="separate"/>
        </w:r>
        <w:r w:rsidR="00F87DF9">
          <w:rPr>
            <w:noProof/>
            <w:webHidden/>
          </w:rPr>
          <w:t>166</w:t>
        </w:r>
        <w:r w:rsidR="00BD038B">
          <w:rPr>
            <w:noProof/>
            <w:webHidden/>
          </w:rPr>
          <w:fldChar w:fldCharType="end"/>
        </w:r>
      </w:hyperlink>
    </w:p>
    <w:p w14:paraId="719BEFC5" w14:textId="0EFC31A7"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88" w:history="1">
        <w:r w:rsidR="00BD038B" w:rsidRPr="003E7827">
          <w:rPr>
            <w:rStyle w:val="Hyperlink"/>
            <w:noProof/>
          </w:rPr>
          <w:t>A2.3</w:t>
        </w:r>
        <w:r w:rsidR="00BD038B">
          <w:rPr>
            <w:rFonts w:eastAsiaTheme="minorEastAsia" w:cstheme="minorBidi"/>
            <w:smallCaps w:val="0"/>
            <w:noProof/>
            <w:sz w:val="22"/>
            <w:szCs w:val="22"/>
            <w:lang w:eastAsia="en-AU"/>
          </w:rPr>
          <w:tab/>
        </w:r>
        <w:r w:rsidR="00BD038B" w:rsidRPr="003E7827">
          <w:rPr>
            <w:rStyle w:val="Hyperlink"/>
            <w:noProof/>
          </w:rPr>
          <w:t>Seagrass status</w:t>
        </w:r>
        <w:r w:rsidR="00BD038B">
          <w:rPr>
            <w:noProof/>
            <w:webHidden/>
          </w:rPr>
          <w:tab/>
        </w:r>
        <w:r w:rsidR="00BD038B">
          <w:rPr>
            <w:noProof/>
            <w:webHidden/>
          </w:rPr>
          <w:fldChar w:fldCharType="begin"/>
        </w:r>
        <w:r w:rsidR="00BD038B">
          <w:rPr>
            <w:noProof/>
            <w:webHidden/>
          </w:rPr>
          <w:instrText xml:space="preserve"> PAGEREF _Toc516053188 \h </w:instrText>
        </w:r>
        <w:r w:rsidR="00BD038B">
          <w:rPr>
            <w:noProof/>
            <w:webHidden/>
          </w:rPr>
        </w:r>
        <w:r w:rsidR="00BD038B">
          <w:rPr>
            <w:noProof/>
            <w:webHidden/>
          </w:rPr>
          <w:fldChar w:fldCharType="separate"/>
        </w:r>
        <w:r w:rsidR="00F87DF9">
          <w:rPr>
            <w:noProof/>
            <w:webHidden/>
          </w:rPr>
          <w:t>167</w:t>
        </w:r>
        <w:r w:rsidR="00BD038B">
          <w:rPr>
            <w:noProof/>
            <w:webHidden/>
          </w:rPr>
          <w:fldChar w:fldCharType="end"/>
        </w:r>
      </w:hyperlink>
    </w:p>
    <w:p w14:paraId="064A4238" w14:textId="136495B2"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89" w:history="1">
        <w:r w:rsidR="00BD038B" w:rsidRPr="003E7827">
          <w:rPr>
            <w:rStyle w:val="Hyperlink"/>
            <w:rFonts w:ascii="Calibri" w:hAnsi="Calibri"/>
            <w:noProof/>
          </w:rPr>
          <w:t>A2.3.1</w:t>
        </w:r>
        <w:r w:rsidR="00BD038B">
          <w:rPr>
            <w:rFonts w:eastAsiaTheme="minorEastAsia" w:cstheme="minorBidi"/>
            <w:i w:val="0"/>
            <w:iCs w:val="0"/>
            <w:noProof/>
            <w:sz w:val="22"/>
            <w:szCs w:val="22"/>
            <w:lang w:eastAsia="en-AU"/>
          </w:rPr>
          <w:tab/>
        </w:r>
        <w:r w:rsidR="00BD038B" w:rsidRPr="003E7827">
          <w:rPr>
            <w:rStyle w:val="Hyperlink"/>
            <w:noProof/>
          </w:rPr>
          <w:t>Field survey methods</w:t>
        </w:r>
        <w:r w:rsidR="00BD038B">
          <w:rPr>
            <w:noProof/>
            <w:webHidden/>
          </w:rPr>
          <w:tab/>
        </w:r>
        <w:r w:rsidR="00BD038B">
          <w:rPr>
            <w:noProof/>
            <w:webHidden/>
          </w:rPr>
          <w:fldChar w:fldCharType="begin"/>
        </w:r>
        <w:r w:rsidR="00BD038B">
          <w:rPr>
            <w:noProof/>
            <w:webHidden/>
          </w:rPr>
          <w:instrText xml:space="preserve"> PAGEREF _Toc516053189 \h </w:instrText>
        </w:r>
        <w:r w:rsidR="00BD038B">
          <w:rPr>
            <w:noProof/>
            <w:webHidden/>
          </w:rPr>
        </w:r>
        <w:r w:rsidR="00BD038B">
          <w:rPr>
            <w:noProof/>
            <w:webHidden/>
          </w:rPr>
          <w:fldChar w:fldCharType="separate"/>
        </w:r>
        <w:r w:rsidR="00F87DF9">
          <w:rPr>
            <w:noProof/>
            <w:webHidden/>
          </w:rPr>
          <w:t>167</w:t>
        </w:r>
        <w:r w:rsidR="00BD038B">
          <w:rPr>
            <w:noProof/>
            <w:webHidden/>
          </w:rPr>
          <w:fldChar w:fldCharType="end"/>
        </w:r>
      </w:hyperlink>
    </w:p>
    <w:p w14:paraId="69DB1650" w14:textId="7926C1E6"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90" w:history="1">
        <w:r w:rsidR="00BD038B" w:rsidRPr="003E7827">
          <w:rPr>
            <w:rStyle w:val="Hyperlink"/>
            <w:rFonts w:ascii="Calibri" w:hAnsi="Calibri"/>
            <w:noProof/>
          </w:rPr>
          <w:t>A2.3.2</w:t>
        </w:r>
        <w:r w:rsidR="00BD038B">
          <w:rPr>
            <w:rFonts w:eastAsiaTheme="minorEastAsia" w:cstheme="minorBidi"/>
            <w:i w:val="0"/>
            <w:iCs w:val="0"/>
            <w:noProof/>
            <w:sz w:val="22"/>
            <w:szCs w:val="22"/>
            <w:lang w:eastAsia="en-AU"/>
          </w:rPr>
          <w:tab/>
        </w:r>
        <w:r w:rsidR="00BD038B" w:rsidRPr="003E7827">
          <w:rPr>
            <w:rStyle w:val="Hyperlink"/>
            <w:noProof/>
          </w:rPr>
          <w:t>Observer training</w:t>
        </w:r>
        <w:r w:rsidR="00BD038B">
          <w:rPr>
            <w:noProof/>
            <w:webHidden/>
          </w:rPr>
          <w:tab/>
        </w:r>
        <w:r w:rsidR="00BD038B">
          <w:rPr>
            <w:noProof/>
            <w:webHidden/>
          </w:rPr>
          <w:fldChar w:fldCharType="begin"/>
        </w:r>
        <w:r w:rsidR="00BD038B">
          <w:rPr>
            <w:noProof/>
            <w:webHidden/>
          </w:rPr>
          <w:instrText xml:space="preserve"> PAGEREF _Toc516053190 \h </w:instrText>
        </w:r>
        <w:r w:rsidR="00BD038B">
          <w:rPr>
            <w:noProof/>
            <w:webHidden/>
          </w:rPr>
        </w:r>
        <w:r w:rsidR="00BD038B">
          <w:rPr>
            <w:noProof/>
            <w:webHidden/>
          </w:rPr>
          <w:fldChar w:fldCharType="separate"/>
        </w:r>
        <w:r w:rsidR="00F87DF9">
          <w:rPr>
            <w:noProof/>
            <w:webHidden/>
          </w:rPr>
          <w:t>172</w:t>
        </w:r>
        <w:r w:rsidR="00BD038B">
          <w:rPr>
            <w:noProof/>
            <w:webHidden/>
          </w:rPr>
          <w:fldChar w:fldCharType="end"/>
        </w:r>
      </w:hyperlink>
    </w:p>
    <w:p w14:paraId="14F3EF34" w14:textId="42EE1D5C"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191" w:history="1">
        <w:r w:rsidR="00BD038B" w:rsidRPr="003E7827">
          <w:rPr>
            <w:rStyle w:val="Hyperlink"/>
            <w:rFonts w:ascii="Calibri" w:hAnsi="Calibri"/>
            <w:noProof/>
          </w:rPr>
          <w:t>A2.3.3</w:t>
        </w:r>
        <w:r w:rsidR="00BD038B">
          <w:rPr>
            <w:rFonts w:eastAsiaTheme="minorEastAsia" w:cstheme="minorBidi"/>
            <w:i w:val="0"/>
            <w:iCs w:val="0"/>
            <w:noProof/>
            <w:sz w:val="22"/>
            <w:szCs w:val="22"/>
            <w:lang w:eastAsia="en-AU"/>
          </w:rPr>
          <w:tab/>
        </w:r>
        <w:r w:rsidR="00BD038B" w:rsidRPr="003E7827">
          <w:rPr>
            <w:rStyle w:val="Hyperlink"/>
            <w:noProof/>
          </w:rPr>
          <w:t>Laboratory analysis</w:t>
        </w:r>
        <w:r w:rsidR="00BD038B">
          <w:rPr>
            <w:noProof/>
            <w:webHidden/>
          </w:rPr>
          <w:tab/>
        </w:r>
        <w:r w:rsidR="00BD038B">
          <w:rPr>
            <w:noProof/>
            <w:webHidden/>
          </w:rPr>
          <w:fldChar w:fldCharType="begin"/>
        </w:r>
        <w:r w:rsidR="00BD038B">
          <w:rPr>
            <w:noProof/>
            <w:webHidden/>
          </w:rPr>
          <w:instrText xml:space="preserve"> PAGEREF _Toc516053191 \h </w:instrText>
        </w:r>
        <w:r w:rsidR="00BD038B">
          <w:rPr>
            <w:noProof/>
            <w:webHidden/>
          </w:rPr>
        </w:r>
        <w:r w:rsidR="00BD038B">
          <w:rPr>
            <w:noProof/>
            <w:webHidden/>
          </w:rPr>
          <w:fldChar w:fldCharType="separate"/>
        </w:r>
        <w:r w:rsidR="00F87DF9">
          <w:rPr>
            <w:noProof/>
            <w:webHidden/>
          </w:rPr>
          <w:t>172</w:t>
        </w:r>
        <w:r w:rsidR="00BD038B">
          <w:rPr>
            <w:noProof/>
            <w:webHidden/>
          </w:rPr>
          <w:fldChar w:fldCharType="end"/>
        </w:r>
      </w:hyperlink>
    </w:p>
    <w:p w14:paraId="6D2C6632" w14:textId="642B6E4F" w:rsidR="00BD038B" w:rsidRDefault="00D05880">
      <w:pPr>
        <w:pStyle w:val="TOC1"/>
        <w:tabs>
          <w:tab w:val="left" w:pos="1540"/>
        </w:tabs>
        <w:rPr>
          <w:rFonts w:eastAsiaTheme="minorEastAsia" w:cstheme="minorBidi"/>
          <w:b w:val="0"/>
          <w:bCs w:val="0"/>
          <w:caps w:val="0"/>
          <w:noProof/>
          <w:sz w:val="22"/>
          <w:szCs w:val="22"/>
          <w:lang w:eastAsia="en-AU"/>
        </w:rPr>
      </w:pPr>
      <w:hyperlink w:anchor="_Toc516053192" w:history="1">
        <w:r w:rsidR="00BD038B" w:rsidRPr="003E7827">
          <w:rPr>
            <w:rStyle w:val="Hyperlink"/>
            <w:rFonts w:ascii="Century Gothic" w:hAnsi="Century Gothic"/>
            <w:noProof/>
          </w:rPr>
          <w:t>Appendix 3</w:t>
        </w:r>
        <w:r w:rsidR="00BD038B">
          <w:rPr>
            <w:rFonts w:eastAsiaTheme="minorEastAsia" w:cstheme="minorBidi"/>
            <w:b w:val="0"/>
            <w:bCs w:val="0"/>
            <w:caps w:val="0"/>
            <w:noProof/>
            <w:sz w:val="22"/>
            <w:szCs w:val="22"/>
            <w:lang w:eastAsia="en-AU"/>
          </w:rPr>
          <w:tab/>
        </w:r>
        <w:r w:rsidR="00BD038B" w:rsidRPr="003E7827">
          <w:rPr>
            <w:rStyle w:val="Hyperlink"/>
            <w:noProof/>
          </w:rPr>
          <w:t>Report card methods and calculations</w:t>
        </w:r>
        <w:r w:rsidR="00BD038B">
          <w:rPr>
            <w:noProof/>
            <w:webHidden/>
          </w:rPr>
          <w:tab/>
        </w:r>
        <w:r w:rsidR="00BD038B">
          <w:rPr>
            <w:noProof/>
            <w:webHidden/>
          </w:rPr>
          <w:fldChar w:fldCharType="begin"/>
        </w:r>
        <w:r w:rsidR="00BD038B">
          <w:rPr>
            <w:noProof/>
            <w:webHidden/>
          </w:rPr>
          <w:instrText xml:space="preserve"> PAGEREF _Toc516053192 \h </w:instrText>
        </w:r>
        <w:r w:rsidR="00BD038B">
          <w:rPr>
            <w:noProof/>
            <w:webHidden/>
          </w:rPr>
        </w:r>
        <w:r w:rsidR="00BD038B">
          <w:rPr>
            <w:noProof/>
            <w:webHidden/>
          </w:rPr>
          <w:fldChar w:fldCharType="separate"/>
        </w:r>
        <w:r w:rsidR="00F87DF9">
          <w:rPr>
            <w:noProof/>
            <w:webHidden/>
          </w:rPr>
          <w:t>175</w:t>
        </w:r>
        <w:r w:rsidR="00BD038B">
          <w:rPr>
            <w:noProof/>
            <w:webHidden/>
          </w:rPr>
          <w:fldChar w:fldCharType="end"/>
        </w:r>
      </w:hyperlink>
    </w:p>
    <w:p w14:paraId="5B5970DE" w14:textId="6AE3F01D"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93" w:history="1">
        <w:r w:rsidR="00BD038B" w:rsidRPr="003E7827">
          <w:rPr>
            <w:rStyle w:val="Hyperlink"/>
            <w:noProof/>
          </w:rPr>
          <w:t>A3.1</w:t>
        </w:r>
        <w:r w:rsidR="00BD038B">
          <w:rPr>
            <w:rFonts w:eastAsiaTheme="minorEastAsia" w:cstheme="minorBidi"/>
            <w:smallCaps w:val="0"/>
            <w:noProof/>
            <w:sz w:val="22"/>
            <w:szCs w:val="22"/>
            <w:lang w:eastAsia="en-AU"/>
          </w:rPr>
          <w:tab/>
        </w:r>
        <w:r w:rsidR="00BD038B" w:rsidRPr="003E7827">
          <w:rPr>
            <w:rStyle w:val="Hyperlink"/>
            <w:noProof/>
          </w:rPr>
          <w:t>Report card approach</w:t>
        </w:r>
        <w:r w:rsidR="00BD038B">
          <w:rPr>
            <w:noProof/>
            <w:webHidden/>
          </w:rPr>
          <w:tab/>
        </w:r>
        <w:r w:rsidR="00BD038B">
          <w:rPr>
            <w:noProof/>
            <w:webHidden/>
          </w:rPr>
          <w:fldChar w:fldCharType="begin"/>
        </w:r>
        <w:r w:rsidR="00BD038B">
          <w:rPr>
            <w:noProof/>
            <w:webHidden/>
          </w:rPr>
          <w:instrText xml:space="preserve"> PAGEREF _Toc516053193 \h </w:instrText>
        </w:r>
        <w:r w:rsidR="00BD038B">
          <w:rPr>
            <w:noProof/>
            <w:webHidden/>
          </w:rPr>
        </w:r>
        <w:r w:rsidR="00BD038B">
          <w:rPr>
            <w:noProof/>
            <w:webHidden/>
          </w:rPr>
          <w:fldChar w:fldCharType="separate"/>
        </w:r>
        <w:r w:rsidR="00F87DF9">
          <w:rPr>
            <w:noProof/>
            <w:webHidden/>
          </w:rPr>
          <w:t>176</w:t>
        </w:r>
        <w:r w:rsidR="00BD038B">
          <w:rPr>
            <w:noProof/>
            <w:webHidden/>
          </w:rPr>
          <w:fldChar w:fldCharType="end"/>
        </w:r>
      </w:hyperlink>
    </w:p>
    <w:p w14:paraId="114BD349" w14:textId="473D9CF6"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94" w:history="1">
        <w:r w:rsidR="00BD038B" w:rsidRPr="003E7827">
          <w:rPr>
            <w:rStyle w:val="Hyperlink"/>
            <w:noProof/>
          </w:rPr>
          <w:t>A3.2</w:t>
        </w:r>
        <w:r w:rsidR="00BD038B">
          <w:rPr>
            <w:rFonts w:eastAsiaTheme="minorEastAsia" w:cstheme="minorBidi"/>
            <w:smallCaps w:val="0"/>
            <w:noProof/>
            <w:sz w:val="22"/>
            <w:szCs w:val="22"/>
            <w:lang w:eastAsia="en-AU"/>
          </w:rPr>
          <w:tab/>
        </w:r>
        <w:r w:rsidR="00BD038B" w:rsidRPr="003E7827">
          <w:rPr>
            <w:rStyle w:val="Hyperlink"/>
            <w:noProof/>
          </w:rPr>
          <w:t>Seagrass abundance</w:t>
        </w:r>
        <w:r w:rsidR="00BD038B">
          <w:rPr>
            <w:noProof/>
            <w:webHidden/>
          </w:rPr>
          <w:tab/>
        </w:r>
        <w:r w:rsidR="00BD038B">
          <w:rPr>
            <w:noProof/>
            <w:webHidden/>
          </w:rPr>
          <w:fldChar w:fldCharType="begin"/>
        </w:r>
        <w:r w:rsidR="00BD038B">
          <w:rPr>
            <w:noProof/>
            <w:webHidden/>
          </w:rPr>
          <w:instrText xml:space="preserve"> PAGEREF _Toc516053194 \h </w:instrText>
        </w:r>
        <w:r w:rsidR="00BD038B">
          <w:rPr>
            <w:noProof/>
            <w:webHidden/>
          </w:rPr>
        </w:r>
        <w:r w:rsidR="00BD038B">
          <w:rPr>
            <w:noProof/>
            <w:webHidden/>
          </w:rPr>
          <w:fldChar w:fldCharType="separate"/>
        </w:r>
        <w:r w:rsidR="00F87DF9">
          <w:rPr>
            <w:noProof/>
            <w:webHidden/>
          </w:rPr>
          <w:t>176</w:t>
        </w:r>
        <w:r w:rsidR="00BD038B">
          <w:rPr>
            <w:noProof/>
            <w:webHidden/>
          </w:rPr>
          <w:fldChar w:fldCharType="end"/>
        </w:r>
      </w:hyperlink>
    </w:p>
    <w:p w14:paraId="24F55ACF" w14:textId="2C63DF3B"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95" w:history="1">
        <w:r w:rsidR="00BD038B" w:rsidRPr="003E7827">
          <w:rPr>
            <w:rStyle w:val="Hyperlink"/>
            <w:noProof/>
          </w:rPr>
          <w:t>A3.3</w:t>
        </w:r>
        <w:r w:rsidR="00BD038B">
          <w:rPr>
            <w:rFonts w:eastAsiaTheme="minorEastAsia" w:cstheme="minorBidi"/>
            <w:smallCaps w:val="0"/>
            <w:noProof/>
            <w:sz w:val="22"/>
            <w:szCs w:val="22"/>
            <w:lang w:eastAsia="en-AU"/>
          </w:rPr>
          <w:tab/>
        </w:r>
        <w:r w:rsidR="00BD038B" w:rsidRPr="003E7827">
          <w:rPr>
            <w:rStyle w:val="Hyperlink"/>
            <w:noProof/>
          </w:rPr>
          <w:t>Seagrass reproductive effort</w:t>
        </w:r>
        <w:r w:rsidR="00BD038B">
          <w:rPr>
            <w:noProof/>
            <w:webHidden/>
          </w:rPr>
          <w:tab/>
        </w:r>
        <w:r w:rsidR="00BD038B">
          <w:rPr>
            <w:noProof/>
            <w:webHidden/>
          </w:rPr>
          <w:fldChar w:fldCharType="begin"/>
        </w:r>
        <w:r w:rsidR="00BD038B">
          <w:rPr>
            <w:noProof/>
            <w:webHidden/>
          </w:rPr>
          <w:instrText xml:space="preserve"> PAGEREF _Toc516053195 \h </w:instrText>
        </w:r>
        <w:r w:rsidR="00BD038B">
          <w:rPr>
            <w:noProof/>
            <w:webHidden/>
          </w:rPr>
        </w:r>
        <w:r w:rsidR="00BD038B">
          <w:rPr>
            <w:noProof/>
            <w:webHidden/>
          </w:rPr>
          <w:fldChar w:fldCharType="separate"/>
        </w:r>
        <w:r w:rsidR="00F87DF9">
          <w:rPr>
            <w:noProof/>
            <w:webHidden/>
          </w:rPr>
          <w:t>184</w:t>
        </w:r>
        <w:r w:rsidR="00BD038B">
          <w:rPr>
            <w:noProof/>
            <w:webHidden/>
          </w:rPr>
          <w:fldChar w:fldCharType="end"/>
        </w:r>
      </w:hyperlink>
    </w:p>
    <w:p w14:paraId="73A96F05" w14:textId="1DCDBB53"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96" w:history="1">
        <w:r w:rsidR="00BD038B" w:rsidRPr="003E7827">
          <w:rPr>
            <w:rStyle w:val="Hyperlink"/>
            <w:noProof/>
          </w:rPr>
          <w:t>A3.4</w:t>
        </w:r>
        <w:r w:rsidR="00BD038B">
          <w:rPr>
            <w:rFonts w:eastAsiaTheme="minorEastAsia" w:cstheme="minorBidi"/>
            <w:smallCaps w:val="0"/>
            <w:noProof/>
            <w:sz w:val="22"/>
            <w:szCs w:val="22"/>
            <w:lang w:eastAsia="en-AU"/>
          </w:rPr>
          <w:tab/>
        </w:r>
        <w:r w:rsidR="00BD038B" w:rsidRPr="003E7827">
          <w:rPr>
            <w:rStyle w:val="Hyperlink"/>
            <w:noProof/>
          </w:rPr>
          <w:t>Seagrass nutrient status.</w:t>
        </w:r>
        <w:r w:rsidR="00BD038B">
          <w:rPr>
            <w:noProof/>
            <w:webHidden/>
          </w:rPr>
          <w:tab/>
        </w:r>
        <w:r w:rsidR="00BD038B">
          <w:rPr>
            <w:noProof/>
            <w:webHidden/>
          </w:rPr>
          <w:fldChar w:fldCharType="begin"/>
        </w:r>
        <w:r w:rsidR="00BD038B">
          <w:rPr>
            <w:noProof/>
            <w:webHidden/>
          </w:rPr>
          <w:instrText xml:space="preserve"> PAGEREF _Toc516053196 \h </w:instrText>
        </w:r>
        <w:r w:rsidR="00BD038B">
          <w:rPr>
            <w:noProof/>
            <w:webHidden/>
          </w:rPr>
        </w:r>
        <w:r w:rsidR="00BD038B">
          <w:rPr>
            <w:noProof/>
            <w:webHidden/>
          </w:rPr>
          <w:fldChar w:fldCharType="separate"/>
        </w:r>
        <w:r w:rsidR="00F87DF9">
          <w:rPr>
            <w:noProof/>
            <w:webHidden/>
          </w:rPr>
          <w:t>186</w:t>
        </w:r>
        <w:r w:rsidR="00BD038B">
          <w:rPr>
            <w:noProof/>
            <w:webHidden/>
          </w:rPr>
          <w:fldChar w:fldCharType="end"/>
        </w:r>
      </w:hyperlink>
    </w:p>
    <w:p w14:paraId="4614F905" w14:textId="7F5701E7"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97" w:history="1">
        <w:r w:rsidR="00BD038B" w:rsidRPr="003E7827">
          <w:rPr>
            <w:rStyle w:val="Hyperlink"/>
            <w:noProof/>
          </w:rPr>
          <w:t>A3.5</w:t>
        </w:r>
        <w:r w:rsidR="00BD038B">
          <w:rPr>
            <w:rFonts w:eastAsiaTheme="minorEastAsia" w:cstheme="minorBidi"/>
            <w:smallCaps w:val="0"/>
            <w:noProof/>
            <w:sz w:val="22"/>
            <w:szCs w:val="22"/>
            <w:lang w:eastAsia="en-AU"/>
          </w:rPr>
          <w:tab/>
        </w:r>
        <w:r w:rsidR="00BD038B" w:rsidRPr="003E7827">
          <w:rPr>
            <w:rStyle w:val="Hyperlink"/>
            <w:noProof/>
          </w:rPr>
          <w:t>Seagrass index</w:t>
        </w:r>
        <w:r w:rsidR="00BD038B">
          <w:rPr>
            <w:noProof/>
            <w:webHidden/>
          </w:rPr>
          <w:tab/>
        </w:r>
        <w:r w:rsidR="00BD038B">
          <w:rPr>
            <w:noProof/>
            <w:webHidden/>
          </w:rPr>
          <w:fldChar w:fldCharType="begin"/>
        </w:r>
        <w:r w:rsidR="00BD038B">
          <w:rPr>
            <w:noProof/>
            <w:webHidden/>
          </w:rPr>
          <w:instrText xml:space="preserve"> PAGEREF _Toc516053197 \h </w:instrText>
        </w:r>
        <w:r w:rsidR="00BD038B">
          <w:rPr>
            <w:noProof/>
            <w:webHidden/>
          </w:rPr>
        </w:r>
        <w:r w:rsidR="00BD038B">
          <w:rPr>
            <w:noProof/>
            <w:webHidden/>
          </w:rPr>
          <w:fldChar w:fldCharType="separate"/>
        </w:r>
        <w:r w:rsidR="00F87DF9">
          <w:rPr>
            <w:noProof/>
            <w:webHidden/>
          </w:rPr>
          <w:t>188</w:t>
        </w:r>
        <w:r w:rsidR="00BD038B">
          <w:rPr>
            <w:noProof/>
            <w:webHidden/>
          </w:rPr>
          <w:fldChar w:fldCharType="end"/>
        </w:r>
      </w:hyperlink>
    </w:p>
    <w:p w14:paraId="2DA2055E" w14:textId="03ECD9DB" w:rsidR="00BD038B" w:rsidRDefault="00D05880">
      <w:pPr>
        <w:pStyle w:val="TOC1"/>
        <w:tabs>
          <w:tab w:val="left" w:pos="1540"/>
        </w:tabs>
        <w:rPr>
          <w:rFonts w:eastAsiaTheme="minorEastAsia" w:cstheme="minorBidi"/>
          <w:b w:val="0"/>
          <w:bCs w:val="0"/>
          <w:caps w:val="0"/>
          <w:noProof/>
          <w:sz w:val="22"/>
          <w:szCs w:val="22"/>
          <w:lang w:eastAsia="en-AU"/>
        </w:rPr>
      </w:pPr>
      <w:hyperlink w:anchor="_Toc516053198" w:history="1">
        <w:r w:rsidR="00BD038B" w:rsidRPr="003E7827">
          <w:rPr>
            <w:rStyle w:val="Hyperlink"/>
            <w:rFonts w:ascii="Century Gothic" w:hAnsi="Century Gothic"/>
            <w:noProof/>
          </w:rPr>
          <w:t>Appendix 4</w:t>
        </w:r>
        <w:r w:rsidR="00BD038B">
          <w:rPr>
            <w:rFonts w:eastAsiaTheme="minorEastAsia" w:cstheme="minorBidi"/>
            <w:b w:val="0"/>
            <w:bCs w:val="0"/>
            <w:caps w:val="0"/>
            <w:noProof/>
            <w:sz w:val="22"/>
            <w:szCs w:val="22"/>
            <w:lang w:eastAsia="en-AU"/>
          </w:rPr>
          <w:tab/>
        </w:r>
        <w:r w:rsidR="00BD038B" w:rsidRPr="003E7827">
          <w:rPr>
            <w:rStyle w:val="Hyperlink"/>
            <w:noProof/>
          </w:rPr>
          <w:t>Detailed data</w:t>
        </w:r>
        <w:r w:rsidR="00BD038B">
          <w:rPr>
            <w:noProof/>
            <w:webHidden/>
          </w:rPr>
          <w:tab/>
        </w:r>
        <w:r w:rsidR="00BD038B">
          <w:rPr>
            <w:noProof/>
            <w:webHidden/>
          </w:rPr>
          <w:fldChar w:fldCharType="begin"/>
        </w:r>
        <w:r w:rsidR="00BD038B">
          <w:rPr>
            <w:noProof/>
            <w:webHidden/>
          </w:rPr>
          <w:instrText xml:space="preserve"> PAGEREF _Toc516053198 \h </w:instrText>
        </w:r>
        <w:r w:rsidR="00BD038B">
          <w:rPr>
            <w:noProof/>
            <w:webHidden/>
          </w:rPr>
        </w:r>
        <w:r w:rsidR="00BD038B">
          <w:rPr>
            <w:noProof/>
            <w:webHidden/>
          </w:rPr>
          <w:fldChar w:fldCharType="separate"/>
        </w:r>
        <w:r w:rsidR="00F87DF9">
          <w:rPr>
            <w:noProof/>
            <w:webHidden/>
          </w:rPr>
          <w:t>189</w:t>
        </w:r>
        <w:r w:rsidR="00BD038B">
          <w:rPr>
            <w:noProof/>
            <w:webHidden/>
          </w:rPr>
          <w:fldChar w:fldCharType="end"/>
        </w:r>
      </w:hyperlink>
    </w:p>
    <w:p w14:paraId="3BB4A4BD" w14:textId="14EB3829"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199" w:history="1">
        <w:r w:rsidR="00BD038B" w:rsidRPr="003E7827">
          <w:rPr>
            <w:rStyle w:val="Hyperlink"/>
            <w:noProof/>
          </w:rPr>
          <w:t>A4.1</w:t>
        </w:r>
        <w:r w:rsidR="00BD038B">
          <w:rPr>
            <w:rFonts w:eastAsiaTheme="minorEastAsia" w:cstheme="minorBidi"/>
            <w:smallCaps w:val="0"/>
            <w:noProof/>
            <w:sz w:val="22"/>
            <w:szCs w:val="22"/>
            <w:lang w:eastAsia="en-AU"/>
          </w:rPr>
          <w:tab/>
        </w:r>
        <w:r w:rsidR="00BD038B" w:rsidRPr="003E7827">
          <w:rPr>
            <w:rStyle w:val="Hyperlink"/>
            <w:noProof/>
          </w:rPr>
          <w:t>Climate and environmental pressures</w:t>
        </w:r>
        <w:r w:rsidR="00BD038B">
          <w:rPr>
            <w:noProof/>
            <w:webHidden/>
          </w:rPr>
          <w:tab/>
        </w:r>
        <w:r w:rsidR="00BD038B">
          <w:rPr>
            <w:noProof/>
            <w:webHidden/>
          </w:rPr>
          <w:fldChar w:fldCharType="begin"/>
        </w:r>
        <w:r w:rsidR="00BD038B">
          <w:rPr>
            <w:noProof/>
            <w:webHidden/>
          </w:rPr>
          <w:instrText xml:space="preserve"> PAGEREF _Toc516053199 \h </w:instrText>
        </w:r>
        <w:r w:rsidR="00BD038B">
          <w:rPr>
            <w:noProof/>
            <w:webHidden/>
          </w:rPr>
        </w:r>
        <w:r w:rsidR="00BD038B">
          <w:rPr>
            <w:noProof/>
            <w:webHidden/>
          </w:rPr>
          <w:fldChar w:fldCharType="separate"/>
        </w:r>
        <w:r w:rsidR="00F87DF9">
          <w:rPr>
            <w:noProof/>
            <w:webHidden/>
          </w:rPr>
          <w:t>190</w:t>
        </w:r>
        <w:r w:rsidR="00BD038B">
          <w:rPr>
            <w:noProof/>
            <w:webHidden/>
          </w:rPr>
          <w:fldChar w:fldCharType="end"/>
        </w:r>
      </w:hyperlink>
    </w:p>
    <w:p w14:paraId="1C20CC57" w14:textId="1A1E9D48"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0" w:history="1">
        <w:r w:rsidR="00BD038B" w:rsidRPr="003E7827">
          <w:rPr>
            <w:rStyle w:val="Hyperlink"/>
            <w:rFonts w:ascii="Calibri" w:hAnsi="Calibri"/>
            <w:noProof/>
          </w:rPr>
          <w:t>A4.1.1</w:t>
        </w:r>
        <w:r w:rsidR="00BD038B">
          <w:rPr>
            <w:rFonts w:eastAsiaTheme="minorEastAsia" w:cstheme="minorBidi"/>
            <w:i w:val="0"/>
            <w:iCs w:val="0"/>
            <w:noProof/>
            <w:sz w:val="22"/>
            <w:szCs w:val="22"/>
            <w:lang w:eastAsia="en-AU"/>
          </w:rPr>
          <w:tab/>
        </w:r>
        <w:r w:rsidR="00BD038B" w:rsidRPr="003E7827">
          <w:rPr>
            <w:rStyle w:val="Hyperlink"/>
            <w:noProof/>
          </w:rPr>
          <w:t>Climate</w:t>
        </w:r>
        <w:r w:rsidR="00BD038B">
          <w:rPr>
            <w:noProof/>
            <w:webHidden/>
          </w:rPr>
          <w:tab/>
        </w:r>
        <w:r w:rsidR="00BD038B">
          <w:rPr>
            <w:noProof/>
            <w:webHidden/>
          </w:rPr>
          <w:fldChar w:fldCharType="begin"/>
        </w:r>
        <w:r w:rsidR="00BD038B">
          <w:rPr>
            <w:noProof/>
            <w:webHidden/>
          </w:rPr>
          <w:instrText xml:space="preserve"> PAGEREF _Toc516053200 \h </w:instrText>
        </w:r>
        <w:r w:rsidR="00BD038B">
          <w:rPr>
            <w:noProof/>
            <w:webHidden/>
          </w:rPr>
        </w:r>
        <w:r w:rsidR="00BD038B">
          <w:rPr>
            <w:noProof/>
            <w:webHidden/>
          </w:rPr>
          <w:fldChar w:fldCharType="separate"/>
        </w:r>
        <w:r w:rsidR="00F87DF9">
          <w:rPr>
            <w:noProof/>
            <w:webHidden/>
          </w:rPr>
          <w:t>190</w:t>
        </w:r>
        <w:r w:rsidR="00BD038B">
          <w:rPr>
            <w:noProof/>
            <w:webHidden/>
          </w:rPr>
          <w:fldChar w:fldCharType="end"/>
        </w:r>
      </w:hyperlink>
    </w:p>
    <w:p w14:paraId="314BEBBD" w14:textId="2F8996E0"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1" w:history="1">
        <w:r w:rsidR="00BD038B" w:rsidRPr="003E7827">
          <w:rPr>
            <w:rStyle w:val="Hyperlink"/>
            <w:rFonts w:ascii="Calibri" w:hAnsi="Calibri"/>
            <w:noProof/>
          </w:rPr>
          <w:t>A4.1.2</w:t>
        </w:r>
        <w:r w:rsidR="00BD038B">
          <w:rPr>
            <w:rFonts w:eastAsiaTheme="minorEastAsia" w:cstheme="minorBidi"/>
            <w:i w:val="0"/>
            <w:iCs w:val="0"/>
            <w:noProof/>
            <w:sz w:val="22"/>
            <w:szCs w:val="22"/>
            <w:lang w:eastAsia="en-AU"/>
          </w:rPr>
          <w:tab/>
        </w:r>
        <w:r w:rsidR="00BD038B" w:rsidRPr="003E7827">
          <w:rPr>
            <w:rStyle w:val="Hyperlink"/>
            <w:noProof/>
          </w:rPr>
          <w:t>Tidal exposure</w:t>
        </w:r>
        <w:r w:rsidR="00BD038B">
          <w:rPr>
            <w:noProof/>
            <w:webHidden/>
          </w:rPr>
          <w:tab/>
        </w:r>
        <w:r w:rsidR="00BD038B">
          <w:rPr>
            <w:noProof/>
            <w:webHidden/>
          </w:rPr>
          <w:fldChar w:fldCharType="begin"/>
        </w:r>
        <w:r w:rsidR="00BD038B">
          <w:rPr>
            <w:noProof/>
            <w:webHidden/>
          </w:rPr>
          <w:instrText xml:space="preserve"> PAGEREF _Toc516053201 \h </w:instrText>
        </w:r>
        <w:r w:rsidR="00BD038B">
          <w:rPr>
            <w:noProof/>
            <w:webHidden/>
          </w:rPr>
        </w:r>
        <w:r w:rsidR="00BD038B">
          <w:rPr>
            <w:noProof/>
            <w:webHidden/>
          </w:rPr>
          <w:fldChar w:fldCharType="separate"/>
        </w:r>
        <w:r w:rsidR="00F87DF9">
          <w:rPr>
            <w:noProof/>
            <w:webHidden/>
          </w:rPr>
          <w:t>193</w:t>
        </w:r>
        <w:r w:rsidR="00BD038B">
          <w:rPr>
            <w:noProof/>
            <w:webHidden/>
          </w:rPr>
          <w:fldChar w:fldCharType="end"/>
        </w:r>
      </w:hyperlink>
    </w:p>
    <w:p w14:paraId="489F8C19" w14:textId="2F8A554D"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2" w:history="1">
        <w:r w:rsidR="00BD038B" w:rsidRPr="003E7827">
          <w:rPr>
            <w:rStyle w:val="Hyperlink"/>
            <w:rFonts w:ascii="Calibri" w:hAnsi="Calibri"/>
            <w:noProof/>
          </w:rPr>
          <w:t>A4.1.3</w:t>
        </w:r>
        <w:r w:rsidR="00BD038B">
          <w:rPr>
            <w:rFonts w:eastAsiaTheme="minorEastAsia" w:cstheme="minorBidi"/>
            <w:i w:val="0"/>
            <w:iCs w:val="0"/>
            <w:noProof/>
            <w:sz w:val="22"/>
            <w:szCs w:val="22"/>
            <w:lang w:eastAsia="en-AU"/>
          </w:rPr>
          <w:tab/>
        </w:r>
        <w:r w:rsidR="00BD038B" w:rsidRPr="003E7827">
          <w:rPr>
            <w:rStyle w:val="Hyperlink"/>
            <w:noProof/>
          </w:rPr>
          <w:t>Light at seagrass canopy</w:t>
        </w:r>
        <w:r w:rsidR="00BD038B">
          <w:rPr>
            <w:noProof/>
            <w:webHidden/>
          </w:rPr>
          <w:tab/>
        </w:r>
        <w:r w:rsidR="00BD038B">
          <w:rPr>
            <w:noProof/>
            <w:webHidden/>
          </w:rPr>
          <w:fldChar w:fldCharType="begin"/>
        </w:r>
        <w:r w:rsidR="00BD038B">
          <w:rPr>
            <w:noProof/>
            <w:webHidden/>
          </w:rPr>
          <w:instrText xml:space="preserve"> PAGEREF _Toc516053202 \h </w:instrText>
        </w:r>
        <w:r w:rsidR="00BD038B">
          <w:rPr>
            <w:noProof/>
            <w:webHidden/>
          </w:rPr>
        </w:r>
        <w:r w:rsidR="00BD038B">
          <w:rPr>
            <w:noProof/>
            <w:webHidden/>
          </w:rPr>
          <w:fldChar w:fldCharType="separate"/>
        </w:r>
        <w:r w:rsidR="00F87DF9">
          <w:rPr>
            <w:noProof/>
            <w:webHidden/>
          </w:rPr>
          <w:t>197</w:t>
        </w:r>
        <w:r w:rsidR="00BD038B">
          <w:rPr>
            <w:noProof/>
            <w:webHidden/>
          </w:rPr>
          <w:fldChar w:fldCharType="end"/>
        </w:r>
      </w:hyperlink>
    </w:p>
    <w:p w14:paraId="2BCE7E24" w14:textId="6E5D30A8" w:rsidR="00BD038B" w:rsidRDefault="00D05880">
      <w:pPr>
        <w:pStyle w:val="TOC2"/>
        <w:tabs>
          <w:tab w:val="left" w:pos="880"/>
          <w:tab w:val="right" w:leader="dot" w:pos="9060"/>
        </w:tabs>
        <w:rPr>
          <w:rFonts w:eastAsiaTheme="minorEastAsia" w:cstheme="minorBidi"/>
          <w:smallCaps w:val="0"/>
          <w:noProof/>
          <w:sz w:val="22"/>
          <w:szCs w:val="22"/>
          <w:lang w:eastAsia="en-AU"/>
        </w:rPr>
      </w:pPr>
      <w:hyperlink w:anchor="_Toc516053203" w:history="1">
        <w:r w:rsidR="00BD038B" w:rsidRPr="003E7827">
          <w:rPr>
            <w:rStyle w:val="Hyperlink"/>
            <w:noProof/>
          </w:rPr>
          <w:t>A4.2</w:t>
        </w:r>
        <w:r w:rsidR="00BD038B">
          <w:rPr>
            <w:rFonts w:eastAsiaTheme="minorEastAsia" w:cstheme="minorBidi"/>
            <w:smallCaps w:val="0"/>
            <w:noProof/>
            <w:sz w:val="22"/>
            <w:szCs w:val="22"/>
            <w:lang w:eastAsia="en-AU"/>
          </w:rPr>
          <w:tab/>
        </w:r>
        <w:r w:rsidR="00BD038B" w:rsidRPr="003E7827">
          <w:rPr>
            <w:rStyle w:val="Hyperlink"/>
            <w:noProof/>
          </w:rPr>
          <w:t>Seagrass community and environment</w:t>
        </w:r>
        <w:r w:rsidR="00BD038B">
          <w:rPr>
            <w:noProof/>
            <w:webHidden/>
          </w:rPr>
          <w:tab/>
        </w:r>
        <w:r w:rsidR="00BD038B">
          <w:rPr>
            <w:noProof/>
            <w:webHidden/>
          </w:rPr>
          <w:fldChar w:fldCharType="begin"/>
        </w:r>
        <w:r w:rsidR="00BD038B">
          <w:rPr>
            <w:noProof/>
            <w:webHidden/>
          </w:rPr>
          <w:instrText xml:space="preserve"> PAGEREF _Toc516053203 \h </w:instrText>
        </w:r>
        <w:r w:rsidR="00BD038B">
          <w:rPr>
            <w:noProof/>
            <w:webHidden/>
          </w:rPr>
        </w:r>
        <w:r w:rsidR="00BD038B">
          <w:rPr>
            <w:noProof/>
            <w:webHidden/>
          </w:rPr>
          <w:fldChar w:fldCharType="separate"/>
        </w:r>
        <w:r w:rsidR="00F87DF9">
          <w:rPr>
            <w:noProof/>
            <w:webHidden/>
          </w:rPr>
          <w:t>203</w:t>
        </w:r>
        <w:r w:rsidR="00BD038B">
          <w:rPr>
            <w:noProof/>
            <w:webHidden/>
          </w:rPr>
          <w:fldChar w:fldCharType="end"/>
        </w:r>
      </w:hyperlink>
    </w:p>
    <w:p w14:paraId="2BC9E380" w14:textId="66C3F28A"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4" w:history="1">
        <w:r w:rsidR="00BD038B" w:rsidRPr="003E7827">
          <w:rPr>
            <w:rStyle w:val="Hyperlink"/>
            <w:rFonts w:ascii="Calibri" w:hAnsi="Calibri"/>
            <w:noProof/>
          </w:rPr>
          <w:t>A4.2.1</w:t>
        </w:r>
        <w:r w:rsidR="00BD038B">
          <w:rPr>
            <w:rFonts w:eastAsiaTheme="minorEastAsia" w:cstheme="minorBidi"/>
            <w:i w:val="0"/>
            <w:iCs w:val="0"/>
            <w:noProof/>
            <w:sz w:val="22"/>
            <w:szCs w:val="22"/>
            <w:lang w:eastAsia="en-AU"/>
          </w:rPr>
          <w:tab/>
        </w:r>
        <w:r w:rsidR="00BD038B" w:rsidRPr="003E7827">
          <w:rPr>
            <w:rStyle w:val="Hyperlink"/>
            <w:noProof/>
          </w:rPr>
          <w:t>Seagrass abundance</w:t>
        </w:r>
        <w:r w:rsidR="00BD038B">
          <w:rPr>
            <w:noProof/>
            <w:webHidden/>
          </w:rPr>
          <w:tab/>
        </w:r>
        <w:r w:rsidR="00BD038B">
          <w:rPr>
            <w:noProof/>
            <w:webHidden/>
          </w:rPr>
          <w:fldChar w:fldCharType="begin"/>
        </w:r>
        <w:r w:rsidR="00BD038B">
          <w:rPr>
            <w:noProof/>
            <w:webHidden/>
          </w:rPr>
          <w:instrText xml:space="preserve"> PAGEREF _Toc516053204 \h </w:instrText>
        </w:r>
        <w:r w:rsidR="00BD038B">
          <w:rPr>
            <w:noProof/>
            <w:webHidden/>
          </w:rPr>
        </w:r>
        <w:r w:rsidR="00BD038B">
          <w:rPr>
            <w:noProof/>
            <w:webHidden/>
          </w:rPr>
          <w:fldChar w:fldCharType="separate"/>
        </w:r>
        <w:r w:rsidR="00F87DF9">
          <w:rPr>
            <w:noProof/>
            <w:webHidden/>
          </w:rPr>
          <w:t>203</w:t>
        </w:r>
        <w:r w:rsidR="00BD038B">
          <w:rPr>
            <w:noProof/>
            <w:webHidden/>
          </w:rPr>
          <w:fldChar w:fldCharType="end"/>
        </w:r>
      </w:hyperlink>
    </w:p>
    <w:p w14:paraId="7B2976B8" w14:textId="59AABB15"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5" w:history="1">
        <w:r w:rsidR="00BD038B" w:rsidRPr="003E7827">
          <w:rPr>
            <w:rStyle w:val="Hyperlink"/>
            <w:rFonts w:ascii="Calibri" w:hAnsi="Calibri"/>
            <w:noProof/>
          </w:rPr>
          <w:t>A4.2.2</w:t>
        </w:r>
        <w:r w:rsidR="00BD038B">
          <w:rPr>
            <w:rFonts w:eastAsiaTheme="minorEastAsia" w:cstheme="minorBidi"/>
            <w:i w:val="0"/>
            <w:iCs w:val="0"/>
            <w:noProof/>
            <w:sz w:val="22"/>
            <w:szCs w:val="22"/>
            <w:lang w:eastAsia="en-AU"/>
          </w:rPr>
          <w:tab/>
        </w:r>
        <w:r w:rsidR="00BD038B" w:rsidRPr="003E7827">
          <w:rPr>
            <w:rStyle w:val="Hyperlink"/>
            <w:noProof/>
          </w:rPr>
          <w:t>Sediments composition</w:t>
        </w:r>
        <w:r w:rsidR="00BD038B">
          <w:rPr>
            <w:noProof/>
            <w:webHidden/>
          </w:rPr>
          <w:tab/>
        </w:r>
        <w:r w:rsidR="00BD038B">
          <w:rPr>
            <w:noProof/>
            <w:webHidden/>
          </w:rPr>
          <w:fldChar w:fldCharType="begin"/>
        </w:r>
        <w:r w:rsidR="00BD038B">
          <w:rPr>
            <w:noProof/>
            <w:webHidden/>
          </w:rPr>
          <w:instrText xml:space="preserve"> PAGEREF _Toc516053205 \h </w:instrText>
        </w:r>
        <w:r w:rsidR="00BD038B">
          <w:rPr>
            <w:noProof/>
            <w:webHidden/>
          </w:rPr>
        </w:r>
        <w:r w:rsidR="00BD038B">
          <w:rPr>
            <w:noProof/>
            <w:webHidden/>
          </w:rPr>
          <w:fldChar w:fldCharType="separate"/>
        </w:r>
        <w:r w:rsidR="00F87DF9">
          <w:rPr>
            <w:noProof/>
            <w:webHidden/>
          </w:rPr>
          <w:t>206</w:t>
        </w:r>
        <w:r w:rsidR="00BD038B">
          <w:rPr>
            <w:noProof/>
            <w:webHidden/>
          </w:rPr>
          <w:fldChar w:fldCharType="end"/>
        </w:r>
      </w:hyperlink>
    </w:p>
    <w:p w14:paraId="00BC6D27" w14:textId="49D58CE4"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6" w:history="1">
        <w:r w:rsidR="00BD038B" w:rsidRPr="003E7827">
          <w:rPr>
            <w:rStyle w:val="Hyperlink"/>
            <w:rFonts w:ascii="Calibri" w:hAnsi="Calibri"/>
            <w:noProof/>
          </w:rPr>
          <w:t>A4.2.3</w:t>
        </w:r>
        <w:r w:rsidR="00BD038B">
          <w:rPr>
            <w:rFonts w:eastAsiaTheme="minorEastAsia" w:cstheme="minorBidi"/>
            <w:i w:val="0"/>
            <w:iCs w:val="0"/>
            <w:noProof/>
            <w:sz w:val="22"/>
            <w:szCs w:val="22"/>
            <w:lang w:eastAsia="en-AU"/>
          </w:rPr>
          <w:tab/>
        </w:r>
        <w:r w:rsidR="00BD038B" w:rsidRPr="003E7827">
          <w:rPr>
            <w:rStyle w:val="Hyperlink"/>
            <w:noProof/>
          </w:rPr>
          <w:t>Epiphytes and macroalgae</w:t>
        </w:r>
        <w:r w:rsidR="00BD038B">
          <w:rPr>
            <w:noProof/>
            <w:webHidden/>
          </w:rPr>
          <w:tab/>
        </w:r>
        <w:r w:rsidR="00BD038B">
          <w:rPr>
            <w:noProof/>
            <w:webHidden/>
          </w:rPr>
          <w:fldChar w:fldCharType="begin"/>
        </w:r>
        <w:r w:rsidR="00BD038B">
          <w:rPr>
            <w:noProof/>
            <w:webHidden/>
          </w:rPr>
          <w:instrText xml:space="preserve"> PAGEREF _Toc516053206 \h </w:instrText>
        </w:r>
        <w:r w:rsidR="00BD038B">
          <w:rPr>
            <w:noProof/>
            <w:webHidden/>
          </w:rPr>
        </w:r>
        <w:r w:rsidR="00BD038B">
          <w:rPr>
            <w:noProof/>
            <w:webHidden/>
          </w:rPr>
          <w:fldChar w:fldCharType="separate"/>
        </w:r>
        <w:r w:rsidR="00F87DF9">
          <w:rPr>
            <w:noProof/>
            <w:webHidden/>
          </w:rPr>
          <w:t>217</w:t>
        </w:r>
        <w:r w:rsidR="00BD038B">
          <w:rPr>
            <w:noProof/>
            <w:webHidden/>
          </w:rPr>
          <w:fldChar w:fldCharType="end"/>
        </w:r>
      </w:hyperlink>
    </w:p>
    <w:p w14:paraId="57B431D4" w14:textId="0D2CD707"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7" w:history="1">
        <w:r w:rsidR="00BD038B" w:rsidRPr="003E7827">
          <w:rPr>
            <w:rStyle w:val="Hyperlink"/>
            <w:rFonts w:ascii="Calibri" w:hAnsi="Calibri"/>
            <w:noProof/>
          </w:rPr>
          <w:t>A4.2.4</w:t>
        </w:r>
        <w:r w:rsidR="00BD038B">
          <w:rPr>
            <w:rFonts w:eastAsiaTheme="minorEastAsia" w:cstheme="minorBidi"/>
            <w:i w:val="0"/>
            <w:iCs w:val="0"/>
            <w:noProof/>
            <w:sz w:val="22"/>
            <w:szCs w:val="22"/>
            <w:lang w:eastAsia="en-AU"/>
          </w:rPr>
          <w:tab/>
        </w:r>
        <w:r w:rsidR="00BD038B" w:rsidRPr="003E7827">
          <w:rPr>
            <w:rStyle w:val="Hyperlink"/>
            <w:noProof/>
          </w:rPr>
          <w:t>Seagrass extent</w:t>
        </w:r>
        <w:r w:rsidR="00BD038B">
          <w:rPr>
            <w:noProof/>
            <w:webHidden/>
          </w:rPr>
          <w:tab/>
        </w:r>
        <w:r w:rsidR="00BD038B">
          <w:rPr>
            <w:noProof/>
            <w:webHidden/>
          </w:rPr>
          <w:fldChar w:fldCharType="begin"/>
        </w:r>
        <w:r w:rsidR="00BD038B">
          <w:rPr>
            <w:noProof/>
            <w:webHidden/>
          </w:rPr>
          <w:instrText xml:space="preserve"> PAGEREF _Toc516053207 \h </w:instrText>
        </w:r>
        <w:r w:rsidR="00BD038B">
          <w:rPr>
            <w:noProof/>
            <w:webHidden/>
          </w:rPr>
        </w:r>
        <w:r w:rsidR="00BD038B">
          <w:rPr>
            <w:noProof/>
            <w:webHidden/>
          </w:rPr>
          <w:fldChar w:fldCharType="separate"/>
        </w:r>
        <w:r w:rsidR="00F87DF9">
          <w:rPr>
            <w:noProof/>
            <w:webHidden/>
          </w:rPr>
          <w:t>224</w:t>
        </w:r>
        <w:r w:rsidR="00BD038B">
          <w:rPr>
            <w:noProof/>
            <w:webHidden/>
          </w:rPr>
          <w:fldChar w:fldCharType="end"/>
        </w:r>
      </w:hyperlink>
    </w:p>
    <w:p w14:paraId="36E888DB" w14:textId="540F10E9"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8" w:history="1">
        <w:r w:rsidR="00BD038B" w:rsidRPr="003E7827">
          <w:rPr>
            <w:rStyle w:val="Hyperlink"/>
            <w:rFonts w:ascii="Calibri" w:hAnsi="Calibri"/>
            <w:noProof/>
          </w:rPr>
          <w:t>A4.2.5</w:t>
        </w:r>
        <w:r w:rsidR="00BD038B">
          <w:rPr>
            <w:rFonts w:eastAsiaTheme="minorEastAsia" w:cstheme="minorBidi"/>
            <w:i w:val="0"/>
            <w:iCs w:val="0"/>
            <w:noProof/>
            <w:sz w:val="22"/>
            <w:szCs w:val="22"/>
            <w:lang w:eastAsia="en-AU"/>
          </w:rPr>
          <w:tab/>
        </w:r>
        <w:r w:rsidR="00BD038B" w:rsidRPr="003E7827">
          <w:rPr>
            <w:rStyle w:val="Hyperlink"/>
            <w:noProof/>
          </w:rPr>
          <w:t>Species composition and distribution</w:t>
        </w:r>
        <w:r w:rsidR="00BD038B">
          <w:rPr>
            <w:noProof/>
            <w:webHidden/>
          </w:rPr>
          <w:tab/>
        </w:r>
        <w:r w:rsidR="00BD038B">
          <w:rPr>
            <w:noProof/>
            <w:webHidden/>
          </w:rPr>
          <w:fldChar w:fldCharType="begin"/>
        </w:r>
        <w:r w:rsidR="00BD038B">
          <w:rPr>
            <w:noProof/>
            <w:webHidden/>
          </w:rPr>
          <w:instrText xml:space="preserve"> PAGEREF _Toc516053208 \h </w:instrText>
        </w:r>
        <w:r w:rsidR="00BD038B">
          <w:rPr>
            <w:noProof/>
            <w:webHidden/>
          </w:rPr>
        </w:r>
        <w:r w:rsidR="00BD038B">
          <w:rPr>
            <w:noProof/>
            <w:webHidden/>
          </w:rPr>
          <w:fldChar w:fldCharType="separate"/>
        </w:r>
        <w:r w:rsidR="00F87DF9">
          <w:rPr>
            <w:noProof/>
            <w:webHidden/>
          </w:rPr>
          <w:t>226</w:t>
        </w:r>
        <w:r w:rsidR="00BD038B">
          <w:rPr>
            <w:noProof/>
            <w:webHidden/>
          </w:rPr>
          <w:fldChar w:fldCharType="end"/>
        </w:r>
      </w:hyperlink>
    </w:p>
    <w:p w14:paraId="11D6FBA6" w14:textId="24D5A0F3" w:rsidR="00BD038B" w:rsidRDefault="00D05880">
      <w:pPr>
        <w:pStyle w:val="TOC3"/>
        <w:tabs>
          <w:tab w:val="left" w:pos="1320"/>
          <w:tab w:val="right" w:leader="dot" w:pos="9060"/>
        </w:tabs>
        <w:rPr>
          <w:rFonts w:eastAsiaTheme="minorEastAsia" w:cstheme="minorBidi"/>
          <w:i w:val="0"/>
          <w:iCs w:val="0"/>
          <w:noProof/>
          <w:sz w:val="22"/>
          <w:szCs w:val="22"/>
          <w:lang w:eastAsia="en-AU"/>
        </w:rPr>
      </w:pPr>
      <w:hyperlink w:anchor="_Toc516053209" w:history="1">
        <w:r w:rsidR="00BD038B" w:rsidRPr="003E7827">
          <w:rPr>
            <w:rStyle w:val="Hyperlink"/>
            <w:rFonts w:ascii="Calibri" w:hAnsi="Calibri"/>
            <w:noProof/>
          </w:rPr>
          <w:t>A4.2.6</w:t>
        </w:r>
        <w:r w:rsidR="00BD038B">
          <w:rPr>
            <w:rFonts w:eastAsiaTheme="minorEastAsia" w:cstheme="minorBidi"/>
            <w:i w:val="0"/>
            <w:iCs w:val="0"/>
            <w:noProof/>
            <w:sz w:val="22"/>
            <w:szCs w:val="22"/>
            <w:lang w:eastAsia="en-AU"/>
          </w:rPr>
          <w:tab/>
        </w:r>
        <w:r w:rsidR="00BD038B" w:rsidRPr="003E7827">
          <w:rPr>
            <w:rStyle w:val="Hyperlink"/>
            <w:noProof/>
          </w:rPr>
          <w:t>Seagrass leaf tissue</w:t>
        </w:r>
        <w:r w:rsidR="00BD038B">
          <w:rPr>
            <w:noProof/>
            <w:webHidden/>
          </w:rPr>
          <w:tab/>
        </w:r>
        <w:r w:rsidR="00BD038B">
          <w:rPr>
            <w:noProof/>
            <w:webHidden/>
          </w:rPr>
          <w:fldChar w:fldCharType="begin"/>
        </w:r>
        <w:r w:rsidR="00BD038B">
          <w:rPr>
            <w:noProof/>
            <w:webHidden/>
          </w:rPr>
          <w:instrText xml:space="preserve"> PAGEREF _Toc516053209 \h </w:instrText>
        </w:r>
        <w:r w:rsidR="00BD038B">
          <w:rPr>
            <w:noProof/>
            <w:webHidden/>
          </w:rPr>
        </w:r>
        <w:r w:rsidR="00BD038B">
          <w:rPr>
            <w:noProof/>
            <w:webHidden/>
          </w:rPr>
          <w:fldChar w:fldCharType="separate"/>
        </w:r>
        <w:r w:rsidR="00F87DF9">
          <w:rPr>
            <w:noProof/>
            <w:webHidden/>
          </w:rPr>
          <w:t>232</w:t>
        </w:r>
        <w:r w:rsidR="00BD038B">
          <w:rPr>
            <w:noProof/>
            <w:webHidden/>
          </w:rPr>
          <w:fldChar w:fldCharType="end"/>
        </w:r>
      </w:hyperlink>
    </w:p>
    <w:p w14:paraId="7F80CAB8" w14:textId="4AD63384" w:rsidR="00BD038B" w:rsidRDefault="00D05880">
      <w:pPr>
        <w:pStyle w:val="TOC1"/>
        <w:tabs>
          <w:tab w:val="left" w:pos="1540"/>
        </w:tabs>
        <w:rPr>
          <w:rFonts w:eastAsiaTheme="minorEastAsia" w:cstheme="minorBidi"/>
          <w:b w:val="0"/>
          <w:bCs w:val="0"/>
          <w:caps w:val="0"/>
          <w:noProof/>
          <w:sz w:val="22"/>
          <w:szCs w:val="22"/>
          <w:lang w:eastAsia="en-AU"/>
        </w:rPr>
      </w:pPr>
      <w:hyperlink w:anchor="_Toc516053210" w:history="1">
        <w:r w:rsidR="00BD038B" w:rsidRPr="003E7827">
          <w:rPr>
            <w:rStyle w:val="Hyperlink"/>
            <w:rFonts w:ascii="Century Gothic" w:hAnsi="Century Gothic"/>
            <w:noProof/>
          </w:rPr>
          <w:t>Appendix 5</w:t>
        </w:r>
        <w:r w:rsidR="00BD038B">
          <w:rPr>
            <w:rFonts w:eastAsiaTheme="minorEastAsia" w:cstheme="minorBidi"/>
            <w:b w:val="0"/>
            <w:bCs w:val="0"/>
            <w:caps w:val="0"/>
            <w:noProof/>
            <w:sz w:val="22"/>
            <w:szCs w:val="22"/>
            <w:lang w:eastAsia="en-AU"/>
          </w:rPr>
          <w:tab/>
        </w:r>
        <w:r w:rsidR="00BD038B" w:rsidRPr="003E7827">
          <w:rPr>
            <w:rStyle w:val="Hyperlink"/>
            <w:noProof/>
          </w:rPr>
          <w:t>Results of statistical analysis</w:t>
        </w:r>
        <w:r w:rsidR="00BD038B">
          <w:rPr>
            <w:noProof/>
            <w:webHidden/>
          </w:rPr>
          <w:tab/>
        </w:r>
        <w:r w:rsidR="00BD038B">
          <w:rPr>
            <w:noProof/>
            <w:webHidden/>
          </w:rPr>
          <w:fldChar w:fldCharType="begin"/>
        </w:r>
        <w:r w:rsidR="00BD038B">
          <w:rPr>
            <w:noProof/>
            <w:webHidden/>
          </w:rPr>
          <w:instrText xml:space="preserve"> PAGEREF _Toc516053210 \h </w:instrText>
        </w:r>
        <w:r w:rsidR="00BD038B">
          <w:rPr>
            <w:noProof/>
            <w:webHidden/>
          </w:rPr>
        </w:r>
        <w:r w:rsidR="00BD038B">
          <w:rPr>
            <w:noProof/>
            <w:webHidden/>
          </w:rPr>
          <w:fldChar w:fldCharType="separate"/>
        </w:r>
        <w:r w:rsidR="00F87DF9">
          <w:rPr>
            <w:noProof/>
            <w:webHidden/>
          </w:rPr>
          <w:t>244</w:t>
        </w:r>
        <w:r w:rsidR="00BD038B">
          <w:rPr>
            <w:noProof/>
            <w:webHidden/>
          </w:rPr>
          <w:fldChar w:fldCharType="end"/>
        </w:r>
      </w:hyperlink>
    </w:p>
    <w:p w14:paraId="434300E4" w14:textId="7918897F" w:rsidR="001F4593" w:rsidRPr="0095258E" w:rsidRDefault="00E150BC" w:rsidP="00DD3BAE">
      <w:pPr>
        <w:pStyle w:val="TOC1"/>
        <w:tabs>
          <w:tab w:val="left" w:pos="1540"/>
        </w:tabs>
        <w:rPr>
          <w:color w:val="000000"/>
        </w:rPr>
      </w:pPr>
      <w:r w:rsidRPr="008A426D">
        <w:rPr>
          <w:color w:val="000000"/>
        </w:rPr>
        <w:fldChar w:fldCharType="end"/>
      </w:r>
    </w:p>
    <w:p w14:paraId="7C85F0CF" w14:textId="6655974F" w:rsidR="001F4593" w:rsidRPr="0095258E" w:rsidRDefault="001F4593" w:rsidP="009F09A4">
      <w:pPr>
        <w:spacing w:after="240"/>
        <w:rPr>
          <w:rFonts w:ascii="Century Gothic" w:hAnsi="Century Gothic"/>
          <w:b/>
          <w:color w:val="000000"/>
          <w:sz w:val="36"/>
          <w:szCs w:val="36"/>
        </w:rPr>
      </w:pPr>
      <w:r w:rsidRPr="0095258E">
        <w:rPr>
          <w:rFonts w:ascii="Century Gothic" w:hAnsi="Century Gothic"/>
          <w:b/>
          <w:color w:val="000000"/>
          <w:sz w:val="36"/>
          <w:szCs w:val="36"/>
        </w:rPr>
        <w:br w:type="page"/>
        <w:t xml:space="preserve">List of </w:t>
      </w:r>
      <w:r w:rsidR="002F55F1">
        <w:rPr>
          <w:rFonts w:ascii="Century Gothic" w:hAnsi="Century Gothic"/>
          <w:b/>
          <w:color w:val="000000"/>
          <w:sz w:val="36"/>
          <w:szCs w:val="36"/>
        </w:rPr>
        <w:t>f</w:t>
      </w:r>
      <w:r w:rsidRPr="0095258E">
        <w:rPr>
          <w:rFonts w:ascii="Century Gothic" w:hAnsi="Century Gothic"/>
          <w:b/>
          <w:color w:val="000000"/>
          <w:sz w:val="36"/>
          <w:szCs w:val="36"/>
        </w:rPr>
        <w:t>igures</w:t>
      </w:r>
    </w:p>
    <w:p w14:paraId="3CE6BA9F" w14:textId="038324B9" w:rsidR="00BD038B" w:rsidRDefault="001F4593">
      <w:pPr>
        <w:pStyle w:val="TableofFigures"/>
        <w:tabs>
          <w:tab w:val="right" w:leader="dot" w:pos="9060"/>
        </w:tabs>
        <w:rPr>
          <w:rFonts w:asciiTheme="minorHAnsi" w:eastAsiaTheme="minorEastAsia" w:hAnsiTheme="minorHAnsi" w:cstheme="minorBidi"/>
          <w:noProof/>
          <w:szCs w:val="22"/>
          <w:lang w:eastAsia="en-AU"/>
        </w:rPr>
      </w:pPr>
      <w:r w:rsidRPr="00A93D8C">
        <w:rPr>
          <w:color w:val="000000"/>
          <w:sz w:val="20"/>
          <w:szCs w:val="20"/>
        </w:rPr>
        <w:fldChar w:fldCharType="begin"/>
      </w:r>
      <w:r w:rsidRPr="00A93D8C">
        <w:rPr>
          <w:color w:val="000000"/>
          <w:sz w:val="20"/>
          <w:szCs w:val="20"/>
        </w:rPr>
        <w:instrText xml:space="preserve"> TOC \h \z \c "Figure" </w:instrText>
      </w:r>
      <w:r w:rsidRPr="00A93D8C">
        <w:rPr>
          <w:color w:val="000000"/>
          <w:sz w:val="20"/>
          <w:szCs w:val="20"/>
        </w:rPr>
        <w:fldChar w:fldCharType="separate"/>
      </w:r>
      <w:hyperlink w:anchor="_Toc516053211" w:history="1">
        <w:r w:rsidR="00BD038B" w:rsidRPr="00763BDE">
          <w:rPr>
            <w:rStyle w:val="Hyperlink"/>
            <w:noProof/>
          </w:rPr>
          <w:t xml:space="preserve">Figure 1. </w:t>
        </w:r>
        <w:r w:rsidR="00BD038B" w:rsidRPr="00763BDE">
          <w:rPr>
            <w:rStyle w:val="Hyperlink"/>
            <w:i/>
            <w:noProof/>
          </w:rPr>
          <w:t>The Great Barrier Reef Marine Park, major marine ecosystems (coral reefs and surveyed seagrass meadows), NRM regions and marine NRM regions</w:t>
        </w:r>
        <w:r w:rsidR="00BD038B">
          <w:rPr>
            <w:noProof/>
            <w:webHidden/>
          </w:rPr>
          <w:tab/>
        </w:r>
        <w:r w:rsidR="00BD038B">
          <w:rPr>
            <w:noProof/>
            <w:webHidden/>
          </w:rPr>
          <w:fldChar w:fldCharType="begin"/>
        </w:r>
        <w:r w:rsidR="00BD038B">
          <w:rPr>
            <w:noProof/>
            <w:webHidden/>
          </w:rPr>
          <w:instrText xml:space="preserve"> PAGEREF _Toc516053211 \h </w:instrText>
        </w:r>
        <w:r w:rsidR="00BD038B">
          <w:rPr>
            <w:noProof/>
            <w:webHidden/>
          </w:rPr>
        </w:r>
        <w:r w:rsidR="00BD038B">
          <w:rPr>
            <w:noProof/>
            <w:webHidden/>
          </w:rPr>
          <w:fldChar w:fldCharType="separate"/>
        </w:r>
        <w:r w:rsidR="00F87DF9">
          <w:rPr>
            <w:noProof/>
            <w:webHidden/>
          </w:rPr>
          <w:t>6</w:t>
        </w:r>
        <w:r w:rsidR="00BD038B">
          <w:rPr>
            <w:noProof/>
            <w:webHidden/>
          </w:rPr>
          <w:fldChar w:fldCharType="end"/>
        </w:r>
      </w:hyperlink>
    </w:p>
    <w:p w14:paraId="7A9238B4" w14:textId="66CE7DB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2" w:history="1">
        <w:r w:rsidR="00BD038B" w:rsidRPr="00763BDE">
          <w:rPr>
            <w:rStyle w:val="Hyperlink"/>
            <w:noProof/>
          </w:rPr>
          <w:t>Figure 2</w:t>
        </w:r>
        <w:r w:rsidR="00BD038B" w:rsidRPr="00763BDE">
          <w:rPr>
            <w:rStyle w:val="Hyperlink"/>
            <w:i/>
            <w:noProof/>
          </w:rPr>
          <w:t>. General conceptual model of seagrass habitats in north east Australia and the water quality impacts affecting the habitat</w:t>
        </w:r>
        <w:r w:rsidR="00BD038B">
          <w:rPr>
            <w:noProof/>
            <w:webHidden/>
          </w:rPr>
          <w:tab/>
        </w:r>
        <w:r w:rsidR="00BD038B">
          <w:rPr>
            <w:noProof/>
            <w:webHidden/>
          </w:rPr>
          <w:fldChar w:fldCharType="begin"/>
        </w:r>
        <w:r w:rsidR="00BD038B">
          <w:rPr>
            <w:noProof/>
            <w:webHidden/>
          </w:rPr>
          <w:instrText xml:space="preserve"> PAGEREF _Toc516053212 \h </w:instrText>
        </w:r>
        <w:r w:rsidR="00BD038B">
          <w:rPr>
            <w:noProof/>
            <w:webHidden/>
          </w:rPr>
        </w:r>
        <w:r w:rsidR="00BD038B">
          <w:rPr>
            <w:noProof/>
            <w:webHidden/>
          </w:rPr>
          <w:fldChar w:fldCharType="separate"/>
        </w:r>
        <w:r w:rsidR="00F87DF9">
          <w:rPr>
            <w:noProof/>
            <w:webHidden/>
          </w:rPr>
          <w:t>7</w:t>
        </w:r>
        <w:r w:rsidR="00BD038B">
          <w:rPr>
            <w:noProof/>
            <w:webHidden/>
          </w:rPr>
          <w:fldChar w:fldCharType="end"/>
        </w:r>
      </w:hyperlink>
    </w:p>
    <w:p w14:paraId="56965484" w14:textId="78E7D88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3" w:history="1">
        <w:r w:rsidR="00BD038B" w:rsidRPr="00763BDE">
          <w:rPr>
            <w:rStyle w:val="Hyperlink"/>
            <w:noProof/>
          </w:rPr>
          <w:t xml:space="preserve">Figure 3. </w:t>
        </w:r>
        <w:r w:rsidR="00BD038B" w:rsidRPr="00763BDE">
          <w:rPr>
            <w:rStyle w:val="Hyperlink"/>
            <w:i/>
            <w:noProof/>
          </w:rPr>
          <w:t xml:space="preserve">Climate, environmental, seagrass condition and seagrass resilience indicators reported as part of the MMP Inshore Seagrass monitoring </w:t>
        </w:r>
        <w:r w:rsidR="008574EC">
          <w:rPr>
            <w:rStyle w:val="Hyperlink"/>
            <w:i/>
            <w:noProof/>
          </w:rPr>
          <w:t>2016–17</w:t>
        </w:r>
        <w:r w:rsidR="00BD038B" w:rsidRPr="00763BDE">
          <w:rPr>
            <w:rStyle w:val="Hyperlink"/>
            <w:i/>
            <w:noProof/>
          </w:rPr>
          <w:t>.</w:t>
        </w:r>
        <w:r w:rsidR="00BD038B">
          <w:rPr>
            <w:noProof/>
            <w:webHidden/>
          </w:rPr>
          <w:tab/>
        </w:r>
        <w:r w:rsidR="00BD038B">
          <w:rPr>
            <w:noProof/>
            <w:webHidden/>
          </w:rPr>
          <w:fldChar w:fldCharType="begin"/>
        </w:r>
        <w:r w:rsidR="00BD038B">
          <w:rPr>
            <w:noProof/>
            <w:webHidden/>
          </w:rPr>
          <w:instrText xml:space="preserve"> PAGEREF _Toc516053213 \h </w:instrText>
        </w:r>
        <w:r w:rsidR="00BD038B">
          <w:rPr>
            <w:noProof/>
            <w:webHidden/>
          </w:rPr>
        </w:r>
        <w:r w:rsidR="00BD038B">
          <w:rPr>
            <w:noProof/>
            <w:webHidden/>
          </w:rPr>
          <w:fldChar w:fldCharType="separate"/>
        </w:r>
        <w:r w:rsidR="00F87DF9">
          <w:rPr>
            <w:noProof/>
            <w:webHidden/>
          </w:rPr>
          <w:t>8</w:t>
        </w:r>
        <w:r w:rsidR="00BD038B">
          <w:rPr>
            <w:noProof/>
            <w:webHidden/>
          </w:rPr>
          <w:fldChar w:fldCharType="end"/>
        </w:r>
      </w:hyperlink>
    </w:p>
    <w:p w14:paraId="603520FF" w14:textId="277A3B6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4" w:history="1">
        <w:r w:rsidR="00BD038B" w:rsidRPr="00763BDE">
          <w:rPr>
            <w:rStyle w:val="Hyperlink"/>
            <w:noProof/>
          </w:rPr>
          <w:t>Figure 4.</w:t>
        </w:r>
        <w:r w:rsidR="00BD038B" w:rsidRPr="00763BDE">
          <w:rPr>
            <w:rStyle w:val="Hyperlink"/>
            <w:i/>
            <w:noProof/>
          </w:rPr>
          <w:t xml:space="preserve"> Illustration of seagrass recovery after loss and the categories of successional species over time.</w:t>
        </w:r>
        <w:r w:rsidR="00BD038B">
          <w:rPr>
            <w:noProof/>
            <w:webHidden/>
          </w:rPr>
          <w:tab/>
        </w:r>
        <w:r w:rsidR="00BD038B">
          <w:rPr>
            <w:noProof/>
            <w:webHidden/>
          </w:rPr>
          <w:fldChar w:fldCharType="begin"/>
        </w:r>
        <w:r w:rsidR="00BD038B">
          <w:rPr>
            <w:noProof/>
            <w:webHidden/>
          </w:rPr>
          <w:instrText xml:space="preserve"> PAGEREF _Toc516053214 \h </w:instrText>
        </w:r>
        <w:r w:rsidR="00BD038B">
          <w:rPr>
            <w:noProof/>
            <w:webHidden/>
          </w:rPr>
        </w:r>
        <w:r w:rsidR="00BD038B">
          <w:rPr>
            <w:noProof/>
            <w:webHidden/>
          </w:rPr>
          <w:fldChar w:fldCharType="separate"/>
        </w:r>
        <w:r w:rsidR="00F87DF9">
          <w:rPr>
            <w:noProof/>
            <w:webHidden/>
          </w:rPr>
          <w:t>10</w:t>
        </w:r>
        <w:r w:rsidR="00BD038B">
          <w:rPr>
            <w:noProof/>
            <w:webHidden/>
          </w:rPr>
          <w:fldChar w:fldCharType="end"/>
        </w:r>
      </w:hyperlink>
    </w:p>
    <w:p w14:paraId="713FB6B1" w14:textId="5E6324C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5" w:history="1">
        <w:r w:rsidR="00BD038B" w:rsidRPr="00763BDE">
          <w:rPr>
            <w:rStyle w:val="Hyperlink"/>
            <w:noProof/>
          </w:rPr>
          <w:t xml:space="preserve">Figure 5. </w:t>
        </w:r>
        <w:r w:rsidR="00BD038B" w:rsidRPr="00763BDE">
          <w:rPr>
            <w:rStyle w:val="Hyperlink"/>
            <w:i/>
            <w:noProof/>
          </w:rPr>
          <w:t>Illustration showing how foundational species can include species display colonising, opportunist or persistent life history traits depending on disturbance regime.</w:t>
        </w:r>
        <w:r w:rsidR="00BD038B">
          <w:rPr>
            <w:noProof/>
            <w:webHidden/>
          </w:rPr>
          <w:tab/>
        </w:r>
        <w:r w:rsidR="00BD038B">
          <w:rPr>
            <w:noProof/>
            <w:webHidden/>
          </w:rPr>
          <w:fldChar w:fldCharType="begin"/>
        </w:r>
        <w:r w:rsidR="00BD038B">
          <w:rPr>
            <w:noProof/>
            <w:webHidden/>
          </w:rPr>
          <w:instrText xml:space="preserve"> PAGEREF _Toc516053215 \h </w:instrText>
        </w:r>
        <w:r w:rsidR="00BD038B">
          <w:rPr>
            <w:noProof/>
            <w:webHidden/>
          </w:rPr>
        </w:r>
        <w:r w:rsidR="00BD038B">
          <w:rPr>
            <w:noProof/>
            <w:webHidden/>
          </w:rPr>
          <w:fldChar w:fldCharType="separate"/>
        </w:r>
        <w:r w:rsidR="00F87DF9">
          <w:rPr>
            <w:noProof/>
            <w:webHidden/>
          </w:rPr>
          <w:t>15</w:t>
        </w:r>
        <w:r w:rsidR="00BD038B">
          <w:rPr>
            <w:noProof/>
            <w:webHidden/>
          </w:rPr>
          <w:fldChar w:fldCharType="end"/>
        </w:r>
      </w:hyperlink>
    </w:p>
    <w:p w14:paraId="34509F42" w14:textId="5B56DA2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6" w:history="1">
        <w:r w:rsidR="00BD038B" w:rsidRPr="00763BDE">
          <w:rPr>
            <w:rStyle w:val="Hyperlink"/>
            <w:noProof/>
          </w:rPr>
          <w:t xml:space="preserve">Figure 6. </w:t>
        </w:r>
        <w:r w:rsidR="00BD038B" w:rsidRPr="00763BDE">
          <w:rPr>
            <w:rStyle w:val="Hyperlink"/>
            <w:i/>
            <w:noProof/>
          </w:rPr>
          <w:t>Report card scores (NRM regional averages pooled) for each indicator and total seagrass index over the life of the MMP.</w:t>
        </w:r>
        <w:r w:rsidR="00BD038B">
          <w:rPr>
            <w:noProof/>
            <w:webHidden/>
          </w:rPr>
          <w:tab/>
        </w:r>
        <w:r w:rsidR="00BD038B">
          <w:rPr>
            <w:noProof/>
            <w:webHidden/>
          </w:rPr>
          <w:fldChar w:fldCharType="begin"/>
        </w:r>
        <w:r w:rsidR="00BD038B">
          <w:rPr>
            <w:noProof/>
            <w:webHidden/>
          </w:rPr>
          <w:instrText xml:space="preserve"> PAGEREF _Toc516053216 \h </w:instrText>
        </w:r>
        <w:r w:rsidR="00BD038B">
          <w:rPr>
            <w:noProof/>
            <w:webHidden/>
          </w:rPr>
        </w:r>
        <w:r w:rsidR="00BD038B">
          <w:rPr>
            <w:noProof/>
            <w:webHidden/>
          </w:rPr>
          <w:fldChar w:fldCharType="separate"/>
        </w:r>
        <w:r w:rsidR="00F87DF9">
          <w:rPr>
            <w:noProof/>
            <w:webHidden/>
          </w:rPr>
          <w:t>26</w:t>
        </w:r>
        <w:r w:rsidR="00BD038B">
          <w:rPr>
            <w:noProof/>
            <w:webHidden/>
          </w:rPr>
          <w:fldChar w:fldCharType="end"/>
        </w:r>
      </w:hyperlink>
    </w:p>
    <w:p w14:paraId="13FA83AA" w14:textId="232D4D4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7" w:history="1">
        <w:r w:rsidR="00BD038B" w:rsidRPr="00763BDE">
          <w:rPr>
            <w:rStyle w:val="Hyperlink"/>
            <w:noProof/>
          </w:rPr>
          <w:t xml:space="preserve">Figure 7. </w:t>
        </w:r>
        <w:r w:rsidR="00BD038B" w:rsidRPr="00763BDE">
          <w:rPr>
            <w:rStyle w:val="Hyperlink"/>
            <w:i/>
            <w:noProof/>
          </w:rPr>
          <w:t>Report card of seagrass condition for each NRM region (averaged across indicators).</w:t>
        </w:r>
        <w:r w:rsidR="00BD038B">
          <w:rPr>
            <w:noProof/>
            <w:webHidden/>
          </w:rPr>
          <w:tab/>
        </w:r>
        <w:r w:rsidR="00BD038B">
          <w:rPr>
            <w:noProof/>
            <w:webHidden/>
          </w:rPr>
          <w:fldChar w:fldCharType="begin"/>
        </w:r>
        <w:r w:rsidR="00BD038B">
          <w:rPr>
            <w:noProof/>
            <w:webHidden/>
          </w:rPr>
          <w:instrText xml:space="preserve"> PAGEREF _Toc516053217 \h </w:instrText>
        </w:r>
        <w:r w:rsidR="00BD038B">
          <w:rPr>
            <w:noProof/>
            <w:webHidden/>
          </w:rPr>
        </w:r>
        <w:r w:rsidR="00BD038B">
          <w:rPr>
            <w:noProof/>
            <w:webHidden/>
          </w:rPr>
          <w:fldChar w:fldCharType="separate"/>
        </w:r>
        <w:r w:rsidR="00F87DF9">
          <w:rPr>
            <w:noProof/>
            <w:webHidden/>
          </w:rPr>
          <w:t>27</w:t>
        </w:r>
        <w:r w:rsidR="00BD038B">
          <w:rPr>
            <w:noProof/>
            <w:webHidden/>
          </w:rPr>
          <w:fldChar w:fldCharType="end"/>
        </w:r>
      </w:hyperlink>
    </w:p>
    <w:p w14:paraId="0C99DEB0" w14:textId="6E1F8AA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8" w:history="1">
        <w:r w:rsidR="00BD038B" w:rsidRPr="00763BDE">
          <w:rPr>
            <w:rStyle w:val="Hyperlink"/>
            <w:noProof/>
          </w:rPr>
          <w:t xml:space="preserve">Figure 8. </w:t>
        </w:r>
        <w:r w:rsidR="00BD038B" w:rsidRPr="00763BDE">
          <w:rPr>
            <w:rStyle w:val="Hyperlink"/>
            <w:i/>
            <w:noProof/>
          </w:rPr>
          <w:t>Annual average wet season rainfall (December 2016–April 2017) compared to the long-term wet season rainfall average (1961–1990).</w:t>
        </w:r>
        <w:r w:rsidR="00BD038B">
          <w:rPr>
            <w:noProof/>
            <w:webHidden/>
          </w:rPr>
          <w:tab/>
        </w:r>
        <w:r w:rsidR="00BD038B">
          <w:rPr>
            <w:noProof/>
            <w:webHidden/>
          </w:rPr>
          <w:fldChar w:fldCharType="begin"/>
        </w:r>
        <w:r w:rsidR="00BD038B">
          <w:rPr>
            <w:noProof/>
            <w:webHidden/>
          </w:rPr>
          <w:instrText xml:space="preserve"> PAGEREF _Toc516053218 \h </w:instrText>
        </w:r>
        <w:r w:rsidR="00BD038B">
          <w:rPr>
            <w:noProof/>
            <w:webHidden/>
          </w:rPr>
        </w:r>
        <w:r w:rsidR="00BD038B">
          <w:rPr>
            <w:noProof/>
            <w:webHidden/>
          </w:rPr>
          <w:fldChar w:fldCharType="separate"/>
        </w:r>
        <w:r w:rsidR="00F87DF9">
          <w:rPr>
            <w:noProof/>
            <w:webHidden/>
          </w:rPr>
          <w:t>29</w:t>
        </w:r>
        <w:r w:rsidR="00BD038B">
          <w:rPr>
            <w:noProof/>
            <w:webHidden/>
          </w:rPr>
          <w:fldChar w:fldCharType="end"/>
        </w:r>
      </w:hyperlink>
    </w:p>
    <w:p w14:paraId="0600B5D2" w14:textId="3D23DB3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19" w:history="1">
        <w:r w:rsidR="00BD038B" w:rsidRPr="00763BDE">
          <w:rPr>
            <w:rStyle w:val="Hyperlink"/>
            <w:noProof/>
          </w:rPr>
          <w:t xml:space="preserve">Figure 9. </w:t>
        </w:r>
        <w:r w:rsidR="00BD038B" w:rsidRPr="00763BDE">
          <w:rPr>
            <w:rStyle w:val="Hyperlink"/>
            <w:i/>
            <w:noProof/>
          </w:rPr>
          <w:t>Turbid water exposure (colour classes 1 – 5, primary and secondary water) frequency in the GBR from December 2016 to April 2017</w:t>
        </w:r>
        <w:r w:rsidR="00BD038B">
          <w:rPr>
            <w:noProof/>
            <w:webHidden/>
          </w:rPr>
          <w:tab/>
        </w:r>
        <w:r w:rsidR="00BD038B">
          <w:rPr>
            <w:noProof/>
            <w:webHidden/>
          </w:rPr>
          <w:fldChar w:fldCharType="begin"/>
        </w:r>
        <w:r w:rsidR="00BD038B">
          <w:rPr>
            <w:noProof/>
            <w:webHidden/>
          </w:rPr>
          <w:instrText xml:space="preserve"> PAGEREF _Toc516053219 \h </w:instrText>
        </w:r>
        <w:r w:rsidR="00BD038B">
          <w:rPr>
            <w:noProof/>
            <w:webHidden/>
          </w:rPr>
        </w:r>
        <w:r w:rsidR="00BD038B">
          <w:rPr>
            <w:noProof/>
            <w:webHidden/>
          </w:rPr>
          <w:fldChar w:fldCharType="separate"/>
        </w:r>
        <w:r w:rsidR="00F87DF9">
          <w:rPr>
            <w:noProof/>
            <w:webHidden/>
          </w:rPr>
          <w:t>31</w:t>
        </w:r>
        <w:r w:rsidR="00BD038B">
          <w:rPr>
            <w:noProof/>
            <w:webHidden/>
          </w:rPr>
          <w:fldChar w:fldCharType="end"/>
        </w:r>
      </w:hyperlink>
    </w:p>
    <w:p w14:paraId="644BEF63" w14:textId="573747E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0" w:history="1">
        <w:r w:rsidR="00BD038B" w:rsidRPr="00763BDE">
          <w:rPr>
            <w:rStyle w:val="Hyperlink"/>
            <w:noProof/>
          </w:rPr>
          <w:t xml:space="preserve">Figure 10. </w:t>
        </w:r>
        <w:r w:rsidR="00BD038B" w:rsidRPr="00763BDE">
          <w:rPr>
            <w:rStyle w:val="Hyperlink"/>
            <w:i/>
            <w:noProof/>
          </w:rPr>
          <w:t>Difference in the frequency of exposure to water colour classes (CC) 1 to 4 (left) and 1 to 5 (right) at seagrass monitoring sites during the wet season (December 2016 – April 2017) compared to the long-term multiannual exposure (2003</w:t>
        </w:r>
        <w:r w:rsidR="000826D4" w:rsidRPr="000826D4">
          <w:rPr>
            <w:rStyle w:val="Hyperlink"/>
            <w:i/>
            <w:noProof/>
          </w:rPr>
          <w:t>–</w:t>
        </w:r>
        <w:r w:rsidR="00BD038B" w:rsidRPr="00763BDE">
          <w:rPr>
            <w:rStyle w:val="Hyperlink"/>
            <w:i/>
            <w:noProof/>
          </w:rPr>
          <w:t>2017).</w:t>
        </w:r>
        <w:r w:rsidR="00BD038B">
          <w:rPr>
            <w:noProof/>
            <w:webHidden/>
          </w:rPr>
          <w:tab/>
        </w:r>
        <w:r w:rsidR="00BD038B">
          <w:rPr>
            <w:noProof/>
            <w:webHidden/>
          </w:rPr>
          <w:fldChar w:fldCharType="begin"/>
        </w:r>
        <w:r w:rsidR="00BD038B">
          <w:rPr>
            <w:noProof/>
            <w:webHidden/>
          </w:rPr>
          <w:instrText xml:space="preserve"> PAGEREF _Toc516053220 \h </w:instrText>
        </w:r>
        <w:r w:rsidR="00BD038B">
          <w:rPr>
            <w:noProof/>
            <w:webHidden/>
          </w:rPr>
        </w:r>
        <w:r w:rsidR="00BD038B">
          <w:rPr>
            <w:noProof/>
            <w:webHidden/>
          </w:rPr>
          <w:fldChar w:fldCharType="separate"/>
        </w:r>
        <w:r w:rsidR="00F87DF9">
          <w:rPr>
            <w:noProof/>
            <w:webHidden/>
          </w:rPr>
          <w:t>32</w:t>
        </w:r>
        <w:r w:rsidR="00BD038B">
          <w:rPr>
            <w:noProof/>
            <w:webHidden/>
          </w:rPr>
          <w:fldChar w:fldCharType="end"/>
        </w:r>
      </w:hyperlink>
    </w:p>
    <w:p w14:paraId="502B8859" w14:textId="716ABC8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1" w:history="1">
        <w:r w:rsidR="00BD038B" w:rsidRPr="00763BDE">
          <w:rPr>
            <w:rStyle w:val="Hyperlink"/>
            <w:noProof/>
          </w:rPr>
          <w:t xml:space="preserve">Figure 11. </w:t>
        </w:r>
        <w:r w:rsidR="00BD038B" w:rsidRPr="00763BDE">
          <w:rPr>
            <w:rStyle w:val="Hyperlink"/>
            <w:i/>
            <w:noProof/>
          </w:rPr>
          <w:t xml:space="preserve">Average daily light (left-hand panel) and thresholds exceeded (per cent days, right-hand panel) for coastal, estuarine, reef intertidal, and reef subtidal sites including the long-term average and the value for the </w:t>
        </w:r>
        <w:r w:rsidR="008574EC">
          <w:rPr>
            <w:rStyle w:val="Hyperlink"/>
            <w:i/>
            <w:noProof/>
          </w:rPr>
          <w:t>2016–17</w:t>
        </w:r>
        <w:r w:rsidR="00BD038B" w:rsidRPr="00763BDE">
          <w:rPr>
            <w:rStyle w:val="Hyperlink"/>
            <w:i/>
            <w:noProof/>
          </w:rPr>
          <w:t xml:space="preserve"> reporting period.</w:t>
        </w:r>
        <w:r w:rsidR="00BD038B">
          <w:rPr>
            <w:noProof/>
            <w:webHidden/>
          </w:rPr>
          <w:tab/>
        </w:r>
        <w:r w:rsidR="00BD038B">
          <w:rPr>
            <w:noProof/>
            <w:webHidden/>
          </w:rPr>
          <w:fldChar w:fldCharType="begin"/>
        </w:r>
        <w:r w:rsidR="00BD038B">
          <w:rPr>
            <w:noProof/>
            <w:webHidden/>
          </w:rPr>
          <w:instrText xml:space="preserve"> PAGEREF _Toc516053221 \h </w:instrText>
        </w:r>
        <w:r w:rsidR="00BD038B">
          <w:rPr>
            <w:noProof/>
            <w:webHidden/>
          </w:rPr>
        </w:r>
        <w:r w:rsidR="00BD038B">
          <w:rPr>
            <w:noProof/>
            <w:webHidden/>
          </w:rPr>
          <w:fldChar w:fldCharType="separate"/>
        </w:r>
        <w:r w:rsidR="00F87DF9">
          <w:rPr>
            <w:noProof/>
            <w:webHidden/>
          </w:rPr>
          <w:t>33</w:t>
        </w:r>
        <w:r w:rsidR="00BD038B">
          <w:rPr>
            <w:noProof/>
            <w:webHidden/>
          </w:rPr>
          <w:fldChar w:fldCharType="end"/>
        </w:r>
      </w:hyperlink>
    </w:p>
    <w:p w14:paraId="311AA0F0" w14:textId="35770E7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2" w:history="1">
        <w:r w:rsidR="00BD038B" w:rsidRPr="00763BDE">
          <w:rPr>
            <w:rStyle w:val="Hyperlink"/>
            <w:noProof/>
          </w:rPr>
          <w:t xml:space="preserve">Figure 12. </w:t>
        </w:r>
        <w:r w:rsidR="00BD038B" w:rsidRPr="00763BDE">
          <w:rPr>
            <w:rStyle w:val="Hyperlink"/>
            <w:i/>
            <w:noProof/>
          </w:rPr>
          <w:t>Daily light for all sites combined (a.) and GBR-wide trend (GAM plot) in daily light for each habitat (b.) from 2008 to 2017.</w:t>
        </w:r>
        <w:r w:rsidR="00BD038B">
          <w:rPr>
            <w:noProof/>
            <w:webHidden/>
          </w:rPr>
          <w:tab/>
        </w:r>
        <w:r w:rsidR="00BD038B">
          <w:rPr>
            <w:noProof/>
            <w:webHidden/>
          </w:rPr>
          <w:fldChar w:fldCharType="begin"/>
        </w:r>
        <w:r w:rsidR="00BD038B">
          <w:rPr>
            <w:noProof/>
            <w:webHidden/>
          </w:rPr>
          <w:instrText xml:space="preserve"> PAGEREF _Toc516053222 \h </w:instrText>
        </w:r>
        <w:r w:rsidR="00BD038B">
          <w:rPr>
            <w:noProof/>
            <w:webHidden/>
          </w:rPr>
        </w:r>
        <w:r w:rsidR="00BD038B">
          <w:rPr>
            <w:noProof/>
            <w:webHidden/>
          </w:rPr>
          <w:fldChar w:fldCharType="separate"/>
        </w:r>
        <w:r w:rsidR="00F87DF9">
          <w:rPr>
            <w:noProof/>
            <w:webHidden/>
          </w:rPr>
          <w:t>34</w:t>
        </w:r>
        <w:r w:rsidR="00BD038B">
          <w:rPr>
            <w:noProof/>
            <w:webHidden/>
          </w:rPr>
          <w:fldChar w:fldCharType="end"/>
        </w:r>
      </w:hyperlink>
    </w:p>
    <w:p w14:paraId="659CF286" w14:textId="02A6C76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3" w:history="1">
        <w:r w:rsidR="00BD038B" w:rsidRPr="00763BDE">
          <w:rPr>
            <w:rStyle w:val="Hyperlink"/>
            <w:noProof/>
          </w:rPr>
          <w:t xml:space="preserve">Figure 13. </w:t>
        </w:r>
        <w:r w:rsidR="00BD038B" w:rsidRPr="00763BDE">
          <w:rPr>
            <w:rStyle w:val="Hyperlink"/>
            <w:i/>
            <w:noProof/>
          </w:rPr>
          <w:t>Number of days when inshore intertidal sea temperature exceeded 35°C, 38°C, 40°C and 43°C in each monitoring period in each NRM region.</w:t>
        </w:r>
        <w:r w:rsidR="00BD038B">
          <w:rPr>
            <w:noProof/>
            <w:webHidden/>
          </w:rPr>
          <w:tab/>
        </w:r>
        <w:r w:rsidR="00BD038B">
          <w:rPr>
            <w:noProof/>
            <w:webHidden/>
          </w:rPr>
          <w:fldChar w:fldCharType="begin"/>
        </w:r>
        <w:r w:rsidR="00BD038B">
          <w:rPr>
            <w:noProof/>
            <w:webHidden/>
          </w:rPr>
          <w:instrText xml:space="preserve"> PAGEREF _Toc516053223 \h </w:instrText>
        </w:r>
        <w:r w:rsidR="00BD038B">
          <w:rPr>
            <w:noProof/>
            <w:webHidden/>
          </w:rPr>
        </w:r>
        <w:r w:rsidR="00BD038B">
          <w:rPr>
            <w:noProof/>
            <w:webHidden/>
          </w:rPr>
          <w:fldChar w:fldCharType="separate"/>
        </w:r>
        <w:r w:rsidR="00F87DF9">
          <w:rPr>
            <w:noProof/>
            <w:webHidden/>
          </w:rPr>
          <w:t>35</w:t>
        </w:r>
        <w:r w:rsidR="00BD038B">
          <w:rPr>
            <w:noProof/>
            <w:webHidden/>
          </w:rPr>
          <w:fldChar w:fldCharType="end"/>
        </w:r>
      </w:hyperlink>
    </w:p>
    <w:p w14:paraId="5110E8A1" w14:textId="2948FD6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4" w:history="1">
        <w:r w:rsidR="00BD038B" w:rsidRPr="00763BDE">
          <w:rPr>
            <w:rStyle w:val="Hyperlink"/>
            <w:noProof/>
          </w:rPr>
          <w:t xml:space="preserve">Figure 14. </w:t>
        </w:r>
        <w:r w:rsidR="00BD038B" w:rsidRPr="00763BDE">
          <w:rPr>
            <w:rStyle w:val="Hyperlink"/>
            <w:i/>
            <w:noProof/>
          </w:rPr>
          <w:t>Inshore intertidal sea temperature deviations from baseline for GBR seagrass habitats 2003 to 2017.</w:t>
        </w:r>
        <w:r w:rsidR="00BD038B">
          <w:rPr>
            <w:noProof/>
            <w:webHidden/>
          </w:rPr>
          <w:tab/>
        </w:r>
        <w:r w:rsidR="00BD038B">
          <w:rPr>
            <w:noProof/>
            <w:webHidden/>
          </w:rPr>
          <w:fldChar w:fldCharType="begin"/>
        </w:r>
        <w:r w:rsidR="00BD038B">
          <w:rPr>
            <w:noProof/>
            <w:webHidden/>
          </w:rPr>
          <w:instrText xml:space="preserve"> PAGEREF _Toc516053224 \h </w:instrText>
        </w:r>
        <w:r w:rsidR="00BD038B">
          <w:rPr>
            <w:noProof/>
            <w:webHidden/>
          </w:rPr>
        </w:r>
        <w:r w:rsidR="00BD038B">
          <w:rPr>
            <w:noProof/>
            <w:webHidden/>
          </w:rPr>
          <w:fldChar w:fldCharType="separate"/>
        </w:r>
        <w:r w:rsidR="00F87DF9">
          <w:rPr>
            <w:noProof/>
            <w:webHidden/>
          </w:rPr>
          <w:t>35</w:t>
        </w:r>
        <w:r w:rsidR="00BD038B">
          <w:rPr>
            <w:noProof/>
            <w:webHidden/>
          </w:rPr>
          <w:fldChar w:fldCharType="end"/>
        </w:r>
      </w:hyperlink>
    </w:p>
    <w:p w14:paraId="10B93C30" w14:textId="3736C08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5" w:history="1">
        <w:r w:rsidR="00BD038B" w:rsidRPr="00763BDE">
          <w:rPr>
            <w:rStyle w:val="Hyperlink"/>
            <w:noProof/>
          </w:rPr>
          <w:t xml:space="preserve">Figure 15. </w:t>
        </w:r>
        <w:r w:rsidR="00BD038B" w:rsidRPr="00763BDE">
          <w:rPr>
            <w:rStyle w:val="Hyperlink"/>
            <w:i/>
            <w:noProof/>
          </w:rPr>
          <w:t>Number of days when inshore subtidal sea temperature exceeded 35°C, 38°C, 40°C and 43°C in each monitoring period in each NRM region.</w:t>
        </w:r>
        <w:r w:rsidR="00BD038B">
          <w:rPr>
            <w:noProof/>
            <w:webHidden/>
          </w:rPr>
          <w:tab/>
        </w:r>
        <w:r w:rsidR="00BD038B">
          <w:rPr>
            <w:noProof/>
            <w:webHidden/>
          </w:rPr>
          <w:fldChar w:fldCharType="begin"/>
        </w:r>
        <w:r w:rsidR="00BD038B">
          <w:rPr>
            <w:noProof/>
            <w:webHidden/>
          </w:rPr>
          <w:instrText xml:space="preserve"> PAGEREF _Toc516053225 \h </w:instrText>
        </w:r>
        <w:r w:rsidR="00BD038B">
          <w:rPr>
            <w:noProof/>
            <w:webHidden/>
          </w:rPr>
        </w:r>
        <w:r w:rsidR="00BD038B">
          <w:rPr>
            <w:noProof/>
            <w:webHidden/>
          </w:rPr>
          <w:fldChar w:fldCharType="separate"/>
        </w:r>
        <w:r w:rsidR="00F87DF9">
          <w:rPr>
            <w:noProof/>
            <w:webHidden/>
          </w:rPr>
          <w:t>36</w:t>
        </w:r>
        <w:r w:rsidR="00BD038B">
          <w:rPr>
            <w:noProof/>
            <w:webHidden/>
          </w:rPr>
          <w:fldChar w:fldCharType="end"/>
        </w:r>
      </w:hyperlink>
    </w:p>
    <w:p w14:paraId="2D46ACCB" w14:textId="0BAA755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6" w:history="1">
        <w:r w:rsidR="00BD038B" w:rsidRPr="00763BDE">
          <w:rPr>
            <w:rStyle w:val="Hyperlink"/>
            <w:noProof/>
          </w:rPr>
          <w:t xml:space="preserve">Figure 16. </w:t>
        </w:r>
        <w:r w:rsidR="00BD038B" w:rsidRPr="00763BDE">
          <w:rPr>
            <w:rStyle w:val="Hyperlink"/>
            <w:i/>
            <w:noProof/>
          </w:rPr>
          <w:t>Regional report card scores for seagrass abundance over the life of the MMP</w:t>
        </w:r>
        <w:r w:rsidR="00BD038B">
          <w:rPr>
            <w:noProof/>
            <w:webHidden/>
          </w:rPr>
          <w:tab/>
        </w:r>
        <w:r w:rsidR="00BD038B">
          <w:rPr>
            <w:noProof/>
            <w:webHidden/>
          </w:rPr>
          <w:fldChar w:fldCharType="begin"/>
        </w:r>
        <w:r w:rsidR="00BD038B">
          <w:rPr>
            <w:noProof/>
            <w:webHidden/>
          </w:rPr>
          <w:instrText xml:space="preserve"> PAGEREF _Toc516053226 \h </w:instrText>
        </w:r>
        <w:r w:rsidR="00BD038B">
          <w:rPr>
            <w:noProof/>
            <w:webHidden/>
          </w:rPr>
        </w:r>
        <w:r w:rsidR="00BD038B">
          <w:rPr>
            <w:noProof/>
            <w:webHidden/>
          </w:rPr>
          <w:fldChar w:fldCharType="separate"/>
        </w:r>
        <w:r w:rsidR="00F87DF9">
          <w:rPr>
            <w:noProof/>
            <w:webHidden/>
          </w:rPr>
          <w:t>36</w:t>
        </w:r>
        <w:r w:rsidR="00BD038B">
          <w:rPr>
            <w:noProof/>
            <w:webHidden/>
          </w:rPr>
          <w:fldChar w:fldCharType="end"/>
        </w:r>
      </w:hyperlink>
    </w:p>
    <w:p w14:paraId="0B5FB9CC" w14:textId="18656FF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7" w:history="1">
        <w:r w:rsidR="00BD038B" w:rsidRPr="00763BDE">
          <w:rPr>
            <w:rStyle w:val="Hyperlink"/>
            <w:noProof/>
          </w:rPr>
          <w:t>Figure 17. Seagrass percent cover measures per quadrat from meadows monitored from June 1999 to May 2017 (sites and habitats pooled).</w:t>
        </w:r>
        <w:r w:rsidR="00BD038B">
          <w:rPr>
            <w:noProof/>
            <w:webHidden/>
          </w:rPr>
          <w:tab/>
        </w:r>
        <w:r w:rsidR="00BD038B">
          <w:rPr>
            <w:noProof/>
            <w:webHidden/>
          </w:rPr>
          <w:fldChar w:fldCharType="begin"/>
        </w:r>
        <w:r w:rsidR="00BD038B">
          <w:rPr>
            <w:noProof/>
            <w:webHidden/>
          </w:rPr>
          <w:instrText xml:space="preserve"> PAGEREF _Toc516053227 \h </w:instrText>
        </w:r>
        <w:r w:rsidR="00BD038B">
          <w:rPr>
            <w:noProof/>
            <w:webHidden/>
          </w:rPr>
        </w:r>
        <w:r w:rsidR="00BD038B">
          <w:rPr>
            <w:noProof/>
            <w:webHidden/>
          </w:rPr>
          <w:fldChar w:fldCharType="separate"/>
        </w:r>
        <w:r w:rsidR="00F87DF9">
          <w:rPr>
            <w:noProof/>
            <w:webHidden/>
          </w:rPr>
          <w:t>37</w:t>
        </w:r>
        <w:r w:rsidR="00BD038B">
          <w:rPr>
            <w:noProof/>
            <w:webHidden/>
          </w:rPr>
          <w:fldChar w:fldCharType="end"/>
        </w:r>
      </w:hyperlink>
    </w:p>
    <w:p w14:paraId="7267769C" w14:textId="3D35334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8" w:history="1">
        <w:r w:rsidR="00BD038B" w:rsidRPr="00763BDE">
          <w:rPr>
            <w:rStyle w:val="Hyperlink"/>
            <w:noProof/>
          </w:rPr>
          <w:t xml:space="preserve">Figure 18. </w:t>
        </w:r>
        <w:r w:rsidR="00BD038B" w:rsidRPr="00763BDE">
          <w:rPr>
            <w:rStyle w:val="Hyperlink"/>
            <w:i/>
            <w:noProof/>
          </w:rPr>
          <w:t>Trends in seagrass abundance ( per cent cover) for each habitat type across the GBR represented by a GAM plot.</w:t>
        </w:r>
        <w:r w:rsidR="00BD038B">
          <w:rPr>
            <w:noProof/>
            <w:webHidden/>
          </w:rPr>
          <w:tab/>
        </w:r>
        <w:r w:rsidR="00BD038B">
          <w:rPr>
            <w:noProof/>
            <w:webHidden/>
          </w:rPr>
          <w:fldChar w:fldCharType="begin"/>
        </w:r>
        <w:r w:rsidR="00BD038B">
          <w:rPr>
            <w:noProof/>
            <w:webHidden/>
          </w:rPr>
          <w:instrText xml:space="preserve"> PAGEREF _Toc516053228 \h </w:instrText>
        </w:r>
        <w:r w:rsidR="00BD038B">
          <w:rPr>
            <w:noProof/>
            <w:webHidden/>
          </w:rPr>
        </w:r>
        <w:r w:rsidR="00BD038B">
          <w:rPr>
            <w:noProof/>
            <w:webHidden/>
          </w:rPr>
          <w:fldChar w:fldCharType="separate"/>
        </w:r>
        <w:r w:rsidR="00F87DF9">
          <w:rPr>
            <w:noProof/>
            <w:webHidden/>
          </w:rPr>
          <w:t>38</w:t>
        </w:r>
        <w:r w:rsidR="00BD038B">
          <w:rPr>
            <w:noProof/>
            <w:webHidden/>
          </w:rPr>
          <w:fldChar w:fldCharType="end"/>
        </w:r>
      </w:hyperlink>
    </w:p>
    <w:p w14:paraId="063E4506" w14:textId="3EE7247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29" w:history="1">
        <w:r w:rsidR="00BD038B" w:rsidRPr="00763BDE">
          <w:rPr>
            <w:rStyle w:val="Hyperlink"/>
            <w:noProof/>
          </w:rPr>
          <w:t xml:space="preserve">Figure 19. </w:t>
        </w:r>
        <w:r w:rsidR="00BD038B" w:rsidRPr="00763BDE">
          <w:rPr>
            <w:rStyle w:val="Hyperlink"/>
            <w:i/>
            <w:noProof/>
          </w:rPr>
          <w:t xml:space="preserve">Proportion of total seagrass abundance composed of species displaying colonising traits (e.g. </w:t>
        </w:r>
        <w:r w:rsidR="00BD038B" w:rsidRPr="00763BDE">
          <w:rPr>
            <w:rStyle w:val="Hyperlink"/>
            <w:noProof/>
          </w:rPr>
          <w:t>Halophila ovalis</w:t>
        </w:r>
        <w:r w:rsidR="00BD038B" w:rsidRPr="00763BDE">
          <w:rPr>
            <w:rStyle w:val="Hyperlink"/>
            <w:i/>
            <w:noProof/>
          </w:rPr>
          <w:t>) in a) estuary intertidal, b) coastal intertidal, c) coast subtidal, d) reef intertidal and e) reef subtidal habitats (sites pooled) for the GBR (regions pooled) each monitoring period</w:t>
        </w:r>
        <w:r w:rsidR="00BD038B">
          <w:rPr>
            <w:noProof/>
            <w:webHidden/>
          </w:rPr>
          <w:tab/>
        </w:r>
        <w:r w:rsidR="00BD038B">
          <w:rPr>
            <w:noProof/>
            <w:webHidden/>
          </w:rPr>
          <w:fldChar w:fldCharType="begin"/>
        </w:r>
        <w:r w:rsidR="00BD038B">
          <w:rPr>
            <w:noProof/>
            <w:webHidden/>
          </w:rPr>
          <w:instrText xml:space="preserve"> PAGEREF _Toc516053229 \h </w:instrText>
        </w:r>
        <w:r w:rsidR="00BD038B">
          <w:rPr>
            <w:noProof/>
            <w:webHidden/>
          </w:rPr>
        </w:r>
        <w:r w:rsidR="00BD038B">
          <w:rPr>
            <w:noProof/>
            <w:webHidden/>
          </w:rPr>
          <w:fldChar w:fldCharType="separate"/>
        </w:r>
        <w:r w:rsidR="00F87DF9">
          <w:rPr>
            <w:noProof/>
            <w:webHidden/>
          </w:rPr>
          <w:t>38</w:t>
        </w:r>
        <w:r w:rsidR="00BD038B">
          <w:rPr>
            <w:noProof/>
            <w:webHidden/>
          </w:rPr>
          <w:fldChar w:fldCharType="end"/>
        </w:r>
      </w:hyperlink>
    </w:p>
    <w:p w14:paraId="1DEA9E85" w14:textId="186FB02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0" w:history="1">
        <w:r w:rsidR="00BD038B" w:rsidRPr="00763BDE">
          <w:rPr>
            <w:rStyle w:val="Hyperlink"/>
            <w:noProof/>
          </w:rPr>
          <w:t xml:space="preserve">Figure 20. </w:t>
        </w:r>
        <w:r w:rsidR="00BD038B" w:rsidRPr="00763BDE">
          <w:rPr>
            <w:rStyle w:val="Hyperlink"/>
            <w:i/>
            <w:noProof/>
          </w:rPr>
          <w:t>Seagrass reproductive effort (number of reproductive structures produced by all seagrass species) during the late dry of each monitoring period, for a) estuary intertidal; b) coast intertidal; c) reef intertidal; d) reef subtidal.</w:t>
        </w:r>
        <w:r w:rsidR="00BD038B">
          <w:rPr>
            <w:noProof/>
            <w:webHidden/>
          </w:rPr>
          <w:tab/>
        </w:r>
        <w:r w:rsidR="00BD038B">
          <w:rPr>
            <w:noProof/>
            <w:webHidden/>
          </w:rPr>
          <w:fldChar w:fldCharType="begin"/>
        </w:r>
        <w:r w:rsidR="00BD038B">
          <w:rPr>
            <w:noProof/>
            <w:webHidden/>
          </w:rPr>
          <w:instrText xml:space="preserve"> PAGEREF _Toc516053230 \h </w:instrText>
        </w:r>
        <w:r w:rsidR="00BD038B">
          <w:rPr>
            <w:noProof/>
            <w:webHidden/>
          </w:rPr>
        </w:r>
        <w:r w:rsidR="00BD038B">
          <w:rPr>
            <w:noProof/>
            <w:webHidden/>
          </w:rPr>
          <w:fldChar w:fldCharType="separate"/>
        </w:r>
        <w:r w:rsidR="00F87DF9">
          <w:rPr>
            <w:noProof/>
            <w:webHidden/>
          </w:rPr>
          <w:t>39</w:t>
        </w:r>
        <w:r w:rsidR="00BD038B">
          <w:rPr>
            <w:noProof/>
            <w:webHidden/>
          </w:rPr>
          <w:fldChar w:fldCharType="end"/>
        </w:r>
      </w:hyperlink>
    </w:p>
    <w:p w14:paraId="4CD015A7" w14:textId="2003C13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1" w:history="1">
        <w:r w:rsidR="00BD038B" w:rsidRPr="00763BDE">
          <w:rPr>
            <w:rStyle w:val="Hyperlink"/>
            <w:noProof/>
          </w:rPr>
          <w:t xml:space="preserve">Figure 21. </w:t>
        </w:r>
        <w:r w:rsidR="00BD038B" w:rsidRPr="00763BDE">
          <w:rPr>
            <w:rStyle w:val="Hyperlink"/>
            <w:i/>
            <w:noProof/>
          </w:rPr>
          <w:t>Regional report card scores for seagrass reproductive effort over the life of the MMP</w:t>
        </w:r>
        <w:r w:rsidR="00BD038B">
          <w:rPr>
            <w:noProof/>
            <w:webHidden/>
          </w:rPr>
          <w:tab/>
        </w:r>
        <w:r w:rsidR="00BD038B">
          <w:rPr>
            <w:noProof/>
            <w:webHidden/>
          </w:rPr>
          <w:fldChar w:fldCharType="begin"/>
        </w:r>
        <w:r w:rsidR="00BD038B">
          <w:rPr>
            <w:noProof/>
            <w:webHidden/>
          </w:rPr>
          <w:instrText xml:space="preserve"> PAGEREF _Toc516053231 \h </w:instrText>
        </w:r>
        <w:r w:rsidR="00BD038B">
          <w:rPr>
            <w:noProof/>
            <w:webHidden/>
          </w:rPr>
        </w:r>
        <w:r w:rsidR="00BD038B">
          <w:rPr>
            <w:noProof/>
            <w:webHidden/>
          </w:rPr>
          <w:fldChar w:fldCharType="separate"/>
        </w:r>
        <w:r w:rsidR="00F87DF9">
          <w:rPr>
            <w:noProof/>
            <w:webHidden/>
          </w:rPr>
          <w:t>40</w:t>
        </w:r>
        <w:r w:rsidR="00BD038B">
          <w:rPr>
            <w:noProof/>
            <w:webHidden/>
          </w:rPr>
          <w:fldChar w:fldCharType="end"/>
        </w:r>
      </w:hyperlink>
    </w:p>
    <w:p w14:paraId="65DB907E" w14:textId="09DD7F1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2" w:history="1">
        <w:r w:rsidR="00BD038B" w:rsidRPr="00763BDE">
          <w:rPr>
            <w:rStyle w:val="Hyperlink"/>
            <w:noProof/>
          </w:rPr>
          <w:t xml:space="preserve">Figure 22. </w:t>
        </w:r>
        <w:r w:rsidR="00BD038B" w:rsidRPr="00763BDE">
          <w:rPr>
            <w:rStyle w:val="Hyperlink"/>
            <w:i/>
            <w:noProof/>
          </w:rPr>
          <w:t>Average seeds banks (seeds per square metre of sediment surface, all sites and species pooled) in GBR seagrass habitats: a) estuary intertidal; b) coast intertidal; c) reef intertidal; d) reef subtidal.</w:t>
        </w:r>
        <w:r w:rsidR="00BD038B">
          <w:rPr>
            <w:noProof/>
            <w:webHidden/>
          </w:rPr>
          <w:tab/>
        </w:r>
        <w:r w:rsidR="00BD038B">
          <w:rPr>
            <w:noProof/>
            <w:webHidden/>
          </w:rPr>
          <w:fldChar w:fldCharType="begin"/>
        </w:r>
        <w:r w:rsidR="00BD038B">
          <w:rPr>
            <w:noProof/>
            <w:webHidden/>
          </w:rPr>
          <w:instrText xml:space="preserve"> PAGEREF _Toc516053232 \h </w:instrText>
        </w:r>
        <w:r w:rsidR="00BD038B">
          <w:rPr>
            <w:noProof/>
            <w:webHidden/>
          </w:rPr>
        </w:r>
        <w:r w:rsidR="00BD038B">
          <w:rPr>
            <w:noProof/>
            <w:webHidden/>
          </w:rPr>
          <w:fldChar w:fldCharType="separate"/>
        </w:r>
        <w:r w:rsidR="00F87DF9">
          <w:rPr>
            <w:noProof/>
            <w:webHidden/>
          </w:rPr>
          <w:t>40</w:t>
        </w:r>
        <w:r w:rsidR="00BD038B">
          <w:rPr>
            <w:noProof/>
            <w:webHidden/>
          </w:rPr>
          <w:fldChar w:fldCharType="end"/>
        </w:r>
      </w:hyperlink>
    </w:p>
    <w:p w14:paraId="33431009" w14:textId="0307E5D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3" w:history="1">
        <w:r w:rsidR="00BD038B" w:rsidRPr="00763BDE">
          <w:rPr>
            <w:rStyle w:val="Hyperlink"/>
            <w:noProof/>
          </w:rPr>
          <w:t xml:space="preserve">Figure 23. </w:t>
        </w:r>
        <w:r w:rsidR="00BD038B" w:rsidRPr="00763BDE">
          <w:rPr>
            <w:rStyle w:val="Hyperlink"/>
            <w:i/>
            <w:noProof/>
          </w:rPr>
          <w:t>Median tissue nutrient concentrations (± SE) in seagrass leaves for each habitat type (species pooled) over the entire monitoring program</w:t>
        </w:r>
        <w:r w:rsidR="00BD038B">
          <w:rPr>
            <w:noProof/>
            <w:webHidden/>
          </w:rPr>
          <w:tab/>
        </w:r>
        <w:r w:rsidR="00BD038B">
          <w:rPr>
            <w:noProof/>
            <w:webHidden/>
          </w:rPr>
          <w:fldChar w:fldCharType="begin"/>
        </w:r>
        <w:r w:rsidR="00BD038B">
          <w:rPr>
            <w:noProof/>
            <w:webHidden/>
          </w:rPr>
          <w:instrText xml:space="preserve"> PAGEREF _Toc516053233 \h </w:instrText>
        </w:r>
        <w:r w:rsidR="00BD038B">
          <w:rPr>
            <w:noProof/>
            <w:webHidden/>
          </w:rPr>
        </w:r>
        <w:r w:rsidR="00BD038B">
          <w:rPr>
            <w:noProof/>
            <w:webHidden/>
          </w:rPr>
          <w:fldChar w:fldCharType="separate"/>
        </w:r>
        <w:r w:rsidR="00F87DF9">
          <w:rPr>
            <w:noProof/>
            <w:webHidden/>
          </w:rPr>
          <w:t>41</w:t>
        </w:r>
        <w:r w:rsidR="00BD038B">
          <w:rPr>
            <w:noProof/>
            <w:webHidden/>
          </w:rPr>
          <w:fldChar w:fldCharType="end"/>
        </w:r>
      </w:hyperlink>
    </w:p>
    <w:p w14:paraId="2ECAF014" w14:textId="3E5C6CE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4" w:history="1">
        <w:r w:rsidR="00BD038B" w:rsidRPr="00763BDE">
          <w:rPr>
            <w:rStyle w:val="Hyperlink"/>
            <w:noProof/>
          </w:rPr>
          <w:t xml:space="preserve">Figure 24. </w:t>
        </w:r>
        <w:r w:rsidR="00BD038B" w:rsidRPr="00763BDE">
          <w:rPr>
            <w:rStyle w:val="Hyperlink"/>
            <w:i/>
            <w:noProof/>
            <w:lang w:eastAsia="en-AU"/>
          </w:rPr>
          <w:t>Elemental ratios (atomic) of seagrass leaf tissue C:N for each habitat each year</w:t>
        </w:r>
        <w:r w:rsidR="00BD038B">
          <w:rPr>
            <w:noProof/>
            <w:webHidden/>
          </w:rPr>
          <w:tab/>
        </w:r>
        <w:r w:rsidR="00BD038B">
          <w:rPr>
            <w:noProof/>
            <w:webHidden/>
          </w:rPr>
          <w:fldChar w:fldCharType="begin"/>
        </w:r>
        <w:r w:rsidR="00BD038B">
          <w:rPr>
            <w:noProof/>
            <w:webHidden/>
          </w:rPr>
          <w:instrText xml:space="preserve"> PAGEREF _Toc516053234 \h </w:instrText>
        </w:r>
        <w:r w:rsidR="00BD038B">
          <w:rPr>
            <w:noProof/>
            <w:webHidden/>
          </w:rPr>
        </w:r>
        <w:r w:rsidR="00BD038B">
          <w:rPr>
            <w:noProof/>
            <w:webHidden/>
          </w:rPr>
          <w:fldChar w:fldCharType="separate"/>
        </w:r>
        <w:r w:rsidR="00F87DF9">
          <w:rPr>
            <w:noProof/>
            <w:webHidden/>
          </w:rPr>
          <w:t>42</w:t>
        </w:r>
        <w:r w:rsidR="00BD038B">
          <w:rPr>
            <w:noProof/>
            <w:webHidden/>
          </w:rPr>
          <w:fldChar w:fldCharType="end"/>
        </w:r>
      </w:hyperlink>
    </w:p>
    <w:p w14:paraId="3A68FBB1" w14:textId="747508F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5" w:history="1">
        <w:r w:rsidR="00BD038B" w:rsidRPr="00763BDE">
          <w:rPr>
            <w:rStyle w:val="Hyperlink"/>
            <w:noProof/>
          </w:rPr>
          <w:t xml:space="preserve">Figure 25. </w:t>
        </w:r>
        <w:r w:rsidR="00BD038B" w:rsidRPr="00763BDE">
          <w:rPr>
            <w:rStyle w:val="Hyperlink"/>
            <w:i/>
            <w:noProof/>
          </w:rPr>
          <w:t>Seagrass leaf tissue δ</w:t>
        </w:r>
        <w:r w:rsidR="00BD038B" w:rsidRPr="00763BDE">
          <w:rPr>
            <w:rStyle w:val="Hyperlink"/>
            <w:i/>
            <w:noProof/>
            <w:vertAlign w:val="superscript"/>
          </w:rPr>
          <w:t>13</w:t>
        </w:r>
        <w:r w:rsidR="00BD038B" w:rsidRPr="00763BDE">
          <w:rPr>
            <w:rStyle w:val="Hyperlink"/>
            <w:i/>
            <w:noProof/>
          </w:rPr>
          <w:t>C</w:t>
        </w:r>
        <w:r w:rsidR="00BD038B" w:rsidRPr="00763BDE">
          <w:rPr>
            <w:rStyle w:val="Hyperlink"/>
            <w:i/>
            <w:noProof/>
            <w:lang w:val="en-US"/>
          </w:rPr>
          <w:t xml:space="preserve"> and </w:t>
        </w:r>
        <w:r w:rsidR="00BD038B" w:rsidRPr="00763BDE">
          <w:rPr>
            <w:rStyle w:val="Hyperlink"/>
            <w:i/>
            <w:noProof/>
          </w:rPr>
          <w:t>δ</w:t>
        </w:r>
        <w:r w:rsidR="00BD038B" w:rsidRPr="00763BDE">
          <w:rPr>
            <w:rStyle w:val="Hyperlink"/>
            <w:i/>
            <w:noProof/>
            <w:vertAlign w:val="superscript"/>
          </w:rPr>
          <w:t>15</w:t>
        </w:r>
        <w:r w:rsidR="00BD038B" w:rsidRPr="00763BDE">
          <w:rPr>
            <w:rStyle w:val="Hyperlink"/>
            <w:i/>
            <w:noProof/>
          </w:rPr>
          <w:t>N</w:t>
        </w:r>
        <w:r w:rsidR="00BD038B" w:rsidRPr="00763BDE">
          <w:rPr>
            <w:rStyle w:val="Hyperlink"/>
            <w:i/>
            <w:noProof/>
            <w:lang w:val="en-US"/>
          </w:rPr>
          <w:t xml:space="preserve"> concentrations from each GBR seagrass habitat (locations pooled) in the late dry from 2011 to 2016</w:t>
        </w:r>
        <w:r w:rsidR="00BD038B">
          <w:rPr>
            <w:noProof/>
            <w:webHidden/>
          </w:rPr>
          <w:tab/>
        </w:r>
        <w:r w:rsidR="00BD038B">
          <w:rPr>
            <w:noProof/>
            <w:webHidden/>
          </w:rPr>
          <w:fldChar w:fldCharType="begin"/>
        </w:r>
        <w:r w:rsidR="00BD038B">
          <w:rPr>
            <w:noProof/>
            <w:webHidden/>
          </w:rPr>
          <w:instrText xml:space="preserve"> PAGEREF _Toc516053235 \h </w:instrText>
        </w:r>
        <w:r w:rsidR="00BD038B">
          <w:rPr>
            <w:noProof/>
            <w:webHidden/>
          </w:rPr>
        </w:r>
        <w:r w:rsidR="00BD038B">
          <w:rPr>
            <w:noProof/>
            <w:webHidden/>
          </w:rPr>
          <w:fldChar w:fldCharType="separate"/>
        </w:r>
        <w:r w:rsidR="00F87DF9">
          <w:rPr>
            <w:noProof/>
            <w:webHidden/>
          </w:rPr>
          <w:t>43</w:t>
        </w:r>
        <w:r w:rsidR="00BD038B">
          <w:rPr>
            <w:noProof/>
            <w:webHidden/>
          </w:rPr>
          <w:fldChar w:fldCharType="end"/>
        </w:r>
      </w:hyperlink>
    </w:p>
    <w:p w14:paraId="688C99A1" w14:textId="3229C02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6" w:history="1">
        <w:r w:rsidR="00BD038B" w:rsidRPr="00763BDE">
          <w:rPr>
            <w:rStyle w:val="Hyperlink"/>
            <w:noProof/>
          </w:rPr>
          <w:t xml:space="preserve">Figure 26. </w:t>
        </w:r>
        <w:r w:rsidR="00BD038B" w:rsidRPr="00763BDE">
          <w:rPr>
            <w:rStyle w:val="Hyperlink"/>
            <w:i/>
            <w:noProof/>
            <w:lang w:eastAsia="en-AU"/>
          </w:rPr>
          <w:t>Elemental ratios (atomic) of seagrass leaf tissue C:P and N:P for each habitat each year</w:t>
        </w:r>
        <w:r w:rsidR="00BD038B">
          <w:rPr>
            <w:noProof/>
            <w:webHidden/>
          </w:rPr>
          <w:tab/>
        </w:r>
        <w:r w:rsidR="00BD038B">
          <w:rPr>
            <w:noProof/>
            <w:webHidden/>
          </w:rPr>
          <w:fldChar w:fldCharType="begin"/>
        </w:r>
        <w:r w:rsidR="00BD038B">
          <w:rPr>
            <w:noProof/>
            <w:webHidden/>
          </w:rPr>
          <w:instrText xml:space="preserve"> PAGEREF _Toc516053236 \h </w:instrText>
        </w:r>
        <w:r w:rsidR="00BD038B">
          <w:rPr>
            <w:noProof/>
            <w:webHidden/>
          </w:rPr>
        </w:r>
        <w:r w:rsidR="00BD038B">
          <w:rPr>
            <w:noProof/>
            <w:webHidden/>
          </w:rPr>
          <w:fldChar w:fldCharType="separate"/>
        </w:r>
        <w:r w:rsidR="00F87DF9">
          <w:rPr>
            <w:noProof/>
            <w:webHidden/>
          </w:rPr>
          <w:t>43</w:t>
        </w:r>
        <w:r w:rsidR="00BD038B">
          <w:rPr>
            <w:noProof/>
            <w:webHidden/>
          </w:rPr>
          <w:fldChar w:fldCharType="end"/>
        </w:r>
      </w:hyperlink>
    </w:p>
    <w:p w14:paraId="74EE97A4" w14:textId="3EF9570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7" w:history="1">
        <w:r w:rsidR="00BD038B" w:rsidRPr="00763BDE">
          <w:rPr>
            <w:rStyle w:val="Hyperlink"/>
            <w:noProof/>
          </w:rPr>
          <w:t xml:space="preserve">Figure 27. </w:t>
        </w:r>
        <w:r w:rsidR="00BD038B" w:rsidRPr="00763BDE">
          <w:rPr>
            <w:rStyle w:val="Hyperlink"/>
            <w:i/>
            <w:noProof/>
          </w:rPr>
          <w:t>Regional report card scores for seagrass leaf tissue nutrient status (C:N) over the life of the MMP</w:t>
        </w:r>
        <w:r w:rsidR="00BD038B">
          <w:rPr>
            <w:noProof/>
            <w:webHidden/>
          </w:rPr>
          <w:tab/>
        </w:r>
        <w:r w:rsidR="00BD038B">
          <w:rPr>
            <w:noProof/>
            <w:webHidden/>
          </w:rPr>
          <w:fldChar w:fldCharType="begin"/>
        </w:r>
        <w:r w:rsidR="00BD038B">
          <w:rPr>
            <w:noProof/>
            <w:webHidden/>
          </w:rPr>
          <w:instrText xml:space="preserve"> PAGEREF _Toc516053237 \h </w:instrText>
        </w:r>
        <w:r w:rsidR="00BD038B">
          <w:rPr>
            <w:noProof/>
            <w:webHidden/>
          </w:rPr>
        </w:r>
        <w:r w:rsidR="00BD038B">
          <w:rPr>
            <w:noProof/>
            <w:webHidden/>
          </w:rPr>
          <w:fldChar w:fldCharType="separate"/>
        </w:r>
        <w:r w:rsidR="00F87DF9">
          <w:rPr>
            <w:noProof/>
            <w:webHidden/>
          </w:rPr>
          <w:t>44</w:t>
        </w:r>
        <w:r w:rsidR="00BD038B">
          <w:rPr>
            <w:noProof/>
            <w:webHidden/>
          </w:rPr>
          <w:fldChar w:fldCharType="end"/>
        </w:r>
      </w:hyperlink>
    </w:p>
    <w:p w14:paraId="003C6CD6" w14:textId="64373DE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8" w:history="1">
        <w:r w:rsidR="00BD038B" w:rsidRPr="00763BDE">
          <w:rPr>
            <w:rStyle w:val="Hyperlink"/>
            <w:noProof/>
          </w:rPr>
          <w:t xml:space="preserve">Figure 28. </w:t>
        </w:r>
        <w:r w:rsidR="00BD038B" w:rsidRPr="00763BDE">
          <w:rPr>
            <w:rStyle w:val="Hyperlink"/>
            <w:i/>
            <w:noProof/>
          </w:rPr>
          <w:t>Proportion of sediment composed of mud (grain size &lt;63µm) at GBR seagrass monitoring habitats from 1999-2017.</w:t>
        </w:r>
        <w:r w:rsidR="00BD038B">
          <w:rPr>
            <w:noProof/>
            <w:webHidden/>
          </w:rPr>
          <w:tab/>
        </w:r>
        <w:r w:rsidR="00BD038B">
          <w:rPr>
            <w:noProof/>
            <w:webHidden/>
          </w:rPr>
          <w:fldChar w:fldCharType="begin"/>
        </w:r>
        <w:r w:rsidR="00BD038B">
          <w:rPr>
            <w:noProof/>
            <w:webHidden/>
          </w:rPr>
          <w:instrText xml:space="preserve"> PAGEREF _Toc516053238 \h </w:instrText>
        </w:r>
        <w:r w:rsidR="00BD038B">
          <w:rPr>
            <w:noProof/>
            <w:webHidden/>
          </w:rPr>
        </w:r>
        <w:r w:rsidR="00BD038B">
          <w:rPr>
            <w:noProof/>
            <w:webHidden/>
          </w:rPr>
          <w:fldChar w:fldCharType="separate"/>
        </w:r>
        <w:r w:rsidR="00F87DF9">
          <w:rPr>
            <w:noProof/>
            <w:webHidden/>
          </w:rPr>
          <w:t>45</w:t>
        </w:r>
        <w:r w:rsidR="00BD038B">
          <w:rPr>
            <w:noProof/>
            <w:webHidden/>
          </w:rPr>
          <w:fldChar w:fldCharType="end"/>
        </w:r>
      </w:hyperlink>
    </w:p>
    <w:p w14:paraId="292803C4" w14:textId="188FFA4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39" w:history="1">
        <w:r w:rsidR="00BD038B" w:rsidRPr="00763BDE">
          <w:rPr>
            <w:rStyle w:val="Hyperlink"/>
            <w:noProof/>
          </w:rPr>
          <w:t xml:space="preserve">Figure 29. </w:t>
        </w:r>
        <w:r w:rsidR="00BD038B" w:rsidRPr="00763BDE">
          <w:rPr>
            <w:rStyle w:val="Hyperlink"/>
            <w:i/>
            <w:noProof/>
          </w:rPr>
          <w:t>Epiphyte abundance (per cent cover) relative to the long-term average (the zero axis) for each GBR seagrass habitat</w:t>
        </w:r>
        <w:r w:rsidR="00BD038B">
          <w:rPr>
            <w:noProof/>
            <w:webHidden/>
          </w:rPr>
          <w:tab/>
        </w:r>
        <w:r w:rsidR="00BD038B">
          <w:rPr>
            <w:noProof/>
            <w:webHidden/>
          </w:rPr>
          <w:fldChar w:fldCharType="begin"/>
        </w:r>
        <w:r w:rsidR="00BD038B">
          <w:rPr>
            <w:noProof/>
            <w:webHidden/>
          </w:rPr>
          <w:instrText xml:space="preserve"> PAGEREF _Toc516053239 \h </w:instrText>
        </w:r>
        <w:r w:rsidR="00BD038B">
          <w:rPr>
            <w:noProof/>
            <w:webHidden/>
          </w:rPr>
        </w:r>
        <w:r w:rsidR="00BD038B">
          <w:rPr>
            <w:noProof/>
            <w:webHidden/>
          </w:rPr>
          <w:fldChar w:fldCharType="separate"/>
        </w:r>
        <w:r w:rsidR="00F87DF9">
          <w:rPr>
            <w:noProof/>
            <w:webHidden/>
          </w:rPr>
          <w:t>45</w:t>
        </w:r>
        <w:r w:rsidR="00BD038B">
          <w:rPr>
            <w:noProof/>
            <w:webHidden/>
          </w:rPr>
          <w:fldChar w:fldCharType="end"/>
        </w:r>
      </w:hyperlink>
    </w:p>
    <w:p w14:paraId="7F254E9E" w14:textId="6818104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0" w:history="1">
        <w:r w:rsidR="00BD038B" w:rsidRPr="00763BDE">
          <w:rPr>
            <w:rStyle w:val="Hyperlink"/>
            <w:noProof/>
          </w:rPr>
          <w:t xml:space="preserve">Figure 30. </w:t>
        </w:r>
        <w:r w:rsidR="00BD038B" w:rsidRPr="00763BDE">
          <w:rPr>
            <w:rStyle w:val="Hyperlink"/>
            <w:i/>
            <w:noProof/>
          </w:rPr>
          <w:t>Macroalgae abundance (per cent cover) relative to the long-term average for each inshore GBR seagrass habitat</w:t>
        </w:r>
        <w:r w:rsidR="00BD038B">
          <w:rPr>
            <w:noProof/>
            <w:webHidden/>
          </w:rPr>
          <w:tab/>
        </w:r>
        <w:r w:rsidR="00BD038B">
          <w:rPr>
            <w:noProof/>
            <w:webHidden/>
          </w:rPr>
          <w:fldChar w:fldCharType="begin"/>
        </w:r>
        <w:r w:rsidR="00BD038B">
          <w:rPr>
            <w:noProof/>
            <w:webHidden/>
          </w:rPr>
          <w:instrText xml:space="preserve"> PAGEREF _Toc516053240 \h </w:instrText>
        </w:r>
        <w:r w:rsidR="00BD038B">
          <w:rPr>
            <w:noProof/>
            <w:webHidden/>
          </w:rPr>
        </w:r>
        <w:r w:rsidR="00BD038B">
          <w:rPr>
            <w:noProof/>
            <w:webHidden/>
          </w:rPr>
          <w:fldChar w:fldCharType="separate"/>
        </w:r>
        <w:r w:rsidR="00F87DF9">
          <w:rPr>
            <w:noProof/>
            <w:webHidden/>
          </w:rPr>
          <w:t>46</w:t>
        </w:r>
        <w:r w:rsidR="00BD038B">
          <w:rPr>
            <w:noProof/>
            <w:webHidden/>
          </w:rPr>
          <w:fldChar w:fldCharType="end"/>
        </w:r>
      </w:hyperlink>
    </w:p>
    <w:p w14:paraId="5545F883" w14:textId="5D5A983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1" w:history="1">
        <w:r w:rsidR="00BD038B" w:rsidRPr="00763BDE">
          <w:rPr>
            <w:rStyle w:val="Hyperlink"/>
            <w:noProof/>
          </w:rPr>
          <w:t xml:space="preserve">Figure 31. </w:t>
        </w:r>
        <w:r w:rsidR="00BD038B" w:rsidRPr="00763BDE">
          <w:rPr>
            <w:rStyle w:val="Hyperlink"/>
            <w:i/>
            <w:noProof/>
          </w:rPr>
          <w:t>Report card of seagrass condition (indicators and index) for the Cape York NRM region</w:t>
        </w:r>
        <w:r w:rsidR="00BD038B">
          <w:rPr>
            <w:noProof/>
            <w:webHidden/>
          </w:rPr>
          <w:tab/>
        </w:r>
        <w:r w:rsidR="00BD038B">
          <w:rPr>
            <w:noProof/>
            <w:webHidden/>
          </w:rPr>
          <w:fldChar w:fldCharType="begin"/>
        </w:r>
        <w:r w:rsidR="00BD038B">
          <w:rPr>
            <w:noProof/>
            <w:webHidden/>
          </w:rPr>
          <w:instrText xml:space="preserve"> PAGEREF _Toc516053241 \h </w:instrText>
        </w:r>
        <w:r w:rsidR="00BD038B">
          <w:rPr>
            <w:noProof/>
            <w:webHidden/>
          </w:rPr>
        </w:r>
        <w:r w:rsidR="00BD038B">
          <w:rPr>
            <w:noProof/>
            <w:webHidden/>
          </w:rPr>
          <w:fldChar w:fldCharType="separate"/>
        </w:r>
        <w:r w:rsidR="00F87DF9">
          <w:rPr>
            <w:noProof/>
            <w:webHidden/>
          </w:rPr>
          <w:t>47</w:t>
        </w:r>
        <w:r w:rsidR="00BD038B">
          <w:rPr>
            <w:noProof/>
            <w:webHidden/>
          </w:rPr>
          <w:fldChar w:fldCharType="end"/>
        </w:r>
      </w:hyperlink>
    </w:p>
    <w:p w14:paraId="785B8FD4" w14:textId="5AE9C4F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2" w:history="1">
        <w:r w:rsidR="00BD038B" w:rsidRPr="00763BDE">
          <w:rPr>
            <w:rStyle w:val="Hyperlink"/>
            <w:noProof/>
          </w:rPr>
          <w:t xml:space="preserve">Figure 32.  </w:t>
        </w:r>
        <w:r w:rsidR="00BD038B" w:rsidRPr="00763BDE">
          <w:rPr>
            <w:rStyle w:val="Hyperlink"/>
            <w:i/>
            <w:noProof/>
          </w:rPr>
          <w:t>Frequency of exposure to turbid water (colour classes 1-5) in the Cape York NRM, wet season (December 2016 – April 2017) composite</w:t>
        </w:r>
        <w:r w:rsidR="00BD038B">
          <w:rPr>
            <w:noProof/>
            <w:webHidden/>
          </w:rPr>
          <w:tab/>
        </w:r>
        <w:r w:rsidR="00BD038B">
          <w:rPr>
            <w:noProof/>
            <w:webHidden/>
          </w:rPr>
          <w:fldChar w:fldCharType="begin"/>
        </w:r>
        <w:r w:rsidR="00BD038B">
          <w:rPr>
            <w:noProof/>
            <w:webHidden/>
          </w:rPr>
          <w:instrText xml:space="preserve"> PAGEREF _Toc516053242 \h </w:instrText>
        </w:r>
        <w:r w:rsidR="00BD038B">
          <w:rPr>
            <w:noProof/>
            <w:webHidden/>
          </w:rPr>
        </w:r>
        <w:r w:rsidR="00BD038B">
          <w:rPr>
            <w:noProof/>
            <w:webHidden/>
          </w:rPr>
          <w:fldChar w:fldCharType="separate"/>
        </w:r>
        <w:r w:rsidR="00F87DF9">
          <w:rPr>
            <w:noProof/>
            <w:webHidden/>
          </w:rPr>
          <w:t>48</w:t>
        </w:r>
        <w:r w:rsidR="00BD038B">
          <w:rPr>
            <w:noProof/>
            <w:webHidden/>
          </w:rPr>
          <w:fldChar w:fldCharType="end"/>
        </w:r>
      </w:hyperlink>
    </w:p>
    <w:p w14:paraId="6BA9BAD7" w14:textId="11AC94F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3" w:history="1">
        <w:r w:rsidR="00BD038B" w:rsidRPr="00763BDE">
          <w:rPr>
            <w:rStyle w:val="Hyperlink"/>
            <w:noProof/>
          </w:rPr>
          <w:t xml:space="preserve">Figure 33.  </w:t>
        </w:r>
        <w:r w:rsidR="00BD038B" w:rsidRPr="00763BDE">
          <w:rPr>
            <w:rStyle w:val="Hyperlink"/>
            <w:i/>
            <w:noProof/>
          </w:rPr>
          <w:t>Daily light (mean) at Cape York sites with 28-d rolling average from 2012 to 2017 (left) and GAM plots (right)</w:t>
        </w:r>
        <w:r w:rsidR="00BD038B">
          <w:rPr>
            <w:noProof/>
            <w:webHidden/>
          </w:rPr>
          <w:tab/>
        </w:r>
        <w:r w:rsidR="00BD038B">
          <w:rPr>
            <w:noProof/>
            <w:webHidden/>
          </w:rPr>
          <w:fldChar w:fldCharType="begin"/>
        </w:r>
        <w:r w:rsidR="00BD038B">
          <w:rPr>
            <w:noProof/>
            <w:webHidden/>
          </w:rPr>
          <w:instrText xml:space="preserve"> PAGEREF _Toc516053243 \h </w:instrText>
        </w:r>
        <w:r w:rsidR="00BD038B">
          <w:rPr>
            <w:noProof/>
            <w:webHidden/>
          </w:rPr>
        </w:r>
        <w:r w:rsidR="00BD038B">
          <w:rPr>
            <w:noProof/>
            <w:webHidden/>
          </w:rPr>
          <w:fldChar w:fldCharType="separate"/>
        </w:r>
        <w:r w:rsidR="00F87DF9">
          <w:rPr>
            <w:noProof/>
            <w:webHidden/>
          </w:rPr>
          <w:t>49</w:t>
        </w:r>
        <w:r w:rsidR="00BD038B">
          <w:rPr>
            <w:noProof/>
            <w:webHidden/>
          </w:rPr>
          <w:fldChar w:fldCharType="end"/>
        </w:r>
      </w:hyperlink>
    </w:p>
    <w:p w14:paraId="6971A9A3" w14:textId="427A8FE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4" w:history="1">
        <w:r w:rsidR="00BD038B" w:rsidRPr="00763BDE">
          <w:rPr>
            <w:rStyle w:val="Hyperlink"/>
            <w:noProof/>
            <w:lang w:val="en-GB"/>
          </w:rPr>
          <w:t xml:space="preserve">Figure 34. </w:t>
        </w:r>
        <w:r w:rsidR="00BD038B" w:rsidRPr="00763BDE">
          <w:rPr>
            <w:rStyle w:val="Hyperlink"/>
            <w:i/>
            <w:noProof/>
            <w:lang w:val="en-GB"/>
          </w:rPr>
          <w:t>Inshore within canopy sea temperature for intertidal seagrass habitats in the Cape York NRM region from April 2007 to June 2017</w:t>
        </w:r>
        <w:r w:rsidR="00BD038B">
          <w:rPr>
            <w:noProof/>
            <w:webHidden/>
          </w:rPr>
          <w:tab/>
        </w:r>
        <w:r w:rsidR="00BD038B">
          <w:rPr>
            <w:noProof/>
            <w:webHidden/>
          </w:rPr>
          <w:fldChar w:fldCharType="begin"/>
        </w:r>
        <w:r w:rsidR="00BD038B">
          <w:rPr>
            <w:noProof/>
            <w:webHidden/>
          </w:rPr>
          <w:instrText xml:space="preserve"> PAGEREF _Toc516053244 \h </w:instrText>
        </w:r>
        <w:r w:rsidR="00BD038B">
          <w:rPr>
            <w:noProof/>
            <w:webHidden/>
          </w:rPr>
        </w:r>
        <w:r w:rsidR="00BD038B">
          <w:rPr>
            <w:noProof/>
            <w:webHidden/>
          </w:rPr>
          <w:fldChar w:fldCharType="separate"/>
        </w:r>
        <w:r w:rsidR="00F87DF9">
          <w:rPr>
            <w:noProof/>
            <w:webHidden/>
          </w:rPr>
          <w:t>50</w:t>
        </w:r>
        <w:r w:rsidR="00BD038B">
          <w:rPr>
            <w:noProof/>
            <w:webHidden/>
          </w:rPr>
          <w:fldChar w:fldCharType="end"/>
        </w:r>
      </w:hyperlink>
    </w:p>
    <w:p w14:paraId="4885C2D5" w14:textId="73F9C3B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5" w:history="1">
        <w:r w:rsidR="00BD038B" w:rsidRPr="00763BDE">
          <w:rPr>
            <w:rStyle w:val="Hyperlink"/>
            <w:noProof/>
          </w:rPr>
          <w:t xml:space="preserve">Figure 35. </w:t>
        </w:r>
        <w:r w:rsidR="00BD038B" w:rsidRPr="00763BDE">
          <w:rPr>
            <w:rStyle w:val="Hyperlink"/>
            <w:i/>
            <w:noProof/>
          </w:rPr>
          <w:t>Seagrass abundance (per cent cover ± SE) at inshore intertidal reef habitats (replicate sites pooled) in the Cape York NRM.</w:t>
        </w:r>
        <w:r w:rsidR="00BD038B">
          <w:rPr>
            <w:noProof/>
            <w:webHidden/>
          </w:rPr>
          <w:tab/>
        </w:r>
        <w:r w:rsidR="00BD038B">
          <w:rPr>
            <w:noProof/>
            <w:webHidden/>
          </w:rPr>
          <w:fldChar w:fldCharType="begin"/>
        </w:r>
        <w:r w:rsidR="00BD038B">
          <w:rPr>
            <w:noProof/>
            <w:webHidden/>
          </w:rPr>
          <w:instrText xml:space="preserve"> PAGEREF _Toc516053245 \h </w:instrText>
        </w:r>
        <w:r w:rsidR="00BD038B">
          <w:rPr>
            <w:noProof/>
            <w:webHidden/>
          </w:rPr>
        </w:r>
        <w:r w:rsidR="00BD038B">
          <w:rPr>
            <w:noProof/>
            <w:webHidden/>
          </w:rPr>
          <w:fldChar w:fldCharType="separate"/>
        </w:r>
        <w:r w:rsidR="00F87DF9">
          <w:rPr>
            <w:noProof/>
            <w:webHidden/>
          </w:rPr>
          <w:t>51</w:t>
        </w:r>
        <w:r w:rsidR="00BD038B">
          <w:rPr>
            <w:noProof/>
            <w:webHidden/>
          </w:rPr>
          <w:fldChar w:fldCharType="end"/>
        </w:r>
      </w:hyperlink>
    </w:p>
    <w:p w14:paraId="4E903F71" w14:textId="64971FE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6" w:history="1">
        <w:r w:rsidR="00BD038B" w:rsidRPr="00763BDE">
          <w:rPr>
            <w:rStyle w:val="Hyperlink"/>
            <w:noProof/>
          </w:rPr>
          <w:t xml:space="preserve">Figure 36. </w:t>
        </w:r>
        <w:r w:rsidR="00BD038B" w:rsidRPr="00763BDE">
          <w:rPr>
            <w:rStyle w:val="Hyperlink"/>
            <w:i/>
            <w:noProof/>
          </w:rPr>
          <w:t>Seagrass abundance ( per cent cover ± SE) at inshore intertidal coastal habitats (sites pooled) in the Cape York NRM region.</w:t>
        </w:r>
        <w:r w:rsidR="00BD038B">
          <w:rPr>
            <w:noProof/>
            <w:webHidden/>
          </w:rPr>
          <w:tab/>
        </w:r>
        <w:r w:rsidR="00BD038B">
          <w:rPr>
            <w:noProof/>
            <w:webHidden/>
          </w:rPr>
          <w:fldChar w:fldCharType="begin"/>
        </w:r>
        <w:r w:rsidR="00BD038B">
          <w:rPr>
            <w:noProof/>
            <w:webHidden/>
          </w:rPr>
          <w:instrText xml:space="preserve"> PAGEREF _Toc516053246 \h </w:instrText>
        </w:r>
        <w:r w:rsidR="00BD038B">
          <w:rPr>
            <w:noProof/>
            <w:webHidden/>
          </w:rPr>
        </w:r>
        <w:r w:rsidR="00BD038B">
          <w:rPr>
            <w:noProof/>
            <w:webHidden/>
          </w:rPr>
          <w:fldChar w:fldCharType="separate"/>
        </w:r>
        <w:r w:rsidR="00F87DF9">
          <w:rPr>
            <w:noProof/>
            <w:webHidden/>
          </w:rPr>
          <w:t>52</w:t>
        </w:r>
        <w:r w:rsidR="00BD038B">
          <w:rPr>
            <w:noProof/>
            <w:webHidden/>
          </w:rPr>
          <w:fldChar w:fldCharType="end"/>
        </w:r>
      </w:hyperlink>
    </w:p>
    <w:p w14:paraId="0EDEB8A2" w14:textId="13DB8F6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7" w:history="1">
        <w:r w:rsidR="00BD038B" w:rsidRPr="00763BDE">
          <w:rPr>
            <w:rStyle w:val="Hyperlink"/>
            <w:noProof/>
          </w:rPr>
          <w:t xml:space="preserve">Figure 37.  </w:t>
        </w:r>
        <w:r w:rsidR="00BD038B" w:rsidRPr="00763BDE">
          <w:rPr>
            <w:rStyle w:val="Hyperlink"/>
            <w:i/>
            <w:noProof/>
          </w:rPr>
          <w:t>Regional and location temporal trend in seagrass abundance in the Cape York NRM region from 2003 to 2016 represented by a GAM plot.</w:t>
        </w:r>
        <w:r w:rsidR="00BD038B">
          <w:rPr>
            <w:noProof/>
            <w:webHidden/>
          </w:rPr>
          <w:tab/>
        </w:r>
        <w:r w:rsidR="00BD038B">
          <w:rPr>
            <w:noProof/>
            <w:webHidden/>
          </w:rPr>
          <w:fldChar w:fldCharType="begin"/>
        </w:r>
        <w:r w:rsidR="00BD038B">
          <w:rPr>
            <w:noProof/>
            <w:webHidden/>
          </w:rPr>
          <w:instrText xml:space="preserve"> PAGEREF _Toc516053247 \h </w:instrText>
        </w:r>
        <w:r w:rsidR="00BD038B">
          <w:rPr>
            <w:noProof/>
            <w:webHidden/>
          </w:rPr>
        </w:r>
        <w:r w:rsidR="00BD038B">
          <w:rPr>
            <w:noProof/>
            <w:webHidden/>
          </w:rPr>
          <w:fldChar w:fldCharType="separate"/>
        </w:r>
        <w:r w:rsidR="00F87DF9">
          <w:rPr>
            <w:noProof/>
            <w:webHidden/>
          </w:rPr>
          <w:t>52</w:t>
        </w:r>
        <w:r w:rsidR="00BD038B">
          <w:rPr>
            <w:noProof/>
            <w:webHidden/>
          </w:rPr>
          <w:fldChar w:fldCharType="end"/>
        </w:r>
      </w:hyperlink>
    </w:p>
    <w:p w14:paraId="115DC585" w14:textId="78DB91E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8" w:history="1">
        <w:r w:rsidR="00BD038B" w:rsidRPr="00763BDE">
          <w:rPr>
            <w:rStyle w:val="Hyperlink"/>
            <w:noProof/>
          </w:rPr>
          <w:t xml:space="preserve">Figure 38. </w:t>
        </w:r>
        <w:r w:rsidR="00BD038B" w:rsidRPr="00763BDE">
          <w:rPr>
            <w:rStyle w:val="Hyperlink"/>
            <w:i/>
            <w:noProof/>
          </w:rPr>
          <w:t>Temporal trends in seagrass abundance for each habitat in the Cape York NRM region represented by a GAM plot.</w:t>
        </w:r>
        <w:r w:rsidR="00BD038B">
          <w:rPr>
            <w:noProof/>
            <w:webHidden/>
          </w:rPr>
          <w:tab/>
        </w:r>
        <w:r w:rsidR="00BD038B">
          <w:rPr>
            <w:noProof/>
            <w:webHidden/>
          </w:rPr>
          <w:fldChar w:fldCharType="begin"/>
        </w:r>
        <w:r w:rsidR="00BD038B">
          <w:rPr>
            <w:noProof/>
            <w:webHidden/>
          </w:rPr>
          <w:instrText xml:space="preserve"> PAGEREF _Toc516053248 \h </w:instrText>
        </w:r>
        <w:r w:rsidR="00BD038B">
          <w:rPr>
            <w:noProof/>
            <w:webHidden/>
          </w:rPr>
        </w:r>
        <w:r w:rsidR="00BD038B">
          <w:rPr>
            <w:noProof/>
            <w:webHidden/>
          </w:rPr>
          <w:fldChar w:fldCharType="separate"/>
        </w:r>
        <w:r w:rsidR="00F87DF9">
          <w:rPr>
            <w:noProof/>
            <w:webHidden/>
          </w:rPr>
          <w:t>53</w:t>
        </w:r>
        <w:r w:rsidR="00BD038B">
          <w:rPr>
            <w:noProof/>
            <w:webHidden/>
          </w:rPr>
          <w:fldChar w:fldCharType="end"/>
        </w:r>
      </w:hyperlink>
    </w:p>
    <w:p w14:paraId="556F284D" w14:textId="4DD5F4A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49" w:history="1">
        <w:r w:rsidR="00BD038B" w:rsidRPr="00763BDE">
          <w:rPr>
            <w:rStyle w:val="Hyperlink"/>
            <w:noProof/>
          </w:rPr>
          <w:t xml:space="preserve">Figure 39. </w:t>
        </w:r>
        <w:r w:rsidR="00BD038B" w:rsidRPr="00763BDE">
          <w:rPr>
            <w:rStyle w:val="Hyperlink"/>
            <w:i/>
            <w:noProof/>
          </w:rPr>
          <w:t xml:space="preserve">Proportion of seagrass abundance composed of </w:t>
        </w:r>
        <w:r w:rsidR="00BD038B" w:rsidRPr="00763BDE">
          <w:rPr>
            <w:rStyle w:val="Hyperlink"/>
            <w:i/>
            <w:noProof/>
            <w:lang w:val="en-GB"/>
          </w:rPr>
          <w:t xml:space="preserve">species displaying </w:t>
        </w:r>
        <w:r w:rsidR="00BD038B" w:rsidRPr="00763BDE">
          <w:rPr>
            <w:rStyle w:val="Hyperlink"/>
            <w:i/>
            <w:noProof/>
          </w:rPr>
          <w:t>colonising</w:t>
        </w:r>
        <w:r w:rsidR="00BD038B" w:rsidRPr="00763BDE">
          <w:rPr>
            <w:rStyle w:val="Hyperlink"/>
            <w:i/>
            <w:noProof/>
            <w:lang w:val="en-GB"/>
          </w:rPr>
          <w:t xml:space="preserve"> traits at inshore habitats in the Cape York region</w:t>
        </w:r>
        <w:r w:rsidR="00BD038B">
          <w:rPr>
            <w:noProof/>
            <w:webHidden/>
          </w:rPr>
          <w:tab/>
        </w:r>
        <w:r w:rsidR="00BD038B">
          <w:rPr>
            <w:noProof/>
            <w:webHidden/>
          </w:rPr>
          <w:fldChar w:fldCharType="begin"/>
        </w:r>
        <w:r w:rsidR="00BD038B">
          <w:rPr>
            <w:noProof/>
            <w:webHidden/>
          </w:rPr>
          <w:instrText xml:space="preserve"> PAGEREF _Toc516053249 \h </w:instrText>
        </w:r>
        <w:r w:rsidR="00BD038B">
          <w:rPr>
            <w:noProof/>
            <w:webHidden/>
          </w:rPr>
        </w:r>
        <w:r w:rsidR="00BD038B">
          <w:rPr>
            <w:noProof/>
            <w:webHidden/>
          </w:rPr>
          <w:fldChar w:fldCharType="separate"/>
        </w:r>
        <w:r w:rsidR="00F87DF9">
          <w:rPr>
            <w:noProof/>
            <w:webHidden/>
          </w:rPr>
          <w:t>53</w:t>
        </w:r>
        <w:r w:rsidR="00BD038B">
          <w:rPr>
            <w:noProof/>
            <w:webHidden/>
          </w:rPr>
          <w:fldChar w:fldCharType="end"/>
        </w:r>
      </w:hyperlink>
    </w:p>
    <w:p w14:paraId="2469F987" w14:textId="4CEBD06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0" w:history="1">
        <w:r w:rsidR="00BD038B" w:rsidRPr="00763BDE">
          <w:rPr>
            <w:rStyle w:val="Hyperlink"/>
            <w:noProof/>
          </w:rPr>
          <w:t xml:space="preserve">Figure 40. </w:t>
        </w:r>
        <w:r w:rsidR="00BD038B" w:rsidRPr="00763BDE">
          <w:rPr>
            <w:rStyle w:val="Hyperlink"/>
            <w:i/>
            <w:noProof/>
          </w:rPr>
          <w:t>Change in spatial extent of seagrass meadows within monitoring sites for each habitat and monitoring period across the eastern Cape York NRM region.</w:t>
        </w:r>
        <w:r w:rsidR="00BD038B">
          <w:rPr>
            <w:noProof/>
            <w:webHidden/>
          </w:rPr>
          <w:tab/>
        </w:r>
        <w:r w:rsidR="00BD038B">
          <w:rPr>
            <w:noProof/>
            <w:webHidden/>
          </w:rPr>
          <w:fldChar w:fldCharType="begin"/>
        </w:r>
        <w:r w:rsidR="00BD038B">
          <w:rPr>
            <w:noProof/>
            <w:webHidden/>
          </w:rPr>
          <w:instrText xml:space="preserve"> PAGEREF _Toc516053250 \h </w:instrText>
        </w:r>
        <w:r w:rsidR="00BD038B">
          <w:rPr>
            <w:noProof/>
            <w:webHidden/>
          </w:rPr>
        </w:r>
        <w:r w:rsidR="00BD038B">
          <w:rPr>
            <w:noProof/>
            <w:webHidden/>
          </w:rPr>
          <w:fldChar w:fldCharType="separate"/>
        </w:r>
        <w:r w:rsidR="00F87DF9">
          <w:rPr>
            <w:noProof/>
            <w:webHidden/>
          </w:rPr>
          <w:t>54</w:t>
        </w:r>
        <w:r w:rsidR="00BD038B">
          <w:rPr>
            <w:noProof/>
            <w:webHidden/>
          </w:rPr>
          <w:fldChar w:fldCharType="end"/>
        </w:r>
      </w:hyperlink>
    </w:p>
    <w:p w14:paraId="10966492" w14:textId="5E667D5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1" w:history="1">
        <w:r w:rsidR="00BD038B" w:rsidRPr="00763BDE">
          <w:rPr>
            <w:rStyle w:val="Hyperlink"/>
            <w:noProof/>
          </w:rPr>
          <w:t xml:space="preserve">Figure 41. </w:t>
        </w:r>
        <w:r w:rsidR="00BD038B" w:rsidRPr="00763BDE">
          <w:rPr>
            <w:rStyle w:val="Hyperlink"/>
            <w:i/>
            <w:noProof/>
          </w:rPr>
          <w:t>Seed banks and reproductive effort at inshore intertidal coastal (a) and reef (b) habitats in the Cape York region</w:t>
        </w:r>
        <w:r w:rsidR="00BD038B">
          <w:rPr>
            <w:noProof/>
            <w:webHidden/>
          </w:rPr>
          <w:tab/>
        </w:r>
        <w:r w:rsidR="00BD038B">
          <w:rPr>
            <w:noProof/>
            <w:webHidden/>
          </w:rPr>
          <w:fldChar w:fldCharType="begin"/>
        </w:r>
        <w:r w:rsidR="00BD038B">
          <w:rPr>
            <w:noProof/>
            <w:webHidden/>
          </w:rPr>
          <w:instrText xml:space="preserve"> PAGEREF _Toc516053251 \h </w:instrText>
        </w:r>
        <w:r w:rsidR="00BD038B">
          <w:rPr>
            <w:noProof/>
            <w:webHidden/>
          </w:rPr>
        </w:r>
        <w:r w:rsidR="00BD038B">
          <w:rPr>
            <w:noProof/>
            <w:webHidden/>
          </w:rPr>
          <w:fldChar w:fldCharType="separate"/>
        </w:r>
        <w:r w:rsidR="00F87DF9">
          <w:rPr>
            <w:noProof/>
            <w:webHidden/>
          </w:rPr>
          <w:t>54</w:t>
        </w:r>
        <w:r w:rsidR="00BD038B">
          <w:rPr>
            <w:noProof/>
            <w:webHidden/>
          </w:rPr>
          <w:fldChar w:fldCharType="end"/>
        </w:r>
      </w:hyperlink>
    </w:p>
    <w:p w14:paraId="749CF52D" w14:textId="0075C53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2" w:history="1">
        <w:r w:rsidR="00BD038B" w:rsidRPr="00763BDE">
          <w:rPr>
            <w:rStyle w:val="Hyperlink"/>
            <w:noProof/>
          </w:rPr>
          <w:t xml:space="preserve">Figure 42.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species in inshore intertidal coastal (a) and reef (b) habitats in the Cape York region from 2005 to 2016</w:t>
        </w:r>
        <w:r w:rsidR="00BD038B">
          <w:rPr>
            <w:noProof/>
            <w:webHidden/>
          </w:rPr>
          <w:tab/>
        </w:r>
        <w:r w:rsidR="00BD038B">
          <w:rPr>
            <w:noProof/>
            <w:webHidden/>
          </w:rPr>
          <w:fldChar w:fldCharType="begin"/>
        </w:r>
        <w:r w:rsidR="00BD038B">
          <w:rPr>
            <w:noProof/>
            <w:webHidden/>
          </w:rPr>
          <w:instrText xml:space="preserve"> PAGEREF _Toc516053252 \h </w:instrText>
        </w:r>
        <w:r w:rsidR="00BD038B">
          <w:rPr>
            <w:noProof/>
            <w:webHidden/>
          </w:rPr>
        </w:r>
        <w:r w:rsidR="00BD038B">
          <w:rPr>
            <w:noProof/>
            <w:webHidden/>
          </w:rPr>
          <w:fldChar w:fldCharType="separate"/>
        </w:r>
        <w:r w:rsidR="00F87DF9">
          <w:rPr>
            <w:noProof/>
            <w:webHidden/>
          </w:rPr>
          <w:t>55</w:t>
        </w:r>
        <w:r w:rsidR="00BD038B">
          <w:rPr>
            <w:noProof/>
            <w:webHidden/>
          </w:rPr>
          <w:fldChar w:fldCharType="end"/>
        </w:r>
      </w:hyperlink>
    </w:p>
    <w:p w14:paraId="4476ABC5" w14:textId="6EC6670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3" w:history="1">
        <w:r w:rsidR="00BD038B" w:rsidRPr="00763BDE">
          <w:rPr>
            <w:rStyle w:val="Hyperlink"/>
            <w:noProof/>
          </w:rPr>
          <w:t xml:space="preserve">Figure 43. </w:t>
        </w:r>
        <w:r w:rsidR="00BD038B" w:rsidRPr="00763BDE">
          <w:rPr>
            <w:rStyle w:val="Hyperlink"/>
            <w:i/>
            <w:noProof/>
            <w:lang w:eastAsia="en-AU"/>
          </w:rPr>
          <w:t xml:space="preserve">Elemental ratios (atomic) of seagrass leaf tissue N:P and C:P </w:t>
        </w:r>
        <w:r w:rsidR="00BD038B" w:rsidRPr="00763BDE">
          <w:rPr>
            <w:rStyle w:val="Hyperlink"/>
            <w:i/>
            <w:noProof/>
          </w:rPr>
          <w:t>for the foundation species in inshore intertidal reef (a, c) and coastal (b, d) habitats in the Cape York region from 2005 to 2016</w:t>
        </w:r>
        <w:r w:rsidR="00BD038B">
          <w:rPr>
            <w:noProof/>
            <w:webHidden/>
          </w:rPr>
          <w:tab/>
        </w:r>
        <w:r w:rsidR="00BD038B">
          <w:rPr>
            <w:noProof/>
            <w:webHidden/>
          </w:rPr>
          <w:fldChar w:fldCharType="begin"/>
        </w:r>
        <w:r w:rsidR="00BD038B">
          <w:rPr>
            <w:noProof/>
            <w:webHidden/>
          </w:rPr>
          <w:instrText xml:space="preserve"> PAGEREF _Toc516053253 \h </w:instrText>
        </w:r>
        <w:r w:rsidR="00BD038B">
          <w:rPr>
            <w:noProof/>
            <w:webHidden/>
          </w:rPr>
        </w:r>
        <w:r w:rsidR="00BD038B">
          <w:rPr>
            <w:noProof/>
            <w:webHidden/>
          </w:rPr>
          <w:fldChar w:fldCharType="separate"/>
        </w:r>
        <w:r w:rsidR="00F87DF9">
          <w:rPr>
            <w:noProof/>
            <w:webHidden/>
          </w:rPr>
          <w:t>55</w:t>
        </w:r>
        <w:r w:rsidR="00BD038B">
          <w:rPr>
            <w:noProof/>
            <w:webHidden/>
          </w:rPr>
          <w:fldChar w:fldCharType="end"/>
        </w:r>
      </w:hyperlink>
    </w:p>
    <w:p w14:paraId="17A8781D" w14:textId="6D20F22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4" w:history="1">
        <w:r w:rsidR="00BD038B" w:rsidRPr="00763BDE">
          <w:rPr>
            <w:rStyle w:val="Hyperlink"/>
            <w:noProof/>
          </w:rPr>
          <w:t xml:space="preserve">Figure 44. </w:t>
        </w:r>
        <w:r w:rsidR="00BD038B" w:rsidRPr="00763BDE">
          <w:rPr>
            <w:rStyle w:val="Hyperlink"/>
            <w:i/>
            <w:noProof/>
          </w:rPr>
          <w:t>Long-term trend in mean epiphyte and macroalgae abundance ( per cent cover) at monitoring sites in the Cape York region, relative to the long-term average for each inshore GBR intertidal seagrass habitat</w:t>
        </w:r>
        <w:r w:rsidR="00BD038B">
          <w:rPr>
            <w:noProof/>
            <w:webHidden/>
          </w:rPr>
          <w:tab/>
        </w:r>
        <w:r w:rsidR="00BD038B">
          <w:rPr>
            <w:noProof/>
            <w:webHidden/>
          </w:rPr>
          <w:fldChar w:fldCharType="begin"/>
        </w:r>
        <w:r w:rsidR="00BD038B">
          <w:rPr>
            <w:noProof/>
            <w:webHidden/>
          </w:rPr>
          <w:instrText xml:space="preserve"> PAGEREF _Toc516053254 \h </w:instrText>
        </w:r>
        <w:r w:rsidR="00BD038B">
          <w:rPr>
            <w:noProof/>
            <w:webHidden/>
          </w:rPr>
        </w:r>
        <w:r w:rsidR="00BD038B">
          <w:rPr>
            <w:noProof/>
            <w:webHidden/>
          </w:rPr>
          <w:fldChar w:fldCharType="separate"/>
        </w:r>
        <w:r w:rsidR="00F87DF9">
          <w:rPr>
            <w:noProof/>
            <w:webHidden/>
          </w:rPr>
          <w:t>56</w:t>
        </w:r>
        <w:r w:rsidR="00BD038B">
          <w:rPr>
            <w:noProof/>
            <w:webHidden/>
          </w:rPr>
          <w:fldChar w:fldCharType="end"/>
        </w:r>
      </w:hyperlink>
    </w:p>
    <w:p w14:paraId="3514B851" w14:textId="264FE0B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5" w:history="1">
        <w:r w:rsidR="00BD038B" w:rsidRPr="00763BDE">
          <w:rPr>
            <w:rStyle w:val="Hyperlink"/>
            <w:noProof/>
          </w:rPr>
          <w:t>Figure 45. Report card of seagrass indicators and index for the Wet Tropics NRM region</w:t>
        </w:r>
        <w:r w:rsidR="00BD038B">
          <w:rPr>
            <w:noProof/>
            <w:webHidden/>
          </w:rPr>
          <w:tab/>
        </w:r>
        <w:r w:rsidR="00BD038B">
          <w:rPr>
            <w:noProof/>
            <w:webHidden/>
          </w:rPr>
          <w:fldChar w:fldCharType="begin"/>
        </w:r>
        <w:r w:rsidR="00BD038B">
          <w:rPr>
            <w:noProof/>
            <w:webHidden/>
          </w:rPr>
          <w:instrText xml:space="preserve"> PAGEREF _Toc516053255 \h </w:instrText>
        </w:r>
        <w:r w:rsidR="00BD038B">
          <w:rPr>
            <w:noProof/>
            <w:webHidden/>
          </w:rPr>
        </w:r>
        <w:r w:rsidR="00BD038B">
          <w:rPr>
            <w:noProof/>
            <w:webHidden/>
          </w:rPr>
          <w:fldChar w:fldCharType="separate"/>
        </w:r>
        <w:r w:rsidR="00F87DF9">
          <w:rPr>
            <w:noProof/>
            <w:webHidden/>
          </w:rPr>
          <w:t>58</w:t>
        </w:r>
        <w:r w:rsidR="00BD038B">
          <w:rPr>
            <w:noProof/>
            <w:webHidden/>
          </w:rPr>
          <w:fldChar w:fldCharType="end"/>
        </w:r>
      </w:hyperlink>
    </w:p>
    <w:p w14:paraId="76EFD5B6" w14:textId="78AC50D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6" w:history="1">
        <w:r w:rsidR="00BD038B" w:rsidRPr="00763BDE">
          <w:rPr>
            <w:rStyle w:val="Hyperlink"/>
            <w:noProof/>
          </w:rPr>
          <w:t xml:space="preserve">Figure 46.  </w:t>
        </w:r>
        <w:r w:rsidR="00BD038B" w:rsidRPr="00763BDE">
          <w:rPr>
            <w:rStyle w:val="Hyperlink"/>
            <w:i/>
            <w:noProof/>
          </w:rPr>
          <w:t>Frequency of exposure to turbid water (colour classes 1-5) in the Wet Tropics NRM, wet season (22 weeks from December 2016 – April 2017) composite.</w:t>
        </w:r>
        <w:r w:rsidR="00BD038B">
          <w:rPr>
            <w:noProof/>
            <w:webHidden/>
          </w:rPr>
          <w:tab/>
        </w:r>
        <w:r w:rsidR="00BD038B">
          <w:rPr>
            <w:noProof/>
            <w:webHidden/>
          </w:rPr>
          <w:fldChar w:fldCharType="begin"/>
        </w:r>
        <w:r w:rsidR="00BD038B">
          <w:rPr>
            <w:noProof/>
            <w:webHidden/>
          </w:rPr>
          <w:instrText xml:space="preserve"> PAGEREF _Toc516053256 \h </w:instrText>
        </w:r>
        <w:r w:rsidR="00BD038B">
          <w:rPr>
            <w:noProof/>
            <w:webHidden/>
          </w:rPr>
        </w:r>
        <w:r w:rsidR="00BD038B">
          <w:rPr>
            <w:noProof/>
            <w:webHidden/>
          </w:rPr>
          <w:fldChar w:fldCharType="separate"/>
        </w:r>
        <w:r w:rsidR="00F87DF9">
          <w:rPr>
            <w:noProof/>
            <w:webHidden/>
          </w:rPr>
          <w:t>59</w:t>
        </w:r>
        <w:r w:rsidR="00BD038B">
          <w:rPr>
            <w:noProof/>
            <w:webHidden/>
          </w:rPr>
          <w:fldChar w:fldCharType="end"/>
        </w:r>
      </w:hyperlink>
    </w:p>
    <w:p w14:paraId="69E6A299" w14:textId="3037714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7" w:history="1">
        <w:r w:rsidR="00BD038B" w:rsidRPr="00763BDE">
          <w:rPr>
            <w:rStyle w:val="Hyperlink"/>
            <w:noProof/>
          </w:rPr>
          <w:t xml:space="preserve">Figure 47.  </w:t>
        </w:r>
        <w:r w:rsidR="00BD038B" w:rsidRPr="00763BDE">
          <w:rPr>
            <w:rStyle w:val="Hyperlink"/>
            <w:i/>
            <w:noProof/>
          </w:rPr>
          <w:t>Mean daily light at Wet Tropics sites with 28-d rolling average from 2008 to 2017 (left) and GAM plots (right)</w:t>
        </w:r>
        <w:r w:rsidR="00BD038B">
          <w:rPr>
            <w:noProof/>
            <w:webHidden/>
          </w:rPr>
          <w:tab/>
        </w:r>
        <w:r w:rsidR="00BD038B">
          <w:rPr>
            <w:noProof/>
            <w:webHidden/>
          </w:rPr>
          <w:fldChar w:fldCharType="begin"/>
        </w:r>
        <w:r w:rsidR="00BD038B">
          <w:rPr>
            <w:noProof/>
            <w:webHidden/>
          </w:rPr>
          <w:instrText xml:space="preserve"> PAGEREF _Toc516053257 \h </w:instrText>
        </w:r>
        <w:r w:rsidR="00BD038B">
          <w:rPr>
            <w:noProof/>
            <w:webHidden/>
          </w:rPr>
        </w:r>
        <w:r w:rsidR="00BD038B">
          <w:rPr>
            <w:noProof/>
            <w:webHidden/>
          </w:rPr>
          <w:fldChar w:fldCharType="separate"/>
        </w:r>
        <w:r w:rsidR="00F87DF9">
          <w:rPr>
            <w:noProof/>
            <w:webHidden/>
          </w:rPr>
          <w:t>60</w:t>
        </w:r>
        <w:r w:rsidR="00BD038B">
          <w:rPr>
            <w:noProof/>
            <w:webHidden/>
          </w:rPr>
          <w:fldChar w:fldCharType="end"/>
        </w:r>
      </w:hyperlink>
    </w:p>
    <w:p w14:paraId="4FF8AE9C" w14:textId="7053ED5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8" w:history="1">
        <w:r w:rsidR="00BD038B" w:rsidRPr="00763BDE">
          <w:rPr>
            <w:rStyle w:val="Hyperlink"/>
            <w:noProof/>
            <w:lang w:val="en-GB"/>
          </w:rPr>
          <w:t xml:space="preserve">Figure 48. </w:t>
        </w:r>
        <w:r w:rsidR="00BD038B" w:rsidRPr="00763BDE">
          <w:rPr>
            <w:rStyle w:val="Hyperlink"/>
            <w:i/>
            <w:noProof/>
            <w:lang w:val="en-GB"/>
          </w:rPr>
          <w:t>Inshore sea temperature for intertidal seagrass habitats in the Wet Tropics NRM region from August 2001 to June 2017</w:t>
        </w:r>
        <w:r w:rsidR="00BD038B">
          <w:rPr>
            <w:noProof/>
            <w:webHidden/>
          </w:rPr>
          <w:tab/>
        </w:r>
        <w:r w:rsidR="00BD038B">
          <w:rPr>
            <w:noProof/>
            <w:webHidden/>
          </w:rPr>
          <w:fldChar w:fldCharType="begin"/>
        </w:r>
        <w:r w:rsidR="00BD038B">
          <w:rPr>
            <w:noProof/>
            <w:webHidden/>
          </w:rPr>
          <w:instrText xml:space="preserve"> PAGEREF _Toc516053258 \h </w:instrText>
        </w:r>
        <w:r w:rsidR="00BD038B">
          <w:rPr>
            <w:noProof/>
            <w:webHidden/>
          </w:rPr>
        </w:r>
        <w:r w:rsidR="00BD038B">
          <w:rPr>
            <w:noProof/>
            <w:webHidden/>
          </w:rPr>
          <w:fldChar w:fldCharType="separate"/>
        </w:r>
        <w:r w:rsidR="00F87DF9">
          <w:rPr>
            <w:noProof/>
            <w:webHidden/>
          </w:rPr>
          <w:t>60</w:t>
        </w:r>
        <w:r w:rsidR="00BD038B">
          <w:rPr>
            <w:noProof/>
            <w:webHidden/>
          </w:rPr>
          <w:fldChar w:fldCharType="end"/>
        </w:r>
      </w:hyperlink>
    </w:p>
    <w:p w14:paraId="124F6726" w14:textId="4793C1E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59" w:history="1">
        <w:r w:rsidR="00BD038B" w:rsidRPr="00763BDE">
          <w:rPr>
            <w:rStyle w:val="Hyperlink"/>
            <w:noProof/>
            <w:lang w:val="en-GB"/>
          </w:rPr>
          <w:t xml:space="preserve">Figure 49. </w:t>
        </w:r>
        <w:r w:rsidR="00BD038B" w:rsidRPr="00763BDE">
          <w:rPr>
            <w:rStyle w:val="Hyperlink"/>
            <w:i/>
            <w:noProof/>
            <w:lang w:val="en-GB"/>
          </w:rPr>
          <w:t>Inshore sea temperature for subtidal seagrass habitats in the Wet Tropics NRM region from October 2008 to June 2017</w:t>
        </w:r>
        <w:r w:rsidR="00BD038B">
          <w:rPr>
            <w:noProof/>
            <w:webHidden/>
          </w:rPr>
          <w:tab/>
        </w:r>
        <w:r w:rsidR="00BD038B">
          <w:rPr>
            <w:noProof/>
            <w:webHidden/>
          </w:rPr>
          <w:fldChar w:fldCharType="begin"/>
        </w:r>
        <w:r w:rsidR="00BD038B">
          <w:rPr>
            <w:noProof/>
            <w:webHidden/>
          </w:rPr>
          <w:instrText xml:space="preserve"> PAGEREF _Toc516053259 \h </w:instrText>
        </w:r>
        <w:r w:rsidR="00BD038B">
          <w:rPr>
            <w:noProof/>
            <w:webHidden/>
          </w:rPr>
        </w:r>
        <w:r w:rsidR="00BD038B">
          <w:rPr>
            <w:noProof/>
            <w:webHidden/>
          </w:rPr>
          <w:fldChar w:fldCharType="separate"/>
        </w:r>
        <w:r w:rsidR="00F87DF9">
          <w:rPr>
            <w:noProof/>
            <w:webHidden/>
          </w:rPr>
          <w:t>61</w:t>
        </w:r>
        <w:r w:rsidR="00BD038B">
          <w:rPr>
            <w:noProof/>
            <w:webHidden/>
          </w:rPr>
          <w:fldChar w:fldCharType="end"/>
        </w:r>
      </w:hyperlink>
    </w:p>
    <w:p w14:paraId="0B34D36E" w14:textId="35DAE4C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0" w:history="1">
        <w:r w:rsidR="00BD038B" w:rsidRPr="00763BDE">
          <w:rPr>
            <w:rStyle w:val="Hyperlink"/>
            <w:noProof/>
          </w:rPr>
          <w:t xml:space="preserve">Figure 50. </w:t>
        </w:r>
        <w:r w:rsidR="00BD038B" w:rsidRPr="00763BDE">
          <w:rPr>
            <w:rStyle w:val="Hyperlink"/>
            <w:i/>
            <w:noProof/>
          </w:rPr>
          <w:t>Changes in seagrass abundance (per cent cover ± SE) at inshore intertidal coastal habitats in the Wet Tropics NRM region, 2000 - 2017.</w:t>
        </w:r>
        <w:r w:rsidR="00BD038B">
          <w:rPr>
            <w:noProof/>
            <w:webHidden/>
          </w:rPr>
          <w:tab/>
        </w:r>
        <w:r w:rsidR="00BD038B">
          <w:rPr>
            <w:noProof/>
            <w:webHidden/>
          </w:rPr>
          <w:fldChar w:fldCharType="begin"/>
        </w:r>
        <w:r w:rsidR="00BD038B">
          <w:rPr>
            <w:noProof/>
            <w:webHidden/>
          </w:rPr>
          <w:instrText xml:space="preserve"> PAGEREF _Toc516053260 \h </w:instrText>
        </w:r>
        <w:r w:rsidR="00BD038B">
          <w:rPr>
            <w:noProof/>
            <w:webHidden/>
          </w:rPr>
        </w:r>
        <w:r w:rsidR="00BD038B">
          <w:rPr>
            <w:noProof/>
            <w:webHidden/>
          </w:rPr>
          <w:fldChar w:fldCharType="separate"/>
        </w:r>
        <w:r w:rsidR="00F87DF9">
          <w:rPr>
            <w:noProof/>
            <w:webHidden/>
          </w:rPr>
          <w:t>62</w:t>
        </w:r>
        <w:r w:rsidR="00BD038B">
          <w:rPr>
            <w:noProof/>
            <w:webHidden/>
          </w:rPr>
          <w:fldChar w:fldCharType="end"/>
        </w:r>
      </w:hyperlink>
    </w:p>
    <w:p w14:paraId="049FE666" w14:textId="67BA251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1" w:history="1">
        <w:r w:rsidR="00BD038B" w:rsidRPr="00763BDE">
          <w:rPr>
            <w:rStyle w:val="Hyperlink"/>
            <w:noProof/>
          </w:rPr>
          <w:t>Figure 51.</w:t>
        </w:r>
        <w:r w:rsidR="00BD038B" w:rsidRPr="00763BDE">
          <w:rPr>
            <w:rStyle w:val="Hyperlink"/>
            <w:i/>
            <w:noProof/>
          </w:rPr>
          <w:t xml:space="preserve"> Changes in seagrass abundance (per cent cover ± SE) for inshore intertidal and subtidal reef habitats (left and right respectively) in the Wet Tropics NRM region, 2001 – 2017.</w:t>
        </w:r>
        <w:r w:rsidR="00BD038B">
          <w:rPr>
            <w:noProof/>
            <w:webHidden/>
          </w:rPr>
          <w:tab/>
        </w:r>
        <w:r w:rsidR="00BD038B">
          <w:rPr>
            <w:noProof/>
            <w:webHidden/>
          </w:rPr>
          <w:fldChar w:fldCharType="begin"/>
        </w:r>
        <w:r w:rsidR="00BD038B">
          <w:rPr>
            <w:noProof/>
            <w:webHidden/>
          </w:rPr>
          <w:instrText xml:space="preserve"> PAGEREF _Toc516053261 \h </w:instrText>
        </w:r>
        <w:r w:rsidR="00BD038B">
          <w:rPr>
            <w:noProof/>
            <w:webHidden/>
          </w:rPr>
        </w:r>
        <w:r w:rsidR="00BD038B">
          <w:rPr>
            <w:noProof/>
            <w:webHidden/>
          </w:rPr>
          <w:fldChar w:fldCharType="separate"/>
        </w:r>
        <w:r w:rsidR="00F87DF9">
          <w:rPr>
            <w:noProof/>
            <w:webHidden/>
          </w:rPr>
          <w:t>63</w:t>
        </w:r>
        <w:r w:rsidR="00BD038B">
          <w:rPr>
            <w:noProof/>
            <w:webHidden/>
          </w:rPr>
          <w:fldChar w:fldCharType="end"/>
        </w:r>
      </w:hyperlink>
    </w:p>
    <w:p w14:paraId="05569CD1" w14:textId="6424E78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2" w:history="1">
        <w:r w:rsidR="00BD038B" w:rsidRPr="00763BDE">
          <w:rPr>
            <w:rStyle w:val="Hyperlink"/>
            <w:noProof/>
          </w:rPr>
          <w:t xml:space="preserve">Figure 52.  </w:t>
        </w:r>
        <w:r w:rsidR="00BD038B" w:rsidRPr="00763BDE">
          <w:rPr>
            <w:rStyle w:val="Hyperlink"/>
            <w:i/>
            <w:noProof/>
          </w:rPr>
          <w:t>Temporal trends in seagrass abundance for each monitoring location in the northern (a) and southern (b) Wet Tropics region represented by a GAM plot, 2001-2017.</w:t>
        </w:r>
        <w:r w:rsidR="00BD038B">
          <w:rPr>
            <w:noProof/>
            <w:webHidden/>
          </w:rPr>
          <w:tab/>
        </w:r>
        <w:r w:rsidR="00BD038B">
          <w:rPr>
            <w:noProof/>
            <w:webHidden/>
          </w:rPr>
          <w:fldChar w:fldCharType="begin"/>
        </w:r>
        <w:r w:rsidR="00BD038B">
          <w:rPr>
            <w:noProof/>
            <w:webHidden/>
          </w:rPr>
          <w:instrText xml:space="preserve"> PAGEREF _Toc516053262 \h </w:instrText>
        </w:r>
        <w:r w:rsidR="00BD038B">
          <w:rPr>
            <w:noProof/>
            <w:webHidden/>
          </w:rPr>
        </w:r>
        <w:r w:rsidR="00BD038B">
          <w:rPr>
            <w:noProof/>
            <w:webHidden/>
          </w:rPr>
          <w:fldChar w:fldCharType="separate"/>
        </w:r>
        <w:r w:rsidR="00F87DF9">
          <w:rPr>
            <w:noProof/>
            <w:webHidden/>
          </w:rPr>
          <w:t>64</w:t>
        </w:r>
        <w:r w:rsidR="00BD038B">
          <w:rPr>
            <w:noProof/>
            <w:webHidden/>
          </w:rPr>
          <w:fldChar w:fldCharType="end"/>
        </w:r>
      </w:hyperlink>
    </w:p>
    <w:p w14:paraId="66CAB585" w14:textId="1BCB637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3" w:history="1">
        <w:r w:rsidR="00BD038B" w:rsidRPr="00763BDE">
          <w:rPr>
            <w:rStyle w:val="Hyperlink"/>
            <w:noProof/>
          </w:rPr>
          <w:t xml:space="preserve">Figure 53. </w:t>
        </w:r>
        <w:r w:rsidR="00BD038B" w:rsidRPr="00763BDE">
          <w:rPr>
            <w:rStyle w:val="Hyperlink"/>
            <w:i/>
            <w:noProof/>
          </w:rPr>
          <w:t>Temporal trends in seagrass abundance for seagrass habitat in the northern Wet Tropics region represented by a GAM plot, 2001-2017.</w:t>
        </w:r>
        <w:r w:rsidR="00BD038B">
          <w:rPr>
            <w:noProof/>
            <w:webHidden/>
          </w:rPr>
          <w:tab/>
        </w:r>
        <w:r w:rsidR="00BD038B">
          <w:rPr>
            <w:noProof/>
            <w:webHidden/>
          </w:rPr>
          <w:fldChar w:fldCharType="begin"/>
        </w:r>
        <w:r w:rsidR="00BD038B">
          <w:rPr>
            <w:noProof/>
            <w:webHidden/>
          </w:rPr>
          <w:instrText xml:space="preserve"> PAGEREF _Toc516053263 \h </w:instrText>
        </w:r>
        <w:r w:rsidR="00BD038B">
          <w:rPr>
            <w:noProof/>
            <w:webHidden/>
          </w:rPr>
        </w:r>
        <w:r w:rsidR="00BD038B">
          <w:rPr>
            <w:noProof/>
            <w:webHidden/>
          </w:rPr>
          <w:fldChar w:fldCharType="separate"/>
        </w:r>
        <w:r w:rsidR="00F87DF9">
          <w:rPr>
            <w:noProof/>
            <w:webHidden/>
          </w:rPr>
          <w:t>64</w:t>
        </w:r>
        <w:r w:rsidR="00BD038B">
          <w:rPr>
            <w:noProof/>
            <w:webHidden/>
          </w:rPr>
          <w:fldChar w:fldCharType="end"/>
        </w:r>
      </w:hyperlink>
    </w:p>
    <w:p w14:paraId="09A2A6FB" w14:textId="3695753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4" w:history="1">
        <w:r w:rsidR="00BD038B" w:rsidRPr="00763BDE">
          <w:rPr>
            <w:rStyle w:val="Hyperlink"/>
            <w:noProof/>
          </w:rPr>
          <w:t xml:space="preserve">Figure 54. </w:t>
        </w:r>
        <w:r w:rsidR="00BD038B" w:rsidRPr="00763BDE">
          <w:rPr>
            <w:rStyle w:val="Hyperlink"/>
            <w:i/>
            <w:noProof/>
          </w:rPr>
          <w:t>Temporal trends in seagrass abundance for seagrass habitat in the southern Wet Tropics region represented by a GAM plot, 2001-2017.</w:t>
        </w:r>
        <w:r w:rsidR="00BD038B">
          <w:rPr>
            <w:noProof/>
            <w:webHidden/>
          </w:rPr>
          <w:tab/>
        </w:r>
        <w:r w:rsidR="00BD038B">
          <w:rPr>
            <w:noProof/>
            <w:webHidden/>
          </w:rPr>
          <w:fldChar w:fldCharType="begin"/>
        </w:r>
        <w:r w:rsidR="00BD038B">
          <w:rPr>
            <w:noProof/>
            <w:webHidden/>
          </w:rPr>
          <w:instrText xml:space="preserve"> PAGEREF _Toc516053264 \h </w:instrText>
        </w:r>
        <w:r w:rsidR="00BD038B">
          <w:rPr>
            <w:noProof/>
            <w:webHidden/>
          </w:rPr>
        </w:r>
        <w:r w:rsidR="00BD038B">
          <w:rPr>
            <w:noProof/>
            <w:webHidden/>
          </w:rPr>
          <w:fldChar w:fldCharType="separate"/>
        </w:r>
        <w:r w:rsidR="00F87DF9">
          <w:rPr>
            <w:noProof/>
            <w:webHidden/>
          </w:rPr>
          <w:t>64</w:t>
        </w:r>
        <w:r w:rsidR="00BD038B">
          <w:rPr>
            <w:noProof/>
            <w:webHidden/>
          </w:rPr>
          <w:fldChar w:fldCharType="end"/>
        </w:r>
      </w:hyperlink>
    </w:p>
    <w:p w14:paraId="3FECA1BB" w14:textId="226C78F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5" w:history="1">
        <w:r w:rsidR="00BD038B" w:rsidRPr="00763BDE">
          <w:rPr>
            <w:rStyle w:val="Hyperlink"/>
            <w:noProof/>
          </w:rPr>
          <w:t xml:space="preserve">Figure 55. </w:t>
        </w:r>
        <w:r w:rsidR="00BD038B" w:rsidRPr="00763BDE">
          <w:rPr>
            <w:rStyle w:val="Hyperlink"/>
            <w:i/>
            <w:noProof/>
          </w:rPr>
          <w:t>Proportion of seagrass abundance composed of colonising species at inshore habitats in the Wet Tropics region, from the 2000-01 to the 2016-2017 reporting periods.</w:t>
        </w:r>
        <w:r w:rsidR="00BD038B">
          <w:rPr>
            <w:noProof/>
            <w:webHidden/>
          </w:rPr>
          <w:tab/>
        </w:r>
        <w:r w:rsidR="00BD038B">
          <w:rPr>
            <w:noProof/>
            <w:webHidden/>
          </w:rPr>
          <w:fldChar w:fldCharType="begin"/>
        </w:r>
        <w:r w:rsidR="00BD038B">
          <w:rPr>
            <w:noProof/>
            <w:webHidden/>
          </w:rPr>
          <w:instrText xml:space="preserve"> PAGEREF _Toc516053265 \h </w:instrText>
        </w:r>
        <w:r w:rsidR="00BD038B">
          <w:rPr>
            <w:noProof/>
            <w:webHidden/>
          </w:rPr>
        </w:r>
        <w:r w:rsidR="00BD038B">
          <w:rPr>
            <w:noProof/>
            <w:webHidden/>
          </w:rPr>
          <w:fldChar w:fldCharType="separate"/>
        </w:r>
        <w:r w:rsidR="00F87DF9">
          <w:rPr>
            <w:noProof/>
            <w:webHidden/>
          </w:rPr>
          <w:t>65</w:t>
        </w:r>
        <w:r w:rsidR="00BD038B">
          <w:rPr>
            <w:noProof/>
            <w:webHidden/>
          </w:rPr>
          <w:fldChar w:fldCharType="end"/>
        </w:r>
      </w:hyperlink>
    </w:p>
    <w:p w14:paraId="740565C3" w14:textId="299F22C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6" w:history="1">
        <w:r w:rsidR="00BD038B" w:rsidRPr="00763BDE">
          <w:rPr>
            <w:rStyle w:val="Hyperlink"/>
            <w:noProof/>
          </w:rPr>
          <w:t xml:space="preserve">Figure 56. </w:t>
        </w:r>
        <w:r w:rsidR="00BD038B" w:rsidRPr="00763BDE">
          <w:rPr>
            <w:rStyle w:val="Hyperlink"/>
            <w:i/>
            <w:noProof/>
          </w:rPr>
          <w:t>Change in relative spatial extent (±SE) of seagrass meadows within monitoring sites for each habitat and monitoring period across the Wet Tropics NRM region.</w:t>
        </w:r>
        <w:r w:rsidR="00BD038B">
          <w:rPr>
            <w:noProof/>
            <w:webHidden/>
          </w:rPr>
          <w:tab/>
        </w:r>
        <w:r w:rsidR="00BD038B">
          <w:rPr>
            <w:noProof/>
            <w:webHidden/>
          </w:rPr>
          <w:fldChar w:fldCharType="begin"/>
        </w:r>
        <w:r w:rsidR="00BD038B">
          <w:rPr>
            <w:noProof/>
            <w:webHidden/>
          </w:rPr>
          <w:instrText xml:space="preserve"> PAGEREF _Toc516053266 \h </w:instrText>
        </w:r>
        <w:r w:rsidR="00BD038B">
          <w:rPr>
            <w:noProof/>
            <w:webHidden/>
          </w:rPr>
        </w:r>
        <w:r w:rsidR="00BD038B">
          <w:rPr>
            <w:noProof/>
            <w:webHidden/>
          </w:rPr>
          <w:fldChar w:fldCharType="separate"/>
        </w:r>
        <w:r w:rsidR="00F87DF9">
          <w:rPr>
            <w:noProof/>
            <w:webHidden/>
          </w:rPr>
          <w:t>65</w:t>
        </w:r>
        <w:r w:rsidR="00BD038B">
          <w:rPr>
            <w:noProof/>
            <w:webHidden/>
          </w:rPr>
          <w:fldChar w:fldCharType="end"/>
        </w:r>
      </w:hyperlink>
    </w:p>
    <w:p w14:paraId="0E1DDA16" w14:textId="7987CC0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7" w:history="1">
        <w:r w:rsidR="00BD038B" w:rsidRPr="00763BDE">
          <w:rPr>
            <w:rStyle w:val="Hyperlink"/>
            <w:noProof/>
          </w:rPr>
          <w:t xml:space="preserve">Figure 57. </w:t>
        </w:r>
        <w:r w:rsidR="00BD038B" w:rsidRPr="00763BDE">
          <w:rPr>
            <w:rStyle w:val="Hyperlink"/>
            <w:i/>
            <w:noProof/>
          </w:rPr>
          <w:t>Change in visually estimated above-ground biomass (a.) and total extent (b.) of all monitoring meadows combined in Cairns Harbour and Trinity Inlet from 2001 – 2016</w:t>
        </w:r>
        <w:r w:rsidR="00BD038B">
          <w:rPr>
            <w:noProof/>
            <w:webHidden/>
          </w:rPr>
          <w:tab/>
        </w:r>
        <w:r w:rsidR="00BD038B">
          <w:rPr>
            <w:noProof/>
            <w:webHidden/>
          </w:rPr>
          <w:fldChar w:fldCharType="begin"/>
        </w:r>
        <w:r w:rsidR="00BD038B">
          <w:rPr>
            <w:noProof/>
            <w:webHidden/>
          </w:rPr>
          <w:instrText xml:space="preserve"> PAGEREF _Toc516053267 \h </w:instrText>
        </w:r>
        <w:r w:rsidR="00BD038B">
          <w:rPr>
            <w:noProof/>
            <w:webHidden/>
          </w:rPr>
        </w:r>
        <w:r w:rsidR="00BD038B">
          <w:rPr>
            <w:noProof/>
            <w:webHidden/>
          </w:rPr>
          <w:fldChar w:fldCharType="separate"/>
        </w:r>
        <w:r w:rsidR="00F87DF9">
          <w:rPr>
            <w:noProof/>
            <w:webHidden/>
          </w:rPr>
          <w:t>66</w:t>
        </w:r>
        <w:r w:rsidR="00BD038B">
          <w:rPr>
            <w:noProof/>
            <w:webHidden/>
          </w:rPr>
          <w:fldChar w:fldCharType="end"/>
        </w:r>
      </w:hyperlink>
    </w:p>
    <w:p w14:paraId="2A44355E" w14:textId="60E3373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8" w:history="1">
        <w:r w:rsidR="00BD038B" w:rsidRPr="00763BDE">
          <w:rPr>
            <w:rStyle w:val="Hyperlink"/>
            <w:noProof/>
          </w:rPr>
          <w:t xml:space="preserve">Figure 58. </w:t>
        </w:r>
        <w:r w:rsidR="00BD038B" w:rsidRPr="00763BDE">
          <w:rPr>
            <w:rStyle w:val="Hyperlink"/>
            <w:i/>
            <w:noProof/>
          </w:rPr>
          <w:t>Change in visually estimated above-ground biomass (a.) and total extent (b.) of all monitoring meadows combined in Mourilyan Harbour from 1993 – 2016</w:t>
        </w:r>
        <w:r w:rsidR="00BD038B">
          <w:rPr>
            <w:noProof/>
            <w:webHidden/>
          </w:rPr>
          <w:tab/>
        </w:r>
        <w:r w:rsidR="00BD038B">
          <w:rPr>
            <w:noProof/>
            <w:webHidden/>
          </w:rPr>
          <w:fldChar w:fldCharType="begin"/>
        </w:r>
        <w:r w:rsidR="00BD038B">
          <w:rPr>
            <w:noProof/>
            <w:webHidden/>
          </w:rPr>
          <w:instrText xml:space="preserve"> PAGEREF _Toc516053268 \h </w:instrText>
        </w:r>
        <w:r w:rsidR="00BD038B">
          <w:rPr>
            <w:noProof/>
            <w:webHidden/>
          </w:rPr>
        </w:r>
        <w:r w:rsidR="00BD038B">
          <w:rPr>
            <w:noProof/>
            <w:webHidden/>
          </w:rPr>
          <w:fldChar w:fldCharType="separate"/>
        </w:r>
        <w:r w:rsidR="00F87DF9">
          <w:rPr>
            <w:noProof/>
            <w:webHidden/>
          </w:rPr>
          <w:t>66</w:t>
        </w:r>
        <w:r w:rsidR="00BD038B">
          <w:rPr>
            <w:noProof/>
            <w:webHidden/>
          </w:rPr>
          <w:fldChar w:fldCharType="end"/>
        </w:r>
      </w:hyperlink>
    </w:p>
    <w:p w14:paraId="15C0138B" w14:textId="66F747E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69" w:history="1">
        <w:r w:rsidR="00BD038B" w:rsidRPr="00763BDE">
          <w:rPr>
            <w:rStyle w:val="Hyperlink"/>
            <w:noProof/>
          </w:rPr>
          <w:t xml:space="preserve">Figure 59. </w:t>
        </w:r>
        <w:r w:rsidR="00BD038B" w:rsidRPr="00763BDE">
          <w:rPr>
            <w:rStyle w:val="Hyperlink"/>
            <w:i/>
            <w:noProof/>
          </w:rPr>
          <w:t>Seed bank and late dry season reproductive effort for inshore intertidal coast and reef habitats in the Wet Tropics region, 2001 - 2017.</w:t>
        </w:r>
        <w:r w:rsidR="00BD038B">
          <w:rPr>
            <w:noProof/>
            <w:webHidden/>
          </w:rPr>
          <w:tab/>
        </w:r>
        <w:r w:rsidR="00BD038B">
          <w:rPr>
            <w:noProof/>
            <w:webHidden/>
          </w:rPr>
          <w:fldChar w:fldCharType="begin"/>
        </w:r>
        <w:r w:rsidR="00BD038B">
          <w:rPr>
            <w:noProof/>
            <w:webHidden/>
          </w:rPr>
          <w:instrText xml:space="preserve"> PAGEREF _Toc516053269 \h </w:instrText>
        </w:r>
        <w:r w:rsidR="00BD038B">
          <w:rPr>
            <w:noProof/>
            <w:webHidden/>
          </w:rPr>
        </w:r>
        <w:r w:rsidR="00BD038B">
          <w:rPr>
            <w:noProof/>
            <w:webHidden/>
          </w:rPr>
          <w:fldChar w:fldCharType="separate"/>
        </w:r>
        <w:r w:rsidR="00F87DF9">
          <w:rPr>
            <w:noProof/>
            <w:webHidden/>
          </w:rPr>
          <w:t>67</w:t>
        </w:r>
        <w:r w:rsidR="00BD038B">
          <w:rPr>
            <w:noProof/>
            <w:webHidden/>
          </w:rPr>
          <w:fldChar w:fldCharType="end"/>
        </w:r>
      </w:hyperlink>
    </w:p>
    <w:p w14:paraId="04BA7E69" w14:textId="5A72561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0" w:history="1">
        <w:r w:rsidR="00BD038B" w:rsidRPr="00763BDE">
          <w:rPr>
            <w:rStyle w:val="Hyperlink"/>
            <w:noProof/>
          </w:rPr>
          <w:t xml:space="preserve">Figure 60. </w:t>
        </w:r>
        <w:r w:rsidR="00BD038B" w:rsidRPr="00763BDE">
          <w:rPr>
            <w:rStyle w:val="Hyperlink"/>
            <w:i/>
            <w:noProof/>
            <w:lang w:eastAsia="en-AU"/>
          </w:rPr>
          <w:t xml:space="preserve">Elemental ratios (atomic) of seagrass leaf tissue C:N for </w:t>
        </w:r>
        <w:r w:rsidR="00BD038B" w:rsidRPr="00763BDE">
          <w:rPr>
            <w:rStyle w:val="Hyperlink"/>
            <w:i/>
            <w:noProof/>
          </w:rPr>
          <w:t xml:space="preserve">the foundation seagrass species examined at each inshore habitat in the Wet Tropics region </w:t>
        </w:r>
        <w:r w:rsidR="00BD038B" w:rsidRPr="00763BDE">
          <w:rPr>
            <w:rStyle w:val="Hyperlink"/>
            <w:i/>
            <w:noProof/>
            <w:lang w:eastAsia="en-AU"/>
          </w:rPr>
          <w:t>each year</w:t>
        </w:r>
        <w:r w:rsidR="00BD038B">
          <w:rPr>
            <w:noProof/>
            <w:webHidden/>
          </w:rPr>
          <w:tab/>
        </w:r>
        <w:r w:rsidR="00BD038B">
          <w:rPr>
            <w:noProof/>
            <w:webHidden/>
          </w:rPr>
          <w:fldChar w:fldCharType="begin"/>
        </w:r>
        <w:r w:rsidR="00BD038B">
          <w:rPr>
            <w:noProof/>
            <w:webHidden/>
          </w:rPr>
          <w:instrText xml:space="preserve"> PAGEREF _Toc516053270 \h </w:instrText>
        </w:r>
        <w:r w:rsidR="00BD038B">
          <w:rPr>
            <w:noProof/>
            <w:webHidden/>
          </w:rPr>
        </w:r>
        <w:r w:rsidR="00BD038B">
          <w:rPr>
            <w:noProof/>
            <w:webHidden/>
          </w:rPr>
          <w:fldChar w:fldCharType="separate"/>
        </w:r>
        <w:r w:rsidR="00F87DF9">
          <w:rPr>
            <w:noProof/>
            <w:webHidden/>
          </w:rPr>
          <w:t>68</w:t>
        </w:r>
        <w:r w:rsidR="00BD038B">
          <w:rPr>
            <w:noProof/>
            <w:webHidden/>
          </w:rPr>
          <w:fldChar w:fldCharType="end"/>
        </w:r>
      </w:hyperlink>
    </w:p>
    <w:p w14:paraId="01903D7E" w14:textId="0ABDFB2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1" w:history="1">
        <w:r w:rsidR="00BD038B" w:rsidRPr="00763BDE">
          <w:rPr>
            <w:rStyle w:val="Hyperlink"/>
            <w:noProof/>
          </w:rPr>
          <w:t xml:space="preserve">Figure 61. </w:t>
        </w:r>
        <w:r w:rsidR="00BD038B" w:rsidRPr="00763BDE">
          <w:rPr>
            <w:rStyle w:val="Hyperlink"/>
            <w:i/>
            <w:iCs/>
            <w:noProof/>
            <w:lang w:eastAsia="en-AU"/>
          </w:rPr>
          <w:t xml:space="preserve">Elemental ratios (atomic) of seagrass leaf tissue N:P and C:P </w:t>
        </w:r>
        <w:r w:rsidR="00BD038B" w:rsidRPr="00763BDE">
          <w:rPr>
            <w:rStyle w:val="Hyperlink"/>
            <w:i/>
            <w:iCs/>
            <w:noProof/>
          </w:rPr>
          <w:t xml:space="preserve">for the foundation seagrass species </w:t>
        </w:r>
        <w:r w:rsidR="00BD038B" w:rsidRPr="00763BDE">
          <w:rPr>
            <w:rStyle w:val="Hyperlink"/>
            <w:i/>
            <w:noProof/>
          </w:rPr>
          <w:t>examined at each inshore habitat in the Wet Tropics region</w:t>
        </w:r>
        <w:r w:rsidR="00BD038B">
          <w:rPr>
            <w:noProof/>
            <w:webHidden/>
          </w:rPr>
          <w:tab/>
        </w:r>
        <w:r w:rsidR="00BD038B">
          <w:rPr>
            <w:noProof/>
            <w:webHidden/>
          </w:rPr>
          <w:fldChar w:fldCharType="begin"/>
        </w:r>
        <w:r w:rsidR="00BD038B">
          <w:rPr>
            <w:noProof/>
            <w:webHidden/>
          </w:rPr>
          <w:instrText xml:space="preserve"> PAGEREF _Toc516053271 \h </w:instrText>
        </w:r>
        <w:r w:rsidR="00BD038B">
          <w:rPr>
            <w:noProof/>
            <w:webHidden/>
          </w:rPr>
        </w:r>
        <w:r w:rsidR="00BD038B">
          <w:rPr>
            <w:noProof/>
            <w:webHidden/>
          </w:rPr>
          <w:fldChar w:fldCharType="separate"/>
        </w:r>
        <w:r w:rsidR="00F87DF9">
          <w:rPr>
            <w:noProof/>
            <w:webHidden/>
          </w:rPr>
          <w:t>68</w:t>
        </w:r>
        <w:r w:rsidR="00BD038B">
          <w:rPr>
            <w:noProof/>
            <w:webHidden/>
          </w:rPr>
          <w:fldChar w:fldCharType="end"/>
        </w:r>
      </w:hyperlink>
    </w:p>
    <w:p w14:paraId="1593B8DB" w14:textId="1998036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2" w:history="1">
        <w:r w:rsidR="00BD038B" w:rsidRPr="00763BDE">
          <w:rPr>
            <w:rStyle w:val="Hyperlink"/>
            <w:noProof/>
          </w:rPr>
          <w:t xml:space="preserve">Figure 62. </w:t>
        </w:r>
        <w:r w:rsidR="00BD038B" w:rsidRPr="00763BDE">
          <w:rPr>
            <w:rStyle w:val="Hyperlink"/>
            <w:i/>
            <w:noProof/>
          </w:rPr>
          <w:t>Long-term trend in mean epiphyte and macroalgae abundance (per cent cover) relative to the long-term average for each inshore seagrass habitat in the Wet Tropics region, 2001 - 2017</w:t>
        </w:r>
        <w:r w:rsidR="00BD038B">
          <w:rPr>
            <w:noProof/>
            <w:webHidden/>
          </w:rPr>
          <w:tab/>
        </w:r>
        <w:r w:rsidR="00BD038B">
          <w:rPr>
            <w:noProof/>
            <w:webHidden/>
          </w:rPr>
          <w:fldChar w:fldCharType="begin"/>
        </w:r>
        <w:r w:rsidR="00BD038B">
          <w:rPr>
            <w:noProof/>
            <w:webHidden/>
          </w:rPr>
          <w:instrText xml:space="preserve"> PAGEREF _Toc516053272 \h </w:instrText>
        </w:r>
        <w:r w:rsidR="00BD038B">
          <w:rPr>
            <w:noProof/>
            <w:webHidden/>
          </w:rPr>
        </w:r>
        <w:r w:rsidR="00BD038B">
          <w:rPr>
            <w:noProof/>
            <w:webHidden/>
          </w:rPr>
          <w:fldChar w:fldCharType="separate"/>
        </w:r>
        <w:r w:rsidR="00F87DF9">
          <w:rPr>
            <w:noProof/>
            <w:webHidden/>
          </w:rPr>
          <w:t>69</w:t>
        </w:r>
        <w:r w:rsidR="00BD038B">
          <w:rPr>
            <w:noProof/>
            <w:webHidden/>
          </w:rPr>
          <w:fldChar w:fldCharType="end"/>
        </w:r>
      </w:hyperlink>
    </w:p>
    <w:p w14:paraId="5F27783C" w14:textId="408F24E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3" w:history="1">
        <w:r w:rsidR="00BD038B" w:rsidRPr="00763BDE">
          <w:rPr>
            <w:rStyle w:val="Hyperlink"/>
            <w:noProof/>
          </w:rPr>
          <w:t xml:space="preserve">Figure 63. </w:t>
        </w:r>
        <w:r w:rsidR="00BD038B" w:rsidRPr="00763BDE">
          <w:rPr>
            <w:rStyle w:val="Hyperlink"/>
            <w:i/>
            <w:noProof/>
          </w:rPr>
          <w:t>Report card of seagrass status indicators and index for the Burdekin NRM region</w:t>
        </w:r>
        <w:r w:rsidR="00BD038B">
          <w:rPr>
            <w:noProof/>
            <w:webHidden/>
          </w:rPr>
          <w:tab/>
        </w:r>
        <w:r w:rsidR="00BD038B">
          <w:rPr>
            <w:noProof/>
            <w:webHidden/>
          </w:rPr>
          <w:fldChar w:fldCharType="begin"/>
        </w:r>
        <w:r w:rsidR="00BD038B">
          <w:rPr>
            <w:noProof/>
            <w:webHidden/>
          </w:rPr>
          <w:instrText xml:space="preserve"> PAGEREF _Toc516053273 \h </w:instrText>
        </w:r>
        <w:r w:rsidR="00BD038B">
          <w:rPr>
            <w:noProof/>
            <w:webHidden/>
          </w:rPr>
        </w:r>
        <w:r w:rsidR="00BD038B">
          <w:rPr>
            <w:noProof/>
            <w:webHidden/>
          </w:rPr>
          <w:fldChar w:fldCharType="separate"/>
        </w:r>
        <w:r w:rsidR="00F87DF9">
          <w:rPr>
            <w:noProof/>
            <w:webHidden/>
          </w:rPr>
          <w:t>72</w:t>
        </w:r>
        <w:r w:rsidR="00BD038B">
          <w:rPr>
            <w:noProof/>
            <w:webHidden/>
          </w:rPr>
          <w:fldChar w:fldCharType="end"/>
        </w:r>
      </w:hyperlink>
    </w:p>
    <w:p w14:paraId="083C7080" w14:textId="1AA29D7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4" w:history="1">
        <w:r w:rsidR="00BD038B" w:rsidRPr="00763BDE">
          <w:rPr>
            <w:rStyle w:val="Hyperlink"/>
            <w:noProof/>
          </w:rPr>
          <w:t xml:space="preserve">Figure 64. </w:t>
        </w:r>
        <w:r w:rsidR="00BD038B" w:rsidRPr="00763BDE">
          <w:rPr>
            <w:rStyle w:val="Hyperlink"/>
            <w:i/>
            <w:noProof/>
          </w:rPr>
          <w:t>Frequency of exposure to turbid water (colour classes 1-5) in the Burdekin NRM region, wet season (December 2016 – April 2017) composite.</w:t>
        </w:r>
        <w:r w:rsidR="00BD038B">
          <w:rPr>
            <w:noProof/>
            <w:webHidden/>
          </w:rPr>
          <w:tab/>
        </w:r>
        <w:r w:rsidR="00BD038B">
          <w:rPr>
            <w:noProof/>
            <w:webHidden/>
          </w:rPr>
          <w:fldChar w:fldCharType="begin"/>
        </w:r>
        <w:r w:rsidR="00BD038B">
          <w:rPr>
            <w:noProof/>
            <w:webHidden/>
          </w:rPr>
          <w:instrText xml:space="preserve"> PAGEREF _Toc516053274 \h </w:instrText>
        </w:r>
        <w:r w:rsidR="00BD038B">
          <w:rPr>
            <w:noProof/>
            <w:webHidden/>
          </w:rPr>
        </w:r>
        <w:r w:rsidR="00BD038B">
          <w:rPr>
            <w:noProof/>
            <w:webHidden/>
          </w:rPr>
          <w:fldChar w:fldCharType="separate"/>
        </w:r>
        <w:r w:rsidR="00F87DF9">
          <w:rPr>
            <w:noProof/>
            <w:webHidden/>
          </w:rPr>
          <w:t>73</w:t>
        </w:r>
        <w:r w:rsidR="00BD038B">
          <w:rPr>
            <w:noProof/>
            <w:webHidden/>
          </w:rPr>
          <w:fldChar w:fldCharType="end"/>
        </w:r>
      </w:hyperlink>
    </w:p>
    <w:p w14:paraId="11B4A071" w14:textId="7D6910E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5" w:history="1">
        <w:r w:rsidR="00BD038B" w:rsidRPr="00763BDE">
          <w:rPr>
            <w:rStyle w:val="Hyperlink"/>
            <w:noProof/>
          </w:rPr>
          <w:t xml:space="preserve">Figure 65.  </w:t>
        </w:r>
        <w:r w:rsidR="00BD038B" w:rsidRPr="00763BDE">
          <w:rPr>
            <w:rStyle w:val="Hyperlink"/>
            <w:i/>
            <w:noProof/>
          </w:rPr>
          <w:t>Mean daily light at Burdekin sites with 28-d rolling average from 2008 to 2017 (left) and GAM plots (right)</w:t>
        </w:r>
        <w:r w:rsidR="00BD038B">
          <w:rPr>
            <w:noProof/>
            <w:webHidden/>
          </w:rPr>
          <w:tab/>
        </w:r>
        <w:r w:rsidR="00BD038B">
          <w:rPr>
            <w:noProof/>
            <w:webHidden/>
          </w:rPr>
          <w:fldChar w:fldCharType="begin"/>
        </w:r>
        <w:r w:rsidR="00BD038B">
          <w:rPr>
            <w:noProof/>
            <w:webHidden/>
          </w:rPr>
          <w:instrText xml:space="preserve"> PAGEREF _Toc516053275 \h </w:instrText>
        </w:r>
        <w:r w:rsidR="00BD038B">
          <w:rPr>
            <w:noProof/>
            <w:webHidden/>
          </w:rPr>
        </w:r>
        <w:r w:rsidR="00BD038B">
          <w:rPr>
            <w:noProof/>
            <w:webHidden/>
          </w:rPr>
          <w:fldChar w:fldCharType="separate"/>
        </w:r>
        <w:r w:rsidR="00F87DF9">
          <w:rPr>
            <w:noProof/>
            <w:webHidden/>
          </w:rPr>
          <w:t>74</w:t>
        </w:r>
        <w:r w:rsidR="00BD038B">
          <w:rPr>
            <w:noProof/>
            <w:webHidden/>
          </w:rPr>
          <w:fldChar w:fldCharType="end"/>
        </w:r>
      </w:hyperlink>
    </w:p>
    <w:p w14:paraId="597BBC88" w14:textId="2530FBA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6" w:history="1">
        <w:r w:rsidR="00BD038B" w:rsidRPr="00763BDE">
          <w:rPr>
            <w:rStyle w:val="Hyperlink"/>
            <w:noProof/>
          </w:rPr>
          <w:t xml:space="preserve">Figure 66. </w:t>
        </w:r>
        <w:r w:rsidR="00BD038B" w:rsidRPr="00763BDE">
          <w:rPr>
            <w:rStyle w:val="Hyperlink"/>
            <w:i/>
            <w:noProof/>
          </w:rPr>
          <w:t>Inshore sea temperature at intertidal seagrass habitats in the Burdekin region, January 2008 - May 2017</w:t>
        </w:r>
        <w:r w:rsidR="00BD038B">
          <w:rPr>
            <w:noProof/>
            <w:webHidden/>
          </w:rPr>
          <w:tab/>
        </w:r>
        <w:r w:rsidR="00BD038B">
          <w:rPr>
            <w:noProof/>
            <w:webHidden/>
          </w:rPr>
          <w:fldChar w:fldCharType="begin"/>
        </w:r>
        <w:r w:rsidR="00BD038B">
          <w:rPr>
            <w:noProof/>
            <w:webHidden/>
          </w:rPr>
          <w:instrText xml:space="preserve"> PAGEREF _Toc516053276 \h </w:instrText>
        </w:r>
        <w:r w:rsidR="00BD038B">
          <w:rPr>
            <w:noProof/>
            <w:webHidden/>
          </w:rPr>
        </w:r>
        <w:r w:rsidR="00BD038B">
          <w:rPr>
            <w:noProof/>
            <w:webHidden/>
          </w:rPr>
          <w:fldChar w:fldCharType="separate"/>
        </w:r>
        <w:r w:rsidR="00F87DF9">
          <w:rPr>
            <w:noProof/>
            <w:webHidden/>
          </w:rPr>
          <w:t>74</w:t>
        </w:r>
        <w:r w:rsidR="00BD038B">
          <w:rPr>
            <w:noProof/>
            <w:webHidden/>
          </w:rPr>
          <w:fldChar w:fldCharType="end"/>
        </w:r>
      </w:hyperlink>
    </w:p>
    <w:p w14:paraId="7AFC910F" w14:textId="3B0BC73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7" w:history="1">
        <w:r w:rsidR="00BD038B" w:rsidRPr="00763BDE">
          <w:rPr>
            <w:rStyle w:val="Hyperlink"/>
            <w:noProof/>
          </w:rPr>
          <w:t xml:space="preserve">Figure 67. </w:t>
        </w:r>
        <w:r w:rsidR="00BD038B" w:rsidRPr="00763BDE">
          <w:rPr>
            <w:rStyle w:val="Hyperlink"/>
            <w:i/>
            <w:noProof/>
          </w:rPr>
          <w:t>Inshore sea temperature at inshore subtidal seagrass habitat at Magnetic Island (Burdekin region), January 2008 - May 2017</w:t>
        </w:r>
        <w:r w:rsidR="00BD038B">
          <w:rPr>
            <w:noProof/>
            <w:webHidden/>
          </w:rPr>
          <w:tab/>
        </w:r>
        <w:r w:rsidR="00BD038B">
          <w:rPr>
            <w:noProof/>
            <w:webHidden/>
          </w:rPr>
          <w:fldChar w:fldCharType="begin"/>
        </w:r>
        <w:r w:rsidR="00BD038B">
          <w:rPr>
            <w:noProof/>
            <w:webHidden/>
          </w:rPr>
          <w:instrText xml:space="preserve"> PAGEREF _Toc516053277 \h </w:instrText>
        </w:r>
        <w:r w:rsidR="00BD038B">
          <w:rPr>
            <w:noProof/>
            <w:webHidden/>
          </w:rPr>
        </w:r>
        <w:r w:rsidR="00BD038B">
          <w:rPr>
            <w:noProof/>
            <w:webHidden/>
          </w:rPr>
          <w:fldChar w:fldCharType="separate"/>
        </w:r>
        <w:r w:rsidR="00F87DF9">
          <w:rPr>
            <w:noProof/>
            <w:webHidden/>
          </w:rPr>
          <w:t>75</w:t>
        </w:r>
        <w:r w:rsidR="00BD038B">
          <w:rPr>
            <w:noProof/>
            <w:webHidden/>
          </w:rPr>
          <w:fldChar w:fldCharType="end"/>
        </w:r>
      </w:hyperlink>
    </w:p>
    <w:p w14:paraId="4655DC9E" w14:textId="005FEFD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8" w:history="1">
        <w:r w:rsidR="00BD038B" w:rsidRPr="00763BDE">
          <w:rPr>
            <w:rStyle w:val="Hyperlink"/>
            <w:noProof/>
          </w:rPr>
          <w:t xml:space="preserve">Figure 68. </w:t>
        </w:r>
        <w:r w:rsidR="00BD038B" w:rsidRPr="00763BDE">
          <w:rPr>
            <w:rStyle w:val="Hyperlink"/>
            <w:i/>
            <w:noProof/>
          </w:rPr>
          <w:t>Changes in mean seagrass abundance (per cent cover ± SE) at inshore coastal intertidal (a, b), reef intertidal (c) and reef subtidal (d) meadows in the Burdekin region, 2001 - 2017.</w:t>
        </w:r>
        <w:r w:rsidR="00BD038B">
          <w:rPr>
            <w:noProof/>
            <w:webHidden/>
          </w:rPr>
          <w:tab/>
        </w:r>
        <w:r w:rsidR="00BD038B">
          <w:rPr>
            <w:noProof/>
            <w:webHidden/>
          </w:rPr>
          <w:fldChar w:fldCharType="begin"/>
        </w:r>
        <w:r w:rsidR="00BD038B">
          <w:rPr>
            <w:noProof/>
            <w:webHidden/>
          </w:rPr>
          <w:instrText xml:space="preserve"> PAGEREF _Toc516053278 \h </w:instrText>
        </w:r>
        <w:r w:rsidR="00BD038B">
          <w:rPr>
            <w:noProof/>
            <w:webHidden/>
          </w:rPr>
        </w:r>
        <w:r w:rsidR="00BD038B">
          <w:rPr>
            <w:noProof/>
            <w:webHidden/>
          </w:rPr>
          <w:fldChar w:fldCharType="separate"/>
        </w:r>
        <w:r w:rsidR="00F87DF9">
          <w:rPr>
            <w:noProof/>
            <w:webHidden/>
          </w:rPr>
          <w:t>76</w:t>
        </w:r>
        <w:r w:rsidR="00BD038B">
          <w:rPr>
            <w:noProof/>
            <w:webHidden/>
          </w:rPr>
          <w:fldChar w:fldCharType="end"/>
        </w:r>
      </w:hyperlink>
    </w:p>
    <w:p w14:paraId="66FD7017" w14:textId="43ACB37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79" w:history="1">
        <w:r w:rsidR="00BD038B" w:rsidRPr="00763BDE">
          <w:rPr>
            <w:rStyle w:val="Hyperlink"/>
            <w:noProof/>
          </w:rPr>
          <w:t xml:space="preserve">Figure 69.  </w:t>
        </w:r>
        <w:r w:rsidR="00BD038B" w:rsidRPr="00763BDE">
          <w:rPr>
            <w:rStyle w:val="Hyperlink"/>
            <w:i/>
            <w:noProof/>
          </w:rPr>
          <w:t>Temporal trends in seagrass abundance for each location in the Burdekin region represented by a GAM plot.</w:t>
        </w:r>
        <w:r w:rsidR="00BD038B">
          <w:rPr>
            <w:noProof/>
            <w:webHidden/>
          </w:rPr>
          <w:tab/>
        </w:r>
        <w:r w:rsidR="00BD038B">
          <w:rPr>
            <w:noProof/>
            <w:webHidden/>
          </w:rPr>
          <w:fldChar w:fldCharType="begin"/>
        </w:r>
        <w:r w:rsidR="00BD038B">
          <w:rPr>
            <w:noProof/>
            <w:webHidden/>
          </w:rPr>
          <w:instrText xml:space="preserve"> PAGEREF _Toc516053279 \h </w:instrText>
        </w:r>
        <w:r w:rsidR="00BD038B">
          <w:rPr>
            <w:noProof/>
            <w:webHidden/>
          </w:rPr>
        </w:r>
        <w:r w:rsidR="00BD038B">
          <w:rPr>
            <w:noProof/>
            <w:webHidden/>
          </w:rPr>
          <w:fldChar w:fldCharType="separate"/>
        </w:r>
        <w:r w:rsidR="00F87DF9">
          <w:rPr>
            <w:noProof/>
            <w:webHidden/>
          </w:rPr>
          <w:t>77</w:t>
        </w:r>
        <w:r w:rsidR="00BD038B">
          <w:rPr>
            <w:noProof/>
            <w:webHidden/>
          </w:rPr>
          <w:fldChar w:fldCharType="end"/>
        </w:r>
      </w:hyperlink>
    </w:p>
    <w:p w14:paraId="23C20244" w14:textId="54C65C6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0" w:history="1">
        <w:r w:rsidR="00BD038B" w:rsidRPr="00763BDE">
          <w:rPr>
            <w:rStyle w:val="Hyperlink"/>
            <w:noProof/>
          </w:rPr>
          <w:t xml:space="preserve">Figure 70. </w:t>
        </w:r>
        <w:r w:rsidR="00BD038B" w:rsidRPr="00763BDE">
          <w:rPr>
            <w:rStyle w:val="Hyperlink"/>
            <w:i/>
            <w:noProof/>
          </w:rPr>
          <w:t>Temporal trends in seagrass abundance for each habitat in the Burdekin region represented by GAM plots.</w:t>
        </w:r>
        <w:r w:rsidR="00BD038B">
          <w:rPr>
            <w:noProof/>
            <w:webHidden/>
          </w:rPr>
          <w:tab/>
        </w:r>
        <w:r w:rsidR="00BD038B">
          <w:rPr>
            <w:noProof/>
            <w:webHidden/>
          </w:rPr>
          <w:fldChar w:fldCharType="begin"/>
        </w:r>
        <w:r w:rsidR="00BD038B">
          <w:rPr>
            <w:noProof/>
            <w:webHidden/>
          </w:rPr>
          <w:instrText xml:space="preserve"> PAGEREF _Toc516053280 \h </w:instrText>
        </w:r>
        <w:r w:rsidR="00BD038B">
          <w:rPr>
            <w:noProof/>
            <w:webHidden/>
          </w:rPr>
        </w:r>
        <w:r w:rsidR="00BD038B">
          <w:rPr>
            <w:noProof/>
            <w:webHidden/>
          </w:rPr>
          <w:fldChar w:fldCharType="separate"/>
        </w:r>
        <w:r w:rsidR="00F87DF9">
          <w:rPr>
            <w:noProof/>
            <w:webHidden/>
          </w:rPr>
          <w:t>77</w:t>
        </w:r>
        <w:r w:rsidR="00BD038B">
          <w:rPr>
            <w:noProof/>
            <w:webHidden/>
          </w:rPr>
          <w:fldChar w:fldCharType="end"/>
        </w:r>
      </w:hyperlink>
    </w:p>
    <w:p w14:paraId="64DDB15C" w14:textId="6ADE1D1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1" w:history="1">
        <w:r w:rsidR="00BD038B" w:rsidRPr="00763BDE">
          <w:rPr>
            <w:rStyle w:val="Hyperlink"/>
            <w:noProof/>
          </w:rPr>
          <w:t xml:space="preserve">Figure 71. </w:t>
        </w:r>
        <w:r w:rsidR="00BD038B" w:rsidRPr="00763BDE">
          <w:rPr>
            <w:rStyle w:val="Hyperlink"/>
            <w:i/>
            <w:noProof/>
          </w:rPr>
          <w:t>Proportion of seagrass abundance composed of colonising species at inshore habitats in the Burdekin region, 2001 - 2017.</w:t>
        </w:r>
        <w:r w:rsidR="00BD038B">
          <w:rPr>
            <w:noProof/>
            <w:webHidden/>
          </w:rPr>
          <w:tab/>
        </w:r>
        <w:r w:rsidR="00BD038B">
          <w:rPr>
            <w:noProof/>
            <w:webHidden/>
          </w:rPr>
          <w:fldChar w:fldCharType="begin"/>
        </w:r>
        <w:r w:rsidR="00BD038B">
          <w:rPr>
            <w:noProof/>
            <w:webHidden/>
          </w:rPr>
          <w:instrText xml:space="preserve"> PAGEREF _Toc516053281 \h </w:instrText>
        </w:r>
        <w:r w:rsidR="00BD038B">
          <w:rPr>
            <w:noProof/>
            <w:webHidden/>
          </w:rPr>
        </w:r>
        <w:r w:rsidR="00BD038B">
          <w:rPr>
            <w:noProof/>
            <w:webHidden/>
          </w:rPr>
          <w:fldChar w:fldCharType="separate"/>
        </w:r>
        <w:r w:rsidR="00F87DF9">
          <w:rPr>
            <w:noProof/>
            <w:webHidden/>
          </w:rPr>
          <w:t>78</w:t>
        </w:r>
        <w:r w:rsidR="00BD038B">
          <w:rPr>
            <w:noProof/>
            <w:webHidden/>
          </w:rPr>
          <w:fldChar w:fldCharType="end"/>
        </w:r>
      </w:hyperlink>
    </w:p>
    <w:p w14:paraId="27E9FB47" w14:textId="61D673C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2" w:history="1">
        <w:r w:rsidR="00BD038B" w:rsidRPr="00763BDE">
          <w:rPr>
            <w:rStyle w:val="Hyperlink"/>
            <w:noProof/>
          </w:rPr>
          <w:t xml:space="preserve">Figure 72. </w:t>
        </w:r>
        <w:r w:rsidR="00BD038B" w:rsidRPr="00763BDE">
          <w:rPr>
            <w:rStyle w:val="Hyperlink"/>
            <w:i/>
            <w:noProof/>
          </w:rPr>
          <w:t>Change in spatial extent of seagrass meadows within monitoring sites for each inshore intertidal habitat and monitoring period across the Burdekin region, 2005 - 2017.</w:t>
        </w:r>
        <w:r w:rsidR="00BD038B">
          <w:rPr>
            <w:noProof/>
            <w:webHidden/>
          </w:rPr>
          <w:tab/>
        </w:r>
        <w:r w:rsidR="00BD038B">
          <w:rPr>
            <w:noProof/>
            <w:webHidden/>
          </w:rPr>
          <w:fldChar w:fldCharType="begin"/>
        </w:r>
        <w:r w:rsidR="00BD038B">
          <w:rPr>
            <w:noProof/>
            <w:webHidden/>
          </w:rPr>
          <w:instrText xml:space="preserve"> PAGEREF _Toc516053282 \h </w:instrText>
        </w:r>
        <w:r w:rsidR="00BD038B">
          <w:rPr>
            <w:noProof/>
            <w:webHidden/>
          </w:rPr>
        </w:r>
        <w:r w:rsidR="00BD038B">
          <w:rPr>
            <w:noProof/>
            <w:webHidden/>
          </w:rPr>
          <w:fldChar w:fldCharType="separate"/>
        </w:r>
        <w:r w:rsidR="00F87DF9">
          <w:rPr>
            <w:noProof/>
            <w:webHidden/>
          </w:rPr>
          <w:t>78</w:t>
        </w:r>
        <w:r w:rsidR="00BD038B">
          <w:rPr>
            <w:noProof/>
            <w:webHidden/>
          </w:rPr>
          <w:fldChar w:fldCharType="end"/>
        </w:r>
      </w:hyperlink>
    </w:p>
    <w:p w14:paraId="56599900" w14:textId="20F3FB0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3" w:history="1">
        <w:r w:rsidR="00BD038B" w:rsidRPr="00763BDE">
          <w:rPr>
            <w:rStyle w:val="Hyperlink"/>
            <w:noProof/>
          </w:rPr>
          <w:t xml:space="preserve">Figure 73. </w:t>
        </w:r>
        <w:r w:rsidR="00BD038B" w:rsidRPr="00763BDE">
          <w:rPr>
            <w:rStyle w:val="Hyperlink"/>
            <w:i/>
            <w:noProof/>
          </w:rPr>
          <w:t>Change in total extent of all monitoring meadows combined in Port of Townsville from 2007 – 2016</w:t>
        </w:r>
        <w:r w:rsidR="00BD038B">
          <w:rPr>
            <w:noProof/>
            <w:webHidden/>
          </w:rPr>
          <w:tab/>
        </w:r>
        <w:r w:rsidR="00BD038B">
          <w:rPr>
            <w:noProof/>
            <w:webHidden/>
          </w:rPr>
          <w:fldChar w:fldCharType="begin"/>
        </w:r>
        <w:r w:rsidR="00BD038B">
          <w:rPr>
            <w:noProof/>
            <w:webHidden/>
          </w:rPr>
          <w:instrText xml:space="preserve"> PAGEREF _Toc516053283 \h </w:instrText>
        </w:r>
        <w:r w:rsidR="00BD038B">
          <w:rPr>
            <w:noProof/>
            <w:webHidden/>
          </w:rPr>
        </w:r>
        <w:r w:rsidR="00BD038B">
          <w:rPr>
            <w:noProof/>
            <w:webHidden/>
          </w:rPr>
          <w:fldChar w:fldCharType="separate"/>
        </w:r>
        <w:r w:rsidR="00F87DF9">
          <w:rPr>
            <w:noProof/>
            <w:webHidden/>
          </w:rPr>
          <w:t>79</w:t>
        </w:r>
        <w:r w:rsidR="00BD038B">
          <w:rPr>
            <w:noProof/>
            <w:webHidden/>
          </w:rPr>
          <w:fldChar w:fldCharType="end"/>
        </w:r>
      </w:hyperlink>
    </w:p>
    <w:p w14:paraId="464F7668" w14:textId="257E039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4" w:history="1">
        <w:r w:rsidR="00BD038B" w:rsidRPr="00763BDE">
          <w:rPr>
            <w:rStyle w:val="Hyperlink"/>
            <w:noProof/>
          </w:rPr>
          <w:t xml:space="preserve">Figure 74. </w:t>
        </w:r>
        <w:r w:rsidR="00BD038B" w:rsidRPr="00763BDE">
          <w:rPr>
            <w:rStyle w:val="Hyperlink"/>
            <w:i/>
            <w:noProof/>
          </w:rPr>
          <w:t>Change in visually estimated above-ground biomass at offshore monitoring sites adjacent to Abbot Point from 2005 – 2016</w:t>
        </w:r>
        <w:r w:rsidR="00BD038B">
          <w:rPr>
            <w:noProof/>
            <w:webHidden/>
          </w:rPr>
          <w:tab/>
        </w:r>
        <w:r w:rsidR="00BD038B">
          <w:rPr>
            <w:noProof/>
            <w:webHidden/>
          </w:rPr>
          <w:fldChar w:fldCharType="begin"/>
        </w:r>
        <w:r w:rsidR="00BD038B">
          <w:rPr>
            <w:noProof/>
            <w:webHidden/>
          </w:rPr>
          <w:instrText xml:space="preserve"> PAGEREF _Toc516053284 \h </w:instrText>
        </w:r>
        <w:r w:rsidR="00BD038B">
          <w:rPr>
            <w:noProof/>
            <w:webHidden/>
          </w:rPr>
        </w:r>
        <w:r w:rsidR="00BD038B">
          <w:rPr>
            <w:noProof/>
            <w:webHidden/>
          </w:rPr>
          <w:fldChar w:fldCharType="separate"/>
        </w:r>
        <w:r w:rsidR="00F87DF9">
          <w:rPr>
            <w:noProof/>
            <w:webHidden/>
          </w:rPr>
          <w:t>79</w:t>
        </w:r>
        <w:r w:rsidR="00BD038B">
          <w:rPr>
            <w:noProof/>
            <w:webHidden/>
          </w:rPr>
          <w:fldChar w:fldCharType="end"/>
        </w:r>
      </w:hyperlink>
    </w:p>
    <w:p w14:paraId="717E52B6" w14:textId="72FA4C8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5" w:history="1">
        <w:r w:rsidR="00BD038B" w:rsidRPr="00763BDE">
          <w:rPr>
            <w:rStyle w:val="Hyperlink"/>
            <w:noProof/>
          </w:rPr>
          <w:t xml:space="preserve">Figure 75. </w:t>
        </w:r>
        <w:r w:rsidR="00BD038B" w:rsidRPr="00763BDE">
          <w:rPr>
            <w:rStyle w:val="Hyperlink"/>
            <w:i/>
            <w:noProof/>
          </w:rPr>
          <w:t>Seed bank and late dry season reproductive effort at inshore intertidal coast and reef and subtidal reef habitats in the Burdekin region.</w:t>
        </w:r>
        <w:r w:rsidR="00BD038B">
          <w:rPr>
            <w:noProof/>
            <w:webHidden/>
          </w:rPr>
          <w:tab/>
        </w:r>
        <w:r w:rsidR="00BD038B">
          <w:rPr>
            <w:noProof/>
            <w:webHidden/>
          </w:rPr>
          <w:fldChar w:fldCharType="begin"/>
        </w:r>
        <w:r w:rsidR="00BD038B">
          <w:rPr>
            <w:noProof/>
            <w:webHidden/>
          </w:rPr>
          <w:instrText xml:space="preserve"> PAGEREF _Toc516053285 \h </w:instrText>
        </w:r>
        <w:r w:rsidR="00BD038B">
          <w:rPr>
            <w:noProof/>
            <w:webHidden/>
          </w:rPr>
        </w:r>
        <w:r w:rsidR="00BD038B">
          <w:rPr>
            <w:noProof/>
            <w:webHidden/>
          </w:rPr>
          <w:fldChar w:fldCharType="separate"/>
        </w:r>
        <w:r w:rsidR="00F87DF9">
          <w:rPr>
            <w:noProof/>
            <w:webHidden/>
          </w:rPr>
          <w:t>80</w:t>
        </w:r>
        <w:r w:rsidR="00BD038B">
          <w:rPr>
            <w:noProof/>
            <w:webHidden/>
          </w:rPr>
          <w:fldChar w:fldCharType="end"/>
        </w:r>
      </w:hyperlink>
    </w:p>
    <w:p w14:paraId="163815A4" w14:textId="4E77B46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6" w:history="1">
        <w:r w:rsidR="00BD038B" w:rsidRPr="00763BDE">
          <w:rPr>
            <w:rStyle w:val="Hyperlink"/>
            <w:noProof/>
          </w:rPr>
          <w:t xml:space="preserve">Figure 76.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seagrass species examined at each inshore habitat in the Burdekin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_Toc516053286 \h </w:instrText>
        </w:r>
        <w:r w:rsidR="00BD038B">
          <w:rPr>
            <w:noProof/>
            <w:webHidden/>
          </w:rPr>
        </w:r>
        <w:r w:rsidR="00BD038B">
          <w:rPr>
            <w:noProof/>
            <w:webHidden/>
          </w:rPr>
          <w:fldChar w:fldCharType="separate"/>
        </w:r>
        <w:r w:rsidR="00F87DF9">
          <w:rPr>
            <w:noProof/>
            <w:webHidden/>
          </w:rPr>
          <w:t>80</w:t>
        </w:r>
        <w:r w:rsidR="00BD038B">
          <w:rPr>
            <w:noProof/>
            <w:webHidden/>
          </w:rPr>
          <w:fldChar w:fldCharType="end"/>
        </w:r>
      </w:hyperlink>
    </w:p>
    <w:p w14:paraId="00A3026F" w14:textId="7A622C6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7" w:history="1">
        <w:r w:rsidR="00BD038B" w:rsidRPr="00763BDE">
          <w:rPr>
            <w:rStyle w:val="Hyperlink"/>
            <w:noProof/>
          </w:rPr>
          <w:t xml:space="preserve">Figure 77. </w:t>
        </w:r>
        <w:r w:rsidR="00BD038B" w:rsidRPr="00763BDE">
          <w:rPr>
            <w:rStyle w:val="Hyperlink"/>
            <w:i/>
            <w:iCs/>
            <w:noProof/>
            <w:lang w:eastAsia="en-AU"/>
          </w:rPr>
          <w:t xml:space="preserve">Elemental ratios (atomic) of seagrass leaf tissue N:P and C:P </w:t>
        </w:r>
        <w:r w:rsidR="00BD038B" w:rsidRPr="00763BDE">
          <w:rPr>
            <w:rStyle w:val="Hyperlink"/>
            <w:i/>
            <w:iCs/>
            <w:noProof/>
          </w:rPr>
          <w:t xml:space="preserve">for the foundation seagrass species examined at each inshore intertidal habitat in the Burdekin region </w:t>
        </w:r>
        <w:r w:rsidR="00BD038B" w:rsidRPr="00763BDE">
          <w:rPr>
            <w:rStyle w:val="Hyperlink"/>
            <w:i/>
            <w:iCs/>
            <w:noProof/>
            <w:lang w:eastAsia="en-AU"/>
          </w:rPr>
          <w:t>each year</w:t>
        </w:r>
        <w:r w:rsidR="00BD038B">
          <w:rPr>
            <w:noProof/>
            <w:webHidden/>
          </w:rPr>
          <w:tab/>
        </w:r>
        <w:r w:rsidR="00BD038B">
          <w:rPr>
            <w:noProof/>
            <w:webHidden/>
          </w:rPr>
          <w:fldChar w:fldCharType="begin"/>
        </w:r>
        <w:r w:rsidR="00BD038B">
          <w:rPr>
            <w:noProof/>
            <w:webHidden/>
          </w:rPr>
          <w:instrText xml:space="preserve"> PAGEREF _Toc516053287 \h </w:instrText>
        </w:r>
        <w:r w:rsidR="00BD038B">
          <w:rPr>
            <w:noProof/>
            <w:webHidden/>
          </w:rPr>
        </w:r>
        <w:r w:rsidR="00BD038B">
          <w:rPr>
            <w:noProof/>
            <w:webHidden/>
          </w:rPr>
          <w:fldChar w:fldCharType="separate"/>
        </w:r>
        <w:r w:rsidR="00F87DF9">
          <w:rPr>
            <w:noProof/>
            <w:webHidden/>
          </w:rPr>
          <w:t>81</w:t>
        </w:r>
        <w:r w:rsidR="00BD038B">
          <w:rPr>
            <w:noProof/>
            <w:webHidden/>
          </w:rPr>
          <w:fldChar w:fldCharType="end"/>
        </w:r>
      </w:hyperlink>
    </w:p>
    <w:p w14:paraId="08A1053D" w14:textId="22B1AA1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8" w:history="1">
        <w:r w:rsidR="00BD038B" w:rsidRPr="00763BDE">
          <w:rPr>
            <w:rStyle w:val="Hyperlink"/>
            <w:noProof/>
          </w:rPr>
          <w:t xml:space="preserve">Figure 78. </w:t>
        </w:r>
        <w:r w:rsidR="00BD038B" w:rsidRPr="00763BDE">
          <w:rPr>
            <w:rStyle w:val="Hyperlink"/>
            <w:i/>
            <w:noProof/>
          </w:rPr>
          <w:t>Long-term trend in mean epiphyte and macroalgae abundance (per cent cover) relative to the long-term GBR average for each inshore seagrass habitat in the Burdekin region</w:t>
        </w:r>
        <w:r w:rsidR="00BD038B">
          <w:rPr>
            <w:noProof/>
            <w:webHidden/>
          </w:rPr>
          <w:tab/>
        </w:r>
        <w:r w:rsidR="00BD038B">
          <w:rPr>
            <w:noProof/>
            <w:webHidden/>
          </w:rPr>
          <w:fldChar w:fldCharType="begin"/>
        </w:r>
        <w:r w:rsidR="00BD038B">
          <w:rPr>
            <w:noProof/>
            <w:webHidden/>
          </w:rPr>
          <w:instrText xml:space="preserve"> PAGEREF _Toc516053288 \h </w:instrText>
        </w:r>
        <w:r w:rsidR="00BD038B">
          <w:rPr>
            <w:noProof/>
            <w:webHidden/>
          </w:rPr>
        </w:r>
        <w:r w:rsidR="00BD038B">
          <w:rPr>
            <w:noProof/>
            <w:webHidden/>
          </w:rPr>
          <w:fldChar w:fldCharType="separate"/>
        </w:r>
        <w:r w:rsidR="00F87DF9">
          <w:rPr>
            <w:noProof/>
            <w:webHidden/>
          </w:rPr>
          <w:t>82</w:t>
        </w:r>
        <w:r w:rsidR="00BD038B">
          <w:rPr>
            <w:noProof/>
            <w:webHidden/>
          </w:rPr>
          <w:fldChar w:fldCharType="end"/>
        </w:r>
      </w:hyperlink>
    </w:p>
    <w:p w14:paraId="2452AF62" w14:textId="036601E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89" w:history="1">
        <w:r w:rsidR="00BD038B" w:rsidRPr="00763BDE">
          <w:rPr>
            <w:rStyle w:val="Hyperlink"/>
            <w:noProof/>
          </w:rPr>
          <w:t xml:space="preserve">Figure 79. </w:t>
        </w:r>
        <w:r w:rsidR="00BD038B" w:rsidRPr="00763BDE">
          <w:rPr>
            <w:rStyle w:val="Hyperlink"/>
            <w:i/>
            <w:noProof/>
          </w:rPr>
          <w:t>Report card of seagrass status indicators and index for the Mackay Whitsunday NRM region</w:t>
        </w:r>
        <w:r w:rsidR="00BD038B">
          <w:rPr>
            <w:noProof/>
            <w:webHidden/>
          </w:rPr>
          <w:tab/>
        </w:r>
        <w:r w:rsidR="00BD038B">
          <w:rPr>
            <w:noProof/>
            <w:webHidden/>
          </w:rPr>
          <w:fldChar w:fldCharType="begin"/>
        </w:r>
        <w:r w:rsidR="00BD038B">
          <w:rPr>
            <w:noProof/>
            <w:webHidden/>
          </w:rPr>
          <w:instrText xml:space="preserve"> PAGEREF _Toc516053289 \h </w:instrText>
        </w:r>
        <w:r w:rsidR="00BD038B">
          <w:rPr>
            <w:noProof/>
            <w:webHidden/>
          </w:rPr>
        </w:r>
        <w:r w:rsidR="00BD038B">
          <w:rPr>
            <w:noProof/>
            <w:webHidden/>
          </w:rPr>
          <w:fldChar w:fldCharType="separate"/>
        </w:r>
        <w:r w:rsidR="00F87DF9">
          <w:rPr>
            <w:noProof/>
            <w:webHidden/>
          </w:rPr>
          <w:t>83</w:t>
        </w:r>
        <w:r w:rsidR="00BD038B">
          <w:rPr>
            <w:noProof/>
            <w:webHidden/>
          </w:rPr>
          <w:fldChar w:fldCharType="end"/>
        </w:r>
      </w:hyperlink>
    </w:p>
    <w:p w14:paraId="131F06C0" w14:textId="30AEF76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0" w:history="1">
        <w:r w:rsidR="00BD038B" w:rsidRPr="00763BDE">
          <w:rPr>
            <w:rStyle w:val="Hyperlink"/>
            <w:noProof/>
          </w:rPr>
          <w:t xml:space="preserve">Figure 80.  </w:t>
        </w:r>
        <w:r w:rsidR="00BD038B" w:rsidRPr="00763BDE">
          <w:rPr>
            <w:rStyle w:val="Hyperlink"/>
            <w:i/>
            <w:noProof/>
          </w:rPr>
          <w:t>Frequency of exposure to turbid water (colour classes 1-5) in the Mackay Whitsunday NRM region, wet season (December 2016 – April 2017) composite.</w:t>
        </w:r>
        <w:r w:rsidR="00BD038B">
          <w:rPr>
            <w:noProof/>
            <w:webHidden/>
          </w:rPr>
          <w:tab/>
        </w:r>
        <w:r w:rsidR="00BD038B">
          <w:rPr>
            <w:noProof/>
            <w:webHidden/>
          </w:rPr>
          <w:fldChar w:fldCharType="begin"/>
        </w:r>
        <w:r w:rsidR="00BD038B">
          <w:rPr>
            <w:noProof/>
            <w:webHidden/>
          </w:rPr>
          <w:instrText xml:space="preserve"> PAGEREF _Toc516053290 \h </w:instrText>
        </w:r>
        <w:r w:rsidR="00BD038B">
          <w:rPr>
            <w:noProof/>
            <w:webHidden/>
          </w:rPr>
        </w:r>
        <w:r w:rsidR="00BD038B">
          <w:rPr>
            <w:noProof/>
            <w:webHidden/>
          </w:rPr>
          <w:fldChar w:fldCharType="separate"/>
        </w:r>
        <w:r w:rsidR="00F87DF9">
          <w:rPr>
            <w:noProof/>
            <w:webHidden/>
          </w:rPr>
          <w:t>84</w:t>
        </w:r>
        <w:r w:rsidR="00BD038B">
          <w:rPr>
            <w:noProof/>
            <w:webHidden/>
          </w:rPr>
          <w:fldChar w:fldCharType="end"/>
        </w:r>
      </w:hyperlink>
    </w:p>
    <w:p w14:paraId="2852C22A" w14:textId="3C54508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1" w:history="1">
        <w:r w:rsidR="00BD038B" w:rsidRPr="00763BDE">
          <w:rPr>
            <w:rStyle w:val="Hyperlink"/>
            <w:noProof/>
          </w:rPr>
          <w:t>Figure 81</w:t>
        </w:r>
        <w:r w:rsidR="00BD038B" w:rsidRPr="00763BDE">
          <w:rPr>
            <w:rStyle w:val="Hyperlink"/>
            <w:i/>
            <w:noProof/>
          </w:rPr>
          <w:t xml:space="preserve"> . Mean daily light at Mackay Whitsunday habitats with 28-d rolling average from 2009 to 2017 (left) and GAM plots (right)</w:t>
        </w:r>
        <w:r w:rsidR="00BD038B">
          <w:rPr>
            <w:noProof/>
            <w:webHidden/>
          </w:rPr>
          <w:tab/>
        </w:r>
        <w:r w:rsidR="00BD038B">
          <w:rPr>
            <w:noProof/>
            <w:webHidden/>
          </w:rPr>
          <w:fldChar w:fldCharType="begin"/>
        </w:r>
        <w:r w:rsidR="00BD038B">
          <w:rPr>
            <w:noProof/>
            <w:webHidden/>
          </w:rPr>
          <w:instrText xml:space="preserve"> PAGEREF _Toc516053291 \h </w:instrText>
        </w:r>
        <w:r w:rsidR="00BD038B">
          <w:rPr>
            <w:noProof/>
            <w:webHidden/>
          </w:rPr>
        </w:r>
        <w:r w:rsidR="00BD038B">
          <w:rPr>
            <w:noProof/>
            <w:webHidden/>
          </w:rPr>
          <w:fldChar w:fldCharType="separate"/>
        </w:r>
        <w:r w:rsidR="00F87DF9">
          <w:rPr>
            <w:noProof/>
            <w:webHidden/>
          </w:rPr>
          <w:t>85</w:t>
        </w:r>
        <w:r w:rsidR="00BD038B">
          <w:rPr>
            <w:noProof/>
            <w:webHidden/>
          </w:rPr>
          <w:fldChar w:fldCharType="end"/>
        </w:r>
      </w:hyperlink>
    </w:p>
    <w:p w14:paraId="09EF8F41" w14:textId="14EA929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2" w:history="1">
        <w:r w:rsidR="00BD038B" w:rsidRPr="00763BDE">
          <w:rPr>
            <w:rStyle w:val="Hyperlink"/>
            <w:noProof/>
          </w:rPr>
          <w:t xml:space="preserve">Figure 82. </w:t>
        </w:r>
        <w:r w:rsidR="00BD038B" w:rsidRPr="00763BDE">
          <w:rPr>
            <w:rStyle w:val="Hyperlink"/>
            <w:i/>
            <w:noProof/>
          </w:rPr>
          <w:t>Inshore sea temperatures within each intertidal seagrass habitat in the Mackay Whitsunday region, September 2003 - May 2017</w:t>
        </w:r>
        <w:r w:rsidR="00BD038B">
          <w:rPr>
            <w:noProof/>
            <w:webHidden/>
          </w:rPr>
          <w:tab/>
        </w:r>
        <w:r w:rsidR="00BD038B">
          <w:rPr>
            <w:noProof/>
            <w:webHidden/>
          </w:rPr>
          <w:fldChar w:fldCharType="begin"/>
        </w:r>
        <w:r w:rsidR="00BD038B">
          <w:rPr>
            <w:noProof/>
            <w:webHidden/>
          </w:rPr>
          <w:instrText xml:space="preserve"> PAGEREF _Toc516053292 \h </w:instrText>
        </w:r>
        <w:r w:rsidR="00BD038B">
          <w:rPr>
            <w:noProof/>
            <w:webHidden/>
          </w:rPr>
        </w:r>
        <w:r w:rsidR="00BD038B">
          <w:rPr>
            <w:noProof/>
            <w:webHidden/>
          </w:rPr>
          <w:fldChar w:fldCharType="separate"/>
        </w:r>
        <w:r w:rsidR="00F87DF9">
          <w:rPr>
            <w:noProof/>
            <w:webHidden/>
          </w:rPr>
          <w:t>85</w:t>
        </w:r>
        <w:r w:rsidR="00BD038B">
          <w:rPr>
            <w:noProof/>
            <w:webHidden/>
          </w:rPr>
          <w:fldChar w:fldCharType="end"/>
        </w:r>
      </w:hyperlink>
    </w:p>
    <w:p w14:paraId="46575F1B" w14:textId="37367B6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3" w:history="1">
        <w:r w:rsidR="00BD038B" w:rsidRPr="00763BDE">
          <w:rPr>
            <w:rStyle w:val="Hyperlink"/>
            <w:noProof/>
          </w:rPr>
          <w:t xml:space="preserve">Figure 83. </w:t>
        </w:r>
        <w:r w:rsidR="00BD038B" w:rsidRPr="00763BDE">
          <w:rPr>
            <w:rStyle w:val="Hyperlink"/>
            <w:i/>
            <w:noProof/>
          </w:rPr>
          <w:t>Changes in seagrass abundance (per cent cover ± SE) at inshore intertidal habitats in the Mackay Whitsunday region, 1999 - 2017</w:t>
        </w:r>
        <w:r w:rsidR="00BD038B">
          <w:rPr>
            <w:noProof/>
            <w:webHidden/>
          </w:rPr>
          <w:tab/>
        </w:r>
        <w:r w:rsidR="00BD038B">
          <w:rPr>
            <w:noProof/>
            <w:webHidden/>
          </w:rPr>
          <w:fldChar w:fldCharType="begin"/>
        </w:r>
        <w:r w:rsidR="00BD038B">
          <w:rPr>
            <w:noProof/>
            <w:webHidden/>
          </w:rPr>
          <w:instrText xml:space="preserve"> PAGEREF _Toc516053293 \h </w:instrText>
        </w:r>
        <w:r w:rsidR="00BD038B">
          <w:rPr>
            <w:noProof/>
            <w:webHidden/>
          </w:rPr>
        </w:r>
        <w:r w:rsidR="00BD038B">
          <w:rPr>
            <w:noProof/>
            <w:webHidden/>
          </w:rPr>
          <w:fldChar w:fldCharType="separate"/>
        </w:r>
        <w:r w:rsidR="00F87DF9">
          <w:rPr>
            <w:noProof/>
            <w:webHidden/>
          </w:rPr>
          <w:t>87</w:t>
        </w:r>
        <w:r w:rsidR="00BD038B">
          <w:rPr>
            <w:noProof/>
            <w:webHidden/>
          </w:rPr>
          <w:fldChar w:fldCharType="end"/>
        </w:r>
      </w:hyperlink>
    </w:p>
    <w:p w14:paraId="20E870A1" w14:textId="1AB2CC2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4" w:history="1">
        <w:r w:rsidR="00BD038B" w:rsidRPr="00763BDE">
          <w:rPr>
            <w:rStyle w:val="Hyperlink"/>
            <w:noProof/>
          </w:rPr>
          <w:t xml:space="preserve">Figure 84. </w:t>
        </w:r>
        <w:r w:rsidR="00BD038B" w:rsidRPr="00763BDE">
          <w:rPr>
            <w:rStyle w:val="Hyperlink"/>
            <w:i/>
            <w:noProof/>
          </w:rPr>
          <w:t>Temporal trends in seagrass abundance for each location in the Mackay Whitsunday region represented by a GAM plot.</w:t>
        </w:r>
        <w:r w:rsidR="00BD038B">
          <w:rPr>
            <w:noProof/>
            <w:webHidden/>
          </w:rPr>
          <w:tab/>
        </w:r>
        <w:r w:rsidR="00BD038B">
          <w:rPr>
            <w:noProof/>
            <w:webHidden/>
          </w:rPr>
          <w:fldChar w:fldCharType="begin"/>
        </w:r>
        <w:r w:rsidR="00BD038B">
          <w:rPr>
            <w:noProof/>
            <w:webHidden/>
          </w:rPr>
          <w:instrText xml:space="preserve"> PAGEREF _Toc516053294 \h </w:instrText>
        </w:r>
        <w:r w:rsidR="00BD038B">
          <w:rPr>
            <w:noProof/>
            <w:webHidden/>
          </w:rPr>
        </w:r>
        <w:r w:rsidR="00BD038B">
          <w:rPr>
            <w:noProof/>
            <w:webHidden/>
          </w:rPr>
          <w:fldChar w:fldCharType="separate"/>
        </w:r>
        <w:r w:rsidR="00F87DF9">
          <w:rPr>
            <w:noProof/>
            <w:webHidden/>
          </w:rPr>
          <w:t>87</w:t>
        </w:r>
        <w:r w:rsidR="00BD038B">
          <w:rPr>
            <w:noProof/>
            <w:webHidden/>
          </w:rPr>
          <w:fldChar w:fldCharType="end"/>
        </w:r>
      </w:hyperlink>
    </w:p>
    <w:p w14:paraId="10359C2B" w14:textId="56667CF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5" w:history="1">
        <w:r w:rsidR="00BD038B" w:rsidRPr="00763BDE">
          <w:rPr>
            <w:rStyle w:val="Hyperlink"/>
            <w:noProof/>
          </w:rPr>
          <w:t xml:space="preserve">Figure 85. </w:t>
        </w:r>
        <w:r w:rsidR="00BD038B" w:rsidRPr="00763BDE">
          <w:rPr>
            <w:rStyle w:val="Hyperlink"/>
            <w:i/>
            <w:noProof/>
          </w:rPr>
          <w:t>Temporal trends in seagrass abundance for each habitat in the Mackay Whitsunday region represented by GAM plots.</w:t>
        </w:r>
        <w:r w:rsidR="00BD038B">
          <w:rPr>
            <w:noProof/>
            <w:webHidden/>
          </w:rPr>
          <w:tab/>
        </w:r>
        <w:r w:rsidR="00BD038B">
          <w:rPr>
            <w:noProof/>
            <w:webHidden/>
          </w:rPr>
          <w:fldChar w:fldCharType="begin"/>
        </w:r>
        <w:r w:rsidR="00BD038B">
          <w:rPr>
            <w:noProof/>
            <w:webHidden/>
          </w:rPr>
          <w:instrText xml:space="preserve"> PAGEREF _Toc516053295 \h </w:instrText>
        </w:r>
        <w:r w:rsidR="00BD038B">
          <w:rPr>
            <w:noProof/>
            <w:webHidden/>
          </w:rPr>
        </w:r>
        <w:r w:rsidR="00BD038B">
          <w:rPr>
            <w:noProof/>
            <w:webHidden/>
          </w:rPr>
          <w:fldChar w:fldCharType="separate"/>
        </w:r>
        <w:r w:rsidR="00F87DF9">
          <w:rPr>
            <w:noProof/>
            <w:webHidden/>
          </w:rPr>
          <w:t>88</w:t>
        </w:r>
        <w:r w:rsidR="00BD038B">
          <w:rPr>
            <w:noProof/>
            <w:webHidden/>
          </w:rPr>
          <w:fldChar w:fldCharType="end"/>
        </w:r>
      </w:hyperlink>
    </w:p>
    <w:p w14:paraId="73B4E2A1" w14:textId="6983FB8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6" w:history="1">
        <w:r w:rsidR="00BD038B" w:rsidRPr="00763BDE">
          <w:rPr>
            <w:rStyle w:val="Hyperlink"/>
            <w:noProof/>
          </w:rPr>
          <w:t xml:space="preserve">Figure 86. </w:t>
        </w:r>
        <w:r w:rsidR="00BD038B" w:rsidRPr="00763BDE">
          <w:rPr>
            <w:rStyle w:val="Hyperlink"/>
            <w:i/>
            <w:noProof/>
          </w:rPr>
          <w:t>Proportion of seagrass abundance composed of colonising species at inshore intertidal habitats in the Mackay Whitsunday region, 1999 - 2017.</w:t>
        </w:r>
        <w:r w:rsidR="00BD038B">
          <w:rPr>
            <w:noProof/>
            <w:webHidden/>
          </w:rPr>
          <w:tab/>
        </w:r>
        <w:r w:rsidR="00BD038B">
          <w:rPr>
            <w:noProof/>
            <w:webHidden/>
          </w:rPr>
          <w:fldChar w:fldCharType="begin"/>
        </w:r>
        <w:r w:rsidR="00BD038B">
          <w:rPr>
            <w:noProof/>
            <w:webHidden/>
          </w:rPr>
          <w:instrText xml:space="preserve"> PAGEREF _Toc516053296 \h </w:instrText>
        </w:r>
        <w:r w:rsidR="00BD038B">
          <w:rPr>
            <w:noProof/>
            <w:webHidden/>
          </w:rPr>
        </w:r>
        <w:r w:rsidR="00BD038B">
          <w:rPr>
            <w:noProof/>
            <w:webHidden/>
          </w:rPr>
          <w:fldChar w:fldCharType="separate"/>
        </w:r>
        <w:r w:rsidR="00F87DF9">
          <w:rPr>
            <w:noProof/>
            <w:webHidden/>
          </w:rPr>
          <w:t>89</w:t>
        </w:r>
        <w:r w:rsidR="00BD038B">
          <w:rPr>
            <w:noProof/>
            <w:webHidden/>
          </w:rPr>
          <w:fldChar w:fldCharType="end"/>
        </w:r>
      </w:hyperlink>
    </w:p>
    <w:p w14:paraId="7D671F7D" w14:textId="5F2227A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7" w:history="1">
        <w:r w:rsidR="00BD038B" w:rsidRPr="00763BDE">
          <w:rPr>
            <w:rStyle w:val="Hyperlink"/>
            <w:noProof/>
          </w:rPr>
          <w:t>Figure 87.</w:t>
        </w:r>
        <w:r w:rsidR="00BD038B" w:rsidRPr="00763BDE">
          <w:rPr>
            <w:rStyle w:val="Hyperlink"/>
            <w:i/>
            <w:noProof/>
          </w:rPr>
          <w:t xml:space="preserve"> Change in spatial extent of seagrass meadows within monitoring sites for each inshore intertidal habitat and monitoring period across the Mackay Whitsunday NRM region.</w:t>
        </w:r>
        <w:r w:rsidR="00BD038B">
          <w:rPr>
            <w:noProof/>
            <w:webHidden/>
          </w:rPr>
          <w:tab/>
        </w:r>
        <w:r w:rsidR="00BD038B">
          <w:rPr>
            <w:noProof/>
            <w:webHidden/>
          </w:rPr>
          <w:fldChar w:fldCharType="begin"/>
        </w:r>
        <w:r w:rsidR="00BD038B">
          <w:rPr>
            <w:noProof/>
            <w:webHidden/>
          </w:rPr>
          <w:instrText xml:space="preserve"> PAGEREF _Toc516053297 \h </w:instrText>
        </w:r>
        <w:r w:rsidR="00BD038B">
          <w:rPr>
            <w:noProof/>
            <w:webHidden/>
          </w:rPr>
        </w:r>
        <w:r w:rsidR="00BD038B">
          <w:rPr>
            <w:noProof/>
            <w:webHidden/>
          </w:rPr>
          <w:fldChar w:fldCharType="separate"/>
        </w:r>
        <w:r w:rsidR="00F87DF9">
          <w:rPr>
            <w:noProof/>
            <w:webHidden/>
          </w:rPr>
          <w:t>89</w:t>
        </w:r>
        <w:r w:rsidR="00BD038B">
          <w:rPr>
            <w:noProof/>
            <w:webHidden/>
          </w:rPr>
          <w:fldChar w:fldCharType="end"/>
        </w:r>
      </w:hyperlink>
    </w:p>
    <w:p w14:paraId="782FF8EA" w14:textId="1C5062C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8" w:history="1">
        <w:r w:rsidR="00BD038B" w:rsidRPr="00763BDE">
          <w:rPr>
            <w:rStyle w:val="Hyperlink"/>
            <w:noProof/>
          </w:rPr>
          <w:t xml:space="preserve">Figure 88. </w:t>
        </w:r>
        <w:r w:rsidR="00BD038B" w:rsidRPr="00763BDE">
          <w:rPr>
            <w:rStyle w:val="Hyperlink"/>
            <w:i/>
            <w:noProof/>
          </w:rPr>
          <w:t>Change in visually estimated above-ground biomass at Hay Point offshore monitoring sites from 2005 to 2016</w:t>
        </w:r>
        <w:r w:rsidR="00BD038B">
          <w:rPr>
            <w:noProof/>
            <w:webHidden/>
          </w:rPr>
          <w:tab/>
        </w:r>
        <w:r w:rsidR="00BD038B">
          <w:rPr>
            <w:noProof/>
            <w:webHidden/>
          </w:rPr>
          <w:fldChar w:fldCharType="begin"/>
        </w:r>
        <w:r w:rsidR="00BD038B">
          <w:rPr>
            <w:noProof/>
            <w:webHidden/>
          </w:rPr>
          <w:instrText xml:space="preserve"> PAGEREF _Toc516053298 \h </w:instrText>
        </w:r>
        <w:r w:rsidR="00BD038B">
          <w:rPr>
            <w:noProof/>
            <w:webHidden/>
          </w:rPr>
        </w:r>
        <w:r w:rsidR="00BD038B">
          <w:rPr>
            <w:noProof/>
            <w:webHidden/>
          </w:rPr>
          <w:fldChar w:fldCharType="separate"/>
        </w:r>
        <w:r w:rsidR="00F87DF9">
          <w:rPr>
            <w:noProof/>
            <w:webHidden/>
          </w:rPr>
          <w:t>90</w:t>
        </w:r>
        <w:r w:rsidR="00BD038B">
          <w:rPr>
            <w:noProof/>
            <w:webHidden/>
          </w:rPr>
          <w:fldChar w:fldCharType="end"/>
        </w:r>
      </w:hyperlink>
    </w:p>
    <w:p w14:paraId="636D289C" w14:textId="79D4A59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299" w:history="1">
        <w:r w:rsidR="00BD038B" w:rsidRPr="00763BDE">
          <w:rPr>
            <w:rStyle w:val="Hyperlink"/>
            <w:noProof/>
          </w:rPr>
          <w:t xml:space="preserve">Figure 89. </w:t>
        </w:r>
        <w:r w:rsidR="00BD038B" w:rsidRPr="00763BDE">
          <w:rPr>
            <w:rStyle w:val="Hyperlink"/>
            <w:i/>
            <w:noProof/>
          </w:rPr>
          <w:t>Seed bank and late dry season reproductive effort at inshore intertidal coast, estuary, and reef habitats in the Mackay Whitsunday region, 2001 - 2017.</w:t>
        </w:r>
        <w:r w:rsidR="00BD038B">
          <w:rPr>
            <w:noProof/>
            <w:webHidden/>
          </w:rPr>
          <w:tab/>
        </w:r>
        <w:r w:rsidR="00BD038B">
          <w:rPr>
            <w:noProof/>
            <w:webHidden/>
          </w:rPr>
          <w:fldChar w:fldCharType="begin"/>
        </w:r>
        <w:r w:rsidR="00BD038B">
          <w:rPr>
            <w:noProof/>
            <w:webHidden/>
          </w:rPr>
          <w:instrText xml:space="preserve"> PAGEREF _Toc516053299 \h </w:instrText>
        </w:r>
        <w:r w:rsidR="00BD038B">
          <w:rPr>
            <w:noProof/>
            <w:webHidden/>
          </w:rPr>
        </w:r>
        <w:r w:rsidR="00BD038B">
          <w:rPr>
            <w:noProof/>
            <w:webHidden/>
          </w:rPr>
          <w:fldChar w:fldCharType="separate"/>
        </w:r>
        <w:r w:rsidR="00F87DF9">
          <w:rPr>
            <w:noProof/>
            <w:webHidden/>
          </w:rPr>
          <w:t>91</w:t>
        </w:r>
        <w:r w:rsidR="00BD038B">
          <w:rPr>
            <w:noProof/>
            <w:webHidden/>
          </w:rPr>
          <w:fldChar w:fldCharType="end"/>
        </w:r>
      </w:hyperlink>
    </w:p>
    <w:p w14:paraId="6DBBCF65" w14:textId="26B530A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0" w:history="1">
        <w:r w:rsidR="00BD038B" w:rsidRPr="00763BDE">
          <w:rPr>
            <w:rStyle w:val="Hyperlink"/>
            <w:noProof/>
          </w:rPr>
          <w:t xml:space="preserve">Figure 90.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seagrass species examined at inshore intertidal habitats in the Mackay Whitsunday</w:t>
        </w:r>
        <w:r w:rsidR="00BD038B" w:rsidRPr="00763BDE">
          <w:rPr>
            <w:rStyle w:val="Hyperlink"/>
            <w:i/>
            <w:noProof/>
            <w:lang w:eastAsia="en-AU"/>
          </w:rPr>
          <w:t xml:space="preserve"> region, 2006 - 2016</w:t>
        </w:r>
        <w:r w:rsidR="00BD038B">
          <w:rPr>
            <w:noProof/>
            <w:webHidden/>
          </w:rPr>
          <w:tab/>
        </w:r>
        <w:r w:rsidR="00BD038B">
          <w:rPr>
            <w:noProof/>
            <w:webHidden/>
          </w:rPr>
          <w:fldChar w:fldCharType="begin"/>
        </w:r>
        <w:r w:rsidR="00BD038B">
          <w:rPr>
            <w:noProof/>
            <w:webHidden/>
          </w:rPr>
          <w:instrText xml:space="preserve"> PAGEREF _Toc516053300 \h </w:instrText>
        </w:r>
        <w:r w:rsidR="00BD038B">
          <w:rPr>
            <w:noProof/>
            <w:webHidden/>
          </w:rPr>
        </w:r>
        <w:r w:rsidR="00BD038B">
          <w:rPr>
            <w:noProof/>
            <w:webHidden/>
          </w:rPr>
          <w:fldChar w:fldCharType="separate"/>
        </w:r>
        <w:r w:rsidR="00F87DF9">
          <w:rPr>
            <w:noProof/>
            <w:webHidden/>
          </w:rPr>
          <w:t>91</w:t>
        </w:r>
        <w:r w:rsidR="00BD038B">
          <w:rPr>
            <w:noProof/>
            <w:webHidden/>
          </w:rPr>
          <w:fldChar w:fldCharType="end"/>
        </w:r>
      </w:hyperlink>
    </w:p>
    <w:p w14:paraId="59105704" w14:textId="3778546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1" w:history="1">
        <w:r w:rsidR="00BD038B" w:rsidRPr="00763BDE">
          <w:rPr>
            <w:rStyle w:val="Hyperlink"/>
            <w:noProof/>
          </w:rPr>
          <w:t xml:space="preserve">Figure 91. </w:t>
        </w:r>
        <w:r w:rsidR="00BD038B" w:rsidRPr="00763BDE">
          <w:rPr>
            <w:rStyle w:val="Hyperlink"/>
            <w:i/>
            <w:iCs/>
            <w:noProof/>
            <w:lang w:eastAsia="en-AU"/>
          </w:rPr>
          <w:t xml:space="preserve">Elemental ratios (atomic) of seagrass leaf tissue N:P and C:P </w:t>
        </w:r>
        <w:r w:rsidR="00BD038B" w:rsidRPr="00763BDE">
          <w:rPr>
            <w:rStyle w:val="Hyperlink"/>
            <w:i/>
            <w:iCs/>
            <w:noProof/>
          </w:rPr>
          <w:t xml:space="preserve">for the foundation seagrass species examined at </w:t>
        </w:r>
        <w:r w:rsidR="00BD038B" w:rsidRPr="00763BDE">
          <w:rPr>
            <w:rStyle w:val="Hyperlink"/>
            <w:i/>
            <w:noProof/>
          </w:rPr>
          <w:t>inshore intertidal habitats in the Mackay Whitsunday</w:t>
        </w:r>
        <w:r w:rsidR="00BD038B" w:rsidRPr="00763BDE">
          <w:rPr>
            <w:rStyle w:val="Hyperlink"/>
            <w:i/>
            <w:noProof/>
            <w:lang w:eastAsia="en-AU"/>
          </w:rPr>
          <w:t xml:space="preserve"> region, 2006 - 2016</w:t>
        </w:r>
        <w:r w:rsidR="00BD038B">
          <w:rPr>
            <w:noProof/>
            <w:webHidden/>
          </w:rPr>
          <w:tab/>
        </w:r>
        <w:r w:rsidR="00BD038B">
          <w:rPr>
            <w:noProof/>
            <w:webHidden/>
          </w:rPr>
          <w:fldChar w:fldCharType="begin"/>
        </w:r>
        <w:r w:rsidR="00BD038B">
          <w:rPr>
            <w:noProof/>
            <w:webHidden/>
          </w:rPr>
          <w:instrText xml:space="preserve"> PAGEREF _Toc516053301 \h </w:instrText>
        </w:r>
        <w:r w:rsidR="00BD038B">
          <w:rPr>
            <w:noProof/>
            <w:webHidden/>
          </w:rPr>
        </w:r>
        <w:r w:rsidR="00BD038B">
          <w:rPr>
            <w:noProof/>
            <w:webHidden/>
          </w:rPr>
          <w:fldChar w:fldCharType="separate"/>
        </w:r>
        <w:r w:rsidR="00F87DF9">
          <w:rPr>
            <w:noProof/>
            <w:webHidden/>
          </w:rPr>
          <w:t>92</w:t>
        </w:r>
        <w:r w:rsidR="00BD038B">
          <w:rPr>
            <w:noProof/>
            <w:webHidden/>
          </w:rPr>
          <w:fldChar w:fldCharType="end"/>
        </w:r>
      </w:hyperlink>
    </w:p>
    <w:p w14:paraId="62E72212" w14:textId="12FC49E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2" w:history="1">
        <w:r w:rsidR="00BD038B" w:rsidRPr="00763BDE">
          <w:rPr>
            <w:rStyle w:val="Hyperlink"/>
            <w:noProof/>
          </w:rPr>
          <w:t xml:space="preserve">Figure 92. </w:t>
        </w:r>
        <w:r w:rsidR="00BD038B" w:rsidRPr="00763BDE">
          <w:rPr>
            <w:rStyle w:val="Hyperlink"/>
            <w:i/>
            <w:noProof/>
          </w:rPr>
          <w:t>Long-term trend in mean epiphyte and macroalgae abundance (per cent cover) relative to the long-term average for each inshore intertidal habitat in the Mackay Whitsunday region, 1999 - 2017</w:t>
        </w:r>
        <w:r w:rsidR="00BD038B">
          <w:rPr>
            <w:noProof/>
            <w:webHidden/>
          </w:rPr>
          <w:tab/>
        </w:r>
        <w:r w:rsidR="00BD038B">
          <w:rPr>
            <w:noProof/>
            <w:webHidden/>
          </w:rPr>
          <w:fldChar w:fldCharType="begin"/>
        </w:r>
        <w:r w:rsidR="00BD038B">
          <w:rPr>
            <w:noProof/>
            <w:webHidden/>
          </w:rPr>
          <w:instrText xml:space="preserve"> PAGEREF _Toc516053302 \h </w:instrText>
        </w:r>
        <w:r w:rsidR="00BD038B">
          <w:rPr>
            <w:noProof/>
            <w:webHidden/>
          </w:rPr>
        </w:r>
        <w:r w:rsidR="00BD038B">
          <w:rPr>
            <w:noProof/>
            <w:webHidden/>
          </w:rPr>
          <w:fldChar w:fldCharType="separate"/>
        </w:r>
        <w:r w:rsidR="00F87DF9">
          <w:rPr>
            <w:noProof/>
            <w:webHidden/>
          </w:rPr>
          <w:t>93</w:t>
        </w:r>
        <w:r w:rsidR="00BD038B">
          <w:rPr>
            <w:noProof/>
            <w:webHidden/>
          </w:rPr>
          <w:fldChar w:fldCharType="end"/>
        </w:r>
      </w:hyperlink>
    </w:p>
    <w:p w14:paraId="581302C6" w14:textId="2B70891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3" w:history="1">
        <w:r w:rsidR="00BD038B" w:rsidRPr="00763BDE">
          <w:rPr>
            <w:rStyle w:val="Hyperlink"/>
            <w:noProof/>
          </w:rPr>
          <w:t xml:space="preserve">Figure 93. </w:t>
        </w:r>
        <w:r w:rsidR="00BD038B" w:rsidRPr="00763BDE">
          <w:rPr>
            <w:rStyle w:val="Hyperlink"/>
            <w:i/>
            <w:noProof/>
          </w:rPr>
          <w:t>Report card of seagrass status indicators and index for the Fitzroy NRM region</w:t>
        </w:r>
        <w:r w:rsidR="00BD038B">
          <w:rPr>
            <w:noProof/>
            <w:webHidden/>
          </w:rPr>
          <w:tab/>
        </w:r>
        <w:r w:rsidR="00BD038B">
          <w:rPr>
            <w:noProof/>
            <w:webHidden/>
          </w:rPr>
          <w:fldChar w:fldCharType="begin"/>
        </w:r>
        <w:r w:rsidR="00BD038B">
          <w:rPr>
            <w:noProof/>
            <w:webHidden/>
          </w:rPr>
          <w:instrText xml:space="preserve"> PAGEREF _Toc516053303 \h </w:instrText>
        </w:r>
        <w:r w:rsidR="00BD038B">
          <w:rPr>
            <w:noProof/>
            <w:webHidden/>
          </w:rPr>
        </w:r>
        <w:r w:rsidR="00BD038B">
          <w:rPr>
            <w:noProof/>
            <w:webHidden/>
          </w:rPr>
          <w:fldChar w:fldCharType="separate"/>
        </w:r>
        <w:r w:rsidR="00F87DF9">
          <w:rPr>
            <w:noProof/>
            <w:webHidden/>
          </w:rPr>
          <w:t>94</w:t>
        </w:r>
        <w:r w:rsidR="00BD038B">
          <w:rPr>
            <w:noProof/>
            <w:webHidden/>
          </w:rPr>
          <w:fldChar w:fldCharType="end"/>
        </w:r>
      </w:hyperlink>
    </w:p>
    <w:p w14:paraId="6C5E57E5" w14:textId="45ED58A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4" w:history="1">
        <w:r w:rsidR="00BD038B" w:rsidRPr="00763BDE">
          <w:rPr>
            <w:rStyle w:val="Hyperlink"/>
            <w:noProof/>
          </w:rPr>
          <w:t xml:space="preserve">Figure 94.  </w:t>
        </w:r>
        <w:r w:rsidR="00BD038B" w:rsidRPr="00763BDE">
          <w:rPr>
            <w:rStyle w:val="Hyperlink"/>
            <w:i/>
            <w:noProof/>
          </w:rPr>
          <w:t>Frequency of exposure to turbid water (colour classes 1-5) in the Fitzroy NRM, wet season (22 weeks from December 2016 – April 2017) composite.</w:t>
        </w:r>
        <w:r w:rsidR="00BD038B">
          <w:rPr>
            <w:noProof/>
            <w:webHidden/>
          </w:rPr>
          <w:tab/>
        </w:r>
        <w:r w:rsidR="00BD038B">
          <w:rPr>
            <w:noProof/>
            <w:webHidden/>
          </w:rPr>
          <w:fldChar w:fldCharType="begin"/>
        </w:r>
        <w:r w:rsidR="00BD038B">
          <w:rPr>
            <w:noProof/>
            <w:webHidden/>
          </w:rPr>
          <w:instrText xml:space="preserve"> PAGEREF _Toc516053304 \h </w:instrText>
        </w:r>
        <w:r w:rsidR="00BD038B">
          <w:rPr>
            <w:noProof/>
            <w:webHidden/>
          </w:rPr>
        </w:r>
        <w:r w:rsidR="00BD038B">
          <w:rPr>
            <w:noProof/>
            <w:webHidden/>
          </w:rPr>
          <w:fldChar w:fldCharType="separate"/>
        </w:r>
        <w:r w:rsidR="00F87DF9">
          <w:rPr>
            <w:noProof/>
            <w:webHidden/>
          </w:rPr>
          <w:t>95</w:t>
        </w:r>
        <w:r w:rsidR="00BD038B">
          <w:rPr>
            <w:noProof/>
            <w:webHidden/>
          </w:rPr>
          <w:fldChar w:fldCharType="end"/>
        </w:r>
      </w:hyperlink>
    </w:p>
    <w:p w14:paraId="7A5ED098" w14:textId="37B25A5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5" w:history="1">
        <w:r w:rsidR="00BD038B" w:rsidRPr="00763BDE">
          <w:rPr>
            <w:rStyle w:val="Hyperlink"/>
            <w:noProof/>
          </w:rPr>
          <w:t xml:space="preserve">Figure 95. </w:t>
        </w:r>
        <w:r w:rsidR="00BD038B" w:rsidRPr="00763BDE">
          <w:rPr>
            <w:rStyle w:val="Hyperlink"/>
            <w:i/>
            <w:noProof/>
          </w:rPr>
          <w:t>Mean daily light at Fitzroy sites with 28-d rolling average from 2009 to 2017 (left) and GAM plots (right)</w:t>
        </w:r>
        <w:r w:rsidR="00BD038B">
          <w:rPr>
            <w:noProof/>
            <w:webHidden/>
          </w:rPr>
          <w:tab/>
        </w:r>
        <w:r w:rsidR="00BD038B">
          <w:rPr>
            <w:noProof/>
            <w:webHidden/>
          </w:rPr>
          <w:fldChar w:fldCharType="begin"/>
        </w:r>
        <w:r w:rsidR="00BD038B">
          <w:rPr>
            <w:noProof/>
            <w:webHidden/>
          </w:rPr>
          <w:instrText xml:space="preserve"> PAGEREF _Toc516053305 \h </w:instrText>
        </w:r>
        <w:r w:rsidR="00BD038B">
          <w:rPr>
            <w:noProof/>
            <w:webHidden/>
          </w:rPr>
        </w:r>
        <w:r w:rsidR="00BD038B">
          <w:rPr>
            <w:noProof/>
            <w:webHidden/>
          </w:rPr>
          <w:fldChar w:fldCharType="separate"/>
        </w:r>
        <w:r w:rsidR="00F87DF9">
          <w:rPr>
            <w:noProof/>
            <w:webHidden/>
          </w:rPr>
          <w:t>96</w:t>
        </w:r>
        <w:r w:rsidR="00BD038B">
          <w:rPr>
            <w:noProof/>
            <w:webHidden/>
          </w:rPr>
          <w:fldChar w:fldCharType="end"/>
        </w:r>
      </w:hyperlink>
    </w:p>
    <w:p w14:paraId="22754058" w14:textId="6989C61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6" w:history="1">
        <w:r w:rsidR="00BD038B" w:rsidRPr="00763BDE">
          <w:rPr>
            <w:rStyle w:val="Hyperlink"/>
            <w:noProof/>
          </w:rPr>
          <w:t xml:space="preserve">Figure 96. </w:t>
        </w:r>
        <w:r w:rsidR="00BD038B" w:rsidRPr="00763BDE">
          <w:rPr>
            <w:rStyle w:val="Hyperlink"/>
            <w:i/>
            <w:noProof/>
          </w:rPr>
          <w:t>Inshore sea temperatures within each intertidal seagrass habitat in the Fitzroy region, June 2007 - May 2017</w:t>
        </w:r>
        <w:r w:rsidR="00BD038B">
          <w:rPr>
            <w:noProof/>
            <w:webHidden/>
          </w:rPr>
          <w:tab/>
        </w:r>
        <w:r w:rsidR="00BD038B">
          <w:rPr>
            <w:noProof/>
            <w:webHidden/>
          </w:rPr>
          <w:fldChar w:fldCharType="begin"/>
        </w:r>
        <w:r w:rsidR="00BD038B">
          <w:rPr>
            <w:noProof/>
            <w:webHidden/>
          </w:rPr>
          <w:instrText xml:space="preserve"> PAGEREF _Toc516053306 \h </w:instrText>
        </w:r>
        <w:r w:rsidR="00BD038B">
          <w:rPr>
            <w:noProof/>
            <w:webHidden/>
          </w:rPr>
        </w:r>
        <w:r w:rsidR="00BD038B">
          <w:rPr>
            <w:noProof/>
            <w:webHidden/>
          </w:rPr>
          <w:fldChar w:fldCharType="separate"/>
        </w:r>
        <w:r w:rsidR="00F87DF9">
          <w:rPr>
            <w:noProof/>
            <w:webHidden/>
          </w:rPr>
          <w:t>96</w:t>
        </w:r>
        <w:r w:rsidR="00BD038B">
          <w:rPr>
            <w:noProof/>
            <w:webHidden/>
          </w:rPr>
          <w:fldChar w:fldCharType="end"/>
        </w:r>
      </w:hyperlink>
    </w:p>
    <w:p w14:paraId="073243D1" w14:textId="344D26F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7" w:history="1">
        <w:r w:rsidR="00BD038B" w:rsidRPr="00763BDE">
          <w:rPr>
            <w:rStyle w:val="Hyperlink"/>
            <w:noProof/>
          </w:rPr>
          <w:t xml:space="preserve">Figure 97. </w:t>
        </w:r>
        <w:r w:rsidR="00BD038B" w:rsidRPr="00763BDE">
          <w:rPr>
            <w:rStyle w:val="Hyperlink"/>
            <w:i/>
            <w:noProof/>
          </w:rPr>
          <w:t>Changes in seagrass abundance (per cent cover ± SE) in inshore intertidal habitats of the Fitzroy region, 2001 - 2017</w:t>
        </w:r>
        <w:r w:rsidR="00BD038B">
          <w:rPr>
            <w:noProof/>
            <w:webHidden/>
          </w:rPr>
          <w:tab/>
        </w:r>
        <w:r w:rsidR="00BD038B">
          <w:rPr>
            <w:noProof/>
            <w:webHidden/>
          </w:rPr>
          <w:fldChar w:fldCharType="begin"/>
        </w:r>
        <w:r w:rsidR="00BD038B">
          <w:rPr>
            <w:noProof/>
            <w:webHidden/>
          </w:rPr>
          <w:instrText xml:space="preserve"> PAGEREF _Toc516053307 \h </w:instrText>
        </w:r>
        <w:r w:rsidR="00BD038B">
          <w:rPr>
            <w:noProof/>
            <w:webHidden/>
          </w:rPr>
        </w:r>
        <w:r w:rsidR="00BD038B">
          <w:rPr>
            <w:noProof/>
            <w:webHidden/>
          </w:rPr>
          <w:fldChar w:fldCharType="separate"/>
        </w:r>
        <w:r w:rsidR="00F87DF9">
          <w:rPr>
            <w:noProof/>
            <w:webHidden/>
          </w:rPr>
          <w:t>98</w:t>
        </w:r>
        <w:r w:rsidR="00BD038B">
          <w:rPr>
            <w:noProof/>
            <w:webHidden/>
          </w:rPr>
          <w:fldChar w:fldCharType="end"/>
        </w:r>
      </w:hyperlink>
    </w:p>
    <w:p w14:paraId="2E606638" w14:textId="53920F3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8" w:history="1">
        <w:r w:rsidR="00BD038B" w:rsidRPr="00763BDE">
          <w:rPr>
            <w:rStyle w:val="Hyperlink"/>
            <w:noProof/>
          </w:rPr>
          <w:t xml:space="preserve">Figure 98.  </w:t>
        </w:r>
        <w:r w:rsidR="00BD038B" w:rsidRPr="00763BDE">
          <w:rPr>
            <w:rStyle w:val="Hyperlink"/>
            <w:i/>
            <w:noProof/>
          </w:rPr>
          <w:t>Temporal</w:t>
        </w:r>
        <w:r w:rsidR="00BD038B" w:rsidRPr="00763BDE">
          <w:rPr>
            <w:rStyle w:val="Hyperlink"/>
            <w:noProof/>
          </w:rPr>
          <w:t xml:space="preserve"> </w:t>
        </w:r>
        <w:r w:rsidR="00BD038B" w:rsidRPr="00763BDE">
          <w:rPr>
            <w:rStyle w:val="Hyperlink"/>
            <w:i/>
            <w:noProof/>
          </w:rPr>
          <w:t>trends in seagrass abundance for each habitat in the Fitzroy region, represented by a GAM plot 2001-2017.</w:t>
        </w:r>
        <w:r w:rsidR="00BD038B">
          <w:rPr>
            <w:noProof/>
            <w:webHidden/>
          </w:rPr>
          <w:tab/>
        </w:r>
        <w:r w:rsidR="00BD038B">
          <w:rPr>
            <w:noProof/>
            <w:webHidden/>
          </w:rPr>
          <w:fldChar w:fldCharType="begin"/>
        </w:r>
        <w:r w:rsidR="00BD038B">
          <w:rPr>
            <w:noProof/>
            <w:webHidden/>
          </w:rPr>
          <w:instrText xml:space="preserve"> PAGEREF _Toc516053308 \h </w:instrText>
        </w:r>
        <w:r w:rsidR="00BD038B">
          <w:rPr>
            <w:noProof/>
            <w:webHidden/>
          </w:rPr>
        </w:r>
        <w:r w:rsidR="00BD038B">
          <w:rPr>
            <w:noProof/>
            <w:webHidden/>
          </w:rPr>
          <w:fldChar w:fldCharType="separate"/>
        </w:r>
        <w:r w:rsidR="00F87DF9">
          <w:rPr>
            <w:noProof/>
            <w:webHidden/>
          </w:rPr>
          <w:t>98</w:t>
        </w:r>
        <w:r w:rsidR="00BD038B">
          <w:rPr>
            <w:noProof/>
            <w:webHidden/>
          </w:rPr>
          <w:fldChar w:fldCharType="end"/>
        </w:r>
      </w:hyperlink>
    </w:p>
    <w:p w14:paraId="433E3C26" w14:textId="2833D66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09" w:history="1">
        <w:r w:rsidR="00BD038B" w:rsidRPr="00763BDE">
          <w:rPr>
            <w:rStyle w:val="Hyperlink"/>
            <w:noProof/>
          </w:rPr>
          <w:t xml:space="preserve">Figure 99. </w:t>
        </w:r>
        <w:r w:rsidR="00BD038B" w:rsidRPr="00763BDE">
          <w:rPr>
            <w:rStyle w:val="Hyperlink"/>
            <w:i/>
            <w:noProof/>
          </w:rPr>
          <w:t>Temporal trends in seagrass abundance for seagrass habitat in the Fitzroy region represented by a GAM plot, 2001-2017.</w:t>
        </w:r>
        <w:r w:rsidR="00BD038B">
          <w:rPr>
            <w:noProof/>
            <w:webHidden/>
          </w:rPr>
          <w:tab/>
        </w:r>
        <w:r w:rsidR="00BD038B">
          <w:rPr>
            <w:noProof/>
            <w:webHidden/>
          </w:rPr>
          <w:fldChar w:fldCharType="begin"/>
        </w:r>
        <w:r w:rsidR="00BD038B">
          <w:rPr>
            <w:noProof/>
            <w:webHidden/>
          </w:rPr>
          <w:instrText xml:space="preserve"> PAGEREF _Toc516053309 \h </w:instrText>
        </w:r>
        <w:r w:rsidR="00BD038B">
          <w:rPr>
            <w:noProof/>
            <w:webHidden/>
          </w:rPr>
        </w:r>
        <w:r w:rsidR="00BD038B">
          <w:rPr>
            <w:noProof/>
            <w:webHidden/>
          </w:rPr>
          <w:fldChar w:fldCharType="separate"/>
        </w:r>
        <w:r w:rsidR="00F87DF9">
          <w:rPr>
            <w:noProof/>
            <w:webHidden/>
          </w:rPr>
          <w:t>99</w:t>
        </w:r>
        <w:r w:rsidR="00BD038B">
          <w:rPr>
            <w:noProof/>
            <w:webHidden/>
          </w:rPr>
          <w:fldChar w:fldCharType="end"/>
        </w:r>
      </w:hyperlink>
    </w:p>
    <w:p w14:paraId="4596546C" w14:textId="35AB167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0" w:history="1">
        <w:r w:rsidR="00BD038B" w:rsidRPr="00763BDE">
          <w:rPr>
            <w:rStyle w:val="Hyperlink"/>
            <w:noProof/>
          </w:rPr>
          <w:t xml:space="preserve">Figure 100. </w:t>
        </w:r>
        <w:r w:rsidR="00BD038B" w:rsidRPr="00763BDE">
          <w:rPr>
            <w:rStyle w:val="Hyperlink"/>
            <w:i/>
            <w:noProof/>
          </w:rPr>
          <w:t>Proportion of seagrass abundance composed of colonising species in inshore intertidal habitats of the Fitzroy region, 2001 - 2017.</w:t>
        </w:r>
        <w:r w:rsidR="00BD038B">
          <w:rPr>
            <w:noProof/>
            <w:webHidden/>
          </w:rPr>
          <w:tab/>
        </w:r>
        <w:r w:rsidR="00BD038B">
          <w:rPr>
            <w:noProof/>
            <w:webHidden/>
          </w:rPr>
          <w:fldChar w:fldCharType="begin"/>
        </w:r>
        <w:r w:rsidR="00BD038B">
          <w:rPr>
            <w:noProof/>
            <w:webHidden/>
          </w:rPr>
          <w:instrText xml:space="preserve"> PAGEREF _Toc516053310 \h </w:instrText>
        </w:r>
        <w:r w:rsidR="00BD038B">
          <w:rPr>
            <w:noProof/>
            <w:webHidden/>
          </w:rPr>
        </w:r>
        <w:r w:rsidR="00BD038B">
          <w:rPr>
            <w:noProof/>
            <w:webHidden/>
          </w:rPr>
          <w:fldChar w:fldCharType="separate"/>
        </w:r>
        <w:r w:rsidR="00F87DF9">
          <w:rPr>
            <w:noProof/>
            <w:webHidden/>
          </w:rPr>
          <w:t>99</w:t>
        </w:r>
        <w:r w:rsidR="00BD038B">
          <w:rPr>
            <w:noProof/>
            <w:webHidden/>
          </w:rPr>
          <w:fldChar w:fldCharType="end"/>
        </w:r>
      </w:hyperlink>
    </w:p>
    <w:p w14:paraId="33318C2D" w14:textId="52143AB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1" w:history="1">
        <w:r w:rsidR="00BD038B" w:rsidRPr="00763BDE">
          <w:rPr>
            <w:rStyle w:val="Hyperlink"/>
            <w:noProof/>
          </w:rPr>
          <w:t xml:space="preserve">Figure 101. </w:t>
        </w:r>
        <w:r w:rsidR="00BD038B" w:rsidRPr="00763BDE">
          <w:rPr>
            <w:rStyle w:val="Hyperlink"/>
            <w:i/>
            <w:noProof/>
          </w:rPr>
          <w:t>Change in spatial extent of seagrass meadows within monitoring sites for each inshore intertidal habitat across the Fitzroy NRM region, 2005 - 2017.</w:t>
        </w:r>
        <w:r w:rsidR="00BD038B">
          <w:rPr>
            <w:noProof/>
            <w:webHidden/>
          </w:rPr>
          <w:tab/>
        </w:r>
        <w:r w:rsidR="00BD038B">
          <w:rPr>
            <w:noProof/>
            <w:webHidden/>
          </w:rPr>
          <w:fldChar w:fldCharType="begin"/>
        </w:r>
        <w:r w:rsidR="00BD038B">
          <w:rPr>
            <w:noProof/>
            <w:webHidden/>
          </w:rPr>
          <w:instrText xml:space="preserve"> PAGEREF _Toc516053311 \h </w:instrText>
        </w:r>
        <w:r w:rsidR="00BD038B">
          <w:rPr>
            <w:noProof/>
            <w:webHidden/>
          </w:rPr>
        </w:r>
        <w:r w:rsidR="00BD038B">
          <w:rPr>
            <w:noProof/>
            <w:webHidden/>
          </w:rPr>
          <w:fldChar w:fldCharType="separate"/>
        </w:r>
        <w:r w:rsidR="00F87DF9">
          <w:rPr>
            <w:noProof/>
            <w:webHidden/>
          </w:rPr>
          <w:t>100</w:t>
        </w:r>
        <w:r w:rsidR="00BD038B">
          <w:rPr>
            <w:noProof/>
            <w:webHidden/>
          </w:rPr>
          <w:fldChar w:fldCharType="end"/>
        </w:r>
      </w:hyperlink>
    </w:p>
    <w:p w14:paraId="0EDB6521" w14:textId="2FD415F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2" w:history="1">
        <w:r w:rsidR="00BD038B" w:rsidRPr="00763BDE">
          <w:rPr>
            <w:rStyle w:val="Hyperlink"/>
            <w:noProof/>
          </w:rPr>
          <w:t xml:space="preserve">Figure 102. </w:t>
        </w:r>
        <w:r w:rsidR="00BD038B" w:rsidRPr="00763BDE">
          <w:rPr>
            <w:rStyle w:val="Hyperlink"/>
            <w:i/>
            <w:noProof/>
          </w:rPr>
          <w:t>Change total extent of all monitoring meadows combined in Port Curtis from 2009 – 2016 (from Rasheed et al 2017)</w:t>
        </w:r>
        <w:r w:rsidR="00BD038B">
          <w:rPr>
            <w:noProof/>
            <w:webHidden/>
          </w:rPr>
          <w:tab/>
        </w:r>
        <w:r w:rsidR="00BD038B">
          <w:rPr>
            <w:noProof/>
            <w:webHidden/>
          </w:rPr>
          <w:fldChar w:fldCharType="begin"/>
        </w:r>
        <w:r w:rsidR="00BD038B">
          <w:rPr>
            <w:noProof/>
            <w:webHidden/>
          </w:rPr>
          <w:instrText xml:space="preserve"> PAGEREF _Toc516053312 \h </w:instrText>
        </w:r>
        <w:r w:rsidR="00BD038B">
          <w:rPr>
            <w:noProof/>
            <w:webHidden/>
          </w:rPr>
        </w:r>
        <w:r w:rsidR="00BD038B">
          <w:rPr>
            <w:noProof/>
            <w:webHidden/>
          </w:rPr>
          <w:fldChar w:fldCharType="separate"/>
        </w:r>
        <w:r w:rsidR="00F87DF9">
          <w:rPr>
            <w:noProof/>
            <w:webHidden/>
          </w:rPr>
          <w:t>100</w:t>
        </w:r>
        <w:r w:rsidR="00BD038B">
          <w:rPr>
            <w:noProof/>
            <w:webHidden/>
          </w:rPr>
          <w:fldChar w:fldCharType="end"/>
        </w:r>
      </w:hyperlink>
    </w:p>
    <w:p w14:paraId="11C3611B" w14:textId="48A1D25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3" w:history="1">
        <w:r w:rsidR="00BD038B" w:rsidRPr="00763BDE">
          <w:rPr>
            <w:rStyle w:val="Hyperlink"/>
            <w:noProof/>
          </w:rPr>
          <w:t>Figure 103.</w:t>
        </w:r>
        <w:r w:rsidR="00BD038B" w:rsidRPr="00763BDE">
          <w:rPr>
            <w:rStyle w:val="Hyperlink"/>
            <w:i/>
            <w:noProof/>
          </w:rPr>
          <w:t xml:space="preserve"> Seed bank and late dry season reproductive effort for inshore intertidal coastal, estuary and reef habitats in the Fitzroy region, 2005 - 2017.</w:t>
        </w:r>
        <w:r w:rsidR="00BD038B">
          <w:rPr>
            <w:noProof/>
            <w:webHidden/>
          </w:rPr>
          <w:tab/>
        </w:r>
        <w:r w:rsidR="00BD038B">
          <w:rPr>
            <w:noProof/>
            <w:webHidden/>
          </w:rPr>
          <w:fldChar w:fldCharType="begin"/>
        </w:r>
        <w:r w:rsidR="00BD038B">
          <w:rPr>
            <w:noProof/>
            <w:webHidden/>
          </w:rPr>
          <w:instrText xml:space="preserve"> PAGEREF _Toc516053313 \h </w:instrText>
        </w:r>
        <w:r w:rsidR="00BD038B">
          <w:rPr>
            <w:noProof/>
            <w:webHidden/>
          </w:rPr>
        </w:r>
        <w:r w:rsidR="00BD038B">
          <w:rPr>
            <w:noProof/>
            <w:webHidden/>
          </w:rPr>
          <w:fldChar w:fldCharType="separate"/>
        </w:r>
        <w:r w:rsidR="00F87DF9">
          <w:rPr>
            <w:noProof/>
            <w:webHidden/>
          </w:rPr>
          <w:t>101</w:t>
        </w:r>
        <w:r w:rsidR="00BD038B">
          <w:rPr>
            <w:noProof/>
            <w:webHidden/>
          </w:rPr>
          <w:fldChar w:fldCharType="end"/>
        </w:r>
      </w:hyperlink>
    </w:p>
    <w:p w14:paraId="0F71128B" w14:textId="1DAD91B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4" w:history="1">
        <w:r w:rsidR="00BD038B" w:rsidRPr="00763BDE">
          <w:rPr>
            <w:rStyle w:val="Hyperlink"/>
            <w:noProof/>
          </w:rPr>
          <w:t xml:space="preserve">Figure 104.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seagrass species examined at inshore intertidal habitats in the Fitzroy region, 2005 - 2016</w:t>
        </w:r>
        <w:r w:rsidR="00BD038B">
          <w:rPr>
            <w:noProof/>
            <w:webHidden/>
          </w:rPr>
          <w:tab/>
        </w:r>
        <w:r w:rsidR="00BD038B">
          <w:rPr>
            <w:noProof/>
            <w:webHidden/>
          </w:rPr>
          <w:fldChar w:fldCharType="begin"/>
        </w:r>
        <w:r w:rsidR="00BD038B">
          <w:rPr>
            <w:noProof/>
            <w:webHidden/>
          </w:rPr>
          <w:instrText xml:space="preserve"> PAGEREF _Toc516053314 \h </w:instrText>
        </w:r>
        <w:r w:rsidR="00BD038B">
          <w:rPr>
            <w:noProof/>
            <w:webHidden/>
          </w:rPr>
        </w:r>
        <w:r w:rsidR="00BD038B">
          <w:rPr>
            <w:noProof/>
            <w:webHidden/>
          </w:rPr>
          <w:fldChar w:fldCharType="separate"/>
        </w:r>
        <w:r w:rsidR="00F87DF9">
          <w:rPr>
            <w:noProof/>
            <w:webHidden/>
          </w:rPr>
          <w:t>101</w:t>
        </w:r>
        <w:r w:rsidR="00BD038B">
          <w:rPr>
            <w:noProof/>
            <w:webHidden/>
          </w:rPr>
          <w:fldChar w:fldCharType="end"/>
        </w:r>
      </w:hyperlink>
    </w:p>
    <w:p w14:paraId="7FE107C7" w14:textId="6E02E8A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5" w:history="1">
        <w:r w:rsidR="00BD038B" w:rsidRPr="00763BDE">
          <w:rPr>
            <w:rStyle w:val="Hyperlink"/>
            <w:noProof/>
          </w:rPr>
          <w:t xml:space="preserve">Figure 105. </w:t>
        </w:r>
        <w:r w:rsidR="00BD038B" w:rsidRPr="00763BDE">
          <w:rPr>
            <w:rStyle w:val="Hyperlink"/>
            <w:i/>
            <w:iCs/>
            <w:noProof/>
            <w:lang w:eastAsia="en-AU"/>
          </w:rPr>
          <w:t xml:space="preserve">Elemental ratios (atomic) of seagrass leaf tissue N:P and C:P </w:t>
        </w:r>
        <w:r w:rsidR="00BD038B" w:rsidRPr="00763BDE">
          <w:rPr>
            <w:rStyle w:val="Hyperlink"/>
            <w:i/>
            <w:iCs/>
            <w:noProof/>
          </w:rPr>
          <w:t xml:space="preserve">for the foundation seagrass species </w:t>
        </w:r>
        <w:r w:rsidR="00BD038B" w:rsidRPr="00763BDE">
          <w:rPr>
            <w:rStyle w:val="Hyperlink"/>
            <w:i/>
            <w:noProof/>
          </w:rPr>
          <w:t>examined at inshore intertidal habitats in the Fitzroy region, 2005 - 2016</w:t>
        </w:r>
        <w:r w:rsidR="00BD038B">
          <w:rPr>
            <w:noProof/>
            <w:webHidden/>
          </w:rPr>
          <w:tab/>
        </w:r>
        <w:r w:rsidR="00BD038B">
          <w:rPr>
            <w:noProof/>
            <w:webHidden/>
          </w:rPr>
          <w:fldChar w:fldCharType="begin"/>
        </w:r>
        <w:r w:rsidR="00BD038B">
          <w:rPr>
            <w:noProof/>
            <w:webHidden/>
          </w:rPr>
          <w:instrText xml:space="preserve"> PAGEREF _Toc516053315 \h </w:instrText>
        </w:r>
        <w:r w:rsidR="00BD038B">
          <w:rPr>
            <w:noProof/>
            <w:webHidden/>
          </w:rPr>
        </w:r>
        <w:r w:rsidR="00BD038B">
          <w:rPr>
            <w:noProof/>
            <w:webHidden/>
          </w:rPr>
          <w:fldChar w:fldCharType="separate"/>
        </w:r>
        <w:r w:rsidR="00F87DF9">
          <w:rPr>
            <w:noProof/>
            <w:webHidden/>
          </w:rPr>
          <w:t>102</w:t>
        </w:r>
        <w:r w:rsidR="00BD038B">
          <w:rPr>
            <w:noProof/>
            <w:webHidden/>
          </w:rPr>
          <w:fldChar w:fldCharType="end"/>
        </w:r>
      </w:hyperlink>
    </w:p>
    <w:p w14:paraId="76F460B7" w14:textId="1D1B84C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6" w:history="1">
        <w:r w:rsidR="00BD038B" w:rsidRPr="00763BDE">
          <w:rPr>
            <w:rStyle w:val="Hyperlink"/>
            <w:noProof/>
          </w:rPr>
          <w:t xml:space="preserve">Figure 106. </w:t>
        </w:r>
        <w:r w:rsidR="00BD038B" w:rsidRPr="00763BDE">
          <w:rPr>
            <w:rStyle w:val="Hyperlink"/>
            <w:i/>
            <w:noProof/>
          </w:rPr>
          <w:t>Long-term trend in mean epiphyte and macroalgae abundance (per cent cover) relative to the long-term average for each inshore intertidal seagrass habitat in the Fitzroy region, 2005 - 2017</w:t>
        </w:r>
        <w:r w:rsidR="00BD038B">
          <w:rPr>
            <w:noProof/>
            <w:webHidden/>
          </w:rPr>
          <w:tab/>
        </w:r>
        <w:r w:rsidR="00BD038B">
          <w:rPr>
            <w:noProof/>
            <w:webHidden/>
          </w:rPr>
          <w:fldChar w:fldCharType="begin"/>
        </w:r>
        <w:r w:rsidR="00BD038B">
          <w:rPr>
            <w:noProof/>
            <w:webHidden/>
          </w:rPr>
          <w:instrText xml:space="preserve"> PAGEREF _Toc516053316 \h </w:instrText>
        </w:r>
        <w:r w:rsidR="00BD038B">
          <w:rPr>
            <w:noProof/>
            <w:webHidden/>
          </w:rPr>
        </w:r>
        <w:r w:rsidR="00BD038B">
          <w:rPr>
            <w:noProof/>
            <w:webHidden/>
          </w:rPr>
          <w:fldChar w:fldCharType="separate"/>
        </w:r>
        <w:r w:rsidR="00F87DF9">
          <w:rPr>
            <w:noProof/>
            <w:webHidden/>
          </w:rPr>
          <w:t>103</w:t>
        </w:r>
        <w:r w:rsidR="00BD038B">
          <w:rPr>
            <w:noProof/>
            <w:webHidden/>
          </w:rPr>
          <w:fldChar w:fldCharType="end"/>
        </w:r>
      </w:hyperlink>
    </w:p>
    <w:p w14:paraId="182F3D66" w14:textId="5F6C3B6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7" w:history="1">
        <w:r w:rsidR="00BD038B" w:rsidRPr="00763BDE">
          <w:rPr>
            <w:rStyle w:val="Hyperlink"/>
            <w:noProof/>
          </w:rPr>
          <w:t xml:space="preserve">Figure 107. </w:t>
        </w:r>
        <w:r w:rsidR="00BD038B" w:rsidRPr="00763BDE">
          <w:rPr>
            <w:rStyle w:val="Hyperlink"/>
            <w:i/>
            <w:noProof/>
          </w:rPr>
          <w:t>Report card of seagrass status indicators and index for the Fitzroy region</w:t>
        </w:r>
        <w:r w:rsidR="00BD038B">
          <w:rPr>
            <w:noProof/>
            <w:webHidden/>
          </w:rPr>
          <w:tab/>
        </w:r>
        <w:r w:rsidR="00BD038B">
          <w:rPr>
            <w:noProof/>
            <w:webHidden/>
          </w:rPr>
          <w:fldChar w:fldCharType="begin"/>
        </w:r>
        <w:r w:rsidR="00BD038B">
          <w:rPr>
            <w:noProof/>
            <w:webHidden/>
          </w:rPr>
          <w:instrText xml:space="preserve"> PAGEREF _Toc516053317 \h </w:instrText>
        </w:r>
        <w:r w:rsidR="00BD038B">
          <w:rPr>
            <w:noProof/>
            <w:webHidden/>
          </w:rPr>
        </w:r>
        <w:r w:rsidR="00BD038B">
          <w:rPr>
            <w:noProof/>
            <w:webHidden/>
          </w:rPr>
          <w:fldChar w:fldCharType="separate"/>
        </w:r>
        <w:r w:rsidR="00F87DF9">
          <w:rPr>
            <w:noProof/>
            <w:webHidden/>
          </w:rPr>
          <w:t>104</w:t>
        </w:r>
        <w:r w:rsidR="00BD038B">
          <w:rPr>
            <w:noProof/>
            <w:webHidden/>
          </w:rPr>
          <w:fldChar w:fldCharType="end"/>
        </w:r>
      </w:hyperlink>
    </w:p>
    <w:p w14:paraId="675341B4" w14:textId="0AA96FD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8" w:history="1">
        <w:r w:rsidR="00BD038B" w:rsidRPr="00763BDE">
          <w:rPr>
            <w:rStyle w:val="Hyperlink"/>
            <w:noProof/>
          </w:rPr>
          <w:t>Figure 108.</w:t>
        </w:r>
        <w:r w:rsidR="00BD038B" w:rsidRPr="00763BDE">
          <w:rPr>
            <w:rStyle w:val="Hyperlink"/>
            <w:i/>
            <w:noProof/>
          </w:rPr>
          <w:t xml:space="preserve"> Frequency of exposure to turbid water (colour classes 1-5) in the Burnett Mary NRM, wet season (22 weeks from December 2016 – April 2017) composite.</w:t>
        </w:r>
        <w:r w:rsidR="00BD038B">
          <w:rPr>
            <w:noProof/>
            <w:webHidden/>
          </w:rPr>
          <w:tab/>
        </w:r>
        <w:r w:rsidR="00BD038B">
          <w:rPr>
            <w:noProof/>
            <w:webHidden/>
          </w:rPr>
          <w:fldChar w:fldCharType="begin"/>
        </w:r>
        <w:r w:rsidR="00BD038B">
          <w:rPr>
            <w:noProof/>
            <w:webHidden/>
          </w:rPr>
          <w:instrText xml:space="preserve"> PAGEREF _Toc516053318 \h </w:instrText>
        </w:r>
        <w:r w:rsidR="00BD038B">
          <w:rPr>
            <w:noProof/>
            <w:webHidden/>
          </w:rPr>
        </w:r>
        <w:r w:rsidR="00BD038B">
          <w:rPr>
            <w:noProof/>
            <w:webHidden/>
          </w:rPr>
          <w:fldChar w:fldCharType="separate"/>
        </w:r>
        <w:r w:rsidR="00F87DF9">
          <w:rPr>
            <w:noProof/>
            <w:webHidden/>
          </w:rPr>
          <w:t>105</w:t>
        </w:r>
        <w:r w:rsidR="00BD038B">
          <w:rPr>
            <w:noProof/>
            <w:webHidden/>
          </w:rPr>
          <w:fldChar w:fldCharType="end"/>
        </w:r>
      </w:hyperlink>
    </w:p>
    <w:p w14:paraId="000C7375" w14:textId="4C823A2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19" w:history="1">
        <w:r w:rsidR="00BD038B" w:rsidRPr="00763BDE">
          <w:rPr>
            <w:rStyle w:val="Hyperlink"/>
            <w:noProof/>
          </w:rPr>
          <w:t xml:space="preserve">Figure 109. </w:t>
        </w:r>
        <w:r w:rsidR="00BD038B" w:rsidRPr="00763BDE">
          <w:rPr>
            <w:rStyle w:val="Hyperlink"/>
            <w:i/>
            <w:noProof/>
          </w:rPr>
          <w:t>Daily light at Burnett Mary locations from 2010 to 2017 (left) and GAM plots (right)</w:t>
        </w:r>
        <w:r w:rsidR="00BD038B">
          <w:rPr>
            <w:noProof/>
            <w:webHidden/>
          </w:rPr>
          <w:tab/>
        </w:r>
        <w:r w:rsidR="00BD038B">
          <w:rPr>
            <w:noProof/>
            <w:webHidden/>
          </w:rPr>
          <w:fldChar w:fldCharType="begin"/>
        </w:r>
        <w:r w:rsidR="00BD038B">
          <w:rPr>
            <w:noProof/>
            <w:webHidden/>
          </w:rPr>
          <w:instrText xml:space="preserve"> PAGEREF _Toc516053319 \h </w:instrText>
        </w:r>
        <w:r w:rsidR="00BD038B">
          <w:rPr>
            <w:noProof/>
            <w:webHidden/>
          </w:rPr>
        </w:r>
        <w:r w:rsidR="00BD038B">
          <w:rPr>
            <w:noProof/>
            <w:webHidden/>
          </w:rPr>
          <w:fldChar w:fldCharType="separate"/>
        </w:r>
        <w:r w:rsidR="00F87DF9">
          <w:rPr>
            <w:noProof/>
            <w:webHidden/>
          </w:rPr>
          <w:t>106</w:t>
        </w:r>
        <w:r w:rsidR="00BD038B">
          <w:rPr>
            <w:noProof/>
            <w:webHidden/>
          </w:rPr>
          <w:fldChar w:fldCharType="end"/>
        </w:r>
      </w:hyperlink>
    </w:p>
    <w:p w14:paraId="78B5F38B" w14:textId="5E624E1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0" w:history="1">
        <w:r w:rsidR="00BD038B" w:rsidRPr="00763BDE">
          <w:rPr>
            <w:rStyle w:val="Hyperlink"/>
            <w:noProof/>
          </w:rPr>
          <w:t xml:space="preserve">Figure 110. </w:t>
        </w:r>
        <w:r w:rsidR="00BD038B" w:rsidRPr="00763BDE">
          <w:rPr>
            <w:rStyle w:val="Hyperlink"/>
            <w:i/>
            <w:noProof/>
          </w:rPr>
          <w:t>Inshore sea temperature monitoring September 2005 to May 2017 for seagrass meadows in Burnett Mary NRM region</w:t>
        </w:r>
        <w:r w:rsidR="00BD038B">
          <w:rPr>
            <w:noProof/>
            <w:webHidden/>
          </w:rPr>
          <w:tab/>
        </w:r>
        <w:r w:rsidR="00BD038B">
          <w:rPr>
            <w:noProof/>
            <w:webHidden/>
          </w:rPr>
          <w:fldChar w:fldCharType="begin"/>
        </w:r>
        <w:r w:rsidR="00BD038B">
          <w:rPr>
            <w:noProof/>
            <w:webHidden/>
          </w:rPr>
          <w:instrText xml:space="preserve"> PAGEREF _Toc516053320 \h </w:instrText>
        </w:r>
        <w:r w:rsidR="00BD038B">
          <w:rPr>
            <w:noProof/>
            <w:webHidden/>
          </w:rPr>
        </w:r>
        <w:r w:rsidR="00BD038B">
          <w:rPr>
            <w:noProof/>
            <w:webHidden/>
          </w:rPr>
          <w:fldChar w:fldCharType="separate"/>
        </w:r>
        <w:r w:rsidR="00F87DF9">
          <w:rPr>
            <w:noProof/>
            <w:webHidden/>
          </w:rPr>
          <w:t>106</w:t>
        </w:r>
        <w:r w:rsidR="00BD038B">
          <w:rPr>
            <w:noProof/>
            <w:webHidden/>
          </w:rPr>
          <w:fldChar w:fldCharType="end"/>
        </w:r>
      </w:hyperlink>
    </w:p>
    <w:p w14:paraId="774D037F" w14:textId="234AE70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1" w:history="1">
        <w:r w:rsidR="00BD038B" w:rsidRPr="00763BDE">
          <w:rPr>
            <w:rStyle w:val="Hyperlink"/>
            <w:noProof/>
          </w:rPr>
          <w:t xml:space="preserve">Figure 111. </w:t>
        </w:r>
        <w:r w:rsidR="00BD038B" w:rsidRPr="00763BDE">
          <w:rPr>
            <w:rStyle w:val="Hyperlink"/>
            <w:i/>
            <w:noProof/>
          </w:rPr>
          <w:t>Changes in seagrass abundance (per cent cover ± SE) at estuarine and coastal meadows in Burnett Mary region from 1999 to 2017.</w:t>
        </w:r>
        <w:r w:rsidR="00BD038B">
          <w:rPr>
            <w:noProof/>
            <w:webHidden/>
          </w:rPr>
          <w:tab/>
        </w:r>
        <w:r w:rsidR="00BD038B">
          <w:rPr>
            <w:noProof/>
            <w:webHidden/>
          </w:rPr>
          <w:fldChar w:fldCharType="begin"/>
        </w:r>
        <w:r w:rsidR="00BD038B">
          <w:rPr>
            <w:noProof/>
            <w:webHidden/>
          </w:rPr>
          <w:instrText xml:space="preserve"> PAGEREF _Toc516053321 \h </w:instrText>
        </w:r>
        <w:r w:rsidR="00BD038B">
          <w:rPr>
            <w:noProof/>
            <w:webHidden/>
          </w:rPr>
        </w:r>
        <w:r w:rsidR="00BD038B">
          <w:rPr>
            <w:noProof/>
            <w:webHidden/>
          </w:rPr>
          <w:fldChar w:fldCharType="separate"/>
        </w:r>
        <w:r w:rsidR="00F87DF9">
          <w:rPr>
            <w:noProof/>
            <w:webHidden/>
          </w:rPr>
          <w:t>108</w:t>
        </w:r>
        <w:r w:rsidR="00BD038B">
          <w:rPr>
            <w:noProof/>
            <w:webHidden/>
          </w:rPr>
          <w:fldChar w:fldCharType="end"/>
        </w:r>
      </w:hyperlink>
    </w:p>
    <w:p w14:paraId="608C0B42" w14:textId="3193875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2" w:history="1">
        <w:r w:rsidR="00BD038B" w:rsidRPr="00763BDE">
          <w:rPr>
            <w:rStyle w:val="Hyperlink"/>
            <w:noProof/>
          </w:rPr>
          <w:t xml:space="preserve">Figure 112.  </w:t>
        </w:r>
        <w:r w:rsidR="00BD038B" w:rsidRPr="00763BDE">
          <w:rPr>
            <w:rStyle w:val="Hyperlink"/>
            <w:i/>
            <w:noProof/>
          </w:rPr>
          <w:t>Temporal trends in seagrass abundance at estuarine locations in the Burnett May region, represented by a GAM plot 1999-2017.</w:t>
        </w:r>
        <w:r w:rsidR="00BD038B">
          <w:rPr>
            <w:noProof/>
            <w:webHidden/>
          </w:rPr>
          <w:tab/>
        </w:r>
        <w:r w:rsidR="00BD038B">
          <w:rPr>
            <w:noProof/>
            <w:webHidden/>
          </w:rPr>
          <w:fldChar w:fldCharType="begin"/>
        </w:r>
        <w:r w:rsidR="00BD038B">
          <w:rPr>
            <w:noProof/>
            <w:webHidden/>
          </w:rPr>
          <w:instrText xml:space="preserve"> PAGEREF _Toc516053322 \h </w:instrText>
        </w:r>
        <w:r w:rsidR="00BD038B">
          <w:rPr>
            <w:noProof/>
            <w:webHidden/>
          </w:rPr>
        </w:r>
        <w:r w:rsidR="00BD038B">
          <w:rPr>
            <w:noProof/>
            <w:webHidden/>
          </w:rPr>
          <w:fldChar w:fldCharType="separate"/>
        </w:r>
        <w:r w:rsidR="00F87DF9">
          <w:rPr>
            <w:noProof/>
            <w:webHidden/>
          </w:rPr>
          <w:t>108</w:t>
        </w:r>
        <w:r w:rsidR="00BD038B">
          <w:rPr>
            <w:noProof/>
            <w:webHidden/>
          </w:rPr>
          <w:fldChar w:fldCharType="end"/>
        </w:r>
      </w:hyperlink>
    </w:p>
    <w:p w14:paraId="7798C102" w14:textId="66DADCC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3" w:history="1">
        <w:r w:rsidR="00BD038B" w:rsidRPr="00763BDE">
          <w:rPr>
            <w:rStyle w:val="Hyperlink"/>
            <w:noProof/>
          </w:rPr>
          <w:t xml:space="preserve">Figure 113. </w:t>
        </w:r>
        <w:r w:rsidR="00BD038B" w:rsidRPr="00763BDE">
          <w:rPr>
            <w:rStyle w:val="Hyperlink"/>
            <w:i/>
            <w:noProof/>
          </w:rPr>
          <w:t>Temporal trends in seagrass abundance for seagrass habitat in the Burnett Mary region represented by a GAM plot, 1998-2017.</w:t>
        </w:r>
        <w:r w:rsidR="00BD038B">
          <w:rPr>
            <w:noProof/>
            <w:webHidden/>
          </w:rPr>
          <w:tab/>
        </w:r>
        <w:r w:rsidR="00BD038B">
          <w:rPr>
            <w:noProof/>
            <w:webHidden/>
          </w:rPr>
          <w:fldChar w:fldCharType="begin"/>
        </w:r>
        <w:r w:rsidR="00BD038B">
          <w:rPr>
            <w:noProof/>
            <w:webHidden/>
          </w:rPr>
          <w:instrText xml:space="preserve"> PAGEREF _Toc516053323 \h </w:instrText>
        </w:r>
        <w:r w:rsidR="00BD038B">
          <w:rPr>
            <w:noProof/>
            <w:webHidden/>
          </w:rPr>
        </w:r>
        <w:r w:rsidR="00BD038B">
          <w:rPr>
            <w:noProof/>
            <w:webHidden/>
          </w:rPr>
          <w:fldChar w:fldCharType="separate"/>
        </w:r>
        <w:r w:rsidR="00F87DF9">
          <w:rPr>
            <w:noProof/>
            <w:webHidden/>
          </w:rPr>
          <w:t>109</w:t>
        </w:r>
        <w:r w:rsidR="00BD038B">
          <w:rPr>
            <w:noProof/>
            <w:webHidden/>
          </w:rPr>
          <w:fldChar w:fldCharType="end"/>
        </w:r>
      </w:hyperlink>
    </w:p>
    <w:p w14:paraId="3A31685B" w14:textId="62CEBCF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4" w:history="1">
        <w:r w:rsidR="00BD038B" w:rsidRPr="00763BDE">
          <w:rPr>
            <w:rStyle w:val="Hyperlink"/>
            <w:noProof/>
          </w:rPr>
          <w:t xml:space="preserve">Figure 114. </w:t>
        </w:r>
        <w:r w:rsidR="00BD038B" w:rsidRPr="00763BDE">
          <w:rPr>
            <w:rStyle w:val="Hyperlink"/>
            <w:i/>
            <w:noProof/>
          </w:rPr>
          <w:t>Proportion of seagrass abundance composed of colonising species at: a. estuary and b. coastal habitats in the Burnett Mary region, 1998-2017.</w:t>
        </w:r>
        <w:r w:rsidR="00BD038B">
          <w:rPr>
            <w:noProof/>
            <w:webHidden/>
          </w:rPr>
          <w:tab/>
        </w:r>
        <w:r w:rsidR="00BD038B">
          <w:rPr>
            <w:noProof/>
            <w:webHidden/>
          </w:rPr>
          <w:fldChar w:fldCharType="begin"/>
        </w:r>
        <w:r w:rsidR="00BD038B">
          <w:rPr>
            <w:noProof/>
            <w:webHidden/>
          </w:rPr>
          <w:instrText xml:space="preserve"> PAGEREF _Toc516053324 \h </w:instrText>
        </w:r>
        <w:r w:rsidR="00BD038B">
          <w:rPr>
            <w:noProof/>
            <w:webHidden/>
          </w:rPr>
        </w:r>
        <w:r w:rsidR="00BD038B">
          <w:rPr>
            <w:noProof/>
            <w:webHidden/>
          </w:rPr>
          <w:fldChar w:fldCharType="separate"/>
        </w:r>
        <w:r w:rsidR="00F87DF9">
          <w:rPr>
            <w:noProof/>
            <w:webHidden/>
          </w:rPr>
          <w:t>109</w:t>
        </w:r>
        <w:r w:rsidR="00BD038B">
          <w:rPr>
            <w:noProof/>
            <w:webHidden/>
          </w:rPr>
          <w:fldChar w:fldCharType="end"/>
        </w:r>
      </w:hyperlink>
    </w:p>
    <w:p w14:paraId="147D4400" w14:textId="6532AFB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5" w:history="1">
        <w:r w:rsidR="00BD038B" w:rsidRPr="00763BDE">
          <w:rPr>
            <w:rStyle w:val="Hyperlink"/>
            <w:noProof/>
            <w:lang w:val="en-US"/>
          </w:rPr>
          <w:t xml:space="preserve">Figure 115. </w:t>
        </w:r>
        <w:r w:rsidR="00BD038B" w:rsidRPr="00763BDE">
          <w:rPr>
            <w:rStyle w:val="Hyperlink"/>
            <w:i/>
            <w:noProof/>
            <w:lang w:val="en-US"/>
          </w:rPr>
          <w:t>Change in spatial extent of estuary seagrass meadows within monitoring sites for each habitat and monitoring period across the Burnett Mary NRM region.</w:t>
        </w:r>
        <w:r w:rsidR="00BD038B">
          <w:rPr>
            <w:noProof/>
            <w:webHidden/>
          </w:rPr>
          <w:tab/>
        </w:r>
        <w:r w:rsidR="00BD038B">
          <w:rPr>
            <w:noProof/>
            <w:webHidden/>
          </w:rPr>
          <w:fldChar w:fldCharType="begin"/>
        </w:r>
        <w:r w:rsidR="00BD038B">
          <w:rPr>
            <w:noProof/>
            <w:webHidden/>
          </w:rPr>
          <w:instrText xml:space="preserve"> PAGEREF _Toc516053325 \h </w:instrText>
        </w:r>
        <w:r w:rsidR="00BD038B">
          <w:rPr>
            <w:noProof/>
            <w:webHidden/>
          </w:rPr>
        </w:r>
        <w:r w:rsidR="00BD038B">
          <w:rPr>
            <w:noProof/>
            <w:webHidden/>
          </w:rPr>
          <w:fldChar w:fldCharType="separate"/>
        </w:r>
        <w:r w:rsidR="00F87DF9">
          <w:rPr>
            <w:noProof/>
            <w:webHidden/>
          </w:rPr>
          <w:t>110</w:t>
        </w:r>
        <w:r w:rsidR="00BD038B">
          <w:rPr>
            <w:noProof/>
            <w:webHidden/>
          </w:rPr>
          <w:fldChar w:fldCharType="end"/>
        </w:r>
      </w:hyperlink>
    </w:p>
    <w:p w14:paraId="24A67EC8" w14:textId="7EADFE7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6" w:history="1">
        <w:r w:rsidR="00BD038B" w:rsidRPr="00763BDE">
          <w:rPr>
            <w:rStyle w:val="Hyperlink"/>
            <w:noProof/>
          </w:rPr>
          <w:t xml:space="preserve">Figure 116. </w:t>
        </w:r>
        <w:r w:rsidR="00BD038B" w:rsidRPr="00763BDE">
          <w:rPr>
            <w:rStyle w:val="Hyperlink"/>
            <w:i/>
            <w:noProof/>
          </w:rPr>
          <w:t>Burnett Mary estuary seed bank and reproductive effort.</w:t>
        </w:r>
        <w:r w:rsidR="00BD038B">
          <w:rPr>
            <w:noProof/>
            <w:webHidden/>
          </w:rPr>
          <w:tab/>
        </w:r>
        <w:r w:rsidR="00BD038B">
          <w:rPr>
            <w:noProof/>
            <w:webHidden/>
          </w:rPr>
          <w:fldChar w:fldCharType="begin"/>
        </w:r>
        <w:r w:rsidR="00BD038B">
          <w:rPr>
            <w:noProof/>
            <w:webHidden/>
          </w:rPr>
          <w:instrText xml:space="preserve"> PAGEREF _Toc516053326 \h </w:instrText>
        </w:r>
        <w:r w:rsidR="00BD038B">
          <w:rPr>
            <w:noProof/>
            <w:webHidden/>
          </w:rPr>
        </w:r>
        <w:r w:rsidR="00BD038B">
          <w:rPr>
            <w:noProof/>
            <w:webHidden/>
          </w:rPr>
          <w:fldChar w:fldCharType="separate"/>
        </w:r>
        <w:r w:rsidR="00F87DF9">
          <w:rPr>
            <w:noProof/>
            <w:webHidden/>
          </w:rPr>
          <w:t>110</w:t>
        </w:r>
        <w:r w:rsidR="00BD038B">
          <w:rPr>
            <w:noProof/>
            <w:webHidden/>
          </w:rPr>
          <w:fldChar w:fldCharType="end"/>
        </w:r>
      </w:hyperlink>
    </w:p>
    <w:p w14:paraId="225A7CC6" w14:textId="0093CA0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7" w:history="1">
        <w:r w:rsidR="00BD038B" w:rsidRPr="00763BDE">
          <w:rPr>
            <w:rStyle w:val="Hyperlink"/>
            <w:noProof/>
          </w:rPr>
          <w:t xml:space="preserve">Figure 117.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seagrass species examined at inshore intertidal habitats in the Burnett Mary region, 2005 - 2016</w:t>
        </w:r>
        <w:r w:rsidR="00BD038B">
          <w:rPr>
            <w:noProof/>
            <w:webHidden/>
          </w:rPr>
          <w:tab/>
        </w:r>
        <w:r w:rsidR="00BD038B">
          <w:rPr>
            <w:noProof/>
            <w:webHidden/>
          </w:rPr>
          <w:fldChar w:fldCharType="begin"/>
        </w:r>
        <w:r w:rsidR="00BD038B">
          <w:rPr>
            <w:noProof/>
            <w:webHidden/>
          </w:rPr>
          <w:instrText xml:space="preserve"> PAGEREF _Toc516053327 \h </w:instrText>
        </w:r>
        <w:r w:rsidR="00BD038B">
          <w:rPr>
            <w:noProof/>
            <w:webHidden/>
          </w:rPr>
        </w:r>
        <w:r w:rsidR="00BD038B">
          <w:rPr>
            <w:noProof/>
            <w:webHidden/>
          </w:rPr>
          <w:fldChar w:fldCharType="separate"/>
        </w:r>
        <w:r w:rsidR="00F87DF9">
          <w:rPr>
            <w:noProof/>
            <w:webHidden/>
          </w:rPr>
          <w:t>111</w:t>
        </w:r>
        <w:r w:rsidR="00BD038B">
          <w:rPr>
            <w:noProof/>
            <w:webHidden/>
          </w:rPr>
          <w:fldChar w:fldCharType="end"/>
        </w:r>
      </w:hyperlink>
    </w:p>
    <w:p w14:paraId="047181AA" w14:textId="3D90045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8" w:history="1">
        <w:r w:rsidR="00BD038B" w:rsidRPr="00763BDE">
          <w:rPr>
            <w:rStyle w:val="Hyperlink"/>
            <w:noProof/>
          </w:rPr>
          <w:t xml:space="preserve">Figure 118. </w:t>
        </w:r>
        <w:r w:rsidR="00BD038B" w:rsidRPr="00763BDE">
          <w:rPr>
            <w:rStyle w:val="Hyperlink"/>
            <w:i/>
            <w:iCs/>
            <w:noProof/>
            <w:lang w:eastAsia="en-AU"/>
          </w:rPr>
          <w:t xml:space="preserve">Elemental ratios (atomic) of seagrass leaf tissue N:P and C:P </w:t>
        </w:r>
        <w:r w:rsidR="00BD038B" w:rsidRPr="00763BDE">
          <w:rPr>
            <w:rStyle w:val="Hyperlink"/>
            <w:i/>
            <w:iCs/>
            <w:noProof/>
          </w:rPr>
          <w:t xml:space="preserve">for the foundation seagrass species </w:t>
        </w:r>
        <w:r w:rsidR="00BD038B" w:rsidRPr="00763BDE">
          <w:rPr>
            <w:rStyle w:val="Hyperlink"/>
            <w:i/>
            <w:noProof/>
          </w:rPr>
          <w:t>examined at inshore intertidal habitats in the Burnett Mary region, 2005 - 2016</w:t>
        </w:r>
        <w:r w:rsidR="00BD038B">
          <w:rPr>
            <w:noProof/>
            <w:webHidden/>
          </w:rPr>
          <w:tab/>
        </w:r>
        <w:r w:rsidR="00BD038B">
          <w:rPr>
            <w:noProof/>
            <w:webHidden/>
          </w:rPr>
          <w:fldChar w:fldCharType="begin"/>
        </w:r>
        <w:r w:rsidR="00BD038B">
          <w:rPr>
            <w:noProof/>
            <w:webHidden/>
          </w:rPr>
          <w:instrText xml:space="preserve"> PAGEREF _Toc516053328 \h </w:instrText>
        </w:r>
        <w:r w:rsidR="00BD038B">
          <w:rPr>
            <w:noProof/>
            <w:webHidden/>
          </w:rPr>
        </w:r>
        <w:r w:rsidR="00BD038B">
          <w:rPr>
            <w:noProof/>
            <w:webHidden/>
          </w:rPr>
          <w:fldChar w:fldCharType="separate"/>
        </w:r>
        <w:r w:rsidR="00F87DF9">
          <w:rPr>
            <w:noProof/>
            <w:webHidden/>
          </w:rPr>
          <w:t>112</w:t>
        </w:r>
        <w:r w:rsidR="00BD038B">
          <w:rPr>
            <w:noProof/>
            <w:webHidden/>
          </w:rPr>
          <w:fldChar w:fldCharType="end"/>
        </w:r>
      </w:hyperlink>
    </w:p>
    <w:p w14:paraId="1188000C" w14:textId="52FE72F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29" w:history="1">
        <w:r w:rsidR="00BD038B" w:rsidRPr="00763BDE">
          <w:rPr>
            <w:rStyle w:val="Hyperlink"/>
            <w:noProof/>
          </w:rPr>
          <w:t xml:space="preserve">Figure 119. </w:t>
        </w:r>
        <w:r w:rsidR="00BD038B" w:rsidRPr="00763BDE">
          <w:rPr>
            <w:rStyle w:val="Hyperlink"/>
            <w:i/>
            <w:noProof/>
          </w:rPr>
          <w:t>Long-term trend in mean epiphyte and macroalgae abundance (per cent cover) relative to the long-term average for each seagrass habitat in the Burnett Mary NRM region</w:t>
        </w:r>
        <w:r w:rsidR="00BD038B">
          <w:rPr>
            <w:noProof/>
            <w:webHidden/>
          </w:rPr>
          <w:tab/>
        </w:r>
        <w:r w:rsidR="00BD038B">
          <w:rPr>
            <w:noProof/>
            <w:webHidden/>
          </w:rPr>
          <w:fldChar w:fldCharType="begin"/>
        </w:r>
        <w:r w:rsidR="00BD038B">
          <w:rPr>
            <w:noProof/>
            <w:webHidden/>
          </w:rPr>
          <w:instrText xml:space="preserve"> PAGEREF _Toc516053329 \h </w:instrText>
        </w:r>
        <w:r w:rsidR="00BD038B">
          <w:rPr>
            <w:noProof/>
            <w:webHidden/>
          </w:rPr>
        </w:r>
        <w:r w:rsidR="00BD038B">
          <w:rPr>
            <w:noProof/>
            <w:webHidden/>
          </w:rPr>
          <w:fldChar w:fldCharType="separate"/>
        </w:r>
        <w:r w:rsidR="00F87DF9">
          <w:rPr>
            <w:noProof/>
            <w:webHidden/>
          </w:rPr>
          <w:t>113</w:t>
        </w:r>
        <w:r w:rsidR="00BD038B">
          <w:rPr>
            <w:noProof/>
            <w:webHidden/>
          </w:rPr>
          <w:fldChar w:fldCharType="end"/>
        </w:r>
      </w:hyperlink>
    </w:p>
    <w:p w14:paraId="2976830F" w14:textId="0AF8E0A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0" w:history="1">
        <w:r w:rsidR="00BD038B" w:rsidRPr="00763BDE">
          <w:rPr>
            <w:rStyle w:val="Hyperlink"/>
            <w:noProof/>
          </w:rPr>
          <w:t xml:space="preserve">Figure 120. </w:t>
        </w:r>
        <w:r w:rsidR="00BD038B" w:rsidRPr="00763BDE">
          <w:rPr>
            <w:rStyle w:val="Hyperlink"/>
            <w:i/>
            <w:noProof/>
          </w:rPr>
          <w:t>Summary of GBR MMP inshore seagrass state illustrating abundance of foundation / colonising species, seed banks and reproductive effort from 2005 to 2017</w:t>
        </w:r>
        <w:r w:rsidR="00BD038B">
          <w:rPr>
            <w:noProof/>
            <w:webHidden/>
          </w:rPr>
          <w:tab/>
        </w:r>
        <w:r w:rsidR="00BD038B">
          <w:rPr>
            <w:noProof/>
            <w:webHidden/>
          </w:rPr>
          <w:fldChar w:fldCharType="begin"/>
        </w:r>
        <w:r w:rsidR="00BD038B">
          <w:rPr>
            <w:noProof/>
            <w:webHidden/>
          </w:rPr>
          <w:instrText xml:space="preserve"> PAGEREF _Toc516053330 \h </w:instrText>
        </w:r>
        <w:r w:rsidR="00BD038B">
          <w:rPr>
            <w:noProof/>
            <w:webHidden/>
          </w:rPr>
        </w:r>
        <w:r w:rsidR="00BD038B">
          <w:rPr>
            <w:noProof/>
            <w:webHidden/>
          </w:rPr>
          <w:fldChar w:fldCharType="separate"/>
        </w:r>
        <w:r w:rsidR="00F87DF9">
          <w:rPr>
            <w:noProof/>
            <w:webHidden/>
          </w:rPr>
          <w:t>116</w:t>
        </w:r>
        <w:r w:rsidR="00BD038B">
          <w:rPr>
            <w:noProof/>
            <w:webHidden/>
          </w:rPr>
          <w:fldChar w:fldCharType="end"/>
        </w:r>
      </w:hyperlink>
    </w:p>
    <w:p w14:paraId="428EA0DA" w14:textId="26CFB99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1" w:history="1">
        <w:r w:rsidR="00BD038B" w:rsidRPr="00763BDE">
          <w:rPr>
            <w:rStyle w:val="Hyperlink"/>
            <w:noProof/>
          </w:rPr>
          <w:t>Figure 121.</w:t>
        </w:r>
        <w:r w:rsidR="00BD038B" w:rsidRPr="00763BDE">
          <w:rPr>
            <w:rStyle w:val="Hyperlink"/>
            <w:noProof/>
            <w:lang w:val="en-US"/>
          </w:rPr>
          <w:t xml:space="preserve"> </w:t>
        </w:r>
        <w:r w:rsidR="00BD038B" w:rsidRPr="00763BDE">
          <w:rPr>
            <w:rStyle w:val="Hyperlink"/>
            <w:i/>
            <w:noProof/>
            <w:lang w:val="en-US"/>
          </w:rPr>
          <w:t xml:space="preserve">Trajectories of tropical cyclones affecting the Great Barrier Reef in </w:t>
        </w:r>
        <w:r w:rsidR="008574EC">
          <w:rPr>
            <w:rStyle w:val="Hyperlink"/>
            <w:i/>
            <w:noProof/>
            <w:lang w:val="en-US"/>
          </w:rPr>
          <w:t>2016–17</w:t>
        </w:r>
        <w:r w:rsidR="00BD038B" w:rsidRPr="00763BDE">
          <w:rPr>
            <w:rStyle w:val="Hyperlink"/>
            <w:i/>
            <w:noProof/>
            <w:lang w:val="en-US"/>
          </w:rPr>
          <w:t xml:space="preserve"> and in previous years</w:t>
        </w:r>
        <w:r w:rsidR="00BD038B">
          <w:rPr>
            <w:noProof/>
            <w:webHidden/>
          </w:rPr>
          <w:tab/>
        </w:r>
        <w:r w:rsidR="00BD038B">
          <w:rPr>
            <w:noProof/>
            <w:webHidden/>
          </w:rPr>
          <w:fldChar w:fldCharType="begin"/>
        </w:r>
        <w:r w:rsidR="00BD038B">
          <w:rPr>
            <w:noProof/>
            <w:webHidden/>
          </w:rPr>
          <w:instrText xml:space="preserve"> PAGEREF _Toc516053331 \h </w:instrText>
        </w:r>
        <w:r w:rsidR="00BD038B">
          <w:rPr>
            <w:noProof/>
            <w:webHidden/>
          </w:rPr>
        </w:r>
        <w:r w:rsidR="00BD038B">
          <w:rPr>
            <w:noProof/>
            <w:webHidden/>
          </w:rPr>
          <w:fldChar w:fldCharType="separate"/>
        </w:r>
        <w:r w:rsidR="00F87DF9">
          <w:rPr>
            <w:noProof/>
            <w:webHidden/>
          </w:rPr>
          <w:t>119</w:t>
        </w:r>
        <w:r w:rsidR="00BD038B">
          <w:rPr>
            <w:noProof/>
            <w:webHidden/>
          </w:rPr>
          <w:fldChar w:fldCharType="end"/>
        </w:r>
      </w:hyperlink>
    </w:p>
    <w:p w14:paraId="74BDB331" w14:textId="5BAFE71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2" w:history="1">
        <w:r w:rsidR="00BD038B" w:rsidRPr="00763BDE">
          <w:rPr>
            <w:rStyle w:val="Hyperlink"/>
            <w:noProof/>
          </w:rPr>
          <w:t xml:space="preserve">Figure 122. </w:t>
        </w:r>
        <w:r w:rsidR="00BD038B" w:rsidRPr="00763BDE">
          <w:rPr>
            <w:rStyle w:val="Hyperlink"/>
            <w:i/>
            <w:noProof/>
          </w:rPr>
          <w:t>Conceptual diagram of reef habitat in the Cape York region</w:t>
        </w:r>
        <w:r w:rsidR="00BD038B">
          <w:rPr>
            <w:noProof/>
            <w:webHidden/>
          </w:rPr>
          <w:tab/>
        </w:r>
        <w:r w:rsidR="00BD038B">
          <w:rPr>
            <w:noProof/>
            <w:webHidden/>
          </w:rPr>
          <w:fldChar w:fldCharType="begin"/>
        </w:r>
        <w:r w:rsidR="00BD038B">
          <w:rPr>
            <w:noProof/>
            <w:webHidden/>
          </w:rPr>
          <w:instrText xml:space="preserve"> PAGEREF _Toc516053332 \h </w:instrText>
        </w:r>
        <w:r w:rsidR="00BD038B">
          <w:rPr>
            <w:noProof/>
            <w:webHidden/>
          </w:rPr>
        </w:r>
        <w:r w:rsidR="00BD038B">
          <w:rPr>
            <w:noProof/>
            <w:webHidden/>
          </w:rPr>
          <w:fldChar w:fldCharType="separate"/>
        </w:r>
        <w:r w:rsidR="00F87DF9">
          <w:rPr>
            <w:noProof/>
            <w:webHidden/>
          </w:rPr>
          <w:t>144</w:t>
        </w:r>
        <w:r w:rsidR="00BD038B">
          <w:rPr>
            <w:noProof/>
            <w:webHidden/>
          </w:rPr>
          <w:fldChar w:fldCharType="end"/>
        </w:r>
      </w:hyperlink>
    </w:p>
    <w:p w14:paraId="2C906380" w14:textId="767204E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3" w:history="1">
        <w:r w:rsidR="00BD038B" w:rsidRPr="00763BDE">
          <w:rPr>
            <w:rStyle w:val="Hyperlink"/>
            <w:noProof/>
          </w:rPr>
          <w:t xml:space="preserve">Figure 123. </w:t>
        </w:r>
        <w:r w:rsidR="00BD038B" w:rsidRPr="00763BDE">
          <w:rPr>
            <w:rStyle w:val="Hyperlink"/>
            <w:i/>
            <w:noProof/>
          </w:rPr>
          <w:t>Conceptual diagram of coastal habitat in the Cape York region</w:t>
        </w:r>
        <w:r w:rsidR="00BD038B">
          <w:rPr>
            <w:noProof/>
            <w:webHidden/>
          </w:rPr>
          <w:tab/>
        </w:r>
        <w:r w:rsidR="00BD038B">
          <w:rPr>
            <w:noProof/>
            <w:webHidden/>
          </w:rPr>
          <w:fldChar w:fldCharType="begin"/>
        </w:r>
        <w:r w:rsidR="00BD038B">
          <w:rPr>
            <w:noProof/>
            <w:webHidden/>
          </w:rPr>
          <w:instrText xml:space="preserve"> PAGEREF _Toc516053333 \h </w:instrText>
        </w:r>
        <w:r w:rsidR="00BD038B">
          <w:rPr>
            <w:noProof/>
            <w:webHidden/>
          </w:rPr>
        </w:r>
        <w:r w:rsidR="00BD038B">
          <w:rPr>
            <w:noProof/>
            <w:webHidden/>
          </w:rPr>
          <w:fldChar w:fldCharType="separate"/>
        </w:r>
        <w:r w:rsidR="00F87DF9">
          <w:rPr>
            <w:noProof/>
            <w:webHidden/>
          </w:rPr>
          <w:t>145</w:t>
        </w:r>
        <w:r w:rsidR="00BD038B">
          <w:rPr>
            <w:noProof/>
            <w:webHidden/>
          </w:rPr>
          <w:fldChar w:fldCharType="end"/>
        </w:r>
      </w:hyperlink>
    </w:p>
    <w:p w14:paraId="3A45F35A" w14:textId="25A1155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4" w:history="1">
        <w:r w:rsidR="00BD038B" w:rsidRPr="00763BDE">
          <w:rPr>
            <w:rStyle w:val="Hyperlink"/>
            <w:noProof/>
          </w:rPr>
          <w:t xml:space="preserve">Figure 124. </w:t>
        </w:r>
        <w:r w:rsidR="00BD038B" w:rsidRPr="00763BDE">
          <w:rPr>
            <w:rStyle w:val="Hyperlink"/>
            <w:i/>
            <w:noProof/>
          </w:rPr>
          <w:t>Conceptual diagram of coastal habitat (&lt;15m) in the Wet Tropics region</w:t>
        </w:r>
        <w:r w:rsidR="00BD038B">
          <w:rPr>
            <w:noProof/>
            <w:webHidden/>
          </w:rPr>
          <w:tab/>
        </w:r>
        <w:r w:rsidR="00BD038B">
          <w:rPr>
            <w:noProof/>
            <w:webHidden/>
          </w:rPr>
          <w:fldChar w:fldCharType="begin"/>
        </w:r>
        <w:r w:rsidR="00BD038B">
          <w:rPr>
            <w:noProof/>
            <w:webHidden/>
          </w:rPr>
          <w:instrText xml:space="preserve"> PAGEREF _Toc516053334 \h </w:instrText>
        </w:r>
        <w:r w:rsidR="00BD038B">
          <w:rPr>
            <w:noProof/>
            <w:webHidden/>
          </w:rPr>
        </w:r>
        <w:r w:rsidR="00BD038B">
          <w:rPr>
            <w:noProof/>
            <w:webHidden/>
          </w:rPr>
          <w:fldChar w:fldCharType="separate"/>
        </w:r>
        <w:r w:rsidR="00F87DF9">
          <w:rPr>
            <w:noProof/>
            <w:webHidden/>
          </w:rPr>
          <w:t>147</w:t>
        </w:r>
        <w:r w:rsidR="00BD038B">
          <w:rPr>
            <w:noProof/>
            <w:webHidden/>
          </w:rPr>
          <w:fldChar w:fldCharType="end"/>
        </w:r>
      </w:hyperlink>
    </w:p>
    <w:p w14:paraId="289592F9" w14:textId="7308C35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5" w:history="1">
        <w:r w:rsidR="00BD038B" w:rsidRPr="00763BDE">
          <w:rPr>
            <w:rStyle w:val="Hyperlink"/>
            <w:noProof/>
          </w:rPr>
          <w:t xml:space="preserve">Figure 125. </w:t>
        </w:r>
        <w:r w:rsidR="00BD038B" w:rsidRPr="00763BDE">
          <w:rPr>
            <w:rStyle w:val="Hyperlink"/>
            <w:i/>
            <w:noProof/>
          </w:rPr>
          <w:t>Conceptual diagram of reef habitat (&lt;15m) in the Wet Tropics region</w:t>
        </w:r>
        <w:r w:rsidR="00BD038B">
          <w:rPr>
            <w:noProof/>
            <w:webHidden/>
          </w:rPr>
          <w:tab/>
        </w:r>
        <w:r w:rsidR="00BD038B">
          <w:rPr>
            <w:noProof/>
            <w:webHidden/>
          </w:rPr>
          <w:fldChar w:fldCharType="begin"/>
        </w:r>
        <w:r w:rsidR="00BD038B">
          <w:rPr>
            <w:noProof/>
            <w:webHidden/>
          </w:rPr>
          <w:instrText xml:space="preserve"> PAGEREF _Toc516053335 \h </w:instrText>
        </w:r>
        <w:r w:rsidR="00BD038B">
          <w:rPr>
            <w:noProof/>
            <w:webHidden/>
          </w:rPr>
        </w:r>
        <w:r w:rsidR="00BD038B">
          <w:rPr>
            <w:noProof/>
            <w:webHidden/>
          </w:rPr>
          <w:fldChar w:fldCharType="separate"/>
        </w:r>
        <w:r w:rsidR="00F87DF9">
          <w:rPr>
            <w:noProof/>
            <w:webHidden/>
          </w:rPr>
          <w:t>148</w:t>
        </w:r>
        <w:r w:rsidR="00BD038B">
          <w:rPr>
            <w:noProof/>
            <w:webHidden/>
          </w:rPr>
          <w:fldChar w:fldCharType="end"/>
        </w:r>
      </w:hyperlink>
    </w:p>
    <w:p w14:paraId="0D3414AE" w14:textId="1BC5E93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6" w:history="1">
        <w:r w:rsidR="00BD038B" w:rsidRPr="00763BDE">
          <w:rPr>
            <w:rStyle w:val="Hyperlink"/>
            <w:noProof/>
          </w:rPr>
          <w:t xml:space="preserve">Figure 126. </w:t>
        </w:r>
        <w:r w:rsidR="00BD038B" w:rsidRPr="00763BDE">
          <w:rPr>
            <w:rStyle w:val="Hyperlink"/>
            <w:i/>
            <w:noProof/>
          </w:rPr>
          <w:t>Conceptual diagram of coastal habitat in the Burdekin region</w:t>
        </w:r>
        <w:r w:rsidR="00BD038B">
          <w:rPr>
            <w:noProof/>
            <w:webHidden/>
          </w:rPr>
          <w:tab/>
        </w:r>
        <w:r w:rsidR="00BD038B">
          <w:rPr>
            <w:noProof/>
            <w:webHidden/>
          </w:rPr>
          <w:fldChar w:fldCharType="begin"/>
        </w:r>
        <w:r w:rsidR="00BD038B">
          <w:rPr>
            <w:noProof/>
            <w:webHidden/>
          </w:rPr>
          <w:instrText xml:space="preserve"> PAGEREF _Toc516053336 \h </w:instrText>
        </w:r>
        <w:r w:rsidR="00BD038B">
          <w:rPr>
            <w:noProof/>
            <w:webHidden/>
          </w:rPr>
        </w:r>
        <w:r w:rsidR="00BD038B">
          <w:rPr>
            <w:noProof/>
            <w:webHidden/>
          </w:rPr>
          <w:fldChar w:fldCharType="separate"/>
        </w:r>
        <w:r w:rsidR="00F87DF9">
          <w:rPr>
            <w:noProof/>
            <w:webHidden/>
          </w:rPr>
          <w:t>150</w:t>
        </w:r>
        <w:r w:rsidR="00BD038B">
          <w:rPr>
            <w:noProof/>
            <w:webHidden/>
          </w:rPr>
          <w:fldChar w:fldCharType="end"/>
        </w:r>
      </w:hyperlink>
    </w:p>
    <w:p w14:paraId="220A0FDC" w14:textId="5BCCEF3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7" w:history="1">
        <w:r w:rsidR="00BD038B" w:rsidRPr="00763BDE">
          <w:rPr>
            <w:rStyle w:val="Hyperlink"/>
            <w:noProof/>
          </w:rPr>
          <w:t xml:space="preserve">Figure 127. </w:t>
        </w:r>
        <w:r w:rsidR="00BD038B" w:rsidRPr="00763BDE">
          <w:rPr>
            <w:rStyle w:val="Hyperlink"/>
            <w:i/>
            <w:noProof/>
          </w:rPr>
          <w:t>Conceptual diagram of fringing reef habitat in the Burdekin region</w:t>
        </w:r>
        <w:r w:rsidR="00BD038B">
          <w:rPr>
            <w:noProof/>
            <w:webHidden/>
          </w:rPr>
          <w:tab/>
        </w:r>
        <w:r w:rsidR="00BD038B">
          <w:rPr>
            <w:noProof/>
            <w:webHidden/>
          </w:rPr>
          <w:fldChar w:fldCharType="begin"/>
        </w:r>
        <w:r w:rsidR="00BD038B">
          <w:rPr>
            <w:noProof/>
            <w:webHidden/>
          </w:rPr>
          <w:instrText xml:space="preserve"> PAGEREF _Toc516053337 \h </w:instrText>
        </w:r>
        <w:r w:rsidR="00BD038B">
          <w:rPr>
            <w:noProof/>
            <w:webHidden/>
          </w:rPr>
        </w:r>
        <w:r w:rsidR="00BD038B">
          <w:rPr>
            <w:noProof/>
            <w:webHidden/>
          </w:rPr>
          <w:fldChar w:fldCharType="separate"/>
        </w:r>
        <w:r w:rsidR="00F87DF9">
          <w:rPr>
            <w:noProof/>
            <w:webHidden/>
          </w:rPr>
          <w:t>150</w:t>
        </w:r>
        <w:r w:rsidR="00BD038B">
          <w:rPr>
            <w:noProof/>
            <w:webHidden/>
          </w:rPr>
          <w:fldChar w:fldCharType="end"/>
        </w:r>
      </w:hyperlink>
    </w:p>
    <w:p w14:paraId="770F2AAF" w14:textId="4BAA5A9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8" w:history="1">
        <w:r w:rsidR="00BD038B" w:rsidRPr="00763BDE">
          <w:rPr>
            <w:rStyle w:val="Hyperlink"/>
            <w:noProof/>
          </w:rPr>
          <w:t xml:space="preserve">Figure 128. </w:t>
        </w:r>
        <w:r w:rsidR="00BD038B" w:rsidRPr="00763BDE">
          <w:rPr>
            <w:rStyle w:val="Hyperlink"/>
            <w:i/>
            <w:noProof/>
          </w:rPr>
          <w:t>Conceptual diagram of estuary habitat in the Mackay Whitsunday region</w:t>
        </w:r>
        <w:r w:rsidR="00BD038B">
          <w:rPr>
            <w:noProof/>
            <w:webHidden/>
          </w:rPr>
          <w:tab/>
        </w:r>
        <w:r w:rsidR="00BD038B">
          <w:rPr>
            <w:noProof/>
            <w:webHidden/>
          </w:rPr>
          <w:fldChar w:fldCharType="begin"/>
        </w:r>
        <w:r w:rsidR="00BD038B">
          <w:rPr>
            <w:noProof/>
            <w:webHidden/>
          </w:rPr>
          <w:instrText xml:space="preserve"> PAGEREF _Toc516053338 \h </w:instrText>
        </w:r>
        <w:r w:rsidR="00BD038B">
          <w:rPr>
            <w:noProof/>
            <w:webHidden/>
          </w:rPr>
        </w:r>
        <w:r w:rsidR="00BD038B">
          <w:rPr>
            <w:noProof/>
            <w:webHidden/>
          </w:rPr>
          <w:fldChar w:fldCharType="separate"/>
        </w:r>
        <w:r w:rsidR="00F87DF9">
          <w:rPr>
            <w:noProof/>
            <w:webHidden/>
          </w:rPr>
          <w:t>152</w:t>
        </w:r>
        <w:r w:rsidR="00BD038B">
          <w:rPr>
            <w:noProof/>
            <w:webHidden/>
          </w:rPr>
          <w:fldChar w:fldCharType="end"/>
        </w:r>
      </w:hyperlink>
    </w:p>
    <w:p w14:paraId="1BE56B85" w14:textId="3341F13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39" w:history="1">
        <w:r w:rsidR="00BD038B" w:rsidRPr="00763BDE">
          <w:rPr>
            <w:rStyle w:val="Hyperlink"/>
            <w:noProof/>
          </w:rPr>
          <w:t xml:space="preserve">Figure 129. </w:t>
        </w:r>
        <w:r w:rsidR="00BD038B" w:rsidRPr="00763BDE">
          <w:rPr>
            <w:rStyle w:val="Hyperlink"/>
            <w:i/>
            <w:noProof/>
          </w:rPr>
          <w:t>Conceptual diagram of coastal habitat in the Mackay Whitsunday region</w:t>
        </w:r>
        <w:r w:rsidR="00BD038B">
          <w:rPr>
            <w:noProof/>
            <w:webHidden/>
          </w:rPr>
          <w:tab/>
        </w:r>
        <w:r w:rsidR="00BD038B">
          <w:rPr>
            <w:noProof/>
            <w:webHidden/>
          </w:rPr>
          <w:fldChar w:fldCharType="begin"/>
        </w:r>
        <w:r w:rsidR="00BD038B">
          <w:rPr>
            <w:noProof/>
            <w:webHidden/>
          </w:rPr>
          <w:instrText xml:space="preserve"> PAGEREF _Toc516053339 \h </w:instrText>
        </w:r>
        <w:r w:rsidR="00BD038B">
          <w:rPr>
            <w:noProof/>
            <w:webHidden/>
          </w:rPr>
        </w:r>
        <w:r w:rsidR="00BD038B">
          <w:rPr>
            <w:noProof/>
            <w:webHidden/>
          </w:rPr>
          <w:fldChar w:fldCharType="separate"/>
        </w:r>
        <w:r w:rsidR="00F87DF9">
          <w:rPr>
            <w:noProof/>
            <w:webHidden/>
          </w:rPr>
          <w:t>152</w:t>
        </w:r>
        <w:r w:rsidR="00BD038B">
          <w:rPr>
            <w:noProof/>
            <w:webHidden/>
          </w:rPr>
          <w:fldChar w:fldCharType="end"/>
        </w:r>
      </w:hyperlink>
    </w:p>
    <w:p w14:paraId="4B5A8F2E" w14:textId="7792F59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0" w:history="1">
        <w:r w:rsidR="00BD038B" w:rsidRPr="00763BDE">
          <w:rPr>
            <w:rStyle w:val="Hyperlink"/>
            <w:noProof/>
          </w:rPr>
          <w:t xml:space="preserve">Figure 130. </w:t>
        </w:r>
        <w:r w:rsidR="00BD038B" w:rsidRPr="00763BDE">
          <w:rPr>
            <w:rStyle w:val="Hyperlink"/>
            <w:i/>
            <w:noProof/>
          </w:rPr>
          <w:t>Conceptual diagram of reef habitat in the Mackay Whitsunday region</w:t>
        </w:r>
        <w:r w:rsidR="00BD038B">
          <w:rPr>
            <w:noProof/>
            <w:webHidden/>
          </w:rPr>
          <w:tab/>
        </w:r>
        <w:r w:rsidR="00BD038B">
          <w:rPr>
            <w:noProof/>
            <w:webHidden/>
          </w:rPr>
          <w:fldChar w:fldCharType="begin"/>
        </w:r>
        <w:r w:rsidR="00BD038B">
          <w:rPr>
            <w:noProof/>
            <w:webHidden/>
          </w:rPr>
          <w:instrText xml:space="preserve"> PAGEREF _Toc516053340 \h </w:instrText>
        </w:r>
        <w:r w:rsidR="00BD038B">
          <w:rPr>
            <w:noProof/>
            <w:webHidden/>
          </w:rPr>
        </w:r>
        <w:r w:rsidR="00BD038B">
          <w:rPr>
            <w:noProof/>
            <w:webHidden/>
          </w:rPr>
          <w:fldChar w:fldCharType="separate"/>
        </w:r>
        <w:r w:rsidR="00F87DF9">
          <w:rPr>
            <w:noProof/>
            <w:webHidden/>
          </w:rPr>
          <w:t>153</w:t>
        </w:r>
        <w:r w:rsidR="00BD038B">
          <w:rPr>
            <w:noProof/>
            <w:webHidden/>
          </w:rPr>
          <w:fldChar w:fldCharType="end"/>
        </w:r>
      </w:hyperlink>
    </w:p>
    <w:p w14:paraId="6C33A496" w14:textId="4A131F6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1" w:history="1">
        <w:r w:rsidR="00BD038B" w:rsidRPr="00763BDE">
          <w:rPr>
            <w:rStyle w:val="Hyperlink"/>
            <w:noProof/>
          </w:rPr>
          <w:t xml:space="preserve">Figure 131. </w:t>
        </w:r>
        <w:r w:rsidR="00BD038B" w:rsidRPr="00763BDE">
          <w:rPr>
            <w:rStyle w:val="Hyperlink"/>
            <w:i/>
            <w:noProof/>
          </w:rPr>
          <w:t>Conceptual diagram of coastal habitat in the Fitzroy region</w:t>
        </w:r>
        <w:r w:rsidR="00BD038B">
          <w:rPr>
            <w:noProof/>
            <w:webHidden/>
          </w:rPr>
          <w:tab/>
        </w:r>
        <w:r w:rsidR="00BD038B">
          <w:rPr>
            <w:noProof/>
            <w:webHidden/>
          </w:rPr>
          <w:fldChar w:fldCharType="begin"/>
        </w:r>
        <w:r w:rsidR="00BD038B">
          <w:rPr>
            <w:noProof/>
            <w:webHidden/>
          </w:rPr>
          <w:instrText xml:space="preserve"> PAGEREF _Toc516053341 \h </w:instrText>
        </w:r>
        <w:r w:rsidR="00BD038B">
          <w:rPr>
            <w:noProof/>
            <w:webHidden/>
          </w:rPr>
        </w:r>
        <w:r w:rsidR="00BD038B">
          <w:rPr>
            <w:noProof/>
            <w:webHidden/>
          </w:rPr>
          <w:fldChar w:fldCharType="separate"/>
        </w:r>
        <w:r w:rsidR="00F87DF9">
          <w:rPr>
            <w:noProof/>
            <w:webHidden/>
          </w:rPr>
          <w:t>155</w:t>
        </w:r>
        <w:r w:rsidR="00BD038B">
          <w:rPr>
            <w:noProof/>
            <w:webHidden/>
          </w:rPr>
          <w:fldChar w:fldCharType="end"/>
        </w:r>
      </w:hyperlink>
    </w:p>
    <w:p w14:paraId="143DF645" w14:textId="209AE80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2" w:history="1">
        <w:r w:rsidR="00BD038B" w:rsidRPr="00763BDE">
          <w:rPr>
            <w:rStyle w:val="Hyperlink"/>
            <w:noProof/>
          </w:rPr>
          <w:t xml:space="preserve">Figure 132. </w:t>
        </w:r>
        <w:r w:rsidR="00BD038B" w:rsidRPr="00763BDE">
          <w:rPr>
            <w:rStyle w:val="Hyperlink"/>
            <w:i/>
            <w:noProof/>
          </w:rPr>
          <w:t>Conceptual diagram of reef habitat in the Fitzroy region</w:t>
        </w:r>
        <w:r w:rsidR="00BD038B">
          <w:rPr>
            <w:noProof/>
            <w:webHidden/>
          </w:rPr>
          <w:tab/>
        </w:r>
        <w:r w:rsidR="00BD038B">
          <w:rPr>
            <w:noProof/>
            <w:webHidden/>
          </w:rPr>
          <w:fldChar w:fldCharType="begin"/>
        </w:r>
        <w:r w:rsidR="00BD038B">
          <w:rPr>
            <w:noProof/>
            <w:webHidden/>
          </w:rPr>
          <w:instrText xml:space="preserve"> PAGEREF _Toc516053342 \h </w:instrText>
        </w:r>
        <w:r w:rsidR="00BD038B">
          <w:rPr>
            <w:noProof/>
            <w:webHidden/>
          </w:rPr>
        </w:r>
        <w:r w:rsidR="00BD038B">
          <w:rPr>
            <w:noProof/>
            <w:webHidden/>
          </w:rPr>
          <w:fldChar w:fldCharType="separate"/>
        </w:r>
        <w:r w:rsidR="00F87DF9">
          <w:rPr>
            <w:noProof/>
            <w:webHidden/>
          </w:rPr>
          <w:t>155</w:t>
        </w:r>
        <w:r w:rsidR="00BD038B">
          <w:rPr>
            <w:noProof/>
            <w:webHidden/>
          </w:rPr>
          <w:fldChar w:fldCharType="end"/>
        </w:r>
      </w:hyperlink>
    </w:p>
    <w:p w14:paraId="281D7E93" w14:textId="112DF50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3" w:history="1">
        <w:r w:rsidR="00BD038B" w:rsidRPr="00763BDE">
          <w:rPr>
            <w:rStyle w:val="Hyperlink"/>
            <w:noProof/>
          </w:rPr>
          <w:t xml:space="preserve">Figure 133. </w:t>
        </w:r>
        <w:r w:rsidR="00BD038B" w:rsidRPr="00763BDE">
          <w:rPr>
            <w:rStyle w:val="Hyperlink"/>
            <w:i/>
            <w:noProof/>
          </w:rPr>
          <w:t>Conceptual diagram of estuary habitat in the Fitzroy region</w:t>
        </w:r>
        <w:r w:rsidR="00BD038B">
          <w:rPr>
            <w:noProof/>
            <w:webHidden/>
          </w:rPr>
          <w:tab/>
        </w:r>
        <w:r w:rsidR="00BD038B">
          <w:rPr>
            <w:noProof/>
            <w:webHidden/>
          </w:rPr>
          <w:fldChar w:fldCharType="begin"/>
        </w:r>
        <w:r w:rsidR="00BD038B">
          <w:rPr>
            <w:noProof/>
            <w:webHidden/>
          </w:rPr>
          <w:instrText xml:space="preserve"> PAGEREF _Toc516053343 \h </w:instrText>
        </w:r>
        <w:r w:rsidR="00BD038B">
          <w:rPr>
            <w:noProof/>
            <w:webHidden/>
          </w:rPr>
        </w:r>
        <w:r w:rsidR="00BD038B">
          <w:rPr>
            <w:noProof/>
            <w:webHidden/>
          </w:rPr>
          <w:fldChar w:fldCharType="separate"/>
        </w:r>
        <w:r w:rsidR="00F87DF9">
          <w:rPr>
            <w:noProof/>
            <w:webHidden/>
          </w:rPr>
          <w:t>156</w:t>
        </w:r>
        <w:r w:rsidR="00BD038B">
          <w:rPr>
            <w:noProof/>
            <w:webHidden/>
          </w:rPr>
          <w:fldChar w:fldCharType="end"/>
        </w:r>
      </w:hyperlink>
    </w:p>
    <w:p w14:paraId="0E8D8826" w14:textId="1006991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4" w:history="1">
        <w:r w:rsidR="00BD038B" w:rsidRPr="00763BDE">
          <w:rPr>
            <w:rStyle w:val="Hyperlink"/>
            <w:noProof/>
          </w:rPr>
          <w:t xml:space="preserve">Figure 134. </w:t>
        </w:r>
        <w:r w:rsidR="00BD038B" w:rsidRPr="00763BDE">
          <w:rPr>
            <w:rStyle w:val="Hyperlink"/>
            <w:i/>
            <w:noProof/>
          </w:rPr>
          <w:t>Conceptual diagram of Estuary habitat in the GBR section of the Burnett Mary region</w:t>
        </w:r>
        <w:r w:rsidR="00BD038B">
          <w:rPr>
            <w:noProof/>
            <w:webHidden/>
          </w:rPr>
          <w:tab/>
        </w:r>
        <w:r w:rsidR="00BD038B">
          <w:rPr>
            <w:noProof/>
            <w:webHidden/>
          </w:rPr>
          <w:fldChar w:fldCharType="begin"/>
        </w:r>
        <w:r w:rsidR="00BD038B">
          <w:rPr>
            <w:noProof/>
            <w:webHidden/>
          </w:rPr>
          <w:instrText xml:space="preserve"> PAGEREF _Toc516053344 \h </w:instrText>
        </w:r>
        <w:r w:rsidR="00BD038B">
          <w:rPr>
            <w:noProof/>
            <w:webHidden/>
          </w:rPr>
        </w:r>
        <w:r w:rsidR="00BD038B">
          <w:rPr>
            <w:noProof/>
            <w:webHidden/>
          </w:rPr>
          <w:fldChar w:fldCharType="separate"/>
        </w:r>
        <w:r w:rsidR="00F87DF9">
          <w:rPr>
            <w:noProof/>
            <w:webHidden/>
          </w:rPr>
          <w:t>158</w:t>
        </w:r>
        <w:r w:rsidR="00BD038B">
          <w:rPr>
            <w:noProof/>
            <w:webHidden/>
          </w:rPr>
          <w:fldChar w:fldCharType="end"/>
        </w:r>
      </w:hyperlink>
    </w:p>
    <w:p w14:paraId="66ACDCDD" w14:textId="1FCE702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5" w:history="1">
        <w:r w:rsidR="00BD038B" w:rsidRPr="00763BDE">
          <w:rPr>
            <w:rStyle w:val="Hyperlink"/>
            <w:noProof/>
          </w:rPr>
          <w:t xml:space="preserve">Figure 135. </w:t>
        </w:r>
        <w:r w:rsidR="00BD038B" w:rsidRPr="00763BDE">
          <w:rPr>
            <w:rStyle w:val="Hyperlink"/>
            <w:i/>
            <w:noProof/>
          </w:rPr>
          <w:t>Conceptual diagram of Coastal habitat in the Burnett Mary region</w:t>
        </w:r>
        <w:r w:rsidR="00BD038B">
          <w:rPr>
            <w:noProof/>
            <w:webHidden/>
          </w:rPr>
          <w:tab/>
        </w:r>
        <w:r w:rsidR="00BD038B">
          <w:rPr>
            <w:noProof/>
            <w:webHidden/>
          </w:rPr>
          <w:fldChar w:fldCharType="begin"/>
        </w:r>
        <w:r w:rsidR="00BD038B">
          <w:rPr>
            <w:noProof/>
            <w:webHidden/>
          </w:rPr>
          <w:instrText xml:space="preserve"> PAGEREF _Toc516053345 \h </w:instrText>
        </w:r>
        <w:r w:rsidR="00BD038B">
          <w:rPr>
            <w:noProof/>
            <w:webHidden/>
          </w:rPr>
        </w:r>
        <w:r w:rsidR="00BD038B">
          <w:rPr>
            <w:noProof/>
            <w:webHidden/>
          </w:rPr>
          <w:fldChar w:fldCharType="separate"/>
        </w:r>
        <w:r w:rsidR="00F87DF9">
          <w:rPr>
            <w:noProof/>
            <w:webHidden/>
          </w:rPr>
          <w:t>158</w:t>
        </w:r>
        <w:r w:rsidR="00BD038B">
          <w:rPr>
            <w:noProof/>
            <w:webHidden/>
          </w:rPr>
          <w:fldChar w:fldCharType="end"/>
        </w:r>
      </w:hyperlink>
    </w:p>
    <w:p w14:paraId="10A1F9EE" w14:textId="17F87CF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6" w:history="1">
        <w:r w:rsidR="00BD038B" w:rsidRPr="00763BDE">
          <w:rPr>
            <w:rStyle w:val="Hyperlink"/>
            <w:noProof/>
          </w:rPr>
          <w:t>Figure 136.</w:t>
        </w:r>
        <w:r w:rsidR="00BD038B" w:rsidRPr="00763BDE">
          <w:rPr>
            <w:rStyle w:val="Hyperlink"/>
            <w:i/>
            <w:noProof/>
          </w:rPr>
          <w:t xml:space="preserve"> Key to symbols used for conceptual diagrams detailing drivers and pressures to seagrasses.</w:t>
        </w:r>
        <w:r w:rsidR="00BD038B">
          <w:rPr>
            <w:noProof/>
            <w:webHidden/>
          </w:rPr>
          <w:tab/>
        </w:r>
        <w:r w:rsidR="00BD038B">
          <w:rPr>
            <w:noProof/>
            <w:webHidden/>
          </w:rPr>
          <w:fldChar w:fldCharType="begin"/>
        </w:r>
        <w:r w:rsidR="00BD038B">
          <w:rPr>
            <w:noProof/>
            <w:webHidden/>
          </w:rPr>
          <w:instrText xml:space="preserve"> PAGEREF _Toc516053346 \h </w:instrText>
        </w:r>
        <w:r w:rsidR="00BD038B">
          <w:rPr>
            <w:noProof/>
            <w:webHidden/>
          </w:rPr>
        </w:r>
        <w:r w:rsidR="00BD038B">
          <w:rPr>
            <w:noProof/>
            <w:webHidden/>
          </w:rPr>
          <w:fldChar w:fldCharType="separate"/>
        </w:r>
        <w:r w:rsidR="00F87DF9">
          <w:rPr>
            <w:noProof/>
            <w:webHidden/>
          </w:rPr>
          <w:t>159</w:t>
        </w:r>
        <w:r w:rsidR="00BD038B">
          <w:rPr>
            <w:noProof/>
            <w:webHidden/>
          </w:rPr>
          <w:fldChar w:fldCharType="end"/>
        </w:r>
      </w:hyperlink>
    </w:p>
    <w:p w14:paraId="30FDEBAA" w14:textId="39BF816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7" w:history="1">
        <w:r w:rsidR="00BD038B" w:rsidRPr="00763BDE">
          <w:rPr>
            <w:rStyle w:val="Hyperlink"/>
            <w:noProof/>
          </w:rPr>
          <w:t xml:space="preserve">Figure 137. </w:t>
        </w:r>
        <w:r w:rsidR="00BD038B" w:rsidRPr="00763BDE">
          <w:rPr>
            <w:rStyle w:val="Hyperlink"/>
            <w:i/>
            <w:noProof/>
          </w:rPr>
          <w:t>Inshore seagrass monitoring sites for the Reef Rescue Marine Monitoring Program.</w:t>
        </w:r>
        <w:r w:rsidR="00BD038B">
          <w:rPr>
            <w:noProof/>
            <w:webHidden/>
          </w:rPr>
          <w:tab/>
        </w:r>
        <w:r w:rsidR="00BD038B">
          <w:rPr>
            <w:noProof/>
            <w:webHidden/>
          </w:rPr>
          <w:fldChar w:fldCharType="begin"/>
        </w:r>
        <w:r w:rsidR="00BD038B">
          <w:rPr>
            <w:noProof/>
            <w:webHidden/>
          </w:rPr>
          <w:instrText xml:space="preserve"> PAGEREF _Toc516053347 \h </w:instrText>
        </w:r>
        <w:r w:rsidR="00BD038B">
          <w:rPr>
            <w:noProof/>
            <w:webHidden/>
          </w:rPr>
        </w:r>
        <w:r w:rsidR="00BD038B">
          <w:rPr>
            <w:noProof/>
            <w:webHidden/>
          </w:rPr>
          <w:fldChar w:fldCharType="separate"/>
        </w:r>
        <w:r w:rsidR="00F87DF9">
          <w:rPr>
            <w:noProof/>
            <w:webHidden/>
          </w:rPr>
          <w:t>167</w:t>
        </w:r>
        <w:r w:rsidR="00BD038B">
          <w:rPr>
            <w:noProof/>
            <w:webHidden/>
          </w:rPr>
          <w:fldChar w:fldCharType="end"/>
        </w:r>
      </w:hyperlink>
    </w:p>
    <w:p w14:paraId="1846A82F" w14:textId="4EBBE71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8" w:history="1">
        <w:r w:rsidR="00BD038B" w:rsidRPr="00763BDE">
          <w:rPr>
            <w:rStyle w:val="Hyperlink"/>
            <w:noProof/>
          </w:rPr>
          <w:t xml:space="preserve">Figure 138. Form and size of reproductive structure of the seagrasses collected: </w:t>
        </w:r>
        <w:r w:rsidR="00BD038B" w:rsidRPr="00763BDE">
          <w:rPr>
            <w:rStyle w:val="Hyperlink"/>
            <w:i/>
            <w:noProof/>
          </w:rPr>
          <w:t>Halophila ovalis</w:t>
        </w:r>
        <w:r w:rsidR="00BD038B" w:rsidRPr="00763BDE">
          <w:rPr>
            <w:rStyle w:val="Hyperlink"/>
            <w:noProof/>
          </w:rPr>
          <w:t xml:space="preserve">, </w:t>
        </w:r>
        <w:r w:rsidR="00BD038B" w:rsidRPr="00763BDE">
          <w:rPr>
            <w:rStyle w:val="Hyperlink"/>
            <w:i/>
            <w:noProof/>
          </w:rPr>
          <w:t>Halodule uninervis</w:t>
        </w:r>
        <w:r w:rsidR="00BD038B" w:rsidRPr="00763BDE">
          <w:rPr>
            <w:rStyle w:val="Hyperlink"/>
            <w:noProof/>
          </w:rPr>
          <w:t xml:space="preserve"> and </w:t>
        </w:r>
        <w:r w:rsidR="00BD038B" w:rsidRPr="00763BDE">
          <w:rPr>
            <w:rStyle w:val="Hyperlink"/>
            <w:i/>
            <w:noProof/>
          </w:rPr>
          <w:t>Zostera muelleri</w:t>
        </w:r>
        <w:r w:rsidR="00BD038B" w:rsidRPr="00763BDE">
          <w:rPr>
            <w:rStyle w:val="Hyperlink"/>
            <w:noProof/>
          </w:rPr>
          <w:t xml:space="preserve"> subsp. </w:t>
        </w:r>
        <w:r w:rsidR="00BD038B" w:rsidRPr="00763BDE">
          <w:rPr>
            <w:rStyle w:val="Hyperlink"/>
            <w:i/>
            <w:noProof/>
          </w:rPr>
          <w:t>capricorni</w:t>
        </w:r>
        <w:r w:rsidR="00BD038B">
          <w:rPr>
            <w:noProof/>
            <w:webHidden/>
          </w:rPr>
          <w:tab/>
        </w:r>
        <w:r w:rsidR="00BD038B">
          <w:rPr>
            <w:noProof/>
            <w:webHidden/>
          </w:rPr>
          <w:fldChar w:fldCharType="begin"/>
        </w:r>
        <w:r w:rsidR="00BD038B">
          <w:rPr>
            <w:noProof/>
            <w:webHidden/>
          </w:rPr>
          <w:instrText xml:space="preserve"> PAGEREF _Toc516053348 \h </w:instrText>
        </w:r>
        <w:r w:rsidR="00BD038B">
          <w:rPr>
            <w:noProof/>
            <w:webHidden/>
          </w:rPr>
        </w:r>
        <w:r w:rsidR="00BD038B">
          <w:rPr>
            <w:noProof/>
            <w:webHidden/>
          </w:rPr>
          <w:fldChar w:fldCharType="separate"/>
        </w:r>
        <w:r w:rsidR="00F87DF9">
          <w:rPr>
            <w:noProof/>
            <w:webHidden/>
          </w:rPr>
          <w:t>173</w:t>
        </w:r>
        <w:r w:rsidR="00BD038B">
          <w:rPr>
            <w:noProof/>
            <w:webHidden/>
          </w:rPr>
          <w:fldChar w:fldCharType="end"/>
        </w:r>
      </w:hyperlink>
    </w:p>
    <w:p w14:paraId="69AEDB3A" w14:textId="1CA9317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49" w:history="1">
        <w:r w:rsidR="00BD038B" w:rsidRPr="00763BDE">
          <w:rPr>
            <w:rStyle w:val="Hyperlink"/>
            <w:noProof/>
          </w:rPr>
          <w:t xml:space="preserve">Figure 139. </w:t>
        </w:r>
        <w:r w:rsidR="00BD038B" w:rsidRPr="00763BDE">
          <w:rPr>
            <w:rStyle w:val="Hyperlink"/>
            <w:i/>
            <w:noProof/>
          </w:rPr>
          <w:t>Relationship between sample size and the error in estimation of percentile values for seagrass abundance ( per cent cover) in coastal and reef seagrass habitats in the Wet Tropics NRM.</w:t>
        </w:r>
        <w:r w:rsidR="00BD038B">
          <w:rPr>
            <w:noProof/>
            <w:webHidden/>
          </w:rPr>
          <w:tab/>
        </w:r>
        <w:r w:rsidR="00BD038B">
          <w:rPr>
            <w:noProof/>
            <w:webHidden/>
          </w:rPr>
          <w:fldChar w:fldCharType="begin"/>
        </w:r>
        <w:r w:rsidR="00BD038B">
          <w:rPr>
            <w:noProof/>
            <w:webHidden/>
          </w:rPr>
          <w:instrText xml:space="preserve"> PAGEREF _Toc516053349 \h </w:instrText>
        </w:r>
        <w:r w:rsidR="00BD038B">
          <w:rPr>
            <w:noProof/>
            <w:webHidden/>
          </w:rPr>
        </w:r>
        <w:r w:rsidR="00BD038B">
          <w:rPr>
            <w:noProof/>
            <w:webHidden/>
          </w:rPr>
          <w:fldChar w:fldCharType="separate"/>
        </w:r>
        <w:r w:rsidR="00F87DF9">
          <w:rPr>
            <w:noProof/>
            <w:webHidden/>
          </w:rPr>
          <w:t>177</w:t>
        </w:r>
        <w:r w:rsidR="00BD038B">
          <w:rPr>
            <w:noProof/>
            <w:webHidden/>
          </w:rPr>
          <w:fldChar w:fldCharType="end"/>
        </w:r>
      </w:hyperlink>
    </w:p>
    <w:p w14:paraId="741D3D33" w14:textId="6EE5497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0" w:history="1">
        <w:r w:rsidR="00BD038B" w:rsidRPr="00763BDE">
          <w:rPr>
            <w:rStyle w:val="Hyperlink"/>
            <w:noProof/>
          </w:rPr>
          <w:t>Figure 140.</w:t>
        </w:r>
        <w:r w:rsidR="00BD038B" w:rsidRPr="00763BDE">
          <w:rPr>
            <w:rStyle w:val="Hyperlink"/>
            <w:i/>
            <w:noProof/>
          </w:rPr>
          <w:t xml:space="preserve"> Median seagrass abundance ( per cent cover) at Yule Point (left) and Green Island (right) plotted against the 50</w:t>
        </w:r>
        <w:r w:rsidR="00BD038B" w:rsidRPr="00763BDE">
          <w:rPr>
            <w:rStyle w:val="Hyperlink"/>
            <w:i/>
            <w:noProof/>
            <w:vertAlign w:val="superscript"/>
          </w:rPr>
          <w:t>th</w:t>
        </w:r>
        <w:r w:rsidR="00BD038B" w:rsidRPr="00763BDE">
          <w:rPr>
            <w:rStyle w:val="Hyperlink"/>
            <w:i/>
            <w:noProof/>
          </w:rPr>
          <w:t xml:space="preserve"> and 20</w:t>
        </w:r>
        <w:r w:rsidR="00BD038B" w:rsidRPr="00763BDE">
          <w:rPr>
            <w:rStyle w:val="Hyperlink"/>
            <w:i/>
            <w:noProof/>
            <w:vertAlign w:val="superscript"/>
          </w:rPr>
          <w:t>th</w:t>
        </w:r>
        <w:r w:rsidR="00BD038B" w:rsidRPr="00763BDE">
          <w:rPr>
            <w:rStyle w:val="Hyperlink"/>
            <w:i/>
            <w:noProof/>
          </w:rPr>
          <w:t xml:space="preserve"> percentiles for coastal and intertidal reef seagrass habitat in the Wet Tropics.</w:t>
        </w:r>
        <w:r w:rsidR="00BD038B">
          <w:rPr>
            <w:noProof/>
            <w:webHidden/>
          </w:rPr>
          <w:tab/>
        </w:r>
        <w:r w:rsidR="00BD038B">
          <w:rPr>
            <w:noProof/>
            <w:webHidden/>
          </w:rPr>
          <w:fldChar w:fldCharType="begin"/>
        </w:r>
        <w:r w:rsidR="00BD038B">
          <w:rPr>
            <w:noProof/>
            <w:webHidden/>
          </w:rPr>
          <w:instrText xml:space="preserve"> PAGEREF _Toc516053350 \h </w:instrText>
        </w:r>
        <w:r w:rsidR="00BD038B">
          <w:rPr>
            <w:noProof/>
            <w:webHidden/>
          </w:rPr>
        </w:r>
        <w:r w:rsidR="00BD038B">
          <w:rPr>
            <w:noProof/>
            <w:webHidden/>
          </w:rPr>
          <w:fldChar w:fldCharType="separate"/>
        </w:r>
        <w:r w:rsidR="00F87DF9">
          <w:rPr>
            <w:noProof/>
            <w:webHidden/>
          </w:rPr>
          <w:t>178</w:t>
        </w:r>
        <w:r w:rsidR="00BD038B">
          <w:rPr>
            <w:noProof/>
            <w:webHidden/>
          </w:rPr>
          <w:fldChar w:fldCharType="end"/>
        </w:r>
      </w:hyperlink>
    </w:p>
    <w:p w14:paraId="20C1B468" w14:textId="4EFB77A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1" w:history="1">
        <w:r w:rsidR="00BD038B" w:rsidRPr="00763BDE">
          <w:rPr>
            <w:rStyle w:val="Hyperlink"/>
            <w:noProof/>
            <w:lang w:val="en-GB"/>
          </w:rPr>
          <w:t xml:space="preserve">Figure 141. </w:t>
        </w:r>
        <w:r w:rsidR="00BD038B" w:rsidRPr="00763BDE">
          <w:rPr>
            <w:rStyle w:val="Hyperlink"/>
            <w:i/>
            <w:noProof/>
            <w:lang w:val="en-GB"/>
          </w:rPr>
          <w:t>Number of days wind speed is above 25 km. hr</w:t>
        </w:r>
        <w:r w:rsidR="00BD038B" w:rsidRPr="00763BDE">
          <w:rPr>
            <w:rStyle w:val="Hyperlink"/>
            <w:i/>
            <w:noProof/>
            <w:vertAlign w:val="superscript"/>
            <w:lang w:val="en-GB"/>
          </w:rPr>
          <w:t>-1</w:t>
        </w:r>
        <w:r w:rsidR="00BD038B" w:rsidRPr="00763BDE">
          <w:rPr>
            <w:rStyle w:val="Hyperlink"/>
            <w:i/>
            <w:noProof/>
            <w:lang w:val="en-GB"/>
          </w:rPr>
          <w:t xml:space="preserve"> each monitoring period in the Cape York NRM region.</w:t>
        </w:r>
        <w:r w:rsidR="00BD038B">
          <w:rPr>
            <w:noProof/>
            <w:webHidden/>
          </w:rPr>
          <w:tab/>
        </w:r>
        <w:r w:rsidR="00BD038B">
          <w:rPr>
            <w:noProof/>
            <w:webHidden/>
          </w:rPr>
          <w:fldChar w:fldCharType="begin"/>
        </w:r>
        <w:r w:rsidR="00BD038B">
          <w:rPr>
            <w:noProof/>
            <w:webHidden/>
          </w:rPr>
          <w:instrText xml:space="preserve"> PAGEREF _Toc516053351 \h </w:instrText>
        </w:r>
        <w:r w:rsidR="00BD038B">
          <w:rPr>
            <w:noProof/>
            <w:webHidden/>
          </w:rPr>
        </w:r>
        <w:r w:rsidR="00BD038B">
          <w:rPr>
            <w:noProof/>
            <w:webHidden/>
          </w:rPr>
          <w:fldChar w:fldCharType="separate"/>
        </w:r>
        <w:r w:rsidR="00F87DF9">
          <w:rPr>
            <w:noProof/>
            <w:webHidden/>
          </w:rPr>
          <w:t>190</w:t>
        </w:r>
        <w:r w:rsidR="00BD038B">
          <w:rPr>
            <w:noProof/>
            <w:webHidden/>
          </w:rPr>
          <w:fldChar w:fldCharType="end"/>
        </w:r>
      </w:hyperlink>
    </w:p>
    <w:p w14:paraId="4232BC65" w14:textId="298E356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2" w:history="1">
        <w:r w:rsidR="00BD038B" w:rsidRPr="00763BDE">
          <w:rPr>
            <w:rStyle w:val="Hyperlink"/>
            <w:noProof/>
          </w:rPr>
          <w:t xml:space="preserve">Figure 142. </w:t>
        </w:r>
        <w:r w:rsidR="00BD038B" w:rsidRPr="00763BDE">
          <w:rPr>
            <w:rStyle w:val="Hyperlink"/>
            <w:i/>
            <w:noProof/>
          </w:rPr>
          <w:t>Number of days wind speed is above 25 km. hr</w:t>
        </w:r>
        <w:r w:rsidR="00BD038B" w:rsidRPr="00763BDE">
          <w:rPr>
            <w:rStyle w:val="Hyperlink"/>
            <w:i/>
            <w:noProof/>
            <w:vertAlign w:val="superscript"/>
          </w:rPr>
          <w:t>-1</w:t>
        </w:r>
        <w:r w:rsidR="00BD038B" w:rsidRPr="00763BDE">
          <w:rPr>
            <w:rStyle w:val="Hyperlink"/>
            <w:i/>
            <w:noProof/>
          </w:rPr>
          <w:t xml:space="preserve"> each monitoring period in the Wet Tropics NRM region.</w:t>
        </w:r>
        <w:r w:rsidR="00BD038B">
          <w:rPr>
            <w:noProof/>
            <w:webHidden/>
          </w:rPr>
          <w:tab/>
        </w:r>
        <w:r w:rsidR="00BD038B">
          <w:rPr>
            <w:noProof/>
            <w:webHidden/>
          </w:rPr>
          <w:fldChar w:fldCharType="begin"/>
        </w:r>
        <w:r w:rsidR="00BD038B">
          <w:rPr>
            <w:noProof/>
            <w:webHidden/>
          </w:rPr>
          <w:instrText xml:space="preserve"> PAGEREF _Toc516053352 \h </w:instrText>
        </w:r>
        <w:r w:rsidR="00BD038B">
          <w:rPr>
            <w:noProof/>
            <w:webHidden/>
          </w:rPr>
        </w:r>
        <w:r w:rsidR="00BD038B">
          <w:rPr>
            <w:noProof/>
            <w:webHidden/>
          </w:rPr>
          <w:fldChar w:fldCharType="separate"/>
        </w:r>
        <w:r w:rsidR="00F87DF9">
          <w:rPr>
            <w:noProof/>
            <w:webHidden/>
          </w:rPr>
          <w:t>190</w:t>
        </w:r>
        <w:r w:rsidR="00BD038B">
          <w:rPr>
            <w:noProof/>
            <w:webHidden/>
          </w:rPr>
          <w:fldChar w:fldCharType="end"/>
        </w:r>
      </w:hyperlink>
    </w:p>
    <w:p w14:paraId="2F723487" w14:textId="56F7C73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3" w:history="1">
        <w:r w:rsidR="00BD038B" w:rsidRPr="00763BDE">
          <w:rPr>
            <w:rStyle w:val="Hyperlink"/>
            <w:noProof/>
            <w:lang w:val="en-GB"/>
          </w:rPr>
          <w:t xml:space="preserve">Figure 143. </w:t>
        </w:r>
        <w:r w:rsidR="00BD038B" w:rsidRPr="00763BDE">
          <w:rPr>
            <w:rStyle w:val="Hyperlink"/>
            <w:i/>
            <w:noProof/>
            <w:lang w:val="en-GB"/>
          </w:rPr>
          <w:t>Number of days wind speed is above 25 km. hr</w:t>
        </w:r>
        <w:r w:rsidR="00BD038B" w:rsidRPr="00763BDE">
          <w:rPr>
            <w:rStyle w:val="Hyperlink"/>
            <w:i/>
            <w:noProof/>
            <w:vertAlign w:val="superscript"/>
            <w:lang w:val="en-GB"/>
          </w:rPr>
          <w:t>-1</w:t>
        </w:r>
        <w:r w:rsidR="00BD038B" w:rsidRPr="00763BDE">
          <w:rPr>
            <w:rStyle w:val="Hyperlink"/>
            <w:i/>
            <w:noProof/>
            <w:lang w:val="en-GB"/>
          </w:rPr>
          <w:t xml:space="preserve"> each monitoring period in the Burdekin NRM region.</w:t>
        </w:r>
        <w:r w:rsidR="00BD038B">
          <w:rPr>
            <w:noProof/>
            <w:webHidden/>
          </w:rPr>
          <w:tab/>
        </w:r>
        <w:r w:rsidR="00BD038B">
          <w:rPr>
            <w:noProof/>
            <w:webHidden/>
          </w:rPr>
          <w:fldChar w:fldCharType="begin"/>
        </w:r>
        <w:r w:rsidR="00BD038B">
          <w:rPr>
            <w:noProof/>
            <w:webHidden/>
          </w:rPr>
          <w:instrText xml:space="preserve"> PAGEREF _Toc516053353 \h </w:instrText>
        </w:r>
        <w:r w:rsidR="00BD038B">
          <w:rPr>
            <w:noProof/>
            <w:webHidden/>
          </w:rPr>
        </w:r>
        <w:r w:rsidR="00BD038B">
          <w:rPr>
            <w:noProof/>
            <w:webHidden/>
          </w:rPr>
          <w:fldChar w:fldCharType="separate"/>
        </w:r>
        <w:r w:rsidR="00F87DF9">
          <w:rPr>
            <w:noProof/>
            <w:webHidden/>
          </w:rPr>
          <w:t>191</w:t>
        </w:r>
        <w:r w:rsidR="00BD038B">
          <w:rPr>
            <w:noProof/>
            <w:webHidden/>
          </w:rPr>
          <w:fldChar w:fldCharType="end"/>
        </w:r>
      </w:hyperlink>
    </w:p>
    <w:p w14:paraId="4B55DD9C" w14:textId="38335D0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4" w:history="1">
        <w:r w:rsidR="00BD038B" w:rsidRPr="00763BDE">
          <w:rPr>
            <w:rStyle w:val="Hyperlink"/>
            <w:noProof/>
            <w:lang w:val="en-GB"/>
          </w:rPr>
          <w:t xml:space="preserve">Figure 144. </w:t>
        </w:r>
        <w:r w:rsidR="00BD038B" w:rsidRPr="00763BDE">
          <w:rPr>
            <w:rStyle w:val="Hyperlink"/>
            <w:i/>
            <w:noProof/>
            <w:lang w:val="en-GB"/>
          </w:rPr>
          <w:t>Number of days wind speed is above 25 km. hr</w:t>
        </w:r>
        <w:r w:rsidR="00BD038B" w:rsidRPr="00763BDE">
          <w:rPr>
            <w:rStyle w:val="Hyperlink"/>
            <w:i/>
            <w:noProof/>
            <w:vertAlign w:val="superscript"/>
            <w:lang w:val="en-GB"/>
          </w:rPr>
          <w:t>-1</w:t>
        </w:r>
        <w:r w:rsidR="00BD038B" w:rsidRPr="00763BDE">
          <w:rPr>
            <w:rStyle w:val="Hyperlink"/>
            <w:i/>
            <w:noProof/>
            <w:lang w:val="en-GB"/>
          </w:rPr>
          <w:t xml:space="preserve"> each monitoring period in the Mackay Whitsunday NRM region.</w:t>
        </w:r>
        <w:r w:rsidR="00BD038B">
          <w:rPr>
            <w:noProof/>
            <w:webHidden/>
          </w:rPr>
          <w:tab/>
        </w:r>
        <w:r w:rsidR="00BD038B">
          <w:rPr>
            <w:noProof/>
            <w:webHidden/>
          </w:rPr>
          <w:fldChar w:fldCharType="begin"/>
        </w:r>
        <w:r w:rsidR="00BD038B">
          <w:rPr>
            <w:noProof/>
            <w:webHidden/>
          </w:rPr>
          <w:instrText xml:space="preserve"> PAGEREF _Toc516053354 \h </w:instrText>
        </w:r>
        <w:r w:rsidR="00BD038B">
          <w:rPr>
            <w:noProof/>
            <w:webHidden/>
          </w:rPr>
        </w:r>
        <w:r w:rsidR="00BD038B">
          <w:rPr>
            <w:noProof/>
            <w:webHidden/>
          </w:rPr>
          <w:fldChar w:fldCharType="separate"/>
        </w:r>
        <w:r w:rsidR="00F87DF9">
          <w:rPr>
            <w:noProof/>
            <w:webHidden/>
          </w:rPr>
          <w:t>191</w:t>
        </w:r>
        <w:r w:rsidR="00BD038B">
          <w:rPr>
            <w:noProof/>
            <w:webHidden/>
          </w:rPr>
          <w:fldChar w:fldCharType="end"/>
        </w:r>
      </w:hyperlink>
    </w:p>
    <w:p w14:paraId="382376D9" w14:textId="54A3BBA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5" w:history="1">
        <w:r w:rsidR="00BD038B" w:rsidRPr="00763BDE">
          <w:rPr>
            <w:rStyle w:val="Hyperlink"/>
            <w:noProof/>
            <w:lang w:val="en-GB"/>
          </w:rPr>
          <w:t xml:space="preserve">Figure 145. </w:t>
        </w:r>
        <w:r w:rsidR="00BD038B" w:rsidRPr="00763BDE">
          <w:rPr>
            <w:rStyle w:val="Hyperlink"/>
            <w:i/>
            <w:noProof/>
            <w:lang w:val="en-GB"/>
          </w:rPr>
          <w:t>Number of days wind speed is above 25 km. hr</w:t>
        </w:r>
        <w:r w:rsidR="00BD038B" w:rsidRPr="00763BDE">
          <w:rPr>
            <w:rStyle w:val="Hyperlink"/>
            <w:i/>
            <w:noProof/>
            <w:vertAlign w:val="superscript"/>
            <w:lang w:val="en-GB"/>
          </w:rPr>
          <w:t>-1</w:t>
        </w:r>
        <w:r w:rsidR="00BD038B" w:rsidRPr="00763BDE">
          <w:rPr>
            <w:rStyle w:val="Hyperlink"/>
            <w:i/>
            <w:noProof/>
            <w:lang w:val="en-GB"/>
          </w:rPr>
          <w:t xml:space="preserve"> each monitoring period in the Fitzroy NRM region.</w:t>
        </w:r>
        <w:r w:rsidR="00BD038B">
          <w:rPr>
            <w:noProof/>
            <w:webHidden/>
          </w:rPr>
          <w:tab/>
        </w:r>
        <w:r w:rsidR="00BD038B">
          <w:rPr>
            <w:noProof/>
            <w:webHidden/>
          </w:rPr>
          <w:fldChar w:fldCharType="begin"/>
        </w:r>
        <w:r w:rsidR="00BD038B">
          <w:rPr>
            <w:noProof/>
            <w:webHidden/>
          </w:rPr>
          <w:instrText xml:space="preserve"> PAGEREF _Toc516053355 \h </w:instrText>
        </w:r>
        <w:r w:rsidR="00BD038B">
          <w:rPr>
            <w:noProof/>
            <w:webHidden/>
          </w:rPr>
        </w:r>
        <w:r w:rsidR="00BD038B">
          <w:rPr>
            <w:noProof/>
            <w:webHidden/>
          </w:rPr>
          <w:fldChar w:fldCharType="separate"/>
        </w:r>
        <w:r w:rsidR="00F87DF9">
          <w:rPr>
            <w:noProof/>
            <w:webHidden/>
          </w:rPr>
          <w:t>192</w:t>
        </w:r>
        <w:r w:rsidR="00BD038B">
          <w:rPr>
            <w:noProof/>
            <w:webHidden/>
          </w:rPr>
          <w:fldChar w:fldCharType="end"/>
        </w:r>
      </w:hyperlink>
    </w:p>
    <w:p w14:paraId="4393401E" w14:textId="73B3A96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6" w:history="1">
        <w:r w:rsidR="00BD038B" w:rsidRPr="00763BDE">
          <w:rPr>
            <w:rStyle w:val="Hyperlink"/>
            <w:noProof/>
            <w:lang w:val="en-GB"/>
          </w:rPr>
          <w:t xml:space="preserve">Figure 146. </w:t>
        </w:r>
        <w:r w:rsidR="00BD038B" w:rsidRPr="00763BDE">
          <w:rPr>
            <w:rStyle w:val="Hyperlink"/>
            <w:i/>
            <w:noProof/>
            <w:lang w:val="en-GB"/>
          </w:rPr>
          <w:t>Number of days wind speed is above 25 km. hr</w:t>
        </w:r>
        <w:r w:rsidR="00BD038B" w:rsidRPr="00763BDE">
          <w:rPr>
            <w:rStyle w:val="Hyperlink"/>
            <w:i/>
            <w:noProof/>
            <w:vertAlign w:val="superscript"/>
            <w:lang w:val="en-GB"/>
          </w:rPr>
          <w:t>-1</w:t>
        </w:r>
        <w:r w:rsidR="00BD038B" w:rsidRPr="00763BDE">
          <w:rPr>
            <w:rStyle w:val="Hyperlink"/>
            <w:i/>
            <w:noProof/>
            <w:lang w:val="en-GB"/>
          </w:rPr>
          <w:t xml:space="preserve"> each monitoring period in the Burnett Mary NRM region.</w:t>
        </w:r>
        <w:r w:rsidR="00BD038B">
          <w:rPr>
            <w:noProof/>
            <w:webHidden/>
          </w:rPr>
          <w:tab/>
        </w:r>
        <w:r w:rsidR="00BD038B">
          <w:rPr>
            <w:noProof/>
            <w:webHidden/>
          </w:rPr>
          <w:fldChar w:fldCharType="begin"/>
        </w:r>
        <w:r w:rsidR="00BD038B">
          <w:rPr>
            <w:noProof/>
            <w:webHidden/>
          </w:rPr>
          <w:instrText xml:space="preserve"> PAGEREF _Toc516053356 \h </w:instrText>
        </w:r>
        <w:r w:rsidR="00BD038B">
          <w:rPr>
            <w:noProof/>
            <w:webHidden/>
          </w:rPr>
        </w:r>
        <w:r w:rsidR="00BD038B">
          <w:rPr>
            <w:noProof/>
            <w:webHidden/>
          </w:rPr>
          <w:fldChar w:fldCharType="separate"/>
        </w:r>
        <w:r w:rsidR="00F87DF9">
          <w:rPr>
            <w:noProof/>
            <w:webHidden/>
          </w:rPr>
          <w:t>192</w:t>
        </w:r>
        <w:r w:rsidR="00BD038B">
          <w:rPr>
            <w:noProof/>
            <w:webHidden/>
          </w:rPr>
          <w:fldChar w:fldCharType="end"/>
        </w:r>
      </w:hyperlink>
    </w:p>
    <w:p w14:paraId="030F9E36" w14:textId="303D5C7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7" w:history="1">
        <w:r w:rsidR="00BD038B" w:rsidRPr="00763BDE">
          <w:rPr>
            <w:rStyle w:val="Hyperlink"/>
            <w:noProof/>
          </w:rPr>
          <w:t xml:space="preserve">Figure 147. </w:t>
        </w:r>
        <w:r w:rsidR="00BD038B" w:rsidRPr="00763BDE">
          <w:rPr>
            <w:rStyle w:val="Hyperlink"/>
            <w:i/>
            <w:noProof/>
          </w:rPr>
          <w:t>Annual daytime tidal exposure (total hours) and long-term median (dashed line) of intertidal reef seagrass meadows at Archer Point, Cape York NRM region; 2011 - 2016</w:t>
        </w:r>
        <w:r w:rsidR="00BD038B">
          <w:rPr>
            <w:noProof/>
            <w:webHidden/>
          </w:rPr>
          <w:tab/>
        </w:r>
        <w:r w:rsidR="00BD038B">
          <w:rPr>
            <w:noProof/>
            <w:webHidden/>
          </w:rPr>
          <w:fldChar w:fldCharType="begin"/>
        </w:r>
        <w:r w:rsidR="00BD038B">
          <w:rPr>
            <w:noProof/>
            <w:webHidden/>
          </w:rPr>
          <w:instrText xml:space="preserve"> PAGEREF _Toc516053357 \h </w:instrText>
        </w:r>
        <w:r w:rsidR="00BD038B">
          <w:rPr>
            <w:noProof/>
            <w:webHidden/>
          </w:rPr>
        </w:r>
        <w:r w:rsidR="00BD038B">
          <w:rPr>
            <w:noProof/>
            <w:webHidden/>
          </w:rPr>
          <w:fldChar w:fldCharType="separate"/>
        </w:r>
        <w:r w:rsidR="00F87DF9">
          <w:rPr>
            <w:noProof/>
            <w:webHidden/>
          </w:rPr>
          <w:t>194</w:t>
        </w:r>
        <w:r w:rsidR="00BD038B">
          <w:rPr>
            <w:noProof/>
            <w:webHidden/>
          </w:rPr>
          <w:fldChar w:fldCharType="end"/>
        </w:r>
      </w:hyperlink>
    </w:p>
    <w:p w14:paraId="093532E5" w14:textId="015D6BF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8" w:history="1">
        <w:r w:rsidR="00BD038B" w:rsidRPr="00763BDE">
          <w:rPr>
            <w:rStyle w:val="Hyperlink"/>
            <w:noProof/>
          </w:rPr>
          <w:t xml:space="preserve">Figure 148. </w:t>
        </w:r>
        <w:r w:rsidR="00BD038B" w:rsidRPr="00763BDE">
          <w:rPr>
            <w:rStyle w:val="Hyperlink"/>
            <w:i/>
            <w:noProof/>
          </w:rPr>
          <w:t>Annual daytime tidal exposure (total hours) and long-term median (dashed line) of intertidal reef seagrass meadows in the Wet Tropics NRM region; 1999 - 2016.</w:t>
        </w:r>
        <w:r w:rsidR="00BD038B">
          <w:rPr>
            <w:noProof/>
            <w:webHidden/>
          </w:rPr>
          <w:tab/>
        </w:r>
        <w:r w:rsidR="00BD038B">
          <w:rPr>
            <w:noProof/>
            <w:webHidden/>
          </w:rPr>
          <w:fldChar w:fldCharType="begin"/>
        </w:r>
        <w:r w:rsidR="00BD038B">
          <w:rPr>
            <w:noProof/>
            <w:webHidden/>
          </w:rPr>
          <w:instrText xml:space="preserve"> PAGEREF _Toc516053358 \h </w:instrText>
        </w:r>
        <w:r w:rsidR="00BD038B">
          <w:rPr>
            <w:noProof/>
            <w:webHidden/>
          </w:rPr>
        </w:r>
        <w:r w:rsidR="00BD038B">
          <w:rPr>
            <w:noProof/>
            <w:webHidden/>
          </w:rPr>
          <w:fldChar w:fldCharType="separate"/>
        </w:r>
        <w:r w:rsidR="00F87DF9">
          <w:rPr>
            <w:noProof/>
            <w:webHidden/>
          </w:rPr>
          <w:t>194</w:t>
        </w:r>
        <w:r w:rsidR="00BD038B">
          <w:rPr>
            <w:noProof/>
            <w:webHidden/>
          </w:rPr>
          <w:fldChar w:fldCharType="end"/>
        </w:r>
      </w:hyperlink>
    </w:p>
    <w:p w14:paraId="58EE344A" w14:textId="465CB10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59" w:history="1">
        <w:r w:rsidR="00BD038B" w:rsidRPr="00763BDE">
          <w:rPr>
            <w:rStyle w:val="Hyperlink"/>
            <w:noProof/>
          </w:rPr>
          <w:t xml:space="preserve">Figure 149. </w:t>
        </w:r>
        <w:r w:rsidR="00BD038B" w:rsidRPr="00763BDE">
          <w:rPr>
            <w:rStyle w:val="Hyperlink"/>
            <w:i/>
            <w:noProof/>
          </w:rPr>
          <w:t>Annual daytime tidal exposure (total hours) and long-term median (dashed line) of intertidal coastal seagrass meadows in Wet Tropics NRM region; 1999 - 2016.</w:t>
        </w:r>
        <w:r w:rsidR="00BD038B">
          <w:rPr>
            <w:noProof/>
            <w:webHidden/>
          </w:rPr>
          <w:tab/>
        </w:r>
        <w:r w:rsidR="00BD038B">
          <w:rPr>
            <w:noProof/>
            <w:webHidden/>
          </w:rPr>
          <w:fldChar w:fldCharType="begin"/>
        </w:r>
        <w:r w:rsidR="00BD038B">
          <w:rPr>
            <w:noProof/>
            <w:webHidden/>
          </w:rPr>
          <w:instrText xml:space="preserve"> PAGEREF _Toc516053359 \h </w:instrText>
        </w:r>
        <w:r w:rsidR="00BD038B">
          <w:rPr>
            <w:noProof/>
            <w:webHidden/>
          </w:rPr>
        </w:r>
        <w:r w:rsidR="00BD038B">
          <w:rPr>
            <w:noProof/>
            <w:webHidden/>
          </w:rPr>
          <w:fldChar w:fldCharType="separate"/>
        </w:r>
        <w:r w:rsidR="00F87DF9">
          <w:rPr>
            <w:noProof/>
            <w:webHidden/>
          </w:rPr>
          <w:t>194</w:t>
        </w:r>
        <w:r w:rsidR="00BD038B">
          <w:rPr>
            <w:noProof/>
            <w:webHidden/>
          </w:rPr>
          <w:fldChar w:fldCharType="end"/>
        </w:r>
      </w:hyperlink>
    </w:p>
    <w:p w14:paraId="4558D516" w14:textId="6BE01DF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0" w:history="1">
        <w:r w:rsidR="00BD038B" w:rsidRPr="00763BDE">
          <w:rPr>
            <w:rStyle w:val="Hyperlink"/>
            <w:noProof/>
          </w:rPr>
          <w:t xml:space="preserve">Figure 150. </w:t>
        </w:r>
        <w:r w:rsidR="00BD038B" w:rsidRPr="00763BDE">
          <w:rPr>
            <w:rStyle w:val="Hyperlink"/>
            <w:i/>
            <w:noProof/>
          </w:rPr>
          <w:t>Annual daytime tidal exposure (total hours) and long-term median (dashed line) of intertidal coastal seagrass meadows in Burdekin NRM region; 2000 - 2016.</w:t>
        </w:r>
        <w:r w:rsidR="00BD038B">
          <w:rPr>
            <w:noProof/>
            <w:webHidden/>
          </w:rPr>
          <w:tab/>
        </w:r>
        <w:r w:rsidR="00BD038B">
          <w:rPr>
            <w:noProof/>
            <w:webHidden/>
          </w:rPr>
          <w:fldChar w:fldCharType="begin"/>
        </w:r>
        <w:r w:rsidR="00BD038B">
          <w:rPr>
            <w:noProof/>
            <w:webHidden/>
          </w:rPr>
          <w:instrText xml:space="preserve"> PAGEREF _Toc516053360 \h </w:instrText>
        </w:r>
        <w:r w:rsidR="00BD038B">
          <w:rPr>
            <w:noProof/>
            <w:webHidden/>
          </w:rPr>
        </w:r>
        <w:r w:rsidR="00BD038B">
          <w:rPr>
            <w:noProof/>
            <w:webHidden/>
          </w:rPr>
          <w:fldChar w:fldCharType="separate"/>
        </w:r>
        <w:r w:rsidR="00F87DF9">
          <w:rPr>
            <w:noProof/>
            <w:webHidden/>
          </w:rPr>
          <w:t>195</w:t>
        </w:r>
        <w:r w:rsidR="00BD038B">
          <w:rPr>
            <w:noProof/>
            <w:webHidden/>
          </w:rPr>
          <w:fldChar w:fldCharType="end"/>
        </w:r>
      </w:hyperlink>
    </w:p>
    <w:p w14:paraId="7BF39238" w14:textId="48BF91A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1" w:history="1">
        <w:r w:rsidR="00BD038B" w:rsidRPr="00763BDE">
          <w:rPr>
            <w:rStyle w:val="Hyperlink"/>
            <w:noProof/>
          </w:rPr>
          <w:t xml:space="preserve">Figure 151. </w:t>
        </w:r>
        <w:r w:rsidR="00BD038B" w:rsidRPr="00763BDE">
          <w:rPr>
            <w:rStyle w:val="Hyperlink"/>
            <w:i/>
            <w:noProof/>
          </w:rPr>
          <w:t>Annual daytime tidal exposure (total hours) and long-term median (dashed line) of intertidal reef seagrass meadows in Burdekin NRM region; 2000 - 2016.</w:t>
        </w:r>
        <w:r w:rsidR="00BD038B">
          <w:rPr>
            <w:noProof/>
            <w:webHidden/>
          </w:rPr>
          <w:tab/>
        </w:r>
        <w:r w:rsidR="00BD038B">
          <w:rPr>
            <w:noProof/>
            <w:webHidden/>
          </w:rPr>
          <w:fldChar w:fldCharType="begin"/>
        </w:r>
        <w:r w:rsidR="00BD038B">
          <w:rPr>
            <w:noProof/>
            <w:webHidden/>
          </w:rPr>
          <w:instrText xml:space="preserve"> PAGEREF _Toc516053361 \h </w:instrText>
        </w:r>
        <w:r w:rsidR="00BD038B">
          <w:rPr>
            <w:noProof/>
            <w:webHidden/>
          </w:rPr>
        </w:r>
        <w:r w:rsidR="00BD038B">
          <w:rPr>
            <w:noProof/>
            <w:webHidden/>
          </w:rPr>
          <w:fldChar w:fldCharType="separate"/>
        </w:r>
        <w:r w:rsidR="00F87DF9">
          <w:rPr>
            <w:noProof/>
            <w:webHidden/>
          </w:rPr>
          <w:t>195</w:t>
        </w:r>
        <w:r w:rsidR="00BD038B">
          <w:rPr>
            <w:noProof/>
            <w:webHidden/>
          </w:rPr>
          <w:fldChar w:fldCharType="end"/>
        </w:r>
      </w:hyperlink>
    </w:p>
    <w:p w14:paraId="4A3D5765" w14:textId="493E11A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2" w:history="1">
        <w:r w:rsidR="00BD038B" w:rsidRPr="00763BDE">
          <w:rPr>
            <w:rStyle w:val="Hyperlink"/>
            <w:noProof/>
          </w:rPr>
          <w:t xml:space="preserve">Figure 152. </w:t>
        </w:r>
        <w:r w:rsidR="00BD038B" w:rsidRPr="00763BDE">
          <w:rPr>
            <w:rStyle w:val="Hyperlink"/>
            <w:i/>
            <w:noProof/>
          </w:rPr>
          <w:t>Annual daytime tidal exposure (total hours) and long-term median (dashed line) of intertidal estuarine (a, b) coastal (c, d) and reef (e, f) seagrass meadows in Mackay Whitsunday NRM region; 1999 - 2016.</w:t>
        </w:r>
        <w:r w:rsidR="00BD038B">
          <w:rPr>
            <w:noProof/>
            <w:webHidden/>
          </w:rPr>
          <w:tab/>
        </w:r>
        <w:r w:rsidR="00BD038B">
          <w:rPr>
            <w:noProof/>
            <w:webHidden/>
          </w:rPr>
          <w:fldChar w:fldCharType="begin"/>
        </w:r>
        <w:r w:rsidR="00BD038B">
          <w:rPr>
            <w:noProof/>
            <w:webHidden/>
          </w:rPr>
          <w:instrText xml:space="preserve"> PAGEREF _Toc516053362 \h </w:instrText>
        </w:r>
        <w:r w:rsidR="00BD038B">
          <w:rPr>
            <w:noProof/>
            <w:webHidden/>
          </w:rPr>
        </w:r>
        <w:r w:rsidR="00BD038B">
          <w:rPr>
            <w:noProof/>
            <w:webHidden/>
          </w:rPr>
          <w:fldChar w:fldCharType="separate"/>
        </w:r>
        <w:r w:rsidR="00F87DF9">
          <w:rPr>
            <w:noProof/>
            <w:webHidden/>
          </w:rPr>
          <w:t>195</w:t>
        </w:r>
        <w:r w:rsidR="00BD038B">
          <w:rPr>
            <w:noProof/>
            <w:webHidden/>
          </w:rPr>
          <w:fldChar w:fldCharType="end"/>
        </w:r>
      </w:hyperlink>
    </w:p>
    <w:p w14:paraId="2E4E8AA5" w14:textId="74E4761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3" w:history="1">
        <w:r w:rsidR="00BD038B" w:rsidRPr="00763BDE">
          <w:rPr>
            <w:rStyle w:val="Hyperlink"/>
            <w:noProof/>
          </w:rPr>
          <w:t xml:space="preserve">Figure 153. </w:t>
        </w:r>
        <w:r w:rsidR="00BD038B" w:rsidRPr="00763BDE">
          <w:rPr>
            <w:rStyle w:val="Hyperlink"/>
            <w:i/>
            <w:noProof/>
          </w:rPr>
          <w:t>Annual daytime tidal exposure (total hours) and long-term median (dashed line) of intertidal estuarine (a, b) coastal (c, d) and reef (e, f) seagrass meadows in the Fitzroy NRM region; 1999 - 2016.</w:t>
        </w:r>
        <w:r w:rsidR="00BD038B">
          <w:rPr>
            <w:noProof/>
            <w:webHidden/>
          </w:rPr>
          <w:tab/>
        </w:r>
        <w:r w:rsidR="00BD038B">
          <w:rPr>
            <w:noProof/>
            <w:webHidden/>
          </w:rPr>
          <w:fldChar w:fldCharType="begin"/>
        </w:r>
        <w:r w:rsidR="00BD038B">
          <w:rPr>
            <w:noProof/>
            <w:webHidden/>
          </w:rPr>
          <w:instrText xml:space="preserve"> PAGEREF _Toc516053363 \h </w:instrText>
        </w:r>
        <w:r w:rsidR="00BD038B">
          <w:rPr>
            <w:noProof/>
            <w:webHidden/>
          </w:rPr>
        </w:r>
        <w:r w:rsidR="00BD038B">
          <w:rPr>
            <w:noProof/>
            <w:webHidden/>
          </w:rPr>
          <w:fldChar w:fldCharType="separate"/>
        </w:r>
        <w:r w:rsidR="00F87DF9">
          <w:rPr>
            <w:noProof/>
            <w:webHidden/>
          </w:rPr>
          <w:t>196</w:t>
        </w:r>
        <w:r w:rsidR="00BD038B">
          <w:rPr>
            <w:noProof/>
            <w:webHidden/>
          </w:rPr>
          <w:fldChar w:fldCharType="end"/>
        </w:r>
      </w:hyperlink>
    </w:p>
    <w:p w14:paraId="1629A453" w14:textId="6EBA099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4" w:history="1">
        <w:r w:rsidR="00BD038B" w:rsidRPr="00763BDE">
          <w:rPr>
            <w:rStyle w:val="Hyperlink"/>
            <w:noProof/>
          </w:rPr>
          <w:t xml:space="preserve">Figure 154. </w:t>
        </w:r>
        <w:r w:rsidR="00BD038B" w:rsidRPr="00763BDE">
          <w:rPr>
            <w:rStyle w:val="Hyperlink"/>
            <w:i/>
            <w:noProof/>
          </w:rPr>
          <w:t>Annual daytime tidal exposure (total hours) and long-term median (dashed line) of intertidal estuarine seagrass meadows in the Burnett Mary NRM region; 1999 - 2016.</w:t>
        </w:r>
        <w:r w:rsidR="00BD038B">
          <w:rPr>
            <w:noProof/>
            <w:webHidden/>
          </w:rPr>
          <w:tab/>
        </w:r>
        <w:r w:rsidR="00BD038B">
          <w:rPr>
            <w:noProof/>
            <w:webHidden/>
          </w:rPr>
          <w:fldChar w:fldCharType="begin"/>
        </w:r>
        <w:r w:rsidR="00BD038B">
          <w:rPr>
            <w:noProof/>
            <w:webHidden/>
          </w:rPr>
          <w:instrText xml:space="preserve"> PAGEREF _Toc516053364 \h </w:instrText>
        </w:r>
        <w:r w:rsidR="00BD038B">
          <w:rPr>
            <w:noProof/>
            <w:webHidden/>
          </w:rPr>
        </w:r>
        <w:r w:rsidR="00BD038B">
          <w:rPr>
            <w:noProof/>
            <w:webHidden/>
          </w:rPr>
          <w:fldChar w:fldCharType="separate"/>
        </w:r>
        <w:r w:rsidR="00F87DF9">
          <w:rPr>
            <w:noProof/>
            <w:webHidden/>
          </w:rPr>
          <w:t>196</w:t>
        </w:r>
        <w:r w:rsidR="00BD038B">
          <w:rPr>
            <w:noProof/>
            <w:webHidden/>
          </w:rPr>
          <w:fldChar w:fldCharType="end"/>
        </w:r>
      </w:hyperlink>
    </w:p>
    <w:p w14:paraId="5691C976" w14:textId="1BD3C6D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5" w:history="1">
        <w:r w:rsidR="00BD038B" w:rsidRPr="00763BDE">
          <w:rPr>
            <w:rStyle w:val="Hyperlink"/>
            <w:noProof/>
          </w:rPr>
          <w:t xml:space="preserve">Figure 155. </w:t>
        </w:r>
        <w:r w:rsidR="00BD038B" w:rsidRPr="00763BDE">
          <w:rPr>
            <w:rStyle w:val="Hyperlink"/>
            <w:i/>
            <w:noProof/>
          </w:rPr>
          <w:t>Daily light (28-day rolling average) at Cape York locations</w:t>
        </w:r>
        <w:r w:rsidR="00BD038B">
          <w:rPr>
            <w:noProof/>
            <w:webHidden/>
          </w:rPr>
          <w:tab/>
        </w:r>
        <w:r w:rsidR="00BD038B">
          <w:rPr>
            <w:noProof/>
            <w:webHidden/>
          </w:rPr>
          <w:fldChar w:fldCharType="begin"/>
        </w:r>
        <w:r w:rsidR="00BD038B">
          <w:rPr>
            <w:noProof/>
            <w:webHidden/>
          </w:rPr>
          <w:instrText xml:space="preserve"> PAGEREF _Toc516053365 \h </w:instrText>
        </w:r>
        <w:r w:rsidR="00BD038B">
          <w:rPr>
            <w:noProof/>
            <w:webHidden/>
          </w:rPr>
        </w:r>
        <w:r w:rsidR="00BD038B">
          <w:rPr>
            <w:noProof/>
            <w:webHidden/>
          </w:rPr>
          <w:fldChar w:fldCharType="separate"/>
        </w:r>
        <w:r w:rsidR="00F87DF9">
          <w:rPr>
            <w:noProof/>
            <w:webHidden/>
          </w:rPr>
          <w:t>197</w:t>
        </w:r>
        <w:r w:rsidR="00BD038B">
          <w:rPr>
            <w:noProof/>
            <w:webHidden/>
          </w:rPr>
          <w:fldChar w:fldCharType="end"/>
        </w:r>
      </w:hyperlink>
    </w:p>
    <w:p w14:paraId="31EA8E62" w14:textId="4047636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6" w:history="1">
        <w:r w:rsidR="00BD038B" w:rsidRPr="00763BDE">
          <w:rPr>
            <w:rStyle w:val="Hyperlink"/>
            <w:noProof/>
          </w:rPr>
          <w:t xml:space="preserve">Figure 156. </w:t>
        </w:r>
        <w:r w:rsidR="00BD038B" w:rsidRPr="00763BDE">
          <w:rPr>
            <w:rStyle w:val="Hyperlink"/>
            <w:i/>
            <w:noProof/>
          </w:rPr>
          <w:t>Daily light (yellow line) and 28-day rolling average (orange, bold line) for locations in the northern Wet Tropics</w:t>
        </w:r>
        <w:r w:rsidR="00BD038B">
          <w:rPr>
            <w:noProof/>
            <w:webHidden/>
          </w:rPr>
          <w:tab/>
        </w:r>
        <w:r w:rsidR="00BD038B">
          <w:rPr>
            <w:noProof/>
            <w:webHidden/>
          </w:rPr>
          <w:fldChar w:fldCharType="begin"/>
        </w:r>
        <w:r w:rsidR="00BD038B">
          <w:rPr>
            <w:noProof/>
            <w:webHidden/>
          </w:rPr>
          <w:instrText xml:space="preserve"> PAGEREF _Toc516053366 \h </w:instrText>
        </w:r>
        <w:r w:rsidR="00BD038B">
          <w:rPr>
            <w:noProof/>
            <w:webHidden/>
          </w:rPr>
        </w:r>
        <w:r w:rsidR="00BD038B">
          <w:rPr>
            <w:noProof/>
            <w:webHidden/>
          </w:rPr>
          <w:fldChar w:fldCharType="separate"/>
        </w:r>
        <w:r w:rsidR="00F87DF9">
          <w:rPr>
            <w:noProof/>
            <w:webHidden/>
          </w:rPr>
          <w:t>198</w:t>
        </w:r>
        <w:r w:rsidR="00BD038B">
          <w:rPr>
            <w:noProof/>
            <w:webHidden/>
          </w:rPr>
          <w:fldChar w:fldCharType="end"/>
        </w:r>
      </w:hyperlink>
    </w:p>
    <w:p w14:paraId="0E650944" w14:textId="2098EAF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7" w:history="1">
        <w:r w:rsidR="00BD038B" w:rsidRPr="00763BDE">
          <w:rPr>
            <w:rStyle w:val="Hyperlink"/>
            <w:noProof/>
          </w:rPr>
          <w:t xml:space="preserve">Figure 157. </w:t>
        </w:r>
        <w:r w:rsidR="00BD038B" w:rsidRPr="00763BDE">
          <w:rPr>
            <w:rStyle w:val="Hyperlink"/>
            <w:i/>
            <w:noProof/>
          </w:rPr>
          <w:t>Daily light (yellow line) and 28-day rolling average (orange, bold line) for locations in the southern Wet Tropics</w:t>
        </w:r>
        <w:r w:rsidR="00BD038B">
          <w:rPr>
            <w:noProof/>
            <w:webHidden/>
          </w:rPr>
          <w:tab/>
        </w:r>
        <w:r w:rsidR="00BD038B">
          <w:rPr>
            <w:noProof/>
            <w:webHidden/>
          </w:rPr>
          <w:fldChar w:fldCharType="begin"/>
        </w:r>
        <w:r w:rsidR="00BD038B">
          <w:rPr>
            <w:noProof/>
            <w:webHidden/>
          </w:rPr>
          <w:instrText xml:space="preserve"> PAGEREF _Toc516053367 \h </w:instrText>
        </w:r>
        <w:r w:rsidR="00BD038B">
          <w:rPr>
            <w:noProof/>
            <w:webHidden/>
          </w:rPr>
        </w:r>
        <w:r w:rsidR="00BD038B">
          <w:rPr>
            <w:noProof/>
            <w:webHidden/>
          </w:rPr>
          <w:fldChar w:fldCharType="separate"/>
        </w:r>
        <w:r w:rsidR="00F87DF9">
          <w:rPr>
            <w:noProof/>
            <w:webHidden/>
          </w:rPr>
          <w:t>199</w:t>
        </w:r>
        <w:r w:rsidR="00BD038B">
          <w:rPr>
            <w:noProof/>
            <w:webHidden/>
          </w:rPr>
          <w:fldChar w:fldCharType="end"/>
        </w:r>
      </w:hyperlink>
    </w:p>
    <w:p w14:paraId="55212A01" w14:textId="7389D09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8" w:history="1">
        <w:r w:rsidR="00BD038B" w:rsidRPr="00763BDE">
          <w:rPr>
            <w:rStyle w:val="Hyperlink"/>
            <w:noProof/>
          </w:rPr>
          <w:t xml:space="preserve">Figure 158. </w:t>
        </w:r>
        <w:r w:rsidR="00BD038B" w:rsidRPr="00763BDE">
          <w:rPr>
            <w:rStyle w:val="Hyperlink"/>
            <w:i/>
            <w:noProof/>
          </w:rPr>
          <w:t>Daily light (yellow line) and 28-day rolling average (orange, bold line) at locations in the Burdekin region</w:t>
        </w:r>
        <w:r w:rsidR="00BD038B">
          <w:rPr>
            <w:noProof/>
            <w:webHidden/>
          </w:rPr>
          <w:tab/>
        </w:r>
        <w:r w:rsidR="00BD038B">
          <w:rPr>
            <w:noProof/>
            <w:webHidden/>
          </w:rPr>
          <w:fldChar w:fldCharType="begin"/>
        </w:r>
        <w:r w:rsidR="00BD038B">
          <w:rPr>
            <w:noProof/>
            <w:webHidden/>
          </w:rPr>
          <w:instrText xml:space="preserve"> PAGEREF _Toc516053368 \h </w:instrText>
        </w:r>
        <w:r w:rsidR="00BD038B">
          <w:rPr>
            <w:noProof/>
            <w:webHidden/>
          </w:rPr>
        </w:r>
        <w:r w:rsidR="00BD038B">
          <w:rPr>
            <w:noProof/>
            <w:webHidden/>
          </w:rPr>
          <w:fldChar w:fldCharType="separate"/>
        </w:r>
        <w:r w:rsidR="00F87DF9">
          <w:rPr>
            <w:noProof/>
            <w:webHidden/>
          </w:rPr>
          <w:t>200</w:t>
        </w:r>
        <w:r w:rsidR="00BD038B">
          <w:rPr>
            <w:noProof/>
            <w:webHidden/>
          </w:rPr>
          <w:fldChar w:fldCharType="end"/>
        </w:r>
      </w:hyperlink>
    </w:p>
    <w:p w14:paraId="745539F5" w14:textId="7F927F5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69" w:history="1">
        <w:r w:rsidR="00BD038B" w:rsidRPr="00763BDE">
          <w:rPr>
            <w:rStyle w:val="Hyperlink"/>
            <w:noProof/>
            <w:lang w:val="en-GB"/>
          </w:rPr>
          <w:t>Figure 159.</w:t>
        </w:r>
        <w:r w:rsidR="00BD038B" w:rsidRPr="00763BDE">
          <w:rPr>
            <w:rStyle w:val="Hyperlink"/>
            <w:i/>
            <w:noProof/>
          </w:rPr>
          <w:t xml:space="preserve"> Daily light (yellow line) and 28-day rolling average (orange, bold line) at Mackay Whitsunday habitats.</w:t>
        </w:r>
        <w:r w:rsidR="00BD038B">
          <w:rPr>
            <w:noProof/>
            <w:webHidden/>
          </w:rPr>
          <w:tab/>
        </w:r>
        <w:r w:rsidR="00BD038B">
          <w:rPr>
            <w:noProof/>
            <w:webHidden/>
          </w:rPr>
          <w:fldChar w:fldCharType="begin"/>
        </w:r>
        <w:r w:rsidR="00BD038B">
          <w:rPr>
            <w:noProof/>
            <w:webHidden/>
          </w:rPr>
          <w:instrText xml:space="preserve"> PAGEREF _Toc516053369 \h </w:instrText>
        </w:r>
        <w:r w:rsidR="00BD038B">
          <w:rPr>
            <w:noProof/>
            <w:webHidden/>
          </w:rPr>
        </w:r>
        <w:r w:rsidR="00BD038B">
          <w:rPr>
            <w:noProof/>
            <w:webHidden/>
          </w:rPr>
          <w:fldChar w:fldCharType="separate"/>
        </w:r>
        <w:r w:rsidR="00F87DF9">
          <w:rPr>
            <w:noProof/>
            <w:webHidden/>
          </w:rPr>
          <w:t>201</w:t>
        </w:r>
        <w:r w:rsidR="00BD038B">
          <w:rPr>
            <w:noProof/>
            <w:webHidden/>
          </w:rPr>
          <w:fldChar w:fldCharType="end"/>
        </w:r>
      </w:hyperlink>
    </w:p>
    <w:p w14:paraId="049D64CB" w14:textId="6EB8348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0" w:history="1">
        <w:r w:rsidR="00BD038B" w:rsidRPr="00763BDE">
          <w:rPr>
            <w:rStyle w:val="Hyperlink"/>
            <w:noProof/>
          </w:rPr>
          <w:t xml:space="preserve">Figure 160. </w:t>
        </w:r>
        <w:r w:rsidR="00BD038B" w:rsidRPr="00763BDE">
          <w:rPr>
            <w:rStyle w:val="Hyperlink"/>
            <w:i/>
            <w:noProof/>
          </w:rPr>
          <w:t>Daily light (yellow line) and 28-day rolling average (orange, bold line) at monitoring locations in the Fitzroy NRM region</w:t>
        </w:r>
        <w:r w:rsidR="00BD038B">
          <w:rPr>
            <w:noProof/>
            <w:webHidden/>
          </w:rPr>
          <w:tab/>
        </w:r>
        <w:r w:rsidR="00BD038B">
          <w:rPr>
            <w:noProof/>
            <w:webHidden/>
          </w:rPr>
          <w:fldChar w:fldCharType="begin"/>
        </w:r>
        <w:r w:rsidR="00BD038B">
          <w:rPr>
            <w:noProof/>
            <w:webHidden/>
          </w:rPr>
          <w:instrText xml:space="preserve"> PAGEREF _Toc516053370 \h </w:instrText>
        </w:r>
        <w:r w:rsidR="00BD038B">
          <w:rPr>
            <w:noProof/>
            <w:webHidden/>
          </w:rPr>
        </w:r>
        <w:r w:rsidR="00BD038B">
          <w:rPr>
            <w:noProof/>
            <w:webHidden/>
          </w:rPr>
          <w:fldChar w:fldCharType="separate"/>
        </w:r>
        <w:r w:rsidR="00F87DF9">
          <w:rPr>
            <w:noProof/>
            <w:webHidden/>
          </w:rPr>
          <w:t>202</w:t>
        </w:r>
        <w:r w:rsidR="00BD038B">
          <w:rPr>
            <w:noProof/>
            <w:webHidden/>
          </w:rPr>
          <w:fldChar w:fldCharType="end"/>
        </w:r>
      </w:hyperlink>
    </w:p>
    <w:p w14:paraId="25306BBB" w14:textId="0CE6E9E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1" w:history="1">
        <w:r w:rsidR="00BD038B" w:rsidRPr="00763BDE">
          <w:rPr>
            <w:rStyle w:val="Hyperlink"/>
            <w:noProof/>
            <w:lang w:val="en-GB"/>
          </w:rPr>
          <w:t xml:space="preserve">Figure 161. </w:t>
        </w:r>
        <w:r w:rsidR="00BD038B" w:rsidRPr="00763BDE">
          <w:rPr>
            <w:rStyle w:val="Hyperlink"/>
            <w:i/>
            <w:noProof/>
          </w:rPr>
          <w:t>Daily light (yellow line) and 28-day rolling average (orange, bold line) at monitoring locations in the Burnett Mary NRM region</w:t>
        </w:r>
        <w:r w:rsidR="00BD038B">
          <w:rPr>
            <w:noProof/>
            <w:webHidden/>
          </w:rPr>
          <w:tab/>
        </w:r>
        <w:r w:rsidR="00BD038B">
          <w:rPr>
            <w:noProof/>
            <w:webHidden/>
          </w:rPr>
          <w:fldChar w:fldCharType="begin"/>
        </w:r>
        <w:r w:rsidR="00BD038B">
          <w:rPr>
            <w:noProof/>
            <w:webHidden/>
          </w:rPr>
          <w:instrText xml:space="preserve"> PAGEREF _Toc516053371 \h </w:instrText>
        </w:r>
        <w:r w:rsidR="00BD038B">
          <w:rPr>
            <w:noProof/>
            <w:webHidden/>
          </w:rPr>
        </w:r>
        <w:r w:rsidR="00BD038B">
          <w:rPr>
            <w:noProof/>
            <w:webHidden/>
          </w:rPr>
          <w:fldChar w:fldCharType="separate"/>
        </w:r>
        <w:r w:rsidR="00F87DF9">
          <w:rPr>
            <w:noProof/>
            <w:webHidden/>
          </w:rPr>
          <w:t>202</w:t>
        </w:r>
        <w:r w:rsidR="00BD038B">
          <w:rPr>
            <w:noProof/>
            <w:webHidden/>
          </w:rPr>
          <w:fldChar w:fldCharType="end"/>
        </w:r>
      </w:hyperlink>
    </w:p>
    <w:p w14:paraId="4DA1B050" w14:textId="6FADA00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2" w:history="1">
        <w:r w:rsidR="00BD038B" w:rsidRPr="00763BDE">
          <w:rPr>
            <w:rStyle w:val="Hyperlink"/>
            <w:noProof/>
          </w:rPr>
          <w:t xml:space="preserve">Figure 162. </w:t>
        </w:r>
        <w:r w:rsidR="00BD038B" w:rsidRPr="00763BDE">
          <w:rPr>
            <w:rStyle w:val="Hyperlink"/>
            <w:i/>
            <w:noProof/>
          </w:rPr>
          <w:t>Temporal trends in seagrass abundance for each location in the Cape York NRM region represented by a GAM plot.</w:t>
        </w:r>
        <w:r w:rsidR="00BD038B">
          <w:rPr>
            <w:noProof/>
            <w:webHidden/>
          </w:rPr>
          <w:tab/>
        </w:r>
        <w:r w:rsidR="00BD038B">
          <w:rPr>
            <w:noProof/>
            <w:webHidden/>
          </w:rPr>
          <w:fldChar w:fldCharType="begin"/>
        </w:r>
        <w:r w:rsidR="00BD038B">
          <w:rPr>
            <w:noProof/>
            <w:webHidden/>
          </w:rPr>
          <w:instrText xml:space="preserve"> PAGEREF _Toc516053372 \h </w:instrText>
        </w:r>
        <w:r w:rsidR="00BD038B">
          <w:rPr>
            <w:noProof/>
            <w:webHidden/>
          </w:rPr>
        </w:r>
        <w:r w:rsidR="00BD038B">
          <w:rPr>
            <w:noProof/>
            <w:webHidden/>
          </w:rPr>
          <w:fldChar w:fldCharType="separate"/>
        </w:r>
        <w:r w:rsidR="00F87DF9">
          <w:rPr>
            <w:noProof/>
            <w:webHidden/>
          </w:rPr>
          <w:t>203</w:t>
        </w:r>
        <w:r w:rsidR="00BD038B">
          <w:rPr>
            <w:noProof/>
            <w:webHidden/>
          </w:rPr>
          <w:fldChar w:fldCharType="end"/>
        </w:r>
      </w:hyperlink>
    </w:p>
    <w:p w14:paraId="4EF5BC90" w14:textId="2BF85BF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3" w:history="1">
        <w:r w:rsidR="00BD038B" w:rsidRPr="00763BDE">
          <w:rPr>
            <w:rStyle w:val="Hyperlink"/>
            <w:noProof/>
          </w:rPr>
          <w:t xml:space="preserve">Figure 163. </w:t>
        </w:r>
        <w:r w:rsidR="00BD038B" w:rsidRPr="00763BDE">
          <w:rPr>
            <w:rStyle w:val="Hyperlink"/>
            <w:i/>
            <w:noProof/>
          </w:rPr>
          <w:t>Temporal trends in seagrass abundance for each location in the northern Wet Tropics NRM region represented by a GAM plot.</w:t>
        </w:r>
        <w:r w:rsidR="00BD038B">
          <w:rPr>
            <w:noProof/>
            <w:webHidden/>
          </w:rPr>
          <w:tab/>
        </w:r>
        <w:r w:rsidR="00BD038B">
          <w:rPr>
            <w:noProof/>
            <w:webHidden/>
          </w:rPr>
          <w:fldChar w:fldCharType="begin"/>
        </w:r>
        <w:r w:rsidR="00BD038B">
          <w:rPr>
            <w:noProof/>
            <w:webHidden/>
          </w:rPr>
          <w:instrText xml:space="preserve"> PAGEREF _Toc516053373 \h </w:instrText>
        </w:r>
        <w:r w:rsidR="00BD038B">
          <w:rPr>
            <w:noProof/>
            <w:webHidden/>
          </w:rPr>
        </w:r>
        <w:r w:rsidR="00BD038B">
          <w:rPr>
            <w:noProof/>
            <w:webHidden/>
          </w:rPr>
          <w:fldChar w:fldCharType="separate"/>
        </w:r>
        <w:r w:rsidR="00F87DF9">
          <w:rPr>
            <w:noProof/>
            <w:webHidden/>
          </w:rPr>
          <w:t>203</w:t>
        </w:r>
        <w:r w:rsidR="00BD038B">
          <w:rPr>
            <w:noProof/>
            <w:webHidden/>
          </w:rPr>
          <w:fldChar w:fldCharType="end"/>
        </w:r>
      </w:hyperlink>
    </w:p>
    <w:p w14:paraId="444FAF70" w14:textId="5773DA6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4" w:history="1">
        <w:r w:rsidR="00BD038B" w:rsidRPr="00763BDE">
          <w:rPr>
            <w:rStyle w:val="Hyperlink"/>
            <w:noProof/>
          </w:rPr>
          <w:t xml:space="preserve">Figure 164. </w:t>
        </w:r>
        <w:r w:rsidR="00BD038B" w:rsidRPr="00763BDE">
          <w:rPr>
            <w:rStyle w:val="Hyperlink"/>
            <w:i/>
            <w:noProof/>
          </w:rPr>
          <w:t>Temporal trends in seagrass abundance for each location in the southern Wet Tropics NRM region represented by a GAM plot.</w:t>
        </w:r>
        <w:r w:rsidR="00BD038B">
          <w:rPr>
            <w:noProof/>
            <w:webHidden/>
          </w:rPr>
          <w:tab/>
        </w:r>
        <w:r w:rsidR="00BD038B">
          <w:rPr>
            <w:noProof/>
            <w:webHidden/>
          </w:rPr>
          <w:fldChar w:fldCharType="begin"/>
        </w:r>
        <w:r w:rsidR="00BD038B">
          <w:rPr>
            <w:noProof/>
            <w:webHidden/>
          </w:rPr>
          <w:instrText xml:space="preserve"> PAGEREF _Toc516053374 \h </w:instrText>
        </w:r>
        <w:r w:rsidR="00BD038B">
          <w:rPr>
            <w:noProof/>
            <w:webHidden/>
          </w:rPr>
        </w:r>
        <w:r w:rsidR="00BD038B">
          <w:rPr>
            <w:noProof/>
            <w:webHidden/>
          </w:rPr>
          <w:fldChar w:fldCharType="separate"/>
        </w:r>
        <w:r w:rsidR="00F87DF9">
          <w:rPr>
            <w:noProof/>
            <w:webHidden/>
          </w:rPr>
          <w:t>204</w:t>
        </w:r>
        <w:r w:rsidR="00BD038B">
          <w:rPr>
            <w:noProof/>
            <w:webHidden/>
          </w:rPr>
          <w:fldChar w:fldCharType="end"/>
        </w:r>
      </w:hyperlink>
    </w:p>
    <w:p w14:paraId="400A2E55" w14:textId="03F52CC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5" w:history="1">
        <w:r w:rsidR="00BD038B" w:rsidRPr="00763BDE">
          <w:rPr>
            <w:rStyle w:val="Hyperlink"/>
            <w:noProof/>
          </w:rPr>
          <w:t xml:space="preserve">Figure 165. </w:t>
        </w:r>
        <w:r w:rsidR="00BD038B" w:rsidRPr="00763BDE">
          <w:rPr>
            <w:rStyle w:val="Hyperlink"/>
            <w:i/>
            <w:noProof/>
          </w:rPr>
          <w:t>Temporal trends in seagrass abundance for each location in the Burdekin NRM region represented by a GAM plot.</w:t>
        </w:r>
        <w:r w:rsidR="00BD038B">
          <w:rPr>
            <w:noProof/>
            <w:webHidden/>
          </w:rPr>
          <w:tab/>
        </w:r>
        <w:r w:rsidR="00BD038B">
          <w:rPr>
            <w:noProof/>
            <w:webHidden/>
          </w:rPr>
          <w:fldChar w:fldCharType="begin"/>
        </w:r>
        <w:r w:rsidR="00BD038B">
          <w:rPr>
            <w:noProof/>
            <w:webHidden/>
          </w:rPr>
          <w:instrText xml:space="preserve"> PAGEREF _Toc516053375 \h </w:instrText>
        </w:r>
        <w:r w:rsidR="00BD038B">
          <w:rPr>
            <w:noProof/>
            <w:webHidden/>
          </w:rPr>
        </w:r>
        <w:r w:rsidR="00BD038B">
          <w:rPr>
            <w:noProof/>
            <w:webHidden/>
          </w:rPr>
          <w:fldChar w:fldCharType="separate"/>
        </w:r>
        <w:r w:rsidR="00F87DF9">
          <w:rPr>
            <w:noProof/>
            <w:webHidden/>
          </w:rPr>
          <w:t>204</w:t>
        </w:r>
        <w:r w:rsidR="00BD038B">
          <w:rPr>
            <w:noProof/>
            <w:webHidden/>
          </w:rPr>
          <w:fldChar w:fldCharType="end"/>
        </w:r>
      </w:hyperlink>
    </w:p>
    <w:p w14:paraId="61A05A21" w14:textId="436E8B7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6" w:history="1">
        <w:r w:rsidR="00BD038B" w:rsidRPr="00763BDE">
          <w:rPr>
            <w:rStyle w:val="Hyperlink"/>
            <w:noProof/>
          </w:rPr>
          <w:t xml:space="preserve">Figure 166. </w:t>
        </w:r>
        <w:r w:rsidR="00BD038B" w:rsidRPr="00763BDE">
          <w:rPr>
            <w:rStyle w:val="Hyperlink"/>
            <w:i/>
            <w:noProof/>
          </w:rPr>
          <w:t>Temporal trends in seagrass abundance for each location in the Mackay Whitsunday NRM region represented by a GAM plot.</w:t>
        </w:r>
        <w:r w:rsidR="00BD038B">
          <w:rPr>
            <w:noProof/>
            <w:webHidden/>
          </w:rPr>
          <w:tab/>
        </w:r>
        <w:r w:rsidR="00BD038B">
          <w:rPr>
            <w:noProof/>
            <w:webHidden/>
          </w:rPr>
          <w:fldChar w:fldCharType="begin"/>
        </w:r>
        <w:r w:rsidR="00BD038B">
          <w:rPr>
            <w:noProof/>
            <w:webHidden/>
          </w:rPr>
          <w:instrText xml:space="preserve"> PAGEREF _Toc516053376 \h </w:instrText>
        </w:r>
        <w:r w:rsidR="00BD038B">
          <w:rPr>
            <w:noProof/>
            <w:webHidden/>
          </w:rPr>
        </w:r>
        <w:r w:rsidR="00BD038B">
          <w:rPr>
            <w:noProof/>
            <w:webHidden/>
          </w:rPr>
          <w:fldChar w:fldCharType="separate"/>
        </w:r>
        <w:r w:rsidR="00F87DF9">
          <w:rPr>
            <w:noProof/>
            <w:webHidden/>
          </w:rPr>
          <w:t>205</w:t>
        </w:r>
        <w:r w:rsidR="00BD038B">
          <w:rPr>
            <w:noProof/>
            <w:webHidden/>
          </w:rPr>
          <w:fldChar w:fldCharType="end"/>
        </w:r>
      </w:hyperlink>
    </w:p>
    <w:p w14:paraId="5FAE895D" w14:textId="633570B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7" w:history="1">
        <w:r w:rsidR="00BD038B" w:rsidRPr="00763BDE">
          <w:rPr>
            <w:rStyle w:val="Hyperlink"/>
            <w:noProof/>
          </w:rPr>
          <w:t xml:space="preserve">Figure 167. </w:t>
        </w:r>
        <w:r w:rsidR="00BD038B" w:rsidRPr="00763BDE">
          <w:rPr>
            <w:rStyle w:val="Hyperlink"/>
            <w:i/>
            <w:noProof/>
          </w:rPr>
          <w:t>Temporal trends in seagrass abundance for each location in the Burnett Mary NRM region represented by a GAM plot.</w:t>
        </w:r>
        <w:r w:rsidR="00BD038B">
          <w:rPr>
            <w:noProof/>
            <w:webHidden/>
          </w:rPr>
          <w:tab/>
        </w:r>
        <w:r w:rsidR="00BD038B">
          <w:rPr>
            <w:noProof/>
            <w:webHidden/>
          </w:rPr>
          <w:fldChar w:fldCharType="begin"/>
        </w:r>
        <w:r w:rsidR="00BD038B">
          <w:rPr>
            <w:noProof/>
            <w:webHidden/>
          </w:rPr>
          <w:instrText xml:space="preserve"> PAGEREF _Toc516053377 \h </w:instrText>
        </w:r>
        <w:r w:rsidR="00BD038B">
          <w:rPr>
            <w:noProof/>
            <w:webHidden/>
          </w:rPr>
        </w:r>
        <w:r w:rsidR="00BD038B">
          <w:rPr>
            <w:noProof/>
            <w:webHidden/>
          </w:rPr>
          <w:fldChar w:fldCharType="separate"/>
        </w:r>
        <w:r w:rsidR="00F87DF9">
          <w:rPr>
            <w:noProof/>
            <w:webHidden/>
          </w:rPr>
          <w:t>205</w:t>
        </w:r>
        <w:r w:rsidR="00BD038B">
          <w:rPr>
            <w:noProof/>
            <w:webHidden/>
          </w:rPr>
          <w:fldChar w:fldCharType="end"/>
        </w:r>
      </w:hyperlink>
    </w:p>
    <w:p w14:paraId="45D8ABC5" w14:textId="351D8D9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8" w:history="1">
        <w:r w:rsidR="00BD038B" w:rsidRPr="00763BDE">
          <w:rPr>
            <w:rStyle w:val="Hyperlink"/>
            <w:noProof/>
          </w:rPr>
          <w:t xml:space="preserve">Figure 168. </w:t>
        </w:r>
        <w:r w:rsidR="00BD038B" w:rsidRPr="00763BDE">
          <w:rPr>
            <w:rStyle w:val="Hyperlink"/>
            <w:i/>
            <w:noProof/>
          </w:rPr>
          <w:t>Sediment grain size composition at reef habitat monitoring sites in the Cape York region, 2003-2017.</w:t>
        </w:r>
        <w:r w:rsidR="00BD038B">
          <w:rPr>
            <w:noProof/>
            <w:webHidden/>
          </w:rPr>
          <w:tab/>
        </w:r>
        <w:r w:rsidR="00BD038B">
          <w:rPr>
            <w:noProof/>
            <w:webHidden/>
          </w:rPr>
          <w:fldChar w:fldCharType="begin"/>
        </w:r>
        <w:r w:rsidR="00BD038B">
          <w:rPr>
            <w:noProof/>
            <w:webHidden/>
          </w:rPr>
          <w:instrText xml:space="preserve"> PAGEREF _Toc516053378 \h </w:instrText>
        </w:r>
        <w:r w:rsidR="00BD038B">
          <w:rPr>
            <w:noProof/>
            <w:webHidden/>
          </w:rPr>
        </w:r>
        <w:r w:rsidR="00BD038B">
          <w:rPr>
            <w:noProof/>
            <w:webHidden/>
          </w:rPr>
          <w:fldChar w:fldCharType="separate"/>
        </w:r>
        <w:r w:rsidR="00F87DF9">
          <w:rPr>
            <w:noProof/>
            <w:webHidden/>
          </w:rPr>
          <w:t>206</w:t>
        </w:r>
        <w:r w:rsidR="00BD038B">
          <w:rPr>
            <w:noProof/>
            <w:webHidden/>
          </w:rPr>
          <w:fldChar w:fldCharType="end"/>
        </w:r>
      </w:hyperlink>
    </w:p>
    <w:p w14:paraId="24428F7E" w14:textId="078FBDB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79" w:history="1">
        <w:r w:rsidR="00BD038B" w:rsidRPr="00763BDE">
          <w:rPr>
            <w:rStyle w:val="Hyperlink"/>
            <w:noProof/>
          </w:rPr>
          <w:t xml:space="preserve">Figure 169. </w:t>
        </w:r>
        <w:r w:rsidR="00BD038B" w:rsidRPr="00763BDE">
          <w:rPr>
            <w:rStyle w:val="Hyperlink"/>
            <w:i/>
            <w:noProof/>
          </w:rPr>
          <w:t>Sediment grain size composition at coastal habitat monitoring sites in the Cape York region, 2013-2017.</w:t>
        </w:r>
        <w:r w:rsidR="00BD038B">
          <w:rPr>
            <w:noProof/>
            <w:webHidden/>
          </w:rPr>
          <w:tab/>
        </w:r>
        <w:r w:rsidR="00BD038B">
          <w:rPr>
            <w:noProof/>
            <w:webHidden/>
          </w:rPr>
          <w:fldChar w:fldCharType="begin"/>
        </w:r>
        <w:r w:rsidR="00BD038B">
          <w:rPr>
            <w:noProof/>
            <w:webHidden/>
          </w:rPr>
          <w:instrText xml:space="preserve"> PAGEREF _Toc516053379 \h </w:instrText>
        </w:r>
        <w:r w:rsidR="00BD038B">
          <w:rPr>
            <w:noProof/>
            <w:webHidden/>
          </w:rPr>
        </w:r>
        <w:r w:rsidR="00BD038B">
          <w:rPr>
            <w:noProof/>
            <w:webHidden/>
          </w:rPr>
          <w:fldChar w:fldCharType="separate"/>
        </w:r>
        <w:r w:rsidR="00F87DF9">
          <w:rPr>
            <w:noProof/>
            <w:webHidden/>
          </w:rPr>
          <w:t>207</w:t>
        </w:r>
        <w:r w:rsidR="00BD038B">
          <w:rPr>
            <w:noProof/>
            <w:webHidden/>
          </w:rPr>
          <w:fldChar w:fldCharType="end"/>
        </w:r>
      </w:hyperlink>
    </w:p>
    <w:p w14:paraId="28878FF8" w14:textId="022FE93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0" w:history="1">
        <w:r w:rsidR="00BD038B" w:rsidRPr="00763BDE">
          <w:rPr>
            <w:rStyle w:val="Hyperlink"/>
            <w:noProof/>
          </w:rPr>
          <w:t xml:space="preserve">Figure 170.  </w:t>
        </w:r>
        <w:r w:rsidR="00BD038B" w:rsidRPr="00763BDE">
          <w:rPr>
            <w:rStyle w:val="Hyperlink"/>
            <w:i/>
            <w:noProof/>
          </w:rPr>
          <w:t>Sediment grain size composition at intertidal coastal habitat monitoring sites in the Wet Tropics region, 2001-2017.</w:t>
        </w:r>
        <w:r w:rsidR="00BD038B">
          <w:rPr>
            <w:noProof/>
            <w:webHidden/>
          </w:rPr>
          <w:tab/>
        </w:r>
        <w:r w:rsidR="00BD038B">
          <w:rPr>
            <w:noProof/>
            <w:webHidden/>
          </w:rPr>
          <w:fldChar w:fldCharType="begin"/>
        </w:r>
        <w:r w:rsidR="00BD038B">
          <w:rPr>
            <w:noProof/>
            <w:webHidden/>
          </w:rPr>
          <w:instrText xml:space="preserve"> PAGEREF _Toc516053380 \h </w:instrText>
        </w:r>
        <w:r w:rsidR="00BD038B">
          <w:rPr>
            <w:noProof/>
            <w:webHidden/>
          </w:rPr>
        </w:r>
        <w:r w:rsidR="00BD038B">
          <w:rPr>
            <w:noProof/>
            <w:webHidden/>
          </w:rPr>
          <w:fldChar w:fldCharType="separate"/>
        </w:r>
        <w:r w:rsidR="00F87DF9">
          <w:rPr>
            <w:noProof/>
            <w:webHidden/>
          </w:rPr>
          <w:t>208</w:t>
        </w:r>
        <w:r w:rsidR="00BD038B">
          <w:rPr>
            <w:noProof/>
            <w:webHidden/>
          </w:rPr>
          <w:fldChar w:fldCharType="end"/>
        </w:r>
      </w:hyperlink>
    </w:p>
    <w:p w14:paraId="73AAE399" w14:textId="192C1E3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1" w:history="1">
        <w:r w:rsidR="00BD038B" w:rsidRPr="00763BDE">
          <w:rPr>
            <w:rStyle w:val="Hyperlink"/>
            <w:noProof/>
          </w:rPr>
          <w:t xml:space="preserve">Figure 171.  </w:t>
        </w:r>
        <w:r w:rsidR="00BD038B" w:rsidRPr="00763BDE">
          <w:rPr>
            <w:rStyle w:val="Hyperlink"/>
            <w:i/>
            <w:noProof/>
          </w:rPr>
          <w:t>Sediment grain size composition at intertidal reef habitat monitoring sites in the Wet Tropics region, 2001-2017.</w:t>
        </w:r>
        <w:r w:rsidR="00BD038B">
          <w:rPr>
            <w:noProof/>
            <w:webHidden/>
          </w:rPr>
          <w:tab/>
        </w:r>
        <w:r w:rsidR="00BD038B">
          <w:rPr>
            <w:noProof/>
            <w:webHidden/>
          </w:rPr>
          <w:fldChar w:fldCharType="begin"/>
        </w:r>
        <w:r w:rsidR="00BD038B">
          <w:rPr>
            <w:noProof/>
            <w:webHidden/>
          </w:rPr>
          <w:instrText xml:space="preserve"> PAGEREF _Toc516053381 \h </w:instrText>
        </w:r>
        <w:r w:rsidR="00BD038B">
          <w:rPr>
            <w:noProof/>
            <w:webHidden/>
          </w:rPr>
        </w:r>
        <w:r w:rsidR="00BD038B">
          <w:rPr>
            <w:noProof/>
            <w:webHidden/>
          </w:rPr>
          <w:fldChar w:fldCharType="separate"/>
        </w:r>
        <w:r w:rsidR="00F87DF9">
          <w:rPr>
            <w:noProof/>
            <w:webHidden/>
          </w:rPr>
          <w:t>209</w:t>
        </w:r>
        <w:r w:rsidR="00BD038B">
          <w:rPr>
            <w:noProof/>
            <w:webHidden/>
          </w:rPr>
          <w:fldChar w:fldCharType="end"/>
        </w:r>
      </w:hyperlink>
    </w:p>
    <w:p w14:paraId="7DEA61DC" w14:textId="6360EC9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2" w:history="1">
        <w:r w:rsidR="00BD038B" w:rsidRPr="00763BDE">
          <w:rPr>
            <w:rStyle w:val="Hyperlink"/>
            <w:noProof/>
          </w:rPr>
          <w:t xml:space="preserve">Figure 172.  </w:t>
        </w:r>
        <w:r w:rsidR="00BD038B" w:rsidRPr="00763BDE">
          <w:rPr>
            <w:rStyle w:val="Hyperlink"/>
            <w:i/>
            <w:noProof/>
          </w:rPr>
          <w:t>Sediment grain size composition at subtidal reef habitat monitoring sites in the Wet Tropics region, 2008-2017.</w:t>
        </w:r>
        <w:r w:rsidR="00BD038B">
          <w:rPr>
            <w:noProof/>
            <w:webHidden/>
          </w:rPr>
          <w:tab/>
        </w:r>
        <w:r w:rsidR="00BD038B">
          <w:rPr>
            <w:noProof/>
            <w:webHidden/>
          </w:rPr>
          <w:fldChar w:fldCharType="begin"/>
        </w:r>
        <w:r w:rsidR="00BD038B">
          <w:rPr>
            <w:noProof/>
            <w:webHidden/>
          </w:rPr>
          <w:instrText xml:space="preserve"> PAGEREF _Toc516053382 \h </w:instrText>
        </w:r>
        <w:r w:rsidR="00BD038B">
          <w:rPr>
            <w:noProof/>
            <w:webHidden/>
          </w:rPr>
        </w:r>
        <w:r w:rsidR="00BD038B">
          <w:rPr>
            <w:noProof/>
            <w:webHidden/>
          </w:rPr>
          <w:fldChar w:fldCharType="separate"/>
        </w:r>
        <w:r w:rsidR="00F87DF9">
          <w:rPr>
            <w:noProof/>
            <w:webHidden/>
          </w:rPr>
          <w:t>210</w:t>
        </w:r>
        <w:r w:rsidR="00BD038B">
          <w:rPr>
            <w:noProof/>
            <w:webHidden/>
          </w:rPr>
          <w:fldChar w:fldCharType="end"/>
        </w:r>
      </w:hyperlink>
    </w:p>
    <w:p w14:paraId="23B929BD" w14:textId="6C5561E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3" w:history="1">
        <w:r w:rsidR="00BD038B" w:rsidRPr="00763BDE">
          <w:rPr>
            <w:rStyle w:val="Hyperlink"/>
            <w:noProof/>
          </w:rPr>
          <w:t xml:space="preserve">Figure 173. </w:t>
        </w:r>
        <w:r w:rsidR="00BD038B" w:rsidRPr="00763BDE">
          <w:rPr>
            <w:rStyle w:val="Hyperlink"/>
            <w:i/>
            <w:noProof/>
          </w:rPr>
          <w:t>Sediment grain size composition at intertidal coastal habitat monitoring sites in the Burdekin region, 2001-2017.</w:t>
        </w:r>
        <w:r w:rsidR="00BD038B">
          <w:rPr>
            <w:noProof/>
            <w:webHidden/>
          </w:rPr>
          <w:tab/>
        </w:r>
        <w:r w:rsidR="00BD038B">
          <w:rPr>
            <w:noProof/>
            <w:webHidden/>
          </w:rPr>
          <w:fldChar w:fldCharType="begin"/>
        </w:r>
        <w:r w:rsidR="00BD038B">
          <w:rPr>
            <w:noProof/>
            <w:webHidden/>
          </w:rPr>
          <w:instrText xml:space="preserve"> PAGEREF _Toc516053383 \h </w:instrText>
        </w:r>
        <w:r w:rsidR="00BD038B">
          <w:rPr>
            <w:noProof/>
            <w:webHidden/>
          </w:rPr>
        </w:r>
        <w:r w:rsidR="00BD038B">
          <w:rPr>
            <w:noProof/>
            <w:webHidden/>
          </w:rPr>
          <w:fldChar w:fldCharType="separate"/>
        </w:r>
        <w:r w:rsidR="00F87DF9">
          <w:rPr>
            <w:noProof/>
            <w:webHidden/>
          </w:rPr>
          <w:t>211</w:t>
        </w:r>
        <w:r w:rsidR="00BD038B">
          <w:rPr>
            <w:noProof/>
            <w:webHidden/>
          </w:rPr>
          <w:fldChar w:fldCharType="end"/>
        </w:r>
      </w:hyperlink>
    </w:p>
    <w:p w14:paraId="1182F208" w14:textId="30E35AD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4" w:history="1">
        <w:r w:rsidR="00BD038B" w:rsidRPr="00763BDE">
          <w:rPr>
            <w:rStyle w:val="Hyperlink"/>
            <w:noProof/>
          </w:rPr>
          <w:t xml:space="preserve">Figure 174. </w:t>
        </w:r>
        <w:r w:rsidR="00BD038B" w:rsidRPr="00763BDE">
          <w:rPr>
            <w:rStyle w:val="Hyperlink"/>
            <w:i/>
            <w:noProof/>
          </w:rPr>
          <w:t>Sediment grain size composition at intertidal reef habitat monitoring sites in the Burdekin region, 2004-2017.</w:t>
        </w:r>
        <w:r w:rsidR="00BD038B">
          <w:rPr>
            <w:noProof/>
            <w:webHidden/>
          </w:rPr>
          <w:tab/>
        </w:r>
        <w:r w:rsidR="00BD038B">
          <w:rPr>
            <w:noProof/>
            <w:webHidden/>
          </w:rPr>
          <w:fldChar w:fldCharType="begin"/>
        </w:r>
        <w:r w:rsidR="00BD038B">
          <w:rPr>
            <w:noProof/>
            <w:webHidden/>
          </w:rPr>
          <w:instrText xml:space="preserve"> PAGEREF _Toc516053384 \h </w:instrText>
        </w:r>
        <w:r w:rsidR="00BD038B">
          <w:rPr>
            <w:noProof/>
            <w:webHidden/>
          </w:rPr>
        </w:r>
        <w:r w:rsidR="00BD038B">
          <w:rPr>
            <w:noProof/>
            <w:webHidden/>
          </w:rPr>
          <w:fldChar w:fldCharType="separate"/>
        </w:r>
        <w:r w:rsidR="00F87DF9">
          <w:rPr>
            <w:noProof/>
            <w:webHidden/>
          </w:rPr>
          <w:t>211</w:t>
        </w:r>
        <w:r w:rsidR="00BD038B">
          <w:rPr>
            <w:noProof/>
            <w:webHidden/>
          </w:rPr>
          <w:fldChar w:fldCharType="end"/>
        </w:r>
      </w:hyperlink>
    </w:p>
    <w:p w14:paraId="678BE37D" w14:textId="61BAFF6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5" w:history="1">
        <w:r w:rsidR="00BD038B" w:rsidRPr="00763BDE">
          <w:rPr>
            <w:rStyle w:val="Hyperlink"/>
            <w:noProof/>
          </w:rPr>
          <w:t xml:space="preserve">Figure 175.  </w:t>
        </w:r>
        <w:r w:rsidR="00BD038B" w:rsidRPr="00763BDE">
          <w:rPr>
            <w:rStyle w:val="Hyperlink"/>
            <w:i/>
            <w:noProof/>
          </w:rPr>
          <w:t>Sediment grain size composition at subtidal reef habitat monitoring sites in the Burdekin region, 2010-2017.</w:t>
        </w:r>
        <w:r w:rsidR="00BD038B">
          <w:rPr>
            <w:noProof/>
            <w:webHidden/>
          </w:rPr>
          <w:tab/>
        </w:r>
        <w:r w:rsidR="00BD038B">
          <w:rPr>
            <w:noProof/>
            <w:webHidden/>
          </w:rPr>
          <w:fldChar w:fldCharType="begin"/>
        </w:r>
        <w:r w:rsidR="00BD038B">
          <w:rPr>
            <w:noProof/>
            <w:webHidden/>
          </w:rPr>
          <w:instrText xml:space="preserve"> PAGEREF _Toc516053385 \h </w:instrText>
        </w:r>
        <w:r w:rsidR="00BD038B">
          <w:rPr>
            <w:noProof/>
            <w:webHidden/>
          </w:rPr>
        </w:r>
        <w:r w:rsidR="00BD038B">
          <w:rPr>
            <w:noProof/>
            <w:webHidden/>
          </w:rPr>
          <w:fldChar w:fldCharType="separate"/>
        </w:r>
        <w:r w:rsidR="00F87DF9">
          <w:rPr>
            <w:noProof/>
            <w:webHidden/>
          </w:rPr>
          <w:t>212</w:t>
        </w:r>
        <w:r w:rsidR="00BD038B">
          <w:rPr>
            <w:noProof/>
            <w:webHidden/>
          </w:rPr>
          <w:fldChar w:fldCharType="end"/>
        </w:r>
      </w:hyperlink>
    </w:p>
    <w:p w14:paraId="7CA3104B" w14:textId="2897C14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6" w:history="1">
        <w:r w:rsidR="00BD038B" w:rsidRPr="00763BDE">
          <w:rPr>
            <w:rStyle w:val="Hyperlink"/>
            <w:noProof/>
          </w:rPr>
          <w:t xml:space="preserve">Figure 176.  </w:t>
        </w:r>
        <w:r w:rsidR="00BD038B" w:rsidRPr="00763BDE">
          <w:rPr>
            <w:rStyle w:val="Hyperlink"/>
            <w:i/>
            <w:noProof/>
          </w:rPr>
          <w:t>Sediment grain size composition at intertidal estuary habitat monitoring sites in the Mackay Whitsunday region, 2005-2017.</w:t>
        </w:r>
        <w:r w:rsidR="00BD038B">
          <w:rPr>
            <w:noProof/>
            <w:webHidden/>
          </w:rPr>
          <w:tab/>
        </w:r>
        <w:r w:rsidR="00BD038B">
          <w:rPr>
            <w:noProof/>
            <w:webHidden/>
          </w:rPr>
          <w:fldChar w:fldCharType="begin"/>
        </w:r>
        <w:r w:rsidR="00BD038B">
          <w:rPr>
            <w:noProof/>
            <w:webHidden/>
          </w:rPr>
          <w:instrText xml:space="preserve"> PAGEREF _Toc516053386 \h </w:instrText>
        </w:r>
        <w:r w:rsidR="00BD038B">
          <w:rPr>
            <w:noProof/>
            <w:webHidden/>
          </w:rPr>
        </w:r>
        <w:r w:rsidR="00BD038B">
          <w:rPr>
            <w:noProof/>
            <w:webHidden/>
          </w:rPr>
          <w:fldChar w:fldCharType="separate"/>
        </w:r>
        <w:r w:rsidR="00F87DF9">
          <w:rPr>
            <w:noProof/>
            <w:webHidden/>
          </w:rPr>
          <w:t>212</w:t>
        </w:r>
        <w:r w:rsidR="00BD038B">
          <w:rPr>
            <w:noProof/>
            <w:webHidden/>
          </w:rPr>
          <w:fldChar w:fldCharType="end"/>
        </w:r>
      </w:hyperlink>
    </w:p>
    <w:p w14:paraId="16B4FDF1" w14:textId="385D09E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7" w:history="1">
        <w:r w:rsidR="00BD038B" w:rsidRPr="00763BDE">
          <w:rPr>
            <w:rStyle w:val="Hyperlink"/>
            <w:noProof/>
          </w:rPr>
          <w:t xml:space="preserve">Figure 177.  </w:t>
        </w:r>
        <w:r w:rsidR="00BD038B" w:rsidRPr="00763BDE">
          <w:rPr>
            <w:rStyle w:val="Hyperlink"/>
            <w:i/>
            <w:noProof/>
          </w:rPr>
          <w:t>Sediment grain size composition at intertidal coastal habitat monitoring sites in the Mackay Whitsunday region, 1999-2017.</w:t>
        </w:r>
        <w:r w:rsidR="00BD038B">
          <w:rPr>
            <w:noProof/>
            <w:webHidden/>
          </w:rPr>
          <w:tab/>
        </w:r>
        <w:r w:rsidR="00BD038B">
          <w:rPr>
            <w:noProof/>
            <w:webHidden/>
          </w:rPr>
          <w:fldChar w:fldCharType="begin"/>
        </w:r>
        <w:r w:rsidR="00BD038B">
          <w:rPr>
            <w:noProof/>
            <w:webHidden/>
          </w:rPr>
          <w:instrText xml:space="preserve"> PAGEREF _Toc516053387 \h </w:instrText>
        </w:r>
        <w:r w:rsidR="00BD038B">
          <w:rPr>
            <w:noProof/>
            <w:webHidden/>
          </w:rPr>
        </w:r>
        <w:r w:rsidR="00BD038B">
          <w:rPr>
            <w:noProof/>
            <w:webHidden/>
          </w:rPr>
          <w:fldChar w:fldCharType="separate"/>
        </w:r>
        <w:r w:rsidR="00F87DF9">
          <w:rPr>
            <w:noProof/>
            <w:webHidden/>
          </w:rPr>
          <w:t>213</w:t>
        </w:r>
        <w:r w:rsidR="00BD038B">
          <w:rPr>
            <w:noProof/>
            <w:webHidden/>
          </w:rPr>
          <w:fldChar w:fldCharType="end"/>
        </w:r>
      </w:hyperlink>
    </w:p>
    <w:p w14:paraId="387EC138" w14:textId="2DEB99D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8" w:history="1">
        <w:r w:rsidR="00BD038B" w:rsidRPr="00763BDE">
          <w:rPr>
            <w:rStyle w:val="Hyperlink"/>
            <w:noProof/>
          </w:rPr>
          <w:t xml:space="preserve">Figure 178.  </w:t>
        </w:r>
        <w:r w:rsidR="00BD038B" w:rsidRPr="00763BDE">
          <w:rPr>
            <w:rStyle w:val="Hyperlink"/>
            <w:i/>
            <w:noProof/>
          </w:rPr>
          <w:t>Sediment grain size composition at intertidal reef habitat monitoring sites in the Mackay Whitsunday region, 2007-2017.</w:t>
        </w:r>
        <w:r w:rsidR="00BD038B">
          <w:rPr>
            <w:noProof/>
            <w:webHidden/>
          </w:rPr>
          <w:tab/>
        </w:r>
        <w:r w:rsidR="00BD038B">
          <w:rPr>
            <w:noProof/>
            <w:webHidden/>
          </w:rPr>
          <w:fldChar w:fldCharType="begin"/>
        </w:r>
        <w:r w:rsidR="00BD038B">
          <w:rPr>
            <w:noProof/>
            <w:webHidden/>
          </w:rPr>
          <w:instrText xml:space="preserve"> PAGEREF _Toc516053388 \h </w:instrText>
        </w:r>
        <w:r w:rsidR="00BD038B">
          <w:rPr>
            <w:noProof/>
            <w:webHidden/>
          </w:rPr>
        </w:r>
        <w:r w:rsidR="00BD038B">
          <w:rPr>
            <w:noProof/>
            <w:webHidden/>
          </w:rPr>
          <w:fldChar w:fldCharType="separate"/>
        </w:r>
        <w:r w:rsidR="00F87DF9">
          <w:rPr>
            <w:noProof/>
            <w:webHidden/>
          </w:rPr>
          <w:t>213</w:t>
        </w:r>
        <w:r w:rsidR="00BD038B">
          <w:rPr>
            <w:noProof/>
            <w:webHidden/>
          </w:rPr>
          <w:fldChar w:fldCharType="end"/>
        </w:r>
      </w:hyperlink>
    </w:p>
    <w:p w14:paraId="71C763CC" w14:textId="5BC7FC2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89" w:history="1">
        <w:r w:rsidR="00BD038B" w:rsidRPr="00763BDE">
          <w:rPr>
            <w:rStyle w:val="Hyperlink"/>
            <w:noProof/>
          </w:rPr>
          <w:t xml:space="preserve">Figure 179.  </w:t>
        </w:r>
        <w:r w:rsidR="00BD038B" w:rsidRPr="00763BDE">
          <w:rPr>
            <w:rStyle w:val="Hyperlink"/>
            <w:i/>
            <w:noProof/>
          </w:rPr>
          <w:t>Sediment grain size composition at intertidal estuary habitat monitoring sites in the Fitzroy region, 2005-2017.</w:t>
        </w:r>
        <w:r w:rsidR="00BD038B">
          <w:rPr>
            <w:noProof/>
            <w:webHidden/>
          </w:rPr>
          <w:tab/>
        </w:r>
        <w:r w:rsidR="00BD038B">
          <w:rPr>
            <w:noProof/>
            <w:webHidden/>
          </w:rPr>
          <w:fldChar w:fldCharType="begin"/>
        </w:r>
        <w:r w:rsidR="00BD038B">
          <w:rPr>
            <w:noProof/>
            <w:webHidden/>
          </w:rPr>
          <w:instrText xml:space="preserve"> PAGEREF _Toc516053389 \h </w:instrText>
        </w:r>
        <w:r w:rsidR="00BD038B">
          <w:rPr>
            <w:noProof/>
            <w:webHidden/>
          </w:rPr>
        </w:r>
        <w:r w:rsidR="00BD038B">
          <w:rPr>
            <w:noProof/>
            <w:webHidden/>
          </w:rPr>
          <w:fldChar w:fldCharType="separate"/>
        </w:r>
        <w:r w:rsidR="00F87DF9">
          <w:rPr>
            <w:noProof/>
            <w:webHidden/>
          </w:rPr>
          <w:t>214</w:t>
        </w:r>
        <w:r w:rsidR="00BD038B">
          <w:rPr>
            <w:noProof/>
            <w:webHidden/>
          </w:rPr>
          <w:fldChar w:fldCharType="end"/>
        </w:r>
      </w:hyperlink>
    </w:p>
    <w:p w14:paraId="094C7CE1" w14:textId="1B8C92A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0" w:history="1">
        <w:r w:rsidR="00BD038B" w:rsidRPr="00763BDE">
          <w:rPr>
            <w:rStyle w:val="Hyperlink"/>
            <w:noProof/>
          </w:rPr>
          <w:t xml:space="preserve">Figure 180.  </w:t>
        </w:r>
        <w:r w:rsidR="00BD038B" w:rsidRPr="00763BDE">
          <w:rPr>
            <w:rStyle w:val="Hyperlink"/>
            <w:i/>
            <w:noProof/>
          </w:rPr>
          <w:t>Sediment grain size composition at intertidal coastal habitat monitoring sites in the Fitzroy region, 2005-2017.</w:t>
        </w:r>
        <w:r w:rsidR="00BD038B">
          <w:rPr>
            <w:noProof/>
            <w:webHidden/>
          </w:rPr>
          <w:tab/>
        </w:r>
        <w:r w:rsidR="00BD038B">
          <w:rPr>
            <w:noProof/>
            <w:webHidden/>
          </w:rPr>
          <w:fldChar w:fldCharType="begin"/>
        </w:r>
        <w:r w:rsidR="00BD038B">
          <w:rPr>
            <w:noProof/>
            <w:webHidden/>
          </w:rPr>
          <w:instrText xml:space="preserve"> PAGEREF _Toc516053390 \h </w:instrText>
        </w:r>
        <w:r w:rsidR="00BD038B">
          <w:rPr>
            <w:noProof/>
            <w:webHidden/>
          </w:rPr>
        </w:r>
        <w:r w:rsidR="00BD038B">
          <w:rPr>
            <w:noProof/>
            <w:webHidden/>
          </w:rPr>
          <w:fldChar w:fldCharType="separate"/>
        </w:r>
        <w:r w:rsidR="00F87DF9">
          <w:rPr>
            <w:noProof/>
            <w:webHidden/>
          </w:rPr>
          <w:t>214</w:t>
        </w:r>
        <w:r w:rsidR="00BD038B">
          <w:rPr>
            <w:noProof/>
            <w:webHidden/>
          </w:rPr>
          <w:fldChar w:fldCharType="end"/>
        </w:r>
      </w:hyperlink>
    </w:p>
    <w:p w14:paraId="565F6947" w14:textId="434CDE1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1" w:history="1">
        <w:r w:rsidR="00BD038B" w:rsidRPr="00763BDE">
          <w:rPr>
            <w:rStyle w:val="Hyperlink"/>
            <w:noProof/>
          </w:rPr>
          <w:t xml:space="preserve">Figure 181.  </w:t>
        </w:r>
        <w:r w:rsidR="00BD038B" w:rsidRPr="00763BDE">
          <w:rPr>
            <w:rStyle w:val="Hyperlink"/>
            <w:i/>
            <w:noProof/>
          </w:rPr>
          <w:t>Sediment grain size composition at intertidal reef habitat monitoring sites in the Fitzroy region, 2007-2017.</w:t>
        </w:r>
        <w:r w:rsidR="00BD038B">
          <w:rPr>
            <w:noProof/>
            <w:webHidden/>
          </w:rPr>
          <w:tab/>
        </w:r>
        <w:r w:rsidR="00BD038B">
          <w:rPr>
            <w:noProof/>
            <w:webHidden/>
          </w:rPr>
          <w:fldChar w:fldCharType="begin"/>
        </w:r>
        <w:r w:rsidR="00BD038B">
          <w:rPr>
            <w:noProof/>
            <w:webHidden/>
          </w:rPr>
          <w:instrText xml:space="preserve"> PAGEREF _Toc516053391 \h </w:instrText>
        </w:r>
        <w:r w:rsidR="00BD038B">
          <w:rPr>
            <w:noProof/>
            <w:webHidden/>
          </w:rPr>
        </w:r>
        <w:r w:rsidR="00BD038B">
          <w:rPr>
            <w:noProof/>
            <w:webHidden/>
          </w:rPr>
          <w:fldChar w:fldCharType="separate"/>
        </w:r>
        <w:r w:rsidR="00F87DF9">
          <w:rPr>
            <w:noProof/>
            <w:webHidden/>
          </w:rPr>
          <w:t>215</w:t>
        </w:r>
        <w:r w:rsidR="00BD038B">
          <w:rPr>
            <w:noProof/>
            <w:webHidden/>
          </w:rPr>
          <w:fldChar w:fldCharType="end"/>
        </w:r>
      </w:hyperlink>
    </w:p>
    <w:p w14:paraId="2556A2B5" w14:textId="108EA79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2" w:history="1">
        <w:r w:rsidR="00BD038B" w:rsidRPr="00763BDE">
          <w:rPr>
            <w:rStyle w:val="Hyperlink"/>
            <w:noProof/>
          </w:rPr>
          <w:t xml:space="preserve">Figure 182.  </w:t>
        </w:r>
        <w:r w:rsidR="00BD038B" w:rsidRPr="00763BDE">
          <w:rPr>
            <w:rStyle w:val="Hyperlink"/>
            <w:i/>
            <w:noProof/>
          </w:rPr>
          <w:t>Sediment grain size composition at intertidal estuary habitat monitoring sites in the Burnett Mary region, 1999-2017.</w:t>
        </w:r>
        <w:r w:rsidR="00BD038B">
          <w:rPr>
            <w:noProof/>
            <w:webHidden/>
          </w:rPr>
          <w:tab/>
        </w:r>
        <w:r w:rsidR="00BD038B">
          <w:rPr>
            <w:noProof/>
            <w:webHidden/>
          </w:rPr>
          <w:fldChar w:fldCharType="begin"/>
        </w:r>
        <w:r w:rsidR="00BD038B">
          <w:rPr>
            <w:noProof/>
            <w:webHidden/>
          </w:rPr>
          <w:instrText xml:space="preserve"> PAGEREF _Toc516053392 \h </w:instrText>
        </w:r>
        <w:r w:rsidR="00BD038B">
          <w:rPr>
            <w:noProof/>
            <w:webHidden/>
          </w:rPr>
        </w:r>
        <w:r w:rsidR="00BD038B">
          <w:rPr>
            <w:noProof/>
            <w:webHidden/>
          </w:rPr>
          <w:fldChar w:fldCharType="separate"/>
        </w:r>
        <w:r w:rsidR="00F87DF9">
          <w:rPr>
            <w:noProof/>
            <w:webHidden/>
          </w:rPr>
          <w:t>216</w:t>
        </w:r>
        <w:r w:rsidR="00BD038B">
          <w:rPr>
            <w:noProof/>
            <w:webHidden/>
          </w:rPr>
          <w:fldChar w:fldCharType="end"/>
        </w:r>
      </w:hyperlink>
    </w:p>
    <w:p w14:paraId="07ACD266" w14:textId="4DC81EC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3" w:history="1">
        <w:r w:rsidR="00BD038B" w:rsidRPr="00763BDE">
          <w:rPr>
            <w:rStyle w:val="Hyperlink"/>
            <w:noProof/>
          </w:rPr>
          <w:t xml:space="preserve">Figure 183. </w:t>
        </w:r>
        <w:r w:rsidR="00BD038B" w:rsidRPr="00763BDE">
          <w:rPr>
            <w:rStyle w:val="Hyperlink"/>
            <w:i/>
            <w:noProof/>
          </w:rPr>
          <w:t>Sediment grain size composition at intertidal coastal habitat monitoring sites in the Burnett Mary region, 1999-2017.</w:t>
        </w:r>
        <w:r w:rsidR="00BD038B">
          <w:rPr>
            <w:noProof/>
            <w:webHidden/>
          </w:rPr>
          <w:tab/>
        </w:r>
        <w:r w:rsidR="00BD038B">
          <w:rPr>
            <w:noProof/>
            <w:webHidden/>
          </w:rPr>
          <w:fldChar w:fldCharType="begin"/>
        </w:r>
        <w:r w:rsidR="00BD038B">
          <w:rPr>
            <w:noProof/>
            <w:webHidden/>
          </w:rPr>
          <w:instrText xml:space="preserve"> PAGEREF _Toc516053393 \h </w:instrText>
        </w:r>
        <w:r w:rsidR="00BD038B">
          <w:rPr>
            <w:noProof/>
            <w:webHidden/>
          </w:rPr>
        </w:r>
        <w:r w:rsidR="00BD038B">
          <w:rPr>
            <w:noProof/>
            <w:webHidden/>
          </w:rPr>
          <w:fldChar w:fldCharType="separate"/>
        </w:r>
        <w:r w:rsidR="00F87DF9">
          <w:rPr>
            <w:noProof/>
            <w:webHidden/>
          </w:rPr>
          <w:t>216</w:t>
        </w:r>
        <w:r w:rsidR="00BD038B">
          <w:rPr>
            <w:noProof/>
            <w:webHidden/>
          </w:rPr>
          <w:fldChar w:fldCharType="end"/>
        </w:r>
      </w:hyperlink>
    </w:p>
    <w:p w14:paraId="0C1041F7" w14:textId="1EDC606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4" w:history="1">
        <w:r w:rsidR="00BD038B" w:rsidRPr="00763BDE">
          <w:rPr>
            <w:rStyle w:val="Hyperlink"/>
            <w:noProof/>
          </w:rPr>
          <w:t xml:space="preserve">Figure 184. </w:t>
        </w:r>
        <w:r w:rsidR="00BD038B" w:rsidRPr="00763BDE">
          <w:rPr>
            <w:rStyle w:val="Hyperlink"/>
            <w:i/>
            <w:noProof/>
          </w:rPr>
          <w:t>Long-term trend in mean abundance (per cent cover) (± SE) of epiphytes and macroalgae at intertidal coastal habitats (sites pooled), Cape York NRM region</w:t>
        </w:r>
        <w:r w:rsidR="00BD038B">
          <w:rPr>
            <w:noProof/>
            <w:webHidden/>
          </w:rPr>
          <w:tab/>
        </w:r>
        <w:r w:rsidR="00BD038B">
          <w:rPr>
            <w:noProof/>
            <w:webHidden/>
          </w:rPr>
          <w:fldChar w:fldCharType="begin"/>
        </w:r>
        <w:r w:rsidR="00BD038B">
          <w:rPr>
            <w:noProof/>
            <w:webHidden/>
          </w:rPr>
          <w:instrText xml:space="preserve"> PAGEREF _Toc516053394 \h </w:instrText>
        </w:r>
        <w:r w:rsidR="00BD038B">
          <w:rPr>
            <w:noProof/>
            <w:webHidden/>
          </w:rPr>
        </w:r>
        <w:r w:rsidR="00BD038B">
          <w:rPr>
            <w:noProof/>
            <w:webHidden/>
          </w:rPr>
          <w:fldChar w:fldCharType="separate"/>
        </w:r>
        <w:r w:rsidR="00F87DF9">
          <w:rPr>
            <w:noProof/>
            <w:webHidden/>
          </w:rPr>
          <w:t>217</w:t>
        </w:r>
        <w:r w:rsidR="00BD038B">
          <w:rPr>
            <w:noProof/>
            <w:webHidden/>
          </w:rPr>
          <w:fldChar w:fldCharType="end"/>
        </w:r>
      </w:hyperlink>
    </w:p>
    <w:p w14:paraId="66BF48F7" w14:textId="45C45AB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5" w:history="1">
        <w:r w:rsidR="00BD038B" w:rsidRPr="00763BDE">
          <w:rPr>
            <w:rStyle w:val="Hyperlink"/>
            <w:noProof/>
          </w:rPr>
          <w:t xml:space="preserve">Figure 185. </w:t>
        </w:r>
        <w:r w:rsidR="00BD038B" w:rsidRPr="00763BDE">
          <w:rPr>
            <w:rStyle w:val="Hyperlink"/>
            <w:i/>
            <w:noProof/>
          </w:rPr>
          <w:t>Long-term trend in mean abundance (per cent cover) (± SE) of epiphytes and macroalgae at intertidal reef habitats (sites pooled), Cape York NRM region</w:t>
        </w:r>
        <w:r w:rsidR="00BD038B">
          <w:rPr>
            <w:noProof/>
            <w:webHidden/>
          </w:rPr>
          <w:tab/>
        </w:r>
        <w:r w:rsidR="00BD038B">
          <w:rPr>
            <w:noProof/>
            <w:webHidden/>
          </w:rPr>
          <w:fldChar w:fldCharType="begin"/>
        </w:r>
        <w:r w:rsidR="00BD038B">
          <w:rPr>
            <w:noProof/>
            <w:webHidden/>
          </w:rPr>
          <w:instrText xml:space="preserve"> PAGEREF _Toc516053395 \h </w:instrText>
        </w:r>
        <w:r w:rsidR="00BD038B">
          <w:rPr>
            <w:noProof/>
            <w:webHidden/>
          </w:rPr>
        </w:r>
        <w:r w:rsidR="00BD038B">
          <w:rPr>
            <w:noProof/>
            <w:webHidden/>
          </w:rPr>
          <w:fldChar w:fldCharType="separate"/>
        </w:r>
        <w:r w:rsidR="00F87DF9">
          <w:rPr>
            <w:noProof/>
            <w:webHidden/>
          </w:rPr>
          <w:t>217</w:t>
        </w:r>
        <w:r w:rsidR="00BD038B">
          <w:rPr>
            <w:noProof/>
            <w:webHidden/>
          </w:rPr>
          <w:fldChar w:fldCharType="end"/>
        </w:r>
      </w:hyperlink>
    </w:p>
    <w:p w14:paraId="535F1A53" w14:textId="6B4786C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6" w:history="1">
        <w:r w:rsidR="00BD038B" w:rsidRPr="00763BDE">
          <w:rPr>
            <w:rStyle w:val="Hyperlink"/>
            <w:noProof/>
          </w:rPr>
          <w:t xml:space="preserve">Figure 186. </w:t>
        </w:r>
        <w:r w:rsidR="00BD038B" w:rsidRPr="00763BDE">
          <w:rPr>
            <w:rStyle w:val="Hyperlink"/>
            <w:i/>
            <w:noProof/>
          </w:rPr>
          <w:t>Mean abundance (per cent cover) (± SE) of epiphytes and macroalgae at intertidal reef seagrass monitoring locations (sites pooled) in the Wet Tropics NRM region</w:t>
        </w:r>
        <w:r w:rsidR="00BD038B">
          <w:rPr>
            <w:noProof/>
            <w:webHidden/>
          </w:rPr>
          <w:tab/>
        </w:r>
        <w:r w:rsidR="00BD038B">
          <w:rPr>
            <w:noProof/>
            <w:webHidden/>
          </w:rPr>
          <w:fldChar w:fldCharType="begin"/>
        </w:r>
        <w:r w:rsidR="00BD038B">
          <w:rPr>
            <w:noProof/>
            <w:webHidden/>
          </w:rPr>
          <w:instrText xml:space="preserve"> PAGEREF _Toc516053396 \h </w:instrText>
        </w:r>
        <w:r w:rsidR="00BD038B">
          <w:rPr>
            <w:noProof/>
            <w:webHidden/>
          </w:rPr>
        </w:r>
        <w:r w:rsidR="00BD038B">
          <w:rPr>
            <w:noProof/>
            <w:webHidden/>
          </w:rPr>
          <w:fldChar w:fldCharType="separate"/>
        </w:r>
        <w:r w:rsidR="00F87DF9">
          <w:rPr>
            <w:noProof/>
            <w:webHidden/>
          </w:rPr>
          <w:t>218</w:t>
        </w:r>
        <w:r w:rsidR="00BD038B">
          <w:rPr>
            <w:noProof/>
            <w:webHidden/>
          </w:rPr>
          <w:fldChar w:fldCharType="end"/>
        </w:r>
      </w:hyperlink>
    </w:p>
    <w:p w14:paraId="0281BFE4" w14:textId="6B85785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7" w:history="1">
        <w:r w:rsidR="00BD038B" w:rsidRPr="00763BDE">
          <w:rPr>
            <w:rStyle w:val="Hyperlink"/>
            <w:noProof/>
          </w:rPr>
          <w:t xml:space="preserve">Figure 187. </w:t>
        </w:r>
        <w:r w:rsidR="00BD038B" w:rsidRPr="00763BDE">
          <w:rPr>
            <w:rStyle w:val="Hyperlink"/>
            <w:i/>
            <w:noProof/>
          </w:rPr>
          <w:t>Mean abundance (per cent cover) (± SE) of epiphytes and macroalgae at coastal intertidal seagrass monitoring locations (sites pooled) in the Wet Tropics NRM region</w:t>
        </w:r>
        <w:r w:rsidR="00BD038B">
          <w:rPr>
            <w:noProof/>
            <w:webHidden/>
          </w:rPr>
          <w:tab/>
        </w:r>
        <w:r w:rsidR="00BD038B">
          <w:rPr>
            <w:noProof/>
            <w:webHidden/>
          </w:rPr>
          <w:fldChar w:fldCharType="begin"/>
        </w:r>
        <w:r w:rsidR="00BD038B">
          <w:rPr>
            <w:noProof/>
            <w:webHidden/>
          </w:rPr>
          <w:instrText xml:space="preserve"> PAGEREF _Toc516053397 \h </w:instrText>
        </w:r>
        <w:r w:rsidR="00BD038B">
          <w:rPr>
            <w:noProof/>
            <w:webHidden/>
          </w:rPr>
        </w:r>
        <w:r w:rsidR="00BD038B">
          <w:rPr>
            <w:noProof/>
            <w:webHidden/>
          </w:rPr>
          <w:fldChar w:fldCharType="separate"/>
        </w:r>
        <w:r w:rsidR="00F87DF9">
          <w:rPr>
            <w:noProof/>
            <w:webHidden/>
          </w:rPr>
          <w:t>219</w:t>
        </w:r>
        <w:r w:rsidR="00BD038B">
          <w:rPr>
            <w:noProof/>
            <w:webHidden/>
          </w:rPr>
          <w:fldChar w:fldCharType="end"/>
        </w:r>
      </w:hyperlink>
    </w:p>
    <w:p w14:paraId="46AB4A38" w14:textId="479AC1B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8" w:history="1">
        <w:r w:rsidR="00BD038B" w:rsidRPr="00763BDE">
          <w:rPr>
            <w:rStyle w:val="Hyperlink"/>
            <w:noProof/>
          </w:rPr>
          <w:t xml:space="preserve">Figure 188. </w:t>
        </w:r>
        <w:r w:rsidR="00BD038B" w:rsidRPr="00763BDE">
          <w:rPr>
            <w:rStyle w:val="Hyperlink"/>
            <w:i/>
            <w:noProof/>
          </w:rPr>
          <w:t>Mean abundance (per cent cover) (± SE) of epiphytes and macroalgae at subtidal reef seagrass monitoring sites in the Wet Tropics NRM region</w:t>
        </w:r>
        <w:r w:rsidR="00BD038B">
          <w:rPr>
            <w:noProof/>
            <w:webHidden/>
          </w:rPr>
          <w:tab/>
        </w:r>
        <w:r w:rsidR="00BD038B">
          <w:rPr>
            <w:noProof/>
            <w:webHidden/>
          </w:rPr>
          <w:fldChar w:fldCharType="begin"/>
        </w:r>
        <w:r w:rsidR="00BD038B">
          <w:rPr>
            <w:noProof/>
            <w:webHidden/>
          </w:rPr>
          <w:instrText xml:space="preserve"> PAGEREF _Toc516053398 \h </w:instrText>
        </w:r>
        <w:r w:rsidR="00BD038B">
          <w:rPr>
            <w:noProof/>
            <w:webHidden/>
          </w:rPr>
        </w:r>
        <w:r w:rsidR="00BD038B">
          <w:rPr>
            <w:noProof/>
            <w:webHidden/>
          </w:rPr>
          <w:fldChar w:fldCharType="separate"/>
        </w:r>
        <w:r w:rsidR="00F87DF9">
          <w:rPr>
            <w:noProof/>
            <w:webHidden/>
          </w:rPr>
          <w:t>219</w:t>
        </w:r>
        <w:r w:rsidR="00BD038B">
          <w:rPr>
            <w:noProof/>
            <w:webHidden/>
          </w:rPr>
          <w:fldChar w:fldCharType="end"/>
        </w:r>
      </w:hyperlink>
    </w:p>
    <w:p w14:paraId="344B2F9F" w14:textId="189C866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399" w:history="1">
        <w:r w:rsidR="00BD038B" w:rsidRPr="00763BDE">
          <w:rPr>
            <w:rStyle w:val="Hyperlink"/>
            <w:noProof/>
          </w:rPr>
          <w:t xml:space="preserve">Figure 189. </w:t>
        </w:r>
        <w:r w:rsidR="00BD038B" w:rsidRPr="00763BDE">
          <w:rPr>
            <w:rStyle w:val="Hyperlink"/>
            <w:i/>
            <w:noProof/>
          </w:rPr>
          <w:t>Mean abundance (per cent cover) (± SE) of epiphytes and macroalgae at coastal intertidal seagrass monitoring locations (sites pooled) in the Burdekin NRM region</w:t>
        </w:r>
        <w:r w:rsidR="00BD038B">
          <w:rPr>
            <w:noProof/>
            <w:webHidden/>
          </w:rPr>
          <w:tab/>
        </w:r>
        <w:r w:rsidR="00BD038B">
          <w:rPr>
            <w:noProof/>
            <w:webHidden/>
          </w:rPr>
          <w:fldChar w:fldCharType="begin"/>
        </w:r>
        <w:r w:rsidR="00BD038B">
          <w:rPr>
            <w:noProof/>
            <w:webHidden/>
          </w:rPr>
          <w:instrText xml:space="preserve"> PAGEREF _Toc516053399 \h </w:instrText>
        </w:r>
        <w:r w:rsidR="00BD038B">
          <w:rPr>
            <w:noProof/>
            <w:webHidden/>
          </w:rPr>
        </w:r>
        <w:r w:rsidR="00BD038B">
          <w:rPr>
            <w:noProof/>
            <w:webHidden/>
          </w:rPr>
          <w:fldChar w:fldCharType="separate"/>
        </w:r>
        <w:r w:rsidR="00F87DF9">
          <w:rPr>
            <w:noProof/>
            <w:webHidden/>
          </w:rPr>
          <w:t>220</w:t>
        </w:r>
        <w:r w:rsidR="00BD038B">
          <w:rPr>
            <w:noProof/>
            <w:webHidden/>
          </w:rPr>
          <w:fldChar w:fldCharType="end"/>
        </w:r>
      </w:hyperlink>
    </w:p>
    <w:p w14:paraId="436EB91C" w14:textId="2F60B1D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0" w:history="1">
        <w:r w:rsidR="00BD038B" w:rsidRPr="00763BDE">
          <w:rPr>
            <w:rStyle w:val="Hyperlink"/>
            <w:noProof/>
          </w:rPr>
          <w:t xml:space="preserve">Figure 190. </w:t>
        </w:r>
        <w:r w:rsidR="00BD038B" w:rsidRPr="00763BDE">
          <w:rPr>
            <w:rStyle w:val="Hyperlink"/>
            <w:i/>
            <w:noProof/>
          </w:rPr>
          <w:t>Mean abundance (per cent cover) (± SE) of epiphytes and macroalgae at intertidal reef seagrass monitoring locations (sites pooled) in the Burdekin NRM region</w:t>
        </w:r>
        <w:r w:rsidR="00BD038B">
          <w:rPr>
            <w:noProof/>
            <w:webHidden/>
          </w:rPr>
          <w:tab/>
        </w:r>
        <w:r w:rsidR="00BD038B">
          <w:rPr>
            <w:noProof/>
            <w:webHidden/>
          </w:rPr>
          <w:fldChar w:fldCharType="begin"/>
        </w:r>
        <w:r w:rsidR="00BD038B">
          <w:rPr>
            <w:noProof/>
            <w:webHidden/>
          </w:rPr>
          <w:instrText xml:space="preserve"> PAGEREF _Toc516053400 \h </w:instrText>
        </w:r>
        <w:r w:rsidR="00BD038B">
          <w:rPr>
            <w:noProof/>
            <w:webHidden/>
          </w:rPr>
        </w:r>
        <w:r w:rsidR="00BD038B">
          <w:rPr>
            <w:noProof/>
            <w:webHidden/>
          </w:rPr>
          <w:fldChar w:fldCharType="separate"/>
        </w:r>
        <w:r w:rsidR="00F87DF9">
          <w:rPr>
            <w:noProof/>
            <w:webHidden/>
          </w:rPr>
          <w:t>220</w:t>
        </w:r>
        <w:r w:rsidR="00BD038B">
          <w:rPr>
            <w:noProof/>
            <w:webHidden/>
          </w:rPr>
          <w:fldChar w:fldCharType="end"/>
        </w:r>
      </w:hyperlink>
    </w:p>
    <w:p w14:paraId="09C0328E" w14:textId="258D20D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1" w:history="1">
        <w:r w:rsidR="00BD038B" w:rsidRPr="00763BDE">
          <w:rPr>
            <w:rStyle w:val="Hyperlink"/>
            <w:noProof/>
          </w:rPr>
          <w:t xml:space="preserve">Figure 191. </w:t>
        </w:r>
        <w:r w:rsidR="00BD038B" w:rsidRPr="00763BDE">
          <w:rPr>
            <w:rStyle w:val="Hyperlink"/>
            <w:i/>
            <w:noProof/>
          </w:rPr>
          <w:t>Mean abundance (per cent cover) (± SE) of epiphytes and macroalgae at subtidal reef monitoring sites in Picnic Bay, Burdekin NRM region</w:t>
        </w:r>
        <w:r w:rsidR="00BD038B">
          <w:rPr>
            <w:noProof/>
            <w:webHidden/>
          </w:rPr>
          <w:tab/>
        </w:r>
        <w:r w:rsidR="00BD038B">
          <w:rPr>
            <w:noProof/>
            <w:webHidden/>
          </w:rPr>
          <w:fldChar w:fldCharType="begin"/>
        </w:r>
        <w:r w:rsidR="00BD038B">
          <w:rPr>
            <w:noProof/>
            <w:webHidden/>
          </w:rPr>
          <w:instrText xml:space="preserve"> PAGEREF _Toc516053401 \h </w:instrText>
        </w:r>
        <w:r w:rsidR="00BD038B">
          <w:rPr>
            <w:noProof/>
            <w:webHidden/>
          </w:rPr>
        </w:r>
        <w:r w:rsidR="00BD038B">
          <w:rPr>
            <w:noProof/>
            <w:webHidden/>
          </w:rPr>
          <w:fldChar w:fldCharType="separate"/>
        </w:r>
        <w:r w:rsidR="00F87DF9">
          <w:rPr>
            <w:noProof/>
            <w:webHidden/>
          </w:rPr>
          <w:t>220</w:t>
        </w:r>
        <w:r w:rsidR="00BD038B">
          <w:rPr>
            <w:noProof/>
            <w:webHidden/>
          </w:rPr>
          <w:fldChar w:fldCharType="end"/>
        </w:r>
      </w:hyperlink>
    </w:p>
    <w:p w14:paraId="2D601AB9" w14:textId="1539AD8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2" w:history="1">
        <w:r w:rsidR="00BD038B" w:rsidRPr="00763BDE">
          <w:rPr>
            <w:rStyle w:val="Hyperlink"/>
            <w:noProof/>
          </w:rPr>
          <w:t xml:space="preserve">Figure 192. </w:t>
        </w:r>
        <w:r w:rsidR="00BD038B" w:rsidRPr="00763BDE">
          <w:rPr>
            <w:rStyle w:val="Hyperlink"/>
            <w:i/>
            <w:noProof/>
          </w:rPr>
          <w:t>Mean abundance (per cent cover) (± SE) of epiphytes and macroalgae at coastal intertidal seagrass monitoring locations (sites pooled) in the Mackay Whitsunday NRM region</w:t>
        </w:r>
        <w:r w:rsidR="00BD038B">
          <w:rPr>
            <w:noProof/>
            <w:webHidden/>
          </w:rPr>
          <w:tab/>
        </w:r>
        <w:r w:rsidR="00BD038B">
          <w:rPr>
            <w:noProof/>
            <w:webHidden/>
          </w:rPr>
          <w:fldChar w:fldCharType="begin"/>
        </w:r>
        <w:r w:rsidR="00BD038B">
          <w:rPr>
            <w:noProof/>
            <w:webHidden/>
          </w:rPr>
          <w:instrText xml:space="preserve"> PAGEREF _Toc516053402 \h </w:instrText>
        </w:r>
        <w:r w:rsidR="00BD038B">
          <w:rPr>
            <w:noProof/>
            <w:webHidden/>
          </w:rPr>
        </w:r>
        <w:r w:rsidR="00BD038B">
          <w:rPr>
            <w:noProof/>
            <w:webHidden/>
          </w:rPr>
          <w:fldChar w:fldCharType="separate"/>
        </w:r>
        <w:r w:rsidR="00F87DF9">
          <w:rPr>
            <w:noProof/>
            <w:webHidden/>
          </w:rPr>
          <w:t>221</w:t>
        </w:r>
        <w:r w:rsidR="00BD038B">
          <w:rPr>
            <w:noProof/>
            <w:webHidden/>
          </w:rPr>
          <w:fldChar w:fldCharType="end"/>
        </w:r>
      </w:hyperlink>
    </w:p>
    <w:p w14:paraId="5AEDFA54" w14:textId="4E3BFA1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3" w:history="1">
        <w:r w:rsidR="00BD038B" w:rsidRPr="00763BDE">
          <w:rPr>
            <w:rStyle w:val="Hyperlink"/>
            <w:noProof/>
          </w:rPr>
          <w:t xml:space="preserve">Figure 193. </w:t>
        </w:r>
        <w:r w:rsidR="00BD038B" w:rsidRPr="00763BDE">
          <w:rPr>
            <w:rStyle w:val="Hyperlink"/>
            <w:i/>
            <w:noProof/>
          </w:rPr>
          <w:t>Mean abundance (per cent cover) (± SE) of epiphytes and macroalgae at estuarine seagrass monitoring locations (sites pooled) in the Mackay Whitsunday NRM region</w:t>
        </w:r>
        <w:r w:rsidR="00BD038B">
          <w:rPr>
            <w:noProof/>
            <w:webHidden/>
          </w:rPr>
          <w:tab/>
        </w:r>
        <w:r w:rsidR="00BD038B">
          <w:rPr>
            <w:noProof/>
            <w:webHidden/>
          </w:rPr>
          <w:fldChar w:fldCharType="begin"/>
        </w:r>
        <w:r w:rsidR="00BD038B">
          <w:rPr>
            <w:noProof/>
            <w:webHidden/>
          </w:rPr>
          <w:instrText xml:space="preserve"> PAGEREF _Toc516053403 \h </w:instrText>
        </w:r>
        <w:r w:rsidR="00BD038B">
          <w:rPr>
            <w:noProof/>
            <w:webHidden/>
          </w:rPr>
        </w:r>
        <w:r w:rsidR="00BD038B">
          <w:rPr>
            <w:noProof/>
            <w:webHidden/>
          </w:rPr>
          <w:fldChar w:fldCharType="separate"/>
        </w:r>
        <w:r w:rsidR="00F87DF9">
          <w:rPr>
            <w:noProof/>
            <w:webHidden/>
          </w:rPr>
          <w:t>221</w:t>
        </w:r>
        <w:r w:rsidR="00BD038B">
          <w:rPr>
            <w:noProof/>
            <w:webHidden/>
          </w:rPr>
          <w:fldChar w:fldCharType="end"/>
        </w:r>
      </w:hyperlink>
    </w:p>
    <w:p w14:paraId="76A96186" w14:textId="04953DC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4" w:history="1">
        <w:r w:rsidR="00BD038B" w:rsidRPr="00763BDE">
          <w:rPr>
            <w:rStyle w:val="Hyperlink"/>
            <w:noProof/>
          </w:rPr>
          <w:t xml:space="preserve">Figure 194. </w:t>
        </w:r>
        <w:r w:rsidR="00BD038B" w:rsidRPr="00763BDE">
          <w:rPr>
            <w:rStyle w:val="Hyperlink"/>
            <w:i/>
            <w:noProof/>
          </w:rPr>
          <w:t>Mean abundance (per cent cover) (± SE) of epiphytes and macroalgae at reef seagrass monitoring locations (sites pooled) in the Mackay Whitsunday NRM region</w:t>
        </w:r>
        <w:r w:rsidR="00BD038B">
          <w:rPr>
            <w:noProof/>
            <w:webHidden/>
          </w:rPr>
          <w:tab/>
        </w:r>
        <w:r w:rsidR="00BD038B">
          <w:rPr>
            <w:noProof/>
            <w:webHidden/>
          </w:rPr>
          <w:fldChar w:fldCharType="begin"/>
        </w:r>
        <w:r w:rsidR="00BD038B">
          <w:rPr>
            <w:noProof/>
            <w:webHidden/>
          </w:rPr>
          <w:instrText xml:space="preserve"> PAGEREF _Toc516053404 \h </w:instrText>
        </w:r>
        <w:r w:rsidR="00BD038B">
          <w:rPr>
            <w:noProof/>
            <w:webHidden/>
          </w:rPr>
        </w:r>
        <w:r w:rsidR="00BD038B">
          <w:rPr>
            <w:noProof/>
            <w:webHidden/>
          </w:rPr>
          <w:fldChar w:fldCharType="separate"/>
        </w:r>
        <w:r w:rsidR="00F87DF9">
          <w:rPr>
            <w:noProof/>
            <w:webHidden/>
          </w:rPr>
          <w:t>221</w:t>
        </w:r>
        <w:r w:rsidR="00BD038B">
          <w:rPr>
            <w:noProof/>
            <w:webHidden/>
          </w:rPr>
          <w:fldChar w:fldCharType="end"/>
        </w:r>
      </w:hyperlink>
    </w:p>
    <w:p w14:paraId="5B0F38EE" w14:textId="13EC891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5" w:history="1">
        <w:r w:rsidR="00BD038B" w:rsidRPr="00763BDE">
          <w:rPr>
            <w:rStyle w:val="Hyperlink"/>
            <w:noProof/>
          </w:rPr>
          <w:t xml:space="preserve">Figure 195. </w:t>
        </w:r>
        <w:r w:rsidR="00BD038B" w:rsidRPr="00763BDE">
          <w:rPr>
            <w:rStyle w:val="Hyperlink"/>
            <w:i/>
            <w:noProof/>
          </w:rPr>
          <w:t>Mean abundance (per cent cover) (± SE) of epiphytes and macroalgae at coastal intertidal seagrass monitoring locations (sites pooled) in the Fitzroy NRM region</w:t>
        </w:r>
        <w:r w:rsidR="00BD038B">
          <w:rPr>
            <w:noProof/>
            <w:webHidden/>
          </w:rPr>
          <w:tab/>
        </w:r>
        <w:r w:rsidR="00BD038B">
          <w:rPr>
            <w:noProof/>
            <w:webHidden/>
          </w:rPr>
          <w:fldChar w:fldCharType="begin"/>
        </w:r>
        <w:r w:rsidR="00BD038B">
          <w:rPr>
            <w:noProof/>
            <w:webHidden/>
          </w:rPr>
          <w:instrText xml:space="preserve"> PAGEREF _Toc516053405 \h </w:instrText>
        </w:r>
        <w:r w:rsidR="00BD038B">
          <w:rPr>
            <w:noProof/>
            <w:webHidden/>
          </w:rPr>
        </w:r>
        <w:r w:rsidR="00BD038B">
          <w:rPr>
            <w:noProof/>
            <w:webHidden/>
          </w:rPr>
          <w:fldChar w:fldCharType="separate"/>
        </w:r>
        <w:r w:rsidR="00F87DF9">
          <w:rPr>
            <w:noProof/>
            <w:webHidden/>
          </w:rPr>
          <w:t>222</w:t>
        </w:r>
        <w:r w:rsidR="00BD038B">
          <w:rPr>
            <w:noProof/>
            <w:webHidden/>
          </w:rPr>
          <w:fldChar w:fldCharType="end"/>
        </w:r>
      </w:hyperlink>
    </w:p>
    <w:p w14:paraId="7207E7FC" w14:textId="66D453A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6" w:history="1">
        <w:r w:rsidR="00BD038B" w:rsidRPr="00763BDE">
          <w:rPr>
            <w:rStyle w:val="Hyperlink"/>
            <w:noProof/>
          </w:rPr>
          <w:t xml:space="preserve">Figure 196. </w:t>
        </w:r>
        <w:r w:rsidR="00BD038B" w:rsidRPr="00763BDE">
          <w:rPr>
            <w:rStyle w:val="Hyperlink"/>
            <w:i/>
            <w:noProof/>
          </w:rPr>
          <w:t>Mean abundance (per cent cover) (± SE) of epiphytes and macroalgae at estuarine seagrass monitoring locations (sites pooled) in the Fitzroy NRM region</w:t>
        </w:r>
        <w:r w:rsidR="00BD038B">
          <w:rPr>
            <w:noProof/>
            <w:webHidden/>
          </w:rPr>
          <w:tab/>
        </w:r>
        <w:r w:rsidR="00BD038B">
          <w:rPr>
            <w:noProof/>
            <w:webHidden/>
          </w:rPr>
          <w:fldChar w:fldCharType="begin"/>
        </w:r>
        <w:r w:rsidR="00BD038B">
          <w:rPr>
            <w:noProof/>
            <w:webHidden/>
          </w:rPr>
          <w:instrText xml:space="preserve"> PAGEREF _Toc516053406 \h </w:instrText>
        </w:r>
        <w:r w:rsidR="00BD038B">
          <w:rPr>
            <w:noProof/>
            <w:webHidden/>
          </w:rPr>
        </w:r>
        <w:r w:rsidR="00BD038B">
          <w:rPr>
            <w:noProof/>
            <w:webHidden/>
          </w:rPr>
          <w:fldChar w:fldCharType="separate"/>
        </w:r>
        <w:r w:rsidR="00F87DF9">
          <w:rPr>
            <w:noProof/>
            <w:webHidden/>
          </w:rPr>
          <w:t>222</w:t>
        </w:r>
        <w:r w:rsidR="00BD038B">
          <w:rPr>
            <w:noProof/>
            <w:webHidden/>
          </w:rPr>
          <w:fldChar w:fldCharType="end"/>
        </w:r>
      </w:hyperlink>
    </w:p>
    <w:p w14:paraId="345BB379" w14:textId="27662A8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7" w:history="1">
        <w:r w:rsidR="00BD038B" w:rsidRPr="00763BDE">
          <w:rPr>
            <w:rStyle w:val="Hyperlink"/>
            <w:noProof/>
          </w:rPr>
          <w:t xml:space="preserve">Figure 197. </w:t>
        </w:r>
        <w:r w:rsidR="00BD038B" w:rsidRPr="00763BDE">
          <w:rPr>
            <w:rStyle w:val="Hyperlink"/>
            <w:i/>
            <w:noProof/>
          </w:rPr>
          <w:t>Mean abundance (per cent cover) (± SE) of epiphytes and macroalgae at reef seagrass monitoring locations (sites pooled) in the Fitzroy NRM region</w:t>
        </w:r>
        <w:r w:rsidR="00BD038B">
          <w:rPr>
            <w:noProof/>
            <w:webHidden/>
          </w:rPr>
          <w:tab/>
        </w:r>
        <w:r w:rsidR="00BD038B">
          <w:rPr>
            <w:noProof/>
            <w:webHidden/>
          </w:rPr>
          <w:fldChar w:fldCharType="begin"/>
        </w:r>
        <w:r w:rsidR="00BD038B">
          <w:rPr>
            <w:noProof/>
            <w:webHidden/>
          </w:rPr>
          <w:instrText xml:space="preserve"> PAGEREF _Toc516053407 \h </w:instrText>
        </w:r>
        <w:r w:rsidR="00BD038B">
          <w:rPr>
            <w:noProof/>
            <w:webHidden/>
          </w:rPr>
        </w:r>
        <w:r w:rsidR="00BD038B">
          <w:rPr>
            <w:noProof/>
            <w:webHidden/>
          </w:rPr>
          <w:fldChar w:fldCharType="separate"/>
        </w:r>
        <w:r w:rsidR="00F87DF9">
          <w:rPr>
            <w:noProof/>
            <w:webHidden/>
          </w:rPr>
          <w:t>222</w:t>
        </w:r>
        <w:r w:rsidR="00BD038B">
          <w:rPr>
            <w:noProof/>
            <w:webHidden/>
          </w:rPr>
          <w:fldChar w:fldCharType="end"/>
        </w:r>
      </w:hyperlink>
    </w:p>
    <w:p w14:paraId="3D00E56D" w14:textId="1EE8D21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8" w:history="1">
        <w:r w:rsidR="00BD038B" w:rsidRPr="00763BDE">
          <w:rPr>
            <w:rStyle w:val="Hyperlink"/>
            <w:noProof/>
          </w:rPr>
          <w:t xml:space="preserve">Figure 198. </w:t>
        </w:r>
        <w:r w:rsidR="00BD038B" w:rsidRPr="00763BDE">
          <w:rPr>
            <w:rStyle w:val="Hyperlink"/>
            <w:i/>
            <w:noProof/>
          </w:rPr>
          <w:t>Mean abundance (per cent cover) (± SE) of epiphytes and macroalgae at estuarine seagrass monitoring locations (sites pooled) in the Burnett Mary NRM region.</w:t>
        </w:r>
        <w:r w:rsidR="00BD038B">
          <w:rPr>
            <w:noProof/>
            <w:webHidden/>
          </w:rPr>
          <w:tab/>
        </w:r>
        <w:r w:rsidR="00BD038B">
          <w:rPr>
            <w:noProof/>
            <w:webHidden/>
          </w:rPr>
          <w:fldChar w:fldCharType="begin"/>
        </w:r>
        <w:r w:rsidR="00BD038B">
          <w:rPr>
            <w:noProof/>
            <w:webHidden/>
          </w:rPr>
          <w:instrText xml:space="preserve"> PAGEREF _Toc516053408 \h </w:instrText>
        </w:r>
        <w:r w:rsidR="00BD038B">
          <w:rPr>
            <w:noProof/>
            <w:webHidden/>
          </w:rPr>
        </w:r>
        <w:r w:rsidR="00BD038B">
          <w:rPr>
            <w:noProof/>
            <w:webHidden/>
          </w:rPr>
          <w:fldChar w:fldCharType="separate"/>
        </w:r>
        <w:r w:rsidR="00F87DF9">
          <w:rPr>
            <w:noProof/>
            <w:webHidden/>
          </w:rPr>
          <w:t>223</w:t>
        </w:r>
        <w:r w:rsidR="00BD038B">
          <w:rPr>
            <w:noProof/>
            <w:webHidden/>
          </w:rPr>
          <w:fldChar w:fldCharType="end"/>
        </w:r>
      </w:hyperlink>
    </w:p>
    <w:p w14:paraId="666E507A" w14:textId="0CA0B22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09" w:history="1">
        <w:r w:rsidR="00BD038B" w:rsidRPr="00763BDE">
          <w:rPr>
            <w:rStyle w:val="Hyperlink"/>
            <w:noProof/>
          </w:rPr>
          <w:t xml:space="preserve">Figure 199. </w:t>
        </w:r>
        <w:r w:rsidR="00BD038B" w:rsidRPr="00763BDE">
          <w:rPr>
            <w:rStyle w:val="Hyperlink"/>
            <w:i/>
            <w:noProof/>
          </w:rPr>
          <w:t>Mean abundance (per cent cover) (± SE) of epiphytes and macroalgae at coastal seagrass monitoring locations (sites pooled) in the Burnett Mary NRM region.</w:t>
        </w:r>
        <w:r w:rsidR="00BD038B">
          <w:rPr>
            <w:noProof/>
            <w:webHidden/>
          </w:rPr>
          <w:tab/>
        </w:r>
        <w:r w:rsidR="00BD038B">
          <w:rPr>
            <w:noProof/>
            <w:webHidden/>
          </w:rPr>
          <w:fldChar w:fldCharType="begin"/>
        </w:r>
        <w:r w:rsidR="00BD038B">
          <w:rPr>
            <w:noProof/>
            <w:webHidden/>
          </w:rPr>
          <w:instrText xml:space="preserve"> PAGEREF _Toc516053409 \h </w:instrText>
        </w:r>
        <w:r w:rsidR="00BD038B">
          <w:rPr>
            <w:noProof/>
            <w:webHidden/>
          </w:rPr>
        </w:r>
        <w:r w:rsidR="00BD038B">
          <w:rPr>
            <w:noProof/>
            <w:webHidden/>
          </w:rPr>
          <w:fldChar w:fldCharType="separate"/>
        </w:r>
        <w:r w:rsidR="00F87DF9">
          <w:rPr>
            <w:noProof/>
            <w:webHidden/>
          </w:rPr>
          <w:t>223</w:t>
        </w:r>
        <w:r w:rsidR="00BD038B">
          <w:rPr>
            <w:noProof/>
            <w:webHidden/>
          </w:rPr>
          <w:fldChar w:fldCharType="end"/>
        </w:r>
      </w:hyperlink>
    </w:p>
    <w:p w14:paraId="311235E8" w14:textId="07FB079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0" w:history="1">
        <w:r w:rsidR="00BD038B" w:rsidRPr="00763BDE">
          <w:rPr>
            <w:rStyle w:val="Hyperlink"/>
            <w:noProof/>
          </w:rPr>
          <w:t xml:space="preserve">Figure 200. </w:t>
        </w:r>
        <w:r w:rsidR="00BD038B" w:rsidRPr="00763BDE">
          <w:rPr>
            <w:rStyle w:val="Hyperlink"/>
            <w:i/>
            <w:noProof/>
          </w:rPr>
          <w:t>Location and species composition of each long-term seagrass monitoring site (MMP) in the Cape York region.</w:t>
        </w:r>
        <w:r w:rsidR="00BD038B">
          <w:rPr>
            <w:noProof/>
            <w:webHidden/>
          </w:rPr>
          <w:tab/>
        </w:r>
        <w:r w:rsidR="00BD038B">
          <w:rPr>
            <w:noProof/>
            <w:webHidden/>
          </w:rPr>
          <w:fldChar w:fldCharType="begin"/>
        </w:r>
        <w:r w:rsidR="00BD038B">
          <w:rPr>
            <w:noProof/>
            <w:webHidden/>
          </w:rPr>
          <w:instrText xml:space="preserve"> PAGEREF _Toc516053410 \h </w:instrText>
        </w:r>
        <w:r w:rsidR="00BD038B">
          <w:rPr>
            <w:noProof/>
            <w:webHidden/>
          </w:rPr>
        </w:r>
        <w:r w:rsidR="00BD038B">
          <w:rPr>
            <w:noProof/>
            <w:webHidden/>
          </w:rPr>
          <w:fldChar w:fldCharType="separate"/>
        </w:r>
        <w:r w:rsidR="00F87DF9">
          <w:rPr>
            <w:noProof/>
            <w:webHidden/>
          </w:rPr>
          <w:t>226</w:t>
        </w:r>
        <w:r w:rsidR="00BD038B">
          <w:rPr>
            <w:noProof/>
            <w:webHidden/>
          </w:rPr>
          <w:fldChar w:fldCharType="end"/>
        </w:r>
      </w:hyperlink>
    </w:p>
    <w:p w14:paraId="22AADA1A" w14:textId="0682535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1" w:history="1">
        <w:r w:rsidR="00BD038B" w:rsidRPr="00763BDE">
          <w:rPr>
            <w:rStyle w:val="Hyperlink"/>
            <w:noProof/>
          </w:rPr>
          <w:t xml:space="preserve">Figure 201. </w:t>
        </w:r>
        <w:r w:rsidR="00BD038B" w:rsidRPr="00763BDE">
          <w:rPr>
            <w:rStyle w:val="Hyperlink"/>
            <w:i/>
            <w:noProof/>
          </w:rPr>
          <w:t>Location and species composition of each long-term seagrass monitoring site (MMP) in the Wet Tropics region.</w:t>
        </w:r>
        <w:r w:rsidR="00BD038B">
          <w:rPr>
            <w:noProof/>
            <w:webHidden/>
          </w:rPr>
          <w:tab/>
        </w:r>
        <w:r w:rsidR="00BD038B">
          <w:rPr>
            <w:noProof/>
            <w:webHidden/>
          </w:rPr>
          <w:fldChar w:fldCharType="begin"/>
        </w:r>
        <w:r w:rsidR="00BD038B">
          <w:rPr>
            <w:noProof/>
            <w:webHidden/>
          </w:rPr>
          <w:instrText xml:space="preserve"> PAGEREF _Toc516053411 \h </w:instrText>
        </w:r>
        <w:r w:rsidR="00BD038B">
          <w:rPr>
            <w:noProof/>
            <w:webHidden/>
          </w:rPr>
        </w:r>
        <w:r w:rsidR="00BD038B">
          <w:rPr>
            <w:noProof/>
            <w:webHidden/>
          </w:rPr>
          <w:fldChar w:fldCharType="separate"/>
        </w:r>
        <w:r w:rsidR="00F87DF9">
          <w:rPr>
            <w:noProof/>
            <w:webHidden/>
          </w:rPr>
          <w:t>227</w:t>
        </w:r>
        <w:r w:rsidR="00BD038B">
          <w:rPr>
            <w:noProof/>
            <w:webHidden/>
          </w:rPr>
          <w:fldChar w:fldCharType="end"/>
        </w:r>
      </w:hyperlink>
    </w:p>
    <w:p w14:paraId="0F7DE29A" w14:textId="2B649D6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2" w:history="1">
        <w:r w:rsidR="00BD038B" w:rsidRPr="00763BDE">
          <w:rPr>
            <w:rStyle w:val="Hyperlink"/>
            <w:noProof/>
          </w:rPr>
          <w:t xml:space="preserve">Figure 202. </w:t>
        </w:r>
        <w:r w:rsidR="00BD038B" w:rsidRPr="00763BDE">
          <w:rPr>
            <w:rStyle w:val="Hyperlink"/>
            <w:i/>
            <w:noProof/>
          </w:rPr>
          <w:t>Location and species composition of each long-term seagrass monitoring site (MMP) in the Burdekin region.</w:t>
        </w:r>
        <w:r w:rsidR="00BD038B">
          <w:rPr>
            <w:noProof/>
            <w:webHidden/>
          </w:rPr>
          <w:tab/>
        </w:r>
        <w:r w:rsidR="00BD038B">
          <w:rPr>
            <w:noProof/>
            <w:webHidden/>
          </w:rPr>
          <w:fldChar w:fldCharType="begin"/>
        </w:r>
        <w:r w:rsidR="00BD038B">
          <w:rPr>
            <w:noProof/>
            <w:webHidden/>
          </w:rPr>
          <w:instrText xml:space="preserve"> PAGEREF _Toc516053412 \h </w:instrText>
        </w:r>
        <w:r w:rsidR="00BD038B">
          <w:rPr>
            <w:noProof/>
            <w:webHidden/>
          </w:rPr>
        </w:r>
        <w:r w:rsidR="00BD038B">
          <w:rPr>
            <w:noProof/>
            <w:webHidden/>
          </w:rPr>
          <w:fldChar w:fldCharType="separate"/>
        </w:r>
        <w:r w:rsidR="00F87DF9">
          <w:rPr>
            <w:noProof/>
            <w:webHidden/>
          </w:rPr>
          <w:t>228</w:t>
        </w:r>
        <w:r w:rsidR="00BD038B">
          <w:rPr>
            <w:noProof/>
            <w:webHidden/>
          </w:rPr>
          <w:fldChar w:fldCharType="end"/>
        </w:r>
      </w:hyperlink>
    </w:p>
    <w:p w14:paraId="6B6AE889" w14:textId="40617A0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3" w:history="1">
        <w:r w:rsidR="00BD038B" w:rsidRPr="00763BDE">
          <w:rPr>
            <w:rStyle w:val="Hyperlink"/>
            <w:noProof/>
          </w:rPr>
          <w:t xml:space="preserve">Figure 203. </w:t>
        </w:r>
        <w:r w:rsidR="00BD038B" w:rsidRPr="00763BDE">
          <w:rPr>
            <w:rStyle w:val="Hyperlink"/>
            <w:i/>
            <w:noProof/>
          </w:rPr>
          <w:t>Location and species composition of each long-term seagrass monitoring site (MMP) in the Mackay Whitsunday region.</w:t>
        </w:r>
        <w:r w:rsidR="00BD038B">
          <w:rPr>
            <w:noProof/>
            <w:webHidden/>
          </w:rPr>
          <w:tab/>
        </w:r>
        <w:r w:rsidR="00BD038B">
          <w:rPr>
            <w:noProof/>
            <w:webHidden/>
          </w:rPr>
          <w:fldChar w:fldCharType="begin"/>
        </w:r>
        <w:r w:rsidR="00BD038B">
          <w:rPr>
            <w:noProof/>
            <w:webHidden/>
          </w:rPr>
          <w:instrText xml:space="preserve"> PAGEREF _Toc516053413 \h </w:instrText>
        </w:r>
        <w:r w:rsidR="00BD038B">
          <w:rPr>
            <w:noProof/>
            <w:webHidden/>
          </w:rPr>
        </w:r>
        <w:r w:rsidR="00BD038B">
          <w:rPr>
            <w:noProof/>
            <w:webHidden/>
          </w:rPr>
          <w:fldChar w:fldCharType="separate"/>
        </w:r>
        <w:r w:rsidR="00F87DF9">
          <w:rPr>
            <w:noProof/>
            <w:webHidden/>
          </w:rPr>
          <w:t>229</w:t>
        </w:r>
        <w:r w:rsidR="00BD038B">
          <w:rPr>
            <w:noProof/>
            <w:webHidden/>
          </w:rPr>
          <w:fldChar w:fldCharType="end"/>
        </w:r>
      </w:hyperlink>
    </w:p>
    <w:p w14:paraId="7F67D19E" w14:textId="6948457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4" w:history="1">
        <w:r w:rsidR="00BD038B" w:rsidRPr="00763BDE">
          <w:rPr>
            <w:rStyle w:val="Hyperlink"/>
            <w:noProof/>
          </w:rPr>
          <w:t xml:space="preserve">Figure 204. </w:t>
        </w:r>
        <w:r w:rsidR="00BD038B" w:rsidRPr="00763BDE">
          <w:rPr>
            <w:rStyle w:val="Hyperlink"/>
            <w:i/>
            <w:noProof/>
          </w:rPr>
          <w:t>Location and species composition of each long-term seagrass monitoring site (MMP) in the Fitzroy region.</w:t>
        </w:r>
        <w:r w:rsidR="00BD038B">
          <w:rPr>
            <w:noProof/>
            <w:webHidden/>
          </w:rPr>
          <w:tab/>
        </w:r>
        <w:r w:rsidR="00BD038B">
          <w:rPr>
            <w:noProof/>
            <w:webHidden/>
          </w:rPr>
          <w:fldChar w:fldCharType="begin"/>
        </w:r>
        <w:r w:rsidR="00BD038B">
          <w:rPr>
            <w:noProof/>
            <w:webHidden/>
          </w:rPr>
          <w:instrText xml:space="preserve"> PAGEREF _Toc516053414 \h </w:instrText>
        </w:r>
        <w:r w:rsidR="00BD038B">
          <w:rPr>
            <w:noProof/>
            <w:webHidden/>
          </w:rPr>
        </w:r>
        <w:r w:rsidR="00BD038B">
          <w:rPr>
            <w:noProof/>
            <w:webHidden/>
          </w:rPr>
          <w:fldChar w:fldCharType="separate"/>
        </w:r>
        <w:r w:rsidR="00F87DF9">
          <w:rPr>
            <w:noProof/>
            <w:webHidden/>
          </w:rPr>
          <w:t>230</w:t>
        </w:r>
        <w:r w:rsidR="00BD038B">
          <w:rPr>
            <w:noProof/>
            <w:webHidden/>
          </w:rPr>
          <w:fldChar w:fldCharType="end"/>
        </w:r>
      </w:hyperlink>
    </w:p>
    <w:p w14:paraId="4CE1925C" w14:textId="74736A4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5" w:history="1">
        <w:r w:rsidR="00BD038B" w:rsidRPr="00763BDE">
          <w:rPr>
            <w:rStyle w:val="Hyperlink"/>
            <w:noProof/>
          </w:rPr>
          <w:t xml:space="preserve">Figure 205. </w:t>
        </w:r>
        <w:r w:rsidR="00BD038B" w:rsidRPr="00763BDE">
          <w:rPr>
            <w:rStyle w:val="Hyperlink"/>
            <w:i/>
            <w:noProof/>
          </w:rPr>
          <w:t>Location and species composition of each long-term seagrass monitoring site (MMP) in the Burnett Mary region.</w:t>
        </w:r>
        <w:r w:rsidR="00BD038B">
          <w:rPr>
            <w:noProof/>
            <w:webHidden/>
          </w:rPr>
          <w:tab/>
        </w:r>
        <w:r w:rsidR="00BD038B">
          <w:rPr>
            <w:noProof/>
            <w:webHidden/>
          </w:rPr>
          <w:fldChar w:fldCharType="begin"/>
        </w:r>
        <w:r w:rsidR="00BD038B">
          <w:rPr>
            <w:noProof/>
            <w:webHidden/>
          </w:rPr>
          <w:instrText xml:space="preserve"> PAGEREF _Toc516053415 \h </w:instrText>
        </w:r>
        <w:r w:rsidR="00BD038B">
          <w:rPr>
            <w:noProof/>
            <w:webHidden/>
          </w:rPr>
        </w:r>
        <w:r w:rsidR="00BD038B">
          <w:rPr>
            <w:noProof/>
            <w:webHidden/>
          </w:rPr>
          <w:fldChar w:fldCharType="separate"/>
        </w:r>
        <w:r w:rsidR="00F87DF9">
          <w:rPr>
            <w:noProof/>
            <w:webHidden/>
          </w:rPr>
          <w:t>231</w:t>
        </w:r>
        <w:r w:rsidR="00BD038B">
          <w:rPr>
            <w:noProof/>
            <w:webHidden/>
          </w:rPr>
          <w:fldChar w:fldCharType="end"/>
        </w:r>
      </w:hyperlink>
    </w:p>
    <w:p w14:paraId="04B8A5EC" w14:textId="1763C7A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6" w:history="1">
        <w:r w:rsidR="00BD038B" w:rsidRPr="00763BDE">
          <w:rPr>
            <w:rStyle w:val="Hyperlink"/>
            <w:noProof/>
          </w:rPr>
          <w:t xml:space="preserve">Figure 206. </w:t>
        </w:r>
        <w:r w:rsidR="00BD038B" w:rsidRPr="00763BDE">
          <w:rPr>
            <w:rStyle w:val="Hyperlink"/>
            <w:i/>
            <w:noProof/>
            <w:lang w:eastAsia="en-AU"/>
          </w:rPr>
          <w:t xml:space="preserve">Elemental ratios (atomic) of seagrass leaf tissue C:N, </w:t>
        </w:r>
        <w:r w:rsidR="00BD038B" w:rsidRPr="00763BDE">
          <w:rPr>
            <w:rStyle w:val="Hyperlink"/>
            <w:i/>
            <w:iCs/>
            <w:noProof/>
            <w:lang w:eastAsia="en-AU"/>
          </w:rPr>
          <w:t>N:P and C:P</w:t>
        </w:r>
        <w:r w:rsidR="00BD038B" w:rsidRPr="00763BDE">
          <w:rPr>
            <w:rStyle w:val="Hyperlink"/>
            <w:i/>
            <w:noProof/>
            <w:lang w:eastAsia="en-AU"/>
          </w:rPr>
          <w:t xml:space="preserve"> for </w:t>
        </w:r>
        <w:r w:rsidR="00BD038B" w:rsidRPr="00763BDE">
          <w:rPr>
            <w:rStyle w:val="Hyperlink"/>
            <w:i/>
            <w:noProof/>
          </w:rPr>
          <w:t>the foundation seagrass species examined at each coastal location in the Cape York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_Toc516053416 \h </w:instrText>
        </w:r>
        <w:r w:rsidR="00BD038B">
          <w:rPr>
            <w:noProof/>
            <w:webHidden/>
          </w:rPr>
        </w:r>
        <w:r w:rsidR="00BD038B">
          <w:rPr>
            <w:noProof/>
            <w:webHidden/>
          </w:rPr>
          <w:fldChar w:fldCharType="separate"/>
        </w:r>
        <w:r w:rsidR="00F87DF9">
          <w:rPr>
            <w:noProof/>
            <w:webHidden/>
          </w:rPr>
          <w:t>232</w:t>
        </w:r>
        <w:r w:rsidR="00BD038B">
          <w:rPr>
            <w:noProof/>
            <w:webHidden/>
          </w:rPr>
          <w:fldChar w:fldCharType="end"/>
        </w:r>
      </w:hyperlink>
    </w:p>
    <w:p w14:paraId="3AC201B0" w14:textId="380ED3B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7" w:history="1">
        <w:r w:rsidR="00BD038B" w:rsidRPr="00763BDE">
          <w:rPr>
            <w:rStyle w:val="Hyperlink"/>
            <w:noProof/>
          </w:rPr>
          <w:t>Figure 207</w:t>
        </w:r>
        <w:r w:rsidR="00BD038B" w:rsidRPr="00763BDE">
          <w:rPr>
            <w:rStyle w:val="Hyperlink"/>
            <w:i/>
            <w:noProof/>
          </w:rPr>
          <w:t xml:space="preserve">. </w:t>
        </w:r>
        <w:r w:rsidR="00BD038B" w:rsidRPr="00763BDE">
          <w:rPr>
            <w:rStyle w:val="Hyperlink"/>
            <w:i/>
            <w:noProof/>
            <w:lang w:eastAsia="en-AU"/>
          </w:rPr>
          <w:t xml:space="preserve">Elemental ratios (atomic) of seagrass leaf tissue C:N, </w:t>
        </w:r>
        <w:r w:rsidR="00BD038B" w:rsidRPr="00763BDE">
          <w:rPr>
            <w:rStyle w:val="Hyperlink"/>
            <w:i/>
            <w:iCs/>
            <w:noProof/>
            <w:lang w:eastAsia="en-AU"/>
          </w:rPr>
          <w:t>N:P and C:P</w:t>
        </w:r>
        <w:r w:rsidR="00BD038B" w:rsidRPr="00763BDE">
          <w:rPr>
            <w:rStyle w:val="Hyperlink"/>
            <w:i/>
            <w:noProof/>
            <w:lang w:eastAsia="en-AU"/>
          </w:rPr>
          <w:t xml:space="preserve"> for </w:t>
        </w:r>
        <w:r w:rsidR="00BD038B" w:rsidRPr="00763BDE">
          <w:rPr>
            <w:rStyle w:val="Hyperlink"/>
            <w:i/>
            <w:noProof/>
          </w:rPr>
          <w:t>the foundation seagrass species examined at each reef location in the Cape York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_Toc516053417 \h </w:instrText>
        </w:r>
        <w:r w:rsidR="00BD038B">
          <w:rPr>
            <w:noProof/>
            <w:webHidden/>
          </w:rPr>
        </w:r>
        <w:r w:rsidR="00BD038B">
          <w:rPr>
            <w:noProof/>
            <w:webHidden/>
          </w:rPr>
          <w:fldChar w:fldCharType="separate"/>
        </w:r>
        <w:r w:rsidR="00F87DF9">
          <w:rPr>
            <w:noProof/>
            <w:webHidden/>
          </w:rPr>
          <w:t>233</w:t>
        </w:r>
        <w:r w:rsidR="00BD038B">
          <w:rPr>
            <w:noProof/>
            <w:webHidden/>
          </w:rPr>
          <w:fldChar w:fldCharType="end"/>
        </w:r>
      </w:hyperlink>
    </w:p>
    <w:p w14:paraId="3FC78432" w14:textId="302802F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8" w:history="1">
        <w:r w:rsidR="00BD038B" w:rsidRPr="00763BDE">
          <w:rPr>
            <w:rStyle w:val="Hyperlink"/>
            <w:noProof/>
          </w:rPr>
          <w:t xml:space="preserve">Figure 208.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seagrass species examined at each habitat and location in the Wet Tropics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_Toc516053418 \h </w:instrText>
        </w:r>
        <w:r w:rsidR="00BD038B">
          <w:rPr>
            <w:noProof/>
            <w:webHidden/>
          </w:rPr>
        </w:r>
        <w:r w:rsidR="00BD038B">
          <w:rPr>
            <w:noProof/>
            <w:webHidden/>
          </w:rPr>
          <w:fldChar w:fldCharType="separate"/>
        </w:r>
        <w:r w:rsidR="00F87DF9">
          <w:rPr>
            <w:noProof/>
            <w:webHidden/>
          </w:rPr>
          <w:t>234</w:t>
        </w:r>
        <w:r w:rsidR="00BD038B">
          <w:rPr>
            <w:noProof/>
            <w:webHidden/>
          </w:rPr>
          <w:fldChar w:fldCharType="end"/>
        </w:r>
      </w:hyperlink>
    </w:p>
    <w:p w14:paraId="64274209" w14:textId="5A1CFB3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19" w:history="1">
        <w:r w:rsidR="00BD038B" w:rsidRPr="00763BDE">
          <w:rPr>
            <w:rStyle w:val="Hyperlink"/>
            <w:noProof/>
          </w:rPr>
          <w:t xml:space="preserve">Figure 209. </w:t>
        </w:r>
        <w:r w:rsidR="00BD038B" w:rsidRPr="00763BDE">
          <w:rPr>
            <w:rStyle w:val="Hyperlink"/>
            <w:i/>
            <w:noProof/>
            <w:lang w:eastAsia="en-AU"/>
          </w:rPr>
          <w:t xml:space="preserve">Elemental ratios (atomic) of seagrass leaf tissue C:P and N:P for </w:t>
        </w:r>
        <w:r w:rsidR="00BD038B" w:rsidRPr="00763BDE">
          <w:rPr>
            <w:rStyle w:val="Hyperlink"/>
            <w:i/>
            <w:noProof/>
          </w:rPr>
          <w:t>the foundation seagrass species examined at intertidal coastal habitats in the Wet Tropics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_Toc516053419 \h </w:instrText>
        </w:r>
        <w:r w:rsidR="00BD038B">
          <w:rPr>
            <w:noProof/>
            <w:webHidden/>
          </w:rPr>
        </w:r>
        <w:r w:rsidR="00BD038B">
          <w:rPr>
            <w:noProof/>
            <w:webHidden/>
          </w:rPr>
          <w:fldChar w:fldCharType="separate"/>
        </w:r>
        <w:r w:rsidR="00F87DF9">
          <w:rPr>
            <w:noProof/>
            <w:webHidden/>
          </w:rPr>
          <w:t>235</w:t>
        </w:r>
        <w:r w:rsidR="00BD038B">
          <w:rPr>
            <w:noProof/>
            <w:webHidden/>
          </w:rPr>
          <w:fldChar w:fldCharType="end"/>
        </w:r>
      </w:hyperlink>
    </w:p>
    <w:p w14:paraId="511D453C" w14:textId="5D1BD66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0" w:history="1">
        <w:r w:rsidR="00BD038B" w:rsidRPr="00763BDE">
          <w:rPr>
            <w:rStyle w:val="Hyperlink"/>
            <w:noProof/>
          </w:rPr>
          <w:t xml:space="preserve">Figure 210. </w:t>
        </w:r>
        <w:r w:rsidR="00BD038B" w:rsidRPr="00763BDE">
          <w:rPr>
            <w:rStyle w:val="Hyperlink"/>
            <w:i/>
            <w:noProof/>
            <w:lang w:eastAsia="en-AU"/>
          </w:rPr>
          <w:t xml:space="preserve">Elemental ratios (atomic) of seagrass leaf tissue C:P and N:P for </w:t>
        </w:r>
        <w:r w:rsidR="00BD038B" w:rsidRPr="00763BDE">
          <w:rPr>
            <w:rStyle w:val="Hyperlink"/>
            <w:i/>
            <w:noProof/>
          </w:rPr>
          <w:t>the foundation seagrass species examined at intertidal reef habitats in the Wet Tropics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_Toc516053420 \h </w:instrText>
        </w:r>
        <w:r w:rsidR="00BD038B">
          <w:rPr>
            <w:noProof/>
            <w:webHidden/>
          </w:rPr>
        </w:r>
        <w:r w:rsidR="00BD038B">
          <w:rPr>
            <w:noProof/>
            <w:webHidden/>
          </w:rPr>
          <w:fldChar w:fldCharType="separate"/>
        </w:r>
        <w:r w:rsidR="00F87DF9">
          <w:rPr>
            <w:noProof/>
            <w:webHidden/>
          </w:rPr>
          <w:t>235</w:t>
        </w:r>
        <w:r w:rsidR="00BD038B">
          <w:rPr>
            <w:noProof/>
            <w:webHidden/>
          </w:rPr>
          <w:fldChar w:fldCharType="end"/>
        </w:r>
      </w:hyperlink>
    </w:p>
    <w:p w14:paraId="6AF5F333" w14:textId="5474461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1" w:history="1">
        <w:r w:rsidR="00BD038B" w:rsidRPr="00763BDE">
          <w:rPr>
            <w:rStyle w:val="Hyperlink"/>
            <w:noProof/>
          </w:rPr>
          <w:t xml:space="preserve">Figure 211. </w:t>
        </w:r>
        <w:r w:rsidR="00BD038B" w:rsidRPr="00763BDE">
          <w:rPr>
            <w:rStyle w:val="Hyperlink"/>
            <w:i/>
            <w:noProof/>
            <w:lang w:eastAsia="en-AU"/>
          </w:rPr>
          <w:t xml:space="preserve">Elemental ratios (atomic) of seagrass leaf tissue C:P and N:P for </w:t>
        </w:r>
        <w:r w:rsidR="00BD038B" w:rsidRPr="00763BDE">
          <w:rPr>
            <w:rStyle w:val="Hyperlink"/>
            <w:i/>
            <w:noProof/>
          </w:rPr>
          <w:t>the foundation seagrass species examined at subtidal reef habitats in the Wet Tropics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_Toc516053421 \h </w:instrText>
        </w:r>
        <w:r w:rsidR="00BD038B">
          <w:rPr>
            <w:noProof/>
            <w:webHidden/>
          </w:rPr>
        </w:r>
        <w:r w:rsidR="00BD038B">
          <w:rPr>
            <w:noProof/>
            <w:webHidden/>
          </w:rPr>
          <w:fldChar w:fldCharType="separate"/>
        </w:r>
        <w:r w:rsidR="00F87DF9">
          <w:rPr>
            <w:noProof/>
            <w:webHidden/>
          </w:rPr>
          <w:t>236</w:t>
        </w:r>
        <w:r w:rsidR="00BD038B">
          <w:rPr>
            <w:noProof/>
            <w:webHidden/>
          </w:rPr>
          <w:fldChar w:fldCharType="end"/>
        </w:r>
      </w:hyperlink>
    </w:p>
    <w:p w14:paraId="787FD4A6" w14:textId="6AAEEB12"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2" w:history="1">
        <w:r w:rsidR="00BD038B" w:rsidRPr="00763BDE">
          <w:rPr>
            <w:rStyle w:val="Hyperlink"/>
            <w:noProof/>
          </w:rPr>
          <w:t xml:space="preserve">Figure 212. </w:t>
        </w:r>
        <w:r w:rsidR="00BD038B" w:rsidRPr="00763BDE">
          <w:rPr>
            <w:rStyle w:val="Hyperlink"/>
            <w:i/>
            <w:noProof/>
            <w:lang w:eastAsia="en-AU"/>
          </w:rPr>
          <w:t xml:space="preserve">Elemental ratios (atomic) of seagrass leaf tissue C:N, </w:t>
        </w:r>
        <w:r w:rsidR="00BD038B" w:rsidRPr="00763BDE">
          <w:rPr>
            <w:rStyle w:val="Hyperlink"/>
            <w:i/>
            <w:iCs/>
            <w:noProof/>
            <w:lang w:eastAsia="en-AU"/>
          </w:rPr>
          <w:t>N:P and C:P</w:t>
        </w:r>
        <w:r w:rsidR="00BD038B" w:rsidRPr="00763BDE">
          <w:rPr>
            <w:rStyle w:val="Hyperlink"/>
            <w:i/>
            <w:noProof/>
            <w:lang w:eastAsia="en-AU"/>
          </w:rPr>
          <w:t xml:space="preserve"> for </w:t>
        </w:r>
        <w:r w:rsidR="00BD038B" w:rsidRPr="00763BDE">
          <w:rPr>
            <w:rStyle w:val="Hyperlink"/>
            <w:i/>
            <w:noProof/>
          </w:rPr>
          <w:t>the foundation seagrass species examined at each habitat and location in the Burdekin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_Toc516053422 \h </w:instrText>
        </w:r>
        <w:r w:rsidR="00BD038B">
          <w:rPr>
            <w:noProof/>
            <w:webHidden/>
          </w:rPr>
        </w:r>
        <w:r w:rsidR="00BD038B">
          <w:rPr>
            <w:noProof/>
            <w:webHidden/>
          </w:rPr>
          <w:fldChar w:fldCharType="separate"/>
        </w:r>
        <w:r w:rsidR="00F87DF9">
          <w:rPr>
            <w:noProof/>
            <w:webHidden/>
          </w:rPr>
          <w:t>237</w:t>
        </w:r>
        <w:r w:rsidR="00BD038B">
          <w:rPr>
            <w:noProof/>
            <w:webHidden/>
          </w:rPr>
          <w:fldChar w:fldCharType="end"/>
        </w:r>
      </w:hyperlink>
    </w:p>
    <w:p w14:paraId="5B0DDE83" w14:textId="7EF6650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3" w:history="1">
        <w:r w:rsidR="00BD038B" w:rsidRPr="00763BDE">
          <w:rPr>
            <w:rStyle w:val="Hyperlink"/>
            <w:noProof/>
          </w:rPr>
          <w:t xml:space="preserve">Figure 213. </w:t>
        </w:r>
        <w:r w:rsidR="00BD038B" w:rsidRPr="00763BDE">
          <w:rPr>
            <w:rStyle w:val="Hyperlink"/>
            <w:i/>
            <w:noProof/>
            <w:lang w:eastAsia="en-AU"/>
          </w:rPr>
          <w:t xml:space="preserve">Elemental ratios (atomic) of seagrass leaf tissue C:N, </w:t>
        </w:r>
        <w:r w:rsidR="00BD038B" w:rsidRPr="00763BDE">
          <w:rPr>
            <w:rStyle w:val="Hyperlink"/>
            <w:i/>
            <w:iCs/>
            <w:noProof/>
            <w:lang w:eastAsia="en-AU"/>
          </w:rPr>
          <w:t>N:P and C:P</w:t>
        </w:r>
        <w:r w:rsidR="00BD038B" w:rsidRPr="00763BDE">
          <w:rPr>
            <w:rStyle w:val="Hyperlink"/>
            <w:i/>
            <w:noProof/>
            <w:lang w:eastAsia="en-AU"/>
          </w:rPr>
          <w:t xml:space="preserve"> for </w:t>
        </w:r>
        <w:r w:rsidR="00BD038B" w:rsidRPr="00763BDE">
          <w:rPr>
            <w:rStyle w:val="Hyperlink"/>
            <w:i/>
            <w:noProof/>
          </w:rPr>
          <w:t>the foundation seagrass species examined at coastal habitats in the Mackay Whitsunday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_Toc516053423 \h </w:instrText>
        </w:r>
        <w:r w:rsidR="00BD038B">
          <w:rPr>
            <w:noProof/>
            <w:webHidden/>
          </w:rPr>
        </w:r>
        <w:r w:rsidR="00BD038B">
          <w:rPr>
            <w:noProof/>
            <w:webHidden/>
          </w:rPr>
          <w:fldChar w:fldCharType="separate"/>
        </w:r>
        <w:r w:rsidR="00F87DF9">
          <w:rPr>
            <w:noProof/>
            <w:webHidden/>
          </w:rPr>
          <w:t>237</w:t>
        </w:r>
        <w:r w:rsidR="00BD038B">
          <w:rPr>
            <w:noProof/>
            <w:webHidden/>
          </w:rPr>
          <w:fldChar w:fldCharType="end"/>
        </w:r>
      </w:hyperlink>
    </w:p>
    <w:p w14:paraId="3E1E2B52" w14:textId="6160BF9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4" w:history="1">
        <w:r w:rsidR="00BD038B" w:rsidRPr="00763BDE">
          <w:rPr>
            <w:rStyle w:val="Hyperlink"/>
            <w:noProof/>
          </w:rPr>
          <w:t xml:space="preserve">Figure 214. </w:t>
        </w:r>
        <w:r w:rsidR="00BD038B" w:rsidRPr="00763BDE">
          <w:rPr>
            <w:rStyle w:val="Hyperlink"/>
            <w:i/>
            <w:noProof/>
            <w:lang w:eastAsia="en-AU"/>
          </w:rPr>
          <w:t xml:space="preserve">Elemental ratios (atomic) of seagrass leaf tissue C:N for </w:t>
        </w:r>
        <w:r w:rsidR="00BD038B" w:rsidRPr="00763BDE">
          <w:rPr>
            <w:rStyle w:val="Hyperlink"/>
            <w:i/>
            <w:noProof/>
          </w:rPr>
          <w:t>the foundation seagrass species examined at each habitat in the Burnett Mary region</w:t>
        </w:r>
        <w:r w:rsidR="00BD038B" w:rsidRPr="00763BDE">
          <w:rPr>
            <w:rStyle w:val="Hyperlink"/>
            <w:i/>
            <w:noProof/>
            <w:lang w:eastAsia="en-AU"/>
          </w:rPr>
          <w:t xml:space="preserve"> each year</w:t>
        </w:r>
        <w:r w:rsidR="00BD038B">
          <w:rPr>
            <w:noProof/>
            <w:webHidden/>
          </w:rPr>
          <w:tab/>
        </w:r>
        <w:r w:rsidR="00BD038B">
          <w:rPr>
            <w:noProof/>
            <w:webHidden/>
          </w:rPr>
          <w:fldChar w:fldCharType="begin"/>
        </w:r>
        <w:r w:rsidR="00BD038B">
          <w:rPr>
            <w:noProof/>
            <w:webHidden/>
          </w:rPr>
          <w:instrText xml:space="preserve"> PAGEREF _Toc516053424 \h </w:instrText>
        </w:r>
        <w:r w:rsidR="00BD038B">
          <w:rPr>
            <w:noProof/>
            <w:webHidden/>
          </w:rPr>
        </w:r>
        <w:r w:rsidR="00BD038B">
          <w:rPr>
            <w:noProof/>
            <w:webHidden/>
          </w:rPr>
          <w:fldChar w:fldCharType="separate"/>
        </w:r>
        <w:r w:rsidR="00F87DF9">
          <w:rPr>
            <w:noProof/>
            <w:webHidden/>
          </w:rPr>
          <w:t>238</w:t>
        </w:r>
        <w:r w:rsidR="00BD038B">
          <w:rPr>
            <w:noProof/>
            <w:webHidden/>
          </w:rPr>
          <w:fldChar w:fldCharType="end"/>
        </w:r>
      </w:hyperlink>
    </w:p>
    <w:p w14:paraId="5168C8BC" w14:textId="67219001" w:rsidR="001F4593" w:rsidRPr="0095258E" w:rsidRDefault="001F4593" w:rsidP="001F4593">
      <w:pPr>
        <w:tabs>
          <w:tab w:val="left" w:pos="1134"/>
          <w:tab w:val="left" w:pos="1418"/>
          <w:tab w:val="right" w:leader="dot" w:pos="9072"/>
        </w:tabs>
        <w:ind w:left="567" w:hanging="567"/>
        <w:rPr>
          <w:color w:val="000000"/>
        </w:rPr>
      </w:pPr>
      <w:r w:rsidRPr="00A93D8C">
        <w:rPr>
          <w:color w:val="000000"/>
          <w:sz w:val="20"/>
          <w:szCs w:val="20"/>
        </w:rPr>
        <w:fldChar w:fldCharType="end"/>
      </w:r>
      <w:r w:rsidRPr="0095258E">
        <w:rPr>
          <w:color w:val="000000"/>
        </w:rPr>
        <w:br w:type="page"/>
      </w:r>
    </w:p>
    <w:p w14:paraId="3BE9C271" w14:textId="5E5409FA" w:rsidR="001F4593" w:rsidRPr="0095258E" w:rsidRDefault="001F4593" w:rsidP="009F09A4">
      <w:pPr>
        <w:spacing w:after="240"/>
        <w:rPr>
          <w:rFonts w:ascii="Century Gothic" w:hAnsi="Century Gothic"/>
          <w:b/>
          <w:color w:val="000000"/>
          <w:sz w:val="36"/>
          <w:szCs w:val="36"/>
        </w:rPr>
      </w:pPr>
      <w:r w:rsidRPr="0095258E">
        <w:rPr>
          <w:rFonts w:ascii="Century Gothic" w:hAnsi="Century Gothic"/>
          <w:b/>
          <w:color w:val="000000"/>
          <w:sz w:val="36"/>
          <w:szCs w:val="36"/>
        </w:rPr>
        <w:t xml:space="preserve">List of </w:t>
      </w:r>
      <w:r w:rsidR="002F55F1">
        <w:rPr>
          <w:rFonts w:ascii="Century Gothic" w:hAnsi="Century Gothic"/>
          <w:b/>
          <w:color w:val="000000"/>
          <w:sz w:val="36"/>
          <w:szCs w:val="36"/>
        </w:rPr>
        <w:t>t</w:t>
      </w:r>
      <w:r w:rsidRPr="0095258E">
        <w:rPr>
          <w:rFonts w:ascii="Century Gothic" w:hAnsi="Century Gothic"/>
          <w:b/>
          <w:color w:val="000000"/>
          <w:sz w:val="36"/>
          <w:szCs w:val="36"/>
        </w:rPr>
        <w:t>ables</w:t>
      </w:r>
    </w:p>
    <w:p w14:paraId="29E6F85B" w14:textId="1AEC5844" w:rsidR="00BD038B" w:rsidRDefault="001F4593">
      <w:pPr>
        <w:pStyle w:val="TableofFigures"/>
        <w:tabs>
          <w:tab w:val="right" w:leader="dot" w:pos="9060"/>
        </w:tabs>
        <w:rPr>
          <w:rFonts w:asciiTheme="minorHAnsi" w:eastAsiaTheme="minorEastAsia" w:hAnsiTheme="minorHAnsi" w:cstheme="minorBidi"/>
          <w:noProof/>
          <w:szCs w:val="22"/>
          <w:lang w:eastAsia="en-AU"/>
        </w:rPr>
      </w:pPr>
      <w:r w:rsidRPr="002E6AD0">
        <w:rPr>
          <w:rFonts w:cs="Arial"/>
          <w:color w:val="000000"/>
          <w:sz w:val="20"/>
          <w:szCs w:val="20"/>
        </w:rPr>
        <w:fldChar w:fldCharType="begin"/>
      </w:r>
      <w:r w:rsidRPr="002E6AD0">
        <w:rPr>
          <w:rFonts w:cs="Arial"/>
          <w:color w:val="000000"/>
          <w:sz w:val="20"/>
          <w:szCs w:val="20"/>
        </w:rPr>
        <w:instrText xml:space="preserve"> TOC \h \z \c "Table" </w:instrText>
      </w:r>
      <w:r w:rsidRPr="002E6AD0">
        <w:rPr>
          <w:rFonts w:cs="Arial"/>
          <w:color w:val="000000"/>
          <w:sz w:val="20"/>
          <w:szCs w:val="20"/>
        </w:rPr>
        <w:fldChar w:fldCharType="separate"/>
      </w:r>
      <w:hyperlink w:anchor="_Toc516053425" w:history="1">
        <w:r w:rsidR="00BD038B" w:rsidRPr="00E91677">
          <w:rPr>
            <w:rStyle w:val="Hyperlink"/>
            <w:noProof/>
          </w:rPr>
          <w:t xml:space="preserve">Table 1. </w:t>
        </w:r>
        <w:r w:rsidR="00BD038B" w:rsidRPr="00E91677">
          <w:rPr>
            <w:rStyle w:val="Hyperlink"/>
            <w:i/>
            <w:noProof/>
          </w:rPr>
          <w:t>Report card for seagrass condition for each NRM region and the GBR: June 2016 - May 2017.</w:t>
        </w:r>
        <w:r w:rsidR="00BD038B">
          <w:rPr>
            <w:noProof/>
            <w:webHidden/>
          </w:rPr>
          <w:tab/>
        </w:r>
        <w:r w:rsidR="00BD038B">
          <w:rPr>
            <w:noProof/>
            <w:webHidden/>
          </w:rPr>
          <w:fldChar w:fldCharType="begin"/>
        </w:r>
        <w:r w:rsidR="00BD038B">
          <w:rPr>
            <w:noProof/>
            <w:webHidden/>
          </w:rPr>
          <w:instrText xml:space="preserve"> PAGEREF _Toc516053425 \h </w:instrText>
        </w:r>
        <w:r w:rsidR="00BD038B">
          <w:rPr>
            <w:noProof/>
            <w:webHidden/>
          </w:rPr>
        </w:r>
        <w:r w:rsidR="00BD038B">
          <w:rPr>
            <w:noProof/>
            <w:webHidden/>
          </w:rPr>
          <w:fldChar w:fldCharType="separate"/>
        </w:r>
        <w:r w:rsidR="00F87DF9">
          <w:rPr>
            <w:noProof/>
            <w:webHidden/>
          </w:rPr>
          <w:t>1</w:t>
        </w:r>
        <w:r w:rsidR="00BD038B">
          <w:rPr>
            <w:noProof/>
            <w:webHidden/>
          </w:rPr>
          <w:fldChar w:fldCharType="end"/>
        </w:r>
      </w:hyperlink>
    </w:p>
    <w:p w14:paraId="1CD28FCE" w14:textId="2496F66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6" w:history="1">
        <w:r w:rsidR="00BD038B" w:rsidRPr="00E91677">
          <w:rPr>
            <w:rStyle w:val="Hyperlink"/>
            <w:noProof/>
          </w:rPr>
          <w:t xml:space="preserve">Table 2. </w:t>
        </w:r>
        <w:r w:rsidR="00BD038B" w:rsidRPr="00E91677">
          <w:rPr>
            <w:rStyle w:val="Hyperlink"/>
            <w:i/>
            <w:noProof/>
          </w:rPr>
          <w:t xml:space="preserve"> Summary of climate and environment data included in this report</w:t>
        </w:r>
        <w:r w:rsidR="00BD038B">
          <w:rPr>
            <w:noProof/>
            <w:webHidden/>
          </w:rPr>
          <w:tab/>
        </w:r>
        <w:r w:rsidR="00BD038B">
          <w:rPr>
            <w:noProof/>
            <w:webHidden/>
          </w:rPr>
          <w:fldChar w:fldCharType="begin"/>
        </w:r>
        <w:r w:rsidR="00BD038B">
          <w:rPr>
            <w:noProof/>
            <w:webHidden/>
          </w:rPr>
          <w:instrText xml:space="preserve"> PAGEREF _Toc516053426 \h </w:instrText>
        </w:r>
        <w:r w:rsidR="00BD038B">
          <w:rPr>
            <w:noProof/>
            <w:webHidden/>
          </w:rPr>
        </w:r>
        <w:r w:rsidR="00BD038B">
          <w:rPr>
            <w:noProof/>
            <w:webHidden/>
          </w:rPr>
          <w:fldChar w:fldCharType="separate"/>
        </w:r>
        <w:r w:rsidR="00F87DF9">
          <w:rPr>
            <w:noProof/>
            <w:webHidden/>
          </w:rPr>
          <w:t>13</w:t>
        </w:r>
        <w:r w:rsidR="00BD038B">
          <w:rPr>
            <w:noProof/>
            <w:webHidden/>
          </w:rPr>
          <w:fldChar w:fldCharType="end"/>
        </w:r>
      </w:hyperlink>
    </w:p>
    <w:p w14:paraId="54E39605" w14:textId="6D89BD2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7" w:history="1">
        <w:r w:rsidR="00BD038B" w:rsidRPr="00E91677">
          <w:rPr>
            <w:rStyle w:val="Hyperlink"/>
            <w:noProof/>
          </w:rPr>
          <w:t>Table 3</w:t>
        </w:r>
        <w:r w:rsidR="00BD038B" w:rsidRPr="00E91677">
          <w:rPr>
            <w:rStyle w:val="Hyperlink"/>
            <w:i/>
            <w:noProof/>
          </w:rPr>
          <w:t>. MMP inshore seagrass long-term monitoring site details including presence of foundation (</w:t>
        </w:r>
        <w:r w:rsidR="00BD038B" w:rsidRPr="00E91677">
          <w:rPr>
            <w:rStyle w:val="Hyperlink"/>
            <w:noProof/>
            <w:sz w:val="16"/>
            <w:szCs w:val="16"/>
          </w:rPr>
          <w:sym w:font="Wingdings" w:char="F06E"/>
        </w:r>
        <w:r w:rsidR="00BD038B" w:rsidRPr="00E91677">
          <w:rPr>
            <w:rStyle w:val="Hyperlink"/>
            <w:i/>
            <w:noProof/>
          </w:rPr>
          <w:t>) and other (</w:t>
        </w:r>
        <w:r w:rsidR="00BD038B" w:rsidRPr="00E91677">
          <w:rPr>
            <w:rStyle w:val="Hyperlink"/>
            <w:noProof/>
            <w:sz w:val="16"/>
            <w:szCs w:val="16"/>
          </w:rPr>
          <w:sym w:font="Wingdings" w:char="F0A8"/>
        </w:r>
        <w:r w:rsidR="00BD038B" w:rsidRPr="00E91677">
          <w:rPr>
            <w:rStyle w:val="Hyperlink"/>
            <w:i/>
            <w:noProof/>
          </w:rPr>
          <w:t>) seagrass species sampled for plant tissue and reproductive health.</w:t>
        </w:r>
        <w:r w:rsidR="00BD038B">
          <w:rPr>
            <w:noProof/>
            <w:webHidden/>
          </w:rPr>
          <w:tab/>
        </w:r>
        <w:r w:rsidR="00BD038B">
          <w:rPr>
            <w:noProof/>
            <w:webHidden/>
          </w:rPr>
          <w:fldChar w:fldCharType="begin"/>
        </w:r>
        <w:r w:rsidR="00BD038B">
          <w:rPr>
            <w:noProof/>
            <w:webHidden/>
          </w:rPr>
          <w:instrText xml:space="preserve"> PAGEREF _Toc516053427 \h </w:instrText>
        </w:r>
        <w:r w:rsidR="00BD038B">
          <w:rPr>
            <w:noProof/>
            <w:webHidden/>
          </w:rPr>
        </w:r>
        <w:r w:rsidR="00BD038B">
          <w:rPr>
            <w:noProof/>
            <w:webHidden/>
          </w:rPr>
          <w:fldChar w:fldCharType="separate"/>
        </w:r>
        <w:r w:rsidR="00F87DF9">
          <w:rPr>
            <w:noProof/>
            <w:webHidden/>
          </w:rPr>
          <w:t>17</w:t>
        </w:r>
        <w:r w:rsidR="00BD038B">
          <w:rPr>
            <w:noProof/>
            <w:webHidden/>
          </w:rPr>
          <w:fldChar w:fldCharType="end"/>
        </w:r>
      </w:hyperlink>
    </w:p>
    <w:p w14:paraId="39FF22E5" w14:textId="1561104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8" w:history="1">
        <w:r w:rsidR="00BD038B" w:rsidRPr="00E91677">
          <w:rPr>
            <w:rStyle w:val="Hyperlink"/>
            <w:noProof/>
          </w:rPr>
          <w:t>Table 4</w:t>
        </w:r>
        <w:r w:rsidR="00BD038B" w:rsidRPr="00E91677">
          <w:rPr>
            <w:rStyle w:val="Hyperlink"/>
            <w:i/>
            <w:noProof/>
          </w:rPr>
          <w:t>. Details of additional inshore seagrass long-term monitoring sites from the Seagrass-Watch and QPWS drop-camera programs, including presence of foundation (</w:t>
        </w:r>
        <w:r w:rsidR="00BD038B" w:rsidRPr="00E91677">
          <w:rPr>
            <w:rStyle w:val="Hyperlink"/>
            <w:noProof/>
            <w:sz w:val="16"/>
            <w:szCs w:val="16"/>
          </w:rPr>
          <w:sym w:font="Wingdings" w:char="F06E"/>
        </w:r>
        <w:r w:rsidR="00BD038B" w:rsidRPr="00E91677">
          <w:rPr>
            <w:rStyle w:val="Hyperlink"/>
            <w:i/>
            <w:noProof/>
          </w:rPr>
          <w:t>) and other (</w:t>
        </w:r>
        <w:r w:rsidR="00BD038B" w:rsidRPr="00E91677">
          <w:rPr>
            <w:rStyle w:val="Hyperlink"/>
            <w:noProof/>
            <w:sz w:val="16"/>
            <w:szCs w:val="16"/>
          </w:rPr>
          <w:sym w:font="Wingdings" w:char="F0A8"/>
        </w:r>
        <w:r w:rsidR="00BD038B" w:rsidRPr="00E91677">
          <w:rPr>
            <w:rStyle w:val="Hyperlink"/>
            <w:i/>
            <w:noProof/>
          </w:rPr>
          <w:t>) seagrass species.</w:t>
        </w:r>
        <w:r w:rsidR="00BD038B">
          <w:rPr>
            <w:noProof/>
            <w:webHidden/>
          </w:rPr>
          <w:tab/>
        </w:r>
        <w:r w:rsidR="00BD038B">
          <w:rPr>
            <w:noProof/>
            <w:webHidden/>
          </w:rPr>
          <w:fldChar w:fldCharType="begin"/>
        </w:r>
        <w:r w:rsidR="00BD038B">
          <w:rPr>
            <w:noProof/>
            <w:webHidden/>
          </w:rPr>
          <w:instrText xml:space="preserve"> PAGEREF _Toc516053428 \h </w:instrText>
        </w:r>
        <w:r w:rsidR="00BD038B">
          <w:rPr>
            <w:noProof/>
            <w:webHidden/>
          </w:rPr>
        </w:r>
        <w:r w:rsidR="00BD038B">
          <w:rPr>
            <w:noProof/>
            <w:webHidden/>
          </w:rPr>
          <w:fldChar w:fldCharType="separate"/>
        </w:r>
        <w:r w:rsidR="00F87DF9">
          <w:rPr>
            <w:noProof/>
            <w:webHidden/>
          </w:rPr>
          <w:t>18</w:t>
        </w:r>
        <w:r w:rsidR="00BD038B">
          <w:rPr>
            <w:noProof/>
            <w:webHidden/>
          </w:rPr>
          <w:fldChar w:fldCharType="end"/>
        </w:r>
      </w:hyperlink>
    </w:p>
    <w:p w14:paraId="0BEA864F" w14:textId="390308B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29" w:history="1">
        <w:r w:rsidR="00BD038B" w:rsidRPr="00E91677">
          <w:rPr>
            <w:rStyle w:val="Hyperlink"/>
            <w:noProof/>
          </w:rPr>
          <w:t xml:space="preserve">Table 5. </w:t>
        </w:r>
        <w:r w:rsidR="00BD038B" w:rsidRPr="00E91677">
          <w:rPr>
            <w:rStyle w:val="Hyperlink"/>
            <w:rFonts w:cs="Arial"/>
            <w:i/>
            <w:noProof/>
          </w:rPr>
          <w:t>Scoring threshold table to determine seagrass abundance status.</w:t>
        </w:r>
        <w:r w:rsidR="00BD038B">
          <w:rPr>
            <w:noProof/>
            <w:webHidden/>
          </w:rPr>
          <w:tab/>
        </w:r>
        <w:r w:rsidR="00BD038B">
          <w:rPr>
            <w:noProof/>
            <w:webHidden/>
          </w:rPr>
          <w:fldChar w:fldCharType="begin"/>
        </w:r>
        <w:r w:rsidR="00BD038B">
          <w:rPr>
            <w:noProof/>
            <w:webHidden/>
          </w:rPr>
          <w:instrText xml:space="preserve"> PAGEREF _Toc516053429 \h </w:instrText>
        </w:r>
        <w:r w:rsidR="00BD038B">
          <w:rPr>
            <w:noProof/>
            <w:webHidden/>
          </w:rPr>
        </w:r>
        <w:r w:rsidR="00BD038B">
          <w:rPr>
            <w:noProof/>
            <w:webHidden/>
          </w:rPr>
          <w:fldChar w:fldCharType="separate"/>
        </w:r>
        <w:r w:rsidR="00F87DF9">
          <w:rPr>
            <w:noProof/>
            <w:webHidden/>
          </w:rPr>
          <w:t>22</w:t>
        </w:r>
        <w:r w:rsidR="00BD038B">
          <w:rPr>
            <w:noProof/>
            <w:webHidden/>
          </w:rPr>
          <w:fldChar w:fldCharType="end"/>
        </w:r>
      </w:hyperlink>
    </w:p>
    <w:p w14:paraId="3F2F3361" w14:textId="0D64E9F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0" w:history="1">
        <w:r w:rsidR="00BD038B" w:rsidRPr="00E91677">
          <w:rPr>
            <w:rStyle w:val="Hyperlink"/>
            <w:noProof/>
          </w:rPr>
          <w:t xml:space="preserve">Table 6. </w:t>
        </w:r>
        <w:r w:rsidR="00BD038B" w:rsidRPr="00E91677">
          <w:rPr>
            <w:rStyle w:val="Hyperlink"/>
            <w:rFonts w:cs="Arial"/>
            <w:i/>
            <w:noProof/>
          </w:rPr>
          <w:t xml:space="preserve">Scores for </w:t>
        </w:r>
        <w:r w:rsidR="00BD038B" w:rsidRPr="00E91677">
          <w:rPr>
            <w:rStyle w:val="Hyperlink"/>
            <w:i/>
            <w:iCs/>
            <w:noProof/>
            <w:lang w:eastAsia="en-AU"/>
          </w:rPr>
          <w:t xml:space="preserve">late dry </w:t>
        </w:r>
        <w:r w:rsidR="00BD038B" w:rsidRPr="00E91677">
          <w:rPr>
            <w:rStyle w:val="Hyperlink"/>
            <w:rFonts w:cs="Arial"/>
            <w:i/>
            <w:noProof/>
          </w:rPr>
          <w:t xml:space="preserve">monitoring period reproductive effort average against long-term (2005-2010) GBR habitat average. </w:t>
        </w:r>
        <w:r w:rsidR="00BD038B" w:rsidRPr="00E91677">
          <w:rPr>
            <w:rStyle w:val="Hyperlink"/>
            <w:i/>
            <w:noProof/>
          </w:rPr>
          <w:t>NB: scores are unitless.</w:t>
        </w:r>
        <w:r w:rsidR="00BD038B">
          <w:rPr>
            <w:noProof/>
            <w:webHidden/>
          </w:rPr>
          <w:tab/>
        </w:r>
        <w:r w:rsidR="00BD038B">
          <w:rPr>
            <w:noProof/>
            <w:webHidden/>
          </w:rPr>
          <w:fldChar w:fldCharType="begin"/>
        </w:r>
        <w:r w:rsidR="00BD038B">
          <w:rPr>
            <w:noProof/>
            <w:webHidden/>
          </w:rPr>
          <w:instrText xml:space="preserve"> PAGEREF _Toc516053430 \h </w:instrText>
        </w:r>
        <w:r w:rsidR="00BD038B">
          <w:rPr>
            <w:noProof/>
            <w:webHidden/>
          </w:rPr>
        </w:r>
        <w:r w:rsidR="00BD038B">
          <w:rPr>
            <w:noProof/>
            <w:webHidden/>
          </w:rPr>
          <w:fldChar w:fldCharType="separate"/>
        </w:r>
        <w:r w:rsidR="00F87DF9">
          <w:rPr>
            <w:noProof/>
            <w:webHidden/>
          </w:rPr>
          <w:t>23</w:t>
        </w:r>
        <w:r w:rsidR="00BD038B">
          <w:rPr>
            <w:noProof/>
            <w:webHidden/>
          </w:rPr>
          <w:fldChar w:fldCharType="end"/>
        </w:r>
      </w:hyperlink>
    </w:p>
    <w:p w14:paraId="10D2F04D" w14:textId="658688F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1" w:history="1">
        <w:r w:rsidR="00BD038B" w:rsidRPr="00E91677">
          <w:rPr>
            <w:rStyle w:val="Hyperlink"/>
            <w:noProof/>
          </w:rPr>
          <w:t xml:space="preserve">Table 7. </w:t>
        </w:r>
        <w:r w:rsidR="00BD038B" w:rsidRPr="00E91677">
          <w:rPr>
            <w:rStyle w:val="Hyperlink"/>
            <w:rFonts w:cs="Arial"/>
            <w:i/>
            <w:noProof/>
          </w:rPr>
          <w:t>Scores for leaf tissue C:N against guideline to determine light and nutrient availability.</w:t>
        </w:r>
        <w:r w:rsidR="00BD038B" w:rsidRPr="00E91677">
          <w:rPr>
            <w:rStyle w:val="Hyperlink"/>
            <w:i/>
            <w:noProof/>
          </w:rPr>
          <w:t xml:space="preserve"> NB: scores are unitless.</w:t>
        </w:r>
        <w:r w:rsidR="00BD038B">
          <w:rPr>
            <w:noProof/>
            <w:webHidden/>
          </w:rPr>
          <w:tab/>
        </w:r>
        <w:r w:rsidR="00BD038B">
          <w:rPr>
            <w:noProof/>
            <w:webHidden/>
          </w:rPr>
          <w:fldChar w:fldCharType="begin"/>
        </w:r>
        <w:r w:rsidR="00BD038B">
          <w:rPr>
            <w:noProof/>
            <w:webHidden/>
          </w:rPr>
          <w:instrText xml:space="preserve"> PAGEREF _Toc516053431 \h </w:instrText>
        </w:r>
        <w:r w:rsidR="00BD038B">
          <w:rPr>
            <w:noProof/>
            <w:webHidden/>
          </w:rPr>
        </w:r>
        <w:r w:rsidR="00BD038B">
          <w:rPr>
            <w:noProof/>
            <w:webHidden/>
          </w:rPr>
          <w:fldChar w:fldCharType="separate"/>
        </w:r>
        <w:r w:rsidR="00F87DF9">
          <w:rPr>
            <w:noProof/>
            <w:webHidden/>
          </w:rPr>
          <w:t>23</w:t>
        </w:r>
        <w:r w:rsidR="00BD038B">
          <w:rPr>
            <w:noProof/>
            <w:webHidden/>
          </w:rPr>
          <w:fldChar w:fldCharType="end"/>
        </w:r>
      </w:hyperlink>
    </w:p>
    <w:p w14:paraId="07596835" w14:textId="73FD0C9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2" w:history="1">
        <w:r w:rsidR="00BD038B" w:rsidRPr="00E91677">
          <w:rPr>
            <w:rStyle w:val="Hyperlink"/>
            <w:noProof/>
          </w:rPr>
          <w:t xml:space="preserve">Table 8. </w:t>
        </w:r>
        <w:r w:rsidR="00BD038B" w:rsidRPr="00E91677">
          <w:rPr>
            <w:rStyle w:val="Hyperlink"/>
            <w:i/>
            <w:noProof/>
          </w:rPr>
          <w:t>Area of seagrass shallower than 15m in each NRM region within the boundaries of the Great Barrier Reef World Heritage Area.</w:t>
        </w:r>
        <w:r w:rsidR="00BD038B">
          <w:rPr>
            <w:noProof/>
            <w:webHidden/>
          </w:rPr>
          <w:tab/>
        </w:r>
        <w:r w:rsidR="00BD038B">
          <w:rPr>
            <w:noProof/>
            <w:webHidden/>
          </w:rPr>
          <w:fldChar w:fldCharType="begin"/>
        </w:r>
        <w:r w:rsidR="00BD038B">
          <w:rPr>
            <w:noProof/>
            <w:webHidden/>
          </w:rPr>
          <w:instrText xml:space="preserve"> PAGEREF _Toc516053432 \h </w:instrText>
        </w:r>
        <w:r w:rsidR="00BD038B">
          <w:rPr>
            <w:noProof/>
            <w:webHidden/>
          </w:rPr>
        </w:r>
        <w:r w:rsidR="00BD038B">
          <w:rPr>
            <w:noProof/>
            <w:webHidden/>
          </w:rPr>
          <w:fldChar w:fldCharType="separate"/>
        </w:r>
        <w:r w:rsidR="00F87DF9">
          <w:rPr>
            <w:noProof/>
            <w:webHidden/>
          </w:rPr>
          <w:t>24</w:t>
        </w:r>
        <w:r w:rsidR="00BD038B">
          <w:rPr>
            <w:noProof/>
            <w:webHidden/>
          </w:rPr>
          <w:fldChar w:fldCharType="end"/>
        </w:r>
      </w:hyperlink>
    </w:p>
    <w:p w14:paraId="0BFF6F81" w14:textId="0A0FF6B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3" w:history="1">
        <w:r w:rsidR="00BD038B" w:rsidRPr="00E91677">
          <w:rPr>
            <w:rStyle w:val="Hyperlink"/>
            <w:noProof/>
          </w:rPr>
          <w:t xml:space="preserve">Table 9. </w:t>
        </w:r>
        <w:r w:rsidR="00BD038B" w:rsidRPr="00E91677">
          <w:rPr>
            <w:rStyle w:val="Hyperlink"/>
            <w:i/>
            <w:noProof/>
          </w:rPr>
          <w:t xml:space="preserve">Summary of environmental conditions at monitoring sites across the GBR in </w:t>
        </w:r>
        <w:r w:rsidR="008574EC">
          <w:rPr>
            <w:rStyle w:val="Hyperlink"/>
            <w:i/>
            <w:noProof/>
          </w:rPr>
          <w:t>2016–17</w:t>
        </w:r>
        <w:r w:rsidR="00BD038B" w:rsidRPr="00E91677">
          <w:rPr>
            <w:rStyle w:val="Hyperlink"/>
            <w:i/>
            <w:noProof/>
          </w:rPr>
          <w:t xml:space="preserve"> compared to the long-term average</w:t>
        </w:r>
        <w:r w:rsidR="00BD038B">
          <w:rPr>
            <w:noProof/>
            <w:webHidden/>
          </w:rPr>
          <w:tab/>
        </w:r>
        <w:r w:rsidR="00BD038B">
          <w:rPr>
            <w:noProof/>
            <w:webHidden/>
          </w:rPr>
          <w:fldChar w:fldCharType="begin"/>
        </w:r>
        <w:r w:rsidR="00BD038B">
          <w:rPr>
            <w:noProof/>
            <w:webHidden/>
          </w:rPr>
          <w:instrText xml:space="preserve"> PAGEREF _Toc516053433 \h </w:instrText>
        </w:r>
        <w:r w:rsidR="00BD038B">
          <w:rPr>
            <w:noProof/>
            <w:webHidden/>
          </w:rPr>
        </w:r>
        <w:r w:rsidR="00BD038B">
          <w:rPr>
            <w:noProof/>
            <w:webHidden/>
          </w:rPr>
          <w:fldChar w:fldCharType="separate"/>
        </w:r>
        <w:r w:rsidR="00F87DF9">
          <w:rPr>
            <w:noProof/>
            <w:webHidden/>
          </w:rPr>
          <w:t>28</w:t>
        </w:r>
        <w:r w:rsidR="00BD038B">
          <w:rPr>
            <w:noProof/>
            <w:webHidden/>
          </w:rPr>
          <w:fldChar w:fldCharType="end"/>
        </w:r>
      </w:hyperlink>
    </w:p>
    <w:p w14:paraId="61656ED2" w14:textId="217916B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4" w:history="1">
        <w:r w:rsidR="00BD038B" w:rsidRPr="00E91677">
          <w:rPr>
            <w:rStyle w:val="Hyperlink"/>
            <w:noProof/>
          </w:rPr>
          <w:t xml:space="preserve">Table 10. </w:t>
        </w:r>
        <w:r w:rsidR="00BD038B" w:rsidRPr="00E91677">
          <w:rPr>
            <w:rStyle w:val="Hyperlink"/>
            <w:i/>
            <w:noProof/>
          </w:rPr>
          <w:t xml:space="preserve">Long term annual discharge (in megalitres) for the major GBR catchment rivers in proximity to the inshore seagrass monitoring sites (where data available) for the </w:t>
        </w:r>
        <w:r w:rsidR="008574EC">
          <w:rPr>
            <w:rStyle w:val="Hyperlink"/>
            <w:i/>
            <w:noProof/>
          </w:rPr>
          <w:t>2016–17</w:t>
        </w:r>
        <w:r w:rsidR="00BD038B" w:rsidRPr="00E91677">
          <w:rPr>
            <w:rStyle w:val="Hyperlink"/>
            <w:i/>
            <w:noProof/>
          </w:rPr>
          <w:t xml:space="preserve"> wet season</w:t>
        </w:r>
        <w:r w:rsidR="00BD038B">
          <w:rPr>
            <w:noProof/>
            <w:webHidden/>
          </w:rPr>
          <w:tab/>
        </w:r>
        <w:r w:rsidR="00BD038B">
          <w:rPr>
            <w:noProof/>
            <w:webHidden/>
          </w:rPr>
          <w:fldChar w:fldCharType="begin"/>
        </w:r>
        <w:r w:rsidR="00BD038B">
          <w:rPr>
            <w:noProof/>
            <w:webHidden/>
          </w:rPr>
          <w:instrText xml:space="preserve"> PAGEREF _Toc516053434 \h </w:instrText>
        </w:r>
        <w:r w:rsidR="00BD038B">
          <w:rPr>
            <w:noProof/>
            <w:webHidden/>
          </w:rPr>
        </w:r>
        <w:r w:rsidR="00BD038B">
          <w:rPr>
            <w:noProof/>
            <w:webHidden/>
          </w:rPr>
          <w:fldChar w:fldCharType="separate"/>
        </w:r>
        <w:r w:rsidR="00F87DF9">
          <w:rPr>
            <w:noProof/>
            <w:webHidden/>
          </w:rPr>
          <w:t>30</w:t>
        </w:r>
        <w:r w:rsidR="00BD038B">
          <w:rPr>
            <w:noProof/>
            <w:webHidden/>
          </w:rPr>
          <w:fldChar w:fldCharType="end"/>
        </w:r>
      </w:hyperlink>
    </w:p>
    <w:p w14:paraId="0B5948A8" w14:textId="7A11786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5" w:history="1">
        <w:r w:rsidR="00BD038B" w:rsidRPr="00E91677">
          <w:rPr>
            <w:rStyle w:val="Hyperlink"/>
            <w:noProof/>
          </w:rPr>
          <w:t xml:space="preserve">Table 11. </w:t>
        </w:r>
        <w:r w:rsidR="00BD038B" w:rsidRPr="00E91677">
          <w:rPr>
            <w:rStyle w:val="Hyperlink"/>
            <w:i/>
            <w:noProof/>
          </w:rPr>
          <w:t>Long-term average (±SE) sediment composition for each seagrass habitat (pooled across regions and time) monitoring within the GBR (1999</w:t>
        </w:r>
        <w:r w:rsidR="000826D4" w:rsidRPr="000826D4">
          <w:rPr>
            <w:rStyle w:val="Hyperlink"/>
            <w:i/>
            <w:noProof/>
          </w:rPr>
          <w:t>–</w:t>
        </w:r>
        <w:r w:rsidR="00BD038B" w:rsidRPr="00E91677">
          <w:rPr>
            <w:rStyle w:val="Hyperlink"/>
            <w:i/>
            <w:noProof/>
          </w:rPr>
          <w:t>2017)</w:t>
        </w:r>
        <w:r w:rsidR="00BD038B">
          <w:rPr>
            <w:noProof/>
            <w:webHidden/>
          </w:rPr>
          <w:tab/>
        </w:r>
        <w:r w:rsidR="00BD038B">
          <w:rPr>
            <w:noProof/>
            <w:webHidden/>
          </w:rPr>
          <w:fldChar w:fldCharType="begin"/>
        </w:r>
        <w:r w:rsidR="00BD038B">
          <w:rPr>
            <w:noProof/>
            <w:webHidden/>
          </w:rPr>
          <w:instrText xml:space="preserve"> PAGEREF _Toc516053435 \h </w:instrText>
        </w:r>
        <w:r w:rsidR="00BD038B">
          <w:rPr>
            <w:noProof/>
            <w:webHidden/>
          </w:rPr>
        </w:r>
        <w:r w:rsidR="00BD038B">
          <w:rPr>
            <w:noProof/>
            <w:webHidden/>
          </w:rPr>
          <w:fldChar w:fldCharType="separate"/>
        </w:r>
        <w:r w:rsidR="00F87DF9">
          <w:rPr>
            <w:noProof/>
            <w:webHidden/>
          </w:rPr>
          <w:t>44</w:t>
        </w:r>
        <w:r w:rsidR="00BD038B">
          <w:rPr>
            <w:noProof/>
            <w:webHidden/>
          </w:rPr>
          <w:fldChar w:fldCharType="end"/>
        </w:r>
      </w:hyperlink>
    </w:p>
    <w:p w14:paraId="7B450AC0" w14:textId="3D6A09F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6" w:history="1">
        <w:r w:rsidR="00BD038B" w:rsidRPr="00E91677">
          <w:rPr>
            <w:rStyle w:val="Hyperlink"/>
            <w:noProof/>
          </w:rPr>
          <w:t xml:space="preserve">Table 12.  </w:t>
        </w:r>
        <w:r w:rsidR="00BD038B" w:rsidRPr="00E91677">
          <w:rPr>
            <w:rStyle w:val="Hyperlink"/>
            <w:i/>
            <w:noProof/>
          </w:rPr>
          <w:t xml:space="preserve">Summary of environmental conditions at monitoring sites in Cape York region in </w:t>
        </w:r>
        <w:r w:rsidR="008574EC">
          <w:rPr>
            <w:rStyle w:val="Hyperlink"/>
            <w:i/>
            <w:noProof/>
          </w:rPr>
          <w:t>2016–17</w:t>
        </w:r>
        <w:r w:rsidR="00BD038B" w:rsidRPr="00E91677">
          <w:rPr>
            <w:rStyle w:val="Hyperlink"/>
            <w:i/>
            <w:noProof/>
          </w:rPr>
          <w:t xml:space="preserve"> compared to the long-term average (long-term range indicated for each data set).</w:t>
        </w:r>
        <w:r w:rsidR="00BD038B">
          <w:rPr>
            <w:noProof/>
            <w:webHidden/>
          </w:rPr>
          <w:tab/>
        </w:r>
        <w:r w:rsidR="00BD038B">
          <w:rPr>
            <w:noProof/>
            <w:webHidden/>
          </w:rPr>
          <w:fldChar w:fldCharType="begin"/>
        </w:r>
        <w:r w:rsidR="00BD038B">
          <w:rPr>
            <w:noProof/>
            <w:webHidden/>
          </w:rPr>
          <w:instrText xml:space="preserve"> PAGEREF _Toc516053436 \h </w:instrText>
        </w:r>
        <w:r w:rsidR="00BD038B">
          <w:rPr>
            <w:noProof/>
            <w:webHidden/>
          </w:rPr>
        </w:r>
        <w:r w:rsidR="00BD038B">
          <w:rPr>
            <w:noProof/>
            <w:webHidden/>
          </w:rPr>
          <w:fldChar w:fldCharType="separate"/>
        </w:r>
        <w:r w:rsidR="00F87DF9">
          <w:rPr>
            <w:noProof/>
            <w:webHidden/>
          </w:rPr>
          <w:t>48</w:t>
        </w:r>
        <w:r w:rsidR="00BD038B">
          <w:rPr>
            <w:noProof/>
            <w:webHidden/>
          </w:rPr>
          <w:fldChar w:fldCharType="end"/>
        </w:r>
      </w:hyperlink>
    </w:p>
    <w:p w14:paraId="22BA7105" w14:textId="4E2B2FA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7" w:history="1">
        <w:r w:rsidR="00BD038B" w:rsidRPr="00E91677">
          <w:rPr>
            <w:rStyle w:val="Hyperlink"/>
            <w:noProof/>
          </w:rPr>
          <w:t xml:space="preserve">Table 13.  </w:t>
        </w:r>
        <w:r w:rsidR="00BD038B" w:rsidRPr="00E91677">
          <w:rPr>
            <w:rStyle w:val="Hyperlink"/>
            <w:i/>
            <w:noProof/>
          </w:rPr>
          <w:t>Water type at each site derived from MODIS true colour images</w:t>
        </w:r>
        <w:r w:rsidR="00BD038B">
          <w:rPr>
            <w:noProof/>
            <w:webHidden/>
          </w:rPr>
          <w:tab/>
        </w:r>
        <w:r w:rsidR="00BD038B">
          <w:rPr>
            <w:noProof/>
            <w:webHidden/>
          </w:rPr>
          <w:fldChar w:fldCharType="begin"/>
        </w:r>
        <w:r w:rsidR="00BD038B">
          <w:rPr>
            <w:noProof/>
            <w:webHidden/>
          </w:rPr>
          <w:instrText xml:space="preserve"> PAGEREF _Toc516053437 \h </w:instrText>
        </w:r>
        <w:r w:rsidR="00BD038B">
          <w:rPr>
            <w:noProof/>
            <w:webHidden/>
          </w:rPr>
        </w:r>
        <w:r w:rsidR="00BD038B">
          <w:rPr>
            <w:noProof/>
            <w:webHidden/>
          </w:rPr>
          <w:fldChar w:fldCharType="separate"/>
        </w:r>
        <w:r w:rsidR="00F87DF9">
          <w:rPr>
            <w:noProof/>
            <w:webHidden/>
          </w:rPr>
          <w:t>48</w:t>
        </w:r>
        <w:r w:rsidR="00BD038B">
          <w:rPr>
            <w:noProof/>
            <w:webHidden/>
          </w:rPr>
          <w:fldChar w:fldCharType="end"/>
        </w:r>
      </w:hyperlink>
    </w:p>
    <w:p w14:paraId="658E9DA9" w14:textId="6EA2DB8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8" w:history="1">
        <w:r w:rsidR="00BD038B" w:rsidRPr="00E91677">
          <w:rPr>
            <w:rStyle w:val="Hyperlink"/>
            <w:noProof/>
          </w:rPr>
          <w:t xml:space="preserve">Table 14. </w:t>
        </w:r>
        <w:r w:rsidR="00BD038B" w:rsidRPr="00E91677">
          <w:rPr>
            <w:rStyle w:val="Hyperlink"/>
            <w:i/>
            <w:noProof/>
          </w:rPr>
          <w:t>List of data sources of seagrass and environmental condition indicators for each seagrass habitat type in the Cape York NRM region</w:t>
        </w:r>
        <w:r w:rsidR="00BD038B">
          <w:rPr>
            <w:noProof/>
            <w:webHidden/>
          </w:rPr>
          <w:tab/>
        </w:r>
        <w:r w:rsidR="00BD038B">
          <w:rPr>
            <w:noProof/>
            <w:webHidden/>
          </w:rPr>
          <w:fldChar w:fldCharType="begin"/>
        </w:r>
        <w:r w:rsidR="00BD038B">
          <w:rPr>
            <w:noProof/>
            <w:webHidden/>
          </w:rPr>
          <w:instrText xml:space="preserve"> PAGEREF _Toc516053438 \h </w:instrText>
        </w:r>
        <w:r w:rsidR="00BD038B">
          <w:rPr>
            <w:noProof/>
            <w:webHidden/>
          </w:rPr>
        </w:r>
        <w:r w:rsidR="00BD038B">
          <w:rPr>
            <w:noProof/>
            <w:webHidden/>
          </w:rPr>
          <w:fldChar w:fldCharType="separate"/>
        </w:r>
        <w:r w:rsidR="00F87DF9">
          <w:rPr>
            <w:noProof/>
            <w:webHidden/>
          </w:rPr>
          <w:t>50</w:t>
        </w:r>
        <w:r w:rsidR="00BD038B">
          <w:rPr>
            <w:noProof/>
            <w:webHidden/>
          </w:rPr>
          <w:fldChar w:fldCharType="end"/>
        </w:r>
      </w:hyperlink>
    </w:p>
    <w:p w14:paraId="2B435C39" w14:textId="4799259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39" w:history="1">
        <w:r w:rsidR="00BD038B" w:rsidRPr="00E91677">
          <w:rPr>
            <w:rStyle w:val="Hyperlink"/>
            <w:noProof/>
          </w:rPr>
          <w:t xml:space="preserve">Table 15. </w:t>
        </w:r>
        <w:r w:rsidR="00BD038B" w:rsidRPr="00E91677">
          <w:rPr>
            <w:rStyle w:val="Hyperlink"/>
            <w:i/>
            <w:noProof/>
          </w:rPr>
          <w:t>Long-term report card scores for seagrass abundance, reproductive and leaf tissue nutrient status for each habitat in the Cape York NRM region: June 2005 – May 2017.</w:t>
        </w:r>
        <w:r w:rsidR="00BD038B">
          <w:rPr>
            <w:noProof/>
            <w:webHidden/>
          </w:rPr>
          <w:tab/>
        </w:r>
        <w:r w:rsidR="00BD038B">
          <w:rPr>
            <w:noProof/>
            <w:webHidden/>
          </w:rPr>
          <w:fldChar w:fldCharType="begin"/>
        </w:r>
        <w:r w:rsidR="00BD038B">
          <w:rPr>
            <w:noProof/>
            <w:webHidden/>
          </w:rPr>
          <w:instrText xml:space="preserve"> PAGEREF _Toc516053439 \h </w:instrText>
        </w:r>
        <w:r w:rsidR="00BD038B">
          <w:rPr>
            <w:noProof/>
            <w:webHidden/>
          </w:rPr>
        </w:r>
        <w:r w:rsidR="00BD038B">
          <w:rPr>
            <w:noProof/>
            <w:webHidden/>
          </w:rPr>
          <w:fldChar w:fldCharType="separate"/>
        </w:r>
        <w:r w:rsidR="00F87DF9">
          <w:rPr>
            <w:noProof/>
            <w:webHidden/>
          </w:rPr>
          <w:t>57</w:t>
        </w:r>
        <w:r w:rsidR="00BD038B">
          <w:rPr>
            <w:noProof/>
            <w:webHidden/>
          </w:rPr>
          <w:fldChar w:fldCharType="end"/>
        </w:r>
      </w:hyperlink>
    </w:p>
    <w:p w14:paraId="5235CBE6" w14:textId="4A83195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0" w:history="1">
        <w:r w:rsidR="00BD038B" w:rsidRPr="00E91677">
          <w:rPr>
            <w:rStyle w:val="Hyperlink"/>
            <w:noProof/>
          </w:rPr>
          <w:t xml:space="preserve">Table 16.  </w:t>
        </w:r>
        <w:r w:rsidR="00BD038B" w:rsidRPr="00E91677">
          <w:rPr>
            <w:rStyle w:val="Hyperlink"/>
            <w:i/>
            <w:noProof/>
          </w:rPr>
          <w:t>Summary of environmental conditions at monitoring sites in the Wet Tropics region in 2014-15 compared to the long-term average (long-term range indicated for each data set).</w:t>
        </w:r>
        <w:r w:rsidR="00BD038B">
          <w:rPr>
            <w:noProof/>
            <w:webHidden/>
          </w:rPr>
          <w:tab/>
        </w:r>
        <w:r w:rsidR="00BD038B">
          <w:rPr>
            <w:noProof/>
            <w:webHidden/>
          </w:rPr>
          <w:fldChar w:fldCharType="begin"/>
        </w:r>
        <w:r w:rsidR="00BD038B">
          <w:rPr>
            <w:noProof/>
            <w:webHidden/>
          </w:rPr>
          <w:instrText xml:space="preserve"> PAGEREF _Toc516053440 \h </w:instrText>
        </w:r>
        <w:r w:rsidR="00BD038B">
          <w:rPr>
            <w:noProof/>
            <w:webHidden/>
          </w:rPr>
        </w:r>
        <w:r w:rsidR="00BD038B">
          <w:rPr>
            <w:noProof/>
            <w:webHidden/>
          </w:rPr>
          <w:fldChar w:fldCharType="separate"/>
        </w:r>
        <w:r w:rsidR="00F87DF9">
          <w:rPr>
            <w:noProof/>
            <w:webHidden/>
          </w:rPr>
          <w:t>59</w:t>
        </w:r>
        <w:r w:rsidR="00BD038B">
          <w:rPr>
            <w:noProof/>
            <w:webHidden/>
          </w:rPr>
          <w:fldChar w:fldCharType="end"/>
        </w:r>
      </w:hyperlink>
    </w:p>
    <w:p w14:paraId="74DC248C" w14:textId="27C3EF1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1" w:history="1">
        <w:r w:rsidR="00BD038B" w:rsidRPr="00E91677">
          <w:rPr>
            <w:rStyle w:val="Hyperlink"/>
            <w:noProof/>
          </w:rPr>
          <w:t xml:space="preserve">Table 17.  </w:t>
        </w:r>
        <w:r w:rsidR="00BD038B" w:rsidRPr="00E91677">
          <w:rPr>
            <w:rStyle w:val="Hyperlink"/>
            <w:i/>
            <w:noProof/>
          </w:rPr>
          <w:t>Water type at each location in the Wet Tropics region derived from MODIS true colour images</w:t>
        </w:r>
        <w:r w:rsidR="00BD038B">
          <w:rPr>
            <w:noProof/>
            <w:webHidden/>
          </w:rPr>
          <w:tab/>
        </w:r>
        <w:r w:rsidR="00BD038B">
          <w:rPr>
            <w:noProof/>
            <w:webHidden/>
          </w:rPr>
          <w:fldChar w:fldCharType="begin"/>
        </w:r>
        <w:r w:rsidR="00BD038B">
          <w:rPr>
            <w:noProof/>
            <w:webHidden/>
          </w:rPr>
          <w:instrText xml:space="preserve"> PAGEREF _Toc516053441 \h </w:instrText>
        </w:r>
        <w:r w:rsidR="00BD038B">
          <w:rPr>
            <w:noProof/>
            <w:webHidden/>
          </w:rPr>
        </w:r>
        <w:r w:rsidR="00BD038B">
          <w:rPr>
            <w:noProof/>
            <w:webHidden/>
          </w:rPr>
          <w:fldChar w:fldCharType="separate"/>
        </w:r>
        <w:r w:rsidR="00F87DF9">
          <w:rPr>
            <w:noProof/>
            <w:webHidden/>
          </w:rPr>
          <w:t>59</w:t>
        </w:r>
        <w:r w:rsidR="00BD038B">
          <w:rPr>
            <w:noProof/>
            <w:webHidden/>
          </w:rPr>
          <w:fldChar w:fldCharType="end"/>
        </w:r>
      </w:hyperlink>
    </w:p>
    <w:p w14:paraId="3C730193" w14:textId="3126AD7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2" w:history="1">
        <w:r w:rsidR="00BD038B" w:rsidRPr="00E91677">
          <w:rPr>
            <w:rStyle w:val="Hyperlink"/>
            <w:noProof/>
          </w:rPr>
          <w:t xml:space="preserve">Table 18. </w:t>
        </w:r>
        <w:r w:rsidR="00BD038B" w:rsidRPr="00E91677">
          <w:rPr>
            <w:rStyle w:val="Hyperlink"/>
            <w:i/>
            <w:noProof/>
          </w:rPr>
          <w:t>List of data sources of seagrass and environmental condition indicators for each seagrass habitat type in the Wet Tropics NRM region.</w:t>
        </w:r>
        <w:r w:rsidR="00BD038B">
          <w:rPr>
            <w:noProof/>
            <w:webHidden/>
          </w:rPr>
          <w:tab/>
        </w:r>
        <w:r w:rsidR="00BD038B">
          <w:rPr>
            <w:noProof/>
            <w:webHidden/>
          </w:rPr>
          <w:fldChar w:fldCharType="begin"/>
        </w:r>
        <w:r w:rsidR="00BD038B">
          <w:rPr>
            <w:noProof/>
            <w:webHidden/>
          </w:rPr>
          <w:instrText xml:space="preserve"> PAGEREF _Toc516053442 \h </w:instrText>
        </w:r>
        <w:r w:rsidR="00BD038B">
          <w:rPr>
            <w:noProof/>
            <w:webHidden/>
          </w:rPr>
        </w:r>
        <w:r w:rsidR="00BD038B">
          <w:rPr>
            <w:noProof/>
            <w:webHidden/>
          </w:rPr>
          <w:fldChar w:fldCharType="separate"/>
        </w:r>
        <w:r w:rsidR="00F87DF9">
          <w:rPr>
            <w:noProof/>
            <w:webHidden/>
          </w:rPr>
          <w:t>61</w:t>
        </w:r>
        <w:r w:rsidR="00BD038B">
          <w:rPr>
            <w:noProof/>
            <w:webHidden/>
          </w:rPr>
          <w:fldChar w:fldCharType="end"/>
        </w:r>
      </w:hyperlink>
    </w:p>
    <w:p w14:paraId="231041D7" w14:textId="638F9C3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3" w:history="1">
        <w:r w:rsidR="00BD038B" w:rsidRPr="00E91677">
          <w:rPr>
            <w:rStyle w:val="Hyperlink"/>
            <w:noProof/>
          </w:rPr>
          <w:t xml:space="preserve">Table 19.  </w:t>
        </w:r>
        <w:r w:rsidR="00BD038B" w:rsidRPr="00E91677">
          <w:rPr>
            <w:rStyle w:val="Hyperlink"/>
            <w:i/>
            <w:noProof/>
          </w:rPr>
          <w:t>Long-term report card scores for seagrass abundance, reproductive and leaf tissue nutrient status for each habitat in the Wet Tropics NRM region: June 2005 – May 2017.</w:t>
        </w:r>
        <w:r w:rsidR="00BD038B">
          <w:rPr>
            <w:noProof/>
            <w:webHidden/>
          </w:rPr>
          <w:tab/>
        </w:r>
        <w:r w:rsidR="00BD038B">
          <w:rPr>
            <w:noProof/>
            <w:webHidden/>
          </w:rPr>
          <w:fldChar w:fldCharType="begin"/>
        </w:r>
        <w:r w:rsidR="00BD038B">
          <w:rPr>
            <w:noProof/>
            <w:webHidden/>
          </w:rPr>
          <w:instrText xml:space="preserve"> PAGEREF _Toc516053443 \h </w:instrText>
        </w:r>
        <w:r w:rsidR="00BD038B">
          <w:rPr>
            <w:noProof/>
            <w:webHidden/>
          </w:rPr>
        </w:r>
        <w:r w:rsidR="00BD038B">
          <w:rPr>
            <w:noProof/>
            <w:webHidden/>
          </w:rPr>
          <w:fldChar w:fldCharType="separate"/>
        </w:r>
        <w:r w:rsidR="00F87DF9">
          <w:rPr>
            <w:noProof/>
            <w:webHidden/>
          </w:rPr>
          <w:t>70</w:t>
        </w:r>
        <w:r w:rsidR="00BD038B">
          <w:rPr>
            <w:noProof/>
            <w:webHidden/>
          </w:rPr>
          <w:fldChar w:fldCharType="end"/>
        </w:r>
      </w:hyperlink>
    </w:p>
    <w:p w14:paraId="41BA9BFD" w14:textId="280DBA4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4" w:history="1">
        <w:r w:rsidR="00BD038B" w:rsidRPr="00E91677">
          <w:rPr>
            <w:rStyle w:val="Hyperlink"/>
            <w:noProof/>
          </w:rPr>
          <w:t xml:space="preserve">Table 20.  </w:t>
        </w:r>
        <w:r w:rsidR="00BD038B" w:rsidRPr="00E91677">
          <w:rPr>
            <w:rStyle w:val="Hyperlink"/>
            <w:i/>
            <w:noProof/>
          </w:rPr>
          <w:t xml:space="preserve">Summary of environmental conditions at monitoring sites in the Burdekin in </w:t>
        </w:r>
        <w:r w:rsidR="008574EC">
          <w:rPr>
            <w:rStyle w:val="Hyperlink"/>
            <w:i/>
            <w:noProof/>
          </w:rPr>
          <w:t>2016–17</w:t>
        </w:r>
        <w:r w:rsidR="00BD038B" w:rsidRPr="00E91677">
          <w:rPr>
            <w:rStyle w:val="Hyperlink"/>
            <w:i/>
            <w:noProof/>
          </w:rPr>
          <w:t xml:space="preserve"> compared to the long-term average</w:t>
        </w:r>
        <w:r w:rsidR="00BD038B">
          <w:rPr>
            <w:noProof/>
            <w:webHidden/>
          </w:rPr>
          <w:tab/>
        </w:r>
        <w:r w:rsidR="00BD038B">
          <w:rPr>
            <w:noProof/>
            <w:webHidden/>
          </w:rPr>
          <w:fldChar w:fldCharType="begin"/>
        </w:r>
        <w:r w:rsidR="00BD038B">
          <w:rPr>
            <w:noProof/>
            <w:webHidden/>
          </w:rPr>
          <w:instrText xml:space="preserve"> PAGEREF _Toc516053444 \h </w:instrText>
        </w:r>
        <w:r w:rsidR="00BD038B">
          <w:rPr>
            <w:noProof/>
            <w:webHidden/>
          </w:rPr>
        </w:r>
        <w:r w:rsidR="00BD038B">
          <w:rPr>
            <w:noProof/>
            <w:webHidden/>
          </w:rPr>
          <w:fldChar w:fldCharType="separate"/>
        </w:r>
        <w:r w:rsidR="00F87DF9">
          <w:rPr>
            <w:noProof/>
            <w:webHidden/>
          </w:rPr>
          <w:t>72</w:t>
        </w:r>
        <w:r w:rsidR="00BD038B">
          <w:rPr>
            <w:noProof/>
            <w:webHidden/>
          </w:rPr>
          <w:fldChar w:fldCharType="end"/>
        </w:r>
      </w:hyperlink>
    </w:p>
    <w:p w14:paraId="2EFF0C4F" w14:textId="6529E1F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5" w:history="1">
        <w:r w:rsidR="00BD038B" w:rsidRPr="00E91677">
          <w:rPr>
            <w:rStyle w:val="Hyperlink"/>
            <w:noProof/>
          </w:rPr>
          <w:t xml:space="preserve">Table 21.  </w:t>
        </w:r>
        <w:r w:rsidR="00BD038B" w:rsidRPr="00E91677">
          <w:rPr>
            <w:rStyle w:val="Hyperlink"/>
            <w:i/>
            <w:noProof/>
          </w:rPr>
          <w:t>Water type at each seagrass monitoring site in the Burdekin NRM region, derived from MODIS true colour images</w:t>
        </w:r>
        <w:r w:rsidR="00BD038B">
          <w:rPr>
            <w:noProof/>
            <w:webHidden/>
          </w:rPr>
          <w:tab/>
        </w:r>
        <w:r w:rsidR="00BD038B">
          <w:rPr>
            <w:noProof/>
            <w:webHidden/>
          </w:rPr>
          <w:fldChar w:fldCharType="begin"/>
        </w:r>
        <w:r w:rsidR="00BD038B">
          <w:rPr>
            <w:noProof/>
            <w:webHidden/>
          </w:rPr>
          <w:instrText xml:space="preserve"> PAGEREF _Toc516053445 \h </w:instrText>
        </w:r>
        <w:r w:rsidR="00BD038B">
          <w:rPr>
            <w:noProof/>
            <w:webHidden/>
          </w:rPr>
        </w:r>
        <w:r w:rsidR="00BD038B">
          <w:rPr>
            <w:noProof/>
            <w:webHidden/>
          </w:rPr>
          <w:fldChar w:fldCharType="separate"/>
        </w:r>
        <w:r w:rsidR="00F87DF9">
          <w:rPr>
            <w:noProof/>
            <w:webHidden/>
          </w:rPr>
          <w:t>73</w:t>
        </w:r>
        <w:r w:rsidR="00BD038B">
          <w:rPr>
            <w:noProof/>
            <w:webHidden/>
          </w:rPr>
          <w:fldChar w:fldCharType="end"/>
        </w:r>
      </w:hyperlink>
    </w:p>
    <w:p w14:paraId="0987EC8C" w14:textId="2E7984F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6" w:history="1">
        <w:r w:rsidR="00BD038B" w:rsidRPr="00E91677">
          <w:rPr>
            <w:rStyle w:val="Hyperlink"/>
            <w:noProof/>
          </w:rPr>
          <w:t xml:space="preserve">Table 22. </w:t>
        </w:r>
        <w:r w:rsidR="00BD038B" w:rsidRPr="00E91677">
          <w:rPr>
            <w:rStyle w:val="Hyperlink"/>
            <w:i/>
            <w:noProof/>
          </w:rPr>
          <w:t>List of data sources of seagrass and environmental condition indicators for each seagrass habitat type in the Burdekin NRM region.</w:t>
        </w:r>
        <w:r w:rsidR="00BD038B">
          <w:rPr>
            <w:noProof/>
            <w:webHidden/>
          </w:rPr>
          <w:tab/>
        </w:r>
        <w:r w:rsidR="00BD038B">
          <w:rPr>
            <w:noProof/>
            <w:webHidden/>
          </w:rPr>
          <w:fldChar w:fldCharType="begin"/>
        </w:r>
        <w:r w:rsidR="00BD038B">
          <w:rPr>
            <w:noProof/>
            <w:webHidden/>
          </w:rPr>
          <w:instrText xml:space="preserve"> PAGEREF _Toc516053446 \h </w:instrText>
        </w:r>
        <w:r w:rsidR="00BD038B">
          <w:rPr>
            <w:noProof/>
            <w:webHidden/>
          </w:rPr>
        </w:r>
        <w:r w:rsidR="00BD038B">
          <w:rPr>
            <w:noProof/>
            <w:webHidden/>
          </w:rPr>
          <w:fldChar w:fldCharType="separate"/>
        </w:r>
        <w:r w:rsidR="00F87DF9">
          <w:rPr>
            <w:noProof/>
            <w:webHidden/>
          </w:rPr>
          <w:t>75</w:t>
        </w:r>
        <w:r w:rsidR="00BD038B">
          <w:rPr>
            <w:noProof/>
            <w:webHidden/>
          </w:rPr>
          <w:fldChar w:fldCharType="end"/>
        </w:r>
      </w:hyperlink>
    </w:p>
    <w:p w14:paraId="3E8A7307" w14:textId="25044F3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7" w:history="1">
        <w:r w:rsidR="00BD038B" w:rsidRPr="00E91677">
          <w:rPr>
            <w:rStyle w:val="Hyperlink"/>
            <w:noProof/>
          </w:rPr>
          <w:t xml:space="preserve">Table 23. </w:t>
        </w:r>
        <w:r w:rsidR="00BD038B" w:rsidRPr="00E91677">
          <w:rPr>
            <w:rStyle w:val="Hyperlink"/>
            <w:i/>
            <w:noProof/>
          </w:rPr>
          <w:t>Long-term report card scores for seagrass abundance, reproductive and leaf tissue nutrient status for each habitat in the Burdekin region: June 2016 – May 2017.</w:t>
        </w:r>
        <w:r w:rsidR="00BD038B">
          <w:rPr>
            <w:noProof/>
            <w:webHidden/>
          </w:rPr>
          <w:tab/>
        </w:r>
        <w:r w:rsidR="00BD038B">
          <w:rPr>
            <w:noProof/>
            <w:webHidden/>
          </w:rPr>
          <w:fldChar w:fldCharType="begin"/>
        </w:r>
        <w:r w:rsidR="00BD038B">
          <w:rPr>
            <w:noProof/>
            <w:webHidden/>
          </w:rPr>
          <w:instrText xml:space="preserve"> PAGEREF _Toc516053447 \h </w:instrText>
        </w:r>
        <w:r w:rsidR="00BD038B">
          <w:rPr>
            <w:noProof/>
            <w:webHidden/>
          </w:rPr>
        </w:r>
        <w:r w:rsidR="00BD038B">
          <w:rPr>
            <w:noProof/>
            <w:webHidden/>
          </w:rPr>
          <w:fldChar w:fldCharType="separate"/>
        </w:r>
        <w:r w:rsidR="00F87DF9">
          <w:rPr>
            <w:noProof/>
            <w:webHidden/>
          </w:rPr>
          <w:t>82</w:t>
        </w:r>
        <w:r w:rsidR="00BD038B">
          <w:rPr>
            <w:noProof/>
            <w:webHidden/>
          </w:rPr>
          <w:fldChar w:fldCharType="end"/>
        </w:r>
      </w:hyperlink>
    </w:p>
    <w:p w14:paraId="606BA7E9" w14:textId="31B0E6D4"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8" w:history="1">
        <w:r w:rsidR="00BD038B" w:rsidRPr="00E91677">
          <w:rPr>
            <w:rStyle w:val="Hyperlink"/>
            <w:noProof/>
          </w:rPr>
          <w:t xml:space="preserve">Table 24. </w:t>
        </w:r>
        <w:r w:rsidR="00BD038B" w:rsidRPr="00E91677">
          <w:rPr>
            <w:rStyle w:val="Hyperlink"/>
            <w:i/>
            <w:noProof/>
          </w:rPr>
          <w:t xml:space="preserve">Summary of environmental conditions at monitoring sites in Mackay Whitsunday region in </w:t>
        </w:r>
        <w:r w:rsidR="008574EC">
          <w:rPr>
            <w:rStyle w:val="Hyperlink"/>
            <w:i/>
            <w:noProof/>
          </w:rPr>
          <w:t>2016–17</w:t>
        </w:r>
        <w:r w:rsidR="00BD038B" w:rsidRPr="00E91677">
          <w:rPr>
            <w:rStyle w:val="Hyperlink"/>
            <w:i/>
            <w:noProof/>
          </w:rPr>
          <w:t xml:space="preserve"> compared to the long-term average (long-term range indicated for each data set).</w:t>
        </w:r>
        <w:r w:rsidR="00BD038B">
          <w:rPr>
            <w:noProof/>
            <w:webHidden/>
          </w:rPr>
          <w:tab/>
        </w:r>
        <w:r w:rsidR="00BD038B">
          <w:rPr>
            <w:noProof/>
            <w:webHidden/>
          </w:rPr>
          <w:fldChar w:fldCharType="begin"/>
        </w:r>
        <w:r w:rsidR="00BD038B">
          <w:rPr>
            <w:noProof/>
            <w:webHidden/>
          </w:rPr>
          <w:instrText xml:space="preserve"> PAGEREF _Toc516053448 \h </w:instrText>
        </w:r>
        <w:r w:rsidR="00BD038B">
          <w:rPr>
            <w:noProof/>
            <w:webHidden/>
          </w:rPr>
        </w:r>
        <w:r w:rsidR="00BD038B">
          <w:rPr>
            <w:noProof/>
            <w:webHidden/>
          </w:rPr>
          <w:fldChar w:fldCharType="separate"/>
        </w:r>
        <w:r w:rsidR="00F87DF9">
          <w:rPr>
            <w:noProof/>
            <w:webHidden/>
          </w:rPr>
          <w:t>84</w:t>
        </w:r>
        <w:r w:rsidR="00BD038B">
          <w:rPr>
            <w:noProof/>
            <w:webHidden/>
          </w:rPr>
          <w:fldChar w:fldCharType="end"/>
        </w:r>
      </w:hyperlink>
    </w:p>
    <w:p w14:paraId="1D1583B7" w14:textId="11847E5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49" w:history="1">
        <w:r w:rsidR="00BD038B" w:rsidRPr="00E91677">
          <w:rPr>
            <w:rStyle w:val="Hyperlink"/>
            <w:noProof/>
          </w:rPr>
          <w:t>Table 25</w:t>
        </w:r>
        <w:r w:rsidR="00BD038B" w:rsidRPr="00E91677">
          <w:rPr>
            <w:rStyle w:val="Hyperlink"/>
            <w:i/>
            <w:noProof/>
          </w:rPr>
          <w:t>. Water type at each location in the Mackay Whitsunday region derived from MODIS true colour images</w:t>
        </w:r>
        <w:r w:rsidR="00BD038B">
          <w:rPr>
            <w:noProof/>
            <w:webHidden/>
          </w:rPr>
          <w:tab/>
        </w:r>
        <w:r w:rsidR="00BD038B">
          <w:rPr>
            <w:noProof/>
            <w:webHidden/>
          </w:rPr>
          <w:fldChar w:fldCharType="begin"/>
        </w:r>
        <w:r w:rsidR="00BD038B">
          <w:rPr>
            <w:noProof/>
            <w:webHidden/>
          </w:rPr>
          <w:instrText xml:space="preserve"> PAGEREF _Toc516053449 \h </w:instrText>
        </w:r>
        <w:r w:rsidR="00BD038B">
          <w:rPr>
            <w:noProof/>
            <w:webHidden/>
          </w:rPr>
        </w:r>
        <w:r w:rsidR="00BD038B">
          <w:rPr>
            <w:noProof/>
            <w:webHidden/>
          </w:rPr>
          <w:fldChar w:fldCharType="separate"/>
        </w:r>
        <w:r w:rsidR="00F87DF9">
          <w:rPr>
            <w:noProof/>
            <w:webHidden/>
          </w:rPr>
          <w:t>84</w:t>
        </w:r>
        <w:r w:rsidR="00BD038B">
          <w:rPr>
            <w:noProof/>
            <w:webHidden/>
          </w:rPr>
          <w:fldChar w:fldCharType="end"/>
        </w:r>
      </w:hyperlink>
    </w:p>
    <w:p w14:paraId="5D6AD6CD" w14:textId="6FE84C6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0" w:history="1">
        <w:r w:rsidR="00BD038B" w:rsidRPr="00E91677">
          <w:rPr>
            <w:rStyle w:val="Hyperlink"/>
            <w:noProof/>
          </w:rPr>
          <w:t xml:space="preserve">Table 26. </w:t>
        </w:r>
        <w:r w:rsidR="00BD038B" w:rsidRPr="00E91677">
          <w:rPr>
            <w:rStyle w:val="Hyperlink"/>
            <w:i/>
            <w:noProof/>
          </w:rPr>
          <w:t>List of data sources of seagrass and environmental condition indicators for each seagrass habitat type in the Mackay Whitsunday NRM region.</w:t>
        </w:r>
        <w:r w:rsidR="00BD038B">
          <w:rPr>
            <w:noProof/>
            <w:webHidden/>
          </w:rPr>
          <w:tab/>
        </w:r>
        <w:r w:rsidR="00BD038B">
          <w:rPr>
            <w:noProof/>
            <w:webHidden/>
          </w:rPr>
          <w:fldChar w:fldCharType="begin"/>
        </w:r>
        <w:r w:rsidR="00BD038B">
          <w:rPr>
            <w:noProof/>
            <w:webHidden/>
          </w:rPr>
          <w:instrText xml:space="preserve"> PAGEREF _Toc516053450 \h </w:instrText>
        </w:r>
        <w:r w:rsidR="00BD038B">
          <w:rPr>
            <w:noProof/>
            <w:webHidden/>
          </w:rPr>
        </w:r>
        <w:r w:rsidR="00BD038B">
          <w:rPr>
            <w:noProof/>
            <w:webHidden/>
          </w:rPr>
          <w:fldChar w:fldCharType="separate"/>
        </w:r>
        <w:r w:rsidR="00F87DF9">
          <w:rPr>
            <w:noProof/>
            <w:webHidden/>
          </w:rPr>
          <w:t>86</w:t>
        </w:r>
        <w:r w:rsidR="00BD038B">
          <w:rPr>
            <w:noProof/>
            <w:webHidden/>
          </w:rPr>
          <w:fldChar w:fldCharType="end"/>
        </w:r>
      </w:hyperlink>
    </w:p>
    <w:p w14:paraId="66BF4FB6" w14:textId="59FAE76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1" w:history="1">
        <w:r w:rsidR="00BD038B" w:rsidRPr="00E91677">
          <w:rPr>
            <w:rStyle w:val="Hyperlink"/>
            <w:noProof/>
          </w:rPr>
          <w:t xml:space="preserve">Table 27. </w:t>
        </w:r>
        <w:r w:rsidR="00BD038B" w:rsidRPr="00E91677">
          <w:rPr>
            <w:rStyle w:val="Hyperlink"/>
            <w:i/>
            <w:noProof/>
          </w:rPr>
          <w:t>Long-term report card scores for seagrass abundance, reproductive and leaf tissue nutrient status for each habitat in the Mackay Whitsunday region: June 2016 – May 2017.</w:t>
        </w:r>
        <w:r w:rsidR="00BD038B">
          <w:rPr>
            <w:noProof/>
            <w:webHidden/>
          </w:rPr>
          <w:tab/>
        </w:r>
        <w:r w:rsidR="00BD038B">
          <w:rPr>
            <w:noProof/>
            <w:webHidden/>
          </w:rPr>
          <w:fldChar w:fldCharType="begin"/>
        </w:r>
        <w:r w:rsidR="00BD038B">
          <w:rPr>
            <w:noProof/>
            <w:webHidden/>
          </w:rPr>
          <w:instrText xml:space="preserve"> PAGEREF _Toc516053451 \h </w:instrText>
        </w:r>
        <w:r w:rsidR="00BD038B">
          <w:rPr>
            <w:noProof/>
            <w:webHidden/>
          </w:rPr>
        </w:r>
        <w:r w:rsidR="00BD038B">
          <w:rPr>
            <w:noProof/>
            <w:webHidden/>
          </w:rPr>
          <w:fldChar w:fldCharType="separate"/>
        </w:r>
        <w:r w:rsidR="00F87DF9">
          <w:rPr>
            <w:noProof/>
            <w:webHidden/>
          </w:rPr>
          <w:t>93</w:t>
        </w:r>
        <w:r w:rsidR="00BD038B">
          <w:rPr>
            <w:noProof/>
            <w:webHidden/>
          </w:rPr>
          <w:fldChar w:fldCharType="end"/>
        </w:r>
      </w:hyperlink>
    </w:p>
    <w:p w14:paraId="5461DFC5" w14:textId="6A94181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2" w:history="1">
        <w:r w:rsidR="00BD038B" w:rsidRPr="00E91677">
          <w:rPr>
            <w:rStyle w:val="Hyperlink"/>
            <w:noProof/>
          </w:rPr>
          <w:t xml:space="preserve">Table 28.  </w:t>
        </w:r>
        <w:r w:rsidR="00BD038B" w:rsidRPr="00E91677">
          <w:rPr>
            <w:rStyle w:val="Hyperlink"/>
            <w:i/>
            <w:noProof/>
          </w:rPr>
          <w:t xml:space="preserve">Summary of environmental conditions at monitoring sites in the Fitzroy region in </w:t>
        </w:r>
        <w:r w:rsidR="008574EC">
          <w:rPr>
            <w:rStyle w:val="Hyperlink"/>
            <w:i/>
            <w:noProof/>
          </w:rPr>
          <w:t>2016–17</w:t>
        </w:r>
        <w:r w:rsidR="00BD038B" w:rsidRPr="00E91677">
          <w:rPr>
            <w:rStyle w:val="Hyperlink"/>
            <w:i/>
            <w:noProof/>
          </w:rPr>
          <w:t xml:space="preserve"> compared to the long-term average (long-term range indicated for each data set).</w:t>
        </w:r>
        <w:r w:rsidR="00BD038B">
          <w:rPr>
            <w:noProof/>
            <w:webHidden/>
          </w:rPr>
          <w:tab/>
        </w:r>
        <w:r w:rsidR="00BD038B">
          <w:rPr>
            <w:noProof/>
            <w:webHidden/>
          </w:rPr>
          <w:fldChar w:fldCharType="begin"/>
        </w:r>
        <w:r w:rsidR="00BD038B">
          <w:rPr>
            <w:noProof/>
            <w:webHidden/>
          </w:rPr>
          <w:instrText xml:space="preserve"> PAGEREF _Toc516053452 \h </w:instrText>
        </w:r>
        <w:r w:rsidR="00BD038B">
          <w:rPr>
            <w:noProof/>
            <w:webHidden/>
          </w:rPr>
        </w:r>
        <w:r w:rsidR="00BD038B">
          <w:rPr>
            <w:noProof/>
            <w:webHidden/>
          </w:rPr>
          <w:fldChar w:fldCharType="separate"/>
        </w:r>
        <w:r w:rsidR="00F87DF9">
          <w:rPr>
            <w:noProof/>
            <w:webHidden/>
          </w:rPr>
          <w:t>95</w:t>
        </w:r>
        <w:r w:rsidR="00BD038B">
          <w:rPr>
            <w:noProof/>
            <w:webHidden/>
          </w:rPr>
          <w:fldChar w:fldCharType="end"/>
        </w:r>
      </w:hyperlink>
    </w:p>
    <w:p w14:paraId="49D25C90" w14:textId="3743292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3" w:history="1">
        <w:r w:rsidR="00BD038B" w:rsidRPr="00E91677">
          <w:rPr>
            <w:rStyle w:val="Hyperlink"/>
            <w:noProof/>
          </w:rPr>
          <w:t>Table 29</w:t>
        </w:r>
        <w:r w:rsidR="00BD038B" w:rsidRPr="00E91677">
          <w:rPr>
            <w:rStyle w:val="Hyperlink"/>
            <w:i/>
            <w:noProof/>
          </w:rPr>
          <w:t>. Water type at each site in the Fitzroy region derived from MODIS true colour images</w:t>
        </w:r>
        <w:r w:rsidR="00BD038B">
          <w:rPr>
            <w:noProof/>
            <w:webHidden/>
          </w:rPr>
          <w:tab/>
        </w:r>
        <w:r w:rsidR="00BD038B">
          <w:rPr>
            <w:noProof/>
            <w:webHidden/>
          </w:rPr>
          <w:fldChar w:fldCharType="begin"/>
        </w:r>
        <w:r w:rsidR="00BD038B">
          <w:rPr>
            <w:noProof/>
            <w:webHidden/>
          </w:rPr>
          <w:instrText xml:space="preserve"> PAGEREF _Toc516053453 \h </w:instrText>
        </w:r>
        <w:r w:rsidR="00BD038B">
          <w:rPr>
            <w:noProof/>
            <w:webHidden/>
          </w:rPr>
        </w:r>
        <w:r w:rsidR="00BD038B">
          <w:rPr>
            <w:noProof/>
            <w:webHidden/>
          </w:rPr>
          <w:fldChar w:fldCharType="separate"/>
        </w:r>
        <w:r w:rsidR="00F87DF9">
          <w:rPr>
            <w:noProof/>
            <w:webHidden/>
          </w:rPr>
          <w:t>95</w:t>
        </w:r>
        <w:r w:rsidR="00BD038B">
          <w:rPr>
            <w:noProof/>
            <w:webHidden/>
          </w:rPr>
          <w:fldChar w:fldCharType="end"/>
        </w:r>
      </w:hyperlink>
    </w:p>
    <w:p w14:paraId="2635CB8B" w14:textId="5AA83A0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4" w:history="1">
        <w:r w:rsidR="00BD038B" w:rsidRPr="00E91677">
          <w:rPr>
            <w:rStyle w:val="Hyperlink"/>
            <w:noProof/>
          </w:rPr>
          <w:t xml:space="preserve">Table 30. </w:t>
        </w:r>
        <w:r w:rsidR="00BD038B" w:rsidRPr="00E91677">
          <w:rPr>
            <w:rStyle w:val="Hyperlink"/>
            <w:i/>
            <w:noProof/>
          </w:rPr>
          <w:t>List of data sources of seagrass and environmental condition indicators for each seagrass habitat type in the Fitzroy NRM region.</w:t>
        </w:r>
        <w:r w:rsidR="00BD038B">
          <w:rPr>
            <w:noProof/>
            <w:webHidden/>
          </w:rPr>
          <w:tab/>
        </w:r>
        <w:r w:rsidR="00BD038B">
          <w:rPr>
            <w:noProof/>
            <w:webHidden/>
          </w:rPr>
          <w:fldChar w:fldCharType="begin"/>
        </w:r>
        <w:r w:rsidR="00BD038B">
          <w:rPr>
            <w:noProof/>
            <w:webHidden/>
          </w:rPr>
          <w:instrText xml:space="preserve"> PAGEREF _Toc516053454 \h </w:instrText>
        </w:r>
        <w:r w:rsidR="00BD038B">
          <w:rPr>
            <w:noProof/>
            <w:webHidden/>
          </w:rPr>
        </w:r>
        <w:r w:rsidR="00BD038B">
          <w:rPr>
            <w:noProof/>
            <w:webHidden/>
          </w:rPr>
          <w:fldChar w:fldCharType="separate"/>
        </w:r>
        <w:r w:rsidR="00F87DF9">
          <w:rPr>
            <w:noProof/>
            <w:webHidden/>
          </w:rPr>
          <w:t>97</w:t>
        </w:r>
        <w:r w:rsidR="00BD038B">
          <w:rPr>
            <w:noProof/>
            <w:webHidden/>
          </w:rPr>
          <w:fldChar w:fldCharType="end"/>
        </w:r>
      </w:hyperlink>
    </w:p>
    <w:p w14:paraId="78CE550E" w14:textId="4B66CCD1"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5" w:history="1">
        <w:r w:rsidR="00BD038B" w:rsidRPr="00E91677">
          <w:rPr>
            <w:rStyle w:val="Hyperlink"/>
            <w:noProof/>
          </w:rPr>
          <w:t xml:space="preserve">Table 31. </w:t>
        </w:r>
        <w:r w:rsidR="00BD038B" w:rsidRPr="00E91677">
          <w:rPr>
            <w:rStyle w:val="Hyperlink"/>
            <w:i/>
            <w:noProof/>
          </w:rPr>
          <w:t>Long-term report card scores for seagrass abundance, reproductive and leaf tissue nutrient status for each habitat in the Fitzroy region: June 2005 – May 2017.</w:t>
        </w:r>
        <w:r w:rsidR="00BD038B">
          <w:rPr>
            <w:noProof/>
            <w:webHidden/>
          </w:rPr>
          <w:tab/>
        </w:r>
        <w:r w:rsidR="00BD038B">
          <w:rPr>
            <w:noProof/>
            <w:webHidden/>
          </w:rPr>
          <w:fldChar w:fldCharType="begin"/>
        </w:r>
        <w:r w:rsidR="00BD038B">
          <w:rPr>
            <w:noProof/>
            <w:webHidden/>
          </w:rPr>
          <w:instrText xml:space="preserve"> PAGEREF _Toc516053455 \h </w:instrText>
        </w:r>
        <w:r w:rsidR="00BD038B">
          <w:rPr>
            <w:noProof/>
            <w:webHidden/>
          </w:rPr>
        </w:r>
        <w:r w:rsidR="00BD038B">
          <w:rPr>
            <w:noProof/>
            <w:webHidden/>
          </w:rPr>
          <w:fldChar w:fldCharType="separate"/>
        </w:r>
        <w:r w:rsidR="00F87DF9">
          <w:rPr>
            <w:noProof/>
            <w:webHidden/>
          </w:rPr>
          <w:t>103</w:t>
        </w:r>
        <w:r w:rsidR="00BD038B">
          <w:rPr>
            <w:noProof/>
            <w:webHidden/>
          </w:rPr>
          <w:fldChar w:fldCharType="end"/>
        </w:r>
      </w:hyperlink>
    </w:p>
    <w:p w14:paraId="1EA1F7D1" w14:textId="4E6D630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6" w:history="1">
        <w:r w:rsidR="00BD038B" w:rsidRPr="00E91677">
          <w:rPr>
            <w:rStyle w:val="Hyperlink"/>
            <w:noProof/>
          </w:rPr>
          <w:t xml:space="preserve">Table 32. </w:t>
        </w:r>
        <w:r w:rsidR="00BD038B" w:rsidRPr="00E91677">
          <w:rPr>
            <w:rStyle w:val="Hyperlink"/>
            <w:i/>
            <w:noProof/>
          </w:rPr>
          <w:t xml:space="preserve">Summary of environmental conditions at monitoring sites in the Burnett Mary in </w:t>
        </w:r>
        <w:r w:rsidR="008574EC">
          <w:rPr>
            <w:rStyle w:val="Hyperlink"/>
            <w:i/>
            <w:noProof/>
          </w:rPr>
          <w:t>2016–17</w:t>
        </w:r>
        <w:r w:rsidR="00BD038B" w:rsidRPr="00E91677">
          <w:rPr>
            <w:rStyle w:val="Hyperlink"/>
            <w:i/>
            <w:noProof/>
          </w:rPr>
          <w:t xml:space="preserve"> compared to the long-term average (long-term range indicated for each data set).</w:t>
        </w:r>
        <w:r w:rsidR="00BD038B">
          <w:rPr>
            <w:noProof/>
            <w:webHidden/>
          </w:rPr>
          <w:tab/>
        </w:r>
        <w:r w:rsidR="00BD038B">
          <w:rPr>
            <w:noProof/>
            <w:webHidden/>
          </w:rPr>
          <w:fldChar w:fldCharType="begin"/>
        </w:r>
        <w:r w:rsidR="00BD038B">
          <w:rPr>
            <w:noProof/>
            <w:webHidden/>
          </w:rPr>
          <w:instrText xml:space="preserve"> PAGEREF _Toc516053456 \h </w:instrText>
        </w:r>
        <w:r w:rsidR="00BD038B">
          <w:rPr>
            <w:noProof/>
            <w:webHidden/>
          </w:rPr>
        </w:r>
        <w:r w:rsidR="00BD038B">
          <w:rPr>
            <w:noProof/>
            <w:webHidden/>
          </w:rPr>
          <w:fldChar w:fldCharType="separate"/>
        </w:r>
        <w:r w:rsidR="00F87DF9">
          <w:rPr>
            <w:noProof/>
            <w:webHidden/>
          </w:rPr>
          <w:t>105</w:t>
        </w:r>
        <w:r w:rsidR="00BD038B">
          <w:rPr>
            <w:noProof/>
            <w:webHidden/>
          </w:rPr>
          <w:fldChar w:fldCharType="end"/>
        </w:r>
      </w:hyperlink>
    </w:p>
    <w:p w14:paraId="46ACDEF9" w14:textId="746CB93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7" w:history="1">
        <w:r w:rsidR="00BD038B" w:rsidRPr="00E91677">
          <w:rPr>
            <w:rStyle w:val="Hyperlink"/>
            <w:noProof/>
          </w:rPr>
          <w:t>Table 33</w:t>
        </w:r>
        <w:r w:rsidR="00BD038B" w:rsidRPr="00E91677">
          <w:rPr>
            <w:rStyle w:val="Hyperlink"/>
            <w:i/>
            <w:noProof/>
          </w:rPr>
          <w:t>. Water type at each location in the Burnett Mary NRM derived from MODIS true colour images</w:t>
        </w:r>
        <w:r w:rsidR="00BD038B">
          <w:rPr>
            <w:noProof/>
            <w:webHidden/>
          </w:rPr>
          <w:tab/>
        </w:r>
        <w:r w:rsidR="00BD038B">
          <w:rPr>
            <w:noProof/>
            <w:webHidden/>
          </w:rPr>
          <w:fldChar w:fldCharType="begin"/>
        </w:r>
        <w:r w:rsidR="00BD038B">
          <w:rPr>
            <w:noProof/>
            <w:webHidden/>
          </w:rPr>
          <w:instrText xml:space="preserve"> PAGEREF _Toc516053457 \h </w:instrText>
        </w:r>
        <w:r w:rsidR="00BD038B">
          <w:rPr>
            <w:noProof/>
            <w:webHidden/>
          </w:rPr>
        </w:r>
        <w:r w:rsidR="00BD038B">
          <w:rPr>
            <w:noProof/>
            <w:webHidden/>
          </w:rPr>
          <w:fldChar w:fldCharType="separate"/>
        </w:r>
        <w:r w:rsidR="00F87DF9">
          <w:rPr>
            <w:noProof/>
            <w:webHidden/>
          </w:rPr>
          <w:t>105</w:t>
        </w:r>
        <w:r w:rsidR="00BD038B">
          <w:rPr>
            <w:noProof/>
            <w:webHidden/>
          </w:rPr>
          <w:fldChar w:fldCharType="end"/>
        </w:r>
      </w:hyperlink>
    </w:p>
    <w:p w14:paraId="70F2CC52" w14:textId="36A7F00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8" w:history="1">
        <w:r w:rsidR="00BD038B" w:rsidRPr="00E91677">
          <w:rPr>
            <w:rStyle w:val="Hyperlink"/>
            <w:noProof/>
          </w:rPr>
          <w:t xml:space="preserve">Table 34. </w:t>
        </w:r>
        <w:r w:rsidR="00BD038B" w:rsidRPr="00E91677">
          <w:rPr>
            <w:rStyle w:val="Hyperlink"/>
            <w:i/>
            <w:noProof/>
          </w:rPr>
          <w:t>List of data sources of seagrass and environmental condition indicators for each seagrass habitat type in the Burnett Mary NRM region.</w:t>
        </w:r>
        <w:r w:rsidR="00BD038B">
          <w:rPr>
            <w:noProof/>
            <w:webHidden/>
          </w:rPr>
          <w:tab/>
        </w:r>
        <w:r w:rsidR="00BD038B">
          <w:rPr>
            <w:noProof/>
            <w:webHidden/>
          </w:rPr>
          <w:fldChar w:fldCharType="begin"/>
        </w:r>
        <w:r w:rsidR="00BD038B">
          <w:rPr>
            <w:noProof/>
            <w:webHidden/>
          </w:rPr>
          <w:instrText xml:space="preserve"> PAGEREF _Toc516053458 \h </w:instrText>
        </w:r>
        <w:r w:rsidR="00BD038B">
          <w:rPr>
            <w:noProof/>
            <w:webHidden/>
          </w:rPr>
        </w:r>
        <w:r w:rsidR="00BD038B">
          <w:rPr>
            <w:noProof/>
            <w:webHidden/>
          </w:rPr>
          <w:fldChar w:fldCharType="separate"/>
        </w:r>
        <w:r w:rsidR="00F87DF9">
          <w:rPr>
            <w:noProof/>
            <w:webHidden/>
          </w:rPr>
          <w:t>107</w:t>
        </w:r>
        <w:r w:rsidR="00BD038B">
          <w:rPr>
            <w:noProof/>
            <w:webHidden/>
          </w:rPr>
          <w:fldChar w:fldCharType="end"/>
        </w:r>
      </w:hyperlink>
    </w:p>
    <w:p w14:paraId="2D956C23" w14:textId="0C1FD8E0"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59" w:history="1">
        <w:r w:rsidR="00BD038B" w:rsidRPr="00E91677">
          <w:rPr>
            <w:rStyle w:val="Hyperlink"/>
            <w:noProof/>
          </w:rPr>
          <w:t xml:space="preserve">Table 35. </w:t>
        </w:r>
        <w:r w:rsidR="00BD038B" w:rsidRPr="00E91677">
          <w:rPr>
            <w:rStyle w:val="Hyperlink"/>
            <w:i/>
            <w:noProof/>
          </w:rPr>
          <w:t>Long-term report card scores for seagrass abundance, reproductive and leaf tissue nutrient status for each habitat in the Burnett Mary region: June 2005 – May 2017.</w:t>
        </w:r>
        <w:r w:rsidR="00BD038B">
          <w:rPr>
            <w:noProof/>
            <w:webHidden/>
          </w:rPr>
          <w:tab/>
        </w:r>
        <w:r w:rsidR="00BD038B">
          <w:rPr>
            <w:noProof/>
            <w:webHidden/>
          </w:rPr>
          <w:fldChar w:fldCharType="begin"/>
        </w:r>
        <w:r w:rsidR="00BD038B">
          <w:rPr>
            <w:noProof/>
            <w:webHidden/>
          </w:rPr>
          <w:instrText xml:space="preserve"> PAGEREF _Toc516053459 \h </w:instrText>
        </w:r>
        <w:r w:rsidR="00BD038B">
          <w:rPr>
            <w:noProof/>
            <w:webHidden/>
          </w:rPr>
        </w:r>
        <w:r w:rsidR="00BD038B">
          <w:rPr>
            <w:noProof/>
            <w:webHidden/>
          </w:rPr>
          <w:fldChar w:fldCharType="separate"/>
        </w:r>
        <w:r w:rsidR="00F87DF9">
          <w:rPr>
            <w:noProof/>
            <w:webHidden/>
          </w:rPr>
          <w:t>113</w:t>
        </w:r>
        <w:r w:rsidR="00BD038B">
          <w:rPr>
            <w:noProof/>
            <w:webHidden/>
          </w:rPr>
          <w:fldChar w:fldCharType="end"/>
        </w:r>
      </w:hyperlink>
    </w:p>
    <w:p w14:paraId="5862486A" w14:textId="08B7E6E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0" w:history="1">
        <w:r w:rsidR="00BD038B" w:rsidRPr="00E91677">
          <w:rPr>
            <w:rStyle w:val="Hyperlink"/>
            <w:noProof/>
          </w:rPr>
          <w:t xml:space="preserve">Table 36. </w:t>
        </w:r>
        <w:r w:rsidR="00BD038B" w:rsidRPr="00E91677">
          <w:rPr>
            <w:rStyle w:val="Hyperlink"/>
            <w:i/>
            <w:noProof/>
          </w:rPr>
          <w:t>Samples collected at each MMP inshore monitoring site per parameter for each season</w:t>
        </w:r>
        <w:r w:rsidR="00BD038B">
          <w:rPr>
            <w:noProof/>
            <w:webHidden/>
          </w:rPr>
          <w:tab/>
        </w:r>
        <w:r w:rsidR="00BD038B">
          <w:rPr>
            <w:noProof/>
            <w:webHidden/>
          </w:rPr>
          <w:fldChar w:fldCharType="begin"/>
        </w:r>
        <w:r w:rsidR="00BD038B">
          <w:rPr>
            <w:noProof/>
            <w:webHidden/>
          </w:rPr>
          <w:instrText xml:space="preserve"> PAGEREF _Toc516053460 \h </w:instrText>
        </w:r>
        <w:r w:rsidR="00BD038B">
          <w:rPr>
            <w:noProof/>
            <w:webHidden/>
          </w:rPr>
        </w:r>
        <w:r w:rsidR="00BD038B">
          <w:rPr>
            <w:noProof/>
            <w:webHidden/>
          </w:rPr>
          <w:fldChar w:fldCharType="separate"/>
        </w:r>
        <w:r w:rsidR="00F87DF9">
          <w:rPr>
            <w:noProof/>
            <w:webHidden/>
          </w:rPr>
          <w:t>162</w:t>
        </w:r>
        <w:r w:rsidR="00BD038B">
          <w:rPr>
            <w:noProof/>
            <w:webHidden/>
          </w:rPr>
          <w:fldChar w:fldCharType="end"/>
        </w:r>
      </w:hyperlink>
    </w:p>
    <w:p w14:paraId="4D80F235" w14:textId="62ECEEE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1" w:history="1">
        <w:r w:rsidR="00BD038B" w:rsidRPr="00E91677">
          <w:rPr>
            <w:rStyle w:val="Hyperlink"/>
            <w:noProof/>
          </w:rPr>
          <w:t xml:space="preserve">Table 37. </w:t>
        </w:r>
        <w:r w:rsidR="00BD038B" w:rsidRPr="00E91677">
          <w:rPr>
            <w:rStyle w:val="Hyperlink"/>
            <w:i/>
            <w:noProof/>
          </w:rPr>
          <w:t>Long-term average proportion (±SE) of colonising species in each GBR seagrass habitat type.</w:t>
        </w:r>
        <w:r w:rsidR="00BD038B">
          <w:rPr>
            <w:noProof/>
            <w:webHidden/>
          </w:rPr>
          <w:tab/>
        </w:r>
        <w:r w:rsidR="00BD038B">
          <w:rPr>
            <w:noProof/>
            <w:webHidden/>
          </w:rPr>
          <w:fldChar w:fldCharType="begin"/>
        </w:r>
        <w:r w:rsidR="00BD038B">
          <w:rPr>
            <w:noProof/>
            <w:webHidden/>
          </w:rPr>
          <w:instrText xml:space="preserve"> PAGEREF _Toc516053461 \h </w:instrText>
        </w:r>
        <w:r w:rsidR="00BD038B">
          <w:rPr>
            <w:noProof/>
            <w:webHidden/>
          </w:rPr>
        </w:r>
        <w:r w:rsidR="00BD038B">
          <w:rPr>
            <w:noProof/>
            <w:webHidden/>
          </w:rPr>
          <w:fldChar w:fldCharType="separate"/>
        </w:r>
        <w:r w:rsidR="00F87DF9">
          <w:rPr>
            <w:noProof/>
            <w:webHidden/>
          </w:rPr>
          <w:t>168</w:t>
        </w:r>
        <w:r w:rsidR="00BD038B">
          <w:rPr>
            <w:noProof/>
            <w:webHidden/>
          </w:rPr>
          <w:fldChar w:fldCharType="end"/>
        </w:r>
      </w:hyperlink>
    </w:p>
    <w:p w14:paraId="66D8C414" w14:textId="2C87CE6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2" w:history="1">
        <w:r w:rsidR="00BD038B" w:rsidRPr="00E91677">
          <w:rPr>
            <w:rStyle w:val="Hyperlink"/>
            <w:noProof/>
          </w:rPr>
          <w:t xml:space="preserve">Table 38. </w:t>
        </w:r>
        <w:r w:rsidR="00BD038B" w:rsidRPr="00E91677">
          <w:rPr>
            <w:rStyle w:val="Hyperlink"/>
            <w:i/>
            <w:noProof/>
          </w:rPr>
          <w:t>Seagrass percentage cover guidelines (“the seagrass guidelines”) for each site/location and the subregional guidelines (bold) for each NRM habitat.</w:t>
        </w:r>
        <w:r w:rsidR="00BD038B">
          <w:rPr>
            <w:noProof/>
            <w:webHidden/>
          </w:rPr>
          <w:tab/>
        </w:r>
        <w:r w:rsidR="00BD038B">
          <w:rPr>
            <w:noProof/>
            <w:webHidden/>
          </w:rPr>
          <w:fldChar w:fldCharType="begin"/>
        </w:r>
        <w:r w:rsidR="00BD038B">
          <w:rPr>
            <w:noProof/>
            <w:webHidden/>
          </w:rPr>
          <w:instrText xml:space="preserve"> PAGEREF _Toc516053462 \h </w:instrText>
        </w:r>
        <w:r w:rsidR="00BD038B">
          <w:rPr>
            <w:noProof/>
            <w:webHidden/>
          </w:rPr>
        </w:r>
        <w:r w:rsidR="00BD038B">
          <w:rPr>
            <w:noProof/>
            <w:webHidden/>
          </w:rPr>
          <w:fldChar w:fldCharType="separate"/>
        </w:r>
        <w:r w:rsidR="00F87DF9">
          <w:rPr>
            <w:noProof/>
            <w:webHidden/>
          </w:rPr>
          <w:t>179</w:t>
        </w:r>
        <w:r w:rsidR="00BD038B">
          <w:rPr>
            <w:noProof/>
            <w:webHidden/>
          </w:rPr>
          <w:fldChar w:fldCharType="end"/>
        </w:r>
      </w:hyperlink>
    </w:p>
    <w:p w14:paraId="24E71187" w14:textId="2F2D132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3" w:history="1">
        <w:r w:rsidR="00BD038B" w:rsidRPr="00E91677">
          <w:rPr>
            <w:rStyle w:val="Hyperlink"/>
            <w:noProof/>
          </w:rPr>
          <w:t xml:space="preserve">Table 39. </w:t>
        </w:r>
        <w:r w:rsidR="00BD038B" w:rsidRPr="00E91677">
          <w:rPr>
            <w:rStyle w:val="Hyperlink"/>
            <w:rFonts w:cs="Arial"/>
            <w:i/>
            <w:noProof/>
          </w:rPr>
          <w:t>Scoring threshold table to determine seagrass abundance status.</w:t>
        </w:r>
        <w:r w:rsidR="00BD038B">
          <w:rPr>
            <w:noProof/>
            <w:webHidden/>
          </w:rPr>
          <w:tab/>
        </w:r>
        <w:r w:rsidR="00BD038B">
          <w:rPr>
            <w:noProof/>
            <w:webHidden/>
          </w:rPr>
          <w:fldChar w:fldCharType="begin"/>
        </w:r>
        <w:r w:rsidR="00BD038B">
          <w:rPr>
            <w:noProof/>
            <w:webHidden/>
          </w:rPr>
          <w:instrText xml:space="preserve"> PAGEREF _Toc516053463 \h </w:instrText>
        </w:r>
        <w:r w:rsidR="00BD038B">
          <w:rPr>
            <w:noProof/>
            <w:webHidden/>
          </w:rPr>
        </w:r>
        <w:r w:rsidR="00BD038B">
          <w:rPr>
            <w:noProof/>
            <w:webHidden/>
          </w:rPr>
          <w:fldChar w:fldCharType="separate"/>
        </w:r>
        <w:r w:rsidR="00F87DF9">
          <w:rPr>
            <w:noProof/>
            <w:webHidden/>
          </w:rPr>
          <w:t>180</w:t>
        </w:r>
        <w:r w:rsidR="00BD038B">
          <w:rPr>
            <w:noProof/>
            <w:webHidden/>
          </w:rPr>
          <w:fldChar w:fldCharType="end"/>
        </w:r>
      </w:hyperlink>
    </w:p>
    <w:p w14:paraId="4F982ED9" w14:textId="557DE01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4" w:history="1">
        <w:r w:rsidR="00BD038B" w:rsidRPr="00E91677">
          <w:rPr>
            <w:rStyle w:val="Hyperlink"/>
            <w:noProof/>
          </w:rPr>
          <w:t xml:space="preserve">Table 40. </w:t>
        </w:r>
        <w:r w:rsidR="00BD038B" w:rsidRPr="00E91677">
          <w:rPr>
            <w:rStyle w:val="Hyperlink"/>
            <w:i/>
            <w:noProof/>
          </w:rPr>
          <w:t xml:space="preserve">Mean and median seagrass  per cent cover and report score for each long-term monitoring site within each Cape York NRM region habitat over the </w:t>
        </w:r>
        <w:r w:rsidR="008574EC">
          <w:rPr>
            <w:rStyle w:val="Hyperlink"/>
            <w:i/>
            <w:noProof/>
          </w:rPr>
          <w:t>2016–17</w:t>
        </w:r>
        <w:r w:rsidR="00BD038B" w:rsidRPr="00E91677">
          <w:rPr>
            <w:rStyle w:val="Hyperlink"/>
            <w:i/>
            <w:noProof/>
          </w:rPr>
          <w:t xml:space="preserve"> period.</w:t>
        </w:r>
        <w:r w:rsidR="00BD038B">
          <w:rPr>
            <w:noProof/>
            <w:webHidden/>
          </w:rPr>
          <w:tab/>
        </w:r>
        <w:r w:rsidR="00BD038B">
          <w:rPr>
            <w:noProof/>
            <w:webHidden/>
          </w:rPr>
          <w:fldChar w:fldCharType="begin"/>
        </w:r>
        <w:r w:rsidR="00BD038B">
          <w:rPr>
            <w:noProof/>
            <w:webHidden/>
          </w:rPr>
          <w:instrText xml:space="preserve"> PAGEREF _Toc516053464 \h </w:instrText>
        </w:r>
        <w:r w:rsidR="00BD038B">
          <w:rPr>
            <w:noProof/>
            <w:webHidden/>
          </w:rPr>
        </w:r>
        <w:r w:rsidR="00BD038B">
          <w:rPr>
            <w:noProof/>
            <w:webHidden/>
          </w:rPr>
          <w:fldChar w:fldCharType="separate"/>
        </w:r>
        <w:r w:rsidR="00F87DF9">
          <w:rPr>
            <w:noProof/>
            <w:webHidden/>
          </w:rPr>
          <w:t>180</w:t>
        </w:r>
        <w:r w:rsidR="00BD038B">
          <w:rPr>
            <w:noProof/>
            <w:webHidden/>
          </w:rPr>
          <w:fldChar w:fldCharType="end"/>
        </w:r>
      </w:hyperlink>
    </w:p>
    <w:p w14:paraId="1C4A2DA0" w14:textId="2630014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5" w:history="1">
        <w:r w:rsidR="00BD038B" w:rsidRPr="00E91677">
          <w:rPr>
            <w:rStyle w:val="Hyperlink"/>
            <w:noProof/>
          </w:rPr>
          <w:t xml:space="preserve">Table 41. </w:t>
        </w:r>
        <w:r w:rsidR="00BD038B" w:rsidRPr="00E91677">
          <w:rPr>
            <w:rStyle w:val="Hyperlink"/>
            <w:i/>
            <w:noProof/>
          </w:rPr>
          <w:t xml:space="preserve">Mean and median seagrass  per cent cover and report score for each long-term monitoring site within each Wet Tropics NRM region habitat over the </w:t>
        </w:r>
        <w:r w:rsidR="008574EC">
          <w:rPr>
            <w:rStyle w:val="Hyperlink"/>
            <w:i/>
            <w:noProof/>
          </w:rPr>
          <w:t>2016–17</w:t>
        </w:r>
        <w:r w:rsidR="00BD038B" w:rsidRPr="00E91677">
          <w:rPr>
            <w:rStyle w:val="Hyperlink"/>
            <w:i/>
            <w:noProof/>
          </w:rPr>
          <w:t xml:space="preserve"> period.</w:t>
        </w:r>
        <w:r w:rsidR="00BD038B">
          <w:rPr>
            <w:noProof/>
            <w:webHidden/>
          </w:rPr>
          <w:tab/>
        </w:r>
        <w:r w:rsidR="00BD038B">
          <w:rPr>
            <w:noProof/>
            <w:webHidden/>
          </w:rPr>
          <w:fldChar w:fldCharType="begin"/>
        </w:r>
        <w:r w:rsidR="00BD038B">
          <w:rPr>
            <w:noProof/>
            <w:webHidden/>
          </w:rPr>
          <w:instrText xml:space="preserve"> PAGEREF _Toc516053465 \h </w:instrText>
        </w:r>
        <w:r w:rsidR="00BD038B">
          <w:rPr>
            <w:noProof/>
            <w:webHidden/>
          </w:rPr>
        </w:r>
        <w:r w:rsidR="00BD038B">
          <w:rPr>
            <w:noProof/>
            <w:webHidden/>
          </w:rPr>
          <w:fldChar w:fldCharType="separate"/>
        </w:r>
        <w:r w:rsidR="00F87DF9">
          <w:rPr>
            <w:noProof/>
            <w:webHidden/>
          </w:rPr>
          <w:t>181</w:t>
        </w:r>
        <w:r w:rsidR="00BD038B">
          <w:rPr>
            <w:noProof/>
            <w:webHidden/>
          </w:rPr>
          <w:fldChar w:fldCharType="end"/>
        </w:r>
      </w:hyperlink>
    </w:p>
    <w:p w14:paraId="64C51117" w14:textId="1AADEAA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6" w:history="1">
        <w:r w:rsidR="00BD038B" w:rsidRPr="00E91677">
          <w:rPr>
            <w:rStyle w:val="Hyperlink"/>
            <w:noProof/>
          </w:rPr>
          <w:t xml:space="preserve">Table 42. </w:t>
        </w:r>
        <w:r w:rsidR="00BD038B" w:rsidRPr="00E91677">
          <w:rPr>
            <w:rStyle w:val="Hyperlink"/>
            <w:i/>
            <w:noProof/>
          </w:rPr>
          <w:t xml:space="preserve">Mean and median seagrass  per cent cover and report score for each long-term monitoring site within each Burdekin NRM region habitat over the </w:t>
        </w:r>
        <w:r w:rsidR="008574EC">
          <w:rPr>
            <w:rStyle w:val="Hyperlink"/>
            <w:i/>
            <w:noProof/>
          </w:rPr>
          <w:t>2016–17</w:t>
        </w:r>
        <w:r w:rsidR="00BD038B" w:rsidRPr="00E91677">
          <w:rPr>
            <w:rStyle w:val="Hyperlink"/>
            <w:i/>
            <w:noProof/>
          </w:rPr>
          <w:t xml:space="preserve"> period.</w:t>
        </w:r>
        <w:r w:rsidR="00BD038B">
          <w:rPr>
            <w:noProof/>
            <w:webHidden/>
          </w:rPr>
          <w:tab/>
        </w:r>
        <w:r w:rsidR="00BD038B">
          <w:rPr>
            <w:noProof/>
            <w:webHidden/>
          </w:rPr>
          <w:fldChar w:fldCharType="begin"/>
        </w:r>
        <w:r w:rsidR="00BD038B">
          <w:rPr>
            <w:noProof/>
            <w:webHidden/>
          </w:rPr>
          <w:instrText xml:space="preserve"> PAGEREF _Toc516053466 \h </w:instrText>
        </w:r>
        <w:r w:rsidR="00BD038B">
          <w:rPr>
            <w:noProof/>
            <w:webHidden/>
          </w:rPr>
        </w:r>
        <w:r w:rsidR="00BD038B">
          <w:rPr>
            <w:noProof/>
            <w:webHidden/>
          </w:rPr>
          <w:fldChar w:fldCharType="separate"/>
        </w:r>
        <w:r w:rsidR="00F87DF9">
          <w:rPr>
            <w:noProof/>
            <w:webHidden/>
          </w:rPr>
          <w:t>182</w:t>
        </w:r>
        <w:r w:rsidR="00BD038B">
          <w:rPr>
            <w:noProof/>
            <w:webHidden/>
          </w:rPr>
          <w:fldChar w:fldCharType="end"/>
        </w:r>
      </w:hyperlink>
    </w:p>
    <w:p w14:paraId="772D8182" w14:textId="1D106ED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7" w:history="1">
        <w:r w:rsidR="00BD038B" w:rsidRPr="00E91677">
          <w:rPr>
            <w:rStyle w:val="Hyperlink"/>
            <w:noProof/>
          </w:rPr>
          <w:t xml:space="preserve">Table 43. </w:t>
        </w:r>
        <w:r w:rsidR="00BD038B" w:rsidRPr="00E91677">
          <w:rPr>
            <w:rStyle w:val="Hyperlink"/>
            <w:i/>
            <w:noProof/>
          </w:rPr>
          <w:t xml:space="preserve">Mean and median seagrass  per cent cover and report score for each long-term monitoring site within each Mackay Whitsunday NRM region habitat over the </w:t>
        </w:r>
        <w:r w:rsidR="008574EC">
          <w:rPr>
            <w:rStyle w:val="Hyperlink"/>
            <w:i/>
            <w:noProof/>
          </w:rPr>
          <w:t>2016–17</w:t>
        </w:r>
        <w:r w:rsidR="00BD038B" w:rsidRPr="00E91677">
          <w:rPr>
            <w:rStyle w:val="Hyperlink"/>
            <w:i/>
            <w:noProof/>
          </w:rPr>
          <w:t xml:space="preserve"> period.</w:t>
        </w:r>
        <w:r w:rsidR="00BD038B">
          <w:rPr>
            <w:noProof/>
            <w:webHidden/>
          </w:rPr>
          <w:tab/>
        </w:r>
        <w:r w:rsidR="00BD038B">
          <w:rPr>
            <w:noProof/>
            <w:webHidden/>
          </w:rPr>
          <w:fldChar w:fldCharType="begin"/>
        </w:r>
        <w:r w:rsidR="00BD038B">
          <w:rPr>
            <w:noProof/>
            <w:webHidden/>
          </w:rPr>
          <w:instrText xml:space="preserve"> PAGEREF _Toc516053467 \h </w:instrText>
        </w:r>
        <w:r w:rsidR="00BD038B">
          <w:rPr>
            <w:noProof/>
            <w:webHidden/>
          </w:rPr>
        </w:r>
        <w:r w:rsidR="00BD038B">
          <w:rPr>
            <w:noProof/>
            <w:webHidden/>
          </w:rPr>
          <w:fldChar w:fldCharType="separate"/>
        </w:r>
        <w:r w:rsidR="00F87DF9">
          <w:rPr>
            <w:noProof/>
            <w:webHidden/>
          </w:rPr>
          <w:t>182</w:t>
        </w:r>
        <w:r w:rsidR="00BD038B">
          <w:rPr>
            <w:noProof/>
            <w:webHidden/>
          </w:rPr>
          <w:fldChar w:fldCharType="end"/>
        </w:r>
      </w:hyperlink>
    </w:p>
    <w:p w14:paraId="27CE567C" w14:textId="1A7954A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8" w:history="1">
        <w:r w:rsidR="00BD038B" w:rsidRPr="00E91677">
          <w:rPr>
            <w:rStyle w:val="Hyperlink"/>
            <w:noProof/>
          </w:rPr>
          <w:t xml:space="preserve">Table 44. </w:t>
        </w:r>
        <w:r w:rsidR="00BD038B" w:rsidRPr="00E91677">
          <w:rPr>
            <w:rStyle w:val="Hyperlink"/>
            <w:i/>
            <w:noProof/>
          </w:rPr>
          <w:t xml:space="preserve">Mean and median seagrass  per cent cover and report score for each long-term monitoring site within each Fitzroy NRM region habitat over the </w:t>
        </w:r>
        <w:r w:rsidR="008574EC">
          <w:rPr>
            <w:rStyle w:val="Hyperlink"/>
            <w:i/>
            <w:noProof/>
          </w:rPr>
          <w:t>2016–17</w:t>
        </w:r>
        <w:r w:rsidR="00BD038B" w:rsidRPr="00E91677">
          <w:rPr>
            <w:rStyle w:val="Hyperlink"/>
            <w:i/>
            <w:noProof/>
          </w:rPr>
          <w:t xml:space="preserve"> period.</w:t>
        </w:r>
        <w:r w:rsidR="00BD038B">
          <w:rPr>
            <w:noProof/>
            <w:webHidden/>
          </w:rPr>
          <w:tab/>
        </w:r>
        <w:r w:rsidR="00BD038B">
          <w:rPr>
            <w:noProof/>
            <w:webHidden/>
          </w:rPr>
          <w:fldChar w:fldCharType="begin"/>
        </w:r>
        <w:r w:rsidR="00BD038B">
          <w:rPr>
            <w:noProof/>
            <w:webHidden/>
          </w:rPr>
          <w:instrText xml:space="preserve"> PAGEREF _Toc516053468 \h </w:instrText>
        </w:r>
        <w:r w:rsidR="00BD038B">
          <w:rPr>
            <w:noProof/>
            <w:webHidden/>
          </w:rPr>
        </w:r>
        <w:r w:rsidR="00BD038B">
          <w:rPr>
            <w:noProof/>
            <w:webHidden/>
          </w:rPr>
          <w:fldChar w:fldCharType="separate"/>
        </w:r>
        <w:r w:rsidR="00F87DF9">
          <w:rPr>
            <w:noProof/>
            <w:webHidden/>
          </w:rPr>
          <w:t>183</w:t>
        </w:r>
        <w:r w:rsidR="00BD038B">
          <w:rPr>
            <w:noProof/>
            <w:webHidden/>
          </w:rPr>
          <w:fldChar w:fldCharType="end"/>
        </w:r>
      </w:hyperlink>
    </w:p>
    <w:p w14:paraId="31D88912" w14:textId="3BB21C2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69" w:history="1">
        <w:r w:rsidR="00BD038B" w:rsidRPr="00E91677">
          <w:rPr>
            <w:rStyle w:val="Hyperlink"/>
            <w:noProof/>
          </w:rPr>
          <w:t xml:space="preserve">Table 45. </w:t>
        </w:r>
        <w:r w:rsidR="00BD038B" w:rsidRPr="00E91677">
          <w:rPr>
            <w:rStyle w:val="Hyperlink"/>
            <w:i/>
            <w:noProof/>
          </w:rPr>
          <w:t xml:space="preserve">Mean and median seagrass  per cent cover and report score for each long-term monitoring site within each Burnett Mary NRM region habitat over the </w:t>
        </w:r>
        <w:r w:rsidR="008574EC">
          <w:rPr>
            <w:rStyle w:val="Hyperlink"/>
            <w:i/>
            <w:noProof/>
          </w:rPr>
          <w:t>2016–17</w:t>
        </w:r>
        <w:r w:rsidR="00BD038B" w:rsidRPr="00E91677">
          <w:rPr>
            <w:rStyle w:val="Hyperlink"/>
            <w:i/>
            <w:noProof/>
          </w:rPr>
          <w:t xml:space="preserve"> period.</w:t>
        </w:r>
        <w:r w:rsidR="00BD038B">
          <w:rPr>
            <w:noProof/>
            <w:webHidden/>
          </w:rPr>
          <w:tab/>
        </w:r>
        <w:r w:rsidR="00BD038B">
          <w:rPr>
            <w:noProof/>
            <w:webHidden/>
          </w:rPr>
          <w:fldChar w:fldCharType="begin"/>
        </w:r>
        <w:r w:rsidR="00BD038B">
          <w:rPr>
            <w:noProof/>
            <w:webHidden/>
          </w:rPr>
          <w:instrText xml:space="preserve"> PAGEREF _Toc516053469 \h </w:instrText>
        </w:r>
        <w:r w:rsidR="00BD038B">
          <w:rPr>
            <w:noProof/>
            <w:webHidden/>
          </w:rPr>
        </w:r>
        <w:r w:rsidR="00BD038B">
          <w:rPr>
            <w:noProof/>
            <w:webHidden/>
          </w:rPr>
          <w:fldChar w:fldCharType="separate"/>
        </w:r>
        <w:r w:rsidR="00F87DF9">
          <w:rPr>
            <w:noProof/>
            <w:webHidden/>
          </w:rPr>
          <w:t>183</w:t>
        </w:r>
        <w:r w:rsidR="00BD038B">
          <w:rPr>
            <w:noProof/>
            <w:webHidden/>
          </w:rPr>
          <w:fldChar w:fldCharType="end"/>
        </w:r>
      </w:hyperlink>
    </w:p>
    <w:p w14:paraId="5B0F4FF4" w14:textId="3DFC7786"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0" w:history="1">
        <w:r w:rsidR="00BD038B" w:rsidRPr="00E91677">
          <w:rPr>
            <w:rStyle w:val="Hyperlink"/>
            <w:noProof/>
          </w:rPr>
          <w:t xml:space="preserve">Table 46. </w:t>
        </w:r>
        <w:r w:rsidR="00BD038B" w:rsidRPr="00E91677">
          <w:rPr>
            <w:rStyle w:val="Hyperlink"/>
            <w:rFonts w:cs="Arial"/>
            <w:i/>
            <w:noProof/>
          </w:rPr>
          <w:t xml:space="preserve">Scores for </w:t>
        </w:r>
        <w:r w:rsidR="00BD038B" w:rsidRPr="00E91677">
          <w:rPr>
            <w:rStyle w:val="Hyperlink"/>
            <w:i/>
            <w:iCs/>
            <w:noProof/>
            <w:lang w:eastAsia="en-AU"/>
          </w:rPr>
          <w:t xml:space="preserve">late dry </w:t>
        </w:r>
        <w:r w:rsidR="00BD038B" w:rsidRPr="00E91677">
          <w:rPr>
            <w:rStyle w:val="Hyperlink"/>
            <w:rFonts w:cs="Arial"/>
            <w:i/>
            <w:noProof/>
          </w:rPr>
          <w:t xml:space="preserve">monitoring period reproductive effort average against long-term (2005-2010) GBR habitat average. </w:t>
        </w:r>
        <w:r w:rsidR="00BD038B" w:rsidRPr="00E91677">
          <w:rPr>
            <w:rStyle w:val="Hyperlink"/>
            <w:i/>
            <w:noProof/>
          </w:rPr>
          <w:t>NB: scores are unitless.</w:t>
        </w:r>
        <w:r w:rsidR="00BD038B">
          <w:rPr>
            <w:noProof/>
            <w:webHidden/>
          </w:rPr>
          <w:tab/>
        </w:r>
        <w:r w:rsidR="00BD038B">
          <w:rPr>
            <w:noProof/>
            <w:webHidden/>
          </w:rPr>
          <w:fldChar w:fldCharType="begin"/>
        </w:r>
        <w:r w:rsidR="00BD038B">
          <w:rPr>
            <w:noProof/>
            <w:webHidden/>
          </w:rPr>
          <w:instrText xml:space="preserve"> PAGEREF _Toc516053470 \h </w:instrText>
        </w:r>
        <w:r w:rsidR="00BD038B">
          <w:rPr>
            <w:noProof/>
            <w:webHidden/>
          </w:rPr>
        </w:r>
        <w:r w:rsidR="00BD038B">
          <w:rPr>
            <w:noProof/>
            <w:webHidden/>
          </w:rPr>
          <w:fldChar w:fldCharType="separate"/>
        </w:r>
        <w:r w:rsidR="00F87DF9">
          <w:rPr>
            <w:noProof/>
            <w:webHidden/>
          </w:rPr>
          <w:t>184</w:t>
        </w:r>
        <w:r w:rsidR="00BD038B">
          <w:rPr>
            <w:noProof/>
            <w:webHidden/>
          </w:rPr>
          <w:fldChar w:fldCharType="end"/>
        </w:r>
      </w:hyperlink>
    </w:p>
    <w:p w14:paraId="757B2A5D" w14:textId="3AEF03EC"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1" w:history="1">
        <w:r w:rsidR="00BD038B" w:rsidRPr="00E91677">
          <w:rPr>
            <w:rStyle w:val="Hyperlink"/>
            <w:noProof/>
          </w:rPr>
          <w:t xml:space="preserve">Table 47. </w:t>
        </w:r>
        <w:r w:rsidR="00BD038B" w:rsidRPr="00E91677">
          <w:rPr>
            <w:rStyle w:val="Hyperlink"/>
            <w:i/>
            <w:noProof/>
          </w:rPr>
          <w:t xml:space="preserve">Average seagrass reproductive effort (number of reproductive structures per core, RE ± SE) and report card scores for each monitoring site (species pooled) within each NRM region habitat, </w:t>
        </w:r>
        <w:r w:rsidR="008574EC">
          <w:rPr>
            <w:rStyle w:val="Hyperlink"/>
            <w:i/>
            <w:noProof/>
          </w:rPr>
          <w:t>2016–17</w:t>
        </w:r>
        <w:r w:rsidR="00BD038B">
          <w:rPr>
            <w:noProof/>
            <w:webHidden/>
          </w:rPr>
          <w:tab/>
        </w:r>
        <w:r w:rsidR="00BD038B">
          <w:rPr>
            <w:noProof/>
            <w:webHidden/>
          </w:rPr>
          <w:fldChar w:fldCharType="begin"/>
        </w:r>
        <w:r w:rsidR="00BD038B">
          <w:rPr>
            <w:noProof/>
            <w:webHidden/>
          </w:rPr>
          <w:instrText xml:space="preserve"> PAGEREF _Toc516053471 \h </w:instrText>
        </w:r>
        <w:r w:rsidR="00BD038B">
          <w:rPr>
            <w:noProof/>
            <w:webHidden/>
          </w:rPr>
        </w:r>
        <w:r w:rsidR="00BD038B">
          <w:rPr>
            <w:noProof/>
            <w:webHidden/>
          </w:rPr>
          <w:fldChar w:fldCharType="separate"/>
        </w:r>
        <w:r w:rsidR="00F87DF9">
          <w:rPr>
            <w:noProof/>
            <w:webHidden/>
          </w:rPr>
          <w:t>185</w:t>
        </w:r>
        <w:r w:rsidR="00BD038B">
          <w:rPr>
            <w:noProof/>
            <w:webHidden/>
          </w:rPr>
          <w:fldChar w:fldCharType="end"/>
        </w:r>
      </w:hyperlink>
    </w:p>
    <w:p w14:paraId="1115331D" w14:textId="018ACC4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2" w:history="1">
        <w:r w:rsidR="00BD038B" w:rsidRPr="00E91677">
          <w:rPr>
            <w:rStyle w:val="Hyperlink"/>
            <w:noProof/>
          </w:rPr>
          <w:t xml:space="preserve">Table 48. </w:t>
        </w:r>
        <w:r w:rsidR="00BD038B" w:rsidRPr="00E91677">
          <w:rPr>
            <w:rStyle w:val="Hyperlink"/>
            <w:rFonts w:cs="Arial"/>
            <w:i/>
            <w:noProof/>
          </w:rPr>
          <w:t>Scores for leaf tissue C:N against guideline to determine light and nutrient availability.</w:t>
        </w:r>
        <w:r w:rsidR="00BD038B" w:rsidRPr="00E91677">
          <w:rPr>
            <w:rStyle w:val="Hyperlink"/>
            <w:i/>
            <w:noProof/>
          </w:rPr>
          <w:t xml:space="preserve"> NB: scores are unitless.</w:t>
        </w:r>
        <w:r w:rsidR="00BD038B">
          <w:rPr>
            <w:noProof/>
            <w:webHidden/>
          </w:rPr>
          <w:tab/>
        </w:r>
        <w:r w:rsidR="00BD038B">
          <w:rPr>
            <w:noProof/>
            <w:webHidden/>
          </w:rPr>
          <w:fldChar w:fldCharType="begin"/>
        </w:r>
        <w:r w:rsidR="00BD038B">
          <w:rPr>
            <w:noProof/>
            <w:webHidden/>
          </w:rPr>
          <w:instrText xml:space="preserve"> PAGEREF _Toc516053472 \h </w:instrText>
        </w:r>
        <w:r w:rsidR="00BD038B">
          <w:rPr>
            <w:noProof/>
            <w:webHidden/>
          </w:rPr>
        </w:r>
        <w:r w:rsidR="00BD038B">
          <w:rPr>
            <w:noProof/>
            <w:webHidden/>
          </w:rPr>
          <w:fldChar w:fldCharType="separate"/>
        </w:r>
        <w:r w:rsidR="00F87DF9">
          <w:rPr>
            <w:noProof/>
            <w:webHidden/>
          </w:rPr>
          <w:t>186</w:t>
        </w:r>
        <w:r w:rsidR="00BD038B">
          <w:rPr>
            <w:noProof/>
            <w:webHidden/>
          </w:rPr>
          <w:fldChar w:fldCharType="end"/>
        </w:r>
      </w:hyperlink>
    </w:p>
    <w:p w14:paraId="7556A6CA" w14:textId="420DE319"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3" w:history="1">
        <w:r w:rsidR="00BD038B" w:rsidRPr="00E91677">
          <w:rPr>
            <w:rStyle w:val="Hyperlink"/>
            <w:noProof/>
          </w:rPr>
          <w:t xml:space="preserve">Table 49. </w:t>
        </w:r>
        <w:r w:rsidR="00BD038B" w:rsidRPr="00E91677">
          <w:rPr>
            <w:rStyle w:val="Hyperlink"/>
            <w:i/>
            <w:noProof/>
          </w:rPr>
          <w:t>Average seagrass leaf tissue C:N ratios and report scores for each monitoring site (species pooled) within each NRM region habitat.</w:t>
        </w:r>
        <w:r w:rsidR="00BD038B">
          <w:rPr>
            <w:noProof/>
            <w:webHidden/>
          </w:rPr>
          <w:tab/>
        </w:r>
        <w:r w:rsidR="00BD038B">
          <w:rPr>
            <w:noProof/>
            <w:webHidden/>
          </w:rPr>
          <w:fldChar w:fldCharType="begin"/>
        </w:r>
        <w:r w:rsidR="00BD038B">
          <w:rPr>
            <w:noProof/>
            <w:webHidden/>
          </w:rPr>
          <w:instrText xml:space="preserve"> PAGEREF _Toc516053473 \h </w:instrText>
        </w:r>
        <w:r w:rsidR="00BD038B">
          <w:rPr>
            <w:noProof/>
            <w:webHidden/>
          </w:rPr>
        </w:r>
        <w:r w:rsidR="00BD038B">
          <w:rPr>
            <w:noProof/>
            <w:webHidden/>
          </w:rPr>
          <w:fldChar w:fldCharType="separate"/>
        </w:r>
        <w:r w:rsidR="00F87DF9">
          <w:rPr>
            <w:noProof/>
            <w:webHidden/>
          </w:rPr>
          <w:t>187</w:t>
        </w:r>
        <w:r w:rsidR="00BD038B">
          <w:rPr>
            <w:noProof/>
            <w:webHidden/>
          </w:rPr>
          <w:fldChar w:fldCharType="end"/>
        </w:r>
      </w:hyperlink>
    </w:p>
    <w:p w14:paraId="1849899F" w14:textId="61E3BB4B"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4" w:history="1">
        <w:r w:rsidR="00BD038B" w:rsidRPr="00E91677">
          <w:rPr>
            <w:rStyle w:val="Hyperlink"/>
            <w:noProof/>
          </w:rPr>
          <w:t xml:space="preserve">Table 50. </w:t>
        </w:r>
        <w:r w:rsidR="00BD038B" w:rsidRPr="00E91677">
          <w:rPr>
            <w:rStyle w:val="Hyperlink"/>
            <w:i/>
            <w:noProof/>
          </w:rPr>
          <w:t>Area of seagrass shallower than 15m in each NRM region (fromMcKenzie et al. 2014c; McKenzie et al. 2014d; Carter et al. 2016; Waterhouse et al. 2016) within the boundaries of the Great Barrier Reef World Heritage Area.</w:t>
        </w:r>
        <w:r w:rsidR="00BD038B">
          <w:rPr>
            <w:noProof/>
            <w:webHidden/>
          </w:rPr>
          <w:tab/>
        </w:r>
        <w:r w:rsidR="00BD038B">
          <w:rPr>
            <w:noProof/>
            <w:webHidden/>
          </w:rPr>
          <w:fldChar w:fldCharType="begin"/>
        </w:r>
        <w:r w:rsidR="00BD038B">
          <w:rPr>
            <w:noProof/>
            <w:webHidden/>
          </w:rPr>
          <w:instrText xml:space="preserve"> PAGEREF _Toc516053474 \h </w:instrText>
        </w:r>
        <w:r w:rsidR="00BD038B">
          <w:rPr>
            <w:noProof/>
            <w:webHidden/>
          </w:rPr>
        </w:r>
        <w:r w:rsidR="00BD038B">
          <w:rPr>
            <w:noProof/>
            <w:webHidden/>
          </w:rPr>
          <w:fldChar w:fldCharType="separate"/>
        </w:r>
        <w:r w:rsidR="00F87DF9">
          <w:rPr>
            <w:noProof/>
            <w:webHidden/>
          </w:rPr>
          <w:t>188</w:t>
        </w:r>
        <w:r w:rsidR="00BD038B">
          <w:rPr>
            <w:noProof/>
            <w:webHidden/>
          </w:rPr>
          <w:fldChar w:fldCharType="end"/>
        </w:r>
      </w:hyperlink>
    </w:p>
    <w:p w14:paraId="58316483" w14:textId="088D265E"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5" w:history="1">
        <w:r w:rsidR="00BD038B" w:rsidRPr="00E91677">
          <w:rPr>
            <w:rStyle w:val="Hyperlink"/>
            <w:noProof/>
          </w:rPr>
          <w:t xml:space="preserve">Table 51. </w:t>
        </w:r>
        <w:r w:rsidR="00BD038B" w:rsidRPr="00E91677">
          <w:rPr>
            <w:rStyle w:val="Hyperlink"/>
            <w:i/>
            <w:noProof/>
          </w:rPr>
          <w:t>Height of intertidal monitoring meadows/sites above Lowest Astronomical Tide (LAT) and annual daytime tidal exposure (total hours) when meadows become exposed at a low tide.</w:t>
        </w:r>
        <w:r w:rsidR="00BD038B">
          <w:rPr>
            <w:noProof/>
            <w:webHidden/>
          </w:rPr>
          <w:tab/>
        </w:r>
        <w:r w:rsidR="00BD038B">
          <w:rPr>
            <w:noProof/>
            <w:webHidden/>
          </w:rPr>
          <w:fldChar w:fldCharType="begin"/>
        </w:r>
        <w:r w:rsidR="00BD038B">
          <w:rPr>
            <w:noProof/>
            <w:webHidden/>
          </w:rPr>
          <w:instrText xml:space="preserve"> PAGEREF _Toc516053475 \h </w:instrText>
        </w:r>
        <w:r w:rsidR="00BD038B">
          <w:rPr>
            <w:noProof/>
            <w:webHidden/>
          </w:rPr>
        </w:r>
        <w:r w:rsidR="00BD038B">
          <w:rPr>
            <w:noProof/>
            <w:webHidden/>
          </w:rPr>
          <w:fldChar w:fldCharType="separate"/>
        </w:r>
        <w:r w:rsidR="00F87DF9">
          <w:rPr>
            <w:noProof/>
            <w:webHidden/>
          </w:rPr>
          <w:t>193</w:t>
        </w:r>
        <w:r w:rsidR="00BD038B">
          <w:rPr>
            <w:noProof/>
            <w:webHidden/>
          </w:rPr>
          <w:fldChar w:fldCharType="end"/>
        </w:r>
      </w:hyperlink>
    </w:p>
    <w:p w14:paraId="79E9E7ED" w14:textId="31354237"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6" w:history="1">
        <w:r w:rsidR="00BD038B" w:rsidRPr="00E91677">
          <w:rPr>
            <w:rStyle w:val="Hyperlink"/>
            <w:noProof/>
          </w:rPr>
          <w:t xml:space="preserve">Table 52. </w:t>
        </w:r>
        <w:r w:rsidR="00BD038B" w:rsidRPr="00E91677">
          <w:rPr>
            <w:rStyle w:val="Hyperlink"/>
            <w:i/>
            <w:noProof/>
          </w:rPr>
          <w:t>Proportion of area (within 100m radius of each monitoring site) which is covered by seagrass in the Cape York and Wet Tropics NRM regions.</w:t>
        </w:r>
        <w:r w:rsidR="00BD038B">
          <w:rPr>
            <w:noProof/>
            <w:webHidden/>
          </w:rPr>
          <w:tab/>
        </w:r>
        <w:r w:rsidR="00BD038B">
          <w:rPr>
            <w:noProof/>
            <w:webHidden/>
          </w:rPr>
          <w:fldChar w:fldCharType="begin"/>
        </w:r>
        <w:r w:rsidR="00BD038B">
          <w:rPr>
            <w:noProof/>
            <w:webHidden/>
          </w:rPr>
          <w:instrText xml:space="preserve"> PAGEREF _Toc516053476 \h </w:instrText>
        </w:r>
        <w:r w:rsidR="00BD038B">
          <w:rPr>
            <w:noProof/>
            <w:webHidden/>
          </w:rPr>
        </w:r>
        <w:r w:rsidR="00BD038B">
          <w:rPr>
            <w:noProof/>
            <w:webHidden/>
          </w:rPr>
          <w:fldChar w:fldCharType="separate"/>
        </w:r>
        <w:r w:rsidR="00F87DF9">
          <w:rPr>
            <w:noProof/>
            <w:webHidden/>
          </w:rPr>
          <w:t>224</w:t>
        </w:r>
        <w:r w:rsidR="00BD038B">
          <w:rPr>
            <w:noProof/>
            <w:webHidden/>
          </w:rPr>
          <w:fldChar w:fldCharType="end"/>
        </w:r>
      </w:hyperlink>
    </w:p>
    <w:p w14:paraId="1D737658" w14:textId="446BC6BD"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7" w:history="1">
        <w:r w:rsidR="00BD038B" w:rsidRPr="00E91677">
          <w:rPr>
            <w:rStyle w:val="Hyperlink"/>
            <w:noProof/>
          </w:rPr>
          <w:t xml:space="preserve">Table 53. </w:t>
        </w:r>
        <w:r w:rsidR="00BD038B" w:rsidRPr="00E91677">
          <w:rPr>
            <w:rStyle w:val="Hyperlink"/>
            <w:i/>
            <w:noProof/>
          </w:rPr>
          <w:t>Proportion of area (within 100m radius of each monitoring site) which is covered by seagrass in the Burdekin, Mackay Whitsunday, Fitzroy and Burnett Mary NRM regions.</w:t>
        </w:r>
        <w:r w:rsidR="00BD038B">
          <w:rPr>
            <w:noProof/>
            <w:webHidden/>
          </w:rPr>
          <w:tab/>
        </w:r>
        <w:r w:rsidR="00BD038B">
          <w:rPr>
            <w:noProof/>
            <w:webHidden/>
          </w:rPr>
          <w:fldChar w:fldCharType="begin"/>
        </w:r>
        <w:r w:rsidR="00BD038B">
          <w:rPr>
            <w:noProof/>
            <w:webHidden/>
          </w:rPr>
          <w:instrText xml:space="preserve"> PAGEREF _Toc516053477 \h </w:instrText>
        </w:r>
        <w:r w:rsidR="00BD038B">
          <w:rPr>
            <w:noProof/>
            <w:webHidden/>
          </w:rPr>
        </w:r>
        <w:r w:rsidR="00BD038B">
          <w:rPr>
            <w:noProof/>
            <w:webHidden/>
          </w:rPr>
          <w:fldChar w:fldCharType="separate"/>
        </w:r>
        <w:r w:rsidR="00F87DF9">
          <w:rPr>
            <w:noProof/>
            <w:webHidden/>
          </w:rPr>
          <w:t>225</w:t>
        </w:r>
        <w:r w:rsidR="00BD038B">
          <w:rPr>
            <w:noProof/>
            <w:webHidden/>
          </w:rPr>
          <w:fldChar w:fldCharType="end"/>
        </w:r>
      </w:hyperlink>
    </w:p>
    <w:p w14:paraId="718FE28F" w14:textId="19F36BF8"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8" w:history="1">
        <w:r w:rsidR="00BD038B" w:rsidRPr="00E91677">
          <w:rPr>
            <w:rStyle w:val="Hyperlink"/>
            <w:noProof/>
          </w:rPr>
          <w:t xml:space="preserve">Table 54. </w:t>
        </w:r>
        <w:r w:rsidR="00BD038B" w:rsidRPr="00E91677">
          <w:rPr>
            <w:rStyle w:val="Hyperlink"/>
            <w:i/>
            <w:noProof/>
            <w:lang w:val="en-US"/>
          </w:rPr>
          <w:t xml:space="preserve">Seagrass leaf tissue nutrient and </w:t>
        </w:r>
        <w:r w:rsidR="00BD038B" w:rsidRPr="00E91677">
          <w:rPr>
            <w:rStyle w:val="Hyperlink"/>
            <w:i/>
            <w:noProof/>
          </w:rPr>
          <w:t>δ</w:t>
        </w:r>
        <w:r w:rsidR="00BD038B" w:rsidRPr="00E91677">
          <w:rPr>
            <w:rStyle w:val="Hyperlink"/>
            <w:i/>
            <w:noProof/>
            <w:vertAlign w:val="superscript"/>
          </w:rPr>
          <w:t>13</w:t>
        </w:r>
        <w:r w:rsidR="00BD038B" w:rsidRPr="00E91677">
          <w:rPr>
            <w:rStyle w:val="Hyperlink"/>
            <w:i/>
            <w:noProof/>
          </w:rPr>
          <w:t>C</w:t>
        </w:r>
        <w:r w:rsidR="00BD038B" w:rsidRPr="00E91677">
          <w:rPr>
            <w:rStyle w:val="Hyperlink"/>
            <w:i/>
            <w:noProof/>
            <w:lang w:val="en-US"/>
          </w:rPr>
          <w:t xml:space="preserve"> and </w:t>
        </w:r>
        <w:r w:rsidR="00BD038B" w:rsidRPr="00E91677">
          <w:rPr>
            <w:rStyle w:val="Hyperlink"/>
            <w:i/>
            <w:noProof/>
          </w:rPr>
          <w:t>δ</w:t>
        </w:r>
        <w:r w:rsidR="00BD038B" w:rsidRPr="00E91677">
          <w:rPr>
            <w:rStyle w:val="Hyperlink"/>
            <w:i/>
            <w:noProof/>
            <w:vertAlign w:val="superscript"/>
          </w:rPr>
          <w:t>15</w:t>
        </w:r>
        <w:r w:rsidR="00BD038B" w:rsidRPr="00E91677">
          <w:rPr>
            <w:rStyle w:val="Hyperlink"/>
            <w:i/>
            <w:noProof/>
          </w:rPr>
          <w:t>N</w:t>
        </w:r>
        <w:r w:rsidR="00BD038B" w:rsidRPr="00E91677">
          <w:rPr>
            <w:rStyle w:val="Hyperlink"/>
            <w:i/>
            <w:noProof/>
            <w:lang w:val="en-US"/>
          </w:rPr>
          <w:t xml:space="preserve"> concentrations measured in the late dry from 2011 to 2014 in each fo the NRMs.</w:t>
        </w:r>
        <w:r w:rsidR="00BD038B">
          <w:rPr>
            <w:noProof/>
            <w:webHidden/>
          </w:rPr>
          <w:tab/>
        </w:r>
        <w:r w:rsidR="00BD038B">
          <w:rPr>
            <w:noProof/>
            <w:webHidden/>
          </w:rPr>
          <w:fldChar w:fldCharType="begin"/>
        </w:r>
        <w:r w:rsidR="00BD038B">
          <w:rPr>
            <w:noProof/>
            <w:webHidden/>
          </w:rPr>
          <w:instrText xml:space="preserve"> PAGEREF _Toc516053478 \h </w:instrText>
        </w:r>
        <w:r w:rsidR="00BD038B">
          <w:rPr>
            <w:noProof/>
            <w:webHidden/>
          </w:rPr>
        </w:r>
        <w:r w:rsidR="00BD038B">
          <w:rPr>
            <w:noProof/>
            <w:webHidden/>
          </w:rPr>
          <w:fldChar w:fldCharType="separate"/>
        </w:r>
        <w:r w:rsidR="00F87DF9">
          <w:rPr>
            <w:noProof/>
            <w:webHidden/>
          </w:rPr>
          <w:t>239</w:t>
        </w:r>
        <w:r w:rsidR="00BD038B">
          <w:rPr>
            <w:noProof/>
            <w:webHidden/>
          </w:rPr>
          <w:fldChar w:fldCharType="end"/>
        </w:r>
      </w:hyperlink>
    </w:p>
    <w:p w14:paraId="37F38AED" w14:textId="4D3A8993"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79" w:history="1">
        <w:r w:rsidR="00BD038B" w:rsidRPr="00E91677">
          <w:rPr>
            <w:rStyle w:val="Hyperlink"/>
            <w:noProof/>
          </w:rPr>
          <w:t xml:space="preserve">Table 55. </w:t>
        </w:r>
        <w:r w:rsidR="00BD038B" w:rsidRPr="00E91677">
          <w:rPr>
            <w:rStyle w:val="Hyperlink"/>
            <w:i/>
            <w:noProof/>
          </w:rPr>
          <w:t>Percent carbon (</w:t>
        </w:r>
        <w:r w:rsidR="00BD038B" w:rsidRPr="00E91677">
          <w:rPr>
            <w:rStyle w:val="Hyperlink"/>
            <w:rFonts w:cs="Calibri"/>
            <w:i/>
            <w:noProof/>
          </w:rPr>
          <w:t>±</w:t>
        </w:r>
        <w:r w:rsidR="00BD038B" w:rsidRPr="00E91677">
          <w:rPr>
            <w:rStyle w:val="Hyperlink"/>
            <w:i/>
            <w:noProof/>
          </w:rPr>
          <w:t xml:space="preserve"> SE) in seagrass leaf tissue from published literature.</w:t>
        </w:r>
        <w:r w:rsidR="00BD038B">
          <w:rPr>
            <w:noProof/>
            <w:webHidden/>
          </w:rPr>
          <w:tab/>
        </w:r>
        <w:r w:rsidR="00BD038B">
          <w:rPr>
            <w:noProof/>
            <w:webHidden/>
          </w:rPr>
          <w:fldChar w:fldCharType="begin"/>
        </w:r>
        <w:r w:rsidR="00BD038B">
          <w:rPr>
            <w:noProof/>
            <w:webHidden/>
          </w:rPr>
          <w:instrText xml:space="preserve"> PAGEREF _Toc516053479 \h </w:instrText>
        </w:r>
        <w:r w:rsidR="00BD038B">
          <w:rPr>
            <w:noProof/>
            <w:webHidden/>
          </w:rPr>
        </w:r>
        <w:r w:rsidR="00BD038B">
          <w:rPr>
            <w:noProof/>
            <w:webHidden/>
          </w:rPr>
          <w:fldChar w:fldCharType="separate"/>
        </w:r>
        <w:r w:rsidR="00F87DF9">
          <w:rPr>
            <w:noProof/>
            <w:webHidden/>
          </w:rPr>
          <w:t>243</w:t>
        </w:r>
        <w:r w:rsidR="00BD038B">
          <w:rPr>
            <w:noProof/>
            <w:webHidden/>
          </w:rPr>
          <w:fldChar w:fldCharType="end"/>
        </w:r>
      </w:hyperlink>
    </w:p>
    <w:p w14:paraId="15256D0F" w14:textId="7E7642F5"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80" w:history="1">
        <w:r w:rsidR="00BD038B" w:rsidRPr="00E91677">
          <w:rPr>
            <w:rStyle w:val="Hyperlink"/>
            <w:noProof/>
          </w:rPr>
          <w:t xml:space="preserve">Table 56. </w:t>
        </w:r>
        <w:r w:rsidR="00BD038B" w:rsidRPr="00E91677">
          <w:rPr>
            <w:rStyle w:val="Hyperlink"/>
            <w:i/>
            <w:noProof/>
          </w:rPr>
          <w:t xml:space="preserve">Summary of GAMM for average cover vs time analysis for </w:t>
        </w:r>
        <w:r w:rsidR="008574EC">
          <w:rPr>
            <w:rStyle w:val="Hyperlink"/>
            <w:i/>
            <w:noProof/>
          </w:rPr>
          <w:t>2016–17</w:t>
        </w:r>
        <w:r w:rsidR="00BD038B" w:rsidRPr="00E91677">
          <w:rPr>
            <w:rStyle w:val="Hyperlink"/>
            <w:i/>
            <w:noProof/>
          </w:rPr>
          <w:t>.</w:t>
        </w:r>
        <w:r w:rsidR="00BD038B">
          <w:rPr>
            <w:noProof/>
            <w:webHidden/>
          </w:rPr>
          <w:tab/>
        </w:r>
        <w:r w:rsidR="00BD038B">
          <w:rPr>
            <w:noProof/>
            <w:webHidden/>
          </w:rPr>
          <w:fldChar w:fldCharType="begin"/>
        </w:r>
        <w:r w:rsidR="00BD038B">
          <w:rPr>
            <w:noProof/>
            <w:webHidden/>
          </w:rPr>
          <w:instrText xml:space="preserve"> PAGEREF _Toc516053480 \h </w:instrText>
        </w:r>
        <w:r w:rsidR="00BD038B">
          <w:rPr>
            <w:noProof/>
            <w:webHidden/>
          </w:rPr>
        </w:r>
        <w:r w:rsidR="00BD038B">
          <w:rPr>
            <w:noProof/>
            <w:webHidden/>
          </w:rPr>
          <w:fldChar w:fldCharType="separate"/>
        </w:r>
        <w:r w:rsidR="00F87DF9">
          <w:rPr>
            <w:noProof/>
            <w:webHidden/>
          </w:rPr>
          <w:t>245</w:t>
        </w:r>
        <w:r w:rsidR="00BD038B">
          <w:rPr>
            <w:noProof/>
            <w:webHidden/>
          </w:rPr>
          <w:fldChar w:fldCharType="end"/>
        </w:r>
      </w:hyperlink>
    </w:p>
    <w:p w14:paraId="57D58C73" w14:textId="19F3A31F"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81" w:history="1">
        <w:r w:rsidR="00BD038B" w:rsidRPr="00E91677">
          <w:rPr>
            <w:rStyle w:val="Hyperlink"/>
            <w:noProof/>
          </w:rPr>
          <w:t xml:space="preserve">Table 57. </w:t>
        </w:r>
        <w:r w:rsidR="00BD038B" w:rsidRPr="00E91677">
          <w:rPr>
            <w:rStyle w:val="Hyperlink"/>
            <w:i/>
            <w:noProof/>
          </w:rPr>
          <w:t xml:space="preserve"> Summary of GAMM statistical output for light vs time analysis for </w:t>
        </w:r>
        <w:r w:rsidR="008574EC">
          <w:rPr>
            <w:rStyle w:val="Hyperlink"/>
            <w:i/>
            <w:noProof/>
          </w:rPr>
          <w:t>2016–17</w:t>
        </w:r>
        <w:r w:rsidR="00BD038B" w:rsidRPr="00E91677">
          <w:rPr>
            <w:rStyle w:val="Hyperlink"/>
            <w:i/>
            <w:noProof/>
          </w:rPr>
          <w:t>.</w:t>
        </w:r>
        <w:r w:rsidR="00BD038B">
          <w:rPr>
            <w:noProof/>
            <w:webHidden/>
          </w:rPr>
          <w:tab/>
        </w:r>
        <w:r w:rsidR="00BD038B">
          <w:rPr>
            <w:noProof/>
            <w:webHidden/>
          </w:rPr>
          <w:fldChar w:fldCharType="begin"/>
        </w:r>
        <w:r w:rsidR="00BD038B">
          <w:rPr>
            <w:noProof/>
            <w:webHidden/>
          </w:rPr>
          <w:instrText xml:space="preserve"> PAGEREF _Toc516053481 \h </w:instrText>
        </w:r>
        <w:r w:rsidR="00BD038B">
          <w:rPr>
            <w:noProof/>
            <w:webHidden/>
          </w:rPr>
        </w:r>
        <w:r w:rsidR="00BD038B">
          <w:rPr>
            <w:noProof/>
            <w:webHidden/>
          </w:rPr>
          <w:fldChar w:fldCharType="separate"/>
        </w:r>
        <w:r w:rsidR="00F87DF9">
          <w:rPr>
            <w:noProof/>
            <w:webHidden/>
          </w:rPr>
          <w:t>246</w:t>
        </w:r>
        <w:r w:rsidR="00BD038B">
          <w:rPr>
            <w:noProof/>
            <w:webHidden/>
          </w:rPr>
          <w:fldChar w:fldCharType="end"/>
        </w:r>
      </w:hyperlink>
    </w:p>
    <w:p w14:paraId="3679F3DD" w14:textId="69A0F5EA" w:rsidR="00BD038B" w:rsidRDefault="00D05880">
      <w:pPr>
        <w:pStyle w:val="TableofFigures"/>
        <w:tabs>
          <w:tab w:val="right" w:leader="dot" w:pos="9060"/>
        </w:tabs>
        <w:rPr>
          <w:rFonts w:asciiTheme="minorHAnsi" w:eastAsiaTheme="minorEastAsia" w:hAnsiTheme="minorHAnsi" w:cstheme="minorBidi"/>
          <w:noProof/>
          <w:szCs w:val="22"/>
          <w:lang w:eastAsia="en-AU"/>
        </w:rPr>
      </w:pPr>
      <w:hyperlink w:anchor="_Toc516053482" w:history="1">
        <w:r w:rsidR="00BD038B" w:rsidRPr="00E91677">
          <w:rPr>
            <w:rStyle w:val="Hyperlink"/>
            <w:noProof/>
          </w:rPr>
          <w:t xml:space="preserve">Table 58. </w:t>
        </w:r>
        <w:r w:rsidR="00BD038B" w:rsidRPr="00E91677">
          <w:rPr>
            <w:rStyle w:val="Hyperlink"/>
            <w:i/>
            <w:noProof/>
          </w:rPr>
          <w:t>Results of</w:t>
        </w:r>
        <w:r w:rsidR="00BD038B" w:rsidRPr="00E91677">
          <w:rPr>
            <w:rStyle w:val="Hyperlink"/>
            <w:noProof/>
          </w:rPr>
          <w:t xml:space="preserve"> </w:t>
        </w:r>
        <w:r w:rsidR="00BD038B" w:rsidRPr="00E91677">
          <w:rPr>
            <w:rStyle w:val="Hyperlink"/>
            <w:i/>
            <w:noProof/>
          </w:rPr>
          <w:t>Mann­Kendall analysis to assess if there was a significant trend (decline or increase) over time in seagrass abundance (per cent cover).</w:t>
        </w:r>
        <w:r w:rsidR="00BD038B">
          <w:rPr>
            <w:noProof/>
            <w:webHidden/>
          </w:rPr>
          <w:tab/>
        </w:r>
        <w:r w:rsidR="00BD038B">
          <w:rPr>
            <w:noProof/>
            <w:webHidden/>
          </w:rPr>
          <w:fldChar w:fldCharType="begin"/>
        </w:r>
        <w:r w:rsidR="00BD038B">
          <w:rPr>
            <w:noProof/>
            <w:webHidden/>
          </w:rPr>
          <w:instrText xml:space="preserve"> PAGEREF _Toc516053482 \h </w:instrText>
        </w:r>
        <w:r w:rsidR="00BD038B">
          <w:rPr>
            <w:noProof/>
            <w:webHidden/>
          </w:rPr>
        </w:r>
        <w:r w:rsidR="00BD038B">
          <w:rPr>
            <w:noProof/>
            <w:webHidden/>
          </w:rPr>
          <w:fldChar w:fldCharType="separate"/>
        </w:r>
        <w:r w:rsidR="00F87DF9">
          <w:rPr>
            <w:noProof/>
            <w:webHidden/>
          </w:rPr>
          <w:t>248</w:t>
        </w:r>
        <w:r w:rsidR="00BD038B">
          <w:rPr>
            <w:noProof/>
            <w:webHidden/>
          </w:rPr>
          <w:fldChar w:fldCharType="end"/>
        </w:r>
      </w:hyperlink>
    </w:p>
    <w:p w14:paraId="69F875BD" w14:textId="42D2BE9A" w:rsidR="001F4593" w:rsidRPr="0095258E" w:rsidRDefault="001F4593" w:rsidP="001F4593">
      <w:pPr>
        <w:tabs>
          <w:tab w:val="right" w:leader="dot" w:pos="9060"/>
        </w:tabs>
        <w:ind w:left="567" w:hanging="567"/>
        <w:rPr>
          <w:rFonts w:cs="Arial"/>
          <w:color w:val="000000"/>
        </w:rPr>
      </w:pPr>
      <w:r w:rsidRPr="002E6AD0">
        <w:rPr>
          <w:rFonts w:cs="Arial"/>
          <w:color w:val="000000"/>
        </w:rPr>
        <w:fldChar w:fldCharType="end"/>
      </w:r>
    </w:p>
    <w:p w14:paraId="7BC9B810" w14:textId="5509D163" w:rsidR="001F4593" w:rsidRPr="0095258E" w:rsidRDefault="001F4593" w:rsidP="00B20DDB">
      <w:pPr>
        <w:pStyle w:val="Heading1"/>
        <w:pageBreakBefore w:val="0"/>
        <w:numPr>
          <w:ilvl w:val="0"/>
          <w:numId w:val="0"/>
        </w:numPr>
        <w:rPr>
          <w:rFonts w:ascii="Century Gothic" w:hAnsi="Century Gothic"/>
          <w:color w:val="000000"/>
        </w:rPr>
      </w:pPr>
      <w:r w:rsidRPr="0095258E">
        <w:rPr>
          <w:color w:val="000000"/>
        </w:rPr>
        <w:br w:type="page"/>
      </w:r>
      <w:bookmarkStart w:id="1" w:name="_Toc265677012"/>
      <w:bookmarkStart w:id="2" w:name="_Toc184101939"/>
      <w:bookmarkStart w:id="3" w:name="_Toc516053113"/>
      <w:r w:rsidRPr="0095258E">
        <w:rPr>
          <w:rFonts w:ascii="Century Gothic" w:hAnsi="Century Gothic"/>
          <w:color w:val="000000"/>
        </w:rPr>
        <w:t xml:space="preserve">Acronyms </w:t>
      </w:r>
      <w:r w:rsidRPr="004C62BA">
        <w:rPr>
          <w:rFonts w:ascii="Century Gothic" w:hAnsi="Century Gothic"/>
          <w:color w:val="000000"/>
        </w:rPr>
        <w:t>&amp; A</w:t>
      </w:r>
      <w:r>
        <w:rPr>
          <w:rFonts w:ascii="Century Gothic" w:hAnsi="Century Gothic"/>
          <w:color w:val="000000"/>
        </w:rPr>
        <w:t>bbreviations</w:t>
      </w:r>
      <w:r w:rsidRPr="004C62BA">
        <w:rPr>
          <w:rFonts w:ascii="Century Gothic" w:hAnsi="Century Gothic"/>
          <w:color w:val="000000"/>
        </w:rPr>
        <w:t xml:space="preserve"> </w:t>
      </w:r>
      <w:r w:rsidRPr="0095258E">
        <w:rPr>
          <w:rFonts w:ascii="Century Gothic" w:hAnsi="Century Gothic"/>
          <w:color w:val="000000"/>
        </w:rPr>
        <w:t>Used In This Report</w:t>
      </w:r>
      <w:bookmarkEnd w:id="1"/>
      <w:bookmarkEnd w:id="2"/>
      <w:bookmarkEnd w:id="3"/>
    </w:p>
    <w:p w14:paraId="04A726F1" w14:textId="77777777" w:rsidR="001F4593" w:rsidRPr="004C62BA" w:rsidRDefault="001F4593" w:rsidP="001F4593">
      <w:pPr>
        <w:tabs>
          <w:tab w:val="left" w:pos="1701"/>
        </w:tabs>
        <w:ind w:left="1701" w:hanging="1701"/>
        <w:rPr>
          <w:rFonts w:cs="Calibri"/>
          <w:color w:val="000000"/>
          <w:szCs w:val="22"/>
          <w:lang w:val="en-GB" w:eastAsia="en-AU"/>
        </w:rPr>
      </w:pPr>
      <w:r w:rsidRPr="004C62BA">
        <w:rPr>
          <w:rFonts w:cs="Calibri"/>
          <w:color w:val="000000"/>
          <w:szCs w:val="22"/>
          <w:lang w:val="en-GB" w:eastAsia="en-AU"/>
        </w:rPr>
        <w:t>CV</w:t>
      </w:r>
      <w:r>
        <w:rPr>
          <w:rFonts w:cs="Calibri"/>
          <w:color w:val="000000"/>
          <w:szCs w:val="22"/>
          <w:lang w:val="en-GB" w:eastAsia="en-AU"/>
        </w:rPr>
        <w:tab/>
      </w:r>
      <w:r w:rsidRPr="004C62BA">
        <w:rPr>
          <w:rFonts w:cs="Calibri"/>
          <w:color w:val="000000"/>
          <w:szCs w:val="22"/>
          <w:lang w:val="en-GB" w:eastAsia="en-AU"/>
        </w:rPr>
        <w:t>coefficient of variation</w:t>
      </w:r>
    </w:p>
    <w:p w14:paraId="2234AB90" w14:textId="77777777" w:rsidR="001F4593" w:rsidRPr="0095258E" w:rsidRDefault="001F4593" w:rsidP="001F4593">
      <w:pPr>
        <w:tabs>
          <w:tab w:val="left" w:pos="1701"/>
        </w:tabs>
        <w:ind w:left="1701" w:hanging="1701"/>
        <w:rPr>
          <w:color w:val="000000"/>
          <w:szCs w:val="22"/>
        </w:rPr>
      </w:pPr>
      <w:r w:rsidRPr="0095258E">
        <w:rPr>
          <w:color w:val="000000"/>
          <w:szCs w:val="22"/>
        </w:rPr>
        <w:t>DERM</w:t>
      </w:r>
      <w:r w:rsidRPr="0095258E">
        <w:rPr>
          <w:color w:val="000000"/>
          <w:szCs w:val="22"/>
        </w:rPr>
        <w:tab/>
        <w:t>Department of Environment and Resource Management</w:t>
      </w:r>
    </w:p>
    <w:p w14:paraId="631ABE84" w14:textId="77777777" w:rsidR="001F4593" w:rsidRPr="0095258E" w:rsidRDefault="001F4593" w:rsidP="001F4593">
      <w:pPr>
        <w:tabs>
          <w:tab w:val="left" w:pos="1701"/>
        </w:tabs>
        <w:ind w:left="1701" w:hanging="1701"/>
        <w:rPr>
          <w:color w:val="000000"/>
          <w:szCs w:val="22"/>
        </w:rPr>
      </w:pPr>
      <w:r w:rsidRPr="0095258E">
        <w:rPr>
          <w:color w:val="000000"/>
          <w:szCs w:val="22"/>
        </w:rPr>
        <w:t>GBR</w:t>
      </w:r>
      <w:r w:rsidRPr="0095258E">
        <w:rPr>
          <w:color w:val="000000"/>
          <w:szCs w:val="22"/>
        </w:rPr>
        <w:tab/>
        <w:t>Great Barrier Reef</w:t>
      </w:r>
    </w:p>
    <w:p w14:paraId="140BA6E5" w14:textId="77777777" w:rsidR="001F4593" w:rsidRPr="0095258E" w:rsidRDefault="001F4593" w:rsidP="001F4593">
      <w:pPr>
        <w:tabs>
          <w:tab w:val="left" w:pos="1701"/>
        </w:tabs>
        <w:ind w:left="1701" w:hanging="1701"/>
        <w:rPr>
          <w:color w:val="000000"/>
          <w:szCs w:val="22"/>
        </w:rPr>
      </w:pPr>
      <w:r w:rsidRPr="0095258E">
        <w:rPr>
          <w:color w:val="000000"/>
          <w:szCs w:val="22"/>
        </w:rPr>
        <w:t>GBRMPA</w:t>
      </w:r>
      <w:r w:rsidRPr="0095258E">
        <w:rPr>
          <w:color w:val="000000"/>
          <w:szCs w:val="22"/>
        </w:rPr>
        <w:tab/>
        <w:t>Great Barrier Reef Marine Park Authority</w:t>
      </w:r>
    </w:p>
    <w:p w14:paraId="1E0E69F9" w14:textId="77777777" w:rsidR="001F4593" w:rsidRPr="0095258E" w:rsidRDefault="001F4593" w:rsidP="001F4593">
      <w:pPr>
        <w:tabs>
          <w:tab w:val="left" w:pos="1701"/>
        </w:tabs>
        <w:ind w:left="1701" w:hanging="1701"/>
        <w:rPr>
          <w:color w:val="000000"/>
          <w:szCs w:val="22"/>
        </w:rPr>
      </w:pPr>
      <w:r w:rsidRPr="0095258E">
        <w:rPr>
          <w:color w:val="000000"/>
          <w:szCs w:val="22"/>
        </w:rPr>
        <w:t>JCU</w:t>
      </w:r>
      <w:r w:rsidRPr="0095258E">
        <w:rPr>
          <w:color w:val="000000"/>
          <w:szCs w:val="22"/>
        </w:rPr>
        <w:tab/>
        <w:t xml:space="preserve">James Cook University </w:t>
      </w:r>
    </w:p>
    <w:p w14:paraId="2A043393" w14:textId="77777777" w:rsidR="001F4593" w:rsidRPr="004C62BA" w:rsidRDefault="001F4593" w:rsidP="001F4593">
      <w:pPr>
        <w:tabs>
          <w:tab w:val="left" w:pos="1701"/>
        </w:tabs>
        <w:ind w:left="1701" w:hanging="1701"/>
        <w:rPr>
          <w:color w:val="000000"/>
          <w:szCs w:val="22"/>
        </w:rPr>
      </w:pPr>
      <w:r w:rsidRPr="004C62BA">
        <w:rPr>
          <w:color w:val="000000"/>
          <w:szCs w:val="22"/>
        </w:rPr>
        <w:t>km</w:t>
      </w:r>
      <w:r w:rsidRPr="004C62BA">
        <w:rPr>
          <w:color w:val="000000"/>
          <w:szCs w:val="22"/>
        </w:rPr>
        <w:tab/>
        <w:t>kilometre</w:t>
      </w:r>
    </w:p>
    <w:p w14:paraId="7E3B5821" w14:textId="77777777" w:rsidR="001F4593" w:rsidRPr="004C62BA" w:rsidRDefault="001F4593" w:rsidP="001F4593">
      <w:pPr>
        <w:tabs>
          <w:tab w:val="left" w:pos="1701"/>
        </w:tabs>
        <w:ind w:left="1701" w:hanging="1701"/>
        <w:rPr>
          <w:color w:val="000000"/>
          <w:szCs w:val="22"/>
        </w:rPr>
      </w:pPr>
      <w:r w:rsidRPr="004C62BA">
        <w:rPr>
          <w:color w:val="000000"/>
          <w:szCs w:val="22"/>
        </w:rPr>
        <w:t>m</w:t>
      </w:r>
      <w:r w:rsidRPr="004C62BA">
        <w:rPr>
          <w:color w:val="000000"/>
          <w:szCs w:val="22"/>
        </w:rPr>
        <w:tab/>
        <w:t>metre</w:t>
      </w:r>
    </w:p>
    <w:p w14:paraId="45B0E000" w14:textId="56F880DC" w:rsidR="001F4593" w:rsidRDefault="001F4593" w:rsidP="001F4593">
      <w:pPr>
        <w:tabs>
          <w:tab w:val="left" w:pos="1701"/>
        </w:tabs>
        <w:ind w:left="1701" w:hanging="1701"/>
        <w:rPr>
          <w:color w:val="000000"/>
          <w:szCs w:val="22"/>
        </w:rPr>
      </w:pPr>
      <w:r w:rsidRPr="0095258E">
        <w:rPr>
          <w:color w:val="000000"/>
          <w:szCs w:val="22"/>
        </w:rPr>
        <w:t>MMP</w:t>
      </w:r>
      <w:r w:rsidRPr="0095258E">
        <w:rPr>
          <w:color w:val="000000"/>
          <w:szCs w:val="22"/>
        </w:rPr>
        <w:tab/>
        <w:t>Marine Monitoring Program</w:t>
      </w:r>
    </w:p>
    <w:p w14:paraId="16745642" w14:textId="4E0CE09F" w:rsidR="00306220" w:rsidRPr="0095258E" w:rsidRDefault="00306220" w:rsidP="001F4593">
      <w:pPr>
        <w:tabs>
          <w:tab w:val="left" w:pos="1701"/>
        </w:tabs>
        <w:ind w:left="1701" w:hanging="1701"/>
        <w:rPr>
          <w:color w:val="000000"/>
          <w:szCs w:val="22"/>
        </w:rPr>
      </w:pPr>
      <w:r>
        <w:rPr>
          <w:color w:val="000000"/>
          <w:szCs w:val="22"/>
        </w:rPr>
        <w:t>MTSRF</w:t>
      </w:r>
      <w:r>
        <w:rPr>
          <w:color w:val="000000"/>
          <w:szCs w:val="22"/>
        </w:rPr>
        <w:tab/>
        <w:t>Marine and Tropical Sciences Research Facility</w:t>
      </w:r>
    </w:p>
    <w:p w14:paraId="2D8E3D23" w14:textId="77777777" w:rsidR="001F4593" w:rsidRPr="0095258E" w:rsidRDefault="001F4593" w:rsidP="001F4593">
      <w:pPr>
        <w:tabs>
          <w:tab w:val="left" w:pos="1701"/>
        </w:tabs>
        <w:ind w:left="1701" w:hanging="1701"/>
        <w:rPr>
          <w:color w:val="000000"/>
          <w:szCs w:val="22"/>
        </w:rPr>
      </w:pPr>
      <w:r w:rsidRPr="0095258E">
        <w:rPr>
          <w:color w:val="000000"/>
          <w:szCs w:val="22"/>
        </w:rPr>
        <w:t>NRM</w:t>
      </w:r>
      <w:r w:rsidRPr="0095258E">
        <w:rPr>
          <w:color w:val="000000"/>
          <w:szCs w:val="22"/>
        </w:rPr>
        <w:tab/>
        <w:t xml:space="preserve">Natural Resource Management </w:t>
      </w:r>
    </w:p>
    <w:p w14:paraId="44CC3916" w14:textId="5BCE91E4" w:rsidR="001F4593" w:rsidRPr="0095258E" w:rsidRDefault="00F26FBD" w:rsidP="001F4593">
      <w:pPr>
        <w:tabs>
          <w:tab w:val="left" w:pos="1701"/>
        </w:tabs>
        <w:ind w:left="1701" w:hanging="1701"/>
        <w:rPr>
          <w:color w:val="000000"/>
          <w:szCs w:val="22"/>
        </w:rPr>
      </w:pPr>
      <w:r>
        <w:rPr>
          <w:color w:val="000000"/>
          <w:szCs w:val="22"/>
        </w:rPr>
        <w:t>P2R</w:t>
      </w:r>
      <w:r w:rsidR="001F4593" w:rsidRPr="0095258E">
        <w:rPr>
          <w:color w:val="000000"/>
          <w:szCs w:val="22"/>
        </w:rPr>
        <w:tab/>
        <w:t>Paddock to Reef Integrated Monitoring, Modelling and Reporting Program</w:t>
      </w:r>
    </w:p>
    <w:p w14:paraId="69B6E4DF" w14:textId="77777777" w:rsidR="001F4593" w:rsidRPr="004C62BA" w:rsidRDefault="001F4593" w:rsidP="001F4593">
      <w:pPr>
        <w:tabs>
          <w:tab w:val="left" w:pos="1701"/>
        </w:tabs>
        <w:ind w:left="1701" w:hanging="1701"/>
        <w:rPr>
          <w:color w:val="000000"/>
          <w:szCs w:val="22"/>
        </w:rPr>
      </w:pPr>
      <w:r>
        <w:rPr>
          <w:color w:val="000000"/>
          <w:szCs w:val="22"/>
        </w:rPr>
        <w:t>SE</w:t>
      </w:r>
      <w:r w:rsidRPr="004C62BA">
        <w:rPr>
          <w:color w:val="000000"/>
          <w:szCs w:val="22"/>
        </w:rPr>
        <w:tab/>
        <w:t>Standard Error</w:t>
      </w:r>
    </w:p>
    <w:p w14:paraId="28771DB9" w14:textId="77777777" w:rsidR="001F4593" w:rsidRPr="004C62BA" w:rsidRDefault="001F4593" w:rsidP="001F4593">
      <w:pPr>
        <w:tabs>
          <w:tab w:val="left" w:pos="1701"/>
        </w:tabs>
        <w:ind w:left="1701" w:hanging="1701"/>
        <w:rPr>
          <w:color w:val="000000"/>
          <w:szCs w:val="22"/>
        </w:rPr>
      </w:pPr>
      <w:r w:rsidRPr="004C62BA">
        <w:rPr>
          <w:color w:val="000000"/>
          <w:szCs w:val="22"/>
        </w:rPr>
        <w:t>TropWATER</w:t>
      </w:r>
      <w:r w:rsidRPr="004C62BA">
        <w:rPr>
          <w:color w:val="000000"/>
          <w:szCs w:val="22"/>
        </w:rPr>
        <w:tab/>
        <w:t>Centre for Tropical Water &amp; Aquatic Ecosystem Research</w:t>
      </w:r>
    </w:p>
    <w:p w14:paraId="7CBC0C75" w14:textId="77777777" w:rsidR="001F4593" w:rsidRDefault="001F4593" w:rsidP="001F4593">
      <w:pPr>
        <w:tabs>
          <w:tab w:val="left" w:pos="1701"/>
        </w:tabs>
        <w:ind w:left="1701" w:hanging="1701"/>
        <w:rPr>
          <w:color w:val="000000"/>
          <w:szCs w:val="22"/>
          <w:lang w:val="en-US"/>
        </w:rPr>
      </w:pPr>
      <w:r w:rsidRPr="0086636D">
        <w:rPr>
          <w:color w:val="000000"/>
          <w:szCs w:val="22"/>
          <w:lang w:val="en-US"/>
        </w:rPr>
        <w:t>QPSMP</w:t>
      </w:r>
      <w:r>
        <w:rPr>
          <w:color w:val="000000"/>
          <w:szCs w:val="22"/>
          <w:lang w:val="en-US"/>
        </w:rPr>
        <w:tab/>
      </w:r>
      <w:r w:rsidRPr="0086636D">
        <w:rPr>
          <w:color w:val="000000"/>
          <w:szCs w:val="22"/>
          <w:lang w:val="en-US"/>
        </w:rPr>
        <w:t>Queensland Por</w:t>
      </w:r>
      <w:r>
        <w:rPr>
          <w:color w:val="000000"/>
          <w:szCs w:val="22"/>
          <w:lang w:val="en-US"/>
        </w:rPr>
        <w:t>ts Seagrass Monitoring Program</w:t>
      </w:r>
    </w:p>
    <w:p w14:paraId="5536E4EE" w14:textId="77777777" w:rsidR="001F4593" w:rsidRPr="004C62BA" w:rsidRDefault="001F4593" w:rsidP="001F4593">
      <w:pPr>
        <w:tabs>
          <w:tab w:val="left" w:pos="1701"/>
        </w:tabs>
        <w:ind w:left="1701" w:hanging="1701"/>
        <w:rPr>
          <w:rFonts w:cs="Calibri"/>
          <w:color w:val="000000"/>
          <w:szCs w:val="22"/>
          <w:lang w:eastAsia="en-AU"/>
        </w:rPr>
      </w:pPr>
    </w:p>
    <w:p w14:paraId="35F96530" w14:textId="77777777" w:rsidR="001F4593" w:rsidRPr="0095258E" w:rsidRDefault="001F4593" w:rsidP="001F4593">
      <w:pPr>
        <w:tabs>
          <w:tab w:val="left" w:pos="1701"/>
        </w:tabs>
        <w:ind w:left="1701" w:hanging="1701"/>
        <w:rPr>
          <w:color w:val="000000"/>
          <w:szCs w:val="22"/>
        </w:rPr>
      </w:pPr>
    </w:p>
    <w:p w14:paraId="3BABBD67" w14:textId="51D945CF" w:rsidR="001F4593" w:rsidRPr="00015190" w:rsidRDefault="001F4593" w:rsidP="00B20DDB">
      <w:pPr>
        <w:pStyle w:val="Heading1"/>
        <w:pageBreakBefore w:val="0"/>
        <w:numPr>
          <w:ilvl w:val="0"/>
          <w:numId w:val="0"/>
        </w:numPr>
        <w:rPr>
          <w:rFonts w:ascii="Century Gothic" w:hAnsi="Century Gothic"/>
          <w:color w:val="000000"/>
        </w:rPr>
      </w:pPr>
      <w:r w:rsidRPr="00015190">
        <w:rPr>
          <w:color w:val="0000FF"/>
        </w:rPr>
        <w:br w:type="page"/>
      </w:r>
      <w:bookmarkStart w:id="4" w:name="_Toc516053114"/>
      <w:r w:rsidRPr="00015190">
        <w:rPr>
          <w:rFonts w:ascii="Century Gothic" w:hAnsi="Century Gothic"/>
          <w:color w:val="000000"/>
        </w:rPr>
        <w:t>Acknowledgements</w:t>
      </w:r>
      <w:bookmarkEnd w:id="4"/>
    </w:p>
    <w:p w14:paraId="468DDF86" w14:textId="6B74DAE9" w:rsidR="001F4593" w:rsidRPr="008C348B" w:rsidRDefault="001F4593" w:rsidP="001F4593">
      <w:pPr>
        <w:rPr>
          <w:color w:val="000000" w:themeColor="text1"/>
          <w:szCs w:val="22"/>
        </w:rPr>
      </w:pPr>
      <w:r w:rsidRPr="008C348B">
        <w:rPr>
          <w:color w:val="000000" w:themeColor="text1"/>
          <w:szCs w:val="22"/>
        </w:rPr>
        <w:t>We thank Louise Johns</w:t>
      </w:r>
      <w:r w:rsidR="0091359C" w:rsidRPr="008C348B">
        <w:rPr>
          <w:color w:val="000000" w:themeColor="text1"/>
          <w:szCs w:val="22"/>
        </w:rPr>
        <w:t>,</w:t>
      </w:r>
      <w:r w:rsidRPr="008C348B">
        <w:rPr>
          <w:color w:val="000000" w:themeColor="text1"/>
          <w:szCs w:val="22"/>
        </w:rPr>
        <w:t xml:space="preserve"> </w:t>
      </w:r>
      <w:r w:rsidR="0091359C" w:rsidRPr="008C348B">
        <w:rPr>
          <w:color w:val="000000" w:themeColor="text1"/>
          <w:szCs w:val="22"/>
        </w:rPr>
        <w:t xml:space="preserve">Alice White, </w:t>
      </w:r>
      <w:r w:rsidR="00C362ED" w:rsidRPr="008C348B">
        <w:rPr>
          <w:color w:val="000000" w:themeColor="text1"/>
          <w:szCs w:val="22"/>
        </w:rPr>
        <w:t xml:space="preserve">and </w:t>
      </w:r>
      <w:r w:rsidR="0091359C" w:rsidRPr="008C348B">
        <w:rPr>
          <w:color w:val="000000" w:themeColor="text1"/>
          <w:szCs w:val="22"/>
        </w:rPr>
        <w:t xml:space="preserve">Cassie </w:t>
      </w:r>
      <w:r w:rsidR="00536A63" w:rsidRPr="008C348B">
        <w:rPr>
          <w:color w:val="000000" w:themeColor="text1"/>
          <w:szCs w:val="22"/>
        </w:rPr>
        <w:t>Peters</w:t>
      </w:r>
      <w:r w:rsidR="00C362ED" w:rsidRPr="008C348B">
        <w:rPr>
          <w:color w:val="000000" w:themeColor="text1"/>
          <w:szCs w:val="22"/>
        </w:rPr>
        <w:t xml:space="preserve"> </w:t>
      </w:r>
      <w:r w:rsidRPr="008C348B">
        <w:rPr>
          <w:color w:val="000000" w:themeColor="text1"/>
          <w:szCs w:val="22"/>
        </w:rPr>
        <w:t>who assisted with field monitoring</w:t>
      </w:r>
      <w:r w:rsidR="0091359C" w:rsidRPr="008C348B">
        <w:rPr>
          <w:color w:val="000000" w:themeColor="text1"/>
          <w:szCs w:val="22"/>
        </w:rPr>
        <w:t xml:space="preserve">. </w:t>
      </w:r>
      <w:r w:rsidR="00783B80" w:rsidRPr="008C348B">
        <w:rPr>
          <w:color w:val="000000" w:themeColor="text1"/>
          <w:szCs w:val="22"/>
        </w:rPr>
        <w:t xml:space="preserve">We thank Mark Connell and the QPWS rangers who conducted the </w:t>
      </w:r>
      <w:r w:rsidR="00880FA8">
        <w:rPr>
          <w:color w:val="000000" w:themeColor="text1"/>
          <w:szCs w:val="22"/>
        </w:rPr>
        <w:t xml:space="preserve">subtidal </w:t>
      </w:r>
      <w:r w:rsidR="00783B80" w:rsidRPr="008C348B">
        <w:rPr>
          <w:color w:val="000000" w:themeColor="text1"/>
          <w:szCs w:val="22"/>
        </w:rPr>
        <w:t xml:space="preserve">drop camera field monitoring. </w:t>
      </w:r>
      <w:r w:rsidR="0091359C" w:rsidRPr="008C348B">
        <w:rPr>
          <w:color w:val="000000" w:themeColor="text1"/>
          <w:szCs w:val="22"/>
        </w:rPr>
        <w:t>We also thank</w:t>
      </w:r>
      <w:r w:rsidRPr="008C348B">
        <w:rPr>
          <w:color w:val="000000" w:themeColor="text1"/>
          <w:szCs w:val="22"/>
        </w:rPr>
        <w:t xml:space="preserve"> Nicky Yoshida for assisting with the processing of laboratory samples</w:t>
      </w:r>
      <w:r w:rsidR="0091359C" w:rsidRPr="008C348B">
        <w:rPr>
          <w:color w:val="000000" w:themeColor="text1"/>
          <w:szCs w:val="22"/>
        </w:rPr>
        <w:t xml:space="preserve"> and the many Seagrass-Watch volunteers who </w:t>
      </w:r>
      <w:r w:rsidR="00880FA8">
        <w:rPr>
          <w:color w:val="000000" w:themeColor="text1"/>
          <w:szCs w:val="22"/>
        </w:rPr>
        <w:t>assisted</w:t>
      </w:r>
      <w:r w:rsidR="0091359C" w:rsidRPr="008C348B">
        <w:rPr>
          <w:color w:val="000000" w:themeColor="text1"/>
          <w:szCs w:val="22"/>
        </w:rPr>
        <w:t xml:space="preserve"> and shared their data with us from Archer Point (</w:t>
      </w:r>
      <w:r w:rsidR="00783B80" w:rsidRPr="008C348B">
        <w:rPr>
          <w:color w:val="000000" w:themeColor="text1"/>
          <w:szCs w:val="22"/>
        </w:rPr>
        <w:t>Yuku Baja Muliku</w:t>
      </w:r>
      <w:r w:rsidR="0091359C" w:rsidRPr="008C348B">
        <w:rPr>
          <w:color w:val="000000" w:themeColor="text1"/>
          <w:szCs w:val="22"/>
        </w:rPr>
        <w:t>)</w:t>
      </w:r>
      <w:r w:rsidR="00536A63" w:rsidRPr="008C348B">
        <w:rPr>
          <w:color w:val="000000" w:themeColor="text1"/>
          <w:szCs w:val="22"/>
        </w:rPr>
        <w:t>, Shelley Beach</w:t>
      </w:r>
      <w:r w:rsidR="0091359C" w:rsidRPr="008C348B">
        <w:rPr>
          <w:color w:val="000000" w:themeColor="text1"/>
          <w:szCs w:val="22"/>
        </w:rPr>
        <w:t>, Pioneer Bay, Hydeaway Bay</w:t>
      </w:r>
      <w:r w:rsidR="00536A63" w:rsidRPr="008C348B">
        <w:rPr>
          <w:color w:val="000000" w:themeColor="text1"/>
          <w:szCs w:val="22"/>
        </w:rPr>
        <w:t xml:space="preserve"> </w:t>
      </w:r>
      <w:r w:rsidR="0091359C" w:rsidRPr="008C348B">
        <w:rPr>
          <w:color w:val="000000" w:themeColor="text1"/>
          <w:szCs w:val="22"/>
        </w:rPr>
        <w:t>and Goold Island</w:t>
      </w:r>
      <w:r w:rsidR="00536A63" w:rsidRPr="008C348B">
        <w:rPr>
          <w:color w:val="000000" w:themeColor="text1"/>
          <w:szCs w:val="22"/>
        </w:rPr>
        <w:t xml:space="preserve"> (Girringun)</w:t>
      </w:r>
      <w:r w:rsidR="0091359C" w:rsidRPr="008C348B">
        <w:rPr>
          <w:color w:val="000000" w:themeColor="text1"/>
          <w:szCs w:val="22"/>
        </w:rPr>
        <w:t xml:space="preserve">. </w:t>
      </w:r>
      <w:r w:rsidR="00145B89" w:rsidRPr="008C348B">
        <w:rPr>
          <w:color w:val="000000" w:themeColor="text1"/>
          <w:szCs w:val="22"/>
        </w:rPr>
        <w:t xml:space="preserve">We thank </w:t>
      </w:r>
      <w:r w:rsidR="00162309" w:rsidRPr="008C348B">
        <w:rPr>
          <w:color w:val="000000" w:themeColor="text1"/>
          <w:szCs w:val="22"/>
        </w:rPr>
        <w:t>the water quality team at TropWATER (</w:t>
      </w:r>
      <w:hyperlink w:anchor="_ENREF_233" w:tooltip="Waterhouse, 2018 #11521" w:history="1">
        <w:r w:rsidR="00305FE7">
          <w:rPr>
            <w:color w:val="000000" w:themeColor="text1"/>
            <w:szCs w:val="22"/>
          </w:rPr>
          <w:fldChar w:fldCharType="begin"/>
        </w:r>
        <w:r w:rsidR="00305FE7">
          <w:rPr>
            <w:color w:val="000000" w:themeColor="text1"/>
            <w:szCs w:val="22"/>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color w:val="000000" w:themeColor="text1"/>
            <w:szCs w:val="22"/>
          </w:rPr>
          <w:fldChar w:fldCharType="separate"/>
        </w:r>
        <w:r w:rsidR="00305FE7">
          <w:rPr>
            <w:noProof/>
            <w:color w:val="000000" w:themeColor="text1"/>
            <w:szCs w:val="22"/>
          </w:rPr>
          <w:t>Waterhouse</w:t>
        </w:r>
        <w:r w:rsidR="00305FE7" w:rsidRPr="00305FE7">
          <w:rPr>
            <w:i/>
            <w:noProof/>
            <w:color w:val="000000" w:themeColor="text1"/>
            <w:szCs w:val="22"/>
          </w:rPr>
          <w:t xml:space="preserve"> et al.</w:t>
        </w:r>
        <w:r w:rsidR="00305FE7">
          <w:rPr>
            <w:noProof/>
            <w:color w:val="000000" w:themeColor="text1"/>
            <w:szCs w:val="22"/>
          </w:rPr>
          <w:t xml:space="preserve"> 2018</w:t>
        </w:r>
        <w:r w:rsidR="00305FE7">
          <w:rPr>
            <w:color w:val="000000" w:themeColor="text1"/>
            <w:szCs w:val="22"/>
          </w:rPr>
          <w:fldChar w:fldCharType="end"/>
        </w:r>
      </w:hyperlink>
      <w:r w:rsidR="00162309" w:rsidRPr="008C348B">
        <w:rPr>
          <w:color w:val="000000" w:themeColor="text1"/>
          <w:szCs w:val="22"/>
        </w:rPr>
        <w:t>)</w:t>
      </w:r>
      <w:r w:rsidR="00145B89" w:rsidRPr="008C348B">
        <w:rPr>
          <w:color w:val="000000" w:themeColor="text1"/>
          <w:szCs w:val="22"/>
        </w:rPr>
        <w:t xml:space="preserve"> for </w:t>
      </w:r>
      <w:r w:rsidR="00162309" w:rsidRPr="008C348B">
        <w:rPr>
          <w:color w:val="000000" w:themeColor="text1"/>
          <w:szCs w:val="22"/>
        </w:rPr>
        <w:t xml:space="preserve">climate data including rainfall, river discharge and turbid water </w:t>
      </w:r>
      <w:r w:rsidR="00145B89" w:rsidRPr="008C348B">
        <w:rPr>
          <w:color w:val="000000" w:themeColor="text1"/>
          <w:szCs w:val="22"/>
        </w:rPr>
        <w:t>exposure maps included in this report.</w:t>
      </w:r>
      <w:r w:rsidR="00B20DDB" w:rsidRPr="008C348B">
        <w:rPr>
          <w:color w:val="000000" w:themeColor="text1"/>
          <w:szCs w:val="22"/>
        </w:rPr>
        <w:t xml:space="preserve"> We also thank </w:t>
      </w:r>
      <w:r w:rsidR="00B20DDB" w:rsidRPr="008C348B">
        <w:rPr>
          <w:color w:val="000000" w:themeColor="text1"/>
          <w:szCs w:val="22"/>
          <w:lang w:eastAsia="en-AU"/>
        </w:rPr>
        <w:t>the Traditional Owners of the Sea Countries we visited to conduct our monitoring.</w:t>
      </w:r>
    </w:p>
    <w:p w14:paraId="4BC4FFFB" w14:textId="4056FAEC" w:rsidR="001F4593" w:rsidRPr="008C348B" w:rsidRDefault="001F4593" w:rsidP="001F4593">
      <w:pPr>
        <w:rPr>
          <w:color w:val="000000" w:themeColor="text1"/>
          <w:szCs w:val="22"/>
          <w:lang w:eastAsia="en-AU"/>
        </w:rPr>
      </w:pPr>
      <w:r w:rsidRPr="008C348B">
        <w:rPr>
          <w:color w:val="000000" w:themeColor="text1"/>
          <w:szCs w:val="22"/>
        </w:rPr>
        <w:t>We thank the Range Control Officer (Department of Defence) for providing support and access to the Shoalwater Bay Training Area to conduct biannual monitoring;</w:t>
      </w:r>
      <w:r w:rsidRPr="008C348B">
        <w:rPr>
          <w:color w:val="000000" w:themeColor="text1"/>
          <w:szCs w:val="22"/>
          <w:lang w:eastAsia="en-AU"/>
        </w:rPr>
        <w:t xml:space="preserve"> Great Adventures (part of the Quicksilver Group) for providing discounted transfers to Green Island; and </w:t>
      </w:r>
      <w:r w:rsidR="0091359C" w:rsidRPr="008C348B">
        <w:rPr>
          <w:color w:val="000000" w:themeColor="text1"/>
          <w:szCs w:val="22"/>
          <w:lang w:eastAsia="en-AU"/>
        </w:rPr>
        <w:t xml:space="preserve">Nancy Lowe and the late </w:t>
      </w:r>
      <w:r w:rsidR="00216E1F" w:rsidRPr="008C348B">
        <w:rPr>
          <w:color w:val="000000" w:themeColor="text1"/>
          <w:szCs w:val="22"/>
          <w:lang w:eastAsia="en-AU"/>
        </w:rPr>
        <w:t xml:space="preserve">Steven “Fozzy” Foster of </w:t>
      </w:r>
      <w:r w:rsidRPr="008C348B">
        <w:rPr>
          <w:color w:val="000000" w:themeColor="text1"/>
          <w:szCs w:val="22"/>
          <w:lang w:eastAsia="en-AU"/>
        </w:rPr>
        <w:t xml:space="preserve">Dunk Island </w:t>
      </w:r>
      <w:r w:rsidR="00216E1F" w:rsidRPr="008C348B">
        <w:rPr>
          <w:color w:val="000000" w:themeColor="text1"/>
          <w:szCs w:val="22"/>
          <w:lang w:eastAsia="en-AU"/>
        </w:rPr>
        <w:t>W</w:t>
      </w:r>
      <w:r w:rsidRPr="008C348B">
        <w:rPr>
          <w:color w:val="000000" w:themeColor="text1"/>
          <w:szCs w:val="22"/>
          <w:lang w:eastAsia="en-AU"/>
        </w:rPr>
        <w:t xml:space="preserve">ater </w:t>
      </w:r>
      <w:r w:rsidR="00216E1F" w:rsidRPr="008C348B">
        <w:rPr>
          <w:color w:val="000000" w:themeColor="text1"/>
          <w:szCs w:val="22"/>
          <w:lang w:eastAsia="en-AU"/>
        </w:rPr>
        <w:t>T</w:t>
      </w:r>
      <w:r w:rsidRPr="008C348B">
        <w:rPr>
          <w:color w:val="000000" w:themeColor="text1"/>
          <w:szCs w:val="22"/>
          <w:lang w:eastAsia="en-AU"/>
        </w:rPr>
        <w:t>axi for assistance with the maintenance of light loggers at Mission Beach.</w:t>
      </w:r>
      <w:r w:rsidRPr="008C348B">
        <w:rPr>
          <w:color w:val="000000" w:themeColor="text1"/>
          <w:szCs w:val="22"/>
        </w:rPr>
        <w:t xml:space="preserve"> </w:t>
      </w:r>
    </w:p>
    <w:p w14:paraId="5F9D1407" w14:textId="6DDCE0FC" w:rsidR="001F4593" w:rsidRPr="008C348B" w:rsidRDefault="001F4593" w:rsidP="001F4593">
      <w:pPr>
        <w:spacing w:after="0"/>
        <w:rPr>
          <w:color w:val="000000" w:themeColor="text1"/>
          <w:szCs w:val="22"/>
        </w:rPr>
      </w:pPr>
      <w:r w:rsidRPr="008C348B">
        <w:rPr>
          <w:color w:val="000000" w:themeColor="text1"/>
          <w:szCs w:val="22"/>
        </w:rPr>
        <w:t>River discharge data provided by the State of Queensland (Department of Natural Resources and Mines) 201</w:t>
      </w:r>
      <w:r w:rsidR="0091359C" w:rsidRPr="008C348B">
        <w:rPr>
          <w:color w:val="000000" w:themeColor="text1"/>
          <w:szCs w:val="22"/>
        </w:rPr>
        <w:t>6</w:t>
      </w:r>
      <w:r w:rsidRPr="008C348B">
        <w:rPr>
          <w:color w:val="000000" w:themeColor="text1"/>
          <w:szCs w:val="22"/>
        </w:rPr>
        <w:t>. The conceptual diagram symbols are courtesy of the Integration and Application Network (ian.umces.edu/symbols/), University of Maryland Center for Environmental Science. Climate data courtesy of the Australian Bureau of Meteorology, and tide data courtesy Maritime Safety Queensland, Department of Transport and Main Roads.</w:t>
      </w:r>
    </w:p>
    <w:p w14:paraId="28163433" w14:textId="77777777" w:rsidR="001F4593" w:rsidRPr="0091359C" w:rsidRDefault="001F4593" w:rsidP="001F4593">
      <w:pPr>
        <w:rPr>
          <w:szCs w:val="22"/>
        </w:rPr>
      </w:pPr>
    </w:p>
    <w:p w14:paraId="76DD5254" w14:textId="77777777" w:rsidR="001F4593" w:rsidRDefault="001F4593" w:rsidP="001F4593">
      <w:pPr>
        <w:rPr>
          <w:color w:val="000000"/>
          <w:szCs w:val="22"/>
        </w:rPr>
      </w:pPr>
    </w:p>
    <w:p w14:paraId="23AC5D80" w14:textId="77777777" w:rsidR="001F4593" w:rsidRPr="006E0687" w:rsidRDefault="001F4593" w:rsidP="001F4593">
      <w:pPr>
        <w:rPr>
          <w:color w:val="000000"/>
          <w:szCs w:val="22"/>
        </w:rPr>
      </w:pPr>
    </w:p>
    <w:p w14:paraId="268BAA14" w14:textId="77777777" w:rsidR="005132EF" w:rsidRPr="006E0687" w:rsidRDefault="005132EF" w:rsidP="00034AD4">
      <w:pPr>
        <w:rPr>
          <w:color w:val="000000"/>
        </w:rPr>
      </w:pPr>
    </w:p>
    <w:p w14:paraId="57088C0B" w14:textId="77777777" w:rsidR="005132EF" w:rsidRPr="00015190" w:rsidRDefault="005132EF" w:rsidP="00034AD4">
      <w:pPr>
        <w:rPr>
          <w:color w:val="0000FF"/>
        </w:rPr>
        <w:sectPr w:rsidR="005132EF" w:rsidRPr="00015190" w:rsidSect="00D10D59">
          <w:headerReference w:type="even" r:id="rId21"/>
          <w:headerReference w:type="default" r:id="rId22"/>
          <w:footerReference w:type="even" r:id="rId23"/>
          <w:footerReference w:type="default" r:id="rId24"/>
          <w:headerReference w:type="first" r:id="rId25"/>
          <w:pgSz w:w="11906" w:h="16838" w:code="9"/>
          <w:pgMar w:top="1418" w:right="1418" w:bottom="1418" w:left="1418" w:header="709" w:footer="709" w:gutter="0"/>
          <w:pgNumType w:fmt="lowerRoman" w:start="1"/>
          <w:cols w:space="708"/>
          <w:titlePg/>
          <w:docGrid w:linePitch="360"/>
        </w:sectPr>
      </w:pPr>
    </w:p>
    <w:p w14:paraId="7DF16679" w14:textId="77777777" w:rsidR="005132EF" w:rsidRDefault="005132EF" w:rsidP="00B20DDB">
      <w:pPr>
        <w:pStyle w:val="Heading1"/>
        <w:numPr>
          <w:ilvl w:val="0"/>
          <w:numId w:val="0"/>
        </w:numPr>
        <w:spacing w:before="0"/>
        <w:rPr>
          <w:rFonts w:ascii="Century Gothic" w:hAnsi="Century Gothic"/>
          <w:color w:val="000000"/>
          <w:sz w:val="36"/>
          <w:szCs w:val="36"/>
        </w:rPr>
      </w:pPr>
      <w:bookmarkStart w:id="5" w:name="_Toc176079531"/>
      <w:bookmarkStart w:id="6" w:name="_Toc232845888"/>
      <w:bookmarkStart w:id="7" w:name="_Toc184101941"/>
      <w:bookmarkStart w:id="8" w:name="_Toc431493732"/>
      <w:bookmarkStart w:id="9" w:name="_Toc516053115"/>
      <w:bookmarkStart w:id="10" w:name="OLE_LINK1"/>
      <w:bookmarkStart w:id="11" w:name="OLE_LINK2"/>
      <w:bookmarkStart w:id="12" w:name="_Toc175991037"/>
      <w:r w:rsidRPr="00015190">
        <w:rPr>
          <w:rFonts w:ascii="Century Gothic" w:hAnsi="Century Gothic"/>
          <w:color w:val="000000"/>
          <w:sz w:val="36"/>
          <w:szCs w:val="36"/>
        </w:rPr>
        <w:t>Executive summary</w:t>
      </w:r>
      <w:bookmarkEnd w:id="5"/>
      <w:bookmarkEnd w:id="6"/>
      <w:bookmarkEnd w:id="7"/>
      <w:bookmarkEnd w:id="8"/>
      <w:bookmarkEnd w:id="9"/>
      <w:r w:rsidRPr="00015190">
        <w:rPr>
          <w:rFonts w:ascii="Century Gothic" w:hAnsi="Century Gothic"/>
          <w:color w:val="000000"/>
          <w:sz w:val="36"/>
          <w:szCs w:val="36"/>
        </w:rPr>
        <w:t xml:space="preserve"> </w:t>
      </w:r>
    </w:p>
    <w:p w14:paraId="7E4301DD" w14:textId="474B9D68" w:rsidR="00C84483" w:rsidRDefault="00C84483" w:rsidP="00C84483">
      <w:pPr>
        <w:tabs>
          <w:tab w:val="left" w:pos="6804"/>
        </w:tabs>
        <w:rPr>
          <w:color w:val="000000" w:themeColor="text1"/>
          <w:szCs w:val="22"/>
        </w:rPr>
      </w:pPr>
      <w:r w:rsidRPr="008C348B">
        <w:rPr>
          <w:color w:val="000000" w:themeColor="text1"/>
          <w:szCs w:val="22"/>
        </w:rPr>
        <w:t>The Marine Monitoring Program (MMP) undertaken in the Great Barrier Reef (</w:t>
      </w:r>
      <w:r w:rsidR="00607AC4">
        <w:rPr>
          <w:color w:val="000000" w:themeColor="text1"/>
          <w:szCs w:val="22"/>
        </w:rPr>
        <w:t>the Reef</w:t>
      </w:r>
      <w:r w:rsidRPr="008C348B">
        <w:rPr>
          <w:color w:val="000000" w:themeColor="text1"/>
          <w:szCs w:val="22"/>
        </w:rPr>
        <w:t xml:space="preserve">) lagoon, assesses the long-term effectiveness of the Australian and Queensland </w:t>
      </w:r>
      <w:r w:rsidR="00607AC4">
        <w:rPr>
          <w:color w:val="000000" w:themeColor="text1"/>
          <w:szCs w:val="22"/>
        </w:rPr>
        <w:t>g</w:t>
      </w:r>
      <w:r w:rsidRPr="008C348B">
        <w:rPr>
          <w:color w:val="000000" w:themeColor="text1"/>
          <w:szCs w:val="22"/>
        </w:rPr>
        <w:t xml:space="preserve">overnment’s </w:t>
      </w:r>
      <w:r w:rsidRPr="00607AC4">
        <w:rPr>
          <w:i/>
          <w:color w:val="000000" w:themeColor="text1"/>
          <w:szCs w:val="22"/>
        </w:rPr>
        <w:t>Reef Water Quality Protection Plan</w:t>
      </w:r>
      <w:r w:rsidRPr="008C348B">
        <w:rPr>
          <w:color w:val="000000" w:themeColor="text1"/>
          <w:szCs w:val="22"/>
        </w:rPr>
        <w:t xml:space="preserve"> (Reef Plan). The MMP, established in 2005, </w:t>
      </w:r>
      <w:r w:rsidR="00C506C7">
        <w:rPr>
          <w:color w:val="000000" w:themeColor="text1"/>
          <w:szCs w:val="22"/>
        </w:rPr>
        <w:t>is a critical component in the Paddock to R</w:t>
      </w:r>
      <w:r w:rsidRPr="008C348B">
        <w:rPr>
          <w:color w:val="000000" w:themeColor="text1"/>
          <w:szCs w:val="22"/>
        </w:rPr>
        <w:t xml:space="preserve">eef </w:t>
      </w:r>
      <w:r w:rsidR="00C506C7">
        <w:rPr>
          <w:color w:val="000000" w:themeColor="text1"/>
          <w:szCs w:val="22"/>
        </w:rPr>
        <w:t>Integrated M</w:t>
      </w:r>
      <w:r w:rsidRPr="008C348B">
        <w:rPr>
          <w:color w:val="000000" w:themeColor="text1"/>
          <w:szCs w:val="22"/>
        </w:rPr>
        <w:t xml:space="preserve">onitoring </w:t>
      </w:r>
      <w:r w:rsidR="00C506C7">
        <w:rPr>
          <w:color w:val="000000" w:themeColor="text1"/>
          <w:szCs w:val="22"/>
        </w:rPr>
        <w:t>M</w:t>
      </w:r>
      <w:r w:rsidRPr="008C348B">
        <w:rPr>
          <w:color w:val="000000" w:themeColor="text1"/>
          <w:szCs w:val="22"/>
        </w:rPr>
        <w:t xml:space="preserve">odelling and </w:t>
      </w:r>
      <w:r w:rsidR="00C506C7">
        <w:rPr>
          <w:color w:val="000000" w:themeColor="text1"/>
          <w:szCs w:val="22"/>
        </w:rPr>
        <w:t>Reporting P</w:t>
      </w:r>
      <w:r w:rsidRPr="008C348B">
        <w:rPr>
          <w:color w:val="000000" w:themeColor="text1"/>
          <w:szCs w:val="22"/>
        </w:rPr>
        <w:t xml:space="preserve">rogram (P2R) that tracks changes in regional water quality and its impact on the </w:t>
      </w:r>
      <w:r w:rsidR="00607AC4">
        <w:rPr>
          <w:color w:val="000000" w:themeColor="text1"/>
          <w:szCs w:val="22"/>
        </w:rPr>
        <w:t>Reef</w:t>
      </w:r>
      <w:r w:rsidR="005121D0">
        <w:rPr>
          <w:color w:val="000000" w:themeColor="text1"/>
          <w:szCs w:val="22"/>
        </w:rPr>
        <w:t xml:space="preserve"> </w:t>
      </w:r>
      <w:r w:rsidRPr="008C348B">
        <w:rPr>
          <w:color w:val="000000" w:themeColor="text1"/>
          <w:szCs w:val="22"/>
        </w:rPr>
        <w:t>as land management practices are improved across Reef catchments.</w:t>
      </w:r>
      <w:r>
        <w:rPr>
          <w:color w:val="000000" w:themeColor="text1"/>
          <w:szCs w:val="22"/>
        </w:rPr>
        <w:t xml:space="preserve"> </w:t>
      </w:r>
      <w:r w:rsidRPr="008C348B">
        <w:rPr>
          <w:color w:val="000000" w:themeColor="text1"/>
          <w:szCs w:val="22"/>
        </w:rPr>
        <w:t xml:space="preserve">The inshore seagrass component of the MMP assessed seagrass abundance (per cent cover), reproductive </w:t>
      </w:r>
      <w:r>
        <w:rPr>
          <w:color w:val="000000" w:themeColor="text1"/>
          <w:szCs w:val="22"/>
        </w:rPr>
        <w:t>effort</w:t>
      </w:r>
      <w:r w:rsidRPr="008C348B">
        <w:rPr>
          <w:color w:val="000000" w:themeColor="text1"/>
          <w:szCs w:val="22"/>
        </w:rPr>
        <w:t xml:space="preserve">, and </w:t>
      </w:r>
      <w:r>
        <w:rPr>
          <w:color w:val="000000" w:themeColor="text1"/>
          <w:szCs w:val="22"/>
        </w:rPr>
        <w:t xml:space="preserve">leaf tissue </w:t>
      </w:r>
      <w:r w:rsidRPr="008C348B">
        <w:rPr>
          <w:color w:val="000000" w:themeColor="text1"/>
          <w:szCs w:val="22"/>
        </w:rPr>
        <w:t>nutrient</w:t>
      </w:r>
      <w:r>
        <w:rPr>
          <w:color w:val="000000" w:themeColor="text1"/>
          <w:szCs w:val="22"/>
        </w:rPr>
        <w:t>s</w:t>
      </w:r>
      <w:r w:rsidRPr="008C348B">
        <w:rPr>
          <w:color w:val="000000" w:themeColor="text1"/>
          <w:szCs w:val="22"/>
        </w:rPr>
        <w:t xml:space="preserve"> from inshore seagrass meadows at</w:t>
      </w:r>
      <w:r w:rsidR="00976959">
        <w:rPr>
          <w:color w:val="000000" w:themeColor="text1"/>
          <w:szCs w:val="22"/>
        </w:rPr>
        <w:t xml:space="preserve">, </w:t>
      </w:r>
      <w:r w:rsidRPr="008C348B">
        <w:rPr>
          <w:color w:val="000000" w:themeColor="text1"/>
          <w:szCs w:val="22"/>
        </w:rPr>
        <w:t xml:space="preserve">29 locations </w:t>
      </w:r>
      <w:r w:rsidR="00976959">
        <w:rPr>
          <w:color w:val="000000" w:themeColor="text1"/>
          <w:szCs w:val="22"/>
        </w:rPr>
        <w:t xml:space="preserve">(with duplicate sites nested within most locations) </w:t>
      </w:r>
      <w:r w:rsidR="009509C9">
        <w:rPr>
          <w:color w:val="000000" w:themeColor="text1"/>
          <w:szCs w:val="22"/>
        </w:rPr>
        <w:t>across the GBR</w:t>
      </w:r>
      <w:r w:rsidRPr="008C348B">
        <w:rPr>
          <w:color w:val="000000" w:themeColor="text1"/>
          <w:szCs w:val="22"/>
        </w:rPr>
        <w:t xml:space="preserve">. </w:t>
      </w:r>
      <w:r>
        <w:rPr>
          <w:color w:val="000000" w:themeColor="text1"/>
          <w:szCs w:val="22"/>
        </w:rPr>
        <w:t xml:space="preserve">These three indicators are scored </w:t>
      </w:r>
      <w:r w:rsidR="009509C9">
        <w:rPr>
          <w:color w:val="000000" w:themeColor="text1"/>
          <w:szCs w:val="22"/>
        </w:rPr>
        <w:t xml:space="preserve">for each of the six Natural Resource Management regions </w:t>
      </w:r>
      <w:r>
        <w:rPr>
          <w:color w:val="000000" w:themeColor="text1"/>
          <w:szCs w:val="22"/>
        </w:rPr>
        <w:t xml:space="preserve">for the annual </w:t>
      </w:r>
      <w:r w:rsidRPr="00607AC4">
        <w:rPr>
          <w:i/>
          <w:color w:val="000000" w:themeColor="text1"/>
          <w:szCs w:val="22"/>
        </w:rPr>
        <w:t>Reef Plan</w:t>
      </w:r>
      <w:r>
        <w:rPr>
          <w:color w:val="000000" w:themeColor="text1"/>
          <w:szCs w:val="22"/>
        </w:rPr>
        <w:t xml:space="preserve"> report card, and therefore discussions in this report</w:t>
      </w:r>
      <w:r w:rsidR="00514689">
        <w:rPr>
          <w:color w:val="000000" w:themeColor="text1"/>
          <w:szCs w:val="22"/>
        </w:rPr>
        <w:t xml:space="preserve"> centre around these three indicators</w:t>
      </w:r>
      <w:r>
        <w:rPr>
          <w:color w:val="000000" w:themeColor="text1"/>
          <w:szCs w:val="22"/>
        </w:rPr>
        <w:t xml:space="preserve">. </w:t>
      </w:r>
    </w:p>
    <w:p w14:paraId="6BAB65C2" w14:textId="1A401B69" w:rsidR="00C84483" w:rsidRPr="008C348B" w:rsidRDefault="00C84483" w:rsidP="00C84483">
      <w:pPr>
        <w:tabs>
          <w:tab w:val="left" w:pos="6804"/>
        </w:tabs>
        <w:rPr>
          <w:color w:val="000000" w:themeColor="text1"/>
          <w:szCs w:val="22"/>
        </w:rPr>
      </w:pPr>
      <w:r>
        <w:rPr>
          <w:color w:val="000000" w:themeColor="text1"/>
          <w:szCs w:val="22"/>
        </w:rPr>
        <w:t xml:space="preserve">Additional indicators of seagrass condition and resilience </w:t>
      </w:r>
      <w:r w:rsidR="00514689">
        <w:rPr>
          <w:color w:val="000000" w:themeColor="text1"/>
          <w:szCs w:val="22"/>
        </w:rPr>
        <w:t>are assessed and used to assist with the interpretation of the Report Card score, including:</w:t>
      </w:r>
      <w:r>
        <w:rPr>
          <w:color w:val="000000" w:themeColor="text1"/>
          <w:szCs w:val="22"/>
        </w:rPr>
        <w:t xml:space="preserve"> seagrass species</w:t>
      </w:r>
      <w:r w:rsidRPr="008C348B">
        <w:rPr>
          <w:color w:val="000000" w:themeColor="text1"/>
          <w:szCs w:val="22"/>
        </w:rPr>
        <w:t xml:space="preserve"> </w:t>
      </w:r>
      <w:r>
        <w:rPr>
          <w:color w:val="000000" w:themeColor="text1"/>
          <w:szCs w:val="22"/>
        </w:rPr>
        <w:t>composition, relative meadow extent and</w:t>
      </w:r>
      <w:r w:rsidRPr="008C348B">
        <w:rPr>
          <w:color w:val="000000" w:themeColor="text1"/>
          <w:szCs w:val="22"/>
        </w:rPr>
        <w:t xml:space="preserve"> </w:t>
      </w:r>
      <w:r>
        <w:rPr>
          <w:color w:val="000000" w:themeColor="text1"/>
          <w:szCs w:val="22"/>
        </w:rPr>
        <w:t xml:space="preserve">density of seeds in the seed bank. </w:t>
      </w:r>
      <w:r w:rsidRPr="008C348B">
        <w:rPr>
          <w:color w:val="000000" w:themeColor="text1"/>
          <w:szCs w:val="22"/>
        </w:rPr>
        <w:t xml:space="preserve">Environmental pressures are also recorded including within-canopy water temperature, </w:t>
      </w:r>
      <w:r>
        <w:rPr>
          <w:color w:val="000000" w:themeColor="text1"/>
          <w:szCs w:val="22"/>
        </w:rPr>
        <w:t>within-canopy benthic</w:t>
      </w:r>
      <w:r w:rsidRPr="008C348B">
        <w:rPr>
          <w:color w:val="000000" w:themeColor="text1"/>
          <w:szCs w:val="22"/>
        </w:rPr>
        <w:t xml:space="preserve"> light, sediment composition as well as ma</w:t>
      </w:r>
      <w:r>
        <w:rPr>
          <w:color w:val="000000" w:themeColor="text1"/>
          <w:szCs w:val="22"/>
        </w:rPr>
        <w:t>croalgae and epiphyte abundance. There is</w:t>
      </w:r>
      <w:r w:rsidRPr="008C348B">
        <w:rPr>
          <w:color w:val="000000" w:themeColor="text1"/>
          <w:szCs w:val="22"/>
        </w:rPr>
        <w:t xml:space="preserve"> further data </w:t>
      </w:r>
      <w:r>
        <w:rPr>
          <w:color w:val="000000" w:themeColor="text1"/>
          <w:szCs w:val="22"/>
        </w:rPr>
        <w:t xml:space="preserve">on climate and water quality </w:t>
      </w:r>
      <w:r w:rsidRPr="008C348B">
        <w:rPr>
          <w:color w:val="000000" w:themeColor="text1"/>
          <w:szCs w:val="22"/>
        </w:rPr>
        <w:t>obtained from the Australian Bureau of Meteorology and from the MMP inshore water quality subprogram.</w:t>
      </w:r>
      <w:r>
        <w:rPr>
          <w:color w:val="000000" w:themeColor="text1"/>
          <w:szCs w:val="22"/>
        </w:rPr>
        <w:t xml:space="preserve"> </w:t>
      </w:r>
      <w:r w:rsidRPr="008C348B">
        <w:rPr>
          <w:color w:val="000000" w:themeColor="text1"/>
          <w:szCs w:val="22"/>
        </w:rPr>
        <w:t xml:space="preserve">Sites were predominately lower littoral (only exposed to air at the lowest of low tides), hereafter referred to as intertidal, although </w:t>
      </w:r>
      <w:r w:rsidR="008F624A">
        <w:rPr>
          <w:color w:val="000000" w:themeColor="text1"/>
          <w:szCs w:val="22"/>
        </w:rPr>
        <w:t>eight</w:t>
      </w:r>
      <w:r w:rsidRPr="008C348B">
        <w:rPr>
          <w:color w:val="000000" w:themeColor="text1"/>
          <w:szCs w:val="22"/>
        </w:rPr>
        <w:t xml:space="preserve"> locations also inc</w:t>
      </w:r>
      <w:r w:rsidR="00EE4726">
        <w:rPr>
          <w:color w:val="000000" w:themeColor="text1"/>
          <w:szCs w:val="22"/>
        </w:rPr>
        <w:t>luded shallow subtidal meadows. E</w:t>
      </w:r>
      <w:r w:rsidRPr="008C348B">
        <w:rPr>
          <w:color w:val="000000" w:themeColor="text1"/>
          <w:szCs w:val="22"/>
        </w:rPr>
        <w:t xml:space="preserve">ach of the major seagrass habitat types </w:t>
      </w:r>
      <w:r w:rsidR="00EE4726" w:rsidRPr="008C348B">
        <w:rPr>
          <w:color w:val="000000" w:themeColor="text1"/>
          <w:szCs w:val="22"/>
        </w:rPr>
        <w:t>(estuarine, coastal, reef, subtidal)</w:t>
      </w:r>
      <w:r w:rsidR="00EE4726">
        <w:rPr>
          <w:color w:val="000000" w:themeColor="text1"/>
          <w:szCs w:val="22"/>
        </w:rPr>
        <w:t xml:space="preserve"> were assessed in each NRM </w:t>
      </w:r>
      <w:r w:rsidRPr="008C348B">
        <w:rPr>
          <w:color w:val="000000" w:themeColor="text1"/>
          <w:szCs w:val="22"/>
        </w:rPr>
        <w:t>where possible.</w:t>
      </w:r>
    </w:p>
    <w:p w14:paraId="296BA1AA" w14:textId="13C9929D" w:rsidR="00C84483" w:rsidRPr="00607AC4" w:rsidRDefault="00C84483" w:rsidP="00607AC4">
      <w:pPr>
        <w:rPr>
          <w:rFonts w:ascii="Arial" w:hAnsi="Arial" w:cs="Arial"/>
          <w:color w:val="333333"/>
          <w:sz w:val="18"/>
          <w:szCs w:val="18"/>
          <w:lang w:val="en"/>
        </w:rPr>
      </w:pPr>
      <w:r w:rsidRPr="00991C70">
        <w:rPr>
          <w:rFonts w:cs="TimesNewRoman"/>
          <w:color w:val="000000" w:themeColor="text1"/>
          <w:szCs w:val="22"/>
        </w:rPr>
        <w:t>In the 2016</w:t>
      </w:r>
      <w:r w:rsidR="00607AC4">
        <w:rPr>
          <w:rFonts w:ascii="Arial" w:hAnsi="Arial" w:cs="Arial"/>
          <w:color w:val="333333"/>
          <w:sz w:val="18"/>
          <w:szCs w:val="18"/>
          <w:lang w:val="en"/>
        </w:rPr>
        <w:t>–</w:t>
      </w:r>
      <w:r w:rsidRPr="00991C70">
        <w:rPr>
          <w:rFonts w:cs="TimesNewRoman"/>
          <w:color w:val="000000" w:themeColor="text1"/>
          <w:szCs w:val="22"/>
        </w:rPr>
        <w:t xml:space="preserve">17 monitoring period, </w:t>
      </w:r>
      <w:r>
        <w:rPr>
          <w:rFonts w:cs="TimesNewRoman"/>
          <w:color w:val="000000" w:themeColor="text1"/>
          <w:szCs w:val="22"/>
        </w:rPr>
        <w:t xml:space="preserve">the </w:t>
      </w:r>
      <w:r w:rsidRPr="00991C70">
        <w:rPr>
          <w:rFonts w:cs="TimesNewRoman"/>
          <w:color w:val="000000" w:themeColor="text1"/>
          <w:szCs w:val="22"/>
        </w:rPr>
        <w:t xml:space="preserve">overall </w:t>
      </w:r>
      <w:r w:rsidRPr="00991C70">
        <w:rPr>
          <w:color w:val="000000" w:themeColor="text1"/>
          <w:szCs w:val="22"/>
        </w:rPr>
        <w:t xml:space="preserve">seagrass </w:t>
      </w:r>
      <w:r>
        <w:rPr>
          <w:color w:val="000000" w:themeColor="text1"/>
          <w:szCs w:val="22"/>
        </w:rPr>
        <w:t>score</w:t>
      </w:r>
      <w:r w:rsidRPr="00991C70">
        <w:rPr>
          <w:rFonts w:cs="TimesNewRoman"/>
          <w:color w:val="000000" w:themeColor="text1"/>
          <w:szCs w:val="22"/>
        </w:rPr>
        <w:t xml:space="preserve"> </w:t>
      </w:r>
      <w:r w:rsidR="008F624A">
        <w:rPr>
          <w:rFonts w:cs="TimesNewRoman"/>
          <w:color w:val="000000" w:themeColor="text1"/>
          <w:szCs w:val="22"/>
        </w:rPr>
        <w:t>was unchanged from</w:t>
      </w:r>
      <w:r w:rsidRPr="00991C70">
        <w:rPr>
          <w:rFonts w:cs="TimesNewRoman"/>
          <w:color w:val="000000" w:themeColor="text1"/>
          <w:szCs w:val="22"/>
        </w:rPr>
        <w:t xml:space="preserve"> the previous </w:t>
      </w:r>
      <w:r w:rsidR="00607AC4">
        <w:rPr>
          <w:rFonts w:cs="TimesNewRoman"/>
          <w:color w:val="000000" w:themeColor="text1"/>
          <w:szCs w:val="22"/>
        </w:rPr>
        <w:t>monitoring period (2015</w:t>
      </w:r>
      <w:r w:rsidR="00607AC4">
        <w:rPr>
          <w:rFonts w:ascii="Arial" w:hAnsi="Arial" w:cs="Arial"/>
          <w:color w:val="333333"/>
          <w:sz w:val="18"/>
          <w:szCs w:val="18"/>
          <w:lang w:val="en"/>
        </w:rPr>
        <w:t>–</w:t>
      </w:r>
      <w:r w:rsidR="00B0066D">
        <w:rPr>
          <w:rFonts w:cs="TimesNewRoman"/>
          <w:color w:val="000000" w:themeColor="text1"/>
          <w:szCs w:val="22"/>
        </w:rPr>
        <w:t>16)</w:t>
      </w:r>
      <w:r w:rsidRPr="00991C70">
        <w:rPr>
          <w:rFonts w:cs="TimesNewRoman"/>
          <w:color w:val="000000" w:themeColor="text1"/>
          <w:szCs w:val="22"/>
        </w:rPr>
        <w:t>, remain</w:t>
      </w:r>
      <w:r w:rsidR="00B0066D">
        <w:rPr>
          <w:rFonts w:cs="TimesNewRoman"/>
          <w:color w:val="000000" w:themeColor="text1"/>
          <w:szCs w:val="22"/>
        </w:rPr>
        <w:t>ing</w:t>
      </w:r>
      <w:r w:rsidRPr="00991C70">
        <w:rPr>
          <w:rFonts w:cs="TimesNewRoman"/>
          <w:color w:val="000000" w:themeColor="text1"/>
          <w:szCs w:val="22"/>
        </w:rPr>
        <w:t xml:space="preserve"> in</w:t>
      </w:r>
      <w:r w:rsidR="008F624A">
        <w:rPr>
          <w:rFonts w:cs="TimesNewRoman"/>
          <w:color w:val="000000" w:themeColor="text1"/>
          <w:szCs w:val="22"/>
        </w:rPr>
        <w:t xml:space="preserve"> a</w:t>
      </w:r>
      <w:r w:rsidRPr="00991C70">
        <w:rPr>
          <w:rFonts w:cs="TimesNewRoman"/>
          <w:color w:val="000000" w:themeColor="text1"/>
          <w:szCs w:val="22"/>
        </w:rPr>
        <w:t xml:space="preserve"> </w:t>
      </w:r>
      <w:r>
        <w:rPr>
          <w:rFonts w:cs="TimesNewRoman"/>
          <w:b/>
          <w:color w:val="000000" w:themeColor="text1"/>
          <w:szCs w:val="22"/>
        </w:rPr>
        <w:t>poor</w:t>
      </w:r>
      <w:r w:rsidRPr="00991C70">
        <w:rPr>
          <w:rFonts w:cs="TimesNewRoman"/>
          <w:color w:val="000000" w:themeColor="text1"/>
          <w:szCs w:val="22"/>
        </w:rPr>
        <w:t xml:space="preserve"> condition</w:t>
      </w:r>
      <w:r w:rsidR="00EF02B1">
        <w:rPr>
          <w:color w:val="000000" w:themeColor="text1"/>
          <w:szCs w:val="22"/>
        </w:rPr>
        <w:t>. Seagrass abundance has</w:t>
      </w:r>
      <w:r w:rsidRPr="00991C70">
        <w:rPr>
          <w:color w:val="000000" w:themeColor="text1"/>
          <w:szCs w:val="22"/>
        </w:rPr>
        <w:t xml:space="preserve"> </w:t>
      </w:r>
      <w:r>
        <w:rPr>
          <w:color w:val="000000" w:themeColor="text1"/>
          <w:szCs w:val="22"/>
        </w:rPr>
        <w:t xml:space="preserve">been </w:t>
      </w:r>
      <w:r w:rsidRPr="00991C70">
        <w:rPr>
          <w:color w:val="000000" w:themeColor="text1"/>
          <w:szCs w:val="22"/>
        </w:rPr>
        <w:t>increas</w:t>
      </w:r>
      <w:r>
        <w:rPr>
          <w:color w:val="000000" w:themeColor="text1"/>
          <w:szCs w:val="22"/>
        </w:rPr>
        <w:t>ing</w:t>
      </w:r>
      <w:r w:rsidR="00607AC4">
        <w:rPr>
          <w:color w:val="000000" w:themeColor="text1"/>
          <w:szCs w:val="22"/>
        </w:rPr>
        <w:t xml:space="preserve"> at most locations since 2010</w:t>
      </w:r>
      <w:r w:rsidR="00607AC4">
        <w:rPr>
          <w:rFonts w:ascii="Arial" w:hAnsi="Arial" w:cs="Arial"/>
          <w:color w:val="333333"/>
          <w:sz w:val="18"/>
          <w:szCs w:val="18"/>
          <w:lang w:val="en"/>
        </w:rPr>
        <w:t>–</w:t>
      </w:r>
      <w:r w:rsidR="00EF02B1">
        <w:rPr>
          <w:color w:val="000000" w:themeColor="text1"/>
          <w:szCs w:val="22"/>
        </w:rPr>
        <w:t>11. Prior to that, there were w</w:t>
      </w:r>
      <w:r w:rsidRPr="00991C70">
        <w:rPr>
          <w:color w:val="000000" w:themeColor="text1"/>
          <w:szCs w:val="22"/>
        </w:rPr>
        <w:t>idespread declines</w:t>
      </w:r>
      <w:r w:rsidR="00D667C0">
        <w:rPr>
          <w:color w:val="000000" w:themeColor="text1"/>
          <w:szCs w:val="22"/>
        </w:rPr>
        <w:t xml:space="preserve"> </w:t>
      </w:r>
      <w:r w:rsidR="008574EC">
        <w:rPr>
          <w:color w:val="000000" w:themeColor="text1"/>
          <w:szCs w:val="22"/>
        </w:rPr>
        <w:t>(in 2008</w:t>
      </w:r>
      <w:r w:rsidR="008574EC">
        <w:rPr>
          <w:rFonts w:ascii="Arial" w:hAnsi="Arial" w:cs="Arial"/>
          <w:color w:val="333333"/>
          <w:sz w:val="18"/>
          <w:szCs w:val="18"/>
          <w:lang w:val="en"/>
        </w:rPr>
        <w:t>–</w:t>
      </w:r>
      <w:r w:rsidR="00607AC4">
        <w:rPr>
          <w:color w:val="000000" w:themeColor="text1"/>
          <w:szCs w:val="22"/>
        </w:rPr>
        <w:t>09, 2009</w:t>
      </w:r>
      <w:r w:rsidR="00607AC4">
        <w:rPr>
          <w:rFonts w:ascii="Arial" w:hAnsi="Arial" w:cs="Arial"/>
          <w:color w:val="333333"/>
          <w:sz w:val="18"/>
          <w:szCs w:val="18"/>
          <w:lang w:val="en"/>
        </w:rPr>
        <w:t>–</w:t>
      </w:r>
      <w:r w:rsidR="00EF02B1">
        <w:rPr>
          <w:color w:val="000000" w:themeColor="text1"/>
          <w:szCs w:val="22"/>
        </w:rPr>
        <w:t>10</w:t>
      </w:r>
      <w:r w:rsidRPr="00991C70">
        <w:rPr>
          <w:color w:val="000000" w:themeColor="text1"/>
          <w:szCs w:val="22"/>
        </w:rPr>
        <w:t xml:space="preserve"> </w:t>
      </w:r>
      <w:r w:rsidR="00EF02B1">
        <w:rPr>
          <w:color w:val="000000" w:themeColor="text1"/>
          <w:szCs w:val="22"/>
        </w:rPr>
        <w:t>and</w:t>
      </w:r>
      <w:r w:rsidRPr="00991C70">
        <w:rPr>
          <w:color w:val="000000" w:themeColor="text1"/>
          <w:szCs w:val="22"/>
        </w:rPr>
        <w:t xml:space="preserve"> </w:t>
      </w:r>
      <w:r w:rsidR="00607AC4">
        <w:rPr>
          <w:color w:val="000000" w:themeColor="text1"/>
          <w:szCs w:val="22"/>
        </w:rPr>
        <w:t>2010</w:t>
      </w:r>
      <w:r w:rsidR="00607AC4">
        <w:rPr>
          <w:rFonts w:ascii="Arial" w:hAnsi="Arial" w:cs="Arial"/>
          <w:color w:val="333333"/>
          <w:sz w:val="18"/>
          <w:szCs w:val="18"/>
          <w:lang w:val="en"/>
        </w:rPr>
        <w:t>–</w:t>
      </w:r>
      <w:r w:rsidRPr="00991C70">
        <w:rPr>
          <w:color w:val="000000" w:themeColor="text1"/>
          <w:szCs w:val="22"/>
        </w:rPr>
        <w:t>11</w:t>
      </w:r>
      <w:r w:rsidR="00EF02B1">
        <w:rPr>
          <w:color w:val="000000" w:themeColor="text1"/>
          <w:szCs w:val="22"/>
        </w:rPr>
        <w:t>)</w:t>
      </w:r>
      <w:r w:rsidRPr="00991C70">
        <w:rPr>
          <w:color w:val="000000" w:themeColor="text1"/>
          <w:szCs w:val="22"/>
        </w:rPr>
        <w:t xml:space="preserve"> </w:t>
      </w:r>
      <w:r w:rsidR="00EF02B1">
        <w:rPr>
          <w:color w:val="000000" w:themeColor="text1"/>
          <w:szCs w:val="22"/>
        </w:rPr>
        <w:t>in seagrass abundance, which were</w:t>
      </w:r>
      <w:r w:rsidR="00EF02B1" w:rsidRPr="00991C70">
        <w:rPr>
          <w:color w:val="000000" w:themeColor="text1"/>
          <w:szCs w:val="22"/>
        </w:rPr>
        <w:t xml:space="preserve"> the result of </w:t>
      </w:r>
      <w:r w:rsidR="00EF02B1" w:rsidRPr="00991C70">
        <w:rPr>
          <w:rFonts w:cs="Calibri"/>
          <w:color w:val="000000" w:themeColor="text1"/>
          <w:szCs w:val="22"/>
          <w:lang w:eastAsia="en-AU"/>
        </w:rPr>
        <w:t>above average rainfall and climate-related impacts</w:t>
      </w:r>
      <w:r w:rsidR="00EF02B1">
        <w:rPr>
          <w:rFonts w:cs="Calibri"/>
          <w:color w:val="000000" w:themeColor="text1"/>
          <w:szCs w:val="22"/>
          <w:lang w:eastAsia="en-AU"/>
        </w:rPr>
        <w:t>. The average score</w:t>
      </w:r>
      <w:r w:rsidR="008574EC">
        <w:rPr>
          <w:color w:val="000000" w:themeColor="text1"/>
          <w:szCs w:val="22"/>
        </w:rPr>
        <w:t xml:space="preserve"> in 2010</w:t>
      </w:r>
      <w:r w:rsidR="008574EC">
        <w:rPr>
          <w:rFonts w:ascii="Arial" w:hAnsi="Arial" w:cs="Arial"/>
          <w:color w:val="333333"/>
          <w:sz w:val="18"/>
          <w:szCs w:val="18"/>
          <w:lang w:val="en"/>
        </w:rPr>
        <w:t>–</w:t>
      </w:r>
      <w:r w:rsidR="00EF02B1">
        <w:rPr>
          <w:color w:val="000000" w:themeColor="text1"/>
          <w:szCs w:val="22"/>
        </w:rPr>
        <w:t>11 was very poor, and t</w:t>
      </w:r>
      <w:r w:rsidRPr="00991C70">
        <w:rPr>
          <w:color w:val="000000" w:themeColor="text1"/>
          <w:szCs w:val="22"/>
        </w:rPr>
        <w:t xml:space="preserve">he seagrass losses had significant flow-on </w:t>
      </w:r>
      <w:r w:rsidR="00D667C0">
        <w:rPr>
          <w:color w:val="000000" w:themeColor="text1"/>
          <w:szCs w:val="22"/>
        </w:rPr>
        <w:t xml:space="preserve">negative </w:t>
      </w:r>
      <w:r w:rsidRPr="00991C70">
        <w:rPr>
          <w:color w:val="000000" w:themeColor="text1"/>
          <w:szCs w:val="22"/>
        </w:rPr>
        <w:t xml:space="preserve">effects </w:t>
      </w:r>
      <w:r w:rsidR="00D667C0">
        <w:rPr>
          <w:color w:val="000000" w:themeColor="text1"/>
          <w:szCs w:val="22"/>
        </w:rPr>
        <w:t>to</w:t>
      </w:r>
      <w:r w:rsidR="00D667C0" w:rsidRPr="00991C70">
        <w:rPr>
          <w:color w:val="000000" w:themeColor="text1"/>
          <w:szCs w:val="22"/>
        </w:rPr>
        <w:t xml:space="preserve"> </w:t>
      </w:r>
      <w:r w:rsidRPr="00991C70">
        <w:rPr>
          <w:color w:val="000000" w:themeColor="text1"/>
          <w:szCs w:val="22"/>
        </w:rPr>
        <w:t>dugong and green turtle populations (</w:t>
      </w:r>
      <w:hyperlink w:anchor="_ENREF_174" w:tooltip="Meager, 2012 #9824" w:history="1">
        <w:r w:rsidR="00305FE7" w:rsidRPr="00991C70">
          <w:rPr>
            <w:color w:val="000000" w:themeColor="text1"/>
            <w:szCs w:val="22"/>
          </w:rPr>
          <w:fldChar w:fldCharType="begin"/>
        </w:r>
        <w:r w:rsidR="00305FE7" w:rsidRPr="00991C70">
          <w:rPr>
            <w:color w:val="000000" w:themeColor="text1"/>
            <w:szCs w:val="22"/>
          </w:rPr>
          <w:instrText xml:space="preserve"> ADDIN EN.CITE &lt;EndNote&gt;&lt;Cite&gt;&lt;Author&gt;Meager&lt;/Author&gt;&lt;Year&gt;2012&lt;/Year&gt;&lt;RecNum&gt;9824&lt;/RecNum&gt;&lt;DisplayText&gt;Meager and Limpus 2012&lt;/DisplayText&gt;&lt;record&gt;&lt;rec-number&gt;9824&lt;/rec-number&gt;&lt;foreign-keys&gt;&lt;key app="EN" db-id="0eve55x9y5vfd6e9dacxtew4eatve2dzds9a" timestamp="1400831651"&gt;9824&lt;/key&gt;&lt;/foreign-keys&gt;&lt;ref-type name="Journal Article"&gt;17&lt;/ref-type&gt;&lt;contributors&gt;&lt;authors&gt;&lt;author&gt;Meager, J J&lt;/author&gt;&lt;author&gt;Limpus, Col J&lt;/author&gt;&lt;/authors&gt;&lt;/contributors&gt;&lt;titles&gt;&lt;title&gt;Marine wildlife stranding and mortality database annual report 2011. III. Marine Turtle&lt;/title&gt;&lt;secondary-title&gt;Conservation Technical and Data Report&lt;/secondary-title&gt;&lt;/titles&gt;&lt;periodical&gt;&lt;full-title&gt;Conservation Technical and Data Report&lt;/full-title&gt;&lt;/periodical&gt;&lt;pages&gt;1-46&lt;/pages&gt;&lt;volume&gt;2012&lt;/volume&gt;&lt;number&gt;3&lt;/number&gt;&lt;dates&gt;&lt;year&gt;2012&lt;/year&gt;&lt;/dates&gt;&lt;urls&gt;&lt;/urls&gt;&lt;/record&gt;&lt;/Cite&gt;&lt;/EndNote&gt;</w:instrText>
        </w:r>
        <w:r w:rsidR="00305FE7" w:rsidRPr="00991C70">
          <w:rPr>
            <w:color w:val="000000" w:themeColor="text1"/>
            <w:szCs w:val="22"/>
          </w:rPr>
          <w:fldChar w:fldCharType="separate"/>
        </w:r>
        <w:r w:rsidR="00305FE7" w:rsidRPr="00991C70">
          <w:rPr>
            <w:noProof/>
            <w:color w:val="000000" w:themeColor="text1"/>
            <w:szCs w:val="22"/>
          </w:rPr>
          <w:t>Meager and Limpus 2012</w:t>
        </w:r>
        <w:r w:rsidR="00305FE7" w:rsidRPr="00991C70">
          <w:rPr>
            <w:color w:val="000000" w:themeColor="text1"/>
            <w:szCs w:val="22"/>
          </w:rPr>
          <w:fldChar w:fldCharType="end"/>
        </w:r>
      </w:hyperlink>
      <w:r w:rsidRPr="00991C70">
        <w:rPr>
          <w:color w:val="000000" w:themeColor="text1"/>
          <w:szCs w:val="22"/>
        </w:rPr>
        <w:t>), which are highly dependent on seagrass</w:t>
      </w:r>
      <w:r w:rsidR="00B07352">
        <w:rPr>
          <w:color w:val="000000" w:themeColor="text1"/>
          <w:szCs w:val="22"/>
        </w:rPr>
        <w:t>es</w:t>
      </w:r>
      <w:r w:rsidRPr="00991C70">
        <w:rPr>
          <w:color w:val="000000" w:themeColor="text1"/>
          <w:szCs w:val="22"/>
        </w:rPr>
        <w:t xml:space="preserve"> </w:t>
      </w:r>
      <w:r>
        <w:rPr>
          <w:color w:val="000000" w:themeColor="text1"/>
          <w:szCs w:val="22"/>
        </w:rPr>
        <w:t>as their primary food supply. The condition and resilience of i</w:t>
      </w:r>
      <w:r w:rsidR="008574EC">
        <w:rPr>
          <w:color w:val="000000" w:themeColor="text1"/>
          <w:szCs w:val="22"/>
        </w:rPr>
        <w:t>nshore seagrass meadows in 2016</w:t>
      </w:r>
      <w:r w:rsidR="008574EC">
        <w:rPr>
          <w:rFonts w:ascii="Arial" w:hAnsi="Arial" w:cs="Arial"/>
          <w:color w:val="333333"/>
          <w:sz w:val="18"/>
          <w:szCs w:val="18"/>
          <w:lang w:val="en"/>
        </w:rPr>
        <w:t>–</w:t>
      </w:r>
      <w:r>
        <w:rPr>
          <w:color w:val="000000" w:themeColor="text1"/>
          <w:szCs w:val="22"/>
        </w:rPr>
        <w:t xml:space="preserve">17 is reported in the context of meadows recovering from these previous events. </w:t>
      </w:r>
    </w:p>
    <w:p w14:paraId="2125B6AD" w14:textId="1C45F946" w:rsidR="00C84483" w:rsidRPr="00517276" w:rsidRDefault="00C84483" w:rsidP="00C84483">
      <w:pPr>
        <w:jc w:val="center"/>
        <w:rPr>
          <w:i/>
          <w:vanish/>
          <w:color w:val="000000"/>
          <w:szCs w:val="22"/>
          <w:specVanish/>
        </w:rPr>
      </w:pPr>
      <w:bookmarkStart w:id="13" w:name="_Ref499715093"/>
      <w:bookmarkStart w:id="14" w:name="_Toc516053425"/>
      <w:r w:rsidRPr="000F2C55">
        <w:rPr>
          <w:szCs w:val="22"/>
        </w:rPr>
        <w:t xml:space="preserve">Table </w:t>
      </w:r>
      <w:r w:rsidRPr="000F2C55">
        <w:rPr>
          <w:szCs w:val="22"/>
        </w:rPr>
        <w:fldChar w:fldCharType="begin"/>
      </w:r>
      <w:r w:rsidRPr="000F2C55">
        <w:rPr>
          <w:szCs w:val="22"/>
        </w:rPr>
        <w:instrText xml:space="preserve"> SEQ Table \* ARABIC </w:instrText>
      </w:r>
      <w:r w:rsidRPr="000F2C55">
        <w:rPr>
          <w:szCs w:val="22"/>
        </w:rPr>
        <w:fldChar w:fldCharType="separate"/>
      </w:r>
      <w:r w:rsidR="00F87DF9">
        <w:rPr>
          <w:noProof/>
          <w:szCs w:val="22"/>
        </w:rPr>
        <w:t>1</w:t>
      </w:r>
      <w:r w:rsidRPr="000F2C55">
        <w:rPr>
          <w:szCs w:val="22"/>
        </w:rPr>
        <w:fldChar w:fldCharType="end"/>
      </w:r>
      <w:bookmarkEnd w:id="13"/>
      <w:r w:rsidRPr="000F2C55">
        <w:rPr>
          <w:szCs w:val="22"/>
        </w:rPr>
        <w:t xml:space="preserve">. </w:t>
      </w:r>
      <w:r w:rsidRPr="000F2C55">
        <w:rPr>
          <w:i/>
          <w:szCs w:val="22"/>
        </w:rPr>
        <w:t xml:space="preserve">Report card for seagrass </w:t>
      </w:r>
      <w:r>
        <w:rPr>
          <w:i/>
          <w:szCs w:val="22"/>
        </w:rPr>
        <w:t>condition</w:t>
      </w:r>
      <w:r w:rsidRPr="000F2C55">
        <w:rPr>
          <w:i/>
          <w:szCs w:val="22"/>
        </w:rPr>
        <w:t xml:space="preserve"> for </w:t>
      </w:r>
      <w:r w:rsidR="00B0066D" w:rsidRPr="000F2C55">
        <w:rPr>
          <w:i/>
          <w:szCs w:val="22"/>
        </w:rPr>
        <w:t>each NRM region</w:t>
      </w:r>
      <w:r w:rsidR="00B0066D">
        <w:rPr>
          <w:i/>
          <w:szCs w:val="22"/>
        </w:rPr>
        <w:t xml:space="preserve"> and</w:t>
      </w:r>
      <w:r w:rsidR="00B0066D" w:rsidRPr="000F2C55">
        <w:rPr>
          <w:i/>
          <w:szCs w:val="22"/>
        </w:rPr>
        <w:t xml:space="preserve"> </w:t>
      </w:r>
      <w:r w:rsidR="00B0066D">
        <w:rPr>
          <w:i/>
          <w:szCs w:val="22"/>
        </w:rPr>
        <w:t>the GBR</w:t>
      </w:r>
      <w:r w:rsidRPr="000F2C55">
        <w:rPr>
          <w:i/>
          <w:szCs w:val="22"/>
        </w:rPr>
        <w:t>: June 201</w:t>
      </w:r>
      <w:r>
        <w:rPr>
          <w:i/>
          <w:szCs w:val="22"/>
        </w:rPr>
        <w:t>6</w:t>
      </w:r>
      <w:r w:rsidRPr="000F2C55">
        <w:rPr>
          <w:i/>
          <w:szCs w:val="22"/>
        </w:rPr>
        <w:t xml:space="preserve"> </w:t>
      </w:r>
      <w:r>
        <w:rPr>
          <w:i/>
          <w:szCs w:val="22"/>
        </w:rPr>
        <w:t>-</w:t>
      </w:r>
      <w:r w:rsidRPr="000F2C55">
        <w:rPr>
          <w:i/>
          <w:szCs w:val="22"/>
        </w:rPr>
        <w:t xml:space="preserve"> May 201</w:t>
      </w:r>
      <w:r>
        <w:rPr>
          <w:i/>
          <w:szCs w:val="22"/>
        </w:rPr>
        <w:t>7</w:t>
      </w:r>
      <w:r w:rsidRPr="000F2C55">
        <w:rPr>
          <w:i/>
          <w:szCs w:val="22"/>
        </w:rPr>
        <w:t>.</w:t>
      </w:r>
      <w:bookmarkEnd w:id="14"/>
      <w:r w:rsidRPr="000F2C55">
        <w:rPr>
          <w:i/>
          <w:szCs w:val="22"/>
        </w:rPr>
        <w:t xml:space="preserve"> </w:t>
      </w:r>
    </w:p>
    <w:p w14:paraId="3EDDBC00" w14:textId="77777777" w:rsidR="00C84483" w:rsidRPr="00517276" w:rsidRDefault="00C84483" w:rsidP="00C84483">
      <w:pPr>
        <w:jc w:val="center"/>
        <w:rPr>
          <w:color w:val="000000"/>
          <w:szCs w:val="22"/>
        </w:rPr>
      </w:pPr>
      <w:r w:rsidRPr="00517276">
        <w:rPr>
          <w:i/>
          <w:color w:val="000000"/>
          <w:szCs w:val="22"/>
        </w:rPr>
        <w:t>Values</w:t>
      </w:r>
      <w:r w:rsidRPr="00E237C6">
        <w:rPr>
          <w:i/>
          <w:szCs w:val="22"/>
        </w:rPr>
        <w:t xml:space="preserve">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517276">
        <w:rPr>
          <w:i/>
          <w:color w:val="000000"/>
          <w:szCs w:val="22"/>
        </w:rPr>
        <w:t xml:space="preserve"> </w:t>
      </w:r>
    </w:p>
    <w:tbl>
      <w:tblPr>
        <w:tblW w:w="9064" w:type="dxa"/>
        <w:jc w:val="center"/>
        <w:tblLook w:val="0000" w:firstRow="0" w:lastRow="0" w:firstColumn="0" w:lastColumn="0" w:noHBand="0" w:noVBand="0"/>
      </w:tblPr>
      <w:tblGrid>
        <w:gridCol w:w="1051"/>
        <w:gridCol w:w="2227"/>
        <w:gridCol w:w="1362"/>
        <w:gridCol w:w="1540"/>
        <w:gridCol w:w="1666"/>
        <w:gridCol w:w="1218"/>
      </w:tblGrid>
      <w:tr w:rsidR="0097577A" w:rsidRPr="00B93906" w14:paraId="1898C878" w14:textId="77777777" w:rsidTr="0097577A">
        <w:trPr>
          <w:trHeight w:val="454"/>
          <w:jc w:val="center"/>
        </w:trPr>
        <w:tc>
          <w:tcPr>
            <w:tcW w:w="1051" w:type="dxa"/>
            <w:tcBorders>
              <w:top w:val="single" w:sz="4" w:space="0" w:color="auto"/>
              <w:left w:val="nil"/>
              <w:bottom w:val="single" w:sz="4" w:space="0" w:color="000000"/>
              <w:right w:val="nil"/>
            </w:tcBorders>
          </w:tcPr>
          <w:p w14:paraId="16E5CF00" w14:textId="77777777" w:rsidR="0097577A" w:rsidRPr="00B93906" w:rsidRDefault="0097577A" w:rsidP="001E20FC">
            <w:pPr>
              <w:spacing w:before="0" w:after="0"/>
              <w:jc w:val="center"/>
              <w:rPr>
                <w:b/>
                <w:szCs w:val="22"/>
                <w:lang w:val="en-US"/>
              </w:rPr>
            </w:pPr>
          </w:p>
        </w:tc>
        <w:tc>
          <w:tcPr>
            <w:tcW w:w="2227" w:type="dxa"/>
            <w:tcBorders>
              <w:top w:val="single" w:sz="4" w:space="0" w:color="auto"/>
              <w:left w:val="nil"/>
              <w:bottom w:val="single" w:sz="4" w:space="0" w:color="000000"/>
              <w:right w:val="nil"/>
            </w:tcBorders>
            <w:noWrap/>
            <w:vAlign w:val="center"/>
          </w:tcPr>
          <w:p w14:paraId="5B822BD5" w14:textId="32CA532E" w:rsidR="0097577A" w:rsidRPr="00B93906" w:rsidRDefault="0097577A" w:rsidP="001E20FC">
            <w:pPr>
              <w:spacing w:before="0" w:after="0"/>
              <w:jc w:val="center"/>
              <w:rPr>
                <w:b/>
                <w:szCs w:val="22"/>
                <w:lang w:val="en-US"/>
              </w:rPr>
            </w:pPr>
            <w:r w:rsidRPr="00B93906">
              <w:rPr>
                <w:b/>
                <w:szCs w:val="22"/>
                <w:lang w:val="en-US"/>
              </w:rPr>
              <w:t>Region</w:t>
            </w:r>
          </w:p>
        </w:tc>
        <w:tc>
          <w:tcPr>
            <w:tcW w:w="1362" w:type="dxa"/>
            <w:tcBorders>
              <w:top w:val="single" w:sz="4" w:space="0" w:color="auto"/>
              <w:left w:val="nil"/>
              <w:bottom w:val="single" w:sz="4" w:space="0" w:color="000000"/>
              <w:right w:val="nil"/>
            </w:tcBorders>
            <w:vAlign w:val="center"/>
          </w:tcPr>
          <w:p w14:paraId="2BD8706F" w14:textId="77777777" w:rsidR="0097577A" w:rsidRPr="00B93906" w:rsidRDefault="0097577A" w:rsidP="001E20FC">
            <w:pPr>
              <w:spacing w:before="0" w:after="0"/>
              <w:jc w:val="center"/>
              <w:rPr>
                <w:szCs w:val="22"/>
                <w:lang w:val="en-US"/>
              </w:rPr>
            </w:pPr>
            <w:r w:rsidRPr="00B93906">
              <w:rPr>
                <w:szCs w:val="22"/>
                <w:lang w:val="en-US"/>
              </w:rPr>
              <w:t>Seagrass</w:t>
            </w:r>
          </w:p>
          <w:p w14:paraId="295E14F0" w14:textId="77777777" w:rsidR="0097577A" w:rsidRPr="00B93906" w:rsidRDefault="0097577A" w:rsidP="001E20FC">
            <w:pPr>
              <w:spacing w:before="0" w:after="0"/>
              <w:jc w:val="center"/>
              <w:rPr>
                <w:szCs w:val="22"/>
                <w:lang w:val="en-US"/>
              </w:rPr>
            </w:pPr>
            <w:r w:rsidRPr="00B93906">
              <w:rPr>
                <w:szCs w:val="22"/>
                <w:lang w:val="en-US"/>
              </w:rPr>
              <w:t>Abundance</w:t>
            </w:r>
          </w:p>
        </w:tc>
        <w:tc>
          <w:tcPr>
            <w:tcW w:w="1540" w:type="dxa"/>
            <w:tcBorders>
              <w:top w:val="single" w:sz="4" w:space="0" w:color="auto"/>
              <w:left w:val="nil"/>
              <w:bottom w:val="single" w:sz="4" w:space="0" w:color="000000"/>
              <w:right w:val="nil"/>
            </w:tcBorders>
            <w:vAlign w:val="center"/>
          </w:tcPr>
          <w:p w14:paraId="19560106" w14:textId="77777777" w:rsidR="0097577A" w:rsidRPr="00B93906" w:rsidRDefault="0097577A" w:rsidP="001E20FC">
            <w:pPr>
              <w:spacing w:before="0" w:after="0"/>
              <w:jc w:val="center"/>
              <w:rPr>
                <w:szCs w:val="22"/>
                <w:lang w:val="en-US"/>
              </w:rPr>
            </w:pPr>
            <w:r w:rsidRPr="00B93906">
              <w:rPr>
                <w:szCs w:val="22"/>
                <w:lang w:val="en-US"/>
              </w:rPr>
              <w:t>Reproductive</w:t>
            </w:r>
          </w:p>
          <w:p w14:paraId="137201BF" w14:textId="77777777" w:rsidR="0097577A" w:rsidRPr="00B93906" w:rsidRDefault="0097577A" w:rsidP="001E20FC">
            <w:pPr>
              <w:spacing w:before="0" w:after="0"/>
              <w:jc w:val="center"/>
              <w:rPr>
                <w:szCs w:val="22"/>
                <w:lang w:val="en-US"/>
              </w:rPr>
            </w:pPr>
            <w:r w:rsidRPr="00B93906">
              <w:rPr>
                <w:szCs w:val="22"/>
                <w:lang w:val="en-US"/>
              </w:rPr>
              <w:t>Effort</w:t>
            </w:r>
          </w:p>
        </w:tc>
        <w:tc>
          <w:tcPr>
            <w:tcW w:w="1666" w:type="dxa"/>
            <w:tcBorders>
              <w:top w:val="single" w:sz="4" w:space="0" w:color="auto"/>
              <w:left w:val="nil"/>
              <w:bottom w:val="single" w:sz="4" w:space="0" w:color="000000"/>
              <w:right w:val="nil"/>
            </w:tcBorders>
            <w:vAlign w:val="center"/>
          </w:tcPr>
          <w:p w14:paraId="17B9C991" w14:textId="77777777" w:rsidR="0097577A" w:rsidRPr="00B93906" w:rsidRDefault="0097577A" w:rsidP="001E20FC">
            <w:pPr>
              <w:spacing w:before="0" w:after="0"/>
              <w:jc w:val="center"/>
              <w:rPr>
                <w:szCs w:val="22"/>
                <w:lang w:val="fr-FR"/>
              </w:rPr>
            </w:pPr>
            <w:r w:rsidRPr="00B93906">
              <w:rPr>
                <w:szCs w:val="22"/>
                <w:lang w:val="fr-FR"/>
              </w:rPr>
              <w:t>Nutrient status</w:t>
            </w:r>
          </w:p>
          <w:p w14:paraId="4D767699" w14:textId="77777777" w:rsidR="0097577A" w:rsidRPr="00B93906" w:rsidRDefault="0097577A" w:rsidP="001E20FC">
            <w:pPr>
              <w:spacing w:before="0" w:after="0"/>
              <w:jc w:val="center"/>
              <w:rPr>
                <w:szCs w:val="22"/>
                <w:lang w:val="fr-FR"/>
              </w:rPr>
            </w:pPr>
            <w:r w:rsidRPr="00B93906">
              <w:rPr>
                <w:szCs w:val="22"/>
                <w:lang w:val="fr-FR"/>
              </w:rPr>
              <w:t>(C:N ratio)</w:t>
            </w:r>
          </w:p>
        </w:tc>
        <w:tc>
          <w:tcPr>
            <w:tcW w:w="1218" w:type="dxa"/>
            <w:tcBorders>
              <w:top w:val="single" w:sz="4" w:space="0" w:color="auto"/>
              <w:left w:val="nil"/>
              <w:bottom w:val="single" w:sz="4" w:space="0" w:color="000000"/>
              <w:right w:val="nil"/>
            </w:tcBorders>
            <w:vAlign w:val="center"/>
          </w:tcPr>
          <w:p w14:paraId="54B0AAE4" w14:textId="77777777" w:rsidR="0097577A" w:rsidRPr="00B93906" w:rsidRDefault="0097577A" w:rsidP="001E20FC">
            <w:pPr>
              <w:spacing w:before="0" w:after="0"/>
              <w:jc w:val="center"/>
              <w:rPr>
                <w:b/>
                <w:bCs/>
                <w:szCs w:val="22"/>
                <w:lang w:val="en-US"/>
              </w:rPr>
            </w:pPr>
            <w:r w:rsidRPr="00B93906">
              <w:rPr>
                <w:b/>
                <w:bCs/>
                <w:szCs w:val="22"/>
                <w:lang w:val="en-US"/>
              </w:rPr>
              <w:t>Seagrass Index</w:t>
            </w:r>
          </w:p>
        </w:tc>
      </w:tr>
      <w:tr w:rsidR="0097577A" w:rsidRPr="00B93906" w14:paraId="38F262CD" w14:textId="77777777" w:rsidTr="0097577A">
        <w:trPr>
          <w:trHeight w:val="227"/>
          <w:jc w:val="center"/>
        </w:trPr>
        <w:tc>
          <w:tcPr>
            <w:tcW w:w="1051" w:type="dxa"/>
            <w:tcBorders>
              <w:top w:val="single" w:sz="4" w:space="0" w:color="000000"/>
              <w:left w:val="single" w:sz="4" w:space="0" w:color="FFFFFF"/>
              <w:bottom w:val="single" w:sz="4" w:space="0" w:color="FFFFFF"/>
              <w:right w:val="single" w:sz="4" w:space="0" w:color="FFFFFF"/>
            </w:tcBorders>
          </w:tcPr>
          <w:p w14:paraId="6737607D" w14:textId="77777777" w:rsidR="0097577A" w:rsidRPr="00B93906" w:rsidRDefault="0097577A" w:rsidP="001E20FC">
            <w:pPr>
              <w:spacing w:before="0" w:after="0"/>
              <w:rPr>
                <w:szCs w:val="22"/>
                <w:lang w:val="en-US"/>
              </w:rPr>
            </w:pPr>
          </w:p>
        </w:tc>
        <w:tc>
          <w:tcPr>
            <w:tcW w:w="2227" w:type="dxa"/>
            <w:tcBorders>
              <w:top w:val="single" w:sz="4" w:space="0" w:color="000000"/>
              <w:left w:val="single" w:sz="4" w:space="0" w:color="FFFFFF"/>
              <w:bottom w:val="single" w:sz="4" w:space="0" w:color="FFFFFF"/>
              <w:right w:val="single" w:sz="4" w:space="0" w:color="FFFFFF"/>
            </w:tcBorders>
            <w:noWrap/>
            <w:vAlign w:val="bottom"/>
          </w:tcPr>
          <w:p w14:paraId="384F5CB1" w14:textId="0942EAD3" w:rsidR="0097577A" w:rsidRPr="00B93906" w:rsidRDefault="0097577A" w:rsidP="001E20FC">
            <w:pPr>
              <w:spacing w:before="0" w:after="0"/>
              <w:rPr>
                <w:szCs w:val="22"/>
                <w:lang w:val="en-US"/>
              </w:rPr>
            </w:pPr>
            <w:r w:rsidRPr="00B93906">
              <w:rPr>
                <w:szCs w:val="22"/>
                <w:lang w:val="en-US"/>
              </w:rPr>
              <w:t>Cape York</w:t>
            </w:r>
          </w:p>
        </w:tc>
        <w:tc>
          <w:tcPr>
            <w:tcW w:w="1362" w:type="dxa"/>
            <w:tcBorders>
              <w:top w:val="single" w:sz="4" w:space="0" w:color="000000"/>
              <w:left w:val="single" w:sz="4" w:space="0" w:color="FFFFFF"/>
              <w:bottom w:val="single" w:sz="4" w:space="0" w:color="FFFFFF"/>
              <w:right w:val="single" w:sz="4" w:space="0" w:color="FFFFFF"/>
            </w:tcBorders>
            <w:shd w:val="clear" w:color="auto" w:fill="FFCC00"/>
            <w:noWrap/>
          </w:tcPr>
          <w:p w14:paraId="57A3B583" w14:textId="5231F18F" w:rsidR="0097577A" w:rsidRPr="00B93906" w:rsidRDefault="0097577A" w:rsidP="001E20FC">
            <w:pPr>
              <w:spacing w:before="0" w:after="0"/>
              <w:jc w:val="center"/>
              <w:rPr>
                <w:szCs w:val="22"/>
              </w:rPr>
            </w:pPr>
            <w:r>
              <w:t>46</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tcPr>
          <w:p w14:paraId="3E7739CF" w14:textId="52CDB3C9" w:rsidR="0097577A" w:rsidRPr="00B93906" w:rsidRDefault="0097577A" w:rsidP="001E20FC">
            <w:pPr>
              <w:spacing w:before="0" w:after="0"/>
              <w:jc w:val="center"/>
              <w:rPr>
                <w:szCs w:val="22"/>
              </w:rPr>
            </w:pPr>
            <w:r>
              <w:t>10</w:t>
            </w:r>
          </w:p>
        </w:tc>
        <w:tc>
          <w:tcPr>
            <w:tcW w:w="1666" w:type="dxa"/>
            <w:tcBorders>
              <w:top w:val="single" w:sz="4" w:space="0" w:color="000000"/>
              <w:left w:val="single" w:sz="4" w:space="0" w:color="FFFFFF"/>
              <w:bottom w:val="single" w:sz="4" w:space="0" w:color="FFFFFF"/>
              <w:right w:val="single" w:sz="4" w:space="0" w:color="FFFFFF"/>
            </w:tcBorders>
            <w:shd w:val="clear" w:color="auto" w:fill="FFFF00"/>
            <w:noWrap/>
          </w:tcPr>
          <w:p w14:paraId="7EF17E28" w14:textId="77777777" w:rsidR="0097577A" w:rsidRPr="00B93906" w:rsidRDefault="0097577A" w:rsidP="001E20FC">
            <w:pPr>
              <w:spacing w:before="0" w:after="0"/>
              <w:jc w:val="center"/>
              <w:rPr>
                <w:szCs w:val="22"/>
              </w:rPr>
            </w:pPr>
            <w:r w:rsidRPr="00B93906">
              <w:t>41</w:t>
            </w:r>
          </w:p>
        </w:tc>
        <w:tc>
          <w:tcPr>
            <w:tcW w:w="1218" w:type="dxa"/>
            <w:tcBorders>
              <w:top w:val="single" w:sz="4" w:space="0" w:color="000000"/>
              <w:left w:val="single" w:sz="4" w:space="0" w:color="FFFFFF"/>
              <w:bottom w:val="single" w:sz="4" w:space="0" w:color="FFFFFF"/>
              <w:right w:val="single" w:sz="4" w:space="0" w:color="FFFFFF"/>
            </w:tcBorders>
            <w:shd w:val="clear" w:color="auto" w:fill="FFCC00"/>
            <w:noWrap/>
          </w:tcPr>
          <w:p w14:paraId="1181BB12" w14:textId="7510F85B" w:rsidR="0097577A" w:rsidRPr="00B93906" w:rsidRDefault="0097577A" w:rsidP="001E20FC">
            <w:pPr>
              <w:spacing w:before="0" w:after="0"/>
              <w:jc w:val="center"/>
              <w:rPr>
                <w:szCs w:val="22"/>
              </w:rPr>
            </w:pPr>
            <w:r>
              <w:t>32</w:t>
            </w:r>
          </w:p>
        </w:tc>
      </w:tr>
      <w:tr w:rsidR="0097577A" w:rsidRPr="00B93906" w14:paraId="728EB20E" w14:textId="77777777" w:rsidTr="0097577A">
        <w:trPr>
          <w:trHeight w:val="170"/>
          <w:jc w:val="center"/>
        </w:trPr>
        <w:tc>
          <w:tcPr>
            <w:tcW w:w="1051" w:type="dxa"/>
            <w:tcBorders>
              <w:top w:val="single" w:sz="4" w:space="0" w:color="FFFFFF"/>
              <w:left w:val="single" w:sz="4" w:space="0" w:color="FFFFFF"/>
              <w:bottom w:val="single" w:sz="4" w:space="0" w:color="FFFFFF"/>
              <w:right w:val="single" w:sz="4" w:space="0" w:color="FFFFFF"/>
            </w:tcBorders>
          </w:tcPr>
          <w:p w14:paraId="366337BF" w14:textId="77777777" w:rsidR="0097577A" w:rsidRPr="00B93906" w:rsidRDefault="0097577A" w:rsidP="001E20FC">
            <w:pPr>
              <w:spacing w:before="0" w:after="0"/>
              <w:rPr>
                <w:szCs w:val="22"/>
                <w:lang w:val="en-US"/>
              </w:rPr>
            </w:pPr>
          </w:p>
        </w:tc>
        <w:tc>
          <w:tcPr>
            <w:tcW w:w="2227" w:type="dxa"/>
            <w:tcBorders>
              <w:top w:val="single" w:sz="4" w:space="0" w:color="FFFFFF"/>
              <w:left w:val="single" w:sz="4" w:space="0" w:color="FFFFFF"/>
              <w:bottom w:val="single" w:sz="4" w:space="0" w:color="FFFFFF"/>
              <w:right w:val="single" w:sz="4" w:space="0" w:color="FFFFFF"/>
            </w:tcBorders>
            <w:noWrap/>
            <w:vAlign w:val="bottom"/>
          </w:tcPr>
          <w:p w14:paraId="45C53454" w14:textId="527D9252" w:rsidR="0097577A" w:rsidRPr="00B93906" w:rsidRDefault="0097577A" w:rsidP="001E20FC">
            <w:pPr>
              <w:spacing w:before="0" w:after="0"/>
              <w:rPr>
                <w:szCs w:val="22"/>
                <w:lang w:val="en-US"/>
              </w:rPr>
            </w:pPr>
            <w:r w:rsidRPr="00B93906">
              <w:rPr>
                <w:szCs w:val="22"/>
                <w:lang w:val="en-US"/>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tcPr>
          <w:p w14:paraId="39755CE6" w14:textId="77777777" w:rsidR="0097577A" w:rsidRPr="00B93906" w:rsidRDefault="0097577A" w:rsidP="001E20FC">
            <w:pPr>
              <w:spacing w:before="0" w:after="0"/>
              <w:jc w:val="center"/>
              <w:rPr>
                <w:szCs w:val="22"/>
              </w:rPr>
            </w:pPr>
            <w:r w:rsidRPr="00B93906">
              <w:t>28</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tcPr>
          <w:p w14:paraId="6679A9FC" w14:textId="77777777" w:rsidR="0097577A" w:rsidRPr="00B93906" w:rsidRDefault="0097577A" w:rsidP="001E20FC">
            <w:pPr>
              <w:spacing w:before="0" w:after="0"/>
              <w:jc w:val="center"/>
              <w:rPr>
                <w:szCs w:val="22"/>
              </w:rPr>
            </w:pPr>
            <w:r w:rsidRPr="00B93906">
              <w:t>2</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tcPr>
          <w:p w14:paraId="647B1EDB" w14:textId="77777777" w:rsidR="0097577A" w:rsidRPr="00B93906" w:rsidRDefault="0097577A" w:rsidP="001E20FC">
            <w:pPr>
              <w:spacing w:before="0" w:after="0"/>
              <w:jc w:val="center"/>
              <w:rPr>
                <w:szCs w:val="22"/>
              </w:rPr>
            </w:pPr>
            <w:r w:rsidRPr="00B93906">
              <w:t>35</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tcPr>
          <w:p w14:paraId="625BB07E" w14:textId="77777777" w:rsidR="0097577A" w:rsidRPr="00B93906" w:rsidRDefault="0097577A" w:rsidP="001E20FC">
            <w:pPr>
              <w:spacing w:before="0" w:after="0"/>
              <w:jc w:val="center"/>
              <w:rPr>
                <w:szCs w:val="22"/>
              </w:rPr>
            </w:pPr>
            <w:r w:rsidRPr="00B93906">
              <w:t>22</w:t>
            </w:r>
          </w:p>
        </w:tc>
      </w:tr>
      <w:tr w:rsidR="0097577A" w:rsidRPr="00B93906" w14:paraId="64BDC7BB" w14:textId="77777777" w:rsidTr="0097577A">
        <w:trPr>
          <w:trHeight w:val="170"/>
          <w:jc w:val="center"/>
        </w:trPr>
        <w:tc>
          <w:tcPr>
            <w:tcW w:w="1051" w:type="dxa"/>
            <w:tcBorders>
              <w:top w:val="single" w:sz="4" w:space="0" w:color="FFFFFF"/>
              <w:left w:val="single" w:sz="4" w:space="0" w:color="FFFFFF"/>
              <w:bottom w:val="single" w:sz="4" w:space="0" w:color="FFFFFF"/>
              <w:right w:val="single" w:sz="4" w:space="0" w:color="FFFFFF"/>
            </w:tcBorders>
          </w:tcPr>
          <w:p w14:paraId="19A41487" w14:textId="616F40A7" w:rsidR="0097577A" w:rsidRPr="00B93906" w:rsidRDefault="0097577A" w:rsidP="001E20FC">
            <w:pPr>
              <w:spacing w:before="0" w:after="0"/>
              <w:rPr>
                <w:szCs w:val="22"/>
                <w:lang w:val="en-US"/>
              </w:rPr>
            </w:pPr>
            <w:r>
              <w:rPr>
                <w:szCs w:val="22"/>
                <w:lang w:val="en-US"/>
              </w:rPr>
              <w:t>NRM</w:t>
            </w:r>
          </w:p>
        </w:tc>
        <w:tc>
          <w:tcPr>
            <w:tcW w:w="2227" w:type="dxa"/>
            <w:tcBorders>
              <w:top w:val="single" w:sz="4" w:space="0" w:color="FFFFFF"/>
              <w:left w:val="single" w:sz="4" w:space="0" w:color="FFFFFF"/>
              <w:bottom w:val="single" w:sz="4" w:space="0" w:color="FFFFFF"/>
              <w:right w:val="single" w:sz="4" w:space="0" w:color="FFFFFF"/>
            </w:tcBorders>
            <w:noWrap/>
            <w:vAlign w:val="bottom"/>
          </w:tcPr>
          <w:p w14:paraId="6751AC95" w14:textId="175E59B4" w:rsidR="0097577A" w:rsidRPr="00B93906" w:rsidRDefault="0097577A" w:rsidP="001E20FC">
            <w:pPr>
              <w:spacing w:before="0" w:after="0"/>
              <w:rPr>
                <w:szCs w:val="22"/>
                <w:lang w:val="en-US"/>
              </w:rPr>
            </w:pPr>
            <w:r w:rsidRPr="00B93906">
              <w:rPr>
                <w:szCs w:val="22"/>
                <w:lang w:val="en-US"/>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92D050"/>
            <w:noWrap/>
          </w:tcPr>
          <w:p w14:paraId="4356C6BE" w14:textId="77777777" w:rsidR="0097577A" w:rsidRPr="00B93906" w:rsidRDefault="0097577A" w:rsidP="001E20FC">
            <w:pPr>
              <w:spacing w:before="0" w:after="0"/>
              <w:jc w:val="center"/>
              <w:rPr>
                <w:szCs w:val="22"/>
              </w:rPr>
            </w:pPr>
            <w:r w:rsidRPr="00B93906">
              <w:t>70</w:t>
            </w:r>
          </w:p>
        </w:tc>
        <w:tc>
          <w:tcPr>
            <w:tcW w:w="1540" w:type="dxa"/>
            <w:tcBorders>
              <w:top w:val="single" w:sz="4" w:space="0" w:color="FFFFFF"/>
              <w:left w:val="single" w:sz="4" w:space="0" w:color="FFFFFF"/>
              <w:bottom w:val="single" w:sz="4" w:space="0" w:color="FFFFFF"/>
              <w:right w:val="single" w:sz="4" w:space="0" w:color="FFFFFF"/>
            </w:tcBorders>
            <w:shd w:val="clear" w:color="auto" w:fill="FFCC00"/>
            <w:noWrap/>
          </w:tcPr>
          <w:p w14:paraId="73132F1A" w14:textId="77777777" w:rsidR="0097577A" w:rsidRPr="00B93906" w:rsidRDefault="0097577A" w:rsidP="001E20FC">
            <w:pPr>
              <w:spacing w:before="0" w:after="0"/>
              <w:jc w:val="center"/>
              <w:rPr>
                <w:szCs w:val="22"/>
              </w:rPr>
            </w:pPr>
            <w:r w:rsidRPr="00B93906">
              <w:t>38</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tcPr>
          <w:p w14:paraId="4202EE9C" w14:textId="77777777" w:rsidR="0097577A" w:rsidRPr="00B93906" w:rsidRDefault="0097577A" w:rsidP="001E20FC">
            <w:pPr>
              <w:spacing w:before="0" w:after="0"/>
              <w:jc w:val="center"/>
              <w:rPr>
                <w:szCs w:val="22"/>
              </w:rPr>
            </w:pPr>
            <w:r w:rsidRPr="00B93906">
              <w:t>54</w:t>
            </w:r>
          </w:p>
        </w:tc>
        <w:tc>
          <w:tcPr>
            <w:tcW w:w="1218" w:type="dxa"/>
            <w:tcBorders>
              <w:top w:val="single" w:sz="4" w:space="0" w:color="FFFFFF"/>
              <w:left w:val="single" w:sz="4" w:space="0" w:color="FFFFFF"/>
              <w:bottom w:val="single" w:sz="4" w:space="0" w:color="FFFFFF"/>
              <w:right w:val="single" w:sz="4" w:space="0" w:color="FFFFFF"/>
            </w:tcBorders>
            <w:shd w:val="clear" w:color="auto" w:fill="FFFF00"/>
            <w:noWrap/>
          </w:tcPr>
          <w:p w14:paraId="05889B63" w14:textId="77777777" w:rsidR="0097577A" w:rsidRPr="00B93906" w:rsidRDefault="0097577A" w:rsidP="001E20FC">
            <w:pPr>
              <w:spacing w:before="0" w:after="0"/>
              <w:jc w:val="center"/>
              <w:rPr>
                <w:szCs w:val="22"/>
              </w:rPr>
            </w:pPr>
            <w:r w:rsidRPr="00B93906">
              <w:t>54</w:t>
            </w:r>
          </w:p>
        </w:tc>
      </w:tr>
      <w:tr w:rsidR="0097577A" w:rsidRPr="00B93906" w14:paraId="09DA98D7" w14:textId="77777777" w:rsidTr="0097577A">
        <w:trPr>
          <w:trHeight w:val="170"/>
          <w:jc w:val="center"/>
        </w:trPr>
        <w:tc>
          <w:tcPr>
            <w:tcW w:w="1051" w:type="dxa"/>
            <w:tcBorders>
              <w:top w:val="single" w:sz="4" w:space="0" w:color="FFFFFF"/>
              <w:left w:val="single" w:sz="4" w:space="0" w:color="FFFFFF"/>
              <w:bottom w:val="single" w:sz="4" w:space="0" w:color="FFFFFF"/>
              <w:right w:val="single" w:sz="4" w:space="0" w:color="FFFFFF"/>
            </w:tcBorders>
          </w:tcPr>
          <w:p w14:paraId="0A19E8F5" w14:textId="77777777" w:rsidR="0097577A" w:rsidRPr="00B93906" w:rsidRDefault="0097577A" w:rsidP="001E20FC">
            <w:pPr>
              <w:spacing w:before="0" w:after="0"/>
              <w:rPr>
                <w:szCs w:val="22"/>
                <w:lang w:val="en-US"/>
              </w:rPr>
            </w:pPr>
          </w:p>
        </w:tc>
        <w:tc>
          <w:tcPr>
            <w:tcW w:w="2227" w:type="dxa"/>
            <w:tcBorders>
              <w:top w:val="single" w:sz="4" w:space="0" w:color="FFFFFF"/>
              <w:left w:val="single" w:sz="4" w:space="0" w:color="FFFFFF"/>
              <w:bottom w:val="single" w:sz="4" w:space="0" w:color="FFFFFF"/>
              <w:right w:val="single" w:sz="4" w:space="0" w:color="FFFFFF"/>
            </w:tcBorders>
            <w:noWrap/>
            <w:vAlign w:val="bottom"/>
          </w:tcPr>
          <w:p w14:paraId="5FA43590" w14:textId="46B4331E" w:rsidR="0097577A" w:rsidRPr="00B93906" w:rsidRDefault="0097577A" w:rsidP="001E20FC">
            <w:pPr>
              <w:spacing w:before="0" w:after="0"/>
              <w:rPr>
                <w:szCs w:val="22"/>
                <w:lang w:val="en-US"/>
              </w:rPr>
            </w:pPr>
            <w:r w:rsidRPr="00B93906">
              <w:rPr>
                <w:szCs w:val="22"/>
                <w:lang w:val="en-US"/>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tcPr>
          <w:p w14:paraId="39A7ACFB" w14:textId="77777777" w:rsidR="0097577A" w:rsidRPr="00B93906" w:rsidRDefault="0097577A" w:rsidP="001E20FC">
            <w:pPr>
              <w:spacing w:before="0" w:after="0"/>
              <w:jc w:val="center"/>
              <w:rPr>
                <w:szCs w:val="22"/>
              </w:rPr>
            </w:pPr>
            <w:r w:rsidRPr="00B93906">
              <w:t>36</w:t>
            </w:r>
          </w:p>
        </w:tc>
        <w:tc>
          <w:tcPr>
            <w:tcW w:w="1540" w:type="dxa"/>
            <w:tcBorders>
              <w:top w:val="single" w:sz="4" w:space="0" w:color="FFFFFF"/>
              <w:left w:val="single" w:sz="4" w:space="0" w:color="FFFFFF"/>
              <w:bottom w:val="single" w:sz="4" w:space="0" w:color="FFFFFF"/>
              <w:right w:val="single" w:sz="4" w:space="0" w:color="FFFFFF"/>
            </w:tcBorders>
            <w:shd w:val="clear" w:color="auto" w:fill="FFCC00"/>
            <w:noWrap/>
          </w:tcPr>
          <w:p w14:paraId="70A3E096" w14:textId="77777777" w:rsidR="0097577A" w:rsidRPr="00B93906" w:rsidRDefault="0097577A" w:rsidP="001E20FC">
            <w:pPr>
              <w:spacing w:before="0" w:after="0"/>
              <w:jc w:val="center"/>
              <w:rPr>
                <w:szCs w:val="22"/>
              </w:rPr>
            </w:pPr>
            <w:r w:rsidRPr="00B93906">
              <w:t>33</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tcPr>
          <w:p w14:paraId="59EBDEAA" w14:textId="77777777" w:rsidR="0097577A" w:rsidRPr="00B93906" w:rsidRDefault="0097577A" w:rsidP="001E20FC">
            <w:pPr>
              <w:spacing w:before="0" w:after="0"/>
              <w:jc w:val="center"/>
              <w:rPr>
                <w:szCs w:val="22"/>
              </w:rPr>
            </w:pPr>
            <w:r w:rsidRPr="00B93906">
              <w:t>34</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tcPr>
          <w:p w14:paraId="48CA097B" w14:textId="77777777" w:rsidR="0097577A" w:rsidRPr="00B93906" w:rsidRDefault="0097577A" w:rsidP="001E20FC">
            <w:pPr>
              <w:spacing w:before="0" w:after="0"/>
              <w:jc w:val="center"/>
              <w:rPr>
                <w:szCs w:val="22"/>
              </w:rPr>
            </w:pPr>
            <w:r w:rsidRPr="00B93906">
              <w:t>34</w:t>
            </w:r>
          </w:p>
        </w:tc>
      </w:tr>
      <w:tr w:rsidR="0097577A" w:rsidRPr="00B93906" w14:paraId="1D0311A8" w14:textId="77777777" w:rsidTr="0097577A">
        <w:trPr>
          <w:trHeight w:val="170"/>
          <w:jc w:val="center"/>
        </w:trPr>
        <w:tc>
          <w:tcPr>
            <w:tcW w:w="1051" w:type="dxa"/>
            <w:tcBorders>
              <w:top w:val="single" w:sz="4" w:space="0" w:color="FFFFFF"/>
              <w:left w:val="single" w:sz="4" w:space="0" w:color="FFFFFF"/>
              <w:bottom w:val="single" w:sz="4" w:space="0" w:color="FFFFFF"/>
              <w:right w:val="single" w:sz="4" w:space="0" w:color="FFFFFF"/>
            </w:tcBorders>
          </w:tcPr>
          <w:p w14:paraId="792BA1D1" w14:textId="77777777" w:rsidR="0097577A" w:rsidRPr="00B93906" w:rsidRDefault="0097577A" w:rsidP="001E20FC">
            <w:pPr>
              <w:spacing w:before="0" w:after="0"/>
              <w:rPr>
                <w:szCs w:val="22"/>
                <w:lang w:val="en-US"/>
              </w:rPr>
            </w:pPr>
          </w:p>
        </w:tc>
        <w:tc>
          <w:tcPr>
            <w:tcW w:w="2227" w:type="dxa"/>
            <w:tcBorders>
              <w:top w:val="single" w:sz="4" w:space="0" w:color="FFFFFF"/>
              <w:left w:val="single" w:sz="4" w:space="0" w:color="FFFFFF"/>
              <w:bottom w:val="single" w:sz="4" w:space="0" w:color="FFFFFF"/>
              <w:right w:val="single" w:sz="4" w:space="0" w:color="FFFFFF"/>
            </w:tcBorders>
            <w:noWrap/>
            <w:vAlign w:val="bottom"/>
          </w:tcPr>
          <w:p w14:paraId="22262BD3" w14:textId="1F0AB76D" w:rsidR="0097577A" w:rsidRPr="00B93906" w:rsidRDefault="0097577A" w:rsidP="001E20FC">
            <w:pPr>
              <w:spacing w:before="0" w:after="0"/>
              <w:rPr>
                <w:szCs w:val="22"/>
                <w:lang w:val="en-US"/>
              </w:rPr>
            </w:pPr>
            <w:r w:rsidRPr="00B93906">
              <w:rPr>
                <w:szCs w:val="22"/>
                <w:lang w:val="en-US"/>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tcPr>
          <w:p w14:paraId="2D6C0E94" w14:textId="77777777" w:rsidR="0097577A" w:rsidRPr="00B93906" w:rsidRDefault="0097577A" w:rsidP="001E20FC">
            <w:pPr>
              <w:spacing w:before="0" w:after="0"/>
              <w:jc w:val="center"/>
              <w:rPr>
                <w:szCs w:val="22"/>
              </w:rPr>
            </w:pPr>
            <w:r w:rsidRPr="00B93906">
              <w:t>27</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tcPr>
          <w:p w14:paraId="2577FDD6" w14:textId="77777777" w:rsidR="0097577A" w:rsidRPr="00B93906" w:rsidRDefault="0097577A" w:rsidP="001E20FC">
            <w:pPr>
              <w:spacing w:before="0" w:after="0"/>
              <w:jc w:val="center"/>
              <w:rPr>
                <w:szCs w:val="22"/>
              </w:rPr>
            </w:pPr>
            <w:r w:rsidRPr="00B93906">
              <w:t>0</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tcPr>
          <w:p w14:paraId="0751CBD2" w14:textId="77777777" w:rsidR="0097577A" w:rsidRPr="00B93906" w:rsidRDefault="0097577A" w:rsidP="001E20FC">
            <w:pPr>
              <w:spacing w:before="0" w:after="0"/>
              <w:jc w:val="center"/>
              <w:rPr>
                <w:szCs w:val="22"/>
              </w:rPr>
            </w:pPr>
            <w:r w:rsidRPr="00B93906">
              <w:t>44</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tcPr>
          <w:p w14:paraId="6804D8EE" w14:textId="77777777" w:rsidR="0097577A" w:rsidRPr="00B93906" w:rsidRDefault="0097577A" w:rsidP="001E20FC">
            <w:pPr>
              <w:spacing w:before="0" w:after="0"/>
              <w:jc w:val="center"/>
              <w:rPr>
                <w:szCs w:val="22"/>
              </w:rPr>
            </w:pPr>
            <w:r w:rsidRPr="00B93906">
              <w:t>24</w:t>
            </w:r>
          </w:p>
        </w:tc>
      </w:tr>
      <w:tr w:rsidR="0097577A" w:rsidRPr="00B93906" w14:paraId="643727C9" w14:textId="77777777" w:rsidTr="0097577A">
        <w:trPr>
          <w:trHeight w:val="170"/>
          <w:jc w:val="center"/>
        </w:trPr>
        <w:tc>
          <w:tcPr>
            <w:tcW w:w="1051" w:type="dxa"/>
            <w:tcBorders>
              <w:top w:val="single" w:sz="4" w:space="0" w:color="FFFFFF"/>
              <w:left w:val="single" w:sz="4" w:space="0" w:color="FFFFFF"/>
              <w:bottom w:val="single" w:sz="4" w:space="0" w:color="000000"/>
              <w:right w:val="single" w:sz="4" w:space="0" w:color="FFFFFF"/>
            </w:tcBorders>
          </w:tcPr>
          <w:p w14:paraId="05E07D77" w14:textId="77777777" w:rsidR="0097577A" w:rsidRPr="00B93906" w:rsidRDefault="0097577A" w:rsidP="001E20FC">
            <w:pPr>
              <w:spacing w:before="0" w:after="0"/>
              <w:rPr>
                <w:szCs w:val="22"/>
                <w:lang w:val="en-US"/>
              </w:rPr>
            </w:pPr>
          </w:p>
        </w:tc>
        <w:tc>
          <w:tcPr>
            <w:tcW w:w="2227" w:type="dxa"/>
            <w:tcBorders>
              <w:top w:val="single" w:sz="4" w:space="0" w:color="FFFFFF"/>
              <w:left w:val="single" w:sz="4" w:space="0" w:color="FFFFFF"/>
              <w:bottom w:val="single" w:sz="4" w:space="0" w:color="000000"/>
              <w:right w:val="single" w:sz="4" w:space="0" w:color="FFFFFF"/>
            </w:tcBorders>
            <w:noWrap/>
            <w:vAlign w:val="bottom"/>
          </w:tcPr>
          <w:p w14:paraId="19C922CA" w14:textId="19EBCB3C" w:rsidR="0097577A" w:rsidRPr="00B93906" w:rsidRDefault="0097577A" w:rsidP="001E20FC">
            <w:pPr>
              <w:spacing w:before="0" w:after="0"/>
              <w:rPr>
                <w:szCs w:val="22"/>
                <w:lang w:val="en-US"/>
              </w:rPr>
            </w:pPr>
            <w:r w:rsidRPr="00B93906">
              <w:rPr>
                <w:szCs w:val="22"/>
                <w:lang w:val="en-US"/>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CC00"/>
            <w:noWrap/>
          </w:tcPr>
          <w:p w14:paraId="5448612B" w14:textId="77777777" w:rsidR="0097577A" w:rsidRPr="00B93906" w:rsidRDefault="0097577A" w:rsidP="001E20FC">
            <w:pPr>
              <w:spacing w:before="0" w:after="0"/>
              <w:jc w:val="center"/>
              <w:rPr>
                <w:szCs w:val="22"/>
              </w:rPr>
            </w:pPr>
            <w:r w:rsidRPr="00B93906">
              <w:t>29</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tcPr>
          <w:p w14:paraId="77C49AE4" w14:textId="77777777" w:rsidR="0097577A" w:rsidRPr="00B93906" w:rsidRDefault="0097577A" w:rsidP="001E20FC">
            <w:pPr>
              <w:spacing w:before="0" w:after="0"/>
              <w:jc w:val="center"/>
              <w:rPr>
                <w:szCs w:val="22"/>
              </w:rPr>
            </w:pPr>
            <w:r w:rsidRPr="00B93906">
              <w:t>0</w:t>
            </w:r>
          </w:p>
        </w:tc>
        <w:tc>
          <w:tcPr>
            <w:tcW w:w="1666" w:type="dxa"/>
            <w:tcBorders>
              <w:top w:val="single" w:sz="4" w:space="0" w:color="FFFFFF"/>
              <w:left w:val="single" w:sz="4" w:space="0" w:color="FFFFFF"/>
              <w:bottom w:val="single" w:sz="4" w:space="0" w:color="000000"/>
              <w:right w:val="single" w:sz="4" w:space="0" w:color="FFFFFF"/>
            </w:tcBorders>
            <w:shd w:val="clear" w:color="auto" w:fill="FFCC00"/>
            <w:noWrap/>
          </w:tcPr>
          <w:p w14:paraId="4C7708B9" w14:textId="77777777" w:rsidR="0097577A" w:rsidRPr="00B93906" w:rsidRDefault="0097577A" w:rsidP="001E20FC">
            <w:pPr>
              <w:spacing w:before="0" w:after="0"/>
              <w:jc w:val="center"/>
              <w:rPr>
                <w:szCs w:val="22"/>
              </w:rPr>
            </w:pPr>
            <w:r w:rsidRPr="00B93906">
              <w:t>33</w:t>
            </w:r>
          </w:p>
        </w:tc>
        <w:tc>
          <w:tcPr>
            <w:tcW w:w="1218" w:type="dxa"/>
            <w:tcBorders>
              <w:top w:val="single" w:sz="4" w:space="0" w:color="FFFFFF"/>
              <w:left w:val="single" w:sz="4" w:space="0" w:color="FFFFFF"/>
              <w:bottom w:val="single" w:sz="4" w:space="0" w:color="000000"/>
              <w:right w:val="single" w:sz="4" w:space="0" w:color="FFFFFF"/>
            </w:tcBorders>
            <w:shd w:val="clear" w:color="auto" w:fill="FFCC00"/>
            <w:noWrap/>
          </w:tcPr>
          <w:p w14:paraId="0D9690A1" w14:textId="77777777" w:rsidR="0097577A" w:rsidRPr="00B93906" w:rsidRDefault="0097577A" w:rsidP="001E20FC">
            <w:pPr>
              <w:spacing w:before="0" w:after="0"/>
              <w:jc w:val="center"/>
              <w:rPr>
                <w:szCs w:val="22"/>
              </w:rPr>
            </w:pPr>
            <w:r w:rsidRPr="00B93906">
              <w:t>21</w:t>
            </w:r>
          </w:p>
        </w:tc>
      </w:tr>
      <w:tr w:rsidR="0097577A" w:rsidRPr="00B93906" w14:paraId="4AE3833E" w14:textId="77777777" w:rsidTr="0097577A">
        <w:trPr>
          <w:trHeight w:val="170"/>
          <w:jc w:val="center"/>
        </w:trPr>
        <w:tc>
          <w:tcPr>
            <w:tcW w:w="1051" w:type="dxa"/>
            <w:tcBorders>
              <w:top w:val="single" w:sz="4" w:space="0" w:color="000000"/>
              <w:left w:val="single" w:sz="4" w:space="0" w:color="FFFFFF"/>
              <w:bottom w:val="single" w:sz="4" w:space="0" w:color="000000"/>
              <w:right w:val="single" w:sz="4" w:space="0" w:color="FFFFFF"/>
            </w:tcBorders>
          </w:tcPr>
          <w:p w14:paraId="18932E98" w14:textId="041032CB" w:rsidR="0097577A" w:rsidRPr="00B93906" w:rsidRDefault="0097577A" w:rsidP="001E20FC">
            <w:pPr>
              <w:spacing w:before="0" w:after="0"/>
              <w:rPr>
                <w:b/>
                <w:szCs w:val="22"/>
                <w:lang w:val="en-US"/>
              </w:rPr>
            </w:pPr>
            <w:r>
              <w:rPr>
                <w:b/>
                <w:szCs w:val="22"/>
                <w:lang w:val="en-US"/>
              </w:rPr>
              <w:t>GBR</w:t>
            </w:r>
          </w:p>
        </w:tc>
        <w:tc>
          <w:tcPr>
            <w:tcW w:w="2227" w:type="dxa"/>
            <w:tcBorders>
              <w:top w:val="single" w:sz="4" w:space="0" w:color="000000"/>
              <w:left w:val="single" w:sz="4" w:space="0" w:color="FFFFFF"/>
              <w:bottom w:val="single" w:sz="4" w:space="0" w:color="000000"/>
              <w:right w:val="single" w:sz="4" w:space="0" w:color="FFFFFF"/>
            </w:tcBorders>
            <w:noWrap/>
            <w:vAlign w:val="bottom"/>
          </w:tcPr>
          <w:p w14:paraId="32FE25CF" w14:textId="5498FA44" w:rsidR="0097577A" w:rsidRPr="00B93906" w:rsidRDefault="0097577A" w:rsidP="001E20FC">
            <w:pPr>
              <w:spacing w:before="0" w:after="0"/>
              <w:rPr>
                <w:b/>
                <w:szCs w:val="22"/>
                <w:lang w:val="en-US"/>
              </w:rPr>
            </w:pPr>
            <w:r>
              <w:rPr>
                <w:b/>
                <w:szCs w:val="22"/>
                <w:lang w:val="en-US"/>
              </w:rPr>
              <w:t>Average</w:t>
            </w:r>
          </w:p>
        </w:tc>
        <w:tc>
          <w:tcPr>
            <w:tcW w:w="1362" w:type="dxa"/>
            <w:tcBorders>
              <w:top w:val="single" w:sz="4" w:space="0" w:color="000000"/>
              <w:left w:val="single" w:sz="4" w:space="0" w:color="FFFFFF"/>
              <w:bottom w:val="single" w:sz="4" w:space="0" w:color="000000"/>
              <w:right w:val="single" w:sz="4" w:space="0" w:color="FFFFFF"/>
            </w:tcBorders>
            <w:shd w:val="clear" w:color="auto" w:fill="FFFF00"/>
            <w:noWrap/>
          </w:tcPr>
          <w:p w14:paraId="5AFD3D3B" w14:textId="3787F43E" w:rsidR="0097577A" w:rsidRPr="00B93906" w:rsidRDefault="0097577A" w:rsidP="001E20FC">
            <w:pPr>
              <w:spacing w:before="0" w:after="0"/>
              <w:jc w:val="center"/>
              <w:rPr>
                <w:szCs w:val="22"/>
              </w:rPr>
            </w:pPr>
            <w:r>
              <w:t>46</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tcPr>
          <w:p w14:paraId="4022E1C4" w14:textId="037B12D7" w:rsidR="0097577A" w:rsidRPr="00B93906" w:rsidRDefault="0097577A" w:rsidP="001E20FC">
            <w:pPr>
              <w:spacing w:before="0" w:after="0"/>
              <w:jc w:val="center"/>
              <w:rPr>
                <w:szCs w:val="22"/>
              </w:rPr>
            </w:pPr>
            <w:r>
              <w:t>15</w:t>
            </w:r>
          </w:p>
        </w:tc>
        <w:tc>
          <w:tcPr>
            <w:tcW w:w="1666" w:type="dxa"/>
            <w:tcBorders>
              <w:top w:val="single" w:sz="4" w:space="0" w:color="000000"/>
              <w:left w:val="single" w:sz="4" w:space="0" w:color="FFFFFF"/>
              <w:bottom w:val="single" w:sz="4" w:space="0" w:color="000000"/>
              <w:right w:val="single" w:sz="4" w:space="0" w:color="FFFFFF"/>
            </w:tcBorders>
            <w:shd w:val="clear" w:color="auto" w:fill="FFFF00"/>
            <w:noWrap/>
          </w:tcPr>
          <w:p w14:paraId="153BF42C" w14:textId="77777777" w:rsidR="0097577A" w:rsidRPr="00B93906" w:rsidRDefault="0097577A" w:rsidP="001E20FC">
            <w:pPr>
              <w:spacing w:before="0" w:after="0"/>
              <w:jc w:val="center"/>
              <w:rPr>
                <w:szCs w:val="22"/>
              </w:rPr>
            </w:pPr>
            <w:r w:rsidRPr="00B93906">
              <w:t>43</w:t>
            </w:r>
          </w:p>
        </w:tc>
        <w:tc>
          <w:tcPr>
            <w:tcW w:w="1218" w:type="dxa"/>
            <w:tcBorders>
              <w:top w:val="single" w:sz="4" w:space="0" w:color="000000"/>
              <w:left w:val="single" w:sz="4" w:space="0" w:color="FFFFFF"/>
              <w:bottom w:val="single" w:sz="4" w:space="0" w:color="000000"/>
              <w:right w:val="single" w:sz="4" w:space="0" w:color="FFFFFF"/>
            </w:tcBorders>
            <w:shd w:val="clear" w:color="auto" w:fill="FFCC00"/>
            <w:noWrap/>
          </w:tcPr>
          <w:p w14:paraId="3812F8E7" w14:textId="64663BD6" w:rsidR="0097577A" w:rsidRPr="00B93906" w:rsidRDefault="0097577A" w:rsidP="001E20FC">
            <w:pPr>
              <w:spacing w:before="0" w:after="0"/>
              <w:jc w:val="center"/>
              <w:rPr>
                <w:szCs w:val="22"/>
              </w:rPr>
            </w:pPr>
            <w:r>
              <w:t>35</w:t>
            </w:r>
          </w:p>
        </w:tc>
      </w:tr>
    </w:tbl>
    <w:p w14:paraId="152ECCC0" w14:textId="77777777" w:rsidR="00C84483" w:rsidRDefault="00C84483" w:rsidP="00C84483"/>
    <w:p w14:paraId="3F719274" w14:textId="35D0D685" w:rsidR="00C84483" w:rsidRPr="008574EC" w:rsidRDefault="008574EC" w:rsidP="00C84483">
      <w:pPr>
        <w:rPr>
          <w:rFonts w:ascii="Arial" w:hAnsi="Arial" w:cs="Arial"/>
          <w:color w:val="333333"/>
          <w:sz w:val="18"/>
          <w:szCs w:val="18"/>
          <w:lang w:val="en"/>
        </w:rPr>
      </w:pPr>
      <w:r>
        <w:rPr>
          <w:color w:val="000000" w:themeColor="text1"/>
          <w:szCs w:val="22"/>
        </w:rPr>
        <w:t>In 2016</w:t>
      </w:r>
      <w:r>
        <w:rPr>
          <w:rFonts w:ascii="Arial" w:hAnsi="Arial" w:cs="Arial"/>
          <w:color w:val="333333"/>
          <w:sz w:val="18"/>
          <w:szCs w:val="18"/>
          <w:lang w:val="en"/>
        </w:rPr>
        <w:t>–</w:t>
      </w:r>
      <w:r w:rsidR="00C84483" w:rsidRPr="000467F0">
        <w:rPr>
          <w:color w:val="000000" w:themeColor="text1"/>
          <w:szCs w:val="22"/>
        </w:rPr>
        <w:t xml:space="preserve">17, the most significant environmental conditions affecting inshore seagrasses were </w:t>
      </w:r>
      <w:r>
        <w:rPr>
          <w:color w:val="000000" w:themeColor="text1"/>
          <w:szCs w:val="22"/>
        </w:rPr>
        <w:t>t</w:t>
      </w:r>
      <w:r w:rsidR="00C84483" w:rsidRPr="000467F0">
        <w:rPr>
          <w:color w:val="000000" w:themeColor="text1"/>
          <w:szCs w:val="22"/>
        </w:rPr>
        <w:t xml:space="preserve">ropical </w:t>
      </w:r>
      <w:r>
        <w:rPr>
          <w:color w:val="000000" w:themeColor="text1"/>
          <w:szCs w:val="22"/>
        </w:rPr>
        <w:t>c</w:t>
      </w:r>
      <w:r w:rsidR="00C84483" w:rsidRPr="000467F0">
        <w:rPr>
          <w:color w:val="000000" w:themeColor="text1"/>
          <w:szCs w:val="22"/>
        </w:rPr>
        <w:t>yclone Debbie, which crossed the coast near Airlie Beach in the Mackay Whitsunday</w:t>
      </w:r>
      <w:r w:rsidR="008F624A">
        <w:rPr>
          <w:color w:val="000000" w:themeColor="text1"/>
          <w:szCs w:val="22"/>
        </w:rPr>
        <w:t xml:space="preserve"> region</w:t>
      </w:r>
      <w:r w:rsidR="00C84483" w:rsidRPr="000467F0">
        <w:rPr>
          <w:color w:val="000000" w:themeColor="text1"/>
          <w:szCs w:val="22"/>
        </w:rPr>
        <w:t xml:space="preserve"> and a marine heatwave that affected all inshore seagrass meadows. T</w:t>
      </w:r>
      <w:r w:rsidR="00745844">
        <w:rPr>
          <w:color w:val="000000" w:themeColor="text1"/>
          <w:szCs w:val="22"/>
        </w:rPr>
        <w:t>ropic</w:t>
      </w:r>
      <w:r>
        <w:rPr>
          <w:color w:val="000000" w:themeColor="text1"/>
          <w:szCs w:val="22"/>
        </w:rPr>
        <w:t>al cyclone</w:t>
      </w:r>
      <w:r w:rsidR="00C84483" w:rsidRPr="000467F0">
        <w:rPr>
          <w:color w:val="000000" w:themeColor="text1"/>
          <w:szCs w:val="22"/>
        </w:rPr>
        <w:t xml:space="preserve"> Debbie directly impacted the shallow meadows of Ma</w:t>
      </w:r>
      <w:r w:rsidR="00B70684">
        <w:rPr>
          <w:color w:val="000000" w:themeColor="text1"/>
          <w:szCs w:val="22"/>
        </w:rPr>
        <w:t>ckay Whitsunday through bed shea</w:t>
      </w:r>
      <w:r w:rsidR="00C84483" w:rsidRPr="000467F0">
        <w:rPr>
          <w:color w:val="000000" w:themeColor="text1"/>
          <w:szCs w:val="22"/>
        </w:rPr>
        <w:t>r stress (physical disturbance), and from high and pulse</w:t>
      </w:r>
      <w:r w:rsidR="00C84483">
        <w:rPr>
          <w:color w:val="000000" w:themeColor="text1"/>
          <w:szCs w:val="22"/>
        </w:rPr>
        <w:t xml:space="preserve">d rainfall and river discharge </w:t>
      </w:r>
      <w:r w:rsidR="00C84483" w:rsidRPr="000467F0">
        <w:rPr>
          <w:color w:val="000000" w:themeColor="text1"/>
          <w:szCs w:val="22"/>
        </w:rPr>
        <w:t xml:space="preserve">in the Mackay Whitsunday basins, and the smaller rivers </w:t>
      </w:r>
      <w:r w:rsidR="00C84483">
        <w:rPr>
          <w:color w:val="000000" w:themeColor="text1"/>
          <w:szCs w:val="22"/>
        </w:rPr>
        <w:t xml:space="preserve">to the south </w:t>
      </w:r>
      <w:r w:rsidR="00C84483" w:rsidRPr="000467F0">
        <w:rPr>
          <w:color w:val="000000" w:themeColor="text1"/>
          <w:szCs w:val="22"/>
        </w:rPr>
        <w:t xml:space="preserve">in the </w:t>
      </w:r>
      <w:r w:rsidR="00C84483">
        <w:rPr>
          <w:color w:val="000000" w:themeColor="text1"/>
          <w:szCs w:val="22"/>
        </w:rPr>
        <w:t>Fitzroy and Burnett Mary regions</w:t>
      </w:r>
      <w:r w:rsidR="00C84483" w:rsidRPr="000467F0">
        <w:rPr>
          <w:color w:val="000000" w:themeColor="text1"/>
          <w:szCs w:val="22"/>
        </w:rPr>
        <w:t>. In the northern regions, discharge was below average. Despite this, seagrass meadows were exposed to turbid sediment laden waters for 90</w:t>
      </w:r>
      <w:r w:rsidR="008F624A">
        <w:rPr>
          <w:color w:val="000000" w:themeColor="text1"/>
          <w:szCs w:val="22"/>
        </w:rPr>
        <w:t> </w:t>
      </w:r>
      <w:r w:rsidR="00C84483" w:rsidRPr="000467F0">
        <w:rPr>
          <w:color w:val="000000" w:themeColor="text1"/>
          <w:szCs w:val="22"/>
        </w:rPr>
        <w:t>per</w:t>
      </w:r>
      <w:r w:rsidR="008F624A">
        <w:rPr>
          <w:color w:val="000000" w:themeColor="text1"/>
          <w:szCs w:val="22"/>
        </w:rPr>
        <w:t> </w:t>
      </w:r>
      <w:r w:rsidR="00C84483" w:rsidRPr="000467F0">
        <w:rPr>
          <w:color w:val="000000" w:themeColor="text1"/>
          <w:szCs w:val="22"/>
        </w:rPr>
        <w:t>cent of weeks</w:t>
      </w:r>
      <w:r w:rsidR="00C84483">
        <w:rPr>
          <w:color w:val="000000" w:themeColor="text1"/>
          <w:szCs w:val="22"/>
        </w:rPr>
        <w:t xml:space="preserve"> </w:t>
      </w:r>
      <w:r w:rsidR="00C84483" w:rsidRPr="000467F0">
        <w:rPr>
          <w:color w:val="000000" w:themeColor="text1"/>
          <w:szCs w:val="22"/>
        </w:rPr>
        <w:t>(equiv</w:t>
      </w:r>
      <w:r w:rsidR="00C84483">
        <w:rPr>
          <w:color w:val="000000" w:themeColor="text1"/>
          <w:szCs w:val="22"/>
        </w:rPr>
        <w:t>alent to the long-term average)</w:t>
      </w:r>
      <w:r w:rsidR="00C84483" w:rsidRPr="000467F0">
        <w:rPr>
          <w:color w:val="000000" w:themeColor="text1"/>
          <w:szCs w:val="22"/>
        </w:rPr>
        <w:t xml:space="preserve"> in </w:t>
      </w:r>
      <w:r w:rsidR="00C84483">
        <w:rPr>
          <w:color w:val="000000" w:themeColor="text1"/>
          <w:szCs w:val="22"/>
        </w:rPr>
        <w:t>December</w:t>
      </w:r>
      <w:r w:rsidR="00C84483" w:rsidRPr="000467F0">
        <w:rPr>
          <w:color w:val="000000" w:themeColor="text1"/>
          <w:szCs w:val="22"/>
        </w:rPr>
        <w:t xml:space="preserve"> to April</w:t>
      </w:r>
      <w:r w:rsidR="00C84483">
        <w:rPr>
          <w:color w:val="000000" w:themeColor="text1"/>
          <w:szCs w:val="22"/>
        </w:rPr>
        <w:t>. D</w:t>
      </w:r>
      <w:r w:rsidR="00C84483" w:rsidRPr="000467F0">
        <w:rPr>
          <w:color w:val="000000" w:themeColor="text1"/>
          <w:szCs w:val="22"/>
        </w:rPr>
        <w:t xml:space="preserve">aily </w:t>
      </w:r>
      <w:r w:rsidR="00C84483">
        <w:rPr>
          <w:color w:val="000000" w:themeColor="text1"/>
          <w:szCs w:val="22"/>
        </w:rPr>
        <w:t xml:space="preserve">benthic </w:t>
      </w:r>
      <w:r w:rsidR="00C84483" w:rsidRPr="000467F0">
        <w:rPr>
          <w:color w:val="000000" w:themeColor="text1"/>
          <w:szCs w:val="22"/>
        </w:rPr>
        <w:t>light (I</w:t>
      </w:r>
      <w:r w:rsidR="00C84483" w:rsidRPr="000467F0">
        <w:rPr>
          <w:color w:val="000000" w:themeColor="text1"/>
          <w:szCs w:val="22"/>
          <w:vertAlign w:val="subscript"/>
        </w:rPr>
        <w:t>d</w:t>
      </w:r>
      <w:r w:rsidR="00C84483">
        <w:rPr>
          <w:color w:val="000000" w:themeColor="text1"/>
          <w:szCs w:val="22"/>
        </w:rPr>
        <w:t>)</w:t>
      </w:r>
      <w:r w:rsidR="00C84483" w:rsidRPr="000467F0">
        <w:rPr>
          <w:color w:val="000000" w:themeColor="text1"/>
          <w:szCs w:val="22"/>
        </w:rPr>
        <w:t xml:space="preserve"> was lower than the long-term average at 17 out of 26 locations </w:t>
      </w:r>
      <w:r w:rsidR="00C84483">
        <w:rPr>
          <w:color w:val="000000" w:themeColor="text1"/>
          <w:szCs w:val="22"/>
        </w:rPr>
        <w:t>spanning all regions and habitats</w:t>
      </w:r>
      <w:r w:rsidR="00C84483" w:rsidRPr="000467F0">
        <w:rPr>
          <w:color w:val="000000" w:themeColor="text1"/>
          <w:szCs w:val="22"/>
        </w:rPr>
        <w:t xml:space="preserve">. </w:t>
      </w:r>
    </w:p>
    <w:p w14:paraId="030C4888" w14:textId="21AED45E" w:rsidR="00C84483" w:rsidRPr="008574EC" w:rsidRDefault="00970D64" w:rsidP="00C84483">
      <w:pPr>
        <w:rPr>
          <w:rFonts w:ascii="Arial" w:hAnsi="Arial" w:cs="Arial"/>
          <w:color w:val="333333"/>
          <w:sz w:val="18"/>
          <w:szCs w:val="18"/>
          <w:lang w:val="en"/>
        </w:rPr>
      </w:pPr>
      <w:r>
        <w:rPr>
          <w:color w:val="000000" w:themeColor="text1"/>
          <w:szCs w:val="22"/>
        </w:rPr>
        <w:t>A marine heat</w:t>
      </w:r>
      <w:r w:rsidR="00C84483" w:rsidRPr="00695E0D">
        <w:rPr>
          <w:color w:val="000000" w:themeColor="text1"/>
          <w:szCs w:val="22"/>
        </w:rPr>
        <w:t>wave in 2017 affected meadows of the inshore GBR resulting in within</w:t>
      </w:r>
      <w:r w:rsidR="008F624A">
        <w:rPr>
          <w:color w:val="000000" w:themeColor="text1"/>
          <w:szCs w:val="22"/>
        </w:rPr>
        <w:t>-</w:t>
      </w:r>
      <w:r w:rsidR="00C84483" w:rsidRPr="00695E0D">
        <w:rPr>
          <w:color w:val="000000" w:themeColor="text1"/>
          <w:szCs w:val="22"/>
        </w:rPr>
        <w:t xml:space="preserve">canopy temperatures that were above the long-term </w:t>
      </w:r>
      <w:r w:rsidR="00C84483">
        <w:rPr>
          <w:color w:val="000000" w:themeColor="text1"/>
          <w:szCs w:val="22"/>
        </w:rPr>
        <w:t xml:space="preserve">(11-year) </w:t>
      </w:r>
      <w:r w:rsidR="00C84483" w:rsidRPr="00695E0D">
        <w:rPr>
          <w:color w:val="000000" w:themeColor="text1"/>
          <w:szCs w:val="22"/>
        </w:rPr>
        <w:t xml:space="preserve">average in all regions. </w:t>
      </w:r>
      <w:r w:rsidR="00C84483">
        <w:rPr>
          <w:color w:val="000000" w:themeColor="text1"/>
          <w:szCs w:val="22"/>
        </w:rPr>
        <w:t>Furthermore, h</w:t>
      </w:r>
      <w:r w:rsidR="00C84483" w:rsidRPr="00695E0D">
        <w:rPr>
          <w:color w:val="000000" w:themeColor="text1"/>
          <w:szCs w:val="22"/>
        </w:rPr>
        <w:t>igh water temperatures (&gt;35°C) were exceeded for a record number of days in all regions except the Burnett</w:t>
      </w:r>
      <w:r w:rsidR="008574EC">
        <w:rPr>
          <w:rFonts w:ascii="Arial" w:hAnsi="Arial" w:cs="Arial"/>
          <w:color w:val="333333"/>
          <w:sz w:val="18"/>
          <w:szCs w:val="18"/>
          <w:lang w:val="en"/>
        </w:rPr>
        <w:t>–</w:t>
      </w:r>
      <w:r w:rsidR="00C84483" w:rsidRPr="00695E0D">
        <w:rPr>
          <w:color w:val="000000" w:themeColor="text1"/>
          <w:szCs w:val="22"/>
        </w:rPr>
        <w:t>Mary, which had the second highest number of high water temperature days (the highest being in the previous year</w:t>
      </w:r>
      <w:r w:rsidR="00C84483" w:rsidRPr="00FC42B4">
        <w:rPr>
          <w:color w:val="000000" w:themeColor="text1"/>
          <w:szCs w:val="22"/>
        </w:rPr>
        <w:t xml:space="preserve">). </w:t>
      </w:r>
      <w:r w:rsidR="00C84483">
        <w:rPr>
          <w:color w:val="000000" w:themeColor="text1"/>
          <w:szCs w:val="22"/>
        </w:rPr>
        <w:t>The region most severely affected was the Fitzroy, which was 2.1</w:t>
      </w:r>
      <w:r w:rsidR="00C84483" w:rsidRPr="00695E0D">
        <w:rPr>
          <w:color w:val="000000" w:themeColor="text1"/>
          <w:szCs w:val="22"/>
        </w:rPr>
        <w:t>°C</w:t>
      </w:r>
      <w:r w:rsidR="00C84483">
        <w:rPr>
          <w:color w:val="000000" w:themeColor="text1"/>
          <w:szCs w:val="22"/>
        </w:rPr>
        <w:t xml:space="preserve"> above the long-term average</w:t>
      </w:r>
      <w:r w:rsidR="000A2C40">
        <w:rPr>
          <w:color w:val="000000" w:themeColor="text1"/>
          <w:szCs w:val="22"/>
        </w:rPr>
        <w:t xml:space="preserve"> within seagrass meadows</w:t>
      </w:r>
      <w:r w:rsidR="00C84483">
        <w:rPr>
          <w:color w:val="000000" w:themeColor="text1"/>
          <w:szCs w:val="22"/>
        </w:rPr>
        <w:t xml:space="preserve">, and with 70 </w:t>
      </w:r>
      <w:r w:rsidR="001F7CC9">
        <w:rPr>
          <w:color w:val="000000" w:themeColor="text1"/>
          <w:szCs w:val="22"/>
        </w:rPr>
        <w:t xml:space="preserve">days of </w:t>
      </w:r>
      <w:r w:rsidR="00C84483">
        <w:rPr>
          <w:color w:val="000000" w:themeColor="text1"/>
          <w:szCs w:val="22"/>
        </w:rPr>
        <w:t>high water temp</w:t>
      </w:r>
      <w:r w:rsidR="001F7CC9">
        <w:rPr>
          <w:color w:val="000000" w:themeColor="text1"/>
          <w:szCs w:val="22"/>
        </w:rPr>
        <w:t>erature</w:t>
      </w:r>
      <w:r w:rsidR="00C84483">
        <w:rPr>
          <w:color w:val="000000" w:themeColor="text1"/>
          <w:szCs w:val="22"/>
        </w:rPr>
        <w:t xml:space="preserve">. </w:t>
      </w:r>
      <w:r w:rsidR="00C84483" w:rsidRPr="00FC42B4">
        <w:rPr>
          <w:color w:val="000000" w:themeColor="text1"/>
          <w:szCs w:val="22"/>
        </w:rPr>
        <w:t>This is the second y</w:t>
      </w:r>
      <w:r>
        <w:rPr>
          <w:color w:val="000000" w:themeColor="text1"/>
          <w:szCs w:val="22"/>
        </w:rPr>
        <w:t>ear in a row that a marine heat</w:t>
      </w:r>
      <w:r w:rsidR="00C84483" w:rsidRPr="00FC42B4">
        <w:rPr>
          <w:color w:val="000000" w:themeColor="text1"/>
          <w:szCs w:val="22"/>
        </w:rPr>
        <w:t xml:space="preserve">wave has affected the inshore GBR. These high and sustained water temperatures were likely to have a chronic impact on seagrass meadow condition, particularly </w:t>
      </w:r>
      <w:r w:rsidR="00C84483">
        <w:rPr>
          <w:color w:val="000000" w:themeColor="text1"/>
          <w:szCs w:val="22"/>
        </w:rPr>
        <w:t xml:space="preserve">in </w:t>
      </w:r>
      <w:r w:rsidR="00C84483" w:rsidRPr="00FC42B4">
        <w:rPr>
          <w:color w:val="000000" w:themeColor="text1"/>
          <w:szCs w:val="22"/>
        </w:rPr>
        <w:t xml:space="preserve">meadows </w:t>
      </w:r>
      <w:r w:rsidR="00C84483">
        <w:rPr>
          <w:color w:val="000000" w:themeColor="text1"/>
          <w:szCs w:val="22"/>
        </w:rPr>
        <w:t>dominated by</w:t>
      </w:r>
      <w:r w:rsidR="00C84483" w:rsidRPr="00FC42B4">
        <w:rPr>
          <w:color w:val="000000" w:themeColor="text1"/>
          <w:szCs w:val="22"/>
        </w:rPr>
        <w:t xml:space="preserve"> the heat sensitive </w:t>
      </w:r>
      <w:r w:rsidR="00C84483" w:rsidRPr="00FC42B4">
        <w:rPr>
          <w:i/>
          <w:color w:val="000000" w:themeColor="text1"/>
          <w:szCs w:val="22"/>
        </w:rPr>
        <w:t>Z. muelleri</w:t>
      </w:r>
      <w:r w:rsidR="00C84483">
        <w:rPr>
          <w:color w:val="000000" w:themeColor="text1"/>
          <w:szCs w:val="22"/>
        </w:rPr>
        <w:t xml:space="preserve"> or meadows that are at risk of light limitation</w:t>
      </w:r>
      <w:r w:rsidR="000A2C40">
        <w:rPr>
          <w:color w:val="000000" w:themeColor="text1"/>
          <w:szCs w:val="22"/>
        </w:rPr>
        <w:t xml:space="preserve"> including subtidal habitats and estuarine habitats</w:t>
      </w:r>
      <w:r w:rsidR="00C84483">
        <w:rPr>
          <w:color w:val="000000" w:themeColor="text1"/>
          <w:szCs w:val="22"/>
        </w:rPr>
        <w:t xml:space="preserve">. </w:t>
      </w:r>
    </w:p>
    <w:p w14:paraId="09473B76" w14:textId="620400BB" w:rsidR="00C84483" w:rsidRPr="008574EC" w:rsidRDefault="00B07352" w:rsidP="008574EC">
      <w:pPr>
        <w:rPr>
          <w:rFonts w:ascii="Arial" w:hAnsi="Arial" w:cs="Arial"/>
          <w:color w:val="333333"/>
          <w:sz w:val="18"/>
          <w:szCs w:val="18"/>
          <w:lang w:val="en"/>
        </w:rPr>
      </w:pPr>
      <w:r>
        <w:rPr>
          <w:color w:val="000000" w:themeColor="text1"/>
          <w:szCs w:val="22"/>
        </w:rPr>
        <w:t>Seagrass a</w:t>
      </w:r>
      <w:r w:rsidR="00C84483">
        <w:rPr>
          <w:color w:val="000000" w:themeColor="text1"/>
          <w:szCs w:val="22"/>
        </w:rPr>
        <w:t xml:space="preserve">bundance </w:t>
      </w:r>
      <w:r>
        <w:rPr>
          <w:color w:val="000000" w:themeColor="text1"/>
          <w:szCs w:val="22"/>
        </w:rPr>
        <w:t>(per</w:t>
      </w:r>
      <w:r w:rsidR="00970D64">
        <w:rPr>
          <w:color w:val="000000" w:themeColor="text1"/>
          <w:szCs w:val="22"/>
        </w:rPr>
        <w:t xml:space="preserve"> </w:t>
      </w:r>
      <w:r>
        <w:rPr>
          <w:color w:val="000000" w:themeColor="text1"/>
          <w:szCs w:val="22"/>
        </w:rPr>
        <w:t xml:space="preserve">cent cover) </w:t>
      </w:r>
      <w:r w:rsidR="00C84483">
        <w:rPr>
          <w:color w:val="000000" w:themeColor="text1"/>
          <w:szCs w:val="22"/>
        </w:rPr>
        <w:t xml:space="preserve">was rated as being in a </w:t>
      </w:r>
      <w:r w:rsidR="00C84483" w:rsidRPr="001B05F3">
        <w:rPr>
          <w:color w:val="000000" w:themeColor="text1"/>
          <w:szCs w:val="22"/>
        </w:rPr>
        <w:t>poor</w:t>
      </w:r>
      <w:r w:rsidR="00C84483">
        <w:rPr>
          <w:color w:val="000000" w:themeColor="text1"/>
          <w:szCs w:val="22"/>
        </w:rPr>
        <w:t xml:space="preserve"> condition in all regions except the Burdekin where abundance increased to </w:t>
      </w:r>
      <w:r w:rsidR="00C84483" w:rsidRPr="001B05F3">
        <w:rPr>
          <w:color w:val="000000" w:themeColor="text1"/>
          <w:szCs w:val="22"/>
        </w:rPr>
        <w:t>good</w:t>
      </w:r>
      <w:r w:rsidR="00C84483">
        <w:rPr>
          <w:color w:val="000000" w:themeColor="text1"/>
          <w:szCs w:val="22"/>
        </w:rPr>
        <w:t xml:space="preserve">. </w:t>
      </w:r>
      <w:r>
        <w:rPr>
          <w:color w:val="000000" w:themeColor="text1"/>
          <w:szCs w:val="22"/>
        </w:rPr>
        <w:t>A</w:t>
      </w:r>
      <w:r w:rsidR="00C84483">
        <w:rPr>
          <w:color w:val="000000" w:themeColor="text1"/>
          <w:szCs w:val="22"/>
        </w:rPr>
        <w:t>bundance scores recovered to pre-2009 levels in 2015</w:t>
      </w:r>
      <w:r w:rsidR="008574EC">
        <w:rPr>
          <w:rFonts w:ascii="Arial" w:hAnsi="Arial" w:cs="Arial"/>
          <w:color w:val="333333"/>
          <w:sz w:val="18"/>
          <w:szCs w:val="18"/>
          <w:lang w:val="en"/>
        </w:rPr>
        <w:t>–</w:t>
      </w:r>
      <w:r w:rsidR="00C84483">
        <w:rPr>
          <w:color w:val="000000" w:themeColor="text1"/>
          <w:szCs w:val="22"/>
        </w:rPr>
        <w:t>16 in Cape York, Mackay Whitsunday and Burnett Mary regions but the rating declined slightly from moderate to poor in 2016</w:t>
      </w:r>
      <w:r w:rsidR="008574EC">
        <w:rPr>
          <w:rFonts w:ascii="Arial" w:hAnsi="Arial" w:cs="Arial"/>
          <w:color w:val="333333"/>
          <w:sz w:val="18"/>
          <w:szCs w:val="18"/>
          <w:lang w:val="en"/>
        </w:rPr>
        <w:t>–</w:t>
      </w:r>
      <w:r w:rsidR="00C84483">
        <w:rPr>
          <w:color w:val="000000" w:themeColor="text1"/>
          <w:szCs w:val="22"/>
        </w:rPr>
        <w:t xml:space="preserve">17. In the Burdekin, the score increased to a good rating for the first time since 2005. By contrast, the Wet Tropics and Fitzroy regions have displayed protracted recovery of abundance and remain in poor condition. Notable increases occurred at coastal habitat in the Wet Tropics (Yule Point and Lugger Bay), Burdekin (Bushland Beach and Shelley beach, and Barratta Creek) and the Fitzroy (Shoalwater Bay), while Midge Point in the Mackay Whitsunday declined immediately after </w:t>
      </w:r>
      <w:r w:rsidR="008574EC">
        <w:rPr>
          <w:color w:val="000000" w:themeColor="text1"/>
          <w:szCs w:val="22"/>
        </w:rPr>
        <w:t>tropical cyclone</w:t>
      </w:r>
      <w:r w:rsidR="00C84483">
        <w:rPr>
          <w:color w:val="000000" w:themeColor="text1"/>
          <w:szCs w:val="22"/>
        </w:rPr>
        <w:t xml:space="preserve"> Debbie. Reef intertidal habitats were relatively unchanged throughout the GBR, but declined in the Mackay Whitsunday</w:t>
      </w:r>
      <w:r w:rsidR="008F624A">
        <w:rPr>
          <w:color w:val="000000" w:themeColor="text1"/>
          <w:szCs w:val="22"/>
        </w:rPr>
        <w:t xml:space="preserve"> region</w:t>
      </w:r>
      <w:r w:rsidR="00C84483">
        <w:rPr>
          <w:color w:val="000000" w:themeColor="text1"/>
          <w:szCs w:val="22"/>
        </w:rPr>
        <w:t xml:space="preserve"> at Hamilton Island </w:t>
      </w:r>
      <w:r w:rsidR="008F624A">
        <w:rPr>
          <w:color w:val="000000" w:themeColor="text1"/>
          <w:szCs w:val="22"/>
        </w:rPr>
        <w:t>as a consequence of</w:t>
      </w:r>
      <w:r w:rsidR="00C84483">
        <w:rPr>
          <w:color w:val="000000" w:themeColor="text1"/>
          <w:szCs w:val="22"/>
        </w:rPr>
        <w:t xml:space="preserve"> </w:t>
      </w:r>
      <w:r w:rsidR="008574EC">
        <w:rPr>
          <w:color w:val="000000" w:themeColor="text1"/>
          <w:szCs w:val="22"/>
        </w:rPr>
        <w:t>tropical cyclone</w:t>
      </w:r>
      <w:r w:rsidR="00C84483">
        <w:rPr>
          <w:color w:val="000000" w:themeColor="text1"/>
          <w:szCs w:val="22"/>
        </w:rPr>
        <w:t xml:space="preserve"> Debbie. By contrast, abundance declined in the estuarine habitat (due to large losses at Sarina Inlet and Gladstone Harbour) and reef subtidal habitats (due to losses in all Wet Tropics sites). While abundance has declined overall in 2016</w:t>
      </w:r>
      <w:r w:rsidR="008574EC">
        <w:rPr>
          <w:rFonts w:ascii="Arial" w:hAnsi="Arial" w:cs="Arial"/>
          <w:color w:val="333333"/>
          <w:sz w:val="18"/>
          <w:szCs w:val="18"/>
          <w:lang w:val="en"/>
        </w:rPr>
        <w:t>–</w:t>
      </w:r>
      <w:r w:rsidR="00C84483">
        <w:rPr>
          <w:color w:val="000000" w:themeColor="text1"/>
          <w:szCs w:val="22"/>
        </w:rPr>
        <w:t xml:space="preserve">17, the proportion of colonising species and the relative extent of the seagrass meadows has remained relatively unchanged </w:t>
      </w:r>
      <w:r>
        <w:rPr>
          <w:color w:val="000000" w:themeColor="text1"/>
          <w:szCs w:val="22"/>
        </w:rPr>
        <w:t xml:space="preserve">(with some exceptions) </w:t>
      </w:r>
      <w:r w:rsidR="00C84483">
        <w:rPr>
          <w:color w:val="000000" w:themeColor="text1"/>
          <w:szCs w:val="22"/>
        </w:rPr>
        <w:t xml:space="preserve">indicating that these losses of abundance could be </w:t>
      </w:r>
      <w:r w:rsidR="00D667C0">
        <w:rPr>
          <w:color w:val="000000" w:themeColor="text1"/>
          <w:szCs w:val="22"/>
        </w:rPr>
        <w:t xml:space="preserve">within the range of </w:t>
      </w:r>
      <w:r w:rsidR="00E76D28">
        <w:rPr>
          <w:color w:val="000000" w:themeColor="text1"/>
          <w:szCs w:val="22"/>
        </w:rPr>
        <w:t>inter-</w:t>
      </w:r>
      <w:r w:rsidR="00D667C0">
        <w:rPr>
          <w:color w:val="000000" w:themeColor="text1"/>
          <w:szCs w:val="22"/>
        </w:rPr>
        <w:t xml:space="preserve">annual </w:t>
      </w:r>
      <w:r w:rsidR="00C84483">
        <w:rPr>
          <w:color w:val="000000" w:themeColor="text1"/>
          <w:szCs w:val="22"/>
        </w:rPr>
        <w:t xml:space="preserve">perturbations. </w:t>
      </w:r>
    </w:p>
    <w:p w14:paraId="0CC0DE3D" w14:textId="7432F5BC" w:rsidR="00C84483" w:rsidRPr="008574EC" w:rsidRDefault="00C84483" w:rsidP="008574EC">
      <w:pPr>
        <w:rPr>
          <w:rFonts w:ascii="Arial" w:hAnsi="Arial" w:cs="Arial"/>
          <w:color w:val="333333"/>
          <w:sz w:val="18"/>
          <w:szCs w:val="18"/>
          <w:lang w:val="en"/>
        </w:rPr>
      </w:pPr>
      <w:r>
        <w:rPr>
          <w:color w:val="000000" w:themeColor="text1"/>
          <w:szCs w:val="22"/>
        </w:rPr>
        <w:t>Seagrass</w:t>
      </w:r>
      <w:r w:rsidRPr="001B05F3">
        <w:rPr>
          <w:color w:val="000000" w:themeColor="text1"/>
          <w:szCs w:val="22"/>
        </w:rPr>
        <w:t xml:space="preserve"> resilience includes </w:t>
      </w:r>
      <w:r>
        <w:rPr>
          <w:color w:val="000000" w:themeColor="text1"/>
          <w:szCs w:val="22"/>
        </w:rPr>
        <w:t>its</w:t>
      </w:r>
      <w:r w:rsidRPr="001B05F3">
        <w:rPr>
          <w:color w:val="000000" w:themeColor="text1"/>
          <w:szCs w:val="22"/>
        </w:rPr>
        <w:t xml:space="preserve"> capacity </w:t>
      </w:r>
      <w:r>
        <w:rPr>
          <w:color w:val="000000" w:themeColor="text1"/>
          <w:szCs w:val="22"/>
        </w:rPr>
        <w:t>to resist disturbance (‘resistance’</w:t>
      </w:r>
      <w:r w:rsidRPr="001B05F3">
        <w:rPr>
          <w:color w:val="000000" w:themeColor="text1"/>
          <w:szCs w:val="22"/>
        </w:rPr>
        <w:t>) and</w:t>
      </w:r>
      <w:r>
        <w:rPr>
          <w:color w:val="000000" w:themeColor="text1"/>
          <w:szCs w:val="22"/>
        </w:rPr>
        <w:t xml:space="preserve"> to recover to a stable state (‘recovery’</w:t>
      </w:r>
      <w:r w:rsidRPr="001B05F3">
        <w:rPr>
          <w:color w:val="000000" w:themeColor="text1"/>
          <w:szCs w:val="22"/>
        </w:rPr>
        <w:t xml:space="preserve">), </w:t>
      </w:r>
      <w:r w:rsidR="00024100">
        <w:rPr>
          <w:color w:val="000000" w:themeColor="text1"/>
          <w:szCs w:val="22"/>
        </w:rPr>
        <w:t xml:space="preserve">in other words, </w:t>
      </w:r>
      <w:r w:rsidR="00E76D28">
        <w:rPr>
          <w:color w:val="000000" w:themeColor="text1"/>
          <w:szCs w:val="22"/>
        </w:rPr>
        <w:t xml:space="preserve">to </w:t>
      </w:r>
      <w:r w:rsidRPr="001B05F3">
        <w:rPr>
          <w:color w:val="000000" w:themeColor="text1"/>
          <w:szCs w:val="22"/>
        </w:rPr>
        <w:t>maintain function when affected by disturbances (</w:t>
      </w:r>
      <w:r w:rsidRPr="001B05F3">
        <w:rPr>
          <w:color w:val="000000" w:themeColor="text1"/>
          <w:szCs w:val="22"/>
        </w:rPr>
        <w:fldChar w:fldCharType="begin">
          <w:fldData xml:space="preserve">PEVuZE5vdGU+PENpdGU+PEF1dGhvcj5Gb2xrZTwvQXV0aG9yPjxZZWFyPjIwMDQ8L1llYXI+PFJl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</w:fldData>
        </w:fldChar>
      </w:r>
      <w:r w:rsidRPr="001B05F3">
        <w:rPr>
          <w:color w:val="000000" w:themeColor="text1"/>
          <w:szCs w:val="22"/>
        </w:rPr>
        <w:instrText xml:space="preserve"> ADDIN EN.CITE </w:instrText>
      </w:r>
      <w:r w:rsidRPr="001B05F3">
        <w:rPr>
          <w:color w:val="000000" w:themeColor="text1"/>
          <w:szCs w:val="22"/>
        </w:rPr>
        <w:fldChar w:fldCharType="begin">
          <w:fldData xml:space="preserve">PEVuZE5vdGU+PENpdGU+PEF1dGhvcj5Gb2xrZTwvQXV0aG9yPjxZZWFyPjIwMDQ8L1llYXI+PFJl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</w:fldData>
        </w:fldChar>
      </w:r>
      <w:r w:rsidRPr="001B05F3">
        <w:rPr>
          <w:color w:val="000000" w:themeColor="text1"/>
          <w:szCs w:val="22"/>
        </w:rPr>
        <w:instrText xml:space="preserve"> ADDIN EN.CITE.DATA </w:instrText>
      </w:r>
      <w:r w:rsidRPr="001B05F3">
        <w:rPr>
          <w:color w:val="000000" w:themeColor="text1"/>
          <w:szCs w:val="22"/>
        </w:rPr>
      </w:r>
      <w:r w:rsidRPr="001B05F3">
        <w:rPr>
          <w:color w:val="000000" w:themeColor="text1"/>
          <w:szCs w:val="22"/>
        </w:rPr>
        <w:fldChar w:fldCharType="end"/>
      </w:r>
      <w:r w:rsidRPr="001B05F3">
        <w:rPr>
          <w:color w:val="000000" w:themeColor="text1"/>
          <w:szCs w:val="22"/>
        </w:rPr>
      </w:r>
      <w:r w:rsidRPr="001B05F3">
        <w:rPr>
          <w:color w:val="000000" w:themeColor="text1"/>
          <w:szCs w:val="22"/>
        </w:rPr>
        <w:fldChar w:fldCharType="separate"/>
      </w:r>
      <w:hyperlink w:anchor="_ENREF_92" w:tooltip="Folke, 2004 #9779" w:history="1">
        <w:r w:rsidR="00305FE7" w:rsidRPr="001B05F3">
          <w:rPr>
            <w:noProof/>
            <w:color w:val="000000" w:themeColor="text1"/>
            <w:szCs w:val="22"/>
          </w:rPr>
          <w:t>Folke</w:t>
        </w:r>
        <w:r w:rsidR="00305FE7" w:rsidRPr="001B05F3">
          <w:rPr>
            <w:i/>
            <w:noProof/>
            <w:color w:val="000000" w:themeColor="text1"/>
            <w:szCs w:val="22"/>
          </w:rPr>
          <w:t xml:space="preserve"> et al.</w:t>
        </w:r>
        <w:r w:rsidR="00305FE7" w:rsidRPr="001B05F3">
          <w:rPr>
            <w:noProof/>
            <w:color w:val="000000" w:themeColor="text1"/>
            <w:szCs w:val="22"/>
          </w:rPr>
          <w:t xml:space="preserve"> 2004</w:t>
        </w:r>
      </w:hyperlink>
      <w:r w:rsidRPr="001B05F3">
        <w:rPr>
          <w:noProof/>
          <w:color w:val="000000" w:themeColor="text1"/>
          <w:szCs w:val="22"/>
        </w:rPr>
        <w:t xml:space="preserve">; </w:t>
      </w:r>
      <w:hyperlink w:anchor="_ENREF_12" w:tooltip="Bernhardt, 2013 #9778" w:history="1">
        <w:r w:rsidR="00305FE7" w:rsidRPr="001B05F3">
          <w:rPr>
            <w:noProof/>
            <w:color w:val="000000" w:themeColor="text1"/>
            <w:szCs w:val="22"/>
          </w:rPr>
          <w:t>Bernhardt and Leslie 2013</w:t>
        </w:r>
      </w:hyperlink>
      <w:r w:rsidRPr="001B05F3">
        <w:rPr>
          <w:noProof/>
          <w:color w:val="000000" w:themeColor="text1"/>
          <w:szCs w:val="22"/>
        </w:rPr>
        <w:t xml:space="preserve">; </w:t>
      </w:r>
      <w:hyperlink w:anchor="_ENREF_225" w:tooltip="Unsworth, 2015 #10447" w:history="1">
        <w:r w:rsidR="00305FE7" w:rsidRPr="001B05F3">
          <w:rPr>
            <w:noProof/>
            <w:color w:val="000000" w:themeColor="text1"/>
            <w:szCs w:val="22"/>
          </w:rPr>
          <w:t>Unsworth</w:t>
        </w:r>
        <w:r w:rsidR="00305FE7" w:rsidRPr="001B05F3">
          <w:rPr>
            <w:i/>
            <w:noProof/>
            <w:color w:val="000000" w:themeColor="text1"/>
            <w:szCs w:val="22"/>
          </w:rPr>
          <w:t xml:space="preserve"> et al.</w:t>
        </w:r>
        <w:r w:rsidR="00305FE7" w:rsidRPr="001B05F3">
          <w:rPr>
            <w:noProof/>
            <w:color w:val="000000" w:themeColor="text1"/>
            <w:szCs w:val="22"/>
          </w:rPr>
          <w:t xml:space="preserve"> 2015</w:t>
        </w:r>
      </w:hyperlink>
      <w:r w:rsidRPr="001B05F3">
        <w:rPr>
          <w:color w:val="000000" w:themeColor="text1"/>
          <w:szCs w:val="22"/>
        </w:rPr>
        <w:fldChar w:fldCharType="end"/>
      </w:r>
      <w:r w:rsidRPr="001B05F3">
        <w:rPr>
          <w:color w:val="000000" w:themeColor="text1"/>
          <w:szCs w:val="22"/>
        </w:rPr>
        <w:t>).</w:t>
      </w:r>
      <w:r>
        <w:rPr>
          <w:color w:val="000000" w:themeColor="text1"/>
          <w:szCs w:val="22"/>
        </w:rPr>
        <w:t xml:space="preserve"> </w:t>
      </w:r>
      <w:r w:rsidRPr="001B05F3">
        <w:rPr>
          <w:color w:val="000000" w:themeColor="text1"/>
          <w:szCs w:val="22"/>
        </w:rPr>
        <w:t xml:space="preserve">Reproductive effort </w:t>
      </w:r>
      <w:r>
        <w:rPr>
          <w:color w:val="000000" w:themeColor="text1"/>
          <w:szCs w:val="22"/>
        </w:rPr>
        <w:t xml:space="preserve">is a measure of resilience </w:t>
      </w:r>
      <w:r w:rsidR="004631FA">
        <w:rPr>
          <w:color w:val="000000" w:themeColor="text1"/>
          <w:szCs w:val="22"/>
        </w:rPr>
        <w:t xml:space="preserve">where the production of new seeds or fruits by a meadow in each season provides the basis of new propagules for recruitment in the following year. As such, </w:t>
      </w:r>
      <w:r w:rsidRPr="001B05F3">
        <w:rPr>
          <w:color w:val="000000" w:themeColor="text1"/>
          <w:szCs w:val="22"/>
        </w:rPr>
        <w:t xml:space="preserve">the likelihood that the meadows </w:t>
      </w:r>
      <w:r>
        <w:rPr>
          <w:color w:val="000000" w:themeColor="text1"/>
          <w:szCs w:val="22"/>
        </w:rPr>
        <w:t xml:space="preserve">are able to </w:t>
      </w:r>
      <w:r w:rsidR="004631FA">
        <w:rPr>
          <w:color w:val="000000" w:themeColor="text1"/>
          <w:szCs w:val="22"/>
        </w:rPr>
        <w:t xml:space="preserve">‘recover’ will be informed by the measure of reproductive effort. In addition, sexual reproduction is likely to </w:t>
      </w:r>
      <w:r>
        <w:rPr>
          <w:color w:val="000000" w:themeColor="text1"/>
          <w:szCs w:val="22"/>
        </w:rPr>
        <w:t xml:space="preserve">enhance </w:t>
      </w:r>
      <w:r w:rsidR="004631FA">
        <w:rPr>
          <w:color w:val="000000" w:themeColor="text1"/>
          <w:szCs w:val="22"/>
        </w:rPr>
        <w:t xml:space="preserve">meadow scale </w:t>
      </w:r>
      <w:r>
        <w:rPr>
          <w:color w:val="000000" w:themeColor="text1"/>
          <w:szCs w:val="22"/>
        </w:rPr>
        <w:t>genetic diversity</w:t>
      </w:r>
      <w:r w:rsidR="001F7CC9">
        <w:rPr>
          <w:color w:val="000000" w:themeColor="text1"/>
          <w:szCs w:val="22"/>
        </w:rPr>
        <w:t xml:space="preserve"> through sexual reproduction</w:t>
      </w:r>
      <w:r>
        <w:rPr>
          <w:color w:val="000000" w:themeColor="text1"/>
          <w:szCs w:val="22"/>
        </w:rPr>
        <w:t xml:space="preserve"> </w:t>
      </w:r>
      <w:r w:rsidR="004631FA">
        <w:rPr>
          <w:color w:val="000000" w:themeColor="text1"/>
          <w:szCs w:val="22"/>
        </w:rPr>
        <w:t xml:space="preserve">and thus increasing </w:t>
      </w:r>
      <w:r>
        <w:rPr>
          <w:color w:val="000000" w:themeColor="text1"/>
          <w:szCs w:val="22"/>
        </w:rPr>
        <w:t>‘resistance’</w:t>
      </w:r>
      <w:r w:rsidR="004631FA">
        <w:rPr>
          <w:color w:val="000000" w:themeColor="text1"/>
          <w:szCs w:val="22"/>
        </w:rPr>
        <w:t xml:space="preserve"> of the meadow to disturbance. </w:t>
      </w:r>
      <w:r>
        <w:rPr>
          <w:color w:val="000000" w:themeColor="text1"/>
          <w:szCs w:val="22"/>
        </w:rPr>
        <w:t xml:space="preserve"> Reproductive effort </w:t>
      </w:r>
      <w:r w:rsidR="004631FA">
        <w:rPr>
          <w:color w:val="000000" w:themeColor="text1"/>
          <w:szCs w:val="22"/>
        </w:rPr>
        <w:t xml:space="preserve">(measured at present as the production of flowers and fruits) </w:t>
      </w:r>
      <w:r>
        <w:rPr>
          <w:color w:val="000000" w:themeColor="text1"/>
          <w:szCs w:val="22"/>
        </w:rPr>
        <w:t xml:space="preserve">is currently </w:t>
      </w:r>
      <w:r w:rsidRPr="001B05F3">
        <w:rPr>
          <w:color w:val="000000" w:themeColor="text1"/>
          <w:szCs w:val="22"/>
        </w:rPr>
        <w:t>included in the report card</w:t>
      </w:r>
      <w:r>
        <w:rPr>
          <w:color w:val="000000" w:themeColor="text1"/>
          <w:szCs w:val="22"/>
        </w:rPr>
        <w:t>,</w:t>
      </w:r>
      <w:r w:rsidRPr="001B05F3">
        <w:rPr>
          <w:color w:val="000000" w:themeColor="text1"/>
          <w:szCs w:val="22"/>
        </w:rPr>
        <w:t xml:space="preserve"> </w:t>
      </w:r>
      <w:r>
        <w:rPr>
          <w:color w:val="000000" w:themeColor="text1"/>
          <w:szCs w:val="22"/>
        </w:rPr>
        <w:t xml:space="preserve">but </w:t>
      </w:r>
      <w:r w:rsidR="004631FA">
        <w:rPr>
          <w:color w:val="000000" w:themeColor="text1"/>
          <w:szCs w:val="22"/>
        </w:rPr>
        <w:t xml:space="preserve">an expansion of this to include </w:t>
      </w:r>
      <w:r>
        <w:rPr>
          <w:color w:val="000000" w:themeColor="text1"/>
          <w:szCs w:val="22"/>
        </w:rPr>
        <w:t>s</w:t>
      </w:r>
      <w:r w:rsidRPr="001B05F3">
        <w:rPr>
          <w:color w:val="000000" w:themeColor="text1"/>
          <w:szCs w:val="22"/>
        </w:rPr>
        <w:t>eed</w:t>
      </w:r>
      <w:r w:rsidR="004631FA">
        <w:rPr>
          <w:color w:val="000000" w:themeColor="text1"/>
          <w:szCs w:val="22"/>
        </w:rPr>
        <w:t xml:space="preserve"> bank</w:t>
      </w:r>
      <w:r w:rsidRPr="001B05F3">
        <w:rPr>
          <w:color w:val="000000" w:themeColor="text1"/>
          <w:szCs w:val="22"/>
        </w:rPr>
        <w:t xml:space="preserve">s </w:t>
      </w:r>
      <w:r w:rsidR="004631FA">
        <w:rPr>
          <w:color w:val="000000" w:themeColor="text1"/>
          <w:szCs w:val="22"/>
        </w:rPr>
        <w:t>is</w:t>
      </w:r>
      <w:r w:rsidR="004631FA" w:rsidRPr="001B05F3">
        <w:rPr>
          <w:color w:val="000000" w:themeColor="text1"/>
          <w:szCs w:val="22"/>
        </w:rPr>
        <w:t xml:space="preserve"> </w:t>
      </w:r>
      <w:r w:rsidRPr="001B05F3">
        <w:rPr>
          <w:color w:val="000000" w:themeColor="text1"/>
          <w:szCs w:val="22"/>
        </w:rPr>
        <w:t xml:space="preserve">being considered </w:t>
      </w:r>
      <w:r w:rsidR="004631FA">
        <w:rPr>
          <w:color w:val="000000" w:themeColor="text1"/>
          <w:szCs w:val="22"/>
        </w:rPr>
        <w:t>for</w:t>
      </w:r>
      <w:r w:rsidRPr="001B05F3">
        <w:rPr>
          <w:color w:val="000000" w:themeColor="text1"/>
          <w:szCs w:val="22"/>
        </w:rPr>
        <w:t xml:space="preserve"> a revised metric </w:t>
      </w:r>
      <w:r>
        <w:rPr>
          <w:color w:val="000000" w:themeColor="text1"/>
          <w:szCs w:val="22"/>
        </w:rPr>
        <w:t xml:space="preserve">and </w:t>
      </w:r>
      <w:r w:rsidRPr="001B05F3">
        <w:rPr>
          <w:color w:val="000000" w:themeColor="text1"/>
          <w:szCs w:val="22"/>
        </w:rPr>
        <w:t>therefore they are discussed together.</w:t>
      </w:r>
      <w:r>
        <w:rPr>
          <w:color w:val="0000FF"/>
          <w:szCs w:val="22"/>
        </w:rPr>
        <w:t xml:space="preserve"> </w:t>
      </w:r>
      <w:r w:rsidRPr="00262B64">
        <w:rPr>
          <w:color w:val="000000" w:themeColor="text1"/>
          <w:szCs w:val="22"/>
        </w:rPr>
        <w:t>Reproductive effort was rated as very poor in all but the Burdekin and Mackay Whitsunday</w:t>
      </w:r>
      <w:r w:rsidR="008F624A">
        <w:rPr>
          <w:color w:val="000000" w:themeColor="text1"/>
          <w:szCs w:val="22"/>
        </w:rPr>
        <w:t xml:space="preserve"> regions</w:t>
      </w:r>
      <w:r w:rsidRPr="00262B64">
        <w:rPr>
          <w:color w:val="000000" w:themeColor="text1"/>
          <w:szCs w:val="22"/>
        </w:rPr>
        <w:t xml:space="preserve"> where it was rated as poor. There were very large reductions in the score in the Wet Tropics and the Burnett Mary regions</w:t>
      </w:r>
      <w:r>
        <w:rPr>
          <w:color w:val="000000" w:themeColor="text1"/>
          <w:szCs w:val="22"/>
        </w:rPr>
        <w:t xml:space="preserve"> in 2016</w:t>
      </w:r>
      <w:r w:rsidR="008574EC">
        <w:rPr>
          <w:rFonts w:ascii="Arial" w:hAnsi="Arial" w:cs="Arial"/>
          <w:color w:val="333333"/>
          <w:sz w:val="18"/>
          <w:szCs w:val="18"/>
          <w:lang w:val="en"/>
        </w:rPr>
        <w:t>–</w:t>
      </w:r>
      <w:r>
        <w:rPr>
          <w:color w:val="000000" w:themeColor="text1"/>
          <w:szCs w:val="22"/>
        </w:rPr>
        <w:t>17</w:t>
      </w:r>
      <w:r w:rsidRPr="00262B64">
        <w:rPr>
          <w:color w:val="000000" w:themeColor="text1"/>
          <w:szCs w:val="22"/>
        </w:rPr>
        <w:t>.</w:t>
      </w:r>
      <w:r>
        <w:rPr>
          <w:color w:val="000000" w:themeColor="text1"/>
          <w:szCs w:val="22"/>
        </w:rPr>
        <w:t xml:space="preserve"> Reef sites have </w:t>
      </w:r>
      <w:r w:rsidR="000A2C40">
        <w:rPr>
          <w:color w:val="000000" w:themeColor="text1"/>
          <w:szCs w:val="22"/>
        </w:rPr>
        <w:t xml:space="preserve">had </w:t>
      </w:r>
      <w:r>
        <w:rPr>
          <w:color w:val="000000" w:themeColor="text1"/>
          <w:szCs w:val="22"/>
        </w:rPr>
        <w:t>consistently low reproductive effort</w:t>
      </w:r>
      <w:r w:rsidR="000A2C40">
        <w:rPr>
          <w:color w:val="000000" w:themeColor="text1"/>
          <w:szCs w:val="22"/>
        </w:rPr>
        <w:t xml:space="preserve"> (</w:t>
      </w:r>
      <w:r w:rsidR="001F7CC9">
        <w:rPr>
          <w:color w:val="000000" w:themeColor="text1"/>
          <w:szCs w:val="22"/>
        </w:rPr>
        <w:t xml:space="preserve">with </w:t>
      </w:r>
      <w:r w:rsidR="000A2C40">
        <w:rPr>
          <w:color w:val="000000" w:themeColor="text1"/>
          <w:szCs w:val="22"/>
        </w:rPr>
        <w:t xml:space="preserve">zero effort in </w:t>
      </w:r>
      <w:r w:rsidR="000A2C40" w:rsidRPr="008F6ECE">
        <w:rPr>
          <w:szCs w:val="22"/>
        </w:rPr>
        <w:t>Mackay Whitsunday and Fitzroy habitats)</w:t>
      </w:r>
      <w:r w:rsidRPr="008F6ECE">
        <w:rPr>
          <w:szCs w:val="22"/>
        </w:rPr>
        <w:t>, and this declined further in 2016</w:t>
      </w:r>
      <w:r w:rsidR="008574EC">
        <w:rPr>
          <w:rFonts w:ascii="Arial" w:hAnsi="Arial" w:cs="Arial"/>
          <w:color w:val="333333"/>
          <w:sz w:val="18"/>
          <w:szCs w:val="18"/>
          <w:lang w:val="en"/>
        </w:rPr>
        <w:t>–</w:t>
      </w:r>
      <w:r w:rsidRPr="008F6ECE">
        <w:rPr>
          <w:szCs w:val="22"/>
        </w:rPr>
        <w:t xml:space="preserve">17. Furthermore, the only reef habitats with seed banks </w:t>
      </w:r>
      <w:r w:rsidR="008F624A">
        <w:rPr>
          <w:szCs w:val="22"/>
        </w:rPr>
        <w:t>were</w:t>
      </w:r>
      <w:r w:rsidRPr="008F6ECE">
        <w:rPr>
          <w:szCs w:val="22"/>
        </w:rPr>
        <w:t xml:space="preserve"> in the Burdekin region. This places reef habitats in a highly vulnerable state. By contrast reproductive effort and density of seeds in the seed bank has been relatively stable in coast and estuarine habitats</w:t>
      </w:r>
      <w:r w:rsidR="000A2C40" w:rsidRPr="008F6ECE">
        <w:rPr>
          <w:szCs w:val="22"/>
        </w:rPr>
        <w:t>, but remains low in some regions including the Burnett Mary</w:t>
      </w:r>
      <w:r w:rsidRPr="008F6ECE">
        <w:rPr>
          <w:szCs w:val="22"/>
        </w:rPr>
        <w:t xml:space="preserve">.  </w:t>
      </w:r>
    </w:p>
    <w:p w14:paraId="5E1A6F63" w14:textId="620A2C26" w:rsidR="00C84483" w:rsidRPr="008574EC" w:rsidRDefault="00C84483" w:rsidP="008574EC">
      <w:pPr>
        <w:rPr>
          <w:rFonts w:ascii="Arial" w:hAnsi="Arial" w:cs="Arial"/>
          <w:color w:val="333333"/>
          <w:sz w:val="18"/>
          <w:szCs w:val="18"/>
          <w:lang w:val="en"/>
        </w:rPr>
      </w:pPr>
      <w:r w:rsidRPr="008F6ECE">
        <w:rPr>
          <w:szCs w:val="22"/>
        </w:rPr>
        <w:t xml:space="preserve">Seagrass tissue nutrients are measured as an indicator of how changing water quality affects </w:t>
      </w:r>
      <w:r>
        <w:rPr>
          <w:color w:val="000000" w:themeColor="text1"/>
          <w:szCs w:val="22"/>
        </w:rPr>
        <w:t>seagrass</w:t>
      </w:r>
      <w:r w:rsidRPr="00827376">
        <w:rPr>
          <w:color w:val="000000" w:themeColor="text1"/>
          <w:szCs w:val="22"/>
        </w:rPr>
        <w:t>. The tissue nutrient indicator is the ratio of carbon to nitrogen in leaf tissue, which indicates the availability of nitrogen relative to growth demand (i.e. carbon fixation). Leaf tissue nutrients were the only indicator to show small signs of improvement in 2016</w:t>
      </w:r>
      <w:r w:rsidR="008574EC">
        <w:rPr>
          <w:rFonts w:ascii="Arial" w:hAnsi="Arial" w:cs="Arial"/>
          <w:color w:val="333333"/>
          <w:sz w:val="18"/>
          <w:szCs w:val="18"/>
          <w:lang w:val="en"/>
        </w:rPr>
        <w:t>–</w:t>
      </w:r>
      <w:r w:rsidRPr="00827376">
        <w:rPr>
          <w:color w:val="000000" w:themeColor="text1"/>
          <w:szCs w:val="22"/>
        </w:rPr>
        <w:t>17 increasing from poor to moderate. The largest improvements were in Cape York and Burdekin</w:t>
      </w:r>
      <w:r w:rsidR="008F624A">
        <w:rPr>
          <w:color w:val="000000" w:themeColor="text1"/>
          <w:szCs w:val="22"/>
        </w:rPr>
        <w:t xml:space="preserve"> regions</w:t>
      </w:r>
      <w:r w:rsidRPr="00827376">
        <w:rPr>
          <w:color w:val="000000" w:themeColor="text1"/>
          <w:szCs w:val="22"/>
        </w:rPr>
        <w:t xml:space="preserve">, which reached record high levels in coastal </w:t>
      </w:r>
      <w:r w:rsidR="008F624A">
        <w:rPr>
          <w:color w:val="000000" w:themeColor="text1"/>
          <w:szCs w:val="22"/>
        </w:rPr>
        <w:t>habitat</w:t>
      </w:r>
      <w:r w:rsidRPr="00827376">
        <w:rPr>
          <w:color w:val="000000" w:themeColor="text1"/>
          <w:szCs w:val="22"/>
        </w:rPr>
        <w:t>. These improvements probably reflect the multiple previous years of below average rainfall and river discharge</w:t>
      </w:r>
      <w:r w:rsidR="00E9630B">
        <w:rPr>
          <w:color w:val="000000" w:themeColor="text1"/>
          <w:szCs w:val="22"/>
        </w:rPr>
        <w:t xml:space="preserve">. </w:t>
      </w:r>
    </w:p>
    <w:p w14:paraId="3730247A" w14:textId="3EEF1FC2" w:rsidR="00C84483" w:rsidRPr="008574EC" w:rsidRDefault="00C84483" w:rsidP="008574EC">
      <w:pPr>
        <w:rPr>
          <w:rFonts w:ascii="Arial" w:hAnsi="Arial" w:cs="Arial"/>
          <w:color w:val="333333"/>
          <w:sz w:val="18"/>
          <w:szCs w:val="18"/>
          <w:lang w:val="en"/>
        </w:rPr>
      </w:pPr>
      <w:r w:rsidRPr="003A3227">
        <w:rPr>
          <w:color w:val="000000" w:themeColor="text1"/>
          <w:szCs w:val="22"/>
        </w:rPr>
        <w:t>In 2016</w:t>
      </w:r>
      <w:r w:rsidR="008574EC">
        <w:rPr>
          <w:rFonts w:ascii="Arial" w:hAnsi="Arial" w:cs="Arial"/>
          <w:color w:val="333333"/>
          <w:sz w:val="18"/>
          <w:szCs w:val="18"/>
          <w:lang w:val="en"/>
        </w:rPr>
        <w:t>–</w:t>
      </w:r>
      <w:r w:rsidRPr="003A3227">
        <w:rPr>
          <w:color w:val="000000" w:themeColor="text1"/>
          <w:szCs w:val="22"/>
        </w:rPr>
        <w:t xml:space="preserve">17, </w:t>
      </w:r>
      <w:r w:rsidR="008574EC">
        <w:rPr>
          <w:color w:val="000000" w:themeColor="text1"/>
          <w:szCs w:val="22"/>
        </w:rPr>
        <w:t>tropical cyclone</w:t>
      </w:r>
      <w:r w:rsidR="005121D0">
        <w:rPr>
          <w:color w:val="000000" w:themeColor="text1"/>
          <w:szCs w:val="22"/>
        </w:rPr>
        <w:t xml:space="preserve"> </w:t>
      </w:r>
      <w:r w:rsidR="00970D64">
        <w:rPr>
          <w:color w:val="000000" w:themeColor="text1"/>
          <w:szCs w:val="22"/>
        </w:rPr>
        <w:t>Debbie and a second marine heat</w:t>
      </w:r>
      <w:r w:rsidRPr="003A3227">
        <w:rPr>
          <w:color w:val="000000" w:themeColor="text1"/>
          <w:szCs w:val="22"/>
        </w:rPr>
        <w:t xml:space="preserve">wave </w:t>
      </w:r>
      <w:r>
        <w:rPr>
          <w:color w:val="000000" w:themeColor="text1"/>
          <w:szCs w:val="22"/>
        </w:rPr>
        <w:t>have</w:t>
      </w:r>
      <w:r w:rsidRPr="003A3227">
        <w:rPr>
          <w:color w:val="000000" w:themeColor="text1"/>
          <w:szCs w:val="22"/>
        </w:rPr>
        <w:t xml:space="preserve"> contributed to conditions that </w:t>
      </w:r>
      <w:r w:rsidR="008F624A">
        <w:rPr>
          <w:color w:val="000000" w:themeColor="text1"/>
          <w:szCs w:val="22"/>
        </w:rPr>
        <w:t>stalled</w:t>
      </w:r>
      <w:r w:rsidRPr="003A3227">
        <w:rPr>
          <w:color w:val="000000" w:themeColor="text1"/>
          <w:szCs w:val="22"/>
        </w:rPr>
        <w:t xml:space="preserve"> recovery of seagrass condition and resilience</w:t>
      </w:r>
      <w:r>
        <w:rPr>
          <w:color w:val="000000" w:themeColor="text1"/>
          <w:szCs w:val="22"/>
        </w:rPr>
        <w:t>.</w:t>
      </w:r>
      <w:r w:rsidRPr="003A3227">
        <w:rPr>
          <w:color w:val="000000" w:themeColor="text1"/>
          <w:szCs w:val="22"/>
        </w:rPr>
        <w:t xml:space="preserve"> </w:t>
      </w:r>
      <w:r>
        <w:rPr>
          <w:color w:val="000000" w:themeColor="text1"/>
          <w:szCs w:val="22"/>
        </w:rPr>
        <w:t xml:space="preserve">Initial predictions of recovery were for </w:t>
      </w:r>
      <w:r w:rsidRPr="003A3227">
        <w:rPr>
          <w:color w:val="000000" w:themeColor="text1"/>
          <w:szCs w:val="22"/>
        </w:rPr>
        <w:t>a</w:t>
      </w:r>
      <w:r w:rsidRPr="003A3227">
        <w:rPr>
          <w:rFonts w:cs="TimesNewRoman"/>
          <w:color w:val="000000" w:themeColor="text1"/>
          <w:szCs w:val="22"/>
        </w:rPr>
        <w:t xml:space="preserve"> return to a moderate or good condition after more than 5 years from impact (</w:t>
      </w:r>
      <w:r w:rsidR="00E76D28">
        <w:rPr>
          <w:rFonts w:cs="TimesNewRoman"/>
          <w:color w:val="000000" w:themeColor="text1"/>
          <w:szCs w:val="22"/>
        </w:rPr>
        <w:t>2010</w:t>
      </w:r>
      <w:r w:rsidR="008574EC">
        <w:rPr>
          <w:rFonts w:ascii="Arial" w:hAnsi="Arial" w:cs="Arial"/>
          <w:color w:val="333333"/>
          <w:sz w:val="18"/>
          <w:szCs w:val="18"/>
          <w:lang w:val="en"/>
        </w:rPr>
        <w:t>–</w:t>
      </w:r>
      <w:r w:rsidRPr="003A3227">
        <w:rPr>
          <w:rFonts w:cs="TimesNewRoman"/>
          <w:color w:val="000000" w:themeColor="text1"/>
          <w:szCs w:val="22"/>
        </w:rPr>
        <w:t xml:space="preserve">11). </w:t>
      </w:r>
      <w:r>
        <w:rPr>
          <w:rFonts w:cs="TimesNewRoman"/>
          <w:color w:val="000000" w:themeColor="text1"/>
          <w:szCs w:val="22"/>
        </w:rPr>
        <w:t>It has been six years, and five out of the six regions have an overall rating of poor condition.</w:t>
      </w:r>
      <w:r w:rsidRPr="003A3227">
        <w:rPr>
          <w:color w:val="000000" w:themeColor="text1"/>
          <w:szCs w:val="22"/>
        </w:rPr>
        <w:t xml:space="preserve"> Of particular concern is that reproductive effort remains well below historical levels in Cape York, Wet Tropics, Fitzroy and Burnett Mary region</w:t>
      </w:r>
      <w:r>
        <w:rPr>
          <w:color w:val="000000" w:themeColor="text1"/>
          <w:szCs w:val="22"/>
        </w:rPr>
        <w:t>s</w:t>
      </w:r>
      <w:r w:rsidRPr="003A3227">
        <w:rPr>
          <w:color w:val="000000" w:themeColor="text1"/>
          <w:szCs w:val="22"/>
        </w:rPr>
        <w:t xml:space="preserve">. Furthermore, most reef sites have no seed banks making them highly vulnerable to future disturbances. </w:t>
      </w:r>
      <w:r>
        <w:rPr>
          <w:color w:val="000000" w:themeColor="text1"/>
          <w:szCs w:val="22"/>
        </w:rPr>
        <w:t xml:space="preserve">The </w:t>
      </w:r>
      <w:r w:rsidR="005121D0">
        <w:rPr>
          <w:color w:val="000000" w:themeColor="text1"/>
          <w:szCs w:val="22"/>
        </w:rPr>
        <w:t>Great Barrier Reef</w:t>
      </w:r>
      <w:r>
        <w:rPr>
          <w:color w:val="000000" w:themeColor="text1"/>
          <w:szCs w:val="22"/>
        </w:rPr>
        <w:t xml:space="preserve"> is characterised by ongoing cumulative impacts and dynamic seagrass meadows. </w:t>
      </w:r>
      <w:r w:rsidR="001F7CC9">
        <w:rPr>
          <w:color w:val="000000" w:themeColor="text1"/>
          <w:szCs w:val="22"/>
        </w:rPr>
        <w:t>I</w:t>
      </w:r>
      <w:r>
        <w:rPr>
          <w:color w:val="000000" w:themeColor="text1"/>
          <w:szCs w:val="22"/>
        </w:rPr>
        <w:t>ntensifying pressures are slowing recovery but also increasing the need for meadow resilience</w:t>
      </w:r>
      <w:r w:rsidRPr="00383BB4">
        <w:rPr>
          <w:color w:val="000000" w:themeColor="text1"/>
          <w:szCs w:val="22"/>
        </w:rPr>
        <w:t xml:space="preserve">. </w:t>
      </w:r>
      <w:r w:rsidR="003E1DA7" w:rsidRPr="00383BB4">
        <w:rPr>
          <w:color w:val="000000" w:themeColor="text1"/>
          <w:szCs w:val="22"/>
        </w:rPr>
        <w:t>Water quality improvement</w:t>
      </w:r>
      <w:r w:rsidR="00AE3585" w:rsidRPr="00383BB4">
        <w:rPr>
          <w:color w:val="000000" w:themeColor="text1"/>
          <w:szCs w:val="22"/>
        </w:rPr>
        <w:t>s</w:t>
      </w:r>
      <w:r w:rsidR="003E1DA7" w:rsidRPr="00383BB4">
        <w:rPr>
          <w:color w:val="000000" w:themeColor="text1"/>
          <w:szCs w:val="22"/>
        </w:rPr>
        <w:t xml:space="preserve"> that can be gained </w:t>
      </w:r>
      <w:r w:rsidR="00AE3585" w:rsidRPr="00383BB4">
        <w:rPr>
          <w:color w:val="000000" w:themeColor="text1"/>
          <w:szCs w:val="22"/>
        </w:rPr>
        <w:t xml:space="preserve">by </w:t>
      </w:r>
      <w:r w:rsidR="003E1DA7" w:rsidRPr="00383BB4">
        <w:rPr>
          <w:color w:val="000000" w:themeColor="text1"/>
          <w:szCs w:val="22"/>
        </w:rPr>
        <w:t xml:space="preserve">land management </w:t>
      </w:r>
      <w:r w:rsidR="00AE3585" w:rsidRPr="00383BB4">
        <w:rPr>
          <w:color w:val="000000" w:themeColor="text1"/>
          <w:szCs w:val="22"/>
        </w:rPr>
        <w:t xml:space="preserve">initiatives (such as </w:t>
      </w:r>
      <w:r w:rsidR="003E1DA7" w:rsidRPr="00383BB4">
        <w:rPr>
          <w:color w:val="000000" w:themeColor="text1"/>
          <w:szCs w:val="22"/>
        </w:rPr>
        <w:t>P2R</w:t>
      </w:r>
      <w:r w:rsidR="00AE3585" w:rsidRPr="00383BB4">
        <w:rPr>
          <w:color w:val="000000" w:themeColor="text1"/>
          <w:szCs w:val="22"/>
        </w:rPr>
        <w:t>)</w:t>
      </w:r>
      <w:r w:rsidR="003E1DA7" w:rsidRPr="00383BB4">
        <w:rPr>
          <w:color w:val="000000" w:themeColor="text1"/>
          <w:szCs w:val="22"/>
        </w:rPr>
        <w:t xml:space="preserve">, will </w:t>
      </w:r>
      <w:r w:rsidR="00AE3585" w:rsidRPr="00383BB4">
        <w:rPr>
          <w:color w:val="000000" w:themeColor="text1"/>
          <w:szCs w:val="22"/>
        </w:rPr>
        <w:t xml:space="preserve">help to relieve the </w:t>
      </w:r>
      <w:r w:rsidR="00383BB4" w:rsidRPr="00383BB4">
        <w:rPr>
          <w:color w:val="000000" w:themeColor="text1"/>
          <w:szCs w:val="22"/>
        </w:rPr>
        <w:t xml:space="preserve">pressure from </w:t>
      </w:r>
      <w:r w:rsidR="00383BB4">
        <w:rPr>
          <w:color w:val="000000" w:themeColor="text1"/>
          <w:szCs w:val="22"/>
        </w:rPr>
        <w:t xml:space="preserve">these </w:t>
      </w:r>
      <w:r w:rsidR="00AE3585" w:rsidRPr="00383BB4">
        <w:rPr>
          <w:color w:val="000000" w:themeColor="text1"/>
          <w:szCs w:val="22"/>
        </w:rPr>
        <w:t xml:space="preserve">impacts and improve </w:t>
      </w:r>
      <w:r w:rsidR="00383BB4">
        <w:rPr>
          <w:color w:val="000000" w:themeColor="text1"/>
          <w:szCs w:val="22"/>
        </w:rPr>
        <w:t xml:space="preserve">meadow </w:t>
      </w:r>
      <w:r w:rsidR="00AE3585" w:rsidRPr="00383BB4">
        <w:rPr>
          <w:color w:val="000000" w:themeColor="text1"/>
          <w:szCs w:val="22"/>
        </w:rPr>
        <w:t>resilience.</w:t>
      </w:r>
      <w:r w:rsidR="00E76D28" w:rsidRPr="00383BB4">
        <w:rPr>
          <w:color w:val="000000" w:themeColor="text1"/>
          <w:szCs w:val="22"/>
        </w:rPr>
        <w:t xml:space="preserve"> </w:t>
      </w:r>
      <w:r w:rsidR="00AE3585" w:rsidRPr="00383BB4">
        <w:rPr>
          <w:color w:val="000000" w:themeColor="text1"/>
          <w:szCs w:val="22"/>
        </w:rPr>
        <w:t>I</w:t>
      </w:r>
      <w:r>
        <w:rPr>
          <w:color w:val="000000" w:themeColor="text1"/>
          <w:szCs w:val="22"/>
        </w:rPr>
        <w:t xml:space="preserve">t may also be necessary to consider the implementation of strategies to </w:t>
      </w:r>
      <w:r w:rsidR="00AE3585">
        <w:rPr>
          <w:color w:val="000000" w:themeColor="text1"/>
          <w:szCs w:val="22"/>
        </w:rPr>
        <w:t xml:space="preserve">directly </w:t>
      </w:r>
      <w:r>
        <w:rPr>
          <w:color w:val="000000" w:themeColor="text1"/>
          <w:szCs w:val="22"/>
        </w:rPr>
        <w:t xml:space="preserve">enhance seagrass resilience (e.g. </w:t>
      </w:r>
      <w:r w:rsidR="00AE3585">
        <w:rPr>
          <w:color w:val="000000" w:themeColor="text1"/>
          <w:szCs w:val="22"/>
        </w:rPr>
        <w:t>increasing the density and diversity of</w:t>
      </w:r>
      <w:r>
        <w:rPr>
          <w:color w:val="000000" w:themeColor="text1"/>
          <w:szCs w:val="22"/>
        </w:rPr>
        <w:t xml:space="preserve"> </w:t>
      </w:r>
      <w:r w:rsidR="00383BB4">
        <w:rPr>
          <w:color w:val="000000" w:themeColor="text1"/>
          <w:szCs w:val="22"/>
        </w:rPr>
        <w:t xml:space="preserve">seeds in </w:t>
      </w:r>
      <w:r>
        <w:rPr>
          <w:color w:val="000000" w:themeColor="text1"/>
          <w:szCs w:val="22"/>
        </w:rPr>
        <w:t>seed banks) so that the meadows can resist or recover from future disturbances.</w:t>
      </w:r>
    </w:p>
    <w:p w14:paraId="49E200BC" w14:textId="77777777" w:rsidR="00C84483" w:rsidRPr="00C84483" w:rsidRDefault="00C84483" w:rsidP="00C84483"/>
    <w:p w14:paraId="0CA1A648" w14:textId="77777777" w:rsidR="003D1F7F" w:rsidRDefault="003D1F7F" w:rsidP="00926892">
      <w:pPr>
        <w:pStyle w:val="Heading1"/>
        <w:numPr>
          <w:ilvl w:val="0"/>
          <w:numId w:val="9"/>
        </w:numPr>
        <w:rPr>
          <w:rFonts w:ascii="Century Gothic" w:hAnsi="Century Gothic"/>
          <w:sz w:val="36"/>
          <w:szCs w:val="36"/>
        </w:rPr>
      </w:pPr>
      <w:bookmarkStart w:id="15" w:name="_Toc516053116"/>
      <w:bookmarkStart w:id="16" w:name="_Toc232845889"/>
      <w:bookmarkStart w:id="17" w:name="_Toc184101942"/>
      <w:bookmarkStart w:id="18" w:name="_Toc175991039"/>
      <w:bookmarkStart w:id="19" w:name="_Toc232845891"/>
      <w:bookmarkStart w:id="20" w:name="_Toc184101944"/>
      <w:bookmarkStart w:id="21" w:name="_Toc431493734"/>
      <w:bookmarkEnd w:id="10"/>
      <w:bookmarkEnd w:id="11"/>
      <w:bookmarkEnd w:id="12"/>
      <w:r>
        <w:rPr>
          <w:rFonts w:ascii="Century Gothic" w:hAnsi="Century Gothic"/>
          <w:sz w:val="36"/>
          <w:szCs w:val="36"/>
        </w:rPr>
        <w:t>Preface</w:t>
      </w:r>
      <w:bookmarkEnd w:id="15"/>
    </w:p>
    <w:p w14:paraId="3074CB55" w14:textId="7CCB0071" w:rsidR="003D1F7F" w:rsidRPr="0050419F" w:rsidRDefault="003D1F7F" w:rsidP="003D1F7F">
      <w:pPr>
        <w:rPr>
          <w:color w:val="000000" w:themeColor="text1"/>
          <w:szCs w:val="22"/>
        </w:rPr>
      </w:pPr>
      <w:r w:rsidRPr="0050419F">
        <w:rPr>
          <w:color w:val="000000" w:themeColor="text1"/>
          <w:szCs w:val="22"/>
        </w:rPr>
        <w:t>The management of water quality remains a strategic priority for the Great Barrier Reef Marine Park Authority  to ensure the long-term protection of the coastal and inshore ecosystems of the Reef (</w:t>
      </w:r>
      <w:hyperlink w:anchor="_ENREF_103" w:tooltip="Great Barrier Reef Marine Park Authority, 2014 #9980"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&lt;EndNote&gt;&lt;Cite&gt;&lt;Author&gt;Great Barrier Reef Marine Park Authority&lt;/Author&gt;&lt;Year&gt;2014&lt;/Year&gt;&lt;RecNum&gt;9980&lt;/RecNum&gt;&lt;DisplayText&gt;Great Barrier Reef Marine Park Authority 2014&lt;/DisplayText&gt;&lt;record&gt;&lt;rec-number&gt;9980&lt;/rec-number&gt;&lt;foreign-keys&gt;&lt;key app="EN" db-id="0eve55x9y5vfd6e9dacxtew4eatve2dzds9a" timestamp="1412824924"&gt;9980&lt;/key&gt;&lt;/foreign-keys&gt;&lt;ref-type name="Book"&gt;6&lt;/ref-type&gt;&lt;contributors&gt;&lt;authors&gt;&lt;author&gt;Great Barrier Reef Marine Park Authority,&lt;/author&gt;&lt;/authors&gt;&lt;/contributors&gt;&lt;titles&gt;&lt;title&gt;Great Barrier Reef Marine Park Authority Science Strategy and Information Needs 2014-2019&lt;/title&gt;&lt;/titles&gt;&lt;pages&gt;34&lt;/pages&gt;&lt;dates&gt;&lt;year&gt;2014&lt;/year&gt;&lt;/dates&gt;&lt;pub-location&gt;Townsville&lt;/pub-location&gt;&lt;publisher&gt;Great Barrier Reef Marine Park Authority&lt;/publisher&gt;&lt;work-type&gt;Report ER&lt;/work-type&gt;&lt;urls&gt;&lt;related-urls&gt;&lt;url&gt;http://hdl.handle.net/11017/2872&lt;/url&gt;&lt;/related-urls&gt;&lt;/urls&gt;&lt;/record&gt;&lt;/Cite&gt;&lt;/EndNote&gt;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Great Barrier Reef Marine Park Authority 2014</w:t>
        </w:r>
        <w:r w:rsidR="00305FE7" w:rsidRPr="0050419F">
          <w:rPr>
            <w:color w:val="000000" w:themeColor="text1"/>
            <w:szCs w:val="22"/>
          </w:rPr>
          <w:fldChar w:fldCharType="end"/>
        </w:r>
      </w:hyperlink>
      <w:r w:rsidRPr="0050419F">
        <w:rPr>
          <w:color w:val="000000" w:themeColor="text1"/>
          <w:szCs w:val="22"/>
        </w:rPr>
        <w:t xml:space="preserve">). A key management tool is the Reef Water Quality Protection Plan (Reef Plan; </w:t>
      </w:r>
      <w:hyperlink w:anchor="_ENREF_4" w:tooltip="Anon, 2013 #10481"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&lt;EndNote&gt;&lt;Cite&gt;&lt;Author&gt;Anon&lt;/Author&gt;&lt;Year&gt;2013&lt;/Year&gt;&lt;RecNum&gt;10481&lt;/RecNum&gt;&lt;DisplayText&gt;Anon 2013&lt;/DisplayText&gt;&lt;record&gt;&lt;rec-number&gt;10481&lt;/rec-number&gt;&lt;foreign-keys&gt;&lt;key app="EN" db-id="0eve55x9y5vfd6e9dacxtew4eatve2dzds9a" timestamp="1454279880"&gt;10481&lt;/key&gt;&lt;/foreign-keys&gt;&lt;ref-type name="Book"&gt;6&lt;/ref-type&gt;&lt;contributors&gt;&lt;authors&gt;&lt;author&gt;Anon,&lt;/author&gt;&lt;/authors&gt;&lt;/contributors&gt;&lt;titles&gt;&lt;title&gt;Reef Water Quality Protection Plan 2013.Securing the health and resilience of the Great Barrier Reef World Heritage Area and adjacent catchments.&lt;/title&gt;&lt;/titles&gt;&lt;pages&gt;34&lt;/pages&gt;&lt;dates&gt;&lt;year&gt;2013&lt;/year&gt;&lt;/dates&gt;&lt;pub-location&gt;Brisbane&lt;/pub-location&gt;&lt;publisher&gt;The State of Queensland. Reef Water Quality Protection Plan Secretariat&lt;/publisher&gt;&lt;urls&gt;&lt;related-urls&gt;&lt;url&gt;www.reefplan.qld.gov.au.&lt;/url&gt;&lt;/related-urls&gt;&lt;/urls&gt;&lt;/record&gt;&lt;/Cite&gt;&lt;/EndNote&gt;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Anon 2013</w:t>
        </w:r>
        <w:r w:rsidR="00305FE7" w:rsidRPr="0050419F">
          <w:rPr>
            <w:color w:val="000000" w:themeColor="text1"/>
            <w:szCs w:val="22"/>
          </w:rPr>
          <w:fldChar w:fldCharType="end"/>
        </w:r>
      </w:hyperlink>
      <w:r w:rsidRPr="0050419F">
        <w:rPr>
          <w:color w:val="000000" w:themeColor="text1"/>
          <w:szCs w:val="22"/>
        </w:rPr>
        <w:t>), with the actions being delivered through the Reef 2050 Plan. The Reef 2050 Plan includes the Reef Trust, to which the Australian Government has committed continued funding to protect the Reef through improvements to the quality of water flowing into the Reef lagoon, and the Reef 2050 Long Term Sustainability Plan, which provides a framework for the integrated management of the G</w:t>
      </w:r>
      <w:r w:rsidR="007F6948">
        <w:rPr>
          <w:color w:val="000000" w:themeColor="text1"/>
          <w:szCs w:val="22"/>
        </w:rPr>
        <w:t xml:space="preserve">reat </w:t>
      </w:r>
      <w:r w:rsidRPr="0050419F">
        <w:rPr>
          <w:color w:val="000000" w:themeColor="text1"/>
          <w:szCs w:val="22"/>
        </w:rPr>
        <w:t>B</w:t>
      </w:r>
      <w:r w:rsidR="007F6948">
        <w:rPr>
          <w:color w:val="000000" w:themeColor="text1"/>
          <w:szCs w:val="22"/>
        </w:rPr>
        <w:t xml:space="preserve">arrier </w:t>
      </w:r>
      <w:r w:rsidRPr="0050419F">
        <w:rPr>
          <w:color w:val="000000" w:themeColor="text1"/>
          <w:szCs w:val="22"/>
        </w:rPr>
        <w:t>R</w:t>
      </w:r>
      <w:r w:rsidR="007F6948">
        <w:rPr>
          <w:color w:val="000000" w:themeColor="text1"/>
          <w:szCs w:val="22"/>
        </w:rPr>
        <w:t xml:space="preserve">eef </w:t>
      </w:r>
      <w:r w:rsidRPr="0050419F">
        <w:rPr>
          <w:color w:val="000000" w:themeColor="text1"/>
          <w:szCs w:val="22"/>
        </w:rPr>
        <w:t>W</w:t>
      </w:r>
      <w:r w:rsidR="007F6948">
        <w:rPr>
          <w:color w:val="000000" w:themeColor="text1"/>
          <w:szCs w:val="22"/>
        </w:rPr>
        <w:t xml:space="preserve">orld </w:t>
      </w:r>
      <w:r w:rsidRPr="0050419F">
        <w:rPr>
          <w:color w:val="000000" w:themeColor="text1"/>
          <w:szCs w:val="22"/>
        </w:rPr>
        <w:t>H</w:t>
      </w:r>
      <w:r w:rsidR="007F6948">
        <w:rPr>
          <w:color w:val="000000" w:themeColor="text1"/>
          <w:szCs w:val="22"/>
        </w:rPr>
        <w:t xml:space="preserve">erritage </w:t>
      </w:r>
      <w:r w:rsidRPr="0050419F">
        <w:rPr>
          <w:color w:val="000000" w:themeColor="text1"/>
          <w:szCs w:val="22"/>
        </w:rPr>
        <w:t>A</w:t>
      </w:r>
      <w:r w:rsidR="007F6948">
        <w:rPr>
          <w:color w:val="000000" w:themeColor="text1"/>
          <w:szCs w:val="22"/>
        </w:rPr>
        <w:t>rea</w:t>
      </w:r>
      <w:r w:rsidRPr="0050419F">
        <w:rPr>
          <w:color w:val="000000" w:themeColor="text1"/>
          <w:szCs w:val="22"/>
        </w:rPr>
        <w:t>.</w:t>
      </w:r>
    </w:p>
    <w:p w14:paraId="0BA9580B" w14:textId="2245BE72" w:rsidR="003D1F7F" w:rsidRPr="0050419F" w:rsidRDefault="003D1F7F" w:rsidP="003D1F7F">
      <w:pPr>
        <w:rPr>
          <w:color w:val="000000" w:themeColor="text1"/>
          <w:szCs w:val="22"/>
        </w:rPr>
      </w:pPr>
      <w:r w:rsidRPr="0050419F">
        <w:rPr>
          <w:color w:val="000000" w:themeColor="text1"/>
          <w:szCs w:val="22"/>
        </w:rPr>
        <w:t xml:space="preserve">Long-term water quality and ecosystem monitoring in the inshore Great Barrier Reef lagoon is undertaken through the Marine Monitoring Program (MMP), which was formerly known as the Reef Plan MMP. The </w:t>
      </w:r>
      <w:r w:rsidR="007F6948">
        <w:rPr>
          <w:color w:val="000000" w:themeColor="text1"/>
          <w:szCs w:val="22"/>
        </w:rPr>
        <w:t>Authority</w:t>
      </w:r>
      <w:r w:rsidRPr="0050419F">
        <w:rPr>
          <w:color w:val="000000" w:themeColor="text1"/>
          <w:szCs w:val="22"/>
        </w:rPr>
        <w:t xml:space="preserve"> has responsibility for implementation of this program. Further information on the program objectives, and details on each sub-program are available on-line </w:t>
      </w:r>
      <w:r w:rsidR="00CC1C79" w:rsidRPr="0050419F">
        <w:rPr>
          <w:color w:val="000000" w:themeColor="text1"/>
        </w:rPr>
        <w:t>http://bit.ly/2mbB8bE</w:t>
      </w:r>
      <w:r w:rsidRPr="0050419F">
        <w:rPr>
          <w:color w:val="000000" w:themeColor="text1"/>
          <w:szCs w:val="22"/>
        </w:rPr>
        <w:t xml:space="preserve">. The seagrass sub-program </w:t>
      </w:r>
      <w:r w:rsidR="00CC1C79" w:rsidRPr="0050419F">
        <w:rPr>
          <w:color w:val="000000" w:themeColor="text1"/>
          <w:szCs w:val="22"/>
        </w:rPr>
        <w:t xml:space="preserve">in </w:t>
      </w:r>
      <w:r w:rsidR="008574EC">
        <w:rPr>
          <w:color w:val="000000" w:themeColor="text1"/>
          <w:szCs w:val="22"/>
        </w:rPr>
        <w:t>2016–17</w:t>
      </w:r>
      <w:r w:rsidR="00CC1C79" w:rsidRPr="0050419F">
        <w:rPr>
          <w:color w:val="000000" w:themeColor="text1"/>
          <w:szCs w:val="22"/>
        </w:rPr>
        <w:t xml:space="preserve"> was also</w:t>
      </w:r>
      <w:r w:rsidRPr="0050419F">
        <w:rPr>
          <w:color w:val="000000" w:themeColor="text1"/>
          <w:szCs w:val="22"/>
        </w:rPr>
        <w:t xml:space="preserve"> supported by </w:t>
      </w:r>
      <w:r w:rsidR="00DC6FCF" w:rsidRPr="0050419F">
        <w:rPr>
          <w:color w:val="000000" w:themeColor="text1"/>
          <w:szCs w:val="22"/>
        </w:rPr>
        <w:t xml:space="preserve">contributions </w:t>
      </w:r>
      <w:r w:rsidR="00C808EF" w:rsidRPr="0050419F">
        <w:rPr>
          <w:color w:val="000000" w:themeColor="text1"/>
          <w:szCs w:val="22"/>
        </w:rPr>
        <w:t>from</w:t>
      </w:r>
      <w:r w:rsidR="00DC6FCF" w:rsidRPr="0050419F">
        <w:rPr>
          <w:color w:val="000000" w:themeColor="text1"/>
          <w:szCs w:val="22"/>
        </w:rPr>
        <w:t xml:space="preserve"> the Seagrass-Watch program</w:t>
      </w:r>
      <w:r w:rsidR="00C808EF" w:rsidRPr="0050419F">
        <w:rPr>
          <w:color w:val="000000" w:themeColor="text1"/>
          <w:szCs w:val="22"/>
        </w:rPr>
        <w:t xml:space="preserve"> (Wet Tropics, Burdekin, Mackay Whitsunday and Burnett Mary)</w:t>
      </w:r>
      <w:r w:rsidR="00CC1C79" w:rsidRPr="0050419F">
        <w:rPr>
          <w:color w:val="000000" w:themeColor="text1"/>
          <w:szCs w:val="22"/>
        </w:rPr>
        <w:t xml:space="preserve"> and Queensland Park and Wildlife Service (QPWS)</w:t>
      </w:r>
      <w:r w:rsidR="00DC6FCF" w:rsidRPr="0050419F">
        <w:rPr>
          <w:color w:val="000000" w:themeColor="text1"/>
          <w:szCs w:val="22"/>
        </w:rPr>
        <w:t xml:space="preserve">. </w:t>
      </w:r>
      <w:r w:rsidRPr="0050419F">
        <w:rPr>
          <w:color w:val="000000" w:themeColor="text1"/>
          <w:szCs w:val="22"/>
        </w:rPr>
        <w:t>A key output of the Paddock to Reef Program is an annual report card, including an assessment of Reef water quality and ecosystem condition to which the MMP contributes assessments and information. The first Annual Reef Plan Report Card for 2009 (</w:t>
      </w:r>
      <w:hyperlink w:anchor="_ENREF_203" w:tooltip="Reef Water Quality Protection Plan Secretariat, 2011 #9673"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 timestamp="1392365032"&gt;9673&lt;/key&gt;&lt;/foreign-keys&gt;&lt;ref-type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Reef Water Quality Protection Plan Secretariat 2011</w:t>
        </w:r>
        <w:r w:rsidR="00305FE7" w:rsidRPr="0050419F">
          <w:rPr>
            <w:color w:val="000000" w:themeColor="text1"/>
            <w:szCs w:val="22"/>
          </w:rPr>
          <w:fldChar w:fldCharType="end"/>
        </w:r>
      </w:hyperlink>
      <w:r w:rsidRPr="0050419F">
        <w:rPr>
          <w:color w:val="000000" w:themeColor="text1"/>
          <w:szCs w:val="22"/>
        </w:rPr>
        <w:t>), serves as a baseline for future assessments</w:t>
      </w:r>
      <w:r w:rsidR="005110EA">
        <w:rPr>
          <w:color w:val="000000" w:themeColor="text1"/>
          <w:szCs w:val="22"/>
        </w:rPr>
        <w:t>. R</w:t>
      </w:r>
      <w:r w:rsidRPr="0050419F">
        <w:rPr>
          <w:color w:val="000000" w:themeColor="text1"/>
          <w:szCs w:val="22"/>
        </w:rPr>
        <w:t>eport cards for 2010, 2011</w:t>
      </w:r>
      <w:r w:rsidR="00DC6FCF" w:rsidRPr="0050419F">
        <w:rPr>
          <w:color w:val="000000" w:themeColor="text1"/>
          <w:szCs w:val="22"/>
        </w:rPr>
        <w:t>,</w:t>
      </w:r>
      <w:r w:rsidRPr="0050419F">
        <w:rPr>
          <w:color w:val="000000" w:themeColor="text1"/>
          <w:szCs w:val="22"/>
        </w:rPr>
        <w:t xml:space="preserve"> 2012/13</w:t>
      </w:r>
      <w:r w:rsidR="00CC1C79" w:rsidRPr="0050419F">
        <w:rPr>
          <w:color w:val="000000" w:themeColor="text1"/>
          <w:szCs w:val="22"/>
        </w:rPr>
        <w:t>, 2014</w:t>
      </w:r>
      <w:r w:rsidR="00D64955">
        <w:rPr>
          <w:color w:val="000000" w:themeColor="text1"/>
          <w:szCs w:val="22"/>
        </w:rPr>
        <w:t>, 2015</w:t>
      </w:r>
      <w:r w:rsidRPr="0050419F">
        <w:rPr>
          <w:color w:val="000000" w:themeColor="text1"/>
          <w:szCs w:val="22"/>
        </w:rPr>
        <w:t xml:space="preserve"> </w:t>
      </w:r>
      <w:r w:rsidR="00CC1C79" w:rsidRPr="0050419F">
        <w:rPr>
          <w:color w:val="000000" w:themeColor="text1"/>
          <w:szCs w:val="22"/>
        </w:rPr>
        <w:t>and 201</w:t>
      </w:r>
      <w:r w:rsidR="00D64955">
        <w:rPr>
          <w:color w:val="000000" w:themeColor="text1"/>
          <w:szCs w:val="22"/>
        </w:rPr>
        <w:t>6</w:t>
      </w:r>
      <w:r w:rsidR="00DC6FCF" w:rsidRPr="0050419F">
        <w:rPr>
          <w:color w:val="000000" w:themeColor="text1"/>
          <w:szCs w:val="22"/>
        </w:rPr>
        <w:t xml:space="preserve"> </w:t>
      </w:r>
      <w:r w:rsidRPr="0050419F">
        <w:rPr>
          <w:color w:val="000000" w:themeColor="text1"/>
          <w:szCs w:val="22"/>
        </w:rPr>
        <w:t>have been released (available at www.reefplan.qld.gov.au).</w:t>
      </w:r>
    </w:p>
    <w:p w14:paraId="7AA36181" w14:textId="294C4ADE" w:rsidR="003D1F7F" w:rsidRPr="008574EC" w:rsidRDefault="003D1F7F" w:rsidP="003D1F7F">
      <w:pPr>
        <w:rPr>
          <w:rFonts w:ascii="Arial" w:hAnsi="Arial" w:cs="Arial"/>
          <w:color w:val="333333"/>
          <w:sz w:val="18"/>
          <w:szCs w:val="18"/>
          <w:lang w:val="en"/>
        </w:rPr>
      </w:pPr>
      <w:r w:rsidRPr="0050419F">
        <w:rPr>
          <w:color w:val="000000" w:themeColor="text1"/>
          <w:szCs w:val="22"/>
        </w:rPr>
        <w:t xml:space="preserve">James Cook University (JCU) was contracted to provide the inshore seagrass monitoring component. The program has adapted methods outlined in </w:t>
      </w:r>
      <w:hyperlink w:anchor="_ENREF_152" w:tooltip="McKenzie, 2003 #9457"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 ExcludeYear="1"&gt;&lt;Author&gt;McKenzie&lt;/Author&gt;&lt;RecNum&gt;9457&lt;/RecNum&gt;&lt;DisplayText&gt;McKenzie&lt;style face="italic"&gt; et al.&lt;/style&gt; &lt;/DisplayText&gt;&lt;record&gt;&lt;rec-number&gt;9457&lt;/rec-number&gt;&lt;foreign-keys&gt;&lt;key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McKenzie</w:t>
        </w:r>
        <w:r w:rsidR="00305FE7" w:rsidRPr="0050419F">
          <w:rPr>
            <w:i/>
            <w:noProof/>
            <w:color w:val="000000" w:themeColor="text1"/>
            <w:szCs w:val="22"/>
          </w:rPr>
          <w:t xml:space="preserve"> et al.</w:t>
        </w:r>
        <w:r w:rsidR="00305FE7" w:rsidRPr="0050419F">
          <w:rPr>
            <w:noProof/>
            <w:color w:val="000000" w:themeColor="text1"/>
            <w:szCs w:val="22"/>
          </w:rPr>
          <w:t xml:space="preserve"> </w:t>
        </w:r>
        <w:r w:rsidR="00305FE7" w:rsidRPr="0050419F">
          <w:rPr>
            <w:color w:val="000000" w:themeColor="text1"/>
            <w:szCs w:val="22"/>
          </w:rPr>
          <w:fldChar w:fldCharType="end"/>
        </w:r>
      </w:hyperlink>
      <w:r w:rsidR="00DC6FCF" w:rsidRPr="0050419F">
        <w:rPr>
          <w:color w:val="000000" w:themeColor="text1"/>
          <w:szCs w:val="22"/>
        </w:rPr>
        <w:t>(</w:t>
      </w:r>
      <w:hyperlink w:anchor="_ENREF_152" w:tooltip="McKenzie, 2003 #9457"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2003</w:t>
        </w:r>
        <w:r w:rsidR="00305FE7" w:rsidRPr="0050419F">
          <w:rPr>
            <w:color w:val="000000" w:themeColor="text1"/>
            <w:szCs w:val="22"/>
          </w:rPr>
          <w:fldChar w:fldCharType="end"/>
        </w:r>
      </w:hyperlink>
      <w:r w:rsidR="00DC6FCF" w:rsidRPr="0050419F">
        <w:rPr>
          <w:color w:val="000000" w:themeColor="text1"/>
          <w:szCs w:val="22"/>
        </w:rPr>
        <w:t>)</w:t>
      </w:r>
      <w:r w:rsidRPr="0050419F">
        <w:rPr>
          <w:color w:val="000000" w:themeColor="text1"/>
          <w:szCs w:val="22"/>
        </w:rPr>
        <w:t xml:space="preserve"> and those applied in Seagrass-Watch (a global seagrass assessment and monitoring program). </w:t>
      </w:r>
      <w:r w:rsidRPr="0050419F">
        <w:rPr>
          <w:color w:val="000000" w:themeColor="text1"/>
        </w:rPr>
        <w:t xml:space="preserve">The </w:t>
      </w:r>
      <w:r w:rsidR="00DC6FCF" w:rsidRPr="0050419F">
        <w:rPr>
          <w:color w:val="000000" w:themeColor="text1"/>
        </w:rPr>
        <w:t xml:space="preserve">MMP inshore seagrass </w:t>
      </w:r>
      <w:r w:rsidRPr="0050419F">
        <w:rPr>
          <w:color w:val="000000" w:themeColor="text1"/>
        </w:rPr>
        <w:t xml:space="preserve">monitoring program design and reporting structure is an evolving process. Program providers developed the program in collaboration with </w:t>
      </w:r>
      <w:r w:rsidR="008574EC">
        <w:rPr>
          <w:color w:val="000000" w:themeColor="text1"/>
        </w:rPr>
        <w:t xml:space="preserve">the Marine Park Authority </w:t>
      </w:r>
      <w:r w:rsidRPr="0050419F">
        <w:rPr>
          <w:color w:val="000000" w:themeColor="text1"/>
        </w:rPr>
        <w:t>in 2005</w:t>
      </w:r>
      <w:r w:rsidR="00752978" w:rsidRPr="0050419F">
        <w:rPr>
          <w:color w:val="000000" w:themeColor="text1"/>
        </w:rPr>
        <w:t>, with assistance by expert working groups and AIMS (</w:t>
      </w:r>
      <w:hyperlink w:anchor="_ENREF_73" w:tooltip="De’ath, 2005 #9495" w:history="1">
        <w:r w:rsidR="00305FE7" w:rsidRPr="0050419F">
          <w:rPr>
            <w:color w:val="000000" w:themeColor="text1"/>
          </w:rPr>
          <w:fldChar w:fldCharType="begin"/>
        </w:r>
        <w:r w:rsidR="00305FE7" w:rsidRPr="0050419F">
          <w:rPr>
            <w:color w:val="000000" w:themeColor="text1"/>
          </w:rPr>
          <w:instrText xml:space="preserve"> ADDIN EN.CITE &lt;EndNote&gt;&lt;Cite&gt;&lt;Author&gt;De’ath&lt;/Author&gt;&lt;Year&gt;2005&lt;/Year&gt;&lt;RecNum&gt;9495&lt;/RecNum&gt;&lt;DisplayText&gt;De’ath 2005&lt;/DisplayText&gt;&lt;record&gt;&lt;rec-number&gt;9495&lt;/rec-number&gt;&lt;foreign-keys&gt;&lt;key app="EN" db-id="0eve55x9y5vfd6e9dacxtew4eatve2dzds9a" timestamp="1375843429"&gt;9495&lt;/key&gt;&lt;/foreign-keys&gt;&lt;ref-type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305FE7" w:rsidRPr="0050419F">
          <w:rPr>
            <w:color w:val="000000" w:themeColor="text1"/>
          </w:rPr>
          <w:fldChar w:fldCharType="separate"/>
        </w:r>
        <w:r w:rsidR="00305FE7" w:rsidRPr="0050419F">
          <w:rPr>
            <w:noProof/>
            <w:color w:val="000000" w:themeColor="text1"/>
          </w:rPr>
          <w:t>De’ath 2005</w:t>
        </w:r>
        <w:r w:rsidR="00305FE7" w:rsidRPr="0050419F">
          <w:rPr>
            <w:color w:val="000000" w:themeColor="text1"/>
          </w:rPr>
          <w:fldChar w:fldCharType="end"/>
        </w:r>
      </w:hyperlink>
      <w:r w:rsidR="00752978" w:rsidRPr="0050419F">
        <w:rPr>
          <w:color w:val="000000" w:themeColor="text1"/>
        </w:rPr>
        <w:t>)</w:t>
      </w:r>
      <w:r w:rsidRPr="0050419F">
        <w:rPr>
          <w:color w:val="000000" w:themeColor="text1"/>
        </w:rPr>
        <w:t>.</w:t>
      </w:r>
      <w:r w:rsidR="00752978" w:rsidRPr="0050419F">
        <w:rPr>
          <w:color w:val="000000" w:themeColor="text1"/>
        </w:rPr>
        <w:t xml:space="preserve"> In 2008</w:t>
      </w:r>
      <w:r w:rsidR="008574EC">
        <w:rPr>
          <w:rFonts w:ascii="Arial" w:hAnsi="Arial" w:cs="Arial"/>
          <w:color w:val="333333"/>
          <w:sz w:val="18"/>
          <w:szCs w:val="18"/>
          <w:lang w:val="en"/>
        </w:rPr>
        <w:t>–</w:t>
      </w:r>
      <w:r w:rsidR="00752978" w:rsidRPr="0050419F">
        <w:rPr>
          <w:color w:val="000000" w:themeColor="text1"/>
        </w:rPr>
        <w:t xml:space="preserve">09, </w:t>
      </w:r>
      <w:r w:rsidRPr="0050419F">
        <w:rPr>
          <w:color w:val="000000" w:themeColor="text1"/>
        </w:rPr>
        <w:t xml:space="preserve">subtidal sites </w:t>
      </w:r>
      <w:r w:rsidR="00752978" w:rsidRPr="0050419F">
        <w:rPr>
          <w:color w:val="000000" w:themeColor="text1"/>
        </w:rPr>
        <w:t>in the Wet Tropics and Burdekin regions were included to improve the scope of the program</w:t>
      </w:r>
      <w:r w:rsidRPr="0050419F">
        <w:rPr>
          <w:color w:val="000000" w:themeColor="text1"/>
        </w:rPr>
        <w:t>. The program underwent an extensive external review in 201</w:t>
      </w:r>
      <w:r w:rsidR="00C808EF" w:rsidRPr="0050419F">
        <w:rPr>
          <w:color w:val="000000" w:themeColor="text1"/>
        </w:rPr>
        <w:t>3</w:t>
      </w:r>
      <w:r w:rsidR="008574EC">
        <w:rPr>
          <w:rFonts w:ascii="Arial" w:hAnsi="Arial" w:cs="Arial"/>
          <w:color w:val="333333"/>
          <w:sz w:val="18"/>
          <w:szCs w:val="18"/>
          <w:lang w:val="en"/>
        </w:rPr>
        <w:t>–</w:t>
      </w:r>
      <w:r w:rsidR="00C808EF" w:rsidRPr="0050419F">
        <w:rPr>
          <w:color w:val="000000" w:themeColor="text1"/>
        </w:rPr>
        <w:t>1</w:t>
      </w:r>
      <w:r w:rsidRPr="0050419F">
        <w:rPr>
          <w:color w:val="000000" w:themeColor="text1"/>
        </w:rPr>
        <w:t>4, including a revision of program objectives, a statistical review (testing program design and indicator sensitivity), conceptual modelling of indicator selection, and a working group to prioritise changes (</w:t>
      </w:r>
      <w:hyperlink w:anchor="_ENREF_124" w:tooltip="Kuhnert, 2014 #10482" w:history="1">
        <w:r w:rsidR="00305FE7" w:rsidRPr="0050419F">
          <w:rPr>
            <w:color w:val="000000" w:themeColor="text1"/>
          </w:rPr>
          <w:fldChar w:fldCharType="begin"/>
        </w:r>
        <w:r w:rsidR="00305FE7" w:rsidRPr="0050419F">
          <w:rPr>
            <w:color w:val="000000" w:themeColor="text1"/>
          </w:rPr>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 timestamp="1454281855"&gt;10482&lt;/key&gt;&lt;/foreign-keys&gt;&lt;ref-type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305FE7" w:rsidRPr="0050419F">
          <w:rPr>
            <w:color w:val="000000" w:themeColor="text1"/>
          </w:rPr>
          <w:fldChar w:fldCharType="separate"/>
        </w:r>
        <w:r w:rsidR="00305FE7" w:rsidRPr="0050419F">
          <w:rPr>
            <w:noProof/>
            <w:color w:val="000000" w:themeColor="text1"/>
          </w:rPr>
          <w:t>Kuhnert</w:t>
        </w:r>
        <w:r w:rsidR="00305FE7" w:rsidRPr="0050419F">
          <w:rPr>
            <w:i/>
            <w:noProof/>
            <w:color w:val="000000" w:themeColor="text1"/>
          </w:rPr>
          <w:t xml:space="preserve"> et al.</w:t>
        </w:r>
        <w:r w:rsidR="00305FE7" w:rsidRPr="0050419F">
          <w:rPr>
            <w:noProof/>
            <w:color w:val="000000" w:themeColor="text1"/>
          </w:rPr>
          <w:t xml:space="preserve"> 2014</w:t>
        </w:r>
        <w:r w:rsidR="00305FE7" w:rsidRPr="0050419F">
          <w:rPr>
            <w:color w:val="000000" w:themeColor="text1"/>
          </w:rPr>
          <w:fldChar w:fldCharType="end"/>
        </w:r>
      </w:hyperlink>
      <w:r w:rsidRPr="0050419F">
        <w:rPr>
          <w:color w:val="000000" w:themeColor="text1"/>
        </w:rPr>
        <w:t xml:space="preserve">). </w:t>
      </w:r>
      <w:r w:rsidR="00D64955">
        <w:rPr>
          <w:color w:val="000000" w:themeColor="text1"/>
        </w:rPr>
        <w:t>In 2015, additional subtidal monitoring sites (assessed using real time underwater closed circuit drop-camera) were included in Cape York, Wet Tropics and Mackay Whitsunday region with the support of QPWS.</w:t>
      </w:r>
      <w:r w:rsidR="004D4601">
        <w:rPr>
          <w:color w:val="000000" w:themeColor="text1"/>
        </w:rPr>
        <w:t xml:space="preserve"> In the same year, validated data from the Seagrass-Watch program was integrated into the reporting, further broadening the spatial coverage of the MMP.</w:t>
      </w:r>
    </w:p>
    <w:p w14:paraId="68E084F3" w14:textId="6EE0E955" w:rsidR="003D1F7F" w:rsidRPr="0050419F" w:rsidRDefault="003D1F7F" w:rsidP="003D1F7F">
      <w:pPr>
        <w:rPr>
          <w:color w:val="000000" w:themeColor="text1"/>
          <w:szCs w:val="22"/>
        </w:rPr>
      </w:pPr>
      <w:r w:rsidRPr="0050419F">
        <w:rPr>
          <w:color w:val="000000" w:themeColor="text1"/>
        </w:rPr>
        <w:t xml:space="preserve">Each year a report summarising the condition and trend of inshore seagrass of the GBR over the past year is published on the </w:t>
      </w:r>
      <w:r w:rsidR="008574EC">
        <w:rPr>
          <w:color w:val="000000" w:themeColor="text1"/>
        </w:rPr>
        <w:t xml:space="preserve">Marine Park Authority’s </w:t>
      </w:r>
      <w:r w:rsidRPr="0050419F">
        <w:rPr>
          <w:color w:val="000000" w:themeColor="text1"/>
        </w:rPr>
        <w:t xml:space="preserve">website. The annual reports are peer-reviewed every year and </w:t>
      </w:r>
      <w:r w:rsidR="005110EA">
        <w:rPr>
          <w:color w:val="000000" w:themeColor="text1"/>
        </w:rPr>
        <w:t>the authors</w:t>
      </w:r>
      <w:r w:rsidRPr="0050419F">
        <w:rPr>
          <w:color w:val="000000" w:themeColor="text1"/>
        </w:rPr>
        <w:t xml:space="preserve"> endeavour to</w:t>
      </w:r>
      <w:r w:rsidR="00302EC4" w:rsidRPr="0050419F">
        <w:rPr>
          <w:color w:val="000000" w:themeColor="text1"/>
        </w:rPr>
        <w:t xml:space="preserve"> incorporate reviewer comments.</w:t>
      </w:r>
    </w:p>
    <w:p w14:paraId="08595E7C" w14:textId="1DC1D638" w:rsidR="003D1F7F" w:rsidRPr="0050419F" w:rsidRDefault="003D1F7F" w:rsidP="009F09A4">
      <w:pPr>
        <w:rPr>
          <w:color w:val="000000" w:themeColor="text1"/>
        </w:rPr>
      </w:pPr>
      <w:r w:rsidRPr="0050419F">
        <w:rPr>
          <w:color w:val="000000" w:themeColor="text1"/>
          <w:szCs w:val="22"/>
        </w:rPr>
        <w:t xml:space="preserve">This report </w:t>
      </w:r>
      <w:r w:rsidR="005110EA">
        <w:rPr>
          <w:color w:val="000000" w:themeColor="text1"/>
          <w:szCs w:val="22"/>
        </w:rPr>
        <w:t xml:space="preserve">also </w:t>
      </w:r>
      <w:r w:rsidRPr="0050419F">
        <w:rPr>
          <w:color w:val="000000" w:themeColor="text1"/>
          <w:szCs w:val="22"/>
        </w:rPr>
        <w:t>includes data on flood plume exposure from the inshore water quality monitoring subprogram, a Case Study on</w:t>
      </w:r>
      <w:r w:rsidR="009A4C92" w:rsidRPr="0050419F">
        <w:rPr>
          <w:color w:val="000000" w:themeColor="text1"/>
          <w:szCs w:val="22"/>
        </w:rPr>
        <w:t xml:space="preserve"> </w:t>
      </w:r>
      <w:r w:rsidR="0050419F">
        <w:rPr>
          <w:color w:val="000000" w:themeColor="text1"/>
          <w:szCs w:val="22"/>
        </w:rPr>
        <w:t xml:space="preserve">developing an energetic status model to predict environmental risk to </w:t>
      </w:r>
      <w:r w:rsidR="004669D9" w:rsidRPr="0050419F">
        <w:rPr>
          <w:color w:val="000000" w:themeColor="text1"/>
          <w:szCs w:val="22"/>
        </w:rPr>
        <w:t xml:space="preserve">seagrass </w:t>
      </w:r>
      <w:r w:rsidR="0050419F">
        <w:rPr>
          <w:color w:val="000000" w:themeColor="text1"/>
          <w:szCs w:val="22"/>
        </w:rPr>
        <w:t>based on</w:t>
      </w:r>
      <w:r w:rsidR="004669D9" w:rsidRPr="0050419F">
        <w:rPr>
          <w:color w:val="000000" w:themeColor="text1"/>
          <w:szCs w:val="22"/>
        </w:rPr>
        <w:t xml:space="preserve"> temperature and light</w:t>
      </w:r>
      <w:r w:rsidR="005110EA">
        <w:rPr>
          <w:color w:val="000000" w:themeColor="text1"/>
          <w:szCs w:val="22"/>
        </w:rPr>
        <w:t xml:space="preserve"> and </w:t>
      </w:r>
      <w:r w:rsidRPr="0050419F">
        <w:rPr>
          <w:color w:val="000000" w:themeColor="text1"/>
        </w:rPr>
        <w:t xml:space="preserve">findings from </w:t>
      </w:r>
      <w:r w:rsidR="00536A63" w:rsidRPr="0050419F">
        <w:rPr>
          <w:color w:val="000000" w:themeColor="text1"/>
        </w:rPr>
        <w:t xml:space="preserve">the </w:t>
      </w:r>
      <w:r w:rsidRPr="0050419F">
        <w:rPr>
          <w:color w:val="000000" w:themeColor="text1"/>
        </w:rPr>
        <w:t xml:space="preserve">separately funded </w:t>
      </w:r>
      <w:r w:rsidR="001A0D2C" w:rsidRPr="0050419F">
        <w:rPr>
          <w:color w:val="000000" w:themeColor="text1"/>
        </w:rPr>
        <w:t>Q</w:t>
      </w:r>
      <w:r w:rsidR="00C808EF" w:rsidRPr="0050419F">
        <w:rPr>
          <w:color w:val="000000" w:themeColor="text1"/>
        </w:rPr>
        <w:t>ueensland Ports Seagrass Monitoring Program</w:t>
      </w:r>
      <w:r w:rsidR="001A0D2C" w:rsidRPr="0050419F">
        <w:rPr>
          <w:color w:val="000000" w:themeColor="text1"/>
          <w:szCs w:val="22"/>
        </w:rPr>
        <w:t>.</w:t>
      </w:r>
    </w:p>
    <w:p w14:paraId="678A665A" w14:textId="77777777" w:rsidR="003D1F7F" w:rsidRPr="00F46873" w:rsidRDefault="003D1F7F" w:rsidP="00926892">
      <w:pPr>
        <w:pStyle w:val="Heading1"/>
        <w:numPr>
          <w:ilvl w:val="0"/>
          <w:numId w:val="9"/>
        </w:numPr>
        <w:rPr>
          <w:rFonts w:ascii="Century Gothic" w:hAnsi="Century Gothic"/>
          <w:sz w:val="36"/>
          <w:szCs w:val="36"/>
        </w:rPr>
      </w:pPr>
      <w:bookmarkStart w:id="22" w:name="_Toc516053117"/>
      <w:r w:rsidRPr="00F46873">
        <w:rPr>
          <w:rFonts w:ascii="Century Gothic" w:hAnsi="Century Gothic"/>
          <w:sz w:val="36"/>
          <w:szCs w:val="36"/>
        </w:rPr>
        <w:t>Introduction</w:t>
      </w:r>
      <w:bookmarkEnd w:id="16"/>
      <w:bookmarkEnd w:id="17"/>
      <w:bookmarkEnd w:id="22"/>
    </w:p>
    <w:p w14:paraId="43858A73" w14:textId="616D2D2A" w:rsidR="003D1F7F" w:rsidRPr="000F46DC" w:rsidRDefault="003D1F7F" w:rsidP="003D1F7F">
      <w:pPr>
        <w:spacing w:before="240"/>
        <w:rPr>
          <w:color w:val="000000" w:themeColor="text1"/>
        </w:rPr>
      </w:pPr>
      <w:r w:rsidRPr="000F46DC">
        <w:rPr>
          <w:color w:val="000000" w:themeColor="text1"/>
          <w:szCs w:val="22"/>
        </w:rPr>
        <w:t xml:space="preserve">Seagrasses are an important component of the marine ecosystem of the Great Barrier Reef.  </w:t>
      </w:r>
      <w:r w:rsidRPr="000F46DC">
        <w:rPr>
          <w:color w:val="000000" w:themeColor="text1"/>
        </w:rPr>
        <w:t>The ecosystem services provided by seagrass ecosystems makes them a high conservation priority (</w:t>
      </w:r>
      <w:hyperlink w:anchor="_ENREF_69" w:tooltip="Cullen-Unsworth, 2013 #9553" w:history="1">
        <w:r w:rsidR="00305FE7" w:rsidRPr="000F46DC">
          <w:rPr>
            <w:color w:val="000000" w:themeColor="text1"/>
          </w:rPr>
          <w:fldChar w:fldCharType="begin"/>
        </w:r>
        <w:r w:rsidR="00305FE7" w:rsidRPr="000F46DC">
          <w:rPr>
            <w:color w:val="000000" w:themeColor="text1"/>
          </w:rPr>
          <w:instrText xml:space="preserve"> ADDIN EN.CITE &lt;EndNote&gt;&lt;Cite&gt;&lt;Author&gt;Cullen-Unsworth&lt;/Author&gt;&lt;Year&gt;2013&lt;/Year&gt;&lt;RecNum&gt;9553&lt;/RecNum&gt;&lt;DisplayText&gt;Cullen-Unsworth and Unsworth 2013&lt;/DisplayText&gt;&lt;record&gt;&lt;rec-number&gt;9553&lt;/rec-number&gt;&lt;foreign-keys&gt;&lt;key app="EN" db-id="0eve55x9y5vfd6e9dacxtew4eatve2dzds9a" timestamp="1380178008"&gt;9553&lt;/key&gt;&lt;/foreign-keys&gt;&lt;ref-type name="Journal Article"&gt;17&lt;/ref-type&gt;&lt;contributors&gt;&lt;authors&gt;&lt;author&gt;Cullen-Unsworth, Leanne&lt;/author&gt;&lt;author&gt;Unsworth, Richard&lt;/author&gt;&lt;/authors&gt;&lt;/contributors&gt;&lt;titles&gt;&lt;title&gt;Seagrass Meadows, Ecosystem Services, and Sustainability&lt;/title&gt;&lt;secondary-title&gt;Environment: Science and Policy for Sustainable Development&lt;/secondary-title&gt;&lt;/titles&gt;&lt;periodical&gt;&lt;full-title&gt;Environment: Science and Policy for Sustainable Development&lt;/full-title&gt;&lt;/periodical&gt;&lt;pages&gt;14-28&lt;/pages&gt;&lt;volume&gt;55&lt;/volume&gt;&lt;number&gt;3&lt;/number&gt;&lt;dates&gt;&lt;year&gt;2013&lt;/year&gt;&lt;pub-dates&gt;&lt;date&gt;2013/05/01&lt;/date&gt;&lt;/pub-dates&gt;&lt;/dates&gt;&lt;publisher&gt;Routledge&lt;/publisher&gt;&lt;isbn&gt;0013-9157&lt;/isbn&gt;&lt;urls&gt;&lt;related-urls&gt;&lt;url&gt;http://dx.doi.org/10.1080/00139157.2013.785864&lt;/url&gt;&lt;/related-urls&gt;&lt;/urls&gt;&lt;electronic-resource-num&gt;10.1080/00139157.2013.785864&lt;/electronic-resource-num&gt;&lt;access-date&gt;2013/09/25&lt;/access-date&gt;&lt;/record&gt;&lt;/Cite&gt;&lt;/EndNote&gt;</w:instrText>
        </w:r>
        <w:r w:rsidR="00305FE7" w:rsidRPr="000F46DC">
          <w:rPr>
            <w:color w:val="000000" w:themeColor="text1"/>
          </w:rPr>
          <w:fldChar w:fldCharType="separate"/>
        </w:r>
        <w:r w:rsidR="00305FE7" w:rsidRPr="000F46DC">
          <w:rPr>
            <w:noProof/>
            <w:color w:val="000000" w:themeColor="text1"/>
          </w:rPr>
          <w:t>Cullen-Unsworth and Unsworth 2013</w:t>
        </w:r>
        <w:r w:rsidR="00305FE7" w:rsidRPr="000F46DC">
          <w:rPr>
            <w:color w:val="000000" w:themeColor="text1"/>
          </w:rPr>
          <w:fldChar w:fldCharType="end"/>
        </w:r>
      </w:hyperlink>
      <w:r w:rsidRPr="000F46DC">
        <w:rPr>
          <w:color w:val="000000" w:themeColor="text1"/>
        </w:rPr>
        <w:t xml:space="preserve">). Certain seagrasses </w:t>
      </w:r>
      <w:r w:rsidRPr="000F46DC">
        <w:rPr>
          <w:color w:val="000000" w:themeColor="text1"/>
          <w:szCs w:val="22"/>
        </w:rPr>
        <w:t xml:space="preserve">are the primary food for marine green </w:t>
      </w:r>
      <w:r w:rsidRPr="000F46DC">
        <w:rPr>
          <w:color w:val="000000" w:themeColor="text1"/>
        </w:rPr>
        <w:t>turtles and dugongs, which are seagrass specialists (</w:t>
      </w:r>
      <w:r w:rsidR="00644A84" w:rsidRPr="000F46DC">
        <w:rPr>
          <w:color w:val="000000" w:themeColor="text1"/>
        </w:rPr>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Yi1pZD0iMGV2ZTU1eDl5NXZmZDZlOWRhY3h0ZXc0ZWF0dmUyZHpkczlhIiB0aW1lc3RhbXA9IjEz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</w:fldData>
        </w:fldChar>
      </w:r>
      <w:r w:rsidR="005B0C7C" w:rsidRPr="000F46DC">
        <w:rPr>
          <w:color w:val="000000" w:themeColor="text1"/>
        </w:rPr>
        <w:instrText xml:space="preserve"> ADDIN EN.CITE </w:instrText>
      </w:r>
      <w:r w:rsidR="005B0C7C" w:rsidRPr="000F46DC">
        <w:rPr>
          <w:color w:val="000000" w:themeColor="text1"/>
        </w:rPr>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Yi1pZD0iMGV2ZTU1eDl5NXZmZDZlOWRhY3h0ZXc0ZWF0dmUyZHpkczlhIiB0aW1lc3RhbXA9IjEz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</w:fldData>
        </w:fldChar>
      </w:r>
      <w:r w:rsidR="005B0C7C" w:rsidRPr="000F46DC">
        <w:rPr>
          <w:color w:val="000000" w:themeColor="text1"/>
        </w:rPr>
        <w:instrText xml:space="preserve"> ADDIN EN.CITE.DATA </w:instrText>
      </w:r>
      <w:r w:rsidR="005B0C7C" w:rsidRPr="000F46DC">
        <w:rPr>
          <w:color w:val="000000" w:themeColor="text1"/>
        </w:rPr>
      </w:r>
      <w:r w:rsidR="005B0C7C" w:rsidRPr="000F46DC">
        <w:rPr>
          <w:color w:val="000000" w:themeColor="text1"/>
        </w:rPr>
        <w:fldChar w:fldCharType="end"/>
      </w:r>
      <w:r w:rsidR="00644A84" w:rsidRPr="000F46DC">
        <w:rPr>
          <w:color w:val="000000" w:themeColor="text1"/>
        </w:rPr>
      </w:r>
      <w:r w:rsidR="00644A84" w:rsidRPr="000F46DC">
        <w:rPr>
          <w:color w:val="000000" w:themeColor="text1"/>
        </w:rPr>
        <w:fldChar w:fldCharType="separate"/>
      </w:r>
      <w:hyperlink w:anchor="_ENREF_200" w:tooltip="Read, 2002 #10319" w:history="1">
        <w:r w:rsidR="00305FE7" w:rsidRPr="000F46DC">
          <w:rPr>
            <w:noProof/>
            <w:color w:val="000000" w:themeColor="text1"/>
          </w:rPr>
          <w:t>Read and Limpus 2002</w:t>
        </w:r>
      </w:hyperlink>
      <w:r w:rsidR="00644A84" w:rsidRPr="000F46DC">
        <w:rPr>
          <w:noProof/>
          <w:color w:val="000000" w:themeColor="text1"/>
        </w:rPr>
        <w:t xml:space="preserve">; </w:t>
      </w:r>
      <w:hyperlink w:anchor="_ENREF_8" w:tooltip="Arthur, 2008 #10320" w:history="1">
        <w:r w:rsidR="00305FE7" w:rsidRPr="000F46DC">
          <w:rPr>
            <w:noProof/>
            <w:color w:val="000000" w:themeColor="text1"/>
          </w:rPr>
          <w:t>Arthur</w:t>
        </w:r>
        <w:r w:rsidR="00305FE7" w:rsidRPr="000F46DC">
          <w:rPr>
            <w:i/>
            <w:noProof/>
            <w:color w:val="000000" w:themeColor="text1"/>
          </w:rPr>
          <w:t xml:space="preserve"> et al.</w:t>
        </w:r>
        <w:r w:rsidR="00305FE7" w:rsidRPr="000F46DC">
          <w:rPr>
            <w:noProof/>
            <w:color w:val="000000" w:themeColor="text1"/>
          </w:rPr>
          <w:t xml:space="preserve"> 2008</w:t>
        </w:r>
      </w:hyperlink>
      <w:r w:rsidR="00644A84" w:rsidRPr="000F46DC">
        <w:rPr>
          <w:noProof/>
          <w:color w:val="000000" w:themeColor="text1"/>
        </w:rPr>
        <w:t xml:space="preserve">; </w:t>
      </w:r>
      <w:hyperlink w:anchor="_ENREF_141" w:tooltip="Marsh, 2011 #9179" w:history="1">
        <w:r w:rsidR="00305FE7" w:rsidRPr="000F46DC">
          <w:rPr>
            <w:noProof/>
            <w:color w:val="000000" w:themeColor="text1"/>
          </w:rPr>
          <w:t>Marsh</w:t>
        </w:r>
        <w:r w:rsidR="00305FE7" w:rsidRPr="000F46DC">
          <w:rPr>
            <w:i/>
            <w:noProof/>
            <w:color w:val="000000" w:themeColor="text1"/>
          </w:rPr>
          <w:t xml:space="preserve"> et al.</w:t>
        </w:r>
        <w:r w:rsidR="00305FE7" w:rsidRPr="000F46DC">
          <w:rPr>
            <w:noProof/>
            <w:color w:val="000000" w:themeColor="text1"/>
          </w:rPr>
          <w:t xml:space="preserve"> 2011</w:t>
        </w:r>
      </w:hyperlink>
      <w:r w:rsidR="00644A84" w:rsidRPr="000F46DC">
        <w:rPr>
          <w:color w:val="000000" w:themeColor="text1"/>
        </w:rPr>
        <w:fldChar w:fldCharType="end"/>
      </w:r>
      <w:r w:rsidRPr="000F46DC">
        <w:rPr>
          <w:color w:val="000000" w:themeColor="text1"/>
        </w:rPr>
        <w:t>;). Seagrass</w:t>
      </w:r>
      <w:r w:rsidRPr="000F46DC">
        <w:rPr>
          <w:color w:val="000000" w:themeColor="text1"/>
          <w:szCs w:val="22"/>
        </w:rPr>
        <w:t xml:space="preserve"> form highly productive habitats for a large number of invertebrates, fish and algal species </w:t>
      </w:r>
      <w:r w:rsidRPr="000F46DC">
        <w:rPr>
          <w:noProof/>
          <w:color w:val="000000" w:themeColor="text1"/>
          <w:szCs w:val="22"/>
        </w:rPr>
        <w:t>(</w:t>
      </w:r>
      <w:hyperlink w:anchor="_ENREF_32" w:tooltip="Carruthers, 2002 #8021" w:history="1">
        <w:r w:rsidR="00305FE7" w:rsidRPr="000F46DC">
          <w:rPr>
            <w:noProof/>
            <w:color w:val="000000" w:themeColor="text1"/>
            <w:szCs w:val="22"/>
          </w:rPr>
          <w:fldChar w:fldCharType="begin"/>
        </w:r>
        <w:r w:rsidR="00305FE7">
          <w:rPr>
            <w:noProof/>
            <w:color w:val="000000" w:themeColor="text1"/>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305FE7" w:rsidRPr="000F46DC">
          <w:rPr>
            <w:noProof/>
            <w:color w:val="000000" w:themeColor="text1"/>
            <w:szCs w:val="22"/>
          </w:rPr>
          <w:fldChar w:fldCharType="separate"/>
        </w:r>
        <w:r w:rsidR="00305FE7">
          <w:rPr>
            <w:noProof/>
            <w:color w:val="000000" w:themeColor="text1"/>
            <w:szCs w:val="22"/>
          </w:rPr>
          <w:t>Carruthers</w:t>
        </w:r>
        <w:r w:rsidR="00305FE7" w:rsidRPr="00610D5C">
          <w:rPr>
            <w:i/>
            <w:noProof/>
            <w:color w:val="000000" w:themeColor="text1"/>
            <w:szCs w:val="22"/>
          </w:rPr>
          <w:t xml:space="preserve"> et al.</w:t>
        </w:r>
        <w:r w:rsidR="00305FE7">
          <w:rPr>
            <w:noProof/>
            <w:color w:val="000000" w:themeColor="text1"/>
            <w:szCs w:val="22"/>
          </w:rPr>
          <w:t xml:space="preserve"> 2002</w:t>
        </w:r>
        <w:r w:rsidR="00305FE7" w:rsidRPr="000F46DC">
          <w:rPr>
            <w:noProof/>
            <w:color w:val="000000" w:themeColor="text1"/>
            <w:szCs w:val="22"/>
          </w:rPr>
          <w:fldChar w:fldCharType="end"/>
        </w:r>
      </w:hyperlink>
      <w:r w:rsidRPr="000F46DC">
        <w:rPr>
          <w:noProof/>
          <w:color w:val="000000" w:themeColor="text1"/>
          <w:szCs w:val="22"/>
        </w:rPr>
        <w:t xml:space="preserve">), which </w:t>
      </w:r>
      <w:r w:rsidR="00215CB6">
        <w:rPr>
          <w:noProof/>
          <w:color w:val="000000" w:themeColor="text1"/>
          <w:szCs w:val="22"/>
        </w:rPr>
        <w:t>important to</w:t>
      </w:r>
      <w:r w:rsidRPr="000F46DC">
        <w:rPr>
          <w:noProof/>
          <w:color w:val="000000" w:themeColor="text1"/>
          <w:szCs w:val="22"/>
        </w:rPr>
        <w:t xml:space="preserve"> </w:t>
      </w:r>
      <w:r w:rsidRPr="000F46DC">
        <w:rPr>
          <w:color w:val="000000" w:themeColor="text1"/>
        </w:rPr>
        <w:t>commercial (e.g. prawns) and subsistence fisheries (</w:t>
      </w:r>
      <w:r w:rsidR="00644A84" w:rsidRPr="000F46DC">
        <w:rPr>
          <w:color w:val="000000" w:themeColor="text1"/>
        </w:rPr>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dGV3NGVhdHZlMmR6ZHM5YSIgdGltZXN0YW1wPSIxMzgwMTc4MDA4Ij45NTUzPC9rZXk+PC9mb3Jl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</w:fldData>
        </w:fldChar>
      </w:r>
      <w:r w:rsidR="005B0C7C" w:rsidRPr="000F46DC">
        <w:rPr>
          <w:color w:val="000000" w:themeColor="text1"/>
        </w:rPr>
        <w:instrText xml:space="preserve"> ADDIN EN.CITE </w:instrText>
      </w:r>
      <w:r w:rsidR="005B0C7C" w:rsidRPr="000F46DC">
        <w:rPr>
          <w:color w:val="000000" w:themeColor="text1"/>
        </w:rPr>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dGV3NGVhdHZlMmR6ZHM5YSIgdGltZXN0YW1wPSIxMzgwMTc4MDA4Ij45NTUzPC9rZXk+PC9mb3Jl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</w:fldData>
        </w:fldChar>
      </w:r>
      <w:r w:rsidR="005B0C7C" w:rsidRPr="000F46DC">
        <w:rPr>
          <w:color w:val="000000" w:themeColor="text1"/>
        </w:rPr>
        <w:instrText xml:space="preserve"> ADDIN EN.CITE.DATA </w:instrText>
      </w:r>
      <w:r w:rsidR="005B0C7C" w:rsidRPr="000F46DC">
        <w:rPr>
          <w:color w:val="000000" w:themeColor="text1"/>
        </w:rPr>
      </w:r>
      <w:r w:rsidR="005B0C7C" w:rsidRPr="000F46DC">
        <w:rPr>
          <w:color w:val="000000" w:themeColor="text1"/>
        </w:rPr>
        <w:fldChar w:fldCharType="end"/>
      </w:r>
      <w:r w:rsidR="00644A84" w:rsidRPr="000F46DC">
        <w:rPr>
          <w:color w:val="000000" w:themeColor="text1"/>
        </w:rPr>
      </w:r>
      <w:r w:rsidR="00644A84" w:rsidRPr="000F46DC">
        <w:rPr>
          <w:color w:val="000000" w:themeColor="text1"/>
        </w:rPr>
        <w:fldChar w:fldCharType="separate"/>
      </w:r>
      <w:hyperlink w:anchor="_ENREF_47" w:tooltip="Coles, 1993 #522" w:history="1">
        <w:r w:rsidR="00305FE7" w:rsidRPr="000F46DC">
          <w:rPr>
            <w:noProof/>
            <w:color w:val="000000" w:themeColor="text1"/>
          </w:rPr>
          <w:t>Coles</w:t>
        </w:r>
        <w:r w:rsidR="00305FE7" w:rsidRPr="000F46DC">
          <w:rPr>
            <w:i/>
            <w:noProof/>
            <w:color w:val="000000" w:themeColor="text1"/>
          </w:rPr>
          <w:t xml:space="preserve"> et al.</w:t>
        </w:r>
        <w:r w:rsidR="00305FE7" w:rsidRPr="000F46DC">
          <w:rPr>
            <w:noProof/>
            <w:color w:val="000000" w:themeColor="text1"/>
          </w:rPr>
          <w:t xml:space="preserve"> 1993</w:t>
        </w:r>
      </w:hyperlink>
      <w:r w:rsidR="00644A84" w:rsidRPr="000F46DC">
        <w:rPr>
          <w:noProof/>
          <w:color w:val="000000" w:themeColor="text1"/>
        </w:rPr>
        <w:t xml:space="preserve">; </w:t>
      </w:r>
      <w:hyperlink w:anchor="_ENREF_69" w:tooltip="Cullen-Unsworth, 2013 #9553" w:history="1">
        <w:r w:rsidR="00305FE7" w:rsidRPr="000F46DC">
          <w:rPr>
            <w:noProof/>
            <w:color w:val="000000" w:themeColor="text1"/>
          </w:rPr>
          <w:t>Cullen-Unsworth and Unsworth 2013</w:t>
        </w:r>
      </w:hyperlink>
      <w:r w:rsidR="00644A84" w:rsidRPr="000F46DC">
        <w:rPr>
          <w:color w:val="000000" w:themeColor="text1"/>
        </w:rPr>
        <w:fldChar w:fldCharType="end"/>
      </w:r>
      <w:r w:rsidRPr="000F46DC">
        <w:rPr>
          <w:color w:val="000000" w:themeColor="text1"/>
        </w:rPr>
        <w:t xml:space="preserve">). </w:t>
      </w:r>
      <w:r w:rsidR="005F4B77" w:rsidRPr="000F46DC">
        <w:rPr>
          <w:color w:val="000000" w:themeColor="text1"/>
        </w:rPr>
        <w:t xml:space="preserve">Seagrass </w:t>
      </w:r>
      <w:r w:rsidR="001B4ECE" w:rsidRPr="000F46DC">
        <w:rPr>
          <w:color w:val="000000" w:themeColor="text1"/>
        </w:rPr>
        <w:t xml:space="preserve">also </w:t>
      </w:r>
      <w:r w:rsidR="005F4B77" w:rsidRPr="000F46DC">
        <w:rPr>
          <w:color w:val="000000" w:themeColor="text1"/>
        </w:rPr>
        <w:t>produc</w:t>
      </w:r>
      <w:r w:rsidR="001B4ECE" w:rsidRPr="000F46DC">
        <w:rPr>
          <w:color w:val="000000" w:themeColor="text1"/>
        </w:rPr>
        <w:t>e</w:t>
      </w:r>
      <w:r w:rsidR="005F4B77" w:rsidRPr="000F46DC">
        <w:rPr>
          <w:color w:val="000000" w:themeColor="text1"/>
        </w:rPr>
        <w:t xml:space="preserve"> natural biocides and improv</w:t>
      </w:r>
      <w:r w:rsidR="001B4ECE" w:rsidRPr="000F46DC">
        <w:rPr>
          <w:color w:val="000000" w:themeColor="text1"/>
        </w:rPr>
        <w:t>e</w:t>
      </w:r>
      <w:r w:rsidR="005F4B77" w:rsidRPr="000F46DC">
        <w:rPr>
          <w:color w:val="000000" w:themeColor="text1"/>
        </w:rPr>
        <w:t xml:space="preserve"> water quality by controlling pathogenic bacteria to the benefit of humans, fish</w:t>
      </w:r>
      <w:r w:rsidR="001B4ECE" w:rsidRPr="000F46DC">
        <w:rPr>
          <w:color w:val="000000" w:themeColor="text1"/>
        </w:rPr>
        <w:t>es</w:t>
      </w:r>
      <w:r w:rsidR="005F4B77" w:rsidRPr="000F46DC">
        <w:rPr>
          <w:color w:val="000000" w:themeColor="text1"/>
        </w:rPr>
        <w:t>, and marine invertebrates such as coral</w:t>
      </w:r>
      <w:r w:rsidR="001B4ECE" w:rsidRPr="000F46DC">
        <w:rPr>
          <w:color w:val="000000" w:themeColor="text1"/>
        </w:rPr>
        <w:t xml:space="preserve"> (</w:t>
      </w:r>
      <w:hyperlink w:anchor="_ENREF_126" w:tooltip="Lamb, 2017 #10905" w:history="1">
        <w:r w:rsidR="00305FE7" w:rsidRPr="000F46DC">
          <w:rPr>
            <w:color w:val="000000" w:themeColor="text1"/>
          </w:rPr>
          <w:fldChar w:fldCharType="begin"/>
        </w:r>
        <w:r w:rsidR="00305FE7" w:rsidRPr="000F46DC">
          <w:rPr>
            <w:color w:val="000000" w:themeColor="text1"/>
          </w:rPr>
          <w:instrText xml:space="preserve"> ADDIN EN.CITE &lt;EndNote&gt;&lt;Cite&gt;&lt;Author&gt;Lamb&lt;/Author&gt;&lt;Year&gt;2017&lt;/Year&gt;&lt;RecNum&gt;10905&lt;/RecNum&gt;&lt;DisplayText&gt;Lamb&lt;style face="italic"&gt; et al.&lt;/style&gt; 2017&lt;/DisplayText&gt;&lt;record&gt;&lt;rec-number&gt;10905&lt;/rec-number&gt;&lt;foreign-keys&gt;&lt;key app="EN" db-id="0eve55x9y5vfd6e9dacxtew4eatve2dzds9a" timestamp="1487903175"&gt;10905&lt;/key&gt;&lt;/foreign-keys&gt;&lt;ref-type name="Journal Article"&gt;17&lt;/ref-type&gt;&lt;contributors&gt;&lt;authors&gt;&lt;author&gt;Lamb, Joleah B.&lt;/author&gt;&lt;author&gt;van de Water, Jeroen A. J. M.&lt;/author&gt;&lt;author&gt;Bourne, David G.&lt;/author&gt;&lt;author&gt;Altier, Craig&lt;/author&gt;&lt;author&gt;Hein, Margaux Y.&lt;/author&gt;&lt;author&gt;Fiorenza, Evan A.&lt;/author&gt;&lt;author&gt;Abu, Nur&lt;/author&gt;&lt;author&gt;Jompa, Jamaluddin&lt;/author&gt;&lt;author&gt;Harvell, C. Drew&lt;/author&gt;&lt;/authors&gt;&lt;/contributors&gt;&lt;titles&gt;&lt;title&gt;Seagrass ecosystems reduce exposure to bacterial pathogens of humans, fishes, and invertebrates&lt;/title&gt;&lt;secondary-title&gt;Science&lt;/secondary-title&gt;&lt;/titles&gt;&lt;periodical&gt;&lt;full-title&gt;Science&lt;/full-title&gt;&lt;/periodical&gt;&lt;pages&gt;731-733&lt;/pages&gt;&lt;volume&gt;355&lt;/volume&gt;&lt;number&gt;6326&lt;/number&gt;&lt;dates&gt;&lt;year&gt;2017&lt;/year&gt;&lt;/dates&gt;&lt;urls&gt;&lt;/urls&gt;&lt;electronic-resource-num&gt;10.1126/science.aal1956&lt;/electronic-resource-num&gt;&lt;/record&gt;&lt;/Cite&gt;&lt;/EndNote&gt;</w:instrText>
        </w:r>
        <w:r w:rsidR="00305FE7" w:rsidRPr="000F46DC">
          <w:rPr>
            <w:color w:val="000000" w:themeColor="text1"/>
          </w:rPr>
          <w:fldChar w:fldCharType="separate"/>
        </w:r>
        <w:r w:rsidR="00305FE7" w:rsidRPr="000F46DC">
          <w:rPr>
            <w:noProof/>
            <w:color w:val="000000" w:themeColor="text1"/>
          </w:rPr>
          <w:t>Lamb</w:t>
        </w:r>
        <w:r w:rsidR="00305FE7" w:rsidRPr="000F46DC">
          <w:rPr>
            <w:i/>
            <w:noProof/>
            <w:color w:val="000000" w:themeColor="text1"/>
          </w:rPr>
          <w:t xml:space="preserve"> et al.</w:t>
        </w:r>
        <w:r w:rsidR="00305FE7" w:rsidRPr="000F46DC">
          <w:rPr>
            <w:noProof/>
            <w:color w:val="000000" w:themeColor="text1"/>
          </w:rPr>
          <w:t xml:space="preserve"> 2017</w:t>
        </w:r>
        <w:r w:rsidR="00305FE7" w:rsidRPr="000F46DC">
          <w:rPr>
            <w:color w:val="000000" w:themeColor="text1"/>
          </w:rPr>
          <w:fldChar w:fldCharType="end"/>
        </w:r>
      </w:hyperlink>
      <w:r w:rsidR="001B4ECE" w:rsidRPr="000F46DC">
        <w:rPr>
          <w:color w:val="000000" w:themeColor="text1"/>
        </w:rPr>
        <w:t>)</w:t>
      </w:r>
      <w:r w:rsidR="005F4B77" w:rsidRPr="000F46DC">
        <w:rPr>
          <w:color w:val="000000" w:themeColor="text1"/>
        </w:rPr>
        <w:t>.</w:t>
      </w:r>
      <w:r w:rsidR="001B4ECE" w:rsidRPr="000F46DC">
        <w:rPr>
          <w:color w:val="000000" w:themeColor="text1"/>
        </w:rPr>
        <w:t xml:space="preserve"> </w:t>
      </w:r>
      <w:r w:rsidRPr="000F46DC">
        <w:rPr>
          <w:color w:val="000000" w:themeColor="text1"/>
        </w:rPr>
        <w:t>Nutrient cycling in seagrass meadows makes them one of the most economically valuable ecosystems in the world (</w:t>
      </w:r>
      <w:hyperlink w:anchor="_ENREF_65" w:tooltip="Costanza, 1997 #1765" w:history="1">
        <w:r w:rsidR="00305FE7" w:rsidRPr="000F46DC">
          <w:rPr>
            <w:color w:val="000000" w:themeColor="text1"/>
          </w:rPr>
          <w:fldChar w:fldCharType="begin"/>
        </w:r>
        <w:r w:rsidR="00305FE7" w:rsidRPr="000F46DC">
          <w:rPr>
            <w:color w:val="000000" w:themeColor="text1"/>
          </w:rPr>
          <w:instrText xml:space="preserve"> ADDIN EN.CITE &lt;EndNote&gt;&lt;Cite&gt;&lt;Author&gt;Costanza&lt;/Author&gt;&lt;Year&gt;1997&lt;/Year&gt;&lt;RecNum&gt;1765&lt;/RecNum&gt;&lt;DisplayText&gt;Costanza&lt;style face="italic"&gt; et al.&lt;/style&gt; 1997&lt;/DisplayText&gt;&lt;record&gt;&lt;rec-number&gt;1765&lt;/rec-number&gt;&lt;foreign-keys&gt;&lt;key app="EN" db-id="0eve55x9y5vfd6e9dacxtew4eatve2dzds9a" timestamp="0"&gt;1765&lt;/key&gt;&lt;/foreign-keys&gt;&lt;ref-type name="Journal Article"&gt;17&lt;/ref-type&gt;&lt;contributors&gt;&lt;authors&gt;&lt;author&gt;Costanza, Robert&lt;/author&gt;&lt;author&gt;d&amp;apos;Arge, Ralph&lt;/author&gt;&lt;author&gt;de Groot, Rudolf&lt;/author&gt;&lt;author&gt;Farber, Stephen&lt;/author&gt;&lt;author&gt;Grasso, Monica&lt;/author&gt;&lt;author&gt;Hannon, Bruce&lt;/author&gt;&lt;author&gt;Limburg, Karin&lt;/author&gt;&lt;author&gt;Naeem, Shahid&lt;/author&gt;&lt;author&gt;O&amp;apos;Neil, Robert V.&lt;/author&gt;&lt;author&gt;Paruelo, Jose&lt;/author&gt;&lt;author&gt;Raskin, Robert G.&lt;/author&gt;&lt;author&gt;Sutton, Paul&lt;/author&gt;&lt;author&gt;van der Belt, Marjan&lt;/author&gt;&lt;/authors&gt;&lt;/contributors&gt;&lt;titles&gt;&lt;title&gt;The Value of the world&amp;apos;s ecosystem services and natural capital&lt;/title&gt;&lt;secondary-title&gt;Nature&lt;/secondary-title&gt;&lt;alt-title&gt;Nature&lt;/alt-title&gt;&lt;/titles&gt;&lt;periodical&gt;&lt;full-title&gt;Nature&lt;/full-title&gt;&lt;/periodical&gt;&lt;alt-periodical&gt;&lt;full-title&gt;Nature&lt;/full-title&gt;&lt;/alt-periodical&gt;&lt;pages&gt;253-260&lt;/pages&gt;&lt;volume&gt;387&lt;/volume&gt;&lt;number&gt;15&lt;/number&gt;&lt;keywords&gt;&lt;keyword&gt;ECONOMICS&lt;/keyword&gt;&lt;keyword&gt;ENVIRONMENTAL VALUE&lt;/keyword&gt;&lt;keyword&gt;NATURAL CAPITAL&lt;/keyword&gt;&lt;/keywords&gt;&lt;dates&gt;&lt;year&gt;1997&lt;/year&gt;&lt;/dates&gt;&lt;label&gt;1857&lt;/label&gt;&lt;urls&gt;&lt;/urls&gt;&lt;custom1&gt;Annex&lt;/custom1&gt;&lt;/record&gt;&lt;/Cite&gt;&lt;/EndNote&gt;</w:instrText>
        </w:r>
        <w:r w:rsidR="00305FE7" w:rsidRPr="000F46DC">
          <w:rPr>
            <w:color w:val="000000" w:themeColor="text1"/>
          </w:rPr>
          <w:fldChar w:fldCharType="separate"/>
        </w:r>
        <w:r w:rsidR="00305FE7" w:rsidRPr="000F46DC">
          <w:rPr>
            <w:noProof/>
            <w:color w:val="000000" w:themeColor="text1"/>
          </w:rPr>
          <w:t>Costanza</w:t>
        </w:r>
        <w:r w:rsidR="00305FE7" w:rsidRPr="000F46DC">
          <w:rPr>
            <w:i/>
            <w:noProof/>
            <w:color w:val="000000" w:themeColor="text1"/>
          </w:rPr>
          <w:t xml:space="preserve"> et al.</w:t>
        </w:r>
        <w:r w:rsidR="00305FE7" w:rsidRPr="000F46DC">
          <w:rPr>
            <w:noProof/>
            <w:color w:val="000000" w:themeColor="text1"/>
          </w:rPr>
          <w:t xml:space="preserve"> 1997</w:t>
        </w:r>
        <w:r w:rsidR="00305FE7" w:rsidRPr="000F46DC">
          <w:rPr>
            <w:color w:val="000000" w:themeColor="text1"/>
          </w:rPr>
          <w:fldChar w:fldCharType="end"/>
        </w:r>
      </w:hyperlink>
      <w:r w:rsidRPr="000F46DC">
        <w:rPr>
          <w:color w:val="000000" w:themeColor="text1"/>
        </w:rPr>
        <w:t>) and the retention of carbon within their sediments contributes significantly to Blue Carbon sequestration (</w:t>
      </w:r>
      <w:r w:rsidR="00644A84" w:rsidRPr="000F46DC">
        <w:rPr>
          <w:color w:val="000000" w:themeColor="text1"/>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aWMiPiBldCBhbC48L3N0eWxlPiAyMDEyYTsgRHVhcnRlIGFuZCBLcmF1c2UtSmVuc2VuIDIwMTc7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</w:fldData>
        </w:fldChar>
      </w:r>
      <w:r w:rsidR="00521D93">
        <w:rPr>
          <w:color w:val="000000" w:themeColor="text1"/>
        </w:rPr>
        <w:instrText xml:space="preserve"> ADDIN EN.CITE </w:instrText>
      </w:r>
      <w:r w:rsidR="00521D93">
        <w:rPr>
          <w:color w:val="000000" w:themeColor="text1"/>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aWMiPiBldCBhbC48L3N0eWxlPiAyMDEyYTsgRHVhcnRlIGFuZCBLcmF1c2UtSmVuc2VuIDIwMTc7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</w:fldData>
        </w:fldChar>
      </w:r>
      <w:r w:rsidR="00521D93">
        <w:rPr>
          <w:color w:val="000000" w:themeColor="text1"/>
        </w:rPr>
        <w:instrText xml:space="preserve"> ADDIN EN.CITE.DATA </w:instrText>
      </w:r>
      <w:r w:rsidR="00521D93">
        <w:rPr>
          <w:color w:val="000000" w:themeColor="text1"/>
        </w:rPr>
      </w:r>
      <w:r w:rsidR="00521D93">
        <w:rPr>
          <w:color w:val="000000" w:themeColor="text1"/>
        </w:rPr>
        <w:fldChar w:fldCharType="end"/>
      </w:r>
      <w:r w:rsidR="00644A84" w:rsidRPr="000F46DC">
        <w:rPr>
          <w:color w:val="000000" w:themeColor="text1"/>
        </w:rPr>
      </w:r>
      <w:r w:rsidR="00644A84" w:rsidRPr="000F46DC">
        <w:rPr>
          <w:color w:val="000000" w:themeColor="text1"/>
        </w:rPr>
        <w:fldChar w:fldCharType="separate"/>
      </w:r>
      <w:hyperlink w:anchor="_ENREF_95" w:tooltip="Fourqurean, 2012 #9186" w:history="1">
        <w:r w:rsidR="00305FE7">
          <w:rPr>
            <w:noProof/>
            <w:color w:val="000000" w:themeColor="text1"/>
          </w:rPr>
          <w:t>Fourqurean</w:t>
        </w:r>
        <w:r w:rsidR="00305FE7" w:rsidRPr="00521D93">
          <w:rPr>
            <w:i/>
            <w:noProof/>
            <w:color w:val="000000" w:themeColor="text1"/>
          </w:rPr>
          <w:t xml:space="preserve"> et al.</w:t>
        </w:r>
        <w:r w:rsidR="00305FE7">
          <w:rPr>
            <w:noProof/>
            <w:color w:val="000000" w:themeColor="text1"/>
          </w:rPr>
          <w:t xml:space="preserve"> 2012</w:t>
        </w:r>
      </w:hyperlink>
      <w:r w:rsidR="00521D93">
        <w:rPr>
          <w:noProof/>
          <w:color w:val="000000" w:themeColor="text1"/>
        </w:rPr>
        <w:t xml:space="preserve">; </w:t>
      </w:r>
      <w:hyperlink w:anchor="_ENREF_224" w:tooltip="Unsworth, 2012 #9352" w:history="1">
        <w:r w:rsidR="00305FE7">
          <w:rPr>
            <w:noProof/>
            <w:color w:val="000000" w:themeColor="text1"/>
          </w:rPr>
          <w:t>Unsworth</w:t>
        </w:r>
        <w:r w:rsidR="00305FE7" w:rsidRPr="00521D93">
          <w:rPr>
            <w:i/>
            <w:noProof/>
            <w:color w:val="000000" w:themeColor="text1"/>
          </w:rPr>
          <w:t xml:space="preserve"> et al.</w:t>
        </w:r>
        <w:r w:rsidR="00305FE7">
          <w:rPr>
            <w:noProof/>
            <w:color w:val="000000" w:themeColor="text1"/>
          </w:rPr>
          <w:t xml:space="preserve"> 2012a</w:t>
        </w:r>
      </w:hyperlink>
      <w:r w:rsidR="00521D93">
        <w:rPr>
          <w:noProof/>
          <w:color w:val="000000" w:themeColor="text1"/>
        </w:rPr>
        <w:t xml:space="preserve">; </w:t>
      </w:r>
      <w:hyperlink w:anchor="_ENREF_85" w:tooltip="Duarte, 2017 #10919" w:history="1">
        <w:r w:rsidR="00305FE7">
          <w:rPr>
            <w:noProof/>
            <w:color w:val="000000" w:themeColor="text1"/>
          </w:rPr>
          <w:t>Duarte and Krause-Jensen 2017</w:t>
        </w:r>
      </w:hyperlink>
      <w:r w:rsidR="00521D93">
        <w:rPr>
          <w:noProof/>
          <w:color w:val="000000" w:themeColor="text1"/>
        </w:rPr>
        <w:t xml:space="preserve">; </w:t>
      </w:r>
      <w:hyperlink w:anchor="_ENREF_140" w:tooltip="Macreadie, 2017 #11522" w:history="1">
        <w:r w:rsidR="00305FE7">
          <w:rPr>
            <w:noProof/>
            <w:color w:val="000000" w:themeColor="text1"/>
          </w:rPr>
          <w:t>Macreadie</w:t>
        </w:r>
        <w:r w:rsidR="00305FE7" w:rsidRPr="00521D93">
          <w:rPr>
            <w:i/>
            <w:noProof/>
            <w:color w:val="000000" w:themeColor="text1"/>
          </w:rPr>
          <w:t xml:space="preserve"> et al.</w:t>
        </w:r>
        <w:r w:rsidR="00305FE7">
          <w:rPr>
            <w:noProof/>
            <w:color w:val="000000" w:themeColor="text1"/>
          </w:rPr>
          <w:t xml:space="preserve"> 2017</w:t>
        </w:r>
      </w:hyperlink>
      <w:r w:rsidR="00644A84" w:rsidRPr="000F46DC">
        <w:rPr>
          <w:color w:val="000000" w:themeColor="text1"/>
        </w:rPr>
        <w:fldChar w:fldCharType="end"/>
      </w:r>
      <w:r w:rsidRPr="000F46DC">
        <w:rPr>
          <w:color w:val="000000" w:themeColor="text1"/>
        </w:rPr>
        <w:t>).</w:t>
      </w:r>
    </w:p>
    <w:p w14:paraId="751D2C00" w14:textId="508D4832" w:rsidR="003D1F7F" w:rsidRPr="00A01EC1" w:rsidRDefault="003D1F7F" w:rsidP="003D1F7F">
      <w:pPr>
        <w:spacing w:before="240"/>
        <w:rPr>
          <w:color w:val="000000" w:themeColor="text1"/>
          <w:szCs w:val="22"/>
        </w:rPr>
      </w:pPr>
      <w:r w:rsidRPr="00A01EC1">
        <w:rPr>
          <w:color w:val="000000" w:themeColor="text1"/>
          <w:szCs w:val="22"/>
        </w:rPr>
        <w:t>Much of the connectivity in reef ecosystems depends on intact and healthy non-reef habitats, such as seagrass meadows (</w:t>
      </w:r>
      <w:hyperlink w:anchor="_ENREF_236" w:tooltip="Waycott, 2011 #9279" w:history="1">
        <w:r w:rsidR="00305FE7" w:rsidRPr="00A01EC1">
          <w:rPr>
            <w:color w:val="000000" w:themeColor="text1"/>
            <w:szCs w:val="22"/>
          </w:rPr>
          <w:fldChar w:fldCharType="begin"/>
        </w:r>
        <w:r w:rsidR="00305FE7" w:rsidRPr="00A01EC1">
          <w:rPr>
            <w:color w:val="000000" w:themeColor="text1"/>
            <w:szCs w:val="22"/>
          </w:rPr>
          <w:instrText xml:space="preserve"> ADDIN EN.CITE &lt;EndNote&gt;&lt;Cite&gt;&lt;Author&gt;Waycott&lt;/Author&gt;&lt;Year&gt;2011&lt;/Year&gt;&lt;RecNum&gt;9279&lt;/RecNum&gt;&lt;DisplayText&gt;Waycott&lt;style face="italic"&gt; et al.&lt;/style&gt; 2011&lt;/DisplayText&gt;&lt;record&gt;&lt;rec-number&gt;9279&lt;/rec-number&gt;&lt;foreign-keys&gt;&lt;key app="EN" db-id="0eve55x9y5vfd6e9dacxtew4eatve2dzds9a" timestamp="1375005080"&gt;9279&lt;/key&gt;&lt;/foreign-keys&gt;&lt;ref-type name="Book Section"&gt;5&lt;/ref-type&gt;&lt;contributors&gt;&lt;authors&gt;&lt;author&gt;Waycott, M.&lt;/author&gt;&lt;author&gt;McKenzie, Len J.&lt;/author&gt;&lt;author&gt;Mellors, J.E.&lt;/author&gt;&lt;author&gt;Ellison, J.C.&lt;/author&gt;&lt;author&gt;Sheaves, M.T.&lt;/author&gt;&lt;author&gt;Collier, C.&lt;/author&gt;&lt;author&gt;Schwarz, A-M.&lt;/author&gt;&lt;author&gt;Webb, A.&lt;/author&gt;&lt;author&gt;Johnson, J.&lt;/author&gt;&lt;author&gt;Payri, C.E.&lt;/author&gt;&lt;/authors&gt;&lt;secondary-authors&gt;&lt;author&gt;Bell, J.D.&lt;/author&gt;&lt;author&gt;Johnson, J.E.&lt;/author&gt;&lt;author&gt;Hobday, A.J.&lt;/author&gt;&lt;/secondary-authors&gt;&lt;/contributors&gt;&lt;titles&gt;&lt;title&gt;Vulnerability of mangroves, seagrasses and intertidal flats in the tropical Pacific to climate change&lt;/title&gt;&lt;secondary-title&gt;Vulnerability of fisheries and aquaculture in the Pacific to climate change&lt;/secondary-title&gt;&lt;/titles&gt;&lt;pages&gt;97-168&lt;/pages&gt;&lt;section&gt;6&lt;/section&gt;&lt;dates&gt;&lt;year&gt;2011&lt;/year&gt;&lt;/dates&gt;&lt;pub-location&gt;Noumea, New Caledonia&lt;/pub-location&gt;&lt;publisher&gt;Secretariat of the Pacific Community&lt;/publisher&gt;&lt;urls&gt;&lt;/urls&gt;&lt;/record&gt;&lt;/Cite&gt;&lt;/EndNote&gt;</w:instrText>
        </w:r>
        <w:r w:rsidR="00305FE7" w:rsidRPr="00A01EC1">
          <w:rPr>
            <w:color w:val="000000" w:themeColor="text1"/>
            <w:szCs w:val="22"/>
          </w:rPr>
          <w:fldChar w:fldCharType="separate"/>
        </w:r>
        <w:r w:rsidR="00305FE7" w:rsidRPr="00A01EC1">
          <w:rPr>
            <w:noProof/>
            <w:color w:val="000000" w:themeColor="text1"/>
            <w:szCs w:val="22"/>
          </w:rPr>
          <w:t>Waycott</w:t>
        </w:r>
        <w:r w:rsidR="00305FE7" w:rsidRPr="00A01EC1">
          <w:rPr>
            <w:i/>
            <w:noProof/>
            <w:color w:val="000000" w:themeColor="text1"/>
            <w:szCs w:val="22"/>
          </w:rPr>
          <w:t xml:space="preserve"> et al.</w:t>
        </w:r>
        <w:r w:rsidR="00305FE7" w:rsidRPr="00A01EC1">
          <w:rPr>
            <w:noProof/>
            <w:color w:val="000000" w:themeColor="text1"/>
            <w:szCs w:val="22"/>
          </w:rPr>
          <w:t xml:space="preserve"> 2011</w:t>
        </w:r>
        <w:r w:rsidR="00305FE7" w:rsidRPr="00A01EC1">
          <w:rPr>
            <w:color w:val="000000" w:themeColor="text1"/>
            <w:szCs w:val="22"/>
          </w:rPr>
          <w:fldChar w:fldCharType="end"/>
        </w:r>
      </w:hyperlink>
      <w:r w:rsidRPr="00A01EC1">
        <w:rPr>
          <w:color w:val="000000" w:themeColor="text1"/>
          <w:szCs w:val="22"/>
        </w:rPr>
        <w:t>). These non-reef habitats are particularly important to the maintenance and regeneration of populations of reef fish such as Emperor fish (</w:t>
      </w:r>
      <w:r w:rsidRPr="00A01EC1">
        <w:rPr>
          <w:i/>
          <w:color w:val="000000" w:themeColor="text1"/>
          <w:szCs w:val="22"/>
        </w:rPr>
        <w:t>Lethrinus spp</w:t>
      </w:r>
      <w:r w:rsidRPr="00A01EC1">
        <w:rPr>
          <w:color w:val="000000" w:themeColor="text1"/>
          <w:szCs w:val="22"/>
        </w:rPr>
        <w:t>) and Tuskfish (</w:t>
      </w:r>
      <w:r w:rsidRPr="00A01EC1">
        <w:rPr>
          <w:i/>
          <w:color w:val="000000" w:themeColor="text1"/>
          <w:szCs w:val="22"/>
        </w:rPr>
        <w:t>Choerodon spp</w:t>
      </w:r>
      <w:r w:rsidRPr="00A01EC1">
        <w:rPr>
          <w:color w:val="000000" w:themeColor="text1"/>
          <w:szCs w:val="22"/>
        </w:rPr>
        <w:t>) (</w:t>
      </w:r>
      <w:hyperlink w:anchor="_ENREF_70" w:tooltip="Cullen-Unsworth, 2014 #9996" w:history="1">
        <w:r w:rsidR="00305FE7" w:rsidRPr="00A01EC1">
          <w:rPr>
            <w:color w:val="000000" w:themeColor="text1"/>
            <w:szCs w:val="22"/>
          </w:rPr>
          <w:fldChar w:fldCharType="begin"/>
        </w:r>
        <w:r w:rsidR="00305FE7" w:rsidRPr="00A01EC1">
          <w:rPr>
            <w:color w:val="000000" w:themeColor="text1"/>
            <w:szCs w:val="22"/>
          </w:rPr>
          <w:instrText xml:space="preserve"> ADDIN EN.CITE &lt;EndNote&gt;&lt;Cite&gt;&lt;Author&gt;Cullen-Unsworth&lt;/Author&gt;&lt;Year&gt;2014&lt;/Year&gt;&lt;RecNum&gt;9996&lt;/RecNum&gt;&lt;DisplayText&gt;Cullen-Unsworth&lt;style face="italic"&gt; et al.&lt;/style&gt; 2014&lt;/DisplayText&gt;&lt;record&gt;&lt;rec-number&gt;9996&lt;/rec-number&gt;&lt;foreign-keys&gt;&lt;key app="EN" db-id="0eve55x9y5vfd6e9dacxtew4eatve2dzds9a" timestamp="1414622891"&gt;9996&lt;/key&gt;&lt;/foreign-keys&gt;&lt;ref-type name="Journal Article"&gt;17&lt;/ref-type&gt;&lt;contributors&gt;&lt;authors&gt;&lt;author&gt;Cullen-Unsworth, Leanne C.&lt;/author&gt;&lt;author&gt;Nordlund, Lina Mtwana&lt;/author&gt;&lt;author&gt;Paddock, Jessica&lt;/author&gt;&lt;author&gt;Baker, Susan&lt;/author&gt;&lt;author&gt;McKenzie, Len J.&lt;/author&gt;&lt;author&gt;Unsworth, Richard K. F.&lt;/author&gt;&lt;/authors&gt;&lt;/contributors&gt;&lt;titles&gt;&lt;title&gt;Seagrass meadows globally as a coupled social–ecological system: Implications for human wellbeing&lt;/title&gt;&lt;secondary-title&gt;Marine Pollution Bulletin&lt;/secondary-title&gt;&lt;/titles&gt;&lt;periodical&gt;&lt;full-title&gt;Marine Pollution Bulletin&lt;/full-title&gt;&lt;/periodical&gt;&lt;pages&gt;387-397&lt;/pages&gt;&lt;volume&gt;83&lt;/volume&gt;&lt;number&gt;2&lt;/number&gt;&lt;keywords&gt;&lt;keyword&gt;Ecosystem services&lt;/keyword&gt;&lt;keyword&gt;Human wellbeing&lt;/keyword&gt;&lt;keyword&gt;Seagrass meadows&lt;/keyword&gt;&lt;keyword&gt;Coupled social–ecological system&lt;/keyword&gt;&lt;keyword&gt;Ecological systems&lt;/keyword&gt;&lt;keyword&gt;Social processes&lt;/keyword&gt;&lt;/keywords&gt;&lt;dates&gt;&lt;year&gt;2014&lt;/year&gt;&lt;/dates&gt;&lt;isbn&gt;0025-326X&lt;/isbn&gt;&lt;urls&gt;&lt;related-urls&gt;&lt;url&gt;http://www.sciencedirect.com/science/article/pii/S0025326X13002919&lt;/url&gt;&lt;/related-urls&gt;&lt;/urls&gt;&lt;electronic-resource-num&gt;http://dx.doi.org/10.1016/j.marpolbul.2013.06.001&lt;/electronic-resource-num&gt;&lt;/record&gt;&lt;/Cite&gt;&lt;/EndNote&gt;</w:instrText>
        </w:r>
        <w:r w:rsidR="00305FE7" w:rsidRPr="00A01EC1">
          <w:rPr>
            <w:color w:val="000000" w:themeColor="text1"/>
            <w:szCs w:val="22"/>
          </w:rPr>
          <w:fldChar w:fldCharType="separate"/>
        </w:r>
        <w:r w:rsidR="00305FE7" w:rsidRPr="00A01EC1">
          <w:rPr>
            <w:noProof/>
            <w:color w:val="000000" w:themeColor="text1"/>
            <w:szCs w:val="22"/>
          </w:rPr>
          <w:t>Cullen-Unsworth</w:t>
        </w:r>
        <w:r w:rsidR="00305FE7" w:rsidRPr="00A01EC1">
          <w:rPr>
            <w:i/>
            <w:noProof/>
            <w:color w:val="000000" w:themeColor="text1"/>
            <w:szCs w:val="22"/>
          </w:rPr>
          <w:t xml:space="preserve"> et al.</w:t>
        </w:r>
        <w:r w:rsidR="00305FE7" w:rsidRPr="00A01EC1">
          <w:rPr>
            <w:noProof/>
            <w:color w:val="000000" w:themeColor="text1"/>
            <w:szCs w:val="22"/>
          </w:rPr>
          <w:t xml:space="preserve"> 2014</w:t>
        </w:r>
        <w:r w:rsidR="00305FE7" w:rsidRPr="00A01EC1">
          <w:rPr>
            <w:color w:val="000000" w:themeColor="text1"/>
            <w:szCs w:val="22"/>
          </w:rPr>
          <w:fldChar w:fldCharType="end"/>
        </w:r>
      </w:hyperlink>
      <w:r w:rsidRPr="00A01EC1">
        <w:rPr>
          <w:color w:val="000000" w:themeColor="text1"/>
          <w:szCs w:val="22"/>
        </w:rPr>
        <w:t>). In addition, t</w:t>
      </w:r>
      <w:r w:rsidRPr="00A01EC1">
        <w:rPr>
          <w:color w:val="000000" w:themeColor="text1"/>
        </w:rPr>
        <w:t>he incorporation of carbon within seagrass tissues can affect local pH and increase calcification of coral reefs, thereby mitigating the effects of ocean acidification (</w:t>
      </w:r>
      <w:r w:rsidR="00644A84" w:rsidRPr="00A01EC1">
        <w:rPr>
          <w:color w:val="000000" w:themeColor="text1"/>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ZTU1eDl5NXZmZDZlOWRhY3h0ZXc0ZWF0dmUyZHpkczlhIiB0aW1lc3RhbXA9IjEzNzUwMDM3MjMi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</w:fldData>
        </w:fldChar>
      </w:r>
      <w:r w:rsidR="00521D93">
        <w:rPr>
          <w:color w:val="000000" w:themeColor="text1"/>
        </w:rPr>
        <w:instrText xml:space="preserve"> ADDIN EN.CITE </w:instrText>
      </w:r>
      <w:r w:rsidR="00521D93">
        <w:rPr>
          <w:color w:val="000000" w:themeColor="text1"/>
        </w:rPr>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ZTU1eDl5NXZmZDZlOWRhY3h0ZXc0ZWF0dmUyZHpkczlhIiB0aW1lc3RhbXA9IjEzNzUwMDM3MjMi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</w:fldData>
        </w:fldChar>
      </w:r>
      <w:r w:rsidR="00521D93">
        <w:rPr>
          <w:color w:val="000000" w:themeColor="text1"/>
        </w:rPr>
        <w:instrText xml:space="preserve"> ADDIN EN.CITE.DATA </w:instrText>
      </w:r>
      <w:r w:rsidR="00521D93">
        <w:rPr>
          <w:color w:val="000000" w:themeColor="text1"/>
        </w:rPr>
      </w:r>
      <w:r w:rsidR="00521D93">
        <w:rPr>
          <w:color w:val="000000" w:themeColor="text1"/>
        </w:rPr>
        <w:fldChar w:fldCharType="end"/>
      </w:r>
      <w:r w:rsidR="00644A84" w:rsidRPr="00A01EC1">
        <w:rPr>
          <w:color w:val="000000" w:themeColor="text1"/>
        </w:rPr>
      </w:r>
      <w:r w:rsidR="00644A84" w:rsidRPr="00A01EC1">
        <w:rPr>
          <w:color w:val="000000" w:themeColor="text1"/>
        </w:rPr>
        <w:fldChar w:fldCharType="separate"/>
      </w:r>
      <w:hyperlink w:anchor="_ENREF_95" w:tooltip="Fourqurean, 2012 #9186" w:history="1">
        <w:r w:rsidR="00305FE7">
          <w:rPr>
            <w:noProof/>
            <w:color w:val="000000" w:themeColor="text1"/>
          </w:rPr>
          <w:t>Fourqurean</w:t>
        </w:r>
        <w:r w:rsidR="00305FE7" w:rsidRPr="00521D93">
          <w:rPr>
            <w:i/>
            <w:noProof/>
            <w:color w:val="000000" w:themeColor="text1"/>
          </w:rPr>
          <w:t xml:space="preserve"> et al.</w:t>
        </w:r>
        <w:r w:rsidR="00305FE7">
          <w:rPr>
            <w:noProof/>
            <w:color w:val="000000" w:themeColor="text1"/>
          </w:rPr>
          <w:t xml:space="preserve"> 2012</w:t>
        </w:r>
      </w:hyperlink>
      <w:r w:rsidR="00521D93">
        <w:rPr>
          <w:noProof/>
          <w:color w:val="000000" w:themeColor="text1"/>
        </w:rPr>
        <w:t xml:space="preserve">; </w:t>
      </w:r>
      <w:hyperlink w:anchor="_ENREF_224" w:tooltip="Unsworth, 2012 #9352" w:history="1">
        <w:r w:rsidR="00305FE7">
          <w:rPr>
            <w:noProof/>
            <w:color w:val="000000" w:themeColor="text1"/>
          </w:rPr>
          <w:t>Unsworth</w:t>
        </w:r>
        <w:r w:rsidR="00305FE7" w:rsidRPr="00521D93">
          <w:rPr>
            <w:i/>
            <w:noProof/>
            <w:color w:val="000000" w:themeColor="text1"/>
          </w:rPr>
          <w:t xml:space="preserve"> et al.</w:t>
        </w:r>
        <w:r w:rsidR="00305FE7">
          <w:rPr>
            <w:noProof/>
            <w:color w:val="000000" w:themeColor="text1"/>
          </w:rPr>
          <w:t xml:space="preserve"> 2012a</w:t>
        </w:r>
      </w:hyperlink>
      <w:r w:rsidR="00644A84" w:rsidRPr="00A01EC1">
        <w:rPr>
          <w:color w:val="000000" w:themeColor="text1"/>
        </w:rPr>
        <w:fldChar w:fldCharType="end"/>
      </w:r>
      <w:r w:rsidRPr="00A01EC1">
        <w:rPr>
          <w:color w:val="000000" w:themeColor="text1"/>
        </w:rPr>
        <w:t>).</w:t>
      </w:r>
      <w:r w:rsidRPr="00A01EC1">
        <w:rPr>
          <w:color w:val="000000" w:themeColor="text1"/>
          <w:szCs w:val="22"/>
        </w:rPr>
        <w:t xml:space="preserve"> Therefore, monitoring changes in seagrasses meadows not only provides an indication of coastal ecosystem health, but also improves our capacity to predict changes to adjacent reefs, mangroves and associated resources upon which coastal communities depend (</w:t>
      </w:r>
      <w:hyperlink w:anchor="_ENREF_114" w:tooltip="Heck, 2008 #7826" w:history="1">
        <w:r w:rsidR="00305FE7" w:rsidRPr="00A01EC1">
          <w:rPr>
            <w:color w:val="000000" w:themeColor="text1"/>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dmZkNmU5ZGFjeHRldzRlYXR2ZTJkemRzOWEiIHRpbWVzdGFtcD0iMCI+NzgyNjwva2V5PjwvZm9y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</w:fldData>
          </w:fldChar>
        </w:r>
        <w:r w:rsidR="00305FE7" w:rsidRPr="00A01EC1">
          <w:rPr>
            <w:color w:val="000000" w:themeColor="text1"/>
            <w:szCs w:val="22"/>
          </w:rPr>
          <w:instrText xml:space="preserve"> ADDIN EN.CITE </w:instrText>
        </w:r>
        <w:r w:rsidR="00305FE7" w:rsidRPr="00A01EC1">
          <w:rPr>
            <w:color w:val="000000" w:themeColor="text1"/>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dmZkNmU5ZGFjeHRldzRlYXR2ZTJkemRzOWEiIHRpbWVzdGFtcD0iMCI+NzgyNjwva2V5PjwvZm9y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</w:fldData>
          </w:fldChar>
        </w:r>
        <w:r w:rsidR="00305FE7" w:rsidRPr="00A01EC1">
          <w:rPr>
            <w:color w:val="000000" w:themeColor="text1"/>
            <w:szCs w:val="22"/>
          </w:rPr>
          <w:instrText xml:space="preserve"> ADDIN EN.CITE.DATA </w:instrText>
        </w:r>
        <w:r w:rsidR="00305FE7" w:rsidRPr="00A01EC1">
          <w:rPr>
            <w:color w:val="000000" w:themeColor="text1"/>
            <w:szCs w:val="22"/>
          </w:rPr>
        </w:r>
        <w:r w:rsidR="00305FE7" w:rsidRPr="00A01EC1">
          <w:rPr>
            <w:color w:val="000000" w:themeColor="text1"/>
            <w:szCs w:val="22"/>
          </w:rPr>
          <w:fldChar w:fldCharType="end"/>
        </w:r>
        <w:r w:rsidR="00305FE7" w:rsidRPr="00A01EC1">
          <w:rPr>
            <w:color w:val="000000" w:themeColor="text1"/>
            <w:szCs w:val="22"/>
          </w:rPr>
        </w:r>
        <w:r w:rsidR="00305FE7" w:rsidRPr="00A01EC1">
          <w:rPr>
            <w:color w:val="000000" w:themeColor="text1"/>
            <w:szCs w:val="22"/>
          </w:rPr>
          <w:fldChar w:fldCharType="separate"/>
        </w:r>
        <w:r w:rsidR="00305FE7" w:rsidRPr="00A01EC1">
          <w:rPr>
            <w:noProof/>
            <w:color w:val="000000" w:themeColor="text1"/>
            <w:szCs w:val="22"/>
          </w:rPr>
          <w:t>Heck</w:t>
        </w:r>
        <w:r w:rsidR="00305FE7" w:rsidRPr="00A01EC1">
          <w:rPr>
            <w:i/>
            <w:noProof/>
            <w:color w:val="000000" w:themeColor="text1"/>
            <w:szCs w:val="22"/>
          </w:rPr>
          <w:t xml:space="preserve"> et al.</w:t>
        </w:r>
        <w:r w:rsidR="00305FE7" w:rsidRPr="00A01EC1">
          <w:rPr>
            <w:noProof/>
            <w:color w:val="000000" w:themeColor="text1"/>
            <w:szCs w:val="22"/>
          </w:rPr>
          <w:t xml:space="preserve"> 2008</w:t>
        </w:r>
        <w:r w:rsidR="00305FE7" w:rsidRPr="00A01EC1">
          <w:rPr>
            <w:color w:val="000000" w:themeColor="text1"/>
            <w:szCs w:val="22"/>
          </w:rPr>
          <w:fldChar w:fldCharType="end"/>
        </w:r>
      </w:hyperlink>
      <w:r w:rsidRPr="00A01EC1">
        <w:rPr>
          <w:color w:val="000000" w:themeColor="text1"/>
          <w:szCs w:val="22"/>
        </w:rPr>
        <w:t>).</w:t>
      </w:r>
    </w:p>
    <w:p w14:paraId="7B2DEE1D" w14:textId="4564550B" w:rsidR="003D1F7F" w:rsidRPr="00A01EC1" w:rsidRDefault="003D1F7F" w:rsidP="003D1F7F">
      <w:pPr>
        <w:spacing w:before="240"/>
        <w:rPr>
          <w:color w:val="000000" w:themeColor="text1"/>
          <w:szCs w:val="22"/>
        </w:rPr>
      </w:pPr>
      <w:r w:rsidRPr="00A01EC1">
        <w:rPr>
          <w:color w:val="000000" w:themeColor="text1"/>
          <w:szCs w:val="22"/>
        </w:rPr>
        <w:t xml:space="preserve">Chronic declines in inshore water quality in the </w:t>
      </w:r>
      <w:r w:rsidR="007F6948">
        <w:rPr>
          <w:color w:val="000000" w:themeColor="text1"/>
          <w:szCs w:val="22"/>
        </w:rPr>
        <w:t>Reef</w:t>
      </w:r>
      <w:r w:rsidRPr="00A01EC1">
        <w:rPr>
          <w:color w:val="000000" w:themeColor="text1"/>
          <w:szCs w:val="22"/>
        </w:rPr>
        <w:t xml:space="preserve"> since European settlement have led to </w:t>
      </w:r>
      <w:r w:rsidR="00E847B5" w:rsidRPr="00A01EC1">
        <w:rPr>
          <w:color w:val="000000" w:themeColor="text1"/>
          <w:szCs w:val="22"/>
        </w:rPr>
        <w:t>major</w:t>
      </w:r>
      <w:r w:rsidRPr="00A01EC1">
        <w:rPr>
          <w:color w:val="000000" w:themeColor="text1"/>
          <w:szCs w:val="22"/>
        </w:rPr>
        <w:t xml:space="preserve"> ecological shifts in many GBR marine ecosystems (</w:t>
      </w:r>
      <w:r w:rsidR="00644A84" w:rsidRPr="00A01EC1">
        <w:rPr>
          <w:color w:val="000000" w:themeColor="text1"/>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dHZlMmR6ZHM5YSIgdGltZXN0YW1wPSIxNDU0NTQ5ODc2Ij4xMDQ4NTwva2V5PjwvZm9yZWlnbi1r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bC10aXRsZT48L3BlcmlvZGljYWw+PHZvbHVtZT4yODA8L3ZvbHVtZT48bnVtYmVyPjE3NTA8L251
bWJlcj48ZGF0ZXM+PHllYXI+MjAxMzwveWVhcj48cHViLWRhdGVzPjxkYXRlPjIwMTMtMDEtMDcg
MDA6MDA6MDA8L2RhdGU+PC9wdWItZGF0ZXM+PC9kYXRlcz48dXJscz48cmVsYXRlZC11cmxzPjx1
cmw+aHR0cDovL3JzcGIucm95YWxzb2NpZXR5cHVibGlzaGluZy5vcmcvY29udGVudC9yb3lwcnNi
LzI4MC8xNzUwLzIwMTIyMTAwLmZ1bGwucGRmPC91cmw+PC9yZWxhdGVkLXVybHM+PC91cmxzPjxl
bGVjdHJvbmljLXJlc291cmNlLW51bT4xMC4xMDk4L3JzcGIuMjAxMi4yMTAwPC9lbGVjdHJvbmlj
LXJlc291cmNlLW51bT48L3JlY29yZD48L0NpdGU+PC9FbmROb3RlPgB=
</w:fldData>
        </w:fldChar>
      </w:r>
      <w:r w:rsidR="005B0C7C" w:rsidRPr="00A01EC1">
        <w:rPr>
          <w:color w:val="000000" w:themeColor="text1"/>
          <w:szCs w:val="22"/>
        </w:rPr>
        <w:instrText xml:space="preserve"> ADDIN EN.CITE </w:instrText>
      </w:r>
      <w:r w:rsidR="005B0C7C" w:rsidRPr="00A01EC1">
        <w:rPr>
          <w:color w:val="000000" w:themeColor="text1"/>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dHZlMmR6ZHM5YSIgdGltZXN0YW1wPSIxNDU0NTQ5ODc2Ij4xMDQ4NTwva2V5PjwvZm9yZWlnbi1r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bC10aXRsZT48L3BlcmlvZGljYWw+PHZvbHVtZT4yODA8L3ZvbHVtZT48bnVtYmVyPjE3NTA8L251
bWJlcj48ZGF0ZXM+PHllYXI+MjAxMzwveWVhcj48cHViLWRhdGVzPjxkYXRlPjIwMTMtMDEtMDcg
MDA6MDA6MDA8L2RhdGU+PC9wdWItZGF0ZXM+PC9kYXRlcz48dXJscz48cmVsYXRlZC11cmxzPjx1
cmw+aHR0cDovL3JzcGIucm95YWxzb2NpZXR5cHVibGlzaGluZy5vcmcvY29udGVudC9yb3lwcnNi
LzI4MC8xNzUwLzIwMTIyMTAwLmZ1bGwucGRmPC91cmw+PC9yZWxhdGVkLXVybHM+PC91cmxzPjxl
bGVjdHJvbmljLXJlc291cmNlLW51bT4xMC4xMDk4L3JzcGIuMjAxMi4yMTAwPC9lbGVjdHJvbmlj
LXJlc291cmNlLW51bT48L3JlY29yZD48L0NpdGU+PC9FbmROb3RlPgB=
</w:fldData>
        </w:fldChar>
      </w:r>
      <w:r w:rsidR="005B0C7C" w:rsidRPr="00A01EC1">
        <w:rPr>
          <w:color w:val="000000" w:themeColor="text1"/>
          <w:szCs w:val="22"/>
        </w:rPr>
        <w:instrText xml:space="preserve"> ADDIN EN.CITE.DATA </w:instrText>
      </w:r>
      <w:r w:rsidR="005B0C7C" w:rsidRPr="00A01EC1">
        <w:rPr>
          <w:color w:val="000000" w:themeColor="text1"/>
          <w:szCs w:val="22"/>
        </w:rPr>
      </w:r>
      <w:r w:rsidR="005B0C7C" w:rsidRPr="00A01EC1">
        <w:rPr>
          <w:color w:val="000000" w:themeColor="text1"/>
          <w:szCs w:val="22"/>
        </w:rPr>
        <w:fldChar w:fldCharType="end"/>
      </w:r>
      <w:r w:rsidR="00644A84" w:rsidRPr="00A01EC1">
        <w:rPr>
          <w:color w:val="000000" w:themeColor="text1"/>
          <w:szCs w:val="22"/>
        </w:rPr>
      </w:r>
      <w:r w:rsidR="00644A84" w:rsidRPr="00A01EC1">
        <w:rPr>
          <w:color w:val="000000" w:themeColor="text1"/>
          <w:szCs w:val="22"/>
        </w:rPr>
        <w:fldChar w:fldCharType="separate"/>
      </w:r>
      <w:hyperlink w:anchor="_ENREF_72" w:tooltip="De'ath, 2010 #10485" w:history="1">
        <w:r w:rsidR="00305FE7" w:rsidRPr="00A01EC1">
          <w:rPr>
            <w:noProof/>
            <w:color w:val="000000" w:themeColor="text1"/>
            <w:szCs w:val="22"/>
          </w:rPr>
          <w:t>De'ath and Fabricius 2010</w:t>
        </w:r>
      </w:hyperlink>
      <w:r w:rsidR="00957846" w:rsidRPr="00A01EC1">
        <w:rPr>
          <w:noProof/>
          <w:color w:val="000000" w:themeColor="text1"/>
          <w:szCs w:val="22"/>
        </w:rPr>
        <w:t xml:space="preserve">; </w:t>
      </w:r>
      <w:hyperlink w:anchor="_ENREF_204" w:tooltip="Roff, 2013 #10583" w:history="1">
        <w:r w:rsidR="00305FE7" w:rsidRPr="00A01EC1">
          <w:rPr>
            <w:noProof/>
            <w:color w:val="000000" w:themeColor="text1"/>
            <w:szCs w:val="22"/>
          </w:rPr>
          <w:t>Roff</w:t>
        </w:r>
        <w:r w:rsidR="00305FE7" w:rsidRPr="00A01EC1">
          <w:rPr>
            <w:i/>
            <w:noProof/>
            <w:color w:val="000000" w:themeColor="text1"/>
            <w:szCs w:val="22"/>
          </w:rPr>
          <w:t xml:space="preserve"> et al.</w:t>
        </w:r>
        <w:r w:rsidR="00305FE7" w:rsidRPr="00A01EC1">
          <w:rPr>
            <w:noProof/>
            <w:color w:val="000000" w:themeColor="text1"/>
            <w:szCs w:val="22"/>
          </w:rPr>
          <w:t xml:space="preserve"> 2013</w:t>
        </w:r>
      </w:hyperlink>
      <w:r w:rsidR="00644A84" w:rsidRPr="00A01EC1">
        <w:rPr>
          <w:color w:val="000000" w:themeColor="text1"/>
          <w:szCs w:val="22"/>
        </w:rPr>
        <w:fldChar w:fldCharType="end"/>
      </w:r>
      <w:r w:rsidRPr="00A01EC1">
        <w:rPr>
          <w:color w:val="000000" w:themeColor="text1"/>
          <w:szCs w:val="22"/>
        </w:rPr>
        <w:t>). Multiple pressures are the cause of this decline, including intensive use of the GBR catchments for agriculture and grazing, and coastal development for urban centres and commercial ports (</w:t>
      </w:r>
      <w:hyperlink w:anchor="_ENREF_19" w:tooltip="Brodie, 2013 #9501" w:history="1">
        <w:r w:rsidR="00305FE7" w:rsidRPr="00A01EC1">
          <w:rPr>
            <w:color w:val="000000" w:themeColor="text1"/>
            <w:szCs w:val="22"/>
          </w:rPr>
          <w:fldChar w:fldCharType="begin"/>
        </w:r>
        <w:r w:rsidR="00305FE7" w:rsidRPr="00A01EC1">
          <w:rPr>
            <w:color w:val="000000" w:themeColor="text1"/>
            <w:szCs w:val="22"/>
          </w:rPr>
          <w:instrText xml:space="preserve"> ADDIN EN.CITE &lt;EndNote&gt;&lt;Cite&gt;&lt;Author&gt;Brodie&lt;/Author&gt;&lt;Year&gt;2013&lt;/Year&gt;&lt;RecNum&gt;9501&lt;/RecNum&gt;&lt;DisplayText&gt;Brodie&lt;style face="italic"&gt; et al.&lt;/style&gt; 2013&lt;/DisplayText&gt;&lt;record&gt;&lt;rec-number&gt;9501&lt;/rec-number&gt;&lt;foreign-keys&gt;&lt;key app="EN" db-id="0eve55x9y5vfd6e9dacxtew4eatve2dzds9a" timestamp="1375854876"&gt;9501&lt;/key&gt;&lt;/foreign-keys&gt;&lt;ref-type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305FE7" w:rsidRPr="00A01EC1">
          <w:rPr>
            <w:color w:val="000000" w:themeColor="text1"/>
            <w:szCs w:val="22"/>
          </w:rPr>
          <w:fldChar w:fldCharType="separate"/>
        </w:r>
        <w:r w:rsidR="00305FE7" w:rsidRPr="00A01EC1">
          <w:rPr>
            <w:noProof/>
            <w:color w:val="000000" w:themeColor="text1"/>
            <w:szCs w:val="22"/>
          </w:rPr>
          <w:t>Brodie</w:t>
        </w:r>
        <w:r w:rsidR="00305FE7" w:rsidRPr="00A01EC1">
          <w:rPr>
            <w:i/>
            <w:noProof/>
            <w:color w:val="000000" w:themeColor="text1"/>
            <w:szCs w:val="22"/>
          </w:rPr>
          <w:t xml:space="preserve"> et al.</w:t>
        </w:r>
        <w:r w:rsidR="00305FE7" w:rsidRPr="00A01EC1">
          <w:rPr>
            <w:noProof/>
            <w:color w:val="000000" w:themeColor="text1"/>
            <w:szCs w:val="22"/>
          </w:rPr>
          <w:t xml:space="preserve"> 2013</w:t>
        </w:r>
        <w:r w:rsidR="00305FE7" w:rsidRPr="00A01EC1">
          <w:rPr>
            <w:color w:val="000000" w:themeColor="text1"/>
            <w:szCs w:val="22"/>
          </w:rPr>
          <w:fldChar w:fldCharType="end"/>
        </w:r>
      </w:hyperlink>
      <w:r w:rsidRPr="00A01EC1">
        <w:rPr>
          <w:color w:val="000000" w:themeColor="text1"/>
          <w:szCs w:val="22"/>
        </w:rPr>
        <w:t xml:space="preserve">). Flood </w:t>
      </w:r>
      <w:r w:rsidR="00E847B5" w:rsidRPr="00A01EC1">
        <w:rPr>
          <w:color w:val="000000" w:themeColor="text1"/>
          <w:szCs w:val="22"/>
        </w:rPr>
        <w:t>waters</w:t>
      </w:r>
      <w:r w:rsidRPr="00A01EC1">
        <w:rPr>
          <w:color w:val="000000" w:themeColor="text1"/>
          <w:szCs w:val="22"/>
        </w:rPr>
        <w:t xml:space="preserve"> </w:t>
      </w:r>
      <w:r w:rsidR="00E847B5" w:rsidRPr="00A01EC1">
        <w:rPr>
          <w:color w:val="000000" w:themeColor="text1"/>
          <w:szCs w:val="22"/>
        </w:rPr>
        <w:t>deliver</w:t>
      </w:r>
      <w:r w:rsidRPr="00A01EC1">
        <w:rPr>
          <w:color w:val="000000" w:themeColor="text1"/>
          <w:szCs w:val="22"/>
        </w:rPr>
        <w:t xml:space="preserve"> terrestrially sourced pollutants </w:t>
      </w:r>
      <w:r w:rsidR="008D142C">
        <w:rPr>
          <w:color w:val="000000" w:themeColor="text1"/>
          <w:szCs w:val="22"/>
        </w:rPr>
        <w:t>(e.g.</w:t>
      </w:r>
      <w:r w:rsidR="00ED661B" w:rsidRPr="00A01EC1">
        <w:rPr>
          <w:color w:val="000000" w:themeColor="text1"/>
          <w:szCs w:val="22"/>
        </w:rPr>
        <w:t xml:space="preserve"> sediments, nutrients, pesticides) </w:t>
      </w:r>
      <w:r w:rsidRPr="00A01EC1">
        <w:rPr>
          <w:color w:val="000000" w:themeColor="text1"/>
          <w:szCs w:val="22"/>
        </w:rPr>
        <w:t>into the GBR</w:t>
      </w:r>
      <w:r w:rsidR="00ED661B" w:rsidRPr="00A01EC1">
        <w:rPr>
          <w:color w:val="000000" w:themeColor="text1"/>
          <w:szCs w:val="22"/>
        </w:rPr>
        <w:t>,</w:t>
      </w:r>
      <w:r w:rsidRPr="00A01EC1">
        <w:rPr>
          <w:color w:val="000000" w:themeColor="text1"/>
          <w:szCs w:val="22"/>
        </w:rPr>
        <w:t xml:space="preserve"> dispersing them over the sensitive ecosystems including seagrass meadows (</w:t>
      </w:r>
      <w:hyperlink w:anchor="_ENREF_207" w:tooltip="Schaffelke, 2013 #9502" w:history="1">
        <w:r w:rsidR="00305FE7" w:rsidRPr="00A01EC1">
          <w:rPr>
            <w:color w:val="000000" w:themeColor="text1"/>
            <w:szCs w:val="22"/>
          </w:rPr>
          <w:fldChar w:fldCharType="begin"/>
        </w:r>
        <w:r w:rsidR="00305FE7" w:rsidRPr="00A01EC1">
          <w:rPr>
            <w:color w:val="000000" w:themeColor="text1"/>
            <w:szCs w:val="22"/>
          </w:rPr>
          <w:instrText xml:space="preserve"> ADDIN EN.CITE &lt;EndNote&gt;&lt;Cite&gt;&lt;Author&gt;Schaffelke&lt;/Author&gt;&lt;Year&gt;2013&lt;/Year&gt;&lt;RecNum&gt;9502&lt;/RecNum&gt;&lt;Prefix&gt;summarised in &lt;/Prefix&gt;&lt;DisplayText&gt;summarised in Schaffelke&lt;style face="italic"&gt; et al.&lt;/style&gt; 2013&lt;/DisplayText&gt;&lt;record&gt;&lt;rec-number&gt;9502&lt;/rec-number&gt;&lt;foreign-keys&gt;&lt;key app="EN" db-id="0eve55x9y5vfd6e9dacxtew4eatve2dzds9a" timestamp="1375855083"&gt;9502&lt;/key&gt;&lt;/foreign-keys&gt;&lt;ref-type name="Book Section"&gt;5&lt;/ref-type&gt;&lt;contributors&gt;&lt;authors&gt;&lt;author&gt;Schaffelke, B&lt;/author&gt;&lt;author&gt;Anthony, K&lt;/author&gt;&lt;author&gt;Blake, J&lt;/author&gt;&lt;author&gt;Brodie, J&lt;/author&gt;&lt;author&gt;Collier, C&lt;/author&gt;&lt;author&gt;Devlin, M&lt;/author&gt;&lt;author&gt;Fabricius, K&lt;/author&gt;&lt;author&gt;Martin, K&lt;/author&gt;&lt;author&gt;McKenzie, Len J&lt;/author&gt;&lt;author&gt;Negri, A&lt;/author&gt;&lt;author&gt;Ronan, M&lt;/author&gt;&lt;author&gt;Thompson, A&lt;/author&gt;&lt;author&gt;Warne, M&lt;/author&gt;&lt;/authors&gt;&lt;/contributors&gt;&lt;titles&gt;&lt;title&gt;Marine and coastal ecosystem impacts&lt;/title&gt;&lt;secondary-title&gt;Synthesis of evidence to support the Reef Water Quality Scientific Consensus Statement 2013&lt;/secondary-title&gt;&lt;/titles&gt;&lt;pages&gt;47&lt;/pages&gt;&lt;section&gt;1&lt;/section&gt;&lt;dates&gt;&lt;year&gt;2013&lt;/year&gt;&lt;/dates&gt;&lt;pub-location&gt;Brisbane&lt;/pub-location&gt;&lt;publisher&gt;Department of the Premier and Cabinet, Queensland Government&lt;/publisher&gt;&lt;urls&gt;&lt;/urls&gt;&lt;/record&gt;&lt;/Cite&gt;&lt;/EndNote&gt;</w:instrText>
        </w:r>
        <w:r w:rsidR="00305FE7" w:rsidRPr="00A01EC1">
          <w:rPr>
            <w:color w:val="000000" w:themeColor="text1"/>
            <w:szCs w:val="22"/>
          </w:rPr>
          <w:fldChar w:fldCharType="separate"/>
        </w:r>
        <w:r w:rsidR="00305FE7" w:rsidRPr="00A01EC1">
          <w:rPr>
            <w:noProof/>
            <w:color w:val="000000" w:themeColor="text1"/>
            <w:szCs w:val="22"/>
          </w:rPr>
          <w:t>summarised in Schaffelke</w:t>
        </w:r>
        <w:r w:rsidR="00305FE7" w:rsidRPr="00A01EC1">
          <w:rPr>
            <w:i/>
            <w:noProof/>
            <w:color w:val="000000" w:themeColor="text1"/>
            <w:szCs w:val="22"/>
          </w:rPr>
          <w:t xml:space="preserve"> et al.</w:t>
        </w:r>
        <w:r w:rsidR="00305FE7" w:rsidRPr="00A01EC1">
          <w:rPr>
            <w:noProof/>
            <w:color w:val="000000" w:themeColor="text1"/>
            <w:szCs w:val="22"/>
          </w:rPr>
          <w:t xml:space="preserve"> 2013</w:t>
        </w:r>
        <w:r w:rsidR="00305FE7" w:rsidRPr="00A01EC1">
          <w:rPr>
            <w:color w:val="000000" w:themeColor="text1"/>
            <w:szCs w:val="22"/>
          </w:rPr>
          <w:fldChar w:fldCharType="end"/>
        </w:r>
      </w:hyperlink>
      <w:r w:rsidRPr="00A01EC1">
        <w:rPr>
          <w:color w:val="000000" w:themeColor="text1"/>
          <w:szCs w:val="22"/>
        </w:rPr>
        <w:t xml:space="preserve">). </w:t>
      </w:r>
    </w:p>
    <w:p w14:paraId="2C14C0F4" w14:textId="351F67E1" w:rsidR="000806A8" w:rsidRPr="00A01EC1" w:rsidRDefault="003D1F7F" w:rsidP="003D1F7F">
      <w:pPr>
        <w:tabs>
          <w:tab w:val="left" w:pos="360"/>
        </w:tabs>
        <w:spacing w:before="240"/>
        <w:rPr>
          <w:rFonts w:cs="Arial"/>
          <w:color w:val="000000" w:themeColor="text1"/>
          <w:szCs w:val="22"/>
        </w:rPr>
      </w:pPr>
      <w:r w:rsidRPr="00A01EC1">
        <w:rPr>
          <w:color w:val="000000" w:themeColor="text1"/>
          <w:szCs w:val="22"/>
        </w:rPr>
        <w:t xml:space="preserve">Tropical seagrass ecosystems of the </w:t>
      </w:r>
      <w:r w:rsidR="007F6948">
        <w:rPr>
          <w:color w:val="000000" w:themeColor="text1"/>
          <w:szCs w:val="22"/>
        </w:rPr>
        <w:t>Reef</w:t>
      </w:r>
      <w:r w:rsidRPr="00A01EC1">
        <w:rPr>
          <w:color w:val="000000" w:themeColor="text1"/>
          <w:szCs w:val="22"/>
        </w:rPr>
        <w:t xml:space="preserve"> are a complex mosaic of different habitat types comprised of multiple seagrass species (</w:t>
      </w:r>
      <w:hyperlink w:anchor="_ENREF_32" w:tooltip="Carruthers, 2002 #8021" w:history="1">
        <w:r w:rsidR="00305FE7" w:rsidRPr="00A01EC1">
          <w:rPr>
            <w:color w:val="000000" w:themeColor="text1"/>
            <w:szCs w:val="22"/>
          </w:rPr>
          <w:fldChar w:fldCharType="begin"/>
        </w:r>
        <w:r w:rsidR="00305FE7">
          <w:rPr>
            <w:color w:val="000000" w:themeColor="text1"/>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305FE7" w:rsidRPr="00A01EC1">
          <w:rPr>
            <w:color w:val="000000" w:themeColor="text1"/>
            <w:szCs w:val="22"/>
          </w:rPr>
          <w:fldChar w:fldCharType="separate"/>
        </w:r>
        <w:r w:rsidR="00305FE7">
          <w:rPr>
            <w:noProof/>
            <w:color w:val="000000" w:themeColor="text1"/>
            <w:szCs w:val="22"/>
          </w:rPr>
          <w:t>Carruthers</w:t>
        </w:r>
        <w:r w:rsidR="00305FE7" w:rsidRPr="00521D93">
          <w:rPr>
            <w:i/>
            <w:noProof/>
            <w:color w:val="000000" w:themeColor="text1"/>
            <w:szCs w:val="22"/>
          </w:rPr>
          <w:t xml:space="preserve"> et al.</w:t>
        </w:r>
        <w:r w:rsidR="00305FE7">
          <w:rPr>
            <w:noProof/>
            <w:color w:val="000000" w:themeColor="text1"/>
            <w:szCs w:val="22"/>
          </w:rPr>
          <w:t xml:space="preserve"> 2002</w:t>
        </w:r>
        <w:r w:rsidR="00305FE7" w:rsidRPr="00A01EC1">
          <w:rPr>
            <w:color w:val="000000" w:themeColor="text1"/>
            <w:szCs w:val="22"/>
          </w:rPr>
          <w:fldChar w:fldCharType="end"/>
        </w:r>
      </w:hyperlink>
      <w:r w:rsidRPr="00A01EC1">
        <w:rPr>
          <w:color w:val="000000" w:themeColor="text1"/>
          <w:szCs w:val="22"/>
        </w:rPr>
        <w:t xml:space="preserve">). </w:t>
      </w:r>
      <w:r w:rsidRPr="00A01EC1">
        <w:rPr>
          <w:rFonts w:cs="Arial"/>
          <w:color w:val="000000" w:themeColor="text1"/>
          <w:szCs w:val="22"/>
        </w:rPr>
        <w:t>There are 15 species of seagrass in the GBR (</w:t>
      </w:r>
      <w:hyperlink w:anchor="_ENREF_235" w:tooltip="Waycott, 2007 #9133" w:history="1">
        <w:r w:rsidR="00305FE7" w:rsidRPr="00A01EC1">
          <w:rPr>
            <w:rFonts w:cs="Arial"/>
            <w:color w:val="000000" w:themeColor="text1"/>
            <w:szCs w:val="22"/>
          </w:rPr>
          <w:fldChar w:fldCharType="begin"/>
        </w:r>
        <w:r w:rsidR="00305FE7" w:rsidRPr="00A01EC1">
          <w:rPr>
            <w:rFonts w:cs="Arial"/>
            <w:color w:val="000000" w:themeColor="text1"/>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305FE7" w:rsidRPr="00A01EC1">
          <w:rPr>
            <w:rFonts w:cs="Arial"/>
            <w:color w:val="000000" w:themeColor="text1"/>
            <w:szCs w:val="22"/>
          </w:rPr>
          <w:fldChar w:fldCharType="separate"/>
        </w:r>
        <w:r w:rsidR="00305FE7" w:rsidRPr="00A01EC1">
          <w:rPr>
            <w:rFonts w:cs="Arial"/>
            <w:noProof/>
            <w:color w:val="000000" w:themeColor="text1"/>
            <w:szCs w:val="22"/>
          </w:rPr>
          <w:t>Waycott</w:t>
        </w:r>
        <w:r w:rsidR="00305FE7" w:rsidRPr="00A01EC1">
          <w:rPr>
            <w:rFonts w:cs="Arial"/>
            <w:i/>
            <w:noProof/>
            <w:color w:val="000000" w:themeColor="text1"/>
            <w:szCs w:val="22"/>
          </w:rPr>
          <w:t xml:space="preserve"> et al.</w:t>
        </w:r>
        <w:r w:rsidR="00305FE7" w:rsidRPr="00A01EC1">
          <w:rPr>
            <w:rFonts w:cs="Arial"/>
            <w:noProof/>
            <w:color w:val="000000" w:themeColor="text1"/>
            <w:szCs w:val="22"/>
          </w:rPr>
          <w:t xml:space="preserve"> 2007</w:t>
        </w:r>
        <w:r w:rsidR="00305FE7" w:rsidRPr="00A01EC1">
          <w:rPr>
            <w:rFonts w:cs="Arial"/>
            <w:color w:val="000000" w:themeColor="text1"/>
            <w:szCs w:val="22"/>
          </w:rPr>
          <w:fldChar w:fldCharType="end"/>
        </w:r>
      </w:hyperlink>
      <w:r w:rsidRPr="00A01EC1">
        <w:rPr>
          <w:rFonts w:cs="Arial"/>
          <w:color w:val="000000" w:themeColor="text1"/>
          <w:szCs w:val="22"/>
        </w:rPr>
        <w:t xml:space="preserve">) and high diversity of seagrass habitat types is provided by extensive bays, estuaries, rivers and the 2600 km length of the Great Barrier Reef with its reef platforms and inshore lagoon. They can be found on sand or muddy beaches, on reef platforms and in reef lagoons, and on sandy and muddy bottoms down to 60 metres or more below Mean Sea Level (MSL). </w:t>
      </w:r>
    </w:p>
    <w:p w14:paraId="333B1234" w14:textId="217A749F" w:rsidR="000806A8" w:rsidRDefault="000806A8" w:rsidP="000806A8">
      <w:pPr>
        <w:spacing w:before="240"/>
        <w:rPr>
          <w:rFonts w:cs="MetaOT-Normal"/>
          <w:szCs w:val="22"/>
          <w:lang w:eastAsia="en-AU"/>
        </w:rPr>
      </w:pPr>
      <w:r w:rsidRPr="00A01EC1">
        <w:rPr>
          <w:rFonts w:cs="MetaOT-Normal"/>
          <w:color w:val="000000" w:themeColor="text1"/>
          <w:szCs w:val="22"/>
          <w:lang w:eastAsia="en-AU"/>
        </w:rPr>
        <w:t>Approximately 3,</w:t>
      </w:r>
      <w:r w:rsidR="00DE0025" w:rsidRPr="00A01EC1">
        <w:rPr>
          <w:rFonts w:cs="MetaOT-Normal"/>
          <w:color w:val="000000" w:themeColor="text1"/>
          <w:szCs w:val="22"/>
          <w:lang w:eastAsia="en-AU"/>
        </w:rPr>
        <w:t>464</w:t>
      </w:r>
      <w:r w:rsidRPr="00A01EC1">
        <w:rPr>
          <w:rFonts w:cs="MetaOT-Normal"/>
          <w:color w:val="000000" w:themeColor="text1"/>
          <w:szCs w:val="22"/>
          <w:lang w:eastAsia="en-AU"/>
        </w:rPr>
        <w:t xml:space="preserve"> km</w:t>
      </w:r>
      <w:r w:rsidRPr="00A01EC1">
        <w:rPr>
          <w:rFonts w:cs="MetaOT-Normal"/>
          <w:color w:val="000000" w:themeColor="text1"/>
          <w:szCs w:val="22"/>
          <w:vertAlign w:val="superscript"/>
          <w:lang w:eastAsia="en-AU"/>
        </w:rPr>
        <w:t>2</w:t>
      </w:r>
      <w:r w:rsidRPr="00A01EC1">
        <w:rPr>
          <w:rFonts w:cs="MetaOT-Normal"/>
          <w:color w:val="000000" w:themeColor="text1"/>
          <w:szCs w:val="22"/>
          <w:lang w:eastAsia="en-AU"/>
        </w:rPr>
        <w:t xml:space="preserve"> of inshore seagrass meadows has been mapped in Great Barrier Reef World Heritage Area (</w:t>
      </w:r>
      <w:r w:rsidR="007F6948">
        <w:rPr>
          <w:rFonts w:cs="MetaOT-Normal"/>
          <w:color w:val="000000" w:themeColor="text1"/>
          <w:szCs w:val="22"/>
          <w:lang w:eastAsia="en-AU"/>
        </w:rPr>
        <w:t>the World Herritage Area</w:t>
      </w:r>
      <w:r w:rsidRPr="00A01EC1">
        <w:rPr>
          <w:rFonts w:cs="MetaOT-Normal"/>
          <w:color w:val="000000" w:themeColor="text1"/>
          <w:szCs w:val="22"/>
          <w:lang w:eastAsia="en-AU"/>
        </w:rPr>
        <w:t>) in waters shallower than 15m</w:t>
      </w:r>
      <w:r w:rsidR="00DE0025" w:rsidRPr="00A01EC1">
        <w:rPr>
          <w:rFonts w:cs="MetaOT-Normal"/>
          <w:color w:val="000000" w:themeColor="text1"/>
          <w:szCs w:val="22"/>
          <w:lang w:eastAsia="en-AU"/>
        </w:rPr>
        <w:t xml:space="preserve"> (</w:t>
      </w:r>
      <w:r w:rsidR="00DE0025" w:rsidRPr="00A01EC1">
        <w:rPr>
          <w:color w:val="000000" w:themeColor="text1"/>
        </w:rPr>
        <w:fldChar w:fldCharType="begin">
          <w:fldData xml:space="preserve">PEVuZE5vdGU+PENpdGU+PEF1dGhvcj5DYXJ0ZXI8L0F1dGhvcj48WWVhcj4yMDE2PC9ZZWFyPjxS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</w:fldData>
        </w:fldChar>
      </w:r>
      <w:r w:rsidR="00F42758" w:rsidRPr="00A01EC1">
        <w:rPr>
          <w:color w:val="000000" w:themeColor="text1"/>
        </w:rPr>
        <w:instrText xml:space="preserve"> ADDIN EN.CITE </w:instrText>
      </w:r>
      <w:r w:rsidR="00F42758" w:rsidRPr="00A01EC1">
        <w:rPr>
          <w:color w:val="000000" w:themeColor="text1"/>
        </w:rPr>
        <w:fldChar w:fldCharType="begin">
          <w:fldData xml:space="preserve">PEVuZE5vdGU+PENpdGU+PEF1dGhvcj5DYXJ0ZXI8L0F1dGhvcj48WWVhcj4yMDE2PC9ZZWFyPjxS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</w:fldData>
        </w:fldChar>
      </w:r>
      <w:r w:rsidR="00F42758" w:rsidRPr="00A01EC1">
        <w:rPr>
          <w:color w:val="000000" w:themeColor="text1"/>
        </w:rPr>
        <w:instrText xml:space="preserve"> ADDIN EN.CITE.DATA </w:instrText>
      </w:r>
      <w:r w:rsidR="00F42758" w:rsidRPr="00A01EC1">
        <w:rPr>
          <w:color w:val="000000" w:themeColor="text1"/>
        </w:rPr>
      </w:r>
      <w:r w:rsidR="00F42758" w:rsidRPr="00A01EC1">
        <w:rPr>
          <w:color w:val="000000" w:themeColor="text1"/>
        </w:rPr>
        <w:fldChar w:fldCharType="end"/>
      </w:r>
      <w:r w:rsidR="00DE0025" w:rsidRPr="00A01EC1">
        <w:rPr>
          <w:color w:val="000000" w:themeColor="text1"/>
        </w:rPr>
      </w:r>
      <w:r w:rsidR="00DE0025" w:rsidRPr="00A01EC1">
        <w:rPr>
          <w:color w:val="000000" w:themeColor="text1"/>
        </w:rPr>
        <w:fldChar w:fldCharType="separate"/>
      </w:r>
      <w:hyperlink w:anchor="_ENREF_171" w:tooltip="McKenzie, 2014 #9961" w:history="1">
        <w:r w:rsidR="00305FE7" w:rsidRPr="00A01EC1">
          <w:rPr>
            <w:noProof/>
            <w:color w:val="000000" w:themeColor="text1"/>
          </w:rPr>
          <w:t>McKenzie</w:t>
        </w:r>
        <w:r w:rsidR="00305FE7" w:rsidRPr="00A01EC1">
          <w:rPr>
            <w:i/>
            <w:noProof/>
            <w:color w:val="000000" w:themeColor="text1"/>
          </w:rPr>
          <w:t xml:space="preserve"> et al.</w:t>
        </w:r>
        <w:r w:rsidR="00305FE7" w:rsidRPr="00A01EC1">
          <w:rPr>
            <w:noProof/>
            <w:color w:val="000000" w:themeColor="text1"/>
          </w:rPr>
          <w:t xml:space="preserve"> 2014d</w:t>
        </w:r>
      </w:hyperlink>
      <w:r w:rsidR="00F42758" w:rsidRPr="00A01EC1">
        <w:rPr>
          <w:noProof/>
          <w:color w:val="000000" w:themeColor="text1"/>
        </w:rPr>
        <w:t xml:space="preserve">; </w:t>
      </w:r>
      <w:hyperlink w:anchor="_ENREF_206" w:tooltip="Saunders, 2015 #10291" w:history="1">
        <w:r w:rsidR="00305FE7" w:rsidRPr="00A01EC1">
          <w:rPr>
            <w:noProof/>
            <w:color w:val="000000" w:themeColor="text1"/>
          </w:rPr>
          <w:t>Saunders</w:t>
        </w:r>
        <w:r w:rsidR="00305FE7" w:rsidRPr="00A01EC1">
          <w:rPr>
            <w:i/>
            <w:noProof/>
            <w:color w:val="000000" w:themeColor="text1"/>
          </w:rPr>
          <w:t xml:space="preserve"> et al.</w:t>
        </w:r>
        <w:r w:rsidR="00305FE7" w:rsidRPr="00A01EC1">
          <w:rPr>
            <w:noProof/>
            <w:color w:val="000000" w:themeColor="text1"/>
          </w:rPr>
          <w:t xml:space="preserve"> 2015</w:t>
        </w:r>
      </w:hyperlink>
      <w:r w:rsidR="00F42758" w:rsidRPr="00A01EC1">
        <w:rPr>
          <w:noProof/>
          <w:color w:val="000000" w:themeColor="text1"/>
        </w:rPr>
        <w:t xml:space="preserve">; </w:t>
      </w:r>
      <w:hyperlink w:anchor="_ENREF_35" w:tooltip="Carter, 2016 #10578" w:history="1">
        <w:r w:rsidR="00305FE7" w:rsidRPr="00A01EC1">
          <w:rPr>
            <w:noProof/>
            <w:color w:val="000000" w:themeColor="text1"/>
          </w:rPr>
          <w:t>Carter</w:t>
        </w:r>
        <w:r w:rsidR="00305FE7" w:rsidRPr="00A01EC1">
          <w:rPr>
            <w:i/>
            <w:noProof/>
            <w:color w:val="000000" w:themeColor="text1"/>
          </w:rPr>
          <w:t xml:space="preserve"> et al.</w:t>
        </w:r>
        <w:r w:rsidR="00305FE7" w:rsidRPr="00A01EC1">
          <w:rPr>
            <w:noProof/>
            <w:color w:val="000000" w:themeColor="text1"/>
          </w:rPr>
          <w:t xml:space="preserve"> 2016</w:t>
        </w:r>
      </w:hyperlink>
      <w:r w:rsidR="00F42758" w:rsidRPr="00A01EC1">
        <w:rPr>
          <w:noProof/>
          <w:color w:val="000000" w:themeColor="text1"/>
        </w:rPr>
        <w:t xml:space="preserve">; </w:t>
      </w:r>
      <w:hyperlink w:anchor="_ENREF_163" w:tooltip="McKenzie, 2016 #10579" w:history="1">
        <w:r w:rsidR="00305FE7" w:rsidRPr="00A01EC1">
          <w:rPr>
            <w:noProof/>
            <w:color w:val="000000" w:themeColor="text1"/>
          </w:rPr>
          <w:t>McKenzie</w:t>
        </w:r>
        <w:r w:rsidR="00305FE7" w:rsidRPr="00A01EC1">
          <w:rPr>
            <w:i/>
            <w:noProof/>
            <w:color w:val="000000" w:themeColor="text1"/>
          </w:rPr>
          <w:t xml:space="preserve"> et al.</w:t>
        </w:r>
        <w:r w:rsidR="00305FE7" w:rsidRPr="00A01EC1">
          <w:rPr>
            <w:noProof/>
            <w:color w:val="000000" w:themeColor="text1"/>
          </w:rPr>
          <w:t xml:space="preserve"> 2016</w:t>
        </w:r>
      </w:hyperlink>
      <w:r w:rsidR="00DE0025" w:rsidRPr="00A01EC1">
        <w:rPr>
          <w:color w:val="000000" w:themeColor="text1"/>
        </w:rPr>
        <w:fldChar w:fldCharType="end"/>
      </w:r>
      <w:r w:rsidR="00DE0025" w:rsidRPr="00A01EC1">
        <w:rPr>
          <w:color w:val="000000" w:themeColor="text1"/>
        </w:rPr>
        <w:t>; C. Howley, Unpublished data</w:t>
      </w:r>
      <w:r w:rsidR="00DE0025" w:rsidRPr="00A01EC1">
        <w:rPr>
          <w:rFonts w:cs="MetaOT-Normal"/>
          <w:color w:val="000000" w:themeColor="text1"/>
          <w:szCs w:val="22"/>
          <w:lang w:eastAsia="en-AU"/>
        </w:rPr>
        <w:t>)</w:t>
      </w:r>
      <w:r w:rsidR="000563CC" w:rsidRPr="00A01EC1">
        <w:rPr>
          <w:rFonts w:cs="MetaOT-Normal"/>
          <w:color w:val="000000" w:themeColor="text1"/>
          <w:szCs w:val="22"/>
          <w:lang w:eastAsia="en-AU"/>
        </w:rPr>
        <w:t xml:space="preserve"> (</w:t>
      </w:r>
      <w:r w:rsidR="000563CC" w:rsidRPr="00A01EC1">
        <w:rPr>
          <w:rFonts w:cs="MetaOT-Normal"/>
          <w:color w:val="000000" w:themeColor="text1"/>
          <w:szCs w:val="22"/>
          <w:lang w:eastAsia="en-AU"/>
        </w:rPr>
        <w:fldChar w:fldCharType="begin"/>
      </w:r>
      <w:r w:rsidR="000563CC" w:rsidRPr="00A01EC1">
        <w:rPr>
          <w:rFonts w:cs="MetaOT-Normal"/>
          <w:color w:val="000000" w:themeColor="text1"/>
          <w:szCs w:val="22"/>
          <w:lang w:eastAsia="en-AU"/>
        </w:rPr>
        <w:instrText xml:space="preserve"> REF _Ref472590595 \h </w:instrText>
      </w:r>
      <w:r w:rsidR="000563CC" w:rsidRPr="00A01EC1">
        <w:rPr>
          <w:rFonts w:cs="MetaOT-Normal"/>
          <w:color w:val="000000" w:themeColor="text1"/>
          <w:szCs w:val="22"/>
          <w:lang w:eastAsia="en-AU"/>
        </w:rPr>
      </w:r>
      <w:r w:rsidR="000563CC" w:rsidRPr="00A01EC1">
        <w:rPr>
          <w:rFonts w:cs="MetaOT-Normal"/>
          <w:color w:val="000000" w:themeColor="text1"/>
          <w:szCs w:val="22"/>
          <w:lang w:eastAsia="en-AU"/>
        </w:rPr>
        <w:fldChar w:fldCharType="separate"/>
      </w:r>
      <w:r w:rsidR="00F87DF9">
        <w:t xml:space="preserve">Figure </w:t>
      </w:r>
      <w:r w:rsidR="00F87DF9">
        <w:rPr>
          <w:noProof/>
        </w:rPr>
        <w:t>1</w:t>
      </w:r>
      <w:r w:rsidR="000563CC" w:rsidRPr="00A01EC1">
        <w:rPr>
          <w:rFonts w:cs="MetaOT-Normal"/>
          <w:color w:val="000000" w:themeColor="text1"/>
          <w:szCs w:val="22"/>
          <w:lang w:eastAsia="en-AU"/>
        </w:rPr>
        <w:fldChar w:fldCharType="end"/>
      </w:r>
      <w:r w:rsidR="000563CC" w:rsidRPr="00A01EC1">
        <w:rPr>
          <w:rFonts w:cs="MetaOT-Normal"/>
          <w:color w:val="000000" w:themeColor="text1"/>
          <w:szCs w:val="22"/>
          <w:lang w:eastAsia="en-AU"/>
        </w:rPr>
        <w:t>)</w:t>
      </w:r>
      <w:r w:rsidRPr="00A01EC1">
        <w:rPr>
          <w:rFonts w:cs="MetaOT-Normal"/>
          <w:color w:val="000000" w:themeColor="text1"/>
          <w:szCs w:val="22"/>
          <w:lang w:eastAsia="en-AU"/>
        </w:rPr>
        <w:t xml:space="preserve">. </w:t>
      </w:r>
      <w:r w:rsidR="00614690" w:rsidRPr="00A01EC1">
        <w:rPr>
          <w:rFonts w:cs="MetaOT-Normal"/>
          <w:color w:val="000000" w:themeColor="text1"/>
          <w:szCs w:val="22"/>
          <w:lang w:eastAsia="en-AU"/>
        </w:rPr>
        <w:t>Although t</w:t>
      </w:r>
      <w:r w:rsidRPr="00A01EC1">
        <w:rPr>
          <w:rFonts w:cs="MetaOT-Normal"/>
          <w:color w:val="000000" w:themeColor="text1"/>
          <w:szCs w:val="22"/>
          <w:lang w:eastAsia="en-AU"/>
        </w:rPr>
        <w:t xml:space="preserve">his </w:t>
      </w:r>
      <w:r w:rsidR="00614690" w:rsidRPr="00A01EC1">
        <w:rPr>
          <w:rFonts w:cs="MetaOT-Normal"/>
          <w:color w:val="000000" w:themeColor="text1"/>
          <w:szCs w:val="22"/>
          <w:lang w:eastAsia="en-AU"/>
        </w:rPr>
        <w:t>represents only</w:t>
      </w:r>
      <w:r w:rsidRPr="00A01EC1">
        <w:rPr>
          <w:rFonts w:cs="MetaOT-Normal"/>
          <w:color w:val="000000" w:themeColor="text1"/>
          <w:szCs w:val="22"/>
          <w:lang w:eastAsia="en-AU"/>
        </w:rPr>
        <w:t xml:space="preserve"> </w:t>
      </w:r>
      <w:r w:rsidR="00DE0025" w:rsidRPr="00A01EC1">
        <w:rPr>
          <w:rFonts w:cs="MetaOT-Normal"/>
          <w:color w:val="000000" w:themeColor="text1"/>
          <w:szCs w:val="22"/>
          <w:lang w:eastAsia="en-AU"/>
        </w:rPr>
        <w:t>10</w:t>
      </w:r>
      <w:r w:rsidR="0063478C" w:rsidRPr="00A01EC1">
        <w:rPr>
          <w:rFonts w:cs="MetaOT-Normal"/>
          <w:color w:val="000000" w:themeColor="text1"/>
          <w:szCs w:val="22"/>
          <w:lang w:eastAsia="en-AU"/>
        </w:rPr>
        <w:t xml:space="preserve"> per cent</w:t>
      </w:r>
      <w:r w:rsidRPr="00A01EC1">
        <w:rPr>
          <w:rFonts w:cs="MetaOT-Normal"/>
          <w:color w:val="000000" w:themeColor="text1"/>
          <w:szCs w:val="22"/>
          <w:lang w:eastAsia="en-AU"/>
        </w:rPr>
        <w:t xml:space="preserve"> of the total </w:t>
      </w:r>
      <w:r w:rsidR="00B773A2" w:rsidRPr="00A01EC1">
        <w:rPr>
          <w:rFonts w:cs="MetaOT-Normal"/>
          <w:color w:val="000000" w:themeColor="text1"/>
          <w:szCs w:val="22"/>
          <w:lang w:eastAsia="en-AU"/>
        </w:rPr>
        <w:t xml:space="preserve">seagrass </w:t>
      </w:r>
      <w:r w:rsidRPr="00A01EC1">
        <w:rPr>
          <w:rFonts w:cs="MetaOT-Normal"/>
          <w:color w:val="000000" w:themeColor="text1"/>
          <w:szCs w:val="22"/>
          <w:lang w:eastAsia="en-AU"/>
        </w:rPr>
        <w:t xml:space="preserve">area estimated </w:t>
      </w:r>
      <w:r w:rsidR="001E21CE" w:rsidRPr="00A01EC1">
        <w:rPr>
          <w:rFonts w:cs="MetaOT-Normal"/>
          <w:color w:val="000000" w:themeColor="text1"/>
          <w:szCs w:val="22"/>
          <w:lang w:eastAsia="en-AU"/>
        </w:rPr>
        <w:t>within</w:t>
      </w:r>
      <w:r w:rsidR="00B773A2" w:rsidRPr="00A01EC1">
        <w:rPr>
          <w:rFonts w:cs="MetaOT-Normal"/>
          <w:color w:val="000000" w:themeColor="text1"/>
          <w:szCs w:val="22"/>
          <w:lang w:eastAsia="en-AU"/>
        </w:rPr>
        <w:t xml:space="preserve"> the </w:t>
      </w:r>
      <w:r w:rsidR="007F6948">
        <w:rPr>
          <w:rFonts w:cs="MetaOT-Normal"/>
          <w:color w:val="000000" w:themeColor="text1"/>
          <w:szCs w:val="22"/>
          <w:lang w:eastAsia="en-AU"/>
        </w:rPr>
        <w:t xml:space="preserve">the </w:t>
      </w:r>
      <w:r w:rsidR="00B773A2" w:rsidRPr="00A01EC1">
        <w:rPr>
          <w:rFonts w:cs="MetaOT-Normal"/>
          <w:color w:val="000000" w:themeColor="text1"/>
          <w:szCs w:val="22"/>
          <w:lang w:eastAsia="en-AU"/>
        </w:rPr>
        <w:t>W</w:t>
      </w:r>
      <w:r w:rsidR="007F6948">
        <w:rPr>
          <w:rFonts w:cs="MetaOT-Normal"/>
          <w:color w:val="000000" w:themeColor="text1"/>
          <w:szCs w:val="22"/>
          <w:lang w:eastAsia="en-AU"/>
        </w:rPr>
        <w:t xml:space="preserve">orld </w:t>
      </w:r>
      <w:r w:rsidR="00B773A2" w:rsidRPr="00A01EC1">
        <w:rPr>
          <w:rFonts w:cs="MetaOT-Normal"/>
          <w:color w:val="000000" w:themeColor="text1"/>
          <w:szCs w:val="22"/>
          <w:lang w:eastAsia="en-AU"/>
        </w:rPr>
        <w:t>H</w:t>
      </w:r>
      <w:r w:rsidR="007F6948">
        <w:rPr>
          <w:rFonts w:cs="MetaOT-Normal"/>
          <w:color w:val="000000" w:themeColor="text1"/>
          <w:szCs w:val="22"/>
          <w:lang w:eastAsia="en-AU"/>
        </w:rPr>
        <w:t xml:space="preserve">erritage </w:t>
      </w:r>
      <w:r w:rsidR="00B773A2" w:rsidRPr="00A01EC1">
        <w:rPr>
          <w:rFonts w:cs="MetaOT-Normal"/>
          <w:color w:val="000000" w:themeColor="text1"/>
          <w:szCs w:val="22"/>
          <w:lang w:eastAsia="en-AU"/>
        </w:rPr>
        <w:t>A</w:t>
      </w:r>
      <w:r w:rsidR="007F6948">
        <w:rPr>
          <w:rFonts w:cs="MetaOT-Normal"/>
          <w:color w:val="000000" w:themeColor="text1"/>
          <w:szCs w:val="22"/>
          <w:lang w:eastAsia="en-AU"/>
        </w:rPr>
        <w:t>rea</w:t>
      </w:r>
      <w:r w:rsidRPr="00A01EC1">
        <w:rPr>
          <w:rFonts w:cs="MetaOT-Normal"/>
          <w:color w:val="000000" w:themeColor="text1"/>
          <w:szCs w:val="22"/>
          <w:lang w:eastAsia="en-AU"/>
        </w:rPr>
        <w:t xml:space="preserve"> (</w:t>
      </w:r>
      <w:hyperlink w:anchor="_ENREF_169" w:tooltip="McKenzie, 2010 #9646" w:history="1">
        <w:r w:rsidR="00305FE7" w:rsidRPr="00A01EC1">
          <w:rPr>
            <w:rFonts w:cs="MetaOT-Normal"/>
            <w:color w:val="000000" w:themeColor="text1"/>
            <w:szCs w:val="22"/>
            <w:lang w:eastAsia="en-AU"/>
          </w:rPr>
          <w:fldChar w:fldCharType="begin"/>
        </w:r>
        <w:r w:rsidR="00305FE7" w:rsidRPr="00A01EC1">
          <w:rPr>
            <w:rFonts w:cs="MetaOT-Normal"/>
            <w:color w:val="000000" w:themeColor="text1"/>
            <w:szCs w:val="22"/>
            <w:lang w:eastAsia="en-AU"/>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A01EC1">
          <w:rPr>
            <w:rFonts w:cs="MetaOT-Normal"/>
            <w:color w:val="000000" w:themeColor="text1"/>
            <w:szCs w:val="22"/>
            <w:lang w:eastAsia="en-AU"/>
          </w:rPr>
          <w:fldChar w:fldCharType="separate"/>
        </w:r>
        <w:r w:rsidR="00305FE7" w:rsidRPr="00A01EC1">
          <w:rPr>
            <w:rFonts w:cs="MetaOT-Normal"/>
            <w:noProof/>
            <w:color w:val="000000" w:themeColor="text1"/>
            <w:szCs w:val="22"/>
            <w:lang w:eastAsia="en-AU"/>
          </w:rPr>
          <w:t>McKenzie</w:t>
        </w:r>
        <w:r w:rsidR="00305FE7" w:rsidRPr="00A01EC1">
          <w:rPr>
            <w:rFonts w:cs="MetaOT-Normal"/>
            <w:i/>
            <w:noProof/>
            <w:color w:val="000000" w:themeColor="text1"/>
            <w:szCs w:val="22"/>
            <w:lang w:eastAsia="en-AU"/>
          </w:rPr>
          <w:t xml:space="preserve"> et al.</w:t>
        </w:r>
        <w:r w:rsidR="00305FE7" w:rsidRPr="00A01EC1">
          <w:rPr>
            <w:rFonts w:cs="MetaOT-Normal"/>
            <w:noProof/>
            <w:color w:val="000000" w:themeColor="text1"/>
            <w:szCs w:val="22"/>
            <w:lang w:eastAsia="en-AU"/>
          </w:rPr>
          <w:t xml:space="preserve"> 2010c</w:t>
        </w:r>
        <w:r w:rsidR="00305FE7" w:rsidRPr="00A01EC1">
          <w:rPr>
            <w:rFonts w:cs="MetaOT-Normal"/>
            <w:color w:val="000000" w:themeColor="text1"/>
            <w:szCs w:val="22"/>
            <w:lang w:eastAsia="en-AU"/>
          </w:rPr>
          <w:fldChar w:fldCharType="end"/>
        </w:r>
      </w:hyperlink>
      <w:r w:rsidRPr="00A01EC1">
        <w:rPr>
          <w:rFonts w:cs="MetaOT-Normal"/>
          <w:color w:val="000000" w:themeColor="text1"/>
          <w:szCs w:val="22"/>
          <w:lang w:eastAsia="en-AU"/>
        </w:rPr>
        <w:t>)</w:t>
      </w:r>
      <w:r w:rsidR="00614690" w:rsidRPr="00A01EC1">
        <w:rPr>
          <w:rFonts w:cs="MetaOT-Normal"/>
          <w:color w:val="000000" w:themeColor="text1"/>
          <w:szCs w:val="22"/>
          <w:lang w:eastAsia="en-AU"/>
        </w:rPr>
        <w:t xml:space="preserve">, the </w:t>
      </w:r>
      <w:r w:rsidR="0049540A" w:rsidRPr="00A01EC1">
        <w:rPr>
          <w:rFonts w:cs="MetaOT-Normal"/>
          <w:color w:val="000000" w:themeColor="text1"/>
          <w:szCs w:val="22"/>
          <w:lang w:eastAsia="en-AU"/>
        </w:rPr>
        <w:t xml:space="preserve">ecosystem services </w:t>
      </w:r>
      <w:r w:rsidR="00614690" w:rsidRPr="00A01EC1">
        <w:rPr>
          <w:rFonts w:cs="MetaOT-Normal"/>
          <w:color w:val="000000" w:themeColor="text1"/>
          <w:szCs w:val="22"/>
          <w:lang w:eastAsia="en-AU"/>
        </w:rPr>
        <w:t xml:space="preserve">inshore seagrass meadows </w:t>
      </w:r>
      <w:r w:rsidR="0049540A" w:rsidRPr="00A01EC1">
        <w:rPr>
          <w:rFonts w:cs="MetaOT-Normal"/>
          <w:color w:val="000000" w:themeColor="text1"/>
          <w:szCs w:val="22"/>
          <w:lang w:eastAsia="en-AU"/>
        </w:rPr>
        <w:t xml:space="preserve">provide are of far greater importance than those provided by the </w:t>
      </w:r>
      <w:r w:rsidR="00B078BD" w:rsidRPr="00A01EC1">
        <w:rPr>
          <w:rFonts w:cs="MetaOT-Normal"/>
          <w:color w:val="000000" w:themeColor="text1"/>
          <w:szCs w:val="22"/>
          <w:lang w:eastAsia="en-AU"/>
        </w:rPr>
        <w:t>offshore/deepwater</w:t>
      </w:r>
      <w:r w:rsidR="0049540A" w:rsidRPr="00A01EC1">
        <w:rPr>
          <w:rFonts w:cs="MetaOT-Normal"/>
          <w:color w:val="000000" w:themeColor="text1"/>
          <w:szCs w:val="22"/>
          <w:lang w:eastAsia="en-AU"/>
        </w:rPr>
        <w:t xml:space="preserve"> seagrasses. </w:t>
      </w:r>
      <w:r w:rsidRPr="00A01EC1">
        <w:rPr>
          <w:rFonts w:cs="TimesNewRoman"/>
          <w:color w:val="000000" w:themeColor="text1"/>
          <w:szCs w:val="22"/>
        </w:rPr>
        <w:t xml:space="preserve">Inshore seagrass meadows </w:t>
      </w:r>
      <w:r w:rsidR="00B5245B">
        <w:rPr>
          <w:rFonts w:cs="TimesNewRoman"/>
          <w:color w:val="000000" w:themeColor="text1"/>
          <w:szCs w:val="22"/>
        </w:rPr>
        <w:t xml:space="preserve">can be </w:t>
      </w:r>
      <w:r w:rsidRPr="00A01EC1">
        <w:rPr>
          <w:rFonts w:cs="TimesNewRoman"/>
          <w:color w:val="000000" w:themeColor="text1"/>
          <w:szCs w:val="22"/>
        </w:rPr>
        <w:t xml:space="preserve">composed of foundational </w:t>
      </w:r>
      <w:r w:rsidR="00614690" w:rsidRPr="00A01EC1">
        <w:rPr>
          <w:rFonts w:cs="TimesNewRoman"/>
          <w:color w:val="000000" w:themeColor="text1"/>
          <w:szCs w:val="22"/>
        </w:rPr>
        <w:t xml:space="preserve">(opportunistic and persistent) </w:t>
      </w:r>
      <w:r w:rsidRPr="00A01EC1">
        <w:rPr>
          <w:rFonts w:cs="TimesNewRoman"/>
          <w:color w:val="000000" w:themeColor="text1"/>
          <w:szCs w:val="22"/>
        </w:rPr>
        <w:t>species</w:t>
      </w:r>
      <w:r w:rsidR="00B5245B">
        <w:rPr>
          <w:rFonts w:cs="TimesNewRoman"/>
          <w:color w:val="000000" w:themeColor="text1"/>
          <w:szCs w:val="22"/>
        </w:rPr>
        <w:t xml:space="preserve"> that are structurally large</w:t>
      </w:r>
      <w:r w:rsidR="00AD4D8D">
        <w:rPr>
          <w:rFonts w:cs="TimesNewRoman"/>
          <w:color w:val="000000" w:themeColor="text1"/>
          <w:szCs w:val="22"/>
        </w:rPr>
        <w:t xml:space="preserve"> (</w:t>
      </w:r>
      <w:hyperlink w:anchor="_ENREF_169" w:tooltip="McKenzie, 2010 #9646" w:history="1">
        <w:r w:rsidR="00305FE7">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Pr>
            <w:rFonts w:cs="TimesNewRoman"/>
            <w:color w:val="000000" w:themeColor="text1"/>
            <w:szCs w:val="22"/>
          </w:rPr>
          <w:fldChar w:fldCharType="separate"/>
        </w:r>
        <w:r w:rsidR="00305FE7">
          <w:rPr>
            <w:rFonts w:cs="TimesNewRoman"/>
            <w:noProof/>
            <w:color w:val="000000" w:themeColor="text1"/>
            <w:szCs w:val="22"/>
          </w:rPr>
          <w:t>McKenzie</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2010c</w:t>
        </w:r>
        <w:r w:rsidR="00305FE7">
          <w:rPr>
            <w:rFonts w:cs="TimesNewRoman"/>
            <w:color w:val="000000" w:themeColor="text1"/>
            <w:szCs w:val="22"/>
          </w:rPr>
          <w:fldChar w:fldCharType="end"/>
        </w:r>
      </w:hyperlink>
      <w:r w:rsidR="00AD4D8D">
        <w:rPr>
          <w:rFonts w:cs="TimesNewRoman"/>
          <w:color w:val="000000" w:themeColor="text1"/>
          <w:szCs w:val="22"/>
        </w:rPr>
        <w:t>)</w:t>
      </w:r>
      <w:r w:rsidR="00B5245B">
        <w:rPr>
          <w:rFonts w:cs="TimesNewRoman"/>
          <w:color w:val="000000" w:themeColor="text1"/>
          <w:szCs w:val="22"/>
        </w:rPr>
        <w:t>. Inshore meadows also</w:t>
      </w:r>
      <w:r w:rsidRPr="00A01EC1">
        <w:rPr>
          <w:rFonts w:cs="TimesNewRoman"/>
          <w:color w:val="000000" w:themeColor="text1"/>
          <w:szCs w:val="22"/>
        </w:rPr>
        <w:t xml:space="preserve"> store more carbon in their sediments</w:t>
      </w:r>
      <w:r w:rsidR="00AD4D8D">
        <w:rPr>
          <w:rFonts w:cs="TimesNewRoman"/>
          <w:color w:val="000000" w:themeColor="text1"/>
          <w:szCs w:val="22"/>
        </w:rPr>
        <w:t xml:space="preserve"> (</w:t>
      </w:r>
      <w:hyperlink w:anchor="_ENREF_129" w:tooltip="Lavery, 2013 #9707" w:history="1">
        <w:r w:rsidR="00305FE7">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&lt;EndNote&gt;&lt;Cite&gt;&lt;Author&gt;Lavery&lt;/Author&gt;&lt;Year&gt;2013&lt;/Year&gt;&lt;RecNum&gt;9707&lt;/RecNum&gt;&lt;DisplayText&gt;Lavery&lt;style face="italic"&gt; et al.&lt;/style&gt; 2013&lt;/DisplayText&gt;&lt;record&gt;&lt;rec-number&gt;9707&lt;/rec-number&gt;&lt;foreign-keys&gt;&lt;key app="EN" db-id="0eve55x9y5vfd6e9dacxtew4eatve2dzds9a" timestamp="1393111007"&gt;9707&lt;/key&gt;&lt;/foreign-keys&gt;&lt;ref-type name="Journal Article"&gt;17&lt;/ref-type&gt;&lt;contributors&gt;&lt;authors&gt;&lt;author&gt;Lavery, Paul S.&lt;/author&gt;&lt;author&gt;Mateo, Miguel-Ángel&lt;/author&gt;&lt;author&gt;Serrano, Oscar&lt;/author&gt;&lt;author&gt;Rozaimi, Mohammad&lt;/author&gt;&lt;/authors&gt;&lt;/contributors&gt;&lt;titles&gt;&lt;title&gt;Variability in the Carbon Storage of Seagrass Habitats and Its Implications for Global Estimates of Blue Carbon Ecosystem Service&lt;/title&gt;&lt;secondary-title&gt;Plos One&lt;/secondary-title&gt;&lt;/titles&gt;&lt;periodical&gt;&lt;full-title&gt;Plos One&lt;/full-title&gt;&lt;/periodical&gt;&lt;pages&gt;e73748&lt;/pages&gt;&lt;volume&gt;8&lt;/volume&gt;&lt;number&gt;9&lt;/number&gt;&lt;dates&gt;&lt;year&gt;2013&lt;/year&gt;&lt;/dates&gt;&lt;publisher&gt;Public Library of Science&lt;/publisher&gt;&lt;urls&gt;&lt;related-urls&gt;&lt;url&gt;http://dx.doi.org/10.1371%2Fjournal.pone.0073748&lt;/url&gt;&lt;/related-urls&gt;&lt;/urls&gt;&lt;electronic-resource-num&gt;10.1371/journal.pone.0073748&lt;/electronic-resource-num&gt;&lt;/record&gt;&lt;/Cite&gt;&lt;/EndNote&gt;</w:instrText>
        </w:r>
        <w:r w:rsidR="00305FE7">
          <w:rPr>
            <w:rFonts w:cs="TimesNewRoman"/>
            <w:color w:val="000000" w:themeColor="text1"/>
            <w:szCs w:val="22"/>
          </w:rPr>
          <w:fldChar w:fldCharType="separate"/>
        </w:r>
        <w:r w:rsidR="00305FE7">
          <w:rPr>
            <w:rFonts w:cs="TimesNewRoman"/>
            <w:noProof/>
            <w:color w:val="000000" w:themeColor="text1"/>
            <w:szCs w:val="22"/>
          </w:rPr>
          <w:t>Lavery</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2013</w:t>
        </w:r>
        <w:r w:rsidR="00305FE7">
          <w:rPr>
            <w:rFonts w:cs="TimesNewRoman"/>
            <w:color w:val="000000" w:themeColor="text1"/>
            <w:szCs w:val="22"/>
          </w:rPr>
          <w:fldChar w:fldCharType="end"/>
        </w:r>
      </w:hyperlink>
      <w:r w:rsidR="00AD4D8D">
        <w:rPr>
          <w:rFonts w:cs="TimesNewRoman"/>
          <w:color w:val="000000" w:themeColor="text1"/>
          <w:szCs w:val="22"/>
        </w:rPr>
        <w:t>)</w:t>
      </w:r>
      <w:r w:rsidRPr="00A01EC1">
        <w:rPr>
          <w:rFonts w:cs="TimesNewRoman"/>
          <w:color w:val="000000" w:themeColor="text1"/>
          <w:szCs w:val="22"/>
        </w:rPr>
        <w:t>, are of higher fisheries importance</w:t>
      </w:r>
      <w:r w:rsidR="00AD4D8D">
        <w:rPr>
          <w:rFonts w:cs="TimesNewRoman"/>
          <w:color w:val="000000" w:themeColor="text1"/>
          <w:szCs w:val="22"/>
        </w:rPr>
        <w:t xml:space="preserve"> (</w:t>
      </w:r>
      <w:hyperlink w:anchor="_ENREF_234" w:tooltip="Watson, 1993 #292" w:history="1">
        <w:r w:rsidR="00305FE7">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&lt;EndNote&gt;&lt;Cite&gt;&lt;Author&gt;Watson&lt;/Author&gt;&lt;Year&gt;1993&lt;/Year&gt;&lt;RecNum&gt;292&lt;/RecNum&gt;&lt;DisplayText&gt;Watson&lt;style face="italic"&gt; et al.&lt;/style&gt; 1993&lt;/DisplayText&gt;&lt;record&gt;&lt;rec-number&gt;292&lt;/rec-number&gt;&lt;foreign-keys&gt;&lt;key app="EN" db-id="0eve55x9y5vfd6e9dacxtew4eatve2dzds9a" timestamp="0"&gt;292&lt;/key&gt;&lt;/foreign-keys&gt;&lt;ref-type name="Journal Article"&gt;17&lt;/ref-type&gt;&lt;contributors&gt;&lt;authors&gt;&lt;author&gt;Watson, Reg A.&lt;/author&gt;&lt;author&gt;Coles, Robert G.&lt;/author&gt;&lt;author&gt;Lee Long, Warren J.&lt;/author&gt;&lt;/authors&gt;&lt;/contributors&gt;&lt;titles&gt;&lt;title&gt;Simulation estimates of annual yield and landed value for commercial penaeid prawns from a tropical seagrass habitat, northern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211-220&lt;/pages&gt;&lt;volume&gt;44&lt;/volume&gt;&lt;number&gt;1&lt;/number&gt;&lt;dates&gt;&lt;year&gt;1993&lt;/year&gt;&lt;/dates&gt;&lt;label&gt;253&lt;/label&gt;&lt;urls&gt;&lt;/urls&gt;&lt;custom1&gt;Annex&lt;/custom1&gt;&lt;/record&gt;&lt;/Cite&gt;&lt;/EndNote&gt;</w:instrText>
        </w:r>
        <w:r w:rsidR="00305FE7">
          <w:rPr>
            <w:rFonts w:cs="TimesNewRoman"/>
            <w:color w:val="000000" w:themeColor="text1"/>
            <w:szCs w:val="22"/>
          </w:rPr>
          <w:fldChar w:fldCharType="separate"/>
        </w:r>
        <w:r w:rsidR="00305FE7">
          <w:rPr>
            <w:rFonts w:cs="TimesNewRoman"/>
            <w:noProof/>
            <w:color w:val="000000" w:themeColor="text1"/>
            <w:szCs w:val="22"/>
          </w:rPr>
          <w:t>Watson</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1993</w:t>
        </w:r>
        <w:r w:rsidR="00305FE7">
          <w:rPr>
            <w:rFonts w:cs="TimesNewRoman"/>
            <w:color w:val="000000" w:themeColor="text1"/>
            <w:szCs w:val="22"/>
          </w:rPr>
          <w:fldChar w:fldCharType="end"/>
        </w:r>
      </w:hyperlink>
      <w:r w:rsidR="00AD4D8D">
        <w:rPr>
          <w:rFonts w:cs="TimesNewRoman"/>
          <w:color w:val="000000" w:themeColor="text1"/>
          <w:szCs w:val="22"/>
        </w:rPr>
        <w:t>)</w:t>
      </w:r>
      <w:r w:rsidRPr="00A01EC1">
        <w:rPr>
          <w:rFonts w:cs="TimesNewRoman"/>
          <w:color w:val="000000" w:themeColor="text1"/>
          <w:szCs w:val="22"/>
        </w:rPr>
        <w:t>, and the main feeding pastures for dugong and green sea turtle</w:t>
      </w:r>
      <w:r w:rsidR="00AD4D8D">
        <w:rPr>
          <w:rFonts w:cs="TimesNewRoman"/>
          <w:color w:val="000000" w:themeColor="text1"/>
          <w:szCs w:val="22"/>
        </w:rPr>
        <w:t xml:space="preserve"> (</w:t>
      </w:r>
      <w:r w:rsidR="00521D93">
        <w:rPr>
          <w:rFonts w:cs="TimesNewRoman"/>
          <w:color w:val="000000" w:themeColor="text1"/>
          <w:szCs w:val="22"/>
        </w:rPr>
        <w:fldChar w:fldCharType="begin">
          <w:fldData xml:space="preserve">PEVuZE5vdGU+PENpdGU+PEF1dGhvcj5TaGVwcGFyZDwvQXV0aG9yPjxZZWFyPjIwMDk8L1llYXI+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</w:fldData>
        </w:fldChar>
      </w:r>
      <w:r w:rsidR="00521D93">
        <w:rPr>
          <w:rFonts w:cs="TimesNewRoman"/>
          <w:color w:val="000000" w:themeColor="text1"/>
          <w:szCs w:val="22"/>
        </w:rPr>
        <w:instrText xml:space="preserve"> ADDIN EN.CITE </w:instrText>
      </w:r>
      <w:r w:rsidR="00521D93">
        <w:rPr>
          <w:rFonts w:cs="TimesNewRoman"/>
          <w:color w:val="000000" w:themeColor="text1"/>
          <w:szCs w:val="22"/>
        </w:rPr>
        <w:fldChar w:fldCharType="begin">
          <w:fldData xml:space="preserve">PEVuZE5vdGU+PENpdGU+PEF1dGhvcj5TaGVwcGFyZDwvQXV0aG9yPjxZZWFyPjIwMDk8L1llYXI+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</w:fldData>
        </w:fldChar>
      </w:r>
      <w:r w:rsidR="00521D93">
        <w:rPr>
          <w:rFonts w:cs="TimesNewRoman"/>
          <w:color w:val="000000" w:themeColor="text1"/>
          <w:szCs w:val="22"/>
        </w:rPr>
        <w:instrText xml:space="preserve"> ADDIN EN.CITE.DATA </w:instrText>
      </w:r>
      <w:r w:rsidR="00521D93">
        <w:rPr>
          <w:rFonts w:cs="TimesNewRoman"/>
          <w:color w:val="000000" w:themeColor="text1"/>
          <w:szCs w:val="22"/>
        </w:rPr>
      </w:r>
      <w:r w:rsidR="00521D93">
        <w:rPr>
          <w:rFonts w:cs="TimesNewRoman"/>
          <w:color w:val="000000" w:themeColor="text1"/>
          <w:szCs w:val="22"/>
        </w:rPr>
        <w:fldChar w:fldCharType="end"/>
      </w:r>
      <w:r w:rsidR="00521D93">
        <w:rPr>
          <w:rFonts w:cs="TimesNewRoman"/>
          <w:color w:val="000000" w:themeColor="text1"/>
          <w:szCs w:val="22"/>
        </w:rPr>
      </w:r>
      <w:r w:rsidR="00521D93">
        <w:rPr>
          <w:rFonts w:cs="TimesNewRoman"/>
          <w:color w:val="000000" w:themeColor="text1"/>
          <w:szCs w:val="22"/>
        </w:rPr>
        <w:fldChar w:fldCharType="separate"/>
      </w:r>
      <w:hyperlink w:anchor="_ENREF_127" w:tooltip="Lanyon, 1989 #1247" w:history="1">
        <w:r w:rsidR="00305FE7">
          <w:rPr>
            <w:rFonts w:cs="TimesNewRoman"/>
            <w:noProof/>
            <w:color w:val="000000" w:themeColor="text1"/>
            <w:szCs w:val="22"/>
          </w:rPr>
          <w:t>Lanyon</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1989</w:t>
        </w:r>
      </w:hyperlink>
      <w:r w:rsidR="00521D93">
        <w:rPr>
          <w:rFonts w:cs="TimesNewRoman"/>
          <w:noProof/>
          <w:color w:val="000000" w:themeColor="text1"/>
          <w:szCs w:val="22"/>
        </w:rPr>
        <w:t xml:space="preserve">; </w:t>
      </w:r>
      <w:hyperlink w:anchor="_ENREF_212" w:tooltip="Sheppard, 2009 #9704" w:history="1">
        <w:r w:rsidR="00305FE7">
          <w:rPr>
            <w:rFonts w:cs="TimesNewRoman"/>
            <w:noProof/>
            <w:color w:val="000000" w:themeColor="text1"/>
            <w:szCs w:val="22"/>
          </w:rPr>
          <w:t>Sheppard</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2009</w:t>
        </w:r>
      </w:hyperlink>
      <w:r w:rsidR="00521D93">
        <w:rPr>
          <w:rFonts w:cs="TimesNewRoman"/>
          <w:color w:val="000000" w:themeColor="text1"/>
          <w:szCs w:val="22"/>
        </w:rPr>
        <w:fldChar w:fldCharType="end"/>
      </w:r>
      <w:r w:rsidR="00AD4D8D">
        <w:rPr>
          <w:rFonts w:cs="TimesNewRoman"/>
          <w:color w:val="000000" w:themeColor="text1"/>
          <w:szCs w:val="22"/>
        </w:rPr>
        <w:t>)</w:t>
      </w:r>
      <w:r w:rsidRPr="00A01EC1">
        <w:rPr>
          <w:rFonts w:cs="TimesNewRoman"/>
          <w:color w:val="000000" w:themeColor="text1"/>
          <w:szCs w:val="22"/>
        </w:rPr>
        <w:t>. It is these meadows that occur at the frontline of runoff and inshore water quality deterioration</w:t>
      </w:r>
      <w:r w:rsidRPr="00A01EC1">
        <w:rPr>
          <w:rFonts w:cs="MetaOT-Normal"/>
          <w:color w:val="000000" w:themeColor="text1"/>
          <w:szCs w:val="22"/>
          <w:lang w:eastAsia="en-AU"/>
        </w:rPr>
        <w:t xml:space="preserve"> (</w:t>
      </w:r>
      <w:hyperlink w:anchor="_ENREF_169" w:tooltip="McKenzie, 2010 #9646" w:history="1">
        <w:r w:rsidR="00305FE7" w:rsidRPr="00A01EC1">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A01EC1">
          <w:rPr>
            <w:rFonts w:cs="TimesNewRoman"/>
            <w:color w:val="000000" w:themeColor="text1"/>
            <w:szCs w:val="22"/>
          </w:rPr>
          <w:fldChar w:fldCharType="separate"/>
        </w:r>
        <w:r w:rsidR="00305FE7">
          <w:rPr>
            <w:rFonts w:cs="TimesNewRoman"/>
            <w:noProof/>
            <w:color w:val="000000" w:themeColor="text1"/>
            <w:szCs w:val="22"/>
          </w:rPr>
          <w:t>McKenzie</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2010c</w:t>
        </w:r>
        <w:r w:rsidR="00305FE7" w:rsidRPr="00A01EC1">
          <w:rPr>
            <w:rFonts w:cs="TimesNewRoman"/>
            <w:color w:val="000000" w:themeColor="text1"/>
            <w:szCs w:val="22"/>
          </w:rPr>
          <w:fldChar w:fldCharType="end"/>
        </w:r>
      </w:hyperlink>
      <w:r w:rsidRPr="00A01EC1">
        <w:rPr>
          <w:rFonts w:cs="MetaOT-Normal"/>
          <w:color w:val="000000" w:themeColor="text1"/>
          <w:szCs w:val="22"/>
          <w:lang w:eastAsia="en-AU"/>
        </w:rPr>
        <w:t xml:space="preserve">). </w:t>
      </w:r>
      <w:r w:rsidRPr="00A01EC1">
        <w:rPr>
          <w:rFonts w:cs="TimesNewRoman"/>
          <w:color w:val="000000" w:themeColor="text1"/>
          <w:szCs w:val="22"/>
        </w:rPr>
        <w:t xml:space="preserve">The remaining </w:t>
      </w:r>
      <w:r w:rsidR="00521D93">
        <w:rPr>
          <w:rFonts w:cs="TimesNewRoman"/>
          <w:color w:val="000000" w:themeColor="text1"/>
          <w:szCs w:val="22"/>
        </w:rPr>
        <w:t xml:space="preserve">modelled </w:t>
      </w:r>
      <w:r w:rsidRPr="00A01EC1">
        <w:rPr>
          <w:rFonts w:cs="TimesNewRoman"/>
          <w:color w:val="000000" w:themeColor="text1"/>
          <w:szCs w:val="22"/>
        </w:rPr>
        <w:t>extent (9</w:t>
      </w:r>
      <w:r w:rsidR="00DE0025" w:rsidRPr="00A01EC1">
        <w:rPr>
          <w:rFonts w:cs="TimesNewRoman"/>
          <w:color w:val="000000" w:themeColor="text1"/>
          <w:szCs w:val="22"/>
        </w:rPr>
        <w:t>0</w:t>
      </w:r>
      <w:r w:rsidR="0063478C" w:rsidRPr="00A01EC1">
        <w:rPr>
          <w:rFonts w:cs="TimesNewRoman"/>
          <w:color w:val="000000" w:themeColor="text1"/>
          <w:szCs w:val="22"/>
        </w:rPr>
        <w:t xml:space="preserve"> per cent</w:t>
      </w:r>
      <w:r w:rsidRPr="00A01EC1">
        <w:rPr>
          <w:rFonts w:cs="TimesNewRoman"/>
          <w:color w:val="000000" w:themeColor="text1"/>
          <w:szCs w:val="22"/>
        </w:rPr>
        <w:t xml:space="preserve"> or </w:t>
      </w:r>
      <w:r w:rsidRPr="00A01EC1">
        <w:rPr>
          <w:rFonts w:cs="MetaOT-Normal"/>
          <w:color w:val="000000" w:themeColor="text1"/>
          <w:szCs w:val="22"/>
          <w:lang w:eastAsia="en-AU"/>
        </w:rPr>
        <w:t>3</w:t>
      </w:r>
      <w:r w:rsidR="00DE0025" w:rsidRPr="00A01EC1">
        <w:rPr>
          <w:rFonts w:cs="MetaOT-Normal"/>
          <w:color w:val="000000" w:themeColor="text1"/>
          <w:szCs w:val="22"/>
          <w:lang w:eastAsia="en-AU"/>
        </w:rPr>
        <w:t>2,335</w:t>
      </w:r>
      <w:r w:rsidRPr="00A01EC1">
        <w:rPr>
          <w:rFonts w:cs="MetaOT-Normal"/>
          <w:color w:val="000000" w:themeColor="text1"/>
          <w:szCs w:val="22"/>
          <w:lang w:eastAsia="en-AU"/>
        </w:rPr>
        <w:t xml:space="preserve"> km</w:t>
      </w:r>
      <w:r w:rsidRPr="00A01EC1">
        <w:rPr>
          <w:rFonts w:cs="MetaOT-Normal"/>
          <w:color w:val="000000" w:themeColor="text1"/>
          <w:szCs w:val="22"/>
          <w:vertAlign w:val="superscript"/>
          <w:lang w:eastAsia="en-AU"/>
        </w:rPr>
        <w:t>2</w:t>
      </w:r>
      <w:r w:rsidRPr="00A01EC1">
        <w:rPr>
          <w:rFonts w:cs="MetaOT-Normal"/>
          <w:color w:val="000000" w:themeColor="text1"/>
          <w:szCs w:val="22"/>
          <w:lang w:eastAsia="en-AU"/>
        </w:rPr>
        <w:t xml:space="preserve">) </w:t>
      </w:r>
      <w:r w:rsidRPr="00A01EC1">
        <w:rPr>
          <w:rFonts w:cs="TimesNewRoman"/>
          <w:color w:val="000000" w:themeColor="text1"/>
          <w:szCs w:val="22"/>
        </w:rPr>
        <w:t>of seagrass in the GBRWHA is located in the deeper waters (&gt;15m) of the lagoon (</w:t>
      </w:r>
      <w:r w:rsidR="005B0C7C" w:rsidRPr="00A01EC1">
        <w:rPr>
          <w:rFonts w:cs="TimesNewRoman"/>
          <w:color w:val="000000" w:themeColor="text1"/>
          <w:szCs w:val="22"/>
        </w:rPr>
        <w:fldChar w:fldCharType="begin">
          <w:fldData xml:space="preserve">PEVuZE5vdGU+PENpdGU+PEF1dGhvcj5Db2xlczwvQXV0aG9yPjxZZWFyPjIwMDk8L1llYXI+PFJl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</w:fldData>
        </w:fldChar>
      </w:r>
      <w:r w:rsidR="00521D93">
        <w:rPr>
          <w:rFonts w:cs="TimesNewRoman"/>
          <w:color w:val="000000" w:themeColor="text1"/>
          <w:szCs w:val="22"/>
        </w:rPr>
        <w:instrText xml:space="preserve"> ADDIN EN.CITE </w:instrText>
      </w:r>
      <w:r w:rsidR="00521D93">
        <w:rPr>
          <w:rFonts w:cs="TimesNewRoman"/>
          <w:color w:val="000000" w:themeColor="text1"/>
          <w:szCs w:val="22"/>
        </w:rPr>
        <w:fldChar w:fldCharType="begin">
          <w:fldData xml:space="preserve">PEVuZE5vdGU+PENpdGU+PEF1dGhvcj5Db2xlczwvQXV0aG9yPjxZZWFyPjIwMDk8L1llYXI+PFJl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</w:fldData>
        </w:fldChar>
      </w:r>
      <w:r w:rsidR="00521D93">
        <w:rPr>
          <w:rFonts w:cs="TimesNewRoman"/>
          <w:color w:val="000000" w:themeColor="text1"/>
          <w:szCs w:val="22"/>
        </w:rPr>
        <w:instrText xml:space="preserve"> ADDIN EN.CITE.DATA </w:instrText>
      </w:r>
      <w:r w:rsidR="00521D93">
        <w:rPr>
          <w:rFonts w:cs="TimesNewRoman"/>
          <w:color w:val="000000" w:themeColor="text1"/>
          <w:szCs w:val="22"/>
        </w:rPr>
      </w:r>
      <w:r w:rsidR="00521D93">
        <w:rPr>
          <w:rFonts w:cs="TimesNewRoman"/>
          <w:color w:val="000000" w:themeColor="text1"/>
          <w:szCs w:val="22"/>
        </w:rPr>
        <w:fldChar w:fldCharType="end"/>
      </w:r>
      <w:r w:rsidR="005B0C7C" w:rsidRPr="00A01EC1">
        <w:rPr>
          <w:rFonts w:cs="TimesNewRoman"/>
          <w:color w:val="000000" w:themeColor="text1"/>
          <w:szCs w:val="22"/>
        </w:rPr>
      </w:r>
      <w:r w:rsidR="005B0C7C" w:rsidRPr="00A01EC1">
        <w:rPr>
          <w:rFonts w:cs="TimesNewRoman"/>
          <w:color w:val="000000" w:themeColor="text1"/>
          <w:szCs w:val="22"/>
        </w:rPr>
        <w:fldChar w:fldCharType="separate"/>
      </w:r>
      <w:hyperlink w:anchor="_ENREF_43" w:tooltip="Coles, 2009 #9367" w:history="1">
        <w:r w:rsidR="00305FE7">
          <w:rPr>
            <w:rFonts w:cs="TimesNewRoman"/>
            <w:noProof/>
            <w:color w:val="000000" w:themeColor="text1"/>
            <w:szCs w:val="22"/>
          </w:rPr>
          <w:t>Coles</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2009</w:t>
        </w:r>
      </w:hyperlink>
      <w:r w:rsidR="00521D93">
        <w:rPr>
          <w:rFonts w:cs="TimesNewRoman"/>
          <w:noProof/>
          <w:color w:val="000000" w:themeColor="text1"/>
          <w:szCs w:val="22"/>
        </w:rPr>
        <w:t xml:space="preserve">; </w:t>
      </w:r>
      <w:hyperlink w:anchor="_ENREF_35" w:tooltip="Carter, 2016 #10578" w:history="1">
        <w:r w:rsidR="00305FE7">
          <w:rPr>
            <w:rFonts w:cs="TimesNewRoman"/>
            <w:noProof/>
            <w:color w:val="000000" w:themeColor="text1"/>
            <w:szCs w:val="22"/>
          </w:rPr>
          <w:t>Carter</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2016</w:t>
        </w:r>
      </w:hyperlink>
      <w:r w:rsidR="005B0C7C" w:rsidRPr="00A01EC1">
        <w:rPr>
          <w:rFonts w:cs="TimesNewRoman"/>
          <w:color w:val="000000" w:themeColor="text1"/>
          <w:szCs w:val="22"/>
        </w:rPr>
        <w:fldChar w:fldCharType="end"/>
      </w:r>
      <w:r w:rsidRPr="00A01EC1">
        <w:rPr>
          <w:rFonts w:cs="TimesNewRoman"/>
          <w:color w:val="000000" w:themeColor="text1"/>
          <w:szCs w:val="22"/>
        </w:rPr>
        <w:t xml:space="preserve">), however, these meadows are relatively sparse, structurally smaller, </w:t>
      </w:r>
      <w:r w:rsidR="00CC1C79" w:rsidRPr="00A01EC1">
        <w:rPr>
          <w:rFonts w:cs="TimesNewRoman"/>
          <w:color w:val="000000" w:themeColor="text1"/>
          <w:szCs w:val="22"/>
        </w:rPr>
        <w:t xml:space="preserve">highly </w:t>
      </w:r>
      <w:r w:rsidRPr="00A01EC1">
        <w:rPr>
          <w:rFonts w:cs="TimesNewRoman"/>
          <w:color w:val="000000" w:themeColor="text1"/>
          <w:szCs w:val="22"/>
        </w:rPr>
        <w:t>dynamic, composed of colonising species, and not as productive as inshore seagrass meadows for fisheries resources (</w:t>
      </w:r>
      <w:hyperlink w:anchor="_ENREF_169" w:tooltip="McKenzie, 2010 #9646" w:history="1">
        <w:r w:rsidR="00305FE7" w:rsidRPr="00A01EC1">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A01EC1">
          <w:rPr>
            <w:rFonts w:cs="TimesNewRoman"/>
            <w:color w:val="000000" w:themeColor="text1"/>
            <w:szCs w:val="22"/>
          </w:rPr>
          <w:fldChar w:fldCharType="separate"/>
        </w:r>
        <w:r w:rsidR="00305FE7">
          <w:rPr>
            <w:rFonts w:cs="TimesNewRoman"/>
            <w:noProof/>
            <w:color w:val="000000" w:themeColor="text1"/>
            <w:szCs w:val="22"/>
          </w:rPr>
          <w:t>McKenzie</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2010c</w:t>
        </w:r>
        <w:r w:rsidR="00305FE7" w:rsidRPr="00A01EC1">
          <w:rPr>
            <w:rFonts w:cs="TimesNewRoman"/>
            <w:color w:val="000000" w:themeColor="text1"/>
            <w:szCs w:val="22"/>
          </w:rPr>
          <w:fldChar w:fldCharType="end"/>
        </w:r>
      </w:hyperlink>
      <w:r w:rsidRPr="00A01EC1">
        <w:rPr>
          <w:rFonts w:cs="TimesNewRoman"/>
          <w:color w:val="000000" w:themeColor="text1"/>
          <w:szCs w:val="22"/>
        </w:rPr>
        <w:t xml:space="preserve">; </w:t>
      </w:r>
      <w:hyperlink w:anchor="_ENREF_80" w:tooltip="Derbyshire, 1995 #9703" w:history="1">
        <w:r w:rsidR="00305FE7" w:rsidRPr="00A01EC1">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&lt;EndNote&gt;&lt;Cite&gt;&lt;Author&gt;Derbyshire&lt;/Author&gt;&lt;Year&gt;1995&lt;/Year&gt;&lt;RecNum&gt;9703&lt;/RecNum&gt;&lt;DisplayText&gt;Derbyshire&lt;style face="italic"&gt; et al.&lt;/style&gt; 1995&lt;/DisplayText&gt;&lt;record&gt;&lt;rec-number&gt;9703&lt;/rec-number&gt;&lt;foreign-keys&gt;&lt;key app="EN" db-id="0eve55x9y5vfd6e9dacxtew4eatve2dzds9a" timestamp="1393065521"&gt;9703&lt;/key&gt;&lt;/foreign-keys&gt;&lt;ref-type name="Book"&gt;6&lt;/ref-type&gt;&lt;contributors&gt;&lt;authors&gt;&lt;author&gt;Derbyshire, K J&lt;/author&gt;&lt;author&gt;Willoughby, S R&lt;/author&gt;&lt;author&gt;McColl, A L&lt;/author&gt;&lt;author&gt;Hocroft, D M&lt;/author&gt;&lt;/authors&gt;&lt;/contributors&gt;&lt;titles&gt;&lt;title&gt;Small prawn habitat and recruitment study : final report to the Fisheries Research and Development Corporation and the Queensland Fisheries Management Authority&lt;/title&gt;&lt;/titles&gt;&lt;pages&gt;43&lt;/pages&gt;&lt;dates&gt;&lt;year&gt;1995&lt;/year&gt;&lt;/dates&gt;&lt;pub-location&gt;Cairns&lt;/pub-location&gt;&lt;publisher&gt;Department of Primary Industries&lt;/publisher&gt;&lt;urls&gt;&lt;related-urls&gt;&lt;url&gt;http://frdc.com.au/Archived-Reports/FRDC%20Projects/1992-007-DLD.pdf&lt;/url&gt;&lt;/related-urls&gt;&lt;/urls&gt;&lt;/record&gt;&lt;/Cite&gt;&lt;/EndNote&gt;</w:instrText>
        </w:r>
        <w:r w:rsidR="00305FE7" w:rsidRPr="00A01EC1">
          <w:rPr>
            <w:rFonts w:cs="TimesNewRoman"/>
            <w:color w:val="000000" w:themeColor="text1"/>
            <w:szCs w:val="22"/>
          </w:rPr>
          <w:fldChar w:fldCharType="separate"/>
        </w:r>
        <w:r w:rsidR="00305FE7" w:rsidRPr="00A01EC1">
          <w:rPr>
            <w:rFonts w:cs="TimesNewRoman"/>
            <w:noProof/>
            <w:color w:val="000000" w:themeColor="text1"/>
            <w:szCs w:val="22"/>
          </w:rPr>
          <w:t>Derbyshire</w:t>
        </w:r>
        <w:r w:rsidR="00305FE7" w:rsidRPr="00A01EC1">
          <w:rPr>
            <w:rFonts w:cs="TimesNewRoman"/>
            <w:i/>
            <w:noProof/>
            <w:color w:val="000000" w:themeColor="text1"/>
            <w:szCs w:val="22"/>
          </w:rPr>
          <w:t xml:space="preserve"> et al.</w:t>
        </w:r>
        <w:r w:rsidR="00305FE7" w:rsidRPr="00A01EC1">
          <w:rPr>
            <w:rFonts w:cs="TimesNewRoman"/>
            <w:noProof/>
            <w:color w:val="000000" w:themeColor="text1"/>
            <w:szCs w:val="22"/>
          </w:rPr>
          <w:t xml:space="preserve"> 1995</w:t>
        </w:r>
        <w:r w:rsidR="00305FE7" w:rsidRPr="00A01EC1">
          <w:rPr>
            <w:rFonts w:cs="TimesNewRoman"/>
            <w:color w:val="000000" w:themeColor="text1"/>
            <w:szCs w:val="22"/>
          </w:rPr>
          <w:fldChar w:fldCharType="end"/>
        </w:r>
      </w:hyperlink>
      <w:r w:rsidRPr="00A01EC1">
        <w:rPr>
          <w:rFonts w:cs="TimesNewRoman"/>
          <w:color w:val="000000" w:themeColor="text1"/>
          <w:szCs w:val="22"/>
        </w:rPr>
        <w:t>). Overall, t</w:t>
      </w:r>
      <w:r w:rsidRPr="00A01EC1">
        <w:rPr>
          <w:rFonts w:cs="MetaOT-Normal"/>
          <w:color w:val="000000" w:themeColor="text1"/>
          <w:szCs w:val="22"/>
          <w:lang w:eastAsia="en-AU"/>
        </w:rPr>
        <w:t>he total estimated area of seagrass (34,841 km</w:t>
      </w:r>
      <w:r w:rsidRPr="00A01EC1">
        <w:rPr>
          <w:rFonts w:cs="MetaOT-Normal"/>
          <w:color w:val="000000" w:themeColor="text1"/>
          <w:szCs w:val="22"/>
          <w:vertAlign w:val="superscript"/>
          <w:lang w:eastAsia="en-AU"/>
        </w:rPr>
        <w:t>2</w:t>
      </w:r>
      <w:r w:rsidRPr="00A01EC1">
        <w:rPr>
          <w:rFonts w:cs="MetaOT-Normal"/>
          <w:color w:val="000000" w:themeColor="text1"/>
          <w:szCs w:val="22"/>
          <w:lang w:eastAsia="en-AU"/>
        </w:rPr>
        <w:t>) within the GBRWHA represents more than 50</w:t>
      </w:r>
      <w:r w:rsidR="0063478C" w:rsidRPr="00A01EC1">
        <w:rPr>
          <w:rFonts w:cs="MetaOT-Normal"/>
          <w:color w:val="000000" w:themeColor="text1"/>
          <w:szCs w:val="22"/>
          <w:lang w:eastAsia="en-AU"/>
        </w:rPr>
        <w:t xml:space="preserve"> per cent</w:t>
      </w:r>
      <w:r w:rsidRPr="00A01EC1">
        <w:rPr>
          <w:rFonts w:cs="MetaOT-Normal"/>
          <w:color w:val="000000" w:themeColor="text1"/>
          <w:szCs w:val="22"/>
          <w:lang w:eastAsia="en-AU"/>
        </w:rPr>
        <w:t xml:space="preserve"> of the total recorded area of seagrass in Australia (</w:t>
      </w:r>
      <w:hyperlink w:anchor="_ENREF_106" w:tooltip="Green, 2003 #9435" w:history="1">
        <w:r w:rsidR="00305FE7" w:rsidRPr="00A01EC1">
          <w:rPr>
            <w:rFonts w:cs="MetaOT-Normal"/>
            <w:color w:val="000000" w:themeColor="text1"/>
            <w:szCs w:val="22"/>
            <w:lang w:eastAsia="en-AU"/>
          </w:rPr>
          <w:fldChar w:fldCharType="begin"/>
        </w:r>
        <w:r w:rsidR="00305FE7" w:rsidRPr="00A01EC1">
          <w:rPr>
            <w:rFonts w:cs="MetaOT-Normal"/>
            <w:color w:val="000000" w:themeColor="text1"/>
            <w:szCs w:val="22"/>
            <w:lang w:eastAsia="en-AU"/>
          </w:rPr>
          <w:instrText xml:space="preserve"> ADDIN EN.CITE &lt;EndNote&gt;&lt;Cite&gt;&lt;Author&gt;Green&lt;/Author&gt;&lt;Year&gt;2003&lt;/Year&gt;&lt;RecNum&gt;9435&lt;/RecNum&gt;&lt;DisplayText&gt;Green and Short 2003&lt;/DisplayText&gt;&lt;record&gt;&lt;rec-number&gt;9435&lt;/rec-number&gt;&lt;foreign-keys&gt;&lt;key app="EN" db-id="0eve55x9y5vfd6e9dacxtew4eatve2dzds9a" timestamp="1375601046"&gt;9435&lt;/key&gt;&lt;/foreign-keys&gt;&lt;ref-type name="Edited Book"&gt;28&lt;/ref-type&gt;&lt;contributors&gt;&lt;authors&gt;&lt;author&gt;Green, EP&lt;/author&gt;&lt;author&gt;Short, FT&lt;/author&gt;&lt;/authors&gt;&lt;/contributors&gt;&lt;titles&gt;&lt;title&gt;World Atlas of Seagrasses&lt;/title&gt;&lt;/titles&gt;&lt;pages&gt;298&lt;/pages&gt;&lt;dates&gt;&lt;year&gt;2003&lt;/year&gt;&lt;/dates&gt;&lt;pub-location&gt;Berkeley. USA&lt;/pub-location&gt;&lt;publisher&gt;University of California Press,&lt;/publisher&gt;&lt;urls&gt;&lt;/urls&gt;&lt;/record&gt;&lt;/Cite&gt;&lt;/EndNote&gt;</w:instrText>
        </w:r>
        <w:r w:rsidR="00305FE7" w:rsidRPr="00A01EC1">
          <w:rPr>
            <w:rFonts w:cs="MetaOT-Normal"/>
            <w:color w:val="000000" w:themeColor="text1"/>
            <w:szCs w:val="22"/>
            <w:lang w:eastAsia="en-AU"/>
          </w:rPr>
          <w:fldChar w:fldCharType="separate"/>
        </w:r>
        <w:r w:rsidR="00305FE7" w:rsidRPr="00A01EC1">
          <w:rPr>
            <w:rFonts w:cs="MetaOT-Normal"/>
            <w:noProof/>
            <w:color w:val="000000" w:themeColor="text1"/>
            <w:szCs w:val="22"/>
            <w:lang w:eastAsia="en-AU"/>
          </w:rPr>
          <w:t>Green and Short 2003</w:t>
        </w:r>
        <w:r w:rsidR="00305FE7" w:rsidRPr="00A01EC1">
          <w:rPr>
            <w:rFonts w:cs="MetaOT-Normal"/>
            <w:color w:val="000000" w:themeColor="text1"/>
            <w:szCs w:val="22"/>
            <w:lang w:eastAsia="en-AU"/>
          </w:rPr>
          <w:fldChar w:fldCharType="end"/>
        </w:r>
      </w:hyperlink>
      <w:r w:rsidRPr="00A01EC1">
        <w:rPr>
          <w:rFonts w:cs="MetaOT-Normal"/>
          <w:color w:val="000000" w:themeColor="text1"/>
          <w:szCs w:val="22"/>
          <w:lang w:eastAsia="en-AU"/>
        </w:rPr>
        <w:t>) and between 6</w:t>
      </w:r>
      <w:r w:rsidR="0063478C" w:rsidRPr="00A01EC1">
        <w:rPr>
          <w:rFonts w:cs="MetaOT-Normal"/>
          <w:color w:val="000000" w:themeColor="text1"/>
          <w:szCs w:val="22"/>
          <w:lang w:eastAsia="en-AU"/>
        </w:rPr>
        <w:t xml:space="preserve"> per cent</w:t>
      </w:r>
      <w:r w:rsidRPr="00A01EC1">
        <w:rPr>
          <w:rFonts w:cs="MetaOT-Normal"/>
          <w:color w:val="000000" w:themeColor="text1"/>
          <w:szCs w:val="22"/>
          <w:lang w:eastAsia="en-AU"/>
        </w:rPr>
        <w:t xml:space="preserve"> and 12</w:t>
      </w:r>
      <w:r w:rsidR="0063478C" w:rsidRPr="00A01EC1">
        <w:rPr>
          <w:rFonts w:cs="MetaOT-Normal"/>
          <w:color w:val="000000" w:themeColor="text1"/>
          <w:szCs w:val="22"/>
          <w:lang w:eastAsia="en-AU"/>
        </w:rPr>
        <w:t xml:space="preserve"> per cent</w:t>
      </w:r>
      <w:r w:rsidRPr="00A01EC1">
        <w:rPr>
          <w:rFonts w:cs="MetaOT-Normal"/>
          <w:color w:val="000000" w:themeColor="text1"/>
          <w:szCs w:val="22"/>
          <w:lang w:eastAsia="en-AU"/>
        </w:rPr>
        <w:t xml:space="preserve"> globally (</w:t>
      </w:r>
      <w:hyperlink w:anchor="_ENREF_83" w:tooltip="Duarte, 2005 #10036" w:history="1">
        <w:r w:rsidR="00305FE7" w:rsidRPr="00A01EC1">
          <w:rPr>
            <w:rFonts w:cs="MetaOT-Normal"/>
            <w:color w:val="000000" w:themeColor="text1"/>
            <w:szCs w:val="22"/>
            <w:lang w:eastAsia="en-AU"/>
          </w:rPr>
          <w:fldChar w:fldCharType="begin"/>
        </w:r>
        <w:r w:rsidR="00305FE7" w:rsidRPr="00A01EC1">
          <w:rPr>
            <w:rFonts w:cs="MetaOT-Normal"/>
            <w:color w:val="000000" w:themeColor="text1"/>
            <w:szCs w:val="22"/>
            <w:lang w:eastAsia="en-AU"/>
          </w:rPr>
          <w:instrText xml:space="preserve"> ADDIN EN.CITE &lt;EndNote&gt;&lt;Cite&gt;&lt;Author&gt;Duarte&lt;/Author&gt;&lt;Year&gt;2005&lt;/Year&gt;&lt;RecNum&gt;10036&lt;/RecNum&gt;&lt;DisplayText&gt;Duarte&lt;style face="italic"&gt; et al.&lt;/style&gt; 2005&lt;/DisplayText&gt;&lt;record&gt;&lt;rec-number&gt;10036&lt;/rec-number&gt;&lt;foreign-keys&gt;&lt;key app="EN" db-id="0eve55x9y5vfd6e9dacxtew4eatve2dzds9a" timestamp="1418354137"&gt;10036&lt;/key&gt;&lt;/foreign-keys&gt;&lt;ref-type name="Book Section"&gt;5&lt;/ref-type&gt;&lt;contributors&gt;&lt;authors&gt;&lt;author&gt;Duarte, CM&lt;/author&gt;&lt;author&gt;Borum, J&lt;/author&gt;&lt;author&gt;Short, FT&lt;/author&gt;&lt;author&gt;Walker, DI&lt;/author&gt;&lt;/authors&gt;&lt;secondary-authors&gt;&lt;author&gt;Polunin, NVC&lt;/author&gt;&lt;/secondary-authors&gt;&lt;/contributors&gt;&lt;titles&gt;&lt;title&gt;Seagrass Ecosystems: Their Global Status and Prospects&lt;/title&gt;&lt;secondary-title&gt;Aquatic Ecosystems: Trends and Global Prospects&lt;/secondary-title&gt;&lt;/titles&gt;&lt;dates&gt;&lt;year&gt;2005&lt;/year&gt;&lt;/dates&gt;&lt;publisher&gt;Cambridge Univ. Press&lt;/publisher&gt;&lt;urls&gt;&lt;/urls&gt;&lt;/record&gt;&lt;/Cite&gt;&lt;/EndNote&gt;</w:instrText>
        </w:r>
        <w:r w:rsidR="00305FE7" w:rsidRPr="00A01EC1">
          <w:rPr>
            <w:rFonts w:cs="MetaOT-Normal"/>
            <w:color w:val="000000" w:themeColor="text1"/>
            <w:szCs w:val="22"/>
            <w:lang w:eastAsia="en-AU"/>
          </w:rPr>
          <w:fldChar w:fldCharType="separate"/>
        </w:r>
        <w:r w:rsidR="00305FE7" w:rsidRPr="00A01EC1">
          <w:rPr>
            <w:rFonts w:cs="MetaOT-Normal"/>
            <w:noProof/>
            <w:color w:val="000000" w:themeColor="text1"/>
            <w:szCs w:val="22"/>
            <w:lang w:eastAsia="en-AU"/>
          </w:rPr>
          <w:t>Duarte</w:t>
        </w:r>
        <w:r w:rsidR="00305FE7" w:rsidRPr="00A01EC1">
          <w:rPr>
            <w:rFonts w:cs="MetaOT-Normal"/>
            <w:i/>
            <w:noProof/>
            <w:color w:val="000000" w:themeColor="text1"/>
            <w:szCs w:val="22"/>
            <w:lang w:eastAsia="en-AU"/>
          </w:rPr>
          <w:t xml:space="preserve"> et al.</w:t>
        </w:r>
        <w:r w:rsidR="00305FE7" w:rsidRPr="00A01EC1">
          <w:rPr>
            <w:rFonts w:cs="MetaOT-Normal"/>
            <w:noProof/>
            <w:color w:val="000000" w:themeColor="text1"/>
            <w:szCs w:val="22"/>
            <w:lang w:eastAsia="en-AU"/>
          </w:rPr>
          <w:t xml:space="preserve"> 2005</w:t>
        </w:r>
        <w:r w:rsidR="00305FE7" w:rsidRPr="00A01EC1">
          <w:rPr>
            <w:rFonts w:cs="MetaOT-Normal"/>
            <w:color w:val="000000" w:themeColor="text1"/>
            <w:szCs w:val="22"/>
            <w:lang w:eastAsia="en-AU"/>
          </w:rPr>
          <w:fldChar w:fldCharType="end"/>
        </w:r>
      </w:hyperlink>
      <w:r w:rsidRPr="00A01EC1">
        <w:rPr>
          <w:rFonts w:cs="MetaOT-Normal"/>
          <w:color w:val="000000" w:themeColor="text1"/>
          <w:szCs w:val="22"/>
          <w:lang w:eastAsia="en-AU"/>
        </w:rPr>
        <w:t xml:space="preserve">), making the Great Barrier Reef’s seagrass resources globally significant. </w:t>
      </w:r>
    </w:p>
    <w:p w14:paraId="20A5A808" w14:textId="08094F06" w:rsidR="000563CC" w:rsidRDefault="000563CC" w:rsidP="001B4ECE">
      <w:pPr>
        <w:spacing w:before="0" w:after="0"/>
        <w:jc w:val="center"/>
        <w:rPr>
          <w:szCs w:val="22"/>
        </w:rPr>
      </w:pPr>
      <w:r>
        <w:rPr>
          <w:noProof/>
          <w:lang w:eastAsia="en-AU"/>
        </w:rPr>
        <w:drawing>
          <wp:inline distT="0" distB="0" distL="0" distR="0" wp14:anchorId="5C181D37" wp14:editId="201E5F1A">
            <wp:extent cx="3942000" cy="6073200"/>
            <wp:effectExtent l="0" t="0" r="1905" b="3810"/>
            <wp:docPr id="537" name="Picture 537" descr="Map showing the Great Barrier Reef Marine Park, major marine ecosystems (coral reefs and surveyed seagrass beds), NRM regions and marine NRM regions (delineated by dark grey lines) and major rivers." title="The Great Barrier Reef Marine Park, major marine ecosystems (coral reefs and surveyed seagrass beds), NRM regions and marine NRM regions (delineated by dark grey line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atchment_map_v2_300ppi-01.jpg"/>
                    <pic:cNvPicPr/>
                  </pic:nvPicPr>
                  <pic:blipFill>
                    <a:blip r:embed="rId26">
                      <a:extLst>
                        <a:ext uri="{28A0092B-C50C-407E-A947-70E740481C1C}">
                          <a14:useLocalDpi xmlns:a14="http://schemas.microsoft.com/office/drawing/2010/main" val="0"/>
                        </a:ext>
                      </a:extLst>
                    </a:blip>
                    <a:stretch>
                      <a:fillRect/>
                    </a:stretch>
                  </pic:blipFill>
                  <pic:spPr>
                    <a:xfrm>
                      <a:off x="0" y="0"/>
                      <a:ext cx="3942000" cy="6073200"/>
                    </a:xfrm>
                    <a:prstGeom prst="rect">
                      <a:avLst/>
                    </a:prstGeom>
                  </pic:spPr>
                </pic:pic>
              </a:graphicData>
            </a:graphic>
          </wp:inline>
        </w:drawing>
      </w:r>
    </w:p>
    <w:p w14:paraId="6F2E5A66" w14:textId="1E35D9B0" w:rsidR="00783B80" w:rsidRPr="00A01EC1" w:rsidRDefault="000563CC" w:rsidP="00783B80">
      <w:pPr>
        <w:pStyle w:val="Caption"/>
        <w:rPr>
          <w:i/>
          <w:vanish/>
          <w:color w:val="000000" w:themeColor="text1"/>
          <w:szCs w:val="22"/>
          <w:specVanish/>
        </w:rPr>
      </w:pPr>
      <w:bookmarkStart w:id="23" w:name="_Ref472590595"/>
      <w:bookmarkStart w:id="24" w:name="_Toc516053211"/>
      <w:r>
        <w:t xml:space="preserve">Figure </w:t>
      </w:r>
      <w:r>
        <w:fldChar w:fldCharType="begin"/>
      </w:r>
      <w:r>
        <w:instrText xml:space="preserve"> SEQ Figure \* ARABIC </w:instrText>
      </w:r>
      <w:r>
        <w:fldChar w:fldCharType="separate"/>
      </w:r>
      <w:r w:rsidR="00F87DF9">
        <w:rPr>
          <w:noProof/>
        </w:rPr>
        <w:t>1</w:t>
      </w:r>
      <w:r>
        <w:fldChar w:fldCharType="end"/>
      </w:r>
      <w:bookmarkEnd w:id="23"/>
      <w:r>
        <w:t xml:space="preserve">. </w:t>
      </w:r>
      <w:r w:rsidRPr="00A01EC1">
        <w:rPr>
          <w:i/>
          <w:color w:val="000000" w:themeColor="text1"/>
        </w:rPr>
        <w:t>The Great Barrier Reef Marine Park, major marine ecosystems (coral reefs and surveyed seagrass meadows), NRM regions and marine NRM regions</w:t>
      </w:r>
      <w:bookmarkEnd w:id="24"/>
    </w:p>
    <w:p w14:paraId="604EDCD6" w14:textId="50FB163C" w:rsidR="00783B80" w:rsidRPr="00A01EC1" w:rsidRDefault="000563CC" w:rsidP="00783B80">
      <w:pPr>
        <w:pStyle w:val="Caption"/>
        <w:rPr>
          <w:rFonts w:cs="Arial"/>
          <w:color w:val="000000" w:themeColor="text1"/>
          <w:szCs w:val="22"/>
        </w:rPr>
      </w:pPr>
      <w:r w:rsidRPr="00A01EC1">
        <w:rPr>
          <w:i/>
          <w:color w:val="000000" w:themeColor="text1"/>
        </w:rPr>
        <w:t xml:space="preserve"> (delineated by dark grey lines) and major </w:t>
      </w:r>
      <w:r w:rsidRPr="001B05FD">
        <w:rPr>
          <w:i/>
          <w:color w:val="000000" w:themeColor="text1"/>
        </w:rPr>
        <w:t>rivers</w:t>
      </w:r>
      <w:r w:rsidR="0041342B" w:rsidRPr="001B05FD">
        <w:rPr>
          <w:i/>
          <w:color w:val="000000" w:themeColor="text1"/>
        </w:rPr>
        <w:t xml:space="preserve"> </w:t>
      </w:r>
      <w:r w:rsidR="001B05FD" w:rsidRPr="001B05FD">
        <w:rPr>
          <w:i/>
          <w:color w:val="000000" w:themeColor="text1"/>
          <w:szCs w:val="22"/>
        </w:rPr>
        <w:t>(</w:t>
      </w:r>
      <w:hyperlink w:anchor="_ENREF_233" w:tooltip="Waterhouse, 2018 #11521" w:history="1">
        <w:r w:rsidR="00305FE7">
          <w:rPr>
            <w:i/>
            <w:color w:val="000000" w:themeColor="text1"/>
            <w:szCs w:val="22"/>
          </w:rPr>
          <w:fldChar w:fldCharType="begin"/>
        </w:r>
        <w:r w:rsidR="00305FE7">
          <w:rPr>
            <w:i/>
            <w:color w:val="000000" w:themeColor="text1"/>
            <w:szCs w:val="22"/>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color w:val="000000" w:themeColor="text1"/>
            <w:szCs w:val="22"/>
          </w:rPr>
          <w:fldChar w:fldCharType="separate"/>
        </w:r>
        <w:r w:rsidR="00305FE7">
          <w:rPr>
            <w:i/>
            <w:noProof/>
            <w:color w:val="000000" w:themeColor="text1"/>
            <w:szCs w:val="22"/>
          </w:rPr>
          <w:t>Waterhouse et al. 2018</w:t>
        </w:r>
        <w:r w:rsidR="00305FE7">
          <w:rPr>
            <w:i/>
            <w:color w:val="000000" w:themeColor="text1"/>
            <w:szCs w:val="22"/>
          </w:rPr>
          <w:fldChar w:fldCharType="end"/>
        </w:r>
      </w:hyperlink>
      <w:r w:rsidR="009D6AA1" w:rsidRPr="001B05FD">
        <w:rPr>
          <w:i/>
          <w:color w:val="000000" w:themeColor="text1"/>
        </w:rPr>
        <w:t>)</w:t>
      </w:r>
      <w:r w:rsidR="00783B80" w:rsidRPr="00A01EC1">
        <w:rPr>
          <w:i/>
          <w:color w:val="000000" w:themeColor="text1"/>
        </w:rPr>
        <w:t>.</w:t>
      </w:r>
      <w:r w:rsidR="00783B80" w:rsidRPr="00A01EC1">
        <w:rPr>
          <w:rFonts w:cs="Arial"/>
          <w:color w:val="000000" w:themeColor="text1"/>
          <w:szCs w:val="22"/>
        </w:rPr>
        <w:t xml:space="preserve"> </w:t>
      </w:r>
    </w:p>
    <w:p w14:paraId="7C362C41" w14:textId="71D8C2D6" w:rsidR="003D1F7F" w:rsidRPr="00A01EC1" w:rsidRDefault="003D1F7F" w:rsidP="00783B80">
      <w:pPr>
        <w:pStyle w:val="Caption"/>
        <w:rPr>
          <w:color w:val="000000" w:themeColor="text1"/>
          <w:szCs w:val="22"/>
        </w:rPr>
      </w:pPr>
      <w:r w:rsidRPr="00A01EC1">
        <w:rPr>
          <w:rFonts w:cs="Arial"/>
          <w:color w:val="000000" w:themeColor="text1"/>
          <w:szCs w:val="22"/>
        </w:rPr>
        <w:t>Seagrasses in the G</w:t>
      </w:r>
      <w:r w:rsidR="007F6948">
        <w:rPr>
          <w:rFonts w:cs="Arial"/>
          <w:color w:val="000000" w:themeColor="text1"/>
          <w:szCs w:val="22"/>
        </w:rPr>
        <w:t>reat Barrier Reef</w:t>
      </w:r>
      <w:r w:rsidRPr="00A01EC1">
        <w:rPr>
          <w:rFonts w:cs="Arial"/>
          <w:color w:val="000000" w:themeColor="text1"/>
          <w:szCs w:val="22"/>
        </w:rPr>
        <w:t xml:space="preserve"> can be separated into four major habitat types: estuary/inlet, coastal, reef and deepwater </w:t>
      </w:r>
      <w:r w:rsidR="00311782" w:rsidRPr="00A01EC1">
        <w:rPr>
          <w:color w:val="000000" w:themeColor="text1"/>
          <w:szCs w:val="22"/>
        </w:rPr>
        <w:t>(</w:t>
      </w:r>
      <w:hyperlink w:anchor="_ENREF_32" w:tooltip="Carruthers, 2002 #8021" w:history="1">
        <w:r w:rsidR="00305FE7" w:rsidRPr="00A01EC1">
          <w:rPr>
            <w:color w:val="000000" w:themeColor="text1"/>
            <w:szCs w:val="22"/>
          </w:rPr>
          <w:fldChar w:fldCharType="begin"/>
        </w:r>
        <w:r w:rsidR="00305FE7">
          <w:rPr>
            <w:color w:val="000000" w:themeColor="text1"/>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305FE7" w:rsidRPr="00A01EC1">
          <w:rPr>
            <w:color w:val="000000" w:themeColor="text1"/>
            <w:szCs w:val="22"/>
          </w:rPr>
          <w:fldChar w:fldCharType="separate"/>
        </w:r>
        <w:r w:rsidR="00305FE7">
          <w:rPr>
            <w:noProof/>
            <w:color w:val="000000" w:themeColor="text1"/>
            <w:szCs w:val="22"/>
          </w:rPr>
          <w:t>Carruthers</w:t>
        </w:r>
        <w:r w:rsidR="00305FE7" w:rsidRPr="00521D93">
          <w:rPr>
            <w:i/>
            <w:noProof/>
            <w:color w:val="000000" w:themeColor="text1"/>
            <w:szCs w:val="22"/>
          </w:rPr>
          <w:t xml:space="preserve"> et al.</w:t>
        </w:r>
        <w:r w:rsidR="00305FE7">
          <w:rPr>
            <w:noProof/>
            <w:color w:val="000000" w:themeColor="text1"/>
            <w:szCs w:val="22"/>
          </w:rPr>
          <w:t xml:space="preserve"> 2002</w:t>
        </w:r>
        <w:r w:rsidR="00305FE7" w:rsidRPr="00A01EC1">
          <w:rPr>
            <w:color w:val="000000" w:themeColor="text1"/>
            <w:szCs w:val="22"/>
          </w:rPr>
          <w:fldChar w:fldCharType="end"/>
        </w:r>
      </w:hyperlink>
      <w:r w:rsidR="00311782" w:rsidRPr="00A01EC1">
        <w:rPr>
          <w:color w:val="000000" w:themeColor="text1"/>
          <w:szCs w:val="22"/>
        </w:rPr>
        <w:t>)</w:t>
      </w:r>
      <w:r w:rsidRPr="00A01EC1">
        <w:rPr>
          <w:rFonts w:cs="Arial"/>
          <w:color w:val="000000" w:themeColor="text1"/>
          <w:szCs w:val="22"/>
        </w:rPr>
        <w:t xml:space="preserve"> (</w:t>
      </w:r>
      <w:r w:rsidRPr="00A01EC1">
        <w:rPr>
          <w:color w:val="000000" w:themeColor="text1"/>
          <w:szCs w:val="22"/>
        </w:rPr>
        <w:fldChar w:fldCharType="begin"/>
      </w:r>
      <w:r w:rsidRPr="00A01EC1">
        <w:rPr>
          <w:color w:val="000000" w:themeColor="text1"/>
          <w:szCs w:val="22"/>
        </w:rPr>
        <w:instrText xml:space="preserve"> REF _Ref179269924 \h  \* MERGEFORMAT </w:instrText>
      </w:r>
      <w:r w:rsidRPr="00A01EC1">
        <w:rPr>
          <w:color w:val="000000" w:themeColor="text1"/>
          <w:szCs w:val="22"/>
        </w:rPr>
      </w:r>
      <w:r w:rsidRPr="00A01EC1">
        <w:rPr>
          <w:color w:val="000000" w:themeColor="text1"/>
          <w:szCs w:val="22"/>
        </w:rPr>
        <w:fldChar w:fldCharType="separate"/>
      </w:r>
      <w:r w:rsidR="00F87DF9" w:rsidRPr="00F87DF9">
        <w:rPr>
          <w:color w:val="000000" w:themeColor="text1"/>
          <w:szCs w:val="22"/>
        </w:rPr>
        <w:t xml:space="preserve">Figure </w:t>
      </w:r>
      <w:r w:rsidR="00F87DF9" w:rsidRPr="00F87DF9">
        <w:rPr>
          <w:noProof/>
          <w:color w:val="000000" w:themeColor="text1"/>
          <w:szCs w:val="22"/>
        </w:rPr>
        <w:t>2</w:t>
      </w:r>
      <w:r w:rsidRPr="00A01EC1">
        <w:rPr>
          <w:color w:val="000000" w:themeColor="text1"/>
          <w:szCs w:val="22"/>
        </w:rPr>
        <w:fldChar w:fldCharType="end"/>
      </w:r>
      <w:r w:rsidRPr="00A01EC1">
        <w:rPr>
          <w:rFonts w:cs="Arial"/>
          <w:color w:val="000000" w:themeColor="text1"/>
          <w:szCs w:val="22"/>
        </w:rPr>
        <w:t>).</w:t>
      </w:r>
      <w:r w:rsidRPr="00A01EC1">
        <w:rPr>
          <w:rFonts w:cs="TimesNewRomanPSMT"/>
          <w:color w:val="000000" w:themeColor="text1"/>
          <w:szCs w:val="22"/>
        </w:rPr>
        <w:t xml:space="preserve"> </w:t>
      </w:r>
      <w:r w:rsidRPr="00A01EC1">
        <w:rPr>
          <w:rFonts w:cs="Arial"/>
          <w:color w:val="000000" w:themeColor="text1"/>
          <w:szCs w:val="22"/>
        </w:rPr>
        <w:t>All but the outer reef habitats are significantly influenced by seasonal and episodic pulses of sediment-laden, nutrient-rich river flows, resulting from high volume summer rainfall. Cyclones, severe storms, wind and waves as well as macro grazers (</w:t>
      </w:r>
      <w:r w:rsidR="008D142C">
        <w:rPr>
          <w:rFonts w:cs="Arial"/>
          <w:color w:val="000000" w:themeColor="text1"/>
          <w:szCs w:val="22"/>
        </w:rPr>
        <w:t>e.g.</w:t>
      </w:r>
      <w:r w:rsidR="009D6AA1">
        <w:rPr>
          <w:rFonts w:cs="Arial"/>
          <w:color w:val="000000" w:themeColor="text1"/>
          <w:szCs w:val="22"/>
        </w:rPr>
        <w:t xml:space="preserve"> </w:t>
      </w:r>
      <w:r w:rsidRPr="00A01EC1">
        <w:rPr>
          <w:rFonts w:cs="Arial"/>
          <w:color w:val="000000" w:themeColor="text1"/>
          <w:szCs w:val="22"/>
        </w:rPr>
        <w:t>fish, dugongs and turtles) influence all habitats in this region to varying degrees. The result is a series of dynamic, spatially and temporally variable seagrass meadows.</w:t>
      </w:r>
      <w:r w:rsidRPr="00A01EC1">
        <w:rPr>
          <w:color w:val="000000" w:themeColor="text1"/>
          <w:szCs w:val="22"/>
        </w:rPr>
        <w:t xml:space="preserve"> </w:t>
      </w:r>
    </w:p>
    <w:p w14:paraId="454CB1E0" w14:textId="77777777" w:rsidR="003D1F7F" w:rsidRPr="001E27EA" w:rsidRDefault="003D1F7F" w:rsidP="003D1F7F">
      <w:pPr>
        <w:keepNext/>
        <w:tabs>
          <w:tab w:val="left" w:pos="360"/>
        </w:tabs>
        <w:spacing w:after="0"/>
        <w:jc w:val="center"/>
        <w:rPr>
          <w:rFonts w:cs="Arial"/>
          <w:color w:val="000000"/>
          <w:szCs w:val="22"/>
        </w:rPr>
      </w:pPr>
      <w:r>
        <w:rPr>
          <w:rFonts w:cs="Arial"/>
          <w:noProof/>
          <w:color w:val="000000"/>
          <w:szCs w:val="22"/>
          <w:lang w:eastAsia="en-AU"/>
        </w:rPr>
        <w:drawing>
          <wp:inline distT="0" distB="0" distL="0" distR="0" wp14:anchorId="59F6507A" wp14:editId="48332B6E">
            <wp:extent cx="5755640" cy="5902960"/>
            <wp:effectExtent l="0" t="0" r="0" b="2540"/>
            <wp:docPr id="253" name="Picture 253" descr="General conceptual model of seagrass habitats in north east Australia and the water quality impacts affecting the habitat (adapted from Carruthers et al., 2002, and Collier et al.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bitats model_19Jan2016-01.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55640" cy="5902960"/>
                    </a:xfrm>
                    <a:prstGeom prst="rect">
                      <a:avLst/>
                    </a:prstGeom>
                  </pic:spPr>
                </pic:pic>
              </a:graphicData>
            </a:graphic>
          </wp:inline>
        </w:drawing>
      </w:r>
    </w:p>
    <w:p w14:paraId="1BA679D9" w14:textId="77777777" w:rsidR="00EE7948" w:rsidRPr="00A01EC1" w:rsidRDefault="003D1F7F" w:rsidP="00EE7948">
      <w:pPr>
        <w:pStyle w:val="Caption"/>
        <w:spacing w:before="0"/>
        <w:rPr>
          <w:i/>
          <w:vanish/>
          <w:color w:val="000000" w:themeColor="text1"/>
          <w:szCs w:val="22"/>
          <w:specVanish/>
        </w:rPr>
      </w:pPr>
      <w:bookmarkStart w:id="25" w:name="_Ref179269924"/>
      <w:bookmarkStart w:id="26" w:name="_Toc516053212"/>
      <w:bookmarkStart w:id="27" w:name="_Toc176158845"/>
      <w:bookmarkStart w:id="28" w:name="_Toc232845953"/>
      <w:r w:rsidRPr="001E27EA">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2</w:t>
      </w:r>
      <w:r w:rsidR="0073595B">
        <w:rPr>
          <w:color w:val="000000"/>
          <w:szCs w:val="22"/>
        </w:rPr>
        <w:fldChar w:fldCharType="end"/>
      </w:r>
      <w:bookmarkEnd w:id="25"/>
      <w:r w:rsidRPr="001E27EA">
        <w:rPr>
          <w:i/>
          <w:color w:val="000000"/>
          <w:szCs w:val="22"/>
        </w:rPr>
        <w:t>. General conceptual model of seagrass habitats in north east Australia</w:t>
      </w:r>
      <w:r>
        <w:rPr>
          <w:i/>
          <w:color w:val="000000"/>
          <w:szCs w:val="22"/>
        </w:rPr>
        <w:t xml:space="preserve"> and the water quality impacts affecting the habitat</w:t>
      </w:r>
      <w:bookmarkEnd w:id="26"/>
    </w:p>
    <w:p w14:paraId="2A50A662" w14:textId="3CFF5D8C" w:rsidR="003D1F7F" w:rsidRDefault="003D1F7F" w:rsidP="00EE7948">
      <w:pPr>
        <w:spacing w:before="0"/>
        <w:rPr>
          <w:i/>
          <w:color w:val="000000"/>
          <w:szCs w:val="22"/>
        </w:rPr>
      </w:pPr>
      <w:r w:rsidRPr="001E27EA">
        <w:rPr>
          <w:i/>
          <w:color w:val="000000"/>
          <w:szCs w:val="22"/>
        </w:rPr>
        <w:t xml:space="preserve"> (</w:t>
      </w:r>
      <w:r>
        <w:rPr>
          <w:i/>
          <w:color w:val="000000"/>
          <w:szCs w:val="22"/>
        </w:rPr>
        <w:t xml:space="preserve">adapted </w:t>
      </w:r>
      <w:r w:rsidRPr="001E27EA">
        <w:rPr>
          <w:i/>
          <w:color w:val="000000"/>
          <w:szCs w:val="22"/>
        </w:rPr>
        <w:t>from Carruthers et al., 2002</w:t>
      </w:r>
      <w:r>
        <w:rPr>
          <w:i/>
          <w:color w:val="000000"/>
          <w:szCs w:val="22"/>
        </w:rPr>
        <w:t xml:space="preserve">, and </w:t>
      </w:r>
      <w:hyperlink w:anchor="_ENREF_52" w:tooltip="Collier, 2014 #9685" w:history="1">
        <w:r w:rsidR="00305FE7">
          <w:rPr>
            <w:i/>
            <w:color w:val="000000"/>
            <w:szCs w:val="22"/>
          </w:rPr>
          <w:fldChar w:fldCharType="begin"/>
        </w:r>
        <w:r w:rsidR="00305FE7">
          <w:rPr>
            <w:i/>
            <w:color w:val="000000"/>
            <w:szCs w:val="22"/>
          </w:rPr>
          <w:instrText xml:space="preserve"> ADDIN EN.CITE &lt;EndNote&gt;&lt;Cite&gt;&lt;Author&gt;Collier&lt;/Author&gt;&lt;Year&gt;2014&lt;/Year&gt;&lt;RecNum&gt;9685&lt;/RecNum&gt;&lt;DisplayText&gt;Collier&lt;style face="italic"&gt; et al.&lt;/style&gt; 2014&lt;/DisplayText&gt;&lt;record&gt;&lt;rec-number&gt;9685&lt;/rec-number&gt;&lt;foreign-keys&gt;&lt;key app="EN" db-id="0eve55x9y5vfd6e9dacxtew4eatve2dzds9a" timestamp="1392762481"&gt;9685&lt;/key&gt;&lt;/foreign-keys&gt;&lt;ref-type name="Book"&gt;6&lt;/ref-type&gt;&lt;contributors&gt;&lt;authors&gt;&lt;author&gt;Collier, C&lt;/author&gt;&lt;author&gt;Devlin, M&lt;/author&gt;&lt;author&gt;Langlois, L&lt;/author&gt;&lt;author&gt;Petus, C&lt;/author&gt;&lt;author&gt;McKenzie, Len J&lt;/author&gt;&lt;author&gt;Texeira da Silva, E&lt;/author&gt;&lt;author&gt;McMahon, Kathryn&lt;/author&gt;&lt;author&gt;Adams, M&lt;/author&gt;&lt;author&gt;O’Brien, Kate&lt;/author&gt;&lt;author&gt;Statton, J&lt;/author&gt;&lt;author&gt;Waycott, Michelle&lt;/author&gt;&lt;/authors&gt;&lt;/contributors&gt;&lt;titles&gt;&lt;title&gt;Thresholds and indicators of declining water quality as tools for tropical seagrass management. Report to the National Environmental Research Program&lt;/title&gt;&lt;/titles&gt;&lt;pages&gt;93&lt;/pages&gt;&lt;dates&gt;&lt;year&gt;2014&lt;/year&gt;&lt;/dates&gt;&lt;pub-location&gt;Cairns&lt;/pub-location&gt;&lt;publisher&gt;Reef and Rainforest Research Centre Limited&lt;/publisher&gt;&lt;isbn&gt;978-1-925088-50-2&lt;/isbn&gt;&lt;urls&gt;&lt;/urls&gt;&lt;/record&gt;&lt;/Cite&gt;&lt;/EndNote&gt;</w:instrText>
        </w:r>
        <w:r w:rsidR="00305FE7">
          <w:rPr>
            <w:i/>
            <w:color w:val="000000"/>
            <w:szCs w:val="22"/>
          </w:rPr>
          <w:fldChar w:fldCharType="separate"/>
        </w:r>
        <w:r w:rsidR="00305FE7">
          <w:rPr>
            <w:i/>
            <w:noProof/>
            <w:color w:val="000000"/>
            <w:szCs w:val="22"/>
          </w:rPr>
          <w:t>Collier et al. 2014</w:t>
        </w:r>
        <w:r w:rsidR="00305FE7">
          <w:rPr>
            <w:i/>
            <w:color w:val="000000"/>
            <w:szCs w:val="22"/>
          </w:rPr>
          <w:fldChar w:fldCharType="end"/>
        </w:r>
      </w:hyperlink>
      <w:r w:rsidRPr="001E27EA">
        <w:rPr>
          <w:i/>
          <w:color w:val="000000"/>
          <w:szCs w:val="22"/>
        </w:rPr>
        <w:t>)</w:t>
      </w:r>
      <w:bookmarkEnd w:id="27"/>
      <w:bookmarkEnd w:id="28"/>
    </w:p>
    <w:p w14:paraId="730BC66E" w14:textId="0735C3E5" w:rsidR="003D1F7F" w:rsidRPr="00A01EC1" w:rsidRDefault="003D1F7F" w:rsidP="00A72780">
      <w:pPr>
        <w:rPr>
          <w:color w:val="000000" w:themeColor="text1"/>
        </w:rPr>
      </w:pPr>
      <w:r w:rsidRPr="00A01EC1">
        <w:rPr>
          <w:color w:val="000000" w:themeColor="text1"/>
        </w:rPr>
        <w:t>The seagrass ecosystems of the GBR, on a global scale, would be for the most part categorised as being dom</w:t>
      </w:r>
      <w:r w:rsidR="00311782" w:rsidRPr="00A01EC1">
        <w:rPr>
          <w:color w:val="000000" w:themeColor="text1"/>
        </w:rPr>
        <w:t>inated by disturbance-favouring</w:t>
      </w:r>
      <w:r w:rsidRPr="00A01EC1">
        <w:rPr>
          <w:color w:val="000000" w:themeColor="text1"/>
        </w:rPr>
        <w:t xml:space="preserve"> </w:t>
      </w:r>
      <w:r w:rsidR="00311782" w:rsidRPr="00A01EC1">
        <w:rPr>
          <w:color w:val="000000" w:themeColor="text1"/>
        </w:rPr>
        <w:t xml:space="preserve">colonising and </w:t>
      </w:r>
      <w:r w:rsidRPr="00A01EC1">
        <w:rPr>
          <w:color w:val="000000" w:themeColor="text1"/>
        </w:rPr>
        <w:t xml:space="preserve">opportunistic species (e.g. </w:t>
      </w:r>
      <w:r w:rsidRPr="00A01EC1">
        <w:rPr>
          <w:i/>
          <w:color w:val="000000" w:themeColor="text1"/>
        </w:rPr>
        <w:t>Halophila</w:t>
      </w:r>
      <w:r w:rsidRPr="00A01EC1">
        <w:rPr>
          <w:color w:val="000000" w:themeColor="text1"/>
        </w:rPr>
        <w:t xml:space="preserve">, </w:t>
      </w:r>
      <w:r w:rsidRPr="00A01EC1">
        <w:rPr>
          <w:i/>
          <w:color w:val="000000" w:themeColor="text1"/>
        </w:rPr>
        <w:t>Halodule</w:t>
      </w:r>
      <w:r w:rsidRPr="00A01EC1">
        <w:rPr>
          <w:color w:val="000000" w:themeColor="text1"/>
        </w:rPr>
        <w:t xml:space="preserve"> and </w:t>
      </w:r>
      <w:r w:rsidRPr="00A01EC1">
        <w:rPr>
          <w:i/>
          <w:color w:val="000000" w:themeColor="text1"/>
        </w:rPr>
        <w:t>Zostera</w:t>
      </w:r>
      <w:r w:rsidRPr="00A01EC1">
        <w:rPr>
          <w:color w:val="000000" w:themeColor="text1"/>
        </w:rPr>
        <w:t xml:space="preserve">), which typically have low standing biomass and high turnover rates (Carruthers </w:t>
      </w:r>
      <w:r w:rsidRPr="00A01EC1">
        <w:rPr>
          <w:i/>
          <w:color w:val="000000" w:themeColor="text1"/>
        </w:rPr>
        <w:t>et al.</w:t>
      </w:r>
      <w:r w:rsidRPr="00A01EC1">
        <w:rPr>
          <w:color w:val="000000" w:themeColor="text1"/>
        </w:rPr>
        <w:t xml:space="preserve"> 2002, Waycott </w:t>
      </w:r>
      <w:r w:rsidRPr="00A01EC1">
        <w:rPr>
          <w:i/>
          <w:color w:val="000000" w:themeColor="text1"/>
        </w:rPr>
        <w:t>et al.</w:t>
      </w:r>
      <w:r w:rsidRPr="00A01EC1">
        <w:rPr>
          <w:color w:val="000000" w:themeColor="text1"/>
        </w:rPr>
        <w:t xml:space="preserve"> 2007). In more sheltered areas, including reef top or inshore areas</w:t>
      </w:r>
      <w:r w:rsidR="000806A8" w:rsidRPr="00A01EC1">
        <w:rPr>
          <w:color w:val="000000" w:themeColor="text1"/>
        </w:rPr>
        <w:t xml:space="preserve"> in bays</w:t>
      </w:r>
      <w:r w:rsidRPr="00A01EC1">
        <w:rPr>
          <w:color w:val="000000" w:themeColor="text1"/>
        </w:rPr>
        <w:t xml:space="preserve">, more stable and persistent species are found, although these are still relatively responsive to disturbances </w:t>
      </w:r>
      <w:r w:rsidR="00311782" w:rsidRPr="00A01EC1">
        <w:rPr>
          <w:color w:val="000000" w:themeColor="text1"/>
        </w:rPr>
        <w:t>(</w:t>
      </w:r>
      <w:r w:rsidR="00644A84" w:rsidRPr="00A01EC1">
        <w:rPr>
          <w:color w:val="000000" w:themeColor="text1"/>
        </w:rPr>
        <w:fldChar w:fldCharType="begin">
          <w:fldData xml:space="preserve">PEVuZE5vdGU+PENpdGU+PEF1dGhvcj5DYXJydXRoZXJzPC9BdXRob3I+PFllYXI+MjAwMjwvWWVh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</w:fldData>
        </w:fldChar>
      </w:r>
      <w:r w:rsidR="00521D93">
        <w:rPr>
          <w:color w:val="000000" w:themeColor="text1"/>
        </w:rPr>
        <w:instrText xml:space="preserve"> ADDIN EN.CITE </w:instrText>
      </w:r>
      <w:r w:rsidR="00521D93">
        <w:rPr>
          <w:color w:val="000000" w:themeColor="text1"/>
        </w:rPr>
        <w:fldChar w:fldCharType="begin">
          <w:fldData xml:space="preserve">PEVuZE5vdGU+PENpdGU+PEF1dGhvcj5DYXJydXRoZXJzPC9BdXRob3I+PFllYXI+MjAwMjwvWWVh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</w:fldData>
        </w:fldChar>
      </w:r>
      <w:r w:rsidR="00521D93">
        <w:rPr>
          <w:color w:val="000000" w:themeColor="text1"/>
        </w:rPr>
        <w:instrText xml:space="preserve"> ADDIN EN.CITE.DATA </w:instrText>
      </w:r>
      <w:r w:rsidR="00521D93">
        <w:rPr>
          <w:color w:val="000000" w:themeColor="text1"/>
        </w:rPr>
      </w:r>
      <w:r w:rsidR="00521D93">
        <w:rPr>
          <w:color w:val="000000" w:themeColor="text1"/>
        </w:rPr>
        <w:fldChar w:fldCharType="end"/>
      </w:r>
      <w:r w:rsidR="00644A84" w:rsidRPr="00A01EC1">
        <w:rPr>
          <w:color w:val="000000" w:themeColor="text1"/>
        </w:rPr>
      </w:r>
      <w:r w:rsidR="00644A84" w:rsidRPr="00A01EC1">
        <w:rPr>
          <w:color w:val="000000" w:themeColor="text1"/>
        </w:rPr>
        <w:fldChar w:fldCharType="separate"/>
      </w:r>
      <w:hyperlink w:anchor="_ENREF_32" w:tooltip="Carruthers, 2002 #8021" w:history="1">
        <w:r w:rsidR="00305FE7">
          <w:rPr>
            <w:noProof/>
            <w:color w:val="000000" w:themeColor="text1"/>
          </w:rPr>
          <w:t>Carruthers</w:t>
        </w:r>
        <w:r w:rsidR="00305FE7" w:rsidRPr="00521D93">
          <w:rPr>
            <w:i/>
            <w:noProof/>
            <w:color w:val="000000" w:themeColor="text1"/>
          </w:rPr>
          <w:t xml:space="preserve"> et al.</w:t>
        </w:r>
        <w:r w:rsidR="00305FE7">
          <w:rPr>
            <w:noProof/>
            <w:color w:val="000000" w:themeColor="text1"/>
          </w:rPr>
          <w:t xml:space="preserve"> 2002</w:t>
        </w:r>
      </w:hyperlink>
      <w:r w:rsidR="00521D93">
        <w:rPr>
          <w:noProof/>
          <w:color w:val="000000" w:themeColor="text1"/>
        </w:rPr>
        <w:t xml:space="preserve">; </w:t>
      </w:r>
      <w:hyperlink w:anchor="_ENREF_235" w:tooltip="Waycott, 2007 #9133" w:history="1">
        <w:r w:rsidR="00305FE7">
          <w:rPr>
            <w:noProof/>
            <w:color w:val="000000" w:themeColor="text1"/>
          </w:rPr>
          <w:t>Waycott</w:t>
        </w:r>
        <w:r w:rsidR="00305FE7" w:rsidRPr="00521D93">
          <w:rPr>
            <w:i/>
            <w:noProof/>
            <w:color w:val="000000" w:themeColor="text1"/>
          </w:rPr>
          <w:t xml:space="preserve"> et al.</w:t>
        </w:r>
        <w:r w:rsidR="00305FE7">
          <w:rPr>
            <w:noProof/>
            <w:color w:val="000000" w:themeColor="text1"/>
          </w:rPr>
          <w:t xml:space="preserve"> 2007</w:t>
        </w:r>
      </w:hyperlink>
      <w:r w:rsidR="00521D93">
        <w:rPr>
          <w:noProof/>
          <w:color w:val="000000" w:themeColor="text1"/>
        </w:rPr>
        <w:t xml:space="preserve">; </w:t>
      </w:r>
      <w:hyperlink w:anchor="_ENREF_53" w:tooltip="Collier, 2009 #9285" w:history="1">
        <w:r w:rsidR="00305FE7">
          <w:rPr>
            <w:noProof/>
            <w:color w:val="000000" w:themeColor="text1"/>
          </w:rPr>
          <w:t>Collier and Waycott 2009</w:t>
        </w:r>
      </w:hyperlink>
      <w:r w:rsidR="00644A84" w:rsidRPr="00A01EC1">
        <w:rPr>
          <w:color w:val="000000" w:themeColor="text1"/>
        </w:rPr>
        <w:fldChar w:fldCharType="end"/>
      </w:r>
      <w:r w:rsidR="00311782" w:rsidRPr="00A01EC1">
        <w:rPr>
          <w:color w:val="000000" w:themeColor="text1"/>
        </w:rPr>
        <w:t>)</w:t>
      </w:r>
      <w:r w:rsidRPr="00A01EC1">
        <w:rPr>
          <w:color w:val="000000" w:themeColor="text1"/>
        </w:rPr>
        <w:t>.</w:t>
      </w:r>
    </w:p>
    <w:p w14:paraId="25C85915" w14:textId="77777777" w:rsidR="002F13BB" w:rsidRPr="00A01EC1" w:rsidRDefault="002F13BB" w:rsidP="002F13BB">
      <w:pPr>
        <w:rPr>
          <w:i/>
          <w:color w:val="000000" w:themeColor="text1"/>
          <w:szCs w:val="22"/>
        </w:rPr>
      </w:pPr>
      <w:r w:rsidRPr="00A01EC1">
        <w:rPr>
          <w:i/>
          <w:color w:val="000000" w:themeColor="text1"/>
          <w:szCs w:val="22"/>
        </w:rPr>
        <w:t>Conceptual basis for indicator selection</w:t>
      </w:r>
    </w:p>
    <w:p w14:paraId="47337AA6" w14:textId="42ACD9DF" w:rsidR="003D1F7F" w:rsidRPr="00A01EC1" w:rsidRDefault="003D1F7F" w:rsidP="003D1F7F">
      <w:pPr>
        <w:rPr>
          <w:color w:val="000000" w:themeColor="text1"/>
          <w:szCs w:val="22"/>
        </w:rPr>
      </w:pPr>
      <w:r w:rsidRPr="00A01EC1">
        <w:rPr>
          <w:color w:val="000000" w:themeColor="text1"/>
          <w:szCs w:val="22"/>
        </w:rPr>
        <w:t xml:space="preserve">As seagrasses are well recognised as indicators of integrated environmental pressures, monitoring their </w:t>
      </w:r>
      <w:r w:rsidR="00A1555C" w:rsidRPr="00A01EC1">
        <w:rPr>
          <w:color w:val="000000" w:themeColor="text1"/>
          <w:szCs w:val="22"/>
        </w:rPr>
        <w:t>condition</w:t>
      </w:r>
      <w:r w:rsidRPr="00A01EC1">
        <w:rPr>
          <w:color w:val="000000" w:themeColor="text1"/>
          <w:szCs w:val="22"/>
        </w:rPr>
        <w:t xml:space="preserve"> and trend can provide insight into the condition of the surrounding environment (e.g. </w:t>
      </w:r>
      <w:hyperlink w:anchor="_ENREF_76" w:tooltip="Dennison, 1997 #1687" w:history="1">
        <w:r w:rsidR="00305FE7" w:rsidRPr="00A01EC1">
          <w:rPr>
            <w:color w:val="000000" w:themeColor="text1"/>
            <w:szCs w:val="22"/>
          </w:rPr>
          <w:fldChar w:fldCharType="begin"/>
        </w:r>
        <w:r w:rsidR="00305FE7" w:rsidRPr="00A01EC1">
          <w:rPr>
            <w:color w:val="000000" w:themeColor="text1"/>
            <w:szCs w:val="22"/>
          </w:rPr>
          <w:instrText xml:space="preserve"> ADDIN EN.CITE &lt;EndNote&gt;&lt;Cite&gt;&lt;Author&gt;Dennison&lt;/Author&gt;&lt;Year&gt;1997&lt;/Year&gt;&lt;RecNum&gt;1687&lt;/RecNum&gt;&lt;DisplayText&gt;Dennison&lt;style face="italic"&gt; et al.&lt;/style&gt; 1997&lt;/DisplayText&gt;&lt;record&gt;&lt;rec-number&gt;1687&lt;/rec-number&gt;&lt;foreign-keys&gt;&lt;key app="EN" db-id="0eve55x9y5vfd6e9dacxtew4eatve2dzds9a" timestamp="0"&gt;1687&lt;/key&gt;&lt;/foreign-keys&gt;&lt;ref-type name="Book Section"&gt;5&lt;/ref-type&gt;&lt;contributors&gt;&lt;authors&gt;&lt;author&gt;Dennison, W. C.&lt;/author&gt;&lt;author&gt;Longstaff, B. J.&lt;/author&gt;&lt;author&gt;O&amp;apos;Donohue, M. J.&lt;/author&gt;&lt;/authors&gt;&lt;secondary-authors&gt;&lt;author&gt;Hillman, S.&lt;/author&gt;&lt;author&gt;Raaymakers, S.&lt;/author&gt;&lt;/secondary-authors&gt;&lt;/contributors&gt;&lt;titles&gt;&lt;title&gt;Seagrasses as Bio-indicators&lt;/title&gt;&lt;secondary-title&gt;Karumba dredging 1996 - Environmental Monitoring Report. EcoPorts Monograph Series No.6&lt;/secondary-title&gt;&lt;/titles&gt;&lt;pages&gt;255&lt;/pages&gt;&lt;keywords&gt;&lt;keyword&gt;CHLOROPHYLL-A&lt;/keyword&gt;&lt;keyword&gt;COASTAL DEVELOPMENT&lt;/keyword&gt;&lt;keyword&gt;DREDGING&lt;/keyword&gt;&lt;keyword&gt;LIGHT&lt;/keyword&gt;&lt;keyword&gt;PHOTOSYNTHESIS&lt;/keyword&gt;&lt;keyword&gt;SEAGRASS&lt;/keyword&gt;&lt;/keywords&gt;&lt;dates&gt;&lt;year&gt;1997&lt;/year&gt;&lt;/dates&gt;&lt;pub-location&gt;Brisbane&lt;/pub-location&gt;&lt;publisher&gt;Ports Corporation of Queensland&lt;/publisher&gt;&lt;label&gt;1775&lt;/label&gt;&lt;urls&gt;&lt;/urls&gt;&lt;custom1&gt;Annex&lt;/custom1&gt;&lt;/record&gt;&lt;/Cite&gt;&lt;/EndNote&gt;</w:instrText>
        </w:r>
        <w:r w:rsidR="00305FE7" w:rsidRPr="00A01EC1">
          <w:rPr>
            <w:color w:val="000000" w:themeColor="text1"/>
            <w:szCs w:val="22"/>
          </w:rPr>
          <w:fldChar w:fldCharType="separate"/>
        </w:r>
        <w:r w:rsidR="00305FE7" w:rsidRPr="00A01EC1">
          <w:rPr>
            <w:noProof/>
            <w:color w:val="000000" w:themeColor="text1"/>
            <w:szCs w:val="22"/>
          </w:rPr>
          <w:t>Dennison</w:t>
        </w:r>
        <w:r w:rsidR="00305FE7" w:rsidRPr="00A01EC1">
          <w:rPr>
            <w:i/>
            <w:noProof/>
            <w:color w:val="000000" w:themeColor="text1"/>
            <w:szCs w:val="22"/>
          </w:rPr>
          <w:t xml:space="preserve"> et al.</w:t>
        </w:r>
        <w:r w:rsidR="00305FE7" w:rsidRPr="00A01EC1">
          <w:rPr>
            <w:noProof/>
            <w:color w:val="000000" w:themeColor="text1"/>
            <w:szCs w:val="22"/>
          </w:rPr>
          <w:t xml:space="preserve"> 1997</w:t>
        </w:r>
        <w:r w:rsidR="00305FE7" w:rsidRPr="00A01EC1">
          <w:rPr>
            <w:color w:val="000000" w:themeColor="text1"/>
            <w:szCs w:val="22"/>
          </w:rPr>
          <w:fldChar w:fldCharType="end"/>
        </w:r>
      </w:hyperlink>
      <w:r w:rsidRPr="00A01EC1">
        <w:rPr>
          <w:color w:val="000000" w:themeColor="text1"/>
          <w:szCs w:val="22"/>
        </w:rPr>
        <w:t xml:space="preserve">). </w:t>
      </w:r>
      <w:r w:rsidR="00122CAD" w:rsidRPr="00A01EC1">
        <w:rPr>
          <w:color w:val="000000" w:themeColor="text1"/>
          <w:szCs w:val="22"/>
        </w:rPr>
        <w:t xml:space="preserve">There are a number of measures of seagrass condition and resilience that can be </w:t>
      </w:r>
      <w:r w:rsidR="00304FF9" w:rsidRPr="00A01EC1">
        <w:rPr>
          <w:color w:val="000000" w:themeColor="text1"/>
          <w:szCs w:val="22"/>
        </w:rPr>
        <w:t>used to assess how they respond</w:t>
      </w:r>
      <w:r w:rsidR="00122CAD" w:rsidRPr="00A01EC1">
        <w:rPr>
          <w:color w:val="000000" w:themeColor="text1"/>
          <w:szCs w:val="22"/>
        </w:rPr>
        <w:t xml:space="preserve"> to environmental pressures, and these measures are referred to here as indicators.  </w:t>
      </w:r>
      <w:r w:rsidRPr="00A01EC1">
        <w:rPr>
          <w:color w:val="000000" w:themeColor="text1"/>
          <w:szCs w:val="22"/>
        </w:rPr>
        <w:t>We have developed a matrix of indicators</w:t>
      </w:r>
      <w:r w:rsidR="00DD26EE" w:rsidRPr="00A01EC1">
        <w:rPr>
          <w:color w:val="000000" w:themeColor="text1"/>
          <w:szCs w:val="22"/>
        </w:rPr>
        <w:t xml:space="preserve"> </w:t>
      </w:r>
      <w:r w:rsidR="00304FF9" w:rsidRPr="00A01EC1">
        <w:rPr>
          <w:color w:val="000000" w:themeColor="text1"/>
          <w:szCs w:val="22"/>
        </w:rPr>
        <w:t>that respond on different temporal scales</w:t>
      </w:r>
      <w:r w:rsidRPr="00A01EC1">
        <w:rPr>
          <w:color w:val="000000" w:themeColor="text1"/>
          <w:szCs w:val="22"/>
        </w:rPr>
        <w:t xml:space="preserve"> (</w:t>
      </w:r>
      <w:r w:rsidR="00A95D6B" w:rsidRPr="00A01EC1">
        <w:rPr>
          <w:color w:val="000000" w:themeColor="text1"/>
          <w:szCs w:val="22"/>
        </w:rPr>
        <w:fldChar w:fldCharType="begin"/>
      </w:r>
      <w:r w:rsidR="00A95D6B" w:rsidRPr="00A01EC1">
        <w:rPr>
          <w:color w:val="000000" w:themeColor="text1"/>
          <w:szCs w:val="22"/>
        </w:rPr>
        <w:instrText xml:space="preserve"> REF _Ref442084289 \h </w:instrText>
      </w:r>
      <w:r w:rsidR="00A95D6B" w:rsidRPr="00A01EC1">
        <w:rPr>
          <w:color w:val="000000" w:themeColor="text1"/>
          <w:szCs w:val="22"/>
        </w:rPr>
      </w:r>
      <w:r w:rsidR="00A95D6B" w:rsidRPr="00A01EC1">
        <w:rPr>
          <w:color w:val="000000" w:themeColor="text1"/>
          <w:szCs w:val="22"/>
        </w:rPr>
        <w:fldChar w:fldCharType="separate"/>
      </w:r>
      <w:r w:rsidR="00F87DF9">
        <w:t xml:space="preserve">Figure </w:t>
      </w:r>
      <w:r w:rsidR="00F87DF9">
        <w:rPr>
          <w:noProof/>
        </w:rPr>
        <w:t>3</w:t>
      </w:r>
      <w:r w:rsidR="00A95D6B" w:rsidRPr="00A01EC1">
        <w:rPr>
          <w:color w:val="000000" w:themeColor="text1"/>
          <w:szCs w:val="22"/>
        </w:rPr>
        <w:fldChar w:fldCharType="end"/>
      </w:r>
      <w:r w:rsidRPr="00A01EC1">
        <w:rPr>
          <w:color w:val="000000" w:themeColor="text1"/>
          <w:szCs w:val="22"/>
        </w:rPr>
        <w:t xml:space="preserve">). Indicators include plant changes, meadow-scale changes and state change </w:t>
      </w:r>
      <w:r w:rsidR="00A95D6B" w:rsidRPr="00A01EC1">
        <w:rPr>
          <w:color w:val="000000" w:themeColor="text1"/>
          <w:szCs w:val="22"/>
        </w:rPr>
        <w:t>(</w:t>
      </w:r>
      <w:r w:rsidR="00A95D6B" w:rsidRPr="00A01EC1">
        <w:rPr>
          <w:color w:val="000000" w:themeColor="text1"/>
          <w:szCs w:val="22"/>
        </w:rPr>
        <w:fldChar w:fldCharType="begin"/>
      </w:r>
      <w:r w:rsidR="00A95D6B" w:rsidRPr="00A01EC1">
        <w:rPr>
          <w:color w:val="000000" w:themeColor="text1"/>
          <w:szCs w:val="22"/>
        </w:rPr>
        <w:instrText xml:space="preserve"> REF _Ref442084289 \h </w:instrText>
      </w:r>
      <w:r w:rsidR="00A95D6B" w:rsidRPr="00A01EC1">
        <w:rPr>
          <w:color w:val="000000" w:themeColor="text1"/>
          <w:szCs w:val="22"/>
        </w:rPr>
      </w:r>
      <w:r w:rsidR="00A95D6B" w:rsidRPr="00A01EC1">
        <w:rPr>
          <w:color w:val="000000" w:themeColor="text1"/>
          <w:szCs w:val="22"/>
        </w:rPr>
        <w:fldChar w:fldCharType="separate"/>
      </w:r>
      <w:r w:rsidR="00F87DF9">
        <w:t xml:space="preserve">Figure </w:t>
      </w:r>
      <w:r w:rsidR="00F87DF9">
        <w:rPr>
          <w:noProof/>
        </w:rPr>
        <w:t>3</w:t>
      </w:r>
      <w:r w:rsidR="00A95D6B" w:rsidRPr="00A01EC1">
        <w:rPr>
          <w:color w:val="000000" w:themeColor="text1"/>
          <w:szCs w:val="22"/>
        </w:rPr>
        <w:fldChar w:fldCharType="end"/>
      </w:r>
      <w:r w:rsidR="00A95D6B" w:rsidRPr="00A01EC1">
        <w:rPr>
          <w:color w:val="000000" w:themeColor="text1"/>
          <w:szCs w:val="22"/>
        </w:rPr>
        <w:t>)</w:t>
      </w:r>
      <w:r w:rsidRPr="00A01EC1">
        <w:rPr>
          <w:color w:val="000000" w:themeColor="text1"/>
          <w:szCs w:val="22"/>
        </w:rPr>
        <w:t>. These indicators also respond at different temporal scales, with sub</w:t>
      </w:r>
      <w:r w:rsidR="00247481" w:rsidRPr="00A01EC1">
        <w:rPr>
          <w:color w:val="000000" w:themeColor="text1"/>
          <w:szCs w:val="22"/>
        </w:rPr>
        <w:t>-</w:t>
      </w:r>
      <w:r w:rsidRPr="00A01EC1">
        <w:rPr>
          <w:color w:val="000000" w:themeColor="text1"/>
          <w:szCs w:val="22"/>
        </w:rPr>
        <w:t xml:space="preserve">lethal indicators able to respond from seconds to months, while the meadow-scale effects usually take many months to be detectable. </w:t>
      </w:r>
    </w:p>
    <w:p w14:paraId="1CF51A15" w14:textId="66DA4556" w:rsidR="003D1F7F" w:rsidRPr="00A01EC1" w:rsidRDefault="003D1F7F" w:rsidP="003D1F7F">
      <w:pPr>
        <w:rPr>
          <w:color w:val="000000" w:themeColor="text1"/>
          <w:szCs w:val="22"/>
        </w:rPr>
      </w:pPr>
      <w:r w:rsidRPr="00A01EC1">
        <w:rPr>
          <w:color w:val="000000" w:themeColor="text1"/>
          <w:szCs w:val="22"/>
        </w:rPr>
        <w:t>A robust monitoring program benefits from having a suite of indicators that can indicate sub-lethal stress that forewarns of imminent loss, as well as indicators of meadow-scale changes, which are necessary for interpreting broad ecological changes. Indicators included in the MMP span this range of scales, in particular for indicators that respond from weeks (tissue nutrients, isotopes), through to months (abundance and reproduction), and even years (abundance and meadow extent). Furthermore, indicators are co</w:t>
      </w:r>
      <w:r w:rsidR="008A733C">
        <w:rPr>
          <w:color w:val="000000" w:themeColor="text1"/>
          <w:szCs w:val="22"/>
        </w:rPr>
        <w:t>nceptually linked to each other</w:t>
      </w:r>
      <w:r w:rsidRPr="00A01EC1">
        <w:rPr>
          <w:color w:val="000000" w:themeColor="text1"/>
          <w:szCs w:val="22"/>
        </w:rPr>
        <w:t xml:space="preserve"> and to environmental drivers of concern, in particular, water quality (p 3</w:t>
      </w:r>
      <w:r w:rsidR="0074091B" w:rsidRPr="00A01EC1">
        <w:rPr>
          <w:color w:val="000000" w:themeColor="text1"/>
          <w:szCs w:val="22"/>
        </w:rPr>
        <w:t>4</w:t>
      </w:r>
      <w:r w:rsidRPr="00A01EC1">
        <w:rPr>
          <w:color w:val="000000" w:themeColor="text1"/>
          <w:szCs w:val="22"/>
        </w:rPr>
        <w:t xml:space="preserve">, </w:t>
      </w:r>
      <w:hyperlink w:anchor="_ENREF_124" w:tooltip="Kuhnert, 2014 #10482" w:history="1">
        <w:r w:rsidR="00305FE7" w:rsidRPr="00A01EC1">
          <w:rPr>
            <w:color w:val="000000" w:themeColor="text1"/>
            <w:szCs w:val="22"/>
          </w:rPr>
          <w:fldChar w:fldCharType="begin"/>
        </w:r>
        <w:r w:rsidR="00305FE7">
          <w:rPr>
            <w:color w:val="000000" w:themeColor="text1"/>
            <w:szCs w:val="22"/>
          </w:rPr>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 timestamp="1454281855"&gt;10482&lt;/key&gt;&lt;/foreign-keys&gt;&lt;ref-type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305FE7" w:rsidRPr="00A01EC1">
          <w:rPr>
            <w:color w:val="000000" w:themeColor="text1"/>
            <w:szCs w:val="22"/>
          </w:rPr>
          <w:fldChar w:fldCharType="separate"/>
        </w:r>
        <w:r w:rsidR="00305FE7">
          <w:rPr>
            <w:noProof/>
            <w:color w:val="000000" w:themeColor="text1"/>
            <w:szCs w:val="22"/>
          </w:rPr>
          <w:t>Kuhnert</w:t>
        </w:r>
        <w:r w:rsidR="00305FE7" w:rsidRPr="00521D93">
          <w:rPr>
            <w:i/>
            <w:noProof/>
            <w:color w:val="000000" w:themeColor="text1"/>
            <w:szCs w:val="22"/>
          </w:rPr>
          <w:t xml:space="preserve"> et al.</w:t>
        </w:r>
        <w:r w:rsidR="00305FE7">
          <w:rPr>
            <w:noProof/>
            <w:color w:val="000000" w:themeColor="text1"/>
            <w:szCs w:val="22"/>
          </w:rPr>
          <w:t xml:space="preserve"> 2014</w:t>
        </w:r>
        <w:r w:rsidR="00305FE7" w:rsidRPr="00A01EC1">
          <w:rPr>
            <w:color w:val="000000" w:themeColor="text1"/>
            <w:szCs w:val="22"/>
          </w:rPr>
          <w:fldChar w:fldCharType="end"/>
        </w:r>
      </w:hyperlink>
      <w:r w:rsidR="0074091B" w:rsidRPr="00A01EC1">
        <w:rPr>
          <w:color w:val="000000" w:themeColor="text1"/>
          <w:szCs w:val="22"/>
        </w:rPr>
        <w:t>).</w:t>
      </w:r>
    </w:p>
    <w:p w14:paraId="01F66110" w14:textId="08403711" w:rsidR="003D1F7F" w:rsidRPr="00CB17F4" w:rsidRDefault="00562A9E" w:rsidP="003D1F7F">
      <w:pPr>
        <w:jc w:val="both"/>
        <w:rPr>
          <w:szCs w:val="22"/>
        </w:rPr>
      </w:pPr>
      <w:r w:rsidRPr="00FC2BAC">
        <w:rPr>
          <w:noProof/>
          <w:szCs w:val="22"/>
          <w:lang w:eastAsia="en-AU"/>
        </w:rPr>
        <w:drawing>
          <wp:inline distT="0" distB="0" distL="0" distR="0" wp14:anchorId="567CDE69" wp14:editId="6D0ADF96">
            <wp:extent cx="5755640" cy="3930650"/>
            <wp:effectExtent l="0" t="0" r="0" b="0"/>
            <wp:docPr id="544" name="Picture 544" descr="Table showing climate, environmental, seagrass condition and seagrass resilience indicators reported as part of the MMP Inshore Seagrass monitoring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 name="Indicator selection_DT_v1.3_CS5.png"/>
                    <pic:cNvPicPr/>
                  </pic:nvPicPr>
                  <pic:blipFill>
                    <a:blip r:embed="rId28">
                      <a:extLst>
                        <a:ext uri="{28A0092B-C50C-407E-A947-70E740481C1C}">
                          <a14:useLocalDpi xmlns:a14="http://schemas.microsoft.com/office/drawing/2010/main" val="0"/>
                        </a:ext>
                      </a:extLst>
                    </a:blip>
                    <a:stretch>
                      <a:fillRect/>
                    </a:stretch>
                  </pic:blipFill>
                  <pic:spPr>
                    <a:xfrm>
                      <a:off x="0" y="0"/>
                      <a:ext cx="5755640" cy="3930650"/>
                    </a:xfrm>
                    <a:prstGeom prst="rect">
                      <a:avLst/>
                    </a:prstGeom>
                  </pic:spPr>
                </pic:pic>
              </a:graphicData>
            </a:graphic>
          </wp:inline>
        </w:drawing>
      </w:r>
    </w:p>
    <w:p w14:paraId="63F65696" w14:textId="136D11A0" w:rsidR="00A95D6B" w:rsidRPr="00A95D6B" w:rsidRDefault="00A95D6B" w:rsidP="00A95D6B">
      <w:pPr>
        <w:rPr>
          <w:i/>
          <w:vanish/>
          <w:specVanish/>
        </w:rPr>
      </w:pPr>
      <w:bookmarkStart w:id="29" w:name="_Ref442084289"/>
      <w:bookmarkStart w:id="30" w:name="_Toc51605321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3</w:t>
      </w:r>
      <w:r w:rsidR="00C506C7">
        <w:rPr>
          <w:noProof/>
        </w:rPr>
        <w:fldChar w:fldCharType="end"/>
      </w:r>
      <w:bookmarkEnd w:id="29"/>
      <w:r>
        <w:t xml:space="preserve">. </w:t>
      </w:r>
      <w:r w:rsidR="003D1F7F" w:rsidRPr="00A95D6B">
        <w:rPr>
          <w:i/>
        </w:rPr>
        <w:t xml:space="preserve">Climate, environmental, seagrass </w:t>
      </w:r>
      <w:r w:rsidR="00A1555C">
        <w:rPr>
          <w:i/>
        </w:rPr>
        <w:t>condition</w:t>
      </w:r>
      <w:r w:rsidR="003D1F7F" w:rsidRPr="00A95D6B">
        <w:rPr>
          <w:i/>
        </w:rPr>
        <w:t xml:space="preserve"> and seagrass resilience indicators reported </w:t>
      </w:r>
      <w:r>
        <w:rPr>
          <w:i/>
        </w:rPr>
        <w:t xml:space="preserve">as part of the MMP Inshore Seagrass monitoring </w:t>
      </w:r>
      <w:r w:rsidR="008574EC">
        <w:rPr>
          <w:i/>
        </w:rPr>
        <w:t>2016–17</w:t>
      </w:r>
      <w:r w:rsidR="003D1F7F" w:rsidRPr="00A95D6B">
        <w:rPr>
          <w:i/>
        </w:rPr>
        <w:t>.</w:t>
      </w:r>
      <w:bookmarkEnd w:id="30"/>
    </w:p>
    <w:p w14:paraId="7C64A609" w14:textId="41C1AF33" w:rsidR="003D1F7F" w:rsidRPr="00A95D6B" w:rsidRDefault="003D1F7F" w:rsidP="00A95D6B">
      <w:pPr>
        <w:rPr>
          <w:i/>
        </w:rPr>
      </w:pPr>
      <w:r w:rsidRPr="00A95D6B">
        <w:rPr>
          <w:i/>
        </w:rPr>
        <w:t xml:space="preserve"> </w:t>
      </w:r>
      <w:r w:rsidR="000813CB">
        <w:rPr>
          <w:i/>
        </w:rPr>
        <w:t>Regular text</w:t>
      </w:r>
      <w:r w:rsidRPr="00A95D6B">
        <w:rPr>
          <w:i/>
        </w:rPr>
        <w:t xml:space="preserve"> are indicators measured in the inshore seagrass program, white box with dashed line are indicators in development, and </w:t>
      </w:r>
      <w:r w:rsidR="000813CB">
        <w:rPr>
          <w:i/>
        </w:rPr>
        <w:t>italicised text</w:t>
      </w:r>
      <w:r w:rsidRPr="00A95D6B">
        <w:rPr>
          <w:i/>
        </w:rPr>
        <w:t xml:space="preserve"> are indicators collected in other programs or by other institutions (see Table </w:t>
      </w:r>
      <w:r w:rsidR="007D65EC">
        <w:rPr>
          <w:i/>
        </w:rPr>
        <w:t>2</w:t>
      </w:r>
      <w:r w:rsidRPr="00A95D6B">
        <w:rPr>
          <w:i/>
        </w:rPr>
        <w:t xml:space="preserve"> for details on </w:t>
      </w:r>
      <w:r w:rsidR="008A733C">
        <w:rPr>
          <w:i/>
        </w:rPr>
        <w:t>data source</w:t>
      </w:r>
      <w:r w:rsidRPr="00A95D6B">
        <w:rPr>
          <w:i/>
        </w:rPr>
        <w:t xml:space="preserve">). All indicators are shown against their response time which span from minutes to years. </w:t>
      </w:r>
    </w:p>
    <w:p w14:paraId="3C42AD8B" w14:textId="4C87CE95" w:rsidR="003D1F7F" w:rsidRPr="00A01EC1" w:rsidRDefault="000813CB" w:rsidP="003D1F7F">
      <w:pPr>
        <w:rPr>
          <w:i/>
          <w:color w:val="000000" w:themeColor="text1"/>
          <w:szCs w:val="22"/>
        </w:rPr>
      </w:pPr>
      <w:r w:rsidRPr="00A01EC1">
        <w:rPr>
          <w:i/>
          <w:color w:val="000000" w:themeColor="text1"/>
          <w:szCs w:val="22"/>
        </w:rPr>
        <w:t xml:space="preserve">Measures of </w:t>
      </w:r>
      <w:r w:rsidR="003D1F7F" w:rsidRPr="00A01EC1">
        <w:rPr>
          <w:i/>
          <w:color w:val="000000" w:themeColor="text1"/>
          <w:szCs w:val="22"/>
        </w:rPr>
        <w:t>Environment</w:t>
      </w:r>
      <w:r w:rsidRPr="00A01EC1">
        <w:rPr>
          <w:i/>
          <w:color w:val="000000" w:themeColor="text1"/>
          <w:szCs w:val="22"/>
        </w:rPr>
        <w:t>al stressors</w:t>
      </w:r>
    </w:p>
    <w:p w14:paraId="65087427" w14:textId="10725944" w:rsidR="003D1F7F" w:rsidRPr="00A01EC1" w:rsidRDefault="003D1F7F" w:rsidP="00265A8E">
      <w:pPr>
        <w:spacing w:after="0"/>
        <w:rPr>
          <w:color w:val="000000" w:themeColor="text1"/>
          <w:szCs w:val="22"/>
        </w:rPr>
      </w:pPr>
      <w:r w:rsidRPr="00A01EC1">
        <w:rPr>
          <w:color w:val="000000" w:themeColor="text1"/>
          <w:szCs w:val="22"/>
        </w:rPr>
        <w:t>Climate and environment stressors are aspects of the environment, either physico-chemical or biological that affect seagrass meadow condition</w:t>
      </w:r>
      <w:r w:rsidR="00624CE5" w:rsidRPr="00A01EC1">
        <w:rPr>
          <w:color w:val="000000" w:themeColor="text1"/>
          <w:szCs w:val="22"/>
        </w:rPr>
        <w:t xml:space="preserve"> (Figure 3)</w:t>
      </w:r>
      <w:r w:rsidRPr="00A01EC1">
        <w:rPr>
          <w:color w:val="000000" w:themeColor="text1"/>
          <w:szCs w:val="22"/>
        </w:rPr>
        <w:t xml:space="preserve">. </w:t>
      </w:r>
      <w:r w:rsidR="00EF7EC4" w:rsidRPr="00A01EC1">
        <w:rPr>
          <w:color w:val="000000" w:themeColor="text1"/>
          <w:szCs w:val="22"/>
        </w:rPr>
        <w:t>Some environmental stressors</w:t>
      </w:r>
      <w:r w:rsidRPr="00A01EC1">
        <w:rPr>
          <w:color w:val="000000" w:themeColor="text1"/>
          <w:szCs w:val="22"/>
        </w:rPr>
        <w:t xml:space="preserve"> </w:t>
      </w:r>
      <w:r w:rsidR="00EF7EC4" w:rsidRPr="00A01EC1">
        <w:rPr>
          <w:color w:val="000000" w:themeColor="text1"/>
          <w:szCs w:val="22"/>
        </w:rPr>
        <w:t>change rapidly</w:t>
      </w:r>
      <w:r w:rsidRPr="00A01EC1">
        <w:rPr>
          <w:color w:val="000000" w:themeColor="text1"/>
          <w:szCs w:val="22"/>
        </w:rPr>
        <w:t xml:space="preserve"> (minutes/days/weeks/months) but can also undergo chronic shifts (years)</w:t>
      </w:r>
      <w:r w:rsidR="00AF3F1D" w:rsidRPr="00A01EC1">
        <w:rPr>
          <w:color w:val="000000" w:themeColor="text1"/>
          <w:szCs w:val="22"/>
        </w:rPr>
        <w:t xml:space="preserve"> (Figure 2)</w:t>
      </w:r>
      <w:r w:rsidRPr="00A01EC1">
        <w:rPr>
          <w:color w:val="000000" w:themeColor="text1"/>
          <w:szCs w:val="22"/>
        </w:rPr>
        <w:t>. Stressors include:</w:t>
      </w:r>
    </w:p>
    <w:p w14:paraId="105CE106" w14:textId="77777777" w:rsidR="003D1F7F" w:rsidRPr="00A01EC1" w:rsidRDefault="003D1F7F" w:rsidP="000563CC">
      <w:pPr>
        <w:numPr>
          <w:ilvl w:val="0"/>
          <w:numId w:val="14"/>
        </w:numPr>
        <w:spacing w:before="0" w:after="0"/>
        <w:ind w:left="714" w:hanging="357"/>
        <w:rPr>
          <w:color w:val="000000" w:themeColor="text1"/>
          <w:szCs w:val="22"/>
        </w:rPr>
      </w:pPr>
      <w:r w:rsidRPr="00A01EC1">
        <w:rPr>
          <w:color w:val="000000" w:themeColor="text1"/>
          <w:szCs w:val="22"/>
        </w:rPr>
        <w:t>Climate (e.g. cyclones, seasonal temperature)</w:t>
      </w:r>
    </w:p>
    <w:p w14:paraId="56316963" w14:textId="77777777" w:rsidR="003D1F7F" w:rsidRPr="00A01EC1" w:rsidRDefault="003D1F7F" w:rsidP="000563CC">
      <w:pPr>
        <w:numPr>
          <w:ilvl w:val="0"/>
          <w:numId w:val="14"/>
        </w:numPr>
        <w:spacing w:before="0" w:after="0"/>
        <w:ind w:left="714" w:hanging="357"/>
        <w:rPr>
          <w:color w:val="000000" w:themeColor="text1"/>
          <w:szCs w:val="22"/>
        </w:rPr>
      </w:pPr>
      <w:r w:rsidRPr="00A01EC1">
        <w:rPr>
          <w:color w:val="000000" w:themeColor="text1"/>
          <w:szCs w:val="22"/>
        </w:rPr>
        <w:t>Local and short-term weather (e.g. wind and tides)</w:t>
      </w:r>
    </w:p>
    <w:p w14:paraId="40A4DC5F" w14:textId="4ABBB805" w:rsidR="003D1F7F" w:rsidRPr="00A01EC1" w:rsidRDefault="003D1F7F" w:rsidP="000563CC">
      <w:pPr>
        <w:numPr>
          <w:ilvl w:val="0"/>
          <w:numId w:val="14"/>
        </w:numPr>
        <w:spacing w:before="0" w:after="0"/>
        <w:ind w:left="714" w:hanging="357"/>
        <w:rPr>
          <w:color w:val="000000" w:themeColor="text1"/>
          <w:szCs w:val="22"/>
        </w:rPr>
      </w:pPr>
      <w:r w:rsidRPr="00A01EC1">
        <w:rPr>
          <w:color w:val="000000" w:themeColor="text1"/>
          <w:szCs w:val="22"/>
        </w:rPr>
        <w:t>Water quality (e.g. river discharge, plume exposure</w:t>
      </w:r>
      <w:r w:rsidR="00100F73" w:rsidRPr="00A01EC1">
        <w:rPr>
          <w:color w:val="000000" w:themeColor="text1"/>
          <w:szCs w:val="22"/>
        </w:rPr>
        <w:t>, nutrient concentrations, suspended sediments, herbicides</w:t>
      </w:r>
      <w:r w:rsidRPr="00A01EC1">
        <w:rPr>
          <w:color w:val="000000" w:themeColor="text1"/>
          <w:szCs w:val="22"/>
        </w:rPr>
        <w:t>)</w:t>
      </w:r>
    </w:p>
    <w:p w14:paraId="0FA70773" w14:textId="77777777" w:rsidR="003D1F7F" w:rsidRPr="00A01EC1" w:rsidRDefault="003D1F7F" w:rsidP="000563CC">
      <w:pPr>
        <w:numPr>
          <w:ilvl w:val="0"/>
          <w:numId w:val="14"/>
        </w:numPr>
        <w:spacing w:before="0" w:after="0"/>
        <w:ind w:left="714" w:hanging="357"/>
        <w:rPr>
          <w:color w:val="000000" w:themeColor="text1"/>
          <w:szCs w:val="22"/>
        </w:rPr>
      </w:pPr>
      <w:r w:rsidRPr="00A01EC1">
        <w:rPr>
          <w:color w:val="000000" w:themeColor="text1"/>
          <w:szCs w:val="22"/>
        </w:rPr>
        <w:t>Biological (e.g. epiphytes and macroalgae)</w:t>
      </w:r>
    </w:p>
    <w:p w14:paraId="15D57F93" w14:textId="77777777" w:rsidR="0074091B" w:rsidRPr="00A01EC1" w:rsidRDefault="0074091B" w:rsidP="009F09A4">
      <w:pPr>
        <w:numPr>
          <w:ilvl w:val="0"/>
          <w:numId w:val="14"/>
        </w:numPr>
        <w:spacing w:before="0" w:after="0"/>
        <w:ind w:left="714" w:hanging="357"/>
        <w:rPr>
          <w:color w:val="000000" w:themeColor="text1"/>
          <w:szCs w:val="22"/>
        </w:rPr>
      </w:pPr>
      <w:r w:rsidRPr="00A01EC1">
        <w:rPr>
          <w:color w:val="000000" w:themeColor="text1"/>
          <w:szCs w:val="22"/>
        </w:rPr>
        <w:t>S</w:t>
      </w:r>
      <w:r w:rsidR="00AF3F1D" w:rsidRPr="00A01EC1">
        <w:rPr>
          <w:color w:val="000000" w:themeColor="text1"/>
          <w:szCs w:val="22"/>
        </w:rPr>
        <w:t>ubstrate</w:t>
      </w:r>
      <w:r w:rsidRPr="00A01EC1">
        <w:rPr>
          <w:color w:val="000000" w:themeColor="text1"/>
          <w:szCs w:val="22"/>
        </w:rPr>
        <w:t xml:space="preserve"> (e.g. grain size composition)</w:t>
      </w:r>
    </w:p>
    <w:p w14:paraId="3A8BF81B" w14:textId="18371952" w:rsidR="003D1F7F" w:rsidRPr="00A01EC1" w:rsidRDefault="003D1F7F" w:rsidP="00265A8E">
      <w:pPr>
        <w:numPr>
          <w:ilvl w:val="0"/>
          <w:numId w:val="14"/>
        </w:numPr>
        <w:spacing w:before="0"/>
        <w:ind w:left="714" w:hanging="357"/>
        <w:rPr>
          <w:color w:val="000000" w:themeColor="text1"/>
          <w:szCs w:val="22"/>
        </w:rPr>
      </w:pPr>
      <w:r w:rsidRPr="00A01EC1">
        <w:rPr>
          <w:color w:val="000000" w:themeColor="text1"/>
          <w:szCs w:val="22"/>
        </w:rPr>
        <w:t>Seagrass environmental integrators (e.g. tissue nutrients)</w:t>
      </w:r>
      <w:r w:rsidR="00265A8E" w:rsidRPr="00A01EC1">
        <w:rPr>
          <w:color w:val="000000" w:themeColor="text1"/>
          <w:szCs w:val="22"/>
        </w:rPr>
        <w:t>.</w:t>
      </w:r>
    </w:p>
    <w:p w14:paraId="26B9E526" w14:textId="364014F1" w:rsidR="003D1F7F" w:rsidRPr="00A01EC1" w:rsidRDefault="00AF3F1D" w:rsidP="009F09A4">
      <w:pPr>
        <w:rPr>
          <w:color w:val="000000" w:themeColor="text1"/>
          <w:szCs w:val="22"/>
        </w:rPr>
      </w:pPr>
      <w:r w:rsidRPr="00A01EC1">
        <w:rPr>
          <w:color w:val="000000" w:themeColor="text1"/>
          <w:szCs w:val="22"/>
        </w:rPr>
        <w:t>I</w:t>
      </w:r>
      <w:r w:rsidR="003D1F7F" w:rsidRPr="00A01EC1">
        <w:rPr>
          <w:color w:val="000000" w:themeColor="text1"/>
          <w:szCs w:val="22"/>
        </w:rPr>
        <w:t xml:space="preserve">ndicators </w:t>
      </w:r>
      <w:r w:rsidRPr="00A01EC1">
        <w:rPr>
          <w:color w:val="000000" w:themeColor="text1"/>
          <w:szCs w:val="22"/>
        </w:rPr>
        <w:t xml:space="preserve">which </w:t>
      </w:r>
      <w:r w:rsidR="003D1F7F" w:rsidRPr="00A01EC1">
        <w:rPr>
          <w:color w:val="000000" w:themeColor="text1"/>
          <w:szCs w:val="22"/>
        </w:rPr>
        <w:t xml:space="preserve">respond more quickly </w:t>
      </w:r>
      <w:r w:rsidRPr="00A01EC1">
        <w:rPr>
          <w:color w:val="000000" w:themeColor="text1"/>
          <w:szCs w:val="22"/>
        </w:rPr>
        <w:t xml:space="preserve">(e.g. light) </w:t>
      </w:r>
      <w:r w:rsidR="003D1F7F" w:rsidRPr="00A01EC1">
        <w:rPr>
          <w:color w:val="000000" w:themeColor="text1"/>
          <w:szCs w:val="22"/>
        </w:rPr>
        <w:t xml:space="preserve">provide important early-warning of </w:t>
      </w:r>
      <w:r w:rsidRPr="00A01EC1">
        <w:rPr>
          <w:color w:val="000000" w:themeColor="text1"/>
          <w:szCs w:val="22"/>
        </w:rPr>
        <w:t xml:space="preserve">potentially </w:t>
      </w:r>
      <w:r w:rsidR="003D1F7F" w:rsidRPr="00A01EC1">
        <w:rPr>
          <w:color w:val="000000" w:themeColor="text1"/>
          <w:szCs w:val="22"/>
        </w:rPr>
        <w:t xml:space="preserve">more advanced ecological changes (as described below). However, a measured change in a fast-responding </w:t>
      </w:r>
      <w:r w:rsidRPr="00A01EC1">
        <w:rPr>
          <w:color w:val="000000" w:themeColor="text1"/>
          <w:szCs w:val="22"/>
        </w:rPr>
        <w:t xml:space="preserve">environmental </w:t>
      </w:r>
      <w:r w:rsidR="003D1F7F" w:rsidRPr="00A01EC1">
        <w:rPr>
          <w:color w:val="000000" w:themeColor="text1"/>
          <w:szCs w:val="22"/>
        </w:rPr>
        <w:t xml:space="preserve">indicator is not enough </w:t>
      </w:r>
      <w:r w:rsidRPr="00A01EC1">
        <w:rPr>
          <w:color w:val="000000" w:themeColor="text1"/>
          <w:szCs w:val="22"/>
        </w:rPr>
        <w:t>in isolation</w:t>
      </w:r>
      <w:r w:rsidR="003D1F7F" w:rsidRPr="00A01EC1">
        <w:rPr>
          <w:color w:val="000000" w:themeColor="text1"/>
          <w:szCs w:val="22"/>
        </w:rPr>
        <w:t xml:space="preserve"> to predict whether there will be further ecological impacts, because the change could be short-term. </w:t>
      </w:r>
      <w:r w:rsidR="00CC1C79" w:rsidRPr="00A01EC1">
        <w:rPr>
          <w:color w:val="000000" w:themeColor="text1"/>
          <w:szCs w:val="22"/>
        </w:rPr>
        <w:t>T</w:t>
      </w:r>
      <w:r w:rsidR="003D1F7F" w:rsidRPr="00A01EC1">
        <w:rPr>
          <w:color w:val="000000" w:themeColor="text1"/>
          <w:szCs w:val="22"/>
        </w:rPr>
        <w:t xml:space="preserve">hese indicators provide critical supporting information to support interpretation of slower responding </w:t>
      </w:r>
      <w:r w:rsidRPr="00A01EC1">
        <w:rPr>
          <w:color w:val="000000" w:themeColor="text1"/>
          <w:szCs w:val="22"/>
        </w:rPr>
        <w:t xml:space="preserve">seagrass </w:t>
      </w:r>
      <w:r w:rsidR="00A1555C" w:rsidRPr="00A01EC1">
        <w:rPr>
          <w:color w:val="000000" w:themeColor="text1"/>
          <w:szCs w:val="22"/>
        </w:rPr>
        <w:t>condition</w:t>
      </w:r>
      <w:r w:rsidR="003D1F7F" w:rsidRPr="00A01EC1">
        <w:rPr>
          <w:color w:val="000000" w:themeColor="text1"/>
          <w:szCs w:val="22"/>
        </w:rPr>
        <w:t xml:space="preserve"> and resilience indicators. </w:t>
      </w:r>
    </w:p>
    <w:p w14:paraId="4498A544" w14:textId="3147A761" w:rsidR="003D1F7F" w:rsidRPr="00A01EC1" w:rsidRDefault="009A19FE" w:rsidP="009F09A4">
      <w:pPr>
        <w:rPr>
          <w:i/>
          <w:color w:val="000000" w:themeColor="text1"/>
          <w:szCs w:val="22"/>
        </w:rPr>
      </w:pPr>
      <w:r w:rsidRPr="00A01EC1">
        <w:rPr>
          <w:i/>
          <w:color w:val="000000" w:themeColor="text1"/>
          <w:szCs w:val="22"/>
        </w:rPr>
        <w:t>Measures of s</w:t>
      </w:r>
      <w:r w:rsidR="00AF3F1D" w:rsidRPr="00A01EC1">
        <w:rPr>
          <w:i/>
          <w:color w:val="000000" w:themeColor="text1"/>
          <w:szCs w:val="22"/>
        </w:rPr>
        <w:t xml:space="preserve">eagrass </w:t>
      </w:r>
      <w:r w:rsidR="00A1555C" w:rsidRPr="00A01EC1">
        <w:rPr>
          <w:i/>
          <w:color w:val="000000" w:themeColor="text1"/>
          <w:szCs w:val="22"/>
        </w:rPr>
        <w:t>condition</w:t>
      </w:r>
    </w:p>
    <w:p w14:paraId="2F08FFF7" w14:textId="5A49EC35" w:rsidR="003D1F7F" w:rsidRPr="00A01EC1" w:rsidRDefault="00A1555C" w:rsidP="009F09A4">
      <w:pPr>
        <w:rPr>
          <w:color w:val="000000" w:themeColor="text1"/>
          <w:szCs w:val="22"/>
        </w:rPr>
      </w:pPr>
      <w:r w:rsidRPr="00A01EC1">
        <w:rPr>
          <w:color w:val="000000" w:themeColor="text1"/>
          <w:szCs w:val="22"/>
        </w:rPr>
        <w:t>Condition</w:t>
      </w:r>
      <w:r w:rsidR="003D1F7F" w:rsidRPr="00A01EC1">
        <w:rPr>
          <w:color w:val="000000" w:themeColor="text1"/>
          <w:szCs w:val="22"/>
        </w:rPr>
        <w:t xml:space="preserve"> indicators </w:t>
      </w:r>
      <w:r w:rsidR="00AF3F1D" w:rsidRPr="00A01EC1">
        <w:rPr>
          <w:color w:val="000000" w:themeColor="text1"/>
          <w:szCs w:val="22"/>
        </w:rPr>
        <w:t>such as meadow a</w:t>
      </w:r>
      <w:r w:rsidR="003D1F7F" w:rsidRPr="00A01EC1">
        <w:rPr>
          <w:color w:val="000000" w:themeColor="text1"/>
          <w:szCs w:val="22"/>
        </w:rPr>
        <w:t>bundance and extent indicate the state of the plants/population and reflect the cumulative effects of past environmental conditions</w:t>
      </w:r>
      <w:r w:rsidR="00624CE5" w:rsidRPr="00A01EC1">
        <w:rPr>
          <w:color w:val="000000" w:themeColor="text1"/>
          <w:szCs w:val="22"/>
        </w:rPr>
        <w:t xml:space="preserve"> (Figure 3)</w:t>
      </w:r>
      <w:r w:rsidR="003D1F7F" w:rsidRPr="00A01EC1">
        <w:rPr>
          <w:color w:val="000000" w:themeColor="text1"/>
          <w:szCs w:val="22"/>
        </w:rPr>
        <w:t xml:space="preserve">. Abundance can respond to changes in environment on time-scales ranging from </w:t>
      </w:r>
      <w:r w:rsidR="00AF3F1D" w:rsidRPr="00A01EC1">
        <w:rPr>
          <w:color w:val="000000" w:themeColor="text1"/>
          <w:szCs w:val="22"/>
        </w:rPr>
        <w:t>weeks</w:t>
      </w:r>
      <w:r w:rsidR="003D1F7F" w:rsidRPr="00A01EC1">
        <w:rPr>
          <w:color w:val="000000" w:themeColor="text1"/>
          <w:szCs w:val="22"/>
        </w:rPr>
        <w:t xml:space="preserve"> to months (depending on species)</w:t>
      </w:r>
      <w:r w:rsidR="00B40F12" w:rsidRPr="00A01EC1">
        <w:rPr>
          <w:color w:val="000000" w:themeColor="text1"/>
          <w:szCs w:val="22"/>
        </w:rPr>
        <w:t xml:space="preserve"> in the </w:t>
      </w:r>
      <w:r w:rsidR="007F6948">
        <w:rPr>
          <w:color w:val="000000" w:themeColor="text1"/>
          <w:szCs w:val="22"/>
        </w:rPr>
        <w:t>Great Barrier Reef</w:t>
      </w:r>
      <w:r w:rsidR="003D1F7F" w:rsidRPr="00A01EC1">
        <w:rPr>
          <w:color w:val="000000" w:themeColor="text1"/>
          <w:szCs w:val="22"/>
        </w:rPr>
        <w:t xml:space="preserve">, while meadow area </w:t>
      </w:r>
      <w:r w:rsidR="0074091B" w:rsidRPr="00A01EC1">
        <w:rPr>
          <w:color w:val="000000" w:themeColor="text1"/>
          <w:szCs w:val="22"/>
        </w:rPr>
        <w:t xml:space="preserve">generally </w:t>
      </w:r>
      <w:r w:rsidR="003D1F7F" w:rsidRPr="00A01EC1">
        <w:rPr>
          <w:color w:val="000000" w:themeColor="text1"/>
          <w:szCs w:val="22"/>
        </w:rPr>
        <w:t xml:space="preserve">tends to adjust over longer time-scales (months to years). </w:t>
      </w:r>
      <w:r w:rsidR="00B40F12" w:rsidRPr="00A01EC1">
        <w:rPr>
          <w:color w:val="000000" w:themeColor="text1"/>
          <w:szCs w:val="22"/>
        </w:rPr>
        <w:t>Seagrass area and abundance</w:t>
      </w:r>
      <w:r w:rsidR="003D1F7F" w:rsidRPr="00A01EC1">
        <w:rPr>
          <w:color w:val="000000" w:themeColor="text1"/>
          <w:szCs w:val="22"/>
        </w:rPr>
        <w:t xml:space="preserve"> are integrators of past conditions, and are vital indicators of meadow </w:t>
      </w:r>
      <w:r w:rsidRPr="00A01EC1">
        <w:rPr>
          <w:color w:val="000000" w:themeColor="text1"/>
          <w:szCs w:val="22"/>
        </w:rPr>
        <w:t>condition</w:t>
      </w:r>
      <w:r w:rsidR="00B40F12" w:rsidRPr="00A01EC1">
        <w:rPr>
          <w:color w:val="000000" w:themeColor="text1"/>
          <w:szCs w:val="22"/>
        </w:rPr>
        <w:t>; however, these indicators</w:t>
      </w:r>
      <w:r w:rsidR="003D1F7F" w:rsidRPr="00A01EC1">
        <w:rPr>
          <w:color w:val="000000" w:themeColor="text1"/>
          <w:szCs w:val="22"/>
        </w:rPr>
        <w:t xml:space="preserve"> can </w:t>
      </w:r>
      <w:r w:rsidR="00B40F12" w:rsidRPr="00A01EC1">
        <w:rPr>
          <w:color w:val="000000" w:themeColor="text1"/>
          <w:szCs w:val="22"/>
        </w:rPr>
        <w:t xml:space="preserve">also </w:t>
      </w:r>
      <w:r w:rsidR="003D1F7F" w:rsidRPr="00A01EC1">
        <w:rPr>
          <w:color w:val="000000" w:themeColor="text1"/>
          <w:szCs w:val="22"/>
        </w:rPr>
        <w:t>be affected by external factors such as grazing by megaherbivores</w:t>
      </w:r>
      <w:r w:rsidR="008A733C">
        <w:rPr>
          <w:color w:val="000000" w:themeColor="text1"/>
          <w:szCs w:val="22"/>
        </w:rPr>
        <w:t xml:space="preserve"> including dugongs and turtles</w:t>
      </w:r>
      <w:r w:rsidR="00B40F12" w:rsidRPr="00A01EC1">
        <w:rPr>
          <w:color w:val="000000" w:themeColor="text1"/>
          <w:szCs w:val="22"/>
        </w:rPr>
        <w:t>. T</w:t>
      </w:r>
      <w:r w:rsidR="003D1F7F" w:rsidRPr="00A01EC1">
        <w:rPr>
          <w:color w:val="000000" w:themeColor="text1"/>
          <w:szCs w:val="22"/>
        </w:rPr>
        <w:t xml:space="preserve">herefore, </w:t>
      </w:r>
      <w:r w:rsidR="00B40F12" w:rsidRPr="00A01EC1">
        <w:rPr>
          <w:color w:val="000000" w:themeColor="text1"/>
          <w:szCs w:val="22"/>
        </w:rPr>
        <w:t xml:space="preserve">they </w:t>
      </w:r>
      <w:r w:rsidR="003D1F7F" w:rsidRPr="00A01EC1">
        <w:rPr>
          <w:color w:val="000000" w:themeColor="text1"/>
          <w:szCs w:val="22"/>
        </w:rPr>
        <w:t xml:space="preserve">are not suitable as stand-alone indicators of environmental change </w:t>
      </w:r>
      <w:r w:rsidR="00B40F12" w:rsidRPr="00A01EC1">
        <w:rPr>
          <w:color w:val="000000" w:themeColor="text1"/>
          <w:szCs w:val="22"/>
        </w:rPr>
        <w:t xml:space="preserve">they require indicators that can be linked more directly to specific pressures. These condition indicators also </w:t>
      </w:r>
      <w:r w:rsidR="003D1F7F" w:rsidRPr="00A01EC1">
        <w:rPr>
          <w:color w:val="000000" w:themeColor="text1"/>
          <w:szCs w:val="22"/>
        </w:rPr>
        <w:t>do not demonstrate capacity to resist or recover from additional impacts</w:t>
      </w:r>
      <w:r w:rsidR="0074091B" w:rsidRPr="00A01EC1">
        <w:rPr>
          <w:color w:val="000000" w:themeColor="text1"/>
          <w:szCs w:val="22"/>
        </w:rPr>
        <w:t xml:space="preserve"> (</w:t>
      </w:r>
      <w:hyperlink w:anchor="_ENREF_225" w:tooltip="Unsworth, 2015 #10447" w:history="1">
        <w:r w:rsidR="00305FE7" w:rsidRPr="00A01EC1">
          <w:rPr>
            <w:color w:val="000000" w:themeColor="text1"/>
            <w:szCs w:val="22"/>
          </w:rPr>
          <w:fldChar w:fldCharType="begin"/>
        </w:r>
        <w:r w:rsidR="00305FE7">
          <w:rPr>
            <w:color w:val="000000" w:themeColor="text1"/>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305FE7" w:rsidRPr="00A01EC1">
          <w:rPr>
            <w:color w:val="000000" w:themeColor="text1"/>
            <w:szCs w:val="22"/>
          </w:rPr>
          <w:fldChar w:fldCharType="separate"/>
        </w:r>
        <w:r w:rsidR="00305FE7">
          <w:rPr>
            <w:noProof/>
            <w:color w:val="000000" w:themeColor="text1"/>
            <w:szCs w:val="22"/>
          </w:rPr>
          <w:t>Unsworth</w:t>
        </w:r>
        <w:r w:rsidR="00305FE7" w:rsidRPr="00521D93">
          <w:rPr>
            <w:i/>
            <w:noProof/>
            <w:color w:val="000000" w:themeColor="text1"/>
            <w:szCs w:val="22"/>
          </w:rPr>
          <w:t xml:space="preserve"> et al.</w:t>
        </w:r>
        <w:r w:rsidR="00305FE7">
          <w:rPr>
            <w:noProof/>
            <w:color w:val="000000" w:themeColor="text1"/>
            <w:szCs w:val="22"/>
          </w:rPr>
          <w:t xml:space="preserve"> 2015</w:t>
        </w:r>
        <w:r w:rsidR="00305FE7" w:rsidRPr="00A01EC1">
          <w:rPr>
            <w:color w:val="000000" w:themeColor="text1"/>
            <w:szCs w:val="22"/>
          </w:rPr>
          <w:fldChar w:fldCharType="end"/>
        </w:r>
      </w:hyperlink>
      <w:r w:rsidR="0074091B" w:rsidRPr="00A01EC1">
        <w:rPr>
          <w:color w:val="000000" w:themeColor="text1"/>
          <w:szCs w:val="22"/>
        </w:rPr>
        <w:t>).</w:t>
      </w:r>
    </w:p>
    <w:p w14:paraId="07506D8B" w14:textId="7477E440" w:rsidR="003D1F7F" w:rsidRPr="00A01EC1" w:rsidRDefault="009A19FE" w:rsidP="009F09A4">
      <w:pPr>
        <w:rPr>
          <w:i/>
          <w:color w:val="000000" w:themeColor="text1"/>
          <w:szCs w:val="22"/>
        </w:rPr>
      </w:pPr>
      <w:r w:rsidRPr="00A01EC1">
        <w:rPr>
          <w:i/>
          <w:color w:val="000000" w:themeColor="text1"/>
          <w:szCs w:val="22"/>
        </w:rPr>
        <w:t>Measures of s</w:t>
      </w:r>
      <w:r w:rsidR="00AF3F1D" w:rsidRPr="00A01EC1">
        <w:rPr>
          <w:i/>
          <w:color w:val="000000" w:themeColor="text1"/>
          <w:szCs w:val="22"/>
        </w:rPr>
        <w:t>eagrass r</w:t>
      </w:r>
      <w:r w:rsidR="003D1F7F" w:rsidRPr="00A01EC1">
        <w:rPr>
          <w:i/>
          <w:color w:val="000000" w:themeColor="text1"/>
          <w:szCs w:val="22"/>
        </w:rPr>
        <w:t>esilience</w:t>
      </w:r>
    </w:p>
    <w:p w14:paraId="33871390" w14:textId="15BE1619" w:rsidR="003D1F7F" w:rsidRDefault="003D1F7F" w:rsidP="009F09A4">
      <w:pPr>
        <w:widowControl w:val="0"/>
        <w:autoSpaceDE w:val="0"/>
        <w:autoSpaceDN w:val="0"/>
        <w:adjustRightInd w:val="0"/>
        <w:spacing w:before="0" w:after="0"/>
        <w:rPr>
          <w:color w:val="000000"/>
          <w:szCs w:val="22"/>
        </w:rPr>
      </w:pPr>
      <w:r w:rsidRPr="00A01EC1">
        <w:rPr>
          <w:color w:val="000000" w:themeColor="text1"/>
          <w:szCs w:val="22"/>
        </w:rPr>
        <w:t>Ecological resilience is “</w:t>
      </w:r>
      <w:r w:rsidRPr="00A01EC1">
        <w:rPr>
          <w:rFonts w:cs="AdvTT94c8263f.I"/>
          <w:color w:val="000000" w:themeColor="text1"/>
          <w:szCs w:val="22"/>
          <w:lang w:val="en-US"/>
        </w:rPr>
        <w:t xml:space="preserve">the capacity of an ecosystem to absorb repeated disturbances or shocks and adapt to change without fundamentally switching </w:t>
      </w:r>
      <w:r w:rsidR="0074091B" w:rsidRPr="00A01EC1">
        <w:rPr>
          <w:rFonts w:cs="AdvTT94c8263f.I"/>
          <w:color w:val="000000" w:themeColor="text1"/>
          <w:szCs w:val="22"/>
          <w:lang w:val="en-US"/>
        </w:rPr>
        <w:t>to an alternative stable state”</w:t>
      </w:r>
      <w:r w:rsidRPr="00A01EC1">
        <w:rPr>
          <w:rFonts w:cs="AdvTT94c8263f.I"/>
          <w:color w:val="000000" w:themeColor="text1"/>
          <w:szCs w:val="22"/>
          <w:lang w:val="en-US"/>
        </w:rPr>
        <w:t xml:space="preserve"> (</w:t>
      </w:r>
      <w:hyperlink w:anchor="_ENREF_117" w:tooltip="Holling, 1973 #9197" w:history="1">
        <w:r w:rsidR="00305FE7" w:rsidRPr="00A01EC1">
          <w:rPr>
            <w:rFonts w:cs="AdvTT94c8263f.I"/>
            <w:color w:val="000000" w:themeColor="text1"/>
            <w:szCs w:val="22"/>
            <w:lang w:val="en-US"/>
          </w:rPr>
          <w:fldChar w:fldCharType="begin"/>
        </w:r>
        <w:r w:rsidR="00305FE7" w:rsidRPr="00A01EC1">
          <w:rPr>
            <w:rFonts w:cs="AdvTT94c8263f.I"/>
            <w:color w:val="000000" w:themeColor="text1"/>
            <w:szCs w:val="22"/>
            <w:lang w:val="en-US"/>
          </w:rPr>
          <w:instrText xml:space="preserve"> ADDIN EN.CITE &lt;EndNote&gt;&lt;Cite&gt;&lt;Author&gt;Holling&lt;/Author&gt;&lt;Year&gt;1973&lt;/Year&gt;&lt;RecNum&gt;9197&lt;/RecNum&gt;&lt;DisplayText&gt;Holling 1973&lt;/DisplayText&gt;&lt;record&gt;&lt;rec-number&gt;9197&lt;/rec-number&gt;&lt;foreign-keys&gt;&lt;key app="EN" db-id="0eve55x9y5vfd6e9dacxtew4eatve2dzds9a" timestamp="1375003725"&gt;9197&lt;/key&gt;&lt;/foreign-keys&gt;&lt;ref-type name="Journal Article"&gt;17&lt;/ref-type&gt;&lt;contributors&gt;&lt;authors&gt;&lt;author&gt;Holling, C.S.&lt;/author&gt;&lt;/authors&gt;&lt;/contributors&gt;&lt;titles&gt;&lt;title&gt;Resilience and stability of ecological systems&lt;/title&gt;&lt;secondary-title&gt;Annual Review of Ecology and Systematics&lt;/secondary-title&gt;&lt;/titles&gt;&lt;periodical&gt;&lt;full-title&gt;Annual Review of Ecology and Systematics&lt;/full-title&gt;&lt;/periodical&gt;&lt;pages&gt;1-23&lt;/pages&gt;&lt;volume&gt;4&lt;/volume&gt;&lt;dates&gt;&lt;year&gt;1973&lt;/year&gt;&lt;/dates&gt;&lt;urls&gt;&lt;/urls&gt;&lt;/record&gt;&lt;/Cite&gt;&lt;/EndNote&gt;</w:instrText>
        </w:r>
        <w:r w:rsidR="00305FE7" w:rsidRPr="00A01EC1">
          <w:rPr>
            <w:rFonts w:cs="AdvTT94c8263f.I"/>
            <w:color w:val="000000" w:themeColor="text1"/>
            <w:szCs w:val="22"/>
            <w:lang w:val="en-US"/>
          </w:rPr>
          <w:fldChar w:fldCharType="separate"/>
        </w:r>
        <w:r w:rsidR="00305FE7" w:rsidRPr="00A01EC1">
          <w:rPr>
            <w:rFonts w:cs="AdvTT94c8263f.I"/>
            <w:noProof/>
            <w:color w:val="000000" w:themeColor="text1"/>
            <w:szCs w:val="22"/>
            <w:lang w:val="en-US"/>
          </w:rPr>
          <w:t>Holling 1973</w:t>
        </w:r>
        <w:r w:rsidR="00305FE7" w:rsidRPr="00A01EC1">
          <w:rPr>
            <w:rFonts w:cs="AdvTT94c8263f.I"/>
            <w:color w:val="000000" w:themeColor="text1"/>
            <w:szCs w:val="22"/>
            <w:lang w:val="en-US"/>
          </w:rPr>
          <w:fldChar w:fldCharType="end"/>
        </w:r>
      </w:hyperlink>
      <w:r w:rsidRPr="00A01EC1">
        <w:rPr>
          <w:rFonts w:cs="AdvTT94c8263f.I"/>
          <w:color w:val="000000" w:themeColor="text1"/>
          <w:szCs w:val="22"/>
          <w:lang w:val="en-US"/>
        </w:rPr>
        <w:t xml:space="preserve">), and therefore it relates to the ability of a system to both resist and recover from disturbances </w:t>
      </w:r>
      <w:r w:rsidR="0074091B" w:rsidRPr="00A01EC1">
        <w:rPr>
          <w:color w:val="000000" w:themeColor="text1"/>
          <w:szCs w:val="22"/>
        </w:rPr>
        <w:t>(</w:t>
      </w:r>
      <w:hyperlink w:anchor="_ENREF_225" w:tooltip="Unsworth, 2015 #10447" w:history="1">
        <w:r w:rsidR="00305FE7" w:rsidRPr="00A01EC1">
          <w:rPr>
            <w:color w:val="000000" w:themeColor="text1"/>
            <w:szCs w:val="22"/>
          </w:rPr>
          <w:fldChar w:fldCharType="begin"/>
        </w:r>
        <w:r w:rsidR="00305FE7">
          <w:rPr>
            <w:color w:val="000000" w:themeColor="text1"/>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305FE7" w:rsidRPr="00A01EC1">
          <w:rPr>
            <w:color w:val="000000" w:themeColor="text1"/>
            <w:szCs w:val="22"/>
          </w:rPr>
          <w:fldChar w:fldCharType="separate"/>
        </w:r>
        <w:r w:rsidR="00305FE7">
          <w:rPr>
            <w:noProof/>
            <w:color w:val="000000" w:themeColor="text1"/>
            <w:szCs w:val="22"/>
          </w:rPr>
          <w:t>Unsworth</w:t>
        </w:r>
        <w:r w:rsidR="00305FE7" w:rsidRPr="00521D93">
          <w:rPr>
            <w:i/>
            <w:noProof/>
            <w:color w:val="000000" w:themeColor="text1"/>
            <w:szCs w:val="22"/>
          </w:rPr>
          <w:t xml:space="preserve"> et al.</w:t>
        </w:r>
        <w:r w:rsidR="00305FE7">
          <w:rPr>
            <w:noProof/>
            <w:color w:val="000000" w:themeColor="text1"/>
            <w:szCs w:val="22"/>
          </w:rPr>
          <w:t xml:space="preserve"> 2015</w:t>
        </w:r>
        <w:r w:rsidR="00305FE7" w:rsidRPr="00A01EC1">
          <w:rPr>
            <w:color w:val="000000" w:themeColor="text1"/>
            <w:szCs w:val="22"/>
          </w:rPr>
          <w:fldChar w:fldCharType="end"/>
        </w:r>
      </w:hyperlink>
      <w:r w:rsidR="0074091B" w:rsidRPr="00A01EC1">
        <w:rPr>
          <w:color w:val="000000" w:themeColor="text1"/>
          <w:szCs w:val="22"/>
        </w:rPr>
        <w:t>)</w:t>
      </w:r>
      <w:r w:rsidR="00624CE5" w:rsidRPr="00A01EC1">
        <w:rPr>
          <w:color w:val="000000" w:themeColor="text1"/>
          <w:szCs w:val="22"/>
        </w:rPr>
        <w:t xml:space="preserve"> (Figure 3)</w:t>
      </w:r>
      <w:r w:rsidRPr="00A01EC1">
        <w:rPr>
          <w:rFonts w:cs="AdvTT94c8263f.I"/>
          <w:color w:val="000000" w:themeColor="text1"/>
          <w:szCs w:val="22"/>
          <w:lang w:val="en-US"/>
        </w:rPr>
        <w:t>. C</w:t>
      </w:r>
      <w:r w:rsidR="0074091B" w:rsidRPr="00A01EC1">
        <w:rPr>
          <w:rFonts w:cs="AdvTT94c8263f.I"/>
          <w:color w:val="000000" w:themeColor="text1"/>
          <w:szCs w:val="22"/>
          <w:lang w:val="en-US"/>
        </w:rPr>
        <w:t xml:space="preserve">hanges in </w:t>
      </w:r>
      <w:r w:rsidR="0074091B" w:rsidRPr="00A01EC1">
        <w:rPr>
          <w:color w:val="000000" w:themeColor="text1"/>
          <w:szCs w:val="22"/>
        </w:rPr>
        <w:t>resilience</w:t>
      </w:r>
      <w:r w:rsidRPr="00A01EC1">
        <w:rPr>
          <w:color w:val="000000" w:themeColor="text1"/>
          <w:szCs w:val="22"/>
        </w:rPr>
        <w:t xml:space="preserve"> indicators show if the ecosystem is in transition (i.e. has already, or may undergo a state-change). </w:t>
      </w:r>
      <w:r w:rsidRPr="00A01EC1">
        <w:rPr>
          <w:rFonts w:cs="AdvTT94c8263f.I"/>
          <w:color w:val="000000" w:themeColor="text1"/>
          <w:szCs w:val="22"/>
          <w:lang w:val="en-US"/>
        </w:rPr>
        <w:t>Sexual reproduction (flowering, seed production and persistence of a seedbank) is an important feature of recovery (and therefore, of resilience) in seagrass meadows</w:t>
      </w:r>
      <w:r w:rsidR="00B40F12" w:rsidRPr="00A01EC1">
        <w:rPr>
          <w:rFonts w:cs="AdvTT94c8263f.I"/>
          <w:color w:val="000000" w:themeColor="text1"/>
          <w:szCs w:val="22"/>
          <w:lang w:val="en-US"/>
        </w:rPr>
        <w:t xml:space="preserve"> of the </w:t>
      </w:r>
      <w:r w:rsidR="007F6948">
        <w:rPr>
          <w:rFonts w:cs="AdvTT94c8263f.I"/>
          <w:color w:val="000000" w:themeColor="text1"/>
          <w:szCs w:val="22"/>
          <w:lang w:val="en-US"/>
        </w:rPr>
        <w:t>Great Barrier Reef</w:t>
      </w:r>
      <w:r w:rsidR="00B40F12" w:rsidRPr="00A01EC1">
        <w:rPr>
          <w:rFonts w:cs="AdvTT94c8263f.I"/>
          <w:color w:val="000000" w:themeColor="text1"/>
          <w:szCs w:val="22"/>
          <w:lang w:val="en-US"/>
        </w:rPr>
        <w:t xml:space="preserve">. </w:t>
      </w:r>
      <w:r w:rsidR="00B40F12" w:rsidRPr="00A01EC1">
        <w:rPr>
          <w:color w:val="000000" w:themeColor="text1"/>
          <w:szCs w:val="22"/>
        </w:rPr>
        <w:t>C</w:t>
      </w:r>
      <w:r w:rsidRPr="00A01EC1">
        <w:rPr>
          <w:color w:val="000000" w:themeColor="text1"/>
          <w:szCs w:val="22"/>
        </w:rPr>
        <w:t xml:space="preserve">oastal seagrasses are prone to small scale disturbances that cause local losses </w:t>
      </w:r>
      <w:r w:rsidRPr="00A01EC1">
        <w:rPr>
          <w:noProof/>
          <w:color w:val="000000" w:themeColor="text1"/>
          <w:szCs w:val="22"/>
        </w:rPr>
        <w:t>(</w:t>
      </w:r>
      <w:hyperlink w:anchor="_ENREF_53" w:tooltip="Collier, 2009 #9285" w:history="1">
        <w:r w:rsidR="00305FE7" w:rsidRPr="00A01EC1">
          <w:rPr>
            <w:noProof/>
            <w:color w:val="000000" w:themeColor="text1"/>
            <w:szCs w:val="22"/>
          </w:rPr>
          <w:fldChar w:fldCharType="begin"/>
        </w:r>
        <w:r w:rsidR="00305FE7" w:rsidRPr="00A01EC1">
          <w:rPr>
            <w:noProof/>
            <w:color w:val="000000" w:themeColor="text1"/>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305FE7" w:rsidRPr="00A01EC1">
          <w:rPr>
            <w:noProof/>
            <w:color w:val="000000" w:themeColor="text1"/>
            <w:szCs w:val="22"/>
          </w:rPr>
          <w:fldChar w:fldCharType="separate"/>
        </w:r>
        <w:r w:rsidR="00305FE7" w:rsidRPr="00A01EC1">
          <w:rPr>
            <w:noProof/>
            <w:color w:val="000000" w:themeColor="text1"/>
            <w:szCs w:val="22"/>
          </w:rPr>
          <w:t>Collier and Waycott 2009</w:t>
        </w:r>
        <w:r w:rsidR="00305FE7" w:rsidRPr="00A01EC1">
          <w:rPr>
            <w:noProof/>
            <w:color w:val="000000" w:themeColor="text1"/>
            <w:szCs w:val="22"/>
          </w:rPr>
          <w:fldChar w:fldCharType="end"/>
        </w:r>
      </w:hyperlink>
      <w:r w:rsidRPr="00A01EC1">
        <w:rPr>
          <w:noProof/>
          <w:color w:val="000000" w:themeColor="text1"/>
          <w:szCs w:val="22"/>
        </w:rPr>
        <w:t>)</w:t>
      </w:r>
      <w:r w:rsidR="00B40F12" w:rsidRPr="00A01EC1">
        <w:rPr>
          <w:noProof/>
          <w:color w:val="000000" w:themeColor="text1"/>
          <w:szCs w:val="22"/>
        </w:rPr>
        <w:t xml:space="preserve">, and </w:t>
      </w:r>
      <w:r w:rsidR="00F72175" w:rsidRPr="00A01EC1">
        <w:rPr>
          <w:noProof/>
          <w:color w:val="000000" w:themeColor="text1"/>
          <w:szCs w:val="22"/>
        </w:rPr>
        <w:t xml:space="preserve">therefore </w:t>
      </w:r>
      <w:r w:rsidR="008A733C">
        <w:rPr>
          <w:noProof/>
          <w:color w:val="000000" w:themeColor="text1"/>
          <w:szCs w:val="22"/>
        </w:rPr>
        <w:t>disturbance-special</w:t>
      </w:r>
      <w:r w:rsidR="00B40F12" w:rsidRPr="00A01EC1">
        <w:rPr>
          <w:noProof/>
          <w:color w:val="000000" w:themeColor="text1"/>
          <w:szCs w:val="22"/>
        </w:rPr>
        <w:t xml:space="preserve">ist species </w:t>
      </w:r>
      <w:r w:rsidR="00527CBB">
        <w:rPr>
          <w:noProof/>
          <w:color w:val="000000" w:themeColor="text1"/>
          <w:szCs w:val="22"/>
        </w:rPr>
        <w:t>(</w:t>
      </w:r>
      <w:r w:rsidR="00F72175" w:rsidRPr="00A01EC1">
        <w:rPr>
          <w:noProof/>
          <w:color w:val="000000" w:themeColor="text1"/>
          <w:szCs w:val="22"/>
        </w:rPr>
        <w:t>i.e. colonisers</w:t>
      </w:r>
      <w:r w:rsidR="00527CBB">
        <w:rPr>
          <w:noProof/>
          <w:color w:val="000000" w:themeColor="text1"/>
          <w:szCs w:val="22"/>
        </w:rPr>
        <w:t>)</w:t>
      </w:r>
      <w:r w:rsidR="00F72175" w:rsidRPr="00A01EC1">
        <w:rPr>
          <w:noProof/>
          <w:color w:val="000000" w:themeColor="text1"/>
          <w:szCs w:val="22"/>
        </w:rPr>
        <w:t xml:space="preserve"> tend to dominate throughout the </w:t>
      </w:r>
      <w:r w:rsidR="007F6948">
        <w:rPr>
          <w:noProof/>
          <w:color w:val="000000" w:themeColor="text1"/>
          <w:szCs w:val="22"/>
        </w:rPr>
        <w:t>Great Barrier Reef</w:t>
      </w:r>
      <w:r w:rsidRPr="00A01EC1">
        <w:rPr>
          <w:color w:val="000000" w:themeColor="text1"/>
          <w:szCs w:val="22"/>
        </w:rPr>
        <w:t>. Community structure (species composition) is also an important feature conferring resilience, both resistance (as some species are more resistant to stress than others), and recovery (as some species may rapidly recover and pave the way for meadow development)</w:t>
      </w:r>
      <w:r w:rsidR="006D7E27" w:rsidRPr="00A01EC1">
        <w:rPr>
          <w:color w:val="000000" w:themeColor="text1"/>
          <w:szCs w:val="22"/>
        </w:rPr>
        <w:t xml:space="preserve"> (</w:t>
      </w:r>
      <w:r w:rsidR="006D7E27" w:rsidRPr="00A01EC1">
        <w:rPr>
          <w:color w:val="000000" w:themeColor="text1"/>
          <w:szCs w:val="22"/>
        </w:rPr>
        <w:fldChar w:fldCharType="begin"/>
      </w:r>
      <w:r w:rsidR="006D7E27" w:rsidRPr="00A01EC1">
        <w:rPr>
          <w:color w:val="000000" w:themeColor="text1"/>
          <w:szCs w:val="22"/>
        </w:rPr>
        <w:instrText xml:space="preserve"> REF _Ref491687940 \h </w:instrText>
      </w:r>
      <w:r w:rsidR="006D7E27" w:rsidRPr="00A01EC1">
        <w:rPr>
          <w:color w:val="000000" w:themeColor="text1"/>
          <w:szCs w:val="22"/>
        </w:rPr>
      </w:r>
      <w:r w:rsidR="006D7E27" w:rsidRPr="00A01EC1">
        <w:rPr>
          <w:color w:val="000000" w:themeColor="text1"/>
          <w:szCs w:val="22"/>
        </w:rPr>
        <w:fldChar w:fldCharType="separate"/>
      </w:r>
      <w:r w:rsidR="00F87DF9" w:rsidRPr="00A01EC1">
        <w:rPr>
          <w:color w:val="000000" w:themeColor="text1"/>
          <w:szCs w:val="22"/>
        </w:rPr>
        <w:t xml:space="preserve">Figure </w:t>
      </w:r>
      <w:r w:rsidR="00F87DF9">
        <w:rPr>
          <w:noProof/>
          <w:color w:val="000000" w:themeColor="text1"/>
          <w:szCs w:val="22"/>
        </w:rPr>
        <w:t>4</w:t>
      </w:r>
      <w:r w:rsidR="006D7E27" w:rsidRPr="00A01EC1">
        <w:rPr>
          <w:color w:val="000000" w:themeColor="text1"/>
          <w:szCs w:val="22"/>
        </w:rPr>
        <w:fldChar w:fldCharType="end"/>
      </w:r>
      <w:r w:rsidR="006D7E27" w:rsidRPr="00A01EC1">
        <w:rPr>
          <w:color w:val="000000" w:themeColor="text1"/>
          <w:szCs w:val="22"/>
        </w:rPr>
        <w:t>)</w:t>
      </w:r>
      <w:r w:rsidRPr="00A01EC1">
        <w:rPr>
          <w:color w:val="000000" w:themeColor="text1"/>
          <w:szCs w:val="22"/>
        </w:rPr>
        <w:t xml:space="preserve">. </w:t>
      </w:r>
    </w:p>
    <w:p w14:paraId="60063947" w14:textId="77777777" w:rsidR="003D1F7F" w:rsidRDefault="003D1F7F" w:rsidP="009F09A4">
      <w:pPr>
        <w:rPr>
          <w:color w:val="000000"/>
          <w:szCs w:val="22"/>
        </w:rPr>
      </w:pPr>
    </w:p>
    <w:p w14:paraId="69D03AF2" w14:textId="77777777" w:rsidR="003D1F7F" w:rsidRPr="00015190" w:rsidRDefault="003D1F7F" w:rsidP="009F09A4">
      <w:pPr>
        <w:keepNext/>
        <w:spacing w:before="0"/>
        <w:jc w:val="center"/>
        <w:rPr>
          <w:color w:val="000000"/>
          <w:szCs w:val="22"/>
          <w:lang w:val="en-US"/>
        </w:rPr>
      </w:pPr>
      <w:r>
        <w:rPr>
          <w:noProof/>
          <w:color w:val="000000"/>
          <w:szCs w:val="22"/>
          <w:lang w:eastAsia="en-AU"/>
        </w:rPr>
        <w:drawing>
          <wp:inline distT="0" distB="0" distL="0" distR="0" wp14:anchorId="48B22E2E" wp14:editId="2A4749B0">
            <wp:extent cx="4094526" cy="4619195"/>
            <wp:effectExtent l="0" t="0" r="1270" b="0"/>
            <wp:docPr id="255" name="Picture 17" descr="Illustration of seagrass recovery after loss and the categories of successional species over ti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llustration depicting rates of seagrass recovery after loss and the categories of successional species over time"/>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094627" cy="4619308"/>
                    </a:xfrm>
                    <a:prstGeom prst="rect">
                      <a:avLst/>
                    </a:prstGeom>
                    <a:noFill/>
                    <a:ln>
                      <a:noFill/>
                    </a:ln>
                  </pic:spPr>
                </pic:pic>
              </a:graphicData>
            </a:graphic>
          </wp:inline>
        </w:drawing>
      </w:r>
    </w:p>
    <w:p w14:paraId="520FF8C6" w14:textId="77777777" w:rsidR="00711815" w:rsidRPr="00015190" w:rsidRDefault="003D1F7F" w:rsidP="009F09A4">
      <w:pPr>
        <w:keepNext/>
        <w:rPr>
          <w:i/>
          <w:vanish/>
          <w:color w:val="000000"/>
          <w:szCs w:val="22"/>
          <w:specVanish/>
        </w:rPr>
      </w:pPr>
      <w:bookmarkStart w:id="31" w:name="_Ref491687940"/>
      <w:bookmarkStart w:id="32" w:name="_Toc516053214"/>
      <w:r w:rsidRPr="00A01EC1">
        <w:rPr>
          <w:color w:val="000000" w:themeColor="text1"/>
          <w:szCs w:val="22"/>
        </w:rPr>
        <w:t xml:space="preserve">Figure </w:t>
      </w:r>
      <w:r w:rsidR="0073595B" w:rsidRPr="00A01EC1">
        <w:rPr>
          <w:color w:val="000000" w:themeColor="text1"/>
          <w:szCs w:val="22"/>
        </w:rPr>
        <w:fldChar w:fldCharType="begin"/>
      </w:r>
      <w:r w:rsidR="0073595B" w:rsidRPr="00A01EC1">
        <w:rPr>
          <w:color w:val="000000" w:themeColor="text1"/>
          <w:szCs w:val="22"/>
        </w:rPr>
        <w:instrText xml:space="preserve"> SEQ Figure \* ARABIC </w:instrText>
      </w:r>
      <w:r w:rsidR="0073595B" w:rsidRPr="00A01EC1">
        <w:rPr>
          <w:color w:val="000000" w:themeColor="text1"/>
          <w:szCs w:val="22"/>
        </w:rPr>
        <w:fldChar w:fldCharType="separate"/>
      </w:r>
      <w:r w:rsidR="00F87DF9">
        <w:rPr>
          <w:noProof/>
          <w:color w:val="000000" w:themeColor="text1"/>
          <w:szCs w:val="22"/>
        </w:rPr>
        <w:t>4</w:t>
      </w:r>
      <w:r w:rsidR="0073595B" w:rsidRPr="00A01EC1">
        <w:rPr>
          <w:color w:val="000000" w:themeColor="text1"/>
          <w:szCs w:val="22"/>
        </w:rPr>
        <w:fldChar w:fldCharType="end"/>
      </w:r>
      <w:bookmarkEnd w:id="31"/>
      <w:r w:rsidRPr="00A01EC1">
        <w:rPr>
          <w:color w:val="000000" w:themeColor="text1"/>
          <w:szCs w:val="22"/>
        </w:rPr>
        <w:t>.</w:t>
      </w:r>
      <w:r w:rsidRPr="00A01EC1">
        <w:rPr>
          <w:i/>
          <w:color w:val="000000" w:themeColor="text1"/>
          <w:szCs w:val="22"/>
        </w:rPr>
        <w:t xml:space="preserve"> Illustration of seagrass recovery after loss and the categories of successional species over time.</w:t>
      </w:r>
      <w:bookmarkEnd w:id="32"/>
      <w:r w:rsidR="00086CE5" w:rsidRPr="00A01EC1">
        <w:rPr>
          <w:i/>
          <w:color w:val="000000" w:themeColor="text1"/>
          <w:szCs w:val="22"/>
        </w:rPr>
        <w:t xml:space="preserve"> </w:t>
      </w:r>
    </w:p>
    <w:p w14:paraId="7472542A" w14:textId="38627042" w:rsidR="003D1F7F" w:rsidRPr="00A01EC1" w:rsidRDefault="00711815" w:rsidP="009F09A4">
      <w:pPr>
        <w:rPr>
          <w:i/>
          <w:color w:val="000000" w:themeColor="text1"/>
          <w:szCs w:val="22"/>
        </w:rPr>
      </w:pPr>
      <w:r w:rsidRPr="00015190">
        <w:rPr>
          <w:i/>
          <w:color w:val="000000"/>
          <w:szCs w:val="22"/>
        </w:rPr>
        <w:t xml:space="preserve"> </w:t>
      </w:r>
      <w:r w:rsidR="003A1090">
        <w:rPr>
          <w:i/>
          <w:color w:val="000000"/>
          <w:szCs w:val="22"/>
        </w:rPr>
        <w:t>Figure d</w:t>
      </w:r>
      <w:r w:rsidR="00086CE5" w:rsidRPr="00A01EC1">
        <w:rPr>
          <w:i/>
          <w:color w:val="000000" w:themeColor="text1"/>
          <w:szCs w:val="22"/>
        </w:rPr>
        <w:t xml:space="preserve">eveloped from recovery dynamics observed </w:t>
      </w:r>
      <w:r w:rsidR="00A459B8">
        <w:rPr>
          <w:i/>
          <w:color w:val="000000" w:themeColor="text1"/>
          <w:szCs w:val="22"/>
        </w:rPr>
        <w:t>during</w:t>
      </w:r>
      <w:r w:rsidR="00086CE5" w:rsidRPr="00A01EC1">
        <w:rPr>
          <w:i/>
          <w:color w:val="000000" w:themeColor="text1"/>
          <w:szCs w:val="22"/>
        </w:rPr>
        <w:t xml:space="preserve"> monitoring since the 1980’s </w:t>
      </w:r>
      <w:r w:rsidR="00A459B8">
        <w:rPr>
          <w:i/>
          <w:color w:val="000000" w:themeColor="text1"/>
          <w:szCs w:val="22"/>
        </w:rPr>
        <w:t>throughout</w:t>
      </w:r>
      <w:r w:rsidR="00086CE5" w:rsidRPr="00A01EC1">
        <w:rPr>
          <w:i/>
          <w:color w:val="000000" w:themeColor="text1"/>
          <w:szCs w:val="22"/>
        </w:rPr>
        <w:t xml:space="preserve"> the </w:t>
      </w:r>
      <w:r w:rsidR="007F6948">
        <w:rPr>
          <w:i/>
          <w:color w:val="000000" w:themeColor="text1"/>
          <w:szCs w:val="22"/>
        </w:rPr>
        <w:t>Great Barrier Reef</w:t>
      </w:r>
      <w:r w:rsidR="00086CE5" w:rsidRPr="00A01EC1">
        <w:rPr>
          <w:i/>
          <w:color w:val="000000" w:themeColor="text1"/>
          <w:szCs w:val="22"/>
        </w:rPr>
        <w:t xml:space="preserve"> (</w:t>
      </w:r>
      <w:r w:rsidR="00F42758" w:rsidRPr="00A01EC1">
        <w:rPr>
          <w:i/>
          <w:color w:val="000000" w:themeColor="text1"/>
          <w:szCs w:val="22"/>
        </w:rPr>
        <w:fldChar w:fldCharType="begin">
          <w:fldData xml:space="preserve">PEVuZE5vdGU+PENpdGU+PEF1dGhvcj5DYW1wYmVsbDwvQXV0aG9yPjxZZWFyPjIwMDQ8L1llYXI+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dXN0b20xPkFubmV4PC9jdXN0b20xPjwvcmVjb3JkPjwvQ2l0ZT48Q2l0ZT48QXV0aG9yPlByZWVu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</w:fldData>
        </w:fldChar>
      </w:r>
      <w:r w:rsidR="00F42758" w:rsidRPr="00A01EC1">
        <w:rPr>
          <w:i/>
          <w:color w:val="000000" w:themeColor="text1"/>
          <w:szCs w:val="22"/>
        </w:rPr>
        <w:instrText xml:space="preserve"> ADDIN EN.CITE </w:instrText>
      </w:r>
      <w:r w:rsidR="00F42758" w:rsidRPr="00A01EC1">
        <w:rPr>
          <w:i/>
          <w:color w:val="000000" w:themeColor="text1"/>
          <w:szCs w:val="22"/>
        </w:rPr>
        <w:fldChar w:fldCharType="begin">
          <w:fldData xml:space="preserve">PEVuZE5vdGU+PENpdGU+PEF1dGhvcj5DYW1wYmVsbDwvQXV0aG9yPjxZZWFyPjIwMDQ8L1llYXI+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dXN0b20xPkFubmV4PC9jdXN0b20xPjwvcmVjb3JkPjwvQ2l0ZT48Q2l0ZT48QXV0aG9yPlByZWVu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</w:fldData>
        </w:fldChar>
      </w:r>
      <w:r w:rsidR="00F42758" w:rsidRPr="00A01EC1">
        <w:rPr>
          <w:i/>
          <w:color w:val="000000" w:themeColor="text1"/>
          <w:szCs w:val="22"/>
        </w:rPr>
        <w:instrText xml:space="preserve"> ADDIN EN.CITE.DATA </w:instrText>
      </w:r>
      <w:r w:rsidR="00F42758" w:rsidRPr="00A01EC1">
        <w:rPr>
          <w:i/>
          <w:color w:val="000000" w:themeColor="text1"/>
          <w:szCs w:val="22"/>
        </w:rPr>
      </w:r>
      <w:r w:rsidR="00F42758" w:rsidRPr="00A01EC1">
        <w:rPr>
          <w:i/>
          <w:color w:val="000000" w:themeColor="text1"/>
          <w:szCs w:val="22"/>
        </w:rPr>
        <w:fldChar w:fldCharType="end"/>
      </w:r>
      <w:r w:rsidR="00F42758" w:rsidRPr="00A01EC1">
        <w:rPr>
          <w:i/>
          <w:color w:val="000000" w:themeColor="text1"/>
          <w:szCs w:val="22"/>
        </w:rPr>
      </w:r>
      <w:r w:rsidR="00F42758" w:rsidRPr="00A01EC1">
        <w:rPr>
          <w:i/>
          <w:color w:val="000000" w:themeColor="text1"/>
          <w:szCs w:val="22"/>
        </w:rPr>
        <w:fldChar w:fldCharType="separate"/>
      </w:r>
      <w:hyperlink w:anchor="_ENREF_13" w:tooltip="Birch, 1984 #177" w:history="1">
        <w:r w:rsidR="00305FE7" w:rsidRPr="00A01EC1">
          <w:rPr>
            <w:i/>
            <w:noProof/>
            <w:color w:val="000000" w:themeColor="text1"/>
            <w:szCs w:val="22"/>
          </w:rPr>
          <w:t>Birch and Birch 1984</w:t>
        </w:r>
      </w:hyperlink>
      <w:r w:rsidR="00F42758" w:rsidRPr="00A01EC1">
        <w:rPr>
          <w:i/>
          <w:noProof/>
          <w:color w:val="000000" w:themeColor="text1"/>
          <w:szCs w:val="22"/>
        </w:rPr>
        <w:t xml:space="preserve">; </w:t>
      </w:r>
      <w:hyperlink w:anchor="_ENREF_193" w:tooltip="Preen, 1995 #950" w:history="1">
        <w:r w:rsidR="00305FE7" w:rsidRPr="00A01EC1">
          <w:rPr>
            <w:i/>
            <w:noProof/>
            <w:color w:val="000000" w:themeColor="text1"/>
            <w:szCs w:val="22"/>
          </w:rPr>
          <w:t>Preen et al. 1995</w:t>
        </w:r>
      </w:hyperlink>
      <w:r w:rsidR="00F42758" w:rsidRPr="00A01EC1">
        <w:rPr>
          <w:i/>
          <w:noProof/>
          <w:color w:val="000000" w:themeColor="text1"/>
          <w:szCs w:val="22"/>
        </w:rPr>
        <w:t xml:space="preserve">; </w:t>
      </w:r>
      <w:hyperlink w:anchor="_ENREF_151" w:tooltip="McKenzie, 2002 #9357" w:history="1">
        <w:r w:rsidR="00305FE7" w:rsidRPr="00A01EC1">
          <w:rPr>
            <w:i/>
            <w:noProof/>
            <w:color w:val="000000" w:themeColor="text1"/>
            <w:szCs w:val="22"/>
          </w:rPr>
          <w:t>McKenzie and Campbell 2002</w:t>
        </w:r>
      </w:hyperlink>
      <w:r w:rsidR="00F42758" w:rsidRPr="00A01EC1">
        <w:rPr>
          <w:i/>
          <w:noProof/>
          <w:color w:val="000000" w:themeColor="text1"/>
          <w:szCs w:val="22"/>
        </w:rPr>
        <w:t xml:space="preserve">; </w:t>
      </w:r>
      <w:hyperlink w:anchor="_ENREF_29" w:tooltip="Campbell, 2004 #2838" w:history="1">
        <w:r w:rsidR="00305FE7" w:rsidRPr="00A01EC1">
          <w:rPr>
            <w:i/>
            <w:noProof/>
            <w:color w:val="000000" w:themeColor="text1"/>
            <w:szCs w:val="22"/>
          </w:rPr>
          <w:t>Campbell and McKenzie 2004</w:t>
        </w:r>
      </w:hyperlink>
      <w:r w:rsidR="00F42758" w:rsidRPr="00A01EC1">
        <w:rPr>
          <w:i/>
          <w:noProof/>
          <w:color w:val="000000" w:themeColor="text1"/>
          <w:szCs w:val="22"/>
        </w:rPr>
        <w:t xml:space="preserve">; </w:t>
      </w:r>
      <w:hyperlink w:anchor="_ENREF_154" w:tooltip="McKenzie, 2014 #9812" w:history="1">
        <w:r w:rsidR="00305FE7" w:rsidRPr="00A01EC1">
          <w:rPr>
            <w:i/>
            <w:noProof/>
            <w:color w:val="000000" w:themeColor="text1"/>
            <w:szCs w:val="22"/>
          </w:rPr>
          <w:t>McKenzie et al. 2014a</w:t>
        </w:r>
      </w:hyperlink>
      <w:r w:rsidR="00F42758" w:rsidRPr="00A01EC1">
        <w:rPr>
          <w:i/>
          <w:noProof/>
          <w:color w:val="000000" w:themeColor="text1"/>
          <w:szCs w:val="22"/>
        </w:rPr>
        <w:t xml:space="preserve">; </w:t>
      </w:r>
      <w:hyperlink w:anchor="_ENREF_198" w:tooltip="Rasheed, 2014 #9893" w:history="1">
        <w:r w:rsidR="00305FE7" w:rsidRPr="00A01EC1">
          <w:rPr>
            <w:i/>
            <w:noProof/>
            <w:color w:val="000000" w:themeColor="text1"/>
            <w:szCs w:val="22"/>
          </w:rPr>
          <w:t>Rasheed et al. 2014</w:t>
        </w:r>
      </w:hyperlink>
      <w:r w:rsidR="00F42758" w:rsidRPr="00A01EC1">
        <w:rPr>
          <w:i/>
          <w:color w:val="000000" w:themeColor="text1"/>
          <w:szCs w:val="22"/>
        </w:rPr>
        <w:fldChar w:fldCharType="end"/>
      </w:r>
      <w:r w:rsidR="00086CE5" w:rsidRPr="00A01EC1">
        <w:rPr>
          <w:i/>
          <w:color w:val="000000" w:themeColor="text1"/>
          <w:szCs w:val="22"/>
        </w:rPr>
        <w:t>)</w:t>
      </w:r>
      <w:r w:rsidR="00F42758" w:rsidRPr="00A01EC1">
        <w:rPr>
          <w:i/>
          <w:color w:val="000000" w:themeColor="text1"/>
          <w:szCs w:val="22"/>
        </w:rPr>
        <w:t>.</w:t>
      </w:r>
    </w:p>
    <w:p w14:paraId="6113D1EE" w14:textId="33797024" w:rsidR="003D1F7F" w:rsidRPr="00A01EC1" w:rsidRDefault="003D1F7F" w:rsidP="009F09A4">
      <w:pPr>
        <w:spacing w:before="240" w:after="60"/>
        <w:rPr>
          <w:color w:val="000000" w:themeColor="text1"/>
          <w:szCs w:val="22"/>
        </w:rPr>
      </w:pPr>
      <w:r w:rsidRPr="00A01EC1">
        <w:rPr>
          <w:color w:val="000000" w:themeColor="text1"/>
          <w:szCs w:val="22"/>
        </w:rPr>
        <w:t xml:space="preserve">This report presents data from the </w:t>
      </w:r>
      <w:r w:rsidR="00A01EC1" w:rsidRPr="00A01EC1">
        <w:rPr>
          <w:color w:val="000000" w:themeColor="text1"/>
          <w:szCs w:val="22"/>
        </w:rPr>
        <w:t>twelfth</w:t>
      </w:r>
      <w:r w:rsidRPr="00A01EC1">
        <w:rPr>
          <w:color w:val="000000" w:themeColor="text1"/>
          <w:szCs w:val="22"/>
        </w:rPr>
        <w:t xml:space="preserve"> period of monitoring inshore seagrass ecosystems of the Great Barrier Reef under the MMP (undertaken from June 201</w:t>
      </w:r>
      <w:r w:rsidR="00A01EC1" w:rsidRPr="00A01EC1">
        <w:rPr>
          <w:color w:val="000000" w:themeColor="text1"/>
          <w:szCs w:val="22"/>
        </w:rPr>
        <w:t>6</w:t>
      </w:r>
      <w:r w:rsidRPr="00A01EC1">
        <w:rPr>
          <w:color w:val="000000" w:themeColor="text1"/>
          <w:szCs w:val="22"/>
        </w:rPr>
        <w:t xml:space="preserve"> to May 201</w:t>
      </w:r>
      <w:r w:rsidR="00A01EC1" w:rsidRPr="00A01EC1">
        <w:rPr>
          <w:color w:val="000000" w:themeColor="text1"/>
          <w:szCs w:val="22"/>
        </w:rPr>
        <w:t>7</w:t>
      </w:r>
      <w:r w:rsidRPr="00A01EC1">
        <w:rPr>
          <w:color w:val="000000" w:themeColor="text1"/>
          <w:szCs w:val="22"/>
        </w:rPr>
        <w:t>; hereafter called “</w:t>
      </w:r>
      <w:r w:rsidR="008574EC">
        <w:rPr>
          <w:color w:val="000000" w:themeColor="text1"/>
          <w:szCs w:val="22"/>
        </w:rPr>
        <w:t>2016–17</w:t>
      </w:r>
      <w:r w:rsidRPr="00A01EC1">
        <w:rPr>
          <w:color w:val="000000" w:themeColor="text1"/>
          <w:szCs w:val="22"/>
        </w:rPr>
        <w:t>”).  The key aims of the inshore seagrass monitoring sub-program of the MMP were to</w:t>
      </w:r>
      <w:r w:rsidR="00A459B8">
        <w:rPr>
          <w:color w:val="000000" w:themeColor="text1"/>
          <w:szCs w:val="22"/>
        </w:rPr>
        <w:t xml:space="preserve"> report on</w:t>
      </w:r>
      <w:r w:rsidRPr="00A01EC1">
        <w:rPr>
          <w:color w:val="000000" w:themeColor="text1"/>
          <w:szCs w:val="22"/>
        </w:rPr>
        <w:t>:</w:t>
      </w:r>
    </w:p>
    <w:p w14:paraId="50698F45" w14:textId="5DE5D4C9" w:rsidR="003D1F7F" w:rsidRPr="00A01EC1" w:rsidRDefault="003D1F7F" w:rsidP="009F09A4">
      <w:pPr>
        <w:numPr>
          <w:ilvl w:val="0"/>
          <w:numId w:val="6"/>
        </w:numPr>
        <w:spacing w:before="60" w:after="60"/>
        <w:ind w:left="714" w:hanging="357"/>
        <w:rPr>
          <w:rFonts w:cs="Arial"/>
          <w:color w:val="000000" w:themeColor="text1"/>
        </w:rPr>
      </w:pPr>
      <w:r w:rsidRPr="00A01EC1">
        <w:rPr>
          <w:rFonts w:cs="Arial"/>
          <w:color w:val="000000" w:themeColor="text1"/>
        </w:rPr>
        <w:t xml:space="preserve">the abundance and species composition of seagrass (including </w:t>
      </w:r>
      <w:r w:rsidR="00302EC4" w:rsidRPr="00A01EC1">
        <w:rPr>
          <w:rFonts w:cs="Arial"/>
          <w:color w:val="000000" w:themeColor="text1"/>
        </w:rPr>
        <w:t>landscape</w:t>
      </w:r>
      <w:r w:rsidRPr="00A01EC1">
        <w:rPr>
          <w:rFonts w:cs="Arial"/>
          <w:color w:val="000000" w:themeColor="text1"/>
        </w:rPr>
        <w:t xml:space="preserve"> mapping) in the late dry season of 201</w:t>
      </w:r>
      <w:r w:rsidR="00302C4F">
        <w:rPr>
          <w:rFonts w:cs="Arial"/>
          <w:color w:val="000000" w:themeColor="text1"/>
        </w:rPr>
        <w:t>6</w:t>
      </w:r>
      <w:r w:rsidRPr="00A01EC1">
        <w:rPr>
          <w:rFonts w:cs="Arial"/>
          <w:color w:val="000000" w:themeColor="text1"/>
        </w:rPr>
        <w:t xml:space="preserve"> and the late </w:t>
      </w:r>
      <w:r w:rsidR="000945E8" w:rsidRPr="00A01EC1">
        <w:rPr>
          <w:rFonts w:cs="Arial"/>
          <w:color w:val="000000" w:themeColor="text1"/>
        </w:rPr>
        <w:t>wet</w:t>
      </w:r>
      <w:r w:rsidRPr="00A01EC1">
        <w:rPr>
          <w:rFonts w:cs="Arial"/>
          <w:color w:val="000000" w:themeColor="text1"/>
        </w:rPr>
        <w:t xml:space="preserve"> season of 201</w:t>
      </w:r>
      <w:r w:rsidR="00302C4F">
        <w:rPr>
          <w:rFonts w:cs="Arial"/>
          <w:color w:val="000000" w:themeColor="text1"/>
        </w:rPr>
        <w:t>7</w:t>
      </w:r>
      <w:r w:rsidRPr="00A01EC1">
        <w:rPr>
          <w:rFonts w:cs="Arial"/>
          <w:color w:val="000000" w:themeColor="text1"/>
        </w:rPr>
        <w:t xml:space="preserve"> at inshore intertidal and subtidal locations,</w:t>
      </w:r>
    </w:p>
    <w:p w14:paraId="7CAA34E9" w14:textId="552106F9" w:rsidR="003D1F7F" w:rsidRPr="00A01EC1" w:rsidRDefault="003D1F7F" w:rsidP="009F09A4">
      <w:pPr>
        <w:numPr>
          <w:ilvl w:val="0"/>
          <w:numId w:val="6"/>
        </w:numPr>
        <w:spacing w:before="60" w:after="60"/>
        <w:ind w:left="714" w:hanging="357"/>
        <w:rPr>
          <w:rFonts w:cs="Arial"/>
          <w:color w:val="000000" w:themeColor="text1"/>
        </w:rPr>
      </w:pPr>
      <w:r w:rsidRPr="00A01EC1">
        <w:rPr>
          <w:rFonts w:cs="Arial"/>
          <w:color w:val="000000" w:themeColor="text1"/>
        </w:rPr>
        <w:t>the reproductive health of the seagrass species present at inshore intertidal and subtidal locations,</w:t>
      </w:r>
    </w:p>
    <w:p w14:paraId="28BCCF99" w14:textId="1BFDE58D" w:rsidR="003D1F7F" w:rsidRPr="00A01EC1" w:rsidRDefault="003D1F7F" w:rsidP="009F09A4">
      <w:pPr>
        <w:numPr>
          <w:ilvl w:val="0"/>
          <w:numId w:val="6"/>
        </w:numPr>
        <w:spacing w:before="60" w:after="60"/>
        <w:ind w:left="714" w:hanging="357"/>
        <w:rPr>
          <w:rFonts w:cs="Arial"/>
          <w:color w:val="000000" w:themeColor="text1"/>
        </w:rPr>
      </w:pPr>
      <w:r w:rsidRPr="00A01EC1">
        <w:rPr>
          <w:rFonts w:cs="Arial"/>
          <w:color w:val="000000" w:themeColor="text1"/>
        </w:rPr>
        <w:t>tissue nutrient concentrations (carbon, nitrogen and phosphorus) and epiphyte loads of foundation seagrass species (</w:t>
      </w:r>
      <w:r w:rsidR="00BE4374" w:rsidRPr="00A01EC1">
        <w:rPr>
          <w:rFonts w:cs="Arial"/>
          <w:color w:val="000000" w:themeColor="text1"/>
        </w:rPr>
        <w:t xml:space="preserve">e.g. </w:t>
      </w:r>
      <w:r w:rsidRPr="00A01EC1">
        <w:rPr>
          <w:rFonts w:cs="Arial"/>
          <w:color w:val="000000" w:themeColor="text1"/>
        </w:rPr>
        <w:t xml:space="preserve">genus </w:t>
      </w:r>
      <w:r w:rsidRPr="00A01EC1">
        <w:rPr>
          <w:rFonts w:cs="Arial"/>
          <w:i/>
          <w:color w:val="000000" w:themeColor="text1"/>
        </w:rPr>
        <w:t>Halodule, Zostera, Cymodocea</w:t>
      </w:r>
      <w:r w:rsidRPr="00A01EC1">
        <w:rPr>
          <w:rFonts w:cs="Arial"/>
          <w:color w:val="000000" w:themeColor="text1"/>
        </w:rPr>
        <w:t>) at each inshore intertidal and subtidal location,</w:t>
      </w:r>
    </w:p>
    <w:p w14:paraId="6E74EB48" w14:textId="22AF58DA" w:rsidR="003D1F7F" w:rsidRPr="00A01EC1" w:rsidRDefault="003D1F7F" w:rsidP="009F09A4">
      <w:pPr>
        <w:numPr>
          <w:ilvl w:val="0"/>
          <w:numId w:val="6"/>
        </w:numPr>
        <w:spacing w:before="60" w:after="60"/>
        <w:ind w:left="714" w:hanging="357"/>
        <w:rPr>
          <w:rFonts w:cs="Arial"/>
          <w:color w:val="000000" w:themeColor="text1"/>
        </w:rPr>
      </w:pPr>
      <w:r w:rsidRPr="00A01EC1">
        <w:rPr>
          <w:rFonts w:cs="Arial"/>
          <w:color w:val="000000" w:themeColor="text1"/>
        </w:rPr>
        <w:t>spatial and temporal patterns in light, turbidity and temperature at sites where autonomous loggers are deployed,</w:t>
      </w:r>
    </w:p>
    <w:p w14:paraId="5305B3E8" w14:textId="3BF05745" w:rsidR="00696C43" w:rsidRPr="00A01EC1" w:rsidRDefault="00696C43" w:rsidP="009F09A4">
      <w:pPr>
        <w:numPr>
          <w:ilvl w:val="0"/>
          <w:numId w:val="6"/>
        </w:numPr>
        <w:spacing w:before="60" w:after="60"/>
        <w:ind w:left="714" w:hanging="357"/>
        <w:rPr>
          <w:rFonts w:cs="Arial"/>
          <w:color w:val="000000" w:themeColor="text1"/>
        </w:rPr>
      </w:pPr>
      <w:r w:rsidRPr="00A01EC1">
        <w:rPr>
          <w:rFonts w:cs="Arial"/>
          <w:color w:val="000000" w:themeColor="text1"/>
        </w:rPr>
        <w:t xml:space="preserve">trends in seagrass condition </w:t>
      </w:r>
    </w:p>
    <w:p w14:paraId="16732D08" w14:textId="0E50D520" w:rsidR="003D1F7F" w:rsidRPr="00A01EC1" w:rsidRDefault="003D1F7F" w:rsidP="009F09A4">
      <w:pPr>
        <w:numPr>
          <w:ilvl w:val="0"/>
          <w:numId w:val="6"/>
        </w:numPr>
        <w:spacing w:before="60" w:after="60"/>
        <w:ind w:left="714" w:hanging="357"/>
        <w:rPr>
          <w:rFonts w:cs="Arial"/>
          <w:color w:val="000000" w:themeColor="text1"/>
        </w:rPr>
      </w:pPr>
      <w:r w:rsidRPr="00A01EC1">
        <w:rPr>
          <w:rFonts w:cs="Arial"/>
          <w:color w:val="000000" w:themeColor="text1"/>
        </w:rPr>
        <w:t xml:space="preserve">seagrass community </w:t>
      </w:r>
      <w:r w:rsidR="00547ADD" w:rsidRPr="00A01EC1">
        <w:rPr>
          <w:rFonts w:cs="Arial"/>
          <w:color w:val="000000" w:themeColor="text1"/>
        </w:rPr>
        <w:t xml:space="preserve">in relation to </w:t>
      </w:r>
      <w:r w:rsidRPr="00A01EC1">
        <w:rPr>
          <w:rFonts w:cs="Arial"/>
          <w:color w:val="000000" w:themeColor="text1"/>
        </w:rPr>
        <w:t xml:space="preserve">environment </w:t>
      </w:r>
      <w:r w:rsidR="00A1555C" w:rsidRPr="00A01EC1">
        <w:rPr>
          <w:rFonts w:cs="Arial"/>
          <w:color w:val="000000" w:themeColor="text1"/>
        </w:rPr>
        <w:t>condition</w:t>
      </w:r>
      <w:r w:rsidRPr="00A01EC1">
        <w:rPr>
          <w:rFonts w:cs="Arial"/>
          <w:color w:val="000000" w:themeColor="text1"/>
        </w:rPr>
        <w:t xml:space="preserve"> and trends, and</w:t>
      </w:r>
    </w:p>
    <w:p w14:paraId="5B9359C1" w14:textId="79E5F97D" w:rsidR="003D1F7F" w:rsidRPr="00A01EC1" w:rsidRDefault="003D1F7F" w:rsidP="009F09A4">
      <w:pPr>
        <w:numPr>
          <w:ilvl w:val="0"/>
          <w:numId w:val="6"/>
        </w:numPr>
        <w:spacing w:before="60" w:after="60"/>
        <w:ind w:left="714" w:hanging="357"/>
        <w:rPr>
          <w:color w:val="000000" w:themeColor="text1"/>
          <w:szCs w:val="22"/>
        </w:rPr>
      </w:pPr>
      <w:r w:rsidRPr="00A01EC1">
        <w:rPr>
          <w:color w:val="000000" w:themeColor="text1"/>
          <w:szCs w:val="22"/>
        </w:rPr>
        <w:t>seagrass r</w:t>
      </w:r>
      <w:r w:rsidR="00E918BC">
        <w:rPr>
          <w:color w:val="000000" w:themeColor="text1"/>
          <w:szCs w:val="22"/>
        </w:rPr>
        <w:t>eport card metrics for use in the</w:t>
      </w:r>
      <w:r w:rsidRPr="00A01EC1">
        <w:rPr>
          <w:color w:val="000000" w:themeColor="text1"/>
          <w:szCs w:val="22"/>
        </w:rPr>
        <w:t xml:space="preserve"> annual Paddock to Reef report card.</w:t>
      </w:r>
    </w:p>
    <w:p w14:paraId="3EE736C0" w14:textId="4E06A8B5" w:rsidR="005132EF" w:rsidRPr="001B1783" w:rsidRDefault="005132EF" w:rsidP="00926892">
      <w:pPr>
        <w:pStyle w:val="Heading1"/>
        <w:numPr>
          <w:ilvl w:val="0"/>
          <w:numId w:val="9"/>
        </w:numPr>
        <w:rPr>
          <w:rFonts w:ascii="Century Gothic" w:hAnsi="Century Gothic"/>
        </w:rPr>
      </w:pPr>
      <w:bookmarkStart w:id="33" w:name="_Toc516053118"/>
      <w:r w:rsidRPr="001B1783">
        <w:rPr>
          <w:rFonts w:ascii="Century Gothic" w:hAnsi="Century Gothic"/>
        </w:rPr>
        <w:t>Method</w:t>
      </w:r>
      <w:r w:rsidR="001B1783" w:rsidRPr="001B1783">
        <w:rPr>
          <w:rFonts w:ascii="Century Gothic" w:hAnsi="Century Gothic"/>
        </w:rPr>
        <w:t>s summary</w:t>
      </w:r>
      <w:bookmarkEnd w:id="18"/>
      <w:bookmarkEnd w:id="19"/>
      <w:bookmarkEnd w:id="20"/>
      <w:bookmarkEnd w:id="21"/>
      <w:bookmarkEnd w:id="33"/>
    </w:p>
    <w:p w14:paraId="472C4455" w14:textId="77777777" w:rsidR="003D1F7F" w:rsidRPr="0050419F" w:rsidRDefault="003D1F7F" w:rsidP="003D1F7F">
      <w:pPr>
        <w:spacing w:before="240"/>
        <w:rPr>
          <w:color w:val="000000" w:themeColor="text1"/>
          <w:szCs w:val="22"/>
          <w:lang w:val="en-US"/>
        </w:rPr>
      </w:pPr>
      <w:bookmarkStart w:id="34" w:name="_Toc431493754"/>
      <w:bookmarkStart w:id="35" w:name="_Toc175991055"/>
      <w:bookmarkStart w:id="36" w:name="_Toc232845903"/>
      <w:bookmarkStart w:id="37" w:name="_Toc184101959"/>
      <w:r w:rsidRPr="0050419F">
        <w:rPr>
          <w:color w:val="000000" w:themeColor="text1"/>
          <w:szCs w:val="22"/>
          <w:lang w:val="en-US"/>
        </w:rPr>
        <w:t xml:space="preserve">In the following, an overview is given of the sample collection, preparation and analyses methods. Detailed documentation of the methods used in the MMP, including quality assurance and quality control procedures, is available in </w:t>
      </w:r>
      <w:r w:rsidRPr="0050419F">
        <w:rPr>
          <w:color w:val="000000" w:themeColor="text1"/>
          <w:lang w:val="en-US" w:eastAsia="en-AU"/>
        </w:rPr>
        <w:t>Appendix 2</w:t>
      </w:r>
      <w:r w:rsidRPr="0050419F">
        <w:rPr>
          <w:color w:val="000000" w:themeColor="text1"/>
          <w:szCs w:val="22"/>
          <w:lang w:val="en-US"/>
        </w:rPr>
        <w:t>.</w:t>
      </w:r>
    </w:p>
    <w:p w14:paraId="08464FE4" w14:textId="77777777" w:rsidR="003D1F7F" w:rsidRPr="0050419F" w:rsidRDefault="003D1F7F" w:rsidP="00926892">
      <w:pPr>
        <w:pStyle w:val="Heading2"/>
        <w:numPr>
          <w:ilvl w:val="1"/>
          <w:numId w:val="9"/>
        </w:numPr>
        <w:rPr>
          <w:rFonts w:ascii="Century Gothic" w:hAnsi="Century Gothic"/>
          <w:color w:val="000000" w:themeColor="text1"/>
        </w:rPr>
      </w:pPr>
      <w:bookmarkStart w:id="38" w:name="_Toc516053119"/>
      <w:r w:rsidRPr="0050419F">
        <w:rPr>
          <w:rFonts w:ascii="Century Gothic" w:hAnsi="Century Gothic"/>
          <w:color w:val="000000" w:themeColor="text1"/>
        </w:rPr>
        <w:t xml:space="preserve">Climate and environmental </w:t>
      </w:r>
      <w:r w:rsidR="00BB52BF" w:rsidRPr="0050419F">
        <w:rPr>
          <w:rFonts w:ascii="Century Gothic" w:hAnsi="Century Gothic"/>
          <w:color w:val="000000" w:themeColor="text1"/>
        </w:rPr>
        <w:t>pressures</w:t>
      </w:r>
      <w:bookmarkEnd w:id="38"/>
    </w:p>
    <w:p w14:paraId="069BCA73" w14:textId="76A30238" w:rsidR="00E918BC" w:rsidRPr="00A12DFC" w:rsidRDefault="007231A4" w:rsidP="00E918BC">
      <w:pPr>
        <w:pStyle w:val="CommentText"/>
        <w:rPr>
          <w:sz w:val="22"/>
          <w:szCs w:val="22"/>
        </w:rPr>
      </w:pPr>
      <w:r w:rsidRPr="00A12DFC">
        <w:rPr>
          <w:color w:val="000000" w:themeColor="text1"/>
          <w:sz w:val="22"/>
          <w:szCs w:val="22"/>
        </w:rPr>
        <w:t xml:space="preserve">Climate and environmental </w:t>
      </w:r>
      <w:r w:rsidR="00231466" w:rsidRPr="00A12DFC">
        <w:rPr>
          <w:color w:val="000000" w:themeColor="text1"/>
          <w:sz w:val="22"/>
          <w:szCs w:val="22"/>
        </w:rPr>
        <w:t>pressures</w:t>
      </w:r>
      <w:r w:rsidRPr="00A12DFC">
        <w:rPr>
          <w:color w:val="000000" w:themeColor="text1"/>
          <w:sz w:val="22"/>
          <w:szCs w:val="22"/>
        </w:rPr>
        <w:t xml:space="preserve"> affect seagrass condition and resilience</w:t>
      </w:r>
      <w:r w:rsidR="00231466" w:rsidRPr="00A12DFC">
        <w:rPr>
          <w:color w:val="000000" w:themeColor="text1"/>
          <w:sz w:val="22"/>
          <w:szCs w:val="22"/>
        </w:rPr>
        <w:t xml:space="preserve"> (</w:t>
      </w:r>
      <w:r w:rsidR="00231466" w:rsidRPr="00A12DFC">
        <w:rPr>
          <w:color w:val="000000" w:themeColor="text1"/>
          <w:sz w:val="22"/>
          <w:szCs w:val="22"/>
        </w:rPr>
        <w:fldChar w:fldCharType="begin"/>
      </w:r>
      <w:r w:rsidR="00231466" w:rsidRPr="00A12DFC">
        <w:rPr>
          <w:color w:val="000000" w:themeColor="text1"/>
          <w:sz w:val="22"/>
          <w:szCs w:val="22"/>
        </w:rPr>
        <w:instrText xml:space="preserve"> REF _Ref179269924 \h </w:instrText>
      </w:r>
      <w:r w:rsidR="00A12DFC">
        <w:rPr>
          <w:color w:val="000000" w:themeColor="text1"/>
          <w:sz w:val="22"/>
          <w:szCs w:val="22"/>
        </w:rPr>
        <w:instrText xml:space="preserve"> \* MERGEFORMAT </w:instrText>
      </w:r>
      <w:r w:rsidR="00231466" w:rsidRPr="00A12DFC">
        <w:rPr>
          <w:color w:val="000000" w:themeColor="text1"/>
          <w:sz w:val="22"/>
          <w:szCs w:val="22"/>
        </w:rPr>
      </w:r>
      <w:r w:rsidR="00231466" w:rsidRPr="00A12DFC">
        <w:rPr>
          <w:color w:val="000000" w:themeColor="text1"/>
          <w:sz w:val="22"/>
          <w:szCs w:val="22"/>
        </w:rPr>
        <w:fldChar w:fldCharType="separate"/>
      </w:r>
      <w:r w:rsidR="00F87DF9" w:rsidRPr="00F87DF9">
        <w:rPr>
          <w:color w:val="000000"/>
          <w:sz w:val="22"/>
          <w:szCs w:val="22"/>
        </w:rPr>
        <w:t xml:space="preserve">Figure </w:t>
      </w:r>
      <w:r w:rsidR="00F87DF9" w:rsidRPr="00F87DF9">
        <w:rPr>
          <w:noProof/>
          <w:color w:val="000000"/>
          <w:sz w:val="22"/>
          <w:szCs w:val="22"/>
        </w:rPr>
        <w:t>2</w:t>
      </w:r>
      <w:r w:rsidR="00231466" w:rsidRPr="00A12DFC">
        <w:rPr>
          <w:color w:val="000000" w:themeColor="text1"/>
          <w:sz w:val="22"/>
          <w:szCs w:val="22"/>
        </w:rPr>
        <w:fldChar w:fldCharType="end"/>
      </w:r>
      <w:r w:rsidR="00231466" w:rsidRPr="00A12DFC">
        <w:rPr>
          <w:color w:val="000000" w:themeColor="text1"/>
          <w:sz w:val="22"/>
          <w:szCs w:val="22"/>
        </w:rPr>
        <w:t xml:space="preserve">). The pressures of greatest concern are: physical disturbance (cyclones and benthic sheer stress) water quality (turbidity/light and nutrients), water temperature, low tide exposure and sediment type. </w:t>
      </w:r>
      <w:r w:rsidR="00A12DFC" w:rsidRPr="00A12DFC">
        <w:rPr>
          <w:color w:val="000000" w:themeColor="text1"/>
          <w:sz w:val="22"/>
          <w:szCs w:val="22"/>
        </w:rPr>
        <w:t xml:space="preserve">The measures are either climate variables, that are generally not collected at a site-specific level, and within-canopy measures, that are recorded at each site. </w:t>
      </w:r>
      <w:r w:rsidR="00A12DFC">
        <w:rPr>
          <w:color w:val="000000" w:themeColor="text1"/>
          <w:sz w:val="22"/>
          <w:szCs w:val="22"/>
        </w:rPr>
        <w:t xml:space="preserve">The data source and sampling frequency is summarised in </w:t>
      </w:r>
      <w:r w:rsidR="005055DC">
        <w:rPr>
          <w:color w:val="000000" w:themeColor="text1"/>
          <w:sz w:val="22"/>
          <w:szCs w:val="22"/>
        </w:rPr>
        <w:fldChar w:fldCharType="begin"/>
      </w:r>
      <w:r w:rsidR="005055DC">
        <w:rPr>
          <w:color w:val="000000" w:themeColor="text1"/>
          <w:sz w:val="22"/>
          <w:szCs w:val="22"/>
        </w:rPr>
        <w:instrText xml:space="preserve"> REF _Ref461015425 \h </w:instrText>
      </w:r>
      <w:r w:rsidR="005055DC">
        <w:rPr>
          <w:color w:val="000000" w:themeColor="text1"/>
          <w:sz w:val="22"/>
          <w:szCs w:val="22"/>
        </w:rPr>
      </w:r>
      <w:r w:rsidR="005055DC">
        <w:rPr>
          <w:color w:val="000000" w:themeColor="text1"/>
          <w:sz w:val="22"/>
          <w:szCs w:val="22"/>
        </w:rPr>
        <w:fldChar w:fldCharType="separate"/>
      </w:r>
      <w:r w:rsidR="00F87DF9">
        <w:t xml:space="preserve">Table </w:t>
      </w:r>
      <w:r w:rsidR="00F87DF9">
        <w:rPr>
          <w:noProof/>
        </w:rPr>
        <w:t>2</w:t>
      </w:r>
      <w:r w:rsidR="005055DC">
        <w:rPr>
          <w:color w:val="000000" w:themeColor="text1"/>
          <w:sz w:val="22"/>
          <w:szCs w:val="22"/>
        </w:rPr>
        <w:fldChar w:fldCharType="end"/>
      </w:r>
      <w:r w:rsidR="00A12DFC">
        <w:rPr>
          <w:color w:val="000000" w:themeColor="text1"/>
          <w:sz w:val="22"/>
          <w:szCs w:val="22"/>
        </w:rPr>
        <w:t xml:space="preserve">. </w:t>
      </w:r>
    </w:p>
    <w:p w14:paraId="3603F008" w14:textId="4673030F" w:rsidR="007231A4" w:rsidRPr="007231A4" w:rsidRDefault="007231A4" w:rsidP="007231A4">
      <w:pPr>
        <w:rPr>
          <w:rFonts w:ascii="Century Gothic" w:hAnsi="Century Gothic"/>
          <w:b/>
        </w:rPr>
      </w:pPr>
      <w:r w:rsidRPr="007231A4">
        <w:rPr>
          <w:rFonts w:ascii="Century Gothic" w:hAnsi="Century Gothic"/>
          <w:b/>
        </w:rPr>
        <w:t>Climate</w:t>
      </w:r>
    </w:p>
    <w:p w14:paraId="0C739D98" w14:textId="27CB0590" w:rsidR="003D1F7F" w:rsidRPr="0050419F" w:rsidRDefault="00302C4F" w:rsidP="003D1F7F">
      <w:pPr>
        <w:rPr>
          <w:color w:val="000000" w:themeColor="text1"/>
          <w:szCs w:val="22"/>
        </w:rPr>
      </w:pPr>
      <w:r>
        <w:rPr>
          <w:color w:val="000000" w:themeColor="text1"/>
          <w:szCs w:val="22"/>
        </w:rPr>
        <w:t>T</w:t>
      </w:r>
      <w:r w:rsidR="003D1F7F" w:rsidRPr="0050419F">
        <w:rPr>
          <w:color w:val="000000" w:themeColor="text1"/>
          <w:szCs w:val="22"/>
        </w:rPr>
        <w:t>otal daily rainfall, 3pm wind speed, and cyclone tracks were accessed from the Australian Bureau of Meteorology from meteorological stations which were proximal to monitoring locations (</w:t>
      </w:r>
      <w:r w:rsidR="00E51B48" w:rsidRPr="0050419F">
        <w:rPr>
          <w:color w:val="000000" w:themeColor="text1"/>
          <w:szCs w:val="22"/>
        </w:rPr>
        <w:fldChar w:fldCharType="begin"/>
      </w:r>
      <w:r w:rsidR="00E51B48" w:rsidRPr="0050419F">
        <w:rPr>
          <w:color w:val="000000" w:themeColor="text1"/>
          <w:szCs w:val="22"/>
        </w:rPr>
        <w:instrText xml:space="preserve"> REF _Ref461015425 \h  \* MERGEFORMAT </w:instrText>
      </w:r>
      <w:r w:rsidR="00E51B48" w:rsidRPr="0050419F">
        <w:rPr>
          <w:color w:val="000000" w:themeColor="text1"/>
          <w:szCs w:val="22"/>
        </w:rPr>
      </w:r>
      <w:r w:rsidR="00E51B48" w:rsidRPr="0050419F">
        <w:rPr>
          <w:color w:val="000000" w:themeColor="text1"/>
          <w:szCs w:val="22"/>
        </w:rPr>
        <w:fldChar w:fldCharType="separate"/>
      </w:r>
      <w:r w:rsidR="00F87DF9" w:rsidRPr="00F87DF9">
        <w:rPr>
          <w:color w:val="000000" w:themeColor="text1"/>
          <w:szCs w:val="22"/>
        </w:rPr>
        <w:t xml:space="preserve">Table </w:t>
      </w:r>
      <w:r w:rsidR="00F87DF9" w:rsidRPr="00F87DF9">
        <w:rPr>
          <w:noProof/>
          <w:color w:val="000000" w:themeColor="text1"/>
          <w:szCs w:val="22"/>
        </w:rPr>
        <w:t>2</w:t>
      </w:r>
      <w:r w:rsidR="00E51B48" w:rsidRPr="0050419F">
        <w:rPr>
          <w:color w:val="000000" w:themeColor="text1"/>
          <w:szCs w:val="22"/>
        </w:rPr>
        <w:fldChar w:fldCharType="end"/>
      </w:r>
      <w:r w:rsidR="003D1F7F" w:rsidRPr="0050419F">
        <w:rPr>
          <w:color w:val="000000" w:themeColor="text1"/>
          <w:szCs w:val="22"/>
        </w:rPr>
        <w:t xml:space="preserve">). As the height of locally produced, short-period wind-waves can be the dominant factor controlling suspended sediment on inner-shelf of the </w:t>
      </w:r>
      <w:r w:rsidR="007F6948">
        <w:rPr>
          <w:color w:val="000000" w:themeColor="text1"/>
          <w:szCs w:val="22"/>
        </w:rPr>
        <w:t>Great Barrier Reef</w:t>
      </w:r>
      <w:r w:rsidR="003D1F7F" w:rsidRPr="0050419F">
        <w:rPr>
          <w:color w:val="000000" w:themeColor="text1"/>
          <w:szCs w:val="22"/>
        </w:rPr>
        <w:t xml:space="preserve"> (</w:t>
      </w:r>
      <w:hyperlink w:anchor="_ENREF_128" w:tooltip="Larcombe, 1995 #9686"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&lt;EndNote&gt;&lt;Cite&gt;&lt;Author&gt;Larcombe&lt;/Author&gt;&lt;Year&gt;1995&lt;/Year&gt;&lt;RecNum&gt;9686&lt;/RecNum&gt;&lt;DisplayText&gt;Larcombe&lt;style face="italic"&gt; et al.&lt;/style&gt; 1995&lt;/DisplayText&gt;&lt;record&gt;&lt;rec-number&gt;9686&lt;/rec-number&gt;&lt;foreign-keys&gt;&lt;key app="EN" db-id="0eve55x9y5vfd6e9dacxtew4eatve2dzds9a" timestamp="1392796748"&gt;9686&lt;/key&gt;&lt;/foreign-keys&gt;&lt;ref-type name="Journal Article"&gt;17&lt;/ref-type&gt;&lt;contributors&gt;&lt;authors&gt;&lt;author&gt;Larcombe, P.&lt;/author&gt;&lt;author&gt;Ridd, P. V.&lt;/author&gt;&lt;author&gt;Prytz, A.&lt;/author&gt;&lt;author&gt;Wilson, B.&lt;/author&gt;&lt;/authors&gt;&lt;/contributors&gt;&lt;titles&gt;&lt;title&gt;Factors controlling suspended sediment on inner-shelf coral reefs, Townsville, Australia&lt;/title&gt;&lt;secondary-title&gt;Coral Reefs&lt;/secondary-title&gt;&lt;alt-title&gt;Coral Reefs&lt;/alt-title&gt;&lt;/titles&gt;&lt;periodical&gt;&lt;full-title&gt;Coral Reefs&lt;/full-title&gt;&lt;/periodical&gt;&lt;alt-periodical&gt;&lt;full-title&gt;Coral Reefs&lt;/full-title&gt;&lt;/alt-periodical&gt;&lt;pages&gt;163-171&lt;/pages&gt;&lt;volume&gt;14&lt;/volume&gt;&lt;number&gt;3&lt;/number&gt;&lt;dates&gt;&lt;year&gt;1995&lt;/year&gt;&lt;pub-dates&gt;&lt;date&gt;1995/09/01&lt;/date&gt;&lt;/pub-dates&gt;&lt;/dates&gt;&lt;publisher&gt;Springer-Verlag&lt;/publisher&gt;&lt;isbn&gt;0722-4028&lt;/isbn&gt;&lt;urls&gt;&lt;related-urls&gt;&lt;url&gt;http://dx.doi.org/10.1007/BF00367235&lt;/url&gt;&lt;/related-urls&gt;&lt;/urls&gt;&lt;electronic-resource-num&gt;10.1007/bf00367235&lt;/electronic-resource-num&gt;&lt;language&gt;English&lt;/language&gt;&lt;/record&gt;&lt;/Cite&gt;&lt;/EndNote&gt;</w:instrText>
        </w:r>
        <w:r w:rsidR="00305FE7" w:rsidRPr="0050419F">
          <w:rPr>
            <w:color w:val="000000" w:themeColor="text1"/>
            <w:szCs w:val="22"/>
          </w:rPr>
          <w:fldChar w:fldCharType="separate"/>
        </w:r>
        <w:r w:rsidR="00305FE7" w:rsidRPr="0050419F">
          <w:rPr>
            <w:noProof/>
            <w:color w:val="000000" w:themeColor="text1"/>
            <w:szCs w:val="22"/>
          </w:rPr>
          <w:t>Larcombe</w:t>
        </w:r>
        <w:r w:rsidR="00305FE7" w:rsidRPr="0050419F">
          <w:rPr>
            <w:i/>
            <w:noProof/>
            <w:color w:val="000000" w:themeColor="text1"/>
            <w:szCs w:val="22"/>
          </w:rPr>
          <w:t xml:space="preserve"> et al.</w:t>
        </w:r>
        <w:r w:rsidR="00305FE7" w:rsidRPr="0050419F">
          <w:rPr>
            <w:noProof/>
            <w:color w:val="000000" w:themeColor="text1"/>
            <w:szCs w:val="22"/>
          </w:rPr>
          <w:t xml:space="preserve"> 1995</w:t>
        </w:r>
        <w:r w:rsidR="00305FE7" w:rsidRPr="0050419F">
          <w:rPr>
            <w:color w:val="000000" w:themeColor="text1"/>
            <w:szCs w:val="22"/>
          </w:rPr>
          <w:fldChar w:fldCharType="end"/>
        </w:r>
      </w:hyperlink>
      <w:r w:rsidR="003D1F7F" w:rsidRPr="0050419F">
        <w:rPr>
          <w:color w:val="000000" w:themeColor="text1"/>
          <w:szCs w:val="22"/>
        </w:rPr>
        <w:t xml:space="preserve">; </w:t>
      </w:r>
      <w:hyperlink w:anchor="_ENREF_240" w:tooltip="Whinney, 2007 #9690"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&lt;EndNote&gt;&lt;Cite&gt;&lt;Author&gt;Whinney&lt;/Author&gt;&lt;Year&gt;2007&lt;/Year&gt;&lt;RecNum&gt;9690&lt;/RecNum&gt;&lt;DisplayText&gt;Whinney 2007&lt;/DisplayText&gt;&lt;record&gt;&lt;rec-number&gt;9690&lt;/rec-number&gt;&lt;foreign-keys&gt;&lt;key app="EN" db-id="0eve55x9y5vfd6e9dacxtew4eatve2dzds9a" timestamp="1392800270"&gt;9690&lt;/key&gt;&lt;/foreign-keys&gt;&lt;ref-type name="Thesis"&gt;32&lt;/ref-type&gt;&lt;contributors&gt;&lt;authors&gt;&lt;author&gt;Whinney, J&lt;/author&gt;&lt;/authors&gt;&lt;/contributors&gt;&lt;titles&gt;&lt;title&gt;Physical conditions on marginal coral reefs.&lt;/title&gt;&lt;secondary-title&gt;School of Mathematics, Physics, and Information Technology&lt;/secondary-title&gt;&lt;/titles&gt;&lt;pages&gt;143&lt;/pages&gt;&lt;volume&gt;PhD&lt;/volume&gt;&lt;dates&gt;&lt;year&gt;2007&lt;/year&gt;&lt;/dates&gt;&lt;pub-location&gt;Townsville&lt;/pub-location&gt;&lt;publisher&gt;James Cook University&lt;/publisher&gt;&lt;urls&gt;&lt;/urls&gt;&lt;/record&gt;&lt;/Cite&gt;&lt;/EndNote&gt;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Whinney 2007</w:t>
        </w:r>
        <w:r w:rsidR="00305FE7" w:rsidRPr="0050419F">
          <w:rPr>
            <w:color w:val="000000" w:themeColor="text1"/>
            <w:szCs w:val="22"/>
          </w:rPr>
          <w:fldChar w:fldCharType="end"/>
        </w:r>
      </w:hyperlink>
      <w:r w:rsidR="003D1F7F" w:rsidRPr="0050419F">
        <w:rPr>
          <w:color w:val="000000" w:themeColor="text1"/>
          <w:szCs w:val="22"/>
        </w:rPr>
        <w:t>), the number of days wind speed exceeded 25km hr</w:t>
      </w:r>
      <w:r w:rsidR="003D1F7F" w:rsidRPr="0050419F">
        <w:rPr>
          <w:color w:val="000000" w:themeColor="text1"/>
          <w:szCs w:val="22"/>
          <w:vertAlign w:val="superscript"/>
        </w:rPr>
        <w:t>-1</w:t>
      </w:r>
      <w:r w:rsidR="003D1F7F" w:rsidRPr="0050419F">
        <w:rPr>
          <w:color w:val="000000" w:themeColor="text1"/>
          <w:szCs w:val="22"/>
        </w:rPr>
        <w:t xml:space="preserve"> was used as a surrogate for elevated resuspension pressure on inshore seagrass meadows. Moderate sea state with winds &gt;25km hr</w:t>
      </w:r>
      <w:r w:rsidR="003D1F7F" w:rsidRPr="0050419F">
        <w:rPr>
          <w:color w:val="000000" w:themeColor="text1"/>
          <w:szCs w:val="22"/>
          <w:vertAlign w:val="superscript"/>
        </w:rPr>
        <w:t>-1</w:t>
      </w:r>
      <w:r w:rsidR="003D1F7F" w:rsidRPr="0050419F">
        <w:rPr>
          <w:color w:val="000000" w:themeColor="text1"/>
          <w:szCs w:val="22"/>
        </w:rPr>
        <w:t xml:space="preserve"> can elevate turbidity by three orders of magnitude in the inshore coastal areas of the </w:t>
      </w:r>
      <w:r w:rsidR="007F6948">
        <w:rPr>
          <w:color w:val="000000" w:themeColor="text1"/>
          <w:szCs w:val="22"/>
        </w:rPr>
        <w:t>Great Barrier Reef</w:t>
      </w:r>
      <w:r w:rsidR="003D1F7F" w:rsidRPr="0050419F">
        <w:rPr>
          <w:color w:val="000000" w:themeColor="text1"/>
          <w:szCs w:val="22"/>
        </w:rPr>
        <w:t xml:space="preserve"> (</w:t>
      </w:r>
      <w:hyperlink w:anchor="_ENREF_181" w:tooltip="Orpin, 2004 #9687"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&lt;EndNote&gt;&lt;Cite&gt;&lt;Author&gt;Orpin&lt;/Author&gt;&lt;Year&gt;2004&lt;/Year&gt;&lt;RecNum&gt;9687&lt;/RecNum&gt;&lt;DisplayText&gt;Orpin&lt;style face="italic"&gt; et al.&lt;/style&gt; 2004&lt;/DisplayText&gt;&lt;record&gt;&lt;rec-number&gt;9687&lt;/rec-number&gt;&lt;foreign-keys&gt;&lt;key app="EN" db-id="0eve55x9y5vfd6e9dacxtew4eatve2dzds9a" timestamp="1392796845"&gt;9687&lt;/key&gt;&lt;/foreign-keys&gt;&lt;ref-type name="Journal Article"&gt;17&lt;/ref-type&gt;&lt;contributors&gt;&lt;authors&gt;&lt;author&gt;Orpin, Alan R.&lt;/author&gt;&lt;author&gt;Ridd, Peter V.&lt;/author&gt;&lt;author&gt;Thomas, Séverine&lt;/author&gt;&lt;author&gt;Anthony, Kenneth R. N.&lt;/author&gt;&lt;author&gt;Marshall, Paul&lt;/author&gt;&lt;author&gt;Oliver, Jamie&lt;/author&gt;&lt;/authors&gt;&lt;/contributors&gt;&lt;titles&gt;&lt;title&gt;Natural turbidity variability and weather forecasts in risk management of anthropogenic sediment discharge near sensitive environments&lt;/title&gt;&lt;secondary-title&gt;Marine Pollution Bulletin&lt;/secondary-title&gt;&lt;/titles&gt;&lt;periodical&gt;&lt;full-title&gt;Marine Pollution Bulletin&lt;/full-title&gt;&lt;/periodical&gt;&lt;pages&gt;602-612&lt;/pages&gt;&lt;volume&gt;49&lt;/volume&gt;&lt;number&gt;7–8&lt;/number&gt;&lt;keywords&gt;&lt;keyword&gt;Great Barrier Reef&lt;/keyword&gt;&lt;keyword&gt;Coastal development&lt;/keyword&gt;&lt;keyword&gt;Impact management&lt;/keyword&gt;&lt;keyword&gt;Turbidity&lt;/keyword&gt;&lt;keyword&gt;Sediment&lt;/keyword&gt;&lt;keyword&gt;Coral reef&lt;/keyword&gt;&lt;/keywords&gt;&lt;dates&gt;&lt;year&gt;2004&lt;/year&gt;&lt;/dates&gt;&lt;isbn&gt;0025-326X&lt;/isbn&gt;&lt;urls&gt;&lt;related-urls&gt;&lt;url&gt;http://www.sciencedirect.com/science/article/pii/S0025326X04001304&lt;/url&gt;&lt;/related-urls&gt;&lt;/urls&gt;&lt;electronic-resource-num&gt;http://dx.doi.org/10.1016/j.marpolbul.2004.03.020&lt;/electronic-resource-num&gt;&lt;/record&gt;&lt;/Cite&gt;&lt;/EndNote&gt;</w:instrText>
        </w:r>
        <w:r w:rsidR="00305FE7" w:rsidRPr="0050419F">
          <w:rPr>
            <w:color w:val="000000" w:themeColor="text1"/>
            <w:szCs w:val="22"/>
          </w:rPr>
          <w:fldChar w:fldCharType="separate"/>
        </w:r>
        <w:r w:rsidR="00305FE7" w:rsidRPr="0050419F">
          <w:rPr>
            <w:noProof/>
            <w:color w:val="000000" w:themeColor="text1"/>
            <w:szCs w:val="22"/>
          </w:rPr>
          <w:t>Orpin</w:t>
        </w:r>
        <w:r w:rsidR="00305FE7" w:rsidRPr="0050419F">
          <w:rPr>
            <w:i/>
            <w:noProof/>
            <w:color w:val="000000" w:themeColor="text1"/>
            <w:szCs w:val="22"/>
          </w:rPr>
          <w:t xml:space="preserve"> et al.</w:t>
        </w:r>
        <w:r w:rsidR="00305FE7" w:rsidRPr="0050419F">
          <w:rPr>
            <w:noProof/>
            <w:color w:val="000000" w:themeColor="text1"/>
            <w:szCs w:val="22"/>
          </w:rPr>
          <w:t xml:space="preserve"> 2004</w:t>
        </w:r>
        <w:r w:rsidR="00305FE7" w:rsidRPr="0050419F">
          <w:rPr>
            <w:color w:val="000000" w:themeColor="text1"/>
            <w:szCs w:val="22"/>
          </w:rPr>
          <w:fldChar w:fldCharType="end"/>
        </w:r>
      </w:hyperlink>
      <w:r w:rsidR="003D1F7F" w:rsidRPr="0050419F">
        <w:rPr>
          <w:color w:val="000000" w:themeColor="text1"/>
          <w:szCs w:val="22"/>
        </w:rPr>
        <w:t xml:space="preserve">). To determine if the tidal exposure regime may be increasing stress on seagrass and </w:t>
      </w:r>
      <w:r w:rsidR="00696C43" w:rsidRPr="0050419F">
        <w:rPr>
          <w:color w:val="000000" w:themeColor="text1"/>
          <w:szCs w:val="22"/>
        </w:rPr>
        <w:t xml:space="preserve">hence drive </w:t>
      </w:r>
      <w:r w:rsidR="003D1F7F" w:rsidRPr="0050419F">
        <w:rPr>
          <w:color w:val="000000" w:themeColor="text1"/>
          <w:szCs w:val="22"/>
        </w:rPr>
        <w:t xml:space="preserve">decline, </w:t>
      </w:r>
      <w:r w:rsidR="003D1F7F" w:rsidRPr="0050419F">
        <w:rPr>
          <w:rFonts w:cs="Calibri"/>
          <w:color w:val="000000" w:themeColor="text1"/>
          <w:szCs w:val="22"/>
          <w:lang w:eastAsia="en-AU"/>
        </w:rPr>
        <w:t>tidal height observations were accessed from Maritime Safety Queensland and duration of annual exposure (hours) was determined for each meadow (i.e. monitoring site)</w:t>
      </w:r>
      <w:r w:rsidR="00696C43" w:rsidRPr="0050419F">
        <w:rPr>
          <w:rFonts w:cs="Calibri"/>
          <w:color w:val="000000" w:themeColor="text1"/>
          <w:szCs w:val="22"/>
          <w:lang w:eastAsia="en-AU"/>
        </w:rPr>
        <w:t>,</w:t>
      </w:r>
      <w:r w:rsidR="003D1F7F" w:rsidRPr="0050419F">
        <w:rPr>
          <w:rFonts w:cs="Calibri"/>
          <w:color w:val="000000" w:themeColor="text1"/>
          <w:szCs w:val="22"/>
          <w:lang w:eastAsia="en-AU"/>
        </w:rPr>
        <w:t xml:space="preserve"> based on the meadows height relative to the Lowest Astronomical Tide (Appendix </w:t>
      </w:r>
      <w:r w:rsidR="00EB19B4" w:rsidRPr="0050419F">
        <w:rPr>
          <w:rFonts w:cs="Calibri"/>
          <w:color w:val="000000" w:themeColor="text1"/>
          <w:szCs w:val="22"/>
          <w:lang w:eastAsia="en-AU"/>
        </w:rPr>
        <w:t xml:space="preserve">2, </w:t>
      </w:r>
      <w:r w:rsidR="00EB19B4" w:rsidRPr="0050419F">
        <w:rPr>
          <w:rFonts w:cs="Calibri"/>
          <w:color w:val="000000" w:themeColor="text1"/>
          <w:szCs w:val="22"/>
          <w:lang w:eastAsia="en-AU"/>
        </w:rPr>
        <w:fldChar w:fldCharType="begin"/>
      </w:r>
      <w:r w:rsidR="00EB19B4" w:rsidRPr="0050419F">
        <w:rPr>
          <w:rFonts w:cs="Calibri"/>
          <w:color w:val="000000" w:themeColor="text1"/>
          <w:szCs w:val="22"/>
          <w:lang w:eastAsia="en-AU"/>
        </w:rPr>
        <w:instrText xml:space="preserve"> REF _Ref409806677 \h </w:instrText>
      </w:r>
      <w:r w:rsidR="00E51B48" w:rsidRPr="0050419F">
        <w:rPr>
          <w:rFonts w:cs="Calibri"/>
          <w:color w:val="000000" w:themeColor="text1"/>
          <w:szCs w:val="22"/>
          <w:lang w:eastAsia="en-AU"/>
        </w:rPr>
        <w:instrText xml:space="preserve"> \* MERGEFORMAT </w:instrText>
      </w:r>
      <w:r w:rsidR="00EB19B4" w:rsidRPr="0050419F">
        <w:rPr>
          <w:rFonts w:cs="Calibri"/>
          <w:color w:val="000000" w:themeColor="text1"/>
          <w:szCs w:val="22"/>
          <w:lang w:eastAsia="en-AU"/>
        </w:rPr>
      </w:r>
      <w:r w:rsidR="00EB19B4" w:rsidRPr="0050419F">
        <w:rPr>
          <w:rFonts w:cs="Calibri"/>
          <w:color w:val="000000" w:themeColor="text1"/>
          <w:szCs w:val="22"/>
          <w:lang w:eastAsia="en-AU"/>
        </w:rPr>
        <w:fldChar w:fldCharType="separate"/>
      </w:r>
      <w:r w:rsidR="00F87DF9" w:rsidRPr="00F87DF9">
        <w:rPr>
          <w:color w:val="000000" w:themeColor="text1"/>
          <w:szCs w:val="22"/>
        </w:rPr>
        <w:t xml:space="preserve">Table </w:t>
      </w:r>
      <w:r w:rsidR="00F87DF9" w:rsidRPr="00F87DF9">
        <w:rPr>
          <w:noProof/>
          <w:color w:val="000000" w:themeColor="text1"/>
          <w:szCs w:val="22"/>
        </w:rPr>
        <w:t>51</w:t>
      </w:r>
      <w:r w:rsidR="00EB19B4" w:rsidRPr="0050419F">
        <w:rPr>
          <w:rFonts w:cs="Calibri"/>
          <w:color w:val="000000" w:themeColor="text1"/>
          <w:szCs w:val="22"/>
          <w:lang w:eastAsia="en-AU"/>
        </w:rPr>
        <w:fldChar w:fldCharType="end"/>
      </w:r>
      <w:r w:rsidR="003D1F7F" w:rsidRPr="0050419F">
        <w:rPr>
          <w:rFonts w:cs="Calibri"/>
          <w:color w:val="000000" w:themeColor="text1"/>
          <w:szCs w:val="22"/>
          <w:lang w:eastAsia="en-AU"/>
        </w:rPr>
        <w:t>).</w:t>
      </w:r>
    </w:p>
    <w:p w14:paraId="4A7199CC" w14:textId="32A13EDA" w:rsidR="003D1F7F" w:rsidRPr="0050419F" w:rsidRDefault="003D1F7F" w:rsidP="003D1F7F">
      <w:pPr>
        <w:rPr>
          <w:color w:val="000000" w:themeColor="text1"/>
          <w:szCs w:val="22"/>
        </w:rPr>
      </w:pPr>
      <w:r w:rsidRPr="0050419F">
        <w:rPr>
          <w:color w:val="000000" w:themeColor="text1"/>
          <w:szCs w:val="22"/>
        </w:rPr>
        <w:t xml:space="preserve">The presence of inshore seagrass meadows along the </w:t>
      </w:r>
      <w:r w:rsidR="007F6948">
        <w:rPr>
          <w:color w:val="000000" w:themeColor="text1"/>
          <w:szCs w:val="22"/>
        </w:rPr>
        <w:t>Great Barrier Reef</w:t>
      </w:r>
      <w:r w:rsidRPr="0050419F">
        <w:rPr>
          <w:color w:val="000000" w:themeColor="text1"/>
          <w:szCs w:val="22"/>
        </w:rPr>
        <w:t xml:space="preserve"> places them at high risk of exposure to waters from adjacent watersheds and exposure to flood plumes </w:t>
      </w:r>
      <w:r w:rsidR="00696C43" w:rsidRPr="0050419F">
        <w:rPr>
          <w:color w:val="000000" w:themeColor="text1"/>
          <w:szCs w:val="22"/>
        </w:rPr>
        <w:t>is likely to</w:t>
      </w:r>
      <w:r w:rsidRPr="0050419F">
        <w:rPr>
          <w:color w:val="000000" w:themeColor="text1"/>
          <w:szCs w:val="22"/>
        </w:rPr>
        <w:t xml:space="preserve"> be a significant factor in structuring inshore seagrass communities (</w:t>
      </w:r>
      <w:r w:rsidR="00644A84" w:rsidRPr="0050419F">
        <w:rPr>
          <w:color w:val="000000" w:themeColor="text1"/>
          <w:szCs w:val="22"/>
        </w:rPr>
        <w:fldChar w:fldCharType="begin">
          <w:fldData xml:space="preserve">PEVuZE5vdGU+PENpdGU+PEF1dGhvcj5Db2xsaWVyPC9BdXRob3I+PFllYXI+MjAxNDwvWWVhcj48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</w:fldData>
        </w:fldChar>
      </w:r>
      <w:r w:rsidR="00521D93">
        <w:rPr>
          <w:color w:val="000000" w:themeColor="text1"/>
          <w:szCs w:val="22"/>
        </w:rPr>
        <w:instrText xml:space="preserve"> ADDIN EN.CITE </w:instrText>
      </w:r>
      <w:r w:rsidR="00521D93">
        <w:rPr>
          <w:color w:val="000000" w:themeColor="text1"/>
          <w:szCs w:val="22"/>
        </w:rPr>
        <w:fldChar w:fldCharType="begin">
          <w:fldData xml:space="preserve">PEVuZE5vdGU+PENpdGU+PEF1dGhvcj5Db2xsaWVyPC9BdXRob3I+PFllYXI+MjAxNDwvWWVhcj48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</w:fldData>
        </w:fldChar>
      </w:r>
      <w:r w:rsidR="00521D93">
        <w:rPr>
          <w:color w:val="000000" w:themeColor="text1"/>
          <w:szCs w:val="22"/>
        </w:rPr>
        <w:instrText xml:space="preserve"> ADDIN EN.CITE.DATA </w:instrText>
      </w:r>
      <w:r w:rsidR="00521D93">
        <w:rPr>
          <w:color w:val="000000" w:themeColor="text1"/>
          <w:szCs w:val="22"/>
        </w:rPr>
      </w:r>
      <w:r w:rsidR="00521D93">
        <w:rPr>
          <w:color w:val="000000" w:themeColor="text1"/>
          <w:szCs w:val="22"/>
        </w:rPr>
        <w:fldChar w:fldCharType="end"/>
      </w:r>
      <w:r w:rsidR="00644A84" w:rsidRPr="0050419F">
        <w:rPr>
          <w:color w:val="000000" w:themeColor="text1"/>
          <w:szCs w:val="22"/>
        </w:rPr>
      </w:r>
      <w:r w:rsidR="00644A84" w:rsidRPr="0050419F">
        <w:rPr>
          <w:color w:val="000000" w:themeColor="text1"/>
          <w:szCs w:val="22"/>
        </w:rPr>
        <w:fldChar w:fldCharType="separate"/>
      </w:r>
      <w:hyperlink w:anchor="_ENREF_52" w:tooltip="Collier, 2014 #9685" w:history="1">
        <w:r w:rsidR="00305FE7">
          <w:rPr>
            <w:noProof/>
            <w:color w:val="000000" w:themeColor="text1"/>
            <w:szCs w:val="22"/>
          </w:rPr>
          <w:t>Collier</w:t>
        </w:r>
        <w:r w:rsidR="00305FE7" w:rsidRPr="00521D93">
          <w:rPr>
            <w:i/>
            <w:noProof/>
            <w:color w:val="000000" w:themeColor="text1"/>
            <w:szCs w:val="22"/>
          </w:rPr>
          <w:t xml:space="preserve"> et al.</w:t>
        </w:r>
        <w:r w:rsidR="00305FE7">
          <w:rPr>
            <w:noProof/>
            <w:color w:val="000000" w:themeColor="text1"/>
            <w:szCs w:val="22"/>
          </w:rPr>
          <w:t xml:space="preserve"> 2014</w:t>
        </w:r>
      </w:hyperlink>
      <w:r w:rsidR="00521D93">
        <w:rPr>
          <w:noProof/>
          <w:color w:val="000000" w:themeColor="text1"/>
          <w:szCs w:val="22"/>
        </w:rPr>
        <w:t xml:space="preserve">; </w:t>
      </w:r>
      <w:hyperlink w:anchor="_ENREF_189" w:tooltip="Petus, 2016 #10580" w:history="1">
        <w:r w:rsidR="00305FE7">
          <w:rPr>
            <w:noProof/>
            <w:color w:val="000000" w:themeColor="text1"/>
            <w:szCs w:val="22"/>
          </w:rPr>
          <w:t>Petus</w:t>
        </w:r>
        <w:r w:rsidR="00305FE7" w:rsidRPr="00521D93">
          <w:rPr>
            <w:i/>
            <w:noProof/>
            <w:color w:val="000000" w:themeColor="text1"/>
            <w:szCs w:val="22"/>
          </w:rPr>
          <w:t xml:space="preserve"> et al.</w:t>
        </w:r>
        <w:r w:rsidR="00305FE7">
          <w:rPr>
            <w:noProof/>
            <w:color w:val="000000" w:themeColor="text1"/>
            <w:szCs w:val="22"/>
          </w:rPr>
          <w:t xml:space="preserve"> 2016</w:t>
        </w:r>
      </w:hyperlink>
      <w:r w:rsidR="00644A84" w:rsidRPr="0050419F">
        <w:rPr>
          <w:color w:val="000000" w:themeColor="text1"/>
          <w:szCs w:val="22"/>
        </w:rPr>
        <w:fldChar w:fldCharType="end"/>
      </w:r>
      <w:r w:rsidR="007B36D3" w:rsidRPr="0050419F">
        <w:rPr>
          <w:color w:val="000000" w:themeColor="text1"/>
          <w:szCs w:val="22"/>
        </w:rPr>
        <w:t>)</w:t>
      </w:r>
      <w:r w:rsidRPr="0050419F">
        <w:rPr>
          <w:color w:val="000000" w:themeColor="text1"/>
          <w:szCs w:val="22"/>
        </w:rPr>
        <w:t xml:space="preserve">. </w:t>
      </w:r>
      <w:r w:rsidR="00F10D48" w:rsidRPr="0050419F">
        <w:rPr>
          <w:color w:val="000000" w:themeColor="text1"/>
          <w:szCs w:val="22"/>
        </w:rPr>
        <w:t>Hence we</w:t>
      </w:r>
      <w:r w:rsidRPr="0050419F">
        <w:rPr>
          <w:color w:val="000000" w:themeColor="text1"/>
          <w:szCs w:val="22"/>
        </w:rPr>
        <w:t xml:space="preserve"> used river discharge volumes as well as frequency of exposure to inshore flood plumes as indicators of flood plume impacts to seagrasses. Plume exposure is generated by wet season monitoring </w:t>
      </w:r>
      <w:r w:rsidRPr="0050419F">
        <w:rPr>
          <w:color w:val="000000" w:themeColor="text1"/>
        </w:rPr>
        <w:t xml:space="preserve">under the MMP </w:t>
      </w:r>
      <w:r w:rsidRPr="0050419F">
        <w:rPr>
          <w:color w:val="000000" w:themeColor="text1"/>
          <w:szCs w:val="22"/>
        </w:rPr>
        <w:t>in the water quality sub-program (</w:t>
      </w:r>
      <w:hyperlink w:anchor="_ENREF_233" w:tooltip="Waterhouse, 2018 #11521" w:history="1">
        <w:r w:rsidR="00305FE7">
          <w:rPr>
            <w:color w:val="000000" w:themeColor="text1"/>
            <w:szCs w:val="22"/>
          </w:rPr>
          <w:fldChar w:fldCharType="begin"/>
        </w:r>
        <w:r w:rsidR="00305FE7">
          <w:rPr>
            <w:color w:val="000000" w:themeColor="text1"/>
            <w:szCs w:val="22"/>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color w:val="000000" w:themeColor="text1"/>
            <w:szCs w:val="22"/>
          </w:rPr>
          <w:fldChar w:fldCharType="separate"/>
        </w:r>
        <w:r w:rsidR="00305FE7">
          <w:rPr>
            <w:noProof/>
            <w:color w:val="000000" w:themeColor="text1"/>
            <w:szCs w:val="22"/>
          </w:rPr>
          <w:t>Waterhouse</w:t>
        </w:r>
        <w:r w:rsidR="00305FE7" w:rsidRPr="00305FE7">
          <w:rPr>
            <w:i/>
            <w:noProof/>
            <w:color w:val="000000" w:themeColor="text1"/>
            <w:szCs w:val="22"/>
          </w:rPr>
          <w:t xml:space="preserve"> et al.</w:t>
        </w:r>
        <w:r w:rsidR="00305FE7">
          <w:rPr>
            <w:noProof/>
            <w:color w:val="000000" w:themeColor="text1"/>
            <w:szCs w:val="22"/>
          </w:rPr>
          <w:t xml:space="preserve"> 2018</w:t>
        </w:r>
        <w:r w:rsidR="00305FE7">
          <w:rPr>
            <w:color w:val="000000" w:themeColor="text1"/>
            <w:szCs w:val="22"/>
          </w:rPr>
          <w:fldChar w:fldCharType="end"/>
        </w:r>
      </w:hyperlink>
      <w:r w:rsidRPr="0050419F">
        <w:rPr>
          <w:color w:val="000000" w:themeColor="text1"/>
          <w:szCs w:val="22"/>
        </w:rPr>
        <w:t xml:space="preserve">). The </w:t>
      </w:r>
      <w:r w:rsidR="007B36D3" w:rsidRPr="0050419F">
        <w:rPr>
          <w:color w:val="000000" w:themeColor="text1"/>
          <w:szCs w:val="22"/>
        </w:rPr>
        <w:t xml:space="preserve">MMP inshore </w:t>
      </w:r>
      <w:r w:rsidRPr="0050419F">
        <w:rPr>
          <w:color w:val="000000" w:themeColor="text1"/>
          <w:szCs w:val="22"/>
        </w:rPr>
        <w:t>water quality sub-program includes a</w:t>
      </w:r>
      <w:r w:rsidRPr="0050419F">
        <w:rPr>
          <w:color w:val="000000" w:themeColor="text1"/>
        </w:rPr>
        <w:t xml:space="preserve"> remote sensing component, which describes water quality </w:t>
      </w:r>
      <w:r w:rsidR="00E51B48" w:rsidRPr="0050419F">
        <w:rPr>
          <w:color w:val="000000" w:themeColor="text1"/>
        </w:rPr>
        <w:t>characteristics</w:t>
      </w:r>
      <w:r w:rsidRPr="0050419F">
        <w:rPr>
          <w:color w:val="000000" w:themeColor="text1"/>
        </w:rPr>
        <w:t xml:space="preserve"> for 22 weeks </w:t>
      </w:r>
      <w:r w:rsidR="00F10D48" w:rsidRPr="0050419F">
        <w:rPr>
          <w:color w:val="000000" w:themeColor="text1"/>
        </w:rPr>
        <w:t xml:space="preserve">of the </w:t>
      </w:r>
      <w:r w:rsidRPr="0050419F">
        <w:rPr>
          <w:color w:val="000000" w:themeColor="text1"/>
        </w:rPr>
        <w:t xml:space="preserve">wet season (November – April). Water quality is described as colour classes of turbid, brown primary water (class 1 – 4), green secondary water (class 5), and waters influenced by flood plumes (salinity </w:t>
      </w:r>
      <w:r w:rsidR="005D1E4E" w:rsidRPr="0050419F">
        <w:rPr>
          <w:color w:val="000000" w:themeColor="text1"/>
        </w:rPr>
        <w:t>&lt;</w:t>
      </w:r>
      <w:r w:rsidRPr="0050419F">
        <w:rPr>
          <w:color w:val="000000" w:themeColor="text1"/>
        </w:rPr>
        <w:t>30PSU, coloured dissolved organic matter (CDOM) threshold of 0.24 m</w:t>
      </w:r>
      <w:r w:rsidRPr="0050419F">
        <w:rPr>
          <w:color w:val="000000" w:themeColor="text1"/>
          <w:vertAlign w:val="superscript"/>
        </w:rPr>
        <w:t>-1</w:t>
      </w:r>
      <w:r w:rsidRPr="0050419F">
        <w:rPr>
          <w:color w:val="000000" w:themeColor="text1"/>
        </w:rPr>
        <w:t xml:space="preserve"> class 6). Colour classes are derived from MODIS True colour satellite images. Exposure to flood plumes is described in this report as frequency of exposure to primary </w:t>
      </w:r>
      <w:r w:rsidR="00E51B48" w:rsidRPr="0050419F">
        <w:rPr>
          <w:color w:val="000000" w:themeColor="text1"/>
        </w:rPr>
        <w:t xml:space="preserve">(turbid, sediment laden) </w:t>
      </w:r>
      <w:r w:rsidRPr="0050419F">
        <w:rPr>
          <w:color w:val="000000" w:themeColor="text1"/>
        </w:rPr>
        <w:t xml:space="preserve">or secondary </w:t>
      </w:r>
      <w:r w:rsidR="00E51B48" w:rsidRPr="0050419F">
        <w:rPr>
          <w:color w:val="000000" w:themeColor="text1"/>
        </w:rPr>
        <w:t xml:space="preserve">(green, nutrient rich) </w:t>
      </w:r>
      <w:r w:rsidRPr="0050419F">
        <w:rPr>
          <w:color w:val="000000" w:themeColor="text1"/>
        </w:rPr>
        <w:t xml:space="preserve">water during the wet season. Methods are detailed in </w:t>
      </w:r>
      <w:hyperlink w:anchor="_ENREF_82" w:tooltip="Devlin, 2015 #10405" w:history="1">
        <w:r w:rsidR="00305FE7" w:rsidRPr="0050419F">
          <w:rPr>
            <w:color w:val="000000" w:themeColor="text1"/>
          </w:rPr>
          <w:fldChar w:fldCharType="begin"/>
        </w:r>
        <w:r w:rsidR="00305FE7" w:rsidRPr="0050419F">
          <w:rPr>
            <w:color w:val="000000" w:themeColor="text1"/>
          </w:rPr>
          <w:instrText xml:space="preserve"> ADDIN EN.CITE &lt;EndNote&gt;&lt;Cite ExcludeYear="1"&gt;&lt;Author&gt;Devlin&lt;/Author&gt;&lt;RecNum&gt;10405&lt;/RecNum&gt;&lt;DisplayText&gt;Devlin&lt;style face="italic"&gt; et al.&lt;/style&gt; &lt;/DisplayText&gt;&lt;record&gt;&lt;rec-number&gt;10405&lt;/rec-number&gt;&lt;foreign-keys&gt;&lt;key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50419F">
          <w:rPr>
            <w:color w:val="000000" w:themeColor="text1"/>
          </w:rPr>
          <w:fldChar w:fldCharType="separate"/>
        </w:r>
        <w:r w:rsidR="00305FE7" w:rsidRPr="0050419F">
          <w:rPr>
            <w:noProof/>
            <w:color w:val="000000" w:themeColor="text1"/>
          </w:rPr>
          <w:t>Devlin</w:t>
        </w:r>
        <w:r w:rsidR="00305FE7" w:rsidRPr="0050419F">
          <w:rPr>
            <w:i/>
            <w:noProof/>
            <w:color w:val="000000" w:themeColor="text1"/>
          </w:rPr>
          <w:t xml:space="preserve"> et al.</w:t>
        </w:r>
        <w:r w:rsidR="00305FE7" w:rsidRPr="0050419F">
          <w:rPr>
            <w:noProof/>
            <w:color w:val="000000" w:themeColor="text1"/>
          </w:rPr>
          <w:t xml:space="preserve"> </w:t>
        </w:r>
        <w:r w:rsidR="00305FE7" w:rsidRPr="0050419F">
          <w:rPr>
            <w:color w:val="000000" w:themeColor="text1"/>
          </w:rPr>
          <w:fldChar w:fldCharType="end"/>
        </w:r>
      </w:hyperlink>
      <w:r w:rsidRPr="0050419F">
        <w:rPr>
          <w:color w:val="000000" w:themeColor="text1"/>
        </w:rPr>
        <w:t>(</w:t>
      </w:r>
      <w:hyperlink w:anchor="_ENREF_82" w:tooltip="Devlin, 2015 #10405" w:history="1">
        <w:r w:rsidR="00305FE7" w:rsidRPr="0050419F">
          <w:rPr>
            <w:color w:val="000000" w:themeColor="text1"/>
          </w:rPr>
          <w:fldChar w:fldCharType="begin"/>
        </w:r>
        <w:r w:rsidR="00305FE7" w:rsidRPr="0050419F">
          <w:rPr>
            <w:color w:val="000000" w:themeColor="text1"/>
          </w:rPr>
          <w:instrText xml:space="preserve"> ADDIN EN.CITE &lt;EndNote&gt;&lt;Cite ExcludeAuth="1"&gt;&lt;Year&gt;2015&lt;/Year&gt;&lt;RecNum&gt;10405&lt;/RecNum&gt;&lt;DisplayText&gt;2015&lt;/DisplayText&gt;&lt;record&gt;&lt;rec-number&gt;10405&lt;/rec-number&gt;&lt;foreign-keys&gt;&lt;key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50419F">
          <w:rPr>
            <w:color w:val="000000" w:themeColor="text1"/>
          </w:rPr>
          <w:fldChar w:fldCharType="separate"/>
        </w:r>
        <w:r w:rsidR="00305FE7" w:rsidRPr="0050419F">
          <w:rPr>
            <w:noProof/>
            <w:color w:val="000000" w:themeColor="text1"/>
          </w:rPr>
          <w:t>2015</w:t>
        </w:r>
        <w:r w:rsidR="00305FE7" w:rsidRPr="0050419F">
          <w:rPr>
            <w:color w:val="000000" w:themeColor="text1"/>
          </w:rPr>
          <w:fldChar w:fldCharType="end"/>
        </w:r>
      </w:hyperlink>
      <w:r w:rsidRPr="0050419F">
        <w:rPr>
          <w:color w:val="000000" w:themeColor="text1"/>
        </w:rPr>
        <w:t>)</w:t>
      </w:r>
      <w:r w:rsidR="007B36D3" w:rsidRPr="0050419F">
        <w:rPr>
          <w:color w:val="000000" w:themeColor="text1"/>
        </w:rPr>
        <w:t>.</w:t>
      </w:r>
    </w:p>
    <w:p w14:paraId="25A05618" w14:textId="58F4E7F2" w:rsidR="007231A4" w:rsidRPr="007231A4" w:rsidRDefault="007231A4" w:rsidP="003D1F7F">
      <w:pPr>
        <w:rPr>
          <w:rFonts w:ascii="Century Gothic" w:hAnsi="Century Gothic" w:cs="Arial"/>
          <w:b/>
          <w:color w:val="000000" w:themeColor="text1"/>
          <w:szCs w:val="22"/>
        </w:rPr>
      </w:pPr>
      <w:r w:rsidRPr="007231A4">
        <w:rPr>
          <w:rFonts w:ascii="Century Gothic" w:hAnsi="Century Gothic" w:cs="Arial"/>
          <w:b/>
          <w:color w:val="000000" w:themeColor="text1"/>
          <w:szCs w:val="22"/>
        </w:rPr>
        <w:t xml:space="preserve">Environment within seagrass canopy </w:t>
      </w:r>
    </w:p>
    <w:p w14:paraId="03260F30" w14:textId="38C2FFE4" w:rsidR="003D1F7F" w:rsidRPr="0050419F" w:rsidRDefault="003D1F7F" w:rsidP="003D1F7F">
      <w:pPr>
        <w:rPr>
          <w:color w:val="000000" w:themeColor="text1"/>
          <w:szCs w:val="22"/>
        </w:rPr>
      </w:pPr>
      <w:r w:rsidRPr="0050419F">
        <w:rPr>
          <w:rFonts w:cs="Arial"/>
          <w:color w:val="000000" w:themeColor="text1"/>
          <w:szCs w:val="22"/>
        </w:rPr>
        <w:t xml:space="preserve">Autonomous </w:t>
      </w:r>
      <w:r w:rsidRPr="0050419F">
        <w:rPr>
          <w:color w:val="000000" w:themeColor="text1"/>
          <w:szCs w:val="22"/>
        </w:rPr>
        <w:t>iBTag</w:t>
      </w:r>
      <w:r w:rsidRPr="0050419F">
        <w:rPr>
          <w:color w:val="000000" w:themeColor="text1"/>
          <w:szCs w:val="22"/>
          <w:vertAlign w:val="superscript"/>
        </w:rPr>
        <w:t>™</w:t>
      </w:r>
      <w:r w:rsidRPr="0050419F">
        <w:rPr>
          <w:color w:val="000000" w:themeColor="text1"/>
          <w:szCs w:val="22"/>
        </w:rPr>
        <w:t xml:space="preserve"> submersible temperature loggers were deployed at all </w:t>
      </w:r>
      <w:r w:rsidRPr="0050419F">
        <w:rPr>
          <w:bCs/>
          <w:color w:val="000000" w:themeColor="text1"/>
          <w:szCs w:val="22"/>
        </w:rPr>
        <w:t xml:space="preserve">sites identified in Appendix </w:t>
      </w:r>
      <w:r w:rsidR="00302C4F">
        <w:rPr>
          <w:bCs/>
          <w:color w:val="000000" w:themeColor="text1"/>
          <w:szCs w:val="22"/>
        </w:rPr>
        <w:fldChar w:fldCharType="begin"/>
      </w:r>
      <w:r w:rsidR="00302C4F">
        <w:rPr>
          <w:bCs/>
          <w:color w:val="000000" w:themeColor="text1"/>
          <w:szCs w:val="22"/>
        </w:rPr>
        <w:instrText xml:space="preserve"> REF _Ref511373518 \r \h </w:instrText>
      </w:r>
      <w:r w:rsidR="00302C4F">
        <w:rPr>
          <w:bCs/>
          <w:color w:val="000000" w:themeColor="text1"/>
          <w:szCs w:val="22"/>
        </w:rPr>
      </w:r>
      <w:r w:rsidR="00302C4F">
        <w:rPr>
          <w:bCs/>
          <w:color w:val="000000" w:themeColor="text1"/>
          <w:szCs w:val="22"/>
        </w:rPr>
        <w:fldChar w:fldCharType="separate"/>
      </w:r>
      <w:r w:rsidR="00F87DF9">
        <w:rPr>
          <w:bCs/>
          <w:color w:val="000000" w:themeColor="text1"/>
          <w:szCs w:val="22"/>
        </w:rPr>
        <w:t>A2.1</w:t>
      </w:r>
      <w:r w:rsidR="00302C4F">
        <w:rPr>
          <w:bCs/>
          <w:color w:val="000000" w:themeColor="text1"/>
          <w:szCs w:val="22"/>
        </w:rPr>
        <w:fldChar w:fldCharType="end"/>
      </w:r>
      <w:r w:rsidRPr="0050419F">
        <w:rPr>
          <w:bCs/>
          <w:color w:val="000000" w:themeColor="text1"/>
          <w:szCs w:val="22"/>
        </w:rPr>
        <w:t xml:space="preserve">, </w:t>
      </w:r>
      <w:r w:rsidR="00302C4F">
        <w:rPr>
          <w:bCs/>
          <w:color w:val="000000" w:themeColor="text1"/>
          <w:szCs w:val="22"/>
        </w:rPr>
        <w:fldChar w:fldCharType="begin"/>
      </w:r>
      <w:r w:rsidR="00302C4F">
        <w:rPr>
          <w:bCs/>
          <w:color w:val="000000" w:themeColor="text1"/>
          <w:szCs w:val="22"/>
        </w:rPr>
        <w:instrText xml:space="preserve"> REF _Ref511373432 \h </w:instrText>
      </w:r>
      <w:r w:rsidR="00302C4F">
        <w:rPr>
          <w:bCs/>
          <w:color w:val="000000" w:themeColor="text1"/>
          <w:szCs w:val="22"/>
        </w:rPr>
      </w:r>
      <w:r w:rsidR="00302C4F">
        <w:rPr>
          <w:bCs/>
          <w:color w:val="000000" w:themeColor="text1"/>
          <w:szCs w:val="22"/>
        </w:rPr>
        <w:fldChar w:fldCharType="separate"/>
      </w:r>
      <w:r w:rsidR="00F87DF9">
        <w:rPr>
          <w:color w:val="000000"/>
          <w:szCs w:val="22"/>
        </w:rPr>
        <w:t xml:space="preserve">Table </w:t>
      </w:r>
      <w:r w:rsidR="00F87DF9">
        <w:rPr>
          <w:noProof/>
          <w:color w:val="000000"/>
          <w:szCs w:val="22"/>
        </w:rPr>
        <w:t>36</w:t>
      </w:r>
      <w:r w:rsidR="00302C4F">
        <w:rPr>
          <w:bCs/>
          <w:color w:val="000000" w:themeColor="text1"/>
          <w:szCs w:val="22"/>
        </w:rPr>
        <w:fldChar w:fldCharType="end"/>
      </w:r>
      <w:r w:rsidRPr="0050419F">
        <w:rPr>
          <w:bCs/>
          <w:color w:val="000000" w:themeColor="text1"/>
          <w:szCs w:val="22"/>
        </w:rPr>
        <w:t>. The loggers recorded</w:t>
      </w:r>
      <w:r w:rsidRPr="0050419F">
        <w:rPr>
          <w:rFonts w:cs="Arial"/>
          <w:color w:val="000000" w:themeColor="text1"/>
          <w:szCs w:val="22"/>
        </w:rPr>
        <w:t xml:space="preserve"> temperature (accuracy 0.0625°C) within the seagrass canopy every 30 </w:t>
      </w:r>
      <w:r w:rsidRPr="0050419F">
        <w:rPr>
          <w:color w:val="000000" w:themeColor="text1"/>
        </w:rPr>
        <w:t>–</w:t>
      </w:r>
      <w:r w:rsidRPr="0050419F">
        <w:rPr>
          <w:rFonts w:cs="Arial"/>
          <w:color w:val="000000" w:themeColor="text1"/>
          <w:szCs w:val="22"/>
        </w:rPr>
        <w:t xml:space="preserve"> 90 minutes</w:t>
      </w:r>
      <w:r w:rsidR="005055DC">
        <w:rPr>
          <w:rFonts w:cs="Arial"/>
          <w:color w:val="000000" w:themeColor="text1"/>
          <w:szCs w:val="22"/>
        </w:rPr>
        <w:t xml:space="preserve"> (</w:t>
      </w:r>
      <w:r w:rsidR="005055DC">
        <w:rPr>
          <w:rFonts w:cs="Arial"/>
          <w:color w:val="000000" w:themeColor="text1"/>
          <w:szCs w:val="22"/>
        </w:rPr>
        <w:fldChar w:fldCharType="begin"/>
      </w:r>
      <w:r w:rsidR="005055DC">
        <w:rPr>
          <w:rFonts w:cs="Arial"/>
          <w:color w:val="000000" w:themeColor="text1"/>
          <w:szCs w:val="22"/>
        </w:rPr>
        <w:instrText xml:space="preserve"> REF _Ref461015425 \h </w:instrText>
      </w:r>
      <w:r w:rsidR="005055DC">
        <w:rPr>
          <w:rFonts w:cs="Arial"/>
          <w:color w:val="000000" w:themeColor="text1"/>
          <w:szCs w:val="22"/>
        </w:rPr>
      </w:r>
      <w:r w:rsidR="005055DC">
        <w:rPr>
          <w:rFonts w:cs="Arial"/>
          <w:color w:val="000000" w:themeColor="text1"/>
          <w:szCs w:val="22"/>
        </w:rPr>
        <w:fldChar w:fldCharType="separate"/>
      </w:r>
      <w:r w:rsidR="00F87DF9">
        <w:t xml:space="preserve">Table </w:t>
      </w:r>
      <w:r w:rsidR="00F87DF9">
        <w:rPr>
          <w:noProof/>
        </w:rPr>
        <w:t>2</w:t>
      </w:r>
      <w:r w:rsidR="005055DC">
        <w:rPr>
          <w:rFonts w:cs="Arial"/>
          <w:color w:val="000000" w:themeColor="text1"/>
          <w:szCs w:val="22"/>
        </w:rPr>
        <w:fldChar w:fldCharType="end"/>
      </w:r>
      <w:r w:rsidR="005055DC">
        <w:rPr>
          <w:rFonts w:cs="Arial"/>
          <w:color w:val="000000" w:themeColor="text1"/>
          <w:szCs w:val="22"/>
        </w:rPr>
        <w:t>)</w:t>
      </w:r>
      <w:r w:rsidRPr="0050419F">
        <w:rPr>
          <w:rFonts w:cs="Arial"/>
          <w:color w:val="000000" w:themeColor="text1"/>
          <w:szCs w:val="22"/>
        </w:rPr>
        <w:t xml:space="preserve">. </w:t>
      </w:r>
      <w:r w:rsidRPr="0050419F">
        <w:rPr>
          <w:color w:val="000000" w:themeColor="text1"/>
          <w:szCs w:val="22"/>
        </w:rPr>
        <w:t>iBCod</w:t>
      </w:r>
      <w:r w:rsidRPr="0050419F">
        <w:rPr>
          <w:color w:val="000000" w:themeColor="text1"/>
          <w:szCs w:val="22"/>
          <w:vertAlign w:val="superscript"/>
        </w:rPr>
        <w:t>™</w:t>
      </w:r>
      <w:r w:rsidRPr="0050419F">
        <w:rPr>
          <w:color w:val="000000" w:themeColor="text1"/>
          <w:szCs w:val="22"/>
        </w:rPr>
        <w:t>22L submersible temperature loggers were attached to the permanent marker at each site above the sediment-water interface.</w:t>
      </w:r>
    </w:p>
    <w:p w14:paraId="66216360" w14:textId="7C01589E" w:rsidR="003D1F7F" w:rsidRPr="0050419F" w:rsidRDefault="003D1F7F" w:rsidP="003D1F7F">
      <w:pPr>
        <w:rPr>
          <w:color w:val="000000" w:themeColor="text1"/>
          <w:szCs w:val="22"/>
          <w:lang w:val="en-US"/>
        </w:rPr>
      </w:pPr>
      <w:r w:rsidRPr="0050419F">
        <w:rPr>
          <w:color w:val="000000" w:themeColor="text1"/>
          <w:szCs w:val="22"/>
          <w:lang w:val="en-US"/>
        </w:rPr>
        <w:t>Submersible Odyssey</w:t>
      </w:r>
      <w:r w:rsidRPr="0050419F">
        <w:rPr>
          <w:color w:val="000000" w:themeColor="text1"/>
          <w:szCs w:val="22"/>
          <w:vertAlign w:val="superscript"/>
          <w:lang w:val="en-US"/>
        </w:rPr>
        <w:t>™</w:t>
      </w:r>
      <w:r w:rsidRPr="0050419F">
        <w:rPr>
          <w:color w:val="000000" w:themeColor="text1"/>
          <w:szCs w:val="22"/>
          <w:lang w:val="en-US"/>
        </w:rPr>
        <w:t xml:space="preserve"> </w:t>
      </w:r>
      <w:r w:rsidRPr="0050419F">
        <w:rPr>
          <w:rFonts w:cs="Arial"/>
          <w:color w:val="000000" w:themeColor="text1"/>
          <w:szCs w:val="22"/>
        </w:rPr>
        <w:t>photosynthetic irradiance a</w:t>
      </w:r>
      <w:r w:rsidRPr="0050419F">
        <w:rPr>
          <w:rFonts w:cs="Arial"/>
          <w:color w:val="000000" w:themeColor="text1"/>
          <w:szCs w:val="22"/>
          <w:lang w:val="en-US"/>
        </w:rPr>
        <w:t xml:space="preserve">utonomous loggers were </w:t>
      </w:r>
      <w:r w:rsidRPr="0050419F">
        <w:rPr>
          <w:color w:val="000000" w:themeColor="text1"/>
          <w:szCs w:val="22"/>
          <w:lang w:val="en-US"/>
        </w:rPr>
        <w:t>attached to permanent station markers</w:t>
      </w:r>
      <w:r w:rsidRPr="0050419F">
        <w:rPr>
          <w:rFonts w:cs="Arial"/>
          <w:color w:val="000000" w:themeColor="text1"/>
          <w:szCs w:val="22"/>
          <w:lang w:val="en-US"/>
        </w:rPr>
        <w:t xml:space="preserve"> at </w:t>
      </w:r>
      <w:r w:rsidRPr="0050419F">
        <w:rPr>
          <w:color w:val="000000" w:themeColor="text1"/>
          <w:szCs w:val="22"/>
        </w:rPr>
        <w:t xml:space="preserve">20 intertidal and 4 subtidal </w:t>
      </w:r>
      <w:r w:rsidRPr="0050419F">
        <w:rPr>
          <w:rFonts w:cs="Arial"/>
          <w:color w:val="000000" w:themeColor="text1"/>
          <w:szCs w:val="22"/>
          <w:lang w:val="en-US"/>
        </w:rPr>
        <w:t>seagrass locations from the Cape York region to the Burnett Mary region (</w:t>
      </w:r>
      <w:r w:rsidR="00302C4F" w:rsidRPr="0050419F">
        <w:rPr>
          <w:bCs/>
          <w:color w:val="000000" w:themeColor="text1"/>
          <w:szCs w:val="22"/>
        </w:rPr>
        <w:t xml:space="preserve">Appendix </w:t>
      </w:r>
      <w:r w:rsidR="00302C4F">
        <w:rPr>
          <w:bCs/>
          <w:color w:val="000000" w:themeColor="text1"/>
          <w:szCs w:val="22"/>
        </w:rPr>
        <w:fldChar w:fldCharType="begin"/>
      </w:r>
      <w:r w:rsidR="00302C4F">
        <w:rPr>
          <w:bCs/>
          <w:color w:val="000000" w:themeColor="text1"/>
          <w:szCs w:val="22"/>
        </w:rPr>
        <w:instrText xml:space="preserve"> REF _Ref511373518 \r \h </w:instrText>
      </w:r>
      <w:r w:rsidR="00302C4F">
        <w:rPr>
          <w:bCs/>
          <w:color w:val="000000" w:themeColor="text1"/>
          <w:szCs w:val="22"/>
        </w:rPr>
      </w:r>
      <w:r w:rsidR="00302C4F">
        <w:rPr>
          <w:bCs/>
          <w:color w:val="000000" w:themeColor="text1"/>
          <w:szCs w:val="22"/>
        </w:rPr>
        <w:fldChar w:fldCharType="separate"/>
      </w:r>
      <w:r w:rsidR="00F87DF9">
        <w:rPr>
          <w:bCs/>
          <w:color w:val="000000" w:themeColor="text1"/>
          <w:szCs w:val="22"/>
        </w:rPr>
        <w:t>A2.1</w:t>
      </w:r>
      <w:r w:rsidR="00302C4F">
        <w:rPr>
          <w:bCs/>
          <w:color w:val="000000" w:themeColor="text1"/>
          <w:szCs w:val="22"/>
        </w:rPr>
        <w:fldChar w:fldCharType="end"/>
      </w:r>
      <w:r w:rsidR="00302C4F" w:rsidRPr="0050419F">
        <w:rPr>
          <w:bCs/>
          <w:color w:val="000000" w:themeColor="text1"/>
          <w:szCs w:val="22"/>
        </w:rPr>
        <w:t xml:space="preserve">, </w:t>
      </w:r>
      <w:r w:rsidR="00302C4F">
        <w:rPr>
          <w:bCs/>
          <w:color w:val="000000" w:themeColor="text1"/>
          <w:szCs w:val="22"/>
        </w:rPr>
        <w:fldChar w:fldCharType="begin"/>
      </w:r>
      <w:r w:rsidR="00302C4F">
        <w:rPr>
          <w:bCs/>
          <w:color w:val="000000" w:themeColor="text1"/>
          <w:szCs w:val="22"/>
        </w:rPr>
        <w:instrText xml:space="preserve"> REF _Ref511373432 \h </w:instrText>
      </w:r>
      <w:r w:rsidR="00302C4F">
        <w:rPr>
          <w:bCs/>
          <w:color w:val="000000" w:themeColor="text1"/>
          <w:szCs w:val="22"/>
        </w:rPr>
      </w:r>
      <w:r w:rsidR="00302C4F">
        <w:rPr>
          <w:bCs/>
          <w:color w:val="000000" w:themeColor="text1"/>
          <w:szCs w:val="22"/>
        </w:rPr>
        <w:fldChar w:fldCharType="separate"/>
      </w:r>
      <w:r w:rsidR="00F87DF9">
        <w:rPr>
          <w:color w:val="000000"/>
          <w:szCs w:val="22"/>
        </w:rPr>
        <w:t xml:space="preserve">Table </w:t>
      </w:r>
      <w:r w:rsidR="00F87DF9">
        <w:rPr>
          <w:noProof/>
          <w:color w:val="000000"/>
          <w:szCs w:val="22"/>
        </w:rPr>
        <w:t>36</w:t>
      </w:r>
      <w:r w:rsidR="00302C4F">
        <w:rPr>
          <w:bCs/>
          <w:color w:val="000000" w:themeColor="text1"/>
          <w:szCs w:val="22"/>
        </w:rPr>
        <w:fldChar w:fldCharType="end"/>
      </w:r>
      <w:r w:rsidRPr="0050419F">
        <w:rPr>
          <w:rFonts w:cs="Arial"/>
          <w:color w:val="000000" w:themeColor="text1"/>
          <w:szCs w:val="22"/>
          <w:lang w:val="en-US"/>
        </w:rPr>
        <w:t xml:space="preserve">). </w:t>
      </w:r>
      <w:r w:rsidRPr="0050419F">
        <w:rPr>
          <w:color w:val="000000" w:themeColor="text1"/>
          <w:szCs w:val="22"/>
        </w:rPr>
        <w:t xml:space="preserve">Detailed methodology for the light monitoring can be found in Appendix </w:t>
      </w:r>
      <w:r w:rsidR="00302C4F">
        <w:rPr>
          <w:color w:val="000000" w:themeColor="text1"/>
          <w:szCs w:val="22"/>
        </w:rPr>
        <w:fldChar w:fldCharType="begin"/>
      </w:r>
      <w:r w:rsidR="00302C4F">
        <w:rPr>
          <w:color w:val="000000" w:themeColor="text1"/>
          <w:szCs w:val="22"/>
        </w:rPr>
        <w:instrText xml:space="preserve"> REF _Ref511373619 \r \h </w:instrText>
      </w:r>
      <w:r w:rsidR="00302C4F">
        <w:rPr>
          <w:color w:val="000000" w:themeColor="text1"/>
          <w:szCs w:val="22"/>
        </w:rPr>
      </w:r>
      <w:r w:rsidR="00302C4F">
        <w:rPr>
          <w:color w:val="000000" w:themeColor="text1"/>
          <w:szCs w:val="22"/>
        </w:rPr>
        <w:fldChar w:fldCharType="separate"/>
      </w:r>
      <w:r w:rsidR="00F87DF9">
        <w:rPr>
          <w:color w:val="000000" w:themeColor="text1"/>
          <w:szCs w:val="22"/>
        </w:rPr>
        <w:t>A2.2.2</w:t>
      </w:r>
      <w:r w:rsidR="00302C4F">
        <w:rPr>
          <w:color w:val="000000" w:themeColor="text1"/>
          <w:szCs w:val="22"/>
        </w:rPr>
        <w:fldChar w:fldCharType="end"/>
      </w:r>
      <w:r w:rsidRPr="0050419F">
        <w:rPr>
          <w:color w:val="000000" w:themeColor="text1"/>
          <w:szCs w:val="22"/>
        </w:rPr>
        <w:t xml:space="preserve">. </w:t>
      </w:r>
      <w:r w:rsidRPr="0050419F">
        <w:rPr>
          <w:color w:val="000000" w:themeColor="text1"/>
          <w:szCs w:val="22"/>
          <w:lang w:val="en-US"/>
        </w:rPr>
        <w:t>Measurements were recorded by the logger every 15 minutes and are reported as total daily light (mol m</w:t>
      </w:r>
      <w:r w:rsidRPr="0050419F">
        <w:rPr>
          <w:color w:val="000000" w:themeColor="text1"/>
          <w:szCs w:val="22"/>
          <w:vertAlign w:val="superscript"/>
          <w:lang w:val="en-US"/>
        </w:rPr>
        <w:t>-2</w:t>
      </w:r>
      <w:r w:rsidRPr="0050419F">
        <w:rPr>
          <w:color w:val="000000" w:themeColor="text1"/>
          <w:szCs w:val="22"/>
          <w:lang w:val="en-US"/>
        </w:rPr>
        <w:t xml:space="preserve"> d</w:t>
      </w:r>
      <w:r w:rsidRPr="0050419F">
        <w:rPr>
          <w:color w:val="000000" w:themeColor="text1"/>
          <w:szCs w:val="22"/>
          <w:vertAlign w:val="superscript"/>
          <w:lang w:val="en-US"/>
        </w:rPr>
        <w:t>-1</w:t>
      </w:r>
      <w:r w:rsidRPr="0050419F">
        <w:rPr>
          <w:color w:val="000000" w:themeColor="text1"/>
          <w:szCs w:val="22"/>
          <w:lang w:val="en-US"/>
        </w:rPr>
        <w:t xml:space="preserve">). Automatic wiper brushes cleaned the optical surface of the sensor every 15 minutes to prevent marine organisms fouling. </w:t>
      </w:r>
    </w:p>
    <w:p w14:paraId="3595B5E0" w14:textId="39F63A37" w:rsidR="003D1F7F" w:rsidRPr="0050419F" w:rsidRDefault="006A3340" w:rsidP="003D1F7F">
      <w:pPr>
        <w:rPr>
          <w:color w:val="000000" w:themeColor="text1"/>
        </w:rPr>
        <w:sectPr w:rsidR="003D1F7F" w:rsidRPr="0050419F" w:rsidSect="00D10D59">
          <w:headerReference w:type="even" r:id="rId30"/>
          <w:headerReference w:type="default" r:id="rId31"/>
          <w:footerReference w:type="default" r:id="rId32"/>
          <w:headerReference w:type="first" r:id="rId33"/>
          <w:footerReference w:type="first" r:id="rId34"/>
          <w:pgSz w:w="11900" w:h="16840" w:code="9"/>
          <w:pgMar w:top="1418" w:right="1418" w:bottom="1418" w:left="1418" w:header="709" w:footer="709" w:gutter="0"/>
          <w:pgNumType w:start="1"/>
          <w:cols w:space="708"/>
          <w:docGrid w:linePitch="360"/>
        </w:sectPr>
      </w:pPr>
      <w:r w:rsidRPr="0050419F">
        <w:rPr>
          <w:color w:val="000000" w:themeColor="text1"/>
        </w:rPr>
        <w:t>Sediment type wa</w:t>
      </w:r>
      <w:r w:rsidR="007B36D3" w:rsidRPr="0050419F">
        <w:rPr>
          <w:color w:val="000000" w:themeColor="text1"/>
        </w:rPr>
        <w:t xml:space="preserve">s recorded </w:t>
      </w:r>
      <w:r w:rsidR="00317475" w:rsidRPr="0050419F">
        <w:rPr>
          <w:color w:val="000000" w:themeColor="text1"/>
        </w:rPr>
        <w:t xml:space="preserve">at the 33 quadrats at each site </w:t>
      </w:r>
      <w:r w:rsidRPr="0050419F">
        <w:rPr>
          <w:color w:val="000000" w:themeColor="text1"/>
        </w:rPr>
        <w:t xml:space="preserve">in conjunction with seagrass abundance measures using a </w:t>
      </w:r>
      <w:r w:rsidR="00053571" w:rsidRPr="0050419F">
        <w:rPr>
          <w:color w:val="000000" w:themeColor="text1"/>
        </w:rPr>
        <w:t>visual/tactile estimation of sediment grain size composition (0-2 cm below the sediment/water interface)</w:t>
      </w:r>
      <w:r w:rsidRPr="0050419F">
        <w:rPr>
          <w:color w:val="000000" w:themeColor="text1"/>
        </w:rPr>
        <w:t xml:space="preserve"> as per standard</w:t>
      </w:r>
      <w:r w:rsidR="00053571" w:rsidRPr="0050419F">
        <w:rPr>
          <w:color w:val="000000" w:themeColor="text1"/>
        </w:rPr>
        <w:t xml:space="preserve"> protocols described in McKenzie </w:t>
      </w:r>
      <w:r w:rsidR="00053571" w:rsidRPr="0050419F">
        <w:rPr>
          <w:i/>
          <w:color w:val="000000" w:themeColor="text1"/>
        </w:rPr>
        <w:t>et al.</w:t>
      </w:r>
      <w:r w:rsidR="00053571" w:rsidRPr="0050419F">
        <w:rPr>
          <w:color w:val="000000" w:themeColor="text1"/>
        </w:rPr>
        <w:t xml:space="preserve"> (</w:t>
      </w:r>
      <w:hyperlink w:anchor="_ENREF_152" w:tooltip="McKenzie, 2003 #9457" w:history="1">
        <w:r w:rsidR="00305FE7" w:rsidRPr="0050419F">
          <w:rPr>
            <w:color w:val="000000" w:themeColor="text1"/>
          </w:rPr>
          <w:fldChar w:fldCharType="begin"/>
        </w:r>
        <w:r w:rsidR="00305FE7" w:rsidRPr="0050419F">
          <w:rPr>
            <w:color w:val="000000" w:themeColor="text1"/>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305FE7" w:rsidRPr="0050419F">
          <w:rPr>
            <w:color w:val="000000" w:themeColor="text1"/>
          </w:rPr>
          <w:fldChar w:fldCharType="separate"/>
        </w:r>
        <w:r w:rsidR="00305FE7" w:rsidRPr="0050419F">
          <w:rPr>
            <w:noProof/>
            <w:color w:val="000000" w:themeColor="text1"/>
          </w:rPr>
          <w:t>2003</w:t>
        </w:r>
        <w:r w:rsidR="00305FE7" w:rsidRPr="0050419F">
          <w:rPr>
            <w:color w:val="000000" w:themeColor="text1"/>
          </w:rPr>
          <w:fldChar w:fldCharType="end"/>
        </w:r>
      </w:hyperlink>
      <w:r w:rsidR="00053571" w:rsidRPr="0050419F">
        <w:rPr>
          <w:color w:val="000000" w:themeColor="text1"/>
        </w:rPr>
        <w:t>).</w:t>
      </w:r>
      <w:r w:rsidRPr="0050419F">
        <w:rPr>
          <w:color w:val="000000" w:themeColor="text1"/>
        </w:rPr>
        <w:t xml:space="preserve"> Qualitative field descriptions of sediment composition </w:t>
      </w:r>
      <w:r w:rsidR="005C0F26" w:rsidRPr="0050419F">
        <w:rPr>
          <w:color w:val="000000" w:themeColor="text1"/>
        </w:rPr>
        <w:t xml:space="preserve">were differentiated according to the Udden-Wentworth grade scale </w:t>
      </w:r>
      <w:r w:rsidR="00DB32BE" w:rsidRPr="0050419F">
        <w:rPr>
          <w:color w:val="000000" w:themeColor="text1"/>
        </w:rPr>
        <w:t xml:space="preserve">as this approach has previously been shown to provide an equivalent measure to sieve-derived datasets (Hamilton, 1999; McKenzie </w:t>
      </w:r>
      <w:hyperlink w:anchor="_ENREF_148" w:tooltip="McKenzie, 2007 #9456" w:history="1">
        <w:r w:rsidR="00305FE7" w:rsidRPr="0050419F">
          <w:rPr>
            <w:color w:val="000000" w:themeColor="text1"/>
          </w:rPr>
          <w:fldChar w:fldCharType="begin"/>
        </w:r>
        <w:r w:rsidR="00305FE7" w:rsidRPr="0050419F">
          <w:rPr>
            <w:color w:val="000000" w:themeColor="text1"/>
          </w:rPr>
          <w:instrText xml:space="preserve"> ADDIN EN.CITE &lt;EndNote&gt;&lt;Cite ExcludeAuth="1"&gt;&lt;Year&gt;2007&lt;/Year&gt;&lt;RecNum&gt;9456&lt;/RecNum&gt;&lt;DisplayText&gt;2007&lt;/DisplayText&gt;&lt;record&gt;&lt;rec-number&gt;9456&lt;/rec-number&gt;&lt;foreign-keys&gt;&lt;key app="EN" db-id="0eve55x9y5vfd6e9dacxtew4eatve2dzds9a" timestamp="1375602923"&gt;9456&lt;/key&gt;&lt;/foreign-keys&gt;&lt;ref-type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305FE7" w:rsidRPr="0050419F">
          <w:rPr>
            <w:color w:val="000000" w:themeColor="text1"/>
          </w:rPr>
          <w:fldChar w:fldCharType="separate"/>
        </w:r>
        <w:r w:rsidR="00305FE7" w:rsidRPr="0050419F">
          <w:rPr>
            <w:noProof/>
            <w:color w:val="000000" w:themeColor="text1"/>
          </w:rPr>
          <w:t>2007</w:t>
        </w:r>
        <w:r w:rsidR="00305FE7" w:rsidRPr="0050419F">
          <w:rPr>
            <w:color w:val="000000" w:themeColor="text1"/>
          </w:rPr>
          <w:fldChar w:fldCharType="end"/>
        </w:r>
      </w:hyperlink>
      <w:r w:rsidRPr="0050419F">
        <w:rPr>
          <w:color w:val="000000" w:themeColor="text1"/>
        </w:rPr>
        <w:t>).</w:t>
      </w:r>
      <w:r w:rsidR="00527C29" w:rsidRPr="0050419F">
        <w:rPr>
          <w:color w:val="000000" w:themeColor="text1"/>
        </w:rPr>
        <w:t xml:space="preserve"> </w:t>
      </w:r>
    </w:p>
    <w:p w14:paraId="4B6F2A7E" w14:textId="77777777" w:rsidR="00101AFE" w:rsidRDefault="00101AFE" w:rsidP="003D1F7F"/>
    <w:p w14:paraId="02BDEEA2" w14:textId="405BCFAC" w:rsidR="00101AFE" w:rsidRPr="00101AFE" w:rsidRDefault="00101AFE" w:rsidP="00101AFE">
      <w:pPr>
        <w:jc w:val="center"/>
        <w:rPr>
          <w:i/>
          <w:vanish/>
          <w:specVanish/>
        </w:rPr>
      </w:pPr>
      <w:bookmarkStart w:id="39" w:name="_Ref461015425"/>
      <w:bookmarkStart w:id="40" w:name="_Ref515961668"/>
      <w:bookmarkStart w:id="41" w:name="_Toc516053426"/>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w:t>
      </w:r>
      <w:r w:rsidR="00C506C7">
        <w:rPr>
          <w:noProof/>
        </w:rPr>
        <w:fldChar w:fldCharType="end"/>
      </w:r>
      <w:bookmarkEnd w:id="39"/>
      <w:r>
        <w:t xml:space="preserve">. </w:t>
      </w:r>
      <w:r w:rsidR="003D1F7F" w:rsidRPr="00101AFE">
        <w:rPr>
          <w:i/>
        </w:rPr>
        <w:t xml:space="preserve"> Summary of climate and environment data included in this report</w:t>
      </w:r>
      <w:bookmarkEnd w:id="40"/>
      <w:bookmarkEnd w:id="41"/>
    </w:p>
    <w:p w14:paraId="4B785B92" w14:textId="423174F1" w:rsidR="003D1F7F" w:rsidRPr="00101AFE" w:rsidRDefault="003D1F7F" w:rsidP="00101AFE">
      <w:pPr>
        <w:jc w:val="center"/>
        <w:rPr>
          <w:i/>
        </w:rPr>
      </w:pPr>
      <w:r w:rsidRPr="00101AFE">
        <w:rPr>
          <w:i/>
        </w:rPr>
        <w:t>, showing historical data range, measurement technique, measurement frequency, and data source. Methodology for data collected in this program is further detailed below, and in Appendix 2. *</w:t>
      </w:r>
      <w:r w:rsidR="00D63ED2">
        <w:rPr>
          <w:i/>
        </w:rPr>
        <w:t>=</w:t>
      </w:r>
      <w:r w:rsidRPr="00101AFE">
        <w:rPr>
          <w:i/>
        </w:rPr>
        <w:t>variable</w:t>
      </w:r>
      <w:r w:rsidR="00C3035F">
        <w:rPr>
          <w:i/>
        </w:rPr>
        <w:t xml:space="preserve"> duration of data availability depending on site</w:t>
      </w:r>
    </w:p>
    <w:tbl>
      <w:tblPr>
        <w:tblW w:w="14384" w:type="dxa"/>
        <w:jc w:val="center"/>
        <w:tblBorders>
          <w:bottom w:val="single" w:sz="4" w:space="0" w:color="auto"/>
        </w:tblBorders>
        <w:tblLook w:val="04A0" w:firstRow="1" w:lastRow="0" w:firstColumn="1" w:lastColumn="0" w:noHBand="0" w:noVBand="1"/>
      </w:tblPr>
      <w:tblGrid>
        <w:gridCol w:w="2045"/>
        <w:gridCol w:w="1990"/>
        <w:gridCol w:w="2977"/>
        <w:gridCol w:w="1515"/>
        <w:gridCol w:w="2596"/>
        <w:gridCol w:w="3261"/>
      </w:tblGrid>
      <w:tr w:rsidR="003D1F7F" w:rsidRPr="00101AFE" w14:paraId="7A24F29D" w14:textId="77777777" w:rsidTr="00101AFE">
        <w:trPr>
          <w:trHeight w:val="397"/>
          <w:jc w:val="center"/>
        </w:trPr>
        <w:tc>
          <w:tcPr>
            <w:tcW w:w="2045" w:type="dxa"/>
            <w:tcBorders>
              <w:top w:val="single" w:sz="4" w:space="0" w:color="auto"/>
              <w:bottom w:val="single" w:sz="4" w:space="0" w:color="auto"/>
            </w:tcBorders>
            <w:shd w:val="clear" w:color="auto" w:fill="BBE0E3"/>
            <w:vAlign w:val="center"/>
          </w:tcPr>
          <w:p w14:paraId="635DDC03" w14:textId="77777777" w:rsidR="003D1F7F" w:rsidRPr="00101AFE" w:rsidRDefault="003D1F7F" w:rsidP="00101AFE">
            <w:pPr>
              <w:spacing w:before="0" w:after="0" w:line="200" w:lineRule="exact"/>
              <w:ind w:right="-108"/>
              <w:jc w:val="center"/>
              <w:rPr>
                <w:b/>
                <w:sz w:val="18"/>
                <w:szCs w:val="18"/>
              </w:rPr>
            </w:pPr>
          </w:p>
        </w:tc>
        <w:tc>
          <w:tcPr>
            <w:tcW w:w="1990" w:type="dxa"/>
            <w:tcBorders>
              <w:top w:val="single" w:sz="4" w:space="0" w:color="auto"/>
              <w:bottom w:val="single" w:sz="4" w:space="0" w:color="auto"/>
            </w:tcBorders>
            <w:shd w:val="clear" w:color="auto" w:fill="BBE0E3"/>
            <w:vAlign w:val="center"/>
          </w:tcPr>
          <w:p w14:paraId="22CE461E" w14:textId="77777777" w:rsidR="003D1F7F" w:rsidRPr="00101AFE" w:rsidRDefault="003D1F7F" w:rsidP="00101AFE">
            <w:pPr>
              <w:spacing w:before="0" w:after="0" w:line="200" w:lineRule="exact"/>
              <w:jc w:val="center"/>
              <w:rPr>
                <w:b/>
                <w:sz w:val="18"/>
                <w:szCs w:val="18"/>
              </w:rPr>
            </w:pPr>
            <w:r w:rsidRPr="00101AFE">
              <w:rPr>
                <w:b/>
                <w:sz w:val="18"/>
                <w:szCs w:val="18"/>
              </w:rPr>
              <w:t>Data range</w:t>
            </w:r>
          </w:p>
        </w:tc>
        <w:tc>
          <w:tcPr>
            <w:tcW w:w="2977" w:type="dxa"/>
            <w:tcBorders>
              <w:top w:val="single" w:sz="4" w:space="0" w:color="auto"/>
              <w:bottom w:val="single" w:sz="4" w:space="0" w:color="auto"/>
            </w:tcBorders>
            <w:shd w:val="clear" w:color="auto" w:fill="BBE0E3"/>
            <w:vAlign w:val="center"/>
          </w:tcPr>
          <w:p w14:paraId="5E64BD5F" w14:textId="77777777" w:rsidR="003D1F7F" w:rsidRPr="00101AFE" w:rsidRDefault="003D1F7F" w:rsidP="00101AFE">
            <w:pPr>
              <w:spacing w:before="0" w:after="0" w:line="200" w:lineRule="exact"/>
              <w:jc w:val="center"/>
              <w:rPr>
                <w:b/>
                <w:sz w:val="18"/>
                <w:szCs w:val="18"/>
              </w:rPr>
            </w:pPr>
            <w:r w:rsidRPr="00101AFE">
              <w:rPr>
                <w:b/>
                <w:sz w:val="18"/>
                <w:szCs w:val="18"/>
              </w:rPr>
              <w:t>Method</w:t>
            </w:r>
          </w:p>
        </w:tc>
        <w:tc>
          <w:tcPr>
            <w:tcW w:w="1515" w:type="dxa"/>
            <w:tcBorders>
              <w:top w:val="single" w:sz="4" w:space="0" w:color="auto"/>
              <w:bottom w:val="single" w:sz="4" w:space="0" w:color="auto"/>
            </w:tcBorders>
            <w:shd w:val="clear" w:color="auto" w:fill="BBE0E3"/>
            <w:vAlign w:val="center"/>
          </w:tcPr>
          <w:p w14:paraId="59C1C27F" w14:textId="77777777" w:rsidR="00101AFE" w:rsidRDefault="003D1F7F" w:rsidP="00101AFE">
            <w:pPr>
              <w:spacing w:before="0" w:after="0" w:line="200" w:lineRule="exact"/>
              <w:jc w:val="center"/>
              <w:rPr>
                <w:b/>
                <w:sz w:val="18"/>
                <w:szCs w:val="18"/>
              </w:rPr>
            </w:pPr>
            <w:r w:rsidRPr="00101AFE">
              <w:rPr>
                <w:b/>
                <w:sz w:val="18"/>
                <w:szCs w:val="18"/>
              </w:rPr>
              <w:t>Measurement</w:t>
            </w:r>
          </w:p>
          <w:p w14:paraId="794F6BEF" w14:textId="77777777" w:rsidR="003D1F7F" w:rsidRPr="00101AFE" w:rsidRDefault="003D1F7F" w:rsidP="00101AFE">
            <w:pPr>
              <w:spacing w:before="0" w:after="0" w:line="200" w:lineRule="exact"/>
              <w:jc w:val="center"/>
              <w:rPr>
                <w:b/>
                <w:sz w:val="18"/>
                <w:szCs w:val="18"/>
              </w:rPr>
            </w:pPr>
            <w:r w:rsidRPr="00101AFE">
              <w:rPr>
                <w:b/>
                <w:sz w:val="18"/>
                <w:szCs w:val="18"/>
              </w:rPr>
              <w:t>frequency</w:t>
            </w:r>
          </w:p>
        </w:tc>
        <w:tc>
          <w:tcPr>
            <w:tcW w:w="2596" w:type="dxa"/>
            <w:tcBorders>
              <w:top w:val="single" w:sz="4" w:space="0" w:color="auto"/>
              <w:bottom w:val="single" w:sz="4" w:space="0" w:color="auto"/>
            </w:tcBorders>
            <w:shd w:val="clear" w:color="auto" w:fill="BBE0E3"/>
            <w:vAlign w:val="center"/>
          </w:tcPr>
          <w:p w14:paraId="76EC9BF1" w14:textId="77777777" w:rsidR="003D1F7F" w:rsidRPr="00101AFE" w:rsidRDefault="003D1F7F" w:rsidP="00101AFE">
            <w:pPr>
              <w:spacing w:before="0" w:after="0" w:line="200" w:lineRule="exact"/>
              <w:jc w:val="center"/>
              <w:rPr>
                <w:b/>
                <w:sz w:val="18"/>
                <w:szCs w:val="18"/>
              </w:rPr>
            </w:pPr>
            <w:r w:rsidRPr="00101AFE">
              <w:rPr>
                <w:b/>
                <w:sz w:val="18"/>
                <w:szCs w:val="18"/>
              </w:rPr>
              <w:t>Reporting units</w:t>
            </w:r>
          </w:p>
        </w:tc>
        <w:tc>
          <w:tcPr>
            <w:tcW w:w="3261" w:type="dxa"/>
            <w:tcBorders>
              <w:top w:val="single" w:sz="4" w:space="0" w:color="auto"/>
              <w:bottom w:val="single" w:sz="4" w:space="0" w:color="auto"/>
            </w:tcBorders>
            <w:shd w:val="clear" w:color="auto" w:fill="BBE0E3"/>
            <w:vAlign w:val="center"/>
          </w:tcPr>
          <w:p w14:paraId="6E2770F2" w14:textId="77777777" w:rsidR="003D1F7F" w:rsidRPr="00101AFE" w:rsidRDefault="003D1F7F" w:rsidP="00101AFE">
            <w:pPr>
              <w:spacing w:before="0" w:after="0" w:line="200" w:lineRule="exact"/>
              <w:jc w:val="center"/>
              <w:rPr>
                <w:b/>
                <w:sz w:val="18"/>
                <w:szCs w:val="18"/>
              </w:rPr>
            </w:pPr>
            <w:r w:rsidRPr="00101AFE">
              <w:rPr>
                <w:b/>
                <w:sz w:val="18"/>
                <w:szCs w:val="18"/>
              </w:rPr>
              <w:t>Data source</w:t>
            </w:r>
          </w:p>
        </w:tc>
      </w:tr>
      <w:tr w:rsidR="003D1F7F" w:rsidRPr="00806669" w14:paraId="102FCDD6" w14:textId="77777777" w:rsidTr="00101AFE">
        <w:trPr>
          <w:trHeight w:val="397"/>
          <w:jc w:val="center"/>
        </w:trPr>
        <w:tc>
          <w:tcPr>
            <w:tcW w:w="2045" w:type="dxa"/>
            <w:tcBorders>
              <w:top w:val="single" w:sz="4" w:space="0" w:color="auto"/>
            </w:tcBorders>
            <w:shd w:val="clear" w:color="auto" w:fill="E7F3F4"/>
          </w:tcPr>
          <w:p w14:paraId="767C773B" w14:textId="77777777" w:rsidR="003D1F7F" w:rsidRPr="00806669" w:rsidRDefault="003D1F7F" w:rsidP="00101AFE">
            <w:pPr>
              <w:spacing w:before="0" w:after="0" w:line="200" w:lineRule="exact"/>
              <w:rPr>
                <w:i/>
                <w:sz w:val="18"/>
                <w:szCs w:val="18"/>
              </w:rPr>
            </w:pPr>
            <w:r w:rsidRPr="00806669">
              <w:rPr>
                <w:i/>
                <w:sz w:val="18"/>
                <w:szCs w:val="18"/>
              </w:rPr>
              <w:t>Climate</w:t>
            </w:r>
          </w:p>
        </w:tc>
        <w:tc>
          <w:tcPr>
            <w:tcW w:w="1990" w:type="dxa"/>
            <w:tcBorders>
              <w:top w:val="single" w:sz="4" w:space="0" w:color="auto"/>
            </w:tcBorders>
            <w:shd w:val="clear" w:color="auto" w:fill="E7F3F4"/>
          </w:tcPr>
          <w:p w14:paraId="1FF6F890" w14:textId="77777777" w:rsidR="003D1F7F" w:rsidRPr="00806669" w:rsidRDefault="003D1F7F" w:rsidP="00101AFE">
            <w:pPr>
              <w:spacing w:before="0" w:after="0" w:line="200" w:lineRule="exact"/>
              <w:rPr>
                <w:sz w:val="18"/>
                <w:szCs w:val="18"/>
              </w:rPr>
            </w:pPr>
          </w:p>
        </w:tc>
        <w:tc>
          <w:tcPr>
            <w:tcW w:w="2977" w:type="dxa"/>
            <w:tcBorders>
              <w:top w:val="single" w:sz="4" w:space="0" w:color="auto"/>
            </w:tcBorders>
            <w:shd w:val="clear" w:color="auto" w:fill="E7F3F4"/>
          </w:tcPr>
          <w:p w14:paraId="60AA75F7" w14:textId="77777777" w:rsidR="003D1F7F" w:rsidRPr="00806669" w:rsidRDefault="003D1F7F" w:rsidP="00101AFE">
            <w:pPr>
              <w:spacing w:before="0" w:after="0" w:line="200" w:lineRule="exact"/>
              <w:rPr>
                <w:sz w:val="18"/>
                <w:szCs w:val="18"/>
              </w:rPr>
            </w:pPr>
          </w:p>
        </w:tc>
        <w:tc>
          <w:tcPr>
            <w:tcW w:w="1515" w:type="dxa"/>
            <w:tcBorders>
              <w:top w:val="single" w:sz="4" w:space="0" w:color="auto"/>
            </w:tcBorders>
            <w:shd w:val="clear" w:color="auto" w:fill="E7F3F4"/>
          </w:tcPr>
          <w:p w14:paraId="067C73C7" w14:textId="77777777" w:rsidR="003D1F7F" w:rsidRPr="00806669" w:rsidRDefault="003D1F7F" w:rsidP="00101AFE">
            <w:pPr>
              <w:spacing w:before="0" w:after="0" w:line="200" w:lineRule="exact"/>
              <w:rPr>
                <w:sz w:val="18"/>
                <w:szCs w:val="18"/>
              </w:rPr>
            </w:pPr>
          </w:p>
        </w:tc>
        <w:tc>
          <w:tcPr>
            <w:tcW w:w="2596" w:type="dxa"/>
            <w:tcBorders>
              <w:top w:val="single" w:sz="4" w:space="0" w:color="auto"/>
            </w:tcBorders>
            <w:shd w:val="clear" w:color="auto" w:fill="E7F3F4"/>
          </w:tcPr>
          <w:p w14:paraId="6F72541C" w14:textId="77777777" w:rsidR="003D1F7F" w:rsidRPr="00806669" w:rsidRDefault="003D1F7F" w:rsidP="00101AFE">
            <w:pPr>
              <w:spacing w:before="0" w:after="0" w:line="200" w:lineRule="exact"/>
              <w:rPr>
                <w:sz w:val="18"/>
                <w:szCs w:val="18"/>
              </w:rPr>
            </w:pPr>
          </w:p>
        </w:tc>
        <w:tc>
          <w:tcPr>
            <w:tcW w:w="3261" w:type="dxa"/>
            <w:tcBorders>
              <w:top w:val="single" w:sz="4" w:space="0" w:color="auto"/>
            </w:tcBorders>
            <w:shd w:val="clear" w:color="auto" w:fill="E7F3F4"/>
          </w:tcPr>
          <w:p w14:paraId="1011A691" w14:textId="77777777" w:rsidR="003D1F7F" w:rsidRPr="00806669" w:rsidRDefault="003D1F7F" w:rsidP="00101AFE">
            <w:pPr>
              <w:spacing w:before="0" w:after="0" w:line="200" w:lineRule="exact"/>
              <w:rPr>
                <w:sz w:val="18"/>
                <w:szCs w:val="18"/>
              </w:rPr>
            </w:pPr>
          </w:p>
        </w:tc>
      </w:tr>
      <w:tr w:rsidR="003D1F7F" w:rsidRPr="00806669" w14:paraId="6DDE0F88" w14:textId="77777777" w:rsidTr="00101AFE">
        <w:trPr>
          <w:trHeight w:val="397"/>
          <w:jc w:val="center"/>
        </w:trPr>
        <w:tc>
          <w:tcPr>
            <w:tcW w:w="2045" w:type="dxa"/>
            <w:shd w:val="clear" w:color="auto" w:fill="E7F3F4"/>
          </w:tcPr>
          <w:p w14:paraId="14F85752" w14:textId="77777777" w:rsidR="003D1F7F" w:rsidRPr="00806669" w:rsidRDefault="003D1F7F" w:rsidP="00037AE5">
            <w:pPr>
              <w:spacing w:before="0" w:after="0"/>
              <w:ind w:left="176"/>
              <w:rPr>
                <w:sz w:val="18"/>
                <w:szCs w:val="18"/>
              </w:rPr>
            </w:pPr>
            <w:r w:rsidRPr="00806669">
              <w:rPr>
                <w:sz w:val="18"/>
                <w:szCs w:val="18"/>
              </w:rPr>
              <w:t>Cyclones</w:t>
            </w:r>
          </w:p>
        </w:tc>
        <w:tc>
          <w:tcPr>
            <w:tcW w:w="1990" w:type="dxa"/>
            <w:shd w:val="clear" w:color="auto" w:fill="E7F3F4"/>
          </w:tcPr>
          <w:p w14:paraId="163AB0B2" w14:textId="290875ED" w:rsidR="003D1F7F" w:rsidRPr="00806669" w:rsidRDefault="00037AE5" w:rsidP="006574F1">
            <w:pPr>
              <w:spacing w:before="0" w:after="0"/>
              <w:rPr>
                <w:sz w:val="18"/>
                <w:szCs w:val="18"/>
              </w:rPr>
            </w:pPr>
            <w:r>
              <w:rPr>
                <w:sz w:val="18"/>
                <w:szCs w:val="18"/>
              </w:rPr>
              <w:t>1968 - 201</w:t>
            </w:r>
            <w:r w:rsidR="006574F1">
              <w:rPr>
                <w:sz w:val="18"/>
                <w:szCs w:val="18"/>
              </w:rPr>
              <w:t>7</w:t>
            </w:r>
          </w:p>
        </w:tc>
        <w:tc>
          <w:tcPr>
            <w:tcW w:w="2977" w:type="dxa"/>
            <w:shd w:val="clear" w:color="auto" w:fill="E7F3F4"/>
          </w:tcPr>
          <w:p w14:paraId="64995036" w14:textId="77777777" w:rsidR="003D1F7F" w:rsidRPr="00806669" w:rsidRDefault="00037AE5" w:rsidP="00037AE5">
            <w:pPr>
              <w:spacing w:before="0" w:after="0"/>
              <w:rPr>
                <w:sz w:val="18"/>
                <w:szCs w:val="18"/>
              </w:rPr>
            </w:pPr>
            <w:r>
              <w:rPr>
                <w:sz w:val="18"/>
                <w:szCs w:val="18"/>
              </w:rPr>
              <w:t xml:space="preserve">remote sensing and observations at </w:t>
            </w:r>
            <w:r w:rsidRPr="00037AE5">
              <w:rPr>
                <w:sz w:val="18"/>
                <w:szCs w:val="18"/>
              </w:rPr>
              <w:t>nearest weather</w:t>
            </w:r>
            <w:r>
              <w:rPr>
                <w:sz w:val="18"/>
                <w:szCs w:val="18"/>
              </w:rPr>
              <w:t xml:space="preserve"> </w:t>
            </w:r>
            <w:r w:rsidRPr="00037AE5">
              <w:rPr>
                <w:sz w:val="18"/>
                <w:szCs w:val="18"/>
              </w:rPr>
              <w:t>station</w:t>
            </w:r>
          </w:p>
        </w:tc>
        <w:tc>
          <w:tcPr>
            <w:tcW w:w="1515" w:type="dxa"/>
            <w:shd w:val="clear" w:color="auto" w:fill="E7F3F4"/>
          </w:tcPr>
          <w:p w14:paraId="68A7269E" w14:textId="77777777" w:rsidR="003D1F7F" w:rsidRPr="00806669" w:rsidRDefault="00F6139F" w:rsidP="00037AE5">
            <w:pPr>
              <w:spacing w:before="0" w:after="0"/>
              <w:rPr>
                <w:sz w:val="18"/>
                <w:szCs w:val="18"/>
              </w:rPr>
            </w:pPr>
            <w:r>
              <w:rPr>
                <w:sz w:val="18"/>
                <w:szCs w:val="18"/>
              </w:rPr>
              <w:t>yearly</w:t>
            </w:r>
          </w:p>
        </w:tc>
        <w:tc>
          <w:tcPr>
            <w:tcW w:w="2596" w:type="dxa"/>
            <w:shd w:val="clear" w:color="auto" w:fill="E7F3F4"/>
          </w:tcPr>
          <w:p w14:paraId="6F817707" w14:textId="77777777" w:rsidR="003D1F7F" w:rsidRPr="00806669" w:rsidRDefault="003D1F7F" w:rsidP="00037AE5">
            <w:pPr>
              <w:spacing w:before="0" w:after="0"/>
              <w:rPr>
                <w:sz w:val="18"/>
                <w:szCs w:val="18"/>
              </w:rPr>
            </w:pPr>
            <w:r>
              <w:rPr>
                <w:sz w:val="18"/>
                <w:szCs w:val="18"/>
              </w:rPr>
              <w:t>No. yr</w:t>
            </w:r>
            <w:r w:rsidRPr="00806669">
              <w:rPr>
                <w:sz w:val="18"/>
                <w:szCs w:val="18"/>
                <w:vertAlign w:val="superscript"/>
              </w:rPr>
              <w:t>-1</w:t>
            </w:r>
          </w:p>
        </w:tc>
        <w:tc>
          <w:tcPr>
            <w:tcW w:w="3261" w:type="dxa"/>
            <w:shd w:val="clear" w:color="auto" w:fill="E7F3F4"/>
          </w:tcPr>
          <w:p w14:paraId="54C03C81" w14:textId="77777777" w:rsidR="003D1F7F" w:rsidRPr="00806669" w:rsidRDefault="003D1F7F"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14:paraId="04091E56" w14:textId="77777777" w:rsidTr="00101AFE">
        <w:trPr>
          <w:trHeight w:val="397"/>
          <w:jc w:val="center"/>
        </w:trPr>
        <w:tc>
          <w:tcPr>
            <w:tcW w:w="2045" w:type="dxa"/>
            <w:shd w:val="clear" w:color="auto" w:fill="E7F3F4"/>
          </w:tcPr>
          <w:p w14:paraId="7B06B91B" w14:textId="77777777" w:rsidR="003D1F7F" w:rsidRPr="00806669" w:rsidRDefault="003D1F7F" w:rsidP="00037AE5">
            <w:pPr>
              <w:spacing w:before="0" w:after="0"/>
              <w:ind w:left="176"/>
              <w:rPr>
                <w:sz w:val="18"/>
                <w:szCs w:val="18"/>
              </w:rPr>
            </w:pPr>
            <w:r w:rsidRPr="00806669">
              <w:rPr>
                <w:sz w:val="18"/>
                <w:szCs w:val="18"/>
              </w:rPr>
              <w:t>Rainfall</w:t>
            </w:r>
          </w:p>
        </w:tc>
        <w:tc>
          <w:tcPr>
            <w:tcW w:w="1990" w:type="dxa"/>
            <w:shd w:val="clear" w:color="auto" w:fill="E7F3F4"/>
          </w:tcPr>
          <w:p w14:paraId="4BF845CE" w14:textId="6711B756" w:rsidR="003D1F7F" w:rsidRPr="00806669" w:rsidRDefault="00F6139F" w:rsidP="006574F1">
            <w:pPr>
              <w:spacing w:before="0" w:after="0"/>
              <w:rPr>
                <w:sz w:val="18"/>
                <w:szCs w:val="18"/>
              </w:rPr>
            </w:pPr>
            <w:r>
              <w:rPr>
                <w:sz w:val="18"/>
                <w:szCs w:val="18"/>
              </w:rPr>
              <w:t>1889 - 201</w:t>
            </w:r>
            <w:r w:rsidR="006574F1">
              <w:rPr>
                <w:sz w:val="18"/>
                <w:szCs w:val="18"/>
              </w:rPr>
              <w:t>7</w:t>
            </w:r>
            <w:r>
              <w:rPr>
                <w:sz w:val="18"/>
                <w:szCs w:val="18"/>
              </w:rPr>
              <w:t>*</w:t>
            </w:r>
          </w:p>
        </w:tc>
        <w:tc>
          <w:tcPr>
            <w:tcW w:w="2977" w:type="dxa"/>
            <w:shd w:val="clear" w:color="auto" w:fill="E7F3F4"/>
          </w:tcPr>
          <w:p w14:paraId="0E9AD990" w14:textId="77777777" w:rsidR="003D1F7F" w:rsidRPr="00806669" w:rsidRDefault="00037AE5" w:rsidP="00037AE5">
            <w:pPr>
              <w:spacing w:before="0" w:after="0"/>
              <w:rPr>
                <w:sz w:val="18"/>
                <w:szCs w:val="18"/>
              </w:rPr>
            </w:pPr>
            <w:r>
              <w:rPr>
                <w:sz w:val="18"/>
                <w:szCs w:val="18"/>
              </w:rPr>
              <w:t>r</w:t>
            </w:r>
            <w:r w:rsidR="003D1F7F">
              <w:rPr>
                <w:sz w:val="18"/>
                <w:szCs w:val="18"/>
              </w:rPr>
              <w:t>ain gauges</w:t>
            </w:r>
            <w:r>
              <w:rPr>
                <w:sz w:val="18"/>
                <w:szCs w:val="18"/>
              </w:rPr>
              <w:t xml:space="preserve"> </w:t>
            </w:r>
            <w:r w:rsidRPr="00037AE5">
              <w:rPr>
                <w:sz w:val="18"/>
                <w:szCs w:val="18"/>
              </w:rPr>
              <w:t>at nearest weather</w:t>
            </w:r>
            <w:r>
              <w:rPr>
                <w:sz w:val="18"/>
                <w:szCs w:val="18"/>
              </w:rPr>
              <w:t xml:space="preserve"> </w:t>
            </w:r>
            <w:r w:rsidRPr="00037AE5">
              <w:rPr>
                <w:sz w:val="18"/>
                <w:szCs w:val="18"/>
              </w:rPr>
              <w:t>station</w:t>
            </w:r>
          </w:p>
        </w:tc>
        <w:tc>
          <w:tcPr>
            <w:tcW w:w="1515" w:type="dxa"/>
            <w:shd w:val="clear" w:color="auto" w:fill="E7F3F4"/>
          </w:tcPr>
          <w:p w14:paraId="6599281A" w14:textId="77777777" w:rsidR="003D1F7F" w:rsidRPr="00806669" w:rsidRDefault="00F6139F" w:rsidP="00037AE5">
            <w:pPr>
              <w:spacing w:before="0" w:after="0"/>
              <w:rPr>
                <w:sz w:val="18"/>
                <w:szCs w:val="18"/>
              </w:rPr>
            </w:pPr>
            <w:r>
              <w:rPr>
                <w:sz w:val="18"/>
                <w:szCs w:val="18"/>
              </w:rPr>
              <w:t>d</w:t>
            </w:r>
            <w:r w:rsidR="003D1F7F">
              <w:rPr>
                <w:sz w:val="18"/>
                <w:szCs w:val="18"/>
              </w:rPr>
              <w:t>aily</w:t>
            </w:r>
          </w:p>
        </w:tc>
        <w:tc>
          <w:tcPr>
            <w:tcW w:w="2596" w:type="dxa"/>
            <w:shd w:val="clear" w:color="auto" w:fill="E7F3F4"/>
          </w:tcPr>
          <w:p w14:paraId="3FA44F87" w14:textId="77777777" w:rsidR="003D1F7F" w:rsidRDefault="00101AFE" w:rsidP="00037AE5">
            <w:pPr>
              <w:spacing w:before="0" w:after="0"/>
              <w:rPr>
                <w:sz w:val="18"/>
                <w:szCs w:val="18"/>
              </w:rPr>
            </w:pPr>
            <w:r>
              <w:rPr>
                <w:sz w:val="18"/>
                <w:szCs w:val="18"/>
              </w:rPr>
              <w:t>m</w:t>
            </w:r>
            <w:r w:rsidR="003D1F7F">
              <w:rPr>
                <w:sz w:val="18"/>
                <w:szCs w:val="18"/>
              </w:rPr>
              <w:t>m mo</w:t>
            </w:r>
            <w:r w:rsidR="003D1F7F" w:rsidRPr="00806669">
              <w:rPr>
                <w:sz w:val="18"/>
                <w:szCs w:val="18"/>
                <w:vertAlign w:val="superscript"/>
              </w:rPr>
              <w:t>-1</w:t>
            </w:r>
          </w:p>
          <w:p w14:paraId="1D8BBEF8" w14:textId="77777777" w:rsidR="003D1F7F" w:rsidRPr="00806669" w:rsidRDefault="003D1F7F" w:rsidP="00037AE5">
            <w:pPr>
              <w:spacing w:before="0" w:after="0"/>
              <w:rPr>
                <w:sz w:val="18"/>
                <w:szCs w:val="18"/>
              </w:rPr>
            </w:pPr>
            <w:r>
              <w:rPr>
                <w:sz w:val="18"/>
                <w:szCs w:val="18"/>
              </w:rPr>
              <w:t>mm yr</w:t>
            </w:r>
            <w:r w:rsidRPr="00806669">
              <w:rPr>
                <w:sz w:val="18"/>
                <w:szCs w:val="18"/>
                <w:vertAlign w:val="superscript"/>
              </w:rPr>
              <w:t>-1</w:t>
            </w:r>
          </w:p>
        </w:tc>
        <w:tc>
          <w:tcPr>
            <w:tcW w:w="3261" w:type="dxa"/>
            <w:shd w:val="clear" w:color="auto" w:fill="E7F3F4"/>
          </w:tcPr>
          <w:p w14:paraId="1529EA2B" w14:textId="77777777" w:rsidR="003D1F7F" w:rsidRPr="00806669" w:rsidRDefault="00037AE5" w:rsidP="00037AE5">
            <w:pPr>
              <w:spacing w:before="0" w:after="0"/>
              <w:rPr>
                <w:sz w:val="18"/>
                <w:szCs w:val="18"/>
              </w:rPr>
            </w:pPr>
            <w:r>
              <w:rPr>
                <w:sz w:val="18"/>
                <w:szCs w:val="18"/>
              </w:rPr>
              <w:t>Bureau of M</w:t>
            </w:r>
            <w:r w:rsidR="003D1F7F">
              <w:rPr>
                <w:sz w:val="18"/>
                <w:szCs w:val="18"/>
              </w:rPr>
              <w:t>eteorology</w:t>
            </w:r>
          </w:p>
        </w:tc>
      </w:tr>
      <w:tr w:rsidR="003D1F7F" w:rsidRPr="00806669" w14:paraId="339E0D48" w14:textId="77777777" w:rsidTr="00101AFE">
        <w:trPr>
          <w:trHeight w:val="397"/>
          <w:jc w:val="center"/>
        </w:trPr>
        <w:tc>
          <w:tcPr>
            <w:tcW w:w="2045" w:type="dxa"/>
            <w:shd w:val="clear" w:color="auto" w:fill="E7F3F4"/>
          </w:tcPr>
          <w:p w14:paraId="6CDD6AE2" w14:textId="77777777" w:rsidR="003D1F7F" w:rsidRPr="00806669" w:rsidRDefault="003D1F7F" w:rsidP="00037AE5">
            <w:pPr>
              <w:spacing w:before="0" w:after="0"/>
              <w:ind w:left="176"/>
              <w:rPr>
                <w:sz w:val="18"/>
                <w:szCs w:val="18"/>
              </w:rPr>
            </w:pPr>
            <w:r w:rsidRPr="00806669">
              <w:rPr>
                <w:sz w:val="18"/>
                <w:szCs w:val="18"/>
              </w:rPr>
              <w:t>Riverine discharge</w:t>
            </w:r>
          </w:p>
        </w:tc>
        <w:tc>
          <w:tcPr>
            <w:tcW w:w="1990" w:type="dxa"/>
            <w:shd w:val="clear" w:color="auto" w:fill="E7F3F4"/>
          </w:tcPr>
          <w:p w14:paraId="055A4F4D" w14:textId="52FF06D2" w:rsidR="003D1F7F" w:rsidRPr="00806669" w:rsidRDefault="003D1F7F" w:rsidP="006574F1">
            <w:pPr>
              <w:spacing w:before="0" w:after="0"/>
              <w:rPr>
                <w:sz w:val="18"/>
                <w:szCs w:val="18"/>
              </w:rPr>
            </w:pPr>
            <w:r>
              <w:rPr>
                <w:sz w:val="18"/>
                <w:szCs w:val="18"/>
              </w:rPr>
              <w:t xml:space="preserve">1970 </w:t>
            </w:r>
            <w:r w:rsidRPr="00806669">
              <w:rPr>
                <w:sz w:val="18"/>
                <w:szCs w:val="18"/>
              </w:rPr>
              <w:t>–</w:t>
            </w:r>
            <w:r>
              <w:rPr>
                <w:sz w:val="18"/>
                <w:szCs w:val="18"/>
              </w:rPr>
              <w:t xml:space="preserve"> </w:t>
            </w:r>
            <w:r w:rsidRPr="00806669">
              <w:rPr>
                <w:sz w:val="18"/>
                <w:szCs w:val="18"/>
              </w:rPr>
              <w:t>201</w:t>
            </w:r>
            <w:r w:rsidR="006574F1">
              <w:rPr>
                <w:sz w:val="18"/>
                <w:szCs w:val="18"/>
              </w:rPr>
              <w:t>7</w:t>
            </w:r>
          </w:p>
        </w:tc>
        <w:tc>
          <w:tcPr>
            <w:tcW w:w="2977" w:type="dxa"/>
            <w:shd w:val="clear" w:color="auto" w:fill="E7F3F4"/>
          </w:tcPr>
          <w:p w14:paraId="74A0DF5D" w14:textId="77777777" w:rsidR="003D1F7F" w:rsidRPr="00806669" w:rsidRDefault="00037AE5" w:rsidP="00037AE5">
            <w:pPr>
              <w:spacing w:before="0" w:after="0"/>
              <w:rPr>
                <w:sz w:val="18"/>
                <w:szCs w:val="18"/>
              </w:rPr>
            </w:pPr>
            <w:r>
              <w:rPr>
                <w:sz w:val="18"/>
                <w:szCs w:val="18"/>
              </w:rPr>
              <w:t>water g</w:t>
            </w:r>
            <w:r w:rsidR="003D1F7F">
              <w:rPr>
                <w:sz w:val="18"/>
                <w:szCs w:val="18"/>
              </w:rPr>
              <w:t>auging stations at river mouth</w:t>
            </w:r>
          </w:p>
        </w:tc>
        <w:tc>
          <w:tcPr>
            <w:tcW w:w="1515" w:type="dxa"/>
            <w:shd w:val="clear" w:color="auto" w:fill="E7F3F4"/>
          </w:tcPr>
          <w:p w14:paraId="5AA5DAEF" w14:textId="77777777" w:rsidR="003D1F7F" w:rsidRPr="00806669" w:rsidRDefault="003D1F7F" w:rsidP="00037AE5">
            <w:pPr>
              <w:spacing w:before="0" w:after="0"/>
              <w:rPr>
                <w:sz w:val="18"/>
                <w:szCs w:val="18"/>
              </w:rPr>
            </w:pPr>
          </w:p>
        </w:tc>
        <w:tc>
          <w:tcPr>
            <w:tcW w:w="2596" w:type="dxa"/>
            <w:shd w:val="clear" w:color="auto" w:fill="E7F3F4"/>
          </w:tcPr>
          <w:p w14:paraId="27CCEF3F" w14:textId="77777777" w:rsidR="003D1F7F" w:rsidRDefault="003D1F7F" w:rsidP="00037AE5">
            <w:pPr>
              <w:spacing w:before="0" w:after="0"/>
              <w:rPr>
                <w:sz w:val="18"/>
                <w:szCs w:val="18"/>
                <w:vertAlign w:val="superscript"/>
              </w:rPr>
            </w:pPr>
            <w:r>
              <w:rPr>
                <w:sz w:val="18"/>
                <w:szCs w:val="18"/>
              </w:rPr>
              <w:t>L d</w:t>
            </w:r>
            <w:r w:rsidRPr="00806669">
              <w:rPr>
                <w:sz w:val="18"/>
                <w:szCs w:val="18"/>
                <w:vertAlign w:val="superscript"/>
              </w:rPr>
              <w:t>-1</w:t>
            </w:r>
          </w:p>
          <w:p w14:paraId="7C03175A" w14:textId="77777777" w:rsidR="003D1F7F" w:rsidRPr="00806669" w:rsidRDefault="003D1F7F" w:rsidP="00037AE5">
            <w:pPr>
              <w:spacing w:before="0" w:after="0"/>
              <w:rPr>
                <w:sz w:val="18"/>
                <w:szCs w:val="18"/>
              </w:rPr>
            </w:pPr>
            <w:r w:rsidRPr="00806669">
              <w:rPr>
                <w:sz w:val="18"/>
                <w:szCs w:val="18"/>
              </w:rPr>
              <w:t>L yr</w:t>
            </w:r>
            <w:r>
              <w:rPr>
                <w:sz w:val="18"/>
                <w:szCs w:val="18"/>
                <w:vertAlign w:val="superscript"/>
              </w:rPr>
              <w:t>-1</w:t>
            </w:r>
          </w:p>
        </w:tc>
        <w:tc>
          <w:tcPr>
            <w:tcW w:w="3261" w:type="dxa"/>
            <w:shd w:val="clear" w:color="auto" w:fill="E7F3F4"/>
          </w:tcPr>
          <w:p w14:paraId="1DA3E53D" w14:textId="5ACD0FF6" w:rsidR="003D1F7F" w:rsidRPr="00806669" w:rsidRDefault="00C3035F" w:rsidP="00305FE7">
            <w:pPr>
              <w:spacing w:before="0" w:after="0"/>
              <w:rPr>
                <w:sz w:val="18"/>
                <w:szCs w:val="18"/>
              </w:rPr>
            </w:pPr>
            <w:r>
              <w:rPr>
                <w:sz w:val="18"/>
                <w:szCs w:val="18"/>
              </w:rPr>
              <w:t>DSITI</w:t>
            </w:r>
            <w:r w:rsidRPr="00645107">
              <w:rPr>
                <w:sz w:val="18"/>
                <w:szCs w:val="18"/>
                <w:vertAlign w:val="superscript"/>
              </w:rPr>
              <w:t>#</w:t>
            </w:r>
            <w:r w:rsidR="003D1F7F" w:rsidRPr="00806669">
              <w:rPr>
                <w:sz w:val="18"/>
                <w:szCs w:val="18"/>
              </w:rPr>
              <w:t xml:space="preserve">, compiled by </w:t>
            </w:r>
            <w:hyperlink w:anchor="_ENREF_233" w:tooltip="Waterhouse, 2018 #11521" w:history="1">
              <w:r w:rsidR="00305FE7">
                <w:rPr>
                  <w:sz w:val="18"/>
                  <w:szCs w:val="18"/>
                </w:rPr>
                <w:fldChar w:fldCharType="begin"/>
              </w:r>
              <w:r w:rsidR="00305FE7">
                <w:rPr>
                  <w:sz w:val="18"/>
                  <w:szCs w:val="18"/>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sz w:val="18"/>
                  <w:szCs w:val="18"/>
                </w:rPr>
                <w:fldChar w:fldCharType="separate"/>
              </w:r>
              <w:r w:rsidR="00305FE7">
                <w:rPr>
                  <w:noProof/>
                  <w:sz w:val="18"/>
                  <w:szCs w:val="18"/>
                </w:rPr>
                <w:t>Waterhouse</w:t>
              </w:r>
              <w:r w:rsidR="00305FE7" w:rsidRPr="00305FE7">
                <w:rPr>
                  <w:i/>
                  <w:noProof/>
                  <w:sz w:val="18"/>
                  <w:szCs w:val="18"/>
                </w:rPr>
                <w:t xml:space="preserve"> et al.</w:t>
              </w:r>
              <w:r w:rsidR="00305FE7">
                <w:rPr>
                  <w:noProof/>
                  <w:sz w:val="18"/>
                  <w:szCs w:val="18"/>
                </w:rPr>
                <w:t xml:space="preserve"> 2018</w:t>
              </w:r>
              <w:r w:rsidR="00305FE7">
                <w:rPr>
                  <w:sz w:val="18"/>
                  <w:szCs w:val="18"/>
                </w:rPr>
                <w:fldChar w:fldCharType="end"/>
              </w:r>
            </w:hyperlink>
          </w:p>
        </w:tc>
      </w:tr>
      <w:tr w:rsidR="003D1F7F" w:rsidRPr="00806669" w14:paraId="5FE54245" w14:textId="77777777" w:rsidTr="00101AFE">
        <w:trPr>
          <w:trHeight w:val="397"/>
          <w:jc w:val="center"/>
        </w:trPr>
        <w:tc>
          <w:tcPr>
            <w:tcW w:w="2045" w:type="dxa"/>
            <w:tcBorders>
              <w:bottom w:val="nil"/>
            </w:tcBorders>
            <w:shd w:val="clear" w:color="auto" w:fill="E7F3F4"/>
          </w:tcPr>
          <w:p w14:paraId="51705EDE" w14:textId="77777777" w:rsidR="003D1F7F" w:rsidRPr="00806669" w:rsidRDefault="003D1F7F" w:rsidP="00037AE5">
            <w:pPr>
              <w:spacing w:before="0" w:after="0"/>
              <w:ind w:left="176"/>
              <w:rPr>
                <w:sz w:val="18"/>
                <w:szCs w:val="18"/>
              </w:rPr>
            </w:pPr>
            <w:r w:rsidRPr="00806669">
              <w:rPr>
                <w:sz w:val="18"/>
                <w:szCs w:val="18"/>
              </w:rPr>
              <w:t>Plume exposure</w:t>
            </w:r>
          </w:p>
        </w:tc>
        <w:tc>
          <w:tcPr>
            <w:tcW w:w="1990" w:type="dxa"/>
            <w:tcBorders>
              <w:bottom w:val="nil"/>
            </w:tcBorders>
            <w:shd w:val="clear" w:color="auto" w:fill="E7F3F4"/>
          </w:tcPr>
          <w:p w14:paraId="5EF45113" w14:textId="7C1ACB79" w:rsidR="003D1F7F" w:rsidRDefault="003D1F7F" w:rsidP="00037AE5">
            <w:pPr>
              <w:spacing w:before="0" w:after="0"/>
              <w:rPr>
                <w:sz w:val="18"/>
                <w:szCs w:val="18"/>
              </w:rPr>
            </w:pPr>
            <w:r>
              <w:rPr>
                <w:sz w:val="18"/>
                <w:szCs w:val="18"/>
              </w:rPr>
              <w:t xml:space="preserve">2006 </w:t>
            </w:r>
            <w:r w:rsidRPr="00806669">
              <w:rPr>
                <w:sz w:val="18"/>
                <w:szCs w:val="18"/>
              </w:rPr>
              <w:t>–</w:t>
            </w:r>
            <w:r>
              <w:rPr>
                <w:sz w:val="18"/>
                <w:szCs w:val="18"/>
              </w:rPr>
              <w:t xml:space="preserve"> </w:t>
            </w:r>
            <w:r w:rsidRPr="00806669">
              <w:rPr>
                <w:sz w:val="18"/>
                <w:szCs w:val="18"/>
              </w:rPr>
              <w:t>201</w:t>
            </w:r>
            <w:r w:rsidR="006574F1">
              <w:rPr>
                <w:sz w:val="18"/>
                <w:szCs w:val="18"/>
              </w:rPr>
              <w:t>7</w:t>
            </w:r>
          </w:p>
          <w:p w14:paraId="5DD72B5B" w14:textId="77777777" w:rsidR="003D1F7F" w:rsidRPr="00806669" w:rsidRDefault="003D1F7F" w:rsidP="00037AE5">
            <w:pPr>
              <w:spacing w:before="0" w:after="0"/>
              <w:rPr>
                <w:sz w:val="18"/>
                <w:szCs w:val="18"/>
              </w:rPr>
            </w:pPr>
            <w:r>
              <w:rPr>
                <w:sz w:val="18"/>
                <w:szCs w:val="18"/>
              </w:rPr>
              <w:t>wet season (</w:t>
            </w:r>
            <w:r w:rsidR="00101AFE">
              <w:rPr>
                <w:sz w:val="18"/>
                <w:szCs w:val="18"/>
              </w:rPr>
              <w:t>Dec</w:t>
            </w:r>
            <w:r>
              <w:rPr>
                <w:sz w:val="18"/>
                <w:szCs w:val="18"/>
              </w:rPr>
              <w:t xml:space="preserve"> </w:t>
            </w:r>
            <w:r w:rsidRPr="00806669">
              <w:rPr>
                <w:sz w:val="18"/>
                <w:szCs w:val="18"/>
              </w:rPr>
              <w:t>–</w:t>
            </w:r>
            <w:r>
              <w:rPr>
                <w:sz w:val="18"/>
                <w:szCs w:val="18"/>
              </w:rPr>
              <w:t xml:space="preserve"> </w:t>
            </w:r>
            <w:r w:rsidR="00101AFE">
              <w:rPr>
                <w:sz w:val="18"/>
                <w:szCs w:val="18"/>
              </w:rPr>
              <w:t>Apr</w:t>
            </w:r>
            <w:r>
              <w:rPr>
                <w:sz w:val="18"/>
                <w:szCs w:val="18"/>
              </w:rPr>
              <w:t>)</w:t>
            </w:r>
          </w:p>
        </w:tc>
        <w:tc>
          <w:tcPr>
            <w:tcW w:w="2977" w:type="dxa"/>
            <w:tcBorders>
              <w:bottom w:val="nil"/>
            </w:tcBorders>
            <w:shd w:val="clear" w:color="auto" w:fill="E7F3F4"/>
          </w:tcPr>
          <w:p w14:paraId="22A719A7" w14:textId="77777777" w:rsidR="003D1F7F" w:rsidRPr="00806669" w:rsidRDefault="00037AE5" w:rsidP="00037AE5">
            <w:pPr>
              <w:spacing w:before="0" w:after="0"/>
              <w:rPr>
                <w:sz w:val="18"/>
                <w:szCs w:val="18"/>
              </w:rPr>
            </w:pPr>
            <w:r>
              <w:rPr>
                <w:sz w:val="18"/>
                <w:szCs w:val="18"/>
              </w:rPr>
              <w:t>r</w:t>
            </w:r>
            <w:r w:rsidR="003D1F7F">
              <w:rPr>
                <w:sz w:val="18"/>
                <w:szCs w:val="18"/>
              </w:rPr>
              <w:t>emo</w:t>
            </w:r>
            <w:r>
              <w:rPr>
                <w:sz w:val="18"/>
                <w:szCs w:val="18"/>
              </w:rPr>
              <w:t>te sensing and field validation</w:t>
            </w:r>
          </w:p>
        </w:tc>
        <w:tc>
          <w:tcPr>
            <w:tcW w:w="1515" w:type="dxa"/>
            <w:tcBorders>
              <w:bottom w:val="nil"/>
            </w:tcBorders>
            <w:shd w:val="clear" w:color="auto" w:fill="E7F3F4"/>
          </w:tcPr>
          <w:p w14:paraId="7F8FDC1A" w14:textId="77777777" w:rsidR="003D1F7F" w:rsidRPr="00806669" w:rsidRDefault="00F6139F" w:rsidP="00037AE5">
            <w:pPr>
              <w:spacing w:before="0" w:after="0"/>
              <w:rPr>
                <w:sz w:val="18"/>
                <w:szCs w:val="18"/>
              </w:rPr>
            </w:pPr>
            <w:r>
              <w:rPr>
                <w:sz w:val="18"/>
                <w:szCs w:val="18"/>
              </w:rPr>
              <w:t>w</w:t>
            </w:r>
            <w:r w:rsidR="003D1F7F">
              <w:rPr>
                <w:sz w:val="18"/>
                <w:szCs w:val="18"/>
              </w:rPr>
              <w:t>eekly</w:t>
            </w:r>
          </w:p>
        </w:tc>
        <w:tc>
          <w:tcPr>
            <w:tcW w:w="2596" w:type="dxa"/>
            <w:tcBorders>
              <w:bottom w:val="nil"/>
            </w:tcBorders>
            <w:shd w:val="clear" w:color="auto" w:fill="E7F3F4"/>
          </w:tcPr>
          <w:p w14:paraId="4CFBD9BD" w14:textId="123CEE18" w:rsidR="003D1F7F" w:rsidRPr="00806669" w:rsidRDefault="00101AFE" w:rsidP="00037AE5">
            <w:pPr>
              <w:spacing w:before="0" w:after="0"/>
              <w:rPr>
                <w:sz w:val="18"/>
                <w:szCs w:val="18"/>
              </w:rPr>
            </w:pPr>
            <w:r>
              <w:rPr>
                <w:sz w:val="18"/>
                <w:szCs w:val="18"/>
              </w:rPr>
              <w:t>f</w:t>
            </w:r>
            <w:r w:rsidR="003D1F7F">
              <w:rPr>
                <w:sz w:val="18"/>
                <w:szCs w:val="18"/>
              </w:rPr>
              <w:t xml:space="preserve">requency of water type (1 </w:t>
            </w:r>
            <w:r w:rsidR="003D1F7F" w:rsidRPr="00806669">
              <w:rPr>
                <w:sz w:val="18"/>
                <w:szCs w:val="18"/>
              </w:rPr>
              <w:t>–</w:t>
            </w:r>
            <w:r w:rsidR="003D1F7F">
              <w:rPr>
                <w:sz w:val="18"/>
                <w:szCs w:val="18"/>
              </w:rPr>
              <w:t xml:space="preserve"> 6)</w:t>
            </w:r>
            <w:r w:rsidR="00C3035F">
              <w:rPr>
                <w:sz w:val="18"/>
                <w:szCs w:val="18"/>
              </w:rPr>
              <w:t xml:space="preserve"> at the site</w:t>
            </w:r>
          </w:p>
        </w:tc>
        <w:tc>
          <w:tcPr>
            <w:tcW w:w="3261" w:type="dxa"/>
            <w:tcBorders>
              <w:bottom w:val="nil"/>
            </w:tcBorders>
            <w:shd w:val="clear" w:color="auto" w:fill="E7F3F4"/>
          </w:tcPr>
          <w:p w14:paraId="74DD1115" w14:textId="4855C88C" w:rsidR="003D1F7F" w:rsidRPr="00806669" w:rsidRDefault="003D1F7F" w:rsidP="00037AE5">
            <w:pPr>
              <w:spacing w:before="0" w:after="0"/>
              <w:rPr>
                <w:sz w:val="18"/>
                <w:szCs w:val="18"/>
              </w:rPr>
            </w:pPr>
            <w:r w:rsidRPr="00806669">
              <w:rPr>
                <w:sz w:val="18"/>
                <w:szCs w:val="18"/>
              </w:rPr>
              <w:t>MMP inshore water quality program (</w:t>
            </w:r>
            <w:r w:rsidR="009B09C9">
              <w:rPr>
                <w:sz w:val="18"/>
                <w:szCs w:val="18"/>
              </w:rPr>
              <w:t xml:space="preserve">Waterhouse </w:t>
            </w:r>
            <w:r w:rsidR="009B09C9" w:rsidRPr="009B09C9">
              <w:rPr>
                <w:i/>
                <w:sz w:val="18"/>
                <w:szCs w:val="18"/>
              </w:rPr>
              <w:t>et al.</w:t>
            </w:r>
            <w:r w:rsidR="009B09C9">
              <w:rPr>
                <w:sz w:val="18"/>
                <w:szCs w:val="18"/>
              </w:rPr>
              <w:t xml:space="preserve"> 2018)</w:t>
            </w:r>
          </w:p>
        </w:tc>
      </w:tr>
      <w:tr w:rsidR="003D1F7F" w:rsidRPr="00806669" w14:paraId="3AB29AEC" w14:textId="77777777" w:rsidTr="00101AFE">
        <w:trPr>
          <w:trHeight w:val="397"/>
          <w:jc w:val="center"/>
        </w:trPr>
        <w:tc>
          <w:tcPr>
            <w:tcW w:w="2045" w:type="dxa"/>
            <w:tcBorders>
              <w:bottom w:val="nil"/>
            </w:tcBorders>
            <w:shd w:val="clear" w:color="auto" w:fill="E7F3F4"/>
          </w:tcPr>
          <w:p w14:paraId="792C43C7" w14:textId="77777777" w:rsidR="003D1F7F" w:rsidRPr="00806669" w:rsidRDefault="003D1F7F" w:rsidP="00037AE5">
            <w:pPr>
              <w:spacing w:before="0" w:after="0"/>
              <w:ind w:left="176"/>
              <w:rPr>
                <w:sz w:val="18"/>
                <w:szCs w:val="18"/>
              </w:rPr>
            </w:pPr>
            <w:r w:rsidRPr="00806669">
              <w:rPr>
                <w:sz w:val="18"/>
                <w:szCs w:val="18"/>
              </w:rPr>
              <w:t>Wind</w:t>
            </w:r>
          </w:p>
        </w:tc>
        <w:tc>
          <w:tcPr>
            <w:tcW w:w="1990" w:type="dxa"/>
            <w:tcBorders>
              <w:bottom w:val="nil"/>
            </w:tcBorders>
            <w:shd w:val="clear" w:color="auto" w:fill="E7F3F4"/>
          </w:tcPr>
          <w:p w14:paraId="32312D05" w14:textId="41C41A2A" w:rsidR="003D1F7F" w:rsidRPr="00806669" w:rsidRDefault="003D1F7F" w:rsidP="006574F1">
            <w:pPr>
              <w:spacing w:before="0" w:after="0"/>
              <w:rPr>
                <w:sz w:val="18"/>
                <w:szCs w:val="18"/>
              </w:rPr>
            </w:pPr>
            <w:r>
              <w:rPr>
                <w:sz w:val="18"/>
                <w:szCs w:val="18"/>
              </w:rPr>
              <w:t>1997 – 201</w:t>
            </w:r>
            <w:r w:rsidR="006574F1">
              <w:rPr>
                <w:sz w:val="18"/>
                <w:szCs w:val="18"/>
              </w:rPr>
              <w:t>7</w:t>
            </w:r>
            <w:r>
              <w:rPr>
                <w:sz w:val="18"/>
                <w:szCs w:val="18"/>
              </w:rPr>
              <w:t>*</w:t>
            </w:r>
          </w:p>
        </w:tc>
        <w:tc>
          <w:tcPr>
            <w:tcW w:w="2977" w:type="dxa"/>
            <w:tcBorders>
              <w:bottom w:val="nil"/>
            </w:tcBorders>
            <w:shd w:val="clear" w:color="auto" w:fill="E7F3F4"/>
          </w:tcPr>
          <w:p w14:paraId="2398D8E2" w14:textId="77777777" w:rsidR="003D1F7F" w:rsidRPr="00806669" w:rsidRDefault="006C265D" w:rsidP="006C265D">
            <w:pPr>
              <w:spacing w:before="0" w:after="0"/>
              <w:rPr>
                <w:sz w:val="18"/>
                <w:szCs w:val="18"/>
              </w:rPr>
            </w:pPr>
            <w:r w:rsidRPr="006C265D">
              <w:rPr>
                <w:sz w:val="18"/>
                <w:szCs w:val="18"/>
              </w:rPr>
              <w:t>anemometer at 10 m above the surface</w:t>
            </w:r>
            <w:r>
              <w:rPr>
                <w:sz w:val="18"/>
                <w:szCs w:val="18"/>
              </w:rPr>
              <w:t xml:space="preserve">, </w:t>
            </w:r>
            <w:r w:rsidR="00037AE5">
              <w:rPr>
                <w:sz w:val="18"/>
                <w:szCs w:val="18"/>
              </w:rPr>
              <w:t>averaged over 10 minutes</w:t>
            </w:r>
            <w:r>
              <w:rPr>
                <w:sz w:val="18"/>
                <w:szCs w:val="18"/>
              </w:rPr>
              <w:t>,</w:t>
            </w:r>
            <w:r w:rsidR="00037AE5">
              <w:rPr>
                <w:sz w:val="18"/>
                <w:szCs w:val="18"/>
              </w:rPr>
              <w:t xml:space="preserve"> at nearest weather station</w:t>
            </w:r>
          </w:p>
        </w:tc>
        <w:tc>
          <w:tcPr>
            <w:tcW w:w="1515" w:type="dxa"/>
            <w:tcBorders>
              <w:bottom w:val="nil"/>
            </w:tcBorders>
            <w:shd w:val="clear" w:color="auto" w:fill="E7F3F4"/>
          </w:tcPr>
          <w:p w14:paraId="39C51531" w14:textId="77777777" w:rsidR="003D1F7F" w:rsidRPr="00806669" w:rsidRDefault="003D1F7F" w:rsidP="00037AE5">
            <w:pPr>
              <w:spacing w:before="0" w:after="0"/>
              <w:rPr>
                <w:sz w:val="18"/>
                <w:szCs w:val="18"/>
              </w:rPr>
            </w:pPr>
            <w:r>
              <w:rPr>
                <w:sz w:val="18"/>
                <w:szCs w:val="18"/>
              </w:rPr>
              <w:t>3pm wind speed</w:t>
            </w:r>
          </w:p>
        </w:tc>
        <w:tc>
          <w:tcPr>
            <w:tcW w:w="2596" w:type="dxa"/>
            <w:tcBorders>
              <w:bottom w:val="nil"/>
            </w:tcBorders>
            <w:shd w:val="clear" w:color="auto" w:fill="E7F3F4"/>
          </w:tcPr>
          <w:p w14:paraId="58CAD064" w14:textId="77777777" w:rsidR="003D1F7F" w:rsidRPr="00806669" w:rsidRDefault="003D1F7F" w:rsidP="00037AE5">
            <w:pPr>
              <w:spacing w:before="0" w:after="0"/>
              <w:rPr>
                <w:sz w:val="18"/>
                <w:szCs w:val="18"/>
              </w:rPr>
            </w:pPr>
            <w:r>
              <w:rPr>
                <w:sz w:val="18"/>
                <w:szCs w:val="18"/>
              </w:rPr>
              <w:t>days &gt;25 km hr</w:t>
            </w:r>
            <w:r w:rsidRPr="00AC6451">
              <w:rPr>
                <w:sz w:val="18"/>
                <w:szCs w:val="18"/>
                <w:vertAlign w:val="superscript"/>
              </w:rPr>
              <w:t>-1</w:t>
            </w:r>
          </w:p>
        </w:tc>
        <w:tc>
          <w:tcPr>
            <w:tcW w:w="3261" w:type="dxa"/>
            <w:tcBorders>
              <w:bottom w:val="nil"/>
            </w:tcBorders>
            <w:shd w:val="clear" w:color="auto" w:fill="E7F3F4"/>
          </w:tcPr>
          <w:p w14:paraId="77A97320" w14:textId="77777777" w:rsidR="003D1F7F" w:rsidRPr="00806669" w:rsidRDefault="003D1F7F"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14:paraId="5A255796" w14:textId="77777777" w:rsidTr="00101AFE">
        <w:trPr>
          <w:trHeight w:val="397"/>
          <w:jc w:val="center"/>
        </w:trPr>
        <w:tc>
          <w:tcPr>
            <w:tcW w:w="2045" w:type="dxa"/>
            <w:tcBorders>
              <w:bottom w:val="nil"/>
            </w:tcBorders>
            <w:shd w:val="clear" w:color="auto" w:fill="E7F3F4"/>
          </w:tcPr>
          <w:p w14:paraId="70EE12CB" w14:textId="77777777" w:rsidR="003D1F7F" w:rsidRPr="00806669" w:rsidRDefault="003D1F7F" w:rsidP="00037AE5">
            <w:pPr>
              <w:spacing w:before="0" w:after="0"/>
              <w:ind w:left="176"/>
              <w:rPr>
                <w:sz w:val="18"/>
                <w:szCs w:val="18"/>
              </w:rPr>
            </w:pPr>
            <w:r w:rsidRPr="00806669">
              <w:rPr>
                <w:sz w:val="18"/>
                <w:szCs w:val="18"/>
              </w:rPr>
              <w:t>Tidal exposure</w:t>
            </w:r>
          </w:p>
        </w:tc>
        <w:tc>
          <w:tcPr>
            <w:tcW w:w="1990" w:type="dxa"/>
            <w:tcBorders>
              <w:bottom w:val="nil"/>
            </w:tcBorders>
            <w:shd w:val="clear" w:color="auto" w:fill="E7F3F4"/>
          </w:tcPr>
          <w:p w14:paraId="7853E563" w14:textId="159CAF10" w:rsidR="003D1F7F" w:rsidRPr="00806669" w:rsidRDefault="003D1F7F" w:rsidP="006574F1">
            <w:pPr>
              <w:spacing w:before="0" w:after="0"/>
              <w:rPr>
                <w:sz w:val="18"/>
                <w:szCs w:val="18"/>
              </w:rPr>
            </w:pPr>
            <w:r w:rsidRPr="00806669">
              <w:rPr>
                <w:sz w:val="18"/>
                <w:szCs w:val="18"/>
              </w:rPr>
              <w:t>1999 – 201</w:t>
            </w:r>
            <w:r w:rsidR="006574F1">
              <w:rPr>
                <w:sz w:val="18"/>
                <w:szCs w:val="18"/>
              </w:rPr>
              <w:t>7</w:t>
            </w:r>
          </w:p>
        </w:tc>
        <w:tc>
          <w:tcPr>
            <w:tcW w:w="2977" w:type="dxa"/>
            <w:tcBorders>
              <w:bottom w:val="nil"/>
            </w:tcBorders>
            <w:shd w:val="clear" w:color="auto" w:fill="E7F3F4"/>
          </w:tcPr>
          <w:p w14:paraId="4593F9AE" w14:textId="77777777" w:rsidR="003D1F7F" w:rsidRPr="00806669" w:rsidRDefault="00037AE5" w:rsidP="00037AE5">
            <w:pPr>
              <w:spacing w:before="0" w:after="0"/>
              <w:rPr>
                <w:sz w:val="18"/>
                <w:szCs w:val="18"/>
              </w:rPr>
            </w:pPr>
            <w:r>
              <w:rPr>
                <w:sz w:val="18"/>
                <w:szCs w:val="18"/>
              </w:rPr>
              <w:t>w</w:t>
            </w:r>
            <w:r w:rsidR="003D1F7F" w:rsidRPr="00806669">
              <w:rPr>
                <w:sz w:val="18"/>
                <w:szCs w:val="18"/>
              </w:rPr>
              <w:t>ave height buoys at station nearest to monitoring site</w:t>
            </w:r>
          </w:p>
        </w:tc>
        <w:tc>
          <w:tcPr>
            <w:tcW w:w="1515" w:type="dxa"/>
            <w:tcBorders>
              <w:bottom w:val="nil"/>
            </w:tcBorders>
            <w:shd w:val="clear" w:color="auto" w:fill="E7F3F4"/>
          </w:tcPr>
          <w:p w14:paraId="58DE65A5" w14:textId="77777777" w:rsidR="003D1F7F" w:rsidRPr="00806669" w:rsidRDefault="003D1F7F" w:rsidP="00037AE5">
            <w:pPr>
              <w:spacing w:before="0" w:after="0"/>
              <w:rPr>
                <w:sz w:val="18"/>
                <w:szCs w:val="18"/>
              </w:rPr>
            </w:pPr>
            <w:r w:rsidRPr="00806669">
              <w:rPr>
                <w:sz w:val="18"/>
                <w:szCs w:val="18"/>
              </w:rPr>
              <w:t>3 – 10 min</w:t>
            </w:r>
          </w:p>
        </w:tc>
        <w:tc>
          <w:tcPr>
            <w:tcW w:w="2596" w:type="dxa"/>
            <w:tcBorders>
              <w:bottom w:val="nil"/>
            </w:tcBorders>
            <w:shd w:val="clear" w:color="auto" w:fill="E7F3F4"/>
          </w:tcPr>
          <w:p w14:paraId="66EE582F" w14:textId="77777777" w:rsidR="003D1F7F" w:rsidRPr="00806669" w:rsidRDefault="007B0A21" w:rsidP="00037AE5">
            <w:pPr>
              <w:spacing w:before="0" w:after="0"/>
              <w:rPr>
                <w:sz w:val="18"/>
                <w:szCs w:val="18"/>
              </w:rPr>
            </w:pPr>
            <w:r>
              <w:rPr>
                <w:sz w:val="18"/>
                <w:szCs w:val="18"/>
              </w:rPr>
              <w:t>h</w:t>
            </w:r>
            <w:r w:rsidR="003D1F7F" w:rsidRPr="00806669">
              <w:rPr>
                <w:sz w:val="18"/>
                <w:szCs w:val="18"/>
              </w:rPr>
              <w:t>ours exposed</w:t>
            </w:r>
            <w:r w:rsidR="003D1F7F">
              <w:rPr>
                <w:sz w:val="18"/>
                <w:szCs w:val="18"/>
              </w:rPr>
              <w:t xml:space="preserve"> during daylight</w:t>
            </w:r>
          </w:p>
        </w:tc>
        <w:tc>
          <w:tcPr>
            <w:tcW w:w="3261" w:type="dxa"/>
            <w:tcBorders>
              <w:bottom w:val="nil"/>
            </w:tcBorders>
            <w:shd w:val="clear" w:color="auto" w:fill="E7F3F4"/>
          </w:tcPr>
          <w:p w14:paraId="60B9FCD5" w14:textId="77777777" w:rsidR="003D1F7F" w:rsidRPr="00806669" w:rsidRDefault="003D1F7F" w:rsidP="00037AE5">
            <w:pPr>
              <w:spacing w:before="0" w:after="0"/>
              <w:rPr>
                <w:sz w:val="18"/>
                <w:szCs w:val="18"/>
              </w:rPr>
            </w:pPr>
            <w:r w:rsidRPr="00806669">
              <w:rPr>
                <w:sz w:val="18"/>
                <w:szCs w:val="18"/>
              </w:rPr>
              <w:t xml:space="preserve">Maritime Safety Queensland, calculated exposure by </w:t>
            </w:r>
            <w:r w:rsidR="00101AFE">
              <w:rPr>
                <w:sz w:val="18"/>
                <w:szCs w:val="18"/>
              </w:rPr>
              <w:t xml:space="preserve">MMP </w:t>
            </w:r>
            <w:r w:rsidR="00101AFE" w:rsidRPr="00806669">
              <w:rPr>
                <w:sz w:val="18"/>
                <w:szCs w:val="18"/>
              </w:rPr>
              <w:t xml:space="preserve">Inshore </w:t>
            </w:r>
            <w:r w:rsidR="00101AFE">
              <w:rPr>
                <w:sz w:val="18"/>
                <w:szCs w:val="18"/>
              </w:rPr>
              <w:t>S</w:t>
            </w:r>
            <w:r w:rsidR="00101AFE" w:rsidRPr="00806669">
              <w:rPr>
                <w:sz w:val="18"/>
                <w:szCs w:val="18"/>
              </w:rPr>
              <w:t>eagrass monitoring</w:t>
            </w:r>
          </w:p>
        </w:tc>
      </w:tr>
      <w:tr w:rsidR="003D1F7F" w:rsidRPr="00806669" w14:paraId="7D898E63" w14:textId="77777777" w:rsidTr="00101AFE">
        <w:trPr>
          <w:trHeight w:val="397"/>
          <w:jc w:val="center"/>
        </w:trPr>
        <w:tc>
          <w:tcPr>
            <w:tcW w:w="4035" w:type="dxa"/>
            <w:gridSpan w:val="2"/>
            <w:tcBorders>
              <w:top w:val="single" w:sz="4" w:space="0" w:color="auto"/>
            </w:tcBorders>
            <w:shd w:val="clear" w:color="auto" w:fill="F3F9FA"/>
          </w:tcPr>
          <w:p w14:paraId="3DFB3CD4" w14:textId="77777777" w:rsidR="003D1F7F" w:rsidRPr="00806669" w:rsidRDefault="003D1F7F" w:rsidP="00101AFE">
            <w:pPr>
              <w:spacing w:before="0" w:after="0" w:line="200" w:lineRule="exact"/>
              <w:rPr>
                <w:sz w:val="18"/>
                <w:szCs w:val="18"/>
              </w:rPr>
            </w:pPr>
            <w:r>
              <w:rPr>
                <w:i/>
                <w:sz w:val="18"/>
                <w:szCs w:val="18"/>
              </w:rPr>
              <w:t>Environment w</w:t>
            </w:r>
            <w:r w:rsidRPr="00806669">
              <w:rPr>
                <w:i/>
                <w:sz w:val="18"/>
                <w:szCs w:val="18"/>
              </w:rPr>
              <w:t>ithin seagrass canopy</w:t>
            </w:r>
          </w:p>
        </w:tc>
        <w:tc>
          <w:tcPr>
            <w:tcW w:w="2977" w:type="dxa"/>
            <w:tcBorders>
              <w:top w:val="single" w:sz="4" w:space="0" w:color="auto"/>
            </w:tcBorders>
            <w:shd w:val="clear" w:color="auto" w:fill="F3F9FA"/>
          </w:tcPr>
          <w:p w14:paraId="6A596455" w14:textId="77777777" w:rsidR="003D1F7F" w:rsidRPr="00806669" w:rsidRDefault="003D1F7F" w:rsidP="00101AFE">
            <w:pPr>
              <w:spacing w:before="0" w:after="0" w:line="200" w:lineRule="exact"/>
              <w:rPr>
                <w:sz w:val="18"/>
                <w:szCs w:val="18"/>
              </w:rPr>
            </w:pPr>
          </w:p>
        </w:tc>
        <w:tc>
          <w:tcPr>
            <w:tcW w:w="1515" w:type="dxa"/>
            <w:tcBorders>
              <w:top w:val="single" w:sz="4" w:space="0" w:color="auto"/>
            </w:tcBorders>
            <w:shd w:val="clear" w:color="auto" w:fill="F3F9FA"/>
          </w:tcPr>
          <w:p w14:paraId="026B107C" w14:textId="77777777" w:rsidR="003D1F7F" w:rsidRPr="00806669" w:rsidRDefault="003D1F7F" w:rsidP="00101AFE">
            <w:pPr>
              <w:spacing w:before="0" w:after="0" w:line="200" w:lineRule="exact"/>
              <w:rPr>
                <w:sz w:val="18"/>
                <w:szCs w:val="18"/>
              </w:rPr>
            </w:pPr>
          </w:p>
        </w:tc>
        <w:tc>
          <w:tcPr>
            <w:tcW w:w="2596" w:type="dxa"/>
            <w:tcBorders>
              <w:top w:val="single" w:sz="4" w:space="0" w:color="auto"/>
            </w:tcBorders>
            <w:shd w:val="clear" w:color="auto" w:fill="F3F9FA"/>
          </w:tcPr>
          <w:p w14:paraId="60642555" w14:textId="77777777" w:rsidR="003D1F7F" w:rsidRPr="00806669" w:rsidRDefault="003D1F7F" w:rsidP="00101AFE">
            <w:pPr>
              <w:spacing w:before="0" w:after="0" w:line="200" w:lineRule="exact"/>
              <w:rPr>
                <w:sz w:val="18"/>
                <w:szCs w:val="18"/>
              </w:rPr>
            </w:pPr>
          </w:p>
        </w:tc>
        <w:tc>
          <w:tcPr>
            <w:tcW w:w="3261" w:type="dxa"/>
            <w:tcBorders>
              <w:top w:val="single" w:sz="4" w:space="0" w:color="auto"/>
            </w:tcBorders>
            <w:shd w:val="clear" w:color="auto" w:fill="F3F9FA"/>
          </w:tcPr>
          <w:p w14:paraId="7CF9283C" w14:textId="77777777" w:rsidR="003D1F7F" w:rsidRPr="00806669" w:rsidRDefault="003D1F7F" w:rsidP="00101AFE">
            <w:pPr>
              <w:spacing w:before="0" w:after="0" w:line="200" w:lineRule="exact"/>
              <w:rPr>
                <w:sz w:val="18"/>
                <w:szCs w:val="18"/>
              </w:rPr>
            </w:pPr>
          </w:p>
        </w:tc>
      </w:tr>
      <w:tr w:rsidR="003D1F7F" w:rsidRPr="00806669" w14:paraId="6F610102" w14:textId="77777777" w:rsidTr="00101AFE">
        <w:trPr>
          <w:trHeight w:val="397"/>
          <w:jc w:val="center"/>
        </w:trPr>
        <w:tc>
          <w:tcPr>
            <w:tcW w:w="2045" w:type="dxa"/>
            <w:shd w:val="clear" w:color="auto" w:fill="F3F9FA"/>
          </w:tcPr>
          <w:p w14:paraId="21287144" w14:textId="77777777" w:rsidR="003D1F7F" w:rsidRPr="00806669" w:rsidRDefault="00101AFE" w:rsidP="00037AE5">
            <w:pPr>
              <w:spacing w:before="0" w:after="0" w:line="200" w:lineRule="exact"/>
              <w:ind w:left="176"/>
              <w:rPr>
                <w:sz w:val="18"/>
                <w:szCs w:val="18"/>
              </w:rPr>
            </w:pPr>
            <w:r>
              <w:rPr>
                <w:sz w:val="18"/>
                <w:szCs w:val="18"/>
              </w:rPr>
              <w:t xml:space="preserve">Water </w:t>
            </w:r>
            <w:r w:rsidR="003D1F7F" w:rsidRPr="00806669">
              <w:rPr>
                <w:sz w:val="18"/>
                <w:szCs w:val="18"/>
              </w:rPr>
              <w:t>temperature</w:t>
            </w:r>
          </w:p>
        </w:tc>
        <w:tc>
          <w:tcPr>
            <w:tcW w:w="1990" w:type="dxa"/>
            <w:shd w:val="clear" w:color="auto" w:fill="F3F9FA"/>
          </w:tcPr>
          <w:p w14:paraId="278DF693" w14:textId="1B8AD9B2" w:rsidR="003D1F7F" w:rsidRPr="00806669" w:rsidRDefault="003D1F7F" w:rsidP="006574F1">
            <w:pPr>
              <w:spacing w:before="0" w:after="0" w:line="200" w:lineRule="exact"/>
              <w:rPr>
                <w:sz w:val="18"/>
                <w:szCs w:val="18"/>
              </w:rPr>
            </w:pPr>
            <w:r w:rsidRPr="00806669">
              <w:rPr>
                <w:sz w:val="18"/>
                <w:szCs w:val="18"/>
              </w:rPr>
              <w:t>2002 – 201</w:t>
            </w:r>
            <w:r w:rsidR="006574F1">
              <w:rPr>
                <w:sz w:val="18"/>
                <w:szCs w:val="18"/>
              </w:rPr>
              <w:t>7</w:t>
            </w:r>
          </w:p>
        </w:tc>
        <w:tc>
          <w:tcPr>
            <w:tcW w:w="2977" w:type="dxa"/>
            <w:shd w:val="clear" w:color="auto" w:fill="F3F9FA"/>
          </w:tcPr>
          <w:p w14:paraId="0C393A13" w14:textId="77777777" w:rsidR="003D1F7F" w:rsidRPr="00806669" w:rsidRDefault="003D1F7F" w:rsidP="00101AFE">
            <w:pPr>
              <w:spacing w:before="0" w:after="0" w:line="200" w:lineRule="exact"/>
              <w:rPr>
                <w:sz w:val="18"/>
                <w:szCs w:val="18"/>
              </w:rPr>
            </w:pPr>
            <w:r>
              <w:rPr>
                <w:sz w:val="18"/>
                <w:szCs w:val="18"/>
              </w:rPr>
              <w:t>iB</w:t>
            </w:r>
            <w:r w:rsidRPr="00806669">
              <w:rPr>
                <w:sz w:val="18"/>
                <w:szCs w:val="18"/>
              </w:rPr>
              <w:t>Tag</w:t>
            </w:r>
          </w:p>
        </w:tc>
        <w:tc>
          <w:tcPr>
            <w:tcW w:w="1515" w:type="dxa"/>
            <w:shd w:val="clear" w:color="auto" w:fill="F3F9FA"/>
          </w:tcPr>
          <w:p w14:paraId="0A75A81F" w14:textId="77777777" w:rsidR="003D1F7F" w:rsidRPr="00806669" w:rsidRDefault="003D1F7F" w:rsidP="00101AFE">
            <w:pPr>
              <w:spacing w:before="0" w:after="0" w:line="200" w:lineRule="exact"/>
              <w:rPr>
                <w:sz w:val="18"/>
                <w:szCs w:val="18"/>
              </w:rPr>
            </w:pPr>
            <w:r w:rsidRPr="00806669">
              <w:rPr>
                <w:sz w:val="18"/>
                <w:szCs w:val="18"/>
              </w:rPr>
              <w:t>30 – 90 min</w:t>
            </w:r>
          </w:p>
        </w:tc>
        <w:tc>
          <w:tcPr>
            <w:tcW w:w="2596" w:type="dxa"/>
            <w:shd w:val="clear" w:color="auto" w:fill="F3F9FA"/>
          </w:tcPr>
          <w:p w14:paraId="5EBF7019" w14:textId="77777777" w:rsidR="003D1F7F" w:rsidRPr="00806669" w:rsidRDefault="003D1F7F" w:rsidP="00101AFE">
            <w:pPr>
              <w:spacing w:before="0" w:after="0" w:line="200" w:lineRule="exact"/>
              <w:rPr>
                <w:sz w:val="18"/>
                <w:szCs w:val="18"/>
              </w:rPr>
            </w:pPr>
            <w:r w:rsidRPr="00806669">
              <w:rPr>
                <w:sz w:val="18"/>
                <w:szCs w:val="18"/>
                <w:vertAlign w:val="superscript"/>
              </w:rPr>
              <w:t>o</w:t>
            </w:r>
            <w:r w:rsidRPr="00806669">
              <w:rPr>
                <w:sz w:val="18"/>
                <w:szCs w:val="18"/>
              </w:rPr>
              <w:t>C, Temperature anomalies,</w:t>
            </w:r>
          </w:p>
          <w:p w14:paraId="713C49D1" w14:textId="77777777" w:rsidR="003D1F7F" w:rsidRPr="00806669" w:rsidRDefault="006C265D" w:rsidP="00101AFE">
            <w:pPr>
              <w:spacing w:before="0" w:after="0" w:line="200" w:lineRule="exact"/>
              <w:rPr>
                <w:sz w:val="18"/>
                <w:szCs w:val="18"/>
              </w:rPr>
            </w:pPr>
            <w:r>
              <w:rPr>
                <w:sz w:val="18"/>
                <w:szCs w:val="18"/>
              </w:rPr>
              <w:t>e</w:t>
            </w:r>
            <w:r w:rsidR="003D1F7F" w:rsidRPr="00806669">
              <w:rPr>
                <w:sz w:val="18"/>
                <w:szCs w:val="18"/>
              </w:rPr>
              <w:t>xceedance of thresholds</w:t>
            </w:r>
          </w:p>
        </w:tc>
        <w:tc>
          <w:tcPr>
            <w:tcW w:w="3261" w:type="dxa"/>
            <w:shd w:val="clear" w:color="auto" w:fill="F3F9FA"/>
          </w:tcPr>
          <w:p w14:paraId="30E8D5DB" w14:textId="77777777" w:rsidR="003D1F7F" w:rsidRPr="00806669" w:rsidRDefault="00101AFE" w:rsidP="00101AFE">
            <w:pPr>
              <w:spacing w:before="0" w:after="0" w:line="200" w:lineRule="exact"/>
              <w:rPr>
                <w:sz w:val="18"/>
                <w:szCs w:val="18"/>
              </w:rPr>
            </w:pPr>
            <w:r>
              <w:rPr>
                <w:sz w:val="18"/>
                <w:szCs w:val="18"/>
              </w:rPr>
              <w:t xml:space="preserve">MMP </w:t>
            </w:r>
            <w:r w:rsidR="003D1F7F" w:rsidRPr="00806669">
              <w:rPr>
                <w:sz w:val="18"/>
                <w:szCs w:val="18"/>
              </w:rPr>
              <w:t xml:space="preserve">Inshore </w:t>
            </w:r>
            <w:r>
              <w:rPr>
                <w:sz w:val="18"/>
                <w:szCs w:val="18"/>
              </w:rPr>
              <w:t>S</w:t>
            </w:r>
            <w:r w:rsidR="003D1F7F" w:rsidRPr="00806669">
              <w:rPr>
                <w:sz w:val="18"/>
                <w:szCs w:val="18"/>
              </w:rPr>
              <w:t>eagrass monitoring</w:t>
            </w:r>
          </w:p>
        </w:tc>
      </w:tr>
      <w:tr w:rsidR="003D1F7F" w:rsidRPr="00806669" w14:paraId="4D66F285" w14:textId="77777777" w:rsidTr="00101AFE">
        <w:trPr>
          <w:trHeight w:val="397"/>
          <w:jc w:val="center"/>
        </w:trPr>
        <w:tc>
          <w:tcPr>
            <w:tcW w:w="2045" w:type="dxa"/>
            <w:shd w:val="clear" w:color="auto" w:fill="F3F9FA"/>
          </w:tcPr>
          <w:p w14:paraId="77708A62" w14:textId="77777777" w:rsidR="003D1F7F" w:rsidRPr="00806669" w:rsidRDefault="00101AFE" w:rsidP="00101AFE">
            <w:pPr>
              <w:spacing w:before="0" w:after="0" w:line="200" w:lineRule="exact"/>
              <w:ind w:left="176"/>
              <w:rPr>
                <w:sz w:val="18"/>
                <w:szCs w:val="18"/>
              </w:rPr>
            </w:pPr>
            <w:r>
              <w:rPr>
                <w:sz w:val="18"/>
                <w:szCs w:val="18"/>
              </w:rPr>
              <w:t>L</w:t>
            </w:r>
            <w:r w:rsidR="003D1F7F" w:rsidRPr="00806669">
              <w:rPr>
                <w:sz w:val="18"/>
                <w:szCs w:val="18"/>
              </w:rPr>
              <w:t>ight</w:t>
            </w:r>
          </w:p>
        </w:tc>
        <w:tc>
          <w:tcPr>
            <w:tcW w:w="1990" w:type="dxa"/>
            <w:shd w:val="clear" w:color="auto" w:fill="F3F9FA"/>
          </w:tcPr>
          <w:p w14:paraId="3379B7BB" w14:textId="5904C152" w:rsidR="003D1F7F" w:rsidRPr="00806669" w:rsidRDefault="003D1F7F" w:rsidP="006574F1">
            <w:pPr>
              <w:spacing w:before="0" w:after="0" w:line="200" w:lineRule="exact"/>
              <w:rPr>
                <w:sz w:val="18"/>
                <w:szCs w:val="18"/>
              </w:rPr>
            </w:pPr>
            <w:r w:rsidRPr="00806669">
              <w:rPr>
                <w:sz w:val="18"/>
                <w:szCs w:val="18"/>
              </w:rPr>
              <w:t>2008 – 201</w:t>
            </w:r>
            <w:r w:rsidR="006574F1">
              <w:rPr>
                <w:sz w:val="18"/>
                <w:szCs w:val="18"/>
              </w:rPr>
              <w:t>7</w:t>
            </w:r>
          </w:p>
        </w:tc>
        <w:tc>
          <w:tcPr>
            <w:tcW w:w="2977" w:type="dxa"/>
            <w:shd w:val="clear" w:color="auto" w:fill="F3F9FA"/>
          </w:tcPr>
          <w:p w14:paraId="5F8A4A96" w14:textId="77777777" w:rsidR="003D1F7F" w:rsidRPr="00806669" w:rsidRDefault="003D1F7F" w:rsidP="00101AFE">
            <w:pPr>
              <w:spacing w:before="0" w:after="0" w:line="200" w:lineRule="exact"/>
              <w:rPr>
                <w:sz w:val="18"/>
                <w:szCs w:val="18"/>
              </w:rPr>
            </w:pPr>
            <w:r w:rsidRPr="00806669">
              <w:rPr>
                <w:sz w:val="18"/>
                <w:szCs w:val="18"/>
              </w:rPr>
              <w:t>Odyssey 2Pi PAR light loggers with wiper unit</w:t>
            </w:r>
          </w:p>
        </w:tc>
        <w:tc>
          <w:tcPr>
            <w:tcW w:w="1515" w:type="dxa"/>
            <w:shd w:val="clear" w:color="auto" w:fill="F3F9FA"/>
          </w:tcPr>
          <w:p w14:paraId="575C4B89" w14:textId="77777777" w:rsidR="003D1F7F" w:rsidRPr="00806669" w:rsidRDefault="003D1F7F" w:rsidP="00101AFE">
            <w:pPr>
              <w:spacing w:before="0" w:after="0" w:line="200" w:lineRule="exact"/>
              <w:rPr>
                <w:sz w:val="18"/>
                <w:szCs w:val="18"/>
              </w:rPr>
            </w:pPr>
            <w:r w:rsidRPr="00806669">
              <w:rPr>
                <w:sz w:val="18"/>
                <w:szCs w:val="18"/>
              </w:rPr>
              <w:t>15 min</w:t>
            </w:r>
          </w:p>
        </w:tc>
        <w:tc>
          <w:tcPr>
            <w:tcW w:w="2596" w:type="dxa"/>
            <w:shd w:val="clear" w:color="auto" w:fill="F3F9FA"/>
          </w:tcPr>
          <w:p w14:paraId="0ACAA7F5" w14:textId="77777777" w:rsidR="003D1F7F" w:rsidRPr="00806669" w:rsidRDefault="003D1F7F" w:rsidP="00101AFE">
            <w:pPr>
              <w:spacing w:before="0" w:after="0" w:line="200" w:lineRule="exact"/>
              <w:rPr>
                <w:sz w:val="18"/>
                <w:szCs w:val="18"/>
              </w:rPr>
            </w:pPr>
            <w:r w:rsidRPr="00806669">
              <w:rPr>
                <w:sz w:val="18"/>
                <w:szCs w:val="18"/>
              </w:rPr>
              <w:t>Daily light (I</w:t>
            </w:r>
            <w:r w:rsidRPr="00806669">
              <w:rPr>
                <w:sz w:val="18"/>
                <w:szCs w:val="18"/>
                <w:vertAlign w:val="subscript"/>
              </w:rPr>
              <w:t>d</w:t>
            </w:r>
            <w:r w:rsidRPr="00806669">
              <w:rPr>
                <w:sz w:val="18"/>
                <w:szCs w:val="18"/>
              </w:rPr>
              <w:t>) mol m</w:t>
            </w:r>
            <w:r w:rsidRPr="00806669">
              <w:rPr>
                <w:sz w:val="18"/>
                <w:szCs w:val="18"/>
                <w:vertAlign w:val="superscript"/>
              </w:rPr>
              <w:t>-2</w:t>
            </w:r>
            <w:r w:rsidRPr="00806669">
              <w:rPr>
                <w:sz w:val="18"/>
                <w:szCs w:val="18"/>
              </w:rPr>
              <w:t xml:space="preserve"> d</w:t>
            </w:r>
            <w:r w:rsidRPr="00806669">
              <w:rPr>
                <w:sz w:val="18"/>
                <w:szCs w:val="18"/>
                <w:vertAlign w:val="superscript"/>
              </w:rPr>
              <w:t>-1</w:t>
            </w:r>
          </w:p>
          <w:p w14:paraId="1B9A05AC" w14:textId="02E32FBB" w:rsidR="003D1F7F" w:rsidRPr="00806669" w:rsidRDefault="003D1F7F" w:rsidP="00101AFE">
            <w:pPr>
              <w:spacing w:before="0" w:after="0" w:line="200" w:lineRule="exact"/>
              <w:rPr>
                <w:sz w:val="18"/>
                <w:szCs w:val="18"/>
              </w:rPr>
            </w:pPr>
            <w:r w:rsidRPr="00806669">
              <w:rPr>
                <w:sz w:val="18"/>
                <w:szCs w:val="18"/>
              </w:rPr>
              <w:t>Frequency of threshold exceedance (</w:t>
            </w:r>
            <w:r w:rsidR="0063478C">
              <w:rPr>
                <w:sz w:val="18"/>
                <w:szCs w:val="18"/>
              </w:rPr>
              <w:t xml:space="preserve"> per cent</w:t>
            </w:r>
            <w:r w:rsidRPr="00806669">
              <w:rPr>
                <w:sz w:val="18"/>
                <w:szCs w:val="18"/>
              </w:rPr>
              <w:t xml:space="preserve"> days)</w:t>
            </w:r>
          </w:p>
        </w:tc>
        <w:tc>
          <w:tcPr>
            <w:tcW w:w="3261" w:type="dxa"/>
            <w:shd w:val="clear" w:color="auto" w:fill="F3F9FA"/>
          </w:tcPr>
          <w:p w14:paraId="7ED85CA4" w14:textId="77777777" w:rsidR="003D1F7F" w:rsidRPr="00806669" w:rsidRDefault="00101AFE" w:rsidP="00101AFE">
            <w:pPr>
              <w:spacing w:before="0" w:after="0" w:line="200" w:lineRule="exact"/>
              <w:rPr>
                <w:sz w:val="18"/>
                <w:szCs w:val="18"/>
              </w:rPr>
            </w:pPr>
            <w:r>
              <w:rPr>
                <w:sz w:val="18"/>
                <w:szCs w:val="18"/>
              </w:rPr>
              <w:t xml:space="preserve">MMP </w:t>
            </w:r>
            <w:r w:rsidRPr="00806669">
              <w:rPr>
                <w:sz w:val="18"/>
                <w:szCs w:val="18"/>
              </w:rPr>
              <w:t xml:space="preserve">Inshore </w:t>
            </w:r>
            <w:r>
              <w:rPr>
                <w:sz w:val="18"/>
                <w:szCs w:val="18"/>
              </w:rPr>
              <w:t>S</w:t>
            </w:r>
            <w:r w:rsidRPr="00806669">
              <w:rPr>
                <w:sz w:val="18"/>
                <w:szCs w:val="18"/>
              </w:rPr>
              <w:t>eagrass monitoring</w:t>
            </w:r>
          </w:p>
        </w:tc>
      </w:tr>
      <w:tr w:rsidR="003D1F7F" w:rsidRPr="00806669" w14:paraId="32E858CB" w14:textId="77777777" w:rsidTr="00101AFE">
        <w:trPr>
          <w:trHeight w:val="397"/>
          <w:jc w:val="center"/>
        </w:trPr>
        <w:tc>
          <w:tcPr>
            <w:tcW w:w="2045" w:type="dxa"/>
            <w:shd w:val="clear" w:color="auto" w:fill="F3F9FA"/>
          </w:tcPr>
          <w:p w14:paraId="0172A45F" w14:textId="77777777" w:rsidR="003D1F7F" w:rsidRPr="00806669" w:rsidRDefault="003D1F7F" w:rsidP="00101AFE">
            <w:pPr>
              <w:spacing w:before="0" w:after="0" w:line="200" w:lineRule="exact"/>
              <w:ind w:left="176"/>
              <w:rPr>
                <w:sz w:val="18"/>
                <w:szCs w:val="18"/>
              </w:rPr>
            </w:pPr>
            <w:r w:rsidRPr="00806669">
              <w:rPr>
                <w:sz w:val="18"/>
                <w:szCs w:val="18"/>
              </w:rPr>
              <w:t xml:space="preserve">Sediment </w:t>
            </w:r>
            <w:r w:rsidR="00101AFE">
              <w:rPr>
                <w:sz w:val="18"/>
                <w:szCs w:val="18"/>
              </w:rPr>
              <w:t>grain size</w:t>
            </w:r>
          </w:p>
        </w:tc>
        <w:tc>
          <w:tcPr>
            <w:tcW w:w="1990" w:type="dxa"/>
            <w:shd w:val="clear" w:color="auto" w:fill="F3F9FA"/>
          </w:tcPr>
          <w:p w14:paraId="26189200" w14:textId="1455364D" w:rsidR="003D1F7F" w:rsidRPr="00806669" w:rsidRDefault="00101AFE" w:rsidP="006574F1">
            <w:pPr>
              <w:spacing w:before="0" w:after="0" w:line="200" w:lineRule="exact"/>
              <w:rPr>
                <w:sz w:val="18"/>
                <w:szCs w:val="18"/>
              </w:rPr>
            </w:pPr>
            <w:r>
              <w:rPr>
                <w:sz w:val="18"/>
                <w:szCs w:val="18"/>
              </w:rPr>
              <w:t>1999</w:t>
            </w:r>
            <w:r w:rsidR="003D1F7F" w:rsidRPr="00806669">
              <w:rPr>
                <w:sz w:val="18"/>
                <w:szCs w:val="18"/>
              </w:rPr>
              <w:t xml:space="preserve"> – 201</w:t>
            </w:r>
            <w:r w:rsidR="006574F1">
              <w:rPr>
                <w:sz w:val="18"/>
                <w:szCs w:val="18"/>
              </w:rPr>
              <w:t>7</w:t>
            </w:r>
          </w:p>
        </w:tc>
        <w:tc>
          <w:tcPr>
            <w:tcW w:w="2977" w:type="dxa"/>
            <w:shd w:val="clear" w:color="auto" w:fill="F3F9FA"/>
          </w:tcPr>
          <w:p w14:paraId="17A5DA67" w14:textId="77777777" w:rsidR="003D1F7F" w:rsidRPr="00806669" w:rsidRDefault="003D1F7F" w:rsidP="00101AFE">
            <w:pPr>
              <w:spacing w:before="0" w:after="0" w:line="200" w:lineRule="exact"/>
              <w:rPr>
                <w:sz w:val="18"/>
                <w:szCs w:val="18"/>
              </w:rPr>
            </w:pPr>
            <w:r w:rsidRPr="00806669">
              <w:rPr>
                <w:sz w:val="18"/>
                <w:szCs w:val="18"/>
              </w:rPr>
              <w:t xml:space="preserve">Visual </w:t>
            </w:r>
            <w:r>
              <w:rPr>
                <w:sz w:val="18"/>
                <w:szCs w:val="18"/>
              </w:rPr>
              <w:t xml:space="preserve">/ tactile </w:t>
            </w:r>
            <w:r w:rsidRPr="00806669">
              <w:rPr>
                <w:sz w:val="18"/>
                <w:szCs w:val="18"/>
              </w:rPr>
              <w:t xml:space="preserve">description of </w:t>
            </w:r>
            <w:r>
              <w:rPr>
                <w:sz w:val="18"/>
                <w:szCs w:val="18"/>
              </w:rPr>
              <w:t>sediment grain size composition</w:t>
            </w:r>
          </w:p>
        </w:tc>
        <w:tc>
          <w:tcPr>
            <w:tcW w:w="1515" w:type="dxa"/>
            <w:shd w:val="clear" w:color="auto" w:fill="F3F9FA"/>
          </w:tcPr>
          <w:p w14:paraId="50B85C93" w14:textId="77777777" w:rsidR="003D1F7F" w:rsidRPr="00806669" w:rsidRDefault="003D1F7F" w:rsidP="00101AFE">
            <w:pPr>
              <w:spacing w:before="0" w:after="0" w:line="200" w:lineRule="exact"/>
              <w:rPr>
                <w:sz w:val="18"/>
                <w:szCs w:val="18"/>
              </w:rPr>
            </w:pPr>
            <w:r w:rsidRPr="00806669">
              <w:rPr>
                <w:sz w:val="18"/>
                <w:szCs w:val="18"/>
              </w:rPr>
              <w:t>3 mo – 1yr</w:t>
            </w:r>
          </w:p>
        </w:tc>
        <w:tc>
          <w:tcPr>
            <w:tcW w:w="2596" w:type="dxa"/>
            <w:shd w:val="clear" w:color="auto" w:fill="F3F9FA"/>
          </w:tcPr>
          <w:p w14:paraId="4BC4499B" w14:textId="77777777" w:rsidR="003D1F7F" w:rsidRPr="00806669" w:rsidRDefault="00101AFE" w:rsidP="00101AFE">
            <w:pPr>
              <w:spacing w:before="0" w:after="0" w:line="200" w:lineRule="exact"/>
              <w:rPr>
                <w:sz w:val="18"/>
                <w:szCs w:val="18"/>
              </w:rPr>
            </w:pPr>
            <w:r>
              <w:rPr>
                <w:sz w:val="18"/>
                <w:szCs w:val="18"/>
              </w:rPr>
              <w:t>proportion mud</w:t>
            </w:r>
          </w:p>
        </w:tc>
        <w:tc>
          <w:tcPr>
            <w:tcW w:w="3261" w:type="dxa"/>
            <w:shd w:val="clear" w:color="auto" w:fill="F3F9FA"/>
          </w:tcPr>
          <w:p w14:paraId="4448AB81" w14:textId="77777777" w:rsidR="003D1F7F" w:rsidRPr="00806669" w:rsidRDefault="00101AFE" w:rsidP="00101AFE">
            <w:pPr>
              <w:spacing w:before="0" w:after="0" w:line="200" w:lineRule="exact"/>
              <w:rPr>
                <w:sz w:val="18"/>
                <w:szCs w:val="18"/>
              </w:rPr>
            </w:pPr>
            <w:r>
              <w:rPr>
                <w:sz w:val="18"/>
                <w:szCs w:val="18"/>
              </w:rPr>
              <w:t xml:space="preserve">MMP </w:t>
            </w:r>
            <w:r w:rsidRPr="00806669">
              <w:rPr>
                <w:sz w:val="18"/>
                <w:szCs w:val="18"/>
              </w:rPr>
              <w:t xml:space="preserve">Inshore </w:t>
            </w:r>
            <w:r>
              <w:rPr>
                <w:sz w:val="18"/>
                <w:szCs w:val="18"/>
              </w:rPr>
              <w:t>S</w:t>
            </w:r>
            <w:r w:rsidRPr="00806669">
              <w:rPr>
                <w:sz w:val="18"/>
                <w:szCs w:val="18"/>
              </w:rPr>
              <w:t>eagrass monitoring</w:t>
            </w:r>
          </w:p>
        </w:tc>
      </w:tr>
    </w:tbl>
    <w:p w14:paraId="16A330ED" w14:textId="51A60D5D" w:rsidR="003D1F7F" w:rsidRDefault="00C3035F" w:rsidP="003D1F7F">
      <w:r w:rsidRPr="00645107">
        <w:rPr>
          <w:vertAlign w:val="superscript"/>
        </w:rPr>
        <w:t xml:space="preserve"># </w:t>
      </w:r>
      <w:r>
        <w:t>Department of Science, Information Technology and Innovation</w:t>
      </w:r>
    </w:p>
    <w:p w14:paraId="0D98AB06" w14:textId="77777777" w:rsidR="00101AFE" w:rsidRDefault="00101AFE" w:rsidP="003D1F7F"/>
    <w:p w14:paraId="34E5BE20" w14:textId="77777777" w:rsidR="003D1F7F" w:rsidRDefault="003D1F7F" w:rsidP="003D1F7F">
      <w:pPr>
        <w:sectPr w:rsidR="003D1F7F" w:rsidSect="00D10D59">
          <w:pgSz w:w="16840" w:h="11900" w:orient="landscape" w:code="9"/>
          <w:pgMar w:top="1418" w:right="1418" w:bottom="1418" w:left="1418" w:header="709" w:footer="709" w:gutter="0"/>
          <w:cols w:space="708"/>
          <w:docGrid w:linePitch="360"/>
        </w:sectPr>
      </w:pPr>
    </w:p>
    <w:p w14:paraId="6CBBAD43" w14:textId="3B7DA9C9" w:rsidR="003D1F7F" w:rsidRPr="00015190" w:rsidRDefault="003D1F7F" w:rsidP="00926892">
      <w:pPr>
        <w:pStyle w:val="Heading2"/>
        <w:numPr>
          <w:ilvl w:val="1"/>
          <w:numId w:val="9"/>
        </w:numPr>
        <w:rPr>
          <w:rFonts w:ascii="Century Gothic" w:hAnsi="Century Gothic"/>
          <w:color w:val="000000"/>
        </w:rPr>
      </w:pPr>
      <w:bookmarkStart w:id="42" w:name="_Toc516053120"/>
      <w:r w:rsidRPr="00015190">
        <w:rPr>
          <w:rFonts w:ascii="Century Gothic" w:hAnsi="Century Gothic"/>
          <w:color w:val="000000"/>
        </w:rPr>
        <w:t xml:space="preserve">Sampling design </w:t>
      </w:r>
      <w:r w:rsidR="002F55F1">
        <w:rPr>
          <w:rFonts w:ascii="Century Gothic" w:hAnsi="Century Gothic"/>
          <w:color w:val="000000"/>
        </w:rPr>
        <w:t>and</w:t>
      </w:r>
      <w:r w:rsidRPr="00015190">
        <w:rPr>
          <w:rFonts w:ascii="Century Gothic" w:hAnsi="Century Gothic"/>
          <w:color w:val="000000"/>
        </w:rPr>
        <w:t xml:space="preserve"> site selection</w:t>
      </w:r>
      <w:bookmarkEnd w:id="42"/>
    </w:p>
    <w:p w14:paraId="76F2C2CC" w14:textId="0930B6C8" w:rsidR="003D1F7F" w:rsidRPr="00322AD3" w:rsidRDefault="003D1F7F" w:rsidP="003D1F7F">
      <w:pPr>
        <w:spacing w:before="240"/>
        <w:rPr>
          <w:szCs w:val="22"/>
          <w:lang w:val="en-US"/>
        </w:rPr>
      </w:pPr>
      <w:r w:rsidRPr="00322AD3">
        <w:rPr>
          <w:szCs w:val="22"/>
          <w:lang w:val="en-US"/>
        </w:rPr>
        <w:t xml:space="preserve">The sampling design was selected to detect changes in inshore seagrass meadows in response to </w:t>
      </w:r>
      <w:r w:rsidR="00527C29" w:rsidRPr="00322AD3">
        <w:rPr>
          <w:szCs w:val="22"/>
          <w:lang w:val="en-US"/>
        </w:rPr>
        <w:t>changes</w:t>
      </w:r>
      <w:r w:rsidRPr="00322AD3">
        <w:rPr>
          <w:szCs w:val="22"/>
          <w:lang w:val="en-US"/>
        </w:rPr>
        <w:t xml:space="preserve"> in water quality associated with specific catchments or groups of catchments (Region) and to disturbance events.</w:t>
      </w:r>
      <w:r w:rsidR="004902B0" w:rsidRPr="00322AD3">
        <w:rPr>
          <w:szCs w:val="22"/>
          <w:lang w:val="en-US"/>
        </w:rPr>
        <w:t xml:space="preserve"> </w:t>
      </w:r>
      <w:r w:rsidRPr="00322AD3">
        <w:rPr>
          <w:szCs w:val="22"/>
          <w:lang w:val="en-US"/>
        </w:rPr>
        <w:t xml:space="preserve">The </w:t>
      </w:r>
      <w:r w:rsidR="001D0B44" w:rsidRPr="00322AD3">
        <w:rPr>
          <w:szCs w:val="22"/>
          <w:lang w:val="en-US"/>
        </w:rPr>
        <w:t>locations/</w:t>
      </w:r>
      <w:r w:rsidRPr="00322AD3">
        <w:rPr>
          <w:szCs w:val="22"/>
          <w:lang w:val="en-US"/>
        </w:rPr>
        <w:t>meadows were selected by the</w:t>
      </w:r>
      <w:r w:rsidR="00745844">
        <w:rPr>
          <w:szCs w:val="22"/>
          <w:lang w:val="en-US"/>
        </w:rPr>
        <w:t xml:space="preserve"> </w:t>
      </w:r>
      <w:r w:rsidR="008574EC">
        <w:rPr>
          <w:szCs w:val="22"/>
          <w:lang w:val="en-US"/>
        </w:rPr>
        <w:t>Marine Park Authority</w:t>
      </w:r>
      <w:r w:rsidRPr="00322AD3">
        <w:rPr>
          <w:szCs w:val="22"/>
          <w:lang w:val="en-US"/>
        </w:rPr>
        <w:t>, using advice from expert working groups</w:t>
      </w:r>
      <w:r w:rsidR="00206A72" w:rsidRPr="00322AD3">
        <w:rPr>
          <w:szCs w:val="22"/>
          <w:lang w:val="en-US"/>
        </w:rPr>
        <w:t xml:space="preserve"> in 2004</w:t>
      </w:r>
      <w:r w:rsidRPr="00322AD3">
        <w:rPr>
          <w:szCs w:val="22"/>
          <w:lang w:val="en-US"/>
        </w:rPr>
        <w:t xml:space="preserve">. The selection of </w:t>
      </w:r>
      <w:r w:rsidR="001D0B44" w:rsidRPr="00322AD3">
        <w:rPr>
          <w:szCs w:val="22"/>
          <w:lang w:val="en-US"/>
        </w:rPr>
        <w:t>locations/</w:t>
      </w:r>
      <w:r w:rsidRPr="00322AD3">
        <w:rPr>
          <w:szCs w:val="22"/>
          <w:lang w:val="en-US"/>
        </w:rPr>
        <w:t>meadows was based upon a number of competing factors:</w:t>
      </w:r>
    </w:p>
    <w:p w14:paraId="5A27F5D5" w14:textId="79656B76" w:rsidR="003D1F7F" w:rsidRPr="00322AD3" w:rsidRDefault="003D1F7F" w:rsidP="003D1F7F">
      <w:pPr>
        <w:numPr>
          <w:ilvl w:val="0"/>
          <w:numId w:val="1"/>
        </w:numPr>
        <w:spacing w:before="0" w:after="0"/>
        <w:rPr>
          <w:szCs w:val="22"/>
        </w:rPr>
      </w:pPr>
      <w:r w:rsidRPr="00322AD3">
        <w:rPr>
          <w:szCs w:val="22"/>
        </w:rPr>
        <w:t xml:space="preserve">meadows were representative of </w:t>
      </w:r>
      <w:r w:rsidR="00C3035F" w:rsidRPr="00322AD3">
        <w:rPr>
          <w:szCs w:val="22"/>
        </w:rPr>
        <w:t xml:space="preserve">inshore </w:t>
      </w:r>
      <w:r w:rsidRPr="00322AD3">
        <w:rPr>
          <w:szCs w:val="22"/>
        </w:rPr>
        <w:t xml:space="preserve">seagrass habitats and seagrass communities across each region (based on </w:t>
      </w:r>
      <w:hyperlink w:anchor="_ENREF_136" w:tooltip="Lee Long, 1993 #682" w:history="1">
        <w:r w:rsidR="00305FE7" w:rsidRPr="00322AD3">
          <w:rPr>
            <w:szCs w:val="22"/>
          </w:rPr>
          <w:fldChar w:fldCharType="begin"/>
        </w:r>
        <w:r w:rsidR="00305FE7" w:rsidRPr="00322AD3">
          <w:rPr>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305FE7" w:rsidRPr="00322AD3">
          <w:rPr>
            <w:szCs w:val="22"/>
          </w:rPr>
          <w:fldChar w:fldCharType="separate"/>
        </w:r>
        <w:r w:rsidR="00305FE7" w:rsidRPr="00322AD3">
          <w:rPr>
            <w:noProof/>
            <w:szCs w:val="22"/>
          </w:rPr>
          <w:t>Lee Long</w:t>
        </w:r>
        <w:r w:rsidR="00305FE7" w:rsidRPr="00322AD3">
          <w:rPr>
            <w:i/>
            <w:noProof/>
            <w:szCs w:val="22"/>
          </w:rPr>
          <w:t xml:space="preserve"> et al.</w:t>
        </w:r>
        <w:r w:rsidR="00305FE7" w:rsidRPr="00322AD3">
          <w:rPr>
            <w:noProof/>
            <w:szCs w:val="22"/>
          </w:rPr>
          <w:t xml:space="preserve"> 1993</w:t>
        </w:r>
        <w:r w:rsidR="00305FE7" w:rsidRPr="00322AD3">
          <w:rPr>
            <w:szCs w:val="22"/>
          </w:rPr>
          <w:fldChar w:fldCharType="end"/>
        </w:r>
      </w:hyperlink>
      <w:r w:rsidRPr="00322AD3">
        <w:rPr>
          <w:szCs w:val="22"/>
        </w:rPr>
        <w:t xml:space="preserve">, </w:t>
      </w:r>
      <w:hyperlink w:anchor="_ENREF_134" w:tooltip="Lee Long, 1997 #5808" w:history="1">
        <w:r w:rsidR="00305FE7" w:rsidRPr="00322AD3">
          <w:rPr>
            <w:szCs w:val="22"/>
          </w:rPr>
          <w:fldChar w:fldCharType="begin"/>
        </w:r>
        <w:r w:rsidR="00305FE7" w:rsidRPr="00322AD3">
          <w:rPr>
            <w:szCs w:val="22"/>
          </w:rPr>
          <w:instrText xml:space="preserve"> ADDIN EN.CITE &lt;EndNote&gt;&lt;Cite&gt;&lt;Author&gt;Lee Long&lt;/Author&gt;&lt;Year&gt;1997&lt;/Year&gt;&lt;RecNum&gt;5808&lt;/RecNum&gt;&lt;DisplayText&gt;Lee Long&lt;style face="italic"&gt; et al.&lt;/style&gt; 1997&lt;/DisplayText&gt;&lt;record&gt;&lt;rec-number&gt;5808&lt;/rec-number&gt;&lt;foreign-keys&gt;&lt;key app="EN" db-id="0eve55x9y5vfd6e9dacxtew4eatve2dzds9a" timestamp="0"&gt;5808&lt;/key&gt;&lt;/foreign-keys&gt;&lt;ref-type name="Report"&gt;27&lt;/ref-type&gt;&lt;contributors&gt;&lt;authors&gt;&lt;author&gt;Lee Long, W.J.&lt;/author&gt;&lt;author&gt;McKenzie, Len J&lt;/author&gt;&lt;author&gt;Coles, R G&lt;/author&gt;&lt;/authors&gt;&lt;/contributors&gt;&lt;titles&gt;&lt;title&gt;Seagrass Communities in the Shoalwater Bay Region, Queensland; Spring (September) 1995 &amp;amp; Autumn (April) 1996&lt;/title&gt;&lt;secondary-title&gt;Queensland Department of Primary Industries Information Series QI96042&lt;/secondary-title&gt;&lt;/titles&gt;&lt;pages&gt;38&lt;/pages&gt;&lt;dates&gt;&lt;year&gt;1997&lt;/year&gt;&lt;/dates&gt;&lt;pub-location&gt;Cairns, QLD&lt;/pub-location&gt;&lt;publisher&gt;Queensland Department of Primary Industries,Northern Fisheries Centre&lt;/publisher&gt;&lt;isbn&gt;QI96042&lt;/isbn&gt;&lt;work-type&gt;Information Series&lt;/work-type&gt;&lt;urls&gt;&lt;/urls&gt;&lt;/record&gt;&lt;/Cite&gt;&lt;/EndNote&gt;</w:instrText>
        </w:r>
        <w:r w:rsidR="00305FE7" w:rsidRPr="00322AD3">
          <w:rPr>
            <w:szCs w:val="22"/>
          </w:rPr>
          <w:fldChar w:fldCharType="separate"/>
        </w:r>
        <w:r w:rsidR="00305FE7" w:rsidRPr="00322AD3">
          <w:rPr>
            <w:noProof/>
            <w:szCs w:val="22"/>
          </w:rPr>
          <w:t>Lee Long</w:t>
        </w:r>
        <w:r w:rsidR="00305FE7" w:rsidRPr="00322AD3">
          <w:rPr>
            <w:i/>
            <w:noProof/>
            <w:szCs w:val="22"/>
          </w:rPr>
          <w:t xml:space="preserve"> et al.</w:t>
        </w:r>
        <w:r w:rsidR="00305FE7" w:rsidRPr="00322AD3">
          <w:rPr>
            <w:noProof/>
            <w:szCs w:val="22"/>
          </w:rPr>
          <w:t xml:space="preserve"> 1997</w:t>
        </w:r>
        <w:r w:rsidR="00305FE7" w:rsidRPr="00322AD3">
          <w:rPr>
            <w:szCs w:val="22"/>
          </w:rPr>
          <w:fldChar w:fldCharType="end"/>
        </w:r>
      </w:hyperlink>
      <w:r w:rsidRPr="00322AD3">
        <w:rPr>
          <w:szCs w:val="22"/>
        </w:rPr>
        <w:t xml:space="preserve">, </w:t>
      </w:r>
      <w:hyperlink w:anchor="_ENREF_135" w:tooltip="Lee Long, 1998 #7423" w:history="1">
        <w:r w:rsidR="00305FE7" w:rsidRPr="00322AD3">
          <w:rPr>
            <w:szCs w:val="22"/>
          </w:rPr>
          <w:fldChar w:fldCharType="begin"/>
        </w:r>
        <w:r w:rsidR="00305FE7" w:rsidRPr="00322AD3">
          <w:rPr>
            <w:szCs w:val="22"/>
          </w:rPr>
          <w:instrText xml:space="preserve"> ADDIN EN.CITE &lt;EndNote&gt;&lt;Cite&gt;&lt;Author&gt;Lee Long&lt;/Author&gt;&lt;Year&gt;1998&lt;/Year&gt;&lt;RecNum&gt;7423&lt;/RecNum&gt;&lt;DisplayText&gt;Lee Long&lt;style face="italic"&gt; et al.&lt;/style&gt; 1998&lt;/DisplayText&gt;&lt;record&gt;&lt;rec-number&gt;7423&lt;/rec-number&gt;&lt;foreign-keys&gt;&lt;key app="EN" db-id="0eve55x9y5vfd6e9dacxtew4eatve2dzds9a" timestamp="0"&gt;7423&lt;/key&gt;&lt;/foreign-keys&gt;&lt;ref-type name="Report"&gt;27&lt;/ref-type&gt;&lt;contributors&gt;&lt;authors&gt;&lt;author&gt;Lee Long, Warren J.&lt;/author&gt;&lt;author&gt;McKenzie, Len J.&lt;/author&gt;&lt;author&gt;Roelofs, A.J.&lt;/author&gt;&lt;author&gt;Makey, L.J.&lt;/author&gt;&lt;author&gt;Coles, R. G.&lt;/author&gt;&lt;author&gt;Roder C.A.&lt;/author&gt;&lt;/authors&gt;&lt;/contributors&gt;&lt;titles&gt;&lt;title&gt;Baseline Survey of Hinchinbrook Region Seagrasses - October (Spring) 1996. Research publication No. 51&lt;/title&gt;&lt;/titles&gt;&lt;pages&gt;26&lt;/pages&gt;&lt;dates&gt;&lt;year&gt;1998&lt;/year&gt;&lt;pub-dates&gt;&lt;date&gt;June 1998&lt;/date&gt;&lt;/pub-dates&gt;&lt;/dates&gt;&lt;pub-location&gt;Townsville&lt;/pub-location&gt;&lt;publisher&gt;Great Barrier Reef Marine Park Authority&lt;/publisher&gt;&lt;isbn&gt;51&lt;/isbn&gt;&lt;label&gt;distribution&lt;/label&gt;&lt;urls&gt;&lt;/urls&gt;&lt;/record&gt;&lt;/Cite&gt;&lt;/EndNote&gt;</w:instrText>
        </w:r>
        <w:r w:rsidR="00305FE7" w:rsidRPr="00322AD3">
          <w:rPr>
            <w:szCs w:val="22"/>
          </w:rPr>
          <w:fldChar w:fldCharType="separate"/>
        </w:r>
        <w:r w:rsidR="00305FE7" w:rsidRPr="00322AD3">
          <w:rPr>
            <w:noProof/>
            <w:szCs w:val="22"/>
          </w:rPr>
          <w:t>Lee Long</w:t>
        </w:r>
        <w:r w:rsidR="00305FE7" w:rsidRPr="00322AD3">
          <w:rPr>
            <w:i/>
            <w:noProof/>
            <w:szCs w:val="22"/>
          </w:rPr>
          <w:t xml:space="preserve"> et al.</w:t>
        </w:r>
        <w:r w:rsidR="00305FE7" w:rsidRPr="00322AD3">
          <w:rPr>
            <w:noProof/>
            <w:szCs w:val="22"/>
          </w:rPr>
          <w:t xml:space="preserve"> 1998</w:t>
        </w:r>
        <w:r w:rsidR="00305FE7" w:rsidRPr="00322AD3">
          <w:rPr>
            <w:szCs w:val="22"/>
          </w:rPr>
          <w:fldChar w:fldCharType="end"/>
        </w:r>
      </w:hyperlink>
      <w:r w:rsidRPr="00322AD3">
        <w:rPr>
          <w:szCs w:val="22"/>
          <w:lang w:val="fr-FR"/>
        </w:rPr>
        <w:t xml:space="preserve">; </w:t>
      </w:r>
      <w:hyperlink w:anchor="_ENREF_162" w:tooltip="McKenzie, 2000 #2827" w:history="1">
        <w:r w:rsidR="00305FE7" w:rsidRPr="00322AD3">
          <w:rPr>
            <w:szCs w:val="22"/>
          </w:rPr>
          <w:fldChar w:fldCharType="begin"/>
        </w:r>
        <w:r w:rsidR="00305FE7" w:rsidRPr="00322AD3">
          <w:rPr>
            <w:szCs w:val="22"/>
          </w:rPr>
          <w:instrText xml:space="preserve"> ADDIN EN.CITE &lt;EndNote&gt;&lt;Cite&gt;&lt;Author&gt;McKenzie&lt;/Author&gt;&lt;Year&gt;2000&lt;/Year&gt;&lt;RecNum&gt;2827&lt;/RecNum&gt;&lt;DisplayText&gt;McKenzie&lt;style face="italic"&gt; et al.&lt;/style&gt; 2000b&lt;/DisplayText&gt;&lt;record&gt;&lt;rec-number&gt;2827&lt;/rec-number&gt;&lt;foreign-keys&gt;&lt;key app="EN" db-id="0eve55x9y5vfd6e9dacxtew4eatve2dzds9a" timestamp="0"&gt;2827&lt;/key&gt;&lt;/foreign-keys&gt;&lt;ref-type name="Report"&gt;27&lt;/ref-type&gt;&lt;contributors&gt;&lt;authors&gt;&lt;author&gt;McKenzie, Len J&lt;/author&gt;&lt;author&gt;Roder, C.A.&lt;/author&gt;&lt;author&gt;Roelofs, A.J.&lt;/author&gt;&lt;author&gt;Lee Long, W.J.&lt;/author&gt;&lt;/authors&gt;&lt;/contributors&gt;&lt;titles&gt;&lt;title&gt;Post-flood monitoring of seagrasses in Hervey Bay and the Great Sandy Strait, 1999: Implications for dugong, turtle and fisheries management.&lt;/title&gt;&lt;secondary-title&gt;Department of Primary Industries Information Series QI00059&lt;/secondary-title&gt;&lt;/titles&gt;&lt;pages&gt;46&lt;/pages&gt;&lt;dates&gt;&lt;year&gt;2000&lt;/year&gt;&lt;/dates&gt;&lt;pub-location&gt;Cairns&lt;/pub-location&gt;&lt;publisher&gt;Queensland Department of Primary Industries, NFC&lt;/publisher&gt;&lt;isbn&gt;QI00059&lt;/isbn&gt;&lt;work-type&gt;DPI Information Series&lt;/work-type&gt;&lt;urls&gt;&lt;/urls&gt;&lt;/record&gt;&lt;/Cite&gt;&lt;/EndNote&gt;</w:instrText>
        </w:r>
        <w:r w:rsidR="00305FE7" w:rsidRPr="00322AD3">
          <w:rPr>
            <w:szCs w:val="22"/>
          </w:rPr>
          <w:fldChar w:fldCharType="separate"/>
        </w:r>
        <w:r w:rsidR="00305FE7" w:rsidRPr="00322AD3">
          <w:rPr>
            <w:noProof/>
            <w:szCs w:val="22"/>
          </w:rPr>
          <w:t>McKenzie</w:t>
        </w:r>
        <w:r w:rsidR="00305FE7" w:rsidRPr="00322AD3">
          <w:rPr>
            <w:i/>
            <w:noProof/>
            <w:szCs w:val="22"/>
          </w:rPr>
          <w:t xml:space="preserve"> et al.</w:t>
        </w:r>
        <w:r w:rsidR="00305FE7" w:rsidRPr="00322AD3">
          <w:rPr>
            <w:noProof/>
            <w:szCs w:val="22"/>
          </w:rPr>
          <w:t xml:space="preserve"> 2000b</w:t>
        </w:r>
        <w:r w:rsidR="00305FE7" w:rsidRPr="00322AD3">
          <w:rPr>
            <w:szCs w:val="22"/>
          </w:rPr>
          <w:fldChar w:fldCharType="end"/>
        </w:r>
      </w:hyperlink>
      <w:r w:rsidRPr="00322AD3">
        <w:rPr>
          <w:szCs w:val="22"/>
          <w:lang w:val="fr-FR"/>
        </w:rPr>
        <w:t xml:space="preserve">; </w:t>
      </w:r>
      <w:hyperlink w:anchor="_ENREF_199" w:tooltip="Rasheed, 2003 #9496" w:history="1">
        <w:r w:rsidR="00305FE7" w:rsidRPr="00322AD3">
          <w:rPr>
            <w:szCs w:val="22"/>
          </w:rPr>
          <w:fldChar w:fldCharType="begin"/>
        </w:r>
        <w:r w:rsidR="00305FE7" w:rsidRPr="00322AD3">
          <w:rPr>
            <w:szCs w:val="22"/>
          </w:rPr>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305FE7" w:rsidRPr="00322AD3">
          <w:rPr>
            <w:szCs w:val="22"/>
          </w:rPr>
          <w:fldChar w:fldCharType="separate"/>
        </w:r>
        <w:r w:rsidR="00305FE7" w:rsidRPr="00322AD3">
          <w:rPr>
            <w:noProof/>
            <w:szCs w:val="22"/>
          </w:rPr>
          <w:t>Rasheed</w:t>
        </w:r>
        <w:r w:rsidR="00305FE7" w:rsidRPr="00322AD3">
          <w:rPr>
            <w:i/>
            <w:noProof/>
            <w:szCs w:val="22"/>
          </w:rPr>
          <w:t xml:space="preserve"> et al.</w:t>
        </w:r>
        <w:r w:rsidR="00305FE7" w:rsidRPr="00322AD3">
          <w:rPr>
            <w:noProof/>
            <w:szCs w:val="22"/>
          </w:rPr>
          <w:t xml:space="preserve"> 2003</w:t>
        </w:r>
        <w:r w:rsidR="00305FE7" w:rsidRPr="00322AD3">
          <w:rPr>
            <w:szCs w:val="22"/>
          </w:rPr>
          <w:fldChar w:fldCharType="end"/>
        </w:r>
      </w:hyperlink>
      <w:r w:rsidRPr="00322AD3">
        <w:rPr>
          <w:szCs w:val="22"/>
        </w:rPr>
        <w:t xml:space="preserve">; </w:t>
      </w:r>
      <w:hyperlink w:anchor="_ENREF_31" w:tooltip="Campbell, 2002 #9304" w:history="1">
        <w:r w:rsidR="00305FE7" w:rsidRPr="00322AD3">
          <w:rPr>
            <w:szCs w:val="22"/>
          </w:rPr>
          <w:fldChar w:fldCharType="begin"/>
        </w:r>
        <w:r w:rsidR="00305FE7" w:rsidRPr="00322AD3">
          <w:rPr>
            <w:szCs w:val="22"/>
          </w:rPr>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 timestamp="1375005084"&gt;9304&lt;/key&gt;&lt;/foreign-keys&gt;&lt;ref-type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305FE7" w:rsidRPr="00322AD3">
          <w:rPr>
            <w:szCs w:val="22"/>
          </w:rPr>
          <w:fldChar w:fldCharType="separate"/>
        </w:r>
        <w:r w:rsidR="00305FE7" w:rsidRPr="00322AD3">
          <w:rPr>
            <w:noProof/>
            <w:szCs w:val="22"/>
          </w:rPr>
          <w:t>Campbell</w:t>
        </w:r>
        <w:r w:rsidR="00305FE7" w:rsidRPr="00322AD3">
          <w:rPr>
            <w:i/>
            <w:noProof/>
            <w:szCs w:val="22"/>
          </w:rPr>
          <w:t xml:space="preserve"> et al.</w:t>
        </w:r>
        <w:r w:rsidR="00305FE7" w:rsidRPr="00322AD3">
          <w:rPr>
            <w:noProof/>
            <w:szCs w:val="22"/>
          </w:rPr>
          <w:t xml:space="preserve"> 2002</w:t>
        </w:r>
        <w:r w:rsidR="00305FE7" w:rsidRPr="00322AD3">
          <w:rPr>
            <w:szCs w:val="22"/>
          </w:rPr>
          <w:fldChar w:fldCharType="end"/>
        </w:r>
      </w:hyperlink>
      <w:r w:rsidR="00206A72" w:rsidRPr="00322AD3">
        <w:rPr>
          <w:szCs w:val="22"/>
        </w:rPr>
        <w:t>;</w:t>
      </w:r>
      <w:r w:rsidRPr="00322AD3">
        <w:rPr>
          <w:szCs w:val="22"/>
        </w:rPr>
        <w:t xml:space="preserve"> </w:t>
      </w:r>
      <w:hyperlink w:anchor="_ENREF_102" w:tooltip="Goldsworthy, 1994 #9497" w:history="1">
        <w:r w:rsidR="00305FE7" w:rsidRPr="00322AD3">
          <w:rPr>
            <w:szCs w:val="22"/>
          </w:rPr>
          <w:fldChar w:fldCharType="begin"/>
        </w:r>
        <w:r w:rsidR="00305FE7" w:rsidRPr="00322AD3">
          <w:rPr>
            <w:szCs w:val="22"/>
          </w:rPr>
          <w:instrText xml:space="preserve"> ADDIN EN.CITE &lt;EndNote&gt;&lt;Cite&gt;&lt;Author&gt;Goldsworthy&lt;/Author&gt;&lt;Year&gt;1994&lt;/Year&gt;&lt;RecNum&gt;9497&lt;/RecNum&gt;&lt;DisplayText&gt;Goldsworthy 1994&lt;/DisplayText&gt;&lt;record&gt;&lt;rec-number&gt;9497&lt;/rec-number&gt;&lt;foreign-keys&gt;&lt;key app="EN" db-id="0eve55x9y5vfd6e9dacxtew4eatve2dzds9a" timestamp="1375844058"&gt;9497&lt;/key&gt;&lt;/foreign-keys&gt;&lt;ref-type name="Book Section"&gt;5&lt;/ref-type&gt;&lt;contributors&gt;&lt;authors&gt;&lt;author&gt;Goldsworthy, Paul M&lt;/author&gt;&lt;/authors&gt;&lt;secondary-authors&gt;&lt;author&gt;Benson, L&lt;/author&gt;&lt;author&gt;Goldsworthy, P&lt;/author&gt;&lt;author&gt;Butler, R&lt;/author&gt;&lt;author&gt;Oliver, J&lt;/author&gt;&lt;/secondary-authors&gt;&lt;/contributors&gt;&lt;titles&gt;&lt;title&gt;Seagrasses&lt;/title&gt;&lt;secondary-title&gt;Townsville Port Authority Capital Dredging Works 1993: Environmental Monitoring Program&lt;/secondary-title&gt;&lt;/titles&gt;&lt;pages&gt;89-115&lt;/pages&gt;&lt;dates&gt;&lt;year&gt;1994&lt;/year&gt;&lt;/dates&gt;&lt;pub-location&gt;Townsville&lt;/pub-location&gt;&lt;publisher&gt;Townsville Port Authority&lt;/publisher&gt;&lt;urls&gt;&lt;/urls&gt;&lt;/record&gt;&lt;/Cite&gt;&lt;/EndNote&gt;</w:instrText>
        </w:r>
        <w:r w:rsidR="00305FE7" w:rsidRPr="00322AD3">
          <w:rPr>
            <w:szCs w:val="22"/>
          </w:rPr>
          <w:fldChar w:fldCharType="separate"/>
        </w:r>
        <w:r w:rsidR="00305FE7" w:rsidRPr="00322AD3">
          <w:rPr>
            <w:noProof/>
            <w:szCs w:val="22"/>
          </w:rPr>
          <w:t>Goldsworthy 1994</w:t>
        </w:r>
        <w:r w:rsidR="00305FE7" w:rsidRPr="00322AD3">
          <w:rPr>
            <w:szCs w:val="22"/>
          </w:rPr>
          <w:fldChar w:fldCharType="end"/>
        </w:r>
      </w:hyperlink>
      <w:r w:rsidRPr="00322AD3">
        <w:rPr>
          <w:szCs w:val="22"/>
        </w:rPr>
        <w:t>)</w:t>
      </w:r>
    </w:p>
    <w:p w14:paraId="4A0ED19B" w14:textId="76BEF07E" w:rsidR="003D1F7F" w:rsidRPr="00322AD3" w:rsidRDefault="004902B0" w:rsidP="003D1F7F">
      <w:pPr>
        <w:numPr>
          <w:ilvl w:val="0"/>
          <w:numId w:val="1"/>
        </w:numPr>
        <w:spacing w:before="0" w:after="0"/>
        <w:rPr>
          <w:szCs w:val="22"/>
        </w:rPr>
      </w:pPr>
      <w:r w:rsidRPr="00322AD3">
        <w:rPr>
          <w:szCs w:val="22"/>
        </w:rPr>
        <w:t xml:space="preserve">where possible </w:t>
      </w:r>
      <w:r w:rsidR="003D1F7F" w:rsidRPr="00322AD3">
        <w:rPr>
          <w:szCs w:val="22"/>
        </w:rPr>
        <w:t xml:space="preserve">include legacy sites (e.g. Seagrass-Watch, MTSRF) or </w:t>
      </w:r>
      <w:r w:rsidRPr="00322AD3">
        <w:rPr>
          <w:szCs w:val="22"/>
        </w:rPr>
        <w:t xml:space="preserve">former seagrass research </w:t>
      </w:r>
      <w:r w:rsidR="008D142C">
        <w:rPr>
          <w:szCs w:val="22"/>
        </w:rPr>
        <w:t>sites (e.g.</w:t>
      </w:r>
      <w:r w:rsidR="003D1F7F" w:rsidRPr="00322AD3">
        <w:rPr>
          <w:szCs w:val="22"/>
        </w:rPr>
        <w:t xml:space="preserve"> </w:t>
      </w:r>
      <w:r w:rsidR="00644A84" w:rsidRPr="00322AD3">
        <w:rPr>
          <w:szCs w:val="22"/>
        </w:rPr>
        <w:fldChar w:fldCharType="begin">
          <w:fldData xml:space="preserve">PEVuZE5vdGU+PENpdGU+PEF1dGhvcj5Mb2JiPC9BdXRob3I+PFllYXI+MjAwNjwvWWVhcj48UmVj
TnVtPjk3NTg8L1JlY051bT48RGlzcGxheVRleHQ+RGVubmlzb248c3R5bGUgZmFjZT0iaXRhbGlj
Ij4gZXQgYWwuPC9zdHlsZT4gMTk5NTsgSW5nbGlzIDE5OTk7IFRob3JvZ29vZCBhbmQgQm9nZ29u
IDE5OTk7IFVkeTxzdHlsZSBmYWNlPSJpdGFsaWMiPiBldCBhbC48L3N0eWxlPiAxOTk5OyBIYXlu
ZXM8c3R5bGUgZmFjZT0iaXRhbGljIj4gZXQgYWwuPC9zdHlsZT4gMjAwMDsgQ2FtcGJlbGwgYW5k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IGFwcD0iRU4iIGRiLWlkPSIwZXZlNTV4OXk1dmZkNmU5ZGFjeHRldzRlYXR2ZTJkemRzOWEiIHRp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==
</w:fldData>
        </w:fldChar>
      </w:r>
      <w:r w:rsidR="00DB32BE" w:rsidRPr="00322AD3">
        <w:rPr>
          <w:szCs w:val="22"/>
        </w:rPr>
        <w:instrText xml:space="preserve"> ADDIN EN.CITE </w:instrText>
      </w:r>
      <w:r w:rsidR="00DB32BE" w:rsidRPr="00322AD3">
        <w:rPr>
          <w:szCs w:val="22"/>
        </w:rPr>
        <w:fldChar w:fldCharType="begin">
          <w:fldData xml:space="preserve">PEVuZE5vdGU+PENpdGU+PEF1dGhvcj5Mb2JiPC9BdXRob3I+PFllYXI+MjAwNjwvWWVhcj48UmVj
TnVtPjk3NTg8L1JlY051bT48RGlzcGxheVRleHQ+RGVubmlzb248c3R5bGUgZmFjZT0iaXRhbGlj
Ij4gZXQgYWwuPC9zdHlsZT4gMTk5NTsgSW5nbGlzIDE5OTk7IFRob3JvZ29vZCBhbmQgQm9nZ29u
IDE5OTk7IFVkeTxzdHlsZSBmYWNlPSJpdGFsaWMiPiBldCBhbC48L3N0eWxlPiAxOTk5OyBIYXlu
ZXM8c3R5bGUgZmFjZT0iaXRhbGljIj4gZXQgYWwuPC9zdHlsZT4gMjAwMDsgQ2FtcGJlbGwgYW5k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IGFwcD0iRU4iIGRiLWlkPSIwZXZlNTV4OXk1dmZkNmU5ZGFjeHRldzRlYXR2ZTJkemRzOWEiIHRp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==
</w:fldData>
        </w:fldChar>
      </w:r>
      <w:r w:rsidR="00DB32BE" w:rsidRPr="00322AD3">
        <w:rPr>
          <w:szCs w:val="22"/>
        </w:rPr>
        <w:instrText xml:space="preserve"> ADDIN EN.CITE.DATA </w:instrText>
      </w:r>
      <w:r w:rsidR="00DB32BE" w:rsidRPr="00322AD3">
        <w:rPr>
          <w:szCs w:val="22"/>
        </w:rPr>
      </w:r>
      <w:r w:rsidR="00DB32BE" w:rsidRPr="00322AD3">
        <w:rPr>
          <w:szCs w:val="22"/>
        </w:rPr>
        <w:fldChar w:fldCharType="end"/>
      </w:r>
      <w:r w:rsidR="00644A84" w:rsidRPr="00322AD3">
        <w:rPr>
          <w:szCs w:val="22"/>
        </w:rPr>
      </w:r>
      <w:r w:rsidR="00644A84" w:rsidRPr="00322AD3">
        <w:rPr>
          <w:szCs w:val="22"/>
        </w:rPr>
        <w:fldChar w:fldCharType="separate"/>
      </w:r>
      <w:hyperlink w:anchor="_ENREF_77" w:tooltip="Dennison, 1995 #9771" w:history="1">
        <w:r w:rsidR="00305FE7" w:rsidRPr="00322AD3">
          <w:rPr>
            <w:noProof/>
            <w:szCs w:val="22"/>
          </w:rPr>
          <w:t>Dennison</w:t>
        </w:r>
        <w:r w:rsidR="00305FE7" w:rsidRPr="00322AD3">
          <w:rPr>
            <w:i/>
            <w:noProof/>
            <w:szCs w:val="22"/>
          </w:rPr>
          <w:t xml:space="preserve"> et al.</w:t>
        </w:r>
        <w:r w:rsidR="00305FE7" w:rsidRPr="00322AD3">
          <w:rPr>
            <w:noProof/>
            <w:szCs w:val="22"/>
          </w:rPr>
          <w:t xml:space="preserve"> 1995</w:t>
        </w:r>
      </w:hyperlink>
      <w:r w:rsidR="00DB32BE" w:rsidRPr="00322AD3">
        <w:rPr>
          <w:noProof/>
          <w:szCs w:val="22"/>
        </w:rPr>
        <w:t xml:space="preserve">; </w:t>
      </w:r>
      <w:hyperlink w:anchor="_ENREF_119" w:tooltip="Inglis, 1999 #5408" w:history="1">
        <w:r w:rsidR="00305FE7" w:rsidRPr="00322AD3">
          <w:rPr>
            <w:noProof/>
            <w:szCs w:val="22"/>
          </w:rPr>
          <w:t>Inglis 1999</w:t>
        </w:r>
      </w:hyperlink>
      <w:r w:rsidR="00DB32BE" w:rsidRPr="00322AD3">
        <w:rPr>
          <w:noProof/>
          <w:szCs w:val="22"/>
        </w:rPr>
        <w:t xml:space="preserve">; </w:t>
      </w:r>
      <w:hyperlink w:anchor="_ENREF_217" w:tooltip="Thorogood, 1999 #9772" w:history="1">
        <w:r w:rsidR="00305FE7" w:rsidRPr="00322AD3">
          <w:rPr>
            <w:noProof/>
            <w:szCs w:val="22"/>
          </w:rPr>
          <w:t>Thorogood and Boggon 1999</w:t>
        </w:r>
      </w:hyperlink>
      <w:r w:rsidR="00DB32BE" w:rsidRPr="00322AD3">
        <w:rPr>
          <w:noProof/>
          <w:szCs w:val="22"/>
        </w:rPr>
        <w:t xml:space="preserve">; </w:t>
      </w:r>
      <w:hyperlink w:anchor="_ENREF_223" w:tooltip="Udy, 1999 #2371" w:history="1">
        <w:r w:rsidR="00305FE7" w:rsidRPr="00322AD3">
          <w:rPr>
            <w:noProof/>
            <w:szCs w:val="22"/>
          </w:rPr>
          <w:t>Udy</w:t>
        </w:r>
        <w:r w:rsidR="00305FE7" w:rsidRPr="00322AD3">
          <w:rPr>
            <w:i/>
            <w:noProof/>
            <w:szCs w:val="22"/>
          </w:rPr>
          <w:t xml:space="preserve"> et al.</w:t>
        </w:r>
        <w:r w:rsidR="00305FE7" w:rsidRPr="00322AD3">
          <w:rPr>
            <w:noProof/>
            <w:szCs w:val="22"/>
          </w:rPr>
          <w:t xml:space="preserve"> 1999</w:t>
        </w:r>
      </w:hyperlink>
      <w:r w:rsidR="00DB32BE" w:rsidRPr="00322AD3">
        <w:rPr>
          <w:noProof/>
          <w:szCs w:val="22"/>
        </w:rPr>
        <w:t xml:space="preserve">; </w:t>
      </w:r>
      <w:hyperlink w:anchor="_ENREF_109" w:tooltip="Haynes, 2000 #7340" w:history="1">
        <w:r w:rsidR="00305FE7" w:rsidRPr="00322AD3">
          <w:rPr>
            <w:noProof/>
            <w:szCs w:val="22"/>
          </w:rPr>
          <w:t>Haynes</w:t>
        </w:r>
        <w:r w:rsidR="00305FE7" w:rsidRPr="00322AD3">
          <w:rPr>
            <w:i/>
            <w:noProof/>
            <w:szCs w:val="22"/>
          </w:rPr>
          <w:t xml:space="preserve"> et al.</w:t>
        </w:r>
        <w:r w:rsidR="00305FE7" w:rsidRPr="00322AD3">
          <w:rPr>
            <w:noProof/>
            <w:szCs w:val="22"/>
          </w:rPr>
          <w:t xml:space="preserve"> 2000</w:t>
        </w:r>
      </w:hyperlink>
      <w:r w:rsidR="00DB32BE" w:rsidRPr="00322AD3">
        <w:rPr>
          <w:noProof/>
          <w:szCs w:val="22"/>
        </w:rPr>
        <w:t xml:space="preserve">; </w:t>
      </w:r>
      <w:hyperlink w:anchor="_ENREF_28" w:tooltip="Campbell, 2001 #9341" w:history="1">
        <w:r w:rsidR="00305FE7" w:rsidRPr="00322AD3">
          <w:rPr>
            <w:noProof/>
            <w:szCs w:val="22"/>
          </w:rPr>
          <w:t>Campbell and McKenzie 2001</w:t>
        </w:r>
      </w:hyperlink>
      <w:r w:rsidR="00DB32BE" w:rsidRPr="00322AD3">
        <w:rPr>
          <w:noProof/>
          <w:szCs w:val="22"/>
        </w:rPr>
        <w:t xml:space="preserve">; </w:t>
      </w:r>
      <w:hyperlink w:anchor="_ENREF_176" w:tooltip="Mellors, 2003 #7086" w:history="1">
        <w:r w:rsidR="00305FE7" w:rsidRPr="00322AD3">
          <w:rPr>
            <w:noProof/>
            <w:szCs w:val="22"/>
          </w:rPr>
          <w:t>Mellors 2003</w:t>
        </w:r>
      </w:hyperlink>
      <w:r w:rsidR="00DB32BE" w:rsidRPr="00322AD3">
        <w:rPr>
          <w:noProof/>
          <w:szCs w:val="22"/>
        </w:rPr>
        <w:t xml:space="preserve">; </w:t>
      </w:r>
      <w:hyperlink w:anchor="_ENREF_29" w:tooltip="Campbell, 2004 #2838" w:history="1">
        <w:r w:rsidR="00305FE7" w:rsidRPr="00322AD3">
          <w:rPr>
            <w:noProof/>
            <w:szCs w:val="22"/>
          </w:rPr>
          <w:t>Campbell and McKenzie 2004</w:t>
        </w:r>
      </w:hyperlink>
      <w:r w:rsidR="00DB32BE" w:rsidRPr="00322AD3">
        <w:rPr>
          <w:noProof/>
          <w:szCs w:val="22"/>
        </w:rPr>
        <w:t xml:space="preserve">; </w:t>
      </w:r>
      <w:hyperlink w:anchor="_ENREF_137" w:tooltip="Limpus, 2005 #9691" w:history="1">
        <w:r w:rsidR="00305FE7" w:rsidRPr="00322AD3">
          <w:rPr>
            <w:noProof/>
            <w:szCs w:val="22"/>
          </w:rPr>
          <w:t>Limpus</w:t>
        </w:r>
        <w:r w:rsidR="00305FE7" w:rsidRPr="00322AD3">
          <w:rPr>
            <w:i/>
            <w:noProof/>
            <w:szCs w:val="22"/>
          </w:rPr>
          <w:t xml:space="preserve"> et al.</w:t>
        </w:r>
        <w:r w:rsidR="00305FE7" w:rsidRPr="00322AD3">
          <w:rPr>
            <w:noProof/>
            <w:szCs w:val="22"/>
          </w:rPr>
          <w:t xml:space="preserve"> 2005</w:t>
        </w:r>
      </w:hyperlink>
      <w:r w:rsidR="00DB32BE" w:rsidRPr="00322AD3">
        <w:rPr>
          <w:noProof/>
          <w:szCs w:val="22"/>
        </w:rPr>
        <w:t xml:space="preserve">; </w:t>
      </w:r>
      <w:hyperlink w:anchor="_ENREF_173" w:tooltip="McMahon, 2005 #7418" w:history="1">
        <w:r w:rsidR="00305FE7" w:rsidRPr="00322AD3">
          <w:rPr>
            <w:noProof/>
            <w:szCs w:val="22"/>
          </w:rPr>
          <w:t>McMahon</w:t>
        </w:r>
        <w:r w:rsidR="00305FE7" w:rsidRPr="00322AD3">
          <w:rPr>
            <w:i/>
            <w:noProof/>
            <w:szCs w:val="22"/>
          </w:rPr>
          <w:t xml:space="preserve"> et al.</w:t>
        </w:r>
        <w:r w:rsidR="00305FE7" w:rsidRPr="00322AD3">
          <w:rPr>
            <w:noProof/>
            <w:szCs w:val="22"/>
          </w:rPr>
          <w:t xml:space="preserve"> 2005</w:t>
        </w:r>
      </w:hyperlink>
      <w:r w:rsidR="00DB32BE" w:rsidRPr="00322AD3">
        <w:rPr>
          <w:noProof/>
          <w:szCs w:val="22"/>
        </w:rPr>
        <w:t xml:space="preserve">; </w:t>
      </w:r>
      <w:hyperlink w:anchor="_ENREF_175" w:tooltip="Mellors, 2005 #3739" w:history="1">
        <w:r w:rsidR="00305FE7" w:rsidRPr="00322AD3">
          <w:rPr>
            <w:noProof/>
            <w:szCs w:val="22"/>
          </w:rPr>
          <w:t>Mellors</w:t>
        </w:r>
        <w:r w:rsidR="00305FE7" w:rsidRPr="00322AD3">
          <w:rPr>
            <w:i/>
            <w:noProof/>
            <w:szCs w:val="22"/>
          </w:rPr>
          <w:t xml:space="preserve"> et al.</w:t>
        </w:r>
        <w:r w:rsidR="00305FE7" w:rsidRPr="00322AD3">
          <w:rPr>
            <w:noProof/>
            <w:szCs w:val="22"/>
          </w:rPr>
          <w:t xml:space="preserve"> 2005</w:t>
        </w:r>
      </w:hyperlink>
      <w:r w:rsidR="00DB32BE" w:rsidRPr="00322AD3">
        <w:rPr>
          <w:noProof/>
          <w:szCs w:val="22"/>
        </w:rPr>
        <w:t xml:space="preserve">; </w:t>
      </w:r>
      <w:hyperlink w:anchor="_ENREF_138" w:tooltip="Lobb, 2006 #9758" w:history="1">
        <w:r w:rsidR="00305FE7" w:rsidRPr="00322AD3">
          <w:rPr>
            <w:noProof/>
            <w:szCs w:val="22"/>
          </w:rPr>
          <w:t>Lobb 2006</w:t>
        </w:r>
      </w:hyperlink>
      <w:r w:rsidR="00644A84" w:rsidRPr="00322AD3">
        <w:rPr>
          <w:szCs w:val="22"/>
        </w:rPr>
        <w:fldChar w:fldCharType="end"/>
      </w:r>
      <w:r w:rsidR="003D1F7F" w:rsidRPr="00322AD3">
        <w:rPr>
          <w:szCs w:val="22"/>
        </w:rPr>
        <w:t>).</w:t>
      </w:r>
    </w:p>
    <w:p w14:paraId="358C105C" w14:textId="6E1B6947" w:rsidR="003D1F7F" w:rsidRPr="00322AD3" w:rsidRDefault="001D0B44" w:rsidP="003D1F7F">
      <w:pPr>
        <w:numPr>
          <w:ilvl w:val="0"/>
          <w:numId w:val="1"/>
        </w:numPr>
        <w:spacing w:before="0" w:after="0"/>
        <w:rPr>
          <w:szCs w:val="22"/>
        </w:rPr>
      </w:pPr>
      <w:r w:rsidRPr="00322AD3">
        <w:rPr>
          <w:szCs w:val="22"/>
          <w:lang w:val="en-US"/>
        </w:rPr>
        <w:t>a</w:t>
      </w:r>
      <w:r w:rsidR="003D1F7F" w:rsidRPr="00322AD3">
        <w:rPr>
          <w:szCs w:val="22"/>
          <w:lang w:val="en-US"/>
        </w:rPr>
        <w:t xml:space="preserve"> Minimum Detectable Difference (MDD) below 20</w:t>
      </w:r>
      <w:r w:rsidR="0063478C" w:rsidRPr="00322AD3">
        <w:rPr>
          <w:szCs w:val="22"/>
          <w:lang w:val="en-US"/>
        </w:rPr>
        <w:t xml:space="preserve"> per cent</w:t>
      </w:r>
      <w:r w:rsidR="003D1F7F" w:rsidRPr="00322AD3">
        <w:rPr>
          <w:szCs w:val="22"/>
          <w:lang w:val="en-US"/>
        </w:rPr>
        <w:t xml:space="preserve"> (at the 5</w:t>
      </w:r>
      <w:r w:rsidR="0063478C" w:rsidRPr="00322AD3">
        <w:rPr>
          <w:szCs w:val="22"/>
          <w:lang w:val="en-US"/>
        </w:rPr>
        <w:t xml:space="preserve"> per cent</w:t>
      </w:r>
      <w:r w:rsidR="003D1F7F" w:rsidRPr="00322AD3">
        <w:rPr>
          <w:szCs w:val="22"/>
          <w:lang w:val="en-US"/>
        </w:rPr>
        <w:t xml:space="preserve"> level of significance with 80</w:t>
      </w:r>
      <w:r w:rsidR="0063478C" w:rsidRPr="00322AD3">
        <w:rPr>
          <w:szCs w:val="22"/>
          <w:lang w:val="en-US"/>
        </w:rPr>
        <w:t xml:space="preserve"> per cent</w:t>
      </w:r>
      <w:r w:rsidR="003D1F7F" w:rsidRPr="00322AD3">
        <w:rPr>
          <w:szCs w:val="22"/>
          <w:lang w:val="en-US"/>
        </w:rPr>
        <w:t xml:space="preserve"> power) (</w:t>
      </w:r>
      <w:hyperlink w:anchor="_ENREF_21" w:tooltip="Bros, 1987 #9156" w:history="1">
        <w:r w:rsidR="00305FE7" w:rsidRPr="00322AD3">
          <w:rPr>
            <w:szCs w:val="22"/>
            <w:lang w:val="en-US"/>
          </w:rPr>
          <w:fldChar w:fldCharType="begin"/>
        </w:r>
        <w:r w:rsidR="00305FE7" w:rsidRPr="00322AD3">
          <w:rPr>
            <w:szCs w:val="22"/>
            <w:lang w:val="en-US"/>
          </w:rPr>
          <w:instrText xml:space="preserve"> ADDIN EN.CITE &lt;EndNote&gt;&lt;Cite&gt;&lt;Author&gt;Bros&lt;/Author&gt;&lt;Year&gt;1987&lt;/Year&gt;&lt;RecNum&gt;9156&lt;/RecNum&gt;&lt;DisplayText&gt;Bros and Cowell 1987&lt;/DisplayText&gt;&lt;record&gt;&lt;rec-number&gt;9156&lt;/rec-number&gt;&lt;foreign-keys&gt;&lt;key app="EN" db-id="0eve55x9y5vfd6e9dacxtew4eatve2dzds9a" timestamp="1374984599"&gt;9156&lt;/key&gt;&lt;/foreign-keys&gt;&lt;ref-type name="Journal Article"&gt;17&lt;/ref-type&gt;&lt;contributors&gt;&lt;authors&gt;&lt;author&gt;Bros, W.E.&lt;/author&gt;&lt;author&gt;Cowell, B.C.&lt;/author&gt;&lt;/authors&gt;&lt;/contributors&gt;&lt;titles&gt;&lt;title&gt;A technique for optimising sample size (replication)&lt;/title&gt;&lt;secondary-title&gt;Journal of  Experimental Marine Biology and Ecology&lt;/secondary-title&gt;&lt;/titles&gt;&lt;periodical&gt;&lt;full-title&gt;Journal of  Experimental Marine Biology and Ecology&lt;/full-title&gt;&lt;/periodical&gt;&lt;pages&gt;63-71&lt;/pages&gt;&lt;volume&gt;114&lt;/volume&gt;&lt;dates&gt;&lt;year&gt;1987&lt;/year&gt;&lt;/dates&gt;&lt;urls&gt;&lt;/urls&gt;&lt;/record&gt;&lt;/Cite&gt;&lt;/EndNote&gt;</w:instrText>
        </w:r>
        <w:r w:rsidR="00305FE7" w:rsidRPr="00322AD3">
          <w:rPr>
            <w:szCs w:val="22"/>
            <w:lang w:val="en-US"/>
          </w:rPr>
          <w:fldChar w:fldCharType="separate"/>
        </w:r>
        <w:r w:rsidR="00305FE7" w:rsidRPr="00322AD3">
          <w:rPr>
            <w:noProof/>
            <w:szCs w:val="22"/>
            <w:lang w:val="en-US"/>
          </w:rPr>
          <w:t>Bros and Cowell 1987</w:t>
        </w:r>
        <w:r w:rsidR="00305FE7" w:rsidRPr="00322AD3">
          <w:rPr>
            <w:szCs w:val="22"/>
            <w:lang w:val="en-US"/>
          </w:rPr>
          <w:fldChar w:fldCharType="end"/>
        </w:r>
      </w:hyperlink>
      <w:r w:rsidR="003D1F7F" w:rsidRPr="00322AD3">
        <w:rPr>
          <w:szCs w:val="22"/>
          <w:lang w:val="en-US"/>
        </w:rPr>
        <w:t>).</w:t>
      </w:r>
    </w:p>
    <w:p w14:paraId="595C6639" w14:textId="209DAEA1" w:rsidR="003D1F7F" w:rsidRPr="00322AD3" w:rsidRDefault="003D1F7F" w:rsidP="003D1F7F">
      <w:pPr>
        <w:spacing w:before="240"/>
        <w:rPr>
          <w:szCs w:val="22"/>
          <w:lang w:val="en-US"/>
        </w:rPr>
      </w:pPr>
      <w:r w:rsidRPr="00322AD3">
        <w:rPr>
          <w:szCs w:val="22"/>
          <w:lang w:val="en-US"/>
        </w:rPr>
        <w:t>Sites were selected using mapping surveys across the regions prior to site establishment. Ideally mapping was conducted immediately prior to site positioning, however in most (60</w:t>
      </w:r>
      <w:r w:rsidR="0063478C" w:rsidRPr="00322AD3">
        <w:rPr>
          <w:szCs w:val="22"/>
          <w:lang w:val="en-US"/>
        </w:rPr>
        <w:t xml:space="preserve"> per cent</w:t>
      </w:r>
      <w:r w:rsidRPr="00322AD3">
        <w:rPr>
          <w:szCs w:val="22"/>
          <w:lang w:val="en-US"/>
        </w:rPr>
        <w:t xml:space="preserve"> of) cases it was based on historic (&gt;5yr) information. Representative meadows were those which covered the greater extent within the inshore region, were generally the dominant seagrass community type and were within </w:t>
      </w:r>
      <w:r w:rsidR="007F6948">
        <w:rPr>
          <w:szCs w:val="22"/>
          <w:lang w:val="en-US"/>
        </w:rPr>
        <w:t>Great Barrier Reef</w:t>
      </w:r>
      <w:r w:rsidRPr="00322AD3">
        <w:rPr>
          <w:szCs w:val="22"/>
          <w:lang w:val="en-US"/>
        </w:rPr>
        <w:t xml:space="preserve"> </w:t>
      </w:r>
      <w:r w:rsidR="001D0B44" w:rsidRPr="00322AD3">
        <w:rPr>
          <w:szCs w:val="22"/>
          <w:lang w:val="en-US"/>
        </w:rPr>
        <w:t>baseline</w:t>
      </w:r>
      <w:r w:rsidRPr="00322AD3">
        <w:rPr>
          <w:szCs w:val="22"/>
          <w:lang w:val="en-US"/>
        </w:rPr>
        <w:t xml:space="preserve"> abundances (based on </w:t>
      </w:r>
      <w:r w:rsidR="00644A84" w:rsidRPr="00322AD3">
        <w:rPr>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ZXZlNTV4OXk1dmZkNmU5ZGFjeHRldzRlYXR2ZTJkemRzOWEiIHRpbWVzdGFtcD0iMTM5NDI1NTc4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</w:fldData>
        </w:fldChar>
      </w:r>
      <w:r w:rsidR="005B0C7C" w:rsidRPr="00322AD3">
        <w:rPr>
          <w:szCs w:val="22"/>
          <w:lang w:val="en-US"/>
        </w:rPr>
        <w:instrText xml:space="preserve"> ADDIN EN.CITE </w:instrText>
      </w:r>
      <w:r w:rsidR="005B0C7C" w:rsidRPr="00322AD3">
        <w:rPr>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ZXZlNTV4OXk1dmZkNmU5ZGFjeHRldzRlYXR2ZTJkemRzOWEiIHRpbWVzdGFtcD0iMTM5NDI1NTc4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</w:fldData>
        </w:fldChar>
      </w:r>
      <w:r w:rsidR="005B0C7C" w:rsidRPr="00322AD3">
        <w:rPr>
          <w:szCs w:val="22"/>
          <w:lang w:val="en-US"/>
        </w:rPr>
        <w:instrText xml:space="preserve"> ADDIN EN.CITE.DATA </w:instrText>
      </w:r>
      <w:r w:rsidR="005B0C7C" w:rsidRPr="00322AD3">
        <w:rPr>
          <w:szCs w:val="22"/>
          <w:lang w:val="en-US"/>
        </w:rPr>
      </w:r>
      <w:r w:rsidR="005B0C7C" w:rsidRPr="00322AD3">
        <w:rPr>
          <w:szCs w:val="22"/>
          <w:lang w:val="en-US"/>
        </w:rPr>
        <w:fldChar w:fldCharType="end"/>
      </w:r>
      <w:r w:rsidR="00644A84" w:rsidRPr="00322AD3">
        <w:rPr>
          <w:szCs w:val="22"/>
          <w:lang w:val="en-US"/>
        </w:rPr>
      </w:r>
      <w:r w:rsidR="00644A84" w:rsidRPr="00322AD3">
        <w:rPr>
          <w:szCs w:val="22"/>
          <w:lang w:val="en-US"/>
        </w:rPr>
        <w:fldChar w:fldCharType="separate"/>
      </w:r>
      <w:hyperlink w:anchor="_ENREF_48" w:tooltip="Coles, 2001 #9760" w:history="1">
        <w:r w:rsidR="00305FE7" w:rsidRPr="00322AD3">
          <w:rPr>
            <w:noProof/>
            <w:szCs w:val="22"/>
            <w:lang w:val="en-US"/>
          </w:rPr>
          <w:t>Coles</w:t>
        </w:r>
        <w:r w:rsidR="00305FE7" w:rsidRPr="00322AD3">
          <w:rPr>
            <w:i/>
            <w:noProof/>
            <w:szCs w:val="22"/>
            <w:lang w:val="en-US"/>
          </w:rPr>
          <w:t xml:space="preserve"> et al.</w:t>
        </w:r>
        <w:r w:rsidR="00305FE7" w:rsidRPr="00322AD3">
          <w:rPr>
            <w:noProof/>
            <w:szCs w:val="22"/>
            <w:lang w:val="en-US"/>
          </w:rPr>
          <w:t xml:space="preserve"> 2001a</w:t>
        </w:r>
      </w:hyperlink>
      <w:r w:rsidR="00644A84" w:rsidRPr="00322AD3">
        <w:rPr>
          <w:noProof/>
          <w:szCs w:val="22"/>
          <w:lang w:val="en-US"/>
        </w:rPr>
        <w:t xml:space="preserve">; </w:t>
      </w:r>
      <w:hyperlink w:anchor="_ENREF_50" w:tooltip="Coles, 2001 #9759" w:history="1">
        <w:r w:rsidR="00305FE7" w:rsidRPr="00322AD3">
          <w:rPr>
            <w:noProof/>
            <w:szCs w:val="22"/>
            <w:lang w:val="en-US"/>
          </w:rPr>
          <w:t>Coles</w:t>
        </w:r>
        <w:r w:rsidR="00305FE7" w:rsidRPr="00322AD3">
          <w:rPr>
            <w:i/>
            <w:noProof/>
            <w:szCs w:val="22"/>
            <w:lang w:val="en-US"/>
          </w:rPr>
          <w:t xml:space="preserve"> et al.</w:t>
        </w:r>
        <w:r w:rsidR="00305FE7" w:rsidRPr="00322AD3">
          <w:rPr>
            <w:noProof/>
            <w:szCs w:val="22"/>
            <w:lang w:val="en-US"/>
          </w:rPr>
          <w:t xml:space="preserve"> 2001c</w:t>
        </w:r>
      </w:hyperlink>
      <w:r w:rsidR="00644A84" w:rsidRPr="00322AD3">
        <w:rPr>
          <w:noProof/>
          <w:szCs w:val="22"/>
          <w:lang w:val="en-US"/>
        </w:rPr>
        <w:t xml:space="preserve">, </w:t>
      </w:r>
      <w:hyperlink w:anchor="_ENREF_49" w:tooltip="Coles, 2001 #9761" w:history="1">
        <w:r w:rsidR="00305FE7" w:rsidRPr="00322AD3">
          <w:rPr>
            <w:noProof/>
            <w:szCs w:val="22"/>
            <w:lang w:val="en-US"/>
          </w:rPr>
          <w:t>2001b</w:t>
        </w:r>
      </w:hyperlink>
      <w:r w:rsidR="00644A84" w:rsidRPr="00322AD3">
        <w:rPr>
          <w:noProof/>
          <w:szCs w:val="22"/>
          <w:lang w:val="en-US"/>
        </w:rPr>
        <w:t xml:space="preserve">, </w:t>
      </w:r>
      <w:hyperlink w:anchor="_ENREF_51" w:tooltip="Coles, 2001 #9762" w:history="1">
        <w:r w:rsidR="00305FE7" w:rsidRPr="00322AD3">
          <w:rPr>
            <w:noProof/>
            <w:szCs w:val="22"/>
            <w:lang w:val="en-US"/>
          </w:rPr>
          <w:t>2001d</w:t>
        </w:r>
      </w:hyperlink>
      <w:r w:rsidR="00644A84" w:rsidRPr="00322AD3">
        <w:rPr>
          <w:szCs w:val="22"/>
          <w:lang w:val="en-US"/>
        </w:rPr>
        <w:fldChar w:fldCharType="end"/>
      </w:r>
      <w:r w:rsidRPr="00322AD3">
        <w:rPr>
          <w:szCs w:val="22"/>
          <w:lang w:val="en-US"/>
        </w:rPr>
        <w:t xml:space="preserve">). To account for spatial heterogeneity of meadows within habitats, </w:t>
      </w:r>
      <w:r w:rsidR="00106862">
        <w:rPr>
          <w:szCs w:val="22"/>
          <w:lang w:val="en-US"/>
        </w:rPr>
        <w:t xml:space="preserve">at least </w:t>
      </w:r>
      <w:r w:rsidRPr="00322AD3">
        <w:rPr>
          <w:szCs w:val="22"/>
          <w:lang w:val="en-US"/>
        </w:rPr>
        <w:t xml:space="preserve">two sites were selected at each location. </w:t>
      </w:r>
      <w:r w:rsidR="00566CA2" w:rsidRPr="00322AD3">
        <w:rPr>
          <w:szCs w:val="22"/>
          <w:lang w:val="en-US"/>
        </w:rPr>
        <w:t>If meadow overall extent was larger than ~15hecatres (0.15 km</w:t>
      </w:r>
      <w:r w:rsidR="00566CA2" w:rsidRPr="00322AD3">
        <w:rPr>
          <w:szCs w:val="22"/>
          <w:vertAlign w:val="superscript"/>
          <w:lang w:val="en-US"/>
        </w:rPr>
        <w:t>2</w:t>
      </w:r>
      <w:r w:rsidR="00566CA2" w:rsidRPr="00322AD3">
        <w:rPr>
          <w:szCs w:val="22"/>
          <w:lang w:val="en-US"/>
        </w:rPr>
        <w:t>), replicate sites were often located within the same meadow</w:t>
      </w:r>
      <w:r w:rsidR="00106862">
        <w:rPr>
          <w:szCs w:val="22"/>
          <w:lang w:val="en-US"/>
        </w:rPr>
        <w:t xml:space="preserve"> (a greater number of sites was desirable with increasing meadow size , however not possible due to funding constraints)</w:t>
      </w:r>
      <w:r w:rsidR="00566CA2" w:rsidRPr="00322AD3">
        <w:rPr>
          <w:szCs w:val="22"/>
          <w:lang w:val="en-US"/>
        </w:rPr>
        <w:t>.</w:t>
      </w:r>
    </w:p>
    <w:p w14:paraId="48CA7984" w14:textId="77777777" w:rsidR="003D1F7F" w:rsidRPr="00322AD3" w:rsidRDefault="003D1F7F" w:rsidP="003D1F7F">
      <w:pPr>
        <w:spacing w:before="240"/>
        <w:rPr>
          <w:szCs w:val="22"/>
          <w:lang w:val="en-US"/>
        </w:rPr>
      </w:pPr>
      <w:r w:rsidRPr="00322AD3">
        <w:rPr>
          <w:szCs w:val="22"/>
          <w:lang w:val="en-US"/>
        </w:rPr>
        <w:t>From the onset, inshore seagrass monitoring for the MMP was focused primarily on intertidal</w:t>
      </w:r>
      <w:r w:rsidR="00566CA2" w:rsidRPr="00322AD3">
        <w:rPr>
          <w:szCs w:val="22"/>
          <w:lang w:val="en-US"/>
        </w:rPr>
        <w:t>/lower littoral</w:t>
      </w:r>
      <w:r w:rsidRPr="00322AD3">
        <w:rPr>
          <w:szCs w:val="22"/>
          <w:lang w:val="en-US"/>
        </w:rPr>
        <w:t xml:space="preserve"> seagrass meadows due to:</w:t>
      </w:r>
    </w:p>
    <w:p w14:paraId="1AA48A82" w14:textId="77777777"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accessibility and cost effectiveness (limiting use of vessels and divers)</w:t>
      </w:r>
    </w:p>
    <w:p w14:paraId="356250A1" w14:textId="6CBDDF79" w:rsidR="003D1F7F" w:rsidRPr="00322AD3" w:rsidRDefault="00AB452F" w:rsidP="003D1F7F">
      <w:pPr>
        <w:numPr>
          <w:ilvl w:val="0"/>
          <w:numId w:val="2"/>
        </w:numPr>
        <w:tabs>
          <w:tab w:val="clear" w:pos="360"/>
          <w:tab w:val="num" w:pos="709"/>
        </w:tabs>
        <w:spacing w:before="0" w:after="0"/>
        <w:ind w:left="709" w:hanging="349"/>
        <w:rPr>
          <w:szCs w:val="22"/>
        </w:rPr>
      </w:pPr>
      <w:r w:rsidRPr="00322AD3">
        <w:rPr>
          <w:szCs w:val="22"/>
        </w:rPr>
        <w:t>Occupational</w:t>
      </w:r>
      <w:r w:rsidR="003D1F7F" w:rsidRPr="00322AD3">
        <w:rPr>
          <w:szCs w:val="22"/>
        </w:rPr>
        <w:t xml:space="preserve"> Health and Safety due to</w:t>
      </w:r>
      <w:r w:rsidR="008D142C">
        <w:rPr>
          <w:szCs w:val="22"/>
        </w:rPr>
        <w:t xml:space="preserve"> dangerous marine animals (e.g.</w:t>
      </w:r>
      <w:r w:rsidR="003D1F7F" w:rsidRPr="00322AD3">
        <w:rPr>
          <w:szCs w:val="22"/>
        </w:rPr>
        <w:t xml:space="preserve"> crocodiles, box jellyfish and irukandji)</w:t>
      </w:r>
    </w:p>
    <w:p w14:paraId="17BBFB32" w14:textId="5C4110EE"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 xml:space="preserve">occurrence of meadows in estuarine, coastal and reef habitats across the entire </w:t>
      </w:r>
      <w:r w:rsidR="007F6948">
        <w:rPr>
          <w:szCs w:val="22"/>
        </w:rPr>
        <w:t>Great Barrier Reef</w:t>
      </w:r>
      <w:r w:rsidRPr="00322AD3">
        <w:rPr>
          <w:szCs w:val="22"/>
        </w:rPr>
        <w:t>, and</w:t>
      </w:r>
    </w:p>
    <w:p w14:paraId="21A06450" w14:textId="25004AA3"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 xml:space="preserve">where possible, provides an opportunity for </w:t>
      </w:r>
      <w:r w:rsidR="00106862">
        <w:rPr>
          <w:szCs w:val="22"/>
        </w:rPr>
        <w:t>citizen</w:t>
      </w:r>
      <w:r w:rsidRPr="00322AD3">
        <w:rPr>
          <w:szCs w:val="22"/>
        </w:rPr>
        <w:t xml:space="preserve"> involvement, ensuring broad acceptance and ownership of Reef Plan by the Queensland and Australian community.</w:t>
      </w:r>
    </w:p>
    <w:p w14:paraId="21351EEA" w14:textId="5ECBD396" w:rsidR="003D1F7F" w:rsidRPr="00322AD3" w:rsidRDefault="003D1F7F" w:rsidP="003D1F7F">
      <w:pPr>
        <w:spacing w:before="240"/>
        <w:rPr>
          <w:szCs w:val="22"/>
          <w:lang w:val="en-US"/>
        </w:rPr>
      </w:pPr>
      <w:r w:rsidRPr="00322AD3">
        <w:rPr>
          <w:szCs w:val="22"/>
          <w:lang w:val="en-US"/>
        </w:rPr>
        <w:t>Some of the restrictions for working in hazardous waters are overcome by using drop cameras</w:t>
      </w:r>
      <w:r w:rsidR="000945E8" w:rsidRPr="00322AD3">
        <w:rPr>
          <w:szCs w:val="22"/>
          <w:lang w:val="en-US"/>
        </w:rPr>
        <w:t>, however, drop cameras only provide</w:t>
      </w:r>
      <w:r w:rsidRPr="00322AD3">
        <w:rPr>
          <w:szCs w:val="22"/>
          <w:lang w:val="en-US"/>
        </w:rPr>
        <w:t xml:space="preserve"> abundance</w:t>
      </w:r>
      <w:r w:rsidR="000945E8" w:rsidRPr="00322AD3">
        <w:rPr>
          <w:szCs w:val="22"/>
          <w:lang w:val="en-US"/>
        </w:rPr>
        <w:t xml:space="preserve"> measures and do</w:t>
      </w:r>
      <w:r w:rsidRPr="00322AD3">
        <w:rPr>
          <w:szCs w:val="22"/>
          <w:lang w:val="en-US"/>
        </w:rPr>
        <w:t xml:space="preserve"> not contribute to </w:t>
      </w:r>
      <w:r w:rsidR="000945E8" w:rsidRPr="00322AD3">
        <w:rPr>
          <w:szCs w:val="22"/>
          <w:lang w:val="en-US"/>
        </w:rPr>
        <w:t xml:space="preserve">the other metrics </w:t>
      </w:r>
      <w:r w:rsidRPr="00322AD3">
        <w:rPr>
          <w:szCs w:val="22"/>
          <w:lang w:val="en-US"/>
        </w:rPr>
        <w:t>(e.g. tissue nutrients, reproductive ef</w:t>
      </w:r>
      <w:r w:rsidR="000945E8" w:rsidRPr="00322AD3">
        <w:rPr>
          <w:szCs w:val="22"/>
          <w:lang w:val="en-US"/>
        </w:rPr>
        <w:t>fort)</w:t>
      </w:r>
      <w:r w:rsidRPr="00322AD3">
        <w:rPr>
          <w:szCs w:val="22"/>
          <w:lang w:val="en-US"/>
        </w:rPr>
        <w:t xml:space="preserve">. Although considered intertidal within the MMP, the meadows chosen for monitoring were in fact lower littoral (rarely exposed to air). The long-term median annual daylight exposure (the time intertidal meadows are exposed to air during daylight hours) </w:t>
      </w:r>
      <w:r w:rsidRPr="00B07352">
        <w:rPr>
          <w:color w:val="000000" w:themeColor="text1"/>
          <w:szCs w:val="22"/>
          <w:lang w:val="en-US"/>
        </w:rPr>
        <w:t>was 1.7</w:t>
      </w:r>
      <w:r w:rsidR="0063478C" w:rsidRPr="00B07352">
        <w:rPr>
          <w:color w:val="000000" w:themeColor="text1"/>
          <w:szCs w:val="22"/>
          <w:lang w:val="en-US"/>
        </w:rPr>
        <w:t xml:space="preserve"> per cent</w:t>
      </w:r>
      <w:r w:rsidRPr="00B07352">
        <w:rPr>
          <w:color w:val="000000" w:themeColor="text1"/>
          <w:szCs w:val="22"/>
          <w:lang w:val="en-US"/>
        </w:rPr>
        <w:t xml:space="preserve"> (all meadows pooled) (</w:t>
      </w:r>
      <w:r w:rsidRPr="00B07352">
        <w:rPr>
          <w:color w:val="000000" w:themeColor="text1"/>
          <w:szCs w:val="22"/>
          <w:lang w:val="en-US"/>
        </w:rPr>
        <w:fldChar w:fldCharType="begin"/>
      </w:r>
      <w:r w:rsidRPr="00B07352">
        <w:rPr>
          <w:color w:val="000000" w:themeColor="text1"/>
          <w:szCs w:val="22"/>
          <w:lang w:val="en-US"/>
        </w:rPr>
        <w:instrText xml:space="preserve"> REF _Ref409806677 \h </w:instrText>
      </w:r>
      <w:r w:rsidRPr="00B07352">
        <w:rPr>
          <w:color w:val="000000" w:themeColor="text1"/>
          <w:szCs w:val="22"/>
          <w:lang w:val="en-US"/>
        </w:rPr>
      </w:r>
      <w:r w:rsidRPr="00B07352">
        <w:rPr>
          <w:color w:val="000000" w:themeColor="text1"/>
          <w:szCs w:val="22"/>
          <w:lang w:val="en-US"/>
        </w:rPr>
        <w:fldChar w:fldCharType="separate"/>
      </w:r>
      <w:r w:rsidR="00F87DF9" w:rsidRPr="002816DF">
        <w:t xml:space="preserve">Table </w:t>
      </w:r>
      <w:r w:rsidR="00F87DF9">
        <w:rPr>
          <w:noProof/>
        </w:rPr>
        <w:t>51</w:t>
      </w:r>
      <w:r w:rsidRPr="00B07352">
        <w:rPr>
          <w:color w:val="000000" w:themeColor="text1"/>
          <w:szCs w:val="22"/>
          <w:lang w:val="en-US"/>
        </w:rPr>
        <w:fldChar w:fldCharType="end"/>
      </w:r>
      <w:r w:rsidRPr="00B07352">
        <w:rPr>
          <w:color w:val="000000" w:themeColor="text1"/>
          <w:szCs w:val="22"/>
          <w:lang w:val="en-US"/>
        </w:rPr>
        <w:t xml:space="preserve">). </w:t>
      </w:r>
      <w:r w:rsidRPr="00322AD3">
        <w:rPr>
          <w:szCs w:val="22"/>
          <w:lang w:val="en-US"/>
        </w:rPr>
        <w:t>This limited the time monitoring could be conducted to the very low spring tides within small tidal windows (mostly 1-4</w:t>
      </w:r>
      <w:r w:rsidR="00A12DFC">
        <w:rPr>
          <w:szCs w:val="22"/>
          <w:lang w:val="en-US"/>
        </w:rPr>
        <w:t xml:space="preserve"> </w:t>
      </w:r>
      <w:r w:rsidRPr="00322AD3">
        <w:rPr>
          <w:szCs w:val="22"/>
          <w:lang w:val="en-US"/>
        </w:rPr>
        <w:t>hrs per day for 3-6 days per month for 6-9 months of the year). Traditionally, approaches developed for monitoring seagrass to assess changes in water quality were developed for subtidal meadows typif</w:t>
      </w:r>
      <w:r w:rsidR="008D142C">
        <w:rPr>
          <w:szCs w:val="22"/>
          <w:lang w:val="en-US"/>
        </w:rPr>
        <w:t>ied by small tidal ranges (e.g.</w:t>
      </w:r>
      <w:r w:rsidRPr="00322AD3">
        <w:rPr>
          <w:szCs w:val="22"/>
          <w:lang w:val="en-US"/>
        </w:rPr>
        <w:t xml:space="preserve"> Florida = 0.7m, Chesapeake Bay = 0.6m) and clear waters where the seaward edges of meadows were only determined by light (</w:t>
      </w:r>
      <w:hyperlink w:anchor="_ENREF_87" w:tooltip="EHMP, 2008 #9478" w:history="1">
        <w:r w:rsidR="00305FE7" w:rsidRPr="00322AD3">
          <w:rPr>
            <w:szCs w:val="22"/>
            <w:lang w:val="en-US"/>
          </w:rPr>
          <w:fldChar w:fldCharType="begin"/>
        </w:r>
        <w:r w:rsidR="00305FE7" w:rsidRPr="00322AD3">
          <w:rPr>
            <w:szCs w:val="22"/>
            <w:lang w:val="en-US"/>
          </w:rPr>
          <w:instrText xml:space="preserve"> ADDIN EN.CITE &lt;EndNote&gt;&lt;Cite&gt;&lt;Author&gt;EHMP&lt;/Author&gt;&lt;Year&gt;2008&lt;/Year&gt;&lt;RecNum&gt;9478&lt;/RecNum&gt;&lt;DisplayText&gt;EHMP 2008&lt;/DisplayText&gt;&lt;record&gt;&lt;rec-number&gt;9478&lt;/rec-number&gt;&lt;foreign-keys&gt;&lt;key app="EN" db-id="0eve55x9y5vfd6e9dacxtew4eatve2dzds9a" timestamp="1375681258"&gt;9478&lt;/key&gt;&lt;/foreign-keys&gt;&lt;ref-type name="Book"&gt;6&lt;/ref-type&gt;&lt;contributors&gt;&lt;authors&gt;&lt;author&gt;EHMP,&lt;/author&gt;&lt;/authors&gt;&lt;/contributors&gt;&lt;titles&gt;&lt;title&gt;Ecosystem Health Monitoring Program 2006-07: Annual Technical Report&lt;/title&gt;&lt;/titles&gt;&lt;section&gt;18-43&lt;/section&gt;&lt;dates&gt;&lt;year&gt;2008&lt;/year&gt;&lt;/dates&gt;&lt;pub-location&gt;Brisbane&lt;/pub-location&gt;&lt;publisher&gt;South East Queensland Healthy Waterways Partnership&lt;/publisher&gt;&lt;urls&gt;&lt;/urls&gt;&lt;/record&gt;&lt;/Cite&gt;&lt;/EndNote&gt;</w:instrText>
        </w:r>
        <w:r w:rsidR="00305FE7" w:rsidRPr="00322AD3">
          <w:rPr>
            <w:szCs w:val="22"/>
            <w:lang w:val="en-US"/>
          </w:rPr>
          <w:fldChar w:fldCharType="separate"/>
        </w:r>
        <w:r w:rsidR="00305FE7" w:rsidRPr="00322AD3">
          <w:rPr>
            <w:noProof/>
            <w:szCs w:val="22"/>
            <w:lang w:val="en-US"/>
          </w:rPr>
          <w:t>EHMP 2008</w:t>
        </w:r>
        <w:r w:rsidR="00305FE7" w:rsidRPr="00322AD3">
          <w:rPr>
            <w:szCs w:val="22"/>
            <w:lang w:val="en-US"/>
          </w:rPr>
          <w:fldChar w:fldCharType="end"/>
        </w:r>
      </w:hyperlink>
      <w:r w:rsidRPr="00322AD3">
        <w:rPr>
          <w:szCs w:val="22"/>
          <w:lang w:val="en-US"/>
        </w:rPr>
        <w:t xml:space="preserve">). Unfortunately, depth range monitoring in subtropical/tropical seagrass meadows </w:t>
      </w:r>
      <w:r w:rsidR="00CE7000" w:rsidRPr="00322AD3">
        <w:rPr>
          <w:szCs w:val="22"/>
          <w:lang w:val="en-US"/>
        </w:rPr>
        <w:t>has had</w:t>
      </w:r>
      <w:r w:rsidR="00B136DE" w:rsidRPr="00322AD3">
        <w:rPr>
          <w:szCs w:val="22"/>
          <w:lang w:val="en-US"/>
        </w:rPr>
        <w:t xml:space="preserve"> limited</w:t>
      </w:r>
      <w:r w:rsidRPr="00322AD3">
        <w:rPr>
          <w:szCs w:val="22"/>
          <w:lang w:val="en-US"/>
        </w:rPr>
        <w:t xml:space="preserve"> success </w:t>
      </w:r>
      <w:r w:rsidR="00B136DE" w:rsidRPr="00322AD3">
        <w:rPr>
          <w:szCs w:val="22"/>
          <w:lang w:val="en-US"/>
        </w:rPr>
        <w:t>due to logistic/technical issues (e.g. accuracy defining deep edge of a fragmented meadow</w:t>
      </w:r>
      <w:r w:rsidR="00E923EA" w:rsidRPr="00322AD3">
        <w:rPr>
          <w:szCs w:val="22"/>
          <w:lang w:val="en-US"/>
        </w:rPr>
        <w:t>,</w:t>
      </w:r>
      <w:r w:rsidR="00B136DE" w:rsidRPr="00322AD3">
        <w:rPr>
          <w:szCs w:val="22"/>
          <w:lang w:val="en-US"/>
        </w:rPr>
        <w:t xml:space="preserve"> </w:t>
      </w:r>
      <w:r w:rsidR="00CE7000" w:rsidRPr="00322AD3">
        <w:rPr>
          <w:szCs w:val="22"/>
          <w:lang w:val="en-US"/>
        </w:rPr>
        <w:t xml:space="preserve">and </w:t>
      </w:r>
      <w:r w:rsidR="00B136DE" w:rsidRPr="00322AD3">
        <w:rPr>
          <w:szCs w:val="22"/>
          <w:lang w:val="en-US"/>
        </w:rPr>
        <w:t xml:space="preserve">positional accuracy of </w:t>
      </w:r>
      <w:r w:rsidR="00E923EA" w:rsidRPr="00322AD3">
        <w:rPr>
          <w:szCs w:val="22"/>
          <w:lang w:val="en-US"/>
        </w:rPr>
        <w:t>the autoset level</w:t>
      </w:r>
      <w:r w:rsidR="00CE7000" w:rsidRPr="00322AD3">
        <w:rPr>
          <w:szCs w:val="22"/>
          <w:lang w:val="en-US"/>
        </w:rPr>
        <w:t>’s graduated staff</w:t>
      </w:r>
      <w:r w:rsidR="00E923EA" w:rsidRPr="00322AD3">
        <w:rPr>
          <w:szCs w:val="22"/>
          <w:lang w:val="en-US"/>
        </w:rPr>
        <w:t xml:space="preserve"> with increasing horizontal distance</w:t>
      </w:r>
      <w:r w:rsidR="00CE7000" w:rsidRPr="00322AD3">
        <w:rPr>
          <w:szCs w:val="22"/>
          <w:lang w:val="en-US"/>
        </w:rPr>
        <w:t>) (B. Longstaff, pers. comm. 05 May 2004)</w:t>
      </w:r>
      <w:r w:rsidR="00B136DE" w:rsidRPr="00322AD3">
        <w:rPr>
          <w:szCs w:val="22"/>
          <w:lang w:val="en-US"/>
        </w:rPr>
        <w:t xml:space="preserve"> </w:t>
      </w:r>
      <w:r w:rsidRPr="00322AD3">
        <w:rPr>
          <w:szCs w:val="22"/>
          <w:lang w:val="en-US"/>
        </w:rPr>
        <w:t>and seagrass meadows within the Great Barrier Reef lagoon do not conform to traditional ecosystem models because of the systems complexity (</w:t>
      </w:r>
      <w:hyperlink w:anchor="_ENREF_32" w:tooltip="Carruthers, 2002 #8021" w:history="1">
        <w:r w:rsidR="00305FE7" w:rsidRPr="00322AD3">
          <w:rPr>
            <w:szCs w:val="22"/>
            <w:lang w:val="en-US"/>
          </w:rPr>
          <w:fldChar w:fldCharType="begin"/>
        </w:r>
        <w:r w:rsidR="00305FE7">
          <w:rPr>
            <w:szCs w:val="22"/>
            <w:lang w:val="en-US"/>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305FE7" w:rsidRPr="00322AD3">
          <w:rPr>
            <w:szCs w:val="22"/>
            <w:lang w:val="en-US"/>
          </w:rPr>
          <w:fldChar w:fldCharType="separate"/>
        </w:r>
        <w:r w:rsidR="00305FE7">
          <w:rPr>
            <w:noProof/>
            <w:szCs w:val="22"/>
            <w:lang w:val="en-US"/>
          </w:rPr>
          <w:t>Carruthers</w:t>
        </w:r>
        <w:r w:rsidR="00305FE7" w:rsidRPr="00521D93">
          <w:rPr>
            <w:i/>
            <w:noProof/>
            <w:szCs w:val="22"/>
            <w:lang w:val="en-US"/>
          </w:rPr>
          <w:t xml:space="preserve"> et al.</w:t>
        </w:r>
        <w:r w:rsidR="00305FE7">
          <w:rPr>
            <w:noProof/>
            <w:szCs w:val="22"/>
            <w:lang w:val="en-US"/>
          </w:rPr>
          <w:t xml:space="preserve"> 2002</w:t>
        </w:r>
        <w:r w:rsidR="00305FE7" w:rsidRPr="00322AD3">
          <w:rPr>
            <w:szCs w:val="22"/>
            <w:lang w:val="en-US"/>
          </w:rPr>
          <w:fldChar w:fldCharType="end"/>
        </w:r>
      </w:hyperlink>
      <w:r w:rsidRPr="00322AD3">
        <w:rPr>
          <w:szCs w:val="22"/>
          <w:lang w:val="en-US"/>
        </w:rPr>
        <w:t xml:space="preserve">), </w:t>
      </w:r>
      <w:bookmarkStart w:id="43" w:name="OLE_LINK33"/>
      <w:r w:rsidRPr="00322AD3">
        <w:rPr>
          <w:szCs w:val="22"/>
          <w:lang w:val="en-US"/>
        </w:rPr>
        <w:t>including:</w:t>
      </w:r>
    </w:p>
    <w:p w14:paraId="0DEFC649" w14:textId="77777777"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a variety of habitat types (estuarine, coastal, reef and deepwater);</w:t>
      </w:r>
    </w:p>
    <w:p w14:paraId="429698BD" w14:textId="77777777"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a large variety of seagrass species with differing life history traits and strategies;</w:t>
      </w:r>
    </w:p>
    <w:p w14:paraId="266E69AC" w14:textId="1DDF84F5"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 xml:space="preserve">tidal amplitudes spanning 3.42m (Cairns) to 10.4m (Broad Sound) (www.msq.qld.gov.au; </w:t>
      </w:r>
      <w:hyperlink w:anchor="_ENREF_143" w:tooltip="Maxwell, 1968 #700" w:history="1">
        <w:r w:rsidR="00305FE7" w:rsidRPr="00322AD3">
          <w:rPr>
            <w:lang w:val="en-GB"/>
          </w:rPr>
          <w:fldChar w:fldCharType="begin"/>
        </w:r>
        <w:r w:rsidR="00305FE7" w:rsidRPr="00322AD3">
          <w:rPr>
            <w:lang w:val="en-GB"/>
          </w:rPr>
          <w:instrText xml:space="preserve"> ADDIN EN.CITE &lt;EndNote&gt;&lt;Cite&gt;&lt;Author&gt;Maxwell&lt;/Author&gt;&lt;Year&gt;1968&lt;/Year&gt;&lt;RecNum&gt;700&lt;/RecNum&gt;&lt;DisplayText&gt;Maxwell 1968&lt;/DisplayText&gt;&lt;record&gt;&lt;rec-number&gt;700&lt;/rec-number&gt;&lt;foreign-keys&gt;&lt;key app="EN" db-id="0eve55x9y5vfd6e9dacxtew4eatve2dzds9a" timestamp="0"&gt;700&lt;/key&gt;&lt;/foreign-keys&gt;&lt;ref-type name="Book"&gt;6&lt;/ref-type&gt;&lt;contributors&gt;&lt;authors&gt;&lt;author&gt;Maxwell, W. G. H.&lt;/author&gt;&lt;/authors&gt;&lt;/contributors&gt;&lt;titles&gt;&lt;title&gt;Atlas of the Great Barrier Reef&lt;/title&gt;&lt;/titles&gt;&lt;pages&gt;258&lt;/pages&gt;&lt;keywords&gt;&lt;keyword&gt;GREAT BARRIER REEF&lt;/keyword&gt;&lt;keyword&gt;LEN&amp;apos;S REFERENCES&lt;/keyword&gt;&lt;keyword&gt;SEDIMENTS&lt;/keyword&gt;&lt;/keywords&gt;&lt;dates&gt;&lt;year&gt;1968&lt;/year&gt;&lt;/dates&gt;&lt;pub-location&gt;Amsterdam&lt;/pub-location&gt;&lt;publisher&gt;Elsevier Publishing Company&lt;/publisher&gt;&lt;label&gt;702&lt;/label&gt;&lt;urls&gt;&lt;/urls&gt;&lt;custom1&gt;Annex&lt;/custom1&gt;&lt;/record&gt;&lt;/Cite&gt;&lt;/EndNote&gt;</w:instrText>
        </w:r>
        <w:r w:rsidR="00305FE7" w:rsidRPr="00322AD3">
          <w:rPr>
            <w:lang w:val="en-GB"/>
          </w:rPr>
          <w:fldChar w:fldCharType="separate"/>
        </w:r>
        <w:r w:rsidR="00305FE7" w:rsidRPr="00322AD3">
          <w:rPr>
            <w:noProof/>
            <w:lang w:val="en-GB"/>
          </w:rPr>
          <w:t>Maxwell 1968</w:t>
        </w:r>
        <w:r w:rsidR="00305FE7" w:rsidRPr="00322AD3">
          <w:rPr>
            <w:lang w:val="en-GB"/>
          </w:rPr>
          <w:fldChar w:fldCharType="end"/>
        </w:r>
      </w:hyperlink>
      <w:r w:rsidRPr="00322AD3">
        <w:rPr>
          <w:szCs w:val="22"/>
        </w:rPr>
        <w:t>);</w:t>
      </w:r>
    </w:p>
    <w:p w14:paraId="74D8AB3F" w14:textId="77777777"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a variety of sediment substrates, from terrigenous with high organic content, to oligotrophic calcium carbonate;</w:t>
      </w:r>
    </w:p>
    <w:p w14:paraId="372E7FD5" w14:textId="77777777"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turbid nearshore to clearer offshore waters;</w:t>
      </w:r>
    </w:p>
    <w:p w14:paraId="0DEAD03F" w14:textId="77777777"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grazing dugongs and sea turtles influencing meadow community structure and landscapes;</w:t>
      </w:r>
    </w:p>
    <w:p w14:paraId="0443A767" w14:textId="2C915CFA" w:rsidR="003D1F7F" w:rsidRPr="00322AD3" w:rsidRDefault="003D1F7F" w:rsidP="003D1F7F">
      <w:pPr>
        <w:numPr>
          <w:ilvl w:val="0"/>
          <w:numId w:val="2"/>
        </w:numPr>
        <w:tabs>
          <w:tab w:val="clear" w:pos="360"/>
          <w:tab w:val="num" w:pos="709"/>
        </w:tabs>
        <w:spacing w:before="0" w:after="0"/>
        <w:ind w:left="709" w:hanging="349"/>
        <w:rPr>
          <w:szCs w:val="22"/>
        </w:rPr>
      </w:pPr>
      <w:r w:rsidRPr="00322AD3">
        <w:rPr>
          <w:szCs w:val="22"/>
        </w:rPr>
        <w:t>near</w:t>
      </w:r>
      <w:r w:rsidR="00C3035F" w:rsidRPr="00322AD3">
        <w:rPr>
          <w:szCs w:val="22"/>
        </w:rPr>
        <w:t>-</w:t>
      </w:r>
      <w:r w:rsidRPr="00322AD3">
        <w:rPr>
          <w:szCs w:val="22"/>
        </w:rPr>
        <w:t>absence of shallow subtidal meadows south of the Whitsundays due to the large tides which scour the seabed.</w:t>
      </w:r>
    </w:p>
    <w:bookmarkEnd w:id="43"/>
    <w:p w14:paraId="3279DBD5" w14:textId="47336E60" w:rsidR="003D1F7F" w:rsidRPr="00322AD3" w:rsidRDefault="000945E8" w:rsidP="003D1F7F">
      <w:pPr>
        <w:spacing w:before="240"/>
        <w:rPr>
          <w:szCs w:val="22"/>
          <w:lang w:val="en-US"/>
        </w:rPr>
      </w:pPr>
      <w:r w:rsidRPr="00322AD3">
        <w:rPr>
          <w:szCs w:val="22"/>
          <w:lang w:val="en-US"/>
        </w:rPr>
        <w:t>Deepwater</w:t>
      </w:r>
      <w:r w:rsidR="003D1F7F" w:rsidRPr="00322AD3">
        <w:rPr>
          <w:szCs w:val="22"/>
          <w:lang w:val="en-US"/>
        </w:rPr>
        <w:t xml:space="preserve"> </w:t>
      </w:r>
      <w:r w:rsidR="00840A57" w:rsidRPr="00322AD3">
        <w:rPr>
          <w:szCs w:val="22"/>
          <w:lang w:val="en-US"/>
        </w:rPr>
        <w:t xml:space="preserve">(&gt;15m) </w:t>
      </w:r>
      <w:r w:rsidR="003D1F7F" w:rsidRPr="00322AD3">
        <w:rPr>
          <w:szCs w:val="22"/>
          <w:lang w:val="en-US"/>
        </w:rPr>
        <w:t xml:space="preserve">meadows across the </w:t>
      </w:r>
      <w:r w:rsidR="007F6948">
        <w:rPr>
          <w:szCs w:val="22"/>
          <w:lang w:val="en-US"/>
        </w:rPr>
        <w:t>Great Barrier Reef</w:t>
      </w:r>
      <w:r w:rsidR="003D1F7F" w:rsidRPr="00322AD3">
        <w:rPr>
          <w:szCs w:val="22"/>
          <w:lang w:val="en-US"/>
        </w:rPr>
        <w:t xml:space="preserve"> are </w:t>
      </w:r>
      <w:r w:rsidR="00106862">
        <w:rPr>
          <w:szCs w:val="22"/>
          <w:lang w:val="en-US"/>
        </w:rPr>
        <w:t>comprised of only</w:t>
      </w:r>
      <w:r w:rsidR="003D1F7F" w:rsidRPr="00322AD3">
        <w:rPr>
          <w:szCs w:val="22"/>
          <w:lang w:val="en-US"/>
        </w:rPr>
        <w:t xml:space="preserve"> </w:t>
      </w:r>
      <w:r w:rsidR="003D1F7F" w:rsidRPr="00322AD3">
        <w:rPr>
          <w:i/>
          <w:szCs w:val="22"/>
          <w:lang w:val="en-US"/>
        </w:rPr>
        <w:t>Halophila</w:t>
      </w:r>
      <w:r w:rsidR="003D1F7F" w:rsidRPr="00322AD3">
        <w:rPr>
          <w:szCs w:val="22"/>
          <w:lang w:val="en-US"/>
        </w:rPr>
        <w:t xml:space="preserve"> species and are highly variable in abundance and distribution (</w:t>
      </w:r>
      <w:hyperlink w:anchor="_ENREF_131" w:tooltip="Lee Long, 1999 #5782" w:history="1">
        <w:r w:rsidR="00305FE7" w:rsidRPr="00322AD3">
          <w:rPr>
            <w:szCs w:val="22"/>
            <w:lang w:val="en-US"/>
          </w:rPr>
          <w:fldChar w:fldCharType="begin"/>
        </w:r>
        <w:r w:rsidR="00305FE7" w:rsidRPr="00322AD3">
          <w:rPr>
            <w:szCs w:val="22"/>
            <w:lang w:val="en-US"/>
          </w:rPr>
          <w:instrText xml:space="preserve"> ADDIN EN.CITE &lt;EndNote&gt;&lt;Cite&gt;&lt;Author&gt;Lee Long&lt;/Author&gt;&lt;Year&gt;1999&lt;/Year&gt;&lt;RecNum&gt;5782&lt;/RecNum&gt;&lt;DisplayText&gt;Lee Long&lt;style face="italic"&gt; et al.&lt;/style&gt; 1999&lt;/DisplayText&gt;&lt;record&gt;&lt;rec-number&gt;5782&lt;/rec-number&gt;&lt;foreign-keys&gt;&lt;key app="EN" db-id="0eve55x9y5vfd6e9dacxtew4eatve2dzds9a" timestamp="0"&gt;5782&lt;/key&gt;&lt;/foreign-keys&gt;&lt;ref-type name="Journal Article"&gt;17&lt;/ref-type&gt;&lt;contributors&gt;&lt;authors&gt;&lt;author&gt;Lee Long, Warren J&lt;/author&gt;&lt;author&gt;Coles, Robert G&lt;/author&gt;&lt;author&gt;McKenzie, Len J&lt;/author&gt;&lt;/authors&gt;&lt;/contributors&gt;&lt;titles&gt;&lt;title&gt;Issues for Seagrass conservation management in Queensland&lt;/title&gt;&lt;secondary-title&gt;Pacific Conservation Biology&lt;/secondary-title&gt;&lt;/titles&gt;&lt;periodical&gt;&lt;full-title&gt;Pacific Conservation Biology&lt;/full-title&gt;&lt;/periodical&gt;&lt;pages&gt;321-328&lt;/pages&gt;&lt;volume&gt;5&lt;/volume&gt;&lt;number&gt;4&lt;/number&gt;&lt;dates&gt;&lt;year&gt;1999&lt;/year&gt;&lt;/dates&gt;&lt;urls&gt;&lt;/urls&gt;&lt;/record&gt;&lt;/Cite&gt;&lt;/EndNote&gt;</w:instrText>
        </w:r>
        <w:r w:rsidR="00305FE7" w:rsidRPr="00322AD3">
          <w:rPr>
            <w:szCs w:val="22"/>
            <w:lang w:val="en-US"/>
          </w:rPr>
          <w:fldChar w:fldCharType="separate"/>
        </w:r>
        <w:r w:rsidR="00305FE7" w:rsidRPr="00322AD3">
          <w:rPr>
            <w:noProof/>
            <w:szCs w:val="22"/>
            <w:lang w:val="en-US"/>
          </w:rPr>
          <w:t>Lee Long</w:t>
        </w:r>
        <w:r w:rsidR="00305FE7" w:rsidRPr="00322AD3">
          <w:rPr>
            <w:i/>
            <w:noProof/>
            <w:szCs w:val="22"/>
            <w:lang w:val="en-US"/>
          </w:rPr>
          <w:t xml:space="preserve"> et al.</w:t>
        </w:r>
        <w:r w:rsidR="00305FE7" w:rsidRPr="00322AD3">
          <w:rPr>
            <w:noProof/>
            <w:szCs w:val="22"/>
            <w:lang w:val="en-US"/>
          </w:rPr>
          <w:t xml:space="preserve"> 1999</w:t>
        </w:r>
        <w:r w:rsidR="00305FE7" w:rsidRPr="00322AD3">
          <w:rPr>
            <w:szCs w:val="22"/>
            <w:lang w:val="en-US"/>
          </w:rPr>
          <w:fldChar w:fldCharType="end"/>
        </w:r>
      </w:hyperlink>
      <w:r w:rsidR="003D1F7F" w:rsidRPr="00322AD3">
        <w:rPr>
          <w:szCs w:val="22"/>
          <w:lang w:val="en-US"/>
        </w:rPr>
        <w:t xml:space="preserve">). Due to this high variability they </w:t>
      </w:r>
      <w:r w:rsidR="00840A57" w:rsidRPr="00322AD3">
        <w:rPr>
          <w:szCs w:val="22"/>
          <w:lang w:val="en-US"/>
        </w:rPr>
        <w:t xml:space="preserve">do not meet the current criteria </w:t>
      </w:r>
      <w:r w:rsidR="003D1F7F" w:rsidRPr="00322AD3">
        <w:rPr>
          <w:szCs w:val="22"/>
          <w:lang w:val="en-US"/>
        </w:rPr>
        <w:t>for monitoring</w:t>
      </w:r>
      <w:r w:rsidR="00840A57" w:rsidRPr="00322AD3">
        <w:rPr>
          <w:szCs w:val="22"/>
          <w:lang w:val="en-US"/>
        </w:rPr>
        <w:t>,</w:t>
      </w:r>
      <w:r w:rsidR="003D1F7F" w:rsidRPr="00322AD3">
        <w:rPr>
          <w:szCs w:val="22"/>
          <w:lang w:val="en-US"/>
        </w:rPr>
        <w:t xml:space="preserve"> as the MDD is very poor at the 5</w:t>
      </w:r>
      <w:r w:rsidR="0063478C" w:rsidRPr="00322AD3">
        <w:rPr>
          <w:szCs w:val="22"/>
          <w:lang w:val="en-US"/>
        </w:rPr>
        <w:t xml:space="preserve"> per cent</w:t>
      </w:r>
      <w:r w:rsidR="003D1F7F" w:rsidRPr="00322AD3">
        <w:rPr>
          <w:szCs w:val="22"/>
          <w:lang w:val="en-US"/>
        </w:rPr>
        <w:t xml:space="preserve"> level of significance with 80</w:t>
      </w:r>
      <w:r w:rsidR="0063478C" w:rsidRPr="00322AD3">
        <w:rPr>
          <w:szCs w:val="22"/>
          <w:lang w:val="en-US"/>
        </w:rPr>
        <w:t xml:space="preserve"> per cent</w:t>
      </w:r>
      <w:r w:rsidR="003D1F7F" w:rsidRPr="00322AD3">
        <w:rPr>
          <w:szCs w:val="22"/>
          <w:lang w:val="en-US"/>
        </w:rPr>
        <w:t xml:space="preserve"> power (</w:t>
      </w:r>
      <w:hyperlink w:anchor="_ENREF_159" w:tooltip="McKenzie, 1998 #6844" w:history="1">
        <w:r w:rsidR="00305FE7" w:rsidRPr="00322AD3">
          <w:rPr>
            <w:szCs w:val="22"/>
            <w:lang w:val="en-US"/>
          </w:rPr>
          <w:fldChar w:fldCharType="begin"/>
        </w:r>
        <w:r w:rsidR="00305FE7" w:rsidRPr="00322AD3">
          <w:rPr>
            <w:szCs w:val="22"/>
            <w:lang w:val="en-US"/>
          </w:rPr>
          <w:instrText xml:space="preserve"> ADDIN EN.CITE &lt;EndNote&gt;&lt;Cite&gt;&lt;Author&gt;McKenzie&lt;/Author&gt;&lt;Year&gt;1998&lt;/Year&gt;&lt;RecNum&gt;6844&lt;/RecNum&gt;&lt;DisplayText&gt;McKenzie&lt;style face="italic"&gt; et al.&lt;/style&gt; 1998&lt;/DisplayText&gt;&lt;record&gt;&lt;rec-number&gt;6844&lt;/rec-number&gt;&lt;foreign-keys&gt;&lt;key app="EN" db-id="0eve55x9y5vfd6e9dacxtew4eatve2dzds9a" timestamp="0"&gt;6844&lt;/key&gt;&lt;/foreign-keys&gt;&lt;ref-type name="Book"&gt;6&lt;/ref-type&gt;&lt;contributors&gt;&lt;authors&gt;&lt;author&gt;McKenzie, Len J&lt;/author&gt;&lt;author&gt;Lee Long, W. J.&lt;/author&gt;&lt;author&gt;Roelofs, A&lt;/author&gt;&lt;author&gt;Roder, C A&lt;/author&gt;&lt;author&gt;Coles, R&lt;/author&gt;&lt;/authors&gt;&lt;/contributors&gt;&lt;titles&gt;&lt;title&gt;Port of Mourilyin seagrass monitoring - first four years. EcoPorts Monograph Serie No. 15.&lt;/title&gt;&lt;/titles&gt;&lt;pages&gt;30&lt;/pages&gt;&lt;dates&gt;&lt;year&gt;1998&lt;/year&gt;&lt;/dates&gt;&lt;pub-location&gt;Brisbane&lt;/pub-location&gt;&lt;publisher&gt;Ports Corporation of Queensland&lt;/publisher&gt;&lt;urls&gt;&lt;/urls&gt;&lt;/record&gt;&lt;/Cite&gt;&lt;/EndNote&gt;</w:instrText>
        </w:r>
        <w:r w:rsidR="00305FE7" w:rsidRPr="00322AD3">
          <w:rPr>
            <w:szCs w:val="22"/>
            <w:lang w:val="en-US"/>
          </w:rPr>
          <w:fldChar w:fldCharType="separate"/>
        </w:r>
        <w:r w:rsidR="00305FE7" w:rsidRPr="00322AD3">
          <w:rPr>
            <w:noProof/>
            <w:szCs w:val="22"/>
            <w:lang w:val="en-US"/>
          </w:rPr>
          <w:t>McKenzie</w:t>
        </w:r>
        <w:r w:rsidR="00305FE7" w:rsidRPr="00322AD3">
          <w:rPr>
            <w:i/>
            <w:noProof/>
            <w:szCs w:val="22"/>
            <w:lang w:val="en-US"/>
          </w:rPr>
          <w:t xml:space="preserve"> et al.</w:t>
        </w:r>
        <w:r w:rsidR="00305FE7" w:rsidRPr="00322AD3">
          <w:rPr>
            <w:noProof/>
            <w:szCs w:val="22"/>
            <w:lang w:val="en-US"/>
          </w:rPr>
          <w:t xml:space="preserve"> 1998</w:t>
        </w:r>
        <w:r w:rsidR="00305FE7" w:rsidRPr="00322AD3">
          <w:rPr>
            <w:szCs w:val="22"/>
            <w:lang w:val="en-US"/>
          </w:rPr>
          <w:fldChar w:fldCharType="end"/>
        </w:r>
      </w:hyperlink>
      <w:r w:rsidR="003D1F7F" w:rsidRPr="00322AD3">
        <w:rPr>
          <w:szCs w:val="22"/>
          <w:lang w:val="en-US"/>
        </w:rPr>
        <w:t>)</w:t>
      </w:r>
      <w:r w:rsidR="00840A57" w:rsidRPr="00322AD3">
        <w:rPr>
          <w:szCs w:val="22"/>
          <w:lang w:val="en-US"/>
        </w:rPr>
        <w:t>, and will require a different approach if to be included in future</w:t>
      </w:r>
      <w:r w:rsidR="00A12DFC">
        <w:rPr>
          <w:szCs w:val="22"/>
          <w:lang w:val="en-US"/>
        </w:rPr>
        <w:t xml:space="preserve"> monitoring</w:t>
      </w:r>
      <w:r w:rsidR="003D1F7F" w:rsidRPr="00322AD3">
        <w:rPr>
          <w:szCs w:val="22"/>
          <w:lang w:val="en-US"/>
        </w:rPr>
        <w:t xml:space="preserve">. Predominately stable lower littoral </w:t>
      </w:r>
      <w:r w:rsidRPr="00322AD3">
        <w:rPr>
          <w:szCs w:val="22"/>
          <w:lang w:val="en-US"/>
        </w:rPr>
        <w:t xml:space="preserve">and shallow (&gt;1.5m below Lowest Astronomical Tide) subtidal </w:t>
      </w:r>
      <w:r w:rsidR="003D1F7F" w:rsidRPr="00322AD3">
        <w:rPr>
          <w:szCs w:val="22"/>
          <w:lang w:val="en-US"/>
        </w:rPr>
        <w:t>meadows of founda</w:t>
      </w:r>
      <w:r w:rsidR="008D142C">
        <w:rPr>
          <w:szCs w:val="22"/>
          <w:lang w:val="en-US"/>
        </w:rPr>
        <w:t>tion species (e.g.</w:t>
      </w:r>
      <w:r w:rsidR="003D1F7F" w:rsidRPr="00322AD3">
        <w:rPr>
          <w:szCs w:val="22"/>
          <w:lang w:val="en-US"/>
        </w:rPr>
        <w:t xml:space="preserve"> </w:t>
      </w:r>
      <w:r w:rsidR="003D1F7F" w:rsidRPr="00322AD3">
        <w:rPr>
          <w:i/>
          <w:szCs w:val="22"/>
          <w:lang w:val="en-US"/>
        </w:rPr>
        <w:t>Zostera</w:t>
      </w:r>
      <w:r w:rsidRPr="00322AD3">
        <w:rPr>
          <w:i/>
          <w:szCs w:val="22"/>
          <w:lang w:val="en-US"/>
        </w:rPr>
        <w:t>, Halodule</w:t>
      </w:r>
      <w:r w:rsidR="003D1F7F" w:rsidRPr="00322AD3">
        <w:rPr>
          <w:szCs w:val="22"/>
          <w:lang w:val="en-US"/>
        </w:rPr>
        <w:t xml:space="preserve">) are best for determining significant change/impact (McKenzie </w:t>
      </w:r>
      <w:r w:rsidR="003D1F7F" w:rsidRPr="00322AD3">
        <w:rPr>
          <w:i/>
          <w:szCs w:val="22"/>
          <w:lang w:val="en-US"/>
        </w:rPr>
        <w:t>et al.</w:t>
      </w:r>
      <w:r w:rsidR="003D1F7F" w:rsidRPr="00322AD3">
        <w:rPr>
          <w:szCs w:val="22"/>
          <w:lang w:val="en-US"/>
        </w:rPr>
        <w:t xml:space="preserve"> 1998). </w:t>
      </w:r>
      <w:r w:rsidRPr="00322AD3">
        <w:rPr>
          <w:szCs w:val="22"/>
          <w:lang w:val="en-US"/>
        </w:rPr>
        <w:t>W</w:t>
      </w:r>
      <w:r w:rsidR="00206A72" w:rsidRPr="00322AD3">
        <w:rPr>
          <w:szCs w:val="22"/>
          <w:lang w:val="en-US"/>
        </w:rPr>
        <w:t xml:space="preserve">here possible, shallow </w:t>
      </w:r>
      <w:r w:rsidR="003D1F7F" w:rsidRPr="00322AD3">
        <w:rPr>
          <w:szCs w:val="22"/>
          <w:lang w:val="en-US"/>
        </w:rPr>
        <w:t xml:space="preserve">subtidal </w:t>
      </w:r>
      <w:r w:rsidRPr="00322AD3">
        <w:rPr>
          <w:szCs w:val="22"/>
          <w:lang w:val="en-US"/>
        </w:rPr>
        <w:t xml:space="preserve">and lower littoral </w:t>
      </w:r>
      <w:r w:rsidR="003D1F7F" w:rsidRPr="00322AD3">
        <w:rPr>
          <w:szCs w:val="22"/>
          <w:lang w:val="en-US"/>
        </w:rPr>
        <w:t xml:space="preserve">monitoring sites were </w:t>
      </w:r>
      <w:r w:rsidRPr="00322AD3">
        <w:rPr>
          <w:szCs w:val="22"/>
          <w:lang w:val="en-US"/>
        </w:rPr>
        <w:t>paired when</w:t>
      </w:r>
      <w:r w:rsidR="003D1F7F" w:rsidRPr="00322AD3">
        <w:rPr>
          <w:szCs w:val="22"/>
          <w:lang w:val="en-US"/>
        </w:rPr>
        <w:t xml:space="preserve"> dominated by </w:t>
      </w:r>
      <w:r w:rsidRPr="00322AD3">
        <w:rPr>
          <w:szCs w:val="22"/>
          <w:lang w:val="en-US"/>
        </w:rPr>
        <w:t xml:space="preserve">similar </w:t>
      </w:r>
      <w:r w:rsidR="003D1F7F" w:rsidRPr="00322AD3">
        <w:rPr>
          <w:szCs w:val="22"/>
          <w:lang w:val="en-US"/>
        </w:rPr>
        <w:t>species.</w:t>
      </w:r>
    </w:p>
    <w:p w14:paraId="2091290F" w14:textId="4D0E747F" w:rsidR="009D7C70" w:rsidRPr="00322AD3" w:rsidRDefault="003D1F7F" w:rsidP="003D1F7F">
      <w:pPr>
        <w:rPr>
          <w:szCs w:val="22"/>
          <w:lang w:val="en-US"/>
        </w:rPr>
      </w:pPr>
      <w:r w:rsidRPr="00322AD3">
        <w:rPr>
          <w:szCs w:val="22"/>
          <w:lang w:val="en-US"/>
        </w:rPr>
        <w:t xml:space="preserve">Due to the high diversity of seagrass species across the </w:t>
      </w:r>
      <w:r w:rsidR="007F6948">
        <w:rPr>
          <w:szCs w:val="22"/>
          <w:lang w:val="en-US"/>
        </w:rPr>
        <w:t>Great Barrier Reef</w:t>
      </w:r>
      <w:r w:rsidRPr="00322AD3">
        <w:rPr>
          <w:szCs w:val="22"/>
          <w:lang w:val="en-US"/>
        </w:rPr>
        <w:t xml:space="preserve">, it was decided in consultation with </w:t>
      </w:r>
      <w:r w:rsidR="00745844">
        <w:rPr>
          <w:szCs w:val="22"/>
          <w:lang w:val="en-US"/>
        </w:rPr>
        <w:t xml:space="preserve">the </w:t>
      </w:r>
      <w:r w:rsidR="008574EC">
        <w:rPr>
          <w:szCs w:val="22"/>
          <w:lang w:val="en-US"/>
        </w:rPr>
        <w:t>Marine Park Authority</w:t>
      </w:r>
      <w:r w:rsidR="00745844">
        <w:rPr>
          <w:szCs w:val="22"/>
          <w:lang w:val="en-US"/>
        </w:rPr>
        <w:t xml:space="preserve"> </w:t>
      </w:r>
      <w:r w:rsidRPr="00322AD3">
        <w:rPr>
          <w:szCs w:val="22"/>
          <w:lang w:val="en-US"/>
        </w:rPr>
        <w:t>to direct monitoring toward the foundation seagrass species across the seagrass habitats</w:t>
      </w:r>
      <w:r w:rsidR="009D7C70" w:rsidRPr="00322AD3">
        <w:rPr>
          <w:szCs w:val="22"/>
          <w:lang w:val="en-US"/>
        </w:rPr>
        <w:t xml:space="preserve"> </w:t>
      </w:r>
      <w:r w:rsidR="00170D2D" w:rsidRPr="00322AD3">
        <w:rPr>
          <w:szCs w:val="22"/>
          <w:lang w:val="en-US"/>
        </w:rPr>
        <w:t>(</w:t>
      </w:r>
      <w:r w:rsidR="009D7C70" w:rsidRPr="00322AD3">
        <w:rPr>
          <w:szCs w:val="22"/>
          <w:lang w:val="en-US"/>
        </w:rPr>
        <w:fldChar w:fldCharType="begin"/>
      </w:r>
      <w:r w:rsidR="009D7C70" w:rsidRPr="00322AD3">
        <w:rPr>
          <w:szCs w:val="22"/>
          <w:lang w:val="en-US"/>
        </w:rPr>
        <w:instrText xml:space="preserve"> REF _Ref501361580 \h </w:instrText>
      </w:r>
      <w:r w:rsidR="009D7C70" w:rsidRPr="00322AD3">
        <w:rPr>
          <w:szCs w:val="22"/>
          <w:lang w:val="en-US"/>
        </w:rPr>
      </w:r>
      <w:r w:rsidR="009D7C70" w:rsidRPr="00322AD3">
        <w:rPr>
          <w:szCs w:val="22"/>
          <w:lang w:val="en-US"/>
        </w:rPr>
        <w:fldChar w:fldCharType="separate"/>
      </w:r>
      <w:r w:rsidR="00F87DF9">
        <w:t xml:space="preserve">Figure </w:t>
      </w:r>
      <w:r w:rsidR="00F87DF9">
        <w:rPr>
          <w:noProof/>
        </w:rPr>
        <w:t>5</w:t>
      </w:r>
      <w:r w:rsidR="009D7C70" w:rsidRPr="00322AD3">
        <w:rPr>
          <w:szCs w:val="22"/>
          <w:lang w:val="en-US"/>
        </w:rPr>
        <w:fldChar w:fldCharType="end"/>
      </w:r>
      <w:r w:rsidR="00170D2D" w:rsidRPr="00322AD3">
        <w:rPr>
          <w:szCs w:val="22"/>
          <w:lang w:val="en-US"/>
        </w:rPr>
        <w:t>)</w:t>
      </w:r>
      <w:r w:rsidRPr="00322AD3">
        <w:rPr>
          <w:szCs w:val="22"/>
          <w:lang w:val="en-US"/>
        </w:rPr>
        <w:t>. A foundation species is the dominant primary producer in an ecosystem both in terms of abundance and influence, playing central roles in sustaining ecosystem services (</w:t>
      </w:r>
      <w:hyperlink w:anchor="_ENREF_3" w:tooltip="Angelini, 2011 #9077" w:history="1">
        <w:r w:rsidR="00305FE7" w:rsidRPr="00322AD3">
          <w:rPr>
            <w:szCs w:val="22"/>
            <w:lang w:val="en-US"/>
          </w:rPr>
          <w:fldChar w:fldCharType="begin"/>
        </w:r>
        <w:r w:rsidR="00305FE7" w:rsidRPr="00322AD3">
          <w:rPr>
            <w:szCs w:val="22"/>
            <w:lang w:val="en-US"/>
          </w:rPr>
          <w:instrText xml:space="preserve"> ADDIN EN.CITE &lt;EndNote&gt;&lt;Cite&gt;&lt;Author&gt;Angelini&lt;/Author&gt;&lt;Year&gt;2011&lt;/Year&gt;&lt;RecNum&gt;9077&lt;/RecNum&gt;&lt;DisplayText&gt;Angelini&lt;style face="italic"&gt; et al.&lt;/style&gt; 2011&lt;/DisplayText&gt;&lt;record&gt;&lt;rec-number&gt;9077&lt;/rec-number&gt;&lt;foreign-keys&gt;&lt;key app="EN" db-id="0eve55x9y5vfd6e9dacxtew4eatve2dzds9a" timestamp="0"&gt;9077&lt;/key&gt;&lt;/foreign-keys&gt;&lt;ref-type name="Journal Article"&gt;17&lt;/ref-type&gt;&lt;contributors&gt;&lt;authors&gt;&lt;author&gt;Angelini, Christine &lt;/author&gt;&lt;author&gt;Altieri, Andrew H. &lt;/author&gt;&lt;author&gt;Silliman, Brian R.&lt;/author&gt;&lt;author&gt;Bertness, Mark D. &lt;/author&gt;&lt;/authors&gt;&lt;/contributors&gt;&lt;titles&gt;&lt;title&gt;Interactions among Foundation Species and their Consequences for Community Organization, Biodiversity, and Conservation&lt;/title&gt;&lt;secondary-title&gt;BioScience&lt;/secondary-title&gt;&lt;/titles&gt;&lt;periodical&gt;&lt;full-title&gt;BioScience&lt;/full-title&gt;&lt;/periodical&gt;&lt;pages&gt;782-789&lt;/pages&gt;&lt;volume&gt;61&lt;/volume&gt;&lt;number&gt;10&lt;/number&gt;&lt;dates&gt;&lt;year&gt;2011&lt;/year&gt;&lt;/dates&gt;&lt;urls&gt;&lt;/urls&gt;&lt;/record&gt;&lt;/Cite&gt;&lt;/EndNote&gt;</w:instrText>
        </w:r>
        <w:r w:rsidR="00305FE7" w:rsidRPr="00322AD3">
          <w:rPr>
            <w:szCs w:val="22"/>
            <w:lang w:val="en-US"/>
          </w:rPr>
          <w:fldChar w:fldCharType="separate"/>
        </w:r>
        <w:r w:rsidR="00305FE7" w:rsidRPr="00322AD3">
          <w:rPr>
            <w:noProof/>
            <w:szCs w:val="22"/>
            <w:lang w:val="en-US"/>
          </w:rPr>
          <w:t>Angelini</w:t>
        </w:r>
        <w:r w:rsidR="00305FE7" w:rsidRPr="00322AD3">
          <w:rPr>
            <w:i/>
            <w:noProof/>
            <w:szCs w:val="22"/>
            <w:lang w:val="en-US"/>
          </w:rPr>
          <w:t xml:space="preserve"> et al.</w:t>
        </w:r>
        <w:r w:rsidR="00305FE7" w:rsidRPr="00322AD3">
          <w:rPr>
            <w:noProof/>
            <w:szCs w:val="22"/>
            <w:lang w:val="en-US"/>
          </w:rPr>
          <w:t xml:space="preserve"> 2011</w:t>
        </w:r>
        <w:r w:rsidR="00305FE7" w:rsidRPr="00322AD3">
          <w:rPr>
            <w:szCs w:val="22"/>
            <w:lang w:val="en-US"/>
          </w:rPr>
          <w:fldChar w:fldCharType="end"/>
        </w:r>
      </w:hyperlink>
      <w:r w:rsidRPr="00322AD3">
        <w:rPr>
          <w:szCs w:val="22"/>
          <w:lang w:val="en-US"/>
        </w:rPr>
        <w:t xml:space="preserve">). The activities of foundation species physically modify the environment and produce and maintain habitats that benefit other organisms that use those habitats. </w:t>
      </w:r>
    </w:p>
    <w:p w14:paraId="1727304D" w14:textId="37242431" w:rsidR="00170D2D" w:rsidRDefault="00CA097E" w:rsidP="00EE7948">
      <w:pPr>
        <w:keepNext/>
        <w:spacing w:before="0" w:after="0"/>
        <w:jc w:val="center"/>
        <w:rPr>
          <w:noProof/>
          <w:color w:val="000000"/>
          <w:szCs w:val="22"/>
          <w:lang w:eastAsia="en-AU"/>
        </w:rPr>
      </w:pPr>
      <w:r w:rsidRPr="00167865">
        <w:rPr>
          <w:noProof/>
          <w:color w:val="000000"/>
          <w:szCs w:val="22"/>
          <w:lang w:eastAsia="en-AU"/>
        </w:rPr>
        <w:drawing>
          <wp:inline distT="0" distB="0" distL="0" distR="0" wp14:anchorId="008D389B" wp14:editId="6D5B555A">
            <wp:extent cx="2851387" cy="2702333"/>
            <wp:effectExtent l="0" t="0" r="6350" b="3175"/>
            <wp:docPr id="549" name="Picture 549" descr="Illustration showing how foundational species can include species display colonising, opportunist or persistent life history traits depending on disturbance reg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 name="foundational species figure.png"/>
                    <pic:cNvPicPr/>
                  </pic:nvPicPr>
                  <pic:blipFill>
                    <a:blip r:embed="rId35">
                      <a:extLst>
                        <a:ext uri="{28A0092B-C50C-407E-A947-70E740481C1C}">
                          <a14:useLocalDpi xmlns:a14="http://schemas.microsoft.com/office/drawing/2010/main" val="0"/>
                        </a:ext>
                      </a:extLst>
                    </a:blip>
                    <a:stretch>
                      <a:fillRect/>
                    </a:stretch>
                  </pic:blipFill>
                  <pic:spPr>
                    <a:xfrm>
                      <a:off x="0" y="0"/>
                      <a:ext cx="2874931" cy="2724646"/>
                    </a:xfrm>
                    <a:prstGeom prst="rect">
                      <a:avLst/>
                    </a:prstGeom>
                  </pic:spPr>
                </pic:pic>
              </a:graphicData>
            </a:graphic>
          </wp:inline>
        </w:drawing>
      </w:r>
    </w:p>
    <w:p w14:paraId="5FEA4029" w14:textId="77777777" w:rsidR="00711815" w:rsidRPr="00015190" w:rsidRDefault="009D7C70" w:rsidP="00EE7948">
      <w:pPr>
        <w:spacing w:before="0"/>
        <w:rPr>
          <w:i/>
          <w:vanish/>
          <w:color w:val="000000"/>
          <w:szCs w:val="22"/>
          <w:specVanish/>
        </w:rPr>
      </w:pPr>
      <w:bookmarkStart w:id="44" w:name="_Ref501361580"/>
      <w:bookmarkStart w:id="45" w:name="_Toc51605321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w:t>
      </w:r>
      <w:r w:rsidR="00C506C7">
        <w:rPr>
          <w:noProof/>
        </w:rPr>
        <w:fldChar w:fldCharType="end"/>
      </w:r>
      <w:bookmarkEnd w:id="44"/>
      <w:r>
        <w:t xml:space="preserve">. </w:t>
      </w:r>
      <w:r w:rsidRPr="0050419F">
        <w:rPr>
          <w:i/>
          <w:color w:val="000000" w:themeColor="text1"/>
        </w:rPr>
        <w:t>Illustration showing how foundational species can include species display colonising, opportunist or persistent life history traits depending on disturbance regime.</w:t>
      </w:r>
      <w:bookmarkEnd w:id="45"/>
      <w:r w:rsidR="00711815" w:rsidRPr="0050419F">
        <w:rPr>
          <w:i/>
          <w:color w:val="000000" w:themeColor="text1"/>
        </w:rPr>
        <w:t xml:space="preserve"> </w:t>
      </w:r>
    </w:p>
    <w:p w14:paraId="30848BAE" w14:textId="2DFC6AB1" w:rsidR="009D7C70" w:rsidRPr="009D7C70" w:rsidRDefault="00711815" w:rsidP="00EE7948">
      <w:pPr>
        <w:rPr>
          <w:i/>
          <w:color w:val="000000"/>
          <w:szCs w:val="22"/>
        </w:rPr>
      </w:pPr>
      <w:r w:rsidRPr="00015190">
        <w:rPr>
          <w:i/>
          <w:color w:val="000000"/>
          <w:szCs w:val="22"/>
        </w:rPr>
        <w:t xml:space="preserve"> </w:t>
      </w:r>
      <w:r w:rsidR="009D7C70" w:rsidRPr="0050419F">
        <w:rPr>
          <w:i/>
          <w:color w:val="000000" w:themeColor="text1"/>
        </w:rPr>
        <w:t xml:space="preserve"> </w:t>
      </w:r>
    </w:p>
    <w:p w14:paraId="567B20F7" w14:textId="0ED95B48" w:rsidR="009D7C70" w:rsidRPr="00322AD3" w:rsidRDefault="005055DC" w:rsidP="009D7C70">
      <w:pPr>
        <w:rPr>
          <w:szCs w:val="22"/>
        </w:rPr>
      </w:pPr>
      <w:r w:rsidRPr="005055DC">
        <w:rPr>
          <w:color w:val="000000" w:themeColor="text1"/>
        </w:rPr>
        <w:t>Foundation species are the species types that are at the pinnacle of meadow succession.</w:t>
      </w:r>
      <w:r w:rsidRPr="005055DC">
        <w:rPr>
          <w:color w:val="000000"/>
          <w:szCs w:val="22"/>
        </w:rPr>
        <w:t xml:space="preserve"> </w:t>
      </w:r>
      <w:r w:rsidRPr="005055DC">
        <w:rPr>
          <w:color w:val="000000" w:themeColor="text1"/>
        </w:rPr>
        <w:t>A highly disturbed meadow (due to wave/wind exposure, or low light regime) might always only ever have colonising species as the foundational species, while a less disturbed meadow can have persistent species form the foundation. Also, whether Zostera muelleri is a foundation species is influenced by whether it grows in the tropics or in the sub-tropics, as it is more likely to form a foundation species in the sub-tropics even if it is disturbed.</w:t>
      </w:r>
      <w:r w:rsidR="009D7C70" w:rsidRPr="00322AD3">
        <w:rPr>
          <w:szCs w:val="22"/>
          <w:lang w:val="en-US"/>
        </w:rPr>
        <w:t>For the seagrass habitats assessed in the MMP, the foundation seagrass species were those species which typified the habitats both in abundance and structure when the meadow was considered in its steady state (opportunistic or persistent) (</w:t>
      </w:r>
      <w:hyperlink w:anchor="_ENREF_122" w:tooltip="Kilminster, 2015 #10294" w:history="1">
        <w:r w:rsidR="00305FE7" w:rsidRPr="00322AD3">
          <w:rPr>
            <w:szCs w:val="22"/>
            <w:lang w:val="en-US"/>
          </w:rPr>
          <w:fldChar w:fldCharType="begin"/>
        </w:r>
        <w:r w:rsidR="00305FE7" w:rsidRPr="00322AD3">
          <w:rPr>
            <w:szCs w:val="22"/>
            <w:lang w:val="en-US"/>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305FE7" w:rsidRPr="00322AD3">
          <w:rPr>
            <w:szCs w:val="22"/>
            <w:lang w:val="en-US"/>
          </w:rPr>
          <w:fldChar w:fldCharType="separate"/>
        </w:r>
        <w:r w:rsidR="00305FE7" w:rsidRPr="00322AD3">
          <w:rPr>
            <w:noProof/>
            <w:szCs w:val="22"/>
            <w:lang w:val="en-US"/>
          </w:rPr>
          <w:t>Kilminster</w:t>
        </w:r>
        <w:r w:rsidR="00305FE7" w:rsidRPr="00322AD3">
          <w:rPr>
            <w:i/>
            <w:noProof/>
            <w:szCs w:val="22"/>
            <w:lang w:val="en-US"/>
          </w:rPr>
          <w:t xml:space="preserve"> et al.</w:t>
        </w:r>
        <w:r w:rsidR="00305FE7" w:rsidRPr="00322AD3">
          <w:rPr>
            <w:noProof/>
            <w:szCs w:val="22"/>
            <w:lang w:val="en-US"/>
          </w:rPr>
          <w:t xml:space="preserve"> 2015</w:t>
        </w:r>
        <w:r w:rsidR="00305FE7" w:rsidRPr="00322AD3">
          <w:rPr>
            <w:szCs w:val="22"/>
            <w:lang w:val="en-US"/>
          </w:rPr>
          <w:fldChar w:fldCharType="end"/>
        </w:r>
      </w:hyperlink>
      <w:r w:rsidR="009D7C70" w:rsidRPr="00322AD3">
        <w:rPr>
          <w:szCs w:val="22"/>
          <w:lang w:val="en-US"/>
        </w:rPr>
        <w:t xml:space="preserve">). The </w:t>
      </w:r>
      <w:r w:rsidR="009D7C70" w:rsidRPr="00322AD3">
        <w:rPr>
          <w:szCs w:val="22"/>
        </w:rPr>
        <w:t xml:space="preserve">foundation species were all di-meristematic leaf-replacing forms from the following families: </w:t>
      </w:r>
      <w:r w:rsidR="009D7C70" w:rsidRPr="00322AD3">
        <w:rPr>
          <w:i/>
          <w:szCs w:val="22"/>
        </w:rPr>
        <w:t>Cymodocea, Enhalus, Halodule, Thalassia</w:t>
      </w:r>
      <w:r w:rsidR="009D7C70" w:rsidRPr="00322AD3">
        <w:rPr>
          <w:szCs w:val="22"/>
        </w:rPr>
        <w:t xml:space="preserve"> and </w:t>
      </w:r>
      <w:r w:rsidR="009D7C70" w:rsidRPr="00322AD3">
        <w:rPr>
          <w:i/>
          <w:szCs w:val="22"/>
        </w:rPr>
        <w:t>Zostera</w:t>
      </w:r>
      <w:r w:rsidR="009D7C70" w:rsidRPr="00322AD3">
        <w:rPr>
          <w:szCs w:val="22"/>
        </w:rPr>
        <w:t xml:space="preserve"> (</w:t>
      </w:r>
      <w:r w:rsidR="009D7C70" w:rsidRPr="00322AD3">
        <w:rPr>
          <w:szCs w:val="22"/>
        </w:rPr>
        <w:fldChar w:fldCharType="begin"/>
      </w:r>
      <w:r w:rsidR="009D7C70" w:rsidRPr="00322AD3">
        <w:rPr>
          <w:szCs w:val="22"/>
        </w:rPr>
        <w:instrText xml:space="preserve"> REF _Ref236539751 \h </w:instrText>
      </w:r>
      <w:r w:rsidR="009D7C70" w:rsidRPr="00322AD3">
        <w:rPr>
          <w:szCs w:val="22"/>
        </w:rPr>
      </w:r>
      <w:r w:rsidR="009D7C70" w:rsidRPr="00322AD3">
        <w:rPr>
          <w:szCs w:val="22"/>
        </w:rPr>
        <w:fldChar w:fldCharType="separate"/>
      </w:r>
      <w:r w:rsidR="00F87DF9" w:rsidRPr="00015190">
        <w:rPr>
          <w:color w:val="000000"/>
          <w:szCs w:val="22"/>
        </w:rPr>
        <w:t xml:space="preserve">Table </w:t>
      </w:r>
      <w:r w:rsidR="00F87DF9">
        <w:rPr>
          <w:noProof/>
          <w:color w:val="000000"/>
          <w:szCs w:val="22"/>
        </w:rPr>
        <w:t>3</w:t>
      </w:r>
      <w:r w:rsidR="009D7C70" w:rsidRPr="00322AD3">
        <w:rPr>
          <w:szCs w:val="22"/>
        </w:rPr>
        <w:fldChar w:fldCharType="end"/>
      </w:r>
      <w:r w:rsidR="009D7C70" w:rsidRPr="00322AD3">
        <w:rPr>
          <w:szCs w:val="22"/>
        </w:rPr>
        <w:t>).</w:t>
      </w:r>
    </w:p>
    <w:p w14:paraId="1A7D3657" w14:textId="3E9819FB" w:rsidR="003D1F7F" w:rsidRPr="00322AD3" w:rsidRDefault="003D1F7F" w:rsidP="003D1F7F">
      <w:pPr>
        <w:spacing w:before="240"/>
        <w:rPr>
          <w:szCs w:val="22"/>
        </w:rPr>
      </w:pPr>
      <w:r w:rsidRPr="00322AD3">
        <w:rPr>
          <w:szCs w:val="22"/>
          <w:lang w:val="en-US"/>
        </w:rPr>
        <w:t>The timing of the monitoring within the MMP was decided by the</w:t>
      </w:r>
      <w:r w:rsidR="00745844">
        <w:rPr>
          <w:szCs w:val="22"/>
          <w:lang w:val="en-US"/>
        </w:rPr>
        <w:t xml:space="preserve"> </w:t>
      </w:r>
      <w:r w:rsidR="00444C95">
        <w:rPr>
          <w:szCs w:val="22"/>
          <w:lang w:val="en-US"/>
        </w:rPr>
        <w:t>Marine Park Authority</w:t>
      </w:r>
      <w:r w:rsidRPr="00322AD3">
        <w:rPr>
          <w:szCs w:val="22"/>
          <w:lang w:val="en-US"/>
        </w:rPr>
        <w:t xml:space="preserve">, using advice from expert working groups. As the major period of runoff from catchments and agricultural lands was the tropical wet season/monsoon (December to April), </w:t>
      </w:r>
      <w:r w:rsidRPr="00322AD3">
        <w:rPr>
          <w:szCs w:val="22"/>
        </w:rPr>
        <w:t xml:space="preserve">monitoring was focussed on the late dry (growing) season and late wet season to capture the </w:t>
      </w:r>
      <w:r w:rsidR="00A1555C" w:rsidRPr="00322AD3">
        <w:rPr>
          <w:szCs w:val="22"/>
        </w:rPr>
        <w:t>condition</w:t>
      </w:r>
      <w:r w:rsidRPr="00322AD3">
        <w:rPr>
          <w:szCs w:val="22"/>
        </w:rPr>
        <w:t xml:space="preserve"> of seagrass pre and post wet.</w:t>
      </w:r>
    </w:p>
    <w:p w14:paraId="509A6EC9" w14:textId="0E2FAC75" w:rsidR="004902B0" w:rsidRPr="0050419F" w:rsidRDefault="00A12DFC" w:rsidP="004902B0">
      <w:pPr>
        <w:spacing w:before="240"/>
        <w:rPr>
          <w:color w:val="000000" w:themeColor="text1"/>
          <w:szCs w:val="22"/>
        </w:rPr>
      </w:pPr>
      <w:r>
        <w:rPr>
          <w:color w:val="000000" w:themeColor="text1"/>
          <w:szCs w:val="22"/>
        </w:rPr>
        <w:t>Fifty eight</w:t>
      </w:r>
      <w:r w:rsidR="003D1F7F" w:rsidRPr="0050419F">
        <w:rPr>
          <w:color w:val="000000" w:themeColor="text1"/>
          <w:szCs w:val="22"/>
        </w:rPr>
        <w:t xml:space="preserve"> sites at </w:t>
      </w:r>
      <w:r w:rsidRPr="00A12DFC">
        <w:rPr>
          <w:color w:val="000000" w:themeColor="text1"/>
          <w:szCs w:val="22"/>
        </w:rPr>
        <w:t>2</w:t>
      </w:r>
      <w:r>
        <w:rPr>
          <w:color w:val="000000" w:themeColor="text1"/>
          <w:szCs w:val="22"/>
        </w:rPr>
        <w:t>9</w:t>
      </w:r>
      <w:r w:rsidR="003D1F7F" w:rsidRPr="0050419F">
        <w:rPr>
          <w:color w:val="000000" w:themeColor="text1"/>
          <w:szCs w:val="22"/>
        </w:rPr>
        <w:t xml:space="preserve"> locations were </w:t>
      </w:r>
      <w:r w:rsidR="00106862">
        <w:rPr>
          <w:color w:val="000000" w:themeColor="text1"/>
          <w:szCs w:val="22"/>
        </w:rPr>
        <w:t>assessed</w:t>
      </w:r>
      <w:r w:rsidR="003D1F7F" w:rsidRPr="0050419F">
        <w:rPr>
          <w:color w:val="000000" w:themeColor="text1"/>
          <w:szCs w:val="22"/>
        </w:rPr>
        <w:t xml:space="preserve"> during the 201</w:t>
      </w:r>
      <w:r w:rsidR="00322AD3" w:rsidRPr="0050419F">
        <w:rPr>
          <w:color w:val="000000" w:themeColor="text1"/>
          <w:szCs w:val="22"/>
        </w:rPr>
        <w:t>6</w:t>
      </w:r>
      <w:r w:rsidR="00BE4C7E">
        <w:rPr>
          <w:color w:val="000000" w:themeColor="text1"/>
          <w:szCs w:val="22"/>
        </w:rPr>
        <w:t>–</w:t>
      </w:r>
      <w:r w:rsidR="0050419F" w:rsidRPr="0050419F">
        <w:rPr>
          <w:color w:val="000000" w:themeColor="text1"/>
          <w:szCs w:val="22"/>
        </w:rPr>
        <w:t>2017</w:t>
      </w:r>
      <w:r w:rsidR="003D1F7F" w:rsidRPr="0050419F">
        <w:rPr>
          <w:color w:val="000000" w:themeColor="text1"/>
          <w:szCs w:val="22"/>
        </w:rPr>
        <w:t xml:space="preserve"> monitoring period (</w:t>
      </w:r>
      <w:r w:rsidR="00106862" w:rsidRPr="0050419F">
        <w:rPr>
          <w:bCs/>
          <w:color w:val="000000" w:themeColor="text1"/>
          <w:szCs w:val="22"/>
        </w:rPr>
        <w:t xml:space="preserve">Appendix </w:t>
      </w:r>
      <w:r w:rsidR="00106862">
        <w:rPr>
          <w:bCs/>
          <w:color w:val="000000" w:themeColor="text1"/>
          <w:szCs w:val="22"/>
        </w:rPr>
        <w:fldChar w:fldCharType="begin"/>
      </w:r>
      <w:r w:rsidR="00106862">
        <w:rPr>
          <w:bCs/>
          <w:color w:val="000000" w:themeColor="text1"/>
          <w:szCs w:val="22"/>
        </w:rPr>
        <w:instrText xml:space="preserve"> REF _Ref511373518 \r \h </w:instrText>
      </w:r>
      <w:r w:rsidR="00106862">
        <w:rPr>
          <w:bCs/>
          <w:color w:val="000000" w:themeColor="text1"/>
          <w:szCs w:val="22"/>
        </w:rPr>
      </w:r>
      <w:r w:rsidR="00106862">
        <w:rPr>
          <w:bCs/>
          <w:color w:val="000000" w:themeColor="text1"/>
          <w:szCs w:val="22"/>
        </w:rPr>
        <w:fldChar w:fldCharType="separate"/>
      </w:r>
      <w:r w:rsidR="00F87DF9">
        <w:rPr>
          <w:bCs/>
          <w:color w:val="000000" w:themeColor="text1"/>
          <w:szCs w:val="22"/>
        </w:rPr>
        <w:t>A2.1</w:t>
      </w:r>
      <w:r w:rsidR="00106862">
        <w:rPr>
          <w:bCs/>
          <w:color w:val="000000" w:themeColor="text1"/>
          <w:szCs w:val="22"/>
        </w:rPr>
        <w:fldChar w:fldCharType="end"/>
      </w:r>
      <w:r w:rsidR="00106862" w:rsidRPr="0050419F">
        <w:rPr>
          <w:bCs/>
          <w:color w:val="000000" w:themeColor="text1"/>
          <w:szCs w:val="22"/>
        </w:rPr>
        <w:t xml:space="preserve">, </w:t>
      </w:r>
      <w:r w:rsidR="00106862">
        <w:rPr>
          <w:bCs/>
          <w:color w:val="000000" w:themeColor="text1"/>
          <w:szCs w:val="22"/>
        </w:rPr>
        <w:fldChar w:fldCharType="begin"/>
      </w:r>
      <w:r w:rsidR="00106862">
        <w:rPr>
          <w:bCs/>
          <w:color w:val="000000" w:themeColor="text1"/>
          <w:szCs w:val="22"/>
        </w:rPr>
        <w:instrText xml:space="preserve"> REF _Ref511373432 \h </w:instrText>
      </w:r>
      <w:r w:rsidR="00106862">
        <w:rPr>
          <w:bCs/>
          <w:color w:val="000000" w:themeColor="text1"/>
          <w:szCs w:val="22"/>
        </w:rPr>
      </w:r>
      <w:r w:rsidR="00106862">
        <w:rPr>
          <w:bCs/>
          <w:color w:val="000000" w:themeColor="text1"/>
          <w:szCs w:val="22"/>
        </w:rPr>
        <w:fldChar w:fldCharType="separate"/>
      </w:r>
      <w:r w:rsidR="00F87DF9">
        <w:rPr>
          <w:color w:val="000000"/>
          <w:szCs w:val="22"/>
        </w:rPr>
        <w:t xml:space="preserve">Table </w:t>
      </w:r>
      <w:r w:rsidR="00F87DF9">
        <w:rPr>
          <w:noProof/>
          <w:color w:val="000000"/>
          <w:szCs w:val="22"/>
        </w:rPr>
        <w:t>36</w:t>
      </w:r>
      <w:r w:rsidR="00106862">
        <w:rPr>
          <w:bCs/>
          <w:color w:val="000000" w:themeColor="text1"/>
          <w:szCs w:val="22"/>
        </w:rPr>
        <w:fldChar w:fldCharType="end"/>
      </w:r>
      <w:r w:rsidR="003D1F7F" w:rsidRPr="0050419F">
        <w:rPr>
          <w:color w:val="000000" w:themeColor="text1"/>
          <w:szCs w:val="22"/>
        </w:rPr>
        <w:t xml:space="preserve">). This </w:t>
      </w:r>
      <w:r w:rsidR="00640BF3">
        <w:rPr>
          <w:color w:val="000000" w:themeColor="text1"/>
          <w:szCs w:val="22"/>
        </w:rPr>
        <w:t>covered</w:t>
      </w:r>
      <w:r w:rsidR="003D1F7F" w:rsidRPr="0050419F">
        <w:rPr>
          <w:color w:val="000000" w:themeColor="text1"/>
          <w:szCs w:val="22"/>
        </w:rPr>
        <w:t xml:space="preserve"> </w:t>
      </w:r>
      <w:r w:rsidR="00106862">
        <w:rPr>
          <w:color w:val="000000" w:themeColor="text1"/>
          <w:szCs w:val="22"/>
        </w:rPr>
        <w:t>nine</w:t>
      </w:r>
      <w:r w:rsidR="003D1F7F" w:rsidRPr="0050419F">
        <w:rPr>
          <w:color w:val="000000" w:themeColor="text1"/>
          <w:szCs w:val="22"/>
        </w:rPr>
        <w:t xml:space="preserve"> coastal, four estuarine and </w:t>
      </w:r>
      <w:r w:rsidR="00106862">
        <w:rPr>
          <w:color w:val="000000" w:themeColor="text1"/>
          <w:szCs w:val="22"/>
        </w:rPr>
        <w:t>twelve</w:t>
      </w:r>
      <w:r>
        <w:rPr>
          <w:color w:val="000000" w:themeColor="text1"/>
          <w:szCs w:val="22"/>
        </w:rPr>
        <w:t xml:space="preserve"> reef locations (i.e. two or </w:t>
      </w:r>
      <w:r w:rsidR="003D1F7F" w:rsidRPr="0050419F">
        <w:rPr>
          <w:color w:val="000000" w:themeColor="text1"/>
          <w:szCs w:val="22"/>
        </w:rPr>
        <w:t>three sites at each location). At the reef locations in the Burdekin and Wet Tropics, intertidal sites were paired with a subtidal site (</w:t>
      </w:r>
      <w:r w:rsidR="003D1F7F" w:rsidRPr="0050419F">
        <w:rPr>
          <w:color w:val="000000" w:themeColor="text1"/>
        </w:rPr>
        <w:fldChar w:fldCharType="begin"/>
      </w:r>
      <w:r w:rsidR="003D1F7F" w:rsidRPr="0050419F">
        <w:rPr>
          <w:color w:val="000000" w:themeColor="text1"/>
        </w:rPr>
        <w:instrText xml:space="preserve"> REF _Ref236539751 \h  \* MERGEFORMAT </w:instrText>
      </w:r>
      <w:r w:rsidR="003D1F7F" w:rsidRPr="0050419F">
        <w:rPr>
          <w:color w:val="000000" w:themeColor="text1"/>
        </w:rPr>
      </w:r>
      <w:r w:rsidR="003D1F7F" w:rsidRPr="0050419F">
        <w:rPr>
          <w:color w:val="000000" w:themeColor="text1"/>
        </w:rPr>
        <w:fldChar w:fldCharType="separate"/>
      </w:r>
      <w:r w:rsidR="00F87DF9" w:rsidRPr="00F87DF9">
        <w:rPr>
          <w:color w:val="000000" w:themeColor="text1"/>
          <w:szCs w:val="22"/>
        </w:rPr>
        <w:t xml:space="preserve">Table </w:t>
      </w:r>
      <w:r w:rsidR="00F87DF9" w:rsidRPr="00F87DF9">
        <w:rPr>
          <w:noProof/>
          <w:color w:val="000000" w:themeColor="text1"/>
          <w:szCs w:val="22"/>
        </w:rPr>
        <w:t>3</w:t>
      </w:r>
      <w:r w:rsidR="003D1F7F" w:rsidRPr="0050419F">
        <w:rPr>
          <w:color w:val="000000" w:themeColor="text1"/>
        </w:rPr>
        <w:fldChar w:fldCharType="end"/>
      </w:r>
      <w:r w:rsidR="003D1F7F" w:rsidRPr="0050419F">
        <w:rPr>
          <w:color w:val="000000" w:themeColor="text1"/>
          <w:szCs w:val="22"/>
        </w:rPr>
        <w:t xml:space="preserve">). </w:t>
      </w:r>
      <w:r w:rsidR="00106862">
        <w:rPr>
          <w:color w:val="000000" w:themeColor="text1"/>
          <w:szCs w:val="22"/>
        </w:rPr>
        <w:t xml:space="preserve">Apart from the </w:t>
      </w:r>
      <w:r w:rsidRPr="00A12DFC">
        <w:rPr>
          <w:color w:val="000000" w:themeColor="text1"/>
          <w:szCs w:val="22"/>
        </w:rPr>
        <w:t>42</w:t>
      </w:r>
      <w:r w:rsidR="00640BF3" w:rsidRPr="00A12DFC">
        <w:rPr>
          <w:color w:val="000000" w:themeColor="text1"/>
          <w:szCs w:val="22"/>
        </w:rPr>
        <w:t xml:space="preserve"> MMP long-term monitoring sites, d</w:t>
      </w:r>
      <w:r w:rsidR="00C815FB" w:rsidRPr="00A12DFC">
        <w:rPr>
          <w:color w:val="000000" w:themeColor="text1"/>
          <w:szCs w:val="22"/>
        </w:rPr>
        <w:t xml:space="preserve">ata </w:t>
      </w:r>
      <w:r w:rsidR="00640BF3" w:rsidRPr="00A12DFC">
        <w:rPr>
          <w:color w:val="000000" w:themeColor="text1"/>
          <w:szCs w:val="22"/>
        </w:rPr>
        <w:t>included eight</w:t>
      </w:r>
      <w:r w:rsidR="00C815FB" w:rsidRPr="00A12DFC">
        <w:rPr>
          <w:color w:val="000000" w:themeColor="text1"/>
          <w:szCs w:val="22"/>
        </w:rPr>
        <w:t xml:space="preserve"> sites </w:t>
      </w:r>
      <w:r w:rsidR="005918BE" w:rsidRPr="00A12DFC">
        <w:rPr>
          <w:color w:val="000000" w:themeColor="text1"/>
          <w:szCs w:val="22"/>
        </w:rPr>
        <w:t xml:space="preserve">from </w:t>
      </w:r>
      <w:r w:rsidR="00C815FB" w:rsidRPr="00A12DFC">
        <w:rPr>
          <w:color w:val="000000" w:themeColor="text1"/>
          <w:szCs w:val="22"/>
        </w:rPr>
        <w:t xml:space="preserve">Seagrass-Watch </w:t>
      </w:r>
      <w:r w:rsidR="00106862" w:rsidRPr="00A12DFC">
        <w:rPr>
          <w:color w:val="000000" w:themeColor="text1"/>
          <w:szCs w:val="22"/>
        </w:rPr>
        <w:t xml:space="preserve">and </w:t>
      </w:r>
      <w:r w:rsidR="00640BF3" w:rsidRPr="00A12DFC">
        <w:rPr>
          <w:color w:val="000000" w:themeColor="text1"/>
          <w:szCs w:val="22"/>
        </w:rPr>
        <w:t>eight sites from</w:t>
      </w:r>
      <w:r w:rsidR="00640BF3" w:rsidRPr="0050419F">
        <w:rPr>
          <w:color w:val="000000" w:themeColor="text1"/>
          <w:szCs w:val="22"/>
        </w:rPr>
        <w:t xml:space="preserve"> </w:t>
      </w:r>
      <w:r w:rsidR="00640BF3">
        <w:rPr>
          <w:color w:val="000000" w:themeColor="text1"/>
          <w:szCs w:val="22"/>
        </w:rPr>
        <w:t>QPWS</w:t>
      </w:r>
      <w:r w:rsidR="00C815FB" w:rsidRPr="0050419F">
        <w:rPr>
          <w:color w:val="000000" w:themeColor="text1"/>
          <w:szCs w:val="22"/>
        </w:rPr>
        <w:t xml:space="preserve"> </w:t>
      </w:r>
      <w:r w:rsidR="005918BE" w:rsidRPr="0050419F">
        <w:rPr>
          <w:color w:val="000000" w:themeColor="text1"/>
          <w:szCs w:val="22"/>
        </w:rPr>
        <w:t xml:space="preserve">to improve the spatial resolution </w:t>
      </w:r>
      <w:r w:rsidR="00640BF3">
        <w:rPr>
          <w:color w:val="000000" w:themeColor="text1"/>
          <w:szCs w:val="22"/>
        </w:rPr>
        <w:t xml:space="preserve">and additional subtidal habitats </w:t>
      </w:r>
      <w:r w:rsidR="005918BE" w:rsidRPr="0050419F">
        <w:rPr>
          <w:color w:val="000000" w:themeColor="text1"/>
          <w:szCs w:val="22"/>
        </w:rPr>
        <w:t>where possible</w:t>
      </w:r>
      <w:r w:rsidR="00D43B9E" w:rsidRPr="0050419F">
        <w:rPr>
          <w:color w:val="000000" w:themeColor="text1"/>
          <w:szCs w:val="22"/>
        </w:rPr>
        <w:t xml:space="preserve"> (</w:t>
      </w:r>
      <w:r w:rsidR="00D43B9E" w:rsidRPr="0050419F">
        <w:rPr>
          <w:color w:val="000000" w:themeColor="text1"/>
          <w:szCs w:val="22"/>
        </w:rPr>
        <w:fldChar w:fldCharType="begin"/>
      </w:r>
      <w:r w:rsidR="00D43B9E" w:rsidRPr="0050419F">
        <w:rPr>
          <w:color w:val="000000" w:themeColor="text1"/>
          <w:szCs w:val="22"/>
        </w:rPr>
        <w:instrText xml:space="preserve"> REF _Ref461186562 \h </w:instrText>
      </w:r>
      <w:r w:rsidR="00D43B9E" w:rsidRPr="0050419F">
        <w:rPr>
          <w:color w:val="000000" w:themeColor="text1"/>
          <w:szCs w:val="22"/>
        </w:rPr>
      </w:r>
      <w:r w:rsidR="00D43B9E" w:rsidRPr="0050419F">
        <w:rPr>
          <w:color w:val="000000" w:themeColor="text1"/>
          <w:szCs w:val="22"/>
        </w:rPr>
        <w:fldChar w:fldCharType="separate"/>
      </w:r>
      <w:r w:rsidR="00F87DF9" w:rsidRPr="00015190">
        <w:rPr>
          <w:color w:val="000000"/>
          <w:szCs w:val="22"/>
        </w:rPr>
        <w:t xml:space="preserve">Table </w:t>
      </w:r>
      <w:r w:rsidR="00F87DF9">
        <w:rPr>
          <w:noProof/>
          <w:color w:val="000000"/>
          <w:szCs w:val="22"/>
        </w:rPr>
        <w:t>4</w:t>
      </w:r>
      <w:r w:rsidR="00D43B9E" w:rsidRPr="0050419F">
        <w:rPr>
          <w:color w:val="000000" w:themeColor="text1"/>
          <w:szCs w:val="22"/>
        </w:rPr>
        <w:fldChar w:fldCharType="end"/>
      </w:r>
      <w:r w:rsidR="00D43B9E" w:rsidRPr="0050419F">
        <w:rPr>
          <w:color w:val="000000" w:themeColor="text1"/>
          <w:szCs w:val="22"/>
        </w:rPr>
        <w:t>)</w:t>
      </w:r>
      <w:r w:rsidR="00C815FB" w:rsidRPr="0050419F">
        <w:rPr>
          <w:color w:val="000000" w:themeColor="text1"/>
          <w:szCs w:val="22"/>
        </w:rPr>
        <w:t xml:space="preserve">. </w:t>
      </w:r>
      <w:r w:rsidR="003D1F7F" w:rsidRPr="0050419F">
        <w:rPr>
          <w:color w:val="000000" w:themeColor="text1"/>
          <w:szCs w:val="22"/>
        </w:rPr>
        <w:t>A description of all data collected during the sampling period under the monitoring contract has been collated by Natural Resource Management (NRM) region, site, parameter, and the number of samples collected per sampling period is listed in</w:t>
      </w:r>
      <w:r w:rsidR="00975F88">
        <w:rPr>
          <w:color w:val="000000" w:themeColor="text1"/>
          <w:szCs w:val="22"/>
        </w:rPr>
        <w:t xml:space="preserve"> </w:t>
      </w:r>
      <w:r w:rsidR="00975F88">
        <w:rPr>
          <w:bCs/>
          <w:color w:val="000000" w:themeColor="text1"/>
          <w:szCs w:val="22"/>
        </w:rPr>
        <w:fldChar w:fldCharType="begin"/>
      </w:r>
      <w:r w:rsidR="00975F88">
        <w:rPr>
          <w:bCs/>
          <w:color w:val="000000" w:themeColor="text1"/>
          <w:szCs w:val="22"/>
        </w:rPr>
        <w:instrText xml:space="preserve"> REF _Ref511373432 \h </w:instrText>
      </w:r>
      <w:r w:rsidR="00975F88">
        <w:rPr>
          <w:bCs/>
          <w:color w:val="000000" w:themeColor="text1"/>
          <w:szCs w:val="22"/>
        </w:rPr>
      </w:r>
      <w:r w:rsidR="00975F88">
        <w:rPr>
          <w:bCs/>
          <w:color w:val="000000" w:themeColor="text1"/>
          <w:szCs w:val="22"/>
        </w:rPr>
        <w:fldChar w:fldCharType="separate"/>
      </w:r>
      <w:r w:rsidR="00F87DF9">
        <w:rPr>
          <w:color w:val="000000"/>
          <w:szCs w:val="22"/>
        </w:rPr>
        <w:t xml:space="preserve">Table </w:t>
      </w:r>
      <w:r w:rsidR="00F87DF9">
        <w:rPr>
          <w:noProof/>
          <w:color w:val="000000"/>
          <w:szCs w:val="22"/>
        </w:rPr>
        <w:t>36</w:t>
      </w:r>
      <w:r w:rsidR="00975F88">
        <w:rPr>
          <w:bCs/>
          <w:color w:val="000000" w:themeColor="text1"/>
          <w:szCs w:val="22"/>
        </w:rPr>
        <w:fldChar w:fldCharType="end"/>
      </w:r>
      <w:r w:rsidR="00975F88">
        <w:rPr>
          <w:bCs/>
          <w:color w:val="000000" w:themeColor="text1"/>
          <w:szCs w:val="22"/>
        </w:rPr>
        <w:t>.</w:t>
      </w:r>
      <w:r w:rsidR="003D1F7F" w:rsidRPr="0050419F">
        <w:rPr>
          <w:color w:val="000000" w:themeColor="text1"/>
          <w:szCs w:val="22"/>
        </w:rPr>
        <w:t xml:space="preserve"> The seagrass species </w:t>
      </w:r>
      <w:r w:rsidR="00AB452F" w:rsidRPr="0050419F">
        <w:rPr>
          <w:color w:val="000000" w:themeColor="text1"/>
          <w:szCs w:val="22"/>
        </w:rPr>
        <w:t xml:space="preserve">(including foundation) </w:t>
      </w:r>
      <w:r w:rsidR="003D1F7F" w:rsidRPr="0050419F">
        <w:rPr>
          <w:color w:val="000000" w:themeColor="text1"/>
          <w:szCs w:val="22"/>
        </w:rPr>
        <w:t xml:space="preserve">present at each monitoring site is listed </w:t>
      </w:r>
      <w:r w:rsidR="00EB19B4" w:rsidRPr="0050419F">
        <w:rPr>
          <w:color w:val="000000" w:themeColor="text1"/>
          <w:szCs w:val="22"/>
        </w:rPr>
        <w:fldChar w:fldCharType="begin"/>
      </w:r>
      <w:r w:rsidR="00EB19B4" w:rsidRPr="0050419F">
        <w:rPr>
          <w:color w:val="000000" w:themeColor="text1"/>
          <w:szCs w:val="22"/>
        </w:rPr>
        <w:instrText xml:space="preserve"> REF _Ref236539751 \h </w:instrText>
      </w:r>
      <w:r w:rsidR="00EB19B4" w:rsidRPr="0050419F">
        <w:rPr>
          <w:color w:val="000000" w:themeColor="text1"/>
          <w:szCs w:val="22"/>
        </w:rPr>
      </w:r>
      <w:r w:rsidR="00EB19B4" w:rsidRPr="0050419F">
        <w:rPr>
          <w:color w:val="000000" w:themeColor="text1"/>
          <w:szCs w:val="22"/>
        </w:rPr>
        <w:fldChar w:fldCharType="separate"/>
      </w:r>
      <w:r w:rsidR="00F87DF9" w:rsidRPr="00015190">
        <w:rPr>
          <w:color w:val="000000"/>
          <w:szCs w:val="22"/>
        </w:rPr>
        <w:t xml:space="preserve">Table </w:t>
      </w:r>
      <w:r w:rsidR="00F87DF9">
        <w:rPr>
          <w:noProof/>
          <w:color w:val="000000"/>
          <w:szCs w:val="22"/>
        </w:rPr>
        <w:t>3</w:t>
      </w:r>
      <w:r w:rsidR="00EB19B4" w:rsidRPr="0050419F">
        <w:rPr>
          <w:color w:val="000000" w:themeColor="text1"/>
          <w:szCs w:val="22"/>
        </w:rPr>
        <w:fldChar w:fldCharType="end"/>
      </w:r>
      <w:r w:rsidR="00640BF3">
        <w:rPr>
          <w:color w:val="000000" w:themeColor="text1"/>
          <w:szCs w:val="22"/>
        </w:rPr>
        <w:t xml:space="preserve"> and </w:t>
      </w:r>
      <w:r w:rsidR="00640BF3" w:rsidRPr="0050419F">
        <w:rPr>
          <w:color w:val="000000" w:themeColor="text1"/>
          <w:szCs w:val="22"/>
        </w:rPr>
        <w:fldChar w:fldCharType="begin"/>
      </w:r>
      <w:r w:rsidR="00640BF3" w:rsidRPr="0050419F">
        <w:rPr>
          <w:color w:val="000000" w:themeColor="text1"/>
          <w:szCs w:val="22"/>
        </w:rPr>
        <w:instrText xml:space="preserve"> REF _Ref461186562 \h </w:instrText>
      </w:r>
      <w:r w:rsidR="00640BF3" w:rsidRPr="0050419F">
        <w:rPr>
          <w:color w:val="000000" w:themeColor="text1"/>
          <w:szCs w:val="22"/>
        </w:rPr>
      </w:r>
      <w:r w:rsidR="00640BF3" w:rsidRPr="0050419F">
        <w:rPr>
          <w:color w:val="000000" w:themeColor="text1"/>
          <w:szCs w:val="22"/>
        </w:rPr>
        <w:fldChar w:fldCharType="separate"/>
      </w:r>
      <w:r w:rsidR="00F87DF9" w:rsidRPr="00015190">
        <w:rPr>
          <w:color w:val="000000"/>
          <w:szCs w:val="22"/>
        </w:rPr>
        <w:t xml:space="preserve">Table </w:t>
      </w:r>
      <w:r w:rsidR="00F87DF9">
        <w:rPr>
          <w:noProof/>
          <w:color w:val="000000"/>
          <w:szCs w:val="22"/>
        </w:rPr>
        <w:t>4</w:t>
      </w:r>
      <w:r w:rsidR="00640BF3" w:rsidRPr="0050419F">
        <w:rPr>
          <w:color w:val="000000" w:themeColor="text1"/>
          <w:szCs w:val="22"/>
        </w:rPr>
        <w:fldChar w:fldCharType="end"/>
      </w:r>
      <w:r w:rsidR="003D1F7F" w:rsidRPr="0050419F">
        <w:rPr>
          <w:color w:val="000000" w:themeColor="text1"/>
          <w:szCs w:val="22"/>
        </w:rPr>
        <w:t>.</w:t>
      </w:r>
    </w:p>
    <w:p w14:paraId="5B8FB221" w14:textId="77777777" w:rsidR="00640BF3" w:rsidRPr="00322AD3" w:rsidRDefault="00640BF3" w:rsidP="00AB452F">
      <w:pPr>
        <w:spacing w:before="240"/>
      </w:pPr>
    </w:p>
    <w:p w14:paraId="3C465A9B" w14:textId="77777777" w:rsidR="004902B0" w:rsidRPr="00322AD3" w:rsidRDefault="004902B0" w:rsidP="004902B0">
      <w:pPr>
        <w:rPr>
          <w:rFonts w:ascii="Arial" w:hAnsi="Arial" w:cs="Arial"/>
        </w:rPr>
        <w:sectPr w:rsidR="004902B0" w:rsidRPr="00322AD3" w:rsidSect="00D10D59">
          <w:headerReference w:type="even" r:id="rId36"/>
          <w:headerReference w:type="default" r:id="rId37"/>
          <w:headerReference w:type="first" r:id="rId38"/>
          <w:pgSz w:w="11906" w:h="16838" w:code="9"/>
          <w:pgMar w:top="1418" w:right="1418" w:bottom="1418" w:left="1418" w:header="709" w:footer="709" w:gutter="0"/>
          <w:cols w:space="708"/>
          <w:docGrid w:linePitch="360"/>
        </w:sectPr>
      </w:pPr>
    </w:p>
    <w:p w14:paraId="5453ADFA" w14:textId="59CAE343" w:rsidR="004920D8" w:rsidRPr="00015190" w:rsidRDefault="004920D8" w:rsidP="004920D8">
      <w:pPr>
        <w:keepNext/>
        <w:jc w:val="center"/>
        <w:rPr>
          <w:i/>
          <w:vanish/>
          <w:color w:val="000000"/>
          <w:szCs w:val="22"/>
          <w:specVanish/>
        </w:rPr>
      </w:pPr>
      <w:bookmarkStart w:id="46" w:name="_Ref236539751"/>
      <w:bookmarkStart w:id="47" w:name="_Toc176158939"/>
      <w:bookmarkStart w:id="48" w:name="_Toc516053427"/>
      <w:bookmarkStart w:id="49" w:name="_Toc431494017"/>
      <w:bookmarkStart w:id="50" w:name="_Ref318377132"/>
      <w:bookmarkStart w:id="51" w:name="_Toc176158941"/>
      <w:bookmarkStart w:id="52" w:name="_Toc175991044"/>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F87DF9">
        <w:rPr>
          <w:noProof/>
          <w:color w:val="000000"/>
          <w:szCs w:val="22"/>
        </w:rPr>
        <w:t>3</w:t>
      </w:r>
      <w:r w:rsidRPr="00015190">
        <w:rPr>
          <w:color w:val="000000"/>
          <w:szCs w:val="22"/>
        </w:rPr>
        <w:fldChar w:fldCharType="end"/>
      </w:r>
      <w:bookmarkEnd w:id="46"/>
      <w:r w:rsidRPr="00015190">
        <w:rPr>
          <w:i/>
          <w:color w:val="000000"/>
          <w:szCs w:val="22"/>
        </w:rPr>
        <w:t>. MMP inshore seagrass long-term monitoring</w:t>
      </w:r>
      <w:bookmarkEnd w:id="47"/>
      <w:r w:rsidRPr="00015190">
        <w:rPr>
          <w:i/>
          <w:color w:val="000000"/>
          <w:szCs w:val="22"/>
        </w:rPr>
        <w:t xml:space="preserve"> site</w:t>
      </w:r>
      <w:r>
        <w:rPr>
          <w:i/>
          <w:color w:val="000000"/>
          <w:szCs w:val="22"/>
        </w:rPr>
        <w:t xml:space="preserve"> details including p</w:t>
      </w:r>
      <w:r w:rsidRPr="00015190">
        <w:rPr>
          <w:i/>
          <w:color w:val="000000"/>
          <w:szCs w:val="22"/>
        </w:rPr>
        <w:t>resence of foundation (</w:t>
      </w:r>
      <w:r w:rsidRPr="0070343A">
        <w:rPr>
          <w:color w:val="000000"/>
          <w:sz w:val="16"/>
          <w:szCs w:val="16"/>
        </w:rPr>
        <w:sym w:font="Wingdings" w:char="F06E"/>
      </w:r>
      <w:r w:rsidRPr="00015190">
        <w:rPr>
          <w:i/>
          <w:color w:val="000000"/>
          <w:szCs w:val="22"/>
        </w:rPr>
        <w:t>) and other (</w:t>
      </w:r>
      <w:r w:rsidRPr="0070343A">
        <w:rPr>
          <w:color w:val="000000"/>
          <w:sz w:val="16"/>
          <w:szCs w:val="16"/>
        </w:rPr>
        <w:sym w:font="Wingdings" w:char="F0A8"/>
      </w:r>
      <w:r w:rsidRPr="00015190">
        <w:rPr>
          <w:i/>
          <w:color w:val="000000"/>
          <w:szCs w:val="22"/>
        </w:rPr>
        <w:t>) seagrass species sampled for plant tissue and reproductive health.</w:t>
      </w:r>
      <w:bookmarkEnd w:id="48"/>
      <w:r w:rsidRPr="00015190">
        <w:rPr>
          <w:i/>
          <w:color w:val="000000"/>
          <w:szCs w:val="22"/>
        </w:rPr>
        <w:t xml:space="preserve"> </w:t>
      </w:r>
    </w:p>
    <w:p w14:paraId="294631E7" w14:textId="77777777" w:rsidR="004920D8" w:rsidRPr="00015190" w:rsidRDefault="004920D8" w:rsidP="004920D8">
      <w:pPr>
        <w:spacing w:before="0" w:after="0"/>
        <w:rPr>
          <w:i/>
          <w:color w:val="000000"/>
          <w:szCs w:val="22"/>
        </w:rPr>
      </w:pPr>
      <w:r w:rsidRPr="00015190">
        <w:rPr>
          <w:i/>
          <w:color w:val="000000"/>
          <w:szCs w:val="22"/>
        </w:rPr>
        <w:t xml:space="preserve">NRM region from www.nrm.gov.au. </w:t>
      </w:r>
      <w:bookmarkStart w:id="53" w:name="OLE_LINK5"/>
      <w:bookmarkStart w:id="54" w:name="OLE_LINK6"/>
      <w:r w:rsidRPr="00015190">
        <w:rPr>
          <w:i/>
          <w:color w:val="000000"/>
          <w:szCs w:val="22"/>
        </w:rPr>
        <w:t>* = intertidal, ^=subtidal.</w:t>
      </w:r>
      <w:bookmarkEnd w:id="49"/>
      <w:r w:rsidRPr="00015190">
        <w:rPr>
          <w:i/>
          <w:color w:val="000000"/>
          <w:szCs w:val="22"/>
        </w:rPr>
        <w:t xml:space="preserve"> </w:t>
      </w:r>
      <w:bookmarkEnd w:id="53"/>
      <w:bookmarkEnd w:id="54"/>
      <w:r w:rsidRPr="00F61BF9">
        <w:rPr>
          <w:i/>
          <w:color w:val="000000"/>
          <w:sz w:val="18"/>
          <w:szCs w:val="18"/>
        </w:rPr>
        <w:t xml:space="preserve">CR = Cymodocea rotundata, CS = Cymodocea serrulata, EA = Enhalus acoroides, HD = Halophila decipiens, HO = Halophila ovalis, HS = Halophila spinulosa, HU = Halodule uninervis, SI = Syringodium isoetifolium, TH </w:t>
      </w:r>
      <w:r>
        <w:rPr>
          <w:i/>
          <w:color w:val="000000"/>
          <w:sz w:val="18"/>
          <w:szCs w:val="18"/>
        </w:rPr>
        <w:t>=</w:t>
      </w:r>
      <w:r w:rsidRPr="00F61BF9">
        <w:rPr>
          <w:i/>
          <w:color w:val="000000"/>
          <w:sz w:val="18"/>
          <w:szCs w:val="18"/>
        </w:rPr>
        <w:t xml:space="preserve"> Thalassia hemprichii, ZM = Zostera muelleri</w:t>
      </w:r>
    </w:p>
    <w:tbl>
      <w:tblPr>
        <w:tblW w:w="13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6"/>
        <w:gridCol w:w="1287"/>
        <w:gridCol w:w="1079"/>
        <w:gridCol w:w="1576"/>
        <w:gridCol w:w="674"/>
        <w:gridCol w:w="1579"/>
        <w:gridCol w:w="486"/>
        <w:gridCol w:w="830"/>
        <w:gridCol w:w="576"/>
        <w:gridCol w:w="830"/>
        <w:gridCol w:w="481"/>
        <w:gridCol w:w="402"/>
        <w:gridCol w:w="408"/>
        <w:gridCol w:w="416"/>
        <w:gridCol w:w="418"/>
        <w:gridCol w:w="408"/>
        <w:gridCol w:w="422"/>
        <w:gridCol w:w="398"/>
        <w:gridCol w:w="410"/>
        <w:gridCol w:w="422"/>
      </w:tblGrid>
      <w:tr w:rsidR="004920D8" w:rsidRPr="00015190" w14:paraId="071E1EEE" w14:textId="77777777" w:rsidTr="00D64955">
        <w:trPr>
          <w:trHeight w:val="170"/>
          <w:jc w:val="center"/>
        </w:trPr>
        <w:tc>
          <w:tcPr>
            <w:tcW w:w="836" w:type="dxa"/>
            <w:shd w:val="clear" w:color="auto" w:fill="BBE0E3"/>
            <w:vAlign w:val="center"/>
          </w:tcPr>
          <w:p w14:paraId="04F53BD8"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GBR region</w:t>
            </w:r>
          </w:p>
        </w:tc>
        <w:tc>
          <w:tcPr>
            <w:tcW w:w="1287" w:type="dxa"/>
            <w:shd w:val="clear" w:color="auto" w:fill="BBE0E3"/>
            <w:noWrap/>
            <w:vAlign w:val="center"/>
          </w:tcPr>
          <w:p w14:paraId="4F05878A"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NRM region (</w:t>
            </w:r>
            <w:r w:rsidRPr="00880D29">
              <w:rPr>
                <w:rFonts w:cs="Arial"/>
                <w:b/>
                <w:bCs/>
                <w:i/>
                <w:color w:val="000000"/>
                <w:sz w:val="14"/>
                <w:szCs w:val="14"/>
              </w:rPr>
              <w:t>Board</w:t>
            </w:r>
            <w:r w:rsidRPr="00880D29">
              <w:rPr>
                <w:rFonts w:cs="Arial"/>
                <w:b/>
                <w:bCs/>
                <w:color w:val="000000"/>
                <w:sz w:val="14"/>
                <w:szCs w:val="14"/>
              </w:rPr>
              <w:t>)</w:t>
            </w:r>
          </w:p>
        </w:tc>
        <w:tc>
          <w:tcPr>
            <w:tcW w:w="1079" w:type="dxa"/>
            <w:shd w:val="clear" w:color="auto" w:fill="BBE0E3"/>
            <w:vAlign w:val="center"/>
          </w:tcPr>
          <w:p w14:paraId="222D8A35" w14:textId="77777777" w:rsidR="004920D8" w:rsidRPr="00880D29" w:rsidRDefault="004920D8" w:rsidP="00D64955">
            <w:pPr>
              <w:spacing w:before="0" w:after="0"/>
              <w:jc w:val="center"/>
              <w:rPr>
                <w:rFonts w:cs="Arial"/>
                <w:b/>
                <w:bCs/>
                <w:color w:val="000000"/>
                <w:sz w:val="14"/>
                <w:szCs w:val="14"/>
              </w:rPr>
            </w:pPr>
            <w:r>
              <w:rPr>
                <w:rFonts w:cs="Arial"/>
                <w:b/>
                <w:bCs/>
                <w:color w:val="000000"/>
                <w:sz w:val="14"/>
                <w:szCs w:val="14"/>
              </w:rPr>
              <w:t>Basin</w:t>
            </w:r>
          </w:p>
        </w:tc>
        <w:tc>
          <w:tcPr>
            <w:tcW w:w="1576" w:type="dxa"/>
            <w:shd w:val="clear" w:color="auto" w:fill="BBE0E3"/>
            <w:vAlign w:val="center"/>
          </w:tcPr>
          <w:p w14:paraId="481BDB43"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Monitoring location</w:t>
            </w:r>
          </w:p>
        </w:tc>
        <w:tc>
          <w:tcPr>
            <w:tcW w:w="2253" w:type="dxa"/>
            <w:gridSpan w:val="2"/>
            <w:shd w:val="clear" w:color="auto" w:fill="BBE0E3"/>
            <w:noWrap/>
            <w:vAlign w:val="center"/>
          </w:tcPr>
          <w:p w14:paraId="6FB7622B"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Site</w:t>
            </w:r>
          </w:p>
        </w:tc>
        <w:tc>
          <w:tcPr>
            <w:tcW w:w="1316" w:type="dxa"/>
            <w:gridSpan w:val="2"/>
            <w:shd w:val="clear" w:color="auto" w:fill="BBE0E3"/>
            <w:noWrap/>
            <w:vAlign w:val="center"/>
          </w:tcPr>
          <w:p w14:paraId="693DFABD"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Latitude</w:t>
            </w:r>
          </w:p>
        </w:tc>
        <w:tc>
          <w:tcPr>
            <w:tcW w:w="1406" w:type="dxa"/>
            <w:gridSpan w:val="2"/>
            <w:shd w:val="clear" w:color="auto" w:fill="BBE0E3"/>
            <w:noWrap/>
            <w:vAlign w:val="center"/>
          </w:tcPr>
          <w:p w14:paraId="09C90CE4" w14:textId="77777777" w:rsidR="004920D8" w:rsidRPr="00880D29" w:rsidRDefault="004920D8" w:rsidP="00D64955">
            <w:pPr>
              <w:spacing w:before="0" w:after="0"/>
              <w:jc w:val="center"/>
              <w:rPr>
                <w:rFonts w:cs="Arial"/>
                <w:b/>
                <w:color w:val="000000"/>
                <w:sz w:val="14"/>
                <w:szCs w:val="14"/>
              </w:rPr>
            </w:pPr>
            <w:r w:rsidRPr="00880D29">
              <w:rPr>
                <w:rFonts w:cs="Arial"/>
                <w:b/>
                <w:bCs/>
                <w:color w:val="000000"/>
                <w:sz w:val="14"/>
                <w:szCs w:val="14"/>
              </w:rPr>
              <w:t>Longitude</w:t>
            </w:r>
          </w:p>
        </w:tc>
        <w:tc>
          <w:tcPr>
            <w:tcW w:w="481" w:type="dxa"/>
            <w:shd w:val="clear" w:color="auto" w:fill="BBE0E3"/>
            <w:noWrap/>
            <w:vAlign w:val="center"/>
          </w:tcPr>
          <w:p w14:paraId="01002D58" w14:textId="77777777" w:rsidR="004920D8" w:rsidRPr="00017A7E" w:rsidRDefault="004920D8" w:rsidP="00D64955">
            <w:pPr>
              <w:spacing w:before="0" w:after="0"/>
              <w:jc w:val="center"/>
              <w:rPr>
                <w:rFonts w:cs="Arial"/>
                <w:b/>
                <w:bCs/>
                <w:color w:val="000000"/>
                <w:sz w:val="14"/>
                <w:szCs w:val="14"/>
              </w:rPr>
            </w:pPr>
            <w:r>
              <w:rPr>
                <w:rFonts w:cs="Arial"/>
                <w:b/>
                <w:bCs/>
                <w:color w:val="000000"/>
                <w:sz w:val="14"/>
                <w:szCs w:val="14"/>
              </w:rPr>
              <w:t>CR</w:t>
            </w:r>
          </w:p>
        </w:tc>
        <w:tc>
          <w:tcPr>
            <w:tcW w:w="402" w:type="dxa"/>
            <w:shd w:val="clear" w:color="auto" w:fill="BBE0E3"/>
            <w:vAlign w:val="center"/>
          </w:tcPr>
          <w:p w14:paraId="7ED84A61"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C</w:t>
            </w:r>
            <w:r>
              <w:rPr>
                <w:rFonts w:cs="Arial"/>
                <w:b/>
                <w:bCs/>
                <w:color w:val="000000"/>
                <w:sz w:val="14"/>
                <w:szCs w:val="14"/>
              </w:rPr>
              <w:t>S</w:t>
            </w:r>
          </w:p>
        </w:tc>
        <w:tc>
          <w:tcPr>
            <w:tcW w:w="408" w:type="dxa"/>
            <w:shd w:val="clear" w:color="auto" w:fill="BBE0E3"/>
            <w:vAlign w:val="center"/>
          </w:tcPr>
          <w:p w14:paraId="4AAA5B08"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E</w:t>
            </w:r>
            <w:r>
              <w:rPr>
                <w:rFonts w:cs="Arial"/>
                <w:b/>
                <w:bCs/>
                <w:color w:val="000000"/>
                <w:sz w:val="14"/>
                <w:szCs w:val="14"/>
              </w:rPr>
              <w:t>A</w:t>
            </w:r>
          </w:p>
        </w:tc>
        <w:tc>
          <w:tcPr>
            <w:tcW w:w="416" w:type="dxa"/>
            <w:shd w:val="clear" w:color="auto" w:fill="BBE0E3"/>
            <w:vAlign w:val="center"/>
          </w:tcPr>
          <w:p w14:paraId="04732797"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D</w:t>
            </w:r>
          </w:p>
        </w:tc>
        <w:tc>
          <w:tcPr>
            <w:tcW w:w="418" w:type="dxa"/>
            <w:shd w:val="clear" w:color="auto" w:fill="BBE0E3"/>
            <w:vAlign w:val="center"/>
          </w:tcPr>
          <w:p w14:paraId="50C26BA0"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O</w:t>
            </w:r>
          </w:p>
        </w:tc>
        <w:tc>
          <w:tcPr>
            <w:tcW w:w="408" w:type="dxa"/>
            <w:shd w:val="clear" w:color="auto" w:fill="BBE0E3"/>
            <w:vAlign w:val="center"/>
          </w:tcPr>
          <w:p w14:paraId="4DA7B390"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S</w:t>
            </w:r>
          </w:p>
        </w:tc>
        <w:tc>
          <w:tcPr>
            <w:tcW w:w="422" w:type="dxa"/>
            <w:shd w:val="clear" w:color="auto" w:fill="BBE0E3"/>
            <w:vAlign w:val="center"/>
          </w:tcPr>
          <w:p w14:paraId="35A07E5E"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U</w:t>
            </w:r>
          </w:p>
        </w:tc>
        <w:tc>
          <w:tcPr>
            <w:tcW w:w="398" w:type="dxa"/>
            <w:shd w:val="clear" w:color="auto" w:fill="BBE0E3"/>
            <w:vAlign w:val="center"/>
          </w:tcPr>
          <w:p w14:paraId="691CBAEE"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S</w:t>
            </w:r>
            <w:r>
              <w:rPr>
                <w:rFonts w:cs="Arial"/>
                <w:b/>
                <w:bCs/>
                <w:color w:val="000000"/>
                <w:sz w:val="14"/>
                <w:szCs w:val="14"/>
              </w:rPr>
              <w:t>I</w:t>
            </w:r>
          </w:p>
        </w:tc>
        <w:tc>
          <w:tcPr>
            <w:tcW w:w="410" w:type="dxa"/>
            <w:shd w:val="clear" w:color="auto" w:fill="BBE0E3"/>
            <w:vAlign w:val="center"/>
          </w:tcPr>
          <w:p w14:paraId="0E3C340D"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T</w:t>
            </w:r>
            <w:r>
              <w:rPr>
                <w:rFonts w:cs="Arial"/>
                <w:b/>
                <w:bCs/>
                <w:color w:val="000000"/>
                <w:sz w:val="14"/>
                <w:szCs w:val="14"/>
              </w:rPr>
              <w:t>H</w:t>
            </w:r>
          </w:p>
        </w:tc>
        <w:tc>
          <w:tcPr>
            <w:tcW w:w="422" w:type="dxa"/>
            <w:shd w:val="clear" w:color="auto" w:fill="BBE0E3"/>
            <w:vAlign w:val="center"/>
          </w:tcPr>
          <w:p w14:paraId="36A5864E"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Z</w:t>
            </w:r>
            <w:r>
              <w:rPr>
                <w:rFonts w:cs="Arial"/>
                <w:b/>
                <w:bCs/>
                <w:color w:val="000000"/>
                <w:sz w:val="14"/>
                <w:szCs w:val="14"/>
              </w:rPr>
              <w:t>M</w:t>
            </w:r>
          </w:p>
        </w:tc>
      </w:tr>
      <w:tr w:rsidR="004920D8" w:rsidRPr="00015190" w14:paraId="18CE4A30" w14:textId="77777777" w:rsidTr="00D64955">
        <w:trPr>
          <w:trHeight w:val="170"/>
          <w:jc w:val="center"/>
        </w:trPr>
        <w:tc>
          <w:tcPr>
            <w:tcW w:w="836" w:type="dxa"/>
            <w:vMerge w:val="restart"/>
            <w:shd w:val="clear" w:color="auto" w:fill="auto"/>
            <w:noWrap/>
            <w:vAlign w:val="center"/>
          </w:tcPr>
          <w:p w14:paraId="2995339B" w14:textId="77777777" w:rsidR="004920D8" w:rsidRPr="00880D29" w:rsidRDefault="004920D8" w:rsidP="00D64955">
            <w:pPr>
              <w:jc w:val="center"/>
              <w:rPr>
                <w:color w:val="000000"/>
                <w:sz w:val="14"/>
                <w:szCs w:val="14"/>
              </w:rPr>
            </w:pPr>
            <w:r w:rsidRPr="00880D29">
              <w:rPr>
                <w:color w:val="000000"/>
                <w:sz w:val="14"/>
                <w:szCs w:val="14"/>
              </w:rPr>
              <w:t>Far Northern</w:t>
            </w:r>
          </w:p>
        </w:tc>
        <w:tc>
          <w:tcPr>
            <w:tcW w:w="1287" w:type="dxa"/>
            <w:vMerge w:val="restart"/>
            <w:shd w:val="clear" w:color="auto" w:fill="E7F3F4"/>
            <w:noWrap/>
            <w:vAlign w:val="center"/>
          </w:tcPr>
          <w:p w14:paraId="5BE97C0D" w14:textId="77777777" w:rsidR="004920D8" w:rsidRDefault="004920D8" w:rsidP="00D64955">
            <w:pPr>
              <w:spacing w:before="0" w:after="0"/>
              <w:jc w:val="center"/>
              <w:rPr>
                <w:color w:val="000000"/>
                <w:sz w:val="14"/>
                <w:szCs w:val="14"/>
              </w:rPr>
            </w:pPr>
            <w:r w:rsidRPr="00880D29">
              <w:rPr>
                <w:color w:val="000000"/>
                <w:sz w:val="14"/>
                <w:szCs w:val="14"/>
              </w:rPr>
              <w:t>Cape York</w:t>
            </w:r>
          </w:p>
          <w:p w14:paraId="2748E826" w14:textId="77777777" w:rsidR="004920D8" w:rsidRPr="007C23BD" w:rsidRDefault="004920D8" w:rsidP="00D64955">
            <w:pPr>
              <w:spacing w:before="0" w:after="0"/>
              <w:jc w:val="center"/>
              <w:rPr>
                <w:i/>
                <w:color w:val="000000"/>
                <w:sz w:val="14"/>
                <w:szCs w:val="14"/>
              </w:rPr>
            </w:pPr>
            <w:r w:rsidRPr="007C23BD">
              <w:rPr>
                <w:i/>
                <w:color w:val="000000"/>
                <w:sz w:val="14"/>
                <w:szCs w:val="14"/>
              </w:rPr>
              <w:t>(Cape York Natural Resource Management)</w:t>
            </w:r>
          </w:p>
        </w:tc>
        <w:tc>
          <w:tcPr>
            <w:tcW w:w="1079" w:type="dxa"/>
            <w:vMerge w:val="restart"/>
            <w:shd w:val="clear" w:color="auto" w:fill="E7F3F4"/>
            <w:vAlign w:val="center"/>
          </w:tcPr>
          <w:p w14:paraId="32FEC316" w14:textId="77777777" w:rsidR="004920D8" w:rsidRPr="00880D29" w:rsidRDefault="004920D8" w:rsidP="00D64955">
            <w:pPr>
              <w:spacing w:before="0" w:after="0"/>
              <w:jc w:val="center"/>
              <w:rPr>
                <w:color w:val="000000"/>
                <w:sz w:val="14"/>
                <w:szCs w:val="14"/>
              </w:rPr>
            </w:pPr>
            <w:r>
              <w:rPr>
                <w:color w:val="000000"/>
                <w:sz w:val="14"/>
                <w:szCs w:val="14"/>
              </w:rPr>
              <w:t>Jacky Jacky / Olive-P</w:t>
            </w:r>
            <w:r w:rsidRPr="00C02B42">
              <w:rPr>
                <w:color w:val="000000"/>
                <w:sz w:val="14"/>
                <w:szCs w:val="14"/>
              </w:rPr>
              <w:t>ascoe</w:t>
            </w:r>
          </w:p>
        </w:tc>
        <w:tc>
          <w:tcPr>
            <w:tcW w:w="1576" w:type="dxa"/>
            <w:vMerge w:val="restart"/>
            <w:shd w:val="clear" w:color="auto" w:fill="E7F3F4"/>
            <w:noWrap/>
            <w:vAlign w:val="center"/>
          </w:tcPr>
          <w:p w14:paraId="728EEF31" w14:textId="77777777" w:rsidR="004920D8" w:rsidRPr="00880D29" w:rsidRDefault="004920D8" w:rsidP="00D64955">
            <w:pPr>
              <w:spacing w:before="0" w:after="0"/>
              <w:jc w:val="center"/>
              <w:rPr>
                <w:color w:val="000000"/>
                <w:sz w:val="14"/>
                <w:szCs w:val="14"/>
              </w:rPr>
            </w:pPr>
            <w:r w:rsidRPr="00880D29">
              <w:rPr>
                <w:color w:val="000000"/>
                <w:sz w:val="14"/>
                <w:szCs w:val="14"/>
              </w:rPr>
              <w:t>Shelburne Bay</w:t>
            </w:r>
          </w:p>
          <w:p w14:paraId="707B2096" w14:textId="77777777" w:rsidR="004920D8" w:rsidRPr="00880D29" w:rsidRDefault="004920D8" w:rsidP="00D64955">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14:paraId="3E9E0903" w14:textId="77777777" w:rsidR="004920D8" w:rsidRPr="00880D29" w:rsidRDefault="004920D8" w:rsidP="00D64955">
            <w:pPr>
              <w:spacing w:before="0" w:after="0"/>
              <w:jc w:val="center"/>
              <w:rPr>
                <w:color w:val="000000"/>
                <w:sz w:val="14"/>
                <w:szCs w:val="14"/>
              </w:rPr>
            </w:pPr>
            <w:r w:rsidRPr="00880D29">
              <w:rPr>
                <w:color w:val="000000"/>
                <w:sz w:val="14"/>
                <w:szCs w:val="14"/>
              </w:rPr>
              <w:t>SR1*</w:t>
            </w:r>
          </w:p>
        </w:tc>
        <w:tc>
          <w:tcPr>
            <w:tcW w:w="1579" w:type="dxa"/>
            <w:shd w:val="clear" w:color="auto" w:fill="E7F3F4"/>
            <w:noWrap/>
            <w:vAlign w:val="center"/>
          </w:tcPr>
          <w:p w14:paraId="4FCC8EEE" w14:textId="77777777" w:rsidR="004920D8" w:rsidRPr="00880D29" w:rsidRDefault="004920D8" w:rsidP="00D64955">
            <w:pPr>
              <w:spacing w:before="0" w:after="0"/>
              <w:jc w:val="center"/>
              <w:rPr>
                <w:color w:val="000000"/>
                <w:sz w:val="14"/>
                <w:szCs w:val="14"/>
              </w:rPr>
            </w:pPr>
            <w:r w:rsidRPr="00880D29">
              <w:rPr>
                <w:color w:val="000000"/>
                <w:sz w:val="14"/>
                <w:szCs w:val="14"/>
              </w:rPr>
              <w:t>Shelburne Bay</w:t>
            </w:r>
          </w:p>
        </w:tc>
        <w:tc>
          <w:tcPr>
            <w:tcW w:w="486" w:type="dxa"/>
            <w:shd w:val="clear" w:color="auto" w:fill="E7F3F4"/>
            <w:noWrap/>
            <w:vAlign w:val="center"/>
          </w:tcPr>
          <w:p w14:paraId="75942E4E" w14:textId="77777777" w:rsidR="004920D8" w:rsidRPr="00551E89" w:rsidRDefault="004920D8" w:rsidP="00D64955">
            <w:pPr>
              <w:spacing w:before="0" w:after="0"/>
              <w:jc w:val="center"/>
              <w:rPr>
                <w:color w:val="000000"/>
                <w:sz w:val="14"/>
                <w:szCs w:val="14"/>
              </w:rPr>
            </w:pPr>
            <w:r w:rsidRPr="00551E89">
              <w:rPr>
                <w:color w:val="000000"/>
                <w:sz w:val="14"/>
                <w:szCs w:val="14"/>
              </w:rPr>
              <w:t>11</w:t>
            </w:r>
            <w:r w:rsidRPr="00880D29">
              <w:rPr>
                <w:color w:val="000000"/>
                <w:sz w:val="14"/>
                <w:szCs w:val="14"/>
              </w:rPr>
              <w:t>°</w:t>
            </w:r>
          </w:p>
        </w:tc>
        <w:tc>
          <w:tcPr>
            <w:tcW w:w="830" w:type="dxa"/>
            <w:shd w:val="clear" w:color="auto" w:fill="E7F3F4"/>
            <w:noWrap/>
            <w:vAlign w:val="center"/>
          </w:tcPr>
          <w:p w14:paraId="50C14B1D" w14:textId="77777777" w:rsidR="004920D8" w:rsidRPr="00551E89" w:rsidRDefault="004920D8" w:rsidP="00D64955">
            <w:pPr>
              <w:spacing w:before="0" w:after="0"/>
              <w:jc w:val="center"/>
              <w:rPr>
                <w:color w:val="000000"/>
                <w:sz w:val="14"/>
                <w:szCs w:val="14"/>
              </w:rPr>
            </w:pPr>
            <w:r w:rsidRPr="00551E89">
              <w:rPr>
                <w:color w:val="000000"/>
                <w:sz w:val="14"/>
                <w:szCs w:val="14"/>
              </w:rPr>
              <w:t>53.220</w:t>
            </w:r>
          </w:p>
        </w:tc>
        <w:tc>
          <w:tcPr>
            <w:tcW w:w="576" w:type="dxa"/>
            <w:shd w:val="clear" w:color="auto" w:fill="E7F3F4"/>
            <w:noWrap/>
            <w:vAlign w:val="center"/>
          </w:tcPr>
          <w:p w14:paraId="226B7D37" w14:textId="77777777" w:rsidR="004920D8" w:rsidRPr="00551E89" w:rsidRDefault="004920D8" w:rsidP="00D64955">
            <w:pPr>
              <w:spacing w:before="0" w:after="0"/>
              <w:jc w:val="center"/>
              <w:rPr>
                <w:color w:val="000000"/>
                <w:sz w:val="14"/>
                <w:szCs w:val="14"/>
              </w:rPr>
            </w:pPr>
            <w:r w:rsidRPr="00551E89">
              <w:rPr>
                <w:color w:val="000000"/>
                <w:sz w:val="14"/>
                <w:szCs w:val="14"/>
              </w:rPr>
              <w:t>142</w:t>
            </w:r>
            <w:r w:rsidRPr="00880D29">
              <w:rPr>
                <w:color w:val="000000"/>
                <w:sz w:val="14"/>
                <w:szCs w:val="14"/>
              </w:rPr>
              <w:t>°</w:t>
            </w:r>
          </w:p>
        </w:tc>
        <w:tc>
          <w:tcPr>
            <w:tcW w:w="830" w:type="dxa"/>
            <w:shd w:val="clear" w:color="auto" w:fill="E7F3F4"/>
            <w:noWrap/>
            <w:vAlign w:val="center"/>
          </w:tcPr>
          <w:p w14:paraId="10AF6D1E" w14:textId="77777777" w:rsidR="004920D8" w:rsidRPr="00551E89" w:rsidRDefault="004920D8" w:rsidP="00D64955">
            <w:pPr>
              <w:spacing w:before="0" w:after="0"/>
              <w:jc w:val="center"/>
              <w:rPr>
                <w:color w:val="000000"/>
                <w:sz w:val="14"/>
                <w:szCs w:val="14"/>
              </w:rPr>
            </w:pPr>
            <w:r w:rsidRPr="00551E89">
              <w:rPr>
                <w:color w:val="000000"/>
                <w:sz w:val="14"/>
                <w:szCs w:val="14"/>
              </w:rPr>
              <w:t>54.85</w:t>
            </w:r>
            <w:r>
              <w:rPr>
                <w:color w:val="000000"/>
                <w:sz w:val="14"/>
                <w:szCs w:val="14"/>
              </w:rPr>
              <w:t>3</w:t>
            </w:r>
          </w:p>
        </w:tc>
        <w:tc>
          <w:tcPr>
            <w:tcW w:w="481" w:type="dxa"/>
            <w:vMerge w:val="restart"/>
            <w:shd w:val="clear" w:color="auto" w:fill="E7F3F4"/>
            <w:noWrap/>
            <w:vAlign w:val="center"/>
          </w:tcPr>
          <w:p w14:paraId="34F9CBF9" w14:textId="77777777" w:rsidR="004920D8" w:rsidRPr="00F45F13" w:rsidRDefault="004920D8" w:rsidP="00D64955">
            <w:pPr>
              <w:spacing w:before="0" w:after="0"/>
              <w:jc w:val="center"/>
              <w:rPr>
                <w:color w:val="000000"/>
                <w:sz w:val="14"/>
                <w:szCs w:val="14"/>
              </w:rPr>
            </w:pPr>
          </w:p>
        </w:tc>
        <w:tc>
          <w:tcPr>
            <w:tcW w:w="402" w:type="dxa"/>
            <w:vMerge w:val="restart"/>
            <w:shd w:val="clear" w:color="auto" w:fill="E7F3F4"/>
            <w:vAlign w:val="center"/>
          </w:tcPr>
          <w:p w14:paraId="6E12F282"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67EE6A5F"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4073B62C"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322092E6"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26B03E06"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5248360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374EBB09"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626A1D16"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E7F3F4"/>
            <w:vAlign w:val="center"/>
          </w:tcPr>
          <w:p w14:paraId="1BEAC683" w14:textId="77777777" w:rsidR="004920D8" w:rsidRPr="00F45F13" w:rsidRDefault="004920D8" w:rsidP="00D64955">
            <w:pPr>
              <w:spacing w:before="0" w:after="0"/>
              <w:jc w:val="center"/>
              <w:rPr>
                <w:color w:val="000000"/>
                <w:sz w:val="14"/>
                <w:szCs w:val="14"/>
              </w:rPr>
            </w:pPr>
          </w:p>
        </w:tc>
      </w:tr>
      <w:tr w:rsidR="004920D8" w:rsidRPr="00015190" w14:paraId="3352016A" w14:textId="77777777" w:rsidTr="00D64955">
        <w:trPr>
          <w:trHeight w:val="170"/>
          <w:jc w:val="center"/>
        </w:trPr>
        <w:tc>
          <w:tcPr>
            <w:tcW w:w="836" w:type="dxa"/>
            <w:vMerge/>
            <w:shd w:val="clear" w:color="auto" w:fill="auto"/>
            <w:noWrap/>
            <w:vAlign w:val="center"/>
          </w:tcPr>
          <w:p w14:paraId="3D00C890"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621B0DD5" w14:textId="77777777" w:rsidR="004920D8" w:rsidRPr="00880D29" w:rsidRDefault="004920D8" w:rsidP="00D64955">
            <w:pPr>
              <w:jc w:val="center"/>
              <w:rPr>
                <w:color w:val="000000"/>
                <w:sz w:val="14"/>
                <w:szCs w:val="14"/>
              </w:rPr>
            </w:pPr>
          </w:p>
        </w:tc>
        <w:tc>
          <w:tcPr>
            <w:tcW w:w="1079" w:type="dxa"/>
            <w:vMerge/>
            <w:shd w:val="clear" w:color="auto" w:fill="E7F3F4"/>
            <w:vAlign w:val="center"/>
          </w:tcPr>
          <w:p w14:paraId="42EE9632"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5604D2A1"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12115BDC" w14:textId="77777777" w:rsidR="004920D8" w:rsidRPr="00880D29" w:rsidRDefault="004920D8" w:rsidP="00D64955">
            <w:pPr>
              <w:spacing w:before="0" w:after="0"/>
              <w:jc w:val="center"/>
              <w:rPr>
                <w:color w:val="000000"/>
                <w:sz w:val="14"/>
                <w:szCs w:val="14"/>
              </w:rPr>
            </w:pPr>
            <w:r w:rsidRPr="00880D29">
              <w:rPr>
                <w:color w:val="000000"/>
                <w:sz w:val="14"/>
                <w:szCs w:val="14"/>
              </w:rPr>
              <w:t>SR2*</w:t>
            </w:r>
          </w:p>
        </w:tc>
        <w:tc>
          <w:tcPr>
            <w:tcW w:w="1579" w:type="dxa"/>
            <w:shd w:val="clear" w:color="auto" w:fill="E7F3F4"/>
            <w:noWrap/>
            <w:vAlign w:val="center"/>
          </w:tcPr>
          <w:p w14:paraId="3EFDB394" w14:textId="77777777" w:rsidR="004920D8" w:rsidRPr="00880D29" w:rsidRDefault="004920D8" w:rsidP="00D64955">
            <w:pPr>
              <w:spacing w:before="0" w:after="0"/>
              <w:jc w:val="center"/>
              <w:rPr>
                <w:color w:val="000000"/>
                <w:sz w:val="14"/>
                <w:szCs w:val="14"/>
              </w:rPr>
            </w:pPr>
            <w:r w:rsidRPr="00880D29">
              <w:rPr>
                <w:color w:val="000000"/>
                <w:sz w:val="14"/>
                <w:szCs w:val="14"/>
              </w:rPr>
              <w:t>Shelburne Bay</w:t>
            </w:r>
          </w:p>
        </w:tc>
        <w:tc>
          <w:tcPr>
            <w:tcW w:w="486" w:type="dxa"/>
            <w:shd w:val="clear" w:color="auto" w:fill="E7F3F4"/>
            <w:noWrap/>
            <w:vAlign w:val="center"/>
          </w:tcPr>
          <w:p w14:paraId="25DF187F" w14:textId="77777777" w:rsidR="004920D8" w:rsidRPr="00551E89" w:rsidRDefault="004920D8" w:rsidP="00D64955">
            <w:pPr>
              <w:spacing w:before="0" w:after="0"/>
              <w:jc w:val="center"/>
              <w:rPr>
                <w:color w:val="000000"/>
                <w:sz w:val="14"/>
                <w:szCs w:val="14"/>
              </w:rPr>
            </w:pPr>
            <w:r w:rsidRPr="00551E89">
              <w:rPr>
                <w:color w:val="000000"/>
                <w:sz w:val="14"/>
                <w:szCs w:val="14"/>
              </w:rPr>
              <w:t>11</w:t>
            </w:r>
            <w:r w:rsidRPr="00880D29">
              <w:rPr>
                <w:color w:val="000000"/>
                <w:sz w:val="14"/>
                <w:szCs w:val="14"/>
              </w:rPr>
              <w:t>°</w:t>
            </w:r>
          </w:p>
        </w:tc>
        <w:tc>
          <w:tcPr>
            <w:tcW w:w="830" w:type="dxa"/>
            <w:shd w:val="clear" w:color="auto" w:fill="E7F3F4"/>
            <w:noWrap/>
            <w:vAlign w:val="center"/>
          </w:tcPr>
          <w:p w14:paraId="7ABB90E8" w14:textId="77777777" w:rsidR="004920D8" w:rsidRPr="00551E89" w:rsidRDefault="004920D8" w:rsidP="00D64955">
            <w:pPr>
              <w:spacing w:before="0" w:after="0"/>
              <w:jc w:val="center"/>
              <w:rPr>
                <w:color w:val="000000"/>
                <w:sz w:val="14"/>
                <w:szCs w:val="14"/>
              </w:rPr>
            </w:pPr>
            <w:r w:rsidRPr="00551E89">
              <w:rPr>
                <w:color w:val="000000"/>
                <w:sz w:val="14"/>
                <w:szCs w:val="14"/>
              </w:rPr>
              <w:t>53.23</w:t>
            </w:r>
            <w:r>
              <w:rPr>
                <w:color w:val="000000"/>
                <w:sz w:val="14"/>
                <w:szCs w:val="14"/>
              </w:rPr>
              <w:t>8</w:t>
            </w:r>
          </w:p>
        </w:tc>
        <w:tc>
          <w:tcPr>
            <w:tcW w:w="576" w:type="dxa"/>
            <w:shd w:val="clear" w:color="auto" w:fill="E7F3F4"/>
            <w:noWrap/>
            <w:vAlign w:val="center"/>
          </w:tcPr>
          <w:p w14:paraId="08B30D25" w14:textId="77777777" w:rsidR="004920D8" w:rsidRPr="00551E89" w:rsidRDefault="004920D8" w:rsidP="00D64955">
            <w:pPr>
              <w:spacing w:before="0" w:after="0"/>
              <w:jc w:val="center"/>
              <w:rPr>
                <w:color w:val="000000"/>
                <w:sz w:val="14"/>
                <w:szCs w:val="14"/>
              </w:rPr>
            </w:pPr>
            <w:r w:rsidRPr="00551E89">
              <w:rPr>
                <w:color w:val="000000"/>
                <w:sz w:val="14"/>
                <w:szCs w:val="14"/>
              </w:rPr>
              <w:t>142</w:t>
            </w:r>
            <w:r w:rsidRPr="00880D29">
              <w:rPr>
                <w:color w:val="000000"/>
                <w:sz w:val="14"/>
                <w:szCs w:val="14"/>
              </w:rPr>
              <w:t>°</w:t>
            </w:r>
          </w:p>
        </w:tc>
        <w:tc>
          <w:tcPr>
            <w:tcW w:w="830" w:type="dxa"/>
            <w:shd w:val="clear" w:color="auto" w:fill="E7F3F4"/>
            <w:noWrap/>
            <w:vAlign w:val="center"/>
          </w:tcPr>
          <w:p w14:paraId="580BF777" w14:textId="77777777" w:rsidR="004920D8" w:rsidRPr="00551E89" w:rsidRDefault="004920D8" w:rsidP="00D64955">
            <w:pPr>
              <w:spacing w:before="0" w:after="0"/>
              <w:jc w:val="center"/>
              <w:rPr>
                <w:color w:val="000000"/>
                <w:sz w:val="14"/>
                <w:szCs w:val="14"/>
              </w:rPr>
            </w:pPr>
            <w:r w:rsidRPr="00551E89">
              <w:rPr>
                <w:color w:val="000000"/>
                <w:sz w:val="14"/>
                <w:szCs w:val="14"/>
              </w:rPr>
              <w:t>54.9</w:t>
            </w:r>
            <w:r>
              <w:rPr>
                <w:color w:val="000000"/>
                <w:sz w:val="14"/>
                <w:szCs w:val="14"/>
              </w:rPr>
              <w:t>40</w:t>
            </w:r>
          </w:p>
        </w:tc>
        <w:tc>
          <w:tcPr>
            <w:tcW w:w="481" w:type="dxa"/>
            <w:vMerge/>
            <w:shd w:val="clear" w:color="auto" w:fill="E7F3F4"/>
            <w:noWrap/>
            <w:vAlign w:val="center"/>
          </w:tcPr>
          <w:p w14:paraId="5E2184D1"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46F1380B"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2EFFC9FA"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25F43657"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24D57C20"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2D07AD45"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1A8EFB26"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7A45946D"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5A5C1F91"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1B33F530" w14:textId="77777777" w:rsidR="004920D8" w:rsidRPr="00F45F13" w:rsidRDefault="004920D8" w:rsidP="00D64955">
            <w:pPr>
              <w:spacing w:before="0" w:after="0"/>
              <w:jc w:val="center"/>
              <w:rPr>
                <w:color w:val="000000"/>
                <w:sz w:val="14"/>
                <w:szCs w:val="14"/>
              </w:rPr>
            </w:pPr>
          </w:p>
        </w:tc>
      </w:tr>
      <w:tr w:rsidR="004920D8" w:rsidRPr="00015190" w14:paraId="51DB60FF" w14:textId="77777777" w:rsidTr="00D64955">
        <w:trPr>
          <w:trHeight w:val="170"/>
          <w:jc w:val="center"/>
        </w:trPr>
        <w:tc>
          <w:tcPr>
            <w:tcW w:w="836" w:type="dxa"/>
            <w:vMerge/>
            <w:shd w:val="clear" w:color="auto" w:fill="auto"/>
            <w:noWrap/>
            <w:vAlign w:val="center"/>
          </w:tcPr>
          <w:p w14:paraId="6C0D0437"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4A67A179" w14:textId="77777777" w:rsidR="004920D8" w:rsidRPr="00880D29" w:rsidRDefault="004920D8" w:rsidP="00D64955">
            <w:pPr>
              <w:jc w:val="center"/>
              <w:rPr>
                <w:color w:val="000000"/>
                <w:sz w:val="14"/>
                <w:szCs w:val="14"/>
              </w:rPr>
            </w:pPr>
          </w:p>
        </w:tc>
        <w:tc>
          <w:tcPr>
            <w:tcW w:w="1079" w:type="dxa"/>
            <w:vMerge/>
            <w:shd w:val="clear" w:color="auto" w:fill="E7F3F4"/>
            <w:vAlign w:val="center"/>
          </w:tcPr>
          <w:p w14:paraId="04AA8397"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E7F3F4"/>
            <w:noWrap/>
            <w:vAlign w:val="center"/>
          </w:tcPr>
          <w:p w14:paraId="1C86E929" w14:textId="77777777" w:rsidR="004920D8" w:rsidRPr="00880D29" w:rsidRDefault="004920D8" w:rsidP="00D64955">
            <w:pPr>
              <w:spacing w:before="0" w:after="0"/>
              <w:jc w:val="center"/>
              <w:rPr>
                <w:color w:val="000000"/>
                <w:sz w:val="14"/>
                <w:szCs w:val="14"/>
              </w:rPr>
            </w:pPr>
            <w:r w:rsidRPr="00880D29">
              <w:rPr>
                <w:color w:val="000000"/>
                <w:sz w:val="14"/>
                <w:szCs w:val="14"/>
              </w:rPr>
              <w:t>Piper Reef</w:t>
            </w:r>
          </w:p>
          <w:p w14:paraId="7EAB914C" w14:textId="77777777" w:rsidR="004920D8" w:rsidRPr="00880D29" w:rsidRDefault="004920D8" w:rsidP="00D64955">
            <w:pPr>
              <w:spacing w:before="0" w:after="0"/>
              <w:jc w:val="center"/>
              <w:rPr>
                <w:i/>
                <w:color w:val="000000"/>
                <w:sz w:val="14"/>
                <w:szCs w:val="14"/>
              </w:rPr>
            </w:pPr>
            <w:r w:rsidRPr="00880D29">
              <w:rPr>
                <w:i/>
                <w:color w:val="000000"/>
                <w:sz w:val="14"/>
                <w:szCs w:val="14"/>
              </w:rPr>
              <w:t>reef</w:t>
            </w:r>
          </w:p>
        </w:tc>
        <w:tc>
          <w:tcPr>
            <w:tcW w:w="674" w:type="dxa"/>
            <w:shd w:val="clear" w:color="auto" w:fill="E7F3F4"/>
            <w:noWrap/>
            <w:vAlign w:val="center"/>
          </w:tcPr>
          <w:p w14:paraId="16F214C9" w14:textId="77777777" w:rsidR="004920D8" w:rsidRPr="00880D29" w:rsidRDefault="004920D8" w:rsidP="00D64955">
            <w:pPr>
              <w:spacing w:before="0" w:after="0"/>
              <w:jc w:val="center"/>
              <w:rPr>
                <w:color w:val="000000"/>
                <w:sz w:val="14"/>
                <w:szCs w:val="14"/>
              </w:rPr>
            </w:pPr>
            <w:r w:rsidRPr="00880D29">
              <w:rPr>
                <w:color w:val="000000"/>
                <w:sz w:val="14"/>
                <w:szCs w:val="14"/>
              </w:rPr>
              <w:t>FR1*</w:t>
            </w:r>
          </w:p>
        </w:tc>
        <w:tc>
          <w:tcPr>
            <w:tcW w:w="1579" w:type="dxa"/>
            <w:shd w:val="clear" w:color="auto" w:fill="E7F3F4"/>
            <w:noWrap/>
            <w:vAlign w:val="center"/>
          </w:tcPr>
          <w:p w14:paraId="60142661" w14:textId="77777777" w:rsidR="004920D8" w:rsidRPr="00880D29" w:rsidRDefault="004920D8" w:rsidP="00D64955">
            <w:pPr>
              <w:spacing w:before="0" w:after="0"/>
              <w:jc w:val="center"/>
              <w:rPr>
                <w:color w:val="000000"/>
                <w:sz w:val="14"/>
                <w:szCs w:val="14"/>
              </w:rPr>
            </w:pPr>
            <w:r w:rsidRPr="00880D29">
              <w:rPr>
                <w:color w:val="000000"/>
                <w:sz w:val="14"/>
                <w:szCs w:val="14"/>
              </w:rPr>
              <w:t>Farmer Is.</w:t>
            </w:r>
          </w:p>
        </w:tc>
        <w:tc>
          <w:tcPr>
            <w:tcW w:w="486" w:type="dxa"/>
            <w:shd w:val="clear" w:color="auto" w:fill="E7F3F4"/>
            <w:noWrap/>
            <w:vAlign w:val="bottom"/>
          </w:tcPr>
          <w:p w14:paraId="00113C65" w14:textId="77777777" w:rsidR="004920D8" w:rsidRPr="00880D29" w:rsidRDefault="004920D8" w:rsidP="00D64955">
            <w:pPr>
              <w:spacing w:before="0" w:after="0"/>
              <w:jc w:val="center"/>
              <w:rPr>
                <w:color w:val="000000"/>
                <w:sz w:val="14"/>
                <w:szCs w:val="14"/>
              </w:rPr>
            </w:pPr>
            <w:r w:rsidRPr="00880D29">
              <w:rPr>
                <w:color w:val="000000"/>
                <w:sz w:val="14"/>
                <w:szCs w:val="14"/>
              </w:rPr>
              <w:t>12°</w:t>
            </w:r>
          </w:p>
        </w:tc>
        <w:tc>
          <w:tcPr>
            <w:tcW w:w="830" w:type="dxa"/>
            <w:shd w:val="clear" w:color="auto" w:fill="E7F3F4"/>
            <w:noWrap/>
            <w:vAlign w:val="bottom"/>
          </w:tcPr>
          <w:p w14:paraId="3046AA69" w14:textId="77777777" w:rsidR="004920D8" w:rsidRPr="00551E89" w:rsidRDefault="004920D8" w:rsidP="00D64955">
            <w:pPr>
              <w:spacing w:before="0" w:after="0"/>
              <w:jc w:val="center"/>
              <w:rPr>
                <w:color w:val="000000"/>
                <w:sz w:val="14"/>
                <w:szCs w:val="14"/>
              </w:rPr>
            </w:pPr>
            <w:r w:rsidRPr="00551E89">
              <w:rPr>
                <w:color w:val="000000"/>
                <w:sz w:val="14"/>
                <w:szCs w:val="14"/>
              </w:rPr>
              <w:t>15.339</w:t>
            </w:r>
          </w:p>
        </w:tc>
        <w:tc>
          <w:tcPr>
            <w:tcW w:w="576" w:type="dxa"/>
            <w:shd w:val="clear" w:color="auto" w:fill="E7F3F4"/>
            <w:noWrap/>
            <w:vAlign w:val="bottom"/>
          </w:tcPr>
          <w:p w14:paraId="22044F12" w14:textId="77777777" w:rsidR="004920D8" w:rsidRPr="00880D29" w:rsidRDefault="004920D8" w:rsidP="00D64955">
            <w:pPr>
              <w:spacing w:before="0" w:after="0"/>
              <w:jc w:val="center"/>
              <w:rPr>
                <w:color w:val="000000"/>
                <w:sz w:val="14"/>
                <w:szCs w:val="14"/>
              </w:rPr>
            </w:pPr>
            <w:r w:rsidRPr="00880D29">
              <w:rPr>
                <w:color w:val="000000"/>
                <w:sz w:val="14"/>
                <w:szCs w:val="14"/>
              </w:rPr>
              <w:t>143°</w:t>
            </w:r>
          </w:p>
        </w:tc>
        <w:tc>
          <w:tcPr>
            <w:tcW w:w="830" w:type="dxa"/>
            <w:shd w:val="clear" w:color="auto" w:fill="E7F3F4"/>
            <w:noWrap/>
            <w:vAlign w:val="bottom"/>
          </w:tcPr>
          <w:p w14:paraId="1A5A2D40" w14:textId="77777777" w:rsidR="004920D8" w:rsidRPr="00551E89" w:rsidRDefault="004920D8" w:rsidP="00D64955">
            <w:pPr>
              <w:spacing w:before="0" w:after="0"/>
              <w:jc w:val="center"/>
              <w:rPr>
                <w:color w:val="000000"/>
                <w:sz w:val="14"/>
                <w:szCs w:val="14"/>
              </w:rPr>
            </w:pPr>
            <w:r w:rsidRPr="00551E89">
              <w:rPr>
                <w:color w:val="000000"/>
                <w:sz w:val="14"/>
                <w:szCs w:val="14"/>
              </w:rPr>
              <w:t>14.021</w:t>
            </w:r>
          </w:p>
        </w:tc>
        <w:tc>
          <w:tcPr>
            <w:tcW w:w="481" w:type="dxa"/>
            <w:vMerge w:val="restart"/>
            <w:shd w:val="clear" w:color="auto" w:fill="E7F3F4"/>
            <w:noWrap/>
            <w:vAlign w:val="center"/>
          </w:tcPr>
          <w:p w14:paraId="10869D36"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vMerge w:val="restart"/>
            <w:shd w:val="clear" w:color="auto" w:fill="E7F3F4"/>
            <w:vAlign w:val="center"/>
          </w:tcPr>
          <w:p w14:paraId="1749D37F"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06436F6E"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64167C97"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4DB69E7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71E96356"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2194D7F9" w14:textId="77777777" w:rsidR="004920D8" w:rsidRPr="00F45F13" w:rsidRDefault="004920D8" w:rsidP="00D64955">
            <w:pPr>
              <w:spacing w:before="0" w:after="0"/>
              <w:jc w:val="center"/>
              <w:rPr>
                <w:color w:val="000000"/>
                <w:sz w:val="14"/>
                <w:szCs w:val="14"/>
              </w:rPr>
            </w:pPr>
          </w:p>
        </w:tc>
        <w:tc>
          <w:tcPr>
            <w:tcW w:w="398" w:type="dxa"/>
            <w:vMerge w:val="restart"/>
            <w:shd w:val="clear" w:color="auto" w:fill="E7F3F4"/>
            <w:vAlign w:val="center"/>
          </w:tcPr>
          <w:p w14:paraId="662E3D80"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16FA53B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E7F3F4"/>
            <w:vAlign w:val="center"/>
          </w:tcPr>
          <w:p w14:paraId="1C6B0CEB" w14:textId="77777777" w:rsidR="004920D8" w:rsidRPr="00F45F13" w:rsidRDefault="004920D8" w:rsidP="00D64955">
            <w:pPr>
              <w:spacing w:before="0" w:after="0"/>
              <w:jc w:val="center"/>
              <w:rPr>
                <w:color w:val="000000"/>
                <w:sz w:val="14"/>
                <w:szCs w:val="14"/>
              </w:rPr>
            </w:pPr>
          </w:p>
        </w:tc>
      </w:tr>
      <w:tr w:rsidR="004920D8" w:rsidRPr="00015190" w14:paraId="2D74ED78" w14:textId="77777777" w:rsidTr="00D64955">
        <w:trPr>
          <w:trHeight w:val="170"/>
          <w:jc w:val="center"/>
        </w:trPr>
        <w:tc>
          <w:tcPr>
            <w:tcW w:w="836" w:type="dxa"/>
            <w:vMerge/>
            <w:shd w:val="clear" w:color="auto" w:fill="auto"/>
            <w:noWrap/>
            <w:vAlign w:val="center"/>
          </w:tcPr>
          <w:p w14:paraId="6824F75E"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6D32BE17" w14:textId="77777777" w:rsidR="004920D8" w:rsidRPr="00880D29" w:rsidRDefault="004920D8" w:rsidP="00D64955">
            <w:pPr>
              <w:jc w:val="center"/>
              <w:rPr>
                <w:color w:val="000000"/>
                <w:sz w:val="14"/>
                <w:szCs w:val="14"/>
              </w:rPr>
            </w:pPr>
          </w:p>
        </w:tc>
        <w:tc>
          <w:tcPr>
            <w:tcW w:w="1079" w:type="dxa"/>
            <w:vMerge/>
            <w:shd w:val="clear" w:color="auto" w:fill="E7F3F4"/>
            <w:vAlign w:val="center"/>
          </w:tcPr>
          <w:p w14:paraId="4EB37C9A"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56C010B6"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214DFE1F" w14:textId="77777777" w:rsidR="004920D8" w:rsidRPr="00880D29" w:rsidRDefault="004920D8" w:rsidP="00D64955">
            <w:pPr>
              <w:spacing w:before="0" w:after="0"/>
              <w:jc w:val="center"/>
              <w:rPr>
                <w:color w:val="000000"/>
                <w:sz w:val="14"/>
                <w:szCs w:val="14"/>
              </w:rPr>
            </w:pPr>
            <w:r w:rsidRPr="00880D29">
              <w:rPr>
                <w:color w:val="000000"/>
                <w:sz w:val="14"/>
                <w:szCs w:val="14"/>
              </w:rPr>
              <w:t>FR2*</w:t>
            </w:r>
          </w:p>
        </w:tc>
        <w:tc>
          <w:tcPr>
            <w:tcW w:w="1579" w:type="dxa"/>
            <w:shd w:val="clear" w:color="auto" w:fill="E7F3F4"/>
            <w:noWrap/>
            <w:vAlign w:val="center"/>
          </w:tcPr>
          <w:p w14:paraId="481AA33C" w14:textId="77777777" w:rsidR="004920D8" w:rsidRPr="00880D29" w:rsidRDefault="004920D8" w:rsidP="00D64955">
            <w:pPr>
              <w:spacing w:before="0" w:after="0"/>
              <w:jc w:val="center"/>
              <w:rPr>
                <w:color w:val="000000"/>
                <w:sz w:val="14"/>
                <w:szCs w:val="14"/>
              </w:rPr>
            </w:pPr>
            <w:r w:rsidRPr="00880D29">
              <w:rPr>
                <w:color w:val="000000"/>
                <w:sz w:val="14"/>
                <w:szCs w:val="14"/>
              </w:rPr>
              <w:t>Farmer Is.</w:t>
            </w:r>
          </w:p>
        </w:tc>
        <w:tc>
          <w:tcPr>
            <w:tcW w:w="486" w:type="dxa"/>
            <w:shd w:val="clear" w:color="auto" w:fill="E7F3F4"/>
            <w:noWrap/>
            <w:vAlign w:val="bottom"/>
          </w:tcPr>
          <w:p w14:paraId="40F50293" w14:textId="77777777" w:rsidR="004920D8" w:rsidRPr="00880D29" w:rsidRDefault="004920D8" w:rsidP="00D64955">
            <w:pPr>
              <w:spacing w:before="0" w:after="0"/>
              <w:jc w:val="center"/>
              <w:rPr>
                <w:color w:val="000000"/>
                <w:sz w:val="14"/>
                <w:szCs w:val="14"/>
              </w:rPr>
            </w:pPr>
            <w:r w:rsidRPr="00880D29">
              <w:rPr>
                <w:color w:val="000000"/>
                <w:sz w:val="14"/>
                <w:szCs w:val="14"/>
              </w:rPr>
              <w:t>12°</w:t>
            </w:r>
          </w:p>
        </w:tc>
        <w:tc>
          <w:tcPr>
            <w:tcW w:w="830" w:type="dxa"/>
            <w:shd w:val="clear" w:color="auto" w:fill="E7F3F4"/>
            <w:noWrap/>
            <w:vAlign w:val="bottom"/>
          </w:tcPr>
          <w:p w14:paraId="127089B6" w14:textId="77777777" w:rsidR="004920D8" w:rsidRPr="00551E89" w:rsidRDefault="004920D8" w:rsidP="00D64955">
            <w:pPr>
              <w:spacing w:before="0" w:after="0"/>
              <w:jc w:val="center"/>
              <w:rPr>
                <w:color w:val="000000"/>
                <w:sz w:val="14"/>
                <w:szCs w:val="14"/>
              </w:rPr>
            </w:pPr>
            <w:r w:rsidRPr="00551E89">
              <w:rPr>
                <w:color w:val="000000"/>
                <w:sz w:val="14"/>
                <w:szCs w:val="14"/>
              </w:rPr>
              <w:t>15.433</w:t>
            </w:r>
          </w:p>
        </w:tc>
        <w:tc>
          <w:tcPr>
            <w:tcW w:w="576" w:type="dxa"/>
            <w:shd w:val="clear" w:color="auto" w:fill="E7F3F4"/>
            <w:noWrap/>
            <w:vAlign w:val="bottom"/>
          </w:tcPr>
          <w:p w14:paraId="025FC976" w14:textId="77777777" w:rsidR="004920D8" w:rsidRPr="00880D29" w:rsidRDefault="004920D8" w:rsidP="00D64955">
            <w:pPr>
              <w:spacing w:before="0" w:after="0"/>
              <w:jc w:val="center"/>
              <w:rPr>
                <w:color w:val="000000"/>
                <w:sz w:val="14"/>
                <w:szCs w:val="14"/>
              </w:rPr>
            </w:pPr>
            <w:r w:rsidRPr="00880D29">
              <w:rPr>
                <w:color w:val="000000"/>
                <w:sz w:val="14"/>
                <w:szCs w:val="14"/>
              </w:rPr>
              <w:t>143°</w:t>
            </w:r>
          </w:p>
        </w:tc>
        <w:tc>
          <w:tcPr>
            <w:tcW w:w="830" w:type="dxa"/>
            <w:shd w:val="clear" w:color="auto" w:fill="E7F3F4"/>
            <w:noWrap/>
            <w:vAlign w:val="bottom"/>
          </w:tcPr>
          <w:p w14:paraId="2FC06C24" w14:textId="77777777" w:rsidR="004920D8" w:rsidRPr="00551E89" w:rsidRDefault="004920D8" w:rsidP="00D64955">
            <w:pPr>
              <w:spacing w:before="0" w:after="0"/>
              <w:jc w:val="center"/>
              <w:rPr>
                <w:color w:val="000000"/>
                <w:sz w:val="14"/>
                <w:szCs w:val="14"/>
              </w:rPr>
            </w:pPr>
            <w:r w:rsidRPr="00551E89">
              <w:rPr>
                <w:color w:val="000000"/>
                <w:sz w:val="14"/>
                <w:szCs w:val="14"/>
              </w:rPr>
              <w:t>14.186</w:t>
            </w:r>
          </w:p>
        </w:tc>
        <w:tc>
          <w:tcPr>
            <w:tcW w:w="481" w:type="dxa"/>
            <w:vMerge/>
            <w:shd w:val="clear" w:color="auto" w:fill="E7F3F4"/>
            <w:noWrap/>
            <w:vAlign w:val="center"/>
          </w:tcPr>
          <w:p w14:paraId="0401645F"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447438F9"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39BA8598"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43A3E997"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024529BD"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325EF002"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7F2A46FB"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13F1FC41"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456700D6"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1B97E690" w14:textId="77777777" w:rsidR="004920D8" w:rsidRPr="00F45F13" w:rsidRDefault="004920D8" w:rsidP="00D64955">
            <w:pPr>
              <w:spacing w:before="0" w:after="0"/>
              <w:jc w:val="center"/>
              <w:rPr>
                <w:color w:val="000000"/>
                <w:sz w:val="14"/>
                <w:szCs w:val="14"/>
              </w:rPr>
            </w:pPr>
          </w:p>
        </w:tc>
      </w:tr>
      <w:tr w:rsidR="004920D8" w:rsidRPr="00015190" w14:paraId="72D2459C" w14:textId="77777777" w:rsidTr="00D64955">
        <w:trPr>
          <w:trHeight w:val="170"/>
          <w:jc w:val="center"/>
        </w:trPr>
        <w:tc>
          <w:tcPr>
            <w:tcW w:w="836" w:type="dxa"/>
            <w:vMerge/>
            <w:shd w:val="clear" w:color="auto" w:fill="auto"/>
            <w:noWrap/>
            <w:vAlign w:val="center"/>
          </w:tcPr>
          <w:p w14:paraId="79C6CF2F"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5B073FEC" w14:textId="77777777" w:rsidR="004920D8" w:rsidRPr="00880D29" w:rsidRDefault="004920D8" w:rsidP="00D64955">
            <w:pPr>
              <w:jc w:val="center"/>
              <w:rPr>
                <w:color w:val="000000"/>
                <w:sz w:val="14"/>
                <w:szCs w:val="14"/>
              </w:rPr>
            </w:pPr>
          </w:p>
        </w:tc>
        <w:tc>
          <w:tcPr>
            <w:tcW w:w="1079" w:type="dxa"/>
            <w:vMerge w:val="restart"/>
            <w:shd w:val="clear" w:color="auto" w:fill="E7F3F4"/>
            <w:vAlign w:val="center"/>
          </w:tcPr>
          <w:p w14:paraId="402C38B2" w14:textId="77777777" w:rsidR="004920D8" w:rsidRPr="00880D29" w:rsidRDefault="004920D8" w:rsidP="00D64955">
            <w:pPr>
              <w:spacing w:before="0" w:after="0"/>
              <w:jc w:val="center"/>
              <w:rPr>
                <w:color w:val="000000"/>
                <w:sz w:val="14"/>
                <w:szCs w:val="14"/>
              </w:rPr>
            </w:pPr>
            <w:r w:rsidRPr="00880D29">
              <w:rPr>
                <w:color w:val="000000"/>
                <w:sz w:val="14"/>
                <w:szCs w:val="14"/>
              </w:rPr>
              <w:t>Normanby</w:t>
            </w:r>
            <w:r>
              <w:rPr>
                <w:color w:val="000000"/>
                <w:sz w:val="14"/>
                <w:szCs w:val="14"/>
              </w:rPr>
              <w:t xml:space="preserve"> / Jeannie</w:t>
            </w:r>
          </w:p>
        </w:tc>
        <w:tc>
          <w:tcPr>
            <w:tcW w:w="1576" w:type="dxa"/>
            <w:vMerge w:val="restart"/>
            <w:shd w:val="clear" w:color="auto" w:fill="E7F3F4"/>
            <w:noWrap/>
            <w:vAlign w:val="center"/>
          </w:tcPr>
          <w:p w14:paraId="7B87D715" w14:textId="77777777" w:rsidR="004920D8" w:rsidRPr="00880D29" w:rsidRDefault="004920D8" w:rsidP="00D64955">
            <w:pPr>
              <w:spacing w:before="0" w:after="0"/>
              <w:jc w:val="center"/>
              <w:rPr>
                <w:color w:val="000000"/>
                <w:sz w:val="14"/>
                <w:szCs w:val="14"/>
              </w:rPr>
            </w:pPr>
            <w:r>
              <w:rPr>
                <w:color w:val="000000"/>
                <w:sz w:val="14"/>
                <w:szCs w:val="14"/>
              </w:rPr>
              <w:t>Flinders Group</w:t>
            </w:r>
          </w:p>
          <w:p w14:paraId="25533957" w14:textId="77777777" w:rsidR="004920D8" w:rsidRPr="00880D29" w:rsidRDefault="004920D8" w:rsidP="00D64955">
            <w:pPr>
              <w:spacing w:before="0" w:after="0"/>
              <w:jc w:val="center"/>
              <w:rPr>
                <w:i/>
                <w:color w:val="000000"/>
                <w:sz w:val="14"/>
                <w:szCs w:val="14"/>
              </w:rPr>
            </w:pPr>
            <w:r w:rsidRPr="00880D29">
              <w:rPr>
                <w:i/>
                <w:color w:val="000000"/>
                <w:sz w:val="14"/>
                <w:szCs w:val="14"/>
              </w:rPr>
              <w:t>reef</w:t>
            </w:r>
          </w:p>
        </w:tc>
        <w:tc>
          <w:tcPr>
            <w:tcW w:w="674" w:type="dxa"/>
            <w:shd w:val="clear" w:color="auto" w:fill="E7F3F4"/>
            <w:noWrap/>
            <w:vAlign w:val="center"/>
          </w:tcPr>
          <w:p w14:paraId="04CB8A10" w14:textId="77777777" w:rsidR="004920D8" w:rsidRPr="00880D29" w:rsidRDefault="004920D8" w:rsidP="00D64955">
            <w:pPr>
              <w:spacing w:before="0" w:after="0"/>
              <w:jc w:val="center"/>
              <w:rPr>
                <w:color w:val="000000"/>
                <w:sz w:val="14"/>
                <w:szCs w:val="14"/>
              </w:rPr>
            </w:pPr>
            <w:r w:rsidRPr="00880D29">
              <w:rPr>
                <w:color w:val="000000"/>
                <w:sz w:val="14"/>
                <w:szCs w:val="14"/>
              </w:rPr>
              <w:t>ST1*</w:t>
            </w:r>
          </w:p>
        </w:tc>
        <w:tc>
          <w:tcPr>
            <w:tcW w:w="1579" w:type="dxa"/>
            <w:shd w:val="clear" w:color="auto" w:fill="E7F3F4"/>
            <w:noWrap/>
            <w:vAlign w:val="center"/>
          </w:tcPr>
          <w:p w14:paraId="0F7C37EB" w14:textId="77777777" w:rsidR="004920D8" w:rsidRPr="00880D29" w:rsidRDefault="004920D8" w:rsidP="00D64955">
            <w:pPr>
              <w:spacing w:before="0" w:after="0"/>
              <w:jc w:val="center"/>
              <w:rPr>
                <w:color w:val="000000"/>
                <w:sz w:val="14"/>
                <w:szCs w:val="14"/>
              </w:rPr>
            </w:pPr>
            <w:r w:rsidRPr="00880D29">
              <w:rPr>
                <w:color w:val="000000"/>
                <w:sz w:val="14"/>
                <w:szCs w:val="14"/>
              </w:rPr>
              <w:t>Stanley Island</w:t>
            </w:r>
          </w:p>
        </w:tc>
        <w:tc>
          <w:tcPr>
            <w:tcW w:w="486" w:type="dxa"/>
            <w:shd w:val="clear" w:color="auto" w:fill="E7F3F4"/>
            <w:noWrap/>
            <w:vAlign w:val="bottom"/>
          </w:tcPr>
          <w:p w14:paraId="2B79FD60" w14:textId="77777777" w:rsidR="004920D8" w:rsidRPr="00880D29" w:rsidRDefault="004920D8" w:rsidP="00D64955">
            <w:pPr>
              <w:spacing w:before="0" w:after="0"/>
              <w:jc w:val="center"/>
              <w:rPr>
                <w:color w:val="000000"/>
                <w:sz w:val="14"/>
                <w:szCs w:val="14"/>
              </w:rPr>
            </w:pPr>
            <w:r w:rsidRPr="00880D29">
              <w:rPr>
                <w:color w:val="000000"/>
                <w:sz w:val="14"/>
                <w:szCs w:val="14"/>
              </w:rPr>
              <w:t>14°</w:t>
            </w:r>
          </w:p>
        </w:tc>
        <w:tc>
          <w:tcPr>
            <w:tcW w:w="830" w:type="dxa"/>
            <w:shd w:val="clear" w:color="auto" w:fill="E7F3F4"/>
            <w:noWrap/>
            <w:vAlign w:val="bottom"/>
          </w:tcPr>
          <w:p w14:paraId="01FA1EE6" w14:textId="77777777" w:rsidR="004920D8" w:rsidRPr="00E376BE" w:rsidRDefault="004920D8" w:rsidP="00D64955">
            <w:pPr>
              <w:spacing w:before="0" w:after="0"/>
              <w:jc w:val="center"/>
              <w:rPr>
                <w:color w:val="000000"/>
                <w:sz w:val="14"/>
                <w:szCs w:val="14"/>
              </w:rPr>
            </w:pPr>
            <w:r w:rsidRPr="00E376BE">
              <w:rPr>
                <w:color w:val="000000"/>
                <w:sz w:val="14"/>
                <w:szCs w:val="14"/>
              </w:rPr>
              <w:t>8.563</w:t>
            </w:r>
          </w:p>
        </w:tc>
        <w:tc>
          <w:tcPr>
            <w:tcW w:w="576" w:type="dxa"/>
            <w:shd w:val="clear" w:color="auto" w:fill="E7F3F4"/>
            <w:noWrap/>
            <w:vAlign w:val="bottom"/>
          </w:tcPr>
          <w:p w14:paraId="73801AEB" w14:textId="77777777" w:rsidR="004920D8" w:rsidRPr="00880D29" w:rsidRDefault="004920D8" w:rsidP="00D64955">
            <w:pPr>
              <w:spacing w:before="0" w:after="0"/>
              <w:jc w:val="center"/>
              <w:rPr>
                <w:color w:val="000000"/>
                <w:sz w:val="14"/>
                <w:szCs w:val="14"/>
              </w:rPr>
            </w:pPr>
            <w:r w:rsidRPr="00880D29">
              <w:rPr>
                <w:color w:val="000000"/>
                <w:sz w:val="14"/>
                <w:szCs w:val="14"/>
              </w:rPr>
              <w:t>144°</w:t>
            </w:r>
          </w:p>
        </w:tc>
        <w:tc>
          <w:tcPr>
            <w:tcW w:w="830" w:type="dxa"/>
            <w:shd w:val="clear" w:color="auto" w:fill="E7F3F4"/>
            <w:noWrap/>
            <w:vAlign w:val="bottom"/>
          </w:tcPr>
          <w:p w14:paraId="1495A083" w14:textId="77777777" w:rsidR="004920D8" w:rsidRPr="00E376BE" w:rsidRDefault="004920D8" w:rsidP="00D64955">
            <w:pPr>
              <w:spacing w:before="0" w:after="0"/>
              <w:jc w:val="center"/>
              <w:rPr>
                <w:color w:val="000000"/>
                <w:sz w:val="14"/>
                <w:szCs w:val="14"/>
              </w:rPr>
            </w:pPr>
            <w:r w:rsidRPr="00E376BE">
              <w:rPr>
                <w:color w:val="000000"/>
                <w:sz w:val="14"/>
                <w:szCs w:val="14"/>
              </w:rPr>
              <w:t>14.682</w:t>
            </w:r>
          </w:p>
        </w:tc>
        <w:tc>
          <w:tcPr>
            <w:tcW w:w="481" w:type="dxa"/>
            <w:vMerge w:val="restart"/>
            <w:shd w:val="clear" w:color="auto" w:fill="E7F3F4"/>
            <w:noWrap/>
            <w:vAlign w:val="center"/>
          </w:tcPr>
          <w:p w14:paraId="4B3B84CD"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vMerge w:val="restart"/>
            <w:shd w:val="clear" w:color="auto" w:fill="E7F3F4"/>
            <w:vAlign w:val="center"/>
          </w:tcPr>
          <w:p w14:paraId="456283B0"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6F62E142"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16" w:type="dxa"/>
            <w:vMerge w:val="restart"/>
            <w:shd w:val="clear" w:color="auto" w:fill="E7F3F4"/>
            <w:vAlign w:val="center"/>
          </w:tcPr>
          <w:p w14:paraId="3F689783"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2A896438"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73D673D5"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0526BB21"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39E5812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0" w:type="dxa"/>
            <w:vMerge w:val="restart"/>
            <w:shd w:val="clear" w:color="auto" w:fill="E7F3F4"/>
            <w:vAlign w:val="center"/>
          </w:tcPr>
          <w:p w14:paraId="3497CC45"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E7F3F4"/>
            <w:vAlign w:val="center"/>
          </w:tcPr>
          <w:p w14:paraId="3E844184" w14:textId="77777777" w:rsidR="004920D8" w:rsidRPr="00F45F13" w:rsidRDefault="004920D8" w:rsidP="00D64955">
            <w:pPr>
              <w:spacing w:before="0" w:after="0"/>
              <w:jc w:val="center"/>
              <w:rPr>
                <w:color w:val="000000"/>
                <w:sz w:val="14"/>
                <w:szCs w:val="14"/>
              </w:rPr>
            </w:pPr>
          </w:p>
        </w:tc>
      </w:tr>
      <w:tr w:rsidR="004920D8" w:rsidRPr="00015190" w14:paraId="602F0E44" w14:textId="77777777" w:rsidTr="00D64955">
        <w:trPr>
          <w:trHeight w:val="170"/>
          <w:jc w:val="center"/>
        </w:trPr>
        <w:tc>
          <w:tcPr>
            <w:tcW w:w="836" w:type="dxa"/>
            <w:vMerge/>
            <w:shd w:val="clear" w:color="auto" w:fill="auto"/>
            <w:noWrap/>
            <w:vAlign w:val="center"/>
          </w:tcPr>
          <w:p w14:paraId="07C557A7"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38C05D63" w14:textId="77777777" w:rsidR="004920D8" w:rsidRPr="00880D29" w:rsidRDefault="004920D8" w:rsidP="00D64955">
            <w:pPr>
              <w:jc w:val="center"/>
              <w:rPr>
                <w:color w:val="000000"/>
                <w:sz w:val="14"/>
                <w:szCs w:val="14"/>
              </w:rPr>
            </w:pPr>
          </w:p>
        </w:tc>
        <w:tc>
          <w:tcPr>
            <w:tcW w:w="1079" w:type="dxa"/>
            <w:vMerge/>
            <w:shd w:val="clear" w:color="auto" w:fill="E7F3F4"/>
            <w:vAlign w:val="center"/>
          </w:tcPr>
          <w:p w14:paraId="46CB6FE3"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059037E7"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08BD43A1" w14:textId="77777777" w:rsidR="004920D8" w:rsidRPr="00880D29" w:rsidRDefault="004920D8" w:rsidP="00D64955">
            <w:pPr>
              <w:spacing w:before="0" w:after="0"/>
              <w:jc w:val="center"/>
              <w:rPr>
                <w:color w:val="000000"/>
                <w:sz w:val="14"/>
                <w:szCs w:val="14"/>
              </w:rPr>
            </w:pPr>
            <w:r w:rsidRPr="00880D29">
              <w:rPr>
                <w:color w:val="000000"/>
                <w:sz w:val="14"/>
                <w:szCs w:val="14"/>
              </w:rPr>
              <w:t>ST2*</w:t>
            </w:r>
          </w:p>
        </w:tc>
        <w:tc>
          <w:tcPr>
            <w:tcW w:w="1579" w:type="dxa"/>
            <w:shd w:val="clear" w:color="auto" w:fill="E7F3F4"/>
            <w:noWrap/>
            <w:vAlign w:val="center"/>
          </w:tcPr>
          <w:p w14:paraId="5FD83F7E" w14:textId="77777777" w:rsidR="004920D8" w:rsidRPr="00880D29" w:rsidRDefault="004920D8" w:rsidP="00D64955">
            <w:pPr>
              <w:spacing w:before="0" w:after="0"/>
              <w:jc w:val="center"/>
              <w:rPr>
                <w:color w:val="000000"/>
                <w:sz w:val="14"/>
                <w:szCs w:val="14"/>
              </w:rPr>
            </w:pPr>
            <w:r w:rsidRPr="00880D29">
              <w:rPr>
                <w:color w:val="000000"/>
                <w:sz w:val="14"/>
                <w:szCs w:val="14"/>
              </w:rPr>
              <w:t>Stanley Island</w:t>
            </w:r>
          </w:p>
        </w:tc>
        <w:tc>
          <w:tcPr>
            <w:tcW w:w="486" w:type="dxa"/>
            <w:shd w:val="clear" w:color="auto" w:fill="E7F3F4"/>
            <w:noWrap/>
            <w:vAlign w:val="bottom"/>
          </w:tcPr>
          <w:p w14:paraId="0608B3F9" w14:textId="77777777" w:rsidR="004920D8" w:rsidRPr="00880D29" w:rsidRDefault="004920D8" w:rsidP="00D64955">
            <w:pPr>
              <w:spacing w:before="0" w:after="0"/>
              <w:jc w:val="center"/>
              <w:rPr>
                <w:color w:val="000000"/>
                <w:sz w:val="14"/>
                <w:szCs w:val="14"/>
              </w:rPr>
            </w:pPr>
            <w:r w:rsidRPr="00880D29">
              <w:rPr>
                <w:color w:val="000000"/>
                <w:sz w:val="14"/>
                <w:szCs w:val="14"/>
              </w:rPr>
              <w:t>14°</w:t>
            </w:r>
          </w:p>
        </w:tc>
        <w:tc>
          <w:tcPr>
            <w:tcW w:w="830" w:type="dxa"/>
            <w:shd w:val="clear" w:color="auto" w:fill="E7F3F4"/>
            <w:noWrap/>
            <w:vAlign w:val="bottom"/>
          </w:tcPr>
          <w:p w14:paraId="16ECF9DA" w14:textId="77777777" w:rsidR="004920D8" w:rsidRPr="00E376BE" w:rsidRDefault="004920D8" w:rsidP="00D64955">
            <w:pPr>
              <w:spacing w:before="0" w:after="0"/>
              <w:jc w:val="center"/>
              <w:rPr>
                <w:color w:val="000000"/>
                <w:sz w:val="14"/>
                <w:szCs w:val="14"/>
              </w:rPr>
            </w:pPr>
            <w:r w:rsidRPr="00E376BE">
              <w:rPr>
                <w:color w:val="000000"/>
                <w:sz w:val="14"/>
                <w:szCs w:val="14"/>
              </w:rPr>
              <w:t>8.533</w:t>
            </w:r>
          </w:p>
        </w:tc>
        <w:tc>
          <w:tcPr>
            <w:tcW w:w="576" w:type="dxa"/>
            <w:shd w:val="clear" w:color="auto" w:fill="E7F3F4"/>
            <w:noWrap/>
            <w:vAlign w:val="bottom"/>
          </w:tcPr>
          <w:p w14:paraId="1C39E1FC" w14:textId="77777777" w:rsidR="004920D8" w:rsidRPr="00880D29" w:rsidRDefault="004920D8" w:rsidP="00D64955">
            <w:pPr>
              <w:spacing w:before="0" w:after="0"/>
              <w:jc w:val="center"/>
              <w:rPr>
                <w:color w:val="000000"/>
                <w:sz w:val="14"/>
                <w:szCs w:val="14"/>
              </w:rPr>
            </w:pPr>
            <w:r w:rsidRPr="00880D29">
              <w:rPr>
                <w:color w:val="000000"/>
                <w:sz w:val="14"/>
                <w:szCs w:val="14"/>
              </w:rPr>
              <w:t>144°</w:t>
            </w:r>
          </w:p>
        </w:tc>
        <w:tc>
          <w:tcPr>
            <w:tcW w:w="830" w:type="dxa"/>
            <w:shd w:val="clear" w:color="auto" w:fill="E7F3F4"/>
            <w:noWrap/>
            <w:vAlign w:val="bottom"/>
          </w:tcPr>
          <w:p w14:paraId="739F4674" w14:textId="77777777" w:rsidR="004920D8" w:rsidRPr="00E376BE" w:rsidRDefault="004920D8" w:rsidP="00D64955">
            <w:pPr>
              <w:spacing w:before="0" w:after="0"/>
              <w:jc w:val="center"/>
              <w:rPr>
                <w:color w:val="000000"/>
                <w:sz w:val="14"/>
                <w:szCs w:val="14"/>
              </w:rPr>
            </w:pPr>
            <w:r w:rsidRPr="00E376BE">
              <w:rPr>
                <w:color w:val="000000"/>
                <w:sz w:val="14"/>
                <w:szCs w:val="14"/>
              </w:rPr>
              <w:t>14.590</w:t>
            </w:r>
          </w:p>
        </w:tc>
        <w:tc>
          <w:tcPr>
            <w:tcW w:w="481" w:type="dxa"/>
            <w:vMerge/>
            <w:shd w:val="clear" w:color="auto" w:fill="E7F3F4"/>
            <w:noWrap/>
            <w:vAlign w:val="center"/>
          </w:tcPr>
          <w:p w14:paraId="405EBC0A"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0D6094B1"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4D350199"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058B2660"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464BD18B"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65B2A2D3"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111D76FC"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326A5E77"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35B6C88F"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4038DACF" w14:textId="77777777" w:rsidR="004920D8" w:rsidRPr="00F45F13" w:rsidRDefault="004920D8" w:rsidP="00D64955">
            <w:pPr>
              <w:spacing w:before="0" w:after="0"/>
              <w:jc w:val="center"/>
              <w:rPr>
                <w:color w:val="000000"/>
                <w:sz w:val="14"/>
                <w:szCs w:val="14"/>
              </w:rPr>
            </w:pPr>
          </w:p>
        </w:tc>
      </w:tr>
      <w:tr w:rsidR="004920D8" w:rsidRPr="00015190" w14:paraId="0F8772C8" w14:textId="77777777" w:rsidTr="00D64955">
        <w:trPr>
          <w:trHeight w:val="170"/>
          <w:jc w:val="center"/>
        </w:trPr>
        <w:tc>
          <w:tcPr>
            <w:tcW w:w="836" w:type="dxa"/>
            <w:vMerge/>
            <w:shd w:val="clear" w:color="auto" w:fill="auto"/>
            <w:noWrap/>
            <w:vAlign w:val="center"/>
          </w:tcPr>
          <w:p w14:paraId="08432318"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12A601C6" w14:textId="77777777" w:rsidR="004920D8" w:rsidRPr="00880D29" w:rsidRDefault="004920D8" w:rsidP="00D64955">
            <w:pPr>
              <w:jc w:val="center"/>
              <w:rPr>
                <w:color w:val="000000"/>
                <w:sz w:val="14"/>
                <w:szCs w:val="14"/>
              </w:rPr>
            </w:pPr>
          </w:p>
        </w:tc>
        <w:tc>
          <w:tcPr>
            <w:tcW w:w="1079" w:type="dxa"/>
            <w:vMerge/>
            <w:shd w:val="clear" w:color="auto" w:fill="E7F3F4"/>
            <w:vAlign w:val="center"/>
          </w:tcPr>
          <w:p w14:paraId="059EC94C"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E7F3F4"/>
            <w:noWrap/>
            <w:vAlign w:val="center"/>
          </w:tcPr>
          <w:p w14:paraId="379D1D36" w14:textId="77777777" w:rsidR="004920D8" w:rsidRPr="00880D29" w:rsidRDefault="004920D8" w:rsidP="00D64955">
            <w:pPr>
              <w:spacing w:before="0" w:after="0"/>
              <w:jc w:val="center"/>
              <w:rPr>
                <w:color w:val="000000"/>
                <w:sz w:val="14"/>
                <w:szCs w:val="14"/>
              </w:rPr>
            </w:pPr>
            <w:r w:rsidRPr="00880D29">
              <w:rPr>
                <w:color w:val="000000"/>
                <w:sz w:val="14"/>
                <w:szCs w:val="14"/>
              </w:rPr>
              <w:t>Bathurst Bay</w:t>
            </w:r>
          </w:p>
          <w:p w14:paraId="217667BA" w14:textId="77777777" w:rsidR="004920D8" w:rsidRPr="00880D29" w:rsidRDefault="004920D8" w:rsidP="00D64955">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14:paraId="56760C82" w14:textId="77777777" w:rsidR="004920D8" w:rsidRPr="00880D29" w:rsidRDefault="004920D8" w:rsidP="00D64955">
            <w:pPr>
              <w:spacing w:before="0" w:after="0"/>
              <w:jc w:val="center"/>
              <w:rPr>
                <w:color w:val="000000"/>
                <w:sz w:val="14"/>
                <w:szCs w:val="14"/>
              </w:rPr>
            </w:pPr>
            <w:r w:rsidRPr="00880D29">
              <w:rPr>
                <w:color w:val="000000"/>
                <w:sz w:val="14"/>
                <w:szCs w:val="14"/>
              </w:rPr>
              <w:t>BY1*</w:t>
            </w:r>
          </w:p>
        </w:tc>
        <w:tc>
          <w:tcPr>
            <w:tcW w:w="1579" w:type="dxa"/>
            <w:shd w:val="clear" w:color="auto" w:fill="E7F3F4"/>
            <w:noWrap/>
            <w:vAlign w:val="center"/>
          </w:tcPr>
          <w:p w14:paraId="09CAAB13" w14:textId="77777777" w:rsidR="004920D8" w:rsidRPr="00880D29" w:rsidRDefault="004920D8" w:rsidP="00D64955">
            <w:pPr>
              <w:spacing w:before="0" w:after="0"/>
              <w:jc w:val="center"/>
              <w:rPr>
                <w:color w:val="000000"/>
                <w:sz w:val="14"/>
                <w:szCs w:val="14"/>
              </w:rPr>
            </w:pPr>
            <w:r w:rsidRPr="00880D29">
              <w:rPr>
                <w:color w:val="000000"/>
                <w:sz w:val="14"/>
                <w:szCs w:val="14"/>
              </w:rPr>
              <w:t>Bathurst Bay</w:t>
            </w:r>
          </w:p>
        </w:tc>
        <w:tc>
          <w:tcPr>
            <w:tcW w:w="486" w:type="dxa"/>
            <w:shd w:val="clear" w:color="auto" w:fill="E7F3F4"/>
            <w:noWrap/>
            <w:vAlign w:val="bottom"/>
          </w:tcPr>
          <w:p w14:paraId="3F11B532" w14:textId="77777777" w:rsidR="004920D8" w:rsidRPr="00880D29" w:rsidRDefault="004920D8" w:rsidP="00D64955">
            <w:pPr>
              <w:spacing w:before="0" w:after="0"/>
              <w:jc w:val="center"/>
              <w:rPr>
                <w:color w:val="000000"/>
                <w:sz w:val="14"/>
                <w:szCs w:val="14"/>
              </w:rPr>
            </w:pPr>
            <w:r w:rsidRPr="00880D29">
              <w:rPr>
                <w:color w:val="000000"/>
                <w:sz w:val="14"/>
                <w:szCs w:val="14"/>
              </w:rPr>
              <w:t>14°</w:t>
            </w:r>
          </w:p>
        </w:tc>
        <w:tc>
          <w:tcPr>
            <w:tcW w:w="830" w:type="dxa"/>
            <w:shd w:val="clear" w:color="auto" w:fill="E7F3F4"/>
            <w:noWrap/>
            <w:vAlign w:val="bottom"/>
          </w:tcPr>
          <w:p w14:paraId="256108F8" w14:textId="77777777" w:rsidR="004920D8" w:rsidRPr="00E376BE" w:rsidRDefault="004920D8" w:rsidP="00D64955">
            <w:pPr>
              <w:spacing w:before="0" w:after="0"/>
              <w:jc w:val="center"/>
              <w:rPr>
                <w:color w:val="000000"/>
                <w:sz w:val="14"/>
                <w:szCs w:val="14"/>
              </w:rPr>
            </w:pPr>
            <w:r w:rsidRPr="00E376BE">
              <w:rPr>
                <w:color w:val="000000"/>
                <w:sz w:val="14"/>
                <w:szCs w:val="14"/>
              </w:rPr>
              <w:t>16.068</w:t>
            </w:r>
          </w:p>
        </w:tc>
        <w:tc>
          <w:tcPr>
            <w:tcW w:w="576" w:type="dxa"/>
            <w:shd w:val="clear" w:color="auto" w:fill="E7F3F4"/>
            <w:noWrap/>
            <w:vAlign w:val="bottom"/>
          </w:tcPr>
          <w:p w14:paraId="16A1E8B7" w14:textId="77777777" w:rsidR="004920D8" w:rsidRPr="00880D29" w:rsidRDefault="004920D8" w:rsidP="00D64955">
            <w:pPr>
              <w:spacing w:before="0" w:after="0"/>
              <w:jc w:val="center"/>
              <w:rPr>
                <w:color w:val="000000"/>
                <w:sz w:val="14"/>
                <w:szCs w:val="14"/>
              </w:rPr>
            </w:pPr>
            <w:r w:rsidRPr="00880D29">
              <w:rPr>
                <w:color w:val="000000"/>
                <w:sz w:val="14"/>
                <w:szCs w:val="14"/>
              </w:rPr>
              <w:t>144°</w:t>
            </w:r>
          </w:p>
        </w:tc>
        <w:tc>
          <w:tcPr>
            <w:tcW w:w="830" w:type="dxa"/>
            <w:shd w:val="clear" w:color="auto" w:fill="E7F3F4"/>
            <w:noWrap/>
            <w:vAlign w:val="bottom"/>
          </w:tcPr>
          <w:p w14:paraId="5C69670E" w14:textId="77777777" w:rsidR="004920D8" w:rsidRPr="00E376BE" w:rsidRDefault="004920D8" w:rsidP="00D64955">
            <w:pPr>
              <w:spacing w:before="0" w:after="0"/>
              <w:jc w:val="center"/>
              <w:rPr>
                <w:color w:val="000000"/>
                <w:sz w:val="14"/>
                <w:szCs w:val="14"/>
              </w:rPr>
            </w:pPr>
            <w:r w:rsidRPr="00E376BE">
              <w:rPr>
                <w:color w:val="000000"/>
                <w:sz w:val="14"/>
                <w:szCs w:val="14"/>
              </w:rPr>
              <w:t>13.963</w:t>
            </w:r>
          </w:p>
        </w:tc>
        <w:tc>
          <w:tcPr>
            <w:tcW w:w="481" w:type="dxa"/>
            <w:vMerge w:val="restart"/>
            <w:shd w:val="clear" w:color="auto" w:fill="E7F3F4"/>
            <w:noWrap/>
            <w:vAlign w:val="center"/>
          </w:tcPr>
          <w:p w14:paraId="52A3753A"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vMerge w:val="restart"/>
            <w:shd w:val="clear" w:color="auto" w:fill="E7F3F4"/>
            <w:vAlign w:val="center"/>
          </w:tcPr>
          <w:p w14:paraId="63D5168C"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00CEE8F5"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1CCBA84B"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4C03FBF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4FE548D2"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2A27709D"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46180616"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0" w:type="dxa"/>
            <w:vMerge w:val="restart"/>
            <w:shd w:val="clear" w:color="auto" w:fill="E7F3F4"/>
            <w:vAlign w:val="center"/>
          </w:tcPr>
          <w:p w14:paraId="22AE45A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E7F3F4"/>
            <w:vAlign w:val="center"/>
          </w:tcPr>
          <w:p w14:paraId="12B39C7F" w14:textId="77777777" w:rsidR="004920D8" w:rsidRPr="00F45F13" w:rsidRDefault="004920D8" w:rsidP="00D64955">
            <w:pPr>
              <w:spacing w:before="0" w:after="0"/>
              <w:jc w:val="center"/>
              <w:rPr>
                <w:color w:val="000000"/>
                <w:sz w:val="14"/>
                <w:szCs w:val="14"/>
              </w:rPr>
            </w:pPr>
          </w:p>
        </w:tc>
      </w:tr>
      <w:tr w:rsidR="004920D8" w:rsidRPr="00015190" w14:paraId="56378FAE" w14:textId="77777777" w:rsidTr="00D64955">
        <w:trPr>
          <w:trHeight w:val="170"/>
          <w:jc w:val="center"/>
        </w:trPr>
        <w:tc>
          <w:tcPr>
            <w:tcW w:w="836" w:type="dxa"/>
            <w:vMerge/>
            <w:shd w:val="clear" w:color="auto" w:fill="auto"/>
            <w:noWrap/>
            <w:vAlign w:val="center"/>
          </w:tcPr>
          <w:p w14:paraId="5A4B1070" w14:textId="77777777" w:rsidR="004920D8" w:rsidRPr="00880D29" w:rsidRDefault="004920D8" w:rsidP="00D64955">
            <w:pPr>
              <w:jc w:val="center"/>
              <w:rPr>
                <w:color w:val="000000"/>
                <w:sz w:val="14"/>
                <w:szCs w:val="14"/>
              </w:rPr>
            </w:pPr>
          </w:p>
        </w:tc>
        <w:tc>
          <w:tcPr>
            <w:tcW w:w="1287" w:type="dxa"/>
            <w:vMerge/>
            <w:shd w:val="clear" w:color="auto" w:fill="E7F3F4"/>
            <w:noWrap/>
            <w:vAlign w:val="center"/>
          </w:tcPr>
          <w:p w14:paraId="0CC271DB" w14:textId="77777777" w:rsidR="004920D8" w:rsidRPr="00880D29" w:rsidRDefault="004920D8" w:rsidP="00D64955">
            <w:pPr>
              <w:jc w:val="center"/>
              <w:rPr>
                <w:color w:val="000000"/>
                <w:sz w:val="14"/>
                <w:szCs w:val="14"/>
              </w:rPr>
            </w:pPr>
          </w:p>
        </w:tc>
        <w:tc>
          <w:tcPr>
            <w:tcW w:w="1079" w:type="dxa"/>
            <w:vMerge/>
            <w:shd w:val="clear" w:color="auto" w:fill="E7F3F4"/>
            <w:vAlign w:val="center"/>
          </w:tcPr>
          <w:p w14:paraId="1A9697E2"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1E4D6ADB"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1B091E6A" w14:textId="77777777" w:rsidR="004920D8" w:rsidRPr="00880D29" w:rsidRDefault="004920D8" w:rsidP="00D64955">
            <w:pPr>
              <w:spacing w:before="0" w:after="0"/>
              <w:jc w:val="center"/>
              <w:rPr>
                <w:color w:val="000000"/>
                <w:sz w:val="14"/>
                <w:szCs w:val="14"/>
              </w:rPr>
            </w:pPr>
            <w:r w:rsidRPr="00880D29">
              <w:rPr>
                <w:color w:val="000000"/>
                <w:sz w:val="14"/>
                <w:szCs w:val="14"/>
              </w:rPr>
              <w:t>BY2*</w:t>
            </w:r>
          </w:p>
        </w:tc>
        <w:tc>
          <w:tcPr>
            <w:tcW w:w="1579" w:type="dxa"/>
            <w:shd w:val="clear" w:color="auto" w:fill="E7F3F4"/>
            <w:noWrap/>
            <w:vAlign w:val="center"/>
          </w:tcPr>
          <w:p w14:paraId="47E08D97" w14:textId="77777777" w:rsidR="004920D8" w:rsidRPr="00880D29" w:rsidRDefault="004920D8" w:rsidP="00D64955">
            <w:pPr>
              <w:spacing w:before="0" w:after="0"/>
              <w:jc w:val="center"/>
              <w:rPr>
                <w:color w:val="000000"/>
                <w:sz w:val="14"/>
                <w:szCs w:val="14"/>
              </w:rPr>
            </w:pPr>
            <w:r w:rsidRPr="00880D29">
              <w:rPr>
                <w:color w:val="000000"/>
                <w:sz w:val="14"/>
                <w:szCs w:val="14"/>
              </w:rPr>
              <w:t>Bathurst Bay</w:t>
            </w:r>
          </w:p>
        </w:tc>
        <w:tc>
          <w:tcPr>
            <w:tcW w:w="486" w:type="dxa"/>
            <w:shd w:val="clear" w:color="auto" w:fill="E7F3F4"/>
            <w:noWrap/>
            <w:vAlign w:val="bottom"/>
          </w:tcPr>
          <w:p w14:paraId="0CA4C5D5" w14:textId="77777777" w:rsidR="004920D8" w:rsidRPr="00880D29" w:rsidRDefault="004920D8" w:rsidP="00D64955">
            <w:pPr>
              <w:spacing w:before="0" w:after="0"/>
              <w:jc w:val="center"/>
              <w:rPr>
                <w:color w:val="000000"/>
                <w:sz w:val="14"/>
                <w:szCs w:val="14"/>
              </w:rPr>
            </w:pPr>
            <w:r w:rsidRPr="00880D29">
              <w:rPr>
                <w:color w:val="000000"/>
                <w:sz w:val="14"/>
                <w:szCs w:val="14"/>
              </w:rPr>
              <w:t>14°</w:t>
            </w:r>
          </w:p>
        </w:tc>
        <w:tc>
          <w:tcPr>
            <w:tcW w:w="830" w:type="dxa"/>
            <w:shd w:val="clear" w:color="auto" w:fill="E7F3F4"/>
            <w:noWrap/>
            <w:vAlign w:val="bottom"/>
          </w:tcPr>
          <w:p w14:paraId="2846260A" w14:textId="77777777" w:rsidR="004920D8" w:rsidRPr="00E376BE" w:rsidRDefault="004920D8" w:rsidP="00D64955">
            <w:pPr>
              <w:spacing w:before="0" w:after="0"/>
              <w:jc w:val="center"/>
              <w:rPr>
                <w:color w:val="000000"/>
                <w:sz w:val="14"/>
                <w:szCs w:val="14"/>
              </w:rPr>
            </w:pPr>
            <w:r w:rsidRPr="00E376BE">
              <w:rPr>
                <w:color w:val="000000"/>
                <w:sz w:val="14"/>
                <w:szCs w:val="14"/>
              </w:rPr>
              <w:t>16.049</w:t>
            </w:r>
          </w:p>
        </w:tc>
        <w:tc>
          <w:tcPr>
            <w:tcW w:w="576" w:type="dxa"/>
            <w:shd w:val="clear" w:color="auto" w:fill="E7F3F4"/>
            <w:noWrap/>
            <w:vAlign w:val="bottom"/>
          </w:tcPr>
          <w:p w14:paraId="262E272D" w14:textId="77777777" w:rsidR="004920D8" w:rsidRPr="00880D29" w:rsidRDefault="004920D8" w:rsidP="00D64955">
            <w:pPr>
              <w:spacing w:before="0" w:after="0"/>
              <w:jc w:val="center"/>
              <w:rPr>
                <w:color w:val="000000"/>
                <w:sz w:val="14"/>
                <w:szCs w:val="14"/>
              </w:rPr>
            </w:pPr>
            <w:r w:rsidRPr="00880D29">
              <w:rPr>
                <w:color w:val="000000"/>
                <w:sz w:val="14"/>
                <w:szCs w:val="14"/>
              </w:rPr>
              <w:t>144°</w:t>
            </w:r>
          </w:p>
        </w:tc>
        <w:tc>
          <w:tcPr>
            <w:tcW w:w="830" w:type="dxa"/>
            <w:shd w:val="clear" w:color="auto" w:fill="E7F3F4"/>
            <w:noWrap/>
            <w:vAlign w:val="bottom"/>
          </w:tcPr>
          <w:p w14:paraId="53A19F25" w14:textId="77777777" w:rsidR="004920D8" w:rsidRPr="00E376BE" w:rsidRDefault="004920D8" w:rsidP="00D64955">
            <w:pPr>
              <w:spacing w:before="0" w:after="0"/>
              <w:jc w:val="center"/>
              <w:rPr>
                <w:color w:val="000000"/>
                <w:sz w:val="14"/>
                <w:szCs w:val="14"/>
              </w:rPr>
            </w:pPr>
            <w:r w:rsidRPr="00E376BE">
              <w:rPr>
                <w:color w:val="000000"/>
                <w:sz w:val="14"/>
                <w:szCs w:val="14"/>
              </w:rPr>
              <w:t>13.897</w:t>
            </w:r>
          </w:p>
        </w:tc>
        <w:tc>
          <w:tcPr>
            <w:tcW w:w="481" w:type="dxa"/>
            <w:vMerge/>
            <w:shd w:val="clear" w:color="auto" w:fill="E7F3F4"/>
            <w:noWrap/>
            <w:vAlign w:val="center"/>
          </w:tcPr>
          <w:p w14:paraId="7A633850"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4B744827"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4700DA02"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06B85067"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67F13271"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2B290DA4"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60FD1854"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689B40DB"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2713F271"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4348AD92" w14:textId="77777777" w:rsidR="004920D8" w:rsidRPr="00F45F13" w:rsidRDefault="004920D8" w:rsidP="00D64955">
            <w:pPr>
              <w:spacing w:before="0" w:after="0"/>
              <w:jc w:val="center"/>
              <w:rPr>
                <w:color w:val="000000"/>
                <w:sz w:val="14"/>
                <w:szCs w:val="14"/>
              </w:rPr>
            </w:pPr>
          </w:p>
        </w:tc>
      </w:tr>
      <w:tr w:rsidR="004920D8" w:rsidRPr="00015190" w14:paraId="2ECEAE1C" w14:textId="77777777" w:rsidTr="00D64955">
        <w:trPr>
          <w:trHeight w:val="170"/>
          <w:jc w:val="center"/>
        </w:trPr>
        <w:tc>
          <w:tcPr>
            <w:tcW w:w="836" w:type="dxa"/>
            <w:vMerge/>
            <w:shd w:val="clear" w:color="auto" w:fill="auto"/>
            <w:noWrap/>
            <w:vAlign w:val="center"/>
          </w:tcPr>
          <w:p w14:paraId="2C8FF7A7"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2A1C9BA9" w14:textId="77777777" w:rsidR="004920D8" w:rsidRPr="00880D29" w:rsidRDefault="004920D8" w:rsidP="00D64955">
            <w:pPr>
              <w:spacing w:before="0" w:after="0"/>
              <w:jc w:val="center"/>
              <w:rPr>
                <w:color w:val="000000"/>
                <w:sz w:val="14"/>
                <w:szCs w:val="14"/>
              </w:rPr>
            </w:pPr>
          </w:p>
        </w:tc>
        <w:tc>
          <w:tcPr>
            <w:tcW w:w="1079" w:type="dxa"/>
            <w:vMerge w:val="restart"/>
            <w:shd w:val="clear" w:color="auto" w:fill="E7F3F4"/>
            <w:vAlign w:val="center"/>
          </w:tcPr>
          <w:p w14:paraId="268C5BA4" w14:textId="77777777" w:rsidR="004920D8" w:rsidRPr="00880D29" w:rsidRDefault="004920D8" w:rsidP="00D64955">
            <w:pPr>
              <w:spacing w:before="0" w:after="0"/>
              <w:jc w:val="center"/>
              <w:rPr>
                <w:color w:val="000000"/>
                <w:sz w:val="14"/>
                <w:szCs w:val="14"/>
              </w:rPr>
            </w:pPr>
            <w:r>
              <w:rPr>
                <w:color w:val="000000"/>
                <w:sz w:val="14"/>
                <w:szCs w:val="14"/>
              </w:rPr>
              <w:t>Endeavour</w:t>
            </w:r>
          </w:p>
        </w:tc>
        <w:tc>
          <w:tcPr>
            <w:tcW w:w="1576" w:type="dxa"/>
            <w:vMerge w:val="restart"/>
            <w:shd w:val="clear" w:color="auto" w:fill="E7F3F4"/>
            <w:noWrap/>
            <w:vAlign w:val="center"/>
          </w:tcPr>
          <w:p w14:paraId="71A473B9" w14:textId="77777777" w:rsidR="004920D8" w:rsidRPr="00880D29" w:rsidRDefault="004920D8" w:rsidP="00D64955">
            <w:pPr>
              <w:spacing w:before="0" w:after="0"/>
              <w:jc w:val="center"/>
              <w:rPr>
                <w:color w:val="000000"/>
                <w:sz w:val="14"/>
                <w:szCs w:val="14"/>
              </w:rPr>
            </w:pPr>
            <w:r>
              <w:rPr>
                <w:color w:val="000000"/>
                <w:sz w:val="14"/>
                <w:szCs w:val="14"/>
              </w:rPr>
              <w:t>Archer Point</w:t>
            </w:r>
          </w:p>
          <w:p w14:paraId="4CF8758B" w14:textId="77777777" w:rsidR="004920D8" w:rsidRPr="00880D29" w:rsidRDefault="004920D8" w:rsidP="00D64955">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14:paraId="72C240B7" w14:textId="77777777" w:rsidR="004920D8" w:rsidRPr="00880D29" w:rsidRDefault="004920D8" w:rsidP="00D64955">
            <w:pPr>
              <w:spacing w:before="0" w:after="0"/>
              <w:jc w:val="center"/>
              <w:rPr>
                <w:color w:val="000000"/>
                <w:sz w:val="14"/>
                <w:szCs w:val="14"/>
              </w:rPr>
            </w:pPr>
            <w:r w:rsidRPr="00880D29">
              <w:rPr>
                <w:color w:val="000000"/>
                <w:sz w:val="14"/>
                <w:szCs w:val="14"/>
              </w:rPr>
              <w:t>AP1*</w:t>
            </w:r>
          </w:p>
        </w:tc>
        <w:tc>
          <w:tcPr>
            <w:tcW w:w="1579" w:type="dxa"/>
            <w:shd w:val="clear" w:color="auto" w:fill="E7F3F4"/>
            <w:noWrap/>
            <w:vAlign w:val="center"/>
          </w:tcPr>
          <w:p w14:paraId="2139A9EA" w14:textId="77777777" w:rsidR="004920D8" w:rsidRPr="00880D29" w:rsidRDefault="004920D8" w:rsidP="00D64955">
            <w:pPr>
              <w:spacing w:before="0" w:after="0"/>
              <w:jc w:val="center"/>
              <w:rPr>
                <w:color w:val="000000"/>
                <w:sz w:val="14"/>
                <w:szCs w:val="14"/>
              </w:rPr>
            </w:pPr>
            <w:r w:rsidRPr="00880D29">
              <w:rPr>
                <w:color w:val="000000"/>
                <w:sz w:val="14"/>
                <w:szCs w:val="14"/>
              </w:rPr>
              <w:t>Archer Point</w:t>
            </w:r>
          </w:p>
        </w:tc>
        <w:tc>
          <w:tcPr>
            <w:tcW w:w="486" w:type="dxa"/>
            <w:shd w:val="clear" w:color="auto" w:fill="E7F3F4"/>
            <w:noWrap/>
            <w:vAlign w:val="center"/>
          </w:tcPr>
          <w:p w14:paraId="3C382C2E" w14:textId="77777777" w:rsidR="004920D8" w:rsidRPr="00880D29" w:rsidRDefault="004920D8" w:rsidP="00D64955">
            <w:pPr>
              <w:spacing w:before="0" w:after="0"/>
              <w:jc w:val="center"/>
              <w:rPr>
                <w:color w:val="000000"/>
                <w:sz w:val="14"/>
                <w:szCs w:val="14"/>
              </w:rPr>
            </w:pPr>
            <w:r w:rsidRPr="00880D29">
              <w:rPr>
                <w:color w:val="000000"/>
                <w:sz w:val="14"/>
                <w:szCs w:val="14"/>
              </w:rPr>
              <w:t>15°</w:t>
            </w:r>
          </w:p>
        </w:tc>
        <w:tc>
          <w:tcPr>
            <w:tcW w:w="830" w:type="dxa"/>
            <w:shd w:val="clear" w:color="auto" w:fill="E7F3F4"/>
            <w:noWrap/>
            <w:vAlign w:val="bottom"/>
          </w:tcPr>
          <w:p w14:paraId="5203C710" w14:textId="77777777" w:rsidR="004920D8" w:rsidRPr="00E376BE" w:rsidRDefault="004920D8" w:rsidP="00D64955">
            <w:pPr>
              <w:spacing w:before="0" w:after="0"/>
              <w:jc w:val="center"/>
              <w:rPr>
                <w:color w:val="000000"/>
                <w:sz w:val="14"/>
                <w:szCs w:val="14"/>
              </w:rPr>
            </w:pPr>
            <w:r w:rsidRPr="00E376BE">
              <w:rPr>
                <w:color w:val="000000"/>
                <w:sz w:val="14"/>
                <w:szCs w:val="14"/>
              </w:rPr>
              <w:t>36.508</w:t>
            </w:r>
          </w:p>
        </w:tc>
        <w:tc>
          <w:tcPr>
            <w:tcW w:w="576" w:type="dxa"/>
            <w:shd w:val="clear" w:color="auto" w:fill="E7F3F4"/>
            <w:noWrap/>
            <w:vAlign w:val="center"/>
          </w:tcPr>
          <w:p w14:paraId="75F88F4B"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E7F3F4"/>
            <w:noWrap/>
            <w:vAlign w:val="bottom"/>
          </w:tcPr>
          <w:p w14:paraId="5B9E3252" w14:textId="77777777" w:rsidR="004920D8" w:rsidRPr="00E376BE" w:rsidRDefault="004920D8" w:rsidP="00D64955">
            <w:pPr>
              <w:spacing w:before="0" w:after="0"/>
              <w:jc w:val="center"/>
              <w:rPr>
                <w:color w:val="000000"/>
                <w:sz w:val="14"/>
                <w:szCs w:val="14"/>
              </w:rPr>
            </w:pPr>
            <w:r w:rsidRPr="00E376BE">
              <w:rPr>
                <w:color w:val="000000"/>
                <w:sz w:val="14"/>
                <w:szCs w:val="14"/>
              </w:rPr>
              <w:t>19.147</w:t>
            </w:r>
          </w:p>
        </w:tc>
        <w:tc>
          <w:tcPr>
            <w:tcW w:w="481" w:type="dxa"/>
            <w:vMerge w:val="restart"/>
            <w:shd w:val="clear" w:color="auto" w:fill="E7F3F4"/>
            <w:noWrap/>
            <w:vAlign w:val="center"/>
          </w:tcPr>
          <w:p w14:paraId="5EFD5A3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vMerge w:val="restart"/>
            <w:shd w:val="clear" w:color="auto" w:fill="E7F3F4"/>
            <w:vAlign w:val="center"/>
          </w:tcPr>
          <w:p w14:paraId="387AD56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8" w:type="dxa"/>
            <w:vMerge w:val="restart"/>
            <w:shd w:val="clear" w:color="auto" w:fill="E7F3F4"/>
            <w:vAlign w:val="center"/>
          </w:tcPr>
          <w:p w14:paraId="5B5ADAEA"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6" w:type="dxa"/>
            <w:vMerge w:val="restart"/>
            <w:shd w:val="clear" w:color="auto" w:fill="E7F3F4"/>
            <w:vAlign w:val="center"/>
          </w:tcPr>
          <w:p w14:paraId="478D29CF"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0D89CC2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7A68F756"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27E586EB"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2B75B5C5"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5DCB1C95"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E7F3F4"/>
            <w:vAlign w:val="center"/>
          </w:tcPr>
          <w:p w14:paraId="54146E0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4920D8" w:rsidRPr="00015190" w14:paraId="419F1FEB" w14:textId="77777777" w:rsidTr="00D64955">
        <w:trPr>
          <w:trHeight w:val="170"/>
          <w:jc w:val="center"/>
        </w:trPr>
        <w:tc>
          <w:tcPr>
            <w:tcW w:w="836" w:type="dxa"/>
            <w:vMerge/>
            <w:shd w:val="clear" w:color="auto" w:fill="auto"/>
            <w:noWrap/>
            <w:vAlign w:val="center"/>
          </w:tcPr>
          <w:p w14:paraId="49FA234A"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1C28B3CA"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6086010E"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0FE36A87"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227A7ADC" w14:textId="77777777" w:rsidR="004920D8" w:rsidRPr="00880D29" w:rsidRDefault="004920D8" w:rsidP="00D64955">
            <w:pPr>
              <w:spacing w:before="0" w:after="0"/>
              <w:jc w:val="center"/>
              <w:rPr>
                <w:color w:val="000000"/>
                <w:sz w:val="14"/>
                <w:szCs w:val="14"/>
              </w:rPr>
            </w:pPr>
            <w:r w:rsidRPr="00880D29">
              <w:rPr>
                <w:color w:val="000000"/>
                <w:sz w:val="14"/>
                <w:szCs w:val="14"/>
              </w:rPr>
              <w:t>AP2*</w:t>
            </w:r>
          </w:p>
        </w:tc>
        <w:tc>
          <w:tcPr>
            <w:tcW w:w="1579" w:type="dxa"/>
            <w:shd w:val="clear" w:color="auto" w:fill="E7F3F4"/>
            <w:noWrap/>
            <w:vAlign w:val="center"/>
          </w:tcPr>
          <w:p w14:paraId="4FC81E24" w14:textId="77777777" w:rsidR="004920D8" w:rsidRPr="00880D29" w:rsidRDefault="004920D8" w:rsidP="00D64955">
            <w:pPr>
              <w:spacing w:before="0" w:after="0"/>
              <w:jc w:val="center"/>
              <w:rPr>
                <w:color w:val="000000"/>
                <w:sz w:val="14"/>
                <w:szCs w:val="14"/>
              </w:rPr>
            </w:pPr>
            <w:r w:rsidRPr="00880D29">
              <w:rPr>
                <w:color w:val="000000"/>
                <w:sz w:val="14"/>
                <w:szCs w:val="14"/>
              </w:rPr>
              <w:t>Archer Point</w:t>
            </w:r>
          </w:p>
        </w:tc>
        <w:tc>
          <w:tcPr>
            <w:tcW w:w="486" w:type="dxa"/>
            <w:shd w:val="clear" w:color="auto" w:fill="E7F3F4"/>
            <w:vAlign w:val="center"/>
          </w:tcPr>
          <w:p w14:paraId="4B392B36" w14:textId="77777777" w:rsidR="004920D8" w:rsidRPr="00880D29" w:rsidRDefault="004920D8" w:rsidP="00D64955">
            <w:pPr>
              <w:spacing w:before="0" w:after="0"/>
              <w:jc w:val="center"/>
              <w:rPr>
                <w:color w:val="000000"/>
                <w:sz w:val="14"/>
                <w:szCs w:val="14"/>
              </w:rPr>
            </w:pPr>
            <w:r w:rsidRPr="00880D29">
              <w:rPr>
                <w:color w:val="000000"/>
                <w:sz w:val="14"/>
                <w:szCs w:val="14"/>
              </w:rPr>
              <w:t>15°</w:t>
            </w:r>
          </w:p>
        </w:tc>
        <w:tc>
          <w:tcPr>
            <w:tcW w:w="830" w:type="dxa"/>
            <w:shd w:val="clear" w:color="auto" w:fill="E7F3F4"/>
            <w:vAlign w:val="bottom"/>
          </w:tcPr>
          <w:p w14:paraId="6B3B922D" w14:textId="77777777" w:rsidR="004920D8" w:rsidRPr="00E376BE" w:rsidRDefault="004920D8" w:rsidP="00D64955">
            <w:pPr>
              <w:spacing w:before="0" w:after="0"/>
              <w:jc w:val="center"/>
              <w:rPr>
                <w:color w:val="000000"/>
                <w:sz w:val="14"/>
                <w:szCs w:val="14"/>
              </w:rPr>
            </w:pPr>
            <w:r w:rsidRPr="00E376BE">
              <w:rPr>
                <w:color w:val="000000"/>
                <w:sz w:val="14"/>
                <w:szCs w:val="14"/>
              </w:rPr>
              <w:t>36.533</w:t>
            </w:r>
          </w:p>
        </w:tc>
        <w:tc>
          <w:tcPr>
            <w:tcW w:w="576" w:type="dxa"/>
            <w:shd w:val="clear" w:color="auto" w:fill="E7F3F4"/>
            <w:vAlign w:val="center"/>
          </w:tcPr>
          <w:p w14:paraId="6763C733"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E7F3F4"/>
            <w:vAlign w:val="bottom"/>
          </w:tcPr>
          <w:p w14:paraId="79DDDD4B" w14:textId="77777777" w:rsidR="004920D8" w:rsidRPr="00E376BE" w:rsidRDefault="004920D8" w:rsidP="00D64955">
            <w:pPr>
              <w:spacing w:before="0" w:after="0"/>
              <w:jc w:val="center"/>
              <w:rPr>
                <w:color w:val="000000"/>
                <w:sz w:val="14"/>
                <w:szCs w:val="14"/>
              </w:rPr>
            </w:pPr>
            <w:r w:rsidRPr="00E376BE">
              <w:rPr>
                <w:color w:val="000000"/>
                <w:sz w:val="14"/>
                <w:szCs w:val="14"/>
              </w:rPr>
              <w:t>19.118</w:t>
            </w:r>
          </w:p>
        </w:tc>
        <w:tc>
          <w:tcPr>
            <w:tcW w:w="481" w:type="dxa"/>
            <w:vMerge/>
            <w:shd w:val="clear" w:color="auto" w:fill="E7F3F4"/>
            <w:noWrap/>
            <w:vAlign w:val="center"/>
          </w:tcPr>
          <w:p w14:paraId="4F7F8A6B"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6AEE1498"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4A98F05F"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684A4EBE"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05BBADE3"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0C0A8F4C"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0C280212"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75E42D80"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4DB273D9"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5213187C" w14:textId="77777777" w:rsidR="004920D8" w:rsidRPr="00F45F13" w:rsidRDefault="004920D8" w:rsidP="00D64955">
            <w:pPr>
              <w:spacing w:before="0" w:after="0"/>
              <w:jc w:val="center"/>
              <w:rPr>
                <w:color w:val="000000"/>
                <w:sz w:val="14"/>
                <w:szCs w:val="14"/>
              </w:rPr>
            </w:pPr>
          </w:p>
        </w:tc>
      </w:tr>
      <w:tr w:rsidR="004920D8" w:rsidRPr="00015190" w14:paraId="71913DE3" w14:textId="77777777" w:rsidTr="00D64955">
        <w:trPr>
          <w:trHeight w:val="170"/>
          <w:jc w:val="center"/>
        </w:trPr>
        <w:tc>
          <w:tcPr>
            <w:tcW w:w="836" w:type="dxa"/>
            <w:vMerge w:val="restart"/>
            <w:shd w:val="clear" w:color="auto" w:fill="auto"/>
            <w:noWrap/>
            <w:vAlign w:val="center"/>
          </w:tcPr>
          <w:p w14:paraId="1098502B" w14:textId="77777777" w:rsidR="004920D8" w:rsidRPr="00880D29" w:rsidRDefault="004920D8" w:rsidP="00D64955">
            <w:pPr>
              <w:spacing w:before="0" w:after="0"/>
              <w:jc w:val="center"/>
              <w:rPr>
                <w:color w:val="000000"/>
                <w:sz w:val="14"/>
                <w:szCs w:val="14"/>
              </w:rPr>
            </w:pPr>
            <w:r w:rsidRPr="00880D29">
              <w:rPr>
                <w:color w:val="000000"/>
                <w:sz w:val="14"/>
                <w:szCs w:val="14"/>
              </w:rPr>
              <w:t>Northern</w:t>
            </w:r>
          </w:p>
        </w:tc>
        <w:tc>
          <w:tcPr>
            <w:tcW w:w="1287" w:type="dxa"/>
            <w:vMerge w:val="restart"/>
            <w:shd w:val="clear" w:color="auto" w:fill="F3F9FA"/>
            <w:noWrap/>
            <w:vAlign w:val="center"/>
          </w:tcPr>
          <w:p w14:paraId="3E483446" w14:textId="77777777" w:rsidR="004920D8" w:rsidRPr="00880D29" w:rsidRDefault="004920D8" w:rsidP="00D64955">
            <w:pPr>
              <w:spacing w:before="0" w:after="0"/>
              <w:jc w:val="center"/>
              <w:rPr>
                <w:color w:val="000000"/>
                <w:sz w:val="14"/>
                <w:szCs w:val="14"/>
              </w:rPr>
            </w:pPr>
            <w:r w:rsidRPr="00880D29">
              <w:rPr>
                <w:color w:val="000000"/>
                <w:sz w:val="14"/>
                <w:szCs w:val="14"/>
              </w:rPr>
              <w:t>Wet Tropics</w:t>
            </w:r>
          </w:p>
          <w:p w14:paraId="730A332C"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Terrain NRM</w:t>
            </w:r>
            <w:r w:rsidRPr="00880D29">
              <w:rPr>
                <w:color w:val="000000"/>
                <w:sz w:val="14"/>
                <w:szCs w:val="14"/>
              </w:rPr>
              <w:t>)</w:t>
            </w:r>
          </w:p>
        </w:tc>
        <w:tc>
          <w:tcPr>
            <w:tcW w:w="1079" w:type="dxa"/>
            <w:vMerge w:val="restart"/>
            <w:shd w:val="clear" w:color="auto" w:fill="F3F9FA"/>
            <w:vAlign w:val="center"/>
          </w:tcPr>
          <w:p w14:paraId="695A25B4" w14:textId="77777777" w:rsidR="004920D8" w:rsidRPr="00880D29" w:rsidRDefault="004920D8" w:rsidP="00D64955">
            <w:pPr>
              <w:spacing w:before="0" w:after="0"/>
              <w:jc w:val="center"/>
              <w:rPr>
                <w:color w:val="000000"/>
                <w:sz w:val="14"/>
                <w:szCs w:val="14"/>
              </w:rPr>
            </w:pPr>
            <w:r w:rsidRPr="00880D29">
              <w:rPr>
                <w:color w:val="000000"/>
                <w:sz w:val="14"/>
                <w:szCs w:val="14"/>
              </w:rPr>
              <w:t>Daintree</w:t>
            </w:r>
          </w:p>
        </w:tc>
        <w:tc>
          <w:tcPr>
            <w:tcW w:w="1576" w:type="dxa"/>
            <w:vMerge w:val="restart"/>
            <w:shd w:val="clear" w:color="auto" w:fill="F3F9FA"/>
            <w:noWrap/>
            <w:vAlign w:val="center"/>
          </w:tcPr>
          <w:p w14:paraId="42655B02" w14:textId="77777777" w:rsidR="004920D8" w:rsidRPr="00880D29" w:rsidRDefault="004920D8" w:rsidP="00D64955">
            <w:pPr>
              <w:spacing w:before="0" w:after="0"/>
              <w:jc w:val="center"/>
              <w:rPr>
                <w:color w:val="000000"/>
                <w:sz w:val="14"/>
                <w:szCs w:val="14"/>
              </w:rPr>
            </w:pPr>
            <w:r w:rsidRPr="00880D29">
              <w:rPr>
                <w:color w:val="000000"/>
                <w:sz w:val="14"/>
                <w:szCs w:val="14"/>
              </w:rPr>
              <w:t>Low Isles</w:t>
            </w:r>
          </w:p>
          <w:p w14:paraId="456135CA" w14:textId="77777777" w:rsidR="004920D8" w:rsidRPr="00880D29" w:rsidRDefault="004920D8" w:rsidP="00D64955">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14:paraId="3D596CF6" w14:textId="77777777" w:rsidR="004920D8" w:rsidRPr="00880D29" w:rsidRDefault="004920D8" w:rsidP="00D64955">
            <w:pPr>
              <w:spacing w:before="0" w:after="0"/>
              <w:jc w:val="center"/>
              <w:rPr>
                <w:color w:val="000000"/>
                <w:sz w:val="14"/>
                <w:szCs w:val="14"/>
              </w:rPr>
            </w:pPr>
            <w:r w:rsidRPr="00880D29">
              <w:rPr>
                <w:color w:val="000000"/>
                <w:sz w:val="14"/>
                <w:szCs w:val="14"/>
              </w:rPr>
              <w:t>LI1*</w:t>
            </w:r>
          </w:p>
        </w:tc>
        <w:tc>
          <w:tcPr>
            <w:tcW w:w="1579" w:type="dxa"/>
            <w:shd w:val="clear" w:color="auto" w:fill="F3F9FA"/>
            <w:noWrap/>
            <w:vAlign w:val="center"/>
          </w:tcPr>
          <w:p w14:paraId="2AB5E665" w14:textId="77777777" w:rsidR="004920D8" w:rsidRPr="00880D29" w:rsidRDefault="004920D8" w:rsidP="00D64955">
            <w:pPr>
              <w:spacing w:before="0" w:after="0"/>
              <w:jc w:val="center"/>
              <w:rPr>
                <w:color w:val="000000"/>
                <w:sz w:val="14"/>
                <w:szCs w:val="14"/>
              </w:rPr>
            </w:pPr>
            <w:r w:rsidRPr="00880D29">
              <w:rPr>
                <w:color w:val="000000"/>
                <w:sz w:val="14"/>
                <w:szCs w:val="14"/>
              </w:rPr>
              <w:t>Low Isles</w:t>
            </w:r>
          </w:p>
        </w:tc>
        <w:tc>
          <w:tcPr>
            <w:tcW w:w="486" w:type="dxa"/>
            <w:shd w:val="clear" w:color="auto" w:fill="F3F9FA"/>
            <w:noWrap/>
            <w:vAlign w:val="center"/>
          </w:tcPr>
          <w:p w14:paraId="1F54800B"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07C0E730" w14:textId="77777777" w:rsidR="004920D8" w:rsidRPr="0005354A" w:rsidRDefault="004920D8" w:rsidP="00D64955">
            <w:pPr>
              <w:spacing w:before="0" w:after="0"/>
              <w:jc w:val="center"/>
              <w:rPr>
                <w:color w:val="000000"/>
                <w:sz w:val="14"/>
                <w:szCs w:val="14"/>
              </w:rPr>
            </w:pPr>
            <w:r w:rsidRPr="0005354A">
              <w:rPr>
                <w:color w:val="000000"/>
                <w:sz w:val="14"/>
                <w:szCs w:val="14"/>
              </w:rPr>
              <w:t>23.110</w:t>
            </w:r>
          </w:p>
        </w:tc>
        <w:tc>
          <w:tcPr>
            <w:tcW w:w="576" w:type="dxa"/>
            <w:shd w:val="clear" w:color="auto" w:fill="F3F9FA"/>
            <w:noWrap/>
            <w:vAlign w:val="center"/>
          </w:tcPr>
          <w:p w14:paraId="0E71D0F7"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3F6A53DF" w14:textId="77777777" w:rsidR="004920D8" w:rsidRPr="0005354A" w:rsidRDefault="004920D8" w:rsidP="00D64955">
            <w:pPr>
              <w:spacing w:before="0" w:after="0"/>
              <w:jc w:val="center"/>
              <w:rPr>
                <w:color w:val="000000"/>
                <w:sz w:val="14"/>
                <w:szCs w:val="14"/>
              </w:rPr>
            </w:pPr>
            <w:r w:rsidRPr="0005354A">
              <w:rPr>
                <w:color w:val="000000"/>
                <w:sz w:val="14"/>
                <w:szCs w:val="14"/>
              </w:rPr>
              <w:t>33.884</w:t>
            </w:r>
          </w:p>
        </w:tc>
        <w:tc>
          <w:tcPr>
            <w:tcW w:w="481" w:type="dxa"/>
            <w:shd w:val="clear" w:color="auto" w:fill="F3F9FA"/>
            <w:noWrap/>
            <w:vAlign w:val="center"/>
          </w:tcPr>
          <w:p w14:paraId="6D205811" w14:textId="77777777" w:rsidR="004920D8" w:rsidRPr="00F45F13" w:rsidRDefault="004920D8" w:rsidP="00D64955">
            <w:pPr>
              <w:spacing w:before="0" w:after="0"/>
              <w:jc w:val="center"/>
              <w:rPr>
                <w:color w:val="000000"/>
                <w:sz w:val="14"/>
                <w:szCs w:val="14"/>
              </w:rPr>
            </w:pPr>
          </w:p>
        </w:tc>
        <w:tc>
          <w:tcPr>
            <w:tcW w:w="402" w:type="dxa"/>
            <w:shd w:val="clear" w:color="auto" w:fill="F3F9FA"/>
            <w:vAlign w:val="center"/>
          </w:tcPr>
          <w:p w14:paraId="0CDF7E03" w14:textId="77777777" w:rsidR="004920D8" w:rsidRPr="00F45F13" w:rsidRDefault="004920D8" w:rsidP="00D64955">
            <w:pPr>
              <w:spacing w:before="0" w:after="0"/>
              <w:jc w:val="center"/>
              <w:rPr>
                <w:color w:val="000000"/>
                <w:sz w:val="14"/>
                <w:szCs w:val="14"/>
              </w:rPr>
            </w:pPr>
          </w:p>
        </w:tc>
        <w:tc>
          <w:tcPr>
            <w:tcW w:w="408" w:type="dxa"/>
            <w:shd w:val="clear" w:color="auto" w:fill="F3F9FA"/>
            <w:vAlign w:val="center"/>
          </w:tcPr>
          <w:p w14:paraId="74F1FA0D" w14:textId="77777777" w:rsidR="004920D8" w:rsidRPr="00F45F13" w:rsidRDefault="004920D8" w:rsidP="00D64955">
            <w:pPr>
              <w:spacing w:before="0" w:after="0"/>
              <w:jc w:val="center"/>
              <w:rPr>
                <w:color w:val="000000"/>
                <w:sz w:val="14"/>
                <w:szCs w:val="14"/>
              </w:rPr>
            </w:pPr>
          </w:p>
        </w:tc>
        <w:tc>
          <w:tcPr>
            <w:tcW w:w="416" w:type="dxa"/>
            <w:shd w:val="clear" w:color="auto" w:fill="F3F9FA"/>
            <w:vAlign w:val="center"/>
          </w:tcPr>
          <w:p w14:paraId="0212B113" w14:textId="77777777" w:rsidR="004920D8" w:rsidRPr="00F45F13" w:rsidRDefault="004920D8" w:rsidP="00D64955">
            <w:pPr>
              <w:spacing w:before="0" w:after="0"/>
              <w:jc w:val="center"/>
              <w:rPr>
                <w:color w:val="000000"/>
                <w:sz w:val="14"/>
                <w:szCs w:val="14"/>
              </w:rPr>
            </w:pPr>
          </w:p>
        </w:tc>
        <w:tc>
          <w:tcPr>
            <w:tcW w:w="418" w:type="dxa"/>
            <w:shd w:val="clear" w:color="auto" w:fill="F3F9FA"/>
            <w:vAlign w:val="center"/>
          </w:tcPr>
          <w:p w14:paraId="221FCC31"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F3F9FA"/>
            <w:vAlign w:val="center"/>
          </w:tcPr>
          <w:p w14:paraId="38E946AD" w14:textId="77777777" w:rsidR="004920D8" w:rsidRPr="00F45F13" w:rsidRDefault="004920D8" w:rsidP="00D64955">
            <w:pPr>
              <w:spacing w:before="0" w:after="0"/>
              <w:jc w:val="center"/>
              <w:rPr>
                <w:color w:val="000000"/>
                <w:sz w:val="14"/>
                <w:szCs w:val="14"/>
              </w:rPr>
            </w:pPr>
          </w:p>
        </w:tc>
        <w:tc>
          <w:tcPr>
            <w:tcW w:w="422" w:type="dxa"/>
            <w:shd w:val="clear" w:color="auto" w:fill="F3F9FA"/>
            <w:vAlign w:val="center"/>
          </w:tcPr>
          <w:p w14:paraId="68492147"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98" w:type="dxa"/>
            <w:shd w:val="clear" w:color="auto" w:fill="F3F9FA"/>
            <w:vAlign w:val="center"/>
          </w:tcPr>
          <w:p w14:paraId="588E971B" w14:textId="77777777" w:rsidR="004920D8" w:rsidRPr="00F45F13" w:rsidRDefault="004920D8" w:rsidP="00D64955">
            <w:pPr>
              <w:spacing w:before="0" w:after="0"/>
              <w:jc w:val="center"/>
              <w:rPr>
                <w:color w:val="000000"/>
                <w:sz w:val="14"/>
                <w:szCs w:val="14"/>
              </w:rPr>
            </w:pPr>
          </w:p>
        </w:tc>
        <w:tc>
          <w:tcPr>
            <w:tcW w:w="410" w:type="dxa"/>
            <w:shd w:val="clear" w:color="auto" w:fill="F3F9FA"/>
            <w:vAlign w:val="center"/>
          </w:tcPr>
          <w:p w14:paraId="7147B960"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shd w:val="clear" w:color="auto" w:fill="F3F9FA"/>
            <w:vAlign w:val="center"/>
          </w:tcPr>
          <w:p w14:paraId="679F9E85" w14:textId="77777777" w:rsidR="004920D8" w:rsidRPr="00F45F13" w:rsidRDefault="004920D8" w:rsidP="00D64955">
            <w:pPr>
              <w:spacing w:before="0" w:after="0"/>
              <w:jc w:val="center"/>
              <w:rPr>
                <w:color w:val="000000"/>
                <w:sz w:val="14"/>
                <w:szCs w:val="14"/>
              </w:rPr>
            </w:pPr>
          </w:p>
        </w:tc>
      </w:tr>
      <w:tr w:rsidR="004920D8" w:rsidRPr="00015190" w14:paraId="6BE4C48F" w14:textId="77777777" w:rsidTr="00D64955">
        <w:trPr>
          <w:trHeight w:val="170"/>
          <w:jc w:val="center"/>
        </w:trPr>
        <w:tc>
          <w:tcPr>
            <w:tcW w:w="836" w:type="dxa"/>
            <w:vMerge/>
            <w:shd w:val="clear" w:color="auto" w:fill="auto"/>
            <w:noWrap/>
            <w:vAlign w:val="center"/>
          </w:tcPr>
          <w:p w14:paraId="6C002B0B"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5D802F51"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19A42D0A"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4A60A0B7"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78025C47" w14:textId="77777777" w:rsidR="004920D8" w:rsidRPr="00880D29" w:rsidRDefault="004920D8" w:rsidP="00D64955">
            <w:pPr>
              <w:spacing w:before="0" w:after="0"/>
              <w:jc w:val="center"/>
              <w:rPr>
                <w:color w:val="000000"/>
                <w:sz w:val="14"/>
                <w:szCs w:val="14"/>
              </w:rPr>
            </w:pPr>
            <w:r w:rsidRPr="00880D29">
              <w:rPr>
                <w:color w:val="000000"/>
                <w:sz w:val="14"/>
                <w:szCs w:val="14"/>
              </w:rPr>
              <w:t>LI2^</w:t>
            </w:r>
          </w:p>
        </w:tc>
        <w:tc>
          <w:tcPr>
            <w:tcW w:w="1579" w:type="dxa"/>
            <w:shd w:val="clear" w:color="auto" w:fill="F3F9FA"/>
            <w:noWrap/>
            <w:vAlign w:val="center"/>
          </w:tcPr>
          <w:p w14:paraId="0D9AFACB" w14:textId="77777777" w:rsidR="004920D8" w:rsidRPr="00880D29" w:rsidRDefault="004920D8" w:rsidP="00D64955">
            <w:pPr>
              <w:spacing w:before="0" w:after="0"/>
              <w:jc w:val="center"/>
              <w:rPr>
                <w:color w:val="000000"/>
                <w:sz w:val="14"/>
                <w:szCs w:val="14"/>
              </w:rPr>
            </w:pPr>
            <w:r w:rsidRPr="00880D29">
              <w:rPr>
                <w:color w:val="000000"/>
                <w:sz w:val="14"/>
                <w:szCs w:val="14"/>
              </w:rPr>
              <w:t>Low Isles</w:t>
            </w:r>
          </w:p>
        </w:tc>
        <w:tc>
          <w:tcPr>
            <w:tcW w:w="486" w:type="dxa"/>
            <w:shd w:val="clear" w:color="auto" w:fill="F3F9FA"/>
            <w:noWrap/>
            <w:vAlign w:val="center"/>
          </w:tcPr>
          <w:p w14:paraId="0D93FFE9"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01CD5009" w14:textId="77777777" w:rsidR="004920D8" w:rsidRPr="0005354A" w:rsidRDefault="004920D8" w:rsidP="00D64955">
            <w:pPr>
              <w:spacing w:before="0" w:after="0"/>
              <w:jc w:val="center"/>
              <w:rPr>
                <w:color w:val="000000"/>
                <w:sz w:val="14"/>
                <w:szCs w:val="14"/>
              </w:rPr>
            </w:pPr>
            <w:r w:rsidRPr="0005354A">
              <w:rPr>
                <w:color w:val="000000"/>
                <w:sz w:val="14"/>
                <w:szCs w:val="14"/>
              </w:rPr>
              <w:t>22.973</w:t>
            </w:r>
          </w:p>
        </w:tc>
        <w:tc>
          <w:tcPr>
            <w:tcW w:w="576" w:type="dxa"/>
            <w:shd w:val="clear" w:color="auto" w:fill="F3F9FA"/>
            <w:noWrap/>
            <w:vAlign w:val="center"/>
          </w:tcPr>
          <w:p w14:paraId="3C841A33"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32EDE176" w14:textId="77777777" w:rsidR="004920D8" w:rsidRPr="0005354A" w:rsidRDefault="004920D8" w:rsidP="00D64955">
            <w:pPr>
              <w:spacing w:before="0" w:after="0"/>
              <w:jc w:val="center"/>
              <w:rPr>
                <w:color w:val="000000"/>
                <w:sz w:val="14"/>
                <w:szCs w:val="14"/>
              </w:rPr>
            </w:pPr>
            <w:r w:rsidRPr="0005354A">
              <w:rPr>
                <w:color w:val="000000"/>
                <w:sz w:val="14"/>
                <w:szCs w:val="14"/>
              </w:rPr>
              <w:t>33.854</w:t>
            </w:r>
          </w:p>
        </w:tc>
        <w:tc>
          <w:tcPr>
            <w:tcW w:w="481" w:type="dxa"/>
            <w:shd w:val="clear" w:color="auto" w:fill="F3F9FA"/>
            <w:noWrap/>
            <w:vAlign w:val="center"/>
          </w:tcPr>
          <w:p w14:paraId="6AEF288F" w14:textId="77777777" w:rsidR="004920D8" w:rsidRPr="00F45F13" w:rsidRDefault="004920D8" w:rsidP="00D64955">
            <w:pPr>
              <w:spacing w:before="0" w:after="0"/>
              <w:jc w:val="center"/>
              <w:rPr>
                <w:color w:val="000000"/>
                <w:sz w:val="14"/>
                <w:szCs w:val="14"/>
              </w:rPr>
            </w:pPr>
          </w:p>
        </w:tc>
        <w:tc>
          <w:tcPr>
            <w:tcW w:w="402" w:type="dxa"/>
            <w:shd w:val="clear" w:color="auto" w:fill="F3F9FA"/>
            <w:vAlign w:val="center"/>
          </w:tcPr>
          <w:p w14:paraId="73F3D4BB" w14:textId="77777777" w:rsidR="004920D8" w:rsidRPr="00F45F13" w:rsidRDefault="004920D8" w:rsidP="00D64955">
            <w:pPr>
              <w:spacing w:before="0" w:after="0"/>
              <w:jc w:val="center"/>
              <w:rPr>
                <w:color w:val="000000"/>
                <w:sz w:val="14"/>
                <w:szCs w:val="14"/>
              </w:rPr>
            </w:pPr>
          </w:p>
        </w:tc>
        <w:tc>
          <w:tcPr>
            <w:tcW w:w="408" w:type="dxa"/>
            <w:shd w:val="clear" w:color="auto" w:fill="F3F9FA"/>
            <w:vAlign w:val="center"/>
          </w:tcPr>
          <w:p w14:paraId="6C350197" w14:textId="77777777" w:rsidR="004920D8" w:rsidRPr="00F45F13" w:rsidRDefault="004920D8" w:rsidP="00D64955">
            <w:pPr>
              <w:spacing w:before="0" w:after="0"/>
              <w:jc w:val="center"/>
              <w:rPr>
                <w:color w:val="000000"/>
                <w:sz w:val="14"/>
                <w:szCs w:val="14"/>
              </w:rPr>
            </w:pPr>
          </w:p>
        </w:tc>
        <w:tc>
          <w:tcPr>
            <w:tcW w:w="416" w:type="dxa"/>
            <w:shd w:val="clear" w:color="auto" w:fill="F3F9FA"/>
            <w:vAlign w:val="center"/>
          </w:tcPr>
          <w:p w14:paraId="488B0134" w14:textId="77777777" w:rsidR="004920D8" w:rsidRPr="00F45F13" w:rsidRDefault="004920D8" w:rsidP="00D64955">
            <w:pPr>
              <w:spacing w:before="0" w:after="0"/>
              <w:jc w:val="center"/>
              <w:rPr>
                <w:color w:val="000000"/>
                <w:sz w:val="14"/>
                <w:szCs w:val="14"/>
              </w:rPr>
            </w:pPr>
          </w:p>
        </w:tc>
        <w:tc>
          <w:tcPr>
            <w:tcW w:w="418" w:type="dxa"/>
            <w:shd w:val="clear" w:color="auto" w:fill="F3F9FA"/>
            <w:vAlign w:val="center"/>
          </w:tcPr>
          <w:p w14:paraId="17BA11C4"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F3F9FA"/>
            <w:vAlign w:val="center"/>
          </w:tcPr>
          <w:p w14:paraId="584858EE" w14:textId="77777777" w:rsidR="004920D8" w:rsidRPr="00F45F13" w:rsidRDefault="004920D8" w:rsidP="00D64955">
            <w:pPr>
              <w:spacing w:before="0" w:after="0"/>
              <w:jc w:val="center"/>
              <w:rPr>
                <w:color w:val="000000"/>
                <w:sz w:val="14"/>
                <w:szCs w:val="14"/>
              </w:rPr>
            </w:pPr>
          </w:p>
        </w:tc>
        <w:tc>
          <w:tcPr>
            <w:tcW w:w="422" w:type="dxa"/>
            <w:shd w:val="clear" w:color="auto" w:fill="F3F9FA"/>
            <w:vAlign w:val="center"/>
          </w:tcPr>
          <w:p w14:paraId="6A887C4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shd w:val="clear" w:color="auto" w:fill="F3F9FA"/>
            <w:vAlign w:val="center"/>
          </w:tcPr>
          <w:p w14:paraId="111567A6" w14:textId="77777777" w:rsidR="004920D8" w:rsidRPr="00F45F13" w:rsidRDefault="004920D8" w:rsidP="00D64955">
            <w:pPr>
              <w:spacing w:before="0" w:after="0"/>
              <w:jc w:val="center"/>
              <w:rPr>
                <w:color w:val="000000"/>
                <w:sz w:val="14"/>
                <w:szCs w:val="14"/>
              </w:rPr>
            </w:pPr>
          </w:p>
        </w:tc>
        <w:tc>
          <w:tcPr>
            <w:tcW w:w="410" w:type="dxa"/>
            <w:shd w:val="clear" w:color="auto" w:fill="F3F9FA"/>
            <w:vAlign w:val="center"/>
          </w:tcPr>
          <w:p w14:paraId="7D35FE54" w14:textId="77777777" w:rsidR="004920D8" w:rsidRPr="00F45F13" w:rsidRDefault="004920D8" w:rsidP="00D64955">
            <w:pPr>
              <w:spacing w:before="0" w:after="0"/>
              <w:jc w:val="center"/>
              <w:rPr>
                <w:color w:val="000000"/>
                <w:sz w:val="14"/>
                <w:szCs w:val="14"/>
              </w:rPr>
            </w:pPr>
          </w:p>
        </w:tc>
        <w:tc>
          <w:tcPr>
            <w:tcW w:w="422" w:type="dxa"/>
            <w:shd w:val="clear" w:color="auto" w:fill="F3F9FA"/>
            <w:vAlign w:val="center"/>
          </w:tcPr>
          <w:p w14:paraId="1B6AD11B" w14:textId="77777777" w:rsidR="004920D8" w:rsidRPr="00F45F13" w:rsidRDefault="004920D8" w:rsidP="00D64955">
            <w:pPr>
              <w:spacing w:before="0" w:after="0"/>
              <w:jc w:val="center"/>
              <w:rPr>
                <w:color w:val="000000"/>
                <w:sz w:val="14"/>
                <w:szCs w:val="14"/>
              </w:rPr>
            </w:pPr>
          </w:p>
        </w:tc>
      </w:tr>
      <w:tr w:rsidR="004920D8" w:rsidRPr="00015190" w14:paraId="6450B32C" w14:textId="77777777" w:rsidTr="00D64955">
        <w:trPr>
          <w:trHeight w:val="170"/>
          <w:jc w:val="center"/>
        </w:trPr>
        <w:tc>
          <w:tcPr>
            <w:tcW w:w="836" w:type="dxa"/>
            <w:vMerge/>
            <w:shd w:val="clear" w:color="auto" w:fill="auto"/>
            <w:noWrap/>
            <w:vAlign w:val="center"/>
          </w:tcPr>
          <w:p w14:paraId="4255944A"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6826BBEA" w14:textId="77777777" w:rsidR="004920D8" w:rsidRPr="00880D29" w:rsidRDefault="004920D8" w:rsidP="00D64955">
            <w:pPr>
              <w:spacing w:before="0" w:after="0"/>
              <w:jc w:val="center"/>
              <w:rPr>
                <w:color w:val="000000"/>
                <w:sz w:val="14"/>
                <w:szCs w:val="14"/>
              </w:rPr>
            </w:pPr>
          </w:p>
        </w:tc>
        <w:tc>
          <w:tcPr>
            <w:tcW w:w="1079" w:type="dxa"/>
            <w:vMerge w:val="restart"/>
            <w:shd w:val="clear" w:color="auto" w:fill="F3F9FA"/>
            <w:vAlign w:val="center"/>
          </w:tcPr>
          <w:p w14:paraId="3103E277" w14:textId="77777777" w:rsidR="004920D8" w:rsidRDefault="004920D8" w:rsidP="00D64955">
            <w:pPr>
              <w:spacing w:before="0" w:after="0"/>
              <w:jc w:val="center"/>
              <w:rPr>
                <w:color w:val="000000"/>
                <w:sz w:val="14"/>
                <w:szCs w:val="14"/>
              </w:rPr>
            </w:pPr>
            <w:r>
              <w:rPr>
                <w:color w:val="000000"/>
                <w:sz w:val="14"/>
                <w:szCs w:val="14"/>
              </w:rPr>
              <w:t>Mossman /</w:t>
            </w:r>
          </w:p>
          <w:p w14:paraId="7D13BCA1" w14:textId="77777777" w:rsidR="004920D8" w:rsidRPr="00880D29" w:rsidRDefault="004920D8" w:rsidP="00D64955">
            <w:pPr>
              <w:spacing w:before="0" w:after="0"/>
              <w:jc w:val="center"/>
              <w:rPr>
                <w:color w:val="000000"/>
                <w:sz w:val="14"/>
                <w:szCs w:val="14"/>
              </w:rPr>
            </w:pPr>
            <w:r w:rsidRPr="00880D29">
              <w:rPr>
                <w:color w:val="000000"/>
                <w:sz w:val="14"/>
                <w:szCs w:val="14"/>
              </w:rPr>
              <w:t>Barron</w:t>
            </w:r>
            <w:r>
              <w:rPr>
                <w:color w:val="000000"/>
                <w:sz w:val="14"/>
                <w:szCs w:val="14"/>
              </w:rPr>
              <w:t xml:space="preserve"> /</w:t>
            </w:r>
          </w:p>
          <w:p w14:paraId="79385EAD" w14:textId="77777777" w:rsidR="004920D8" w:rsidRPr="00880D29" w:rsidRDefault="004920D8" w:rsidP="00D64955">
            <w:pPr>
              <w:spacing w:before="0" w:after="0"/>
              <w:jc w:val="center"/>
              <w:rPr>
                <w:color w:val="000000"/>
                <w:sz w:val="14"/>
                <w:szCs w:val="14"/>
              </w:rPr>
            </w:pPr>
            <w:r w:rsidRPr="00880D29">
              <w:rPr>
                <w:color w:val="000000"/>
                <w:sz w:val="14"/>
                <w:szCs w:val="14"/>
              </w:rPr>
              <w:t>Mulgrave</w:t>
            </w:r>
            <w:r>
              <w:rPr>
                <w:color w:val="000000"/>
                <w:sz w:val="14"/>
                <w:szCs w:val="14"/>
              </w:rPr>
              <w:t>-Russell /</w:t>
            </w:r>
          </w:p>
          <w:p w14:paraId="02950C29" w14:textId="77777777" w:rsidR="004920D8" w:rsidRPr="00880D29" w:rsidRDefault="004920D8" w:rsidP="00D64955">
            <w:pPr>
              <w:spacing w:before="0" w:after="0"/>
              <w:jc w:val="center"/>
              <w:rPr>
                <w:color w:val="000000"/>
                <w:sz w:val="14"/>
                <w:szCs w:val="14"/>
              </w:rPr>
            </w:pPr>
            <w:r w:rsidRPr="00880D29">
              <w:rPr>
                <w:color w:val="000000"/>
                <w:sz w:val="14"/>
                <w:szCs w:val="14"/>
              </w:rPr>
              <w:t>Johnstone</w:t>
            </w:r>
          </w:p>
        </w:tc>
        <w:tc>
          <w:tcPr>
            <w:tcW w:w="1576" w:type="dxa"/>
            <w:vMerge w:val="restart"/>
            <w:shd w:val="clear" w:color="auto" w:fill="F3F9FA"/>
            <w:noWrap/>
            <w:vAlign w:val="center"/>
          </w:tcPr>
          <w:p w14:paraId="2B00375E" w14:textId="77777777" w:rsidR="004920D8" w:rsidRPr="00880D29" w:rsidRDefault="004920D8" w:rsidP="00D64955">
            <w:pPr>
              <w:spacing w:before="0" w:after="0"/>
              <w:jc w:val="center"/>
              <w:rPr>
                <w:color w:val="000000"/>
                <w:sz w:val="14"/>
                <w:szCs w:val="14"/>
              </w:rPr>
            </w:pPr>
            <w:r w:rsidRPr="00880D29">
              <w:rPr>
                <w:color w:val="000000"/>
                <w:sz w:val="14"/>
                <w:szCs w:val="14"/>
              </w:rPr>
              <w:t>Yule Point</w:t>
            </w:r>
          </w:p>
          <w:p w14:paraId="4258ED03"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F3F9FA"/>
            <w:noWrap/>
            <w:vAlign w:val="center"/>
          </w:tcPr>
          <w:p w14:paraId="68897117" w14:textId="77777777" w:rsidR="004920D8" w:rsidRPr="00880D29" w:rsidRDefault="004920D8" w:rsidP="00D64955">
            <w:pPr>
              <w:spacing w:before="0" w:after="0"/>
              <w:jc w:val="center"/>
              <w:rPr>
                <w:color w:val="000000"/>
                <w:sz w:val="14"/>
                <w:szCs w:val="14"/>
              </w:rPr>
            </w:pPr>
            <w:r w:rsidRPr="00880D29">
              <w:rPr>
                <w:color w:val="000000"/>
                <w:sz w:val="14"/>
                <w:szCs w:val="14"/>
              </w:rPr>
              <w:t>YP1*</w:t>
            </w:r>
          </w:p>
        </w:tc>
        <w:tc>
          <w:tcPr>
            <w:tcW w:w="1579" w:type="dxa"/>
            <w:shd w:val="clear" w:color="auto" w:fill="F3F9FA"/>
            <w:noWrap/>
            <w:vAlign w:val="center"/>
          </w:tcPr>
          <w:p w14:paraId="7BC479DC" w14:textId="77777777" w:rsidR="004920D8" w:rsidRPr="00880D29" w:rsidRDefault="004920D8" w:rsidP="00D64955">
            <w:pPr>
              <w:spacing w:before="0" w:after="0"/>
              <w:jc w:val="center"/>
              <w:rPr>
                <w:color w:val="000000"/>
                <w:sz w:val="14"/>
                <w:szCs w:val="14"/>
              </w:rPr>
            </w:pPr>
            <w:r w:rsidRPr="00880D29">
              <w:rPr>
                <w:color w:val="000000"/>
                <w:sz w:val="14"/>
                <w:szCs w:val="14"/>
              </w:rPr>
              <w:t>Yule Point</w:t>
            </w:r>
          </w:p>
        </w:tc>
        <w:tc>
          <w:tcPr>
            <w:tcW w:w="486" w:type="dxa"/>
            <w:shd w:val="clear" w:color="auto" w:fill="F3F9FA"/>
            <w:noWrap/>
            <w:vAlign w:val="center"/>
          </w:tcPr>
          <w:p w14:paraId="3B83EC73"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4F12D79C" w14:textId="77777777" w:rsidR="004920D8" w:rsidRPr="0005354A" w:rsidRDefault="004920D8" w:rsidP="00D64955">
            <w:pPr>
              <w:spacing w:before="0" w:after="0"/>
              <w:jc w:val="center"/>
              <w:rPr>
                <w:color w:val="000000"/>
                <w:sz w:val="14"/>
                <w:szCs w:val="14"/>
              </w:rPr>
            </w:pPr>
            <w:r w:rsidRPr="0005354A">
              <w:rPr>
                <w:color w:val="000000"/>
                <w:sz w:val="14"/>
                <w:szCs w:val="14"/>
              </w:rPr>
              <w:t>34.149</w:t>
            </w:r>
          </w:p>
        </w:tc>
        <w:tc>
          <w:tcPr>
            <w:tcW w:w="576" w:type="dxa"/>
            <w:shd w:val="clear" w:color="auto" w:fill="F3F9FA"/>
            <w:noWrap/>
            <w:vAlign w:val="center"/>
          </w:tcPr>
          <w:p w14:paraId="20E661BA"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413FDF2F" w14:textId="77777777" w:rsidR="004920D8" w:rsidRPr="0005354A" w:rsidRDefault="004920D8" w:rsidP="00D64955">
            <w:pPr>
              <w:spacing w:before="0" w:after="0"/>
              <w:jc w:val="center"/>
              <w:rPr>
                <w:color w:val="000000"/>
                <w:sz w:val="14"/>
                <w:szCs w:val="14"/>
              </w:rPr>
            </w:pPr>
            <w:r w:rsidRPr="0005354A">
              <w:rPr>
                <w:color w:val="000000"/>
                <w:sz w:val="14"/>
                <w:szCs w:val="14"/>
              </w:rPr>
              <w:t>30.756</w:t>
            </w:r>
          </w:p>
        </w:tc>
        <w:tc>
          <w:tcPr>
            <w:tcW w:w="481" w:type="dxa"/>
            <w:vMerge w:val="restart"/>
            <w:shd w:val="clear" w:color="auto" w:fill="F3F9FA"/>
            <w:noWrap/>
            <w:vAlign w:val="center"/>
          </w:tcPr>
          <w:p w14:paraId="4A61D3E8"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260B5036"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1B10F4CC"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748BED07"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37112B37"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28B3B89F"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11BE64D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F3F9FA"/>
            <w:vAlign w:val="center"/>
          </w:tcPr>
          <w:p w14:paraId="50300F22"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5EC16291"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3BEF3F00"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4920D8" w:rsidRPr="00015190" w14:paraId="23C0FD23" w14:textId="77777777" w:rsidTr="00D64955">
        <w:trPr>
          <w:trHeight w:val="170"/>
          <w:jc w:val="center"/>
        </w:trPr>
        <w:tc>
          <w:tcPr>
            <w:tcW w:w="836" w:type="dxa"/>
            <w:vMerge/>
            <w:shd w:val="clear" w:color="auto" w:fill="auto"/>
            <w:noWrap/>
            <w:vAlign w:val="center"/>
          </w:tcPr>
          <w:p w14:paraId="06F68677"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3A9130CA"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6F0979A4"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598C74A0"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7C62F543" w14:textId="77777777" w:rsidR="004920D8" w:rsidRPr="00880D29" w:rsidRDefault="004920D8" w:rsidP="00D64955">
            <w:pPr>
              <w:spacing w:before="0" w:after="0"/>
              <w:jc w:val="center"/>
              <w:rPr>
                <w:color w:val="000000"/>
                <w:sz w:val="14"/>
                <w:szCs w:val="14"/>
              </w:rPr>
            </w:pPr>
            <w:r w:rsidRPr="00880D29">
              <w:rPr>
                <w:color w:val="000000"/>
                <w:sz w:val="14"/>
                <w:szCs w:val="14"/>
              </w:rPr>
              <w:t>YP2*</w:t>
            </w:r>
          </w:p>
        </w:tc>
        <w:tc>
          <w:tcPr>
            <w:tcW w:w="1579" w:type="dxa"/>
            <w:shd w:val="clear" w:color="auto" w:fill="F3F9FA"/>
            <w:noWrap/>
            <w:vAlign w:val="center"/>
          </w:tcPr>
          <w:p w14:paraId="7B68150E" w14:textId="77777777" w:rsidR="004920D8" w:rsidRPr="00880D29" w:rsidRDefault="004920D8" w:rsidP="00D64955">
            <w:pPr>
              <w:spacing w:before="0" w:after="0"/>
              <w:jc w:val="center"/>
              <w:rPr>
                <w:color w:val="000000"/>
                <w:sz w:val="14"/>
                <w:szCs w:val="14"/>
              </w:rPr>
            </w:pPr>
            <w:r w:rsidRPr="00880D29">
              <w:rPr>
                <w:color w:val="000000"/>
                <w:sz w:val="14"/>
                <w:szCs w:val="14"/>
              </w:rPr>
              <w:t>Yule Point</w:t>
            </w:r>
          </w:p>
        </w:tc>
        <w:tc>
          <w:tcPr>
            <w:tcW w:w="486" w:type="dxa"/>
            <w:shd w:val="clear" w:color="auto" w:fill="F3F9FA"/>
            <w:noWrap/>
            <w:vAlign w:val="center"/>
          </w:tcPr>
          <w:p w14:paraId="62FCB4E4"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13B483F2" w14:textId="77777777" w:rsidR="004920D8" w:rsidRPr="0005354A" w:rsidRDefault="004920D8" w:rsidP="00D64955">
            <w:pPr>
              <w:spacing w:before="0" w:after="0"/>
              <w:jc w:val="center"/>
              <w:rPr>
                <w:color w:val="000000"/>
                <w:sz w:val="14"/>
                <w:szCs w:val="14"/>
              </w:rPr>
            </w:pPr>
            <w:r w:rsidRPr="0005354A">
              <w:rPr>
                <w:color w:val="000000"/>
                <w:sz w:val="14"/>
                <w:szCs w:val="14"/>
              </w:rPr>
              <w:t>33.825</w:t>
            </w:r>
          </w:p>
        </w:tc>
        <w:tc>
          <w:tcPr>
            <w:tcW w:w="576" w:type="dxa"/>
            <w:shd w:val="clear" w:color="auto" w:fill="F3F9FA"/>
            <w:noWrap/>
            <w:vAlign w:val="center"/>
          </w:tcPr>
          <w:p w14:paraId="0F368AB9"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3A748A56" w14:textId="77777777" w:rsidR="004920D8" w:rsidRPr="0005354A" w:rsidRDefault="004920D8" w:rsidP="00D64955">
            <w:pPr>
              <w:spacing w:before="0" w:after="0"/>
              <w:jc w:val="center"/>
              <w:rPr>
                <w:color w:val="000000"/>
                <w:sz w:val="14"/>
                <w:szCs w:val="14"/>
              </w:rPr>
            </w:pPr>
            <w:r w:rsidRPr="0005354A">
              <w:rPr>
                <w:color w:val="000000"/>
                <w:sz w:val="14"/>
                <w:szCs w:val="14"/>
              </w:rPr>
              <w:t>30.568</w:t>
            </w:r>
          </w:p>
        </w:tc>
        <w:tc>
          <w:tcPr>
            <w:tcW w:w="481" w:type="dxa"/>
            <w:vMerge/>
            <w:shd w:val="clear" w:color="auto" w:fill="F3F9FA"/>
            <w:noWrap/>
            <w:vAlign w:val="center"/>
          </w:tcPr>
          <w:p w14:paraId="23EBE8C0"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2C4CC99F"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18DF9143"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53D4692B"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16D36872"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475A9E60"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7A7AB538"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50871835"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69B894A0"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692AA320" w14:textId="77777777" w:rsidR="004920D8" w:rsidRPr="00F45F13" w:rsidRDefault="004920D8" w:rsidP="00D64955">
            <w:pPr>
              <w:spacing w:before="0" w:after="0"/>
              <w:jc w:val="center"/>
              <w:rPr>
                <w:color w:val="000000"/>
                <w:sz w:val="14"/>
                <w:szCs w:val="14"/>
              </w:rPr>
            </w:pPr>
          </w:p>
        </w:tc>
      </w:tr>
      <w:tr w:rsidR="004920D8" w:rsidRPr="00015190" w14:paraId="28623F5F" w14:textId="77777777" w:rsidTr="00D64955">
        <w:trPr>
          <w:trHeight w:val="170"/>
          <w:jc w:val="center"/>
        </w:trPr>
        <w:tc>
          <w:tcPr>
            <w:tcW w:w="836" w:type="dxa"/>
            <w:vMerge/>
            <w:shd w:val="clear" w:color="auto" w:fill="auto"/>
            <w:noWrap/>
            <w:vAlign w:val="center"/>
          </w:tcPr>
          <w:p w14:paraId="3DBBDA84"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6ABAD9A2"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1D3C1A55"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F3F9FA"/>
            <w:noWrap/>
            <w:vAlign w:val="center"/>
          </w:tcPr>
          <w:p w14:paraId="25CAF9BC" w14:textId="77777777" w:rsidR="004920D8" w:rsidRPr="00880D29" w:rsidRDefault="004920D8" w:rsidP="00D64955">
            <w:pPr>
              <w:spacing w:before="0" w:after="0"/>
              <w:jc w:val="center"/>
              <w:rPr>
                <w:color w:val="000000"/>
                <w:sz w:val="14"/>
                <w:szCs w:val="14"/>
              </w:rPr>
            </w:pPr>
            <w:r w:rsidRPr="00880D29">
              <w:rPr>
                <w:color w:val="000000"/>
                <w:sz w:val="14"/>
                <w:szCs w:val="14"/>
              </w:rPr>
              <w:t>Green Island</w:t>
            </w:r>
          </w:p>
          <w:p w14:paraId="76DB6661" w14:textId="77777777" w:rsidR="004920D8" w:rsidRPr="00880D29" w:rsidRDefault="004920D8" w:rsidP="00D64955">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14:paraId="59F38335" w14:textId="77777777" w:rsidR="004920D8" w:rsidRPr="00880D29" w:rsidRDefault="004920D8" w:rsidP="00D64955">
            <w:pPr>
              <w:spacing w:before="0" w:after="0"/>
              <w:jc w:val="center"/>
              <w:rPr>
                <w:color w:val="000000"/>
                <w:sz w:val="14"/>
                <w:szCs w:val="14"/>
              </w:rPr>
            </w:pPr>
            <w:r w:rsidRPr="00880D29">
              <w:rPr>
                <w:color w:val="000000"/>
                <w:sz w:val="14"/>
                <w:szCs w:val="14"/>
              </w:rPr>
              <w:t>GI1*</w:t>
            </w:r>
          </w:p>
        </w:tc>
        <w:tc>
          <w:tcPr>
            <w:tcW w:w="1579" w:type="dxa"/>
            <w:shd w:val="clear" w:color="auto" w:fill="F3F9FA"/>
            <w:noWrap/>
            <w:vAlign w:val="center"/>
          </w:tcPr>
          <w:p w14:paraId="6DFD7EB7" w14:textId="77777777" w:rsidR="004920D8" w:rsidRPr="00880D29" w:rsidRDefault="004920D8" w:rsidP="00D64955">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14:paraId="30F312FD"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782C4BF3" w14:textId="77777777" w:rsidR="004920D8" w:rsidRPr="0005354A" w:rsidRDefault="004920D8" w:rsidP="00D64955">
            <w:pPr>
              <w:spacing w:before="0" w:after="0"/>
              <w:jc w:val="center"/>
              <w:rPr>
                <w:color w:val="000000"/>
                <w:sz w:val="14"/>
                <w:szCs w:val="14"/>
              </w:rPr>
            </w:pPr>
            <w:r w:rsidRPr="0005354A">
              <w:rPr>
                <w:color w:val="000000"/>
                <w:sz w:val="14"/>
                <w:szCs w:val="14"/>
              </w:rPr>
              <w:t>45.709</w:t>
            </w:r>
          </w:p>
        </w:tc>
        <w:tc>
          <w:tcPr>
            <w:tcW w:w="576" w:type="dxa"/>
            <w:shd w:val="clear" w:color="auto" w:fill="F3F9FA"/>
            <w:noWrap/>
            <w:vAlign w:val="center"/>
          </w:tcPr>
          <w:p w14:paraId="566A9386"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51AA6B66" w14:textId="77777777" w:rsidR="004920D8" w:rsidRPr="0005354A" w:rsidRDefault="004920D8" w:rsidP="00D64955">
            <w:pPr>
              <w:spacing w:before="0" w:after="0"/>
              <w:jc w:val="center"/>
              <w:rPr>
                <w:color w:val="000000"/>
                <w:sz w:val="14"/>
                <w:szCs w:val="14"/>
              </w:rPr>
            </w:pPr>
            <w:r w:rsidRPr="0005354A">
              <w:rPr>
                <w:color w:val="000000"/>
                <w:sz w:val="14"/>
                <w:szCs w:val="14"/>
              </w:rPr>
              <w:t>58.372</w:t>
            </w:r>
          </w:p>
        </w:tc>
        <w:tc>
          <w:tcPr>
            <w:tcW w:w="481" w:type="dxa"/>
            <w:vMerge w:val="restart"/>
            <w:shd w:val="clear" w:color="auto" w:fill="F3F9FA"/>
            <w:noWrap/>
            <w:vAlign w:val="center"/>
          </w:tcPr>
          <w:p w14:paraId="11E6FB3A"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vMerge w:val="restart"/>
            <w:shd w:val="clear" w:color="auto" w:fill="F3F9FA"/>
            <w:vAlign w:val="center"/>
          </w:tcPr>
          <w:p w14:paraId="6540AB5F"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7CFB4A67"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4F624B07"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08E51DE5"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58B87F34"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38F4E3C1"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F3F9FA"/>
            <w:vAlign w:val="center"/>
          </w:tcPr>
          <w:p w14:paraId="25D2323D"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0BDE20C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F3F9FA"/>
            <w:vAlign w:val="center"/>
          </w:tcPr>
          <w:p w14:paraId="639D6616" w14:textId="77777777" w:rsidR="004920D8" w:rsidRPr="00F45F13" w:rsidRDefault="004920D8" w:rsidP="00D64955">
            <w:pPr>
              <w:spacing w:before="0" w:after="0"/>
              <w:jc w:val="center"/>
              <w:rPr>
                <w:color w:val="000000"/>
                <w:sz w:val="14"/>
                <w:szCs w:val="14"/>
              </w:rPr>
            </w:pPr>
          </w:p>
        </w:tc>
      </w:tr>
      <w:tr w:rsidR="004920D8" w:rsidRPr="00015190" w14:paraId="531D283F" w14:textId="77777777" w:rsidTr="00D64955">
        <w:trPr>
          <w:trHeight w:val="170"/>
          <w:jc w:val="center"/>
        </w:trPr>
        <w:tc>
          <w:tcPr>
            <w:tcW w:w="836" w:type="dxa"/>
            <w:vMerge/>
            <w:shd w:val="clear" w:color="auto" w:fill="auto"/>
            <w:noWrap/>
            <w:vAlign w:val="center"/>
          </w:tcPr>
          <w:p w14:paraId="5C25F022"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367A3346"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090DE5FD"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753CE16A"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3BA09CCA" w14:textId="77777777" w:rsidR="004920D8" w:rsidRPr="00880D29" w:rsidRDefault="004920D8" w:rsidP="00D64955">
            <w:pPr>
              <w:spacing w:before="0" w:after="0"/>
              <w:jc w:val="center"/>
              <w:rPr>
                <w:color w:val="000000"/>
                <w:sz w:val="14"/>
                <w:szCs w:val="14"/>
              </w:rPr>
            </w:pPr>
            <w:r w:rsidRPr="00880D29">
              <w:rPr>
                <w:color w:val="000000"/>
                <w:sz w:val="14"/>
                <w:szCs w:val="14"/>
              </w:rPr>
              <w:t>GI2*</w:t>
            </w:r>
          </w:p>
        </w:tc>
        <w:tc>
          <w:tcPr>
            <w:tcW w:w="1579" w:type="dxa"/>
            <w:shd w:val="clear" w:color="auto" w:fill="F3F9FA"/>
            <w:noWrap/>
            <w:vAlign w:val="center"/>
          </w:tcPr>
          <w:p w14:paraId="1BABBFD6" w14:textId="77777777" w:rsidR="004920D8" w:rsidRPr="00880D29" w:rsidRDefault="004920D8" w:rsidP="00D64955">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14:paraId="26EB2F0A"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27785240" w14:textId="77777777" w:rsidR="004920D8" w:rsidRPr="0005354A" w:rsidRDefault="004920D8" w:rsidP="00D64955">
            <w:pPr>
              <w:spacing w:before="0" w:after="0"/>
              <w:jc w:val="center"/>
              <w:rPr>
                <w:color w:val="000000"/>
                <w:sz w:val="14"/>
                <w:szCs w:val="14"/>
              </w:rPr>
            </w:pPr>
            <w:r w:rsidRPr="0005354A">
              <w:rPr>
                <w:color w:val="000000"/>
                <w:sz w:val="14"/>
                <w:szCs w:val="14"/>
              </w:rPr>
              <w:t>45.696</w:t>
            </w:r>
          </w:p>
        </w:tc>
        <w:tc>
          <w:tcPr>
            <w:tcW w:w="576" w:type="dxa"/>
            <w:shd w:val="clear" w:color="auto" w:fill="F3F9FA"/>
            <w:noWrap/>
            <w:vAlign w:val="center"/>
          </w:tcPr>
          <w:p w14:paraId="4DF81CE4"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42794725" w14:textId="77777777" w:rsidR="004920D8" w:rsidRPr="0005354A" w:rsidRDefault="004920D8" w:rsidP="00D64955">
            <w:pPr>
              <w:spacing w:before="0" w:after="0"/>
              <w:jc w:val="center"/>
              <w:rPr>
                <w:color w:val="000000"/>
                <w:sz w:val="14"/>
                <w:szCs w:val="14"/>
              </w:rPr>
            </w:pPr>
            <w:r w:rsidRPr="0005354A">
              <w:rPr>
                <w:color w:val="000000"/>
                <w:sz w:val="14"/>
                <w:szCs w:val="14"/>
              </w:rPr>
              <w:t>58.566</w:t>
            </w:r>
          </w:p>
        </w:tc>
        <w:tc>
          <w:tcPr>
            <w:tcW w:w="481" w:type="dxa"/>
            <w:vMerge/>
            <w:shd w:val="clear" w:color="auto" w:fill="F3F9FA"/>
            <w:noWrap/>
            <w:vAlign w:val="center"/>
          </w:tcPr>
          <w:p w14:paraId="41AB3AFF"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61031955"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4EEFC3C5"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5F363A00"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3E5BFF3F"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6A5BE748"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62C4955D"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2AA2F351"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485D3ECB"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3C3EDFD1" w14:textId="77777777" w:rsidR="004920D8" w:rsidRPr="00F45F13" w:rsidRDefault="004920D8" w:rsidP="00D64955">
            <w:pPr>
              <w:spacing w:before="0" w:after="0"/>
              <w:jc w:val="center"/>
              <w:rPr>
                <w:color w:val="000000"/>
                <w:sz w:val="14"/>
                <w:szCs w:val="14"/>
              </w:rPr>
            </w:pPr>
          </w:p>
        </w:tc>
      </w:tr>
      <w:tr w:rsidR="004920D8" w:rsidRPr="00015190" w14:paraId="14FBD9F3" w14:textId="77777777" w:rsidTr="00D64955">
        <w:trPr>
          <w:trHeight w:val="170"/>
          <w:jc w:val="center"/>
        </w:trPr>
        <w:tc>
          <w:tcPr>
            <w:tcW w:w="836" w:type="dxa"/>
            <w:vMerge/>
            <w:shd w:val="clear" w:color="auto" w:fill="auto"/>
            <w:noWrap/>
            <w:vAlign w:val="center"/>
          </w:tcPr>
          <w:p w14:paraId="209DD221"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6192FC46"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5EE503C9"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12CF279D"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302F7399" w14:textId="77777777" w:rsidR="004920D8" w:rsidRPr="00880D29" w:rsidRDefault="004920D8" w:rsidP="00D64955">
            <w:pPr>
              <w:spacing w:before="0" w:after="0"/>
              <w:jc w:val="center"/>
              <w:rPr>
                <w:color w:val="000000"/>
                <w:sz w:val="14"/>
                <w:szCs w:val="14"/>
              </w:rPr>
            </w:pPr>
            <w:r w:rsidRPr="00880D29">
              <w:rPr>
                <w:color w:val="000000"/>
                <w:sz w:val="14"/>
                <w:szCs w:val="14"/>
              </w:rPr>
              <w:t>GI3^</w:t>
            </w:r>
          </w:p>
        </w:tc>
        <w:tc>
          <w:tcPr>
            <w:tcW w:w="1579" w:type="dxa"/>
            <w:shd w:val="clear" w:color="auto" w:fill="F3F9FA"/>
            <w:noWrap/>
            <w:vAlign w:val="center"/>
          </w:tcPr>
          <w:p w14:paraId="27728BF3" w14:textId="77777777" w:rsidR="004920D8" w:rsidRPr="00880D29" w:rsidRDefault="004920D8" w:rsidP="00D64955">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14:paraId="706FBB2C" w14:textId="77777777" w:rsidR="004920D8" w:rsidRPr="00880D29" w:rsidRDefault="004920D8" w:rsidP="00D64955">
            <w:pPr>
              <w:spacing w:before="0" w:after="0"/>
              <w:jc w:val="center"/>
              <w:rPr>
                <w:color w:val="000000"/>
                <w:sz w:val="14"/>
                <w:szCs w:val="14"/>
              </w:rPr>
            </w:pPr>
            <w:r w:rsidRPr="00880D29">
              <w:rPr>
                <w:color w:val="000000"/>
                <w:sz w:val="14"/>
                <w:szCs w:val="14"/>
              </w:rPr>
              <w:t>16°</w:t>
            </w:r>
          </w:p>
        </w:tc>
        <w:tc>
          <w:tcPr>
            <w:tcW w:w="830" w:type="dxa"/>
            <w:shd w:val="clear" w:color="auto" w:fill="F3F9FA"/>
            <w:noWrap/>
            <w:vAlign w:val="bottom"/>
          </w:tcPr>
          <w:p w14:paraId="096C7548" w14:textId="77777777" w:rsidR="004920D8" w:rsidRPr="0005354A" w:rsidRDefault="004920D8" w:rsidP="00D64955">
            <w:pPr>
              <w:spacing w:before="0" w:after="0"/>
              <w:jc w:val="center"/>
              <w:rPr>
                <w:color w:val="000000"/>
                <w:sz w:val="14"/>
                <w:szCs w:val="14"/>
              </w:rPr>
            </w:pPr>
            <w:r w:rsidRPr="0005354A">
              <w:rPr>
                <w:color w:val="000000"/>
                <w:sz w:val="14"/>
                <w:szCs w:val="14"/>
              </w:rPr>
              <w:t>45.294</w:t>
            </w:r>
          </w:p>
        </w:tc>
        <w:tc>
          <w:tcPr>
            <w:tcW w:w="576" w:type="dxa"/>
            <w:shd w:val="clear" w:color="auto" w:fill="F3F9FA"/>
            <w:noWrap/>
            <w:vAlign w:val="center"/>
          </w:tcPr>
          <w:p w14:paraId="20DC0D05" w14:textId="77777777" w:rsidR="004920D8" w:rsidRPr="00880D29" w:rsidRDefault="004920D8" w:rsidP="00D64955">
            <w:pPr>
              <w:spacing w:before="0" w:after="0"/>
              <w:jc w:val="center"/>
              <w:rPr>
                <w:color w:val="000000"/>
                <w:sz w:val="14"/>
                <w:szCs w:val="14"/>
              </w:rPr>
            </w:pPr>
            <w:r w:rsidRPr="00880D29">
              <w:rPr>
                <w:color w:val="000000"/>
                <w:sz w:val="14"/>
                <w:szCs w:val="14"/>
              </w:rPr>
              <w:t>145°</w:t>
            </w:r>
          </w:p>
        </w:tc>
        <w:tc>
          <w:tcPr>
            <w:tcW w:w="830" w:type="dxa"/>
            <w:shd w:val="clear" w:color="auto" w:fill="F3F9FA"/>
            <w:noWrap/>
            <w:vAlign w:val="bottom"/>
          </w:tcPr>
          <w:p w14:paraId="34EC45B2" w14:textId="77777777" w:rsidR="004920D8" w:rsidRPr="0005354A" w:rsidRDefault="004920D8" w:rsidP="00D64955">
            <w:pPr>
              <w:spacing w:before="0" w:after="0"/>
              <w:jc w:val="center"/>
              <w:rPr>
                <w:color w:val="000000"/>
                <w:sz w:val="14"/>
                <w:szCs w:val="14"/>
              </w:rPr>
            </w:pPr>
            <w:r w:rsidRPr="0005354A">
              <w:rPr>
                <w:color w:val="000000"/>
                <w:sz w:val="14"/>
                <w:szCs w:val="14"/>
              </w:rPr>
              <w:t>58.379</w:t>
            </w:r>
          </w:p>
        </w:tc>
        <w:tc>
          <w:tcPr>
            <w:tcW w:w="481" w:type="dxa"/>
            <w:shd w:val="clear" w:color="auto" w:fill="F3F9FA"/>
            <w:noWrap/>
            <w:vAlign w:val="center"/>
          </w:tcPr>
          <w:p w14:paraId="673A7F13"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shd w:val="clear" w:color="auto" w:fill="F3F9FA"/>
            <w:vAlign w:val="center"/>
          </w:tcPr>
          <w:p w14:paraId="4A29EBB2"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8" w:type="dxa"/>
            <w:shd w:val="clear" w:color="auto" w:fill="F3F9FA"/>
            <w:vAlign w:val="center"/>
          </w:tcPr>
          <w:p w14:paraId="4543E5CE" w14:textId="77777777" w:rsidR="004920D8" w:rsidRPr="00F45F13" w:rsidRDefault="004920D8" w:rsidP="00D64955">
            <w:pPr>
              <w:spacing w:before="0" w:after="0"/>
              <w:jc w:val="center"/>
              <w:rPr>
                <w:color w:val="000000"/>
                <w:sz w:val="14"/>
                <w:szCs w:val="14"/>
              </w:rPr>
            </w:pPr>
          </w:p>
        </w:tc>
        <w:tc>
          <w:tcPr>
            <w:tcW w:w="416" w:type="dxa"/>
            <w:shd w:val="clear" w:color="auto" w:fill="F3F9FA"/>
            <w:vAlign w:val="center"/>
          </w:tcPr>
          <w:p w14:paraId="58D3D704" w14:textId="77777777" w:rsidR="004920D8" w:rsidRPr="00F45F13" w:rsidRDefault="004920D8" w:rsidP="00D64955">
            <w:pPr>
              <w:spacing w:before="0" w:after="0"/>
              <w:jc w:val="center"/>
              <w:rPr>
                <w:color w:val="000000"/>
                <w:sz w:val="14"/>
                <w:szCs w:val="14"/>
              </w:rPr>
            </w:pPr>
          </w:p>
        </w:tc>
        <w:tc>
          <w:tcPr>
            <w:tcW w:w="418" w:type="dxa"/>
            <w:shd w:val="clear" w:color="auto" w:fill="F3F9FA"/>
            <w:vAlign w:val="center"/>
          </w:tcPr>
          <w:p w14:paraId="51ECA3B9"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F3F9FA"/>
            <w:vAlign w:val="center"/>
          </w:tcPr>
          <w:p w14:paraId="7E51BFED" w14:textId="77777777" w:rsidR="004920D8" w:rsidRPr="00F45F13" w:rsidRDefault="004920D8" w:rsidP="00D64955">
            <w:pPr>
              <w:spacing w:before="0" w:after="0"/>
              <w:jc w:val="center"/>
              <w:rPr>
                <w:color w:val="000000"/>
                <w:sz w:val="14"/>
                <w:szCs w:val="14"/>
              </w:rPr>
            </w:pPr>
          </w:p>
        </w:tc>
        <w:tc>
          <w:tcPr>
            <w:tcW w:w="422" w:type="dxa"/>
            <w:shd w:val="clear" w:color="auto" w:fill="F3F9FA"/>
            <w:vAlign w:val="center"/>
          </w:tcPr>
          <w:p w14:paraId="213CF17E"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shd w:val="clear" w:color="auto" w:fill="F3F9FA"/>
            <w:vAlign w:val="center"/>
          </w:tcPr>
          <w:p w14:paraId="3A09352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0" w:type="dxa"/>
            <w:shd w:val="clear" w:color="auto" w:fill="F3F9FA"/>
            <w:vAlign w:val="center"/>
          </w:tcPr>
          <w:p w14:paraId="0E482256"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shd w:val="clear" w:color="auto" w:fill="F3F9FA"/>
            <w:vAlign w:val="center"/>
          </w:tcPr>
          <w:p w14:paraId="0059ED93" w14:textId="77777777" w:rsidR="004920D8" w:rsidRPr="00F45F13" w:rsidRDefault="004920D8" w:rsidP="00D64955">
            <w:pPr>
              <w:spacing w:before="0" w:after="0"/>
              <w:jc w:val="center"/>
              <w:rPr>
                <w:color w:val="000000"/>
                <w:sz w:val="14"/>
                <w:szCs w:val="14"/>
              </w:rPr>
            </w:pPr>
          </w:p>
        </w:tc>
      </w:tr>
      <w:tr w:rsidR="004920D8" w:rsidRPr="00015190" w14:paraId="6169E885" w14:textId="77777777" w:rsidTr="00D64955">
        <w:trPr>
          <w:trHeight w:val="170"/>
          <w:jc w:val="center"/>
        </w:trPr>
        <w:tc>
          <w:tcPr>
            <w:tcW w:w="836" w:type="dxa"/>
            <w:vMerge/>
            <w:shd w:val="clear" w:color="auto" w:fill="auto"/>
            <w:noWrap/>
            <w:vAlign w:val="center"/>
          </w:tcPr>
          <w:p w14:paraId="1CE505F0"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1921950C" w14:textId="77777777" w:rsidR="004920D8" w:rsidRPr="00880D29" w:rsidRDefault="004920D8" w:rsidP="00D64955">
            <w:pPr>
              <w:spacing w:before="0" w:after="0"/>
              <w:jc w:val="center"/>
              <w:rPr>
                <w:color w:val="000000"/>
                <w:sz w:val="14"/>
                <w:szCs w:val="14"/>
              </w:rPr>
            </w:pPr>
          </w:p>
        </w:tc>
        <w:tc>
          <w:tcPr>
            <w:tcW w:w="1079" w:type="dxa"/>
            <w:vMerge w:val="restart"/>
            <w:shd w:val="clear" w:color="auto" w:fill="F3F9FA"/>
            <w:vAlign w:val="center"/>
          </w:tcPr>
          <w:p w14:paraId="385FB6A4" w14:textId="77777777" w:rsidR="004920D8" w:rsidRPr="00880D29" w:rsidRDefault="004920D8" w:rsidP="00D64955">
            <w:pPr>
              <w:spacing w:before="0" w:after="0"/>
              <w:jc w:val="center"/>
              <w:rPr>
                <w:color w:val="000000"/>
                <w:sz w:val="14"/>
                <w:szCs w:val="14"/>
              </w:rPr>
            </w:pPr>
            <w:r w:rsidRPr="00880D29">
              <w:rPr>
                <w:color w:val="000000"/>
                <w:sz w:val="14"/>
                <w:szCs w:val="14"/>
              </w:rPr>
              <w:t>Tully</w:t>
            </w:r>
            <w:r>
              <w:rPr>
                <w:color w:val="000000"/>
                <w:sz w:val="14"/>
                <w:szCs w:val="14"/>
              </w:rPr>
              <w:t xml:space="preserve"> / Murray / Herbert</w:t>
            </w:r>
          </w:p>
        </w:tc>
        <w:tc>
          <w:tcPr>
            <w:tcW w:w="1576" w:type="dxa"/>
            <w:vMerge w:val="restart"/>
            <w:shd w:val="clear" w:color="auto" w:fill="F3F9FA"/>
            <w:noWrap/>
            <w:vAlign w:val="center"/>
          </w:tcPr>
          <w:p w14:paraId="4AEE7DC8" w14:textId="77777777" w:rsidR="004920D8" w:rsidRPr="00880D29" w:rsidRDefault="004920D8" w:rsidP="00D64955">
            <w:pPr>
              <w:spacing w:before="0" w:after="0"/>
              <w:jc w:val="center"/>
              <w:rPr>
                <w:color w:val="000000"/>
                <w:sz w:val="14"/>
                <w:szCs w:val="14"/>
              </w:rPr>
            </w:pPr>
            <w:r w:rsidRPr="00880D29">
              <w:rPr>
                <w:color w:val="000000"/>
                <w:sz w:val="14"/>
                <w:szCs w:val="14"/>
              </w:rPr>
              <w:t>Mission Beach</w:t>
            </w:r>
          </w:p>
          <w:p w14:paraId="3A5C3115" w14:textId="77777777" w:rsidR="004920D8" w:rsidRPr="00880D29" w:rsidRDefault="004920D8" w:rsidP="00D64955">
            <w:pPr>
              <w:spacing w:before="0" w:after="0"/>
              <w:jc w:val="center"/>
              <w:rPr>
                <w:i/>
                <w:color w:val="000000"/>
                <w:sz w:val="14"/>
                <w:szCs w:val="14"/>
              </w:rPr>
            </w:pPr>
            <w:r w:rsidRPr="00880D29">
              <w:rPr>
                <w:i/>
                <w:color w:val="000000"/>
                <w:sz w:val="14"/>
                <w:szCs w:val="14"/>
              </w:rPr>
              <w:t xml:space="preserve">coastal </w:t>
            </w:r>
          </w:p>
        </w:tc>
        <w:tc>
          <w:tcPr>
            <w:tcW w:w="674" w:type="dxa"/>
            <w:shd w:val="clear" w:color="auto" w:fill="F3F9FA"/>
            <w:noWrap/>
            <w:vAlign w:val="center"/>
          </w:tcPr>
          <w:p w14:paraId="7DD3BAC8" w14:textId="77777777" w:rsidR="004920D8" w:rsidRPr="00880D29" w:rsidRDefault="004920D8" w:rsidP="00D64955">
            <w:pPr>
              <w:spacing w:before="0" w:after="0"/>
              <w:jc w:val="center"/>
              <w:rPr>
                <w:color w:val="000000"/>
                <w:sz w:val="14"/>
                <w:szCs w:val="14"/>
              </w:rPr>
            </w:pPr>
            <w:r w:rsidRPr="00880D29">
              <w:rPr>
                <w:color w:val="000000"/>
                <w:sz w:val="14"/>
                <w:szCs w:val="14"/>
              </w:rPr>
              <w:t>LB1*</w:t>
            </w:r>
          </w:p>
        </w:tc>
        <w:tc>
          <w:tcPr>
            <w:tcW w:w="1579" w:type="dxa"/>
            <w:shd w:val="clear" w:color="auto" w:fill="F3F9FA"/>
            <w:noWrap/>
            <w:vAlign w:val="center"/>
          </w:tcPr>
          <w:p w14:paraId="3EB187C9" w14:textId="77777777" w:rsidR="004920D8" w:rsidRPr="00880D29" w:rsidRDefault="004920D8" w:rsidP="00D64955">
            <w:pPr>
              <w:spacing w:before="0" w:after="0"/>
              <w:jc w:val="center"/>
              <w:rPr>
                <w:color w:val="000000"/>
                <w:sz w:val="14"/>
                <w:szCs w:val="14"/>
              </w:rPr>
            </w:pPr>
            <w:r w:rsidRPr="00880D29">
              <w:rPr>
                <w:color w:val="000000"/>
                <w:sz w:val="14"/>
                <w:szCs w:val="14"/>
              </w:rPr>
              <w:t>Lugger Bay</w:t>
            </w:r>
          </w:p>
        </w:tc>
        <w:tc>
          <w:tcPr>
            <w:tcW w:w="486" w:type="dxa"/>
            <w:shd w:val="clear" w:color="auto" w:fill="F3F9FA"/>
            <w:noWrap/>
            <w:vAlign w:val="center"/>
          </w:tcPr>
          <w:p w14:paraId="3BB3110C" w14:textId="77777777" w:rsidR="004920D8" w:rsidRPr="00880D29" w:rsidRDefault="004920D8" w:rsidP="00D64955">
            <w:pPr>
              <w:spacing w:before="0" w:after="0"/>
              <w:jc w:val="center"/>
              <w:rPr>
                <w:color w:val="000000"/>
                <w:sz w:val="14"/>
                <w:szCs w:val="14"/>
              </w:rPr>
            </w:pPr>
            <w:r w:rsidRPr="00880D29">
              <w:rPr>
                <w:color w:val="000000"/>
                <w:sz w:val="14"/>
                <w:szCs w:val="14"/>
              </w:rPr>
              <w:t>17°</w:t>
            </w:r>
          </w:p>
        </w:tc>
        <w:tc>
          <w:tcPr>
            <w:tcW w:w="830" w:type="dxa"/>
            <w:shd w:val="clear" w:color="auto" w:fill="F3F9FA"/>
            <w:noWrap/>
            <w:vAlign w:val="bottom"/>
          </w:tcPr>
          <w:p w14:paraId="5FA1C9D5" w14:textId="77777777" w:rsidR="004920D8" w:rsidRPr="0005354A" w:rsidRDefault="004920D8" w:rsidP="00D64955">
            <w:pPr>
              <w:spacing w:before="0" w:after="0"/>
              <w:jc w:val="center"/>
              <w:rPr>
                <w:color w:val="000000"/>
                <w:sz w:val="14"/>
                <w:szCs w:val="14"/>
              </w:rPr>
            </w:pPr>
            <w:r w:rsidRPr="0005354A">
              <w:rPr>
                <w:color w:val="000000"/>
                <w:sz w:val="14"/>
                <w:szCs w:val="14"/>
              </w:rPr>
              <w:t>57.645</w:t>
            </w:r>
          </w:p>
        </w:tc>
        <w:tc>
          <w:tcPr>
            <w:tcW w:w="576" w:type="dxa"/>
            <w:shd w:val="clear" w:color="auto" w:fill="F3F9FA"/>
            <w:noWrap/>
            <w:vAlign w:val="center"/>
          </w:tcPr>
          <w:p w14:paraId="5CC8CD5D"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F3F9FA"/>
            <w:noWrap/>
            <w:vAlign w:val="bottom"/>
          </w:tcPr>
          <w:p w14:paraId="1E7B5296" w14:textId="77777777" w:rsidR="004920D8" w:rsidRPr="0005354A" w:rsidRDefault="004920D8" w:rsidP="00D64955">
            <w:pPr>
              <w:spacing w:before="0" w:after="0"/>
              <w:jc w:val="center"/>
              <w:rPr>
                <w:color w:val="000000"/>
                <w:sz w:val="14"/>
                <w:szCs w:val="14"/>
              </w:rPr>
            </w:pPr>
            <w:r w:rsidRPr="0005354A">
              <w:rPr>
                <w:color w:val="000000"/>
                <w:sz w:val="14"/>
                <w:szCs w:val="14"/>
              </w:rPr>
              <w:t>5.603</w:t>
            </w:r>
          </w:p>
        </w:tc>
        <w:tc>
          <w:tcPr>
            <w:tcW w:w="481" w:type="dxa"/>
            <w:vMerge w:val="restart"/>
            <w:shd w:val="clear" w:color="auto" w:fill="F3F9FA"/>
            <w:noWrap/>
            <w:vAlign w:val="center"/>
          </w:tcPr>
          <w:p w14:paraId="7C1C0A3F"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5AC21735"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63014410"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429D04A9"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1CC8A1F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57FB0B2D"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54E893E4"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F3F9FA"/>
            <w:vAlign w:val="center"/>
          </w:tcPr>
          <w:p w14:paraId="797E63CC"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00C77E60"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0047E6B2" w14:textId="77777777" w:rsidR="004920D8" w:rsidRPr="00F45F13" w:rsidRDefault="004920D8" w:rsidP="00D64955">
            <w:pPr>
              <w:spacing w:before="0" w:after="0"/>
              <w:jc w:val="center"/>
              <w:rPr>
                <w:color w:val="000000"/>
                <w:sz w:val="14"/>
                <w:szCs w:val="14"/>
              </w:rPr>
            </w:pPr>
          </w:p>
        </w:tc>
      </w:tr>
      <w:tr w:rsidR="004920D8" w:rsidRPr="00015190" w14:paraId="6247F96A" w14:textId="77777777" w:rsidTr="00D64955">
        <w:trPr>
          <w:trHeight w:val="170"/>
          <w:jc w:val="center"/>
        </w:trPr>
        <w:tc>
          <w:tcPr>
            <w:tcW w:w="836" w:type="dxa"/>
            <w:vMerge/>
            <w:shd w:val="clear" w:color="auto" w:fill="auto"/>
            <w:noWrap/>
            <w:vAlign w:val="center"/>
          </w:tcPr>
          <w:p w14:paraId="370A21F3"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1AC53D5F"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1BD0340A"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1D6924E6"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65B9470C" w14:textId="77777777" w:rsidR="004920D8" w:rsidRPr="00880D29" w:rsidRDefault="004920D8" w:rsidP="00D64955">
            <w:pPr>
              <w:spacing w:before="0" w:after="0"/>
              <w:jc w:val="center"/>
              <w:rPr>
                <w:iCs/>
                <w:color w:val="000000"/>
                <w:sz w:val="14"/>
                <w:szCs w:val="14"/>
              </w:rPr>
            </w:pPr>
            <w:r w:rsidRPr="00880D29">
              <w:rPr>
                <w:iCs/>
                <w:color w:val="000000"/>
                <w:sz w:val="14"/>
                <w:szCs w:val="14"/>
              </w:rPr>
              <w:t>LB2*</w:t>
            </w:r>
          </w:p>
        </w:tc>
        <w:tc>
          <w:tcPr>
            <w:tcW w:w="1579" w:type="dxa"/>
            <w:shd w:val="clear" w:color="auto" w:fill="F3F9FA"/>
            <w:noWrap/>
            <w:vAlign w:val="center"/>
          </w:tcPr>
          <w:p w14:paraId="0FE779BE" w14:textId="77777777" w:rsidR="004920D8" w:rsidRPr="00880D29" w:rsidRDefault="004920D8" w:rsidP="00D64955">
            <w:pPr>
              <w:spacing w:before="0" w:after="0"/>
              <w:jc w:val="center"/>
              <w:rPr>
                <w:color w:val="000000"/>
                <w:sz w:val="14"/>
                <w:szCs w:val="14"/>
              </w:rPr>
            </w:pPr>
            <w:r w:rsidRPr="00880D29">
              <w:rPr>
                <w:color w:val="000000"/>
                <w:sz w:val="14"/>
                <w:szCs w:val="14"/>
              </w:rPr>
              <w:t>Lugger Bay</w:t>
            </w:r>
          </w:p>
        </w:tc>
        <w:tc>
          <w:tcPr>
            <w:tcW w:w="486" w:type="dxa"/>
            <w:shd w:val="clear" w:color="auto" w:fill="F3F9FA"/>
            <w:noWrap/>
            <w:vAlign w:val="center"/>
          </w:tcPr>
          <w:p w14:paraId="3E363475" w14:textId="77777777" w:rsidR="004920D8" w:rsidRPr="00880D29" w:rsidRDefault="004920D8" w:rsidP="00D64955">
            <w:pPr>
              <w:spacing w:before="0" w:after="0"/>
              <w:jc w:val="center"/>
              <w:rPr>
                <w:color w:val="000000"/>
                <w:sz w:val="14"/>
                <w:szCs w:val="14"/>
              </w:rPr>
            </w:pPr>
            <w:r w:rsidRPr="00880D29">
              <w:rPr>
                <w:color w:val="000000"/>
                <w:sz w:val="14"/>
                <w:szCs w:val="14"/>
              </w:rPr>
              <w:t>17°</w:t>
            </w:r>
          </w:p>
        </w:tc>
        <w:tc>
          <w:tcPr>
            <w:tcW w:w="830" w:type="dxa"/>
            <w:shd w:val="clear" w:color="auto" w:fill="F3F9FA"/>
            <w:noWrap/>
            <w:vAlign w:val="bottom"/>
          </w:tcPr>
          <w:p w14:paraId="40873C74" w14:textId="77777777" w:rsidR="004920D8" w:rsidRPr="0005354A" w:rsidRDefault="004920D8" w:rsidP="00D64955">
            <w:pPr>
              <w:spacing w:before="0" w:after="0"/>
              <w:jc w:val="center"/>
              <w:rPr>
                <w:color w:val="000000"/>
                <w:sz w:val="14"/>
                <w:szCs w:val="14"/>
              </w:rPr>
            </w:pPr>
            <w:r w:rsidRPr="0005354A">
              <w:rPr>
                <w:color w:val="000000"/>
                <w:sz w:val="14"/>
                <w:szCs w:val="14"/>
              </w:rPr>
              <w:t>57.672</w:t>
            </w:r>
          </w:p>
        </w:tc>
        <w:tc>
          <w:tcPr>
            <w:tcW w:w="576" w:type="dxa"/>
            <w:shd w:val="clear" w:color="auto" w:fill="F3F9FA"/>
            <w:noWrap/>
            <w:vAlign w:val="center"/>
          </w:tcPr>
          <w:p w14:paraId="1F2700B7"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F3F9FA"/>
            <w:noWrap/>
            <w:vAlign w:val="bottom"/>
          </w:tcPr>
          <w:p w14:paraId="36532667" w14:textId="77777777" w:rsidR="004920D8" w:rsidRPr="0005354A" w:rsidRDefault="004920D8" w:rsidP="00D64955">
            <w:pPr>
              <w:spacing w:before="0" w:after="0"/>
              <w:jc w:val="center"/>
              <w:rPr>
                <w:color w:val="000000"/>
                <w:sz w:val="14"/>
                <w:szCs w:val="14"/>
              </w:rPr>
            </w:pPr>
            <w:r w:rsidRPr="0005354A">
              <w:rPr>
                <w:color w:val="000000"/>
                <w:sz w:val="14"/>
                <w:szCs w:val="14"/>
              </w:rPr>
              <w:t>5.626</w:t>
            </w:r>
          </w:p>
        </w:tc>
        <w:tc>
          <w:tcPr>
            <w:tcW w:w="481" w:type="dxa"/>
            <w:vMerge/>
            <w:shd w:val="clear" w:color="auto" w:fill="F3F9FA"/>
            <w:noWrap/>
            <w:vAlign w:val="center"/>
          </w:tcPr>
          <w:p w14:paraId="2EF5008E"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082317D6"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455634D3"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17355274"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73A8F0C6"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3329C475"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64627EF7"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31ADA7FE"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6E128214"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57152C0E" w14:textId="77777777" w:rsidR="004920D8" w:rsidRPr="00F45F13" w:rsidRDefault="004920D8" w:rsidP="00D64955">
            <w:pPr>
              <w:spacing w:before="0" w:after="0"/>
              <w:jc w:val="center"/>
              <w:rPr>
                <w:color w:val="000000"/>
                <w:sz w:val="14"/>
                <w:szCs w:val="14"/>
              </w:rPr>
            </w:pPr>
          </w:p>
        </w:tc>
      </w:tr>
      <w:tr w:rsidR="004920D8" w:rsidRPr="00015190" w14:paraId="0476A0F5" w14:textId="77777777" w:rsidTr="00D64955">
        <w:trPr>
          <w:trHeight w:val="170"/>
          <w:jc w:val="center"/>
        </w:trPr>
        <w:tc>
          <w:tcPr>
            <w:tcW w:w="836" w:type="dxa"/>
            <w:vMerge/>
            <w:shd w:val="clear" w:color="auto" w:fill="auto"/>
            <w:noWrap/>
            <w:vAlign w:val="center"/>
          </w:tcPr>
          <w:p w14:paraId="7E3839A9"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4E0906A6"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4B50EAB1"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F3F9FA"/>
            <w:noWrap/>
            <w:vAlign w:val="center"/>
          </w:tcPr>
          <w:p w14:paraId="7A4860B7" w14:textId="77777777" w:rsidR="004920D8" w:rsidRPr="00880D29" w:rsidRDefault="004920D8" w:rsidP="00D64955">
            <w:pPr>
              <w:spacing w:before="0" w:after="0"/>
              <w:jc w:val="center"/>
              <w:rPr>
                <w:color w:val="000000"/>
                <w:sz w:val="14"/>
                <w:szCs w:val="14"/>
              </w:rPr>
            </w:pPr>
            <w:r w:rsidRPr="00880D29">
              <w:rPr>
                <w:color w:val="000000"/>
                <w:sz w:val="14"/>
                <w:szCs w:val="14"/>
              </w:rPr>
              <w:t>Dunk Island</w:t>
            </w:r>
          </w:p>
          <w:p w14:paraId="45B33335" w14:textId="77777777" w:rsidR="004920D8" w:rsidRPr="00880D29" w:rsidRDefault="004920D8" w:rsidP="00D64955">
            <w:pPr>
              <w:spacing w:before="0" w:after="0"/>
              <w:jc w:val="center"/>
              <w:rPr>
                <w:i/>
                <w:color w:val="000000"/>
                <w:sz w:val="14"/>
                <w:szCs w:val="14"/>
              </w:rPr>
            </w:pPr>
            <w:r w:rsidRPr="00880D29">
              <w:rPr>
                <w:i/>
                <w:color w:val="000000"/>
                <w:sz w:val="14"/>
                <w:szCs w:val="14"/>
              </w:rPr>
              <w:t>reef</w:t>
            </w:r>
          </w:p>
        </w:tc>
        <w:tc>
          <w:tcPr>
            <w:tcW w:w="674" w:type="dxa"/>
            <w:shd w:val="clear" w:color="auto" w:fill="F3F9FA"/>
            <w:noWrap/>
            <w:vAlign w:val="center"/>
          </w:tcPr>
          <w:p w14:paraId="06C0534C" w14:textId="77777777" w:rsidR="004920D8" w:rsidRPr="00880D29" w:rsidRDefault="004920D8" w:rsidP="00D64955">
            <w:pPr>
              <w:spacing w:before="0" w:after="0"/>
              <w:jc w:val="center"/>
              <w:rPr>
                <w:iCs/>
                <w:color w:val="000000"/>
                <w:sz w:val="14"/>
                <w:szCs w:val="14"/>
              </w:rPr>
            </w:pPr>
            <w:r w:rsidRPr="00880D29">
              <w:rPr>
                <w:iCs/>
                <w:color w:val="000000"/>
                <w:sz w:val="14"/>
                <w:szCs w:val="14"/>
              </w:rPr>
              <w:t>DI1*</w:t>
            </w:r>
          </w:p>
        </w:tc>
        <w:tc>
          <w:tcPr>
            <w:tcW w:w="1579" w:type="dxa"/>
            <w:shd w:val="clear" w:color="auto" w:fill="F3F9FA"/>
            <w:noWrap/>
            <w:vAlign w:val="center"/>
          </w:tcPr>
          <w:p w14:paraId="1B483253" w14:textId="77777777" w:rsidR="004920D8" w:rsidRPr="00880D29" w:rsidRDefault="004920D8" w:rsidP="00D64955">
            <w:pPr>
              <w:spacing w:before="0" w:after="0"/>
              <w:jc w:val="center"/>
              <w:rPr>
                <w:color w:val="000000"/>
                <w:sz w:val="14"/>
                <w:szCs w:val="14"/>
              </w:rPr>
            </w:pPr>
            <w:r>
              <w:rPr>
                <w:color w:val="000000"/>
                <w:sz w:val="14"/>
                <w:szCs w:val="14"/>
              </w:rPr>
              <w:t>Pallon Beach</w:t>
            </w:r>
          </w:p>
        </w:tc>
        <w:tc>
          <w:tcPr>
            <w:tcW w:w="486" w:type="dxa"/>
            <w:shd w:val="clear" w:color="auto" w:fill="F3F9FA"/>
            <w:noWrap/>
            <w:vAlign w:val="center"/>
          </w:tcPr>
          <w:p w14:paraId="3BBF57F8" w14:textId="77777777" w:rsidR="004920D8" w:rsidRPr="00880D29" w:rsidRDefault="004920D8" w:rsidP="00D64955">
            <w:pPr>
              <w:spacing w:before="0" w:after="0"/>
              <w:jc w:val="center"/>
              <w:rPr>
                <w:color w:val="000000"/>
                <w:sz w:val="14"/>
                <w:szCs w:val="14"/>
              </w:rPr>
            </w:pPr>
            <w:r w:rsidRPr="00880D29">
              <w:rPr>
                <w:color w:val="000000"/>
                <w:sz w:val="14"/>
                <w:szCs w:val="14"/>
              </w:rPr>
              <w:t>17°</w:t>
            </w:r>
          </w:p>
        </w:tc>
        <w:tc>
          <w:tcPr>
            <w:tcW w:w="830" w:type="dxa"/>
            <w:shd w:val="clear" w:color="auto" w:fill="F3F9FA"/>
            <w:noWrap/>
            <w:vAlign w:val="bottom"/>
          </w:tcPr>
          <w:p w14:paraId="369E9950" w14:textId="77777777" w:rsidR="004920D8" w:rsidRPr="0005354A" w:rsidRDefault="004920D8" w:rsidP="00D64955">
            <w:pPr>
              <w:spacing w:before="0" w:after="0"/>
              <w:jc w:val="center"/>
              <w:rPr>
                <w:color w:val="000000"/>
                <w:sz w:val="14"/>
                <w:szCs w:val="14"/>
              </w:rPr>
            </w:pPr>
            <w:r w:rsidRPr="0005354A">
              <w:rPr>
                <w:color w:val="000000"/>
                <w:sz w:val="14"/>
                <w:szCs w:val="14"/>
              </w:rPr>
              <w:t>56.646</w:t>
            </w:r>
          </w:p>
        </w:tc>
        <w:tc>
          <w:tcPr>
            <w:tcW w:w="576" w:type="dxa"/>
            <w:shd w:val="clear" w:color="auto" w:fill="F3F9FA"/>
            <w:noWrap/>
            <w:vAlign w:val="center"/>
          </w:tcPr>
          <w:p w14:paraId="7D6C7231"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F3F9FA"/>
            <w:noWrap/>
            <w:vAlign w:val="bottom"/>
          </w:tcPr>
          <w:p w14:paraId="4465C3BA" w14:textId="77777777" w:rsidR="004920D8" w:rsidRPr="0005354A" w:rsidRDefault="004920D8" w:rsidP="00D64955">
            <w:pPr>
              <w:spacing w:before="0" w:after="0"/>
              <w:jc w:val="center"/>
              <w:rPr>
                <w:color w:val="000000"/>
                <w:sz w:val="14"/>
                <w:szCs w:val="14"/>
              </w:rPr>
            </w:pPr>
            <w:r w:rsidRPr="0005354A">
              <w:rPr>
                <w:color w:val="000000"/>
                <w:sz w:val="14"/>
                <w:szCs w:val="14"/>
              </w:rPr>
              <w:t>8.452</w:t>
            </w:r>
          </w:p>
        </w:tc>
        <w:tc>
          <w:tcPr>
            <w:tcW w:w="481" w:type="dxa"/>
            <w:vMerge w:val="restart"/>
            <w:shd w:val="clear" w:color="auto" w:fill="F3F9FA"/>
            <w:noWrap/>
            <w:vAlign w:val="center"/>
          </w:tcPr>
          <w:p w14:paraId="0F128F3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vMerge w:val="restart"/>
            <w:shd w:val="clear" w:color="auto" w:fill="F3F9FA"/>
            <w:vAlign w:val="center"/>
          </w:tcPr>
          <w:p w14:paraId="560CDFE2"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8" w:type="dxa"/>
            <w:vMerge w:val="restart"/>
            <w:shd w:val="clear" w:color="auto" w:fill="F3F9FA"/>
            <w:vAlign w:val="center"/>
          </w:tcPr>
          <w:p w14:paraId="46F5D611"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60221268"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1628FD85"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3D9293B6"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3B39700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F3F9FA"/>
            <w:vAlign w:val="center"/>
          </w:tcPr>
          <w:p w14:paraId="258B9E40"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7842D1B1"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vMerge w:val="restart"/>
            <w:shd w:val="clear" w:color="auto" w:fill="F3F9FA"/>
            <w:vAlign w:val="center"/>
          </w:tcPr>
          <w:p w14:paraId="36736857" w14:textId="77777777" w:rsidR="004920D8" w:rsidRPr="00F45F13" w:rsidRDefault="004920D8" w:rsidP="00D64955">
            <w:pPr>
              <w:spacing w:before="0" w:after="0"/>
              <w:jc w:val="center"/>
              <w:rPr>
                <w:color w:val="000000"/>
                <w:sz w:val="14"/>
                <w:szCs w:val="14"/>
              </w:rPr>
            </w:pPr>
          </w:p>
        </w:tc>
      </w:tr>
      <w:tr w:rsidR="004920D8" w:rsidRPr="00015190" w14:paraId="73E4A33F" w14:textId="77777777" w:rsidTr="00D64955">
        <w:trPr>
          <w:trHeight w:val="170"/>
          <w:jc w:val="center"/>
        </w:trPr>
        <w:tc>
          <w:tcPr>
            <w:tcW w:w="836" w:type="dxa"/>
            <w:vMerge/>
            <w:shd w:val="clear" w:color="auto" w:fill="auto"/>
            <w:noWrap/>
            <w:vAlign w:val="center"/>
          </w:tcPr>
          <w:p w14:paraId="56099831"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49206AB0"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7BA9C870"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3B7B5D1C"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06AFCEB9" w14:textId="77777777" w:rsidR="004920D8" w:rsidRPr="00880D29" w:rsidRDefault="004920D8" w:rsidP="00D64955">
            <w:pPr>
              <w:spacing w:before="0" w:after="0"/>
              <w:jc w:val="center"/>
              <w:rPr>
                <w:iCs/>
                <w:color w:val="000000"/>
                <w:sz w:val="14"/>
                <w:szCs w:val="14"/>
              </w:rPr>
            </w:pPr>
            <w:r w:rsidRPr="00880D29">
              <w:rPr>
                <w:iCs/>
                <w:color w:val="000000"/>
                <w:sz w:val="14"/>
                <w:szCs w:val="14"/>
              </w:rPr>
              <w:t>DI2*</w:t>
            </w:r>
          </w:p>
        </w:tc>
        <w:tc>
          <w:tcPr>
            <w:tcW w:w="1579" w:type="dxa"/>
            <w:shd w:val="clear" w:color="auto" w:fill="F3F9FA"/>
            <w:noWrap/>
            <w:vAlign w:val="center"/>
          </w:tcPr>
          <w:p w14:paraId="219A30A1" w14:textId="77777777" w:rsidR="004920D8" w:rsidRPr="00880D29" w:rsidRDefault="004920D8" w:rsidP="00D64955">
            <w:pPr>
              <w:spacing w:before="0" w:after="0"/>
              <w:jc w:val="center"/>
              <w:rPr>
                <w:color w:val="000000"/>
                <w:sz w:val="14"/>
                <w:szCs w:val="14"/>
              </w:rPr>
            </w:pPr>
            <w:r>
              <w:rPr>
                <w:color w:val="000000"/>
                <w:sz w:val="14"/>
                <w:szCs w:val="14"/>
              </w:rPr>
              <w:t>Pallon Beach</w:t>
            </w:r>
          </w:p>
        </w:tc>
        <w:tc>
          <w:tcPr>
            <w:tcW w:w="486" w:type="dxa"/>
            <w:shd w:val="clear" w:color="auto" w:fill="F3F9FA"/>
            <w:noWrap/>
            <w:vAlign w:val="center"/>
          </w:tcPr>
          <w:p w14:paraId="3348446A" w14:textId="77777777" w:rsidR="004920D8" w:rsidRPr="00880D29" w:rsidRDefault="004920D8" w:rsidP="00D64955">
            <w:pPr>
              <w:spacing w:before="0" w:after="0"/>
              <w:jc w:val="center"/>
              <w:rPr>
                <w:color w:val="000000"/>
                <w:sz w:val="14"/>
                <w:szCs w:val="14"/>
              </w:rPr>
            </w:pPr>
            <w:r w:rsidRPr="00880D29">
              <w:rPr>
                <w:color w:val="000000"/>
                <w:sz w:val="14"/>
                <w:szCs w:val="14"/>
              </w:rPr>
              <w:t>17°</w:t>
            </w:r>
          </w:p>
        </w:tc>
        <w:tc>
          <w:tcPr>
            <w:tcW w:w="830" w:type="dxa"/>
            <w:shd w:val="clear" w:color="auto" w:fill="F3F9FA"/>
            <w:noWrap/>
            <w:vAlign w:val="bottom"/>
          </w:tcPr>
          <w:p w14:paraId="76756BA0" w14:textId="77777777" w:rsidR="004920D8" w:rsidRPr="0005354A" w:rsidRDefault="004920D8" w:rsidP="00D64955">
            <w:pPr>
              <w:spacing w:before="0" w:after="0"/>
              <w:jc w:val="center"/>
              <w:rPr>
                <w:color w:val="000000"/>
                <w:sz w:val="14"/>
                <w:szCs w:val="14"/>
              </w:rPr>
            </w:pPr>
            <w:r w:rsidRPr="0005354A">
              <w:rPr>
                <w:color w:val="000000"/>
                <w:sz w:val="14"/>
                <w:szCs w:val="14"/>
              </w:rPr>
              <w:t>56.734</w:t>
            </w:r>
          </w:p>
        </w:tc>
        <w:tc>
          <w:tcPr>
            <w:tcW w:w="576" w:type="dxa"/>
            <w:shd w:val="clear" w:color="auto" w:fill="F3F9FA"/>
            <w:noWrap/>
            <w:vAlign w:val="center"/>
          </w:tcPr>
          <w:p w14:paraId="11AEC028"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F3F9FA"/>
            <w:noWrap/>
            <w:vAlign w:val="bottom"/>
          </w:tcPr>
          <w:p w14:paraId="780E68B6" w14:textId="77777777" w:rsidR="004920D8" w:rsidRPr="0005354A" w:rsidRDefault="004920D8" w:rsidP="00D64955">
            <w:pPr>
              <w:spacing w:before="0" w:after="0"/>
              <w:jc w:val="center"/>
              <w:rPr>
                <w:color w:val="000000"/>
                <w:sz w:val="14"/>
                <w:szCs w:val="14"/>
              </w:rPr>
            </w:pPr>
            <w:r w:rsidRPr="0005354A">
              <w:rPr>
                <w:color w:val="000000"/>
                <w:sz w:val="14"/>
                <w:szCs w:val="14"/>
              </w:rPr>
              <w:t>8.450</w:t>
            </w:r>
          </w:p>
        </w:tc>
        <w:tc>
          <w:tcPr>
            <w:tcW w:w="481" w:type="dxa"/>
            <w:vMerge/>
            <w:shd w:val="clear" w:color="auto" w:fill="F3F9FA"/>
            <w:noWrap/>
            <w:vAlign w:val="center"/>
          </w:tcPr>
          <w:p w14:paraId="5BD4186F"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72BA4026"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6E3BEC3C"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0BE2B283"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12E6F0AF"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40AC19AE"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2561F337"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39BC5800"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0988DBBC"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626265B4" w14:textId="77777777" w:rsidR="004920D8" w:rsidRPr="00F45F13" w:rsidRDefault="004920D8" w:rsidP="00D64955">
            <w:pPr>
              <w:spacing w:before="0" w:after="0"/>
              <w:jc w:val="center"/>
              <w:rPr>
                <w:color w:val="000000"/>
                <w:sz w:val="14"/>
                <w:szCs w:val="14"/>
              </w:rPr>
            </w:pPr>
          </w:p>
        </w:tc>
      </w:tr>
      <w:tr w:rsidR="004920D8" w:rsidRPr="00015190" w14:paraId="1A09819A" w14:textId="77777777" w:rsidTr="00D64955">
        <w:trPr>
          <w:trHeight w:val="170"/>
          <w:jc w:val="center"/>
        </w:trPr>
        <w:tc>
          <w:tcPr>
            <w:tcW w:w="836" w:type="dxa"/>
            <w:vMerge/>
            <w:shd w:val="clear" w:color="auto" w:fill="auto"/>
            <w:noWrap/>
            <w:vAlign w:val="center"/>
          </w:tcPr>
          <w:p w14:paraId="2557A791"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2EC42CEF"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36FC9CB3"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14144AA2"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697FE6E4" w14:textId="77777777" w:rsidR="004920D8" w:rsidRPr="00880D29" w:rsidRDefault="004920D8" w:rsidP="00D64955">
            <w:pPr>
              <w:spacing w:before="0" w:after="0"/>
              <w:jc w:val="center"/>
              <w:rPr>
                <w:iCs/>
                <w:color w:val="000000"/>
                <w:sz w:val="14"/>
                <w:szCs w:val="14"/>
              </w:rPr>
            </w:pPr>
            <w:r w:rsidRPr="00880D29">
              <w:rPr>
                <w:iCs/>
                <w:color w:val="000000"/>
                <w:sz w:val="14"/>
                <w:szCs w:val="14"/>
              </w:rPr>
              <w:t>DI3^</w:t>
            </w:r>
          </w:p>
        </w:tc>
        <w:tc>
          <w:tcPr>
            <w:tcW w:w="1579" w:type="dxa"/>
            <w:shd w:val="clear" w:color="auto" w:fill="F3F9FA"/>
            <w:noWrap/>
            <w:vAlign w:val="center"/>
          </w:tcPr>
          <w:p w14:paraId="6AC9A1F3" w14:textId="77777777" w:rsidR="004920D8" w:rsidRPr="00880D29" w:rsidRDefault="004920D8" w:rsidP="00D64955">
            <w:pPr>
              <w:spacing w:before="0" w:after="0"/>
              <w:jc w:val="center"/>
              <w:rPr>
                <w:color w:val="000000"/>
                <w:sz w:val="14"/>
                <w:szCs w:val="14"/>
              </w:rPr>
            </w:pPr>
            <w:r>
              <w:rPr>
                <w:color w:val="000000"/>
                <w:sz w:val="14"/>
                <w:szCs w:val="14"/>
              </w:rPr>
              <w:t>Brammo Bay</w:t>
            </w:r>
          </w:p>
        </w:tc>
        <w:tc>
          <w:tcPr>
            <w:tcW w:w="486" w:type="dxa"/>
            <w:shd w:val="clear" w:color="auto" w:fill="F3F9FA"/>
            <w:noWrap/>
            <w:vAlign w:val="center"/>
          </w:tcPr>
          <w:p w14:paraId="5456E169" w14:textId="77777777" w:rsidR="004920D8" w:rsidRPr="00880D29" w:rsidRDefault="004920D8" w:rsidP="00D64955">
            <w:pPr>
              <w:spacing w:before="0" w:after="0"/>
              <w:jc w:val="center"/>
              <w:rPr>
                <w:color w:val="000000"/>
                <w:sz w:val="14"/>
                <w:szCs w:val="14"/>
              </w:rPr>
            </w:pPr>
            <w:r w:rsidRPr="00880D29">
              <w:rPr>
                <w:color w:val="000000"/>
                <w:sz w:val="14"/>
                <w:szCs w:val="14"/>
              </w:rPr>
              <w:t>17°</w:t>
            </w:r>
          </w:p>
        </w:tc>
        <w:tc>
          <w:tcPr>
            <w:tcW w:w="830" w:type="dxa"/>
            <w:shd w:val="clear" w:color="auto" w:fill="F3F9FA"/>
            <w:noWrap/>
            <w:vAlign w:val="bottom"/>
          </w:tcPr>
          <w:p w14:paraId="241255FC" w14:textId="77777777" w:rsidR="004920D8" w:rsidRPr="0005354A" w:rsidRDefault="004920D8" w:rsidP="00D64955">
            <w:pPr>
              <w:spacing w:before="0" w:after="0"/>
              <w:jc w:val="center"/>
              <w:rPr>
                <w:color w:val="000000"/>
                <w:sz w:val="14"/>
                <w:szCs w:val="14"/>
              </w:rPr>
            </w:pPr>
            <w:r w:rsidRPr="0005354A">
              <w:rPr>
                <w:color w:val="000000"/>
                <w:sz w:val="14"/>
                <w:szCs w:val="14"/>
              </w:rPr>
              <w:t>55.910</w:t>
            </w:r>
          </w:p>
        </w:tc>
        <w:tc>
          <w:tcPr>
            <w:tcW w:w="576" w:type="dxa"/>
            <w:shd w:val="clear" w:color="auto" w:fill="F3F9FA"/>
            <w:noWrap/>
            <w:vAlign w:val="center"/>
          </w:tcPr>
          <w:p w14:paraId="6E795A0B"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F3F9FA"/>
            <w:noWrap/>
            <w:vAlign w:val="bottom"/>
          </w:tcPr>
          <w:p w14:paraId="40804C5C" w14:textId="77777777" w:rsidR="004920D8" w:rsidRPr="0005354A" w:rsidRDefault="004920D8" w:rsidP="00D64955">
            <w:pPr>
              <w:spacing w:before="0" w:after="0"/>
              <w:jc w:val="center"/>
              <w:rPr>
                <w:color w:val="000000"/>
                <w:sz w:val="14"/>
                <w:szCs w:val="14"/>
              </w:rPr>
            </w:pPr>
            <w:r w:rsidRPr="0005354A">
              <w:rPr>
                <w:color w:val="000000"/>
                <w:sz w:val="14"/>
                <w:szCs w:val="14"/>
              </w:rPr>
              <w:t>8.417</w:t>
            </w:r>
          </w:p>
        </w:tc>
        <w:tc>
          <w:tcPr>
            <w:tcW w:w="481" w:type="dxa"/>
            <w:shd w:val="clear" w:color="auto" w:fill="F3F9FA"/>
            <w:noWrap/>
            <w:vAlign w:val="center"/>
          </w:tcPr>
          <w:p w14:paraId="14FE42B6" w14:textId="77777777" w:rsidR="004920D8" w:rsidRPr="00F45F13" w:rsidRDefault="004920D8" w:rsidP="00D64955">
            <w:pPr>
              <w:spacing w:before="0" w:after="0"/>
              <w:jc w:val="center"/>
              <w:rPr>
                <w:color w:val="000000"/>
                <w:sz w:val="14"/>
                <w:szCs w:val="14"/>
              </w:rPr>
            </w:pPr>
          </w:p>
        </w:tc>
        <w:tc>
          <w:tcPr>
            <w:tcW w:w="402" w:type="dxa"/>
            <w:shd w:val="clear" w:color="auto" w:fill="F3F9FA"/>
            <w:vAlign w:val="center"/>
          </w:tcPr>
          <w:p w14:paraId="7951F90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8" w:type="dxa"/>
            <w:shd w:val="clear" w:color="auto" w:fill="F3F9FA"/>
            <w:vAlign w:val="center"/>
          </w:tcPr>
          <w:p w14:paraId="58CCB673" w14:textId="77777777" w:rsidR="004920D8" w:rsidRPr="00F45F13" w:rsidRDefault="004920D8" w:rsidP="00D64955">
            <w:pPr>
              <w:spacing w:before="0" w:after="0"/>
              <w:jc w:val="center"/>
              <w:rPr>
                <w:color w:val="000000"/>
                <w:sz w:val="14"/>
                <w:szCs w:val="14"/>
              </w:rPr>
            </w:pPr>
          </w:p>
        </w:tc>
        <w:tc>
          <w:tcPr>
            <w:tcW w:w="416" w:type="dxa"/>
            <w:shd w:val="clear" w:color="auto" w:fill="F3F9FA"/>
            <w:vAlign w:val="center"/>
          </w:tcPr>
          <w:p w14:paraId="40803950"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8" w:type="dxa"/>
            <w:shd w:val="clear" w:color="auto" w:fill="F3F9FA"/>
            <w:vAlign w:val="center"/>
          </w:tcPr>
          <w:p w14:paraId="12237C3F"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F3F9FA"/>
            <w:vAlign w:val="center"/>
          </w:tcPr>
          <w:p w14:paraId="7662299E" w14:textId="77777777" w:rsidR="004920D8" w:rsidRPr="00F45F13" w:rsidRDefault="004920D8" w:rsidP="00D64955">
            <w:pPr>
              <w:spacing w:before="0" w:after="0"/>
              <w:jc w:val="center"/>
              <w:rPr>
                <w:color w:val="000000"/>
                <w:sz w:val="14"/>
                <w:szCs w:val="14"/>
              </w:rPr>
            </w:pPr>
          </w:p>
        </w:tc>
        <w:tc>
          <w:tcPr>
            <w:tcW w:w="422" w:type="dxa"/>
            <w:shd w:val="clear" w:color="auto" w:fill="F3F9FA"/>
            <w:vAlign w:val="center"/>
          </w:tcPr>
          <w:p w14:paraId="2EE37D19"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shd w:val="clear" w:color="auto" w:fill="F3F9FA"/>
            <w:vAlign w:val="center"/>
          </w:tcPr>
          <w:p w14:paraId="6842F4BB" w14:textId="77777777" w:rsidR="004920D8" w:rsidRPr="00F45F13" w:rsidRDefault="004920D8" w:rsidP="00D64955">
            <w:pPr>
              <w:spacing w:before="0" w:after="0"/>
              <w:jc w:val="center"/>
              <w:rPr>
                <w:color w:val="000000"/>
                <w:sz w:val="14"/>
                <w:szCs w:val="14"/>
              </w:rPr>
            </w:pPr>
          </w:p>
        </w:tc>
        <w:tc>
          <w:tcPr>
            <w:tcW w:w="410" w:type="dxa"/>
            <w:shd w:val="clear" w:color="auto" w:fill="F3F9FA"/>
            <w:vAlign w:val="center"/>
          </w:tcPr>
          <w:p w14:paraId="6BB3A32A" w14:textId="77777777" w:rsidR="004920D8" w:rsidRPr="00F45F13" w:rsidRDefault="004920D8" w:rsidP="00D64955">
            <w:pPr>
              <w:spacing w:before="0" w:after="0"/>
              <w:jc w:val="center"/>
              <w:rPr>
                <w:color w:val="000000"/>
                <w:sz w:val="14"/>
                <w:szCs w:val="14"/>
              </w:rPr>
            </w:pPr>
          </w:p>
        </w:tc>
        <w:tc>
          <w:tcPr>
            <w:tcW w:w="422" w:type="dxa"/>
            <w:shd w:val="clear" w:color="auto" w:fill="F3F9FA"/>
            <w:vAlign w:val="center"/>
          </w:tcPr>
          <w:p w14:paraId="65877E69" w14:textId="77777777" w:rsidR="004920D8" w:rsidRPr="00F45F13" w:rsidRDefault="004920D8" w:rsidP="00D64955">
            <w:pPr>
              <w:spacing w:before="0" w:after="0"/>
              <w:jc w:val="center"/>
              <w:rPr>
                <w:color w:val="000000"/>
                <w:sz w:val="14"/>
                <w:szCs w:val="14"/>
              </w:rPr>
            </w:pPr>
          </w:p>
        </w:tc>
      </w:tr>
      <w:tr w:rsidR="004920D8" w:rsidRPr="00015190" w14:paraId="42F68782" w14:textId="77777777" w:rsidTr="00D64955">
        <w:trPr>
          <w:trHeight w:val="170"/>
          <w:jc w:val="center"/>
        </w:trPr>
        <w:tc>
          <w:tcPr>
            <w:tcW w:w="836" w:type="dxa"/>
            <w:vMerge w:val="restart"/>
            <w:shd w:val="clear" w:color="auto" w:fill="auto"/>
            <w:noWrap/>
            <w:vAlign w:val="center"/>
          </w:tcPr>
          <w:p w14:paraId="79BDA34B" w14:textId="77777777" w:rsidR="004920D8" w:rsidRPr="00880D29" w:rsidRDefault="004920D8" w:rsidP="00D64955">
            <w:pPr>
              <w:spacing w:before="0" w:after="0"/>
              <w:jc w:val="center"/>
              <w:rPr>
                <w:color w:val="000000"/>
                <w:sz w:val="14"/>
                <w:szCs w:val="14"/>
              </w:rPr>
            </w:pPr>
            <w:r w:rsidRPr="00880D29">
              <w:rPr>
                <w:color w:val="000000"/>
                <w:sz w:val="14"/>
                <w:szCs w:val="14"/>
              </w:rPr>
              <w:t>Central</w:t>
            </w:r>
          </w:p>
        </w:tc>
        <w:tc>
          <w:tcPr>
            <w:tcW w:w="1287" w:type="dxa"/>
            <w:vMerge w:val="restart"/>
            <w:shd w:val="clear" w:color="auto" w:fill="E7F3F4"/>
            <w:noWrap/>
            <w:vAlign w:val="center"/>
          </w:tcPr>
          <w:p w14:paraId="7B2E76D8" w14:textId="77777777" w:rsidR="004920D8" w:rsidRPr="00880D29" w:rsidRDefault="004920D8" w:rsidP="00D64955">
            <w:pPr>
              <w:spacing w:before="0" w:after="0"/>
              <w:jc w:val="center"/>
              <w:rPr>
                <w:color w:val="000000"/>
                <w:sz w:val="14"/>
                <w:szCs w:val="14"/>
              </w:rPr>
            </w:pPr>
            <w:r w:rsidRPr="00880D29">
              <w:rPr>
                <w:color w:val="000000"/>
                <w:sz w:val="14"/>
                <w:szCs w:val="14"/>
              </w:rPr>
              <w:t>Burdekin</w:t>
            </w:r>
          </w:p>
          <w:p w14:paraId="40922D63"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NQ Dry Tropics</w:t>
            </w:r>
            <w:r w:rsidRPr="00880D29">
              <w:rPr>
                <w:color w:val="000000"/>
                <w:sz w:val="14"/>
                <w:szCs w:val="14"/>
              </w:rPr>
              <w:t>)</w:t>
            </w:r>
          </w:p>
        </w:tc>
        <w:tc>
          <w:tcPr>
            <w:tcW w:w="1079" w:type="dxa"/>
            <w:vMerge w:val="restart"/>
            <w:shd w:val="clear" w:color="auto" w:fill="E7F3F4"/>
            <w:vAlign w:val="center"/>
          </w:tcPr>
          <w:p w14:paraId="42E3FE9D" w14:textId="77777777" w:rsidR="004920D8" w:rsidRPr="00880D29" w:rsidRDefault="004920D8" w:rsidP="00D64955">
            <w:pPr>
              <w:spacing w:before="0" w:after="0"/>
              <w:jc w:val="center"/>
              <w:rPr>
                <w:color w:val="000000"/>
                <w:sz w:val="14"/>
                <w:szCs w:val="14"/>
              </w:rPr>
            </w:pPr>
            <w:r>
              <w:rPr>
                <w:color w:val="000000"/>
                <w:sz w:val="14"/>
                <w:szCs w:val="14"/>
              </w:rPr>
              <w:t xml:space="preserve">Ross / </w:t>
            </w:r>
            <w:r w:rsidRPr="00880D29">
              <w:rPr>
                <w:color w:val="000000"/>
                <w:sz w:val="14"/>
                <w:szCs w:val="14"/>
              </w:rPr>
              <w:t>Burdekin</w:t>
            </w:r>
          </w:p>
        </w:tc>
        <w:tc>
          <w:tcPr>
            <w:tcW w:w="1576" w:type="dxa"/>
            <w:vMerge w:val="restart"/>
            <w:shd w:val="clear" w:color="auto" w:fill="E7F3F4"/>
            <w:noWrap/>
            <w:vAlign w:val="center"/>
          </w:tcPr>
          <w:p w14:paraId="3FABAA19" w14:textId="77777777" w:rsidR="004920D8" w:rsidRPr="00880D29" w:rsidRDefault="004920D8" w:rsidP="00D64955">
            <w:pPr>
              <w:spacing w:before="0" w:after="0"/>
              <w:jc w:val="center"/>
              <w:rPr>
                <w:color w:val="000000"/>
                <w:sz w:val="14"/>
                <w:szCs w:val="14"/>
              </w:rPr>
            </w:pPr>
            <w:r w:rsidRPr="00880D29">
              <w:rPr>
                <w:color w:val="000000"/>
                <w:sz w:val="14"/>
                <w:szCs w:val="14"/>
              </w:rPr>
              <w:t>Magnetic island</w:t>
            </w:r>
          </w:p>
          <w:p w14:paraId="37A94B7D" w14:textId="77777777" w:rsidR="004920D8" w:rsidRPr="00880D29" w:rsidRDefault="004920D8" w:rsidP="00D64955">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14:paraId="74C1BC0B" w14:textId="77777777" w:rsidR="004920D8" w:rsidRPr="00880D29" w:rsidRDefault="004920D8" w:rsidP="00D64955">
            <w:pPr>
              <w:spacing w:before="0" w:after="0"/>
              <w:jc w:val="center"/>
              <w:rPr>
                <w:color w:val="000000"/>
                <w:sz w:val="14"/>
                <w:szCs w:val="14"/>
              </w:rPr>
            </w:pPr>
            <w:r w:rsidRPr="00880D29">
              <w:rPr>
                <w:color w:val="000000"/>
                <w:sz w:val="14"/>
                <w:szCs w:val="14"/>
              </w:rPr>
              <w:t>MI1*</w:t>
            </w:r>
          </w:p>
        </w:tc>
        <w:tc>
          <w:tcPr>
            <w:tcW w:w="1579" w:type="dxa"/>
            <w:shd w:val="clear" w:color="auto" w:fill="E7F3F4"/>
            <w:noWrap/>
            <w:vAlign w:val="center"/>
          </w:tcPr>
          <w:p w14:paraId="4757F6B2" w14:textId="77777777" w:rsidR="004920D8" w:rsidRPr="00880D29" w:rsidRDefault="004920D8" w:rsidP="00D64955">
            <w:pPr>
              <w:spacing w:before="0" w:after="0"/>
              <w:jc w:val="center"/>
              <w:rPr>
                <w:color w:val="000000"/>
                <w:sz w:val="14"/>
                <w:szCs w:val="14"/>
              </w:rPr>
            </w:pPr>
            <w:r w:rsidRPr="00880D29">
              <w:rPr>
                <w:color w:val="000000"/>
                <w:sz w:val="14"/>
                <w:szCs w:val="14"/>
              </w:rPr>
              <w:t>Picnic Bay</w:t>
            </w:r>
          </w:p>
        </w:tc>
        <w:tc>
          <w:tcPr>
            <w:tcW w:w="486" w:type="dxa"/>
            <w:shd w:val="clear" w:color="auto" w:fill="E7F3F4"/>
            <w:noWrap/>
            <w:vAlign w:val="center"/>
          </w:tcPr>
          <w:p w14:paraId="149FD884"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bottom"/>
          </w:tcPr>
          <w:p w14:paraId="53420F3A" w14:textId="77777777" w:rsidR="004920D8" w:rsidRPr="001E3909" w:rsidRDefault="004920D8" w:rsidP="00D64955">
            <w:pPr>
              <w:spacing w:before="0" w:after="0"/>
              <w:jc w:val="center"/>
              <w:rPr>
                <w:color w:val="000000"/>
                <w:sz w:val="14"/>
                <w:szCs w:val="14"/>
              </w:rPr>
            </w:pPr>
            <w:r w:rsidRPr="001E3909">
              <w:rPr>
                <w:color w:val="000000"/>
                <w:sz w:val="14"/>
                <w:szCs w:val="14"/>
              </w:rPr>
              <w:t>10.752</w:t>
            </w:r>
          </w:p>
        </w:tc>
        <w:tc>
          <w:tcPr>
            <w:tcW w:w="576" w:type="dxa"/>
            <w:shd w:val="clear" w:color="auto" w:fill="E7F3F4"/>
            <w:noWrap/>
            <w:vAlign w:val="center"/>
          </w:tcPr>
          <w:p w14:paraId="284F04A8"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E7F3F4"/>
            <w:noWrap/>
            <w:vAlign w:val="bottom"/>
          </w:tcPr>
          <w:p w14:paraId="7A7259AC" w14:textId="77777777" w:rsidR="004920D8" w:rsidRPr="001E3909" w:rsidRDefault="004920D8" w:rsidP="00D64955">
            <w:pPr>
              <w:spacing w:before="0" w:after="0"/>
              <w:jc w:val="center"/>
              <w:rPr>
                <w:color w:val="000000"/>
                <w:sz w:val="14"/>
                <w:szCs w:val="14"/>
              </w:rPr>
            </w:pPr>
            <w:r w:rsidRPr="001E3909">
              <w:rPr>
                <w:color w:val="000000"/>
                <w:sz w:val="14"/>
                <w:szCs w:val="14"/>
              </w:rPr>
              <w:t>50.480</w:t>
            </w:r>
          </w:p>
        </w:tc>
        <w:tc>
          <w:tcPr>
            <w:tcW w:w="481" w:type="dxa"/>
            <w:shd w:val="clear" w:color="auto" w:fill="E7F3F4"/>
            <w:noWrap/>
            <w:vAlign w:val="center"/>
          </w:tcPr>
          <w:p w14:paraId="0FE727FA" w14:textId="77777777" w:rsidR="004920D8" w:rsidRPr="00F45F13" w:rsidRDefault="004920D8" w:rsidP="00D64955">
            <w:pPr>
              <w:spacing w:before="0" w:after="0"/>
              <w:jc w:val="center"/>
              <w:rPr>
                <w:color w:val="000000"/>
                <w:sz w:val="14"/>
                <w:szCs w:val="14"/>
              </w:rPr>
            </w:pPr>
          </w:p>
        </w:tc>
        <w:tc>
          <w:tcPr>
            <w:tcW w:w="402" w:type="dxa"/>
            <w:shd w:val="clear" w:color="auto" w:fill="E7F3F4"/>
            <w:vAlign w:val="center"/>
          </w:tcPr>
          <w:p w14:paraId="31F56B7A" w14:textId="77777777" w:rsidR="004920D8" w:rsidRPr="00F45F13" w:rsidRDefault="004920D8" w:rsidP="00D64955">
            <w:pPr>
              <w:spacing w:before="0" w:after="0"/>
              <w:jc w:val="center"/>
              <w:rPr>
                <w:color w:val="000000"/>
                <w:sz w:val="14"/>
                <w:szCs w:val="14"/>
              </w:rPr>
            </w:pPr>
          </w:p>
        </w:tc>
        <w:tc>
          <w:tcPr>
            <w:tcW w:w="408" w:type="dxa"/>
            <w:shd w:val="clear" w:color="auto" w:fill="E7F3F4"/>
            <w:vAlign w:val="center"/>
          </w:tcPr>
          <w:p w14:paraId="2F28F001" w14:textId="77777777" w:rsidR="004920D8" w:rsidRPr="00F45F13" w:rsidRDefault="004920D8" w:rsidP="00D64955">
            <w:pPr>
              <w:spacing w:before="0" w:after="0"/>
              <w:jc w:val="center"/>
              <w:rPr>
                <w:color w:val="000000"/>
                <w:sz w:val="14"/>
                <w:szCs w:val="14"/>
              </w:rPr>
            </w:pPr>
          </w:p>
        </w:tc>
        <w:tc>
          <w:tcPr>
            <w:tcW w:w="416" w:type="dxa"/>
            <w:shd w:val="clear" w:color="auto" w:fill="E7F3F4"/>
            <w:vAlign w:val="center"/>
          </w:tcPr>
          <w:p w14:paraId="508C112E" w14:textId="77777777" w:rsidR="004920D8" w:rsidRPr="00F45F13" w:rsidRDefault="004920D8" w:rsidP="00D64955">
            <w:pPr>
              <w:spacing w:before="0" w:after="0"/>
              <w:jc w:val="center"/>
              <w:rPr>
                <w:color w:val="000000"/>
                <w:sz w:val="14"/>
                <w:szCs w:val="14"/>
              </w:rPr>
            </w:pPr>
          </w:p>
        </w:tc>
        <w:tc>
          <w:tcPr>
            <w:tcW w:w="418" w:type="dxa"/>
            <w:shd w:val="clear" w:color="auto" w:fill="E7F3F4"/>
            <w:vAlign w:val="center"/>
          </w:tcPr>
          <w:p w14:paraId="287C021B"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E7F3F4"/>
            <w:vAlign w:val="center"/>
          </w:tcPr>
          <w:p w14:paraId="38698AF8" w14:textId="77777777" w:rsidR="004920D8" w:rsidRPr="00F45F13" w:rsidRDefault="004920D8" w:rsidP="00D64955">
            <w:pPr>
              <w:spacing w:before="0" w:after="0"/>
              <w:jc w:val="center"/>
              <w:rPr>
                <w:color w:val="000000"/>
                <w:sz w:val="14"/>
                <w:szCs w:val="14"/>
              </w:rPr>
            </w:pPr>
          </w:p>
        </w:tc>
        <w:tc>
          <w:tcPr>
            <w:tcW w:w="422" w:type="dxa"/>
            <w:shd w:val="clear" w:color="auto" w:fill="E7F3F4"/>
            <w:vAlign w:val="center"/>
          </w:tcPr>
          <w:p w14:paraId="440518A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shd w:val="clear" w:color="auto" w:fill="E7F3F4"/>
            <w:vAlign w:val="center"/>
          </w:tcPr>
          <w:p w14:paraId="12904A64" w14:textId="77777777" w:rsidR="004920D8" w:rsidRPr="00F45F13" w:rsidRDefault="004920D8" w:rsidP="00D64955">
            <w:pPr>
              <w:spacing w:before="0" w:after="0"/>
              <w:jc w:val="center"/>
              <w:rPr>
                <w:color w:val="000000"/>
                <w:sz w:val="14"/>
                <w:szCs w:val="14"/>
              </w:rPr>
            </w:pPr>
          </w:p>
        </w:tc>
        <w:tc>
          <w:tcPr>
            <w:tcW w:w="410" w:type="dxa"/>
            <w:shd w:val="clear" w:color="auto" w:fill="E7F3F4"/>
            <w:vAlign w:val="center"/>
          </w:tcPr>
          <w:p w14:paraId="448291E1" w14:textId="77777777" w:rsidR="004920D8" w:rsidRPr="00F45F13" w:rsidRDefault="004920D8" w:rsidP="00D64955">
            <w:pPr>
              <w:spacing w:before="0" w:after="0"/>
              <w:jc w:val="center"/>
              <w:rPr>
                <w:color w:val="000000"/>
                <w:sz w:val="14"/>
                <w:szCs w:val="14"/>
              </w:rPr>
            </w:pPr>
          </w:p>
        </w:tc>
        <w:tc>
          <w:tcPr>
            <w:tcW w:w="422" w:type="dxa"/>
            <w:shd w:val="clear" w:color="auto" w:fill="E7F3F4"/>
            <w:vAlign w:val="center"/>
          </w:tcPr>
          <w:p w14:paraId="60233D60"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4920D8" w:rsidRPr="00015190" w14:paraId="6A5BF1D3" w14:textId="77777777" w:rsidTr="00D64955">
        <w:trPr>
          <w:trHeight w:val="170"/>
          <w:jc w:val="center"/>
        </w:trPr>
        <w:tc>
          <w:tcPr>
            <w:tcW w:w="836" w:type="dxa"/>
            <w:vMerge/>
            <w:shd w:val="clear" w:color="auto" w:fill="auto"/>
            <w:noWrap/>
            <w:vAlign w:val="center"/>
          </w:tcPr>
          <w:p w14:paraId="06B954D5"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0EF81140"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5DBA7B9F"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56256584"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73B46239" w14:textId="77777777" w:rsidR="004920D8" w:rsidRPr="00880D29" w:rsidRDefault="004920D8" w:rsidP="00D64955">
            <w:pPr>
              <w:spacing w:before="0" w:after="0"/>
              <w:jc w:val="center"/>
              <w:rPr>
                <w:color w:val="000000"/>
                <w:sz w:val="14"/>
                <w:szCs w:val="14"/>
              </w:rPr>
            </w:pPr>
            <w:r w:rsidRPr="00880D29">
              <w:rPr>
                <w:color w:val="000000"/>
                <w:sz w:val="14"/>
                <w:szCs w:val="14"/>
              </w:rPr>
              <w:t>MI2*</w:t>
            </w:r>
          </w:p>
        </w:tc>
        <w:tc>
          <w:tcPr>
            <w:tcW w:w="1579" w:type="dxa"/>
            <w:shd w:val="clear" w:color="auto" w:fill="E7F3F4"/>
            <w:noWrap/>
            <w:vAlign w:val="center"/>
          </w:tcPr>
          <w:p w14:paraId="6A292CC6" w14:textId="77777777" w:rsidR="004920D8" w:rsidRPr="00880D29" w:rsidRDefault="004920D8" w:rsidP="00D64955">
            <w:pPr>
              <w:spacing w:before="0" w:after="0"/>
              <w:jc w:val="center"/>
              <w:rPr>
                <w:color w:val="000000"/>
                <w:sz w:val="14"/>
                <w:szCs w:val="14"/>
              </w:rPr>
            </w:pPr>
            <w:r w:rsidRPr="00880D29">
              <w:rPr>
                <w:color w:val="000000"/>
                <w:sz w:val="14"/>
                <w:szCs w:val="14"/>
              </w:rPr>
              <w:t>Cockle Bay</w:t>
            </w:r>
          </w:p>
        </w:tc>
        <w:tc>
          <w:tcPr>
            <w:tcW w:w="486" w:type="dxa"/>
            <w:shd w:val="clear" w:color="auto" w:fill="E7F3F4"/>
            <w:noWrap/>
            <w:vAlign w:val="center"/>
          </w:tcPr>
          <w:p w14:paraId="48A7A2BD"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bottom"/>
          </w:tcPr>
          <w:p w14:paraId="621AFB55" w14:textId="77777777" w:rsidR="004920D8" w:rsidRPr="001E3909" w:rsidRDefault="004920D8" w:rsidP="00D64955">
            <w:pPr>
              <w:spacing w:before="0" w:after="0"/>
              <w:jc w:val="center"/>
              <w:rPr>
                <w:color w:val="000000"/>
                <w:sz w:val="14"/>
                <w:szCs w:val="14"/>
              </w:rPr>
            </w:pPr>
            <w:r w:rsidRPr="001E3909">
              <w:rPr>
                <w:color w:val="000000"/>
                <w:sz w:val="14"/>
                <w:szCs w:val="14"/>
              </w:rPr>
              <w:t>10.621</w:t>
            </w:r>
          </w:p>
        </w:tc>
        <w:tc>
          <w:tcPr>
            <w:tcW w:w="576" w:type="dxa"/>
            <w:shd w:val="clear" w:color="auto" w:fill="E7F3F4"/>
            <w:noWrap/>
            <w:vAlign w:val="center"/>
          </w:tcPr>
          <w:p w14:paraId="4028E171"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E7F3F4"/>
            <w:noWrap/>
            <w:vAlign w:val="bottom"/>
          </w:tcPr>
          <w:p w14:paraId="7B5D85A9" w14:textId="77777777" w:rsidR="004920D8" w:rsidRPr="001E3909" w:rsidRDefault="004920D8" w:rsidP="00D64955">
            <w:pPr>
              <w:spacing w:before="0" w:after="0"/>
              <w:jc w:val="center"/>
              <w:rPr>
                <w:color w:val="000000"/>
                <w:sz w:val="14"/>
                <w:szCs w:val="14"/>
              </w:rPr>
            </w:pPr>
            <w:r w:rsidRPr="001E3909">
              <w:rPr>
                <w:color w:val="000000"/>
                <w:sz w:val="14"/>
                <w:szCs w:val="14"/>
              </w:rPr>
              <w:t>49.730</w:t>
            </w:r>
          </w:p>
        </w:tc>
        <w:tc>
          <w:tcPr>
            <w:tcW w:w="481" w:type="dxa"/>
            <w:shd w:val="clear" w:color="auto" w:fill="E7F3F4"/>
            <w:noWrap/>
            <w:vAlign w:val="center"/>
          </w:tcPr>
          <w:p w14:paraId="4DDDADE3"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2" w:type="dxa"/>
            <w:shd w:val="clear" w:color="auto" w:fill="E7F3F4"/>
            <w:vAlign w:val="center"/>
          </w:tcPr>
          <w:p w14:paraId="4C64C34B"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8" w:type="dxa"/>
            <w:shd w:val="clear" w:color="auto" w:fill="E7F3F4"/>
            <w:vAlign w:val="center"/>
          </w:tcPr>
          <w:p w14:paraId="50A4E851" w14:textId="77777777" w:rsidR="004920D8" w:rsidRPr="00F45F13" w:rsidRDefault="004920D8" w:rsidP="00D64955">
            <w:pPr>
              <w:spacing w:before="0" w:after="0"/>
              <w:jc w:val="center"/>
              <w:rPr>
                <w:color w:val="000000"/>
                <w:sz w:val="14"/>
                <w:szCs w:val="14"/>
              </w:rPr>
            </w:pPr>
          </w:p>
        </w:tc>
        <w:tc>
          <w:tcPr>
            <w:tcW w:w="416" w:type="dxa"/>
            <w:shd w:val="clear" w:color="auto" w:fill="E7F3F4"/>
            <w:vAlign w:val="center"/>
          </w:tcPr>
          <w:p w14:paraId="61713D9F" w14:textId="77777777" w:rsidR="004920D8" w:rsidRPr="00F45F13" w:rsidRDefault="004920D8" w:rsidP="00D64955">
            <w:pPr>
              <w:spacing w:before="0" w:after="0"/>
              <w:jc w:val="center"/>
              <w:rPr>
                <w:color w:val="000000"/>
                <w:sz w:val="14"/>
                <w:szCs w:val="14"/>
              </w:rPr>
            </w:pPr>
          </w:p>
        </w:tc>
        <w:tc>
          <w:tcPr>
            <w:tcW w:w="418" w:type="dxa"/>
            <w:shd w:val="clear" w:color="auto" w:fill="E7F3F4"/>
            <w:vAlign w:val="center"/>
          </w:tcPr>
          <w:p w14:paraId="5055E091"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E7F3F4"/>
            <w:vAlign w:val="center"/>
          </w:tcPr>
          <w:p w14:paraId="0994F26C" w14:textId="77777777" w:rsidR="004920D8" w:rsidRPr="00F45F13" w:rsidRDefault="004920D8" w:rsidP="00D64955">
            <w:pPr>
              <w:spacing w:before="0" w:after="0"/>
              <w:jc w:val="center"/>
              <w:rPr>
                <w:color w:val="000000"/>
                <w:sz w:val="14"/>
                <w:szCs w:val="14"/>
              </w:rPr>
            </w:pPr>
          </w:p>
        </w:tc>
        <w:tc>
          <w:tcPr>
            <w:tcW w:w="422" w:type="dxa"/>
            <w:shd w:val="clear" w:color="auto" w:fill="E7F3F4"/>
            <w:vAlign w:val="center"/>
          </w:tcPr>
          <w:p w14:paraId="3224C13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shd w:val="clear" w:color="auto" w:fill="E7F3F4"/>
            <w:vAlign w:val="center"/>
          </w:tcPr>
          <w:p w14:paraId="47166793"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0" w:type="dxa"/>
            <w:shd w:val="clear" w:color="auto" w:fill="E7F3F4"/>
            <w:vAlign w:val="center"/>
          </w:tcPr>
          <w:p w14:paraId="41905C80"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22" w:type="dxa"/>
            <w:shd w:val="clear" w:color="auto" w:fill="E7F3F4"/>
            <w:vAlign w:val="center"/>
          </w:tcPr>
          <w:p w14:paraId="5A397C21" w14:textId="77777777" w:rsidR="004920D8" w:rsidRPr="00F45F13" w:rsidRDefault="004920D8" w:rsidP="00D64955">
            <w:pPr>
              <w:spacing w:before="0" w:after="0"/>
              <w:jc w:val="center"/>
              <w:rPr>
                <w:color w:val="000000"/>
                <w:sz w:val="14"/>
                <w:szCs w:val="14"/>
              </w:rPr>
            </w:pPr>
          </w:p>
        </w:tc>
      </w:tr>
      <w:tr w:rsidR="004920D8" w:rsidRPr="00015190" w14:paraId="784C9F0B" w14:textId="77777777" w:rsidTr="00D64955">
        <w:trPr>
          <w:trHeight w:val="170"/>
          <w:jc w:val="center"/>
        </w:trPr>
        <w:tc>
          <w:tcPr>
            <w:tcW w:w="836" w:type="dxa"/>
            <w:vMerge/>
            <w:shd w:val="clear" w:color="auto" w:fill="auto"/>
            <w:noWrap/>
            <w:vAlign w:val="center"/>
          </w:tcPr>
          <w:p w14:paraId="645924CF"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4AE60E63"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76C2C919"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29A9BBD2"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6F9724F4" w14:textId="77777777" w:rsidR="004920D8" w:rsidRPr="00880D29" w:rsidRDefault="004920D8" w:rsidP="00D64955">
            <w:pPr>
              <w:spacing w:before="0" w:after="0"/>
              <w:jc w:val="center"/>
              <w:rPr>
                <w:color w:val="000000"/>
                <w:sz w:val="14"/>
                <w:szCs w:val="14"/>
              </w:rPr>
            </w:pPr>
            <w:r w:rsidRPr="00880D29">
              <w:rPr>
                <w:color w:val="000000"/>
                <w:sz w:val="14"/>
                <w:szCs w:val="14"/>
              </w:rPr>
              <w:t>MI3^</w:t>
            </w:r>
          </w:p>
        </w:tc>
        <w:tc>
          <w:tcPr>
            <w:tcW w:w="1579" w:type="dxa"/>
            <w:shd w:val="clear" w:color="auto" w:fill="E7F3F4"/>
            <w:noWrap/>
            <w:vAlign w:val="center"/>
          </w:tcPr>
          <w:p w14:paraId="1471914A" w14:textId="77777777" w:rsidR="004920D8" w:rsidRPr="00880D29" w:rsidRDefault="004920D8" w:rsidP="00D64955">
            <w:pPr>
              <w:spacing w:before="0" w:after="0"/>
              <w:jc w:val="center"/>
              <w:rPr>
                <w:color w:val="000000"/>
                <w:sz w:val="14"/>
                <w:szCs w:val="14"/>
              </w:rPr>
            </w:pPr>
            <w:r w:rsidRPr="00880D29">
              <w:rPr>
                <w:color w:val="000000"/>
                <w:sz w:val="14"/>
                <w:szCs w:val="14"/>
              </w:rPr>
              <w:t>Picnic Bay</w:t>
            </w:r>
          </w:p>
        </w:tc>
        <w:tc>
          <w:tcPr>
            <w:tcW w:w="486" w:type="dxa"/>
            <w:shd w:val="clear" w:color="auto" w:fill="E7F3F4"/>
            <w:noWrap/>
            <w:vAlign w:val="center"/>
          </w:tcPr>
          <w:p w14:paraId="63DF860B"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bottom"/>
          </w:tcPr>
          <w:p w14:paraId="11263CC0" w14:textId="77777777" w:rsidR="004920D8" w:rsidRPr="001E3909" w:rsidRDefault="004920D8" w:rsidP="00D64955">
            <w:pPr>
              <w:spacing w:before="0" w:after="0"/>
              <w:jc w:val="center"/>
              <w:rPr>
                <w:color w:val="000000"/>
                <w:sz w:val="14"/>
                <w:szCs w:val="14"/>
              </w:rPr>
            </w:pPr>
            <w:r w:rsidRPr="001E3909">
              <w:rPr>
                <w:color w:val="000000"/>
                <w:sz w:val="14"/>
                <w:szCs w:val="14"/>
              </w:rPr>
              <w:t>10.888</w:t>
            </w:r>
          </w:p>
        </w:tc>
        <w:tc>
          <w:tcPr>
            <w:tcW w:w="576" w:type="dxa"/>
            <w:shd w:val="clear" w:color="auto" w:fill="E7F3F4"/>
            <w:noWrap/>
            <w:vAlign w:val="center"/>
          </w:tcPr>
          <w:p w14:paraId="02F542AF"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E7F3F4"/>
            <w:noWrap/>
            <w:vAlign w:val="bottom"/>
          </w:tcPr>
          <w:p w14:paraId="160BD824" w14:textId="77777777" w:rsidR="004920D8" w:rsidRPr="001E3909" w:rsidRDefault="004920D8" w:rsidP="00D64955">
            <w:pPr>
              <w:spacing w:before="0" w:after="0"/>
              <w:jc w:val="center"/>
              <w:rPr>
                <w:color w:val="000000"/>
                <w:sz w:val="14"/>
                <w:szCs w:val="14"/>
              </w:rPr>
            </w:pPr>
            <w:r w:rsidRPr="001E3909">
              <w:rPr>
                <w:color w:val="000000"/>
                <w:sz w:val="14"/>
                <w:szCs w:val="14"/>
              </w:rPr>
              <w:t>50.634</w:t>
            </w:r>
          </w:p>
        </w:tc>
        <w:tc>
          <w:tcPr>
            <w:tcW w:w="481" w:type="dxa"/>
            <w:shd w:val="clear" w:color="auto" w:fill="E7F3F4"/>
            <w:noWrap/>
            <w:vAlign w:val="center"/>
          </w:tcPr>
          <w:p w14:paraId="5F6FA922" w14:textId="77777777" w:rsidR="004920D8" w:rsidRPr="00F45F13" w:rsidRDefault="004920D8" w:rsidP="00D64955">
            <w:pPr>
              <w:spacing w:before="0" w:after="0"/>
              <w:jc w:val="center"/>
              <w:rPr>
                <w:color w:val="000000"/>
                <w:sz w:val="14"/>
                <w:szCs w:val="14"/>
              </w:rPr>
            </w:pPr>
          </w:p>
        </w:tc>
        <w:tc>
          <w:tcPr>
            <w:tcW w:w="402" w:type="dxa"/>
            <w:shd w:val="clear" w:color="auto" w:fill="E7F3F4"/>
            <w:vAlign w:val="center"/>
          </w:tcPr>
          <w:p w14:paraId="59B855D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8" w:type="dxa"/>
            <w:shd w:val="clear" w:color="auto" w:fill="E7F3F4"/>
            <w:vAlign w:val="center"/>
          </w:tcPr>
          <w:p w14:paraId="0FC206CE" w14:textId="77777777" w:rsidR="004920D8" w:rsidRPr="00F45F13" w:rsidRDefault="004920D8" w:rsidP="00D64955">
            <w:pPr>
              <w:spacing w:before="0" w:after="0"/>
              <w:jc w:val="center"/>
              <w:rPr>
                <w:color w:val="000000"/>
                <w:sz w:val="14"/>
                <w:szCs w:val="14"/>
              </w:rPr>
            </w:pPr>
          </w:p>
        </w:tc>
        <w:tc>
          <w:tcPr>
            <w:tcW w:w="416" w:type="dxa"/>
            <w:shd w:val="clear" w:color="auto" w:fill="E7F3F4"/>
            <w:vAlign w:val="center"/>
          </w:tcPr>
          <w:p w14:paraId="218BBD51"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8" w:type="dxa"/>
            <w:shd w:val="clear" w:color="auto" w:fill="E7F3F4"/>
            <w:vAlign w:val="center"/>
          </w:tcPr>
          <w:p w14:paraId="08EA93E9"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shd w:val="clear" w:color="auto" w:fill="E7F3F4"/>
            <w:vAlign w:val="center"/>
          </w:tcPr>
          <w:p w14:paraId="2A391010"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22" w:type="dxa"/>
            <w:shd w:val="clear" w:color="auto" w:fill="E7F3F4"/>
            <w:vAlign w:val="center"/>
          </w:tcPr>
          <w:p w14:paraId="6A29F50D"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shd w:val="clear" w:color="auto" w:fill="E7F3F4"/>
            <w:vAlign w:val="center"/>
          </w:tcPr>
          <w:p w14:paraId="66AAD940" w14:textId="77777777" w:rsidR="004920D8" w:rsidRPr="00F45F13" w:rsidRDefault="004920D8" w:rsidP="00D64955">
            <w:pPr>
              <w:spacing w:before="0" w:after="0"/>
              <w:jc w:val="center"/>
              <w:rPr>
                <w:color w:val="000000"/>
                <w:sz w:val="14"/>
                <w:szCs w:val="14"/>
              </w:rPr>
            </w:pPr>
          </w:p>
        </w:tc>
        <w:tc>
          <w:tcPr>
            <w:tcW w:w="410" w:type="dxa"/>
            <w:shd w:val="clear" w:color="auto" w:fill="E7F3F4"/>
            <w:vAlign w:val="center"/>
          </w:tcPr>
          <w:p w14:paraId="435D4ACF" w14:textId="77777777" w:rsidR="004920D8" w:rsidRPr="00F45F13" w:rsidRDefault="004920D8" w:rsidP="00D64955">
            <w:pPr>
              <w:spacing w:before="0" w:after="0"/>
              <w:jc w:val="center"/>
              <w:rPr>
                <w:color w:val="000000"/>
                <w:sz w:val="14"/>
                <w:szCs w:val="14"/>
              </w:rPr>
            </w:pPr>
          </w:p>
        </w:tc>
        <w:tc>
          <w:tcPr>
            <w:tcW w:w="422" w:type="dxa"/>
            <w:shd w:val="clear" w:color="auto" w:fill="E7F3F4"/>
            <w:vAlign w:val="center"/>
          </w:tcPr>
          <w:p w14:paraId="6D0BC9E1" w14:textId="77777777" w:rsidR="004920D8" w:rsidRPr="00F45F13" w:rsidRDefault="004920D8" w:rsidP="00D64955">
            <w:pPr>
              <w:spacing w:before="0" w:after="0"/>
              <w:jc w:val="center"/>
              <w:rPr>
                <w:color w:val="000000"/>
                <w:sz w:val="14"/>
                <w:szCs w:val="14"/>
              </w:rPr>
            </w:pPr>
          </w:p>
        </w:tc>
      </w:tr>
      <w:tr w:rsidR="004920D8" w:rsidRPr="00015190" w14:paraId="40CA8518" w14:textId="77777777" w:rsidTr="00D64955">
        <w:trPr>
          <w:trHeight w:val="170"/>
          <w:jc w:val="center"/>
        </w:trPr>
        <w:tc>
          <w:tcPr>
            <w:tcW w:w="836" w:type="dxa"/>
            <w:vMerge/>
            <w:shd w:val="clear" w:color="auto" w:fill="auto"/>
            <w:noWrap/>
            <w:vAlign w:val="center"/>
          </w:tcPr>
          <w:p w14:paraId="2E7E4ED3"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3EA2C8CC"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05FE1347"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E7F3F4"/>
            <w:noWrap/>
            <w:vAlign w:val="center"/>
          </w:tcPr>
          <w:p w14:paraId="7F36441C" w14:textId="77777777" w:rsidR="004920D8" w:rsidRPr="00880D29" w:rsidRDefault="004920D8" w:rsidP="00D64955">
            <w:pPr>
              <w:spacing w:before="0" w:after="0"/>
              <w:jc w:val="center"/>
              <w:rPr>
                <w:color w:val="000000"/>
                <w:sz w:val="14"/>
                <w:szCs w:val="14"/>
              </w:rPr>
            </w:pPr>
            <w:r w:rsidRPr="00880D29">
              <w:rPr>
                <w:color w:val="000000"/>
                <w:sz w:val="14"/>
                <w:szCs w:val="14"/>
              </w:rPr>
              <w:t>Townsville</w:t>
            </w:r>
          </w:p>
          <w:p w14:paraId="5FDFE4A6"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E7F3F4"/>
            <w:noWrap/>
            <w:vAlign w:val="center"/>
          </w:tcPr>
          <w:p w14:paraId="2B53A586" w14:textId="77777777" w:rsidR="004920D8" w:rsidRPr="00880D29" w:rsidRDefault="004920D8" w:rsidP="00D64955">
            <w:pPr>
              <w:spacing w:before="0" w:after="0"/>
              <w:jc w:val="center"/>
              <w:rPr>
                <w:color w:val="000000"/>
                <w:sz w:val="14"/>
                <w:szCs w:val="14"/>
              </w:rPr>
            </w:pPr>
            <w:r w:rsidRPr="00880D29">
              <w:rPr>
                <w:color w:val="000000"/>
                <w:sz w:val="14"/>
                <w:szCs w:val="14"/>
              </w:rPr>
              <w:t>SB1*</w:t>
            </w:r>
          </w:p>
        </w:tc>
        <w:tc>
          <w:tcPr>
            <w:tcW w:w="1579" w:type="dxa"/>
            <w:shd w:val="clear" w:color="auto" w:fill="E7F3F4"/>
            <w:noWrap/>
            <w:vAlign w:val="center"/>
          </w:tcPr>
          <w:p w14:paraId="4301CAC4" w14:textId="77777777" w:rsidR="004920D8" w:rsidRPr="00880D29" w:rsidRDefault="004920D8" w:rsidP="00D64955">
            <w:pPr>
              <w:spacing w:before="0" w:after="0"/>
              <w:jc w:val="center"/>
              <w:rPr>
                <w:color w:val="000000"/>
                <w:sz w:val="14"/>
                <w:szCs w:val="14"/>
              </w:rPr>
            </w:pPr>
            <w:r w:rsidRPr="00880D29">
              <w:rPr>
                <w:color w:val="000000"/>
                <w:sz w:val="14"/>
                <w:szCs w:val="14"/>
              </w:rPr>
              <w:t>Shelley Beach</w:t>
            </w:r>
          </w:p>
        </w:tc>
        <w:tc>
          <w:tcPr>
            <w:tcW w:w="486" w:type="dxa"/>
            <w:shd w:val="clear" w:color="auto" w:fill="E7F3F4"/>
            <w:noWrap/>
            <w:vAlign w:val="center"/>
          </w:tcPr>
          <w:p w14:paraId="36CC86D0"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center"/>
          </w:tcPr>
          <w:p w14:paraId="5F5CA996" w14:textId="77777777" w:rsidR="004920D8" w:rsidRPr="00880D29" w:rsidRDefault="004920D8" w:rsidP="00D64955">
            <w:pPr>
              <w:spacing w:before="0" w:after="0"/>
              <w:jc w:val="center"/>
              <w:rPr>
                <w:color w:val="000000"/>
                <w:sz w:val="14"/>
                <w:szCs w:val="14"/>
              </w:rPr>
            </w:pPr>
            <w:r w:rsidRPr="001E3909">
              <w:rPr>
                <w:color w:val="000000"/>
                <w:sz w:val="14"/>
                <w:szCs w:val="14"/>
              </w:rPr>
              <w:t>11.166</w:t>
            </w:r>
          </w:p>
        </w:tc>
        <w:tc>
          <w:tcPr>
            <w:tcW w:w="576" w:type="dxa"/>
            <w:shd w:val="clear" w:color="auto" w:fill="E7F3F4"/>
            <w:noWrap/>
            <w:vAlign w:val="center"/>
          </w:tcPr>
          <w:p w14:paraId="00E2B909"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E7F3F4"/>
            <w:noWrap/>
            <w:vAlign w:val="center"/>
          </w:tcPr>
          <w:p w14:paraId="14E14412" w14:textId="77777777" w:rsidR="004920D8" w:rsidRPr="00880D29" w:rsidRDefault="004920D8" w:rsidP="00D64955">
            <w:pPr>
              <w:spacing w:before="0" w:after="0"/>
              <w:jc w:val="center"/>
              <w:rPr>
                <w:color w:val="000000"/>
                <w:sz w:val="14"/>
                <w:szCs w:val="14"/>
              </w:rPr>
            </w:pPr>
            <w:r w:rsidRPr="001E3909">
              <w:rPr>
                <w:color w:val="000000"/>
                <w:sz w:val="14"/>
                <w:szCs w:val="14"/>
              </w:rPr>
              <w:t>46.272</w:t>
            </w:r>
          </w:p>
        </w:tc>
        <w:tc>
          <w:tcPr>
            <w:tcW w:w="481" w:type="dxa"/>
            <w:vMerge w:val="restart"/>
            <w:shd w:val="clear" w:color="auto" w:fill="E7F3F4"/>
            <w:noWrap/>
            <w:vAlign w:val="center"/>
          </w:tcPr>
          <w:p w14:paraId="20FD2A0E" w14:textId="77777777" w:rsidR="004920D8" w:rsidRPr="00F45F13" w:rsidRDefault="004920D8" w:rsidP="00D64955">
            <w:pPr>
              <w:spacing w:before="0" w:after="0"/>
              <w:jc w:val="center"/>
              <w:rPr>
                <w:color w:val="000000"/>
                <w:sz w:val="14"/>
                <w:szCs w:val="14"/>
              </w:rPr>
            </w:pPr>
          </w:p>
        </w:tc>
        <w:tc>
          <w:tcPr>
            <w:tcW w:w="402" w:type="dxa"/>
            <w:vMerge w:val="restart"/>
            <w:shd w:val="clear" w:color="auto" w:fill="E7F3F4"/>
            <w:vAlign w:val="center"/>
          </w:tcPr>
          <w:p w14:paraId="2B430CF4"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4654AEC4"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39C1674A"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4BA44804"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786B9BE3"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53485CE2"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1A20290A"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5ED31D6D"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641CD2A9"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653293C2" w14:textId="77777777" w:rsidTr="00D64955">
        <w:trPr>
          <w:trHeight w:val="170"/>
          <w:jc w:val="center"/>
        </w:trPr>
        <w:tc>
          <w:tcPr>
            <w:tcW w:w="836" w:type="dxa"/>
            <w:vMerge/>
            <w:shd w:val="clear" w:color="auto" w:fill="auto"/>
            <w:noWrap/>
            <w:vAlign w:val="center"/>
          </w:tcPr>
          <w:p w14:paraId="3460D28B"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0179FCC3"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3FE26549"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6B546DF2"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210ACCB6" w14:textId="77777777" w:rsidR="004920D8" w:rsidRPr="00880D29" w:rsidRDefault="004920D8" w:rsidP="00D64955">
            <w:pPr>
              <w:spacing w:before="0" w:after="0"/>
              <w:jc w:val="center"/>
              <w:rPr>
                <w:color w:val="000000"/>
                <w:sz w:val="14"/>
                <w:szCs w:val="14"/>
              </w:rPr>
            </w:pPr>
            <w:r w:rsidRPr="00880D29">
              <w:rPr>
                <w:color w:val="000000"/>
                <w:sz w:val="14"/>
                <w:szCs w:val="14"/>
              </w:rPr>
              <w:t>BB1*</w:t>
            </w:r>
          </w:p>
        </w:tc>
        <w:tc>
          <w:tcPr>
            <w:tcW w:w="1579" w:type="dxa"/>
            <w:shd w:val="clear" w:color="auto" w:fill="E7F3F4"/>
            <w:noWrap/>
            <w:vAlign w:val="center"/>
          </w:tcPr>
          <w:p w14:paraId="365C15E5" w14:textId="77777777" w:rsidR="004920D8" w:rsidRPr="00880D29" w:rsidRDefault="004920D8" w:rsidP="00D64955">
            <w:pPr>
              <w:spacing w:before="0" w:after="0"/>
              <w:jc w:val="center"/>
              <w:rPr>
                <w:color w:val="000000"/>
                <w:sz w:val="14"/>
                <w:szCs w:val="14"/>
              </w:rPr>
            </w:pPr>
            <w:r w:rsidRPr="00880D29">
              <w:rPr>
                <w:color w:val="000000"/>
                <w:sz w:val="14"/>
                <w:szCs w:val="14"/>
              </w:rPr>
              <w:t>Bushland Beach</w:t>
            </w:r>
          </w:p>
        </w:tc>
        <w:tc>
          <w:tcPr>
            <w:tcW w:w="486" w:type="dxa"/>
            <w:shd w:val="clear" w:color="auto" w:fill="E7F3F4"/>
            <w:noWrap/>
            <w:vAlign w:val="center"/>
          </w:tcPr>
          <w:p w14:paraId="05C0B961"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center"/>
          </w:tcPr>
          <w:p w14:paraId="4D9460C8" w14:textId="77777777" w:rsidR="004920D8" w:rsidRPr="00880D29" w:rsidRDefault="004920D8" w:rsidP="00D64955">
            <w:pPr>
              <w:spacing w:before="0" w:after="0"/>
              <w:jc w:val="center"/>
              <w:rPr>
                <w:color w:val="000000"/>
                <w:sz w:val="14"/>
                <w:szCs w:val="14"/>
              </w:rPr>
            </w:pPr>
            <w:r w:rsidRPr="001E3909">
              <w:rPr>
                <w:color w:val="000000"/>
                <w:sz w:val="14"/>
                <w:szCs w:val="14"/>
              </w:rPr>
              <w:t>11.016</w:t>
            </w:r>
          </w:p>
        </w:tc>
        <w:tc>
          <w:tcPr>
            <w:tcW w:w="576" w:type="dxa"/>
            <w:shd w:val="clear" w:color="auto" w:fill="E7F3F4"/>
            <w:noWrap/>
            <w:vAlign w:val="center"/>
          </w:tcPr>
          <w:p w14:paraId="5051A861" w14:textId="77777777" w:rsidR="004920D8" w:rsidRPr="00880D29" w:rsidRDefault="004920D8" w:rsidP="00D64955">
            <w:pPr>
              <w:spacing w:before="0" w:after="0"/>
              <w:jc w:val="center"/>
              <w:rPr>
                <w:color w:val="000000"/>
                <w:sz w:val="14"/>
                <w:szCs w:val="14"/>
              </w:rPr>
            </w:pPr>
            <w:r w:rsidRPr="00880D29">
              <w:rPr>
                <w:color w:val="000000"/>
                <w:sz w:val="14"/>
                <w:szCs w:val="14"/>
              </w:rPr>
              <w:t>146°</w:t>
            </w:r>
          </w:p>
        </w:tc>
        <w:tc>
          <w:tcPr>
            <w:tcW w:w="830" w:type="dxa"/>
            <w:shd w:val="clear" w:color="auto" w:fill="E7F3F4"/>
            <w:noWrap/>
            <w:vAlign w:val="center"/>
          </w:tcPr>
          <w:p w14:paraId="67B57544" w14:textId="77777777" w:rsidR="004920D8" w:rsidRPr="00880D29" w:rsidRDefault="004920D8" w:rsidP="00D64955">
            <w:pPr>
              <w:spacing w:before="0" w:after="0"/>
              <w:jc w:val="center"/>
              <w:rPr>
                <w:color w:val="000000"/>
                <w:sz w:val="14"/>
                <w:szCs w:val="14"/>
              </w:rPr>
            </w:pPr>
            <w:r w:rsidRPr="001E3909">
              <w:rPr>
                <w:color w:val="000000"/>
                <w:sz w:val="14"/>
                <w:szCs w:val="14"/>
              </w:rPr>
              <w:t>40.951</w:t>
            </w:r>
          </w:p>
        </w:tc>
        <w:tc>
          <w:tcPr>
            <w:tcW w:w="481" w:type="dxa"/>
            <w:vMerge/>
            <w:shd w:val="clear" w:color="auto" w:fill="E7F3F4"/>
            <w:noWrap/>
            <w:vAlign w:val="center"/>
          </w:tcPr>
          <w:p w14:paraId="37609E5A"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10A7A4B6"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0A668E92"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1B783036"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6CDE51CB"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27F4D235"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7630FFA9"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50CCF061"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612E87FC"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5123CB14" w14:textId="77777777" w:rsidR="004920D8" w:rsidRPr="00F45F13" w:rsidRDefault="004920D8" w:rsidP="00D64955">
            <w:pPr>
              <w:spacing w:before="0" w:after="0"/>
              <w:jc w:val="center"/>
              <w:rPr>
                <w:color w:val="000000"/>
                <w:sz w:val="14"/>
                <w:szCs w:val="14"/>
              </w:rPr>
            </w:pPr>
          </w:p>
        </w:tc>
      </w:tr>
      <w:tr w:rsidR="004920D8" w:rsidRPr="00015190" w14:paraId="1A202DBA" w14:textId="77777777" w:rsidTr="00D64955">
        <w:trPr>
          <w:trHeight w:val="170"/>
          <w:jc w:val="center"/>
        </w:trPr>
        <w:tc>
          <w:tcPr>
            <w:tcW w:w="836" w:type="dxa"/>
            <w:vMerge/>
            <w:shd w:val="clear" w:color="auto" w:fill="auto"/>
            <w:noWrap/>
            <w:vAlign w:val="center"/>
          </w:tcPr>
          <w:p w14:paraId="605B5CFB"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2C0AEB6B"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39F6205E"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E7F3F4"/>
            <w:noWrap/>
            <w:vAlign w:val="center"/>
          </w:tcPr>
          <w:p w14:paraId="32448E57" w14:textId="77777777" w:rsidR="004920D8" w:rsidRPr="00880D29" w:rsidRDefault="004920D8" w:rsidP="00D64955">
            <w:pPr>
              <w:spacing w:before="0" w:after="0"/>
              <w:jc w:val="center"/>
              <w:rPr>
                <w:color w:val="000000"/>
                <w:sz w:val="14"/>
                <w:szCs w:val="14"/>
              </w:rPr>
            </w:pPr>
            <w:r w:rsidRPr="00880D29">
              <w:rPr>
                <w:color w:val="000000"/>
                <w:sz w:val="14"/>
                <w:szCs w:val="14"/>
              </w:rPr>
              <w:t>Bowling Green Bay</w:t>
            </w:r>
          </w:p>
          <w:p w14:paraId="0B15716E" w14:textId="77777777" w:rsidR="004920D8" w:rsidRPr="00880D29" w:rsidRDefault="004920D8" w:rsidP="00D64955">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14:paraId="50AD49EC" w14:textId="77777777" w:rsidR="004920D8" w:rsidRPr="00880D29" w:rsidRDefault="004920D8" w:rsidP="00D64955">
            <w:pPr>
              <w:spacing w:before="0" w:after="0"/>
              <w:jc w:val="center"/>
              <w:rPr>
                <w:color w:val="000000"/>
                <w:sz w:val="14"/>
                <w:szCs w:val="14"/>
              </w:rPr>
            </w:pPr>
            <w:r w:rsidRPr="00880D29">
              <w:rPr>
                <w:color w:val="000000"/>
                <w:sz w:val="14"/>
                <w:szCs w:val="14"/>
              </w:rPr>
              <w:t>JR1*</w:t>
            </w:r>
          </w:p>
        </w:tc>
        <w:tc>
          <w:tcPr>
            <w:tcW w:w="1579" w:type="dxa"/>
            <w:shd w:val="clear" w:color="auto" w:fill="E7F3F4"/>
            <w:noWrap/>
            <w:vAlign w:val="center"/>
          </w:tcPr>
          <w:p w14:paraId="22F9CF15" w14:textId="77777777" w:rsidR="004920D8" w:rsidRPr="00880D29" w:rsidRDefault="004920D8" w:rsidP="00D64955">
            <w:pPr>
              <w:spacing w:before="0" w:after="0"/>
              <w:jc w:val="center"/>
              <w:rPr>
                <w:color w:val="000000"/>
                <w:sz w:val="14"/>
                <w:szCs w:val="14"/>
              </w:rPr>
            </w:pPr>
            <w:r w:rsidRPr="00880D29">
              <w:rPr>
                <w:color w:val="000000"/>
                <w:sz w:val="14"/>
                <w:szCs w:val="14"/>
              </w:rPr>
              <w:t>Jerona (Barratta CK)</w:t>
            </w:r>
          </w:p>
        </w:tc>
        <w:tc>
          <w:tcPr>
            <w:tcW w:w="486" w:type="dxa"/>
            <w:shd w:val="clear" w:color="auto" w:fill="E7F3F4"/>
            <w:noWrap/>
          </w:tcPr>
          <w:p w14:paraId="648A2521"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bottom"/>
          </w:tcPr>
          <w:p w14:paraId="22BF4E4A" w14:textId="77777777" w:rsidR="004920D8" w:rsidRPr="001E3909" w:rsidRDefault="004920D8" w:rsidP="00D64955">
            <w:pPr>
              <w:spacing w:before="0" w:after="0"/>
              <w:jc w:val="center"/>
              <w:rPr>
                <w:color w:val="000000"/>
                <w:sz w:val="14"/>
                <w:szCs w:val="14"/>
              </w:rPr>
            </w:pPr>
            <w:r w:rsidRPr="001E3909">
              <w:rPr>
                <w:color w:val="000000"/>
                <w:sz w:val="14"/>
                <w:szCs w:val="14"/>
              </w:rPr>
              <w:t>25.369</w:t>
            </w:r>
          </w:p>
        </w:tc>
        <w:tc>
          <w:tcPr>
            <w:tcW w:w="576" w:type="dxa"/>
            <w:shd w:val="clear" w:color="auto" w:fill="E7F3F4"/>
            <w:noWrap/>
          </w:tcPr>
          <w:p w14:paraId="202B248F" w14:textId="77777777" w:rsidR="004920D8" w:rsidRPr="00880D29" w:rsidRDefault="004920D8" w:rsidP="00D64955">
            <w:pPr>
              <w:spacing w:before="0" w:after="0"/>
              <w:jc w:val="center"/>
              <w:rPr>
                <w:color w:val="000000"/>
                <w:sz w:val="14"/>
                <w:szCs w:val="14"/>
              </w:rPr>
            </w:pPr>
            <w:r w:rsidRPr="00880D29">
              <w:rPr>
                <w:color w:val="000000"/>
                <w:sz w:val="14"/>
                <w:szCs w:val="14"/>
              </w:rPr>
              <w:t>147°</w:t>
            </w:r>
          </w:p>
        </w:tc>
        <w:tc>
          <w:tcPr>
            <w:tcW w:w="830" w:type="dxa"/>
            <w:shd w:val="clear" w:color="auto" w:fill="E7F3F4"/>
            <w:noWrap/>
            <w:vAlign w:val="bottom"/>
          </w:tcPr>
          <w:p w14:paraId="322633DA" w14:textId="77777777" w:rsidR="004920D8" w:rsidRPr="001E3909" w:rsidRDefault="004920D8" w:rsidP="00D64955">
            <w:pPr>
              <w:spacing w:before="0" w:after="0"/>
              <w:jc w:val="center"/>
              <w:rPr>
                <w:color w:val="000000"/>
                <w:sz w:val="14"/>
                <w:szCs w:val="14"/>
              </w:rPr>
            </w:pPr>
            <w:r w:rsidRPr="001E3909">
              <w:rPr>
                <w:color w:val="000000"/>
                <w:sz w:val="14"/>
                <w:szCs w:val="14"/>
              </w:rPr>
              <w:t>14.487</w:t>
            </w:r>
          </w:p>
        </w:tc>
        <w:tc>
          <w:tcPr>
            <w:tcW w:w="481" w:type="dxa"/>
            <w:vMerge w:val="restart"/>
            <w:shd w:val="clear" w:color="auto" w:fill="E7F3F4"/>
            <w:noWrap/>
            <w:vAlign w:val="center"/>
          </w:tcPr>
          <w:p w14:paraId="7EA00AFB" w14:textId="77777777" w:rsidR="004920D8" w:rsidRPr="00F45F13" w:rsidRDefault="004920D8" w:rsidP="00D64955">
            <w:pPr>
              <w:spacing w:before="0" w:after="0"/>
              <w:jc w:val="center"/>
              <w:rPr>
                <w:color w:val="000000"/>
                <w:sz w:val="14"/>
                <w:szCs w:val="14"/>
              </w:rPr>
            </w:pPr>
          </w:p>
        </w:tc>
        <w:tc>
          <w:tcPr>
            <w:tcW w:w="402" w:type="dxa"/>
            <w:vMerge w:val="restart"/>
            <w:shd w:val="clear" w:color="auto" w:fill="E7F3F4"/>
            <w:vAlign w:val="center"/>
          </w:tcPr>
          <w:p w14:paraId="5CD248C0"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0A3DDA79"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01F31CF1"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66A9F9E1"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21E40CA7"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44C619F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7EDEF484"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4A575959"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140B8CAB"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433D4524" w14:textId="77777777" w:rsidTr="00D64955">
        <w:trPr>
          <w:trHeight w:val="170"/>
          <w:jc w:val="center"/>
        </w:trPr>
        <w:tc>
          <w:tcPr>
            <w:tcW w:w="836" w:type="dxa"/>
            <w:vMerge/>
            <w:shd w:val="clear" w:color="auto" w:fill="auto"/>
            <w:noWrap/>
            <w:vAlign w:val="center"/>
          </w:tcPr>
          <w:p w14:paraId="5F86F57C"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578489BC"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12A4DC86"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59ACB162"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511DD8FD" w14:textId="77777777" w:rsidR="004920D8" w:rsidRPr="00880D29" w:rsidRDefault="004920D8" w:rsidP="00D64955">
            <w:pPr>
              <w:spacing w:before="0" w:after="0"/>
              <w:jc w:val="center"/>
              <w:rPr>
                <w:color w:val="000000"/>
                <w:sz w:val="14"/>
                <w:szCs w:val="14"/>
              </w:rPr>
            </w:pPr>
            <w:r w:rsidRPr="00880D29">
              <w:rPr>
                <w:color w:val="000000"/>
                <w:sz w:val="14"/>
                <w:szCs w:val="14"/>
              </w:rPr>
              <w:t>JR2*</w:t>
            </w:r>
          </w:p>
        </w:tc>
        <w:tc>
          <w:tcPr>
            <w:tcW w:w="1579" w:type="dxa"/>
            <w:shd w:val="clear" w:color="auto" w:fill="E7F3F4"/>
            <w:noWrap/>
            <w:vAlign w:val="center"/>
          </w:tcPr>
          <w:p w14:paraId="011A3A54" w14:textId="77777777" w:rsidR="004920D8" w:rsidRPr="00880D29" w:rsidRDefault="004920D8" w:rsidP="00D64955">
            <w:pPr>
              <w:spacing w:before="0" w:after="0"/>
              <w:jc w:val="center"/>
              <w:rPr>
                <w:color w:val="000000"/>
                <w:sz w:val="14"/>
                <w:szCs w:val="14"/>
              </w:rPr>
            </w:pPr>
            <w:r w:rsidRPr="00880D29">
              <w:rPr>
                <w:color w:val="000000"/>
                <w:sz w:val="14"/>
                <w:szCs w:val="14"/>
              </w:rPr>
              <w:t>Jerona (Barratta CK)</w:t>
            </w:r>
          </w:p>
        </w:tc>
        <w:tc>
          <w:tcPr>
            <w:tcW w:w="486" w:type="dxa"/>
            <w:shd w:val="clear" w:color="auto" w:fill="E7F3F4"/>
            <w:noWrap/>
          </w:tcPr>
          <w:p w14:paraId="663C68E1" w14:textId="77777777" w:rsidR="004920D8" w:rsidRPr="00880D29" w:rsidRDefault="004920D8" w:rsidP="00D64955">
            <w:pPr>
              <w:spacing w:before="0" w:after="0"/>
              <w:jc w:val="center"/>
              <w:rPr>
                <w:color w:val="000000"/>
                <w:sz w:val="14"/>
                <w:szCs w:val="14"/>
              </w:rPr>
            </w:pPr>
            <w:r w:rsidRPr="00880D29">
              <w:rPr>
                <w:color w:val="000000"/>
                <w:sz w:val="14"/>
                <w:szCs w:val="14"/>
              </w:rPr>
              <w:t>19°</w:t>
            </w:r>
          </w:p>
        </w:tc>
        <w:tc>
          <w:tcPr>
            <w:tcW w:w="830" w:type="dxa"/>
            <w:shd w:val="clear" w:color="auto" w:fill="E7F3F4"/>
            <w:noWrap/>
            <w:vAlign w:val="bottom"/>
          </w:tcPr>
          <w:p w14:paraId="36905AB4" w14:textId="77777777" w:rsidR="004920D8" w:rsidRPr="001E3909" w:rsidRDefault="004920D8" w:rsidP="00D64955">
            <w:pPr>
              <w:spacing w:before="0" w:after="0"/>
              <w:jc w:val="center"/>
              <w:rPr>
                <w:color w:val="000000"/>
                <w:sz w:val="14"/>
                <w:szCs w:val="14"/>
              </w:rPr>
            </w:pPr>
            <w:r w:rsidRPr="001E3909">
              <w:rPr>
                <w:color w:val="000000"/>
                <w:sz w:val="14"/>
                <w:szCs w:val="14"/>
              </w:rPr>
              <w:t>25.272</w:t>
            </w:r>
          </w:p>
        </w:tc>
        <w:tc>
          <w:tcPr>
            <w:tcW w:w="576" w:type="dxa"/>
            <w:shd w:val="clear" w:color="auto" w:fill="E7F3F4"/>
            <w:noWrap/>
          </w:tcPr>
          <w:p w14:paraId="5AF47DF6" w14:textId="77777777" w:rsidR="004920D8" w:rsidRPr="00880D29" w:rsidRDefault="004920D8" w:rsidP="00D64955">
            <w:pPr>
              <w:spacing w:before="0" w:after="0"/>
              <w:jc w:val="center"/>
              <w:rPr>
                <w:color w:val="000000"/>
                <w:sz w:val="14"/>
                <w:szCs w:val="14"/>
              </w:rPr>
            </w:pPr>
            <w:r w:rsidRPr="00880D29">
              <w:rPr>
                <w:color w:val="000000"/>
                <w:sz w:val="14"/>
                <w:szCs w:val="14"/>
              </w:rPr>
              <w:t>147°</w:t>
            </w:r>
          </w:p>
        </w:tc>
        <w:tc>
          <w:tcPr>
            <w:tcW w:w="830" w:type="dxa"/>
            <w:shd w:val="clear" w:color="auto" w:fill="E7F3F4"/>
            <w:noWrap/>
            <w:vAlign w:val="bottom"/>
          </w:tcPr>
          <w:p w14:paraId="709126A6" w14:textId="77777777" w:rsidR="004920D8" w:rsidRPr="001E3909" w:rsidRDefault="004920D8" w:rsidP="00D64955">
            <w:pPr>
              <w:spacing w:before="0" w:after="0"/>
              <w:jc w:val="center"/>
              <w:rPr>
                <w:color w:val="000000"/>
                <w:sz w:val="14"/>
                <w:szCs w:val="14"/>
              </w:rPr>
            </w:pPr>
            <w:r w:rsidRPr="001E3909">
              <w:rPr>
                <w:color w:val="000000"/>
                <w:sz w:val="14"/>
                <w:szCs w:val="14"/>
              </w:rPr>
              <w:t>14.435</w:t>
            </w:r>
          </w:p>
        </w:tc>
        <w:tc>
          <w:tcPr>
            <w:tcW w:w="481" w:type="dxa"/>
            <w:vMerge/>
            <w:shd w:val="clear" w:color="auto" w:fill="E7F3F4"/>
            <w:noWrap/>
            <w:vAlign w:val="center"/>
          </w:tcPr>
          <w:p w14:paraId="0B8497CF"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78C08A15"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0D7E3614"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3DED46DA"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52C3EBC4"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41389E7C"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3424E48C"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06609F1D"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43C4BD41"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6D9D3669" w14:textId="77777777" w:rsidR="004920D8" w:rsidRPr="00F45F13" w:rsidRDefault="004920D8" w:rsidP="00D64955">
            <w:pPr>
              <w:spacing w:before="0" w:after="0"/>
              <w:jc w:val="center"/>
              <w:rPr>
                <w:color w:val="000000"/>
                <w:sz w:val="14"/>
                <w:szCs w:val="14"/>
              </w:rPr>
            </w:pPr>
          </w:p>
        </w:tc>
      </w:tr>
      <w:tr w:rsidR="004920D8" w:rsidRPr="00015190" w14:paraId="7D9CF636" w14:textId="77777777" w:rsidTr="00D64955">
        <w:trPr>
          <w:trHeight w:val="170"/>
          <w:jc w:val="center"/>
        </w:trPr>
        <w:tc>
          <w:tcPr>
            <w:tcW w:w="836" w:type="dxa"/>
            <w:vMerge/>
            <w:shd w:val="clear" w:color="auto" w:fill="auto"/>
            <w:noWrap/>
            <w:vAlign w:val="center"/>
          </w:tcPr>
          <w:p w14:paraId="20925E9B" w14:textId="77777777" w:rsidR="004920D8" w:rsidRPr="00880D29" w:rsidRDefault="004920D8" w:rsidP="00D64955">
            <w:pPr>
              <w:spacing w:before="0" w:after="0"/>
              <w:jc w:val="center"/>
              <w:rPr>
                <w:color w:val="000000"/>
                <w:sz w:val="14"/>
                <w:szCs w:val="14"/>
              </w:rPr>
            </w:pPr>
          </w:p>
        </w:tc>
        <w:tc>
          <w:tcPr>
            <w:tcW w:w="1287" w:type="dxa"/>
            <w:vMerge w:val="restart"/>
            <w:shd w:val="clear" w:color="auto" w:fill="F3F9FA"/>
            <w:noWrap/>
            <w:vAlign w:val="center"/>
          </w:tcPr>
          <w:p w14:paraId="2A4422B2" w14:textId="77777777" w:rsidR="004920D8" w:rsidRPr="00880D29" w:rsidRDefault="004920D8" w:rsidP="00D64955">
            <w:pPr>
              <w:spacing w:before="0" w:after="0"/>
              <w:jc w:val="center"/>
              <w:rPr>
                <w:color w:val="000000"/>
                <w:sz w:val="14"/>
                <w:szCs w:val="14"/>
              </w:rPr>
            </w:pPr>
            <w:r w:rsidRPr="00880D29">
              <w:rPr>
                <w:color w:val="000000"/>
                <w:sz w:val="14"/>
                <w:szCs w:val="14"/>
              </w:rPr>
              <w:t>Mackay Whitsunday</w:t>
            </w:r>
          </w:p>
          <w:p w14:paraId="12F3DDF5"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Reef Catchments</w:t>
            </w:r>
            <w:r w:rsidRPr="00880D29">
              <w:rPr>
                <w:color w:val="000000"/>
                <w:sz w:val="14"/>
                <w:szCs w:val="14"/>
              </w:rPr>
              <w:t>)</w:t>
            </w:r>
          </w:p>
        </w:tc>
        <w:tc>
          <w:tcPr>
            <w:tcW w:w="1079" w:type="dxa"/>
            <w:vMerge w:val="restart"/>
            <w:shd w:val="clear" w:color="auto" w:fill="F3F9FA"/>
            <w:vAlign w:val="center"/>
          </w:tcPr>
          <w:p w14:paraId="3096CAEF" w14:textId="77777777" w:rsidR="004920D8" w:rsidRPr="00880D29" w:rsidRDefault="004920D8" w:rsidP="00D64955">
            <w:pPr>
              <w:spacing w:before="0" w:after="0"/>
              <w:jc w:val="center"/>
              <w:rPr>
                <w:color w:val="000000"/>
                <w:sz w:val="14"/>
                <w:szCs w:val="14"/>
              </w:rPr>
            </w:pPr>
            <w:r w:rsidRPr="00880D29">
              <w:rPr>
                <w:color w:val="000000"/>
                <w:sz w:val="14"/>
                <w:szCs w:val="14"/>
              </w:rPr>
              <w:t>Proserpine</w:t>
            </w:r>
            <w:r>
              <w:rPr>
                <w:color w:val="000000"/>
                <w:sz w:val="14"/>
                <w:szCs w:val="14"/>
              </w:rPr>
              <w:t xml:space="preserve"> / O</w:t>
            </w:r>
            <w:r w:rsidRPr="00C02B42">
              <w:rPr>
                <w:color w:val="000000"/>
                <w:sz w:val="14"/>
                <w:szCs w:val="14"/>
              </w:rPr>
              <w:t>'</w:t>
            </w:r>
            <w:r>
              <w:rPr>
                <w:color w:val="000000"/>
                <w:sz w:val="14"/>
                <w:szCs w:val="14"/>
              </w:rPr>
              <w:t>C</w:t>
            </w:r>
            <w:r w:rsidRPr="00C02B42">
              <w:rPr>
                <w:color w:val="000000"/>
                <w:sz w:val="14"/>
                <w:szCs w:val="14"/>
              </w:rPr>
              <w:t>onnell</w:t>
            </w:r>
          </w:p>
        </w:tc>
        <w:tc>
          <w:tcPr>
            <w:tcW w:w="1576" w:type="dxa"/>
            <w:vMerge w:val="restart"/>
            <w:shd w:val="clear" w:color="auto" w:fill="F3F9FA"/>
            <w:noWrap/>
            <w:vAlign w:val="center"/>
          </w:tcPr>
          <w:p w14:paraId="23F3FEE1" w14:textId="77777777" w:rsidR="004920D8" w:rsidRDefault="004920D8" w:rsidP="00D64955">
            <w:pPr>
              <w:spacing w:before="0" w:after="0"/>
              <w:jc w:val="center"/>
              <w:rPr>
                <w:color w:val="000000"/>
                <w:sz w:val="14"/>
                <w:szCs w:val="14"/>
              </w:rPr>
            </w:pPr>
            <w:r>
              <w:rPr>
                <w:color w:val="000000"/>
                <w:sz w:val="14"/>
                <w:szCs w:val="14"/>
              </w:rPr>
              <w:t>Repulse Bay</w:t>
            </w:r>
          </w:p>
          <w:p w14:paraId="6285BF39" w14:textId="77777777" w:rsidR="004920D8" w:rsidRPr="00880D29" w:rsidRDefault="004920D8" w:rsidP="00D64955">
            <w:pPr>
              <w:spacing w:before="0" w:after="0"/>
              <w:jc w:val="center"/>
              <w:rPr>
                <w:color w:val="000000"/>
                <w:sz w:val="14"/>
                <w:szCs w:val="14"/>
              </w:rPr>
            </w:pPr>
            <w:r w:rsidRPr="00C02B42">
              <w:rPr>
                <w:color w:val="000000"/>
                <w:sz w:val="14"/>
                <w:szCs w:val="14"/>
              </w:rPr>
              <w:t>coastal</w:t>
            </w:r>
          </w:p>
        </w:tc>
        <w:tc>
          <w:tcPr>
            <w:tcW w:w="674" w:type="dxa"/>
            <w:shd w:val="clear" w:color="auto" w:fill="F3F9FA"/>
            <w:noWrap/>
            <w:vAlign w:val="center"/>
          </w:tcPr>
          <w:p w14:paraId="4005E478" w14:textId="77777777" w:rsidR="004920D8" w:rsidRPr="00880D29" w:rsidRDefault="004920D8" w:rsidP="00D64955">
            <w:pPr>
              <w:spacing w:before="0" w:after="0"/>
              <w:jc w:val="center"/>
              <w:rPr>
                <w:color w:val="000000"/>
                <w:sz w:val="14"/>
                <w:szCs w:val="14"/>
              </w:rPr>
            </w:pPr>
            <w:r>
              <w:rPr>
                <w:color w:val="000000"/>
                <w:sz w:val="14"/>
                <w:szCs w:val="14"/>
              </w:rPr>
              <w:t>MP2</w:t>
            </w:r>
            <w:r w:rsidRPr="00880D29">
              <w:rPr>
                <w:color w:val="000000"/>
                <w:sz w:val="14"/>
                <w:szCs w:val="14"/>
              </w:rPr>
              <w:t>*</w:t>
            </w:r>
          </w:p>
        </w:tc>
        <w:tc>
          <w:tcPr>
            <w:tcW w:w="1579" w:type="dxa"/>
            <w:shd w:val="clear" w:color="auto" w:fill="F3F9FA"/>
            <w:noWrap/>
            <w:vAlign w:val="center"/>
          </w:tcPr>
          <w:p w14:paraId="3D1AA59D" w14:textId="77777777" w:rsidR="004920D8" w:rsidRPr="00880D29" w:rsidRDefault="004920D8" w:rsidP="00D64955">
            <w:pPr>
              <w:spacing w:before="0" w:after="0"/>
              <w:jc w:val="center"/>
              <w:rPr>
                <w:color w:val="000000"/>
                <w:sz w:val="14"/>
                <w:szCs w:val="14"/>
              </w:rPr>
            </w:pPr>
            <w:r>
              <w:rPr>
                <w:color w:val="000000"/>
                <w:sz w:val="14"/>
                <w:szCs w:val="14"/>
              </w:rPr>
              <w:t>Midge Point</w:t>
            </w:r>
          </w:p>
        </w:tc>
        <w:tc>
          <w:tcPr>
            <w:tcW w:w="486" w:type="dxa"/>
            <w:shd w:val="clear" w:color="auto" w:fill="F3F9FA"/>
            <w:noWrap/>
            <w:vAlign w:val="center"/>
          </w:tcPr>
          <w:p w14:paraId="42503F98"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F3F9FA"/>
            <w:noWrap/>
            <w:vAlign w:val="bottom"/>
          </w:tcPr>
          <w:p w14:paraId="1BA46F9B" w14:textId="77777777" w:rsidR="004920D8" w:rsidRPr="001667E9" w:rsidRDefault="004920D8" w:rsidP="00D64955">
            <w:pPr>
              <w:spacing w:before="0" w:after="0"/>
              <w:jc w:val="center"/>
              <w:rPr>
                <w:color w:val="000000"/>
                <w:sz w:val="14"/>
                <w:szCs w:val="14"/>
              </w:rPr>
            </w:pPr>
            <w:r w:rsidRPr="001667E9">
              <w:rPr>
                <w:color w:val="000000"/>
                <w:sz w:val="14"/>
                <w:szCs w:val="14"/>
              </w:rPr>
              <w:t>38.084</w:t>
            </w:r>
          </w:p>
        </w:tc>
        <w:tc>
          <w:tcPr>
            <w:tcW w:w="576" w:type="dxa"/>
            <w:shd w:val="clear" w:color="auto" w:fill="F3F9FA"/>
            <w:noWrap/>
            <w:vAlign w:val="center"/>
          </w:tcPr>
          <w:p w14:paraId="0E5A486E"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F3F9FA"/>
            <w:noWrap/>
            <w:vAlign w:val="bottom"/>
          </w:tcPr>
          <w:p w14:paraId="38996380" w14:textId="77777777" w:rsidR="004920D8" w:rsidRPr="001667E9" w:rsidRDefault="004920D8" w:rsidP="00D64955">
            <w:pPr>
              <w:spacing w:before="0" w:after="0"/>
              <w:jc w:val="center"/>
              <w:rPr>
                <w:color w:val="000000"/>
                <w:sz w:val="14"/>
                <w:szCs w:val="14"/>
              </w:rPr>
            </w:pPr>
            <w:r w:rsidRPr="001667E9">
              <w:rPr>
                <w:color w:val="000000"/>
                <w:sz w:val="14"/>
                <w:szCs w:val="14"/>
              </w:rPr>
              <w:t>42.107</w:t>
            </w:r>
          </w:p>
        </w:tc>
        <w:tc>
          <w:tcPr>
            <w:tcW w:w="481" w:type="dxa"/>
            <w:vMerge w:val="restart"/>
            <w:shd w:val="clear" w:color="auto" w:fill="F3F9FA"/>
            <w:noWrap/>
            <w:vAlign w:val="center"/>
          </w:tcPr>
          <w:p w14:paraId="6F8B0089"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42A07C35"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21C9E196"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58DFF349"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22850F6A"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65AD0B74"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3A9D58F4"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F3F9FA"/>
            <w:vAlign w:val="center"/>
          </w:tcPr>
          <w:p w14:paraId="416A4D20"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261D9F37"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5971CB9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11625BE8" w14:textId="77777777" w:rsidTr="00D64955">
        <w:trPr>
          <w:trHeight w:val="170"/>
          <w:jc w:val="center"/>
        </w:trPr>
        <w:tc>
          <w:tcPr>
            <w:tcW w:w="836" w:type="dxa"/>
            <w:vMerge/>
            <w:shd w:val="clear" w:color="auto" w:fill="auto"/>
            <w:noWrap/>
            <w:vAlign w:val="center"/>
          </w:tcPr>
          <w:p w14:paraId="099E6DF5"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1DECF8B1"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270D69FB"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48A78731"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5DFA47CD" w14:textId="77777777" w:rsidR="004920D8" w:rsidRPr="00880D29" w:rsidRDefault="004920D8" w:rsidP="00D64955">
            <w:pPr>
              <w:spacing w:before="0" w:after="0"/>
              <w:jc w:val="center"/>
              <w:rPr>
                <w:color w:val="000000"/>
                <w:sz w:val="14"/>
                <w:szCs w:val="14"/>
              </w:rPr>
            </w:pPr>
            <w:r>
              <w:rPr>
                <w:color w:val="000000"/>
                <w:sz w:val="14"/>
                <w:szCs w:val="14"/>
              </w:rPr>
              <w:t>MP3</w:t>
            </w:r>
            <w:r w:rsidRPr="00880D29">
              <w:rPr>
                <w:color w:val="000000"/>
                <w:sz w:val="14"/>
                <w:szCs w:val="14"/>
              </w:rPr>
              <w:t>*</w:t>
            </w:r>
          </w:p>
        </w:tc>
        <w:tc>
          <w:tcPr>
            <w:tcW w:w="1579" w:type="dxa"/>
            <w:shd w:val="clear" w:color="auto" w:fill="F3F9FA"/>
            <w:noWrap/>
            <w:vAlign w:val="center"/>
          </w:tcPr>
          <w:p w14:paraId="65A17DFA" w14:textId="77777777" w:rsidR="004920D8" w:rsidRPr="00880D29" w:rsidRDefault="004920D8" w:rsidP="00D64955">
            <w:pPr>
              <w:spacing w:before="0" w:after="0"/>
              <w:jc w:val="center"/>
              <w:rPr>
                <w:i/>
                <w:color w:val="000000"/>
                <w:sz w:val="14"/>
                <w:szCs w:val="14"/>
              </w:rPr>
            </w:pPr>
            <w:r>
              <w:rPr>
                <w:color w:val="000000"/>
                <w:sz w:val="14"/>
                <w:szCs w:val="14"/>
              </w:rPr>
              <w:t>Midge Point</w:t>
            </w:r>
          </w:p>
        </w:tc>
        <w:tc>
          <w:tcPr>
            <w:tcW w:w="486" w:type="dxa"/>
            <w:shd w:val="clear" w:color="auto" w:fill="F3F9FA"/>
            <w:noWrap/>
            <w:vAlign w:val="center"/>
          </w:tcPr>
          <w:p w14:paraId="7F6ADF58"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F3F9FA"/>
            <w:noWrap/>
            <w:vAlign w:val="bottom"/>
          </w:tcPr>
          <w:p w14:paraId="42073904" w14:textId="77777777" w:rsidR="004920D8" w:rsidRPr="001667E9" w:rsidRDefault="004920D8" w:rsidP="00D64955">
            <w:pPr>
              <w:spacing w:before="0" w:after="0"/>
              <w:jc w:val="center"/>
              <w:rPr>
                <w:color w:val="000000"/>
                <w:sz w:val="14"/>
                <w:szCs w:val="14"/>
              </w:rPr>
            </w:pPr>
            <w:r w:rsidRPr="001667E9">
              <w:rPr>
                <w:color w:val="000000"/>
                <w:sz w:val="14"/>
                <w:szCs w:val="14"/>
              </w:rPr>
              <w:t>38.067</w:t>
            </w:r>
          </w:p>
        </w:tc>
        <w:tc>
          <w:tcPr>
            <w:tcW w:w="576" w:type="dxa"/>
            <w:shd w:val="clear" w:color="auto" w:fill="F3F9FA"/>
            <w:noWrap/>
            <w:vAlign w:val="center"/>
          </w:tcPr>
          <w:p w14:paraId="2A2326A5"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F3F9FA"/>
            <w:noWrap/>
            <w:vAlign w:val="bottom"/>
          </w:tcPr>
          <w:p w14:paraId="218E59C4" w14:textId="77777777" w:rsidR="004920D8" w:rsidRPr="001667E9" w:rsidRDefault="004920D8" w:rsidP="00D64955">
            <w:pPr>
              <w:spacing w:before="0" w:after="0"/>
              <w:jc w:val="center"/>
              <w:rPr>
                <w:color w:val="000000"/>
                <w:sz w:val="14"/>
                <w:szCs w:val="14"/>
              </w:rPr>
            </w:pPr>
            <w:r w:rsidRPr="001667E9">
              <w:rPr>
                <w:color w:val="000000"/>
                <w:sz w:val="14"/>
                <w:szCs w:val="14"/>
              </w:rPr>
              <w:t>42.282</w:t>
            </w:r>
          </w:p>
        </w:tc>
        <w:tc>
          <w:tcPr>
            <w:tcW w:w="481" w:type="dxa"/>
            <w:vMerge/>
            <w:shd w:val="clear" w:color="auto" w:fill="F3F9FA"/>
            <w:noWrap/>
            <w:vAlign w:val="center"/>
          </w:tcPr>
          <w:p w14:paraId="6D16752A"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1199B89B"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514BDEF6"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66B5563C"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55BA37F4"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640164A7"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247F52C8"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43977CA7"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2595DCC6"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01436410" w14:textId="77777777" w:rsidR="004920D8" w:rsidRPr="00F45F13" w:rsidRDefault="004920D8" w:rsidP="00D64955">
            <w:pPr>
              <w:spacing w:before="0" w:after="0"/>
              <w:jc w:val="center"/>
              <w:rPr>
                <w:color w:val="000000"/>
                <w:sz w:val="14"/>
                <w:szCs w:val="14"/>
              </w:rPr>
            </w:pPr>
          </w:p>
        </w:tc>
      </w:tr>
      <w:tr w:rsidR="004920D8" w:rsidRPr="00015190" w14:paraId="01F54053" w14:textId="77777777" w:rsidTr="00D64955">
        <w:trPr>
          <w:trHeight w:val="170"/>
          <w:jc w:val="center"/>
        </w:trPr>
        <w:tc>
          <w:tcPr>
            <w:tcW w:w="836" w:type="dxa"/>
            <w:vMerge/>
            <w:shd w:val="clear" w:color="auto" w:fill="auto"/>
            <w:noWrap/>
            <w:vAlign w:val="center"/>
          </w:tcPr>
          <w:p w14:paraId="056C9F90"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333212D8"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2309BB27"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F3F9FA"/>
            <w:noWrap/>
            <w:vAlign w:val="center"/>
          </w:tcPr>
          <w:p w14:paraId="475D9EB9" w14:textId="77777777" w:rsidR="004920D8" w:rsidRPr="00880D29" w:rsidRDefault="004920D8" w:rsidP="00D64955">
            <w:pPr>
              <w:spacing w:before="0" w:after="0"/>
              <w:jc w:val="center"/>
              <w:rPr>
                <w:color w:val="000000"/>
                <w:sz w:val="14"/>
                <w:szCs w:val="14"/>
              </w:rPr>
            </w:pPr>
            <w:r w:rsidRPr="00880D29">
              <w:rPr>
                <w:color w:val="000000"/>
                <w:sz w:val="14"/>
                <w:szCs w:val="14"/>
              </w:rPr>
              <w:t>Hamilton Island</w:t>
            </w:r>
          </w:p>
          <w:p w14:paraId="6D9EEF57" w14:textId="77777777" w:rsidR="004920D8" w:rsidRPr="00880D29" w:rsidRDefault="004920D8" w:rsidP="00D64955">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14:paraId="0550D3BF" w14:textId="77777777" w:rsidR="004920D8" w:rsidRPr="00880D29" w:rsidRDefault="004920D8" w:rsidP="00D64955">
            <w:pPr>
              <w:spacing w:before="0" w:after="0"/>
              <w:jc w:val="center"/>
              <w:rPr>
                <w:color w:val="000000"/>
                <w:sz w:val="14"/>
                <w:szCs w:val="14"/>
              </w:rPr>
            </w:pPr>
            <w:r w:rsidRPr="00880D29">
              <w:rPr>
                <w:color w:val="000000"/>
                <w:sz w:val="14"/>
                <w:szCs w:val="14"/>
              </w:rPr>
              <w:t>HM1*</w:t>
            </w:r>
          </w:p>
        </w:tc>
        <w:tc>
          <w:tcPr>
            <w:tcW w:w="1579" w:type="dxa"/>
            <w:shd w:val="clear" w:color="auto" w:fill="F3F9FA"/>
            <w:noWrap/>
            <w:vAlign w:val="center"/>
          </w:tcPr>
          <w:p w14:paraId="08D7F2AC" w14:textId="77777777" w:rsidR="004920D8" w:rsidRPr="00880D29" w:rsidRDefault="004920D8" w:rsidP="00D64955">
            <w:pPr>
              <w:spacing w:before="0" w:after="0"/>
              <w:jc w:val="center"/>
              <w:rPr>
                <w:color w:val="000000"/>
                <w:sz w:val="14"/>
                <w:szCs w:val="14"/>
              </w:rPr>
            </w:pPr>
            <w:r>
              <w:rPr>
                <w:color w:val="000000"/>
                <w:sz w:val="14"/>
                <w:szCs w:val="14"/>
              </w:rPr>
              <w:t>Catseye Bay - west</w:t>
            </w:r>
          </w:p>
        </w:tc>
        <w:tc>
          <w:tcPr>
            <w:tcW w:w="486" w:type="dxa"/>
            <w:shd w:val="clear" w:color="auto" w:fill="F3F9FA"/>
            <w:noWrap/>
            <w:vAlign w:val="bottom"/>
          </w:tcPr>
          <w:p w14:paraId="5F85715F"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F3F9FA"/>
            <w:noWrap/>
            <w:vAlign w:val="bottom"/>
          </w:tcPr>
          <w:p w14:paraId="1D5B2EE4" w14:textId="77777777" w:rsidR="004920D8" w:rsidRPr="001667E9" w:rsidRDefault="004920D8" w:rsidP="00D64955">
            <w:pPr>
              <w:spacing w:before="0" w:after="0"/>
              <w:jc w:val="center"/>
              <w:rPr>
                <w:color w:val="000000"/>
                <w:sz w:val="14"/>
                <w:szCs w:val="14"/>
              </w:rPr>
            </w:pPr>
            <w:r w:rsidRPr="001667E9">
              <w:rPr>
                <w:color w:val="000000"/>
                <w:sz w:val="14"/>
                <w:szCs w:val="14"/>
              </w:rPr>
              <w:t>20.636</w:t>
            </w:r>
          </w:p>
        </w:tc>
        <w:tc>
          <w:tcPr>
            <w:tcW w:w="576" w:type="dxa"/>
            <w:shd w:val="clear" w:color="auto" w:fill="F3F9FA"/>
            <w:noWrap/>
            <w:vAlign w:val="bottom"/>
          </w:tcPr>
          <w:p w14:paraId="4E22B173"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F3F9FA"/>
            <w:noWrap/>
            <w:vAlign w:val="bottom"/>
          </w:tcPr>
          <w:p w14:paraId="23FE73B4" w14:textId="77777777" w:rsidR="004920D8" w:rsidRPr="001667E9" w:rsidRDefault="004920D8" w:rsidP="00D64955">
            <w:pPr>
              <w:spacing w:before="0" w:after="0"/>
              <w:jc w:val="center"/>
              <w:rPr>
                <w:color w:val="000000"/>
                <w:sz w:val="14"/>
                <w:szCs w:val="14"/>
              </w:rPr>
            </w:pPr>
            <w:r w:rsidRPr="001667E9">
              <w:rPr>
                <w:color w:val="000000"/>
                <w:sz w:val="14"/>
                <w:szCs w:val="14"/>
              </w:rPr>
              <w:t>57.439</w:t>
            </w:r>
          </w:p>
        </w:tc>
        <w:tc>
          <w:tcPr>
            <w:tcW w:w="481" w:type="dxa"/>
            <w:vMerge w:val="restart"/>
            <w:shd w:val="clear" w:color="auto" w:fill="F3F9FA"/>
            <w:noWrap/>
            <w:vAlign w:val="center"/>
          </w:tcPr>
          <w:p w14:paraId="73A97B95"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47F6F000"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676206FD"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36B313B1"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0F0749D7"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25A87D19"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4BD3E034"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F3F9FA"/>
            <w:vAlign w:val="center"/>
          </w:tcPr>
          <w:p w14:paraId="1A4D069B"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10" w:type="dxa"/>
            <w:vMerge w:val="restart"/>
            <w:shd w:val="clear" w:color="auto" w:fill="F3F9FA"/>
            <w:vAlign w:val="center"/>
          </w:tcPr>
          <w:p w14:paraId="18032860"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4C30A9F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48361C2F" w14:textId="77777777" w:rsidTr="00D64955">
        <w:trPr>
          <w:trHeight w:val="170"/>
          <w:jc w:val="center"/>
        </w:trPr>
        <w:tc>
          <w:tcPr>
            <w:tcW w:w="836" w:type="dxa"/>
            <w:vMerge/>
            <w:shd w:val="clear" w:color="auto" w:fill="auto"/>
            <w:noWrap/>
            <w:vAlign w:val="center"/>
          </w:tcPr>
          <w:p w14:paraId="38B17097"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0A3932CB"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4F5E495F"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6F31A11E"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5DFEF368" w14:textId="77777777" w:rsidR="004920D8" w:rsidRPr="00880D29" w:rsidRDefault="004920D8" w:rsidP="00D64955">
            <w:pPr>
              <w:spacing w:before="0" w:after="0"/>
              <w:jc w:val="center"/>
              <w:rPr>
                <w:color w:val="000000"/>
                <w:sz w:val="14"/>
                <w:szCs w:val="14"/>
              </w:rPr>
            </w:pPr>
            <w:r w:rsidRPr="00880D29">
              <w:rPr>
                <w:color w:val="000000"/>
                <w:sz w:val="14"/>
                <w:szCs w:val="14"/>
              </w:rPr>
              <w:t>HM2*</w:t>
            </w:r>
          </w:p>
        </w:tc>
        <w:tc>
          <w:tcPr>
            <w:tcW w:w="1579" w:type="dxa"/>
            <w:shd w:val="clear" w:color="auto" w:fill="F3F9FA"/>
            <w:noWrap/>
            <w:vAlign w:val="center"/>
          </w:tcPr>
          <w:p w14:paraId="18CCD232" w14:textId="77777777" w:rsidR="004920D8" w:rsidRPr="00880D29" w:rsidRDefault="004920D8" w:rsidP="00D64955">
            <w:pPr>
              <w:spacing w:before="0" w:after="0"/>
              <w:jc w:val="center"/>
              <w:rPr>
                <w:i/>
                <w:color w:val="000000"/>
                <w:sz w:val="14"/>
                <w:szCs w:val="14"/>
              </w:rPr>
            </w:pPr>
            <w:r>
              <w:rPr>
                <w:color w:val="000000"/>
                <w:sz w:val="14"/>
                <w:szCs w:val="14"/>
              </w:rPr>
              <w:t>Catseye Bay - east</w:t>
            </w:r>
          </w:p>
        </w:tc>
        <w:tc>
          <w:tcPr>
            <w:tcW w:w="486" w:type="dxa"/>
            <w:shd w:val="clear" w:color="auto" w:fill="F3F9FA"/>
            <w:noWrap/>
            <w:vAlign w:val="center"/>
          </w:tcPr>
          <w:p w14:paraId="04A893D8"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F3F9FA"/>
            <w:noWrap/>
            <w:vAlign w:val="bottom"/>
          </w:tcPr>
          <w:p w14:paraId="523C8A7A" w14:textId="77777777" w:rsidR="004920D8" w:rsidRPr="001667E9" w:rsidRDefault="004920D8" w:rsidP="00D64955">
            <w:pPr>
              <w:spacing w:before="0" w:after="0"/>
              <w:jc w:val="center"/>
              <w:rPr>
                <w:color w:val="000000"/>
                <w:sz w:val="14"/>
                <w:szCs w:val="14"/>
              </w:rPr>
            </w:pPr>
            <w:r w:rsidRPr="001667E9">
              <w:rPr>
                <w:color w:val="000000"/>
                <w:sz w:val="14"/>
                <w:szCs w:val="14"/>
              </w:rPr>
              <w:t>20.797</w:t>
            </w:r>
          </w:p>
        </w:tc>
        <w:tc>
          <w:tcPr>
            <w:tcW w:w="576" w:type="dxa"/>
            <w:shd w:val="clear" w:color="auto" w:fill="F3F9FA"/>
            <w:noWrap/>
            <w:vAlign w:val="center"/>
          </w:tcPr>
          <w:p w14:paraId="77994F52"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F3F9FA"/>
            <w:noWrap/>
            <w:vAlign w:val="bottom"/>
          </w:tcPr>
          <w:p w14:paraId="4F84F74C" w14:textId="77777777" w:rsidR="004920D8" w:rsidRPr="001667E9" w:rsidRDefault="004920D8" w:rsidP="00D64955">
            <w:pPr>
              <w:spacing w:before="0" w:after="0"/>
              <w:jc w:val="center"/>
              <w:rPr>
                <w:color w:val="000000"/>
                <w:sz w:val="14"/>
                <w:szCs w:val="14"/>
              </w:rPr>
            </w:pPr>
            <w:r w:rsidRPr="001667E9">
              <w:rPr>
                <w:color w:val="000000"/>
                <w:sz w:val="14"/>
                <w:szCs w:val="14"/>
              </w:rPr>
              <w:t>58.234</w:t>
            </w:r>
          </w:p>
        </w:tc>
        <w:tc>
          <w:tcPr>
            <w:tcW w:w="481" w:type="dxa"/>
            <w:vMerge/>
            <w:shd w:val="clear" w:color="auto" w:fill="F3F9FA"/>
            <w:noWrap/>
            <w:vAlign w:val="center"/>
          </w:tcPr>
          <w:p w14:paraId="3B0FF7D9"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6EA4267B"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2A65370B"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07FD6C4E"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20308E81"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01D7BE1D"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4CA50A71"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728E7BD3"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5F313846"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7E48C18C" w14:textId="77777777" w:rsidR="004920D8" w:rsidRPr="00F45F13" w:rsidRDefault="004920D8" w:rsidP="00D64955">
            <w:pPr>
              <w:spacing w:before="0" w:after="0"/>
              <w:jc w:val="center"/>
              <w:rPr>
                <w:color w:val="000000"/>
                <w:sz w:val="14"/>
                <w:szCs w:val="14"/>
              </w:rPr>
            </w:pPr>
          </w:p>
        </w:tc>
      </w:tr>
      <w:tr w:rsidR="004920D8" w:rsidRPr="00015190" w14:paraId="2C46581E" w14:textId="77777777" w:rsidTr="00D64955">
        <w:trPr>
          <w:trHeight w:val="170"/>
          <w:jc w:val="center"/>
        </w:trPr>
        <w:tc>
          <w:tcPr>
            <w:tcW w:w="836" w:type="dxa"/>
            <w:vMerge/>
            <w:shd w:val="clear" w:color="auto" w:fill="auto"/>
            <w:noWrap/>
            <w:vAlign w:val="center"/>
          </w:tcPr>
          <w:p w14:paraId="5EE40885"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6D27C129" w14:textId="77777777" w:rsidR="004920D8" w:rsidRPr="00880D29" w:rsidRDefault="004920D8" w:rsidP="00D64955">
            <w:pPr>
              <w:spacing w:before="0" w:after="0"/>
              <w:jc w:val="center"/>
              <w:rPr>
                <w:color w:val="000000"/>
                <w:sz w:val="14"/>
                <w:szCs w:val="14"/>
              </w:rPr>
            </w:pPr>
          </w:p>
        </w:tc>
        <w:tc>
          <w:tcPr>
            <w:tcW w:w="1079" w:type="dxa"/>
            <w:vMerge w:val="restart"/>
            <w:shd w:val="clear" w:color="auto" w:fill="F3F9FA"/>
            <w:vAlign w:val="center"/>
          </w:tcPr>
          <w:p w14:paraId="292A42D9" w14:textId="77777777" w:rsidR="004920D8" w:rsidRPr="00880D29" w:rsidRDefault="004920D8" w:rsidP="00D64955">
            <w:pPr>
              <w:spacing w:before="0" w:after="0"/>
              <w:jc w:val="center"/>
              <w:rPr>
                <w:color w:val="000000"/>
                <w:sz w:val="14"/>
                <w:szCs w:val="14"/>
              </w:rPr>
            </w:pPr>
            <w:r>
              <w:rPr>
                <w:color w:val="000000"/>
                <w:sz w:val="14"/>
                <w:szCs w:val="14"/>
              </w:rPr>
              <w:t>Plane</w:t>
            </w:r>
          </w:p>
        </w:tc>
        <w:tc>
          <w:tcPr>
            <w:tcW w:w="1576" w:type="dxa"/>
            <w:vMerge w:val="restart"/>
            <w:shd w:val="clear" w:color="auto" w:fill="F3F9FA"/>
            <w:noWrap/>
            <w:vAlign w:val="center"/>
          </w:tcPr>
          <w:p w14:paraId="55534989" w14:textId="77777777" w:rsidR="004920D8" w:rsidRPr="00880D29" w:rsidRDefault="004920D8" w:rsidP="00D64955">
            <w:pPr>
              <w:spacing w:before="0" w:after="0"/>
              <w:jc w:val="center"/>
              <w:rPr>
                <w:color w:val="000000"/>
                <w:sz w:val="14"/>
                <w:szCs w:val="14"/>
              </w:rPr>
            </w:pPr>
            <w:r w:rsidRPr="00880D29">
              <w:rPr>
                <w:color w:val="000000"/>
                <w:sz w:val="14"/>
                <w:szCs w:val="14"/>
              </w:rPr>
              <w:t>Sarina Inlet</w:t>
            </w:r>
          </w:p>
          <w:p w14:paraId="7738EA47"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14:paraId="5D809A01" w14:textId="77777777" w:rsidR="004920D8" w:rsidRPr="00880D29" w:rsidRDefault="004920D8" w:rsidP="00D64955">
            <w:pPr>
              <w:spacing w:before="0" w:after="0"/>
              <w:jc w:val="center"/>
              <w:rPr>
                <w:color w:val="000000"/>
                <w:sz w:val="14"/>
                <w:szCs w:val="14"/>
              </w:rPr>
            </w:pPr>
            <w:r w:rsidRPr="00880D29">
              <w:rPr>
                <w:color w:val="000000"/>
                <w:sz w:val="14"/>
                <w:szCs w:val="14"/>
              </w:rPr>
              <w:t>SI1*</w:t>
            </w:r>
          </w:p>
        </w:tc>
        <w:tc>
          <w:tcPr>
            <w:tcW w:w="1579" w:type="dxa"/>
            <w:shd w:val="clear" w:color="auto" w:fill="F3F9FA"/>
            <w:noWrap/>
            <w:vAlign w:val="center"/>
          </w:tcPr>
          <w:p w14:paraId="29A10E14" w14:textId="77777777" w:rsidR="004920D8" w:rsidRPr="00880D29" w:rsidRDefault="004920D8" w:rsidP="00D64955">
            <w:pPr>
              <w:spacing w:before="0" w:after="0"/>
              <w:jc w:val="center"/>
              <w:rPr>
                <w:color w:val="000000"/>
                <w:sz w:val="14"/>
                <w:szCs w:val="14"/>
              </w:rPr>
            </w:pPr>
            <w:r w:rsidRPr="009D1131">
              <w:rPr>
                <w:color w:val="000000"/>
                <w:sz w:val="14"/>
                <w:szCs w:val="14"/>
              </w:rPr>
              <w:t>Point Salisbury</w:t>
            </w:r>
          </w:p>
        </w:tc>
        <w:tc>
          <w:tcPr>
            <w:tcW w:w="486" w:type="dxa"/>
            <w:shd w:val="clear" w:color="auto" w:fill="F3F9FA"/>
            <w:noWrap/>
            <w:vAlign w:val="center"/>
          </w:tcPr>
          <w:p w14:paraId="22A5D675" w14:textId="77777777" w:rsidR="004920D8" w:rsidRPr="00880D29" w:rsidRDefault="004920D8" w:rsidP="00D64955">
            <w:pPr>
              <w:spacing w:before="0" w:after="0"/>
              <w:jc w:val="center"/>
              <w:rPr>
                <w:color w:val="000000"/>
                <w:sz w:val="14"/>
                <w:szCs w:val="14"/>
              </w:rPr>
            </w:pPr>
            <w:r w:rsidRPr="00880D29">
              <w:rPr>
                <w:color w:val="000000"/>
                <w:sz w:val="14"/>
                <w:szCs w:val="14"/>
              </w:rPr>
              <w:t>21°</w:t>
            </w:r>
          </w:p>
        </w:tc>
        <w:tc>
          <w:tcPr>
            <w:tcW w:w="830" w:type="dxa"/>
            <w:shd w:val="clear" w:color="auto" w:fill="F3F9FA"/>
            <w:noWrap/>
            <w:vAlign w:val="bottom"/>
          </w:tcPr>
          <w:p w14:paraId="4F20FB07" w14:textId="77777777" w:rsidR="004920D8" w:rsidRPr="001667E9" w:rsidRDefault="004920D8" w:rsidP="00D64955">
            <w:pPr>
              <w:spacing w:before="0" w:after="0"/>
              <w:jc w:val="center"/>
              <w:rPr>
                <w:color w:val="000000"/>
                <w:sz w:val="14"/>
                <w:szCs w:val="14"/>
              </w:rPr>
            </w:pPr>
            <w:r w:rsidRPr="001667E9">
              <w:rPr>
                <w:color w:val="000000"/>
                <w:sz w:val="14"/>
                <w:szCs w:val="14"/>
              </w:rPr>
              <w:t>23.770</w:t>
            </w:r>
          </w:p>
        </w:tc>
        <w:tc>
          <w:tcPr>
            <w:tcW w:w="576" w:type="dxa"/>
            <w:shd w:val="clear" w:color="auto" w:fill="F3F9FA"/>
            <w:noWrap/>
            <w:vAlign w:val="center"/>
          </w:tcPr>
          <w:p w14:paraId="3F4B220C" w14:textId="77777777" w:rsidR="004920D8" w:rsidRPr="00880D29" w:rsidRDefault="004920D8" w:rsidP="00D64955">
            <w:pPr>
              <w:spacing w:before="0" w:after="0"/>
              <w:jc w:val="center"/>
              <w:rPr>
                <w:color w:val="000000"/>
                <w:sz w:val="14"/>
                <w:szCs w:val="14"/>
              </w:rPr>
            </w:pPr>
            <w:r w:rsidRPr="00880D29">
              <w:rPr>
                <w:color w:val="000000"/>
                <w:sz w:val="14"/>
                <w:szCs w:val="14"/>
              </w:rPr>
              <w:t>149°</w:t>
            </w:r>
          </w:p>
        </w:tc>
        <w:tc>
          <w:tcPr>
            <w:tcW w:w="830" w:type="dxa"/>
            <w:shd w:val="clear" w:color="auto" w:fill="F3F9FA"/>
            <w:noWrap/>
            <w:vAlign w:val="bottom"/>
          </w:tcPr>
          <w:p w14:paraId="4065EC6B" w14:textId="77777777" w:rsidR="004920D8" w:rsidRPr="001667E9" w:rsidRDefault="004920D8" w:rsidP="00D64955">
            <w:pPr>
              <w:spacing w:before="0" w:after="0"/>
              <w:jc w:val="center"/>
              <w:rPr>
                <w:color w:val="000000"/>
                <w:sz w:val="14"/>
                <w:szCs w:val="14"/>
              </w:rPr>
            </w:pPr>
            <w:r w:rsidRPr="001667E9">
              <w:rPr>
                <w:color w:val="000000"/>
                <w:sz w:val="14"/>
                <w:szCs w:val="14"/>
              </w:rPr>
              <w:t>18.248</w:t>
            </w:r>
          </w:p>
        </w:tc>
        <w:tc>
          <w:tcPr>
            <w:tcW w:w="481" w:type="dxa"/>
            <w:vMerge w:val="restart"/>
            <w:shd w:val="clear" w:color="auto" w:fill="F3F9FA"/>
            <w:noWrap/>
            <w:vAlign w:val="center"/>
          </w:tcPr>
          <w:p w14:paraId="212B9858"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208028C9"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6FA95F10"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4FB0E3EB"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502498FE"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270E3452"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66FA04C7"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8" w:type="dxa"/>
            <w:vMerge w:val="restart"/>
            <w:shd w:val="clear" w:color="auto" w:fill="F3F9FA"/>
            <w:vAlign w:val="center"/>
          </w:tcPr>
          <w:p w14:paraId="20964214"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3F71AF70"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0764420B"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6C7E77E6" w14:textId="77777777" w:rsidTr="00D64955">
        <w:trPr>
          <w:trHeight w:val="170"/>
          <w:jc w:val="center"/>
        </w:trPr>
        <w:tc>
          <w:tcPr>
            <w:tcW w:w="836" w:type="dxa"/>
            <w:vMerge/>
            <w:shd w:val="clear" w:color="auto" w:fill="auto"/>
            <w:noWrap/>
            <w:vAlign w:val="center"/>
          </w:tcPr>
          <w:p w14:paraId="21AF529D"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5E011119"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69F9D188"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2FE84C5D"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7DC64C38" w14:textId="77777777" w:rsidR="004920D8" w:rsidRPr="00880D29" w:rsidRDefault="004920D8" w:rsidP="00D64955">
            <w:pPr>
              <w:spacing w:before="0" w:after="0"/>
              <w:jc w:val="center"/>
              <w:rPr>
                <w:iCs/>
                <w:color w:val="000000"/>
                <w:sz w:val="14"/>
                <w:szCs w:val="14"/>
              </w:rPr>
            </w:pPr>
            <w:r w:rsidRPr="00880D29">
              <w:rPr>
                <w:iCs/>
                <w:color w:val="000000"/>
                <w:sz w:val="14"/>
                <w:szCs w:val="14"/>
              </w:rPr>
              <w:t>SI2*</w:t>
            </w:r>
          </w:p>
        </w:tc>
        <w:tc>
          <w:tcPr>
            <w:tcW w:w="1579" w:type="dxa"/>
            <w:shd w:val="clear" w:color="auto" w:fill="F3F9FA"/>
            <w:noWrap/>
            <w:vAlign w:val="center"/>
          </w:tcPr>
          <w:p w14:paraId="3B6708A4" w14:textId="77777777" w:rsidR="004920D8" w:rsidRPr="00880D29" w:rsidRDefault="004920D8" w:rsidP="00D64955">
            <w:pPr>
              <w:spacing w:before="0" w:after="0"/>
              <w:jc w:val="center"/>
              <w:rPr>
                <w:color w:val="000000"/>
                <w:sz w:val="14"/>
                <w:szCs w:val="14"/>
              </w:rPr>
            </w:pPr>
            <w:r w:rsidRPr="009D1131">
              <w:rPr>
                <w:color w:val="000000"/>
                <w:sz w:val="14"/>
                <w:szCs w:val="14"/>
              </w:rPr>
              <w:t>Point Salisbury</w:t>
            </w:r>
          </w:p>
        </w:tc>
        <w:tc>
          <w:tcPr>
            <w:tcW w:w="486" w:type="dxa"/>
            <w:shd w:val="clear" w:color="auto" w:fill="F3F9FA"/>
            <w:noWrap/>
            <w:vAlign w:val="center"/>
          </w:tcPr>
          <w:p w14:paraId="7AC33EA3" w14:textId="77777777" w:rsidR="004920D8" w:rsidRPr="00880D29" w:rsidRDefault="004920D8" w:rsidP="00D64955">
            <w:pPr>
              <w:spacing w:before="0" w:after="0"/>
              <w:jc w:val="center"/>
              <w:rPr>
                <w:color w:val="000000"/>
                <w:sz w:val="14"/>
                <w:szCs w:val="14"/>
              </w:rPr>
            </w:pPr>
            <w:r w:rsidRPr="00880D29">
              <w:rPr>
                <w:color w:val="000000"/>
                <w:sz w:val="14"/>
                <w:szCs w:val="14"/>
              </w:rPr>
              <w:t>21°</w:t>
            </w:r>
          </w:p>
        </w:tc>
        <w:tc>
          <w:tcPr>
            <w:tcW w:w="830" w:type="dxa"/>
            <w:shd w:val="clear" w:color="auto" w:fill="F3F9FA"/>
            <w:noWrap/>
            <w:vAlign w:val="bottom"/>
          </w:tcPr>
          <w:p w14:paraId="2F46E2DC" w14:textId="77777777" w:rsidR="004920D8" w:rsidRPr="001667E9" w:rsidRDefault="004920D8" w:rsidP="00D64955">
            <w:pPr>
              <w:spacing w:before="0" w:after="0"/>
              <w:jc w:val="center"/>
              <w:rPr>
                <w:color w:val="000000"/>
                <w:sz w:val="14"/>
                <w:szCs w:val="14"/>
              </w:rPr>
            </w:pPr>
            <w:r w:rsidRPr="001667E9">
              <w:rPr>
                <w:color w:val="000000"/>
                <w:sz w:val="14"/>
                <w:szCs w:val="14"/>
              </w:rPr>
              <w:t>23.719</w:t>
            </w:r>
          </w:p>
        </w:tc>
        <w:tc>
          <w:tcPr>
            <w:tcW w:w="576" w:type="dxa"/>
            <w:shd w:val="clear" w:color="auto" w:fill="F3F9FA"/>
            <w:noWrap/>
            <w:vAlign w:val="center"/>
          </w:tcPr>
          <w:p w14:paraId="4D79DE46" w14:textId="77777777" w:rsidR="004920D8" w:rsidRPr="00880D29" w:rsidRDefault="004920D8" w:rsidP="00D64955">
            <w:pPr>
              <w:spacing w:before="0" w:after="0"/>
              <w:jc w:val="center"/>
              <w:rPr>
                <w:color w:val="000000"/>
                <w:sz w:val="14"/>
                <w:szCs w:val="14"/>
              </w:rPr>
            </w:pPr>
            <w:r w:rsidRPr="00880D29">
              <w:rPr>
                <w:color w:val="000000"/>
                <w:sz w:val="14"/>
                <w:szCs w:val="14"/>
              </w:rPr>
              <w:t>149°</w:t>
            </w:r>
          </w:p>
        </w:tc>
        <w:tc>
          <w:tcPr>
            <w:tcW w:w="830" w:type="dxa"/>
            <w:shd w:val="clear" w:color="auto" w:fill="F3F9FA"/>
            <w:noWrap/>
            <w:vAlign w:val="bottom"/>
          </w:tcPr>
          <w:p w14:paraId="575100CA" w14:textId="77777777" w:rsidR="004920D8" w:rsidRPr="001667E9" w:rsidRDefault="004920D8" w:rsidP="00D64955">
            <w:pPr>
              <w:spacing w:before="0" w:after="0"/>
              <w:jc w:val="center"/>
              <w:rPr>
                <w:color w:val="000000"/>
                <w:sz w:val="14"/>
                <w:szCs w:val="14"/>
              </w:rPr>
            </w:pPr>
            <w:r w:rsidRPr="001667E9">
              <w:rPr>
                <w:color w:val="000000"/>
                <w:sz w:val="14"/>
                <w:szCs w:val="14"/>
              </w:rPr>
              <w:t>18.288</w:t>
            </w:r>
          </w:p>
        </w:tc>
        <w:tc>
          <w:tcPr>
            <w:tcW w:w="481" w:type="dxa"/>
            <w:vMerge/>
            <w:shd w:val="clear" w:color="auto" w:fill="F3F9FA"/>
            <w:noWrap/>
            <w:vAlign w:val="center"/>
          </w:tcPr>
          <w:p w14:paraId="59982BA9"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3DCFC9E9"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6781CF7A"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7A01615F"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2201627D"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2A2C1B52"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7920DE52"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7CFDDF34"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3268D1FE"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7A4CB9BD" w14:textId="77777777" w:rsidR="004920D8" w:rsidRPr="00F45F13" w:rsidRDefault="004920D8" w:rsidP="00D64955">
            <w:pPr>
              <w:spacing w:before="0" w:after="0"/>
              <w:jc w:val="center"/>
              <w:rPr>
                <w:color w:val="000000"/>
                <w:sz w:val="14"/>
                <w:szCs w:val="14"/>
              </w:rPr>
            </w:pPr>
          </w:p>
        </w:tc>
      </w:tr>
      <w:tr w:rsidR="004920D8" w:rsidRPr="00015190" w14:paraId="266AC2C0" w14:textId="77777777" w:rsidTr="00D64955">
        <w:trPr>
          <w:trHeight w:val="170"/>
          <w:jc w:val="center"/>
        </w:trPr>
        <w:tc>
          <w:tcPr>
            <w:tcW w:w="836" w:type="dxa"/>
            <w:vMerge w:val="restart"/>
            <w:shd w:val="clear" w:color="auto" w:fill="auto"/>
            <w:noWrap/>
            <w:vAlign w:val="center"/>
          </w:tcPr>
          <w:p w14:paraId="4ACAB6A7" w14:textId="77777777" w:rsidR="004920D8" w:rsidRPr="00880D29" w:rsidRDefault="004920D8" w:rsidP="00D64955">
            <w:pPr>
              <w:spacing w:before="0" w:after="0"/>
              <w:jc w:val="center"/>
              <w:rPr>
                <w:color w:val="000000"/>
                <w:sz w:val="14"/>
                <w:szCs w:val="14"/>
              </w:rPr>
            </w:pPr>
            <w:r w:rsidRPr="00880D29">
              <w:rPr>
                <w:color w:val="000000"/>
                <w:sz w:val="14"/>
                <w:szCs w:val="14"/>
              </w:rPr>
              <w:t>Southern</w:t>
            </w:r>
          </w:p>
        </w:tc>
        <w:tc>
          <w:tcPr>
            <w:tcW w:w="1287" w:type="dxa"/>
            <w:vMerge w:val="restart"/>
            <w:shd w:val="clear" w:color="auto" w:fill="E7F3F4"/>
            <w:noWrap/>
            <w:vAlign w:val="center"/>
          </w:tcPr>
          <w:p w14:paraId="5DCE077F" w14:textId="77777777" w:rsidR="004920D8" w:rsidRPr="00880D29" w:rsidRDefault="004920D8" w:rsidP="00D64955">
            <w:pPr>
              <w:spacing w:before="0" w:after="0"/>
              <w:jc w:val="center"/>
              <w:rPr>
                <w:color w:val="000000"/>
                <w:sz w:val="14"/>
                <w:szCs w:val="14"/>
              </w:rPr>
            </w:pPr>
            <w:r w:rsidRPr="00880D29">
              <w:rPr>
                <w:color w:val="000000"/>
                <w:sz w:val="14"/>
                <w:szCs w:val="14"/>
              </w:rPr>
              <w:t>Fitzroy</w:t>
            </w:r>
          </w:p>
          <w:p w14:paraId="44028361"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Fitzroy Basin Association</w:t>
            </w:r>
            <w:r w:rsidRPr="00880D29">
              <w:rPr>
                <w:color w:val="000000"/>
                <w:sz w:val="14"/>
                <w:szCs w:val="14"/>
              </w:rPr>
              <w:t>)</w:t>
            </w:r>
          </w:p>
        </w:tc>
        <w:tc>
          <w:tcPr>
            <w:tcW w:w="1079" w:type="dxa"/>
            <w:vMerge w:val="restart"/>
            <w:shd w:val="clear" w:color="auto" w:fill="E7F3F4"/>
            <w:vAlign w:val="center"/>
          </w:tcPr>
          <w:p w14:paraId="2F76FDD3" w14:textId="77777777" w:rsidR="004920D8" w:rsidRPr="00880D29" w:rsidRDefault="004920D8" w:rsidP="00D64955">
            <w:pPr>
              <w:spacing w:before="0" w:after="0"/>
              <w:jc w:val="center"/>
              <w:rPr>
                <w:color w:val="000000"/>
                <w:sz w:val="14"/>
                <w:szCs w:val="14"/>
              </w:rPr>
            </w:pPr>
            <w:r>
              <w:rPr>
                <w:color w:val="000000"/>
                <w:sz w:val="14"/>
                <w:szCs w:val="14"/>
              </w:rPr>
              <w:t xml:space="preserve">Shoalwater / </w:t>
            </w:r>
            <w:r w:rsidRPr="00880D29">
              <w:rPr>
                <w:color w:val="000000"/>
                <w:sz w:val="14"/>
                <w:szCs w:val="14"/>
              </w:rPr>
              <w:t>Fitzroy</w:t>
            </w:r>
          </w:p>
        </w:tc>
        <w:tc>
          <w:tcPr>
            <w:tcW w:w="1576" w:type="dxa"/>
            <w:vMerge w:val="restart"/>
            <w:shd w:val="clear" w:color="auto" w:fill="E7F3F4"/>
            <w:noWrap/>
            <w:vAlign w:val="center"/>
          </w:tcPr>
          <w:p w14:paraId="02F45C7A" w14:textId="77777777" w:rsidR="004920D8" w:rsidRPr="00880D29" w:rsidRDefault="004920D8" w:rsidP="00D64955">
            <w:pPr>
              <w:spacing w:before="0" w:after="0"/>
              <w:jc w:val="center"/>
              <w:rPr>
                <w:color w:val="000000"/>
                <w:sz w:val="14"/>
                <w:szCs w:val="14"/>
              </w:rPr>
            </w:pPr>
            <w:r w:rsidRPr="00880D29">
              <w:rPr>
                <w:color w:val="000000"/>
                <w:sz w:val="14"/>
                <w:szCs w:val="14"/>
              </w:rPr>
              <w:t>Shoalwater Bay</w:t>
            </w:r>
          </w:p>
          <w:p w14:paraId="738C591B"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E7F3F4"/>
            <w:noWrap/>
            <w:vAlign w:val="center"/>
          </w:tcPr>
          <w:p w14:paraId="6A436821" w14:textId="77777777" w:rsidR="004920D8" w:rsidRPr="00880D29" w:rsidRDefault="004920D8" w:rsidP="00D64955">
            <w:pPr>
              <w:spacing w:before="0" w:after="0"/>
              <w:jc w:val="center"/>
              <w:rPr>
                <w:color w:val="000000"/>
                <w:sz w:val="14"/>
                <w:szCs w:val="14"/>
              </w:rPr>
            </w:pPr>
            <w:r w:rsidRPr="00880D29">
              <w:rPr>
                <w:color w:val="000000"/>
                <w:sz w:val="14"/>
                <w:szCs w:val="14"/>
              </w:rPr>
              <w:t>RC1*</w:t>
            </w:r>
          </w:p>
        </w:tc>
        <w:tc>
          <w:tcPr>
            <w:tcW w:w="1579" w:type="dxa"/>
            <w:shd w:val="clear" w:color="auto" w:fill="E7F3F4"/>
            <w:noWrap/>
            <w:vAlign w:val="center"/>
          </w:tcPr>
          <w:p w14:paraId="36FEAC8E" w14:textId="77777777" w:rsidR="004920D8" w:rsidRPr="00880D29" w:rsidRDefault="004920D8" w:rsidP="00D64955">
            <w:pPr>
              <w:spacing w:before="0" w:after="0"/>
              <w:jc w:val="center"/>
              <w:rPr>
                <w:color w:val="000000"/>
                <w:sz w:val="14"/>
                <w:szCs w:val="14"/>
              </w:rPr>
            </w:pPr>
            <w:r w:rsidRPr="00880D29">
              <w:rPr>
                <w:color w:val="000000"/>
                <w:sz w:val="14"/>
                <w:szCs w:val="14"/>
              </w:rPr>
              <w:t>Ross Creek</w:t>
            </w:r>
          </w:p>
        </w:tc>
        <w:tc>
          <w:tcPr>
            <w:tcW w:w="486" w:type="dxa"/>
            <w:shd w:val="clear" w:color="auto" w:fill="E7F3F4"/>
            <w:noWrap/>
            <w:vAlign w:val="center"/>
          </w:tcPr>
          <w:p w14:paraId="632E9302" w14:textId="77777777" w:rsidR="004920D8" w:rsidRPr="00880D29" w:rsidRDefault="004920D8" w:rsidP="00D64955">
            <w:pPr>
              <w:spacing w:before="0" w:after="0"/>
              <w:jc w:val="center"/>
              <w:rPr>
                <w:color w:val="000000"/>
                <w:sz w:val="14"/>
                <w:szCs w:val="14"/>
              </w:rPr>
            </w:pPr>
            <w:r w:rsidRPr="00880D29">
              <w:rPr>
                <w:color w:val="000000"/>
                <w:sz w:val="14"/>
                <w:szCs w:val="14"/>
              </w:rPr>
              <w:t>22°</w:t>
            </w:r>
          </w:p>
        </w:tc>
        <w:tc>
          <w:tcPr>
            <w:tcW w:w="830" w:type="dxa"/>
            <w:shd w:val="clear" w:color="auto" w:fill="E7F3F4"/>
            <w:noWrap/>
            <w:vAlign w:val="center"/>
          </w:tcPr>
          <w:p w14:paraId="0CCAA240" w14:textId="77777777" w:rsidR="004920D8" w:rsidRPr="00880D29" w:rsidRDefault="004920D8" w:rsidP="00D64955">
            <w:pPr>
              <w:spacing w:before="0" w:after="0"/>
              <w:jc w:val="center"/>
              <w:rPr>
                <w:color w:val="000000"/>
                <w:sz w:val="14"/>
                <w:szCs w:val="14"/>
              </w:rPr>
            </w:pPr>
            <w:r w:rsidRPr="00D1666E">
              <w:rPr>
                <w:color w:val="000000"/>
                <w:sz w:val="14"/>
                <w:szCs w:val="14"/>
              </w:rPr>
              <w:t>22.912</w:t>
            </w:r>
          </w:p>
        </w:tc>
        <w:tc>
          <w:tcPr>
            <w:tcW w:w="576" w:type="dxa"/>
            <w:shd w:val="clear" w:color="auto" w:fill="E7F3F4"/>
            <w:noWrap/>
            <w:vAlign w:val="center"/>
          </w:tcPr>
          <w:p w14:paraId="54BF21A7" w14:textId="77777777" w:rsidR="004920D8" w:rsidRPr="00880D29" w:rsidRDefault="004920D8" w:rsidP="00D64955">
            <w:pPr>
              <w:spacing w:before="0" w:after="0"/>
              <w:jc w:val="center"/>
              <w:rPr>
                <w:color w:val="000000"/>
                <w:sz w:val="14"/>
                <w:szCs w:val="14"/>
              </w:rPr>
            </w:pPr>
            <w:r w:rsidRPr="00880D29">
              <w:rPr>
                <w:color w:val="000000"/>
                <w:sz w:val="14"/>
                <w:szCs w:val="14"/>
              </w:rPr>
              <w:t>150°</w:t>
            </w:r>
          </w:p>
        </w:tc>
        <w:tc>
          <w:tcPr>
            <w:tcW w:w="830" w:type="dxa"/>
            <w:shd w:val="clear" w:color="auto" w:fill="E7F3F4"/>
            <w:noWrap/>
            <w:vAlign w:val="center"/>
          </w:tcPr>
          <w:p w14:paraId="437AEA8B" w14:textId="77777777" w:rsidR="004920D8" w:rsidRPr="00880D29" w:rsidRDefault="004920D8" w:rsidP="00D64955">
            <w:pPr>
              <w:spacing w:before="0" w:after="0"/>
              <w:jc w:val="center"/>
              <w:rPr>
                <w:color w:val="000000"/>
                <w:sz w:val="14"/>
                <w:szCs w:val="14"/>
              </w:rPr>
            </w:pPr>
            <w:r w:rsidRPr="00D1666E">
              <w:rPr>
                <w:color w:val="000000"/>
                <w:sz w:val="14"/>
                <w:szCs w:val="14"/>
              </w:rPr>
              <w:t>12.810</w:t>
            </w:r>
          </w:p>
        </w:tc>
        <w:tc>
          <w:tcPr>
            <w:tcW w:w="481" w:type="dxa"/>
            <w:vMerge w:val="restart"/>
            <w:shd w:val="clear" w:color="auto" w:fill="E7F3F4"/>
            <w:noWrap/>
            <w:vAlign w:val="center"/>
          </w:tcPr>
          <w:p w14:paraId="5D84BF65" w14:textId="77777777" w:rsidR="004920D8" w:rsidRPr="00F45F13" w:rsidRDefault="004920D8" w:rsidP="00D64955">
            <w:pPr>
              <w:spacing w:before="0" w:after="0"/>
              <w:jc w:val="center"/>
              <w:rPr>
                <w:color w:val="000000"/>
                <w:sz w:val="14"/>
                <w:szCs w:val="14"/>
              </w:rPr>
            </w:pPr>
          </w:p>
        </w:tc>
        <w:tc>
          <w:tcPr>
            <w:tcW w:w="402" w:type="dxa"/>
            <w:vMerge w:val="restart"/>
            <w:shd w:val="clear" w:color="auto" w:fill="E7F3F4"/>
            <w:vAlign w:val="center"/>
          </w:tcPr>
          <w:p w14:paraId="48AF6AEB"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0CA5A26D"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4954D609"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56A3F813"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6B70E4D0"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6506FFB0"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588BF427"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0C22679E"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1EEDDE02"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3B3695CA" w14:textId="77777777" w:rsidTr="00D64955">
        <w:trPr>
          <w:trHeight w:val="170"/>
          <w:jc w:val="center"/>
        </w:trPr>
        <w:tc>
          <w:tcPr>
            <w:tcW w:w="836" w:type="dxa"/>
            <w:vMerge/>
            <w:shd w:val="clear" w:color="auto" w:fill="auto"/>
            <w:noWrap/>
            <w:vAlign w:val="center"/>
          </w:tcPr>
          <w:p w14:paraId="68BE194A"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5FDD080B"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3D8A77DF"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042572BE"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2BAF9680" w14:textId="77777777" w:rsidR="004920D8" w:rsidRPr="00880D29" w:rsidRDefault="004920D8" w:rsidP="00D64955">
            <w:pPr>
              <w:spacing w:before="0" w:after="0"/>
              <w:jc w:val="center"/>
              <w:rPr>
                <w:color w:val="000000"/>
                <w:sz w:val="14"/>
                <w:szCs w:val="14"/>
              </w:rPr>
            </w:pPr>
            <w:r w:rsidRPr="00880D29">
              <w:rPr>
                <w:color w:val="000000"/>
                <w:sz w:val="14"/>
                <w:szCs w:val="14"/>
              </w:rPr>
              <w:t>WH1*</w:t>
            </w:r>
          </w:p>
        </w:tc>
        <w:tc>
          <w:tcPr>
            <w:tcW w:w="1579" w:type="dxa"/>
            <w:shd w:val="clear" w:color="auto" w:fill="E7F3F4"/>
            <w:noWrap/>
            <w:vAlign w:val="center"/>
          </w:tcPr>
          <w:p w14:paraId="0A2D7E2D" w14:textId="77777777" w:rsidR="004920D8" w:rsidRPr="00880D29" w:rsidRDefault="004920D8" w:rsidP="00D64955">
            <w:pPr>
              <w:spacing w:before="0" w:after="0"/>
              <w:jc w:val="center"/>
              <w:rPr>
                <w:color w:val="000000"/>
                <w:sz w:val="14"/>
                <w:szCs w:val="14"/>
              </w:rPr>
            </w:pPr>
            <w:r w:rsidRPr="00880D29">
              <w:rPr>
                <w:color w:val="000000"/>
                <w:sz w:val="14"/>
                <w:szCs w:val="14"/>
              </w:rPr>
              <w:t>Wheelans Hut</w:t>
            </w:r>
          </w:p>
        </w:tc>
        <w:tc>
          <w:tcPr>
            <w:tcW w:w="486" w:type="dxa"/>
            <w:shd w:val="clear" w:color="auto" w:fill="E7F3F4"/>
            <w:noWrap/>
            <w:vAlign w:val="center"/>
          </w:tcPr>
          <w:p w14:paraId="0E4E3761" w14:textId="77777777" w:rsidR="004920D8" w:rsidRPr="00880D29" w:rsidRDefault="004920D8" w:rsidP="00D64955">
            <w:pPr>
              <w:spacing w:before="0" w:after="0"/>
              <w:jc w:val="center"/>
              <w:rPr>
                <w:color w:val="000000"/>
                <w:sz w:val="14"/>
                <w:szCs w:val="14"/>
              </w:rPr>
            </w:pPr>
            <w:r w:rsidRPr="00880D29">
              <w:rPr>
                <w:color w:val="000000"/>
                <w:sz w:val="14"/>
                <w:szCs w:val="14"/>
              </w:rPr>
              <w:t>22°</w:t>
            </w:r>
          </w:p>
        </w:tc>
        <w:tc>
          <w:tcPr>
            <w:tcW w:w="830" w:type="dxa"/>
            <w:shd w:val="clear" w:color="auto" w:fill="E7F3F4"/>
            <w:noWrap/>
            <w:vAlign w:val="center"/>
          </w:tcPr>
          <w:p w14:paraId="69AF2C19" w14:textId="77777777" w:rsidR="004920D8" w:rsidRPr="00880D29" w:rsidRDefault="004920D8" w:rsidP="00D64955">
            <w:pPr>
              <w:spacing w:before="0" w:after="0"/>
              <w:jc w:val="center"/>
              <w:rPr>
                <w:color w:val="000000"/>
                <w:sz w:val="14"/>
                <w:szCs w:val="14"/>
              </w:rPr>
            </w:pPr>
            <w:r w:rsidRPr="00D1666E">
              <w:rPr>
                <w:color w:val="000000"/>
                <w:sz w:val="14"/>
                <w:szCs w:val="14"/>
              </w:rPr>
              <w:t>23.829</w:t>
            </w:r>
          </w:p>
        </w:tc>
        <w:tc>
          <w:tcPr>
            <w:tcW w:w="576" w:type="dxa"/>
            <w:shd w:val="clear" w:color="auto" w:fill="E7F3F4"/>
            <w:noWrap/>
            <w:vAlign w:val="center"/>
          </w:tcPr>
          <w:p w14:paraId="003BAD34" w14:textId="77777777" w:rsidR="004920D8" w:rsidRPr="00880D29" w:rsidRDefault="004920D8" w:rsidP="00D64955">
            <w:pPr>
              <w:spacing w:before="0" w:after="0"/>
              <w:jc w:val="center"/>
              <w:rPr>
                <w:color w:val="000000"/>
                <w:sz w:val="14"/>
                <w:szCs w:val="14"/>
              </w:rPr>
            </w:pPr>
            <w:r w:rsidRPr="00880D29">
              <w:rPr>
                <w:color w:val="000000"/>
                <w:sz w:val="14"/>
                <w:szCs w:val="14"/>
              </w:rPr>
              <w:t>150°</w:t>
            </w:r>
          </w:p>
        </w:tc>
        <w:tc>
          <w:tcPr>
            <w:tcW w:w="830" w:type="dxa"/>
            <w:shd w:val="clear" w:color="auto" w:fill="E7F3F4"/>
            <w:noWrap/>
            <w:vAlign w:val="center"/>
          </w:tcPr>
          <w:p w14:paraId="0C704982" w14:textId="77777777" w:rsidR="004920D8" w:rsidRPr="00880D29" w:rsidRDefault="004920D8" w:rsidP="00D64955">
            <w:pPr>
              <w:spacing w:before="0" w:after="0"/>
              <w:jc w:val="center"/>
              <w:rPr>
                <w:color w:val="000000"/>
                <w:sz w:val="14"/>
                <w:szCs w:val="14"/>
              </w:rPr>
            </w:pPr>
            <w:r w:rsidRPr="00D1666E">
              <w:rPr>
                <w:color w:val="000000"/>
                <w:sz w:val="14"/>
                <w:szCs w:val="14"/>
              </w:rPr>
              <w:t>16.520</w:t>
            </w:r>
          </w:p>
        </w:tc>
        <w:tc>
          <w:tcPr>
            <w:tcW w:w="481" w:type="dxa"/>
            <w:vMerge/>
            <w:shd w:val="clear" w:color="auto" w:fill="E7F3F4"/>
            <w:noWrap/>
            <w:vAlign w:val="center"/>
          </w:tcPr>
          <w:p w14:paraId="4AC0BABF"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5EC91448"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631BF614"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42BC5AFF"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4EFBBA88"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2A2FE1B4"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09F27842"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35FC227E"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24C3FD30"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0DD4E3DF" w14:textId="77777777" w:rsidR="004920D8" w:rsidRPr="00F45F13" w:rsidRDefault="004920D8" w:rsidP="00D64955">
            <w:pPr>
              <w:spacing w:before="0" w:after="0"/>
              <w:jc w:val="center"/>
              <w:rPr>
                <w:color w:val="000000"/>
                <w:sz w:val="14"/>
                <w:szCs w:val="14"/>
              </w:rPr>
            </w:pPr>
          </w:p>
        </w:tc>
      </w:tr>
      <w:tr w:rsidR="004920D8" w:rsidRPr="00015190" w14:paraId="2558F63B" w14:textId="77777777" w:rsidTr="00D64955">
        <w:trPr>
          <w:trHeight w:val="170"/>
          <w:jc w:val="center"/>
        </w:trPr>
        <w:tc>
          <w:tcPr>
            <w:tcW w:w="836" w:type="dxa"/>
            <w:vMerge/>
            <w:shd w:val="clear" w:color="auto" w:fill="auto"/>
            <w:noWrap/>
            <w:vAlign w:val="center"/>
          </w:tcPr>
          <w:p w14:paraId="381D2D91"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5269DC95"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42400FDA" w14:textId="77777777" w:rsidR="004920D8" w:rsidRPr="00880D29" w:rsidRDefault="004920D8" w:rsidP="00D64955">
            <w:pPr>
              <w:spacing w:before="0" w:after="0"/>
              <w:jc w:val="center"/>
              <w:rPr>
                <w:color w:val="000000"/>
                <w:sz w:val="14"/>
                <w:szCs w:val="14"/>
              </w:rPr>
            </w:pPr>
          </w:p>
        </w:tc>
        <w:tc>
          <w:tcPr>
            <w:tcW w:w="1576" w:type="dxa"/>
            <w:vMerge w:val="restart"/>
            <w:shd w:val="clear" w:color="auto" w:fill="E7F3F4"/>
            <w:noWrap/>
            <w:vAlign w:val="center"/>
          </w:tcPr>
          <w:p w14:paraId="2EAD023A" w14:textId="77777777" w:rsidR="004920D8" w:rsidRPr="00880D29" w:rsidRDefault="004920D8" w:rsidP="00D64955">
            <w:pPr>
              <w:spacing w:before="0" w:after="0"/>
              <w:jc w:val="center"/>
              <w:rPr>
                <w:color w:val="000000"/>
                <w:sz w:val="14"/>
                <w:szCs w:val="14"/>
              </w:rPr>
            </w:pPr>
            <w:r w:rsidRPr="00880D29">
              <w:rPr>
                <w:color w:val="000000"/>
                <w:sz w:val="14"/>
                <w:szCs w:val="14"/>
              </w:rPr>
              <w:t>Keppel Islands</w:t>
            </w:r>
          </w:p>
          <w:p w14:paraId="3E3B315A" w14:textId="77777777" w:rsidR="004920D8" w:rsidRPr="00880D29" w:rsidRDefault="004920D8" w:rsidP="00D64955">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14:paraId="7FE13211" w14:textId="77777777" w:rsidR="004920D8" w:rsidRPr="00880D29" w:rsidRDefault="004920D8" w:rsidP="00D64955">
            <w:pPr>
              <w:spacing w:before="0" w:after="0"/>
              <w:jc w:val="center"/>
              <w:rPr>
                <w:color w:val="000000"/>
                <w:sz w:val="14"/>
                <w:szCs w:val="14"/>
              </w:rPr>
            </w:pPr>
            <w:r w:rsidRPr="00880D29">
              <w:rPr>
                <w:color w:val="000000"/>
                <w:sz w:val="14"/>
                <w:szCs w:val="14"/>
              </w:rPr>
              <w:t>GK1*</w:t>
            </w:r>
          </w:p>
        </w:tc>
        <w:tc>
          <w:tcPr>
            <w:tcW w:w="1579" w:type="dxa"/>
            <w:shd w:val="clear" w:color="auto" w:fill="E7F3F4"/>
            <w:noWrap/>
            <w:vAlign w:val="bottom"/>
          </w:tcPr>
          <w:p w14:paraId="7D4AB759" w14:textId="77777777" w:rsidR="004920D8" w:rsidRPr="00880D29" w:rsidRDefault="004920D8" w:rsidP="00D64955">
            <w:pPr>
              <w:spacing w:before="0" w:after="0"/>
              <w:jc w:val="center"/>
              <w:rPr>
                <w:color w:val="000000"/>
                <w:sz w:val="14"/>
                <w:szCs w:val="14"/>
              </w:rPr>
            </w:pPr>
            <w:r w:rsidRPr="00880D29">
              <w:rPr>
                <w:color w:val="000000"/>
                <w:sz w:val="14"/>
                <w:szCs w:val="14"/>
              </w:rPr>
              <w:t>Great Keppel Is.</w:t>
            </w:r>
          </w:p>
        </w:tc>
        <w:tc>
          <w:tcPr>
            <w:tcW w:w="486" w:type="dxa"/>
            <w:shd w:val="clear" w:color="auto" w:fill="E7F3F4"/>
            <w:noWrap/>
            <w:vAlign w:val="bottom"/>
          </w:tcPr>
          <w:p w14:paraId="3668D73B" w14:textId="77777777" w:rsidR="004920D8" w:rsidRPr="00880D29" w:rsidRDefault="004920D8" w:rsidP="00D64955">
            <w:pPr>
              <w:spacing w:before="0" w:after="0"/>
              <w:jc w:val="center"/>
              <w:rPr>
                <w:color w:val="000000"/>
                <w:sz w:val="14"/>
                <w:szCs w:val="14"/>
              </w:rPr>
            </w:pPr>
            <w:bookmarkStart w:id="55" w:name="OLE_LINK20"/>
            <w:bookmarkStart w:id="56" w:name="OLE_LINK21"/>
            <w:r w:rsidRPr="00880D29">
              <w:rPr>
                <w:color w:val="000000"/>
                <w:sz w:val="14"/>
                <w:szCs w:val="14"/>
              </w:rPr>
              <w:t>23°</w:t>
            </w:r>
            <w:bookmarkEnd w:id="55"/>
            <w:bookmarkEnd w:id="56"/>
          </w:p>
        </w:tc>
        <w:tc>
          <w:tcPr>
            <w:tcW w:w="830" w:type="dxa"/>
            <w:shd w:val="clear" w:color="auto" w:fill="E7F3F4"/>
            <w:noWrap/>
            <w:vAlign w:val="bottom"/>
          </w:tcPr>
          <w:p w14:paraId="6F15BCAF" w14:textId="77777777" w:rsidR="004920D8" w:rsidRPr="00D1666E" w:rsidRDefault="004920D8" w:rsidP="00D64955">
            <w:pPr>
              <w:spacing w:before="0" w:after="0"/>
              <w:jc w:val="center"/>
              <w:rPr>
                <w:color w:val="000000"/>
                <w:sz w:val="14"/>
                <w:szCs w:val="14"/>
              </w:rPr>
            </w:pPr>
            <w:r w:rsidRPr="00D1666E">
              <w:rPr>
                <w:color w:val="000000"/>
                <w:sz w:val="14"/>
                <w:szCs w:val="14"/>
              </w:rPr>
              <w:t>11.776</w:t>
            </w:r>
          </w:p>
        </w:tc>
        <w:tc>
          <w:tcPr>
            <w:tcW w:w="576" w:type="dxa"/>
            <w:shd w:val="clear" w:color="auto" w:fill="E7F3F4"/>
            <w:noWrap/>
            <w:vAlign w:val="bottom"/>
          </w:tcPr>
          <w:p w14:paraId="2FF48601" w14:textId="77777777" w:rsidR="004920D8" w:rsidRPr="00880D29" w:rsidRDefault="004920D8" w:rsidP="00D64955">
            <w:pPr>
              <w:spacing w:before="0" w:after="0"/>
              <w:jc w:val="center"/>
              <w:rPr>
                <w:color w:val="000000"/>
                <w:sz w:val="14"/>
                <w:szCs w:val="14"/>
              </w:rPr>
            </w:pPr>
            <w:r w:rsidRPr="00880D29">
              <w:rPr>
                <w:color w:val="000000"/>
                <w:sz w:val="14"/>
                <w:szCs w:val="14"/>
              </w:rPr>
              <w:t>150°</w:t>
            </w:r>
          </w:p>
        </w:tc>
        <w:tc>
          <w:tcPr>
            <w:tcW w:w="830" w:type="dxa"/>
            <w:shd w:val="clear" w:color="auto" w:fill="E7F3F4"/>
            <w:noWrap/>
            <w:vAlign w:val="bottom"/>
          </w:tcPr>
          <w:p w14:paraId="52C594BA" w14:textId="77777777" w:rsidR="004920D8" w:rsidRPr="00D1666E" w:rsidRDefault="004920D8" w:rsidP="00D64955">
            <w:pPr>
              <w:spacing w:before="0" w:after="0"/>
              <w:jc w:val="center"/>
              <w:rPr>
                <w:color w:val="000000"/>
                <w:sz w:val="14"/>
                <w:szCs w:val="14"/>
              </w:rPr>
            </w:pPr>
            <w:r w:rsidRPr="00D1666E">
              <w:rPr>
                <w:color w:val="000000"/>
                <w:sz w:val="14"/>
                <w:szCs w:val="14"/>
              </w:rPr>
              <w:t>56.356</w:t>
            </w:r>
          </w:p>
        </w:tc>
        <w:tc>
          <w:tcPr>
            <w:tcW w:w="481" w:type="dxa"/>
            <w:vMerge w:val="restart"/>
            <w:shd w:val="clear" w:color="auto" w:fill="E7F3F4"/>
            <w:noWrap/>
            <w:vAlign w:val="center"/>
          </w:tcPr>
          <w:p w14:paraId="00E77E8A" w14:textId="77777777" w:rsidR="004920D8" w:rsidRPr="00F45F13" w:rsidRDefault="004920D8" w:rsidP="00D64955">
            <w:pPr>
              <w:spacing w:before="0" w:after="0"/>
              <w:jc w:val="center"/>
              <w:rPr>
                <w:color w:val="000000"/>
                <w:sz w:val="14"/>
                <w:szCs w:val="14"/>
              </w:rPr>
            </w:pPr>
          </w:p>
        </w:tc>
        <w:tc>
          <w:tcPr>
            <w:tcW w:w="402" w:type="dxa"/>
            <w:vMerge w:val="restart"/>
            <w:shd w:val="clear" w:color="auto" w:fill="E7F3F4"/>
            <w:vAlign w:val="center"/>
          </w:tcPr>
          <w:p w14:paraId="4BEE14E0"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07A3BDAE"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2FB07528"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1F8B5B2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40356014"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22" w:type="dxa"/>
            <w:vMerge w:val="restart"/>
            <w:shd w:val="clear" w:color="auto" w:fill="E7F3F4"/>
            <w:vAlign w:val="center"/>
          </w:tcPr>
          <w:p w14:paraId="5AB3C8D7"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98" w:type="dxa"/>
            <w:vMerge w:val="restart"/>
            <w:shd w:val="clear" w:color="auto" w:fill="E7F3F4"/>
            <w:vAlign w:val="center"/>
          </w:tcPr>
          <w:p w14:paraId="3E2CB753"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5481AF1D"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0E27BBB6"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75AFF12C" w14:textId="77777777" w:rsidTr="00D64955">
        <w:trPr>
          <w:trHeight w:val="170"/>
          <w:jc w:val="center"/>
        </w:trPr>
        <w:tc>
          <w:tcPr>
            <w:tcW w:w="836" w:type="dxa"/>
            <w:vMerge/>
            <w:shd w:val="clear" w:color="auto" w:fill="auto"/>
            <w:noWrap/>
            <w:vAlign w:val="center"/>
          </w:tcPr>
          <w:p w14:paraId="60EB095A"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33D2AC52"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34298B79"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38D877F3"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637E7AB2" w14:textId="77777777" w:rsidR="004920D8" w:rsidRPr="00880D29" w:rsidRDefault="004920D8" w:rsidP="00D64955">
            <w:pPr>
              <w:spacing w:before="0" w:after="0"/>
              <w:jc w:val="center"/>
              <w:rPr>
                <w:color w:val="000000"/>
                <w:sz w:val="14"/>
                <w:szCs w:val="14"/>
              </w:rPr>
            </w:pPr>
            <w:r w:rsidRPr="00880D29">
              <w:rPr>
                <w:color w:val="000000"/>
                <w:sz w:val="14"/>
                <w:szCs w:val="14"/>
              </w:rPr>
              <w:t>GK2*</w:t>
            </w:r>
          </w:p>
        </w:tc>
        <w:tc>
          <w:tcPr>
            <w:tcW w:w="1579" w:type="dxa"/>
            <w:shd w:val="clear" w:color="auto" w:fill="E7F3F4"/>
            <w:noWrap/>
            <w:vAlign w:val="center"/>
          </w:tcPr>
          <w:p w14:paraId="0635DB34" w14:textId="77777777" w:rsidR="004920D8" w:rsidRPr="00880D29" w:rsidRDefault="004920D8" w:rsidP="00D64955">
            <w:pPr>
              <w:spacing w:before="0" w:after="0"/>
              <w:jc w:val="center"/>
              <w:rPr>
                <w:color w:val="000000"/>
                <w:sz w:val="14"/>
                <w:szCs w:val="14"/>
              </w:rPr>
            </w:pPr>
            <w:r w:rsidRPr="00880D29">
              <w:rPr>
                <w:color w:val="000000"/>
                <w:sz w:val="14"/>
                <w:szCs w:val="14"/>
              </w:rPr>
              <w:t>Great Keppel Is.</w:t>
            </w:r>
          </w:p>
        </w:tc>
        <w:tc>
          <w:tcPr>
            <w:tcW w:w="486" w:type="dxa"/>
            <w:shd w:val="clear" w:color="auto" w:fill="E7F3F4"/>
            <w:noWrap/>
            <w:vAlign w:val="center"/>
          </w:tcPr>
          <w:p w14:paraId="5B2719E1" w14:textId="77777777" w:rsidR="004920D8" w:rsidRPr="00880D29" w:rsidRDefault="004920D8" w:rsidP="00D64955">
            <w:pPr>
              <w:spacing w:before="0" w:after="0"/>
              <w:jc w:val="center"/>
              <w:rPr>
                <w:color w:val="000000"/>
                <w:sz w:val="14"/>
                <w:szCs w:val="14"/>
              </w:rPr>
            </w:pPr>
            <w:r w:rsidRPr="00880D29">
              <w:rPr>
                <w:color w:val="000000"/>
                <w:sz w:val="14"/>
                <w:szCs w:val="14"/>
              </w:rPr>
              <w:t>23°</w:t>
            </w:r>
          </w:p>
        </w:tc>
        <w:tc>
          <w:tcPr>
            <w:tcW w:w="830" w:type="dxa"/>
            <w:shd w:val="clear" w:color="auto" w:fill="E7F3F4"/>
            <w:noWrap/>
            <w:vAlign w:val="bottom"/>
          </w:tcPr>
          <w:p w14:paraId="0618AB3A" w14:textId="77777777" w:rsidR="004920D8" w:rsidRPr="00D1666E" w:rsidRDefault="004920D8" w:rsidP="00D64955">
            <w:pPr>
              <w:spacing w:before="0" w:after="0"/>
              <w:jc w:val="center"/>
              <w:rPr>
                <w:color w:val="000000"/>
                <w:sz w:val="14"/>
                <w:szCs w:val="14"/>
              </w:rPr>
            </w:pPr>
            <w:r w:rsidRPr="00D1666E">
              <w:rPr>
                <w:color w:val="000000"/>
                <w:sz w:val="14"/>
                <w:szCs w:val="14"/>
              </w:rPr>
              <w:t>11.638</w:t>
            </w:r>
          </w:p>
        </w:tc>
        <w:tc>
          <w:tcPr>
            <w:tcW w:w="576" w:type="dxa"/>
            <w:shd w:val="clear" w:color="auto" w:fill="E7F3F4"/>
            <w:noWrap/>
            <w:vAlign w:val="center"/>
          </w:tcPr>
          <w:p w14:paraId="7B6D856A" w14:textId="77777777" w:rsidR="004920D8" w:rsidRPr="00880D29" w:rsidRDefault="004920D8" w:rsidP="00D64955">
            <w:pPr>
              <w:spacing w:before="0" w:after="0"/>
              <w:jc w:val="center"/>
              <w:rPr>
                <w:color w:val="000000"/>
                <w:sz w:val="14"/>
                <w:szCs w:val="14"/>
              </w:rPr>
            </w:pPr>
            <w:r w:rsidRPr="00880D29">
              <w:rPr>
                <w:color w:val="000000"/>
                <w:sz w:val="14"/>
                <w:szCs w:val="14"/>
              </w:rPr>
              <w:t>150°</w:t>
            </w:r>
          </w:p>
        </w:tc>
        <w:tc>
          <w:tcPr>
            <w:tcW w:w="830" w:type="dxa"/>
            <w:shd w:val="clear" w:color="auto" w:fill="E7F3F4"/>
            <w:noWrap/>
            <w:vAlign w:val="bottom"/>
          </w:tcPr>
          <w:p w14:paraId="33A4404D" w14:textId="77777777" w:rsidR="004920D8" w:rsidRPr="00D1666E" w:rsidRDefault="004920D8" w:rsidP="00D64955">
            <w:pPr>
              <w:spacing w:before="0" w:after="0"/>
              <w:jc w:val="center"/>
              <w:rPr>
                <w:color w:val="000000"/>
                <w:sz w:val="14"/>
                <w:szCs w:val="14"/>
              </w:rPr>
            </w:pPr>
            <w:r w:rsidRPr="00D1666E">
              <w:rPr>
                <w:color w:val="000000"/>
                <w:sz w:val="14"/>
                <w:szCs w:val="14"/>
              </w:rPr>
              <w:t>56.364</w:t>
            </w:r>
          </w:p>
        </w:tc>
        <w:tc>
          <w:tcPr>
            <w:tcW w:w="481" w:type="dxa"/>
            <w:vMerge/>
            <w:shd w:val="clear" w:color="auto" w:fill="E7F3F4"/>
            <w:noWrap/>
            <w:vAlign w:val="center"/>
          </w:tcPr>
          <w:p w14:paraId="3F438923"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1CF0E247"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60257A1C"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18CA667B"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27CA3C26"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147251E1"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00BBD093"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403D54D8"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0BECBA37"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13B08376" w14:textId="77777777" w:rsidR="004920D8" w:rsidRPr="00F45F13" w:rsidRDefault="004920D8" w:rsidP="00D64955">
            <w:pPr>
              <w:spacing w:before="0" w:after="0"/>
              <w:jc w:val="center"/>
              <w:rPr>
                <w:color w:val="000000"/>
                <w:sz w:val="14"/>
                <w:szCs w:val="14"/>
              </w:rPr>
            </w:pPr>
          </w:p>
        </w:tc>
      </w:tr>
      <w:tr w:rsidR="004920D8" w:rsidRPr="00015190" w14:paraId="6AA5421B" w14:textId="77777777" w:rsidTr="00D64955">
        <w:trPr>
          <w:trHeight w:val="170"/>
          <w:jc w:val="center"/>
        </w:trPr>
        <w:tc>
          <w:tcPr>
            <w:tcW w:w="836" w:type="dxa"/>
            <w:vMerge/>
            <w:shd w:val="clear" w:color="auto" w:fill="auto"/>
            <w:noWrap/>
            <w:vAlign w:val="center"/>
          </w:tcPr>
          <w:p w14:paraId="79C424BC"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74C234F5" w14:textId="77777777" w:rsidR="004920D8" w:rsidRPr="00880D29" w:rsidRDefault="004920D8" w:rsidP="00D64955">
            <w:pPr>
              <w:spacing w:before="0" w:after="0"/>
              <w:jc w:val="center"/>
              <w:rPr>
                <w:color w:val="000000"/>
                <w:sz w:val="14"/>
                <w:szCs w:val="14"/>
              </w:rPr>
            </w:pPr>
          </w:p>
        </w:tc>
        <w:tc>
          <w:tcPr>
            <w:tcW w:w="1079" w:type="dxa"/>
            <w:vMerge w:val="restart"/>
            <w:shd w:val="clear" w:color="auto" w:fill="E7F3F4"/>
            <w:vAlign w:val="center"/>
          </w:tcPr>
          <w:p w14:paraId="59769429" w14:textId="77777777" w:rsidR="004920D8" w:rsidRPr="00880D29" w:rsidRDefault="004920D8" w:rsidP="00D64955">
            <w:pPr>
              <w:spacing w:before="0" w:after="0"/>
              <w:jc w:val="center"/>
              <w:rPr>
                <w:color w:val="000000"/>
                <w:sz w:val="14"/>
                <w:szCs w:val="14"/>
              </w:rPr>
            </w:pPr>
            <w:r>
              <w:rPr>
                <w:color w:val="000000"/>
                <w:sz w:val="14"/>
                <w:szCs w:val="14"/>
              </w:rPr>
              <w:t xml:space="preserve">Calliope / </w:t>
            </w:r>
            <w:r w:rsidRPr="00880D29">
              <w:rPr>
                <w:color w:val="000000"/>
                <w:sz w:val="14"/>
                <w:szCs w:val="14"/>
              </w:rPr>
              <w:t>Boyne</w:t>
            </w:r>
          </w:p>
        </w:tc>
        <w:tc>
          <w:tcPr>
            <w:tcW w:w="1576" w:type="dxa"/>
            <w:vMerge w:val="restart"/>
            <w:shd w:val="clear" w:color="auto" w:fill="E7F3F4"/>
            <w:noWrap/>
            <w:vAlign w:val="center"/>
          </w:tcPr>
          <w:p w14:paraId="351EDE29" w14:textId="77777777" w:rsidR="004920D8" w:rsidRPr="00880D29" w:rsidRDefault="004920D8" w:rsidP="00D64955">
            <w:pPr>
              <w:spacing w:before="0" w:after="0"/>
              <w:jc w:val="center"/>
              <w:rPr>
                <w:color w:val="000000"/>
                <w:sz w:val="14"/>
                <w:szCs w:val="14"/>
              </w:rPr>
            </w:pPr>
            <w:r w:rsidRPr="00880D29">
              <w:rPr>
                <w:color w:val="000000"/>
                <w:sz w:val="14"/>
                <w:szCs w:val="14"/>
              </w:rPr>
              <w:t>Gladstone Harbour</w:t>
            </w:r>
          </w:p>
          <w:p w14:paraId="7C3D88A2"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E7F3F4"/>
            <w:noWrap/>
            <w:vAlign w:val="center"/>
          </w:tcPr>
          <w:p w14:paraId="5FAFA277" w14:textId="77777777" w:rsidR="004920D8" w:rsidRPr="00880D29" w:rsidRDefault="004920D8" w:rsidP="00D64955">
            <w:pPr>
              <w:spacing w:before="0" w:after="0"/>
              <w:jc w:val="center"/>
              <w:rPr>
                <w:color w:val="000000"/>
                <w:sz w:val="14"/>
                <w:szCs w:val="14"/>
              </w:rPr>
            </w:pPr>
            <w:r w:rsidRPr="00880D29">
              <w:rPr>
                <w:color w:val="000000"/>
                <w:sz w:val="14"/>
                <w:szCs w:val="14"/>
              </w:rPr>
              <w:t>GH1*</w:t>
            </w:r>
          </w:p>
        </w:tc>
        <w:tc>
          <w:tcPr>
            <w:tcW w:w="1579" w:type="dxa"/>
            <w:shd w:val="clear" w:color="auto" w:fill="E7F3F4"/>
            <w:noWrap/>
            <w:vAlign w:val="center"/>
          </w:tcPr>
          <w:p w14:paraId="6FF8938F" w14:textId="77777777" w:rsidR="004920D8" w:rsidRPr="00880D29" w:rsidRDefault="004920D8" w:rsidP="00D64955">
            <w:pPr>
              <w:spacing w:before="0" w:after="0"/>
              <w:jc w:val="center"/>
              <w:rPr>
                <w:color w:val="000000"/>
                <w:sz w:val="14"/>
                <w:szCs w:val="14"/>
              </w:rPr>
            </w:pPr>
            <w:r>
              <w:rPr>
                <w:color w:val="000000"/>
                <w:sz w:val="14"/>
                <w:szCs w:val="14"/>
              </w:rPr>
              <w:t>Belican Banks</w:t>
            </w:r>
          </w:p>
        </w:tc>
        <w:tc>
          <w:tcPr>
            <w:tcW w:w="486" w:type="dxa"/>
            <w:shd w:val="clear" w:color="auto" w:fill="E7F3F4"/>
            <w:noWrap/>
            <w:vAlign w:val="center"/>
          </w:tcPr>
          <w:p w14:paraId="2E41B71B" w14:textId="77777777" w:rsidR="004920D8" w:rsidRPr="00880D29" w:rsidRDefault="004920D8" w:rsidP="00D64955">
            <w:pPr>
              <w:spacing w:before="0" w:after="0"/>
              <w:jc w:val="center"/>
              <w:rPr>
                <w:color w:val="000000"/>
                <w:sz w:val="14"/>
                <w:szCs w:val="14"/>
              </w:rPr>
            </w:pPr>
            <w:r w:rsidRPr="00880D29">
              <w:rPr>
                <w:color w:val="000000"/>
                <w:sz w:val="14"/>
                <w:szCs w:val="14"/>
              </w:rPr>
              <w:t>23°</w:t>
            </w:r>
          </w:p>
        </w:tc>
        <w:tc>
          <w:tcPr>
            <w:tcW w:w="830" w:type="dxa"/>
            <w:shd w:val="clear" w:color="auto" w:fill="E7F3F4"/>
            <w:noWrap/>
            <w:vAlign w:val="bottom"/>
          </w:tcPr>
          <w:p w14:paraId="2A1A5EDA" w14:textId="77777777" w:rsidR="004920D8" w:rsidRPr="00D1666E" w:rsidRDefault="004920D8" w:rsidP="00D64955">
            <w:pPr>
              <w:spacing w:before="0" w:after="0"/>
              <w:jc w:val="center"/>
              <w:rPr>
                <w:color w:val="000000"/>
                <w:sz w:val="14"/>
                <w:szCs w:val="14"/>
              </w:rPr>
            </w:pPr>
            <w:r w:rsidRPr="00D1666E">
              <w:rPr>
                <w:color w:val="000000"/>
                <w:sz w:val="14"/>
                <w:szCs w:val="14"/>
              </w:rPr>
              <w:t>46.015</w:t>
            </w:r>
          </w:p>
        </w:tc>
        <w:tc>
          <w:tcPr>
            <w:tcW w:w="576" w:type="dxa"/>
            <w:shd w:val="clear" w:color="auto" w:fill="E7F3F4"/>
            <w:noWrap/>
            <w:vAlign w:val="center"/>
          </w:tcPr>
          <w:p w14:paraId="50B59514" w14:textId="77777777" w:rsidR="004920D8" w:rsidRPr="00880D29" w:rsidRDefault="004920D8" w:rsidP="00D64955">
            <w:pPr>
              <w:spacing w:before="0" w:after="0"/>
              <w:jc w:val="center"/>
              <w:rPr>
                <w:color w:val="000000"/>
                <w:sz w:val="14"/>
                <w:szCs w:val="14"/>
              </w:rPr>
            </w:pPr>
            <w:r w:rsidRPr="00880D29">
              <w:rPr>
                <w:color w:val="000000"/>
                <w:sz w:val="14"/>
                <w:szCs w:val="14"/>
              </w:rPr>
              <w:t>151°</w:t>
            </w:r>
          </w:p>
        </w:tc>
        <w:tc>
          <w:tcPr>
            <w:tcW w:w="830" w:type="dxa"/>
            <w:shd w:val="clear" w:color="auto" w:fill="E7F3F4"/>
            <w:noWrap/>
            <w:vAlign w:val="bottom"/>
          </w:tcPr>
          <w:p w14:paraId="61250FD5" w14:textId="77777777" w:rsidR="004920D8" w:rsidRPr="00D1666E" w:rsidRDefault="004920D8" w:rsidP="00D64955">
            <w:pPr>
              <w:spacing w:before="0" w:after="0"/>
              <w:jc w:val="center"/>
              <w:rPr>
                <w:color w:val="000000"/>
                <w:sz w:val="14"/>
                <w:szCs w:val="14"/>
              </w:rPr>
            </w:pPr>
            <w:r w:rsidRPr="00D1666E">
              <w:rPr>
                <w:color w:val="000000"/>
                <w:sz w:val="14"/>
                <w:szCs w:val="14"/>
              </w:rPr>
              <w:t>18.059</w:t>
            </w:r>
          </w:p>
        </w:tc>
        <w:tc>
          <w:tcPr>
            <w:tcW w:w="481" w:type="dxa"/>
            <w:vMerge w:val="restart"/>
            <w:shd w:val="clear" w:color="auto" w:fill="E7F3F4"/>
            <w:noWrap/>
            <w:vAlign w:val="center"/>
          </w:tcPr>
          <w:p w14:paraId="65DD49F9" w14:textId="77777777" w:rsidR="004920D8" w:rsidRPr="00F45F13" w:rsidRDefault="004920D8" w:rsidP="00D64955">
            <w:pPr>
              <w:spacing w:before="0" w:after="0"/>
              <w:jc w:val="center"/>
              <w:rPr>
                <w:color w:val="000000"/>
                <w:sz w:val="14"/>
                <w:szCs w:val="14"/>
              </w:rPr>
            </w:pPr>
          </w:p>
        </w:tc>
        <w:tc>
          <w:tcPr>
            <w:tcW w:w="402" w:type="dxa"/>
            <w:vMerge w:val="restart"/>
            <w:shd w:val="clear" w:color="auto" w:fill="E7F3F4"/>
            <w:vAlign w:val="center"/>
          </w:tcPr>
          <w:p w14:paraId="756BCF5D" w14:textId="77777777" w:rsidR="004920D8" w:rsidRPr="00F45F13" w:rsidRDefault="004920D8" w:rsidP="00D64955">
            <w:pPr>
              <w:spacing w:before="0" w:after="0"/>
              <w:jc w:val="center"/>
              <w:rPr>
                <w:color w:val="000000"/>
                <w:sz w:val="14"/>
                <w:szCs w:val="14"/>
              </w:rPr>
            </w:pPr>
          </w:p>
        </w:tc>
        <w:tc>
          <w:tcPr>
            <w:tcW w:w="408" w:type="dxa"/>
            <w:vMerge w:val="restart"/>
            <w:shd w:val="clear" w:color="auto" w:fill="E7F3F4"/>
            <w:vAlign w:val="center"/>
          </w:tcPr>
          <w:p w14:paraId="43FF10EE" w14:textId="77777777" w:rsidR="004920D8" w:rsidRPr="00F45F13" w:rsidRDefault="004920D8" w:rsidP="00D64955">
            <w:pPr>
              <w:spacing w:before="0" w:after="0"/>
              <w:jc w:val="center"/>
              <w:rPr>
                <w:color w:val="000000"/>
                <w:sz w:val="14"/>
                <w:szCs w:val="14"/>
              </w:rPr>
            </w:pPr>
          </w:p>
        </w:tc>
        <w:tc>
          <w:tcPr>
            <w:tcW w:w="416" w:type="dxa"/>
            <w:vMerge w:val="restart"/>
            <w:shd w:val="clear" w:color="auto" w:fill="E7F3F4"/>
            <w:vAlign w:val="center"/>
          </w:tcPr>
          <w:p w14:paraId="2B3954E7" w14:textId="77777777" w:rsidR="004920D8" w:rsidRPr="00F45F13" w:rsidRDefault="004920D8" w:rsidP="00D64955">
            <w:pPr>
              <w:spacing w:before="0" w:after="0"/>
              <w:jc w:val="center"/>
              <w:rPr>
                <w:color w:val="000000"/>
                <w:sz w:val="14"/>
                <w:szCs w:val="14"/>
              </w:rPr>
            </w:pPr>
          </w:p>
        </w:tc>
        <w:tc>
          <w:tcPr>
            <w:tcW w:w="418" w:type="dxa"/>
            <w:vMerge w:val="restart"/>
            <w:shd w:val="clear" w:color="auto" w:fill="E7F3F4"/>
            <w:vAlign w:val="center"/>
          </w:tcPr>
          <w:p w14:paraId="517ADE9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E7F3F4"/>
            <w:vAlign w:val="center"/>
          </w:tcPr>
          <w:p w14:paraId="71BAE574"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2A018ABA"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r>
              <w:rPr>
                <w:color w:val="000000"/>
                <w:sz w:val="14"/>
                <w:szCs w:val="14"/>
              </w:rPr>
              <w:t>*</w:t>
            </w:r>
          </w:p>
        </w:tc>
        <w:tc>
          <w:tcPr>
            <w:tcW w:w="398" w:type="dxa"/>
            <w:vMerge w:val="restart"/>
            <w:shd w:val="clear" w:color="auto" w:fill="E7F3F4"/>
            <w:vAlign w:val="center"/>
          </w:tcPr>
          <w:p w14:paraId="1833D784" w14:textId="77777777" w:rsidR="004920D8" w:rsidRPr="00F45F13" w:rsidRDefault="004920D8" w:rsidP="00D64955">
            <w:pPr>
              <w:spacing w:before="0" w:after="0"/>
              <w:jc w:val="center"/>
              <w:rPr>
                <w:color w:val="000000"/>
                <w:sz w:val="14"/>
                <w:szCs w:val="14"/>
              </w:rPr>
            </w:pPr>
          </w:p>
        </w:tc>
        <w:tc>
          <w:tcPr>
            <w:tcW w:w="410" w:type="dxa"/>
            <w:vMerge w:val="restart"/>
            <w:shd w:val="clear" w:color="auto" w:fill="E7F3F4"/>
            <w:vAlign w:val="center"/>
          </w:tcPr>
          <w:p w14:paraId="17DFA38B" w14:textId="77777777" w:rsidR="004920D8" w:rsidRPr="00F45F13" w:rsidRDefault="004920D8" w:rsidP="00D64955">
            <w:pPr>
              <w:spacing w:before="0" w:after="0"/>
              <w:jc w:val="center"/>
              <w:rPr>
                <w:color w:val="000000"/>
                <w:sz w:val="14"/>
                <w:szCs w:val="14"/>
              </w:rPr>
            </w:pPr>
          </w:p>
        </w:tc>
        <w:tc>
          <w:tcPr>
            <w:tcW w:w="422" w:type="dxa"/>
            <w:vMerge w:val="restart"/>
            <w:shd w:val="clear" w:color="auto" w:fill="E7F3F4"/>
            <w:vAlign w:val="center"/>
          </w:tcPr>
          <w:p w14:paraId="7991D4F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2F6A3327" w14:textId="77777777" w:rsidTr="00D64955">
        <w:trPr>
          <w:trHeight w:val="170"/>
          <w:jc w:val="center"/>
        </w:trPr>
        <w:tc>
          <w:tcPr>
            <w:tcW w:w="836" w:type="dxa"/>
            <w:vMerge/>
            <w:shd w:val="clear" w:color="auto" w:fill="auto"/>
            <w:noWrap/>
            <w:vAlign w:val="center"/>
          </w:tcPr>
          <w:p w14:paraId="60E5EF3B" w14:textId="77777777" w:rsidR="004920D8" w:rsidRPr="00880D29" w:rsidRDefault="004920D8" w:rsidP="00D64955">
            <w:pPr>
              <w:spacing w:before="0" w:after="0"/>
              <w:jc w:val="center"/>
              <w:rPr>
                <w:color w:val="000000"/>
                <w:sz w:val="14"/>
                <w:szCs w:val="14"/>
              </w:rPr>
            </w:pPr>
          </w:p>
        </w:tc>
        <w:tc>
          <w:tcPr>
            <w:tcW w:w="1287" w:type="dxa"/>
            <w:vMerge/>
            <w:shd w:val="clear" w:color="auto" w:fill="E7F3F4"/>
            <w:noWrap/>
            <w:vAlign w:val="center"/>
          </w:tcPr>
          <w:p w14:paraId="70179A13" w14:textId="77777777" w:rsidR="004920D8" w:rsidRPr="00880D29" w:rsidRDefault="004920D8" w:rsidP="00D64955">
            <w:pPr>
              <w:spacing w:before="0" w:after="0"/>
              <w:jc w:val="center"/>
              <w:rPr>
                <w:color w:val="000000"/>
                <w:sz w:val="14"/>
                <w:szCs w:val="14"/>
              </w:rPr>
            </w:pPr>
          </w:p>
        </w:tc>
        <w:tc>
          <w:tcPr>
            <w:tcW w:w="1079" w:type="dxa"/>
            <w:vMerge/>
            <w:shd w:val="clear" w:color="auto" w:fill="E7F3F4"/>
            <w:vAlign w:val="center"/>
          </w:tcPr>
          <w:p w14:paraId="547EBD77" w14:textId="77777777" w:rsidR="004920D8" w:rsidRPr="00880D29" w:rsidRDefault="004920D8" w:rsidP="00D64955">
            <w:pPr>
              <w:spacing w:before="0" w:after="0"/>
              <w:jc w:val="center"/>
              <w:rPr>
                <w:color w:val="000000"/>
                <w:sz w:val="14"/>
                <w:szCs w:val="14"/>
              </w:rPr>
            </w:pPr>
          </w:p>
        </w:tc>
        <w:tc>
          <w:tcPr>
            <w:tcW w:w="1576" w:type="dxa"/>
            <w:vMerge/>
            <w:shd w:val="clear" w:color="auto" w:fill="E7F3F4"/>
            <w:noWrap/>
            <w:vAlign w:val="center"/>
          </w:tcPr>
          <w:p w14:paraId="1D377418" w14:textId="77777777" w:rsidR="004920D8" w:rsidRPr="00880D29" w:rsidRDefault="004920D8" w:rsidP="00D64955">
            <w:pPr>
              <w:spacing w:before="0" w:after="0"/>
              <w:jc w:val="center"/>
              <w:rPr>
                <w:color w:val="000000"/>
                <w:sz w:val="14"/>
                <w:szCs w:val="14"/>
              </w:rPr>
            </w:pPr>
          </w:p>
        </w:tc>
        <w:tc>
          <w:tcPr>
            <w:tcW w:w="674" w:type="dxa"/>
            <w:shd w:val="clear" w:color="auto" w:fill="E7F3F4"/>
            <w:noWrap/>
            <w:vAlign w:val="center"/>
          </w:tcPr>
          <w:p w14:paraId="736D8BD7" w14:textId="77777777" w:rsidR="004920D8" w:rsidRPr="00880D29" w:rsidRDefault="004920D8" w:rsidP="00D64955">
            <w:pPr>
              <w:spacing w:before="0" w:after="0"/>
              <w:jc w:val="center"/>
              <w:rPr>
                <w:color w:val="000000"/>
                <w:sz w:val="14"/>
                <w:szCs w:val="14"/>
              </w:rPr>
            </w:pPr>
            <w:r w:rsidRPr="00880D29">
              <w:rPr>
                <w:color w:val="000000"/>
                <w:sz w:val="14"/>
                <w:szCs w:val="14"/>
              </w:rPr>
              <w:t>GH2*</w:t>
            </w:r>
          </w:p>
        </w:tc>
        <w:tc>
          <w:tcPr>
            <w:tcW w:w="1579" w:type="dxa"/>
            <w:shd w:val="clear" w:color="auto" w:fill="E7F3F4"/>
            <w:noWrap/>
            <w:vAlign w:val="center"/>
          </w:tcPr>
          <w:p w14:paraId="4C9AB01D" w14:textId="77777777" w:rsidR="004920D8" w:rsidRPr="00880D29" w:rsidRDefault="004920D8" w:rsidP="00D64955">
            <w:pPr>
              <w:spacing w:before="0" w:after="0"/>
              <w:jc w:val="center"/>
              <w:rPr>
                <w:i/>
                <w:color w:val="000000"/>
                <w:sz w:val="14"/>
                <w:szCs w:val="14"/>
              </w:rPr>
            </w:pPr>
            <w:r>
              <w:rPr>
                <w:color w:val="000000"/>
                <w:sz w:val="14"/>
                <w:szCs w:val="14"/>
              </w:rPr>
              <w:t>Belican Banks</w:t>
            </w:r>
          </w:p>
        </w:tc>
        <w:tc>
          <w:tcPr>
            <w:tcW w:w="486" w:type="dxa"/>
            <w:shd w:val="clear" w:color="auto" w:fill="E7F3F4"/>
            <w:noWrap/>
            <w:vAlign w:val="center"/>
          </w:tcPr>
          <w:p w14:paraId="65632FDC" w14:textId="77777777" w:rsidR="004920D8" w:rsidRPr="00880D29" w:rsidRDefault="004920D8" w:rsidP="00D64955">
            <w:pPr>
              <w:spacing w:before="0" w:after="0"/>
              <w:jc w:val="center"/>
              <w:rPr>
                <w:color w:val="000000"/>
                <w:sz w:val="14"/>
                <w:szCs w:val="14"/>
              </w:rPr>
            </w:pPr>
            <w:r w:rsidRPr="00880D29">
              <w:rPr>
                <w:color w:val="000000"/>
                <w:sz w:val="14"/>
                <w:szCs w:val="14"/>
              </w:rPr>
              <w:t>23°</w:t>
            </w:r>
          </w:p>
        </w:tc>
        <w:tc>
          <w:tcPr>
            <w:tcW w:w="830" w:type="dxa"/>
            <w:shd w:val="clear" w:color="auto" w:fill="E7F3F4"/>
            <w:noWrap/>
            <w:vAlign w:val="bottom"/>
          </w:tcPr>
          <w:p w14:paraId="292FF745" w14:textId="77777777" w:rsidR="004920D8" w:rsidRPr="00D1666E" w:rsidRDefault="004920D8" w:rsidP="00D64955">
            <w:pPr>
              <w:spacing w:before="0" w:after="0"/>
              <w:jc w:val="center"/>
              <w:rPr>
                <w:color w:val="000000"/>
                <w:sz w:val="14"/>
                <w:szCs w:val="14"/>
              </w:rPr>
            </w:pPr>
            <w:r w:rsidRPr="00D1666E">
              <w:rPr>
                <w:color w:val="000000"/>
                <w:sz w:val="14"/>
                <w:szCs w:val="14"/>
              </w:rPr>
              <w:t>45.884</w:t>
            </w:r>
          </w:p>
        </w:tc>
        <w:tc>
          <w:tcPr>
            <w:tcW w:w="576" w:type="dxa"/>
            <w:shd w:val="clear" w:color="auto" w:fill="E7F3F4"/>
            <w:noWrap/>
            <w:vAlign w:val="center"/>
          </w:tcPr>
          <w:p w14:paraId="302DDE92" w14:textId="77777777" w:rsidR="004920D8" w:rsidRPr="00880D29" w:rsidRDefault="004920D8" w:rsidP="00D64955">
            <w:pPr>
              <w:spacing w:before="0" w:after="0"/>
              <w:jc w:val="center"/>
              <w:rPr>
                <w:color w:val="000000"/>
                <w:sz w:val="14"/>
                <w:szCs w:val="14"/>
              </w:rPr>
            </w:pPr>
            <w:r w:rsidRPr="00880D29">
              <w:rPr>
                <w:color w:val="000000"/>
                <w:sz w:val="14"/>
                <w:szCs w:val="14"/>
              </w:rPr>
              <w:t>151°</w:t>
            </w:r>
          </w:p>
        </w:tc>
        <w:tc>
          <w:tcPr>
            <w:tcW w:w="830" w:type="dxa"/>
            <w:shd w:val="clear" w:color="auto" w:fill="E7F3F4"/>
            <w:noWrap/>
            <w:vAlign w:val="bottom"/>
          </w:tcPr>
          <w:p w14:paraId="6AC04BF9" w14:textId="77777777" w:rsidR="004920D8" w:rsidRPr="00D1666E" w:rsidRDefault="004920D8" w:rsidP="00D64955">
            <w:pPr>
              <w:spacing w:before="0" w:after="0"/>
              <w:jc w:val="center"/>
              <w:rPr>
                <w:color w:val="000000"/>
                <w:sz w:val="14"/>
                <w:szCs w:val="14"/>
              </w:rPr>
            </w:pPr>
            <w:r w:rsidRPr="00D1666E">
              <w:rPr>
                <w:color w:val="000000"/>
                <w:sz w:val="14"/>
                <w:szCs w:val="14"/>
              </w:rPr>
              <w:t>18.233</w:t>
            </w:r>
          </w:p>
        </w:tc>
        <w:tc>
          <w:tcPr>
            <w:tcW w:w="481" w:type="dxa"/>
            <w:vMerge/>
            <w:shd w:val="clear" w:color="auto" w:fill="E7F3F4"/>
            <w:noWrap/>
            <w:vAlign w:val="center"/>
          </w:tcPr>
          <w:p w14:paraId="6E2F6D7D" w14:textId="77777777" w:rsidR="004920D8" w:rsidRPr="00F45F13" w:rsidRDefault="004920D8" w:rsidP="00D64955">
            <w:pPr>
              <w:spacing w:before="0" w:after="0"/>
              <w:jc w:val="center"/>
              <w:rPr>
                <w:color w:val="000000"/>
                <w:sz w:val="14"/>
                <w:szCs w:val="14"/>
              </w:rPr>
            </w:pPr>
          </w:p>
        </w:tc>
        <w:tc>
          <w:tcPr>
            <w:tcW w:w="402" w:type="dxa"/>
            <w:vMerge/>
            <w:shd w:val="clear" w:color="auto" w:fill="E7F3F4"/>
            <w:vAlign w:val="center"/>
          </w:tcPr>
          <w:p w14:paraId="2C88530A"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04E67F94" w14:textId="77777777" w:rsidR="004920D8" w:rsidRPr="00F45F13" w:rsidRDefault="004920D8" w:rsidP="00D64955">
            <w:pPr>
              <w:spacing w:before="0" w:after="0"/>
              <w:jc w:val="center"/>
              <w:rPr>
                <w:color w:val="000000"/>
                <w:sz w:val="14"/>
                <w:szCs w:val="14"/>
              </w:rPr>
            </w:pPr>
          </w:p>
        </w:tc>
        <w:tc>
          <w:tcPr>
            <w:tcW w:w="416" w:type="dxa"/>
            <w:vMerge/>
            <w:shd w:val="clear" w:color="auto" w:fill="E7F3F4"/>
            <w:vAlign w:val="center"/>
          </w:tcPr>
          <w:p w14:paraId="19B8F52F" w14:textId="77777777" w:rsidR="004920D8" w:rsidRPr="00F45F13" w:rsidRDefault="004920D8" w:rsidP="00D64955">
            <w:pPr>
              <w:spacing w:before="0" w:after="0"/>
              <w:jc w:val="center"/>
              <w:rPr>
                <w:color w:val="000000"/>
                <w:sz w:val="14"/>
                <w:szCs w:val="14"/>
              </w:rPr>
            </w:pPr>
          </w:p>
        </w:tc>
        <w:tc>
          <w:tcPr>
            <w:tcW w:w="418" w:type="dxa"/>
            <w:vMerge/>
            <w:shd w:val="clear" w:color="auto" w:fill="E7F3F4"/>
            <w:vAlign w:val="center"/>
          </w:tcPr>
          <w:p w14:paraId="67A2CA30" w14:textId="77777777" w:rsidR="004920D8" w:rsidRPr="00F45F13" w:rsidRDefault="004920D8" w:rsidP="00D64955">
            <w:pPr>
              <w:spacing w:before="0" w:after="0"/>
              <w:jc w:val="center"/>
              <w:rPr>
                <w:color w:val="000000"/>
                <w:sz w:val="14"/>
                <w:szCs w:val="14"/>
              </w:rPr>
            </w:pPr>
          </w:p>
        </w:tc>
        <w:tc>
          <w:tcPr>
            <w:tcW w:w="408" w:type="dxa"/>
            <w:vMerge/>
            <w:shd w:val="clear" w:color="auto" w:fill="E7F3F4"/>
            <w:vAlign w:val="center"/>
          </w:tcPr>
          <w:p w14:paraId="6B338387"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3249C80E" w14:textId="77777777" w:rsidR="004920D8" w:rsidRPr="00F45F13" w:rsidRDefault="004920D8" w:rsidP="00D64955">
            <w:pPr>
              <w:spacing w:before="0" w:after="0"/>
              <w:jc w:val="center"/>
              <w:rPr>
                <w:color w:val="000000"/>
                <w:sz w:val="14"/>
                <w:szCs w:val="14"/>
              </w:rPr>
            </w:pPr>
          </w:p>
        </w:tc>
        <w:tc>
          <w:tcPr>
            <w:tcW w:w="398" w:type="dxa"/>
            <w:vMerge/>
            <w:shd w:val="clear" w:color="auto" w:fill="E7F3F4"/>
            <w:vAlign w:val="center"/>
          </w:tcPr>
          <w:p w14:paraId="538C9E39" w14:textId="77777777" w:rsidR="004920D8" w:rsidRPr="00F45F13" w:rsidRDefault="004920D8" w:rsidP="00D64955">
            <w:pPr>
              <w:spacing w:before="0" w:after="0"/>
              <w:jc w:val="center"/>
              <w:rPr>
                <w:color w:val="000000"/>
                <w:sz w:val="14"/>
                <w:szCs w:val="14"/>
              </w:rPr>
            </w:pPr>
          </w:p>
        </w:tc>
        <w:tc>
          <w:tcPr>
            <w:tcW w:w="410" w:type="dxa"/>
            <w:vMerge/>
            <w:shd w:val="clear" w:color="auto" w:fill="E7F3F4"/>
            <w:vAlign w:val="center"/>
          </w:tcPr>
          <w:p w14:paraId="549EC214" w14:textId="77777777" w:rsidR="004920D8" w:rsidRPr="00F45F13" w:rsidRDefault="004920D8" w:rsidP="00D64955">
            <w:pPr>
              <w:spacing w:before="0" w:after="0"/>
              <w:jc w:val="center"/>
              <w:rPr>
                <w:color w:val="000000"/>
                <w:sz w:val="14"/>
                <w:szCs w:val="14"/>
              </w:rPr>
            </w:pPr>
          </w:p>
        </w:tc>
        <w:tc>
          <w:tcPr>
            <w:tcW w:w="422" w:type="dxa"/>
            <w:vMerge/>
            <w:shd w:val="clear" w:color="auto" w:fill="E7F3F4"/>
            <w:vAlign w:val="center"/>
          </w:tcPr>
          <w:p w14:paraId="69885D25" w14:textId="77777777" w:rsidR="004920D8" w:rsidRPr="00F45F13" w:rsidRDefault="004920D8" w:rsidP="00D64955">
            <w:pPr>
              <w:spacing w:before="0" w:after="0"/>
              <w:jc w:val="center"/>
              <w:rPr>
                <w:color w:val="000000"/>
                <w:sz w:val="14"/>
                <w:szCs w:val="14"/>
              </w:rPr>
            </w:pPr>
          </w:p>
        </w:tc>
      </w:tr>
      <w:tr w:rsidR="004920D8" w:rsidRPr="00015190" w14:paraId="742E0410" w14:textId="77777777" w:rsidTr="00D64955">
        <w:trPr>
          <w:trHeight w:val="170"/>
          <w:jc w:val="center"/>
        </w:trPr>
        <w:tc>
          <w:tcPr>
            <w:tcW w:w="836" w:type="dxa"/>
            <w:vMerge/>
            <w:shd w:val="clear" w:color="auto" w:fill="auto"/>
            <w:noWrap/>
            <w:vAlign w:val="center"/>
          </w:tcPr>
          <w:p w14:paraId="1839296D" w14:textId="77777777" w:rsidR="004920D8" w:rsidRPr="00880D29" w:rsidRDefault="004920D8" w:rsidP="00D64955">
            <w:pPr>
              <w:spacing w:before="0" w:after="0"/>
              <w:jc w:val="center"/>
              <w:rPr>
                <w:color w:val="000000"/>
                <w:sz w:val="14"/>
                <w:szCs w:val="14"/>
              </w:rPr>
            </w:pPr>
          </w:p>
        </w:tc>
        <w:tc>
          <w:tcPr>
            <w:tcW w:w="1287" w:type="dxa"/>
            <w:vMerge w:val="restart"/>
            <w:shd w:val="clear" w:color="auto" w:fill="F3F9FA"/>
            <w:noWrap/>
            <w:vAlign w:val="center"/>
          </w:tcPr>
          <w:p w14:paraId="63F6EE4C" w14:textId="77777777" w:rsidR="004920D8" w:rsidRPr="00880D29" w:rsidRDefault="004920D8" w:rsidP="00D64955">
            <w:pPr>
              <w:spacing w:before="0" w:after="0"/>
              <w:jc w:val="center"/>
              <w:rPr>
                <w:color w:val="000000"/>
                <w:sz w:val="14"/>
                <w:szCs w:val="14"/>
              </w:rPr>
            </w:pPr>
            <w:r w:rsidRPr="00880D29">
              <w:rPr>
                <w:color w:val="000000"/>
                <w:sz w:val="14"/>
                <w:szCs w:val="14"/>
              </w:rPr>
              <w:t>Burnett Mary</w:t>
            </w:r>
          </w:p>
          <w:p w14:paraId="1320C030"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Burnett Mary Regional Group</w:t>
            </w:r>
            <w:r w:rsidRPr="00880D29">
              <w:rPr>
                <w:color w:val="000000"/>
                <w:sz w:val="14"/>
                <w:szCs w:val="14"/>
              </w:rPr>
              <w:t>)</w:t>
            </w:r>
          </w:p>
        </w:tc>
        <w:tc>
          <w:tcPr>
            <w:tcW w:w="1079" w:type="dxa"/>
            <w:vMerge w:val="restart"/>
            <w:shd w:val="clear" w:color="auto" w:fill="F3F9FA"/>
            <w:vAlign w:val="center"/>
          </w:tcPr>
          <w:p w14:paraId="6A79BE76" w14:textId="77777777" w:rsidR="004920D8" w:rsidRPr="00880D29" w:rsidRDefault="004920D8" w:rsidP="00D64955">
            <w:pPr>
              <w:spacing w:before="0" w:after="0"/>
              <w:jc w:val="center"/>
              <w:rPr>
                <w:color w:val="000000"/>
                <w:sz w:val="14"/>
                <w:szCs w:val="14"/>
              </w:rPr>
            </w:pPr>
            <w:r>
              <w:rPr>
                <w:color w:val="000000"/>
                <w:sz w:val="14"/>
                <w:szCs w:val="14"/>
              </w:rPr>
              <w:t>Baffle</w:t>
            </w:r>
          </w:p>
        </w:tc>
        <w:tc>
          <w:tcPr>
            <w:tcW w:w="1576" w:type="dxa"/>
            <w:vMerge w:val="restart"/>
            <w:shd w:val="clear" w:color="auto" w:fill="F3F9FA"/>
            <w:noWrap/>
            <w:vAlign w:val="center"/>
          </w:tcPr>
          <w:p w14:paraId="5B8CAA94" w14:textId="77777777" w:rsidR="004920D8" w:rsidRPr="00880D29" w:rsidRDefault="004920D8" w:rsidP="00D64955">
            <w:pPr>
              <w:spacing w:before="0" w:after="0"/>
              <w:jc w:val="center"/>
              <w:rPr>
                <w:color w:val="000000"/>
                <w:sz w:val="14"/>
                <w:szCs w:val="14"/>
              </w:rPr>
            </w:pPr>
            <w:r w:rsidRPr="00880D29">
              <w:rPr>
                <w:color w:val="000000"/>
                <w:sz w:val="14"/>
                <w:szCs w:val="14"/>
              </w:rPr>
              <w:t>Rodds Bay</w:t>
            </w:r>
          </w:p>
          <w:p w14:paraId="3E78D751"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14:paraId="3CE91950" w14:textId="77777777" w:rsidR="004920D8" w:rsidRPr="00880D29" w:rsidRDefault="004920D8" w:rsidP="00D64955">
            <w:pPr>
              <w:spacing w:before="0" w:after="0"/>
              <w:jc w:val="center"/>
              <w:rPr>
                <w:iCs/>
                <w:color w:val="000000"/>
                <w:sz w:val="14"/>
                <w:szCs w:val="14"/>
              </w:rPr>
            </w:pPr>
            <w:r w:rsidRPr="00880D29">
              <w:rPr>
                <w:iCs/>
                <w:color w:val="000000"/>
                <w:sz w:val="14"/>
                <w:szCs w:val="14"/>
              </w:rPr>
              <w:t>RD1*</w:t>
            </w:r>
          </w:p>
        </w:tc>
        <w:tc>
          <w:tcPr>
            <w:tcW w:w="1579" w:type="dxa"/>
            <w:shd w:val="clear" w:color="auto" w:fill="F3F9FA"/>
            <w:noWrap/>
            <w:vAlign w:val="center"/>
          </w:tcPr>
          <w:p w14:paraId="557CF890" w14:textId="77777777" w:rsidR="004920D8" w:rsidRPr="00880D29" w:rsidRDefault="004920D8" w:rsidP="00D64955">
            <w:pPr>
              <w:spacing w:before="0" w:after="0"/>
              <w:jc w:val="center"/>
              <w:rPr>
                <w:color w:val="000000"/>
                <w:sz w:val="14"/>
                <w:szCs w:val="14"/>
              </w:rPr>
            </w:pPr>
            <w:r>
              <w:rPr>
                <w:color w:val="000000"/>
                <w:sz w:val="14"/>
                <w:szCs w:val="14"/>
              </w:rPr>
              <w:t>Cay Bank</w:t>
            </w:r>
          </w:p>
        </w:tc>
        <w:tc>
          <w:tcPr>
            <w:tcW w:w="486" w:type="dxa"/>
            <w:shd w:val="clear" w:color="auto" w:fill="F3F9FA"/>
            <w:noWrap/>
            <w:vAlign w:val="center"/>
          </w:tcPr>
          <w:p w14:paraId="365898BC" w14:textId="77777777" w:rsidR="004920D8" w:rsidRPr="00880D29" w:rsidRDefault="004920D8" w:rsidP="00D64955">
            <w:pPr>
              <w:spacing w:before="0" w:after="0"/>
              <w:jc w:val="center"/>
              <w:rPr>
                <w:color w:val="000000"/>
                <w:sz w:val="14"/>
                <w:szCs w:val="14"/>
              </w:rPr>
            </w:pPr>
            <w:r w:rsidRPr="00880D29">
              <w:rPr>
                <w:color w:val="000000"/>
                <w:sz w:val="14"/>
                <w:szCs w:val="14"/>
              </w:rPr>
              <w:t>24°</w:t>
            </w:r>
          </w:p>
        </w:tc>
        <w:tc>
          <w:tcPr>
            <w:tcW w:w="830" w:type="dxa"/>
            <w:shd w:val="clear" w:color="auto" w:fill="F3F9FA"/>
            <w:noWrap/>
            <w:vAlign w:val="bottom"/>
          </w:tcPr>
          <w:p w14:paraId="7FE837C3" w14:textId="77777777" w:rsidR="004920D8" w:rsidRPr="001D09DA" w:rsidRDefault="004920D8" w:rsidP="00D64955">
            <w:pPr>
              <w:spacing w:before="0" w:after="0"/>
              <w:jc w:val="center"/>
              <w:rPr>
                <w:color w:val="000000"/>
                <w:sz w:val="14"/>
                <w:szCs w:val="14"/>
              </w:rPr>
            </w:pPr>
            <w:r w:rsidRPr="001D09DA">
              <w:rPr>
                <w:color w:val="000000"/>
                <w:sz w:val="14"/>
                <w:szCs w:val="14"/>
              </w:rPr>
              <w:t>3.467</w:t>
            </w:r>
          </w:p>
        </w:tc>
        <w:tc>
          <w:tcPr>
            <w:tcW w:w="576" w:type="dxa"/>
            <w:shd w:val="clear" w:color="auto" w:fill="F3F9FA"/>
            <w:noWrap/>
            <w:vAlign w:val="center"/>
          </w:tcPr>
          <w:p w14:paraId="0AB04162" w14:textId="77777777" w:rsidR="004920D8" w:rsidRPr="00880D29" w:rsidRDefault="004920D8" w:rsidP="00D64955">
            <w:pPr>
              <w:spacing w:before="0" w:after="0"/>
              <w:jc w:val="center"/>
              <w:rPr>
                <w:color w:val="000000"/>
                <w:sz w:val="14"/>
                <w:szCs w:val="14"/>
              </w:rPr>
            </w:pPr>
            <w:r w:rsidRPr="00880D29">
              <w:rPr>
                <w:color w:val="000000"/>
                <w:sz w:val="14"/>
                <w:szCs w:val="14"/>
              </w:rPr>
              <w:t>151°</w:t>
            </w:r>
          </w:p>
        </w:tc>
        <w:tc>
          <w:tcPr>
            <w:tcW w:w="830" w:type="dxa"/>
            <w:shd w:val="clear" w:color="auto" w:fill="F3F9FA"/>
            <w:noWrap/>
            <w:vAlign w:val="bottom"/>
          </w:tcPr>
          <w:p w14:paraId="26C904BA" w14:textId="77777777" w:rsidR="004920D8" w:rsidRPr="001D09DA" w:rsidRDefault="004920D8" w:rsidP="00D64955">
            <w:pPr>
              <w:spacing w:before="0" w:after="0"/>
              <w:jc w:val="center"/>
              <w:rPr>
                <w:color w:val="000000"/>
                <w:sz w:val="14"/>
                <w:szCs w:val="14"/>
              </w:rPr>
            </w:pPr>
            <w:r w:rsidRPr="001D09DA">
              <w:rPr>
                <w:color w:val="000000"/>
                <w:sz w:val="14"/>
                <w:szCs w:val="14"/>
              </w:rPr>
              <w:t>39.333</w:t>
            </w:r>
          </w:p>
        </w:tc>
        <w:tc>
          <w:tcPr>
            <w:tcW w:w="481" w:type="dxa"/>
            <w:vMerge w:val="restart"/>
            <w:shd w:val="clear" w:color="auto" w:fill="F3F9FA"/>
            <w:noWrap/>
            <w:vAlign w:val="center"/>
          </w:tcPr>
          <w:p w14:paraId="08C708EC"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56AE05CC"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6D21488F"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30E993E8"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0BDBEBC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0EF1B3A6"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6985A62B"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8" w:type="dxa"/>
            <w:vMerge w:val="restart"/>
            <w:shd w:val="clear" w:color="auto" w:fill="F3F9FA"/>
            <w:vAlign w:val="center"/>
          </w:tcPr>
          <w:p w14:paraId="4744A8AC"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30079B4A"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2EDD2054"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457491D8" w14:textId="77777777" w:rsidTr="00D64955">
        <w:trPr>
          <w:trHeight w:val="170"/>
          <w:jc w:val="center"/>
        </w:trPr>
        <w:tc>
          <w:tcPr>
            <w:tcW w:w="836" w:type="dxa"/>
            <w:vMerge/>
            <w:shd w:val="clear" w:color="auto" w:fill="auto"/>
            <w:noWrap/>
            <w:vAlign w:val="center"/>
          </w:tcPr>
          <w:p w14:paraId="245ED9F1"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65DBBD67" w14:textId="77777777" w:rsidR="004920D8" w:rsidRPr="00880D29" w:rsidRDefault="004920D8" w:rsidP="00D64955">
            <w:pPr>
              <w:spacing w:before="0" w:after="0"/>
              <w:jc w:val="center"/>
              <w:rPr>
                <w:color w:val="000000"/>
                <w:sz w:val="14"/>
                <w:szCs w:val="14"/>
              </w:rPr>
            </w:pPr>
          </w:p>
        </w:tc>
        <w:tc>
          <w:tcPr>
            <w:tcW w:w="1079" w:type="dxa"/>
            <w:vMerge/>
            <w:shd w:val="clear" w:color="auto" w:fill="F3F9FA"/>
            <w:vAlign w:val="center"/>
          </w:tcPr>
          <w:p w14:paraId="39FE03DE"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60E72141"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1DF3B101" w14:textId="77777777" w:rsidR="004920D8" w:rsidRPr="00880D29" w:rsidRDefault="004920D8" w:rsidP="00D64955">
            <w:pPr>
              <w:spacing w:before="0" w:after="0"/>
              <w:jc w:val="center"/>
              <w:rPr>
                <w:iCs/>
                <w:color w:val="000000"/>
                <w:sz w:val="14"/>
                <w:szCs w:val="14"/>
              </w:rPr>
            </w:pPr>
            <w:r w:rsidRPr="00880D29">
              <w:rPr>
                <w:iCs/>
                <w:color w:val="000000"/>
                <w:sz w:val="14"/>
                <w:szCs w:val="14"/>
              </w:rPr>
              <w:t>RD2*</w:t>
            </w:r>
          </w:p>
        </w:tc>
        <w:tc>
          <w:tcPr>
            <w:tcW w:w="1579" w:type="dxa"/>
            <w:shd w:val="clear" w:color="auto" w:fill="F3F9FA"/>
            <w:noWrap/>
            <w:vAlign w:val="center"/>
          </w:tcPr>
          <w:p w14:paraId="28DA268B" w14:textId="77777777" w:rsidR="004920D8" w:rsidRPr="00880D29" w:rsidRDefault="004920D8" w:rsidP="00D64955">
            <w:pPr>
              <w:spacing w:before="0" w:after="0"/>
              <w:jc w:val="center"/>
              <w:rPr>
                <w:color w:val="000000"/>
                <w:sz w:val="14"/>
                <w:szCs w:val="14"/>
              </w:rPr>
            </w:pPr>
            <w:r>
              <w:rPr>
                <w:color w:val="000000"/>
                <w:sz w:val="14"/>
                <w:szCs w:val="14"/>
              </w:rPr>
              <w:t>Turkey Beach</w:t>
            </w:r>
          </w:p>
        </w:tc>
        <w:tc>
          <w:tcPr>
            <w:tcW w:w="486" w:type="dxa"/>
            <w:shd w:val="clear" w:color="auto" w:fill="F3F9FA"/>
            <w:noWrap/>
            <w:vAlign w:val="center"/>
          </w:tcPr>
          <w:p w14:paraId="5405584B" w14:textId="77777777" w:rsidR="004920D8" w:rsidRPr="00880D29" w:rsidRDefault="004920D8" w:rsidP="00D64955">
            <w:pPr>
              <w:spacing w:before="0" w:after="0"/>
              <w:jc w:val="center"/>
              <w:rPr>
                <w:color w:val="000000"/>
                <w:sz w:val="14"/>
                <w:szCs w:val="14"/>
                <w:highlight w:val="yellow"/>
              </w:rPr>
            </w:pPr>
            <w:r w:rsidRPr="00880D29">
              <w:rPr>
                <w:color w:val="000000"/>
                <w:sz w:val="14"/>
                <w:szCs w:val="14"/>
              </w:rPr>
              <w:t>24°</w:t>
            </w:r>
          </w:p>
        </w:tc>
        <w:tc>
          <w:tcPr>
            <w:tcW w:w="830" w:type="dxa"/>
            <w:shd w:val="clear" w:color="auto" w:fill="F3F9FA"/>
            <w:noWrap/>
            <w:vAlign w:val="bottom"/>
          </w:tcPr>
          <w:p w14:paraId="6C191F1E" w14:textId="77777777" w:rsidR="004920D8" w:rsidRPr="001D09DA" w:rsidRDefault="004920D8" w:rsidP="00D64955">
            <w:pPr>
              <w:spacing w:before="0" w:after="0"/>
              <w:jc w:val="center"/>
              <w:rPr>
                <w:color w:val="000000"/>
                <w:sz w:val="14"/>
                <w:szCs w:val="14"/>
              </w:rPr>
            </w:pPr>
            <w:r w:rsidRPr="001D09DA">
              <w:rPr>
                <w:color w:val="000000"/>
                <w:sz w:val="14"/>
                <w:szCs w:val="14"/>
              </w:rPr>
              <w:t>4.854</w:t>
            </w:r>
          </w:p>
        </w:tc>
        <w:tc>
          <w:tcPr>
            <w:tcW w:w="576" w:type="dxa"/>
            <w:shd w:val="clear" w:color="auto" w:fill="F3F9FA"/>
            <w:noWrap/>
            <w:vAlign w:val="center"/>
          </w:tcPr>
          <w:p w14:paraId="1ACBB4FE" w14:textId="77777777" w:rsidR="004920D8" w:rsidRPr="00880D29" w:rsidRDefault="004920D8" w:rsidP="00D64955">
            <w:pPr>
              <w:spacing w:before="0" w:after="0"/>
              <w:jc w:val="center"/>
              <w:rPr>
                <w:color w:val="000000"/>
                <w:sz w:val="14"/>
                <w:szCs w:val="14"/>
              </w:rPr>
            </w:pPr>
            <w:r w:rsidRPr="00880D29">
              <w:rPr>
                <w:color w:val="000000"/>
                <w:sz w:val="14"/>
                <w:szCs w:val="14"/>
              </w:rPr>
              <w:t>151°</w:t>
            </w:r>
          </w:p>
        </w:tc>
        <w:tc>
          <w:tcPr>
            <w:tcW w:w="830" w:type="dxa"/>
            <w:shd w:val="clear" w:color="auto" w:fill="F3F9FA"/>
            <w:noWrap/>
            <w:vAlign w:val="bottom"/>
          </w:tcPr>
          <w:p w14:paraId="13EB27C1" w14:textId="77777777" w:rsidR="004920D8" w:rsidRPr="001D09DA" w:rsidRDefault="004920D8" w:rsidP="00D64955">
            <w:pPr>
              <w:spacing w:before="0" w:after="0"/>
              <w:jc w:val="center"/>
              <w:rPr>
                <w:color w:val="000000"/>
                <w:sz w:val="14"/>
                <w:szCs w:val="14"/>
              </w:rPr>
            </w:pPr>
            <w:r w:rsidRPr="001D09DA">
              <w:rPr>
                <w:color w:val="000000"/>
                <w:sz w:val="14"/>
                <w:szCs w:val="14"/>
              </w:rPr>
              <w:t>39.752</w:t>
            </w:r>
          </w:p>
        </w:tc>
        <w:tc>
          <w:tcPr>
            <w:tcW w:w="481" w:type="dxa"/>
            <w:vMerge/>
            <w:shd w:val="clear" w:color="auto" w:fill="F3F9FA"/>
            <w:noWrap/>
            <w:vAlign w:val="center"/>
          </w:tcPr>
          <w:p w14:paraId="3F60C26C" w14:textId="77777777" w:rsidR="004920D8" w:rsidRPr="00F45F13" w:rsidRDefault="004920D8" w:rsidP="00D64955">
            <w:pPr>
              <w:spacing w:before="0" w:after="0"/>
              <w:jc w:val="center"/>
              <w:rPr>
                <w:color w:val="000000"/>
                <w:sz w:val="14"/>
                <w:szCs w:val="14"/>
              </w:rPr>
            </w:pPr>
          </w:p>
        </w:tc>
        <w:tc>
          <w:tcPr>
            <w:tcW w:w="402" w:type="dxa"/>
            <w:vMerge/>
            <w:shd w:val="clear" w:color="auto" w:fill="F3F9FA"/>
            <w:vAlign w:val="center"/>
          </w:tcPr>
          <w:p w14:paraId="7E0F829F"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3413025A" w14:textId="77777777" w:rsidR="004920D8" w:rsidRPr="00F45F13" w:rsidRDefault="004920D8" w:rsidP="00D64955">
            <w:pPr>
              <w:spacing w:before="0" w:after="0"/>
              <w:jc w:val="center"/>
              <w:rPr>
                <w:color w:val="000000"/>
                <w:sz w:val="14"/>
                <w:szCs w:val="14"/>
              </w:rPr>
            </w:pPr>
          </w:p>
        </w:tc>
        <w:tc>
          <w:tcPr>
            <w:tcW w:w="416" w:type="dxa"/>
            <w:vMerge/>
            <w:shd w:val="clear" w:color="auto" w:fill="F3F9FA"/>
            <w:vAlign w:val="center"/>
          </w:tcPr>
          <w:p w14:paraId="584E0272" w14:textId="77777777" w:rsidR="004920D8" w:rsidRPr="00F45F13" w:rsidRDefault="004920D8" w:rsidP="00D64955">
            <w:pPr>
              <w:spacing w:before="0" w:after="0"/>
              <w:jc w:val="center"/>
              <w:rPr>
                <w:color w:val="000000"/>
                <w:sz w:val="14"/>
                <w:szCs w:val="14"/>
              </w:rPr>
            </w:pPr>
          </w:p>
        </w:tc>
        <w:tc>
          <w:tcPr>
            <w:tcW w:w="418" w:type="dxa"/>
            <w:vMerge/>
            <w:shd w:val="clear" w:color="auto" w:fill="F3F9FA"/>
            <w:vAlign w:val="center"/>
          </w:tcPr>
          <w:p w14:paraId="43C0C1C1" w14:textId="77777777" w:rsidR="004920D8" w:rsidRPr="00F45F13" w:rsidRDefault="004920D8" w:rsidP="00D64955">
            <w:pPr>
              <w:spacing w:before="0" w:after="0"/>
              <w:jc w:val="center"/>
              <w:rPr>
                <w:color w:val="000000"/>
                <w:sz w:val="14"/>
                <w:szCs w:val="14"/>
              </w:rPr>
            </w:pPr>
          </w:p>
        </w:tc>
        <w:tc>
          <w:tcPr>
            <w:tcW w:w="408" w:type="dxa"/>
            <w:vMerge/>
            <w:shd w:val="clear" w:color="auto" w:fill="F3F9FA"/>
            <w:vAlign w:val="center"/>
          </w:tcPr>
          <w:p w14:paraId="54D5E9FF"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2D7EB028" w14:textId="77777777" w:rsidR="004920D8" w:rsidRPr="00F45F13" w:rsidRDefault="004920D8" w:rsidP="00D64955">
            <w:pPr>
              <w:spacing w:before="0" w:after="0"/>
              <w:jc w:val="center"/>
              <w:rPr>
                <w:color w:val="000000"/>
                <w:sz w:val="14"/>
                <w:szCs w:val="14"/>
              </w:rPr>
            </w:pPr>
          </w:p>
        </w:tc>
        <w:tc>
          <w:tcPr>
            <w:tcW w:w="398" w:type="dxa"/>
            <w:vMerge/>
            <w:shd w:val="clear" w:color="auto" w:fill="F3F9FA"/>
            <w:vAlign w:val="center"/>
          </w:tcPr>
          <w:p w14:paraId="7038C42C" w14:textId="77777777" w:rsidR="004920D8" w:rsidRPr="00F45F13" w:rsidRDefault="004920D8" w:rsidP="00D64955">
            <w:pPr>
              <w:spacing w:before="0" w:after="0"/>
              <w:jc w:val="center"/>
              <w:rPr>
                <w:color w:val="000000"/>
                <w:sz w:val="14"/>
                <w:szCs w:val="14"/>
              </w:rPr>
            </w:pPr>
          </w:p>
        </w:tc>
        <w:tc>
          <w:tcPr>
            <w:tcW w:w="410" w:type="dxa"/>
            <w:vMerge/>
            <w:shd w:val="clear" w:color="auto" w:fill="F3F9FA"/>
            <w:vAlign w:val="center"/>
          </w:tcPr>
          <w:p w14:paraId="4CCABD6D" w14:textId="77777777" w:rsidR="004920D8" w:rsidRPr="00F45F13" w:rsidRDefault="004920D8" w:rsidP="00D64955">
            <w:pPr>
              <w:spacing w:before="0" w:after="0"/>
              <w:jc w:val="center"/>
              <w:rPr>
                <w:color w:val="000000"/>
                <w:sz w:val="14"/>
                <w:szCs w:val="14"/>
              </w:rPr>
            </w:pPr>
          </w:p>
        </w:tc>
        <w:tc>
          <w:tcPr>
            <w:tcW w:w="422" w:type="dxa"/>
            <w:vMerge/>
            <w:shd w:val="clear" w:color="auto" w:fill="F3F9FA"/>
            <w:vAlign w:val="center"/>
          </w:tcPr>
          <w:p w14:paraId="18D1D8BD" w14:textId="77777777" w:rsidR="004920D8" w:rsidRPr="00F45F13" w:rsidRDefault="004920D8" w:rsidP="00D64955">
            <w:pPr>
              <w:spacing w:before="0" w:after="0"/>
              <w:jc w:val="center"/>
              <w:rPr>
                <w:color w:val="000000"/>
                <w:sz w:val="14"/>
                <w:szCs w:val="14"/>
              </w:rPr>
            </w:pPr>
          </w:p>
        </w:tc>
      </w:tr>
      <w:tr w:rsidR="004920D8" w:rsidRPr="00015190" w14:paraId="34850255" w14:textId="77777777" w:rsidTr="00D64955">
        <w:trPr>
          <w:trHeight w:val="170"/>
          <w:jc w:val="center"/>
        </w:trPr>
        <w:tc>
          <w:tcPr>
            <w:tcW w:w="836" w:type="dxa"/>
            <w:vMerge/>
            <w:shd w:val="clear" w:color="auto" w:fill="auto"/>
            <w:noWrap/>
            <w:vAlign w:val="center"/>
          </w:tcPr>
          <w:p w14:paraId="240BD460" w14:textId="77777777" w:rsidR="004920D8" w:rsidRPr="00880D29" w:rsidRDefault="004920D8" w:rsidP="00D64955">
            <w:pPr>
              <w:spacing w:before="0" w:after="0"/>
              <w:jc w:val="center"/>
              <w:rPr>
                <w:color w:val="000000"/>
                <w:sz w:val="14"/>
                <w:szCs w:val="14"/>
              </w:rPr>
            </w:pPr>
          </w:p>
        </w:tc>
        <w:tc>
          <w:tcPr>
            <w:tcW w:w="1287" w:type="dxa"/>
            <w:vMerge/>
            <w:shd w:val="clear" w:color="auto" w:fill="F3F9FA"/>
            <w:noWrap/>
            <w:vAlign w:val="center"/>
          </w:tcPr>
          <w:p w14:paraId="74DF3699" w14:textId="77777777" w:rsidR="004920D8" w:rsidRPr="00880D29" w:rsidRDefault="004920D8" w:rsidP="00D64955">
            <w:pPr>
              <w:spacing w:before="0" w:after="0"/>
              <w:jc w:val="center"/>
              <w:rPr>
                <w:color w:val="000000"/>
                <w:sz w:val="14"/>
                <w:szCs w:val="14"/>
              </w:rPr>
            </w:pPr>
          </w:p>
        </w:tc>
        <w:tc>
          <w:tcPr>
            <w:tcW w:w="1079" w:type="dxa"/>
            <w:vMerge w:val="restart"/>
            <w:shd w:val="clear" w:color="auto" w:fill="F3F9FA"/>
            <w:vAlign w:val="center"/>
          </w:tcPr>
          <w:p w14:paraId="323E6F9D" w14:textId="77777777" w:rsidR="004920D8" w:rsidRPr="00880D29" w:rsidRDefault="004920D8" w:rsidP="00D64955">
            <w:pPr>
              <w:spacing w:before="0" w:after="0"/>
              <w:jc w:val="center"/>
              <w:rPr>
                <w:color w:val="000000"/>
                <w:sz w:val="14"/>
                <w:szCs w:val="14"/>
              </w:rPr>
            </w:pPr>
            <w:r w:rsidRPr="00880D29">
              <w:rPr>
                <w:color w:val="000000"/>
                <w:sz w:val="14"/>
                <w:szCs w:val="14"/>
              </w:rPr>
              <w:t>Mary</w:t>
            </w:r>
          </w:p>
        </w:tc>
        <w:tc>
          <w:tcPr>
            <w:tcW w:w="1576" w:type="dxa"/>
            <w:vMerge w:val="restart"/>
            <w:shd w:val="clear" w:color="auto" w:fill="F3F9FA"/>
            <w:noWrap/>
            <w:vAlign w:val="center"/>
          </w:tcPr>
          <w:p w14:paraId="204CA065" w14:textId="77777777" w:rsidR="004920D8" w:rsidRPr="00880D29" w:rsidRDefault="004920D8" w:rsidP="00D64955">
            <w:pPr>
              <w:spacing w:before="0" w:after="0"/>
              <w:jc w:val="center"/>
              <w:rPr>
                <w:color w:val="000000"/>
                <w:sz w:val="14"/>
                <w:szCs w:val="14"/>
              </w:rPr>
            </w:pPr>
            <w:r w:rsidRPr="00880D29">
              <w:rPr>
                <w:color w:val="000000"/>
                <w:sz w:val="14"/>
                <w:szCs w:val="14"/>
              </w:rPr>
              <w:t>Hervey Bay</w:t>
            </w:r>
          </w:p>
          <w:p w14:paraId="36B20BAC" w14:textId="77777777" w:rsidR="004920D8" w:rsidRPr="00880D29" w:rsidRDefault="004920D8" w:rsidP="00D64955">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14:paraId="67769C2D" w14:textId="77777777" w:rsidR="004920D8" w:rsidRPr="00880D29" w:rsidRDefault="004920D8" w:rsidP="00D64955">
            <w:pPr>
              <w:spacing w:before="0" w:after="0"/>
              <w:jc w:val="center"/>
              <w:rPr>
                <w:color w:val="000000"/>
                <w:sz w:val="14"/>
                <w:szCs w:val="14"/>
              </w:rPr>
            </w:pPr>
            <w:r w:rsidRPr="00880D29">
              <w:rPr>
                <w:color w:val="000000"/>
                <w:sz w:val="14"/>
                <w:szCs w:val="14"/>
              </w:rPr>
              <w:t>UG1*</w:t>
            </w:r>
          </w:p>
        </w:tc>
        <w:tc>
          <w:tcPr>
            <w:tcW w:w="1579" w:type="dxa"/>
            <w:shd w:val="clear" w:color="auto" w:fill="F3F9FA"/>
            <w:noWrap/>
            <w:vAlign w:val="center"/>
          </w:tcPr>
          <w:p w14:paraId="4C524A41" w14:textId="77777777" w:rsidR="004920D8" w:rsidRPr="00880D29" w:rsidRDefault="004920D8" w:rsidP="00D64955">
            <w:pPr>
              <w:spacing w:before="0" w:after="0"/>
              <w:jc w:val="center"/>
              <w:rPr>
                <w:color w:val="000000"/>
                <w:sz w:val="14"/>
                <w:szCs w:val="14"/>
              </w:rPr>
            </w:pPr>
            <w:r w:rsidRPr="00880D29">
              <w:rPr>
                <w:color w:val="000000"/>
                <w:sz w:val="14"/>
                <w:szCs w:val="14"/>
              </w:rPr>
              <w:t>Urangan</w:t>
            </w:r>
          </w:p>
        </w:tc>
        <w:tc>
          <w:tcPr>
            <w:tcW w:w="486" w:type="dxa"/>
            <w:shd w:val="clear" w:color="auto" w:fill="F3F9FA"/>
            <w:noWrap/>
            <w:vAlign w:val="center"/>
          </w:tcPr>
          <w:p w14:paraId="0BF78CA3" w14:textId="77777777" w:rsidR="004920D8" w:rsidRPr="00880D29" w:rsidRDefault="004920D8" w:rsidP="00D64955">
            <w:pPr>
              <w:spacing w:before="0" w:after="0"/>
              <w:jc w:val="center"/>
              <w:rPr>
                <w:color w:val="000000"/>
                <w:sz w:val="14"/>
                <w:szCs w:val="14"/>
              </w:rPr>
            </w:pPr>
            <w:r w:rsidRPr="00880D29">
              <w:rPr>
                <w:color w:val="000000"/>
                <w:sz w:val="14"/>
                <w:szCs w:val="14"/>
              </w:rPr>
              <w:t>25°</w:t>
            </w:r>
          </w:p>
        </w:tc>
        <w:tc>
          <w:tcPr>
            <w:tcW w:w="830" w:type="dxa"/>
            <w:shd w:val="clear" w:color="auto" w:fill="F3F9FA"/>
            <w:noWrap/>
            <w:vAlign w:val="center"/>
          </w:tcPr>
          <w:p w14:paraId="32DB07B5" w14:textId="77777777" w:rsidR="004920D8" w:rsidRPr="00880D29" w:rsidRDefault="004920D8" w:rsidP="00D64955">
            <w:pPr>
              <w:spacing w:before="0" w:after="0"/>
              <w:jc w:val="center"/>
              <w:rPr>
                <w:color w:val="000000"/>
                <w:sz w:val="14"/>
                <w:szCs w:val="14"/>
              </w:rPr>
            </w:pPr>
            <w:r w:rsidRPr="00880D29">
              <w:rPr>
                <w:color w:val="000000"/>
                <w:sz w:val="14"/>
                <w:szCs w:val="14"/>
              </w:rPr>
              <w:t>18.053</w:t>
            </w:r>
          </w:p>
        </w:tc>
        <w:tc>
          <w:tcPr>
            <w:tcW w:w="576" w:type="dxa"/>
            <w:shd w:val="clear" w:color="auto" w:fill="F3F9FA"/>
            <w:noWrap/>
            <w:vAlign w:val="center"/>
          </w:tcPr>
          <w:p w14:paraId="17C370F7" w14:textId="77777777" w:rsidR="004920D8" w:rsidRPr="00880D29" w:rsidRDefault="004920D8" w:rsidP="00D64955">
            <w:pPr>
              <w:spacing w:before="0" w:after="0"/>
              <w:jc w:val="center"/>
              <w:rPr>
                <w:color w:val="000000"/>
                <w:sz w:val="14"/>
                <w:szCs w:val="14"/>
              </w:rPr>
            </w:pPr>
            <w:r w:rsidRPr="00880D29">
              <w:rPr>
                <w:color w:val="000000"/>
                <w:sz w:val="14"/>
                <w:szCs w:val="14"/>
              </w:rPr>
              <w:t>152°</w:t>
            </w:r>
          </w:p>
        </w:tc>
        <w:tc>
          <w:tcPr>
            <w:tcW w:w="830" w:type="dxa"/>
            <w:shd w:val="clear" w:color="auto" w:fill="F3F9FA"/>
            <w:noWrap/>
            <w:vAlign w:val="center"/>
          </w:tcPr>
          <w:p w14:paraId="3FD16EC6" w14:textId="77777777" w:rsidR="004920D8" w:rsidRPr="00880D29" w:rsidRDefault="004920D8" w:rsidP="00D64955">
            <w:pPr>
              <w:spacing w:before="0" w:after="0"/>
              <w:jc w:val="center"/>
              <w:rPr>
                <w:color w:val="000000"/>
                <w:sz w:val="14"/>
                <w:szCs w:val="14"/>
              </w:rPr>
            </w:pPr>
            <w:r w:rsidRPr="00880D29">
              <w:rPr>
                <w:color w:val="000000"/>
                <w:sz w:val="14"/>
                <w:szCs w:val="14"/>
              </w:rPr>
              <w:t>54.409</w:t>
            </w:r>
          </w:p>
        </w:tc>
        <w:tc>
          <w:tcPr>
            <w:tcW w:w="481" w:type="dxa"/>
            <w:vMerge w:val="restart"/>
            <w:shd w:val="clear" w:color="auto" w:fill="F3F9FA"/>
            <w:noWrap/>
            <w:vAlign w:val="center"/>
          </w:tcPr>
          <w:p w14:paraId="609380DD" w14:textId="77777777" w:rsidR="004920D8" w:rsidRPr="00F45F13" w:rsidRDefault="004920D8" w:rsidP="00D64955">
            <w:pPr>
              <w:spacing w:before="0" w:after="0"/>
              <w:jc w:val="center"/>
              <w:rPr>
                <w:color w:val="000000"/>
                <w:sz w:val="14"/>
                <w:szCs w:val="14"/>
              </w:rPr>
            </w:pPr>
          </w:p>
        </w:tc>
        <w:tc>
          <w:tcPr>
            <w:tcW w:w="402" w:type="dxa"/>
            <w:vMerge w:val="restart"/>
            <w:shd w:val="clear" w:color="auto" w:fill="F3F9FA"/>
            <w:vAlign w:val="center"/>
          </w:tcPr>
          <w:p w14:paraId="15C37D72" w14:textId="77777777" w:rsidR="004920D8" w:rsidRPr="00F45F13" w:rsidRDefault="004920D8" w:rsidP="00D64955">
            <w:pPr>
              <w:spacing w:before="0" w:after="0"/>
              <w:jc w:val="center"/>
              <w:rPr>
                <w:color w:val="000000"/>
                <w:sz w:val="14"/>
                <w:szCs w:val="14"/>
              </w:rPr>
            </w:pPr>
          </w:p>
        </w:tc>
        <w:tc>
          <w:tcPr>
            <w:tcW w:w="408" w:type="dxa"/>
            <w:vMerge w:val="restart"/>
            <w:shd w:val="clear" w:color="auto" w:fill="F3F9FA"/>
            <w:vAlign w:val="center"/>
          </w:tcPr>
          <w:p w14:paraId="07B04C1E" w14:textId="77777777" w:rsidR="004920D8" w:rsidRPr="00F45F13" w:rsidRDefault="004920D8" w:rsidP="00D64955">
            <w:pPr>
              <w:spacing w:before="0" w:after="0"/>
              <w:jc w:val="center"/>
              <w:rPr>
                <w:color w:val="000000"/>
                <w:sz w:val="14"/>
                <w:szCs w:val="14"/>
              </w:rPr>
            </w:pPr>
          </w:p>
        </w:tc>
        <w:tc>
          <w:tcPr>
            <w:tcW w:w="416" w:type="dxa"/>
            <w:vMerge w:val="restart"/>
            <w:shd w:val="clear" w:color="auto" w:fill="F3F9FA"/>
            <w:vAlign w:val="center"/>
          </w:tcPr>
          <w:p w14:paraId="1164DC3D" w14:textId="77777777" w:rsidR="004920D8" w:rsidRPr="00F45F13" w:rsidRDefault="004920D8" w:rsidP="00D64955">
            <w:pPr>
              <w:spacing w:before="0" w:after="0"/>
              <w:jc w:val="center"/>
              <w:rPr>
                <w:color w:val="000000"/>
                <w:sz w:val="14"/>
                <w:szCs w:val="14"/>
              </w:rPr>
            </w:pPr>
          </w:p>
        </w:tc>
        <w:tc>
          <w:tcPr>
            <w:tcW w:w="418" w:type="dxa"/>
            <w:vMerge w:val="restart"/>
            <w:shd w:val="clear" w:color="auto" w:fill="F3F9FA"/>
            <w:vAlign w:val="center"/>
          </w:tcPr>
          <w:p w14:paraId="6561D29F"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408" w:type="dxa"/>
            <w:vMerge w:val="restart"/>
            <w:shd w:val="clear" w:color="auto" w:fill="F3F9FA"/>
            <w:vAlign w:val="center"/>
          </w:tcPr>
          <w:p w14:paraId="74D9FC05"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69A638F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8" w:type="dxa"/>
            <w:vMerge w:val="restart"/>
            <w:shd w:val="clear" w:color="auto" w:fill="F3F9FA"/>
            <w:vAlign w:val="center"/>
          </w:tcPr>
          <w:p w14:paraId="28E50E6A" w14:textId="77777777" w:rsidR="004920D8" w:rsidRPr="00F45F13" w:rsidRDefault="004920D8" w:rsidP="00D64955">
            <w:pPr>
              <w:spacing w:before="0" w:after="0"/>
              <w:jc w:val="center"/>
              <w:rPr>
                <w:color w:val="000000"/>
                <w:sz w:val="14"/>
                <w:szCs w:val="14"/>
              </w:rPr>
            </w:pPr>
          </w:p>
        </w:tc>
        <w:tc>
          <w:tcPr>
            <w:tcW w:w="410" w:type="dxa"/>
            <w:vMerge w:val="restart"/>
            <w:shd w:val="clear" w:color="auto" w:fill="F3F9FA"/>
            <w:vAlign w:val="center"/>
          </w:tcPr>
          <w:p w14:paraId="7666BD70" w14:textId="77777777" w:rsidR="004920D8" w:rsidRPr="00F45F13" w:rsidRDefault="004920D8" w:rsidP="00D64955">
            <w:pPr>
              <w:spacing w:before="0" w:after="0"/>
              <w:jc w:val="center"/>
              <w:rPr>
                <w:color w:val="000000"/>
                <w:sz w:val="14"/>
                <w:szCs w:val="14"/>
              </w:rPr>
            </w:pPr>
          </w:p>
        </w:tc>
        <w:tc>
          <w:tcPr>
            <w:tcW w:w="422" w:type="dxa"/>
            <w:vMerge w:val="restart"/>
            <w:shd w:val="clear" w:color="auto" w:fill="F3F9FA"/>
            <w:vAlign w:val="center"/>
          </w:tcPr>
          <w:p w14:paraId="5E7E7616"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107568DF" w14:textId="77777777" w:rsidTr="00D64955">
        <w:trPr>
          <w:trHeight w:val="170"/>
          <w:jc w:val="center"/>
        </w:trPr>
        <w:tc>
          <w:tcPr>
            <w:tcW w:w="836" w:type="dxa"/>
            <w:vMerge/>
            <w:shd w:val="clear" w:color="auto" w:fill="auto"/>
            <w:noWrap/>
            <w:vAlign w:val="center"/>
          </w:tcPr>
          <w:p w14:paraId="6DB756A3" w14:textId="77777777" w:rsidR="004920D8" w:rsidRPr="00880D29" w:rsidRDefault="004920D8" w:rsidP="00D64955">
            <w:pPr>
              <w:spacing w:before="0" w:after="0"/>
              <w:ind w:firstLine="560"/>
              <w:jc w:val="center"/>
              <w:rPr>
                <w:color w:val="000000"/>
                <w:sz w:val="14"/>
                <w:szCs w:val="14"/>
              </w:rPr>
            </w:pPr>
          </w:p>
        </w:tc>
        <w:tc>
          <w:tcPr>
            <w:tcW w:w="1287" w:type="dxa"/>
            <w:vMerge/>
            <w:shd w:val="clear" w:color="auto" w:fill="F3F9FA"/>
            <w:noWrap/>
            <w:vAlign w:val="center"/>
          </w:tcPr>
          <w:p w14:paraId="2D838A4D" w14:textId="77777777" w:rsidR="004920D8" w:rsidRPr="00880D29" w:rsidRDefault="004920D8" w:rsidP="00D64955">
            <w:pPr>
              <w:spacing w:before="0" w:after="0"/>
              <w:jc w:val="center"/>
              <w:rPr>
                <w:color w:val="000000"/>
                <w:sz w:val="14"/>
                <w:szCs w:val="14"/>
              </w:rPr>
            </w:pPr>
          </w:p>
        </w:tc>
        <w:tc>
          <w:tcPr>
            <w:tcW w:w="1079" w:type="dxa"/>
            <w:vMerge/>
            <w:shd w:val="clear" w:color="auto" w:fill="F3F9FA"/>
            <w:noWrap/>
            <w:vAlign w:val="center"/>
          </w:tcPr>
          <w:p w14:paraId="2A5D72C8" w14:textId="77777777" w:rsidR="004920D8" w:rsidRPr="00880D29" w:rsidRDefault="004920D8" w:rsidP="00D64955">
            <w:pPr>
              <w:spacing w:before="0" w:after="0"/>
              <w:jc w:val="center"/>
              <w:rPr>
                <w:color w:val="000000"/>
                <w:sz w:val="14"/>
                <w:szCs w:val="14"/>
              </w:rPr>
            </w:pPr>
          </w:p>
        </w:tc>
        <w:tc>
          <w:tcPr>
            <w:tcW w:w="1576" w:type="dxa"/>
            <w:vMerge/>
            <w:shd w:val="clear" w:color="auto" w:fill="F3F9FA"/>
            <w:noWrap/>
            <w:vAlign w:val="center"/>
          </w:tcPr>
          <w:p w14:paraId="5E092F15" w14:textId="77777777" w:rsidR="004920D8" w:rsidRPr="00880D29" w:rsidRDefault="004920D8" w:rsidP="00D64955">
            <w:pPr>
              <w:spacing w:before="0" w:after="0"/>
              <w:jc w:val="center"/>
              <w:rPr>
                <w:color w:val="000000"/>
                <w:sz w:val="14"/>
                <w:szCs w:val="14"/>
              </w:rPr>
            </w:pPr>
          </w:p>
        </w:tc>
        <w:tc>
          <w:tcPr>
            <w:tcW w:w="674" w:type="dxa"/>
            <w:shd w:val="clear" w:color="auto" w:fill="F3F9FA"/>
            <w:noWrap/>
            <w:vAlign w:val="center"/>
          </w:tcPr>
          <w:p w14:paraId="21601CF6" w14:textId="77777777" w:rsidR="004920D8" w:rsidRPr="00880D29" w:rsidRDefault="004920D8" w:rsidP="00D64955">
            <w:pPr>
              <w:spacing w:before="0" w:after="0"/>
              <w:jc w:val="center"/>
              <w:rPr>
                <w:color w:val="000000"/>
                <w:sz w:val="14"/>
                <w:szCs w:val="14"/>
              </w:rPr>
            </w:pPr>
            <w:r w:rsidRPr="00880D29">
              <w:rPr>
                <w:color w:val="000000"/>
                <w:sz w:val="14"/>
                <w:szCs w:val="14"/>
              </w:rPr>
              <w:t>UG2*</w:t>
            </w:r>
          </w:p>
        </w:tc>
        <w:tc>
          <w:tcPr>
            <w:tcW w:w="1579" w:type="dxa"/>
            <w:shd w:val="clear" w:color="auto" w:fill="F3F9FA"/>
            <w:noWrap/>
            <w:vAlign w:val="center"/>
          </w:tcPr>
          <w:p w14:paraId="7F43C528" w14:textId="77777777" w:rsidR="004920D8" w:rsidRPr="00880D29" w:rsidRDefault="004920D8" w:rsidP="00D64955">
            <w:pPr>
              <w:spacing w:before="0" w:after="0"/>
              <w:jc w:val="center"/>
              <w:rPr>
                <w:color w:val="000000"/>
                <w:sz w:val="14"/>
                <w:szCs w:val="14"/>
              </w:rPr>
            </w:pPr>
            <w:r w:rsidRPr="00880D29">
              <w:rPr>
                <w:color w:val="000000"/>
                <w:sz w:val="14"/>
                <w:szCs w:val="14"/>
              </w:rPr>
              <w:t>Urangan</w:t>
            </w:r>
          </w:p>
        </w:tc>
        <w:tc>
          <w:tcPr>
            <w:tcW w:w="486" w:type="dxa"/>
            <w:shd w:val="clear" w:color="auto" w:fill="F3F9FA"/>
            <w:noWrap/>
            <w:vAlign w:val="center"/>
          </w:tcPr>
          <w:p w14:paraId="65EF8DC9" w14:textId="77777777" w:rsidR="004920D8" w:rsidRPr="00880D29" w:rsidRDefault="004920D8" w:rsidP="00D64955">
            <w:pPr>
              <w:spacing w:before="0" w:after="0"/>
              <w:jc w:val="center"/>
              <w:rPr>
                <w:color w:val="000000"/>
                <w:sz w:val="14"/>
                <w:szCs w:val="14"/>
              </w:rPr>
            </w:pPr>
            <w:r w:rsidRPr="00880D29">
              <w:rPr>
                <w:color w:val="000000"/>
                <w:sz w:val="14"/>
                <w:szCs w:val="14"/>
              </w:rPr>
              <w:t>25°</w:t>
            </w:r>
          </w:p>
        </w:tc>
        <w:tc>
          <w:tcPr>
            <w:tcW w:w="830" w:type="dxa"/>
            <w:shd w:val="clear" w:color="auto" w:fill="F3F9FA"/>
            <w:noWrap/>
            <w:vAlign w:val="center"/>
          </w:tcPr>
          <w:p w14:paraId="321F3468" w14:textId="77777777" w:rsidR="004920D8" w:rsidRPr="00880D29" w:rsidRDefault="004920D8" w:rsidP="00D64955">
            <w:pPr>
              <w:spacing w:before="0" w:after="0"/>
              <w:jc w:val="center"/>
              <w:rPr>
                <w:color w:val="000000"/>
                <w:sz w:val="14"/>
                <w:szCs w:val="14"/>
              </w:rPr>
            </w:pPr>
            <w:r w:rsidRPr="00880D29">
              <w:rPr>
                <w:color w:val="000000"/>
                <w:sz w:val="14"/>
                <w:szCs w:val="14"/>
              </w:rPr>
              <w:t>18.197</w:t>
            </w:r>
          </w:p>
        </w:tc>
        <w:tc>
          <w:tcPr>
            <w:tcW w:w="576" w:type="dxa"/>
            <w:shd w:val="clear" w:color="auto" w:fill="F3F9FA"/>
            <w:noWrap/>
            <w:vAlign w:val="center"/>
          </w:tcPr>
          <w:p w14:paraId="722A5232" w14:textId="77777777" w:rsidR="004920D8" w:rsidRPr="00880D29" w:rsidRDefault="004920D8" w:rsidP="00D64955">
            <w:pPr>
              <w:spacing w:before="0" w:after="0"/>
              <w:jc w:val="center"/>
              <w:rPr>
                <w:color w:val="000000"/>
                <w:sz w:val="14"/>
                <w:szCs w:val="14"/>
              </w:rPr>
            </w:pPr>
            <w:r w:rsidRPr="00880D29">
              <w:rPr>
                <w:color w:val="000000"/>
                <w:sz w:val="14"/>
                <w:szCs w:val="14"/>
              </w:rPr>
              <w:t>152°</w:t>
            </w:r>
          </w:p>
        </w:tc>
        <w:tc>
          <w:tcPr>
            <w:tcW w:w="830" w:type="dxa"/>
            <w:shd w:val="clear" w:color="auto" w:fill="F3F9FA"/>
            <w:noWrap/>
            <w:vAlign w:val="center"/>
          </w:tcPr>
          <w:p w14:paraId="5CA02EE4" w14:textId="77777777" w:rsidR="004920D8" w:rsidRPr="00880D29" w:rsidRDefault="004920D8" w:rsidP="00D64955">
            <w:pPr>
              <w:spacing w:before="0" w:after="0"/>
              <w:jc w:val="center"/>
              <w:rPr>
                <w:color w:val="000000"/>
                <w:sz w:val="14"/>
                <w:szCs w:val="14"/>
              </w:rPr>
            </w:pPr>
            <w:r w:rsidRPr="00880D29">
              <w:rPr>
                <w:color w:val="000000"/>
                <w:sz w:val="14"/>
                <w:szCs w:val="14"/>
              </w:rPr>
              <w:t>54.364</w:t>
            </w:r>
          </w:p>
        </w:tc>
        <w:tc>
          <w:tcPr>
            <w:tcW w:w="481" w:type="dxa"/>
            <w:vMerge/>
            <w:shd w:val="clear" w:color="auto" w:fill="F3F9FA"/>
            <w:noWrap/>
            <w:vAlign w:val="center"/>
          </w:tcPr>
          <w:p w14:paraId="0833BBDF" w14:textId="77777777" w:rsidR="004920D8" w:rsidRPr="00017A7E" w:rsidRDefault="004920D8" w:rsidP="00D64955">
            <w:pPr>
              <w:spacing w:before="0" w:after="0"/>
              <w:jc w:val="center"/>
              <w:rPr>
                <w:color w:val="000000"/>
                <w:sz w:val="14"/>
                <w:szCs w:val="14"/>
              </w:rPr>
            </w:pPr>
          </w:p>
        </w:tc>
        <w:tc>
          <w:tcPr>
            <w:tcW w:w="402" w:type="dxa"/>
            <w:vMerge/>
            <w:shd w:val="clear" w:color="auto" w:fill="F3F9FA"/>
          </w:tcPr>
          <w:p w14:paraId="43BB01B9" w14:textId="77777777" w:rsidR="004920D8" w:rsidRPr="00017A7E" w:rsidRDefault="004920D8" w:rsidP="00D64955">
            <w:pPr>
              <w:spacing w:before="0" w:after="0"/>
              <w:jc w:val="center"/>
              <w:rPr>
                <w:color w:val="000000"/>
                <w:sz w:val="14"/>
                <w:szCs w:val="14"/>
              </w:rPr>
            </w:pPr>
          </w:p>
        </w:tc>
        <w:tc>
          <w:tcPr>
            <w:tcW w:w="408" w:type="dxa"/>
            <w:vMerge/>
            <w:shd w:val="clear" w:color="auto" w:fill="F3F9FA"/>
          </w:tcPr>
          <w:p w14:paraId="783DFA62" w14:textId="77777777" w:rsidR="004920D8" w:rsidRPr="00017A7E" w:rsidRDefault="004920D8" w:rsidP="00D64955">
            <w:pPr>
              <w:spacing w:before="0" w:after="0"/>
              <w:jc w:val="center"/>
              <w:rPr>
                <w:color w:val="000000"/>
                <w:sz w:val="14"/>
                <w:szCs w:val="14"/>
              </w:rPr>
            </w:pPr>
          </w:p>
        </w:tc>
        <w:tc>
          <w:tcPr>
            <w:tcW w:w="416" w:type="dxa"/>
            <w:vMerge/>
            <w:shd w:val="clear" w:color="auto" w:fill="F3F9FA"/>
          </w:tcPr>
          <w:p w14:paraId="7CBB7C2E" w14:textId="77777777" w:rsidR="004920D8" w:rsidRPr="00017A7E" w:rsidRDefault="004920D8" w:rsidP="00D64955">
            <w:pPr>
              <w:spacing w:before="0" w:after="0"/>
              <w:jc w:val="center"/>
              <w:rPr>
                <w:color w:val="000000"/>
                <w:sz w:val="14"/>
                <w:szCs w:val="14"/>
              </w:rPr>
            </w:pPr>
          </w:p>
        </w:tc>
        <w:tc>
          <w:tcPr>
            <w:tcW w:w="418" w:type="dxa"/>
            <w:vMerge/>
            <w:shd w:val="clear" w:color="auto" w:fill="F3F9FA"/>
          </w:tcPr>
          <w:p w14:paraId="3F97F735" w14:textId="77777777" w:rsidR="004920D8" w:rsidRPr="00017A7E" w:rsidRDefault="004920D8" w:rsidP="00D64955">
            <w:pPr>
              <w:spacing w:before="0" w:after="0"/>
              <w:jc w:val="center"/>
              <w:rPr>
                <w:color w:val="000000"/>
                <w:sz w:val="14"/>
                <w:szCs w:val="14"/>
              </w:rPr>
            </w:pPr>
          </w:p>
        </w:tc>
        <w:tc>
          <w:tcPr>
            <w:tcW w:w="408" w:type="dxa"/>
            <w:vMerge/>
            <w:shd w:val="clear" w:color="auto" w:fill="F3F9FA"/>
          </w:tcPr>
          <w:p w14:paraId="43F387E4" w14:textId="77777777" w:rsidR="004920D8" w:rsidRPr="00017A7E" w:rsidRDefault="004920D8" w:rsidP="00D64955">
            <w:pPr>
              <w:spacing w:before="0" w:after="0"/>
              <w:jc w:val="center"/>
              <w:rPr>
                <w:color w:val="000000"/>
                <w:sz w:val="14"/>
                <w:szCs w:val="14"/>
              </w:rPr>
            </w:pPr>
          </w:p>
        </w:tc>
        <w:tc>
          <w:tcPr>
            <w:tcW w:w="422" w:type="dxa"/>
            <w:vMerge/>
            <w:shd w:val="clear" w:color="auto" w:fill="F3F9FA"/>
          </w:tcPr>
          <w:p w14:paraId="70B11549" w14:textId="77777777" w:rsidR="004920D8" w:rsidRPr="00017A7E" w:rsidRDefault="004920D8" w:rsidP="00D64955">
            <w:pPr>
              <w:spacing w:before="0" w:after="0"/>
              <w:jc w:val="center"/>
              <w:rPr>
                <w:color w:val="000000"/>
                <w:sz w:val="14"/>
                <w:szCs w:val="14"/>
              </w:rPr>
            </w:pPr>
          </w:p>
        </w:tc>
        <w:tc>
          <w:tcPr>
            <w:tcW w:w="398" w:type="dxa"/>
            <w:vMerge/>
            <w:shd w:val="clear" w:color="auto" w:fill="F3F9FA"/>
          </w:tcPr>
          <w:p w14:paraId="548A7B18" w14:textId="77777777" w:rsidR="004920D8" w:rsidRPr="00017A7E" w:rsidRDefault="004920D8" w:rsidP="00D64955">
            <w:pPr>
              <w:spacing w:before="0" w:after="0"/>
              <w:jc w:val="center"/>
              <w:rPr>
                <w:color w:val="000000"/>
                <w:sz w:val="14"/>
                <w:szCs w:val="14"/>
              </w:rPr>
            </w:pPr>
          </w:p>
        </w:tc>
        <w:tc>
          <w:tcPr>
            <w:tcW w:w="410" w:type="dxa"/>
            <w:vMerge/>
            <w:shd w:val="clear" w:color="auto" w:fill="F3F9FA"/>
          </w:tcPr>
          <w:p w14:paraId="5FA11F02" w14:textId="77777777" w:rsidR="004920D8" w:rsidRPr="00017A7E" w:rsidRDefault="004920D8" w:rsidP="00D64955">
            <w:pPr>
              <w:spacing w:before="0" w:after="0"/>
              <w:jc w:val="center"/>
              <w:rPr>
                <w:color w:val="000000"/>
                <w:sz w:val="14"/>
                <w:szCs w:val="14"/>
              </w:rPr>
            </w:pPr>
          </w:p>
        </w:tc>
        <w:tc>
          <w:tcPr>
            <w:tcW w:w="422" w:type="dxa"/>
            <w:vMerge/>
            <w:shd w:val="clear" w:color="auto" w:fill="F3F9FA"/>
          </w:tcPr>
          <w:p w14:paraId="432F8105" w14:textId="77777777" w:rsidR="004920D8" w:rsidRPr="00017A7E" w:rsidRDefault="004920D8" w:rsidP="00D64955">
            <w:pPr>
              <w:spacing w:before="0" w:after="0"/>
              <w:jc w:val="center"/>
              <w:rPr>
                <w:color w:val="000000"/>
                <w:sz w:val="14"/>
                <w:szCs w:val="14"/>
              </w:rPr>
            </w:pPr>
          </w:p>
        </w:tc>
      </w:tr>
    </w:tbl>
    <w:p w14:paraId="0344F481" w14:textId="3D2EB992" w:rsidR="004920D8" w:rsidRDefault="004920D8" w:rsidP="004920D8">
      <w:pPr>
        <w:spacing w:before="0" w:after="0"/>
        <w:rPr>
          <w:i/>
          <w:color w:val="000000"/>
          <w:sz w:val="16"/>
          <w:szCs w:val="16"/>
          <w:lang w:val="it-IT"/>
        </w:rPr>
      </w:pPr>
      <w:r w:rsidRPr="00484F6F">
        <w:rPr>
          <w:i/>
          <w:color w:val="000000"/>
          <w:sz w:val="16"/>
          <w:szCs w:val="16"/>
        </w:rPr>
        <w:t>* indicates presence adjacent, but not within, 50m x 50m site.</w:t>
      </w:r>
      <w:r>
        <w:rPr>
          <w:i/>
          <w:color w:val="000000"/>
          <w:sz w:val="16"/>
          <w:szCs w:val="16"/>
        </w:rPr>
        <w:t xml:space="preserve"> </w:t>
      </w:r>
      <w:r w:rsidRPr="00484F6F">
        <w:rPr>
          <w:i/>
          <w:color w:val="000000"/>
          <w:sz w:val="16"/>
          <w:szCs w:val="16"/>
          <w:lang w:val="it-IT"/>
        </w:rPr>
        <w:t xml:space="preserve">Zostera muelleri = Zostera muelleri </w:t>
      </w:r>
      <w:r w:rsidRPr="00484F6F">
        <w:rPr>
          <w:color w:val="000000"/>
          <w:sz w:val="16"/>
          <w:szCs w:val="16"/>
          <w:lang w:val="it-IT"/>
        </w:rPr>
        <w:t>subsp</w:t>
      </w:r>
      <w:r w:rsidRPr="00484F6F">
        <w:rPr>
          <w:i/>
          <w:color w:val="000000"/>
          <w:sz w:val="16"/>
          <w:szCs w:val="16"/>
          <w:lang w:val="it-IT"/>
        </w:rPr>
        <w:t>. capricorni, as revision of Zostera capricorni (</w:t>
      </w:r>
      <w:hyperlink w:anchor="_ENREF_120" w:tooltip="Jacobs, 2006 #9168" w:history="1">
        <w:r w:rsidR="00305FE7" w:rsidRPr="00484F6F">
          <w:rPr>
            <w:i/>
            <w:color w:val="000000"/>
            <w:sz w:val="16"/>
            <w:szCs w:val="16"/>
            <w:lang w:val="it-IT"/>
          </w:rPr>
          <w:fldChar w:fldCharType="begin"/>
        </w:r>
        <w:r w:rsidR="00305FE7">
          <w:rPr>
            <w:i/>
            <w:color w:val="000000"/>
            <w:sz w:val="16"/>
            <w:szCs w:val="16"/>
            <w:lang w:val="it-IT"/>
          </w:rPr>
          <w:instrText xml:space="preserve"> ADDIN EN.CITE &lt;EndNote&gt;&lt;Cite&gt;&lt;Author&gt;Jacobs&lt;/Author&gt;&lt;Year&gt;2006&lt;/Year&gt;&lt;RecNum&gt;9168&lt;/RecNum&gt;&lt;DisplayText&gt;Jacobs&lt;style face="italic"&gt; et al.&lt;/style&gt; 2006&lt;/DisplayText&gt;&lt;record&gt;&lt;rec-number&gt;9168&lt;/rec-number&gt;&lt;foreign-keys&gt;&lt;key app="EN" db-id="0eve55x9y5vfd6e9dacxtew4eatve2dzds9a" timestamp="1374984835"&gt;9168&lt;/key&gt;&lt;/foreign-keys&gt;&lt;ref-type name="Journal Article"&gt;17&lt;/ref-type&gt;&lt;contributors&gt;&lt;authors&gt;&lt;author&gt;Jacobs, S.W.L.&lt;/author&gt;&lt;author&gt;Les, D.H.&lt;/author&gt;&lt;author&gt;Moody, M.L.&lt;/author&gt;&lt;/authors&gt;&lt;/contributors&gt;&lt;titles&gt;&lt;title&gt;New combinations in Australasian Zostera (Zosteraceae)&lt;/title&gt;&lt;secondary-title&gt;Telopea&lt;/secondary-title&gt;&lt;/titles&gt;&lt;periodical&gt;&lt;full-title&gt;Telopea&lt;/full-title&gt;&lt;/periodical&gt;&lt;pages&gt;127-128&lt;/pages&gt;&lt;volume&gt;11&lt;/volume&gt;&lt;number&gt;2&lt;/number&gt;&lt;dates&gt;&lt;year&gt;2006&lt;/year&gt;&lt;/dates&gt;&lt;urls&gt;&lt;/urls&gt;&lt;/record&gt;&lt;/Cite&gt;&lt;/EndNote&gt;</w:instrText>
        </w:r>
        <w:r w:rsidR="00305FE7" w:rsidRPr="00484F6F">
          <w:rPr>
            <w:i/>
            <w:color w:val="000000"/>
            <w:sz w:val="16"/>
            <w:szCs w:val="16"/>
            <w:lang w:val="it-IT"/>
          </w:rPr>
          <w:fldChar w:fldCharType="separate"/>
        </w:r>
        <w:r w:rsidR="00305FE7" w:rsidRPr="00484F6F">
          <w:rPr>
            <w:i/>
            <w:noProof/>
            <w:color w:val="000000"/>
            <w:sz w:val="16"/>
            <w:szCs w:val="16"/>
            <w:lang w:val="it-IT"/>
          </w:rPr>
          <w:t>Jacobs et al. 2006</w:t>
        </w:r>
        <w:r w:rsidR="00305FE7" w:rsidRPr="00484F6F">
          <w:rPr>
            <w:i/>
            <w:color w:val="000000"/>
            <w:sz w:val="16"/>
            <w:szCs w:val="16"/>
            <w:lang w:val="it-IT"/>
          </w:rPr>
          <w:fldChar w:fldCharType="end"/>
        </w:r>
      </w:hyperlink>
      <w:r w:rsidRPr="00484F6F">
        <w:rPr>
          <w:i/>
          <w:color w:val="000000"/>
          <w:sz w:val="16"/>
          <w:szCs w:val="16"/>
          <w:lang w:val="it-IT"/>
        </w:rPr>
        <w:t xml:space="preserve">) resulted in classification to subspecies. </w:t>
      </w:r>
    </w:p>
    <w:p w14:paraId="0764A2E7" w14:textId="77777777" w:rsidR="004920D8" w:rsidRPr="008B4845" w:rsidRDefault="004920D8" w:rsidP="004920D8">
      <w:pPr>
        <w:rPr>
          <w:color w:val="000000"/>
          <w:szCs w:val="22"/>
        </w:rPr>
      </w:pPr>
    </w:p>
    <w:p w14:paraId="3ACA2793" w14:textId="40F63A0C" w:rsidR="004920D8" w:rsidRPr="00015190" w:rsidRDefault="004920D8" w:rsidP="004920D8">
      <w:pPr>
        <w:keepNext/>
        <w:jc w:val="center"/>
        <w:rPr>
          <w:i/>
          <w:vanish/>
          <w:color w:val="000000"/>
          <w:szCs w:val="22"/>
          <w:specVanish/>
        </w:rPr>
      </w:pPr>
      <w:bookmarkStart w:id="57" w:name="_Ref461186562"/>
      <w:bookmarkStart w:id="58" w:name="_Toc516053428"/>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F87DF9">
        <w:rPr>
          <w:noProof/>
          <w:color w:val="000000"/>
          <w:szCs w:val="22"/>
        </w:rPr>
        <w:t>4</w:t>
      </w:r>
      <w:r w:rsidRPr="00015190">
        <w:rPr>
          <w:color w:val="000000"/>
          <w:szCs w:val="22"/>
        </w:rPr>
        <w:fldChar w:fldCharType="end"/>
      </w:r>
      <w:bookmarkEnd w:id="57"/>
      <w:r w:rsidRPr="00015190">
        <w:rPr>
          <w:i/>
          <w:color w:val="000000"/>
          <w:szCs w:val="22"/>
        </w:rPr>
        <w:t xml:space="preserve">. </w:t>
      </w:r>
      <w:r>
        <w:rPr>
          <w:i/>
          <w:color w:val="000000"/>
          <w:szCs w:val="22"/>
        </w:rPr>
        <w:t>Details of additional</w:t>
      </w:r>
      <w:r w:rsidRPr="00015190">
        <w:rPr>
          <w:i/>
          <w:color w:val="000000"/>
          <w:szCs w:val="22"/>
        </w:rPr>
        <w:t xml:space="preserve"> inshore seagrass long-term monitoring </w:t>
      </w:r>
      <w:r>
        <w:rPr>
          <w:i/>
          <w:color w:val="000000"/>
          <w:szCs w:val="22"/>
        </w:rPr>
        <w:t>sites from the Seagrass-Watch and QPWS drop-camera programs, including p</w:t>
      </w:r>
      <w:r w:rsidRPr="00015190">
        <w:rPr>
          <w:i/>
          <w:color w:val="000000"/>
          <w:szCs w:val="22"/>
        </w:rPr>
        <w:t>resence of foundation (</w:t>
      </w:r>
      <w:r w:rsidRPr="0070343A">
        <w:rPr>
          <w:color w:val="000000"/>
          <w:sz w:val="16"/>
          <w:szCs w:val="16"/>
        </w:rPr>
        <w:sym w:font="Wingdings" w:char="F06E"/>
      </w:r>
      <w:r w:rsidRPr="00015190">
        <w:rPr>
          <w:i/>
          <w:color w:val="000000"/>
          <w:szCs w:val="22"/>
        </w:rPr>
        <w:t>) and other (</w:t>
      </w:r>
      <w:r w:rsidRPr="0070343A">
        <w:rPr>
          <w:color w:val="000000"/>
          <w:sz w:val="16"/>
          <w:szCs w:val="16"/>
        </w:rPr>
        <w:sym w:font="Wingdings" w:char="F0A8"/>
      </w:r>
      <w:r w:rsidRPr="00015190">
        <w:rPr>
          <w:i/>
          <w:color w:val="000000"/>
          <w:szCs w:val="22"/>
        </w:rPr>
        <w:t>) seagrass species.</w:t>
      </w:r>
      <w:bookmarkEnd w:id="58"/>
      <w:r w:rsidRPr="00015190">
        <w:rPr>
          <w:i/>
          <w:color w:val="000000"/>
          <w:szCs w:val="22"/>
        </w:rPr>
        <w:t xml:space="preserve"> </w:t>
      </w:r>
    </w:p>
    <w:p w14:paraId="785D10F3" w14:textId="77777777" w:rsidR="004920D8" w:rsidRPr="00015190" w:rsidRDefault="004920D8" w:rsidP="004920D8">
      <w:pPr>
        <w:spacing w:before="0" w:after="0"/>
        <w:rPr>
          <w:i/>
          <w:color w:val="000000"/>
          <w:szCs w:val="22"/>
        </w:rPr>
      </w:pPr>
      <w:r w:rsidRPr="00015190">
        <w:rPr>
          <w:i/>
          <w:color w:val="000000"/>
          <w:szCs w:val="22"/>
        </w:rPr>
        <w:t>NRM region from www.nrm.gov.au. * = intertidal, ^=subtidal</w:t>
      </w:r>
      <w:r>
        <w:rPr>
          <w:i/>
          <w:color w:val="000000"/>
          <w:szCs w:val="22"/>
        </w:rPr>
        <w:t>.</w:t>
      </w:r>
    </w:p>
    <w:tbl>
      <w:tblPr>
        <w:tblW w:w="135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1826"/>
        <w:gridCol w:w="1030"/>
        <w:gridCol w:w="1445"/>
        <w:gridCol w:w="619"/>
        <w:gridCol w:w="1202"/>
        <w:gridCol w:w="463"/>
        <w:gridCol w:w="830"/>
        <w:gridCol w:w="546"/>
        <w:gridCol w:w="830"/>
        <w:gridCol w:w="459"/>
        <w:gridCol w:w="357"/>
        <w:gridCol w:w="370"/>
        <w:gridCol w:w="393"/>
        <w:gridCol w:w="399"/>
        <w:gridCol w:w="371"/>
        <w:gridCol w:w="396"/>
        <w:gridCol w:w="340"/>
        <w:gridCol w:w="374"/>
        <w:gridCol w:w="406"/>
      </w:tblGrid>
      <w:tr w:rsidR="004920D8" w:rsidRPr="00015190" w14:paraId="4F1F078E" w14:textId="77777777" w:rsidTr="00D64955">
        <w:trPr>
          <w:trHeight w:val="170"/>
          <w:jc w:val="center"/>
        </w:trPr>
        <w:tc>
          <w:tcPr>
            <w:tcW w:w="900" w:type="dxa"/>
            <w:shd w:val="clear" w:color="auto" w:fill="BBE0E3"/>
          </w:tcPr>
          <w:p w14:paraId="2560340A"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GBR region</w:t>
            </w:r>
          </w:p>
        </w:tc>
        <w:tc>
          <w:tcPr>
            <w:tcW w:w="1826" w:type="dxa"/>
            <w:shd w:val="clear" w:color="auto" w:fill="BBE0E3"/>
          </w:tcPr>
          <w:p w14:paraId="76B91D8D"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NRM region (</w:t>
            </w:r>
            <w:r w:rsidRPr="00880D29">
              <w:rPr>
                <w:rFonts w:cs="Arial"/>
                <w:b/>
                <w:bCs/>
                <w:i/>
                <w:color w:val="000000"/>
                <w:sz w:val="14"/>
                <w:szCs w:val="14"/>
              </w:rPr>
              <w:t>Board</w:t>
            </w:r>
            <w:r w:rsidRPr="00880D29">
              <w:rPr>
                <w:rFonts w:cs="Arial"/>
                <w:b/>
                <w:bCs/>
                <w:color w:val="000000"/>
                <w:sz w:val="14"/>
                <w:szCs w:val="14"/>
              </w:rPr>
              <w:t>)</w:t>
            </w:r>
          </w:p>
        </w:tc>
        <w:tc>
          <w:tcPr>
            <w:tcW w:w="1030" w:type="dxa"/>
            <w:shd w:val="clear" w:color="auto" w:fill="BBE0E3"/>
          </w:tcPr>
          <w:p w14:paraId="36AF93B9" w14:textId="77777777" w:rsidR="004920D8" w:rsidRPr="00880D29" w:rsidRDefault="004920D8" w:rsidP="00D64955">
            <w:pPr>
              <w:spacing w:before="0" w:after="0"/>
              <w:jc w:val="center"/>
              <w:rPr>
                <w:rFonts w:cs="Arial"/>
                <w:b/>
                <w:bCs/>
                <w:color w:val="000000"/>
                <w:sz w:val="14"/>
                <w:szCs w:val="14"/>
              </w:rPr>
            </w:pPr>
            <w:r>
              <w:rPr>
                <w:rFonts w:cs="Arial"/>
                <w:b/>
                <w:bCs/>
                <w:color w:val="000000"/>
                <w:sz w:val="14"/>
                <w:szCs w:val="14"/>
              </w:rPr>
              <w:t>Basin</w:t>
            </w:r>
          </w:p>
        </w:tc>
        <w:tc>
          <w:tcPr>
            <w:tcW w:w="1445" w:type="dxa"/>
            <w:shd w:val="clear" w:color="auto" w:fill="BBE0E3"/>
            <w:vAlign w:val="center"/>
          </w:tcPr>
          <w:p w14:paraId="08C2F075"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Monitoring location</w:t>
            </w:r>
          </w:p>
        </w:tc>
        <w:tc>
          <w:tcPr>
            <w:tcW w:w="1821" w:type="dxa"/>
            <w:gridSpan w:val="2"/>
            <w:shd w:val="clear" w:color="auto" w:fill="BBE0E3"/>
            <w:noWrap/>
            <w:vAlign w:val="center"/>
          </w:tcPr>
          <w:p w14:paraId="398F8096"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Site</w:t>
            </w:r>
          </w:p>
        </w:tc>
        <w:tc>
          <w:tcPr>
            <w:tcW w:w="1293" w:type="dxa"/>
            <w:gridSpan w:val="2"/>
            <w:shd w:val="clear" w:color="auto" w:fill="BBE0E3"/>
            <w:noWrap/>
            <w:vAlign w:val="center"/>
          </w:tcPr>
          <w:p w14:paraId="5144CA4A" w14:textId="77777777" w:rsidR="004920D8" w:rsidRPr="00880D29" w:rsidRDefault="004920D8" w:rsidP="00D64955">
            <w:pPr>
              <w:spacing w:before="0" w:after="0"/>
              <w:jc w:val="center"/>
              <w:rPr>
                <w:rFonts w:cs="Arial"/>
                <w:b/>
                <w:bCs/>
                <w:color w:val="000000"/>
                <w:sz w:val="14"/>
                <w:szCs w:val="14"/>
              </w:rPr>
            </w:pPr>
            <w:r w:rsidRPr="00880D29">
              <w:rPr>
                <w:rFonts w:cs="Arial"/>
                <w:b/>
                <w:bCs/>
                <w:color w:val="000000"/>
                <w:sz w:val="14"/>
                <w:szCs w:val="14"/>
              </w:rPr>
              <w:t>Latitude</w:t>
            </w:r>
          </w:p>
        </w:tc>
        <w:tc>
          <w:tcPr>
            <w:tcW w:w="1376" w:type="dxa"/>
            <w:gridSpan w:val="2"/>
            <w:shd w:val="clear" w:color="auto" w:fill="BBE0E3"/>
            <w:noWrap/>
            <w:vAlign w:val="center"/>
          </w:tcPr>
          <w:p w14:paraId="571163E1" w14:textId="77777777" w:rsidR="004920D8" w:rsidRPr="00880D29" w:rsidRDefault="004920D8" w:rsidP="00D64955">
            <w:pPr>
              <w:spacing w:before="0" w:after="0"/>
              <w:jc w:val="center"/>
              <w:rPr>
                <w:rFonts w:cs="Arial"/>
                <w:b/>
                <w:color w:val="000000"/>
                <w:sz w:val="14"/>
                <w:szCs w:val="14"/>
              </w:rPr>
            </w:pPr>
            <w:r w:rsidRPr="00880D29">
              <w:rPr>
                <w:rFonts w:cs="Arial"/>
                <w:b/>
                <w:bCs/>
                <w:color w:val="000000"/>
                <w:sz w:val="14"/>
                <w:szCs w:val="14"/>
              </w:rPr>
              <w:t>Longitude</w:t>
            </w:r>
          </w:p>
        </w:tc>
        <w:tc>
          <w:tcPr>
            <w:tcW w:w="459" w:type="dxa"/>
            <w:shd w:val="clear" w:color="auto" w:fill="BBE0E3"/>
            <w:noWrap/>
            <w:vAlign w:val="center"/>
          </w:tcPr>
          <w:p w14:paraId="51319743" w14:textId="77777777" w:rsidR="004920D8" w:rsidRPr="00017A7E" w:rsidRDefault="004920D8" w:rsidP="00D64955">
            <w:pPr>
              <w:spacing w:before="0" w:after="0"/>
              <w:jc w:val="center"/>
              <w:rPr>
                <w:rFonts w:cs="Arial"/>
                <w:b/>
                <w:bCs/>
                <w:color w:val="000000"/>
                <w:sz w:val="14"/>
                <w:szCs w:val="14"/>
              </w:rPr>
            </w:pPr>
            <w:r>
              <w:rPr>
                <w:rFonts w:cs="Arial"/>
                <w:b/>
                <w:bCs/>
                <w:color w:val="000000"/>
                <w:sz w:val="14"/>
                <w:szCs w:val="14"/>
              </w:rPr>
              <w:t>CR</w:t>
            </w:r>
          </w:p>
        </w:tc>
        <w:tc>
          <w:tcPr>
            <w:tcW w:w="357" w:type="dxa"/>
            <w:shd w:val="clear" w:color="auto" w:fill="BBE0E3"/>
            <w:vAlign w:val="center"/>
          </w:tcPr>
          <w:p w14:paraId="7684CE16"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C</w:t>
            </w:r>
            <w:r>
              <w:rPr>
                <w:rFonts w:cs="Arial"/>
                <w:b/>
                <w:bCs/>
                <w:color w:val="000000"/>
                <w:sz w:val="14"/>
                <w:szCs w:val="14"/>
              </w:rPr>
              <w:t>S</w:t>
            </w:r>
          </w:p>
        </w:tc>
        <w:tc>
          <w:tcPr>
            <w:tcW w:w="370" w:type="dxa"/>
            <w:shd w:val="clear" w:color="auto" w:fill="BBE0E3"/>
            <w:vAlign w:val="center"/>
          </w:tcPr>
          <w:p w14:paraId="5FE31FA5"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E</w:t>
            </w:r>
            <w:r>
              <w:rPr>
                <w:rFonts w:cs="Arial"/>
                <w:b/>
                <w:bCs/>
                <w:color w:val="000000"/>
                <w:sz w:val="14"/>
                <w:szCs w:val="14"/>
              </w:rPr>
              <w:t>A</w:t>
            </w:r>
          </w:p>
        </w:tc>
        <w:tc>
          <w:tcPr>
            <w:tcW w:w="393" w:type="dxa"/>
            <w:shd w:val="clear" w:color="auto" w:fill="BBE0E3"/>
            <w:vAlign w:val="center"/>
          </w:tcPr>
          <w:p w14:paraId="2741EE4F"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D</w:t>
            </w:r>
          </w:p>
        </w:tc>
        <w:tc>
          <w:tcPr>
            <w:tcW w:w="399" w:type="dxa"/>
            <w:shd w:val="clear" w:color="auto" w:fill="BBE0E3"/>
            <w:vAlign w:val="center"/>
          </w:tcPr>
          <w:p w14:paraId="27601FB9"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O</w:t>
            </w:r>
          </w:p>
        </w:tc>
        <w:tc>
          <w:tcPr>
            <w:tcW w:w="371" w:type="dxa"/>
            <w:shd w:val="clear" w:color="auto" w:fill="BBE0E3"/>
            <w:vAlign w:val="center"/>
          </w:tcPr>
          <w:p w14:paraId="2DADB993"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S</w:t>
            </w:r>
          </w:p>
        </w:tc>
        <w:tc>
          <w:tcPr>
            <w:tcW w:w="396" w:type="dxa"/>
            <w:shd w:val="clear" w:color="auto" w:fill="BBE0E3"/>
            <w:vAlign w:val="center"/>
          </w:tcPr>
          <w:p w14:paraId="7CB50D2C"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U</w:t>
            </w:r>
          </w:p>
        </w:tc>
        <w:tc>
          <w:tcPr>
            <w:tcW w:w="340" w:type="dxa"/>
            <w:shd w:val="clear" w:color="auto" w:fill="BBE0E3"/>
            <w:vAlign w:val="center"/>
          </w:tcPr>
          <w:p w14:paraId="48C749D8"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S</w:t>
            </w:r>
            <w:r>
              <w:rPr>
                <w:rFonts w:cs="Arial"/>
                <w:b/>
                <w:bCs/>
                <w:color w:val="000000"/>
                <w:sz w:val="14"/>
                <w:szCs w:val="14"/>
              </w:rPr>
              <w:t>I</w:t>
            </w:r>
          </w:p>
        </w:tc>
        <w:tc>
          <w:tcPr>
            <w:tcW w:w="374" w:type="dxa"/>
            <w:shd w:val="clear" w:color="auto" w:fill="BBE0E3"/>
            <w:vAlign w:val="center"/>
          </w:tcPr>
          <w:p w14:paraId="2068BCDC"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T</w:t>
            </w:r>
            <w:r>
              <w:rPr>
                <w:rFonts w:cs="Arial"/>
                <w:b/>
                <w:bCs/>
                <w:color w:val="000000"/>
                <w:sz w:val="14"/>
                <w:szCs w:val="14"/>
              </w:rPr>
              <w:t>H</w:t>
            </w:r>
          </w:p>
        </w:tc>
        <w:tc>
          <w:tcPr>
            <w:tcW w:w="406" w:type="dxa"/>
            <w:shd w:val="clear" w:color="auto" w:fill="BBE0E3"/>
            <w:vAlign w:val="center"/>
          </w:tcPr>
          <w:p w14:paraId="6D221225" w14:textId="77777777" w:rsidR="004920D8" w:rsidRPr="00017A7E" w:rsidRDefault="004920D8" w:rsidP="00D64955">
            <w:pPr>
              <w:spacing w:before="0" w:after="0"/>
              <w:jc w:val="center"/>
              <w:rPr>
                <w:rFonts w:cs="Arial"/>
                <w:b/>
                <w:bCs/>
                <w:color w:val="000000"/>
                <w:sz w:val="14"/>
                <w:szCs w:val="14"/>
              </w:rPr>
            </w:pPr>
            <w:r w:rsidRPr="00017A7E">
              <w:rPr>
                <w:rFonts w:cs="Arial"/>
                <w:b/>
                <w:bCs/>
                <w:color w:val="000000"/>
                <w:sz w:val="14"/>
                <w:szCs w:val="14"/>
              </w:rPr>
              <w:t>Z</w:t>
            </w:r>
            <w:r>
              <w:rPr>
                <w:rFonts w:cs="Arial"/>
                <w:b/>
                <w:bCs/>
                <w:color w:val="000000"/>
                <w:sz w:val="14"/>
                <w:szCs w:val="14"/>
              </w:rPr>
              <w:t>M</w:t>
            </w:r>
          </w:p>
        </w:tc>
      </w:tr>
      <w:tr w:rsidR="004920D8" w:rsidRPr="00015190" w14:paraId="236F1A1C" w14:textId="77777777" w:rsidTr="00D64955">
        <w:trPr>
          <w:trHeight w:val="170"/>
          <w:jc w:val="center"/>
        </w:trPr>
        <w:tc>
          <w:tcPr>
            <w:tcW w:w="900" w:type="dxa"/>
            <w:vMerge w:val="restart"/>
            <w:shd w:val="clear" w:color="auto" w:fill="auto"/>
            <w:vAlign w:val="center"/>
          </w:tcPr>
          <w:p w14:paraId="7471C500" w14:textId="77777777" w:rsidR="004920D8" w:rsidRDefault="004920D8" w:rsidP="00D64955">
            <w:pPr>
              <w:spacing w:before="0" w:after="0"/>
              <w:jc w:val="center"/>
              <w:rPr>
                <w:color w:val="000000"/>
                <w:sz w:val="14"/>
                <w:szCs w:val="14"/>
              </w:rPr>
            </w:pPr>
            <w:r>
              <w:rPr>
                <w:color w:val="000000"/>
                <w:sz w:val="14"/>
                <w:szCs w:val="14"/>
              </w:rPr>
              <w:t>Far Northern</w:t>
            </w:r>
          </w:p>
        </w:tc>
        <w:tc>
          <w:tcPr>
            <w:tcW w:w="1826" w:type="dxa"/>
            <w:vMerge w:val="restart"/>
            <w:shd w:val="clear" w:color="auto" w:fill="E7F3F4"/>
            <w:vAlign w:val="center"/>
          </w:tcPr>
          <w:p w14:paraId="4B9F78DA" w14:textId="77777777" w:rsidR="004920D8" w:rsidRDefault="004920D8" w:rsidP="00D64955">
            <w:pPr>
              <w:spacing w:before="0" w:after="0"/>
              <w:jc w:val="center"/>
              <w:rPr>
                <w:color w:val="000000"/>
                <w:sz w:val="14"/>
                <w:szCs w:val="14"/>
              </w:rPr>
            </w:pPr>
            <w:r w:rsidRPr="00880D29">
              <w:rPr>
                <w:color w:val="000000"/>
                <w:sz w:val="14"/>
                <w:szCs w:val="14"/>
              </w:rPr>
              <w:t>Cape York</w:t>
            </w:r>
          </w:p>
          <w:p w14:paraId="3FEC13BE" w14:textId="77777777" w:rsidR="004920D8" w:rsidRPr="00880D29" w:rsidRDefault="004920D8" w:rsidP="00D64955">
            <w:pPr>
              <w:spacing w:before="0" w:after="0"/>
              <w:jc w:val="center"/>
              <w:rPr>
                <w:color w:val="000000"/>
                <w:sz w:val="14"/>
                <w:szCs w:val="14"/>
              </w:rPr>
            </w:pPr>
            <w:r w:rsidRPr="007C23BD">
              <w:rPr>
                <w:i/>
                <w:color w:val="000000"/>
                <w:sz w:val="14"/>
                <w:szCs w:val="14"/>
              </w:rPr>
              <w:t>(Cape York Nat Res Manage)</w:t>
            </w:r>
          </w:p>
        </w:tc>
        <w:tc>
          <w:tcPr>
            <w:tcW w:w="1030" w:type="dxa"/>
            <w:vMerge w:val="restart"/>
            <w:shd w:val="clear" w:color="auto" w:fill="E7F3F4"/>
            <w:vAlign w:val="center"/>
          </w:tcPr>
          <w:p w14:paraId="5EBE43FA" w14:textId="77777777" w:rsidR="004920D8" w:rsidRDefault="004920D8" w:rsidP="00D64955">
            <w:pPr>
              <w:spacing w:before="0" w:after="0"/>
              <w:jc w:val="center"/>
              <w:rPr>
                <w:color w:val="000000"/>
                <w:sz w:val="14"/>
                <w:szCs w:val="14"/>
              </w:rPr>
            </w:pPr>
            <w:r>
              <w:rPr>
                <w:color w:val="000000"/>
                <w:sz w:val="14"/>
                <w:szCs w:val="14"/>
              </w:rPr>
              <w:t>Lockhart</w:t>
            </w:r>
          </w:p>
        </w:tc>
        <w:tc>
          <w:tcPr>
            <w:tcW w:w="1445" w:type="dxa"/>
            <w:shd w:val="clear" w:color="auto" w:fill="E7F3F4"/>
            <w:noWrap/>
            <w:vAlign w:val="center"/>
          </w:tcPr>
          <w:p w14:paraId="4442B380" w14:textId="77777777" w:rsidR="004920D8" w:rsidRDefault="004920D8" w:rsidP="00D64955">
            <w:pPr>
              <w:spacing w:before="0" w:after="0"/>
              <w:jc w:val="center"/>
              <w:rPr>
                <w:color w:val="000000"/>
                <w:sz w:val="14"/>
                <w:szCs w:val="14"/>
              </w:rPr>
            </w:pPr>
            <w:r>
              <w:rPr>
                <w:color w:val="000000"/>
                <w:sz w:val="14"/>
                <w:szCs w:val="14"/>
              </w:rPr>
              <w:t>Weymouth Bay</w:t>
            </w:r>
          </w:p>
          <w:p w14:paraId="4DECFBA2" w14:textId="77777777" w:rsidR="004920D8" w:rsidRPr="009B3E3A" w:rsidRDefault="004920D8" w:rsidP="00D64955">
            <w:pPr>
              <w:spacing w:before="0" w:after="0"/>
              <w:jc w:val="center"/>
              <w:rPr>
                <w:i/>
                <w:color w:val="000000"/>
                <w:sz w:val="14"/>
                <w:szCs w:val="14"/>
              </w:rPr>
            </w:pPr>
            <w:r w:rsidRPr="009B3E3A">
              <w:rPr>
                <w:i/>
                <w:color w:val="000000"/>
                <w:sz w:val="14"/>
                <w:szCs w:val="14"/>
              </w:rPr>
              <w:t>reef</w:t>
            </w:r>
          </w:p>
        </w:tc>
        <w:tc>
          <w:tcPr>
            <w:tcW w:w="619" w:type="dxa"/>
            <w:shd w:val="clear" w:color="auto" w:fill="E7F3F4"/>
            <w:noWrap/>
            <w:vAlign w:val="center"/>
          </w:tcPr>
          <w:p w14:paraId="177E504B" w14:textId="77777777" w:rsidR="004920D8" w:rsidRDefault="004920D8" w:rsidP="00D64955">
            <w:pPr>
              <w:spacing w:before="0" w:after="0"/>
              <w:jc w:val="center"/>
              <w:rPr>
                <w:color w:val="000000"/>
                <w:sz w:val="14"/>
                <w:szCs w:val="14"/>
              </w:rPr>
            </w:pPr>
            <w:r>
              <w:rPr>
                <w:color w:val="000000"/>
                <w:sz w:val="14"/>
                <w:szCs w:val="14"/>
              </w:rPr>
              <w:t>YY1*</w:t>
            </w:r>
          </w:p>
        </w:tc>
        <w:tc>
          <w:tcPr>
            <w:tcW w:w="1202" w:type="dxa"/>
            <w:shd w:val="clear" w:color="auto" w:fill="E7F3F4"/>
            <w:noWrap/>
            <w:vAlign w:val="center"/>
          </w:tcPr>
          <w:p w14:paraId="63DB09F0" w14:textId="77777777" w:rsidR="004920D8" w:rsidRDefault="004920D8" w:rsidP="00D64955">
            <w:pPr>
              <w:spacing w:before="0" w:after="0"/>
              <w:jc w:val="center"/>
              <w:rPr>
                <w:color w:val="000000"/>
                <w:sz w:val="14"/>
                <w:szCs w:val="14"/>
              </w:rPr>
            </w:pPr>
            <w:r>
              <w:rPr>
                <w:color w:val="000000"/>
                <w:sz w:val="14"/>
                <w:szCs w:val="14"/>
              </w:rPr>
              <w:t>Yum Yum Beach</w:t>
            </w:r>
          </w:p>
        </w:tc>
        <w:tc>
          <w:tcPr>
            <w:tcW w:w="463" w:type="dxa"/>
            <w:shd w:val="clear" w:color="auto" w:fill="E7F3F4"/>
            <w:noWrap/>
            <w:vAlign w:val="center"/>
          </w:tcPr>
          <w:p w14:paraId="65191AF8" w14:textId="77777777" w:rsidR="004920D8" w:rsidRPr="00551E89" w:rsidRDefault="004920D8" w:rsidP="00D64955">
            <w:pPr>
              <w:spacing w:before="0" w:after="0"/>
              <w:jc w:val="center"/>
              <w:rPr>
                <w:color w:val="000000"/>
                <w:sz w:val="14"/>
                <w:szCs w:val="14"/>
              </w:rPr>
            </w:pPr>
            <w:r w:rsidRPr="00551E89">
              <w:rPr>
                <w:color w:val="000000"/>
                <w:sz w:val="14"/>
                <w:szCs w:val="14"/>
              </w:rPr>
              <w:t>12</w:t>
            </w:r>
            <w:r w:rsidRPr="00880D29">
              <w:rPr>
                <w:color w:val="000000"/>
                <w:sz w:val="14"/>
                <w:szCs w:val="14"/>
              </w:rPr>
              <w:t>°</w:t>
            </w:r>
          </w:p>
        </w:tc>
        <w:tc>
          <w:tcPr>
            <w:tcW w:w="830" w:type="dxa"/>
            <w:shd w:val="clear" w:color="auto" w:fill="E7F3F4"/>
            <w:noWrap/>
            <w:vAlign w:val="center"/>
          </w:tcPr>
          <w:p w14:paraId="0F2C93AF" w14:textId="77777777" w:rsidR="004920D8" w:rsidRPr="00551E89" w:rsidRDefault="004920D8" w:rsidP="00D64955">
            <w:pPr>
              <w:spacing w:before="0" w:after="0"/>
              <w:jc w:val="center"/>
              <w:rPr>
                <w:color w:val="000000"/>
                <w:sz w:val="14"/>
                <w:szCs w:val="14"/>
              </w:rPr>
            </w:pPr>
            <w:r w:rsidRPr="00551E89">
              <w:rPr>
                <w:color w:val="000000"/>
                <w:sz w:val="14"/>
                <w:szCs w:val="14"/>
              </w:rPr>
              <w:t>34.247</w:t>
            </w:r>
          </w:p>
        </w:tc>
        <w:tc>
          <w:tcPr>
            <w:tcW w:w="546" w:type="dxa"/>
            <w:shd w:val="clear" w:color="auto" w:fill="E7F3F4"/>
            <w:noWrap/>
            <w:vAlign w:val="center"/>
          </w:tcPr>
          <w:p w14:paraId="3C2A5027" w14:textId="77777777" w:rsidR="004920D8" w:rsidRPr="00551E89" w:rsidRDefault="004920D8" w:rsidP="00D64955">
            <w:pPr>
              <w:spacing w:before="0" w:after="0"/>
              <w:jc w:val="center"/>
              <w:rPr>
                <w:color w:val="000000"/>
                <w:sz w:val="14"/>
                <w:szCs w:val="14"/>
              </w:rPr>
            </w:pPr>
            <w:r w:rsidRPr="00551E89">
              <w:rPr>
                <w:color w:val="000000"/>
                <w:sz w:val="14"/>
                <w:szCs w:val="14"/>
              </w:rPr>
              <w:t>143</w:t>
            </w:r>
            <w:r w:rsidRPr="00880D29">
              <w:rPr>
                <w:color w:val="000000"/>
                <w:sz w:val="14"/>
                <w:szCs w:val="14"/>
              </w:rPr>
              <w:t>°</w:t>
            </w:r>
          </w:p>
        </w:tc>
        <w:tc>
          <w:tcPr>
            <w:tcW w:w="830" w:type="dxa"/>
            <w:shd w:val="clear" w:color="auto" w:fill="E7F3F4"/>
            <w:noWrap/>
            <w:vAlign w:val="center"/>
          </w:tcPr>
          <w:p w14:paraId="3E51CF1F" w14:textId="77777777" w:rsidR="004920D8" w:rsidRPr="00551E89" w:rsidRDefault="004920D8" w:rsidP="00D64955">
            <w:pPr>
              <w:spacing w:before="0" w:after="0"/>
              <w:jc w:val="center"/>
              <w:rPr>
                <w:color w:val="000000"/>
                <w:sz w:val="14"/>
                <w:szCs w:val="14"/>
              </w:rPr>
            </w:pPr>
            <w:r w:rsidRPr="00551E89">
              <w:rPr>
                <w:color w:val="000000"/>
                <w:sz w:val="14"/>
                <w:szCs w:val="14"/>
              </w:rPr>
              <w:t>21.639</w:t>
            </w:r>
          </w:p>
        </w:tc>
        <w:tc>
          <w:tcPr>
            <w:tcW w:w="459" w:type="dxa"/>
            <w:shd w:val="clear" w:color="auto" w:fill="E7F3F4"/>
            <w:noWrap/>
            <w:vAlign w:val="center"/>
          </w:tcPr>
          <w:p w14:paraId="6383A1C4"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57" w:type="dxa"/>
            <w:shd w:val="clear" w:color="auto" w:fill="E7F3F4"/>
            <w:vAlign w:val="center"/>
          </w:tcPr>
          <w:p w14:paraId="4BE1BD4F"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70" w:type="dxa"/>
            <w:shd w:val="clear" w:color="auto" w:fill="E7F3F4"/>
            <w:vAlign w:val="center"/>
          </w:tcPr>
          <w:p w14:paraId="2E286920"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93" w:type="dxa"/>
            <w:shd w:val="clear" w:color="auto" w:fill="E7F3F4"/>
            <w:vAlign w:val="center"/>
          </w:tcPr>
          <w:p w14:paraId="5F55B9E7" w14:textId="77777777" w:rsidR="004920D8" w:rsidRPr="00F45F13" w:rsidRDefault="004920D8" w:rsidP="00D64955">
            <w:pPr>
              <w:spacing w:before="0" w:after="0"/>
              <w:jc w:val="center"/>
              <w:rPr>
                <w:color w:val="000000"/>
                <w:sz w:val="14"/>
                <w:szCs w:val="14"/>
              </w:rPr>
            </w:pPr>
          </w:p>
        </w:tc>
        <w:tc>
          <w:tcPr>
            <w:tcW w:w="399" w:type="dxa"/>
            <w:shd w:val="clear" w:color="auto" w:fill="E7F3F4"/>
            <w:vAlign w:val="center"/>
          </w:tcPr>
          <w:p w14:paraId="76C9C57B"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shd w:val="clear" w:color="auto" w:fill="E7F3F4"/>
            <w:vAlign w:val="center"/>
          </w:tcPr>
          <w:p w14:paraId="35A9F579" w14:textId="77777777" w:rsidR="004920D8" w:rsidRPr="00F45F13" w:rsidRDefault="004920D8" w:rsidP="00D64955">
            <w:pPr>
              <w:spacing w:before="0" w:after="0"/>
              <w:jc w:val="center"/>
              <w:rPr>
                <w:color w:val="000000"/>
                <w:sz w:val="14"/>
                <w:szCs w:val="14"/>
              </w:rPr>
            </w:pPr>
          </w:p>
        </w:tc>
        <w:tc>
          <w:tcPr>
            <w:tcW w:w="396" w:type="dxa"/>
            <w:shd w:val="clear" w:color="auto" w:fill="E7F3F4"/>
            <w:vAlign w:val="center"/>
          </w:tcPr>
          <w:p w14:paraId="543AEB1D"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shd w:val="clear" w:color="auto" w:fill="E7F3F4"/>
            <w:vAlign w:val="center"/>
          </w:tcPr>
          <w:p w14:paraId="735A8E4D" w14:textId="77777777" w:rsidR="004920D8" w:rsidRPr="00F45F13" w:rsidRDefault="004920D8" w:rsidP="00D64955">
            <w:pPr>
              <w:spacing w:before="0" w:after="0"/>
              <w:jc w:val="center"/>
              <w:rPr>
                <w:color w:val="000000"/>
                <w:sz w:val="14"/>
                <w:szCs w:val="14"/>
              </w:rPr>
            </w:pPr>
          </w:p>
        </w:tc>
        <w:tc>
          <w:tcPr>
            <w:tcW w:w="374" w:type="dxa"/>
            <w:shd w:val="clear" w:color="auto" w:fill="E7F3F4"/>
            <w:vAlign w:val="center"/>
          </w:tcPr>
          <w:p w14:paraId="741206D9"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406" w:type="dxa"/>
            <w:shd w:val="clear" w:color="auto" w:fill="E7F3F4"/>
            <w:vAlign w:val="center"/>
          </w:tcPr>
          <w:p w14:paraId="729D9BCE" w14:textId="77777777" w:rsidR="004920D8" w:rsidRPr="00F45F13" w:rsidRDefault="004920D8" w:rsidP="00D64955">
            <w:pPr>
              <w:spacing w:before="0" w:after="0"/>
              <w:jc w:val="center"/>
              <w:rPr>
                <w:color w:val="000000"/>
                <w:sz w:val="14"/>
                <w:szCs w:val="14"/>
              </w:rPr>
            </w:pPr>
          </w:p>
        </w:tc>
      </w:tr>
      <w:tr w:rsidR="004920D8" w:rsidRPr="00015190" w14:paraId="77559205" w14:textId="77777777" w:rsidTr="00D64955">
        <w:trPr>
          <w:trHeight w:val="170"/>
          <w:jc w:val="center"/>
        </w:trPr>
        <w:tc>
          <w:tcPr>
            <w:tcW w:w="900" w:type="dxa"/>
            <w:vMerge/>
            <w:shd w:val="clear" w:color="auto" w:fill="auto"/>
            <w:vAlign w:val="center"/>
          </w:tcPr>
          <w:p w14:paraId="784969C7" w14:textId="77777777" w:rsidR="004920D8" w:rsidRDefault="004920D8" w:rsidP="00D64955">
            <w:pPr>
              <w:spacing w:before="0" w:after="0"/>
              <w:jc w:val="center"/>
              <w:rPr>
                <w:color w:val="000000"/>
                <w:sz w:val="14"/>
                <w:szCs w:val="14"/>
              </w:rPr>
            </w:pPr>
          </w:p>
        </w:tc>
        <w:tc>
          <w:tcPr>
            <w:tcW w:w="1826" w:type="dxa"/>
            <w:vMerge/>
            <w:shd w:val="clear" w:color="auto" w:fill="E7F3F4"/>
            <w:vAlign w:val="center"/>
          </w:tcPr>
          <w:p w14:paraId="336BEDAE"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4E8A05C0" w14:textId="77777777" w:rsidR="004920D8" w:rsidRDefault="004920D8" w:rsidP="00D64955">
            <w:pPr>
              <w:spacing w:before="0" w:after="0"/>
              <w:jc w:val="center"/>
              <w:rPr>
                <w:color w:val="000000"/>
                <w:sz w:val="14"/>
                <w:szCs w:val="14"/>
              </w:rPr>
            </w:pPr>
          </w:p>
        </w:tc>
        <w:tc>
          <w:tcPr>
            <w:tcW w:w="1445" w:type="dxa"/>
            <w:vMerge w:val="restart"/>
            <w:shd w:val="clear" w:color="auto" w:fill="E7F3F4"/>
            <w:noWrap/>
            <w:vAlign w:val="center"/>
          </w:tcPr>
          <w:p w14:paraId="200B72EA" w14:textId="77777777" w:rsidR="004920D8" w:rsidRDefault="004920D8" w:rsidP="00D64955">
            <w:pPr>
              <w:spacing w:before="0" w:after="0"/>
              <w:jc w:val="center"/>
              <w:rPr>
                <w:color w:val="000000"/>
                <w:sz w:val="14"/>
                <w:szCs w:val="14"/>
              </w:rPr>
            </w:pPr>
            <w:r>
              <w:rPr>
                <w:color w:val="000000"/>
                <w:sz w:val="14"/>
                <w:szCs w:val="14"/>
              </w:rPr>
              <w:t>Lloyd Bay</w:t>
            </w:r>
          </w:p>
          <w:p w14:paraId="72443E84" w14:textId="77777777" w:rsidR="004920D8" w:rsidRPr="00E32A74" w:rsidRDefault="004920D8" w:rsidP="00D64955">
            <w:pPr>
              <w:spacing w:before="0" w:after="0"/>
              <w:jc w:val="center"/>
              <w:rPr>
                <w:i/>
                <w:color w:val="000000"/>
                <w:sz w:val="14"/>
                <w:szCs w:val="14"/>
              </w:rPr>
            </w:pPr>
            <w:r>
              <w:rPr>
                <w:i/>
                <w:color w:val="000000"/>
                <w:sz w:val="14"/>
                <w:szCs w:val="14"/>
              </w:rPr>
              <w:t>coastal</w:t>
            </w:r>
          </w:p>
        </w:tc>
        <w:tc>
          <w:tcPr>
            <w:tcW w:w="619" w:type="dxa"/>
            <w:shd w:val="clear" w:color="auto" w:fill="E7F3F4"/>
            <w:noWrap/>
            <w:vAlign w:val="center"/>
          </w:tcPr>
          <w:p w14:paraId="3F1F410B" w14:textId="77777777" w:rsidR="004920D8" w:rsidRDefault="004920D8" w:rsidP="00D64955">
            <w:pPr>
              <w:spacing w:before="0" w:after="0"/>
              <w:jc w:val="center"/>
              <w:rPr>
                <w:color w:val="000000"/>
                <w:sz w:val="14"/>
                <w:szCs w:val="14"/>
              </w:rPr>
            </w:pPr>
            <w:r>
              <w:rPr>
                <w:color w:val="000000"/>
                <w:sz w:val="14"/>
                <w:szCs w:val="14"/>
              </w:rPr>
              <w:t>LR1^</w:t>
            </w:r>
          </w:p>
        </w:tc>
        <w:tc>
          <w:tcPr>
            <w:tcW w:w="1202" w:type="dxa"/>
            <w:shd w:val="clear" w:color="auto" w:fill="E7F3F4"/>
            <w:noWrap/>
            <w:vAlign w:val="center"/>
          </w:tcPr>
          <w:p w14:paraId="2D0F1CD6" w14:textId="77777777" w:rsidR="004920D8" w:rsidRDefault="004920D8" w:rsidP="00D64955">
            <w:pPr>
              <w:spacing w:before="0" w:after="0"/>
              <w:jc w:val="center"/>
              <w:rPr>
                <w:color w:val="000000"/>
                <w:sz w:val="14"/>
                <w:szCs w:val="14"/>
              </w:rPr>
            </w:pPr>
            <w:r>
              <w:rPr>
                <w:color w:val="000000"/>
                <w:sz w:val="14"/>
                <w:szCs w:val="14"/>
              </w:rPr>
              <w:t>Lloyd Bay</w:t>
            </w:r>
          </w:p>
        </w:tc>
        <w:tc>
          <w:tcPr>
            <w:tcW w:w="463" w:type="dxa"/>
            <w:shd w:val="clear" w:color="auto" w:fill="E7F3F4"/>
            <w:noWrap/>
            <w:vAlign w:val="center"/>
          </w:tcPr>
          <w:p w14:paraId="37D20F6A" w14:textId="77777777" w:rsidR="004920D8" w:rsidRPr="00880D29" w:rsidRDefault="004920D8" w:rsidP="00D64955">
            <w:pPr>
              <w:spacing w:before="0" w:after="0"/>
              <w:jc w:val="center"/>
              <w:rPr>
                <w:color w:val="000000"/>
                <w:sz w:val="14"/>
                <w:szCs w:val="14"/>
              </w:rPr>
            </w:pPr>
            <w:r>
              <w:rPr>
                <w:color w:val="000000"/>
                <w:sz w:val="14"/>
                <w:szCs w:val="14"/>
              </w:rPr>
              <w:t>12</w:t>
            </w:r>
            <w:r w:rsidRPr="00880D29">
              <w:rPr>
                <w:color w:val="000000"/>
                <w:sz w:val="14"/>
                <w:szCs w:val="14"/>
              </w:rPr>
              <w:t>°</w:t>
            </w:r>
          </w:p>
        </w:tc>
        <w:tc>
          <w:tcPr>
            <w:tcW w:w="830" w:type="dxa"/>
            <w:shd w:val="clear" w:color="auto" w:fill="E7F3F4"/>
            <w:noWrap/>
            <w:vAlign w:val="bottom"/>
          </w:tcPr>
          <w:p w14:paraId="10A62EE7" w14:textId="77777777" w:rsidR="004920D8" w:rsidRPr="00551E89" w:rsidRDefault="004920D8" w:rsidP="00D64955">
            <w:pPr>
              <w:spacing w:before="0" w:after="0"/>
              <w:jc w:val="center"/>
              <w:rPr>
                <w:color w:val="000000"/>
                <w:sz w:val="14"/>
                <w:szCs w:val="14"/>
              </w:rPr>
            </w:pPr>
            <w:r w:rsidRPr="00551E89">
              <w:rPr>
                <w:color w:val="000000"/>
                <w:sz w:val="14"/>
                <w:szCs w:val="14"/>
              </w:rPr>
              <w:t>47.792</w:t>
            </w:r>
          </w:p>
        </w:tc>
        <w:tc>
          <w:tcPr>
            <w:tcW w:w="546" w:type="dxa"/>
            <w:shd w:val="clear" w:color="auto" w:fill="E7F3F4"/>
            <w:noWrap/>
            <w:vAlign w:val="center"/>
          </w:tcPr>
          <w:p w14:paraId="5261FBC7" w14:textId="77777777" w:rsidR="004920D8" w:rsidRPr="00880D29" w:rsidRDefault="004920D8" w:rsidP="00D64955">
            <w:pPr>
              <w:spacing w:before="0" w:after="0"/>
              <w:jc w:val="center"/>
              <w:rPr>
                <w:color w:val="000000"/>
                <w:sz w:val="14"/>
                <w:szCs w:val="14"/>
              </w:rPr>
            </w:pPr>
            <w:r>
              <w:rPr>
                <w:color w:val="000000"/>
                <w:sz w:val="14"/>
                <w:szCs w:val="14"/>
              </w:rPr>
              <w:t>143</w:t>
            </w:r>
            <w:r w:rsidRPr="00880D29">
              <w:rPr>
                <w:color w:val="000000"/>
                <w:sz w:val="14"/>
                <w:szCs w:val="14"/>
              </w:rPr>
              <w:t>°</w:t>
            </w:r>
          </w:p>
        </w:tc>
        <w:tc>
          <w:tcPr>
            <w:tcW w:w="830" w:type="dxa"/>
            <w:shd w:val="clear" w:color="auto" w:fill="E7F3F4"/>
            <w:noWrap/>
            <w:vAlign w:val="bottom"/>
          </w:tcPr>
          <w:p w14:paraId="1404F369" w14:textId="77777777" w:rsidR="004920D8" w:rsidRPr="00551E89" w:rsidRDefault="004920D8" w:rsidP="00D64955">
            <w:pPr>
              <w:spacing w:before="0" w:after="0"/>
              <w:jc w:val="center"/>
              <w:rPr>
                <w:color w:val="000000"/>
                <w:sz w:val="14"/>
                <w:szCs w:val="14"/>
              </w:rPr>
            </w:pPr>
            <w:r w:rsidRPr="00551E89">
              <w:rPr>
                <w:color w:val="000000"/>
                <w:sz w:val="14"/>
                <w:szCs w:val="14"/>
              </w:rPr>
              <w:t>29.118</w:t>
            </w:r>
          </w:p>
        </w:tc>
        <w:tc>
          <w:tcPr>
            <w:tcW w:w="459" w:type="dxa"/>
            <w:vMerge w:val="restart"/>
            <w:shd w:val="clear" w:color="auto" w:fill="E7F3F4"/>
            <w:noWrap/>
            <w:vAlign w:val="center"/>
          </w:tcPr>
          <w:p w14:paraId="1CFACF20" w14:textId="77777777" w:rsidR="004920D8" w:rsidRPr="00F45F13" w:rsidRDefault="004920D8" w:rsidP="00D64955">
            <w:pPr>
              <w:spacing w:before="0" w:after="0"/>
              <w:jc w:val="center"/>
              <w:rPr>
                <w:color w:val="000000"/>
                <w:sz w:val="16"/>
                <w:szCs w:val="16"/>
              </w:rPr>
            </w:pPr>
          </w:p>
        </w:tc>
        <w:tc>
          <w:tcPr>
            <w:tcW w:w="357" w:type="dxa"/>
            <w:vMerge w:val="restart"/>
            <w:shd w:val="clear" w:color="auto" w:fill="E7F3F4"/>
            <w:vAlign w:val="center"/>
          </w:tcPr>
          <w:p w14:paraId="5CE8B924" w14:textId="77777777" w:rsidR="004920D8" w:rsidRPr="00F45F13" w:rsidRDefault="004920D8" w:rsidP="00D64955">
            <w:pPr>
              <w:spacing w:before="0" w:after="0"/>
              <w:jc w:val="center"/>
              <w:rPr>
                <w:color w:val="000000"/>
                <w:sz w:val="16"/>
                <w:szCs w:val="16"/>
              </w:rPr>
            </w:pPr>
          </w:p>
        </w:tc>
        <w:tc>
          <w:tcPr>
            <w:tcW w:w="370" w:type="dxa"/>
            <w:vMerge w:val="restart"/>
            <w:shd w:val="clear" w:color="auto" w:fill="E7F3F4"/>
            <w:vAlign w:val="center"/>
          </w:tcPr>
          <w:p w14:paraId="671394F5" w14:textId="77777777" w:rsidR="004920D8" w:rsidRPr="00F45F13" w:rsidRDefault="004920D8" w:rsidP="00D64955">
            <w:pPr>
              <w:spacing w:before="0" w:after="0"/>
              <w:jc w:val="center"/>
              <w:rPr>
                <w:color w:val="000000"/>
                <w:sz w:val="16"/>
                <w:szCs w:val="16"/>
              </w:rPr>
            </w:pPr>
          </w:p>
        </w:tc>
        <w:tc>
          <w:tcPr>
            <w:tcW w:w="393" w:type="dxa"/>
            <w:vMerge w:val="restart"/>
            <w:shd w:val="clear" w:color="auto" w:fill="E7F3F4"/>
            <w:vAlign w:val="center"/>
          </w:tcPr>
          <w:p w14:paraId="75467702" w14:textId="77777777" w:rsidR="004920D8" w:rsidRPr="00F45F13" w:rsidRDefault="004920D8" w:rsidP="00D64955">
            <w:pPr>
              <w:spacing w:before="0" w:after="0"/>
              <w:jc w:val="center"/>
              <w:rPr>
                <w:color w:val="000000"/>
                <w:sz w:val="14"/>
                <w:szCs w:val="14"/>
              </w:rPr>
            </w:pPr>
          </w:p>
        </w:tc>
        <w:tc>
          <w:tcPr>
            <w:tcW w:w="399" w:type="dxa"/>
            <w:vMerge w:val="restart"/>
            <w:shd w:val="clear" w:color="auto" w:fill="E7F3F4"/>
            <w:vAlign w:val="center"/>
          </w:tcPr>
          <w:p w14:paraId="2B50792B"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494540C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00D24007"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vMerge w:val="restart"/>
            <w:shd w:val="clear" w:color="auto" w:fill="E7F3F4"/>
            <w:vAlign w:val="center"/>
          </w:tcPr>
          <w:p w14:paraId="1CEEEF16" w14:textId="77777777" w:rsidR="004920D8" w:rsidRPr="00F45F13" w:rsidRDefault="004920D8" w:rsidP="00D64955">
            <w:pPr>
              <w:spacing w:before="0" w:after="0"/>
              <w:jc w:val="center"/>
              <w:rPr>
                <w:color w:val="000000"/>
                <w:sz w:val="14"/>
                <w:szCs w:val="14"/>
              </w:rPr>
            </w:pPr>
          </w:p>
        </w:tc>
        <w:tc>
          <w:tcPr>
            <w:tcW w:w="374" w:type="dxa"/>
            <w:vMerge w:val="restart"/>
            <w:shd w:val="clear" w:color="auto" w:fill="E7F3F4"/>
            <w:vAlign w:val="center"/>
          </w:tcPr>
          <w:p w14:paraId="1556EEB8" w14:textId="77777777" w:rsidR="004920D8" w:rsidRPr="00F45F13" w:rsidRDefault="004920D8" w:rsidP="00D64955">
            <w:pPr>
              <w:spacing w:before="0" w:after="0"/>
              <w:jc w:val="center"/>
              <w:rPr>
                <w:color w:val="000000"/>
                <w:sz w:val="16"/>
                <w:szCs w:val="16"/>
              </w:rPr>
            </w:pPr>
          </w:p>
        </w:tc>
        <w:tc>
          <w:tcPr>
            <w:tcW w:w="406" w:type="dxa"/>
            <w:vMerge w:val="restart"/>
            <w:shd w:val="clear" w:color="auto" w:fill="E7F3F4"/>
            <w:vAlign w:val="center"/>
          </w:tcPr>
          <w:p w14:paraId="4310D203" w14:textId="77777777" w:rsidR="004920D8" w:rsidRPr="00F45F13" w:rsidRDefault="004920D8" w:rsidP="00D64955">
            <w:pPr>
              <w:spacing w:before="0" w:after="0"/>
              <w:jc w:val="center"/>
              <w:rPr>
                <w:color w:val="000000"/>
                <w:sz w:val="14"/>
                <w:szCs w:val="14"/>
              </w:rPr>
            </w:pPr>
          </w:p>
        </w:tc>
      </w:tr>
      <w:tr w:rsidR="004920D8" w:rsidRPr="00015190" w14:paraId="1384058B" w14:textId="77777777" w:rsidTr="00D64955">
        <w:trPr>
          <w:trHeight w:val="170"/>
          <w:jc w:val="center"/>
        </w:trPr>
        <w:tc>
          <w:tcPr>
            <w:tcW w:w="900" w:type="dxa"/>
            <w:vMerge/>
            <w:shd w:val="clear" w:color="auto" w:fill="auto"/>
            <w:vAlign w:val="center"/>
          </w:tcPr>
          <w:p w14:paraId="28CFB291" w14:textId="77777777" w:rsidR="004920D8" w:rsidRDefault="004920D8" w:rsidP="00D64955">
            <w:pPr>
              <w:spacing w:before="0" w:after="0"/>
              <w:jc w:val="center"/>
              <w:rPr>
                <w:color w:val="000000"/>
                <w:sz w:val="14"/>
                <w:szCs w:val="14"/>
              </w:rPr>
            </w:pPr>
          </w:p>
        </w:tc>
        <w:tc>
          <w:tcPr>
            <w:tcW w:w="1826" w:type="dxa"/>
            <w:vMerge/>
            <w:shd w:val="clear" w:color="auto" w:fill="E7F3F4"/>
            <w:vAlign w:val="center"/>
          </w:tcPr>
          <w:p w14:paraId="43023C1E"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47C923C3" w14:textId="77777777" w:rsidR="004920D8" w:rsidRDefault="004920D8" w:rsidP="00D64955">
            <w:pPr>
              <w:spacing w:before="0" w:after="0"/>
              <w:jc w:val="center"/>
              <w:rPr>
                <w:color w:val="000000"/>
                <w:sz w:val="14"/>
                <w:szCs w:val="14"/>
              </w:rPr>
            </w:pPr>
          </w:p>
        </w:tc>
        <w:tc>
          <w:tcPr>
            <w:tcW w:w="1445" w:type="dxa"/>
            <w:vMerge/>
            <w:shd w:val="clear" w:color="auto" w:fill="E7F3F4"/>
            <w:noWrap/>
            <w:vAlign w:val="center"/>
          </w:tcPr>
          <w:p w14:paraId="0A6DDA04" w14:textId="77777777" w:rsidR="004920D8" w:rsidRDefault="004920D8" w:rsidP="00D64955">
            <w:pPr>
              <w:spacing w:before="0" w:after="0"/>
              <w:jc w:val="center"/>
              <w:rPr>
                <w:color w:val="000000"/>
                <w:sz w:val="14"/>
                <w:szCs w:val="14"/>
              </w:rPr>
            </w:pPr>
          </w:p>
        </w:tc>
        <w:tc>
          <w:tcPr>
            <w:tcW w:w="619" w:type="dxa"/>
            <w:shd w:val="clear" w:color="auto" w:fill="E7F3F4"/>
            <w:noWrap/>
            <w:vAlign w:val="center"/>
          </w:tcPr>
          <w:p w14:paraId="33518DB1" w14:textId="77777777" w:rsidR="004920D8" w:rsidRDefault="004920D8" w:rsidP="00D64955">
            <w:pPr>
              <w:spacing w:before="0" w:after="0"/>
              <w:jc w:val="center"/>
              <w:rPr>
                <w:color w:val="000000"/>
                <w:sz w:val="14"/>
                <w:szCs w:val="14"/>
              </w:rPr>
            </w:pPr>
            <w:r>
              <w:rPr>
                <w:color w:val="000000"/>
                <w:sz w:val="14"/>
                <w:szCs w:val="14"/>
              </w:rPr>
              <w:t>LR2^</w:t>
            </w:r>
          </w:p>
        </w:tc>
        <w:tc>
          <w:tcPr>
            <w:tcW w:w="1202" w:type="dxa"/>
            <w:shd w:val="clear" w:color="auto" w:fill="E7F3F4"/>
            <w:noWrap/>
            <w:vAlign w:val="center"/>
          </w:tcPr>
          <w:p w14:paraId="5AB588A7" w14:textId="77777777" w:rsidR="004920D8" w:rsidRDefault="004920D8" w:rsidP="00D64955">
            <w:pPr>
              <w:spacing w:before="0" w:after="0"/>
              <w:jc w:val="center"/>
              <w:rPr>
                <w:color w:val="000000"/>
                <w:sz w:val="14"/>
                <w:szCs w:val="14"/>
              </w:rPr>
            </w:pPr>
            <w:r>
              <w:rPr>
                <w:color w:val="000000"/>
                <w:sz w:val="14"/>
                <w:szCs w:val="14"/>
              </w:rPr>
              <w:t>Lloyd Bay</w:t>
            </w:r>
          </w:p>
        </w:tc>
        <w:tc>
          <w:tcPr>
            <w:tcW w:w="463" w:type="dxa"/>
            <w:shd w:val="clear" w:color="auto" w:fill="E7F3F4"/>
            <w:noWrap/>
            <w:vAlign w:val="center"/>
          </w:tcPr>
          <w:p w14:paraId="01486835" w14:textId="77777777" w:rsidR="004920D8" w:rsidRPr="00880D29" w:rsidRDefault="004920D8" w:rsidP="00D64955">
            <w:pPr>
              <w:spacing w:before="0" w:after="0"/>
              <w:jc w:val="center"/>
              <w:rPr>
                <w:color w:val="000000"/>
                <w:sz w:val="14"/>
                <w:szCs w:val="14"/>
              </w:rPr>
            </w:pPr>
            <w:r>
              <w:rPr>
                <w:color w:val="000000"/>
                <w:sz w:val="14"/>
                <w:szCs w:val="14"/>
              </w:rPr>
              <w:t>12</w:t>
            </w:r>
            <w:r w:rsidRPr="00880D29">
              <w:rPr>
                <w:color w:val="000000"/>
                <w:sz w:val="14"/>
                <w:szCs w:val="14"/>
              </w:rPr>
              <w:t>°</w:t>
            </w:r>
          </w:p>
        </w:tc>
        <w:tc>
          <w:tcPr>
            <w:tcW w:w="830" w:type="dxa"/>
            <w:shd w:val="clear" w:color="auto" w:fill="E7F3F4"/>
            <w:noWrap/>
            <w:vAlign w:val="bottom"/>
          </w:tcPr>
          <w:p w14:paraId="51D25E31" w14:textId="77777777" w:rsidR="004920D8" w:rsidRPr="00551E89" w:rsidRDefault="004920D8" w:rsidP="00D64955">
            <w:pPr>
              <w:spacing w:before="0" w:after="0"/>
              <w:jc w:val="center"/>
              <w:rPr>
                <w:color w:val="000000"/>
                <w:sz w:val="14"/>
                <w:szCs w:val="14"/>
              </w:rPr>
            </w:pPr>
            <w:r w:rsidRPr="00551E89">
              <w:rPr>
                <w:color w:val="000000"/>
                <w:sz w:val="14"/>
                <w:szCs w:val="14"/>
              </w:rPr>
              <w:t>49.502</w:t>
            </w:r>
          </w:p>
        </w:tc>
        <w:tc>
          <w:tcPr>
            <w:tcW w:w="546" w:type="dxa"/>
            <w:shd w:val="clear" w:color="auto" w:fill="E7F3F4"/>
            <w:noWrap/>
            <w:vAlign w:val="center"/>
          </w:tcPr>
          <w:p w14:paraId="0E746CB3" w14:textId="77777777" w:rsidR="004920D8" w:rsidRPr="00880D29" w:rsidRDefault="004920D8" w:rsidP="00D64955">
            <w:pPr>
              <w:spacing w:before="0" w:after="0"/>
              <w:jc w:val="center"/>
              <w:rPr>
                <w:color w:val="000000"/>
                <w:sz w:val="14"/>
                <w:szCs w:val="14"/>
              </w:rPr>
            </w:pPr>
            <w:r>
              <w:rPr>
                <w:color w:val="000000"/>
                <w:sz w:val="14"/>
                <w:szCs w:val="14"/>
              </w:rPr>
              <w:t>143</w:t>
            </w:r>
            <w:r w:rsidRPr="00880D29">
              <w:rPr>
                <w:color w:val="000000"/>
                <w:sz w:val="14"/>
                <w:szCs w:val="14"/>
              </w:rPr>
              <w:t>°</w:t>
            </w:r>
          </w:p>
        </w:tc>
        <w:tc>
          <w:tcPr>
            <w:tcW w:w="830" w:type="dxa"/>
            <w:shd w:val="clear" w:color="auto" w:fill="E7F3F4"/>
            <w:noWrap/>
            <w:vAlign w:val="bottom"/>
          </w:tcPr>
          <w:p w14:paraId="237AC760" w14:textId="77777777" w:rsidR="004920D8" w:rsidRPr="00551E89" w:rsidRDefault="004920D8" w:rsidP="00D64955">
            <w:pPr>
              <w:spacing w:before="0" w:after="0"/>
              <w:jc w:val="center"/>
              <w:rPr>
                <w:color w:val="000000"/>
                <w:sz w:val="14"/>
                <w:szCs w:val="14"/>
              </w:rPr>
            </w:pPr>
            <w:r w:rsidRPr="00551E89">
              <w:rPr>
                <w:color w:val="000000"/>
                <w:sz w:val="14"/>
                <w:szCs w:val="14"/>
              </w:rPr>
              <w:t>28.488</w:t>
            </w:r>
          </w:p>
        </w:tc>
        <w:tc>
          <w:tcPr>
            <w:tcW w:w="459" w:type="dxa"/>
            <w:vMerge/>
            <w:shd w:val="clear" w:color="auto" w:fill="E7F3F4"/>
            <w:noWrap/>
            <w:vAlign w:val="center"/>
          </w:tcPr>
          <w:p w14:paraId="383F7821" w14:textId="77777777" w:rsidR="004920D8" w:rsidRPr="00F45F13" w:rsidRDefault="004920D8" w:rsidP="00D64955">
            <w:pPr>
              <w:spacing w:before="0" w:after="0"/>
              <w:jc w:val="center"/>
              <w:rPr>
                <w:color w:val="000000"/>
                <w:sz w:val="16"/>
                <w:szCs w:val="16"/>
              </w:rPr>
            </w:pPr>
          </w:p>
        </w:tc>
        <w:tc>
          <w:tcPr>
            <w:tcW w:w="357" w:type="dxa"/>
            <w:vMerge/>
            <w:shd w:val="clear" w:color="auto" w:fill="E7F3F4"/>
            <w:vAlign w:val="center"/>
          </w:tcPr>
          <w:p w14:paraId="75F0640D" w14:textId="77777777" w:rsidR="004920D8" w:rsidRPr="00F45F13" w:rsidRDefault="004920D8" w:rsidP="00D64955">
            <w:pPr>
              <w:spacing w:before="0" w:after="0"/>
              <w:jc w:val="center"/>
              <w:rPr>
                <w:color w:val="000000"/>
                <w:sz w:val="16"/>
                <w:szCs w:val="16"/>
              </w:rPr>
            </w:pPr>
          </w:p>
        </w:tc>
        <w:tc>
          <w:tcPr>
            <w:tcW w:w="370" w:type="dxa"/>
            <w:vMerge/>
            <w:shd w:val="clear" w:color="auto" w:fill="E7F3F4"/>
            <w:vAlign w:val="center"/>
          </w:tcPr>
          <w:p w14:paraId="223B2D4D" w14:textId="77777777" w:rsidR="004920D8" w:rsidRPr="00F45F13" w:rsidRDefault="004920D8" w:rsidP="00D64955">
            <w:pPr>
              <w:spacing w:before="0" w:after="0"/>
              <w:jc w:val="center"/>
              <w:rPr>
                <w:color w:val="000000"/>
                <w:sz w:val="16"/>
                <w:szCs w:val="16"/>
              </w:rPr>
            </w:pPr>
          </w:p>
        </w:tc>
        <w:tc>
          <w:tcPr>
            <w:tcW w:w="393" w:type="dxa"/>
            <w:vMerge/>
            <w:shd w:val="clear" w:color="auto" w:fill="E7F3F4"/>
            <w:vAlign w:val="center"/>
          </w:tcPr>
          <w:p w14:paraId="5345B013" w14:textId="77777777" w:rsidR="004920D8" w:rsidRPr="00F45F13" w:rsidRDefault="004920D8" w:rsidP="00D64955">
            <w:pPr>
              <w:spacing w:before="0" w:after="0"/>
              <w:jc w:val="center"/>
              <w:rPr>
                <w:color w:val="000000"/>
                <w:sz w:val="14"/>
                <w:szCs w:val="14"/>
              </w:rPr>
            </w:pPr>
          </w:p>
        </w:tc>
        <w:tc>
          <w:tcPr>
            <w:tcW w:w="399" w:type="dxa"/>
            <w:vMerge/>
            <w:shd w:val="clear" w:color="auto" w:fill="E7F3F4"/>
            <w:vAlign w:val="center"/>
          </w:tcPr>
          <w:p w14:paraId="33809F39" w14:textId="77777777" w:rsidR="004920D8" w:rsidRPr="00F45F13" w:rsidRDefault="004920D8" w:rsidP="00D64955">
            <w:pPr>
              <w:spacing w:before="0" w:after="0"/>
              <w:jc w:val="center"/>
              <w:rPr>
                <w:color w:val="000000"/>
                <w:sz w:val="14"/>
                <w:szCs w:val="14"/>
              </w:rPr>
            </w:pPr>
          </w:p>
        </w:tc>
        <w:tc>
          <w:tcPr>
            <w:tcW w:w="371" w:type="dxa"/>
            <w:vMerge/>
            <w:shd w:val="clear" w:color="auto" w:fill="E7F3F4"/>
            <w:vAlign w:val="center"/>
          </w:tcPr>
          <w:p w14:paraId="68690AC5" w14:textId="77777777" w:rsidR="004920D8" w:rsidRPr="00F45F13" w:rsidRDefault="004920D8" w:rsidP="00D64955">
            <w:pPr>
              <w:spacing w:before="0" w:after="0"/>
              <w:jc w:val="center"/>
              <w:rPr>
                <w:color w:val="000000"/>
                <w:sz w:val="14"/>
                <w:szCs w:val="14"/>
              </w:rPr>
            </w:pPr>
          </w:p>
        </w:tc>
        <w:tc>
          <w:tcPr>
            <w:tcW w:w="396" w:type="dxa"/>
            <w:vMerge/>
            <w:shd w:val="clear" w:color="auto" w:fill="E7F3F4"/>
            <w:vAlign w:val="center"/>
          </w:tcPr>
          <w:p w14:paraId="20CF2932" w14:textId="77777777" w:rsidR="004920D8" w:rsidRPr="00F45F13" w:rsidRDefault="004920D8" w:rsidP="00D64955">
            <w:pPr>
              <w:spacing w:before="0" w:after="0"/>
              <w:jc w:val="center"/>
              <w:rPr>
                <w:color w:val="000000"/>
                <w:sz w:val="16"/>
                <w:szCs w:val="16"/>
              </w:rPr>
            </w:pPr>
          </w:p>
        </w:tc>
        <w:tc>
          <w:tcPr>
            <w:tcW w:w="340" w:type="dxa"/>
            <w:vMerge/>
            <w:shd w:val="clear" w:color="auto" w:fill="E7F3F4"/>
            <w:vAlign w:val="center"/>
          </w:tcPr>
          <w:p w14:paraId="466C1FC8" w14:textId="77777777" w:rsidR="004920D8" w:rsidRPr="00F45F13" w:rsidRDefault="004920D8" w:rsidP="00D64955">
            <w:pPr>
              <w:spacing w:before="0" w:after="0"/>
              <w:jc w:val="center"/>
              <w:rPr>
                <w:color w:val="000000"/>
                <w:sz w:val="14"/>
                <w:szCs w:val="14"/>
              </w:rPr>
            </w:pPr>
          </w:p>
        </w:tc>
        <w:tc>
          <w:tcPr>
            <w:tcW w:w="374" w:type="dxa"/>
            <w:vMerge/>
            <w:shd w:val="clear" w:color="auto" w:fill="E7F3F4"/>
            <w:vAlign w:val="center"/>
          </w:tcPr>
          <w:p w14:paraId="3D0C1379" w14:textId="77777777" w:rsidR="004920D8" w:rsidRPr="00F45F13" w:rsidRDefault="004920D8" w:rsidP="00D64955">
            <w:pPr>
              <w:spacing w:before="0" w:after="0"/>
              <w:jc w:val="center"/>
              <w:rPr>
                <w:color w:val="000000"/>
                <w:sz w:val="16"/>
                <w:szCs w:val="16"/>
              </w:rPr>
            </w:pPr>
          </w:p>
        </w:tc>
        <w:tc>
          <w:tcPr>
            <w:tcW w:w="406" w:type="dxa"/>
            <w:vMerge/>
            <w:shd w:val="clear" w:color="auto" w:fill="E7F3F4"/>
            <w:vAlign w:val="center"/>
          </w:tcPr>
          <w:p w14:paraId="1353DE4E" w14:textId="77777777" w:rsidR="004920D8" w:rsidRPr="00F45F13" w:rsidRDefault="004920D8" w:rsidP="00D64955">
            <w:pPr>
              <w:spacing w:before="0" w:after="0"/>
              <w:jc w:val="center"/>
              <w:rPr>
                <w:color w:val="000000"/>
                <w:sz w:val="14"/>
                <w:szCs w:val="14"/>
              </w:rPr>
            </w:pPr>
          </w:p>
        </w:tc>
      </w:tr>
      <w:tr w:rsidR="004920D8" w:rsidRPr="00015190" w14:paraId="2B0050DE" w14:textId="77777777" w:rsidTr="00D64955">
        <w:trPr>
          <w:trHeight w:val="170"/>
          <w:jc w:val="center"/>
        </w:trPr>
        <w:tc>
          <w:tcPr>
            <w:tcW w:w="900" w:type="dxa"/>
            <w:vMerge/>
            <w:shd w:val="clear" w:color="auto" w:fill="auto"/>
            <w:vAlign w:val="center"/>
          </w:tcPr>
          <w:p w14:paraId="4AD5699B" w14:textId="77777777" w:rsidR="004920D8" w:rsidRDefault="004920D8" w:rsidP="00D64955">
            <w:pPr>
              <w:spacing w:before="0" w:after="0"/>
              <w:jc w:val="center"/>
              <w:rPr>
                <w:color w:val="000000"/>
                <w:sz w:val="14"/>
                <w:szCs w:val="14"/>
              </w:rPr>
            </w:pPr>
          </w:p>
        </w:tc>
        <w:tc>
          <w:tcPr>
            <w:tcW w:w="1826" w:type="dxa"/>
            <w:vMerge/>
            <w:shd w:val="clear" w:color="auto" w:fill="E7F3F4"/>
            <w:vAlign w:val="center"/>
          </w:tcPr>
          <w:p w14:paraId="78413D6A" w14:textId="77777777" w:rsidR="004920D8" w:rsidRPr="00880D29" w:rsidRDefault="004920D8" w:rsidP="00D64955">
            <w:pPr>
              <w:spacing w:before="0" w:after="0"/>
              <w:jc w:val="center"/>
              <w:rPr>
                <w:color w:val="000000"/>
                <w:sz w:val="14"/>
                <w:szCs w:val="14"/>
              </w:rPr>
            </w:pPr>
          </w:p>
        </w:tc>
        <w:tc>
          <w:tcPr>
            <w:tcW w:w="1030" w:type="dxa"/>
            <w:vMerge w:val="restart"/>
            <w:shd w:val="clear" w:color="auto" w:fill="E7F3F4"/>
            <w:vAlign w:val="center"/>
          </w:tcPr>
          <w:p w14:paraId="79DE111A" w14:textId="77777777" w:rsidR="004920D8" w:rsidRDefault="004920D8" w:rsidP="00D64955">
            <w:pPr>
              <w:spacing w:before="0" w:after="0"/>
              <w:jc w:val="center"/>
              <w:rPr>
                <w:color w:val="000000"/>
                <w:sz w:val="14"/>
                <w:szCs w:val="14"/>
              </w:rPr>
            </w:pPr>
            <w:r w:rsidRPr="00880D29">
              <w:rPr>
                <w:color w:val="000000"/>
                <w:sz w:val="14"/>
                <w:szCs w:val="14"/>
              </w:rPr>
              <w:t>Normanby</w:t>
            </w:r>
            <w:r>
              <w:rPr>
                <w:color w:val="000000"/>
                <w:sz w:val="14"/>
                <w:szCs w:val="14"/>
              </w:rPr>
              <w:t xml:space="preserve"> / Jeannie</w:t>
            </w:r>
          </w:p>
        </w:tc>
        <w:tc>
          <w:tcPr>
            <w:tcW w:w="1445" w:type="dxa"/>
            <w:vMerge w:val="restart"/>
            <w:shd w:val="clear" w:color="auto" w:fill="E7F3F4"/>
            <w:noWrap/>
            <w:vAlign w:val="center"/>
          </w:tcPr>
          <w:p w14:paraId="57430D8D" w14:textId="77777777" w:rsidR="004920D8" w:rsidRDefault="004920D8" w:rsidP="00D64955">
            <w:pPr>
              <w:spacing w:before="0" w:after="0"/>
              <w:jc w:val="center"/>
              <w:rPr>
                <w:color w:val="000000"/>
                <w:sz w:val="14"/>
                <w:szCs w:val="14"/>
              </w:rPr>
            </w:pPr>
            <w:r>
              <w:rPr>
                <w:color w:val="000000"/>
                <w:sz w:val="14"/>
                <w:szCs w:val="14"/>
              </w:rPr>
              <w:t>Flinders Group</w:t>
            </w:r>
          </w:p>
          <w:p w14:paraId="426BC4D9" w14:textId="77777777" w:rsidR="004920D8" w:rsidRPr="009B3E3A" w:rsidRDefault="004920D8" w:rsidP="00D64955">
            <w:pPr>
              <w:spacing w:before="0" w:after="0"/>
              <w:jc w:val="center"/>
              <w:rPr>
                <w:i/>
                <w:color w:val="000000"/>
                <w:sz w:val="14"/>
                <w:szCs w:val="14"/>
              </w:rPr>
            </w:pPr>
            <w:r w:rsidRPr="009B3E3A">
              <w:rPr>
                <w:i/>
                <w:color w:val="000000"/>
                <w:sz w:val="14"/>
                <w:szCs w:val="14"/>
              </w:rPr>
              <w:t>reef</w:t>
            </w:r>
          </w:p>
        </w:tc>
        <w:tc>
          <w:tcPr>
            <w:tcW w:w="619" w:type="dxa"/>
            <w:shd w:val="clear" w:color="auto" w:fill="E7F3F4"/>
            <w:noWrap/>
            <w:vAlign w:val="center"/>
          </w:tcPr>
          <w:p w14:paraId="3B6B7E84" w14:textId="77777777" w:rsidR="004920D8" w:rsidRDefault="004920D8" w:rsidP="00D64955">
            <w:pPr>
              <w:spacing w:before="0" w:after="0"/>
              <w:jc w:val="center"/>
              <w:rPr>
                <w:color w:val="000000"/>
                <w:sz w:val="14"/>
                <w:szCs w:val="14"/>
              </w:rPr>
            </w:pPr>
            <w:r>
              <w:rPr>
                <w:color w:val="000000"/>
                <w:sz w:val="14"/>
                <w:szCs w:val="14"/>
              </w:rPr>
              <w:t>FG1^</w:t>
            </w:r>
          </w:p>
        </w:tc>
        <w:tc>
          <w:tcPr>
            <w:tcW w:w="1202" w:type="dxa"/>
            <w:shd w:val="clear" w:color="auto" w:fill="E7F3F4"/>
            <w:noWrap/>
            <w:vAlign w:val="center"/>
          </w:tcPr>
          <w:p w14:paraId="25E164F2" w14:textId="77777777" w:rsidR="004920D8" w:rsidRDefault="004920D8" w:rsidP="00D64955">
            <w:pPr>
              <w:spacing w:before="0" w:after="0"/>
              <w:jc w:val="center"/>
              <w:rPr>
                <w:color w:val="000000"/>
                <w:sz w:val="14"/>
                <w:szCs w:val="14"/>
              </w:rPr>
            </w:pPr>
            <w:r>
              <w:rPr>
                <w:color w:val="000000"/>
                <w:sz w:val="14"/>
                <w:szCs w:val="14"/>
              </w:rPr>
              <w:t>Flinders Island</w:t>
            </w:r>
          </w:p>
        </w:tc>
        <w:tc>
          <w:tcPr>
            <w:tcW w:w="463" w:type="dxa"/>
            <w:shd w:val="clear" w:color="auto" w:fill="E7F3F4"/>
            <w:noWrap/>
            <w:vAlign w:val="center"/>
          </w:tcPr>
          <w:p w14:paraId="52EA6D55" w14:textId="77777777" w:rsidR="004920D8" w:rsidRPr="002C22E0" w:rsidRDefault="004920D8" w:rsidP="00D64955">
            <w:pPr>
              <w:spacing w:before="0" w:after="0"/>
              <w:jc w:val="center"/>
              <w:rPr>
                <w:color w:val="000000"/>
                <w:sz w:val="14"/>
                <w:szCs w:val="14"/>
              </w:rPr>
            </w:pPr>
            <w:r w:rsidRPr="002C22E0">
              <w:rPr>
                <w:color w:val="000000"/>
                <w:sz w:val="14"/>
                <w:szCs w:val="14"/>
              </w:rPr>
              <w:t>14</w:t>
            </w:r>
            <w:r w:rsidRPr="00880D29">
              <w:rPr>
                <w:color w:val="000000"/>
                <w:sz w:val="14"/>
                <w:szCs w:val="14"/>
              </w:rPr>
              <w:t>°</w:t>
            </w:r>
          </w:p>
        </w:tc>
        <w:tc>
          <w:tcPr>
            <w:tcW w:w="830" w:type="dxa"/>
            <w:shd w:val="clear" w:color="auto" w:fill="E7F3F4"/>
            <w:noWrap/>
            <w:vAlign w:val="center"/>
          </w:tcPr>
          <w:p w14:paraId="0671326B" w14:textId="77777777" w:rsidR="004920D8" w:rsidRPr="002C22E0" w:rsidRDefault="004920D8" w:rsidP="00D64955">
            <w:pPr>
              <w:spacing w:before="0" w:after="0"/>
              <w:jc w:val="center"/>
              <w:rPr>
                <w:color w:val="000000"/>
                <w:sz w:val="14"/>
                <w:szCs w:val="14"/>
              </w:rPr>
            </w:pPr>
            <w:r w:rsidRPr="002C22E0">
              <w:rPr>
                <w:color w:val="000000"/>
                <w:sz w:val="14"/>
                <w:szCs w:val="14"/>
              </w:rPr>
              <w:t>10.9464</w:t>
            </w:r>
          </w:p>
        </w:tc>
        <w:tc>
          <w:tcPr>
            <w:tcW w:w="546" w:type="dxa"/>
            <w:shd w:val="clear" w:color="auto" w:fill="E7F3F4"/>
            <w:noWrap/>
            <w:vAlign w:val="center"/>
          </w:tcPr>
          <w:p w14:paraId="3FA7F2DC" w14:textId="77777777" w:rsidR="004920D8" w:rsidRPr="002C22E0" w:rsidRDefault="004920D8" w:rsidP="00D64955">
            <w:pPr>
              <w:spacing w:before="0" w:after="0"/>
              <w:jc w:val="center"/>
              <w:rPr>
                <w:color w:val="000000"/>
                <w:sz w:val="14"/>
                <w:szCs w:val="14"/>
              </w:rPr>
            </w:pPr>
            <w:r w:rsidRPr="002C22E0">
              <w:rPr>
                <w:color w:val="000000"/>
                <w:sz w:val="14"/>
                <w:szCs w:val="14"/>
              </w:rPr>
              <w:t>144</w:t>
            </w:r>
            <w:r w:rsidRPr="00880D29">
              <w:rPr>
                <w:color w:val="000000"/>
                <w:sz w:val="14"/>
                <w:szCs w:val="14"/>
              </w:rPr>
              <w:t>°</w:t>
            </w:r>
          </w:p>
        </w:tc>
        <w:tc>
          <w:tcPr>
            <w:tcW w:w="830" w:type="dxa"/>
            <w:shd w:val="clear" w:color="auto" w:fill="E7F3F4"/>
            <w:noWrap/>
            <w:vAlign w:val="center"/>
          </w:tcPr>
          <w:p w14:paraId="291CC068" w14:textId="77777777" w:rsidR="004920D8" w:rsidRPr="002C22E0" w:rsidRDefault="004920D8" w:rsidP="00D64955">
            <w:pPr>
              <w:spacing w:before="0" w:after="0"/>
              <w:jc w:val="center"/>
              <w:rPr>
                <w:color w:val="000000"/>
                <w:sz w:val="14"/>
                <w:szCs w:val="14"/>
              </w:rPr>
            </w:pPr>
            <w:r w:rsidRPr="002C22E0">
              <w:rPr>
                <w:color w:val="000000"/>
                <w:sz w:val="14"/>
                <w:szCs w:val="14"/>
              </w:rPr>
              <w:t>13.52</w:t>
            </w:r>
            <w:r>
              <w:rPr>
                <w:color w:val="000000"/>
                <w:sz w:val="14"/>
                <w:szCs w:val="14"/>
              </w:rPr>
              <w:t>2</w:t>
            </w:r>
          </w:p>
        </w:tc>
        <w:tc>
          <w:tcPr>
            <w:tcW w:w="459" w:type="dxa"/>
            <w:vMerge w:val="restart"/>
            <w:shd w:val="clear" w:color="auto" w:fill="E7F3F4"/>
            <w:noWrap/>
            <w:vAlign w:val="center"/>
          </w:tcPr>
          <w:p w14:paraId="4F0E317E" w14:textId="77777777" w:rsidR="004920D8" w:rsidRPr="00F45F13" w:rsidRDefault="004920D8" w:rsidP="00D64955">
            <w:pPr>
              <w:spacing w:before="0" w:after="0"/>
              <w:jc w:val="center"/>
              <w:rPr>
                <w:color w:val="000000"/>
                <w:sz w:val="16"/>
                <w:szCs w:val="16"/>
              </w:rPr>
            </w:pPr>
          </w:p>
        </w:tc>
        <w:tc>
          <w:tcPr>
            <w:tcW w:w="357" w:type="dxa"/>
            <w:vMerge w:val="restart"/>
            <w:shd w:val="clear" w:color="auto" w:fill="E7F3F4"/>
            <w:vAlign w:val="center"/>
          </w:tcPr>
          <w:p w14:paraId="6E8D9533" w14:textId="77777777" w:rsidR="004920D8" w:rsidRPr="00F45F13" w:rsidRDefault="004920D8" w:rsidP="00D64955">
            <w:pPr>
              <w:spacing w:before="0" w:after="0"/>
              <w:jc w:val="center"/>
              <w:rPr>
                <w:color w:val="000000"/>
                <w:sz w:val="16"/>
                <w:szCs w:val="16"/>
              </w:rPr>
            </w:pPr>
          </w:p>
        </w:tc>
        <w:tc>
          <w:tcPr>
            <w:tcW w:w="370" w:type="dxa"/>
            <w:vMerge w:val="restart"/>
            <w:shd w:val="clear" w:color="auto" w:fill="E7F3F4"/>
            <w:vAlign w:val="center"/>
          </w:tcPr>
          <w:p w14:paraId="48A1AAFB" w14:textId="77777777" w:rsidR="004920D8" w:rsidRPr="00F45F13" w:rsidRDefault="004920D8" w:rsidP="00D64955">
            <w:pPr>
              <w:spacing w:before="0" w:after="0"/>
              <w:jc w:val="center"/>
              <w:rPr>
                <w:color w:val="000000"/>
                <w:sz w:val="16"/>
                <w:szCs w:val="16"/>
              </w:rPr>
            </w:pPr>
          </w:p>
        </w:tc>
        <w:tc>
          <w:tcPr>
            <w:tcW w:w="393" w:type="dxa"/>
            <w:vMerge w:val="restart"/>
            <w:shd w:val="clear" w:color="auto" w:fill="E7F3F4"/>
            <w:vAlign w:val="center"/>
          </w:tcPr>
          <w:p w14:paraId="7D2936EC" w14:textId="77777777" w:rsidR="004920D8" w:rsidRPr="00F45F13" w:rsidRDefault="004920D8" w:rsidP="00D64955">
            <w:pPr>
              <w:spacing w:before="0" w:after="0"/>
              <w:jc w:val="center"/>
              <w:rPr>
                <w:color w:val="000000"/>
                <w:sz w:val="14"/>
                <w:szCs w:val="14"/>
              </w:rPr>
            </w:pPr>
          </w:p>
        </w:tc>
        <w:tc>
          <w:tcPr>
            <w:tcW w:w="399" w:type="dxa"/>
            <w:vMerge w:val="restart"/>
            <w:shd w:val="clear" w:color="auto" w:fill="E7F3F4"/>
            <w:vAlign w:val="center"/>
          </w:tcPr>
          <w:p w14:paraId="312CF079"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24122BC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682702C7"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vMerge w:val="restart"/>
            <w:shd w:val="clear" w:color="auto" w:fill="E7F3F4"/>
            <w:vAlign w:val="center"/>
          </w:tcPr>
          <w:p w14:paraId="3BA28C0C" w14:textId="77777777" w:rsidR="004920D8" w:rsidRPr="00F45F13" w:rsidRDefault="004920D8" w:rsidP="00D64955">
            <w:pPr>
              <w:spacing w:before="0" w:after="0"/>
              <w:jc w:val="center"/>
              <w:rPr>
                <w:color w:val="000000"/>
                <w:sz w:val="14"/>
                <w:szCs w:val="14"/>
              </w:rPr>
            </w:pPr>
          </w:p>
        </w:tc>
        <w:tc>
          <w:tcPr>
            <w:tcW w:w="374" w:type="dxa"/>
            <w:vMerge w:val="restart"/>
            <w:shd w:val="clear" w:color="auto" w:fill="E7F3F4"/>
            <w:vAlign w:val="center"/>
          </w:tcPr>
          <w:p w14:paraId="65E37695" w14:textId="77777777" w:rsidR="004920D8" w:rsidRPr="00F45F13" w:rsidRDefault="004920D8" w:rsidP="00D64955">
            <w:pPr>
              <w:spacing w:before="0" w:after="0"/>
              <w:jc w:val="center"/>
              <w:rPr>
                <w:color w:val="000000"/>
                <w:sz w:val="16"/>
                <w:szCs w:val="16"/>
              </w:rPr>
            </w:pPr>
          </w:p>
        </w:tc>
        <w:tc>
          <w:tcPr>
            <w:tcW w:w="406" w:type="dxa"/>
            <w:vMerge w:val="restart"/>
            <w:shd w:val="clear" w:color="auto" w:fill="E7F3F4"/>
            <w:vAlign w:val="center"/>
          </w:tcPr>
          <w:p w14:paraId="6249243E" w14:textId="77777777" w:rsidR="004920D8" w:rsidRPr="00F45F13" w:rsidRDefault="004920D8" w:rsidP="00D64955">
            <w:pPr>
              <w:spacing w:before="0" w:after="0"/>
              <w:jc w:val="center"/>
              <w:rPr>
                <w:color w:val="000000"/>
                <w:sz w:val="14"/>
                <w:szCs w:val="14"/>
              </w:rPr>
            </w:pPr>
          </w:p>
        </w:tc>
      </w:tr>
      <w:tr w:rsidR="004920D8" w:rsidRPr="00015190" w14:paraId="128F4ED0" w14:textId="77777777" w:rsidTr="00D64955">
        <w:trPr>
          <w:trHeight w:val="170"/>
          <w:jc w:val="center"/>
        </w:trPr>
        <w:tc>
          <w:tcPr>
            <w:tcW w:w="900" w:type="dxa"/>
            <w:vMerge/>
            <w:shd w:val="clear" w:color="auto" w:fill="auto"/>
            <w:vAlign w:val="center"/>
          </w:tcPr>
          <w:p w14:paraId="462B0F2B" w14:textId="77777777" w:rsidR="004920D8" w:rsidRDefault="004920D8" w:rsidP="00D64955">
            <w:pPr>
              <w:spacing w:before="0" w:after="0"/>
              <w:jc w:val="center"/>
              <w:rPr>
                <w:color w:val="000000"/>
                <w:sz w:val="14"/>
                <w:szCs w:val="14"/>
              </w:rPr>
            </w:pPr>
          </w:p>
        </w:tc>
        <w:tc>
          <w:tcPr>
            <w:tcW w:w="1826" w:type="dxa"/>
            <w:vMerge/>
            <w:shd w:val="clear" w:color="auto" w:fill="E7F3F4"/>
            <w:vAlign w:val="center"/>
          </w:tcPr>
          <w:p w14:paraId="7CF1B923"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60586FB8" w14:textId="77777777" w:rsidR="004920D8" w:rsidRDefault="004920D8" w:rsidP="00D64955">
            <w:pPr>
              <w:spacing w:before="0" w:after="0"/>
              <w:jc w:val="center"/>
              <w:rPr>
                <w:color w:val="000000"/>
                <w:sz w:val="14"/>
                <w:szCs w:val="14"/>
              </w:rPr>
            </w:pPr>
          </w:p>
        </w:tc>
        <w:tc>
          <w:tcPr>
            <w:tcW w:w="1445" w:type="dxa"/>
            <w:vMerge/>
            <w:shd w:val="clear" w:color="auto" w:fill="E7F3F4"/>
            <w:noWrap/>
            <w:vAlign w:val="center"/>
          </w:tcPr>
          <w:p w14:paraId="3BC2D75C" w14:textId="77777777" w:rsidR="004920D8" w:rsidRDefault="004920D8" w:rsidP="00D64955">
            <w:pPr>
              <w:spacing w:before="0" w:after="0"/>
              <w:jc w:val="center"/>
              <w:rPr>
                <w:color w:val="000000"/>
                <w:sz w:val="14"/>
                <w:szCs w:val="14"/>
              </w:rPr>
            </w:pPr>
          </w:p>
        </w:tc>
        <w:tc>
          <w:tcPr>
            <w:tcW w:w="619" w:type="dxa"/>
            <w:shd w:val="clear" w:color="auto" w:fill="E7F3F4"/>
            <w:noWrap/>
            <w:vAlign w:val="center"/>
          </w:tcPr>
          <w:p w14:paraId="3CCCC561" w14:textId="77777777" w:rsidR="004920D8" w:rsidRDefault="004920D8" w:rsidP="00D64955">
            <w:pPr>
              <w:spacing w:before="0" w:after="0"/>
              <w:jc w:val="center"/>
              <w:rPr>
                <w:color w:val="000000"/>
                <w:sz w:val="14"/>
                <w:szCs w:val="14"/>
              </w:rPr>
            </w:pPr>
            <w:r>
              <w:rPr>
                <w:color w:val="000000"/>
                <w:sz w:val="14"/>
                <w:szCs w:val="14"/>
              </w:rPr>
              <w:t>FG2^</w:t>
            </w:r>
          </w:p>
        </w:tc>
        <w:tc>
          <w:tcPr>
            <w:tcW w:w="1202" w:type="dxa"/>
            <w:shd w:val="clear" w:color="auto" w:fill="E7F3F4"/>
            <w:noWrap/>
            <w:vAlign w:val="center"/>
          </w:tcPr>
          <w:p w14:paraId="16BCF5BB" w14:textId="77777777" w:rsidR="004920D8" w:rsidRDefault="004920D8" w:rsidP="00D64955">
            <w:pPr>
              <w:spacing w:before="0" w:after="0"/>
              <w:jc w:val="center"/>
              <w:rPr>
                <w:color w:val="000000"/>
                <w:sz w:val="14"/>
                <w:szCs w:val="14"/>
              </w:rPr>
            </w:pPr>
            <w:r>
              <w:rPr>
                <w:color w:val="000000"/>
                <w:sz w:val="14"/>
                <w:szCs w:val="14"/>
              </w:rPr>
              <w:t>Flinders Island</w:t>
            </w:r>
          </w:p>
        </w:tc>
        <w:tc>
          <w:tcPr>
            <w:tcW w:w="463" w:type="dxa"/>
            <w:shd w:val="clear" w:color="auto" w:fill="E7F3F4"/>
            <w:noWrap/>
            <w:vAlign w:val="center"/>
          </w:tcPr>
          <w:p w14:paraId="6A2BB217" w14:textId="77777777" w:rsidR="004920D8" w:rsidRPr="002C22E0" w:rsidRDefault="004920D8" w:rsidP="00D64955">
            <w:pPr>
              <w:spacing w:before="0" w:after="0"/>
              <w:jc w:val="center"/>
              <w:rPr>
                <w:color w:val="000000"/>
                <w:sz w:val="14"/>
                <w:szCs w:val="14"/>
              </w:rPr>
            </w:pPr>
            <w:r w:rsidRPr="002C22E0">
              <w:rPr>
                <w:color w:val="000000"/>
                <w:sz w:val="14"/>
                <w:szCs w:val="14"/>
              </w:rPr>
              <w:t>14</w:t>
            </w:r>
            <w:r w:rsidRPr="00880D29">
              <w:rPr>
                <w:color w:val="000000"/>
                <w:sz w:val="14"/>
                <w:szCs w:val="14"/>
              </w:rPr>
              <w:t>°</w:t>
            </w:r>
          </w:p>
        </w:tc>
        <w:tc>
          <w:tcPr>
            <w:tcW w:w="830" w:type="dxa"/>
            <w:shd w:val="clear" w:color="auto" w:fill="E7F3F4"/>
            <w:noWrap/>
            <w:vAlign w:val="center"/>
          </w:tcPr>
          <w:p w14:paraId="295C0E2C" w14:textId="77777777" w:rsidR="004920D8" w:rsidRPr="002C22E0" w:rsidRDefault="004920D8" w:rsidP="00D64955">
            <w:pPr>
              <w:spacing w:before="0" w:after="0"/>
              <w:jc w:val="center"/>
              <w:rPr>
                <w:color w:val="000000"/>
                <w:sz w:val="14"/>
                <w:szCs w:val="14"/>
              </w:rPr>
            </w:pPr>
            <w:r w:rsidRPr="002C22E0">
              <w:rPr>
                <w:color w:val="000000"/>
                <w:sz w:val="14"/>
                <w:szCs w:val="14"/>
              </w:rPr>
              <w:t>10.932</w:t>
            </w:r>
          </w:p>
        </w:tc>
        <w:tc>
          <w:tcPr>
            <w:tcW w:w="546" w:type="dxa"/>
            <w:shd w:val="clear" w:color="auto" w:fill="E7F3F4"/>
            <w:noWrap/>
            <w:vAlign w:val="center"/>
          </w:tcPr>
          <w:p w14:paraId="4B988474" w14:textId="77777777" w:rsidR="004920D8" w:rsidRPr="002C22E0" w:rsidRDefault="004920D8" w:rsidP="00D64955">
            <w:pPr>
              <w:spacing w:before="0" w:after="0"/>
              <w:jc w:val="center"/>
              <w:rPr>
                <w:color w:val="000000"/>
                <w:sz w:val="14"/>
                <w:szCs w:val="14"/>
              </w:rPr>
            </w:pPr>
            <w:r w:rsidRPr="002C22E0">
              <w:rPr>
                <w:color w:val="000000"/>
                <w:sz w:val="14"/>
                <w:szCs w:val="14"/>
              </w:rPr>
              <w:t>144</w:t>
            </w:r>
            <w:r w:rsidRPr="00880D29">
              <w:rPr>
                <w:color w:val="000000"/>
                <w:sz w:val="14"/>
                <w:szCs w:val="14"/>
              </w:rPr>
              <w:t>°</w:t>
            </w:r>
          </w:p>
        </w:tc>
        <w:tc>
          <w:tcPr>
            <w:tcW w:w="830" w:type="dxa"/>
            <w:shd w:val="clear" w:color="auto" w:fill="E7F3F4"/>
            <w:noWrap/>
            <w:vAlign w:val="center"/>
          </w:tcPr>
          <w:p w14:paraId="351E2125" w14:textId="77777777" w:rsidR="004920D8" w:rsidRPr="002C22E0" w:rsidRDefault="004920D8" w:rsidP="00D64955">
            <w:pPr>
              <w:spacing w:before="0" w:after="0"/>
              <w:jc w:val="center"/>
              <w:rPr>
                <w:color w:val="000000"/>
                <w:sz w:val="14"/>
                <w:szCs w:val="14"/>
              </w:rPr>
            </w:pPr>
            <w:r w:rsidRPr="002C22E0">
              <w:rPr>
                <w:color w:val="000000"/>
                <w:sz w:val="14"/>
                <w:szCs w:val="14"/>
              </w:rPr>
              <w:t>13.52</w:t>
            </w:r>
            <w:r>
              <w:rPr>
                <w:color w:val="000000"/>
                <w:sz w:val="14"/>
                <w:szCs w:val="14"/>
              </w:rPr>
              <w:t>2</w:t>
            </w:r>
          </w:p>
        </w:tc>
        <w:tc>
          <w:tcPr>
            <w:tcW w:w="459" w:type="dxa"/>
            <w:vMerge/>
            <w:shd w:val="clear" w:color="auto" w:fill="E7F3F4"/>
            <w:noWrap/>
            <w:vAlign w:val="center"/>
          </w:tcPr>
          <w:p w14:paraId="5FEA5B76" w14:textId="77777777" w:rsidR="004920D8" w:rsidRPr="00F45F13" w:rsidRDefault="004920D8" w:rsidP="00D64955">
            <w:pPr>
              <w:spacing w:before="0" w:after="0"/>
              <w:jc w:val="center"/>
              <w:rPr>
                <w:color w:val="000000"/>
                <w:sz w:val="16"/>
                <w:szCs w:val="16"/>
              </w:rPr>
            </w:pPr>
          </w:p>
        </w:tc>
        <w:tc>
          <w:tcPr>
            <w:tcW w:w="357" w:type="dxa"/>
            <w:vMerge/>
            <w:shd w:val="clear" w:color="auto" w:fill="E7F3F4"/>
            <w:vAlign w:val="center"/>
          </w:tcPr>
          <w:p w14:paraId="3CC3A199" w14:textId="77777777" w:rsidR="004920D8" w:rsidRPr="00F45F13" w:rsidRDefault="004920D8" w:rsidP="00D64955">
            <w:pPr>
              <w:spacing w:before="0" w:after="0"/>
              <w:jc w:val="center"/>
              <w:rPr>
                <w:color w:val="000000"/>
                <w:sz w:val="16"/>
                <w:szCs w:val="16"/>
              </w:rPr>
            </w:pPr>
          </w:p>
        </w:tc>
        <w:tc>
          <w:tcPr>
            <w:tcW w:w="370" w:type="dxa"/>
            <w:vMerge/>
            <w:shd w:val="clear" w:color="auto" w:fill="E7F3F4"/>
            <w:vAlign w:val="center"/>
          </w:tcPr>
          <w:p w14:paraId="381B3B5B" w14:textId="77777777" w:rsidR="004920D8" w:rsidRPr="00F45F13" w:rsidRDefault="004920D8" w:rsidP="00D64955">
            <w:pPr>
              <w:spacing w:before="0" w:after="0"/>
              <w:jc w:val="center"/>
              <w:rPr>
                <w:color w:val="000000"/>
                <w:sz w:val="16"/>
                <w:szCs w:val="16"/>
              </w:rPr>
            </w:pPr>
          </w:p>
        </w:tc>
        <w:tc>
          <w:tcPr>
            <w:tcW w:w="393" w:type="dxa"/>
            <w:vMerge/>
            <w:shd w:val="clear" w:color="auto" w:fill="E7F3F4"/>
            <w:vAlign w:val="center"/>
          </w:tcPr>
          <w:p w14:paraId="07C0E48F" w14:textId="77777777" w:rsidR="004920D8" w:rsidRPr="00F45F13" w:rsidRDefault="004920D8" w:rsidP="00D64955">
            <w:pPr>
              <w:spacing w:before="0" w:after="0"/>
              <w:jc w:val="center"/>
              <w:rPr>
                <w:color w:val="000000"/>
                <w:sz w:val="14"/>
                <w:szCs w:val="14"/>
              </w:rPr>
            </w:pPr>
          </w:p>
        </w:tc>
        <w:tc>
          <w:tcPr>
            <w:tcW w:w="399" w:type="dxa"/>
            <w:vMerge/>
            <w:shd w:val="clear" w:color="auto" w:fill="E7F3F4"/>
            <w:vAlign w:val="center"/>
          </w:tcPr>
          <w:p w14:paraId="0E0CF4E7" w14:textId="77777777" w:rsidR="004920D8" w:rsidRPr="00F45F13" w:rsidRDefault="004920D8" w:rsidP="00D64955">
            <w:pPr>
              <w:spacing w:before="0" w:after="0"/>
              <w:jc w:val="center"/>
              <w:rPr>
                <w:color w:val="000000"/>
                <w:sz w:val="14"/>
                <w:szCs w:val="14"/>
              </w:rPr>
            </w:pPr>
          </w:p>
        </w:tc>
        <w:tc>
          <w:tcPr>
            <w:tcW w:w="371" w:type="dxa"/>
            <w:vMerge/>
            <w:shd w:val="clear" w:color="auto" w:fill="E7F3F4"/>
            <w:vAlign w:val="center"/>
          </w:tcPr>
          <w:p w14:paraId="221C092D" w14:textId="77777777" w:rsidR="004920D8" w:rsidRPr="00F45F13" w:rsidRDefault="004920D8" w:rsidP="00D64955">
            <w:pPr>
              <w:spacing w:before="0" w:after="0"/>
              <w:jc w:val="center"/>
              <w:rPr>
                <w:color w:val="000000"/>
                <w:sz w:val="14"/>
                <w:szCs w:val="14"/>
              </w:rPr>
            </w:pPr>
          </w:p>
        </w:tc>
        <w:tc>
          <w:tcPr>
            <w:tcW w:w="396" w:type="dxa"/>
            <w:vMerge/>
            <w:shd w:val="clear" w:color="auto" w:fill="E7F3F4"/>
            <w:vAlign w:val="center"/>
          </w:tcPr>
          <w:p w14:paraId="2898D339" w14:textId="77777777" w:rsidR="004920D8" w:rsidRPr="00F45F13" w:rsidRDefault="004920D8" w:rsidP="00D64955">
            <w:pPr>
              <w:spacing w:before="0" w:after="0"/>
              <w:jc w:val="center"/>
              <w:rPr>
                <w:color w:val="000000"/>
                <w:sz w:val="16"/>
                <w:szCs w:val="16"/>
              </w:rPr>
            </w:pPr>
          </w:p>
        </w:tc>
        <w:tc>
          <w:tcPr>
            <w:tcW w:w="340" w:type="dxa"/>
            <w:vMerge/>
            <w:shd w:val="clear" w:color="auto" w:fill="E7F3F4"/>
            <w:vAlign w:val="center"/>
          </w:tcPr>
          <w:p w14:paraId="09EBFD50" w14:textId="77777777" w:rsidR="004920D8" w:rsidRPr="00F45F13" w:rsidRDefault="004920D8" w:rsidP="00D64955">
            <w:pPr>
              <w:spacing w:before="0" w:after="0"/>
              <w:jc w:val="center"/>
              <w:rPr>
                <w:color w:val="000000"/>
                <w:sz w:val="14"/>
                <w:szCs w:val="14"/>
              </w:rPr>
            </w:pPr>
          </w:p>
        </w:tc>
        <w:tc>
          <w:tcPr>
            <w:tcW w:w="374" w:type="dxa"/>
            <w:vMerge/>
            <w:shd w:val="clear" w:color="auto" w:fill="E7F3F4"/>
            <w:vAlign w:val="center"/>
          </w:tcPr>
          <w:p w14:paraId="3D61A41B" w14:textId="77777777" w:rsidR="004920D8" w:rsidRPr="00F45F13" w:rsidRDefault="004920D8" w:rsidP="00D64955">
            <w:pPr>
              <w:spacing w:before="0" w:after="0"/>
              <w:jc w:val="center"/>
              <w:rPr>
                <w:color w:val="000000"/>
                <w:sz w:val="16"/>
                <w:szCs w:val="16"/>
              </w:rPr>
            </w:pPr>
          </w:p>
        </w:tc>
        <w:tc>
          <w:tcPr>
            <w:tcW w:w="406" w:type="dxa"/>
            <w:vMerge/>
            <w:shd w:val="clear" w:color="auto" w:fill="E7F3F4"/>
            <w:vAlign w:val="center"/>
          </w:tcPr>
          <w:p w14:paraId="65E16291" w14:textId="77777777" w:rsidR="004920D8" w:rsidRPr="00F45F13" w:rsidRDefault="004920D8" w:rsidP="00D64955">
            <w:pPr>
              <w:spacing w:before="0" w:after="0"/>
              <w:jc w:val="center"/>
              <w:rPr>
                <w:color w:val="000000"/>
                <w:sz w:val="14"/>
                <w:szCs w:val="14"/>
              </w:rPr>
            </w:pPr>
          </w:p>
        </w:tc>
      </w:tr>
      <w:tr w:rsidR="004920D8" w:rsidRPr="00015190" w14:paraId="32BCB67B" w14:textId="77777777" w:rsidTr="00D64955">
        <w:trPr>
          <w:trHeight w:val="170"/>
          <w:jc w:val="center"/>
        </w:trPr>
        <w:tc>
          <w:tcPr>
            <w:tcW w:w="900" w:type="dxa"/>
            <w:vMerge w:val="restart"/>
            <w:shd w:val="clear" w:color="auto" w:fill="auto"/>
            <w:vAlign w:val="center"/>
          </w:tcPr>
          <w:p w14:paraId="1ECF37E3" w14:textId="77777777" w:rsidR="004920D8" w:rsidRDefault="004920D8" w:rsidP="00D64955">
            <w:pPr>
              <w:spacing w:before="0" w:after="0"/>
              <w:jc w:val="center"/>
              <w:rPr>
                <w:color w:val="000000"/>
                <w:sz w:val="14"/>
                <w:szCs w:val="14"/>
              </w:rPr>
            </w:pPr>
            <w:r>
              <w:rPr>
                <w:color w:val="000000"/>
                <w:sz w:val="14"/>
                <w:szCs w:val="14"/>
              </w:rPr>
              <w:t>Northern</w:t>
            </w:r>
          </w:p>
        </w:tc>
        <w:tc>
          <w:tcPr>
            <w:tcW w:w="1826" w:type="dxa"/>
            <w:vMerge w:val="restart"/>
            <w:shd w:val="clear" w:color="auto" w:fill="E7F3F4"/>
            <w:vAlign w:val="center"/>
          </w:tcPr>
          <w:p w14:paraId="0E9FCD65" w14:textId="77777777" w:rsidR="004920D8" w:rsidRPr="00880D29" w:rsidRDefault="004920D8" w:rsidP="00D64955">
            <w:pPr>
              <w:spacing w:before="0" w:after="0"/>
              <w:jc w:val="center"/>
              <w:rPr>
                <w:color w:val="000000"/>
                <w:sz w:val="14"/>
                <w:szCs w:val="14"/>
              </w:rPr>
            </w:pPr>
            <w:r>
              <w:rPr>
                <w:color w:val="000000"/>
                <w:sz w:val="14"/>
                <w:szCs w:val="14"/>
              </w:rPr>
              <w:t>Wet Tropics</w:t>
            </w:r>
          </w:p>
        </w:tc>
        <w:tc>
          <w:tcPr>
            <w:tcW w:w="1030" w:type="dxa"/>
            <w:vMerge w:val="restart"/>
            <w:shd w:val="clear" w:color="auto" w:fill="E7F3F4"/>
            <w:vAlign w:val="center"/>
          </w:tcPr>
          <w:p w14:paraId="23974B93" w14:textId="77777777" w:rsidR="004920D8" w:rsidRDefault="004920D8" w:rsidP="00D64955">
            <w:pPr>
              <w:spacing w:before="0" w:after="0"/>
              <w:jc w:val="center"/>
              <w:rPr>
                <w:color w:val="000000"/>
                <w:sz w:val="14"/>
                <w:szCs w:val="14"/>
              </w:rPr>
            </w:pPr>
            <w:r w:rsidRPr="00880D29">
              <w:rPr>
                <w:color w:val="000000"/>
                <w:sz w:val="14"/>
                <w:szCs w:val="14"/>
              </w:rPr>
              <w:t>Tully</w:t>
            </w:r>
            <w:r>
              <w:rPr>
                <w:color w:val="000000"/>
                <w:sz w:val="14"/>
                <w:szCs w:val="14"/>
              </w:rPr>
              <w:t xml:space="preserve"> / Murray / Herbert</w:t>
            </w:r>
          </w:p>
        </w:tc>
        <w:tc>
          <w:tcPr>
            <w:tcW w:w="1445" w:type="dxa"/>
            <w:shd w:val="clear" w:color="auto" w:fill="E7F3F4"/>
            <w:noWrap/>
            <w:vAlign w:val="center"/>
          </w:tcPr>
          <w:p w14:paraId="7E3AFC7F" w14:textId="77777777" w:rsidR="004920D8" w:rsidRDefault="004920D8" w:rsidP="00D64955">
            <w:pPr>
              <w:spacing w:before="0" w:after="0"/>
              <w:jc w:val="center"/>
              <w:rPr>
                <w:color w:val="000000"/>
                <w:sz w:val="14"/>
                <w:szCs w:val="14"/>
              </w:rPr>
            </w:pPr>
            <w:r>
              <w:rPr>
                <w:color w:val="000000"/>
                <w:sz w:val="14"/>
                <w:szCs w:val="14"/>
              </w:rPr>
              <w:t>Rockingham Bay</w:t>
            </w:r>
          </w:p>
          <w:p w14:paraId="37F599E2" w14:textId="77777777" w:rsidR="004920D8" w:rsidRPr="009609A6" w:rsidRDefault="004920D8" w:rsidP="00D64955">
            <w:pPr>
              <w:spacing w:before="0" w:after="0"/>
              <w:jc w:val="center"/>
              <w:rPr>
                <w:i/>
                <w:color w:val="000000"/>
                <w:sz w:val="14"/>
                <w:szCs w:val="14"/>
              </w:rPr>
            </w:pPr>
            <w:r w:rsidRPr="009609A6">
              <w:rPr>
                <w:i/>
                <w:color w:val="000000"/>
                <w:sz w:val="14"/>
                <w:szCs w:val="14"/>
              </w:rPr>
              <w:t>reef</w:t>
            </w:r>
          </w:p>
        </w:tc>
        <w:tc>
          <w:tcPr>
            <w:tcW w:w="619" w:type="dxa"/>
            <w:shd w:val="clear" w:color="auto" w:fill="E7F3F4"/>
            <w:noWrap/>
            <w:vAlign w:val="center"/>
          </w:tcPr>
          <w:p w14:paraId="641D55C8" w14:textId="77777777" w:rsidR="004920D8" w:rsidRDefault="004920D8" w:rsidP="00D64955">
            <w:pPr>
              <w:spacing w:before="0" w:after="0"/>
              <w:jc w:val="center"/>
              <w:rPr>
                <w:color w:val="000000"/>
                <w:sz w:val="14"/>
                <w:szCs w:val="14"/>
              </w:rPr>
            </w:pPr>
            <w:r>
              <w:rPr>
                <w:color w:val="000000"/>
                <w:sz w:val="14"/>
                <w:szCs w:val="14"/>
              </w:rPr>
              <w:t>GO1</w:t>
            </w:r>
          </w:p>
        </w:tc>
        <w:tc>
          <w:tcPr>
            <w:tcW w:w="1202" w:type="dxa"/>
            <w:shd w:val="clear" w:color="auto" w:fill="E7F3F4"/>
            <w:noWrap/>
            <w:vAlign w:val="center"/>
          </w:tcPr>
          <w:p w14:paraId="5470BBF6" w14:textId="77777777" w:rsidR="004920D8" w:rsidRDefault="004920D8" w:rsidP="00D64955">
            <w:pPr>
              <w:spacing w:before="0" w:after="0"/>
              <w:jc w:val="center"/>
              <w:rPr>
                <w:color w:val="000000"/>
                <w:sz w:val="14"/>
                <w:szCs w:val="14"/>
              </w:rPr>
            </w:pPr>
            <w:r>
              <w:rPr>
                <w:color w:val="000000"/>
                <w:sz w:val="14"/>
                <w:szCs w:val="14"/>
              </w:rPr>
              <w:t>Goold Island</w:t>
            </w:r>
          </w:p>
        </w:tc>
        <w:tc>
          <w:tcPr>
            <w:tcW w:w="463" w:type="dxa"/>
            <w:shd w:val="clear" w:color="auto" w:fill="E7F3F4"/>
            <w:noWrap/>
            <w:vAlign w:val="center"/>
          </w:tcPr>
          <w:p w14:paraId="03E7B233" w14:textId="77777777" w:rsidR="004920D8" w:rsidRPr="00880D29" w:rsidRDefault="004920D8" w:rsidP="00D64955">
            <w:pPr>
              <w:spacing w:before="0" w:after="0"/>
              <w:jc w:val="center"/>
              <w:rPr>
                <w:color w:val="000000"/>
                <w:sz w:val="14"/>
                <w:szCs w:val="14"/>
              </w:rPr>
            </w:pPr>
            <w:r>
              <w:rPr>
                <w:color w:val="000000"/>
                <w:sz w:val="14"/>
                <w:szCs w:val="14"/>
              </w:rPr>
              <w:t>18</w:t>
            </w:r>
            <w:r w:rsidRPr="00880D29">
              <w:rPr>
                <w:color w:val="000000"/>
                <w:sz w:val="14"/>
                <w:szCs w:val="14"/>
              </w:rPr>
              <w:t>°</w:t>
            </w:r>
          </w:p>
        </w:tc>
        <w:tc>
          <w:tcPr>
            <w:tcW w:w="830" w:type="dxa"/>
            <w:shd w:val="clear" w:color="auto" w:fill="E7F3F4"/>
            <w:noWrap/>
            <w:vAlign w:val="center"/>
          </w:tcPr>
          <w:p w14:paraId="6AABFC3B" w14:textId="77777777" w:rsidR="004920D8" w:rsidRDefault="004920D8" w:rsidP="00D64955">
            <w:pPr>
              <w:spacing w:before="0" w:after="0"/>
              <w:jc w:val="center"/>
              <w:rPr>
                <w:color w:val="000000"/>
                <w:sz w:val="14"/>
                <w:szCs w:val="14"/>
              </w:rPr>
            </w:pPr>
            <w:r w:rsidRPr="00861753">
              <w:rPr>
                <w:color w:val="000000"/>
                <w:sz w:val="14"/>
                <w:szCs w:val="14"/>
              </w:rPr>
              <w:t>10.428</w:t>
            </w:r>
          </w:p>
        </w:tc>
        <w:tc>
          <w:tcPr>
            <w:tcW w:w="546" w:type="dxa"/>
            <w:shd w:val="clear" w:color="auto" w:fill="E7F3F4"/>
            <w:noWrap/>
            <w:vAlign w:val="center"/>
          </w:tcPr>
          <w:p w14:paraId="62F85BFE" w14:textId="77777777" w:rsidR="004920D8" w:rsidRPr="00880D29" w:rsidRDefault="004920D8" w:rsidP="00D64955">
            <w:pPr>
              <w:spacing w:before="0" w:after="0"/>
              <w:jc w:val="center"/>
              <w:rPr>
                <w:color w:val="000000"/>
                <w:sz w:val="14"/>
                <w:szCs w:val="14"/>
              </w:rPr>
            </w:pPr>
            <w:r>
              <w:rPr>
                <w:color w:val="000000"/>
                <w:sz w:val="14"/>
                <w:szCs w:val="14"/>
              </w:rPr>
              <w:t>146</w:t>
            </w:r>
            <w:r w:rsidRPr="00880D29">
              <w:rPr>
                <w:color w:val="000000"/>
                <w:sz w:val="14"/>
                <w:szCs w:val="14"/>
              </w:rPr>
              <w:t>°</w:t>
            </w:r>
          </w:p>
        </w:tc>
        <w:tc>
          <w:tcPr>
            <w:tcW w:w="830" w:type="dxa"/>
            <w:shd w:val="clear" w:color="auto" w:fill="E7F3F4"/>
            <w:noWrap/>
            <w:vAlign w:val="center"/>
          </w:tcPr>
          <w:p w14:paraId="6CEE0313" w14:textId="77777777" w:rsidR="004920D8" w:rsidRDefault="004920D8" w:rsidP="00D64955">
            <w:pPr>
              <w:spacing w:before="0" w:after="0"/>
              <w:jc w:val="center"/>
              <w:rPr>
                <w:color w:val="000000"/>
                <w:sz w:val="14"/>
                <w:szCs w:val="14"/>
              </w:rPr>
            </w:pPr>
            <w:r w:rsidRPr="00C0489F">
              <w:rPr>
                <w:color w:val="000000"/>
                <w:sz w:val="14"/>
                <w:szCs w:val="14"/>
              </w:rPr>
              <w:t>9.186</w:t>
            </w:r>
          </w:p>
        </w:tc>
        <w:tc>
          <w:tcPr>
            <w:tcW w:w="459" w:type="dxa"/>
            <w:shd w:val="clear" w:color="auto" w:fill="E7F3F4"/>
            <w:noWrap/>
            <w:vAlign w:val="center"/>
          </w:tcPr>
          <w:p w14:paraId="01F8EE03"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57" w:type="dxa"/>
            <w:shd w:val="clear" w:color="auto" w:fill="E7F3F4"/>
            <w:vAlign w:val="center"/>
          </w:tcPr>
          <w:p w14:paraId="45CF912D"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70" w:type="dxa"/>
            <w:shd w:val="clear" w:color="auto" w:fill="E7F3F4"/>
            <w:vAlign w:val="center"/>
          </w:tcPr>
          <w:p w14:paraId="47014C02" w14:textId="77777777" w:rsidR="004920D8" w:rsidRPr="00F45F13" w:rsidRDefault="004920D8" w:rsidP="00D64955">
            <w:pPr>
              <w:spacing w:before="0" w:after="0"/>
              <w:jc w:val="center"/>
              <w:rPr>
                <w:color w:val="000000"/>
                <w:sz w:val="16"/>
                <w:szCs w:val="16"/>
              </w:rPr>
            </w:pPr>
          </w:p>
        </w:tc>
        <w:tc>
          <w:tcPr>
            <w:tcW w:w="393" w:type="dxa"/>
            <w:shd w:val="clear" w:color="auto" w:fill="E7F3F4"/>
            <w:vAlign w:val="center"/>
          </w:tcPr>
          <w:p w14:paraId="17CDBF59" w14:textId="77777777" w:rsidR="004920D8" w:rsidRPr="00F45F13" w:rsidRDefault="004920D8" w:rsidP="00D64955">
            <w:pPr>
              <w:spacing w:before="0" w:after="0"/>
              <w:jc w:val="center"/>
              <w:rPr>
                <w:color w:val="000000"/>
                <w:sz w:val="14"/>
                <w:szCs w:val="14"/>
              </w:rPr>
            </w:pPr>
          </w:p>
        </w:tc>
        <w:tc>
          <w:tcPr>
            <w:tcW w:w="399" w:type="dxa"/>
            <w:shd w:val="clear" w:color="auto" w:fill="E7F3F4"/>
            <w:vAlign w:val="center"/>
          </w:tcPr>
          <w:p w14:paraId="4B326BE9"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shd w:val="clear" w:color="auto" w:fill="E7F3F4"/>
            <w:vAlign w:val="center"/>
          </w:tcPr>
          <w:p w14:paraId="6862946C" w14:textId="77777777" w:rsidR="004920D8" w:rsidRPr="00F45F13" w:rsidRDefault="004920D8" w:rsidP="00D64955">
            <w:pPr>
              <w:spacing w:before="0" w:after="0"/>
              <w:jc w:val="center"/>
              <w:rPr>
                <w:color w:val="000000"/>
                <w:sz w:val="14"/>
                <w:szCs w:val="14"/>
              </w:rPr>
            </w:pPr>
          </w:p>
        </w:tc>
        <w:tc>
          <w:tcPr>
            <w:tcW w:w="396" w:type="dxa"/>
            <w:shd w:val="clear" w:color="auto" w:fill="E7F3F4"/>
            <w:vAlign w:val="center"/>
          </w:tcPr>
          <w:p w14:paraId="28E4D7B7"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shd w:val="clear" w:color="auto" w:fill="E7F3F4"/>
            <w:vAlign w:val="center"/>
          </w:tcPr>
          <w:p w14:paraId="6E345135" w14:textId="77777777" w:rsidR="004920D8" w:rsidRPr="00F45F13" w:rsidRDefault="004920D8" w:rsidP="00D64955">
            <w:pPr>
              <w:spacing w:before="0" w:after="0"/>
              <w:jc w:val="center"/>
              <w:rPr>
                <w:color w:val="000000"/>
                <w:sz w:val="14"/>
                <w:szCs w:val="14"/>
              </w:rPr>
            </w:pPr>
          </w:p>
        </w:tc>
        <w:tc>
          <w:tcPr>
            <w:tcW w:w="374" w:type="dxa"/>
            <w:shd w:val="clear" w:color="auto" w:fill="E7F3F4"/>
            <w:vAlign w:val="center"/>
          </w:tcPr>
          <w:p w14:paraId="681C5444" w14:textId="77777777" w:rsidR="004920D8" w:rsidRPr="00F45F13" w:rsidRDefault="004920D8" w:rsidP="00D64955">
            <w:pPr>
              <w:spacing w:before="0" w:after="0"/>
              <w:jc w:val="center"/>
              <w:rPr>
                <w:color w:val="000000"/>
                <w:sz w:val="16"/>
                <w:szCs w:val="16"/>
              </w:rPr>
            </w:pPr>
          </w:p>
        </w:tc>
        <w:tc>
          <w:tcPr>
            <w:tcW w:w="406" w:type="dxa"/>
            <w:shd w:val="clear" w:color="auto" w:fill="E7F3F4"/>
            <w:vAlign w:val="center"/>
          </w:tcPr>
          <w:p w14:paraId="21D991D7" w14:textId="77777777" w:rsidR="004920D8" w:rsidRPr="00F45F13" w:rsidRDefault="004920D8" w:rsidP="00D64955">
            <w:pPr>
              <w:spacing w:before="0" w:after="0"/>
              <w:jc w:val="center"/>
              <w:rPr>
                <w:color w:val="000000"/>
                <w:sz w:val="14"/>
                <w:szCs w:val="14"/>
              </w:rPr>
            </w:pPr>
          </w:p>
        </w:tc>
      </w:tr>
      <w:tr w:rsidR="004920D8" w:rsidRPr="00015190" w14:paraId="72E5A53D" w14:textId="77777777" w:rsidTr="00D64955">
        <w:trPr>
          <w:trHeight w:val="170"/>
          <w:jc w:val="center"/>
        </w:trPr>
        <w:tc>
          <w:tcPr>
            <w:tcW w:w="900" w:type="dxa"/>
            <w:vMerge/>
            <w:shd w:val="clear" w:color="auto" w:fill="auto"/>
            <w:vAlign w:val="center"/>
          </w:tcPr>
          <w:p w14:paraId="0CB14A34" w14:textId="77777777" w:rsidR="004920D8" w:rsidRDefault="004920D8" w:rsidP="00D64955">
            <w:pPr>
              <w:spacing w:before="0" w:after="0"/>
              <w:jc w:val="center"/>
              <w:rPr>
                <w:color w:val="000000"/>
                <w:sz w:val="14"/>
                <w:szCs w:val="14"/>
              </w:rPr>
            </w:pPr>
          </w:p>
        </w:tc>
        <w:tc>
          <w:tcPr>
            <w:tcW w:w="1826" w:type="dxa"/>
            <w:vMerge/>
            <w:shd w:val="clear" w:color="auto" w:fill="E7F3F4"/>
            <w:vAlign w:val="center"/>
          </w:tcPr>
          <w:p w14:paraId="0878653E"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0DD09F6B" w14:textId="77777777" w:rsidR="004920D8" w:rsidRDefault="004920D8" w:rsidP="00D64955">
            <w:pPr>
              <w:spacing w:before="0" w:after="0"/>
              <w:jc w:val="center"/>
              <w:rPr>
                <w:color w:val="000000"/>
                <w:sz w:val="14"/>
                <w:szCs w:val="14"/>
              </w:rPr>
            </w:pPr>
          </w:p>
        </w:tc>
        <w:tc>
          <w:tcPr>
            <w:tcW w:w="1445" w:type="dxa"/>
            <w:vMerge w:val="restart"/>
            <w:shd w:val="clear" w:color="auto" w:fill="E7F3F4"/>
            <w:noWrap/>
            <w:vAlign w:val="center"/>
          </w:tcPr>
          <w:p w14:paraId="17807F93" w14:textId="77777777" w:rsidR="004920D8" w:rsidRDefault="004920D8" w:rsidP="00D64955">
            <w:pPr>
              <w:spacing w:before="0" w:after="0"/>
              <w:jc w:val="center"/>
              <w:rPr>
                <w:color w:val="000000"/>
                <w:sz w:val="14"/>
                <w:szCs w:val="14"/>
              </w:rPr>
            </w:pPr>
            <w:r>
              <w:rPr>
                <w:color w:val="000000"/>
                <w:sz w:val="14"/>
                <w:szCs w:val="14"/>
              </w:rPr>
              <w:t>Missionary Bay</w:t>
            </w:r>
          </w:p>
          <w:p w14:paraId="37AAEA9E" w14:textId="77777777" w:rsidR="004920D8" w:rsidRDefault="004920D8" w:rsidP="00D64955">
            <w:pPr>
              <w:spacing w:before="0" w:after="0"/>
              <w:jc w:val="center"/>
              <w:rPr>
                <w:color w:val="000000"/>
                <w:sz w:val="14"/>
                <w:szCs w:val="14"/>
              </w:rPr>
            </w:pPr>
            <w:r>
              <w:rPr>
                <w:i/>
                <w:color w:val="000000"/>
                <w:sz w:val="14"/>
                <w:szCs w:val="14"/>
              </w:rPr>
              <w:t>coastal</w:t>
            </w:r>
          </w:p>
        </w:tc>
        <w:tc>
          <w:tcPr>
            <w:tcW w:w="619" w:type="dxa"/>
            <w:shd w:val="clear" w:color="auto" w:fill="E7F3F4"/>
            <w:noWrap/>
            <w:vAlign w:val="center"/>
          </w:tcPr>
          <w:p w14:paraId="32F77C6D" w14:textId="77777777" w:rsidR="004920D8" w:rsidRDefault="004920D8" w:rsidP="00D64955">
            <w:pPr>
              <w:spacing w:before="0" w:after="0"/>
              <w:jc w:val="center"/>
              <w:rPr>
                <w:color w:val="000000"/>
                <w:sz w:val="14"/>
                <w:szCs w:val="14"/>
              </w:rPr>
            </w:pPr>
            <w:r>
              <w:rPr>
                <w:color w:val="000000"/>
                <w:sz w:val="14"/>
                <w:szCs w:val="14"/>
              </w:rPr>
              <w:t>MS1^</w:t>
            </w:r>
          </w:p>
        </w:tc>
        <w:tc>
          <w:tcPr>
            <w:tcW w:w="1202" w:type="dxa"/>
            <w:shd w:val="clear" w:color="auto" w:fill="E7F3F4"/>
            <w:noWrap/>
            <w:vAlign w:val="center"/>
          </w:tcPr>
          <w:p w14:paraId="5B6D30F2" w14:textId="77777777" w:rsidR="004920D8" w:rsidRDefault="004920D8" w:rsidP="00D64955">
            <w:pPr>
              <w:spacing w:before="0" w:after="0"/>
              <w:jc w:val="center"/>
              <w:rPr>
                <w:color w:val="000000"/>
                <w:sz w:val="14"/>
                <w:szCs w:val="14"/>
              </w:rPr>
            </w:pPr>
            <w:r>
              <w:rPr>
                <w:color w:val="000000"/>
                <w:sz w:val="14"/>
                <w:szCs w:val="14"/>
              </w:rPr>
              <w:t>Cape Richards</w:t>
            </w:r>
          </w:p>
        </w:tc>
        <w:tc>
          <w:tcPr>
            <w:tcW w:w="463" w:type="dxa"/>
            <w:shd w:val="clear" w:color="auto" w:fill="E7F3F4"/>
            <w:noWrap/>
            <w:vAlign w:val="center"/>
          </w:tcPr>
          <w:p w14:paraId="06FB9B78" w14:textId="77777777" w:rsidR="004920D8" w:rsidRPr="00880D29" w:rsidRDefault="004920D8" w:rsidP="00D64955">
            <w:pPr>
              <w:spacing w:before="0" w:after="0"/>
              <w:jc w:val="center"/>
              <w:rPr>
                <w:color w:val="000000"/>
                <w:sz w:val="14"/>
                <w:szCs w:val="14"/>
              </w:rPr>
            </w:pPr>
            <w:r>
              <w:rPr>
                <w:color w:val="000000"/>
                <w:sz w:val="14"/>
                <w:szCs w:val="14"/>
              </w:rPr>
              <w:t>18</w:t>
            </w:r>
            <w:r w:rsidRPr="00880D29">
              <w:rPr>
                <w:color w:val="000000"/>
                <w:sz w:val="14"/>
                <w:szCs w:val="14"/>
              </w:rPr>
              <w:t>°</w:t>
            </w:r>
          </w:p>
        </w:tc>
        <w:tc>
          <w:tcPr>
            <w:tcW w:w="830" w:type="dxa"/>
            <w:shd w:val="clear" w:color="auto" w:fill="E7F3F4"/>
            <w:noWrap/>
            <w:vAlign w:val="center"/>
          </w:tcPr>
          <w:p w14:paraId="7D87FF1D" w14:textId="77777777" w:rsidR="004920D8" w:rsidRDefault="004920D8" w:rsidP="00D64955">
            <w:pPr>
              <w:spacing w:before="0" w:after="0"/>
              <w:jc w:val="center"/>
              <w:rPr>
                <w:color w:val="000000"/>
                <w:sz w:val="14"/>
                <w:szCs w:val="14"/>
              </w:rPr>
            </w:pPr>
            <w:r>
              <w:rPr>
                <w:color w:val="000000"/>
                <w:sz w:val="14"/>
                <w:szCs w:val="14"/>
              </w:rPr>
              <w:t>12.950</w:t>
            </w:r>
          </w:p>
        </w:tc>
        <w:tc>
          <w:tcPr>
            <w:tcW w:w="546" w:type="dxa"/>
            <w:shd w:val="clear" w:color="auto" w:fill="E7F3F4"/>
            <w:noWrap/>
            <w:vAlign w:val="center"/>
          </w:tcPr>
          <w:p w14:paraId="65530866" w14:textId="77777777" w:rsidR="004920D8" w:rsidRPr="00880D29" w:rsidRDefault="004920D8" w:rsidP="00D64955">
            <w:pPr>
              <w:spacing w:before="0" w:after="0"/>
              <w:jc w:val="center"/>
              <w:rPr>
                <w:color w:val="000000"/>
                <w:sz w:val="14"/>
                <w:szCs w:val="14"/>
              </w:rPr>
            </w:pPr>
            <w:r>
              <w:rPr>
                <w:color w:val="000000"/>
                <w:sz w:val="14"/>
                <w:szCs w:val="14"/>
              </w:rPr>
              <w:t>146</w:t>
            </w:r>
            <w:r w:rsidRPr="00880D29">
              <w:rPr>
                <w:color w:val="000000"/>
                <w:sz w:val="14"/>
                <w:szCs w:val="14"/>
              </w:rPr>
              <w:t>°</w:t>
            </w:r>
          </w:p>
        </w:tc>
        <w:tc>
          <w:tcPr>
            <w:tcW w:w="830" w:type="dxa"/>
            <w:shd w:val="clear" w:color="auto" w:fill="E7F3F4"/>
            <w:noWrap/>
            <w:vAlign w:val="center"/>
          </w:tcPr>
          <w:p w14:paraId="3D761D7A" w14:textId="77777777" w:rsidR="004920D8" w:rsidRDefault="004920D8" w:rsidP="00D64955">
            <w:pPr>
              <w:spacing w:before="0" w:after="0"/>
              <w:jc w:val="center"/>
              <w:rPr>
                <w:color w:val="000000"/>
                <w:sz w:val="14"/>
                <w:szCs w:val="14"/>
              </w:rPr>
            </w:pPr>
            <w:r>
              <w:rPr>
                <w:color w:val="000000"/>
                <w:sz w:val="14"/>
                <w:szCs w:val="14"/>
              </w:rPr>
              <w:t>12.753</w:t>
            </w:r>
          </w:p>
        </w:tc>
        <w:tc>
          <w:tcPr>
            <w:tcW w:w="459" w:type="dxa"/>
            <w:vMerge w:val="restart"/>
            <w:shd w:val="clear" w:color="auto" w:fill="E7F3F4"/>
            <w:noWrap/>
            <w:vAlign w:val="center"/>
          </w:tcPr>
          <w:p w14:paraId="7755A4CA" w14:textId="77777777" w:rsidR="004920D8" w:rsidRPr="00F45F13" w:rsidRDefault="004920D8" w:rsidP="00D64955">
            <w:pPr>
              <w:spacing w:before="0" w:after="0"/>
              <w:jc w:val="center"/>
              <w:rPr>
                <w:color w:val="000000"/>
                <w:sz w:val="16"/>
                <w:szCs w:val="16"/>
              </w:rPr>
            </w:pPr>
          </w:p>
        </w:tc>
        <w:tc>
          <w:tcPr>
            <w:tcW w:w="357" w:type="dxa"/>
            <w:vMerge w:val="restart"/>
            <w:shd w:val="clear" w:color="auto" w:fill="E7F3F4"/>
            <w:vAlign w:val="center"/>
          </w:tcPr>
          <w:p w14:paraId="2B9FC090" w14:textId="77777777" w:rsidR="004920D8" w:rsidRPr="00F45F13" w:rsidRDefault="004920D8" w:rsidP="00D64955">
            <w:pPr>
              <w:spacing w:before="0" w:after="0"/>
              <w:jc w:val="center"/>
              <w:rPr>
                <w:color w:val="000000"/>
                <w:sz w:val="16"/>
                <w:szCs w:val="16"/>
              </w:rPr>
            </w:pPr>
          </w:p>
        </w:tc>
        <w:tc>
          <w:tcPr>
            <w:tcW w:w="370" w:type="dxa"/>
            <w:vMerge w:val="restart"/>
            <w:shd w:val="clear" w:color="auto" w:fill="E7F3F4"/>
            <w:vAlign w:val="center"/>
          </w:tcPr>
          <w:p w14:paraId="2AAB0C6F" w14:textId="77777777" w:rsidR="004920D8" w:rsidRPr="00F45F13" w:rsidRDefault="004920D8" w:rsidP="00D64955">
            <w:pPr>
              <w:spacing w:before="0" w:after="0"/>
              <w:jc w:val="center"/>
              <w:rPr>
                <w:color w:val="000000"/>
                <w:sz w:val="16"/>
                <w:szCs w:val="16"/>
              </w:rPr>
            </w:pPr>
          </w:p>
        </w:tc>
        <w:tc>
          <w:tcPr>
            <w:tcW w:w="393" w:type="dxa"/>
            <w:vMerge w:val="restart"/>
            <w:shd w:val="clear" w:color="auto" w:fill="E7F3F4"/>
            <w:vAlign w:val="center"/>
          </w:tcPr>
          <w:p w14:paraId="7F08DA08" w14:textId="77777777" w:rsidR="004920D8" w:rsidRPr="00F45F13" w:rsidRDefault="004920D8" w:rsidP="00D64955">
            <w:pPr>
              <w:spacing w:before="0" w:after="0"/>
              <w:jc w:val="center"/>
              <w:rPr>
                <w:color w:val="000000"/>
                <w:sz w:val="14"/>
                <w:szCs w:val="14"/>
              </w:rPr>
            </w:pPr>
          </w:p>
        </w:tc>
        <w:tc>
          <w:tcPr>
            <w:tcW w:w="399" w:type="dxa"/>
            <w:vMerge w:val="restart"/>
            <w:shd w:val="clear" w:color="auto" w:fill="E7F3F4"/>
            <w:vAlign w:val="center"/>
          </w:tcPr>
          <w:p w14:paraId="11A171B3"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79939F30" w14:textId="77777777" w:rsidR="004920D8" w:rsidRPr="00F45F13" w:rsidRDefault="004920D8" w:rsidP="00D64955">
            <w:pPr>
              <w:spacing w:before="0" w:after="0"/>
              <w:jc w:val="center"/>
              <w:rPr>
                <w:color w:val="000000"/>
                <w:sz w:val="14"/>
                <w:szCs w:val="14"/>
              </w:rPr>
            </w:pPr>
          </w:p>
        </w:tc>
        <w:tc>
          <w:tcPr>
            <w:tcW w:w="396" w:type="dxa"/>
            <w:vMerge w:val="restart"/>
            <w:shd w:val="clear" w:color="auto" w:fill="E7F3F4"/>
            <w:vAlign w:val="center"/>
          </w:tcPr>
          <w:p w14:paraId="2F4EF95D"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vMerge w:val="restart"/>
            <w:shd w:val="clear" w:color="auto" w:fill="E7F3F4"/>
            <w:vAlign w:val="center"/>
          </w:tcPr>
          <w:p w14:paraId="03C12142" w14:textId="77777777" w:rsidR="004920D8" w:rsidRPr="00F45F13" w:rsidRDefault="004920D8" w:rsidP="00D64955">
            <w:pPr>
              <w:spacing w:before="0" w:after="0"/>
              <w:jc w:val="center"/>
              <w:rPr>
                <w:color w:val="000000"/>
                <w:sz w:val="14"/>
                <w:szCs w:val="14"/>
              </w:rPr>
            </w:pPr>
          </w:p>
        </w:tc>
        <w:tc>
          <w:tcPr>
            <w:tcW w:w="374" w:type="dxa"/>
            <w:vMerge w:val="restart"/>
            <w:shd w:val="clear" w:color="auto" w:fill="E7F3F4"/>
            <w:vAlign w:val="center"/>
          </w:tcPr>
          <w:p w14:paraId="2325847F" w14:textId="77777777" w:rsidR="004920D8" w:rsidRPr="00F45F13" w:rsidRDefault="004920D8" w:rsidP="00D64955">
            <w:pPr>
              <w:spacing w:before="0" w:after="0"/>
              <w:jc w:val="center"/>
              <w:rPr>
                <w:color w:val="000000"/>
                <w:sz w:val="16"/>
                <w:szCs w:val="16"/>
              </w:rPr>
            </w:pPr>
          </w:p>
        </w:tc>
        <w:tc>
          <w:tcPr>
            <w:tcW w:w="406" w:type="dxa"/>
            <w:vMerge w:val="restart"/>
            <w:shd w:val="clear" w:color="auto" w:fill="E7F3F4"/>
            <w:vAlign w:val="center"/>
          </w:tcPr>
          <w:p w14:paraId="7158B35B" w14:textId="77777777" w:rsidR="004920D8" w:rsidRPr="00F45F13" w:rsidRDefault="004920D8" w:rsidP="00D64955">
            <w:pPr>
              <w:spacing w:before="0" w:after="0"/>
              <w:jc w:val="center"/>
              <w:rPr>
                <w:color w:val="000000"/>
                <w:sz w:val="14"/>
                <w:szCs w:val="14"/>
              </w:rPr>
            </w:pPr>
          </w:p>
        </w:tc>
      </w:tr>
      <w:tr w:rsidR="004920D8" w:rsidRPr="00015190" w14:paraId="4DAB9BFC" w14:textId="77777777" w:rsidTr="00D64955">
        <w:trPr>
          <w:trHeight w:val="170"/>
          <w:jc w:val="center"/>
        </w:trPr>
        <w:tc>
          <w:tcPr>
            <w:tcW w:w="900" w:type="dxa"/>
            <w:vMerge/>
            <w:shd w:val="clear" w:color="auto" w:fill="auto"/>
            <w:vAlign w:val="center"/>
          </w:tcPr>
          <w:p w14:paraId="6F0106AD" w14:textId="77777777" w:rsidR="004920D8" w:rsidRDefault="004920D8" w:rsidP="00D64955">
            <w:pPr>
              <w:spacing w:before="0" w:after="0"/>
              <w:jc w:val="center"/>
              <w:rPr>
                <w:color w:val="000000"/>
                <w:sz w:val="14"/>
                <w:szCs w:val="14"/>
              </w:rPr>
            </w:pPr>
          </w:p>
        </w:tc>
        <w:tc>
          <w:tcPr>
            <w:tcW w:w="1826" w:type="dxa"/>
            <w:vMerge/>
            <w:shd w:val="clear" w:color="auto" w:fill="E7F3F4"/>
            <w:vAlign w:val="center"/>
          </w:tcPr>
          <w:p w14:paraId="1569FBE2"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1DF0C945" w14:textId="77777777" w:rsidR="004920D8" w:rsidRDefault="004920D8" w:rsidP="00D64955">
            <w:pPr>
              <w:spacing w:before="0" w:after="0"/>
              <w:jc w:val="center"/>
              <w:rPr>
                <w:color w:val="000000"/>
                <w:sz w:val="14"/>
                <w:szCs w:val="14"/>
              </w:rPr>
            </w:pPr>
          </w:p>
        </w:tc>
        <w:tc>
          <w:tcPr>
            <w:tcW w:w="1445" w:type="dxa"/>
            <w:vMerge/>
            <w:shd w:val="clear" w:color="auto" w:fill="E7F3F4"/>
            <w:noWrap/>
            <w:vAlign w:val="center"/>
          </w:tcPr>
          <w:p w14:paraId="39663070" w14:textId="77777777" w:rsidR="004920D8" w:rsidRDefault="004920D8" w:rsidP="00D64955">
            <w:pPr>
              <w:spacing w:before="0" w:after="0"/>
              <w:jc w:val="center"/>
              <w:rPr>
                <w:color w:val="000000"/>
                <w:sz w:val="14"/>
                <w:szCs w:val="14"/>
              </w:rPr>
            </w:pPr>
          </w:p>
        </w:tc>
        <w:tc>
          <w:tcPr>
            <w:tcW w:w="619" w:type="dxa"/>
            <w:shd w:val="clear" w:color="auto" w:fill="E7F3F4"/>
            <w:noWrap/>
            <w:vAlign w:val="center"/>
          </w:tcPr>
          <w:p w14:paraId="205D0065" w14:textId="77777777" w:rsidR="004920D8" w:rsidRDefault="004920D8" w:rsidP="00D64955">
            <w:pPr>
              <w:spacing w:before="0" w:after="0"/>
              <w:jc w:val="center"/>
              <w:rPr>
                <w:color w:val="000000"/>
                <w:sz w:val="14"/>
                <w:szCs w:val="14"/>
              </w:rPr>
            </w:pPr>
            <w:r>
              <w:rPr>
                <w:color w:val="000000"/>
                <w:sz w:val="14"/>
                <w:szCs w:val="14"/>
              </w:rPr>
              <w:t>MS2^</w:t>
            </w:r>
          </w:p>
        </w:tc>
        <w:tc>
          <w:tcPr>
            <w:tcW w:w="1202" w:type="dxa"/>
            <w:shd w:val="clear" w:color="auto" w:fill="E7F3F4"/>
            <w:noWrap/>
            <w:vAlign w:val="center"/>
          </w:tcPr>
          <w:p w14:paraId="2AE4F603" w14:textId="77777777" w:rsidR="004920D8" w:rsidRDefault="004920D8" w:rsidP="00D64955">
            <w:pPr>
              <w:spacing w:before="0" w:after="0"/>
              <w:jc w:val="center"/>
              <w:rPr>
                <w:color w:val="000000"/>
                <w:sz w:val="14"/>
                <w:szCs w:val="14"/>
              </w:rPr>
            </w:pPr>
            <w:r w:rsidRPr="002A67DD">
              <w:rPr>
                <w:color w:val="000000"/>
                <w:sz w:val="14"/>
                <w:szCs w:val="14"/>
              </w:rPr>
              <w:t>Macushla</w:t>
            </w:r>
          </w:p>
        </w:tc>
        <w:tc>
          <w:tcPr>
            <w:tcW w:w="463" w:type="dxa"/>
            <w:shd w:val="clear" w:color="auto" w:fill="E7F3F4"/>
            <w:noWrap/>
            <w:vAlign w:val="center"/>
          </w:tcPr>
          <w:p w14:paraId="2CBEAA55" w14:textId="77777777" w:rsidR="004920D8" w:rsidRPr="00880D29" w:rsidRDefault="004920D8" w:rsidP="00D64955">
            <w:pPr>
              <w:spacing w:before="0" w:after="0"/>
              <w:jc w:val="center"/>
              <w:rPr>
                <w:color w:val="000000"/>
                <w:sz w:val="14"/>
                <w:szCs w:val="14"/>
              </w:rPr>
            </w:pPr>
            <w:r>
              <w:rPr>
                <w:color w:val="000000"/>
                <w:sz w:val="14"/>
                <w:szCs w:val="14"/>
              </w:rPr>
              <w:t>18</w:t>
            </w:r>
            <w:r w:rsidRPr="00880D29">
              <w:rPr>
                <w:color w:val="000000"/>
                <w:sz w:val="14"/>
                <w:szCs w:val="14"/>
              </w:rPr>
              <w:t>°</w:t>
            </w:r>
          </w:p>
        </w:tc>
        <w:tc>
          <w:tcPr>
            <w:tcW w:w="830" w:type="dxa"/>
            <w:shd w:val="clear" w:color="auto" w:fill="E7F3F4"/>
            <w:noWrap/>
            <w:vAlign w:val="center"/>
          </w:tcPr>
          <w:p w14:paraId="29993F2B" w14:textId="77777777" w:rsidR="004920D8" w:rsidRDefault="004920D8" w:rsidP="00D64955">
            <w:pPr>
              <w:spacing w:before="0" w:after="0"/>
              <w:jc w:val="center"/>
              <w:rPr>
                <w:color w:val="000000"/>
                <w:sz w:val="14"/>
                <w:szCs w:val="14"/>
              </w:rPr>
            </w:pPr>
            <w:r>
              <w:rPr>
                <w:color w:val="000000"/>
                <w:sz w:val="14"/>
                <w:szCs w:val="14"/>
              </w:rPr>
              <w:t>12.316</w:t>
            </w:r>
          </w:p>
        </w:tc>
        <w:tc>
          <w:tcPr>
            <w:tcW w:w="546" w:type="dxa"/>
            <w:shd w:val="clear" w:color="auto" w:fill="E7F3F4"/>
            <w:noWrap/>
            <w:vAlign w:val="center"/>
          </w:tcPr>
          <w:p w14:paraId="7719289D" w14:textId="77777777" w:rsidR="004920D8" w:rsidRPr="00880D29" w:rsidRDefault="004920D8" w:rsidP="00D64955">
            <w:pPr>
              <w:spacing w:before="0" w:after="0"/>
              <w:jc w:val="center"/>
              <w:rPr>
                <w:color w:val="000000"/>
                <w:sz w:val="14"/>
                <w:szCs w:val="14"/>
              </w:rPr>
            </w:pPr>
            <w:r>
              <w:rPr>
                <w:color w:val="000000"/>
                <w:sz w:val="14"/>
                <w:szCs w:val="14"/>
              </w:rPr>
              <w:t>146</w:t>
            </w:r>
            <w:r w:rsidRPr="00880D29">
              <w:rPr>
                <w:color w:val="000000"/>
                <w:sz w:val="14"/>
                <w:szCs w:val="14"/>
              </w:rPr>
              <w:t>°</w:t>
            </w:r>
          </w:p>
        </w:tc>
        <w:tc>
          <w:tcPr>
            <w:tcW w:w="830" w:type="dxa"/>
            <w:shd w:val="clear" w:color="auto" w:fill="E7F3F4"/>
            <w:noWrap/>
            <w:vAlign w:val="center"/>
          </w:tcPr>
          <w:p w14:paraId="1B3800A1" w14:textId="77777777" w:rsidR="004920D8" w:rsidRDefault="004920D8" w:rsidP="00D64955">
            <w:pPr>
              <w:spacing w:before="0" w:after="0"/>
              <w:jc w:val="center"/>
              <w:rPr>
                <w:color w:val="000000"/>
                <w:sz w:val="14"/>
                <w:szCs w:val="14"/>
              </w:rPr>
            </w:pPr>
            <w:r>
              <w:rPr>
                <w:color w:val="000000"/>
                <w:sz w:val="14"/>
                <w:szCs w:val="14"/>
              </w:rPr>
              <w:t>13.010</w:t>
            </w:r>
          </w:p>
        </w:tc>
        <w:tc>
          <w:tcPr>
            <w:tcW w:w="459" w:type="dxa"/>
            <w:vMerge/>
            <w:shd w:val="clear" w:color="auto" w:fill="E7F3F4"/>
            <w:noWrap/>
            <w:vAlign w:val="center"/>
          </w:tcPr>
          <w:p w14:paraId="4E7CE20D" w14:textId="77777777" w:rsidR="004920D8" w:rsidRPr="00F45F13" w:rsidRDefault="004920D8" w:rsidP="00D64955">
            <w:pPr>
              <w:spacing w:before="0" w:after="0"/>
              <w:jc w:val="center"/>
              <w:rPr>
                <w:color w:val="000000"/>
                <w:sz w:val="16"/>
                <w:szCs w:val="16"/>
              </w:rPr>
            </w:pPr>
          </w:p>
        </w:tc>
        <w:tc>
          <w:tcPr>
            <w:tcW w:w="357" w:type="dxa"/>
            <w:vMerge/>
            <w:shd w:val="clear" w:color="auto" w:fill="E7F3F4"/>
            <w:vAlign w:val="center"/>
          </w:tcPr>
          <w:p w14:paraId="27F8E417" w14:textId="77777777" w:rsidR="004920D8" w:rsidRPr="00F45F13" w:rsidRDefault="004920D8" w:rsidP="00D64955">
            <w:pPr>
              <w:spacing w:before="0" w:after="0"/>
              <w:jc w:val="center"/>
              <w:rPr>
                <w:color w:val="000000"/>
                <w:sz w:val="16"/>
                <w:szCs w:val="16"/>
              </w:rPr>
            </w:pPr>
          </w:p>
        </w:tc>
        <w:tc>
          <w:tcPr>
            <w:tcW w:w="370" w:type="dxa"/>
            <w:vMerge/>
            <w:shd w:val="clear" w:color="auto" w:fill="E7F3F4"/>
            <w:vAlign w:val="center"/>
          </w:tcPr>
          <w:p w14:paraId="12531841" w14:textId="77777777" w:rsidR="004920D8" w:rsidRPr="00F45F13" w:rsidRDefault="004920D8" w:rsidP="00D64955">
            <w:pPr>
              <w:spacing w:before="0" w:after="0"/>
              <w:jc w:val="center"/>
              <w:rPr>
                <w:color w:val="000000"/>
                <w:sz w:val="16"/>
                <w:szCs w:val="16"/>
              </w:rPr>
            </w:pPr>
          </w:p>
        </w:tc>
        <w:tc>
          <w:tcPr>
            <w:tcW w:w="393" w:type="dxa"/>
            <w:vMerge/>
            <w:shd w:val="clear" w:color="auto" w:fill="E7F3F4"/>
            <w:vAlign w:val="center"/>
          </w:tcPr>
          <w:p w14:paraId="18D63D8C" w14:textId="77777777" w:rsidR="004920D8" w:rsidRPr="00F45F13" w:rsidRDefault="004920D8" w:rsidP="00D64955">
            <w:pPr>
              <w:spacing w:before="0" w:after="0"/>
              <w:jc w:val="center"/>
              <w:rPr>
                <w:color w:val="000000"/>
                <w:sz w:val="14"/>
                <w:szCs w:val="14"/>
              </w:rPr>
            </w:pPr>
          </w:p>
        </w:tc>
        <w:tc>
          <w:tcPr>
            <w:tcW w:w="399" w:type="dxa"/>
            <w:vMerge/>
            <w:shd w:val="clear" w:color="auto" w:fill="E7F3F4"/>
            <w:vAlign w:val="center"/>
          </w:tcPr>
          <w:p w14:paraId="6E03E5B8" w14:textId="77777777" w:rsidR="004920D8" w:rsidRPr="00F45F13" w:rsidRDefault="004920D8" w:rsidP="00D64955">
            <w:pPr>
              <w:spacing w:before="0" w:after="0"/>
              <w:jc w:val="center"/>
              <w:rPr>
                <w:color w:val="000000"/>
                <w:sz w:val="14"/>
                <w:szCs w:val="14"/>
              </w:rPr>
            </w:pPr>
          </w:p>
        </w:tc>
        <w:tc>
          <w:tcPr>
            <w:tcW w:w="371" w:type="dxa"/>
            <w:vMerge/>
            <w:shd w:val="clear" w:color="auto" w:fill="E7F3F4"/>
            <w:vAlign w:val="center"/>
          </w:tcPr>
          <w:p w14:paraId="2690B716" w14:textId="77777777" w:rsidR="004920D8" w:rsidRPr="00F45F13" w:rsidRDefault="004920D8" w:rsidP="00D64955">
            <w:pPr>
              <w:spacing w:before="0" w:after="0"/>
              <w:jc w:val="center"/>
              <w:rPr>
                <w:color w:val="000000"/>
                <w:sz w:val="14"/>
                <w:szCs w:val="14"/>
              </w:rPr>
            </w:pPr>
          </w:p>
        </w:tc>
        <w:tc>
          <w:tcPr>
            <w:tcW w:w="396" w:type="dxa"/>
            <w:vMerge/>
            <w:shd w:val="clear" w:color="auto" w:fill="E7F3F4"/>
            <w:vAlign w:val="center"/>
          </w:tcPr>
          <w:p w14:paraId="18CC888F" w14:textId="77777777" w:rsidR="004920D8" w:rsidRPr="00F45F13" w:rsidRDefault="004920D8" w:rsidP="00D64955">
            <w:pPr>
              <w:spacing w:before="0" w:after="0"/>
              <w:jc w:val="center"/>
              <w:rPr>
                <w:color w:val="000000"/>
                <w:sz w:val="16"/>
                <w:szCs w:val="16"/>
              </w:rPr>
            </w:pPr>
          </w:p>
        </w:tc>
        <w:tc>
          <w:tcPr>
            <w:tcW w:w="340" w:type="dxa"/>
            <w:vMerge/>
            <w:shd w:val="clear" w:color="auto" w:fill="E7F3F4"/>
            <w:vAlign w:val="center"/>
          </w:tcPr>
          <w:p w14:paraId="799F86F3" w14:textId="77777777" w:rsidR="004920D8" w:rsidRPr="00F45F13" w:rsidRDefault="004920D8" w:rsidP="00D64955">
            <w:pPr>
              <w:spacing w:before="0" w:after="0"/>
              <w:jc w:val="center"/>
              <w:rPr>
                <w:color w:val="000000"/>
                <w:sz w:val="14"/>
                <w:szCs w:val="14"/>
              </w:rPr>
            </w:pPr>
          </w:p>
        </w:tc>
        <w:tc>
          <w:tcPr>
            <w:tcW w:w="374" w:type="dxa"/>
            <w:vMerge/>
            <w:shd w:val="clear" w:color="auto" w:fill="E7F3F4"/>
            <w:vAlign w:val="center"/>
          </w:tcPr>
          <w:p w14:paraId="78091089" w14:textId="77777777" w:rsidR="004920D8" w:rsidRPr="00F45F13" w:rsidRDefault="004920D8" w:rsidP="00D64955">
            <w:pPr>
              <w:spacing w:before="0" w:after="0"/>
              <w:jc w:val="center"/>
              <w:rPr>
                <w:color w:val="000000"/>
                <w:sz w:val="16"/>
                <w:szCs w:val="16"/>
              </w:rPr>
            </w:pPr>
          </w:p>
        </w:tc>
        <w:tc>
          <w:tcPr>
            <w:tcW w:w="406" w:type="dxa"/>
            <w:vMerge/>
            <w:shd w:val="clear" w:color="auto" w:fill="E7F3F4"/>
            <w:vAlign w:val="center"/>
          </w:tcPr>
          <w:p w14:paraId="0ECC4624" w14:textId="77777777" w:rsidR="004920D8" w:rsidRPr="00F45F13" w:rsidRDefault="004920D8" w:rsidP="00D64955">
            <w:pPr>
              <w:spacing w:before="0" w:after="0"/>
              <w:jc w:val="center"/>
              <w:rPr>
                <w:color w:val="000000"/>
                <w:sz w:val="14"/>
                <w:szCs w:val="14"/>
              </w:rPr>
            </w:pPr>
          </w:p>
        </w:tc>
      </w:tr>
      <w:tr w:rsidR="004920D8" w:rsidRPr="00015190" w14:paraId="2EA5FE7C" w14:textId="77777777" w:rsidTr="00D64955">
        <w:trPr>
          <w:trHeight w:val="170"/>
          <w:jc w:val="center"/>
        </w:trPr>
        <w:tc>
          <w:tcPr>
            <w:tcW w:w="900" w:type="dxa"/>
            <w:vMerge w:val="restart"/>
            <w:shd w:val="clear" w:color="auto" w:fill="auto"/>
            <w:vAlign w:val="center"/>
          </w:tcPr>
          <w:p w14:paraId="4B8BE245" w14:textId="77777777" w:rsidR="004920D8" w:rsidRPr="00880D29" w:rsidRDefault="004920D8" w:rsidP="00D64955">
            <w:pPr>
              <w:spacing w:before="0" w:after="0"/>
              <w:jc w:val="center"/>
              <w:rPr>
                <w:color w:val="000000"/>
                <w:sz w:val="14"/>
                <w:szCs w:val="14"/>
              </w:rPr>
            </w:pPr>
            <w:r w:rsidRPr="00880D29">
              <w:rPr>
                <w:color w:val="000000"/>
                <w:sz w:val="14"/>
                <w:szCs w:val="14"/>
              </w:rPr>
              <w:t>Central</w:t>
            </w:r>
          </w:p>
        </w:tc>
        <w:tc>
          <w:tcPr>
            <w:tcW w:w="1826" w:type="dxa"/>
            <w:shd w:val="clear" w:color="auto" w:fill="F3F9FA"/>
            <w:vAlign w:val="center"/>
          </w:tcPr>
          <w:p w14:paraId="50745518" w14:textId="77777777" w:rsidR="004920D8" w:rsidRPr="00880D29" w:rsidRDefault="004920D8" w:rsidP="00D64955">
            <w:pPr>
              <w:spacing w:before="0" w:after="0"/>
              <w:jc w:val="center"/>
              <w:rPr>
                <w:color w:val="000000"/>
                <w:sz w:val="14"/>
                <w:szCs w:val="14"/>
              </w:rPr>
            </w:pPr>
            <w:r w:rsidRPr="00880D29">
              <w:rPr>
                <w:color w:val="000000"/>
                <w:sz w:val="14"/>
                <w:szCs w:val="14"/>
              </w:rPr>
              <w:t>Burdekin</w:t>
            </w:r>
          </w:p>
          <w:p w14:paraId="19F1665E"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NQ Dry Tropics</w:t>
            </w:r>
            <w:r w:rsidRPr="00880D29">
              <w:rPr>
                <w:color w:val="000000"/>
                <w:sz w:val="14"/>
                <w:szCs w:val="14"/>
              </w:rPr>
              <w:t>)</w:t>
            </w:r>
          </w:p>
        </w:tc>
        <w:tc>
          <w:tcPr>
            <w:tcW w:w="1030" w:type="dxa"/>
            <w:shd w:val="clear" w:color="auto" w:fill="F3F9FA"/>
            <w:vAlign w:val="center"/>
          </w:tcPr>
          <w:p w14:paraId="5CF0E629" w14:textId="77777777" w:rsidR="004920D8" w:rsidRPr="00880D29" w:rsidRDefault="004920D8" w:rsidP="00D64955">
            <w:pPr>
              <w:spacing w:before="0" w:after="0"/>
              <w:jc w:val="center"/>
              <w:rPr>
                <w:color w:val="000000"/>
                <w:sz w:val="14"/>
                <w:szCs w:val="14"/>
              </w:rPr>
            </w:pPr>
            <w:r>
              <w:rPr>
                <w:color w:val="000000"/>
                <w:sz w:val="14"/>
                <w:szCs w:val="14"/>
              </w:rPr>
              <w:t>Ross / Burdekin</w:t>
            </w:r>
          </w:p>
        </w:tc>
        <w:tc>
          <w:tcPr>
            <w:tcW w:w="1445" w:type="dxa"/>
            <w:shd w:val="clear" w:color="auto" w:fill="F3F9FA"/>
            <w:noWrap/>
            <w:vAlign w:val="center"/>
          </w:tcPr>
          <w:p w14:paraId="20BA8DB6" w14:textId="77777777" w:rsidR="004920D8" w:rsidRPr="00880D29" w:rsidRDefault="004920D8" w:rsidP="00D64955">
            <w:pPr>
              <w:spacing w:before="0" w:after="0"/>
              <w:jc w:val="center"/>
              <w:rPr>
                <w:color w:val="000000"/>
                <w:sz w:val="14"/>
                <w:szCs w:val="14"/>
              </w:rPr>
            </w:pPr>
            <w:r w:rsidRPr="00880D29">
              <w:rPr>
                <w:color w:val="000000"/>
                <w:sz w:val="14"/>
                <w:szCs w:val="14"/>
              </w:rPr>
              <w:t>Townsville</w:t>
            </w:r>
          </w:p>
          <w:p w14:paraId="2FDB384A" w14:textId="77777777" w:rsidR="004920D8" w:rsidRPr="00880D29" w:rsidRDefault="004920D8" w:rsidP="00D64955">
            <w:pPr>
              <w:spacing w:before="0" w:after="0"/>
              <w:jc w:val="center"/>
              <w:rPr>
                <w:color w:val="000000"/>
                <w:sz w:val="14"/>
                <w:szCs w:val="14"/>
              </w:rPr>
            </w:pPr>
            <w:r w:rsidRPr="00880D29">
              <w:rPr>
                <w:i/>
                <w:color w:val="000000"/>
                <w:sz w:val="14"/>
                <w:szCs w:val="14"/>
              </w:rPr>
              <w:t>coastal</w:t>
            </w:r>
          </w:p>
        </w:tc>
        <w:tc>
          <w:tcPr>
            <w:tcW w:w="619" w:type="dxa"/>
            <w:shd w:val="clear" w:color="auto" w:fill="F3F9FA"/>
            <w:noWrap/>
            <w:vAlign w:val="center"/>
          </w:tcPr>
          <w:p w14:paraId="080B3911" w14:textId="77777777" w:rsidR="004920D8" w:rsidRPr="00880D29" w:rsidRDefault="004920D8" w:rsidP="00D64955">
            <w:pPr>
              <w:spacing w:before="0" w:after="0"/>
              <w:jc w:val="center"/>
              <w:rPr>
                <w:color w:val="000000"/>
                <w:sz w:val="14"/>
                <w:szCs w:val="14"/>
              </w:rPr>
            </w:pPr>
            <w:r w:rsidRPr="00880D29">
              <w:rPr>
                <w:color w:val="000000"/>
                <w:sz w:val="14"/>
                <w:szCs w:val="14"/>
              </w:rPr>
              <w:t>SB</w:t>
            </w:r>
            <w:r>
              <w:rPr>
                <w:color w:val="000000"/>
                <w:sz w:val="14"/>
                <w:szCs w:val="14"/>
              </w:rPr>
              <w:t>2</w:t>
            </w:r>
            <w:r w:rsidRPr="00880D29">
              <w:rPr>
                <w:color w:val="000000"/>
                <w:sz w:val="14"/>
                <w:szCs w:val="14"/>
              </w:rPr>
              <w:t>*</w:t>
            </w:r>
          </w:p>
        </w:tc>
        <w:tc>
          <w:tcPr>
            <w:tcW w:w="1202" w:type="dxa"/>
            <w:shd w:val="clear" w:color="auto" w:fill="F3F9FA"/>
            <w:noWrap/>
            <w:vAlign w:val="center"/>
          </w:tcPr>
          <w:p w14:paraId="3198EDE9" w14:textId="77777777" w:rsidR="004920D8" w:rsidRPr="00880D29" w:rsidRDefault="004920D8" w:rsidP="00D64955">
            <w:pPr>
              <w:spacing w:before="0" w:after="0"/>
              <w:jc w:val="center"/>
              <w:rPr>
                <w:color w:val="000000"/>
                <w:sz w:val="14"/>
                <w:szCs w:val="14"/>
              </w:rPr>
            </w:pPr>
            <w:r w:rsidRPr="00880D29">
              <w:rPr>
                <w:color w:val="000000"/>
                <w:sz w:val="14"/>
                <w:szCs w:val="14"/>
              </w:rPr>
              <w:t>Shelley Beach</w:t>
            </w:r>
          </w:p>
        </w:tc>
        <w:tc>
          <w:tcPr>
            <w:tcW w:w="463" w:type="dxa"/>
            <w:shd w:val="clear" w:color="auto" w:fill="F3F9FA"/>
            <w:noWrap/>
            <w:vAlign w:val="center"/>
          </w:tcPr>
          <w:p w14:paraId="52EBC7FA" w14:textId="77777777" w:rsidR="004920D8" w:rsidRPr="00C0489F" w:rsidRDefault="004920D8" w:rsidP="00D64955">
            <w:pPr>
              <w:spacing w:before="0" w:after="0"/>
              <w:jc w:val="center"/>
              <w:rPr>
                <w:color w:val="000000"/>
                <w:sz w:val="14"/>
                <w:szCs w:val="14"/>
              </w:rPr>
            </w:pPr>
            <w:r w:rsidRPr="00C0489F">
              <w:rPr>
                <w:color w:val="000000"/>
                <w:sz w:val="14"/>
                <w:szCs w:val="14"/>
              </w:rPr>
              <w:t>19</w:t>
            </w:r>
            <w:r w:rsidRPr="00880D29">
              <w:rPr>
                <w:color w:val="000000"/>
                <w:sz w:val="14"/>
                <w:szCs w:val="14"/>
              </w:rPr>
              <w:t>°</w:t>
            </w:r>
          </w:p>
        </w:tc>
        <w:tc>
          <w:tcPr>
            <w:tcW w:w="830" w:type="dxa"/>
            <w:shd w:val="clear" w:color="auto" w:fill="F3F9FA"/>
            <w:noWrap/>
            <w:vAlign w:val="center"/>
          </w:tcPr>
          <w:p w14:paraId="3A63B4D6" w14:textId="77777777" w:rsidR="004920D8" w:rsidRPr="00C0489F" w:rsidRDefault="004920D8" w:rsidP="00D64955">
            <w:pPr>
              <w:spacing w:before="0" w:after="0"/>
              <w:jc w:val="center"/>
              <w:rPr>
                <w:color w:val="000000"/>
                <w:sz w:val="14"/>
                <w:szCs w:val="14"/>
              </w:rPr>
            </w:pPr>
            <w:r w:rsidRPr="00C0489F">
              <w:rPr>
                <w:color w:val="000000"/>
                <w:sz w:val="14"/>
                <w:szCs w:val="14"/>
              </w:rPr>
              <w:t>10.939</w:t>
            </w:r>
          </w:p>
        </w:tc>
        <w:tc>
          <w:tcPr>
            <w:tcW w:w="546" w:type="dxa"/>
            <w:shd w:val="clear" w:color="auto" w:fill="F3F9FA"/>
            <w:noWrap/>
            <w:vAlign w:val="center"/>
          </w:tcPr>
          <w:p w14:paraId="1E1D489E" w14:textId="77777777" w:rsidR="004920D8" w:rsidRPr="00C0489F" w:rsidRDefault="004920D8" w:rsidP="00D64955">
            <w:pPr>
              <w:spacing w:before="0" w:after="0"/>
              <w:jc w:val="center"/>
              <w:rPr>
                <w:color w:val="000000"/>
                <w:sz w:val="14"/>
                <w:szCs w:val="14"/>
              </w:rPr>
            </w:pPr>
            <w:r w:rsidRPr="00C0489F">
              <w:rPr>
                <w:color w:val="000000"/>
                <w:sz w:val="14"/>
                <w:szCs w:val="14"/>
              </w:rPr>
              <w:t>146</w:t>
            </w:r>
            <w:r w:rsidRPr="00880D29">
              <w:rPr>
                <w:color w:val="000000"/>
                <w:sz w:val="14"/>
                <w:szCs w:val="14"/>
              </w:rPr>
              <w:t>°</w:t>
            </w:r>
          </w:p>
        </w:tc>
        <w:tc>
          <w:tcPr>
            <w:tcW w:w="830" w:type="dxa"/>
            <w:shd w:val="clear" w:color="auto" w:fill="F3F9FA"/>
            <w:noWrap/>
            <w:vAlign w:val="center"/>
          </w:tcPr>
          <w:p w14:paraId="647784D3" w14:textId="77777777" w:rsidR="004920D8" w:rsidRPr="00C0489F" w:rsidRDefault="004920D8" w:rsidP="00D64955">
            <w:pPr>
              <w:spacing w:before="0" w:after="0"/>
              <w:jc w:val="center"/>
              <w:rPr>
                <w:color w:val="000000"/>
                <w:sz w:val="14"/>
                <w:szCs w:val="14"/>
              </w:rPr>
            </w:pPr>
            <w:r w:rsidRPr="00C0489F">
              <w:rPr>
                <w:color w:val="000000"/>
                <w:sz w:val="14"/>
                <w:szCs w:val="14"/>
              </w:rPr>
              <w:t>45.767</w:t>
            </w:r>
          </w:p>
        </w:tc>
        <w:tc>
          <w:tcPr>
            <w:tcW w:w="459" w:type="dxa"/>
            <w:shd w:val="clear" w:color="auto" w:fill="F3F9FA"/>
            <w:noWrap/>
            <w:vAlign w:val="center"/>
          </w:tcPr>
          <w:p w14:paraId="582F9207" w14:textId="77777777" w:rsidR="004920D8" w:rsidRPr="00F45F13" w:rsidRDefault="004920D8" w:rsidP="00D64955">
            <w:pPr>
              <w:spacing w:before="0" w:after="0"/>
              <w:jc w:val="center"/>
              <w:rPr>
                <w:color w:val="000000"/>
                <w:sz w:val="14"/>
                <w:szCs w:val="14"/>
              </w:rPr>
            </w:pPr>
          </w:p>
        </w:tc>
        <w:tc>
          <w:tcPr>
            <w:tcW w:w="357" w:type="dxa"/>
            <w:shd w:val="clear" w:color="auto" w:fill="F3F9FA"/>
            <w:vAlign w:val="center"/>
          </w:tcPr>
          <w:p w14:paraId="34020EA7"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0" w:type="dxa"/>
            <w:shd w:val="clear" w:color="auto" w:fill="F3F9FA"/>
            <w:vAlign w:val="center"/>
          </w:tcPr>
          <w:p w14:paraId="4DF8FD06" w14:textId="77777777" w:rsidR="004920D8" w:rsidRPr="00F45F13" w:rsidRDefault="004920D8" w:rsidP="00D64955">
            <w:pPr>
              <w:spacing w:before="0" w:after="0"/>
              <w:jc w:val="center"/>
              <w:rPr>
                <w:color w:val="000000"/>
                <w:sz w:val="14"/>
                <w:szCs w:val="14"/>
              </w:rPr>
            </w:pPr>
          </w:p>
        </w:tc>
        <w:tc>
          <w:tcPr>
            <w:tcW w:w="393" w:type="dxa"/>
            <w:shd w:val="clear" w:color="auto" w:fill="F3F9FA"/>
            <w:vAlign w:val="center"/>
          </w:tcPr>
          <w:p w14:paraId="640FBFA5" w14:textId="77777777" w:rsidR="004920D8" w:rsidRPr="00F45F13" w:rsidRDefault="004920D8" w:rsidP="00D64955">
            <w:pPr>
              <w:spacing w:before="0" w:after="0"/>
              <w:jc w:val="center"/>
              <w:rPr>
                <w:color w:val="000000"/>
                <w:sz w:val="14"/>
                <w:szCs w:val="14"/>
              </w:rPr>
            </w:pPr>
          </w:p>
        </w:tc>
        <w:tc>
          <w:tcPr>
            <w:tcW w:w="399" w:type="dxa"/>
            <w:shd w:val="clear" w:color="auto" w:fill="F3F9FA"/>
            <w:vAlign w:val="center"/>
          </w:tcPr>
          <w:p w14:paraId="4B380F6E"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shd w:val="clear" w:color="auto" w:fill="F3F9FA"/>
            <w:vAlign w:val="center"/>
          </w:tcPr>
          <w:p w14:paraId="40B4DDC8" w14:textId="77777777" w:rsidR="004920D8" w:rsidRPr="00F45F13" w:rsidRDefault="004920D8" w:rsidP="00D64955">
            <w:pPr>
              <w:spacing w:before="0" w:after="0"/>
              <w:jc w:val="center"/>
              <w:rPr>
                <w:color w:val="000000"/>
                <w:sz w:val="14"/>
                <w:szCs w:val="14"/>
              </w:rPr>
            </w:pPr>
          </w:p>
        </w:tc>
        <w:tc>
          <w:tcPr>
            <w:tcW w:w="396" w:type="dxa"/>
            <w:shd w:val="clear" w:color="auto" w:fill="F3F9FA"/>
            <w:vAlign w:val="center"/>
          </w:tcPr>
          <w:p w14:paraId="75AD0DEE"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40" w:type="dxa"/>
            <w:shd w:val="clear" w:color="auto" w:fill="F3F9FA"/>
            <w:vAlign w:val="center"/>
          </w:tcPr>
          <w:p w14:paraId="0AFC6038" w14:textId="77777777" w:rsidR="004920D8" w:rsidRPr="00F45F13" w:rsidRDefault="004920D8" w:rsidP="00D64955">
            <w:pPr>
              <w:spacing w:before="0" w:after="0"/>
              <w:jc w:val="center"/>
              <w:rPr>
                <w:color w:val="000000"/>
                <w:sz w:val="14"/>
                <w:szCs w:val="14"/>
              </w:rPr>
            </w:pPr>
          </w:p>
        </w:tc>
        <w:tc>
          <w:tcPr>
            <w:tcW w:w="374" w:type="dxa"/>
            <w:shd w:val="clear" w:color="auto" w:fill="F3F9FA"/>
            <w:vAlign w:val="center"/>
          </w:tcPr>
          <w:p w14:paraId="0F040875" w14:textId="77777777" w:rsidR="004920D8" w:rsidRPr="00F45F13" w:rsidRDefault="004920D8" w:rsidP="00D64955">
            <w:pPr>
              <w:spacing w:before="0" w:after="0"/>
              <w:jc w:val="center"/>
              <w:rPr>
                <w:color w:val="000000"/>
                <w:sz w:val="14"/>
                <w:szCs w:val="14"/>
              </w:rPr>
            </w:pPr>
          </w:p>
        </w:tc>
        <w:tc>
          <w:tcPr>
            <w:tcW w:w="406" w:type="dxa"/>
            <w:shd w:val="clear" w:color="auto" w:fill="F3F9FA"/>
            <w:vAlign w:val="center"/>
          </w:tcPr>
          <w:p w14:paraId="28C52841"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4008D394" w14:textId="77777777" w:rsidTr="00D64955">
        <w:trPr>
          <w:trHeight w:val="170"/>
          <w:jc w:val="center"/>
        </w:trPr>
        <w:tc>
          <w:tcPr>
            <w:tcW w:w="900" w:type="dxa"/>
            <w:vMerge/>
            <w:shd w:val="clear" w:color="auto" w:fill="auto"/>
            <w:vAlign w:val="center"/>
          </w:tcPr>
          <w:p w14:paraId="3120AFB8" w14:textId="77777777" w:rsidR="004920D8" w:rsidRPr="00880D29" w:rsidRDefault="004920D8" w:rsidP="00D64955">
            <w:pPr>
              <w:spacing w:before="0" w:after="0"/>
              <w:jc w:val="center"/>
              <w:rPr>
                <w:color w:val="000000"/>
                <w:sz w:val="14"/>
                <w:szCs w:val="14"/>
              </w:rPr>
            </w:pPr>
          </w:p>
        </w:tc>
        <w:tc>
          <w:tcPr>
            <w:tcW w:w="1826" w:type="dxa"/>
            <w:vMerge w:val="restart"/>
            <w:shd w:val="clear" w:color="auto" w:fill="E7F3F4"/>
            <w:vAlign w:val="center"/>
          </w:tcPr>
          <w:p w14:paraId="4E01E30F" w14:textId="77777777" w:rsidR="004920D8" w:rsidRPr="00880D29" w:rsidRDefault="004920D8" w:rsidP="00D64955">
            <w:pPr>
              <w:spacing w:before="0" w:after="0"/>
              <w:jc w:val="center"/>
              <w:rPr>
                <w:color w:val="000000"/>
                <w:sz w:val="14"/>
                <w:szCs w:val="14"/>
              </w:rPr>
            </w:pPr>
            <w:r w:rsidRPr="00880D29">
              <w:rPr>
                <w:color w:val="000000"/>
                <w:sz w:val="14"/>
                <w:szCs w:val="14"/>
              </w:rPr>
              <w:t>Mackay Whitsunday</w:t>
            </w:r>
          </w:p>
          <w:p w14:paraId="39709FA6"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Reef Catchments</w:t>
            </w:r>
            <w:r w:rsidRPr="00880D29">
              <w:rPr>
                <w:color w:val="000000"/>
                <w:sz w:val="14"/>
                <w:szCs w:val="14"/>
              </w:rPr>
              <w:t>)</w:t>
            </w:r>
          </w:p>
        </w:tc>
        <w:tc>
          <w:tcPr>
            <w:tcW w:w="1030" w:type="dxa"/>
            <w:vMerge w:val="restart"/>
            <w:shd w:val="clear" w:color="auto" w:fill="E7F3F4"/>
            <w:vAlign w:val="center"/>
          </w:tcPr>
          <w:p w14:paraId="30A97E0B" w14:textId="77777777" w:rsidR="004920D8" w:rsidRPr="00880D29" w:rsidRDefault="004920D8" w:rsidP="00D64955">
            <w:pPr>
              <w:spacing w:before="0" w:after="0"/>
              <w:jc w:val="center"/>
              <w:rPr>
                <w:color w:val="000000"/>
                <w:sz w:val="14"/>
                <w:szCs w:val="14"/>
              </w:rPr>
            </w:pPr>
            <w:r>
              <w:rPr>
                <w:color w:val="000000"/>
                <w:sz w:val="14"/>
                <w:szCs w:val="14"/>
              </w:rPr>
              <w:t>Don</w:t>
            </w:r>
          </w:p>
        </w:tc>
        <w:tc>
          <w:tcPr>
            <w:tcW w:w="1445" w:type="dxa"/>
            <w:vMerge w:val="restart"/>
            <w:shd w:val="clear" w:color="auto" w:fill="E7F3F4"/>
            <w:noWrap/>
            <w:vAlign w:val="center"/>
          </w:tcPr>
          <w:p w14:paraId="7155448F" w14:textId="77777777" w:rsidR="004920D8" w:rsidRPr="00880D29" w:rsidRDefault="004920D8" w:rsidP="00D64955">
            <w:pPr>
              <w:spacing w:before="0" w:after="0"/>
              <w:jc w:val="center"/>
              <w:rPr>
                <w:color w:val="000000"/>
                <w:sz w:val="14"/>
                <w:szCs w:val="14"/>
              </w:rPr>
            </w:pPr>
            <w:r>
              <w:rPr>
                <w:color w:val="000000"/>
                <w:sz w:val="14"/>
                <w:szCs w:val="14"/>
              </w:rPr>
              <w:t>Shoal Bay</w:t>
            </w:r>
          </w:p>
          <w:p w14:paraId="6F34169C" w14:textId="77777777" w:rsidR="004920D8" w:rsidRPr="00880D29" w:rsidRDefault="004920D8" w:rsidP="00D64955">
            <w:pPr>
              <w:spacing w:before="0" w:after="0"/>
              <w:jc w:val="center"/>
              <w:rPr>
                <w:color w:val="000000"/>
                <w:sz w:val="14"/>
                <w:szCs w:val="14"/>
              </w:rPr>
            </w:pPr>
            <w:r>
              <w:rPr>
                <w:i/>
                <w:color w:val="000000"/>
                <w:sz w:val="14"/>
                <w:szCs w:val="14"/>
              </w:rPr>
              <w:t>reef</w:t>
            </w:r>
          </w:p>
        </w:tc>
        <w:tc>
          <w:tcPr>
            <w:tcW w:w="619" w:type="dxa"/>
            <w:shd w:val="clear" w:color="auto" w:fill="E7F3F4"/>
            <w:noWrap/>
            <w:vAlign w:val="center"/>
          </w:tcPr>
          <w:p w14:paraId="3C5457D5" w14:textId="77777777" w:rsidR="004920D8" w:rsidRPr="00880D29" w:rsidRDefault="004920D8" w:rsidP="00D64955">
            <w:pPr>
              <w:spacing w:before="0" w:after="0"/>
              <w:jc w:val="center"/>
              <w:rPr>
                <w:color w:val="000000"/>
                <w:sz w:val="14"/>
                <w:szCs w:val="14"/>
              </w:rPr>
            </w:pPr>
            <w:r>
              <w:rPr>
                <w:color w:val="000000"/>
                <w:sz w:val="14"/>
                <w:szCs w:val="14"/>
              </w:rPr>
              <w:t>HB1</w:t>
            </w:r>
            <w:r w:rsidRPr="00880D29">
              <w:rPr>
                <w:color w:val="000000"/>
                <w:sz w:val="14"/>
                <w:szCs w:val="14"/>
              </w:rPr>
              <w:t>*</w:t>
            </w:r>
          </w:p>
        </w:tc>
        <w:tc>
          <w:tcPr>
            <w:tcW w:w="1202" w:type="dxa"/>
            <w:shd w:val="clear" w:color="auto" w:fill="E7F3F4"/>
            <w:noWrap/>
            <w:vAlign w:val="center"/>
          </w:tcPr>
          <w:p w14:paraId="0ABA5548" w14:textId="77777777" w:rsidR="004920D8" w:rsidRPr="00880D29" w:rsidRDefault="004920D8" w:rsidP="00D64955">
            <w:pPr>
              <w:spacing w:before="0" w:after="0"/>
              <w:jc w:val="center"/>
              <w:rPr>
                <w:color w:val="000000"/>
                <w:sz w:val="14"/>
                <w:szCs w:val="14"/>
              </w:rPr>
            </w:pPr>
            <w:r>
              <w:rPr>
                <w:color w:val="000000"/>
                <w:sz w:val="14"/>
                <w:szCs w:val="14"/>
              </w:rPr>
              <w:t xml:space="preserve">Hydeaway </w:t>
            </w:r>
            <w:r w:rsidRPr="00880D29">
              <w:rPr>
                <w:color w:val="000000"/>
                <w:sz w:val="14"/>
                <w:szCs w:val="14"/>
              </w:rPr>
              <w:t>Bay</w:t>
            </w:r>
          </w:p>
        </w:tc>
        <w:tc>
          <w:tcPr>
            <w:tcW w:w="463" w:type="dxa"/>
            <w:shd w:val="clear" w:color="auto" w:fill="E7F3F4"/>
            <w:noWrap/>
            <w:vAlign w:val="center"/>
          </w:tcPr>
          <w:p w14:paraId="296668E6"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E7F3F4"/>
            <w:noWrap/>
            <w:vAlign w:val="bottom"/>
          </w:tcPr>
          <w:p w14:paraId="58D30CCE" w14:textId="77777777" w:rsidR="004920D8" w:rsidRPr="00C0489F" w:rsidRDefault="004920D8" w:rsidP="00D64955">
            <w:pPr>
              <w:spacing w:before="0" w:after="0"/>
              <w:jc w:val="center"/>
              <w:rPr>
                <w:color w:val="000000"/>
                <w:sz w:val="14"/>
                <w:szCs w:val="14"/>
              </w:rPr>
            </w:pPr>
            <w:r w:rsidRPr="00C0489F">
              <w:rPr>
                <w:color w:val="000000"/>
                <w:sz w:val="14"/>
                <w:szCs w:val="14"/>
              </w:rPr>
              <w:t>4.481</w:t>
            </w:r>
          </w:p>
        </w:tc>
        <w:tc>
          <w:tcPr>
            <w:tcW w:w="546" w:type="dxa"/>
            <w:shd w:val="clear" w:color="auto" w:fill="E7F3F4"/>
            <w:noWrap/>
            <w:vAlign w:val="center"/>
          </w:tcPr>
          <w:p w14:paraId="339F1F17"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E7F3F4"/>
            <w:noWrap/>
            <w:vAlign w:val="bottom"/>
          </w:tcPr>
          <w:p w14:paraId="7A78908A" w14:textId="77777777" w:rsidR="004920D8" w:rsidRPr="00C0489F" w:rsidRDefault="004920D8" w:rsidP="00D64955">
            <w:pPr>
              <w:spacing w:before="0" w:after="0"/>
              <w:jc w:val="center"/>
              <w:rPr>
                <w:color w:val="000000"/>
                <w:sz w:val="14"/>
                <w:szCs w:val="14"/>
              </w:rPr>
            </w:pPr>
            <w:r w:rsidRPr="00C0489F">
              <w:rPr>
                <w:color w:val="000000"/>
                <w:sz w:val="14"/>
                <w:szCs w:val="14"/>
              </w:rPr>
              <w:t>28.943</w:t>
            </w:r>
          </w:p>
        </w:tc>
        <w:tc>
          <w:tcPr>
            <w:tcW w:w="459" w:type="dxa"/>
            <w:vMerge w:val="restart"/>
            <w:shd w:val="clear" w:color="auto" w:fill="E7F3F4"/>
            <w:noWrap/>
            <w:vAlign w:val="center"/>
          </w:tcPr>
          <w:p w14:paraId="7E4E0081"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57" w:type="dxa"/>
            <w:vMerge w:val="restart"/>
            <w:shd w:val="clear" w:color="auto" w:fill="E7F3F4"/>
            <w:vAlign w:val="center"/>
          </w:tcPr>
          <w:p w14:paraId="1176572B" w14:textId="77777777" w:rsidR="004920D8" w:rsidRPr="00F45F13" w:rsidRDefault="004920D8" w:rsidP="00D64955">
            <w:pPr>
              <w:spacing w:before="0" w:after="0"/>
              <w:jc w:val="center"/>
              <w:rPr>
                <w:color w:val="000000"/>
                <w:sz w:val="14"/>
                <w:szCs w:val="14"/>
              </w:rPr>
            </w:pPr>
          </w:p>
        </w:tc>
        <w:tc>
          <w:tcPr>
            <w:tcW w:w="370" w:type="dxa"/>
            <w:vMerge w:val="restart"/>
            <w:shd w:val="clear" w:color="auto" w:fill="E7F3F4"/>
            <w:vAlign w:val="center"/>
          </w:tcPr>
          <w:p w14:paraId="03FABB4E" w14:textId="77777777" w:rsidR="004920D8" w:rsidRPr="00F45F13" w:rsidRDefault="004920D8" w:rsidP="00D64955">
            <w:pPr>
              <w:spacing w:before="0" w:after="0"/>
              <w:jc w:val="center"/>
              <w:rPr>
                <w:color w:val="000000"/>
                <w:sz w:val="14"/>
                <w:szCs w:val="14"/>
              </w:rPr>
            </w:pPr>
          </w:p>
        </w:tc>
        <w:tc>
          <w:tcPr>
            <w:tcW w:w="393" w:type="dxa"/>
            <w:vMerge w:val="restart"/>
            <w:shd w:val="clear" w:color="auto" w:fill="E7F3F4"/>
            <w:vAlign w:val="center"/>
          </w:tcPr>
          <w:p w14:paraId="44F05908" w14:textId="77777777" w:rsidR="004920D8" w:rsidRPr="00F45F13" w:rsidRDefault="004920D8" w:rsidP="00D64955">
            <w:pPr>
              <w:spacing w:before="0" w:after="0"/>
              <w:jc w:val="center"/>
              <w:rPr>
                <w:color w:val="000000"/>
                <w:sz w:val="14"/>
                <w:szCs w:val="14"/>
              </w:rPr>
            </w:pPr>
          </w:p>
        </w:tc>
        <w:tc>
          <w:tcPr>
            <w:tcW w:w="399" w:type="dxa"/>
            <w:vMerge w:val="restart"/>
            <w:shd w:val="clear" w:color="auto" w:fill="E7F3F4"/>
            <w:vAlign w:val="center"/>
          </w:tcPr>
          <w:p w14:paraId="53945C80"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7DAD771C" w14:textId="77777777" w:rsidR="004920D8" w:rsidRPr="00F45F13" w:rsidRDefault="004920D8" w:rsidP="00D64955">
            <w:pPr>
              <w:spacing w:before="0" w:after="0"/>
              <w:jc w:val="center"/>
              <w:rPr>
                <w:color w:val="000000"/>
                <w:sz w:val="14"/>
                <w:szCs w:val="14"/>
              </w:rPr>
            </w:pPr>
          </w:p>
        </w:tc>
        <w:tc>
          <w:tcPr>
            <w:tcW w:w="396" w:type="dxa"/>
            <w:vMerge w:val="restart"/>
            <w:shd w:val="clear" w:color="auto" w:fill="E7F3F4"/>
            <w:vAlign w:val="center"/>
          </w:tcPr>
          <w:p w14:paraId="02BF5A7F"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40" w:type="dxa"/>
            <w:vMerge w:val="restart"/>
            <w:shd w:val="clear" w:color="auto" w:fill="E7F3F4"/>
            <w:vAlign w:val="center"/>
          </w:tcPr>
          <w:p w14:paraId="01FF6E37" w14:textId="77777777" w:rsidR="004920D8" w:rsidRPr="00F45F13" w:rsidRDefault="004920D8" w:rsidP="00D64955">
            <w:pPr>
              <w:spacing w:before="0" w:after="0"/>
              <w:jc w:val="center"/>
              <w:rPr>
                <w:color w:val="000000"/>
                <w:sz w:val="14"/>
                <w:szCs w:val="14"/>
              </w:rPr>
            </w:pPr>
          </w:p>
        </w:tc>
        <w:tc>
          <w:tcPr>
            <w:tcW w:w="374" w:type="dxa"/>
            <w:vMerge w:val="restart"/>
            <w:shd w:val="clear" w:color="auto" w:fill="E7F3F4"/>
            <w:vAlign w:val="center"/>
          </w:tcPr>
          <w:p w14:paraId="3F33F0AD"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6" w:type="dxa"/>
            <w:vMerge w:val="restart"/>
            <w:shd w:val="clear" w:color="auto" w:fill="E7F3F4"/>
            <w:vAlign w:val="center"/>
          </w:tcPr>
          <w:p w14:paraId="46A4EC44" w14:textId="77777777" w:rsidR="004920D8" w:rsidRPr="00F45F13" w:rsidRDefault="004920D8" w:rsidP="00D64955">
            <w:pPr>
              <w:spacing w:before="0" w:after="0"/>
              <w:jc w:val="center"/>
              <w:rPr>
                <w:color w:val="000000"/>
                <w:sz w:val="14"/>
                <w:szCs w:val="14"/>
              </w:rPr>
            </w:pPr>
          </w:p>
        </w:tc>
      </w:tr>
      <w:tr w:rsidR="004920D8" w:rsidRPr="00015190" w14:paraId="4CF1DC20" w14:textId="77777777" w:rsidTr="00D64955">
        <w:trPr>
          <w:trHeight w:val="170"/>
          <w:jc w:val="center"/>
        </w:trPr>
        <w:tc>
          <w:tcPr>
            <w:tcW w:w="900" w:type="dxa"/>
            <w:vMerge/>
            <w:shd w:val="clear" w:color="auto" w:fill="auto"/>
            <w:vAlign w:val="center"/>
          </w:tcPr>
          <w:p w14:paraId="2DA9BDAB" w14:textId="77777777" w:rsidR="004920D8" w:rsidRPr="00880D29" w:rsidRDefault="004920D8" w:rsidP="00D64955">
            <w:pPr>
              <w:spacing w:before="0" w:after="0"/>
              <w:jc w:val="center"/>
              <w:rPr>
                <w:color w:val="000000"/>
                <w:sz w:val="14"/>
                <w:szCs w:val="14"/>
              </w:rPr>
            </w:pPr>
          </w:p>
        </w:tc>
        <w:tc>
          <w:tcPr>
            <w:tcW w:w="1826" w:type="dxa"/>
            <w:vMerge/>
            <w:shd w:val="clear" w:color="auto" w:fill="E7F3F4"/>
            <w:vAlign w:val="center"/>
          </w:tcPr>
          <w:p w14:paraId="63DE07FC"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57E53798" w14:textId="77777777" w:rsidR="004920D8" w:rsidRPr="00880D29" w:rsidRDefault="004920D8" w:rsidP="00D64955">
            <w:pPr>
              <w:spacing w:before="0" w:after="0"/>
              <w:jc w:val="center"/>
              <w:rPr>
                <w:color w:val="000000"/>
                <w:sz w:val="14"/>
                <w:szCs w:val="14"/>
              </w:rPr>
            </w:pPr>
          </w:p>
        </w:tc>
        <w:tc>
          <w:tcPr>
            <w:tcW w:w="1445" w:type="dxa"/>
            <w:vMerge/>
            <w:shd w:val="clear" w:color="auto" w:fill="E7F3F4"/>
            <w:noWrap/>
            <w:vAlign w:val="center"/>
          </w:tcPr>
          <w:p w14:paraId="0F92B563" w14:textId="77777777" w:rsidR="004920D8" w:rsidRPr="00880D29" w:rsidRDefault="004920D8" w:rsidP="00D64955">
            <w:pPr>
              <w:spacing w:before="0" w:after="0"/>
              <w:jc w:val="center"/>
              <w:rPr>
                <w:color w:val="000000"/>
                <w:sz w:val="14"/>
                <w:szCs w:val="14"/>
              </w:rPr>
            </w:pPr>
          </w:p>
        </w:tc>
        <w:tc>
          <w:tcPr>
            <w:tcW w:w="619" w:type="dxa"/>
            <w:shd w:val="clear" w:color="auto" w:fill="E7F3F4"/>
            <w:noWrap/>
            <w:vAlign w:val="center"/>
          </w:tcPr>
          <w:p w14:paraId="0A45516A" w14:textId="77777777" w:rsidR="004920D8" w:rsidRPr="00880D29" w:rsidRDefault="004920D8" w:rsidP="00D64955">
            <w:pPr>
              <w:spacing w:before="0" w:after="0"/>
              <w:jc w:val="center"/>
              <w:rPr>
                <w:color w:val="000000"/>
                <w:sz w:val="14"/>
                <w:szCs w:val="14"/>
              </w:rPr>
            </w:pPr>
            <w:r>
              <w:rPr>
                <w:color w:val="000000"/>
                <w:sz w:val="14"/>
                <w:szCs w:val="14"/>
              </w:rPr>
              <w:t>HB2</w:t>
            </w:r>
            <w:r w:rsidRPr="00880D29">
              <w:rPr>
                <w:color w:val="000000"/>
                <w:sz w:val="14"/>
                <w:szCs w:val="14"/>
              </w:rPr>
              <w:t>*</w:t>
            </w:r>
          </w:p>
        </w:tc>
        <w:tc>
          <w:tcPr>
            <w:tcW w:w="1202" w:type="dxa"/>
            <w:shd w:val="clear" w:color="auto" w:fill="E7F3F4"/>
            <w:noWrap/>
            <w:vAlign w:val="center"/>
          </w:tcPr>
          <w:p w14:paraId="2050F6B3" w14:textId="77777777" w:rsidR="004920D8" w:rsidRPr="00880D29" w:rsidRDefault="004920D8" w:rsidP="00D64955">
            <w:pPr>
              <w:spacing w:before="0" w:after="0"/>
              <w:jc w:val="center"/>
              <w:rPr>
                <w:color w:val="000000"/>
                <w:sz w:val="14"/>
                <w:szCs w:val="14"/>
              </w:rPr>
            </w:pPr>
            <w:r>
              <w:rPr>
                <w:color w:val="000000"/>
                <w:sz w:val="14"/>
                <w:szCs w:val="14"/>
              </w:rPr>
              <w:t xml:space="preserve">Hydeaway </w:t>
            </w:r>
            <w:r w:rsidRPr="00880D29">
              <w:rPr>
                <w:color w:val="000000"/>
                <w:sz w:val="14"/>
                <w:szCs w:val="14"/>
              </w:rPr>
              <w:t>Bay</w:t>
            </w:r>
          </w:p>
        </w:tc>
        <w:tc>
          <w:tcPr>
            <w:tcW w:w="463" w:type="dxa"/>
            <w:shd w:val="clear" w:color="auto" w:fill="E7F3F4"/>
            <w:noWrap/>
            <w:vAlign w:val="center"/>
          </w:tcPr>
          <w:p w14:paraId="5D14E46D"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E7F3F4"/>
            <w:noWrap/>
            <w:vAlign w:val="bottom"/>
          </w:tcPr>
          <w:p w14:paraId="058C1AAB" w14:textId="77777777" w:rsidR="004920D8" w:rsidRPr="00C0489F" w:rsidRDefault="004920D8" w:rsidP="00D64955">
            <w:pPr>
              <w:spacing w:before="0" w:after="0"/>
              <w:jc w:val="center"/>
              <w:rPr>
                <w:color w:val="000000"/>
                <w:sz w:val="14"/>
                <w:szCs w:val="14"/>
              </w:rPr>
            </w:pPr>
            <w:r w:rsidRPr="00C0489F">
              <w:rPr>
                <w:color w:val="000000"/>
                <w:sz w:val="14"/>
                <w:szCs w:val="14"/>
              </w:rPr>
              <w:t>4.292</w:t>
            </w:r>
          </w:p>
        </w:tc>
        <w:tc>
          <w:tcPr>
            <w:tcW w:w="546" w:type="dxa"/>
            <w:shd w:val="clear" w:color="auto" w:fill="E7F3F4"/>
            <w:noWrap/>
            <w:vAlign w:val="center"/>
          </w:tcPr>
          <w:p w14:paraId="6AE7C944"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E7F3F4"/>
            <w:noWrap/>
            <w:vAlign w:val="bottom"/>
          </w:tcPr>
          <w:p w14:paraId="592129EA" w14:textId="77777777" w:rsidR="004920D8" w:rsidRPr="00C0489F" w:rsidRDefault="004920D8" w:rsidP="00D64955">
            <w:pPr>
              <w:spacing w:before="0" w:after="0"/>
              <w:jc w:val="center"/>
              <w:rPr>
                <w:color w:val="000000"/>
                <w:sz w:val="14"/>
                <w:szCs w:val="14"/>
              </w:rPr>
            </w:pPr>
            <w:r w:rsidRPr="00C0489F">
              <w:rPr>
                <w:color w:val="000000"/>
                <w:sz w:val="14"/>
                <w:szCs w:val="14"/>
              </w:rPr>
              <w:t>28.861</w:t>
            </w:r>
          </w:p>
        </w:tc>
        <w:tc>
          <w:tcPr>
            <w:tcW w:w="459" w:type="dxa"/>
            <w:vMerge/>
            <w:shd w:val="clear" w:color="auto" w:fill="E7F3F4"/>
            <w:noWrap/>
            <w:vAlign w:val="center"/>
          </w:tcPr>
          <w:p w14:paraId="6851EBB8" w14:textId="77777777" w:rsidR="004920D8" w:rsidRPr="00F45F13" w:rsidRDefault="004920D8" w:rsidP="00D64955">
            <w:pPr>
              <w:spacing w:before="0" w:after="0"/>
              <w:jc w:val="center"/>
              <w:rPr>
                <w:color w:val="000000"/>
                <w:sz w:val="14"/>
                <w:szCs w:val="14"/>
              </w:rPr>
            </w:pPr>
          </w:p>
        </w:tc>
        <w:tc>
          <w:tcPr>
            <w:tcW w:w="357" w:type="dxa"/>
            <w:vMerge/>
            <w:shd w:val="clear" w:color="auto" w:fill="E7F3F4"/>
            <w:vAlign w:val="center"/>
          </w:tcPr>
          <w:p w14:paraId="29CCD965" w14:textId="77777777" w:rsidR="004920D8" w:rsidRPr="00F45F13" w:rsidRDefault="004920D8" w:rsidP="00D64955">
            <w:pPr>
              <w:spacing w:before="0" w:after="0"/>
              <w:jc w:val="center"/>
              <w:rPr>
                <w:color w:val="000000"/>
                <w:sz w:val="14"/>
                <w:szCs w:val="14"/>
              </w:rPr>
            </w:pPr>
          </w:p>
        </w:tc>
        <w:tc>
          <w:tcPr>
            <w:tcW w:w="370" w:type="dxa"/>
            <w:vMerge/>
            <w:shd w:val="clear" w:color="auto" w:fill="E7F3F4"/>
            <w:vAlign w:val="center"/>
          </w:tcPr>
          <w:p w14:paraId="32BCD295" w14:textId="77777777" w:rsidR="004920D8" w:rsidRPr="00F45F13" w:rsidRDefault="004920D8" w:rsidP="00D64955">
            <w:pPr>
              <w:spacing w:before="0" w:after="0"/>
              <w:jc w:val="center"/>
              <w:rPr>
                <w:color w:val="000000"/>
                <w:sz w:val="14"/>
                <w:szCs w:val="14"/>
              </w:rPr>
            </w:pPr>
          </w:p>
        </w:tc>
        <w:tc>
          <w:tcPr>
            <w:tcW w:w="393" w:type="dxa"/>
            <w:vMerge/>
            <w:shd w:val="clear" w:color="auto" w:fill="E7F3F4"/>
            <w:vAlign w:val="center"/>
          </w:tcPr>
          <w:p w14:paraId="10E75E45" w14:textId="77777777" w:rsidR="004920D8" w:rsidRPr="00F45F13" w:rsidRDefault="004920D8" w:rsidP="00D64955">
            <w:pPr>
              <w:spacing w:before="0" w:after="0"/>
              <w:jc w:val="center"/>
              <w:rPr>
                <w:color w:val="000000"/>
                <w:sz w:val="14"/>
                <w:szCs w:val="14"/>
              </w:rPr>
            </w:pPr>
          </w:p>
        </w:tc>
        <w:tc>
          <w:tcPr>
            <w:tcW w:w="399" w:type="dxa"/>
            <w:vMerge/>
            <w:shd w:val="clear" w:color="auto" w:fill="E7F3F4"/>
            <w:vAlign w:val="center"/>
          </w:tcPr>
          <w:p w14:paraId="17184321" w14:textId="77777777" w:rsidR="004920D8" w:rsidRPr="00F45F13" w:rsidRDefault="004920D8" w:rsidP="00D64955">
            <w:pPr>
              <w:spacing w:before="0" w:after="0"/>
              <w:jc w:val="center"/>
              <w:rPr>
                <w:color w:val="000000"/>
                <w:sz w:val="14"/>
                <w:szCs w:val="14"/>
              </w:rPr>
            </w:pPr>
          </w:p>
        </w:tc>
        <w:tc>
          <w:tcPr>
            <w:tcW w:w="371" w:type="dxa"/>
            <w:vMerge/>
            <w:shd w:val="clear" w:color="auto" w:fill="E7F3F4"/>
            <w:vAlign w:val="center"/>
          </w:tcPr>
          <w:p w14:paraId="18D3F619" w14:textId="77777777" w:rsidR="004920D8" w:rsidRPr="00F45F13" w:rsidRDefault="004920D8" w:rsidP="00D64955">
            <w:pPr>
              <w:spacing w:before="0" w:after="0"/>
              <w:jc w:val="center"/>
              <w:rPr>
                <w:color w:val="000000"/>
                <w:sz w:val="14"/>
                <w:szCs w:val="14"/>
              </w:rPr>
            </w:pPr>
          </w:p>
        </w:tc>
        <w:tc>
          <w:tcPr>
            <w:tcW w:w="396" w:type="dxa"/>
            <w:vMerge/>
            <w:shd w:val="clear" w:color="auto" w:fill="E7F3F4"/>
            <w:vAlign w:val="center"/>
          </w:tcPr>
          <w:p w14:paraId="1694DDE6" w14:textId="77777777" w:rsidR="004920D8" w:rsidRPr="00F45F13" w:rsidRDefault="004920D8" w:rsidP="00D64955">
            <w:pPr>
              <w:spacing w:before="0" w:after="0"/>
              <w:jc w:val="center"/>
              <w:rPr>
                <w:color w:val="000000"/>
                <w:sz w:val="14"/>
                <w:szCs w:val="14"/>
              </w:rPr>
            </w:pPr>
          </w:p>
        </w:tc>
        <w:tc>
          <w:tcPr>
            <w:tcW w:w="340" w:type="dxa"/>
            <w:vMerge/>
            <w:shd w:val="clear" w:color="auto" w:fill="E7F3F4"/>
            <w:vAlign w:val="center"/>
          </w:tcPr>
          <w:p w14:paraId="68117899" w14:textId="77777777" w:rsidR="004920D8" w:rsidRPr="00F45F13" w:rsidRDefault="004920D8" w:rsidP="00D64955">
            <w:pPr>
              <w:spacing w:before="0" w:after="0"/>
              <w:jc w:val="center"/>
              <w:rPr>
                <w:color w:val="000000"/>
                <w:sz w:val="14"/>
                <w:szCs w:val="14"/>
              </w:rPr>
            </w:pPr>
          </w:p>
        </w:tc>
        <w:tc>
          <w:tcPr>
            <w:tcW w:w="374" w:type="dxa"/>
            <w:vMerge/>
            <w:shd w:val="clear" w:color="auto" w:fill="E7F3F4"/>
            <w:vAlign w:val="center"/>
          </w:tcPr>
          <w:p w14:paraId="014C80B2" w14:textId="77777777" w:rsidR="004920D8" w:rsidRPr="00F45F13" w:rsidRDefault="004920D8" w:rsidP="00D64955">
            <w:pPr>
              <w:spacing w:before="0" w:after="0"/>
              <w:jc w:val="center"/>
              <w:rPr>
                <w:color w:val="000000"/>
                <w:sz w:val="14"/>
                <w:szCs w:val="14"/>
              </w:rPr>
            </w:pPr>
          </w:p>
        </w:tc>
        <w:tc>
          <w:tcPr>
            <w:tcW w:w="406" w:type="dxa"/>
            <w:vMerge/>
            <w:shd w:val="clear" w:color="auto" w:fill="E7F3F4"/>
            <w:vAlign w:val="center"/>
          </w:tcPr>
          <w:p w14:paraId="6EF1CA7C" w14:textId="77777777" w:rsidR="004920D8" w:rsidRPr="00F45F13" w:rsidRDefault="004920D8" w:rsidP="00D64955">
            <w:pPr>
              <w:spacing w:before="0" w:after="0"/>
              <w:jc w:val="center"/>
              <w:rPr>
                <w:color w:val="000000"/>
                <w:sz w:val="14"/>
                <w:szCs w:val="14"/>
              </w:rPr>
            </w:pPr>
          </w:p>
        </w:tc>
      </w:tr>
      <w:tr w:rsidR="004920D8" w:rsidRPr="00015190" w14:paraId="17DA8027" w14:textId="77777777" w:rsidTr="00D64955">
        <w:trPr>
          <w:trHeight w:val="87"/>
          <w:jc w:val="center"/>
        </w:trPr>
        <w:tc>
          <w:tcPr>
            <w:tcW w:w="900" w:type="dxa"/>
            <w:vMerge/>
            <w:shd w:val="clear" w:color="auto" w:fill="auto"/>
            <w:vAlign w:val="center"/>
          </w:tcPr>
          <w:p w14:paraId="75969E59" w14:textId="77777777" w:rsidR="004920D8" w:rsidRPr="00880D29" w:rsidRDefault="004920D8" w:rsidP="00D64955">
            <w:pPr>
              <w:spacing w:before="0" w:after="0"/>
              <w:jc w:val="center"/>
              <w:rPr>
                <w:color w:val="000000"/>
                <w:sz w:val="14"/>
                <w:szCs w:val="14"/>
              </w:rPr>
            </w:pPr>
          </w:p>
        </w:tc>
        <w:tc>
          <w:tcPr>
            <w:tcW w:w="1826" w:type="dxa"/>
            <w:vMerge/>
            <w:shd w:val="clear" w:color="auto" w:fill="E7F3F4"/>
            <w:vAlign w:val="center"/>
          </w:tcPr>
          <w:p w14:paraId="2E45BDA9" w14:textId="77777777" w:rsidR="004920D8" w:rsidRPr="00880D29" w:rsidRDefault="004920D8" w:rsidP="00D64955">
            <w:pPr>
              <w:spacing w:before="0" w:after="0"/>
              <w:jc w:val="center"/>
              <w:rPr>
                <w:color w:val="000000"/>
                <w:sz w:val="14"/>
                <w:szCs w:val="14"/>
              </w:rPr>
            </w:pPr>
          </w:p>
        </w:tc>
        <w:tc>
          <w:tcPr>
            <w:tcW w:w="1030" w:type="dxa"/>
            <w:vMerge w:val="restart"/>
            <w:shd w:val="clear" w:color="auto" w:fill="E7F3F4"/>
            <w:vAlign w:val="center"/>
          </w:tcPr>
          <w:p w14:paraId="4489C3A7" w14:textId="77777777" w:rsidR="004920D8" w:rsidRPr="00880D29" w:rsidRDefault="004920D8" w:rsidP="00D64955">
            <w:pPr>
              <w:spacing w:before="0" w:after="0"/>
              <w:jc w:val="center"/>
              <w:rPr>
                <w:color w:val="000000"/>
                <w:sz w:val="14"/>
                <w:szCs w:val="14"/>
              </w:rPr>
            </w:pPr>
            <w:r>
              <w:rPr>
                <w:color w:val="000000"/>
                <w:sz w:val="14"/>
                <w:szCs w:val="14"/>
              </w:rPr>
              <w:t>Proserpine</w:t>
            </w:r>
          </w:p>
        </w:tc>
        <w:tc>
          <w:tcPr>
            <w:tcW w:w="1445" w:type="dxa"/>
            <w:vMerge w:val="restart"/>
            <w:shd w:val="clear" w:color="auto" w:fill="E7F3F4"/>
            <w:noWrap/>
            <w:vAlign w:val="center"/>
          </w:tcPr>
          <w:p w14:paraId="7423AD8A" w14:textId="77777777" w:rsidR="004920D8" w:rsidRPr="00880D29" w:rsidRDefault="004920D8" w:rsidP="00D64955">
            <w:pPr>
              <w:spacing w:before="0" w:after="0"/>
              <w:jc w:val="center"/>
              <w:rPr>
                <w:color w:val="000000"/>
                <w:sz w:val="14"/>
                <w:szCs w:val="14"/>
              </w:rPr>
            </w:pPr>
            <w:r>
              <w:rPr>
                <w:color w:val="000000"/>
                <w:sz w:val="14"/>
                <w:szCs w:val="14"/>
              </w:rPr>
              <w:t>Pioneer Bay</w:t>
            </w:r>
          </w:p>
          <w:p w14:paraId="17C5791A" w14:textId="77777777" w:rsidR="004920D8" w:rsidRPr="009609A6" w:rsidRDefault="004920D8" w:rsidP="00D64955">
            <w:pPr>
              <w:spacing w:before="0" w:after="0"/>
              <w:jc w:val="center"/>
              <w:rPr>
                <w:i/>
                <w:color w:val="000000"/>
                <w:sz w:val="14"/>
                <w:szCs w:val="14"/>
              </w:rPr>
            </w:pPr>
            <w:r w:rsidRPr="009609A6">
              <w:rPr>
                <w:i/>
                <w:color w:val="000000"/>
                <w:sz w:val="14"/>
                <w:szCs w:val="14"/>
              </w:rPr>
              <w:t>coastal</w:t>
            </w:r>
          </w:p>
        </w:tc>
        <w:tc>
          <w:tcPr>
            <w:tcW w:w="619" w:type="dxa"/>
            <w:shd w:val="clear" w:color="auto" w:fill="E7F3F4"/>
            <w:noWrap/>
            <w:vAlign w:val="center"/>
          </w:tcPr>
          <w:p w14:paraId="0DC39890" w14:textId="77777777" w:rsidR="004920D8" w:rsidRPr="00880D29" w:rsidRDefault="004920D8" w:rsidP="00D64955">
            <w:pPr>
              <w:spacing w:before="0" w:after="0"/>
              <w:jc w:val="center"/>
              <w:rPr>
                <w:color w:val="000000"/>
                <w:sz w:val="14"/>
                <w:szCs w:val="14"/>
              </w:rPr>
            </w:pPr>
            <w:r w:rsidRPr="00880D29">
              <w:rPr>
                <w:color w:val="000000"/>
                <w:sz w:val="14"/>
                <w:szCs w:val="14"/>
              </w:rPr>
              <w:t>PI2*</w:t>
            </w:r>
          </w:p>
        </w:tc>
        <w:tc>
          <w:tcPr>
            <w:tcW w:w="1202" w:type="dxa"/>
            <w:shd w:val="clear" w:color="auto" w:fill="E7F3F4"/>
            <w:noWrap/>
            <w:vAlign w:val="center"/>
          </w:tcPr>
          <w:p w14:paraId="23C0960B" w14:textId="77777777" w:rsidR="004920D8" w:rsidRPr="00880D29" w:rsidRDefault="004920D8" w:rsidP="00D64955">
            <w:pPr>
              <w:spacing w:before="0" w:after="0"/>
              <w:jc w:val="center"/>
              <w:rPr>
                <w:color w:val="000000"/>
                <w:sz w:val="14"/>
                <w:szCs w:val="14"/>
              </w:rPr>
            </w:pPr>
            <w:r>
              <w:rPr>
                <w:color w:val="000000"/>
                <w:sz w:val="14"/>
                <w:szCs w:val="14"/>
              </w:rPr>
              <w:t>Pigeon Island</w:t>
            </w:r>
          </w:p>
        </w:tc>
        <w:tc>
          <w:tcPr>
            <w:tcW w:w="463" w:type="dxa"/>
            <w:shd w:val="clear" w:color="auto" w:fill="E7F3F4"/>
            <w:noWrap/>
            <w:vAlign w:val="center"/>
          </w:tcPr>
          <w:p w14:paraId="2E48F3A5"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E7F3F4"/>
            <w:noWrap/>
            <w:vAlign w:val="bottom"/>
          </w:tcPr>
          <w:p w14:paraId="3FB7DE01" w14:textId="77777777" w:rsidR="004920D8" w:rsidRPr="00C0489F" w:rsidRDefault="004920D8" w:rsidP="00D64955">
            <w:pPr>
              <w:spacing w:before="0" w:after="0"/>
              <w:jc w:val="center"/>
              <w:rPr>
                <w:color w:val="000000"/>
                <w:sz w:val="14"/>
                <w:szCs w:val="14"/>
              </w:rPr>
            </w:pPr>
            <w:r w:rsidRPr="00C0489F">
              <w:rPr>
                <w:color w:val="000000"/>
                <w:sz w:val="14"/>
                <w:szCs w:val="14"/>
              </w:rPr>
              <w:t>16.163</w:t>
            </w:r>
          </w:p>
        </w:tc>
        <w:tc>
          <w:tcPr>
            <w:tcW w:w="546" w:type="dxa"/>
            <w:shd w:val="clear" w:color="auto" w:fill="E7F3F4"/>
            <w:noWrap/>
            <w:vAlign w:val="center"/>
          </w:tcPr>
          <w:p w14:paraId="0BCC96C5"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E7F3F4"/>
            <w:noWrap/>
            <w:vAlign w:val="bottom"/>
          </w:tcPr>
          <w:p w14:paraId="42C0C534" w14:textId="77777777" w:rsidR="004920D8" w:rsidRPr="00C0489F" w:rsidRDefault="004920D8" w:rsidP="00D64955">
            <w:pPr>
              <w:spacing w:before="0" w:after="0"/>
              <w:jc w:val="center"/>
              <w:rPr>
                <w:color w:val="000000"/>
                <w:sz w:val="14"/>
                <w:szCs w:val="14"/>
              </w:rPr>
            </w:pPr>
            <w:r w:rsidRPr="00C0489F">
              <w:rPr>
                <w:color w:val="000000"/>
                <w:sz w:val="14"/>
                <w:szCs w:val="14"/>
              </w:rPr>
              <w:t>41.585</w:t>
            </w:r>
          </w:p>
        </w:tc>
        <w:tc>
          <w:tcPr>
            <w:tcW w:w="459" w:type="dxa"/>
            <w:vMerge w:val="restart"/>
            <w:shd w:val="clear" w:color="auto" w:fill="E7F3F4"/>
            <w:noWrap/>
            <w:vAlign w:val="center"/>
          </w:tcPr>
          <w:p w14:paraId="785A3A39" w14:textId="77777777" w:rsidR="004920D8" w:rsidRPr="00F45F13" w:rsidRDefault="004920D8" w:rsidP="00D64955">
            <w:pPr>
              <w:spacing w:before="0" w:after="0"/>
              <w:jc w:val="center"/>
              <w:rPr>
                <w:color w:val="000000"/>
                <w:sz w:val="14"/>
                <w:szCs w:val="14"/>
              </w:rPr>
            </w:pPr>
          </w:p>
        </w:tc>
        <w:tc>
          <w:tcPr>
            <w:tcW w:w="357" w:type="dxa"/>
            <w:vMerge w:val="restart"/>
            <w:shd w:val="clear" w:color="auto" w:fill="E7F3F4"/>
            <w:vAlign w:val="center"/>
          </w:tcPr>
          <w:p w14:paraId="387890D9" w14:textId="77777777" w:rsidR="004920D8" w:rsidRPr="00F45F13" w:rsidRDefault="004920D8" w:rsidP="00D64955">
            <w:pPr>
              <w:spacing w:before="0" w:after="0"/>
              <w:jc w:val="center"/>
              <w:rPr>
                <w:color w:val="000000"/>
                <w:sz w:val="14"/>
                <w:szCs w:val="14"/>
              </w:rPr>
            </w:pPr>
          </w:p>
        </w:tc>
        <w:tc>
          <w:tcPr>
            <w:tcW w:w="370" w:type="dxa"/>
            <w:vMerge w:val="restart"/>
            <w:shd w:val="clear" w:color="auto" w:fill="E7F3F4"/>
            <w:vAlign w:val="center"/>
          </w:tcPr>
          <w:p w14:paraId="04599D4B" w14:textId="77777777" w:rsidR="004920D8" w:rsidRPr="00F45F13" w:rsidRDefault="004920D8" w:rsidP="00D64955">
            <w:pPr>
              <w:spacing w:before="0" w:after="0"/>
              <w:jc w:val="center"/>
              <w:rPr>
                <w:color w:val="000000"/>
                <w:sz w:val="14"/>
                <w:szCs w:val="14"/>
              </w:rPr>
            </w:pPr>
          </w:p>
        </w:tc>
        <w:tc>
          <w:tcPr>
            <w:tcW w:w="393" w:type="dxa"/>
            <w:vMerge w:val="restart"/>
            <w:shd w:val="clear" w:color="auto" w:fill="E7F3F4"/>
            <w:vAlign w:val="center"/>
          </w:tcPr>
          <w:p w14:paraId="7CF3EC28" w14:textId="77777777" w:rsidR="004920D8" w:rsidRPr="00F45F13" w:rsidRDefault="004920D8" w:rsidP="00D64955">
            <w:pPr>
              <w:spacing w:before="0" w:after="0"/>
              <w:jc w:val="center"/>
              <w:rPr>
                <w:color w:val="000000"/>
                <w:sz w:val="14"/>
                <w:szCs w:val="14"/>
              </w:rPr>
            </w:pPr>
          </w:p>
        </w:tc>
        <w:tc>
          <w:tcPr>
            <w:tcW w:w="399" w:type="dxa"/>
            <w:vMerge w:val="restart"/>
            <w:shd w:val="clear" w:color="auto" w:fill="E7F3F4"/>
            <w:vAlign w:val="center"/>
          </w:tcPr>
          <w:p w14:paraId="34B7B74A"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06FF55FF"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0C92CF63"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40" w:type="dxa"/>
            <w:vMerge w:val="restart"/>
            <w:shd w:val="clear" w:color="auto" w:fill="E7F3F4"/>
            <w:vAlign w:val="center"/>
          </w:tcPr>
          <w:p w14:paraId="772AC1D5" w14:textId="77777777" w:rsidR="004920D8" w:rsidRPr="00F45F13" w:rsidRDefault="004920D8" w:rsidP="00D64955">
            <w:pPr>
              <w:spacing w:before="0" w:after="0"/>
              <w:jc w:val="center"/>
              <w:rPr>
                <w:color w:val="000000"/>
                <w:sz w:val="14"/>
                <w:szCs w:val="14"/>
              </w:rPr>
            </w:pPr>
          </w:p>
        </w:tc>
        <w:tc>
          <w:tcPr>
            <w:tcW w:w="374" w:type="dxa"/>
            <w:vMerge w:val="restart"/>
            <w:shd w:val="clear" w:color="auto" w:fill="E7F3F4"/>
            <w:vAlign w:val="center"/>
          </w:tcPr>
          <w:p w14:paraId="3E5B0369" w14:textId="77777777" w:rsidR="004920D8" w:rsidRPr="00F45F13" w:rsidRDefault="004920D8" w:rsidP="00D64955">
            <w:pPr>
              <w:spacing w:before="0" w:after="0"/>
              <w:jc w:val="center"/>
              <w:rPr>
                <w:color w:val="000000"/>
                <w:sz w:val="14"/>
                <w:szCs w:val="14"/>
              </w:rPr>
            </w:pPr>
          </w:p>
        </w:tc>
        <w:tc>
          <w:tcPr>
            <w:tcW w:w="406" w:type="dxa"/>
            <w:vMerge w:val="restart"/>
            <w:shd w:val="clear" w:color="auto" w:fill="E7F3F4"/>
            <w:vAlign w:val="center"/>
          </w:tcPr>
          <w:p w14:paraId="449EB6E0"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778FBF31" w14:textId="77777777" w:rsidTr="00D64955">
        <w:trPr>
          <w:trHeight w:val="170"/>
          <w:jc w:val="center"/>
        </w:trPr>
        <w:tc>
          <w:tcPr>
            <w:tcW w:w="900" w:type="dxa"/>
            <w:vMerge/>
            <w:shd w:val="clear" w:color="auto" w:fill="auto"/>
            <w:vAlign w:val="center"/>
          </w:tcPr>
          <w:p w14:paraId="3473044D" w14:textId="77777777" w:rsidR="004920D8" w:rsidRPr="00880D29" w:rsidRDefault="004920D8" w:rsidP="00D64955">
            <w:pPr>
              <w:spacing w:before="0" w:after="0"/>
              <w:jc w:val="center"/>
              <w:rPr>
                <w:color w:val="000000"/>
                <w:sz w:val="14"/>
                <w:szCs w:val="14"/>
              </w:rPr>
            </w:pPr>
          </w:p>
        </w:tc>
        <w:tc>
          <w:tcPr>
            <w:tcW w:w="1826" w:type="dxa"/>
            <w:vMerge/>
            <w:shd w:val="clear" w:color="auto" w:fill="F3F9FA"/>
            <w:vAlign w:val="center"/>
          </w:tcPr>
          <w:p w14:paraId="3B78D74A" w14:textId="77777777" w:rsidR="004920D8" w:rsidRPr="00880D29" w:rsidRDefault="004920D8" w:rsidP="00D64955">
            <w:pPr>
              <w:spacing w:before="0" w:after="0"/>
              <w:jc w:val="center"/>
              <w:rPr>
                <w:color w:val="000000"/>
                <w:sz w:val="14"/>
                <w:szCs w:val="14"/>
              </w:rPr>
            </w:pPr>
          </w:p>
        </w:tc>
        <w:tc>
          <w:tcPr>
            <w:tcW w:w="1030" w:type="dxa"/>
            <w:vMerge/>
            <w:shd w:val="clear" w:color="auto" w:fill="F3F9FA"/>
            <w:vAlign w:val="center"/>
          </w:tcPr>
          <w:p w14:paraId="25E7F924" w14:textId="77777777" w:rsidR="004920D8" w:rsidRPr="00880D29" w:rsidRDefault="004920D8" w:rsidP="00D64955">
            <w:pPr>
              <w:spacing w:before="0" w:after="0"/>
              <w:jc w:val="center"/>
              <w:rPr>
                <w:color w:val="000000"/>
                <w:sz w:val="14"/>
                <w:szCs w:val="14"/>
              </w:rPr>
            </w:pPr>
          </w:p>
        </w:tc>
        <w:tc>
          <w:tcPr>
            <w:tcW w:w="1445" w:type="dxa"/>
            <w:vMerge/>
            <w:shd w:val="clear" w:color="auto" w:fill="F3F9FA"/>
            <w:noWrap/>
            <w:vAlign w:val="center"/>
          </w:tcPr>
          <w:p w14:paraId="4F4DA9F3" w14:textId="77777777" w:rsidR="004920D8" w:rsidRPr="00880D29" w:rsidRDefault="004920D8" w:rsidP="00D64955">
            <w:pPr>
              <w:spacing w:before="0" w:after="0"/>
              <w:jc w:val="center"/>
              <w:rPr>
                <w:color w:val="000000"/>
                <w:sz w:val="14"/>
                <w:szCs w:val="14"/>
              </w:rPr>
            </w:pPr>
          </w:p>
        </w:tc>
        <w:tc>
          <w:tcPr>
            <w:tcW w:w="619" w:type="dxa"/>
            <w:shd w:val="clear" w:color="auto" w:fill="E7F3F4"/>
            <w:noWrap/>
            <w:vAlign w:val="center"/>
          </w:tcPr>
          <w:p w14:paraId="717DC13E" w14:textId="77777777" w:rsidR="004920D8" w:rsidRPr="00880D29" w:rsidRDefault="004920D8" w:rsidP="00D64955">
            <w:pPr>
              <w:spacing w:before="0" w:after="0"/>
              <w:jc w:val="center"/>
              <w:rPr>
                <w:color w:val="000000"/>
                <w:sz w:val="14"/>
                <w:szCs w:val="14"/>
              </w:rPr>
            </w:pPr>
            <w:r w:rsidRPr="00880D29">
              <w:rPr>
                <w:color w:val="000000"/>
                <w:sz w:val="14"/>
                <w:szCs w:val="14"/>
              </w:rPr>
              <w:t>PI3*</w:t>
            </w:r>
          </w:p>
        </w:tc>
        <w:tc>
          <w:tcPr>
            <w:tcW w:w="1202" w:type="dxa"/>
            <w:shd w:val="clear" w:color="auto" w:fill="E7F3F4"/>
            <w:noWrap/>
            <w:vAlign w:val="center"/>
          </w:tcPr>
          <w:p w14:paraId="006B4BEE" w14:textId="77777777" w:rsidR="004920D8" w:rsidRPr="00880D29" w:rsidRDefault="004920D8" w:rsidP="00D64955">
            <w:pPr>
              <w:spacing w:before="0" w:after="0"/>
              <w:jc w:val="center"/>
              <w:rPr>
                <w:i/>
                <w:color w:val="000000"/>
                <w:sz w:val="14"/>
                <w:szCs w:val="14"/>
              </w:rPr>
            </w:pPr>
            <w:r>
              <w:rPr>
                <w:color w:val="000000"/>
                <w:sz w:val="14"/>
                <w:szCs w:val="14"/>
              </w:rPr>
              <w:t>Pigeon Island</w:t>
            </w:r>
          </w:p>
        </w:tc>
        <w:tc>
          <w:tcPr>
            <w:tcW w:w="463" w:type="dxa"/>
            <w:shd w:val="clear" w:color="auto" w:fill="E7F3F4"/>
            <w:noWrap/>
            <w:vAlign w:val="center"/>
          </w:tcPr>
          <w:p w14:paraId="2F4CAC39" w14:textId="77777777" w:rsidR="004920D8" w:rsidRPr="00880D29" w:rsidRDefault="004920D8" w:rsidP="00D64955">
            <w:pPr>
              <w:spacing w:before="0" w:after="0"/>
              <w:jc w:val="center"/>
              <w:rPr>
                <w:color w:val="000000"/>
                <w:sz w:val="14"/>
                <w:szCs w:val="14"/>
              </w:rPr>
            </w:pPr>
            <w:r w:rsidRPr="00880D29">
              <w:rPr>
                <w:color w:val="000000"/>
                <w:sz w:val="14"/>
                <w:szCs w:val="14"/>
              </w:rPr>
              <w:t>20°</w:t>
            </w:r>
          </w:p>
        </w:tc>
        <w:tc>
          <w:tcPr>
            <w:tcW w:w="830" w:type="dxa"/>
            <w:shd w:val="clear" w:color="auto" w:fill="E7F3F4"/>
            <w:noWrap/>
            <w:vAlign w:val="bottom"/>
          </w:tcPr>
          <w:p w14:paraId="2B77DA7B" w14:textId="77777777" w:rsidR="004920D8" w:rsidRPr="00C0489F" w:rsidRDefault="004920D8" w:rsidP="00D64955">
            <w:pPr>
              <w:spacing w:before="0" w:after="0"/>
              <w:jc w:val="center"/>
              <w:rPr>
                <w:color w:val="000000"/>
                <w:sz w:val="14"/>
                <w:szCs w:val="14"/>
              </w:rPr>
            </w:pPr>
            <w:r w:rsidRPr="00C0489F">
              <w:rPr>
                <w:color w:val="000000"/>
                <w:sz w:val="14"/>
                <w:szCs w:val="14"/>
              </w:rPr>
              <w:t>16.232</w:t>
            </w:r>
          </w:p>
        </w:tc>
        <w:tc>
          <w:tcPr>
            <w:tcW w:w="546" w:type="dxa"/>
            <w:shd w:val="clear" w:color="auto" w:fill="E7F3F4"/>
            <w:noWrap/>
            <w:vAlign w:val="center"/>
          </w:tcPr>
          <w:p w14:paraId="30056282" w14:textId="77777777" w:rsidR="004920D8" w:rsidRPr="00880D29" w:rsidRDefault="004920D8" w:rsidP="00D64955">
            <w:pPr>
              <w:spacing w:before="0" w:after="0"/>
              <w:jc w:val="center"/>
              <w:rPr>
                <w:color w:val="000000"/>
                <w:sz w:val="14"/>
                <w:szCs w:val="14"/>
              </w:rPr>
            </w:pPr>
            <w:r w:rsidRPr="00880D29">
              <w:rPr>
                <w:color w:val="000000"/>
                <w:sz w:val="14"/>
                <w:szCs w:val="14"/>
              </w:rPr>
              <w:t>148°</w:t>
            </w:r>
          </w:p>
        </w:tc>
        <w:tc>
          <w:tcPr>
            <w:tcW w:w="830" w:type="dxa"/>
            <w:shd w:val="clear" w:color="auto" w:fill="E7F3F4"/>
            <w:noWrap/>
            <w:vAlign w:val="bottom"/>
          </w:tcPr>
          <w:p w14:paraId="59A0F1CD" w14:textId="77777777" w:rsidR="004920D8" w:rsidRPr="00C0489F" w:rsidRDefault="004920D8" w:rsidP="00D64955">
            <w:pPr>
              <w:spacing w:before="0" w:after="0"/>
              <w:jc w:val="center"/>
              <w:rPr>
                <w:color w:val="000000"/>
                <w:sz w:val="14"/>
                <w:szCs w:val="14"/>
              </w:rPr>
            </w:pPr>
            <w:r w:rsidRPr="00C0489F">
              <w:rPr>
                <w:color w:val="000000"/>
                <w:sz w:val="14"/>
                <w:szCs w:val="14"/>
              </w:rPr>
              <w:t>41.850</w:t>
            </w:r>
          </w:p>
        </w:tc>
        <w:tc>
          <w:tcPr>
            <w:tcW w:w="459" w:type="dxa"/>
            <w:vMerge/>
            <w:shd w:val="clear" w:color="auto" w:fill="F3F9FA"/>
            <w:noWrap/>
            <w:vAlign w:val="center"/>
          </w:tcPr>
          <w:p w14:paraId="0E691C21" w14:textId="77777777" w:rsidR="004920D8" w:rsidRPr="00F45F13" w:rsidRDefault="004920D8" w:rsidP="00D64955">
            <w:pPr>
              <w:spacing w:before="0" w:after="0"/>
              <w:jc w:val="center"/>
              <w:rPr>
                <w:color w:val="000000"/>
                <w:sz w:val="14"/>
                <w:szCs w:val="14"/>
              </w:rPr>
            </w:pPr>
          </w:p>
        </w:tc>
        <w:tc>
          <w:tcPr>
            <w:tcW w:w="357" w:type="dxa"/>
            <w:vMerge/>
            <w:shd w:val="clear" w:color="auto" w:fill="F3F9FA"/>
            <w:vAlign w:val="center"/>
          </w:tcPr>
          <w:p w14:paraId="7168E744" w14:textId="77777777" w:rsidR="004920D8" w:rsidRPr="00F45F13" w:rsidRDefault="004920D8" w:rsidP="00D64955">
            <w:pPr>
              <w:spacing w:before="0" w:after="0"/>
              <w:jc w:val="center"/>
              <w:rPr>
                <w:color w:val="000000"/>
                <w:sz w:val="14"/>
                <w:szCs w:val="14"/>
              </w:rPr>
            </w:pPr>
          </w:p>
        </w:tc>
        <w:tc>
          <w:tcPr>
            <w:tcW w:w="370" w:type="dxa"/>
            <w:vMerge/>
            <w:shd w:val="clear" w:color="auto" w:fill="F3F9FA"/>
            <w:vAlign w:val="center"/>
          </w:tcPr>
          <w:p w14:paraId="607D0E44" w14:textId="77777777" w:rsidR="004920D8" w:rsidRPr="00F45F13" w:rsidRDefault="004920D8" w:rsidP="00D64955">
            <w:pPr>
              <w:spacing w:before="0" w:after="0"/>
              <w:jc w:val="center"/>
              <w:rPr>
                <w:color w:val="000000"/>
                <w:sz w:val="14"/>
                <w:szCs w:val="14"/>
              </w:rPr>
            </w:pPr>
          </w:p>
        </w:tc>
        <w:tc>
          <w:tcPr>
            <w:tcW w:w="393" w:type="dxa"/>
            <w:vMerge/>
            <w:shd w:val="clear" w:color="auto" w:fill="F3F9FA"/>
            <w:vAlign w:val="center"/>
          </w:tcPr>
          <w:p w14:paraId="38993C91" w14:textId="77777777" w:rsidR="004920D8" w:rsidRPr="00F45F13" w:rsidRDefault="004920D8" w:rsidP="00D64955">
            <w:pPr>
              <w:spacing w:before="0" w:after="0"/>
              <w:jc w:val="center"/>
              <w:rPr>
                <w:color w:val="000000"/>
                <w:sz w:val="14"/>
                <w:szCs w:val="14"/>
              </w:rPr>
            </w:pPr>
          </w:p>
        </w:tc>
        <w:tc>
          <w:tcPr>
            <w:tcW w:w="399" w:type="dxa"/>
            <w:vMerge/>
            <w:shd w:val="clear" w:color="auto" w:fill="F3F9FA"/>
            <w:vAlign w:val="center"/>
          </w:tcPr>
          <w:p w14:paraId="69B555CC" w14:textId="77777777" w:rsidR="004920D8" w:rsidRPr="00F45F13" w:rsidRDefault="004920D8" w:rsidP="00D64955">
            <w:pPr>
              <w:spacing w:before="0" w:after="0"/>
              <w:jc w:val="center"/>
              <w:rPr>
                <w:color w:val="000000"/>
                <w:sz w:val="14"/>
                <w:szCs w:val="14"/>
              </w:rPr>
            </w:pPr>
          </w:p>
        </w:tc>
        <w:tc>
          <w:tcPr>
            <w:tcW w:w="371" w:type="dxa"/>
            <w:vMerge/>
            <w:shd w:val="clear" w:color="auto" w:fill="F3F9FA"/>
            <w:vAlign w:val="center"/>
          </w:tcPr>
          <w:p w14:paraId="6CA96C1E" w14:textId="77777777" w:rsidR="004920D8" w:rsidRPr="00F45F13" w:rsidRDefault="004920D8" w:rsidP="00D64955">
            <w:pPr>
              <w:spacing w:before="0" w:after="0"/>
              <w:jc w:val="center"/>
              <w:rPr>
                <w:color w:val="000000"/>
                <w:sz w:val="14"/>
                <w:szCs w:val="14"/>
              </w:rPr>
            </w:pPr>
          </w:p>
        </w:tc>
        <w:tc>
          <w:tcPr>
            <w:tcW w:w="396" w:type="dxa"/>
            <w:vMerge/>
            <w:shd w:val="clear" w:color="auto" w:fill="F3F9FA"/>
            <w:vAlign w:val="center"/>
          </w:tcPr>
          <w:p w14:paraId="3AA5A226" w14:textId="77777777" w:rsidR="004920D8" w:rsidRPr="00F45F13" w:rsidRDefault="004920D8" w:rsidP="00D64955">
            <w:pPr>
              <w:spacing w:before="0" w:after="0"/>
              <w:jc w:val="center"/>
              <w:rPr>
                <w:color w:val="000000"/>
                <w:sz w:val="14"/>
                <w:szCs w:val="14"/>
              </w:rPr>
            </w:pPr>
          </w:p>
        </w:tc>
        <w:tc>
          <w:tcPr>
            <w:tcW w:w="340" w:type="dxa"/>
            <w:vMerge/>
            <w:shd w:val="clear" w:color="auto" w:fill="F3F9FA"/>
            <w:vAlign w:val="center"/>
          </w:tcPr>
          <w:p w14:paraId="7F4A7154" w14:textId="77777777" w:rsidR="004920D8" w:rsidRPr="00F45F13" w:rsidRDefault="004920D8" w:rsidP="00D64955">
            <w:pPr>
              <w:spacing w:before="0" w:after="0"/>
              <w:jc w:val="center"/>
              <w:rPr>
                <w:color w:val="000000"/>
                <w:sz w:val="14"/>
                <w:szCs w:val="14"/>
              </w:rPr>
            </w:pPr>
          </w:p>
        </w:tc>
        <w:tc>
          <w:tcPr>
            <w:tcW w:w="374" w:type="dxa"/>
            <w:vMerge/>
            <w:shd w:val="clear" w:color="auto" w:fill="F3F9FA"/>
            <w:vAlign w:val="center"/>
          </w:tcPr>
          <w:p w14:paraId="65EAA870" w14:textId="77777777" w:rsidR="004920D8" w:rsidRPr="00F45F13" w:rsidRDefault="004920D8" w:rsidP="00D64955">
            <w:pPr>
              <w:spacing w:before="0" w:after="0"/>
              <w:jc w:val="center"/>
              <w:rPr>
                <w:color w:val="000000"/>
                <w:sz w:val="14"/>
                <w:szCs w:val="14"/>
              </w:rPr>
            </w:pPr>
          </w:p>
        </w:tc>
        <w:tc>
          <w:tcPr>
            <w:tcW w:w="406" w:type="dxa"/>
            <w:vMerge/>
            <w:shd w:val="clear" w:color="auto" w:fill="F3F9FA"/>
            <w:vAlign w:val="center"/>
          </w:tcPr>
          <w:p w14:paraId="764CB384" w14:textId="77777777" w:rsidR="004920D8" w:rsidRPr="00F45F13" w:rsidRDefault="004920D8" w:rsidP="00D64955">
            <w:pPr>
              <w:spacing w:before="0" w:after="0"/>
              <w:jc w:val="center"/>
              <w:rPr>
                <w:color w:val="000000"/>
                <w:sz w:val="14"/>
                <w:szCs w:val="14"/>
              </w:rPr>
            </w:pPr>
          </w:p>
        </w:tc>
      </w:tr>
      <w:tr w:rsidR="004920D8" w:rsidRPr="00015190" w14:paraId="5160278D" w14:textId="77777777" w:rsidTr="00D64955">
        <w:trPr>
          <w:trHeight w:val="170"/>
          <w:jc w:val="center"/>
        </w:trPr>
        <w:tc>
          <w:tcPr>
            <w:tcW w:w="900" w:type="dxa"/>
            <w:vMerge/>
            <w:shd w:val="clear" w:color="auto" w:fill="auto"/>
            <w:vAlign w:val="center"/>
          </w:tcPr>
          <w:p w14:paraId="60A6BEE6" w14:textId="77777777" w:rsidR="004920D8" w:rsidRPr="00880D29" w:rsidRDefault="004920D8" w:rsidP="00D64955">
            <w:pPr>
              <w:spacing w:before="0" w:after="0"/>
              <w:jc w:val="center"/>
              <w:rPr>
                <w:color w:val="000000"/>
                <w:sz w:val="14"/>
                <w:szCs w:val="14"/>
              </w:rPr>
            </w:pPr>
          </w:p>
        </w:tc>
        <w:tc>
          <w:tcPr>
            <w:tcW w:w="1826" w:type="dxa"/>
            <w:vMerge/>
            <w:shd w:val="clear" w:color="auto" w:fill="F3F9FA"/>
            <w:vAlign w:val="center"/>
          </w:tcPr>
          <w:p w14:paraId="77F66062" w14:textId="77777777" w:rsidR="004920D8" w:rsidRPr="00880D29" w:rsidRDefault="004920D8" w:rsidP="00D64955">
            <w:pPr>
              <w:spacing w:before="0" w:after="0"/>
              <w:jc w:val="center"/>
              <w:rPr>
                <w:color w:val="000000"/>
                <w:sz w:val="14"/>
                <w:szCs w:val="14"/>
              </w:rPr>
            </w:pPr>
          </w:p>
        </w:tc>
        <w:tc>
          <w:tcPr>
            <w:tcW w:w="1030" w:type="dxa"/>
            <w:vMerge w:val="restart"/>
            <w:shd w:val="clear" w:color="auto" w:fill="F3F9FA"/>
            <w:vAlign w:val="center"/>
          </w:tcPr>
          <w:p w14:paraId="41DC7FD8" w14:textId="77777777" w:rsidR="004920D8" w:rsidRDefault="004920D8" w:rsidP="00D64955">
            <w:pPr>
              <w:spacing w:before="0" w:after="0"/>
              <w:jc w:val="center"/>
              <w:rPr>
                <w:color w:val="000000"/>
                <w:sz w:val="14"/>
                <w:szCs w:val="14"/>
              </w:rPr>
            </w:pPr>
            <w:r>
              <w:rPr>
                <w:color w:val="000000"/>
                <w:sz w:val="14"/>
                <w:szCs w:val="14"/>
              </w:rPr>
              <w:t>Proserpine / O</w:t>
            </w:r>
            <w:r w:rsidRPr="00C02B42">
              <w:rPr>
                <w:color w:val="000000"/>
                <w:sz w:val="14"/>
                <w:szCs w:val="14"/>
              </w:rPr>
              <w:t>'</w:t>
            </w:r>
            <w:r>
              <w:rPr>
                <w:color w:val="000000"/>
                <w:sz w:val="14"/>
                <w:szCs w:val="14"/>
              </w:rPr>
              <w:t>C</w:t>
            </w:r>
            <w:r w:rsidRPr="00C02B42">
              <w:rPr>
                <w:color w:val="000000"/>
                <w:sz w:val="14"/>
                <w:szCs w:val="14"/>
              </w:rPr>
              <w:t>onnell</w:t>
            </w:r>
          </w:p>
        </w:tc>
        <w:tc>
          <w:tcPr>
            <w:tcW w:w="1445" w:type="dxa"/>
            <w:vMerge w:val="restart"/>
            <w:shd w:val="clear" w:color="auto" w:fill="F3F9FA"/>
            <w:noWrap/>
            <w:vAlign w:val="center"/>
          </w:tcPr>
          <w:p w14:paraId="43215F34" w14:textId="77777777" w:rsidR="004920D8" w:rsidRDefault="004920D8" w:rsidP="00D64955">
            <w:pPr>
              <w:spacing w:before="0" w:after="0"/>
              <w:jc w:val="center"/>
              <w:rPr>
                <w:i/>
                <w:color w:val="000000"/>
                <w:sz w:val="14"/>
                <w:szCs w:val="14"/>
              </w:rPr>
            </w:pPr>
            <w:r>
              <w:rPr>
                <w:color w:val="000000"/>
                <w:sz w:val="14"/>
                <w:szCs w:val="14"/>
              </w:rPr>
              <w:t>Whitsunday Island</w:t>
            </w:r>
          </w:p>
          <w:p w14:paraId="724E30A5" w14:textId="77777777" w:rsidR="004920D8" w:rsidRPr="00880D29" w:rsidRDefault="004920D8" w:rsidP="00D64955">
            <w:pPr>
              <w:spacing w:before="0" w:after="0"/>
              <w:jc w:val="center"/>
              <w:rPr>
                <w:color w:val="000000"/>
                <w:sz w:val="14"/>
                <w:szCs w:val="14"/>
              </w:rPr>
            </w:pPr>
            <w:r>
              <w:rPr>
                <w:i/>
                <w:color w:val="000000"/>
                <w:sz w:val="14"/>
                <w:szCs w:val="14"/>
              </w:rPr>
              <w:t>reef</w:t>
            </w:r>
          </w:p>
        </w:tc>
        <w:tc>
          <w:tcPr>
            <w:tcW w:w="619" w:type="dxa"/>
            <w:shd w:val="clear" w:color="auto" w:fill="F3F9FA"/>
            <w:noWrap/>
            <w:vAlign w:val="center"/>
          </w:tcPr>
          <w:p w14:paraId="3CAD1337" w14:textId="77777777" w:rsidR="004920D8" w:rsidRDefault="004920D8" w:rsidP="00D64955">
            <w:pPr>
              <w:spacing w:before="0" w:after="0"/>
              <w:jc w:val="center"/>
              <w:rPr>
                <w:color w:val="000000"/>
                <w:sz w:val="14"/>
                <w:szCs w:val="14"/>
              </w:rPr>
            </w:pPr>
            <w:r>
              <w:rPr>
                <w:color w:val="000000"/>
                <w:sz w:val="14"/>
                <w:szCs w:val="14"/>
              </w:rPr>
              <w:t>TO1^</w:t>
            </w:r>
          </w:p>
        </w:tc>
        <w:tc>
          <w:tcPr>
            <w:tcW w:w="1202" w:type="dxa"/>
            <w:shd w:val="clear" w:color="auto" w:fill="F3F9FA"/>
            <w:noWrap/>
            <w:vAlign w:val="center"/>
          </w:tcPr>
          <w:p w14:paraId="56C706C3" w14:textId="77777777" w:rsidR="004920D8" w:rsidRPr="00880D29" w:rsidRDefault="004920D8" w:rsidP="00D64955">
            <w:pPr>
              <w:spacing w:before="0" w:after="0"/>
              <w:jc w:val="center"/>
              <w:rPr>
                <w:color w:val="000000"/>
                <w:sz w:val="14"/>
                <w:szCs w:val="14"/>
              </w:rPr>
            </w:pPr>
            <w:r>
              <w:rPr>
                <w:color w:val="000000"/>
                <w:sz w:val="14"/>
                <w:szCs w:val="14"/>
              </w:rPr>
              <w:t>Tongue Bay</w:t>
            </w:r>
          </w:p>
        </w:tc>
        <w:tc>
          <w:tcPr>
            <w:tcW w:w="463" w:type="dxa"/>
            <w:shd w:val="clear" w:color="auto" w:fill="F3F9FA"/>
            <w:noWrap/>
            <w:vAlign w:val="center"/>
          </w:tcPr>
          <w:p w14:paraId="2C5B4241" w14:textId="77777777" w:rsidR="004920D8" w:rsidRPr="00880D29" w:rsidRDefault="004920D8" w:rsidP="00D64955">
            <w:pPr>
              <w:spacing w:before="0" w:after="0"/>
              <w:jc w:val="center"/>
              <w:rPr>
                <w:color w:val="000000"/>
                <w:sz w:val="14"/>
                <w:szCs w:val="14"/>
              </w:rPr>
            </w:pPr>
            <w:r>
              <w:rPr>
                <w:color w:val="000000"/>
                <w:sz w:val="14"/>
                <w:szCs w:val="14"/>
              </w:rPr>
              <w:t>20</w:t>
            </w:r>
            <w:r w:rsidRPr="00880D29">
              <w:rPr>
                <w:color w:val="000000"/>
                <w:sz w:val="14"/>
                <w:szCs w:val="14"/>
              </w:rPr>
              <w:t>°</w:t>
            </w:r>
          </w:p>
        </w:tc>
        <w:tc>
          <w:tcPr>
            <w:tcW w:w="830" w:type="dxa"/>
            <w:shd w:val="clear" w:color="auto" w:fill="F3F9FA"/>
            <w:noWrap/>
            <w:vAlign w:val="bottom"/>
          </w:tcPr>
          <w:p w14:paraId="4409822B" w14:textId="77777777" w:rsidR="004920D8" w:rsidRPr="00C0489F" w:rsidRDefault="004920D8" w:rsidP="00D64955">
            <w:pPr>
              <w:spacing w:before="0" w:after="0"/>
              <w:jc w:val="center"/>
              <w:rPr>
                <w:color w:val="000000"/>
                <w:sz w:val="14"/>
                <w:szCs w:val="14"/>
              </w:rPr>
            </w:pPr>
            <w:r w:rsidRPr="00C0489F">
              <w:rPr>
                <w:color w:val="000000"/>
                <w:sz w:val="14"/>
                <w:szCs w:val="14"/>
              </w:rPr>
              <w:t>14.399</w:t>
            </w:r>
          </w:p>
        </w:tc>
        <w:tc>
          <w:tcPr>
            <w:tcW w:w="546" w:type="dxa"/>
            <w:shd w:val="clear" w:color="auto" w:fill="F3F9FA"/>
            <w:noWrap/>
            <w:vAlign w:val="center"/>
          </w:tcPr>
          <w:p w14:paraId="3BD37B32" w14:textId="77777777" w:rsidR="004920D8" w:rsidRPr="00880D29" w:rsidRDefault="004920D8" w:rsidP="00D64955">
            <w:pPr>
              <w:spacing w:before="0" w:after="0"/>
              <w:jc w:val="center"/>
              <w:rPr>
                <w:color w:val="000000"/>
                <w:sz w:val="14"/>
                <w:szCs w:val="14"/>
              </w:rPr>
            </w:pPr>
            <w:r>
              <w:rPr>
                <w:color w:val="000000"/>
                <w:sz w:val="14"/>
                <w:szCs w:val="14"/>
              </w:rPr>
              <w:t>149</w:t>
            </w:r>
            <w:r w:rsidRPr="00880D29">
              <w:rPr>
                <w:color w:val="000000"/>
                <w:sz w:val="14"/>
                <w:szCs w:val="14"/>
              </w:rPr>
              <w:t>°</w:t>
            </w:r>
          </w:p>
        </w:tc>
        <w:tc>
          <w:tcPr>
            <w:tcW w:w="830" w:type="dxa"/>
            <w:shd w:val="clear" w:color="auto" w:fill="F3F9FA"/>
            <w:noWrap/>
            <w:vAlign w:val="bottom"/>
          </w:tcPr>
          <w:p w14:paraId="3B2A0342" w14:textId="77777777" w:rsidR="004920D8" w:rsidRPr="00C0489F" w:rsidRDefault="004920D8" w:rsidP="00D64955">
            <w:pPr>
              <w:spacing w:before="0" w:after="0"/>
              <w:jc w:val="center"/>
              <w:rPr>
                <w:color w:val="000000"/>
                <w:sz w:val="14"/>
                <w:szCs w:val="14"/>
              </w:rPr>
            </w:pPr>
            <w:r w:rsidRPr="00C0489F">
              <w:rPr>
                <w:color w:val="000000"/>
                <w:sz w:val="14"/>
                <w:szCs w:val="14"/>
              </w:rPr>
              <w:t>0.934</w:t>
            </w:r>
          </w:p>
        </w:tc>
        <w:tc>
          <w:tcPr>
            <w:tcW w:w="459" w:type="dxa"/>
            <w:vMerge w:val="restart"/>
            <w:shd w:val="clear" w:color="auto" w:fill="F3F9FA"/>
            <w:noWrap/>
            <w:vAlign w:val="center"/>
          </w:tcPr>
          <w:p w14:paraId="55CBC980" w14:textId="77777777" w:rsidR="004920D8" w:rsidRPr="00F45F13" w:rsidRDefault="004920D8" w:rsidP="00D64955">
            <w:pPr>
              <w:spacing w:before="0" w:after="0"/>
              <w:jc w:val="center"/>
              <w:rPr>
                <w:color w:val="000000"/>
                <w:sz w:val="14"/>
                <w:szCs w:val="14"/>
              </w:rPr>
            </w:pPr>
          </w:p>
        </w:tc>
        <w:tc>
          <w:tcPr>
            <w:tcW w:w="357" w:type="dxa"/>
            <w:vMerge w:val="restart"/>
            <w:shd w:val="clear" w:color="auto" w:fill="F3F9FA"/>
            <w:vAlign w:val="center"/>
          </w:tcPr>
          <w:p w14:paraId="05FE1B21" w14:textId="77777777" w:rsidR="004920D8" w:rsidRPr="00F45F13" w:rsidRDefault="004920D8" w:rsidP="00D64955">
            <w:pPr>
              <w:spacing w:before="0" w:after="0"/>
              <w:jc w:val="center"/>
              <w:rPr>
                <w:color w:val="000000"/>
                <w:sz w:val="14"/>
                <w:szCs w:val="14"/>
              </w:rPr>
            </w:pPr>
          </w:p>
        </w:tc>
        <w:tc>
          <w:tcPr>
            <w:tcW w:w="370" w:type="dxa"/>
            <w:vMerge w:val="restart"/>
            <w:shd w:val="clear" w:color="auto" w:fill="F3F9FA"/>
            <w:vAlign w:val="center"/>
          </w:tcPr>
          <w:p w14:paraId="00637C7C" w14:textId="77777777" w:rsidR="004920D8" w:rsidRPr="00F45F13" w:rsidRDefault="004920D8" w:rsidP="00D64955">
            <w:pPr>
              <w:spacing w:before="0" w:after="0"/>
              <w:jc w:val="center"/>
              <w:rPr>
                <w:color w:val="000000"/>
                <w:sz w:val="14"/>
                <w:szCs w:val="14"/>
              </w:rPr>
            </w:pPr>
          </w:p>
        </w:tc>
        <w:tc>
          <w:tcPr>
            <w:tcW w:w="393" w:type="dxa"/>
            <w:vMerge w:val="restart"/>
            <w:shd w:val="clear" w:color="auto" w:fill="F3F9FA"/>
            <w:vAlign w:val="center"/>
          </w:tcPr>
          <w:p w14:paraId="03AB5D12" w14:textId="77777777" w:rsidR="004920D8" w:rsidRPr="00F45F13" w:rsidRDefault="004920D8" w:rsidP="00D64955">
            <w:pPr>
              <w:spacing w:before="0" w:after="0"/>
              <w:jc w:val="center"/>
              <w:rPr>
                <w:color w:val="000000"/>
                <w:sz w:val="14"/>
                <w:szCs w:val="14"/>
              </w:rPr>
            </w:pPr>
          </w:p>
        </w:tc>
        <w:tc>
          <w:tcPr>
            <w:tcW w:w="399" w:type="dxa"/>
            <w:vMerge w:val="restart"/>
            <w:shd w:val="clear" w:color="auto" w:fill="F3F9FA"/>
            <w:vAlign w:val="center"/>
          </w:tcPr>
          <w:p w14:paraId="601E1B9C"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F3F9FA"/>
            <w:vAlign w:val="center"/>
          </w:tcPr>
          <w:p w14:paraId="7E160DFD" w14:textId="77777777" w:rsidR="004920D8" w:rsidRPr="00F45F13" w:rsidRDefault="004920D8" w:rsidP="00D64955">
            <w:pPr>
              <w:spacing w:before="0" w:after="0"/>
              <w:jc w:val="center"/>
              <w:rPr>
                <w:color w:val="000000"/>
                <w:sz w:val="14"/>
                <w:szCs w:val="14"/>
              </w:rPr>
            </w:pPr>
          </w:p>
        </w:tc>
        <w:tc>
          <w:tcPr>
            <w:tcW w:w="396" w:type="dxa"/>
            <w:vMerge w:val="restart"/>
            <w:shd w:val="clear" w:color="auto" w:fill="F3F9FA"/>
            <w:vAlign w:val="center"/>
          </w:tcPr>
          <w:p w14:paraId="2F23A68F"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vMerge w:val="restart"/>
            <w:shd w:val="clear" w:color="auto" w:fill="F3F9FA"/>
            <w:vAlign w:val="center"/>
          </w:tcPr>
          <w:p w14:paraId="05B99B56" w14:textId="77777777" w:rsidR="004920D8" w:rsidRPr="00F45F13" w:rsidRDefault="004920D8" w:rsidP="00D64955">
            <w:pPr>
              <w:spacing w:before="0" w:after="0"/>
              <w:jc w:val="center"/>
              <w:rPr>
                <w:color w:val="000000"/>
                <w:sz w:val="14"/>
                <w:szCs w:val="14"/>
              </w:rPr>
            </w:pPr>
          </w:p>
        </w:tc>
        <w:tc>
          <w:tcPr>
            <w:tcW w:w="374" w:type="dxa"/>
            <w:vMerge w:val="restart"/>
            <w:shd w:val="clear" w:color="auto" w:fill="F3F9FA"/>
            <w:vAlign w:val="center"/>
          </w:tcPr>
          <w:p w14:paraId="3C88EE7C"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406" w:type="dxa"/>
            <w:vMerge w:val="restart"/>
            <w:shd w:val="clear" w:color="auto" w:fill="F3F9FA"/>
            <w:vAlign w:val="center"/>
          </w:tcPr>
          <w:p w14:paraId="6C31E662" w14:textId="77777777" w:rsidR="004920D8" w:rsidRPr="00F45F13" w:rsidRDefault="004920D8" w:rsidP="00D64955">
            <w:pPr>
              <w:spacing w:before="0" w:after="0"/>
              <w:jc w:val="center"/>
              <w:rPr>
                <w:color w:val="000000"/>
                <w:sz w:val="16"/>
                <w:szCs w:val="16"/>
              </w:rPr>
            </w:pPr>
          </w:p>
        </w:tc>
      </w:tr>
      <w:tr w:rsidR="004920D8" w:rsidRPr="00015190" w14:paraId="0F5292A3" w14:textId="77777777" w:rsidTr="00D64955">
        <w:trPr>
          <w:trHeight w:val="170"/>
          <w:jc w:val="center"/>
        </w:trPr>
        <w:tc>
          <w:tcPr>
            <w:tcW w:w="900" w:type="dxa"/>
            <w:vMerge/>
            <w:shd w:val="clear" w:color="auto" w:fill="auto"/>
            <w:vAlign w:val="center"/>
          </w:tcPr>
          <w:p w14:paraId="70DA2011" w14:textId="77777777" w:rsidR="004920D8" w:rsidRPr="00880D29" w:rsidRDefault="004920D8" w:rsidP="00D64955">
            <w:pPr>
              <w:spacing w:before="0" w:after="0"/>
              <w:jc w:val="center"/>
              <w:rPr>
                <w:color w:val="000000"/>
                <w:sz w:val="14"/>
                <w:szCs w:val="14"/>
              </w:rPr>
            </w:pPr>
          </w:p>
        </w:tc>
        <w:tc>
          <w:tcPr>
            <w:tcW w:w="1826" w:type="dxa"/>
            <w:vMerge/>
            <w:shd w:val="clear" w:color="auto" w:fill="F3F9FA"/>
            <w:vAlign w:val="center"/>
          </w:tcPr>
          <w:p w14:paraId="7B0D0FD4" w14:textId="77777777" w:rsidR="004920D8" w:rsidRPr="00880D29" w:rsidRDefault="004920D8" w:rsidP="00D64955">
            <w:pPr>
              <w:spacing w:before="0" w:after="0"/>
              <w:jc w:val="center"/>
              <w:rPr>
                <w:color w:val="000000"/>
                <w:sz w:val="14"/>
                <w:szCs w:val="14"/>
              </w:rPr>
            </w:pPr>
          </w:p>
        </w:tc>
        <w:tc>
          <w:tcPr>
            <w:tcW w:w="1030" w:type="dxa"/>
            <w:vMerge/>
            <w:shd w:val="clear" w:color="auto" w:fill="F3F9FA"/>
            <w:vAlign w:val="center"/>
          </w:tcPr>
          <w:p w14:paraId="3F252855" w14:textId="77777777" w:rsidR="004920D8" w:rsidRDefault="004920D8" w:rsidP="00D64955">
            <w:pPr>
              <w:spacing w:before="0" w:after="0"/>
              <w:jc w:val="center"/>
              <w:rPr>
                <w:color w:val="000000"/>
                <w:sz w:val="14"/>
                <w:szCs w:val="14"/>
              </w:rPr>
            </w:pPr>
          </w:p>
        </w:tc>
        <w:tc>
          <w:tcPr>
            <w:tcW w:w="1445" w:type="dxa"/>
            <w:vMerge/>
            <w:shd w:val="clear" w:color="auto" w:fill="F3F9FA"/>
            <w:noWrap/>
            <w:vAlign w:val="center"/>
          </w:tcPr>
          <w:p w14:paraId="0F892983" w14:textId="77777777" w:rsidR="004920D8" w:rsidRPr="00880D29" w:rsidRDefault="004920D8" w:rsidP="00D64955">
            <w:pPr>
              <w:spacing w:before="0" w:after="0"/>
              <w:jc w:val="center"/>
              <w:rPr>
                <w:color w:val="000000"/>
                <w:sz w:val="14"/>
                <w:szCs w:val="14"/>
              </w:rPr>
            </w:pPr>
          </w:p>
        </w:tc>
        <w:tc>
          <w:tcPr>
            <w:tcW w:w="619" w:type="dxa"/>
            <w:shd w:val="clear" w:color="auto" w:fill="F3F9FA"/>
            <w:noWrap/>
            <w:vAlign w:val="center"/>
          </w:tcPr>
          <w:p w14:paraId="1C0A37E5" w14:textId="77777777" w:rsidR="004920D8" w:rsidRDefault="004920D8" w:rsidP="00D64955">
            <w:pPr>
              <w:spacing w:before="0" w:after="0"/>
              <w:jc w:val="center"/>
              <w:rPr>
                <w:color w:val="000000"/>
                <w:sz w:val="14"/>
                <w:szCs w:val="14"/>
              </w:rPr>
            </w:pPr>
            <w:r>
              <w:rPr>
                <w:color w:val="000000"/>
                <w:sz w:val="14"/>
                <w:szCs w:val="14"/>
              </w:rPr>
              <w:t>TO2^</w:t>
            </w:r>
          </w:p>
        </w:tc>
        <w:tc>
          <w:tcPr>
            <w:tcW w:w="1202" w:type="dxa"/>
            <w:shd w:val="clear" w:color="auto" w:fill="F3F9FA"/>
            <w:noWrap/>
            <w:vAlign w:val="center"/>
          </w:tcPr>
          <w:p w14:paraId="4F0F1399" w14:textId="77777777" w:rsidR="004920D8" w:rsidRPr="00880D29" w:rsidRDefault="004920D8" w:rsidP="00D64955">
            <w:pPr>
              <w:spacing w:before="0" w:after="0"/>
              <w:jc w:val="center"/>
              <w:rPr>
                <w:color w:val="000000"/>
                <w:sz w:val="14"/>
                <w:szCs w:val="14"/>
              </w:rPr>
            </w:pPr>
            <w:r>
              <w:rPr>
                <w:color w:val="000000"/>
                <w:sz w:val="14"/>
                <w:szCs w:val="14"/>
              </w:rPr>
              <w:t>Tongue Bay</w:t>
            </w:r>
          </w:p>
        </w:tc>
        <w:tc>
          <w:tcPr>
            <w:tcW w:w="463" w:type="dxa"/>
            <w:shd w:val="clear" w:color="auto" w:fill="F3F9FA"/>
            <w:noWrap/>
            <w:vAlign w:val="center"/>
          </w:tcPr>
          <w:p w14:paraId="106FB265" w14:textId="77777777" w:rsidR="004920D8" w:rsidRPr="00880D29" w:rsidRDefault="004920D8" w:rsidP="00D64955">
            <w:pPr>
              <w:spacing w:before="0" w:after="0"/>
              <w:jc w:val="center"/>
              <w:rPr>
                <w:color w:val="000000"/>
                <w:sz w:val="14"/>
                <w:szCs w:val="14"/>
              </w:rPr>
            </w:pPr>
            <w:r>
              <w:rPr>
                <w:color w:val="000000"/>
                <w:sz w:val="14"/>
                <w:szCs w:val="14"/>
              </w:rPr>
              <w:t>20</w:t>
            </w:r>
            <w:r w:rsidRPr="00880D29">
              <w:rPr>
                <w:color w:val="000000"/>
                <w:sz w:val="14"/>
                <w:szCs w:val="14"/>
              </w:rPr>
              <w:t>°</w:t>
            </w:r>
          </w:p>
        </w:tc>
        <w:tc>
          <w:tcPr>
            <w:tcW w:w="830" w:type="dxa"/>
            <w:shd w:val="clear" w:color="auto" w:fill="F3F9FA"/>
            <w:noWrap/>
            <w:vAlign w:val="bottom"/>
          </w:tcPr>
          <w:p w14:paraId="281B900E" w14:textId="77777777" w:rsidR="004920D8" w:rsidRPr="00C0489F" w:rsidRDefault="004920D8" w:rsidP="00D64955">
            <w:pPr>
              <w:spacing w:before="0" w:after="0"/>
              <w:jc w:val="center"/>
              <w:rPr>
                <w:color w:val="000000"/>
                <w:sz w:val="14"/>
                <w:szCs w:val="14"/>
              </w:rPr>
            </w:pPr>
            <w:r w:rsidRPr="00C0489F">
              <w:rPr>
                <w:color w:val="000000"/>
                <w:sz w:val="14"/>
                <w:szCs w:val="14"/>
              </w:rPr>
              <w:t>14.495</w:t>
            </w:r>
          </w:p>
        </w:tc>
        <w:tc>
          <w:tcPr>
            <w:tcW w:w="546" w:type="dxa"/>
            <w:shd w:val="clear" w:color="auto" w:fill="F3F9FA"/>
            <w:noWrap/>
            <w:vAlign w:val="center"/>
          </w:tcPr>
          <w:p w14:paraId="447227E0" w14:textId="77777777" w:rsidR="004920D8" w:rsidRPr="00880D29" w:rsidRDefault="004920D8" w:rsidP="00D64955">
            <w:pPr>
              <w:spacing w:before="0" w:after="0"/>
              <w:jc w:val="center"/>
              <w:rPr>
                <w:color w:val="000000"/>
                <w:sz w:val="14"/>
                <w:szCs w:val="14"/>
              </w:rPr>
            </w:pPr>
            <w:r>
              <w:rPr>
                <w:color w:val="000000"/>
                <w:sz w:val="14"/>
                <w:szCs w:val="14"/>
              </w:rPr>
              <w:t>149</w:t>
            </w:r>
            <w:r w:rsidRPr="00880D29">
              <w:rPr>
                <w:color w:val="000000"/>
                <w:sz w:val="14"/>
                <w:szCs w:val="14"/>
              </w:rPr>
              <w:t>°</w:t>
            </w:r>
          </w:p>
        </w:tc>
        <w:tc>
          <w:tcPr>
            <w:tcW w:w="830" w:type="dxa"/>
            <w:shd w:val="clear" w:color="auto" w:fill="F3F9FA"/>
            <w:noWrap/>
            <w:vAlign w:val="bottom"/>
          </w:tcPr>
          <w:p w14:paraId="6A709E74" w14:textId="77777777" w:rsidR="004920D8" w:rsidRPr="00C0489F" w:rsidRDefault="004920D8" w:rsidP="00D64955">
            <w:pPr>
              <w:spacing w:before="0" w:after="0"/>
              <w:jc w:val="center"/>
              <w:rPr>
                <w:color w:val="000000"/>
                <w:sz w:val="14"/>
                <w:szCs w:val="14"/>
              </w:rPr>
            </w:pPr>
            <w:r w:rsidRPr="00C0489F">
              <w:rPr>
                <w:color w:val="000000"/>
                <w:sz w:val="14"/>
                <w:szCs w:val="14"/>
              </w:rPr>
              <w:t>0.697</w:t>
            </w:r>
          </w:p>
        </w:tc>
        <w:tc>
          <w:tcPr>
            <w:tcW w:w="459" w:type="dxa"/>
            <w:vMerge/>
            <w:shd w:val="clear" w:color="auto" w:fill="F3F9FA"/>
            <w:noWrap/>
            <w:vAlign w:val="center"/>
          </w:tcPr>
          <w:p w14:paraId="7D7BBF6C" w14:textId="77777777" w:rsidR="004920D8" w:rsidRPr="00F45F13" w:rsidRDefault="004920D8" w:rsidP="00D64955">
            <w:pPr>
              <w:spacing w:before="0" w:after="0"/>
              <w:jc w:val="center"/>
              <w:rPr>
                <w:color w:val="000000"/>
                <w:sz w:val="14"/>
                <w:szCs w:val="14"/>
              </w:rPr>
            </w:pPr>
          </w:p>
        </w:tc>
        <w:tc>
          <w:tcPr>
            <w:tcW w:w="357" w:type="dxa"/>
            <w:vMerge/>
            <w:shd w:val="clear" w:color="auto" w:fill="F3F9FA"/>
            <w:vAlign w:val="center"/>
          </w:tcPr>
          <w:p w14:paraId="0F6B9909" w14:textId="77777777" w:rsidR="004920D8" w:rsidRPr="00F45F13" w:rsidRDefault="004920D8" w:rsidP="00D64955">
            <w:pPr>
              <w:spacing w:before="0" w:after="0"/>
              <w:jc w:val="center"/>
              <w:rPr>
                <w:color w:val="000000"/>
                <w:sz w:val="14"/>
                <w:szCs w:val="14"/>
              </w:rPr>
            </w:pPr>
          </w:p>
        </w:tc>
        <w:tc>
          <w:tcPr>
            <w:tcW w:w="370" w:type="dxa"/>
            <w:vMerge/>
            <w:shd w:val="clear" w:color="auto" w:fill="F3F9FA"/>
            <w:vAlign w:val="center"/>
          </w:tcPr>
          <w:p w14:paraId="2DDA990E" w14:textId="77777777" w:rsidR="004920D8" w:rsidRPr="00F45F13" w:rsidRDefault="004920D8" w:rsidP="00D64955">
            <w:pPr>
              <w:spacing w:before="0" w:after="0"/>
              <w:jc w:val="center"/>
              <w:rPr>
                <w:color w:val="000000"/>
                <w:sz w:val="14"/>
                <w:szCs w:val="14"/>
              </w:rPr>
            </w:pPr>
          </w:p>
        </w:tc>
        <w:tc>
          <w:tcPr>
            <w:tcW w:w="393" w:type="dxa"/>
            <w:vMerge/>
            <w:shd w:val="clear" w:color="auto" w:fill="F3F9FA"/>
            <w:vAlign w:val="center"/>
          </w:tcPr>
          <w:p w14:paraId="362E7D10" w14:textId="77777777" w:rsidR="004920D8" w:rsidRPr="00F45F13" w:rsidRDefault="004920D8" w:rsidP="00D64955">
            <w:pPr>
              <w:spacing w:before="0" w:after="0"/>
              <w:jc w:val="center"/>
              <w:rPr>
                <w:color w:val="000000"/>
                <w:sz w:val="14"/>
                <w:szCs w:val="14"/>
              </w:rPr>
            </w:pPr>
          </w:p>
        </w:tc>
        <w:tc>
          <w:tcPr>
            <w:tcW w:w="399" w:type="dxa"/>
            <w:vMerge/>
            <w:shd w:val="clear" w:color="auto" w:fill="F3F9FA"/>
            <w:vAlign w:val="center"/>
          </w:tcPr>
          <w:p w14:paraId="30809386" w14:textId="77777777" w:rsidR="004920D8" w:rsidRPr="00F45F13" w:rsidRDefault="004920D8" w:rsidP="00D64955">
            <w:pPr>
              <w:spacing w:before="0" w:after="0"/>
              <w:jc w:val="center"/>
              <w:rPr>
                <w:color w:val="000000"/>
                <w:sz w:val="14"/>
                <w:szCs w:val="14"/>
              </w:rPr>
            </w:pPr>
          </w:p>
        </w:tc>
        <w:tc>
          <w:tcPr>
            <w:tcW w:w="371" w:type="dxa"/>
            <w:vMerge/>
            <w:shd w:val="clear" w:color="auto" w:fill="F3F9FA"/>
            <w:vAlign w:val="center"/>
          </w:tcPr>
          <w:p w14:paraId="4FA844CF" w14:textId="77777777" w:rsidR="004920D8" w:rsidRPr="00F45F13" w:rsidRDefault="004920D8" w:rsidP="00D64955">
            <w:pPr>
              <w:spacing w:before="0" w:after="0"/>
              <w:jc w:val="center"/>
              <w:rPr>
                <w:color w:val="000000"/>
                <w:sz w:val="14"/>
                <w:szCs w:val="14"/>
              </w:rPr>
            </w:pPr>
          </w:p>
        </w:tc>
        <w:tc>
          <w:tcPr>
            <w:tcW w:w="396" w:type="dxa"/>
            <w:vMerge/>
            <w:shd w:val="clear" w:color="auto" w:fill="F3F9FA"/>
            <w:vAlign w:val="center"/>
          </w:tcPr>
          <w:p w14:paraId="05649DD5" w14:textId="77777777" w:rsidR="004920D8" w:rsidRPr="00F45F13" w:rsidRDefault="004920D8" w:rsidP="00D64955">
            <w:pPr>
              <w:spacing w:before="0" w:after="0"/>
              <w:jc w:val="center"/>
              <w:rPr>
                <w:color w:val="000000"/>
                <w:sz w:val="16"/>
                <w:szCs w:val="16"/>
              </w:rPr>
            </w:pPr>
          </w:p>
        </w:tc>
        <w:tc>
          <w:tcPr>
            <w:tcW w:w="340" w:type="dxa"/>
            <w:vMerge/>
            <w:shd w:val="clear" w:color="auto" w:fill="F3F9FA"/>
            <w:vAlign w:val="center"/>
          </w:tcPr>
          <w:p w14:paraId="0007A5B0" w14:textId="77777777" w:rsidR="004920D8" w:rsidRPr="00F45F13" w:rsidRDefault="004920D8" w:rsidP="00D64955">
            <w:pPr>
              <w:spacing w:before="0" w:after="0"/>
              <w:jc w:val="center"/>
              <w:rPr>
                <w:color w:val="000000"/>
                <w:sz w:val="14"/>
                <w:szCs w:val="14"/>
              </w:rPr>
            </w:pPr>
          </w:p>
        </w:tc>
        <w:tc>
          <w:tcPr>
            <w:tcW w:w="374" w:type="dxa"/>
            <w:vMerge/>
            <w:shd w:val="clear" w:color="auto" w:fill="F3F9FA"/>
            <w:vAlign w:val="center"/>
          </w:tcPr>
          <w:p w14:paraId="406BF1FB" w14:textId="77777777" w:rsidR="004920D8" w:rsidRPr="00F45F13" w:rsidRDefault="004920D8" w:rsidP="00D64955">
            <w:pPr>
              <w:spacing w:before="0" w:after="0"/>
              <w:jc w:val="center"/>
              <w:rPr>
                <w:color w:val="000000"/>
                <w:sz w:val="14"/>
                <w:szCs w:val="14"/>
              </w:rPr>
            </w:pPr>
          </w:p>
        </w:tc>
        <w:tc>
          <w:tcPr>
            <w:tcW w:w="406" w:type="dxa"/>
            <w:vMerge/>
            <w:shd w:val="clear" w:color="auto" w:fill="F3F9FA"/>
            <w:vAlign w:val="center"/>
          </w:tcPr>
          <w:p w14:paraId="082F0800" w14:textId="77777777" w:rsidR="004920D8" w:rsidRPr="00F45F13" w:rsidRDefault="004920D8" w:rsidP="00D64955">
            <w:pPr>
              <w:spacing w:before="0" w:after="0"/>
              <w:jc w:val="center"/>
              <w:rPr>
                <w:color w:val="000000"/>
                <w:sz w:val="16"/>
                <w:szCs w:val="16"/>
              </w:rPr>
            </w:pPr>
          </w:p>
        </w:tc>
      </w:tr>
      <w:tr w:rsidR="004920D8" w:rsidRPr="00015190" w14:paraId="463D8C76" w14:textId="77777777" w:rsidTr="00D64955">
        <w:trPr>
          <w:trHeight w:val="87"/>
          <w:jc w:val="center"/>
        </w:trPr>
        <w:tc>
          <w:tcPr>
            <w:tcW w:w="900" w:type="dxa"/>
            <w:vMerge/>
            <w:shd w:val="clear" w:color="auto" w:fill="auto"/>
            <w:vAlign w:val="center"/>
          </w:tcPr>
          <w:p w14:paraId="6DD03840" w14:textId="77777777" w:rsidR="004920D8" w:rsidRPr="00880D29" w:rsidRDefault="004920D8" w:rsidP="00D64955">
            <w:pPr>
              <w:spacing w:before="0" w:after="0"/>
              <w:jc w:val="center"/>
              <w:rPr>
                <w:color w:val="000000"/>
                <w:sz w:val="14"/>
                <w:szCs w:val="14"/>
              </w:rPr>
            </w:pPr>
          </w:p>
        </w:tc>
        <w:tc>
          <w:tcPr>
            <w:tcW w:w="1826" w:type="dxa"/>
            <w:vMerge/>
            <w:shd w:val="clear" w:color="auto" w:fill="E7F3F4"/>
            <w:vAlign w:val="center"/>
          </w:tcPr>
          <w:p w14:paraId="680AE290" w14:textId="77777777" w:rsidR="004920D8" w:rsidRPr="00880D29" w:rsidRDefault="004920D8" w:rsidP="00D64955">
            <w:pPr>
              <w:spacing w:before="0" w:after="0"/>
              <w:jc w:val="center"/>
              <w:rPr>
                <w:color w:val="000000"/>
                <w:sz w:val="14"/>
                <w:szCs w:val="14"/>
              </w:rPr>
            </w:pPr>
          </w:p>
        </w:tc>
        <w:tc>
          <w:tcPr>
            <w:tcW w:w="1030" w:type="dxa"/>
            <w:vMerge w:val="restart"/>
            <w:shd w:val="clear" w:color="auto" w:fill="E7F3F4"/>
            <w:vAlign w:val="center"/>
          </w:tcPr>
          <w:p w14:paraId="04A29D23" w14:textId="77777777" w:rsidR="004920D8" w:rsidRDefault="004920D8" w:rsidP="00D64955">
            <w:pPr>
              <w:spacing w:before="0" w:after="0"/>
              <w:jc w:val="center"/>
              <w:rPr>
                <w:color w:val="000000"/>
                <w:sz w:val="14"/>
                <w:szCs w:val="14"/>
              </w:rPr>
            </w:pPr>
            <w:r>
              <w:rPr>
                <w:color w:val="000000"/>
                <w:sz w:val="14"/>
                <w:szCs w:val="14"/>
              </w:rPr>
              <w:t>O</w:t>
            </w:r>
            <w:r w:rsidRPr="00C02B42">
              <w:rPr>
                <w:color w:val="000000"/>
                <w:sz w:val="14"/>
                <w:szCs w:val="14"/>
              </w:rPr>
              <w:t>'</w:t>
            </w:r>
            <w:r>
              <w:rPr>
                <w:color w:val="000000"/>
                <w:sz w:val="14"/>
                <w:szCs w:val="14"/>
              </w:rPr>
              <w:t>C</w:t>
            </w:r>
            <w:r w:rsidRPr="00C02B42">
              <w:rPr>
                <w:color w:val="000000"/>
                <w:sz w:val="14"/>
                <w:szCs w:val="14"/>
              </w:rPr>
              <w:t>onnell</w:t>
            </w:r>
          </w:p>
        </w:tc>
        <w:tc>
          <w:tcPr>
            <w:tcW w:w="1445" w:type="dxa"/>
            <w:vMerge w:val="restart"/>
            <w:shd w:val="clear" w:color="auto" w:fill="E7F3F4"/>
            <w:noWrap/>
            <w:vAlign w:val="center"/>
          </w:tcPr>
          <w:p w14:paraId="6D72EDA0" w14:textId="77777777" w:rsidR="004920D8" w:rsidRDefault="004920D8" w:rsidP="00D64955">
            <w:pPr>
              <w:spacing w:before="0" w:after="0"/>
              <w:jc w:val="center"/>
              <w:rPr>
                <w:color w:val="000000"/>
                <w:sz w:val="14"/>
                <w:szCs w:val="14"/>
              </w:rPr>
            </w:pPr>
            <w:r>
              <w:rPr>
                <w:color w:val="000000"/>
                <w:sz w:val="14"/>
                <w:szCs w:val="14"/>
              </w:rPr>
              <w:t>Newry Islands</w:t>
            </w:r>
          </w:p>
          <w:p w14:paraId="6D130FE1" w14:textId="77777777" w:rsidR="004920D8" w:rsidRDefault="004920D8" w:rsidP="00D64955">
            <w:pPr>
              <w:spacing w:before="0" w:after="0"/>
              <w:jc w:val="center"/>
              <w:rPr>
                <w:color w:val="000000"/>
                <w:sz w:val="14"/>
                <w:szCs w:val="14"/>
              </w:rPr>
            </w:pPr>
            <w:r>
              <w:rPr>
                <w:i/>
                <w:color w:val="000000"/>
                <w:sz w:val="14"/>
                <w:szCs w:val="14"/>
              </w:rPr>
              <w:t>coastal</w:t>
            </w:r>
          </w:p>
        </w:tc>
        <w:tc>
          <w:tcPr>
            <w:tcW w:w="619" w:type="dxa"/>
            <w:shd w:val="clear" w:color="auto" w:fill="E7F3F4"/>
            <w:noWrap/>
            <w:vAlign w:val="center"/>
          </w:tcPr>
          <w:p w14:paraId="0F551537" w14:textId="77777777" w:rsidR="004920D8" w:rsidRDefault="004920D8" w:rsidP="00D64955">
            <w:pPr>
              <w:spacing w:before="0" w:after="0"/>
              <w:jc w:val="center"/>
              <w:rPr>
                <w:color w:val="000000"/>
                <w:sz w:val="14"/>
                <w:szCs w:val="14"/>
              </w:rPr>
            </w:pPr>
            <w:r>
              <w:rPr>
                <w:color w:val="000000"/>
                <w:sz w:val="14"/>
                <w:szCs w:val="14"/>
              </w:rPr>
              <w:t>NB1^</w:t>
            </w:r>
          </w:p>
        </w:tc>
        <w:tc>
          <w:tcPr>
            <w:tcW w:w="1202" w:type="dxa"/>
            <w:shd w:val="clear" w:color="auto" w:fill="E7F3F4"/>
            <w:noWrap/>
            <w:vAlign w:val="center"/>
          </w:tcPr>
          <w:p w14:paraId="4E1B96CD" w14:textId="77777777" w:rsidR="004920D8" w:rsidRDefault="004920D8" w:rsidP="00D64955">
            <w:pPr>
              <w:spacing w:before="0" w:after="0"/>
              <w:jc w:val="center"/>
              <w:rPr>
                <w:color w:val="000000"/>
                <w:sz w:val="14"/>
                <w:szCs w:val="14"/>
              </w:rPr>
            </w:pPr>
            <w:r>
              <w:rPr>
                <w:color w:val="000000"/>
                <w:sz w:val="14"/>
                <w:szCs w:val="14"/>
              </w:rPr>
              <w:t>Newry Bay</w:t>
            </w:r>
          </w:p>
        </w:tc>
        <w:tc>
          <w:tcPr>
            <w:tcW w:w="463" w:type="dxa"/>
            <w:shd w:val="clear" w:color="auto" w:fill="E7F3F4"/>
            <w:noWrap/>
            <w:vAlign w:val="center"/>
          </w:tcPr>
          <w:p w14:paraId="13751CAE" w14:textId="77777777" w:rsidR="004920D8" w:rsidRPr="00880D29" w:rsidRDefault="004920D8" w:rsidP="00D64955">
            <w:pPr>
              <w:spacing w:before="0" w:after="0"/>
              <w:jc w:val="center"/>
              <w:rPr>
                <w:color w:val="000000"/>
                <w:sz w:val="14"/>
                <w:szCs w:val="14"/>
              </w:rPr>
            </w:pPr>
            <w:r>
              <w:rPr>
                <w:color w:val="000000"/>
                <w:sz w:val="14"/>
                <w:szCs w:val="14"/>
              </w:rPr>
              <w:t>20</w:t>
            </w:r>
            <w:r w:rsidRPr="00880D29">
              <w:rPr>
                <w:color w:val="000000"/>
                <w:sz w:val="14"/>
                <w:szCs w:val="14"/>
              </w:rPr>
              <w:t>°</w:t>
            </w:r>
          </w:p>
        </w:tc>
        <w:tc>
          <w:tcPr>
            <w:tcW w:w="830" w:type="dxa"/>
            <w:shd w:val="clear" w:color="auto" w:fill="E7F3F4"/>
            <w:noWrap/>
            <w:vAlign w:val="bottom"/>
          </w:tcPr>
          <w:p w14:paraId="0ED9E966" w14:textId="77777777" w:rsidR="004920D8" w:rsidRPr="00C0489F" w:rsidRDefault="004920D8" w:rsidP="00D64955">
            <w:pPr>
              <w:spacing w:before="0" w:after="0"/>
              <w:jc w:val="center"/>
              <w:rPr>
                <w:color w:val="000000"/>
                <w:sz w:val="14"/>
                <w:szCs w:val="14"/>
              </w:rPr>
            </w:pPr>
            <w:r w:rsidRPr="00C0489F">
              <w:rPr>
                <w:color w:val="000000"/>
                <w:sz w:val="14"/>
                <w:szCs w:val="14"/>
              </w:rPr>
              <w:t>52.057</w:t>
            </w:r>
          </w:p>
        </w:tc>
        <w:tc>
          <w:tcPr>
            <w:tcW w:w="546" w:type="dxa"/>
            <w:shd w:val="clear" w:color="auto" w:fill="E7F3F4"/>
            <w:noWrap/>
            <w:vAlign w:val="center"/>
          </w:tcPr>
          <w:p w14:paraId="58DBABA5" w14:textId="77777777" w:rsidR="004920D8" w:rsidRPr="00880D29" w:rsidRDefault="004920D8" w:rsidP="00D64955">
            <w:pPr>
              <w:spacing w:before="0" w:after="0"/>
              <w:jc w:val="center"/>
              <w:rPr>
                <w:color w:val="000000"/>
                <w:sz w:val="14"/>
                <w:szCs w:val="14"/>
              </w:rPr>
            </w:pPr>
            <w:r>
              <w:rPr>
                <w:color w:val="000000"/>
                <w:sz w:val="14"/>
                <w:szCs w:val="14"/>
              </w:rPr>
              <w:t>148</w:t>
            </w:r>
            <w:r w:rsidRPr="00880D29">
              <w:rPr>
                <w:color w:val="000000"/>
                <w:sz w:val="14"/>
                <w:szCs w:val="14"/>
              </w:rPr>
              <w:t>°</w:t>
            </w:r>
          </w:p>
        </w:tc>
        <w:tc>
          <w:tcPr>
            <w:tcW w:w="830" w:type="dxa"/>
            <w:shd w:val="clear" w:color="auto" w:fill="E7F3F4"/>
            <w:noWrap/>
            <w:vAlign w:val="bottom"/>
          </w:tcPr>
          <w:p w14:paraId="7E54BE9E" w14:textId="77777777" w:rsidR="004920D8" w:rsidRPr="00C0489F" w:rsidRDefault="004920D8" w:rsidP="00D64955">
            <w:pPr>
              <w:spacing w:before="0" w:after="0"/>
              <w:jc w:val="center"/>
              <w:rPr>
                <w:color w:val="000000"/>
                <w:sz w:val="14"/>
                <w:szCs w:val="14"/>
              </w:rPr>
            </w:pPr>
            <w:r w:rsidRPr="00C0489F">
              <w:rPr>
                <w:color w:val="000000"/>
                <w:sz w:val="14"/>
                <w:szCs w:val="14"/>
              </w:rPr>
              <w:t>55.531</w:t>
            </w:r>
          </w:p>
        </w:tc>
        <w:tc>
          <w:tcPr>
            <w:tcW w:w="459" w:type="dxa"/>
            <w:vMerge w:val="restart"/>
            <w:shd w:val="clear" w:color="auto" w:fill="E7F3F4"/>
            <w:noWrap/>
            <w:vAlign w:val="center"/>
          </w:tcPr>
          <w:p w14:paraId="14219FE6" w14:textId="77777777" w:rsidR="004920D8" w:rsidRPr="00F45F13" w:rsidRDefault="004920D8" w:rsidP="00D64955">
            <w:pPr>
              <w:spacing w:before="0" w:after="0"/>
              <w:jc w:val="center"/>
              <w:rPr>
                <w:color w:val="000000"/>
                <w:sz w:val="14"/>
                <w:szCs w:val="14"/>
              </w:rPr>
            </w:pPr>
          </w:p>
        </w:tc>
        <w:tc>
          <w:tcPr>
            <w:tcW w:w="357" w:type="dxa"/>
            <w:vMerge w:val="restart"/>
            <w:shd w:val="clear" w:color="auto" w:fill="E7F3F4"/>
            <w:vAlign w:val="center"/>
          </w:tcPr>
          <w:p w14:paraId="68FFEEA1"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70" w:type="dxa"/>
            <w:vMerge w:val="restart"/>
            <w:shd w:val="clear" w:color="auto" w:fill="E7F3F4"/>
            <w:vAlign w:val="center"/>
          </w:tcPr>
          <w:p w14:paraId="3D72798B" w14:textId="77777777" w:rsidR="004920D8" w:rsidRPr="00F45F13" w:rsidRDefault="004920D8" w:rsidP="00D64955">
            <w:pPr>
              <w:spacing w:before="0" w:after="0"/>
              <w:jc w:val="center"/>
              <w:rPr>
                <w:color w:val="000000"/>
                <w:sz w:val="14"/>
                <w:szCs w:val="14"/>
              </w:rPr>
            </w:pPr>
          </w:p>
        </w:tc>
        <w:tc>
          <w:tcPr>
            <w:tcW w:w="393" w:type="dxa"/>
            <w:vMerge w:val="restart"/>
            <w:shd w:val="clear" w:color="auto" w:fill="E7F3F4"/>
            <w:vAlign w:val="center"/>
          </w:tcPr>
          <w:p w14:paraId="6BADA847" w14:textId="77777777" w:rsidR="004920D8" w:rsidRPr="00F45F13" w:rsidRDefault="004920D8" w:rsidP="00D64955">
            <w:pPr>
              <w:spacing w:before="0" w:after="0"/>
              <w:jc w:val="center"/>
              <w:rPr>
                <w:color w:val="000000"/>
                <w:sz w:val="14"/>
                <w:szCs w:val="14"/>
              </w:rPr>
            </w:pPr>
          </w:p>
        </w:tc>
        <w:tc>
          <w:tcPr>
            <w:tcW w:w="399" w:type="dxa"/>
            <w:vMerge w:val="restart"/>
            <w:shd w:val="clear" w:color="auto" w:fill="E7F3F4"/>
            <w:vAlign w:val="center"/>
          </w:tcPr>
          <w:p w14:paraId="001DA362"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0C11962F"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19BB49AB" w14:textId="77777777" w:rsidR="004920D8" w:rsidRPr="00F45F13" w:rsidRDefault="004920D8" w:rsidP="00D64955">
            <w:pPr>
              <w:spacing w:before="0" w:after="0"/>
              <w:jc w:val="center"/>
              <w:rPr>
                <w:color w:val="000000"/>
                <w:sz w:val="16"/>
                <w:szCs w:val="16"/>
              </w:rPr>
            </w:pPr>
            <w:r w:rsidRPr="00F45F13">
              <w:rPr>
                <w:color w:val="000000"/>
                <w:sz w:val="16"/>
                <w:szCs w:val="16"/>
              </w:rPr>
              <w:sym w:font="Wingdings" w:char="F06E"/>
            </w:r>
          </w:p>
        </w:tc>
        <w:tc>
          <w:tcPr>
            <w:tcW w:w="340" w:type="dxa"/>
            <w:vMerge w:val="restart"/>
            <w:shd w:val="clear" w:color="auto" w:fill="E7F3F4"/>
            <w:vAlign w:val="center"/>
          </w:tcPr>
          <w:p w14:paraId="4105D6A4"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74" w:type="dxa"/>
            <w:vMerge w:val="restart"/>
            <w:shd w:val="clear" w:color="auto" w:fill="E7F3F4"/>
            <w:vAlign w:val="center"/>
          </w:tcPr>
          <w:p w14:paraId="18081EA5" w14:textId="77777777" w:rsidR="004920D8" w:rsidRPr="00F45F13" w:rsidRDefault="004920D8" w:rsidP="00D64955">
            <w:pPr>
              <w:spacing w:before="0" w:after="0"/>
              <w:jc w:val="center"/>
              <w:rPr>
                <w:color w:val="000000"/>
                <w:sz w:val="14"/>
                <w:szCs w:val="14"/>
              </w:rPr>
            </w:pPr>
          </w:p>
        </w:tc>
        <w:tc>
          <w:tcPr>
            <w:tcW w:w="406" w:type="dxa"/>
            <w:vMerge w:val="restart"/>
            <w:shd w:val="clear" w:color="auto" w:fill="E7F3F4"/>
            <w:vAlign w:val="center"/>
          </w:tcPr>
          <w:p w14:paraId="0A8C5FA2" w14:textId="77777777" w:rsidR="004920D8" w:rsidRPr="00F45F13" w:rsidRDefault="004920D8" w:rsidP="00D64955">
            <w:pPr>
              <w:spacing w:before="0" w:after="0"/>
              <w:jc w:val="center"/>
              <w:rPr>
                <w:color w:val="000000"/>
                <w:sz w:val="16"/>
                <w:szCs w:val="16"/>
              </w:rPr>
            </w:pPr>
          </w:p>
        </w:tc>
      </w:tr>
      <w:tr w:rsidR="004920D8" w:rsidRPr="00015190" w14:paraId="0ED86219" w14:textId="77777777" w:rsidTr="00D64955">
        <w:trPr>
          <w:trHeight w:val="87"/>
          <w:jc w:val="center"/>
        </w:trPr>
        <w:tc>
          <w:tcPr>
            <w:tcW w:w="900" w:type="dxa"/>
            <w:vMerge/>
            <w:shd w:val="clear" w:color="auto" w:fill="auto"/>
            <w:vAlign w:val="center"/>
          </w:tcPr>
          <w:p w14:paraId="42427710" w14:textId="77777777" w:rsidR="004920D8" w:rsidRPr="00880D29" w:rsidRDefault="004920D8" w:rsidP="00D64955">
            <w:pPr>
              <w:spacing w:before="0" w:after="0"/>
              <w:jc w:val="center"/>
              <w:rPr>
                <w:color w:val="000000"/>
                <w:sz w:val="14"/>
                <w:szCs w:val="14"/>
              </w:rPr>
            </w:pPr>
          </w:p>
        </w:tc>
        <w:tc>
          <w:tcPr>
            <w:tcW w:w="1826" w:type="dxa"/>
            <w:vMerge/>
            <w:shd w:val="clear" w:color="auto" w:fill="E7F3F4"/>
            <w:vAlign w:val="center"/>
          </w:tcPr>
          <w:p w14:paraId="0ADE85BF" w14:textId="77777777" w:rsidR="004920D8" w:rsidRPr="00880D29" w:rsidRDefault="004920D8" w:rsidP="00D64955">
            <w:pPr>
              <w:spacing w:before="0" w:after="0"/>
              <w:jc w:val="center"/>
              <w:rPr>
                <w:color w:val="000000"/>
                <w:sz w:val="14"/>
                <w:szCs w:val="14"/>
              </w:rPr>
            </w:pPr>
          </w:p>
        </w:tc>
        <w:tc>
          <w:tcPr>
            <w:tcW w:w="1030" w:type="dxa"/>
            <w:vMerge/>
            <w:shd w:val="clear" w:color="auto" w:fill="E7F3F4"/>
            <w:vAlign w:val="center"/>
          </w:tcPr>
          <w:p w14:paraId="15BD9734" w14:textId="77777777" w:rsidR="004920D8" w:rsidRDefault="004920D8" w:rsidP="00D64955">
            <w:pPr>
              <w:spacing w:before="0" w:after="0"/>
              <w:jc w:val="center"/>
              <w:rPr>
                <w:color w:val="000000"/>
                <w:sz w:val="14"/>
                <w:szCs w:val="14"/>
              </w:rPr>
            </w:pPr>
          </w:p>
        </w:tc>
        <w:tc>
          <w:tcPr>
            <w:tcW w:w="1445" w:type="dxa"/>
            <w:vMerge/>
            <w:shd w:val="clear" w:color="auto" w:fill="E7F3F4"/>
            <w:noWrap/>
            <w:vAlign w:val="center"/>
          </w:tcPr>
          <w:p w14:paraId="255E5CD1" w14:textId="77777777" w:rsidR="004920D8" w:rsidRDefault="004920D8" w:rsidP="00D64955">
            <w:pPr>
              <w:spacing w:before="0" w:after="0"/>
              <w:jc w:val="center"/>
              <w:rPr>
                <w:color w:val="000000"/>
                <w:sz w:val="14"/>
                <w:szCs w:val="14"/>
              </w:rPr>
            </w:pPr>
          </w:p>
        </w:tc>
        <w:tc>
          <w:tcPr>
            <w:tcW w:w="619" w:type="dxa"/>
            <w:shd w:val="clear" w:color="auto" w:fill="E7F3F4"/>
            <w:noWrap/>
            <w:vAlign w:val="center"/>
          </w:tcPr>
          <w:p w14:paraId="301B76DF" w14:textId="77777777" w:rsidR="004920D8" w:rsidRDefault="004920D8" w:rsidP="00D64955">
            <w:pPr>
              <w:spacing w:before="0" w:after="0"/>
              <w:jc w:val="center"/>
              <w:rPr>
                <w:color w:val="000000"/>
                <w:sz w:val="14"/>
                <w:szCs w:val="14"/>
              </w:rPr>
            </w:pPr>
            <w:r>
              <w:rPr>
                <w:color w:val="000000"/>
                <w:sz w:val="14"/>
                <w:szCs w:val="14"/>
              </w:rPr>
              <w:t>NB2^</w:t>
            </w:r>
          </w:p>
        </w:tc>
        <w:tc>
          <w:tcPr>
            <w:tcW w:w="1202" w:type="dxa"/>
            <w:shd w:val="clear" w:color="auto" w:fill="E7F3F4"/>
            <w:noWrap/>
            <w:vAlign w:val="center"/>
          </w:tcPr>
          <w:p w14:paraId="28AC24A7" w14:textId="77777777" w:rsidR="004920D8" w:rsidRDefault="004920D8" w:rsidP="00D64955">
            <w:pPr>
              <w:spacing w:before="0" w:after="0"/>
              <w:jc w:val="center"/>
              <w:rPr>
                <w:color w:val="000000"/>
                <w:sz w:val="14"/>
                <w:szCs w:val="14"/>
              </w:rPr>
            </w:pPr>
            <w:r>
              <w:rPr>
                <w:color w:val="000000"/>
                <w:sz w:val="14"/>
                <w:szCs w:val="14"/>
              </w:rPr>
              <w:t>Newry Bay</w:t>
            </w:r>
          </w:p>
        </w:tc>
        <w:tc>
          <w:tcPr>
            <w:tcW w:w="463" w:type="dxa"/>
            <w:shd w:val="clear" w:color="auto" w:fill="E7F3F4"/>
            <w:noWrap/>
            <w:vAlign w:val="center"/>
          </w:tcPr>
          <w:p w14:paraId="6F06D3C3" w14:textId="77777777" w:rsidR="004920D8" w:rsidRPr="00880D29" w:rsidRDefault="004920D8" w:rsidP="00D64955">
            <w:pPr>
              <w:spacing w:before="0" w:after="0"/>
              <w:jc w:val="center"/>
              <w:rPr>
                <w:color w:val="000000"/>
                <w:sz w:val="14"/>
                <w:szCs w:val="14"/>
              </w:rPr>
            </w:pPr>
            <w:r>
              <w:rPr>
                <w:color w:val="000000"/>
                <w:sz w:val="14"/>
                <w:szCs w:val="14"/>
              </w:rPr>
              <w:t>20</w:t>
            </w:r>
            <w:r w:rsidRPr="00880D29">
              <w:rPr>
                <w:color w:val="000000"/>
                <w:sz w:val="14"/>
                <w:szCs w:val="14"/>
              </w:rPr>
              <w:t>°</w:t>
            </w:r>
          </w:p>
        </w:tc>
        <w:tc>
          <w:tcPr>
            <w:tcW w:w="830" w:type="dxa"/>
            <w:shd w:val="clear" w:color="auto" w:fill="E7F3F4"/>
            <w:noWrap/>
            <w:vAlign w:val="bottom"/>
          </w:tcPr>
          <w:p w14:paraId="73F6C969" w14:textId="77777777" w:rsidR="004920D8" w:rsidRPr="00C0489F" w:rsidRDefault="004920D8" w:rsidP="00D64955">
            <w:pPr>
              <w:spacing w:before="0" w:after="0"/>
              <w:jc w:val="center"/>
              <w:rPr>
                <w:color w:val="000000"/>
                <w:sz w:val="14"/>
                <w:szCs w:val="14"/>
              </w:rPr>
            </w:pPr>
            <w:r w:rsidRPr="00C0489F">
              <w:rPr>
                <w:color w:val="000000"/>
                <w:sz w:val="14"/>
                <w:szCs w:val="14"/>
              </w:rPr>
              <w:t>52.325</w:t>
            </w:r>
          </w:p>
        </w:tc>
        <w:tc>
          <w:tcPr>
            <w:tcW w:w="546" w:type="dxa"/>
            <w:shd w:val="clear" w:color="auto" w:fill="E7F3F4"/>
            <w:noWrap/>
            <w:vAlign w:val="center"/>
          </w:tcPr>
          <w:p w14:paraId="5D99BECC" w14:textId="77777777" w:rsidR="004920D8" w:rsidRPr="00880D29" w:rsidRDefault="004920D8" w:rsidP="00D64955">
            <w:pPr>
              <w:spacing w:before="0" w:after="0"/>
              <w:jc w:val="center"/>
              <w:rPr>
                <w:color w:val="000000"/>
                <w:sz w:val="14"/>
                <w:szCs w:val="14"/>
              </w:rPr>
            </w:pPr>
            <w:r>
              <w:rPr>
                <w:color w:val="000000"/>
                <w:sz w:val="14"/>
                <w:szCs w:val="14"/>
              </w:rPr>
              <w:t>148</w:t>
            </w:r>
            <w:r w:rsidRPr="00880D29">
              <w:rPr>
                <w:color w:val="000000"/>
                <w:sz w:val="14"/>
                <w:szCs w:val="14"/>
              </w:rPr>
              <w:t>°</w:t>
            </w:r>
          </w:p>
        </w:tc>
        <w:tc>
          <w:tcPr>
            <w:tcW w:w="830" w:type="dxa"/>
            <w:shd w:val="clear" w:color="auto" w:fill="E7F3F4"/>
            <w:noWrap/>
            <w:vAlign w:val="bottom"/>
          </w:tcPr>
          <w:p w14:paraId="6E398979" w14:textId="77777777" w:rsidR="004920D8" w:rsidRPr="00C0489F" w:rsidRDefault="004920D8" w:rsidP="00D64955">
            <w:pPr>
              <w:spacing w:before="0" w:after="0"/>
              <w:jc w:val="center"/>
              <w:rPr>
                <w:color w:val="000000"/>
                <w:sz w:val="14"/>
                <w:szCs w:val="14"/>
              </w:rPr>
            </w:pPr>
            <w:r w:rsidRPr="00C0489F">
              <w:rPr>
                <w:color w:val="000000"/>
                <w:sz w:val="14"/>
                <w:szCs w:val="14"/>
              </w:rPr>
              <w:t>55.423</w:t>
            </w:r>
          </w:p>
        </w:tc>
        <w:tc>
          <w:tcPr>
            <w:tcW w:w="459" w:type="dxa"/>
            <w:vMerge/>
            <w:shd w:val="clear" w:color="auto" w:fill="E7F3F4"/>
            <w:noWrap/>
            <w:vAlign w:val="center"/>
          </w:tcPr>
          <w:p w14:paraId="305BE058" w14:textId="77777777" w:rsidR="004920D8" w:rsidRPr="00F45F13" w:rsidRDefault="004920D8" w:rsidP="00D64955">
            <w:pPr>
              <w:spacing w:before="0" w:after="0"/>
              <w:jc w:val="center"/>
              <w:rPr>
                <w:color w:val="000000"/>
                <w:sz w:val="14"/>
                <w:szCs w:val="14"/>
              </w:rPr>
            </w:pPr>
          </w:p>
        </w:tc>
        <w:tc>
          <w:tcPr>
            <w:tcW w:w="357" w:type="dxa"/>
            <w:vMerge/>
            <w:shd w:val="clear" w:color="auto" w:fill="E7F3F4"/>
            <w:vAlign w:val="center"/>
          </w:tcPr>
          <w:p w14:paraId="4FBA4D56" w14:textId="77777777" w:rsidR="004920D8" w:rsidRPr="00F45F13" w:rsidRDefault="004920D8" w:rsidP="00D64955">
            <w:pPr>
              <w:spacing w:before="0" w:after="0"/>
              <w:jc w:val="center"/>
              <w:rPr>
                <w:color w:val="000000"/>
                <w:sz w:val="14"/>
                <w:szCs w:val="14"/>
              </w:rPr>
            </w:pPr>
          </w:p>
        </w:tc>
        <w:tc>
          <w:tcPr>
            <w:tcW w:w="370" w:type="dxa"/>
            <w:vMerge/>
            <w:shd w:val="clear" w:color="auto" w:fill="E7F3F4"/>
            <w:vAlign w:val="center"/>
          </w:tcPr>
          <w:p w14:paraId="3935AD04" w14:textId="77777777" w:rsidR="004920D8" w:rsidRPr="00F45F13" w:rsidRDefault="004920D8" w:rsidP="00D64955">
            <w:pPr>
              <w:spacing w:before="0" w:after="0"/>
              <w:jc w:val="center"/>
              <w:rPr>
                <w:color w:val="000000"/>
                <w:sz w:val="14"/>
                <w:szCs w:val="14"/>
              </w:rPr>
            </w:pPr>
          </w:p>
        </w:tc>
        <w:tc>
          <w:tcPr>
            <w:tcW w:w="393" w:type="dxa"/>
            <w:vMerge/>
            <w:shd w:val="clear" w:color="auto" w:fill="E7F3F4"/>
            <w:vAlign w:val="center"/>
          </w:tcPr>
          <w:p w14:paraId="5B3B44F3" w14:textId="77777777" w:rsidR="004920D8" w:rsidRPr="00F45F13" w:rsidRDefault="004920D8" w:rsidP="00D64955">
            <w:pPr>
              <w:spacing w:before="0" w:after="0"/>
              <w:jc w:val="center"/>
              <w:rPr>
                <w:color w:val="000000"/>
                <w:sz w:val="14"/>
                <w:szCs w:val="14"/>
              </w:rPr>
            </w:pPr>
          </w:p>
        </w:tc>
        <w:tc>
          <w:tcPr>
            <w:tcW w:w="399" w:type="dxa"/>
            <w:vMerge/>
            <w:shd w:val="clear" w:color="auto" w:fill="E7F3F4"/>
            <w:vAlign w:val="center"/>
          </w:tcPr>
          <w:p w14:paraId="0BD0F798" w14:textId="77777777" w:rsidR="004920D8" w:rsidRPr="00F45F13" w:rsidRDefault="004920D8" w:rsidP="00D64955">
            <w:pPr>
              <w:spacing w:before="0" w:after="0"/>
              <w:jc w:val="center"/>
              <w:rPr>
                <w:color w:val="000000"/>
                <w:sz w:val="14"/>
                <w:szCs w:val="14"/>
              </w:rPr>
            </w:pPr>
          </w:p>
        </w:tc>
        <w:tc>
          <w:tcPr>
            <w:tcW w:w="371" w:type="dxa"/>
            <w:vMerge/>
            <w:shd w:val="clear" w:color="auto" w:fill="E7F3F4"/>
            <w:vAlign w:val="center"/>
          </w:tcPr>
          <w:p w14:paraId="6AB74979" w14:textId="77777777" w:rsidR="004920D8" w:rsidRPr="00F45F13" w:rsidRDefault="004920D8" w:rsidP="00D64955">
            <w:pPr>
              <w:spacing w:before="0" w:after="0"/>
              <w:jc w:val="center"/>
              <w:rPr>
                <w:color w:val="000000"/>
                <w:sz w:val="14"/>
                <w:szCs w:val="14"/>
              </w:rPr>
            </w:pPr>
          </w:p>
        </w:tc>
        <w:tc>
          <w:tcPr>
            <w:tcW w:w="396" w:type="dxa"/>
            <w:vMerge/>
            <w:shd w:val="clear" w:color="auto" w:fill="E7F3F4"/>
            <w:vAlign w:val="center"/>
          </w:tcPr>
          <w:p w14:paraId="148A9D32" w14:textId="77777777" w:rsidR="004920D8" w:rsidRPr="00F45F13" w:rsidRDefault="004920D8" w:rsidP="00D64955">
            <w:pPr>
              <w:spacing w:before="0" w:after="0"/>
              <w:jc w:val="center"/>
              <w:rPr>
                <w:color w:val="000000"/>
                <w:sz w:val="16"/>
                <w:szCs w:val="16"/>
              </w:rPr>
            </w:pPr>
          </w:p>
        </w:tc>
        <w:tc>
          <w:tcPr>
            <w:tcW w:w="340" w:type="dxa"/>
            <w:vMerge/>
            <w:shd w:val="clear" w:color="auto" w:fill="E7F3F4"/>
            <w:vAlign w:val="center"/>
          </w:tcPr>
          <w:p w14:paraId="24BD52C5" w14:textId="77777777" w:rsidR="004920D8" w:rsidRPr="00F45F13" w:rsidRDefault="004920D8" w:rsidP="00D64955">
            <w:pPr>
              <w:spacing w:before="0" w:after="0"/>
              <w:jc w:val="center"/>
              <w:rPr>
                <w:color w:val="000000"/>
                <w:sz w:val="14"/>
                <w:szCs w:val="14"/>
              </w:rPr>
            </w:pPr>
          </w:p>
        </w:tc>
        <w:tc>
          <w:tcPr>
            <w:tcW w:w="374" w:type="dxa"/>
            <w:vMerge/>
            <w:shd w:val="clear" w:color="auto" w:fill="E7F3F4"/>
            <w:vAlign w:val="center"/>
          </w:tcPr>
          <w:p w14:paraId="0E1D0D9C" w14:textId="77777777" w:rsidR="004920D8" w:rsidRPr="00F45F13" w:rsidRDefault="004920D8" w:rsidP="00D64955">
            <w:pPr>
              <w:spacing w:before="0" w:after="0"/>
              <w:jc w:val="center"/>
              <w:rPr>
                <w:color w:val="000000"/>
                <w:sz w:val="14"/>
                <w:szCs w:val="14"/>
              </w:rPr>
            </w:pPr>
          </w:p>
        </w:tc>
        <w:tc>
          <w:tcPr>
            <w:tcW w:w="406" w:type="dxa"/>
            <w:vMerge/>
            <w:shd w:val="clear" w:color="auto" w:fill="E7F3F4"/>
            <w:vAlign w:val="center"/>
          </w:tcPr>
          <w:p w14:paraId="0B9FDC70" w14:textId="77777777" w:rsidR="004920D8" w:rsidRPr="00F45F13" w:rsidRDefault="004920D8" w:rsidP="00D64955">
            <w:pPr>
              <w:spacing w:before="0" w:after="0"/>
              <w:jc w:val="center"/>
              <w:rPr>
                <w:color w:val="000000"/>
                <w:sz w:val="16"/>
                <w:szCs w:val="16"/>
              </w:rPr>
            </w:pPr>
          </w:p>
        </w:tc>
      </w:tr>
      <w:tr w:rsidR="004920D8" w:rsidRPr="00015190" w14:paraId="7BE3CE74" w14:textId="77777777" w:rsidTr="00D64955">
        <w:trPr>
          <w:trHeight w:val="170"/>
          <w:jc w:val="center"/>
        </w:trPr>
        <w:tc>
          <w:tcPr>
            <w:tcW w:w="900" w:type="dxa"/>
            <w:vMerge w:val="restart"/>
            <w:shd w:val="clear" w:color="auto" w:fill="auto"/>
            <w:vAlign w:val="center"/>
          </w:tcPr>
          <w:p w14:paraId="1E380F68" w14:textId="77777777" w:rsidR="004920D8" w:rsidRPr="00880D29" w:rsidRDefault="004920D8" w:rsidP="00D64955">
            <w:pPr>
              <w:spacing w:before="0" w:after="0"/>
              <w:jc w:val="center"/>
              <w:rPr>
                <w:color w:val="000000"/>
                <w:sz w:val="14"/>
                <w:szCs w:val="14"/>
              </w:rPr>
            </w:pPr>
            <w:r w:rsidRPr="00880D29">
              <w:rPr>
                <w:color w:val="000000"/>
                <w:sz w:val="14"/>
                <w:szCs w:val="14"/>
              </w:rPr>
              <w:t>Southern</w:t>
            </w:r>
          </w:p>
        </w:tc>
        <w:tc>
          <w:tcPr>
            <w:tcW w:w="1826" w:type="dxa"/>
            <w:vMerge w:val="restart"/>
            <w:shd w:val="clear" w:color="auto" w:fill="F3F9FA"/>
            <w:vAlign w:val="center"/>
          </w:tcPr>
          <w:p w14:paraId="67B3D6B4" w14:textId="77777777" w:rsidR="004920D8" w:rsidRPr="00880D29" w:rsidRDefault="004920D8" w:rsidP="00D64955">
            <w:pPr>
              <w:spacing w:before="0" w:after="0"/>
              <w:jc w:val="center"/>
              <w:rPr>
                <w:color w:val="000000"/>
                <w:sz w:val="14"/>
                <w:szCs w:val="14"/>
              </w:rPr>
            </w:pPr>
            <w:r w:rsidRPr="00880D29">
              <w:rPr>
                <w:color w:val="000000"/>
                <w:sz w:val="14"/>
                <w:szCs w:val="14"/>
              </w:rPr>
              <w:t>Burnett Mary</w:t>
            </w:r>
          </w:p>
          <w:p w14:paraId="7940B3FE" w14:textId="77777777" w:rsidR="004920D8" w:rsidRPr="00880D29" w:rsidRDefault="004920D8" w:rsidP="00D64955">
            <w:pPr>
              <w:spacing w:before="0" w:after="0"/>
              <w:jc w:val="center"/>
              <w:rPr>
                <w:color w:val="000000"/>
                <w:sz w:val="14"/>
                <w:szCs w:val="14"/>
              </w:rPr>
            </w:pPr>
            <w:r w:rsidRPr="00880D29">
              <w:rPr>
                <w:color w:val="000000"/>
                <w:sz w:val="14"/>
                <w:szCs w:val="14"/>
              </w:rPr>
              <w:t>(</w:t>
            </w:r>
            <w:r w:rsidRPr="00880D29">
              <w:rPr>
                <w:i/>
                <w:color w:val="000000"/>
                <w:sz w:val="14"/>
                <w:szCs w:val="14"/>
              </w:rPr>
              <w:t>Burnett Mary Regional Group</w:t>
            </w:r>
            <w:r w:rsidRPr="00880D29">
              <w:rPr>
                <w:color w:val="000000"/>
                <w:sz w:val="14"/>
                <w:szCs w:val="14"/>
              </w:rPr>
              <w:t>)</w:t>
            </w:r>
          </w:p>
        </w:tc>
        <w:tc>
          <w:tcPr>
            <w:tcW w:w="1030" w:type="dxa"/>
            <w:vMerge w:val="restart"/>
            <w:shd w:val="clear" w:color="auto" w:fill="F3F9FA"/>
            <w:vAlign w:val="center"/>
          </w:tcPr>
          <w:p w14:paraId="42461A19" w14:textId="77777777" w:rsidR="004920D8" w:rsidRPr="00880D29" w:rsidRDefault="004920D8" w:rsidP="00D64955">
            <w:pPr>
              <w:spacing w:before="0" w:after="0"/>
              <w:jc w:val="center"/>
              <w:rPr>
                <w:color w:val="000000"/>
                <w:sz w:val="14"/>
                <w:szCs w:val="14"/>
              </w:rPr>
            </w:pPr>
            <w:r>
              <w:rPr>
                <w:color w:val="000000"/>
                <w:sz w:val="14"/>
                <w:szCs w:val="14"/>
              </w:rPr>
              <w:t>Burrum</w:t>
            </w:r>
          </w:p>
        </w:tc>
        <w:tc>
          <w:tcPr>
            <w:tcW w:w="1445" w:type="dxa"/>
            <w:vMerge w:val="restart"/>
            <w:shd w:val="clear" w:color="auto" w:fill="F3F9FA"/>
            <w:noWrap/>
            <w:vAlign w:val="center"/>
          </w:tcPr>
          <w:p w14:paraId="1664109E" w14:textId="77777777" w:rsidR="004920D8" w:rsidRPr="00880D29" w:rsidRDefault="004920D8" w:rsidP="00D64955">
            <w:pPr>
              <w:spacing w:before="0" w:after="0"/>
              <w:jc w:val="center"/>
              <w:rPr>
                <w:color w:val="000000"/>
                <w:sz w:val="14"/>
                <w:szCs w:val="14"/>
              </w:rPr>
            </w:pPr>
            <w:r>
              <w:rPr>
                <w:color w:val="000000"/>
                <w:sz w:val="14"/>
                <w:szCs w:val="14"/>
              </w:rPr>
              <w:t>Burrum Heads</w:t>
            </w:r>
          </w:p>
          <w:p w14:paraId="17DE4795" w14:textId="77777777" w:rsidR="004920D8" w:rsidRPr="00880D29" w:rsidRDefault="004920D8" w:rsidP="00D64955">
            <w:pPr>
              <w:spacing w:before="0" w:after="0"/>
              <w:jc w:val="center"/>
              <w:rPr>
                <w:color w:val="000000"/>
                <w:sz w:val="14"/>
                <w:szCs w:val="14"/>
              </w:rPr>
            </w:pPr>
            <w:r>
              <w:rPr>
                <w:i/>
                <w:color w:val="000000"/>
                <w:sz w:val="14"/>
                <w:szCs w:val="14"/>
              </w:rPr>
              <w:t>coastal</w:t>
            </w:r>
          </w:p>
        </w:tc>
        <w:tc>
          <w:tcPr>
            <w:tcW w:w="619" w:type="dxa"/>
            <w:shd w:val="clear" w:color="auto" w:fill="F3F9FA"/>
            <w:noWrap/>
            <w:vAlign w:val="center"/>
          </w:tcPr>
          <w:p w14:paraId="456CCBDC" w14:textId="77777777" w:rsidR="004920D8" w:rsidRPr="00880D29" w:rsidRDefault="004920D8" w:rsidP="00D64955">
            <w:pPr>
              <w:spacing w:before="0" w:after="0"/>
              <w:jc w:val="center"/>
              <w:rPr>
                <w:color w:val="000000"/>
                <w:sz w:val="14"/>
                <w:szCs w:val="14"/>
              </w:rPr>
            </w:pPr>
            <w:r>
              <w:rPr>
                <w:color w:val="000000"/>
                <w:sz w:val="14"/>
                <w:szCs w:val="14"/>
              </w:rPr>
              <w:t>BH1*</w:t>
            </w:r>
          </w:p>
        </w:tc>
        <w:tc>
          <w:tcPr>
            <w:tcW w:w="1202" w:type="dxa"/>
            <w:shd w:val="clear" w:color="auto" w:fill="F3F9FA"/>
            <w:noWrap/>
            <w:vAlign w:val="center"/>
          </w:tcPr>
          <w:p w14:paraId="79D5A19E" w14:textId="77777777" w:rsidR="004920D8" w:rsidRPr="00880D29" w:rsidRDefault="004920D8" w:rsidP="00D64955">
            <w:pPr>
              <w:spacing w:before="0" w:after="0"/>
              <w:jc w:val="center"/>
              <w:rPr>
                <w:color w:val="000000"/>
                <w:sz w:val="14"/>
                <w:szCs w:val="14"/>
              </w:rPr>
            </w:pPr>
            <w:r>
              <w:rPr>
                <w:color w:val="000000"/>
                <w:sz w:val="14"/>
                <w:szCs w:val="14"/>
              </w:rPr>
              <w:t>Burrum Heads</w:t>
            </w:r>
          </w:p>
        </w:tc>
        <w:tc>
          <w:tcPr>
            <w:tcW w:w="463" w:type="dxa"/>
            <w:shd w:val="clear" w:color="auto" w:fill="F3F9FA"/>
            <w:noWrap/>
            <w:vAlign w:val="center"/>
          </w:tcPr>
          <w:p w14:paraId="13A61D6B" w14:textId="77777777" w:rsidR="004920D8" w:rsidRPr="00880D29" w:rsidRDefault="004920D8" w:rsidP="00D64955">
            <w:pPr>
              <w:spacing w:before="0" w:after="0"/>
              <w:jc w:val="center"/>
              <w:rPr>
                <w:color w:val="000000"/>
                <w:sz w:val="14"/>
                <w:szCs w:val="14"/>
              </w:rPr>
            </w:pPr>
            <w:r w:rsidRPr="00880D29">
              <w:rPr>
                <w:color w:val="000000"/>
                <w:sz w:val="14"/>
                <w:szCs w:val="14"/>
              </w:rPr>
              <w:t>25°</w:t>
            </w:r>
          </w:p>
        </w:tc>
        <w:tc>
          <w:tcPr>
            <w:tcW w:w="830" w:type="dxa"/>
            <w:shd w:val="clear" w:color="auto" w:fill="F3F9FA"/>
            <w:noWrap/>
            <w:vAlign w:val="center"/>
          </w:tcPr>
          <w:p w14:paraId="66C33E74" w14:textId="77777777" w:rsidR="004920D8" w:rsidRPr="00880D29" w:rsidRDefault="004920D8" w:rsidP="00D64955">
            <w:pPr>
              <w:spacing w:before="0" w:after="0"/>
              <w:jc w:val="center"/>
              <w:rPr>
                <w:color w:val="000000"/>
                <w:sz w:val="14"/>
                <w:szCs w:val="14"/>
              </w:rPr>
            </w:pPr>
            <w:r>
              <w:rPr>
                <w:color w:val="000000"/>
                <w:sz w:val="14"/>
                <w:szCs w:val="14"/>
              </w:rPr>
              <w:t>11.290</w:t>
            </w:r>
          </w:p>
        </w:tc>
        <w:tc>
          <w:tcPr>
            <w:tcW w:w="546" w:type="dxa"/>
            <w:shd w:val="clear" w:color="auto" w:fill="F3F9FA"/>
            <w:noWrap/>
            <w:vAlign w:val="center"/>
          </w:tcPr>
          <w:p w14:paraId="6B3FC4E6" w14:textId="77777777" w:rsidR="004920D8" w:rsidRPr="00880D29" w:rsidRDefault="004920D8" w:rsidP="00D64955">
            <w:pPr>
              <w:spacing w:before="0" w:after="0"/>
              <w:jc w:val="center"/>
              <w:rPr>
                <w:color w:val="000000"/>
                <w:sz w:val="14"/>
                <w:szCs w:val="14"/>
              </w:rPr>
            </w:pPr>
            <w:r w:rsidRPr="00880D29">
              <w:rPr>
                <w:color w:val="000000"/>
                <w:sz w:val="14"/>
                <w:szCs w:val="14"/>
              </w:rPr>
              <w:t>152°</w:t>
            </w:r>
          </w:p>
        </w:tc>
        <w:tc>
          <w:tcPr>
            <w:tcW w:w="830" w:type="dxa"/>
            <w:shd w:val="clear" w:color="auto" w:fill="F3F9FA"/>
            <w:noWrap/>
            <w:vAlign w:val="center"/>
          </w:tcPr>
          <w:p w14:paraId="0871A6D1" w14:textId="77777777" w:rsidR="004920D8" w:rsidRPr="00880D29" w:rsidRDefault="004920D8" w:rsidP="00D64955">
            <w:pPr>
              <w:spacing w:before="0" w:after="0"/>
              <w:jc w:val="center"/>
              <w:rPr>
                <w:color w:val="000000"/>
                <w:sz w:val="14"/>
                <w:szCs w:val="14"/>
              </w:rPr>
            </w:pPr>
            <w:r>
              <w:rPr>
                <w:color w:val="000000"/>
                <w:sz w:val="14"/>
                <w:szCs w:val="14"/>
              </w:rPr>
              <w:t>37.532</w:t>
            </w:r>
          </w:p>
        </w:tc>
        <w:tc>
          <w:tcPr>
            <w:tcW w:w="459" w:type="dxa"/>
            <w:vMerge w:val="restart"/>
            <w:shd w:val="clear" w:color="auto" w:fill="F3F9FA"/>
            <w:noWrap/>
            <w:vAlign w:val="center"/>
          </w:tcPr>
          <w:p w14:paraId="0B194BC3" w14:textId="77777777" w:rsidR="004920D8" w:rsidRPr="00F45F13" w:rsidRDefault="004920D8" w:rsidP="00D64955">
            <w:pPr>
              <w:spacing w:before="0" w:after="0"/>
              <w:jc w:val="center"/>
              <w:rPr>
                <w:color w:val="000000"/>
                <w:sz w:val="14"/>
                <w:szCs w:val="14"/>
              </w:rPr>
            </w:pPr>
          </w:p>
        </w:tc>
        <w:tc>
          <w:tcPr>
            <w:tcW w:w="357" w:type="dxa"/>
            <w:vMerge w:val="restart"/>
            <w:shd w:val="clear" w:color="auto" w:fill="F3F9FA"/>
            <w:vAlign w:val="center"/>
          </w:tcPr>
          <w:p w14:paraId="647C3547" w14:textId="77777777" w:rsidR="004920D8" w:rsidRPr="00F45F13" w:rsidRDefault="004920D8" w:rsidP="00D64955">
            <w:pPr>
              <w:spacing w:before="0" w:after="0"/>
              <w:jc w:val="center"/>
              <w:rPr>
                <w:color w:val="000000"/>
                <w:sz w:val="14"/>
                <w:szCs w:val="14"/>
              </w:rPr>
            </w:pPr>
          </w:p>
        </w:tc>
        <w:tc>
          <w:tcPr>
            <w:tcW w:w="370" w:type="dxa"/>
            <w:vMerge w:val="restart"/>
            <w:shd w:val="clear" w:color="auto" w:fill="F3F9FA"/>
            <w:vAlign w:val="center"/>
          </w:tcPr>
          <w:p w14:paraId="0C14E2E7" w14:textId="77777777" w:rsidR="004920D8" w:rsidRPr="00F45F13" w:rsidRDefault="004920D8" w:rsidP="00D64955">
            <w:pPr>
              <w:spacing w:before="0" w:after="0"/>
              <w:jc w:val="center"/>
              <w:rPr>
                <w:color w:val="000000"/>
                <w:sz w:val="14"/>
                <w:szCs w:val="14"/>
              </w:rPr>
            </w:pPr>
          </w:p>
        </w:tc>
        <w:tc>
          <w:tcPr>
            <w:tcW w:w="393" w:type="dxa"/>
            <w:vMerge w:val="restart"/>
            <w:shd w:val="clear" w:color="auto" w:fill="F3F9FA"/>
            <w:vAlign w:val="center"/>
          </w:tcPr>
          <w:p w14:paraId="18515FEF" w14:textId="77777777" w:rsidR="004920D8" w:rsidRPr="00F45F13" w:rsidRDefault="004920D8" w:rsidP="00D64955">
            <w:pPr>
              <w:spacing w:before="0" w:after="0"/>
              <w:jc w:val="center"/>
              <w:rPr>
                <w:color w:val="000000"/>
                <w:sz w:val="14"/>
                <w:szCs w:val="14"/>
              </w:rPr>
            </w:pPr>
          </w:p>
        </w:tc>
        <w:tc>
          <w:tcPr>
            <w:tcW w:w="399" w:type="dxa"/>
            <w:vMerge w:val="restart"/>
            <w:shd w:val="clear" w:color="auto" w:fill="F3F9FA"/>
            <w:vAlign w:val="center"/>
          </w:tcPr>
          <w:p w14:paraId="04DA0727" w14:textId="77777777" w:rsidR="004920D8" w:rsidRPr="00F45F13" w:rsidRDefault="004920D8" w:rsidP="00D64955">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F3F9FA"/>
            <w:vAlign w:val="center"/>
          </w:tcPr>
          <w:p w14:paraId="3B5126E7" w14:textId="77777777" w:rsidR="004920D8" w:rsidRPr="00F45F13" w:rsidRDefault="004920D8" w:rsidP="00D64955">
            <w:pPr>
              <w:spacing w:before="0" w:after="0"/>
              <w:jc w:val="center"/>
              <w:rPr>
                <w:color w:val="000000"/>
                <w:sz w:val="14"/>
                <w:szCs w:val="14"/>
              </w:rPr>
            </w:pPr>
          </w:p>
        </w:tc>
        <w:tc>
          <w:tcPr>
            <w:tcW w:w="396" w:type="dxa"/>
            <w:vMerge w:val="restart"/>
            <w:shd w:val="clear" w:color="auto" w:fill="F3F9FA"/>
            <w:vAlign w:val="center"/>
          </w:tcPr>
          <w:p w14:paraId="334E4D8D"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c>
          <w:tcPr>
            <w:tcW w:w="340" w:type="dxa"/>
            <w:vMerge w:val="restart"/>
            <w:shd w:val="clear" w:color="auto" w:fill="F3F9FA"/>
            <w:vAlign w:val="center"/>
          </w:tcPr>
          <w:p w14:paraId="5E01E7B2" w14:textId="77777777" w:rsidR="004920D8" w:rsidRPr="00F45F13" w:rsidRDefault="004920D8" w:rsidP="00D64955">
            <w:pPr>
              <w:spacing w:before="0" w:after="0"/>
              <w:jc w:val="center"/>
              <w:rPr>
                <w:color w:val="000000"/>
                <w:sz w:val="14"/>
                <w:szCs w:val="14"/>
              </w:rPr>
            </w:pPr>
          </w:p>
        </w:tc>
        <w:tc>
          <w:tcPr>
            <w:tcW w:w="374" w:type="dxa"/>
            <w:vMerge w:val="restart"/>
            <w:shd w:val="clear" w:color="auto" w:fill="F3F9FA"/>
            <w:vAlign w:val="center"/>
          </w:tcPr>
          <w:p w14:paraId="0A2290D4" w14:textId="77777777" w:rsidR="004920D8" w:rsidRPr="00F45F13" w:rsidRDefault="004920D8" w:rsidP="00D64955">
            <w:pPr>
              <w:spacing w:before="0" w:after="0"/>
              <w:jc w:val="center"/>
              <w:rPr>
                <w:color w:val="000000"/>
                <w:sz w:val="14"/>
                <w:szCs w:val="14"/>
              </w:rPr>
            </w:pPr>
          </w:p>
        </w:tc>
        <w:tc>
          <w:tcPr>
            <w:tcW w:w="406" w:type="dxa"/>
            <w:vMerge w:val="restart"/>
            <w:shd w:val="clear" w:color="auto" w:fill="F3F9FA"/>
            <w:vAlign w:val="center"/>
          </w:tcPr>
          <w:p w14:paraId="6B1ABD79" w14:textId="77777777" w:rsidR="004920D8" w:rsidRPr="00F45F13" w:rsidRDefault="004920D8" w:rsidP="00D64955">
            <w:pPr>
              <w:spacing w:before="0" w:after="0"/>
              <w:jc w:val="center"/>
              <w:rPr>
                <w:color w:val="000000"/>
                <w:sz w:val="14"/>
                <w:szCs w:val="14"/>
              </w:rPr>
            </w:pPr>
            <w:r w:rsidRPr="00F45F13">
              <w:rPr>
                <w:color w:val="000000"/>
                <w:sz w:val="16"/>
                <w:szCs w:val="16"/>
              </w:rPr>
              <w:sym w:font="Wingdings" w:char="F06E"/>
            </w:r>
          </w:p>
        </w:tc>
      </w:tr>
      <w:tr w:rsidR="004920D8" w:rsidRPr="00015190" w14:paraId="4FABB522" w14:textId="77777777" w:rsidTr="00D64955">
        <w:trPr>
          <w:trHeight w:val="170"/>
          <w:jc w:val="center"/>
        </w:trPr>
        <w:tc>
          <w:tcPr>
            <w:tcW w:w="900" w:type="dxa"/>
            <w:vMerge/>
            <w:shd w:val="clear" w:color="auto" w:fill="auto"/>
          </w:tcPr>
          <w:p w14:paraId="6D742FF3" w14:textId="77777777" w:rsidR="004920D8" w:rsidRPr="00880D29" w:rsidRDefault="004920D8" w:rsidP="00D64955">
            <w:pPr>
              <w:spacing w:before="0" w:after="0"/>
              <w:jc w:val="center"/>
              <w:rPr>
                <w:color w:val="000000"/>
                <w:sz w:val="14"/>
                <w:szCs w:val="14"/>
              </w:rPr>
            </w:pPr>
          </w:p>
        </w:tc>
        <w:tc>
          <w:tcPr>
            <w:tcW w:w="1826" w:type="dxa"/>
            <w:vMerge/>
            <w:shd w:val="clear" w:color="auto" w:fill="F3F9FA"/>
          </w:tcPr>
          <w:p w14:paraId="1D606834" w14:textId="77777777" w:rsidR="004920D8" w:rsidRPr="00880D29" w:rsidRDefault="004920D8" w:rsidP="00D64955">
            <w:pPr>
              <w:spacing w:before="0" w:after="0"/>
              <w:jc w:val="center"/>
              <w:rPr>
                <w:color w:val="000000"/>
                <w:sz w:val="14"/>
                <w:szCs w:val="14"/>
              </w:rPr>
            </w:pPr>
          </w:p>
        </w:tc>
        <w:tc>
          <w:tcPr>
            <w:tcW w:w="1030" w:type="dxa"/>
            <w:vMerge/>
            <w:shd w:val="clear" w:color="auto" w:fill="F3F9FA"/>
          </w:tcPr>
          <w:p w14:paraId="168A4E29" w14:textId="77777777" w:rsidR="004920D8" w:rsidRPr="00880D29" w:rsidRDefault="004920D8" w:rsidP="00D64955">
            <w:pPr>
              <w:spacing w:before="0" w:after="0"/>
              <w:jc w:val="center"/>
              <w:rPr>
                <w:color w:val="000000"/>
                <w:sz w:val="14"/>
                <w:szCs w:val="14"/>
              </w:rPr>
            </w:pPr>
          </w:p>
        </w:tc>
        <w:tc>
          <w:tcPr>
            <w:tcW w:w="1445" w:type="dxa"/>
            <w:vMerge/>
            <w:shd w:val="clear" w:color="auto" w:fill="F3F9FA"/>
            <w:noWrap/>
            <w:vAlign w:val="center"/>
          </w:tcPr>
          <w:p w14:paraId="52E5485F" w14:textId="77777777" w:rsidR="004920D8" w:rsidRPr="00880D29" w:rsidRDefault="004920D8" w:rsidP="00D64955">
            <w:pPr>
              <w:spacing w:before="0" w:after="0"/>
              <w:jc w:val="center"/>
              <w:rPr>
                <w:color w:val="000000"/>
                <w:sz w:val="14"/>
                <w:szCs w:val="14"/>
              </w:rPr>
            </w:pPr>
          </w:p>
        </w:tc>
        <w:tc>
          <w:tcPr>
            <w:tcW w:w="619" w:type="dxa"/>
            <w:shd w:val="clear" w:color="auto" w:fill="F3F9FA"/>
            <w:noWrap/>
            <w:vAlign w:val="center"/>
          </w:tcPr>
          <w:p w14:paraId="4116374F" w14:textId="77777777" w:rsidR="004920D8" w:rsidRPr="00880D29" w:rsidRDefault="004920D8" w:rsidP="00D64955">
            <w:pPr>
              <w:spacing w:before="0" w:after="0"/>
              <w:jc w:val="center"/>
              <w:rPr>
                <w:color w:val="000000"/>
                <w:sz w:val="14"/>
                <w:szCs w:val="14"/>
              </w:rPr>
            </w:pPr>
            <w:r>
              <w:rPr>
                <w:color w:val="000000"/>
                <w:sz w:val="14"/>
                <w:szCs w:val="14"/>
              </w:rPr>
              <w:t>BH3</w:t>
            </w:r>
            <w:r w:rsidRPr="00880D29">
              <w:rPr>
                <w:color w:val="000000"/>
                <w:sz w:val="14"/>
                <w:szCs w:val="14"/>
              </w:rPr>
              <w:t>*</w:t>
            </w:r>
          </w:p>
        </w:tc>
        <w:tc>
          <w:tcPr>
            <w:tcW w:w="1202" w:type="dxa"/>
            <w:shd w:val="clear" w:color="auto" w:fill="F3F9FA"/>
            <w:noWrap/>
            <w:vAlign w:val="center"/>
          </w:tcPr>
          <w:p w14:paraId="0C54A087" w14:textId="77777777" w:rsidR="004920D8" w:rsidRPr="00880D29" w:rsidRDefault="004920D8" w:rsidP="00D64955">
            <w:pPr>
              <w:spacing w:before="0" w:after="0"/>
              <w:jc w:val="center"/>
              <w:rPr>
                <w:color w:val="000000"/>
                <w:sz w:val="14"/>
                <w:szCs w:val="14"/>
              </w:rPr>
            </w:pPr>
            <w:r>
              <w:rPr>
                <w:color w:val="000000"/>
                <w:sz w:val="14"/>
                <w:szCs w:val="14"/>
              </w:rPr>
              <w:t>Burrum Heads</w:t>
            </w:r>
          </w:p>
        </w:tc>
        <w:tc>
          <w:tcPr>
            <w:tcW w:w="463" w:type="dxa"/>
            <w:shd w:val="clear" w:color="auto" w:fill="F3F9FA"/>
            <w:noWrap/>
            <w:vAlign w:val="center"/>
          </w:tcPr>
          <w:p w14:paraId="259F11D1" w14:textId="77777777" w:rsidR="004920D8" w:rsidRPr="00880D29" w:rsidRDefault="004920D8" w:rsidP="00D64955">
            <w:pPr>
              <w:spacing w:before="0" w:after="0"/>
              <w:jc w:val="center"/>
              <w:rPr>
                <w:color w:val="000000"/>
                <w:sz w:val="14"/>
                <w:szCs w:val="14"/>
              </w:rPr>
            </w:pPr>
            <w:r w:rsidRPr="00880D29">
              <w:rPr>
                <w:color w:val="000000"/>
                <w:sz w:val="14"/>
                <w:szCs w:val="14"/>
              </w:rPr>
              <w:t>25°</w:t>
            </w:r>
          </w:p>
        </w:tc>
        <w:tc>
          <w:tcPr>
            <w:tcW w:w="830" w:type="dxa"/>
            <w:shd w:val="clear" w:color="auto" w:fill="F3F9FA"/>
            <w:noWrap/>
            <w:vAlign w:val="center"/>
          </w:tcPr>
          <w:p w14:paraId="627B504C" w14:textId="77777777" w:rsidR="004920D8" w:rsidRPr="00880D29" w:rsidRDefault="004920D8" w:rsidP="00D64955">
            <w:pPr>
              <w:spacing w:before="0" w:after="0"/>
              <w:jc w:val="center"/>
              <w:rPr>
                <w:color w:val="000000"/>
                <w:sz w:val="14"/>
                <w:szCs w:val="14"/>
              </w:rPr>
            </w:pPr>
            <w:r>
              <w:rPr>
                <w:color w:val="000000"/>
                <w:sz w:val="14"/>
                <w:szCs w:val="14"/>
              </w:rPr>
              <w:t>12.620</w:t>
            </w:r>
          </w:p>
        </w:tc>
        <w:tc>
          <w:tcPr>
            <w:tcW w:w="546" w:type="dxa"/>
            <w:shd w:val="clear" w:color="auto" w:fill="F3F9FA"/>
            <w:noWrap/>
            <w:vAlign w:val="center"/>
          </w:tcPr>
          <w:p w14:paraId="2FC4577D" w14:textId="77777777" w:rsidR="004920D8" w:rsidRPr="00880D29" w:rsidRDefault="004920D8" w:rsidP="00D64955">
            <w:pPr>
              <w:spacing w:before="0" w:after="0"/>
              <w:jc w:val="center"/>
              <w:rPr>
                <w:color w:val="000000"/>
                <w:sz w:val="14"/>
                <w:szCs w:val="14"/>
              </w:rPr>
            </w:pPr>
            <w:r w:rsidRPr="00880D29">
              <w:rPr>
                <w:color w:val="000000"/>
                <w:sz w:val="14"/>
                <w:szCs w:val="14"/>
              </w:rPr>
              <w:t>152°</w:t>
            </w:r>
          </w:p>
        </w:tc>
        <w:tc>
          <w:tcPr>
            <w:tcW w:w="830" w:type="dxa"/>
            <w:shd w:val="clear" w:color="auto" w:fill="F3F9FA"/>
            <w:noWrap/>
            <w:vAlign w:val="center"/>
          </w:tcPr>
          <w:p w14:paraId="1A5D351F" w14:textId="77777777" w:rsidR="004920D8" w:rsidRPr="00880D29" w:rsidRDefault="004920D8" w:rsidP="00D64955">
            <w:pPr>
              <w:spacing w:before="0" w:after="0"/>
              <w:jc w:val="center"/>
              <w:rPr>
                <w:color w:val="000000"/>
                <w:sz w:val="14"/>
                <w:szCs w:val="14"/>
              </w:rPr>
            </w:pPr>
            <w:r>
              <w:rPr>
                <w:color w:val="000000"/>
                <w:sz w:val="14"/>
                <w:szCs w:val="14"/>
              </w:rPr>
              <w:t>38.359</w:t>
            </w:r>
          </w:p>
        </w:tc>
        <w:tc>
          <w:tcPr>
            <w:tcW w:w="459" w:type="dxa"/>
            <w:vMerge/>
            <w:shd w:val="clear" w:color="auto" w:fill="F3F9FA"/>
            <w:noWrap/>
            <w:vAlign w:val="center"/>
          </w:tcPr>
          <w:p w14:paraId="04CBB085" w14:textId="77777777" w:rsidR="004920D8" w:rsidRPr="00017A7E" w:rsidRDefault="004920D8" w:rsidP="00D64955">
            <w:pPr>
              <w:spacing w:before="0" w:after="0"/>
              <w:jc w:val="center"/>
              <w:rPr>
                <w:color w:val="000000"/>
                <w:sz w:val="14"/>
                <w:szCs w:val="14"/>
              </w:rPr>
            </w:pPr>
          </w:p>
        </w:tc>
        <w:tc>
          <w:tcPr>
            <w:tcW w:w="357" w:type="dxa"/>
            <w:vMerge/>
            <w:shd w:val="clear" w:color="auto" w:fill="F3F9FA"/>
          </w:tcPr>
          <w:p w14:paraId="153F9205" w14:textId="77777777" w:rsidR="004920D8" w:rsidRPr="00017A7E" w:rsidRDefault="004920D8" w:rsidP="00D64955">
            <w:pPr>
              <w:spacing w:before="0" w:after="0"/>
              <w:jc w:val="center"/>
              <w:rPr>
                <w:color w:val="000000"/>
                <w:sz w:val="14"/>
                <w:szCs w:val="14"/>
              </w:rPr>
            </w:pPr>
          </w:p>
        </w:tc>
        <w:tc>
          <w:tcPr>
            <w:tcW w:w="370" w:type="dxa"/>
            <w:vMerge/>
            <w:shd w:val="clear" w:color="auto" w:fill="F3F9FA"/>
          </w:tcPr>
          <w:p w14:paraId="42D18A08" w14:textId="77777777" w:rsidR="004920D8" w:rsidRPr="00017A7E" w:rsidRDefault="004920D8" w:rsidP="00D64955">
            <w:pPr>
              <w:spacing w:before="0" w:after="0"/>
              <w:jc w:val="center"/>
              <w:rPr>
                <w:color w:val="000000"/>
                <w:sz w:val="14"/>
                <w:szCs w:val="14"/>
              </w:rPr>
            </w:pPr>
          </w:p>
        </w:tc>
        <w:tc>
          <w:tcPr>
            <w:tcW w:w="393" w:type="dxa"/>
            <w:vMerge/>
            <w:shd w:val="clear" w:color="auto" w:fill="F3F9FA"/>
          </w:tcPr>
          <w:p w14:paraId="7BA921EE" w14:textId="77777777" w:rsidR="004920D8" w:rsidRPr="00017A7E" w:rsidRDefault="004920D8" w:rsidP="00D64955">
            <w:pPr>
              <w:spacing w:before="0" w:after="0"/>
              <w:jc w:val="center"/>
              <w:rPr>
                <w:color w:val="000000"/>
                <w:sz w:val="14"/>
                <w:szCs w:val="14"/>
              </w:rPr>
            </w:pPr>
          </w:p>
        </w:tc>
        <w:tc>
          <w:tcPr>
            <w:tcW w:w="399" w:type="dxa"/>
            <w:vMerge/>
            <w:shd w:val="clear" w:color="auto" w:fill="F3F9FA"/>
          </w:tcPr>
          <w:p w14:paraId="22879D2D" w14:textId="77777777" w:rsidR="004920D8" w:rsidRPr="00017A7E" w:rsidRDefault="004920D8" w:rsidP="00D64955">
            <w:pPr>
              <w:spacing w:before="0" w:after="0"/>
              <w:jc w:val="center"/>
              <w:rPr>
                <w:color w:val="000000"/>
                <w:sz w:val="14"/>
                <w:szCs w:val="14"/>
              </w:rPr>
            </w:pPr>
          </w:p>
        </w:tc>
        <w:tc>
          <w:tcPr>
            <w:tcW w:w="371" w:type="dxa"/>
            <w:vMerge/>
            <w:shd w:val="clear" w:color="auto" w:fill="F3F9FA"/>
          </w:tcPr>
          <w:p w14:paraId="47A5889C" w14:textId="77777777" w:rsidR="004920D8" w:rsidRPr="00017A7E" w:rsidRDefault="004920D8" w:rsidP="00D64955">
            <w:pPr>
              <w:spacing w:before="0" w:after="0"/>
              <w:jc w:val="center"/>
              <w:rPr>
                <w:color w:val="000000"/>
                <w:sz w:val="14"/>
                <w:szCs w:val="14"/>
              </w:rPr>
            </w:pPr>
          </w:p>
        </w:tc>
        <w:tc>
          <w:tcPr>
            <w:tcW w:w="396" w:type="dxa"/>
            <w:vMerge/>
            <w:shd w:val="clear" w:color="auto" w:fill="F3F9FA"/>
          </w:tcPr>
          <w:p w14:paraId="3476AA87" w14:textId="77777777" w:rsidR="004920D8" w:rsidRPr="00017A7E" w:rsidRDefault="004920D8" w:rsidP="00D64955">
            <w:pPr>
              <w:spacing w:before="0" w:after="0"/>
              <w:jc w:val="center"/>
              <w:rPr>
                <w:color w:val="000000"/>
                <w:sz w:val="14"/>
                <w:szCs w:val="14"/>
              </w:rPr>
            </w:pPr>
          </w:p>
        </w:tc>
        <w:tc>
          <w:tcPr>
            <w:tcW w:w="340" w:type="dxa"/>
            <w:vMerge/>
            <w:shd w:val="clear" w:color="auto" w:fill="F3F9FA"/>
          </w:tcPr>
          <w:p w14:paraId="4778DF6C" w14:textId="77777777" w:rsidR="004920D8" w:rsidRPr="00017A7E" w:rsidRDefault="004920D8" w:rsidP="00D64955">
            <w:pPr>
              <w:spacing w:before="0" w:after="0"/>
              <w:jc w:val="center"/>
              <w:rPr>
                <w:color w:val="000000"/>
                <w:sz w:val="14"/>
                <w:szCs w:val="14"/>
              </w:rPr>
            </w:pPr>
          </w:p>
        </w:tc>
        <w:tc>
          <w:tcPr>
            <w:tcW w:w="374" w:type="dxa"/>
            <w:vMerge/>
            <w:shd w:val="clear" w:color="auto" w:fill="F3F9FA"/>
          </w:tcPr>
          <w:p w14:paraId="03201F09" w14:textId="77777777" w:rsidR="004920D8" w:rsidRPr="00017A7E" w:rsidRDefault="004920D8" w:rsidP="00D64955">
            <w:pPr>
              <w:spacing w:before="0" w:after="0"/>
              <w:jc w:val="center"/>
              <w:rPr>
                <w:color w:val="000000"/>
                <w:sz w:val="14"/>
                <w:szCs w:val="14"/>
              </w:rPr>
            </w:pPr>
          </w:p>
        </w:tc>
        <w:tc>
          <w:tcPr>
            <w:tcW w:w="406" w:type="dxa"/>
            <w:vMerge/>
            <w:shd w:val="clear" w:color="auto" w:fill="F3F9FA"/>
          </w:tcPr>
          <w:p w14:paraId="025345DC" w14:textId="77777777" w:rsidR="004920D8" w:rsidRPr="00017A7E" w:rsidRDefault="004920D8" w:rsidP="00D64955">
            <w:pPr>
              <w:spacing w:before="0" w:after="0"/>
              <w:jc w:val="center"/>
              <w:outlineLvl w:val="0"/>
              <w:rPr>
                <w:color w:val="000000"/>
                <w:sz w:val="14"/>
                <w:szCs w:val="14"/>
              </w:rPr>
            </w:pPr>
          </w:p>
        </w:tc>
      </w:tr>
    </w:tbl>
    <w:p w14:paraId="0950AA46" w14:textId="77777777" w:rsidR="004920D8" w:rsidRDefault="004920D8" w:rsidP="004920D8">
      <w:pPr>
        <w:rPr>
          <w:color w:val="000000"/>
          <w:szCs w:val="22"/>
        </w:rPr>
      </w:pPr>
    </w:p>
    <w:p w14:paraId="042CA469" w14:textId="77777777" w:rsidR="0070343A" w:rsidRPr="008B4845" w:rsidRDefault="0070343A" w:rsidP="008B4845">
      <w:pPr>
        <w:rPr>
          <w:color w:val="000000"/>
          <w:szCs w:val="22"/>
        </w:rPr>
      </w:pPr>
    </w:p>
    <w:p w14:paraId="0939A8A5" w14:textId="77777777" w:rsidR="00955497" w:rsidRPr="00484F6F" w:rsidRDefault="00955497" w:rsidP="004902B0">
      <w:pPr>
        <w:spacing w:before="0" w:after="0"/>
        <w:rPr>
          <w:i/>
          <w:color w:val="000000"/>
          <w:sz w:val="16"/>
          <w:szCs w:val="16"/>
          <w:lang w:val="it-IT"/>
        </w:rPr>
      </w:pPr>
    </w:p>
    <w:p w14:paraId="04077D37" w14:textId="77777777" w:rsidR="004902B0" w:rsidRPr="00015190" w:rsidRDefault="004902B0" w:rsidP="00B20DDB">
      <w:pPr>
        <w:outlineLvl w:val="0"/>
        <w:rPr>
          <w:color w:val="0000FF"/>
          <w:sz w:val="20"/>
          <w:szCs w:val="20"/>
        </w:rPr>
        <w:sectPr w:rsidR="004902B0" w:rsidRPr="00015190" w:rsidSect="00D10D59">
          <w:headerReference w:type="even" r:id="rId39"/>
          <w:headerReference w:type="default" r:id="rId40"/>
          <w:headerReference w:type="first" r:id="rId41"/>
          <w:pgSz w:w="16838" w:h="11906" w:orient="landscape"/>
          <w:pgMar w:top="719" w:right="1440" w:bottom="1079" w:left="1440" w:header="709" w:footer="709" w:gutter="0"/>
          <w:cols w:space="708"/>
          <w:docGrid w:linePitch="360"/>
        </w:sectPr>
      </w:pPr>
    </w:p>
    <w:p w14:paraId="2E5B4E18" w14:textId="77777777" w:rsidR="003D1F7F" w:rsidRDefault="003D1F7F" w:rsidP="00926892">
      <w:pPr>
        <w:pStyle w:val="Heading2"/>
        <w:numPr>
          <w:ilvl w:val="1"/>
          <w:numId w:val="9"/>
        </w:numPr>
        <w:rPr>
          <w:rFonts w:ascii="Century Gothic" w:hAnsi="Century Gothic"/>
          <w:color w:val="000000"/>
        </w:rPr>
      </w:pPr>
      <w:bookmarkStart w:id="59" w:name="_Toc441474088"/>
      <w:bookmarkStart w:id="60" w:name="_Toc441474123"/>
      <w:bookmarkStart w:id="61" w:name="_Toc441474139"/>
      <w:bookmarkStart w:id="62" w:name="_Toc441474155"/>
      <w:bookmarkStart w:id="63" w:name="_Toc441474171"/>
      <w:bookmarkStart w:id="64" w:name="_Toc441474203"/>
      <w:bookmarkStart w:id="65" w:name="_Toc441474219"/>
      <w:bookmarkStart w:id="66" w:name="_Toc441474235"/>
      <w:bookmarkStart w:id="67" w:name="_Toc441474251"/>
      <w:bookmarkStart w:id="68" w:name="_Toc441474267"/>
      <w:bookmarkStart w:id="69" w:name="_Toc441474283"/>
      <w:bookmarkStart w:id="70" w:name="_Toc441474299"/>
      <w:bookmarkStart w:id="71" w:name="_Toc441474332"/>
      <w:bookmarkStart w:id="72" w:name="_Toc441474348"/>
      <w:bookmarkStart w:id="73" w:name="_Toc441474364"/>
      <w:bookmarkStart w:id="74" w:name="_Toc441474396"/>
      <w:bookmarkStart w:id="75" w:name="_Toc441474412"/>
      <w:bookmarkStart w:id="76" w:name="_Toc441474444"/>
      <w:bookmarkStart w:id="77" w:name="_Toc441474460"/>
      <w:bookmarkStart w:id="78" w:name="_Toc441474492"/>
      <w:bookmarkStart w:id="79" w:name="_Toc441474508"/>
      <w:bookmarkStart w:id="80" w:name="_Toc441474509"/>
      <w:bookmarkStart w:id="81" w:name="_Toc516053121"/>
      <w:bookmarkEnd w:id="50"/>
      <w:bookmarkEnd w:id="51"/>
      <w:bookmarkEnd w:id="52"/>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r>
        <w:rPr>
          <w:rFonts w:ascii="Century Gothic" w:hAnsi="Century Gothic"/>
          <w:color w:val="000000"/>
        </w:rPr>
        <w:t xml:space="preserve">Seagrass </w:t>
      </w:r>
      <w:r w:rsidR="00E9464A">
        <w:rPr>
          <w:rFonts w:ascii="Century Gothic" w:hAnsi="Century Gothic"/>
          <w:color w:val="000000"/>
        </w:rPr>
        <w:t xml:space="preserve">condition </w:t>
      </w:r>
      <w:r>
        <w:rPr>
          <w:rFonts w:ascii="Century Gothic" w:hAnsi="Century Gothic"/>
          <w:color w:val="000000"/>
        </w:rPr>
        <w:t>monitoring</w:t>
      </w:r>
      <w:bookmarkEnd w:id="81"/>
    </w:p>
    <w:p w14:paraId="7FCFC183" w14:textId="77777777" w:rsidR="003D1F7F" w:rsidRPr="00BA12BB" w:rsidRDefault="003D1F7F" w:rsidP="00926892">
      <w:pPr>
        <w:pStyle w:val="Heading3"/>
        <w:numPr>
          <w:ilvl w:val="2"/>
          <w:numId w:val="9"/>
        </w:numPr>
        <w:rPr>
          <w:rFonts w:ascii="Arial" w:hAnsi="Arial" w:cs="Arial"/>
          <w:szCs w:val="22"/>
        </w:rPr>
      </w:pPr>
      <w:bookmarkStart w:id="82" w:name="_Toc516053122"/>
      <w:r w:rsidRPr="00BA12BB">
        <w:rPr>
          <w:rFonts w:ascii="Arial" w:hAnsi="Arial" w:cs="Arial"/>
        </w:rPr>
        <w:t xml:space="preserve">Seagrass abundance, composition and </w:t>
      </w:r>
      <w:r w:rsidR="00BB52BF">
        <w:rPr>
          <w:rFonts w:ascii="Arial" w:hAnsi="Arial" w:cs="Arial"/>
        </w:rPr>
        <w:t>extent</w:t>
      </w:r>
      <w:bookmarkEnd w:id="82"/>
    </w:p>
    <w:p w14:paraId="603FB3C7" w14:textId="5219EF05" w:rsidR="008300F2" w:rsidRPr="00322AD3" w:rsidRDefault="003D1F7F" w:rsidP="008300F2">
      <w:pPr>
        <w:spacing w:before="240"/>
        <w:rPr>
          <w:szCs w:val="22"/>
        </w:rPr>
      </w:pPr>
      <w:r w:rsidRPr="00322AD3">
        <w:rPr>
          <w:szCs w:val="22"/>
        </w:rPr>
        <w:t xml:space="preserve">Field survey methodology followed </w:t>
      </w:r>
      <w:r w:rsidR="00322AD3" w:rsidRPr="00322AD3">
        <w:rPr>
          <w:szCs w:val="22"/>
        </w:rPr>
        <w:t xml:space="preserve">globally </w:t>
      </w:r>
      <w:r w:rsidRPr="00322AD3">
        <w:rPr>
          <w:szCs w:val="22"/>
        </w:rPr>
        <w:t xml:space="preserve">standardised protocols (detailed in McKenzie </w:t>
      </w:r>
      <w:r w:rsidRPr="00322AD3">
        <w:rPr>
          <w:i/>
          <w:szCs w:val="22"/>
        </w:rPr>
        <w:t>et al.</w:t>
      </w:r>
      <w:r w:rsidRPr="00322AD3">
        <w:rPr>
          <w:szCs w:val="22"/>
        </w:rPr>
        <w:t xml:space="preserve"> (</w:t>
      </w:r>
      <w:hyperlink w:anchor="_ENREF_152" w:tooltip="McKenzie, 2003 #9457" w:history="1">
        <w:r w:rsidR="00305FE7" w:rsidRPr="00322AD3">
          <w:rPr>
            <w:szCs w:val="22"/>
          </w:rPr>
          <w:fldChar w:fldCharType="begin"/>
        </w:r>
        <w:r w:rsidR="00305FE7" w:rsidRPr="00322AD3">
          <w:rPr>
            <w:szCs w:val="22"/>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305FE7" w:rsidRPr="00322AD3">
          <w:rPr>
            <w:szCs w:val="22"/>
          </w:rPr>
          <w:fldChar w:fldCharType="separate"/>
        </w:r>
        <w:r w:rsidR="00305FE7" w:rsidRPr="00322AD3">
          <w:rPr>
            <w:noProof/>
            <w:szCs w:val="22"/>
          </w:rPr>
          <w:t>2003</w:t>
        </w:r>
        <w:r w:rsidR="00305FE7" w:rsidRPr="00322AD3">
          <w:rPr>
            <w:szCs w:val="22"/>
          </w:rPr>
          <w:fldChar w:fldCharType="end"/>
        </w:r>
      </w:hyperlink>
      <w:r w:rsidRPr="00322AD3">
        <w:rPr>
          <w:szCs w:val="22"/>
        </w:rPr>
        <w:t xml:space="preserve">) and Appendix </w:t>
      </w:r>
      <w:r w:rsidR="00640BF3">
        <w:rPr>
          <w:szCs w:val="22"/>
        </w:rPr>
        <w:fldChar w:fldCharType="begin"/>
      </w:r>
      <w:r w:rsidR="00640BF3">
        <w:rPr>
          <w:szCs w:val="22"/>
        </w:rPr>
        <w:instrText xml:space="preserve"> REF _Ref511374510 \r \h </w:instrText>
      </w:r>
      <w:r w:rsidR="00640BF3">
        <w:rPr>
          <w:szCs w:val="22"/>
        </w:rPr>
      </w:r>
      <w:r w:rsidR="00640BF3">
        <w:rPr>
          <w:szCs w:val="22"/>
        </w:rPr>
        <w:fldChar w:fldCharType="separate"/>
      </w:r>
      <w:r w:rsidR="00F87DF9">
        <w:rPr>
          <w:szCs w:val="22"/>
        </w:rPr>
        <w:t>A2.3.1</w:t>
      </w:r>
      <w:r w:rsidR="00640BF3">
        <w:rPr>
          <w:szCs w:val="22"/>
        </w:rPr>
        <w:fldChar w:fldCharType="end"/>
      </w:r>
      <w:r w:rsidRPr="00322AD3">
        <w:rPr>
          <w:szCs w:val="22"/>
        </w:rPr>
        <w:t xml:space="preserve">). At each location, with the exception of subtidal sites, sampling included two sites nested (within 500m of each other) in a location. Subtidal sites were not </w:t>
      </w:r>
      <w:r w:rsidR="00640BF3">
        <w:rPr>
          <w:szCs w:val="22"/>
        </w:rPr>
        <w:t xml:space="preserve">always </w:t>
      </w:r>
      <w:r w:rsidRPr="00322AD3">
        <w:rPr>
          <w:szCs w:val="22"/>
        </w:rPr>
        <w:t xml:space="preserve">replicated within locations. Intertidal sites were defined as a </w:t>
      </w:r>
      <w:r w:rsidR="00DB32BE" w:rsidRPr="00322AD3">
        <w:rPr>
          <w:szCs w:val="22"/>
        </w:rPr>
        <w:t>5.5 hectare</w:t>
      </w:r>
      <w:r w:rsidRPr="00322AD3">
        <w:rPr>
          <w:szCs w:val="22"/>
        </w:rPr>
        <w:t xml:space="preserve"> area within a relatively homogenous section of a representative seagrass community/meadow (McKenzie </w:t>
      </w:r>
      <w:r w:rsidRPr="00322AD3">
        <w:rPr>
          <w:i/>
          <w:szCs w:val="22"/>
        </w:rPr>
        <w:t>et al.,</w:t>
      </w:r>
      <w:r w:rsidRPr="00322AD3">
        <w:rPr>
          <w:szCs w:val="22"/>
        </w:rPr>
        <w:t xml:space="preserve"> 2000). Monitoring at sites in the late dry (September/October 201</w:t>
      </w:r>
      <w:r w:rsidR="00322AD3" w:rsidRPr="00322AD3">
        <w:rPr>
          <w:szCs w:val="22"/>
        </w:rPr>
        <w:t>6</w:t>
      </w:r>
      <w:r w:rsidRPr="00322AD3">
        <w:rPr>
          <w:szCs w:val="22"/>
        </w:rPr>
        <w:t xml:space="preserve">) and late </w:t>
      </w:r>
      <w:r w:rsidR="000945E8" w:rsidRPr="00322AD3">
        <w:rPr>
          <w:szCs w:val="22"/>
        </w:rPr>
        <w:t>wet</w:t>
      </w:r>
      <w:r w:rsidRPr="00322AD3">
        <w:rPr>
          <w:szCs w:val="22"/>
        </w:rPr>
        <w:t xml:space="preserve"> (March/April 201</w:t>
      </w:r>
      <w:r w:rsidR="00322AD3" w:rsidRPr="00322AD3">
        <w:rPr>
          <w:szCs w:val="22"/>
        </w:rPr>
        <w:t>7</w:t>
      </w:r>
      <w:r w:rsidRPr="00322AD3">
        <w:rPr>
          <w:szCs w:val="22"/>
        </w:rPr>
        <w:t xml:space="preserve">) of each year was conducted by a qualified </w:t>
      </w:r>
      <w:r w:rsidR="00640BF3" w:rsidRPr="00322AD3">
        <w:rPr>
          <w:szCs w:val="22"/>
        </w:rPr>
        <w:t xml:space="preserve">scientist </w:t>
      </w:r>
      <w:r w:rsidR="00640BF3">
        <w:rPr>
          <w:szCs w:val="22"/>
        </w:rPr>
        <w:t>who was</w:t>
      </w:r>
      <w:r w:rsidRPr="00322AD3">
        <w:rPr>
          <w:szCs w:val="22"/>
        </w:rPr>
        <w:t xml:space="preserve"> trained</w:t>
      </w:r>
      <w:r w:rsidR="00640BF3">
        <w:rPr>
          <w:szCs w:val="22"/>
        </w:rPr>
        <w:t xml:space="preserve"> in the monitoring protocols</w:t>
      </w:r>
      <w:r w:rsidRPr="00322AD3">
        <w:rPr>
          <w:szCs w:val="22"/>
        </w:rPr>
        <w:t xml:space="preserve">. </w:t>
      </w:r>
      <w:r w:rsidR="00DB32BE" w:rsidRPr="00322AD3">
        <w:rPr>
          <w:szCs w:val="22"/>
        </w:rPr>
        <w:t>In the centre of</w:t>
      </w:r>
      <w:r w:rsidRPr="00322AD3">
        <w:rPr>
          <w:szCs w:val="22"/>
        </w:rPr>
        <w:t xml:space="preserve"> each site, during each survey, observers recorded the per</w:t>
      </w:r>
      <w:r w:rsidR="00640BF3">
        <w:rPr>
          <w:szCs w:val="22"/>
        </w:rPr>
        <w:t> </w:t>
      </w:r>
      <w:r w:rsidRPr="00322AD3">
        <w:rPr>
          <w:szCs w:val="22"/>
        </w:rPr>
        <w:t xml:space="preserve">cent seagrass cover within </w:t>
      </w:r>
      <w:r w:rsidR="009A51FB" w:rsidRPr="00322AD3">
        <w:rPr>
          <w:szCs w:val="22"/>
        </w:rPr>
        <w:t>33 quadrats (</w:t>
      </w:r>
      <w:r w:rsidRPr="00322AD3">
        <w:rPr>
          <w:szCs w:val="22"/>
        </w:rPr>
        <w:t>50cm × 50cm</w:t>
      </w:r>
      <w:r w:rsidR="009A51FB" w:rsidRPr="00322AD3">
        <w:rPr>
          <w:szCs w:val="22"/>
        </w:rPr>
        <w:t>, placed</w:t>
      </w:r>
      <w:r w:rsidRPr="00322AD3">
        <w:rPr>
          <w:szCs w:val="22"/>
        </w:rPr>
        <w:t xml:space="preserve"> every 5m along three 50m transects, </w:t>
      </w:r>
      <w:r w:rsidR="00322AD3" w:rsidRPr="00322AD3">
        <w:rPr>
          <w:szCs w:val="22"/>
        </w:rPr>
        <w:t>located</w:t>
      </w:r>
      <w:r w:rsidRPr="00322AD3">
        <w:rPr>
          <w:szCs w:val="22"/>
        </w:rPr>
        <w:t xml:space="preserve"> 25m apart</w:t>
      </w:r>
      <w:r w:rsidR="009A51FB" w:rsidRPr="00322AD3">
        <w:rPr>
          <w:szCs w:val="22"/>
        </w:rPr>
        <w:t>)</w:t>
      </w:r>
      <w:r w:rsidRPr="00322AD3">
        <w:rPr>
          <w:szCs w:val="22"/>
        </w:rPr>
        <w:t xml:space="preserve">. </w:t>
      </w:r>
      <w:r w:rsidR="009A51FB" w:rsidRPr="00322AD3">
        <w:rPr>
          <w:szCs w:val="22"/>
        </w:rPr>
        <w:t xml:space="preserve">The sampling strategy for subtidal sites was modified to sample along 50m transects 2 </w:t>
      </w:r>
      <w:r w:rsidR="00322AD3" w:rsidRPr="00322AD3">
        <w:rPr>
          <w:szCs w:val="22"/>
        </w:rPr>
        <w:t>-</w:t>
      </w:r>
      <w:r w:rsidR="009A51FB" w:rsidRPr="00322AD3">
        <w:rPr>
          <w:szCs w:val="22"/>
        </w:rPr>
        <w:t xml:space="preserve"> 3 m apart (aligned along the depth contour) due to logistics of SCUBA diving in waters of poor visibility. </w:t>
      </w:r>
      <w:r w:rsidR="00595A52" w:rsidRPr="00322AD3">
        <w:rPr>
          <w:szCs w:val="22"/>
        </w:rPr>
        <w:t xml:space="preserve">Mapping of the meadow landscape </w:t>
      </w:r>
      <w:r w:rsidR="0028494D" w:rsidRPr="00322AD3">
        <w:rPr>
          <w:szCs w:val="22"/>
        </w:rPr>
        <w:t xml:space="preserve">(including patches and scars) </w:t>
      </w:r>
      <w:r w:rsidR="00595A52" w:rsidRPr="00322AD3">
        <w:rPr>
          <w:szCs w:val="22"/>
        </w:rPr>
        <w:t xml:space="preserve">within each site </w:t>
      </w:r>
      <w:r w:rsidR="00C815FB" w:rsidRPr="00322AD3">
        <w:rPr>
          <w:szCs w:val="22"/>
        </w:rPr>
        <w:t xml:space="preserve">was also </w:t>
      </w:r>
      <w:r w:rsidR="00595A52" w:rsidRPr="00322AD3">
        <w:rPr>
          <w:szCs w:val="22"/>
        </w:rPr>
        <w:t>conducted</w:t>
      </w:r>
      <w:r w:rsidR="00C815FB" w:rsidRPr="00322AD3">
        <w:rPr>
          <w:szCs w:val="22"/>
        </w:rPr>
        <w:t xml:space="preserve"> as part of the monitoring</w:t>
      </w:r>
      <w:r w:rsidR="0028494D" w:rsidRPr="00322AD3">
        <w:rPr>
          <w:szCs w:val="22"/>
        </w:rPr>
        <w:t xml:space="preserve"> in both the late dry and late </w:t>
      </w:r>
      <w:r w:rsidR="000945E8" w:rsidRPr="00322AD3">
        <w:rPr>
          <w:szCs w:val="22"/>
        </w:rPr>
        <w:t>wet</w:t>
      </w:r>
      <w:r w:rsidR="0028494D" w:rsidRPr="00322AD3">
        <w:rPr>
          <w:szCs w:val="22"/>
        </w:rPr>
        <w:t xml:space="preserve"> periods</w:t>
      </w:r>
      <w:r w:rsidR="00C815FB" w:rsidRPr="00322AD3">
        <w:rPr>
          <w:szCs w:val="22"/>
        </w:rPr>
        <w:t>.</w:t>
      </w:r>
      <w:r w:rsidR="005E74A3" w:rsidRPr="00322AD3">
        <w:rPr>
          <w:szCs w:val="22"/>
        </w:rPr>
        <w:t xml:space="preserve"> </w:t>
      </w:r>
      <w:r w:rsidR="0028494D" w:rsidRPr="00322AD3">
        <w:rPr>
          <w:rFonts w:cs="Segoe UI"/>
        </w:rPr>
        <w:t>Mapping followed standard methodologies (</w:t>
      </w:r>
      <w:hyperlink w:anchor="_ENREF_157" w:tooltip="McKenzie, 2001 #3703" w:history="1">
        <w:r w:rsidR="00305FE7" w:rsidRPr="00322AD3">
          <w:rPr>
            <w:rFonts w:cs="Segoe UI"/>
          </w:rPr>
          <w:fldChar w:fldCharType="begin"/>
        </w:r>
        <w:r w:rsidR="00305FE7" w:rsidRPr="00322AD3">
          <w:rPr>
            <w:rFonts w:cs="Segoe UI"/>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 timestamp="0"&gt;3703&lt;/key&gt;&lt;/foreign-keys&gt;&lt;ref-type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related-urls&gt;&lt;url&gt;http://www.sciencedirect.com/science/article/pii/B9780444508911500062&lt;/url&gt;&lt;/related-urls&gt;&lt;/urls&gt;&lt;electronic-resource-num&gt;10.1016/B978-044450891-1/50006-2&lt;/electronic-resource-num&gt;&lt;/record&gt;&lt;/Cite&gt;&lt;/EndNote&gt;</w:instrText>
        </w:r>
        <w:r w:rsidR="00305FE7" w:rsidRPr="00322AD3">
          <w:rPr>
            <w:rFonts w:cs="Segoe UI"/>
          </w:rPr>
          <w:fldChar w:fldCharType="separate"/>
        </w:r>
        <w:r w:rsidR="00305FE7" w:rsidRPr="00322AD3">
          <w:rPr>
            <w:rFonts w:cs="Segoe UI"/>
            <w:noProof/>
          </w:rPr>
          <w:t>McKenzie</w:t>
        </w:r>
        <w:r w:rsidR="00305FE7" w:rsidRPr="00322AD3">
          <w:rPr>
            <w:rFonts w:cs="Segoe UI"/>
            <w:i/>
            <w:noProof/>
          </w:rPr>
          <w:t xml:space="preserve"> et al.</w:t>
        </w:r>
        <w:r w:rsidR="00305FE7" w:rsidRPr="00322AD3">
          <w:rPr>
            <w:rFonts w:cs="Segoe UI"/>
            <w:noProof/>
          </w:rPr>
          <w:t xml:space="preserve"> 2001</w:t>
        </w:r>
        <w:r w:rsidR="00305FE7" w:rsidRPr="00322AD3">
          <w:rPr>
            <w:rFonts w:cs="Segoe UI"/>
          </w:rPr>
          <w:fldChar w:fldCharType="end"/>
        </w:r>
      </w:hyperlink>
      <w:r w:rsidR="0028494D" w:rsidRPr="00322AD3">
        <w:rPr>
          <w:rFonts w:cs="Segoe UI"/>
        </w:rPr>
        <w:t xml:space="preserve">) </w:t>
      </w:r>
      <w:r w:rsidR="005E74A3" w:rsidRPr="00322AD3">
        <w:rPr>
          <w:szCs w:val="22"/>
        </w:rPr>
        <w:t xml:space="preserve">using a </w:t>
      </w:r>
      <w:r w:rsidR="0028494D" w:rsidRPr="00322AD3">
        <w:rPr>
          <w:szCs w:val="22"/>
        </w:rPr>
        <w:t xml:space="preserve">handheld </w:t>
      </w:r>
      <w:r w:rsidR="005E74A3" w:rsidRPr="00322AD3">
        <w:rPr>
          <w:szCs w:val="22"/>
        </w:rPr>
        <w:t>GPS</w:t>
      </w:r>
      <w:r w:rsidR="008300F2" w:rsidRPr="00322AD3">
        <w:rPr>
          <w:szCs w:val="22"/>
        </w:rPr>
        <w:t xml:space="preserve"> on foot. </w:t>
      </w:r>
      <w:r w:rsidR="008300F2" w:rsidRPr="00322AD3">
        <w:rPr>
          <w:rFonts w:cs="Segoe UI"/>
          <w:lang w:eastAsia="en-AU"/>
        </w:rPr>
        <w:t xml:space="preserve">Where the seagrass </w:t>
      </w:r>
      <w:r w:rsidR="008300F2" w:rsidRPr="00322AD3">
        <w:rPr>
          <w:rFonts w:cs="Arial"/>
          <w:lang w:eastAsia="en-AU"/>
        </w:rPr>
        <w:t xml:space="preserve">landscape </w:t>
      </w:r>
      <w:r w:rsidR="008300F2" w:rsidRPr="00322AD3">
        <w:rPr>
          <w:rFonts w:cs="Segoe UI"/>
          <w:lang w:eastAsia="en-AU"/>
        </w:rPr>
        <w:t xml:space="preserve">tended to grade from dense continuous cover to no cover over a continuum that included small patches and shoots of decreasing density, the </w:t>
      </w:r>
      <w:r w:rsidR="00167865" w:rsidRPr="00322AD3">
        <w:rPr>
          <w:rFonts w:cs="Segoe UI"/>
          <w:lang w:eastAsia="en-AU"/>
        </w:rPr>
        <w:t xml:space="preserve">meadow </w:t>
      </w:r>
      <w:r w:rsidR="008300F2" w:rsidRPr="00322AD3">
        <w:rPr>
          <w:rFonts w:cs="Segoe UI"/>
          <w:lang w:eastAsia="en-AU"/>
        </w:rPr>
        <w:t xml:space="preserve">edge was delineated where there was a gap with the distance of more than 3 metres </w:t>
      </w:r>
      <w:r w:rsidR="008300F2" w:rsidRPr="00322AD3">
        <w:rPr>
          <w:rFonts w:cs="Arial"/>
          <w:lang w:eastAsia="en-AU"/>
        </w:rPr>
        <w:t>(i.e. accuracy of the GPS)</w:t>
      </w:r>
      <w:r w:rsidR="008300F2" w:rsidRPr="00322AD3">
        <w:rPr>
          <w:rFonts w:cs="Segoe UI"/>
          <w:lang w:eastAsia="en-AU"/>
        </w:rPr>
        <w:t>.</w:t>
      </w:r>
      <w:r w:rsidR="00446C3C" w:rsidRPr="00322AD3">
        <w:rPr>
          <w:rFonts w:cs="Segoe UI"/>
          <w:lang w:eastAsia="en-AU"/>
        </w:rPr>
        <w:t xml:space="preserve"> Therefore the entire 5.5 hectare </w:t>
      </w:r>
      <w:r w:rsidR="00DB32BE" w:rsidRPr="00322AD3">
        <w:rPr>
          <w:rFonts w:cs="Segoe UI"/>
          <w:lang w:eastAsia="en-AU"/>
        </w:rPr>
        <w:t>site</w:t>
      </w:r>
      <w:r w:rsidR="00446C3C" w:rsidRPr="00322AD3">
        <w:rPr>
          <w:rFonts w:cs="Segoe UI"/>
          <w:lang w:eastAsia="en-AU"/>
        </w:rPr>
        <w:t xml:space="preserve"> was mapped (seagrass and no seagrass). </w:t>
      </w:r>
    </w:p>
    <w:p w14:paraId="75C36B55" w14:textId="6E5E3CF9" w:rsidR="003D1F7F" w:rsidRPr="00322AD3" w:rsidRDefault="003D1F7F" w:rsidP="00F61BF9">
      <w:pPr>
        <w:rPr>
          <w:szCs w:val="22"/>
        </w:rPr>
      </w:pPr>
      <w:r w:rsidRPr="00322AD3">
        <w:rPr>
          <w:szCs w:val="22"/>
        </w:rPr>
        <w:t xml:space="preserve">Seagrass species were identified as per Waycott </w:t>
      </w:r>
      <w:r w:rsidRPr="00322AD3">
        <w:rPr>
          <w:i/>
          <w:szCs w:val="22"/>
        </w:rPr>
        <w:t>et al.</w:t>
      </w:r>
      <w:r w:rsidRPr="00322AD3">
        <w:rPr>
          <w:szCs w:val="22"/>
        </w:rPr>
        <w:t xml:space="preserve"> (</w:t>
      </w:r>
      <w:hyperlink w:anchor="_ENREF_237" w:tooltip="Waycott, 2004 #8887" w:history="1">
        <w:r w:rsidR="00305FE7" w:rsidRPr="00322AD3">
          <w:rPr>
            <w:szCs w:val="22"/>
          </w:rPr>
          <w:fldChar w:fldCharType="begin"/>
        </w:r>
        <w:r w:rsidR="00305FE7" w:rsidRPr="00322AD3">
          <w:rPr>
            <w:szCs w:val="22"/>
          </w:rPr>
          <w:instrText xml:space="preserve"> ADDIN EN.CITE &lt;EndNote&gt;&lt;Cite ExcludeAuth="1"&gt;&lt;Year&gt;2004&lt;/Year&gt;&lt;RecNum&gt;8887&lt;/RecNum&gt;&lt;DisplayText&gt;2004&lt;/DisplayText&gt;&lt;record&gt;&lt;rec-number&gt;8887&lt;/rec-number&gt;&lt;foreign-keys&gt;&lt;key app="EN" db-id="0eve55x9y5vfd6e9dacxtew4eatve2dzds9a" timestamp="0"&gt;8887&lt;/key&gt;&lt;/foreign-keys&gt;&lt;ref-type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305FE7" w:rsidRPr="00322AD3">
          <w:rPr>
            <w:szCs w:val="22"/>
          </w:rPr>
          <w:fldChar w:fldCharType="separate"/>
        </w:r>
        <w:r w:rsidR="00305FE7" w:rsidRPr="00322AD3">
          <w:rPr>
            <w:noProof/>
            <w:szCs w:val="22"/>
          </w:rPr>
          <w:t>2004</w:t>
        </w:r>
        <w:r w:rsidR="00305FE7" w:rsidRPr="00322AD3">
          <w:rPr>
            <w:szCs w:val="22"/>
          </w:rPr>
          <w:fldChar w:fldCharType="end"/>
        </w:r>
      </w:hyperlink>
      <w:r w:rsidRPr="00322AD3">
        <w:rPr>
          <w:szCs w:val="22"/>
        </w:rPr>
        <w:t xml:space="preserve">). Species </w:t>
      </w:r>
      <w:r w:rsidR="001041C9" w:rsidRPr="00322AD3">
        <w:rPr>
          <w:szCs w:val="22"/>
        </w:rPr>
        <w:t>were</w:t>
      </w:r>
      <w:r w:rsidRPr="00322AD3">
        <w:rPr>
          <w:szCs w:val="22"/>
        </w:rPr>
        <w:t xml:space="preserve"> further categorised </w:t>
      </w:r>
      <w:r w:rsidR="001041C9" w:rsidRPr="00322AD3">
        <w:rPr>
          <w:szCs w:val="22"/>
        </w:rPr>
        <w:t>according to their</w:t>
      </w:r>
      <w:r w:rsidRPr="00322AD3">
        <w:rPr>
          <w:szCs w:val="22"/>
        </w:rPr>
        <w:t xml:space="preserve"> life history traits and strategies</w:t>
      </w:r>
      <w:r w:rsidR="001041C9" w:rsidRPr="00322AD3">
        <w:rPr>
          <w:szCs w:val="22"/>
        </w:rPr>
        <w:t xml:space="preserve"> and </w:t>
      </w:r>
      <w:r w:rsidR="00E01C76" w:rsidRPr="00322AD3">
        <w:rPr>
          <w:szCs w:val="22"/>
        </w:rPr>
        <w:t xml:space="preserve">classified into colonising, opportunistic or persistent </w:t>
      </w:r>
      <w:r w:rsidR="00E01C76" w:rsidRPr="00322AD3">
        <w:rPr>
          <w:rFonts w:asciiTheme="minorHAnsi" w:hAnsiTheme="minorHAnsi"/>
          <w:szCs w:val="22"/>
        </w:rPr>
        <w:t>as broadly defined by Kilminister</w:t>
      </w:r>
      <w:r w:rsidR="00A1555C" w:rsidRPr="00322AD3">
        <w:rPr>
          <w:rFonts w:asciiTheme="minorHAnsi" w:hAnsiTheme="minorHAnsi"/>
          <w:szCs w:val="22"/>
        </w:rPr>
        <w:t xml:space="preserve"> </w:t>
      </w:r>
      <w:r w:rsidR="00A1555C" w:rsidRPr="00322AD3">
        <w:rPr>
          <w:rFonts w:asciiTheme="minorHAnsi" w:hAnsiTheme="minorHAnsi"/>
          <w:i/>
          <w:szCs w:val="22"/>
        </w:rPr>
        <w:t>et al.</w:t>
      </w:r>
      <w:r w:rsidR="00E01C76" w:rsidRPr="00322AD3">
        <w:rPr>
          <w:rFonts w:asciiTheme="minorHAnsi" w:hAnsiTheme="minorHAnsi"/>
          <w:szCs w:val="22"/>
        </w:rPr>
        <w:t xml:space="preserve"> (</w:t>
      </w:r>
      <w:hyperlink w:anchor="_ENREF_122" w:tooltip="Kilminster, 2015 #10294" w:history="1">
        <w:r w:rsidR="00305FE7" w:rsidRPr="00322AD3">
          <w:rPr>
            <w:rFonts w:asciiTheme="minorHAnsi" w:hAnsiTheme="minorHAnsi"/>
            <w:szCs w:val="22"/>
          </w:rPr>
          <w:fldChar w:fldCharType="begin"/>
        </w:r>
        <w:r w:rsidR="00305FE7" w:rsidRPr="00322AD3">
          <w:rPr>
            <w:rFonts w:asciiTheme="minorHAnsi" w:hAnsiTheme="minorHAnsi"/>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305FE7" w:rsidRPr="00322AD3">
          <w:rPr>
            <w:rFonts w:asciiTheme="minorHAnsi" w:hAnsiTheme="minorHAnsi"/>
            <w:szCs w:val="22"/>
          </w:rPr>
          <w:fldChar w:fldCharType="separate"/>
        </w:r>
        <w:r w:rsidR="00305FE7" w:rsidRPr="00322AD3">
          <w:rPr>
            <w:rFonts w:asciiTheme="minorHAnsi" w:hAnsiTheme="minorHAnsi"/>
            <w:noProof/>
            <w:szCs w:val="22"/>
          </w:rPr>
          <w:t>2015</w:t>
        </w:r>
        <w:r w:rsidR="00305FE7" w:rsidRPr="00322AD3">
          <w:rPr>
            <w:rFonts w:asciiTheme="minorHAnsi" w:hAnsiTheme="minorHAnsi"/>
            <w:szCs w:val="22"/>
          </w:rPr>
          <w:fldChar w:fldCharType="end"/>
        </w:r>
      </w:hyperlink>
      <w:r w:rsidR="00E01C76" w:rsidRPr="00322AD3">
        <w:rPr>
          <w:rFonts w:asciiTheme="minorHAnsi" w:hAnsiTheme="minorHAnsi"/>
          <w:szCs w:val="22"/>
        </w:rPr>
        <w:t>)</w:t>
      </w:r>
      <w:r w:rsidR="001041C9" w:rsidRPr="00322AD3">
        <w:rPr>
          <w:rFonts w:asciiTheme="minorHAnsi" w:hAnsiTheme="minorHAnsi"/>
          <w:szCs w:val="22"/>
        </w:rPr>
        <w:t xml:space="preserve"> (for d</w:t>
      </w:r>
      <w:r w:rsidR="00F61BF9" w:rsidRPr="00322AD3">
        <w:rPr>
          <w:rFonts w:asciiTheme="minorHAnsi" w:hAnsiTheme="minorHAnsi"/>
          <w:szCs w:val="22"/>
        </w:rPr>
        <w:t>etailed methods, see Appendix 2</w:t>
      </w:r>
      <w:r w:rsidR="001041C9" w:rsidRPr="00322AD3">
        <w:rPr>
          <w:rFonts w:asciiTheme="minorHAnsi" w:hAnsiTheme="minorHAnsi"/>
          <w:szCs w:val="22"/>
        </w:rPr>
        <w:t>)</w:t>
      </w:r>
      <w:r w:rsidR="00E01C76" w:rsidRPr="00322AD3">
        <w:rPr>
          <w:rFonts w:asciiTheme="minorHAnsi" w:hAnsiTheme="minorHAnsi"/>
          <w:szCs w:val="22"/>
        </w:rPr>
        <w:t>.</w:t>
      </w:r>
    </w:p>
    <w:p w14:paraId="64F97FC2" w14:textId="77777777" w:rsidR="000168DB" w:rsidRPr="00BA12BB" w:rsidRDefault="000168DB" w:rsidP="00926892">
      <w:pPr>
        <w:pStyle w:val="Heading3"/>
        <w:numPr>
          <w:ilvl w:val="2"/>
          <w:numId w:val="9"/>
        </w:numPr>
        <w:rPr>
          <w:rFonts w:ascii="Arial" w:hAnsi="Arial" w:cs="Arial"/>
        </w:rPr>
      </w:pPr>
      <w:bookmarkStart w:id="83" w:name="_Toc184101946"/>
      <w:bookmarkStart w:id="84" w:name="_Toc516053123"/>
      <w:bookmarkStart w:id="85" w:name="_Toc232845894"/>
      <w:r w:rsidRPr="00BA12BB">
        <w:rPr>
          <w:rFonts w:ascii="Arial" w:hAnsi="Arial" w:cs="Arial"/>
        </w:rPr>
        <w:t>Seagrass reproductive health</w:t>
      </w:r>
      <w:bookmarkEnd w:id="83"/>
      <w:bookmarkEnd w:id="84"/>
      <w:r w:rsidRPr="00BA12BB">
        <w:rPr>
          <w:rFonts w:ascii="Arial" w:hAnsi="Arial" w:cs="Arial"/>
        </w:rPr>
        <w:t xml:space="preserve"> </w:t>
      </w:r>
      <w:bookmarkEnd w:id="85"/>
    </w:p>
    <w:p w14:paraId="52A71443" w14:textId="2C2BA65F" w:rsidR="000168DB" w:rsidRPr="00AF378C" w:rsidRDefault="000168DB" w:rsidP="000168DB">
      <w:pPr>
        <w:spacing w:before="0" w:after="0"/>
        <w:rPr>
          <w:szCs w:val="22"/>
        </w:rPr>
      </w:pPr>
      <w:bookmarkStart w:id="86" w:name="_Toc175991047"/>
      <w:bookmarkStart w:id="87" w:name="_Toc232845895"/>
      <w:bookmarkStart w:id="88" w:name="_Toc184101947"/>
      <w:r w:rsidRPr="00AF378C">
        <w:t>Seagrass reproductive health was assessed from samples collected in the late dry 201</w:t>
      </w:r>
      <w:r w:rsidR="00AF378C" w:rsidRPr="00AF378C">
        <w:t>6</w:t>
      </w:r>
      <w:r w:rsidRPr="00AF378C">
        <w:t xml:space="preserve"> and late </w:t>
      </w:r>
      <w:r w:rsidR="000945E8" w:rsidRPr="00AF378C">
        <w:t>wet</w:t>
      </w:r>
      <w:r w:rsidRPr="00AF378C">
        <w:t xml:space="preserve"> 201</w:t>
      </w:r>
      <w:r w:rsidR="00AF378C" w:rsidRPr="00AF378C">
        <w:t>7</w:t>
      </w:r>
      <w:r w:rsidRPr="00AF378C">
        <w:t xml:space="preserve"> at locations identified in </w:t>
      </w:r>
      <w:r w:rsidR="00EB19B4" w:rsidRPr="00AF378C">
        <w:rPr>
          <w:highlight w:val="yellow"/>
        </w:rPr>
        <w:fldChar w:fldCharType="begin"/>
      </w:r>
      <w:r w:rsidR="00EB19B4" w:rsidRPr="00AF378C">
        <w:instrText xml:space="preserve"> REF _Ref236539751 \h </w:instrText>
      </w:r>
      <w:r w:rsidR="00EB19B4" w:rsidRPr="00AF378C">
        <w:rPr>
          <w:highlight w:val="yellow"/>
        </w:rPr>
      </w:r>
      <w:r w:rsidR="00EB19B4" w:rsidRPr="00AF378C">
        <w:rPr>
          <w:highlight w:val="yellow"/>
        </w:rPr>
        <w:fldChar w:fldCharType="separate"/>
      </w:r>
      <w:r w:rsidR="00F87DF9" w:rsidRPr="00015190">
        <w:rPr>
          <w:color w:val="000000"/>
          <w:szCs w:val="22"/>
        </w:rPr>
        <w:t xml:space="preserve">Table </w:t>
      </w:r>
      <w:r w:rsidR="00F87DF9">
        <w:rPr>
          <w:noProof/>
          <w:color w:val="000000"/>
          <w:szCs w:val="22"/>
        </w:rPr>
        <w:t>3</w:t>
      </w:r>
      <w:r w:rsidR="00EB19B4" w:rsidRPr="00AF378C">
        <w:rPr>
          <w:highlight w:val="yellow"/>
        </w:rPr>
        <w:fldChar w:fldCharType="end"/>
      </w:r>
      <w:r w:rsidRPr="00AF378C">
        <w:t xml:space="preserve">. Samples were processed according to standard methodologies (see Appendix </w:t>
      </w:r>
      <w:r w:rsidR="00640BF3">
        <w:fldChar w:fldCharType="begin"/>
      </w:r>
      <w:r w:rsidR="00640BF3">
        <w:instrText xml:space="preserve"> REF _Ref511374663 \r \h </w:instrText>
      </w:r>
      <w:r w:rsidR="00640BF3">
        <w:fldChar w:fldCharType="separate"/>
      </w:r>
      <w:r w:rsidR="00F87DF9">
        <w:t>A2.3.1</w:t>
      </w:r>
      <w:r w:rsidR="00640BF3">
        <w:fldChar w:fldCharType="end"/>
      </w:r>
      <w:r w:rsidRPr="00AF378C">
        <w:t>).</w:t>
      </w:r>
    </w:p>
    <w:p w14:paraId="6EC11F8F" w14:textId="01157127" w:rsidR="000168DB" w:rsidRPr="00AF378C" w:rsidRDefault="000168DB" w:rsidP="000168DB">
      <w:pPr>
        <w:rPr>
          <w:szCs w:val="22"/>
        </w:rPr>
      </w:pPr>
      <w:r w:rsidRPr="00AF378C">
        <w:rPr>
          <w:szCs w:val="22"/>
        </w:rPr>
        <w:t xml:space="preserve">In the field, 15 haphazardly placed cores (100mm diameter x 100mm depth) of seagrass were collected </w:t>
      </w:r>
      <w:r w:rsidR="00AF378C" w:rsidRPr="00AF378C">
        <w:rPr>
          <w:szCs w:val="22"/>
        </w:rPr>
        <w:t xml:space="preserve">within each site </w:t>
      </w:r>
      <w:r w:rsidRPr="00AF378C">
        <w:rPr>
          <w:szCs w:val="22"/>
        </w:rPr>
        <w:t xml:space="preserve">from an area adjacent (of similar cover and species composition) to </w:t>
      </w:r>
      <w:r w:rsidR="00AF378C" w:rsidRPr="00AF378C">
        <w:rPr>
          <w:szCs w:val="22"/>
        </w:rPr>
        <w:t>the</w:t>
      </w:r>
      <w:r w:rsidRPr="00AF378C">
        <w:rPr>
          <w:szCs w:val="22"/>
        </w:rPr>
        <w:t xml:space="preserve"> monitoring </w:t>
      </w:r>
      <w:r w:rsidR="00AF378C" w:rsidRPr="00AF378C">
        <w:rPr>
          <w:szCs w:val="22"/>
        </w:rPr>
        <w:t>transects</w:t>
      </w:r>
      <w:r w:rsidRPr="00AF378C">
        <w:rPr>
          <w:szCs w:val="22"/>
        </w:rPr>
        <w:t xml:space="preserve">. </w:t>
      </w:r>
      <w:bookmarkStart w:id="89" w:name="_Toc175991046"/>
      <w:r w:rsidRPr="00AF378C">
        <w:rPr>
          <w:szCs w:val="22"/>
        </w:rPr>
        <w:t xml:space="preserve">In the laboratory, reproductive structures (spathes, fruits, female and male flowers) of plants from each core were </w:t>
      </w:r>
      <w:bookmarkEnd w:id="89"/>
      <w:r w:rsidRPr="00AF378C">
        <w:rPr>
          <w:szCs w:val="22"/>
        </w:rPr>
        <w:t>identified and counted for each samples and species. Reproductive effort was calculated as number of reproductive structures (fruits, flowers, spathes; species pooled) per core for analysis.</w:t>
      </w:r>
    </w:p>
    <w:p w14:paraId="3CD77DA4" w14:textId="378AB2E9" w:rsidR="003D1F7F" w:rsidRPr="00A22E5C" w:rsidRDefault="000168DB" w:rsidP="00E742E9">
      <w:pPr>
        <w:rPr>
          <w:szCs w:val="22"/>
        </w:rPr>
      </w:pPr>
      <w:r w:rsidRPr="00A22E5C">
        <w:rPr>
          <w:szCs w:val="22"/>
        </w:rPr>
        <w:t>Seeds banks and abundance of germinated seeds were sampled according to standard methods (</w:t>
      </w:r>
      <w:hyperlink w:anchor="_ENREF_160" w:tooltip="McKenzie, 2010 #9606" w:history="1">
        <w:r w:rsidR="00305FE7" w:rsidRPr="00A22E5C">
          <w:rPr>
            <w:szCs w:val="22"/>
          </w:rPr>
          <w:fldChar w:fldCharType="begin"/>
        </w:r>
        <w:r w:rsidR="00305FE7" w:rsidRPr="00A22E5C">
          <w:rPr>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 timestamp="1388454968"&gt;9606&lt;/key&gt;&lt;/foreign-keys&gt;&lt;ref-type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305FE7" w:rsidRPr="00A22E5C">
          <w:rPr>
            <w:szCs w:val="22"/>
          </w:rPr>
          <w:fldChar w:fldCharType="separate"/>
        </w:r>
        <w:r w:rsidR="00305FE7" w:rsidRPr="00A22E5C">
          <w:rPr>
            <w:noProof/>
            <w:szCs w:val="22"/>
          </w:rPr>
          <w:t>McKenzie</w:t>
        </w:r>
        <w:r w:rsidR="00305FE7" w:rsidRPr="00A22E5C">
          <w:rPr>
            <w:i/>
            <w:noProof/>
            <w:szCs w:val="22"/>
          </w:rPr>
          <w:t xml:space="preserve"> et al.</w:t>
        </w:r>
        <w:r w:rsidR="00305FE7" w:rsidRPr="00A22E5C">
          <w:rPr>
            <w:noProof/>
            <w:szCs w:val="22"/>
          </w:rPr>
          <w:t xml:space="preserve"> 2010a</w:t>
        </w:r>
        <w:r w:rsidR="00305FE7" w:rsidRPr="00A22E5C">
          <w:rPr>
            <w:szCs w:val="22"/>
          </w:rPr>
          <w:fldChar w:fldCharType="end"/>
        </w:r>
      </w:hyperlink>
      <w:r w:rsidRPr="00A22E5C">
        <w:rPr>
          <w:szCs w:val="22"/>
        </w:rPr>
        <w:t xml:space="preserve">) by sieving (2mm mesh) 30 cores (50mm diameter, 100mm depth) of sediment collected across each site and counting the seeds retained in each. For </w:t>
      </w:r>
      <w:r w:rsidRPr="00A22E5C">
        <w:rPr>
          <w:i/>
          <w:szCs w:val="22"/>
        </w:rPr>
        <w:t>Zostera muelleri</w:t>
      </w:r>
      <w:r w:rsidRPr="00A22E5C">
        <w:rPr>
          <w:szCs w:val="22"/>
        </w:rPr>
        <w:t>, where the seed are &lt;1mm diameter, intact cores (18) were collected and returned to the laboratory where they were washed through a 710µm sieve and seeds identified using a hand lens/microscope.</w:t>
      </w:r>
      <w:bookmarkEnd w:id="86"/>
      <w:bookmarkEnd w:id="87"/>
      <w:bookmarkEnd w:id="88"/>
    </w:p>
    <w:p w14:paraId="31FBCD0E" w14:textId="77777777" w:rsidR="004902B0" w:rsidRDefault="004902B0" w:rsidP="004902B0">
      <w:pPr>
        <w:pStyle w:val="Heading3"/>
        <w:numPr>
          <w:ilvl w:val="2"/>
          <w:numId w:val="9"/>
        </w:numPr>
        <w:rPr>
          <w:rFonts w:ascii="Arial" w:hAnsi="Arial" w:cs="Arial"/>
        </w:rPr>
      </w:pPr>
      <w:bookmarkStart w:id="90" w:name="_Toc516053124"/>
      <w:bookmarkStart w:id="91" w:name="_Toc184101949"/>
      <w:r w:rsidRPr="00BA12BB">
        <w:rPr>
          <w:rFonts w:ascii="Arial" w:hAnsi="Arial" w:cs="Arial"/>
        </w:rPr>
        <w:t>Seagrass tissue nutrients</w:t>
      </w:r>
      <w:bookmarkEnd w:id="90"/>
    </w:p>
    <w:p w14:paraId="23F65FB7" w14:textId="7986C5BF" w:rsidR="003D1F7F" w:rsidRPr="0050419F" w:rsidRDefault="003D1F7F" w:rsidP="003D1F7F">
      <w:pPr>
        <w:rPr>
          <w:color w:val="000000" w:themeColor="text1"/>
          <w:szCs w:val="22"/>
        </w:rPr>
      </w:pPr>
      <w:r w:rsidRPr="00A22E5C">
        <w:rPr>
          <w:szCs w:val="22"/>
        </w:rPr>
        <w:t>In the late dry season (October) 201</w:t>
      </w:r>
      <w:r w:rsidR="00A22E5C" w:rsidRPr="00A22E5C">
        <w:rPr>
          <w:szCs w:val="22"/>
        </w:rPr>
        <w:t>6</w:t>
      </w:r>
      <w:r w:rsidRPr="00A22E5C">
        <w:rPr>
          <w:szCs w:val="22"/>
        </w:rPr>
        <w:t xml:space="preserve">, </w:t>
      </w:r>
      <w:r w:rsidR="0042061B" w:rsidRPr="00A22E5C">
        <w:rPr>
          <w:szCs w:val="22"/>
        </w:rPr>
        <w:t xml:space="preserve">leaf tissue samples from the </w:t>
      </w:r>
      <w:r w:rsidRPr="00A22E5C">
        <w:rPr>
          <w:szCs w:val="22"/>
        </w:rPr>
        <w:t xml:space="preserve">foundational seagrass species </w:t>
      </w:r>
      <w:r w:rsidR="0042061B" w:rsidRPr="00A22E5C">
        <w:rPr>
          <w:szCs w:val="22"/>
        </w:rPr>
        <w:t xml:space="preserve">were collected from each monitoring site for </w:t>
      </w:r>
      <w:r w:rsidRPr="00A22E5C">
        <w:rPr>
          <w:szCs w:val="22"/>
        </w:rPr>
        <w:t>nutrient</w:t>
      </w:r>
      <w:r w:rsidR="0042061B" w:rsidRPr="00A22E5C">
        <w:rPr>
          <w:szCs w:val="22"/>
        </w:rPr>
        <w:t xml:space="preserve"> content analysis</w:t>
      </w:r>
      <w:r w:rsidRPr="00A22E5C">
        <w:rPr>
          <w:szCs w:val="22"/>
        </w:rPr>
        <w:t xml:space="preserve"> (</w:t>
      </w:r>
      <w:r w:rsidR="00EB19B4" w:rsidRPr="00A22E5C">
        <w:rPr>
          <w:szCs w:val="22"/>
        </w:rPr>
        <w:fldChar w:fldCharType="begin"/>
      </w:r>
      <w:r w:rsidR="00EB19B4" w:rsidRPr="00A22E5C">
        <w:rPr>
          <w:szCs w:val="22"/>
        </w:rPr>
        <w:instrText xml:space="preserve"> REF _Ref236539751 \h </w:instrText>
      </w:r>
      <w:r w:rsidR="00EB19B4" w:rsidRPr="00A22E5C">
        <w:rPr>
          <w:szCs w:val="22"/>
        </w:rPr>
      </w:r>
      <w:r w:rsidR="00EB19B4" w:rsidRPr="00A22E5C">
        <w:rPr>
          <w:szCs w:val="22"/>
        </w:rPr>
        <w:fldChar w:fldCharType="separate"/>
      </w:r>
      <w:r w:rsidR="00F87DF9" w:rsidRPr="00015190">
        <w:rPr>
          <w:color w:val="000000"/>
          <w:szCs w:val="22"/>
        </w:rPr>
        <w:t xml:space="preserve">Table </w:t>
      </w:r>
      <w:r w:rsidR="00F87DF9">
        <w:rPr>
          <w:noProof/>
          <w:color w:val="000000"/>
          <w:szCs w:val="22"/>
        </w:rPr>
        <w:t>3</w:t>
      </w:r>
      <w:r w:rsidR="00EB19B4" w:rsidRPr="00A22E5C">
        <w:rPr>
          <w:szCs w:val="22"/>
        </w:rPr>
        <w:fldChar w:fldCharType="end"/>
      </w:r>
      <w:r w:rsidRPr="00A22E5C">
        <w:rPr>
          <w:szCs w:val="22"/>
        </w:rPr>
        <w:t>).</w:t>
      </w:r>
      <w:r w:rsidR="00EB19B4" w:rsidRPr="00A22E5C">
        <w:rPr>
          <w:szCs w:val="22"/>
        </w:rPr>
        <w:t xml:space="preserve"> </w:t>
      </w:r>
      <w:r w:rsidRPr="00A22E5C">
        <w:rPr>
          <w:szCs w:val="22"/>
        </w:rPr>
        <w:t>For nutrient status comparisons, collections were recommended during the growth season (e.g. late dry when nutrient contents are at a minimum) (</w:t>
      </w:r>
      <w:hyperlink w:anchor="_ENREF_175" w:tooltip="Mellors, 2005 #3739" w:history="1">
        <w:r w:rsidR="00305FE7" w:rsidRPr="00A22E5C">
          <w:rPr>
            <w:szCs w:val="22"/>
          </w:rPr>
          <w:fldChar w:fldCharType="begin"/>
        </w:r>
        <w:r w:rsidR="00305FE7">
          <w:rPr>
            <w:szCs w:val="22"/>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 timestamp="0"&gt;3739&lt;/key&gt;&lt;/foreign-keys&gt;&lt;ref-type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305FE7" w:rsidRPr="00A22E5C">
          <w:rPr>
            <w:szCs w:val="22"/>
          </w:rPr>
          <w:fldChar w:fldCharType="separate"/>
        </w:r>
        <w:r w:rsidR="00305FE7">
          <w:rPr>
            <w:noProof/>
            <w:szCs w:val="22"/>
          </w:rPr>
          <w:t>Mellors</w:t>
        </w:r>
        <w:r w:rsidR="00305FE7" w:rsidRPr="00521D93">
          <w:rPr>
            <w:i/>
            <w:noProof/>
            <w:szCs w:val="22"/>
          </w:rPr>
          <w:t xml:space="preserve"> et al.</w:t>
        </w:r>
        <w:r w:rsidR="00305FE7">
          <w:rPr>
            <w:noProof/>
            <w:szCs w:val="22"/>
          </w:rPr>
          <w:t xml:space="preserve"> 2005</w:t>
        </w:r>
        <w:r w:rsidR="00305FE7" w:rsidRPr="00A22E5C">
          <w:rPr>
            <w:szCs w:val="22"/>
          </w:rPr>
          <w:fldChar w:fldCharType="end"/>
        </w:r>
      </w:hyperlink>
      <w:r w:rsidRPr="00A22E5C">
        <w:rPr>
          <w:szCs w:val="22"/>
        </w:rPr>
        <w:t>) and at the same time of the year and at the same depth at the different localities (</w:t>
      </w:r>
      <w:hyperlink w:anchor="_ENREF_17" w:tooltip="Borum, 2004 #7829" w:history="1">
        <w:r w:rsidR="00305FE7" w:rsidRPr="00A22E5C">
          <w:rPr>
            <w:szCs w:val="22"/>
          </w:rPr>
          <w:fldChar w:fldCharType="begin"/>
        </w:r>
        <w:r w:rsidR="00305FE7" w:rsidRPr="00A22E5C">
          <w:rPr>
            <w:szCs w:val="22"/>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 timestamp="0"&gt;7829&lt;/key&gt;&lt;/foreign-keys&gt;&lt;ref-type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305FE7" w:rsidRPr="00A22E5C">
          <w:rPr>
            <w:szCs w:val="22"/>
          </w:rPr>
          <w:fldChar w:fldCharType="separate"/>
        </w:r>
        <w:r w:rsidR="00305FE7" w:rsidRPr="00A22E5C">
          <w:rPr>
            <w:noProof/>
            <w:szCs w:val="22"/>
          </w:rPr>
          <w:t>Borum</w:t>
        </w:r>
        <w:r w:rsidR="00305FE7" w:rsidRPr="00A22E5C">
          <w:rPr>
            <w:i/>
            <w:noProof/>
            <w:szCs w:val="22"/>
          </w:rPr>
          <w:t xml:space="preserve"> et al.</w:t>
        </w:r>
        <w:r w:rsidR="00305FE7" w:rsidRPr="00A22E5C">
          <w:rPr>
            <w:noProof/>
            <w:szCs w:val="22"/>
          </w:rPr>
          <w:t xml:space="preserve"> 2004</w:t>
        </w:r>
        <w:r w:rsidR="00305FE7" w:rsidRPr="00A22E5C">
          <w:rPr>
            <w:szCs w:val="22"/>
          </w:rPr>
          <w:fldChar w:fldCharType="end"/>
        </w:r>
      </w:hyperlink>
      <w:r w:rsidRPr="00A22E5C">
        <w:rPr>
          <w:szCs w:val="22"/>
        </w:rPr>
        <w:t>). Shoots from three haphazardly placed 0.25m</w:t>
      </w:r>
      <w:r w:rsidRPr="00A22E5C">
        <w:rPr>
          <w:szCs w:val="22"/>
          <w:vertAlign w:val="superscript"/>
        </w:rPr>
        <w:t>2</w:t>
      </w:r>
      <w:r w:rsidRPr="00A22E5C">
        <w:rPr>
          <w:szCs w:val="22"/>
        </w:rPr>
        <w:t xml:space="preserve"> quadrats were collected from an area adjacent (of similar cover and species composition) to </w:t>
      </w:r>
      <w:r w:rsidR="00A22E5C" w:rsidRPr="00A22E5C">
        <w:rPr>
          <w:szCs w:val="22"/>
        </w:rPr>
        <w:t xml:space="preserve">the </w:t>
      </w:r>
      <w:r w:rsidRPr="00A22E5C">
        <w:rPr>
          <w:szCs w:val="22"/>
        </w:rPr>
        <w:t xml:space="preserve">monitoring </w:t>
      </w:r>
      <w:r w:rsidR="00A22E5C" w:rsidRPr="00A22E5C">
        <w:rPr>
          <w:szCs w:val="22"/>
        </w:rPr>
        <w:t>transects</w:t>
      </w:r>
      <w:r w:rsidRPr="00A22E5C">
        <w:rPr>
          <w:szCs w:val="22"/>
        </w:rPr>
        <w:t xml:space="preserve">. </w:t>
      </w:r>
      <w:r w:rsidR="00F42C54" w:rsidRPr="00A22E5C">
        <w:rPr>
          <w:szCs w:val="22"/>
        </w:rPr>
        <w:t xml:space="preserve">Species within the sample are separated, and all species (except </w:t>
      </w:r>
      <w:r w:rsidR="00F42C54" w:rsidRPr="00A22E5C">
        <w:rPr>
          <w:i/>
          <w:szCs w:val="22"/>
        </w:rPr>
        <w:t>Halophila</w:t>
      </w:r>
      <w:r w:rsidR="00F42C54" w:rsidRPr="00A22E5C">
        <w:rPr>
          <w:szCs w:val="22"/>
        </w:rPr>
        <w:t xml:space="preserve"> spp.) were analysed for tissue nutrient content. </w:t>
      </w:r>
      <w:r w:rsidR="00BB454E" w:rsidRPr="00A22E5C">
        <w:rPr>
          <w:szCs w:val="22"/>
        </w:rPr>
        <w:t>All l</w:t>
      </w:r>
      <w:r w:rsidRPr="00A22E5C">
        <w:rPr>
          <w:szCs w:val="22"/>
        </w:rPr>
        <w:t xml:space="preserve">eaves </w:t>
      </w:r>
      <w:r w:rsidR="00BB454E" w:rsidRPr="00A22E5C">
        <w:rPr>
          <w:szCs w:val="22"/>
        </w:rPr>
        <w:t xml:space="preserve">within the sample </w:t>
      </w:r>
      <w:r w:rsidRPr="00A22E5C">
        <w:rPr>
          <w:szCs w:val="22"/>
        </w:rPr>
        <w:t>were separated from the below ground material in the laboratory and epiphytic algae removed by gently scraping</w:t>
      </w:r>
      <w:r w:rsidRPr="00B07352">
        <w:rPr>
          <w:color w:val="000000" w:themeColor="text1"/>
          <w:szCs w:val="22"/>
        </w:rPr>
        <w:t xml:space="preserve">. Dried </w:t>
      </w:r>
      <w:r w:rsidRPr="0050419F">
        <w:rPr>
          <w:color w:val="000000" w:themeColor="text1"/>
          <w:szCs w:val="22"/>
        </w:rPr>
        <w:t xml:space="preserve">and milled </w:t>
      </w:r>
      <w:r w:rsidR="00F42C54" w:rsidRPr="0050419F">
        <w:rPr>
          <w:color w:val="000000" w:themeColor="text1"/>
          <w:szCs w:val="22"/>
        </w:rPr>
        <w:t xml:space="preserve">leaf </w:t>
      </w:r>
      <w:r w:rsidRPr="0050419F">
        <w:rPr>
          <w:color w:val="000000" w:themeColor="text1"/>
          <w:szCs w:val="22"/>
        </w:rPr>
        <w:t xml:space="preserve">samples were analysed according to </w:t>
      </w:r>
      <w:hyperlink w:anchor="_ENREF_160" w:tooltip="McKenzie, 2010 #9606" w:history="1">
        <w:r w:rsidR="00305FE7" w:rsidRPr="0050419F">
          <w:rPr>
            <w:color w:val="000000" w:themeColor="text1"/>
            <w:szCs w:val="22"/>
          </w:rPr>
          <w:fldChar w:fldCharType="begin"/>
        </w:r>
        <w:r w:rsidR="00305FE7">
          <w:rPr>
            <w:color w:val="000000" w:themeColor="text1"/>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 timestamp="1388454968"&gt;9606&lt;/key&gt;&lt;/foreign-keys&gt;&lt;ref-type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305FE7" w:rsidRPr="0050419F">
          <w:rPr>
            <w:color w:val="000000" w:themeColor="text1"/>
            <w:szCs w:val="22"/>
          </w:rPr>
          <w:fldChar w:fldCharType="separate"/>
        </w:r>
        <w:r w:rsidR="00305FE7">
          <w:rPr>
            <w:noProof/>
            <w:color w:val="000000" w:themeColor="text1"/>
            <w:szCs w:val="22"/>
          </w:rPr>
          <w:t>McKenzie</w:t>
        </w:r>
        <w:r w:rsidR="00305FE7" w:rsidRPr="00521D93">
          <w:rPr>
            <w:i/>
            <w:noProof/>
            <w:color w:val="000000" w:themeColor="text1"/>
            <w:szCs w:val="22"/>
          </w:rPr>
          <w:t xml:space="preserve"> et al.</w:t>
        </w:r>
        <w:r w:rsidR="00305FE7">
          <w:rPr>
            <w:noProof/>
            <w:color w:val="000000" w:themeColor="text1"/>
            <w:szCs w:val="22"/>
          </w:rPr>
          <w:t xml:space="preserve"> 2010a</w:t>
        </w:r>
        <w:r w:rsidR="00305FE7" w:rsidRPr="0050419F">
          <w:rPr>
            <w:color w:val="000000" w:themeColor="text1"/>
            <w:szCs w:val="22"/>
          </w:rPr>
          <w:fldChar w:fldCharType="end"/>
        </w:r>
      </w:hyperlink>
      <w:r w:rsidRPr="0050419F">
        <w:rPr>
          <w:color w:val="000000" w:themeColor="text1"/>
          <w:szCs w:val="22"/>
          <w:lang w:val="en-US"/>
        </w:rPr>
        <w:t xml:space="preserve">. </w:t>
      </w:r>
      <w:r w:rsidRPr="0050419F">
        <w:rPr>
          <w:color w:val="000000" w:themeColor="text1"/>
          <w:szCs w:val="22"/>
        </w:rPr>
        <w:t>Elemental ratios (C:N:P) were calculated on a mole:mole b</w:t>
      </w:r>
      <w:r w:rsidR="008D142C">
        <w:rPr>
          <w:color w:val="000000" w:themeColor="text1"/>
          <w:szCs w:val="22"/>
        </w:rPr>
        <w:t>asis using atomic weights (i.e.</w:t>
      </w:r>
      <w:r w:rsidRPr="0050419F">
        <w:rPr>
          <w:color w:val="000000" w:themeColor="text1"/>
          <w:szCs w:val="22"/>
        </w:rPr>
        <w:t xml:space="preserve"> C=12, N=14, P=31). </w:t>
      </w:r>
    </w:p>
    <w:p w14:paraId="3DC2A9DA" w14:textId="001416CA" w:rsidR="003D1F7F" w:rsidRPr="0050419F" w:rsidRDefault="00F42C54" w:rsidP="003D1F7F">
      <w:pPr>
        <w:rPr>
          <w:color w:val="000000" w:themeColor="text1"/>
          <w:szCs w:val="22"/>
        </w:rPr>
      </w:pPr>
      <w:r w:rsidRPr="0050419F">
        <w:rPr>
          <w:color w:val="000000" w:themeColor="text1"/>
          <w:szCs w:val="22"/>
        </w:rPr>
        <w:t>T</w:t>
      </w:r>
      <w:r w:rsidR="00FA4086" w:rsidRPr="0050419F">
        <w:rPr>
          <w:color w:val="000000" w:themeColor="text1"/>
          <w:szCs w:val="22"/>
        </w:rPr>
        <w:t xml:space="preserve">he ratios </w:t>
      </w:r>
      <w:r w:rsidRPr="0050419F">
        <w:rPr>
          <w:color w:val="000000" w:themeColor="text1"/>
          <w:szCs w:val="22"/>
        </w:rPr>
        <w:t>for each species are presented in the appendix of this report (</w:t>
      </w:r>
      <w:r w:rsidR="00E966E6" w:rsidRPr="0050419F">
        <w:rPr>
          <w:color w:val="000000" w:themeColor="text1"/>
          <w:szCs w:val="22"/>
        </w:rPr>
        <w:fldChar w:fldCharType="begin"/>
      </w:r>
      <w:r w:rsidR="00E966E6" w:rsidRPr="0050419F">
        <w:rPr>
          <w:color w:val="000000" w:themeColor="text1"/>
          <w:szCs w:val="22"/>
        </w:rPr>
        <w:instrText xml:space="preserve"> REF _Ref499715093 \h </w:instrText>
      </w:r>
      <w:r w:rsidR="00E966E6" w:rsidRPr="0050419F">
        <w:rPr>
          <w:color w:val="000000" w:themeColor="text1"/>
          <w:szCs w:val="22"/>
        </w:rPr>
      </w:r>
      <w:r w:rsidR="00E966E6" w:rsidRPr="0050419F">
        <w:rPr>
          <w:color w:val="000000" w:themeColor="text1"/>
          <w:szCs w:val="22"/>
        </w:rPr>
        <w:fldChar w:fldCharType="separate"/>
      </w:r>
      <w:r w:rsidR="00F87DF9" w:rsidRPr="000F2C55">
        <w:rPr>
          <w:szCs w:val="22"/>
        </w:rPr>
        <w:t xml:space="preserve">Table </w:t>
      </w:r>
      <w:r w:rsidR="00F87DF9">
        <w:rPr>
          <w:noProof/>
          <w:szCs w:val="22"/>
        </w:rPr>
        <w:t>1</w:t>
      </w:r>
      <w:r w:rsidR="00E966E6" w:rsidRPr="0050419F">
        <w:rPr>
          <w:color w:val="000000" w:themeColor="text1"/>
          <w:szCs w:val="22"/>
        </w:rPr>
        <w:fldChar w:fldCharType="end"/>
      </w:r>
      <w:r w:rsidRPr="0050419F">
        <w:rPr>
          <w:color w:val="000000" w:themeColor="text1"/>
          <w:szCs w:val="22"/>
        </w:rPr>
        <w:t>)</w:t>
      </w:r>
      <w:r w:rsidR="00E966E6" w:rsidRPr="0050419F">
        <w:rPr>
          <w:color w:val="000000" w:themeColor="text1"/>
          <w:szCs w:val="22"/>
        </w:rPr>
        <w:t xml:space="preserve">. As an overview of results, and for the calculation of report card score, ratio values are </w:t>
      </w:r>
      <w:r w:rsidR="003D1F7F" w:rsidRPr="0050419F">
        <w:rPr>
          <w:color w:val="000000" w:themeColor="text1"/>
          <w:szCs w:val="22"/>
        </w:rPr>
        <w:t xml:space="preserve">pooled among </w:t>
      </w:r>
      <w:r w:rsidR="00E966E6" w:rsidRPr="0050419F">
        <w:rPr>
          <w:color w:val="000000" w:themeColor="text1"/>
          <w:szCs w:val="22"/>
        </w:rPr>
        <w:t xml:space="preserve">the </w:t>
      </w:r>
      <w:r w:rsidR="003D1F7F" w:rsidRPr="0050419F">
        <w:rPr>
          <w:color w:val="000000" w:themeColor="text1"/>
          <w:szCs w:val="22"/>
        </w:rPr>
        <w:t>foundational species</w:t>
      </w:r>
      <w:r w:rsidR="00FA4086" w:rsidRPr="0050419F">
        <w:rPr>
          <w:color w:val="000000" w:themeColor="text1"/>
          <w:szCs w:val="22"/>
        </w:rPr>
        <w:t xml:space="preserve"> at each site</w:t>
      </w:r>
      <w:r w:rsidR="003D1F7F" w:rsidRPr="0050419F">
        <w:rPr>
          <w:color w:val="000000" w:themeColor="text1"/>
          <w:szCs w:val="22"/>
        </w:rPr>
        <w:t xml:space="preserve">. </w:t>
      </w:r>
      <w:bookmarkStart w:id="92" w:name="_Toc184101948"/>
      <w:r w:rsidR="003D1F7F" w:rsidRPr="0050419F">
        <w:rPr>
          <w:color w:val="000000" w:themeColor="text1"/>
          <w:szCs w:val="22"/>
        </w:rPr>
        <w:t>Changing C:N ratios have been found in a number of experiments and field surveys to be related to light levels, as leaves with an atomic C:N ratio of less than 20, may suggest reduced light availability when N is not in surplus (</w:t>
      </w:r>
      <w:r w:rsidR="00644A84" w:rsidRPr="0050419F">
        <w:rPr>
          <w:color w:val="000000" w:themeColor="text1"/>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B0C7C" w:rsidRPr="0050419F">
        <w:rPr>
          <w:color w:val="000000" w:themeColor="text1"/>
          <w:szCs w:val="22"/>
        </w:rPr>
        <w:instrText xml:space="preserve"> ADDIN EN.CITE </w:instrText>
      </w:r>
      <w:r w:rsidR="005B0C7C" w:rsidRPr="0050419F">
        <w:rPr>
          <w:color w:val="000000" w:themeColor="text1"/>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B0C7C" w:rsidRPr="0050419F">
        <w:rPr>
          <w:color w:val="000000" w:themeColor="text1"/>
          <w:szCs w:val="22"/>
        </w:rPr>
        <w:instrText xml:space="preserve"> ADDIN EN.CITE.DATA </w:instrText>
      </w:r>
      <w:r w:rsidR="005B0C7C" w:rsidRPr="0050419F">
        <w:rPr>
          <w:color w:val="000000" w:themeColor="text1"/>
          <w:szCs w:val="22"/>
        </w:rPr>
      </w:r>
      <w:r w:rsidR="005B0C7C" w:rsidRPr="0050419F">
        <w:rPr>
          <w:color w:val="000000" w:themeColor="text1"/>
          <w:szCs w:val="22"/>
        </w:rPr>
        <w:fldChar w:fldCharType="end"/>
      </w:r>
      <w:r w:rsidR="00644A84" w:rsidRPr="0050419F">
        <w:rPr>
          <w:color w:val="000000" w:themeColor="text1"/>
          <w:szCs w:val="22"/>
        </w:rPr>
      </w:r>
      <w:r w:rsidR="00644A84" w:rsidRPr="0050419F">
        <w:rPr>
          <w:color w:val="000000" w:themeColor="text1"/>
          <w:szCs w:val="22"/>
        </w:rPr>
        <w:fldChar w:fldCharType="separate"/>
      </w:r>
      <w:hyperlink w:anchor="_ENREF_2" w:tooltip="Abal, 1994 #7405" w:history="1">
        <w:r w:rsidR="00305FE7" w:rsidRPr="0050419F">
          <w:rPr>
            <w:noProof/>
            <w:color w:val="000000" w:themeColor="text1"/>
            <w:szCs w:val="22"/>
          </w:rPr>
          <w:t>Abal</w:t>
        </w:r>
        <w:r w:rsidR="00305FE7" w:rsidRPr="0050419F">
          <w:rPr>
            <w:i/>
            <w:noProof/>
            <w:color w:val="000000" w:themeColor="text1"/>
            <w:szCs w:val="22"/>
          </w:rPr>
          <w:t xml:space="preserve"> et al.</w:t>
        </w:r>
        <w:r w:rsidR="00305FE7" w:rsidRPr="0050419F">
          <w:rPr>
            <w:noProof/>
            <w:color w:val="000000" w:themeColor="text1"/>
            <w:szCs w:val="22"/>
          </w:rPr>
          <w:t xml:space="preserve"> 1994</w:t>
        </w:r>
      </w:hyperlink>
      <w:r w:rsidR="00644A84" w:rsidRPr="0050419F">
        <w:rPr>
          <w:noProof/>
          <w:color w:val="000000" w:themeColor="text1"/>
          <w:szCs w:val="22"/>
        </w:rPr>
        <w:t xml:space="preserve">; </w:t>
      </w:r>
      <w:hyperlink w:anchor="_ENREF_107" w:tooltip="Grice, 1996 #1346" w:history="1">
        <w:r w:rsidR="00305FE7" w:rsidRPr="0050419F">
          <w:rPr>
            <w:noProof/>
            <w:color w:val="000000" w:themeColor="text1"/>
            <w:szCs w:val="22"/>
          </w:rPr>
          <w:t>Grice</w:t>
        </w:r>
        <w:r w:rsidR="00305FE7" w:rsidRPr="0050419F">
          <w:rPr>
            <w:i/>
            <w:noProof/>
            <w:color w:val="000000" w:themeColor="text1"/>
            <w:szCs w:val="22"/>
          </w:rPr>
          <w:t xml:space="preserve"> et al.</w:t>
        </w:r>
        <w:r w:rsidR="00305FE7" w:rsidRPr="0050419F">
          <w:rPr>
            <w:noProof/>
            <w:color w:val="000000" w:themeColor="text1"/>
            <w:szCs w:val="22"/>
          </w:rPr>
          <w:t xml:space="preserve"> 1996</w:t>
        </w:r>
      </w:hyperlink>
      <w:r w:rsidR="00644A84" w:rsidRPr="0050419F">
        <w:rPr>
          <w:color w:val="000000" w:themeColor="text1"/>
          <w:szCs w:val="22"/>
        </w:rPr>
        <w:fldChar w:fldCharType="end"/>
      </w:r>
      <w:r w:rsidR="003D1F7F" w:rsidRPr="0050419F">
        <w:rPr>
          <w:color w:val="000000" w:themeColor="text1"/>
          <w:szCs w:val="22"/>
        </w:rPr>
        <w:t xml:space="preserve">; </w:t>
      </w:r>
      <w:hyperlink w:anchor="_ENREF_26" w:tooltip="Cabaço, 2007 #9489"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&lt;EndNote&gt;&lt;Cite&gt;&lt;Author&gt;Cabaço&lt;/Author&gt;&lt;Year&gt;2007&lt;/Year&gt;&lt;RecNum&gt;9489&lt;/RecNum&gt;&lt;DisplayText&gt;Cabaço and Santos 2007&lt;/DisplayText&gt;&lt;record&gt;&lt;rec-number&gt;9489&lt;/rec-number&gt;&lt;foreign-keys&gt;&lt;key app="EN" db-id="0eve55x9y5vfd6e9dacxtew4eatve2dzds9a" timestamp="1375842305"&gt;9489&lt;/key&gt;&lt;/foreign-keys&gt;&lt;ref-type name="Journal Article"&gt;17&lt;/ref-type&gt;&lt;contributors&gt;&lt;authors&gt;&lt;author&gt;Cabaço, S&lt;/author&gt;&lt;author&gt;Santos, R&lt;/author&gt;&lt;/authors&gt;&lt;/contributors&gt;&lt;titles&gt;&lt;title&gt;Effects of burial and erosion on the seagrass Zostera noltii&lt;/title&gt;&lt;secondary-title&gt;Journal of Experimental Marine Biology and Ecology&lt;/secondary-title&gt;&lt;/titles&gt;&lt;periodical&gt;&lt;full-title&gt;Journal of Experimental Marine Biology and Ecology&lt;/full-title&gt;&lt;/periodical&gt;&lt;pages&gt;204-212&lt;/pages&gt;&lt;volume&gt;340&lt;/volume&gt;&lt;dates&gt;&lt;year&gt;2007&lt;/year&gt;&lt;/dates&gt;&lt;urls&gt;&lt;/urls&gt;&lt;/record&gt;&lt;/Cite&gt;&lt;/EndNote&gt;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Cabaço and Santos 2007</w:t>
        </w:r>
        <w:r w:rsidR="00305FE7" w:rsidRPr="0050419F">
          <w:rPr>
            <w:color w:val="000000" w:themeColor="text1"/>
            <w:szCs w:val="22"/>
          </w:rPr>
          <w:fldChar w:fldCharType="end"/>
        </w:r>
      </w:hyperlink>
      <w:r w:rsidR="003D1F7F" w:rsidRPr="0050419F">
        <w:rPr>
          <w:color w:val="000000" w:themeColor="text1"/>
          <w:szCs w:val="22"/>
        </w:rPr>
        <w:t xml:space="preserve">; </w:t>
      </w:r>
      <w:hyperlink w:anchor="_ENREF_55" w:tooltip="Collier, 2009 #9490" w:history="1">
        <w:r w:rsidR="00305FE7" w:rsidRPr="0050419F">
          <w:rPr>
            <w:color w:val="000000" w:themeColor="text1"/>
            <w:szCs w:val="22"/>
          </w:rPr>
          <w:fldChar w:fldCharType="begin"/>
        </w:r>
        <w:r w:rsidR="00305FE7">
          <w:rPr>
            <w:color w:val="000000" w:themeColor="text1"/>
            <w:szCs w:val="22"/>
          </w:rPr>
          <w:instrText xml:space="preserve"> ADDIN EN.CITE &lt;EndNote&gt;&lt;Cite&gt;&lt;Author&gt;Collier&lt;/Author&gt;&lt;Year&gt;2009&lt;/Year&gt;&lt;RecNum&gt;9490&lt;/RecNum&gt;&lt;DisplayText&gt;Collier&lt;style face="italic"&gt; et al.&lt;/style&gt; 2009&lt;/DisplayText&gt;&lt;record&gt;&lt;rec-number&gt;9490&lt;/rec-number&gt;&lt;foreign-keys&gt;&lt;key app="EN" db-id="0eve55x9y5vfd6e9dacxtew4eatve2dzds9a" timestamp="1375842594"&gt;9490&lt;/key&gt;&lt;/foreign-keys&gt;&lt;ref-type name="Journal Article"&gt;17&lt;/ref-type&gt;&lt;contributors&gt;&lt;authors&gt;&lt;author&gt;Collier, Catherine J.&lt;/author&gt;&lt;author&gt;Lavery, Paul S.&lt;/author&gt;&lt;author&gt;Ralph, Peter J.&lt;/author&gt;&lt;author&gt;Masini, Raymond J.&lt;/author&gt;&lt;/authors&gt;&lt;/contributors&gt;&lt;titles&gt;&lt;title&gt;&lt;style face="normal" font="default" size="100%"&gt;Shade-induced response and recovery of the seagrass &lt;/style&gt;&lt;style face="italic" font="default" size="100%"&gt;Posidonia sinuosa&lt;/style&gt;&lt;/title&gt;&lt;secondary-title&gt;Journal of Experimental Marine Biology and Ecology&lt;/secondary-title&gt;&lt;/titles&gt;&lt;periodical&gt;&lt;full-title&gt;Journal of Experimental Marine Biology and Ecology&lt;/full-title&gt;&lt;/periodical&gt;&lt;pages&gt;89-103&lt;/pages&gt;&lt;volume&gt;370&lt;/volume&gt;&lt;number&gt;1–2&lt;/number&gt;&lt;keywords&gt;&lt;keyword&gt;Depth&lt;/keyword&gt;&lt;keyword&gt;Monitoring&lt;/keyword&gt;&lt;keyword&gt;Recovery&lt;/keyword&gt;&lt;keyword&gt;Self-shading&lt;/keyword&gt;&lt;keyword&gt;Shading&lt;/keyword&gt;&lt;keyword&gt;Western Australia&lt;/keyword&gt;&lt;/keywords&gt;&lt;dates&gt;&lt;year&gt;2009&lt;/year&gt;&lt;/dates&gt;&lt;isbn&gt;0022-0981&lt;/isbn&gt;&lt;urls&gt;&lt;related-urls&gt;&lt;url&gt;http://www.sciencedirect.com/science/article/pii/S0022098108005935&lt;/url&gt;&lt;/related-urls&gt;&lt;/urls&gt;&lt;electronic-resource-num&gt;http://dx.doi.org/10.1016/j.jembe.2008.12.003&lt;/electronic-resource-num&gt;&lt;/record&gt;&lt;/Cite&gt;&lt;/EndNote&gt;</w:instrText>
        </w:r>
        <w:r w:rsidR="00305FE7" w:rsidRPr="0050419F">
          <w:rPr>
            <w:color w:val="000000" w:themeColor="text1"/>
            <w:szCs w:val="22"/>
          </w:rPr>
          <w:fldChar w:fldCharType="separate"/>
        </w:r>
        <w:r w:rsidR="00305FE7">
          <w:rPr>
            <w:noProof/>
            <w:color w:val="000000" w:themeColor="text1"/>
            <w:szCs w:val="22"/>
          </w:rPr>
          <w:t>Collier</w:t>
        </w:r>
        <w:r w:rsidR="00305FE7" w:rsidRPr="00610D5C">
          <w:rPr>
            <w:i/>
            <w:noProof/>
            <w:color w:val="000000" w:themeColor="text1"/>
            <w:szCs w:val="22"/>
          </w:rPr>
          <w:t xml:space="preserve"> et al.</w:t>
        </w:r>
        <w:r w:rsidR="00305FE7">
          <w:rPr>
            <w:noProof/>
            <w:color w:val="000000" w:themeColor="text1"/>
            <w:szCs w:val="22"/>
          </w:rPr>
          <w:t xml:space="preserve"> 2009</w:t>
        </w:r>
        <w:r w:rsidR="00305FE7" w:rsidRPr="0050419F">
          <w:rPr>
            <w:color w:val="000000" w:themeColor="text1"/>
            <w:szCs w:val="22"/>
          </w:rPr>
          <w:fldChar w:fldCharType="end"/>
        </w:r>
      </w:hyperlink>
      <w:r w:rsidR="003D1F7F" w:rsidRPr="0050419F">
        <w:rPr>
          <w:color w:val="000000" w:themeColor="text1"/>
          <w:szCs w:val="22"/>
        </w:rPr>
        <w:t xml:space="preserve">). The ratio of N:P is also a useful indicator as it is a reflection of the </w:t>
      </w:r>
      <w:r w:rsidR="003D1F7F" w:rsidRPr="0050419F">
        <w:rPr>
          <w:i/>
          <w:color w:val="000000" w:themeColor="text1"/>
          <w:szCs w:val="22"/>
        </w:rPr>
        <w:t xml:space="preserve">“Redfield” </w:t>
      </w:r>
      <w:r w:rsidR="003D1F7F" w:rsidRPr="0050419F">
        <w:rPr>
          <w:color w:val="000000" w:themeColor="text1"/>
          <w:szCs w:val="22"/>
        </w:rPr>
        <w:t>ratios (</w:t>
      </w:r>
      <w:hyperlink w:anchor="_ENREF_202" w:tooltip="Redfield, 1963 #9486"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 timestamp="1375841880"&gt;9486&lt;/key&gt;&lt;/foreign-keys&gt;&lt;ref-type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Redfield</w:t>
        </w:r>
        <w:r w:rsidR="00305FE7" w:rsidRPr="0050419F">
          <w:rPr>
            <w:i/>
            <w:noProof/>
            <w:color w:val="000000" w:themeColor="text1"/>
            <w:szCs w:val="22"/>
          </w:rPr>
          <w:t xml:space="preserve"> et al.</w:t>
        </w:r>
        <w:r w:rsidR="00305FE7" w:rsidRPr="0050419F">
          <w:rPr>
            <w:noProof/>
            <w:color w:val="000000" w:themeColor="text1"/>
            <w:szCs w:val="22"/>
          </w:rPr>
          <w:t xml:space="preserve"> 1963</w:t>
        </w:r>
        <w:r w:rsidR="00305FE7" w:rsidRPr="0050419F">
          <w:rPr>
            <w:color w:val="000000" w:themeColor="text1"/>
            <w:szCs w:val="22"/>
          </w:rPr>
          <w:fldChar w:fldCharType="end"/>
        </w:r>
      </w:hyperlink>
      <w:r w:rsidR="003D1F7F" w:rsidRPr="0050419F">
        <w:rPr>
          <w:color w:val="000000" w:themeColor="text1"/>
          <w:szCs w:val="22"/>
        </w:rPr>
        <w:t xml:space="preserve">), and seagrass with an atomic N:P ratio of 25 to 30 can be determined to be ‘replete’ </w:t>
      </w:r>
      <w:r w:rsidR="003D1F7F" w:rsidRPr="0050419F">
        <w:rPr>
          <w:rFonts w:cs="TimesNewRoman,Italic"/>
          <w:iCs/>
          <w:color w:val="000000" w:themeColor="text1"/>
          <w:szCs w:val="22"/>
        </w:rPr>
        <w:t>(well supplied and balanced macronutrients for growth)</w:t>
      </w:r>
      <w:r w:rsidR="003D1F7F" w:rsidRPr="0050419F">
        <w:rPr>
          <w:color w:val="000000" w:themeColor="text1"/>
          <w:szCs w:val="22"/>
        </w:rPr>
        <w:t xml:space="preserve"> (</w:t>
      </w:r>
      <w:hyperlink w:anchor="_ENREF_9" w:tooltip="Atkinson, 1983 #6292"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Atkinson and Smith 1983</w:t>
        </w:r>
        <w:r w:rsidR="00305FE7" w:rsidRPr="0050419F">
          <w:rPr>
            <w:color w:val="000000" w:themeColor="text1"/>
            <w:szCs w:val="22"/>
          </w:rPr>
          <w:fldChar w:fldCharType="end"/>
        </w:r>
      </w:hyperlink>
      <w:r w:rsidR="003D1F7F" w:rsidRPr="0050419F">
        <w:rPr>
          <w:color w:val="000000" w:themeColor="text1"/>
          <w:szCs w:val="22"/>
        </w:rPr>
        <w:t xml:space="preserve">; </w:t>
      </w:r>
      <w:hyperlink w:anchor="_ENREF_98" w:tooltip="Fourqurean, 1997 #9491"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&lt;EndNote&gt;&lt;Cite&gt;&lt;Author&gt;Fourqurean&lt;/Author&gt;&lt;Year&gt;1997&lt;/Year&gt;&lt;RecNum&gt;9491&lt;/RecNum&gt;&lt;DisplayText&gt;Fourqurean&lt;style face="italic"&gt; et al.&lt;/style&gt; 1997b&lt;/DisplayText&gt;&lt;record&gt;&lt;rec-number&gt;9491&lt;/rec-number&gt;&lt;foreign-keys&gt;&lt;key app="EN" db-id="0eve55x9y5vfd6e9dacxtew4eatve2dzds9a"&gt;9491&lt;/key&gt;&lt;/foreign-keys&gt;&lt;ref-type name="Journal Article"&gt;17&lt;/ref-type&gt;&lt;contributors&gt;&lt;authors&gt;&lt;author&gt;James W. Fourqurean&lt;/author&gt;&lt;author&gt;Thomas O. Moore&lt;/author&gt;&lt;author&gt;Brian Fry&lt;/author&gt;&lt;author&gt;James T. Hollibaugh&lt;/author&gt;&lt;/authors&gt;&lt;/contributors&gt;&lt;titles&gt;&lt;title&gt;Spatial and temporal variation in C:N:P ratios, Î´15N, and Î´13C of eelgrass Zostera marina as indicators of ecosystem processes, Tomales Bay, California, USA&lt;/title&gt;&lt;secondary-title&gt;Marine Ecology Progress Series&lt;/secondary-title&gt;&lt;/titles&gt;&lt;periodical&gt;&lt;full-title&gt;Marine Ecology Progress Series&lt;/full-title&gt;&lt;/periodical&gt;&lt;pages&gt;147-157&lt;/pages&gt;&lt;volume&gt;157&lt;/volume&gt;&lt;dates&gt;&lt;year&gt;1997&lt;/year&gt;&lt;pub-dates&gt;&lt;date&gt;October 16, 1997&lt;/date&gt;&lt;/pub-dates&gt;&lt;/dates&gt;&lt;urls&gt;&lt;related-urls&gt;&lt;url&gt;http://www.int-res.com/abstracts/meps/v157/p147-157/&lt;/url&gt;&lt;/related-urls&gt;&lt;/urls&gt;&lt;electronic-resource-num&gt;10.3354/meps157147&lt;/electronic-resource-num&gt;&lt;/record&gt;&lt;/Cite&gt;&lt;/EndNote&gt;</w:instrText>
        </w:r>
        <w:r w:rsidR="00305FE7" w:rsidRPr="0050419F">
          <w:rPr>
            <w:color w:val="000000" w:themeColor="text1"/>
            <w:szCs w:val="22"/>
          </w:rPr>
          <w:fldChar w:fldCharType="separate"/>
        </w:r>
        <w:r w:rsidR="00305FE7" w:rsidRPr="0050419F">
          <w:rPr>
            <w:noProof/>
            <w:color w:val="000000" w:themeColor="text1"/>
            <w:szCs w:val="22"/>
          </w:rPr>
          <w:t>Fourqurean</w:t>
        </w:r>
        <w:r w:rsidR="00305FE7" w:rsidRPr="0050419F">
          <w:rPr>
            <w:i/>
            <w:noProof/>
            <w:color w:val="000000" w:themeColor="text1"/>
            <w:szCs w:val="22"/>
          </w:rPr>
          <w:t xml:space="preserve"> et al.</w:t>
        </w:r>
        <w:r w:rsidR="00305FE7" w:rsidRPr="0050419F">
          <w:rPr>
            <w:noProof/>
            <w:color w:val="000000" w:themeColor="text1"/>
            <w:szCs w:val="22"/>
          </w:rPr>
          <w:t xml:space="preserve"> 1997b</w:t>
        </w:r>
        <w:r w:rsidR="00305FE7" w:rsidRPr="0050419F">
          <w:rPr>
            <w:color w:val="000000" w:themeColor="text1"/>
            <w:szCs w:val="22"/>
          </w:rPr>
          <w:fldChar w:fldCharType="end"/>
        </w:r>
      </w:hyperlink>
      <w:r w:rsidR="003D1F7F" w:rsidRPr="0050419F">
        <w:rPr>
          <w:color w:val="000000" w:themeColor="text1"/>
          <w:szCs w:val="22"/>
        </w:rPr>
        <w:t xml:space="preserve">; </w:t>
      </w:r>
      <w:hyperlink w:anchor="_ENREF_94" w:tooltip="Fourqurean, 2001 #9492"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305FE7" w:rsidRPr="0050419F">
          <w:rPr>
            <w:color w:val="000000" w:themeColor="text1"/>
            <w:szCs w:val="22"/>
          </w:rPr>
          <w:fldChar w:fldCharType="separate"/>
        </w:r>
        <w:r w:rsidR="00305FE7" w:rsidRPr="0050419F">
          <w:rPr>
            <w:noProof/>
            <w:color w:val="000000" w:themeColor="text1"/>
            <w:szCs w:val="22"/>
          </w:rPr>
          <w:t>Fourqurean and Cai 2001</w:t>
        </w:r>
        <w:r w:rsidR="00305FE7" w:rsidRPr="0050419F">
          <w:rPr>
            <w:color w:val="000000" w:themeColor="text1"/>
            <w:szCs w:val="22"/>
          </w:rPr>
          <w:fldChar w:fldCharType="end"/>
        </w:r>
      </w:hyperlink>
      <w:r w:rsidR="003D1F7F" w:rsidRPr="0050419F">
        <w:rPr>
          <w:color w:val="000000" w:themeColor="text1"/>
          <w:szCs w:val="22"/>
        </w:rPr>
        <w:t xml:space="preserve">). When N:P values are in excess of 30, this may indicate P-limitation and a ratio of less than 25 is considered to show N limitation </w:t>
      </w:r>
      <w:r w:rsidR="003D1F7F" w:rsidRPr="0050419F">
        <w:rPr>
          <w:noProof/>
          <w:color w:val="000000" w:themeColor="text1"/>
          <w:szCs w:val="22"/>
        </w:rPr>
        <w:t>(</w:t>
      </w:r>
      <w:hyperlink w:anchor="_ENREF_9" w:tooltip="Atkinson, 1983 #6292"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Atkinson and Smith 1983</w:t>
        </w:r>
        <w:r w:rsidR="00305FE7" w:rsidRPr="0050419F">
          <w:rPr>
            <w:color w:val="000000" w:themeColor="text1"/>
            <w:szCs w:val="22"/>
          </w:rPr>
          <w:fldChar w:fldCharType="end"/>
        </w:r>
      </w:hyperlink>
      <w:r w:rsidR="003D1F7F" w:rsidRPr="0050419F">
        <w:rPr>
          <w:noProof/>
          <w:color w:val="000000" w:themeColor="text1"/>
          <w:szCs w:val="22"/>
        </w:rPr>
        <w:t>;</w:t>
      </w:r>
      <w:hyperlink w:anchor="_ENREF_84" w:tooltip="Duarte, 1990 #1954" w:history="1">
        <w:r w:rsidR="00305FE7" w:rsidRPr="0050419F">
          <w:rPr>
            <w:noProof/>
            <w:color w:val="000000" w:themeColor="text1"/>
            <w:szCs w:val="22"/>
          </w:rPr>
          <w:fldChar w:fldCharType="begin"/>
        </w:r>
        <w:r w:rsidR="00305FE7" w:rsidRPr="0050419F">
          <w:rPr>
            <w:noProof/>
            <w:color w:val="000000" w:themeColor="text1"/>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sidRPr="0050419F">
          <w:rPr>
            <w:noProof/>
            <w:color w:val="000000" w:themeColor="text1"/>
            <w:szCs w:val="22"/>
          </w:rPr>
          <w:fldChar w:fldCharType="separate"/>
        </w:r>
        <w:r w:rsidR="00305FE7" w:rsidRPr="0050419F">
          <w:rPr>
            <w:noProof/>
            <w:color w:val="000000" w:themeColor="text1"/>
            <w:szCs w:val="22"/>
          </w:rPr>
          <w:t>Duarte 1990</w:t>
        </w:r>
        <w:r w:rsidR="00305FE7" w:rsidRPr="0050419F">
          <w:rPr>
            <w:noProof/>
            <w:color w:val="000000" w:themeColor="text1"/>
            <w:szCs w:val="22"/>
          </w:rPr>
          <w:fldChar w:fldCharType="end"/>
        </w:r>
      </w:hyperlink>
      <w:r w:rsidR="003D1F7F" w:rsidRPr="0050419F">
        <w:rPr>
          <w:noProof/>
          <w:color w:val="000000" w:themeColor="text1"/>
          <w:szCs w:val="22"/>
        </w:rPr>
        <w:t xml:space="preserve">; </w:t>
      </w:r>
      <w:hyperlink w:anchor="_ENREF_100" w:tooltip="Fourqurean, 1992 #9493" w:history="1">
        <w:r w:rsidR="00305FE7" w:rsidRPr="0050419F">
          <w:rPr>
            <w:noProof/>
            <w:color w:val="000000" w:themeColor="text1"/>
            <w:szCs w:val="22"/>
          </w:rPr>
          <w:fldChar w:fldCharType="begin"/>
        </w:r>
        <w:r w:rsidR="00305FE7" w:rsidRPr="0050419F">
          <w:rPr>
            <w:noProof/>
            <w:color w:val="000000" w:themeColor="text1"/>
            <w:szCs w:val="22"/>
          </w:rPr>
          <w:instrText xml:space="preserve"> ADDIN EN.CITE &lt;EndNote&gt;&lt;Cite&gt;&lt;Author&gt;Fourqurean&lt;/Author&gt;&lt;Year&gt;1992&lt;/Year&gt;&lt;RecNum&gt;9493&lt;/RecNum&gt;&lt;DisplayText&gt;Fourqurean&lt;style face="italic"&gt; et al.&lt;/style&gt; 1992b&lt;/DisplayText&gt;&lt;record&gt;&lt;rec-number&gt;9493&lt;/rec-number&gt;&lt;foreign-keys&gt;&lt;key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EndNote&gt;</w:instrText>
        </w:r>
        <w:r w:rsidR="00305FE7" w:rsidRPr="0050419F">
          <w:rPr>
            <w:noProof/>
            <w:color w:val="000000" w:themeColor="text1"/>
            <w:szCs w:val="22"/>
          </w:rPr>
          <w:fldChar w:fldCharType="separate"/>
        </w:r>
        <w:r w:rsidR="00305FE7" w:rsidRPr="0050419F">
          <w:rPr>
            <w:noProof/>
            <w:color w:val="000000" w:themeColor="text1"/>
            <w:szCs w:val="22"/>
          </w:rPr>
          <w:t>Fourqurean</w:t>
        </w:r>
        <w:r w:rsidR="00305FE7" w:rsidRPr="0050419F">
          <w:rPr>
            <w:i/>
            <w:noProof/>
            <w:color w:val="000000" w:themeColor="text1"/>
            <w:szCs w:val="22"/>
          </w:rPr>
          <w:t xml:space="preserve"> et al.</w:t>
        </w:r>
        <w:r w:rsidR="00305FE7" w:rsidRPr="0050419F">
          <w:rPr>
            <w:noProof/>
            <w:color w:val="000000" w:themeColor="text1"/>
            <w:szCs w:val="22"/>
          </w:rPr>
          <w:t xml:space="preserve"> 1992b</w:t>
        </w:r>
        <w:r w:rsidR="00305FE7" w:rsidRPr="0050419F">
          <w:rPr>
            <w:noProof/>
            <w:color w:val="000000" w:themeColor="text1"/>
            <w:szCs w:val="22"/>
          </w:rPr>
          <w:fldChar w:fldCharType="end"/>
        </w:r>
      </w:hyperlink>
      <w:r w:rsidR="003D1F7F" w:rsidRPr="0050419F">
        <w:rPr>
          <w:noProof/>
          <w:color w:val="000000" w:themeColor="text1"/>
          <w:szCs w:val="22"/>
        </w:rPr>
        <w:t xml:space="preserve">; </w:t>
      </w:r>
      <w:hyperlink w:anchor="_ENREF_94" w:tooltip="Fourqurean, 2001 #9492"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305FE7" w:rsidRPr="0050419F">
          <w:rPr>
            <w:color w:val="000000" w:themeColor="text1"/>
            <w:szCs w:val="22"/>
          </w:rPr>
          <w:fldChar w:fldCharType="separate"/>
        </w:r>
        <w:r w:rsidR="00305FE7" w:rsidRPr="0050419F">
          <w:rPr>
            <w:noProof/>
            <w:color w:val="000000" w:themeColor="text1"/>
            <w:szCs w:val="22"/>
          </w:rPr>
          <w:t>Fourqurean and Cai 2001</w:t>
        </w:r>
        <w:r w:rsidR="00305FE7" w:rsidRPr="0050419F">
          <w:rPr>
            <w:color w:val="000000" w:themeColor="text1"/>
            <w:szCs w:val="22"/>
          </w:rPr>
          <w:fldChar w:fldCharType="end"/>
        </w:r>
      </w:hyperlink>
      <w:r w:rsidR="003D1F7F" w:rsidRPr="0050419F">
        <w:rPr>
          <w:noProof/>
          <w:color w:val="000000" w:themeColor="text1"/>
          <w:szCs w:val="22"/>
        </w:rPr>
        <w:t>)</w:t>
      </w:r>
      <w:r w:rsidR="003D1F7F" w:rsidRPr="0050419F">
        <w:rPr>
          <w:color w:val="000000" w:themeColor="text1"/>
          <w:szCs w:val="22"/>
        </w:rPr>
        <w:t>. The median seagrass tissue ratios of C:P is approximately 500 (</w:t>
      </w:r>
      <w:hyperlink w:anchor="_ENREF_9" w:tooltip="Atkinson, 1983 #6292"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Atkinson and Smith 1983</w:t>
        </w:r>
        <w:r w:rsidR="00305FE7" w:rsidRPr="0050419F">
          <w:rPr>
            <w:color w:val="000000" w:themeColor="text1"/>
            <w:szCs w:val="22"/>
          </w:rPr>
          <w:fldChar w:fldCharType="end"/>
        </w:r>
      </w:hyperlink>
      <w:r w:rsidR="003D1F7F" w:rsidRPr="0050419F">
        <w:rPr>
          <w:color w:val="000000" w:themeColor="text1"/>
          <w:szCs w:val="22"/>
        </w:rPr>
        <w:t xml:space="preserve">), therefore deviation from this value is also likely to be indicative of some level of nutrient enriched or nutrient limited conditions. A combination of these ratios can indicate seagrass environments which are impacted by nutrient enrichment. Plant tissue which has </w:t>
      </w:r>
      <w:r w:rsidR="008E5C2F" w:rsidRPr="0050419F">
        <w:rPr>
          <w:color w:val="000000" w:themeColor="text1"/>
          <w:szCs w:val="22"/>
        </w:rPr>
        <w:t xml:space="preserve">both </w:t>
      </w:r>
      <w:r w:rsidR="003D1F7F" w:rsidRPr="0050419F">
        <w:rPr>
          <w:color w:val="000000" w:themeColor="text1"/>
          <w:szCs w:val="22"/>
        </w:rPr>
        <w:t>a high N:P and low C:P indicates an environment of elevated (saturated) nitrogen.</w:t>
      </w:r>
      <w:r w:rsidR="009817B8" w:rsidRPr="0050419F">
        <w:rPr>
          <w:color w:val="000000" w:themeColor="text1"/>
          <w:szCs w:val="22"/>
        </w:rPr>
        <w:t xml:space="preserve"> </w:t>
      </w:r>
    </w:p>
    <w:p w14:paraId="6FFAD6C6" w14:textId="77777777" w:rsidR="003D1F7F" w:rsidRPr="0050419F" w:rsidRDefault="003D1F7F" w:rsidP="003D1F7F">
      <w:pPr>
        <w:rPr>
          <w:color w:val="000000" w:themeColor="text1"/>
          <w:szCs w:val="22"/>
        </w:rPr>
      </w:pPr>
      <w:r w:rsidRPr="0050419F">
        <w:rPr>
          <w:color w:val="000000" w:themeColor="text1"/>
          <w:szCs w:val="22"/>
        </w:rPr>
        <w:t xml:space="preserve">Further detail on methodology for nutrient sampling can be found in appendix 2. </w:t>
      </w:r>
    </w:p>
    <w:p w14:paraId="050E6E2F" w14:textId="77777777" w:rsidR="003D1F7F" w:rsidRPr="0050419F" w:rsidRDefault="003D1F7F" w:rsidP="00926892">
      <w:pPr>
        <w:pStyle w:val="Heading2"/>
        <w:numPr>
          <w:ilvl w:val="1"/>
          <w:numId w:val="9"/>
        </w:numPr>
        <w:ind w:left="709" w:hanging="709"/>
        <w:rPr>
          <w:rFonts w:ascii="Century Gothic" w:hAnsi="Century Gothic"/>
          <w:color w:val="000000" w:themeColor="text1"/>
          <w:szCs w:val="26"/>
          <w:lang w:val="en-US"/>
        </w:rPr>
      </w:pPr>
      <w:bookmarkStart w:id="93" w:name="_Toc516053125"/>
      <w:bookmarkEnd w:id="92"/>
      <w:r w:rsidRPr="0050419F">
        <w:rPr>
          <w:rFonts w:ascii="Century Gothic" w:hAnsi="Century Gothic"/>
          <w:color w:val="000000" w:themeColor="text1"/>
          <w:szCs w:val="26"/>
          <w:lang w:val="en-US"/>
        </w:rPr>
        <w:t>Data analyses</w:t>
      </w:r>
      <w:bookmarkEnd w:id="93"/>
    </w:p>
    <w:p w14:paraId="15A5A51E" w14:textId="2F5E879C" w:rsidR="003D1F7F" w:rsidRPr="0050419F" w:rsidRDefault="003D1F7F" w:rsidP="00223B18">
      <w:pPr>
        <w:rPr>
          <w:color w:val="000000" w:themeColor="text1"/>
          <w:szCs w:val="22"/>
        </w:rPr>
      </w:pPr>
      <w:r w:rsidRPr="0050419F">
        <w:rPr>
          <w:color w:val="000000" w:themeColor="text1"/>
          <w:szCs w:val="22"/>
        </w:rPr>
        <w:t>In this report, results are presented to reveal temporal changes in seagrass community attributes and key environmental variables. Generalised additive models (GAMs) and generalised additive mixed effects models (GAMMs) were also fitted to seagrass attributes for each habitat, to identify the presence and consistency of trends, using the mgcv (</w:t>
      </w:r>
      <w:hyperlink w:anchor="_ENREF_243" w:tooltip="Wood, 2006 #10039"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305FE7" w:rsidRPr="0050419F">
          <w:rPr>
            <w:color w:val="000000" w:themeColor="text1"/>
            <w:szCs w:val="22"/>
          </w:rPr>
          <w:fldChar w:fldCharType="separate"/>
        </w:r>
        <w:r w:rsidR="00305FE7" w:rsidRPr="0050419F">
          <w:rPr>
            <w:color w:val="000000" w:themeColor="text1"/>
            <w:szCs w:val="22"/>
          </w:rPr>
          <w:t>Wood 2006</w:t>
        </w:r>
        <w:r w:rsidR="00305FE7" w:rsidRPr="0050419F">
          <w:rPr>
            <w:color w:val="000000" w:themeColor="text1"/>
            <w:szCs w:val="22"/>
          </w:rPr>
          <w:fldChar w:fldCharType="end"/>
        </w:r>
      </w:hyperlink>
      <w:r w:rsidRPr="0050419F">
        <w:rPr>
          <w:color w:val="000000" w:themeColor="text1"/>
          <w:szCs w:val="22"/>
        </w:rPr>
        <w:t>;</w:t>
      </w:r>
      <w:hyperlink w:anchor="_ENREF_242" w:tooltip="Wood, 2014 #10474"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&lt;EndNote&gt;&lt;Cite&gt;&lt;Author&gt;Wood&lt;/Author&gt;&lt;Year&gt;2014&lt;/Year&gt;&lt;RecNum&gt;10474&lt;/RecNum&gt;&lt;DisplayText&gt;Wood 2014&lt;/DisplayText&gt;&lt;record&gt;&lt;rec-number&gt;10474&lt;/rec-number&gt;&lt;foreign-keys&gt;&lt;key app="EN" db-id="0eve55x9y5vfd6e9dacxtew4eatve2dzds9a" timestamp="1453680375"&gt;10474&lt;/key&gt;&lt;/foreign-keys&gt;&lt;ref-type name="Journal Article"&gt;17&lt;/ref-type&gt;&lt;contributors&gt;&lt;authors&gt;&lt;author&gt;Wood, S&lt;/author&gt;&lt;/authors&gt;&lt;/contributors&gt;&lt;titles&gt;&lt;title&gt;Mixed GAM Computation Vehicle with GCV/AIC/REML Smoothness Estimation, version 1.8-9&lt;/title&gt;&lt;secondary-title&gt;Comprehensive R Archive Network&lt;/secondary-title&gt;&lt;/titles&gt;&lt;periodical&gt;&lt;full-title&gt;Comprehensive R Archive Network&lt;/full-title&gt;&lt;/periodical&gt;&lt;pages&gt;10&lt;/pages&gt;&lt;number&gt;cran.r-project.org&lt;/number&gt;&lt;dates&gt;&lt;year&gt;2014&lt;/year&gt;&lt;/dates&gt;&lt;urls&gt;&lt;/urls&gt;&lt;/record&gt;&lt;/Cite&gt;&lt;/EndNote&gt;</w:instrText>
        </w:r>
        <w:r w:rsidR="00305FE7" w:rsidRPr="0050419F">
          <w:rPr>
            <w:color w:val="000000" w:themeColor="text1"/>
            <w:szCs w:val="22"/>
          </w:rPr>
          <w:fldChar w:fldCharType="separate"/>
        </w:r>
        <w:r w:rsidR="00305FE7" w:rsidRPr="0050419F">
          <w:rPr>
            <w:color w:val="000000" w:themeColor="text1"/>
            <w:szCs w:val="22"/>
          </w:rPr>
          <w:t>Wood 2014</w:t>
        </w:r>
        <w:r w:rsidR="00305FE7" w:rsidRPr="0050419F">
          <w:rPr>
            <w:color w:val="000000" w:themeColor="text1"/>
            <w:szCs w:val="22"/>
          </w:rPr>
          <w:fldChar w:fldCharType="end"/>
        </w:r>
      </w:hyperlink>
      <w:r w:rsidRPr="0050419F">
        <w:rPr>
          <w:color w:val="000000" w:themeColor="text1"/>
          <w:szCs w:val="22"/>
        </w:rPr>
        <w:t>) package in R 3.2.1 (</w:t>
      </w:r>
      <w:hyperlink w:anchor="_ENREF_194" w:tooltip="R Core Team, 2014 #10041"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&lt;EndNote&gt;&lt;Cite&gt;&lt;Author&gt;R Core Team&lt;/Author&gt;&lt;Year&gt;2014&lt;/Year&gt;&lt;RecNum&gt;10041&lt;/RecNum&gt;&lt;DisplayText&gt;R Core Team 2014&lt;/DisplayText&gt;&lt;record&gt;&lt;rec-number&gt;10041&lt;/rec-number&gt;&lt;foreign-keys&gt;&lt;key app="EN" db-id="0eve55x9y5vfd6e9dacxtew4eatve2dzds9a" timestamp="1418705505"&gt;10041&lt;/key&gt;&lt;/foreign-keys&gt;&lt;ref-type name="Electronic Book"&gt;44&lt;/ref-type&gt;&lt;contributors&gt;&lt;authors&gt;&lt;author&gt;R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Computing&lt;/publisher&gt;&lt;urls&gt;&lt;related-urls&gt;&lt;url&gt;http://www.R-project.org/.&lt;/url&gt;&lt;/related-urls&gt;&lt;/urls&gt;&lt;/record&gt;&lt;/Cite&gt;&lt;/EndNote&gt;</w:instrText>
        </w:r>
        <w:r w:rsidR="00305FE7" w:rsidRPr="0050419F">
          <w:rPr>
            <w:color w:val="000000" w:themeColor="text1"/>
            <w:szCs w:val="22"/>
          </w:rPr>
          <w:fldChar w:fldCharType="separate"/>
        </w:r>
        <w:r w:rsidR="00305FE7" w:rsidRPr="0050419F">
          <w:rPr>
            <w:color w:val="000000" w:themeColor="text1"/>
            <w:szCs w:val="22"/>
          </w:rPr>
          <w:t>R Core Team 2014</w:t>
        </w:r>
        <w:r w:rsidR="00305FE7" w:rsidRPr="0050419F">
          <w:rPr>
            <w:color w:val="000000" w:themeColor="text1"/>
            <w:szCs w:val="22"/>
          </w:rPr>
          <w:fldChar w:fldCharType="end"/>
        </w:r>
      </w:hyperlink>
      <w:r w:rsidRPr="0050419F">
        <w:rPr>
          <w:color w:val="000000" w:themeColor="text1"/>
          <w:szCs w:val="22"/>
        </w:rPr>
        <w:t>). GAMs and GAMMs (</w:t>
      </w:r>
      <w:hyperlink w:anchor="_ENREF_243" w:tooltip="Wood, 2006 #10039"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305FE7" w:rsidRPr="0050419F">
          <w:rPr>
            <w:color w:val="000000" w:themeColor="text1"/>
            <w:szCs w:val="22"/>
          </w:rPr>
          <w:fldChar w:fldCharType="separate"/>
        </w:r>
        <w:r w:rsidR="00305FE7" w:rsidRPr="0050419F">
          <w:rPr>
            <w:color w:val="000000" w:themeColor="text1"/>
            <w:szCs w:val="22"/>
          </w:rPr>
          <w:t>Wood 2006</w:t>
        </w:r>
        <w:r w:rsidR="00305FE7" w:rsidRPr="0050419F">
          <w:rPr>
            <w:color w:val="000000" w:themeColor="text1"/>
            <w:szCs w:val="22"/>
          </w:rPr>
          <w:fldChar w:fldCharType="end"/>
        </w:r>
      </w:hyperlink>
      <w:r w:rsidRPr="0050419F">
        <w:rPr>
          <w:color w:val="000000" w:themeColor="text1"/>
          <w:szCs w:val="22"/>
        </w:rPr>
        <w:t xml:space="preserve">) were used to decompose the irregularly spaced time series into its trend cycles (long-term) and periodic (seasonal) components. </w:t>
      </w:r>
    </w:p>
    <w:p w14:paraId="0EBC318A" w14:textId="492BEE00" w:rsidR="003D1F7F" w:rsidRPr="0050419F" w:rsidRDefault="003D1F7F" w:rsidP="003D1F7F">
      <w:pPr>
        <w:rPr>
          <w:color w:val="000000" w:themeColor="text1"/>
          <w:szCs w:val="22"/>
        </w:rPr>
      </w:pPr>
      <w:r w:rsidRPr="0050419F">
        <w:rPr>
          <w:color w:val="000000" w:themeColor="text1"/>
          <w:szCs w:val="22"/>
        </w:rPr>
        <w:t>GAMMs are a</w:t>
      </w:r>
      <w:r w:rsidR="004C4298">
        <w:rPr>
          <w:color w:val="000000" w:themeColor="text1"/>
          <w:szCs w:val="22"/>
        </w:rPr>
        <w:t xml:space="preserve">n extension of additive models, </w:t>
      </w:r>
      <w:r w:rsidRPr="0050419F">
        <w:rPr>
          <w:color w:val="000000" w:themeColor="text1"/>
          <w:szCs w:val="22"/>
        </w:rPr>
        <w:t>which allow flexible modelling of non-linear relationships by incorporating penalized regression spline types of smoothing functi</w:t>
      </w:r>
      <w:r w:rsidR="004C4298">
        <w:rPr>
          <w:color w:val="000000" w:themeColor="text1"/>
          <w:szCs w:val="22"/>
        </w:rPr>
        <w:t>ons into the estimation process. T</w:t>
      </w:r>
      <w:r w:rsidRPr="0050419F">
        <w:rPr>
          <w:color w:val="000000" w:themeColor="text1"/>
          <w:szCs w:val="22"/>
        </w:rPr>
        <w:t>he degree of smoothing of each smooth term (and by extension, the estimated degrees of freedom of each smoother) is treated as a random effect and thus estimable via its variance as with other effects in a mixed modelling structure (</w:t>
      </w:r>
      <w:hyperlink w:anchor="_ENREF_243" w:tooltip="Wood, 2006 #10039"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305FE7" w:rsidRPr="0050419F">
          <w:rPr>
            <w:color w:val="000000" w:themeColor="text1"/>
            <w:szCs w:val="22"/>
          </w:rPr>
          <w:fldChar w:fldCharType="separate"/>
        </w:r>
        <w:r w:rsidR="00305FE7" w:rsidRPr="0050419F">
          <w:rPr>
            <w:noProof/>
            <w:color w:val="000000" w:themeColor="text1"/>
            <w:szCs w:val="22"/>
          </w:rPr>
          <w:t>Wood 2006</w:t>
        </w:r>
        <w:r w:rsidR="00305FE7" w:rsidRPr="0050419F">
          <w:rPr>
            <w:color w:val="000000" w:themeColor="text1"/>
            <w:szCs w:val="22"/>
          </w:rPr>
          <w:fldChar w:fldCharType="end"/>
        </w:r>
      </w:hyperlink>
      <w:r w:rsidRPr="0050419F">
        <w:rPr>
          <w:color w:val="000000" w:themeColor="text1"/>
          <w:szCs w:val="22"/>
        </w:rPr>
        <w:t xml:space="preserve">).The results of these analyses are graphically presented in a consistent format: </w:t>
      </w:r>
      <w:r w:rsidR="00640BF3">
        <w:rPr>
          <w:color w:val="000000" w:themeColor="text1"/>
          <w:szCs w:val="22"/>
        </w:rPr>
        <w:t>p</w:t>
      </w:r>
      <w:r w:rsidRPr="0050419F">
        <w:rPr>
          <w:color w:val="000000" w:themeColor="text1"/>
          <w:szCs w:val="22"/>
        </w:rPr>
        <w:t>redicted values from the model were plotted as bold black lines, the 95</w:t>
      </w:r>
      <w:r w:rsidR="0063478C" w:rsidRPr="0050419F">
        <w:rPr>
          <w:color w:val="000000" w:themeColor="text1"/>
          <w:szCs w:val="22"/>
        </w:rPr>
        <w:t xml:space="preserve"> per cent</w:t>
      </w:r>
      <w:r w:rsidRPr="0050419F">
        <w:rPr>
          <w:color w:val="000000" w:themeColor="text1"/>
          <w:szCs w:val="22"/>
        </w:rPr>
        <w:t xml:space="preserve"> confidence intervals of these trends delimited by grey shading.</w:t>
      </w:r>
      <w:r w:rsidR="00DA6103" w:rsidRPr="0050419F">
        <w:rPr>
          <w:color w:val="000000" w:themeColor="text1"/>
          <w:szCs w:val="22"/>
        </w:rPr>
        <w:t xml:space="preserve"> If an r</w:t>
      </w:r>
      <w:r w:rsidR="00DA6103" w:rsidRPr="0050419F">
        <w:rPr>
          <w:color w:val="000000" w:themeColor="text1"/>
          <w:szCs w:val="22"/>
          <w:vertAlign w:val="superscript"/>
        </w:rPr>
        <w:t>2</w:t>
      </w:r>
      <w:r w:rsidR="00DA6103" w:rsidRPr="0050419F">
        <w:rPr>
          <w:color w:val="000000" w:themeColor="text1"/>
          <w:szCs w:val="22"/>
        </w:rPr>
        <w:t xml:space="preserve"> for a trend line was less than 0.5 no line of best fit was shown.</w:t>
      </w:r>
    </w:p>
    <w:p w14:paraId="64C5331A" w14:textId="2BC2BAA9" w:rsidR="003D1F7F" w:rsidRPr="0050419F" w:rsidRDefault="003D1F7F" w:rsidP="003D1F7F">
      <w:pPr>
        <w:rPr>
          <w:color w:val="000000" w:themeColor="text1"/>
          <w:szCs w:val="22"/>
        </w:rPr>
      </w:pPr>
      <w:r w:rsidRPr="0050419F">
        <w:rPr>
          <w:color w:val="000000" w:themeColor="text1"/>
          <w:szCs w:val="22"/>
        </w:rPr>
        <w:t>Several GAMs and GAMMs were used on seagrass cover, light, epiphyte cover and macroalgae cover to tease out trends at the habitat, regional and location scale over time. When dealing with data where there are two replicate sites at a given location (e.g. YP1 and YP2 for Yule Point), site was incorporated as a random factor in the models to account for spatial correlation. However, as part of our regular model validation process, if the boxplot with Pearson</w:t>
      </w:r>
      <w:r w:rsidR="00E8577E" w:rsidRPr="0050419F">
        <w:rPr>
          <w:color w:val="000000" w:themeColor="text1"/>
          <w:szCs w:val="22"/>
        </w:rPr>
        <w:t>’</w:t>
      </w:r>
      <w:r w:rsidRPr="0050419F">
        <w:rPr>
          <w:color w:val="000000" w:themeColor="text1"/>
          <w:szCs w:val="22"/>
        </w:rPr>
        <w:t xml:space="preserve">s residuals plotted against Site showed very similar values for each site within each location then a GAM was used instead of a GAMM. </w:t>
      </w:r>
    </w:p>
    <w:p w14:paraId="32F422CD" w14:textId="5079A9A8" w:rsidR="003D1F7F" w:rsidRDefault="003D1F7F" w:rsidP="003D1F7F">
      <w:pPr>
        <w:rPr>
          <w:color w:val="000000" w:themeColor="text1"/>
          <w:szCs w:val="22"/>
        </w:rPr>
      </w:pPr>
      <w:r w:rsidRPr="0050419F">
        <w:rPr>
          <w:color w:val="000000" w:themeColor="text1"/>
          <w:szCs w:val="22"/>
        </w:rPr>
        <w:t>Per</w:t>
      </w:r>
      <w:r w:rsidR="00F61BF9" w:rsidRPr="0050419F">
        <w:rPr>
          <w:color w:val="000000" w:themeColor="text1"/>
          <w:szCs w:val="22"/>
        </w:rPr>
        <w:t xml:space="preserve"> </w:t>
      </w:r>
      <w:r w:rsidRPr="0050419F">
        <w:rPr>
          <w:color w:val="000000" w:themeColor="text1"/>
          <w:szCs w:val="22"/>
        </w:rPr>
        <w:t>cent cover data models were fitted using a quasi</w:t>
      </w:r>
      <w:r w:rsidR="00E8577E" w:rsidRPr="0050419F">
        <w:rPr>
          <w:color w:val="000000" w:themeColor="text1"/>
          <w:szCs w:val="22"/>
        </w:rPr>
        <w:t>-</w:t>
      </w:r>
      <w:r w:rsidRPr="0050419F">
        <w:rPr>
          <w:color w:val="000000" w:themeColor="text1"/>
          <w:szCs w:val="22"/>
        </w:rPr>
        <w:t>binomial distribution due to the proportional (bound between 0 and 1) nature of the data. Raw data at the quadrat level was used to provide the maximum resolution for modelling. However, this led to a very large proportion of 0 in some data sets causing high heterogeneity of variance for some models. For this reason, GAMMs for epiphyte and macroalgae cover are not presented and the inclusion in futu</w:t>
      </w:r>
      <w:r w:rsidR="0078520E">
        <w:rPr>
          <w:color w:val="000000" w:themeColor="text1"/>
          <w:szCs w:val="22"/>
        </w:rPr>
        <w:t>re reports of zero-</w:t>
      </w:r>
      <w:r w:rsidRPr="0050419F">
        <w:rPr>
          <w:color w:val="000000" w:themeColor="text1"/>
          <w:szCs w:val="22"/>
        </w:rPr>
        <w:t>inflated GAMMs is being investigated. Light data models were fitted using a gamma distribution due to the strictly positive continuous nature of the data. GAM were used in this instance as PAR loggers are deployed at one site per location and therefore site do not act as a random factor.</w:t>
      </w:r>
      <w:r w:rsidR="00F61BF9" w:rsidRPr="0050419F">
        <w:rPr>
          <w:color w:val="000000" w:themeColor="text1"/>
          <w:szCs w:val="22"/>
        </w:rPr>
        <w:t xml:space="preserve"> </w:t>
      </w:r>
      <w:r w:rsidRPr="0050419F">
        <w:rPr>
          <w:color w:val="000000" w:themeColor="text1"/>
          <w:szCs w:val="22"/>
        </w:rPr>
        <w:t>In addition of the GAMMs, non-linear regressions and polynomials were used (at the request of past reviewers) to show trends in seagrass abundance (</w:t>
      </w:r>
      <w:r w:rsidR="0063478C" w:rsidRPr="0050419F">
        <w:rPr>
          <w:color w:val="000000" w:themeColor="text1"/>
          <w:szCs w:val="22"/>
        </w:rPr>
        <w:t>per cent</w:t>
      </w:r>
      <w:r w:rsidRPr="0050419F">
        <w:rPr>
          <w:color w:val="000000" w:themeColor="text1"/>
          <w:szCs w:val="22"/>
        </w:rPr>
        <w:t xml:space="preserve"> cover) over time; 95</w:t>
      </w:r>
      <w:r w:rsidR="0063478C" w:rsidRPr="0050419F">
        <w:rPr>
          <w:color w:val="000000" w:themeColor="text1"/>
          <w:szCs w:val="22"/>
        </w:rPr>
        <w:t xml:space="preserve"> per cent</w:t>
      </w:r>
      <w:r w:rsidRPr="0050419F">
        <w:rPr>
          <w:color w:val="000000" w:themeColor="text1"/>
          <w:szCs w:val="22"/>
        </w:rPr>
        <w:t xml:space="preserve"> confidence intervals </w:t>
      </w:r>
      <w:r w:rsidR="005478D5" w:rsidRPr="0050419F">
        <w:rPr>
          <w:color w:val="000000" w:themeColor="text1"/>
          <w:szCs w:val="22"/>
        </w:rPr>
        <w:t>are displayed</w:t>
      </w:r>
      <w:r w:rsidRPr="0050419F">
        <w:rPr>
          <w:color w:val="000000" w:themeColor="text1"/>
          <w:szCs w:val="22"/>
        </w:rPr>
        <w:t>.</w:t>
      </w:r>
    </w:p>
    <w:p w14:paraId="40BD7464" w14:textId="2F934E87" w:rsidR="00306220" w:rsidRPr="0050419F" w:rsidRDefault="00306220" w:rsidP="003D1F7F">
      <w:pPr>
        <w:rPr>
          <w:color w:val="000000" w:themeColor="text1"/>
          <w:szCs w:val="22"/>
        </w:rPr>
      </w:pPr>
      <w:r w:rsidRPr="00306220">
        <w:rPr>
          <w:color w:val="000000" w:themeColor="text1"/>
          <w:szCs w:val="22"/>
        </w:rPr>
        <w:t xml:space="preserve">Trend analysis was conducted to determine if there was a significant trend (reduction or increase) in seagrass </w:t>
      </w:r>
      <w:r w:rsidR="00640BF3">
        <w:rPr>
          <w:color w:val="000000" w:themeColor="text1"/>
          <w:szCs w:val="22"/>
        </w:rPr>
        <w:t xml:space="preserve">abundance (per cent </w:t>
      </w:r>
      <w:r w:rsidRPr="00306220">
        <w:rPr>
          <w:color w:val="000000" w:themeColor="text1"/>
          <w:szCs w:val="22"/>
        </w:rPr>
        <w:t>cover</w:t>
      </w:r>
      <w:r w:rsidR="00640BF3">
        <w:rPr>
          <w:color w:val="000000" w:themeColor="text1"/>
          <w:szCs w:val="22"/>
        </w:rPr>
        <w:t>)</w:t>
      </w:r>
      <w:r w:rsidRPr="00306220">
        <w:rPr>
          <w:color w:val="000000" w:themeColor="text1"/>
          <w:szCs w:val="22"/>
        </w:rPr>
        <w:t xml:space="preserve"> at a particular site (averaged by sampling event) over all time periods. A Mann-Kendall test was performed using the “fume” package in R 3.2.1 (R Core Team, 2014). Mann-Kendall is a common non-parametric test used to detect overall trends over time. The measure of the ranked correlation is the Kendall’s tau coefficient (Kendall-</w:t>
      </w:r>
      <w:r w:rsidRPr="00306220">
        <w:rPr>
          <w:i/>
          <w:color w:val="000000" w:themeColor="text1"/>
          <w:szCs w:val="22"/>
        </w:rPr>
        <w:t>τ</w:t>
      </w:r>
      <w:r w:rsidRPr="00306220">
        <w:rPr>
          <w:color w:val="000000" w:themeColor="text1"/>
          <w:szCs w:val="22"/>
        </w:rPr>
        <w:t xml:space="preserve">), which is the proportion of up-movements against time vs the proportion of down-movements, looking at all possible pairwise time-differences. As the test assumes independence between observations, data was checked for autocorrelation and if present the test was repeated on the un-correlated observations only and the corrected </w:t>
      </w:r>
      <w:r w:rsidRPr="00306220">
        <w:rPr>
          <w:i/>
          <w:color w:val="000000" w:themeColor="text1"/>
          <w:szCs w:val="22"/>
        </w:rPr>
        <w:t>p</w:t>
      </w:r>
      <w:r w:rsidRPr="00306220">
        <w:rPr>
          <w:color w:val="000000" w:themeColor="text1"/>
          <w:szCs w:val="22"/>
        </w:rPr>
        <w:t>-value used.</w:t>
      </w:r>
    </w:p>
    <w:p w14:paraId="5AE7D0E3" w14:textId="55F7F949" w:rsidR="003D1F7F" w:rsidRPr="0050419F" w:rsidRDefault="003D1F7F" w:rsidP="00F16C11">
      <w:pPr>
        <w:rPr>
          <w:color w:val="000000" w:themeColor="text1"/>
          <w:szCs w:val="22"/>
        </w:rPr>
      </w:pPr>
      <w:r w:rsidRPr="0050419F">
        <w:rPr>
          <w:color w:val="000000" w:themeColor="text1"/>
          <w:szCs w:val="22"/>
        </w:rPr>
        <w:t xml:space="preserve">The majority of meadows have been in a "recovery mode" since </w:t>
      </w:r>
      <w:r w:rsidR="005478D5" w:rsidRPr="0050419F">
        <w:rPr>
          <w:color w:val="000000" w:themeColor="text1"/>
          <w:szCs w:val="22"/>
        </w:rPr>
        <w:t>l</w:t>
      </w:r>
      <w:r w:rsidRPr="0050419F">
        <w:rPr>
          <w:color w:val="000000" w:themeColor="text1"/>
          <w:szCs w:val="22"/>
        </w:rPr>
        <w:t>osses</w:t>
      </w:r>
      <w:r w:rsidR="00D63296">
        <w:rPr>
          <w:color w:val="000000" w:themeColor="text1"/>
          <w:szCs w:val="22"/>
        </w:rPr>
        <w:t xml:space="preserve"> during the periods</w:t>
      </w:r>
      <w:r w:rsidR="005478D5" w:rsidRPr="0050419F">
        <w:rPr>
          <w:color w:val="000000" w:themeColor="text1"/>
          <w:szCs w:val="22"/>
        </w:rPr>
        <w:t xml:space="preserve"> 2008</w:t>
      </w:r>
      <w:r w:rsidR="00D63296">
        <w:rPr>
          <w:color w:val="000000" w:themeColor="text1"/>
          <w:szCs w:val="22"/>
        </w:rPr>
        <w:t>-09 to 2010-</w:t>
      </w:r>
      <w:r w:rsidR="005478D5" w:rsidRPr="0050419F">
        <w:rPr>
          <w:color w:val="000000" w:themeColor="text1"/>
          <w:szCs w:val="22"/>
        </w:rPr>
        <w:t>11. As such, there have been periods of limited sample availabi</w:t>
      </w:r>
      <w:r w:rsidR="00D63296">
        <w:rPr>
          <w:color w:val="000000" w:themeColor="text1"/>
          <w:szCs w:val="22"/>
        </w:rPr>
        <w:t>lity (e.g. for tissue nutrients)</w:t>
      </w:r>
      <w:r w:rsidRPr="0050419F">
        <w:rPr>
          <w:color w:val="000000" w:themeColor="text1"/>
          <w:szCs w:val="22"/>
        </w:rPr>
        <w:t xml:space="preserve">, </w:t>
      </w:r>
      <w:r w:rsidR="005478D5" w:rsidRPr="0050419F">
        <w:rPr>
          <w:color w:val="000000" w:themeColor="text1"/>
          <w:szCs w:val="22"/>
        </w:rPr>
        <w:t xml:space="preserve">and the absence of data </w:t>
      </w:r>
      <w:r w:rsidRPr="0050419F">
        <w:rPr>
          <w:color w:val="000000" w:themeColor="text1"/>
          <w:szCs w:val="22"/>
        </w:rPr>
        <w:t xml:space="preserve">has restricted </w:t>
      </w:r>
      <w:r w:rsidR="005478D5" w:rsidRPr="0050419F">
        <w:rPr>
          <w:color w:val="000000" w:themeColor="text1"/>
          <w:szCs w:val="22"/>
        </w:rPr>
        <w:t xml:space="preserve">whether </w:t>
      </w:r>
      <w:r w:rsidRPr="0050419F">
        <w:rPr>
          <w:color w:val="000000" w:themeColor="text1"/>
          <w:szCs w:val="22"/>
        </w:rPr>
        <w:t>multivariate analysis</w:t>
      </w:r>
      <w:r w:rsidR="005478D5" w:rsidRPr="0050419F">
        <w:rPr>
          <w:color w:val="000000" w:themeColor="text1"/>
          <w:szCs w:val="22"/>
        </w:rPr>
        <w:t xml:space="preserve"> can be undertaken routinely</w:t>
      </w:r>
      <w:r w:rsidRPr="0050419F">
        <w:rPr>
          <w:color w:val="000000" w:themeColor="text1"/>
          <w:szCs w:val="22"/>
        </w:rPr>
        <w:t xml:space="preserve">. Analysis is currently underway to more fully interrogate the temporal and covariate components of the data as the time series of observations lengthen. </w:t>
      </w:r>
    </w:p>
    <w:p w14:paraId="0A457A12" w14:textId="77777777" w:rsidR="003D1F7F" w:rsidRPr="0050419F" w:rsidRDefault="003D1F7F" w:rsidP="00926892">
      <w:pPr>
        <w:pStyle w:val="Heading2"/>
        <w:numPr>
          <w:ilvl w:val="1"/>
          <w:numId w:val="9"/>
        </w:numPr>
        <w:ind w:left="709" w:hanging="709"/>
        <w:rPr>
          <w:rFonts w:ascii="Century Gothic" w:hAnsi="Century Gothic"/>
          <w:color w:val="000000" w:themeColor="text1"/>
        </w:rPr>
      </w:pPr>
      <w:bookmarkStart w:id="94" w:name="_Toc170191607"/>
      <w:bookmarkStart w:id="95" w:name="_Toc175991054"/>
      <w:bookmarkStart w:id="96" w:name="_Toc232845902"/>
      <w:bookmarkStart w:id="97" w:name="_Toc184101953"/>
      <w:bookmarkStart w:id="98" w:name="_Toc516053126"/>
      <w:bookmarkEnd w:id="91"/>
      <w:r w:rsidRPr="0050419F">
        <w:rPr>
          <w:rFonts w:ascii="Century Gothic" w:hAnsi="Century Gothic"/>
          <w:color w:val="000000" w:themeColor="text1"/>
        </w:rPr>
        <w:t>Reporting Approach</w:t>
      </w:r>
      <w:bookmarkEnd w:id="94"/>
      <w:bookmarkEnd w:id="95"/>
      <w:bookmarkEnd w:id="96"/>
      <w:bookmarkEnd w:id="97"/>
      <w:bookmarkEnd w:id="98"/>
    </w:p>
    <w:p w14:paraId="2668C3B5" w14:textId="77777777" w:rsidR="003D1F7F" w:rsidRPr="0050419F" w:rsidRDefault="003D1F7F" w:rsidP="003D1F7F">
      <w:pPr>
        <w:spacing w:before="240"/>
        <w:rPr>
          <w:color w:val="000000" w:themeColor="text1"/>
          <w:szCs w:val="22"/>
        </w:rPr>
      </w:pPr>
      <w:r w:rsidRPr="0050419F">
        <w:rPr>
          <w:color w:val="000000" w:themeColor="text1"/>
          <w:szCs w:val="22"/>
        </w:rPr>
        <w:t>The data is presented in a number of ways depending on the indicator and section of the report:</w:t>
      </w:r>
    </w:p>
    <w:p w14:paraId="1C28AEF4" w14:textId="77777777" w:rsidR="003D1F7F" w:rsidRPr="0050419F" w:rsidRDefault="003D1F7F" w:rsidP="00223B18">
      <w:pPr>
        <w:numPr>
          <w:ilvl w:val="0"/>
          <w:numId w:val="7"/>
        </w:numPr>
        <w:spacing w:before="0" w:after="0"/>
        <w:ind w:left="714" w:hanging="357"/>
        <w:rPr>
          <w:color w:val="000000" w:themeColor="text1"/>
          <w:szCs w:val="22"/>
        </w:rPr>
      </w:pPr>
      <w:r w:rsidRPr="0050419F">
        <w:rPr>
          <w:color w:val="000000" w:themeColor="text1"/>
          <w:szCs w:val="22"/>
        </w:rPr>
        <w:t xml:space="preserve">Report card scores </w:t>
      </w:r>
      <w:r w:rsidR="008E5C2F" w:rsidRPr="0050419F">
        <w:rPr>
          <w:color w:val="000000" w:themeColor="text1"/>
          <w:szCs w:val="22"/>
        </w:rPr>
        <w:t xml:space="preserve">for seagrass condition </w:t>
      </w:r>
      <w:r w:rsidRPr="0050419F">
        <w:rPr>
          <w:color w:val="000000" w:themeColor="text1"/>
          <w:szCs w:val="22"/>
        </w:rPr>
        <w:t xml:space="preserve">are presented at the start of each section. These are a numerical summary of the </w:t>
      </w:r>
      <w:r w:rsidR="00306CAE" w:rsidRPr="0050419F">
        <w:rPr>
          <w:color w:val="000000" w:themeColor="text1"/>
          <w:szCs w:val="22"/>
        </w:rPr>
        <w:t>condition</w:t>
      </w:r>
      <w:r w:rsidRPr="0050419F">
        <w:rPr>
          <w:color w:val="000000" w:themeColor="text1"/>
          <w:szCs w:val="22"/>
        </w:rPr>
        <w:t xml:space="preserve"> within the region relative to a regional basel</w:t>
      </w:r>
      <w:r w:rsidR="00CD53D5" w:rsidRPr="0050419F">
        <w:rPr>
          <w:color w:val="000000" w:themeColor="text1"/>
          <w:szCs w:val="22"/>
        </w:rPr>
        <w:t>ine (described further below)</w:t>
      </w:r>
      <w:r w:rsidR="00395A22" w:rsidRPr="0050419F">
        <w:rPr>
          <w:color w:val="000000" w:themeColor="text1"/>
          <w:szCs w:val="22"/>
        </w:rPr>
        <w:t>,</w:t>
      </w:r>
    </w:p>
    <w:p w14:paraId="5FCC82F5" w14:textId="77777777" w:rsidR="00423FEC" w:rsidRPr="0050419F" w:rsidRDefault="00423FEC" w:rsidP="00926892">
      <w:pPr>
        <w:numPr>
          <w:ilvl w:val="0"/>
          <w:numId w:val="7"/>
        </w:numPr>
        <w:spacing w:before="0" w:after="0"/>
        <w:ind w:left="714" w:hanging="357"/>
        <w:rPr>
          <w:color w:val="000000" w:themeColor="text1"/>
          <w:szCs w:val="22"/>
        </w:rPr>
      </w:pPr>
      <w:r w:rsidRPr="0050419F">
        <w:rPr>
          <w:color w:val="000000" w:themeColor="text1"/>
          <w:szCs w:val="22"/>
        </w:rPr>
        <w:t>Climate and environmental pressures are presented as averages (daily, monthly or a</w:t>
      </w:r>
      <w:r w:rsidR="00CD53D5" w:rsidRPr="0050419F">
        <w:rPr>
          <w:color w:val="000000" w:themeColor="text1"/>
          <w:szCs w:val="22"/>
        </w:rPr>
        <w:t>nnual) and threshold exceedance</w:t>
      </w:r>
      <w:r w:rsidR="00395A22" w:rsidRPr="0050419F">
        <w:rPr>
          <w:color w:val="000000" w:themeColor="text1"/>
          <w:szCs w:val="22"/>
        </w:rPr>
        <w:t>,</w:t>
      </w:r>
    </w:p>
    <w:p w14:paraId="43C8D34F" w14:textId="2FCF78BB" w:rsidR="003D1F7F" w:rsidRPr="0050419F" w:rsidRDefault="00423FEC" w:rsidP="00926892">
      <w:pPr>
        <w:numPr>
          <w:ilvl w:val="0"/>
          <w:numId w:val="7"/>
        </w:numPr>
        <w:spacing w:before="0" w:after="0"/>
        <w:ind w:left="714" w:hanging="357"/>
        <w:rPr>
          <w:color w:val="000000" w:themeColor="text1"/>
          <w:szCs w:val="22"/>
        </w:rPr>
      </w:pPr>
      <w:r w:rsidRPr="0050419F">
        <w:rPr>
          <w:color w:val="000000" w:themeColor="text1"/>
          <w:szCs w:val="22"/>
        </w:rPr>
        <w:t xml:space="preserve">Seagrass community data </w:t>
      </w:r>
      <w:r w:rsidR="00395A22" w:rsidRPr="0050419F">
        <w:rPr>
          <w:color w:val="000000" w:themeColor="text1"/>
          <w:szCs w:val="22"/>
        </w:rPr>
        <w:t xml:space="preserve">such as seagrass abundance, leaf tissue nutrients </w:t>
      </w:r>
      <w:r w:rsidRPr="0050419F">
        <w:rPr>
          <w:color w:val="000000" w:themeColor="text1"/>
          <w:szCs w:val="22"/>
        </w:rPr>
        <w:t xml:space="preserve">are presented as averages </w:t>
      </w:r>
      <w:r w:rsidR="00395A22" w:rsidRPr="0050419F">
        <w:rPr>
          <w:color w:val="000000" w:themeColor="text1"/>
          <w:szCs w:val="22"/>
        </w:rPr>
        <w:t>(</w:t>
      </w:r>
      <w:r w:rsidRPr="0050419F">
        <w:rPr>
          <w:color w:val="000000" w:themeColor="text1"/>
          <w:szCs w:val="22"/>
        </w:rPr>
        <w:t>sampling event</w:t>
      </w:r>
      <w:r w:rsidR="00395A22" w:rsidRPr="0050419F">
        <w:rPr>
          <w:color w:val="000000" w:themeColor="text1"/>
          <w:szCs w:val="22"/>
        </w:rPr>
        <w:t>, season or monitoring period</w:t>
      </w:r>
      <w:r w:rsidR="000630F4" w:rsidRPr="0050419F">
        <w:rPr>
          <w:color w:val="000000" w:themeColor="text1"/>
          <w:szCs w:val="22"/>
        </w:rPr>
        <w:t xml:space="preserve"> with </w:t>
      </w:r>
      <w:r w:rsidR="009C7692">
        <w:rPr>
          <w:color w:val="000000" w:themeColor="text1"/>
          <w:szCs w:val="22"/>
        </w:rPr>
        <w:t>SE</w:t>
      </w:r>
      <w:r w:rsidR="00395A22" w:rsidRPr="0050419F">
        <w:rPr>
          <w:color w:val="000000" w:themeColor="text1"/>
          <w:szCs w:val="22"/>
        </w:rPr>
        <w:t>)</w:t>
      </w:r>
      <w:r w:rsidRPr="0050419F">
        <w:rPr>
          <w:color w:val="000000" w:themeColor="text1"/>
          <w:szCs w:val="22"/>
        </w:rPr>
        <w:t xml:space="preserve"> and threshold exceedance </w:t>
      </w:r>
      <w:r w:rsidR="00395A22" w:rsidRPr="0050419F">
        <w:rPr>
          <w:color w:val="000000" w:themeColor="text1"/>
          <w:szCs w:val="22"/>
        </w:rPr>
        <w:t>data,</w:t>
      </w:r>
    </w:p>
    <w:p w14:paraId="0A5F6388" w14:textId="77777777" w:rsidR="00395A22" w:rsidRPr="0050419F" w:rsidRDefault="00395A22" w:rsidP="00926892">
      <w:pPr>
        <w:numPr>
          <w:ilvl w:val="0"/>
          <w:numId w:val="7"/>
        </w:numPr>
        <w:spacing w:before="0" w:after="0"/>
        <w:ind w:left="714" w:hanging="357"/>
        <w:rPr>
          <w:color w:val="000000" w:themeColor="text1"/>
          <w:szCs w:val="22"/>
        </w:rPr>
      </w:pPr>
      <w:r w:rsidRPr="0050419F">
        <w:rPr>
          <w:color w:val="000000" w:themeColor="text1"/>
          <w:szCs w:val="22"/>
        </w:rPr>
        <w:t>Seagrass ecosystem data such as sediment composition, epiphyte and macroalgae are presented as averages (sampling event, season or monitoring period) and relative to the long-term,</w:t>
      </w:r>
    </w:p>
    <w:p w14:paraId="087A061E" w14:textId="77777777" w:rsidR="003D1F7F" w:rsidRPr="0050419F" w:rsidRDefault="003D1F7F" w:rsidP="00926892">
      <w:pPr>
        <w:numPr>
          <w:ilvl w:val="0"/>
          <w:numId w:val="7"/>
        </w:numPr>
        <w:spacing w:before="0" w:after="0"/>
        <w:ind w:left="714" w:hanging="357"/>
        <w:rPr>
          <w:color w:val="000000" w:themeColor="text1"/>
          <w:szCs w:val="22"/>
        </w:rPr>
      </w:pPr>
      <w:r w:rsidRPr="0050419F">
        <w:rPr>
          <w:color w:val="000000" w:themeColor="text1"/>
          <w:szCs w:val="22"/>
        </w:rPr>
        <w:t xml:space="preserve">Trend analysis (GAMM plots) are also used to explore the long-term temporal trends in biological and environmental indicators. </w:t>
      </w:r>
    </w:p>
    <w:p w14:paraId="4C4958BB" w14:textId="5FEFCACF" w:rsidR="003D1F7F" w:rsidRDefault="003D1F7F" w:rsidP="003D1F7F">
      <w:pPr>
        <w:spacing w:before="240"/>
        <w:rPr>
          <w:color w:val="000000" w:themeColor="text1"/>
          <w:szCs w:val="22"/>
        </w:rPr>
      </w:pPr>
      <w:r w:rsidRPr="0050419F">
        <w:rPr>
          <w:color w:val="000000" w:themeColor="text1"/>
          <w:szCs w:val="22"/>
        </w:rPr>
        <w:t xml:space="preserve">Within each region, estuarine and coastal habitat boundaries were delineated based on the Queensland coastal waterways geomorphic habitat mapping, Version 2 (1:100 000 </w:t>
      </w:r>
      <w:bookmarkStart w:id="99" w:name="OLE_LINK17"/>
      <w:bookmarkStart w:id="100" w:name="OLE_LINK18"/>
      <w:r w:rsidRPr="0050419F">
        <w:rPr>
          <w:color w:val="000000" w:themeColor="text1"/>
          <w:szCs w:val="22"/>
        </w:rPr>
        <w:t>scale digital data)</w:t>
      </w:r>
      <w:bookmarkEnd w:id="99"/>
      <w:bookmarkEnd w:id="100"/>
      <w:r w:rsidRPr="0050419F">
        <w:rPr>
          <w:color w:val="000000" w:themeColor="text1"/>
          <w:szCs w:val="22"/>
        </w:rPr>
        <w:t xml:space="preserve"> (</w:t>
      </w:r>
      <w:hyperlink w:anchor="_ENREF_110" w:tooltip="Heap, 2015 #10955" w:history="1">
        <w:r w:rsidR="00305FE7" w:rsidRPr="0050419F">
          <w:rPr>
            <w:color w:val="000000" w:themeColor="text1"/>
            <w:szCs w:val="22"/>
          </w:rPr>
          <w:fldChar w:fldCharType="begin"/>
        </w:r>
        <w:r w:rsidR="00305FE7" w:rsidRPr="0050419F">
          <w:rPr>
            <w:color w:val="000000" w:themeColor="text1"/>
            <w:szCs w:val="22"/>
          </w:rPr>
          <w:instrText xml:space="preserve"> ADDIN EN.CITE &lt;EndNote&gt;&lt;Cite&gt;&lt;Author&gt;Heap&lt;/Author&gt;&lt;Year&gt;2015&lt;/Year&gt;&lt;RecNum&gt;10955&lt;/RecNum&gt;&lt;DisplayText&gt;Heap&lt;style face="italic"&gt; et al.&lt;/style&gt; 2015&lt;/DisplayText&gt;&lt;record&gt;&lt;rec-number&gt;10955&lt;/rec-number&gt;&lt;foreign-keys&gt;&lt;key app="EN" db-id="0eve55x9y5vfd6e9dacxtew4eatve2dzds9a" timestamp="1492560013"&gt;10955&lt;/key&gt;&lt;/foreign-keys&gt;&lt;ref-type name="Dataset"&gt;59&lt;/ref-type&gt;&lt;contributors&gt;&lt;authors&gt;&lt;author&gt;Heap, A. D.&lt;/author&gt;&lt;author&gt;Murray, E.&lt;/author&gt;&lt;author&gt;Ryan, D. A.&lt;/author&gt;&lt;author&gt;Gallagher, J.&lt;/author&gt;&lt;author&gt;Tobin, G.&lt;/author&gt;&lt;author&gt;Creasey, J.&lt;/author&gt;&lt;author&gt;Dyall, A.&lt;/author&gt;&lt;/authors&gt;&lt;/contributors&gt;&lt;titles&gt;&lt;title&gt;Queensland Coastal Waterways Geomorphic Habitat Mapping, Version 2 (1:100 000 scale digital data)&lt;/title&gt;&lt;/titles&gt;&lt;keywords&gt;&lt;keyword&gt;Geoscientific Information&lt;/keyword&gt;&lt;keyword&gt;Gis Dataset&lt;/keyword&gt;&lt;keyword&gt;100k Scale&lt;/keyword&gt;&lt;keyword&gt;Water Resources&lt;/keyword&gt;&lt;keyword&gt;Marine&lt;/keyword&gt;&lt;keyword&gt;Mapping&lt;/keyword&gt;&lt;keyword&gt;Coasts&lt;/keyword&gt;&lt;keyword&gt;Gis&lt;/keyword&gt;&lt;keyword&gt;Earth Sciences&lt;/keyword&gt;&lt;/keywords&gt;&lt;dates&gt;&lt;year&gt;2015&lt;/year&gt;&lt;/dates&gt;&lt;publisher&gt;Australian Coastal Ecosystems Facility&lt;/publisher&gt;&lt;reviewed-item&gt;northlimit=-10.6; southlimit=-28.2; westlimit=137.8; eastLimit=153.2; projection=WGS84&lt;/reviewed-item&gt;&lt;urls&gt;&lt;related-urls&gt;&lt;url&gt;http://acef.tern.org.au/geonetwork/srv/en/metadata.show?uuid=a05f7892-c344-7506-e044-00144fdd4fa6&lt;/url&gt;&lt;/related-urls&gt;&lt;/urls&gt;&lt;custom5&gt;Creative Commons Attribution 4.0 International Licence. http://creativecommons.org/licenses/by/4.0/&lt;/custom5&gt;&lt;language&gt;English&lt;/language&gt;&lt;access-date&gt;2017-04-19&lt;/access-date&gt;&lt;/record&gt;&lt;/Cite&gt;&lt;/EndNote&gt;</w:instrText>
        </w:r>
        <w:r w:rsidR="00305FE7" w:rsidRPr="0050419F">
          <w:rPr>
            <w:color w:val="000000" w:themeColor="text1"/>
            <w:szCs w:val="22"/>
          </w:rPr>
          <w:fldChar w:fldCharType="separate"/>
        </w:r>
        <w:r w:rsidR="00305FE7" w:rsidRPr="0050419F">
          <w:rPr>
            <w:noProof/>
            <w:color w:val="000000" w:themeColor="text1"/>
            <w:szCs w:val="22"/>
          </w:rPr>
          <w:t>Heap</w:t>
        </w:r>
        <w:r w:rsidR="00305FE7" w:rsidRPr="0050419F">
          <w:rPr>
            <w:i/>
            <w:noProof/>
            <w:color w:val="000000" w:themeColor="text1"/>
            <w:szCs w:val="22"/>
          </w:rPr>
          <w:t xml:space="preserve"> et al.</w:t>
        </w:r>
        <w:r w:rsidR="00305FE7" w:rsidRPr="0050419F">
          <w:rPr>
            <w:noProof/>
            <w:color w:val="000000" w:themeColor="text1"/>
            <w:szCs w:val="22"/>
          </w:rPr>
          <w:t xml:space="preserve"> 2015</w:t>
        </w:r>
        <w:r w:rsidR="00305FE7" w:rsidRPr="0050419F">
          <w:rPr>
            <w:color w:val="000000" w:themeColor="text1"/>
            <w:szCs w:val="22"/>
          </w:rPr>
          <w:fldChar w:fldCharType="end"/>
        </w:r>
      </w:hyperlink>
      <w:r w:rsidRPr="0050419F">
        <w:rPr>
          <w:color w:val="000000" w:themeColor="text1"/>
          <w:szCs w:val="22"/>
        </w:rPr>
        <w:t>). Reef habitat boundaries were determined using the AUSLIG (now the National Mapping Division of Geosciences Australia) geodata topographic basemap (1:100 000 scale digital data).</w:t>
      </w:r>
      <w:r w:rsidR="009817B8" w:rsidRPr="0050419F">
        <w:rPr>
          <w:color w:val="000000" w:themeColor="text1"/>
          <w:szCs w:val="22"/>
        </w:rPr>
        <w:t xml:space="preserve"> </w:t>
      </w:r>
      <w:r w:rsidRPr="0050419F">
        <w:rPr>
          <w:color w:val="000000" w:themeColor="text1"/>
          <w:szCs w:val="22"/>
        </w:rPr>
        <w:t>Conceptual diagrams have been used to illustrate the general seagrass habitats type in each region</w:t>
      </w:r>
      <w:r w:rsidR="00EB19B4" w:rsidRPr="0050419F">
        <w:rPr>
          <w:color w:val="000000" w:themeColor="text1"/>
          <w:szCs w:val="22"/>
        </w:rPr>
        <w:t xml:space="preserve"> and can be found in Appendix 1 with the background description of each NRM region</w:t>
      </w:r>
      <w:r w:rsidRPr="0050419F">
        <w:rPr>
          <w:color w:val="000000" w:themeColor="text1"/>
          <w:szCs w:val="22"/>
        </w:rPr>
        <w:t xml:space="preserve">. Symbols/icons have been used in the conceptual diagrams to illustrate major controls, processes </w:t>
      </w:r>
      <w:r w:rsidR="00EB19B4" w:rsidRPr="0050419F">
        <w:rPr>
          <w:color w:val="000000" w:themeColor="text1"/>
          <w:szCs w:val="22"/>
        </w:rPr>
        <w:t>and threats/impacts</w:t>
      </w:r>
      <w:r w:rsidRPr="0050419F">
        <w:rPr>
          <w:color w:val="000000" w:themeColor="text1"/>
          <w:szCs w:val="22"/>
        </w:rPr>
        <w:t>.</w:t>
      </w:r>
    </w:p>
    <w:p w14:paraId="52BA4A74" w14:textId="77777777" w:rsidR="00306220" w:rsidRPr="0050419F" w:rsidRDefault="00306220" w:rsidP="003D1F7F">
      <w:pPr>
        <w:spacing w:before="240"/>
        <w:rPr>
          <w:color w:val="000000" w:themeColor="text1"/>
          <w:szCs w:val="22"/>
        </w:rPr>
      </w:pPr>
    </w:p>
    <w:p w14:paraId="34DDE1BD" w14:textId="0F6986EA" w:rsidR="003D1F7F" w:rsidRPr="00015190" w:rsidRDefault="005478D5" w:rsidP="00B20DDB">
      <w:pPr>
        <w:pStyle w:val="Heading2"/>
        <w:numPr>
          <w:ilvl w:val="1"/>
          <w:numId w:val="9"/>
        </w:numPr>
        <w:ind w:left="709" w:hanging="709"/>
        <w:rPr>
          <w:rFonts w:ascii="Century Gothic" w:hAnsi="Century Gothic"/>
          <w:color w:val="000000"/>
        </w:rPr>
      </w:pPr>
      <w:bookmarkStart w:id="101" w:name="_Toc516053127"/>
      <w:r>
        <w:rPr>
          <w:rFonts w:ascii="Century Gothic" w:hAnsi="Century Gothic"/>
          <w:color w:val="000000"/>
        </w:rPr>
        <w:t xml:space="preserve">Calculating scores for the </w:t>
      </w:r>
      <w:r w:rsidR="003D1F7F" w:rsidRPr="00015190">
        <w:rPr>
          <w:rFonts w:ascii="Century Gothic" w:hAnsi="Century Gothic"/>
          <w:color w:val="000000"/>
        </w:rPr>
        <w:t>Report card</w:t>
      </w:r>
      <w:bookmarkEnd w:id="101"/>
    </w:p>
    <w:p w14:paraId="3F29E767" w14:textId="468B7B25" w:rsidR="003D1F7F" w:rsidRPr="004A6709" w:rsidRDefault="003D1F7F" w:rsidP="004A6709">
      <w:pPr>
        <w:spacing w:after="0"/>
        <w:rPr>
          <w:szCs w:val="22"/>
        </w:rPr>
      </w:pPr>
      <w:r w:rsidRPr="004A6709">
        <w:rPr>
          <w:szCs w:val="22"/>
        </w:rPr>
        <w:t xml:space="preserve">Three indicators (presented as unitless scores) were </w:t>
      </w:r>
      <w:r w:rsidRPr="004A6709">
        <w:rPr>
          <w:szCs w:val="22"/>
          <w:lang w:val="en-US"/>
        </w:rPr>
        <w:t>selected by the</w:t>
      </w:r>
      <w:r w:rsidR="0034428C">
        <w:rPr>
          <w:szCs w:val="22"/>
          <w:lang w:val="en-US"/>
        </w:rPr>
        <w:t xml:space="preserve"> </w:t>
      </w:r>
      <w:r w:rsidR="00444C95">
        <w:rPr>
          <w:szCs w:val="22"/>
          <w:lang w:val="en-US"/>
        </w:rPr>
        <w:t>Marine Park Authority</w:t>
      </w:r>
      <w:r w:rsidRPr="004A6709">
        <w:rPr>
          <w:szCs w:val="22"/>
          <w:lang w:val="en-US"/>
        </w:rPr>
        <w:t>, using advice from expert working groups and the Paddock to Reef Integration Team,</w:t>
      </w:r>
      <w:r w:rsidRPr="004A6709">
        <w:rPr>
          <w:szCs w:val="22"/>
        </w:rPr>
        <w:t xml:space="preserve"> for the seagrass report card: </w:t>
      </w:r>
    </w:p>
    <w:p w14:paraId="459F28CB" w14:textId="0FB69D17" w:rsidR="003D1F7F" w:rsidRPr="004A6709" w:rsidRDefault="003D1F7F" w:rsidP="003D1F7F">
      <w:pPr>
        <w:numPr>
          <w:ilvl w:val="0"/>
          <w:numId w:val="3"/>
        </w:numPr>
        <w:spacing w:before="0" w:after="0"/>
        <w:rPr>
          <w:szCs w:val="22"/>
        </w:rPr>
      </w:pPr>
      <w:r w:rsidRPr="004A6709">
        <w:rPr>
          <w:szCs w:val="22"/>
        </w:rPr>
        <w:t>seagrass abundance (</w:t>
      </w:r>
      <w:r w:rsidR="00167865" w:rsidRPr="004A6709">
        <w:rPr>
          <w:szCs w:val="22"/>
        </w:rPr>
        <w:t xml:space="preserve">per cent </w:t>
      </w:r>
      <w:r w:rsidRPr="004A6709">
        <w:rPr>
          <w:szCs w:val="22"/>
        </w:rPr>
        <w:t>cover)</w:t>
      </w:r>
    </w:p>
    <w:p w14:paraId="05ECCD70" w14:textId="77777777" w:rsidR="003D1F7F" w:rsidRPr="004A6709" w:rsidRDefault="003D1F7F" w:rsidP="003D1F7F">
      <w:pPr>
        <w:numPr>
          <w:ilvl w:val="0"/>
          <w:numId w:val="3"/>
        </w:numPr>
        <w:spacing w:before="0" w:after="0"/>
        <w:rPr>
          <w:szCs w:val="22"/>
        </w:rPr>
      </w:pPr>
      <w:r w:rsidRPr="004A6709">
        <w:rPr>
          <w:szCs w:val="22"/>
        </w:rPr>
        <w:t>reproductive effort</w:t>
      </w:r>
    </w:p>
    <w:p w14:paraId="6892056C" w14:textId="77777777" w:rsidR="003D1F7F" w:rsidRPr="004A6709" w:rsidRDefault="003D1F7F" w:rsidP="003D1F7F">
      <w:pPr>
        <w:numPr>
          <w:ilvl w:val="0"/>
          <w:numId w:val="3"/>
        </w:numPr>
        <w:spacing w:before="0"/>
        <w:rPr>
          <w:szCs w:val="22"/>
        </w:rPr>
      </w:pPr>
      <w:r w:rsidRPr="004A6709">
        <w:rPr>
          <w:szCs w:val="22"/>
        </w:rPr>
        <w:t>nutrient status (</w:t>
      </w:r>
      <w:r w:rsidR="00EB19B4" w:rsidRPr="004A6709">
        <w:rPr>
          <w:szCs w:val="22"/>
        </w:rPr>
        <w:t>leaf</w:t>
      </w:r>
      <w:r w:rsidRPr="004A6709">
        <w:rPr>
          <w:szCs w:val="22"/>
        </w:rPr>
        <w:t xml:space="preserve"> tissue C:N ratio)</w:t>
      </w:r>
    </w:p>
    <w:p w14:paraId="44E6E1DE" w14:textId="4DDB3800" w:rsidR="003D1F7F" w:rsidRPr="004A6709" w:rsidRDefault="004A6709" w:rsidP="004A6709">
      <w:r w:rsidRPr="004A6709">
        <w:rPr>
          <w:szCs w:val="22"/>
        </w:rPr>
        <w:t xml:space="preserve">A seagrass condition index (score) is reported for each monitoring site based on changes in each of the indicators relative to a baseline. </w:t>
      </w:r>
      <w:r w:rsidR="003D1F7F" w:rsidRPr="004A6709">
        <w:rPr>
          <w:szCs w:val="22"/>
        </w:rPr>
        <w:t xml:space="preserve">The methods for </w:t>
      </w:r>
      <w:r w:rsidR="00167865" w:rsidRPr="004A6709">
        <w:rPr>
          <w:szCs w:val="22"/>
        </w:rPr>
        <w:t xml:space="preserve">score </w:t>
      </w:r>
      <w:r w:rsidR="003D1F7F" w:rsidRPr="004A6709">
        <w:rPr>
          <w:szCs w:val="22"/>
        </w:rPr>
        <w:t>calculation w</w:t>
      </w:r>
      <w:r w:rsidRPr="004A6709">
        <w:rPr>
          <w:szCs w:val="22"/>
        </w:rPr>
        <w:t>ere</w:t>
      </w:r>
      <w:r w:rsidR="003D1F7F" w:rsidRPr="004A6709">
        <w:rPr>
          <w:szCs w:val="22"/>
        </w:rPr>
        <w:t xml:space="preserve"> chosen by </w:t>
      </w:r>
      <w:r w:rsidR="003D1F7F" w:rsidRPr="004A6709">
        <w:rPr>
          <w:szCs w:val="22"/>
          <w:lang w:val="en-US"/>
        </w:rPr>
        <w:t xml:space="preserve">the Paddock to Reef Integration Team and </w:t>
      </w:r>
      <w:r w:rsidR="003D1F7F" w:rsidRPr="004A6709">
        <w:rPr>
          <w:szCs w:val="22"/>
        </w:rPr>
        <w:t>all report card scores are transformed to a five point scale from 0 to 100 to allow integration with other components of the Paddock to Reef report card (</w:t>
      </w:r>
      <w:hyperlink w:anchor="_ENREF_79" w:tooltip="Department of the Premier and Cabinet, 2014 #10062" w:history="1">
        <w:r w:rsidR="00305FE7" w:rsidRPr="004A6709">
          <w:rPr>
            <w:szCs w:val="22"/>
          </w:rPr>
          <w:fldChar w:fldCharType="begin"/>
        </w:r>
        <w:r w:rsidR="00305FE7" w:rsidRPr="004A6709">
          <w:rPr>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305FE7" w:rsidRPr="004A6709">
          <w:rPr>
            <w:szCs w:val="22"/>
          </w:rPr>
          <w:fldChar w:fldCharType="separate"/>
        </w:r>
        <w:r w:rsidR="00305FE7" w:rsidRPr="004A6709">
          <w:rPr>
            <w:noProof/>
            <w:szCs w:val="22"/>
          </w:rPr>
          <w:t>Department of the Premier and Cabinet 2014</w:t>
        </w:r>
        <w:r w:rsidR="00305FE7" w:rsidRPr="004A6709">
          <w:rPr>
            <w:szCs w:val="22"/>
          </w:rPr>
          <w:fldChar w:fldCharType="end"/>
        </w:r>
      </w:hyperlink>
      <w:r w:rsidR="003D1F7F" w:rsidRPr="004A6709">
        <w:rPr>
          <w:szCs w:val="22"/>
        </w:rPr>
        <w:t>). The methods a</w:t>
      </w:r>
      <w:r w:rsidR="00167865" w:rsidRPr="004A6709">
        <w:rPr>
          <w:szCs w:val="22"/>
        </w:rPr>
        <w:t>nd</w:t>
      </w:r>
      <w:r w:rsidR="003D1F7F" w:rsidRPr="004A6709">
        <w:rPr>
          <w:szCs w:val="22"/>
        </w:rPr>
        <w:t xml:space="preserve"> scoring system for the report card are detailed in </w:t>
      </w:r>
      <w:r w:rsidR="00E03E9F">
        <w:rPr>
          <w:szCs w:val="22"/>
        </w:rPr>
        <w:fldChar w:fldCharType="begin"/>
      </w:r>
      <w:r w:rsidR="00E03E9F">
        <w:rPr>
          <w:szCs w:val="22"/>
        </w:rPr>
        <w:instrText xml:space="preserve"> REF _Ref511380752 \r \h </w:instrText>
      </w:r>
      <w:r w:rsidR="00E03E9F">
        <w:rPr>
          <w:szCs w:val="22"/>
        </w:rPr>
      </w:r>
      <w:r w:rsidR="00E03E9F">
        <w:rPr>
          <w:szCs w:val="22"/>
        </w:rPr>
        <w:fldChar w:fldCharType="separate"/>
      </w:r>
      <w:r w:rsidR="00F87DF9">
        <w:rPr>
          <w:szCs w:val="22"/>
        </w:rPr>
        <w:t>Appendix 3</w:t>
      </w:r>
      <w:r w:rsidR="00E03E9F">
        <w:rPr>
          <w:szCs w:val="22"/>
        </w:rPr>
        <w:fldChar w:fldCharType="end"/>
      </w:r>
      <w:r w:rsidR="003D1F7F" w:rsidRPr="004A6709">
        <w:rPr>
          <w:szCs w:val="22"/>
        </w:rPr>
        <w:t xml:space="preserve">. </w:t>
      </w:r>
      <w:r w:rsidR="003D1F7F" w:rsidRPr="004A6709">
        <w:rPr>
          <w:i/>
          <w:szCs w:val="22"/>
        </w:rPr>
        <w:t>Please note that the scale from 0 to 100 is unitless and should not be interpreted as a proportion or ratio.</w:t>
      </w:r>
    </w:p>
    <w:p w14:paraId="6873CF1F" w14:textId="77777777" w:rsidR="003D1F7F" w:rsidRPr="00BA12BB" w:rsidRDefault="003D1F7F" w:rsidP="00926892">
      <w:pPr>
        <w:pStyle w:val="Heading3"/>
        <w:numPr>
          <w:ilvl w:val="2"/>
          <w:numId w:val="9"/>
        </w:numPr>
        <w:rPr>
          <w:rFonts w:ascii="Arial" w:hAnsi="Arial" w:cs="Arial"/>
        </w:rPr>
      </w:pPr>
      <w:bookmarkStart w:id="102" w:name="_Toc381027991"/>
      <w:bookmarkStart w:id="103" w:name="_Toc516053128"/>
      <w:r w:rsidRPr="00BA12BB">
        <w:rPr>
          <w:rFonts w:ascii="Arial" w:hAnsi="Arial" w:cs="Arial"/>
        </w:rPr>
        <w:t>Seagrass abundance</w:t>
      </w:r>
      <w:bookmarkEnd w:id="102"/>
      <w:bookmarkEnd w:id="103"/>
    </w:p>
    <w:p w14:paraId="0A34EFAF" w14:textId="27D72620" w:rsidR="000252FF" w:rsidRPr="004A6709" w:rsidRDefault="000252FF" w:rsidP="000252FF">
      <w:pPr>
        <w:spacing w:before="240"/>
        <w:rPr>
          <w:szCs w:val="22"/>
        </w:rPr>
      </w:pPr>
      <w:r w:rsidRPr="004A6709">
        <w:rPr>
          <w:szCs w:val="22"/>
        </w:rPr>
        <w:t>Seagrass abundance state in the MMP is measure</w:t>
      </w:r>
      <w:r w:rsidR="00F61BF9" w:rsidRPr="004A6709">
        <w:rPr>
          <w:szCs w:val="22"/>
        </w:rPr>
        <w:t xml:space="preserve">d using the median seagrass per </w:t>
      </w:r>
      <w:r w:rsidRPr="004A6709">
        <w:rPr>
          <w:szCs w:val="22"/>
        </w:rPr>
        <w:t>cent cover relative to the site or reference (habitat type within each NRM region) guideline. Abundance guidelines (threshold levels) were determined using the long-term (&gt;4 years) baseline where the percentile variance plateaued (generally 15-20 sampling events), thereby providing an estimate of the true percentile value (</w:t>
      </w:r>
      <w:hyperlink w:anchor="_ENREF_150" w:tooltip="McKenzie, 2009 #9756" w:history="1">
        <w:r w:rsidR="00305FE7" w:rsidRPr="004A6709">
          <w:rPr>
            <w:szCs w:val="22"/>
          </w:rPr>
          <w:fldChar w:fldCharType="begin"/>
        </w:r>
        <w:r w:rsidR="00305FE7" w:rsidRPr="004A6709">
          <w:rPr>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 timestamp="1393312309"&gt;9756&lt;/key&gt;&lt;/foreign-keys&gt;&lt;ref-type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http://rrrc.org.au/wp-content/uploads/2014/06/113-QDPIF-McKenzie-L-2009-June-Milestone-Report.pdf accessed 23 February 2017.&lt;/secondary-title&gt;&lt;/titles&gt;&lt;pages&gt;7-1&lt;/pages&gt;&lt;dates&gt;&lt;year&gt;2009&lt;/year&gt;&lt;/dates&gt;&lt;pub-location&gt;Cairns&lt;/pub-location&gt;&lt;publisher&gt;RRRC&lt;/publisher&gt;&lt;urls&gt;&lt;/urls&gt;&lt;/record&gt;&lt;/Cite&gt;&lt;/EndNote&gt;</w:instrText>
        </w:r>
        <w:r w:rsidR="00305FE7" w:rsidRPr="004A6709">
          <w:rPr>
            <w:szCs w:val="22"/>
          </w:rPr>
          <w:fldChar w:fldCharType="separate"/>
        </w:r>
        <w:r w:rsidR="00305FE7" w:rsidRPr="004A6709">
          <w:rPr>
            <w:noProof/>
            <w:szCs w:val="22"/>
          </w:rPr>
          <w:t>McKenzie 2009</w:t>
        </w:r>
        <w:r w:rsidR="00305FE7" w:rsidRPr="004A6709">
          <w:rPr>
            <w:szCs w:val="22"/>
          </w:rPr>
          <w:fldChar w:fldCharType="end"/>
        </w:r>
      </w:hyperlink>
      <w:r w:rsidRPr="004A6709">
        <w:rPr>
          <w:szCs w:val="22"/>
        </w:rPr>
        <w:t xml:space="preserve">). Guidelines for individual sites were only applied if the conditions of the site aligned with reference conditions and the site had been subject to minimal/limited disturbance for 3‐5 years (see Appendix </w:t>
      </w:r>
      <w:r w:rsidR="00E03E9F">
        <w:rPr>
          <w:szCs w:val="22"/>
        </w:rPr>
        <w:fldChar w:fldCharType="begin"/>
      </w:r>
      <w:r w:rsidR="00E03E9F">
        <w:rPr>
          <w:szCs w:val="22"/>
        </w:rPr>
        <w:instrText xml:space="preserve"> REF _Ref511380813 \r \h </w:instrText>
      </w:r>
      <w:r w:rsidR="00E03E9F">
        <w:rPr>
          <w:szCs w:val="22"/>
        </w:rPr>
      </w:r>
      <w:r w:rsidR="00E03E9F">
        <w:rPr>
          <w:szCs w:val="22"/>
        </w:rPr>
        <w:fldChar w:fldCharType="separate"/>
      </w:r>
      <w:r w:rsidR="00F87DF9">
        <w:rPr>
          <w:szCs w:val="22"/>
        </w:rPr>
        <w:t>A3.2</w:t>
      </w:r>
      <w:r w:rsidR="00E03E9F">
        <w:rPr>
          <w:szCs w:val="22"/>
        </w:rPr>
        <w:fldChar w:fldCharType="end"/>
      </w:r>
      <w:r w:rsidR="00E03E9F">
        <w:rPr>
          <w:szCs w:val="22"/>
        </w:rPr>
        <w:t xml:space="preserve">, </w:t>
      </w:r>
      <w:r w:rsidR="00E03E9F">
        <w:rPr>
          <w:szCs w:val="22"/>
        </w:rPr>
        <w:fldChar w:fldCharType="begin"/>
      </w:r>
      <w:r w:rsidR="00E03E9F">
        <w:rPr>
          <w:szCs w:val="22"/>
        </w:rPr>
        <w:instrText xml:space="preserve"> REF _Ref340344284 \h </w:instrText>
      </w:r>
      <w:r w:rsidR="00E03E9F">
        <w:rPr>
          <w:szCs w:val="22"/>
        </w:rPr>
      </w:r>
      <w:r w:rsidR="00E03E9F">
        <w:rPr>
          <w:szCs w:val="22"/>
        </w:rPr>
        <w:fldChar w:fldCharType="separate"/>
      </w:r>
      <w:r w:rsidR="00F87DF9">
        <w:rPr>
          <w:color w:val="000000"/>
        </w:rPr>
        <w:t xml:space="preserve">Table </w:t>
      </w:r>
      <w:r w:rsidR="00F87DF9">
        <w:rPr>
          <w:noProof/>
          <w:color w:val="000000"/>
        </w:rPr>
        <w:t>38</w:t>
      </w:r>
      <w:r w:rsidR="00E03E9F">
        <w:rPr>
          <w:szCs w:val="22"/>
        </w:rPr>
        <w:fldChar w:fldCharType="end"/>
      </w:r>
      <w:r w:rsidRPr="004A6709">
        <w:rPr>
          <w:szCs w:val="22"/>
        </w:rPr>
        <w:t xml:space="preserve">). </w:t>
      </w:r>
    </w:p>
    <w:p w14:paraId="2BDBC1DA" w14:textId="04B076D0" w:rsidR="000252FF" w:rsidRPr="004A6709" w:rsidRDefault="00CD3DA9" w:rsidP="000252FF">
      <w:r w:rsidRPr="004A6709">
        <w:rPr>
          <w:szCs w:val="22"/>
        </w:rPr>
        <w:t>Abundance</w:t>
      </w:r>
      <w:r w:rsidR="000252FF" w:rsidRPr="004A6709">
        <w:rPr>
          <w:szCs w:val="22"/>
        </w:rPr>
        <w:t xml:space="preserve"> state at each site for each monitoring event was allocated a grade: </w:t>
      </w:r>
      <w:r w:rsidR="000252FF" w:rsidRPr="004A6709">
        <w:rPr>
          <w:i/>
          <w:szCs w:val="22"/>
        </w:rPr>
        <w:t>very good</w:t>
      </w:r>
      <w:r w:rsidR="000252FF" w:rsidRPr="004A6709">
        <w:rPr>
          <w:szCs w:val="22"/>
        </w:rPr>
        <w:t>, median per cent cover at or above 75</w:t>
      </w:r>
      <w:r w:rsidR="000252FF" w:rsidRPr="004A6709">
        <w:rPr>
          <w:szCs w:val="22"/>
          <w:vertAlign w:val="superscript"/>
        </w:rPr>
        <w:t>th</w:t>
      </w:r>
      <w:r w:rsidR="000252FF" w:rsidRPr="004A6709">
        <w:rPr>
          <w:szCs w:val="22"/>
        </w:rPr>
        <w:t xml:space="preserve"> percentile; </w:t>
      </w:r>
      <w:r w:rsidR="000252FF" w:rsidRPr="004A6709">
        <w:rPr>
          <w:i/>
          <w:szCs w:val="22"/>
        </w:rPr>
        <w:t>good</w:t>
      </w:r>
      <w:r w:rsidR="000252FF" w:rsidRPr="004A6709">
        <w:rPr>
          <w:szCs w:val="22"/>
        </w:rPr>
        <w:t>, median per cent cover at or above 50</w:t>
      </w:r>
      <w:r w:rsidR="000252FF" w:rsidRPr="004A6709">
        <w:rPr>
          <w:szCs w:val="22"/>
          <w:vertAlign w:val="superscript"/>
        </w:rPr>
        <w:t>th</w:t>
      </w:r>
      <w:r w:rsidR="000252FF" w:rsidRPr="004A6709">
        <w:rPr>
          <w:szCs w:val="22"/>
        </w:rPr>
        <w:t xml:space="preserve"> percentile; </w:t>
      </w:r>
      <w:r w:rsidR="000252FF" w:rsidRPr="004A6709">
        <w:rPr>
          <w:i/>
          <w:szCs w:val="22"/>
        </w:rPr>
        <w:t>moderate</w:t>
      </w:r>
      <w:r w:rsidR="000252FF" w:rsidRPr="004A6709">
        <w:rPr>
          <w:szCs w:val="22"/>
        </w:rPr>
        <w:t>, median per cent cover below 50</w:t>
      </w:r>
      <w:r w:rsidR="000252FF" w:rsidRPr="004A6709">
        <w:rPr>
          <w:szCs w:val="22"/>
          <w:vertAlign w:val="superscript"/>
        </w:rPr>
        <w:t>th</w:t>
      </w:r>
      <w:r w:rsidR="000252FF" w:rsidRPr="004A6709">
        <w:rPr>
          <w:szCs w:val="22"/>
        </w:rPr>
        <w:t xml:space="preserve"> percentile and at or above </w:t>
      </w:r>
      <w:r w:rsidRPr="004A6709">
        <w:rPr>
          <w:szCs w:val="22"/>
        </w:rPr>
        <w:t xml:space="preserve">low </w:t>
      </w:r>
      <w:r w:rsidR="00F61BF9" w:rsidRPr="004A6709">
        <w:rPr>
          <w:szCs w:val="22"/>
        </w:rPr>
        <w:t>guideline</w:t>
      </w:r>
      <w:r w:rsidR="000252FF" w:rsidRPr="004A6709">
        <w:rPr>
          <w:szCs w:val="22"/>
        </w:rPr>
        <w:t xml:space="preserve">; </w:t>
      </w:r>
      <w:r w:rsidR="000252FF" w:rsidRPr="004A6709">
        <w:rPr>
          <w:i/>
          <w:szCs w:val="22"/>
        </w:rPr>
        <w:t>poor</w:t>
      </w:r>
      <w:r w:rsidR="000252FF" w:rsidRPr="004A6709">
        <w:rPr>
          <w:szCs w:val="22"/>
        </w:rPr>
        <w:t xml:space="preserve">, median per cent cover below </w:t>
      </w:r>
      <w:r w:rsidRPr="004A6709">
        <w:rPr>
          <w:szCs w:val="22"/>
        </w:rPr>
        <w:t xml:space="preserve">low </w:t>
      </w:r>
      <w:r w:rsidR="00F61BF9" w:rsidRPr="004A6709">
        <w:rPr>
          <w:szCs w:val="22"/>
        </w:rPr>
        <w:t>guideline</w:t>
      </w:r>
      <w:r w:rsidR="000252FF" w:rsidRPr="004A6709">
        <w:rPr>
          <w:szCs w:val="22"/>
        </w:rPr>
        <w:t xml:space="preserve">; and </w:t>
      </w:r>
      <w:r w:rsidR="000252FF" w:rsidRPr="004A6709">
        <w:rPr>
          <w:i/>
          <w:szCs w:val="22"/>
        </w:rPr>
        <w:t>very poor</w:t>
      </w:r>
      <w:r w:rsidR="000252FF" w:rsidRPr="004A6709">
        <w:rPr>
          <w:szCs w:val="22"/>
        </w:rPr>
        <w:t xml:space="preserve">, median per cent cover below </w:t>
      </w:r>
      <w:r w:rsidRPr="004A6709">
        <w:rPr>
          <w:szCs w:val="22"/>
        </w:rPr>
        <w:t xml:space="preserve">low </w:t>
      </w:r>
      <w:r w:rsidR="00F61BF9" w:rsidRPr="004A6709">
        <w:rPr>
          <w:szCs w:val="22"/>
        </w:rPr>
        <w:t xml:space="preserve">guideline </w:t>
      </w:r>
      <w:r w:rsidR="000252FF" w:rsidRPr="004A6709">
        <w:rPr>
          <w:szCs w:val="22"/>
        </w:rPr>
        <w:t>and declined by &gt;20 per cent since previous sampling event). The choice of whether the 20</w:t>
      </w:r>
      <w:r w:rsidR="000252FF" w:rsidRPr="004A6709">
        <w:rPr>
          <w:szCs w:val="22"/>
          <w:vertAlign w:val="superscript"/>
        </w:rPr>
        <w:t>th</w:t>
      </w:r>
      <w:r w:rsidR="000252FF" w:rsidRPr="004A6709">
        <w:rPr>
          <w:szCs w:val="22"/>
        </w:rPr>
        <w:t xml:space="preserve"> or 10</w:t>
      </w:r>
      <w:r w:rsidR="000252FF" w:rsidRPr="004A6709">
        <w:rPr>
          <w:szCs w:val="22"/>
          <w:vertAlign w:val="superscript"/>
        </w:rPr>
        <w:t>th</w:t>
      </w:r>
      <w:r w:rsidR="000252FF" w:rsidRPr="004A6709">
        <w:rPr>
          <w:szCs w:val="22"/>
        </w:rPr>
        <w:t xml:space="preserve"> percentile </w:t>
      </w:r>
      <w:r w:rsidR="00E03E9F">
        <w:rPr>
          <w:szCs w:val="22"/>
        </w:rPr>
        <w:t>wa</w:t>
      </w:r>
      <w:r w:rsidR="000252FF" w:rsidRPr="004A6709">
        <w:rPr>
          <w:szCs w:val="22"/>
        </w:rPr>
        <w:t>s used for the low guideline depend</w:t>
      </w:r>
      <w:r w:rsidR="00E03E9F">
        <w:rPr>
          <w:szCs w:val="22"/>
        </w:rPr>
        <w:t>ed</w:t>
      </w:r>
      <w:r w:rsidR="000252FF" w:rsidRPr="004A6709">
        <w:rPr>
          <w:szCs w:val="22"/>
        </w:rPr>
        <w:t xml:space="preserve"> on the within-site variability</w:t>
      </w:r>
      <w:r w:rsidR="00F61BF9" w:rsidRPr="004A6709">
        <w:rPr>
          <w:szCs w:val="22"/>
        </w:rPr>
        <w:t>; g</w:t>
      </w:r>
      <w:r w:rsidR="000252FF" w:rsidRPr="004A6709">
        <w:rPr>
          <w:szCs w:val="22"/>
        </w:rPr>
        <w:t>enerally the 20</w:t>
      </w:r>
      <w:r w:rsidR="000252FF" w:rsidRPr="004A6709">
        <w:rPr>
          <w:szCs w:val="22"/>
          <w:vertAlign w:val="superscript"/>
        </w:rPr>
        <w:t>th</w:t>
      </w:r>
      <w:r w:rsidR="000252FF" w:rsidRPr="004A6709">
        <w:rPr>
          <w:szCs w:val="22"/>
        </w:rPr>
        <w:t xml:space="preserve"> percentile is used, unless within-site variability</w:t>
      </w:r>
      <w:r w:rsidR="008D142C">
        <w:t xml:space="preserve"> was low (e.g.</w:t>
      </w:r>
      <w:r w:rsidR="000252FF" w:rsidRPr="004A6709">
        <w:t xml:space="preserve"> CV&lt;0.6), whereby the 10</w:t>
      </w:r>
      <w:r w:rsidR="000252FF" w:rsidRPr="004A6709">
        <w:rPr>
          <w:vertAlign w:val="superscript"/>
        </w:rPr>
        <w:t>th</w:t>
      </w:r>
      <w:r w:rsidR="000252FF" w:rsidRPr="004A6709">
        <w:t xml:space="preserve"> percentile was more appropriate as the variance would primarily be the result of natural seasonal fluctuations (i.e. nearly every seasonal low would fall below the 20</w:t>
      </w:r>
      <w:r w:rsidR="000252FF" w:rsidRPr="004A6709">
        <w:rPr>
          <w:vertAlign w:val="superscript"/>
        </w:rPr>
        <w:t>th</w:t>
      </w:r>
      <w:r w:rsidR="000252FF" w:rsidRPr="004A6709">
        <w:t xml:space="preserve"> percentile). </w:t>
      </w:r>
      <w:r w:rsidRPr="004A6709">
        <w:rPr>
          <w:szCs w:val="22"/>
        </w:rPr>
        <w:t xml:space="preserve">Details on the percent cover guidelines can be found in </w:t>
      </w:r>
      <w:r w:rsidR="00E03E9F" w:rsidRPr="004A6709">
        <w:rPr>
          <w:szCs w:val="22"/>
        </w:rPr>
        <w:t xml:space="preserve">Appendix </w:t>
      </w:r>
      <w:r w:rsidR="00E03E9F">
        <w:rPr>
          <w:szCs w:val="22"/>
        </w:rPr>
        <w:fldChar w:fldCharType="begin"/>
      </w:r>
      <w:r w:rsidR="00E03E9F">
        <w:rPr>
          <w:szCs w:val="22"/>
        </w:rPr>
        <w:instrText xml:space="preserve"> REF _Ref511380813 \r \h </w:instrText>
      </w:r>
      <w:r w:rsidR="00E03E9F">
        <w:rPr>
          <w:szCs w:val="22"/>
        </w:rPr>
      </w:r>
      <w:r w:rsidR="00E03E9F">
        <w:rPr>
          <w:szCs w:val="22"/>
        </w:rPr>
        <w:fldChar w:fldCharType="separate"/>
      </w:r>
      <w:r w:rsidR="00F87DF9">
        <w:rPr>
          <w:szCs w:val="22"/>
        </w:rPr>
        <w:t>A3.2</w:t>
      </w:r>
      <w:r w:rsidR="00E03E9F">
        <w:rPr>
          <w:szCs w:val="22"/>
        </w:rPr>
        <w:fldChar w:fldCharType="end"/>
      </w:r>
      <w:r w:rsidRPr="004A6709">
        <w:rPr>
          <w:szCs w:val="22"/>
        </w:rPr>
        <w:t>.</w:t>
      </w:r>
    </w:p>
    <w:p w14:paraId="28A8814B" w14:textId="1359C6B3" w:rsidR="000252FF" w:rsidRPr="004A6709" w:rsidRDefault="000252FF" w:rsidP="000252FF">
      <w:r w:rsidRPr="004A6709">
        <w:t xml:space="preserve">A grade score </w:t>
      </w:r>
      <w:r w:rsidRPr="004A6709">
        <w:rPr>
          <w:szCs w:val="22"/>
        </w:rPr>
        <w:t>from 0 to 100 (</w:t>
      </w:r>
      <w:r w:rsidRPr="004A6709">
        <w:rPr>
          <w:szCs w:val="22"/>
        </w:rPr>
        <w:fldChar w:fldCharType="begin"/>
      </w:r>
      <w:r w:rsidRPr="004A6709">
        <w:rPr>
          <w:szCs w:val="22"/>
        </w:rPr>
        <w:instrText xml:space="preserve"> REF _Ref316227159 \h </w:instrText>
      </w:r>
      <w:r w:rsidRPr="004A6709">
        <w:rPr>
          <w:szCs w:val="22"/>
        </w:rPr>
      </w:r>
      <w:r w:rsidRPr="004A6709">
        <w:rPr>
          <w:szCs w:val="22"/>
        </w:rPr>
        <w:fldChar w:fldCharType="separate"/>
      </w:r>
      <w:r w:rsidR="00F87DF9" w:rsidRPr="00015190">
        <w:rPr>
          <w:color w:val="000000"/>
        </w:rPr>
        <w:t xml:space="preserve">Table </w:t>
      </w:r>
      <w:r w:rsidR="00F87DF9">
        <w:rPr>
          <w:noProof/>
          <w:color w:val="000000"/>
        </w:rPr>
        <w:t>5</w:t>
      </w:r>
      <w:r w:rsidRPr="004A6709">
        <w:rPr>
          <w:szCs w:val="22"/>
        </w:rPr>
        <w:fldChar w:fldCharType="end"/>
      </w:r>
      <w:r w:rsidRPr="004A6709">
        <w:rPr>
          <w:szCs w:val="22"/>
        </w:rPr>
        <w:t xml:space="preserve">) </w:t>
      </w:r>
      <w:r w:rsidRPr="004A6709">
        <w:t>was then assigned to enable integration with other seagrass indicators</w:t>
      </w:r>
      <w:r w:rsidRPr="004A6709">
        <w:rPr>
          <w:szCs w:val="22"/>
        </w:rPr>
        <w:t xml:space="preserve"> and other components of the </w:t>
      </w:r>
      <w:r w:rsidR="00F26FBD" w:rsidRPr="004A6709">
        <w:rPr>
          <w:szCs w:val="22"/>
        </w:rPr>
        <w:t>P2R</w:t>
      </w:r>
      <w:r w:rsidRPr="004A6709">
        <w:rPr>
          <w:szCs w:val="22"/>
        </w:rPr>
        <w:t xml:space="preserve"> report card (</w:t>
      </w:r>
      <w:hyperlink w:anchor="_ENREF_79" w:tooltip="Department of the Premier and Cabinet, 2014 #10062" w:history="1">
        <w:r w:rsidR="00305FE7" w:rsidRPr="004A6709">
          <w:rPr>
            <w:szCs w:val="22"/>
          </w:rPr>
          <w:fldChar w:fldCharType="begin"/>
        </w:r>
        <w:r w:rsidR="00305FE7" w:rsidRPr="004A6709">
          <w:rPr>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305FE7" w:rsidRPr="004A6709">
          <w:rPr>
            <w:szCs w:val="22"/>
          </w:rPr>
          <w:fldChar w:fldCharType="separate"/>
        </w:r>
        <w:r w:rsidR="00305FE7" w:rsidRPr="004A6709">
          <w:rPr>
            <w:noProof/>
            <w:szCs w:val="22"/>
          </w:rPr>
          <w:t>Department of the Premier and Cabinet 2014</w:t>
        </w:r>
        <w:r w:rsidR="00305FE7" w:rsidRPr="004A6709">
          <w:rPr>
            <w:szCs w:val="22"/>
          </w:rPr>
          <w:fldChar w:fldCharType="end"/>
        </w:r>
      </w:hyperlink>
      <w:r w:rsidRPr="004A6709">
        <w:rPr>
          <w:szCs w:val="22"/>
        </w:rPr>
        <w:t>).</w:t>
      </w:r>
      <w:r w:rsidRPr="004A6709">
        <w:t xml:space="preserve"> Annual seagrass abundance scores were calculate using the average grade score for each site (including all sampling events per year), each habitat and each NRM. Please note that the scores are unitless and should not be interpreted as a proportion or ratio.</w:t>
      </w:r>
    </w:p>
    <w:p w14:paraId="07C17B97" w14:textId="7F58BCBD" w:rsidR="003D1F7F" w:rsidRPr="00015190" w:rsidRDefault="003D1F7F" w:rsidP="003D1F7F">
      <w:pPr>
        <w:jc w:val="center"/>
        <w:rPr>
          <w:i/>
          <w:vanish/>
          <w:color w:val="000000"/>
          <w:specVanish/>
        </w:rPr>
      </w:pPr>
      <w:bookmarkStart w:id="104" w:name="_Ref271182817"/>
      <w:bookmarkStart w:id="105" w:name="_Ref316227159"/>
      <w:bookmarkStart w:id="106" w:name="_Ref410131826"/>
      <w:bookmarkStart w:id="107" w:name="_Ref271182809"/>
      <w:bookmarkStart w:id="108" w:name="_Toc516053429"/>
      <w:r w:rsidRPr="00015190">
        <w:rPr>
          <w:color w:val="000000"/>
        </w:rPr>
        <w:t xml:space="preserve">Table </w:t>
      </w:r>
      <w:r w:rsidRPr="00015190">
        <w:rPr>
          <w:color w:val="000000"/>
        </w:rPr>
        <w:fldChar w:fldCharType="begin"/>
      </w:r>
      <w:r w:rsidRPr="00015190">
        <w:rPr>
          <w:color w:val="000000"/>
        </w:rPr>
        <w:instrText xml:space="preserve"> SEQ Table \* ARABIC </w:instrText>
      </w:r>
      <w:r w:rsidRPr="00015190">
        <w:rPr>
          <w:color w:val="000000"/>
        </w:rPr>
        <w:fldChar w:fldCharType="separate"/>
      </w:r>
      <w:r w:rsidR="00F87DF9">
        <w:rPr>
          <w:noProof/>
          <w:color w:val="000000"/>
        </w:rPr>
        <w:t>5</w:t>
      </w:r>
      <w:r w:rsidRPr="00015190">
        <w:rPr>
          <w:color w:val="000000"/>
        </w:rPr>
        <w:fldChar w:fldCharType="end"/>
      </w:r>
      <w:bookmarkEnd w:id="104"/>
      <w:bookmarkEnd w:id="105"/>
      <w:bookmarkEnd w:id="106"/>
      <w:r w:rsidRPr="00015190">
        <w:rPr>
          <w:color w:val="000000"/>
        </w:rPr>
        <w:t xml:space="preserve">. </w:t>
      </w:r>
      <w:r w:rsidRPr="00015190">
        <w:rPr>
          <w:rFonts w:cs="Arial"/>
          <w:i/>
          <w:color w:val="000000"/>
        </w:rPr>
        <w:t>Scoring threshold table to determine seagrass abundance status.</w:t>
      </w:r>
      <w:bookmarkEnd w:id="107"/>
      <w:bookmarkEnd w:id="108"/>
      <w:r w:rsidRPr="00015190">
        <w:rPr>
          <w:i/>
          <w:color w:val="000000"/>
        </w:rPr>
        <w:t xml:space="preserve"> </w:t>
      </w:r>
    </w:p>
    <w:p w14:paraId="24AEFADE" w14:textId="01B40AF5" w:rsidR="003D1F7F" w:rsidRPr="00015190" w:rsidRDefault="003D1F7F" w:rsidP="003D1F7F">
      <w:pPr>
        <w:jc w:val="center"/>
        <w:rPr>
          <w:color w:val="000000"/>
        </w:rPr>
      </w:pPr>
      <w:r w:rsidRPr="00015190">
        <w:rPr>
          <w:i/>
          <w:color w:val="000000"/>
        </w:rPr>
        <w:t>low = 10</w:t>
      </w:r>
      <w:r w:rsidRPr="00015190">
        <w:rPr>
          <w:i/>
          <w:color w:val="000000"/>
          <w:vertAlign w:val="superscript"/>
        </w:rPr>
        <w:t>th</w:t>
      </w:r>
      <w:r w:rsidRPr="00015190">
        <w:rPr>
          <w:i/>
          <w:color w:val="000000"/>
        </w:rPr>
        <w:t xml:space="preserve"> or 20</w:t>
      </w:r>
      <w:r w:rsidRPr="00015190">
        <w:rPr>
          <w:i/>
          <w:color w:val="000000"/>
          <w:vertAlign w:val="superscript"/>
        </w:rPr>
        <w:t>th</w:t>
      </w:r>
      <w:r w:rsidRPr="00015190">
        <w:rPr>
          <w:i/>
          <w:color w:val="000000"/>
        </w:rPr>
        <w:t xml:space="preserve"> percentile </w:t>
      </w:r>
      <w:r w:rsidRPr="002B4B54">
        <w:rPr>
          <w:i/>
          <w:color w:val="000000"/>
        </w:rPr>
        <w:t>guideline (</w:t>
      </w:r>
      <w:r w:rsidR="00D31666">
        <w:rPr>
          <w:i/>
          <w:color w:val="000000"/>
        </w:rPr>
        <w:t xml:space="preserve">see Appendix 3, </w:t>
      </w:r>
      <w:r w:rsidRPr="002B4B54">
        <w:rPr>
          <w:i/>
          <w:color w:val="000000"/>
        </w:rPr>
        <w:fldChar w:fldCharType="begin"/>
      </w:r>
      <w:r w:rsidRPr="002B4B54">
        <w:rPr>
          <w:i/>
          <w:color w:val="000000"/>
        </w:rPr>
        <w:instrText xml:space="preserve"> REF _Ref340344284 \h  \* MERGEFORMAT </w:instrText>
      </w:r>
      <w:r w:rsidRPr="002B4B54">
        <w:rPr>
          <w:i/>
          <w:color w:val="000000"/>
        </w:rPr>
      </w:r>
      <w:r w:rsidRPr="002B4B54">
        <w:rPr>
          <w:i/>
          <w:color w:val="000000"/>
        </w:rPr>
        <w:fldChar w:fldCharType="separate"/>
      </w:r>
      <w:r w:rsidR="00F87DF9" w:rsidRPr="00F87DF9">
        <w:rPr>
          <w:i/>
          <w:color w:val="000000"/>
        </w:rPr>
        <w:t>Table 38</w:t>
      </w:r>
      <w:r w:rsidRPr="002B4B54">
        <w:rPr>
          <w:i/>
          <w:color w:val="000000"/>
        </w:rPr>
        <w:fldChar w:fldCharType="end"/>
      </w:r>
      <w:r w:rsidRPr="002B4B54">
        <w:rPr>
          <w:i/>
          <w:color w:val="000000"/>
        </w:rPr>
        <w:t>).</w:t>
      </w:r>
      <w:r w:rsidRPr="00015190">
        <w:rPr>
          <w:i/>
          <w:color w:val="000000"/>
        </w:rPr>
        <w:t xml:space="preserve"> </w:t>
      </w:r>
      <w:r>
        <w:rPr>
          <w:i/>
          <w:color w:val="000000"/>
        </w:rPr>
        <w:t>NB: scores are unitless.</w:t>
      </w:r>
    </w:p>
    <w:tbl>
      <w:tblPr>
        <w:tblW w:w="6907" w:type="dxa"/>
        <w:jc w:val="center"/>
        <w:tblLook w:val="0000" w:firstRow="0" w:lastRow="0" w:firstColumn="0" w:lastColumn="0" w:noHBand="0" w:noVBand="0"/>
      </w:tblPr>
      <w:tblGrid>
        <w:gridCol w:w="1370"/>
        <w:gridCol w:w="2357"/>
        <w:gridCol w:w="1560"/>
        <w:gridCol w:w="1620"/>
      </w:tblGrid>
      <w:tr w:rsidR="003D1F7F" w:rsidRPr="00015190" w14:paraId="68CB6EB5" w14:textId="77777777" w:rsidTr="000252FF">
        <w:trPr>
          <w:trHeight w:val="290"/>
          <w:jc w:val="center"/>
        </w:trPr>
        <w:tc>
          <w:tcPr>
            <w:tcW w:w="1370" w:type="dxa"/>
            <w:tcBorders>
              <w:top w:val="single" w:sz="4" w:space="0" w:color="auto"/>
              <w:left w:val="nil"/>
              <w:bottom w:val="single" w:sz="4" w:space="0" w:color="auto"/>
              <w:right w:val="nil"/>
            </w:tcBorders>
            <w:noWrap/>
            <w:vAlign w:val="bottom"/>
          </w:tcPr>
          <w:p w14:paraId="67DAEB28" w14:textId="52D73476" w:rsidR="003D1F7F" w:rsidRPr="00015190" w:rsidRDefault="000252FF" w:rsidP="001368E7">
            <w:pPr>
              <w:spacing w:before="0" w:after="0"/>
              <w:jc w:val="center"/>
              <w:rPr>
                <w:b/>
                <w:color w:val="000000"/>
                <w:lang w:val="en-US"/>
              </w:rPr>
            </w:pPr>
            <w:r>
              <w:rPr>
                <w:b/>
                <w:color w:val="000000"/>
                <w:szCs w:val="22"/>
                <w:lang w:val="en-US"/>
              </w:rPr>
              <w:t>grade</w:t>
            </w:r>
          </w:p>
        </w:tc>
        <w:tc>
          <w:tcPr>
            <w:tcW w:w="2357" w:type="dxa"/>
            <w:tcBorders>
              <w:top w:val="single" w:sz="4" w:space="0" w:color="auto"/>
              <w:left w:val="nil"/>
              <w:bottom w:val="single" w:sz="4" w:space="0" w:color="auto"/>
              <w:right w:val="nil"/>
            </w:tcBorders>
            <w:noWrap/>
            <w:vAlign w:val="bottom"/>
          </w:tcPr>
          <w:p w14:paraId="547C4A4A" w14:textId="3BBA3A03" w:rsidR="003D1F7F" w:rsidRPr="00015190" w:rsidRDefault="000252FF" w:rsidP="001368E7">
            <w:pPr>
              <w:spacing w:before="0" w:after="0"/>
              <w:jc w:val="center"/>
              <w:rPr>
                <w:b/>
                <w:color w:val="000000"/>
                <w:lang w:val="en-US"/>
              </w:rPr>
            </w:pPr>
            <w:r>
              <w:rPr>
                <w:b/>
                <w:color w:val="000000"/>
                <w:szCs w:val="22"/>
                <w:lang w:val="en-US"/>
              </w:rPr>
              <w:t xml:space="preserve">percentile </w:t>
            </w:r>
            <w:r w:rsidR="003D1F7F" w:rsidRPr="00015190">
              <w:rPr>
                <w:b/>
                <w:color w:val="000000"/>
                <w:szCs w:val="22"/>
                <w:lang w:val="en-US"/>
              </w:rPr>
              <w:t>category</w:t>
            </w:r>
          </w:p>
        </w:tc>
        <w:tc>
          <w:tcPr>
            <w:tcW w:w="1560" w:type="dxa"/>
            <w:tcBorders>
              <w:top w:val="single" w:sz="4" w:space="0" w:color="auto"/>
              <w:left w:val="nil"/>
              <w:bottom w:val="single" w:sz="4" w:space="0" w:color="auto"/>
              <w:right w:val="nil"/>
            </w:tcBorders>
            <w:noWrap/>
            <w:vAlign w:val="bottom"/>
          </w:tcPr>
          <w:p w14:paraId="3F3AD87E" w14:textId="77777777" w:rsidR="003D1F7F" w:rsidRPr="00015190" w:rsidRDefault="003D1F7F" w:rsidP="001368E7">
            <w:pPr>
              <w:spacing w:before="0" w:after="0"/>
              <w:jc w:val="center"/>
              <w:rPr>
                <w:b/>
                <w:color w:val="000000"/>
                <w:lang w:val="en-US"/>
              </w:rPr>
            </w:pPr>
            <w:r w:rsidRPr="00015190">
              <w:rPr>
                <w:b/>
                <w:color w:val="000000"/>
                <w:szCs w:val="22"/>
                <w:lang w:val="en-US"/>
              </w:rPr>
              <w:t>score</w:t>
            </w:r>
          </w:p>
        </w:tc>
        <w:tc>
          <w:tcPr>
            <w:tcW w:w="1620" w:type="dxa"/>
            <w:tcBorders>
              <w:top w:val="single" w:sz="4" w:space="0" w:color="auto"/>
              <w:left w:val="nil"/>
              <w:bottom w:val="single" w:sz="4" w:space="0" w:color="auto"/>
              <w:right w:val="nil"/>
            </w:tcBorders>
            <w:noWrap/>
            <w:vAlign w:val="bottom"/>
          </w:tcPr>
          <w:p w14:paraId="4F902AEC" w14:textId="77777777" w:rsidR="003D1F7F" w:rsidRPr="00015190" w:rsidRDefault="003D1F7F" w:rsidP="001368E7">
            <w:pPr>
              <w:spacing w:before="0" w:after="0"/>
              <w:jc w:val="center"/>
              <w:rPr>
                <w:b/>
                <w:color w:val="000000"/>
                <w:lang w:val="en-US"/>
              </w:rPr>
            </w:pPr>
            <w:r w:rsidRPr="00015190">
              <w:rPr>
                <w:b/>
                <w:color w:val="000000"/>
                <w:szCs w:val="22"/>
                <w:lang w:val="en-US"/>
              </w:rPr>
              <w:t>status</w:t>
            </w:r>
          </w:p>
        </w:tc>
      </w:tr>
      <w:tr w:rsidR="003D1F7F" w:rsidRPr="00015190" w14:paraId="42047088" w14:textId="77777777" w:rsidTr="000252FF">
        <w:trPr>
          <w:trHeight w:val="290"/>
          <w:jc w:val="center"/>
        </w:trPr>
        <w:tc>
          <w:tcPr>
            <w:tcW w:w="1370" w:type="dxa"/>
            <w:tcBorders>
              <w:top w:val="nil"/>
              <w:left w:val="nil"/>
              <w:bottom w:val="nil"/>
              <w:right w:val="nil"/>
            </w:tcBorders>
            <w:noWrap/>
            <w:vAlign w:val="bottom"/>
          </w:tcPr>
          <w:p w14:paraId="5F6300D3" w14:textId="77777777" w:rsidR="003D1F7F" w:rsidRPr="00015190" w:rsidRDefault="003D1F7F" w:rsidP="001368E7">
            <w:pPr>
              <w:spacing w:before="0" w:after="0"/>
              <w:rPr>
                <w:i/>
                <w:iCs/>
                <w:color w:val="000000"/>
                <w:lang w:eastAsia="en-AU"/>
              </w:rPr>
            </w:pPr>
            <w:r w:rsidRPr="00015190">
              <w:rPr>
                <w:i/>
                <w:iCs/>
                <w:color w:val="000000"/>
                <w:szCs w:val="22"/>
                <w:lang w:eastAsia="en-AU"/>
              </w:rPr>
              <w:t>very good</w:t>
            </w:r>
          </w:p>
        </w:tc>
        <w:tc>
          <w:tcPr>
            <w:tcW w:w="2357" w:type="dxa"/>
            <w:tcBorders>
              <w:top w:val="nil"/>
              <w:left w:val="nil"/>
              <w:bottom w:val="nil"/>
              <w:right w:val="nil"/>
            </w:tcBorders>
            <w:noWrap/>
            <w:vAlign w:val="bottom"/>
          </w:tcPr>
          <w:p w14:paraId="74238E25" w14:textId="77777777" w:rsidR="003D1F7F" w:rsidRPr="00015190" w:rsidRDefault="003D1F7F" w:rsidP="001368E7">
            <w:pPr>
              <w:spacing w:before="0" w:after="0"/>
              <w:jc w:val="center"/>
              <w:rPr>
                <w:color w:val="000000"/>
                <w:lang w:eastAsia="en-AU"/>
              </w:rPr>
            </w:pPr>
            <w:r w:rsidRPr="00015190">
              <w:rPr>
                <w:color w:val="000000"/>
                <w:szCs w:val="22"/>
                <w:lang w:eastAsia="en-AU"/>
              </w:rPr>
              <w:t>75-100</w:t>
            </w:r>
          </w:p>
        </w:tc>
        <w:tc>
          <w:tcPr>
            <w:tcW w:w="1560" w:type="dxa"/>
            <w:tcBorders>
              <w:top w:val="nil"/>
              <w:left w:val="nil"/>
              <w:bottom w:val="nil"/>
              <w:right w:val="nil"/>
            </w:tcBorders>
            <w:noWrap/>
            <w:vAlign w:val="bottom"/>
          </w:tcPr>
          <w:p w14:paraId="13110613" w14:textId="77777777" w:rsidR="003D1F7F" w:rsidRPr="00015190" w:rsidRDefault="003D1F7F" w:rsidP="001368E7">
            <w:pPr>
              <w:spacing w:before="0" w:after="0"/>
              <w:jc w:val="center"/>
              <w:rPr>
                <w:color w:val="000000"/>
                <w:lang w:eastAsia="en-AU"/>
              </w:rPr>
            </w:pPr>
            <w:r w:rsidRPr="00015190">
              <w:rPr>
                <w:color w:val="000000"/>
                <w:szCs w:val="22"/>
                <w:lang w:eastAsia="en-AU"/>
              </w:rPr>
              <w:t>100</w:t>
            </w:r>
          </w:p>
        </w:tc>
        <w:tc>
          <w:tcPr>
            <w:tcW w:w="1620" w:type="dxa"/>
            <w:tcBorders>
              <w:top w:val="nil"/>
              <w:left w:val="nil"/>
              <w:bottom w:val="nil"/>
              <w:right w:val="nil"/>
            </w:tcBorders>
            <w:shd w:val="clear" w:color="auto" w:fill="008000"/>
            <w:noWrap/>
            <w:vAlign w:val="bottom"/>
          </w:tcPr>
          <w:p w14:paraId="0F22B849" w14:textId="77777777" w:rsidR="003D1F7F" w:rsidRPr="00015190" w:rsidRDefault="003D1F7F" w:rsidP="002605DA">
            <w:pPr>
              <w:spacing w:before="0" w:after="0"/>
              <w:jc w:val="center"/>
              <w:rPr>
                <w:color w:val="000000"/>
                <w:lang w:eastAsia="en-AU"/>
              </w:rPr>
            </w:pPr>
            <w:r w:rsidRPr="00015190">
              <w:rPr>
                <w:color w:val="000000"/>
                <w:szCs w:val="22"/>
                <w:lang w:eastAsia="en-AU"/>
              </w:rPr>
              <w:t>8</w:t>
            </w:r>
            <w:r w:rsidR="002605DA">
              <w:rPr>
                <w:color w:val="000000"/>
                <w:szCs w:val="22"/>
                <w:lang w:eastAsia="en-AU"/>
              </w:rPr>
              <w:t>1</w:t>
            </w:r>
            <w:r w:rsidRPr="00015190">
              <w:rPr>
                <w:color w:val="000000"/>
                <w:szCs w:val="22"/>
                <w:lang w:eastAsia="en-AU"/>
              </w:rPr>
              <w:t xml:space="preserve"> - 100</w:t>
            </w:r>
          </w:p>
        </w:tc>
      </w:tr>
      <w:tr w:rsidR="003D1F7F" w:rsidRPr="00015190" w14:paraId="07C60766" w14:textId="77777777" w:rsidTr="000252FF">
        <w:trPr>
          <w:trHeight w:val="290"/>
          <w:jc w:val="center"/>
        </w:trPr>
        <w:tc>
          <w:tcPr>
            <w:tcW w:w="1370" w:type="dxa"/>
            <w:tcBorders>
              <w:top w:val="nil"/>
              <w:left w:val="nil"/>
              <w:bottom w:val="nil"/>
              <w:right w:val="nil"/>
            </w:tcBorders>
            <w:noWrap/>
            <w:vAlign w:val="bottom"/>
          </w:tcPr>
          <w:p w14:paraId="3F5DEB19" w14:textId="77777777" w:rsidR="003D1F7F" w:rsidRPr="00015190" w:rsidRDefault="003D1F7F" w:rsidP="001368E7">
            <w:pPr>
              <w:spacing w:before="0" w:after="0"/>
              <w:rPr>
                <w:i/>
                <w:iCs/>
                <w:color w:val="000000"/>
                <w:lang w:eastAsia="en-AU"/>
              </w:rPr>
            </w:pPr>
            <w:r w:rsidRPr="00015190">
              <w:rPr>
                <w:i/>
                <w:iCs/>
                <w:color w:val="000000"/>
                <w:szCs w:val="22"/>
                <w:lang w:eastAsia="en-AU"/>
              </w:rPr>
              <w:t>good</w:t>
            </w:r>
          </w:p>
        </w:tc>
        <w:tc>
          <w:tcPr>
            <w:tcW w:w="2357" w:type="dxa"/>
            <w:tcBorders>
              <w:top w:val="nil"/>
              <w:left w:val="nil"/>
              <w:bottom w:val="nil"/>
              <w:right w:val="nil"/>
            </w:tcBorders>
            <w:noWrap/>
            <w:vAlign w:val="bottom"/>
          </w:tcPr>
          <w:p w14:paraId="1110E1D2" w14:textId="77777777" w:rsidR="003D1F7F" w:rsidRPr="00015190" w:rsidRDefault="003D1F7F" w:rsidP="001368E7">
            <w:pPr>
              <w:spacing w:before="0" w:after="0"/>
              <w:jc w:val="center"/>
              <w:rPr>
                <w:color w:val="000000"/>
                <w:lang w:eastAsia="en-AU"/>
              </w:rPr>
            </w:pPr>
            <w:r w:rsidRPr="00015190">
              <w:rPr>
                <w:color w:val="000000"/>
                <w:szCs w:val="22"/>
                <w:lang w:eastAsia="en-AU"/>
              </w:rPr>
              <w:t>50-75</w:t>
            </w:r>
          </w:p>
        </w:tc>
        <w:tc>
          <w:tcPr>
            <w:tcW w:w="1560" w:type="dxa"/>
            <w:tcBorders>
              <w:top w:val="nil"/>
              <w:left w:val="nil"/>
              <w:bottom w:val="nil"/>
              <w:right w:val="nil"/>
            </w:tcBorders>
            <w:noWrap/>
            <w:vAlign w:val="bottom"/>
          </w:tcPr>
          <w:p w14:paraId="4FB3F08F" w14:textId="77777777" w:rsidR="003D1F7F" w:rsidRPr="00015190" w:rsidRDefault="003D1F7F" w:rsidP="001368E7">
            <w:pPr>
              <w:spacing w:before="0" w:after="0"/>
              <w:jc w:val="center"/>
              <w:rPr>
                <w:color w:val="000000"/>
                <w:lang w:eastAsia="en-AU"/>
              </w:rPr>
            </w:pPr>
            <w:r w:rsidRPr="00015190">
              <w:rPr>
                <w:color w:val="000000"/>
                <w:szCs w:val="22"/>
                <w:lang w:eastAsia="en-AU"/>
              </w:rPr>
              <w:t>75</w:t>
            </w:r>
          </w:p>
        </w:tc>
        <w:tc>
          <w:tcPr>
            <w:tcW w:w="1620" w:type="dxa"/>
            <w:tcBorders>
              <w:top w:val="nil"/>
              <w:left w:val="nil"/>
              <w:bottom w:val="nil"/>
              <w:right w:val="nil"/>
            </w:tcBorders>
            <w:shd w:val="clear" w:color="auto" w:fill="92D050"/>
            <w:noWrap/>
            <w:vAlign w:val="bottom"/>
          </w:tcPr>
          <w:p w14:paraId="45206B6D" w14:textId="77777777"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1</w:t>
            </w:r>
            <w:r w:rsidRPr="00015190">
              <w:rPr>
                <w:color w:val="000000"/>
                <w:szCs w:val="22"/>
                <w:lang w:eastAsia="en-AU"/>
              </w:rPr>
              <w:t xml:space="preserve"> - 80</w:t>
            </w:r>
          </w:p>
        </w:tc>
      </w:tr>
      <w:tr w:rsidR="003D1F7F" w:rsidRPr="00015190" w14:paraId="2CE5017D" w14:textId="77777777" w:rsidTr="000252FF">
        <w:trPr>
          <w:trHeight w:val="290"/>
          <w:jc w:val="center"/>
        </w:trPr>
        <w:tc>
          <w:tcPr>
            <w:tcW w:w="1370" w:type="dxa"/>
            <w:tcBorders>
              <w:top w:val="nil"/>
              <w:left w:val="nil"/>
              <w:bottom w:val="nil"/>
              <w:right w:val="nil"/>
            </w:tcBorders>
            <w:noWrap/>
            <w:vAlign w:val="bottom"/>
          </w:tcPr>
          <w:p w14:paraId="53167C84" w14:textId="77777777" w:rsidR="003D1F7F" w:rsidRPr="00015190" w:rsidRDefault="003D1F7F" w:rsidP="001368E7">
            <w:pPr>
              <w:spacing w:before="0" w:after="0"/>
              <w:rPr>
                <w:i/>
                <w:iCs/>
                <w:color w:val="000000"/>
                <w:lang w:eastAsia="en-AU"/>
              </w:rPr>
            </w:pPr>
            <w:r w:rsidRPr="00015190">
              <w:rPr>
                <w:i/>
                <w:iCs/>
                <w:color w:val="000000"/>
                <w:szCs w:val="22"/>
                <w:lang w:eastAsia="en-AU"/>
              </w:rPr>
              <w:t>moderate</w:t>
            </w:r>
          </w:p>
        </w:tc>
        <w:tc>
          <w:tcPr>
            <w:tcW w:w="2357" w:type="dxa"/>
            <w:tcBorders>
              <w:top w:val="nil"/>
              <w:left w:val="nil"/>
              <w:bottom w:val="nil"/>
              <w:right w:val="nil"/>
            </w:tcBorders>
            <w:noWrap/>
            <w:vAlign w:val="bottom"/>
          </w:tcPr>
          <w:p w14:paraId="20B3B117" w14:textId="77777777" w:rsidR="003D1F7F" w:rsidRPr="00015190" w:rsidRDefault="003D1F7F" w:rsidP="001368E7">
            <w:pPr>
              <w:spacing w:before="0" w:after="0"/>
              <w:jc w:val="center"/>
              <w:rPr>
                <w:color w:val="000000"/>
                <w:lang w:eastAsia="en-AU"/>
              </w:rPr>
            </w:pPr>
            <w:r w:rsidRPr="00015190">
              <w:rPr>
                <w:color w:val="000000"/>
                <w:szCs w:val="22"/>
                <w:lang w:eastAsia="en-AU"/>
              </w:rPr>
              <w:t>low-50</w:t>
            </w:r>
          </w:p>
        </w:tc>
        <w:tc>
          <w:tcPr>
            <w:tcW w:w="1560" w:type="dxa"/>
            <w:tcBorders>
              <w:top w:val="nil"/>
              <w:left w:val="nil"/>
              <w:bottom w:val="nil"/>
              <w:right w:val="nil"/>
            </w:tcBorders>
            <w:noWrap/>
            <w:vAlign w:val="bottom"/>
          </w:tcPr>
          <w:p w14:paraId="289D90BB" w14:textId="77777777" w:rsidR="003D1F7F" w:rsidRPr="00015190" w:rsidRDefault="003D1F7F" w:rsidP="001368E7">
            <w:pPr>
              <w:spacing w:before="0" w:after="0"/>
              <w:jc w:val="center"/>
              <w:rPr>
                <w:color w:val="000000"/>
                <w:lang w:eastAsia="en-AU"/>
              </w:rPr>
            </w:pPr>
            <w:r w:rsidRPr="00015190">
              <w:rPr>
                <w:color w:val="000000"/>
                <w:szCs w:val="22"/>
                <w:lang w:eastAsia="en-AU"/>
              </w:rPr>
              <w:t>50</w:t>
            </w:r>
          </w:p>
        </w:tc>
        <w:tc>
          <w:tcPr>
            <w:tcW w:w="1620" w:type="dxa"/>
            <w:tcBorders>
              <w:top w:val="nil"/>
              <w:left w:val="nil"/>
              <w:bottom w:val="nil"/>
              <w:right w:val="nil"/>
            </w:tcBorders>
            <w:shd w:val="clear" w:color="auto" w:fill="FFFF00"/>
            <w:noWrap/>
            <w:vAlign w:val="bottom"/>
          </w:tcPr>
          <w:p w14:paraId="3FC61373" w14:textId="77777777" w:rsidR="003D1F7F" w:rsidRPr="00015190" w:rsidRDefault="002605DA" w:rsidP="002605DA">
            <w:pPr>
              <w:spacing w:before="0" w:after="0"/>
              <w:jc w:val="center"/>
              <w:rPr>
                <w:color w:val="000000"/>
                <w:lang w:eastAsia="en-AU"/>
              </w:rPr>
            </w:pPr>
            <w:r>
              <w:rPr>
                <w:color w:val="000000"/>
                <w:szCs w:val="22"/>
                <w:lang w:eastAsia="en-AU"/>
              </w:rPr>
              <w:t xml:space="preserve">41 - </w:t>
            </w:r>
            <w:r w:rsidR="003D1F7F" w:rsidRPr="00015190">
              <w:rPr>
                <w:color w:val="000000"/>
                <w:szCs w:val="22"/>
                <w:lang w:eastAsia="en-AU"/>
              </w:rPr>
              <w:t>60</w:t>
            </w:r>
          </w:p>
        </w:tc>
      </w:tr>
      <w:tr w:rsidR="003D1F7F" w:rsidRPr="00015190" w14:paraId="4A38D832" w14:textId="77777777" w:rsidTr="000252FF">
        <w:trPr>
          <w:trHeight w:val="290"/>
          <w:jc w:val="center"/>
        </w:trPr>
        <w:tc>
          <w:tcPr>
            <w:tcW w:w="1370" w:type="dxa"/>
            <w:tcBorders>
              <w:top w:val="nil"/>
              <w:left w:val="nil"/>
              <w:right w:val="nil"/>
            </w:tcBorders>
            <w:noWrap/>
            <w:vAlign w:val="bottom"/>
          </w:tcPr>
          <w:p w14:paraId="6876E2A9" w14:textId="77777777" w:rsidR="003D1F7F" w:rsidRPr="00015190" w:rsidRDefault="003D1F7F" w:rsidP="001368E7">
            <w:pPr>
              <w:spacing w:before="0" w:after="0"/>
              <w:rPr>
                <w:i/>
                <w:iCs/>
                <w:color w:val="000000"/>
                <w:lang w:eastAsia="en-AU"/>
              </w:rPr>
            </w:pPr>
            <w:r w:rsidRPr="00015190">
              <w:rPr>
                <w:i/>
                <w:iCs/>
                <w:color w:val="000000"/>
                <w:szCs w:val="22"/>
                <w:lang w:eastAsia="en-AU"/>
              </w:rPr>
              <w:t>poor</w:t>
            </w:r>
          </w:p>
        </w:tc>
        <w:tc>
          <w:tcPr>
            <w:tcW w:w="2357" w:type="dxa"/>
            <w:tcBorders>
              <w:top w:val="nil"/>
              <w:left w:val="nil"/>
              <w:right w:val="nil"/>
            </w:tcBorders>
            <w:noWrap/>
            <w:vAlign w:val="bottom"/>
          </w:tcPr>
          <w:p w14:paraId="33E26DD3" w14:textId="77777777" w:rsidR="003D1F7F" w:rsidRPr="00015190" w:rsidRDefault="003D1F7F" w:rsidP="001368E7">
            <w:pPr>
              <w:spacing w:before="0" w:after="0"/>
              <w:jc w:val="center"/>
              <w:rPr>
                <w:color w:val="000000"/>
                <w:lang w:eastAsia="en-AU"/>
              </w:rPr>
            </w:pPr>
            <w:r w:rsidRPr="00015190">
              <w:rPr>
                <w:color w:val="000000"/>
                <w:szCs w:val="22"/>
                <w:lang w:eastAsia="en-AU"/>
              </w:rPr>
              <w:t>&lt;low</w:t>
            </w:r>
          </w:p>
        </w:tc>
        <w:tc>
          <w:tcPr>
            <w:tcW w:w="1560" w:type="dxa"/>
            <w:tcBorders>
              <w:top w:val="nil"/>
              <w:left w:val="nil"/>
              <w:right w:val="nil"/>
            </w:tcBorders>
            <w:noWrap/>
            <w:vAlign w:val="bottom"/>
          </w:tcPr>
          <w:p w14:paraId="109BF7DE" w14:textId="77777777" w:rsidR="003D1F7F" w:rsidRPr="00015190" w:rsidRDefault="003D1F7F" w:rsidP="001368E7">
            <w:pPr>
              <w:spacing w:before="0" w:after="0"/>
              <w:jc w:val="center"/>
              <w:rPr>
                <w:color w:val="000000"/>
                <w:lang w:eastAsia="en-AU"/>
              </w:rPr>
            </w:pPr>
            <w:r w:rsidRPr="00015190">
              <w:rPr>
                <w:color w:val="000000"/>
                <w:szCs w:val="22"/>
                <w:lang w:eastAsia="en-AU"/>
              </w:rPr>
              <w:t>25</w:t>
            </w:r>
          </w:p>
        </w:tc>
        <w:tc>
          <w:tcPr>
            <w:tcW w:w="1620" w:type="dxa"/>
            <w:tcBorders>
              <w:top w:val="nil"/>
              <w:left w:val="nil"/>
              <w:right w:val="nil"/>
            </w:tcBorders>
            <w:shd w:val="clear" w:color="auto" w:fill="FFC000"/>
            <w:noWrap/>
            <w:vAlign w:val="bottom"/>
          </w:tcPr>
          <w:p w14:paraId="4A80CCAD" w14:textId="77777777" w:rsidR="003D1F7F" w:rsidRPr="00015190" w:rsidRDefault="002605DA" w:rsidP="002605DA">
            <w:pPr>
              <w:spacing w:before="0" w:after="0"/>
              <w:jc w:val="center"/>
              <w:rPr>
                <w:color w:val="000000"/>
                <w:lang w:eastAsia="en-AU"/>
              </w:rPr>
            </w:pPr>
            <w:r>
              <w:rPr>
                <w:color w:val="000000"/>
                <w:szCs w:val="22"/>
                <w:lang w:eastAsia="en-AU"/>
              </w:rPr>
              <w:t xml:space="preserve">21 - </w:t>
            </w:r>
            <w:r w:rsidR="003D1F7F" w:rsidRPr="00015190">
              <w:rPr>
                <w:color w:val="000000"/>
                <w:szCs w:val="22"/>
                <w:lang w:eastAsia="en-AU"/>
              </w:rPr>
              <w:t>40</w:t>
            </w:r>
          </w:p>
        </w:tc>
      </w:tr>
      <w:tr w:rsidR="003D1F7F" w:rsidRPr="00015190" w14:paraId="09A4F357" w14:textId="77777777" w:rsidTr="000252FF">
        <w:trPr>
          <w:trHeight w:val="290"/>
          <w:jc w:val="center"/>
        </w:trPr>
        <w:tc>
          <w:tcPr>
            <w:tcW w:w="1370" w:type="dxa"/>
            <w:tcBorders>
              <w:top w:val="nil"/>
              <w:left w:val="nil"/>
              <w:bottom w:val="single" w:sz="4" w:space="0" w:color="auto"/>
              <w:right w:val="nil"/>
            </w:tcBorders>
            <w:noWrap/>
            <w:vAlign w:val="bottom"/>
          </w:tcPr>
          <w:p w14:paraId="01CADDB8" w14:textId="77777777" w:rsidR="003D1F7F" w:rsidRPr="00015190" w:rsidRDefault="003D1F7F" w:rsidP="001368E7">
            <w:pPr>
              <w:spacing w:before="0" w:after="0"/>
              <w:rPr>
                <w:i/>
                <w:iCs/>
                <w:color w:val="000000"/>
                <w:lang w:eastAsia="en-AU"/>
              </w:rPr>
            </w:pPr>
            <w:r w:rsidRPr="00015190">
              <w:rPr>
                <w:i/>
                <w:iCs/>
                <w:color w:val="000000"/>
                <w:szCs w:val="22"/>
                <w:lang w:eastAsia="en-AU"/>
              </w:rPr>
              <w:t>very poor</w:t>
            </w:r>
          </w:p>
        </w:tc>
        <w:tc>
          <w:tcPr>
            <w:tcW w:w="2357" w:type="dxa"/>
            <w:tcBorders>
              <w:top w:val="nil"/>
              <w:left w:val="nil"/>
              <w:bottom w:val="single" w:sz="4" w:space="0" w:color="auto"/>
              <w:right w:val="nil"/>
            </w:tcBorders>
            <w:noWrap/>
            <w:vAlign w:val="bottom"/>
          </w:tcPr>
          <w:p w14:paraId="5EA8905E" w14:textId="530D605D" w:rsidR="003D1F7F" w:rsidRPr="00015190" w:rsidRDefault="003D1F7F" w:rsidP="001368E7">
            <w:pPr>
              <w:spacing w:before="0" w:after="0"/>
              <w:jc w:val="center"/>
              <w:rPr>
                <w:color w:val="000000"/>
                <w:lang w:eastAsia="en-AU"/>
              </w:rPr>
            </w:pPr>
            <w:r w:rsidRPr="00015190">
              <w:rPr>
                <w:color w:val="000000"/>
                <w:szCs w:val="22"/>
                <w:lang w:eastAsia="en-AU"/>
              </w:rPr>
              <w:t>&lt;low by &gt;20</w:t>
            </w:r>
            <w:r w:rsidR="0063478C">
              <w:rPr>
                <w:color w:val="000000"/>
                <w:szCs w:val="22"/>
                <w:lang w:eastAsia="en-AU"/>
              </w:rPr>
              <w:t xml:space="preserve"> per cent</w:t>
            </w:r>
          </w:p>
        </w:tc>
        <w:tc>
          <w:tcPr>
            <w:tcW w:w="1560" w:type="dxa"/>
            <w:tcBorders>
              <w:top w:val="nil"/>
              <w:left w:val="nil"/>
              <w:bottom w:val="single" w:sz="4" w:space="0" w:color="auto"/>
              <w:right w:val="nil"/>
            </w:tcBorders>
            <w:noWrap/>
            <w:vAlign w:val="bottom"/>
          </w:tcPr>
          <w:p w14:paraId="03B74CA8" w14:textId="77777777"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tcPr>
          <w:p w14:paraId="2A047FBB" w14:textId="77777777"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14:paraId="1EBFC0BB" w14:textId="77777777" w:rsidR="00F26FBD" w:rsidRPr="00F26FBD" w:rsidRDefault="00F26FBD" w:rsidP="00F26FBD">
      <w:pPr>
        <w:rPr>
          <w:color w:val="000000"/>
          <w:szCs w:val="22"/>
        </w:rPr>
      </w:pPr>
      <w:bookmarkStart w:id="109" w:name="_Toc184101956"/>
      <w:bookmarkStart w:id="110" w:name="_Toc381027992"/>
    </w:p>
    <w:p w14:paraId="1818123F" w14:textId="77777777" w:rsidR="003D1F7F" w:rsidRPr="00BA12BB" w:rsidRDefault="003D1F7F" w:rsidP="00926892">
      <w:pPr>
        <w:pStyle w:val="Heading3"/>
        <w:numPr>
          <w:ilvl w:val="2"/>
          <w:numId w:val="9"/>
        </w:numPr>
        <w:rPr>
          <w:rFonts w:ascii="Arial" w:hAnsi="Arial" w:cs="Arial"/>
        </w:rPr>
      </w:pPr>
      <w:bookmarkStart w:id="111" w:name="_Toc516053129"/>
      <w:r w:rsidRPr="00BA12BB">
        <w:rPr>
          <w:rFonts w:ascii="Arial" w:hAnsi="Arial" w:cs="Arial"/>
        </w:rPr>
        <w:t>Seagrass reproductive effort</w:t>
      </w:r>
      <w:bookmarkEnd w:id="109"/>
      <w:bookmarkEnd w:id="110"/>
      <w:bookmarkEnd w:id="111"/>
    </w:p>
    <w:p w14:paraId="6E80B2DB" w14:textId="0CF8EBF7" w:rsidR="003D1F7F" w:rsidRPr="00C73D97" w:rsidRDefault="005A3EF5" w:rsidP="003D1F7F">
      <w:pPr>
        <w:rPr>
          <w:szCs w:val="22"/>
        </w:rPr>
      </w:pPr>
      <w:r w:rsidRPr="00C73D97">
        <w:rPr>
          <w:szCs w:val="22"/>
        </w:rPr>
        <w:t xml:space="preserve">Most seagrass species of the </w:t>
      </w:r>
      <w:r w:rsidR="007F6948">
        <w:rPr>
          <w:szCs w:val="22"/>
        </w:rPr>
        <w:t>Great Barrier Reef</w:t>
      </w:r>
      <w:r w:rsidRPr="00C73D97">
        <w:rPr>
          <w:szCs w:val="22"/>
        </w:rPr>
        <w:t xml:space="preserve"> </w:t>
      </w:r>
      <w:r w:rsidR="007F36FB" w:rsidRPr="00C73D97">
        <w:rPr>
          <w:szCs w:val="22"/>
        </w:rPr>
        <w:t xml:space="preserve">produce </w:t>
      </w:r>
      <w:r w:rsidRPr="00C73D97">
        <w:rPr>
          <w:szCs w:val="22"/>
        </w:rPr>
        <w:t>flower</w:t>
      </w:r>
      <w:r w:rsidR="007F36FB" w:rsidRPr="00C73D97">
        <w:rPr>
          <w:szCs w:val="22"/>
        </w:rPr>
        <w:t>s</w:t>
      </w:r>
      <w:r w:rsidRPr="00C73D97">
        <w:rPr>
          <w:szCs w:val="22"/>
        </w:rPr>
        <w:t xml:space="preserve"> in the late dry</w:t>
      </w:r>
      <w:r w:rsidR="007F36FB" w:rsidRPr="00C73D97">
        <w:rPr>
          <w:szCs w:val="22"/>
        </w:rPr>
        <w:t xml:space="preserve"> season</w:t>
      </w:r>
      <w:r w:rsidRPr="00C73D97">
        <w:rPr>
          <w:noProof/>
          <w:szCs w:val="22"/>
        </w:rPr>
        <w:t xml:space="preserve">, </w:t>
      </w:r>
      <w:r w:rsidR="00F64AA9" w:rsidRPr="00C73D97">
        <w:rPr>
          <w:noProof/>
          <w:szCs w:val="22"/>
        </w:rPr>
        <w:t>so reproductive effort is sampled during the late dry season</w:t>
      </w:r>
      <w:r w:rsidR="00E03E9F">
        <w:rPr>
          <w:noProof/>
          <w:szCs w:val="22"/>
        </w:rPr>
        <w:t xml:space="preserve"> to capture the sexual reproductive peak</w:t>
      </w:r>
      <w:r w:rsidR="00F64AA9" w:rsidRPr="00C73D97">
        <w:rPr>
          <w:noProof/>
          <w:szCs w:val="22"/>
        </w:rPr>
        <w:t xml:space="preserve">. However, </w:t>
      </w:r>
      <w:r w:rsidRPr="00C73D97">
        <w:rPr>
          <w:noProof/>
          <w:szCs w:val="22"/>
        </w:rPr>
        <w:t>t</w:t>
      </w:r>
      <w:r w:rsidR="00570476" w:rsidRPr="00C73D97">
        <w:rPr>
          <w:szCs w:val="22"/>
        </w:rPr>
        <w:t xml:space="preserve">he timing </w:t>
      </w:r>
      <w:r w:rsidRPr="00C73D97">
        <w:rPr>
          <w:szCs w:val="22"/>
        </w:rPr>
        <w:t xml:space="preserve">of peak flowering </w:t>
      </w:r>
      <w:r w:rsidR="00F64AA9" w:rsidRPr="00C73D97">
        <w:rPr>
          <w:szCs w:val="22"/>
        </w:rPr>
        <w:t xml:space="preserve">density </w:t>
      </w:r>
      <w:r w:rsidR="00570476" w:rsidRPr="00C73D97">
        <w:rPr>
          <w:szCs w:val="22"/>
        </w:rPr>
        <w:t xml:space="preserve">and </w:t>
      </w:r>
      <w:r w:rsidRPr="00C73D97">
        <w:rPr>
          <w:szCs w:val="22"/>
        </w:rPr>
        <w:t xml:space="preserve">the </w:t>
      </w:r>
      <w:r w:rsidR="00570476" w:rsidRPr="00C73D97">
        <w:rPr>
          <w:szCs w:val="22"/>
        </w:rPr>
        <w:t xml:space="preserve">mode of </w:t>
      </w:r>
      <w:r w:rsidR="000C4B99" w:rsidRPr="00C73D97">
        <w:rPr>
          <w:szCs w:val="22"/>
        </w:rPr>
        <w:t>reproduction</w:t>
      </w:r>
      <w:r w:rsidR="00570476" w:rsidRPr="00C73D97">
        <w:rPr>
          <w:szCs w:val="22"/>
        </w:rPr>
        <w:t xml:space="preserve"> is variable among specie</w:t>
      </w:r>
      <w:r w:rsidR="00987F27" w:rsidRPr="00C73D97">
        <w:rPr>
          <w:szCs w:val="22"/>
        </w:rPr>
        <w:t xml:space="preserve">s </w:t>
      </w:r>
      <w:r w:rsidR="00987F27" w:rsidRPr="00C73D97">
        <w:rPr>
          <w:noProof/>
          <w:szCs w:val="22"/>
        </w:rPr>
        <w:t>(</w:t>
      </w:r>
      <w:hyperlink w:anchor="_ENREF_235" w:tooltip="Waycott, 2007 #9133" w:history="1">
        <w:r w:rsidR="00305FE7" w:rsidRPr="00C73D97">
          <w:rPr>
            <w:noProof/>
            <w:szCs w:val="22"/>
          </w:rPr>
          <w:fldChar w:fldCharType="begin"/>
        </w:r>
        <w:r w:rsidR="00305FE7">
          <w:rPr>
            <w:noProof/>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305FE7" w:rsidRPr="00C73D97">
          <w:rPr>
            <w:noProof/>
            <w:szCs w:val="22"/>
          </w:rPr>
          <w:fldChar w:fldCharType="separate"/>
        </w:r>
        <w:r w:rsidR="00305FE7">
          <w:rPr>
            <w:noProof/>
            <w:szCs w:val="22"/>
          </w:rPr>
          <w:t>Waycott</w:t>
        </w:r>
        <w:r w:rsidR="00305FE7" w:rsidRPr="00521D93">
          <w:rPr>
            <w:i/>
            <w:noProof/>
            <w:szCs w:val="22"/>
          </w:rPr>
          <w:t xml:space="preserve"> et al.</w:t>
        </w:r>
        <w:r w:rsidR="00305FE7">
          <w:rPr>
            <w:noProof/>
            <w:szCs w:val="22"/>
          </w:rPr>
          <w:t xml:space="preserve"> 2007</w:t>
        </w:r>
        <w:r w:rsidR="00305FE7" w:rsidRPr="00C73D97">
          <w:rPr>
            <w:noProof/>
            <w:szCs w:val="22"/>
          </w:rPr>
          <w:fldChar w:fldCharType="end"/>
        </w:r>
      </w:hyperlink>
      <w:r w:rsidR="00987F27" w:rsidRPr="00C73D97">
        <w:rPr>
          <w:noProof/>
          <w:szCs w:val="22"/>
        </w:rPr>
        <w:t>)</w:t>
      </w:r>
      <w:r w:rsidR="00223169" w:rsidRPr="00C73D97">
        <w:rPr>
          <w:szCs w:val="22"/>
        </w:rPr>
        <w:t xml:space="preserve">. In order to incorporate </w:t>
      </w:r>
      <w:r w:rsidR="003D1F7F" w:rsidRPr="00C73D97">
        <w:rPr>
          <w:szCs w:val="22"/>
        </w:rPr>
        <w:t xml:space="preserve">all available information </w:t>
      </w:r>
      <w:r w:rsidR="00223169" w:rsidRPr="00C73D97">
        <w:rPr>
          <w:szCs w:val="22"/>
        </w:rPr>
        <w:t>on reproduction</w:t>
      </w:r>
      <w:r w:rsidRPr="00C73D97">
        <w:rPr>
          <w:szCs w:val="22"/>
        </w:rPr>
        <w:t>, including recent past reproduction (as evidenced by seeds and fruits) and current reproduction (</w:t>
      </w:r>
      <w:r w:rsidR="003D1F7F" w:rsidRPr="00C73D97">
        <w:rPr>
          <w:szCs w:val="22"/>
        </w:rPr>
        <w:t>flowers</w:t>
      </w:r>
      <w:r w:rsidR="00F64AA9" w:rsidRPr="00C73D97">
        <w:rPr>
          <w:szCs w:val="22"/>
        </w:rPr>
        <w:t xml:space="preserve"> and inflorescences</w:t>
      </w:r>
      <w:r w:rsidRPr="00C73D97">
        <w:rPr>
          <w:szCs w:val="22"/>
        </w:rPr>
        <w:t>)</w:t>
      </w:r>
      <w:r w:rsidR="00E03E9F">
        <w:rPr>
          <w:szCs w:val="22"/>
        </w:rPr>
        <w:t>,</w:t>
      </w:r>
      <w:r w:rsidR="003D1F7F" w:rsidRPr="00C73D97">
        <w:rPr>
          <w:szCs w:val="22"/>
        </w:rPr>
        <w:t xml:space="preserve"> </w:t>
      </w:r>
      <w:r w:rsidRPr="00C73D97">
        <w:rPr>
          <w:szCs w:val="22"/>
        </w:rPr>
        <w:t>all reproductive structures are</w:t>
      </w:r>
      <w:r w:rsidR="00223169" w:rsidRPr="00C73D97">
        <w:rPr>
          <w:szCs w:val="22"/>
        </w:rPr>
        <w:t xml:space="preserve"> measured</w:t>
      </w:r>
      <w:r w:rsidR="003D1F7F" w:rsidRPr="00C73D97">
        <w:rPr>
          <w:szCs w:val="22"/>
        </w:rPr>
        <w:t xml:space="preserve">. </w:t>
      </w:r>
    </w:p>
    <w:p w14:paraId="6B2970A3" w14:textId="4481227F" w:rsidR="00D348B0" w:rsidRPr="00C73D97" w:rsidRDefault="00D348B0" w:rsidP="00D348B0">
      <w:pPr>
        <w:spacing w:before="0"/>
        <w:rPr>
          <w:szCs w:val="22"/>
        </w:rPr>
      </w:pPr>
      <w:r w:rsidRPr="00C73D97">
        <w:rPr>
          <w:szCs w:val="22"/>
        </w:rPr>
        <w:t xml:space="preserve">The average density of reproductive structures over a 5 year </w:t>
      </w:r>
      <w:r w:rsidR="00C73D97" w:rsidRPr="00C73D97">
        <w:rPr>
          <w:szCs w:val="22"/>
        </w:rPr>
        <w:t xml:space="preserve">baseline </w:t>
      </w:r>
      <w:r w:rsidRPr="00C73D97">
        <w:rPr>
          <w:szCs w:val="22"/>
        </w:rPr>
        <w:t xml:space="preserve">period (2005-2010) was used to determine a guideline value for a combination of all reproductive structures for all species, in each habitat type, across the </w:t>
      </w:r>
      <w:r w:rsidR="007F6948">
        <w:rPr>
          <w:szCs w:val="22"/>
        </w:rPr>
        <w:t>Great Barrier Reef</w:t>
      </w:r>
      <w:r w:rsidRPr="00C73D97">
        <w:rPr>
          <w:szCs w:val="22"/>
        </w:rPr>
        <w:t xml:space="preserve"> during the late dry (coastal intertidal = 8.22±0.71, estuarine intertidal = 5.07±0.41, reef intertidal = 1.32±0.14). The total number of reproductive structures per core measured during the current monitoring event (Sept/October 201</w:t>
      </w:r>
      <w:r w:rsidR="00C73D97" w:rsidRPr="00C73D97">
        <w:rPr>
          <w:szCs w:val="22"/>
        </w:rPr>
        <w:t>6</w:t>
      </w:r>
      <w:r w:rsidRPr="00C73D97">
        <w:rPr>
          <w:szCs w:val="22"/>
        </w:rPr>
        <w:t>) was normalised using this GBR average, with the ratio then being ranked from very good to very poor (Table 6</w:t>
      </w:r>
      <w:r w:rsidR="002868F2">
        <w:rPr>
          <w:szCs w:val="22"/>
        </w:rPr>
        <w:t xml:space="preserve">, </w:t>
      </w:r>
      <w:r w:rsidR="002868F2">
        <w:rPr>
          <w:szCs w:val="22"/>
        </w:rPr>
        <w:fldChar w:fldCharType="begin"/>
      </w:r>
      <w:r w:rsidR="002868F2">
        <w:rPr>
          <w:szCs w:val="22"/>
        </w:rPr>
        <w:instrText xml:space="preserve"> REF _Ref511381423 \h </w:instrText>
      </w:r>
      <w:r w:rsidR="002868F2">
        <w:rPr>
          <w:szCs w:val="22"/>
        </w:rPr>
      </w:r>
      <w:r w:rsidR="002868F2">
        <w:rPr>
          <w:szCs w:val="22"/>
        </w:rPr>
        <w:fldChar w:fldCharType="separate"/>
      </w:r>
      <w:r w:rsidR="00F87DF9">
        <w:t xml:space="preserve">Table </w:t>
      </w:r>
      <w:r w:rsidR="00F87DF9">
        <w:rPr>
          <w:noProof/>
        </w:rPr>
        <w:t>47</w:t>
      </w:r>
      <w:r w:rsidR="002868F2">
        <w:rPr>
          <w:szCs w:val="22"/>
        </w:rPr>
        <w:fldChar w:fldCharType="end"/>
      </w:r>
      <w:r w:rsidRPr="00C73D97">
        <w:rPr>
          <w:szCs w:val="22"/>
        </w:rPr>
        <w:t>).</w:t>
      </w:r>
    </w:p>
    <w:p w14:paraId="5A7BEE7B" w14:textId="5D8B06A0" w:rsidR="003D1F7F" w:rsidRPr="00015190" w:rsidRDefault="003D1F7F" w:rsidP="003D1F7F">
      <w:pPr>
        <w:keepNext/>
        <w:jc w:val="center"/>
        <w:rPr>
          <w:color w:val="000000"/>
          <w:szCs w:val="22"/>
        </w:rPr>
      </w:pPr>
      <w:bookmarkStart w:id="112" w:name="_Ref271192830"/>
      <w:bookmarkStart w:id="113" w:name="_Toc516053430"/>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F87DF9">
        <w:rPr>
          <w:noProof/>
          <w:color w:val="000000"/>
          <w:szCs w:val="22"/>
        </w:rPr>
        <w:t>6</w:t>
      </w:r>
      <w:r w:rsidRPr="00015190">
        <w:rPr>
          <w:color w:val="000000"/>
          <w:szCs w:val="22"/>
        </w:rPr>
        <w:fldChar w:fldCharType="end"/>
      </w:r>
      <w:bookmarkEnd w:id="112"/>
      <w:r w:rsidRPr="00015190">
        <w:rPr>
          <w:color w:val="000000"/>
          <w:szCs w:val="22"/>
        </w:rPr>
        <w:t xml:space="preserve">. </w:t>
      </w:r>
      <w:r w:rsidRPr="00015190">
        <w:rPr>
          <w:rFonts w:cs="Arial"/>
          <w:i/>
          <w:color w:val="000000"/>
          <w:szCs w:val="22"/>
        </w:rPr>
        <w:t xml:space="preserve">Scores for </w:t>
      </w:r>
      <w:r w:rsidRPr="00015190">
        <w:rPr>
          <w:i/>
          <w:iCs/>
          <w:color w:val="000000"/>
          <w:szCs w:val="22"/>
          <w:lang w:eastAsia="en-AU"/>
        </w:rPr>
        <w:t xml:space="preserve">late dry </w:t>
      </w:r>
      <w:r w:rsidRPr="00015190">
        <w:rPr>
          <w:rFonts w:cs="Arial"/>
          <w:i/>
          <w:color w:val="000000"/>
          <w:szCs w:val="22"/>
        </w:rPr>
        <w:t>monitoring period reproductive effort average against long-term (2005-20</w:t>
      </w:r>
      <w:r>
        <w:rPr>
          <w:rFonts w:cs="Arial"/>
          <w:i/>
          <w:color w:val="000000"/>
          <w:szCs w:val="22"/>
        </w:rPr>
        <w:t>10</w:t>
      </w:r>
      <w:r w:rsidRPr="00015190">
        <w:rPr>
          <w:rFonts w:cs="Arial"/>
          <w:i/>
          <w:color w:val="000000"/>
          <w:szCs w:val="22"/>
        </w:rPr>
        <w:t>) GBR habitat average.</w:t>
      </w:r>
      <w:r>
        <w:rPr>
          <w:rFonts w:cs="Arial"/>
          <w:i/>
          <w:color w:val="000000"/>
          <w:szCs w:val="22"/>
        </w:rPr>
        <w:t xml:space="preserve"> </w:t>
      </w:r>
      <w:r>
        <w:rPr>
          <w:i/>
          <w:color w:val="000000"/>
        </w:rPr>
        <w:t>NB: scores are unitless.</w:t>
      </w:r>
      <w:bookmarkEnd w:id="113"/>
    </w:p>
    <w:tbl>
      <w:tblPr>
        <w:tblW w:w="8279" w:type="dxa"/>
        <w:jc w:val="center"/>
        <w:tblLook w:val="0000" w:firstRow="0" w:lastRow="0" w:firstColumn="0" w:lastColumn="0" w:noHBand="0" w:noVBand="0"/>
      </w:tblPr>
      <w:tblGrid>
        <w:gridCol w:w="1337"/>
        <w:gridCol w:w="2953"/>
        <w:gridCol w:w="766"/>
        <w:gridCol w:w="805"/>
        <w:gridCol w:w="1368"/>
        <w:gridCol w:w="1050"/>
      </w:tblGrid>
      <w:tr w:rsidR="003D1F7F" w:rsidRPr="00015190" w14:paraId="37E7BDF2" w14:textId="77777777" w:rsidTr="001368E7">
        <w:trPr>
          <w:trHeight w:val="290"/>
          <w:jc w:val="center"/>
        </w:trPr>
        <w:tc>
          <w:tcPr>
            <w:tcW w:w="1337" w:type="dxa"/>
            <w:tcBorders>
              <w:top w:val="single" w:sz="4" w:space="0" w:color="auto"/>
              <w:left w:val="nil"/>
              <w:bottom w:val="single" w:sz="4" w:space="0" w:color="auto"/>
              <w:right w:val="nil"/>
            </w:tcBorders>
            <w:vAlign w:val="center"/>
          </w:tcPr>
          <w:p w14:paraId="5F78D753" w14:textId="2255A928" w:rsidR="003D1F7F" w:rsidRPr="00015190" w:rsidRDefault="002F7814" w:rsidP="001368E7">
            <w:pPr>
              <w:keepNext/>
              <w:spacing w:before="0" w:after="0"/>
              <w:jc w:val="center"/>
              <w:rPr>
                <w:b/>
                <w:i/>
                <w:iCs/>
                <w:color w:val="000000"/>
                <w:lang w:val="en-US"/>
              </w:rPr>
            </w:pPr>
            <w:r>
              <w:rPr>
                <w:b/>
                <w:color w:val="000000"/>
                <w:szCs w:val="22"/>
                <w:lang w:val="en-US"/>
              </w:rPr>
              <w:t>grade</w:t>
            </w:r>
          </w:p>
        </w:tc>
        <w:tc>
          <w:tcPr>
            <w:tcW w:w="2953" w:type="dxa"/>
            <w:tcBorders>
              <w:top w:val="single" w:sz="4" w:space="0" w:color="auto"/>
              <w:left w:val="nil"/>
              <w:bottom w:val="single" w:sz="4" w:space="0" w:color="auto"/>
              <w:right w:val="nil"/>
            </w:tcBorders>
            <w:noWrap/>
            <w:vAlign w:val="center"/>
          </w:tcPr>
          <w:p w14:paraId="39E9618C"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Reproductive Effort</w:t>
            </w:r>
          </w:p>
          <w:p w14:paraId="494FFBE5"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monitoring period / long-term</w:t>
            </w:r>
          </w:p>
        </w:tc>
        <w:tc>
          <w:tcPr>
            <w:tcW w:w="766" w:type="dxa"/>
            <w:tcBorders>
              <w:top w:val="single" w:sz="4" w:space="0" w:color="auto"/>
              <w:left w:val="nil"/>
              <w:bottom w:val="single" w:sz="4" w:space="0" w:color="auto"/>
              <w:right w:val="nil"/>
            </w:tcBorders>
            <w:vAlign w:val="center"/>
          </w:tcPr>
          <w:p w14:paraId="1C7F5756"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ratio</w:t>
            </w:r>
          </w:p>
        </w:tc>
        <w:tc>
          <w:tcPr>
            <w:tcW w:w="805" w:type="dxa"/>
            <w:tcBorders>
              <w:top w:val="single" w:sz="4" w:space="0" w:color="auto"/>
              <w:left w:val="nil"/>
              <w:bottom w:val="single" w:sz="4" w:space="0" w:color="auto"/>
              <w:right w:val="nil"/>
            </w:tcBorders>
            <w:noWrap/>
            <w:vAlign w:val="center"/>
          </w:tcPr>
          <w:p w14:paraId="5C463B3B"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score</w:t>
            </w:r>
          </w:p>
        </w:tc>
        <w:tc>
          <w:tcPr>
            <w:tcW w:w="1368" w:type="dxa"/>
            <w:tcBorders>
              <w:top w:val="single" w:sz="4" w:space="0" w:color="auto"/>
              <w:left w:val="nil"/>
              <w:bottom w:val="single" w:sz="4" w:space="0" w:color="auto"/>
              <w:right w:val="nil"/>
            </w:tcBorders>
            <w:noWrap/>
            <w:vAlign w:val="center"/>
          </w:tcPr>
          <w:p w14:paraId="0D5B4118"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tcPr>
          <w:p w14:paraId="00DCF676"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status</w:t>
            </w:r>
          </w:p>
        </w:tc>
      </w:tr>
      <w:tr w:rsidR="003D1F7F" w:rsidRPr="00015190" w14:paraId="1B767BC6" w14:textId="77777777" w:rsidTr="001368E7">
        <w:trPr>
          <w:trHeight w:val="290"/>
          <w:jc w:val="center"/>
        </w:trPr>
        <w:tc>
          <w:tcPr>
            <w:tcW w:w="1337" w:type="dxa"/>
            <w:tcBorders>
              <w:top w:val="nil"/>
              <w:left w:val="nil"/>
              <w:bottom w:val="nil"/>
              <w:right w:val="nil"/>
            </w:tcBorders>
            <w:vAlign w:val="bottom"/>
          </w:tcPr>
          <w:p w14:paraId="506EC5C8" w14:textId="77777777" w:rsidR="003D1F7F" w:rsidRPr="00015190" w:rsidRDefault="003D1F7F" w:rsidP="001368E7">
            <w:pPr>
              <w:spacing w:before="0" w:after="0"/>
              <w:rPr>
                <w:i/>
                <w:iCs/>
                <w:color w:val="000000"/>
                <w:lang w:eastAsia="en-AU"/>
              </w:rPr>
            </w:pPr>
            <w:r w:rsidRPr="00015190">
              <w:rPr>
                <w:i/>
                <w:iCs/>
                <w:color w:val="000000"/>
                <w:szCs w:val="22"/>
                <w:lang w:eastAsia="en-AU"/>
              </w:rPr>
              <w:t>very good</w:t>
            </w:r>
          </w:p>
        </w:tc>
        <w:tc>
          <w:tcPr>
            <w:tcW w:w="2953" w:type="dxa"/>
            <w:tcBorders>
              <w:top w:val="nil"/>
              <w:left w:val="nil"/>
              <w:bottom w:val="nil"/>
              <w:right w:val="nil"/>
            </w:tcBorders>
            <w:noWrap/>
            <w:vAlign w:val="bottom"/>
          </w:tcPr>
          <w:p w14:paraId="44A658EE" w14:textId="77777777" w:rsidR="003D1F7F" w:rsidRPr="00015190" w:rsidRDefault="003D1F7F" w:rsidP="001368E7">
            <w:pPr>
              <w:spacing w:before="0" w:after="0"/>
              <w:jc w:val="center"/>
              <w:rPr>
                <w:color w:val="000000"/>
                <w:lang w:eastAsia="en-AU"/>
              </w:rPr>
            </w:pPr>
            <w:r w:rsidRPr="00015190">
              <w:rPr>
                <w:color w:val="000000"/>
                <w:szCs w:val="22"/>
                <w:lang w:eastAsia="en-AU"/>
              </w:rPr>
              <w:t>≥4</w:t>
            </w:r>
          </w:p>
        </w:tc>
        <w:tc>
          <w:tcPr>
            <w:tcW w:w="766" w:type="dxa"/>
            <w:tcBorders>
              <w:top w:val="nil"/>
              <w:left w:val="nil"/>
              <w:bottom w:val="nil"/>
              <w:right w:val="nil"/>
            </w:tcBorders>
            <w:vAlign w:val="bottom"/>
          </w:tcPr>
          <w:p w14:paraId="3CAE830B" w14:textId="77777777" w:rsidR="003D1F7F" w:rsidRPr="00015190" w:rsidRDefault="003D1F7F" w:rsidP="001368E7">
            <w:pPr>
              <w:spacing w:before="0" w:after="0"/>
              <w:jc w:val="center"/>
              <w:rPr>
                <w:color w:val="000000"/>
                <w:lang w:eastAsia="en-AU"/>
              </w:rPr>
            </w:pPr>
            <w:r w:rsidRPr="00015190">
              <w:rPr>
                <w:color w:val="000000"/>
                <w:szCs w:val="22"/>
                <w:lang w:eastAsia="en-AU"/>
              </w:rPr>
              <w:t>4.0</w:t>
            </w:r>
          </w:p>
        </w:tc>
        <w:tc>
          <w:tcPr>
            <w:tcW w:w="805" w:type="dxa"/>
            <w:tcBorders>
              <w:top w:val="nil"/>
              <w:left w:val="nil"/>
              <w:bottom w:val="nil"/>
              <w:right w:val="nil"/>
            </w:tcBorders>
            <w:noWrap/>
            <w:vAlign w:val="bottom"/>
          </w:tcPr>
          <w:p w14:paraId="0DE61C02" w14:textId="77777777" w:rsidR="003D1F7F" w:rsidRPr="00015190" w:rsidRDefault="003D1F7F" w:rsidP="001368E7">
            <w:pPr>
              <w:spacing w:before="0" w:after="0"/>
              <w:jc w:val="center"/>
              <w:rPr>
                <w:color w:val="000000"/>
                <w:lang w:eastAsia="en-AU"/>
              </w:rPr>
            </w:pPr>
            <w:r w:rsidRPr="00015190">
              <w:rPr>
                <w:color w:val="000000"/>
                <w:szCs w:val="22"/>
                <w:lang w:eastAsia="en-AU"/>
              </w:rPr>
              <w:t>4</w:t>
            </w:r>
          </w:p>
        </w:tc>
        <w:tc>
          <w:tcPr>
            <w:tcW w:w="1368" w:type="dxa"/>
            <w:tcBorders>
              <w:top w:val="nil"/>
              <w:left w:val="nil"/>
              <w:bottom w:val="nil"/>
              <w:right w:val="nil"/>
            </w:tcBorders>
            <w:noWrap/>
            <w:vAlign w:val="bottom"/>
          </w:tcPr>
          <w:p w14:paraId="4FCD387D" w14:textId="77777777" w:rsidR="003D1F7F" w:rsidRPr="00015190" w:rsidRDefault="003D1F7F" w:rsidP="001368E7">
            <w:pPr>
              <w:spacing w:before="0" w:after="0"/>
              <w:jc w:val="center"/>
              <w:rPr>
                <w:color w:val="000000"/>
                <w:lang w:eastAsia="en-AU"/>
              </w:rPr>
            </w:pPr>
            <w:r w:rsidRPr="00015190">
              <w:rPr>
                <w:color w:val="000000"/>
                <w:szCs w:val="22"/>
                <w:lang w:eastAsia="en-AU"/>
              </w:rPr>
              <w:t>100</w:t>
            </w:r>
          </w:p>
        </w:tc>
        <w:tc>
          <w:tcPr>
            <w:tcW w:w="1050" w:type="dxa"/>
            <w:tcBorders>
              <w:top w:val="nil"/>
              <w:left w:val="nil"/>
              <w:bottom w:val="nil"/>
              <w:right w:val="nil"/>
            </w:tcBorders>
            <w:shd w:val="clear" w:color="auto" w:fill="008000"/>
            <w:noWrap/>
            <w:vAlign w:val="bottom"/>
          </w:tcPr>
          <w:p w14:paraId="0EFD035B" w14:textId="77777777" w:rsidR="003D1F7F" w:rsidRPr="00015190" w:rsidRDefault="002605DA" w:rsidP="001368E7">
            <w:pPr>
              <w:spacing w:before="0" w:after="0"/>
              <w:jc w:val="center"/>
              <w:rPr>
                <w:color w:val="000000"/>
                <w:lang w:eastAsia="en-AU"/>
              </w:rPr>
            </w:pPr>
            <w:r>
              <w:rPr>
                <w:color w:val="000000"/>
                <w:szCs w:val="22"/>
                <w:lang w:eastAsia="en-AU"/>
              </w:rPr>
              <w:t>81</w:t>
            </w:r>
            <w:r w:rsidR="003D1F7F" w:rsidRPr="00015190">
              <w:rPr>
                <w:color w:val="000000"/>
                <w:szCs w:val="22"/>
                <w:lang w:eastAsia="en-AU"/>
              </w:rPr>
              <w:t xml:space="preserve"> - 100</w:t>
            </w:r>
          </w:p>
        </w:tc>
      </w:tr>
      <w:tr w:rsidR="003D1F7F" w:rsidRPr="00015190" w14:paraId="1196C809" w14:textId="77777777" w:rsidTr="001368E7">
        <w:trPr>
          <w:trHeight w:val="290"/>
          <w:jc w:val="center"/>
        </w:trPr>
        <w:tc>
          <w:tcPr>
            <w:tcW w:w="1337" w:type="dxa"/>
            <w:tcBorders>
              <w:top w:val="nil"/>
              <w:left w:val="nil"/>
              <w:bottom w:val="nil"/>
              <w:right w:val="nil"/>
            </w:tcBorders>
            <w:vAlign w:val="bottom"/>
          </w:tcPr>
          <w:p w14:paraId="2B7719DF" w14:textId="77777777" w:rsidR="003D1F7F" w:rsidRPr="00015190" w:rsidRDefault="003D1F7F" w:rsidP="001368E7">
            <w:pPr>
              <w:spacing w:before="0" w:after="0"/>
              <w:rPr>
                <w:i/>
                <w:iCs/>
                <w:color w:val="000000"/>
                <w:lang w:eastAsia="en-AU"/>
              </w:rPr>
            </w:pPr>
            <w:r w:rsidRPr="00015190">
              <w:rPr>
                <w:i/>
                <w:iCs/>
                <w:color w:val="000000"/>
                <w:szCs w:val="22"/>
                <w:lang w:eastAsia="en-AU"/>
              </w:rPr>
              <w:t>good</w:t>
            </w:r>
          </w:p>
        </w:tc>
        <w:tc>
          <w:tcPr>
            <w:tcW w:w="2953" w:type="dxa"/>
            <w:tcBorders>
              <w:top w:val="nil"/>
              <w:left w:val="nil"/>
              <w:bottom w:val="nil"/>
              <w:right w:val="nil"/>
            </w:tcBorders>
            <w:noWrap/>
            <w:vAlign w:val="bottom"/>
          </w:tcPr>
          <w:p w14:paraId="132849AB" w14:textId="77777777" w:rsidR="003D1F7F" w:rsidRPr="00015190" w:rsidRDefault="003D1F7F" w:rsidP="001368E7">
            <w:pPr>
              <w:spacing w:before="0" w:after="0"/>
              <w:jc w:val="center"/>
              <w:rPr>
                <w:color w:val="000000"/>
                <w:lang w:eastAsia="en-AU"/>
              </w:rPr>
            </w:pPr>
            <w:r w:rsidRPr="00015190">
              <w:rPr>
                <w:color w:val="000000"/>
                <w:szCs w:val="22"/>
                <w:lang w:eastAsia="en-AU"/>
              </w:rPr>
              <w:t>2 to &lt;4</w:t>
            </w:r>
          </w:p>
        </w:tc>
        <w:tc>
          <w:tcPr>
            <w:tcW w:w="766" w:type="dxa"/>
            <w:tcBorders>
              <w:top w:val="nil"/>
              <w:left w:val="nil"/>
              <w:bottom w:val="nil"/>
              <w:right w:val="nil"/>
            </w:tcBorders>
            <w:vAlign w:val="bottom"/>
          </w:tcPr>
          <w:p w14:paraId="0B9EEDCE" w14:textId="77777777" w:rsidR="003D1F7F" w:rsidRPr="00015190" w:rsidRDefault="003D1F7F" w:rsidP="001368E7">
            <w:pPr>
              <w:spacing w:before="0" w:after="0"/>
              <w:jc w:val="center"/>
              <w:rPr>
                <w:color w:val="000000"/>
                <w:lang w:eastAsia="en-AU"/>
              </w:rPr>
            </w:pPr>
            <w:r w:rsidRPr="00015190">
              <w:rPr>
                <w:color w:val="000000"/>
                <w:szCs w:val="22"/>
                <w:lang w:eastAsia="en-AU"/>
              </w:rPr>
              <w:t>2.0</w:t>
            </w:r>
          </w:p>
        </w:tc>
        <w:tc>
          <w:tcPr>
            <w:tcW w:w="805" w:type="dxa"/>
            <w:tcBorders>
              <w:top w:val="nil"/>
              <w:left w:val="nil"/>
              <w:bottom w:val="nil"/>
              <w:right w:val="nil"/>
            </w:tcBorders>
            <w:noWrap/>
            <w:vAlign w:val="bottom"/>
          </w:tcPr>
          <w:p w14:paraId="6B15B2A7" w14:textId="77777777" w:rsidR="003D1F7F" w:rsidRPr="00015190" w:rsidRDefault="003D1F7F" w:rsidP="001368E7">
            <w:pPr>
              <w:spacing w:before="0" w:after="0"/>
              <w:jc w:val="center"/>
              <w:rPr>
                <w:color w:val="000000"/>
                <w:lang w:eastAsia="en-AU"/>
              </w:rPr>
            </w:pPr>
            <w:r w:rsidRPr="00015190">
              <w:rPr>
                <w:color w:val="000000"/>
                <w:szCs w:val="22"/>
                <w:lang w:eastAsia="en-AU"/>
              </w:rPr>
              <w:t>3</w:t>
            </w:r>
          </w:p>
        </w:tc>
        <w:tc>
          <w:tcPr>
            <w:tcW w:w="1368" w:type="dxa"/>
            <w:tcBorders>
              <w:top w:val="nil"/>
              <w:left w:val="nil"/>
              <w:bottom w:val="nil"/>
              <w:right w:val="nil"/>
            </w:tcBorders>
            <w:noWrap/>
            <w:vAlign w:val="bottom"/>
          </w:tcPr>
          <w:p w14:paraId="3A73A110" w14:textId="77777777" w:rsidR="003D1F7F" w:rsidRPr="00015190" w:rsidRDefault="003D1F7F" w:rsidP="001368E7">
            <w:pPr>
              <w:spacing w:before="0" w:after="0"/>
              <w:jc w:val="center"/>
              <w:rPr>
                <w:color w:val="000000"/>
                <w:lang w:eastAsia="en-AU"/>
              </w:rPr>
            </w:pPr>
            <w:r w:rsidRPr="00015190">
              <w:rPr>
                <w:color w:val="000000"/>
                <w:szCs w:val="22"/>
                <w:lang w:eastAsia="en-AU"/>
              </w:rPr>
              <w:t>75</w:t>
            </w:r>
          </w:p>
        </w:tc>
        <w:tc>
          <w:tcPr>
            <w:tcW w:w="1050" w:type="dxa"/>
            <w:tcBorders>
              <w:top w:val="nil"/>
              <w:left w:val="nil"/>
              <w:bottom w:val="nil"/>
              <w:right w:val="nil"/>
            </w:tcBorders>
            <w:shd w:val="clear" w:color="auto" w:fill="92D050"/>
            <w:noWrap/>
            <w:vAlign w:val="bottom"/>
          </w:tcPr>
          <w:p w14:paraId="00F6A7FA" w14:textId="77777777"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 xml:space="preserve">1 - </w:t>
            </w:r>
            <w:r w:rsidRPr="00015190">
              <w:rPr>
                <w:color w:val="000000"/>
                <w:szCs w:val="22"/>
                <w:lang w:eastAsia="en-AU"/>
              </w:rPr>
              <w:t>80</w:t>
            </w:r>
          </w:p>
        </w:tc>
      </w:tr>
      <w:tr w:rsidR="003D1F7F" w:rsidRPr="00015190" w14:paraId="294C43B5" w14:textId="77777777" w:rsidTr="001368E7">
        <w:trPr>
          <w:trHeight w:val="290"/>
          <w:jc w:val="center"/>
        </w:trPr>
        <w:tc>
          <w:tcPr>
            <w:tcW w:w="1337" w:type="dxa"/>
            <w:tcBorders>
              <w:top w:val="nil"/>
              <w:left w:val="nil"/>
              <w:bottom w:val="nil"/>
              <w:right w:val="nil"/>
            </w:tcBorders>
            <w:vAlign w:val="bottom"/>
          </w:tcPr>
          <w:p w14:paraId="6084CD2C" w14:textId="77777777" w:rsidR="003D1F7F" w:rsidRPr="00015190" w:rsidRDefault="003D1F7F" w:rsidP="001368E7">
            <w:pPr>
              <w:spacing w:before="0" w:after="0"/>
              <w:rPr>
                <w:i/>
                <w:iCs/>
                <w:color w:val="000000"/>
                <w:lang w:eastAsia="en-AU"/>
              </w:rPr>
            </w:pPr>
            <w:r w:rsidRPr="00015190">
              <w:rPr>
                <w:i/>
                <w:iCs/>
                <w:color w:val="000000"/>
                <w:szCs w:val="22"/>
                <w:lang w:eastAsia="en-AU"/>
              </w:rPr>
              <w:t>moderate</w:t>
            </w:r>
          </w:p>
        </w:tc>
        <w:tc>
          <w:tcPr>
            <w:tcW w:w="2953" w:type="dxa"/>
            <w:tcBorders>
              <w:top w:val="nil"/>
              <w:left w:val="nil"/>
              <w:bottom w:val="nil"/>
              <w:right w:val="nil"/>
            </w:tcBorders>
            <w:noWrap/>
            <w:vAlign w:val="bottom"/>
          </w:tcPr>
          <w:p w14:paraId="61BFF666" w14:textId="77777777" w:rsidR="003D1F7F" w:rsidRPr="00015190" w:rsidRDefault="003D1F7F" w:rsidP="001368E7">
            <w:pPr>
              <w:spacing w:before="0" w:after="0"/>
              <w:jc w:val="center"/>
              <w:rPr>
                <w:color w:val="000000"/>
                <w:lang w:eastAsia="en-AU"/>
              </w:rPr>
            </w:pPr>
            <w:r w:rsidRPr="00015190">
              <w:rPr>
                <w:color w:val="000000"/>
                <w:szCs w:val="22"/>
                <w:lang w:eastAsia="en-AU"/>
              </w:rPr>
              <w:t>1 to &lt;2</w:t>
            </w:r>
          </w:p>
        </w:tc>
        <w:tc>
          <w:tcPr>
            <w:tcW w:w="766" w:type="dxa"/>
            <w:tcBorders>
              <w:top w:val="nil"/>
              <w:left w:val="nil"/>
              <w:bottom w:val="nil"/>
              <w:right w:val="nil"/>
            </w:tcBorders>
            <w:vAlign w:val="bottom"/>
          </w:tcPr>
          <w:p w14:paraId="1C5C8E4F" w14:textId="77777777" w:rsidR="003D1F7F" w:rsidRPr="00015190" w:rsidRDefault="003D1F7F" w:rsidP="001368E7">
            <w:pPr>
              <w:spacing w:before="0" w:after="0"/>
              <w:jc w:val="center"/>
              <w:rPr>
                <w:color w:val="000000"/>
                <w:lang w:eastAsia="en-AU"/>
              </w:rPr>
            </w:pPr>
            <w:r w:rsidRPr="00015190">
              <w:rPr>
                <w:color w:val="000000"/>
                <w:szCs w:val="22"/>
                <w:lang w:eastAsia="en-AU"/>
              </w:rPr>
              <w:t>1.0</w:t>
            </w:r>
          </w:p>
        </w:tc>
        <w:tc>
          <w:tcPr>
            <w:tcW w:w="805" w:type="dxa"/>
            <w:tcBorders>
              <w:top w:val="nil"/>
              <w:left w:val="nil"/>
              <w:bottom w:val="nil"/>
              <w:right w:val="nil"/>
            </w:tcBorders>
            <w:noWrap/>
            <w:vAlign w:val="bottom"/>
          </w:tcPr>
          <w:p w14:paraId="25CC2BB7" w14:textId="77777777" w:rsidR="003D1F7F" w:rsidRPr="00015190" w:rsidRDefault="003D1F7F" w:rsidP="001368E7">
            <w:pPr>
              <w:spacing w:before="0" w:after="0"/>
              <w:jc w:val="center"/>
              <w:rPr>
                <w:color w:val="000000"/>
                <w:lang w:eastAsia="en-AU"/>
              </w:rPr>
            </w:pPr>
            <w:r w:rsidRPr="00015190">
              <w:rPr>
                <w:color w:val="000000"/>
                <w:szCs w:val="22"/>
                <w:lang w:eastAsia="en-AU"/>
              </w:rPr>
              <w:t>2</w:t>
            </w:r>
          </w:p>
        </w:tc>
        <w:tc>
          <w:tcPr>
            <w:tcW w:w="1368" w:type="dxa"/>
            <w:tcBorders>
              <w:top w:val="nil"/>
              <w:left w:val="nil"/>
              <w:bottom w:val="nil"/>
              <w:right w:val="nil"/>
            </w:tcBorders>
            <w:noWrap/>
            <w:vAlign w:val="bottom"/>
          </w:tcPr>
          <w:p w14:paraId="24B5DC1B" w14:textId="77777777" w:rsidR="003D1F7F" w:rsidRPr="00015190" w:rsidRDefault="003D1F7F" w:rsidP="001368E7">
            <w:pPr>
              <w:spacing w:before="0" w:after="0"/>
              <w:jc w:val="center"/>
              <w:rPr>
                <w:color w:val="000000"/>
                <w:lang w:eastAsia="en-AU"/>
              </w:rPr>
            </w:pPr>
            <w:r w:rsidRPr="00015190">
              <w:rPr>
                <w:color w:val="000000"/>
                <w:szCs w:val="22"/>
                <w:lang w:eastAsia="en-AU"/>
              </w:rPr>
              <w:t>50</w:t>
            </w:r>
          </w:p>
        </w:tc>
        <w:tc>
          <w:tcPr>
            <w:tcW w:w="1050" w:type="dxa"/>
            <w:tcBorders>
              <w:top w:val="nil"/>
              <w:left w:val="nil"/>
              <w:bottom w:val="nil"/>
              <w:right w:val="nil"/>
            </w:tcBorders>
            <w:shd w:val="clear" w:color="auto" w:fill="FFFF00"/>
            <w:noWrap/>
            <w:vAlign w:val="bottom"/>
          </w:tcPr>
          <w:p w14:paraId="6FC9BC5E" w14:textId="77777777" w:rsidR="003D1F7F" w:rsidRPr="00015190" w:rsidRDefault="002605DA" w:rsidP="002605DA">
            <w:pPr>
              <w:spacing w:before="0" w:after="0"/>
              <w:jc w:val="center"/>
              <w:rPr>
                <w:color w:val="000000"/>
                <w:lang w:eastAsia="en-AU"/>
              </w:rPr>
            </w:pPr>
            <w:r>
              <w:rPr>
                <w:color w:val="000000"/>
                <w:szCs w:val="22"/>
                <w:lang w:eastAsia="en-AU"/>
              </w:rPr>
              <w:t>41</w:t>
            </w:r>
            <w:r w:rsidR="003D1F7F" w:rsidRPr="00015190">
              <w:rPr>
                <w:color w:val="000000"/>
                <w:szCs w:val="22"/>
                <w:lang w:eastAsia="en-AU"/>
              </w:rPr>
              <w:t xml:space="preserve"> - 60</w:t>
            </w:r>
          </w:p>
        </w:tc>
      </w:tr>
      <w:tr w:rsidR="003D1F7F" w:rsidRPr="00015190" w14:paraId="7DF0CE27" w14:textId="77777777" w:rsidTr="001368E7">
        <w:trPr>
          <w:trHeight w:val="290"/>
          <w:jc w:val="center"/>
        </w:trPr>
        <w:tc>
          <w:tcPr>
            <w:tcW w:w="1337" w:type="dxa"/>
            <w:tcBorders>
              <w:top w:val="nil"/>
              <w:left w:val="nil"/>
              <w:right w:val="nil"/>
            </w:tcBorders>
            <w:vAlign w:val="bottom"/>
          </w:tcPr>
          <w:p w14:paraId="6DCE3D69" w14:textId="77777777" w:rsidR="003D1F7F" w:rsidRPr="00015190" w:rsidRDefault="003D1F7F" w:rsidP="001368E7">
            <w:pPr>
              <w:spacing w:before="0" w:after="0"/>
              <w:rPr>
                <w:i/>
                <w:iCs/>
                <w:color w:val="000000"/>
                <w:lang w:eastAsia="en-AU"/>
              </w:rPr>
            </w:pPr>
            <w:r w:rsidRPr="00015190">
              <w:rPr>
                <w:i/>
                <w:iCs/>
                <w:color w:val="000000"/>
                <w:szCs w:val="22"/>
                <w:lang w:eastAsia="en-AU"/>
              </w:rPr>
              <w:t>poor</w:t>
            </w:r>
          </w:p>
        </w:tc>
        <w:tc>
          <w:tcPr>
            <w:tcW w:w="2953" w:type="dxa"/>
            <w:tcBorders>
              <w:top w:val="nil"/>
              <w:left w:val="nil"/>
              <w:right w:val="nil"/>
            </w:tcBorders>
            <w:noWrap/>
            <w:vAlign w:val="bottom"/>
          </w:tcPr>
          <w:p w14:paraId="1C16CA00" w14:textId="77777777" w:rsidR="003D1F7F" w:rsidRPr="00015190" w:rsidRDefault="003D1F7F" w:rsidP="001368E7">
            <w:pPr>
              <w:spacing w:before="0" w:after="0"/>
              <w:jc w:val="center"/>
              <w:rPr>
                <w:color w:val="000000"/>
                <w:lang w:eastAsia="en-AU"/>
              </w:rPr>
            </w:pPr>
            <w:r w:rsidRPr="00015190">
              <w:rPr>
                <w:color w:val="000000"/>
                <w:szCs w:val="22"/>
                <w:lang w:eastAsia="en-AU"/>
              </w:rPr>
              <w:t>0.5 to &lt;1</w:t>
            </w:r>
          </w:p>
        </w:tc>
        <w:tc>
          <w:tcPr>
            <w:tcW w:w="766" w:type="dxa"/>
            <w:tcBorders>
              <w:top w:val="nil"/>
              <w:left w:val="nil"/>
              <w:right w:val="nil"/>
            </w:tcBorders>
            <w:vAlign w:val="bottom"/>
          </w:tcPr>
          <w:p w14:paraId="3150285C" w14:textId="77777777" w:rsidR="003D1F7F" w:rsidRPr="00015190" w:rsidRDefault="003D1F7F" w:rsidP="001368E7">
            <w:pPr>
              <w:spacing w:before="0" w:after="0"/>
              <w:jc w:val="center"/>
              <w:rPr>
                <w:color w:val="000000"/>
                <w:lang w:eastAsia="en-AU"/>
              </w:rPr>
            </w:pPr>
            <w:r w:rsidRPr="00015190">
              <w:rPr>
                <w:color w:val="000000"/>
                <w:szCs w:val="22"/>
                <w:lang w:eastAsia="en-AU"/>
              </w:rPr>
              <w:t>0.5</w:t>
            </w:r>
          </w:p>
        </w:tc>
        <w:tc>
          <w:tcPr>
            <w:tcW w:w="805" w:type="dxa"/>
            <w:tcBorders>
              <w:top w:val="nil"/>
              <w:left w:val="nil"/>
              <w:right w:val="nil"/>
            </w:tcBorders>
            <w:noWrap/>
            <w:vAlign w:val="bottom"/>
          </w:tcPr>
          <w:p w14:paraId="6B291A66" w14:textId="77777777" w:rsidR="003D1F7F" w:rsidRPr="00015190" w:rsidRDefault="003D1F7F" w:rsidP="001368E7">
            <w:pPr>
              <w:spacing w:before="0" w:after="0"/>
              <w:jc w:val="center"/>
              <w:rPr>
                <w:color w:val="000000"/>
                <w:lang w:eastAsia="en-AU"/>
              </w:rPr>
            </w:pPr>
            <w:r w:rsidRPr="00015190">
              <w:rPr>
                <w:color w:val="000000"/>
                <w:szCs w:val="22"/>
                <w:lang w:eastAsia="en-AU"/>
              </w:rPr>
              <w:t>1</w:t>
            </w:r>
          </w:p>
        </w:tc>
        <w:tc>
          <w:tcPr>
            <w:tcW w:w="1368" w:type="dxa"/>
            <w:tcBorders>
              <w:top w:val="nil"/>
              <w:left w:val="nil"/>
              <w:right w:val="nil"/>
            </w:tcBorders>
            <w:noWrap/>
            <w:vAlign w:val="bottom"/>
          </w:tcPr>
          <w:p w14:paraId="22E6B81D" w14:textId="77777777" w:rsidR="003D1F7F" w:rsidRPr="00015190" w:rsidRDefault="003D1F7F" w:rsidP="001368E7">
            <w:pPr>
              <w:spacing w:before="0" w:after="0"/>
              <w:jc w:val="center"/>
              <w:rPr>
                <w:color w:val="000000"/>
                <w:lang w:eastAsia="en-AU"/>
              </w:rPr>
            </w:pPr>
            <w:r w:rsidRPr="00015190">
              <w:rPr>
                <w:color w:val="000000"/>
                <w:szCs w:val="22"/>
                <w:lang w:eastAsia="en-AU"/>
              </w:rPr>
              <w:t>25</w:t>
            </w:r>
          </w:p>
        </w:tc>
        <w:tc>
          <w:tcPr>
            <w:tcW w:w="1050" w:type="dxa"/>
            <w:tcBorders>
              <w:top w:val="nil"/>
              <w:left w:val="nil"/>
              <w:right w:val="nil"/>
            </w:tcBorders>
            <w:shd w:val="clear" w:color="auto" w:fill="FFC000"/>
            <w:noWrap/>
            <w:vAlign w:val="bottom"/>
          </w:tcPr>
          <w:p w14:paraId="0831EA29" w14:textId="77777777" w:rsidR="003D1F7F" w:rsidRPr="00015190" w:rsidRDefault="002605DA" w:rsidP="002605DA">
            <w:pPr>
              <w:spacing w:before="0" w:after="0"/>
              <w:jc w:val="center"/>
              <w:rPr>
                <w:color w:val="000000"/>
                <w:lang w:eastAsia="en-AU"/>
              </w:rPr>
            </w:pPr>
            <w:r>
              <w:rPr>
                <w:color w:val="000000"/>
                <w:szCs w:val="22"/>
                <w:lang w:eastAsia="en-AU"/>
              </w:rPr>
              <w:t>21</w:t>
            </w:r>
            <w:r w:rsidR="003D1F7F" w:rsidRPr="00015190">
              <w:rPr>
                <w:color w:val="000000"/>
                <w:szCs w:val="22"/>
                <w:lang w:eastAsia="en-AU"/>
              </w:rPr>
              <w:t xml:space="preserve"> - 40</w:t>
            </w:r>
          </w:p>
        </w:tc>
      </w:tr>
      <w:tr w:rsidR="003D1F7F" w:rsidRPr="00015190" w14:paraId="660090A3" w14:textId="77777777" w:rsidTr="001368E7">
        <w:trPr>
          <w:trHeight w:val="290"/>
          <w:jc w:val="center"/>
        </w:trPr>
        <w:tc>
          <w:tcPr>
            <w:tcW w:w="1337" w:type="dxa"/>
            <w:tcBorders>
              <w:top w:val="nil"/>
              <w:left w:val="nil"/>
              <w:bottom w:val="single" w:sz="4" w:space="0" w:color="auto"/>
              <w:right w:val="nil"/>
            </w:tcBorders>
            <w:vAlign w:val="bottom"/>
          </w:tcPr>
          <w:p w14:paraId="1A21B544" w14:textId="77777777" w:rsidR="003D1F7F" w:rsidRPr="00015190" w:rsidRDefault="003D1F7F" w:rsidP="001368E7">
            <w:pPr>
              <w:spacing w:before="0" w:after="0"/>
              <w:rPr>
                <w:i/>
                <w:iCs/>
                <w:color w:val="000000"/>
                <w:lang w:eastAsia="en-AU"/>
              </w:rPr>
            </w:pPr>
            <w:r w:rsidRPr="00015190">
              <w:rPr>
                <w:i/>
                <w:iCs/>
                <w:color w:val="000000"/>
                <w:szCs w:val="22"/>
                <w:lang w:eastAsia="en-AU"/>
              </w:rPr>
              <w:t>very poor</w:t>
            </w:r>
          </w:p>
        </w:tc>
        <w:tc>
          <w:tcPr>
            <w:tcW w:w="2953" w:type="dxa"/>
            <w:tcBorders>
              <w:top w:val="nil"/>
              <w:left w:val="nil"/>
              <w:bottom w:val="single" w:sz="4" w:space="0" w:color="auto"/>
              <w:right w:val="nil"/>
            </w:tcBorders>
            <w:noWrap/>
            <w:vAlign w:val="bottom"/>
          </w:tcPr>
          <w:p w14:paraId="1A33B85D" w14:textId="77777777" w:rsidR="003D1F7F" w:rsidRPr="00015190" w:rsidRDefault="003D1F7F" w:rsidP="001368E7">
            <w:pPr>
              <w:spacing w:before="0" w:after="0"/>
              <w:jc w:val="center"/>
              <w:rPr>
                <w:color w:val="000000"/>
                <w:lang w:eastAsia="en-AU"/>
              </w:rPr>
            </w:pPr>
            <w:r w:rsidRPr="00015190">
              <w:rPr>
                <w:color w:val="000000"/>
                <w:szCs w:val="22"/>
                <w:lang w:eastAsia="en-AU"/>
              </w:rPr>
              <w:t>&lt;0.5</w:t>
            </w:r>
          </w:p>
        </w:tc>
        <w:tc>
          <w:tcPr>
            <w:tcW w:w="766" w:type="dxa"/>
            <w:tcBorders>
              <w:top w:val="nil"/>
              <w:left w:val="nil"/>
              <w:bottom w:val="single" w:sz="4" w:space="0" w:color="auto"/>
              <w:right w:val="nil"/>
            </w:tcBorders>
            <w:vAlign w:val="bottom"/>
          </w:tcPr>
          <w:p w14:paraId="4D348646" w14:textId="77777777" w:rsidR="003D1F7F" w:rsidRPr="00015190" w:rsidRDefault="003D1F7F" w:rsidP="001368E7">
            <w:pPr>
              <w:spacing w:before="0" w:after="0"/>
              <w:jc w:val="center"/>
              <w:rPr>
                <w:color w:val="000000"/>
                <w:lang w:eastAsia="en-AU"/>
              </w:rPr>
            </w:pPr>
            <w:r w:rsidRPr="00015190">
              <w:rPr>
                <w:color w:val="000000"/>
                <w:szCs w:val="22"/>
                <w:lang w:eastAsia="en-AU"/>
              </w:rPr>
              <w:t>0.0</w:t>
            </w:r>
          </w:p>
        </w:tc>
        <w:tc>
          <w:tcPr>
            <w:tcW w:w="805" w:type="dxa"/>
            <w:tcBorders>
              <w:top w:val="nil"/>
              <w:left w:val="nil"/>
              <w:bottom w:val="single" w:sz="4" w:space="0" w:color="auto"/>
              <w:right w:val="nil"/>
            </w:tcBorders>
            <w:noWrap/>
            <w:vAlign w:val="bottom"/>
          </w:tcPr>
          <w:p w14:paraId="731017FF" w14:textId="77777777"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368" w:type="dxa"/>
            <w:tcBorders>
              <w:top w:val="nil"/>
              <w:left w:val="nil"/>
              <w:bottom w:val="single" w:sz="4" w:space="0" w:color="auto"/>
              <w:right w:val="nil"/>
            </w:tcBorders>
            <w:noWrap/>
            <w:vAlign w:val="bottom"/>
          </w:tcPr>
          <w:p w14:paraId="4B759968" w14:textId="77777777"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tcPr>
          <w:p w14:paraId="798B09B6" w14:textId="77777777"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14:paraId="3EB9B16E" w14:textId="77777777" w:rsidR="003D1F7F" w:rsidRPr="00BA12BB" w:rsidRDefault="003D1F7F" w:rsidP="00926892">
      <w:pPr>
        <w:pStyle w:val="Heading3"/>
        <w:numPr>
          <w:ilvl w:val="2"/>
          <w:numId w:val="9"/>
        </w:numPr>
        <w:rPr>
          <w:rFonts w:ascii="Arial" w:hAnsi="Arial" w:cs="Arial"/>
        </w:rPr>
      </w:pPr>
      <w:bookmarkStart w:id="114" w:name="_Toc184101957"/>
      <w:bookmarkStart w:id="115" w:name="_Toc381027993"/>
      <w:bookmarkStart w:id="116" w:name="_Toc516053130"/>
      <w:r w:rsidRPr="00BA12BB">
        <w:rPr>
          <w:rFonts w:ascii="Arial" w:hAnsi="Arial" w:cs="Arial"/>
        </w:rPr>
        <w:t>Seagrass nutrient status.</w:t>
      </w:r>
      <w:bookmarkEnd w:id="114"/>
      <w:bookmarkEnd w:id="115"/>
      <w:bookmarkEnd w:id="116"/>
    </w:p>
    <w:p w14:paraId="6E18BF07" w14:textId="34C46BA1" w:rsidR="00861826" w:rsidRPr="00C73D97" w:rsidRDefault="00861826" w:rsidP="0064459D">
      <w:r w:rsidRPr="00C73D97">
        <w:t xml:space="preserve">Tissue nutrient content </w:t>
      </w:r>
      <w:r w:rsidR="00BC4AFB" w:rsidRPr="00C73D97">
        <w:t xml:space="preserve">of seagrass leaves </w:t>
      </w:r>
      <w:r w:rsidRPr="00C73D97">
        <w:t xml:space="preserve">including carbon (C), nitrogen (N) and phosphorus (P) </w:t>
      </w:r>
      <w:r w:rsidR="00BC4AFB" w:rsidRPr="00C73D97">
        <w:t xml:space="preserve">were measured </w:t>
      </w:r>
      <w:r w:rsidR="00C73D97" w:rsidRPr="00C73D97">
        <w:t>annualy</w:t>
      </w:r>
      <w:r w:rsidR="00BC4AFB" w:rsidRPr="00C73D97">
        <w:t xml:space="preserve">. Tissue nutrients are indicators of integrated recent (‘recent’ being defined by leaf life-span and ranging from days to months prior to sampling) environmental conditions. </w:t>
      </w:r>
      <w:r w:rsidRPr="00C73D97">
        <w:t xml:space="preserve">The absolute tissue nutrient concentrations (%C, %N </w:t>
      </w:r>
      <w:r w:rsidR="00E03E9F">
        <w:t>and</w:t>
      </w:r>
      <w:r w:rsidRPr="00C73D97">
        <w:t xml:space="preserve"> %P) are used to calculate </w:t>
      </w:r>
      <w:r w:rsidR="00BC4AFB" w:rsidRPr="00C73D97">
        <w:t>the atomic ratio</w:t>
      </w:r>
      <w:r w:rsidRPr="00C73D97">
        <w:t xml:space="preserve"> of nutrients in seagrass leaves. The C:N ratio</w:t>
      </w:r>
      <w:r w:rsidR="00BC4AFB" w:rsidRPr="00C73D97">
        <w:t xml:space="preserve"> was cho</w:t>
      </w:r>
      <w:r w:rsidRPr="00C73D97">
        <w:t xml:space="preserve">sen for the purpose of the report card </w:t>
      </w:r>
      <w:r w:rsidR="00BC4AFB" w:rsidRPr="00C73D97">
        <w:t xml:space="preserve">score </w:t>
      </w:r>
      <w:r w:rsidRPr="00C73D97">
        <w:t xml:space="preserve">as it is the ratio </w:t>
      </w:r>
      <w:r w:rsidR="00CD3DA9" w:rsidRPr="00C73D97">
        <w:t>that</w:t>
      </w:r>
      <w:r w:rsidR="00CA6696" w:rsidRPr="00C73D97">
        <w:t xml:space="preserve"> indicates </w:t>
      </w:r>
      <w:r w:rsidRPr="00C73D97">
        <w:t xml:space="preserve">a change in either light or nitrogen availability at the meadow scale. C:N ratios were compared to a </w:t>
      </w:r>
      <w:r w:rsidR="00BC4AFB" w:rsidRPr="00C73D97">
        <w:t>global average</w:t>
      </w:r>
      <w:r w:rsidRPr="00C73D97">
        <w:t xml:space="preserve"> value of 20:1 (</w:t>
      </w:r>
      <w:r w:rsidRPr="00C73D97">
        <w:fldChar w:fldCharType="begin"/>
      </w:r>
      <w:r w:rsidR="00521D93">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Pr="00C73D97">
        <w:fldChar w:fldCharType="separate"/>
      </w:r>
      <w:hyperlink w:anchor="_ENREF_9" w:tooltip="Atkinson, 1983 #6292" w:history="1">
        <w:r w:rsidR="00305FE7">
          <w:rPr>
            <w:noProof/>
          </w:rPr>
          <w:t>Atkinson and Smith 1983</w:t>
        </w:r>
      </w:hyperlink>
      <w:r w:rsidR="00521D93">
        <w:rPr>
          <w:noProof/>
        </w:rPr>
        <w:t xml:space="preserve">; </w:t>
      </w:r>
      <w:hyperlink w:anchor="_ENREF_100" w:tooltip="Fourqurean, 1992 #9493" w:history="1">
        <w:r w:rsidR="00305FE7">
          <w:rPr>
            <w:noProof/>
          </w:rPr>
          <w:t>Fourqurean</w:t>
        </w:r>
        <w:r w:rsidR="00305FE7" w:rsidRPr="00521D93">
          <w:rPr>
            <w:i/>
            <w:noProof/>
          </w:rPr>
          <w:t xml:space="preserve"> et al.</w:t>
        </w:r>
        <w:r w:rsidR="00305FE7">
          <w:rPr>
            <w:noProof/>
          </w:rPr>
          <w:t xml:space="preserve"> 1992b</w:t>
        </w:r>
      </w:hyperlink>
      <w:r w:rsidRPr="00C73D97">
        <w:fldChar w:fldCharType="end"/>
      </w:r>
      <w:r w:rsidRPr="00C73D97">
        <w:t>), with values less than 20:1 indicating either reduced light or excess N is available to the seagrass. Values higher than 20:1 suggest light saturation and low nitrogen availabi</w:t>
      </w:r>
      <w:r w:rsidR="00F26FBD" w:rsidRPr="00C73D97">
        <w:t>li</w:t>
      </w:r>
      <w:r w:rsidRPr="00C73D97">
        <w:t>ty (</w:t>
      </w:r>
      <w:hyperlink w:anchor="_ENREF_2" w:tooltip="Abal, 1994 #7405" w:history="1">
        <w:r w:rsidR="00305FE7" w:rsidRPr="00C73D97">
          <w:fldChar w:fldCharType="begin"/>
        </w:r>
        <w:r w:rsidR="00305FE7">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305FE7" w:rsidRPr="00C73D97">
          <w:fldChar w:fldCharType="separate"/>
        </w:r>
        <w:r w:rsidR="00305FE7">
          <w:rPr>
            <w:noProof/>
          </w:rPr>
          <w:t>Abal</w:t>
        </w:r>
        <w:r w:rsidR="00305FE7" w:rsidRPr="00521D93">
          <w:rPr>
            <w:i/>
            <w:noProof/>
          </w:rPr>
          <w:t xml:space="preserve"> et al.</w:t>
        </w:r>
        <w:r w:rsidR="00305FE7">
          <w:rPr>
            <w:noProof/>
          </w:rPr>
          <w:t xml:space="preserve"> 1994</w:t>
        </w:r>
        <w:r w:rsidR="00305FE7" w:rsidRPr="00C73D97">
          <w:fldChar w:fldCharType="end"/>
        </w:r>
      </w:hyperlink>
      <w:r w:rsidRPr="00C73D97">
        <w:t xml:space="preserve">; </w:t>
      </w:r>
      <w:hyperlink w:anchor="_ENREF_101" w:tooltip="Grice, 1996 #1346" w:history="1">
        <w:r w:rsidRPr="00C73D97">
          <w:rPr>
            <w:noProof/>
          </w:rPr>
          <w:t>AM Grice</w:t>
        </w:r>
        <w:r w:rsidRPr="00C73D97">
          <w:rPr>
            <w:i/>
            <w:noProof/>
          </w:rPr>
          <w:t>, et al.</w:t>
        </w:r>
        <w:r w:rsidRPr="00C73D97">
          <w:rPr>
            <w:noProof/>
          </w:rPr>
          <w:t>, 1996</w:t>
        </w:r>
      </w:hyperlink>
      <w:r w:rsidRPr="00C73D97">
        <w:rPr>
          <w:noProof/>
        </w:rPr>
        <w:t>; Udy &amp; Dennison 1997</w:t>
      </w:r>
      <w:r w:rsidRPr="00C73D97">
        <w:t>). C:N ratios from the late dry sampling (Sept/Oct 2015) were categorised on their departure from the guideline and transformed to a 0 to 100 score</w:t>
      </w:r>
      <w:r w:rsidR="00F26FBD" w:rsidRPr="00C73D97">
        <w:t xml:space="preserve"> as shown in T</w:t>
      </w:r>
      <w:r w:rsidRPr="00C73D97">
        <w:t>able 7</w:t>
      </w:r>
      <w:r w:rsidR="002868F2">
        <w:t xml:space="preserve"> (see also </w:t>
      </w:r>
      <w:r w:rsidR="002868F2">
        <w:fldChar w:fldCharType="begin"/>
      </w:r>
      <w:r w:rsidR="002868F2">
        <w:instrText xml:space="preserve"> REF _Ref511381480 \h </w:instrText>
      </w:r>
      <w:r w:rsidR="002868F2">
        <w:fldChar w:fldCharType="separate"/>
      </w:r>
      <w:r w:rsidR="00F87DF9">
        <w:t xml:space="preserve">Table </w:t>
      </w:r>
      <w:r w:rsidR="00F87DF9">
        <w:rPr>
          <w:noProof/>
        </w:rPr>
        <w:t>49</w:t>
      </w:r>
      <w:r w:rsidR="002868F2">
        <w:fldChar w:fldCharType="end"/>
      </w:r>
      <w:r w:rsidR="002868F2">
        <w:t>)</w:t>
      </w:r>
      <w:r w:rsidRPr="00C73D97">
        <w:t>.</w:t>
      </w:r>
    </w:p>
    <w:p w14:paraId="34551661" w14:textId="0637D502" w:rsidR="003D1F7F" w:rsidRPr="00015190" w:rsidRDefault="003D1F7F" w:rsidP="003D1F7F">
      <w:pPr>
        <w:jc w:val="center"/>
        <w:rPr>
          <w:rFonts w:cs="Arial"/>
          <w:i/>
          <w:color w:val="000000"/>
          <w:szCs w:val="22"/>
        </w:rPr>
      </w:pPr>
      <w:bookmarkStart w:id="117" w:name="_Ref273446285"/>
      <w:bookmarkStart w:id="118" w:name="_Toc516053431"/>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F87DF9">
        <w:rPr>
          <w:noProof/>
          <w:color w:val="000000"/>
          <w:szCs w:val="22"/>
        </w:rPr>
        <w:t>7</w:t>
      </w:r>
      <w:r w:rsidRPr="00015190">
        <w:rPr>
          <w:color w:val="000000"/>
          <w:szCs w:val="22"/>
        </w:rPr>
        <w:fldChar w:fldCharType="end"/>
      </w:r>
      <w:bookmarkEnd w:id="117"/>
      <w:r w:rsidRPr="00015190">
        <w:rPr>
          <w:color w:val="000000"/>
          <w:szCs w:val="22"/>
        </w:rPr>
        <w:t xml:space="preserve">. </w:t>
      </w:r>
      <w:r w:rsidRPr="00015190">
        <w:rPr>
          <w:rFonts w:cs="Arial"/>
          <w:i/>
          <w:color w:val="000000"/>
          <w:szCs w:val="22"/>
        </w:rPr>
        <w:t>Scores for leaf tissue C:N against guideline to determine light and nutrient availability.</w:t>
      </w:r>
      <w:r w:rsidRPr="00531CCB">
        <w:rPr>
          <w:i/>
          <w:color w:val="000000"/>
        </w:rPr>
        <w:t xml:space="preserve"> </w:t>
      </w:r>
      <w:r>
        <w:rPr>
          <w:i/>
          <w:color w:val="000000"/>
        </w:rPr>
        <w:t>NB: scores are unitless.</w:t>
      </w:r>
      <w:bookmarkEnd w:id="118"/>
    </w:p>
    <w:tbl>
      <w:tblPr>
        <w:tblW w:w="5518" w:type="dxa"/>
        <w:jc w:val="center"/>
        <w:tblLook w:val="0000" w:firstRow="0" w:lastRow="0" w:firstColumn="0" w:lastColumn="0" w:noHBand="0" w:noVBand="0"/>
      </w:tblPr>
      <w:tblGrid>
        <w:gridCol w:w="1543"/>
        <w:gridCol w:w="2127"/>
        <w:gridCol w:w="1848"/>
      </w:tblGrid>
      <w:tr w:rsidR="00280130" w:rsidRPr="00015190" w14:paraId="763C8FC9" w14:textId="77777777" w:rsidTr="00280130">
        <w:trPr>
          <w:trHeight w:val="290"/>
          <w:jc w:val="center"/>
        </w:trPr>
        <w:tc>
          <w:tcPr>
            <w:tcW w:w="1543" w:type="dxa"/>
            <w:tcBorders>
              <w:top w:val="single" w:sz="4" w:space="0" w:color="auto"/>
              <w:left w:val="nil"/>
              <w:bottom w:val="single" w:sz="4" w:space="0" w:color="auto"/>
              <w:right w:val="nil"/>
            </w:tcBorders>
            <w:vAlign w:val="center"/>
          </w:tcPr>
          <w:p w14:paraId="3F486653" w14:textId="41C6C670" w:rsidR="00280130" w:rsidRPr="00015190" w:rsidRDefault="002F7814" w:rsidP="001368E7">
            <w:pPr>
              <w:spacing w:before="0" w:after="0"/>
              <w:jc w:val="center"/>
              <w:rPr>
                <w:b/>
                <w:color w:val="000000"/>
                <w:lang w:val="en-US"/>
              </w:rPr>
            </w:pPr>
            <w:r>
              <w:rPr>
                <w:b/>
                <w:color w:val="000000"/>
                <w:szCs w:val="22"/>
                <w:lang w:val="en-US"/>
              </w:rPr>
              <w:t>grade</w:t>
            </w:r>
          </w:p>
        </w:tc>
        <w:tc>
          <w:tcPr>
            <w:tcW w:w="2127" w:type="dxa"/>
            <w:tcBorders>
              <w:top w:val="single" w:sz="4" w:space="0" w:color="auto"/>
              <w:left w:val="nil"/>
              <w:bottom w:val="single" w:sz="4" w:space="0" w:color="auto"/>
              <w:right w:val="nil"/>
            </w:tcBorders>
            <w:noWrap/>
            <w:vAlign w:val="center"/>
          </w:tcPr>
          <w:p w14:paraId="578A44E2" w14:textId="77777777" w:rsidR="00280130" w:rsidRPr="00015190" w:rsidRDefault="00280130" w:rsidP="008263B0">
            <w:pPr>
              <w:spacing w:before="0" w:after="0"/>
              <w:jc w:val="center"/>
              <w:rPr>
                <w:b/>
                <w:color w:val="000000"/>
                <w:lang w:val="en-US"/>
              </w:rPr>
            </w:pPr>
            <w:r w:rsidRPr="00015190">
              <w:rPr>
                <w:b/>
                <w:color w:val="000000"/>
                <w:szCs w:val="22"/>
                <w:lang w:val="en-US"/>
              </w:rPr>
              <w:t>C:N ratio range</w:t>
            </w:r>
          </w:p>
        </w:tc>
        <w:tc>
          <w:tcPr>
            <w:tcW w:w="1848" w:type="dxa"/>
            <w:tcBorders>
              <w:top w:val="single" w:sz="4" w:space="0" w:color="auto"/>
              <w:left w:val="nil"/>
              <w:bottom w:val="single" w:sz="4" w:space="0" w:color="auto"/>
              <w:right w:val="nil"/>
            </w:tcBorders>
            <w:noWrap/>
            <w:vAlign w:val="center"/>
          </w:tcPr>
          <w:p w14:paraId="45F58001" w14:textId="05793837" w:rsidR="00280130" w:rsidRPr="00015190" w:rsidRDefault="00280130" w:rsidP="001368E7">
            <w:pPr>
              <w:spacing w:before="0" w:after="0"/>
              <w:jc w:val="center"/>
              <w:rPr>
                <w:b/>
                <w:color w:val="000000"/>
                <w:lang w:val="en-US"/>
              </w:rPr>
            </w:pPr>
            <w:r w:rsidRPr="00015190">
              <w:rPr>
                <w:b/>
                <w:color w:val="000000"/>
                <w:szCs w:val="22"/>
                <w:lang w:val="en-US"/>
              </w:rPr>
              <w:t xml:space="preserve">Score </w:t>
            </w:r>
            <w:r w:rsidRPr="00015190">
              <w:rPr>
                <w:color w:val="000000"/>
                <w:szCs w:val="22"/>
                <w:lang w:val="en-US"/>
              </w:rPr>
              <w:t>(</w:t>
            </w:r>
            <w:r>
              <w:rPr>
                <w:noProof/>
                <w:color w:val="000000"/>
                <w:position w:val="-10"/>
                <w:lang w:eastAsia="en-AU"/>
              </w:rPr>
              <w:drawing>
                <wp:inline distT="0" distB="0" distL="0" distR="0" wp14:anchorId="70C0577B" wp14:editId="1DE90877">
                  <wp:extent cx="178435" cy="229870"/>
                  <wp:effectExtent l="0" t="0" r="0" b="0"/>
                  <wp:docPr id="288" name="Picture 1" descr="R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8435" cy="229870"/>
                          </a:xfrm>
                          <a:prstGeom prst="rect">
                            <a:avLst/>
                          </a:prstGeom>
                          <a:noFill/>
                          <a:ln>
                            <a:noFill/>
                          </a:ln>
                        </pic:spPr>
                      </pic:pic>
                    </a:graphicData>
                  </a:graphic>
                </wp:inline>
              </w:drawing>
            </w:r>
            <w:r w:rsidRPr="00015190">
              <w:rPr>
                <w:color w:val="000000"/>
              </w:rPr>
              <w:t>)</w:t>
            </w:r>
            <w:r>
              <w:rPr>
                <w:color w:val="000000"/>
              </w:rPr>
              <w:t xml:space="preserve"> </w:t>
            </w:r>
            <w:r w:rsidR="00CA1E88" w:rsidRPr="00CA1E88">
              <w:rPr>
                <w:b/>
                <w:color w:val="000000"/>
              </w:rPr>
              <w:t xml:space="preserve">range and </w:t>
            </w:r>
            <w:r w:rsidRPr="00CA1E88">
              <w:rPr>
                <w:b/>
                <w:color w:val="000000"/>
                <w:szCs w:val="22"/>
                <w:lang w:val="en-US"/>
              </w:rPr>
              <w:t>status</w:t>
            </w:r>
          </w:p>
        </w:tc>
      </w:tr>
      <w:tr w:rsidR="00280130" w:rsidRPr="00015190" w14:paraId="79079C30" w14:textId="77777777" w:rsidTr="00280130">
        <w:trPr>
          <w:trHeight w:val="290"/>
          <w:jc w:val="center"/>
        </w:trPr>
        <w:tc>
          <w:tcPr>
            <w:tcW w:w="1543" w:type="dxa"/>
            <w:tcBorders>
              <w:top w:val="nil"/>
              <w:left w:val="nil"/>
              <w:bottom w:val="nil"/>
              <w:right w:val="nil"/>
            </w:tcBorders>
            <w:vAlign w:val="bottom"/>
          </w:tcPr>
          <w:p w14:paraId="0C6501AB" w14:textId="77777777" w:rsidR="00280130" w:rsidRPr="008263B0" w:rsidRDefault="00280130" w:rsidP="001368E7">
            <w:pPr>
              <w:spacing w:before="0" w:after="0"/>
              <w:rPr>
                <w:i/>
                <w:color w:val="000000"/>
                <w:lang w:eastAsia="en-AU"/>
              </w:rPr>
            </w:pPr>
            <w:r w:rsidRPr="008263B0">
              <w:rPr>
                <w:i/>
                <w:color w:val="000000"/>
                <w:szCs w:val="22"/>
                <w:lang w:eastAsia="en-AU"/>
              </w:rPr>
              <w:t>very good</w:t>
            </w:r>
          </w:p>
        </w:tc>
        <w:tc>
          <w:tcPr>
            <w:tcW w:w="2127" w:type="dxa"/>
            <w:tcBorders>
              <w:top w:val="nil"/>
              <w:left w:val="nil"/>
              <w:bottom w:val="nil"/>
              <w:right w:val="nil"/>
            </w:tcBorders>
            <w:noWrap/>
            <w:vAlign w:val="bottom"/>
          </w:tcPr>
          <w:p w14:paraId="19FDA31D" w14:textId="77777777" w:rsidR="00280130" w:rsidRPr="00015190" w:rsidRDefault="00280130" w:rsidP="008263B0">
            <w:pPr>
              <w:spacing w:before="0" w:after="0"/>
              <w:jc w:val="center"/>
              <w:rPr>
                <w:color w:val="000000"/>
                <w:lang w:val="en-US"/>
              </w:rPr>
            </w:pPr>
            <w:bookmarkStart w:id="119" w:name="_Hlk304381412"/>
            <w:r w:rsidRPr="00015190">
              <w:rPr>
                <w:color w:val="000000"/>
                <w:szCs w:val="22"/>
                <w:lang w:val="en-US"/>
              </w:rPr>
              <w:t>C:N ratio &gt;30*</w:t>
            </w:r>
          </w:p>
        </w:tc>
        <w:tc>
          <w:tcPr>
            <w:tcW w:w="1848" w:type="dxa"/>
            <w:tcBorders>
              <w:top w:val="nil"/>
              <w:left w:val="nil"/>
              <w:bottom w:val="nil"/>
              <w:right w:val="nil"/>
            </w:tcBorders>
            <w:shd w:val="clear" w:color="auto" w:fill="008000"/>
            <w:noWrap/>
            <w:vAlign w:val="bottom"/>
          </w:tcPr>
          <w:p w14:paraId="728BD216" w14:textId="77777777" w:rsidR="00280130" w:rsidRPr="00015190" w:rsidRDefault="00280130" w:rsidP="002605DA">
            <w:pPr>
              <w:spacing w:before="0" w:after="0"/>
              <w:jc w:val="center"/>
              <w:rPr>
                <w:color w:val="000000"/>
                <w:lang w:eastAsia="en-AU"/>
              </w:rPr>
            </w:pPr>
            <w:r w:rsidRPr="00015190">
              <w:rPr>
                <w:color w:val="000000"/>
                <w:szCs w:val="22"/>
                <w:lang w:eastAsia="en-AU"/>
              </w:rPr>
              <w:t>8</w:t>
            </w:r>
            <w:r>
              <w:rPr>
                <w:color w:val="000000"/>
                <w:szCs w:val="22"/>
                <w:lang w:eastAsia="en-AU"/>
              </w:rPr>
              <w:t>1</w:t>
            </w:r>
            <w:r w:rsidRPr="00015190">
              <w:rPr>
                <w:color w:val="000000"/>
                <w:szCs w:val="22"/>
                <w:lang w:eastAsia="en-AU"/>
              </w:rPr>
              <w:t xml:space="preserve"> - 100</w:t>
            </w:r>
          </w:p>
        </w:tc>
      </w:tr>
      <w:tr w:rsidR="00280130" w:rsidRPr="00015190" w14:paraId="29A34D8B" w14:textId="77777777" w:rsidTr="00280130">
        <w:trPr>
          <w:trHeight w:val="290"/>
          <w:jc w:val="center"/>
        </w:trPr>
        <w:tc>
          <w:tcPr>
            <w:tcW w:w="1543" w:type="dxa"/>
            <w:tcBorders>
              <w:top w:val="nil"/>
              <w:left w:val="nil"/>
              <w:bottom w:val="nil"/>
              <w:right w:val="nil"/>
            </w:tcBorders>
            <w:vAlign w:val="bottom"/>
          </w:tcPr>
          <w:p w14:paraId="33FFC391" w14:textId="77777777" w:rsidR="00280130" w:rsidRPr="008263B0" w:rsidRDefault="00280130" w:rsidP="001368E7">
            <w:pPr>
              <w:spacing w:before="0" w:after="0"/>
              <w:rPr>
                <w:i/>
                <w:color w:val="000000"/>
                <w:lang w:eastAsia="en-AU"/>
              </w:rPr>
            </w:pPr>
            <w:r w:rsidRPr="008263B0">
              <w:rPr>
                <w:i/>
                <w:color w:val="000000"/>
                <w:szCs w:val="22"/>
                <w:lang w:eastAsia="en-AU"/>
              </w:rPr>
              <w:t>good</w:t>
            </w:r>
          </w:p>
        </w:tc>
        <w:tc>
          <w:tcPr>
            <w:tcW w:w="2127" w:type="dxa"/>
            <w:tcBorders>
              <w:top w:val="nil"/>
              <w:left w:val="nil"/>
              <w:bottom w:val="nil"/>
              <w:right w:val="nil"/>
            </w:tcBorders>
            <w:noWrap/>
            <w:vAlign w:val="bottom"/>
          </w:tcPr>
          <w:p w14:paraId="75FE5B54" w14:textId="77777777" w:rsidR="00280130" w:rsidRPr="00015190" w:rsidRDefault="00280130" w:rsidP="008263B0">
            <w:pPr>
              <w:spacing w:before="0" w:after="0"/>
              <w:jc w:val="center"/>
              <w:rPr>
                <w:color w:val="000000"/>
                <w:lang w:val="en-US"/>
              </w:rPr>
            </w:pPr>
            <w:r w:rsidRPr="00015190">
              <w:rPr>
                <w:color w:val="000000"/>
                <w:szCs w:val="22"/>
                <w:lang w:val="en-US"/>
              </w:rPr>
              <w:t>C:N ratio 25-30</w:t>
            </w:r>
          </w:p>
        </w:tc>
        <w:tc>
          <w:tcPr>
            <w:tcW w:w="1848" w:type="dxa"/>
            <w:tcBorders>
              <w:top w:val="nil"/>
              <w:left w:val="nil"/>
              <w:bottom w:val="nil"/>
              <w:right w:val="nil"/>
            </w:tcBorders>
            <w:shd w:val="clear" w:color="auto" w:fill="92D050"/>
            <w:noWrap/>
            <w:vAlign w:val="bottom"/>
          </w:tcPr>
          <w:p w14:paraId="6D92891F" w14:textId="77777777" w:rsidR="00280130" w:rsidRPr="00015190" w:rsidRDefault="00280130" w:rsidP="002605DA">
            <w:pPr>
              <w:spacing w:before="0" w:after="0"/>
              <w:jc w:val="center"/>
              <w:rPr>
                <w:color w:val="000000"/>
                <w:lang w:eastAsia="en-AU"/>
              </w:rPr>
            </w:pPr>
            <w:r w:rsidRPr="00015190">
              <w:rPr>
                <w:color w:val="000000"/>
                <w:szCs w:val="22"/>
                <w:lang w:eastAsia="en-AU"/>
              </w:rPr>
              <w:t>6</w:t>
            </w:r>
            <w:r>
              <w:rPr>
                <w:color w:val="000000"/>
                <w:szCs w:val="22"/>
                <w:lang w:eastAsia="en-AU"/>
              </w:rPr>
              <w:t>1</w:t>
            </w:r>
            <w:r w:rsidRPr="00015190">
              <w:rPr>
                <w:color w:val="000000"/>
                <w:szCs w:val="22"/>
                <w:lang w:eastAsia="en-AU"/>
              </w:rPr>
              <w:t xml:space="preserve"> - 80</w:t>
            </w:r>
          </w:p>
        </w:tc>
      </w:tr>
      <w:tr w:rsidR="00280130" w:rsidRPr="00015190" w14:paraId="5A38A527" w14:textId="77777777" w:rsidTr="00280130">
        <w:trPr>
          <w:trHeight w:val="300"/>
          <w:jc w:val="center"/>
        </w:trPr>
        <w:tc>
          <w:tcPr>
            <w:tcW w:w="1543" w:type="dxa"/>
            <w:tcBorders>
              <w:top w:val="nil"/>
              <w:left w:val="nil"/>
              <w:bottom w:val="nil"/>
              <w:right w:val="nil"/>
            </w:tcBorders>
            <w:vAlign w:val="bottom"/>
          </w:tcPr>
          <w:p w14:paraId="78E29AE5" w14:textId="77777777" w:rsidR="00280130" w:rsidRPr="008263B0" w:rsidRDefault="00280130" w:rsidP="001368E7">
            <w:pPr>
              <w:spacing w:before="0" w:after="0"/>
              <w:rPr>
                <w:i/>
                <w:color w:val="000000"/>
                <w:lang w:eastAsia="en-AU"/>
              </w:rPr>
            </w:pPr>
            <w:r w:rsidRPr="008263B0">
              <w:rPr>
                <w:i/>
                <w:color w:val="000000"/>
                <w:szCs w:val="22"/>
                <w:lang w:eastAsia="en-AU"/>
              </w:rPr>
              <w:t>moderate</w:t>
            </w:r>
          </w:p>
        </w:tc>
        <w:tc>
          <w:tcPr>
            <w:tcW w:w="2127" w:type="dxa"/>
            <w:tcBorders>
              <w:top w:val="nil"/>
              <w:left w:val="nil"/>
              <w:bottom w:val="nil"/>
              <w:right w:val="nil"/>
            </w:tcBorders>
            <w:noWrap/>
            <w:vAlign w:val="bottom"/>
          </w:tcPr>
          <w:p w14:paraId="285D3562" w14:textId="1CCF33FF" w:rsidR="00280130" w:rsidRPr="00015190" w:rsidRDefault="00280130" w:rsidP="008263B0">
            <w:pPr>
              <w:spacing w:before="0" w:after="0"/>
              <w:jc w:val="center"/>
              <w:rPr>
                <w:color w:val="000000"/>
                <w:lang w:val="en-US"/>
              </w:rPr>
            </w:pPr>
            <w:r w:rsidRPr="00015190">
              <w:rPr>
                <w:color w:val="000000"/>
                <w:szCs w:val="22"/>
                <w:lang w:val="en-US"/>
              </w:rPr>
              <w:t>C:N ratio 20-25</w:t>
            </w:r>
          </w:p>
        </w:tc>
        <w:tc>
          <w:tcPr>
            <w:tcW w:w="1848" w:type="dxa"/>
            <w:tcBorders>
              <w:top w:val="nil"/>
              <w:left w:val="nil"/>
              <w:bottom w:val="nil"/>
              <w:right w:val="nil"/>
            </w:tcBorders>
            <w:shd w:val="clear" w:color="auto" w:fill="FFFF00"/>
            <w:noWrap/>
            <w:vAlign w:val="bottom"/>
          </w:tcPr>
          <w:p w14:paraId="5C26DEA7" w14:textId="77777777" w:rsidR="00280130" w:rsidRPr="00015190" w:rsidRDefault="00280130" w:rsidP="002605DA">
            <w:pPr>
              <w:spacing w:before="0" w:after="0"/>
              <w:jc w:val="center"/>
              <w:rPr>
                <w:color w:val="000000"/>
                <w:lang w:eastAsia="en-AU"/>
              </w:rPr>
            </w:pPr>
            <w:r w:rsidRPr="00015190">
              <w:rPr>
                <w:color w:val="000000"/>
                <w:szCs w:val="22"/>
                <w:lang w:eastAsia="en-AU"/>
              </w:rPr>
              <w:t>4</w:t>
            </w:r>
            <w:r>
              <w:rPr>
                <w:color w:val="000000"/>
                <w:szCs w:val="22"/>
                <w:lang w:eastAsia="en-AU"/>
              </w:rPr>
              <w:t>1</w:t>
            </w:r>
            <w:r w:rsidRPr="00015190">
              <w:rPr>
                <w:color w:val="000000"/>
                <w:szCs w:val="22"/>
                <w:lang w:eastAsia="en-AU"/>
              </w:rPr>
              <w:t xml:space="preserve"> </w:t>
            </w:r>
            <w:r>
              <w:rPr>
                <w:color w:val="000000"/>
                <w:szCs w:val="22"/>
                <w:lang w:eastAsia="en-AU"/>
              </w:rPr>
              <w:t xml:space="preserve">- </w:t>
            </w:r>
            <w:r w:rsidRPr="00015190">
              <w:rPr>
                <w:color w:val="000000"/>
                <w:szCs w:val="22"/>
                <w:lang w:eastAsia="en-AU"/>
              </w:rPr>
              <w:t>60</w:t>
            </w:r>
          </w:p>
        </w:tc>
      </w:tr>
      <w:tr w:rsidR="00280130" w:rsidRPr="00015190" w14:paraId="749C13DF" w14:textId="77777777" w:rsidTr="00280130">
        <w:trPr>
          <w:trHeight w:val="290"/>
          <w:jc w:val="center"/>
        </w:trPr>
        <w:tc>
          <w:tcPr>
            <w:tcW w:w="1543" w:type="dxa"/>
            <w:tcBorders>
              <w:top w:val="nil"/>
              <w:left w:val="nil"/>
              <w:right w:val="nil"/>
            </w:tcBorders>
            <w:vAlign w:val="bottom"/>
          </w:tcPr>
          <w:p w14:paraId="4A24A601" w14:textId="77777777" w:rsidR="00280130" w:rsidRPr="008263B0" w:rsidRDefault="00280130" w:rsidP="001368E7">
            <w:pPr>
              <w:spacing w:before="0" w:after="0"/>
              <w:rPr>
                <w:i/>
                <w:color w:val="000000"/>
                <w:lang w:eastAsia="en-AU"/>
              </w:rPr>
            </w:pPr>
            <w:r w:rsidRPr="008263B0">
              <w:rPr>
                <w:i/>
                <w:color w:val="000000"/>
                <w:szCs w:val="22"/>
                <w:lang w:eastAsia="en-AU"/>
              </w:rPr>
              <w:t>poor</w:t>
            </w:r>
          </w:p>
        </w:tc>
        <w:tc>
          <w:tcPr>
            <w:tcW w:w="2127" w:type="dxa"/>
            <w:tcBorders>
              <w:top w:val="nil"/>
              <w:left w:val="nil"/>
              <w:right w:val="nil"/>
            </w:tcBorders>
            <w:noWrap/>
            <w:vAlign w:val="bottom"/>
          </w:tcPr>
          <w:p w14:paraId="7B015039" w14:textId="77777777" w:rsidR="00280130" w:rsidRPr="00015190" w:rsidRDefault="00280130" w:rsidP="008263B0">
            <w:pPr>
              <w:spacing w:before="0" w:after="0"/>
              <w:jc w:val="center"/>
              <w:rPr>
                <w:color w:val="000000"/>
                <w:lang w:val="en-US"/>
              </w:rPr>
            </w:pPr>
            <w:r w:rsidRPr="00015190">
              <w:rPr>
                <w:color w:val="000000"/>
                <w:szCs w:val="22"/>
                <w:lang w:val="en-US"/>
              </w:rPr>
              <w:t>C:N ratio 15-20</w:t>
            </w:r>
          </w:p>
        </w:tc>
        <w:tc>
          <w:tcPr>
            <w:tcW w:w="1848" w:type="dxa"/>
            <w:tcBorders>
              <w:top w:val="nil"/>
              <w:left w:val="nil"/>
              <w:right w:val="nil"/>
            </w:tcBorders>
            <w:shd w:val="clear" w:color="auto" w:fill="FFC000"/>
            <w:noWrap/>
            <w:vAlign w:val="bottom"/>
          </w:tcPr>
          <w:p w14:paraId="0037B80A" w14:textId="77777777" w:rsidR="00280130" w:rsidRPr="00015190" w:rsidRDefault="00280130" w:rsidP="002605DA">
            <w:pPr>
              <w:spacing w:before="0" w:after="0"/>
              <w:jc w:val="center"/>
              <w:rPr>
                <w:color w:val="000000"/>
                <w:lang w:eastAsia="en-AU"/>
              </w:rPr>
            </w:pPr>
            <w:r>
              <w:rPr>
                <w:color w:val="000000"/>
                <w:szCs w:val="22"/>
                <w:lang w:eastAsia="en-AU"/>
              </w:rPr>
              <w:t xml:space="preserve">21 - </w:t>
            </w:r>
            <w:r w:rsidRPr="00015190">
              <w:rPr>
                <w:color w:val="000000"/>
                <w:szCs w:val="22"/>
                <w:lang w:eastAsia="en-AU"/>
              </w:rPr>
              <w:t>40</w:t>
            </w:r>
          </w:p>
        </w:tc>
      </w:tr>
      <w:tr w:rsidR="00280130" w:rsidRPr="00015190" w14:paraId="2D612546" w14:textId="77777777" w:rsidTr="00280130">
        <w:trPr>
          <w:trHeight w:val="290"/>
          <w:jc w:val="center"/>
        </w:trPr>
        <w:tc>
          <w:tcPr>
            <w:tcW w:w="1543" w:type="dxa"/>
            <w:tcBorders>
              <w:top w:val="nil"/>
              <w:left w:val="nil"/>
              <w:bottom w:val="single" w:sz="4" w:space="0" w:color="auto"/>
              <w:right w:val="nil"/>
            </w:tcBorders>
            <w:vAlign w:val="bottom"/>
          </w:tcPr>
          <w:p w14:paraId="22B353B7" w14:textId="77777777" w:rsidR="00280130" w:rsidRPr="008263B0" w:rsidRDefault="00280130" w:rsidP="001368E7">
            <w:pPr>
              <w:spacing w:before="0" w:after="0"/>
              <w:rPr>
                <w:i/>
                <w:color w:val="000000"/>
                <w:lang w:eastAsia="en-AU"/>
              </w:rPr>
            </w:pPr>
            <w:r w:rsidRPr="008263B0">
              <w:rPr>
                <w:i/>
                <w:color w:val="000000"/>
                <w:szCs w:val="22"/>
                <w:lang w:eastAsia="en-AU"/>
              </w:rPr>
              <w:t>very poor</w:t>
            </w:r>
          </w:p>
        </w:tc>
        <w:tc>
          <w:tcPr>
            <w:tcW w:w="2127" w:type="dxa"/>
            <w:tcBorders>
              <w:top w:val="nil"/>
              <w:left w:val="nil"/>
              <w:bottom w:val="single" w:sz="4" w:space="0" w:color="auto"/>
              <w:right w:val="nil"/>
            </w:tcBorders>
            <w:noWrap/>
            <w:vAlign w:val="bottom"/>
          </w:tcPr>
          <w:p w14:paraId="549F6587" w14:textId="77777777" w:rsidR="00280130" w:rsidRPr="00015190" w:rsidRDefault="00280130" w:rsidP="008263B0">
            <w:pPr>
              <w:spacing w:before="0" w:after="0"/>
              <w:jc w:val="center"/>
              <w:rPr>
                <w:color w:val="000000"/>
                <w:lang w:val="en-US"/>
              </w:rPr>
            </w:pPr>
            <w:r w:rsidRPr="00015190">
              <w:rPr>
                <w:color w:val="000000"/>
                <w:szCs w:val="22"/>
                <w:lang w:val="en-US"/>
              </w:rPr>
              <w:t>C:N ratio &lt;15*</w:t>
            </w:r>
          </w:p>
        </w:tc>
        <w:tc>
          <w:tcPr>
            <w:tcW w:w="1848" w:type="dxa"/>
            <w:tcBorders>
              <w:top w:val="nil"/>
              <w:left w:val="nil"/>
              <w:bottom w:val="single" w:sz="4" w:space="0" w:color="auto"/>
              <w:right w:val="nil"/>
            </w:tcBorders>
            <w:shd w:val="clear" w:color="auto" w:fill="FF0000"/>
            <w:noWrap/>
            <w:vAlign w:val="bottom"/>
          </w:tcPr>
          <w:p w14:paraId="2647D91E" w14:textId="77777777" w:rsidR="00280130" w:rsidRPr="00015190" w:rsidRDefault="00280130" w:rsidP="001368E7">
            <w:pPr>
              <w:spacing w:before="0" w:after="0"/>
              <w:jc w:val="center"/>
              <w:rPr>
                <w:color w:val="000000"/>
                <w:lang w:eastAsia="en-AU"/>
              </w:rPr>
            </w:pPr>
            <w:r>
              <w:rPr>
                <w:color w:val="000000"/>
                <w:szCs w:val="22"/>
                <w:lang w:eastAsia="en-AU"/>
              </w:rPr>
              <w:t xml:space="preserve">0 - </w:t>
            </w:r>
            <w:r w:rsidRPr="00015190">
              <w:rPr>
                <w:color w:val="000000"/>
                <w:szCs w:val="22"/>
                <w:lang w:eastAsia="en-AU"/>
              </w:rPr>
              <w:t>20</w:t>
            </w:r>
          </w:p>
        </w:tc>
      </w:tr>
    </w:tbl>
    <w:p w14:paraId="670353E3" w14:textId="77777777" w:rsidR="00306220" w:rsidRPr="00BA12BB" w:rsidRDefault="00306220" w:rsidP="00306220">
      <w:pPr>
        <w:pStyle w:val="Heading3"/>
        <w:numPr>
          <w:ilvl w:val="2"/>
          <w:numId w:val="9"/>
        </w:numPr>
        <w:rPr>
          <w:rFonts w:ascii="Arial" w:hAnsi="Arial" w:cs="Arial"/>
        </w:rPr>
      </w:pPr>
      <w:bookmarkStart w:id="120" w:name="_Toc516053131"/>
      <w:bookmarkStart w:id="121" w:name="_Toc184101958"/>
      <w:bookmarkStart w:id="122" w:name="_Toc381027994"/>
      <w:bookmarkEnd w:id="119"/>
      <w:r w:rsidRPr="00BA12BB">
        <w:rPr>
          <w:rFonts w:ascii="Arial" w:hAnsi="Arial" w:cs="Arial"/>
        </w:rPr>
        <w:t>Seagrass index</w:t>
      </w:r>
      <w:bookmarkEnd w:id="120"/>
    </w:p>
    <w:bookmarkEnd w:id="121"/>
    <w:bookmarkEnd w:id="122"/>
    <w:p w14:paraId="59D4419F" w14:textId="2C3AF38F" w:rsidR="003D1F7F" w:rsidRPr="00C73D97" w:rsidRDefault="003D1F7F" w:rsidP="003D1F7F">
      <w:pPr>
        <w:spacing w:before="240"/>
        <w:rPr>
          <w:szCs w:val="22"/>
        </w:rPr>
      </w:pPr>
      <w:r w:rsidRPr="00C73D97">
        <w:rPr>
          <w:szCs w:val="22"/>
        </w:rPr>
        <w:t xml:space="preserve">The seagrass index is </w:t>
      </w:r>
      <w:r w:rsidR="00F16C11" w:rsidRPr="00C73D97">
        <w:rPr>
          <w:szCs w:val="22"/>
        </w:rPr>
        <w:t xml:space="preserve">an </w:t>
      </w:r>
      <w:r w:rsidRPr="00C73D97">
        <w:rPr>
          <w:szCs w:val="22"/>
        </w:rPr>
        <w:t>average score (0-100) of the three seagrass status indicators chosen for the MMP. Each indicator is equally weighted as we have no preconception that it should be otherwise. To calculate the overall score for seagrass of the Great Barrier Reef, the regional scores were weighted on the percentage of G</w:t>
      </w:r>
      <w:r w:rsidR="007F6948">
        <w:rPr>
          <w:szCs w:val="22"/>
        </w:rPr>
        <w:t>reat Barrier Reef World Herritage Area</w:t>
      </w:r>
      <w:r w:rsidRPr="00C73D97">
        <w:rPr>
          <w:szCs w:val="22"/>
        </w:rPr>
        <w:t xml:space="preserve"> seagrass (shallower than 15m) within that region (</w:t>
      </w:r>
      <w:r w:rsidR="00F16C11" w:rsidRPr="00C73D97">
        <w:rPr>
          <w:szCs w:val="22"/>
          <w:highlight w:val="yellow"/>
        </w:rPr>
        <w:fldChar w:fldCharType="begin"/>
      </w:r>
      <w:r w:rsidR="00F16C11" w:rsidRPr="00C73D97">
        <w:rPr>
          <w:szCs w:val="22"/>
        </w:rPr>
        <w:instrText xml:space="preserve"> REF _Ref442523609 \h </w:instrText>
      </w:r>
      <w:r w:rsidR="00F16C11" w:rsidRPr="00C73D97">
        <w:rPr>
          <w:szCs w:val="22"/>
          <w:highlight w:val="yellow"/>
        </w:rPr>
      </w:r>
      <w:r w:rsidR="00F16C11" w:rsidRPr="00C73D97">
        <w:rPr>
          <w:szCs w:val="22"/>
          <w:highlight w:val="yellow"/>
        </w:rPr>
        <w:fldChar w:fldCharType="separate"/>
      </w:r>
      <w:r w:rsidR="00F87DF9" w:rsidRPr="00015190">
        <w:rPr>
          <w:color w:val="000000"/>
          <w:szCs w:val="22"/>
        </w:rPr>
        <w:t xml:space="preserve">Table </w:t>
      </w:r>
      <w:r w:rsidR="00F87DF9">
        <w:rPr>
          <w:noProof/>
          <w:color w:val="000000"/>
          <w:szCs w:val="22"/>
        </w:rPr>
        <w:t>8</w:t>
      </w:r>
      <w:r w:rsidR="00F16C11" w:rsidRPr="00C73D97">
        <w:rPr>
          <w:szCs w:val="22"/>
          <w:highlight w:val="yellow"/>
        </w:rPr>
        <w:fldChar w:fldCharType="end"/>
      </w:r>
      <w:r w:rsidRPr="00C73D97">
        <w:rPr>
          <w:szCs w:val="22"/>
        </w:rPr>
        <w:t xml:space="preserve">). </w:t>
      </w:r>
      <w:r w:rsidRPr="00C73D97">
        <w:rPr>
          <w:i/>
          <w:szCs w:val="22"/>
        </w:rPr>
        <w:t>Please note: Cape York omitted from the GBR score in P2R reporting prior to 2012 due to poor representation of inshore monitoring sites throughout region</w:t>
      </w:r>
      <w:r w:rsidRPr="00C73D97">
        <w:rPr>
          <w:szCs w:val="22"/>
        </w:rPr>
        <w:t>.</w:t>
      </w:r>
    </w:p>
    <w:p w14:paraId="039AFAD0" w14:textId="77777777" w:rsidR="00F26FBD" w:rsidRPr="00C73D97" w:rsidRDefault="00F26FBD" w:rsidP="00E742E9">
      <w:pPr>
        <w:spacing w:before="240"/>
        <w:rPr>
          <w:szCs w:val="22"/>
        </w:rPr>
      </w:pPr>
    </w:p>
    <w:p w14:paraId="23C1604D" w14:textId="2CDD404B" w:rsidR="0067177B" w:rsidRPr="004502DF" w:rsidRDefault="003D1F7F" w:rsidP="0067177B">
      <w:pPr>
        <w:jc w:val="center"/>
        <w:rPr>
          <w:i/>
          <w:vanish/>
          <w:color w:val="000000"/>
          <w:szCs w:val="22"/>
          <w:specVanish/>
        </w:rPr>
      </w:pPr>
      <w:bookmarkStart w:id="123" w:name="_Ref442523609"/>
      <w:bookmarkStart w:id="124" w:name="_Toc516053432"/>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F87DF9">
        <w:rPr>
          <w:noProof/>
          <w:color w:val="000000"/>
          <w:szCs w:val="22"/>
        </w:rPr>
        <w:t>8</w:t>
      </w:r>
      <w:r w:rsidRPr="00015190">
        <w:rPr>
          <w:color w:val="000000"/>
          <w:szCs w:val="22"/>
        </w:rPr>
        <w:fldChar w:fldCharType="end"/>
      </w:r>
      <w:bookmarkEnd w:id="123"/>
      <w:r w:rsidRPr="00015190">
        <w:rPr>
          <w:color w:val="000000"/>
          <w:szCs w:val="22"/>
        </w:rPr>
        <w:t xml:space="preserve">. </w:t>
      </w:r>
      <w:r w:rsidR="002868F2">
        <w:rPr>
          <w:i/>
          <w:color w:val="000000"/>
          <w:szCs w:val="22"/>
        </w:rPr>
        <w:t xml:space="preserve">Area of seagrass shallower than 15m in each NRM region </w:t>
      </w:r>
      <w:r w:rsidR="0067177B">
        <w:rPr>
          <w:i/>
          <w:color w:val="000000"/>
          <w:szCs w:val="22"/>
        </w:rPr>
        <w:t>within the boundaries of the Great Barrier Reef World Heritage Area</w:t>
      </w:r>
      <w:r w:rsidR="0067177B" w:rsidRPr="004502DF">
        <w:rPr>
          <w:i/>
          <w:color w:val="000000"/>
          <w:szCs w:val="22"/>
        </w:rPr>
        <w:t>.</w:t>
      </w:r>
      <w:bookmarkEnd w:id="124"/>
    </w:p>
    <w:p w14:paraId="3EE66162" w14:textId="5765C3C3" w:rsidR="003D1F7F" w:rsidRPr="00015190" w:rsidRDefault="002868F2" w:rsidP="0067177B">
      <w:pPr>
        <w:ind w:left="360"/>
        <w:jc w:val="center"/>
        <w:rPr>
          <w:i/>
          <w:color w:val="000000"/>
          <w:szCs w:val="22"/>
        </w:rPr>
      </w:pPr>
      <w:r>
        <w:rPr>
          <w:i/>
          <w:color w:val="000000"/>
          <w:szCs w:val="22"/>
        </w:rPr>
        <w:t>(from</w:t>
      </w:r>
      <w:r w:rsidR="0078520E">
        <w:rPr>
          <w:i/>
          <w:color w:val="000000"/>
          <w:szCs w:val="22"/>
        </w:rPr>
        <w:t xml:space="preserve"> </w:t>
      </w:r>
      <w:r>
        <w:rPr>
          <w:i/>
          <w:color w:val="000000"/>
          <w:szCs w:val="22"/>
        </w:rPr>
        <w:fldChar w:fldCharType="begin">
          <w:fldData xml:space="preserve">PEVuZE5vdGU+PENpdGU+PEF1dGhvcj5NY0tlbnppZTwvQXV0aG9yPjxZZWFyPjIwMTQ8L1llYXI+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</w:fldData>
        </w:fldChar>
      </w:r>
      <w:r w:rsidR="00521D93">
        <w:rPr>
          <w:i/>
          <w:color w:val="000000"/>
          <w:szCs w:val="22"/>
        </w:rPr>
        <w:instrText xml:space="preserve"> ADDIN EN.CITE </w:instrText>
      </w:r>
      <w:r w:rsidR="00521D93">
        <w:rPr>
          <w:i/>
          <w:color w:val="000000"/>
          <w:szCs w:val="22"/>
        </w:rPr>
        <w:fldChar w:fldCharType="begin">
          <w:fldData xml:space="preserve">PEVuZE5vdGU+PENpdGU+PEF1dGhvcj5NY0tlbnppZTwvQXV0aG9yPjxZZWFyPjIwMTQ8L1llYXI+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</w:fldData>
        </w:fldChar>
      </w:r>
      <w:r w:rsidR="00521D93">
        <w:rPr>
          <w:i/>
          <w:color w:val="000000"/>
          <w:szCs w:val="22"/>
        </w:rPr>
        <w:instrText xml:space="preserve"> ADDIN EN.CITE.DATA </w:instrText>
      </w:r>
      <w:r w:rsidR="00521D93">
        <w:rPr>
          <w:i/>
          <w:color w:val="000000"/>
          <w:szCs w:val="22"/>
        </w:rPr>
      </w:r>
      <w:r w:rsidR="00521D93">
        <w:rPr>
          <w:i/>
          <w:color w:val="000000"/>
          <w:szCs w:val="22"/>
        </w:rPr>
        <w:fldChar w:fldCharType="end"/>
      </w:r>
      <w:r>
        <w:rPr>
          <w:i/>
          <w:color w:val="000000"/>
          <w:szCs w:val="22"/>
        </w:rPr>
      </w:r>
      <w:r>
        <w:rPr>
          <w:i/>
          <w:color w:val="000000"/>
          <w:szCs w:val="22"/>
        </w:rPr>
        <w:fldChar w:fldCharType="separate"/>
      </w:r>
      <w:hyperlink w:anchor="_ENREF_170" w:tooltip="McKenzie, 2014 #9838" w:history="1">
        <w:r w:rsidR="00305FE7">
          <w:rPr>
            <w:i/>
            <w:noProof/>
            <w:color w:val="000000"/>
            <w:szCs w:val="22"/>
          </w:rPr>
          <w:t>McKenzie et al. 2014c</w:t>
        </w:r>
      </w:hyperlink>
      <w:r w:rsidR="00521D93">
        <w:rPr>
          <w:i/>
          <w:noProof/>
          <w:color w:val="000000"/>
          <w:szCs w:val="22"/>
        </w:rPr>
        <w:t xml:space="preserve">; </w:t>
      </w:r>
      <w:hyperlink w:anchor="_ENREF_171" w:tooltip="McKenzie, 2014 #9961" w:history="1">
        <w:r w:rsidR="00305FE7">
          <w:rPr>
            <w:i/>
            <w:noProof/>
            <w:color w:val="000000"/>
            <w:szCs w:val="22"/>
          </w:rPr>
          <w:t>McKenzie et al. 2014d</w:t>
        </w:r>
      </w:hyperlink>
      <w:r w:rsidR="00521D93">
        <w:rPr>
          <w:i/>
          <w:noProof/>
          <w:color w:val="000000"/>
          <w:szCs w:val="22"/>
        </w:rPr>
        <w:t xml:space="preserve">; </w:t>
      </w:r>
      <w:hyperlink w:anchor="_ENREF_35" w:tooltip="Carter, 2016 #10578" w:history="1">
        <w:r w:rsidR="00305FE7">
          <w:rPr>
            <w:i/>
            <w:noProof/>
            <w:color w:val="000000"/>
            <w:szCs w:val="22"/>
          </w:rPr>
          <w:t>Carter et al. 2016</w:t>
        </w:r>
      </w:hyperlink>
      <w:r w:rsidR="00521D93">
        <w:rPr>
          <w:i/>
          <w:noProof/>
          <w:color w:val="000000"/>
          <w:szCs w:val="22"/>
        </w:rPr>
        <w:t xml:space="preserve">; </w:t>
      </w:r>
      <w:hyperlink w:anchor="_ENREF_231" w:tooltip="Waterhouse, 2016 #10665" w:history="1">
        <w:r w:rsidR="00305FE7">
          <w:rPr>
            <w:i/>
            <w:noProof/>
            <w:color w:val="000000"/>
            <w:szCs w:val="22"/>
          </w:rPr>
          <w:t>Waterhouse et al. 2016</w:t>
        </w:r>
      </w:hyperlink>
      <w:r>
        <w:rPr>
          <w:i/>
          <w:color w:val="000000"/>
          <w:szCs w:val="22"/>
        </w:rPr>
        <w:fldChar w:fldCharType="end"/>
      </w:r>
      <w:r>
        <w:rPr>
          <w:i/>
          <w:color w:val="000000"/>
          <w:szCs w:val="22"/>
        </w:rPr>
        <w:t>).</w:t>
      </w:r>
    </w:p>
    <w:tbl>
      <w:tblPr>
        <w:tblW w:w="7362" w:type="dxa"/>
        <w:jc w:val="center"/>
        <w:tblLook w:val="04A0" w:firstRow="1" w:lastRow="0" w:firstColumn="1" w:lastColumn="0" w:noHBand="0" w:noVBand="1"/>
      </w:tblPr>
      <w:tblGrid>
        <w:gridCol w:w="2660"/>
        <w:gridCol w:w="2360"/>
        <w:gridCol w:w="2342"/>
      </w:tblGrid>
      <w:tr w:rsidR="0070343A" w14:paraId="34683CF3" w14:textId="77777777" w:rsidTr="0091359C">
        <w:trPr>
          <w:trHeight w:val="290"/>
          <w:jc w:val="center"/>
        </w:trPr>
        <w:tc>
          <w:tcPr>
            <w:tcW w:w="2660" w:type="dxa"/>
            <w:tcBorders>
              <w:top w:val="single" w:sz="4" w:space="0" w:color="auto"/>
              <w:left w:val="nil"/>
              <w:bottom w:val="single" w:sz="4" w:space="0" w:color="auto"/>
              <w:right w:val="nil"/>
            </w:tcBorders>
            <w:shd w:val="clear" w:color="auto" w:fill="BBE0E3"/>
            <w:noWrap/>
            <w:vAlign w:val="bottom"/>
            <w:hideMark/>
          </w:tcPr>
          <w:p w14:paraId="7C70BED0" w14:textId="77777777" w:rsidR="0070343A" w:rsidRDefault="0070343A" w:rsidP="00E742E9">
            <w:pPr>
              <w:spacing w:before="0" w:after="0"/>
              <w:jc w:val="center"/>
              <w:rPr>
                <w:b/>
                <w:color w:val="000000"/>
                <w:lang w:val="en-US"/>
              </w:rPr>
            </w:pPr>
            <w:r>
              <w:rPr>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bottom"/>
            <w:hideMark/>
          </w:tcPr>
          <w:p w14:paraId="0C5530DF" w14:textId="77777777" w:rsidR="0070343A" w:rsidRDefault="0070343A" w:rsidP="00E742E9">
            <w:pPr>
              <w:spacing w:before="0" w:after="0"/>
              <w:jc w:val="center"/>
              <w:rPr>
                <w:b/>
                <w:color w:val="000000"/>
                <w:lang w:val="en-US"/>
              </w:rPr>
            </w:pPr>
            <w:r>
              <w:rPr>
                <w:b/>
                <w:color w:val="000000"/>
                <w:szCs w:val="22"/>
                <w:lang w:val="en-US"/>
              </w:rPr>
              <w:t xml:space="preserve">Area of seagrass </w:t>
            </w:r>
            <w:r>
              <w:rPr>
                <w:color w:val="000000"/>
                <w:szCs w:val="22"/>
                <w:lang w:val="en-US"/>
              </w:rPr>
              <w:t>(km</w:t>
            </w:r>
            <w:r>
              <w:rPr>
                <w:color w:val="000000"/>
                <w:szCs w:val="22"/>
                <w:vertAlign w:val="superscript"/>
                <w:lang w:val="en-US"/>
              </w:rPr>
              <w:t>2</w:t>
            </w:r>
            <w:r>
              <w:rPr>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bottom"/>
            <w:hideMark/>
          </w:tcPr>
          <w:p w14:paraId="3B407F81" w14:textId="4336A32E" w:rsidR="0070343A" w:rsidRDefault="0063478C" w:rsidP="00E742E9">
            <w:pPr>
              <w:spacing w:before="0" w:after="0"/>
              <w:jc w:val="center"/>
              <w:rPr>
                <w:b/>
                <w:color w:val="000000"/>
                <w:lang w:val="en-US"/>
              </w:rPr>
            </w:pPr>
            <w:r>
              <w:rPr>
                <w:b/>
                <w:color w:val="000000"/>
                <w:szCs w:val="22"/>
                <w:lang w:val="en-US"/>
              </w:rPr>
              <w:t xml:space="preserve"> per cent</w:t>
            </w:r>
            <w:r w:rsidR="0070343A">
              <w:rPr>
                <w:b/>
                <w:color w:val="000000"/>
                <w:szCs w:val="22"/>
                <w:lang w:val="en-US"/>
              </w:rPr>
              <w:t xml:space="preserve"> of GBRWHA</w:t>
            </w:r>
          </w:p>
        </w:tc>
      </w:tr>
      <w:tr w:rsidR="0070343A" w:rsidRPr="00AC0887" w14:paraId="26D56571" w14:textId="77777777" w:rsidTr="0091359C">
        <w:trPr>
          <w:trHeight w:val="290"/>
          <w:jc w:val="center"/>
        </w:trPr>
        <w:tc>
          <w:tcPr>
            <w:tcW w:w="2660" w:type="dxa"/>
            <w:shd w:val="clear" w:color="auto" w:fill="F3F9FA"/>
            <w:noWrap/>
            <w:vAlign w:val="bottom"/>
            <w:hideMark/>
          </w:tcPr>
          <w:p w14:paraId="1DF6FBE3" w14:textId="77777777" w:rsidR="0070343A" w:rsidRPr="00AC0887" w:rsidRDefault="0070343A" w:rsidP="00E742E9">
            <w:pPr>
              <w:spacing w:before="0" w:after="0"/>
              <w:rPr>
                <w:lang w:eastAsia="en-AU"/>
              </w:rPr>
            </w:pPr>
            <w:r w:rsidRPr="00AC0887">
              <w:rPr>
                <w:szCs w:val="22"/>
                <w:lang w:eastAsia="en-AU"/>
              </w:rPr>
              <w:t xml:space="preserve">Cape York </w:t>
            </w:r>
          </w:p>
        </w:tc>
        <w:tc>
          <w:tcPr>
            <w:tcW w:w="2360" w:type="dxa"/>
            <w:shd w:val="clear" w:color="auto" w:fill="F3F9FA"/>
            <w:noWrap/>
            <w:vAlign w:val="bottom"/>
            <w:hideMark/>
          </w:tcPr>
          <w:p w14:paraId="272A037D" w14:textId="77777777" w:rsidR="0070343A" w:rsidRPr="00AC0887" w:rsidRDefault="0070343A" w:rsidP="00E742E9">
            <w:pPr>
              <w:spacing w:before="0" w:after="0"/>
              <w:jc w:val="center"/>
              <w:rPr>
                <w:szCs w:val="22"/>
                <w:lang w:eastAsia="en-AU"/>
              </w:rPr>
            </w:pPr>
            <w:r w:rsidRPr="00AC0887">
              <w:rPr>
                <w:szCs w:val="22"/>
                <w:lang w:eastAsia="en-AU"/>
              </w:rPr>
              <w:t>2,078</w:t>
            </w:r>
          </w:p>
        </w:tc>
        <w:tc>
          <w:tcPr>
            <w:tcW w:w="2342" w:type="dxa"/>
            <w:shd w:val="clear" w:color="auto" w:fill="F3F9FA"/>
            <w:noWrap/>
            <w:vAlign w:val="bottom"/>
            <w:hideMark/>
          </w:tcPr>
          <w:p w14:paraId="11D4ABF4" w14:textId="77777777" w:rsidR="0070343A" w:rsidRPr="00AC0887" w:rsidRDefault="0070343A" w:rsidP="00E742E9">
            <w:pPr>
              <w:spacing w:before="0" w:after="0"/>
              <w:jc w:val="center"/>
              <w:rPr>
                <w:lang w:eastAsia="en-AU"/>
              </w:rPr>
            </w:pPr>
            <w:r w:rsidRPr="00AC0887">
              <w:rPr>
                <w:lang w:eastAsia="en-AU"/>
              </w:rPr>
              <w:t>0.60</w:t>
            </w:r>
          </w:p>
        </w:tc>
      </w:tr>
      <w:tr w:rsidR="0070343A" w:rsidRPr="00AC0887" w14:paraId="3FA560A1" w14:textId="77777777" w:rsidTr="0091359C">
        <w:trPr>
          <w:trHeight w:val="290"/>
          <w:jc w:val="center"/>
        </w:trPr>
        <w:tc>
          <w:tcPr>
            <w:tcW w:w="2660" w:type="dxa"/>
            <w:shd w:val="clear" w:color="auto" w:fill="F3F9FA"/>
            <w:noWrap/>
            <w:vAlign w:val="bottom"/>
            <w:hideMark/>
          </w:tcPr>
          <w:p w14:paraId="63A1638F" w14:textId="77777777" w:rsidR="0070343A" w:rsidRPr="00AC0887" w:rsidRDefault="0070343A" w:rsidP="00E742E9">
            <w:pPr>
              <w:spacing w:before="0" w:after="0"/>
              <w:rPr>
                <w:lang w:eastAsia="en-AU"/>
              </w:rPr>
            </w:pPr>
            <w:r w:rsidRPr="00AC0887">
              <w:rPr>
                <w:szCs w:val="22"/>
                <w:lang w:eastAsia="en-AU"/>
              </w:rPr>
              <w:t xml:space="preserve">Wet Tropics </w:t>
            </w:r>
          </w:p>
        </w:tc>
        <w:tc>
          <w:tcPr>
            <w:tcW w:w="2360" w:type="dxa"/>
            <w:shd w:val="clear" w:color="auto" w:fill="F3F9FA"/>
            <w:noWrap/>
            <w:vAlign w:val="bottom"/>
            <w:hideMark/>
          </w:tcPr>
          <w:p w14:paraId="4175580A" w14:textId="77777777" w:rsidR="0070343A" w:rsidRPr="00AC0887" w:rsidRDefault="0070343A" w:rsidP="00E742E9">
            <w:pPr>
              <w:spacing w:before="0" w:after="0"/>
              <w:jc w:val="center"/>
              <w:rPr>
                <w:lang w:eastAsia="en-AU"/>
              </w:rPr>
            </w:pPr>
            <w:r w:rsidRPr="00AC0887">
              <w:rPr>
                <w:szCs w:val="22"/>
                <w:lang w:eastAsia="en-AU"/>
              </w:rPr>
              <w:t>207</w:t>
            </w:r>
          </w:p>
        </w:tc>
        <w:tc>
          <w:tcPr>
            <w:tcW w:w="2342" w:type="dxa"/>
            <w:shd w:val="clear" w:color="auto" w:fill="F3F9FA"/>
            <w:noWrap/>
            <w:vAlign w:val="bottom"/>
            <w:hideMark/>
          </w:tcPr>
          <w:p w14:paraId="4DBF5179" w14:textId="77777777" w:rsidR="0070343A" w:rsidRPr="00AC0887" w:rsidRDefault="0070343A" w:rsidP="00E742E9">
            <w:pPr>
              <w:spacing w:before="0" w:after="0"/>
              <w:jc w:val="center"/>
              <w:rPr>
                <w:lang w:eastAsia="en-AU"/>
              </w:rPr>
            </w:pPr>
            <w:r w:rsidRPr="00AC0887">
              <w:rPr>
                <w:szCs w:val="22"/>
                <w:lang w:eastAsia="en-AU"/>
              </w:rPr>
              <w:t>0.06</w:t>
            </w:r>
          </w:p>
        </w:tc>
      </w:tr>
      <w:tr w:rsidR="0070343A" w:rsidRPr="00AC0887" w14:paraId="708D3E06" w14:textId="77777777" w:rsidTr="0091359C">
        <w:trPr>
          <w:trHeight w:val="290"/>
          <w:jc w:val="center"/>
        </w:trPr>
        <w:tc>
          <w:tcPr>
            <w:tcW w:w="2660" w:type="dxa"/>
            <w:shd w:val="clear" w:color="auto" w:fill="F3F9FA"/>
            <w:noWrap/>
            <w:vAlign w:val="bottom"/>
            <w:hideMark/>
          </w:tcPr>
          <w:p w14:paraId="4678D9E1" w14:textId="77777777" w:rsidR="0070343A" w:rsidRPr="00AC0887" w:rsidRDefault="0070343A" w:rsidP="00E742E9">
            <w:pPr>
              <w:spacing w:before="0" w:after="0"/>
              <w:rPr>
                <w:lang w:eastAsia="en-AU"/>
              </w:rPr>
            </w:pPr>
            <w:r w:rsidRPr="00AC0887">
              <w:rPr>
                <w:szCs w:val="22"/>
                <w:lang w:eastAsia="en-AU"/>
              </w:rPr>
              <w:t xml:space="preserve">Burdekin </w:t>
            </w:r>
          </w:p>
        </w:tc>
        <w:tc>
          <w:tcPr>
            <w:tcW w:w="2360" w:type="dxa"/>
            <w:shd w:val="clear" w:color="auto" w:fill="F3F9FA"/>
            <w:noWrap/>
            <w:vAlign w:val="bottom"/>
            <w:hideMark/>
          </w:tcPr>
          <w:p w14:paraId="254B5AF7" w14:textId="77777777" w:rsidR="0070343A" w:rsidRPr="00AC0887" w:rsidRDefault="0070343A" w:rsidP="00E742E9">
            <w:pPr>
              <w:spacing w:before="0" w:after="0"/>
              <w:jc w:val="center"/>
              <w:rPr>
                <w:lang w:eastAsia="en-AU"/>
              </w:rPr>
            </w:pPr>
            <w:r w:rsidRPr="00AC0887">
              <w:rPr>
                <w:szCs w:val="22"/>
                <w:lang w:eastAsia="en-AU"/>
              </w:rPr>
              <w:t>587</w:t>
            </w:r>
          </w:p>
        </w:tc>
        <w:tc>
          <w:tcPr>
            <w:tcW w:w="2342" w:type="dxa"/>
            <w:shd w:val="clear" w:color="auto" w:fill="F3F9FA"/>
            <w:noWrap/>
            <w:vAlign w:val="bottom"/>
            <w:hideMark/>
          </w:tcPr>
          <w:p w14:paraId="56ED817B" w14:textId="77777777" w:rsidR="0070343A" w:rsidRPr="00AC0887" w:rsidRDefault="0070343A" w:rsidP="00E742E9">
            <w:pPr>
              <w:spacing w:before="0" w:after="0"/>
              <w:jc w:val="center"/>
              <w:rPr>
                <w:lang w:eastAsia="en-AU"/>
              </w:rPr>
            </w:pPr>
            <w:r w:rsidRPr="00AC0887">
              <w:rPr>
                <w:szCs w:val="22"/>
                <w:lang w:eastAsia="en-AU"/>
              </w:rPr>
              <w:t>0.17</w:t>
            </w:r>
          </w:p>
        </w:tc>
      </w:tr>
      <w:tr w:rsidR="0070343A" w:rsidRPr="00AC0887" w14:paraId="37253E85" w14:textId="77777777" w:rsidTr="0091359C">
        <w:trPr>
          <w:trHeight w:val="290"/>
          <w:jc w:val="center"/>
        </w:trPr>
        <w:tc>
          <w:tcPr>
            <w:tcW w:w="2660" w:type="dxa"/>
            <w:shd w:val="clear" w:color="auto" w:fill="F3F9FA"/>
            <w:noWrap/>
            <w:vAlign w:val="bottom"/>
            <w:hideMark/>
          </w:tcPr>
          <w:p w14:paraId="75914D0F" w14:textId="77777777" w:rsidR="0070343A" w:rsidRPr="00AC0887" w:rsidRDefault="0070343A" w:rsidP="00E742E9">
            <w:pPr>
              <w:spacing w:before="0" w:after="0"/>
              <w:rPr>
                <w:lang w:eastAsia="en-AU"/>
              </w:rPr>
            </w:pPr>
            <w:r w:rsidRPr="00AC0887">
              <w:rPr>
                <w:szCs w:val="22"/>
                <w:lang w:eastAsia="en-AU"/>
              </w:rPr>
              <w:t xml:space="preserve">Mackay Whitsunday </w:t>
            </w:r>
          </w:p>
        </w:tc>
        <w:tc>
          <w:tcPr>
            <w:tcW w:w="2360" w:type="dxa"/>
            <w:shd w:val="clear" w:color="auto" w:fill="F3F9FA"/>
            <w:noWrap/>
            <w:vAlign w:val="bottom"/>
            <w:hideMark/>
          </w:tcPr>
          <w:p w14:paraId="62463368" w14:textId="77777777" w:rsidR="0070343A" w:rsidRPr="00AC0887" w:rsidRDefault="0070343A" w:rsidP="00E742E9">
            <w:pPr>
              <w:spacing w:before="0" w:after="0"/>
              <w:jc w:val="center"/>
              <w:rPr>
                <w:lang w:eastAsia="en-AU"/>
              </w:rPr>
            </w:pPr>
            <w:r w:rsidRPr="00AC0887">
              <w:rPr>
                <w:szCs w:val="22"/>
                <w:lang w:eastAsia="en-AU"/>
              </w:rPr>
              <w:t>215</w:t>
            </w:r>
          </w:p>
        </w:tc>
        <w:tc>
          <w:tcPr>
            <w:tcW w:w="2342" w:type="dxa"/>
            <w:shd w:val="clear" w:color="auto" w:fill="F3F9FA"/>
            <w:noWrap/>
            <w:vAlign w:val="bottom"/>
            <w:hideMark/>
          </w:tcPr>
          <w:p w14:paraId="3A2EF978" w14:textId="77777777" w:rsidR="0070343A" w:rsidRPr="00AC0887" w:rsidRDefault="0070343A" w:rsidP="00E742E9">
            <w:pPr>
              <w:spacing w:before="0" w:after="0"/>
              <w:jc w:val="center"/>
              <w:rPr>
                <w:lang w:eastAsia="en-AU"/>
              </w:rPr>
            </w:pPr>
            <w:r w:rsidRPr="00AC0887">
              <w:rPr>
                <w:szCs w:val="22"/>
                <w:lang w:eastAsia="en-AU"/>
              </w:rPr>
              <w:t>0.06</w:t>
            </w:r>
          </w:p>
        </w:tc>
      </w:tr>
      <w:tr w:rsidR="0070343A" w:rsidRPr="00AC0887" w14:paraId="7632F8A5" w14:textId="77777777" w:rsidTr="0091359C">
        <w:trPr>
          <w:trHeight w:val="290"/>
          <w:jc w:val="center"/>
        </w:trPr>
        <w:tc>
          <w:tcPr>
            <w:tcW w:w="2660" w:type="dxa"/>
            <w:shd w:val="clear" w:color="auto" w:fill="F3F9FA"/>
            <w:noWrap/>
            <w:vAlign w:val="bottom"/>
            <w:hideMark/>
          </w:tcPr>
          <w:p w14:paraId="2ADC4A8F" w14:textId="77777777" w:rsidR="0070343A" w:rsidRPr="00AC0887" w:rsidRDefault="0070343A" w:rsidP="00E742E9">
            <w:pPr>
              <w:spacing w:before="0" w:after="0"/>
              <w:rPr>
                <w:lang w:eastAsia="en-AU"/>
              </w:rPr>
            </w:pPr>
            <w:r w:rsidRPr="00AC0887">
              <w:rPr>
                <w:szCs w:val="22"/>
                <w:lang w:eastAsia="en-AU"/>
              </w:rPr>
              <w:t xml:space="preserve">Fitzroy </w:t>
            </w:r>
          </w:p>
        </w:tc>
        <w:tc>
          <w:tcPr>
            <w:tcW w:w="2360" w:type="dxa"/>
            <w:shd w:val="clear" w:color="auto" w:fill="F3F9FA"/>
            <w:noWrap/>
            <w:vAlign w:val="bottom"/>
            <w:hideMark/>
          </w:tcPr>
          <w:p w14:paraId="60252C69" w14:textId="77777777" w:rsidR="0070343A" w:rsidRPr="00AC0887" w:rsidRDefault="0070343A" w:rsidP="00E742E9">
            <w:pPr>
              <w:spacing w:before="0" w:after="0"/>
              <w:jc w:val="center"/>
              <w:rPr>
                <w:lang w:eastAsia="en-AU"/>
              </w:rPr>
            </w:pPr>
            <w:r w:rsidRPr="00AC0887">
              <w:rPr>
                <w:lang w:eastAsia="en-AU"/>
              </w:rPr>
              <w:t>257</w:t>
            </w:r>
          </w:p>
        </w:tc>
        <w:tc>
          <w:tcPr>
            <w:tcW w:w="2342" w:type="dxa"/>
            <w:shd w:val="clear" w:color="auto" w:fill="F3F9FA"/>
            <w:noWrap/>
            <w:vAlign w:val="bottom"/>
            <w:hideMark/>
          </w:tcPr>
          <w:p w14:paraId="0D259788" w14:textId="77777777" w:rsidR="0070343A" w:rsidRPr="00AC0887" w:rsidRDefault="0070343A" w:rsidP="00E742E9">
            <w:pPr>
              <w:spacing w:before="0" w:after="0"/>
              <w:jc w:val="center"/>
              <w:rPr>
                <w:lang w:eastAsia="en-AU"/>
              </w:rPr>
            </w:pPr>
            <w:r w:rsidRPr="00AC0887">
              <w:rPr>
                <w:szCs w:val="22"/>
                <w:lang w:eastAsia="en-AU"/>
              </w:rPr>
              <w:t>0.07</w:t>
            </w:r>
          </w:p>
        </w:tc>
      </w:tr>
      <w:tr w:rsidR="0070343A" w:rsidRPr="00AC0887" w14:paraId="3176EC45" w14:textId="77777777" w:rsidTr="0091359C">
        <w:trPr>
          <w:trHeight w:val="290"/>
          <w:jc w:val="center"/>
        </w:trPr>
        <w:tc>
          <w:tcPr>
            <w:tcW w:w="2660" w:type="dxa"/>
            <w:tcBorders>
              <w:top w:val="nil"/>
              <w:left w:val="nil"/>
              <w:bottom w:val="single" w:sz="4" w:space="0" w:color="auto"/>
              <w:right w:val="nil"/>
            </w:tcBorders>
            <w:shd w:val="clear" w:color="auto" w:fill="F3F9FA"/>
            <w:noWrap/>
            <w:vAlign w:val="bottom"/>
            <w:hideMark/>
          </w:tcPr>
          <w:p w14:paraId="1C79D3A5" w14:textId="77777777" w:rsidR="0070343A" w:rsidRPr="00AC0887" w:rsidRDefault="0070343A" w:rsidP="00E742E9">
            <w:pPr>
              <w:spacing w:before="0" w:after="0"/>
              <w:rPr>
                <w:lang w:eastAsia="en-AU"/>
              </w:rPr>
            </w:pPr>
            <w:r w:rsidRPr="00AC0887">
              <w:rPr>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hideMark/>
          </w:tcPr>
          <w:p w14:paraId="08B9249B" w14:textId="77777777" w:rsidR="0070343A" w:rsidRPr="00AC0887" w:rsidRDefault="0070343A" w:rsidP="00E742E9">
            <w:pPr>
              <w:spacing w:before="0" w:after="0"/>
              <w:jc w:val="center"/>
              <w:rPr>
                <w:lang w:eastAsia="en-AU"/>
              </w:rPr>
            </w:pPr>
            <w:r w:rsidRPr="00AC0887">
              <w:rPr>
                <w:szCs w:val="22"/>
                <w:lang w:eastAsia="en-AU"/>
              </w:rPr>
              <w:t>120</w:t>
            </w:r>
          </w:p>
        </w:tc>
        <w:tc>
          <w:tcPr>
            <w:tcW w:w="2342" w:type="dxa"/>
            <w:tcBorders>
              <w:top w:val="nil"/>
              <w:left w:val="nil"/>
              <w:bottom w:val="single" w:sz="4" w:space="0" w:color="auto"/>
              <w:right w:val="nil"/>
            </w:tcBorders>
            <w:shd w:val="clear" w:color="auto" w:fill="F3F9FA"/>
            <w:noWrap/>
            <w:vAlign w:val="bottom"/>
            <w:hideMark/>
          </w:tcPr>
          <w:p w14:paraId="41BE029C" w14:textId="77777777" w:rsidR="0070343A" w:rsidRPr="00AC0887" w:rsidRDefault="0070343A" w:rsidP="00E742E9">
            <w:pPr>
              <w:spacing w:before="0" w:after="0"/>
              <w:jc w:val="center"/>
              <w:rPr>
                <w:lang w:eastAsia="en-AU"/>
              </w:rPr>
            </w:pPr>
            <w:r w:rsidRPr="00AC0887">
              <w:rPr>
                <w:szCs w:val="22"/>
                <w:lang w:eastAsia="en-AU"/>
              </w:rPr>
              <w:t>0.03</w:t>
            </w:r>
          </w:p>
        </w:tc>
      </w:tr>
      <w:tr w:rsidR="0070343A" w:rsidRPr="00AC0887" w14:paraId="1F96180F" w14:textId="77777777" w:rsidTr="0091359C">
        <w:trPr>
          <w:trHeight w:val="290"/>
          <w:jc w:val="center"/>
        </w:trPr>
        <w:tc>
          <w:tcPr>
            <w:tcW w:w="2660" w:type="dxa"/>
            <w:tcBorders>
              <w:top w:val="single" w:sz="4" w:space="0" w:color="auto"/>
              <w:left w:val="nil"/>
              <w:bottom w:val="single" w:sz="4" w:space="0" w:color="auto"/>
              <w:right w:val="nil"/>
            </w:tcBorders>
            <w:shd w:val="clear" w:color="auto" w:fill="E7F3F4"/>
            <w:noWrap/>
            <w:vAlign w:val="bottom"/>
            <w:hideMark/>
          </w:tcPr>
          <w:p w14:paraId="3A52E57D" w14:textId="77777777" w:rsidR="0070343A" w:rsidRPr="00AC0887" w:rsidRDefault="0070343A" w:rsidP="00E742E9">
            <w:pPr>
              <w:spacing w:before="0" w:after="0"/>
              <w:rPr>
                <w:b/>
                <w:lang w:eastAsia="en-AU"/>
              </w:rPr>
            </w:pPr>
            <w:r w:rsidRPr="00AC0887">
              <w:rPr>
                <w:b/>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hideMark/>
          </w:tcPr>
          <w:p w14:paraId="193ABEC2" w14:textId="77777777" w:rsidR="0070343A" w:rsidRPr="00AC0887" w:rsidRDefault="0070343A" w:rsidP="00E742E9">
            <w:pPr>
              <w:spacing w:before="0" w:after="0"/>
              <w:jc w:val="center"/>
              <w:rPr>
                <w:b/>
                <w:lang w:eastAsia="en-AU"/>
              </w:rPr>
            </w:pPr>
            <w:r w:rsidRPr="00AC0887">
              <w:rPr>
                <w:b/>
                <w:szCs w:val="22"/>
                <w:lang w:eastAsia="en-AU"/>
              </w:rPr>
              <w:t>3,464</w:t>
            </w:r>
          </w:p>
        </w:tc>
        <w:tc>
          <w:tcPr>
            <w:tcW w:w="2342" w:type="dxa"/>
            <w:tcBorders>
              <w:top w:val="single" w:sz="4" w:space="0" w:color="auto"/>
              <w:left w:val="nil"/>
              <w:bottom w:val="single" w:sz="4" w:space="0" w:color="auto"/>
              <w:right w:val="nil"/>
            </w:tcBorders>
            <w:shd w:val="clear" w:color="auto" w:fill="E7F3F4"/>
            <w:noWrap/>
            <w:vAlign w:val="bottom"/>
            <w:hideMark/>
          </w:tcPr>
          <w:p w14:paraId="7DB4E3DA" w14:textId="77777777" w:rsidR="0070343A" w:rsidRPr="00AC0887" w:rsidRDefault="0070343A" w:rsidP="00E742E9">
            <w:pPr>
              <w:spacing w:before="0" w:after="0"/>
              <w:jc w:val="center"/>
              <w:rPr>
                <w:b/>
                <w:lang w:eastAsia="en-AU"/>
              </w:rPr>
            </w:pPr>
            <w:r w:rsidRPr="00AC0887">
              <w:rPr>
                <w:b/>
                <w:szCs w:val="22"/>
                <w:lang w:eastAsia="en-AU"/>
              </w:rPr>
              <w:t>1.00</w:t>
            </w:r>
          </w:p>
        </w:tc>
      </w:tr>
    </w:tbl>
    <w:p w14:paraId="5EEABD6A" w14:textId="77777777" w:rsidR="003D1F7F" w:rsidRDefault="003D1F7F" w:rsidP="00E742E9">
      <w:pPr>
        <w:spacing w:before="240"/>
        <w:rPr>
          <w:color w:val="000000"/>
          <w:szCs w:val="22"/>
        </w:rPr>
      </w:pPr>
    </w:p>
    <w:p w14:paraId="6E717647" w14:textId="52DF1D5D" w:rsidR="000535CA" w:rsidRPr="00015190" w:rsidRDefault="000535CA" w:rsidP="00926892">
      <w:pPr>
        <w:pStyle w:val="Heading1"/>
        <w:numPr>
          <w:ilvl w:val="0"/>
          <w:numId w:val="9"/>
        </w:numPr>
        <w:rPr>
          <w:rFonts w:ascii="Century Gothic" w:hAnsi="Century Gothic"/>
          <w:color w:val="000000"/>
          <w:sz w:val="36"/>
          <w:szCs w:val="36"/>
        </w:rPr>
      </w:pPr>
      <w:bookmarkStart w:id="125" w:name="_Toc516053132"/>
      <w:r w:rsidRPr="00015190">
        <w:rPr>
          <w:rFonts w:ascii="Century Gothic" w:hAnsi="Century Gothic"/>
          <w:color w:val="000000"/>
          <w:sz w:val="36"/>
          <w:szCs w:val="36"/>
        </w:rPr>
        <w:t xml:space="preserve">Results </w:t>
      </w:r>
      <w:r w:rsidR="002F55F1">
        <w:rPr>
          <w:rFonts w:ascii="Century Gothic" w:hAnsi="Century Gothic"/>
          <w:color w:val="000000"/>
          <w:sz w:val="36"/>
          <w:szCs w:val="36"/>
        </w:rPr>
        <w:t>and</w:t>
      </w:r>
      <w:r w:rsidRPr="00015190">
        <w:rPr>
          <w:rFonts w:ascii="Century Gothic" w:hAnsi="Century Gothic"/>
          <w:color w:val="000000"/>
          <w:sz w:val="36"/>
          <w:szCs w:val="36"/>
        </w:rPr>
        <w:t xml:space="preserve"> </w:t>
      </w:r>
      <w:r w:rsidR="002F55F1">
        <w:rPr>
          <w:rFonts w:ascii="Century Gothic" w:hAnsi="Century Gothic"/>
          <w:color w:val="000000"/>
          <w:sz w:val="36"/>
          <w:szCs w:val="36"/>
        </w:rPr>
        <w:t>d</w:t>
      </w:r>
      <w:r w:rsidRPr="00015190">
        <w:rPr>
          <w:rFonts w:ascii="Century Gothic" w:hAnsi="Century Gothic"/>
          <w:color w:val="000000"/>
          <w:sz w:val="36"/>
          <w:szCs w:val="36"/>
        </w:rPr>
        <w:t>iscussion</w:t>
      </w:r>
      <w:bookmarkEnd w:id="34"/>
      <w:bookmarkEnd w:id="125"/>
    </w:p>
    <w:p w14:paraId="11D37BC8" w14:textId="6C9E73E3" w:rsidR="00DC12FC" w:rsidRPr="0050419F" w:rsidRDefault="00DC12FC" w:rsidP="00DC12FC">
      <w:pPr>
        <w:rPr>
          <w:color w:val="000000" w:themeColor="text1"/>
        </w:rPr>
      </w:pPr>
      <w:bookmarkStart w:id="126" w:name="_Toc184101961"/>
      <w:bookmarkStart w:id="127" w:name="_Toc431493756"/>
      <w:bookmarkStart w:id="128" w:name="_Ref271279443"/>
      <w:bookmarkEnd w:id="35"/>
      <w:bookmarkEnd w:id="36"/>
      <w:bookmarkEnd w:id="37"/>
      <w:r w:rsidRPr="0050419F">
        <w:rPr>
          <w:color w:val="000000" w:themeColor="text1"/>
        </w:rPr>
        <w:t>Th</w:t>
      </w:r>
      <w:r w:rsidR="00BB52BF" w:rsidRPr="0050419F">
        <w:rPr>
          <w:color w:val="000000" w:themeColor="text1"/>
        </w:rPr>
        <w:t>e following</w:t>
      </w:r>
      <w:r w:rsidRPr="0050419F">
        <w:rPr>
          <w:color w:val="000000" w:themeColor="text1"/>
        </w:rPr>
        <w:t xml:space="preserve"> results and discussion section provides detail on </w:t>
      </w:r>
      <w:r w:rsidR="00BB52BF" w:rsidRPr="0050419F">
        <w:rPr>
          <w:color w:val="000000" w:themeColor="text1"/>
        </w:rPr>
        <w:t xml:space="preserve">the </w:t>
      </w:r>
      <w:r w:rsidRPr="0050419F">
        <w:rPr>
          <w:color w:val="000000" w:themeColor="text1"/>
        </w:rPr>
        <w:t xml:space="preserve">overall climate, environmental pressures and seagrass responses for the </w:t>
      </w:r>
      <w:r w:rsidR="008574EC">
        <w:rPr>
          <w:color w:val="000000" w:themeColor="text1"/>
        </w:rPr>
        <w:t>2016–17</w:t>
      </w:r>
      <w:r w:rsidR="006131FB" w:rsidRPr="0050419F">
        <w:rPr>
          <w:color w:val="000000" w:themeColor="text1"/>
        </w:rPr>
        <w:t xml:space="preserve"> </w:t>
      </w:r>
      <w:r w:rsidR="00BB52BF" w:rsidRPr="0050419F">
        <w:rPr>
          <w:color w:val="000000" w:themeColor="text1"/>
        </w:rPr>
        <w:t>monitoring period</w:t>
      </w:r>
      <w:r w:rsidRPr="0050419F">
        <w:rPr>
          <w:color w:val="000000" w:themeColor="text1"/>
        </w:rPr>
        <w:t>, in context of longer-term trends. It is structured as:</w:t>
      </w:r>
    </w:p>
    <w:p w14:paraId="7940500A" w14:textId="03B54CCE" w:rsidR="00DC12FC" w:rsidRPr="0050419F" w:rsidRDefault="007F6948" w:rsidP="001A5B75">
      <w:pPr>
        <w:numPr>
          <w:ilvl w:val="0"/>
          <w:numId w:val="11"/>
        </w:numPr>
        <w:rPr>
          <w:color w:val="000000" w:themeColor="text1"/>
        </w:rPr>
      </w:pPr>
      <w:r>
        <w:rPr>
          <w:color w:val="000000" w:themeColor="text1"/>
        </w:rPr>
        <w:t>Great Barrier Reef</w:t>
      </w:r>
      <w:r w:rsidR="00DC12FC" w:rsidRPr="0050419F">
        <w:rPr>
          <w:color w:val="000000" w:themeColor="text1"/>
        </w:rPr>
        <w:t>-wide summary</w:t>
      </w:r>
      <w:r w:rsidR="00BB52BF" w:rsidRPr="0050419F">
        <w:rPr>
          <w:color w:val="000000" w:themeColor="text1"/>
        </w:rPr>
        <w:t>:</w:t>
      </w:r>
      <w:r w:rsidR="00DC12FC" w:rsidRPr="0050419F">
        <w:rPr>
          <w:color w:val="000000" w:themeColor="text1"/>
        </w:rPr>
        <w:t xml:space="preserve"> overall </w:t>
      </w:r>
      <w:r>
        <w:rPr>
          <w:color w:val="000000" w:themeColor="text1"/>
        </w:rPr>
        <w:t>Great Barrier Reef</w:t>
      </w:r>
      <w:r w:rsidR="00DC12FC" w:rsidRPr="0050419F">
        <w:rPr>
          <w:color w:val="000000" w:themeColor="text1"/>
        </w:rPr>
        <w:t>-wide trend</w:t>
      </w:r>
      <w:r w:rsidR="00BB52BF" w:rsidRPr="0050419F">
        <w:rPr>
          <w:color w:val="000000" w:themeColor="text1"/>
        </w:rPr>
        <w:t>s</w:t>
      </w:r>
      <w:r w:rsidR="00DC12FC" w:rsidRPr="0050419F">
        <w:rPr>
          <w:color w:val="000000" w:themeColor="text1"/>
        </w:rPr>
        <w:t xml:space="preserve"> and </w:t>
      </w:r>
      <w:r w:rsidR="006131FB" w:rsidRPr="0050419F">
        <w:rPr>
          <w:color w:val="000000" w:themeColor="text1"/>
        </w:rPr>
        <w:t xml:space="preserve">trends for </w:t>
      </w:r>
      <w:r w:rsidR="00DC12FC" w:rsidRPr="0050419F">
        <w:rPr>
          <w:color w:val="000000" w:themeColor="text1"/>
        </w:rPr>
        <w:t>each habitat type represented separately</w:t>
      </w:r>
    </w:p>
    <w:p w14:paraId="334B8C2A" w14:textId="77777777" w:rsidR="00DC12FC" w:rsidRPr="0050419F" w:rsidRDefault="002D353D" w:rsidP="001A5B75">
      <w:pPr>
        <w:numPr>
          <w:ilvl w:val="0"/>
          <w:numId w:val="11"/>
        </w:numPr>
        <w:rPr>
          <w:color w:val="000000" w:themeColor="text1"/>
        </w:rPr>
      </w:pPr>
      <w:r w:rsidRPr="0050419F">
        <w:rPr>
          <w:color w:val="000000" w:themeColor="text1"/>
        </w:rPr>
        <w:t>a</w:t>
      </w:r>
      <w:r w:rsidR="00DC12FC" w:rsidRPr="0050419F">
        <w:rPr>
          <w:color w:val="000000" w:themeColor="text1"/>
        </w:rPr>
        <w:t xml:space="preserve"> chapter on each NRM </w:t>
      </w:r>
      <w:r w:rsidR="00F16C11" w:rsidRPr="0050419F">
        <w:rPr>
          <w:color w:val="000000" w:themeColor="text1"/>
        </w:rPr>
        <w:t xml:space="preserve">region </w:t>
      </w:r>
      <w:r w:rsidR="00DC12FC" w:rsidRPr="0050419F">
        <w:rPr>
          <w:color w:val="000000" w:themeColor="text1"/>
        </w:rPr>
        <w:t xml:space="preserve">starting with the </w:t>
      </w:r>
      <w:r w:rsidR="00F16C11" w:rsidRPr="0050419F">
        <w:rPr>
          <w:color w:val="000000" w:themeColor="text1"/>
        </w:rPr>
        <w:t xml:space="preserve">most </w:t>
      </w:r>
      <w:r w:rsidR="00DC12FC" w:rsidRPr="0050419F">
        <w:rPr>
          <w:color w:val="000000" w:themeColor="text1"/>
        </w:rPr>
        <w:t>northern</w:t>
      </w:r>
      <w:r w:rsidR="00F16C11" w:rsidRPr="0050419F">
        <w:rPr>
          <w:color w:val="000000" w:themeColor="text1"/>
        </w:rPr>
        <w:t>,</w:t>
      </w:r>
      <w:r w:rsidR="00DC12FC" w:rsidRPr="0050419F">
        <w:rPr>
          <w:color w:val="000000" w:themeColor="text1"/>
        </w:rPr>
        <w:t xml:space="preserve"> Cape York</w:t>
      </w:r>
    </w:p>
    <w:p w14:paraId="744CFCE6" w14:textId="7B656BD4" w:rsidR="00DC12FC" w:rsidRPr="0050419F" w:rsidRDefault="00E27F75" w:rsidP="001A5B75">
      <w:pPr>
        <w:numPr>
          <w:ilvl w:val="0"/>
          <w:numId w:val="11"/>
        </w:numPr>
        <w:rPr>
          <w:color w:val="000000" w:themeColor="text1"/>
        </w:rPr>
      </w:pPr>
      <w:r w:rsidRPr="0050419F">
        <w:rPr>
          <w:color w:val="000000" w:themeColor="text1"/>
        </w:rPr>
        <w:t>C</w:t>
      </w:r>
      <w:r w:rsidR="00F16C11" w:rsidRPr="0050419F">
        <w:rPr>
          <w:color w:val="000000" w:themeColor="text1"/>
        </w:rPr>
        <w:t>ase stud</w:t>
      </w:r>
      <w:r w:rsidR="00554061" w:rsidRPr="0050419F">
        <w:rPr>
          <w:color w:val="000000" w:themeColor="text1"/>
        </w:rPr>
        <w:t>y</w:t>
      </w:r>
      <w:r w:rsidRPr="0050419F">
        <w:rPr>
          <w:color w:val="000000" w:themeColor="text1"/>
        </w:rPr>
        <w:t xml:space="preserve">: </w:t>
      </w:r>
      <w:r w:rsidR="00554061" w:rsidRPr="0050419F">
        <w:rPr>
          <w:color w:val="000000" w:themeColor="text1"/>
        </w:rPr>
        <w:t xml:space="preserve">Assessing the effects of light and temperature on seagrass abundance </w:t>
      </w:r>
      <w:r w:rsidR="00DC12FC" w:rsidRPr="0050419F">
        <w:rPr>
          <w:color w:val="000000" w:themeColor="text1"/>
        </w:rPr>
        <w:t xml:space="preserve"> </w:t>
      </w:r>
    </w:p>
    <w:p w14:paraId="488EF4FF" w14:textId="77777777" w:rsidR="00DC12FC" w:rsidRPr="0050419F" w:rsidRDefault="00DC12FC" w:rsidP="00DC12FC">
      <w:pPr>
        <w:rPr>
          <w:color w:val="000000" w:themeColor="text1"/>
        </w:rPr>
      </w:pPr>
      <w:r w:rsidRPr="0050419F">
        <w:rPr>
          <w:color w:val="000000" w:themeColor="text1"/>
        </w:rPr>
        <w:t>Each section (aside from the case stud</w:t>
      </w:r>
      <w:r w:rsidR="00644A84" w:rsidRPr="0050419F">
        <w:rPr>
          <w:color w:val="000000" w:themeColor="text1"/>
        </w:rPr>
        <w:t>ies</w:t>
      </w:r>
      <w:r w:rsidRPr="0050419F">
        <w:rPr>
          <w:color w:val="000000" w:themeColor="text1"/>
        </w:rPr>
        <w:t>) contains data on environment</w:t>
      </w:r>
      <w:r w:rsidR="00BB52BF" w:rsidRPr="0050419F">
        <w:rPr>
          <w:color w:val="000000" w:themeColor="text1"/>
        </w:rPr>
        <w:t>al pressures</w:t>
      </w:r>
      <w:r w:rsidRPr="0050419F">
        <w:rPr>
          <w:color w:val="000000" w:themeColor="text1"/>
        </w:rPr>
        <w:t xml:space="preserve"> as well as the indicators that are used for calculating the report card score, or data that may be included in the report card in the future:</w:t>
      </w:r>
    </w:p>
    <w:p w14:paraId="2F59B4C7" w14:textId="0F143CD5" w:rsidR="00DC12FC" w:rsidRPr="0050419F" w:rsidRDefault="00DC12FC" w:rsidP="001A5B75">
      <w:pPr>
        <w:numPr>
          <w:ilvl w:val="0"/>
          <w:numId w:val="12"/>
        </w:numPr>
        <w:spacing w:before="60" w:after="60"/>
        <w:ind w:left="714" w:hanging="357"/>
        <w:rPr>
          <w:color w:val="000000" w:themeColor="text1"/>
        </w:rPr>
      </w:pPr>
      <w:r w:rsidRPr="0050419F">
        <w:rPr>
          <w:color w:val="000000" w:themeColor="text1"/>
        </w:rPr>
        <w:t xml:space="preserve">A summary of the </w:t>
      </w:r>
      <w:r w:rsidR="00F16C11" w:rsidRPr="0050419F">
        <w:rPr>
          <w:color w:val="000000" w:themeColor="text1"/>
        </w:rPr>
        <w:t>key findings from the overall section</w:t>
      </w:r>
      <w:r w:rsidR="0043035A" w:rsidRPr="0050419F">
        <w:rPr>
          <w:color w:val="000000" w:themeColor="text1"/>
        </w:rPr>
        <w:t xml:space="preserve"> including a summary of the report card score</w:t>
      </w:r>
    </w:p>
    <w:p w14:paraId="1F78FD7A" w14:textId="77777777" w:rsidR="00DC12FC" w:rsidRPr="0050419F" w:rsidRDefault="00DC12FC" w:rsidP="001A5B75">
      <w:pPr>
        <w:numPr>
          <w:ilvl w:val="0"/>
          <w:numId w:val="12"/>
        </w:numPr>
        <w:spacing w:before="60" w:after="60"/>
        <w:ind w:left="714" w:hanging="357"/>
        <w:rPr>
          <w:color w:val="000000" w:themeColor="text1"/>
        </w:rPr>
      </w:pPr>
      <w:r w:rsidRPr="0050419F">
        <w:rPr>
          <w:color w:val="000000" w:themeColor="text1"/>
        </w:rPr>
        <w:t>Climate, river discharge and flood plume exposure</w:t>
      </w:r>
    </w:p>
    <w:p w14:paraId="7FA0FA39" w14:textId="5CE7A5BD" w:rsidR="00F16C11" w:rsidRPr="0050419F" w:rsidRDefault="00F16C11" w:rsidP="001A5B75">
      <w:pPr>
        <w:numPr>
          <w:ilvl w:val="0"/>
          <w:numId w:val="12"/>
        </w:numPr>
        <w:spacing w:before="60" w:after="60"/>
        <w:ind w:left="714" w:hanging="357"/>
        <w:rPr>
          <w:color w:val="000000" w:themeColor="text1"/>
        </w:rPr>
      </w:pPr>
      <w:r w:rsidRPr="0050419F">
        <w:rPr>
          <w:color w:val="000000" w:themeColor="text1"/>
        </w:rPr>
        <w:t>Within-canopy light</w:t>
      </w:r>
      <w:r w:rsidR="006131FB" w:rsidRPr="0050419F">
        <w:rPr>
          <w:color w:val="000000" w:themeColor="text1"/>
        </w:rPr>
        <w:t xml:space="preserve"> </w:t>
      </w:r>
    </w:p>
    <w:p w14:paraId="5DAC52CB" w14:textId="77777777" w:rsidR="00DC12FC" w:rsidRPr="0050419F" w:rsidRDefault="00DC12FC" w:rsidP="001A5B75">
      <w:pPr>
        <w:numPr>
          <w:ilvl w:val="0"/>
          <w:numId w:val="12"/>
        </w:numPr>
        <w:spacing w:before="60" w:after="60"/>
        <w:ind w:left="714" w:hanging="357"/>
        <w:rPr>
          <w:color w:val="000000" w:themeColor="text1"/>
        </w:rPr>
      </w:pPr>
      <w:r w:rsidRPr="0050419F">
        <w:rPr>
          <w:color w:val="000000" w:themeColor="text1"/>
        </w:rPr>
        <w:t>Within-canopy temperature</w:t>
      </w:r>
      <w:r w:rsidR="006131FB" w:rsidRPr="0050419F">
        <w:rPr>
          <w:color w:val="000000" w:themeColor="text1"/>
        </w:rPr>
        <w:t xml:space="preserve"> threshold exceedance</w:t>
      </w:r>
    </w:p>
    <w:p w14:paraId="5A76AD93" w14:textId="77777777" w:rsidR="00DC12FC" w:rsidRPr="0050419F" w:rsidRDefault="00F16C11" w:rsidP="001A5B75">
      <w:pPr>
        <w:numPr>
          <w:ilvl w:val="0"/>
          <w:numId w:val="12"/>
        </w:numPr>
        <w:spacing w:before="60" w:after="60"/>
        <w:ind w:left="714" w:hanging="357"/>
        <w:rPr>
          <w:color w:val="000000" w:themeColor="text1"/>
        </w:rPr>
      </w:pPr>
      <w:r w:rsidRPr="0050419F">
        <w:rPr>
          <w:color w:val="000000" w:themeColor="text1"/>
        </w:rPr>
        <w:t>Seagrass a</w:t>
      </w:r>
      <w:r w:rsidR="00DC12FC" w:rsidRPr="0050419F">
        <w:rPr>
          <w:color w:val="000000" w:themeColor="text1"/>
        </w:rPr>
        <w:t>bundance</w:t>
      </w:r>
      <w:r w:rsidRPr="0050419F">
        <w:rPr>
          <w:color w:val="000000" w:themeColor="text1"/>
        </w:rPr>
        <w:t xml:space="preserve"> and extent</w:t>
      </w:r>
    </w:p>
    <w:p w14:paraId="15EDC8C8" w14:textId="77777777" w:rsidR="00DC12FC" w:rsidRPr="0050419F" w:rsidRDefault="00DC12FC" w:rsidP="001A5B75">
      <w:pPr>
        <w:numPr>
          <w:ilvl w:val="0"/>
          <w:numId w:val="12"/>
        </w:numPr>
        <w:spacing w:before="60" w:after="60"/>
        <w:ind w:left="714" w:hanging="357"/>
        <w:rPr>
          <w:color w:val="000000" w:themeColor="text1"/>
        </w:rPr>
      </w:pPr>
      <w:r w:rsidRPr="0050419F">
        <w:rPr>
          <w:color w:val="000000" w:themeColor="text1"/>
        </w:rPr>
        <w:t>S</w:t>
      </w:r>
      <w:r w:rsidR="00F16C11" w:rsidRPr="0050419F">
        <w:rPr>
          <w:color w:val="000000" w:themeColor="text1"/>
        </w:rPr>
        <w:t>eagrass s</w:t>
      </w:r>
      <w:r w:rsidRPr="0050419F">
        <w:rPr>
          <w:color w:val="000000" w:themeColor="text1"/>
        </w:rPr>
        <w:t>pecies composition</w:t>
      </w:r>
      <w:r w:rsidR="006131FB" w:rsidRPr="0050419F">
        <w:rPr>
          <w:color w:val="000000" w:themeColor="text1"/>
        </w:rPr>
        <w:t xml:space="preserve"> based on life history traits</w:t>
      </w:r>
    </w:p>
    <w:p w14:paraId="5E3C551B" w14:textId="77777777" w:rsidR="00DC12FC" w:rsidRPr="0050419F" w:rsidRDefault="00F16C11" w:rsidP="001A5B75">
      <w:pPr>
        <w:numPr>
          <w:ilvl w:val="0"/>
          <w:numId w:val="12"/>
        </w:numPr>
        <w:spacing w:before="60" w:after="60"/>
        <w:ind w:left="714" w:hanging="357"/>
        <w:rPr>
          <w:color w:val="000000" w:themeColor="text1"/>
        </w:rPr>
      </w:pPr>
      <w:r w:rsidRPr="0050419F">
        <w:rPr>
          <w:color w:val="000000" w:themeColor="text1"/>
        </w:rPr>
        <w:t>Seagrass r</w:t>
      </w:r>
      <w:r w:rsidR="00DC12FC" w:rsidRPr="0050419F">
        <w:rPr>
          <w:color w:val="000000" w:themeColor="text1"/>
        </w:rPr>
        <w:t>eproductive effort</w:t>
      </w:r>
      <w:r w:rsidRPr="0050419F">
        <w:rPr>
          <w:color w:val="000000" w:themeColor="text1"/>
        </w:rPr>
        <w:t xml:space="preserve"> and seed banks</w:t>
      </w:r>
    </w:p>
    <w:p w14:paraId="4B99CC57" w14:textId="77777777" w:rsidR="00DC12FC" w:rsidRPr="0050419F" w:rsidRDefault="00F16C11" w:rsidP="001A5B75">
      <w:pPr>
        <w:numPr>
          <w:ilvl w:val="0"/>
          <w:numId w:val="12"/>
        </w:numPr>
        <w:spacing w:before="60" w:after="60"/>
        <w:ind w:left="714" w:hanging="357"/>
        <w:rPr>
          <w:color w:val="000000" w:themeColor="text1"/>
        </w:rPr>
      </w:pPr>
      <w:r w:rsidRPr="0050419F">
        <w:rPr>
          <w:color w:val="000000" w:themeColor="text1"/>
        </w:rPr>
        <w:t>Seagrass l</w:t>
      </w:r>
      <w:r w:rsidR="00BB52BF" w:rsidRPr="0050419F">
        <w:rPr>
          <w:color w:val="000000" w:themeColor="text1"/>
        </w:rPr>
        <w:t>eaf tissue content (</w:t>
      </w:r>
      <w:r w:rsidR="00DC12FC" w:rsidRPr="0050419F">
        <w:rPr>
          <w:color w:val="000000" w:themeColor="text1"/>
        </w:rPr>
        <w:t>C:N, N:P and C:P ratio</w:t>
      </w:r>
      <w:r w:rsidR="00BB52BF" w:rsidRPr="0050419F">
        <w:rPr>
          <w:color w:val="000000" w:themeColor="text1"/>
        </w:rPr>
        <w:t>s)</w:t>
      </w:r>
    </w:p>
    <w:p w14:paraId="66411625" w14:textId="77777777" w:rsidR="00F16C11" w:rsidRPr="0050419F" w:rsidRDefault="00F16C11" w:rsidP="001A5B75">
      <w:pPr>
        <w:numPr>
          <w:ilvl w:val="0"/>
          <w:numId w:val="12"/>
        </w:numPr>
        <w:spacing w:before="60" w:after="60"/>
        <w:ind w:left="714" w:hanging="357"/>
        <w:rPr>
          <w:color w:val="000000" w:themeColor="text1"/>
        </w:rPr>
      </w:pPr>
      <w:r w:rsidRPr="0050419F">
        <w:rPr>
          <w:color w:val="000000" w:themeColor="text1"/>
        </w:rPr>
        <w:t xml:space="preserve">Epiphyte and </w:t>
      </w:r>
      <w:r w:rsidR="00993358" w:rsidRPr="0050419F">
        <w:rPr>
          <w:color w:val="000000" w:themeColor="text1"/>
        </w:rPr>
        <w:t>macroalgae</w:t>
      </w:r>
      <w:r w:rsidRPr="0050419F">
        <w:rPr>
          <w:color w:val="000000" w:themeColor="text1"/>
        </w:rPr>
        <w:t xml:space="preserve"> abundance</w:t>
      </w:r>
    </w:p>
    <w:p w14:paraId="69FB82E6" w14:textId="77777777" w:rsidR="00F16C11" w:rsidRPr="0050419F" w:rsidRDefault="00F16C11" w:rsidP="001A5B75">
      <w:pPr>
        <w:numPr>
          <w:ilvl w:val="0"/>
          <w:numId w:val="12"/>
        </w:numPr>
        <w:spacing w:before="60" w:after="60"/>
        <w:ind w:left="714" w:hanging="357"/>
        <w:rPr>
          <w:color w:val="000000" w:themeColor="text1"/>
        </w:rPr>
      </w:pPr>
      <w:r w:rsidRPr="0050419F">
        <w:rPr>
          <w:color w:val="000000" w:themeColor="text1"/>
        </w:rPr>
        <w:t>Seagrass meadows sediment characteristics</w:t>
      </w:r>
    </w:p>
    <w:p w14:paraId="70D99C40" w14:textId="00CAC3B6" w:rsidR="00DC12FC" w:rsidRPr="0050419F" w:rsidRDefault="00F16C11" w:rsidP="001A5B75">
      <w:pPr>
        <w:numPr>
          <w:ilvl w:val="0"/>
          <w:numId w:val="12"/>
        </w:numPr>
        <w:spacing w:before="60" w:after="60"/>
        <w:ind w:left="714" w:hanging="357"/>
        <w:rPr>
          <w:color w:val="000000" w:themeColor="text1"/>
        </w:rPr>
      </w:pPr>
      <w:r w:rsidRPr="0050419F">
        <w:rPr>
          <w:color w:val="000000" w:themeColor="text1"/>
        </w:rPr>
        <w:t xml:space="preserve">Findings from other seagrass monitoring programs </w:t>
      </w:r>
      <w:r w:rsidR="00DC12FC" w:rsidRPr="0050419F">
        <w:rPr>
          <w:color w:val="000000" w:themeColor="text1"/>
        </w:rPr>
        <w:t>(</w:t>
      </w:r>
      <w:r w:rsidRPr="0050419F">
        <w:rPr>
          <w:color w:val="000000" w:themeColor="text1"/>
        </w:rPr>
        <w:t>e.g. QPSMP</w:t>
      </w:r>
      <w:r w:rsidR="00DC12FC" w:rsidRPr="0050419F">
        <w:rPr>
          <w:color w:val="000000" w:themeColor="text1"/>
        </w:rPr>
        <w:t>)</w:t>
      </w:r>
    </w:p>
    <w:p w14:paraId="0E8EBB48" w14:textId="221EFBEC" w:rsidR="0043035A" w:rsidRPr="0050419F" w:rsidRDefault="0043035A" w:rsidP="0043035A">
      <w:pPr>
        <w:numPr>
          <w:ilvl w:val="0"/>
          <w:numId w:val="12"/>
        </w:numPr>
        <w:spacing w:before="60" w:after="60"/>
        <w:ind w:left="714" w:hanging="357"/>
        <w:rPr>
          <w:color w:val="000000" w:themeColor="text1"/>
        </w:rPr>
      </w:pPr>
      <w:r w:rsidRPr="0050419F">
        <w:rPr>
          <w:color w:val="000000" w:themeColor="text1"/>
        </w:rPr>
        <w:t>Report card score</w:t>
      </w:r>
    </w:p>
    <w:p w14:paraId="674C3643" w14:textId="77777777" w:rsidR="00DC12FC" w:rsidRPr="0050419F" w:rsidRDefault="001B5B41" w:rsidP="00DC12FC">
      <w:pPr>
        <w:rPr>
          <w:color w:val="000000" w:themeColor="text1"/>
        </w:rPr>
      </w:pPr>
      <w:r w:rsidRPr="0050419F">
        <w:rPr>
          <w:color w:val="000000" w:themeColor="text1"/>
        </w:rPr>
        <w:t>The following s</w:t>
      </w:r>
      <w:r w:rsidR="00DC12FC" w:rsidRPr="0050419F">
        <w:rPr>
          <w:color w:val="000000" w:themeColor="text1"/>
        </w:rPr>
        <w:t>upporting data</w:t>
      </w:r>
      <w:r w:rsidRPr="0050419F">
        <w:rPr>
          <w:color w:val="000000" w:themeColor="text1"/>
        </w:rPr>
        <w:t>,</w:t>
      </w:r>
      <w:r w:rsidR="00DC12FC" w:rsidRPr="0050419F">
        <w:rPr>
          <w:color w:val="000000" w:themeColor="text1"/>
        </w:rPr>
        <w:t xml:space="preserve"> </w:t>
      </w:r>
      <w:r w:rsidR="00E27F75" w:rsidRPr="0050419F">
        <w:rPr>
          <w:color w:val="000000" w:themeColor="text1"/>
        </w:rPr>
        <w:t xml:space="preserve">identified as important in understanding </w:t>
      </w:r>
      <w:r w:rsidR="00DC12FC" w:rsidRPr="0050419F">
        <w:rPr>
          <w:color w:val="000000" w:themeColor="text1"/>
        </w:rPr>
        <w:t>the Results and discussion section</w:t>
      </w:r>
      <w:r w:rsidRPr="0050419F">
        <w:rPr>
          <w:color w:val="000000" w:themeColor="text1"/>
        </w:rPr>
        <w:t>s (including any long-term trends)</w:t>
      </w:r>
      <w:r w:rsidR="00DC12FC" w:rsidRPr="0050419F">
        <w:rPr>
          <w:color w:val="000000" w:themeColor="text1"/>
        </w:rPr>
        <w:t xml:space="preserve">, </w:t>
      </w:r>
      <w:r w:rsidRPr="0050419F">
        <w:rPr>
          <w:color w:val="000000" w:themeColor="text1"/>
        </w:rPr>
        <w:t>is</w:t>
      </w:r>
      <w:r w:rsidR="00DC12FC" w:rsidRPr="0050419F">
        <w:rPr>
          <w:color w:val="000000" w:themeColor="text1"/>
        </w:rPr>
        <w:t xml:space="preserve"> </w:t>
      </w:r>
      <w:r w:rsidRPr="0050419F">
        <w:rPr>
          <w:color w:val="000000" w:themeColor="text1"/>
        </w:rPr>
        <w:t>d</w:t>
      </w:r>
      <w:r w:rsidR="00DC12FC" w:rsidRPr="0050419F">
        <w:rPr>
          <w:color w:val="000000" w:themeColor="text1"/>
        </w:rPr>
        <w:t>etail</w:t>
      </w:r>
      <w:r w:rsidRPr="0050419F">
        <w:rPr>
          <w:color w:val="000000" w:themeColor="text1"/>
        </w:rPr>
        <w:t>ed</w:t>
      </w:r>
      <w:r w:rsidR="00DC12FC" w:rsidRPr="0050419F">
        <w:rPr>
          <w:color w:val="000000" w:themeColor="text1"/>
        </w:rPr>
        <w:t xml:space="preserve"> w</w:t>
      </w:r>
      <w:r w:rsidRPr="0050419F">
        <w:rPr>
          <w:color w:val="000000" w:themeColor="text1"/>
        </w:rPr>
        <w:t>ithin Appendix 4</w:t>
      </w:r>
      <w:r w:rsidR="00DC12FC" w:rsidRPr="0050419F">
        <w:rPr>
          <w:color w:val="000000" w:themeColor="text1"/>
        </w:rPr>
        <w:t>:</w:t>
      </w:r>
    </w:p>
    <w:p w14:paraId="71CAA1A5" w14:textId="4912B765" w:rsidR="00E27F75" w:rsidRPr="0050419F" w:rsidRDefault="00CE5A47" w:rsidP="001A5B75">
      <w:pPr>
        <w:numPr>
          <w:ilvl w:val="0"/>
          <w:numId w:val="13"/>
        </w:numPr>
        <w:spacing w:before="40" w:after="40"/>
        <w:ind w:left="714" w:hanging="357"/>
        <w:rPr>
          <w:color w:val="000000" w:themeColor="text1"/>
        </w:rPr>
      </w:pPr>
      <w:r w:rsidRPr="0050419F">
        <w:rPr>
          <w:color w:val="000000" w:themeColor="text1"/>
        </w:rPr>
        <w:t>C</w:t>
      </w:r>
      <w:r w:rsidR="00E27F75" w:rsidRPr="0050419F">
        <w:rPr>
          <w:color w:val="000000" w:themeColor="text1"/>
        </w:rPr>
        <w:t>limate (monthly rainfall and monthly 3pm wind speed) relevant to each monitoring location</w:t>
      </w:r>
    </w:p>
    <w:p w14:paraId="05A83A12" w14:textId="77777777" w:rsidR="00E27F75" w:rsidRPr="0050419F" w:rsidRDefault="00E27F75" w:rsidP="001A5B75">
      <w:pPr>
        <w:numPr>
          <w:ilvl w:val="0"/>
          <w:numId w:val="13"/>
        </w:numPr>
        <w:spacing w:before="40" w:after="40"/>
        <w:ind w:left="714" w:hanging="357"/>
        <w:rPr>
          <w:color w:val="000000" w:themeColor="text1"/>
        </w:rPr>
      </w:pPr>
      <w:r w:rsidRPr="0050419F">
        <w:rPr>
          <w:color w:val="000000" w:themeColor="text1"/>
        </w:rPr>
        <w:t>Annual daytime tidal exposure at each monitoring site</w:t>
      </w:r>
    </w:p>
    <w:p w14:paraId="21C87339" w14:textId="77777777" w:rsidR="00E27F75" w:rsidRPr="0050419F" w:rsidRDefault="006131FB" w:rsidP="001A5B75">
      <w:pPr>
        <w:numPr>
          <w:ilvl w:val="0"/>
          <w:numId w:val="13"/>
        </w:numPr>
        <w:spacing w:before="40" w:after="40"/>
        <w:ind w:left="714" w:hanging="357"/>
        <w:rPr>
          <w:color w:val="000000" w:themeColor="text1"/>
        </w:rPr>
      </w:pPr>
      <w:r w:rsidRPr="0050419F">
        <w:rPr>
          <w:color w:val="000000" w:themeColor="text1"/>
        </w:rPr>
        <w:t>Daily w</w:t>
      </w:r>
      <w:r w:rsidR="00E27F75" w:rsidRPr="0050419F">
        <w:rPr>
          <w:color w:val="000000" w:themeColor="text1"/>
        </w:rPr>
        <w:t>ithin canopy seawater temperature at each monitoring site</w:t>
      </w:r>
    </w:p>
    <w:p w14:paraId="21F90B67" w14:textId="77777777" w:rsidR="00DC12FC" w:rsidRPr="0050419F" w:rsidRDefault="00E27F75" w:rsidP="001A5B75">
      <w:pPr>
        <w:numPr>
          <w:ilvl w:val="0"/>
          <w:numId w:val="13"/>
        </w:numPr>
        <w:spacing w:before="40" w:after="40"/>
        <w:ind w:left="714" w:hanging="357"/>
        <w:rPr>
          <w:color w:val="000000" w:themeColor="text1"/>
        </w:rPr>
      </w:pPr>
      <w:r w:rsidRPr="0050419F">
        <w:rPr>
          <w:color w:val="000000" w:themeColor="text1"/>
        </w:rPr>
        <w:t>Daily light each monitoring location</w:t>
      </w:r>
    </w:p>
    <w:p w14:paraId="6A374302" w14:textId="77777777" w:rsidR="00E27F75" w:rsidRPr="0050419F" w:rsidRDefault="00E27F75" w:rsidP="00E742E9">
      <w:pPr>
        <w:numPr>
          <w:ilvl w:val="0"/>
          <w:numId w:val="13"/>
        </w:numPr>
        <w:spacing w:before="40" w:after="40"/>
        <w:ind w:left="714" w:hanging="357"/>
        <w:rPr>
          <w:color w:val="000000" w:themeColor="text1"/>
        </w:rPr>
      </w:pPr>
      <w:r w:rsidRPr="0050419F">
        <w:rPr>
          <w:color w:val="000000" w:themeColor="text1"/>
        </w:rPr>
        <w:t xml:space="preserve">Sediment grain size composition at each monitoring </w:t>
      </w:r>
      <w:r w:rsidR="001B5B41" w:rsidRPr="0050419F">
        <w:rPr>
          <w:color w:val="000000" w:themeColor="text1"/>
        </w:rPr>
        <w:t>site</w:t>
      </w:r>
    </w:p>
    <w:p w14:paraId="6512A6B3" w14:textId="77777777" w:rsidR="00DC12FC" w:rsidRPr="0050419F" w:rsidRDefault="00DC12FC" w:rsidP="00E742E9">
      <w:pPr>
        <w:numPr>
          <w:ilvl w:val="0"/>
          <w:numId w:val="13"/>
        </w:numPr>
        <w:spacing w:before="40" w:after="40"/>
        <w:ind w:left="714" w:hanging="357"/>
        <w:rPr>
          <w:color w:val="000000" w:themeColor="text1"/>
        </w:rPr>
      </w:pPr>
      <w:r w:rsidRPr="0050419F">
        <w:rPr>
          <w:color w:val="000000" w:themeColor="text1"/>
        </w:rPr>
        <w:t>Epiphyte and macroalgae</w:t>
      </w:r>
      <w:r w:rsidR="00E27F75" w:rsidRPr="0050419F">
        <w:rPr>
          <w:color w:val="000000" w:themeColor="text1"/>
        </w:rPr>
        <w:t xml:space="preserve"> abundance at each monitoring site</w:t>
      </w:r>
    </w:p>
    <w:p w14:paraId="17920E5A" w14:textId="5BE78549" w:rsidR="00DC12FC" w:rsidRPr="0050419F" w:rsidRDefault="00DC12FC" w:rsidP="00E742E9">
      <w:pPr>
        <w:numPr>
          <w:ilvl w:val="0"/>
          <w:numId w:val="13"/>
        </w:numPr>
        <w:spacing w:before="40" w:after="40"/>
        <w:ind w:left="714" w:hanging="357"/>
        <w:rPr>
          <w:color w:val="000000" w:themeColor="text1"/>
        </w:rPr>
      </w:pPr>
      <w:r w:rsidRPr="0050419F">
        <w:rPr>
          <w:color w:val="000000" w:themeColor="text1"/>
        </w:rPr>
        <w:t>Meadow extent</w:t>
      </w:r>
      <w:r w:rsidR="00E27F75" w:rsidRPr="0050419F">
        <w:rPr>
          <w:color w:val="000000" w:themeColor="text1"/>
        </w:rPr>
        <w:t xml:space="preserve"> within each monitoring site</w:t>
      </w:r>
      <w:r w:rsidR="005629E1" w:rsidRPr="0050419F">
        <w:rPr>
          <w:color w:val="000000" w:themeColor="text1"/>
        </w:rPr>
        <w:t xml:space="preserve"> (5.5 ha)</w:t>
      </w:r>
    </w:p>
    <w:p w14:paraId="593D46B2" w14:textId="77777777" w:rsidR="00E27F75" w:rsidRPr="0050419F" w:rsidRDefault="00E27F75" w:rsidP="00E742E9">
      <w:pPr>
        <w:numPr>
          <w:ilvl w:val="0"/>
          <w:numId w:val="13"/>
        </w:numPr>
        <w:spacing w:before="40" w:after="40"/>
        <w:ind w:left="714" w:hanging="357"/>
        <w:rPr>
          <w:color w:val="000000" w:themeColor="text1"/>
        </w:rPr>
      </w:pPr>
      <w:r w:rsidRPr="0050419F">
        <w:rPr>
          <w:color w:val="000000" w:themeColor="text1"/>
        </w:rPr>
        <w:t>Location and seagrass species composition at each monitoring site</w:t>
      </w:r>
    </w:p>
    <w:p w14:paraId="1ECDF6C1" w14:textId="77777777" w:rsidR="00E27F75" w:rsidRPr="0050419F" w:rsidRDefault="00E27F75" w:rsidP="00E742E9">
      <w:pPr>
        <w:numPr>
          <w:ilvl w:val="0"/>
          <w:numId w:val="13"/>
        </w:numPr>
        <w:spacing w:before="40" w:after="40"/>
        <w:ind w:left="714" w:hanging="357"/>
        <w:rPr>
          <w:color w:val="000000" w:themeColor="text1"/>
        </w:rPr>
      </w:pPr>
      <w:r w:rsidRPr="0050419F">
        <w:rPr>
          <w:color w:val="000000" w:themeColor="text1"/>
        </w:rPr>
        <w:t>Seagrass leaf tissue nutrient C:N</w:t>
      </w:r>
      <w:r w:rsidR="006131FB" w:rsidRPr="0050419F">
        <w:rPr>
          <w:color w:val="000000" w:themeColor="text1"/>
        </w:rPr>
        <w:t>, C:P, and N</w:t>
      </w:r>
      <w:r w:rsidRPr="0050419F">
        <w:rPr>
          <w:color w:val="000000" w:themeColor="text1"/>
        </w:rPr>
        <w:t>:P at each monitoring location</w:t>
      </w:r>
    </w:p>
    <w:p w14:paraId="5E8006A7" w14:textId="77777777" w:rsidR="00DC12FC" w:rsidRPr="0050419F" w:rsidRDefault="00E27F75" w:rsidP="00E742E9">
      <w:pPr>
        <w:numPr>
          <w:ilvl w:val="0"/>
          <w:numId w:val="13"/>
        </w:numPr>
        <w:spacing w:before="40" w:after="40"/>
        <w:ind w:left="714" w:hanging="357"/>
        <w:rPr>
          <w:color w:val="000000" w:themeColor="text1"/>
        </w:rPr>
      </w:pPr>
      <w:r w:rsidRPr="0050419F">
        <w:rPr>
          <w:color w:val="000000" w:themeColor="text1"/>
        </w:rPr>
        <w:t>Seagrass leaf tissue nutrient isotopic signature (</w:t>
      </w:r>
      <w:r w:rsidRPr="0050419F">
        <w:rPr>
          <w:color w:val="000000" w:themeColor="text1"/>
        </w:rPr>
        <w:sym w:font="Symbol" w:char="F064"/>
      </w:r>
      <w:r w:rsidRPr="0050419F">
        <w:rPr>
          <w:color w:val="000000" w:themeColor="text1"/>
          <w:vertAlign w:val="superscript"/>
        </w:rPr>
        <w:t>13</w:t>
      </w:r>
      <w:r w:rsidRPr="0050419F">
        <w:rPr>
          <w:color w:val="000000" w:themeColor="text1"/>
        </w:rPr>
        <w:t xml:space="preserve">C, </w:t>
      </w:r>
      <w:r w:rsidRPr="0050419F">
        <w:rPr>
          <w:color w:val="000000" w:themeColor="text1"/>
        </w:rPr>
        <w:sym w:font="Symbol" w:char="F064"/>
      </w:r>
      <w:r w:rsidRPr="0050419F">
        <w:rPr>
          <w:color w:val="000000" w:themeColor="text1"/>
          <w:vertAlign w:val="superscript"/>
        </w:rPr>
        <w:t>15</w:t>
      </w:r>
      <w:r w:rsidRPr="0050419F">
        <w:rPr>
          <w:color w:val="000000" w:themeColor="text1"/>
        </w:rPr>
        <w:t>N) concentrations, for each species at each monitoring habitat within each NRM region</w:t>
      </w:r>
    </w:p>
    <w:p w14:paraId="708C2BE0" w14:textId="77777777" w:rsidR="00DC12FC" w:rsidRPr="0050419F" w:rsidRDefault="00DC12FC" w:rsidP="00E742E9">
      <w:pPr>
        <w:numPr>
          <w:ilvl w:val="0"/>
          <w:numId w:val="13"/>
        </w:numPr>
        <w:spacing w:before="40" w:after="40"/>
        <w:ind w:left="714" w:hanging="357"/>
        <w:rPr>
          <w:color w:val="000000" w:themeColor="text1"/>
        </w:rPr>
      </w:pPr>
      <w:r w:rsidRPr="0050419F">
        <w:rPr>
          <w:color w:val="000000" w:themeColor="text1"/>
        </w:rPr>
        <w:t>Tables detailing statistical analysis</w:t>
      </w:r>
    </w:p>
    <w:p w14:paraId="4C7C3034" w14:textId="77777777" w:rsidR="00DC12FC" w:rsidRDefault="00DC12FC" w:rsidP="00DC12FC"/>
    <w:p w14:paraId="5352103C" w14:textId="77777777" w:rsidR="00DC12FC" w:rsidRDefault="00DC12FC" w:rsidP="00DC12FC">
      <w:pPr>
        <w:spacing w:before="0" w:after="0"/>
      </w:pPr>
      <w:r>
        <w:br w:type="page"/>
      </w:r>
    </w:p>
    <w:p w14:paraId="0E45A35E" w14:textId="5DEA6DD0" w:rsidR="00DC12FC" w:rsidRPr="00015190" w:rsidRDefault="007F6948" w:rsidP="00926892">
      <w:pPr>
        <w:pStyle w:val="Heading2"/>
        <w:numPr>
          <w:ilvl w:val="1"/>
          <w:numId w:val="9"/>
        </w:numPr>
        <w:rPr>
          <w:rFonts w:ascii="Century Gothic" w:hAnsi="Century Gothic"/>
          <w:color w:val="000000"/>
        </w:rPr>
      </w:pPr>
      <w:bookmarkStart w:id="129" w:name="_Toc184101960"/>
      <w:bookmarkStart w:id="130" w:name="_Toc516053133"/>
      <w:r>
        <w:rPr>
          <w:rFonts w:ascii="Century Gothic" w:hAnsi="Century Gothic"/>
          <w:color w:val="000000"/>
        </w:rPr>
        <w:t>Great Barrier Reef</w:t>
      </w:r>
      <w:r w:rsidR="00BB52BF">
        <w:rPr>
          <w:rFonts w:ascii="Century Gothic" w:hAnsi="Century Gothic"/>
          <w:color w:val="000000"/>
        </w:rPr>
        <w:t>-wide</w:t>
      </w:r>
      <w:r w:rsidR="00DC12FC" w:rsidRPr="00015190">
        <w:rPr>
          <w:rFonts w:ascii="Century Gothic" w:hAnsi="Century Gothic"/>
          <w:color w:val="000000"/>
        </w:rPr>
        <w:t xml:space="preserve"> </w:t>
      </w:r>
      <w:r w:rsidR="002F55F1">
        <w:rPr>
          <w:rFonts w:ascii="Century Gothic" w:hAnsi="Century Gothic"/>
          <w:color w:val="000000"/>
        </w:rPr>
        <w:t>s</w:t>
      </w:r>
      <w:r w:rsidR="00DC12FC" w:rsidRPr="00015190">
        <w:rPr>
          <w:rFonts w:ascii="Century Gothic" w:hAnsi="Century Gothic"/>
          <w:color w:val="000000"/>
        </w:rPr>
        <w:t>ummary</w:t>
      </w:r>
      <w:bookmarkEnd w:id="129"/>
      <w:bookmarkEnd w:id="130"/>
    </w:p>
    <w:p w14:paraId="2CD7A455" w14:textId="1253EBA3" w:rsidR="00971A6B" w:rsidRPr="003E039B" w:rsidRDefault="005611CB" w:rsidP="00E742E9">
      <w:pPr>
        <w:autoSpaceDE w:val="0"/>
        <w:autoSpaceDN w:val="0"/>
        <w:adjustRightInd w:val="0"/>
        <w:rPr>
          <w:color w:val="000000" w:themeColor="text1"/>
          <w:szCs w:val="22"/>
        </w:rPr>
      </w:pPr>
      <w:bookmarkStart w:id="131" w:name="OLE_LINK12"/>
      <w:bookmarkStart w:id="132" w:name="_Ref410474695"/>
      <w:r w:rsidRPr="00E4333F">
        <w:rPr>
          <w:color w:val="000000" w:themeColor="text1"/>
          <w:szCs w:val="22"/>
        </w:rPr>
        <w:t xml:space="preserve">In </w:t>
      </w:r>
      <w:r w:rsidR="008574EC">
        <w:rPr>
          <w:color w:val="000000" w:themeColor="text1"/>
          <w:szCs w:val="22"/>
        </w:rPr>
        <w:t>2016–17</w:t>
      </w:r>
      <w:r w:rsidR="00971A6B" w:rsidRPr="00E4333F">
        <w:rPr>
          <w:color w:val="000000" w:themeColor="text1"/>
          <w:szCs w:val="22"/>
        </w:rPr>
        <w:t xml:space="preserve"> </w:t>
      </w:r>
      <w:r w:rsidRPr="00E4333F">
        <w:rPr>
          <w:color w:val="000000" w:themeColor="text1"/>
          <w:szCs w:val="22"/>
        </w:rPr>
        <w:t xml:space="preserve">there was a category 4 </w:t>
      </w:r>
      <w:r w:rsidR="00444C95">
        <w:rPr>
          <w:color w:val="000000" w:themeColor="text1"/>
          <w:szCs w:val="22"/>
        </w:rPr>
        <w:t>t</w:t>
      </w:r>
      <w:r w:rsidRPr="00E4333F">
        <w:rPr>
          <w:color w:val="000000" w:themeColor="text1"/>
          <w:szCs w:val="22"/>
        </w:rPr>
        <w:t xml:space="preserve">ropical </w:t>
      </w:r>
      <w:r w:rsidR="00444C95">
        <w:rPr>
          <w:color w:val="000000" w:themeColor="text1"/>
          <w:szCs w:val="22"/>
        </w:rPr>
        <w:t>c</w:t>
      </w:r>
      <w:r w:rsidRPr="00E4333F">
        <w:rPr>
          <w:color w:val="000000" w:themeColor="text1"/>
          <w:szCs w:val="22"/>
        </w:rPr>
        <w:t>yclone ‘Debbie’ that crossed the coast near Airlie</w:t>
      </w:r>
      <w:r w:rsidR="009467CF">
        <w:rPr>
          <w:color w:val="000000" w:themeColor="text1"/>
          <w:szCs w:val="22"/>
        </w:rPr>
        <w:t xml:space="preserve"> Beach in the Mackay Whitsunday region</w:t>
      </w:r>
      <w:r w:rsidRPr="00E4333F">
        <w:rPr>
          <w:color w:val="000000" w:themeColor="text1"/>
          <w:szCs w:val="22"/>
        </w:rPr>
        <w:t xml:space="preserve"> on the 28</w:t>
      </w:r>
      <w:r w:rsidRPr="00E4333F">
        <w:rPr>
          <w:color w:val="000000" w:themeColor="text1"/>
          <w:szCs w:val="22"/>
          <w:vertAlign w:val="superscript"/>
        </w:rPr>
        <w:t>th</w:t>
      </w:r>
      <w:r w:rsidRPr="00E4333F">
        <w:rPr>
          <w:color w:val="000000" w:themeColor="text1"/>
          <w:szCs w:val="22"/>
        </w:rPr>
        <w:t xml:space="preserve"> March 2017. This, and rainfall events earlier in March </w:t>
      </w:r>
      <w:r w:rsidR="009467CF">
        <w:rPr>
          <w:color w:val="000000" w:themeColor="text1"/>
          <w:szCs w:val="22"/>
        </w:rPr>
        <w:t>resulted in</w:t>
      </w:r>
      <w:r w:rsidRPr="00E4333F">
        <w:rPr>
          <w:color w:val="000000" w:themeColor="text1"/>
          <w:szCs w:val="22"/>
        </w:rPr>
        <w:t xml:space="preserve"> above-average rainfall to Mackay Whitsunday catchments, and to the small rivers in the Fitzroy region (but not to the Fitzroy River). </w:t>
      </w:r>
      <w:r w:rsidR="00E4333F" w:rsidRPr="00E4333F">
        <w:rPr>
          <w:color w:val="000000" w:themeColor="text1"/>
          <w:szCs w:val="22"/>
        </w:rPr>
        <w:t xml:space="preserve">In addition, riverine discharge was above average throughout the south and central </w:t>
      </w:r>
      <w:r w:rsidR="007F6948">
        <w:rPr>
          <w:color w:val="000000" w:themeColor="text1"/>
          <w:szCs w:val="22"/>
        </w:rPr>
        <w:t>Great Barrier Reef</w:t>
      </w:r>
      <w:r w:rsidR="00E4333F" w:rsidRPr="00E4333F">
        <w:rPr>
          <w:color w:val="000000" w:themeColor="text1"/>
          <w:szCs w:val="22"/>
        </w:rPr>
        <w:t xml:space="preserve"> (from the Don River in the Burdekin to the Burrum River in the Burnett Mary). Exposure </w:t>
      </w:r>
      <w:r w:rsidR="001945A5">
        <w:rPr>
          <w:color w:val="000000" w:themeColor="text1"/>
          <w:szCs w:val="22"/>
        </w:rPr>
        <w:t xml:space="preserve">of the seagrass sites </w:t>
      </w:r>
      <w:r w:rsidR="007D063A">
        <w:rPr>
          <w:color w:val="000000" w:themeColor="text1"/>
          <w:szCs w:val="22"/>
        </w:rPr>
        <w:t xml:space="preserve">to </w:t>
      </w:r>
      <w:r w:rsidR="00E4333F" w:rsidRPr="00E4333F">
        <w:rPr>
          <w:color w:val="000000" w:themeColor="text1"/>
          <w:szCs w:val="22"/>
        </w:rPr>
        <w:t xml:space="preserve">‘brown’ and ‘green’ </w:t>
      </w:r>
      <w:r w:rsidR="00971A6B" w:rsidRPr="00E4333F">
        <w:rPr>
          <w:color w:val="000000" w:themeColor="text1"/>
          <w:szCs w:val="22"/>
        </w:rPr>
        <w:t xml:space="preserve">turbid water (assessed using remote sensing by the MMP inshore water quality sub-program) was </w:t>
      </w:r>
      <w:r w:rsidR="00E4333F" w:rsidRPr="00E4333F">
        <w:rPr>
          <w:color w:val="000000" w:themeColor="text1"/>
          <w:szCs w:val="22"/>
        </w:rPr>
        <w:t xml:space="preserve">similar to the long-term average </w:t>
      </w:r>
      <w:r w:rsidR="001945A5">
        <w:rPr>
          <w:color w:val="000000" w:themeColor="text1"/>
          <w:szCs w:val="22"/>
        </w:rPr>
        <w:t xml:space="preserve">across the </w:t>
      </w:r>
      <w:r w:rsidR="007F6948">
        <w:rPr>
          <w:color w:val="000000" w:themeColor="text1"/>
          <w:szCs w:val="22"/>
        </w:rPr>
        <w:t>Great Barrier Reef</w:t>
      </w:r>
      <w:r w:rsidR="001945A5">
        <w:rPr>
          <w:color w:val="000000" w:themeColor="text1"/>
          <w:szCs w:val="22"/>
        </w:rPr>
        <w:t xml:space="preserve"> as a whole </w:t>
      </w:r>
      <w:r w:rsidR="00E4333F" w:rsidRPr="00E4333F">
        <w:rPr>
          <w:color w:val="000000" w:themeColor="text1"/>
          <w:szCs w:val="22"/>
        </w:rPr>
        <w:t>(seagrass sites exposed to turbid water for 90</w:t>
      </w:r>
      <w:r w:rsidR="007F6948">
        <w:rPr>
          <w:color w:val="000000" w:themeColor="text1"/>
          <w:szCs w:val="22"/>
        </w:rPr>
        <w:t xml:space="preserve"> per cent</w:t>
      </w:r>
      <w:r w:rsidR="00E4333F" w:rsidRPr="00E4333F">
        <w:rPr>
          <w:color w:val="000000" w:themeColor="text1"/>
          <w:szCs w:val="22"/>
        </w:rPr>
        <w:t xml:space="preserve"> of wet season weeks</w:t>
      </w:r>
      <w:r w:rsidR="001945A5">
        <w:rPr>
          <w:color w:val="000000" w:themeColor="text1"/>
          <w:szCs w:val="22"/>
        </w:rPr>
        <w:t>). However, consistent with patterns in river discharge, turbid water exposure was elevated in the southern NRMs, and reduced in the northern NRMs relative to the long-term average for each region</w:t>
      </w:r>
      <w:r w:rsidR="007D063A">
        <w:rPr>
          <w:color w:val="000000" w:themeColor="text1"/>
          <w:szCs w:val="22"/>
        </w:rPr>
        <w:t>.</w:t>
      </w:r>
      <w:r w:rsidR="00971A6B" w:rsidRPr="006574F1">
        <w:rPr>
          <w:color w:val="0000FF"/>
          <w:szCs w:val="22"/>
        </w:rPr>
        <w:t xml:space="preserve"> </w:t>
      </w:r>
      <w:r w:rsidR="003E039B" w:rsidRPr="00341035">
        <w:rPr>
          <w:color w:val="000000" w:themeColor="text1"/>
          <w:szCs w:val="22"/>
        </w:rPr>
        <w:t>Daily light, or irradiance (I</w:t>
      </w:r>
      <w:r w:rsidR="003E039B" w:rsidRPr="00341035">
        <w:rPr>
          <w:color w:val="000000" w:themeColor="text1"/>
          <w:szCs w:val="22"/>
          <w:vertAlign w:val="subscript"/>
        </w:rPr>
        <w:t>d</w:t>
      </w:r>
      <w:r w:rsidR="003E039B" w:rsidRPr="00341035">
        <w:rPr>
          <w:color w:val="000000" w:themeColor="text1"/>
          <w:szCs w:val="22"/>
        </w:rPr>
        <w:t>), was also lower (11.6 mol m</w:t>
      </w:r>
      <w:r w:rsidR="003E039B" w:rsidRPr="00341035">
        <w:rPr>
          <w:color w:val="000000" w:themeColor="text1"/>
          <w:szCs w:val="22"/>
          <w:vertAlign w:val="superscript"/>
        </w:rPr>
        <w:t>-2</w:t>
      </w:r>
      <w:r w:rsidR="003E039B" w:rsidRPr="00341035">
        <w:rPr>
          <w:color w:val="000000" w:themeColor="text1"/>
          <w:szCs w:val="22"/>
        </w:rPr>
        <w:t xml:space="preserve"> d</w:t>
      </w:r>
      <w:r w:rsidR="003E039B" w:rsidRPr="00341035">
        <w:rPr>
          <w:color w:val="000000" w:themeColor="text1"/>
          <w:szCs w:val="22"/>
          <w:vertAlign w:val="superscript"/>
        </w:rPr>
        <w:t>-1</w:t>
      </w:r>
      <w:r w:rsidR="003E039B" w:rsidRPr="00341035">
        <w:rPr>
          <w:color w:val="000000" w:themeColor="text1"/>
          <w:szCs w:val="22"/>
        </w:rPr>
        <w:t>) than the long-term average (13.4 mol m</w:t>
      </w:r>
      <w:r w:rsidR="003E039B" w:rsidRPr="00341035">
        <w:rPr>
          <w:color w:val="000000" w:themeColor="text1"/>
          <w:szCs w:val="22"/>
          <w:vertAlign w:val="superscript"/>
        </w:rPr>
        <w:t>-2</w:t>
      </w:r>
      <w:r w:rsidR="003E039B" w:rsidRPr="00341035">
        <w:rPr>
          <w:color w:val="000000" w:themeColor="text1"/>
          <w:szCs w:val="22"/>
        </w:rPr>
        <w:t xml:space="preserve"> d</w:t>
      </w:r>
      <w:r w:rsidR="003E039B" w:rsidRPr="00341035">
        <w:rPr>
          <w:color w:val="000000" w:themeColor="text1"/>
          <w:szCs w:val="22"/>
          <w:vertAlign w:val="superscript"/>
        </w:rPr>
        <w:t>-1</w:t>
      </w:r>
      <w:r w:rsidR="003E039B" w:rsidRPr="00341035">
        <w:rPr>
          <w:color w:val="000000" w:themeColor="text1"/>
          <w:szCs w:val="22"/>
        </w:rPr>
        <w:t>). Reductions in I</w:t>
      </w:r>
      <w:r w:rsidR="003E039B" w:rsidRPr="00341035">
        <w:rPr>
          <w:color w:val="000000" w:themeColor="text1"/>
          <w:szCs w:val="22"/>
          <w:vertAlign w:val="subscript"/>
        </w:rPr>
        <w:t>d</w:t>
      </w:r>
      <w:r w:rsidR="003E039B" w:rsidRPr="00341035">
        <w:rPr>
          <w:color w:val="000000" w:themeColor="text1"/>
          <w:szCs w:val="22"/>
        </w:rPr>
        <w:t xml:space="preserve"> occurred in all NRMs and habitat types.</w:t>
      </w:r>
      <w:r w:rsidR="00971A6B" w:rsidRPr="006574F1">
        <w:rPr>
          <w:color w:val="0000FF"/>
          <w:szCs w:val="22"/>
        </w:rPr>
        <w:t xml:space="preserve"> </w:t>
      </w:r>
      <w:r w:rsidR="00971A6B" w:rsidRPr="003E039B">
        <w:rPr>
          <w:color w:val="000000" w:themeColor="text1"/>
          <w:szCs w:val="22"/>
        </w:rPr>
        <w:t xml:space="preserve">Acute light thresholds were exceeded </w:t>
      </w:r>
      <w:r w:rsidR="009467CF">
        <w:rPr>
          <w:color w:val="000000" w:themeColor="text1"/>
          <w:szCs w:val="22"/>
        </w:rPr>
        <w:t>more</w:t>
      </w:r>
      <w:r w:rsidR="00971A6B" w:rsidRPr="003E039B">
        <w:rPr>
          <w:color w:val="000000" w:themeColor="text1"/>
          <w:szCs w:val="22"/>
        </w:rPr>
        <w:t xml:space="preserve"> frequently at subtidal</w:t>
      </w:r>
      <w:r w:rsidR="003E039B" w:rsidRPr="003E039B">
        <w:rPr>
          <w:color w:val="000000" w:themeColor="text1"/>
          <w:szCs w:val="22"/>
        </w:rPr>
        <w:t xml:space="preserve">, </w:t>
      </w:r>
      <w:r w:rsidR="00971A6B" w:rsidRPr="003E039B">
        <w:rPr>
          <w:color w:val="000000" w:themeColor="text1"/>
          <w:szCs w:val="22"/>
        </w:rPr>
        <w:t>coastal</w:t>
      </w:r>
      <w:r w:rsidR="003E039B" w:rsidRPr="003E039B">
        <w:rPr>
          <w:color w:val="000000" w:themeColor="text1"/>
          <w:szCs w:val="22"/>
        </w:rPr>
        <w:t xml:space="preserve"> and reef</w:t>
      </w:r>
      <w:r w:rsidR="00971A6B" w:rsidRPr="003E039B">
        <w:rPr>
          <w:color w:val="000000" w:themeColor="text1"/>
          <w:szCs w:val="22"/>
        </w:rPr>
        <w:t xml:space="preserve"> sites in the Burdekin region</w:t>
      </w:r>
      <w:r w:rsidR="003E039B">
        <w:rPr>
          <w:color w:val="000000" w:themeColor="text1"/>
          <w:szCs w:val="22"/>
        </w:rPr>
        <w:t xml:space="preserve"> and at sites in the Mackay-Whitsunday during the wet season when </w:t>
      </w:r>
      <w:r w:rsidR="00C50DB3">
        <w:rPr>
          <w:color w:val="000000" w:themeColor="text1"/>
          <w:szCs w:val="22"/>
        </w:rPr>
        <w:t>they were affected by TC Debbie</w:t>
      </w:r>
      <w:r w:rsidR="00971A6B" w:rsidRPr="003E039B">
        <w:rPr>
          <w:color w:val="000000" w:themeColor="text1"/>
          <w:szCs w:val="22"/>
        </w:rPr>
        <w:t xml:space="preserve">. </w:t>
      </w:r>
    </w:p>
    <w:p w14:paraId="346464FC" w14:textId="29F421E3" w:rsidR="00E077C1" w:rsidRPr="00CD6FCC" w:rsidRDefault="00CD6FCC" w:rsidP="00E742E9">
      <w:pPr>
        <w:rPr>
          <w:color w:val="000000" w:themeColor="text1"/>
          <w:szCs w:val="22"/>
        </w:rPr>
      </w:pPr>
      <w:r w:rsidRPr="00CD6FCC">
        <w:rPr>
          <w:color w:val="000000" w:themeColor="text1"/>
        </w:rPr>
        <w:t xml:space="preserve">A </w:t>
      </w:r>
      <w:r w:rsidR="009467CF">
        <w:rPr>
          <w:color w:val="000000" w:themeColor="text1"/>
        </w:rPr>
        <w:t xml:space="preserve">marine </w:t>
      </w:r>
      <w:r w:rsidR="00970D64">
        <w:rPr>
          <w:color w:val="000000" w:themeColor="text1"/>
        </w:rPr>
        <w:t>heat</w:t>
      </w:r>
      <w:r w:rsidRPr="00CD6FCC">
        <w:rPr>
          <w:color w:val="000000" w:themeColor="text1"/>
        </w:rPr>
        <w:t xml:space="preserve">wave that caused coral bleaching in the northern and central GBR, </w:t>
      </w:r>
      <w:r w:rsidR="00C50DB3">
        <w:rPr>
          <w:color w:val="000000" w:themeColor="text1"/>
        </w:rPr>
        <w:t xml:space="preserve">also </w:t>
      </w:r>
      <w:r w:rsidRPr="00CD6FCC">
        <w:rPr>
          <w:color w:val="000000" w:themeColor="text1"/>
        </w:rPr>
        <w:t xml:space="preserve">affected seagrass sites </w:t>
      </w:r>
      <w:r w:rsidR="009467CF">
        <w:rPr>
          <w:color w:val="000000" w:themeColor="text1"/>
        </w:rPr>
        <w:t>across</w:t>
      </w:r>
      <w:r w:rsidRPr="00CD6FCC">
        <w:rPr>
          <w:color w:val="000000" w:themeColor="text1"/>
        </w:rPr>
        <w:t xml:space="preserve"> all NRMs. </w:t>
      </w:r>
      <w:r w:rsidR="00070EBB" w:rsidRPr="00CD6FCC">
        <w:rPr>
          <w:color w:val="000000" w:themeColor="text1"/>
        </w:rPr>
        <w:t xml:space="preserve">Within canopy temperatures </w:t>
      </w:r>
      <w:r w:rsidR="000929AA" w:rsidRPr="00CD6FCC">
        <w:rPr>
          <w:color w:val="000000" w:themeColor="text1"/>
        </w:rPr>
        <w:t xml:space="preserve">were </w:t>
      </w:r>
      <w:r w:rsidRPr="00CD6FCC">
        <w:rPr>
          <w:color w:val="000000" w:themeColor="text1"/>
        </w:rPr>
        <w:t>above average</w:t>
      </w:r>
      <w:r w:rsidR="00070EBB" w:rsidRPr="00CD6FCC">
        <w:rPr>
          <w:color w:val="000000" w:themeColor="text1"/>
        </w:rPr>
        <w:t xml:space="preserve"> in all </w:t>
      </w:r>
      <w:r w:rsidR="000929AA" w:rsidRPr="00CD6FCC">
        <w:rPr>
          <w:color w:val="000000" w:themeColor="text1"/>
        </w:rPr>
        <w:t>reg</w:t>
      </w:r>
      <w:r w:rsidR="00ED00BA" w:rsidRPr="00CD6FCC">
        <w:rPr>
          <w:color w:val="000000" w:themeColor="text1"/>
        </w:rPr>
        <w:t>ions</w:t>
      </w:r>
      <w:r w:rsidR="000B5BD5" w:rsidRPr="00CD6FCC">
        <w:rPr>
          <w:color w:val="000000" w:themeColor="text1"/>
        </w:rPr>
        <w:t xml:space="preserve"> during </w:t>
      </w:r>
      <w:r w:rsidR="008574EC">
        <w:rPr>
          <w:color w:val="000000" w:themeColor="text1"/>
        </w:rPr>
        <w:t>2016–17</w:t>
      </w:r>
      <w:r w:rsidR="000B5BD5" w:rsidRPr="00CD6FCC">
        <w:rPr>
          <w:color w:val="000000" w:themeColor="text1"/>
        </w:rPr>
        <w:t xml:space="preserve">. </w:t>
      </w:r>
      <w:r w:rsidR="000B5BD5" w:rsidRPr="00CD6FCC">
        <w:rPr>
          <w:color w:val="000000" w:themeColor="text1"/>
          <w:szCs w:val="22"/>
        </w:rPr>
        <w:t xml:space="preserve">High water temperatures (&gt;35°C) were </w:t>
      </w:r>
      <w:r w:rsidRPr="00CD6FCC">
        <w:rPr>
          <w:color w:val="000000" w:themeColor="text1"/>
          <w:szCs w:val="22"/>
        </w:rPr>
        <w:t xml:space="preserve">also </w:t>
      </w:r>
      <w:r w:rsidR="000B5BD5" w:rsidRPr="00CD6FCC">
        <w:rPr>
          <w:color w:val="000000" w:themeColor="text1"/>
          <w:szCs w:val="22"/>
        </w:rPr>
        <w:t xml:space="preserve">exceeded for a record number of days in </w:t>
      </w:r>
      <w:r w:rsidRPr="00CD6FCC">
        <w:rPr>
          <w:color w:val="000000" w:themeColor="text1"/>
          <w:szCs w:val="22"/>
        </w:rPr>
        <w:t>all regions except the Burnett Mary, which had the second highest number of days (the highest being the previous year)</w:t>
      </w:r>
      <w:r w:rsidR="00C50DB3">
        <w:rPr>
          <w:color w:val="000000" w:themeColor="text1"/>
          <w:szCs w:val="22"/>
        </w:rPr>
        <w:t xml:space="preserve"> exceeding </w:t>
      </w:r>
      <w:r w:rsidR="00C50DB3" w:rsidRPr="00CD6FCC">
        <w:rPr>
          <w:color w:val="000000" w:themeColor="text1"/>
          <w:szCs w:val="22"/>
        </w:rPr>
        <w:t>35°C</w:t>
      </w:r>
      <w:r w:rsidR="00C50DB3">
        <w:rPr>
          <w:color w:val="000000" w:themeColor="text1"/>
          <w:szCs w:val="22"/>
        </w:rPr>
        <w:t xml:space="preserve"> since records began</w:t>
      </w:r>
      <w:r w:rsidR="000B5BD5" w:rsidRPr="00CD6FCC">
        <w:rPr>
          <w:color w:val="000000" w:themeColor="text1"/>
          <w:szCs w:val="22"/>
        </w:rPr>
        <w:t xml:space="preserve">. </w:t>
      </w:r>
      <w:r w:rsidR="00481F1D" w:rsidRPr="00CD6FCC">
        <w:rPr>
          <w:color w:val="000000" w:themeColor="text1"/>
          <w:szCs w:val="22"/>
        </w:rPr>
        <w:t>These elevated temperatures</w:t>
      </w:r>
      <w:r w:rsidR="00E077C1" w:rsidRPr="00CD6FCC">
        <w:rPr>
          <w:color w:val="000000" w:themeColor="text1"/>
          <w:szCs w:val="22"/>
        </w:rPr>
        <w:t xml:space="preserve"> may have </w:t>
      </w:r>
      <w:r w:rsidR="00481F1D" w:rsidRPr="00CD6FCC">
        <w:rPr>
          <w:color w:val="000000" w:themeColor="text1"/>
          <w:szCs w:val="22"/>
        </w:rPr>
        <w:t>affected</w:t>
      </w:r>
      <w:r w:rsidR="00E077C1" w:rsidRPr="00CD6FCC">
        <w:rPr>
          <w:color w:val="000000" w:themeColor="text1"/>
          <w:szCs w:val="22"/>
        </w:rPr>
        <w:t xml:space="preserve"> seagrass </w:t>
      </w:r>
      <w:r w:rsidR="00481F1D" w:rsidRPr="00CD6FCC">
        <w:rPr>
          <w:color w:val="000000" w:themeColor="text1"/>
          <w:szCs w:val="22"/>
        </w:rPr>
        <w:t>photosynthesis and respiration, and hampered recovery from previous flood-related losses</w:t>
      </w:r>
      <w:r w:rsidR="004F6B7C" w:rsidRPr="00CD6FCC">
        <w:rPr>
          <w:color w:val="000000" w:themeColor="text1"/>
          <w:szCs w:val="22"/>
        </w:rPr>
        <w:t xml:space="preserve"> in combination with lower than average light levels</w:t>
      </w:r>
      <w:r w:rsidR="000B5BD5" w:rsidRPr="00CD6FCC">
        <w:rPr>
          <w:color w:val="000000" w:themeColor="text1"/>
          <w:szCs w:val="22"/>
        </w:rPr>
        <w:t xml:space="preserve"> in </w:t>
      </w:r>
      <w:r w:rsidR="008574EC">
        <w:rPr>
          <w:color w:val="000000" w:themeColor="text1"/>
          <w:szCs w:val="22"/>
        </w:rPr>
        <w:t>2016–17</w:t>
      </w:r>
      <w:r w:rsidR="00E077C1" w:rsidRPr="00CD6FCC">
        <w:rPr>
          <w:color w:val="000000" w:themeColor="text1"/>
          <w:szCs w:val="22"/>
        </w:rPr>
        <w:t xml:space="preserve">. </w:t>
      </w:r>
    </w:p>
    <w:bookmarkEnd w:id="131"/>
    <w:p w14:paraId="61B4CBBD" w14:textId="3738C965" w:rsidR="00DC12FC" w:rsidRPr="00B718C6" w:rsidRDefault="00971A6B" w:rsidP="00E742E9">
      <w:pPr>
        <w:autoSpaceDE w:val="0"/>
        <w:autoSpaceDN w:val="0"/>
        <w:adjustRightInd w:val="0"/>
        <w:spacing w:before="0" w:after="0"/>
        <w:rPr>
          <w:rFonts w:cs="TimesNewRoman"/>
          <w:szCs w:val="22"/>
        </w:rPr>
      </w:pPr>
      <w:r w:rsidRPr="001D64D5">
        <w:rPr>
          <w:rFonts w:cs="Calibri"/>
          <w:color w:val="000000" w:themeColor="text1"/>
          <w:szCs w:val="22"/>
          <w:lang w:eastAsia="en-AU"/>
        </w:rPr>
        <w:t xml:space="preserve">Seagrass abundance </w:t>
      </w:r>
      <w:r w:rsidR="003A5000" w:rsidRPr="001D64D5">
        <w:rPr>
          <w:rFonts w:cs="Calibri"/>
          <w:color w:val="000000" w:themeColor="text1"/>
          <w:szCs w:val="22"/>
          <w:lang w:eastAsia="en-AU"/>
        </w:rPr>
        <w:t>(</w:t>
      </w:r>
      <w:r w:rsidR="0063478C" w:rsidRPr="001D64D5">
        <w:rPr>
          <w:rFonts w:cs="Calibri"/>
          <w:color w:val="000000" w:themeColor="text1"/>
          <w:szCs w:val="22"/>
          <w:lang w:eastAsia="en-AU"/>
        </w:rPr>
        <w:t>per cent</w:t>
      </w:r>
      <w:r w:rsidR="003A5000" w:rsidRPr="001D64D5">
        <w:rPr>
          <w:rFonts w:cs="Calibri"/>
          <w:color w:val="000000" w:themeColor="text1"/>
          <w:szCs w:val="22"/>
          <w:lang w:eastAsia="en-AU"/>
        </w:rPr>
        <w:t xml:space="preserve"> cover) </w:t>
      </w:r>
      <w:r w:rsidRPr="001D64D5">
        <w:rPr>
          <w:rFonts w:cs="Calibri"/>
          <w:color w:val="000000" w:themeColor="text1"/>
          <w:szCs w:val="22"/>
          <w:lang w:eastAsia="en-AU"/>
        </w:rPr>
        <w:t xml:space="preserve">across the </w:t>
      </w:r>
      <w:r w:rsidR="00FC7CDE" w:rsidRPr="001D64D5">
        <w:rPr>
          <w:rFonts w:cs="Calibri"/>
          <w:color w:val="000000" w:themeColor="text1"/>
          <w:szCs w:val="22"/>
          <w:lang w:eastAsia="en-AU"/>
        </w:rPr>
        <w:t xml:space="preserve">shallow </w:t>
      </w:r>
      <w:r w:rsidR="001A3CB1" w:rsidRPr="001D64D5">
        <w:rPr>
          <w:rFonts w:cs="Calibri"/>
          <w:color w:val="000000" w:themeColor="text1"/>
          <w:szCs w:val="22"/>
          <w:lang w:eastAsia="en-AU"/>
        </w:rPr>
        <w:t xml:space="preserve">inshore </w:t>
      </w:r>
      <w:r w:rsidR="007F6948">
        <w:rPr>
          <w:rFonts w:cs="Calibri"/>
          <w:color w:val="000000" w:themeColor="text1"/>
          <w:szCs w:val="22"/>
          <w:lang w:eastAsia="en-AU"/>
        </w:rPr>
        <w:t>Great Barrier Reef</w:t>
      </w:r>
      <w:r w:rsidR="001A3CB1" w:rsidRPr="001D64D5">
        <w:rPr>
          <w:rFonts w:cs="Calibri"/>
          <w:color w:val="000000" w:themeColor="text1"/>
          <w:szCs w:val="22"/>
          <w:lang w:eastAsia="en-AU"/>
        </w:rPr>
        <w:t xml:space="preserve"> had</w:t>
      </w:r>
      <w:r w:rsidRPr="001D64D5">
        <w:rPr>
          <w:rFonts w:cs="Calibri"/>
          <w:color w:val="000000" w:themeColor="text1"/>
          <w:szCs w:val="22"/>
          <w:lang w:eastAsia="en-AU"/>
        </w:rPr>
        <w:t xml:space="preserve"> </w:t>
      </w:r>
      <w:r w:rsidR="001A3CB1" w:rsidRPr="001D64D5">
        <w:rPr>
          <w:rFonts w:cs="Calibri"/>
          <w:color w:val="000000" w:themeColor="text1"/>
          <w:szCs w:val="22"/>
          <w:lang w:eastAsia="en-AU"/>
        </w:rPr>
        <w:t xml:space="preserve">been </w:t>
      </w:r>
      <w:r w:rsidRPr="001D64D5">
        <w:rPr>
          <w:rFonts w:cs="Calibri"/>
          <w:color w:val="000000" w:themeColor="text1"/>
          <w:szCs w:val="22"/>
          <w:lang w:eastAsia="en-AU"/>
        </w:rPr>
        <w:t>recover</w:t>
      </w:r>
      <w:r w:rsidR="001A3CB1" w:rsidRPr="001D64D5">
        <w:rPr>
          <w:rFonts w:cs="Calibri"/>
          <w:color w:val="000000" w:themeColor="text1"/>
          <w:szCs w:val="22"/>
          <w:lang w:eastAsia="en-AU"/>
        </w:rPr>
        <w:t>ing</w:t>
      </w:r>
      <w:r w:rsidRPr="001D64D5">
        <w:rPr>
          <w:rFonts w:cs="Calibri"/>
          <w:color w:val="000000" w:themeColor="text1"/>
          <w:szCs w:val="22"/>
          <w:lang w:eastAsia="en-AU"/>
        </w:rPr>
        <w:t xml:space="preserve"> from the losses caused by multiple years of above average rainfall followed by an </w:t>
      </w:r>
      <w:r w:rsidRPr="001D64D5">
        <w:rPr>
          <w:color w:val="000000" w:themeColor="text1"/>
          <w:szCs w:val="22"/>
        </w:rPr>
        <w:t xml:space="preserve">extreme cyclone and associated flooding events </w:t>
      </w:r>
      <w:r w:rsidR="001D64D5" w:rsidRPr="001D64D5">
        <w:rPr>
          <w:color w:val="000000" w:themeColor="text1"/>
          <w:szCs w:val="22"/>
        </w:rPr>
        <w:t>since</w:t>
      </w:r>
      <w:r w:rsidRPr="001D64D5">
        <w:rPr>
          <w:color w:val="000000" w:themeColor="text1"/>
          <w:szCs w:val="22"/>
        </w:rPr>
        <w:t xml:space="preserve"> early 2011</w:t>
      </w:r>
      <w:r w:rsidRPr="001D64D5">
        <w:rPr>
          <w:rFonts w:cs="TimesNewRoman"/>
          <w:color w:val="000000" w:themeColor="text1"/>
          <w:szCs w:val="22"/>
        </w:rPr>
        <w:t xml:space="preserve">. </w:t>
      </w:r>
      <w:r w:rsidR="001D64D5">
        <w:rPr>
          <w:rFonts w:cs="TimesNewRoman"/>
          <w:color w:val="000000" w:themeColor="text1"/>
          <w:szCs w:val="22"/>
        </w:rPr>
        <w:t>However</w:t>
      </w:r>
      <w:r w:rsidR="001D64D5" w:rsidRPr="001D64D5">
        <w:rPr>
          <w:rFonts w:cs="TimesNewRoman"/>
          <w:color w:val="000000" w:themeColor="text1"/>
          <w:szCs w:val="22"/>
        </w:rPr>
        <w:t xml:space="preserve"> i</w:t>
      </w:r>
      <w:r w:rsidRPr="001D64D5">
        <w:rPr>
          <w:rFonts w:cs="Calibri"/>
          <w:color w:val="000000" w:themeColor="text1"/>
          <w:szCs w:val="22"/>
          <w:lang w:eastAsia="en-AU"/>
        </w:rPr>
        <w:t xml:space="preserve">n </w:t>
      </w:r>
      <w:r w:rsidR="008574EC">
        <w:rPr>
          <w:rFonts w:cs="Calibri"/>
          <w:color w:val="000000" w:themeColor="text1"/>
          <w:szCs w:val="22"/>
          <w:lang w:eastAsia="en-AU"/>
        </w:rPr>
        <w:t>2016–17</w:t>
      </w:r>
      <w:r w:rsidRPr="001D64D5">
        <w:rPr>
          <w:rFonts w:cs="Calibri"/>
          <w:color w:val="000000" w:themeColor="text1"/>
          <w:szCs w:val="22"/>
          <w:lang w:eastAsia="en-AU"/>
        </w:rPr>
        <w:t xml:space="preserve">, abundance </w:t>
      </w:r>
      <w:r w:rsidR="003A5000" w:rsidRPr="001D64D5">
        <w:rPr>
          <w:rFonts w:cs="Calibri"/>
          <w:color w:val="000000" w:themeColor="text1"/>
          <w:szCs w:val="22"/>
          <w:lang w:eastAsia="en-AU"/>
        </w:rPr>
        <w:t>(</w:t>
      </w:r>
      <w:r w:rsidR="007D5DB6" w:rsidRPr="001D64D5">
        <w:rPr>
          <w:rFonts w:cs="Calibri"/>
          <w:color w:val="000000" w:themeColor="text1"/>
          <w:szCs w:val="22"/>
          <w:lang w:eastAsia="en-AU"/>
        </w:rPr>
        <w:t xml:space="preserve">all </w:t>
      </w:r>
      <w:r w:rsidR="003A5000" w:rsidRPr="001D64D5">
        <w:rPr>
          <w:rFonts w:cs="Calibri"/>
          <w:color w:val="000000" w:themeColor="text1"/>
          <w:szCs w:val="22"/>
          <w:lang w:eastAsia="en-AU"/>
        </w:rPr>
        <w:t>meadow</w:t>
      </w:r>
      <w:r w:rsidR="007D5DB6" w:rsidRPr="001D64D5">
        <w:rPr>
          <w:rFonts w:cs="Calibri"/>
          <w:color w:val="000000" w:themeColor="text1"/>
          <w:szCs w:val="22"/>
          <w:lang w:eastAsia="en-AU"/>
        </w:rPr>
        <w:t>s and sampling events</w:t>
      </w:r>
      <w:r w:rsidR="0025552C">
        <w:rPr>
          <w:rFonts w:cs="Calibri"/>
          <w:color w:val="000000" w:themeColor="text1"/>
          <w:szCs w:val="22"/>
          <w:lang w:eastAsia="en-AU"/>
        </w:rPr>
        <w:t xml:space="preserve"> pooled</w:t>
      </w:r>
      <w:r w:rsidR="003A5000" w:rsidRPr="001D64D5">
        <w:rPr>
          <w:rFonts w:cs="Calibri"/>
          <w:color w:val="000000" w:themeColor="text1"/>
          <w:szCs w:val="22"/>
          <w:lang w:eastAsia="en-AU"/>
        </w:rPr>
        <w:t xml:space="preserve">) </w:t>
      </w:r>
      <w:r w:rsidR="001D64D5" w:rsidRPr="001D64D5">
        <w:rPr>
          <w:rFonts w:cs="Calibri"/>
          <w:color w:val="000000" w:themeColor="text1"/>
          <w:szCs w:val="22"/>
          <w:lang w:eastAsia="en-AU"/>
        </w:rPr>
        <w:t xml:space="preserve">decreased </w:t>
      </w:r>
      <w:r w:rsidR="001D64D5" w:rsidRPr="001D64D5">
        <w:rPr>
          <w:rFonts w:cs="TimesNewRoman"/>
          <w:color w:val="000000" w:themeColor="text1"/>
          <w:szCs w:val="22"/>
        </w:rPr>
        <w:t xml:space="preserve">but remained </w:t>
      </w:r>
      <w:r w:rsidR="001D64D5" w:rsidRPr="001D64D5">
        <w:rPr>
          <w:rFonts w:cs="TimesNewRoman"/>
          <w:b/>
          <w:color w:val="000000" w:themeColor="text1"/>
          <w:szCs w:val="22"/>
        </w:rPr>
        <w:t>moderate</w:t>
      </w:r>
      <w:r w:rsidR="001D64D5" w:rsidRPr="001D64D5">
        <w:rPr>
          <w:rFonts w:cs="TimesNewRoman"/>
          <w:color w:val="000000" w:themeColor="text1"/>
          <w:szCs w:val="22"/>
        </w:rPr>
        <w:t xml:space="preserve"> </w:t>
      </w:r>
      <w:r w:rsidR="00DC3A0E">
        <w:rPr>
          <w:rFonts w:cs="TimesNewRoman"/>
          <w:color w:val="000000" w:themeColor="text1"/>
          <w:szCs w:val="22"/>
        </w:rPr>
        <w:t>(</w:t>
      </w:r>
      <w:r w:rsidR="00DC3A0E">
        <w:rPr>
          <w:rFonts w:cs="TimesNewRoman"/>
          <w:color w:val="000000" w:themeColor="text1"/>
          <w:szCs w:val="22"/>
        </w:rPr>
        <w:fldChar w:fldCharType="begin"/>
      </w:r>
      <w:r w:rsidR="00DC3A0E">
        <w:rPr>
          <w:rFonts w:cs="TimesNewRoman"/>
          <w:color w:val="000000" w:themeColor="text1"/>
          <w:szCs w:val="22"/>
        </w:rPr>
        <w:instrText xml:space="preserve"> REF _Ref382139194 \h </w:instrText>
      </w:r>
      <w:r w:rsidR="00DC3A0E">
        <w:rPr>
          <w:rFonts w:cs="TimesNewRoman"/>
          <w:color w:val="000000" w:themeColor="text1"/>
          <w:szCs w:val="22"/>
        </w:rPr>
      </w:r>
      <w:r w:rsidR="00DC3A0E">
        <w:rPr>
          <w:rFonts w:cs="TimesNewRoman"/>
          <w:color w:val="000000" w:themeColor="text1"/>
          <w:szCs w:val="22"/>
        </w:rPr>
        <w:fldChar w:fldCharType="separate"/>
      </w:r>
      <w:r w:rsidR="00F87DF9" w:rsidRPr="004502DF">
        <w:rPr>
          <w:color w:val="000000"/>
          <w:szCs w:val="22"/>
        </w:rPr>
        <w:t xml:space="preserve">Figure </w:t>
      </w:r>
      <w:r w:rsidR="00F87DF9">
        <w:rPr>
          <w:noProof/>
          <w:color w:val="000000"/>
          <w:szCs w:val="22"/>
        </w:rPr>
        <w:t>6</w:t>
      </w:r>
      <w:r w:rsidR="00DC3A0E">
        <w:rPr>
          <w:rFonts w:cs="TimesNewRoman"/>
          <w:color w:val="000000" w:themeColor="text1"/>
          <w:szCs w:val="22"/>
        </w:rPr>
        <w:fldChar w:fldCharType="end"/>
      </w:r>
      <w:r w:rsidR="00DC3A0E">
        <w:rPr>
          <w:rFonts w:cs="TimesNewRoman"/>
          <w:color w:val="000000" w:themeColor="text1"/>
          <w:szCs w:val="22"/>
        </w:rPr>
        <w:t>)</w:t>
      </w:r>
      <w:r w:rsidR="0050419F">
        <w:rPr>
          <w:rFonts w:cs="TimesNewRoman"/>
          <w:color w:val="000000" w:themeColor="text1"/>
          <w:szCs w:val="22"/>
        </w:rPr>
        <w:t xml:space="preserve">. </w:t>
      </w:r>
      <w:r w:rsidR="0025552C">
        <w:rPr>
          <w:rFonts w:cs="TimesNewRoman"/>
          <w:color w:val="000000" w:themeColor="text1"/>
          <w:szCs w:val="22"/>
        </w:rPr>
        <w:t>T</w:t>
      </w:r>
      <w:r w:rsidR="00C50DB3" w:rsidRPr="00C50DB3">
        <w:rPr>
          <w:rFonts w:cs="Calibri"/>
          <w:color w:val="000000" w:themeColor="text1"/>
          <w:szCs w:val="22"/>
          <w:lang w:eastAsia="en-AU"/>
        </w:rPr>
        <w:t>here were</w:t>
      </w:r>
      <w:r w:rsidR="0025552C">
        <w:rPr>
          <w:rFonts w:cs="Calibri"/>
          <w:color w:val="000000" w:themeColor="text1"/>
          <w:szCs w:val="22"/>
          <w:lang w:eastAsia="en-AU"/>
        </w:rPr>
        <w:t>, however,</w:t>
      </w:r>
      <w:r w:rsidR="00C50DB3" w:rsidRPr="00C50DB3">
        <w:rPr>
          <w:rFonts w:cs="Calibri"/>
          <w:color w:val="000000" w:themeColor="text1"/>
          <w:szCs w:val="22"/>
          <w:lang w:eastAsia="en-AU"/>
        </w:rPr>
        <w:t xml:space="preserve"> differences among regions: d</w:t>
      </w:r>
      <w:r w:rsidR="001D64D5" w:rsidRPr="00C50DB3">
        <w:rPr>
          <w:rFonts w:cs="TimesNewRoman"/>
          <w:color w:val="000000" w:themeColor="text1"/>
          <w:szCs w:val="22"/>
        </w:rPr>
        <w:t xml:space="preserve">eclines </w:t>
      </w:r>
      <w:r w:rsidR="001D64D5" w:rsidRPr="001D64D5">
        <w:rPr>
          <w:rFonts w:cs="TimesNewRoman"/>
          <w:color w:val="000000" w:themeColor="text1"/>
          <w:szCs w:val="22"/>
        </w:rPr>
        <w:t>in</w:t>
      </w:r>
      <w:r w:rsidR="00C50DB3">
        <w:rPr>
          <w:rFonts w:cs="TimesNewRoman"/>
          <w:color w:val="000000" w:themeColor="text1"/>
          <w:szCs w:val="22"/>
        </w:rPr>
        <w:t xml:space="preserve"> t</w:t>
      </w:r>
      <w:r w:rsidR="001D64D5" w:rsidRPr="001D64D5">
        <w:rPr>
          <w:rFonts w:cs="TimesNewRoman"/>
          <w:color w:val="000000" w:themeColor="text1"/>
          <w:szCs w:val="22"/>
        </w:rPr>
        <w:t xml:space="preserve">he </w:t>
      </w:r>
      <w:r w:rsidR="009467CF">
        <w:rPr>
          <w:rFonts w:cs="TimesNewRoman"/>
          <w:color w:val="000000" w:themeColor="text1"/>
          <w:szCs w:val="22"/>
        </w:rPr>
        <w:t>status</w:t>
      </w:r>
      <w:r w:rsidR="001D64D5" w:rsidRPr="001D64D5">
        <w:rPr>
          <w:rFonts w:cs="TimesNewRoman"/>
          <w:color w:val="000000" w:themeColor="text1"/>
          <w:szCs w:val="22"/>
        </w:rPr>
        <w:t xml:space="preserve"> occurred</w:t>
      </w:r>
      <w:r w:rsidR="001D64D5" w:rsidRPr="001D64D5">
        <w:rPr>
          <w:rFonts w:cs="Calibri"/>
          <w:color w:val="000000" w:themeColor="text1"/>
          <w:szCs w:val="22"/>
          <w:lang w:eastAsia="en-AU"/>
        </w:rPr>
        <w:t xml:space="preserve"> in Cape York, Mackay Whitsunday and Burnett Mary </w:t>
      </w:r>
      <w:r w:rsidR="001D64D5" w:rsidRPr="00647581">
        <w:rPr>
          <w:rFonts w:cs="Calibri"/>
          <w:szCs w:val="22"/>
          <w:lang w:eastAsia="en-AU"/>
        </w:rPr>
        <w:t xml:space="preserve">NRMs and </w:t>
      </w:r>
      <w:r w:rsidR="009467CF">
        <w:rPr>
          <w:rFonts w:cs="Calibri"/>
          <w:szCs w:val="22"/>
          <w:lang w:eastAsia="en-AU"/>
        </w:rPr>
        <w:t>a</w:t>
      </w:r>
      <w:r w:rsidR="001D64D5" w:rsidRPr="00647581">
        <w:rPr>
          <w:rFonts w:cs="TimesNewRoman"/>
          <w:szCs w:val="22"/>
        </w:rPr>
        <w:t xml:space="preserve">ll NRMs had a poor rating, except for the Burdekin, which increased to good. </w:t>
      </w:r>
    </w:p>
    <w:p w14:paraId="6FF8F53D" w14:textId="77777777" w:rsidR="00DC12FC" w:rsidRPr="004502DF" w:rsidRDefault="00FA2DA3" w:rsidP="00E742E9">
      <w:pPr>
        <w:keepNext/>
        <w:widowControl w:val="0"/>
        <w:spacing w:after="0"/>
        <w:jc w:val="center"/>
        <w:rPr>
          <w:color w:val="000000"/>
          <w:szCs w:val="22"/>
        </w:rPr>
      </w:pPr>
      <w:r>
        <w:rPr>
          <w:noProof/>
          <w:color w:val="000000"/>
          <w:szCs w:val="22"/>
          <w:lang w:eastAsia="en-AU"/>
        </w:rPr>
        <w:drawing>
          <wp:inline distT="0" distB="0" distL="0" distR="0" wp14:anchorId="1710A7AA" wp14:editId="3B1AEDB3">
            <wp:extent cx="4601045" cy="2502056"/>
            <wp:effectExtent l="0" t="0" r="9525" b="0"/>
            <wp:docPr id="230" name="Picture 230" descr="Figure showing long-term GBR report card scores (NRM regions pooled) for each indicator and total seagrass index over the life of the MM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NDEX_GBR_2016.png"/>
                    <pic:cNvPicPr/>
                  </pic:nvPicPr>
                  <pic:blipFill>
                    <a:blip r:embed="rId43">
                      <a:extLst>
                        <a:ext uri="{28A0092B-C50C-407E-A947-70E740481C1C}">
                          <a14:useLocalDpi xmlns:a14="http://schemas.microsoft.com/office/drawing/2010/main" val="0"/>
                        </a:ext>
                      </a:extLst>
                    </a:blip>
                    <a:stretch>
                      <a:fillRect/>
                    </a:stretch>
                  </pic:blipFill>
                  <pic:spPr>
                    <a:xfrm>
                      <a:off x="0" y="0"/>
                      <a:ext cx="4601045" cy="2502056"/>
                    </a:xfrm>
                    <a:prstGeom prst="rect">
                      <a:avLst/>
                    </a:prstGeom>
                  </pic:spPr>
                </pic:pic>
              </a:graphicData>
            </a:graphic>
          </wp:inline>
        </w:drawing>
      </w:r>
    </w:p>
    <w:p w14:paraId="3CE50E5C" w14:textId="1E5667F6" w:rsidR="00DC12FC" w:rsidRPr="004502DF" w:rsidRDefault="00DC12FC" w:rsidP="00E742E9">
      <w:pPr>
        <w:rPr>
          <w:i/>
          <w:vanish/>
          <w:color w:val="000000"/>
          <w:szCs w:val="22"/>
          <w:specVanish/>
        </w:rPr>
      </w:pPr>
      <w:bookmarkStart w:id="133" w:name="_Ref382139194"/>
      <w:bookmarkStart w:id="134" w:name="_Toc516053216"/>
      <w:r w:rsidRPr="004502D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6</w:t>
      </w:r>
      <w:r w:rsidR="0073595B">
        <w:rPr>
          <w:color w:val="000000"/>
          <w:szCs w:val="22"/>
        </w:rPr>
        <w:fldChar w:fldCharType="end"/>
      </w:r>
      <w:bookmarkEnd w:id="133"/>
      <w:r w:rsidRPr="004502DF">
        <w:rPr>
          <w:color w:val="000000"/>
          <w:szCs w:val="22"/>
        </w:rPr>
        <w:t xml:space="preserve">. </w:t>
      </w:r>
      <w:r w:rsidR="00F13C1B">
        <w:rPr>
          <w:i/>
          <w:color w:val="000000"/>
          <w:szCs w:val="22"/>
        </w:rPr>
        <w:t>R</w:t>
      </w:r>
      <w:r w:rsidRPr="004502DF">
        <w:rPr>
          <w:i/>
          <w:color w:val="000000"/>
          <w:szCs w:val="22"/>
        </w:rPr>
        <w:t>eport card scores (</w:t>
      </w:r>
      <w:r w:rsidR="00712F11">
        <w:rPr>
          <w:i/>
          <w:color w:val="000000"/>
          <w:szCs w:val="22"/>
        </w:rPr>
        <w:t xml:space="preserve">NRM </w:t>
      </w:r>
      <w:r w:rsidRPr="004502DF">
        <w:rPr>
          <w:i/>
          <w:color w:val="000000"/>
          <w:szCs w:val="22"/>
        </w:rPr>
        <w:t>region</w:t>
      </w:r>
      <w:r w:rsidR="0083489D">
        <w:rPr>
          <w:i/>
          <w:color w:val="000000"/>
          <w:szCs w:val="22"/>
        </w:rPr>
        <w:t>al averages</w:t>
      </w:r>
      <w:r w:rsidRPr="004502DF">
        <w:rPr>
          <w:i/>
          <w:color w:val="000000"/>
          <w:szCs w:val="22"/>
        </w:rPr>
        <w:t xml:space="preserve"> pooled) for each indicator and total seagrass index over the life of the MMP.</w:t>
      </w:r>
      <w:bookmarkEnd w:id="134"/>
      <w:r w:rsidRPr="004502DF">
        <w:rPr>
          <w:i/>
          <w:color w:val="000000"/>
          <w:szCs w:val="22"/>
        </w:rPr>
        <w:t xml:space="preserve"> </w:t>
      </w:r>
    </w:p>
    <w:p w14:paraId="3A64BA29" w14:textId="1892FACA" w:rsidR="00DC12FC" w:rsidRDefault="00D02E71" w:rsidP="00E742E9">
      <w:pPr>
        <w:rPr>
          <w:rFonts w:cs="TimesNewRoman"/>
          <w:color w:val="000000"/>
          <w:szCs w:val="22"/>
        </w:rPr>
      </w:pPr>
      <w:r>
        <w:rPr>
          <w:i/>
          <w:szCs w:val="22"/>
        </w:rPr>
        <w:t xml:space="preserve"> Bold symbol = </w:t>
      </w:r>
      <w:r w:rsidR="008574EC">
        <w:rPr>
          <w:i/>
          <w:szCs w:val="22"/>
        </w:rPr>
        <w:t>2016–17</w:t>
      </w:r>
      <w:r>
        <w:rPr>
          <w:i/>
          <w:szCs w:val="22"/>
        </w:rPr>
        <w:t xml:space="preserve"> monitoring period. </w:t>
      </w:r>
      <w:r w:rsidR="00DC12FC" w:rsidRPr="00E237C6">
        <w:rPr>
          <w:i/>
          <w:szCs w:val="22"/>
        </w:rPr>
        <w:t xml:space="preserve">Values are indexed scores scaled from 0-100;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DC12FC" w:rsidRPr="00243A2E">
        <w:rPr>
          <w:i/>
          <w:color w:val="000000"/>
          <w:szCs w:val="22"/>
        </w:rPr>
        <w:t xml:space="preserve"> NB: Scores</w:t>
      </w:r>
      <w:r w:rsidR="00DC12FC">
        <w:rPr>
          <w:i/>
          <w:szCs w:val="22"/>
        </w:rPr>
        <w:t xml:space="preserve"> are unitless.</w:t>
      </w:r>
    </w:p>
    <w:p w14:paraId="469CF1F7" w14:textId="3118EE7F" w:rsidR="00A935AA" w:rsidRPr="00A935AA" w:rsidRDefault="00434905" w:rsidP="00E742E9">
      <w:pPr>
        <w:autoSpaceDE w:val="0"/>
        <w:autoSpaceDN w:val="0"/>
        <w:adjustRightInd w:val="0"/>
        <w:spacing w:before="0" w:after="0"/>
        <w:rPr>
          <w:color w:val="000000" w:themeColor="text1"/>
        </w:rPr>
      </w:pPr>
      <w:r w:rsidRPr="003A3EAB">
        <w:t xml:space="preserve">Reproductive effort </w:t>
      </w:r>
      <w:r w:rsidR="009467CF">
        <w:t xml:space="preserve">in </w:t>
      </w:r>
      <w:r w:rsidR="008574EC">
        <w:t>2016–17</w:t>
      </w:r>
      <w:r w:rsidR="009467CF">
        <w:t xml:space="preserve"> </w:t>
      </w:r>
      <w:r w:rsidRPr="003A3EAB">
        <w:t xml:space="preserve">remained </w:t>
      </w:r>
      <w:r w:rsidRPr="003A3EAB">
        <w:rPr>
          <w:b/>
        </w:rPr>
        <w:t>very poor</w:t>
      </w:r>
      <w:r w:rsidRPr="003A3EAB">
        <w:t xml:space="preserve">. </w:t>
      </w:r>
      <w:r w:rsidR="00DC12FC" w:rsidRPr="001C287F">
        <w:rPr>
          <w:color w:val="000000" w:themeColor="text1"/>
        </w:rPr>
        <w:t xml:space="preserve">Reproductive effort </w:t>
      </w:r>
      <w:r w:rsidR="001C287F" w:rsidRPr="001C287F">
        <w:rPr>
          <w:color w:val="000000" w:themeColor="text1"/>
        </w:rPr>
        <w:t>was relatively stable</w:t>
      </w:r>
      <w:r w:rsidR="00DC12FC" w:rsidRPr="001C287F">
        <w:rPr>
          <w:color w:val="000000" w:themeColor="text1"/>
        </w:rPr>
        <w:t xml:space="preserve"> at estuary and </w:t>
      </w:r>
      <w:r w:rsidR="00E41BC8" w:rsidRPr="001C287F">
        <w:rPr>
          <w:color w:val="000000" w:themeColor="text1"/>
        </w:rPr>
        <w:t>coastal</w:t>
      </w:r>
      <w:r w:rsidR="00DC12FC" w:rsidRPr="001C287F">
        <w:rPr>
          <w:color w:val="000000" w:themeColor="text1"/>
        </w:rPr>
        <w:t xml:space="preserve"> habitats, but declined in reef intertidal </w:t>
      </w:r>
      <w:r w:rsidR="00E41BC8" w:rsidRPr="001C287F">
        <w:rPr>
          <w:color w:val="000000" w:themeColor="text1"/>
        </w:rPr>
        <w:t xml:space="preserve">and </w:t>
      </w:r>
      <w:r w:rsidRPr="001C287F">
        <w:rPr>
          <w:color w:val="000000" w:themeColor="text1"/>
        </w:rPr>
        <w:t xml:space="preserve">reef </w:t>
      </w:r>
      <w:r w:rsidR="00E41BC8" w:rsidRPr="001C287F">
        <w:rPr>
          <w:color w:val="000000" w:themeColor="text1"/>
        </w:rPr>
        <w:t xml:space="preserve">subtidal habitats in </w:t>
      </w:r>
      <w:r w:rsidR="008574EC">
        <w:rPr>
          <w:color w:val="000000" w:themeColor="text1"/>
        </w:rPr>
        <w:t>2016–17</w:t>
      </w:r>
      <w:r w:rsidR="009467CF">
        <w:rPr>
          <w:color w:val="000000" w:themeColor="text1"/>
        </w:rPr>
        <w:t>,</w:t>
      </w:r>
      <w:r w:rsidR="00DC12FC" w:rsidRPr="001C287F">
        <w:rPr>
          <w:color w:val="000000" w:themeColor="text1"/>
        </w:rPr>
        <w:t xml:space="preserve"> relative to the previous year</w:t>
      </w:r>
      <w:r w:rsidR="00E41BC8" w:rsidRPr="001C287F">
        <w:rPr>
          <w:color w:val="000000" w:themeColor="text1"/>
        </w:rPr>
        <w:t>.</w:t>
      </w:r>
      <w:r w:rsidR="00E41BC8" w:rsidRPr="006574F1">
        <w:rPr>
          <w:color w:val="0000FF"/>
        </w:rPr>
        <w:t xml:space="preserve"> </w:t>
      </w:r>
      <w:r w:rsidR="00E41BC8" w:rsidRPr="00A935AA">
        <w:rPr>
          <w:color w:val="000000" w:themeColor="text1"/>
        </w:rPr>
        <w:t xml:space="preserve">Reproductive effort </w:t>
      </w:r>
      <w:r w:rsidR="00A935AA" w:rsidRPr="00A935AA">
        <w:rPr>
          <w:color w:val="000000" w:themeColor="text1"/>
        </w:rPr>
        <w:t>was</w:t>
      </w:r>
      <w:r w:rsidR="00E41BC8" w:rsidRPr="00A935AA">
        <w:rPr>
          <w:color w:val="000000" w:themeColor="text1"/>
        </w:rPr>
        <w:t xml:space="preserve"> poor in the </w:t>
      </w:r>
      <w:r w:rsidR="00A935AA" w:rsidRPr="00A935AA">
        <w:rPr>
          <w:color w:val="000000" w:themeColor="text1"/>
        </w:rPr>
        <w:t xml:space="preserve">Burdekin and Mackay Whitsunday regions, and very poor in all others. </w:t>
      </w:r>
      <w:r w:rsidR="009467CF">
        <w:rPr>
          <w:color w:val="000000" w:themeColor="text1"/>
        </w:rPr>
        <w:t>A</w:t>
      </w:r>
      <w:r w:rsidR="00A935AA" w:rsidRPr="00A935AA">
        <w:rPr>
          <w:color w:val="000000" w:themeColor="text1"/>
        </w:rPr>
        <w:t xml:space="preserve"> large decline in reproductive effort </w:t>
      </w:r>
      <w:r w:rsidR="009467CF">
        <w:rPr>
          <w:color w:val="000000" w:themeColor="text1"/>
        </w:rPr>
        <w:t xml:space="preserve">has occurred </w:t>
      </w:r>
      <w:r w:rsidR="00A935AA" w:rsidRPr="00A935AA">
        <w:rPr>
          <w:color w:val="000000" w:themeColor="text1"/>
        </w:rPr>
        <w:t>in the Wet Tropics and Burnett Mary regions</w:t>
      </w:r>
      <w:r w:rsidR="009467CF">
        <w:rPr>
          <w:color w:val="000000" w:themeColor="text1"/>
        </w:rPr>
        <w:t>,</w:t>
      </w:r>
      <w:r w:rsidR="00A935AA" w:rsidRPr="00A935AA">
        <w:rPr>
          <w:color w:val="000000" w:themeColor="text1"/>
        </w:rPr>
        <w:t xml:space="preserve"> but the scores remained very poor as per the previous year. </w:t>
      </w:r>
    </w:p>
    <w:p w14:paraId="45468F76" w14:textId="72D11A8D" w:rsidR="00DC12FC" w:rsidRPr="0025552C" w:rsidRDefault="00A935AA" w:rsidP="00E742E9">
      <w:pPr>
        <w:autoSpaceDE w:val="0"/>
        <w:autoSpaceDN w:val="0"/>
        <w:adjustRightInd w:val="0"/>
        <w:rPr>
          <w:rFonts w:cs="TimesNewRoman"/>
          <w:szCs w:val="22"/>
        </w:rPr>
      </w:pPr>
      <w:r w:rsidRPr="0025552C">
        <w:rPr>
          <w:rFonts w:cs="TimesNewRoman"/>
          <w:szCs w:val="22"/>
        </w:rPr>
        <w:t>The density of seeds in the seed bank</w:t>
      </w:r>
      <w:r w:rsidR="00DC12FC" w:rsidRPr="0025552C">
        <w:rPr>
          <w:rFonts w:cs="TimesNewRoman"/>
          <w:szCs w:val="22"/>
        </w:rPr>
        <w:t xml:space="preserve">, which had shown some signs of improvement following 2011 extreme events, </w:t>
      </w:r>
      <w:r w:rsidRPr="0025552C">
        <w:rPr>
          <w:rFonts w:cs="TimesNewRoman"/>
          <w:szCs w:val="22"/>
        </w:rPr>
        <w:t>were very low in reef intertidal habitats and reduced to very low in estuarine habitats. In contrast, the de</w:t>
      </w:r>
      <w:r w:rsidR="00713809" w:rsidRPr="0025552C">
        <w:rPr>
          <w:rFonts w:cs="TimesNewRoman"/>
          <w:szCs w:val="22"/>
        </w:rPr>
        <w:t>n</w:t>
      </w:r>
      <w:r w:rsidRPr="0025552C">
        <w:rPr>
          <w:rFonts w:cs="TimesNewRoman"/>
          <w:szCs w:val="22"/>
        </w:rPr>
        <w:t xml:space="preserve">sity of seeds in the seed bank of coast and reef subtidal sites, was moderate. </w:t>
      </w:r>
      <w:r w:rsidR="0061197C" w:rsidRPr="0025552C">
        <w:rPr>
          <w:rFonts w:cs="TimesNewRoman"/>
          <w:szCs w:val="22"/>
        </w:rPr>
        <w:t>Low reproductive effort will hinder replenishment of the d</w:t>
      </w:r>
      <w:r w:rsidR="00434905" w:rsidRPr="0025552C">
        <w:rPr>
          <w:rFonts w:cs="TimesNewRoman"/>
          <w:szCs w:val="22"/>
        </w:rPr>
        <w:t xml:space="preserve">epauperate seed banks </w:t>
      </w:r>
      <w:r w:rsidR="0061197C" w:rsidRPr="0025552C">
        <w:rPr>
          <w:rFonts w:cs="TimesNewRoman"/>
          <w:szCs w:val="22"/>
        </w:rPr>
        <w:t>in reef habitat</w:t>
      </w:r>
      <w:r w:rsidR="001F6D3D">
        <w:rPr>
          <w:rFonts w:cs="TimesNewRoman"/>
          <w:szCs w:val="22"/>
        </w:rPr>
        <w:t>s</w:t>
      </w:r>
      <w:r w:rsidR="0061197C" w:rsidRPr="0025552C">
        <w:rPr>
          <w:rFonts w:cs="TimesNewRoman"/>
          <w:szCs w:val="22"/>
        </w:rPr>
        <w:t xml:space="preserve">, and </w:t>
      </w:r>
      <w:r w:rsidR="00010FB7" w:rsidRPr="0025552C">
        <w:rPr>
          <w:rFonts w:cs="TimesNewRoman"/>
          <w:szCs w:val="22"/>
        </w:rPr>
        <w:t xml:space="preserve">seed banks </w:t>
      </w:r>
      <w:r w:rsidR="0061197C" w:rsidRPr="0025552C">
        <w:rPr>
          <w:rFonts w:cs="TimesNewRoman"/>
          <w:szCs w:val="22"/>
        </w:rPr>
        <w:t xml:space="preserve">are </w:t>
      </w:r>
      <w:r w:rsidR="00010FB7" w:rsidRPr="0025552C">
        <w:rPr>
          <w:rFonts w:cs="TimesNewRoman"/>
          <w:szCs w:val="22"/>
        </w:rPr>
        <w:t xml:space="preserve">therefore </w:t>
      </w:r>
      <w:r w:rsidR="0061197C" w:rsidRPr="0025552C">
        <w:rPr>
          <w:rFonts w:cs="TimesNewRoman"/>
          <w:szCs w:val="22"/>
        </w:rPr>
        <w:t xml:space="preserve">likely to remain low in </w:t>
      </w:r>
      <w:r w:rsidR="00010FB7" w:rsidRPr="0025552C">
        <w:rPr>
          <w:rFonts w:cs="TimesNewRoman"/>
          <w:szCs w:val="22"/>
        </w:rPr>
        <w:t>coming years</w:t>
      </w:r>
      <w:r w:rsidR="0061197C" w:rsidRPr="0025552C">
        <w:rPr>
          <w:rFonts w:cs="TimesNewRoman"/>
          <w:szCs w:val="22"/>
        </w:rPr>
        <w:t>. M</w:t>
      </w:r>
      <w:r w:rsidR="00DC12FC" w:rsidRPr="0025552C">
        <w:rPr>
          <w:rFonts w:cs="TimesNewRoman"/>
          <w:szCs w:val="22"/>
        </w:rPr>
        <w:t xml:space="preserve">ost meadows </w:t>
      </w:r>
      <w:r w:rsidR="00434905" w:rsidRPr="0025552C">
        <w:rPr>
          <w:rFonts w:cs="TimesNewRoman"/>
          <w:szCs w:val="22"/>
        </w:rPr>
        <w:t xml:space="preserve">can be considered vulnerable to further disturbances because </w:t>
      </w:r>
      <w:r w:rsidR="001F6D3D">
        <w:rPr>
          <w:rFonts w:cs="TimesNewRoman"/>
          <w:szCs w:val="22"/>
        </w:rPr>
        <w:t>of their</w:t>
      </w:r>
      <w:r w:rsidR="00DC12FC" w:rsidRPr="0025552C">
        <w:rPr>
          <w:rFonts w:cs="TimesNewRoman"/>
          <w:szCs w:val="22"/>
        </w:rPr>
        <w:t xml:space="preserve"> limited capacity to recover </w:t>
      </w:r>
      <w:r w:rsidR="00010FB7" w:rsidRPr="0025552C">
        <w:rPr>
          <w:rFonts w:cs="TimesNewRoman"/>
          <w:szCs w:val="22"/>
        </w:rPr>
        <w:t xml:space="preserve">from seed </w:t>
      </w:r>
      <w:r w:rsidR="00434905" w:rsidRPr="0025552C">
        <w:rPr>
          <w:rFonts w:cs="TimesNewRoman"/>
          <w:szCs w:val="22"/>
        </w:rPr>
        <w:t>(</w:t>
      </w:r>
      <w:r w:rsidR="001F6D3D">
        <w:rPr>
          <w:rFonts w:cs="TimesNewRoman"/>
          <w:szCs w:val="22"/>
        </w:rPr>
        <w:t xml:space="preserve">i.e. </w:t>
      </w:r>
      <w:r w:rsidR="00434905" w:rsidRPr="0025552C">
        <w:rPr>
          <w:rFonts w:cs="TimesNewRoman"/>
          <w:szCs w:val="22"/>
        </w:rPr>
        <w:t>low resilience)</w:t>
      </w:r>
      <w:r w:rsidR="001F6D3D">
        <w:rPr>
          <w:rFonts w:cs="TimesNewRoman"/>
          <w:szCs w:val="22"/>
        </w:rPr>
        <w:t>.</w:t>
      </w:r>
    </w:p>
    <w:p w14:paraId="2024FD99" w14:textId="1FE784DE" w:rsidR="00C50DB3" w:rsidRPr="008E3830" w:rsidRDefault="00484DAB" w:rsidP="00E742E9">
      <w:pPr>
        <w:autoSpaceDE w:val="0"/>
        <w:autoSpaceDN w:val="0"/>
        <w:adjustRightInd w:val="0"/>
        <w:rPr>
          <w:rFonts w:cs="TimesNewRoman"/>
          <w:color w:val="000000" w:themeColor="text1"/>
          <w:szCs w:val="22"/>
        </w:rPr>
      </w:pPr>
      <w:r w:rsidRPr="00121CDB">
        <w:rPr>
          <w:rFonts w:cs="TimesNewRoman"/>
          <w:szCs w:val="22"/>
        </w:rPr>
        <w:t>The s</w:t>
      </w:r>
      <w:r w:rsidR="00DC12FC" w:rsidRPr="00121CDB">
        <w:rPr>
          <w:rFonts w:cs="TimesNewRoman"/>
          <w:szCs w:val="22"/>
        </w:rPr>
        <w:t>eagrass leaf t</w:t>
      </w:r>
      <w:r w:rsidRPr="00121CDB">
        <w:rPr>
          <w:rFonts w:cs="TimesNewRoman"/>
          <w:szCs w:val="22"/>
        </w:rPr>
        <w:t>issue nutrient indicator</w:t>
      </w:r>
      <w:r w:rsidR="00DC12FC" w:rsidRPr="00121CDB">
        <w:rPr>
          <w:rFonts w:cs="TimesNewRoman"/>
          <w:szCs w:val="22"/>
        </w:rPr>
        <w:t xml:space="preserve"> </w:t>
      </w:r>
      <w:r w:rsidR="008E08E7" w:rsidRPr="00121CDB">
        <w:rPr>
          <w:rFonts w:cs="TimesNewRoman"/>
          <w:szCs w:val="22"/>
        </w:rPr>
        <w:t>of</w:t>
      </w:r>
      <w:r w:rsidR="00DC12FC" w:rsidRPr="00121CDB">
        <w:rPr>
          <w:rFonts w:cs="TimesNewRoman"/>
          <w:szCs w:val="22"/>
        </w:rPr>
        <w:t xml:space="preserve"> foundation species </w:t>
      </w:r>
      <w:r w:rsidRPr="00121CDB">
        <w:rPr>
          <w:rFonts w:cs="TimesNewRoman"/>
          <w:szCs w:val="22"/>
        </w:rPr>
        <w:t>is the ratio of carbon (C) to nitrogen (N) expressed as C:N. The C:N ratio increased to</w:t>
      </w:r>
      <w:r w:rsidR="00BF38C8" w:rsidRPr="00121CDB">
        <w:rPr>
          <w:rFonts w:cs="TimesNewRoman"/>
          <w:szCs w:val="22"/>
        </w:rPr>
        <w:t xml:space="preserve"> </w:t>
      </w:r>
      <w:r w:rsidRPr="00121CDB">
        <w:rPr>
          <w:rFonts w:cs="TimesNewRoman"/>
          <w:b/>
          <w:szCs w:val="22"/>
        </w:rPr>
        <w:t>moderate</w:t>
      </w:r>
      <w:r w:rsidRPr="00121CDB">
        <w:rPr>
          <w:rFonts w:cs="TimesNewRoman"/>
          <w:szCs w:val="22"/>
        </w:rPr>
        <w:t xml:space="preserve"> in late 2016 for only the fourth year out of the 12 </w:t>
      </w:r>
      <w:r w:rsidR="001F6D3D" w:rsidRPr="00121CDB">
        <w:rPr>
          <w:rFonts w:cs="TimesNewRoman"/>
          <w:szCs w:val="22"/>
        </w:rPr>
        <w:t xml:space="preserve">years </w:t>
      </w:r>
      <w:r w:rsidRPr="00121CDB">
        <w:rPr>
          <w:rFonts w:cs="TimesNewRoman"/>
          <w:szCs w:val="22"/>
        </w:rPr>
        <w:t xml:space="preserve">sampled </w:t>
      </w:r>
      <w:r w:rsidR="0061341F" w:rsidRPr="00121CDB">
        <w:rPr>
          <w:rFonts w:cs="TimesNewRoman"/>
          <w:szCs w:val="22"/>
        </w:rPr>
        <w:t>(</w:t>
      </w:r>
      <w:r w:rsidR="00F125BC">
        <w:rPr>
          <w:rFonts w:cs="TimesNewRoman"/>
          <w:szCs w:val="22"/>
        </w:rPr>
        <w:fldChar w:fldCharType="begin"/>
      </w:r>
      <w:r w:rsidR="00F125BC">
        <w:rPr>
          <w:rFonts w:cs="TimesNewRoman"/>
          <w:szCs w:val="22"/>
        </w:rPr>
        <w:instrText xml:space="preserve"> REF _Ref382139194 \h </w:instrText>
      </w:r>
      <w:r w:rsidR="00F125BC">
        <w:rPr>
          <w:rFonts w:cs="TimesNewRoman"/>
          <w:szCs w:val="22"/>
        </w:rPr>
      </w:r>
      <w:r w:rsidR="00F125BC">
        <w:rPr>
          <w:rFonts w:cs="TimesNewRoman"/>
          <w:szCs w:val="22"/>
        </w:rPr>
        <w:fldChar w:fldCharType="separate"/>
      </w:r>
      <w:r w:rsidR="00F87DF9" w:rsidRPr="004502DF">
        <w:rPr>
          <w:color w:val="000000"/>
          <w:szCs w:val="22"/>
        </w:rPr>
        <w:t xml:space="preserve">Figure </w:t>
      </w:r>
      <w:r w:rsidR="00F87DF9">
        <w:rPr>
          <w:noProof/>
          <w:color w:val="000000"/>
          <w:szCs w:val="22"/>
        </w:rPr>
        <w:t>6</w:t>
      </w:r>
      <w:r w:rsidR="00F125BC">
        <w:rPr>
          <w:rFonts w:cs="TimesNewRoman"/>
          <w:szCs w:val="22"/>
        </w:rPr>
        <w:fldChar w:fldCharType="end"/>
      </w:r>
      <w:r w:rsidR="0061341F" w:rsidRPr="00121CDB">
        <w:rPr>
          <w:rFonts w:cs="TimesNewRoman"/>
          <w:szCs w:val="22"/>
        </w:rPr>
        <w:t>)</w:t>
      </w:r>
      <w:r w:rsidRPr="00121CDB">
        <w:rPr>
          <w:rFonts w:cs="TimesNewRoman"/>
          <w:szCs w:val="22"/>
        </w:rPr>
        <w:t xml:space="preserve">. </w:t>
      </w:r>
      <w:r w:rsidR="00E7390F" w:rsidRPr="00121CDB">
        <w:rPr>
          <w:szCs w:val="22"/>
        </w:rPr>
        <w:t xml:space="preserve">The ratio of nitrogen to phosphorus (N:P) in seagrass tissue also declined at some sites, but was unchanged in others. Both of these results, </w:t>
      </w:r>
      <w:r w:rsidR="00E7390F" w:rsidRPr="00121CDB">
        <w:rPr>
          <w:rFonts w:cs="TimesNewRoman"/>
          <w:szCs w:val="22"/>
        </w:rPr>
        <w:t>indicate</w:t>
      </w:r>
      <w:r w:rsidRPr="00121CDB">
        <w:rPr>
          <w:rFonts w:cs="TimesNewRoman"/>
          <w:szCs w:val="22"/>
        </w:rPr>
        <w:t xml:space="preserve"> a reduction in the availability of nitrogen, relative to the rate at which the leaves are growing and incorporating carbon. This has </w:t>
      </w:r>
      <w:r w:rsidR="00E7390F" w:rsidRPr="00121CDB">
        <w:rPr>
          <w:rFonts w:cs="TimesNewRoman"/>
          <w:szCs w:val="22"/>
        </w:rPr>
        <w:t>coincided</w:t>
      </w:r>
      <w:r w:rsidRPr="00121CDB">
        <w:rPr>
          <w:rFonts w:cs="TimesNewRoman"/>
          <w:szCs w:val="22"/>
        </w:rPr>
        <w:t xml:space="preserve"> with lower dissolved inorganic nitrogen concentration measured in parts of the Brudekin and Wet Tropics regions in the </w:t>
      </w:r>
      <w:r w:rsidR="001F6D3D">
        <w:rPr>
          <w:rFonts w:cs="TimesNewRoman"/>
          <w:szCs w:val="22"/>
        </w:rPr>
        <w:t>MMP W</w:t>
      </w:r>
      <w:r w:rsidRPr="00121CDB">
        <w:rPr>
          <w:rFonts w:cs="TimesNewRoman"/>
          <w:szCs w:val="22"/>
        </w:rPr>
        <w:t xml:space="preserve">ater </w:t>
      </w:r>
      <w:r w:rsidR="001F6D3D">
        <w:rPr>
          <w:rFonts w:cs="TimesNewRoman"/>
          <w:szCs w:val="22"/>
        </w:rPr>
        <w:t>Q</w:t>
      </w:r>
      <w:r w:rsidRPr="00121CDB">
        <w:rPr>
          <w:rFonts w:cs="TimesNewRoman"/>
          <w:szCs w:val="22"/>
        </w:rPr>
        <w:t>uality sub-program. There was a moderate score in Cape York, Burdekin and Fitzroy regions, but the score remained poor in the other three regions. The score reduced at Burnett Mary and Burdekin sites</w:t>
      </w:r>
      <w:r w:rsidR="00BF38C8" w:rsidRPr="00121CDB">
        <w:rPr>
          <w:rFonts w:cs="TimesNewRoman"/>
          <w:szCs w:val="22"/>
        </w:rPr>
        <w:t>,</w:t>
      </w:r>
      <w:r w:rsidRPr="00121CDB">
        <w:rPr>
          <w:rFonts w:cs="TimesNewRoman"/>
          <w:szCs w:val="22"/>
        </w:rPr>
        <w:t xml:space="preserve"> increased in the Fitzroy and remained within the same category in other regions</w:t>
      </w:r>
      <w:r w:rsidR="00E7390F" w:rsidRPr="00121CDB">
        <w:rPr>
          <w:rFonts w:cs="TimesNewRoman"/>
          <w:szCs w:val="22"/>
        </w:rPr>
        <w:t xml:space="preserve">. </w:t>
      </w:r>
      <w:r w:rsidR="00E7390F" w:rsidRPr="008E3830">
        <w:rPr>
          <w:rFonts w:cs="TimesNewRoman"/>
          <w:color w:val="000000" w:themeColor="text1"/>
          <w:szCs w:val="22"/>
        </w:rPr>
        <w:t xml:space="preserve">As a result of declines in abundance in some regions, and improvements in the seagrass tissue nutrient indicator, </w:t>
      </w:r>
      <w:r w:rsidR="00C50DB3" w:rsidRPr="008E3830">
        <w:rPr>
          <w:rFonts w:cs="TimesNewRoman"/>
          <w:color w:val="000000" w:themeColor="text1"/>
          <w:szCs w:val="22"/>
        </w:rPr>
        <w:t xml:space="preserve">the overall seagrass score remained </w:t>
      </w:r>
      <w:r w:rsidR="001F6D3D" w:rsidRPr="008E3830">
        <w:rPr>
          <w:b/>
          <w:color w:val="000000" w:themeColor="text1"/>
          <w:szCs w:val="22"/>
        </w:rPr>
        <w:t>poor</w:t>
      </w:r>
      <w:r w:rsidR="00C50DB3" w:rsidRPr="008E3830">
        <w:rPr>
          <w:rFonts w:cs="TimesNewRoman"/>
          <w:color w:val="000000" w:themeColor="text1"/>
          <w:szCs w:val="22"/>
        </w:rPr>
        <w:t xml:space="preserve">. </w:t>
      </w:r>
    </w:p>
    <w:p w14:paraId="583B59AA" w14:textId="366A8F85" w:rsidR="00E7390F" w:rsidRPr="008E3830" w:rsidRDefault="00DC12FC" w:rsidP="00E742E9">
      <w:pPr>
        <w:autoSpaceDE w:val="0"/>
        <w:autoSpaceDN w:val="0"/>
        <w:adjustRightInd w:val="0"/>
        <w:rPr>
          <w:color w:val="000000" w:themeColor="text1"/>
          <w:szCs w:val="22"/>
        </w:rPr>
      </w:pPr>
      <w:r w:rsidRPr="008E3830">
        <w:rPr>
          <w:color w:val="000000" w:themeColor="text1"/>
          <w:szCs w:val="22"/>
        </w:rPr>
        <w:t xml:space="preserve">Across the </w:t>
      </w:r>
      <w:r w:rsidR="007F6948">
        <w:rPr>
          <w:color w:val="000000" w:themeColor="text1"/>
          <w:szCs w:val="22"/>
        </w:rPr>
        <w:t>Great Barrier Reef</w:t>
      </w:r>
      <w:r w:rsidRPr="008E3830">
        <w:rPr>
          <w:color w:val="000000" w:themeColor="text1"/>
          <w:szCs w:val="22"/>
        </w:rPr>
        <w:t xml:space="preserve"> NRM regions, the seagras</w:t>
      </w:r>
      <w:r w:rsidR="00BF38C8" w:rsidRPr="008E3830">
        <w:rPr>
          <w:color w:val="000000" w:themeColor="text1"/>
          <w:szCs w:val="22"/>
        </w:rPr>
        <w:t xml:space="preserve">s report card scores </w:t>
      </w:r>
      <w:r w:rsidR="00AE5ED8" w:rsidRPr="008E3830">
        <w:rPr>
          <w:color w:val="000000" w:themeColor="text1"/>
          <w:szCs w:val="22"/>
        </w:rPr>
        <w:t>in</w:t>
      </w:r>
      <w:r w:rsidR="00BF38C8" w:rsidRPr="008E3830">
        <w:rPr>
          <w:color w:val="000000" w:themeColor="text1"/>
          <w:szCs w:val="22"/>
        </w:rPr>
        <w:t xml:space="preserve"> </w:t>
      </w:r>
      <w:r w:rsidR="008574EC">
        <w:rPr>
          <w:color w:val="000000" w:themeColor="text1"/>
          <w:szCs w:val="22"/>
        </w:rPr>
        <w:t>2016–17</w:t>
      </w:r>
      <w:r w:rsidRPr="008E3830">
        <w:rPr>
          <w:color w:val="000000" w:themeColor="text1"/>
          <w:szCs w:val="22"/>
        </w:rPr>
        <w:t xml:space="preserve"> </w:t>
      </w:r>
      <w:r w:rsidR="00BF38C8" w:rsidRPr="008E3830">
        <w:rPr>
          <w:color w:val="000000" w:themeColor="text1"/>
          <w:szCs w:val="22"/>
        </w:rPr>
        <w:t xml:space="preserve">did not </w:t>
      </w:r>
      <w:r w:rsidR="001F6D3D" w:rsidRPr="008E3830">
        <w:rPr>
          <w:color w:val="000000" w:themeColor="text1"/>
          <w:szCs w:val="22"/>
        </w:rPr>
        <w:t xml:space="preserve">change </w:t>
      </w:r>
      <w:r w:rsidR="00BF38C8" w:rsidRPr="008E3830">
        <w:rPr>
          <w:color w:val="000000" w:themeColor="text1"/>
          <w:szCs w:val="22"/>
        </w:rPr>
        <w:t>substantially</w:t>
      </w:r>
      <w:r w:rsidR="00AE5ED8" w:rsidRPr="008E3830">
        <w:rPr>
          <w:color w:val="000000" w:themeColor="text1"/>
          <w:szCs w:val="22"/>
        </w:rPr>
        <w:t>,</w:t>
      </w:r>
      <w:r w:rsidR="00BF38C8" w:rsidRPr="008E3830">
        <w:rPr>
          <w:color w:val="000000" w:themeColor="text1"/>
          <w:szCs w:val="22"/>
        </w:rPr>
        <w:t xml:space="preserve"> and were</w:t>
      </w:r>
      <w:r w:rsidRPr="008E3830">
        <w:rPr>
          <w:color w:val="000000" w:themeColor="text1"/>
          <w:szCs w:val="22"/>
        </w:rPr>
        <w:t xml:space="preserve"> </w:t>
      </w:r>
      <w:r w:rsidRPr="008E3830">
        <w:rPr>
          <w:b/>
          <w:color w:val="000000" w:themeColor="text1"/>
          <w:szCs w:val="22"/>
        </w:rPr>
        <w:t>poor</w:t>
      </w:r>
      <w:r w:rsidRPr="008E3830">
        <w:rPr>
          <w:color w:val="000000" w:themeColor="text1"/>
          <w:szCs w:val="22"/>
        </w:rPr>
        <w:t xml:space="preserve"> in </w:t>
      </w:r>
      <w:r w:rsidR="00BF38C8" w:rsidRPr="008E3830">
        <w:rPr>
          <w:color w:val="000000" w:themeColor="text1"/>
          <w:szCs w:val="22"/>
        </w:rPr>
        <w:t xml:space="preserve">all regions except </w:t>
      </w:r>
      <w:r w:rsidR="00AE5ED8" w:rsidRPr="008E3830">
        <w:rPr>
          <w:color w:val="000000" w:themeColor="text1"/>
          <w:szCs w:val="22"/>
        </w:rPr>
        <w:t xml:space="preserve">the Burdekin which remained </w:t>
      </w:r>
      <w:r w:rsidR="00AE5ED8" w:rsidRPr="008E3830">
        <w:rPr>
          <w:b/>
          <w:color w:val="000000" w:themeColor="text1"/>
          <w:szCs w:val="22"/>
        </w:rPr>
        <w:t>moderate</w:t>
      </w:r>
      <w:r w:rsidR="0094499E" w:rsidRPr="008E3830">
        <w:rPr>
          <w:b/>
          <w:color w:val="000000" w:themeColor="text1"/>
          <w:szCs w:val="22"/>
        </w:rPr>
        <w:t xml:space="preserve"> </w:t>
      </w:r>
      <w:r w:rsidR="0094499E" w:rsidRPr="008E3830">
        <w:rPr>
          <w:color w:val="000000" w:themeColor="text1"/>
          <w:szCs w:val="22"/>
        </w:rPr>
        <w:t>(</w:t>
      </w:r>
      <w:r w:rsidR="0094499E" w:rsidRPr="008E3830">
        <w:rPr>
          <w:color w:val="000000" w:themeColor="text1"/>
          <w:szCs w:val="22"/>
        </w:rPr>
        <w:fldChar w:fldCharType="begin"/>
      </w:r>
      <w:r w:rsidR="0094499E" w:rsidRPr="008E3830">
        <w:rPr>
          <w:color w:val="000000" w:themeColor="text1"/>
          <w:szCs w:val="22"/>
        </w:rPr>
        <w:instrText xml:space="preserve"> REF _Ref382139999 \h  \* MERGEFORMAT </w:instrText>
      </w:r>
      <w:r w:rsidR="0094499E" w:rsidRPr="008E3830">
        <w:rPr>
          <w:color w:val="000000" w:themeColor="text1"/>
          <w:szCs w:val="22"/>
        </w:rPr>
      </w:r>
      <w:r w:rsidR="0094499E" w:rsidRPr="008E3830">
        <w:rPr>
          <w:color w:val="000000" w:themeColor="text1"/>
          <w:szCs w:val="22"/>
        </w:rPr>
        <w:fldChar w:fldCharType="separate"/>
      </w:r>
      <w:r w:rsidR="00F87DF9" w:rsidRPr="00F87DF9">
        <w:rPr>
          <w:color w:val="000000" w:themeColor="text1"/>
          <w:szCs w:val="22"/>
        </w:rPr>
        <w:t xml:space="preserve">Figure </w:t>
      </w:r>
      <w:r w:rsidR="00F87DF9" w:rsidRPr="00F87DF9">
        <w:rPr>
          <w:noProof/>
          <w:color w:val="000000" w:themeColor="text1"/>
          <w:szCs w:val="22"/>
        </w:rPr>
        <w:t>7</w:t>
      </w:r>
      <w:r w:rsidR="0094499E" w:rsidRPr="008E3830">
        <w:rPr>
          <w:color w:val="000000" w:themeColor="text1"/>
          <w:szCs w:val="22"/>
        </w:rPr>
        <w:fldChar w:fldCharType="end"/>
      </w:r>
      <w:r w:rsidR="0094499E" w:rsidRPr="008E3830">
        <w:rPr>
          <w:color w:val="000000" w:themeColor="text1"/>
          <w:szCs w:val="22"/>
        </w:rPr>
        <w:t>)</w:t>
      </w:r>
      <w:r w:rsidR="00AE5ED8" w:rsidRPr="008E3830">
        <w:rPr>
          <w:color w:val="000000" w:themeColor="text1"/>
          <w:szCs w:val="22"/>
        </w:rPr>
        <w:t xml:space="preserve">. </w:t>
      </w:r>
      <w:r w:rsidR="00E7390F" w:rsidRPr="008E3830">
        <w:rPr>
          <w:color w:val="000000" w:themeColor="text1"/>
          <w:szCs w:val="22"/>
        </w:rPr>
        <w:t xml:space="preserve">The largest change was in the Burnett Mary, where the score reduced, but remained poor. </w:t>
      </w:r>
    </w:p>
    <w:p w14:paraId="28ADF458" w14:textId="69C920A0" w:rsidR="00DC12FC" w:rsidRDefault="00E7390F" w:rsidP="00E742E9">
      <w:pPr>
        <w:autoSpaceDE w:val="0"/>
        <w:autoSpaceDN w:val="0"/>
        <w:adjustRightInd w:val="0"/>
        <w:rPr>
          <w:rFonts w:cs="Calibri"/>
          <w:color w:val="000000" w:themeColor="text1"/>
          <w:szCs w:val="22"/>
          <w:lang w:eastAsia="en-AU"/>
        </w:rPr>
      </w:pPr>
      <w:r w:rsidRPr="008E3830">
        <w:rPr>
          <w:rFonts w:cs="TimesNewRoman"/>
          <w:color w:val="000000" w:themeColor="text1"/>
          <w:szCs w:val="22"/>
        </w:rPr>
        <w:t>C</w:t>
      </w:r>
      <w:r w:rsidR="00940B17" w:rsidRPr="008E3830">
        <w:rPr>
          <w:rFonts w:cs="TimesNewRoman"/>
          <w:color w:val="000000" w:themeColor="text1"/>
          <w:szCs w:val="22"/>
        </w:rPr>
        <w:t xml:space="preserve">ondition </w:t>
      </w:r>
      <w:r w:rsidR="00DC12FC" w:rsidRPr="008E3830">
        <w:rPr>
          <w:rFonts w:cs="TimesNewRoman"/>
          <w:color w:val="000000" w:themeColor="text1"/>
          <w:szCs w:val="22"/>
        </w:rPr>
        <w:t xml:space="preserve">scores across the </w:t>
      </w:r>
      <w:r w:rsidR="007F6948">
        <w:rPr>
          <w:rFonts w:cs="TimesNewRoman"/>
          <w:color w:val="000000" w:themeColor="text1"/>
          <w:szCs w:val="22"/>
        </w:rPr>
        <w:t>Great Barrier Reef</w:t>
      </w:r>
      <w:r w:rsidR="00DC12FC" w:rsidRPr="008E3830">
        <w:rPr>
          <w:rFonts w:cs="TimesNewRoman"/>
          <w:color w:val="000000" w:themeColor="text1"/>
          <w:szCs w:val="22"/>
        </w:rPr>
        <w:t xml:space="preserve"> </w:t>
      </w:r>
      <w:r w:rsidR="00D25EB3" w:rsidRPr="008E3830">
        <w:rPr>
          <w:rFonts w:cs="TimesNewRoman"/>
          <w:color w:val="000000" w:themeColor="text1"/>
          <w:szCs w:val="22"/>
        </w:rPr>
        <w:t>indicate</w:t>
      </w:r>
      <w:r w:rsidR="00B21C1C" w:rsidRPr="008E3830">
        <w:rPr>
          <w:rFonts w:cs="TimesNewRoman"/>
          <w:color w:val="000000" w:themeColor="text1"/>
          <w:szCs w:val="22"/>
        </w:rPr>
        <w:t xml:space="preserve"> a system that is impacted</w:t>
      </w:r>
      <w:r w:rsidR="00DC12FC" w:rsidRPr="008E3830">
        <w:rPr>
          <w:rFonts w:cs="Calibri"/>
          <w:color w:val="000000" w:themeColor="text1"/>
          <w:szCs w:val="22"/>
          <w:lang w:eastAsia="en-AU"/>
        </w:rPr>
        <w:t xml:space="preserve">, with past </w:t>
      </w:r>
      <w:r w:rsidR="00185584" w:rsidRPr="008E3830">
        <w:rPr>
          <w:rFonts w:cs="Calibri"/>
          <w:color w:val="000000" w:themeColor="text1"/>
          <w:szCs w:val="22"/>
          <w:lang w:eastAsia="en-AU"/>
        </w:rPr>
        <w:t>anthropogenic</w:t>
      </w:r>
      <w:r w:rsidR="00DC12FC" w:rsidRPr="008E3830">
        <w:rPr>
          <w:rFonts w:cs="Calibri"/>
          <w:color w:val="000000" w:themeColor="text1"/>
          <w:szCs w:val="22"/>
          <w:lang w:eastAsia="en-AU"/>
        </w:rPr>
        <w:t xml:space="preserve"> impacts leaving a legacy of reduced resilience.</w:t>
      </w:r>
      <w:r w:rsidRPr="008E3830">
        <w:rPr>
          <w:rFonts w:cs="Calibri"/>
          <w:color w:val="000000" w:themeColor="text1"/>
          <w:szCs w:val="22"/>
          <w:lang w:eastAsia="en-AU"/>
        </w:rPr>
        <w:t xml:space="preserve"> In each of the past few years new pressures have ha</w:t>
      </w:r>
      <w:r w:rsidR="00970D64">
        <w:rPr>
          <w:rFonts w:cs="Calibri"/>
          <w:color w:val="000000" w:themeColor="text1"/>
          <w:szCs w:val="22"/>
          <w:lang w:eastAsia="en-AU"/>
        </w:rPr>
        <w:t>mpered recovery, including heat</w:t>
      </w:r>
      <w:r w:rsidRPr="008E3830">
        <w:rPr>
          <w:rFonts w:cs="Calibri"/>
          <w:color w:val="000000" w:themeColor="text1"/>
          <w:szCs w:val="22"/>
          <w:lang w:eastAsia="en-AU"/>
        </w:rPr>
        <w:t>waves, cyclones, and elevated discharge from rive</w:t>
      </w:r>
      <w:r w:rsidR="00B21C1C" w:rsidRPr="008E3830">
        <w:rPr>
          <w:rFonts w:cs="Calibri"/>
          <w:color w:val="000000" w:themeColor="text1"/>
          <w:szCs w:val="22"/>
          <w:lang w:eastAsia="en-AU"/>
        </w:rPr>
        <w:t xml:space="preserve">rs. Trends in seagrass </w:t>
      </w:r>
      <w:r w:rsidR="00B21C1C">
        <w:rPr>
          <w:rFonts w:cs="Calibri"/>
          <w:color w:val="000000" w:themeColor="text1"/>
          <w:szCs w:val="22"/>
          <w:lang w:eastAsia="en-AU"/>
        </w:rPr>
        <w:t>ab</w:t>
      </w:r>
      <w:r w:rsidRPr="00E7390F">
        <w:rPr>
          <w:rFonts w:cs="Calibri"/>
          <w:color w:val="000000" w:themeColor="text1"/>
          <w:szCs w:val="22"/>
          <w:lang w:eastAsia="en-AU"/>
        </w:rPr>
        <w:t>u</w:t>
      </w:r>
      <w:r w:rsidR="00B21C1C">
        <w:rPr>
          <w:rFonts w:cs="Calibri"/>
          <w:color w:val="000000" w:themeColor="text1"/>
          <w:szCs w:val="22"/>
          <w:lang w:eastAsia="en-AU"/>
        </w:rPr>
        <w:t>da</w:t>
      </w:r>
      <w:r w:rsidRPr="00E7390F">
        <w:rPr>
          <w:rFonts w:cs="Calibri"/>
          <w:color w:val="000000" w:themeColor="text1"/>
          <w:szCs w:val="22"/>
          <w:lang w:eastAsia="en-AU"/>
        </w:rPr>
        <w:t>nce and tissue nutrient</w:t>
      </w:r>
      <w:r w:rsidR="00B21C1C">
        <w:rPr>
          <w:rFonts w:cs="Calibri"/>
          <w:color w:val="000000" w:themeColor="text1"/>
          <w:szCs w:val="22"/>
          <w:lang w:eastAsia="en-AU"/>
        </w:rPr>
        <w:t>s</w:t>
      </w:r>
      <w:r w:rsidRPr="00E7390F">
        <w:rPr>
          <w:rFonts w:cs="Calibri"/>
          <w:color w:val="000000" w:themeColor="text1"/>
          <w:szCs w:val="22"/>
          <w:lang w:eastAsia="en-AU"/>
        </w:rPr>
        <w:t xml:space="preserve"> demonstrate that t</w:t>
      </w:r>
      <w:r w:rsidR="00B21C1C">
        <w:rPr>
          <w:rFonts w:cs="Calibri"/>
          <w:color w:val="000000" w:themeColor="text1"/>
          <w:szCs w:val="22"/>
          <w:lang w:eastAsia="en-AU"/>
        </w:rPr>
        <w:t>he system is o</w:t>
      </w:r>
      <w:r w:rsidRPr="00E7390F">
        <w:rPr>
          <w:rFonts w:cs="Calibri"/>
          <w:color w:val="000000" w:themeColor="text1"/>
          <w:szCs w:val="22"/>
          <w:lang w:eastAsia="en-AU"/>
        </w:rPr>
        <w:t>n a recovering trajectory, despite the poor condition</w:t>
      </w:r>
      <w:r w:rsidR="00B21C1C">
        <w:rPr>
          <w:rFonts w:cs="Calibri"/>
          <w:color w:val="000000" w:themeColor="text1"/>
          <w:szCs w:val="22"/>
          <w:lang w:eastAsia="en-AU"/>
        </w:rPr>
        <w:t xml:space="preserve">. However, </w:t>
      </w:r>
      <w:r w:rsidRPr="00E7390F">
        <w:rPr>
          <w:rFonts w:cs="Calibri"/>
          <w:color w:val="000000" w:themeColor="text1"/>
          <w:szCs w:val="22"/>
          <w:lang w:eastAsia="en-AU"/>
        </w:rPr>
        <w:t>very low reproductive ef</w:t>
      </w:r>
      <w:r w:rsidR="00B21C1C">
        <w:rPr>
          <w:rFonts w:cs="Calibri"/>
          <w:color w:val="000000" w:themeColor="text1"/>
          <w:szCs w:val="22"/>
          <w:lang w:eastAsia="en-AU"/>
        </w:rPr>
        <w:t xml:space="preserve">fort throughout most of the </w:t>
      </w:r>
      <w:r w:rsidR="007F6948">
        <w:rPr>
          <w:rFonts w:cs="Calibri"/>
          <w:color w:val="000000" w:themeColor="text1"/>
          <w:szCs w:val="22"/>
          <w:lang w:eastAsia="en-AU"/>
        </w:rPr>
        <w:t>Great Barrier Reef</w:t>
      </w:r>
      <w:r w:rsidRPr="00E7390F">
        <w:rPr>
          <w:rFonts w:cs="Calibri"/>
          <w:color w:val="000000" w:themeColor="text1"/>
          <w:szCs w:val="22"/>
          <w:lang w:eastAsia="en-AU"/>
        </w:rPr>
        <w:t xml:space="preserve"> signals that the </w:t>
      </w:r>
      <w:r w:rsidR="00B21C1C">
        <w:rPr>
          <w:rFonts w:cs="Calibri"/>
          <w:color w:val="000000" w:themeColor="text1"/>
          <w:szCs w:val="22"/>
          <w:lang w:eastAsia="en-AU"/>
        </w:rPr>
        <w:t>seed banks are at risk of not being repleneished, and recovery processes may be hampered following future disturbances</w:t>
      </w:r>
      <w:r w:rsidR="001F6D3D">
        <w:rPr>
          <w:rFonts w:cs="Calibri"/>
          <w:color w:val="000000" w:themeColor="text1"/>
          <w:szCs w:val="22"/>
          <w:lang w:eastAsia="en-AU"/>
        </w:rPr>
        <w:t>.</w:t>
      </w:r>
    </w:p>
    <w:p w14:paraId="34839BD3" w14:textId="77777777" w:rsidR="00DC12FC" w:rsidRPr="00D05CE6" w:rsidRDefault="00FA2DA3" w:rsidP="00E742E9">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2602A4D0" wp14:editId="501C84A9">
            <wp:extent cx="5609738" cy="2003144"/>
            <wp:effectExtent l="0" t="0" r="0" b="0"/>
            <wp:docPr id="231" name="Picture 231" descr="Six graphs showing report card of overall seagrass condition (averaged across indicators) for each NRM region from 2006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INDEX_regional_2016.png"/>
                    <pic:cNvPicPr/>
                  </pic:nvPicPr>
                  <pic:blipFill>
                    <a:blip r:embed="rId44">
                      <a:extLst>
                        <a:ext uri="{28A0092B-C50C-407E-A947-70E740481C1C}">
                          <a14:useLocalDpi xmlns:a14="http://schemas.microsoft.com/office/drawing/2010/main" val="0"/>
                        </a:ext>
                      </a:extLst>
                    </a:blip>
                    <a:stretch>
                      <a:fillRect/>
                    </a:stretch>
                  </pic:blipFill>
                  <pic:spPr>
                    <a:xfrm>
                      <a:off x="0" y="0"/>
                      <a:ext cx="5614294" cy="2004771"/>
                    </a:xfrm>
                    <a:prstGeom prst="rect">
                      <a:avLst/>
                    </a:prstGeom>
                  </pic:spPr>
                </pic:pic>
              </a:graphicData>
            </a:graphic>
          </wp:inline>
        </w:drawing>
      </w:r>
    </w:p>
    <w:p w14:paraId="37FDCEE9" w14:textId="77991C22" w:rsidR="00DC12FC" w:rsidRPr="001762D7" w:rsidRDefault="00DC12FC" w:rsidP="00D02E71">
      <w:pPr>
        <w:spacing w:before="0"/>
        <w:rPr>
          <w:i/>
          <w:vanish/>
          <w:color w:val="000000"/>
          <w:szCs w:val="22"/>
          <w:specVanish/>
        </w:rPr>
      </w:pPr>
      <w:bookmarkStart w:id="135" w:name="_Ref382139999"/>
      <w:bookmarkStart w:id="136" w:name="_Toc516053217"/>
      <w:r w:rsidRPr="001762D7">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7</w:t>
      </w:r>
      <w:r w:rsidR="0073595B">
        <w:rPr>
          <w:color w:val="000000"/>
          <w:szCs w:val="22"/>
        </w:rPr>
        <w:fldChar w:fldCharType="end"/>
      </w:r>
      <w:bookmarkEnd w:id="135"/>
      <w:r w:rsidRPr="001762D7">
        <w:rPr>
          <w:color w:val="000000"/>
          <w:szCs w:val="22"/>
        </w:rPr>
        <w:t xml:space="preserve">. </w:t>
      </w:r>
      <w:r w:rsidRPr="001762D7">
        <w:rPr>
          <w:i/>
          <w:color w:val="000000"/>
          <w:szCs w:val="22"/>
        </w:rPr>
        <w:t xml:space="preserve">Report card of seagrass </w:t>
      </w:r>
      <w:r w:rsidR="008C08FC">
        <w:rPr>
          <w:i/>
          <w:color w:val="000000"/>
          <w:szCs w:val="22"/>
        </w:rPr>
        <w:t>condition</w:t>
      </w:r>
      <w:r w:rsidRPr="001762D7">
        <w:rPr>
          <w:i/>
          <w:color w:val="000000"/>
          <w:szCs w:val="22"/>
        </w:rPr>
        <w:t xml:space="preserve"> for each NRM region (averaged across indicators).</w:t>
      </w:r>
      <w:bookmarkEnd w:id="136"/>
      <w:r w:rsidRPr="001762D7">
        <w:rPr>
          <w:i/>
          <w:color w:val="000000"/>
          <w:szCs w:val="22"/>
        </w:rPr>
        <w:t xml:space="preserve"> </w:t>
      </w:r>
    </w:p>
    <w:p w14:paraId="1EF791A5" w14:textId="63F57A7B" w:rsidR="00DC12FC" w:rsidRDefault="00D02E71" w:rsidP="00D02E71">
      <w:pPr>
        <w:spacing w:before="0"/>
        <w:rPr>
          <w:rFonts w:cs="TimesNewRoman"/>
          <w:color w:val="000000"/>
          <w:szCs w:val="22"/>
        </w:rPr>
      </w:pPr>
      <w:bookmarkStart w:id="137" w:name="OLE_LINK34"/>
      <w:r>
        <w:rPr>
          <w:i/>
          <w:szCs w:val="22"/>
        </w:rPr>
        <w:t xml:space="preserve"> Bold symbol = </w:t>
      </w:r>
      <w:r w:rsidR="008574EC">
        <w:rPr>
          <w:i/>
          <w:szCs w:val="22"/>
        </w:rPr>
        <w:t>2016–17</w:t>
      </w:r>
      <w:r>
        <w:rPr>
          <w:i/>
          <w:szCs w:val="22"/>
        </w:rPr>
        <w:t xml:space="preserve"> monitoring period. </w:t>
      </w:r>
      <w:r w:rsidR="00DC12FC" w:rsidRPr="00E237C6">
        <w:rPr>
          <w:i/>
          <w:szCs w:val="22"/>
        </w:rPr>
        <w:t xml:space="preserve">Values are indexed scores scaled from 0-100; </w:t>
      </w:r>
      <w:bookmarkEnd w:id="137"/>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unitless</w:t>
      </w:r>
      <w:r w:rsidR="00DC12FC">
        <w:rPr>
          <w:i/>
          <w:szCs w:val="22"/>
        </w:rPr>
        <w:t>.</w:t>
      </w:r>
    </w:p>
    <w:p w14:paraId="1A9B27FB" w14:textId="77777777" w:rsidR="00BB52BF" w:rsidRPr="000C1040" w:rsidRDefault="00BB52BF" w:rsidP="00926892">
      <w:pPr>
        <w:pStyle w:val="Heading3"/>
        <w:numPr>
          <w:ilvl w:val="2"/>
          <w:numId w:val="9"/>
        </w:numPr>
        <w:rPr>
          <w:rFonts w:ascii="Arial" w:hAnsi="Arial" w:cs="Arial"/>
          <w:color w:val="000000"/>
        </w:rPr>
      </w:pPr>
      <w:bookmarkStart w:id="138" w:name="_Toc516053134"/>
      <w:bookmarkEnd w:id="132"/>
      <w:r w:rsidRPr="000C1040">
        <w:rPr>
          <w:rFonts w:ascii="Arial" w:hAnsi="Arial" w:cs="Arial"/>
          <w:color w:val="000000"/>
        </w:rPr>
        <w:t>Climate and environmental pressures</w:t>
      </w:r>
      <w:bookmarkEnd w:id="138"/>
    </w:p>
    <w:p w14:paraId="00BB281A" w14:textId="5D6219A4" w:rsidR="001472A4" w:rsidRPr="00121CDB" w:rsidRDefault="00686B59" w:rsidP="007B0A21">
      <w:r w:rsidRPr="00F444E4">
        <w:rPr>
          <w:color w:val="000000" w:themeColor="text1"/>
        </w:rPr>
        <w:t>Environmental stressors from cyclones, river discharge</w:t>
      </w:r>
      <w:r w:rsidR="004B1AA3" w:rsidRPr="00F444E4">
        <w:rPr>
          <w:color w:val="000000" w:themeColor="text1"/>
        </w:rPr>
        <w:t>, wind</w:t>
      </w:r>
      <w:r w:rsidRPr="00F444E4">
        <w:rPr>
          <w:color w:val="000000" w:themeColor="text1"/>
        </w:rPr>
        <w:t xml:space="preserve"> and water quality in </w:t>
      </w:r>
      <w:r w:rsidR="008574EC">
        <w:rPr>
          <w:color w:val="000000" w:themeColor="text1"/>
        </w:rPr>
        <w:t>2016–17</w:t>
      </w:r>
      <w:r w:rsidRPr="00F444E4">
        <w:rPr>
          <w:color w:val="000000" w:themeColor="text1"/>
        </w:rPr>
        <w:t xml:space="preserve"> were relatively moderate in the inshore </w:t>
      </w:r>
      <w:r w:rsidR="007F6948">
        <w:rPr>
          <w:color w:val="000000" w:themeColor="text1"/>
        </w:rPr>
        <w:t>Great Barrier Reef</w:t>
      </w:r>
      <w:r w:rsidR="004B1AA3" w:rsidRPr="00F444E4">
        <w:rPr>
          <w:color w:val="000000" w:themeColor="text1"/>
        </w:rPr>
        <w:t xml:space="preserve"> (</w:t>
      </w:r>
      <w:r w:rsidR="004B1AA3" w:rsidRPr="00F444E4">
        <w:rPr>
          <w:color w:val="000000" w:themeColor="text1"/>
        </w:rPr>
        <w:fldChar w:fldCharType="begin"/>
      </w:r>
      <w:r w:rsidR="004B1AA3" w:rsidRPr="00F444E4">
        <w:rPr>
          <w:color w:val="000000" w:themeColor="text1"/>
        </w:rPr>
        <w:instrText xml:space="preserve"> REF _Ref441775247 \h </w:instrText>
      </w:r>
      <w:r w:rsidR="004B1AA3" w:rsidRPr="00F444E4">
        <w:rPr>
          <w:color w:val="000000" w:themeColor="text1"/>
        </w:rPr>
      </w:r>
      <w:r w:rsidR="004B1AA3" w:rsidRPr="00F444E4">
        <w:rPr>
          <w:color w:val="000000" w:themeColor="text1"/>
        </w:rPr>
        <w:fldChar w:fldCharType="separate"/>
      </w:r>
      <w:r w:rsidR="00F87DF9" w:rsidRPr="007B0A21">
        <w:t xml:space="preserve">Table </w:t>
      </w:r>
      <w:r w:rsidR="00F87DF9">
        <w:rPr>
          <w:noProof/>
        </w:rPr>
        <w:t>9</w:t>
      </w:r>
      <w:r w:rsidR="004B1AA3" w:rsidRPr="00F444E4">
        <w:rPr>
          <w:color w:val="000000" w:themeColor="text1"/>
        </w:rPr>
        <w:fldChar w:fldCharType="end"/>
      </w:r>
      <w:r w:rsidR="004B1AA3" w:rsidRPr="00F444E4">
        <w:rPr>
          <w:color w:val="000000" w:themeColor="text1"/>
        </w:rPr>
        <w:t>)</w:t>
      </w:r>
      <w:r w:rsidR="00F444E4" w:rsidRPr="00F444E4">
        <w:rPr>
          <w:color w:val="000000" w:themeColor="text1"/>
        </w:rPr>
        <w:t>, except in the Mackay</w:t>
      </w:r>
      <w:r w:rsidR="004C35DF">
        <w:rPr>
          <w:color w:val="000000" w:themeColor="text1"/>
        </w:rPr>
        <w:t xml:space="preserve"> </w:t>
      </w:r>
      <w:r w:rsidR="00F444E4" w:rsidRPr="00F444E4">
        <w:rPr>
          <w:color w:val="000000" w:themeColor="text1"/>
        </w:rPr>
        <w:t>Whitsunday</w:t>
      </w:r>
      <w:r w:rsidR="004C35DF">
        <w:rPr>
          <w:color w:val="000000" w:themeColor="text1"/>
        </w:rPr>
        <w:t xml:space="preserve"> region</w:t>
      </w:r>
      <w:r w:rsidR="00F444E4" w:rsidRPr="00F444E4">
        <w:rPr>
          <w:color w:val="000000" w:themeColor="text1"/>
        </w:rPr>
        <w:t xml:space="preserve"> which was affected by </w:t>
      </w:r>
      <w:r w:rsidR="00444C95">
        <w:rPr>
          <w:color w:val="000000" w:themeColor="text1"/>
        </w:rPr>
        <w:t>t</w:t>
      </w:r>
      <w:r w:rsidR="00F444E4" w:rsidRPr="00F444E4">
        <w:rPr>
          <w:color w:val="000000" w:themeColor="text1"/>
        </w:rPr>
        <w:t xml:space="preserve">ropical </w:t>
      </w:r>
      <w:r w:rsidR="00444C95">
        <w:rPr>
          <w:color w:val="000000" w:themeColor="text1"/>
        </w:rPr>
        <w:t>c</w:t>
      </w:r>
      <w:r w:rsidR="00F444E4" w:rsidRPr="00F444E4">
        <w:rPr>
          <w:color w:val="000000" w:themeColor="text1"/>
        </w:rPr>
        <w:t>yclone Debbie crossing the coast near Airlie beach on the 28</w:t>
      </w:r>
      <w:r w:rsidR="00F444E4" w:rsidRPr="00F444E4">
        <w:rPr>
          <w:color w:val="000000" w:themeColor="text1"/>
          <w:vertAlign w:val="superscript"/>
        </w:rPr>
        <w:t>th</w:t>
      </w:r>
      <w:r w:rsidR="00F444E4" w:rsidRPr="00F444E4">
        <w:rPr>
          <w:color w:val="000000" w:themeColor="text1"/>
        </w:rPr>
        <w:t xml:space="preserve"> March 2017</w:t>
      </w:r>
      <w:r w:rsidRPr="00F444E4">
        <w:rPr>
          <w:color w:val="000000" w:themeColor="text1"/>
        </w:rPr>
        <w:t xml:space="preserve">. </w:t>
      </w:r>
      <w:r w:rsidR="00F444E4" w:rsidRPr="00F444E4">
        <w:rPr>
          <w:color w:val="000000" w:themeColor="text1"/>
        </w:rPr>
        <w:t>This led to above-average rainfall within the Mackay Whitsunday catchments (</w:t>
      </w:r>
      <w:r w:rsidR="00F444E4">
        <w:rPr>
          <w:color w:val="000000" w:themeColor="text1"/>
        </w:rPr>
        <w:fldChar w:fldCharType="begin"/>
      </w:r>
      <w:r w:rsidR="00F444E4">
        <w:rPr>
          <w:color w:val="000000" w:themeColor="text1"/>
        </w:rPr>
        <w:instrText xml:space="preserve"> REF _Ref507510845 \h </w:instrText>
      </w:r>
      <w:r w:rsidR="00F444E4">
        <w:rPr>
          <w:color w:val="000000" w:themeColor="text1"/>
        </w:rPr>
      </w:r>
      <w:r w:rsidR="00F444E4">
        <w:rPr>
          <w:color w:val="000000" w:themeColor="text1"/>
        </w:rPr>
        <w:fldChar w:fldCharType="separate"/>
      </w:r>
      <w:r w:rsidR="00F87DF9" w:rsidRPr="007D4BE7">
        <w:rPr>
          <w:rFonts w:asciiTheme="minorHAnsi" w:hAnsiTheme="minorHAnsi"/>
          <w:szCs w:val="22"/>
        </w:rPr>
        <w:t xml:space="preserve">Figure </w:t>
      </w:r>
      <w:r w:rsidR="00F87DF9">
        <w:rPr>
          <w:rFonts w:asciiTheme="minorHAnsi" w:hAnsiTheme="minorHAnsi"/>
          <w:noProof/>
          <w:szCs w:val="22"/>
        </w:rPr>
        <w:t>8</w:t>
      </w:r>
      <w:r w:rsidR="00F444E4">
        <w:rPr>
          <w:color w:val="000000" w:themeColor="text1"/>
        </w:rPr>
        <w:fldChar w:fldCharType="end"/>
      </w:r>
      <w:r w:rsidR="00F444E4" w:rsidRPr="00F444E4">
        <w:rPr>
          <w:color w:val="000000" w:themeColor="text1"/>
        </w:rPr>
        <w:t>), elevated discharge from from the rivers</w:t>
      </w:r>
      <w:r w:rsidR="0098235B">
        <w:rPr>
          <w:color w:val="000000" w:themeColor="text1"/>
        </w:rPr>
        <w:t xml:space="preserve"> in the Mackay</w:t>
      </w:r>
      <w:r w:rsidR="004C35DF">
        <w:rPr>
          <w:color w:val="000000" w:themeColor="text1"/>
        </w:rPr>
        <w:t xml:space="preserve"> </w:t>
      </w:r>
      <w:r w:rsidR="0098235B">
        <w:rPr>
          <w:color w:val="000000" w:themeColor="text1"/>
        </w:rPr>
        <w:t>Whitsunday, Fitzroy and Burnett Mary rivers as the cyclone moved south</w:t>
      </w:r>
      <w:r w:rsidR="00F444E4" w:rsidRPr="00F444E4">
        <w:rPr>
          <w:color w:val="000000" w:themeColor="text1"/>
        </w:rPr>
        <w:t>, and subsequently a greater frequency of exposure to turbid water (col</w:t>
      </w:r>
      <w:r w:rsidR="0098235B">
        <w:rPr>
          <w:color w:val="000000" w:themeColor="text1"/>
        </w:rPr>
        <w:t>our classes 1-4) compared to</w:t>
      </w:r>
      <w:r w:rsidR="00F444E4" w:rsidRPr="00F444E4">
        <w:rPr>
          <w:color w:val="000000" w:themeColor="text1"/>
        </w:rPr>
        <w:t xml:space="preserve"> multi</w:t>
      </w:r>
      <w:r w:rsidR="0098235B">
        <w:rPr>
          <w:color w:val="000000" w:themeColor="text1"/>
        </w:rPr>
        <w:t>-</w:t>
      </w:r>
      <w:r w:rsidR="00F444E4" w:rsidRPr="00F444E4">
        <w:rPr>
          <w:color w:val="000000" w:themeColor="text1"/>
        </w:rPr>
        <w:t>annual conditions</w:t>
      </w:r>
      <w:r w:rsidR="00F444E4">
        <w:rPr>
          <w:color w:val="000000" w:themeColor="text1"/>
        </w:rPr>
        <w:t xml:space="preserve"> (</w:t>
      </w:r>
      <w:r w:rsidR="00F444E4">
        <w:rPr>
          <w:color w:val="000000" w:themeColor="text1"/>
        </w:rPr>
        <w:fldChar w:fldCharType="begin"/>
      </w:r>
      <w:r w:rsidR="00F444E4">
        <w:rPr>
          <w:color w:val="000000" w:themeColor="text1"/>
        </w:rPr>
        <w:instrText xml:space="preserve"> REF _Ref442465513 \h </w:instrText>
      </w:r>
      <w:r w:rsidR="00F444E4">
        <w:rPr>
          <w:color w:val="000000" w:themeColor="text1"/>
        </w:rPr>
      </w:r>
      <w:r w:rsidR="00F444E4">
        <w:rPr>
          <w:color w:val="000000" w:themeColor="text1"/>
        </w:rPr>
        <w:fldChar w:fldCharType="separate"/>
      </w:r>
      <w:r w:rsidR="00F87DF9" w:rsidRPr="00677FAD">
        <w:t xml:space="preserve">Figure </w:t>
      </w:r>
      <w:r w:rsidR="00F87DF9">
        <w:rPr>
          <w:noProof/>
        </w:rPr>
        <w:t>9</w:t>
      </w:r>
      <w:r w:rsidR="00F444E4">
        <w:rPr>
          <w:color w:val="000000" w:themeColor="text1"/>
        </w:rPr>
        <w:fldChar w:fldCharType="end"/>
      </w:r>
      <w:r w:rsidR="004C35DF">
        <w:rPr>
          <w:color w:val="000000" w:themeColor="text1"/>
        </w:rPr>
        <w:t>,</w:t>
      </w:r>
      <w:r w:rsidR="00F444E4">
        <w:rPr>
          <w:color w:val="000000" w:themeColor="text1"/>
        </w:rPr>
        <w:t xml:space="preserve"> </w:t>
      </w:r>
      <w:r w:rsidR="00F444E4">
        <w:rPr>
          <w:color w:val="000000" w:themeColor="text1"/>
        </w:rPr>
        <w:fldChar w:fldCharType="begin"/>
      </w:r>
      <w:r w:rsidR="00F444E4">
        <w:rPr>
          <w:color w:val="000000" w:themeColor="text1"/>
        </w:rPr>
        <w:instrText xml:space="preserve"> REF _Ref507596879 \h </w:instrText>
      </w:r>
      <w:r w:rsidR="00F444E4">
        <w:rPr>
          <w:color w:val="000000" w:themeColor="text1"/>
        </w:rPr>
      </w:r>
      <w:r w:rsidR="00F444E4">
        <w:rPr>
          <w:color w:val="000000" w:themeColor="text1"/>
        </w:rPr>
        <w:fldChar w:fldCharType="separate"/>
      </w:r>
      <w:r w:rsidR="00F87DF9">
        <w:t xml:space="preserve">Figure </w:t>
      </w:r>
      <w:r w:rsidR="00F87DF9">
        <w:rPr>
          <w:noProof/>
        </w:rPr>
        <w:t>10</w:t>
      </w:r>
      <w:r w:rsidR="00F444E4">
        <w:rPr>
          <w:color w:val="000000" w:themeColor="text1"/>
        </w:rPr>
        <w:fldChar w:fldCharType="end"/>
      </w:r>
      <w:r w:rsidR="00F444E4">
        <w:rPr>
          <w:color w:val="000000" w:themeColor="text1"/>
        </w:rPr>
        <w:t>)</w:t>
      </w:r>
      <w:r w:rsidR="00F444E4" w:rsidRPr="00F444E4">
        <w:rPr>
          <w:color w:val="000000" w:themeColor="text1"/>
        </w:rPr>
        <w:t>.</w:t>
      </w:r>
      <w:r w:rsidR="00F444E4">
        <w:rPr>
          <w:color w:val="000000" w:themeColor="text1"/>
        </w:rPr>
        <w:t xml:space="preserve"> </w:t>
      </w:r>
      <w:r w:rsidR="00912120">
        <w:rPr>
          <w:color w:val="000000" w:themeColor="text1"/>
        </w:rPr>
        <w:t>There was also</w:t>
      </w:r>
      <w:r w:rsidR="00F444E4">
        <w:rPr>
          <w:color w:val="000000" w:themeColor="text1"/>
        </w:rPr>
        <w:t xml:space="preserve"> </w:t>
      </w:r>
      <w:r w:rsidR="00912120">
        <w:rPr>
          <w:color w:val="000000" w:themeColor="text1"/>
        </w:rPr>
        <w:t>low</w:t>
      </w:r>
      <w:r w:rsidR="00F444E4">
        <w:rPr>
          <w:color w:val="000000" w:themeColor="text1"/>
        </w:rPr>
        <w:t xml:space="preserve"> </w:t>
      </w:r>
      <w:r w:rsidR="00CE5453">
        <w:rPr>
          <w:color w:val="000000" w:themeColor="text1"/>
        </w:rPr>
        <w:t xml:space="preserve">light levels reaching the seagrass canopy, particularly at some of the </w:t>
      </w:r>
      <w:r w:rsidR="0098235B">
        <w:rPr>
          <w:color w:val="000000" w:themeColor="text1"/>
        </w:rPr>
        <w:t>sites in</w:t>
      </w:r>
      <w:r w:rsidR="00CE5453">
        <w:rPr>
          <w:color w:val="000000" w:themeColor="text1"/>
        </w:rPr>
        <w:t xml:space="preserve"> the Mackay</w:t>
      </w:r>
      <w:r w:rsidR="004C35DF">
        <w:rPr>
          <w:color w:val="000000" w:themeColor="text1"/>
        </w:rPr>
        <w:t xml:space="preserve"> </w:t>
      </w:r>
      <w:r w:rsidR="00CE5453">
        <w:rPr>
          <w:color w:val="000000" w:themeColor="text1"/>
        </w:rPr>
        <w:t xml:space="preserve">Whitsunday. </w:t>
      </w:r>
      <w:r w:rsidR="0098235B">
        <w:rPr>
          <w:color w:val="000000" w:themeColor="text1"/>
        </w:rPr>
        <w:t xml:space="preserve">On average throughout the </w:t>
      </w:r>
      <w:r w:rsidR="007F6948">
        <w:rPr>
          <w:color w:val="000000" w:themeColor="text1"/>
        </w:rPr>
        <w:t>Great Barrier Reef</w:t>
      </w:r>
      <w:r w:rsidR="0098235B">
        <w:rPr>
          <w:color w:val="000000" w:themeColor="text1"/>
        </w:rPr>
        <w:t xml:space="preserve">, light levels were lower in </w:t>
      </w:r>
      <w:r w:rsidR="008574EC">
        <w:rPr>
          <w:color w:val="000000" w:themeColor="text1"/>
        </w:rPr>
        <w:t>2016–17</w:t>
      </w:r>
      <w:r w:rsidR="0098235B">
        <w:rPr>
          <w:color w:val="000000" w:themeColor="text1"/>
        </w:rPr>
        <w:t xml:space="preserve"> compared to the long-term average (2008-2017), but this trend was not consistently observed at all sites, as, even within the same NRM some sites were lower than average while others were at or above long-term light levels. W</w:t>
      </w:r>
      <w:r w:rsidRPr="0098235B">
        <w:rPr>
          <w:color w:val="000000" w:themeColor="text1"/>
        </w:rPr>
        <w:t xml:space="preserve">ithin canopy </w:t>
      </w:r>
      <w:r w:rsidRPr="00121CDB">
        <w:t xml:space="preserve">water temperature was above average throughout the </w:t>
      </w:r>
      <w:r w:rsidR="007F6948">
        <w:t>Great Barrier Reef</w:t>
      </w:r>
      <w:r w:rsidRPr="00121CDB">
        <w:t xml:space="preserve">, with meadows in the </w:t>
      </w:r>
      <w:r w:rsidR="0098235B" w:rsidRPr="00121CDB">
        <w:t xml:space="preserve">northern, </w:t>
      </w:r>
      <w:r w:rsidRPr="00121CDB">
        <w:t xml:space="preserve">central </w:t>
      </w:r>
      <w:r w:rsidR="0098235B" w:rsidRPr="00121CDB">
        <w:t xml:space="preserve">and southern </w:t>
      </w:r>
      <w:r w:rsidR="007F6948">
        <w:t>Great Barrier Reef</w:t>
      </w:r>
      <w:r w:rsidRPr="00121CDB">
        <w:t xml:space="preserve"> exper</w:t>
      </w:r>
      <w:r w:rsidR="0098235B" w:rsidRPr="00121CDB">
        <w:t>iencing a record number of high temperature (&gt;35</w:t>
      </w:r>
      <w:r w:rsidR="0098235B" w:rsidRPr="00121CDB">
        <w:rPr>
          <w:rFonts w:cs="Calibri"/>
        </w:rPr>
        <w:t>°</w:t>
      </w:r>
      <w:r w:rsidR="0098235B" w:rsidRPr="00121CDB">
        <w:t>C) days, with the excep</w:t>
      </w:r>
      <w:r w:rsidR="00912120" w:rsidRPr="00121CDB">
        <w:t>tion of the Burnett Mary and M</w:t>
      </w:r>
      <w:r w:rsidR="00CF14A3" w:rsidRPr="00121CDB">
        <w:t xml:space="preserve">ackay Whitsunday which had the second and third highest number of high temperature days in </w:t>
      </w:r>
      <w:r w:rsidR="008574EC">
        <w:t>2016–17</w:t>
      </w:r>
      <w:r w:rsidR="00CF14A3" w:rsidRPr="00121CDB">
        <w:t xml:space="preserve"> compared to long-term conditions</w:t>
      </w:r>
      <w:r w:rsidR="0098235B" w:rsidRPr="00121CDB">
        <w:t>.</w:t>
      </w:r>
      <w:r w:rsidR="00CF14A3" w:rsidRPr="00121CDB">
        <w:t xml:space="preserve"> Despite this, there were few extreme high temperature (&gt;40</w:t>
      </w:r>
      <w:r w:rsidR="00CF14A3" w:rsidRPr="00121CDB">
        <w:rPr>
          <w:rFonts w:cs="Calibri"/>
        </w:rPr>
        <w:t>°</w:t>
      </w:r>
      <w:r w:rsidR="00CF14A3" w:rsidRPr="00121CDB">
        <w:t>C)</w:t>
      </w:r>
      <w:r w:rsidR="00912120" w:rsidRPr="00121CDB">
        <w:t xml:space="preserve"> days</w:t>
      </w:r>
      <w:r w:rsidR="00CF14A3" w:rsidRPr="00121CDB">
        <w:t>.</w:t>
      </w:r>
    </w:p>
    <w:p w14:paraId="66D8D893" w14:textId="6D5ADDA6" w:rsidR="00E50C95" w:rsidRPr="00A93D8C" w:rsidRDefault="007B0A21" w:rsidP="00E50C95">
      <w:pPr>
        <w:spacing w:before="0"/>
        <w:rPr>
          <w:i/>
          <w:vanish/>
          <w:specVanish/>
        </w:rPr>
      </w:pPr>
      <w:bookmarkStart w:id="139" w:name="_Ref441775247"/>
      <w:bookmarkStart w:id="140" w:name="_Toc516053433"/>
      <w:r w:rsidRPr="007B0A21">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9</w:t>
      </w:r>
      <w:r w:rsidR="00C506C7">
        <w:rPr>
          <w:noProof/>
        </w:rPr>
        <w:fldChar w:fldCharType="end"/>
      </w:r>
      <w:bookmarkEnd w:id="139"/>
      <w:r w:rsidRPr="007B0A21">
        <w:t xml:space="preserve">. </w:t>
      </w:r>
      <w:r w:rsidRPr="007B0A21">
        <w:rPr>
          <w:i/>
        </w:rPr>
        <w:t xml:space="preserve">Summary of environmental conditions at monitoring sites across the </w:t>
      </w:r>
      <w:r w:rsidR="007F6948">
        <w:rPr>
          <w:i/>
        </w:rPr>
        <w:t>Great Barrier Reef</w:t>
      </w:r>
      <w:r w:rsidRPr="007B0A21">
        <w:rPr>
          <w:i/>
        </w:rPr>
        <w:t xml:space="preserve"> in </w:t>
      </w:r>
      <w:r w:rsidR="008574EC">
        <w:rPr>
          <w:i/>
        </w:rPr>
        <w:t>2016–17</w:t>
      </w:r>
      <w:r w:rsidRPr="007B0A21">
        <w:rPr>
          <w:i/>
        </w:rPr>
        <w:t xml:space="preserve"> compared to the long-term average</w:t>
      </w:r>
      <w:bookmarkEnd w:id="140"/>
    </w:p>
    <w:p w14:paraId="26FE0C64" w14:textId="73738905" w:rsidR="00DC12FC" w:rsidRPr="007D4319" w:rsidRDefault="007B0A21" w:rsidP="007B0A21">
      <w:pPr>
        <w:jc w:val="center"/>
        <w:rPr>
          <w:i/>
        </w:rPr>
      </w:pPr>
      <w:r w:rsidRPr="007B0A21">
        <w:rPr>
          <w:i/>
        </w:rPr>
        <w:t xml:space="preserve"> (range indicated for each data set). Regional and habitat-specific levels are provided in later sections. *intertidal only.</w:t>
      </w:r>
    </w:p>
    <w:tbl>
      <w:tblPr>
        <w:tblW w:w="0" w:type="auto"/>
        <w:jc w:val="center"/>
        <w:tblBorders>
          <w:bottom w:val="single" w:sz="4" w:space="0" w:color="auto"/>
        </w:tblBorders>
        <w:tblLook w:val="04A0" w:firstRow="1" w:lastRow="0" w:firstColumn="1" w:lastColumn="0" w:noHBand="0" w:noVBand="1"/>
      </w:tblPr>
      <w:tblGrid>
        <w:gridCol w:w="4484"/>
        <w:gridCol w:w="1956"/>
        <w:gridCol w:w="1939"/>
      </w:tblGrid>
      <w:tr w:rsidR="00DC12FC" w:rsidRPr="00121CDB" w14:paraId="6FA26E49" w14:textId="77777777" w:rsidTr="001B1446">
        <w:trPr>
          <w:trHeight w:val="284"/>
          <w:jc w:val="center"/>
        </w:trPr>
        <w:tc>
          <w:tcPr>
            <w:tcW w:w="4484" w:type="dxa"/>
            <w:tcBorders>
              <w:top w:val="single" w:sz="4" w:space="0" w:color="auto"/>
              <w:bottom w:val="single" w:sz="4" w:space="0" w:color="auto"/>
            </w:tcBorders>
            <w:shd w:val="clear" w:color="auto" w:fill="BBE0E3"/>
            <w:vAlign w:val="center"/>
          </w:tcPr>
          <w:p w14:paraId="7B2E32D7" w14:textId="5ACB84FF" w:rsidR="00DC12FC" w:rsidRPr="00121CDB" w:rsidRDefault="00E34870" w:rsidP="001368E7">
            <w:pPr>
              <w:spacing w:before="0" w:after="0"/>
              <w:rPr>
                <w:b/>
                <w:sz w:val="20"/>
                <w:szCs w:val="20"/>
              </w:rPr>
            </w:pPr>
            <w:r w:rsidRPr="00121CDB">
              <w:rPr>
                <w:b/>
                <w:sz w:val="20"/>
                <w:szCs w:val="20"/>
              </w:rPr>
              <w:t>Environmental condition</w:t>
            </w:r>
          </w:p>
        </w:tc>
        <w:tc>
          <w:tcPr>
            <w:tcW w:w="1956" w:type="dxa"/>
            <w:tcBorders>
              <w:top w:val="single" w:sz="4" w:space="0" w:color="auto"/>
              <w:bottom w:val="single" w:sz="4" w:space="0" w:color="auto"/>
            </w:tcBorders>
            <w:shd w:val="clear" w:color="auto" w:fill="BBE0E3"/>
            <w:vAlign w:val="center"/>
          </w:tcPr>
          <w:p w14:paraId="366157A2" w14:textId="77777777" w:rsidR="00DC12FC" w:rsidRPr="00121CDB" w:rsidRDefault="00DC12FC" w:rsidP="001368E7">
            <w:pPr>
              <w:spacing w:before="0" w:after="0"/>
              <w:jc w:val="center"/>
              <w:rPr>
                <w:b/>
                <w:sz w:val="20"/>
                <w:szCs w:val="20"/>
              </w:rPr>
            </w:pPr>
            <w:r w:rsidRPr="00121CDB">
              <w:rPr>
                <w:b/>
                <w:sz w:val="20"/>
                <w:szCs w:val="20"/>
              </w:rPr>
              <w:t>Long-term average</w:t>
            </w:r>
          </w:p>
        </w:tc>
        <w:tc>
          <w:tcPr>
            <w:tcW w:w="1939" w:type="dxa"/>
            <w:tcBorders>
              <w:top w:val="single" w:sz="4" w:space="0" w:color="auto"/>
              <w:bottom w:val="single" w:sz="4" w:space="0" w:color="auto"/>
            </w:tcBorders>
            <w:shd w:val="clear" w:color="auto" w:fill="BBE0E3"/>
            <w:vAlign w:val="center"/>
          </w:tcPr>
          <w:p w14:paraId="4F6BA4E9" w14:textId="51F62888" w:rsidR="00DC12FC" w:rsidRPr="00121CDB" w:rsidRDefault="008574EC" w:rsidP="00302EC4">
            <w:pPr>
              <w:spacing w:before="0" w:after="0"/>
              <w:jc w:val="center"/>
              <w:rPr>
                <w:b/>
                <w:sz w:val="20"/>
                <w:szCs w:val="20"/>
              </w:rPr>
            </w:pPr>
            <w:r>
              <w:rPr>
                <w:b/>
                <w:sz w:val="20"/>
                <w:szCs w:val="20"/>
              </w:rPr>
              <w:t>2016–17</w:t>
            </w:r>
          </w:p>
        </w:tc>
      </w:tr>
      <w:tr w:rsidR="00DC12FC" w:rsidRPr="00121CDB" w14:paraId="7A13AA33" w14:textId="77777777" w:rsidTr="001B1446">
        <w:trPr>
          <w:trHeight w:val="284"/>
          <w:jc w:val="center"/>
        </w:trPr>
        <w:tc>
          <w:tcPr>
            <w:tcW w:w="4484" w:type="dxa"/>
            <w:tcBorders>
              <w:top w:val="single" w:sz="4" w:space="0" w:color="auto"/>
            </w:tcBorders>
            <w:shd w:val="clear" w:color="auto" w:fill="E7F3F4"/>
            <w:vAlign w:val="center"/>
          </w:tcPr>
          <w:p w14:paraId="456DD916" w14:textId="77777777" w:rsidR="00DC12FC" w:rsidRPr="00121CDB" w:rsidRDefault="00DC12FC" w:rsidP="001368E7">
            <w:pPr>
              <w:tabs>
                <w:tab w:val="left" w:pos="176"/>
              </w:tabs>
              <w:spacing w:before="0" w:after="0"/>
              <w:rPr>
                <w:i/>
                <w:sz w:val="20"/>
                <w:szCs w:val="20"/>
              </w:rPr>
            </w:pPr>
            <w:r w:rsidRPr="00121CDB">
              <w:rPr>
                <w:i/>
                <w:sz w:val="20"/>
                <w:szCs w:val="20"/>
              </w:rPr>
              <w:t>Climate</w:t>
            </w:r>
          </w:p>
        </w:tc>
        <w:tc>
          <w:tcPr>
            <w:tcW w:w="1956" w:type="dxa"/>
            <w:tcBorders>
              <w:top w:val="single" w:sz="4" w:space="0" w:color="auto"/>
            </w:tcBorders>
            <w:shd w:val="clear" w:color="auto" w:fill="E7F3F4"/>
            <w:vAlign w:val="center"/>
          </w:tcPr>
          <w:p w14:paraId="222DF07E" w14:textId="77777777" w:rsidR="00DC12FC" w:rsidRPr="00121CDB" w:rsidRDefault="00DC12FC" w:rsidP="001368E7">
            <w:pPr>
              <w:spacing w:before="0" w:after="0"/>
              <w:jc w:val="center"/>
              <w:rPr>
                <w:sz w:val="20"/>
                <w:szCs w:val="20"/>
              </w:rPr>
            </w:pPr>
          </w:p>
        </w:tc>
        <w:tc>
          <w:tcPr>
            <w:tcW w:w="1939" w:type="dxa"/>
            <w:tcBorders>
              <w:top w:val="single" w:sz="4" w:space="0" w:color="auto"/>
            </w:tcBorders>
            <w:shd w:val="clear" w:color="auto" w:fill="E7F3F4"/>
            <w:vAlign w:val="center"/>
          </w:tcPr>
          <w:p w14:paraId="576FE0E6" w14:textId="77777777" w:rsidR="00DC12FC" w:rsidRPr="00121CDB" w:rsidRDefault="00DC12FC" w:rsidP="001368E7">
            <w:pPr>
              <w:spacing w:before="0" w:after="0"/>
              <w:jc w:val="center"/>
              <w:rPr>
                <w:sz w:val="20"/>
                <w:szCs w:val="20"/>
              </w:rPr>
            </w:pPr>
          </w:p>
        </w:tc>
      </w:tr>
      <w:tr w:rsidR="003A5000" w:rsidRPr="00121CDB" w14:paraId="6E23D583" w14:textId="77777777" w:rsidTr="001B1446">
        <w:trPr>
          <w:trHeight w:val="284"/>
          <w:jc w:val="center"/>
        </w:trPr>
        <w:tc>
          <w:tcPr>
            <w:tcW w:w="4484" w:type="dxa"/>
            <w:shd w:val="clear" w:color="auto" w:fill="E7F3F4"/>
            <w:vAlign w:val="center"/>
          </w:tcPr>
          <w:p w14:paraId="5F754DC7" w14:textId="6A84D31F" w:rsidR="00DC12FC" w:rsidRPr="00640BF3" w:rsidRDefault="00DC12FC" w:rsidP="00510FB9">
            <w:pPr>
              <w:tabs>
                <w:tab w:val="left" w:pos="176"/>
              </w:tabs>
              <w:spacing w:before="0" w:after="0"/>
              <w:rPr>
                <w:sz w:val="20"/>
                <w:szCs w:val="20"/>
              </w:rPr>
            </w:pPr>
            <w:r w:rsidRPr="00121CDB">
              <w:rPr>
                <w:sz w:val="20"/>
                <w:szCs w:val="20"/>
              </w:rPr>
              <w:tab/>
            </w:r>
            <w:r w:rsidRPr="00640BF3">
              <w:rPr>
                <w:sz w:val="20"/>
                <w:szCs w:val="20"/>
              </w:rPr>
              <w:t>Cyclones</w:t>
            </w:r>
            <w:r w:rsidR="0005364D" w:rsidRPr="00640BF3">
              <w:rPr>
                <w:sz w:val="20"/>
                <w:szCs w:val="20"/>
              </w:rPr>
              <w:t xml:space="preserve"> (1968-201</w:t>
            </w:r>
            <w:r w:rsidR="00510FB9" w:rsidRPr="00640BF3">
              <w:rPr>
                <w:sz w:val="20"/>
                <w:szCs w:val="20"/>
              </w:rPr>
              <w:t>7</w:t>
            </w:r>
            <w:r w:rsidR="008F6611" w:rsidRPr="00640BF3">
              <w:rPr>
                <w:sz w:val="20"/>
                <w:szCs w:val="20"/>
              </w:rPr>
              <w:t>)</w:t>
            </w:r>
          </w:p>
        </w:tc>
        <w:tc>
          <w:tcPr>
            <w:tcW w:w="1956" w:type="dxa"/>
            <w:shd w:val="clear" w:color="auto" w:fill="E7F3F4"/>
            <w:vAlign w:val="center"/>
          </w:tcPr>
          <w:p w14:paraId="3235B0D2" w14:textId="40E7ED06" w:rsidR="00DC12FC" w:rsidRPr="00640BF3" w:rsidRDefault="007D4319" w:rsidP="001368E7">
            <w:pPr>
              <w:spacing w:before="0" w:after="0"/>
              <w:jc w:val="center"/>
              <w:rPr>
                <w:sz w:val="20"/>
                <w:szCs w:val="20"/>
              </w:rPr>
            </w:pPr>
            <w:r w:rsidRPr="00640BF3">
              <w:rPr>
                <w:sz w:val="20"/>
                <w:szCs w:val="20"/>
              </w:rPr>
              <w:t>4</w:t>
            </w:r>
          </w:p>
        </w:tc>
        <w:tc>
          <w:tcPr>
            <w:tcW w:w="1939" w:type="dxa"/>
            <w:shd w:val="clear" w:color="auto" w:fill="E7F3F4"/>
            <w:vAlign w:val="center"/>
          </w:tcPr>
          <w:p w14:paraId="50CD46D9" w14:textId="47F5D8A2" w:rsidR="00DC12FC" w:rsidRPr="00121CDB" w:rsidRDefault="007D4319" w:rsidP="00FA3C1C">
            <w:pPr>
              <w:spacing w:before="0" w:after="0"/>
              <w:jc w:val="center"/>
              <w:rPr>
                <w:sz w:val="20"/>
                <w:szCs w:val="20"/>
              </w:rPr>
            </w:pPr>
            <w:r w:rsidRPr="00640BF3">
              <w:rPr>
                <w:sz w:val="20"/>
                <w:szCs w:val="20"/>
              </w:rPr>
              <w:t>1</w:t>
            </w:r>
          </w:p>
        </w:tc>
      </w:tr>
      <w:tr w:rsidR="00154304" w:rsidRPr="00121CDB" w14:paraId="0C8DC089" w14:textId="77777777" w:rsidTr="001B1446">
        <w:trPr>
          <w:trHeight w:val="284"/>
          <w:jc w:val="center"/>
        </w:trPr>
        <w:tc>
          <w:tcPr>
            <w:tcW w:w="4484" w:type="dxa"/>
            <w:shd w:val="clear" w:color="auto" w:fill="E7F3F4"/>
            <w:vAlign w:val="center"/>
          </w:tcPr>
          <w:p w14:paraId="6FC2E4E5" w14:textId="19D8E822" w:rsidR="00DC12FC" w:rsidRPr="00121CDB" w:rsidRDefault="00DC12FC" w:rsidP="00510FB9">
            <w:pPr>
              <w:tabs>
                <w:tab w:val="left" w:pos="176"/>
              </w:tabs>
              <w:spacing w:before="0" w:after="0"/>
              <w:rPr>
                <w:sz w:val="20"/>
                <w:szCs w:val="20"/>
              </w:rPr>
            </w:pPr>
            <w:r w:rsidRPr="00121CDB">
              <w:rPr>
                <w:sz w:val="20"/>
                <w:szCs w:val="20"/>
              </w:rPr>
              <w:tab/>
            </w:r>
            <w:r w:rsidR="00A27C67" w:rsidRPr="00121CDB">
              <w:rPr>
                <w:sz w:val="20"/>
                <w:szCs w:val="20"/>
              </w:rPr>
              <w:t xml:space="preserve">Daily </w:t>
            </w:r>
            <w:r w:rsidRPr="00121CDB">
              <w:rPr>
                <w:sz w:val="20"/>
                <w:szCs w:val="20"/>
              </w:rPr>
              <w:t>Rainfall (</w:t>
            </w:r>
            <w:r w:rsidR="00A27C67" w:rsidRPr="00121CDB">
              <w:rPr>
                <w:sz w:val="20"/>
                <w:szCs w:val="20"/>
              </w:rPr>
              <w:t>1960 - 1991</w:t>
            </w:r>
            <w:r w:rsidRPr="00121CDB">
              <w:rPr>
                <w:sz w:val="20"/>
                <w:szCs w:val="20"/>
              </w:rPr>
              <w:t>)</w:t>
            </w:r>
          </w:p>
        </w:tc>
        <w:tc>
          <w:tcPr>
            <w:tcW w:w="1956" w:type="dxa"/>
            <w:shd w:val="clear" w:color="auto" w:fill="E7F3F4"/>
            <w:vAlign w:val="center"/>
          </w:tcPr>
          <w:p w14:paraId="22D40B05" w14:textId="4DF7576C" w:rsidR="00DC12FC" w:rsidRPr="00121CDB" w:rsidRDefault="00A27C67" w:rsidP="001368E7">
            <w:pPr>
              <w:spacing w:before="0" w:after="0"/>
              <w:jc w:val="center"/>
              <w:rPr>
                <w:sz w:val="20"/>
                <w:szCs w:val="20"/>
              </w:rPr>
            </w:pPr>
            <w:r w:rsidRPr="00121CDB">
              <w:rPr>
                <w:sz w:val="20"/>
                <w:szCs w:val="20"/>
              </w:rPr>
              <w:t>7.2</w:t>
            </w:r>
            <w:r w:rsidR="00DC12FC" w:rsidRPr="00121CDB">
              <w:rPr>
                <w:sz w:val="20"/>
                <w:szCs w:val="20"/>
              </w:rPr>
              <w:t xml:space="preserve"> mm</w:t>
            </w:r>
            <w:r w:rsidRPr="00121CDB">
              <w:rPr>
                <w:sz w:val="20"/>
                <w:szCs w:val="20"/>
              </w:rPr>
              <w:t xml:space="preserve"> d</w:t>
            </w:r>
            <w:r w:rsidRPr="00121CDB">
              <w:rPr>
                <w:sz w:val="20"/>
                <w:szCs w:val="20"/>
                <w:vertAlign w:val="superscript"/>
              </w:rPr>
              <w:t>-1</w:t>
            </w:r>
          </w:p>
        </w:tc>
        <w:tc>
          <w:tcPr>
            <w:tcW w:w="1939" w:type="dxa"/>
            <w:shd w:val="clear" w:color="auto" w:fill="E7F3F4"/>
            <w:vAlign w:val="center"/>
          </w:tcPr>
          <w:p w14:paraId="3BB792F6" w14:textId="6122D2F8" w:rsidR="00DC12FC" w:rsidRPr="00121CDB" w:rsidRDefault="00A27C67" w:rsidP="00EF38E5">
            <w:pPr>
              <w:spacing w:before="0" w:after="0"/>
              <w:jc w:val="center"/>
              <w:rPr>
                <w:sz w:val="20"/>
                <w:szCs w:val="20"/>
              </w:rPr>
            </w:pPr>
            <w:r w:rsidRPr="00121CDB">
              <w:rPr>
                <w:sz w:val="20"/>
                <w:szCs w:val="20"/>
              </w:rPr>
              <w:t>6.9</w:t>
            </w:r>
            <w:r w:rsidR="00DC12FC" w:rsidRPr="00121CDB">
              <w:rPr>
                <w:sz w:val="20"/>
                <w:szCs w:val="20"/>
              </w:rPr>
              <w:t xml:space="preserve"> mm</w:t>
            </w:r>
            <w:r w:rsidRPr="00121CDB">
              <w:rPr>
                <w:sz w:val="20"/>
                <w:szCs w:val="20"/>
              </w:rPr>
              <w:t xml:space="preserve"> d</w:t>
            </w:r>
            <w:r w:rsidRPr="00121CDB">
              <w:rPr>
                <w:sz w:val="20"/>
                <w:szCs w:val="20"/>
                <w:vertAlign w:val="superscript"/>
              </w:rPr>
              <w:t>-1</w:t>
            </w:r>
          </w:p>
        </w:tc>
      </w:tr>
      <w:tr w:rsidR="00154304" w:rsidRPr="00121CDB" w14:paraId="6643CBA5" w14:textId="77777777" w:rsidTr="001B1446">
        <w:trPr>
          <w:trHeight w:val="284"/>
          <w:jc w:val="center"/>
        </w:trPr>
        <w:tc>
          <w:tcPr>
            <w:tcW w:w="4484" w:type="dxa"/>
            <w:shd w:val="clear" w:color="auto" w:fill="E7F3F4"/>
            <w:vAlign w:val="center"/>
          </w:tcPr>
          <w:p w14:paraId="35200117" w14:textId="551972A0" w:rsidR="00DC12FC" w:rsidRPr="00121CDB" w:rsidRDefault="00DC12FC" w:rsidP="00510FB9">
            <w:pPr>
              <w:tabs>
                <w:tab w:val="left" w:pos="176"/>
              </w:tabs>
              <w:spacing w:before="0" w:after="0"/>
              <w:rPr>
                <w:sz w:val="20"/>
                <w:szCs w:val="20"/>
              </w:rPr>
            </w:pPr>
            <w:r w:rsidRPr="00121CDB">
              <w:rPr>
                <w:sz w:val="20"/>
                <w:szCs w:val="20"/>
              </w:rPr>
              <w:tab/>
              <w:t>Riverine discharge (1970-201</w:t>
            </w:r>
            <w:r w:rsidR="00510FB9" w:rsidRPr="00121CDB">
              <w:rPr>
                <w:sz w:val="20"/>
                <w:szCs w:val="20"/>
              </w:rPr>
              <w:t>7</w:t>
            </w:r>
            <w:r w:rsidRPr="00121CDB">
              <w:rPr>
                <w:sz w:val="20"/>
                <w:szCs w:val="20"/>
              </w:rPr>
              <w:t>)</w:t>
            </w:r>
          </w:p>
        </w:tc>
        <w:tc>
          <w:tcPr>
            <w:tcW w:w="1956" w:type="dxa"/>
            <w:shd w:val="clear" w:color="auto" w:fill="E7F3F4"/>
            <w:vAlign w:val="center"/>
          </w:tcPr>
          <w:p w14:paraId="27D6A779" w14:textId="523235D0" w:rsidR="00DC12FC" w:rsidRPr="00121CDB" w:rsidRDefault="001850CB" w:rsidP="001368E7">
            <w:pPr>
              <w:spacing w:before="0" w:after="0"/>
              <w:jc w:val="center"/>
              <w:rPr>
                <w:sz w:val="20"/>
                <w:szCs w:val="20"/>
              </w:rPr>
            </w:pPr>
            <w:r w:rsidRPr="00121CDB">
              <w:rPr>
                <w:sz w:val="20"/>
                <w:szCs w:val="20"/>
              </w:rPr>
              <w:t>49,689</w:t>
            </w:r>
            <w:r w:rsidR="00F465C0" w:rsidRPr="00121CDB">
              <w:rPr>
                <w:sz w:val="20"/>
                <w:szCs w:val="20"/>
              </w:rPr>
              <w:t>,</w:t>
            </w:r>
            <w:r w:rsidRPr="00121CDB">
              <w:rPr>
                <w:sz w:val="20"/>
                <w:szCs w:val="20"/>
              </w:rPr>
              <w:t>993</w:t>
            </w:r>
            <w:r w:rsidR="00DC12FC" w:rsidRPr="00121CDB">
              <w:rPr>
                <w:sz w:val="20"/>
                <w:szCs w:val="20"/>
              </w:rPr>
              <w:t xml:space="preserve"> </w:t>
            </w:r>
            <w:r w:rsidR="00DC12FC" w:rsidRPr="00121CDB">
              <w:rPr>
                <w:sz w:val="18"/>
                <w:szCs w:val="18"/>
              </w:rPr>
              <w:t>L yr</w:t>
            </w:r>
            <w:r w:rsidR="00DC12FC" w:rsidRPr="00121CDB">
              <w:rPr>
                <w:sz w:val="18"/>
                <w:szCs w:val="18"/>
                <w:vertAlign w:val="superscript"/>
              </w:rPr>
              <w:t>-1</w:t>
            </w:r>
          </w:p>
        </w:tc>
        <w:tc>
          <w:tcPr>
            <w:tcW w:w="1939" w:type="dxa"/>
            <w:shd w:val="clear" w:color="auto" w:fill="E7F3F4"/>
            <w:vAlign w:val="center"/>
          </w:tcPr>
          <w:p w14:paraId="70E397CF" w14:textId="4A7E47A2" w:rsidR="00DC12FC" w:rsidRPr="00121CDB" w:rsidRDefault="001850CB" w:rsidP="001368E7">
            <w:pPr>
              <w:spacing w:before="0" w:after="0"/>
              <w:jc w:val="center"/>
              <w:rPr>
                <w:sz w:val="20"/>
                <w:szCs w:val="20"/>
              </w:rPr>
            </w:pPr>
            <w:r w:rsidRPr="00121CDB">
              <w:rPr>
                <w:sz w:val="20"/>
                <w:szCs w:val="20"/>
              </w:rPr>
              <w:t>5</w:t>
            </w:r>
            <w:r w:rsidR="00F465C0" w:rsidRPr="00121CDB">
              <w:rPr>
                <w:sz w:val="20"/>
                <w:szCs w:val="20"/>
              </w:rPr>
              <w:t>5,</w:t>
            </w:r>
            <w:r w:rsidRPr="00121CDB">
              <w:rPr>
                <w:sz w:val="20"/>
                <w:szCs w:val="20"/>
              </w:rPr>
              <w:t>825,149</w:t>
            </w:r>
            <w:r w:rsidR="00DC12FC" w:rsidRPr="00121CDB">
              <w:rPr>
                <w:sz w:val="20"/>
                <w:szCs w:val="20"/>
              </w:rPr>
              <w:t xml:space="preserve"> </w:t>
            </w:r>
            <w:r w:rsidR="00DC12FC" w:rsidRPr="00121CDB">
              <w:rPr>
                <w:sz w:val="18"/>
                <w:szCs w:val="18"/>
              </w:rPr>
              <w:t>L yr</w:t>
            </w:r>
            <w:r w:rsidR="00DC12FC" w:rsidRPr="00121CDB">
              <w:rPr>
                <w:sz w:val="18"/>
                <w:szCs w:val="18"/>
                <w:vertAlign w:val="superscript"/>
              </w:rPr>
              <w:t>-1</w:t>
            </w:r>
          </w:p>
        </w:tc>
      </w:tr>
      <w:tr w:rsidR="00154304" w:rsidRPr="00121CDB" w14:paraId="2FF78AFC" w14:textId="77777777" w:rsidTr="001B1446">
        <w:trPr>
          <w:trHeight w:val="284"/>
          <w:jc w:val="center"/>
        </w:trPr>
        <w:tc>
          <w:tcPr>
            <w:tcW w:w="4484" w:type="dxa"/>
            <w:tcBorders>
              <w:bottom w:val="nil"/>
            </w:tcBorders>
            <w:shd w:val="clear" w:color="auto" w:fill="E7F3F4"/>
            <w:vAlign w:val="center"/>
          </w:tcPr>
          <w:p w14:paraId="51E86510" w14:textId="60BB14E6" w:rsidR="00DC12FC" w:rsidRPr="00121CDB" w:rsidRDefault="00DC12FC" w:rsidP="00510FB9">
            <w:pPr>
              <w:tabs>
                <w:tab w:val="left" w:pos="176"/>
              </w:tabs>
              <w:spacing w:before="0" w:after="0"/>
              <w:rPr>
                <w:sz w:val="20"/>
                <w:szCs w:val="20"/>
              </w:rPr>
            </w:pPr>
            <w:r w:rsidRPr="00121CDB">
              <w:rPr>
                <w:sz w:val="20"/>
                <w:szCs w:val="20"/>
              </w:rPr>
              <w:tab/>
            </w:r>
            <w:r w:rsidR="006545B8" w:rsidRPr="00121CDB">
              <w:rPr>
                <w:sz w:val="20"/>
                <w:szCs w:val="20"/>
              </w:rPr>
              <w:t>Wet season t</w:t>
            </w:r>
            <w:r w:rsidR="00F054D3" w:rsidRPr="00121CDB">
              <w:rPr>
                <w:sz w:val="20"/>
                <w:szCs w:val="20"/>
              </w:rPr>
              <w:t>urbid water</w:t>
            </w:r>
            <w:r w:rsidR="00652150" w:rsidRPr="00121CDB">
              <w:rPr>
                <w:sz w:val="20"/>
                <w:szCs w:val="20"/>
              </w:rPr>
              <w:t xml:space="preserve"> exposure (2003</w:t>
            </w:r>
            <w:r w:rsidRPr="00121CDB">
              <w:rPr>
                <w:sz w:val="20"/>
                <w:szCs w:val="20"/>
              </w:rPr>
              <w:t>-201</w:t>
            </w:r>
            <w:r w:rsidR="00510FB9" w:rsidRPr="00121CDB">
              <w:rPr>
                <w:sz w:val="20"/>
                <w:szCs w:val="20"/>
              </w:rPr>
              <w:t>7</w:t>
            </w:r>
            <w:r w:rsidRPr="00121CDB">
              <w:rPr>
                <w:sz w:val="20"/>
                <w:szCs w:val="20"/>
              </w:rPr>
              <w:t>)</w:t>
            </w:r>
          </w:p>
        </w:tc>
        <w:tc>
          <w:tcPr>
            <w:tcW w:w="1956" w:type="dxa"/>
            <w:tcBorders>
              <w:bottom w:val="nil"/>
            </w:tcBorders>
            <w:shd w:val="clear" w:color="auto" w:fill="E7F3F4"/>
            <w:vAlign w:val="center"/>
          </w:tcPr>
          <w:p w14:paraId="5B79F4C5" w14:textId="6D60D53C" w:rsidR="00DC12FC" w:rsidRPr="00121CDB" w:rsidRDefault="006545B8" w:rsidP="001368E7">
            <w:pPr>
              <w:spacing w:before="0" w:after="0"/>
              <w:jc w:val="center"/>
              <w:rPr>
                <w:sz w:val="20"/>
                <w:szCs w:val="20"/>
              </w:rPr>
            </w:pPr>
            <w:r w:rsidRPr="00121CDB">
              <w:rPr>
                <w:sz w:val="20"/>
                <w:szCs w:val="20"/>
              </w:rPr>
              <w:t>90 per cent</w:t>
            </w:r>
          </w:p>
        </w:tc>
        <w:tc>
          <w:tcPr>
            <w:tcW w:w="1939" w:type="dxa"/>
            <w:tcBorders>
              <w:bottom w:val="nil"/>
            </w:tcBorders>
            <w:shd w:val="clear" w:color="auto" w:fill="E7F3F4"/>
            <w:vAlign w:val="center"/>
          </w:tcPr>
          <w:p w14:paraId="70B02139" w14:textId="7D572824" w:rsidR="00DC12FC" w:rsidRPr="00121CDB" w:rsidRDefault="006545B8" w:rsidP="001368E7">
            <w:pPr>
              <w:spacing w:before="0" w:after="0"/>
              <w:jc w:val="center"/>
              <w:rPr>
                <w:sz w:val="20"/>
                <w:szCs w:val="20"/>
                <w:highlight w:val="yellow"/>
              </w:rPr>
            </w:pPr>
            <w:r w:rsidRPr="00121CDB">
              <w:rPr>
                <w:sz w:val="20"/>
                <w:szCs w:val="20"/>
              </w:rPr>
              <w:t>90</w:t>
            </w:r>
            <w:r w:rsidR="0063478C" w:rsidRPr="00121CDB">
              <w:rPr>
                <w:sz w:val="20"/>
                <w:szCs w:val="20"/>
              </w:rPr>
              <w:t xml:space="preserve"> per cent</w:t>
            </w:r>
          </w:p>
        </w:tc>
      </w:tr>
      <w:tr w:rsidR="00154304" w:rsidRPr="00121CDB" w14:paraId="5145A3BF" w14:textId="77777777" w:rsidTr="001B1446">
        <w:trPr>
          <w:trHeight w:val="284"/>
          <w:jc w:val="center"/>
        </w:trPr>
        <w:tc>
          <w:tcPr>
            <w:tcW w:w="4484" w:type="dxa"/>
            <w:tcBorders>
              <w:top w:val="single" w:sz="4" w:space="0" w:color="auto"/>
            </w:tcBorders>
            <w:shd w:val="clear" w:color="auto" w:fill="F3F9FA"/>
            <w:vAlign w:val="center"/>
          </w:tcPr>
          <w:p w14:paraId="2F129AE1" w14:textId="77777777" w:rsidR="00DC12FC" w:rsidRPr="00121CDB" w:rsidRDefault="00DC12FC" w:rsidP="001368E7">
            <w:pPr>
              <w:tabs>
                <w:tab w:val="left" w:pos="176"/>
              </w:tabs>
              <w:spacing w:before="0" w:after="0"/>
              <w:rPr>
                <w:i/>
                <w:sz w:val="20"/>
                <w:szCs w:val="20"/>
              </w:rPr>
            </w:pPr>
            <w:r w:rsidRPr="00121CDB">
              <w:rPr>
                <w:i/>
                <w:sz w:val="20"/>
                <w:szCs w:val="20"/>
              </w:rPr>
              <w:t>Within seagrass canopy</w:t>
            </w:r>
          </w:p>
        </w:tc>
        <w:tc>
          <w:tcPr>
            <w:tcW w:w="1956" w:type="dxa"/>
            <w:tcBorders>
              <w:top w:val="single" w:sz="4" w:space="0" w:color="auto"/>
            </w:tcBorders>
            <w:shd w:val="clear" w:color="auto" w:fill="F3F9FA"/>
            <w:vAlign w:val="center"/>
          </w:tcPr>
          <w:p w14:paraId="77CC6454" w14:textId="77777777" w:rsidR="00DC12FC" w:rsidRPr="00121CDB" w:rsidRDefault="00DC12FC" w:rsidP="001368E7">
            <w:pPr>
              <w:spacing w:before="0" w:after="0"/>
              <w:jc w:val="center"/>
              <w:rPr>
                <w:sz w:val="20"/>
                <w:szCs w:val="20"/>
              </w:rPr>
            </w:pPr>
          </w:p>
        </w:tc>
        <w:tc>
          <w:tcPr>
            <w:tcW w:w="1939" w:type="dxa"/>
            <w:tcBorders>
              <w:top w:val="single" w:sz="4" w:space="0" w:color="auto"/>
            </w:tcBorders>
            <w:shd w:val="clear" w:color="auto" w:fill="F3F9FA"/>
            <w:vAlign w:val="center"/>
          </w:tcPr>
          <w:p w14:paraId="7731EC5D" w14:textId="77777777" w:rsidR="00DC12FC" w:rsidRPr="00121CDB" w:rsidRDefault="00DC12FC" w:rsidP="001368E7">
            <w:pPr>
              <w:spacing w:before="0" w:after="0"/>
              <w:jc w:val="center"/>
              <w:rPr>
                <w:sz w:val="20"/>
                <w:szCs w:val="20"/>
              </w:rPr>
            </w:pPr>
          </w:p>
        </w:tc>
      </w:tr>
      <w:tr w:rsidR="00154304" w:rsidRPr="00121CDB" w14:paraId="62B848EF" w14:textId="77777777" w:rsidTr="001B1446">
        <w:trPr>
          <w:trHeight w:val="284"/>
          <w:jc w:val="center"/>
        </w:trPr>
        <w:tc>
          <w:tcPr>
            <w:tcW w:w="4484" w:type="dxa"/>
            <w:shd w:val="clear" w:color="auto" w:fill="F3F9FA"/>
            <w:vAlign w:val="center"/>
          </w:tcPr>
          <w:p w14:paraId="77A7A8E1" w14:textId="6DC73A05" w:rsidR="00DC12FC" w:rsidRPr="00121CDB" w:rsidRDefault="00DC12FC" w:rsidP="00510FB9">
            <w:pPr>
              <w:tabs>
                <w:tab w:val="left" w:pos="176"/>
              </w:tabs>
              <w:spacing w:before="0" w:after="0"/>
              <w:rPr>
                <w:sz w:val="20"/>
                <w:szCs w:val="20"/>
              </w:rPr>
            </w:pPr>
            <w:r w:rsidRPr="00121CDB">
              <w:rPr>
                <w:sz w:val="20"/>
                <w:szCs w:val="20"/>
              </w:rPr>
              <w:tab/>
              <w:t xml:space="preserve">Within canopy temperature </w:t>
            </w:r>
            <w:r w:rsidR="00B7352A">
              <w:rPr>
                <w:sz w:val="20"/>
                <w:szCs w:val="20"/>
              </w:rPr>
              <w:t>(</w:t>
            </w:r>
            <w:r w:rsidR="00B7352A">
              <w:rPr>
                <w:rFonts w:cs="Calibri"/>
                <w:sz w:val="20"/>
                <w:szCs w:val="20"/>
              </w:rPr>
              <w:t>±</w:t>
            </w:r>
            <w:r w:rsidR="00B7352A">
              <w:rPr>
                <w:sz w:val="20"/>
                <w:szCs w:val="20"/>
              </w:rPr>
              <w:t xml:space="preserve">) </w:t>
            </w:r>
            <w:r w:rsidRPr="00121CDB">
              <w:rPr>
                <w:sz w:val="20"/>
                <w:szCs w:val="20"/>
              </w:rPr>
              <w:t>(2003-201</w:t>
            </w:r>
            <w:r w:rsidR="00510FB9" w:rsidRPr="00121CDB">
              <w:rPr>
                <w:sz w:val="20"/>
                <w:szCs w:val="20"/>
              </w:rPr>
              <w:t>7</w:t>
            </w:r>
            <w:r w:rsidRPr="00121CDB">
              <w:rPr>
                <w:sz w:val="20"/>
                <w:szCs w:val="20"/>
              </w:rPr>
              <w:t>)*</w:t>
            </w:r>
          </w:p>
        </w:tc>
        <w:tc>
          <w:tcPr>
            <w:tcW w:w="1956" w:type="dxa"/>
            <w:shd w:val="clear" w:color="auto" w:fill="F3F9FA"/>
            <w:vAlign w:val="center"/>
          </w:tcPr>
          <w:p w14:paraId="7606BF6A" w14:textId="69E3FD31" w:rsidR="00DC12FC" w:rsidRPr="00121CDB" w:rsidRDefault="007D4319" w:rsidP="007D4319">
            <w:pPr>
              <w:spacing w:before="0" w:after="0"/>
              <w:jc w:val="center"/>
              <w:rPr>
                <w:sz w:val="20"/>
                <w:szCs w:val="20"/>
              </w:rPr>
            </w:pPr>
            <w:r>
              <w:rPr>
                <w:sz w:val="20"/>
                <w:szCs w:val="20"/>
              </w:rPr>
              <w:t>25.8</w:t>
            </w:r>
            <w:r w:rsidRPr="00D03D52">
              <w:rPr>
                <w:sz w:val="20"/>
                <w:szCs w:val="20"/>
              </w:rPr>
              <w:t xml:space="preserve"> ±</w:t>
            </w:r>
            <w:r>
              <w:rPr>
                <w:sz w:val="20"/>
                <w:szCs w:val="20"/>
              </w:rPr>
              <w:t>0.1</w:t>
            </w:r>
            <w:r>
              <w:rPr>
                <w:rFonts w:cs="Calibri"/>
                <w:sz w:val="20"/>
                <w:szCs w:val="20"/>
              </w:rPr>
              <w:t>°</w:t>
            </w:r>
            <w:r>
              <w:rPr>
                <w:sz w:val="20"/>
                <w:szCs w:val="20"/>
              </w:rPr>
              <w:t>C (46.6</w:t>
            </w:r>
            <w:r>
              <w:rPr>
                <w:rFonts w:cs="Calibri"/>
                <w:sz w:val="20"/>
                <w:szCs w:val="20"/>
              </w:rPr>
              <w:t>°</w:t>
            </w:r>
            <w:r>
              <w:rPr>
                <w:sz w:val="20"/>
                <w:szCs w:val="20"/>
              </w:rPr>
              <w:t>C)</w:t>
            </w:r>
          </w:p>
        </w:tc>
        <w:tc>
          <w:tcPr>
            <w:tcW w:w="1939" w:type="dxa"/>
            <w:shd w:val="clear" w:color="auto" w:fill="F3F9FA"/>
            <w:vAlign w:val="center"/>
          </w:tcPr>
          <w:p w14:paraId="7BEA3320" w14:textId="676A1957" w:rsidR="00DC12FC" w:rsidRPr="00121CDB" w:rsidRDefault="007D4319" w:rsidP="00701C6A">
            <w:pPr>
              <w:spacing w:before="0" w:after="0"/>
              <w:jc w:val="center"/>
              <w:rPr>
                <w:sz w:val="20"/>
                <w:szCs w:val="20"/>
              </w:rPr>
            </w:pPr>
            <w:r>
              <w:rPr>
                <w:sz w:val="20"/>
                <w:szCs w:val="20"/>
              </w:rPr>
              <w:t>26.3</w:t>
            </w:r>
            <w:r w:rsidRPr="00D03D52">
              <w:rPr>
                <w:sz w:val="20"/>
                <w:szCs w:val="20"/>
              </w:rPr>
              <w:t xml:space="preserve"> ±</w:t>
            </w:r>
            <w:r>
              <w:rPr>
                <w:sz w:val="20"/>
                <w:szCs w:val="20"/>
              </w:rPr>
              <w:t>0.1</w:t>
            </w:r>
            <w:r>
              <w:rPr>
                <w:rFonts w:cs="Calibri"/>
                <w:sz w:val="20"/>
                <w:szCs w:val="20"/>
              </w:rPr>
              <w:t>°</w:t>
            </w:r>
            <w:r>
              <w:rPr>
                <w:sz w:val="20"/>
                <w:szCs w:val="20"/>
              </w:rPr>
              <w:t>C (43.5</w:t>
            </w:r>
            <w:r>
              <w:rPr>
                <w:rFonts w:cs="Calibri"/>
                <w:sz w:val="20"/>
                <w:szCs w:val="20"/>
              </w:rPr>
              <w:t>°</w:t>
            </w:r>
            <w:r>
              <w:rPr>
                <w:sz w:val="20"/>
                <w:szCs w:val="20"/>
              </w:rPr>
              <w:t>C)</w:t>
            </w:r>
          </w:p>
        </w:tc>
      </w:tr>
      <w:tr w:rsidR="00154304" w:rsidRPr="00121CDB" w14:paraId="1F007D46" w14:textId="77777777" w:rsidTr="001B1446">
        <w:trPr>
          <w:trHeight w:val="284"/>
          <w:jc w:val="center"/>
        </w:trPr>
        <w:tc>
          <w:tcPr>
            <w:tcW w:w="4484" w:type="dxa"/>
            <w:shd w:val="clear" w:color="auto" w:fill="F3F9FA"/>
            <w:vAlign w:val="center"/>
          </w:tcPr>
          <w:p w14:paraId="52D2F1D5" w14:textId="419AEB92" w:rsidR="00DC12FC" w:rsidRPr="00121CDB" w:rsidRDefault="00DC12FC" w:rsidP="00510FB9">
            <w:pPr>
              <w:tabs>
                <w:tab w:val="left" w:pos="176"/>
              </w:tabs>
              <w:spacing w:before="0" w:after="0"/>
              <w:rPr>
                <w:sz w:val="20"/>
                <w:szCs w:val="20"/>
              </w:rPr>
            </w:pPr>
            <w:r w:rsidRPr="00121CDB">
              <w:rPr>
                <w:sz w:val="20"/>
                <w:szCs w:val="20"/>
              </w:rPr>
              <w:tab/>
              <w:t>Within canopy light</w:t>
            </w:r>
            <w:r w:rsidR="00B7352A">
              <w:rPr>
                <w:sz w:val="20"/>
                <w:szCs w:val="20"/>
              </w:rPr>
              <w:t xml:space="preserve"> (</w:t>
            </w:r>
            <w:r w:rsidR="00B7352A">
              <w:rPr>
                <w:rFonts w:cs="Calibri"/>
                <w:sz w:val="20"/>
                <w:szCs w:val="20"/>
              </w:rPr>
              <w:t>±</w:t>
            </w:r>
            <w:r w:rsidR="00B7352A">
              <w:rPr>
                <w:sz w:val="20"/>
                <w:szCs w:val="20"/>
              </w:rPr>
              <w:t>)</w:t>
            </w:r>
            <w:r w:rsidRPr="00121CDB">
              <w:rPr>
                <w:sz w:val="20"/>
                <w:szCs w:val="20"/>
              </w:rPr>
              <w:t xml:space="preserve"> (2008-201</w:t>
            </w:r>
            <w:r w:rsidR="00510FB9" w:rsidRPr="00121CDB">
              <w:rPr>
                <w:sz w:val="20"/>
                <w:szCs w:val="20"/>
              </w:rPr>
              <w:t>7</w:t>
            </w:r>
            <w:r w:rsidRPr="00121CDB">
              <w:rPr>
                <w:sz w:val="20"/>
                <w:szCs w:val="20"/>
              </w:rPr>
              <w:t>)</w:t>
            </w:r>
          </w:p>
        </w:tc>
        <w:tc>
          <w:tcPr>
            <w:tcW w:w="1956" w:type="dxa"/>
            <w:shd w:val="clear" w:color="auto" w:fill="F3F9FA"/>
            <w:vAlign w:val="center"/>
          </w:tcPr>
          <w:p w14:paraId="01945FA2" w14:textId="34C7D7A4" w:rsidR="00DC12FC" w:rsidRPr="00121CDB" w:rsidRDefault="00147645" w:rsidP="001368E7">
            <w:pPr>
              <w:spacing w:before="0" w:after="0"/>
              <w:jc w:val="center"/>
              <w:rPr>
                <w:sz w:val="20"/>
                <w:szCs w:val="20"/>
              </w:rPr>
            </w:pPr>
            <w:r w:rsidRPr="00121CDB">
              <w:rPr>
                <w:sz w:val="20"/>
                <w:szCs w:val="20"/>
              </w:rPr>
              <w:t>12.7</w:t>
            </w:r>
            <w:r w:rsidR="00DC12FC" w:rsidRPr="00121CDB">
              <w:rPr>
                <w:sz w:val="20"/>
                <w:szCs w:val="20"/>
              </w:rPr>
              <w:t xml:space="preserve"> mol m</w:t>
            </w:r>
            <w:r w:rsidR="00DC12FC" w:rsidRPr="00121CDB">
              <w:rPr>
                <w:sz w:val="20"/>
                <w:szCs w:val="20"/>
                <w:vertAlign w:val="superscript"/>
              </w:rPr>
              <w:t>-2</w:t>
            </w:r>
            <w:r w:rsidR="00DC12FC" w:rsidRPr="00121CDB">
              <w:rPr>
                <w:sz w:val="20"/>
                <w:szCs w:val="20"/>
              </w:rPr>
              <w:t xml:space="preserve"> d</w:t>
            </w:r>
            <w:r w:rsidR="00DC12FC" w:rsidRPr="00121CDB">
              <w:rPr>
                <w:sz w:val="20"/>
                <w:szCs w:val="20"/>
                <w:vertAlign w:val="superscript"/>
              </w:rPr>
              <w:t>-1</w:t>
            </w:r>
          </w:p>
        </w:tc>
        <w:tc>
          <w:tcPr>
            <w:tcW w:w="1939" w:type="dxa"/>
            <w:shd w:val="clear" w:color="auto" w:fill="F3F9FA"/>
            <w:vAlign w:val="center"/>
          </w:tcPr>
          <w:p w14:paraId="342588DE" w14:textId="6838D18B" w:rsidR="00DC12FC" w:rsidRPr="00121CDB" w:rsidRDefault="00147645" w:rsidP="001368E7">
            <w:pPr>
              <w:spacing w:before="0" w:after="0"/>
              <w:jc w:val="center"/>
              <w:rPr>
                <w:sz w:val="20"/>
                <w:szCs w:val="20"/>
              </w:rPr>
            </w:pPr>
            <w:r w:rsidRPr="00121CDB">
              <w:rPr>
                <w:sz w:val="20"/>
                <w:szCs w:val="20"/>
              </w:rPr>
              <w:t>11.9</w:t>
            </w:r>
            <w:r w:rsidR="00DC12FC" w:rsidRPr="00121CDB">
              <w:rPr>
                <w:sz w:val="20"/>
                <w:szCs w:val="20"/>
              </w:rPr>
              <w:t xml:space="preserve"> mol m</w:t>
            </w:r>
            <w:r w:rsidR="00DC12FC" w:rsidRPr="00121CDB">
              <w:rPr>
                <w:sz w:val="20"/>
                <w:szCs w:val="20"/>
                <w:vertAlign w:val="superscript"/>
              </w:rPr>
              <w:t>-2</w:t>
            </w:r>
            <w:r w:rsidR="00DC12FC" w:rsidRPr="00121CDB">
              <w:rPr>
                <w:sz w:val="20"/>
                <w:szCs w:val="20"/>
              </w:rPr>
              <w:t xml:space="preserve"> d</w:t>
            </w:r>
            <w:r w:rsidR="00DC12FC" w:rsidRPr="00121CDB">
              <w:rPr>
                <w:sz w:val="20"/>
                <w:szCs w:val="20"/>
                <w:vertAlign w:val="superscript"/>
              </w:rPr>
              <w:t>-1</w:t>
            </w:r>
          </w:p>
        </w:tc>
      </w:tr>
      <w:tr w:rsidR="0073531E" w:rsidRPr="00121CDB" w14:paraId="6F27BC44" w14:textId="77777777" w:rsidTr="001B1446">
        <w:trPr>
          <w:trHeight w:val="284"/>
          <w:jc w:val="center"/>
        </w:trPr>
        <w:tc>
          <w:tcPr>
            <w:tcW w:w="4484" w:type="dxa"/>
            <w:shd w:val="clear" w:color="auto" w:fill="F3F9FA"/>
            <w:vAlign w:val="center"/>
          </w:tcPr>
          <w:p w14:paraId="70D2B67D" w14:textId="4B91EB57" w:rsidR="000B53BD" w:rsidRPr="00121CDB" w:rsidRDefault="000B53BD" w:rsidP="00E756E6">
            <w:pPr>
              <w:tabs>
                <w:tab w:val="left" w:pos="176"/>
                <w:tab w:val="left" w:pos="1714"/>
              </w:tabs>
              <w:spacing w:before="0" w:after="0"/>
              <w:rPr>
                <w:sz w:val="20"/>
                <w:szCs w:val="20"/>
              </w:rPr>
            </w:pPr>
            <w:r w:rsidRPr="00121CDB">
              <w:rPr>
                <w:sz w:val="20"/>
                <w:szCs w:val="20"/>
              </w:rPr>
              <w:tab/>
              <w:t xml:space="preserve">Proportion mud </w:t>
            </w:r>
            <w:r w:rsidR="00E756E6" w:rsidRPr="00121CDB">
              <w:rPr>
                <w:sz w:val="20"/>
                <w:szCs w:val="20"/>
              </w:rPr>
              <w:tab/>
            </w:r>
            <w:r w:rsidR="00E756E6" w:rsidRPr="00121CDB">
              <w:rPr>
                <w:i/>
                <w:sz w:val="20"/>
                <w:szCs w:val="20"/>
              </w:rPr>
              <w:t>estuary intertidal</w:t>
            </w:r>
            <w:r w:rsidR="00E756E6" w:rsidRPr="00121CDB">
              <w:rPr>
                <w:sz w:val="20"/>
                <w:szCs w:val="20"/>
              </w:rPr>
              <w:t xml:space="preserve"> </w:t>
            </w:r>
            <w:r w:rsidRPr="00121CDB">
              <w:rPr>
                <w:sz w:val="20"/>
                <w:szCs w:val="20"/>
              </w:rPr>
              <w:t>(1999-201</w:t>
            </w:r>
            <w:r w:rsidR="00510FB9" w:rsidRPr="00121CDB">
              <w:rPr>
                <w:sz w:val="20"/>
                <w:szCs w:val="20"/>
              </w:rPr>
              <w:t>7</w:t>
            </w:r>
            <w:r w:rsidRPr="00121CDB">
              <w:rPr>
                <w:sz w:val="20"/>
                <w:szCs w:val="20"/>
              </w:rPr>
              <w:t>)</w:t>
            </w:r>
          </w:p>
          <w:p w14:paraId="5EAFC99D" w14:textId="19798145" w:rsidR="00E756E6" w:rsidRDefault="00E756E6" w:rsidP="00E756E6">
            <w:pPr>
              <w:tabs>
                <w:tab w:val="left" w:pos="176"/>
                <w:tab w:val="left" w:pos="1714"/>
              </w:tabs>
              <w:spacing w:before="0" w:after="0"/>
              <w:rPr>
                <w:sz w:val="20"/>
                <w:szCs w:val="20"/>
              </w:rPr>
            </w:pPr>
            <w:r w:rsidRPr="00121CDB">
              <w:rPr>
                <w:sz w:val="20"/>
                <w:szCs w:val="20"/>
              </w:rPr>
              <w:tab/>
            </w:r>
            <w:r w:rsidRPr="00121CDB">
              <w:rPr>
                <w:sz w:val="20"/>
                <w:szCs w:val="20"/>
              </w:rPr>
              <w:tab/>
            </w:r>
            <w:r w:rsidRPr="00121CDB">
              <w:rPr>
                <w:i/>
                <w:sz w:val="20"/>
                <w:szCs w:val="20"/>
              </w:rPr>
              <w:t>coast intertidal</w:t>
            </w:r>
            <w:r w:rsidRPr="00121CDB">
              <w:rPr>
                <w:sz w:val="20"/>
                <w:szCs w:val="20"/>
              </w:rPr>
              <w:t xml:space="preserve"> (1999-201</w:t>
            </w:r>
            <w:r w:rsidR="00510FB9" w:rsidRPr="00121CDB">
              <w:rPr>
                <w:sz w:val="20"/>
                <w:szCs w:val="20"/>
              </w:rPr>
              <w:t>7</w:t>
            </w:r>
            <w:r w:rsidRPr="00121CDB">
              <w:rPr>
                <w:sz w:val="20"/>
                <w:szCs w:val="20"/>
              </w:rPr>
              <w:t>)</w:t>
            </w:r>
          </w:p>
          <w:p w14:paraId="65610117" w14:textId="72F0E92D" w:rsidR="00D03D52" w:rsidRPr="00121CDB" w:rsidRDefault="00D03D52" w:rsidP="00E756E6">
            <w:pPr>
              <w:tabs>
                <w:tab w:val="left" w:pos="176"/>
                <w:tab w:val="left" w:pos="1714"/>
              </w:tabs>
              <w:spacing w:before="0" w:after="0"/>
              <w:rPr>
                <w:sz w:val="20"/>
                <w:szCs w:val="20"/>
              </w:rPr>
            </w:pPr>
            <w:r w:rsidRPr="00121CDB">
              <w:rPr>
                <w:sz w:val="20"/>
                <w:szCs w:val="20"/>
              </w:rPr>
              <w:tab/>
            </w:r>
            <w:r w:rsidRPr="00121CDB">
              <w:rPr>
                <w:sz w:val="20"/>
                <w:szCs w:val="20"/>
              </w:rPr>
              <w:tab/>
            </w:r>
            <w:r w:rsidRPr="00121CDB">
              <w:rPr>
                <w:i/>
                <w:sz w:val="20"/>
                <w:szCs w:val="20"/>
              </w:rPr>
              <w:t xml:space="preserve">coast </w:t>
            </w:r>
            <w:r>
              <w:rPr>
                <w:i/>
                <w:sz w:val="20"/>
                <w:szCs w:val="20"/>
              </w:rPr>
              <w:t>sub</w:t>
            </w:r>
            <w:r w:rsidRPr="00121CDB">
              <w:rPr>
                <w:i/>
                <w:sz w:val="20"/>
                <w:szCs w:val="20"/>
              </w:rPr>
              <w:t>tidal</w:t>
            </w:r>
            <w:r w:rsidRPr="00121CDB">
              <w:rPr>
                <w:sz w:val="20"/>
                <w:szCs w:val="20"/>
              </w:rPr>
              <w:t xml:space="preserve"> (</w:t>
            </w:r>
            <w:r>
              <w:rPr>
                <w:sz w:val="20"/>
                <w:szCs w:val="20"/>
              </w:rPr>
              <w:t>2015</w:t>
            </w:r>
            <w:r w:rsidRPr="00121CDB">
              <w:rPr>
                <w:sz w:val="20"/>
                <w:szCs w:val="20"/>
              </w:rPr>
              <w:t>-2017)</w:t>
            </w:r>
          </w:p>
          <w:p w14:paraId="18D6795C" w14:textId="27963016" w:rsidR="00E756E6" w:rsidRPr="00121CDB" w:rsidRDefault="00E756E6" w:rsidP="00E756E6">
            <w:pPr>
              <w:tabs>
                <w:tab w:val="left" w:pos="176"/>
                <w:tab w:val="left" w:pos="1714"/>
              </w:tabs>
              <w:spacing w:before="0" w:after="0"/>
              <w:rPr>
                <w:sz w:val="20"/>
                <w:szCs w:val="20"/>
              </w:rPr>
            </w:pPr>
            <w:r w:rsidRPr="00121CDB">
              <w:rPr>
                <w:sz w:val="20"/>
                <w:szCs w:val="20"/>
              </w:rPr>
              <w:tab/>
            </w:r>
            <w:r w:rsidRPr="00121CDB">
              <w:rPr>
                <w:sz w:val="20"/>
                <w:szCs w:val="20"/>
              </w:rPr>
              <w:tab/>
            </w:r>
            <w:r w:rsidRPr="00121CDB">
              <w:rPr>
                <w:i/>
                <w:sz w:val="20"/>
                <w:szCs w:val="20"/>
              </w:rPr>
              <w:t>reef intertidal</w:t>
            </w:r>
            <w:r w:rsidRPr="00121CDB">
              <w:rPr>
                <w:sz w:val="20"/>
                <w:szCs w:val="20"/>
              </w:rPr>
              <w:t xml:space="preserve"> (2001-201</w:t>
            </w:r>
            <w:r w:rsidR="00510FB9" w:rsidRPr="00121CDB">
              <w:rPr>
                <w:sz w:val="20"/>
                <w:szCs w:val="20"/>
              </w:rPr>
              <w:t>7</w:t>
            </w:r>
            <w:r w:rsidRPr="00121CDB">
              <w:rPr>
                <w:sz w:val="20"/>
                <w:szCs w:val="20"/>
              </w:rPr>
              <w:t>)</w:t>
            </w:r>
          </w:p>
          <w:p w14:paraId="76FA726B" w14:textId="19BBF6E2" w:rsidR="00E756E6" w:rsidRPr="00121CDB" w:rsidRDefault="00E756E6" w:rsidP="00510FB9">
            <w:pPr>
              <w:tabs>
                <w:tab w:val="left" w:pos="176"/>
                <w:tab w:val="left" w:pos="1714"/>
              </w:tabs>
              <w:spacing w:before="0" w:after="0"/>
              <w:rPr>
                <w:sz w:val="20"/>
                <w:szCs w:val="20"/>
              </w:rPr>
            </w:pPr>
            <w:r w:rsidRPr="00121CDB">
              <w:rPr>
                <w:sz w:val="20"/>
                <w:szCs w:val="20"/>
              </w:rPr>
              <w:tab/>
            </w:r>
            <w:r w:rsidRPr="00121CDB">
              <w:rPr>
                <w:sz w:val="20"/>
                <w:szCs w:val="20"/>
              </w:rPr>
              <w:tab/>
            </w:r>
            <w:r w:rsidRPr="00121CDB">
              <w:rPr>
                <w:i/>
                <w:sz w:val="20"/>
                <w:szCs w:val="20"/>
              </w:rPr>
              <w:t>reef subtidal</w:t>
            </w:r>
            <w:r w:rsidRPr="00121CDB">
              <w:rPr>
                <w:sz w:val="20"/>
                <w:szCs w:val="20"/>
              </w:rPr>
              <w:t xml:space="preserve"> (2008-201</w:t>
            </w:r>
            <w:r w:rsidR="00510FB9" w:rsidRPr="00121CDB">
              <w:rPr>
                <w:sz w:val="20"/>
                <w:szCs w:val="20"/>
              </w:rPr>
              <w:t>7</w:t>
            </w:r>
            <w:r w:rsidRPr="00121CDB">
              <w:rPr>
                <w:sz w:val="20"/>
                <w:szCs w:val="20"/>
              </w:rPr>
              <w:t>)</w:t>
            </w:r>
          </w:p>
        </w:tc>
        <w:tc>
          <w:tcPr>
            <w:tcW w:w="1956" w:type="dxa"/>
            <w:shd w:val="clear" w:color="auto" w:fill="F3F9FA"/>
            <w:vAlign w:val="center"/>
          </w:tcPr>
          <w:p w14:paraId="43018E5E" w14:textId="67B91EDB" w:rsidR="00D03D52" w:rsidRPr="00D03D52" w:rsidRDefault="00D03D52" w:rsidP="00D03D52">
            <w:pPr>
              <w:spacing w:before="0" w:after="0"/>
              <w:jc w:val="center"/>
              <w:rPr>
                <w:sz w:val="20"/>
                <w:szCs w:val="20"/>
              </w:rPr>
            </w:pPr>
            <w:r w:rsidRPr="00D03D52">
              <w:rPr>
                <w:sz w:val="20"/>
                <w:szCs w:val="20"/>
              </w:rPr>
              <w:t>49.2 ±2.1</w:t>
            </w:r>
            <w:r>
              <w:rPr>
                <w:sz w:val="20"/>
                <w:szCs w:val="20"/>
              </w:rPr>
              <w:t>%</w:t>
            </w:r>
          </w:p>
          <w:p w14:paraId="2DBF7355" w14:textId="282A5263" w:rsidR="00D03D52" w:rsidRPr="00D03D52" w:rsidRDefault="00D03D52" w:rsidP="00D03D52">
            <w:pPr>
              <w:spacing w:before="0" w:after="0"/>
              <w:jc w:val="center"/>
              <w:rPr>
                <w:sz w:val="20"/>
                <w:szCs w:val="20"/>
              </w:rPr>
            </w:pPr>
            <w:r w:rsidRPr="00D03D52">
              <w:rPr>
                <w:sz w:val="20"/>
                <w:szCs w:val="20"/>
              </w:rPr>
              <w:t>28.5 ±2.1</w:t>
            </w:r>
            <w:r>
              <w:rPr>
                <w:sz w:val="20"/>
                <w:szCs w:val="20"/>
              </w:rPr>
              <w:t>%</w:t>
            </w:r>
          </w:p>
          <w:p w14:paraId="24B84CC9" w14:textId="4355E7A4" w:rsidR="00D03D52" w:rsidRPr="00D03D52" w:rsidRDefault="00D03D52" w:rsidP="00D03D52">
            <w:pPr>
              <w:spacing w:before="0" w:after="0"/>
              <w:jc w:val="center"/>
              <w:rPr>
                <w:sz w:val="20"/>
                <w:szCs w:val="20"/>
              </w:rPr>
            </w:pPr>
            <w:r w:rsidRPr="00D03D52">
              <w:rPr>
                <w:sz w:val="20"/>
                <w:szCs w:val="20"/>
              </w:rPr>
              <w:t>51.2 ±2.3</w:t>
            </w:r>
            <w:r>
              <w:rPr>
                <w:sz w:val="20"/>
                <w:szCs w:val="20"/>
              </w:rPr>
              <w:t>%</w:t>
            </w:r>
          </w:p>
          <w:p w14:paraId="4D668ABE" w14:textId="587C6630" w:rsidR="00D03D52" w:rsidRPr="00D03D52" w:rsidRDefault="00D03D52" w:rsidP="00D03D52">
            <w:pPr>
              <w:spacing w:before="0" w:after="0"/>
              <w:jc w:val="center"/>
              <w:rPr>
                <w:sz w:val="20"/>
                <w:szCs w:val="20"/>
              </w:rPr>
            </w:pPr>
            <w:r w:rsidRPr="00D03D52">
              <w:rPr>
                <w:sz w:val="20"/>
                <w:szCs w:val="20"/>
              </w:rPr>
              <w:t>5.2 ±1.2</w:t>
            </w:r>
            <w:r>
              <w:rPr>
                <w:sz w:val="20"/>
                <w:szCs w:val="20"/>
              </w:rPr>
              <w:t>%</w:t>
            </w:r>
          </w:p>
          <w:p w14:paraId="630B2E72" w14:textId="09B88E60" w:rsidR="000B53BD" w:rsidRPr="00121CDB" w:rsidRDefault="00D03D52" w:rsidP="00D03D52">
            <w:pPr>
              <w:spacing w:before="0" w:after="0"/>
              <w:jc w:val="center"/>
              <w:rPr>
                <w:sz w:val="20"/>
                <w:szCs w:val="20"/>
              </w:rPr>
            </w:pPr>
            <w:r w:rsidRPr="00D03D52">
              <w:rPr>
                <w:sz w:val="20"/>
                <w:szCs w:val="20"/>
              </w:rPr>
              <w:t>6.0 ±0.4</w:t>
            </w:r>
            <w:r>
              <w:rPr>
                <w:sz w:val="20"/>
                <w:szCs w:val="20"/>
              </w:rPr>
              <w:t>%</w:t>
            </w:r>
          </w:p>
        </w:tc>
        <w:tc>
          <w:tcPr>
            <w:tcW w:w="1939" w:type="dxa"/>
            <w:shd w:val="clear" w:color="auto" w:fill="F3F9FA"/>
            <w:vAlign w:val="center"/>
          </w:tcPr>
          <w:p w14:paraId="705182C1" w14:textId="64EB3069" w:rsidR="00D03D52" w:rsidRPr="00D03D52" w:rsidRDefault="00D03D52" w:rsidP="00D03D52">
            <w:pPr>
              <w:spacing w:before="0" w:after="0"/>
              <w:jc w:val="center"/>
              <w:rPr>
                <w:sz w:val="20"/>
                <w:szCs w:val="20"/>
              </w:rPr>
            </w:pPr>
            <w:r w:rsidRPr="00D03D52">
              <w:rPr>
                <w:sz w:val="20"/>
                <w:szCs w:val="20"/>
              </w:rPr>
              <w:t>50.1 ±12.4</w:t>
            </w:r>
            <w:r>
              <w:rPr>
                <w:sz w:val="20"/>
                <w:szCs w:val="20"/>
              </w:rPr>
              <w:t>%</w:t>
            </w:r>
          </w:p>
          <w:p w14:paraId="021209FF" w14:textId="5FAFD0CD" w:rsidR="00D03D52" w:rsidRPr="00D03D52" w:rsidRDefault="00D03D52" w:rsidP="00D03D52">
            <w:pPr>
              <w:spacing w:before="0" w:after="0"/>
              <w:jc w:val="center"/>
              <w:rPr>
                <w:sz w:val="20"/>
                <w:szCs w:val="20"/>
              </w:rPr>
            </w:pPr>
            <w:r w:rsidRPr="00D03D52">
              <w:rPr>
                <w:sz w:val="20"/>
                <w:szCs w:val="20"/>
              </w:rPr>
              <w:t>16.9 ±21.3</w:t>
            </w:r>
            <w:r>
              <w:rPr>
                <w:sz w:val="20"/>
                <w:szCs w:val="20"/>
              </w:rPr>
              <w:t>%</w:t>
            </w:r>
          </w:p>
          <w:p w14:paraId="09163410" w14:textId="2706103E" w:rsidR="00D03D52" w:rsidRPr="00D03D52" w:rsidRDefault="00D03D52" w:rsidP="00D03D52">
            <w:pPr>
              <w:spacing w:before="0" w:after="0"/>
              <w:jc w:val="center"/>
              <w:rPr>
                <w:sz w:val="20"/>
                <w:szCs w:val="20"/>
              </w:rPr>
            </w:pPr>
            <w:r w:rsidRPr="00D03D52">
              <w:rPr>
                <w:sz w:val="20"/>
                <w:szCs w:val="20"/>
              </w:rPr>
              <w:t>61.7</w:t>
            </w:r>
            <w:r>
              <w:rPr>
                <w:sz w:val="20"/>
                <w:szCs w:val="20"/>
              </w:rPr>
              <w:t>%</w:t>
            </w:r>
          </w:p>
          <w:p w14:paraId="33D7F4AD" w14:textId="16F123D2" w:rsidR="00D03D52" w:rsidRPr="00D03D52" w:rsidRDefault="00D03D52" w:rsidP="00D03D52">
            <w:pPr>
              <w:spacing w:before="0" w:after="0"/>
              <w:jc w:val="center"/>
              <w:rPr>
                <w:sz w:val="20"/>
                <w:szCs w:val="20"/>
              </w:rPr>
            </w:pPr>
            <w:r w:rsidRPr="00D03D52">
              <w:rPr>
                <w:sz w:val="20"/>
                <w:szCs w:val="20"/>
              </w:rPr>
              <w:t>5.8 ±6.6</w:t>
            </w:r>
            <w:r>
              <w:rPr>
                <w:sz w:val="20"/>
                <w:szCs w:val="20"/>
              </w:rPr>
              <w:t>%</w:t>
            </w:r>
          </w:p>
          <w:p w14:paraId="6C896D01" w14:textId="5DD6041D" w:rsidR="000B53BD" w:rsidRPr="00121CDB" w:rsidRDefault="00D03D52" w:rsidP="00D03D52">
            <w:pPr>
              <w:spacing w:before="0" w:after="0"/>
              <w:jc w:val="center"/>
              <w:rPr>
                <w:sz w:val="20"/>
                <w:szCs w:val="20"/>
                <w:highlight w:val="yellow"/>
              </w:rPr>
            </w:pPr>
            <w:r w:rsidRPr="00D03D52">
              <w:rPr>
                <w:sz w:val="20"/>
                <w:szCs w:val="20"/>
              </w:rPr>
              <w:t>12.9 ±1.2</w:t>
            </w:r>
            <w:r>
              <w:rPr>
                <w:sz w:val="20"/>
                <w:szCs w:val="20"/>
              </w:rPr>
              <w:t>%</w:t>
            </w:r>
          </w:p>
        </w:tc>
      </w:tr>
    </w:tbl>
    <w:p w14:paraId="7E68C0EE" w14:textId="6B7DD3BA" w:rsidR="00DC12FC" w:rsidRPr="00121CDB" w:rsidRDefault="00E7241D" w:rsidP="00F157C3">
      <w:pPr>
        <w:rPr>
          <w:rFonts w:cs="TimesNewRoman"/>
          <w:szCs w:val="22"/>
          <w:lang w:val="en-US"/>
        </w:rPr>
      </w:pPr>
      <w:r>
        <w:rPr>
          <w:rFonts w:cs="TimesNewRoman"/>
          <w:color w:val="000000" w:themeColor="text1"/>
          <w:szCs w:val="22"/>
          <w:lang w:val="en-US"/>
        </w:rPr>
        <w:t xml:space="preserve">Water quality at the seagrass </w:t>
      </w:r>
      <w:r w:rsidR="004C35DF">
        <w:rPr>
          <w:rFonts w:cs="TimesNewRoman"/>
          <w:color w:val="000000" w:themeColor="text1"/>
          <w:szCs w:val="22"/>
          <w:lang w:val="en-US"/>
        </w:rPr>
        <w:t xml:space="preserve">monitoring </w:t>
      </w:r>
      <w:r>
        <w:rPr>
          <w:rFonts w:cs="TimesNewRoman"/>
          <w:color w:val="000000" w:themeColor="text1"/>
          <w:szCs w:val="22"/>
          <w:lang w:val="en-US"/>
        </w:rPr>
        <w:t xml:space="preserve">sites is assessed from water type exposure (turbid primary water and green secondary water) derived from remote sensing </w:t>
      </w:r>
      <w:r w:rsidR="000B7516" w:rsidRPr="0050419F">
        <w:rPr>
          <w:color w:val="000000" w:themeColor="text1"/>
          <w:szCs w:val="22"/>
        </w:rPr>
        <w:t>(</w:t>
      </w:r>
      <w:hyperlink w:anchor="_ENREF_233" w:tooltip="Waterhouse, 2018 #11521" w:history="1">
        <w:r w:rsidR="00305FE7">
          <w:rPr>
            <w:color w:val="000000" w:themeColor="text1"/>
            <w:szCs w:val="22"/>
          </w:rPr>
          <w:fldChar w:fldCharType="begin"/>
        </w:r>
        <w:r w:rsidR="00305FE7">
          <w:rPr>
            <w:color w:val="000000" w:themeColor="text1"/>
            <w:szCs w:val="22"/>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color w:val="000000" w:themeColor="text1"/>
            <w:szCs w:val="22"/>
          </w:rPr>
          <w:fldChar w:fldCharType="separate"/>
        </w:r>
        <w:r w:rsidR="00305FE7">
          <w:rPr>
            <w:noProof/>
            <w:color w:val="000000" w:themeColor="text1"/>
            <w:szCs w:val="22"/>
          </w:rPr>
          <w:t>Waterhouse</w:t>
        </w:r>
        <w:r w:rsidR="00305FE7" w:rsidRPr="00305FE7">
          <w:rPr>
            <w:i/>
            <w:noProof/>
            <w:color w:val="000000" w:themeColor="text1"/>
            <w:szCs w:val="22"/>
          </w:rPr>
          <w:t xml:space="preserve"> et al.</w:t>
        </w:r>
        <w:r w:rsidR="00305FE7">
          <w:rPr>
            <w:noProof/>
            <w:color w:val="000000" w:themeColor="text1"/>
            <w:szCs w:val="22"/>
          </w:rPr>
          <w:t xml:space="preserve"> 2018</w:t>
        </w:r>
        <w:r w:rsidR="00305FE7">
          <w:rPr>
            <w:color w:val="000000" w:themeColor="text1"/>
            <w:szCs w:val="22"/>
          </w:rPr>
          <w:fldChar w:fldCharType="end"/>
        </w:r>
      </w:hyperlink>
      <w:r>
        <w:rPr>
          <w:rFonts w:cs="TimesNewRoman"/>
          <w:color w:val="000000" w:themeColor="text1"/>
          <w:szCs w:val="22"/>
          <w:lang w:val="en-US"/>
        </w:rPr>
        <w:t xml:space="preserve">). </w:t>
      </w:r>
      <w:r w:rsidR="00FF6E3C">
        <w:rPr>
          <w:rFonts w:cs="TimesNewRoman"/>
          <w:color w:val="000000" w:themeColor="text1"/>
          <w:szCs w:val="22"/>
          <w:lang w:val="en-US"/>
        </w:rPr>
        <w:t xml:space="preserve">During </w:t>
      </w:r>
      <w:r w:rsidR="008574EC">
        <w:rPr>
          <w:rFonts w:cs="TimesNewRoman"/>
          <w:color w:val="000000" w:themeColor="text1"/>
          <w:szCs w:val="22"/>
          <w:lang w:val="en-US"/>
        </w:rPr>
        <w:t>2016–17</w:t>
      </w:r>
      <w:r w:rsidR="00DE2AFA">
        <w:rPr>
          <w:rFonts w:cs="TimesNewRoman"/>
          <w:color w:val="000000" w:themeColor="text1"/>
          <w:szCs w:val="22"/>
          <w:lang w:val="en-US"/>
        </w:rPr>
        <w:t xml:space="preserve">, </w:t>
      </w:r>
      <w:r w:rsidR="009942CE" w:rsidRPr="00912120">
        <w:rPr>
          <w:rFonts w:cs="TimesNewRoman"/>
          <w:color w:val="000000" w:themeColor="text1"/>
          <w:szCs w:val="22"/>
          <w:lang w:val="en-US"/>
        </w:rPr>
        <w:t>most seagrass sites experienced high frequency of exposure to either primary or secondary water (</w:t>
      </w:r>
      <w:r w:rsidR="009942CE" w:rsidRPr="00912120">
        <w:rPr>
          <w:rFonts w:cs="TimesNewRoman"/>
          <w:i/>
          <w:color w:val="000000" w:themeColor="text1"/>
          <w:szCs w:val="22"/>
          <w:lang w:val="en-US"/>
        </w:rPr>
        <w:t>f</w:t>
      </w:r>
      <w:r w:rsidR="009942CE" w:rsidRPr="00912120">
        <w:rPr>
          <w:rFonts w:cs="TimesNewRoman"/>
          <w:color w:val="000000" w:themeColor="text1"/>
          <w:szCs w:val="22"/>
          <w:vertAlign w:val="subscript"/>
          <w:lang w:val="en-US"/>
        </w:rPr>
        <w:t>(P+S)</w:t>
      </w:r>
      <w:r w:rsidR="009942CE" w:rsidRPr="00912120">
        <w:rPr>
          <w:rFonts w:cs="TimesNewRoman"/>
          <w:color w:val="000000" w:themeColor="text1"/>
          <w:szCs w:val="22"/>
          <w:lang w:val="en-US"/>
        </w:rPr>
        <w:t>)</w:t>
      </w:r>
      <w:r w:rsidR="00DE2AFA" w:rsidRPr="00912120">
        <w:rPr>
          <w:rFonts w:cs="TimesNewRoman"/>
          <w:color w:val="000000" w:themeColor="text1"/>
          <w:szCs w:val="22"/>
          <w:lang w:val="en-US"/>
        </w:rPr>
        <w:t xml:space="preserve"> because they are located in the near-shore margin which maintains poor water quality even </w:t>
      </w:r>
      <w:r w:rsidRPr="00912120">
        <w:rPr>
          <w:rFonts w:cs="TimesNewRoman"/>
          <w:color w:val="000000" w:themeColor="text1"/>
          <w:szCs w:val="22"/>
          <w:lang w:val="en-US"/>
        </w:rPr>
        <w:t xml:space="preserve">during </w:t>
      </w:r>
      <w:r w:rsidR="00DE2AFA" w:rsidRPr="00912120">
        <w:rPr>
          <w:rFonts w:cs="TimesNewRoman"/>
          <w:color w:val="000000" w:themeColor="text1"/>
          <w:szCs w:val="22"/>
          <w:lang w:val="en-US"/>
        </w:rPr>
        <w:t>low flow conditions</w:t>
      </w:r>
      <w:r w:rsidRPr="00912120">
        <w:rPr>
          <w:rFonts w:cs="TimesNewRoman"/>
          <w:color w:val="000000" w:themeColor="text1"/>
          <w:szCs w:val="22"/>
          <w:lang w:val="en-US"/>
        </w:rPr>
        <w:t xml:space="preserve"> (</w:t>
      </w:r>
      <w:r w:rsidRPr="00912120">
        <w:rPr>
          <w:rFonts w:cs="TimesNewRoman"/>
          <w:color w:val="000000" w:themeColor="text1"/>
          <w:szCs w:val="22"/>
          <w:lang w:val="en-US"/>
        </w:rPr>
        <w:fldChar w:fldCharType="begin"/>
      </w:r>
      <w:r w:rsidRPr="00912120">
        <w:rPr>
          <w:rFonts w:cs="TimesNewRoman"/>
          <w:color w:val="000000" w:themeColor="text1"/>
          <w:szCs w:val="22"/>
          <w:lang w:val="en-US"/>
        </w:rPr>
        <w:instrText xml:space="preserve"> REF _Ref442465513 \h </w:instrText>
      </w:r>
      <w:r w:rsidRPr="00912120">
        <w:rPr>
          <w:rFonts w:cs="TimesNewRoman"/>
          <w:color w:val="000000" w:themeColor="text1"/>
          <w:szCs w:val="22"/>
          <w:lang w:val="en-US"/>
        </w:rPr>
      </w:r>
      <w:r w:rsidRPr="00912120">
        <w:rPr>
          <w:rFonts w:cs="TimesNewRoman"/>
          <w:color w:val="000000" w:themeColor="text1"/>
          <w:szCs w:val="22"/>
          <w:lang w:val="en-US"/>
        </w:rPr>
        <w:fldChar w:fldCharType="separate"/>
      </w:r>
      <w:r w:rsidR="00F87DF9" w:rsidRPr="00677FAD">
        <w:t xml:space="preserve">Figure </w:t>
      </w:r>
      <w:r w:rsidR="00F87DF9">
        <w:rPr>
          <w:noProof/>
        </w:rPr>
        <w:t>9</w:t>
      </w:r>
      <w:r w:rsidRPr="00912120">
        <w:rPr>
          <w:rFonts w:cs="TimesNewRoman"/>
          <w:color w:val="000000" w:themeColor="text1"/>
          <w:szCs w:val="22"/>
          <w:lang w:val="en-US"/>
        </w:rPr>
        <w:fldChar w:fldCharType="end"/>
      </w:r>
      <w:r w:rsidRPr="00912120">
        <w:rPr>
          <w:rFonts w:cs="TimesNewRoman"/>
          <w:color w:val="000000" w:themeColor="text1"/>
          <w:szCs w:val="22"/>
          <w:lang w:val="en-US"/>
        </w:rPr>
        <w:t>)</w:t>
      </w:r>
      <w:r w:rsidR="00E373A2" w:rsidRPr="00912120">
        <w:rPr>
          <w:rFonts w:cs="TimesNewRoman"/>
          <w:color w:val="000000" w:themeColor="text1"/>
          <w:szCs w:val="22"/>
          <w:lang w:val="en-US"/>
        </w:rPr>
        <w:t>.</w:t>
      </w:r>
      <w:r w:rsidRPr="00912120">
        <w:rPr>
          <w:rFonts w:cs="TimesNewRoman"/>
          <w:color w:val="000000" w:themeColor="text1"/>
          <w:szCs w:val="22"/>
          <w:lang w:val="en-US"/>
        </w:rPr>
        <w:t xml:space="preserve"> All sites within the Burdekin and Burnett Mary regions were exposed to </w:t>
      </w:r>
      <w:r w:rsidR="00912120" w:rsidRPr="00912120">
        <w:rPr>
          <w:rFonts w:cs="TimesNewRoman"/>
          <w:color w:val="000000" w:themeColor="text1"/>
          <w:szCs w:val="22"/>
          <w:lang w:val="en-US"/>
        </w:rPr>
        <w:t>‘</w:t>
      </w:r>
      <w:r w:rsidR="00C4234A" w:rsidRPr="00912120">
        <w:rPr>
          <w:rFonts w:cs="TimesNewRoman"/>
          <w:color w:val="000000" w:themeColor="text1"/>
          <w:szCs w:val="22"/>
          <w:lang w:val="en-US"/>
        </w:rPr>
        <w:t>brown</w:t>
      </w:r>
      <w:r w:rsidR="00912120" w:rsidRPr="00912120">
        <w:rPr>
          <w:rFonts w:cs="TimesNewRoman"/>
          <w:color w:val="000000" w:themeColor="text1"/>
          <w:szCs w:val="22"/>
          <w:lang w:val="en-US"/>
        </w:rPr>
        <w:t>’</w:t>
      </w:r>
      <w:r w:rsidR="009C6BA8" w:rsidRPr="00912120">
        <w:rPr>
          <w:rFonts w:cs="TimesNewRoman"/>
          <w:color w:val="000000" w:themeColor="text1"/>
          <w:szCs w:val="22"/>
          <w:lang w:val="en-US"/>
        </w:rPr>
        <w:t xml:space="preserve"> or </w:t>
      </w:r>
      <w:r w:rsidR="00912120" w:rsidRPr="00912120">
        <w:rPr>
          <w:rFonts w:cs="TimesNewRoman"/>
          <w:color w:val="000000" w:themeColor="text1"/>
          <w:szCs w:val="22"/>
          <w:lang w:val="en-US"/>
        </w:rPr>
        <w:t>‘</w:t>
      </w:r>
      <w:r w:rsidR="009C6BA8" w:rsidRPr="00912120">
        <w:rPr>
          <w:rFonts w:cs="TimesNewRoman"/>
          <w:color w:val="000000" w:themeColor="text1"/>
          <w:szCs w:val="22"/>
          <w:lang w:val="en-US"/>
        </w:rPr>
        <w:t>green</w:t>
      </w:r>
      <w:r w:rsidR="00912120" w:rsidRPr="00912120">
        <w:rPr>
          <w:rFonts w:cs="TimesNewRoman"/>
          <w:color w:val="000000" w:themeColor="text1"/>
          <w:szCs w:val="22"/>
          <w:lang w:val="en-US"/>
        </w:rPr>
        <w:t>’ turbid water</w:t>
      </w:r>
      <w:r w:rsidRPr="00912120">
        <w:rPr>
          <w:rFonts w:cs="TimesNewRoman"/>
          <w:color w:val="000000" w:themeColor="text1"/>
          <w:szCs w:val="22"/>
          <w:lang w:val="en-US"/>
        </w:rPr>
        <w:t xml:space="preserve"> for 100</w:t>
      </w:r>
      <w:r w:rsidR="0063478C" w:rsidRPr="00912120">
        <w:rPr>
          <w:rFonts w:cs="TimesNewRoman"/>
          <w:color w:val="000000" w:themeColor="text1"/>
          <w:szCs w:val="22"/>
          <w:lang w:val="en-US"/>
        </w:rPr>
        <w:t xml:space="preserve"> per cent</w:t>
      </w:r>
      <w:r w:rsidRPr="00912120">
        <w:rPr>
          <w:rFonts w:cs="TimesNewRoman"/>
          <w:color w:val="000000" w:themeColor="text1"/>
          <w:szCs w:val="22"/>
          <w:lang w:val="en-US"/>
        </w:rPr>
        <w:t xml:space="preserve"> of wet season weeks (</w:t>
      </w:r>
      <w:r w:rsidR="00912120" w:rsidRPr="00912120">
        <w:rPr>
          <w:rFonts w:cs="TimesNewRoman"/>
          <w:color w:val="000000" w:themeColor="text1"/>
          <w:szCs w:val="22"/>
          <w:lang w:val="en-US"/>
        </w:rPr>
        <w:t>December</w:t>
      </w:r>
      <w:r w:rsidRPr="00912120">
        <w:rPr>
          <w:rFonts w:cs="TimesNewRoman"/>
          <w:color w:val="000000" w:themeColor="text1"/>
          <w:szCs w:val="22"/>
          <w:lang w:val="en-US"/>
        </w:rPr>
        <w:t xml:space="preserve"> to </w:t>
      </w:r>
      <w:r w:rsidRPr="00121CDB">
        <w:rPr>
          <w:rFonts w:cs="TimesNewRoman"/>
          <w:szCs w:val="22"/>
          <w:lang w:val="en-US"/>
        </w:rPr>
        <w:t>April)</w:t>
      </w:r>
      <w:r w:rsidR="008D28BD" w:rsidRPr="00121CDB">
        <w:rPr>
          <w:rFonts w:cs="TimesNewRoman"/>
          <w:szCs w:val="22"/>
          <w:lang w:val="en-US"/>
        </w:rPr>
        <w:t>,</w:t>
      </w:r>
      <w:r w:rsidR="00777845" w:rsidRPr="00121CDB">
        <w:rPr>
          <w:rFonts w:cs="TimesNewRoman"/>
          <w:szCs w:val="22"/>
          <w:lang w:val="en-US"/>
        </w:rPr>
        <w:t xml:space="preserve"> including the </w:t>
      </w:r>
      <w:r w:rsidR="004C35DF" w:rsidRPr="00121CDB">
        <w:rPr>
          <w:rFonts w:cs="TimesNewRoman"/>
          <w:szCs w:val="22"/>
          <w:lang w:val="en-US"/>
        </w:rPr>
        <w:t xml:space="preserve">sites </w:t>
      </w:r>
      <w:r w:rsidR="004C35DF">
        <w:rPr>
          <w:rFonts w:cs="TimesNewRoman"/>
          <w:szCs w:val="22"/>
          <w:lang w:val="en-US"/>
        </w:rPr>
        <w:t xml:space="preserve">on </w:t>
      </w:r>
      <w:r w:rsidR="00777845" w:rsidRPr="00121CDB">
        <w:rPr>
          <w:rFonts w:cs="TimesNewRoman"/>
          <w:szCs w:val="22"/>
          <w:lang w:val="en-US"/>
        </w:rPr>
        <w:t xml:space="preserve">reef </w:t>
      </w:r>
      <w:r w:rsidR="004C35DF">
        <w:rPr>
          <w:rFonts w:cs="TimesNewRoman"/>
          <w:szCs w:val="22"/>
          <w:lang w:val="en-US"/>
        </w:rPr>
        <w:t xml:space="preserve">habitats </w:t>
      </w:r>
      <w:r w:rsidR="00777845" w:rsidRPr="00121CDB">
        <w:rPr>
          <w:rFonts w:cs="TimesNewRoman"/>
          <w:szCs w:val="22"/>
          <w:lang w:val="en-US"/>
        </w:rPr>
        <w:t>at Magnetic Island</w:t>
      </w:r>
      <w:r w:rsidRPr="00121CDB">
        <w:rPr>
          <w:rFonts w:cs="TimesNewRoman"/>
          <w:szCs w:val="22"/>
          <w:lang w:val="en-US"/>
        </w:rPr>
        <w:t>. Exposure was second highest in the Fitzroy and Mackay Wh</w:t>
      </w:r>
      <w:r w:rsidR="00912120" w:rsidRPr="00121CDB">
        <w:rPr>
          <w:rFonts w:cs="TimesNewRoman"/>
          <w:szCs w:val="22"/>
          <w:lang w:val="en-US"/>
        </w:rPr>
        <w:t xml:space="preserve">itsunday regions ranging from 70 to </w:t>
      </w:r>
      <w:r w:rsidRPr="00121CDB">
        <w:rPr>
          <w:rFonts w:cs="TimesNewRoman"/>
          <w:szCs w:val="22"/>
          <w:lang w:val="en-US"/>
        </w:rPr>
        <w:t>100</w:t>
      </w:r>
      <w:r w:rsidR="0063478C" w:rsidRPr="00121CDB">
        <w:rPr>
          <w:rFonts w:cs="TimesNewRoman"/>
          <w:szCs w:val="22"/>
          <w:lang w:val="en-US"/>
        </w:rPr>
        <w:t xml:space="preserve"> per cent</w:t>
      </w:r>
      <w:r w:rsidRPr="00121CDB">
        <w:rPr>
          <w:rFonts w:cs="TimesNewRoman"/>
          <w:szCs w:val="22"/>
          <w:lang w:val="en-US"/>
        </w:rPr>
        <w:t xml:space="preserve"> of wet season weeks (</w:t>
      </w:r>
      <w:r w:rsidR="00912120" w:rsidRPr="00121CDB">
        <w:rPr>
          <w:rFonts w:cs="TimesNewRoman"/>
          <w:szCs w:val="22"/>
          <w:lang w:val="en-US"/>
        </w:rPr>
        <w:t>including Hamilton Island</w:t>
      </w:r>
      <w:r w:rsidRPr="00121CDB">
        <w:rPr>
          <w:rFonts w:cs="TimesNewRoman"/>
          <w:szCs w:val="22"/>
          <w:lang w:val="en-US"/>
        </w:rPr>
        <w:t>). The Wet Tropics and Cape York regions had sites with the lowest levels of exposure</w:t>
      </w:r>
      <w:r w:rsidR="001F6D3D">
        <w:rPr>
          <w:rFonts w:cs="TimesNewRoman"/>
          <w:szCs w:val="22"/>
          <w:lang w:val="en-US"/>
        </w:rPr>
        <w:t>,</w:t>
      </w:r>
      <w:r w:rsidRPr="00121CDB">
        <w:rPr>
          <w:rFonts w:cs="TimesNewRoman"/>
          <w:szCs w:val="22"/>
          <w:lang w:val="en-US"/>
        </w:rPr>
        <w:t xml:space="preserve"> due mostly to the number of offshore reef sites (</w:t>
      </w:r>
      <w:r w:rsidR="008D142C">
        <w:rPr>
          <w:rFonts w:cs="TimesNewRoman"/>
          <w:szCs w:val="22"/>
          <w:lang w:val="en-US"/>
        </w:rPr>
        <w:t>e.g.</w:t>
      </w:r>
      <w:r w:rsidR="001F6D3D">
        <w:rPr>
          <w:rFonts w:cs="TimesNewRoman"/>
          <w:szCs w:val="22"/>
          <w:lang w:val="en-US"/>
        </w:rPr>
        <w:t xml:space="preserve"> </w:t>
      </w:r>
      <w:r w:rsidRPr="00121CDB">
        <w:rPr>
          <w:rFonts w:cs="TimesNewRoman"/>
          <w:szCs w:val="22"/>
          <w:lang w:val="en-US"/>
        </w:rPr>
        <w:t>Green Is</w:t>
      </w:r>
      <w:r w:rsidR="00AA56EE" w:rsidRPr="00121CDB">
        <w:rPr>
          <w:rFonts w:cs="TimesNewRoman"/>
          <w:szCs w:val="22"/>
          <w:lang w:val="en-US"/>
        </w:rPr>
        <w:t>land 9</w:t>
      </w:r>
      <w:r w:rsidR="0063478C" w:rsidRPr="00121CDB">
        <w:rPr>
          <w:rFonts w:cs="TimesNewRoman"/>
          <w:szCs w:val="22"/>
          <w:lang w:val="en-US"/>
        </w:rPr>
        <w:t xml:space="preserve"> per cent</w:t>
      </w:r>
      <w:r w:rsidR="00AA56EE" w:rsidRPr="00121CDB">
        <w:rPr>
          <w:rFonts w:cs="TimesNewRoman"/>
          <w:szCs w:val="22"/>
          <w:lang w:val="en-US"/>
        </w:rPr>
        <w:t>, Piper Reef</w:t>
      </w:r>
      <w:r w:rsidR="00912120" w:rsidRPr="00121CDB">
        <w:rPr>
          <w:rFonts w:cs="TimesNewRoman"/>
          <w:szCs w:val="22"/>
          <w:lang w:val="en-US"/>
        </w:rPr>
        <w:t xml:space="preserve"> 22</w:t>
      </w:r>
      <w:r w:rsidR="0063478C" w:rsidRPr="00121CDB">
        <w:rPr>
          <w:rFonts w:cs="TimesNewRoman"/>
          <w:szCs w:val="22"/>
          <w:lang w:val="en-US"/>
        </w:rPr>
        <w:t xml:space="preserve"> per cent</w:t>
      </w:r>
      <w:r w:rsidR="00912120" w:rsidRPr="00121CDB">
        <w:rPr>
          <w:rFonts w:cs="TimesNewRoman"/>
          <w:szCs w:val="22"/>
          <w:lang w:val="en-US"/>
        </w:rPr>
        <w:t>, Low Isles 23</w:t>
      </w:r>
      <w:r w:rsidR="0063478C" w:rsidRPr="00121CDB">
        <w:rPr>
          <w:rFonts w:cs="TimesNewRoman"/>
          <w:szCs w:val="22"/>
          <w:lang w:val="en-US"/>
        </w:rPr>
        <w:t xml:space="preserve"> per cent</w:t>
      </w:r>
      <w:r w:rsidRPr="00121CDB">
        <w:rPr>
          <w:rFonts w:cs="TimesNewRoman"/>
          <w:szCs w:val="22"/>
          <w:lang w:val="en-US"/>
        </w:rPr>
        <w:t xml:space="preserve">), but all other sites in the two northern regions </w:t>
      </w:r>
      <w:r w:rsidR="00AA56EE" w:rsidRPr="00121CDB">
        <w:rPr>
          <w:rFonts w:cs="TimesNewRoman"/>
          <w:szCs w:val="22"/>
          <w:lang w:val="en-US"/>
        </w:rPr>
        <w:t xml:space="preserve">also </w:t>
      </w:r>
      <w:r w:rsidRPr="00121CDB">
        <w:rPr>
          <w:rFonts w:cs="TimesNewRoman"/>
          <w:szCs w:val="22"/>
          <w:lang w:val="en-US"/>
        </w:rPr>
        <w:t xml:space="preserve">had a high exposure to </w:t>
      </w:r>
      <w:r w:rsidR="00912120" w:rsidRPr="00121CDB">
        <w:rPr>
          <w:rFonts w:cs="TimesNewRoman"/>
          <w:szCs w:val="22"/>
          <w:lang w:val="en-US"/>
        </w:rPr>
        <w:t>‘brown’ or ‘green’ turbid water (80</w:t>
      </w:r>
      <w:r w:rsidRPr="00121CDB">
        <w:rPr>
          <w:rFonts w:cs="TimesNewRoman"/>
          <w:szCs w:val="22"/>
          <w:lang w:val="en-US"/>
        </w:rPr>
        <w:t>-100</w:t>
      </w:r>
      <w:r w:rsidR="0063478C" w:rsidRPr="00121CDB">
        <w:rPr>
          <w:rFonts w:cs="TimesNewRoman"/>
          <w:szCs w:val="22"/>
          <w:lang w:val="en-US"/>
        </w:rPr>
        <w:t xml:space="preserve"> per cent</w:t>
      </w:r>
      <w:r w:rsidRPr="00121CDB">
        <w:rPr>
          <w:rFonts w:cs="TimesNewRoman"/>
          <w:szCs w:val="22"/>
          <w:lang w:val="en-US"/>
        </w:rPr>
        <w:t>).</w:t>
      </w:r>
    </w:p>
    <w:p w14:paraId="00DD0109" w14:textId="77777777" w:rsidR="00771FD9" w:rsidRPr="00121CDB" w:rsidRDefault="00771FD9" w:rsidP="00F157C3">
      <w:pPr>
        <w:rPr>
          <w:rFonts w:cs="TimesNewRoman"/>
          <w:szCs w:val="22"/>
          <w:lang w:val="en-US"/>
        </w:rPr>
      </w:pPr>
    </w:p>
    <w:p w14:paraId="1E3EA33D" w14:textId="04A7B2BD" w:rsidR="00771FD9" w:rsidRPr="00121CDB" w:rsidRDefault="00771FD9" w:rsidP="00F157C3">
      <w:pPr>
        <w:rPr>
          <w:rFonts w:cs="TimesNewRoman"/>
          <w:szCs w:val="22"/>
          <w:lang w:val="en-US"/>
        </w:rPr>
      </w:pPr>
      <w:r w:rsidRPr="00121CDB">
        <w:rPr>
          <w:rFonts w:cs="TimesNewRoman"/>
          <w:noProof/>
          <w:szCs w:val="22"/>
          <w:lang w:eastAsia="en-AU"/>
        </w:rPr>
        <w:drawing>
          <wp:inline distT="0" distB="0" distL="0" distR="0" wp14:anchorId="3080BA1A" wp14:editId="4B7BF5C7">
            <wp:extent cx="5681125" cy="3772535"/>
            <wp:effectExtent l="0" t="0" r="0" b="0"/>
            <wp:docPr id="100" name="Picture 100" descr="Barchart showing annual average wet season rainfall (December 2016–April 2017) compared to the long-term wet season rainfall average (1961–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rainfall_2017_diff_v2.jpg"/>
                    <pic:cNvPicPr/>
                  </pic:nvPicPr>
                  <pic:blipFill>
                    <a:blip r:embed="rId45"/>
                    <a:stretch>
                      <a:fillRect/>
                    </a:stretch>
                  </pic:blipFill>
                  <pic:spPr>
                    <a:xfrm>
                      <a:off x="0" y="0"/>
                      <a:ext cx="5681125" cy="3772535"/>
                    </a:xfrm>
                    <a:prstGeom prst="rect">
                      <a:avLst/>
                    </a:prstGeom>
                  </pic:spPr>
                </pic:pic>
              </a:graphicData>
            </a:graphic>
          </wp:inline>
        </w:drawing>
      </w:r>
    </w:p>
    <w:p w14:paraId="1AEEAE7F" w14:textId="30958B6E" w:rsidR="00264FE9" w:rsidRPr="007D4BE7" w:rsidRDefault="00771FD9" w:rsidP="00264FE9">
      <w:pPr>
        <w:pStyle w:val="Figure"/>
        <w:rPr>
          <w:rFonts w:asciiTheme="minorHAnsi" w:hAnsiTheme="minorHAnsi"/>
          <w:i/>
          <w:vanish/>
          <w:sz w:val="22"/>
          <w:szCs w:val="22"/>
          <w:specVanish/>
        </w:rPr>
      </w:pPr>
      <w:bookmarkStart w:id="141" w:name="_Ref507510845"/>
      <w:bookmarkStart w:id="142" w:name="_Ref507510817"/>
      <w:bookmarkStart w:id="143" w:name="_Toc516053218"/>
      <w:r w:rsidRPr="007D4BE7">
        <w:rPr>
          <w:rFonts w:asciiTheme="minorHAnsi" w:hAnsiTheme="minorHAnsi"/>
          <w:sz w:val="22"/>
          <w:szCs w:val="22"/>
        </w:rPr>
        <w:t xml:space="preserve">Figure </w:t>
      </w:r>
      <w:r w:rsidRPr="007D4BE7">
        <w:rPr>
          <w:rFonts w:asciiTheme="minorHAnsi" w:hAnsiTheme="minorHAnsi"/>
          <w:sz w:val="22"/>
          <w:szCs w:val="22"/>
        </w:rPr>
        <w:fldChar w:fldCharType="begin"/>
      </w:r>
      <w:r w:rsidRPr="007D4BE7">
        <w:rPr>
          <w:rFonts w:asciiTheme="minorHAnsi" w:hAnsiTheme="minorHAnsi"/>
          <w:sz w:val="22"/>
          <w:szCs w:val="22"/>
        </w:rPr>
        <w:instrText xml:space="preserve"> SEQ Figure \* ARABIC </w:instrText>
      </w:r>
      <w:r w:rsidRPr="007D4BE7">
        <w:rPr>
          <w:rFonts w:asciiTheme="minorHAnsi" w:hAnsiTheme="minorHAnsi"/>
          <w:sz w:val="22"/>
          <w:szCs w:val="22"/>
        </w:rPr>
        <w:fldChar w:fldCharType="separate"/>
      </w:r>
      <w:r w:rsidR="00F87DF9">
        <w:rPr>
          <w:rFonts w:asciiTheme="minorHAnsi" w:hAnsiTheme="minorHAnsi"/>
          <w:noProof/>
          <w:sz w:val="22"/>
          <w:szCs w:val="22"/>
        </w:rPr>
        <w:t>8</w:t>
      </w:r>
      <w:r w:rsidRPr="007D4BE7">
        <w:rPr>
          <w:rFonts w:asciiTheme="minorHAnsi" w:hAnsiTheme="minorHAnsi"/>
          <w:sz w:val="22"/>
          <w:szCs w:val="22"/>
        </w:rPr>
        <w:fldChar w:fldCharType="end"/>
      </w:r>
      <w:bookmarkEnd w:id="141"/>
      <w:r w:rsidRPr="007D4BE7">
        <w:rPr>
          <w:rFonts w:asciiTheme="minorHAnsi" w:hAnsiTheme="minorHAnsi"/>
          <w:sz w:val="22"/>
          <w:szCs w:val="22"/>
        </w:rPr>
        <w:t xml:space="preserve">. </w:t>
      </w:r>
      <w:r w:rsidR="00264FE9" w:rsidRPr="007D4BE7">
        <w:rPr>
          <w:rFonts w:asciiTheme="minorHAnsi" w:hAnsiTheme="minorHAnsi"/>
          <w:i/>
          <w:sz w:val="22"/>
          <w:szCs w:val="22"/>
        </w:rPr>
        <w:t>Annual average wet season rainfall (December 2016–April 2017) compared to the long-term wet season rainfall average (1961–1990).</w:t>
      </w:r>
      <w:bookmarkEnd w:id="142"/>
      <w:bookmarkEnd w:id="143"/>
    </w:p>
    <w:p w14:paraId="64090E09" w14:textId="5EAA2B39" w:rsidR="00771FD9" w:rsidRPr="007D4BE7" w:rsidRDefault="00264FE9" w:rsidP="00264FE9">
      <w:pPr>
        <w:pStyle w:val="Figure"/>
        <w:rPr>
          <w:rFonts w:asciiTheme="minorHAnsi" w:hAnsiTheme="minorHAnsi" w:cs="TimesNewRoman"/>
          <w:i/>
          <w:sz w:val="22"/>
          <w:szCs w:val="22"/>
          <w:lang w:val="en-US"/>
        </w:rPr>
      </w:pPr>
      <w:r w:rsidRPr="007D4BE7">
        <w:rPr>
          <w:rStyle w:val="IntenseReference"/>
          <w:rFonts w:asciiTheme="minorHAnsi" w:eastAsiaTheme="majorEastAsia" w:hAnsiTheme="minorHAnsi"/>
          <w:i/>
          <w:color w:val="auto"/>
          <w:sz w:val="22"/>
          <w:szCs w:val="22"/>
        </w:rPr>
        <w:t xml:space="preserve"> Red and blue bars denote catchments with rainfall below and above the long-term average, respectively. Note that the catchments are ordered from north to south (left to right).</w:t>
      </w:r>
      <w:r w:rsidR="007D4BE7">
        <w:rPr>
          <w:rStyle w:val="IntenseReference"/>
          <w:rFonts w:asciiTheme="minorHAnsi" w:eastAsiaTheme="majorEastAsia" w:hAnsiTheme="minorHAnsi"/>
          <w:i/>
          <w:color w:val="auto"/>
          <w:sz w:val="22"/>
          <w:szCs w:val="22"/>
        </w:rPr>
        <w:t xml:space="preserve"> </w:t>
      </w:r>
      <w:r w:rsidR="00E66F63" w:rsidRPr="007D4BE7">
        <w:rPr>
          <w:rFonts w:asciiTheme="minorHAnsi" w:hAnsiTheme="minorHAnsi"/>
          <w:i/>
          <w:sz w:val="22"/>
          <w:szCs w:val="22"/>
        </w:rPr>
        <w:t xml:space="preserve">Compiled by </w:t>
      </w:r>
      <w:hyperlink w:anchor="_ENREF_233" w:tooltip="Waterhouse, 2018 #11521" w:history="1">
        <w:r w:rsidR="00305FE7">
          <w:rPr>
            <w:rFonts w:asciiTheme="minorHAnsi" w:hAnsiTheme="minorHAnsi"/>
            <w:i/>
            <w:sz w:val="22"/>
            <w:szCs w:val="22"/>
          </w:rPr>
          <w:fldChar w:fldCharType="begin"/>
        </w:r>
        <w:r w:rsidR="00305FE7">
          <w:rPr>
            <w:rFonts w:asciiTheme="minorHAnsi" w:hAnsiTheme="minorHAnsi"/>
            <w:i/>
            <w:sz w:val="22"/>
            <w:szCs w:val="22"/>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rFonts w:asciiTheme="minorHAnsi" w:hAnsiTheme="minorHAnsi"/>
            <w:i/>
            <w:sz w:val="22"/>
            <w:szCs w:val="22"/>
          </w:rPr>
          <w:fldChar w:fldCharType="separate"/>
        </w:r>
        <w:r w:rsidR="00305FE7">
          <w:rPr>
            <w:rFonts w:asciiTheme="minorHAnsi" w:hAnsiTheme="minorHAnsi"/>
            <w:i/>
            <w:noProof/>
            <w:sz w:val="22"/>
            <w:szCs w:val="22"/>
          </w:rPr>
          <w:t>Waterhouse et al. 2018</w:t>
        </w:r>
        <w:r w:rsidR="00305FE7">
          <w:rPr>
            <w:rFonts w:asciiTheme="minorHAnsi" w:hAnsiTheme="minorHAnsi"/>
            <w:i/>
            <w:sz w:val="22"/>
            <w:szCs w:val="22"/>
          </w:rPr>
          <w:fldChar w:fldCharType="end"/>
        </w:r>
      </w:hyperlink>
      <w:r w:rsidR="00E66F63" w:rsidRPr="007D4BE7">
        <w:rPr>
          <w:rFonts w:asciiTheme="minorHAnsi" w:hAnsiTheme="minorHAnsi"/>
          <w:i/>
          <w:sz w:val="22"/>
          <w:szCs w:val="22"/>
        </w:rPr>
        <w:t>.</w:t>
      </w:r>
    </w:p>
    <w:p w14:paraId="60197E39" w14:textId="403C5C6F" w:rsidR="00771FD9" w:rsidRPr="00665BC8" w:rsidRDefault="00A27C67" w:rsidP="00771FD9">
      <w:pPr>
        <w:pStyle w:val="Caption"/>
        <w:jc w:val="center"/>
        <w:rPr>
          <w:i/>
          <w:vanish/>
          <w:specVanish/>
        </w:rPr>
      </w:pPr>
      <w:r>
        <w:rPr>
          <w:rFonts w:cs="TimesNewRoman"/>
          <w:color w:val="000000" w:themeColor="text1"/>
          <w:szCs w:val="22"/>
          <w:lang w:val="en-US"/>
        </w:rPr>
        <w:br w:type="column"/>
      </w:r>
      <w:bookmarkStart w:id="144" w:name="_Ref442465342"/>
      <w:bookmarkStart w:id="145" w:name="_Ref509323229"/>
      <w:bookmarkStart w:id="146" w:name="_Toc516053434"/>
      <w:r w:rsidR="00771FD9">
        <w:t xml:space="preserve">Table </w:t>
      </w:r>
      <w:r w:rsidR="00771FD9">
        <w:fldChar w:fldCharType="begin"/>
      </w:r>
      <w:r w:rsidR="00771FD9">
        <w:instrText xml:space="preserve"> SEQ Table \* ARABIC </w:instrText>
      </w:r>
      <w:r w:rsidR="00771FD9">
        <w:fldChar w:fldCharType="separate"/>
      </w:r>
      <w:r w:rsidR="00F87DF9">
        <w:rPr>
          <w:noProof/>
        </w:rPr>
        <w:t>10</w:t>
      </w:r>
      <w:r w:rsidR="00771FD9">
        <w:fldChar w:fldCharType="end"/>
      </w:r>
      <w:bookmarkEnd w:id="144"/>
      <w:r w:rsidR="00771FD9">
        <w:t xml:space="preserve">. </w:t>
      </w:r>
      <w:r w:rsidR="00771FD9" w:rsidRPr="00665BC8">
        <w:rPr>
          <w:i/>
        </w:rPr>
        <w:t xml:space="preserve">Long term annual discharge (in megalitres) for the major </w:t>
      </w:r>
      <w:r w:rsidR="007F6948">
        <w:rPr>
          <w:i/>
        </w:rPr>
        <w:t>Great Barrier Reef</w:t>
      </w:r>
      <w:r w:rsidR="00771FD9" w:rsidRPr="00665BC8">
        <w:rPr>
          <w:i/>
        </w:rPr>
        <w:t xml:space="preserve"> catchment rivers in proximity to the inshore seagrass monitoring sites (where data available) for the </w:t>
      </w:r>
      <w:r w:rsidR="008574EC">
        <w:rPr>
          <w:i/>
          <w:color w:val="000000" w:themeColor="text1"/>
        </w:rPr>
        <w:t>2016–17</w:t>
      </w:r>
      <w:r w:rsidR="00771FD9" w:rsidRPr="00C12B2C">
        <w:rPr>
          <w:i/>
          <w:color w:val="000000" w:themeColor="text1"/>
        </w:rPr>
        <w:t xml:space="preserve"> </w:t>
      </w:r>
      <w:r w:rsidR="00771FD9" w:rsidRPr="00665BC8">
        <w:rPr>
          <w:i/>
        </w:rPr>
        <w:t>wet season</w:t>
      </w:r>
      <w:bookmarkEnd w:id="145"/>
      <w:bookmarkEnd w:id="146"/>
    </w:p>
    <w:p w14:paraId="4D0C4465" w14:textId="4E43FC1A" w:rsidR="00771FD9" w:rsidRDefault="00771FD9" w:rsidP="00771FD9">
      <w:pPr>
        <w:pStyle w:val="Caption"/>
        <w:jc w:val="center"/>
        <w:rPr>
          <w:i/>
        </w:rPr>
      </w:pPr>
      <w:r w:rsidRPr="00665BC8">
        <w:rPr>
          <w:i/>
        </w:rPr>
        <w:t xml:space="preserve">(c.a., from Nov 1st to Apr 30th), compared against the previous wet seasons and long-term (LT) median. Colours indicate levels above LT median: yellow for 1.5 to 2 times; orange for 2 to 3 times, and red for greater than 3 times. Long term statistics were calculated based on the wet seasons from Nov 1st, 1949 to Apr 30th, 2000. </w:t>
      </w:r>
      <w:r>
        <w:rPr>
          <w:i/>
        </w:rPr>
        <w:t>C</w:t>
      </w:r>
      <w:r w:rsidRPr="00665BC8">
        <w:rPr>
          <w:i/>
        </w:rPr>
        <w:t xml:space="preserve">ompiled </w:t>
      </w:r>
      <w:r>
        <w:rPr>
          <w:i/>
        </w:rPr>
        <w:t>by</w:t>
      </w:r>
      <w:r w:rsidR="003278C5" w:rsidRPr="000B7516">
        <w:rPr>
          <w:i/>
        </w:rPr>
        <w:t xml:space="preserve">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Pr>
          <w:i/>
        </w:rPr>
        <w:t xml:space="preserve">. </w:t>
      </w:r>
    </w:p>
    <w:tbl>
      <w:tblPr>
        <w:tblpPr w:leftFromText="181" w:rightFromText="181" w:vertAnchor="text" w:tblpXSpec="center" w:tblpY="1"/>
        <w:tblOverlap w:val="never"/>
        <w:tblW w:w="10303" w:type="dxa"/>
        <w:jc w:val="center"/>
        <w:tblBorders>
          <w:top w:val="nil"/>
          <w:left w:val="nil"/>
          <w:right w:val="nil"/>
        </w:tblBorders>
        <w:tblLayout w:type="fixed"/>
        <w:tblLook w:val="0000" w:firstRow="0" w:lastRow="0" w:firstColumn="0" w:lastColumn="0" w:noHBand="0" w:noVBand="0"/>
      </w:tblPr>
      <w:tblGrid>
        <w:gridCol w:w="567"/>
        <w:gridCol w:w="1560"/>
        <w:gridCol w:w="992"/>
        <w:gridCol w:w="1134"/>
        <w:gridCol w:w="992"/>
        <w:gridCol w:w="992"/>
        <w:gridCol w:w="993"/>
        <w:gridCol w:w="992"/>
        <w:gridCol w:w="992"/>
        <w:gridCol w:w="1089"/>
      </w:tblGrid>
      <w:tr w:rsidR="005E7B88" w:rsidRPr="00371FCE" w14:paraId="5D5D7A40" w14:textId="77777777" w:rsidTr="00121CDB">
        <w:trPr>
          <w:jc w:val="center"/>
        </w:trPr>
        <w:tc>
          <w:tcPr>
            <w:tcW w:w="567" w:type="dxa"/>
            <w:tcBorders>
              <w:top w:val="single" w:sz="8" w:space="0" w:color="000000"/>
              <w:bottom w:val="single" w:sz="16" w:space="0" w:color="000000"/>
            </w:tcBorders>
          </w:tcPr>
          <w:p w14:paraId="092A2CDA"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p>
        </w:tc>
        <w:tc>
          <w:tcPr>
            <w:tcW w:w="1560" w:type="dxa"/>
            <w:tcBorders>
              <w:top w:val="single" w:sz="8" w:space="0" w:color="000000"/>
              <w:bottom w:val="single" w:sz="16" w:space="0" w:color="000000"/>
            </w:tcBorders>
            <w:vAlign w:val="center"/>
          </w:tcPr>
          <w:p w14:paraId="32074A7D"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Basin</w:t>
            </w:r>
          </w:p>
        </w:tc>
        <w:tc>
          <w:tcPr>
            <w:tcW w:w="992" w:type="dxa"/>
            <w:tcBorders>
              <w:top w:val="single" w:sz="8" w:space="0" w:color="000000"/>
              <w:bottom w:val="single" w:sz="16" w:space="0" w:color="000000"/>
            </w:tcBorders>
            <w:vAlign w:val="center"/>
          </w:tcPr>
          <w:p w14:paraId="5CC16617"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LT median</w:t>
            </w:r>
          </w:p>
        </w:tc>
        <w:tc>
          <w:tcPr>
            <w:tcW w:w="1134" w:type="dxa"/>
            <w:tcBorders>
              <w:top w:val="single" w:sz="8" w:space="0" w:color="000000"/>
              <w:bottom w:val="single" w:sz="16" w:space="0" w:color="000000"/>
            </w:tcBorders>
            <w:vAlign w:val="center"/>
          </w:tcPr>
          <w:p w14:paraId="0276618B"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2010-2011</w:t>
            </w:r>
          </w:p>
        </w:tc>
        <w:tc>
          <w:tcPr>
            <w:tcW w:w="992" w:type="dxa"/>
            <w:tcBorders>
              <w:top w:val="single" w:sz="8" w:space="0" w:color="000000"/>
              <w:bottom w:val="single" w:sz="16" w:space="0" w:color="000000"/>
            </w:tcBorders>
            <w:vAlign w:val="center"/>
          </w:tcPr>
          <w:p w14:paraId="1288B52A"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2011-2012</w:t>
            </w:r>
          </w:p>
        </w:tc>
        <w:tc>
          <w:tcPr>
            <w:tcW w:w="992" w:type="dxa"/>
            <w:tcBorders>
              <w:top w:val="single" w:sz="8" w:space="0" w:color="000000"/>
              <w:bottom w:val="single" w:sz="16" w:space="0" w:color="000000"/>
            </w:tcBorders>
            <w:vAlign w:val="center"/>
          </w:tcPr>
          <w:p w14:paraId="219AD16C"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2012-2013</w:t>
            </w:r>
          </w:p>
        </w:tc>
        <w:tc>
          <w:tcPr>
            <w:tcW w:w="993" w:type="dxa"/>
            <w:tcBorders>
              <w:top w:val="single" w:sz="8" w:space="0" w:color="000000"/>
              <w:bottom w:val="single" w:sz="16" w:space="0" w:color="000000"/>
            </w:tcBorders>
            <w:vAlign w:val="center"/>
          </w:tcPr>
          <w:p w14:paraId="4B60D973"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2013-2014</w:t>
            </w:r>
          </w:p>
        </w:tc>
        <w:tc>
          <w:tcPr>
            <w:tcW w:w="992" w:type="dxa"/>
            <w:tcBorders>
              <w:top w:val="single" w:sz="8" w:space="0" w:color="000000"/>
              <w:bottom w:val="single" w:sz="16" w:space="0" w:color="000000"/>
            </w:tcBorders>
            <w:vAlign w:val="center"/>
          </w:tcPr>
          <w:p w14:paraId="5D82F9FA"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2014-2015</w:t>
            </w:r>
          </w:p>
        </w:tc>
        <w:tc>
          <w:tcPr>
            <w:tcW w:w="992" w:type="dxa"/>
            <w:tcBorders>
              <w:top w:val="single" w:sz="8" w:space="0" w:color="000000"/>
              <w:bottom w:val="single" w:sz="16" w:space="0" w:color="000000"/>
            </w:tcBorders>
            <w:vAlign w:val="center"/>
          </w:tcPr>
          <w:p w14:paraId="04BCC690"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2015-2016</w:t>
            </w:r>
          </w:p>
        </w:tc>
        <w:tc>
          <w:tcPr>
            <w:tcW w:w="1089" w:type="dxa"/>
            <w:tcBorders>
              <w:top w:val="single" w:sz="8" w:space="0" w:color="000000"/>
              <w:bottom w:val="single" w:sz="16" w:space="0" w:color="000000"/>
            </w:tcBorders>
            <w:vAlign w:val="center"/>
          </w:tcPr>
          <w:p w14:paraId="591A3483" w14:textId="77777777" w:rsidR="005E7B88" w:rsidRPr="00371FCE" w:rsidRDefault="005E7B88" w:rsidP="00121CDB">
            <w:pPr>
              <w:autoSpaceDE w:val="0"/>
              <w:autoSpaceDN w:val="0"/>
              <w:adjustRightInd w:val="0"/>
              <w:spacing w:before="40" w:after="40"/>
              <w:jc w:val="center"/>
              <w:rPr>
                <w:rFonts w:ascii="Arial" w:hAnsi="Arial" w:cs="Arial"/>
                <w:b/>
                <w:bCs/>
                <w:color w:val="000000"/>
                <w:sz w:val="14"/>
                <w:szCs w:val="14"/>
              </w:rPr>
            </w:pPr>
            <w:r w:rsidRPr="00371FCE">
              <w:rPr>
                <w:rFonts w:ascii="Arial" w:hAnsi="Arial" w:cs="Arial"/>
                <w:b/>
                <w:bCs/>
                <w:color w:val="000000"/>
                <w:sz w:val="14"/>
                <w:szCs w:val="14"/>
              </w:rPr>
              <w:t>2016-2017</w:t>
            </w:r>
          </w:p>
        </w:tc>
      </w:tr>
      <w:tr w:rsidR="005E7B88" w:rsidRPr="00371FCE" w14:paraId="60E0FC22" w14:textId="77777777" w:rsidTr="00121CDB">
        <w:tblPrEx>
          <w:tblBorders>
            <w:top w:val="none" w:sz="0" w:space="0" w:color="auto"/>
          </w:tblBorders>
        </w:tblPrEx>
        <w:trPr>
          <w:jc w:val="center"/>
        </w:trPr>
        <w:tc>
          <w:tcPr>
            <w:tcW w:w="567" w:type="dxa"/>
            <w:vMerge w:val="restart"/>
            <w:textDirection w:val="btLr"/>
            <w:vAlign w:val="center"/>
          </w:tcPr>
          <w:p w14:paraId="6627E255"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Cape York</w:t>
            </w:r>
          </w:p>
        </w:tc>
        <w:tc>
          <w:tcPr>
            <w:tcW w:w="1560" w:type="dxa"/>
            <w:vAlign w:val="center"/>
          </w:tcPr>
          <w:p w14:paraId="2322C51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Jacky Jacky Ck</w:t>
            </w:r>
          </w:p>
        </w:tc>
        <w:tc>
          <w:tcPr>
            <w:tcW w:w="992" w:type="dxa"/>
            <w:vAlign w:val="center"/>
          </w:tcPr>
          <w:p w14:paraId="07F0315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2,056,151</w:t>
            </w:r>
          </w:p>
        </w:tc>
        <w:tc>
          <w:tcPr>
            <w:tcW w:w="1134" w:type="dxa"/>
            <w:shd w:val="clear" w:color="auto" w:fill="FD8608"/>
            <w:vAlign w:val="center"/>
          </w:tcPr>
          <w:p w14:paraId="24A1A79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4,735,197</w:t>
            </w:r>
          </w:p>
        </w:tc>
        <w:tc>
          <w:tcPr>
            <w:tcW w:w="992" w:type="dxa"/>
            <w:vAlign w:val="center"/>
          </w:tcPr>
          <w:p w14:paraId="68A7A65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1,820,422</w:t>
            </w:r>
          </w:p>
        </w:tc>
        <w:tc>
          <w:tcPr>
            <w:tcW w:w="992" w:type="dxa"/>
            <w:vAlign w:val="center"/>
          </w:tcPr>
          <w:p w14:paraId="02A5714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1,986,825</w:t>
            </w:r>
          </w:p>
        </w:tc>
        <w:tc>
          <w:tcPr>
            <w:tcW w:w="993" w:type="dxa"/>
            <w:shd w:val="clear" w:color="auto" w:fill="FFFF0B"/>
            <w:vAlign w:val="center"/>
          </w:tcPr>
          <w:p w14:paraId="1FF7C5E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3,790,832</w:t>
            </w:r>
          </w:p>
        </w:tc>
        <w:tc>
          <w:tcPr>
            <w:tcW w:w="992" w:type="dxa"/>
            <w:vAlign w:val="center"/>
          </w:tcPr>
          <w:p w14:paraId="7F6FF43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1,498,138</w:t>
            </w:r>
          </w:p>
        </w:tc>
        <w:tc>
          <w:tcPr>
            <w:tcW w:w="992" w:type="dxa"/>
            <w:vAlign w:val="center"/>
          </w:tcPr>
          <w:p w14:paraId="04F9469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630,787</w:t>
            </w:r>
          </w:p>
        </w:tc>
        <w:tc>
          <w:tcPr>
            <w:tcW w:w="1089" w:type="dxa"/>
            <w:vAlign w:val="bottom"/>
          </w:tcPr>
          <w:p w14:paraId="6A15C98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2,383,057</w:t>
            </w:r>
          </w:p>
        </w:tc>
      </w:tr>
      <w:tr w:rsidR="005E7B88" w:rsidRPr="00371FCE" w14:paraId="0767AFD8" w14:textId="77777777" w:rsidTr="00121CDB">
        <w:tblPrEx>
          <w:tblBorders>
            <w:top w:val="none" w:sz="0" w:space="0" w:color="auto"/>
          </w:tblBorders>
        </w:tblPrEx>
        <w:trPr>
          <w:jc w:val="center"/>
        </w:trPr>
        <w:tc>
          <w:tcPr>
            <w:tcW w:w="567" w:type="dxa"/>
            <w:vMerge/>
            <w:textDirection w:val="btLr"/>
            <w:vAlign w:val="center"/>
          </w:tcPr>
          <w:p w14:paraId="3235981E"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D1982B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Olive Pascoe R</w:t>
            </w:r>
          </w:p>
        </w:tc>
        <w:tc>
          <w:tcPr>
            <w:tcW w:w="992" w:type="dxa"/>
            <w:vAlign w:val="center"/>
          </w:tcPr>
          <w:p w14:paraId="66B8EC8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2,570,189</w:t>
            </w:r>
          </w:p>
        </w:tc>
        <w:tc>
          <w:tcPr>
            <w:tcW w:w="1134" w:type="dxa"/>
            <w:shd w:val="clear" w:color="auto" w:fill="FD8608"/>
            <w:vAlign w:val="center"/>
          </w:tcPr>
          <w:p w14:paraId="5F5660B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5,918,996</w:t>
            </w:r>
          </w:p>
        </w:tc>
        <w:tc>
          <w:tcPr>
            <w:tcW w:w="992" w:type="dxa"/>
            <w:vAlign w:val="center"/>
          </w:tcPr>
          <w:p w14:paraId="0FC9216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2,275,527</w:t>
            </w:r>
          </w:p>
        </w:tc>
        <w:tc>
          <w:tcPr>
            <w:tcW w:w="992" w:type="dxa"/>
            <w:vAlign w:val="center"/>
          </w:tcPr>
          <w:p w14:paraId="321231F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2,483,531</w:t>
            </w:r>
          </w:p>
        </w:tc>
        <w:tc>
          <w:tcPr>
            <w:tcW w:w="993" w:type="dxa"/>
            <w:shd w:val="clear" w:color="auto" w:fill="FFFF0B"/>
            <w:vAlign w:val="center"/>
          </w:tcPr>
          <w:p w14:paraId="7F14E07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4,738,541</w:t>
            </w:r>
          </w:p>
        </w:tc>
        <w:tc>
          <w:tcPr>
            <w:tcW w:w="992" w:type="dxa"/>
            <w:shd w:val="clear" w:color="auto" w:fill="FFFF0B"/>
            <w:vAlign w:val="center"/>
          </w:tcPr>
          <w:p w14:paraId="5EF45DD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3,931,758</w:t>
            </w:r>
          </w:p>
        </w:tc>
        <w:tc>
          <w:tcPr>
            <w:tcW w:w="992" w:type="dxa"/>
            <w:vAlign w:val="center"/>
          </w:tcPr>
          <w:p w14:paraId="5FC00F7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788,484</w:t>
            </w:r>
          </w:p>
        </w:tc>
        <w:tc>
          <w:tcPr>
            <w:tcW w:w="1089" w:type="dxa"/>
            <w:vAlign w:val="bottom"/>
          </w:tcPr>
          <w:p w14:paraId="661D26D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2,978,821</w:t>
            </w:r>
          </w:p>
        </w:tc>
      </w:tr>
      <w:tr w:rsidR="005E7B88" w:rsidRPr="00371FCE" w14:paraId="097365DC" w14:textId="77777777" w:rsidTr="00121CDB">
        <w:tblPrEx>
          <w:tblBorders>
            <w:top w:val="none" w:sz="0" w:space="0" w:color="auto"/>
          </w:tblBorders>
        </w:tblPrEx>
        <w:trPr>
          <w:jc w:val="center"/>
        </w:trPr>
        <w:tc>
          <w:tcPr>
            <w:tcW w:w="567" w:type="dxa"/>
            <w:vMerge/>
            <w:textDirection w:val="btLr"/>
            <w:vAlign w:val="center"/>
          </w:tcPr>
          <w:p w14:paraId="2FD1AB9D"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19B17E1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Lockhart R</w:t>
            </w:r>
          </w:p>
        </w:tc>
        <w:tc>
          <w:tcPr>
            <w:tcW w:w="992" w:type="dxa"/>
            <w:vAlign w:val="center"/>
          </w:tcPr>
          <w:p w14:paraId="493E892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1,627,786</w:t>
            </w:r>
          </w:p>
        </w:tc>
        <w:tc>
          <w:tcPr>
            <w:tcW w:w="1134" w:type="dxa"/>
            <w:shd w:val="clear" w:color="auto" w:fill="FD8608"/>
            <w:vAlign w:val="center"/>
          </w:tcPr>
          <w:p w14:paraId="7F20665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3,748,697</w:t>
            </w:r>
          </w:p>
        </w:tc>
        <w:tc>
          <w:tcPr>
            <w:tcW w:w="992" w:type="dxa"/>
            <w:vAlign w:val="center"/>
          </w:tcPr>
          <w:p w14:paraId="1904361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1,441,167</w:t>
            </w:r>
          </w:p>
        </w:tc>
        <w:tc>
          <w:tcPr>
            <w:tcW w:w="992" w:type="dxa"/>
            <w:vAlign w:val="center"/>
          </w:tcPr>
          <w:p w14:paraId="519CA3B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1,572,903</w:t>
            </w:r>
          </w:p>
        </w:tc>
        <w:tc>
          <w:tcPr>
            <w:tcW w:w="993" w:type="dxa"/>
            <w:shd w:val="clear" w:color="auto" w:fill="FFFF0B"/>
            <w:vAlign w:val="center"/>
          </w:tcPr>
          <w:p w14:paraId="014191A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3,001,076</w:t>
            </w:r>
          </w:p>
        </w:tc>
        <w:tc>
          <w:tcPr>
            <w:tcW w:w="992" w:type="dxa"/>
            <w:vAlign w:val="center"/>
          </w:tcPr>
          <w:p w14:paraId="4B7C816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1,186,026</w:t>
            </w:r>
          </w:p>
        </w:tc>
        <w:tc>
          <w:tcPr>
            <w:tcW w:w="992" w:type="dxa"/>
            <w:vAlign w:val="center"/>
          </w:tcPr>
          <w:p w14:paraId="027D94A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499,373</w:t>
            </w:r>
          </w:p>
        </w:tc>
        <w:tc>
          <w:tcPr>
            <w:tcW w:w="1089" w:type="dxa"/>
            <w:vAlign w:val="bottom"/>
          </w:tcPr>
          <w:p w14:paraId="26BBB09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1,886,587</w:t>
            </w:r>
          </w:p>
        </w:tc>
      </w:tr>
      <w:tr w:rsidR="005E7B88" w:rsidRPr="00371FCE" w14:paraId="10291FD2" w14:textId="77777777" w:rsidTr="00121CDB">
        <w:tblPrEx>
          <w:tblBorders>
            <w:top w:val="none" w:sz="0" w:space="0" w:color="auto"/>
          </w:tblBorders>
        </w:tblPrEx>
        <w:trPr>
          <w:jc w:val="center"/>
        </w:trPr>
        <w:tc>
          <w:tcPr>
            <w:tcW w:w="567" w:type="dxa"/>
            <w:vMerge/>
            <w:textDirection w:val="btLr"/>
            <w:vAlign w:val="center"/>
          </w:tcPr>
          <w:p w14:paraId="2B1765D7"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3BAAB66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Stewart R</w:t>
            </w:r>
          </w:p>
        </w:tc>
        <w:tc>
          <w:tcPr>
            <w:tcW w:w="992" w:type="dxa"/>
            <w:vAlign w:val="center"/>
          </w:tcPr>
          <w:p w14:paraId="1F25853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685,263</w:t>
            </w:r>
          </w:p>
        </w:tc>
        <w:tc>
          <w:tcPr>
            <w:tcW w:w="1134" w:type="dxa"/>
            <w:shd w:val="clear" w:color="auto" w:fill="FB0007"/>
            <w:vAlign w:val="center"/>
          </w:tcPr>
          <w:p w14:paraId="7D73332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2,180,850</w:t>
            </w:r>
          </w:p>
        </w:tc>
        <w:tc>
          <w:tcPr>
            <w:tcW w:w="992" w:type="dxa"/>
            <w:vAlign w:val="center"/>
          </w:tcPr>
          <w:p w14:paraId="477DC87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616,070</w:t>
            </w:r>
          </w:p>
        </w:tc>
        <w:tc>
          <w:tcPr>
            <w:tcW w:w="992" w:type="dxa"/>
            <w:vAlign w:val="center"/>
          </w:tcPr>
          <w:p w14:paraId="3F8055B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523,353</w:t>
            </w:r>
          </w:p>
        </w:tc>
        <w:tc>
          <w:tcPr>
            <w:tcW w:w="993" w:type="dxa"/>
            <w:shd w:val="clear" w:color="auto" w:fill="FFFF0B"/>
            <w:vAlign w:val="center"/>
          </w:tcPr>
          <w:p w14:paraId="3965618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1,311,775</w:t>
            </w:r>
          </w:p>
        </w:tc>
        <w:tc>
          <w:tcPr>
            <w:tcW w:w="992" w:type="dxa"/>
            <w:vAlign w:val="center"/>
          </w:tcPr>
          <w:p w14:paraId="015BC1F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298,816</w:t>
            </w:r>
          </w:p>
        </w:tc>
        <w:tc>
          <w:tcPr>
            <w:tcW w:w="992" w:type="dxa"/>
            <w:vAlign w:val="center"/>
          </w:tcPr>
          <w:p w14:paraId="382D5B4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311,901</w:t>
            </w:r>
          </w:p>
        </w:tc>
        <w:tc>
          <w:tcPr>
            <w:tcW w:w="1089" w:type="dxa"/>
            <w:vAlign w:val="bottom"/>
          </w:tcPr>
          <w:p w14:paraId="3F147DC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685,263</w:t>
            </w:r>
          </w:p>
        </w:tc>
      </w:tr>
      <w:tr w:rsidR="005E7B88" w:rsidRPr="00371FCE" w14:paraId="6E6D2EAC" w14:textId="77777777" w:rsidTr="00121CDB">
        <w:tblPrEx>
          <w:tblBorders>
            <w:top w:val="none" w:sz="0" w:space="0" w:color="auto"/>
          </w:tblBorders>
        </w:tblPrEx>
        <w:trPr>
          <w:jc w:val="center"/>
        </w:trPr>
        <w:tc>
          <w:tcPr>
            <w:tcW w:w="567" w:type="dxa"/>
            <w:vMerge/>
            <w:textDirection w:val="btLr"/>
            <w:vAlign w:val="center"/>
          </w:tcPr>
          <w:p w14:paraId="14B67270"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3651008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Normanby R</w:t>
            </w:r>
          </w:p>
        </w:tc>
        <w:tc>
          <w:tcPr>
            <w:tcW w:w="992" w:type="dxa"/>
            <w:vAlign w:val="center"/>
          </w:tcPr>
          <w:p w14:paraId="5C8E7D6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3,860,395</w:t>
            </w:r>
          </w:p>
        </w:tc>
        <w:tc>
          <w:tcPr>
            <w:tcW w:w="1134" w:type="dxa"/>
            <w:shd w:val="clear" w:color="auto" w:fill="FD8608"/>
            <w:vAlign w:val="center"/>
          </w:tcPr>
          <w:p w14:paraId="616DDF5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11,333,284</w:t>
            </w:r>
          </w:p>
        </w:tc>
        <w:tc>
          <w:tcPr>
            <w:tcW w:w="992" w:type="dxa"/>
            <w:vAlign w:val="center"/>
          </w:tcPr>
          <w:p w14:paraId="4F1ED1C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2,181,990</w:t>
            </w:r>
          </w:p>
        </w:tc>
        <w:tc>
          <w:tcPr>
            <w:tcW w:w="992" w:type="dxa"/>
            <w:vAlign w:val="center"/>
          </w:tcPr>
          <w:p w14:paraId="6C633ED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3,462,238</w:t>
            </w:r>
          </w:p>
        </w:tc>
        <w:tc>
          <w:tcPr>
            <w:tcW w:w="993" w:type="dxa"/>
            <w:vAlign w:val="center"/>
          </w:tcPr>
          <w:p w14:paraId="366FE0F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5,059,657</w:t>
            </w:r>
          </w:p>
        </w:tc>
        <w:tc>
          <w:tcPr>
            <w:tcW w:w="992" w:type="dxa"/>
            <w:vAlign w:val="center"/>
          </w:tcPr>
          <w:p w14:paraId="7D15D8D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2,914,859</w:t>
            </w:r>
          </w:p>
        </w:tc>
        <w:tc>
          <w:tcPr>
            <w:tcW w:w="992" w:type="dxa"/>
            <w:vAlign w:val="center"/>
          </w:tcPr>
          <w:p w14:paraId="4A2D898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3,407,359</w:t>
            </w:r>
          </w:p>
        </w:tc>
        <w:tc>
          <w:tcPr>
            <w:tcW w:w="1089" w:type="dxa"/>
            <w:vAlign w:val="bottom"/>
          </w:tcPr>
          <w:p w14:paraId="5001C19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3,780,651</w:t>
            </w:r>
          </w:p>
        </w:tc>
      </w:tr>
      <w:tr w:rsidR="005E7B88" w:rsidRPr="00371FCE" w14:paraId="5E2D0562" w14:textId="77777777" w:rsidTr="00121CDB">
        <w:tblPrEx>
          <w:tblBorders>
            <w:top w:val="none" w:sz="0" w:space="0" w:color="auto"/>
          </w:tblBorders>
        </w:tblPrEx>
        <w:trPr>
          <w:jc w:val="center"/>
        </w:trPr>
        <w:tc>
          <w:tcPr>
            <w:tcW w:w="567" w:type="dxa"/>
            <w:vMerge/>
            <w:textDirection w:val="btLr"/>
            <w:vAlign w:val="center"/>
          </w:tcPr>
          <w:p w14:paraId="6DA474BE"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591F8B6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Jeannie R</w:t>
            </w:r>
          </w:p>
        </w:tc>
        <w:tc>
          <w:tcPr>
            <w:tcW w:w="992" w:type="dxa"/>
            <w:vAlign w:val="center"/>
          </w:tcPr>
          <w:p w14:paraId="2A336A9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1,434,447</w:t>
            </w:r>
          </w:p>
        </w:tc>
        <w:tc>
          <w:tcPr>
            <w:tcW w:w="1134" w:type="dxa"/>
            <w:shd w:val="clear" w:color="auto" w:fill="FD8608"/>
            <w:vAlign w:val="center"/>
          </w:tcPr>
          <w:p w14:paraId="118D3F4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2,824,817</w:t>
            </w:r>
          </w:p>
        </w:tc>
        <w:tc>
          <w:tcPr>
            <w:tcW w:w="992" w:type="dxa"/>
            <w:vAlign w:val="center"/>
          </w:tcPr>
          <w:p w14:paraId="72C2775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1,048,269</w:t>
            </w:r>
          </w:p>
        </w:tc>
        <w:tc>
          <w:tcPr>
            <w:tcW w:w="992" w:type="dxa"/>
            <w:vAlign w:val="center"/>
          </w:tcPr>
          <w:p w14:paraId="296A176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695,195</w:t>
            </w:r>
          </w:p>
        </w:tc>
        <w:tc>
          <w:tcPr>
            <w:tcW w:w="993" w:type="dxa"/>
            <w:shd w:val="clear" w:color="auto" w:fill="FFFF0B"/>
            <w:vAlign w:val="center"/>
          </w:tcPr>
          <w:p w14:paraId="6611BF7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1,869,982</w:t>
            </w:r>
          </w:p>
        </w:tc>
        <w:tc>
          <w:tcPr>
            <w:tcW w:w="992" w:type="dxa"/>
            <w:vAlign w:val="center"/>
          </w:tcPr>
          <w:p w14:paraId="51EBE0C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1,434,447</w:t>
            </w:r>
          </w:p>
        </w:tc>
        <w:tc>
          <w:tcPr>
            <w:tcW w:w="992" w:type="dxa"/>
            <w:vAlign w:val="center"/>
          </w:tcPr>
          <w:p w14:paraId="611BC96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1,581,015</w:t>
            </w:r>
          </w:p>
        </w:tc>
        <w:tc>
          <w:tcPr>
            <w:tcW w:w="1089" w:type="dxa"/>
            <w:vAlign w:val="bottom"/>
          </w:tcPr>
          <w:p w14:paraId="020A3F5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1,746,929</w:t>
            </w:r>
          </w:p>
        </w:tc>
      </w:tr>
      <w:tr w:rsidR="005E7B88" w:rsidRPr="00371FCE" w14:paraId="463DA855" w14:textId="77777777" w:rsidTr="00121CDB">
        <w:tblPrEx>
          <w:tblBorders>
            <w:top w:val="none" w:sz="0" w:space="0" w:color="auto"/>
          </w:tblBorders>
        </w:tblPrEx>
        <w:trPr>
          <w:jc w:val="center"/>
        </w:trPr>
        <w:tc>
          <w:tcPr>
            <w:tcW w:w="567" w:type="dxa"/>
            <w:vMerge/>
            <w:textDirection w:val="btLr"/>
            <w:vAlign w:val="center"/>
          </w:tcPr>
          <w:p w14:paraId="00346875"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7598118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Endeavour R</w:t>
            </w:r>
          </w:p>
        </w:tc>
        <w:tc>
          <w:tcPr>
            <w:tcW w:w="992" w:type="dxa"/>
            <w:vAlign w:val="center"/>
          </w:tcPr>
          <w:p w14:paraId="65E5CE7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932,391</w:t>
            </w:r>
          </w:p>
        </w:tc>
        <w:tc>
          <w:tcPr>
            <w:tcW w:w="1134" w:type="dxa"/>
            <w:shd w:val="clear" w:color="auto" w:fill="FD8608"/>
            <w:vAlign w:val="center"/>
          </w:tcPr>
          <w:p w14:paraId="3C2DE89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1,836,131</w:t>
            </w:r>
          </w:p>
        </w:tc>
        <w:tc>
          <w:tcPr>
            <w:tcW w:w="992" w:type="dxa"/>
            <w:vAlign w:val="center"/>
          </w:tcPr>
          <w:p w14:paraId="4841E33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681,375</w:t>
            </w:r>
          </w:p>
        </w:tc>
        <w:tc>
          <w:tcPr>
            <w:tcW w:w="992" w:type="dxa"/>
            <w:vAlign w:val="center"/>
          </w:tcPr>
          <w:p w14:paraId="22B7A64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451,877</w:t>
            </w:r>
          </w:p>
        </w:tc>
        <w:tc>
          <w:tcPr>
            <w:tcW w:w="993" w:type="dxa"/>
            <w:shd w:val="clear" w:color="auto" w:fill="FFFF0B"/>
            <w:vAlign w:val="center"/>
          </w:tcPr>
          <w:p w14:paraId="7A73BD9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1,215,488</w:t>
            </w:r>
          </w:p>
        </w:tc>
        <w:tc>
          <w:tcPr>
            <w:tcW w:w="992" w:type="dxa"/>
            <w:vAlign w:val="center"/>
          </w:tcPr>
          <w:p w14:paraId="453C95E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932,391</w:t>
            </w:r>
          </w:p>
        </w:tc>
        <w:tc>
          <w:tcPr>
            <w:tcW w:w="992" w:type="dxa"/>
            <w:vAlign w:val="center"/>
          </w:tcPr>
          <w:p w14:paraId="4050AA1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1,027,660</w:t>
            </w:r>
          </w:p>
        </w:tc>
        <w:tc>
          <w:tcPr>
            <w:tcW w:w="1089" w:type="dxa"/>
            <w:vAlign w:val="bottom"/>
          </w:tcPr>
          <w:p w14:paraId="719A445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1,135,504</w:t>
            </w:r>
          </w:p>
        </w:tc>
      </w:tr>
      <w:tr w:rsidR="005E7B88" w:rsidRPr="00371FCE" w14:paraId="2D0611BC" w14:textId="77777777" w:rsidTr="00121CDB">
        <w:tblPrEx>
          <w:tblBorders>
            <w:top w:val="none" w:sz="0" w:space="0" w:color="auto"/>
          </w:tblBorders>
        </w:tblPrEx>
        <w:trPr>
          <w:jc w:val="center"/>
        </w:trPr>
        <w:tc>
          <w:tcPr>
            <w:tcW w:w="567" w:type="dxa"/>
            <w:vMerge w:val="restart"/>
            <w:textDirection w:val="btLr"/>
            <w:vAlign w:val="center"/>
          </w:tcPr>
          <w:p w14:paraId="466FAB28"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Wet Tropics</w:t>
            </w:r>
          </w:p>
        </w:tc>
        <w:tc>
          <w:tcPr>
            <w:tcW w:w="1560" w:type="dxa"/>
            <w:vAlign w:val="center"/>
          </w:tcPr>
          <w:p w14:paraId="4505F50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Daintree R</w:t>
            </w:r>
          </w:p>
        </w:tc>
        <w:tc>
          <w:tcPr>
            <w:tcW w:w="992" w:type="dxa"/>
            <w:vAlign w:val="center"/>
          </w:tcPr>
          <w:p w14:paraId="1096AD3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1,729,411</w:t>
            </w:r>
          </w:p>
        </w:tc>
        <w:tc>
          <w:tcPr>
            <w:tcW w:w="1134" w:type="dxa"/>
            <w:shd w:val="clear" w:color="auto" w:fill="FD8608"/>
            <w:vAlign w:val="center"/>
          </w:tcPr>
          <w:p w14:paraId="7F7F16D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3,936,470</w:t>
            </w:r>
          </w:p>
        </w:tc>
        <w:tc>
          <w:tcPr>
            <w:tcW w:w="992" w:type="dxa"/>
            <w:vAlign w:val="center"/>
          </w:tcPr>
          <w:p w14:paraId="499C922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2,396,905</w:t>
            </w:r>
          </w:p>
        </w:tc>
        <w:tc>
          <w:tcPr>
            <w:tcW w:w="992" w:type="dxa"/>
            <w:vAlign w:val="center"/>
          </w:tcPr>
          <w:p w14:paraId="16A067E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1,668,302</w:t>
            </w:r>
          </w:p>
        </w:tc>
        <w:tc>
          <w:tcPr>
            <w:tcW w:w="993" w:type="dxa"/>
            <w:shd w:val="clear" w:color="auto" w:fill="FB0007"/>
            <w:vAlign w:val="center"/>
          </w:tcPr>
          <w:p w14:paraId="22BE81B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5,137,023</w:t>
            </w:r>
          </w:p>
        </w:tc>
        <w:tc>
          <w:tcPr>
            <w:tcW w:w="992" w:type="dxa"/>
            <w:vAlign w:val="center"/>
          </w:tcPr>
          <w:p w14:paraId="018385A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1,905,224</w:t>
            </w:r>
          </w:p>
        </w:tc>
        <w:tc>
          <w:tcPr>
            <w:tcW w:w="992" w:type="dxa"/>
            <w:vAlign w:val="center"/>
          </w:tcPr>
          <w:p w14:paraId="2DAA28C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1,623,478</w:t>
            </w:r>
          </w:p>
        </w:tc>
        <w:tc>
          <w:tcPr>
            <w:tcW w:w="1089" w:type="dxa"/>
            <w:vAlign w:val="bottom"/>
          </w:tcPr>
          <w:p w14:paraId="73EB82C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1,931,878</w:t>
            </w:r>
          </w:p>
        </w:tc>
      </w:tr>
      <w:tr w:rsidR="005E7B88" w:rsidRPr="00371FCE" w14:paraId="6DD543BC" w14:textId="77777777" w:rsidTr="00121CDB">
        <w:tblPrEx>
          <w:tblBorders>
            <w:top w:val="none" w:sz="0" w:space="0" w:color="auto"/>
          </w:tblBorders>
        </w:tblPrEx>
        <w:trPr>
          <w:jc w:val="center"/>
        </w:trPr>
        <w:tc>
          <w:tcPr>
            <w:tcW w:w="567" w:type="dxa"/>
            <w:vMerge/>
            <w:textDirection w:val="btLr"/>
            <w:vAlign w:val="center"/>
          </w:tcPr>
          <w:p w14:paraId="5CE322F3"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10C0B35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Mossman R</w:t>
            </w:r>
          </w:p>
        </w:tc>
        <w:tc>
          <w:tcPr>
            <w:tcW w:w="992" w:type="dxa"/>
            <w:vAlign w:val="center"/>
          </w:tcPr>
          <w:p w14:paraId="4BAC31F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1,195,130</w:t>
            </w:r>
          </w:p>
        </w:tc>
        <w:tc>
          <w:tcPr>
            <w:tcW w:w="1134" w:type="dxa"/>
            <w:shd w:val="clear" w:color="auto" w:fill="FFFF0B"/>
            <w:vAlign w:val="center"/>
          </w:tcPr>
          <w:p w14:paraId="2805E77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2,014,902</w:t>
            </w:r>
          </w:p>
        </w:tc>
        <w:tc>
          <w:tcPr>
            <w:tcW w:w="992" w:type="dxa"/>
            <w:vAlign w:val="center"/>
          </w:tcPr>
          <w:p w14:paraId="058E6B9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1,526,184</w:t>
            </w:r>
          </w:p>
        </w:tc>
        <w:tc>
          <w:tcPr>
            <w:tcW w:w="992" w:type="dxa"/>
            <w:vAlign w:val="center"/>
          </w:tcPr>
          <w:p w14:paraId="43C18C9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1,147,367</w:t>
            </w:r>
          </w:p>
        </w:tc>
        <w:tc>
          <w:tcPr>
            <w:tcW w:w="993" w:type="dxa"/>
            <w:shd w:val="clear" w:color="auto" w:fill="FFFF0B"/>
            <w:vAlign w:val="center"/>
          </w:tcPr>
          <w:p w14:paraId="733C554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1,918,522</w:t>
            </w:r>
          </w:p>
        </w:tc>
        <w:tc>
          <w:tcPr>
            <w:tcW w:w="992" w:type="dxa"/>
            <w:vAlign w:val="center"/>
          </w:tcPr>
          <w:p w14:paraId="6CA144E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874,068</w:t>
            </w:r>
          </w:p>
        </w:tc>
        <w:tc>
          <w:tcPr>
            <w:tcW w:w="992" w:type="dxa"/>
            <w:vAlign w:val="center"/>
          </w:tcPr>
          <w:p w14:paraId="01DC911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1,245,275</w:t>
            </w:r>
          </w:p>
        </w:tc>
        <w:tc>
          <w:tcPr>
            <w:tcW w:w="1089" w:type="dxa"/>
            <w:vAlign w:val="bottom"/>
          </w:tcPr>
          <w:p w14:paraId="05B78E2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1,142,698</w:t>
            </w:r>
          </w:p>
        </w:tc>
      </w:tr>
      <w:tr w:rsidR="005E7B88" w:rsidRPr="00371FCE" w14:paraId="29C9A0DE" w14:textId="77777777" w:rsidTr="00121CDB">
        <w:tblPrEx>
          <w:tblBorders>
            <w:top w:val="none" w:sz="0" w:space="0" w:color="auto"/>
          </w:tblBorders>
        </w:tblPrEx>
        <w:trPr>
          <w:jc w:val="center"/>
        </w:trPr>
        <w:tc>
          <w:tcPr>
            <w:tcW w:w="567" w:type="dxa"/>
            <w:vMerge/>
            <w:textDirection w:val="btLr"/>
            <w:vAlign w:val="center"/>
          </w:tcPr>
          <w:p w14:paraId="299484C4"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1B6191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Barron R</w:t>
            </w:r>
          </w:p>
        </w:tc>
        <w:tc>
          <w:tcPr>
            <w:tcW w:w="992" w:type="dxa"/>
            <w:vAlign w:val="center"/>
          </w:tcPr>
          <w:p w14:paraId="01EE331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516,958</w:t>
            </w:r>
          </w:p>
        </w:tc>
        <w:tc>
          <w:tcPr>
            <w:tcW w:w="1134" w:type="dxa"/>
            <w:shd w:val="clear" w:color="auto" w:fill="FB0007"/>
            <w:vAlign w:val="center"/>
          </w:tcPr>
          <w:p w14:paraId="2A2A029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2,119,801</w:t>
            </w:r>
          </w:p>
        </w:tc>
        <w:tc>
          <w:tcPr>
            <w:tcW w:w="992" w:type="dxa"/>
            <w:shd w:val="clear" w:color="auto" w:fill="FFFF0B"/>
            <w:vAlign w:val="center"/>
          </w:tcPr>
          <w:p w14:paraId="28B25EE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852,055</w:t>
            </w:r>
          </w:p>
        </w:tc>
        <w:tc>
          <w:tcPr>
            <w:tcW w:w="992" w:type="dxa"/>
            <w:vAlign w:val="center"/>
          </w:tcPr>
          <w:p w14:paraId="5DEED08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328,260</w:t>
            </w:r>
          </w:p>
        </w:tc>
        <w:tc>
          <w:tcPr>
            <w:tcW w:w="993" w:type="dxa"/>
            <w:vAlign w:val="center"/>
          </w:tcPr>
          <w:p w14:paraId="2DC2AF6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663,966</w:t>
            </w:r>
          </w:p>
        </w:tc>
        <w:tc>
          <w:tcPr>
            <w:tcW w:w="992" w:type="dxa"/>
            <w:vAlign w:val="center"/>
          </w:tcPr>
          <w:p w14:paraId="20CEB1A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380,395</w:t>
            </w:r>
          </w:p>
        </w:tc>
        <w:tc>
          <w:tcPr>
            <w:tcW w:w="992" w:type="dxa"/>
            <w:vAlign w:val="center"/>
          </w:tcPr>
          <w:p w14:paraId="3482C50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182,999</w:t>
            </w:r>
          </w:p>
        </w:tc>
        <w:tc>
          <w:tcPr>
            <w:tcW w:w="1089" w:type="dxa"/>
            <w:vAlign w:val="bottom"/>
          </w:tcPr>
          <w:p w14:paraId="17CCE06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287,790</w:t>
            </w:r>
          </w:p>
        </w:tc>
      </w:tr>
      <w:tr w:rsidR="005E7B88" w:rsidRPr="00371FCE" w14:paraId="525D022B" w14:textId="77777777" w:rsidTr="00121CDB">
        <w:tblPrEx>
          <w:tblBorders>
            <w:top w:val="none" w:sz="0" w:space="0" w:color="auto"/>
          </w:tblBorders>
        </w:tblPrEx>
        <w:trPr>
          <w:jc w:val="center"/>
        </w:trPr>
        <w:tc>
          <w:tcPr>
            <w:tcW w:w="567" w:type="dxa"/>
            <w:vMerge/>
            <w:textDirection w:val="btLr"/>
            <w:vAlign w:val="center"/>
          </w:tcPr>
          <w:p w14:paraId="372D2922"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5A8FD7F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Mulgrave-Russell R</w:t>
            </w:r>
          </w:p>
        </w:tc>
        <w:tc>
          <w:tcPr>
            <w:tcW w:w="992" w:type="dxa"/>
            <w:vAlign w:val="center"/>
          </w:tcPr>
          <w:p w14:paraId="5B5C032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4,415,631</w:t>
            </w:r>
          </w:p>
        </w:tc>
        <w:tc>
          <w:tcPr>
            <w:tcW w:w="1134" w:type="dxa"/>
            <w:shd w:val="clear" w:color="auto" w:fill="FFFF0B"/>
            <w:vAlign w:val="center"/>
          </w:tcPr>
          <w:p w14:paraId="73F2D24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7,892,713</w:t>
            </w:r>
          </w:p>
        </w:tc>
        <w:tc>
          <w:tcPr>
            <w:tcW w:w="992" w:type="dxa"/>
            <w:vAlign w:val="center"/>
          </w:tcPr>
          <w:p w14:paraId="4578D99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5,696,594</w:t>
            </w:r>
          </w:p>
        </w:tc>
        <w:tc>
          <w:tcPr>
            <w:tcW w:w="992" w:type="dxa"/>
            <w:vAlign w:val="center"/>
          </w:tcPr>
          <w:p w14:paraId="48401E8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3,529,862</w:t>
            </w:r>
          </w:p>
        </w:tc>
        <w:tc>
          <w:tcPr>
            <w:tcW w:w="993" w:type="dxa"/>
            <w:vAlign w:val="center"/>
          </w:tcPr>
          <w:p w14:paraId="5EE0862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5,420,678</w:t>
            </w:r>
          </w:p>
        </w:tc>
        <w:tc>
          <w:tcPr>
            <w:tcW w:w="992" w:type="dxa"/>
            <w:vAlign w:val="center"/>
          </w:tcPr>
          <w:p w14:paraId="6688315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3,145,787</w:t>
            </w:r>
          </w:p>
        </w:tc>
        <w:tc>
          <w:tcPr>
            <w:tcW w:w="992" w:type="dxa"/>
            <w:vAlign w:val="center"/>
          </w:tcPr>
          <w:p w14:paraId="11DA551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3,253,825</w:t>
            </w:r>
          </w:p>
        </w:tc>
        <w:tc>
          <w:tcPr>
            <w:tcW w:w="1089" w:type="dxa"/>
            <w:vAlign w:val="bottom"/>
          </w:tcPr>
          <w:p w14:paraId="7FFE1AF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3,015,734</w:t>
            </w:r>
          </w:p>
        </w:tc>
      </w:tr>
      <w:tr w:rsidR="005E7B88" w:rsidRPr="00371FCE" w14:paraId="12C15ABB" w14:textId="77777777" w:rsidTr="00121CDB">
        <w:tblPrEx>
          <w:tblBorders>
            <w:top w:val="none" w:sz="0" w:space="0" w:color="auto"/>
          </w:tblBorders>
        </w:tblPrEx>
        <w:trPr>
          <w:jc w:val="center"/>
        </w:trPr>
        <w:tc>
          <w:tcPr>
            <w:tcW w:w="567" w:type="dxa"/>
            <w:vMerge/>
            <w:textDirection w:val="btLr"/>
            <w:vAlign w:val="center"/>
          </w:tcPr>
          <w:p w14:paraId="55290B74"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22A9473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Johnstone R</w:t>
            </w:r>
          </w:p>
        </w:tc>
        <w:tc>
          <w:tcPr>
            <w:tcW w:w="992" w:type="dxa"/>
            <w:vAlign w:val="center"/>
          </w:tcPr>
          <w:p w14:paraId="531D0BC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4,712,497</w:t>
            </w:r>
          </w:p>
        </w:tc>
        <w:tc>
          <w:tcPr>
            <w:tcW w:w="1134" w:type="dxa"/>
            <w:shd w:val="clear" w:color="auto" w:fill="FD8608"/>
            <w:vAlign w:val="center"/>
          </w:tcPr>
          <w:p w14:paraId="1C59972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9,276,874</w:t>
            </w:r>
          </w:p>
        </w:tc>
        <w:tc>
          <w:tcPr>
            <w:tcW w:w="992" w:type="dxa"/>
            <w:vAlign w:val="center"/>
          </w:tcPr>
          <w:p w14:paraId="34078B8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5,338,591</w:t>
            </w:r>
          </w:p>
        </w:tc>
        <w:tc>
          <w:tcPr>
            <w:tcW w:w="992" w:type="dxa"/>
            <w:vAlign w:val="center"/>
          </w:tcPr>
          <w:p w14:paraId="208193C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3,720,020</w:t>
            </w:r>
          </w:p>
        </w:tc>
        <w:tc>
          <w:tcPr>
            <w:tcW w:w="993" w:type="dxa"/>
            <w:vAlign w:val="center"/>
          </w:tcPr>
          <w:p w14:paraId="260E7D2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5,403,534</w:t>
            </w:r>
          </w:p>
        </w:tc>
        <w:tc>
          <w:tcPr>
            <w:tcW w:w="992" w:type="dxa"/>
            <w:vAlign w:val="center"/>
          </w:tcPr>
          <w:p w14:paraId="14E313F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3,044,680</w:t>
            </w:r>
          </w:p>
        </w:tc>
        <w:tc>
          <w:tcPr>
            <w:tcW w:w="992" w:type="dxa"/>
            <w:vAlign w:val="center"/>
          </w:tcPr>
          <w:p w14:paraId="6680937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3,416,331</w:t>
            </w:r>
          </w:p>
        </w:tc>
        <w:tc>
          <w:tcPr>
            <w:tcW w:w="1089" w:type="dxa"/>
            <w:vAlign w:val="bottom"/>
          </w:tcPr>
          <w:p w14:paraId="6DA5F55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4,017,617</w:t>
            </w:r>
          </w:p>
        </w:tc>
      </w:tr>
      <w:tr w:rsidR="005E7B88" w:rsidRPr="00371FCE" w14:paraId="26DF1191" w14:textId="77777777" w:rsidTr="00121CDB">
        <w:tblPrEx>
          <w:tblBorders>
            <w:top w:val="none" w:sz="0" w:space="0" w:color="auto"/>
          </w:tblBorders>
        </w:tblPrEx>
        <w:trPr>
          <w:jc w:val="center"/>
        </w:trPr>
        <w:tc>
          <w:tcPr>
            <w:tcW w:w="567" w:type="dxa"/>
            <w:vMerge/>
            <w:textDirection w:val="btLr"/>
            <w:vAlign w:val="center"/>
          </w:tcPr>
          <w:p w14:paraId="1EC268DD"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233DB13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Tully R</w:t>
            </w:r>
          </w:p>
        </w:tc>
        <w:tc>
          <w:tcPr>
            <w:tcW w:w="992" w:type="dxa"/>
            <w:vAlign w:val="center"/>
          </w:tcPr>
          <w:p w14:paraId="10C4570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3,490,736</w:t>
            </w:r>
          </w:p>
        </w:tc>
        <w:tc>
          <w:tcPr>
            <w:tcW w:w="1134" w:type="dxa"/>
            <w:shd w:val="clear" w:color="auto" w:fill="FD8608"/>
            <w:vAlign w:val="center"/>
          </w:tcPr>
          <w:p w14:paraId="574BB5C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7,442,768</w:t>
            </w:r>
          </w:p>
        </w:tc>
        <w:tc>
          <w:tcPr>
            <w:tcW w:w="992" w:type="dxa"/>
            <w:vAlign w:val="center"/>
          </w:tcPr>
          <w:p w14:paraId="0E88A3E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3,425,096</w:t>
            </w:r>
          </w:p>
        </w:tc>
        <w:tc>
          <w:tcPr>
            <w:tcW w:w="992" w:type="dxa"/>
            <w:vAlign w:val="center"/>
          </w:tcPr>
          <w:p w14:paraId="2B039E6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3,341,887</w:t>
            </w:r>
          </w:p>
        </w:tc>
        <w:tc>
          <w:tcPr>
            <w:tcW w:w="993" w:type="dxa"/>
            <w:vAlign w:val="center"/>
          </w:tcPr>
          <w:p w14:paraId="44E0503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4,322,496</w:t>
            </w:r>
          </w:p>
        </w:tc>
        <w:tc>
          <w:tcPr>
            <w:tcW w:w="992" w:type="dxa"/>
            <w:vAlign w:val="center"/>
          </w:tcPr>
          <w:p w14:paraId="6C736CA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2,659,775</w:t>
            </w:r>
          </w:p>
        </w:tc>
        <w:tc>
          <w:tcPr>
            <w:tcW w:w="992" w:type="dxa"/>
            <w:vAlign w:val="center"/>
          </w:tcPr>
          <w:p w14:paraId="231B645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2,942,770</w:t>
            </w:r>
          </w:p>
        </w:tc>
        <w:tc>
          <w:tcPr>
            <w:tcW w:w="1089" w:type="dxa"/>
            <w:vAlign w:val="bottom"/>
          </w:tcPr>
          <w:p w14:paraId="6CE4F6D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3,098,701</w:t>
            </w:r>
          </w:p>
        </w:tc>
      </w:tr>
      <w:tr w:rsidR="005E7B88" w:rsidRPr="00371FCE" w14:paraId="3D25ED99" w14:textId="77777777" w:rsidTr="00121CDB">
        <w:tblPrEx>
          <w:tblBorders>
            <w:top w:val="none" w:sz="0" w:space="0" w:color="auto"/>
          </w:tblBorders>
        </w:tblPrEx>
        <w:trPr>
          <w:jc w:val="center"/>
        </w:trPr>
        <w:tc>
          <w:tcPr>
            <w:tcW w:w="567" w:type="dxa"/>
            <w:vMerge/>
            <w:textDirection w:val="btLr"/>
            <w:vAlign w:val="center"/>
          </w:tcPr>
          <w:p w14:paraId="56B1B1A1"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79F8520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Murray R</w:t>
            </w:r>
          </w:p>
        </w:tc>
        <w:tc>
          <w:tcPr>
            <w:tcW w:w="992" w:type="dxa"/>
            <w:vAlign w:val="center"/>
          </w:tcPr>
          <w:p w14:paraId="467040B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1,216,289</w:t>
            </w:r>
          </w:p>
        </w:tc>
        <w:tc>
          <w:tcPr>
            <w:tcW w:w="1134" w:type="dxa"/>
            <w:shd w:val="clear" w:color="auto" w:fill="FB0007"/>
            <w:vAlign w:val="center"/>
          </w:tcPr>
          <w:p w14:paraId="5B6EB84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4,267,125</w:t>
            </w:r>
          </w:p>
        </w:tc>
        <w:tc>
          <w:tcPr>
            <w:tcW w:w="992" w:type="dxa"/>
            <w:shd w:val="clear" w:color="auto" w:fill="FFFF0B"/>
            <w:vAlign w:val="center"/>
          </w:tcPr>
          <w:p w14:paraId="419FED1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2,062,103</w:t>
            </w:r>
          </w:p>
        </w:tc>
        <w:tc>
          <w:tcPr>
            <w:tcW w:w="992" w:type="dxa"/>
            <w:vAlign w:val="center"/>
          </w:tcPr>
          <w:p w14:paraId="2F580DE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1,006,286</w:t>
            </w:r>
          </w:p>
        </w:tc>
        <w:tc>
          <w:tcPr>
            <w:tcW w:w="993" w:type="dxa"/>
            <w:vAlign w:val="center"/>
          </w:tcPr>
          <w:p w14:paraId="601B5D9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1,531,172</w:t>
            </w:r>
          </w:p>
        </w:tc>
        <w:tc>
          <w:tcPr>
            <w:tcW w:w="992" w:type="dxa"/>
            <w:vAlign w:val="center"/>
          </w:tcPr>
          <w:p w14:paraId="14E26CE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366,212</w:t>
            </w:r>
          </w:p>
        </w:tc>
        <w:tc>
          <w:tcPr>
            <w:tcW w:w="992" w:type="dxa"/>
            <w:vAlign w:val="center"/>
          </w:tcPr>
          <w:p w14:paraId="4D78CE3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974,244</w:t>
            </w:r>
          </w:p>
        </w:tc>
        <w:tc>
          <w:tcPr>
            <w:tcW w:w="1089" w:type="dxa"/>
            <w:vAlign w:val="bottom"/>
          </w:tcPr>
          <w:p w14:paraId="2E8B9D7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947,985</w:t>
            </w:r>
          </w:p>
        </w:tc>
      </w:tr>
      <w:tr w:rsidR="005E7B88" w:rsidRPr="00371FCE" w14:paraId="60E15C2D" w14:textId="77777777" w:rsidTr="00121CDB">
        <w:tblPrEx>
          <w:tblBorders>
            <w:top w:val="none" w:sz="0" w:space="0" w:color="auto"/>
          </w:tblBorders>
        </w:tblPrEx>
        <w:trPr>
          <w:jc w:val="center"/>
        </w:trPr>
        <w:tc>
          <w:tcPr>
            <w:tcW w:w="567" w:type="dxa"/>
            <w:vMerge/>
            <w:textDirection w:val="btLr"/>
            <w:vAlign w:val="center"/>
          </w:tcPr>
          <w:p w14:paraId="7318E5F7"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1D3B175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Herbert R</w:t>
            </w:r>
          </w:p>
        </w:tc>
        <w:tc>
          <w:tcPr>
            <w:tcW w:w="992" w:type="dxa"/>
            <w:vAlign w:val="center"/>
          </w:tcPr>
          <w:p w14:paraId="7EFB199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3,478,592</w:t>
            </w:r>
          </w:p>
        </w:tc>
        <w:tc>
          <w:tcPr>
            <w:tcW w:w="1134" w:type="dxa"/>
            <w:shd w:val="clear" w:color="auto" w:fill="FB0007"/>
            <w:vAlign w:val="center"/>
          </w:tcPr>
          <w:p w14:paraId="02112CB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12,593,674</w:t>
            </w:r>
          </w:p>
        </w:tc>
        <w:tc>
          <w:tcPr>
            <w:tcW w:w="992" w:type="dxa"/>
            <w:vAlign w:val="center"/>
          </w:tcPr>
          <w:p w14:paraId="67ED3C5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4,545,193</w:t>
            </w:r>
          </w:p>
        </w:tc>
        <w:tc>
          <w:tcPr>
            <w:tcW w:w="992" w:type="dxa"/>
            <w:vAlign w:val="center"/>
          </w:tcPr>
          <w:p w14:paraId="13301FD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3,189,804</w:t>
            </w:r>
          </w:p>
        </w:tc>
        <w:tc>
          <w:tcPr>
            <w:tcW w:w="993" w:type="dxa"/>
            <w:vAlign w:val="center"/>
          </w:tcPr>
          <w:p w14:paraId="3841290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4,281,607</w:t>
            </w:r>
          </w:p>
        </w:tc>
        <w:tc>
          <w:tcPr>
            <w:tcW w:w="992" w:type="dxa"/>
            <w:vAlign w:val="center"/>
          </w:tcPr>
          <w:p w14:paraId="36CEFF4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1,095,372</w:t>
            </w:r>
          </w:p>
        </w:tc>
        <w:tc>
          <w:tcPr>
            <w:tcW w:w="992" w:type="dxa"/>
            <w:vAlign w:val="center"/>
          </w:tcPr>
          <w:p w14:paraId="3E24208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1,895,526</w:t>
            </w:r>
          </w:p>
        </w:tc>
        <w:tc>
          <w:tcPr>
            <w:tcW w:w="1089" w:type="dxa"/>
            <w:vAlign w:val="bottom"/>
          </w:tcPr>
          <w:p w14:paraId="0B01D8A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2,248,436</w:t>
            </w:r>
          </w:p>
        </w:tc>
      </w:tr>
      <w:tr w:rsidR="005E7B88" w:rsidRPr="00371FCE" w14:paraId="070761C4" w14:textId="77777777" w:rsidTr="00121CDB">
        <w:tblPrEx>
          <w:tblBorders>
            <w:top w:val="none" w:sz="0" w:space="0" w:color="auto"/>
          </w:tblBorders>
        </w:tblPrEx>
        <w:trPr>
          <w:jc w:val="center"/>
        </w:trPr>
        <w:tc>
          <w:tcPr>
            <w:tcW w:w="567" w:type="dxa"/>
            <w:vMerge w:val="restart"/>
            <w:textDirection w:val="btLr"/>
            <w:vAlign w:val="center"/>
          </w:tcPr>
          <w:p w14:paraId="409A1E90"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Burdekin</w:t>
            </w:r>
          </w:p>
        </w:tc>
        <w:tc>
          <w:tcPr>
            <w:tcW w:w="1560" w:type="dxa"/>
            <w:vAlign w:val="center"/>
          </w:tcPr>
          <w:p w14:paraId="7393499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Black R</w:t>
            </w:r>
          </w:p>
        </w:tc>
        <w:tc>
          <w:tcPr>
            <w:tcW w:w="992" w:type="dxa"/>
            <w:vAlign w:val="center"/>
          </w:tcPr>
          <w:p w14:paraId="747AE01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219,909</w:t>
            </w:r>
          </w:p>
        </w:tc>
        <w:tc>
          <w:tcPr>
            <w:tcW w:w="1134" w:type="dxa"/>
            <w:shd w:val="clear" w:color="auto" w:fill="FB0007"/>
            <w:vAlign w:val="center"/>
          </w:tcPr>
          <w:p w14:paraId="28F317F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1,424,283</w:t>
            </w:r>
          </w:p>
        </w:tc>
        <w:tc>
          <w:tcPr>
            <w:tcW w:w="992" w:type="dxa"/>
            <w:shd w:val="clear" w:color="auto" w:fill="FB0007"/>
            <w:vAlign w:val="center"/>
          </w:tcPr>
          <w:p w14:paraId="10EC0BB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747,328</w:t>
            </w:r>
          </w:p>
        </w:tc>
        <w:tc>
          <w:tcPr>
            <w:tcW w:w="992" w:type="dxa"/>
            <w:vAlign w:val="center"/>
          </w:tcPr>
          <w:p w14:paraId="4A8A5E4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188,468</w:t>
            </w:r>
          </w:p>
        </w:tc>
        <w:tc>
          <w:tcPr>
            <w:tcW w:w="993" w:type="dxa"/>
            <w:shd w:val="clear" w:color="auto" w:fill="FFFF0B"/>
            <w:vAlign w:val="center"/>
          </w:tcPr>
          <w:p w14:paraId="394F616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419,290</w:t>
            </w:r>
          </w:p>
        </w:tc>
        <w:tc>
          <w:tcPr>
            <w:tcW w:w="992" w:type="dxa"/>
            <w:vAlign w:val="center"/>
          </w:tcPr>
          <w:p w14:paraId="355841D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17,654</w:t>
            </w:r>
          </w:p>
        </w:tc>
        <w:tc>
          <w:tcPr>
            <w:tcW w:w="992" w:type="dxa"/>
            <w:vAlign w:val="center"/>
          </w:tcPr>
          <w:p w14:paraId="15E2F9B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129,783</w:t>
            </w:r>
          </w:p>
        </w:tc>
        <w:tc>
          <w:tcPr>
            <w:tcW w:w="1089" w:type="dxa"/>
            <w:vAlign w:val="bottom"/>
          </w:tcPr>
          <w:p w14:paraId="3F930A8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64,873</w:t>
            </w:r>
          </w:p>
        </w:tc>
      </w:tr>
      <w:tr w:rsidR="005E7B88" w:rsidRPr="00371FCE" w14:paraId="3F4CE6F8" w14:textId="77777777" w:rsidTr="00121CDB">
        <w:tblPrEx>
          <w:tblBorders>
            <w:top w:val="none" w:sz="0" w:space="0" w:color="auto"/>
          </w:tblBorders>
        </w:tblPrEx>
        <w:trPr>
          <w:jc w:val="center"/>
        </w:trPr>
        <w:tc>
          <w:tcPr>
            <w:tcW w:w="567" w:type="dxa"/>
            <w:vMerge/>
            <w:textDirection w:val="btLr"/>
            <w:vAlign w:val="center"/>
          </w:tcPr>
          <w:p w14:paraId="413E60B0"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11101A8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Ross R</w:t>
            </w:r>
          </w:p>
        </w:tc>
        <w:tc>
          <w:tcPr>
            <w:tcW w:w="992" w:type="dxa"/>
            <w:vAlign w:val="center"/>
          </w:tcPr>
          <w:p w14:paraId="31D677A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445,106</w:t>
            </w:r>
          </w:p>
        </w:tc>
        <w:tc>
          <w:tcPr>
            <w:tcW w:w="1134" w:type="dxa"/>
            <w:shd w:val="clear" w:color="auto" w:fill="FB0007"/>
            <w:vAlign w:val="center"/>
          </w:tcPr>
          <w:p w14:paraId="0BB9D80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2,092,684</w:t>
            </w:r>
          </w:p>
        </w:tc>
        <w:tc>
          <w:tcPr>
            <w:tcW w:w="992" w:type="dxa"/>
            <w:shd w:val="clear" w:color="auto" w:fill="FB0007"/>
            <w:vAlign w:val="center"/>
          </w:tcPr>
          <w:p w14:paraId="73A1568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1,324,707</w:t>
            </w:r>
          </w:p>
        </w:tc>
        <w:tc>
          <w:tcPr>
            <w:tcW w:w="992" w:type="dxa"/>
            <w:vAlign w:val="center"/>
          </w:tcPr>
          <w:p w14:paraId="0F80D4D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276,584</w:t>
            </w:r>
          </w:p>
        </w:tc>
        <w:tc>
          <w:tcPr>
            <w:tcW w:w="993" w:type="dxa"/>
            <w:shd w:val="clear" w:color="auto" w:fill="FD8608"/>
            <w:vAlign w:val="center"/>
          </w:tcPr>
          <w:p w14:paraId="5C72935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1,177,255</w:t>
            </w:r>
          </w:p>
        </w:tc>
        <w:tc>
          <w:tcPr>
            <w:tcW w:w="992" w:type="dxa"/>
            <w:vAlign w:val="bottom"/>
          </w:tcPr>
          <w:p w14:paraId="328C9E18" w14:textId="77777777" w:rsidR="005E7B88" w:rsidRPr="00371FCE" w:rsidRDefault="005E7B88" w:rsidP="00121CDB">
            <w:pPr>
              <w:autoSpaceDE w:val="0"/>
              <w:autoSpaceDN w:val="0"/>
              <w:adjustRightInd w:val="0"/>
              <w:spacing w:before="40" w:after="40"/>
              <w:jc w:val="center"/>
              <w:rPr>
                <w:rFonts w:cs="Calibri"/>
                <w:color w:val="000000"/>
                <w:sz w:val="14"/>
                <w:szCs w:val="14"/>
              </w:rPr>
            </w:pPr>
            <w:r w:rsidRPr="00371FCE">
              <w:rPr>
                <w:rFonts w:cs="Calibri"/>
                <w:color w:val="000000"/>
                <w:sz w:val="14"/>
                <w:szCs w:val="14"/>
              </w:rPr>
              <w:t>3,229</w:t>
            </w:r>
          </w:p>
        </w:tc>
        <w:tc>
          <w:tcPr>
            <w:tcW w:w="992" w:type="dxa"/>
            <w:vAlign w:val="bottom"/>
          </w:tcPr>
          <w:p w14:paraId="5799DEDA" w14:textId="77777777" w:rsidR="005E7B88" w:rsidRPr="00371FCE" w:rsidRDefault="005E7B88" w:rsidP="00121CDB">
            <w:pPr>
              <w:autoSpaceDE w:val="0"/>
              <w:autoSpaceDN w:val="0"/>
              <w:adjustRightInd w:val="0"/>
              <w:spacing w:before="40" w:after="40"/>
              <w:jc w:val="center"/>
              <w:rPr>
                <w:rFonts w:cs="Calibri"/>
                <w:color w:val="000000"/>
                <w:sz w:val="14"/>
                <w:szCs w:val="14"/>
              </w:rPr>
            </w:pPr>
            <w:r w:rsidRPr="00371FCE">
              <w:rPr>
                <w:rFonts w:cs="Calibri"/>
                <w:color w:val="000000"/>
                <w:sz w:val="14"/>
                <w:szCs w:val="14"/>
              </w:rPr>
              <w:t>23,741</w:t>
            </w:r>
          </w:p>
        </w:tc>
        <w:tc>
          <w:tcPr>
            <w:tcW w:w="1089" w:type="dxa"/>
            <w:vAlign w:val="bottom"/>
          </w:tcPr>
          <w:p w14:paraId="45072CC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11,867</w:t>
            </w:r>
          </w:p>
        </w:tc>
      </w:tr>
      <w:tr w:rsidR="005E7B88" w:rsidRPr="00371FCE" w14:paraId="692E7C31" w14:textId="77777777" w:rsidTr="00121CDB">
        <w:tblPrEx>
          <w:tblBorders>
            <w:top w:val="none" w:sz="0" w:space="0" w:color="auto"/>
          </w:tblBorders>
        </w:tblPrEx>
        <w:trPr>
          <w:jc w:val="center"/>
        </w:trPr>
        <w:tc>
          <w:tcPr>
            <w:tcW w:w="567" w:type="dxa"/>
            <w:vMerge/>
            <w:textDirection w:val="btLr"/>
            <w:vAlign w:val="center"/>
          </w:tcPr>
          <w:p w14:paraId="04457F6E"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79364F7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Haughton R</w:t>
            </w:r>
          </w:p>
        </w:tc>
        <w:tc>
          <w:tcPr>
            <w:tcW w:w="992" w:type="dxa"/>
            <w:vAlign w:val="center"/>
          </w:tcPr>
          <w:p w14:paraId="3392698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535,930</w:t>
            </w:r>
          </w:p>
        </w:tc>
        <w:tc>
          <w:tcPr>
            <w:tcW w:w="1134" w:type="dxa"/>
            <w:shd w:val="clear" w:color="auto" w:fill="FB0007"/>
            <w:vAlign w:val="center"/>
          </w:tcPr>
          <w:p w14:paraId="12E76B5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2,415,758</w:t>
            </w:r>
          </w:p>
        </w:tc>
        <w:tc>
          <w:tcPr>
            <w:tcW w:w="992" w:type="dxa"/>
            <w:shd w:val="clear" w:color="auto" w:fill="FB0007"/>
            <w:vAlign w:val="center"/>
          </w:tcPr>
          <w:p w14:paraId="530D8F6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1,755,712</w:t>
            </w:r>
          </w:p>
        </w:tc>
        <w:tc>
          <w:tcPr>
            <w:tcW w:w="992" w:type="dxa"/>
            <w:vAlign w:val="center"/>
          </w:tcPr>
          <w:p w14:paraId="4A43D92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517,069</w:t>
            </w:r>
          </w:p>
        </w:tc>
        <w:tc>
          <w:tcPr>
            <w:tcW w:w="993" w:type="dxa"/>
            <w:vAlign w:val="center"/>
          </w:tcPr>
          <w:p w14:paraId="27EEB2D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573,976</w:t>
            </w:r>
          </w:p>
        </w:tc>
        <w:tc>
          <w:tcPr>
            <w:tcW w:w="992" w:type="dxa"/>
            <w:vAlign w:val="center"/>
          </w:tcPr>
          <w:p w14:paraId="0B4FBDB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120,674</w:t>
            </w:r>
          </w:p>
        </w:tc>
        <w:tc>
          <w:tcPr>
            <w:tcW w:w="992" w:type="dxa"/>
            <w:vAlign w:val="center"/>
          </w:tcPr>
          <w:p w14:paraId="0D2F017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267,986</w:t>
            </w:r>
          </w:p>
        </w:tc>
        <w:tc>
          <w:tcPr>
            <w:tcW w:w="1089" w:type="dxa"/>
            <w:vAlign w:val="bottom"/>
          </w:tcPr>
          <w:p w14:paraId="5F58B54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338,245</w:t>
            </w:r>
          </w:p>
        </w:tc>
      </w:tr>
      <w:tr w:rsidR="005E7B88" w:rsidRPr="00371FCE" w14:paraId="7FB6BC73" w14:textId="77777777" w:rsidTr="00121CDB">
        <w:tblPrEx>
          <w:tblBorders>
            <w:top w:val="none" w:sz="0" w:space="0" w:color="auto"/>
          </w:tblBorders>
        </w:tblPrEx>
        <w:trPr>
          <w:jc w:val="center"/>
        </w:trPr>
        <w:tc>
          <w:tcPr>
            <w:tcW w:w="567" w:type="dxa"/>
            <w:vMerge/>
            <w:textDirection w:val="btLr"/>
            <w:vAlign w:val="center"/>
          </w:tcPr>
          <w:p w14:paraId="375F4E20"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5E44F1C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Burdekin R</w:t>
            </w:r>
          </w:p>
        </w:tc>
        <w:tc>
          <w:tcPr>
            <w:tcW w:w="992" w:type="dxa"/>
            <w:vAlign w:val="center"/>
          </w:tcPr>
          <w:p w14:paraId="15FD069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4,328,245</w:t>
            </w:r>
          </w:p>
        </w:tc>
        <w:tc>
          <w:tcPr>
            <w:tcW w:w="1134" w:type="dxa"/>
            <w:shd w:val="clear" w:color="auto" w:fill="FB0007"/>
            <w:vAlign w:val="center"/>
          </w:tcPr>
          <w:p w14:paraId="26F27C6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34,834,316</w:t>
            </w:r>
          </w:p>
        </w:tc>
        <w:tc>
          <w:tcPr>
            <w:tcW w:w="992" w:type="dxa"/>
            <w:shd w:val="clear" w:color="auto" w:fill="FB0007"/>
            <w:vAlign w:val="center"/>
          </w:tcPr>
          <w:p w14:paraId="3F9BB2C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15,568,159</w:t>
            </w:r>
          </w:p>
        </w:tc>
        <w:tc>
          <w:tcPr>
            <w:tcW w:w="992" w:type="dxa"/>
            <w:vAlign w:val="center"/>
          </w:tcPr>
          <w:p w14:paraId="5325F54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3,424,572</w:t>
            </w:r>
          </w:p>
        </w:tc>
        <w:tc>
          <w:tcPr>
            <w:tcW w:w="993" w:type="dxa"/>
            <w:vAlign w:val="center"/>
          </w:tcPr>
          <w:p w14:paraId="723E6F3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1,458,772</w:t>
            </w:r>
          </w:p>
        </w:tc>
        <w:tc>
          <w:tcPr>
            <w:tcW w:w="992" w:type="dxa"/>
            <w:vAlign w:val="center"/>
          </w:tcPr>
          <w:p w14:paraId="603E72F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880,951</w:t>
            </w:r>
          </w:p>
        </w:tc>
        <w:tc>
          <w:tcPr>
            <w:tcW w:w="992" w:type="dxa"/>
            <w:vAlign w:val="center"/>
          </w:tcPr>
          <w:p w14:paraId="56CC641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1,807,104</w:t>
            </w:r>
          </w:p>
        </w:tc>
        <w:tc>
          <w:tcPr>
            <w:tcW w:w="1089" w:type="dxa"/>
            <w:vAlign w:val="bottom"/>
          </w:tcPr>
          <w:p w14:paraId="7A28865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4,165,129</w:t>
            </w:r>
          </w:p>
        </w:tc>
      </w:tr>
      <w:tr w:rsidR="005E7B88" w:rsidRPr="00371FCE" w14:paraId="7C5364B2" w14:textId="77777777" w:rsidTr="00121CDB">
        <w:tblPrEx>
          <w:tblBorders>
            <w:top w:val="none" w:sz="0" w:space="0" w:color="auto"/>
          </w:tblBorders>
        </w:tblPrEx>
        <w:trPr>
          <w:jc w:val="center"/>
        </w:trPr>
        <w:tc>
          <w:tcPr>
            <w:tcW w:w="567" w:type="dxa"/>
            <w:vMerge/>
            <w:textDirection w:val="btLr"/>
            <w:vAlign w:val="center"/>
          </w:tcPr>
          <w:p w14:paraId="206889EE"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6580369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Don R</w:t>
            </w:r>
          </w:p>
        </w:tc>
        <w:tc>
          <w:tcPr>
            <w:tcW w:w="992" w:type="dxa"/>
            <w:vAlign w:val="center"/>
          </w:tcPr>
          <w:p w14:paraId="02BA40F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360,394</w:t>
            </w:r>
          </w:p>
        </w:tc>
        <w:tc>
          <w:tcPr>
            <w:tcW w:w="1134" w:type="dxa"/>
            <w:shd w:val="clear" w:color="auto" w:fill="FB0007"/>
            <w:vAlign w:val="center"/>
          </w:tcPr>
          <w:p w14:paraId="3E5B8AA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3,136,184</w:t>
            </w:r>
          </w:p>
        </w:tc>
        <w:tc>
          <w:tcPr>
            <w:tcW w:w="992" w:type="dxa"/>
            <w:shd w:val="clear" w:color="auto" w:fill="FD8608"/>
            <w:vAlign w:val="center"/>
          </w:tcPr>
          <w:p w14:paraId="58E37F6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802,738</w:t>
            </w:r>
          </w:p>
        </w:tc>
        <w:tc>
          <w:tcPr>
            <w:tcW w:w="992" w:type="dxa"/>
            <w:shd w:val="clear" w:color="auto" w:fill="FFFF0B"/>
            <w:vAlign w:val="center"/>
          </w:tcPr>
          <w:p w14:paraId="2A9BE65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578,391</w:t>
            </w:r>
          </w:p>
        </w:tc>
        <w:tc>
          <w:tcPr>
            <w:tcW w:w="993" w:type="dxa"/>
            <w:vAlign w:val="center"/>
          </w:tcPr>
          <w:p w14:paraId="39DF7EF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324,120</w:t>
            </w:r>
          </w:p>
        </w:tc>
        <w:tc>
          <w:tcPr>
            <w:tcW w:w="992" w:type="dxa"/>
            <w:vAlign w:val="center"/>
          </w:tcPr>
          <w:p w14:paraId="4E17169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171,305</w:t>
            </w:r>
          </w:p>
        </w:tc>
        <w:tc>
          <w:tcPr>
            <w:tcW w:w="992" w:type="dxa"/>
            <w:vAlign w:val="center"/>
          </w:tcPr>
          <w:p w14:paraId="66CA433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101,562</w:t>
            </w:r>
          </w:p>
        </w:tc>
        <w:tc>
          <w:tcPr>
            <w:tcW w:w="1089" w:type="dxa"/>
            <w:shd w:val="clear" w:color="auto" w:fill="FEC309"/>
            <w:vAlign w:val="bottom"/>
          </w:tcPr>
          <w:p w14:paraId="7880B2A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920,610</w:t>
            </w:r>
          </w:p>
        </w:tc>
      </w:tr>
      <w:tr w:rsidR="005E7B88" w:rsidRPr="00371FCE" w14:paraId="1D9A670F" w14:textId="77777777" w:rsidTr="00121CDB">
        <w:tblPrEx>
          <w:tblBorders>
            <w:top w:val="none" w:sz="0" w:space="0" w:color="auto"/>
          </w:tblBorders>
        </w:tblPrEx>
        <w:trPr>
          <w:jc w:val="center"/>
        </w:trPr>
        <w:tc>
          <w:tcPr>
            <w:tcW w:w="567" w:type="dxa"/>
            <w:vMerge w:val="restart"/>
            <w:textDirection w:val="btLr"/>
          </w:tcPr>
          <w:p w14:paraId="264AF661"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Mackay</w:t>
            </w:r>
          </w:p>
          <w:p w14:paraId="24DAA881"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Whitsundays</w:t>
            </w:r>
          </w:p>
        </w:tc>
        <w:tc>
          <w:tcPr>
            <w:tcW w:w="1560" w:type="dxa"/>
            <w:vAlign w:val="center"/>
          </w:tcPr>
          <w:p w14:paraId="737F185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Proserpine R</w:t>
            </w:r>
          </w:p>
        </w:tc>
        <w:tc>
          <w:tcPr>
            <w:tcW w:w="992" w:type="dxa"/>
            <w:vAlign w:val="center"/>
          </w:tcPr>
          <w:p w14:paraId="6DD63D7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924,039</w:t>
            </w:r>
          </w:p>
        </w:tc>
        <w:tc>
          <w:tcPr>
            <w:tcW w:w="1134" w:type="dxa"/>
            <w:shd w:val="clear" w:color="auto" w:fill="FB0007"/>
            <w:vAlign w:val="center"/>
          </w:tcPr>
          <w:p w14:paraId="4EFFDE8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4,582,697</w:t>
            </w:r>
          </w:p>
        </w:tc>
        <w:tc>
          <w:tcPr>
            <w:tcW w:w="992" w:type="dxa"/>
            <w:shd w:val="clear" w:color="auto" w:fill="FD8608"/>
            <w:vAlign w:val="center"/>
          </w:tcPr>
          <w:p w14:paraId="4909EAF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2,171,287</w:t>
            </w:r>
          </w:p>
        </w:tc>
        <w:tc>
          <w:tcPr>
            <w:tcW w:w="992" w:type="dxa"/>
            <w:vAlign w:val="center"/>
          </w:tcPr>
          <w:p w14:paraId="1C86F4F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851,504</w:t>
            </w:r>
          </w:p>
        </w:tc>
        <w:tc>
          <w:tcPr>
            <w:tcW w:w="993" w:type="dxa"/>
            <w:vAlign w:val="center"/>
          </w:tcPr>
          <w:p w14:paraId="0070AAA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720,427</w:t>
            </w:r>
          </w:p>
        </w:tc>
        <w:tc>
          <w:tcPr>
            <w:tcW w:w="992" w:type="dxa"/>
            <w:vAlign w:val="center"/>
          </w:tcPr>
          <w:p w14:paraId="7D4EC8D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157,123</w:t>
            </w:r>
          </w:p>
        </w:tc>
        <w:tc>
          <w:tcPr>
            <w:tcW w:w="992" w:type="dxa"/>
            <w:vAlign w:val="center"/>
          </w:tcPr>
          <w:p w14:paraId="527BBE9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316,648</w:t>
            </w:r>
          </w:p>
        </w:tc>
        <w:tc>
          <w:tcPr>
            <w:tcW w:w="1089" w:type="dxa"/>
            <w:shd w:val="clear" w:color="auto" w:fill="FFFF0B"/>
            <w:vAlign w:val="bottom"/>
          </w:tcPr>
          <w:p w14:paraId="704B8E2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1,683,894</w:t>
            </w:r>
          </w:p>
        </w:tc>
      </w:tr>
      <w:tr w:rsidR="005E7B88" w:rsidRPr="00371FCE" w14:paraId="75FE9A41" w14:textId="77777777" w:rsidTr="00121CDB">
        <w:tblPrEx>
          <w:tblBorders>
            <w:top w:val="none" w:sz="0" w:space="0" w:color="auto"/>
          </w:tblBorders>
        </w:tblPrEx>
        <w:trPr>
          <w:jc w:val="center"/>
        </w:trPr>
        <w:tc>
          <w:tcPr>
            <w:tcW w:w="567" w:type="dxa"/>
            <w:vMerge/>
            <w:textDirection w:val="btLr"/>
            <w:vAlign w:val="center"/>
          </w:tcPr>
          <w:p w14:paraId="4770771A"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095F35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O'Connell R</w:t>
            </w:r>
          </w:p>
        </w:tc>
        <w:tc>
          <w:tcPr>
            <w:tcW w:w="992" w:type="dxa"/>
            <w:vAlign w:val="center"/>
          </w:tcPr>
          <w:p w14:paraId="53A4403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829,266</w:t>
            </w:r>
          </w:p>
        </w:tc>
        <w:tc>
          <w:tcPr>
            <w:tcW w:w="1134" w:type="dxa"/>
            <w:shd w:val="clear" w:color="auto" w:fill="FB0007"/>
            <w:vAlign w:val="center"/>
          </w:tcPr>
          <w:p w14:paraId="5F407D5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4,112,676</w:t>
            </w:r>
          </w:p>
        </w:tc>
        <w:tc>
          <w:tcPr>
            <w:tcW w:w="992" w:type="dxa"/>
            <w:shd w:val="clear" w:color="auto" w:fill="FD8608"/>
            <w:vAlign w:val="center"/>
          </w:tcPr>
          <w:p w14:paraId="4816042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1,948,591</w:t>
            </w:r>
          </w:p>
        </w:tc>
        <w:tc>
          <w:tcPr>
            <w:tcW w:w="992" w:type="dxa"/>
            <w:vAlign w:val="center"/>
          </w:tcPr>
          <w:p w14:paraId="0FAAC5F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764,170</w:t>
            </w:r>
          </w:p>
        </w:tc>
        <w:tc>
          <w:tcPr>
            <w:tcW w:w="993" w:type="dxa"/>
            <w:vAlign w:val="center"/>
          </w:tcPr>
          <w:p w14:paraId="2579F84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646,537</w:t>
            </w:r>
          </w:p>
        </w:tc>
        <w:tc>
          <w:tcPr>
            <w:tcW w:w="992" w:type="dxa"/>
            <w:vAlign w:val="center"/>
          </w:tcPr>
          <w:p w14:paraId="5336FB0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141,008</w:t>
            </w:r>
          </w:p>
        </w:tc>
        <w:tc>
          <w:tcPr>
            <w:tcW w:w="992" w:type="dxa"/>
            <w:vAlign w:val="center"/>
          </w:tcPr>
          <w:p w14:paraId="7F486A8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284,171</w:t>
            </w:r>
          </w:p>
        </w:tc>
        <w:tc>
          <w:tcPr>
            <w:tcW w:w="1089" w:type="dxa"/>
            <w:shd w:val="clear" w:color="auto" w:fill="FFFF0B"/>
            <w:vAlign w:val="bottom"/>
          </w:tcPr>
          <w:p w14:paraId="182C492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1,511,187</w:t>
            </w:r>
          </w:p>
        </w:tc>
      </w:tr>
      <w:tr w:rsidR="005E7B88" w:rsidRPr="00371FCE" w14:paraId="516D6E58" w14:textId="77777777" w:rsidTr="00121CDB">
        <w:tblPrEx>
          <w:tblBorders>
            <w:top w:val="none" w:sz="0" w:space="0" w:color="auto"/>
          </w:tblBorders>
        </w:tblPrEx>
        <w:trPr>
          <w:jc w:val="center"/>
        </w:trPr>
        <w:tc>
          <w:tcPr>
            <w:tcW w:w="567" w:type="dxa"/>
            <w:vMerge/>
            <w:textDirection w:val="btLr"/>
            <w:vAlign w:val="center"/>
          </w:tcPr>
          <w:p w14:paraId="4370A7F3"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53E7E45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Pioneer R</w:t>
            </w:r>
          </w:p>
        </w:tc>
        <w:tc>
          <w:tcPr>
            <w:tcW w:w="992" w:type="dxa"/>
            <w:vAlign w:val="center"/>
          </w:tcPr>
          <w:p w14:paraId="022F363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804,599</w:t>
            </w:r>
          </w:p>
        </w:tc>
        <w:tc>
          <w:tcPr>
            <w:tcW w:w="1134" w:type="dxa"/>
            <w:shd w:val="clear" w:color="auto" w:fill="FB0007"/>
            <w:vAlign w:val="center"/>
          </w:tcPr>
          <w:p w14:paraId="683EE12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3,630,422</w:t>
            </w:r>
          </w:p>
        </w:tc>
        <w:tc>
          <w:tcPr>
            <w:tcW w:w="992" w:type="dxa"/>
            <w:shd w:val="clear" w:color="auto" w:fill="FD8608"/>
            <w:vAlign w:val="center"/>
          </w:tcPr>
          <w:p w14:paraId="4F5139F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1,567,684</w:t>
            </w:r>
          </w:p>
        </w:tc>
        <w:tc>
          <w:tcPr>
            <w:tcW w:w="992" w:type="dxa"/>
            <w:shd w:val="clear" w:color="auto" w:fill="FFFF0B"/>
            <w:vAlign w:val="center"/>
          </w:tcPr>
          <w:p w14:paraId="7A2A8A0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1,162,871</w:t>
            </w:r>
          </w:p>
        </w:tc>
        <w:tc>
          <w:tcPr>
            <w:tcW w:w="993" w:type="dxa"/>
            <w:vAlign w:val="center"/>
          </w:tcPr>
          <w:p w14:paraId="4CFF318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635,315</w:t>
            </w:r>
          </w:p>
        </w:tc>
        <w:tc>
          <w:tcPr>
            <w:tcW w:w="992" w:type="dxa"/>
            <w:shd w:val="clear" w:color="auto" w:fill="FD8608"/>
            <w:vAlign w:val="center"/>
          </w:tcPr>
          <w:p w14:paraId="751CA87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2,028,936</w:t>
            </w:r>
          </w:p>
        </w:tc>
        <w:tc>
          <w:tcPr>
            <w:tcW w:w="992" w:type="dxa"/>
            <w:vAlign w:val="center"/>
          </w:tcPr>
          <w:p w14:paraId="6776D60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597,117</w:t>
            </w:r>
          </w:p>
        </w:tc>
        <w:tc>
          <w:tcPr>
            <w:tcW w:w="1089" w:type="dxa"/>
            <w:shd w:val="clear" w:color="auto" w:fill="FFFF0B"/>
            <w:vAlign w:val="bottom"/>
          </w:tcPr>
          <w:p w14:paraId="54FEE39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1,388,687</w:t>
            </w:r>
          </w:p>
        </w:tc>
      </w:tr>
      <w:tr w:rsidR="005E7B88" w:rsidRPr="00371FCE" w14:paraId="1EBFC2E8" w14:textId="77777777" w:rsidTr="00121CDB">
        <w:tblPrEx>
          <w:tblBorders>
            <w:top w:val="none" w:sz="0" w:space="0" w:color="auto"/>
          </w:tblBorders>
        </w:tblPrEx>
        <w:trPr>
          <w:jc w:val="center"/>
        </w:trPr>
        <w:tc>
          <w:tcPr>
            <w:tcW w:w="567" w:type="dxa"/>
            <w:vMerge/>
            <w:textDirection w:val="btLr"/>
            <w:vAlign w:val="center"/>
          </w:tcPr>
          <w:p w14:paraId="6E2F0E0B"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1E3AA14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Plane Ck</w:t>
            </w:r>
          </w:p>
        </w:tc>
        <w:tc>
          <w:tcPr>
            <w:tcW w:w="992" w:type="dxa"/>
            <w:vAlign w:val="center"/>
          </w:tcPr>
          <w:p w14:paraId="4A4AD0A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1,273,154</w:t>
            </w:r>
          </w:p>
        </w:tc>
        <w:tc>
          <w:tcPr>
            <w:tcW w:w="1134" w:type="dxa"/>
            <w:shd w:val="clear" w:color="auto" w:fill="FB0007"/>
            <w:vAlign w:val="center"/>
          </w:tcPr>
          <w:p w14:paraId="3332792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4,809,239</w:t>
            </w:r>
          </w:p>
        </w:tc>
        <w:tc>
          <w:tcPr>
            <w:tcW w:w="992" w:type="dxa"/>
            <w:shd w:val="clear" w:color="auto" w:fill="FD8608"/>
            <w:vAlign w:val="center"/>
          </w:tcPr>
          <w:p w14:paraId="325F47C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2,854,703</w:t>
            </w:r>
          </w:p>
        </w:tc>
        <w:tc>
          <w:tcPr>
            <w:tcW w:w="992" w:type="dxa"/>
            <w:shd w:val="clear" w:color="auto" w:fill="FFFF0B"/>
            <w:vAlign w:val="center"/>
          </w:tcPr>
          <w:p w14:paraId="0C5273D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1,948,929</w:t>
            </w:r>
          </w:p>
        </w:tc>
        <w:tc>
          <w:tcPr>
            <w:tcW w:w="993" w:type="dxa"/>
            <w:vAlign w:val="center"/>
          </w:tcPr>
          <w:p w14:paraId="5233D0C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737,580</w:t>
            </w:r>
          </w:p>
        </w:tc>
        <w:tc>
          <w:tcPr>
            <w:tcW w:w="992" w:type="dxa"/>
            <w:vAlign w:val="center"/>
          </w:tcPr>
          <w:p w14:paraId="28DE61C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241,254</w:t>
            </w:r>
          </w:p>
        </w:tc>
        <w:tc>
          <w:tcPr>
            <w:tcW w:w="992" w:type="dxa"/>
            <w:vAlign w:val="center"/>
          </w:tcPr>
          <w:p w14:paraId="7659DB3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832,508</w:t>
            </w:r>
          </w:p>
        </w:tc>
        <w:tc>
          <w:tcPr>
            <w:tcW w:w="1089" w:type="dxa"/>
            <w:shd w:val="clear" w:color="auto" w:fill="FEC309"/>
            <w:vAlign w:val="bottom"/>
          </w:tcPr>
          <w:p w14:paraId="703AE71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2,613,261</w:t>
            </w:r>
          </w:p>
        </w:tc>
      </w:tr>
      <w:tr w:rsidR="005E7B88" w:rsidRPr="00371FCE" w14:paraId="3C9E3839" w14:textId="77777777" w:rsidTr="00121CDB">
        <w:tblPrEx>
          <w:tblBorders>
            <w:top w:val="none" w:sz="0" w:space="0" w:color="auto"/>
          </w:tblBorders>
        </w:tblPrEx>
        <w:trPr>
          <w:jc w:val="center"/>
        </w:trPr>
        <w:tc>
          <w:tcPr>
            <w:tcW w:w="567" w:type="dxa"/>
            <w:vMerge w:val="restart"/>
            <w:textDirection w:val="btLr"/>
            <w:vAlign w:val="center"/>
          </w:tcPr>
          <w:p w14:paraId="3DA513A0"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Fitzroy</w:t>
            </w:r>
          </w:p>
        </w:tc>
        <w:tc>
          <w:tcPr>
            <w:tcW w:w="1560" w:type="dxa"/>
            <w:vAlign w:val="center"/>
          </w:tcPr>
          <w:p w14:paraId="00EEB6B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Styx R</w:t>
            </w:r>
          </w:p>
        </w:tc>
        <w:tc>
          <w:tcPr>
            <w:tcW w:w="992" w:type="dxa"/>
            <w:vAlign w:val="center"/>
          </w:tcPr>
          <w:p w14:paraId="60E38EC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191,279</w:t>
            </w:r>
          </w:p>
        </w:tc>
        <w:tc>
          <w:tcPr>
            <w:tcW w:w="1134" w:type="dxa"/>
            <w:shd w:val="clear" w:color="auto" w:fill="FB0007"/>
            <w:vAlign w:val="center"/>
          </w:tcPr>
          <w:p w14:paraId="14E9200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906,144</w:t>
            </w:r>
          </w:p>
        </w:tc>
        <w:tc>
          <w:tcPr>
            <w:tcW w:w="992" w:type="dxa"/>
            <w:shd w:val="clear" w:color="auto" w:fill="FFFF0B"/>
            <w:vAlign w:val="center"/>
          </w:tcPr>
          <w:p w14:paraId="4E7F0A5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275,219</w:t>
            </w:r>
          </w:p>
        </w:tc>
        <w:tc>
          <w:tcPr>
            <w:tcW w:w="992" w:type="dxa"/>
            <w:shd w:val="clear" w:color="auto" w:fill="FB0007"/>
            <w:vAlign w:val="center"/>
          </w:tcPr>
          <w:p w14:paraId="7ABC2B8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968,106</w:t>
            </w:r>
          </w:p>
        </w:tc>
        <w:tc>
          <w:tcPr>
            <w:tcW w:w="993" w:type="dxa"/>
            <w:shd w:val="clear" w:color="auto" w:fill="FD8608"/>
            <w:vAlign w:val="center"/>
          </w:tcPr>
          <w:p w14:paraId="1FDED34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544,155</w:t>
            </w:r>
          </w:p>
        </w:tc>
        <w:tc>
          <w:tcPr>
            <w:tcW w:w="992" w:type="dxa"/>
            <w:shd w:val="clear" w:color="auto" w:fill="FD8608"/>
            <w:vAlign w:val="center"/>
          </w:tcPr>
          <w:p w14:paraId="425C20B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376,009</w:t>
            </w:r>
          </w:p>
        </w:tc>
        <w:tc>
          <w:tcPr>
            <w:tcW w:w="992" w:type="dxa"/>
            <w:shd w:val="clear" w:color="auto" w:fill="FFFF0B"/>
            <w:vAlign w:val="center"/>
          </w:tcPr>
          <w:p w14:paraId="6360B33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343,877</w:t>
            </w:r>
          </w:p>
        </w:tc>
        <w:tc>
          <w:tcPr>
            <w:tcW w:w="1089" w:type="dxa"/>
            <w:shd w:val="clear" w:color="auto" w:fill="FEC309"/>
            <w:vAlign w:val="bottom"/>
          </w:tcPr>
          <w:p w14:paraId="0FC967C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507,927</w:t>
            </w:r>
          </w:p>
        </w:tc>
      </w:tr>
      <w:tr w:rsidR="005E7B88" w:rsidRPr="00371FCE" w14:paraId="0E86D28B" w14:textId="77777777" w:rsidTr="00121CDB">
        <w:tblPrEx>
          <w:tblBorders>
            <w:top w:val="none" w:sz="0" w:space="0" w:color="auto"/>
          </w:tblBorders>
        </w:tblPrEx>
        <w:trPr>
          <w:jc w:val="center"/>
        </w:trPr>
        <w:tc>
          <w:tcPr>
            <w:tcW w:w="567" w:type="dxa"/>
            <w:vMerge/>
            <w:textDirection w:val="btLr"/>
            <w:vAlign w:val="center"/>
          </w:tcPr>
          <w:p w14:paraId="1CDFA5C5"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AE73FD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Shoalwater Ck</w:t>
            </w:r>
          </w:p>
        </w:tc>
        <w:tc>
          <w:tcPr>
            <w:tcW w:w="992" w:type="dxa"/>
            <w:vAlign w:val="center"/>
          </w:tcPr>
          <w:p w14:paraId="2489340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217,663</w:t>
            </w:r>
          </w:p>
        </w:tc>
        <w:tc>
          <w:tcPr>
            <w:tcW w:w="1134" w:type="dxa"/>
            <w:shd w:val="clear" w:color="auto" w:fill="FB0007"/>
            <w:vAlign w:val="center"/>
          </w:tcPr>
          <w:p w14:paraId="3E9E0CB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1,031,129</w:t>
            </w:r>
          </w:p>
        </w:tc>
        <w:tc>
          <w:tcPr>
            <w:tcW w:w="992" w:type="dxa"/>
            <w:shd w:val="clear" w:color="auto" w:fill="FFFF0B"/>
            <w:vAlign w:val="center"/>
          </w:tcPr>
          <w:p w14:paraId="5059D0D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313,180</w:t>
            </w:r>
          </w:p>
        </w:tc>
        <w:tc>
          <w:tcPr>
            <w:tcW w:w="992" w:type="dxa"/>
            <w:shd w:val="clear" w:color="auto" w:fill="FB0007"/>
            <w:vAlign w:val="center"/>
          </w:tcPr>
          <w:p w14:paraId="20ACDF0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1,101,638</w:t>
            </w:r>
          </w:p>
        </w:tc>
        <w:tc>
          <w:tcPr>
            <w:tcW w:w="993" w:type="dxa"/>
            <w:shd w:val="clear" w:color="auto" w:fill="FD8608"/>
            <w:vAlign w:val="center"/>
          </w:tcPr>
          <w:p w14:paraId="22F602F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619,211</w:t>
            </w:r>
          </w:p>
        </w:tc>
        <w:tc>
          <w:tcPr>
            <w:tcW w:w="992" w:type="dxa"/>
            <w:shd w:val="clear" w:color="auto" w:fill="FD8608"/>
            <w:vAlign w:val="center"/>
          </w:tcPr>
          <w:p w14:paraId="52DC804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427,872</w:t>
            </w:r>
          </w:p>
        </w:tc>
        <w:tc>
          <w:tcPr>
            <w:tcW w:w="992" w:type="dxa"/>
            <w:shd w:val="clear" w:color="auto" w:fill="FFFF0B"/>
            <w:vAlign w:val="center"/>
          </w:tcPr>
          <w:p w14:paraId="703195E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391,308</w:t>
            </w:r>
          </w:p>
        </w:tc>
        <w:tc>
          <w:tcPr>
            <w:tcW w:w="1089" w:type="dxa"/>
            <w:shd w:val="clear" w:color="auto" w:fill="FEC309"/>
            <w:vAlign w:val="bottom"/>
          </w:tcPr>
          <w:p w14:paraId="3951B48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577,985</w:t>
            </w:r>
          </w:p>
        </w:tc>
      </w:tr>
      <w:tr w:rsidR="005E7B88" w:rsidRPr="00371FCE" w14:paraId="6BBCD3DF" w14:textId="77777777" w:rsidTr="00121CDB">
        <w:tblPrEx>
          <w:tblBorders>
            <w:top w:val="none" w:sz="0" w:space="0" w:color="auto"/>
          </w:tblBorders>
        </w:tblPrEx>
        <w:trPr>
          <w:jc w:val="center"/>
        </w:trPr>
        <w:tc>
          <w:tcPr>
            <w:tcW w:w="567" w:type="dxa"/>
            <w:vMerge/>
            <w:textDirection w:val="btLr"/>
            <w:vAlign w:val="center"/>
          </w:tcPr>
          <w:p w14:paraId="6547E6E0"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12710B0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Water Park Ck</w:t>
            </w:r>
          </w:p>
        </w:tc>
        <w:tc>
          <w:tcPr>
            <w:tcW w:w="992" w:type="dxa"/>
            <w:vAlign w:val="center"/>
          </w:tcPr>
          <w:p w14:paraId="15C1A5E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573,838</w:t>
            </w:r>
          </w:p>
        </w:tc>
        <w:tc>
          <w:tcPr>
            <w:tcW w:w="1134" w:type="dxa"/>
            <w:shd w:val="clear" w:color="auto" w:fill="FB0007"/>
            <w:vAlign w:val="center"/>
          </w:tcPr>
          <w:p w14:paraId="4105460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2,718,432</w:t>
            </w:r>
          </w:p>
        </w:tc>
        <w:tc>
          <w:tcPr>
            <w:tcW w:w="992" w:type="dxa"/>
            <w:shd w:val="clear" w:color="auto" w:fill="FFFF0B"/>
            <w:vAlign w:val="center"/>
          </w:tcPr>
          <w:p w14:paraId="025CA1F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825,657</w:t>
            </w:r>
          </w:p>
        </w:tc>
        <w:tc>
          <w:tcPr>
            <w:tcW w:w="992" w:type="dxa"/>
            <w:shd w:val="clear" w:color="auto" w:fill="FB0007"/>
            <w:vAlign w:val="center"/>
          </w:tcPr>
          <w:p w14:paraId="36BD1F6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2,904,319</w:t>
            </w:r>
          </w:p>
        </w:tc>
        <w:tc>
          <w:tcPr>
            <w:tcW w:w="993" w:type="dxa"/>
            <w:shd w:val="clear" w:color="auto" w:fill="FD8608"/>
            <w:vAlign w:val="center"/>
          </w:tcPr>
          <w:p w14:paraId="106B44A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1,632,466</w:t>
            </w:r>
          </w:p>
        </w:tc>
        <w:tc>
          <w:tcPr>
            <w:tcW w:w="992" w:type="dxa"/>
            <w:shd w:val="clear" w:color="auto" w:fill="FD8608"/>
            <w:vAlign w:val="center"/>
          </w:tcPr>
          <w:p w14:paraId="7E35CA6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1,128,027</w:t>
            </w:r>
          </w:p>
        </w:tc>
        <w:tc>
          <w:tcPr>
            <w:tcW w:w="992" w:type="dxa"/>
            <w:shd w:val="clear" w:color="auto" w:fill="FFFF0B"/>
            <w:vAlign w:val="center"/>
          </w:tcPr>
          <w:p w14:paraId="70A1D3E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1,031,630</w:t>
            </w:r>
          </w:p>
        </w:tc>
        <w:tc>
          <w:tcPr>
            <w:tcW w:w="1089" w:type="dxa"/>
            <w:shd w:val="clear" w:color="auto" w:fill="FEC309"/>
            <w:vAlign w:val="bottom"/>
          </w:tcPr>
          <w:p w14:paraId="0B4B886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1,523,780</w:t>
            </w:r>
          </w:p>
        </w:tc>
      </w:tr>
      <w:tr w:rsidR="005E7B88" w:rsidRPr="00371FCE" w14:paraId="7918B80E" w14:textId="77777777" w:rsidTr="00121CDB">
        <w:tblPrEx>
          <w:tblBorders>
            <w:top w:val="none" w:sz="0" w:space="0" w:color="auto"/>
          </w:tblBorders>
        </w:tblPrEx>
        <w:trPr>
          <w:jc w:val="center"/>
        </w:trPr>
        <w:tc>
          <w:tcPr>
            <w:tcW w:w="567" w:type="dxa"/>
            <w:vMerge/>
            <w:textDirection w:val="btLr"/>
            <w:vAlign w:val="center"/>
          </w:tcPr>
          <w:p w14:paraId="461906E6"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92A8D2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Fitzroy R</w:t>
            </w:r>
          </w:p>
        </w:tc>
        <w:tc>
          <w:tcPr>
            <w:tcW w:w="992" w:type="dxa"/>
            <w:vAlign w:val="center"/>
          </w:tcPr>
          <w:p w14:paraId="0076FF9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2,996,149</w:t>
            </w:r>
          </w:p>
        </w:tc>
        <w:tc>
          <w:tcPr>
            <w:tcW w:w="1134" w:type="dxa"/>
            <w:shd w:val="clear" w:color="auto" w:fill="FB0007"/>
            <w:vAlign w:val="center"/>
          </w:tcPr>
          <w:p w14:paraId="7037400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37,942,149</w:t>
            </w:r>
          </w:p>
        </w:tc>
        <w:tc>
          <w:tcPr>
            <w:tcW w:w="992" w:type="dxa"/>
            <w:shd w:val="clear" w:color="auto" w:fill="FD8608"/>
            <w:vAlign w:val="center"/>
          </w:tcPr>
          <w:p w14:paraId="12A145E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7,993,273</w:t>
            </w:r>
          </w:p>
        </w:tc>
        <w:tc>
          <w:tcPr>
            <w:tcW w:w="992" w:type="dxa"/>
            <w:shd w:val="clear" w:color="auto" w:fill="FB0007"/>
            <w:vAlign w:val="center"/>
          </w:tcPr>
          <w:p w14:paraId="5002CA9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8,530,491</w:t>
            </w:r>
          </w:p>
        </w:tc>
        <w:tc>
          <w:tcPr>
            <w:tcW w:w="993" w:type="dxa"/>
            <w:vAlign w:val="center"/>
          </w:tcPr>
          <w:p w14:paraId="1622D46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1,578,610</w:t>
            </w:r>
          </w:p>
        </w:tc>
        <w:tc>
          <w:tcPr>
            <w:tcW w:w="992" w:type="dxa"/>
            <w:vAlign w:val="center"/>
          </w:tcPr>
          <w:p w14:paraId="513A58B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2,681,949</w:t>
            </w:r>
          </w:p>
        </w:tc>
        <w:tc>
          <w:tcPr>
            <w:tcW w:w="992" w:type="dxa"/>
            <w:vAlign w:val="center"/>
          </w:tcPr>
          <w:p w14:paraId="466954C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3,589,342</w:t>
            </w:r>
          </w:p>
        </w:tc>
        <w:tc>
          <w:tcPr>
            <w:tcW w:w="1089" w:type="dxa"/>
            <w:shd w:val="clear" w:color="auto" w:fill="FEC309"/>
            <w:vAlign w:val="bottom"/>
          </w:tcPr>
          <w:p w14:paraId="51E5D49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6,170,044</w:t>
            </w:r>
          </w:p>
        </w:tc>
      </w:tr>
      <w:tr w:rsidR="005E7B88" w:rsidRPr="00371FCE" w14:paraId="381C9B5E" w14:textId="77777777" w:rsidTr="00121CDB">
        <w:tblPrEx>
          <w:tblBorders>
            <w:top w:val="none" w:sz="0" w:space="0" w:color="auto"/>
          </w:tblBorders>
        </w:tblPrEx>
        <w:trPr>
          <w:jc w:val="center"/>
        </w:trPr>
        <w:tc>
          <w:tcPr>
            <w:tcW w:w="567" w:type="dxa"/>
            <w:vMerge/>
            <w:textDirection w:val="btLr"/>
            <w:vAlign w:val="center"/>
          </w:tcPr>
          <w:p w14:paraId="4459FB2E"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B05E48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Calliope R</w:t>
            </w:r>
          </w:p>
        </w:tc>
        <w:tc>
          <w:tcPr>
            <w:tcW w:w="992" w:type="dxa"/>
            <w:vAlign w:val="center"/>
          </w:tcPr>
          <w:p w14:paraId="3C1E1B6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157,383</w:t>
            </w:r>
          </w:p>
        </w:tc>
        <w:tc>
          <w:tcPr>
            <w:tcW w:w="1134" w:type="dxa"/>
            <w:shd w:val="clear" w:color="auto" w:fill="FB0007"/>
            <w:vAlign w:val="center"/>
          </w:tcPr>
          <w:p w14:paraId="6A0E86B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1,000,032</w:t>
            </w:r>
          </w:p>
        </w:tc>
        <w:tc>
          <w:tcPr>
            <w:tcW w:w="992" w:type="dxa"/>
            <w:shd w:val="clear" w:color="auto" w:fill="FD8608"/>
            <w:vAlign w:val="center"/>
          </w:tcPr>
          <w:p w14:paraId="4A526F0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345,703</w:t>
            </w:r>
          </w:p>
        </w:tc>
        <w:tc>
          <w:tcPr>
            <w:tcW w:w="992" w:type="dxa"/>
            <w:shd w:val="clear" w:color="auto" w:fill="FB0007"/>
            <w:vAlign w:val="center"/>
          </w:tcPr>
          <w:p w14:paraId="577A0588"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1,558,380</w:t>
            </w:r>
          </w:p>
        </w:tc>
        <w:tc>
          <w:tcPr>
            <w:tcW w:w="993" w:type="dxa"/>
            <w:shd w:val="clear" w:color="auto" w:fill="FFFF0B"/>
            <w:vAlign w:val="center"/>
          </w:tcPr>
          <w:p w14:paraId="7F330FC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283,790</w:t>
            </w:r>
          </w:p>
        </w:tc>
        <w:tc>
          <w:tcPr>
            <w:tcW w:w="992" w:type="dxa"/>
            <w:shd w:val="clear" w:color="auto" w:fill="FB0007"/>
            <w:vAlign w:val="center"/>
          </w:tcPr>
          <w:p w14:paraId="64F0B87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479,868</w:t>
            </w:r>
          </w:p>
        </w:tc>
        <w:tc>
          <w:tcPr>
            <w:tcW w:w="992" w:type="dxa"/>
            <w:vAlign w:val="center"/>
          </w:tcPr>
          <w:p w14:paraId="01E21E4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148,547</w:t>
            </w:r>
          </w:p>
        </w:tc>
        <w:tc>
          <w:tcPr>
            <w:tcW w:w="1089" w:type="dxa"/>
            <w:shd w:val="clear" w:color="auto" w:fill="FEC309"/>
            <w:vAlign w:val="bottom"/>
          </w:tcPr>
          <w:p w14:paraId="5AB04A3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406,321</w:t>
            </w:r>
          </w:p>
        </w:tc>
      </w:tr>
      <w:tr w:rsidR="005E7B88" w:rsidRPr="00371FCE" w14:paraId="6C0EF99E" w14:textId="77777777" w:rsidTr="00121CDB">
        <w:tblPrEx>
          <w:tblBorders>
            <w:top w:val="none" w:sz="0" w:space="0" w:color="auto"/>
          </w:tblBorders>
        </w:tblPrEx>
        <w:trPr>
          <w:jc w:val="center"/>
        </w:trPr>
        <w:tc>
          <w:tcPr>
            <w:tcW w:w="567" w:type="dxa"/>
            <w:vMerge/>
            <w:textDirection w:val="btLr"/>
            <w:vAlign w:val="center"/>
          </w:tcPr>
          <w:p w14:paraId="3C813F23"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p>
        </w:tc>
        <w:tc>
          <w:tcPr>
            <w:tcW w:w="1560" w:type="dxa"/>
            <w:vAlign w:val="center"/>
          </w:tcPr>
          <w:p w14:paraId="4560015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Boyne R</w:t>
            </w:r>
          </w:p>
        </w:tc>
        <w:tc>
          <w:tcPr>
            <w:tcW w:w="992" w:type="dxa"/>
            <w:vAlign w:val="center"/>
          </w:tcPr>
          <w:p w14:paraId="0F1F9E4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39,809</w:t>
            </w:r>
          </w:p>
        </w:tc>
        <w:tc>
          <w:tcPr>
            <w:tcW w:w="1134" w:type="dxa"/>
            <w:shd w:val="clear" w:color="auto" w:fill="FB0007"/>
            <w:vAlign w:val="center"/>
          </w:tcPr>
          <w:p w14:paraId="4B08BEF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252,949</w:t>
            </w:r>
          </w:p>
        </w:tc>
        <w:tc>
          <w:tcPr>
            <w:tcW w:w="992" w:type="dxa"/>
            <w:shd w:val="clear" w:color="auto" w:fill="FD8608"/>
            <w:vAlign w:val="center"/>
          </w:tcPr>
          <w:p w14:paraId="299234F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87,443</w:t>
            </w:r>
          </w:p>
        </w:tc>
        <w:tc>
          <w:tcPr>
            <w:tcW w:w="992" w:type="dxa"/>
            <w:shd w:val="clear" w:color="auto" w:fill="FB0007"/>
            <w:vAlign w:val="center"/>
          </w:tcPr>
          <w:p w14:paraId="6907970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394,178</w:t>
            </w:r>
          </w:p>
        </w:tc>
        <w:tc>
          <w:tcPr>
            <w:tcW w:w="993" w:type="dxa"/>
            <w:shd w:val="clear" w:color="auto" w:fill="FFFF0B"/>
            <w:vAlign w:val="center"/>
          </w:tcPr>
          <w:p w14:paraId="633A3F4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71,782</w:t>
            </w:r>
          </w:p>
        </w:tc>
        <w:tc>
          <w:tcPr>
            <w:tcW w:w="992" w:type="dxa"/>
            <w:shd w:val="clear" w:color="auto" w:fill="FB0007"/>
            <w:vAlign w:val="center"/>
          </w:tcPr>
          <w:p w14:paraId="4C99C50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121,378</w:t>
            </w:r>
          </w:p>
        </w:tc>
        <w:tc>
          <w:tcPr>
            <w:tcW w:w="992" w:type="dxa"/>
            <w:vAlign w:val="center"/>
          </w:tcPr>
          <w:p w14:paraId="4227A52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37,574</w:t>
            </w:r>
          </w:p>
        </w:tc>
        <w:tc>
          <w:tcPr>
            <w:tcW w:w="1089" w:type="dxa"/>
            <w:shd w:val="clear" w:color="auto" w:fill="FEC309"/>
            <w:vAlign w:val="bottom"/>
          </w:tcPr>
          <w:p w14:paraId="05F6E72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102,775</w:t>
            </w:r>
          </w:p>
        </w:tc>
      </w:tr>
      <w:tr w:rsidR="005E7B88" w:rsidRPr="00371FCE" w14:paraId="6CEC971A" w14:textId="77777777" w:rsidTr="00121CDB">
        <w:tblPrEx>
          <w:tblBorders>
            <w:top w:val="none" w:sz="0" w:space="0" w:color="auto"/>
          </w:tblBorders>
        </w:tblPrEx>
        <w:trPr>
          <w:jc w:val="center"/>
        </w:trPr>
        <w:tc>
          <w:tcPr>
            <w:tcW w:w="567" w:type="dxa"/>
            <w:vMerge w:val="restart"/>
            <w:textDirection w:val="btLr"/>
            <w:vAlign w:val="center"/>
          </w:tcPr>
          <w:p w14:paraId="158B078E" w14:textId="77777777" w:rsidR="005E7B88" w:rsidRPr="00371FCE" w:rsidRDefault="005E7B88" w:rsidP="00121CDB">
            <w:pPr>
              <w:autoSpaceDE w:val="0"/>
              <w:autoSpaceDN w:val="0"/>
              <w:adjustRightInd w:val="0"/>
              <w:spacing w:before="40" w:after="40"/>
              <w:ind w:left="113" w:right="113"/>
              <w:jc w:val="center"/>
              <w:rPr>
                <w:rFonts w:ascii="Arial" w:hAnsi="Arial" w:cs="Arial"/>
                <w:color w:val="000000"/>
                <w:sz w:val="14"/>
                <w:szCs w:val="14"/>
              </w:rPr>
            </w:pPr>
            <w:r w:rsidRPr="00371FCE">
              <w:rPr>
                <w:rFonts w:ascii="Arial" w:hAnsi="Arial" w:cs="Arial"/>
                <w:color w:val="000000"/>
                <w:sz w:val="14"/>
                <w:szCs w:val="14"/>
              </w:rPr>
              <w:t>Burnett-Mary</w:t>
            </w:r>
          </w:p>
        </w:tc>
        <w:tc>
          <w:tcPr>
            <w:tcW w:w="1560" w:type="dxa"/>
            <w:vAlign w:val="center"/>
          </w:tcPr>
          <w:p w14:paraId="11AD8E7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Baffle Ck</w:t>
            </w:r>
          </w:p>
        </w:tc>
        <w:tc>
          <w:tcPr>
            <w:tcW w:w="992" w:type="dxa"/>
            <w:vAlign w:val="center"/>
          </w:tcPr>
          <w:p w14:paraId="4A3ED70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409,347</w:t>
            </w:r>
          </w:p>
        </w:tc>
        <w:tc>
          <w:tcPr>
            <w:tcW w:w="1134" w:type="dxa"/>
            <w:shd w:val="clear" w:color="auto" w:fill="FB0007"/>
            <w:vAlign w:val="center"/>
          </w:tcPr>
          <w:p w14:paraId="67CAF33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3,650,093</w:t>
            </w:r>
          </w:p>
        </w:tc>
        <w:tc>
          <w:tcPr>
            <w:tcW w:w="992" w:type="dxa"/>
            <w:shd w:val="clear" w:color="auto" w:fill="FB0007"/>
            <w:vAlign w:val="center"/>
          </w:tcPr>
          <w:p w14:paraId="6FE0709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1,775,749</w:t>
            </w:r>
          </w:p>
        </w:tc>
        <w:tc>
          <w:tcPr>
            <w:tcW w:w="992" w:type="dxa"/>
            <w:shd w:val="clear" w:color="auto" w:fill="FB0007"/>
            <w:vAlign w:val="center"/>
          </w:tcPr>
          <w:p w14:paraId="104D6B1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2,030,545</w:t>
            </w:r>
          </w:p>
        </w:tc>
        <w:tc>
          <w:tcPr>
            <w:tcW w:w="993" w:type="dxa"/>
            <w:vAlign w:val="center"/>
          </w:tcPr>
          <w:p w14:paraId="0512176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275,517</w:t>
            </w:r>
          </w:p>
        </w:tc>
        <w:tc>
          <w:tcPr>
            <w:tcW w:w="992" w:type="dxa"/>
            <w:shd w:val="clear" w:color="auto" w:fill="FFFF0B"/>
            <w:vAlign w:val="center"/>
          </w:tcPr>
          <w:p w14:paraId="221910F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710,352</w:t>
            </w:r>
          </w:p>
        </w:tc>
        <w:tc>
          <w:tcPr>
            <w:tcW w:w="992" w:type="dxa"/>
            <w:vAlign w:val="center"/>
          </w:tcPr>
          <w:p w14:paraId="36AD2DF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257,093</w:t>
            </w:r>
          </w:p>
        </w:tc>
        <w:tc>
          <w:tcPr>
            <w:tcW w:w="1089" w:type="dxa"/>
            <w:shd w:val="clear" w:color="auto" w:fill="FEC309"/>
            <w:vAlign w:val="bottom"/>
          </w:tcPr>
          <w:p w14:paraId="2CCA6E0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829,460</w:t>
            </w:r>
          </w:p>
        </w:tc>
      </w:tr>
      <w:tr w:rsidR="005E7B88" w:rsidRPr="00371FCE" w14:paraId="0DD4FF1A" w14:textId="77777777" w:rsidTr="00121CDB">
        <w:tblPrEx>
          <w:tblBorders>
            <w:top w:val="none" w:sz="0" w:space="0" w:color="auto"/>
          </w:tblBorders>
        </w:tblPrEx>
        <w:trPr>
          <w:jc w:val="center"/>
        </w:trPr>
        <w:tc>
          <w:tcPr>
            <w:tcW w:w="567" w:type="dxa"/>
            <w:vMerge/>
          </w:tcPr>
          <w:p w14:paraId="4B6DAAF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p>
        </w:tc>
        <w:tc>
          <w:tcPr>
            <w:tcW w:w="1560" w:type="dxa"/>
            <w:vAlign w:val="center"/>
          </w:tcPr>
          <w:p w14:paraId="4945B780"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Kolan R</w:t>
            </w:r>
          </w:p>
        </w:tc>
        <w:tc>
          <w:tcPr>
            <w:tcW w:w="992" w:type="dxa"/>
            <w:vAlign w:val="center"/>
          </w:tcPr>
          <w:p w14:paraId="129D928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50,429</w:t>
            </w:r>
          </w:p>
        </w:tc>
        <w:tc>
          <w:tcPr>
            <w:tcW w:w="1134" w:type="dxa"/>
            <w:shd w:val="clear" w:color="auto" w:fill="FB0007"/>
            <w:vAlign w:val="center"/>
          </w:tcPr>
          <w:p w14:paraId="420BF80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779,168</w:t>
            </w:r>
          </w:p>
        </w:tc>
        <w:tc>
          <w:tcPr>
            <w:tcW w:w="992" w:type="dxa"/>
            <w:shd w:val="clear" w:color="auto" w:fill="FB0007"/>
            <w:vAlign w:val="center"/>
          </w:tcPr>
          <w:p w14:paraId="6036DEF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307,837</w:t>
            </w:r>
          </w:p>
        </w:tc>
        <w:tc>
          <w:tcPr>
            <w:tcW w:w="992" w:type="dxa"/>
            <w:shd w:val="clear" w:color="auto" w:fill="FB0007"/>
            <w:vAlign w:val="center"/>
          </w:tcPr>
          <w:p w14:paraId="34155D7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810,411</w:t>
            </w:r>
          </w:p>
        </w:tc>
        <w:tc>
          <w:tcPr>
            <w:tcW w:w="993" w:type="dxa"/>
            <w:vAlign w:val="center"/>
          </w:tcPr>
          <w:p w14:paraId="32AF51A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45,304</w:t>
            </w:r>
          </w:p>
        </w:tc>
        <w:tc>
          <w:tcPr>
            <w:tcW w:w="992" w:type="dxa"/>
            <w:shd w:val="clear" w:color="auto" w:fill="FB0007"/>
            <w:vAlign w:val="center"/>
          </w:tcPr>
          <w:p w14:paraId="0ADB7E8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213,857</w:t>
            </w:r>
          </w:p>
        </w:tc>
        <w:tc>
          <w:tcPr>
            <w:tcW w:w="992" w:type="dxa"/>
            <w:shd w:val="clear" w:color="auto" w:fill="FD8608"/>
            <w:vAlign w:val="center"/>
          </w:tcPr>
          <w:p w14:paraId="2192EB1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111,172</w:t>
            </w:r>
          </w:p>
        </w:tc>
        <w:tc>
          <w:tcPr>
            <w:tcW w:w="1089" w:type="dxa"/>
            <w:shd w:val="clear" w:color="auto" w:fill="FEC309"/>
            <w:vAlign w:val="bottom"/>
          </w:tcPr>
          <w:p w14:paraId="1C51EBE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146,154</w:t>
            </w:r>
          </w:p>
        </w:tc>
      </w:tr>
      <w:tr w:rsidR="005E7B88" w:rsidRPr="00371FCE" w14:paraId="1B944777" w14:textId="77777777" w:rsidTr="00121CDB">
        <w:tblPrEx>
          <w:tblBorders>
            <w:top w:val="none" w:sz="0" w:space="0" w:color="auto"/>
          </w:tblBorders>
        </w:tblPrEx>
        <w:trPr>
          <w:jc w:val="center"/>
        </w:trPr>
        <w:tc>
          <w:tcPr>
            <w:tcW w:w="567" w:type="dxa"/>
            <w:vMerge/>
          </w:tcPr>
          <w:p w14:paraId="3F4B42AA"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p>
        </w:tc>
        <w:tc>
          <w:tcPr>
            <w:tcW w:w="1560" w:type="dxa"/>
            <w:vAlign w:val="center"/>
          </w:tcPr>
          <w:p w14:paraId="454952C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Burnett R</w:t>
            </w:r>
          </w:p>
        </w:tc>
        <w:tc>
          <w:tcPr>
            <w:tcW w:w="992" w:type="dxa"/>
            <w:vAlign w:val="center"/>
          </w:tcPr>
          <w:p w14:paraId="28F90F5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250,839</w:t>
            </w:r>
          </w:p>
        </w:tc>
        <w:tc>
          <w:tcPr>
            <w:tcW w:w="1134" w:type="dxa"/>
            <w:shd w:val="clear" w:color="auto" w:fill="FB0007"/>
            <w:vAlign w:val="center"/>
          </w:tcPr>
          <w:p w14:paraId="75CDF97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9,421,517</w:t>
            </w:r>
          </w:p>
        </w:tc>
        <w:tc>
          <w:tcPr>
            <w:tcW w:w="992" w:type="dxa"/>
            <w:shd w:val="clear" w:color="auto" w:fill="FD8608"/>
            <w:vAlign w:val="center"/>
          </w:tcPr>
          <w:p w14:paraId="79E7E59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643,137</w:t>
            </w:r>
          </w:p>
        </w:tc>
        <w:tc>
          <w:tcPr>
            <w:tcW w:w="992" w:type="dxa"/>
            <w:shd w:val="clear" w:color="auto" w:fill="FB0007"/>
            <w:vAlign w:val="center"/>
          </w:tcPr>
          <w:p w14:paraId="505F442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7,581,543</w:t>
            </w:r>
          </w:p>
        </w:tc>
        <w:tc>
          <w:tcPr>
            <w:tcW w:w="993" w:type="dxa"/>
            <w:vAlign w:val="center"/>
          </w:tcPr>
          <w:p w14:paraId="71C6102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218,087</w:t>
            </w:r>
          </w:p>
        </w:tc>
        <w:tc>
          <w:tcPr>
            <w:tcW w:w="992" w:type="dxa"/>
            <w:shd w:val="clear" w:color="auto" w:fill="FB0007"/>
            <w:vAlign w:val="center"/>
          </w:tcPr>
          <w:p w14:paraId="5666009B"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853,349</w:t>
            </w:r>
          </w:p>
        </w:tc>
        <w:tc>
          <w:tcPr>
            <w:tcW w:w="992" w:type="dxa"/>
            <w:shd w:val="clear" w:color="auto" w:fill="FFFF0B"/>
            <w:vAlign w:val="center"/>
          </w:tcPr>
          <w:p w14:paraId="223217B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381,054</w:t>
            </w:r>
          </w:p>
        </w:tc>
        <w:tc>
          <w:tcPr>
            <w:tcW w:w="1089" w:type="dxa"/>
            <w:shd w:val="clear" w:color="auto" w:fill="FEC309"/>
            <w:vAlign w:val="bottom"/>
          </w:tcPr>
          <w:p w14:paraId="76C5C14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536,242</w:t>
            </w:r>
          </w:p>
        </w:tc>
      </w:tr>
      <w:tr w:rsidR="005E7B88" w:rsidRPr="00371FCE" w14:paraId="48E8559A" w14:textId="77777777" w:rsidTr="00121CDB">
        <w:tblPrEx>
          <w:tblBorders>
            <w:top w:val="none" w:sz="0" w:space="0" w:color="auto"/>
          </w:tblBorders>
        </w:tblPrEx>
        <w:trPr>
          <w:jc w:val="center"/>
        </w:trPr>
        <w:tc>
          <w:tcPr>
            <w:tcW w:w="567" w:type="dxa"/>
            <w:vMerge/>
          </w:tcPr>
          <w:p w14:paraId="22865A2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p>
        </w:tc>
        <w:tc>
          <w:tcPr>
            <w:tcW w:w="1560" w:type="dxa"/>
            <w:vAlign w:val="center"/>
          </w:tcPr>
          <w:p w14:paraId="173D4D4E"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Burrum R</w:t>
            </w:r>
          </w:p>
        </w:tc>
        <w:tc>
          <w:tcPr>
            <w:tcW w:w="992" w:type="dxa"/>
            <w:vAlign w:val="center"/>
          </w:tcPr>
          <w:p w14:paraId="25CB7996"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64,940</w:t>
            </w:r>
          </w:p>
        </w:tc>
        <w:tc>
          <w:tcPr>
            <w:tcW w:w="1134" w:type="dxa"/>
            <w:shd w:val="clear" w:color="auto" w:fill="FFFF0B"/>
            <w:vAlign w:val="center"/>
          </w:tcPr>
          <w:p w14:paraId="0A04379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114,492</w:t>
            </w:r>
          </w:p>
        </w:tc>
        <w:tc>
          <w:tcPr>
            <w:tcW w:w="992" w:type="dxa"/>
            <w:shd w:val="clear" w:color="auto" w:fill="FFFF0B"/>
            <w:vAlign w:val="center"/>
          </w:tcPr>
          <w:p w14:paraId="5ED4D233"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117,762</w:t>
            </w:r>
          </w:p>
        </w:tc>
        <w:tc>
          <w:tcPr>
            <w:tcW w:w="992" w:type="dxa"/>
            <w:vAlign w:val="center"/>
          </w:tcPr>
          <w:p w14:paraId="2590D98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90,921</w:t>
            </w:r>
          </w:p>
        </w:tc>
        <w:tc>
          <w:tcPr>
            <w:tcW w:w="993" w:type="dxa"/>
            <w:vAlign w:val="center"/>
          </w:tcPr>
          <w:p w14:paraId="40F5D23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62,188</w:t>
            </w:r>
          </w:p>
        </w:tc>
        <w:tc>
          <w:tcPr>
            <w:tcW w:w="992" w:type="dxa"/>
            <w:shd w:val="clear" w:color="auto" w:fill="FD8608"/>
            <w:vAlign w:val="center"/>
          </w:tcPr>
          <w:p w14:paraId="318DFDA4"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150,113</w:t>
            </w:r>
          </w:p>
        </w:tc>
        <w:tc>
          <w:tcPr>
            <w:tcW w:w="992" w:type="dxa"/>
            <w:shd w:val="clear" w:color="auto" w:fill="FB0007"/>
            <w:vAlign w:val="center"/>
          </w:tcPr>
          <w:p w14:paraId="2F4853D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334,681</w:t>
            </w:r>
          </w:p>
        </w:tc>
        <w:tc>
          <w:tcPr>
            <w:tcW w:w="1089" w:type="dxa"/>
            <w:shd w:val="clear" w:color="auto" w:fill="FB0007"/>
            <w:vAlign w:val="bottom"/>
          </w:tcPr>
          <w:p w14:paraId="04C65CF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456,549</w:t>
            </w:r>
          </w:p>
        </w:tc>
      </w:tr>
      <w:tr w:rsidR="005E7B88" w:rsidRPr="00371FCE" w14:paraId="00702901" w14:textId="77777777" w:rsidTr="00121CDB">
        <w:trPr>
          <w:jc w:val="center"/>
        </w:trPr>
        <w:tc>
          <w:tcPr>
            <w:tcW w:w="567" w:type="dxa"/>
            <w:vMerge/>
            <w:tcBorders>
              <w:bottom w:val="single" w:sz="8" w:space="0" w:color="000000"/>
            </w:tcBorders>
          </w:tcPr>
          <w:p w14:paraId="1428DCCD"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p>
        </w:tc>
        <w:tc>
          <w:tcPr>
            <w:tcW w:w="1560" w:type="dxa"/>
            <w:tcBorders>
              <w:bottom w:val="single" w:sz="8" w:space="0" w:color="000000"/>
            </w:tcBorders>
            <w:vAlign w:val="center"/>
          </w:tcPr>
          <w:p w14:paraId="7EAB4E8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Mary  R</w:t>
            </w:r>
          </w:p>
        </w:tc>
        <w:tc>
          <w:tcPr>
            <w:tcW w:w="992" w:type="dxa"/>
            <w:tcBorders>
              <w:bottom w:val="single" w:sz="8" w:space="0" w:color="000000"/>
            </w:tcBorders>
            <w:vAlign w:val="center"/>
          </w:tcPr>
          <w:p w14:paraId="0CEFA73F"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1,095,811</w:t>
            </w:r>
          </w:p>
        </w:tc>
        <w:tc>
          <w:tcPr>
            <w:tcW w:w="1134" w:type="dxa"/>
            <w:tcBorders>
              <w:bottom w:val="single" w:sz="8" w:space="0" w:color="000000"/>
            </w:tcBorders>
            <w:shd w:val="clear" w:color="auto" w:fill="FB0007"/>
            <w:vAlign w:val="center"/>
          </w:tcPr>
          <w:p w14:paraId="60EFE371"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8,719,106</w:t>
            </w:r>
          </w:p>
        </w:tc>
        <w:tc>
          <w:tcPr>
            <w:tcW w:w="992" w:type="dxa"/>
            <w:tcBorders>
              <w:bottom w:val="single" w:sz="8" w:space="0" w:color="000000"/>
            </w:tcBorders>
            <w:shd w:val="clear" w:color="auto" w:fill="FB0007"/>
            <w:vAlign w:val="center"/>
          </w:tcPr>
          <w:p w14:paraId="6DF551CC"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4,340,275</w:t>
            </w:r>
          </w:p>
        </w:tc>
        <w:tc>
          <w:tcPr>
            <w:tcW w:w="992" w:type="dxa"/>
            <w:tcBorders>
              <w:bottom w:val="single" w:sz="8" w:space="0" w:color="000000"/>
            </w:tcBorders>
            <w:shd w:val="clear" w:color="auto" w:fill="FB0007"/>
            <w:vAlign w:val="center"/>
          </w:tcPr>
          <w:p w14:paraId="774FE09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7,654,320</w:t>
            </w:r>
          </w:p>
        </w:tc>
        <w:tc>
          <w:tcPr>
            <w:tcW w:w="993" w:type="dxa"/>
            <w:tcBorders>
              <w:bottom w:val="single" w:sz="8" w:space="0" w:color="000000"/>
            </w:tcBorders>
            <w:vAlign w:val="center"/>
          </w:tcPr>
          <w:p w14:paraId="4E67E6D5"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594,612</w:t>
            </w:r>
          </w:p>
        </w:tc>
        <w:tc>
          <w:tcPr>
            <w:tcW w:w="992" w:type="dxa"/>
            <w:tcBorders>
              <w:bottom w:val="single" w:sz="8" w:space="0" w:color="000000"/>
            </w:tcBorders>
            <w:vAlign w:val="center"/>
          </w:tcPr>
          <w:p w14:paraId="030F5B77"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1,651,901</w:t>
            </w:r>
          </w:p>
        </w:tc>
        <w:tc>
          <w:tcPr>
            <w:tcW w:w="992" w:type="dxa"/>
            <w:tcBorders>
              <w:bottom w:val="single" w:sz="8" w:space="0" w:color="000000"/>
            </w:tcBorders>
            <w:vAlign w:val="center"/>
          </w:tcPr>
          <w:p w14:paraId="7F348EC9"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480,854</w:t>
            </w:r>
          </w:p>
        </w:tc>
        <w:tc>
          <w:tcPr>
            <w:tcW w:w="1089" w:type="dxa"/>
            <w:tcBorders>
              <w:bottom w:val="single" w:sz="8" w:space="0" w:color="000000"/>
            </w:tcBorders>
            <w:vAlign w:val="bottom"/>
          </w:tcPr>
          <w:p w14:paraId="1E56BBD2" w14:textId="77777777" w:rsidR="005E7B88" w:rsidRPr="00371FCE" w:rsidRDefault="005E7B88" w:rsidP="00121CDB">
            <w:pPr>
              <w:autoSpaceDE w:val="0"/>
              <w:autoSpaceDN w:val="0"/>
              <w:adjustRightInd w:val="0"/>
              <w:spacing w:before="40" w:after="40"/>
              <w:jc w:val="center"/>
              <w:rPr>
                <w:rFonts w:ascii="Arial" w:hAnsi="Arial" w:cs="Arial"/>
                <w:color w:val="000000"/>
                <w:sz w:val="14"/>
                <w:szCs w:val="14"/>
              </w:rPr>
            </w:pPr>
            <w:r w:rsidRPr="00371FCE">
              <w:rPr>
                <w:rFonts w:ascii="Arial" w:hAnsi="Arial" w:cs="Arial"/>
                <w:color w:val="000000"/>
                <w:sz w:val="14"/>
                <w:szCs w:val="14"/>
              </w:rPr>
              <w:t>582,510</w:t>
            </w:r>
          </w:p>
        </w:tc>
      </w:tr>
    </w:tbl>
    <w:p w14:paraId="1AF37708" w14:textId="77777777" w:rsidR="005E7B88" w:rsidRDefault="005E7B88" w:rsidP="005E7B88">
      <w:pPr>
        <w:rPr>
          <w:lang w:val="en-GB"/>
        </w:rPr>
      </w:pPr>
    </w:p>
    <w:p w14:paraId="72FC09BA" w14:textId="77777777" w:rsidR="00771FD9" w:rsidRPr="00677FAD" w:rsidRDefault="00771FD9" w:rsidP="00771FD9">
      <w:pPr>
        <w:keepNext/>
        <w:widowControl w:val="0"/>
        <w:autoSpaceDE w:val="0"/>
        <w:autoSpaceDN w:val="0"/>
        <w:adjustRightInd w:val="0"/>
        <w:spacing w:after="0"/>
        <w:jc w:val="center"/>
        <w:rPr>
          <w:rFonts w:cs="TimesNewRoman"/>
          <w:szCs w:val="22"/>
          <w:lang w:val="en-US"/>
        </w:rPr>
      </w:pPr>
      <w:r w:rsidRPr="00677FAD">
        <w:rPr>
          <w:rFonts w:cs="TimesNewRoman"/>
          <w:noProof/>
          <w:szCs w:val="22"/>
          <w:lang w:eastAsia="en-AU"/>
        </w:rPr>
        <w:drawing>
          <wp:inline distT="0" distB="0" distL="0" distR="0" wp14:anchorId="51439C60" wp14:editId="0C9B7F78">
            <wp:extent cx="5382000" cy="7477200"/>
            <wp:effectExtent l="0" t="0" r="9525" b="0"/>
            <wp:docPr id="12" name="Picture 12" descr="Map of Great Barrier Reef and Queensland coastline showing turbid water exposure frequency from December 2016 to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BR frequency w legend.png"/>
                    <pic:cNvPicPr/>
                  </pic:nvPicPr>
                  <pic:blipFill rotWithShape="1">
                    <a:blip r:embed="rId46">
                      <a:extLst>
                        <a:ext uri="{28A0092B-C50C-407E-A947-70E740481C1C}">
                          <a14:useLocalDpi xmlns:a14="http://schemas.microsoft.com/office/drawing/2010/main" val="0"/>
                        </a:ext>
                      </a:extLst>
                    </a:blip>
                    <a:srcRect l="4363" t="3451" r="3087" b="4528"/>
                    <a:stretch/>
                  </pic:blipFill>
                  <pic:spPr bwMode="auto">
                    <a:xfrm>
                      <a:off x="0" y="0"/>
                      <a:ext cx="5382000" cy="7477200"/>
                    </a:xfrm>
                    <a:prstGeom prst="rect">
                      <a:avLst/>
                    </a:prstGeom>
                    <a:ln>
                      <a:noFill/>
                    </a:ln>
                    <a:extLst>
                      <a:ext uri="{53640926-AAD7-44D8-BBD7-CCE9431645EC}">
                        <a14:shadowObscured xmlns:a14="http://schemas.microsoft.com/office/drawing/2010/main"/>
                      </a:ext>
                    </a:extLst>
                  </pic:spPr>
                </pic:pic>
              </a:graphicData>
            </a:graphic>
          </wp:inline>
        </w:drawing>
      </w:r>
    </w:p>
    <w:p w14:paraId="4A0E2CCA" w14:textId="66B2F02E" w:rsidR="00771FD9" w:rsidRPr="009F7BEA" w:rsidRDefault="00771FD9" w:rsidP="00E742E9">
      <w:pPr>
        <w:pStyle w:val="Caption"/>
        <w:rPr>
          <w:i/>
          <w:vanish/>
          <w:color w:val="000000" w:themeColor="text1"/>
          <w:specVanish/>
        </w:rPr>
      </w:pPr>
      <w:bookmarkStart w:id="147" w:name="_Ref442465513"/>
      <w:bookmarkStart w:id="148" w:name="_Toc516053219"/>
      <w:r w:rsidRPr="00677FAD">
        <w:t xml:space="preserve">Figure </w:t>
      </w:r>
      <w:r w:rsidRPr="00677FAD">
        <w:fldChar w:fldCharType="begin"/>
      </w:r>
      <w:r w:rsidRPr="00677FAD">
        <w:instrText xml:space="preserve"> SEQ Figure \* ARABIC </w:instrText>
      </w:r>
      <w:r w:rsidRPr="00677FAD">
        <w:fldChar w:fldCharType="separate"/>
      </w:r>
      <w:r w:rsidR="00F87DF9">
        <w:rPr>
          <w:noProof/>
        </w:rPr>
        <w:t>9</w:t>
      </w:r>
      <w:r w:rsidRPr="00677FAD">
        <w:fldChar w:fldCharType="end"/>
      </w:r>
      <w:bookmarkEnd w:id="147"/>
      <w:r w:rsidRPr="00677FAD">
        <w:t xml:space="preserve">. </w:t>
      </w:r>
      <w:r>
        <w:rPr>
          <w:i/>
        </w:rPr>
        <w:t>Turbid water</w:t>
      </w:r>
      <w:r w:rsidRPr="00677FAD">
        <w:rPr>
          <w:i/>
        </w:rPr>
        <w:t xml:space="preserve"> exposure (colour classes 1 – 5, primary and secondary water) frequency in the </w:t>
      </w:r>
      <w:r w:rsidR="007F6948">
        <w:rPr>
          <w:i/>
        </w:rPr>
        <w:t>Great Barrier Reef</w:t>
      </w:r>
      <w:r w:rsidRPr="00677FAD">
        <w:rPr>
          <w:i/>
        </w:rPr>
        <w:t xml:space="preserve"> from </w:t>
      </w:r>
      <w:r w:rsidRPr="009F7BEA">
        <w:rPr>
          <w:i/>
          <w:color w:val="000000" w:themeColor="text1"/>
        </w:rPr>
        <w:t>December 201</w:t>
      </w:r>
      <w:r w:rsidR="009F7BEA" w:rsidRPr="009F7BEA">
        <w:rPr>
          <w:i/>
          <w:color w:val="000000" w:themeColor="text1"/>
        </w:rPr>
        <w:t>6</w:t>
      </w:r>
      <w:r w:rsidRPr="009F7BEA">
        <w:rPr>
          <w:i/>
          <w:color w:val="000000" w:themeColor="text1"/>
        </w:rPr>
        <w:t xml:space="preserve"> to April 201</w:t>
      </w:r>
      <w:r w:rsidR="009F7BEA" w:rsidRPr="009F7BEA">
        <w:rPr>
          <w:i/>
          <w:color w:val="000000" w:themeColor="text1"/>
        </w:rPr>
        <w:t>7</w:t>
      </w:r>
      <w:bookmarkEnd w:id="148"/>
    </w:p>
    <w:p w14:paraId="1CD923EA" w14:textId="4C3A7B3C" w:rsidR="00E824B2" w:rsidRDefault="00771FD9" w:rsidP="00E742E9">
      <w:pPr>
        <w:pStyle w:val="Caption"/>
        <w:rPr>
          <w:i/>
        </w:rPr>
      </w:pPr>
      <w:r w:rsidRPr="009F7BEA">
        <w:rPr>
          <w:i/>
          <w:color w:val="000000" w:themeColor="text1"/>
        </w:rPr>
        <w:t xml:space="preserve"> </w:t>
      </w:r>
      <w:r w:rsidRPr="00677FAD">
        <w:rPr>
          <w:i/>
        </w:rPr>
        <w:t xml:space="preserve">ranging from frequency of 1 (red, always exposed) to 0 (dark blue, never exposed). Green </w:t>
      </w:r>
      <w:r>
        <w:rPr>
          <w:i/>
        </w:rPr>
        <w:t>circles</w:t>
      </w:r>
      <w:r w:rsidRPr="00677FAD">
        <w:rPr>
          <w:i/>
        </w:rPr>
        <w:t xml:space="preserve"> show seagrass monitoring </w:t>
      </w:r>
      <w:r>
        <w:rPr>
          <w:i/>
        </w:rPr>
        <w:t>sites</w:t>
      </w:r>
      <w:r w:rsidRPr="00C13F2E">
        <w:rPr>
          <w:i/>
        </w:rPr>
        <w:t xml:space="preserve">. From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Pr>
          <w:i/>
        </w:rPr>
        <w:t>.</w:t>
      </w:r>
    </w:p>
    <w:p w14:paraId="0935B49B" w14:textId="77777777" w:rsidR="002D2818" w:rsidRDefault="002D2818" w:rsidP="002D2818">
      <w:pPr>
        <w:rPr>
          <w:lang w:val="en-GB"/>
        </w:rPr>
      </w:pPr>
    </w:p>
    <w:p w14:paraId="2FC0FA4A" w14:textId="79B4F717" w:rsidR="00283D91" w:rsidRDefault="002D2818" w:rsidP="00E742E9">
      <w:pPr>
        <w:rPr>
          <w:lang w:val="en-GB"/>
        </w:rPr>
      </w:pPr>
      <w:r>
        <w:rPr>
          <w:lang w:val="en-GB"/>
        </w:rPr>
        <w:t xml:space="preserve">The frequency of exposure to colour classes 1 to 4 (‘brown’ turbid water) during the wet season weeks </w:t>
      </w:r>
      <w:r w:rsidR="00BC3AAD">
        <w:rPr>
          <w:lang w:val="en-GB"/>
        </w:rPr>
        <w:t xml:space="preserve">(December 2016 - April 2017) </w:t>
      </w:r>
      <w:r>
        <w:rPr>
          <w:lang w:val="en-GB"/>
        </w:rPr>
        <w:t>was lower than multiannual annual conditions in all NRMs except the Mackay</w:t>
      </w:r>
      <w:r w:rsidR="001F6D3D">
        <w:rPr>
          <w:lang w:val="en-GB"/>
        </w:rPr>
        <w:t xml:space="preserve"> </w:t>
      </w:r>
      <w:r>
        <w:rPr>
          <w:lang w:val="en-GB"/>
        </w:rPr>
        <w:t>Whitsunday</w:t>
      </w:r>
      <w:r w:rsidR="00283D91">
        <w:rPr>
          <w:lang w:val="en-GB"/>
        </w:rPr>
        <w:t xml:space="preserve"> (</w:t>
      </w:r>
      <w:r w:rsidR="00283D91">
        <w:rPr>
          <w:lang w:val="en-GB"/>
        </w:rPr>
        <w:fldChar w:fldCharType="begin"/>
      </w:r>
      <w:r w:rsidR="00283D91">
        <w:rPr>
          <w:lang w:val="en-GB"/>
        </w:rPr>
        <w:instrText xml:space="preserve"> REF _Ref507596879 \h </w:instrText>
      </w:r>
      <w:r w:rsidR="00283D91">
        <w:rPr>
          <w:lang w:val="en-GB"/>
        </w:rPr>
      </w:r>
      <w:r w:rsidR="00283D91">
        <w:rPr>
          <w:lang w:val="en-GB"/>
        </w:rPr>
        <w:fldChar w:fldCharType="separate"/>
      </w:r>
      <w:r w:rsidR="00F87DF9">
        <w:t xml:space="preserve">Figure </w:t>
      </w:r>
      <w:r w:rsidR="00F87DF9">
        <w:rPr>
          <w:noProof/>
        </w:rPr>
        <w:t>10</w:t>
      </w:r>
      <w:r w:rsidR="00283D91">
        <w:rPr>
          <w:lang w:val="en-GB"/>
        </w:rPr>
        <w:fldChar w:fldCharType="end"/>
      </w:r>
      <w:r w:rsidR="00283D91">
        <w:rPr>
          <w:lang w:val="en-GB"/>
        </w:rPr>
        <w:t>)</w:t>
      </w:r>
      <w:r>
        <w:rPr>
          <w:lang w:val="en-GB"/>
        </w:rPr>
        <w:t xml:space="preserve">. </w:t>
      </w:r>
      <w:r w:rsidR="00AD6AFB">
        <w:rPr>
          <w:lang w:val="en-GB"/>
        </w:rPr>
        <w:t>T</w:t>
      </w:r>
      <w:r>
        <w:rPr>
          <w:lang w:val="en-GB"/>
        </w:rPr>
        <w:t xml:space="preserve">he frequency of exposure </w:t>
      </w:r>
      <w:r w:rsidR="00AD6AFB">
        <w:rPr>
          <w:lang w:val="en-GB"/>
        </w:rPr>
        <w:t>to</w:t>
      </w:r>
      <w:r>
        <w:rPr>
          <w:lang w:val="en-GB"/>
        </w:rPr>
        <w:t xml:space="preserve"> colour class</w:t>
      </w:r>
      <w:r w:rsidR="00283D91">
        <w:rPr>
          <w:lang w:val="en-GB"/>
        </w:rPr>
        <w:t>es</w:t>
      </w:r>
      <w:r>
        <w:rPr>
          <w:lang w:val="en-GB"/>
        </w:rPr>
        <w:t xml:space="preserve"> </w:t>
      </w:r>
      <w:r w:rsidR="00AD6AFB">
        <w:rPr>
          <w:lang w:val="en-GB"/>
        </w:rPr>
        <w:t xml:space="preserve">1 to </w:t>
      </w:r>
      <w:r>
        <w:rPr>
          <w:lang w:val="en-GB"/>
        </w:rPr>
        <w:t xml:space="preserve">5 </w:t>
      </w:r>
      <w:r w:rsidR="00AD6AFB">
        <w:rPr>
          <w:lang w:val="en-GB"/>
        </w:rPr>
        <w:t xml:space="preserve">also including </w:t>
      </w:r>
      <w:r>
        <w:rPr>
          <w:lang w:val="en-GB"/>
        </w:rPr>
        <w:t>‘green’ turbid</w:t>
      </w:r>
      <w:r w:rsidR="00AD6AFB">
        <w:rPr>
          <w:lang w:val="en-GB"/>
        </w:rPr>
        <w:t xml:space="preserve"> water</w:t>
      </w:r>
      <w:r w:rsidR="00283D91">
        <w:rPr>
          <w:lang w:val="en-GB"/>
        </w:rPr>
        <w:t>,</w:t>
      </w:r>
      <w:r w:rsidR="00AD6AFB">
        <w:rPr>
          <w:lang w:val="en-GB"/>
        </w:rPr>
        <w:t xml:space="preserve"> shows that </w:t>
      </w:r>
      <w:r w:rsidR="00283D91">
        <w:rPr>
          <w:lang w:val="en-GB"/>
        </w:rPr>
        <w:t xml:space="preserve">the frequency </w:t>
      </w:r>
      <w:r w:rsidR="00AD6AFB">
        <w:rPr>
          <w:lang w:val="en-GB"/>
        </w:rPr>
        <w:t xml:space="preserve">was elevated in </w:t>
      </w:r>
      <w:r w:rsidR="008574EC">
        <w:rPr>
          <w:lang w:val="en-GB"/>
        </w:rPr>
        <w:t>2016–17</w:t>
      </w:r>
      <w:r>
        <w:rPr>
          <w:lang w:val="en-GB"/>
        </w:rPr>
        <w:t xml:space="preserve"> in the Burdekin, Fitzroy, and Burnett Mary catchments</w:t>
      </w:r>
      <w:r w:rsidR="00AD6AFB">
        <w:rPr>
          <w:lang w:val="en-GB"/>
        </w:rPr>
        <w:t xml:space="preserve">, but was lower than the multi-annual </w:t>
      </w:r>
      <w:r w:rsidR="00283D91">
        <w:rPr>
          <w:lang w:val="en-GB"/>
        </w:rPr>
        <w:t>conditions</w:t>
      </w:r>
      <w:r w:rsidR="00AD6AFB">
        <w:rPr>
          <w:lang w:val="en-GB"/>
        </w:rPr>
        <w:t xml:space="preserve"> in </w:t>
      </w:r>
      <w:r w:rsidR="00283D91">
        <w:rPr>
          <w:lang w:val="en-GB"/>
        </w:rPr>
        <w:t xml:space="preserve">the </w:t>
      </w:r>
      <w:r w:rsidR="00AD6AFB">
        <w:rPr>
          <w:lang w:val="en-GB"/>
        </w:rPr>
        <w:t>Mackay</w:t>
      </w:r>
      <w:r w:rsidR="001F6D3D">
        <w:rPr>
          <w:lang w:val="en-GB"/>
        </w:rPr>
        <w:t xml:space="preserve"> </w:t>
      </w:r>
      <w:r w:rsidR="00AD6AFB">
        <w:rPr>
          <w:lang w:val="en-GB"/>
        </w:rPr>
        <w:t>Whitsunday</w:t>
      </w:r>
      <w:r>
        <w:rPr>
          <w:lang w:val="en-GB"/>
        </w:rPr>
        <w:t>.</w:t>
      </w:r>
    </w:p>
    <w:p w14:paraId="62C2431C" w14:textId="24C1DFB2" w:rsidR="00771FD9" w:rsidRDefault="002D2818" w:rsidP="00E742E9">
      <w:pPr>
        <w:pStyle w:val="Caption"/>
        <w:jc w:val="center"/>
      </w:pPr>
      <w:r>
        <w:rPr>
          <w:noProof/>
          <w:lang w:val="en-AU" w:eastAsia="en-AU"/>
        </w:rPr>
        <w:drawing>
          <wp:inline distT="0" distB="0" distL="0" distR="0" wp14:anchorId="24E27596" wp14:editId="78A3DBB7">
            <wp:extent cx="4680000" cy="2340000"/>
            <wp:effectExtent l="0" t="0" r="6350" b="3175"/>
            <wp:docPr id="101" name="Picture 101" descr="Panel of 2 bar charts showing difference in the frequency of exposure to water colour classes at seagrass monitoring sites during the wet season (December 2016 – April 2017) compared to the long-term multiannual exposure (2003-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exposure deviation 2017-Multi.png"/>
                    <pic:cNvPicPr/>
                  </pic:nvPicPr>
                  <pic:blipFill>
                    <a:blip r:embed="rId47"/>
                    <a:stretch>
                      <a:fillRect/>
                    </a:stretch>
                  </pic:blipFill>
                  <pic:spPr>
                    <a:xfrm>
                      <a:off x="0" y="0"/>
                      <a:ext cx="4680000" cy="2340000"/>
                    </a:xfrm>
                    <a:prstGeom prst="rect">
                      <a:avLst/>
                    </a:prstGeom>
                  </pic:spPr>
                </pic:pic>
              </a:graphicData>
            </a:graphic>
          </wp:inline>
        </w:drawing>
      </w:r>
    </w:p>
    <w:p w14:paraId="5A6297D8" w14:textId="1F541A5A" w:rsidR="00297244" w:rsidRPr="009F7BEA" w:rsidRDefault="00E824B2" w:rsidP="00297244">
      <w:pPr>
        <w:pStyle w:val="Caption"/>
        <w:rPr>
          <w:i/>
          <w:vanish/>
          <w:color w:val="000000" w:themeColor="text1"/>
          <w:specVanish/>
        </w:rPr>
      </w:pPr>
      <w:bookmarkStart w:id="149" w:name="_Ref507596879"/>
      <w:bookmarkStart w:id="150" w:name="_Toc516053220"/>
      <w:r>
        <w:t xml:space="preserve">Figure </w:t>
      </w:r>
      <w:r>
        <w:fldChar w:fldCharType="begin"/>
      </w:r>
      <w:r>
        <w:instrText xml:space="preserve"> SEQ Figure \* ARABIC </w:instrText>
      </w:r>
      <w:r>
        <w:fldChar w:fldCharType="separate"/>
      </w:r>
      <w:r w:rsidR="00F87DF9">
        <w:rPr>
          <w:noProof/>
        </w:rPr>
        <w:t>10</w:t>
      </w:r>
      <w:r>
        <w:fldChar w:fldCharType="end"/>
      </w:r>
      <w:bookmarkEnd w:id="149"/>
      <w:r>
        <w:t xml:space="preserve">. </w:t>
      </w:r>
      <w:r w:rsidR="00283D91" w:rsidRPr="00283D91">
        <w:rPr>
          <w:i/>
        </w:rPr>
        <w:t>Difference in the f</w:t>
      </w:r>
      <w:r w:rsidRPr="002D2818">
        <w:rPr>
          <w:i/>
        </w:rPr>
        <w:t>requency of exposure to water colour classes</w:t>
      </w:r>
      <w:r w:rsidR="0025552C">
        <w:rPr>
          <w:i/>
        </w:rPr>
        <w:t xml:space="preserve"> (CC)</w:t>
      </w:r>
      <w:r w:rsidRPr="002D2818">
        <w:rPr>
          <w:i/>
        </w:rPr>
        <w:t xml:space="preserve"> 1 to 4 (left) and 1 to 5 (right)</w:t>
      </w:r>
      <w:r w:rsidR="002D2818" w:rsidRPr="002D2818">
        <w:rPr>
          <w:i/>
        </w:rPr>
        <w:t xml:space="preserve"> at seagrass </w:t>
      </w:r>
      <w:r w:rsidR="0025552C">
        <w:rPr>
          <w:i/>
        </w:rPr>
        <w:t xml:space="preserve">monitoring </w:t>
      </w:r>
      <w:r w:rsidR="002D2818" w:rsidRPr="002D2818">
        <w:rPr>
          <w:i/>
        </w:rPr>
        <w:t xml:space="preserve">sites </w:t>
      </w:r>
      <w:r w:rsidR="002D2818">
        <w:rPr>
          <w:i/>
        </w:rPr>
        <w:t>during the wet season (</w:t>
      </w:r>
      <w:r w:rsidR="009F7BEA">
        <w:rPr>
          <w:i/>
        </w:rPr>
        <w:t>December</w:t>
      </w:r>
      <w:r w:rsidR="002D2818">
        <w:rPr>
          <w:i/>
        </w:rPr>
        <w:t xml:space="preserve"> 2016 – April 2017)</w:t>
      </w:r>
      <w:r w:rsidR="00283D91">
        <w:rPr>
          <w:i/>
        </w:rPr>
        <w:t xml:space="preserve"> </w:t>
      </w:r>
      <w:r w:rsidR="002D2818" w:rsidRPr="002D2818">
        <w:rPr>
          <w:i/>
        </w:rPr>
        <w:t xml:space="preserve">compared to the long-term </w:t>
      </w:r>
      <w:r w:rsidR="002D2818">
        <w:rPr>
          <w:i/>
        </w:rPr>
        <w:t>multiannual exposure (2003-2017)</w:t>
      </w:r>
      <w:r w:rsidR="002D2818" w:rsidRPr="002D2818">
        <w:rPr>
          <w:i/>
        </w:rPr>
        <w:t>.</w:t>
      </w:r>
      <w:bookmarkEnd w:id="150"/>
      <w:r w:rsidR="00297244" w:rsidRPr="00297244">
        <w:rPr>
          <w:i/>
          <w:vanish/>
          <w:color w:val="000000" w:themeColor="text1"/>
          <w:specVanish/>
        </w:rPr>
        <w:t xml:space="preserve"> </w:t>
      </w:r>
    </w:p>
    <w:p w14:paraId="6DE9DA65" w14:textId="6562C099" w:rsidR="00E824B2" w:rsidRPr="00E824B2" w:rsidRDefault="00A5437F" w:rsidP="00297244">
      <w:pPr>
        <w:pStyle w:val="Caption"/>
      </w:pPr>
      <w:r>
        <w:rPr>
          <w:i/>
        </w:rPr>
        <w:t xml:space="preserve"> From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Pr>
          <w:i/>
        </w:rPr>
        <w:t xml:space="preserve">. </w:t>
      </w:r>
    </w:p>
    <w:p w14:paraId="10D42AF2" w14:textId="77777777" w:rsidR="00D77005" w:rsidRPr="00BA12BB" w:rsidRDefault="00D77005" w:rsidP="00D77005">
      <w:pPr>
        <w:pStyle w:val="Heading4"/>
        <w:numPr>
          <w:ilvl w:val="0"/>
          <w:numId w:val="0"/>
        </w:numPr>
        <w:rPr>
          <w:rFonts w:ascii="Arial" w:hAnsi="Arial" w:cs="Arial"/>
          <w:sz w:val="24"/>
          <w:szCs w:val="24"/>
        </w:rPr>
      </w:pPr>
      <w:r>
        <w:rPr>
          <w:rFonts w:ascii="Arial" w:hAnsi="Arial" w:cs="Arial"/>
          <w:sz w:val="24"/>
          <w:szCs w:val="24"/>
        </w:rPr>
        <w:t>Daily incident l</w:t>
      </w:r>
      <w:r w:rsidRPr="00BA12BB">
        <w:rPr>
          <w:rFonts w:ascii="Arial" w:hAnsi="Arial" w:cs="Arial"/>
          <w:sz w:val="24"/>
          <w:szCs w:val="24"/>
        </w:rPr>
        <w:t xml:space="preserve">ight </w:t>
      </w:r>
    </w:p>
    <w:p w14:paraId="17FDAE84" w14:textId="0CC5B2E1" w:rsidR="003E039B" w:rsidRPr="0084746C" w:rsidRDefault="003E039B" w:rsidP="00E742E9">
      <w:pPr>
        <w:rPr>
          <w:color w:val="000000" w:themeColor="text1"/>
        </w:rPr>
      </w:pPr>
      <w:r w:rsidRPr="0089699B">
        <w:rPr>
          <w:color w:val="000000" w:themeColor="text1"/>
        </w:rPr>
        <w:t>Daily incident light (I</w:t>
      </w:r>
      <w:r w:rsidRPr="0089699B">
        <w:rPr>
          <w:color w:val="000000" w:themeColor="text1"/>
          <w:vertAlign w:val="subscript"/>
        </w:rPr>
        <w:t>d</w:t>
      </w:r>
      <w:r w:rsidRPr="0089699B">
        <w:rPr>
          <w:color w:val="000000" w:themeColor="text1"/>
        </w:rPr>
        <w:t>, mol m</w:t>
      </w:r>
      <w:r w:rsidRPr="0089699B">
        <w:rPr>
          <w:color w:val="000000" w:themeColor="text1"/>
          <w:vertAlign w:val="superscript"/>
        </w:rPr>
        <w:t>-2</w:t>
      </w:r>
      <w:r w:rsidRPr="0089699B">
        <w:rPr>
          <w:color w:val="000000" w:themeColor="text1"/>
        </w:rPr>
        <w:t xml:space="preserve"> d</w:t>
      </w:r>
      <w:r w:rsidRPr="0089699B">
        <w:rPr>
          <w:color w:val="000000" w:themeColor="text1"/>
          <w:vertAlign w:val="superscript"/>
        </w:rPr>
        <w:t>-1</w:t>
      </w:r>
      <w:r w:rsidRPr="0089699B">
        <w:rPr>
          <w:color w:val="000000" w:themeColor="text1"/>
        </w:rPr>
        <w:t>)</w:t>
      </w:r>
      <w:r w:rsidRPr="0089699B">
        <w:rPr>
          <w:color w:val="000000" w:themeColor="text1"/>
          <w:vertAlign w:val="superscript"/>
        </w:rPr>
        <w:t xml:space="preserve"> </w:t>
      </w:r>
      <w:r w:rsidRPr="0089699B">
        <w:rPr>
          <w:color w:val="000000" w:themeColor="text1"/>
        </w:rPr>
        <w:t xml:space="preserve">reaching the top of the seagrass canopy in the </w:t>
      </w:r>
      <w:r w:rsidR="007F6948">
        <w:rPr>
          <w:color w:val="000000" w:themeColor="text1"/>
        </w:rPr>
        <w:t>Great Barrier Reef</w:t>
      </w:r>
      <w:r w:rsidRPr="0089699B">
        <w:rPr>
          <w:color w:val="000000" w:themeColor="text1"/>
        </w:rPr>
        <w:t xml:space="preserve"> in </w:t>
      </w:r>
      <w:r w:rsidR="008574EC">
        <w:rPr>
          <w:color w:val="000000" w:themeColor="text1"/>
        </w:rPr>
        <w:t>2016–17</w:t>
      </w:r>
      <w:r w:rsidRPr="0089699B">
        <w:rPr>
          <w:color w:val="000000" w:themeColor="text1"/>
        </w:rPr>
        <w:t xml:space="preserve"> (11.6 mol m</w:t>
      </w:r>
      <w:r w:rsidRPr="0089699B">
        <w:rPr>
          <w:color w:val="000000" w:themeColor="text1"/>
          <w:vertAlign w:val="superscript"/>
        </w:rPr>
        <w:t>-2</w:t>
      </w:r>
      <w:r w:rsidRPr="0089699B">
        <w:rPr>
          <w:color w:val="000000" w:themeColor="text1"/>
        </w:rPr>
        <w:t xml:space="preserve"> d</w:t>
      </w:r>
      <w:r w:rsidRPr="0089699B">
        <w:rPr>
          <w:color w:val="000000" w:themeColor="text1"/>
          <w:vertAlign w:val="superscript"/>
        </w:rPr>
        <w:t xml:space="preserve">-1 </w:t>
      </w:r>
      <w:r w:rsidRPr="0089699B">
        <w:rPr>
          <w:color w:val="000000" w:themeColor="text1"/>
        </w:rPr>
        <w:t>)</w:t>
      </w:r>
      <w:r w:rsidRPr="0089699B">
        <w:rPr>
          <w:color w:val="000000" w:themeColor="text1"/>
          <w:vertAlign w:val="superscript"/>
        </w:rPr>
        <w:t xml:space="preserve"> </w:t>
      </w:r>
      <w:r w:rsidRPr="0089699B">
        <w:rPr>
          <w:color w:val="000000" w:themeColor="text1"/>
        </w:rPr>
        <w:t>was below the long-term average (13.4 mol m</w:t>
      </w:r>
      <w:r w:rsidRPr="0089699B">
        <w:rPr>
          <w:color w:val="000000" w:themeColor="text1"/>
          <w:vertAlign w:val="superscript"/>
        </w:rPr>
        <w:t>-2</w:t>
      </w:r>
      <w:r w:rsidRPr="0089699B">
        <w:rPr>
          <w:color w:val="000000" w:themeColor="text1"/>
        </w:rPr>
        <w:t xml:space="preserve"> d</w:t>
      </w:r>
      <w:r w:rsidRPr="0089699B">
        <w:rPr>
          <w:color w:val="000000" w:themeColor="text1"/>
          <w:vertAlign w:val="superscript"/>
        </w:rPr>
        <w:t>-1</w:t>
      </w:r>
      <w:r w:rsidRPr="0089699B">
        <w:rPr>
          <w:color w:val="000000" w:themeColor="text1"/>
        </w:rPr>
        <w:t>) (</w:t>
      </w:r>
      <w:r w:rsidR="001851D6">
        <w:rPr>
          <w:color w:val="000000" w:themeColor="text1"/>
        </w:rPr>
        <w:fldChar w:fldCharType="begin"/>
      </w:r>
      <w:r w:rsidR="001851D6">
        <w:rPr>
          <w:color w:val="000000" w:themeColor="text1"/>
        </w:rPr>
        <w:instrText xml:space="preserve"> REF _Ref442455429 \h </w:instrText>
      </w:r>
      <w:r w:rsidR="001851D6">
        <w:rPr>
          <w:color w:val="000000" w:themeColor="text1"/>
        </w:rPr>
      </w:r>
      <w:r w:rsidR="001851D6">
        <w:rPr>
          <w:color w:val="000000" w:themeColor="text1"/>
        </w:rPr>
        <w:fldChar w:fldCharType="separate"/>
      </w:r>
      <w:r w:rsidR="00F87DF9" w:rsidRPr="000D4E9D">
        <w:t xml:space="preserve">Figure </w:t>
      </w:r>
      <w:r w:rsidR="00F87DF9">
        <w:rPr>
          <w:noProof/>
        </w:rPr>
        <w:t>11</w:t>
      </w:r>
      <w:r w:rsidR="001851D6">
        <w:rPr>
          <w:color w:val="000000" w:themeColor="text1"/>
        </w:rPr>
        <w:fldChar w:fldCharType="end"/>
      </w:r>
      <w:r w:rsidRPr="0089699B">
        <w:rPr>
          <w:color w:val="000000" w:themeColor="text1"/>
        </w:rPr>
        <w:t xml:space="preserve">). </w:t>
      </w:r>
      <w:r w:rsidRPr="0084746C">
        <w:rPr>
          <w:color w:val="000000" w:themeColor="text1"/>
        </w:rPr>
        <w:t>Cape York sites had the highest I</w:t>
      </w:r>
      <w:r w:rsidRPr="0084746C">
        <w:rPr>
          <w:color w:val="000000" w:themeColor="text1"/>
          <w:vertAlign w:val="subscript"/>
        </w:rPr>
        <w:t>d</w:t>
      </w:r>
      <w:r w:rsidRPr="0084746C">
        <w:rPr>
          <w:color w:val="000000" w:themeColor="text1"/>
        </w:rPr>
        <w:t xml:space="preserve"> (17.3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followed by Fitzroy (14.3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Mackay Whitsunday (13.8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Burenett-Mary (13.2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Wet Tropics (12.7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and, Burdekin sites had the lowest (9.6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Both the Wet Tropics and Burdekin have subtidal sites, with lower I</w:t>
      </w:r>
      <w:r w:rsidRPr="0084746C">
        <w:rPr>
          <w:color w:val="000000" w:themeColor="text1"/>
          <w:vertAlign w:val="subscript"/>
        </w:rPr>
        <w:t>d</w:t>
      </w:r>
      <w:r w:rsidRPr="0084746C">
        <w:rPr>
          <w:color w:val="000000" w:themeColor="text1"/>
        </w:rPr>
        <w:t xml:space="preserve"> than intertidal sites, and these lowered their regional average. With these excluded, I</w:t>
      </w:r>
      <w:r w:rsidRPr="0084746C">
        <w:rPr>
          <w:color w:val="000000" w:themeColor="text1"/>
          <w:vertAlign w:val="subscript"/>
        </w:rPr>
        <w:t>d</w:t>
      </w:r>
      <w:r w:rsidR="00F444E4">
        <w:rPr>
          <w:color w:val="000000" w:themeColor="text1"/>
        </w:rPr>
        <w:t xml:space="preserve"> in </w:t>
      </w:r>
      <w:r w:rsidR="008574EC">
        <w:rPr>
          <w:color w:val="000000" w:themeColor="text1"/>
        </w:rPr>
        <w:t>2016–17</w:t>
      </w:r>
      <w:r w:rsidR="00F444E4">
        <w:rPr>
          <w:color w:val="000000" w:themeColor="text1"/>
        </w:rPr>
        <w:t xml:space="preserve"> wa</w:t>
      </w:r>
      <w:r w:rsidRPr="0084746C">
        <w:rPr>
          <w:color w:val="000000" w:themeColor="text1"/>
        </w:rPr>
        <w:t>s second highest in the Wet Tropics (15.3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w</w:t>
      </w:r>
      <w:r w:rsidR="00F444E4">
        <w:rPr>
          <w:color w:val="000000" w:themeColor="text1"/>
        </w:rPr>
        <w:t>hile the Burdekin remained</w:t>
      </w:r>
      <w:r w:rsidRPr="0084746C">
        <w:rPr>
          <w:color w:val="000000" w:themeColor="text1"/>
        </w:rPr>
        <w:t xml:space="preserve"> the lowest (10.0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The I</w:t>
      </w:r>
      <w:r w:rsidRPr="0084746C">
        <w:rPr>
          <w:color w:val="000000" w:themeColor="text1"/>
          <w:vertAlign w:val="subscript"/>
        </w:rPr>
        <w:t>d</w:t>
      </w:r>
      <w:r w:rsidRPr="0084746C">
        <w:rPr>
          <w:color w:val="000000" w:themeColor="text1"/>
        </w:rPr>
        <w:t xml:space="preserve"> at Wet Tropics subtidal sites was 7.6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xml:space="preserve"> on average compared to 8.1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xml:space="preserve"> long-term average and 6.0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xml:space="preserve"> at the Burdekin subtidal site, compared to 5.7 mol m</w:t>
      </w:r>
      <w:r w:rsidRPr="0084746C">
        <w:rPr>
          <w:color w:val="000000" w:themeColor="text1"/>
          <w:vertAlign w:val="superscript"/>
        </w:rPr>
        <w:t>-2</w:t>
      </w:r>
      <w:r w:rsidRPr="0084746C">
        <w:rPr>
          <w:color w:val="000000" w:themeColor="text1"/>
        </w:rPr>
        <w:t xml:space="preserve"> d</w:t>
      </w:r>
      <w:r w:rsidRPr="0084746C">
        <w:rPr>
          <w:color w:val="000000" w:themeColor="text1"/>
          <w:vertAlign w:val="superscript"/>
        </w:rPr>
        <w:t>-1</w:t>
      </w:r>
      <w:r w:rsidRPr="0084746C">
        <w:rPr>
          <w:color w:val="000000" w:themeColor="text1"/>
        </w:rPr>
        <w:t xml:space="preserve"> long-term.  Compared to the long-term average, in all regions I</w:t>
      </w:r>
      <w:r w:rsidRPr="0084746C">
        <w:rPr>
          <w:color w:val="000000" w:themeColor="text1"/>
          <w:vertAlign w:val="subscript"/>
        </w:rPr>
        <w:t>d</w:t>
      </w:r>
      <w:r w:rsidRPr="0084746C">
        <w:rPr>
          <w:color w:val="000000" w:themeColor="text1"/>
        </w:rPr>
        <w:t xml:space="preserve"> was lower than the long-term average, particularly in the Mackay Whitsunday region which had very low light levels at the new Lindeman Island site following TC Debbie. Light loggers were only deployed for some of the </w:t>
      </w:r>
      <w:r w:rsidR="008574EC">
        <w:rPr>
          <w:color w:val="000000" w:themeColor="text1"/>
        </w:rPr>
        <w:t>2016–17</w:t>
      </w:r>
      <w:r w:rsidRPr="0084746C">
        <w:rPr>
          <w:color w:val="000000" w:themeColor="text1"/>
        </w:rPr>
        <w:t xml:space="preserve"> year at Fitzroy and Cape York sites as monitoring was reduced to once per year and loggers recorded only from October-Marc</w:t>
      </w:r>
      <w:r w:rsidR="00F444E4">
        <w:rPr>
          <w:color w:val="000000" w:themeColor="text1"/>
        </w:rPr>
        <w:t>h. The amount of light data capt</w:t>
      </w:r>
      <w:r w:rsidRPr="0084746C">
        <w:rPr>
          <w:color w:val="000000" w:themeColor="text1"/>
        </w:rPr>
        <w:t xml:space="preserve">ured at each site and the daily light for each site is presented in Appendix 4. </w:t>
      </w:r>
    </w:p>
    <w:p w14:paraId="7A1CC1D6" w14:textId="176C24E0" w:rsidR="003E039B" w:rsidRPr="00B12817" w:rsidRDefault="003E039B" w:rsidP="00E742E9">
      <w:pPr>
        <w:rPr>
          <w:color w:val="000000" w:themeColor="text1"/>
        </w:rPr>
      </w:pPr>
      <w:r w:rsidRPr="00AC2B4D">
        <w:rPr>
          <w:color w:val="000000" w:themeColor="text1"/>
        </w:rPr>
        <w:t xml:space="preserve">On average, daily light in </w:t>
      </w:r>
      <w:r w:rsidR="008574EC">
        <w:rPr>
          <w:color w:val="000000" w:themeColor="text1"/>
        </w:rPr>
        <w:t>2016–17</w:t>
      </w:r>
      <w:r w:rsidRPr="00AC2B4D">
        <w:rPr>
          <w:color w:val="000000" w:themeColor="text1"/>
        </w:rPr>
        <w:t xml:space="preserve"> was similar among the intertidal habitats including: reef intertidal habitat (14.6 mol m</w:t>
      </w:r>
      <w:r w:rsidRPr="00AC2B4D">
        <w:rPr>
          <w:color w:val="000000" w:themeColor="text1"/>
          <w:vertAlign w:val="superscript"/>
        </w:rPr>
        <w:t>-2</w:t>
      </w:r>
      <w:r w:rsidRPr="00AC2B4D">
        <w:rPr>
          <w:color w:val="000000" w:themeColor="text1"/>
        </w:rPr>
        <w:t xml:space="preserve"> d</w:t>
      </w:r>
      <w:r w:rsidRPr="00AC2B4D">
        <w:rPr>
          <w:color w:val="000000" w:themeColor="text1"/>
          <w:vertAlign w:val="superscript"/>
        </w:rPr>
        <w:t>-1</w:t>
      </w:r>
      <w:r w:rsidRPr="00AC2B4D">
        <w:rPr>
          <w:color w:val="000000" w:themeColor="text1"/>
        </w:rPr>
        <w:t>), followed by the coastal intertidal sites (12.6 mol m</w:t>
      </w:r>
      <w:r w:rsidRPr="00AC2B4D">
        <w:rPr>
          <w:color w:val="000000" w:themeColor="text1"/>
          <w:vertAlign w:val="superscript"/>
        </w:rPr>
        <w:t>-2</w:t>
      </w:r>
      <w:r w:rsidRPr="00AC2B4D">
        <w:rPr>
          <w:color w:val="000000" w:themeColor="text1"/>
        </w:rPr>
        <w:t xml:space="preserve"> d</w:t>
      </w:r>
      <w:r w:rsidRPr="00AC2B4D">
        <w:rPr>
          <w:color w:val="000000" w:themeColor="text1"/>
          <w:vertAlign w:val="superscript"/>
        </w:rPr>
        <w:t>-1</w:t>
      </w:r>
      <w:r w:rsidRPr="00AC2B4D">
        <w:rPr>
          <w:color w:val="000000" w:themeColor="text1"/>
        </w:rPr>
        <w:t xml:space="preserve">), estuarine </w:t>
      </w:r>
      <w:r>
        <w:rPr>
          <w:color w:val="000000" w:themeColor="text1"/>
        </w:rPr>
        <w:t>sites (10.6</w:t>
      </w:r>
      <w:r w:rsidRPr="00AC2B4D">
        <w:rPr>
          <w:color w:val="000000" w:themeColor="text1"/>
        </w:rPr>
        <w:t xml:space="preserve"> mol m</w:t>
      </w:r>
      <w:r w:rsidRPr="00AC2B4D">
        <w:rPr>
          <w:color w:val="000000" w:themeColor="text1"/>
          <w:vertAlign w:val="superscript"/>
        </w:rPr>
        <w:t>-2</w:t>
      </w:r>
      <w:r w:rsidRPr="00AC2B4D">
        <w:rPr>
          <w:color w:val="000000" w:themeColor="text1"/>
        </w:rPr>
        <w:t xml:space="preserve"> d</w:t>
      </w:r>
      <w:r w:rsidRPr="00AC2B4D">
        <w:rPr>
          <w:color w:val="000000" w:themeColor="text1"/>
          <w:vertAlign w:val="superscript"/>
        </w:rPr>
        <w:t>-1</w:t>
      </w:r>
      <w:r w:rsidRPr="00AC2B4D">
        <w:rPr>
          <w:color w:val="000000" w:themeColor="text1"/>
        </w:rPr>
        <w:t>) and and lowest at the reef subtidal sites (7.2 mol m</w:t>
      </w:r>
      <w:r w:rsidRPr="00AC2B4D">
        <w:rPr>
          <w:color w:val="000000" w:themeColor="text1"/>
          <w:vertAlign w:val="superscript"/>
        </w:rPr>
        <w:t>-2</w:t>
      </w:r>
      <w:r w:rsidRPr="00AC2B4D">
        <w:rPr>
          <w:color w:val="000000" w:themeColor="text1"/>
        </w:rPr>
        <w:t xml:space="preserve"> d</w:t>
      </w:r>
      <w:r w:rsidRPr="00AC2B4D">
        <w:rPr>
          <w:color w:val="000000" w:themeColor="text1"/>
          <w:vertAlign w:val="superscript"/>
        </w:rPr>
        <w:t>-1</w:t>
      </w:r>
      <w:r w:rsidRPr="00B12817">
        <w:rPr>
          <w:color w:val="000000" w:themeColor="text1"/>
        </w:rPr>
        <w:t>). Daily light was lower than the long-term average in all habitats including estuarine sites (long-term average = 10.6 mol m</w:t>
      </w:r>
      <w:r w:rsidRPr="00B12817">
        <w:rPr>
          <w:color w:val="000000" w:themeColor="text1"/>
          <w:vertAlign w:val="superscript"/>
        </w:rPr>
        <w:t>-2</w:t>
      </w:r>
      <w:r w:rsidRPr="00B12817">
        <w:rPr>
          <w:color w:val="000000" w:themeColor="text1"/>
        </w:rPr>
        <w:t xml:space="preserve"> d</w:t>
      </w:r>
      <w:r w:rsidRPr="00B12817">
        <w:rPr>
          <w:color w:val="000000" w:themeColor="text1"/>
          <w:vertAlign w:val="superscript"/>
        </w:rPr>
        <w:t>-1</w:t>
      </w:r>
      <w:r w:rsidRPr="00B12817">
        <w:rPr>
          <w:color w:val="000000" w:themeColor="text1"/>
        </w:rPr>
        <w:t>), reef intertidal sites (long-term average = 16.5 mol m</w:t>
      </w:r>
      <w:r w:rsidRPr="00B12817">
        <w:rPr>
          <w:color w:val="000000" w:themeColor="text1"/>
          <w:vertAlign w:val="superscript"/>
        </w:rPr>
        <w:t>-2</w:t>
      </w:r>
      <w:r w:rsidRPr="00B12817">
        <w:rPr>
          <w:color w:val="000000" w:themeColor="text1"/>
        </w:rPr>
        <w:t xml:space="preserve"> d</w:t>
      </w:r>
      <w:r w:rsidRPr="00B12817">
        <w:rPr>
          <w:color w:val="000000" w:themeColor="text1"/>
          <w:vertAlign w:val="superscript"/>
        </w:rPr>
        <w:t>-1</w:t>
      </w:r>
      <w:r w:rsidRPr="00B12817">
        <w:rPr>
          <w:color w:val="000000" w:themeColor="text1"/>
        </w:rPr>
        <w:t>), while at coastal (long-term averages = 12.7) and reef subtidal sites (long-term average = 7.3 mol m</w:t>
      </w:r>
      <w:r w:rsidRPr="00B12817">
        <w:rPr>
          <w:color w:val="000000" w:themeColor="text1"/>
          <w:vertAlign w:val="superscript"/>
        </w:rPr>
        <w:t>-2</w:t>
      </w:r>
      <w:r w:rsidRPr="00B12817">
        <w:rPr>
          <w:color w:val="000000" w:themeColor="text1"/>
        </w:rPr>
        <w:t xml:space="preserve"> d</w:t>
      </w:r>
      <w:r w:rsidRPr="00B12817">
        <w:rPr>
          <w:color w:val="000000" w:themeColor="text1"/>
          <w:vertAlign w:val="superscript"/>
        </w:rPr>
        <w:t>-1</w:t>
      </w:r>
      <w:r w:rsidRPr="00B12817">
        <w:rPr>
          <w:color w:val="000000" w:themeColor="text1"/>
        </w:rPr>
        <w:t>). The only sites where I</w:t>
      </w:r>
      <w:r w:rsidRPr="00B12817">
        <w:rPr>
          <w:color w:val="000000" w:themeColor="text1"/>
          <w:vertAlign w:val="subscript"/>
        </w:rPr>
        <w:t>d</w:t>
      </w:r>
      <w:r w:rsidRPr="00B12817">
        <w:rPr>
          <w:color w:val="000000" w:themeColor="text1"/>
        </w:rPr>
        <w:t xml:space="preserve"> was slightly higher than average I</w:t>
      </w:r>
      <w:r w:rsidRPr="00B12817">
        <w:rPr>
          <w:color w:val="000000" w:themeColor="text1"/>
          <w:vertAlign w:val="subscript"/>
        </w:rPr>
        <w:t>d</w:t>
      </w:r>
      <w:r w:rsidRPr="00B12817">
        <w:rPr>
          <w:color w:val="000000" w:themeColor="text1"/>
        </w:rPr>
        <w:t xml:space="preserve"> were at some of the coastal and reef sites in the Wet Tropics and Burdekin. </w:t>
      </w:r>
    </w:p>
    <w:p w14:paraId="78776C38" w14:textId="77777777" w:rsidR="0073595B" w:rsidRDefault="0073595B" w:rsidP="00E742E9">
      <w:pPr>
        <w:autoSpaceDE w:val="0"/>
        <w:autoSpaceDN w:val="0"/>
        <w:adjustRightInd w:val="0"/>
        <w:rPr>
          <w:rFonts w:cs="TimesNewRoman"/>
          <w:szCs w:val="22"/>
          <w:lang w:val="en-US"/>
        </w:rPr>
      </w:pPr>
    </w:p>
    <w:p w14:paraId="567AB641" w14:textId="77777777" w:rsidR="00D77005" w:rsidRPr="000D4E9D" w:rsidRDefault="00D77005" w:rsidP="00E742E9">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F4FCE33" wp14:editId="04419150">
            <wp:extent cx="4929502" cy="5764617"/>
            <wp:effectExtent l="0" t="0" r="5080" b="7620"/>
            <wp:docPr id="524" name="Picture 524" descr="Series of bar graphs showing average daily light for 2016-17 and thresholds exceeded as percent of days for coastal, estuarine, reef intertidal, and reef sub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Summary light figure_Combined.png"/>
                    <pic:cNvPicPr/>
                  </pic:nvPicPr>
                  <pic:blipFill>
                    <a:blip r:embed="rId48"/>
                    <a:stretch>
                      <a:fillRect/>
                    </a:stretch>
                  </pic:blipFill>
                  <pic:spPr>
                    <a:xfrm>
                      <a:off x="0" y="0"/>
                      <a:ext cx="4929502" cy="5764617"/>
                    </a:xfrm>
                    <a:prstGeom prst="rect">
                      <a:avLst/>
                    </a:prstGeom>
                  </pic:spPr>
                </pic:pic>
              </a:graphicData>
            </a:graphic>
          </wp:inline>
        </w:drawing>
      </w:r>
    </w:p>
    <w:p w14:paraId="3CAEB1DB" w14:textId="2ACF75A0" w:rsidR="00D77005" w:rsidRPr="00D523C4" w:rsidRDefault="00D77005" w:rsidP="00E742E9">
      <w:pPr>
        <w:rPr>
          <w:i/>
          <w:vanish/>
          <w:color w:val="000000" w:themeColor="text1"/>
          <w:specVanish/>
        </w:rPr>
      </w:pPr>
      <w:bookmarkStart w:id="151" w:name="_Ref442455429"/>
      <w:bookmarkStart w:id="152" w:name="_Ref314216401"/>
      <w:bookmarkStart w:id="153" w:name="_Toc516053221"/>
      <w:r w:rsidRPr="000D4E9D">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w:t>
      </w:r>
      <w:r w:rsidR="00C506C7">
        <w:rPr>
          <w:noProof/>
        </w:rPr>
        <w:fldChar w:fldCharType="end"/>
      </w:r>
      <w:bookmarkEnd w:id="151"/>
      <w:r w:rsidRPr="000D4E9D">
        <w:t xml:space="preserve">. </w:t>
      </w:r>
      <w:r w:rsidRPr="00D523C4">
        <w:rPr>
          <w:i/>
          <w:color w:val="000000" w:themeColor="text1"/>
        </w:rPr>
        <w:t>Average daily light (left-hand panel) and thresholds exceeded (</w:t>
      </w:r>
      <w:r w:rsidR="0063478C" w:rsidRPr="00D523C4">
        <w:rPr>
          <w:i/>
          <w:color w:val="000000" w:themeColor="text1"/>
        </w:rPr>
        <w:t>per cent</w:t>
      </w:r>
      <w:r w:rsidRPr="00D523C4">
        <w:rPr>
          <w:i/>
          <w:color w:val="000000" w:themeColor="text1"/>
        </w:rPr>
        <w:t xml:space="preserve"> days, right-hand panel) for coastal, estuarine, reef intertidal, and reef subtidal sites including the long-term average and the value for the </w:t>
      </w:r>
      <w:r w:rsidR="008574EC">
        <w:rPr>
          <w:i/>
          <w:color w:val="000000" w:themeColor="text1"/>
        </w:rPr>
        <w:t>2016–17</w:t>
      </w:r>
      <w:r w:rsidRPr="00D523C4">
        <w:rPr>
          <w:i/>
          <w:color w:val="000000" w:themeColor="text1"/>
        </w:rPr>
        <w:t xml:space="preserve"> reporting period.</w:t>
      </w:r>
      <w:bookmarkEnd w:id="152"/>
      <w:bookmarkEnd w:id="153"/>
      <w:r w:rsidRPr="00D523C4">
        <w:rPr>
          <w:i/>
          <w:color w:val="000000" w:themeColor="text1"/>
        </w:rPr>
        <w:t xml:space="preserve"> </w:t>
      </w:r>
    </w:p>
    <w:p w14:paraId="14E9FB06" w14:textId="73E04334" w:rsidR="00D77005" w:rsidRPr="00D523C4" w:rsidRDefault="00D77005" w:rsidP="00E742E9">
      <w:pPr>
        <w:rPr>
          <w:i/>
          <w:color w:val="000000" w:themeColor="text1"/>
        </w:rPr>
      </w:pPr>
      <w:r w:rsidRPr="00D523C4">
        <w:rPr>
          <w:i/>
          <w:color w:val="000000" w:themeColor="text1"/>
        </w:rPr>
        <w:t xml:space="preserve">Grey bar = </w:t>
      </w:r>
      <w:r w:rsidR="008574EC">
        <w:rPr>
          <w:i/>
          <w:color w:val="000000" w:themeColor="text1"/>
        </w:rPr>
        <w:t>2016–17</w:t>
      </w:r>
      <w:r w:rsidR="0044359F" w:rsidRPr="00D523C4">
        <w:rPr>
          <w:i/>
          <w:color w:val="000000" w:themeColor="text1"/>
        </w:rPr>
        <w:t>, small lines represent long-term average of the site, and long-lines represent long-term average for the NRM region</w:t>
      </w:r>
      <w:r w:rsidRPr="00D523C4">
        <w:rPr>
          <w:i/>
          <w:color w:val="000000" w:themeColor="text1"/>
        </w:rPr>
        <w:t xml:space="preserve">. NRM regions: WT= Wet Tropics, BDT = Burdekin; M-W = Mackay Whitsunday; F = Fitzroy; B-M = Burnett Mary. </w:t>
      </w:r>
    </w:p>
    <w:p w14:paraId="2F93DC64" w14:textId="77777777" w:rsidR="00D77005" w:rsidRPr="00F72539" w:rsidRDefault="00D77005" w:rsidP="00E742E9">
      <w:pPr>
        <w:rPr>
          <w:color w:val="000000"/>
          <w:szCs w:val="22"/>
        </w:rPr>
      </w:pPr>
    </w:p>
    <w:p w14:paraId="2BC31334" w14:textId="7D7F180D" w:rsidR="003E039B" w:rsidRPr="00341035" w:rsidRDefault="003E039B" w:rsidP="00E742E9">
      <w:pPr>
        <w:rPr>
          <w:color w:val="000000" w:themeColor="text1"/>
          <w:highlight w:val="yellow"/>
        </w:rPr>
      </w:pPr>
      <w:r w:rsidRPr="00341035">
        <w:rPr>
          <w:color w:val="000000" w:themeColor="text1"/>
        </w:rPr>
        <w:t>Threshold exceedance (number of days less than 5 mol m</w:t>
      </w:r>
      <w:r w:rsidRPr="00341035">
        <w:rPr>
          <w:color w:val="000000" w:themeColor="text1"/>
          <w:vertAlign w:val="superscript"/>
        </w:rPr>
        <w:t>-2</w:t>
      </w:r>
      <w:r w:rsidRPr="00341035">
        <w:rPr>
          <w:color w:val="000000" w:themeColor="text1"/>
        </w:rPr>
        <w:t xml:space="preserve"> d</w:t>
      </w:r>
      <w:r w:rsidRPr="00341035">
        <w:rPr>
          <w:color w:val="000000" w:themeColor="text1"/>
          <w:vertAlign w:val="superscript"/>
        </w:rPr>
        <w:t>-1</w:t>
      </w:r>
      <w:r w:rsidRPr="00341035">
        <w:rPr>
          <w:color w:val="000000" w:themeColor="text1"/>
        </w:rPr>
        <w:t xml:space="preserve">, for northern </w:t>
      </w:r>
      <w:r w:rsidRPr="00341035">
        <w:rPr>
          <w:i/>
          <w:color w:val="000000" w:themeColor="text1"/>
        </w:rPr>
        <w:t>Halodule uninervis</w:t>
      </w:r>
      <w:r w:rsidRPr="00341035">
        <w:rPr>
          <w:color w:val="000000" w:themeColor="text1"/>
        </w:rPr>
        <w:t xml:space="preserve"> dominated meadows (</w:t>
      </w:r>
      <w:hyperlink w:anchor="_ENREF_58" w:tooltip="Collier, 2012 #9288" w:history="1">
        <w:r w:rsidR="00305FE7" w:rsidRPr="00341035">
          <w:rPr>
            <w:color w:val="000000" w:themeColor="text1"/>
          </w:rPr>
          <w:fldChar w:fldCharType="begin"/>
        </w:r>
        <w:r w:rsidR="00305FE7" w:rsidRPr="00341035">
          <w:rPr>
            <w:color w:val="000000" w:themeColor="text1"/>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sidRPr="00341035">
          <w:rPr>
            <w:color w:val="000000" w:themeColor="text1"/>
          </w:rPr>
          <w:fldChar w:fldCharType="separate"/>
        </w:r>
        <w:r w:rsidR="00305FE7" w:rsidRPr="00341035">
          <w:rPr>
            <w:noProof/>
            <w:color w:val="000000" w:themeColor="text1"/>
          </w:rPr>
          <w:t>Collier</w:t>
        </w:r>
        <w:r w:rsidR="00305FE7" w:rsidRPr="00341035">
          <w:rPr>
            <w:i/>
            <w:noProof/>
            <w:color w:val="000000" w:themeColor="text1"/>
          </w:rPr>
          <w:t xml:space="preserve"> et al.</w:t>
        </w:r>
        <w:r w:rsidR="00305FE7" w:rsidRPr="00341035">
          <w:rPr>
            <w:noProof/>
            <w:color w:val="000000" w:themeColor="text1"/>
          </w:rPr>
          <w:t xml:space="preserve"> 2012b</w:t>
        </w:r>
        <w:r w:rsidR="00305FE7" w:rsidRPr="00341035">
          <w:rPr>
            <w:color w:val="000000" w:themeColor="text1"/>
          </w:rPr>
          <w:fldChar w:fldCharType="end"/>
        </w:r>
      </w:hyperlink>
      <w:r w:rsidRPr="00341035">
        <w:rPr>
          <w:color w:val="000000" w:themeColor="text1"/>
        </w:rPr>
        <w:t>) and &lt;6 mol m</w:t>
      </w:r>
      <w:r w:rsidRPr="00341035">
        <w:rPr>
          <w:color w:val="000000" w:themeColor="text1"/>
          <w:vertAlign w:val="superscript"/>
        </w:rPr>
        <w:t>-2</w:t>
      </w:r>
      <w:r w:rsidRPr="00341035">
        <w:rPr>
          <w:color w:val="000000" w:themeColor="text1"/>
        </w:rPr>
        <w:t xml:space="preserve"> d</w:t>
      </w:r>
      <w:r w:rsidRPr="00341035">
        <w:rPr>
          <w:color w:val="000000" w:themeColor="text1"/>
          <w:vertAlign w:val="superscript"/>
        </w:rPr>
        <w:t>-1</w:t>
      </w:r>
      <w:r w:rsidRPr="00341035">
        <w:rPr>
          <w:color w:val="000000" w:themeColor="text1"/>
        </w:rPr>
        <w:t xml:space="preserve"> for southern </w:t>
      </w:r>
      <w:r w:rsidRPr="00341035">
        <w:rPr>
          <w:i/>
          <w:color w:val="000000" w:themeColor="text1"/>
        </w:rPr>
        <w:t>Zostera muelleri</w:t>
      </w:r>
      <w:r w:rsidRPr="00341035">
        <w:rPr>
          <w:color w:val="000000" w:themeColor="text1"/>
        </w:rPr>
        <w:t xml:space="preserve"> dominated meadows (</w:t>
      </w:r>
      <w:hyperlink w:anchor="_ENREF_38" w:tooltip="Chartrand, 2016 #10720" w:history="1">
        <w:r w:rsidR="00305FE7" w:rsidRPr="00341035">
          <w:rPr>
            <w:color w:val="000000" w:themeColor="text1"/>
          </w:rPr>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PSIwZXZlNTV4OXk1dmZkNmU5ZGFjeHRldzRlYXR2ZTJkemRzOWEiIHRpbWVzdGFtcD0iMTQ3MDM1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</w:fldData>
          </w:fldChar>
        </w:r>
        <w:r w:rsidR="00305FE7">
          <w:rPr>
            <w:color w:val="000000" w:themeColor="text1"/>
          </w:rPr>
          <w:instrText xml:space="preserve"> ADDIN EN.CITE </w:instrText>
        </w:r>
        <w:r w:rsidR="00305FE7">
          <w:rPr>
            <w:color w:val="000000" w:themeColor="text1"/>
          </w:rPr>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PSIwZXZlNTV4OXk1dmZkNmU5ZGFjeHRldzRlYXR2ZTJkemRzOWEiIHRpbWVzdGFtcD0iMTQ3MDM1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</w:fldData>
          </w:fldChar>
        </w:r>
        <w:r w:rsidR="00305FE7">
          <w:rPr>
            <w:color w:val="000000" w:themeColor="text1"/>
          </w:rPr>
          <w:instrText xml:space="preserve"> ADDIN EN.CITE.DATA </w:instrText>
        </w:r>
        <w:r w:rsidR="00305FE7">
          <w:rPr>
            <w:color w:val="000000" w:themeColor="text1"/>
          </w:rPr>
        </w:r>
        <w:r w:rsidR="00305FE7">
          <w:rPr>
            <w:color w:val="000000" w:themeColor="text1"/>
          </w:rPr>
          <w:fldChar w:fldCharType="end"/>
        </w:r>
        <w:r w:rsidR="00305FE7" w:rsidRPr="00341035">
          <w:rPr>
            <w:color w:val="000000" w:themeColor="text1"/>
          </w:rPr>
        </w:r>
        <w:r w:rsidR="00305FE7" w:rsidRPr="00341035">
          <w:rPr>
            <w:color w:val="000000" w:themeColor="text1"/>
          </w:rPr>
          <w:fldChar w:fldCharType="separate"/>
        </w:r>
        <w:r w:rsidR="00305FE7">
          <w:rPr>
            <w:noProof/>
            <w:color w:val="000000" w:themeColor="text1"/>
          </w:rPr>
          <w:t>Chartrand</w:t>
        </w:r>
        <w:r w:rsidR="00305FE7" w:rsidRPr="00610D5C">
          <w:rPr>
            <w:i/>
            <w:noProof/>
            <w:color w:val="000000" w:themeColor="text1"/>
          </w:rPr>
          <w:t xml:space="preserve"> et al.</w:t>
        </w:r>
        <w:r w:rsidR="00305FE7">
          <w:rPr>
            <w:noProof/>
            <w:color w:val="000000" w:themeColor="text1"/>
          </w:rPr>
          <w:t xml:space="preserve"> 2016</w:t>
        </w:r>
        <w:r w:rsidR="00305FE7" w:rsidRPr="00341035">
          <w:rPr>
            <w:color w:val="000000" w:themeColor="text1"/>
          </w:rPr>
          <w:fldChar w:fldCharType="end"/>
        </w:r>
      </w:hyperlink>
      <w:r w:rsidRPr="00341035">
        <w:rPr>
          <w:color w:val="000000" w:themeColor="text1"/>
        </w:rPr>
        <w:t xml:space="preserve">) for </w:t>
      </w:r>
      <w:r w:rsidR="008574EC">
        <w:rPr>
          <w:color w:val="000000" w:themeColor="text1"/>
        </w:rPr>
        <w:t>2016–17</w:t>
      </w:r>
      <w:r w:rsidRPr="00341035">
        <w:rPr>
          <w:color w:val="000000" w:themeColor="text1"/>
        </w:rPr>
        <w:t xml:space="preserve"> (18.6 per cent of days) was slightly higher than the long-term average (17.2 per cent of days). The thresholds were exceeded the most frequently in the Burdekin (27.9 per cent of days) followed by Fitzroy (15.6 per cent), Wet Tropics (15.5 per cent), Mackay</w:t>
      </w:r>
      <w:r w:rsidR="001F6D3D">
        <w:rPr>
          <w:color w:val="000000" w:themeColor="text1"/>
        </w:rPr>
        <w:t xml:space="preserve"> </w:t>
      </w:r>
      <w:r w:rsidRPr="00341035">
        <w:rPr>
          <w:color w:val="000000" w:themeColor="text1"/>
        </w:rPr>
        <w:t>Whitsunday (11.2 per cent), Cape York (8.2 per cent) and</w:t>
      </w:r>
      <w:r w:rsidR="001F6D3D">
        <w:rPr>
          <w:color w:val="000000" w:themeColor="text1"/>
        </w:rPr>
        <w:t xml:space="preserve"> the least often in the Burnett </w:t>
      </w:r>
      <w:r w:rsidRPr="00341035">
        <w:rPr>
          <w:color w:val="000000" w:themeColor="text1"/>
        </w:rPr>
        <w:t xml:space="preserve">Mary (7.3 per cent). The greatest level of exceedance was at the recently established subtidal Lindeman Island site (100 per cent of the deployment ime), at which loggers were deployed only during the wet season, when the site was affected by TC Debbie. </w:t>
      </w:r>
    </w:p>
    <w:p w14:paraId="75C48C8D" w14:textId="1FE36B9D" w:rsidR="003E039B" w:rsidRPr="00324294" w:rsidRDefault="003E039B" w:rsidP="00E742E9">
      <w:pPr>
        <w:rPr>
          <w:color w:val="000000" w:themeColor="text1"/>
        </w:rPr>
      </w:pPr>
      <w:r w:rsidRPr="00324294">
        <w:rPr>
          <w:color w:val="000000" w:themeColor="text1"/>
        </w:rPr>
        <w:t>Daily light in shallow habitats can be affected by water quality, cloudiness and the depth of the site, which affects the frequency and duration of exposure to full sunlight at low tide (</w:t>
      </w:r>
      <w:r w:rsidRPr="00324294">
        <w:rPr>
          <w:color w:val="000000" w:themeColor="text1"/>
        </w:rPr>
        <w:fldChar w:fldCharType="begin"/>
      </w:r>
      <w:r w:rsidRPr="00324294">
        <w:rPr>
          <w:color w:val="000000" w:themeColor="text1"/>
        </w:rPr>
        <w:instrText xml:space="preserve"> ADDIN EN.CITE &lt;EndNote&gt;&lt;Cite&gt;&lt;Author&gt;Anthony&lt;/Author&gt;&lt;Year&gt;2004&lt;/Year&gt;&lt;RecNum&gt;7409&lt;/RecNum&gt;&lt;DisplayText&gt;Anthony&lt;style face="italic"&gt; et al.&lt;/style&gt; 2004; Fabricius&lt;style face="italic"&gt; et al.&lt;/style&gt; 2012&lt;/DisplayText&gt;&lt;record&gt;&lt;rec-number&gt;7409&lt;/rec-number&gt;&lt;foreign-keys&gt;&lt;key app="EN" db-id="0eve55x9y5vfd6e9dacxtew4eatve2dzds9a" timestamp="0"&gt;7409&lt;/key&gt;&lt;/foreign-keys&gt;&lt;ref-type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Cite&gt;&lt;Author&gt;Fabricius&lt;/Author&gt;&lt;Year&gt;2012&lt;/Year&gt;&lt;RecNum&gt;9294&lt;/RecNum&gt;&lt;record&gt;&lt;rec-number&gt;9294&lt;/rec-number&gt;&lt;foreign-keys&gt;&lt;key app="EN" db-id="0eve55x9y5vfd6e9dacxtew4eatve2dzds9a" timestamp="1375005082"&gt;9294&lt;/key&gt;&lt;/foreign-keys&gt;&lt;ref-type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sidRPr="00324294">
        <w:rPr>
          <w:color w:val="000000" w:themeColor="text1"/>
        </w:rPr>
        <w:fldChar w:fldCharType="separate"/>
      </w:r>
      <w:hyperlink w:anchor="_ENREF_6" w:tooltip="Anthony, 2004 #7409" w:history="1">
        <w:r w:rsidR="00305FE7" w:rsidRPr="00324294">
          <w:rPr>
            <w:noProof/>
            <w:color w:val="000000" w:themeColor="text1"/>
          </w:rPr>
          <w:t>Anthony</w:t>
        </w:r>
        <w:r w:rsidR="00305FE7" w:rsidRPr="00324294">
          <w:rPr>
            <w:i/>
            <w:noProof/>
            <w:color w:val="000000" w:themeColor="text1"/>
          </w:rPr>
          <w:t xml:space="preserve"> et al.</w:t>
        </w:r>
        <w:r w:rsidR="00305FE7" w:rsidRPr="00324294">
          <w:rPr>
            <w:noProof/>
            <w:color w:val="000000" w:themeColor="text1"/>
          </w:rPr>
          <w:t xml:space="preserve"> 2004</w:t>
        </w:r>
      </w:hyperlink>
      <w:r w:rsidRPr="00324294">
        <w:rPr>
          <w:noProof/>
          <w:color w:val="000000" w:themeColor="text1"/>
        </w:rPr>
        <w:t xml:space="preserve">; </w:t>
      </w:r>
      <w:hyperlink w:anchor="_ENREF_91" w:tooltip="Fabricius, 2012 #9294" w:history="1">
        <w:r w:rsidR="00305FE7" w:rsidRPr="00324294">
          <w:rPr>
            <w:noProof/>
            <w:color w:val="000000" w:themeColor="text1"/>
          </w:rPr>
          <w:t>Fabricius</w:t>
        </w:r>
        <w:r w:rsidR="00305FE7" w:rsidRPr="00324294">
          <w:rPr>
            <w:i/>
            <w:noProof/>
            <w:color w:val="000000" w:themeColor="text1"/>
          </w:rPr>
          <w:t xml:space="preserve"> et al.</w:t>
        </w:r>
        <w:r w:rsidR="00305FE7" w:rsidRPr="00324294">
          <w:rPr>
            <w:noProof/>
            <w:color w:val="000000" w:themeColor="text1"/>
          </w:rPr>
          <w:t xml:space="preserve"> 2012</w:t>
        </w:r>
      </w:hyperlink>
      <w:r w:rsidRPr="00324294">
        <w:rPr>
          <w:color w:val="000000" w:themeColor="text1"/>
        </w:rPr>
        <w:fldChar w:fldCharType="end"/>
      </w:r>
      <w:r w:rsidRPr="00324294">
        <w:rPr>
          <w:color w:val="000000" w:themeColor="text1"/>
        </w:rPr>
        <w:t>); however, the differences in I</w:t>
      </w:r>
      <w:r w:rsidRPr="00324294">
        <w:rPr>
          <w:color w:val="000000" w:themeColor="text1"/>
          <w:vertAlign w:val="subscript"/>
        </w:rPr>
        <w:t>d</w:t>
      </w:r>
      <w:r w:rsidRPr="00324294">
        <w:rPr>
          <w:color w:val="000000" w:themeColor="text1"/>
        </w:rPr>
        <w:t xml:space="preserve"> among seagrass meadows is largely a reflection of site-specific differences in water quality as outlined in earlier reports (</w:t>
      </w:r>
      <w:hyperlink w:anchor="_ENREF_153" w:tooltip="McKenzie, 2015 #10304" w:history="1">
        <w:r w:rsidR="00305FE7" w:rsidRPr="00324294">
          <w:rPr>
            <w:color w:val="000000" w:themeColor="text1"/>
          </w:rPr>
          <w:fldChar w:fldCharType="begin"/>
        </w:r>
        <w:r w:rsidR="00305FE7">
          <w:rPr>
            <w:color w:val="000000" w:themeColor="text1"/>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 timestamp="1441243462"&gt;10304&lt;/key&gt;&lt;/foreign-keys&gt;&lt;ref-type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305FE7" w:rsidRPr="00324294">
          <w:rPr>
            <w:color w:val="000000" w:themeColor="text1"/>
          </w:rPr>
          <w:fldChar w:fldCharType="separate"/>
        </w:r>
        <w:r w:rsidR="00305FE7">
          <w:rPr>
            <w:noProof/>
            <w:color w:val="000000" w:themeColor="text1"/>
          </w:rPr>
          <w:t>McKenzie</w:t>
        </w:r>
        <w:r w:rsidR="00305FE7" w:rsidRPr="00610D5C">
          <w:rPr>
            <w:i/>
            <w:noProof/>
            <w:color w:val="000000" w:themeColor="text1"/>
          </w:rPr>
          <w:t xml:space="preserve"> et al.</w:t>
        </w:r>
        <w:r w:rsidR="00305FE7">
          <w:rPr>
            <w:noProof/>
            <w:color w:val="000000" w:themeColor="text1"/>
          </w:rPr>
          <w:t xml:space="preserve"> 2015</w:t>
        </w:r>
        <w:r w:rsidR="00305FE7" w:rsidRPr="00324294">
          <w:rPr>
            <w:color w:val="000000" w:themeColor="text1"/>
          </w:rPr>
          <w:fldChar w:fldCharType="end"/>
        </w:r>
      </w:hyperlink>
      <w:r w:rsidRPr="00324294">
        <w:rPr>
          <w:color w:val="000000" w:themeColor="text1"/>
        </w:rPr>
        <w:t>). Turbidity and chlorophyll monitoring is no longer in place at seagrass sites. However, flood plume mapping (</w:t>
      </w:r>
      <w:hyperlink w:anchor="_ENREF_82" w:tooltip="Devlin, 2015 #10405" w:history="1">
        <w:r w:rsidR="00305FE7" w:rsidRPr="00324294">
          <w:rPr>
            <w:color w:val="000000" w:themeColor="text1"/>
          </w:rPr>
          <w:fldChar w:fldCharType="begin"/>
        </w:r>
        <w:r w:rsidR="00305FE7">
          <w:rPr>
            <w:color w:val="000000" w:themeColor="text1"/>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324294">
          <w:rPr>
            <w:color w:val="000000" w:themeColor="text1"/>
          </w:rPr>
          <w:fldChar w:fldCharType="separate"/>
        </w:r>
        <w:r w:rsidR="00305FE7">
          <w:rPr>
            <w:noProof/>
            <w:color w:val="000000" w:themeColor="text1"/>
          </w:rPr>
          <w:t>Devlin</w:t>
        </w:r>
        <w:r w:rsidR="00305FE7" w:rsidRPr="00521D93">
          <w:rPr>
            <w:i/>
            <w:noProof/>
            <w:color w:val="000000" w:themeColor="text1"/>
          </w:rPr>
          <w:t xml:space="preserve"> et al.</w:t>
        </w:r>
        <w:r w:rsidR="00305FE7">
          <w:rPr>
            <w:noProof/>
            <w:color w:val="000000" w:themeColor="text1"/>
          </w:rPr>
          <w:t xml:space="preserve"> 2015</w:t>
        </w:r>
        <w:r w:rsidR="00305FE7" w:rsidRPr="00324294">
          <w:rPr>
            <w:color w:val="000000" w:themeColor="text1"/>
          </w:rPr>
          <w:fldChar w:fldCharType="end"/>
        </w:r>
      </w:hyperlink>
      <w:r w:rsidRPr="00324294">
        <w:rPr>
          <w:color w:val="000000" w:themeColor="text1"/>
        </w:rPr>
        <w:t xml:space="preserve">), is used to derive water type exposure at seagrass sites and frequency of exposure to these water types can be a predictor of changes in seagrass abundance (see case study 2, in McKenzie </w:t>
      </w:r>
      <w:r w:rsidRPr="004225B8">
        <w:rPr>
          <w:i/>
          <w:color w:val="000000" w:themeColor="text1"/>
        </w:rPr>
        <w:t>et al</w:t>
      </w:r>
      <w:r w:rsidR="004225B8">
        <w:rPr>
          <w:i/>
          <w:color w:val="000000" w:themeColor="text1"/>
        </w:rPr>
        <w:t>.</w:t>
      </w:r>
      <w:r w:rsidRPr="00324294">
        <w:rPr>
          <w:color w:val="000000" w:themeColor="text1"/>
        </w:rPr>
        <w:t xml:space="preserve"> 2016). </w:t>
      </w:r>
    </w:p>
    <w:p w14:paraId="1050F530" w14:textId="0FCA95CC" w:rsidR="003E039B" w:rsidRPr="00116C64" w:rsidRDefault="003E039B" w:rsidP="00E742E9">
      <w:r w:rsidRPr="00247070">
        <w:rPr>
          <w:color w:val="000000" w:themeColor="text1"/>
        </w:rPr>
        <w:t>Long-term trends demonstrate that the peak in canopy light occurs in September to December as incident solar irradiation reaches its maximum and prior to wet season conditions (</w:t>
      </w:r>
      <w:r w:rsidRPr="00247070">
        <w:rPr>
          <w:color w:val="000000" w:themeColor="text1"/>
        </w:rPr>
        <w:fldChar w:fldCharType="begin"/>
      </w:r>
      <w:r w:rsidRPr="00247070">
        <w:rPr>
          <w:color w:val="000000" w:themeColor="text1"/>
        </w:rPr>
        <w:instrText xml:space="preserve"> REF _Ref442455578 \h  \* MERGEFORMAT </w:instrText>
      </w:r>
      <w:r w:rsidRPr="00247070">
        <w:rPr>
          <w:color w:val="000000" w:themeColor="text1"/>
        </w:rPr>
      </w:r>
      <w:r w:rsidRPr="00247070">
        <w:rPr>
          <w:color w:val="000000" w:themeColor="text1"/>
        </w:rPr>
        <w:fldChar w:fldCharType="separate"/>
      </w:r>
      <w:r w:rsidR="00F87DF9" w:rsidRPr="00F87DF9">
        <w:rPr>
          <w:color w:val="000000" w:themeColor="text1"/>
        </w:rPr>
        <w:t xml:space="preserve">Figure </w:t>
      </w:r>
      <w:r w:rsidR="00F87DF9" w:rsidRPr="00F87DF9">
        <w:rPr>
          <w:noProof/>
          <w:color w:val="000000" w:themeColor="text1"/>
        </w:rPr>
        <w:t>12</w:t>
      </w:r>
      <w:r w:rsidRPr="00247070">
        <w:rPr>
          <w:color w:val="000000" w:themeColor="text1"/>
        </w:rPr>
        <w:fldChar w:fldCharType="end"/>
      </w:r>
      <w:r w:rsidRPr="00247070">
        <w:rPr>
          <w:color w:val="000000" w:themeColor="text1"/>
        </w:rPr>
        <w:t xml:space="preserve">a). The lowest light levels typically occur in the wet season in particular, in January to April, but in </w:t>
      </w:r>
      <w:r w:rsidR="008574EC">
        <w:rPr>
          <w:color w:val="000000" w:themeColor="text1"/>
        </w:rPr>
        <w:t>2016–17</w:t>
      </w:r>
      <w:r w:rsidRPr="00247070">
        <w:rPr>
          <w:color w:val="000000" w:themeColor="text1"/>
        </w:rPr>
        <w:t xml:space="preserve"> the lowest levels were sustained from March through to September 2016, and then the spring peak in I</w:t>
      </w:r>
      <w:r w:rsidRPr="00247070">
        <w:rPr>
          <w:color w:val="000000" w:themeColor="text1"/>
          <w:vertAlign w:val="subscript"/>
        </w:rPr>
        <w:t>d</w:t>
      </w:r>
      <w:r w:rsidRPr="00247070">
        <w:rPr>
          <w:color w:val="000000" w:themeColor="text1"/>
        </w:rPr>
        <w:t xml:space="preserve"> was lower than is typical particularly at reef intertidal sites. The GAM model shows the long-term trends in within-canopy I</w:t>
      </w:r>
      <w:r w:rsidRPr="00247070">
        <w:rPr>
          <w:color w:val="000000" w:themeColor="text1"/>
          <w:vertAlign w:val="subscript"/>
        </w:rPr>
        <w:t>d</w:t>
      </w:r>
      <w:r w:rsidRPr="00247070">
        <w:rPr>
          <w:color w:val="000000" w:themeColor="text1"/>
        </w:rPr>
        <w:t xml:space="preserve"> and its level of prediction is improved with habitat included (</w:t>
      </w:r>
      <w:r w:rsidR="001851D6">
        <w:rPr>
          <w:color w:val="000000" w:themeColor="text1"/>
        </w:rPr>
        <w:fldChar w:fldCharType="begin"/>
      </w:r>
      <w:r w:rsidR="001851D6">
        <w:rPr>
          <w:color w:val="000000" w:themeColor="text1"/>
        </w:rPr>
        <w:instrText xml:space="preserve"> REF _Ref442455578 \h </w:instrText>
      </w:r>
      <w:r w:rsidR="001851D6">
        <w:rPr>
          <w:color w:val="000000" w:themeColor="text1"/>
        </w:rPr>
      </w:r>
      <w:r w:rsidR="001851D6">
        <w:rPr>
          <w:color w:val="000000" w:themeColor="text1"/>
        </w:rPr>
        <w:fldChar w:fldCharType="separate"/>
      </w:r>
      <w:r w:rsidR="00F87DF9" w:rsidRPr="000D4E9D">
        <w:rPr>
          <w:color w:val="000000"/>
        </w:rPr>
        <w:t xml:space="preserve">Figure </w:t>
      </w:r>
      <w:r w:rsidR="00F87DF9">
        <w:rPr>
          <w:noProof/>
          <w:color w:val="000000"/>
        </w:rPr>
        <w:t>12</w:t>
      </w:r>
      <w:r w:rsidR="001851D6">
        <w:rPr>
          <w:color w:val="000000" w:themeColor="text1"/>
        </w:rPr>
        <w:fldChar w:fldCharType="end"/>
      </w:r>
      <w:r w:rsidRPr="00247070">
        <w:rPr>
          <w:color w:val="000000" w:themeColor="text1"/>
        </w:rPr>
        <w:t>) and so further detail on I</w:t>
      </w:r>
      <w:r w:rsidRPr="00247070">
        <w:rPr>
          <w:color w:val="000000" w:themeColor="text1"/>
          <w:vertAlign w:val="subscript"/>
        </w:rPr>
        <w:t>d</w:t>
      </w:r>
      <w:r w:rsidRPr="00247070">
        <w:rPr>
          <w:color w:val="000000" w:themeColor="text1"/>
        </w:rPr>
        <w:t xml:space="preserve"> within each habitat and NRM region is given in the following sections</w:t>
      </w:r>
      <w:r w:rsidRPr="00334E12">
        <w:t xml:space="preserve">. </w:t>
      </w:r>
    </w:p>
    <w:p w14:paraId="2BAE7873" w14:textId="783B91FC" w:rsidR="00116C64" w:rsidRPr="007B7122" w:rsidRDefault="00CF22B9" w:rsidP="00E742E9">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205C71CD" wp14:editId="7A8B1D76">
            <wp:extent cx="5540998" cy="1944369"/>
            <wp:effectExtent l="0" t="0" r="3175" b="0"/>
            <wp:docPr id="99" name="Picture 99" descr="Plot of daily light for all sites combined and Generalised Additive Model plot of temporal trends in daily light for each habitat from 2008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GBR-wide_light)combined figure-01.png"/>
                    <pic:cNvPicPr/>
                  </pic:nvPicPr>
                  <pic:blipFill>
                    <a:blip r:embed="rId49"/>
                    <a:stretch>
                      <a:fillRect/>
                    </a:stretch>
                  </pic:blipFill>
                  <pic:spPr>
                    <a:xfrm>
                      <a:off x="0" y="0"/>
                      <a:ext cx="5540998" cy="1944369"/>
                    </a:xfrm>
                    <a:prstGeom prst="rect">
                      <a:avLst/>
                    </a:prstGeom>
                  </pic:spPr>
                </pic:pic>
              </a:graphicData>
            </a:graphic>
          </wp:inline>
        </w:drawing>
      </w:r>
    </w:p>
    <w:p w14:paraId="22FE37DE" w14:textId="69E17C50" w:rsidR="00297244" w:rsidRPr="009F7BEA" w:rsidRDefault="00116C64" w:rsidP="00297244">
      <w:pPr>
        <w:pStyle w:val="Caption"/>
        <w:jc w:val="both"/>
        <w:rPr>
          <w:i/>
          <w:vanish/>
          <w:color w:val="000000" w:themeColor="text1"/>
          <w:specVanish/>
        </w:rPr>
      </w:pPr>
      <w:bookmarkStart w:id="154" w:name="_Ref442455578"/>
      <w:bookmarkStart w:id="155" w:name="_Toc516053222"/>
      <w:r w:rsidRPr="000D4E9D">
        <w:rPr>
          <w:color w:val="000000"/>
        </w:rPr>
        <w:t xml:space="preserve">Figure </w:t>
      </w:r>
      <w:r w:rsidRPr="000D4E9D">
        <w:rPr>
          <w:color w:val="000000"/>
        </w:rPr>
        <w:fldChar w:fldCharType="begin"/>
      </w:r>
      <w:r w:rsidRPr="000D4E9D">
        <w:rPr>
          <w:color w:val="000000"/>
        </w:rPr>
        <w:instrText xml:space="preserve"> SEQ Figure \* ARABIC </w:instrText>
      </w:r>
      <w:r w:rsidRPr="000D4E9D">
        <w:rPr>
          <w:color w:val="000000"/>
        </w:rPr>
        <w:fldChar w:fldCharType="separate"/>
      </w:r>
      <w:r w:rsidR="00F87DF9">
        <w:rPr>
          <w:noProof/>
          <w:color w:val="000000"/>
        </w:rPr>
        <w:t>12</w:t>
      </w:r>
      <w:r w:rsidRPr="000D4E9D">
        <w:rPr>
          <w:color w:val="000000"/>
        </w:rPr>
        <w:fldChar w:fldCharType="end"/>
      </w:r>
      <w:bookmarkEnd w:id="154"/>
      <w:r w:rsidRPr="000D4E9D">
        <w:rPr>
          <w:color w:val="000000"/>
        </w:rPr>
        <w:t xml:space="preserve">. </w:t>
      </w:r>
      <w:r w:rsidRPr="00D523C4">
        <w:rPr>
          <w:i/>
          <w:color w:val="000000" w:themeColor="text1"/>
        </w:rPr>
        <w:t xml:space="preserve">Daily light for all sites combined </w:t>
      </w:r>
      <w:r w:rsidR="00894769" w:rsidRPr="00D523C4">
        <w:rPr>
          <w:i/>
          <w:color w:val="000000" w:themeColor="text1"/>
        </w:rPr>
        <w:t xml:space="preserve">(a.) </w:t>
      </w:r>
      <w:r w:rsidRPr="00D523C4">
        <w:rPr>
          <w:i/>
          <w:color w:val="000000" w:themeColor="text1"/>
        </w:rPr>
        <w:t xml:space="preserve">and </w:t>
      </w:r>
      <w:r w:rsidR="007F6948">
        <w:rPr>
          <w:i/>
          <w:color w:val="000000" w:themeColor="text1"/>
        </w:rPr>
        <w:t>Great Barrier Reef</w:t>
      </w:r>
      <w:r w:rsidRPr="00D523C4">
        <w:rPr>
          <w:i/>
          <w:color w:val="000000" w:themeColor="text1"/>
        </w:rPr>
        <w:t xml:space="preserve">-wide trend (GAM plot) in daily light for each habitat </w:t>
      </w:r>
      <w:r w:rsidR="00894769" w:rsidRPr="00D523C4">
        <w:rPr>
          <w:i/>
          <w:color w:val="000000" w:themeColor="text1"/>
        </w:rPr>
        <w:t xml:space="preserve">(b.) </w:t>
      </w:r>
      <w:r w:rsidRPr="00D523C4">
        <w:rPr>
          <w:i/>
          <w:color w:val="000000" w:themeColor="text1"/>
        </w:rPr>
        <w:t>from 2008 to 201</w:t>
      </w:r>
      <w:r w:rsidR="00D523C4" w:rsidRPr="00D523C4">
        <w:rPr>
          <w:i/>
          <w:color w:val="000000" w:themeColor="text1"/>
        </w:rPr>
        <w:t>7</w:t>
      </w:r>
      <w:r w:rsidRPr="00D523C4">
        <w:rPr>
          <w:i/>
          <w:color w:val="000000" w:themeColor="text1"/>
        </w:rPr>
        <w:t>.</w:t>
      </w:r>
      <w:bookmarkEnd w:id="155"/>
      <w:r w:rsidR="00297244" w:rsidRPr="00297244">
        <w:rPr>
          <w:i/>
          <w:vanish/>
          <w:color w:val="000000" w:themeColor="text1"/>
          <w:specVanish/>
        </w:rPr>
        <w:t xml:space="preserve"> </w:t>
      </w:r>
    </w:p>
    <w:p w14:paraId="5F4FAA2B" w14:textId="5D9ADDC8" w:rsidR="00116C64" w:rsidRPr="00742146" w:rsidRDefault="00116C64" w:rsidP="00297244">
      <w:pPr>
        <w:jc w:val="both"/>
        <w:rPr>
          <w:i/>
          <w:color w:val="000000"/>
        </w:rPr>
      </w:pPr>
      <w:r w:rsidRPr="00D523C4">
        <w:rPr>
          <w:i/>
          <w:color w:val="000000" w:themeColor="text1"/>
        </w:rPr>
        <w:t xml:space="preserve"> </w:t>
      </w:r>
      <w:r w:rsidR="00202C51">
        <w:rPr>
          <w:i/>
          <w:color w:val="000000" w:themeColor="text1"/>
        </w:rPr>
        <w:t>Also shown is the start date for inclusion of regions in the plot. In 2008-09, light data is from the Burdekin and Wet Tropics regions, while other regions (except Cape York) were included in 2009-10, but Cape York light monitoring was added for the 2012-13 reporting period.</w:t>
      </w:r>
    </w:p>
    <w:p w14:paraId="187F8D5E" w14:textId="77777777" w:rsidR="00811ABE" w:rsidRPr="00BA12BB" w:rsidRDefault="00811ABE" w:rsidP="00811ABE">
      <w:pPr>
        <w:pStyle w:val="Heading4"/>
        <w:numPr>
          <w:ilvl w:val="0"/>
          <w:numId w:val="0"/>
        </w:numPr>
        <w:rPr>
          <w:rFonts w:ascii="Arial" w:hAnsi="Arial" w:cs="Arial"/>
          <w:sz w:val="24"/>
          <w:szCs w:val="24"/>
        </w:rPr>
      </w:pPr>
      <w:r w:rsidRPr="00BA12BB">
        <w:rPr>
          <w:rFonts w:ascii="Arial" w:hAnsi="Arial" w:cs="Arial"/>
          <w:sz w:val="24"/>
          <w:szCs w:val="24"/>
        </w:rPr>
        <w:t>Within canopy seawater temperature</w:t>
      </w:r>
    </w:p>
    <w:p w14:paraId="206DB4B0" w14:textId="679F99AF" w:rsidR="00DE2AFA" w:rsidRPr="009E680A" w:rsidRDefault="00EB0A7F" w:rsidP="00811ABE">
      <w:pPr>
        <w:rPr>
          <w:szCs w:val="22"/>
        </w:rPr>
      </w:pPr>
      <w:r w:rsidRPr="00EC1FE9">
        <w:rPr>
          <w:color w:val="000000" w:themeColor="text1"/>
          <w:szCs w:val="22"/>
        </w:rPr>
        <w:t xml:space="preserve">Within seagrass canopy seawater temperature data were </w:t>
      </w:r>
      <w:r w:rsidR="009E680A" w:rsidRPr="00EC1FE9">
        <w:rPr>
          <w:color w:val="000000" w:themeColor="text1"/>
          <w:szCs w:val="22"/>
        </w:rPr>
        <w:t>collected</w:t>
      </w:r>
      <w:r w:rsidRPr="00EC1FE9">
        <w:rPr>
          <w:color w:val="000000" w:themeColor="text1"/>
          <w:szCs w:val="22"/>
        </w:rPr>
        <w:t xml:space="preserve"> </w:t>
      </w:r>
      <w:r w:rsidR="009E680A" w:rsidRPr="00EC1FE9">
        <w:rPr>
          <w:color w:val="000000" w:themeColor="text1"/>
          <w:szCs w:val="22"/>
        </w:rPr>
        <w:t>from</w:t>
      </w:r>
      <w:r w:rsidR="00EC1FE9">
        <w:rPr>
          <w:color w:val="000000" w:themeColor="text1"/>
          <w:szCs w:val="22"/>
        </w:rPr>
        <w:t xml:space="preserve"> September 2003 to May 2017</w:t>
      </w:r>
      <w:r w:rsidRPr="00EC1FE9">
        <w:rPr>
          <w:color w:val="000000" w:themeColor="text1"/>
          <w:szCs w:val="22"/>
        </w:rPr>
        <w:t xml:space="preserve">. </w:t>
      </w:r>
      <w:r w:rsidRPr="003278C5">
        <w:rPr>
          <w:color w:val="000000" w:themeColor="text1"/>
          <w:szCs w:val="22"/>
        </w:rPr>
        <w:t xml:space="preserve">The </w:t>
      </w:r>
      <w:r w:rsidR="008574EC">
        <w:rPr>
          <w:color w:val="000000" w:themeColor="text1"/>
          <w:szCs w:val="22"/>
        </w:rPr>
        <w:t>2016–17</w:t>
      </w:r>
      <w:r w:rsidRPr="003278C5">
        <w:rPr>
          <w:color w:val="000000" w:themeColor="text1"/>
          <w:szCs w:val="22"/>
        </w:rPr>
        <w:t xml:space="preserve"> monitoring period </w:t>
      </w:r>
      <w:r w:rsidR="00DE2AFA" w:rsidRPr="003278C5">
        <w:rPr>
          <w:color w:val="000000" w:themeColor="text1"/>
        </w:rPr>
        <w:t xml:space="preserve">included a </w:t>
      </w:r>
      <w:r w:rsidR="001F6D3D">
        <w:rPr>
          <w:color w:val="000000" w:themeColor="text1"/>
        </w:rPr>
        <w:t xml:space="preserve">marine </w:t>
      </w:r>
      <w:r w:rsidR="00970D64">
        <w:rPr>
          <w:color w:val="000000" w:themeColor="text1"/>
        </w:rPr>
        <w:t>heat</w:t>
      </w:r>
      <w:r w:rsidR="00DE2AFA" w:rsidRPr="003278C5">
        <w:rPr>
          <w:color w:val="000000" w:themeColor="text1"/>
        </w:rPr>
        <w:t xml:space="preserve">wave </w:t>
      </w:r>
      <w:r w:rsidR="00941F16" w:rsidRPr="00EC1FE9">
        <w:rPr>
          <w:color w:val="000000" w:themeColor="text1"/>
        </w:rPr>
        <w:t xml:space="preserve">causing wide-spread coral bleaching and mortality </w:t>
      </w:r>
      <w:r w:rsidR="00DE2AFA" w:rsidRPr="00EC1FE9">
        <w:rPr>
          <w:color w:val="000000" w:themeColor="text1"/>
        </w:rPr>
        <w:t xml:space="preserve">that affected </w:t>
      </w:r>
      <w:r w:rsidR="00EC1FE9" w:rsidRPr="00EC1FE9">
        <w:rPr>
          <w:color w:val="000000" w:themeColor="text1"/>
        </w:rPr>
        <w:t>Cape York, the Wet Tropics and</w:t>
      </w:r>
      <w:r w:rsidR="00DE2AFA" w:rsidRPr="00EC1FE9">
        <w:rPr>
          <w:color w:val="000000" w:themeColor="text1"/>
        </w:rPr>
        <w:t xml:space="preserve"> the Burdekin region</w:t>
      </w:r>
      <w:r w:rsidR="00EC1FE9" w:rsidRPr="00EC1FE9">
        <w:rPr>
          <w:color w:val="000000" w:themeColor="text1"/>
        </w:rPr>
        <w:t xml:space="preserve"> for a second year in a row</w:t>
      </w:r>
      <w:r w:rsidR="00EC1FE9">
        <w:rPr>
          <w:color w:val="000000" w:themeColor="text1"/>
        </w:rPr>
        <w:t xml:space="preserve"> (G</w:t>
      </w:r>
      <w:r w:rsidR="007F6948">
        <w:rPr>
          <w:color w:val="000000" w:themeColor="text1"/>
        </w:rPr>
        <w:t>reat Barrier Reef Marine Park Authority</w:t>
      </w:r>
      <w:r w:rsidR="00EC1FE9">
        <w:rPr>
          <w:color w:val="000000" w:themeColor="text1"/>
        </w:rPr>
        <w:t xml:space="preserve"> </w:t>
      </w:r>
      <w:r w:rsidR="005617A7">
        <w:rPr>
          <w:color w:val="000000" w:themeColor="text1"/>
        </w:rPr>
        <w:t xml:space="preserve">29 June 2017; </w:t>
      </w:r>
      <w:r w:rsidR="005617A7" w:rsidRPr="005617A7">
        <w:rPr>
          <w:color w:val="000000" w:themeColor="text1"/>
        </w:rPr>
        <w:t>http://www.gbrmpa.gov.au/about-the-reef/reef-</w:t>
      </w:r>
      <w:r w:rsidR="005617A7" w:rsidRPr="001F6D3D">
        <w:t>health)</w:t>
      </w:r>
      <w:r w:rsidR="00DE2AFA" w:rsidRPr="001F6D3D">
        <w:t>. Within seagrass canopy water temperature</w:t>
      </w:r>
      <w:r w:rsidR="001F6D3D">
        <w:t>s were</w:t>
      </w:r>
      <w:r w:rsidR="00DE2AFA" w:rsidRPr="001F6D3D">
        <w:t xml:space="preserve"> </w:t>
      </w:r>
      <w:r w:rsidR="00941F16" w:rsidRPr="001F6D3D">
        <w:t xml:space="preserve">also </w:t>
      </w:r>
      <w:r w:rsidR="00DE2AFA" w:rsidRPr="001F6D3D">
        <w:t xml:space="preserve">above average </w:t>
      </w:r>
      <w:r w:rsidR="00584AF3" w:rsidRPr="001F6D3D">
        <w:t xml:space="preserve">at inshore seagrass </w:t>
      </w:r>
      <w:r w:rsidR="00584AF3">
        <w:rPr>
          <w:color w:val="000000" w:themeColor="text1"/>
        </w:rPr>
        <w:t xml:space="preserve">monitoring sites of </w:t>
      </w:r>
      <w:r w:rsidR="007F6948">
        <w:rPr>
          <w:color w:val="000000" w:themeColor="text1"/>
        </w:rPr>
        <w:t>Great Barrier Reef</w:t>
      </w:r>
      <w:r w:rsidR="00DE2AFA" w:rsidRPr="005617A7">
        <w:rPr>
          <w:color w:val="000000" w:themeColor="text1"/>
        </w:rPr>
        <w:t xml:space="preserve"> (</w:t>
      </w:r>
      <w:r w:rsidR="00DE2AFA" w:rsidRPr="005617A7">
        <w:rPr>
          <w:color w:val="000000" w:themeColor="text1"/>
        </w:rPr>
        <w:fldChar w:fldCharType="begin"/>
      </w:r>
      <w:r w:rsidR="00DE2AFA" w:rsidRPr="005617A7">
        <w:rPr>
          <w:color w:val="000000" w:themeColor="text1"/>
        </w:rPr>
        <w:instrText xml:space="preserve"> REF _Ref441775247 \h  \* MERGEFORMAT </w:instrText>
      </w:r>
      <w:r w:rsidR="00DE2AFA" w:rsidRPr="005617A7">
        <w:rPr>
          <w:color w:val="000000" w:themeColor="text1"/>
        </w:rPr>
      </w:r>
      <w:r w:rsidR="00DE2AFA" w:rsidRPr="005617A7">
        <w:rPr>
          <w:color w:val="000000" w:themeColor="text1"/>
        </w:rPr>
        <w:fldChar w:fldCharType="separate"/>
      </w:r>
      <w:r w:rsidR="00F87DF9" w:rsidRPr="00F87DF9">
        <w:rPr>
          <w:color w:val="000000" w:themeColor="text1"/>
        </w:rPr>
        <w:t xml:space="preserve">Table </w:t>
      </w:r>
      <w:r w:rsidR="00F87DF9" w:rsidRPr="00F87DF9">
        <w:rPr>
          <w:noProof/>
          <w:color w:val="000000" w:themeColor="text1"/>
        </w:rPr>
        <w:t>9</w:t>
      </w:r>
      <w:r w:rsidR="00DE2AFA" w:rsidRPr="005617A7">
        <w:rPr>
          <w:color w:val="000000" w:themeColor="text1"/>
        </w:rPr>
        <w:fldChar w:fldCharType="end"/>
      </w:r>
      <w:r w:rsidR="00DE2AFA" w:rsidRPr="005617A7">
        <w:rPr>
          <w:color w:val="000000" w:themeColor="text1"/>
        </w:rPr>
        <w:t>).</w:t>
      </w:r>
      <w:r w:rsidR="00DE2AFA" w:rsidRPr="002D0EAA">
        <w:rPr>
          <w:color w:val="0000FF"/>
        </w:rPr>
        <w:t xml:space="preserve"> </w:t>
      </w:r>
      <w:r w:rsidR="001F6D3D">
        <w:t xml:space="preserve">The Burnett </w:t>
      </w:r>
      <w:r w:rsidR="00584AF3">
        <w:t xml:space="preserve">Mary NRM was the only region in the </w:t>
      </w:r>
      <w:r w:rsidR="007F6948">
        <w:t>Great Barrier Reef</w:t>
      </w:r>
      <w:r w:rsidR="00584AF3">
        <w:t xml:space="preserve"> in which average temperature was not the highest on record, while in all other NRMs the average temperature exceeded all previous years since 2005-06. </w:t>
      </w:r>
      <w:r w:rsidR="00DE2AFA" w:rsidRPr="005617A7">
        <w:rPr>
          <w:color w:val="000000" w:themeColor="text1"/>
        </w:rPr>
        <w:t xml:space="preserve">Within canopy water temperature in Cape York exceeded 35°C for a record number of days in </w:t>
      </w:r>
      <w:r w:rsidR="005617A7" w:rsidRPr="005617A7">
        <w:rPr>
          <w:color w:val="000000" w:themeColor="text1"/>
        </w:rPr>
        <w:t>one reporting year (58d</w:t>
      </w:r>
      <w:r w:rsidR="00DE2AFA" w:rsidRPr="005617A7">
        <w:rPr>
          <w:color w:val="000000" w:themeColor="text1"/>
        </w:rPr>
        <w:t>)</w:t>
      </w:r>
      <w:r w:rsidR="005617A7" w:rsidRPr="005617A7">
        <w:rPr>
          <w:color w:val="000000" w:themeColor="text1"/>
        </w:rPr>
        <w:t xml:space="preserve">, </w:t>
      </w:r>
      <w:r w:rsidR="001F6D3D">
        <w:rPr>
          <w:color w:val="000000" w:themeColor="text1"/>
        </w:rPr>
        <w:t>but it did not exceed 40°C, a c</w:t>
      </w:r>
      <w:r w:rsidR="005617A7" w:rsidRPr="005617A7">
        <w:rPr>
          <w:color w:val="000000" w:themeColor="text1"/>
        </w:rPr>
        <w:t>ritical threshold for photoinhibition and mortality risk</w:t>
      </w:r>
      <w:r w:rsidR="001851D6">
        <w:rPr>
          <w:color w:val="000000" w:themeColor="text1"/>
        </w:rPr>
        <w:t xml:space="preserve"> (</w:t>
      </w:r>
      <w:r w:rsidR="001851D6">
        <w:rPr>
          <w:color w:val="000000" w:themeColor="text1"/>
        </w:rPr>
        <w:fldChar w:fldCharType="begin"/>
      </w:r>
      <w:r w:rsidR="001851D6">
        <w:rPr>
          <w:color w:val="000000" w:themeColor="text1"/>
        </w:rPr>
        <w:instrText xml:space="preserve"> REF _Ref442454861 \h </w:instrText>
      </w:r>
      <w:r w:rsidR="001851D6">
        <w:rPr>
          <w:color w:val="000000" w:themeColor="text1"/>
        </w:rPr>
      </w:r>
      <w:r w:rsidR="001851D6">
        <w:rPr>
          <w:color w:val="000000" w:themeColor="text1"/>
        </w:rPr>
        <w:fldChar w:fldCharType="separate"/>
      </w:r>
      <w:r w:rsidR="00F87DF9" w:rsidRPr="00160A10">
        <w:rPr>
          <w:szCs w:val="22"/>
        </w:rPr>
        <w:t xml:space="preserve">Figure </w:t>
      </w:r>
      <w:r w:rsidR="00F87DF9">
        <w:rPr>
          <w:noProof/>
          <w:szCs w:val="22"/>
        </w:rPr>
        <w:t>13</w:t>
      </w:r>
      <w:r w:rsidR="001851D6">
        <w:rPr>
          <w:color w:val="000000" w:themeColor="text1"/>
        </w:rPr>
        <w:fldChar w:fldCharType="end"/>
      </w:r>
      <w:r w:rsidR="001851D6">
        <w:rPr>
          <w:color w:val="000000" w:themeColor="text1"/>
        </w:rPr>
        <w:t>)</w:t>
      </w:r>
      <w:r w:rsidR="00DE2AFA" w:rsidRPr="005617A7">
        <w:rPr>
          <w:color w:val="000000" w:themeColor="text1"/>
        </w:rPr>
        <w:t xml:space="preserve">. </w:t>
      </w:r>
      <w:r w:rsidR="00584AF3">
        <w:rPr>
          <w:color w:val="000000" w:themeColor="text1"/>
        </w:rPr>
        <w:t xml:space="preserve">Water temperature exceeded </w:t>
      </w:r>
      <w:r w:rsidR="00584AF3" w:rsidRPr="005617A7">
        <w:rPr>
          <w:color w:val="000000" w:themeColor="text1"/>
        </w:rPr>
        <w:t xml:space="preserve">35°C </w:t>
      </w:r>
      <w:r w:rsidR="00584AF3">
        <w:rPr>
          <w:color w:val="000000" w:themeColor="text1"/>
        </w:rPr>
        <w:t>for 70d in the Wet Tropics and Fitzroy NRM’s followed by Cape York (58d), the Mackay</w:t>
      </w:r>
      <w:r w:rsidR="001F6D3D">
        <w:rPr>
          <w:color w:val="000000" w:themeColor="text1"/>
        </w:rPr>
        <w:t xml:space="preserve"> Whitsunday (56d), and the Burnett </w:t>
      </w:r>
      <w:r w:rsidR="00584AF3">
        <w:rPr>
          <w:color w:val="000000" w:themeColor="text1"/>
        </w:rPr>
        <w:t>Mary NRM</w:t>
      </w:r>
      <w:r w:rsidR="001F6D3D">
        <w:rPr>
          <w:color w:val="000000" w:themeColor="text1"/>
        </w:rPr>
        <w:t>s</w:t>
      </w:r>
      <w:r w:rsidR="00584AF3">
        <w:rPr>
          <w:color w:val="000000" w:themeColor="text1"/>
        </w:rPr>
        <w:t xml:space="preserve"> (19 d). Furthermore, temperature exceeded 40</w:t>
      </w:r>
      <w:r w:rsidR="00584AF3" w:rsidRPr="005617A7">
        <w:rPr>
          <w:color w:val="000000" w:themeColor="text1"/>
        </w:rPr>
        <w:t>°C</w:t>
      </w:r>
      <w:r w:rsidR="00584AF3">
        <w:rPr>
          <w:color w:val="000000" w:themeColor="text1"/>
        </w:rPr>
        <w:t xml:space="preserve"> in the Wet Tropics, Burdekin, Mackay</w:t>
      </w:r>
      <w:r w:rsidR="001F6D3D">
        <w:rPr>
          <w:color w:val="000000" w:themeColor="text1"/>
        </w:rPr>
        <w:t xml:space="preserve"> </w:t>
      </w:r>
      <w:r w:rsidR="00584AF3">
        <w:rPr>
          <w:color w:val="000000" w:themeColor="text1"/>
        </w:rPr>
        <w:t xml:space="preserve">Whitsunday and Fitzroy NRMs. </w:t>
      </w:r>
      <w:r w:rsidR="00941F16" w:rsidRPr="006C6E49">
        <w:rPr>
          <w:color w:val="000000" w:themeColor="text1"/>
          <w:szCs w:val="22"/>
        </w:rPr>
        <w:t xml:space="preserve">The hottest seawater temperature recorded </w:t>
      </w:r>
      <w:r w:rsidR="00584AF3" w:rsidRPr="006C6E49">
        <w:rPr>
          <w:color w:val="000000" w:themeColor="text1"/>
          <w:szCs w:val="22"/>
        </w:rPr>
        <w:t xml:space="preserve">at inshore seagrass sites </w:t>
      </w:r>
      <w:r w:rsidR="00941F16" w:rsidRPr="006C6E49">
        <w:rPr>
          <w:color w:val="000000" w:themeColor="text1"/>
          <w:szCs w:val="22"/>
        </w:rPr>
        <w:t xml:space="preserve">along the </w:t>
      </w:r>
      <w:r w:rsidR="007F6948">
        <w:rPr>
          <w:color w:val="000000" w:themeColor="text1"/>
          <w:szCs w:val="22"/>
        </w:rPr>
        <w:t>Great Barrier Reef</w:t>
      </w:r>
      <w:r w:rsidR="00941F16" w:rsidRPr="006C6E49">
        <w:rPr>
          <w:color w:val="000000" w:themeColor="text1"/>
          <w:szCs w:val="22"/>
        </w:rPr>
        <w:t xml:space="preserve"> during </w:t>
      </w:r>
      <w:r w:rsidR="008574EC">
        <w:rPr>
          <w:color w:val="000000" w:themeColor="text1"/>
          <w:szCs w:val="22"/>
        </w:rPr>
        <w:t>2016–17</w:t>
      </w:r>
      <w:r w:rsidR="00941F16" w:rsidRPr="006C6E49">
        <w:rPr>
          <w:color w:val="000000" w:themeColor="text1"/>
          <w:szCs w:val="22"/>
        </w:rPr>
        <w:t xml:space="preserve"> was 4</w:t>
      </w:r>
      <w:r w:rsidR="006C6E49" w:rsidRPr="006C6E49">
        <w:rPr>
          <w:color w:val="000000" w:themeColor="text1"/>
          <w:szCs w:val="22"/>
        </w:rPr>
        <w:t>1.4</w:t>
      </w:r>
      <w:r w:rsidR="00941F16" w:rsidRPr="006C6E49">
        <w:rPr>
          <w:color w:val="000000" w:themeColor="text1"/>
          <w:szCs w:val="22"/>
        </w:rPr>
        <w:t xml:space="preserve">°C, which was at </w:t>
      </w:r>
      <w:r w:rsidR="006C6E49" w:rsidRPr="006C6E49">
        <w:rPr>
          <w:color w:val="000000" w:themeColor="text1"/>
          <w:szCs w:val="22"/>
        </w:rPr>
        <w:t>Yule Point (YP1) on 7 March 2017</w:t>
      </w:r>
      <w:r w:rsidR="00941F16" w:rsidRPr="006C6E49">
        <w:rPr>
          <w:color w:val="000000" w:themeColor="text1"/>
          <w:szCs w:val="22"/>
        </w:rPr>
        <w:t xml:space="preserve">. </w:t>
      </w:r>
      <w:r w:rsidR="006C6E49" w:rsidRPr="006C6E49">
        <w:rPr>
          <w:color w:val="000000" w:themeColor="text1"/>
          <w:szCs w:val="22"/>
        </w:rPr>
        <w:t>T</w:t>
      </w:r>
      <w:r w:rsidR="00F73A48" w:rsidRPr="006C6E49">
        <w:rPr>
          <w:color w:val="000000" w:themeColor="text1"/>
          <w:szCs w:val="22"/>
        </w:rPr>
        <w:t>hese e</w:t>
      </w:r>
      <w:r w:rsidR="00DE2AFA" w:rsidRPr="006C6E49">
        <w:rPr>
          <w:color w:val="000000" w:themeColor="text1"/>
        </w:rPr>
        <w:t>xtreme temperature days (&gt;40°C) that can cause photoinhibition</w:t>
      </w:r>
      <w:r w:rsidR="00686B59" w:rsidRPr="006C6E49">
        <w:rPr>
          <w:color w:val="000000" w:themeColor="text1"/>
        </w:rPr>
        <w:t xml:space="preserve"> were relatively low in frequency </w:t>
      </w:r>
      <w:r w:rsidR="006C6E49" w:rsidRPr="006C6E49">
        <w:rPr>
          <w:color w:val="000000" w:themeColor="text1"/>
        </w:rPr>
        <w:t>(max 4 d per year</w:t>
      </w:r>
      <w:r w:rsidR="006C6E49">
        <w:rPr>
          <w:color w:val="000000" w:themeColor="text1"/>
        </w:rPr>
        <w:t xml:space="preserve"> in the Mackay Whitsunday</w:t>
      </w:r>
      <w:r w:rsidR="006C6E49" w:rsidRPr="006C6E49">
        <w:rPr>
          <w:color w:val="000000" w:themeColor="text1"/>
        </w:rPr>
        <w:t xml:space="preserve">) </w:t>
      </w:r>
      <w:r w:rsidR="00686B59" w:rsidRPr="006C6E49">
        <w:rPr>
          <w:color w:val="000000" w:themeColor="text1"/>
        </w:rPr>
        <w:t>and were</w:t>
      </w:r>
      <w:r w:rsidR="00941F16" w:rsidRPr="006C6E49">
        <w:rPr>
          <w:color w:val="000000" w:themeColor="text1"/>
        </w:rPr>
        <w:t xml:space="preserve"> unlikely to cause</w:t>
      </w:r>
      <w:r w:rsidR="00DE2AFA" w:rsidRPr="006C6E49">
        <w:rPr>
          <w:color w:val="000000" w:themeColor="text1"/>
        </w:rPr>
        <w:t xml:space="preserve"> burning </w:t>
      </w:r>
      <w:r w:rsidR="00941F16" w:rsidRPr="006C6E49">
        <w:rPr>
          <w:color w:val="000000" w:themeColor="text1"/>
        </w:rPr>
        <w:t xml:space="preserve">or </w:t>
      </w:r>
      <w:r w:rsidR="00DE2AFA" w:rsidRPr="006C6E49">
        <w:rPr>
          <w:color w:val="000000" w:themeColor="text1"/>
        </w:rPr>
        <w:t xml:space="preserve">mortality, </w:t>
      </w:r>
      <w:r w:rsidR="00941F16" w:rsidRPr="006C6E49">
        <w:rPr>
          <w:color w:val="000000" w:themeColor="text1"/>
        </w:rPr>
        <w:t>but</w:t>
      </w:r>
      <w:r w:rsidR="00DE2AFA" w:rsidRPr="006C6E49">
        <w:rPr>
          <w:color w:val="000000" w:themeColor="text1"/>
        </w:rPr>
        <w:t xml:space="preserve"> </w:t>
      </w:r>
      <w:r w:rsidR="00F73A48" w:rsidRPr="006C6E49">
        <w:rPr>
          <w:color w:val="000000" w:themeColor="text1"/>
        </w:rPr>
        <w:t xml:space="preserve">elevated </w:t>
      </w:r>
      <w:r w:rsidR="00DE2AFA" w:rsidRPr="006C6E49">
        <w:rPr>
          <w:color w:val="000000" w:themeColor="text1"/>
        </w:rPr>
        <w:t xml:space="preserve">water temperature </w:t>
      </w:r>
      <w:r w:rsidR="00941F16" w:rsidRPr="006C6E49">
        <w:rPr>
          <w:color w:val="000000" w:themeColor="text1"/>
        </w:rPr>
        <w:t>p</w:t>
      </w:r>
      <w:r w:rsidR="00F73A48" w:rsidRPr="006C6E49">
        <w:rPr>
          <w:color w:val="000000" w:themeColor="text1"/>
        </w:rPr>
        <w:t>ossibly</w:t>
      </w:r>
      <w:r w:rsidR="00941F16" w:rsidRPr="006C6E49">
        <w:rPr>
          <w:color w:val="000000" w:themeColor="text1"/>
        </w:rPr>
        <w:t xml:space="preserve"> had</w:t>
      </w:r>
      <w:r w:rsidR="00DE2AFA" w:rsidRPr="006C6E49">
        <w:rPr>
          <w:color w:val="000000" w:themeColor="text1"/>
        </w:rPr>
        <w:t xml:space="preserve"> a chronic and cumulative </w:t>
      </w:r>
      <w:r w:rsidR="00F73A48" w:rsidRPr="006C6E49">
        <w:rPr>
          <w:color w:val="000000" w:themeColor="text1"/>
        </w:rPr>
        <w:t>impact</w:t>
      </w:r>
      <w:r w:rsidR="009E680A" w:rsidRPr="006C6E49">
        <w:rPr>
          <w:color w:val="000000" w:themeColor="text1"/>
        </w:rPr>
        <w:t xml:space="preserve"> on seagrass condition.</w:t>
      </w:r>
      <w:r w:rsidR="005617A7" w:rsidRPr="006C6E49">
        <w:rPr>
          <w:color w:val="000000" w:themeColor="text1"/>
        </w:rPr>
        <w:t xml:space="preserve"> </w:t>
      </w:r>
    </w:p>
    <w:p w14:paraId="099DF2A9" w14:textId="77777777" w:rsidR="00811ABE" w:rsidRPr="00D05CE6" w:rsidRDefault="00E6506A"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0AADFE2" wp14:editId="4EC85D37">
            <wp:extent cx="3694651" cy="4597400"/>
            <wp:effectExtent l="0" t="0" r="1270" b="0"/>
            <wp:docPr id="9" name="Picture 9" descr="Panel of six graphs showing number of days when inshore inter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emperature_exceedance_NRM_29Nov16.png"/>
                    <pic:cNvPicPr/>
                  </pic:nvPicPr>
                  <pic:blipFill>
                    <a:blip r:embed="rId50">
                      <a:extLst>
                        <a:ext uri="{28A0092B-C50C-407E-A947-70E740481C1C}">
                          <a14:useLocalDpi xmlns:a14="http://schemas.microsoft.com/office/drawing/2010/main" val="0"/>
                        </a:ext>
                      </a:extLst>
                    </a:blip>
                    <a:stretch>
                      <a:fillRect/>
                    </a:stretch>
                  </pic:blipFill>
                  <pic:spPr>
                    <a:xfrm>
                      <a:off x="0" y="0"/>
                      <a:ext cx="3695784" cy="4598810"/>
                    </a:xfrm>
                    <a:prstGeom prst="rect">
                      <a:avLst/>
                    </a:prstGeom>
                  </pic:spPr>
                </pic:pic>
              </a:graphicData>
            </a:graphic>
          </wp:inline>
        </w:drawing>
      </w:r>
    </w:p>
    <w:p w14:paraId="0B72F478" w14:textId="1F1F9D74" w:rsidR="00811ABE" w:rsidRPr="00160A10" w:rsidRDefault="00811ABE" w:rsidP="00811ABE">
      <w:pPr>
        <w:rPr>
          <w:vanish/>
          <w:szCs w:val="22"/>
          <w:specVanish/>
        </w:rPr>
      </w:pPr>
      <w:bookmarkStart w:id="156" w:name="_Ref442454861"/>
      <w:bookmarkStart w:id="157" w:name="_Toc516053223"/>
      <w:r w:rsidRPr="00160A10">
        <w:rPr>
          <w:szCs w:val="22"/>
        </w:rPr>
        <w:t xml:space="preserve">Figure </w:t>
      </w:r>
      <w:r w:rsidR="0073595B" w:rsidRPr="00160A10">
        <w:rPr>
          <w:szCs w:val="22"/>
        </w:rPr>
        <w:fldChar w:fldCharType="begin"/>
      </w:r>
      <w:r w:rsidR="0073595B" w:rsidRPr="00160A10">
        <w:rPr>
          <w:szCs w:val="22"/>
        </w:rPr>
        <w:instrText xml:space="preserve"> SEQ Figure \* ARABIC </w:instrText>
      </w:r>
      <w:r w:rsidR="0073595B" w:rsidRPr="00160A10">
        <w:rPr>
          <w:szCs w:val="22"/>
        </w:rPr>
        <w:fldChar w:fldCharType="separate"/>
      </w:r>
      <w:r w:rsidR="00F87DF9">
        <w:rPr>
          <w:noProof/>
          <w:szCs w:val="22"/>
        </w:rPr>
        <w:t>13</w:t>
      </w:r>
      <w:r w:rsidR="0073595B" w:rsidRPr="00160A10">
        <w:rPr>
          <w:szCs w:val="22"/>
        </w:rPr>
        <w:fldChar w:fldCharType="end"/>
      </w:r>
      <w:bookmarkEnd w:id="156"/>
      <w:r w:rsidRPr="00160A10">
        <w:rPr>
          <w:szCs w:val="22"/>
        </w:rPr>
        <w:t xml:space="preserve">. </w:t>
      </w:r>
      <w:r w:rsidRPr="00160A10">
        <w:rPr>
          <w:i/>
          <w:szCs w:val="22"/>
        </w:rPr>
        <w:t>Number of days when inshore intertidal sea temperature exceeded 35°C, 38°C, 40°C and 43°C in each monitoring period in each NRM region.</w:t>
      </w:r>
      <w:bookmarkEnd w:id="157"/>
      <w:r w:rsidRPr="00160A10">
        <w:rPr>
          <w:i/>
          <w:szCs w:val="22"/>
        </w:rPr>
        <w:t xml:space="preserve"> </w:t>
      </w:r>
      <w:r w:rsidRPr="00160A10">
        <w:rPr>
          <w:i/>
          <w:vanish/>
          <w:szCs w:val="22"/>
          <w:specVanish/>
        </w:rPr>
        <w:t xml:space="preserve"> </w:t>
      </w:r>
    </w:p>
    <w:p w14:paraId="5419667A" w14:textId="3E9C34C5" w:rsidR="00811ABE" w:rsidRPr="00160A10" w:rsidRDefault="00811ABE" w:rsidP="00811ABE">
      <w:pPr>
        <w:rPr>
          <w:szCs w:val="22"/>
        </w:rPr>
      </w:pPr>
      <w:r w:rsidRPr="00160A10">
        <w:rPr>
          <w:i/>
          <w:vanish/>
          <w:szCs w:val="22"/>
          <w:specVanish/>
        </w:rPr>
        <w:t xml:space="preserve"> </w:t>
      </w:r>
      <w:r w:rsidRPr="00160A10">
        <w:rPr>
          <w:i/>
          <w:szCs w:val="22"/>
        </w:rPr>
        <w:t xml:space="preserve">Thresholds adapted from </w:t>
      </w:r>
      <w:r w:rsidR="00644A84" w:rsidRPr="00160A10">
        <w:rPr>
          <w:i/>
          <w:szCs w:val="22"/>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ZXQgYWwuPC9zdHlsZT4gMjAxMmI8L0Rpc3BsYXlUZXh0PjxyZWNvcmQ+PHJlYy1udW1iZXI+Mjg5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00521D93">
        <w:rPr>
          <w:i/>
          <w:szCs w:val="22"/>
        </w:rPr>
        <w:instrText xml:space="preserve"> ADDIN EN.CITE </w:instrText>
      </w:r>
      <w:r w:rsidR="00521D93">
        <w:rPr>
          <w:i/>
          <w:szCs w:val="22"/>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ZXQgYWwuPC9zdHlsZT4gMjAxMmI8L0Rpc3BsYXlUZXh0PjxyZWNvcmQ+PHJlYy1udW1iZXI+Mjg5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00521D93">
        <w:rPr>
          <w:i/>
          <w:szCs w:val="22"/>
        </w:rPr>
        <w:instrText xml:space="preserve"> ADDIN EN.CITE.DATA </w:instrText>
      </w:r>
      <w:r w:rsidR="00521D93">
        <w:rPr>
          <w:i/>
          <w:szCs w:val="22"/>
        </w:rPr>
      </w:r>
      <w:r w:rsidR="00521D93">
        <w:rPr>
          <w:i/>
          <w:szCs w:val="22"/>
        </w:rPr>
        <w:fldChar w:fldCharType="end"/>
      </w:r>
      <w:r w:rsidR="00644A84" w:rsidRPr="00160A10">
        <w:rPr>
          <w:i/>
          <w:szCs w:val="22"/>
        </w:rPr>
      </w:r>
      <w:r w:rsidR="00644A84" w:rsidRPr="00160A10">
        <w:rPr>
          <w:i/>
          <w:szCs w:val="22"/>
        </w:rPr>
        <w:fldChar w:fldCharType="separate"/>
      </w:r>
      <w:hyperlink w:anchor="_ENREF_30" w:tooltip="Campbell, 2006 #2896" w:history="1">
        <w:r w:rsidR="00305FE7">
          <w:rPr>
            <w:i/>
            <w:noProof/>
            <w:szCs w:val="22"/>
          </w:rPr>
          <w:t>Campbell et al. 2006</w:t>
        </w:r>
      </w:hyperlink>
      <w:r w:rsidR="00521D93">
        <w:rPr>
          <w:i/>
          <w:noProof/>
          <w:szCs w:val="22"/>
        </w:rPr>
        <w:t xml:space="preserve">; </w:t>
      </w:r>
      <w:hyperlink w:anchor="_ENREF_58" w:tooltip="Collier, 2012 #9288" w:history="1">
        <w:r w:rsidR="00305FE7">
          <w:rPr>
            <w:i/>
            <w:noProof/>
            <w:szCs w:val="22"/>
          </w:rPr>
          <w:t>Collier et al. 2012b</w:t>
        </w:r>
      </w:hyperlink>
      <w:r w:rsidR="00644A84" w:rsidRPr="00160A10">
        <w:rPr>
          <w:i/>
          <w:szCs w:val="22"/>
        </w:rPr>
        <w:fldChar w:fldCharType="end"/>
      </w:r>
      <w:r w:rsidRPr="00160A10">
        <w:rPr>
          <w:i/>
          <w:szCs w:val="22"/>
        </w:rPr>
        <w:t>.</w:t>
      </w:r>
    </w:p>
    <w:p w14:paraId="6D7D29B7" w14:textId="14061DDD" w:rsidR="00811ABE" w:rsidRPr="00EC1FE9" w:rsidRDefault="00811ABE" w:rsidP="00811ABE">
      <w:pPr>
        <w:rPr>
          <w:color w:val="000000" w:themeColor="text1"/>
          <w:szCs w:val="22"/>
        </w:rPr>
      </w:pPr>
      <w:r w:rsidRPr="00EC1FE9">
        <w:rPr>
          <w:color w:val="000000" w:themeColor="text1"/>
          <w:szCs w:val="22"/>
        </w:rPr>
        <w:t xml:space="preserve">Within canopy seawater temperatures </w:t>
      </w:r>
      <w:r w:rsidR="007542FC" w:rsidRPr="00EC1FE9">
        <w:rPr>
          <w:color w:val="000000" w:themeColor="text1"/>
          <w:szCs w:val="22"/>
        </w:rPr>
        <w:t xml:space="preserve">across the </w:t>
      </w:r>
      <w:r w:rsidR="007F6948">
        <w:rPr>
          <w:color w:val="000000" w:themeColor="text1"/>
          <w:szCs w:val="22"/>
        </w:rPr>
        <w:t>Great Barrier Reef</w:t>
      </w:r>
      <w:r w:rsidR="007542FC" w:rsidRPr="00EC1FE9">
        <w:rPr>
          <w:color w:val="000000" w:themeColor="text1"/>
          <w:szCs w:val="22"/>
        </w:rPr>
        <w:t xml:space="preserve"> </w:t>
      </w:r>
      <w:r w:rsidR="00C75D25" w:rsidRPr="00EC1FE9">
        <w:rPr>
          <w:color w:val="000000" w:themeColor="text1"/>
          <w:szCs w:val="22"/>
        </w:rPr>
        <w:t xml:space="preserve">over the </w:t>
      </w:r>
      <w:r w:rsidR="008574EC">
        <w:rPr>
          <w:color w:val="000000" w:themeColor="text1"/>
          <w:szCs w:val="22"/>
        </w:rPr>
        <w:t>2016–17</w:t>
      </w:r>
      <w:r w:rsidR="00C75D25" w:rsidRPr="00EC1FE9">
        <w:rPr>
          <w:color w:val="000000" w:themeColor="text1"/>
          <w:szCs w:val="22"/>
        </w:rPr>
        <w:t xml:space="preserve"> monitoring period </w:t>
      </w:r>
      <w:r w:rsidRPr="00EC1FE9">
        <w:rPr>
          <w:color w:val="000000" w:themeColor="text1"/>
          <w:szCs w:val="22"/>
        </w:rPr>
        <w:t xml:space="preserve">were </w:t>
      </w:r>
      <w:r w:rsidR="00C75D25" w:rsidRPr="00EC1FE9">
        <w:rPr>
          <w:color w:val="000000" w:themeColor="text1"/>
          <w:szCs w:val="22"/>
        </w:rPr>
        <w:t>the highest recorded since MMP monitoring commenced in</w:t>
      </w:r>
      <w:r w:rsidRPr="00EC1FE9">
        <w:rPr>
          <w:color w:val="000000" w:themeColor="text1"/>
          <w:szCs w:val="22"/>
        </w:rPr>
        <w:t xml:space="preserve"> 2005-06 (</w:t>
      </w:r>
      <w:r w:rsidR="001851D6">
        <w:rPr>
          <w:color w:val="000000" w:themeColor="text1"/>
          <w:szCs w:val="22"/>
        </w:rPr>
        <w:fldChar w:fldCharType="begin"/>
      </w:r>
      <w:r w:rsidR="001851D6">
        <w:rPr>
          <w:color w:val="000000" w:themeColor="text1"/>
          <w:szCs w:val="22"/>
        </w:rPr>
        <w:instrText xml:space="preserve"> REF _Ref442455092 \h </w:instrText>
      </w:r>
      <w:r w:rsidR="001851D6">
        <w:rPr>
          <w:color w:val="000000" w:themeColor="text1"/>
          <w:szCs w:val="22"/>
        </w:rPr>
      </w:r>
      <w:r w:rsidR="001851D6">
        <w:rPr>
          <w:color w:val="000000" w:themeColor="text1"/>
          <w:szCs w:val="22"/>
        </w:rPr>
        <w:fldChar w:fldCharType="separate"/>
      </w:r>
      <w:r w:rsidR="00F87DF9" w:rsidRPr="00160A10">
        <w:t xml:space="preserve">Figure </w:t>
      </w:r>
      <w:r w:rsidR="00F87DF9">
        <w:rPr>
          <w:noProof/>
        </w:rPr>
        <w:t>14</w:t>
      </w:r>
      <w:r w:rsidR="001851D6">
        <w:rPr>
          <w:color w:val="000000" w:themeColor="text1"/>
          <w:szCs w:val="22"/>
        </w:rPr>
        <w:fldChar w:fldCharType="end"/>
      </w:r>
      <w:r w:rsidRPr="00EC1FE9">
        <w:rPr>
          <w:color w:val="000000" w:themeColor="text1"/>
          <w:szCs w:val="22"/>
        </w:rPr>
        <w:t>)</w:t>
      </w:r>
      <w:r w:rsidR="0084376A" w:rsidRPr="00EC1FE9">
        <w:rPr>
          <w:color w:val="000000" w:themeColor="text1"/>
          <w:szCs w:val="22"/>
        </w:rPr>
        <w:t>.</w:t>
      </w:r>
      <w:r w:rsidR="00C75D25" w:rsidRPr="00EC1FE9">
        <w:rPr>
          <w:color w:val="000000" w:themeColor="text1"/>
          <w:szCs w:val="22"/>
        </w:rPr>
        <w:t xml:space="preserve"> </w:t>
      </w:r>
      <w:r w:rsidR="00EC1FE9" w:rsidRPr="00EC1FE9">
        <w:rPr>
          <w:color w:val="000000" w:themeColor="text1"/>
          <w:szCs w:val="22"/>
        </w:rPr>
        <w:t>E</w:t>
      </w:r>
      <w:r w:rsidR="00C75D25" w:rsidRPr="00EC1FE9">
        <w:rPr>
          <w:color w:val="000000" w:themeColor="text1"/>
          <w:szCs w:val="22"/>
        </w:rPr>
        <w:t xml:space="preserve">stuarine habitats were </w:t>
      </w:r>
      <w:r w:rsidR="00EC1FE9" w:rsidRPr="00EC1FE9">
        <w:rPr>
          <w:color w:val="000000" w:themeColor="text1"/>
          <w:szCs w:val="22"/>
        </w:rPr>
        <w:t>the only habitats that did not reach</w:t>
      </w:r>
      <w:r w:rsidR="00C75D25" w:rsidRPr="00EC1FE9">
        <w:rPr>
          <w:color w:val="000000" w:themeColor="text1"/>
          <w:szCs w:val="22"/>
        </w:rPr>
        <w:t xml:space="preserve"> the highest recorded in </w:t>
      </w:r>
      <w:r w:rsidR="00EC1FE9" w:rsidRPr="00EC1FE9">
        <w:rPr>
          <w:color w:val="000000" w:themeColor="text1"/>
          <w:szCs w:val="22"/>
        </w:rPr>
        <w:t xml:space="preserve">since 2005-06, but they were none-the-less above the long-term average. </w:t>
      </w:r>
    </w:p>
    <w:p w14:paraId="75B631AF" w14:textId="77777777" w:rsidR="00811ABE" w:rsidRPr="00EA10D7" w:rsidRDefault="00FA2DA3"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589DFB88" wp14:editId="650298DC">
            <wp:extent cx="4320000" cy="1276847"/>
            <wp:effectExtent l="0" t="0" r="4445" b="0"/>
            <wp:docPr id="232" name="Picture 232" descr="Graph of inshore intertidal sea temperature deviations from baseline for GBR seagrass habitats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GBR_temperature_deviation_2016.png"/>
                    <pic:cNvPicPr/>
                  </pic:nvPicPr>
                  <pic:blipFill>
                    <a:blip r:embed="rId51">
                      <a:extLst>
                        <a:ext uri="{28A0092B-C50C-407E-A947-70E740481C1C}">
                          <a14:useLocalDpi xmlns:a14="http://schemas.microsoft.com/office/drawing/2010/main" val="0"/>
                        </a:ext>
                      </a:extLst>
                    </a:blip>
                    <a:stretch>
                      <a:fillRect/>
                    </a:stretch>
                  </pic:blipFill>
                  <pic:spPr>
                    <a:xfrm>
                      <a:off x="0" y="0"/>
                      <a:ext cx="4320000" cy="1276847"/>
                    </a:xfrm>
                    <a:prstGeom prst="rect">
                      <a:avLst/>
                    </a:prstGeom>
                  </pic:spPr>
                </pic:pic>
              </a:graphicData>
            </a:graphic>
          </wp:inline>
        </w:drawing>
      </w:r>
    </w:p>
    <w:p w14:paraId="699D0F77" w14:textId="49B47403" w:rsidR="00811ABE" w:rsidRPr="00160A10" w:rsidRDefault="00811ABE" w:rsidP="00811ABE">
      <w:pPr>
        <w:rPr>
          <w:i/>
          <w:vanish/>
          <w:szCs w:val="22"/>
          <w:specVanish/>
        </w:rPr>
      </w:pPr>
      <w:bookmarkStart w:id="158" w:name="_Ref442455092"/>
      <w:bookmarkStart w:id="159" w:name="_Toc516053224"/>
      <w:r w:rsidRPr="00160A10">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14</w:t>
      </w:r>
      <w:r w:rsidR="00C506C7">
        <w:rPr>
          <w:noProof/>
        </w:rPr>
        <w:fldChar w:fldCharType="end"/>
      </w:r>
      <w:bookmarkEnd w:id="158"/>
      <w:r w:rsidRPr="00160A10">
        <w:t xml:space="preserve">. </w:t>
      </w:r>
      <w:r w:rsidRPr="00160A10">
        <w:rPr>
          <w:i/>
        </w:rPr>
        <w:t xml:space="preserve">Inshore intertidal sea temperature deviations from baseline for </w:t>
      </w:r>
      <w:r w:rsidR="007F6948">
        <w:rPr>
          <w:i/>
        </w:rPr>
        <w:t>Great Barrier Reef</w:t>
      </w:r>
      <w:r w:rsidRPr="00160A10">
        <w:rPr>
          <w:i/>
        </w:rPr>
        <w:t xml:space="preserve"> seagrass habitats 2003 to 201</w:t>
      </w:r>
      <w:r w:rsidR="00160A10" w:rsidRPr="00160A10">
        <w:rPr>
          <w:i/>
        </w:rPr>
        <w:t>7</w:t>
      </w:r>
      <w:r w:rsidRPr="00160A10">
        <w:rPr>
          <w:i/>
        </w:rPr>
        <w:t>.</w:t>
      </w:r>
      <w:bookmarkEnd w:id="159"/>
      <w:r w:rsidRPr="00160A10">
        <w:rPr>
          <w:i/>
        </w:rPr>
        <w:t xml:space="preserve"> </w:t>
      </w:r>
    </w:p>
    <w:p w14:paraId="4967430A" w14:textId="49CBC10A" w:rsidR="00811ABE" w:rsidRPr="00160A10" w:rsidRDefault="00811ABE" w:rsidP="00811ABE">
      <w:r w:rsidRPr="00160A10">
        <w:rPr>
          <w:i/>
        </w:rPr>
        <w:t>Data presented are deviations from 1</w:t>
      </w:r>
      <w:r w:rsidR="00BA64B5" w:rsidRPr="00160A10">
        <w:rPr>
          <w:i/>
        </w:rPr>
        <w:t>3</w:t>
      </w:r>
      <w:r w:rsidRPr="00160A10">
        <w:rPr>
          <w:i/>
        </w:rPr>
        <w:t>-year mean weekly temperature records (based on records from September 2003 to June 201</w:t>
      </w:r>
      <w:r w:rsidR="00160A10" w:rsidRPr="00160A10">
        <w:rPr>
          <w:i/>
        </w:rPr>
        <w:t>7</w:t>
      </w:r>
      <w:r w:rsidRPr="00160A10">
        <w:rPr>
          <w:i/>
        </w:rPr>
        <w:t xml:space="preserve">). Weeks above the long-term average are represented as red bars and the magnitude of their deviation from the mean represented by the length of the bars, </w:t>
      </w:r>
      <w:r w:rsidR="00D10F46">
        <w:rPr>
          <w:i/>
        </w:rPr>
        <w:t xml:space="preserve">blue </w:t>
      </w:r>
      <w:r w:rsidRPr="00160A10">
        <w:rPr>
          <w:i/>
        </w:rPr>
        <w:t xml:space="preserve">bars </w:t>
      </w:r>
      <w:r w:rsidR="00D10F46">
        <w:rPr>
          <w:i/>
        </w:rPr>
        <w:t>represent</w:t>
      </w:r>
      <w:r w:rsidRPr="00160A10">
        <w:rPr>
          <w:i/>
        </w:rPr>
        <w:t xml:space="preserve"> weeks with temperatures lower than the average and are </w:t>
      </w:r>
      <w:r w:rsidR="002D353D" w:rsidRPr="00160A10">
        <w:rPr>
          <w:i/>
        </w:rPr>
        <w:t>plotted as negative deviations.</w:t>
      </w:r>
    </w:p>
    <w:p w14:paraId="1983A54F" w14:textId="77777777" w:rsidR="00811ABE" w:rsidRPr="00D05CE6" w:rsidRDefault="000A1B85"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1C4F33A" wp14:editId="46E36F3A">
            <wp:extent cx="4315209" cy="1836000"/>
            <wp:effectExtent l="0" t="0" r="0" b="0"/>
            <wp:docPr id="228" name="Picture 228" descr="Graph showing number of days when inshore sub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Temperature_exceedance_subtidal_NRM_Nov16.png"/>
                    <pic:cNvPicPr/>
                  </pic:nvPicPr>
                  <pic:blipFill>
                    <a:blip r:embed="rId52">
                      <a:extLst>
                        <a:ext uri="{28A0092B-C50C-407E-A947-70E740481C1C}">
                          <a14:useLocalDpi xmlns:a14="http://schemas.microsoft.com/office/drawing/2010/main" val="0"/>
                        </a:ext>
                      </a:extLst>
                    </a:blip>
                    <a:stretch>
                      <a:fillRect/>
                    </a:stretch>
                  </pic:blipFill>
                  <pic:spPr>
                    <a:xfrm>
                      <a:off x="0" y="0"/>
                      <a:ext cx="4315209" cy="1836000"/>
                    </a:xfrm>
                    <a:prstGeom prst="rect">
                      <a:avLst/>
                    </a:prstGeom>
                  </pic:spPr>
                </pic:pic>
              </a:graphicData>
            </a:graphic>
          </wp:inline>
        </w:drawing>
      </w:r>
    </w:p>
    <w:p w14:paraId="6A6996E5" w14:textId="3B2F0A5F" w:rsidR="00811ABE" w:rsidRPr="00160A10" w:rsidRDefault="00811ABE" w:rsidP="00811ABE">
      <w:pPr>
        <w:rPr>
          <w:i/>
          <w:vanish/>
          <w:specVanish/>
        </w:rPr>
      </w:pPr>
      <w:bookmarkStart w:id="160" w:name="_Toc516053225"/>
      <w:r w:rsidRPr="00160A10">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w:t>
      </w:r>
      <w:r w:rsidR="00C506C7">
        <w:rPr>
          <w:noProof/>
        </w:rPr>
        <w:fldChar w:fldCharType="end"/>
      </w:r>
      <w:r w:rsidRPr="00160A10">
        <w:t xml:space="preserve">. </w:t>
      </w:r>
      <w:r w:rsidRPr="00160A10">
        <w:rPr>
          <w:i/>
        </w:rPr>
        <w:t>Number of days when inshore subtidal sea temperature exceeded 35°C, 38°C, 40°C and 43°C in each monitoring period in each NRM region.</w:t>
      </w:r>
      <w:bookmarkEnd w:id="160"/>
      <w:r w:rsidRPr="00160A10">
        <w:rPr>
          <w:i/>
          <w:vanish/>
          <w:specVanish/>
        </w:rPr>
        <w:t xml:space="preserve"> </w:t>
      </w:r>
    </w:p>
    <w:p w14:paraId="6FCECF2B" w14:textId="0D29DC35" w:rsidR="00811ABE" w:rsidRPr="00160A10" w:rsidRDefault="00811ABE" w:rsidP="00811ABE">
      <w:r w:rsidRPr="00160A10">
        <w:rPr>
          <w:i/>
        </w:rPr>
        <w:t xml:space="preserve"> Thresholds adapted from </w:t>
      </w:r>
      <w:r w:rsidR="00644A84" w:rsidRPr="00160A10">
        <w:rPr>
          <w:i/>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ZXQgYWwuPC9zdHlsZT4gMjAxMmI8L0Rpc3BsYXlUZXh0PjxyZWNvcmQ+PHJlYy1udW1iZXI+Mjg5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00521D93">
        <w:rPr>
          <w:i/>
        </w:rPr>
        <w:instrText xml:space="preserve"> ADDIN EN.CITE </w:instrText>
      </w:r>
      <w:r w:rsidR="00521D93">
        <w:rPr>
          <w:i/>
        </w:rPr>
        <w:fldChar w:fldCharType="begin">
          <w:fldData xml:space="preserve">PEVuZE5vdGU+PENpdGU+PEF1dGhvcj5DYW1wYmVsbDwvQXV0aG9yPjxZZWFyPjIwMDY8L1llYXI+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PHBhZ2VzPjQ1NS00Njg8L3BhZ2VzPjx2b2x1bWU+MzMwPC92b2x1bWU+PGRhdGVzPjx5ZWFyPjIw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</w:fldData>
        </w:fldChar>
      </w:r>
      <w:r w:rsidR="00521D93">
        <w:rPr>
          <w:i/>
        </w:rPr>
        <w:instrText xml:space="preserve"> ADDIN EN.CITE.DATA </w:instrText>
      </w:r>
      <w:r w:rsidR="00521D93">
        <w:rPr>
          <w:i/>
        </w:rPr>
      </w:r>
      <w:r w:rsidR="00521D93">
        <w:rPr>
          <w:i/>
        </w:rPr>
        <w:fldChar w:fldCharType="end"/>
      </w:r>
      <w:r w:rsidR="00644A84" w:rsidRPr="00160A10">
        <w:rPr>
          <w:i/>
        </w:rPr>
      </w:r>
      <w:r w:rsidR="00644A84" w:rsidRPr="00160A10">
        <w:rPr>
          <w:i/>
        </w:rPr>
        <w:fldChar w:fldCharType="separate"/>
      </w:r>
      <w:hyperlink w:anchor="_ENREF_30" w:tooltip="Campbell, 2006 #2896" w:history="1">
        <w:r w:rsidR="00305FE7">
          <w:rPr>
            <w:i/>
            <w:noProof/>
          </w:rPr>
          <w:t>Campbell et al. 2006</w:t>
        </w:r>
      </w:hyperlink>
      <w:r w:rsidR="00521D93">
        <w:rPr>
          <w:i/>
          <w:noProof/>
        </w:rPr>
        <w:t xml:space="preserve">; </w:t>
      </w:r>
      <w:hyperlink w:anchor="_ENREF_58" w:tooltip="Collier, 2012 #9288" w:history="1">
        <w:r w:rsidR="00305FE7">
          <w:rPr>
            <w:i/>
            <w:noProof/>
          </w:rPr>
          <w:t>Collier et al. 2012b</w:t>
        </w:r>
      </w:hyperlink>
      <w:r w:rsidR="00644A84" w:rsidRPr="00160A10">
        <w:rPr>
          <w:i/>
        </w:rPr>
        <w:fldChar w:fldCharType="end"/>
      </w:r>
      <w:r w:rsidRPr="00160A10">
        <w:t>.</w:t>
      </w:r>
    </w:p>
    <w:p w14:paraId="0827AEDB" w14:textId="77777777" w:rsidR="009817B8" w:rsidRPr="00BA12BB" w:rsidRDefault="009817B8" w:rsidP="009817B8">
      <w:pPr>
        <w:pStyle w:val="Heading3"/>
        <w:numPr>
          <w:ilvl w:val="2"/>
          <w:numId w:val="9"/>
        </w:numPr>
        <w:rPr>
          <w:rFonts w:ascii="Arial" w:hAnsi="Arial" w:cs="Arial"/>
          <w:szCs w:val="26"/>
        </w:rPr>
      </w:pPr>
      <w:bookmarkStart w:id="161" w:name="_Toc516053135"/>
      <w:r>
        <w:rPr>
          <w:rFonts w:ascii="Arial" w:hAnsi="Arial" w:cs="Arial"/>
          <w:szCs w:val="26"/>
        </w:rPr>
        <w:t>Indicators of seagrass condition</w:t>
      </w:r>
      <w:bookmarkEnd w:id="161"/>
    </w:p>
    <w:p w14:paraId="39662F52" w14:textId="0CA02C23" w:rsidR="00CB7059" w:rsidRPr="00121CDB" w:rsidRDefault="00AC2A84" w:rsidP="00B518CD">
      <w:pPr>
        <w:spacing w:after="0"/>
        <w:rPr>
          <w:rFonts w:cs="TimesNewRoman"/>
          <w:szCs w:val="22"/>
        </w:rPr>
      </w:pPr>
      <w:r w:rsidRPr="00121CDB">
        <w:rPr>
          <w:rFonts w:cs="TimesNewRoman"/>
          <w:szCs w:val="22"/>
        </w:rPr>
        <w:t xml:space="preserve">In the </w:t>
      </w:r>
      <w:r w:rsidR="008574EC">
        <w:rPr>
          <w:rFonts w:cs="TimesNewRoman"/>
          <w:szCs w:val="22"/>
        </w:rPr>
        <w:t>2016–17</w:t>
      </w:r>
      <w:r w:rsidR="00B518CD" w:rsidRPr="00121CDB">
        <w:rPr>
          <w:rFonts w:cs="TimesNewRoman"/>
          <w:szCs w:val="22"/>
        </w:rPr>
        <w:t xml:space="preserve"> monitoring period, </w:t>
      </w:r>
      <w:r w:rsidR="003278C5" w:rsidRPr="00121CDB">
        <w:rPr>
          <w:rFonts w:cs="TimesNewRoman"/>
          <w:szCs w:val="22"/>
        </w:rPr>
        <w:t xml:space="preserve">the seagrass abundance score was poor in all regions except the </w:t>
      </w:r>
      <w:r w:rsidR="00C91CDD">
        <w:rPr>
          <w:rFonts w:cs="TimesNewRoman"/>
          <w:szCs w:val="22"/>
        </w:rPr>
        <w:t xml:space="preserve">Cape York and </w:t>
      </w:r>
      <w:r w:rsidR="003278C5" w:rsidRPr="00121CDB">
        <w:rPr>
          <w:rFonts w:cs="TimesNewRoman"/>
          <w:szCs w:val="22"/>
        </w:rPr>
        <w:t>Burdekin region</w:t>
      </w:r>
      <w:r w:rsidR="00C91CDD">
        <w:rPr>
          <w:rFonts w:cs="TimesNewRoman"/>
          <w:szCs w:val="22"/>
        </w:rPr>
        <w:t>s</w:t>
      </w:r>
      <w:r w:rsidR="003278C5" w:rsidRPr="00121CDB">
        <w:rPr>
          <w:rFonts w:cs="TimesNewRoman"/>
          <w:szCs w:val="22"/>
        </w:rPr>
        <w:t xml:space="preserve"> (</w:t>
      </w:r>
      <w:r w:rsidR="003278C5" w:rsidRPr="00121CDB">
        <w:rPr>
          <w:rFonts w:cs="TimesNewRoman"/>
          <w:szCs w:val="22"/>
        </w:rPr>
        <w:fldChar w:fldCharType="begin"/>
      </w:r>
      <w:r w:rsidR="003278C5" w:rsidRPr="00121CDB">
        <w:rPr>
          <w:rFonts w:cs="TimesNewRoman"/>
          <w:szCs w:val="22"/>
        </w:rPr>
        <w:instrText xml:space="preserve"> REF _Ref442456179 \h </w:instrText>
      </w:r>
      <w:r w:rsidR="003278C5" w:rsidRPr="00121CDB">
        <w:rPr>
          <w:rFonts w:cs="TimesNewRoman"/>
          <w:szCs w:val="22"/>
        </w:rPr>
      </w:r>
      <w:r w:rsidR="003278C5" w:rsidRPr="00121CDB">
        <w:rPr>
          <w:rFonts w:cs="TimesNewRoman"/>
          <w:szCs w:val="22"/>
        </w:rPr>
        <w:fldChar w:fldCharType="separate"/>
      </w:r>
      <w:r w:rsidR="00F87DF9" w:rsidRPr="00FA7D64">
        <w:rPr>
          <w:color w:val="000000"/>
        </w:rPr>
        <w:t xml:space="preserve">Figure </w:t>
      </w:r>
      <w:r w:rsidR="00F87DF9">
        <w:rPr>
          <w:noProof/>
          <w:color w:val="000000"/>
        </w:rPr>
        <w:t>16</w:t>
      </w:r>
      <w:r w:rsidR="003278C5" w:rsidRPr="00121CDB">
        <w:rPr>
          <w:rFonts w:cs="TimesNewRoman"/>
          <w:szCs w:val="22"/>
        </w:rPr>
        <w:fldChar w:fldCharType="end"/>
      </w:r>
      <w:r w:rsidR="003278C5" w:rsidRPr="00121CDB">
        <w:rPr>
          <w:rFonts w:cs="TimesNewRoman"/>
          <w:szCs w:val="22"/>
        </w:rPr>
        <w:t xml:space="preserve">). Furthermore, the score declined from moderate in Mackay Whitsunday and Burnett Mary regions. </w:t>
      </w:r>
      <w:r w:rsidR="003278C5" w:rsidRPr="00121CDB">
        <w:rPr>
          <w:szCs w:val="22"/>
        </w:rPr>
        <w:t xml:space="preserve">Increases in the abundance score in </w:t>
      </w:r>
      <w:r w:rsidR="008574EC">
        <w:rPr>
          <w:szCs w:val="22"/>
        </w:rPr>
        <w:t>2016–17</w:t>
      </w:r>
      <w:r w:rsidR="003278C5" w:rsidRPr="00121CDB">
        <w:rPr>
          <w:szCs w:val="22"/>
        </w:rPr>
        <w:t xml:space="preserve"> compared to the previous monitoring occurred in the Wet Tropics, Burdekin and Fitzroy NRMs, but </w:t>
      </w:r>
      <w:r w:rsidR="00843231" w:rsidRPr="00121CDB">
        <w:rPr>
          <w:szCs w:val="22"/>
        </w:rPr>
        <w:t xml:space="preserve">the Burdekin </w:t>
      </w:r>
      <w:r w:rsidR="00843231">
        <w:rPr>
          <w:szCs w:val="22"/>
        </w:rPr>
        <w:t xml:space="preserve">was the only region wich </w:t>
      </w:r>
      <w:r w:rsidR="003278C5" w:rsidRPr="00121CDB">
        <w:rPr>
          <w:szCs w:val="22"/>
        </w:rPr>
        <w:t xml:space="preserve">improved in </w:t>
      </w:r>
      <w:r w:rsidR="00843231">
        <w:rPr>
          <w:szCs w:val="22"/>
        </w:rPr>
        <w:t>grade</w:t>
      </w:r>
      <w:r w:rsidR="003278C5" w:rsidRPr="00121CDB">
        <w:rPr>
          <w:szCs w:val="22"/>
        </w:rPr>
        <w:t xml:space="preserve"> (from moderate to good) (</w:t>
      </w:r>
      <w:r w:rsidR="001851D6" w:rsidRPr="00121CDB">
        <w:rPr>
          <w:szCs w:val="22"/>
        </w:rPr>
        <w:fldChar w:fldCharType="begin"/>
      </w:r>
      <w:r w:rsidR="001851D6" w:rsidRPr="00121CDB">
        <w:rPr>
          <w:szCs w:val="22"/>
        </w:rPr>
        <w:instrText xml:space="preserve"> REF _Ref442456179 \h </w:instrText>
      </w:r>
      <w:r w:rsidR="001851D6" w:rsidRPr="00121CDB">
        <w:rPr>
          <w:szCs w:val="22"/>
        </w:rPr>
      </w:r>
      <w:r w:rsidR="001851D6" w:rsidRPr="00121CDB">
        <w:rPr>
          <w:szCs w:val="22"/>
        </w:rPr>
        <w:fldChar w:fldCharType="separate"/>
      </w:r>
      <w:r w:rsidR="00F87DF9" w:rsidRPr="00FA7D64">
        <w:rPr>
          <w:color w:val="000000"/>
        </w:rPr>
        <w:t xml:space="preserve">Figure </w:t>
      </w:r>
      <w:r w:rsidR="00F87DF9">
        <w:rPr>
          <w:noProof/>
          <w:color w:val="000000"/>
        </w:rPr>
        <w:t>16</w:t>
      </w:r>
      <w:r w:rsidR="001851D6" w:rsidRPr="00121CDB">
        <w:rPr>
          <w:szCs w:val="22"/>
        </w:rPr>
        <w:fldChar w:fldCharType="end"/>
      </w:r>
      <w:r w:rsidR="003278C5" w:rsidRPr="00121CDB">
        <w:rPr>
          <w:szCs w:val="22"/>
        </w:rPr>
        <w:t>).</w:t>
      </w:r>
    </w:p>
    <w:p w14:paraId="3F43ED57" w14:textId="18B26040" w:rsidR="00B518CD" w:rsidRPr="003278C5" w:rsidRDefault="00B518CD" w:rsidP="00B518CD">
      <w:pPr>
        <w:spacing w:after="0"/>
        <w:rPr>
          <w:color w:val="000000" w:themeColor="text1"/>
          <w:szCs w:val="22"/>
        </w:rPr>
      </w:pPr>
      <w:r w:rsidRPr="00121CDB">
        <w:rPr>
          <w:szCs w:val="22"/>
        </w:rPr>
        <w:t xml:space="preserve">Seagrass abundance </w:t>
      </w:r>
      <w:r w:rsidR="00CB7059" w:rsidRPr="00121CDB">
        <w:rPr>
          <w:szCs w:val="22"/>
        </w:rPr>
        <w:t>(</w:t>
      </w:r>
      <w:r w:rsidR="0063478C" w:rsidRPr="00121CDB">
        <w:rPr>
          <w:szCs w:val="22"/>
        </w:rPr>
        <w:t>per cent</w:t>
      </w:r>
      <w:r w:rsidR="00CB7059" w:rsidRPr="00121CDB">
        <w:rPr>
          <w:szCs w:val="22"/>
        </w:rPr>
        <w:t xml:space="preserve"> cover) </w:t>
      </w:r>
      <w:r w:rsidRPr="00121CDB">
        <w:rPr>
          <w:szCs w:val="22"/>
        </w:rPr>
        <w:t>at meadows monitored in the MMP declined from 2005-06 until 2012-13, af</w:t>
      </w:r>
      <w:r w:rsidR="00784B8E" w:rsidRPr="00121CDB">
        <w:rPr>
          <w:szCs w:val="22"/>
        </w:rPr>
        <w:t>ter which abundances increased</w:t>
      </w:r>
      <w:r w:rsidRPr="00121CDB">
        <w:rPr>
          <w:szCs w:val="22"/>
        </w:rPr>
        <w:t>. Based on the average score against the seagrass guidelines (determined at the site level), the abundance of inshore s</w:t>
      </w:r>
      <w:r w:rsidR="00D72735" w:rsidRPr="00121CDB">
        <w:rPr>
          <w:szCs w:val="22"/>
        </w:rPr>
        <w:t xml:space="preserve">eagrass in the </w:t>
      </w:r>
      <w:r w:rsidR="007F6948">
        <w:rPr>
          <w:szCs w:val="22"/>
        </w:rPr>
        <w:t>Great Barrier Reef</w:t>
      </w:r>
      <w:r w:rsidR="00D72735" w:rsidRPr="00121CDB">
        <w:rPr>
          <w:szCs w:val="22"/>
        </w:rPr>
        <w:t xml:space="preserve"> over the </w:t>
      </w:r>
      <w:r w:rsidR="008574EC">
        <w:rPr>
          <w:color w:val="000000" w:themeColor="text1"/>
          <w:szCs w:val="22"/>
        </w:rPr>
        <w:t>2016–17</w:t>
      </w:r>
      <w:r w:rsidRPr="003278C5">
        <w:rPr>
          <w:color w:val="000000" w:themeColor="text1"/>
          <w:szCs w:val="22"/>
        </w:rPr>
        <w:t xml:space="preserve"> period </w:t>
      </w:r>
      <w:r w:rsidR="003278C5" w:rsidRPr="003278C5">
        <w:rPr>
          <w:color w:val="000000" w:themeColor="text1"/>
          <w:szCs w:val="22"/>
        </w:rPr>
        <w:t>reduced</w:t>
      </w:r>
      <w:r w:rsidR="00D72735" w:rsidRPr="003278C5">
        <w:rPr>
          <w:color w:val="000000" w:themeColor="text1"/>
          <w:szCs w:val="22"/>
        </w:rPr>
        <w:t xml:space="preserve"> </w:t>
      </w:r>
      <w:r w:rsidR="003278C5" w:rsidRPr="003278C5">
        <w:rPr>
          <w:color w:val="000000" w:themeColor="text1"/>
          <w:szCs w:val="22"/>
        </w:rPr>
        <w:t>but remained in</w:t>
      </w:r>
      <w:r w:rsidR="00D72735" w:rsidRPr="003278C5">
        <w:rPr>
          <w:color w:val="000000" w:themeColor="text1"/>
          <w:szCs w:val="22"/>
        </w:rPr>
        <w:t xml:space="preserve"> a </w:t>
      </w:r>
      <w:r w:rsidR="00D72735" w:rsidRPr="003278C5">
        <w:rPr>
          <w:b/>
          <w:color w:val="000000" w:themeColor="text1"/>
          <w:szCs w:val="22"/>
        </w:rPr>
        <w:t>moderate</w:t>
      </w:r>
      <w:r w:rsidRPr="003278C5">
        <w:rPr>
          <w:b/>
          <w:color w:val="000000" w:themeColor="text1"/>
          <w:szCs w:val="22"/>
        </w:rPr>
        <w:t xml:space="preserve"> </w:t>
      </w:r>
      <w:r w:rsidR="003278C5">
        <w:rPr>
          <w:color w:val="000000" w:themeColor="text1"/>
          <w:szCs w:val="22"/>
        </w:rPr>
        <w:t>state (</w:t>
      </w:r>
      <w:r w:rsidR="001851D6">
        <w:rPr>
          <w:color w:val="000000" w:themeColor="text1"/>
          <w:szCs w:val="22"/>
        </w:rPr>
        <w:fldChar w:fldCharType="begin"/>
      </w:r>
      <w:r w:rsidR="001851D6">
        <w:rPr>
          <w:color w:val="000000" w:themeColor="text1"/>
          <w:szCs w:val="22"/>
        </w:rPr>
        <w:instrText xml:space="preserve"> REF _Ref382139194 \h </w:instrText>
      </w:r>
      <w:r w:rsidR="001851D6">
        <w:rPr>
          <w:color w:val="000000" w:themeColor="text1"/>
          <w:szCs w:val="22"/>
        </w:rPr>
      </w:r>
      <w:r w:rsidR="001851D6">
        <w:rPr>
          <w:color w:val="000000" w:themeColor="text1"/>
          <w:szCs w:val="22"/>
        </w:rPr>
        <w:fldChar w:fldCharType="separate"/>
      </w:r>
      <w:r w:rsidR="00F87DF9" w:rsidRPr="004502DF">
        <w:rPr>
          <w:color w:val="000000"/>
          <w:szCs w:val="22"/>
        </w:rPr>
        <w:t xml:space="preserve">Figure </w:t>
      </w:r>
      <w:r w:rsidR="00F87DF9">
        <w:rPr>
          <w:noProof/>
          <w:color w:val="000000"/>
          <w:szCs w:val="22"/>
        </w:rPr>
        <w:t>6</w:t>
      </w:r>
      <w:r w:rsidR="001851D6">
        <w:rPr>
          <w:color w:val="000000" w:themeColor="text1"/>
          <w:szCs w:val="22"/>
        </w:rPr>
        <w:fldChar w:fldCharType="end"/>
      </w:r>
      <w:r w:rsidR="003278C5">
        <w:rPr>
          <w:color w:val="000000" w:themeColor="text1"/>
          <w:szCs w:val="22"/>
        </w:rPr>
        <w:t>)</w:t>
      </w:r>
      <w:r w:rsidRPr="003278C5">
        <w:rPr>
          <w:color w:val="000000" w:themeColor="text1"/>
          <w:szCs w:val="22"/>
        </w:rPr>
        <w:t xml:space="preserve">. </w:t>
      </w:r>
    </w:p>
    <w:p w14:paraId="711AEC5C" w14:textId="55699EBF" w:rsidR="00B518CD" w:rsidRPr="00944511" w:rsidRDefault="00B518CD" w:rsidP="00B518CD">
      <w:pPr>
        <w:spacing w:after="0"/>
        <w:rPr>
          <w:szCs w:val="22"/>
        </w:rPr>
      </w:pPr>
    </w:p>
    <w:p w14:paraId="30EA6EB3" w14:textId="77777777" w:rsidR="00B518CD" w:rsidRPr="00D05CE6"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33DB0F09" wp14:editId="20DF6982">
            <wp:extent cx="5759447" cy="2046851"/>
            <wp:effectExtent l="0" t="0" r="0" b="0"/>
            <wp:docPr id="235" name="Picture 235" descr="Panel of six line graphs showing annual regional report card scores for seagrass abundance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INDEX_Abundance_2016.png"/>
                    <pic:cNvPicPr/>
                  </pic:nvPicPr>
                  <pic:blipFill>
                    <a:blip r:embed="rId53">
                      <a:extLst>
                        <a:ext uri="{28A0092B-C50C-407E-A947-70E740481C1C}">
                          <a14:useLocalDpi xmlns:a14="http://schemas.microsoft.com/office/drawing/2010/main" val="0"/>
                        </a:ext>
                      </a:extLst>
                    </a:blip>
                    <a:stretch>
                      <a:fillRect/>
                    </a:stretch>
                  </pic:blipFill>
                  <pic:spPr>
                    <a:xfrm>
                      <a:off x="0" y="0"/>
                      <a:ext cx="5759447" cy="2046851"/>
                    </a:xfrm>
                    <a:prstGeom prst="rect">
                      <a:avLst/>
                    </a:prstGeom>
                  </pic:spPr>
                </pic:pic>
              </a:graphicData>
            </a:graphic>
          </wp:inline>
        </w:drawing>
      </w:r>
    </w:p>
    <w:p w14:paraId="2CA58472" w14:textId="3C4F96C2" w:rsidR="00B518CD" w:rsidRPr="00FA7D64" w:rsidRDefault="00B518CD" w:rsidP="00B518CD">
      <w:pPr>
        <w:rPr>
          <w:i/>
          <w:vanish/>
          <w:color w:val="000000"/>
          <w:szCs w:val="22"/>
          <w:specVanish/>
        </w:rPr>
      </w:pPr>
      <w:bookmarkStart w:id="162" w:name="_Ref442456179"/>
      <w:bookmarkStart w:id="163" w:name="_Toc516053226"/>
      <w:r w:rsidRPr="00FA7D64">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16</w:t>
      </w:r>
      <w:r w:rsidR="0073595B">
        <w:rPr>
          <w:color w:val="000000"/>
        </w:rPr>
        <w:fldChar w:fldCharType="end"/>
      </w:r>
      <w:bookmarkEnd w:id="162"/>
      <w:r w:rsidRPr="00FA7D64">
        <w:rPr>
          <w:color w:val="000000"/>
        </w:rPr>
        <w:t xml:space="preserve">. </w:t>
      </w:r>
      <w:r w:rsidRPr="00FA7D64">
        <w:rPr>
          <w:i/>
          <w:color w:val="000000"/>
        </w:rPr>
        <w:t>Regional report card scores for seagrass abundance over the life of the MMP</w:t>
      </w:r>
      <w:bookmarkEnd w:id="163"/>
    </w:p>
    <w:p w14:paraId="64D6E4D3" w14:textId="0E234302" w:rsidR="00B518CD" w:rsidRPr="00FA7D64" w:rsidRDefault="00B518CD" w:rsidP="00B518CD">
      <w:pPr>
        <w:rPr>
          <w:color w:val="000000"/>
        </w:rPr>
      </w:pPr>
      <w:r w:rsidRPr="00FA7D64">
        <w:rPr>
          <w:i/>
          <w:color w:val="000000"/>
        </w:rPr>
        <w:t xml:space="preserve">. </w:t>
      </w:r>
      <w:r w:rsidR="007D4BE7" w:rsidRPr="007D4BE7">
        <w:rPr>
          <w:i/>
          <w:color w:val="000000"/>
        </w:rPr>
        <w:t xml:space="preserve">Bold symbol = </w:t>
      </w:r>
      <w:r w:rsidR="008574EC">
        <w:rPr>
          <w:i/>
          <w:color w:val="000000"/>
        </w:rPr>
        <w:t>2016–17</w:t>
      </w:r>
      <w:r w:rsidR="007D4BE7" w:rsidRPr="007D4BE7">
        <w:rPr>
          <w:i/>
          <w:color w:val="000000"/>
        </w:rPr>
        <w:t xml:space="preserve"> monitoring period. </w:t>
      </w:r>
      <w:r w:rsidRPr="00FA7D64">
        <w:rPr>
          <w:i/>
          <w:color w:val="000000"/>
        </w:rPr>
        <w:t>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unitless</w:t>
      </w:r>
      <w:r>
        <w:rPr>
          <w:i/>
          <w:szCs w:val="22"/>
        </w:rPr>
        <w:t>.</w:t>
      </w:r>
    </w:p>
    <w:p w14:paraId="23156392" w14:textId="79CE4956" w:rsidR="00B518CD" w:rsidRPr="003278C5" w:rsidRDefault="00B518CD" w:rsidP="00B518CD">
      <w:pPr>
        <w:rPr>
          <w:color w:val="000000" w:themeColor="text1"/>
          <w:lang w:val="en-GB"/>
        </w:rPr>
      </w:pPr>
      <w:r w:rsidRPr="003278C5">
        <w:rPr>
          <w:color w:val="000000" w:themeColor="text1"/>
          <w:lang w:val="en-GB"/>
        </w:rPr>
        <w:t xml:space="preserve">Seagrass abundance scores have fluctuated since monitoring was established. The most variable </w:t>
      </w:r>
      <w:r w:rsidR="007F6948">
        <w:rPr>
          <w:color w:val="000000" w:themeColor="text1"/>
          <w:lang w:val="en-GB"/>
        </w:rPr>
        <w:t>Great Barrier Reef</w:t>
      </w:r>
      <w:r w:rsidRPr="003278C5">
        <w:rPr>
          <w:color w:val="000000" w:themeColor="text1"/>
          <w:lang w:val="en-GB"/>
        </w:rPr>
        <w:t xml:space="preserve"> seagrass habitat in abundance score (since 2005) was </w:t>
      </w:r>
      <w:r w:rsidR="000C4B9D" w:rsidRPr="003278C5">
        <w:rPr>
          <w:color w:val="000000" w:themeColor="text1"/>
          <w:lang w:val="en-GB"/>
        </w:rPr>
        <w:t>subtidal</w:t>
      </w:r>
      <w:r w:rsidRPr="003278C5">
        <w:rPr>
          <w:color w:val="000000" w:themeColor="text1"/>
          <w:lang w:val="en-GB"/>
        </w:rPr>
        <w:t xml:space="preserve"> reef (CV=</w:t>
      </w:r>
      <w:r w:rsidR="000C4B9D" w:rsidRPr="003278C5">
        <w:rPr>
          <w:color w:val="000000" w:themeColor="text1"/>
          <w:lang w:val="en-GB"/>
        </w:rPr>
        <w:t>87</w:t>
      </w:r>
      <w:r w:rsidR="0063478C" w:rsidRPr="003278C5">
        <w:rPr>
          <w:color w:val="000000" w:themeColor="text1"/>
          <w:lang w:val="en-GB"/>
        </w:rPr>
        <w:t xml:space="preserve"> per cent</w:t>
      </w:r>
      <w:r w:rsidRPr="003278C5">
        <w:rPr>
          <w:color w:val="000000" w:themeColor="text1"/>
          <w:lang w:val="en-GB"/>
        </w:rPr>
        <w:t xml:space="preserve">), followed closely by intertidal </w:t>
      </w:r>
      <w:r w:rsidR="000C4B9D" w:rsidRPr="003278C5">
        <w:rPr>
          <w:color w:val="000000" w:themeColor="text1"/>
          <w:lang w:val="en-GB"/>
        </w:rPr>
        <w:t>reef</w:t>
      </w:r>
      <w:r w:rsidRPr="003278C5">
        <w:rPr>
          <w:color w:val="000000" w:themeColor="text1"/>
          <w:lang w:val="en-GB"/>
        </w:rPr>
        <w:t xml:space="preserve"> (CV=</w:t>
      </w:r>
      <w:r w:rsidR="000C4B9D" w:rsidRPr="003278C5">
        <w:rPr>
          <w:color w:val="000000" w:themeColor="text1"/>
          <w:lang w:val="en-GB"/>
        </w:rPr>
        <w:t>73.6</w:t>
      </w:r>
      <w:r w:rsidR="0063478C" w:rsidRPr="003278C5">
        <w:rPr>
          <w:color w:val="000000" w:themeColor="text1"/>
          <w:lang w:val="en-GB"/>
        </w:rPr>
        <w:t xml:space="preserve"> per cent</w:t>
      </w:r>
      <w:r w:rsidRPr="003278C5">
        <w:rPr>
          <w:color w:val="000000" w:themeColor="text1"/>
          <w:lang w:val="en-GB"/>
        </w:rPr>
        <w:t xml:space="preserve">), </w:t>
      </w:r>
      <w:r w:rsidR="000C4B9D" w:rsidRPr="003278C5">
        <w:rPr>
          <w:color w:val="000000" w:themeColor="text1"/>
          <w:lang w:val="en-GB"/>
        </w:rPr>
        <w:t>estuary</w:t>
      </w:r>
      <w:r w:rsidRPr="003278C5">
        <w:rPr>
          <w:color w:val="000000" w:themeColor="text1"/>
          <w:lang w:val="en-GB"/>
        </w:rPr>
        <w:t xml:space="preserve"> (CV=</w:t>
      </w:r>
      <w:r w:rsidR="000C4B9D" w:rsidRPr="003278C5">
        <w:rPr>
          <w:color w:val="000000" w:themeColor="text1"/>
          <w:lang w:val="en-GB"/>
        </w:rPr>
        <w:t>66.5</w:t>
      </w:r>
      <w:r w:rsidR="0063478C" w:rsidRPr="003278C5">
        <w:rPr>
          <w:color w:val="000000" w:themeColor="text1"/>
          <w:lang w:val="en-GB"/>
        </w:rPr>
        <w:t xml:space="preserve"> per cent</w:t>
      </w:r>
      <w:r w:rsidRPr="003278C5">
        <w:rPr>
          <w:color w:val="000000" w:themeColor="text1"/>
          <w:lang w:val="en-GB"/>
        </w:rPr>
        <w:t xml:space="preserve">) and lastly intertidal </w:t>
      </w:r>
      <w:r w:rsidR="000C4B9D" w:rsidRPr="003278C5">
        <w:rPr>
          <w:color w:val="000000" w:themeColor="text1"/>
          <w:lang w:val="en-GB"/>
        </w:rPr>
        <w:t>coast</w:t>
      </w:r>
      <w:r w:rsidRPr="003278C5">
        <w:rPr>
          <w:color w:val="000000" w:themeColor="text1"/>
          <w:lang w:val="en-GB"/>
        </w:rPr>
        <w:t xml:space="preserve"> (CV=</w:t>
      </w:r>
      <w:r w:rsidR="000C4B9D" w:rsidRPr="003278C5">
        <w:rPr>
          <w:color w:val="000000" w:themeColor="text1"/>
          <w:lang w:val="en-GB"/>
        </w:rPr>
        <w:t>57.9</w:t>
      </w:r>
      <w:r w:rsidR="0063478C" w:rsidRPr="003278C5">
        <w:rPr>
          <w:color w:val="000000" w:themeColor="text1"/>
          <w:lang w:val="en-GB"/>
        </w:rPr>
        <w:t xml:space="preserve"> per cent</w:t>
      </w:r>
      <w:r w:rsidRPr="003278C5">
        <w:rPr>
          <w:color w:val="000000" w:themeColor="text1"/>
          <w:lang w:val="en-GB"/>
        </w:rPr>
        <w:t>).</w:t>
      </w:r>
    </w:p>
    <w:p w14:paraId="0699A79E" w14:textId="590E7A0C" w:rsidR="00A00BC4" w:rsidRPr="003278C5" w:rsidRDefault="00B518CD" w:rsidP="00B518CD">
      <w:pPr>
        <w:rPr>
          <w:rFonts w:cs="TimesNewRoman"/>
          <w:color w:val="000000" w:themeColor="text1"/>
          <w:szCs w:val="22"/>
        </w:rPr>
      </w:pPr>
      <w:r w:rsidRPr="003278C5">
        <w:rPr>
          <w:rFonts w:cs="TimesNewRoman"/>
          <w:color w:val="000000" w:themeColor="text1"/>
          <w:szCs w:val="22"/>
        </w:rPr>
        <w:t>Since 1999, the</w:t>
      </w:r>
      <w:r w:rsidR="00EB0A7F" w:rsidRPr="003278C5">
        <w:rPr>
          <w:rFonts w:cs="TimesNewRoman"/>
          <w:color w:val="000000" w:themeColor="text1"/>
          <w:szCs w:val="22"/>
        </w:rPr>
        <w:t xml:space="preserve"> </w:t>
      </w:r>
      <w:r w:rsidR="00181000" w:rsidRPr="003278C5">
        <w:rPr>
          <w:rFonts w:cs="TimesNewRoman"/>
          <w:color w:val="000000" w:themeColor="text1"/>
          <w:szCs w:val="22"/>
        </w:rPr>
        <w:t>median</w:t>
      </w:r>
      <w:r w:rsidRPr="003278C5">
        <w:rPr>
          <w:rFonts w:cs="TimesNewRoman"/>
          <w:color w:val="000000" w:themeColor="text1"/>
          <w:szCs w:val="22"/>
        </w:rPr>
        <w:t xml:space="preserve"> percentage cover values for the </w:t>
      </w:r>
      <w:r w:rsidR="007F6948">
        <w:rPr>
          <w:rFonts w:cs="TimesNewRoman"/>
          <w:color w:val="000000" w:themeColor="text1"/>
          <w:szCs w:val="22"/>
        </w:rPr>
        <w:t>Great Barrier Reef</w:t>
      </w:r>
      <w:r w:rsidRPr="003278C5">
        <w:rPr>
          <w:rFonts w:cs="TimesNewRoman"/>
          <w:color w:val="000000" w:themeColor="text1"/>
          <w:szCs w:val="22"/>
        </w:rPr>
        <w:t xml:space="preserve"> were mostly below 25</w:t>
      </w:r>
      <w:r w:rsidR="0063478C" w:rsidRPr="003278C5">
        <w:rPr>
          <w:rFonts w:cs="TimesNewRoman"/>
          <w:color w:val="000000" w:themeColor="text1"/>
          <w:szCs w:val="22"/>
        </w:rPr>
        <w:t xml:space="preserve"> per cent</w:t>
      </w:r>
      <w:r w:rsidRPr="003278C5">
        <w:rPr>
          <w:rFonts w:cs="TimesNewRoman"/>
          <w:color w:val="000000" w:themeColor="text1"/>
          <w:szCs w:val="22"/>
        </w:rPr>
        <w:t xml:space="preserve"> cover, and depending on habitat, </w:t>
      </w:r>
      <w:r w:rsidR="00EB0A7F" w:rsidRPr="003278C5">
        <w:rPr>
          <w:rFonts w:cs="TimesNewRoman"/>
          <w:color w:val="000000" w:themeColor="text1"/>
          <w:szCs w:val="22"/>
        </w:rPr>
        <w:t>the 75</w:t>
      </w:r>
      <w:r w:rsidR="00EB0A7F" w:rsidRPr="003278C5">
        <w:rPr>
          <w:rFonts w:cs="TimesNewRoman"/>
          <w:color w:val="000000" w:themeColor="text1"/>
          <w:szCs w:val="22"/>
          <w:vertAlign w:val="superscript"/>
        </w:rPr>
        <w:t>th</w:t>
      </w:r>
      <w:r w:rsidR="00EB0A7F" w:rsidRPr="003278C5">
        <w:rPr>
          <w:rFonts w:cs="TimesNewRoman"/>
          <w:color w:val="000000" w:themeColor="text1"/>
          <w:szCs w:val="22"/>
        </w:rPr>
        <w:t xml:space="preserve"> percentile </w:t>
      </w:r>
      <w:r w:rsidRPr="003278C5">
        <w:rPr>
          <w:rFonts w:cs="TimesNewRoman"/>
          <w:color w:val="000000" w:themeColor="text1"/>
          <w:szCs w:val="22"/>
        </w:rPr>
        <w:t>occasionally extend</w:t>
      </w:r>
      <w:r w:rsidR="00EB0A7F" w:rsidRPr="003278C5">
        <w:rPr>
          <w:rFonts w:cs="TimesNewRoman"/>
          <w:color w:val="000000" w:themeColor="text1"/>
          <w:szCs w:val="22"/>
        </w:rPr>
        <w:t>ed</w:t>
      </w:r>
      <w:r w:rsidRPr="003278C5">
        <w:rPr>
          <w:rFonts w:cs="TimesNewRoman"/>
          <w:color w:val="000000" w:themeColor="text1"/>
          <w:szCs w:val="22"/>
        </w:rPr>
        <w:t xml:space="preserve"> beyond 50</w:t>
      </w:r>
      <w:r w:rsidR="0063478C" w:rsidRPr="003278C5">
        <w:rPr>
          <w:rFonts w:cs="TimesNewRoman"/>
          <w:color w:val="000000" w:themeColor="text1"/>
          <w:szCs w:val="22"/>
        </w:rPr>
        <w:t xml:space="preserve"> per cent</w:t>
      </w:r>
      <w:r w:rsidR="00EB0A7F" w:rsidRPr="003278C5">
        <w:rPr>
          <w:rFonts w:cs="TimesNewRoman"/>
          <w:color w:val="000000" w:themeColor="text1"/>
          <w:szCs w:val="22"/>
        </w:rPr>
        <w:t xml:space="preserve"> cover</w:t>
      </w:r>
      <w:r w:rsidRPr="003278C5">
        <w:rPr>
          <w:rFonts w:cs="TimesNewRoman"/>
          <w:color w:val="000000" w:themeColor="text1"/>
          <w:szCs w:val="22"/>
        </w:rPr>
        <w:t xml:space="preserve"> (</w:t>
      </w:r>
      <w:r w:rsidR="001851D6">
        <w:rPr>
          <w:rFonts w:cs="TimesNewRoman"/>
          <w:color w:val="000000" w:themeColor="text1"/>
          <w:szCs w:val="22"/>
        </w:rPr>
        <w:fldChar w:fldCharType="begin"/>
      </w:r>
      <w:r w:rsidR="001851D6">
        <w:rPr>
          <w:rFonts w:cs="TimesNewRoman"/>
          <w:color w:val="000000" w:themeColor="text1"/>
          <w:szCs w:val="22"/>
        </w:rPr>
        <w:instrText xml:space="preserve"> REF _Ref442456293 \h </w:instrText>
      </w:r>
      <w:r w:rsidR="001851D6">
        <w:rPr>
          <w:rFonts w:cs="TimesNewRoman"/>
          <w:color w:val="000000" w:themeColor="text1"/>
          <w:szCs w:val="22"/>
        </w:rPr>
      </w:r>
      <w:r w:rsidR="001851D6">
        <w:rPr>
          <w:rFonts w:cs="TimesNewRoman"/>
          <w:color w:val="000000" w:themeColor="text1"/>
          <w:szCs w:val="22"/>
        </w:rPr>
        <w:fldChar w:fldCharType="separate"/>
      </w:r>
      <w:r w:rsidR="00F87DF9" w:rsidRPr="00725705">
        <w:t xml:space="preserve">Figure </w:t>
      </w:r>
      <w:r w:rsidR="00F87DF9">
        <w:rPr>
          <w:noProof/>
        </w:rPr>
        <w:t>17</w:t>
      </w:r>
      <w:r w:rsidR="001851D6">
        <w:rPr>
          <w:rFonts w:cs="TimesNewRoman"/>
          <w:color w:val="000000" w:themeColor="text1"/>
          <w:szCs w:val="22"/>
        </w:rPr>
        <w:fldChar w:fldCharType="end"/>
      </w:r>
      <w:r w:rsidRPr="003278C5">
        <w:rPr>
          <w:rFonts w:cs="TimesNewRoman"/>
          <w:color w:val="000000" w:themeColor="text1"/>
          <w:szCs w:val="22"/>
        </w:rPr>
        <w:t xml:space="preserve">). These long-term percentage cover values were similar to the </w:t>
      </w:r>
      <w:r w:rsidR="007F6948">
        <w:rPr>
          <w:rFonts w:cs="TimesNewRoman"/>
          <w:color w:val="000000" w:themeColor="text1"/>
          <w:szCs w:val="22"/>
        </w:rPr>
        <w:t>Great Barrier Reef</w:t>
      </w:r>
      <w:r w:rsidRPr="003278C5">
        <w:rPr>
          <w:rFonts w:cs="TimesNewRoman"/>
          <w:color w:val="000000" w:themeColor="text1"/>
          <w:szCs w:val="22"/>
        </w:rPr>
        <w:t xml:space="preserve"> historical baselines, where surveys from Cape York to Hervey Bay (between </w:t>
      </w:r>
      <w:r w:rsidRPr="003278C5">
        <w:rPr>
          <w:color w:val="000000" w:themeColor="text1"/>
          <w:szCs w:val="22"/>
        </w:rPr>
        <w:t>November 1984 and November 1988) reported most (three-quarters) of the percent cover values fell below 50</w:t>
      </w:r>
      <w:r w:rsidR="0063478C" w:rsidRPr="003278C5">
        <w:rPr>
          <w:color w:val="000000" w:themeColor="text1"/>
          <w:szCs w:val="22"/>
        </w:rPr>
        <w:t xml:space="preserve"> per cent</w:t>
      </w:r>
      <w:r w:rsidRPr="003278C5">
        <w:rPr>
          <w:color w:val="000000" w:themeColor="text1"/>
          <w:szCs w:val="22"/>
        </w:rPr>
        <w:t xml:space="preserve"> cover (</w:t>
      </w:r>
      <w:hyperlink w:anchor="_ENREF_136" w:tooltip="Lee Long, 1993 #682" w:history="1">
        <w:r w:rsidR="00305FE7" w:rsidRPr="003278C5">
          <w:rPr>
            <w:color w:val="000000" w:themeColor="text1"/>
            <w:szCs w:val="22"/>
          </w:rPr>
          <w:fldChar w:fldCharType="begin"/>
        </w:r>
        <w:r w:rsidR="00305FE7">
          <w:rPr>
            <w:color w:val="000000" w:themeColor="text1"/>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305FE7" w:rsidRPr="003278C5">
          <w:rPr>
            <w:color w:val="000000" w:themeColor="text1"/>
            <w:szCs w:val="22"/>
          </w:rPr>
          <w:fldChar w:fldCharType="separate"/>
        </w:r>
        <w:r w:rsidR="00305FE7">
          <w:rPr>
            <w:noProof/>
            <w:color w:val="000000" w:themeColor="text1"/>
            <w:szCs w:val="22"/>
          </w:rPr>
          <w:t>Lee Long</w:t>
        </w:r>
        <w:r w:rsidR="00305FE7" w:rsidRPr="00521D93">
          <w:rPr>
            <w:i/>
            <w:noProof/>
            <w:color w:val="000000" w:themeColor="text1"/>
            <w:szCs w:val="22"/>
          </w:rPr>
          <w:t xml:space="preserve"> et al.</w:t>
        </w:r>
        <w:r w:rsidR="00305FE7">
          <w:rPr>
            <w:noProof/>
            <w:color w:val="000000" w:themeColor="text1"/>
            <w:szCs w:val="22"/>
          </w:rPr>
          <w:t xml:space="preserve"> 1993</w:t>
        </w:r>
        <w:r w:rsidR="00305FE7" w:rsidRPr="003278C5">
          <w:rPr>
            <w:color w:val="000000" w:themeColor="text1"/>
            <w:szCs w:val="22"/>
          </w:rPr>
          <w:fldChar w:fldCharType="end"/>
        </w:r>
      </w:hyperlink>
      <w:r w:rsidRPr="003278C5">
        <w:rPr>
          <w:color w:val="000000" w:themeColor="text1"/>
          <w:szCs w:val="22"/>
        </w:rPr>
        <w:t>)</w:t>
      </w:r>
      <w:r w:rsidRPr="003278C5">
        <w:rPr>
          <w:rFonts w:cs="TimesNewRoman"/>
          <w:color w:val="000000" w:themeColor="text1"/>
          <w:szCs w:val="22"/>
        </w:rPr>
        <w:t xml:space="preserve">. The findings negate the assumption that seagrass meadows of the </w:t>
      </w:r>
      <w:r w:rsidR="007F6948">
        <w:rPr>
          <w:rFonts w:cs="TimesNewRoman"/>
          <w:color w:val="000000" w:themeColor="text1"/>
          <w:szCs w:val="22"/>
        </w:rPr>
        <w:t>Great Barrier Reef</w:t>
      </w:r>
      <w:r w:rsidRPr="003278C5">
        <w:rPr>
          <w:rFonts w:cs="TimesNewRoman"/>
          <w:color w:val="000000" w:themeColor="text1"/>
          <w:szCs w:val="22"/>
        </w:rPr>
        <w:t xml:space="preserve"> should have abundances closer to 100</w:t>
      </w:r>
      <w:r w:rsidR="0063478C" w:rsidRPr="003278C5">
        <w:rPr>
          <w:rFonts w:cs="TimesNewRoman"/>
          <w:color w:val="000000" w:themeColor="text1"/>
          <w:szCs w:val="22"/>
        </w:rPr>
        <w:t xml:space="preserve"> per cent</w:t>
      </w:r>
      <w:r w:rsidRPr="003278C5">
        <w:rPr>
          <w:rFonts w:cs="TimesNewRoman"/>
          <w:color w:val="000000" w:themeColor="text1"/>
          <w:szCs w:val="22"/>
        </w:rPr>
        <w:t xml:space="preserve"> before they are categorised as good.</w:t>
      </w:r>
    </w:p>
    <w:p w14:paraId="4FC00821" w14:textId="49243670" w:rsidR="00B518CD" w:rsidRDefault="002F06F8"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0D49385D" wp14:editId="7B026E13">
            <wp:extent cx="4280068" cy="3880800"/>
            <wp:effectExtent l="0" t="0" r="6350" b="5715"/>
            <wp:docPr id="11" name="Picture 11" descr="Set of four box plot graphs showing seagrass percent cover measures per quadrat from meadows monitored from June 1999 to May 2017 (sites and habitat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BR_habitat_mmpyr-1_boxplot_Dec16.png"/>
                    <pic:cNvPicPr/>
                  </pic:nvPicPr>
                  <pic:blipFill>
                    <a:blip r:embed="rId54">
                      <a:extLst>
                        <a:ext uri="{28A0092B-C50C-407E-A947-70E740481C1C}">
                          <a14:useLocalDpi xmlns:a14="http://schemas.microsoft.com/office/drawing/2010/main" val="0"/>
                        </a:ext>
                      </a:extLst>
                    </a:blip>
                    <a:stretch>
                      <a:fillRect/>
                    </a:stretch>
                  </pic:blipFill>
                  <pic:spPr>
                    <a:xfrm>
                      <a:off x="0" y="0"/>
                      <a:ext cx="4280068" cy="3880800"/>
                    </a:xfrm>
                    <a:prstGeom prst="rect">
                      <a:avLst/>
                    </a:prstGeom>
                  </pic:spPr>
                </pic:pic>
              </a:graphicData>
            </a:graphic>
          </wp:inline>
        </w:drawing>
      </w:r>
    </w:p>
    <w:p w14:paraId="1504A884" w14:textId="4CAB7053" w:rsidR="00B518CD" w:rsidRPr="00725705" w:rsidRDefault="00B518CD" w:rsidP="00B518CD">
      <w:pPr>
        <w:rPr>
          <w:i/>
          <w:vanish/>
          <w:specVanish/>
        </w:rPr>
      </w:pPr>
      <w:bookmarkStart w:id="164" w:name="_Ref442456293"/>
      <w:bookmarkStart w:id="165" w:name="_Toc516053227"/>
      <w:r w:rsidRPr="00725705">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w:t>
      </w:r>
      <w:r w:rsidR="00C506C7">
        <w:rPr>
          <w:noProof/>
        </w:rPr>
        <w:fldChar w:fldCharType="end"/>
      </w:r>
      <w:bookmarkEnd w:id="164"/>
      <w:r w:rsidRPr="00725705">
        <w:t>. Seagrass percent cover measures per quadrat from meadows monitored from Ju</w:t>
      </w:r>
      <w:r w:rsidR="002F06F8" w:rsidRPr="00725705">
        <w:t>ne</w:t>
      </w:r>
      <w:r w:rsidRPr="00725705">
        <w:t xml:space="preserve"> 1999 to </w:t>
      </w:r>
      <w:r w:rsidR="002F06F8" w:rsidRPr="00725705">
        <w:t>May</w:t>
      </w:r>
      <w:r w:rsidRPr="00725705">
        <w:t xml:space="preserve"> 201</w:t>
      </w:r>
      <w:r w:rsidR="00725705" w:rsidRPr="00725705">
        <w:t>7</w:t>
      </w:r>
      <w:r w:rsidRPr="00725705">
        <w:t xml:space="preserve"> (sites and habitats pooled).</w:t>
      </w:r>
      <w:bookmarkEnd w:id="165"/>
      <w:r w:rsidRPr="00725705">
        <w:t xml:space="preserve"> </w:t>
      </w:r>
    </w:p>
    <w:p w14:paraId="6EC19137" w14:textId="77777777" w:rsidR="00B518CD" w:rsidRPr="00460A42" w:rsidRDefault="00B518CD" w:rsidP="00B518CD">
      <w:pPr>
        <w:rPr>
          <w:lang w:val="en-GB"/>
        </w:rPr>
      </w:pPr>
      <w:r w:rsidRPr="00725705">
        <w:rPr>
          <w:lang w:val="en-GB"/>
        </w:rPr>
        <w:t xml:space="preserve"> </w:t>
      </w:r>
      <w:r w:rsidRPr="00725705">
        <w:rPr>
          <w:i/>
        </w:rPr>
        <w:t xml:space="preserve">The box represents the interquartile range of values, where </w:t>
      </w:r>
      <w:r w:rsidRPr="00460A42">
        <w:rPr>
          <w:i/>
        </w:rPr>
        <w:t>the boundary of the box closest to zero indicates the 25</w:t>
      </w:r>
      <w:r w:rsidRPr="00B95493">
        <w:rPr>
          <w:i/>
          <w:vertAlign w:val="superscript"/>
        </w:rPr>
        <w:t>th</w:t>
      </w:r>
      <w:r w:rsidRPr="00460A42">
        <w:rPr>
          <w:i/>
        </w:rPr>
        <w:t xml:space="preserve"> percentile, a line within the box marks the median, and the boundary of the box farthest from zero indicates the 75th percentile. Whiskers (error bars) above and below the box indicate the 90</w:t>
      </w:r>
      <w:r w:rsidRPr="00B95493">
        <w:rPr>
          <w:i/>
          <w:vertAlign w:val="superscript"/>
        </w:rPr>
        <w:t>th</w:t>
      </w:r>
      <w:r w:rsidRPr="00460A42">
        <w:rPr>
          <w:i/>
        </w:rPr>
        <w:t xml:space="preserve"> and 10</w:t>
      </w:r>
      <w:r w:rsidRPr="00B95493">
        <w:rPr>
          <w:i/>
          <w:vertAlign w:val="superscript"/>
        </w:rPr>
        <w:t>th</w:t>
      </w:r>
      <w:r w:rsidRPr="00460A42">
        <w:rPr>
          <w:i/>
        </w:rPr>
        <w:t xml:space="preserve"> percentiles, and the dots represent outlying points.</w:t>
      </w:r>
      <w:r w:rsidRPr="00460A42">
        <w:rPr>
          <w:lang w:val="en-GB"/>
        </w:rPr>
        <w:t xml:space="preserve"> </w:t>
      </w:r>
    </w:p>
    <w:p w14:paraId="703968D4" w14:textId="77777777" w:rsidR="00843231" w:rsidRDefault="00843231" w:rsidP="00AC7188">
      <w:pPr>
        <w:rPr>
          <w:color w:val="000000" w:themeColor="text1"/>
          <w:szCs w:val="22"/>
        </w:rPr>
      </w:pPr>
    </w:p>
    <w:p w14:paraId="64065AF7" w14:textId="67D06E97" w:rsidR="00AC7188" w:rsidRPr="00AC7188" w:rsidRDefault="00E77C82" w:rsidP="00AC7188">
      <w:pPr>
        <w:rPr>
          <w:color w:val="000000" w:themeColor="text1"/>
          <w:lang w:val="en-GB"/>
        </w:rPr>
      </w:pPr>
      <w:r w:rsidRPr="002E6856">
        <w:rPr>
          <w:color w:val="000000" w:themeColor="text1"/>
          <w:szCs w:val="22"/>
        </w:rPr>
        <w:t>I</w:t>
      </w:r>
      <w:r w:rsidR="00C47D0A" w:rsidRPr="002E6856">
        <w:rPr>
          <w:color w:val="000000" w:themeColor="text1"/>
          <w:szCs w:val="22"/>
        </w:rPr>
        <w:t xml:space="preserve">n </w:t>
      </w:r>
      <w:r w:rsidR="008574EC">
        <w:rPr>
          <w:color w:val="000000" w:themeColor="text1"/>
          <w:szCs w:val="22"/>
        </w:rPr>
        <w:t>2016–17</w:t>
      </w:r>
      <w:r w:rsidR="00C47D0A" w:rsidRPr="002E6856">
        <w:rPr>
          <w:color w:val="000000" w:themeColor="text1"/>
          <w:szCs w:val="22"/>
        </w:rPr>
        <w:t xml:space="preserve"> coastal sites had the highest average abundance</w:t>
      </w:r>
      <w:r w:rsidR="00B518CD" w:rsidRPr="002E6856">
        <w:rPr>
          <w:color w:val="000000" w:themeColor="text1"/>
          <w:szCs w:val="22"/>
        </w:rPr>
        <w:t xml:space="preserve"> (</w:t>
      </w:r>
      <w:r w:rsidRPr="002E6856">
        <w:rPr>
          <w:color w:val="000000" w:themeColor="text1"/>
          <w:szCs w:val="22"/>
        </w:rPr>
        <w:fldChar w:fldCharType="begin"/>
      </w:r>
      <w:r w:rsidRPr="002E6856">
        <w:rPr>
          <w:color w:val="000000" w:themeColor="text1"/>
          <w:szCs w:val="22"/>
        </w:rPr>
        <w:instrText xml:space="preserve"> REF _Ref442456293 \h </w:instrText>
      </w:r>
      <w:r w:rsidRPr="002E6856">
        <w:rPr>
          <w:color w:val="000000" w:themeColor="text1"/>
          <w:szCs w:val="22"/>
        </w:rPr>
      </w:r>
      <w:r w:rsidRPr="002E6856">
        <w:rPr>
          <w:color w:val="000000" w:themeColor="text1"/>
          <w:szCs w:val="22"/>
        </w:rPr>
        <w:fldChar w:fldCharType="separate"/>
      </w:r>
      <w:r w:rsidR="00F87DF9" w:rsidRPr="00725705">
        <w:t xml:space="preserve">Figure </w:t>
      </w:r>
      <w:r w:rsidR="00F87DF9">
        <w:rPr>
          <w:noProof/>
        </w:rPr>
        <w:t>17</w:t>
      </w:r>
      <w:r w:rsidRPr="002E6856">
        <w:rPr>
          <w:color w:val="000000" w:themeColor="text1"/>
          <w:szCs w:val="22"/>
        </w:rPr>
        <w:fldChar w:fldCharType="end"/>
      </w:r>
      <w:r w:rsidRPr="002E6856">
        <w:rPr>
          <w:color w:val="000000" w:themeColor="text1"/>
          <w:szCs w:val="22"/>
        </w:rPr>
        <w:t>)</w:t>
      </w:r>
      <w:r w:rsidR="00B518CD" w:rsidRPr="002E6856">
        <w:rPr>
          <w:color w:val="000000" w:themeColor="text1"/>
          <w:szCs w:val="22"/>
        </w:rPr>
        <w:t xml:space="preserve">. Over the past decade, the patterns of seagrass abundance in each </w:t>
      </w:r>
      <w:r w:rsidR="007F6948">
        <w:rPr>
          <w:color w:val="000000" w:themeColor="text1"/>
          <w:szCs w:val="22"/>
        </w:rPr>
        <w:t>Great Barrier Reef</w:t>
      </w:r>
      <w:r w:rsidR="00B518CD" w:rsidRPr="002E6856">
        <w:rPr>
          <w:color w:val="000000" w:themeColor="text1"/>
          <w:szCs w:val="22"/>
        </w:rPr>
        <w:t xml:space="preserve"> habitat have </w:t>
      </w:r>
      <w:r w:rsidRPr="002E6856">
        <w:rPr>
          <w:color w:val="000000" w:themeColor="text1"/>
          <w:szCs w:val="22"/>
        </w:rPr>
        <w:t xml:space="preserve">been similar in coastal and reef sites, </w:t>
      </w:r>
      <w:r w:rsidR="00AC7188" w:rsidRPr="00AC7188">
        <w:rPr>
          <w:color w:val="000000" w:themeColor="text1"/>
          <w:lang w:val="en-GB"/>
        </w:rPr>
        <w:t>gradually increasing from 2001 to 2008 (with a mild depression in 2006-07 as a consequence of TC Larry)</w:t>
      </w:r>
      <w:r w:rsidR="00AC7188">
        <w:rPr>
          <w:color w:val="000000" w:themeColor="text1"/>
          <w:lang w:val="en-GB"/>
        </w:rPr>
        <w:t xml:space="preserve">. Meadow abundance </w:t>
      </w:r>
      <w:r w:rsidR="00AC7188" w:rsidRPr="00AC7188">
        <w:rPr>
          <w:color w:val="000000" w:themeColor="text1"/>
          <w:lang w:val="en-GB"/>
        </w:rPr>
        <w:t xml:space="preserve">then </w:t>
      </w:r>
      <w:r w:rsidR="00AC7188">
        <w:rPr>
          <w:color w:val="000000" w:themeColor="text1"/>
          <w:szCs w:val="22"/>
        </w:rPr>
        <w:t>declined</w:t>
      </w:r>
      <w:r w:rsidRPr="00AC7188">
        <w:rPr>
          <w:color w:val="000000" w:themeColor="text1"/>
          <w:szCs w:val="22"/>
        </w:rPr>
        <w:t xml:space="preserve"> </w:t>
      </w:r>
      <w:r w:rsidRPr="002E6856">
        <w:rPr>
          <w:color w:val="000000" w:themeColor="text1"/>
          <w:szCs w:val="22"/>
        </w:rPr>
        <w:t>in the period from 2</w:t>
      </w:r>
      <w:r w:rsidR="00AC7188">
        <w:rPr>
          <w:color w:val="000000" w:themeColor="text1"/>
          <w:szCs w:val="22"/>
        </w:rPr>
        <w:t xml:space="preserve">009 to 2011 due to above average rainfall and river discharge </w:t>
      </w:r>
      <w:r w:rsidR="00B518CD" w:rsidRPr="002E6856">
        <w:rPr>
          <w:color w:val="000000" w:themeColor="text1"/>
          <w:szCs w:val="22"/>
        </w:rPr>
        <w:t>(</w:t>
      </w:r>
      <w:r w:rsidR="001851D6">
        <w:rPr>
          <w:color w:val="000000" w:themeColor="text1"/>
        </w:rPr>
        <w:fldChar w:fldCharType="begin"/>
      </w:r>
      <w:r w:rsidR="001851D6">
        <w:rPr>
          <w:color w:val="000000" w:themeColor="text1"/>
          <w:szCs w:val="22"/>
        </w:rPr>
        <w:instrText xml:space="preserve"> REF _Ref442456518 \h </w:instrText>
      </w:r>
      <w:r w:rsidR="001851D6">
        <w:rPr>
          <w:color w:val="000000" w:themeColor="text1"/>
        </w:rPr>
      </w:r>
      <w:r w:rsidR="001851D6">
        <w:rPr>
          <w:color w:val="000000" w:themeColor="text1"/>
        </w:rPr>
        <w:fldChar w:fldCharType="separate"/>
      </w:r>
      <w:r w:rsidR="00F87DF9">
        <w:t xml:space="preserve">Figure </w:t>
      </w:r>
      <w:r w:rsidR="00F87DF9">
        <w:rPr>
          <w:noProof/>
        </w:rPr>
        <w:t>18</w:t>
      </w:r>
      <w:r w:rsidR="001851D6">
        <w:rPr>
          <w:color w:val="000000" w:themeColor="text1"/>
        </w:rPr>
        <w:fldChar w:fldCharType="end"/>
      </w:r>
      <w:r w:rsidRPr="002E6856">
        <w:rPr>
          <w:color w:val="000000" w:themeColor="text1"/>
          <w:szCs w:val="22"/>
        </w:rPr>
        <w:t xml:space="preserve">). </w:t>
      </w:r>
      <w:r w:rsidR="00AC7188" w:rsidRPr="00AC7188">
        <w:rPr>
          <w:color w:val="000000" w:themeColor="text1"/>
          <w:lang w:val="en-GB"/>
        </w:rPr>
        <w:t xml:space="preserve">The extreme weather events of early 2011 (TC Yasi) resulted in further substantial decline in inshore seagrass meadows throughout much of the </w:t>
      </w:r>
      <w:r w:rsidR="007F6948">
        <w:rPr>
          <w:color w:val="000000" w:themeColor="text1"/>
          <w:lang w:val="en-GB"/>
        </w:rPr>
        <w:t>Great Barrier Reef</w:t>
      </w:r>
      <w:r w:rsidR="00AC7188" w:rsidRPr="00AC7188">
        <w:rPr>
          <w:color w:val="000000" w:themeColor="text1"/>
          <w:lang w:val="en-GB"/>
        </w:rPr>
        <w:t xml:space="preserve">. </w:t>
      </w:r>
      <w:r w:rsidRPr="00AC7188">
        <w:rPr>
          <w:color w:val="000000" w:themeColor="text1"/>
          <w:szCs w:val="22"/>
        </w:rPr>
        <w:t xml:space="preserve">Estaurine </w:t>
      </w:r>
      <w:r w:rsidRPr="002E6856">
        <w:rPr>
          <w:color w:val="000000" w:themeColor="text1"/>
          <w:szCs w:val="22"/>
        </w:rPr>
        <w:t xml:space="preserve">habitats, which are monitored only in the south of the </w:t>
      </w:r>
      <w:r w:rsidR="007F6948">
        <w:rPr>
          <w:color w:val="000000" w:themeColor="text1"/>
          <w:szCs w:val="22"/>
        </w:rPr>
        <w:t>Great Barrier Reef</w:t>
      </w:r>
      <w:r w:rsidRPr="002E6856">
        <w:rPr>
          <w:color w:val="000000" w:themeColor="text1"/>
          <w:szCs w:val="22"/>
        </w:rPr>
        <w:t xml:space="preserve">, reached record percent cover in 2002 to 2003, </w:t>
      </w:r>
      <w:r w:rsidR="002E6856" w:rsidRPr="002E6856">
        <w:rPr>
          <w:color w:val="000000" w:themeColor="text1"/>
          <w:szCs w:val="22"/>
        </w:rPr>
        <w:t xml:space="preserve">but have remained low since 2005-06. </w:t>
      </w:r>
      <w:r w:rsidR="00B518CD" w:rsidRPr="002E6856">
        <w:rPr>
          <w:color w:val="000000" w:themeColor="text1"/>
          <w:szCs w:val="22"/>
        </w:rPr>
        <w:t xml:space="preserve">However, seagrass trends have fluctuated </w:t>
      </w:r>
      <w:r w:rsidR="002E6856" w:rsidRPr="002E6856">
        <w:rPr>
          <w:color w:val="000000" w:themeColor="text1"/>
          <w:szCs w:val="22"/>
        </w:rPr>
        <w:t xml:space="preserve">at a site level </w:t>
      </w:r>
      <w:r w:rsidR="00B518CD" w:rsidRPr="002E6856">
        <w:rPr>
          <w:color w:val="000000" w:themeColor="text1"/>
          <w:szCs w:val="22"/>
        </w:rPr>
        <w:t>in estuary habitats, most often at smaller localised scales where there have been some acute event related changes (</w:t>
      </w:r>
      <w:hyperlink w:anchor="_ENREF_156" w:tooltip="McKenzie, 2012 #9287" w:history="1">
        <w:r w:rsidR="00305FE7" w:rsidRPr="002E6856">
          <w:rPr>
            <w:color w:val="000000" w:themeColor="text1"/>
            <w:szCs w:val="22"/>
          </w:rPr>
          <w:fldChar w:fldCharType="begin"/>
        </w:r>
        <w:r w:rsidR="00305FE7" w:rsidRPr="002E6856">
          <w:rPr>
            <w:color w:val="000000" w:themeColor="text1"/>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305FE7" w:rsidRPr="002E6856">
          <w:rPr>
            <w:color w:val="000000" w:themeColor="text1"/>
            <w:szCs w:val="22"/>
          </w:rPr>
          <w:fldChar w:fldCharType="separate"/>
        </w:r>
        <w:r w:rsidR="00305FE7" w:rsidRPr="002E6856">
          <w:rPr>
            <w:noProof/>
            <w:color w:val="000000" w:themeColor="text1"/>
            <w:szCs w:val="22"/>
          </w:rPr>
          <w:t>McKenzie</w:t>
        </w:r>
        <w:r w:rsidR="00305FE7" w:rsidRPr="002E6856">
          <w:rPr>
            <w:i/>
            <w:noProof/>
            <w:color w:val="000000" w:themeColor="text1"/>
            <w:szCs w:val="22"/>
          </w:rPr>
          <w:t xml:space="preserve"> et al.</w:t>
        </w:r>
        <w:r w:rsidR="00305FE7" w:rsidRPr="002E6856">
          <w:rPr>
            <w:noProof/>
            <w:color w:val="000000" w:themeColor="text1"/>
            <w:szCs w:val="22"/>
          </w:rPr>
          <w:t xml:space="preserve"> 2012b</w:t>
        </w:r>
        <w:r w:rsidR="00305FE7" w:rsidRPr="002E6856">
          <w:rPr>
            <w:color w:val="000000" w:themeColor="text1"/>
            <w:szCs w:val="22"/>
          </w:rPr>
          <w:fldChar w:fldCharType="end"/>
        </w:r>
      </w:hyperlink>
      <w:r w:rsidR="00B518CD" w:rsidRPr="002E6856">
        <w:rPr>
          <w:color w:val="000000" w:themeColor="text1"/>
          <w:szCs w:val="22"/>
        </w:rPr>
        <w:t xml:space="preserve">). </w:t>
      </w:r>
      <w:r w:rsidR="00AC7188" w:rsidRPr="00AC7188">
        <w:rPr>
          <w:color w:val="000000" w:themeColor="text1"/>
          <w:lang w:val="en-GB"/>
        </w:rPr>
        <w:t xml:space="preserve">Post 2011, seagrasses have progressively recovered, although by </w:t>
      </w:r>
      <w:r w:rsidR="008574EC">
        <w:rPr>
          <w:color w:val="000000" w:themeColor="text1"/>
          <w:lang w:val="en-GB"/>
        </w:rPr>
        <w:t>2016–17</w:t>
      </w:r>
      <w:r w:rsidR="00AC7188" w:rsidRPr="00AC7188">
        <w:rPr>
          <w:color w:val="000000" w:themeColor="text1"/>
          <w:lang w:val="en-GB"/>
        </w:rPr>
        <w:t xml:space="preserve"> still remained below the 2008 levels</w:t>
      </w:r>
      <w:r w:rsidR="00AC7188">
        <w:rPr>
          <w:color w:val="000000" w:themeColor="text1"/>
          <w:lang w:val="en-GB"/>
        </w:rPr>
        <w:t>, except in coastal sites which have recovered</w:t>
      </w:r>
      <w:r w:rsidR="00AC7188" w:rsidRPr="00AC7188">
        <w:rPr>
          <w:color w:val="000000" w:themeColor="text1"/>
          <w:lang w:val="en-GB"/>
        </w:rPr>
        <w:t xml:space="preserve"> (</w:t>
      </w:r>
      <w:r w:rsidR="001851D6">
        <w:rPr>
          <w:color w:val="000000" w:themeColor="text1"/>
          <w:lang w:val="en-GB"/>
        </w:rPr>
        <w:fldChar w:fldCharType="begin"/>
      </w:r>
      <w:r w:rsidR="001851D6">
        <w:rPr>
          <w:color w:val="000000" w:themeColor="text1"/>
          <w:lang w:val="en-GB"/>
        </w:rPr>
        <w:instrText xml:space="preserve"> REF _Ref442456518 \h </w:instrText>
      </w:r>
      <w:r w:rsidR="001851D6">
        <w:rPr>
          <w:color w:val="000000" w:themeColor="text1"/>
          <w:lang w:val="en-GB"/>
        </w:rPr>
      </w:r>
      <w:r w:rsidR="001851D6">
        <w:rPr>
          <w:color w:val="000000" w:themeColor="text1"/>
          <w:lang w:val="en-GB"/>
        </w:rPr>
        <w:fldChar w:fldCharType="separate"/>
      </w:r>
      <w:r w:rsidR="00F87DF9">
        <w:t xml:space="preserve">Figure </w:t>
      </w:r>
      <w:r w:rsidR="00F87DF9">
        <w:rPr>
          <w:noProof/>
        </w:rPr>
        <w:t>18</w:t>
      </w:r>
      <w:r w:rsidR="001851D6">
        <w:rPr>
          <w:color w:val="000000" w:themeColor="text1"/>
          <w:lang w:val="en-GB"/>
        </w:rPr>
        <w:fldChar w:fldCharType="end"/>
      </w:r>
      <w:r w:rsidR="00AC7188" w:rsidRPr="00AC7188">
        <w:rPr>
          <w:color w:val="000000" w:themeColor="text1"/>
          <w:lang w:val="en-GB"/>
        </w:rPr>
        <w:t xml:space="preserve">). </w:t>
      </w:r>
    </w:p>
    <w:p w14:paraId="006FB719" w14:textId="77777777" w:rsidR="009817B8" w:rsidRDefault="009817B8" w:rsidP="00A00BC4">
      <w:pPr>
        <w:rPr>
          <w:lang w:val="en-GB"/>
        </w:rPr>
      </w:pPr>
    </w:p>
    <w:p w14:paraId="58CFE7B6" w14:textId="77777777" w:rsidR="00716CE2" w:rsidRPr="00A00BC4" w:rsidRDefault="004A3BBC" w:rsidP="00716CE2">
      <w:pPr>
        <w:keepNext/>
        <w:widowControl w:val="0"/>
        <w:jc w:val="center"/>
        <w:rPr>
          <w:lang w:val="en-GB"/>
        </w:rPr>
      </w:pPr>
      <w:r>
        <w:rPr>
          <w:noProof/>
          <w:lang w:eastAsia="en-AU"/>
        </w:rPr>
        <w:drawing>
          <wp:inline distT="0" distB="0" distL="0" distR="0" wp14:anchorId="4B7CEC5C" wp14:editId="6D672D68">
            <wp:extent cx="3958835" cy="2332096"/>
            <wp:effectExtent l="0" t="0" r="3810" b="0"/>
            <wp:docPr id="237" name="Picture 237" descr="Generalised Additive Model plot of seagrass abundance (% cover) for each habitat type across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GBR wide with Habitat_GAM_Dec16.png"/>
                    <pic:cNvPicPr/>
                  </pic:nvPicPr>
                  <pic:blipFill>
                    <a:blip r:embed="rId55">
                      <a:extLst>
                        <a:ext uri="{28A0092B-C50C-407E-A947-70E740481C1C}">
                          <a14:useLocalDpi xmlns:a14="http://schemas.microsoft.com/office/drawing/2010/main" val="0"/>
                        </a:ext>
                      </a:extLst>
                    </a:blip>
                    <a:stretch>
                      <a:fillRect/>
                    </a:stretch>
                  </pic:blipFill>
                  <pic:spPr>
                    <a:xfrm>
                      <a:off x="0" y="0"/>
                      <a:ext cx="3958835" cy="2332096"/>
                    </a:xfrm>
                    <a:prstGeom prst="rect">
                      <a:avLst/>
                    </a:prstGeom>
                  </pic:spPr>
                </pic:pic>
              </a:graphicData>
            </a:graphic>
          </wp:inline>
        </w:drawing>
      </w:r>
    </w:p>
    <w:p w14:paraId="3AF922B6" w14:textId="422F7231" w:rsidR="00B518CD" w:rsidRPr="003100AA" w:rsidRDefault="00B518CD" w:rsidP="00B518CD">
      <w:pPr>
        <w:rPr>
          <w:i/>
          <w:vanish/>
          <w:specVanish/>
        </w:rPr>
      </w:pPr>
      <w:bookmarkStart w:id="166" w:name="_Ref442456518"/>
      <w:bookmarkStart w:id="167" w:name="_Toc51605322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w:t>
      </w:r>
      <w:r w:rsidR="00C506C7">
        <w:rPr>
          <w:noProof/>
        </w:rPr>
        <w:fldChar w:fldCharType="end"/>
      </w:r>
      <w:bookmarkEnd w:id="166"/>
      <w:r>
        <w:t xml:space="preserve">. </w:t>
      </w:r>
      <w:r w:rsidRPr="00AA7D8F">
        <w:rPr>
          <w:i/>
        </w:rPr>
        <w:t>Trends in seagrass abundance (</w:t>
      </w:r>
      <w:r w:rsidR="0063478C">
        <w:rPr>
          <w:i/>
        </w:rPr>
        <w:t xml:space="preserve"> per cent</w:t>
      </w:r>
      <w:r w:rsidRPr="00AA7D8F">
        <w:rPr>
          <w:i/>
        </w:rPr>
        <w:t xml:space="preserve"> cover) for each habitat type across the </w:t>
      </w:r>
      <w:r w:rsidR="007F6948">
        <w:rPr>
          <w:i/>
        </w:rPr>
        <w:t>Great Barrier Reef</w:t>
      </w:r>
      <w:r>
        <w:rPr>
          <w:i/>
        </w:rPr>
        <w:t xml:space="preserve"> represented by a GAM plot</w:t>
      </w:r>
      <w:r w:rsidRPr="00AA7D8F">
        <w:rPr>
          <w:i/>
        </w:rPr>
        <w:t>.</w:t>
      </w:r>
      <w:bookmarkEnd w:id="167"/>
      <w:r w:rsidRPr="00AA7D8F">
        <w:rPr>
          <w:i/>
        </w:rPr>
        <w:t xml:space="preserve"> </w:t>
      </w:r>
    </w:p>
    <w:p w14:paraId="02B56D26" w14:textId="2877DCE6" w:rsidR="00B518CD" w:rsidRDefault="00B518CD" w:rsidP="00B518CD">
      <w:pPr>
        <w:rPr>
          <w:lang w:val="en-GB"/>
        </w:rPr>
      </w:pPr>
      <w:r>
        <w:rPr>
          <w:lang w:val="en-GB"/>
        </w:rPr>
        <w:t xml:space="preserve"> </w:t>
      </w:r>
      <w:r w:rsidRPr="00AA7D8F">
        <w:rPr>
          <w:i/>
        </w:rPr>
        <w:t xml:space="preserve">Trends are </w:t>
      </w:r>
      <w:r>
        <w:rPr>
          <w:i/>
        </w:rPr>
        <w:t>dark</w:t>
      </w:r>
      <w:r w:rsidRPr="00AA7D8F">
        <w:rPr>
          <w:i/>
        </w:rPr>
        <w:t xml:space="preserve"> lines with shaded areas defining 95</w:t>
      </w:r>
      <w:r w:rsidR="0063478C">
        <w:rPr>
          <w:i/>
        </w:rPr>
        <w:t xml:space="preserve"> per cent</w:t>
      </w:r>
      <w:r w:rsidRPr="00AA7D8F">
        <w:rPr>
          <w:i/>
        </w:rPr>
        <w:t xml:space="preserve"> confidence intervals of those trends.</w:t>
      </w:r>
      <w:r>
        <w:rPr>
          <w:lang w:val="en-GB"/>
        </w:rPr>
        <w:t xml:space="preserve"> </w:t>
      </w:r>
    </w:p>
    <w:p w14:paraId="373C2D37" w14:textId="313CABC0" w:rsidR="00A30C31" w:rsidRDefault="00306220" w:rsidP="00B518CD">
      <w:pPr>
        <w:rPr>
          <w:lang w:val="en-GB"/>
        </w:rPr>
      </w:pPr>
      <w:r w:rsidRPr="00306220">
        <w:rPr>
          <w:lang w:val="en-GB"/>
        </w:rPr>
        <w:t xml:space="preserve">Trend analysis of seagrass abundance (mean per cent cover) across the </w:t>
      </w:r>
      <w:r w:rsidR="007F6948">
        <w:rPr>
          <w:lang w:val="en-GB"/>
        </w:rPr>
        <w:t>Great Barrier Reef</w:t>
      </w:r>
      <w:r w:rsidRPr="00306220">
        <w:rPr>
          <w:lang w:val="en-GB"/>
        </w:rPr>
        <w:t xml:space="preserve"> showed no significant long-term trend (Mann-Kendall, </w:t>
      </w:r>
      <w:r w:rsidRPr="00306220">
        <w:rPr>
          <w:i/>
          <w:lang w:val="en-GB"/>
        </w:rPr>
        <w:t>τ</w:t>
      </w:r>
      <w:r w:rsidRPr="00306220">
        <w:rPr>
          <w:lang w:val="en-GB"/>
        </w:rPr>
        <w:t xml:space="preserve"> = -0.09, </w:t>
      </w:r>
      <w:r w:rsidRPr="00306220">
        <w:rPr>
          <w:i/>
          <w:lang w:val="en-GB"/>
        </w:rPr>
        <w:t>p</w:t>
      </w:r>
      <w:r w:rsidRPr="00306220">
        <w:rPr>
          <w:lang w:val="en-GB"/>
        </w:rPr>
        <w:t xml:space="preserve"> =0.062)</w:t>
      </w:r>
      <w:r w:rsidR="00CE2453">
        <w:rPr>
          <w:lang w:val="en-GB"/>
        </w:rPr>
        <w:t xml:space="preserve">; which is to be expected due to the variability between sites, </w:t>
      </w:r>
      <w:r w:rsidR="00CE2453" w:rsidRPr="00306220">
        <w:rPr>
          <w:lang w:val="en-GB"/>
        </w:rPr>
        <w:t>locations</w:t>
      </w:r>
      <w:r w:rsidR="00CE2453">
        <w:rPr>
          <w:lang w:val="en-GB"/>
        </w:rPr>
        <w:t>,</w:t>
      </w:r>
      <w:r w:rsidR="00CE2453" w:rsidRPr="00306220">
        <w:rPr>
          <w:lang w:val="en-GB"/>
        </w:rPr>
        <w:t xml:space="preserve"> </w:t>
      </w:r>
      <w:r w:rsidRPr="00306220">
        <w:rPr>
          <w:lang w:val="en-GB"/>
        </w:rPr>
        <w:t>habitats, and seasons. Although most (67%) of sites monitored had no significant long-term trend, significant negative trends were revealed in 22% of sites, the majority of which had been monitored for a decade or more (</w:t>
      </w:r>
      <w:r>
        <w:rPr>
          <w:lang w:val="en-GB"/>
        </w:rPr>
        <w:fldChar w:fldCharType="begin"/>
      </w:r>
      <w:r>
        <w:rPr>
          <w:lang w:val="en-GB"/>
        </w:rPr>
        <w:instrText xml:space="preserve"> REF _Ref511310034 \r \h </w:instrText>
      </w:r>
      <w:r>
        <w:rPr>
          <w:lang w:val="en-GB"/>
        </w:rPr>
      </w:r>
      <w:r>
        <w:rPr>
          <w:lang w:val="en-GB"/>
        </w:rPr>
        <w:fldChar w:fldCharType="separate"/>
      </w:r>
      <w:r w:rsidR="00F87DF9">
        <w:rPr>
          <w:lang w:val="en-GB"/>
        </w:rPr>
        <w:t>Appendix 5</w:t>
      </w:r>
      <w:r>
        <w:rPr>
          <w:lang w:val="en-GB"/>
        </w:rPr>
        <w:fldChar w:fldCharType="end"/>
      </w:r>
      <w:r>
        <w:rPr>
          <w:lang w:val="en-GB"/>
        </w:rPr>
        <w:t xml:space="preserve">, </w:t>
      </w:r>
      <w:r>
        <w:rPr>
          <w:lang w:val="en-GB"/>
        </w:rPr>
        <w:fldChar w:fldCharType="begin"/>
      </w:r>
      <w:r>
        <w:rPr>
          <w:lang w:val="en-GB"/>
        </w:rPr>
        <w:instrText xml:space="preserve"> REF _Ref511310045 \h </w:instrText>
      </w:r>
      <w:r>
        <w:rPr>
          <w:lang w:val="en-GB"/>
        </w:rPr>
      </w:r>
      <w:r>
        <w:rPr>
          <w:lang w:val="en-GB"/>
        </w:rPr>
        <w:fldChar w:fldCharType="separate"/>
      </w:r>
      <w:r w:rsidR="00F87DF9">
        <w:t xml:space="preserve">Table </w:t>
      </w:r>
      <w:r w:rsidR="00F87DF9">
        <w:rPr>
          <w:noProof/>
        </w:rPr>
        <w:t>58</w:t>
      </w:r>
      <w:r>
        <w:rPr>
          <w:lang w:val="en-GB"/>
        </w:rPr>
        <w:fldChar w:fldCharType="end"/>
      </w:r>
      <w:r w:rsidRPr="00306220">
        <w:rPr>
          <w:lang w:val="en-GB"/>
        </w:rPr>
        <w:t>). Only three long-term (&gt;10 yrs) monitoring sites showed significant increasing trends and these sites were in the Burnett Mary (BH3 coast and UG2 estuary) and Burdekin (MI3 subtidal) regions (</w:t>
      </w:r>
      <w:r>
        <w:rPr>
          <w:lang w:val="en-GB"/>
        </w:rPr>
        <w:fldChar w:fldCharType="begin"/>
      </w:r>
      <w:r>
        <w:rPr>
          <w:lang w:val="en-GB"/>
        </w:rPr>
        <w:instrText xml:space="preserve"> REF _Ref511310034 \r \h </w:instrText>
      </w:r>
      <w:r>
        <w:rPr>
          <w:lang w:val="en-GB"/>
        </w:rPr>
      </w:r>
      <w:r>
        <w:rPr>
          <w:lang w:val="en-GB"/>
        </w:rPr>
        <w:fldChar w:fldCharType="separate"/>
      </w:r>
      <w:r w:rsidR="00F87DF9">
        <w:rPr>
          <w:lang w:val="en-GB"/>
        </w:rPr>
        <w:t>Appendix 5</w:t>
      </w:r>
      <w:r>
        <w:rPr>
          <w:lang w:val="en-GB"/>
        </w:rPr>
        <w:fldChar w:fldCharType="end"/>
      </w:r>
      <w:r>
        <w:rPr>
          <w:lang w:val="en-GB"/>
        </w:rPr>
        <w:t xml:space="preserve">, </w:t>
      </w:r>
      <w:r>
        <w:rPr>
          <w:lang w:val="en-GB"/>
        </w:rPr>
        <w:fldChar w:fldCharType="begin"/>
      </w:r>
      <w:r>
        <w:rPr>
          <w:lang w:val="en-GB"/>
        </w:rPr>
        <w:instrText xml:space="preserve"> REF _Ref511310045 \h </w:instrText>
      </w:r>
      <w:r>
        <w:rPr>
          <w:lang w:val="en-GB"/>
        </w:rPr>
      </w:r>
      <w:r>
        <w:rPr>
          <w:lang w:val="en-GB"/>
        </w:rPr>
        <w:fldChar w:fldCharType="separate"/>
      </w:r>
      <w:r w:rsidR="00F87DF9">
        <w:t xml:space="preserve">Table </w:t>
      </w:r>
      <w:r w:rsidR="00F87DF9">
        <w:rPr>
          <w:noProof/>
        </w:rPr>
        <w:t>58</w:t>
      </w:r>
      <w:r>
        <w:rPr>
          <w:lang w:val="en-GB"/>
        </w:rPr>
        <w:fldChar w:fldCharType="end"/>
      </w:r>
      <w:r w:rsidRPr="00306220">
        <w:rPr>
          <w:lang w:val="en-GB"/>
        </w:rPr>
        <w:t>).</w:t>
      </w:r>
      <w:r>
        <w:rPr>
          <w:lang w:val="en-GB"/>
        </w:rPr>
        <w:t xml:space="preserve"> </w:t>
      </w:r>
      <w:r w:rsidRPr="00306220">
        <w:rPr>
          <w:lang w:val="en-GB"/>
        </w:rPr>
        <w:t>The trend analysis also revealed significant declines over the long-term for the Cape York, Wet Tropics, Mackay Whitsunday and Fitzroy NRM regions, with no detectable trends for the remaining Burdekin and Burnett Mary regions (</w:t>
      </w:r>
      <w:r>
        <w:rPr>
          <w:lang w:val="en-GB"/>
        </w:rPr>
        <w:fldChar w:fldCharType="begin"/>
      </w:r>
      <w:r>
        <w:rPr>
          <w:lang w:val="en-GB"/>
        </w:rPr>
        <w:instrText xml:space="preserve"> REF _Ref511310034 \r \h </w:instrText>
      </w:r>
      <w:r>
        <w:rPr>
          <w:lang w:val="en-GB"/>
        </w:rPr>
      </w:r>
      <w:r>
        <w:rPr>
          <w:lang w:val="en-GB"/>
        </w:rPr>
        <w:fldChar w:fldCharType="separate"/>
      </w:r>
      <w:r w:rsidR="00F87DF9">
        <w:rPr>
          <w:lang w:val="en-GB"/>
        </w:rPr>
        <w:t>Appendix 5</w:t>
      </w:r>
      <w:r>
        <w:rPr>
          <w:lang w:val="en-GB"/>
        </w:rPr>
        <w:fldChar w:fldCharType="end"/>
      </w:r>
      <w:r>
        <w:rPr>
          <w:lang w:val="en-GB"/>
        </w:rPr>
        <w:t xml:space="preserve">, </w:t>
      </w:r>
      <w:r>
        <w:rPr>
          <w:lang w:val="en-GB"/>
        </w:rPr>
        <w:fldChar w:fldCharType="begin"/>
      </w:r>
      <w:r>
        <w:rPr>
          <w:lang w:val="en-GB"/>
        </w:rPr>
        <w:instrText xml:space="preserve"> REF _Ref511310045 \h </w:instrText>
      </w:r>
      <w:r>
        <w:rPr>
          <w:lang w:val="en-GB"/>
        </w:rPr>
      </w:r>
      <w:r>
        <w:rPr>
          <w:lang w:val="en-GB"/>
        </w:rPr>
        <w:fldChar w:fldCharType="separate"/>
      </w:r>
      <w:r w:rsidR="00F87DF9">
        <w:t xml:space="preserve">Table </w:t>
      </w:r>
      <w:r w:rsidR="00F87DF9">
        <w:rPr>
          <w:noProof/>
        </w:rPr>
        <w:t>58</w:t>
      </w:r>
      <w:r>
        <w:rPr>
          <w:lang w:val="en-GB"/>
        </w:rPr>
        <w:fldChar w:fldCharType="end"/>
      </w:r>
      <w:r w:rsidRPr="00306220">
        <w:rPr>
          <w:lang w:val="en-GB"/>
        </w:rPr>
        <w:t>)</w:t>
      </w:r>
      <w:r>
        <w:rPr>
          <w:lang w:val="en-GB"/>
        </w:rPr>
        <w:t>.</w:t>
      </w:r>
    </w:p>
    <w:p w14:paraId="72D48D28" w14:textId="6337C165" w:rsidR="00A30C31" w:rsidRPr="00AA54BF" w:rsidRDefault="00A30C31" w:rsidP="00E742E9">
      <w:pPr>
        <w:spacing w:after="0"/>
        <w:rPr>
          <w:rFonts w:asciiTheme="minorHAnsi" w:hAnsiTheme="minorHAnsi"/>
          <w:color w:val="000000" w:themeColor="text1"/>
          <w:szCs w:val="22"/>
        </w:rPr>
      </w:pPr>
      <w:r w:rsidRPr="00540D6A">
        <w:rPr>
          <w:rFonts w:asciiTheme="minorHAnsi" w:hAnsiTheme="minorHAnsi"/>
          <w:color w:val="000000" w:themeColor="text1"/>
          <w:szCs w:val="22"/>
        </w:rPr>
        <w:t xml:space="preserve">After the extreme weather events </w:t>
      </w:r>
      <w:r w:rsidR="000533D0" w:rsidRPr="00540D6A">
        <w:rPr>
          <w:rFonts w:asciiTheme="minorHAnsi" w:hAnsiTheme="minorHAnsi"/>
          <w:color w:val="000000" w:themeColor="text1"/>
          <w:szCs w:val="22"/>
        </w:rPr>
        <w:t>in 2009 to</w:t>
      </w:r>
      <w:r w:rsidRPr="00540D6A">
        <w:rPr>
          <w:rFonts w:asciiTheme="minorHAnsi" w:hAnsiTheme="minorHAnsi"/>
          <w:color w:val="000000" w:themeColor="text1"/>
          <w:szCs w:val="22"/>
        </w:rPr>
        <w:t xml:space="preserve"> </w:t>
      </w:r>
      <w:r w:rsidR="00181000" w:rsidRPr="00540D6A">
        <w:rPr>
          <w:rFonts w:asciiTheme="minorHAnsi" w:hAnsiTheme="minorHAnsi"/>
          <w:color w:val="000000" w:themeColor="text1"/>
          <w:szCs w:val="22"/>
        </w:rPr>
        <w:t>2011 that</w:t>
      </w:r>
      <w:r w:rsidRPr="00540D6A">
        <w:rPr>
          <w:rFonts w:asciiTheme="minorHAnsi" w:hAnsiTheme="minorHAnsi"/>
          <w:color w:val="000000" w:themeColor="text1"/>
          <w:szCs w:val="22"/>
        </w:rPr>
        <w:t xml:space="preserve"> caused widespread declines in seagrass area and abundance, the</w:t>
      </w:r>
      <w:r w:rsidR="000533D0" w:rsidRPr="00540D6A">
        <w:rPr>
          <w:rFonts w:asciiTheme="minorHAnsi" w:hAnsiTheme="minorHAnsi"/>
          <w:color w:val="000000" w:themeColor="text1"/>
          <w:szCs w:val="22"/>
        </w:rPr>
        <w:t>re was increasing</w:t>
      </w:r>
      <w:r w:rsidRPr="00540D6A">
        <w:rPr>
          <w:rFonts w:asciiTheme="minorHAnsi" w:hAnsiTheme="minorHAnsi"/>
          <w:color w:val="000000" w:themeColor="text1"/>
          <w:szCs w:val="22"/>
        </w:rPr>
        <w:t xml:space="preserve"> proliferation of species displaying colonising traits such as </w:t>
      </w:r>
      <w:r w:rsidRPr="00540D6A">
        <w:rPr>
          <w:rFonts w:asciiTheme="minorHAnsi" w:hAnsiTheme="minorHAnsi"/>
          <w:i/>
          <w:color w:val="000000" w:themeColor="text1"/>
          <w:szCs w:val="22"/>
        </w:rPr>
        <w:t xml:space="preserve">Halophila ovalis </w:t>
      </w:r>
      <w:r w:rsidR="00EB7476" w:rsidRPr="00540D6A">
        <w:rPr>
          <w:rFonts w:asciiTheme="minorHAnsi" w:hAnsiTheme="minorHAnsi"/>
          <w:color w:val="000000" w:themeColor="text1"/>
          <w:szCs w:val="22"/>
        </w:rPr>
        <w:t xml:space="preserve">at coast and reef sites </w:t>
      </w:r>
      <w:r w:rsidRPr="00540D6A">
        <w:rPr>
          <w:rFonts w:asciiTheme="minorHAnsi" w:hAnsiTheme="minorHAnsi"/>
          <w:color w:val="000000" w:themeColor="text1"/>
          <w:szCs w:val="22"/>
        </w:rPr>
        <w:t>(</w:t>
      </w:r>
      <w:r w:rsidR="001851D6">
        <w:rPr>
          <w:rFonts w:asciiTheme="minorHAnsi" w:hAnsiTheme="minorHAnsi"/>
          <w:color w:val="000000" w:themeColor="text1"/>
          <w:szCs w:val="22"/>
        </w:rPr>
        <w:fldChar w:fldCharType="begin"/>
      </w:r>
      <w:r w:rsidR="001851D6">
        <w:rPr>
          <w:rFonts w:asciiTheme="minorHAnsi" w:hAnsiTheme="minorHAnsi"/>
          <w:color w:val="000000" w:themeColor="text1"/>
          <w:szCs w:val="22"/>
        </w:rPr>
        <w:instrText xml:space="preserve"> REF _Ref442456558 \h </w:instrText>
      </w:r>
      <w:r w:rsidR="001851D6">
        <w:rPr>
          <w:rFonts w:asciiTheme="minorHAnsi" w:hAnsiTheme="minorHAnsi"/>
          <w:color w:val="000000" w:themeColor="text1"/>
          <w:szCs w:val="22"/>
        </w:rPr>
      </w:r>
      <w:r w:rsidR="001851D6">
        <w:rPr>
          <w:rFonts w:asciiTheme="minorHAnsi" w:hAnsiTheme="minorHAnsi"/>
          <w:color w:val="000000" w:themeColor="text1"/>
          <w:szCs w:val="22"/>
        </w:rPr>
        <w:fldChar w:fldCharType="separate"/>
      </w:r>
      <w:r w:rsidR="00F87DF9" w:rsidRPr="000F7D14">
        <w:rPr>
          <w:szCs w:val="22"/>
        </w:rPr>
        <w:t xml:space="preserve">Figure </w:t>
      </w:r>
      <w:r w:rsidR="00F87DF9">
        <w:rPr>
          <w:noProof/>
          <w:szCs w:val="22"/>
        </w:rPr>
        <w:t>19</w:t>
      </w:r>
      <w:r w:rsidR="001851D6">
        <w:rPr>
          <w:rFonts w:asciiTheme="minorHAnsi" w:hAnsiTheme="minorHAnsi"/>
          <w:color w:val="000000" w:themeColor="text1"/>
          <w:szCs w:val="22"/>
        </w:rPr>
        <w:fldChar w:fldCharType="end"/>
      </w:r>
      <w:r w:rsidRPr="00540D6A">
        <w:rPr>
          <w:rFonts w:asciiTheme="minorHAnsi" w:hAnsiTheme="minorHAnsi"/>
          <w:color w:val="000000" w:themeColor="text1"/>
          <w:szCs w:val="22"/>
        </w:rPr>
        <w:t xml:space="preserve">, Appendix 4). However, over the </w:t>
      </w:r>
      <w:r w:rsidR="008574EC">
        <w:rPr>
          <w:rFonts w:asciiTheme="minorHAnsi" w:hAnsiTheme="minorHAnsi"/>
          <w:color w:val="000000" w:themeColor="text1"/>
          <w:szCs w:val="22"/>
        </w:rPr>
        <w:t>2016–17</w:t>
      </w:r>
      <w:r w:rsidRPr="00540D6A">
        <w:rPr>
          <w:rFonts w:asciiTheme="minorHAnsi" w:hAnsiTheme="minorHAnsi"/>
          <w:color w:val="000000" w:themeColor="text1"/>
          <w:szCs w:val="22"/>
        </w:rPr>
        <w:t xml:space="preserve"> monitoring period, the proportion of species displaying colonising traits remained </w:t>
      </w:r>
      <w:r w:rsidR="00AA54BF">
        <w:rPr>
          <w:rFonts w:asciiTheme="minorHAnsi" w:hAnsiTheme="minorHAnsi"/>
          <w:color w:val="000000" w:themeColor="text1"/>
          <w:szCs w:val="22"/>
        </w:rPr>
        <w:t xml:space="preserve">around or </w:t>
      </w:r>
      <w:r w:rsidRPr="00540D6A">
        <w:rPr>
          <w:rFonts w:asciiTheme="minorHAnsi" w:hAnsiTheme="minorHAnsi"/>
          <w:color w:val="000000" w:themeColor="text1"/>
          <w:szCs w:val="22"/>
        </w:rPr>
        <w:t>low</w:t>
      </w:r>
      <w:r w:rsidR="00AA54BF">
        <w:rPr>
          <w:rFonts w:asciiTheme="minorHAnsi" w:hAnsiTheme="minorHAnsi"/>
          <w:color w:val="000000" w:themeColor="text1"/>
          <w:szCs w:val="22"/>
        </w:rPr>
        <w:t xml:space="preserve">er than the </w:t>
      </w:r>
      <w:r w:rsidR="007F6948">
        <w:rPr>
          <w:rFonts w:asciiTheme="minorHAnsi" w:hAnsiTheme="minorHAnsi"/>
          <w:color w:val="000000" w:themeColor="text1"/>
          <w:szCs w:val="22"/>
        </w:rPr>
        <w:t>Great Barrier Reef</w:t>
      </w:r>
      <w:r w:rsidR="00AA54BF">
        <w:rPr>
          <w:rFonts w:asciiTheme="minorHAnsi" w:hAnsiTheme="minorHAnsi"/>
          <w:color w:val="000000" w:themeColor="text1"/>
          <w:szCs w:val="22"/>
        </w:rPr>
        <w:t>-wide average for each habitat type</w:t>
      </w:r>
      <w:r w:rsidRPr="00540D6A">
        <w:rPr>
          <w:rFonts w:asciiTheme="minorHAnsi" w:hAnsiTheme="minorHAnsi"/>
          <w:color w:val="000000" w:themeColor="text1"/>
          <w:szCs w:val="22"/>
        </w:rPr>
        <w:t xml:space="preserve"> in coastal and estuarine habitats in favour of species displaying opportunistic or persistent traits (sensu </w:t>
      </w:r>
      <w:hyperlink w:anchor="_ENREF_122" w:tooltip="Kilminster, 2015 #10294" w:history="1">
        <w:r w:rsidR="00305FE7" w:rsidRPr="00540D6A">
          <w:rPr>
            <w:rFonts w:asciiTheme="minorHAnsi" w:hAnsiTheme="minorHAnsi"/>
            <w:color w:val="000000" w:themeColor="text1"/>
            <w:szCs w:val="22"/>
          </w:rPr>
          <w:fldChar w:fldCharType="begin"/>
        </w:r>
        <w:r w:rsidR="00305FE7">
          <w:rPr>
            <w:rFonts w:asciiTheme="minorHAnsi" w:hAnsiTheme="minorHAnsi"/>
            <w:color w:val="000000" w:themeColor="text1"/>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305FE7" w:rsidRPr="00540D6A">
          <w:rPr>
            <w:rFonts w:asciiTheme="minorHAnsi" w:hAnsiTheme="minorHAnsi"/>
            <w:color w:val="000000" w:themeColor="text1"/>
            <w:szCs w:val="22"/>
          </w:rPr>
          <w:fldChar w:fldCharType="separate"/>
        </w:r>
        <w:r w:rsidR="00305FE7">
          <w:rPr>
            <w:rFonts w:asciiTheme="minorHAnsi" w:hAnsiTheme="minorHAnsi"/>
            <w:noProof/>
            <w:color w:val="000000" w:themeColor="text1"/>
            <w:szCs w:val="22"/>
          </w:rPr>
          <w:t>Kilminster</w:t>
        </w:r>
        <w:r w:rsidR="00305FE7" w:rsidRPr="00521D93">
          <w:rPr>
            <w:rFonts w:asciiTheme="minorHAnsi" w:hAnsiTheme="minorHAnsi"/>
            <w:i/>
            <w:noProof/>
            <w:color w:val="000000" w:themeColor="text1"/>
            <w:szCs w:val="22"/>
          </w:rPr>
          <w:t xml:space="preserve"> et al.</w:t>
        </w:r>
        <w:r w:rsidR="00305FE7">
          <w:rPr>
            <w:rFonts w:asciiTheme="minorHAnsi" w:hAnsiTheme="minorHAnsi"/>
            <w:noProof/>
            <w:color w:val="000000" w:themeColor="text1"/>
            <w:szCs w:val="22"/>
          </w:rPr>
          <w:t xml:space="preserve"> 2015</w:t>
        </w:r>
        <w:r w:rsidR="00305FE7" w:rsidRPr="00540D6A">
          <w:rPr>
            <w:rFonts w:asciiTheme="minorHAnsi" w:hAnsiTheme="minorHAnsi"/>
            <w:color w:val="000000" w:themeColor="text1"/>
            <w:szCs w:val="22"/>
          </w:rPr>
          <w:fldChar w:fldCharType="end"/>
        </w:r>
      </w:hyperlink>
      <w:r w:rsidR="00AA54BF">
        <w:rPr>
          <w:rFonts w:asciiTheme="minorHAnsi" w:hAnsiTheme="minorHAnsi"/>
          <w:color w:val="000000" w:themeColor="text1"/>
          <w:szCs w:val="22"/>
        </w:rPr>
        <w:t xml:space="preserve">). </w:t>
      </w:r>
      <w:r w:rsidR="00AA54BF" w:rsidRPr="00AA54BF">
        <w:rPr>
          <w:rFonts w:asciiTheme="minorHAnsi" w:hAnsiTheme="minorHAnsi"/>
          <w:color w:val="000000" w:themeColor="text1"/>
          <w:szCs w:val="22"/>
        </w:rPr>
        <w:t xml:space="preserve">In reef intertidal and reef subtidal habitats, there small increases in the proportion of colonising species in the previous reporting year were reversed in </w:t>
      </w:r>
      <w:r w:rsidR="008574EC">
        <w:rPr>
          <w:rFonts w:asciiTheme="minorHAnsi" w:hAnsiTheme="minorHAnsi"/>
          <w:color w:val="000000" w:themeColor="text1"/>
          <w:szCs w:val="22"/>
        </w:rPr>
        <w:t>2016–17</w:t>
      </w:r>
      <w:r w:rsidR="00AA54BF" w:rsidRPr="00AA54BF">
        <w:rPr>
          <w:rFonts w:asciiTheme="minorHAnsi" w:hAnsiTheme="minorHAnsi"/>
          <w:color w:val="000000" w:themeColor="text1"/>
          <w:szCs w:val="22"/>
        </w:rPr>
        <w:t xml:space="preserve"> (</w:t>
      </w:r>
      <w:r w:rsidR="00AA54BF" w:rsidRPr="00AA54BF">
        <w:rPr>
          <w:rFonts w:asciiTheme="minorHAnsi" w:hAnsiTheme="minorHAnsi"/>
          <w:color w:val="000000" w:themeColor="text1"/>
          <w:szCs w:val="22"/>
        </w:rPr>
        <w:fldChar w:fldCharType="begin"/>
      </w:r>
      <w:r w:rsidR="00AA54BF" w:rsidRPr="00AA54BF">
        <w:rPr>
          <w:rFonts w:asciiTheme="minorHAnsi" w:hAnsiTheme="minorHAnsi"/>
          <w:color w:val="000000" w:themeColor="text1"/>
          <w:szCs w:val="22"/>
        </w:rPr>
        <w:instrText xml:space="preserve"> REF _Ref442456558 \h </w:instrText>
      </w:r>
      <w:r w:rsidR="00AA54BF" w:rsidRPr="00AA54BF">
        <w:rPr>
          <w:rFonts w:asciiTheme="minorHAnsi" w:hAnsiTheme="minorHAnsi"/>
          <w:color w:val="000000" w:themeColor="text1"/>
          <w:szCs w:val="22"/>
        </w:rPr>
      </w:r>
      <w:r w:rsidR="00AA54BF" w:rsidRPr="00AA54BF">
        <w:rPr>
          <w:rFonts w:asciiTheme="minorHAnsi" w:hAnsiTheme="minorHAnsi"/>
          <w:color w:val="000000" w:themeColor="text1"/>
          <w:szCs w:val="22"/>
        </w:rPr>
        <w:fldChar w:fldCharType="separate"/>
      </w:r>
      <w:r w:rsidR="00F87DF9" w:rsidRPr="000F7D14">
        <w:rPr>
          <w:szCs w:val="22"/>
        </w:rPr>
        <w:t xml:space="preserve">Figure </w:t>
      </w:r>
      <w:r w:rsidR="00F87DF9">
        <w:rPr>
          <w:noProof/>
          <w:szCs w:val="22"/>
        </w:rPr>
        <w:t>19</w:t>
      </w:r>
      <w:r w:rsidR="00AA54BF" w:rsidRPr="00AA54BF">
        <w:rPr>
          <w:rFonts w:asciiTheme="minorHAnsi" w:hAnsiTheme="minorHAnsi"/>
          <w:color w:val="000000" w:themeColor="text1"/>
          <w:szCs w:val="22"/>
        </w:rPr>
        <w:fldChar w:fldCharType="end"/>
      </w:r>
      <w:r w:rsidR="00AA54BF" w:rsidRPr="00AA54BF">
        <w:rPr>
          <w:rFonts w:asciiTheme="minorHAnsi" w:hAnsiTheme="minorHAnsi"/>
          <w:color w:val="000000" w:themeColor="text1"/>
          <w:szCs w:val="22"/>
        </w:rPr>
        <w:t>).</w:t>
      </w:r>
      <w:r w:rsidRPr="00AA54BF">
        <w:rPr>
          <w:rFonts w:asciiTheme="minorHAnsi" w:hAnsiTheme="minorHAnsi"/>
          <w:color w:val="000000" w:themeColor="text1"/>
          <w:szCs w:val="22"/>
        </w:rPr>
        <w:t xml:space="preserve">The displacement of colonising species is a natural part of the meadow progression expected during the recovery of seagrass meadows. </w:t>
      </w:r>
    </w:p>
    <w:p w14:paraId="0528F3CB" w14:textId="77777777" w:rsidR="00B518CD" w:rsidRPr="00AE7DF1" w:rsidRDefault="00B518CD" w:rsidP="00E742E9">
      <w:pPr>
        <w:spacing w:after="0"/>
        <w:rPr>
          <w:color w:val="000000"/>
          <w:szCs w:val="22"/>
        </w:rPr>
      </w:pPr>
    </w:p>
    <w:p w14:paraId="0F1D73F0" w14:textId="77777777" w:rsidR="00B518CD" w:rsidRPr="006B4212"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7DD6C186" wp14:editId="0618AC39">
            <wp:extent cx="5759450" cy="1260558"/>
            <wp:effectExtent l="0" t="0" r="0" b="0"/>
            <wp:docPr id="238" name="Picture 238" descr="Panel of five graphs showing proportion of total seagrass abundance composed of species displaying colonising traits (e.g. Halophila ovalis) in each inshore seagrass habitat (sites pooled) for the GBR (regions pooled)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GBR_colonising_2016.png"/>
                    <pic:cNvPicPr/>
                  </pic:nvPicPr>
                  <pic:blipFill>
                    <a:blip r:embed="rId56">
                      <a:extLst>
                        <a:ext uri="{28A0092B-C50C-407E-A947-70E740481C1C}">
                          <a14:useLocalDpi xmlns:a14="http://schemas.microsoft.com/office/drawing/2010/main" val="0"/>
                        </a:ext>
                      </a:extLst>
                    </a:blip>
                    <a:stretch>
                      <a:fillRect/>
                    </a:stretch>
                  </pic:blipFill>
                  <pic:spPr>
                    <a:xfrm>
                      <a:off x="0" y="0"/>
                      <a:ext cx="5759450" cy="1260558"/>
                    </a:xfrm>
                    <a:prstGeom prst="rect">
                      <a:avLst/>
                    </a:prstGeom>
                  </pic:spPr>
                </pic:pic>
              </a:graphicData>
            </a:graphic>
          </wp:inline>
        </w:drawing>
      </w:r>
    </w:p>
    <w:p w14:paraId="77F589B4" w14:textId="6D033BEC" w:rsidR="00E57745" w:rsidRPr="000F7D14" w:rsidRDefault="00B518CD" w:rsidP="00E57745">
      <w:pPr>
        <w:rPr>
          <w:i/>
          <w:vanish/>
          <w:szCs w:val="22"/>
          <w:specVanish/>
        </w:rPr>
      </w:pPr>
      <w:bookmarkStart w:id="168" w:name="_Ref442456558"/>
      <w:bookmarkStart w:id="169" w:name="_Toc516053229"/>
      <w:r w:rsidRPr="000F7D14">
        <w:rPr>
          <w:szCs w:val="22"/>
        </w:rPr>
        <w:t xml:space="preserve">Figure </w:t>
      </w:r>
      <w:r w:rsidR="0073595B" w:rsidRPr="000F7D14">
        <w:rPr>
          <w:szCs w:val="22"/>
        </w:rPr>
        <w:fldChar w:fldCharType="begin"/>
      </w:r>
      <w:r w:rsidR="0073595B" w:rsidRPr="000F7D14">
        <w:rPr>
          <w:szCs w:val="22"/>
        </w:rPr>
        <w:instrText xml:space="preserve"> SEQ Figure \* ARABIC </w:instrText>
      </w:r>
      <w:r w:rsidR="0073595B" w:rsidRPr="000F7D14">
        <w:rPr>
          <w:szCs w:val="22"/>
        </w:rPr>
        <w:fldChar w:fldCharType="separate"/>
      </w:r>
      <w:r w:rsidR="00F87DF9">
        <w:rPr>
          <w:noProof/>
          <w:szCs w:val="22"/>
        </w:rPr>
        <w:t>19</w:t>
      </w:r>
      <w:r w:rsidR="0073595B" w:rsidRPr="000F7D14">
        <w:rPr>
          <w:szCs w:val="22"/>
        </w:rPr>
        <w:fldChar w:fldCharType="end"/>
      </w:r>
      <w:bookmarkEnd w:id="168"/>
      <w:r w:rsidRPr="000F7D14">
        <w:rPr>
          <w:szCs w:val="22"/>
        </w:rPr>
        <w:t xml:space="preserve">. </w:t>
      </w:r>
      <w:r w:rsidRPr="000F7D14">
        <w:rPr>
          <w:i/>
          <w:szCs w:val="22"/>
        </w:rPr>
        <w:t xml:space="preserve">Proportion of total seagrass abundance composed of </w:t>
      </w:r>
      <w:r w:rsidR="007D4D28" w:rsidRPr="000F7D14">
        <w:rPr>
          <w:i/>
          <w:szCs w:val="22"/>
        </w:rPr>
        <w:t xml:space="preserve">species displaying colonising traits (e.g. </w:t>
      </w:r>
      <w:r w:rsidRPr="000F7D14">
        <w:rPr>
          <w:szCs w:val="22"/>
        </w:rPr>
        <w:t>Halophila ovalis</w:t>
      </w:r>
      <w:r w:rsidRPr="000F7D14">
        <w:rPr>
          <w:i/>
          <w:szCs w:val="22"/>
        </w:rPr>
        <w:t xml:space="preserve">) in a) estuary intertidal, b) coastal intertidal, c) </w:t>
      </w:r>
      <w:r w:rsidR="000F7D14" w:rsidRPr="000F7D14">
        <w:rPr>
          <w:i/>
          <w:szCs w:val="22"/>
        </w:rPr>
        <w:t xml:space="preserve">coast subtidal, d) </w:t>
      </w:r>
      <w:r w:rsidRPr="000F7D14">
        <w:rPr>
          <w:i/>
          <w:szCs w:val="22"/>
        </w:rPr>
        <w:t xml:space="preserve">reef intertidal and </w:t>
      </w:r>
      <w:r w:rsidR="000F7D14" w:rsidRPr="000F7D14">
        <w:rPr>
          <w:i/>
          <w:szCs w:val="22"/>
        </w:rPr>
        <w:t>e</w:t>
      </w:r>
      <w:r w:rsidRPr="000F7D14">
        <w:rPr>
          <w:i/>
          <w:szCs w:val="22"/>
        </w:rPr>
        <w:t xml:space="preserve">) reef subtidal habitats (sites pooled) for the </w:t>
      </w:r>
      <w:r w:rsidR="007F6948">
        <w:rPr>
          <w:i/>
          <w:szCs w:val="22"/>
        </w:rPr>
        <w:t>Great Barrier Reef</w:t>
      </w:r>
      <w:r w:rsidRPr="000F7D14">
        <w:rPr>
          <w:i/>
          <w:szCs w:val="22"/>
        </w:rPr>
        <w:t xml:space="preserve"> (regions pooled) each monitoring period</w:t>
      </w:r>
      <w:bookmarkEnd w:id="169"/>
    </w:p>
    <w:p w14:paraId="21B0B2F2" w14:textId="301EACB8" w:rsidR="00B518CD" w:rsidRPr="000F7D14" w:rsidRDefault="00E57745" w:rsidP="00E57745">
      <w:pPr>
        <w:rPr>
          <w:szCs w:val="22"/>
        </w:rPr>
      </w:pPr>
      <w:r w:rsidRPr="000F7D14">
        <w:rPr>
          <w:i/>
        </w:rPr>
        <w:t>.</w:t>
      </w:r>
      <w:r w:rsidR="00B518CD" w:rsidRPr="000F7D14">
        <w:rPr>
          <w:i/>
          <w:szCs w:val="22"/>
        </w:rPr>
        <w:t xml:space="preserve"> Dashed line illustrates </w:t>
      </w:r>
      <w:r w:rsidR="007F6948">
        <w:rPr>
          <w:i/>
          <w:szCs w:val="22"/>
        </w:rPr>
        <w:t>Great Barrier Reef</w:t>
      </w:r>
      <w:r w:rsidR="007D4D28" w:rsidRPr="000F7D14">
        <w:rPr>
          <w:i/>
          <w:szCs w:val="22"/>
        </w:rPr>
        <w:t xml:space="preserve"> </w:t>
      </w:r>
      <w:r w:rsidR="00B518CD" w:rsidRPr="000F7D14">
        <w:rPr>
          <w:i/>
          <w:szCs w:val="22"/>
        </w:rPr>
        <w:t>average proportion of colonising species in each habitat type (</w:t>
      </w:r>
      <w:r w:rsidR="006D4E83" w:rsidRPr="000F7D14">
        <w:rPr>
          <w:i/>
          <w:szCs w:val="22"/>
        </w:rPr>
        <w:fldChar w:fldCharType="begin"/>
      </w:r>
      <w:r w:rsidR="006D4E83" w:rsidRPr="000F7D14">
        <w:rPr>
          <w:i/>
          <w:szCs w:val="22"/>
        </w:rPr>
        <w:instrText xml:space="preserve"> REF _Ref442528436 \h </w:instrText>
      </w:r>
      <w:r w:rsidR="000F7D14" w:rsidRPr="000F7D14">
        <w:rPr>
          <w:i/>
          <w:szCs w:val="22"/>
        </w:rPr>
        <w:instrText xml:space="preserve"> \* MERGEFORMAT </w:instrText>
      </w:r>
      <w:r w:rsidR="006D4E83" w:rsidRPr="000F7D14">
        <w:rPr>
          <w:i/>
          <w:szCs w:val="22"/>
        </w:rPr>
      </w:r>
      <w:r w:rsidR="006D4E83" w:rsidRPr="000F7D14">
        <w:rPr>
          <w:i/>
          <w:szCs w:val="22"/>
        </w:rPr>
        <w:fldChar w:fldCharType="separate"/>
      </w:r>
      <w:r w:rsidR="00F87DF9" w:rsidRPr="00F87DF9">
        <w:rPr>
          <w:szCs w:val="22"/>
        </w:rPr>
        <w:t xml:space="preserve">Table </w:t>
      </w:r>
      <w:r w:rsidR="00F87DF9" w:rsidRPr="00F87DF9">
        <w:rPr>
          <w:noProof/>
          <w:szCs w:val="22"/>
        </w:rPr>
        <w:t>37</w:t>
      </w:r>
      <w:r w:rsidR="006D4E83" w:rsidRPr="000F7D14">
        <w:rPr>
          <w:i/>
          <w:szCs w:val="22"/>
        </w:rPr>
        <w:fldChar w:fldCharType="end"/>
      </w:r>
      <w:r w:rsidR="00B518CD" w:rsidRPr="000F7D14">
        <w:rPr>
          <w:i/>
          <w:szCs w:val="22"/>
        </w:rPr>
        <w:t>).</w:t>
      </w:r>
    </w:p>
    <w:p w14:paraId="6B4D52BA" w14:textId="77777777" w:rsidR="007B729C" w:rsidRDefault="007B729C" w:rsidP="00B518CD">
      <w:pPr>
        <w:autoSpaceDE w:val="0"/>
        <w:autoSpaceDN w:val="0"/>
        <w:adjustRightInd w:val="0"/>
        <w:spacing w:before="0" w:after="0"/>
        <w:rPr>
          <w:color w:val="000000" w:themeColor="text1"/>
          <w:szCs w:val="22"/>
        </w:rPr>
      </w:pPr>
    </w:p>
    <w:p w14:paraId="75F48827" w14:textId="64CA6EFD" w:rsidR="00A00BC4" w:rsidRPr="00902727" w:rsidRDefault="00B518CD" w:rsidP="00B518CD">
      <w:pPr>
        <w:autoSpaceDE w:val="0"/>
        <w:autoSpaceDN w:val="0"/>
        <w:adjustRightInd w:val="0"/>
        <w:spacing w:before="0" w:after="0"/>
        <w:rPr>
          <w:rFonts w:cs="Calibri"/>
          <w:color w:val="000000" w:themeColor="text1"/>
          <w:szCs w:val="22"/>
          <w:lang w:eastAsia="en-AU"/>
        </w:rPr>
      </w:pPr>
      <w:r w:rsidRPr="00A21F7A">
        <w:rPr>
          <w:color w:val="000000" w:themeColor="text1"/>
          <w:szCs w:val="22"/>
        </w:rPr>
        <w:t>Reproductive effort acros</w:t>
      </w:r>
      <w:r w:rsidR="00A21F7A" w:rsidRPr="00A21F7A">
        <w:rPr>
          <w:color w:val="000000" w:themeColor="text1"/>
          <w:szCs w:val="22"/>
        </w:rPr>
        <w:t xml:space="preserve">s the </w:t>
      </w:r>
      <w:r w:rsidR="007F6948">
        <w:rPr>
          <w:color w:val="000000" w:themeColor="text1"/>
          <w:szCs w:val="22"/>
        </w:rPr>
        <w:t>Great Barrier Reef</w:t>
      </w:r>
      <w:r w:rsidRPr="00A21F7A">
        <w:rPr>
          <w:color w:val="000000" w:themeColor="text1"/>
          <w:szCs w:val="22"/>
        </w:rPr>
        <w:t xml:space="preserve"> </w:t>
      </w:r>
      <w:r w:rsidR="00843231">
        <w:rPr>
          <w:color w:val="000000" w:themeColor="text1"/>
          <w:szCs w:val="22"/>
        </w:rPr>
        <w:t>was</w:t>
      </w:r>
      <w:r w:rsidR="00A30C31" w:rsidRPr="00A21F7A">
        <w:rPr>
          <w:color w:val="000000" w:themeColor="text1"/>
          <w:szCs w:val="22"/>
        </w:rPr>
        <w:t xml:space="preserve"> measured as</w:t>
      </w:r>
      <w:r w:rsidRPr="00A21F7A">
        <w:rPr>
          <w:color w:val="000000" w:themeColor="text1"/>
          <w:szCs w:val="22"/>
        </w:rPr>
        <w:t xml:space="preserve"> per area estimates of the number of reproductive structures </w:t>
      </w:r>
      <w:r w:rsidR="007D4D28" w:rsidRPr="00A21F7A">
        <w:rPr>
          <w:color w:val="000000" w:themeColor="text1"/>
          <w:szCs w:val="22"/>
        </w:rPr>
        <w:t xml:space="preserve">(spathes, fruits, female and male flowers) </w:t>
      </w:r>
      <w:r w:rsidRPr="00A21F7A">
        <w:rPr>
          <w:color w:val="000000" w:themeColor="text1"/>
          <w:szCs w:val="22"/>
        </w:rPr>
        <w:t xml:space="preserve">produced by any seagrass species </w:t>
      </w:r>
      <w:r w:rsidRPr="00843231">
        <w:rPr>
          <w:szCs w:val="22"/>
        </w:rPr>
        <w:t>during the sampling period</w:t>
      </w:r>
      <w:r w:rsidR="00A21F7A" w:rsidRPr="00843231">
        <w:rPr>
          <w:szCs w:val="22"/>
        </w:rPr>
        <w:t xml:space="preserve">. </w:t>
      </w:r>
      <w:r w:rsidR="006C56B5" w:rsidRPr="00843231">
        <w:rPr>
          <w:rFonts w:cs="Calibri"/>
          <w:szCs w:val="22"/>
          <w:lang w:eastAsia="en-AU"/>
        </w:rPr>
        <w:t xml:space="preserve">Reef habitats, both intertidal and subtidal reef sites, have the lowest </w:t>
      </w:r>
      <w:r w:rsidR="006C56B5" w:rsidRPr="006C56B5">
        <w:rPr>
          <w:rFonts w:cs="Calibri"/>
          <w:color w:val="000000" w:themeColor="text1"/>
          <w:szCs w:val="22"/>
          <w:lang w:eastAsia="en-AU"/>
        </w:rPr>
        <w:t>reproductive effort</w:t>
      </w:r>
      <w:r w:rsidR="006C56B5">
        <w:rPr>
          <w:rFonts w:cs="Calibri"/>
          <w:color w:val="000000" w:themeColor="text1"/>
          <w:szCs w:val="22"/>
          <w:lang w:eastAsia="en-AU"/>
        </w:rPr>
        <w:t xml:space="preserve"> and seed density within seed banks</w:t>
      </w:r>
      <w:r w:rsidR="00904051">
        <w:rPr>
          <w:rFonts w:cs="Calibri"/>
          <w:color w:val="000000" w:themeColor="text1"/>
          <w:szCs w:val="22"/>
          <w:lang w:eastAsia="en-AU"/>
        </w:rPr>
        <w:t xml:space="preserve"> </w:t>
      </w:r>
      <w:r w:rsidR="006C56B5">
        <w:rPr>
          <w:color w:val="000000" w:themeColor="text1"/>
          <w:szCs w:val="22"/>
        </w:rPr>
        <w:t>(</w:t>
      </w:r>
      <w:r w:rsidR="006C56B5">
        <w:rPr>
          <w:color w:val="000000" w:themeColor="text1"/>
          <w:szCs w:val="22"/>
        </w:rPr>
        <w:fldChar w:fldCharType="begin"/>
      </w:r>
      <w:r w:rsidR="006C56B5">
        <w:rPr>
          <w:color w:val="000000" w:themeColor="text1"/>
          <w:szCs w:val="22"/>
        </w:rPr>
        <w:instrText xml:space="preserve"> REF _Ref442528478 \h </w:instrText>
      </w:r>
      <w:r w:rsidR="006C56B5">
        <w:rPr>
          <w:color w:val="000000" w:themeColor="text1"/>
          <w:szCs w:val="22"/>
        </w:rPr>
      </w:r>
      <w:r w:rsidR="006C56B5">
        <w:rPr>
          <w:color w:val="000000" w:themeColor="text1"/>
          <w:szCs w:val="22"/>
        </w:rPr>
        <w:fldChar w:fldCharType="separate"/>
      </w:r>
      <w:r w:rsidR="00F87DF9" w:rsidRPr="00B307B0">
        <w:rPr>
          <w:color w:val="000000"/>
          <w:szCs w:val="22"/>
        </w:rPr>
        <w:t xml:space="preserve">Figure </w:t>
      </w:r>
      <w:r w:rsidR="00F87DF9">
        <w:rPr>
          <w:noProof/>
          <w:color w:val="000000"/>
          <w:szCs w:val="22"/>
        </w:rPr>
        <w:t>20</w:t>
      </w:r>
      <w:r w:rsidR="006C56B5">
        <w:rPr>
          <w:color w:val="000000" w:themeColor="text1"/>
          <w:szCs w:val="22"/>
        </w:rPr>
        <w:fldChar w:fldCharType="end"/>
      </w:r>
      <w:r w:rsidR="006C56B5" w:rsidRPr="006C56B5">
        <w:rPr>
          <w:color w:val="000000" w:themeColor="text1"/>
          <w:szCs w:val="22"/>
        </w:rPr>
        <w:t>)</w:t>
      </w:r>
      <w:r w:rsidR="00A21F7A" w:rsidRPr="006C56B5">
        <w:rPr>
          <w:color w:val="000000" w:themeColor="text1"/>
          <w:szCs w:val="22"/>
        </w:rPr>
        <w:t xml:space="preserve">. </w:t>
      </w:r>
      <w:r w:rsidR="00D53606" w:rsidRPr="006C56B5">
        <w:rPr>
          <w:color w:val="000000" w:themeColor="text1"/>
          <w:szCs w:val="22"/>
        </w:rPr>
        <w:t xml:space="preserve">Reproductive effort </w:t>
      </w:r>
      <w:r w:rsidR="00A21F7A" w:rsidRPr="006C56B5">
        <w:rPr>
          <w:color w:val="000000" w:themeColor="text1"/>
          <w:szCs w:val="22"/>
        </w:rPr>
        <w:t>has been historically</w:t>
      </w:r>
      <w:r w:rsidRPr="006C56B5">
        <w:rPr>
          <w:color w:val="000000" w:themeColor="text1"/>
          <w:szCs w:val="22"/>
        </w:rPr>
        <w:t xml:space="preserve"> </w:t>
      </w:r>
      <w:r w:rsidRPr="006C56B5">
        <w:rPr>
          <w:rFonts w:cs="Calibri"/>
          <w:color w:val="000000" w:themeColor="text1"/>
          <w:szCs w:val="22"/>
          <w:lang w:eastAsia="en-AU"/>
        </w:rPr>
        <w:t xml:space="preserve">higher in estuary </w:t>
      </w:r>
      <w:r w:rsidR="00A30C31" w:rsidRPr="006C56B5">
        <w:rPr>
          <w:rFonts w:cs="Calibri"/>
          <w:color w:val="000000" w:themeColor="text1"/>
          <w:szCs w:val="22"/>
          <w:lang w:eastAsia="en-AU"/>
        </w:rPr>
        <w:t xml:space="preserve">and </w:t>
      </w:r>
      <w:r w:rsidR="00A21F7A" w:rsidRPr="006C56B5">
        <w:rPr>
          <w:rFonts w:cs="Calibri"/>
          <w:color w:val="000000" w:themeColor="text1"/>
          <w:szCs w:val="22"/>
          <w:lang w:eastAsia="en-AU"/>
        </w:rPr>
        <w:t>reef habitats particularly between 2006 and 2008</w:t>
      </w:r>
      <w:r w:rsidR="006C56B5" w:rsidRPr="006C56B5">
        <w:rPr>
          <w:rFonts w:cs="Calibri"/>
          <w:color w:val="000000" w:themeColor="text1"/>
          <w:szCs w:val="22"/>
          <w:lang w:eastAsia="en-AU"/>
        </w:rPr>
        <w:t xml:space="preserve">. </w:t>
      </w:r>
      <w:r w:rsidRPr="00902727">
        <w:rPr>
          <w:rFonts w:cs="Calibri"/>
          <w:color w:val="000000" w:themeColor="text1"/>
          <w:szCs w:val="22"/>
          <w:lang w:eastAsia="en-AU"/>
        </w:rPr>
        <w:t xml:space="preserve">Reproductive effort generally increased </w:t>
      </w:r>
      <w:r w:rsidR="00902727" w:rsidRPr="00902727">
        <w:rPr>
          <w:rFonts w:cs="Calibri"/>
          <w:color w:val="000000" w:themeColor="text1"/>
          <w:szCs w:val="22"/>
          <w:lang w:eastAsia="en-AU"/>
        </w:rPr>
        <w:t>in all habitats</w:t>
      </w:r>
      <w:r w:rsidR="006B08E8" w:rsidRPr="00902727">
        <w:rPr>
          <w:rFonts w:cs="Calibri"/>
          <w:color w:val="000000" w:themeColor="text1"/>
          <w:szCs w:val="22"/>
          <w:lang w:eastAsia="en-AU"/>
        </w:rPr>
        <w:t xml:space="preserve"> </w:t>
      </w:r>
      <w:r w:rsidR="00904051">
        <w:rPr>
          <w:rFonts w:cs="Calibri"/>
          <w:color w:val="000000" w:themeColor="text1"/>
          <w:szCs w:val="22"/>
          <w:lang w:eastAsia="en-AU"/>
        </w:rPr>
        <w:t>after 201</w:t>
      </w:r>
      <w:r w:rsidR="00902727" w:rsidRPr="00902727">
        <w:rPr>
          <w:rFonts w:cs="Calibri"/>
          <w:color w:val="000000" w:themeColor="text1"/>
          <w:szCs w:val="22"/>
          <w:lang w:eastAsia="en-AU"/>
        </w:rPr>
        <w:t>1</w:t>
      </w:r>
      <w:r w:rsidR="00904051">
        <w:rPr>
          <w:rFonts w:cs="Calibri"/>
          <w:color w:val="000000" w:themeColor="text1"/>
          <w:szCs w:val="22"/>
          <w:lang w:eastAsia="en-AU"/>
        </w:rPr>
        <w:t>. D</w:t>
      </w:r>
      <w:r w:rsidR="00902727" w:rsidRPr="00902727">
        <w:rPr>
          <w:rFonts w:cs="Calibri"/>
          <w:color w:val="000000" w:themeColor="text1"/>
          <w:szCs w:val="22"/>
          <w:lang w:eastAsia="en-AU"/>
        </w:rPr>
        <w:t xml:space="preserve">eclines have since followed with the </w:t>
      </w:r>
      <w:r w:rsidR="00904051">
        <w:rPr>
          <w:rFonts w:cs="Calibri"/>
          <w:color w:val="000000" w:themeColor="text1"/>
          <w:szCs w:val="22"/>
          <w:lang w:eastAsia="en-AU"/>
        </w:rPr>
        <w:t xml:space="preserve">timing of its </w:t>
      </w:r>
      <w:r w:rsidR="00902727" w:rsidRPr="00902727">
        <w:rPr>
          <w:rFonts w:cs="Calibri"/>
          <w:color w:val="000000" w:themeColor="text1"/>
          <w:szCs w:val="22"/>
          <w:lang w:eastAsia="en-AU"/>
        </w:rPr>
        <w:t>onset varying among habitat type</w:t>
      </w:r>
      <w:r w:rsidR="00904051">
        <w:rPr>
          <w:rFonts w:cs="Calibri"/>
          <w:color w:val="000000" w:themeColor="text1"/>
          <w:szCs w:val="22"/>
          <w:lang w:eastAsia="en-AU"/>
        </w:rPr>
        <w:t>: i</w:t>
      </w:r>
      <w:r w:rsidR="00902727" w:rsidRPr="00902727">
        <w:rPr>
          <w:rFonts w:cs="Calibri"/>
          <w:color w:val="000000" w:themeColor="text1"/>
          <w:szCs w:val="22"/>
          <w:lang w:eastAsia="en-AU"/>
        </w:rPr>
        <w:t xml:space="preserve">n estuary and coastal habitats, reproductive effirt was lower in </w:t>
      </w:r>
      <w:r w:rsidR="008574EC">
        <w:rPr>
          <w:rFonts w:cs="Calibri"/>
          <w:color w:val="000000" w:themeColor="text1"/>
          <w:szCs w:val="22"/>
          <w:lang w:eastAsia="en-AU"/>
        </w:rPr>
        <w:t>2016–17</w:t>
      </w:r>
      <w:r w:rsidR="00902727" w:rsidRPr="00902727">
        <w:rPr>
          <w:rFonts w:cs="Calibri"/>
          <w:color w:val="000000" w:themeColor="text1"/>
          <w:szCs w:val="22"/>
          <w:lang w:eastAsia="en-AU"/>
        </w:rPr>
        <w:t>, but due to the large variability among sites, this does not appear to be a significant reductio</w:t>
      </w:r>
      <w:r w:rsidR="00904051">
        <w:rPr>
          <w:rFonts w:cs="Calibri"/>
          <w:color w:val="000000" w:themeColor="text1"/>
          <w:szCs w:val="22"/>
          <w:lang w:eastAsia="en-AU"/>
        </w:rPr>
        <w:t>n. By contrast, at reef interti</w:t>
      </w:r>
      <w:r w:rsidR="00902727" w:rsidRPr="00902727">
        <w:rPr>
          <w:rFonts w:cs="Calibri"/>
          <w:color w:val="000000" w:themeColor="text1"/>
          <w:szCs w:val="22"/>
          <w:lang w:eastAsia="en-AU"/>
        </w:rPr>
        <w:t xml:space="preserve">dal and subtidal sites, reproductive effort declined in 2014 and 2015, respectively, and has remained low in </w:t>
      </w:r>
      <w:r w:rsidR="008574EC">
        <w:rPr>
          <w:rFonts w:cs="Calibri"/>
          <w:color w:val="000000" w:themeColor="text1"/>
          <w:szCs w:val="22"/>
          <w:lang w:eastAsia="en-AU"/>
        </w:rPr>
        <w:t>2016–17</w:t>
      </w:r>
      <w:r w:rsidR="006B08E8" w:rsidRPr="00902727">
        <w:rPr>
          <w:rFonts w:cs="Calibri"/>
          <w:color w:val="000000" w:themeColor="text1"/>
          <w:szCs w:val="22"/>
          <w:lang w:eastAsia="en-AU"/>
        </w:rPr>
        <w:t xml:space="preserve">. </w:t>
      </w:r>
      <w:r w:rsidR="004F584A">
        <w:rPr>
          <w:rFonts w:cs="Calibri"/>
          <w:color w:val="000000" w:themeColor="text1"/>
          <w:szCs w:val="22"/>
          <w:lang w:eastAsia="en-AU"/>
        </w:rPr>
        <w:t>T</w:t>
      </w:r>
      <w:r w:rsidR="006B08E8" w:rsidRPr="00902727">
        <w:rPr>
          <w:rFonts w:cs="Calibri"/>
          <w:color w:val="000000" w:themeColor="text1"/>
          <w:szCs w:val="22"/>
          <w:lang w:eastAsia="en-AU"/>
        </w:rPr>
        <w:t xml:space="preserve">here </w:t>
      </w:r>
      <w:r w:rsidR="004F584A">
        <w:rPr>
          <w:rFonts w:cs="Calibri"/>
          <w:color w:val="000000" w:themeColor="text1"/>
          <w:szCs w:val="22"/>
          <w:lang w:eastAsia="en-AU"/>
        </w:rPr>
        <w:t>was low reproductive effort and low density of seeds in the seed bank in reef habitat in all NRMs (except Burnett mary, where no reef sites are monitored)</w:t>
      </w:r>
      <w:r w:rsidR="00904051">
        <w:rPr>
          <w:rFonts w:cs="Calibri"/>
          <w:color w:val="000000" w:themeColor="text1"/>
          <w:szCs w:val="22"/>
          <w:lang w:eastAsia="en-AU"/>
        </w:rPr>
        <w:t xml:space="preserve">, which signals a low seed production rate and </w:t>
      </w:r>
      <w:r w:rsidR="00A30C31" w:rsidRPr="00902727">
        <w:rPr>
          <w:rFonts w:cs="Calibri"/>
          <w:color w:val="000000" w:themeColor="text1"/>
          <w:szCs w:val="22"/>
          <w:lang w:eastAsia="en-AU"/>
        </w:rPr>
        <w:t>vulnerability</w:t>
      </w:r>
      <w:r w:rsidR="004F584A">
        <w:rPr>
          <w:rFonts w:cs="Calibri"/>
          <w:color w:val="000000" w:themeColor="text1"/>
          <w:szCs w:val="22"/>
          <w:lang w:eastAsia="en-AU"/>
        </w:rPr>
        <w:t xml:space="preserve"> of these habitats</w:t>
      </w:r>
      <w:r w:rsidR="00A30C31" w:rsidRPr="00902727">
        <w:rPr>
          <w:rFonts w:cs="Calibri"/>
          <w:color w:val="000000" w:themeColor="text1"/>
          <w:szCs w:val="22"/>
          <w:lang w:eastAsia="en-AU"/>
        </w:rPr>
        <w:t xml:space="preserve"> to future disturbances</w:t>
      </w:r>
      <w:r w:rsidR="004F584A">
        <w:rPr>
          <w:rFonts w:cs="Calibri"/>
          <w:color w:val="000000" w:themeColor="text1"/>
          <w:szCs w:val="22"/>
          <w:lang w:eastAsia="en-AU"/>
        </w:rPr>
        <w:t>, as recovery may be hampered</w:t>
      </w:r>
      <w:r w:rsidRPr="00902727">
        <w:rPr>
          <w:rFonts w:cs="Calibri"/>
          <w:color w:val="000000" w:themeColor="text1"/>
          <w:szCs w:val="22"/>
          <w:lang w:eastAsia="en-AU"/>
        </w:rPr>
        <w:t>.</w:t>
      </w:r>
      <w:r w:rsidR="00D53606" w:rsidRPr="00902727">
        <w:rPr>
          <w:rFonts w:cs="Calibri"/>
          <w:color w:val="000000" w:themeColor="text1"/>
          <w:szCs w:val="22"/>
          <w:lang w:eastAsia="en-AU"/>
        </w:rPr>
        <w:t xml:space="preserve"> </w:t>
      </w:r>
    </w:p>
    <w:p w14:paraId="292E6DEC" w14:textId="77777777" w:rsidR="007168E0" w:rsidRPr="00A30C31" w:rsidRDefault="007168E0" w:rsidP="00B518CD">
      <w:pPr>
        <w:autoSpaceDE w:val="0"/>
        <w:autoSpaceDN w:val="0"/>
        <w:adjustRightInd w:val="0"/>
        <w:spacing w:before="0" w:after="0"/>
        <w:rPr>
          <w:rFonts w:cs="Calibri"/>
          <w:color w:val="000000" w:themeColor="text1"/>
          <w:szCs w:val="22"/>
          <w:lang w:eastAsia="en-AU"/>
        </w:rPr>
      </w:pPr>
    </w:p>
    <w:p w14:paraId="411831FC" w14:textId="77777777" w:rsidR="00B518CD" w:rsidRPr="00AE7DF1"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355FDE37" wp14:editId="57FC992B">
            <wp:extent cx="3911865" cy="2772000"/>
            <wp:effectExtent l="0" t="0" r="0" b="9525"/>
            <wp:docPr id="239" name="Picture 239" descr="Panel of four graphs showing seagrass reproductive effort (number of reproductive structures produced by all seagrass species) during the late dry of each monitoring period,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GBR_repro16.png"/>
                    <pic:cNvPicPr/>
                  </pic:nvPicPr>
                  <pic:blipFill>
                    <a:blip r:embed="rId57">
                      <a:extLst>
                        <a:ext uri="{28A0092B-C50C-407E-A947-70E740481C1C}">
                          <a14:useLocalDpi xmlns:a14="http://schemas.microsoft.com/office/drawing/2010/main" val="0"/>
                        </a:ext>
                      </a:extLst>
                    </a:blip>
                    <a:stretch>
                      <a:fillRect/>
                    </a:stretch>
                  </pic:blipFill>
                  <pic:spPr>
                    <a:xfrm>
                      <a:off x="0" y="0"/>
                      <a:ext cx="3911865" cy="2772000"/>
                    </a:xfrm>
                    <a:prstGeom prst="rect">
                      <a:avLst/>
                    </a:prstGeom>
                  </pic:spPr>
                </pic:pic>
              </a:graphicData>
            </a:graphic>
          </wp:inline>
        </w:drawing>
      </w:r>
    </w:p>
    <w:p w14:paraId="58426717" w14:textId="09DEBF3F" w:rsidR="00B518CD" w:rsidRPr="00B307B0" w:rsidRDefault="00B518CD" w:rsidP="0015251F">
      <w:pPr>
        <w:rPr>
          <w:i/>
          <w:color w:val="000000"/>
          <w:szCs w:val="22"/>
        </w:rPr>
      </w:pPr>
      <w:bookmarkStart w:id="170" w:name="_Ref442528478"/>
      <w:bookmarkStart w:id="171" w:name="_Toc516053230"/>
      <w:r w:rsidRPr="00B307B0">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20</w:t>
      </w:r>
      <w:r w:rsidR="0073595B">
        <w:rPr>
          <w:color w:val="000000"/>
          <w:szCs w:val="22"/>
        </w:rPr>
        <w:fldChar w:fldCharType="end"/>
      </w:r>
      <w:bookmarkEnd w:id="170"/>
      <w:r w:rsidRPr="00B307B0">
        <w:rPr>
          <w:color w:val="000000"/>
          <w:szCs w:val="22"/>
        </w:rPr>
        <w:t xml:space="preserve">. </w:t>
      </w:r>
      <w:r w:rsidRPr="00B307B0">
        <w:rPr>
          <w:i/>
          <w:color w:val="000000"/>
          <w:szCs w:val="22"/>
        </w:rPr>
        <w:t>Seagrass reproductive effort (number of reproductive structures produced by all seagrass species) during the late dry of each monitoring period, for a) estuary intertidal; b) coast intertidal; c) reef intertidal; d) reef subtidal.</w:t>
      </w:r>
      <w:bookmarkEnd w:id="171"/>
    </w:p>
    <w:p w14:paraId="0679AF55" w14:textId="1C755851" w:rsidR="00B518CD" w:rsidRPr="00D102C5" w:rsidRDefault="00A21F7A" w:rsidP="00B518CD">
      <w:pPr>
        <w:spacing w:after="0"/>
        <w:rPr>
          <w:color w:val="000000" w:themeColor="text1"/>
          <w:szCs w:val="22"/>
        </w:rPr>
      </w:pPr>
      <w:r>
        <w:rPr>
          <w:color w:val="000000" w:themeColor="text1"/>
          <w:szCs w:val="22"/>
        </w:rPr>
        <w:t xml:space="preserve">Reproductive scores were </w:t>
      </w:r>
      <w:r w:rsidR="00D102C5" w:rsidRPr="00D102C5">
        <w:rPr>
          <w:b/>
          <w:color w:val="000000" w:themeColor="text1"/>
          <w:szCs w:val="22"/>
        </w:rPr>
        <w:t>poor</w:t>
      </w:r>
      <w:r>
        <w:rPr>
          <w:color w:val="000000" w:themeColor="text1"/>
          <w:szCs w:val="22"/>
        </w:rPr>
        <w:t xml:space="preserve"> in the Burdekin and Mackay Whitsunday NRMs in </w:t>
      </w:r>
      <w:r w:rsidR="008574EC">
        <w:rPr>
          <w:color w:val="000000" w:themeColor="text1"/>
          <w:szCs w:val="22"/>
        </w:rPr>
        <w:t>2016–17</w:t>
      </w:r>
      <w:r>
        <w:rPr>
          <w:color w:val="000000" w:themeColor="text1"/>
          <w:szCs w:val="22"/>
        </w:rPr>
        <w:t xml:space="preserve">, and </w:t>
      </w:r>
      <w:r w:rsidRPr="00D102C5">
        <w:rPr>
          <w:b/>
          <w:color w:val="000000" w:themeColor="text1"/>
          <w:szCs w:val="22"/>
        </w:rPr>
        <w:t>very poor</w:t>
      </w:r>
      <w:r>
        <w:rPr>
          <w:color w:val="000000" w:themeColor="text1"/>
          <w:szCs w:val="22"/>
        </w:rPr>
        <w:t xml:space="preserve"> in the other four NRMs</w:t>
      </w:r>
      <w:r w:rsidR="00D102C5">
        <w:rPr>
          <w:color w:val="000000" w:themeColor="text1"/>
          <w:szCs w:val="22"/>
        </w:rPr>
        <w:t xml:space="preserve"> (</w:t>
      </w:r>
      <w:r w:rsidR="00D102C5">
        <w:rPr>
          <w:color w:val="000000" w:themeColor="text1"/>
          <w:szCs w:val="22"/>
        </w:rPr>
        <w:fldChar w:fldCharType="begin"/>
      </w:r>
      <w:r w:rsidR="00D102C5">
        <w:rPr>
          <w:color w:val="000000" w:themeColor="text1"/>
          <w:szCs w:val="22"/>
        </w:rPr>
        <w:instrText xml:space="preserve"> REF _Ref442528511 \h </w:instrText>
      </w:r>
      <w:r w:rsidR="00D102C5">
        <w:rPr>
          <w:color w:val="000000" w:themeColor="text1"/>
          <w:szCs w:val="22"/>
        </w:rPr>
      </w:r>
      <w:r w:rsidR="00D102C5">
        <w:rPr>
          <w:color w:val="000000" w:themeColor="text1"/>
          <w:szCs w:val="22"/>
        </w:rPr>
        <w:fldChar w:fldCharType="separate"/>
      </w:r>
      <w:r w:rsidR="00F87DF9" w:rsidRPr="00716CE2">
        <w:t xml:space="preserve">Figure </w:t>
      </w:r>
      <w:r w:rsidR="00F87DF9">
        <w:rPr>
          <w:noProof/>
        </w:rPr>
        <w:t>21</w:t>
      </w:r>
      <w:r w:rsidR="00D102C5">
        <w:rPr>
          <w:color w:val="000000" w:themeColor="text1"/>
          <w:szCs w:val="22"/>
        </w:rPr>
        <w:fldChar w:fldCharType="end"/>
      </w:r>
      <w:r w:rsidR="00D102C5">
        <w:rPr>
          <w:color w:val="000000" w:themeColor="text1"/>
          <w:szCs w:val="22"/>
        </w:rPr>
        <w:t>)</w:t>
      </w:r>
      <w:r>
        <w:rPr>
          <w:color w:val="000000" w:themeColor="text1"/>
          <w:szCs w:val="22"/>
        </w:rPr>
        <w:t xml:space="preserve">. </w:t>
      </w:r>
      <w:r w:rsidR="00B518CD" w:rsidRPr="00D102C5">
        <w:rPr>
          <w:color w:val="000000" w:themeColor="text1"/>
          <w:szCs w:val="22"/>
        </w:rPr>
        <w:t>Reproductive effort across</w:t>
      </w:r>
      <w:r w:rsidR="00877F45" w:rsidRPr="00D102C5">
        <w:rPr>
          <w:color w:val="000000" w:themeColor="text1"/>
          <w:szCs w:val="22"/>
        </w:rPr>
        <w:t xml:space="preserve"> the </w:t>
      </w:r>
      <w:r w:rsidR="007F6948">
        <w:rPr>
          <w:color w:val="000000" w:themeColor="text1"/>
          <w:szCs w:val="22"/>
        </w:rPr>
        <w:t>Great Barrier Reef</w:t>
      </w:r>
      <w:r w:rsidR="00877F45" w:rsidRPr="00D102C5">
        <w:rPr>
          <w:color w:val="000000" w:themeColor="text1"/>
          <w:szCs w:val="22"/>
        </w:rPr>
        <w:t xml:space="preserve"> NRM regions during </w:t>
      </w:r>
      <w:r w:rsidR="008574EC">
        <w:rPr>
          <w:color w:val="000000" w:themeColor="text1"/>
          <w:szCs w:val="22"/>
        </w:rPr>
        <w:t>2016–17</w:t>
      </w:r>
      <w:r w:rsidR="00D102C5" w:rsidRPr="00D102C5">
        <w:rPr>
          <w:color w:val="000000" w:themeColor="text1"/>
          <w:szCs w:val="22"/>
        </w:rPr>
        <w:t xml:space="preserve"> improved slightly in Cape York and Mackay Whitsunday</w:t>
      </w:r>
      <w:r w:rsidR="00991037" w:rsidRPr="00D102C5">
        <w:rPr>
          <w:color w:val="000000" w:themeColor="text1"/>
          <w:szCs w:val="22"/>
        </w:rPr>
        <w:t xml:space="preserve"> NRMs</w:t>
      </w:r>
      <w:r w:rsidR="00ED2BCA" w:rsidRPr="00D102C5">
        <w:rPr>
          <w:color w:val="000000" w:themeColor="text1"/>
          <w:szCs w:val="22"/>
        </w:rPr>
        <w:t xml:space="preserve"> </w:t>
      </w:r>
      <w:r w:rsidR="00B518CD" w:rsidRPr="00D102C5">
        <w:rPr>
          <w:color w:val="000000" w:themeColor="text1"/>
          <w:szCs w:val="22"/>
        </w:rPr>
        <w:t>(</w:t>
      </w:r>
      <w:r w:rsidR="006D4E83" w:rsidRPr="00D102C5">
        <w:rPr>
          <w:color w:val="000000" w:themeColor="text1"/>
          <w:szCs w:val="22"/>
        </w:rPr>
        <w:fldChar w:fldCharType="begin"/>
      </w:r>
      <w:r w:rsidR="006D4E83" w:rsidRPr="00D102C5">
        <w:rPr>
          <w:color w:val="000000" w:themeColor="text1"/>
          <w:szCs w:val="22"/>
        </w:rPr>
        <w:instrText xml:space="preserve"> REF _Ref442528511 \h </w:instrText>
      </w:r>
      <w:r w:rsidR="006D4E83" w:rsidRPr="00D102C5">
        <w:rPr>
          <w:color w:val="000000" w:themeColor="text1"/>
          <w:szCs w:val="22"/>
        </w:rPr>
      </w:r>
      <w:r w:rsidR="006D4E83" w:rsidRPr="00D102C5">
        <w:rPr>
          <w:color w:val="000000" w:themeColor="text1"/>
          <w:szCs w:val="22"/>
        </w:rPr>
        <w:fldChar w:fldCharType="separate"/>
      </w:r>
      <w:r w:rsidR="00F87DF9" w:rsidRPr="00716CE2">
        <w:t xml:space="preserve">Figure </w:t>
      </w:r>
      <w:r w:rsidR="00F87DF9">
        <w:rPr>
          <w:noProof/>
        </w:rPr>
        <w:t>21</w:t>
      </w:r>
      <w:r w:rsidR="006D4E83" w:rsidRPr="00D102C5">
        <w:rPr>
          <w:color w:val="000000" w:themeColor="text1"/>
          <w:szCs w:val="22"/>
        </w:rPr>
        <w:fldChar w:fldCharType="end"/>
      </w:r>
      <w:r w:rsidR="00B518CD" w:rsidRPr="00D102C5">
        <w:rPr>
          <w:color w:val="000000" w:themeColor="text1"/>
          <w:szCs w:val="22"/>
        </w:rPr>
        <w:t>)</w:t>
      </w:r>
      <w:r w:rsidR="00991037" w:rsidRPr="00D102C5">
        <w:rPr>
          <w:color w:val="000000" w:themeColor="text1"/>
          <w:szCs w:val="22"/>
        </w:rPr>
        <w:t xml:space="preserve">, but declined in </w:t>
      </w:r>
      <w:r w:rsidR="00D102C5" w:rsidRPr="00D102C5">
        <w:rPr>
          <w:color w:val="000000" w:themeColor="text1"/>
          <w:szCs w:val="22"/>
        </w:rPr>
        <w:t>all other</w:t>
      </w:r>
      <w:r w:rsidR="00991037" w:rsidRPr="00D102C5">
        <w:rPr>
          <w:color w:val="000000" w:themeColor="text1"/>
          <w:szCs w:val="22"/>
        </w:rPr>
        <w:t xml:space="preserve"> NRMs</w:t>
      </w:r>
      <w:r w:rsidR="00B518CD" w:rsidRPr="00D102C5">
        <w:rPr>
          <w:color w:val="000000" w:themeColor="text1"/>
          <w:szCs w:val="22"/>
        </w:rPr>
        <w:t xml:space="preserve">. </w:t>
      </w:r>
    </w:p>
    <w:p w14:paraId="0547F86B" w14:textId="77777777" w:rsidR="00B518CD" w:rsidRPr="002453C0" w:rsidRDefault="00B518CD" w:rsidP="00B518CD">
      <w:pPr>
        <w:spacing w:after="0"/>
        <w:rPr>
          <w:color w:val="000000"/>
          <w:szCs w:val="22"/>
        </w:rPr>
      </w:pPr>
    </w:p>
    <w:p w14:paraId="3511DE9D" w14:textId="77777777" w:rsidR="00B518CD" w:rsidRPr="00716CE2" w:rsidRDefault="004A3BBC" w:rsidP="00B518CD">
      <w:pPr>
        <w:keepNext/>
        <w:widowControl w:val="0"/>
        <w:spacing w:before="0" w:after="0"/>
        <w:jc w:val="center"/>
        <w:rPr>
          <w:noProof/>
          <w:szCs w:val="22"/>
          <w:lang w:eastAsia="en-AU"/>
        </w:rPr>
      </w:pPr>
      <w:r>
        <w:rPr>
          <w:noProof/>
          <w:szCs w:val="22"/>
          <w:lang w:eastAsia="en-AU"/>
        </w:rPr>
        <w:drawing>
          <wp:inline distT="0" distB="0" distL="0" distR="0" wp14:anchorId="63C15A97" wp14:editId="24C67E37">
            <wp:extent cx="5759450" cy="2056604"/>
            <wp:effectExtent l="0" t="0" r="0" b="1270"/>
            <wp:docPr id="241" name="Picture 241" descr="Panel of six graphs showing regional report card scores for seagrass reproductive effort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INDEX_repro_2016.png"/>
                    <pic:cNvPicPr/>
                  </pic:nvPicPr>
                  <pic:blipFill>
                    <a:blip r:embed="rId58">
                      <a:extLst>
                        <a:ext uri="{28A0092B-C50C-407E-A947-70E740481C1C}">
                          <a14:useLocalDpi xmlns:a14="http://schemas.microsoft.com/office/drawing/2010/main" val="0"/>
                        </a:ext>
                      </a:extLst>
                    </a:blip>
                    <a:stretch>
                      <a:fillRect/>
                    </a:stretch>
                  </pic:blipFill>
                  <pic:spPr>
                    <a:xfrm>
                      <a:off x="0" y="0"/>
                      <a:ext cx="5759450" cy="2056604"/>
                    </a:xfrm>
                    <a:prstGeom prst="rect">
                      <a:avLst/>
                    </a:prstGeom>
                  </pic:spPr>
                </pic:pic>
              </a:graphicData>
            </a:graphic>
          </wp:inline>
        </w:drawing>
      </w:r>
    </w:p>
    <w:p w14:paraId="0995FA4A" w14:textId="2D2E71DB" w:rsidR="00B518CD" w:rsidRPr="00716CE2" w:rsidRDefault="00B518CD" w:rsidP="00B518CD">
      <w:pPr>
        <w:rPr>
          <w:i/>
          <w:vanish/>
          <w:szCs w:val="22"/>
          <w:specVanish/>
        </w:rPr>
      </w:pPr>
      <w:bookmarkStart w:id="172" w:name="_Ref442528511"/>
      <w:bookmarkStart w:id="173" w:name="_Toc516053231"/>
      <w:r w:rsidRPr="00716CE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21</w:t>
      </w:r>
      <w:r w:rsidR="00C506C7">
        <w:rPr>
          <w:noProof/>
        </w:rPr>
        <w:fldChar w:fldCharType="end"/>
      </w:r>
      <w:bookmarkEnd w:id="172"/>
      <w:r w:rsidRPr="00716CE2">
        <w:t xml:space="preserve">. </w:t>
      </w:r>
      <w:r w:rsidRPr="00716CE2">
        <w:rPr>
          <w:i/>
        </w:rPr>
        <w:t>Regional report card scores for seagrass reproductive effort over the life of the MMP</w:t>
      </w:r>
      <w:bookmarkEnd w:id="173"/>
    </w:p>
    <w:p w14:paraId="59AFA6C6" w14:textId="5CC9D738" w:rsidR="00B518CD" w:rsidRPr="00716CE2" w:rsidRDefault="00B518CD" w:rsidP="00B518CD">
      <w:r w:rsidRPr="00716CE2">
        <w:rPr>
          <w:i/>
        </w:rPr>
        <w:t xml:space="preserve">. </w:t>
      </w:r>
      <w:r w:rsidR="007D4BE7" w:rsidRPr="007D4BE7">
        <w:rPr>
          <w:i/>
        </w:rPr>
        <w:t xml:space="preserve">Bold symbol = </w:t>
      </w:r>
      <w:r w:rsidR="008574EC">
        <w:rPr>
          <w:i/>
        </w:rPr>
        <w:t>2016–17</w:t>
      </w:r>
      <w:r w:rsidR="007D4BE7" w:rsidRPr="007D4BE7">
        <w:rPr>
          <w:i/>
        </w:rPr>
        <w:t xml:space="preserve"> monitoring period. </w:t>
      </w:r>
      <w:r w:rsidRPr="00FA7D64">
        <w:rPr>
          <w:i/>
          <w:color w:val="000000"/>
        </w:rPr>
        <w:t>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unitless</w:t>
      </w:r>
      <w:r>
        <w:rPr>
          <w:i/>
          <w:szCs w:val="22"/>
        </w:rPr>
        <w:t>.</w:t>
      </w:r>
    </w:p>
    <w:p w14:paraId="4306B595" w14:textId="1A3E849F" w:rsidR="00B518CD" w:rsidRPr="005804B3" w:rsidRDefault="00B518CD" w:rsidP="00B518CD">
      <w:pPr>
        <w:autoSpaceDE w:val="0"/>
        <w:autoSpaceDN w:val="0"/>
        <w:adjustRightInd w:val="0"/>
        <w:spacing w:before="0" w:after="0"/>
        <w:rPr>
          <w:color w:val="000000" w:themeColor="text1"/>
          <w:szCs w:val="22"/>
        </w:rPr>
      </w:pPr>
      <w:r w:rsidRPr="005804B3">
        <w:rPr>
          <w:rFonts w:cs="Calibri"/>
          <w:color w:val="000000" w:themeColor="text1"/>
          <w:szCs w:val="22"/>
          <w:lang w:eastAsia="en-AU"/>
        </w:rPr>
        <w:t xml:space="preserve">Seed banks across the inshore </w:t>
      </w:r>
      <w:r w:rsidR="007F6948">
        <w:rPr>
          <w:rFonts w:cs="Calibri"/>
          <w:color w:val="000000" w:themeColor="text1"/>
          <w:szCs w:val="22"/>
          <w:lang w:eastAsia="en-AU"/>
        </w:rPr>
        <w:t>Great Barrier Reef</w:t>
      </w:r>
      <w:r w:rsidRPr="005804B3">
        <w:rPr>
          <w:rFonts w:cs="Calibri"/>
          <w:color w:val="000000" w:themeColor="text1"/>
          <w:szCs w:val="22"/>
          <w:lang w:eastAsia="en-AU"/>
        </w:rPr>
        <w:t xml:space="preserve"> meadows were higher in late dry and greater in coastal than reef or estuarin</w:t>
      </w:r>
      <w:r w:rsidR="00E2425B" w:rsidRPr="005804B3">
        <w:rPr>
          <w:rFonts w:cs="Calibri"/>
          <w:color w:val="000000" w:themeColor="text1"/>
          <w:szCs w:val="22"/>
          <w:lang w:eastAsia="en-AU"/>
        </w:rPr>
        <w:t>e habitats over the long-term (&gt;10</w:t>
      </w:r>
      <w:r w:rsidRPr="005804B3">
        <w:rPr>
          <w:rFonts w:cs="Calibri"/>
          <w:color w:val="000000" w:themeColor="text1"/>
          <w:szCs w:val="22"/>
          <w:lang w:eastAsia="en-AU"/>
        </w:rPr>
        <w:t xml:space="preserve"> years) (</w:t>
      </w:r>
      <w:r w:rsidR="00D102C5" w:rsidRPr="005804B3">
        <w:rPr>
          <w:rFonts w:cs="Calibri"/>
          <w:color w:val="000000" w:themeColor="text1"/>
          <w:szCs w:val="22"/>
          <w:lang w:eastAsia="en-AU"/>
        </w:rPr>
        <w:fldChar w:fldCharType="begin"/>
      </w:r>
      <w:r w:rsidR="00D102C5" w:rsidRPr="005804B3">
        <w:rPr>
          <w:rFonts w:cs="Calibri"/>
          <w:color w:val="000000" w:themeColor="text1"/>
          <w:szCs w:val="22"/>
          <w:lang w:eastAsia="en-AU"/>
        </w:rPr>
        <w:instrText xml:space="preserve"> REF _Ref442528770 \h </w:instrText>
      </w:r>
      <w:r w:rsidR="00D102C5" w:rsidRPr="005804B3">
        <w:rPr>
          <w:rFonts w:cs="Calibri"/>
          <w:color w:val="000000" w:themeColor="text1"/>
          <w:szCs w:val="22"/>
          <w:lang w:eastAsia="en-AU"/>
        </w:rPr>
      </w:r>
      <w:r w:rsidR="00D102C5" w:rsidRPr="005804B3">
        <w:rPr>
          <w:rFonts w:cs="Calibri"/>
          <w:color w:val="000000" w:themeColor="text1"/>
          <w:szCs w:val="22"/>
          <w:lang w:eastAsia="en-AU"/>
        </w:rPr>
        <w:fldChar w:fldCharType="separate"/>
      </w:r>
      <w:r w:rsidR="00F87DF9" w:rsidRPr="002E67CF">
        <w:rPr>
          <w:color w:val="000000"/>
          <w:szCs w:val="22"/>
        </w:rPr>
        <w:t xml:space="preserve">Figure </w:t>
      </w:r>
      <w:r w:rsidR="00F87DF9">
        <w:rPr>
          <w:noProof/>
          <w:color w:val="000000"/>
          <w:szCs w:val="22"/>
        </w:rPr>
        <w:t>22</w:t>
      </w:r>
      <w:r w:rsidR="00D102C5" w:rsidRPr="005804B3">
        <w:rPr>
          <w:rFonts w:cs="Calibri"/>
          <w:color w:val="000000" w:themeColor="text1"/>
          <w:szCs w:val="22"/>
          <w:lang w:eastAsia="en-AU"/>
        </w:rPr>
        <w:fldChar w:fldCharType="end"/>
      </w:r>
      <w:r w:rsidRPr="005804B3">
        <w:rPr>
          <w:rFonts w:cs="Calibri"/>
          <w:color w:val="000000" w:themeColor="text1"/>
          <w:szCs w:val="22"/>
          <w:lang w:eastAsia="en-AU"/>
        </w:rPr>
        <w:t xml:space="preserve">). Coastal seed banks declined between 2008 and 2011, and </w:t>
      </w:r>
      <w:r w:rsidR="007223EB" w:rsidRPr="005804B3">
        <w:rPr>
          <w:rFonts w:cs="Calibri"/>
          <w:color w:val="000000" w:themeColor="text1"/>
          <w:szCs w:val="22"/>
          <w:lang w:eastAsia="en-AU"/>
        </w:rPr>
        <w:t xml:space="preserve">have </w:t>
      </w:r>
      <w:r w:rsidRPr="005804B3">
        <w:rPr>
          <w:rFonts w:cs="Calibri"/>
          <w:color w:val="000000" w:themeColor="text1"/>
          <w:szCs w:val="22"/>
          <w:lang w:eastAsia="en-AU"/>
        </w:rPr>
        <w:t>subsequently increased</w:t>
      </w:r>
      <w:r w:rsidR="007223EB" w:rsidRPr="005804B3">
        <w:rPr>
          <w:rFonts w:cs="Calibri"/>
          <w:color w:val="000000" w:themeColor="text1"/>
          <w:szCs w:val="22"/>
          <w:lang w:eastAsia="en-AU"/>
        </w:rPr>
        <w:t>, but remain below the 2007-2008 levels</w:t>
      </w:r>
      <w:r w:rsidRPr="005804B3">
        <w:rPr>
          <w:rFonts w:cs="Calibri"/>
          <w:color w:val="000000" w:themeColor="text1"/>
          <w:szCs w:val="22"/>
          <w:lang w:eastAsia="en-AU"/>
        </w:rPr>
        <w:t>.</w:t>
      </w:r>
      <w:r w:rsidR="007223EB" w:rsidRPr="005804B3">
        <w:rPr>
          <w:rFonts w:cs="Calibri"/>
          <w:color w:val="000000" w:themeColor="text1"/>
          <w:szCs w:val="22"/>
          <w:lang w:eastAsia="en-AU"/>
        </w:rPr>
        <w:t xml:space="preserve"> However, in </w:t>
      </w:r>
      <w:r w:rsidR="008574EC">
        <w:rPr>
          <w:rFonts w:cs="Calibri"/>
          <w:color w:val="000000" w:themeColor="text1"/>
          <w:szCs w:val="22"/>
          <w:lang w:eastAsia="en-AU"/>
        </w:rPr>
        <w:t>2016–17</w:t>
      </w:r>
      <w:r w:rsidRPr="005804B3">
        <w:rPr>
          <w:rFonts w:cs="Calibri"/>
          <w:color w:val="000000" w:themeColor="text1"/>
          <w:szCs w:val="22"/>
          <w:lang w:eastAsia="en-AU"/>
        </w:rPr>
        <w:t xml:space="preserve"> seed banks </w:t>
      </w:r>
      <w:r w:rsidR="007223EB" w:rsidRPr="005804B3">
        <w:rPr>
          <w:rFonts w:cs="Calibri"/>
          <w:color w:val="000000" w:themeColor="text1"/>
          <w:szCs w:val="22"/>
          <w:lang w:eastAsia="en-AU"/>
        </w:rPr>
        <w:t xml:space="preserve">in other habitats have </w:t>
      </w:r>
      <w:r w:rsidR="00D102C5" w:rsidRPr="005804B3">
        <w:rPr>
          <w:rFonts w:cs="Calibri"/>
          <w:color w:val="000000" w:themeColor="text1"/>
          <w:szCs w:val="22"/>
          <w:lang w:eastAsia="en-AU"/>
        </w:rPr>
        <w:t>declined</w:t>
      </w:r>
      <w:r w:rsidRPr="005804B3">
        <w:rPr>
          <w:rFonts w:cs="Calibri"/>
          <w:color w:val="000000" w:themeColor="text1"/>
          <w:szCs w:val="22"/>
          <w:lang w:eastAsia="en-AU"/>
        </w:rPr>
        <w:t xml:space="preserve">, which </w:t>
      </w:r>
      <w:r w:rsidR="007223EB" w:rsidRPr="005804B3">
        <w:rPr>
          <w:rFonts w:cs="Calibri"/>
          <w:color w:val="000000" w:themeColor="text1"/>
          <w:szCs w:val="22"/>
          <w:lang w:eastAsia="en-AU"/>
        </w:rPr>
        <w:t xml:space="preserve">could </w:t>
      </w:r>
      <w:r w:rsidRPr="005804B3">
        <w:rPr>
          <w:rFonts w:cs="Calibri"/>
          <w:color w:val="000000" w:themeColor="text1"/>
          <w:szCs w:val="22"/>
          <w:lang w:eastAsia="en-AU"/>
        </w:rPr>
        <w:t xml:space="preserve">have been caused by </w:t>
      </w:r>
      <w:r w:rsidR="007223EB" w:rsidRPr="005804B3">
        <w:rPr>
          <w:rFonts w:cs="Calibri"/>
          <w:color w:val="000000" w:themeColor="text1"/>
          <w:szCs w:val="22"/>
          <w:lang w:eastAsia="en-AU"/>
        </w:rPr>
        <w:t>poor reproductive success (failure to form seeds) or loss of seed bank (</w:t>
      </w:r>
      <w:r w:rsidRPr="005804B3">
        <w:rPr>
          <w:rFonts w:cs="Calibri"/>
          <w:color w:val="000000" w:themeColor="text1"/>
          <w:szCs w:val="22"/>
          <w:lang w:eastAsia="en-AU"/>
        </w:rPr>
        <w:t xml:space="preserve">germination </w:t>
      </w:r>
      <w:r w:rsidR="007223EB" w:rsidRPr="005804B3">
        <w:rPr>
          <w:rFonts w:cs="Calibri"/>
          <w:color w:val="000000" w:themeColor="text1"/>
          <w:szCs w:val="22"/>
          <w:lang w:eastAsia="en-AU"/>
        </w:rPr>
        <w:t>or grazing)</w:t>
      </w:r>
      <w:r w:rsidRPr="005804B3">
        <w:rPr>
          <w:rFonts w:cs="Calibri"/>
          <w:color w:val="000000" w:themeColor="text1"/>
          <w:szCs w:val="22"/>
          <w:lang w:eastAsia="en-AU"/>
        </w:rPr>
        <w:t>.</w:t>
      </w:r>
      <w:r w:rsidR="007223EB" w:rsidRPr="005804B3">
        <w:rPr>
          <w:rFonts w:cs="Calibri"/>
          <w:color w:val="000000" w:themeColor="text1"/>
          <w:szCs w:val="22"/>
          <w:lang w:eastAsia="en-AU"/>
        </w:rPr>
        <w:t xml:space="preserve"> Seed bank density remains very low at estuary and reef intertidal habitats suggesting</w:t>
      </w:r>
      <w:r w:rsidRPr="005804B3">
        <w:rPr>
          <w:rFonts w:cs="Calibri"/>
          <w:color w:val="000000" w:themeColor="text1"/>
          <w:szCs w:val="22"/>
          <w:lang w:eastAsia="en-AU"/>
        </w:rPr>
        <w:t xml:space="preserve"> a </w:t>
      </w:r>
      <w:r w:rsidRPr="005804B3">
        <w:rPr>
          <w:color w:val="000000" w:themeColor="text1"/>
          <w:szCs w:val="22"/>
        </w:rPr>
        <w:t xml:space="preserve">reduced capacity to recover from disturbances. Seed banks are not currently included as a metric in the report card; however, given their importance as a feature of resilience in seagrasses of the </w:t>
      </w:r>
      <w:r w:rsidR="007F6948">
        <w:rPr>
          <w:color w:val="000000" w:themeColor="text1"/>
          <w:szCs w:val="22"/>
        </w:rPr>
        <w:t>Great Barrier Reef</w:t>
      </w:r>
      <w:r w:rsidRPr="005804B3">
        <w:rPr>
          <w:color w:val="000000" w:themeColor="text1"/>
          <w:szCs w:val="22"/>
        </w:rPr>
        <w:t xml:space="preserve">, they are being considered for future inclusion as an indicator in the reproduction metric. </w:t>
      </w:r>
    </w:p>
    <w:p w14:paraId="4DD19A2C" w14:textId="77777777" w:rsidR="00B518CD" w:rsidRPr="002E67CF" w:rsidRDefault="004A3BBC" w:rsidP="00C431B6">
      <w:pPr>
        <w:keepNext/>
        <w:widowControl w:val="0"/>
        <w:spacing w:after="0"/>
        <w:jc w:val="center"/>
        <w:rPr>
          <w:noProof/>
          <w:color w:val="000000"/>
          <w:szCs w:val="22"/>
          <w:lang w:eastAsia="en-AU"/>
        </w:rPr>
      </w:pPr>
      <w:r>
        <w:rPr>
          <w:noProof/>
          <w:color w:val="000000"/>
          <w:szCs w:val="22"/>
          <w:lang w:eastAsia="en-AU"/>
        </w:rPr>
        <w:drawing>
          <wp:inline distT="0" distB="0" distL="0" distR="0" wp14:anchorId="754884BC" wp14:editId="48E94DD9">
            <wp:extent cx="3960000" cy="2806004"/>
            <wp:effectExtent l="0" t="0" r="2540" b="0"/>
            <wp:docPr id="242" name="Picture 242" descr="Panel of four graphs showing average seeds banks (seeds per square metre of sediment surface, all sites and species pooled) in GBR seagrass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GBR_seed_banks_2016.png"/>
                    <pic:cNvPicPr/>
                  </pic:nvPicPr>
                  <pic:blipFill>
                    <a:blip r:embed="rId59">
                      <a:extLst>
                        <a:ext uri="{28A0092B-C50C-407E-A947-70E740481C1C}">
                          <a14:useLocalDpi xmlns:a14="http://schemas.microsoft.com/office/drawing/2010/main" val="0"/>
                        </a:ext>
                      </a:extLst>
                    </a:blip>
                    <a:stretch>
                      <a:fillRect/>
                    </a:stretch>
                  </pic:blipFill>
                  <pic:spPr>
                    <a:xfrm>
                      <a:off x="0" y="0"/>
                      <a:ext cx="3960000" cy="2806004"/>
                    </a:xfrm>
                    <a:prstGeom prst="rect">
                      <a:avLst/>
                    </a:prstGeom>
                  </pic:spPr>
                </pic:pic>
              </a:graphicData>
            </a:graphic>
          </wp:inline>
        </w:drawing>
      </w:r>
    </w:p>
    <w:p w14:paraId="7D1462C5" w14:textId="6B728C3E" w:rsidR="00B518CD" w:rsidRPr="002E67CF" w:rsidRDefault="00B518CD" w:rsidP="00B518CD">
      <w:pPr>
        <w:rPr>
          <w:i/>
          <w:color w:val="000000"/>
          <w:szCs w:val="22"/>
        </w:rPr>
      </w:pPr>
      <w:bookmarkStart w:id="174" w:name="_Ref442528770"/>
      <w:bookmarkStart w:id="175" w:name="_Toc516053232"/>
      <w:r w:rsidRPr="002E67C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22</w:t>
      </w:r>
      <w:r w:rsidR="0073595B">
        <w:rPr>
          <w:color w:val="000000"/>
          <w:szCs w:val="22"/>
        </w:rPr>
        <w:fldChar w:fldCharType="end"/>
      </w:r>
      <w:bookmarkEnd w:id="174"/>
      <w:r w:rsidRPr="002E67CF">
        <w:rPr>
          <w:color w:val="000000"/>
          <w:szCs w:val="22"/>
        </w:rPr>
        <w:t xml:space="preserve">. </w:t>
      </w:r>
      <w:r w:rsidRPr="002E67CF">
        <w:rPr>
          <w:i/>
          <w:color w:val="000000"/>
          <w:szCs w:val="22"/>
        </w:rPr>
        <w:t xml:space="preserve">Average seeds banks (seeds per square metre of sediment surface, all </w:t>
      </w:r>
      <w:r>
        <w:rPr>
          <w:i/>
          <w:color w:val="000000"/>
          <w:szCs w:val="22"/>
        </w:rPr>
        <w:t xml:space="preserve">sites and </w:t>
      </w:r>
      <w:r w:rsidRPr="002E67CF">
        <w:rPr>
          <w:i/>
          <w:color w:val="000000"/>
          <w:szCs w:val="22"/>
        </w:rPr>
        <w:t xml:space="preserve">species pooled) in </w:t>
      </w:r>
      <w:r w:rsidR="007F6948">
        <w:rPr>
          <w:i/>
          <w:color w:val="000000"/>
          <w:szCs w:val="22"/>
        </w:rPr>
        <w:t>Great Barrier Reef</w:t>
      </w:r>
      <w:r w:rsidRPr="002E67CF">
        <w:rPr>
          <w:i/>
          <w:color w:val="000000"/>
          <w:szCs w:val="22"/>
        </w:rPr>
        <w:t xml:space="preserve"> seagrass habitats: a) estuary intertidal; b) coast intertidal; c) reef intertidal; d) reef subtidal.</w:t>
      </w:r>
      <w:bookmarkEnd w:id="175"/>
    </w:p>
    <w:p w14:paraId="121E2923" w14:textId="77777777" w:rsidR="00B518CD" w:rsidRPr="00BA12BB" w:rsidRDefault="007C798D" w:rsidP="007C798D">
      <w:pPr>
        <w:pStyle w:val="Heading3"/>
        <w:numPr>
          <w:ilvl w:val="2"/>
          <w:numId w:val="9"/>
        </w:numPr>
        <w:rPr>
          <w:rFonts w:ascii="Arial" w:hAnsi="Arial" w:cs="Arial"/>
          <w:szCs w:val="26"/>
        </w:rPr>
      </w:pPr>
      <w:bookmarkStart w:id="176" w:name="_Toc516053136"/>
      <w:r w:rsidRPr="007C798D">
        <w:rPr>
          <w:rFonts w:ascii="Arial" w:hAnsi="Arial" w:cs="Arial"/>
          <w:szCs w:val="26"/>
        </w:rPr>
        <w:t>Indicators of environmental condition</w:t>
      </w:r>
      <w:bookmarkEnd w:id="176"/>
    </w:p>
    <w:p w14:paraId="2A1CEA13" w14:textId="19DF8D27" w:rsidR="005132EF" w:rsidRPr="00BA12BB" w:rsidRDefault="005132EF" w:rsidP="00BA12BB">
      <w:pPr>
        <w:pStyle w:val="Heading4"/>
        <w:numPr>
          <w:ilvl w:val="0"/>
          <w:numId w:val="0"/>
        </w:numPr>
        <w:rPr>
          <w:rFonts w:ascii="Arial" w:hAnsi="Arial" w:cs="Arial"/>
          <w:sz w:val="24"/>
          <w:szCs w:val="24"/>
        </w:rPr>
      </w:pPr>
      <w:bookmarkStart w:id="177" w:name="_Toc184101965"/>
      <w:bookmarkEnd w:id="126"/>
      <w:bookmarkEnd w:id="127"/>
      <w:bookmarkEnd w:id="128"/>
      <w:r w:rsidRPr="00BA12BB">
        <w:rPr>
          <w:rFonts w:ascii="Arial" w:hAnsi="Arial" w:cs="Arial"/>
          <w:sz w:val="24"/>
          <w:szCs w:val="24"/>
        </w:rPr>
        <w:t>Seagrass tissue nutrients</w:t>
      </w:r>
      <w:bookmarkEnd w:id="177"/>
    </w:p>
    <w:p w14:paraId="324CA3E2" w14:textId="14A1E65A" w:rsidR="002E6480" w:rsidRPr="0023386F" w:rsidRDefault="002E6480" w:rsidP="00994F86">
      <w:pPr>
        <w:rPr>
          <w:szCs w:val="22"/>
        </w:rPr>
      </w:pPr>
      <w:r w:rsidRPr="0023386F">
        <w:rPr>
          <w:szCs w:val="22"/>
        </w:rPr>
        <w:t xml:space="preserve">Tissue nutrient concentrations are measured in the late dry (usually October) of the reporting period and differed both across and within habitats between years. It was necessary at some sites (see </w:t>
      </w:r>
      <w:r w:rsidR="00376DBC" w:rsidRPr="0023386F">
        <w:rPr>
          <w:szCs w:val="22"/>
        </w:rPr>
        <w:fldChar w:fldCharType="begin"/>
      </w:r>
      <w:r w:rsidR="00376DBC" w:rsidRPr="0023386F">
        <w:rPr>
          <w:szCs w:val="22"/>
        </w:rPr>
        <w:instrText xml:space="preserve"> REF _Ref236539751 \h </w:instrText>
      </w:r>
      <w:r w:rsidR="00376DBC" w:rsidRPr="0023386F">
        <w:rPr>
          <w:szCs w:val="22"/>
        </w:rPr>
      </w:r>
      <w:r w:rsidR="00376DBC" w:rsidRPr="0023386F">
        <w:rPr>
          <w:szCs w:val="22"/>
        </w:rPr>
        <w:fldChar w:fldCharType="separate"/>
      </w:r>
      <w:r w:rsidR="00F87DF9" w:rsidRPr="00015190">
        <w:rPr>
          <w:color w:val="000000"/>
          <w:szCs w:val="22"/>
        </w:rPr>
        <w:t xml:space="preserve">Table </w:t>
      </w:r>
      <w:r w:rsidR="00F87DF9">
        <w:rPr>
          <w:noProof/>
          <w:color w:val="000000"/>
          <w:szCs w:val="22"/>
        </w:rPr>
        <w:t>3</w:t>
      </w:r>
      <w:r w:rsidR="00376DBC" w:rsidRPr="0023386F">
        <w:rPr>
          <w:szCs w:val="22"/>
        </w:rPr>
        <w:fldChar w:fldCharType="end"/>
      </w:r>
      <w:r w:rsidRPr="0023386F">
        <w:rPr>
          <w:szCs w:val="22"/>
        </w:rPr>
        <w:t>) to pool across foundation species as the presence of individual species has not remained constant over time at all locations since monitoring was established. As tissue nutrient ratios between co-occurring foundation species are not significantly different</w:t>
      </w:r>
      <w:r w:rsidR="007C798D" w:rsidRPr="0023386F">
        <w:rPr>
          <w:szCs w:val="22"/>
        </w:rPr>
        <w:t xml:space="preserve"> </w:t>
      </w:r>
      <w:r w:rsidR="0023386F" w:rsidRPr="0023386F">
        <w:rPr>
          <w:szCs w:val="22"/>
        </w:rPr>
        <w:t>within</w:t>
      </w:r>
      <w:r w:rsidR="007C798D" w:rsidRPr="0023386F">
        <w:rPr>
          <w:szCs w:val="22"/>
        </w:rPr>
        <w:t xml:space="preserve"> region</w:t>
      </w:r>
      <w:r w:rsidR="0023386F" w:rsidRPr="0023386F">
        <w:rPr>
          <w:szCs w:val="22"/>
        </w:rPr>
        <w:t>s</w:t>
      </w:r>
      <w:r w:rsidRPr="0023386F">
        <w:rPr>
          <w:szCs w:val="22"/>
        </w:rPr>
        <w:t xml:space="preserve"> (</w:t>
      </w:r>
      <w:hyperlink w:anchor="_ENREF_156" w:tooltip="McKenzie, 2012 #9287" w:history="1">
        <w:r w:rsidR="00305FE7" w:rsidRPr="0023386F">
          <w:rPr>
            <w:szCs w:val="22"/>
          </w:rPr>
          <w:fldChar w:fldCharType="begin"/>
        </w:r>
        <w:r w:rsidR="00305FE7">
          <w:rPr>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305FE7" w:rsidRPr="0023386F">
          <w:rPr>
            <w:szCs w:val="22"/>
          </w:rPr>
          <w:fldChar w:fldCharType="separate"/>
        </w:r>
        <w:r w:rsidR="00305FE7">
          <w:rPr>
            <w:noProof/>
            <w:szCs w:val="22"/>
          </w:rPr>
          <w:t>McKenzie</w:t>
        </w:r>
        <w:r w:rsidR="00305FE7" w:rsidRPr="00521D93">
          <w:rPr>
            <w:i/>
            <w:noProof/>
            <w:szCs w:val="22"/>
          </w:rPr>
          <w:t xml:space="preserve"> et al.</w:t>
        </w:r>
        <w:r w:rsidR="00305FE7">
          <w:rPr>
            <w:noProof/>
            <w:szCs w:val="22"/>
          </w:rPr>
          <w:t xml:space="preserve"> 2012b</w:t>
        </w:r>
        <w:r w:rsidR="00305FE7" w:rsidRPr="0023386F">
          <w:rPr>
            <w:szCs w:val="22"/>
          </w:rPr>
          <w:fldChar w:fldCharType="end"/>
        </w:r>
      </w:hyperlink>
      <w:r w:rsidRPr="0023386F">
        <w:rPr>
          <w:szCs w:val="22"/>
        </w:rPr>
        <w:t xml:space="preserve">), by pooling across species and habitat types, some trends are apparent. </w:t>
      </w:r>
    </w:p>
    <w:p w14:paraId="4137EBCB" w14:textId="0A241674" w:rsidR="006D184F" w:rsidRPr="006C71A3" w:rsidRDefault="006D184F" w:rsidP="00994F86">
      <w:pPr>
        <w:rPr>
          <w:color w:val="000000" w:themeColor="text1"/>
          <w:szCs w:val="22"/>
        </w:rPr>
      </w:pPr>
      <w:r w:rsidRPr="0023386F">
        <w:rPr>
          <w:szCs w:val="22"/>
        </w:rPr>
        <w:t xml:space="preserve">Since 2005, median tissue nitrogen concentrations </w:t>
      </w:r>
      <w:r w:rsidR="00B65180" w:rsidRPr="0023386F">
        <w:rPr>
          <w:szCs w:val="22"/>
        </w:rPr>
        <w:t>(</w:t>
      </w:r>
      <w:r w:rsidR="0063478C" w:rsidRPr="0023386F">
        <w:rPr>
          <w:szCs w:val="22"/>
        </w:rPr>
        <w:t>per cent</w:t>
      </w:r>
      <w:r w:rsidR="00EB7476" w:rsidRPr="0023386F">
        <w:rPr>
          <w:szCs w:val="22"/>
        </w:rPr>
        <w:t xml:space="preserve"> </w:t>
      </w:r>
      <w:r w:rsidR="00B65180" w:rsidRPr="0023386F">
        <w:rPr>
          <w:szCs w:val="22"/>
        </w:rPr>
        <w:t xml:space="preserve">N) </w:t>
      </w:r>
      <w:r w:rsidRPr="0023386F">
        <w:rPr>
          <w:szCs w:val="22"/>
        </w:rPr>
        <w:t>for all habitats have exceeded the global value of 1.8</w:t>
      </w:r>
      <w:r w:rsidR="0063478C" w:rsidRPr="0023386F">
        <w:rPr>
          <w:szCs w:val="22"/>
        </w:rPr>
        <w:t xml:space="preserve"> per cent</w:t>
      </w:r>
      <w:r w:rsidRPr="0023386F">
        <w:rPr>
          <w:szCs w:val="22"/>
        </w:rPr>
        <w:t xml:space="preserve"> (</w:t>
      </w:r>
      <w:hyperlink w:anchor="_ENREF_84" w:tooltip="Duarte, 1990 #1954" w:history="1">
        <w:r w:rsidR="00305FE7" w:rsidRPr="0023386F">
          <w:rPr>
            <w:szCs w:val="22"/>
          </w:rPr>
          <w:fldChar w:fldCharType="begin"/>
        </w:r>
        <w:r w:rsidR="00305FE7" w:rsidRPr="0023386F">
          <w:rPr>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sidRPr="0023386F">
          <w:rPr>
            <w:szCs w:val="22"/>
          </w:rPr>
          <w:fldChar w:fldCharType="separate"/>
        </w:r>
        <w:r w:rsidR="00305FE7" w:rsidRPr="0023386F">
          <w:rPr>
            <w:noProof/>
            <w:szCs w:val="22"/>
          </w:rPr>
          <w:t>Duarte 1990</w:t>
        </w:r>
        <w:r w:rsidR="00305FE7" w:rsidRPr="0023386F">
          <w:rPr>
            <w:szCs w:val="22"/>
          </w:rPr>
          <w:fldChar w:fldCharType="end"/>
        </w:r>
      </w:hyperlink>
      <w:r w:rsidRPr="0023386F">
        <w:rPr>
          <w:szCs w:val="22"/>
        </w:rPr>
        <w:t xml:space="preserve">; </w:t>
      </w:r>
      <w:hyperlink w:anchor="_ENREF_208" w:tooltip="Schaffelke, 2005 #3782" w:history="1">
        <w:r w:rsidR="00305FE7" w:rsidRPr="0023386F">
          <w:rPr>
            <w:szCs w:val="22"/>
          </w:rPr>
          <w:fldChar w:fldCharType="begin"/>
        </w:r>
        <w:r w:rsidR="00305FE7" w:rsidRPr="0023386F">
          <w:rPr>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 timestamp="0"&gt;3782&lt;/key&gt;&lt;/foreign-keys&gt;&lt;ref-type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305FE7" w:rsidRPr="0023386F">
          <w:rPr>
            <w:szCs w:val="22"/>
          </w:rPr>
          <w:fldChar w:fldCharType="separate"/>
        </w:r>
        <w:r w:rsidR="00305FE7" w:rsidRPr="0023386F">
          <w:rPr>
            <w:noProof/>
            <w:szCs w:val="22"/>
          </w:rPr>
          <w:t>Schaffelke</w:t>
        </w:r>
        <w:r w:rsidR="00305FE7" w:rsidRPr="0023386F">
          <w:rPr>
            <w:i/>
            <w:noProof/>
            <w:szCs w:val="22"/>
          </w:rPr>
          <w:t xml:space="preserve"> et al.</w:t>
        </w:r>
        <w:r w:rsidR="00305FE7" w:rsidRPr="0023386F">
          <w:rPr>
            <w:noProof/>
            <w:szCs w:val="22"/>
          </w:rPr>
          <w:t xml:space="preserve"> 2005</w:t>
        </w:r>
        <w:r w:rsidR="00305FE7" w:rsidRPr="0023386F">
          <w:rPr>
            <w:szCs w:val="22"/>
          </w:rPr>
          <w:fldChar w:fldCharType="end"/>
        </w:r>
      </w:hyperlink>
      <w:r w:rsidRPr="0023386F">
        <w:rPr>
          <w:szCs w:val="22"/>
        </w:rPr>
        <w:t>) (</w:t>
      </w:r>
      <w:r w:rsidR="001851D6">
        <w:fldChar w:fldCharType="begin"/>
      </w:r>
      <w:r w:rsidR="001851D6">
        <w:rPr>
          <w:szCs w:val="22"/>
        </w:rPr>
        <w:instrText xml:space="preserve"> REF _Ref271613914 \h </w:instrText>
      </w:r>
      <w:r w:rsidR="001851D6">
        <w:fldChar w:fldCharType="separate"/>
      </w:r>
      <w:r w:rsidR="00F87DF9" w:rsidRPr="00A07CCD">
        <w:rPr>
          <w:color w:val="000000"/>
        </w:rPr>
        <w:t xml:space="preserve">Figure </w:t>
      </w:r>
      <w:r w:rsidR="00F87DF9">
        <w:rPr>
          <w:noProof/>
          <w:color w:val="000000"/>
        </w:rPr>
        <w:t>23</w:t>
      </w:r>
      <w:r w:rsidR="001851D6">
        <w:fldChar w:fldCharType="end"/>
      </w:r>
      <w:r w:rsidRPr="0023386F">
        <w:rPr>
          <w:szCs w:val="22"/>
        </w:rPr>
        <w:t xml:space="preserve">). </w:t>
      </w:r>
      <w:r w:rsidR="00B65180" w:rsidRPr="0023386F">
        <w:rPr>
          <w:szCs w:val="22"/>
        </w:rPr>
        <w:t xml:space="preserve">During </w:t>
      </w:r>
      <w:r w:rsidR="008574EC">
        <w:rPr>
          <w:szCs w:val="22"/>
        </w:rPr>
        <w:t>2016–17</w:t>
      </w:r>
      <w:r w:rsidRPr="0023386F">
        <w:rPr>
          <w:szCs w:val="22"/>
        </w:rPr>
        <w:t xml:space="preserve">, </w:t>
      </w:r>
      <w:r w:rsidRPr="006C56B5">
        <w:rPr>
          <w:color w:val="000000" w:themeColor="text1"/>
          <w:szCs w:val="22"/>
        </w:rPr>
        <w:t xml:space="preserve">seagrass leaf </w:t>
      </w:r>
      <w:r w:rsidR="0063478C" w:rsidRPr="006C56B5">
        <w:rPr>
          <w:color w:val="000000" w:themeColor="text1"/>
          <w:szCs w:val="22"/>
        </w:rPr>
        <w:t>per cent</w:t>
      </w:r>
      <w:r w:rsidR="00EB7476" w:rsidRPr="006C56B5">
        <w:rPr>
          <w:color w:val="000000" w:themeColor="text1"/>
          <w:szCs w:val="22"/>
        </w:rPr>
        <w:t xml:space="preserve"> </w:t>
      </w:r>
      <w:r w:rsidRPr="006C56B5">
        <w:rPr>
          <w:color w:val="000000" w:themeColor="text1"/>
          <w:szCs w:val="22"/>
        </w:rPr>
        <w:t xml:space="preserve">N, </w:t>
      </w:r>
      <w:r w:rsidR="006C56B5" w:rsidRPr="006C56B5">
        <w:rPr>
          <w:color w:val="000000" w:themeColor="text1"/>
          <w:szCs w:val="22"/>
        </w:rPr>
        <w:t>remained stable</w:t>
      </w:r>
      <w:r w:rsidRPr="006C56B5">
        <w:rPr>
          <w:color w:val="000000" w:themeColor="text1"/>
          <w:szCs w:val="22"/>
        </w:rPr>
        <w:t xml:space="preserve"> relative to the previous monitoring period</w:t>
      </w:r>
      <w:r w:rsidR="00B65180" w:rsidRPr="006C56B5">
        <w:rPr>
          <w:color w:val="000000" w:themeColor="text1"/>
          <w:szCs w:val="22"/>
        </w:rPr>
        <w:t xml:space="preserve"> </w:t>
      </w:r>
      <w:r w:rsidR="000C27B1" w:rsidRPr="006C56B5">
        <w:rPr>
          <w:color w:val="000000" w:themeColor="text1"/>
          <w:szCs w:val="22"/>
        </w:rPr>
        <w:t>(</w:t>
      </w:r>
      <w:r w:rsidR="000C27B1" w:rsidRPr="006C56B5">
        <w:rPr>
          <w:color w:val="000000" w:themeColor="text1"/>
          <w:szCs w:val="22"/>
        </w:rPr>
        <w:fldChar w:fldCharType="begin"/>
      </w:r>
      <w:r w:rsidR="000C27B1" w:rsidRPr="006C56B5">
        <w:rPr>
          <w:color w:val="000000" w:themeColor="text1"/>
          <w:szCs w:val="22"/>
        </w:rPr>
        <w:instrText xml:space="preserve"> REF _Ref271613914 \h </w:instrText>
      </w:r>
      <w:r w:rsidR="000C27B1" w:rsidRPr="006C56B5">
        <w:rPr>
          <w:color w:val="000000" w:themeColor="text1"/>
          <w:szCs w:val="22"/>
        </w:rPr>
      </w:r>
      <w:r w:rsidR="000C27B1" w:rsidRPr="006C56B5">
        <w:rPr>
          <w:color w:val="000000" w:themeColor="text1"/>
          <w:szCs w:val="22"/>
        </w:rPr>
        <w:fldChar w:fldCharType="separate"/>
      </w:r>
      <w:r w:rsidR="00F87DF9" w:rsidRPr="00A07CCD">
        <w:rPr>
          <w:color w:val="000000"/>
        </w:rPr>
        <w:t xml:space="preserve">Figure </w:t>
      </w:r>
      <w:r w:rsidR="00F87DF9">
        <w:rPr>
          <w:noProof/>
          <w:color w:val="000000"/>
        </w:rPr>
        <w:t>23</w:t>
      </w:r>
      <w:r w:rsidR="000C27B1" w:rsidRPr="006C56B5">
        <w:rPr>
          <w:color w:val="000000" w:themeColor="text1"/>
          <w:szCs w:val="22"/>
        </w:rPr>
        <w:fldChar w:fldCharType="end"/>
      </w:r>
      <w:r w:rsidR="000C27B1" w:rsidRPr="006C56B5">
        <w:rPr>
          <w:color w:val="000000" w:themeColor="text1"/>
          <w:szCs w:val="22"/>
        </w:rPr>
        <w:t>)</w:t>
      </w:r>
      <w:r w:rsidR="00934724" w:rsidRPr="006C56B5">
        <w:rPr>
          <w:color w:val="000000" w:themeColor="text1"/>
          <w:szCs w:val="22"/>
        </w:rPr>
        <w:t xml:space="preserve">. </w:t>
      </w:r>
      <w:r w:rsidR="001906A1" w:rsidRPr="006C56B5">
        <w:rPr>
          <w:color w:val="000000" w:themeColor="text1"/>
          <w:szCs w:val="22"/>
        </w:rPr>
        <w:t xml:space="preserve">Similarly, </w:t>
      </w:r>
      <w:r w:rsidRPr="006C56B5">
        <w:rPr>
          <w:color w:val="000000" w:themeColor="text1"/>
          <w:szCs w:val="22"/>
        </w:rPr>
        <w:t xml:space="preserve">median leaf tissue phosphorus concentrations </w:t>
      </w:r>
      <w:r w:rsidR="001906A1" w:rsidRPr="006C56B5">
        <w:rPr>
          <w:color w:val="000000" w:themeColor="text1"/>
          <w:szCs w:val="22"/>
        </w:rPr>
        <w:t>(</w:t>
      </w:r>
      <w:r w:rsidR="0063478C" w:rsidRPr="006C56B5">
        <w:rPr>
          <w:color w:val="000000" w:themeColor="text1"/>
          <w:szCs w:val="22"/>
        </w:rPr>
        <w:t>per cent</w:t>
      </w:r>
      <w:r w:rsidR="00EB7476" w:rsidRPr="006C56B5">
        <w:rPr>
          <w:color w:val="000000" w:themeColor="text1"/>
          <w:szCs w:val="22"/>
        </w:rPr>
        <w:t xml:space="preserve"> </w:t>
      </w:r>
      <w:r w:rsidR="001906A1" w:rsidRPr="006C56B5">
        <w:rPr>
          <w:color w:val="000000" w:themeColor="text1"/>
          <w:szCs w:val="22"/>
        </w:rPr>
        <w:t xml:space="preserve">P) </w:t>
      </w:r>
      <w:r w:rsidR="006C56B5" w:rsidRPr="006C56B5">
        <w:rPr>
          <w:color w:val="000000" w:themeColor="text1"/>
          <w:szCs w:val="22"/>
        </w:rPr>
        <w:t>remained stabke in all habitats relative to the previous reporting year</w:t>
      </w:r>
      <w:r w:rsidR="001906A1" w:rsidRPr="006C56B5">
        <w:rPr>
          <w:color w:val="000000" w:themeColor="text1"/>
          <w:szCs w:val="22"/>
        </w:rPr>
        <w:t>. A</w:t>
      </w:r>
      <w:r w:rsidRPr="006C56B5">
        <w:rPr>
          <w:color w:val="000000" w:themeColor="text1"/>
          <w:szCs w:val="22"/>
        </w:rPr>
        <w:t xml:space="preserve">ll habitats </w:t>
      </w:r>
      <w:r w:rsidR="001906A1" w:rsidRPr="006C56B5">
        <w:rPr>
          <w:color w:val="000000" w:themeColor="text1"/>
          <w:szCs w:val="22"/>
        </w:rPr>
        <w:t xml:space="preserve">had </w:t>
      </w:r>
      <w:r w:rsidR="0063478C" w:rsidRPr="006C56B5">
        <w:rPr>
          <w:color w:val="000000" w:themeColor="text1"/>
          <w:szCs w:val="22"/>
        </w:rPr>
        <w:t>per cent</w:t>
      </w:r>
      <w:r w:rsidR="00EB7476" w:rsidRPr="006C56B5">
        <w:rPr>
          <w:color w:val="000000" w:themeColor="text1"/>
          <w:szCs w:val="22"/>
        </w:rPr>
        <w:t xml:space="preserve"> </w:t>
      </w:r>
      <w:r w:rsidR="001906A1" w:rsidRPr="006C56B5">
        <w:rPr>
          <w:color w:val="000000" w:themeColor="text1"/>
          <w:szCs w:val="22"/>
        </w:rPr>
        <w:t>P values that were very close to the</w:t>
      </w:r>
      <w:r w:rsidRPr="006C56B5">
        <w:rPr>
          <w:color w:val="000000" w:themeColor="text1"/>
          <w:szCs w:val="22"/>
        </w:rPr>
        <w:t xml:space="preserve"> global value of 0.2</w:t>
      </w:r>
      <w:r w:rsidR="0063478C" w:rsidRPr="006C56B5">
        <w:rPr>
          <w:color w:val="000000" w:themeColor="text1"/>
          <w:szCs w:val="22"/>
        </w:rPr>
        <w:t xml:space="preserve"> per cent</w:t>
      </w:r>
      <w:r w:rsidRPr="006C56B5">
        <w:rPr>
          <w:color w:val="000000" w:themeColor="text1"/>
          <w:szCs w:val="22"/>
        </w:rPr>
        <w:t xml:space="preserve"> (</w:t>
      </w:r>
      <w:hyperlink w:anchor="_ENREF_84" w:tooltip="Duarte, 1990 #1954" w:history="1">
        <w:r w:rsidR="00305FE7" w:rsidRPr="006C56B5">
          <w:rPr>
            <w:color w:val="000000" w:themeColor="text1"/>
            <w:szCs w:val="22"/>
          </w:rPr>
          <w:fldChar w:fldCharType="begin"/>
        </w:r>
        <w:r w:rsidR="00305FE7" w:rsidRPr="006C56B5">
          <w:rPr>
            <w:color w:val="000000" w:themeColor="text1"/>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sidRPr="006C56B5">
          <w:rPr>
            <w:color w:val="000000" w:themeColor="text1"/>
            <w:szCs w:val="22"/>
          </w:rPr>
          <w:fldChar w:fldCharType="separate"/>
        </w:r>
        <w:r w:rsidR="00305FE7" w:rsidRPr="006C56B5">
          <w:rPr>
            <w:noProof/>
            <w:color w:val="000000" w:themeColor="text1"/>
            <w:szCs w:val="22"/>
          </w:rPr>
          <w:t>Duarte 1990</w:t>
        </w:r>
        <w:r w:rsidR="00305FE7" w:rsidRPr="006C56B5">
          <w:rPr>
            <w:color w:val="000000" w:themeColor="text1"/>
            <w:szCs w:val="22"/>
          </w:rPr>
          <w:fldChar w:fldCharType="end"/>
        </w:r>
      </w:hyperlink>
      <w:r w:rsidRPr="006C56B5">
        <w:rPr>
          <w:color w:val="000000" w:themeColor="text1"/>
          <w:szCs w:val="22"/>
        </w:rPr>
        <w:t xml:space="preserve">; </w:t>
      </w:r>
      <w:hyperlink w:anchor="_ENREF_208" w:tooltip="Schaffelke, 2005 #3782" w:history="1">
        <w:r w:rsidR="00305FE7" w:rsidRPr="006C56B5">
          <w:rPr>
            <w:color w:val="000000" w:themeColor="text1"/>
            <w:szCs w:val="22"/>
          </w:rPr>
          <w:fldChar w:fldCharType="begin"/>
        </w:r>
        <w:r w:rsidR="00305FE7">
          <w:rPr>
            <w:color w:val="000000" w:themeColor="text1"/>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 timestamp="0"&gt;3782&lt;/key&gt;&lt;/foreign-keys&gt;&lt;ref-type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305FE7" w:rsidRPr="006C56B5">
          <w:rPr>
            <w:color w:val="000000" w:themeColor="text1"/>
            <w:szCs w:val="22"/>
          </w:rPr>
          <w:fldChar w:fldCharType="separate"/>
        </w:r>
        <w:r w:rsidR="00305FE7">
          <w:rPr>
            <w:noProof/>
            <w:color w:val="000000" w:themeColor="text1"/>
            <w:szCs w:val="22"/>
          </w:rPr>
          <w:t>Schaffelke</w:t>
        </w:r>
        <w:r w:rsidR="00305FE7" w:rsidRPr="00521D93">
          <w:rPr>
            <w:i/>
            <w:noProof/>
            <w:color w:val="000000" w:themeColor="text1"/>
            <w:szCs w:val="22"/>
          </w:rPr>
          <w:t xml:space="preserve"> et al.</w:t>
        </w:r>
        <w:r w:rsidR="00305FE7">
          <w:rPr>
            <w:noProof/>
            <w:color w:val="000000" w:themeColor="text1"/>
            <w:szCs w:val="22"/>
          </w:rPr>
          <w:t xml:space="preserve"> 2005</w:t>
        </w:r>
        <w:r w:rsidR="00305FE7" w:rsidRPr="006C56B5">
          <w:rPr>
            <w:color w:val="000000" w:themeColor="text1"/>
            <w:szCs w:val="22"/>
          </w:rPr>
          <w:fldChar w:fldCharType="end"/>
        </w:r>
      </w:hyperlink>
      <w:r w:rsidR="006C56B5" w:rsidRPr="006C56B5">
        <w:rPr>
          <w:color w:val="000000" w:themeColor="text1"/>
          <w:szCs w:val="22"/>
        </w:rPr>
        <w:t>) in 2016</w:t>
      </w:r>
      <w:r w:rsidRPr="006C56B5">
        <w:rPr>
          <w:color w:val="000000" w:themeColor="text1"/>
          <w:szCs w:val="22"/>
        </w:rPr>
        <w:t xml:space="preserve"> (</w:t>
      </w:r>
      <w:r w:rsidR="001851D6">
        <w:rPr>
          <w:color w:val="000000" w:themeColor="text1"/>
        </w:rPr>
        <w:fldChar w:fldCharType="begin"/>
      </w:r>
      <w:r w:rsidR="001851D6">
        <w:rPr>
          <w:color w:val="000000" w:themeColor="text1"/>
          <w:szCs w:val="22"/>
        </w:rPr>
        <w:instrText xml:space="preserve"> REF _Ref271613914 \h </w:instrText>
      </w:r>
      <w:r w:rsidR="001851D6">
        <w:rPr>
          <w:color w:val="000000" w:themeColor="text1"/>
        </w:rPr>
      </w:r>
      <w:r w:rsidR="001851D6">
        <w:rPr>
          <w:color w:val="000000" w:themeColor="text1"/>
        </w:rPr>
        <w:fldChar w:fldCharType="separate"/>
      </w:r>
      <w:r w:rsidR="00F87DF9" w:rsidRPr="00A07CCD">
        <w:rPr>
          <w:color w:val="000000"/>
        </w:rPr>
        <w:t xml:space="preserve">Figure </w:t>
      </w:r>
      <w:r w:rsidR="00F87DF9">
        <w:rPr>
          <w:noProof/>
          <w:color w:val="000000"/>
        </w:rPr>
        <w:t>23</w:t>
      </w:r>
      <w:r w:rsidR="001851D6">
        <w:rPr>
          <w:color w:val="000000" w:themeColor="text1"/>
        </w:rPr>
        <w:fldChar w:fldCharType="end"/>
      </w:r>
      <w:r w:rsidRPr="006C56B5">
        <w:rPr>
          <w:color w:val="000000" w:themeColor="text1"/>
          <w:szCs w:val="22"/>
        </w:rPr>
        <w:t xml:space="preserve">). </w:t>
      </w:r>
      <w:r w:rsidR="006C71A3" w:rsidRPr="006C56B5">
        <w:rPr>
          <w:color w:val="000000" w:themeColor="text1"/>
          <w:szCs w:val="22"/>
        </w:rPr>
        <w:t>In 2014</w:t>
      </w:r>
      <w:r w:rsidRPr="006C56B5">
        <w:rPr>
          <w:color w:val="000000" w:themeColor="text1"/>
          <w:szCs w:val="22"/>
        </w:rPr>
        <w:t xml:space="preserve">, leaf tissue </w:t>
      </w:r>
      <w:r w:rsidR="0063478C" w:rsidRPr="006C56B5">
        <w:rPr>
          <w:color w:val="000000" w:themeColor="text1"/>
          <w:szCs w:val="22"/>
        </w:rPr>
        <w:t>per cent</w:t>
      </w:r>
      <w:r w:rsidR="00EB7476" w:rsidRPr="006C56B5">
        <w:rPr>
          <w:color w:val="000000" w:themeColor="text1"/>
          <w:szCs w:val="22"/>
        </w:rPr>
        <w:t xml:space="preserve"> </w:t>
      </w:r>
      <w:r w:rsidRPr="006C56B5">
        <w:rPr>
          <w:color w:val="000000" w:themeColor="text1"/>
          <w:szCs w:val="22"/>
        </w:rPr>
        <w:t>P fell below the global median at estuarine habitats</w:t>
      </w:r>
      <w:r w:rsidR="006C71A3" w:rsidRPr="006C56B5">
        <w:rPr>
          <w:color w:val="000000" w:themeColor="text1"/>
          <w:szCs w:val="22"/>
        </w:rPr>
        <w:t xml:space="preserve"> for the first time since 2009</w:t>
      </w:r>
      <w:r w:rsidRPr="006C56B5">
        <w:rPr>
          <w:color w:val="000000" w:themeColor="text1"/>
          <w:szCs w:val="22"/>
        </w:rPr>
        <w:t xml:space="preserve"> (</w:t>
      </w:r>
      <w:r w:rsidR="00376DBC" w:rsidRPr="006C56B5">
        <w:rPr>
          <w:color w:val="000000" w:themeColor="text1"/>
        </w:rPr>
        <w:fldChar w:fldCharType="begin"/>
      </w:r>
      <w:r w:rsidR="00376DBC" w:rsidRPr="006C56B5">
        <w:rPr>
          <w:color w:val="000000" w:themeColor="text1"/>
        </w:rPr>
        <w:instrText xml:space="preserve"> REF _Ref271613914 \h  \* MERGEFORMAT </w:instrText>
      </w:r>
      <w:r w:rsidR="00376DBC" w:rsidRPr="006C56B5">
        <w:rPr>
          <w:color w:val="000000" w:themeColor="text1"/>
        </w:rPr>
      </w:r>
      <w:r w:rsidR="00376DBC" w:rsidRPr="006C56B5">
        <w:rPr>
          <w:color w:val="000000" w:themeColor="text1"/>
        </w:rPr>
        <w:fldChar w:fldCharType="separate"/>
      </w:r>
      <w:r w:rsidR="00F87DF9" w:rsidRPr="00F87DF9">
        <w:rPr>
          <w:color w:val="000000" w:themeColor="text1"/>
          <w:szCs w:val="22"/>
        </w:rPr>
        <w:t xml:space="preserve">Figure </w:t>
      </w:r>
      <w:r w:rsidR="00F87DF9" w:rsidRPr="00F87DF9">
        <w:rPr>
          <w:noProof/>
          <w:color w:val="000000" w:themeColor="text1"/>
          <w:szCs w:val="22"/>
        </w:rPr>
        <w:t>23</w:t>
      </w:r>
      <w:r w:rsidR="00376DBC" w:rsidRPr="006C56B5">
        <w:rPr>
          <w:color w:val="000000" w:themeColor="text1"/>
        </w:rPr>
        <w:fldChar w:fldCharType="end"/>
      </w:r>
      <w:r w:rsidRPr="006C56B5">
        <w:rPr>
          <w:color w:val="000000" w:themeColor="text1"/>
          <w:szCs w:val="22"/>
        </w:rPr>
        <w:t xml:space="preserve">).These findings </w:t>
      </w:r>
      <w:r w:rsidR="006C71A3" w:rsidRPr="006C56B5">
        <w:rPr>
          <w:color w:val="000000" w:themeColor="text1"/>
          <w:szCs w:val="22"/>
        </w:rPr>
        <w:t xml:space="preserve">and the low values in 2015 </w:t>
      </w:r>
      <w:r w:rsidRPr="006C56B5">
        <w:rPr>
          <w:color w:val="000000" w:themeColor="text1"/>
          <w:szCs w:val="22"/>
        </w:rPr>
        <w:t xml:space="preserve">indicate that nutrients were unlikely to be limiting seagrass growth, however, some concerns have been raised as to </w:t>
      </w:r>
      <w:r w:rsidR="006C56B5">
        <w:rPr>
          <w:color w:val="000000" w:themeColor="text1"/>
          <w:szCs w:val="22"/>
        </w:rPr>
        <w:t>relevance</w:t>
      </w:r>
      <w:r w:rsidRPr="006C56B5">
        <w:rPr>
          <w:color w:val="000000" w:themeColor="text1"/>
          <w:szCs w:val="22"/>
        </w:rPr>
        <w:t xml:space="preserve"> of the global tissue nutrient values</w:t>
      </w:r>
      <w:r w:rsidR="006C56B5">
        <w:rPr>
          <w:color w:val="000000" w:themeColor="text1"/>
          <w:szCs w:val="22"/>
        </w:rPr>
        <w:t xml:space="preserve"> in the </w:t>
      </w:r>
      <w:r w:rsidR="007F6948">
        <w:rPr>
          <w:color w:val="000000" w:themeColor="text1"/>
          <w:szCs w:val="22"/>
        </w:rPr>
        <w:t>Great Barrier Reef</w:t>
      </w:r>
      <w:r w:rsidR="006244BD">
        <w:rPr>
          <w:color w:val="000000" w:themeColor="text1"/>
          <w:szCs w:val="22"/>
        </w:rPr>
        <w:t xml:space="preserve"> because </w:t>
      </w:r>
      <w:r w:rsidR="006244BD" w:rsidRPr="006244BD">
        <w:rPr>
          <w:color w:val="000000" w:themeColor="text1"/>
          <w:szCs w:val="22"/>
        </w:rPr>
        <w:t>the global tissue nutrient values were derived mainly from temperate and structurally large species</w:t>
      </w:r>
      <w:r w:rsidRPr="006C56B5">
        <w:rPr>
          <w:color w:val="000000" w:themeColor="text1"/>
          <w:szCs w:val="22"/>
        </w:rPr>
        <w:t xml:space="preserve"> (</w:t>
      </w:r>
      <w:hyperlink w:anchor="_ENREF_208" w:tooltip="Schaffelke, 2005 #3782" w:history="1">
        <w:r w:rsidR="00305FE7" w:rsidRPr="006C56B5">
          <w:rPr>
            <w:color w:val="000000" w:themeColor="text1"/>
            <w:szCs w:val="22"/>
          </w:rPr>
          <w:fldChar w:fldCharType="begin"/>
        </w:r>
        <w:r w:rsidR="00305FE7">
          <w:rPr>
            <w:color w:val="000000" w:themeColor="text1"/>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 timestamp="0"&gt;3782&lt;/key&gt;&lt;/foreign-keys&gt;&lt;ref-type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305FE7" w:rsidRPr="006C56B5">
          <w:rPr>
            <w:color w:val="000000" w:themeColor="text1"/>
            <w:szCs w:val="22"/>
          </w:rPr>
          <w:fldChar w:fldCharType="separate"/>
        </w:r>
        <w:r w:rsidR="00305FE7">
          <w:rPr>
            <w:noProof/>
            <w:color w:val="000000" w:themeColor="text1"/>
            <w:szCs w:val="22"/>
          </w:rPr>
          <w:t>Schaffelke</w:t>
        </w:r>
        <w:r w:rsidR="00305FE7" w:rsidRPr="00521D93">
          <w:rPr>
            <w:i/>
            <w:noProof/>
            <w:color w:val="000000" w:themeColor="text1"/>
            <w:szCs w:val="22"/>
          </w:rPr>
          <w:t xml:space="preserve"> et al.</w:t>
        </w:r>
        <w:r w:rsidR="00305FE7">
          <w:rPr>
            <w:noProof/>
            <w:color w:val="000000" w:themeColor="text1"/>
            <w:szCs w:val="22"/>
          </w:rPr>
          <w:t xml:space="preserve"> 2005</w:t>
        </w:r>
        <w:r w:rsidR="00305FE7" w:rsidRPr="006C56B5">
          <w:rPr>
            <w:color w:val="000000" w:themeColor="text1"/>
            <w:szCs w:val="22"/>
          </w:rPr>
          <w:fldChar w:fldCharType="end"/>
        </w:r>
      </w:hyperlink>
      <w:r w:rsidRPr="006C56B5">
        <w:rPr>
          <w:color w:val="000000" w:themeColor="text1"/>
          <w:szCs w:val="22"/>
        </w:rPr>
        <w:t xml:space="preserve">). </w:t>
      </w:r>
    </w:p>
    <w:p w14:paraId="195DAAA8" w14:textId="77777777" w:rsidR="006D184F" w:rsidRPr="00A07CCD" w:rsidRDefault="004A3BBC" w:rsidP="00994F86">
      <w:pPr>
        <w:keepNext/>
        <w:jc w:val="center"/>
        <w:rPr>
          <w:color w:val="000000"/>
          <w:szCs w:val="22"/>
        </w:rPr>
      </w:pPr>
      <w:r>
        <w:rPr>
          <w:noProof/>
          <w:color w:val="000000"/>
          <w:szCs w:val="22"/>
          <w:lang w:eastAsia="en-AU"/>
        </w:rPr>
        <w:drawing>
          <wp:inline distT="0" distB="0" distL="0" distR="0" wp14:anchorId="31487CF1" wp14:editId="2B383A4A">
            <wp:extent cx="3920847" cy="1893600"/>
            <wp:effectExtent l="0" t="0" r="3810" b="0"/>
            <wp:docPr id="243" name="Picture 243" descr="Panel of two graphs showing median tissue nutrient concentrations (±Standard Error) in seagrass leaves for each habitat type (species pooled) over the entire monitoring progra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GBR_N_P_yr_Dec16.png"/>
                    <pic:cNvPicPr/>
                  </pic:nvPicPr>
                  <pic:blipFill>
                    <a:blip r:embed="rId60">
                      <a:extLst>
                        <a:ext uri="{28A0092B-C50C-407E-A947-70E740481C1C}">
                          <a14:useLocalDpi xmlns:a14="http://schemas.microsoft.com/office/drawing/2010/main" val="0"/>
                        </a:ext>
                      </a:extLst>
                    </a:blip>
                    <a:stretch>
                      <a:fillRect/>
                    </a:stretch>
                  </pic:blipFill>
                  <pic:spPr>
                    <a:xfrm>
                      <a:off x="0" y="0"/>
                      <a:ext cx="3920847" cy="1893600"/>
                    </a:xfrm>
                    <a:prstGeom prst="rect">
                      <a:avLst/>
                    </a:prstGeom>
                  </pic:spPr>
                </pic:pic>
              </a:graphicData>
            </a:graphic>
          </wp:inline>
        </w:drawing>
      </w:r>
    </w:p>
    <w:p w14:paraId="6838F053" w14:textId="77777777" w:rsidR="0015251F" w:rsidRPr="00716CE2" w:rsidRDefault="006D184F" w:rsidP="0015251F">
      <w:pPr>
        <w:rPr>
          <w:i/>
          <w:vanish/>
          <w:szCs w:val="22"/>
          <w:specVanish/>
        </w:rPr>
      </w:pPr>
      <w:bookmarkStart w:id="178" w:name="_Ref271613914"/>
      <w:bookmarkStart w:id="179" w:name="_Toc516053233"/>
      <w:bookmarkStart w:id="180" w:name="_Toc431493810"/>
      <w:bookmarkStart w:id="181" w:name="_Ref499809046"/>
      <w:r w:rsidRPr="00A07CCD">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23</w:t>
      </w:r>
      <w:r w:rsidR="0073595B">
        <w:rPr>
          <w:color w:val="000000"/>
        </w:rPr>
        <w:fldChar w:fldCharType="end"/>
      </w:r>
      <w:bookmarkEnd w:id="178"/>
      <w:r w:rsidRPr="00A07CCD">
        <w:rPr>
          <w:color w:val="000000"/>
        </w:rPr>
        <w:t xml:space="preserve">. </w:t>
      </w:r>
      <w:r w:rsidRPr="00A07CCD">
        <w:rPr>
          <w:i/>
          <w:color w:val="000000"/>
        </w:rPr>
        <w:t>Median tissue nutrient concentrations (±</w:t>
      </w:r>
      <w:r w:rsidR="00653D95">
        <w:rPr>
          <w:i/>
          <w:color w:val="000000"/>
        </w:rPr>
        <w:t xml:space="preserve"> SE</w:t>
      </w:r>
      <w:r w:rsidRPr="00A07CCD">
        <w:rPr>
          <w:i/>
          <w:color w:val="000000"/>
        </w:rPr>
        <w:t>) in seagrass leaves for each habitat type (species pooled) over the entire monitoring program</w:t>
      </w:r>
      <w:bookmarkEnd w:id="179"/>
    </w:p>
    <w:p w14:paraId="010F05CC" w14:textId="2151A626" w:rsidR="006D184F" w:rsidRPr="00BE25FB" w:rsidRDefault="0015251F" w:rsidP="0015251F">
      <w:pPr>
        <w:rPr>
          <w:i/>
          <w:vanish/>
          <w:color w:val="000000"/>
          <w:szCs w:val="22"/>
        </w:rPr>
      </w:pPr>
      <w:r w:rsidRPr="00716CE2">
        <w:rPr>
          <w:i/>
        </w:rPr>
        <w:t>.</w:t>
      </w:r>
      <w:bookmarkEnd w:id="180"/>
      <w:bookmarkEnd w:id="181"/>
      <w:r w:rsidR="006D184F" w:rsidRPr="00A07CCD">
        <w:rPr>
          <w:i/>
          <w:color w:val="000000"/>
        </w:rPr>
        <w:t xml:space="preserve"> Dashed lines indicate global median values of 1.8</w:t>
      </w:r>
      <w:r w:rsidR="0063478C">
        <w:rPr>
          <w:i/>
          <w:color w:val="000000"/>
        </w:rPr>
        <w:t xml:space="preserve"> per cent</w:t>
      </w:r>
      <w:r w:rsidR="006D184F" w:rsidRPr="00A07CCD">
        <w:rPr>
          <w:i/>
          <w:color w:val="000000"/>
        </w:rPr>
        <w:t xml:space="preserve"> and 0.2</w:t>
      </w:r>
      <w:r w:rsidR="0063478C">
        <w:rPr>
          <w:i/>
          <w:color w:val="000000"/>
        </w:rPr>
        <w:t xml:space="preserve"> per cent</w:t>
      </w:r>
      <w:r w:rsidR="006D184F" w:rsidRPr="00A07CCD">
        <w:rPr>
          <w:i/>
          <w:color w:val="000000"/>
        </w:rPr>
        <w:t xml:space="preserve"> for tissue nitrogen and phosphorus, respectively (</w:t>
      </w:r>
      <w:hyperlink w:anchor="_ENREF_84" w:tooltip="Duarte, 1990 #1954" w:history="1">
        <w:r w:rsidR="00305FE7">
          <w:rPr>
            <w:i/>
            <w:color w:val="000000"/>
          </w:rPr>
          <w:fldChar w:fldCharType="begin"/>
        </w:r>
        <w:r w:rsidR="00305FE7">
          <w:rPr>
            <w:i/>
            <w:color w:val="000000"/>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Pr>
            <w:i/>
            <w:color w:val="000000"/>
          </w:rPr>
          <w:fldChar w:fldCharType="separate"/>
        </w:r>
        <w:r w:rsidR="00305FE7">
          <w:rPr>
            <w:i/>
            <w:noProof/>
            <w:color w:val="000000"/>
          </w:rPr>
          <w:t>Duarte 1990</w:t>
        </w:r>
        <w:r w:rsidR="00305FE7">
          <w:rPr>
            <w:i/>
            <w:color w:val="000000"/>
          </w:rPr>
          <w:fldChar w:fldCharType="end"/>
        </w:r>
      </w:hyperlink>
      <w:r w:rsidR="006D184F" w:rsidRPr="00A07CCD">
        <w:rPr>
          <w:i/>
          <w:color w:val="000000"/>
        </w:rPr>
        <w:t>).</w:t>
      </w:r>
      <w:r w:rsidR="006D184F" w:rsidRPr="00A07CCD">
        <w:rPr>
          <w:color w:val="000000"/>
        </w:rPr>
        <w:t xml:space="preserve"> </w:t>
      </w:r>
    </w:p>
    <w:p w14:paraId="041F1F06" w14:textId="257E1292" w:rsidR="00912F09" w:rsidRDefault="00791A68" w:rsidP="00994F86">
      <w:pPr>
        <w:rPr>
          <w:color w:val="000000" w:themeColor="text1"/>
          <w:szCs w:val="22"/>
        </w:rPr>
      </w:pPr>
      <w:r w:rsidRPr="00AA69AD">
        <w:rPr>
          <w:szCs w:val="22"/>
        </w:rPr>
        <w:t>T</w:t>
      </w:r>
      <w:r w:rsidR="00C2765A" w:rsidRPr="00AA69AD">
        <w:rPr>
          <w:szCs w:val="22"/>
        </w:rPr>
        <w:t>here has been a trend for increasing C:N since 2010 – 2011 in coast and reef intertidal habitats</w:t>
      </w:r>
      <w:r w:rsidR="00C53341" w:rsidRPr="00AA69AD">
        <w:rPr>
          <w:szCs w:val="22"/>
        </w:rPr>
        <w:t xml:space="preserve">. </w:t>
      </w:r>
      <w:r w:rsidR="00376DBC" w:rsidRPr="00AA69AD">
        <w:rPr>
          <w:szCs w:val="22"/>
        </w:rPr>
        <w:t xml:space="preserve">C:N </w:t>
      </w:r>
      <w:r w:rsidR="00C53341" w:rsidRPr="00AA69AD">
        <w:rPr>
          <w:szCs w:val="22"/>
        </w:rPr>
        <w:t xml:space="preserve">values </w:t>
      </w:r>
      <w:r w:rsidR="00C2765A" w:rsidRPr="00AA69AD">
        <w:rPr>
          <w:szCs w:val="22"/>
        </w:rPr>
        <w:t>further increased at coast and reef intertidal habitats, and increased slightly in reef subtidal habitats after a large drop from 2014 to 2015</w:t>
      </w:r>
      <w:r w:rsidR="008D1D00" w:rsidRPr="00AA69AD">
        <w:rPr>
          <w:szCs w:val="22"/>
        </w:rPr>
        <w:t xml:space="preserve"> </w:t>
      </w:r>
      <w:r w:rsidR="00C2765A" w:rsidRPr="00AA69AD">
        <w:rPr>
          <w:szCs w:val="22"/>
        </w:rPr>
        <w:t>(</w:t>
      </w:r>
      <w:r w:rsidR="00C2765A" w:rsidRPr="00AA69AD">
        <w:rPr>
          <w:szCs w:val="22"/>
        </w:rPr>
        <w:fldChar w:fldCharType="begin"/>
      </w:r>
      <w:r w:rsidR="00C2765A" w:rsidRPr="00AA69AD">
        <w:rPr>
          <w:szCs w:val="22"/>
        </w:rPr>
        <w:instrText xml:space="preserve"> REF _Ref271287568 \h </w:instrText>
      </w:r>
      <w:r w:rsidR="00C2765A" w:rsidRPr="00AA69AD">
        <w:rPr>
          <w:szCs w:val="22"/>
        </w:rPr>
      </w:r>
      <w:r w:rsidR="00C2765A" w:rsidRPr="00AA69AD">
        <w:rPr>
          <w:szCs w:val="22"/>
        </w:rPr>
        <w:fldChar w:fldCharType="separate"/>
      </w:r>
      <w:r w:rsidR="00F87DF9" w:rsidRPr="009A66FC">
        <w:rPr>
          <w:color w:val="000000"/>
        </w:rPr>
        <w:t xml:space="preserve">Figure </w:t>
      </w:r>
      <w:r w:rsidR="00F87DF9">
        <w:rPr>
          <w:noProof/>
          <w:color w:val="000000"/>
        </w:rPr>
        <w:t>24</w:t>
      </w:r>
      <w:r w:rsidR="00C2765A" w:rsidRPr="00AA69AD">
        <w:rPr>
          <w:szCs w:val="22"/>
        </w:rPr>
        <w:fldChar w:fldCharType="end"/>
      </w:r>
      <w:r w:rsidR="00C2765A" w:rsidRPr="00AA69AD">
        <w:rPr>
          <w:szCs w:val="22"/>
        </w:rPr>
        <w:t>)</w:t>
      </w:r>
      <w:r w:rsidR="002E6480" w:rsidRPr="00AA69AD">
        <w:rPr>
          <w:szCs w:val="22"/>
        </w:rPr>
        <w:t>.</w:t>
      </w:r>
      <w:r w:rsidR="00C53341" w:rsidRPr="00AA69AD">
        <w:rPr>
          <w:szCs w:val="22"/>
        </w:rPr>
        <w:t xml:space="preserve"> </w:t>
      </w:r>
      <w:r w:rsidR="00804CD0" w:rsidRPr="00AA69AD">
        <w:rPr>
          <w:szCs w:val="22"/>
        </w:rPr>
        <w:t>The lowest C:N</w:t>
      </w:r>
      <w:r w:rsidR="005804B3" w:rsidRPr="00AA69AD">
        <w:rPr>
          <w:szCs w:val="22"/>
        </w:rPr>
        <w:t xml:space="preserve"> values were at Hamilton Island (11.9), Yule Point (12.6), and </w:t>
      </w:r>
      <w:r w:rsidR="00A53DB6" w:rsidRPr="00AA69AD">
        <w:rPr>
          <w:szCs w:val="22"/>
        </w:rPr>
        <w:t>Burrum Heads</w:t>
      </w:r>
      <w:r w:rsidR="005804B3" w:rsidRPr="00AA69AD">
        <w:rPr>
          <w:szCs w:val="22"/>
        </w:rPr>
        <w:t xml:space="preserve"> (</w:t>
      </w:r>
      <w:r w:rsidR="00A53DB6" w:rsidRPr="00AA69AD">
        <w:rPr>
          <w:szCs w:val="22"/>
        </w:rPr>
        <w:t>14</w:t>
      </w:r>
      <w:r w:rsidR="005804B3" w:rsidRPr="00AA69AD">
        <w:rPr>
          <w:szCs w:val="22"/>
        </w:rPr>
        <w:t xml:space="preserve">.8). </w:t>
      </w:r>
      <w:r w:rsidR="00A53DB6" w:rsidRPr="00AA69AD">
        <w:rPr>
          <w:szCs w:val="22"/>
        </w:rPr>
        <w:t>However, m</w:t>
      </w:r>
      <w:r w:rsidR="005804B3" w:rsidRPr="00AA69AD">
        <w:rPr>
          <w:szCs w:val="22"/>
        </w:rPr>
        <w:t xml:space="preserve">ost sites in the </w:t>
      </w:r>
      <w:r w:rsidR="007F6948">
        <w:rPr>
          <w:szCs w:val="22"/>
        </w:rPr>
        <w:t>Great Barrier Reef</w:t>
      </w:r>
      <w:r w:rsidR="005804B3" w:rsidRPr="00AA69AD">
        <w:rPr>
          <w:szCs w:val="22"/>
        </w:rPr>
        <w:t xml:space="preserve"> had </w:t>
      </w:r>
      <w:r w:rsidR="005804B3" w:rsidRPr="00A53DB6">
        <w:rPr>
          <w:color w:val="000000" w:themeColor="text1"/>
          <w:szCs w:val="22"/>
        </w:rPr>
        <w:t xml:space="preserve">increases in the C:N ratio of seagrass leaves, </w:t>
      </w:r>
      <w:r w:rsidR="00A53DB6" w:rsidRPr="00A53DB6">
        <w:rPr>
          <w:color w:val="000000" w:themeColor="text1"/>
          <w:szCs w:val="22"/>
        </w:rPr>
        <w:t xml:space="preserve">and there was a record number of sites exceeding the threshold of 20. This </w:t>
      </w:r>
      <w:r w:rsidR="005804B3" w:rsidRPr="00A53DB6">
        <w:rPr>
          <w:color w:val="000000" w:themeColor="text1"/>
          <w:szCs w:val="22"/>
        </w:rPr>
        <w:t xml:space="preserve">coincided with reduced N:P ratios. These findings indicate that N has been in lower supply to seagrasses </w:t>
      </w:r>
      <w:r w:rsidR="008D1D00" w:rsidRPr="00A53DB6">
        <w:rPr>
          <w:color w:val="000000" w:themeColor="text1"/>
          <w:szCs w:val="22"/>
        </w:rPr>
        <w:t>Multiple years of below average rainfall (</w:t>
      </w:r>
      <w:r w:rsidR="008D1D00" w:rsidRPr="00A53DB6">
        <w:rPr>
          <w:color w:val="000000" w:themeColor="text1"/>
          <w:szCs w:val="22"/>
        </w:rPr>
        <w:fldChar w:fldCharType="begin"/>
      </w:r>
      <w:r w:rsidR="008D1D00" w:rsidRPr="00A53DB6">
        <w:rPr>
          <w:color w:val="000000" w:themeColor="text1"/>
          <w:szCs w:val="22"/>
        </w:rPr>
        <w:instrText xml:space="preserve"> REF _Ref442465342 \h </w:instrText>
      </w:r>
      <w:r w:rsidR="008D1D00" w:rsidRPr="00A53DB6">
        <w:rPr>
          <w:color w:val="000000" w:themeColor="text1"/>
          <w:szCs w:val="22"/>
        </w:rPr>
      </w:r>
      <w:r w:rsidR="008D1D00" w:rsidRPr="00A53DB6">
        <w:rPr>
          <w:color w:val="000000" w:themeColor="text1"/>
          <w:szCs w:val="22"/>
        </w:rPr>
        <w:fldChar w:fldCharType="separate"/>
      </w:r>
      <w:r w:rsidR="00F87DF9">
        <w:t xml:space="preserve">Table </w:t>
      </w:r>
      <w:r w:rsidR="00F87DF9">
        <w:rPr>
          <w:noProof/>
        </w:rPr>
        <w:t>10</w:t>
      </w:r>
      <w:r w:rsidR="008D1D00" w:rsidRPr="00A53DB6">
        <w:rPr>
          <w:color w:val="000000" w:themeColor="text1"/>
          <w:szCs w:val="22"/>
        </w:rPr>
        <w:fldChar w:fldCharType="end"/>
      </w:r>
      <w:r w:rsidR="008D1D00" w:rsidRPr="00A53DB6">
        <w:rPr>
          <w:color w:val="000000" w:themeColor="text1"/>
          <w:szCs w:val="22"/>
        </w:rPr>
        <w:t>)</w:t>
      </w:r>
      <w:r w:rsidR="00991667" w:rsidRPr="00A53DB6">
        <w:rPr>
          <w:color w:val="000000" w:themeColor="text1"/>
          <w:szCs w:val="22"/>
        </w:rPr>
        <w:t xml:space="preserve"> </w:t>
      </w:r>
      <w:r w:rsidR="000D5BB6">
        <w:rPr>
          <w:color w:val="000000" w:themeColor="text1"/>
          <w:szCs w:val="22"/>
        </w:rPr>
        <w:t>have also been associated with small declines in dissolved inorganic nitrogen concentrations (NOx) particularly since 2014</w:t>
      </w:r>
      <w:r w:rsidR="000D5BB6" w:rsidRPr="000D5BB6">
        <w:rPr>
          <w:color w:val="000000" w:themeColor="text1"/>
          <w:szCs w:val="22"/>
        </w:rPr>
        <w:t xml:space="preserve"> </w:t>
      </w:r>
      <w:r w:rsidR="000D5BB6">
        <w:rPr>
          <w:color w:val="000000" w:themeColor="text1"/>
          <w:szCs w:val="22"/>
        </w:rPr>
        <w:t xml:space="preserve">in some of the subcatchments of the Wet Tropics and Burdekin regions. However, nitrogen availability remains considerably elevated relative to 2006 </w:t>
      </w:r>
      <w:r w:rsidR="004225B8">
        <w:rPr>
          <w:color w:val="000000" w:themeColor="text1"/>
          <w:szCs w:val="22"/>
        </w:rPr>
        <w:t xml:space="preserve">(Waterhouse </w:t>
      </w:r>
      <w:r w:rsidR="004225B8" w:rsidRPr="004225B8">
        <w:rPr>
          <w:i/>
          <w:color w:val="000000" w:themeColor="text1"/>
          <w:szCs w:val="22"/>
        </w:rPr>
        <w:t>et al.</w:t>
      </w:r>
      <w:r w:rsidR="004225B8">
        <w:rPr>
          <w:color w:val="000000" w:themeColor="text1"/>
          <w:szCs w:val="22"/>
        </w:rPr>
        <w:t xml:space="preserve"> 2018).</w:t>
      </w:r>
    </w:p>
    <w:p w14:paraId="09A42C0D" w14:textId="77777777" w:rsidR="00F428D6" w:rsidRPr="00B229A4" w:rsidRDefault="004A3BBC" w:rsidP="00994F86">
      <w:pPr>
        <w:rPr>
          <w:szCs w:val="22"/>
        </w:rPr>
      </w:pPr>
      <w:r>
        <w:rPr>
          <w:noProof/>
          <w:szCs w:val="22"/>
          <w:lang w:eastAsia="en-AU"/>
        </w:rPr>
        <w:drawing>
          <wp:inline distT="0" distB="0" distL="0" distR="0" wp14:anchorId="76059309" wp14:editId="5325C9E5">
            <wp:extent cx="5750973" cy="1335405"/>
            <wp:effectExtent l="0" t="0" r="2540" b="0"/>
            <wp:docPr id="244" name="Picture 244" descr="Panel of four graphs showing annual elemental ratios (atomic) of seagrass leaf tissue C:N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GBR_CN_yr_Dec16.png"/>
                    <pic:cNvPicPr/>
                  </pic:nvPicPr>
                  <pic:blipFill>
                    <a:blip r:embed="rId61">
                      <a:extLst>
                        <a:ext uri="{28A0092B-C50C-407E-A947-70E740481C1C}">
                          <a14:useLocalDpi xmlns:a14="http://schemas.microsoft.com/office/drawing/2010/main" val="0"/>
                        </a:ext>
                      </a:extLst>
                    </a:blip>
                    <a:stretch>
                      <a:fillRect/>
                    </a:stretch>
                  </pic:blipFill>
                  <pic:spPr>
                    <a:xfrm>
                      <a:off x="0" y="0"/>
                      <a:ext cx="5750973" cy="1335405"/>
                    </a:xfrm>
                    <a:prstGeom prst="rect">
                      <a:avLst/>
                    </a:prstGeom>
                  </pic:spPr>
                </pic:pic>
              </a:graphicData>
            </a:graphic>
          </wp:inline>
        </w:drawing>
      </w:r>
    </w:p>
    <w:p w14:paraId="6C207955" w14:textId="77777777" w:rsidR="0015251F" w:rsidRPr="009F7BEA" w:rsidRDefault="00F428D6" w:rsidP="0015251F">
      <w:pPr>
        <w:pStyle w:val="Caption"/>
        <w:rPr>
          <w:i/>
          <w:vanish/>
          <w:color w:val="000000" w:themeColor="text1"/>
          <w:specVanish/>
        </w:rPr>
      </w:pPr>
      <w:bookmarkStart w:id="182" w:name="_Ref271287568"/>
      <w:bookmarkStart w:id="183" w:name="_Toc431493811"/>
      <w:bookmarkStart w:id="184" w:name="_Toc516053234"/>
      <w:r w:rsidRPr="009A66FC">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24</w:t>
      </w:r>
      <w:r>
        <w:rPr>
          <w:color w:val="000000"/>
        </w:rPr>
        <w:fldChar w:fldCharType="end"/>
      </w:r>
      <w:bookmarkEnd w:id="182"/>
      <w:r w:rsidRPr="009A66FC">
        <w:rPr>
          <w:color w:val="000000"/>
        </w:rPr>
        <w:t xml:space="preserve">. </w:t>
      </w:r>
      <w:r w:rsidRPr="009A66FC">
        <w:rPr>
          <w:i/>
          <w:color w:val="000000"/>
          <w:lang w:eastAsia="en-AU"/>
        </w:rPr>
        <w:t>Elemental ratios (atomic) of seagrass leaf tissue C:N for each habitat each year</w:t>
      </w:r>
      <w:bookmarkEnd w:id="183"/>
      <w:bookmarkEnd w:id="184"/>
    </w:p>
    <w:p w14:paraId="38E8939E" w14:textId="16FC67A2" w:rsidR="00F428D6" w:rsidRPr="009A66FC" w:rsidRDefault="00F428D6" w:rsidP="0015251F">
      <w:pPr>
        <w:pStyle w:val="Caption"/>
        <w:rPr>
          <w:color w:val="000000"/>
          <w:lang w:eastAsia="en-AU"/>
        </w:rPr>
      </w:pPr>
      <w:r w:rsidRPr="009A66FC">
        <w:rPr>
          <w:i/>
          <w:color w:val="000000"/>
          <w:lang w:eastAsia="en-AU"/>
        </w:rPr>
        <w:t xml:space="preserve"> </w:t>
      </w:r>
      <w:r w:rsidR="00653D95" w:rsidRPr="009A66FC">
        <w:rPr>
          <w:i/>
          <w:color w:val="000000"/>
          <w:lang w:eastAsia="en-AU"/>
        </w:rPr>
        <w:t xml:space="preserve">(± </w:t>
      </w:r>
      <w:r w:rsidR="00653D95">
        <w:rPr>
          <w:i/>
          <w:color w:val="000000"/>
          <w:lang w:eastAsia="en-AU"/>
        </w:rPr>
        <w:t>SE</w:t>
      </w:r>
      <w:r w:rsidR="00653D95" w:rsidRPr="009A66FC">
        <w:rPr>
          <w:i/>
          <w:color w:val="000000"/>
          <w:lang w:eastAsia="en-AU"/>
        </w:rPr>
        <w:t>)</w:t>
      </w:r>
      <w:r w:rsidRPr="009A66FC">
        <w:rPr>
          <w:i/>
          <w:color w:val="000000"/>
          <w:lang w:eastAsia="en-AU"/>
        </w:rPr>
        <w:t xml:space="preserve"> (foundation species pooled). </w:t>
      </w:r>
      <w:r w:rsidR="00820EBC">
        <w:rPr>
          <w:i/>
          <w:color w:val="000000"/>
          <w:lang w:eastAsia="en-AU"/>
        </w:rPr>
        <w:t>Shaded band</w:t>
      </w:r>
      <w:r w:rsidRPr="009A66FC">
        <w:rPr>
          <w:i/>
          <w:color w:val="000000"/>
          <w:lang w:eastAsia="en-AU"/>
        </w:rPr>
        <w:t xml:space="preserve"> represents the accepted </w:t>
      </w:r>
      <w:r w:rsidRPr="009A66FC">
        <w:rPr>
          <w:i/>
          <w:color w:val="000000"/>
        </w:rPr>
        <w:t xml:space="preserve">guideline </w:t>
      </w:r>
      <w:r w:rsidRPr="009A66FC">
        <w:rPr>
          <w:i/>
          <w:color w:val="000000"/>
          <w:lang w:eastAsia="en-AU"/>
        </w:rPr>
        <w:t xml:space="preserve">seagrass “Redfield” ratio </w:t>
      </w:r>
      <w:r w:rsidRPr="009A66FC">
        <w:rPr>
          <w:i/>
          <w:color w:val="000000"/>
        </w:rPr>
        <w:t>of 20:1 (</w:t>
      </w:r>
      <w:r>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 </w:instrText>
      </w:r>
      <w:r w:rsidR="00521D93">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EN.CITE.DATA </w:instrText>
      </w:r>
      <w:r w:rsidR="00521D93">
        <w:rPr>
          <w:i/>
          <w:color w:val="000000"/>
        </w:rPr>
      </w:r>
      <w:r w:rsidR="00521D93">
        <w:rPr>
          <w:i/>
          <w:color w:val="000000"/>
        </w:rPr>
        <w:fldChar w:fldCharType="end"/>
      </w:r>
      <w:r>
        <w:rPr>
          <w:i/>
          <w:color w:val="000000"/>
        </w:rPr>
      </w:r>
      <w:r>
        <w:rPr>
          <w:i/>
          <w:color w:val="000000"/>
        </w:rPr>
        <w:fldChar w:fldCharType="separate"/>
      </w:r>
      <w:hyperlink w:anchor="_ENREF_2" w:tooltip="Abal, 1994 #7405" w:history="1">
        <w:r w:rsidR="00305FE7">
          <w:rPr>
            <w:i/>
            <w:noProof/>
            <w:color w:val="000000"/>
          </w:rPr>
          <w:t>Abal et al. 1994</w:t>
        </w:r>
      </w:hyperlink>
      <w:r w:rsidR="00521D93">
        <w:rPr>
          <w:i/>
          <w:noProof/>
          <w:color w:val="000000"/>
        </w:rPr>
        <w:t xml:space="preserve">; </w:t>
      </w:r>
      <w:hyperlink w:anchor="_ENREF_107" w:tooltip="Grice, 1996 #1346" w:history="1">
        <w:r w:rsidR="00305FE7">
          <w:rPr>
            <w:i/>
            <w:noProof/>
            <w:color w:val="000000"/>
          </w:rPr>
          <w:t>Grice et al. 1996</w:t>
        </w:r>
      </w:hyperlink>
      <w:r>
        <w:rPr>
          <w:i/>
          <w:color w:val="000000"/>
        </w:rPr>
        <w:fldChar w:fldCharType="end"/>
      </w:r>
      <w:r w:rsidRPr="009A66FC">
        <w:rPr>
          <w:i/>
          <w:color w:val="000000"/>
        </w:rPr>
        <w:t>)</w:t>
      </w:r>
      <w:r w:rsidRPr="009A66FC">
        <w:rPr>
          <w:i/>
          <w:color w:val="000000"/>
          <w:lang w:eastAsia="en-AU"/>
        </w:rPr>
        <w:t xml:space="preserve">. C:N ratios below this line may </w:t>
      </w:r>
      <w:r w:rsidRPr="009A66FC">
        <w:rPr>
          <w:i/>
          <w:color w:val="000000"/>
        </w:rPr>
        <w:t>indicate reduced light availability and/or N enrichment</w:t>
      </w:r>
      <w:r w:rsidRPr="009A66FC">
        <w:rPr>
          <w:i/>
          <w:color w:val="000000"/>
          <w:lang w:eastAsia="en-AU"/>
        </w:rPr>
        <w:t>.</w:t>
      </w:r>
      <w:r w:rsidRPr="009A66FC">
        <w:rPr>
          <w:color w:val="000000"/>
          <w:lang w:eastAsia="en-AU"/>
        </w:rPr>
        <w:t xml:space="preserve"> </w:t>
      </w:r>
    </w:p>
    <w:p w14:paraId="278F743F" w14:textId="38D5A54B" w:rsidR="007F7A67" w:rsidRPr="00593D9E" w:rsidRDefault="007F7A67" w:rsidP="00994F86">
      <w:pPr>
        <w:rPr>
          <w:szCs w:val="22"/>
        </w:rPr>
      </w:pPr>
      <w:r w:rsidRPr="00341CED">
        <w:rPr>
          <w:color w:val="000000" w:themeColor="text1"/>
          <w:szCs w:val="22"/>
        </w:rPr>
        <w:t>Average leaf tissue δ</w:t>
      </w:r>
      <w:r w:rsidRPr="00341CED">
        <w:rPr>
          <w:color w:val="000000" w:themeColor="text1"/>
          <w:szCs w:val="22"/>
          <w:vertAlign w:val="superscript"/>
        </w:rPr>
        <w:t>15</w:t>
      </w:r>
      <w:r w:rsidR="006B68E3">
        <w:rPr>
          <w:color w:val="000000" w:themeColor="text1"/>
          <w:szCs w:val="22"/>
        </w:rPr>
        <w:t>N values in</w:t>
      </w:r>
      <w:r w:rsidRPr="00341CED">
        <w:rPr>
          <w:color w:val="000000" w:themeColor="text1"/>
          <w:szCs w:val="22"/>
        </w:rPr>
        <w:t xml:space="preserve">creased in all habitat types in </w:t>
      </w:r>
      <w:r w:rsidR="008574EC">
        <w:rPr>
          <w:color w:val="000000" w:themeColor="text1"/>
          <w:szCs w:val="22"/>
        </w:rPr>
        <w:t>2016–17</w:t>
      </w:r>
      <w:r w:rsidRPr="00341CED">
        <w:rPr>
          <w:color w:val="000000" w:themeColor="text1"/>
          <w:szCs w:val="22"/>
        </w:rPr>
        <w:t xml:space="preserve">, except at reef intertidal </w:t>
      </w:r>
      <w:r w:rsidRPr="006B68E3">
        <w:rPr>
          <w:szCs w:val="22"/>
        </w:rPr>
        <w:t xml:space="preserve">sites in which </w:t>
      </w:r>
      <w:r w:rsidRPr="006B68E3">
        <w:rPr>
          <w:i/>
          <w:szCs w:val="22"/>
        </w:rPr>
        <w:t>H. uninervis</w:t>
      </w:r>
      <w:r w:rsidRPr="006B68E3">
        <w:rPr>
          <w:szCs w:val="22"/>
        </w:rPr>
        <w:t xml:space="preserve"> and </w:t>
      </w:r>
      <w:r w:rsidRPr="006B68E3">
        <w:rPr>
          <w:i/>
          <w:szCs w:val="22"/>
        </w:rPr>
        <w:t>C. rotundata</w:t>
      </w:r>
      <w:r w:rsidR="006B68E3" w:rsidRPr="006B68E3">
        <w:rPr>
          <w:szCs w:val="22"/>
        </w:rPr>
        <w:t xml:space="preserve"> de</w:t>
      </w:r>
      <w:r w:rsidRPr="006B68E3">
        <w:rPr>
          <w:szCs w:val="22"/>
        </w:rPr>
        <w:t>creased their δ</w:t>
      </w:r>
      <w:r w:rsidRPr="006B68E3">
        <w:rPr>
          <w:szCs w:val="22"/>
          <w:vertAlign w:val="superscript"/>
        </w:rPr>
        <w:t>15</w:t>
      </w:r>
      <w:r w:rsidRPr="006B68E3">
        <w:rPr>
          <w:szCs w:val="22"/>
        </w:rPr>
        <w:t>N</w:t>
      </w:r>
      <w:r w:rsidR="000E614D">
        <w:rPr>
          <w:szCs w:val="22"/>
        </w:rPr>
        <w:t xml:space="preserve"> (</w:t>
      </w:r>
      <w:r w:rsidR="000E614D">
        <w:rPr>
          <w:szCs w:val="22"/>
        </w:rPr>
        <w:fldChar w:fldCharType="begin"/>
      </w:r>
      <w:r w:rsidR="000E614D">
        <w:rPr>
          <w:szCs w:val="22"/>
        </w:rPr>
        <w:instrText xml:space="preserve"> REF _Ref511386390 \h </w:instrText>
      </w:r>
      <w:r w:rsidR="000E614D">
        <w:rPr>
          <w:szCs w:val="22"/>
        </w:rPr>
      </w:r>
      <w:r w:rsidR="000E614D">
        <w:rPr>
          <w:szCs w:val="22"/>
        </w:rPr>
        <w:fldChar w:fldCharType="separate"/>
      </w:r>
      <w:r w:rsidR="00F87DF9">
        <w:t xml:space="preserve">Figure </w:t>
      </w:r>
      <w:r w:rsidR="00F87DF9">
        <w:rPr>
          <w:noProof/>
        </w:rPr>
        <w:t>25</w:t>
      </w:r>
      <w:r w:rsidR="000E614D">
        <w:rPr>
          <w:szCs w:val="22"/>
        </w:rPr>
        <w:fldChar w:fldCharType="end"/>
      </w:r>
      <w:r w:rsidR="000E614D">
        <w:rPr>
          <w:szCs w:val="22"/>
        </w:rPr>
        <w:t>)</w:t>
      </w:r>
      <w:r w:rsidRPr="006B68E3">
        <w:rPr>
          <w:szCs w:val="22"/>
        </w:rPr>
        <w:t>. Negative δ</w:t>
      </w:r>
      <w:r w:rsidRPr="006B68E3">
        <w:rPr>
          <w:szCs w:val="22"/>
          <w:vertAlign w:val="superscript"/>
        </w:rPr>
        <w:t>15</w:t>
      </w:r>
      <w:r w:rsidRPr="006B68E3">
        <w:rPr>
          <w:szCs w:val="22"/>
        </w:rPr>
        <w:t xml:space="preserve">N values were found in </w:t>
      </w:r>
      <w:r w:rsidRPr="007051DA">
        <w:rPr>
          <w:color w:val="000000" w:themeColor="text1"/>
          <w:szCs w:val="22"/>
        </w:rPr>
        <w:t>some species at the Cape York reef (</w:t>
      </w:r>
      <w:r w:rsidR="006B68E3" w:rsidRPr="006B68E3">
        <w:rPr>
          <w:i/>
          <w:color w:val="000000" w:themeColor="text1"/>
          <w:szCs w:val="22"/>
        </w:rPr>
        <w:t>C. rotundata</w:t>
      </w:r>
      <w:r w:rsidR="006B68E3">
        <w:rPr>
          <w:i/>
          <w:color w:val="000000" w:themeColor="text1"/>
          <w:szCs w:val="22"/>
        </w:rPr>
        <w:t xml:space="preserve"> </w:t>
      </w:r>
      <w:r w:rsidR="006B68E3" w:rsidRPr="006B68E3">
        <w:rPr>
          <w:color w:val="000000" w:themeColor="text1"/>
          <w:szCs w:val="22"/>
        </w:rPr>
        <w:t>and</w:t>
      </w:r>
      <w:r w:rsidR="006B68E3">
        <w:rPr>
          <w:color w:val="000000" w:themeColor="text1"/>
          <w:szCs w:val="22"/>
        </w:rPr>
        <w:t xml:space="preserve"> </w:t>
      </w:r>
      <w:r w:rsidR="006B68E3">
        <w:rPr>
          <w:i/>
          <w:color w:val="000000" w:themeColor="text1"/>
          <w:szCs w:val="22"/>
        </w:rPr>
        <w:t>H. uninervis</w:t>
      </w:r>
      <w:r w:rsidRPr="007051DA">
        <w:rPr>
          <w:color w:val="000000" w:themeColor="text1"/>
          <w:szCs w:val="22"/>
        </w:rPr>
        <w:t>) and coastal sites (</w:t>
      </w:r>
      <w:r w:rsidRPr="007051DA">
        <w:rPr>
          <w:i/>
          <w:color w:val="000000" w:themeColor="text1"/>
          <w:szCs w:val="22"/>
        </w:rPr>
        <w:t>T. hemprichii</w:t>
      </w:r>
      <w:r w:rsidRPr="007051DA">
        <w:rPr>
          <w:color w:val="000000" w:themeColor="text1"/>
          <w:szCs w:val="22"/>
        </w:rPr>
        <w:t xml:space="preserve">), Wet Tropics </w:t>
      </w:r>
      <w:r w:rsidR="006B68E3">
        <w:rPr>
          <w:color w:val="000000" w:themeColor="text1"/>
          <w:szCs w:val="22"/>
        </w:rPr>
        <w:t>coastal (</w:t>
      </w:r>
      <w:r w:rsidR="006B68E3">
        <w:rPr>
          <w:i/>
          <w:color w:val="000000" w:themeColor="text1"/>
          <w:szCs w:val="22"/>
        </w:rPr>
        <w:t>H. uninervis</w:t>
      </w:r>
      <w:r w:rsidR="006B68E3" w:rsidRPr="007051DA">
        <w:rPr>
          <w:color w:val="000000" w:themeColor="text1"/>
          <w:szCs w:val="22"/>
        </w:rPr>
        <w:t>)</w:t>
      </w:r>
      <w:r w:rsidR="006B68E3">
        <w:rPr>
          <w:color w:val="000000" w:themeColor="text1"/>
          <w:szCs w:val="22"/>
        </w:rPr>
        <w:t xml:space="preserve"> and </w:t>
      </w:r>
      <w:r w:rsidRPr="007051DA">
        <w:rPr>
          <w:color w:val="000000" w:themeColor="text1"/>
          <w:szCs w:val="22"/>
        </w:rPr>
        <w:t>reef subtidal sites (</w:t>
      </w:r>
      <w:r w:rsidRPr="007051DA">
        <w:rPr>
          <w:i/>
          <w:color w:val="000000" w:themeColor="text1"/>
          <w:szCs w:val="22"/>
        </w:rPr>
        <w:t xml:space="preserve">C. </w:t>
      </w:r>
      <w:r w:rsidR="006B68E3" w:rsidRPr="006B68E3">
        <w:rPr>
          <w:i/>
          <w:color w:val="000000" w:themeColor="text1"/>
          <w:szCs w:val="22"/>
        </w:rPr>
        <w:t>rotundata</w:t>
      </w:r>
      <w:r>
        <w:rPr>
          <w:color w:val="000000" w:themeColor="text1"/>
          <w:szCs w:val="22"/>
        </w:rPr>
        <w:t>)</w:t>
      </w:r>
      <w:r w:rsidR="006B68E3">
        <w:rPr>
          <w:color w:val="000000" w:themeColor="text1"/>
          <w:szCs w:val="22"/>
        </w:rPr>
        <w:t>,</w:t>
      </w:r>
      <w:r>
        <w:rPr>
          <w:color w:val="000000" w:themeColor="text1"/>
          <w:szCs w:val="22"/>
        </w:rPr>
        <w:t xml:space="preserve"> </w:t>
      </w:r>
      <w:r w:rsidR="006B68E3">
        <w:rPr>
          <w:color w:val="000000" w:themeColor="text1"/>
          <w:szCs w:val="22"/>
        </w:rPr>
        <w:t xml:space="preserve">Mackay Whitsunday </w:t>
      </w:r>
      <w:r>
        <w:rPr>
          <w:color w:val="000000" w:themeColor="text1"/>
          <w:szCs w:val="22"/>
        </w:rPr>
        <w:t>r</w:t>
      </w:r>
      <w:r w:rsidRPr="007051DA">
        <w:rPr>
          <w:color w:val="000000" w:themeColor="text1"/>
          <w:szCs w:val="22"/>
        </w:rPr>
        <w:t>eef site</w:t>
      </w:r>
      <w:r w:rsidR="006B68E3">
        <w:rPr>
          <w:color w:val="000000" w:themeColor="text1"/>
          <w:szCs w:val="22"/>
        </w:rPr>
        <w:t>s</w:t>
      </w:r>
      <w:r w:rsidRPr="007051DA">
        <w:rPr>
          <w:color w:val="000000" w:themeColor="text1"/>
          <w:szCs w:val="22"/>
        </w:rPr>
        <w:t xml:space="preserve"> (</w:t>
      </w:r>
      <w:r w:rsidRPr="007051DA">
        <w:rPr>
          <w:i/>
          <w:color w:val="000000" w:themeColor="text1"/>
          <w:szCs w:val="22"/>
        </w:rPr>
        <w:t>H. uninervis</w:t>
      </w:r>
      <w:r w:rsidRPr="007051DA">
        <w:rPr>
          <w:color w:val="000000" w:themeColor="text1"/>
          <w:szCs w:val="22"/>
        </w:rPr>
        <w:t>)</w:t>
      </w:r>
      <w:r w:rsidR="006B68E3">
        <w:rPr>
          <w:color w:val="000000" w:themeColor="text1"/>
          <w:szCs w:val="22"/>
        </w:rPr>
        <w:t>,</w:t>
      </w:r>
      <w:r w:rsidRPr="007051DA">
        <w:rPr>
          <w:color w:val="000000" w:themeColor="text1"/>
          <w:szCs w:val="22"/>
        </w:rPr>
        <w:t xml:space="preserve"> </w:t>
      </w:r>
      <w:r w:rsidR="006B68E3">
        <w:rPr>
          <w:color w:val="000000" w:themeColor="text1"/>
          <w:szCs w:val="22"/>
        </w:rPr>
        <w:t>and the Fitzroy coastal (</w:t>
      </w:r>
      <w:r w:rsidR="000E614D" w:rsidRPr="007051DA">
        <w:rPr>
          <w:i/>
          <w:color w:val="000000" w:themeColor="text1"/>
          <w:szCs w:val="22"/>
        </w:rPr>
        <w:t>H. uninervis</w:t>
      </w:r>
      <w:r w:rsidR="006B68E3">
        <w:rPr>
          <w:color w:val="000000" w:themeColor="text1"/>
          <w:szCs w:val="22"/>
        </w:rPr>
        <w:t xml:space="preserve">) and reef </w:t>
      </w:r>
      <w:r w:rsidR="006B68E3" w:rsidRPr="007051DA">
        <w:rPr>
          <w:color w:val="000000" w:themeColor="text1"/>
          <w:szCs w:val="22"/>
        </w:rPr>
        <w:t>(</w:t>
      </w:r>
      <w:r w:rsidR="006B68E3" w:rsidRPr="007051DA">
        <w:rPr>
          <w:i/>
          <w:color w:val="000000" w:themeColor="text1"/>
          <w:szCs w:val="22"/>
        </w:rPr>
        <w:t>H. uninervis</w:t>
      </w:r>
      <w:r w:rsidR="006B68E3" w:rsidRPr="007051DA">
        <w:rPr>
          <w:color w:val="000000" w:themeColor="text1"/>
          <w:szCs w:val="22"/>
        </w:rPr>
        <w:t xml:space="preserve"> and </w:t>
      </w:r>
      <w:r w:rsidR="006B68E3" w:rsidRPr="007051DA">
        <w:rPr>
          <w:i/>
          <w:color w:val="000000" w:themeColor="text1"/>
          <w:szCs w:val="22"/>
        </w:rPr>
        <w:t>Z. muelleri</w:t>
      </w:r>
      <w:r w:rsidR="006B68E3" w:rsidRPr="007051DA">
        <w:rPr>
          <w:color w:val="000000" w:themeColor="text1"/>
          <w:szCs w:val="22"/>
        </w:rPr>
        <w:t>)</w:t>
      </w:r>
      <w:r w:rsidR="000E614D">
        <w:rPr>
          <w:color w:val="000000" w:themeColor="text1"/>
          <w:szCs w:val="22"/>
        </w:rPr>
        <w:t xml:space="preserve"> sites (</w:t>
      </w:r>
      <w:r w:rsidR="000E614D">
        <w:rPr>
          <w:color w:val="000000" w:themeColor="text1"/>
          <w:szCs w:val="22"/>
        </w:rPr>
        <w:fldChar w:fldCharType="begin"/>
      </w:r>
      <w:r w:rsidR="000E614D">
        <w:rPr>
          <w:color w:val="000000" w:themeColor="text1"/>
          <w:szCs w:val="22"/>
        </w:rPr>
        <w:instrText xml:space="preserve"> REF _Ref442529366 \h </w:instrText>
      </w:r>
      <w:r w:rsidR="000E614D">
        <w:rPr>
          <w:color w:val="000000" w:themeColor="text1"/>
          <w:szCs w:val="22"/>
        </w:rPr>
      </w:r>
      <w:r w:rsidR="000E614D">
        <w:rPr>
          <w:color w:val="000000" w:themeColor="text1"/>
          <w:szCs w:val="22"/>
        </w:rPr>
        <w:fldChar w:fldCharType="separate"/>
      </w:r>
      <w:r w:rsidR="00F87DF9">
        <w:rPr>
          <w:szCs w:val="22"/>
        </w:rPr>
        <w:t xml:space="preserve">Table </w:t>
      </w:r>
      <w:r w:rsidR="00F87DF9">
        <w:rPr>
          <w:noProof/>
          <w:szCs w:val="22"/>
        </w:rPr>
        <w:t>54</w:t>
      </w:r>
      <w:r w:rsidR="000E614D">
        <w:rPr>
          <w:color w:val="000000" w:themeColor="text1"/>
          <w:szCs w:val="22"/>
        </w:rPr>
        <w:fldChar w:fldCharType="end"/>
      </w:r>
      <w:r w:rsidR="000E614D">
        <w:rPr>
          <w:color w:val="000000" w:themeColor="text1"/>
          <w:szCs w:val="22"/>
        </w:rPr>
        <w:t>)</w:t>
      </w:r>
      <w:r w:rsidR="006B68E3">
        <w:rPr>
          <w:color w:val="000000" w:themeColor="text1"/>
          <w:szCs w:val="22"/>
        </w:rPr>
        <w:t xml:space="preserve">. </w:t>
      </w:r>
      <w:r>
        <w:rPr>
          <w:color w:val="000000" w:themeColor="text1"/>
          <w:szCs w:val="22"/>
        </w:rPr>
        <w:t xml:space="preserve">Very low or negative values of </w:t>
      </w:r>
      <w:r w:rsidRPr="007051DA">
        <w:rPr>
          <w:color w:val="000000" w:themeColor="text1"/>
          <w:szCs w:val="22"/>
        </w:rPr>
        <w:t>δ</w:t>
      </w:r>
      <w:r w:rsidRPr="007051DA">
        <w:rPr>
          <w:color w:val="000000" w:themeColor="text1"/>
          <w:szCs w:val="22"/>
          <w:vertAlign w:val="superscript"/>
        </w:rPr>
        <w:t>15</w:t>
      </w:r>
      <w:r w:rsidRPr="007051DA">
        <w:rPr>
          <w:color w:val="000000" w:themeColor="text1"/>
          <w:szCs w:val="22"/>
        </w:rPr>
        <w:t>N</w:t>
      </w:r>
      <w:r>
        <w:rPr>
          <w:color w:val="000000" w:themeColor="text1"/>
          <w:szCs w:val="22"/>
        </w:rPr>
        <w:t xml:space="preserve"> can indicate nitrogen sourced from nitrogen fixation (</w:t>
      </w:r>
      <w:r>
        <w:rPr>
          <w:color w:val="000000" w:themeColor="text1"/>
          <w:szCs w:val="22"/>
        </w:rPr>
        <w:fldChar w:fldCharType="begin"/>
      </w:r>
      <w:r>
        <w:rPr>
          <w:color w:val="000000" w:themeColor="text1"/>
          <w:szCs w:val="22"/>
        </w:rPr>
        <w:instrText xml:space="preserve"> ADDIN EN.CITE &lt;EndNote&gt;&lt;Cite&gt;&lt;Author&gt;Owens&lt;/Author&gt;&lt;Year&gt;1988&lt;/Year&gt;&lt;RecNum&gt;10911&lt;/RecNum&gt;&lt;DisplayText&gt;Peterson and Fry 1987; Owens 1988&lt;/DisplayText&gt;&lt;record&gt;&lt;rec-number&gt;10911&lt;/rec-number&gt;&lt;foreign-keys&gt;&lt;key app="EN" db-id="0eve55x9y5vfd6e9dacxtew4eatve2dzds9a" timestamp="1488169659"&gt;10911&lt;/key&gt;&lt;/foreign-keys&gt;&lt;ref-type name="Book Section"&gt;5&lt;/ref-type&gt;&lt;contributors&gt;&lt;authors&gt;&lt;author&gt;Owens, N J P&lt;/author&gt;&lt;/authors&gt;&lt;secondary-authors&gt;&lt;author&gt;Blaxter, J H S&lt;/author&gt;&lt;author&gt;Southward, A J&lt;/author&gt;&lt;/secondary-authors&gt;&lt;/contributors&gt;&lt;titles&gt;&lt;title&gt;Natural Variations in 15N in the Marine Environment&lt;/title&gt;&lt;secondary-title&gt;Advances in Marine Biology&lt;/secondary-title&gt;&lt;/titles&gt;&lt;pages&gt;389-451&lt;/pages&gt;&lt;dates&gt;&lt;year&gt;1988&lt;/year&gt;&lt;/dates&gt;&lt;publisher&gt;Academic Press&lt;/publisher&gt;&lt;urls&gt;&lt;/urls&gt;&lt;/record&gt;&lt;/Cite&gt;&lt;Cite&gt;&lt;Author&gt;Peterson&lt;/Author&gt;&lt;Year&gt;1987&lt;/Year&gt;&lt;RecNum&gt;1082&lt;/RecNum&gt;&lt;record&gt;&lt;rec-number&gt;1082&lt;/rec-number&gt;&lt;foreign-keys&gt;&lt;key app="EN" db-id="0eve55x9y5vfd6e9dacxtew4eatve2dzds9a" timestamp="0"&gt;1082&lt;/key&gt;&lt;/foreign-keys&gt;&lt;ref-type name="Journal Article"&gt;17&lt;/ref-type&gt;&lt;contributors&gt;&lt;authors&gt;&lt;author&gt;Peterson, Bruce J.&lt;/author&gt;&lt;author&gt;Fry, B.&lt;/author&gt;&lt;/authors&gt;&lt;/contributors&gt;&lt;titles&gt;&lt;title&gt;Stable Isotopes in Ecostystem Studies&lt;/title&gt;&lt;secondary-title&gt;Annual Reveiw of Ecological Systematics&lt;/secondary-title&gt;&lt;alt-title&gt;Ann. Rev. Ecol. Syst&lt;/alt-title&gt;&lt;/titles&gt;&lt;pages&gt;293-320&lt;/pages&gt;&lt;volume&gt;18&lt;/volume&gt;&lt;keywords&gt;&lt;keyword&gt;ISOTOPES&lt;/keyword&gt;&lt;/keywords&gt;&lt;dates&gt;&lt;year&gt;1987&lt;/year&gt;&lt;/dates&gt;&lt;label&gt;1159&lt;/label&gt;&lt;urls&gt;&lt;/urls&gt;&lt;custom1&gt;Annex&lt;/custom1&gt;&lt;/record&gt;&lt;/Cite&gt;&lt;/EndNote&gt;</w:instrText>
      </w:r>
      <w:r>
        <w:rPr>
          <w:color w:val="000000" w:themeColor="text1"/>
          <w:szCs w:val="22"/>
        </w:rPr>
        <w:fldChar w:fldCharType="separate"/>
      </w:r>
      <w:hyperlink w:anchor="_ENREF_185" w:tooltip="Peterson, 1987 #1082" w:history="1">
        <w:r w:rsidR="00305FE7">
          <w:rPr>
            <w:noProof/>
            <w:color w:val="000000" w:themeColor="text1"/>
            <w:szCs w:val="22"/>
          </w:rPr>
          <w:t>Peterson and Fry 1987</w:t>
        </w:r>
      </w:hyperlink>
      <w:r>
        <w:rPr>
          <w:noProof/>
          <w:color w:val="000000" w:themeColor="text1"/>
          <w:szCs w:val="22"/>
        </w:rPr>
        <w:t xml:space="preserve">; </w:t>
      </w:r>
      <w:hyperlink w:anchor="_ENREF_184" w:tooltip="Owens, 1988 #10911" w:history="1">
        <w:r w:rsidR="00305FE7">
          <w:rPr>
            <w:noProof/>
            <w:color w:val="000000" w:themeColor="text1"/>
            <w:szCs w:val="22"/>
          </w:rPr>
          <w:t>Owens 1988</w:t>
        </w:r>
      </w:hyperlink>
      <w:r>
        <w:rPr>
          <w:color w:val="000000" w:themeColor="text1"/>
          <w:szCs w:val="22"/>
        </w:rPr>
        <w:fldChar w:fldCharType="end"/>
      </w:r>
      <w:r w:rsidRPr="007051DA">
        <w:rPr>
          <w:color w:val="000000" w:themeColor="text1"/>
          <w:szCs w:val="22"/>
        </w:rPr>
        <w:t>)</w:t>
      </w:r>
      <w:r>
        <w:rPr>
          <w:color w:val="000000" w:themeColor="text1"/>
          <w:szCs w:val="22"/>
        </w:rPr>
        <w:t>, which can supply one third to one half of seagrass demand (</w:t>
      </w:r>
      <w:hyperlink w:anchor="_ENREF_180" w:tooltip="O'Donohue, 1991 #258" w:history="1">
        <w:r w:rsidR="00305FE7">
          <w:rPr>
            <w:color w:val="000000" w:themeColor="text1"/>
            <w:szCs w:val="22"/>
          </w:rPr>
          <w:fldChar w:fldCharType="begin"/>
        </w:r>
        <w:r w:rsidR="00305FE7">
          <w:rPr>
            <w:color w:val="000000" w:themeColor="text1"/>
            <w:szCs w:val="22"/>
          </w:rPr>
          <w:instrText xml:space="preserve"> ADDIN EN.CITE &lt;EndNote&gt;&lt;Cite&gt;&lt;Author&gt;O&amp;apos;Donohue&lt;/Author&gt;&lt;Year&gt;1991&lt;/Year&gt;&lt;RecNum&gt;258&lt;/RecNum&gt;&lt;DisplayText&gt;O&amp;apos;Donohue&lt;style face="italic"&gt; et al.&lt;/style&gt; 1991&lt;/DisplayText&gt;&lt;record&gt;&lt;rec-number&gt;258&lt;/rec-number&gt;&lt;foreign-keys&gt;&lt;key app="EN" db-id="0eve55x9y5vfd6e9dacxtew4eatve2dzds9a" timestamp="0"&gt;258&lt;/key&gt;&lt;/foreign-keys&gt;&lt;ref-type name="Journal Article"&gt;17&lt;/ref-type&gt;&lt;contributors&gt;&lt;authors&gt;&lt;author&gt;O&amp;apos;Donohue, M. J.&lt;/author&gt;&lt;author&gt;Moriarty, D. J. W.&lt;/author&gt;&lt;author&gt;Mac Rae, I. C.&lt;/author&gt;&lt;/authors&gt;&lt;/contributors&gt;&lt;titles&gt;&lt;title&gt;&lt;style face="normal" font="default" size="100%"&gt;Nitrogen fixation in sediments and the rhizosphere of the seagrass &lt;/style&gt;&lt;style face="italic" font="default" size="100%"&gt;Zostera capricorni&lt;/style&gt;&lt;/title&gt;&lt;secondary-title&gt;Microbial Ecology&lt;/secondary-title&gt;&lt;alt-title&gt;Microb. Ecol&lt;/alt-title&gt;&lt;/titles&gt;&lt;periodical&gt;&lt;full-title&gt;Microbial Ecology&lt;/full-title&gt;&lt;/periodical&gt;&lt;pages&gt;53-64&lt;/pages&gt;&lt;volume&gt;22&lt;/volume&gt;&lt;number&gt;1&lt;/number&gt;&lt;keywords&gt;&lt;keyword&gt;GIBIBLIO&lt;/keyword&gt;&lt;keyword&gt;NITROGEN&lt;/keyword&gt;&lt;/keywords&gt;&lt;dates&gt;&lt;year&gt;1991&lt;/year&gt;&lt;/dates&gt;&lt;label&gt;218&lt;/label&gt;&lt;urls&gt;&lt;/urls&gt;&lt;custom1&gt;Annex&lt;/custom1&gt;&lt;/record&gt;&lt;/Cite&gt;&lt;/EndNote&gt;</w:instrText>
        </w:r>
        <w:r w:rsidR="00305FE7">
          <w:rPr>
            <w:color w:val="000000" w:themeColor="text1"/>
            <w:szCs w:val="22"/>
          </w:rPr>
          <w:fldChar w:fldCharType="separate"/>
        </w:r>
        <w:r w:rsidR="00305FE7">
          <w:rPr>
            <w:noProof/>
            <w:color w:val="000000" w:themeColor="text1"/>
            <w:szCs w:val="22"/>
          </w:rPr>
          <w:t>O'Donohue</w:t>
        </w:r>
        <w:r w:rsidR="00305FE7" w:rsidRPr="00783B80">
          <w:rPr>
            <w:i/>
            <w:noProof/>
            <w:color w:val="000000" w:themeColor="text1"/>
            <w:szCs w:val="22"/>
          </w:rPr>
          <w:t xml:space="preserve"> et al.</w:t>
        </w:r>
        <w:r w:rsidR="00305FE7">
          <w:rPr>
            <w:noProof/>
            <w:color w:val="000000" w:themeColor="text1"/>
            <w:szCs w:val="22"/>
          </w:rPr>
          <w:t xml:space="preserve"> 1991</w:t>
        </w:r>
        <w:r w:rsidR="00305FE7">
          <w:rPr>
            <w:color w:val="000000" w:themeColor="text1"/>
            <w:szCs w:val="22"/>
          </w:rPr>
          <w:fldChar w:fldCharType="end"/>
        </w:r>
      </w:hyperlink>
      <w:r>
        <w:rPr>
          <w:color w:val="000000" w:themeColor="text1"/>
          <w:szCs w:val="22"/>
        </w:rPr>
        <w:t>). Moderate values indicate internal sources from remineralisation (</w:t>
      </w:r>
      <w:r>
        <w:rPr>
          <w:color w:val="000000" w:themeColor="text1"/>
          <w:szCs w:val="22"/>
        </w:rPr>
        <w:fldChar w:fldCharType="begin"/>
      </w:r>
      <w:r>
        <w:rPr>
          <w:color w:val="000000" w:themeColor="text1"/>
          <w:szCs w:val="22"/>
        </w:rPr>
        <w:instrText xml:space="preserve"> ADDIN EN.CITE &lt;EndNote&gt;&lt;Cite&gt;&lt;Author&gt;Owens&lt;/Author&gt;&lt;Year&gt;1988&lt;/Year&gt;&lt;RecNum&gt;10911&lt;/RecNum&gt;&lt;DisplayText&gt;Peterson and Fry 1987; Owens 1988&lt;/DisplayText&gt;&lt;record&gt;&lt;rec-number&gt;10911&lt;/rec-number&gt;&lt;foreign-keys&gt;&lt;key app="EN" db-id="0eve55x9y5vfd6e9dacxtew4eatve2dzds9a" timestamp="1488169659"&gt;10911&lt;/key&gt;&lt;/foreign-keys&gt;&lt;ref-type name="Book Section"&gt;5&lt;/ref-type&gt;&lt;contributors&gt;&lt;authors&gt;&lt;author&gt;Owens, N J P&lt;/author&gt;&lt;/authors&gt;&lt;secondary-authors&gt;&lt;author&gt;Blaxter, J H S&lt;/author&gt;&lt;author&gt;Southward, A J&lt;/author&gt;&lt;/secondary-authors&gt;&lt;/contributors&gt;&lt;titles&gt;&lt;title&gt;Natural Variations in 15N in the Marine Environment&lt;/title&gt;&lt;secondary-title&gt;Advances in Marine Biology&lt;/secondary-title&gt;&lt;/titles&gt;&lt;pages&gt;389-451&lt;/pages&gt;&lt;dates&gt;&lt;year&gt;1988&lt;/year&gt;&lt;/dates&gt;&lt;publisher&gt;Academic Press&lt;/publisher&gt;&lt;urls&gt;&lt;/urls&gt;&lt;/record&gt;&lt;/Cite&gt;&lt;Cite&gt;&lt;Author&gt;Peterson&lt;/Author&gt;&lt;Year&gt;1987&lt;/Year&gt;&lt;RecNum&gt;1082&lt;/RecNum&gt;&lt;record&gt;&lt;rec-number&gt;1082&lt;/rec-number&gt;&lt;foreign-keys&gt;&lt;key app="EN" db-id="0eve55x9y5vfd6e9dacxtew4eatve2dzds9a" timestamp="0"&gt;1082&lt;/key&gt;&lt;/foreign-keys&gt;&lt;ref-type name="Journal Article"&gt;17&lt;/ref-type&gt;&lt;contributors&gt;&lt;authors&gt;&lt;author&gt;Peterson, Bruce J.&lt;/author&gt;&lt;author&gt;Fry, B.&lt;/author&gt;&lt;/authors&gt;&lt;/contributors&gt;&lt;titles&gt;&lt;title&gt;Stable Isotopes in Ecostystem Studies&lt;/title&gt;&lt;secondary-title&gt;Annual Reveiw of Ecological Systematics&lt;/secondary-title&gt;&lt;alt-title&gt;Ann. Rev. Ecol. Syst&lt;/alt-title&gt;&lt;/titles&gt;&lt;pages&gt;293-320&lt;/pages&gt;&lt;volume&gt;18&lt;/volume&gt;&lt;keywords&gt;&lt;keyword&gt;ISOTOPES&lt;/keyword&gt;&lt;/keywords&gt;&lt;dates&gt;&lt;year&gt;1987&lt;/year&gt;&lt;/dates&gt;&lt;label&gt;1159&lt;/label&gt;&lt;urls&gt;&lt;/urls&gt;&lt;custom1&gt;Annex&lt;/custom1&gt;&lt;/record&gt;&lt;/Cite&gt;&lt;/EndNote&gt;</w:instrText>
      </w:r>
      <w:r>
        <w:rPr>
          <w:color w:val="000000" w:themeColor="text1"/>
          <w:szCs w:val="22"/>
        </w:rPr>
        <w:fldChar w:fldCharType="separate"/>
      </w:r>
      <w:hyperlink w:anchor="_ENREF_185" w:tooltip="Peterson, 1987 #1082" w:history="1">
        <w:r w:rsidR="00305FE7">
          <w:rPr>
            <w:noProof/>
            <w:color w:val="000000" w:themeColor="text1"/>
            <w:szCs w:val="22"/>
          </w:rPr>
          <w:t>Peterson and Fry 1987</w:t>
        </w:r>
      </w:hyperlink>
      <w:r>
        <w:rPr>
          <w:noProof/>
          <w:color w:val="000000" w:themeColor="text1"/>
          <w:szCs w:val="22"/>
        </w:rPr>
        <w:t xml:space="preserve">; </w:t>
      </w:r>
      <w:hyperlink w:anchor="_ENREF_184" w:tooltip="Owens, 1988 #10911" w:history="1">
        <w:r w:rsidR="00305FE7">
          <w:rPr>
            <w:noProof/>
            <w:color w:val="000000" w:themeColor="text1"/>
            <w:szCs w:val="22"/>
          </w:rPr>
          <w:t>Owens 1988</w:t>
        </w:r>
      </w:hyperlink>
      <w:r>
        <w:rPr>
          <w:color w:val="000000" w:themeColor="text1"/>
          <w:szCs w:val="22"/>
        </w:rPr>
        <w:fldChar w:fldCharType="end"/>
      </w:r>
      <w:r w:rsidRPr="007051DA">
        <w:rPr>
          <w:color w:val="000000" w:themeColor="text1"/>
          <w:szCs w:val="22"/>
        </w:rPr>
        <w:t>)</w:t>
      </w:r>
      <w:r>
        <w:rPr>
          <w:color w:val="000000" w:themeColor="text1"/>
          <w:szCs w:val="22"/>
        </w:rPr>
        <w:t xml:space="preserve"> and higher values (&gt;3‰) can indicate anthropogenic sources (e.g. sewage (</w:t>
      </w:r>
      <w:hyperlink w:anchor="_ENREF_67" w:tooltip="Costanzo, 2001 #2582" w:history="1">
        <w:r w:rsidR="00305FE7">
          <w:rPr>
            <w:color w:val="000000" w:themeColor="text1"/>
            <w:szCs w:val="22"/>
          </w:rPr>
          <w:fldChar w:fldCharType="begin"/>
        </w:r>
        <w:r w:rsidR="00305FE7">
          <w:rPr>
            <w:color w:val="000000" w:themeColor="text1"/>
            <w:szCs w:val="22"/>
          </w:rPr>
          <w:instrText xml:space="preserve"> ADDIN EN.CITE &lt;EndNote&gt;&lt;Cite&gt;&lt;Author&gt;Costanzo&lt;/Author&gt;&lt;Year&gt;2001&lt;/Year&gt;&lt;RecNum&gt;2582&lt;/RecNum&gt;&lt;DisplayText&gt;Costanzo&lt;style face="italic"&gt; et al.&lt;/style&gt; 2001&lt;/DisplayText&gt;&lt;record&gt;&lt;rec-number&gt;2582&lt;/rec-number&gt;&lt;foreign-keys&gt;&lt;key app="EN" db-id="0eve55x9y5vfd6e9dacxtew4eatve2dzds9a" timestamp="0"&gt;2582&lt;/key&gt;&lt;/foreign-keys&gt;&lt;ref-type name="Journal Article"&gt;17&lt;/ref-type&gt;&lt;contributors&gt;&lt;authors&gt;&lt;author&gt;Costanzo, S D&lt;/author&gt;&lt;author&gt;O&amp;apos;Donohue, M J&lt;/author&gt;&lt;author&gt;Dennison, W C&lt;/author&gt;&lt;author&gt;Loneragan, N R&lt;/author&gt;&lt;author&gt;Thomas, M&lt;/author&gt;&lt;/authors&gt;&lt;/contributors&gt;&lt;titles&gt;&lt;title&gt;A new approach for detecting and mapping sewage impacts&lt;/title&gt;&lt;secondary-title&gt;Marine Pollution Bulletin&lt;/secondary-title&gt;&lt;/titles&gt;&lt;periodical&gt;&lt;full-title&gt;Marine Pollution Bulletin&lt;/full-title&gt;&lt;/periodical&gt;&lt;pages&gt;149-156&lt;/pages&gt;&lt;volume&gt;42&lt;/volume&gt;&lt;number&gt;2&lt;/number&gt;&lt;dates&gt;&lt;year&gt;2001&lt;/year&gt;&lt;pub-dates&gt;&lt;date&gt;2001/2&lt;/date&gt;&lt;/pub-dates&gt;&lt;/dates&gt;&lt;label&gt;Stew&lt;/label&gt;&lt;urls&gt;&lt;related-urls&gt;&lt;url&gt;http://www.sciencedirect.com/science/article/B6WVB-45DMXDG-DB/1/9c783cafce4b202e6b1864f09915e36c&lt;/url&gt;&lt;/related-urls&gt;&lt;/urls&gt;&lt;/record&gt;&lt;/Cite&gt;&lt;/EndNote&gt;</w:instrText>
        </w:r>
        <w:r w:rsidR="00305FE7">
          <w:rPr>
            <w:color w:val="000000" w:themeColor="text1"/>
            <w:szCs w:val="22"/>
          </w:rPr>
          <w:fldChar w:fldCharType="separate"/>
        </w:r>
        <w:r w:rsidR="00305FE7">
          <w:rPr>
            <w:noProof/>
            <w:color w:val="000000" w:themeColor="text1"/>
            <w:szCs w:val="22"/>
          </w:rPr>
          <w:t>Costanzo</w:t>
        </w:r>
        <w:r w:rsidR="00305FE7" w:rsidRPr="00783B80">
          <w:rPr>
            <w:i/>
            <w:noProof/>
            <w:color w:val="000000" w:themeColor="text1"/>
            <w:szCs w:val="22"/>
          </w:rPr>
          <w:t xml:space="preserve"> et al.</w:t>
        </w:r>
        <w:r w:rsidR="00305FE7">
          <w:rPr>
            <w:noProof/>
            <w:color w:val="000000" w:themeColor="text1"/>
            <w:szCs w:val="22"/>
          </w:rPr>
          <w:t xml:space="preserve"> 2001</w:t>
        </w:r>
        <w:r w:rsidR="00305FE7">
          <w:rPr>
            <w:color w:val="000000" w:themeColor="text1"/>
            <w:szCs w:val="22"/>
          </w:rPr>
          <w:fldChar w:fldCharType="end"/>
        </w:r>
      </w:hyperlink>
      <w:r>
        <w:rPr>
          <w:color w:val="000000" w:themeColor="text1"/>
          <w:szCs w:val="22"/>
        </w:rPr>
        <w:t>)</w:t>
      </w:r>
      <w:r w:rsidR="000E614D" w:rsidRPr="000E614D">
        <w:rPr>
          <w:color w:val="000000" w:themeColor="text1"/>
          <w:szCs w:val="22"/>
        </w:rPr>
        <w:t xml:space="preserve"> </w:t>
      </w:r>
      <w:r w:rsidR="000E614D">
        <w:rPr>
          <w:color w:val="000000" w:themeColor="text1"/>
          <w:szCs w:val="22"/>
        </w:rPr>
        <w:t>or from fertiliser (</w:t>
      </w:r>
      <w:hyperlink w:anchor="_ENREF_223" w:tooltip="Udy, 1999 #2371" w:history="1">
        <w:r w:rsidR="00305FE7">
          <w:rPr>
            <w:color w:val="000000" w:themeColor="text1"/>
            <w:szCs w:val="22"/>
          </w:rPr>
          <w:fldChar w:fldCharType="begin"/>
        </w:r>
        <w:r w:rsidR="00305FE7">
          <w:rPr>
            <w:color w:val="000000" w:themeColor="text1"/>
            <w:szCs w:val="22"/>
          </w:rPr>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 timestamp="0"&gt;2371&lt;/key&gt;&lt;/foreign-keys&gt;&lt;ref-type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305FE7">
          <w:rPr>
            <w:color w:val="000000" w:themeColor="text1"/>
            <w:szCs w:val="22"/>
          </w:rPr>
          <w:fldChar w:fldCharType="separate"/>
        </w:r>
        <w:r w:rsidR="00305FE7">
          <w:rPr>
            <w:noProof/>
            <w:color w:val="000000" w:themeColor="text1"/>
            <w:szCs w:val="22"/>
          </w:rPr>
          <w:t>Udy</w:t>
        </w:r>
        <w:r w:rsidR="00305FE7" w:rsidRPr="00521D93">
          <w:rPr>
            <w:i/>
            <w:noProof/>
            <w:color w:val="000000" w:themeColor="text1"/>
            <w:szCs w:val="22"/>
          </w:rPr>
          <w:t xml:space="preserve"> et al.</w:t>
        </w:r>
        <w:r w:rsidR="00305FE7">
          <w:rPr>
            <w:noProof/>
            <w:color w:val="000000" w:themeColor="text1"/>
            <w:szCs w:val="22"/>
          </w:rPr>
          <w:t xml:space="preserve"> 1999</w:t>
        </w:r>
        <w:r w:rsidR="00305FE7">
          <w:rPr>
            <w:color w:val="000000" w:themeColor="text1"/>
            <w:szCs w:val="22"/>
          </w:rPr>
          <w:fldChar w:fldCharType="end"/>
        </w:r>
      </w:hyperlink>
      <w:r w:rsidR="000E614D">
        <w:rPr>
          <w:color w:val="000000" w:themeColor="text1"/>
          <w:szCs w:val="22"/>
        </w:rPr>
        <w:t>))</w:t>
      </w:r>
      <w:r>
        <w:rPr>
          <w:color w:val="000000" w:themeColor="text1"/>
          <w:szCs w:val="22"/>
        </w:rPr>
        <w:t xml:space="preserve">. Most seagrasses of the </w:t>
      </w:r>
      <w:r w:rsidR="007F6948">
        <w:rPr>
          <w:color w:val="000000" w:themeColor="text1"/>
          <w:szCs w:val="22"/>
        </w:rPr>
        <w:t>Great Barrier Reef</w:t>
      </w:r>
      <w:r>
        <w:rPr>
          <w:color w:val="000000" w:themeColor="text1"/>
          <w:szCs w:val="22"/>
        </w:rPr>
        <w:t xml:space="preserve"> are at the </w:t>
      </w:r>
      <w:r w:rsidRPr="009867A3">
        <w:rPr>
          <w:szCs w:val="22"/>
        </w:rPr>
        <w:t>lower to middle range of the global δ</w:t>
      </w:r>
      <w:r w:rsidRPr="009867A3">
        <w:rPr>
          <w:szCs w:val="22"/>
          <w:vertAlign w:val="superscript"/>
        </w:rPr>
        <w:t>15</w:t>
      </w:r>
      <w:r w:rsidRPr="009867A3">
        <w:rPr>
          <w:szCs w:val="22"/>
        </w:rPr>
        <w:t>N for seagrasses (-2 – 11‰) (</w:t>
      </w:r>
      <w:r w:rsidRPr="009867A3">
        <w:rPr>
          <w:szCs w:val="22"/>
        </w:rPr>
        <w:fldChar w:fldCharType="begin">
          <w:fldData xml:space="preserve">PEVuZE5vdGU+PENpdGU+PEF1dGhvcj5TY2h1YmVydDwvQXV0aG9yPjxZZWFyPjIwMTM8L1llYXI+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</w:fldData>
        </w:fldChar>
      </w:r>
      <w:r w:rsidRPr="009867A3">
        <w:rPr>
          <w:szCs w:val="22"/>
        </w:rPr>
        <w:instrText xml:space="preserve"> ADDIN EN.CITE </w:instrText>
      </w:r>
      <w:r w:rsidRPr="009867A3">
        <w:rPr>
          <w:szCs w:val="22"/>
        </w:rPr>
        <w:fldChar w:fldCharType="begin">
          <w:fldData xml:space="preserve">PEVuZE5vdGU+PENpdGU+PEF1dGhvcj5TY2h1YmVydDwvQXV0aG9yPjxZZWFyPjIwMTM8L1llYXI+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</w:fldData>
        </w:fldChar>
      </w:r>
      <w:r w:rsidRPr="009867A3">
        <w:rPr>
          <w:szCs w:val="22"/>
        </w:rPr>
        <w:instrText xml:space="preserve"> ADDIN EN.CITE.DATA </w:instrText>
      </w:r>
      <w:r w:rsidRPr="009867A3">
        <w:rPr>
          <w:szCs w:val="22"/>
        </w:rPr>
      </w:r>
      <w:r w:rsidRPr="009867A3">
        <w:rPr>
          <w:szCs w:val="22"/>
        </w:rPr>
        <w:fldChar w:fldCharType="end"/>
      </w:r>
      <w:r w:rsidRPr="009867A3">
        <w:rPr>
          <w:szCs w:val="22"/>
        </w:rPr>
      </w:r>
      <w:r w:rsidRPr="009867A3">
        <w:rPr>
          <w:szCs w:val="22"/>
        </w:rPr>
        <w:fldChar w:fldCharType="separate"/>
      </w:r>
      <w:hyperlink w:anchor="_ENREF_97" w:tooltip="Fourqurean, 1997 #5478" w:history="1">
        <w:r w:rsidR="00305FE7" w:rsidRPr="009867A3">
          <w:rPr>
            <w:noProof/>
            <w:szCs w:val="22"/>
          </w:rPr>
          <w:t>Fourqurean</w:t>
        </w:r>
        <w:r w:rsidR="00305FE7" w:rsidRPr="009867A3">
          <w:rPr>
            <w:i/>
            <w:noProof/>
            <w:szCs w:val="22"/>
          </w:rPr>
          <w:t xml:space="preserve"> et al.</w:t>
        </w:r>
        <w:r w:rsidR="00305FE7" w:rsidRPr="009867A3">
          <w:rPr>
            <w:noProof/>
            <w:szCs w:val="22"/>
          </w:rPr>
          <w:t xml:space="preserve"> 1997a</w:t>
        </w:r>
      </w:hyperlink>
      <w:r w:rsidRPr="009867A3">
        <w:rPr>
          <w:noProof/>
          <w:szCs w:val="22"/>
        </w:rPr>
        <w:t xml:space="preserve">; </w:t>
      </w:r>
      <w:hyperlink w:anchor="_ENREF_210" w:tooltip="Schubert, 2013 #10913" w:history="1">
        <w:r w:rsidR="00305FE7" w:rsidRPr="009867A3">
          <w:rPr>
            <w:noProof/>
            <w:szCs w:val="22"/>
          </w:rPr>
          <w:t>Schubert</w:t>
        </w:r>
        <w:r w:rsidR="00305FE7" w:rsidRPr="009867A3">
          <w:rPr>
            <w:i/>
            <w:noProof/>
            <w:szCs w:val="22"/>
          </w:rPr>
          <w:t xml:space="preserve"> et al.</w:t>
        </w:r>
        <w:r w:rsidR="00305FE7" w:rsidRPr="009867A3">
          <w:rPr>
            <w:noProof/>
            <w:szCs w:val="22"/>
          </w:rPr>
          <w:t xml:space="preserve"> 2013</w:t>
        </w:r>
      </w:hyperlink>
      <w:r w:rsidRPr="009867A3">
        <w:rPr>
          <w:szCs w:val="22"/>
        </w:rPr>
        <w:fldChar w:fldCharType="end"/>
      </w:r>
      <w:r w:rsidRPr="009867A3">
        <w:rPr>
          <w:szCs w:val="22"/>
        </w:rPr>
        <w:t>) between 0.6‰ and 3‰ (</w:t>
      </w:r>
      <w:r w:rsidR="000E614D">
        <w:rPr>
          <w:szCs w:val="22"/>
        </w:rPr>
        <w:fldChar w:fldCharType="begin"/>
      </w:r>
      <w:r w:rsidR="000E614D">
        <w:rPr>
          <w:szCs w:val="22"/>
        </w:rPr>
        <w:instrText xml:space="preserve"> REF _Ref511386390 \h </w:instrText>
      </w:r>
      <w:r w:rsidR="000E614D">
        <w:rPr>
          <w:szCs w:val="22"/>
        </w:rPr>
      </w:r>
      <w:r w:rsidR="000E614D">
        <w:rPr>
          <w:szCs w:val="22"/>
        </w:rPr>
        <w:fldChar w:fldCharType="separate"/>
      </w:r>
      <w:r w:rsidR="00F87DF9">
        <w:t xml:space="preserve">Figure </w:t>
      </w:r>
      <w:r w:rsidR="00F87DF9">
        <w:rPr>
          <w:noProof/>
        </w:rPr>
        <w:t>25</w:t>
      </w:r>
      <w:r w:rsidR="000E614D">
        <w:rPr>
          <w:szCs w:val="22"/>
        </w:rPr>
        <w:fldChar w:fldCharType="end"/>
      </w:r>
      <w:r w:rsidRPr="009867A3">
        <w:rPr>
          <w:szCs w:val="22"/>
        </w:rPr>
        <w:t>), suggesting the primary source of N was influence by fertiliser</w:t>
      </w:r>
      <w:r>
        <w:rPr>
          <w:szCs w:val="22"/>
        </w:rPr>
        <w:t xml:space="preserve">, N fixation </w:t>
      </w:r>
      <w:r w:rsidRPr="009867A3">
        <w:rPr>
          <w:szCs w:val="22"/>
        </w:rPr>
        <w:t>and/or sewage (</w:t>
      </w:r>
      <w:hyperlink w:anchor="_ENREF_222" w:tooltip="Udy, 1997 #9791" w:history="1">
        <w:r w:rsidR="00305FE7" w:rsidRPr="009867A3">
          <w:rPr>
            <w:szCs w:val="22"/>
          </w:rPr>
          <w:fldChar w:fldCharType="begin"/>
        </w:r>
        <w:r w:rsidR="00305FE7" w:rsidRPr="009867A3">
          <w:rPr>
            <w:szCs w:val="22"/>
          </w:rPr>
          <w:instrText xml:space="preserve"> ADDIN EN.CITE &lt;EndNote&gt;&lt;Cite&gt;&lt;Author&gt;Udy&lt;/Author&gt;&lt;Year&gt;1997&lt;/Year&gt;&lt;RecNum&gt;9791&lt;/RecNum&gt;&lt;DisplayText&gt;Udy and Dennison 1997b&lt;/DisplayText&gt;&lt;record&gt;&lt;rec-number&gt;9791&lt;/rec-number&gt;&lt;foreign-keys&gt;&lt;key app="EN" db-id="0eve55x9y5vfd6e9dacxtew4eatve2dzds9a" timestamp="1394706138"&gt;9791&lt;/key&gt;&lt;/foreign-keys&gt;&lt;ref-type name="Journal Article"&gt;17&lt;/ref-type&gt;&lt;contributors&gt;&lt;authors&gt;&lt;author&gt;Udy,James W.&lt;/author&gt;&lt;author&gt;Dennison,William C.&lt;/author&gt;&lt;/authors&gt;&lt;/contributors&gt;&lt;titles&gt;&lt;title&gt;Physiological responses of seagrasses used to identify anthropogenic nutrient inputs&lt;/title&gt;&lt;secondary-title&gt;Marine and Freshwater Research&lt;/secondary-title&gt;&lt;/titles&gt;&lt;periodical&gt;&lt;full-title&gt;Marine and Freshwater Research&lt;/full-title&gt;&lt;/periodical&gt;&lt;pages&gt;605-614&lt;/pages&gt;&lt;volume&gt;48&lt;/volume&gt;&lt;number&gt;7&lt;/number&gt;&lt;dates&gt;&lt;year&gt;1997&lt;/year&gt;&lt;/dates&gt;&lt;urls&gt;&lt;related-urls&gt;&lt;url&gt;http://www.publish.csiro.au/paper/MF97001&lt;/url&gt;&lt;/related-urls&gt;&lt;/urls&gt;&lt;electronic-resource-num&gt;http://dx.doi.org/10.1071/MF97001&lt;/electronic-resource-num&gt;&lt;/record&gt;&lt;/Cite&gt;&lt;/EndNote&gt;</w:instrText>
        </w:r>
        <w:r w:rsidR="00305FE7" w:rsidRPr="009867A3">
          <w:rPr>
            <w:szCs w:val="22"/>
          </w:rPr>
          <w:fldChar w:fldCharType="separate"/>
        </w:r>
        <w:r w:rsidR="00305FE7" w:rsidRPr="009867A3">
          <w:rPr>
            <w:noProof/>
            <w:szCs w:val="22"/>
          </w:rPr>
          <w:t>Udy and Dennison 1997b</w:t>
        </w:r>
        <w:r w:rsidR="00305FE7" w:rsidRPr="009867A3">
          <w:rPr>
            <w:szCs w:val="22"/>
          </w:rPr>
          <w:fldChar w:fldCharType="end"/>
        </w:r>
      </w:hyperlink>
      <w:r w:rsidRPr="009867A3">
        <w:rPr>
          <w:szCs w:val="22"/>
        </w:rPr>
        <w:t xml:space="preserve">, see also Appendix A2.3). The less </w:t>
      </w:r>
      <w:r w:rsidRPr="00404C02">
        <w:rPr>
          <w:color w:val="000000" w:themeColor="text1"/>
          <w:szCs w:val="22"/>
        </w:rPr>
        <w:t>negative leaf tissue δ</w:t>
      </w:r>
      <w:r w:rsidRPr="00404C02">
        <w:rPr>
          <w:color w:val="000000" w:themeColor="text1"/>
          <w:szCs w:val="22"/>
          <w:vertAlign w:val="superscript"/>
        </w:rPr>
        <w:t>13</w:t>
      </w:r>
      <w:r w:rsidRPr="00404C02">
        <w:rPr>
          <w:color w:val="000000" w:themeColor="text1"/>
          <w:szCs w:val="22"/>
        </w:rPr>
        <w:t xml:space="preserve">C values at </w:t>
      </w:r>
      <w:r w:rsidR="000E614D">
        <w:rPr>
          <w:color w:val="000000" w:themeColor="text1"/>
          <w:szCs w:val="22"/>
        </w:rPr>
        <w:t>reef</w:t>
      </w:r>
      <w:r w:rsidRPr="00404C02">
        <w:rPr>
          <w:color w:val="000000" w:themeColor="text1"/>
          <w:szCs w:val="22"/>
        </w:rPr>
        <w:t xml:space="preserve"> sites </w:t>
      </w:r>
      <w:r w:rsidR="000E614D">
        <w:rPr>
          <w:color w:val="000000" w:themeColor="text1"/>
          <w:szCs w:val="22"/>
        </w:rPr>
        <w:t>(</w:t>
      </w:r>
      <w:r w:rsidR="000E614D">
        <w:rPr>
          <w:szCs w:val="22"/>
        </w:rPr>
        <w:fldChar w:fldCharType="begin"/>
      </w:r>
      <w:r w:rsidR="000E614D">
        <w:rPr>
          <w:szCs w:val="22"/>
        </w:rPr>
        <w:instrText xml:space="preserve"> REF _Ref511386390 \h </w:instrText>
      </w:r>
      <w:r w:rsidR="000E614D">
        <w:rPr>
          <w:szCs w:val="22"/>
        </w:rPr>
      </w:r>
      <w:r w:rsidR="000E614D">
        <w:rPr>
          <w:szCs w:val="22"/>
        </w:rPr>
        <w:fldChar w:fldCharType="separate"/>
      </w:r>
      <w:r w:rsidR="00F87DF9">
        <w:t xml:space="preserve">Figure </w:t>
      </w:r>
      <w:r w:rsidR="00F87DF9">
        <w:rPr>
          <w:noProof/>
        </w:rPr>
        <w:t>25</w:t>
      </w:r>
      <w:r w:rsidR="000E614D">
        <w:rPr>
          <w:szCs w:val="22"/>
        </w:rPr>
        <w:fldChar w:fldCharType="end"/>
      </w:r>
      <w:r w:rsidR="000E614D">
        <w:rPr>
          <w:color w:val="000000" w:themeColor="text1"/>
          <w:szCs w:val="22"/>
        </w:rPr>
        <w:t xml:space="preserve">) </w:t>
      </w:r>
      <w:r w:rsidRPr="00404C02">
        <w:rPr>
          <w:color w:val="000000" w:themeColor="text1"/>
          <w:szCs w:val="22"/>
        </w:rPr>
        <w:t>suggest lower C uptake (and therefore greater fractionation) (</w:t>
      </w:r>
      <w:hyperlink w:anchor="_ENREF_107" w:tooltip="Grice, 1996 #1346" w:history="1">
        <w:r w:rsidR="00305FE7" w:rsidRPr="00404C02">
          <w:rPr>
            <w:color w:val="000000" w:themeColor="text1"/>
            <w:szCs w:val="22"/>
          </w:rPr>
          <w:fldChar w:fldCharType="begin"/>
        </w:r>
        <w:r w:rsidR="00305FE7">
          <w:rPr>
            <w:color w:val="000000" w:themeColor="text1"/>
            <w:szCs w:val="22"/>
          </w:rPr>
          <w:instrText xml:space="preserve"> ADDIN EN.CITE &lt;EndNote&gt;&lt;Cite&gt;&lt;Author&gt;Grice&lt;/Author&gt;&lt;Year&gt;1996&lt;/Year&gt;&lt;RecNum&gt;1346&lt;/RecNum&gt;&lt;DisplayText&gt;Grice&lt;style face="italic"&gt; et al.&lt;/style&gt; 1996&lt;/DisplayText&gt;&lt;record&gt;&lt;rec-number&gt;1346&lt;/rec-number&gt;&lt;foreign-keys&gt;&lt;key app="EN" db-id="0eve55x9y5vfd6e9dacxtew4eatve2dzds9a" timestamp="0"&gt;1346&lt;/key&gt;&lt;/foreign-keys&gt;&lt;ref-type name="Journal Article"&gt;17&lt;/ref-type&gt;&lt;contributors&gt;&lt;authors&gt;&lt;author&gt;Grice, AM&lt;/author&gt;&lt;author&gt;Loneragan, NR&lt;/author&gt;&lt;author&gt;Dennison, WC&lt;/author&gt;&lt;/authors&gt;&lt;/contributors&gt;&lt;titles&gt;&lt;title&gt;Light intensity and the interactions between physiology, morphology and stable isotope ratios in five species of seagrass&lt;/title&gt;&lt;secondary-title&gt;Journal of Experimental Marine Biology and Ecology&lt;/secondary-title&gt;&lt;alt-title&gt;J. Exp. Mar. Biol. Ecol.&lt;/alt-title&gt;&lt;/titles&gt;&lt;periodical&gt;&lt;full-title&gt;Journal of Experimental Marine Biology and Ecology&lt;/full-title&gt;&lt;/periodical&gt;&lt;pages&gt;91-110&lt;/pages&gt;&lt;volume&gt;195&lt;/volume&gt;&lt;keywords&gt;&lt;keyword&gt;Carbon, Light, Nitrogen, Seagrass, Stable isotope ratio&lt;/keyword&gt;&lt;/keywords&gt;&lt;dates&gt;&lt;year&gt;1996&lt;/year&gt;&lt;/dates&gt;&lt;urls&gt;&lt;/urls&gt;&lt;custom1&gt;Len McKenzie Collection&lt;/custom1&gt;&lt;/record&gt;&lt;/Cite&gt;&lt;/EndNote&gt;</w:instrText>
        </w:r>
        <w:r w:rsidR="00305FE7" w:rsidRPr="00404C02">
          <w:rPr>
            <w:color w:val="000000" w:themeColor="text1"/>
            <w:szCs w:val="22"/>
          </w:rPr>
          <w:fldChar w:fldCharType="separate"/>
        </w:r>
        <w:r w:rsidR="00305FE7">
          <w:rPr>
            <w:noProof/>
            <w:color w:val="000000" w:themeColor="text1"/>
            <w:szCs w:val="22"/>
          </w:rPr>
          <w:t>Grice</w:t>
        </w:r>
        <w:r w:rsidR="00305FE7" w:rsidRPr="00521D93">
          <w:rPr>
            <w:i/>
            <w:noProof/>
            <w:color w:val="000000" w:themeColor="text1"/>
            <w:szCs w:val="22"/>
          </w:rPr>
          <w:t xml:space="preserve"> et al.</w:t>
        </w:r>
        <w:r w:rsidR="00305FE7">
          <w:rPr>
            <w:noProof/>
            <w:color w:val="000000" w:themeColor="text1"/>
            <w:szCs w:val="22"/>
          </w:rPr>
          <w:t xml:space="preserve"> 1996</w:t>
        </w:r>
        <w:r w:rsidR="00305FE7" w:rsidRPr="00404C02">
          <w:rPr>
            <w:color w:val="000000" w:themeColor="text1"/>
            <w:szCs w:val="22"/>
          </w:rPr>
          <w:fldChar w:fldCharType="end"/>
        </w:r>
      </w:hyperlink>
      <w:r w:rsidRPr="00404C02">
        <w:rPr>
          <w:color w:val="000000" w:themeColor="text1"/>
          <w:szCs w:val="22"/>
        </w:rPr>
        <w:t xml:space="preserve">, see also Appendix A2.3), while at </w:t>
      </w:r>
      <w:r w:rsidR="000E614D">
        <w:rPr>
          <w:color w:val="000000" w:themeColor="text1"/>
          <w:szCs w:val="22"/>
        </w:rPr>
        <w:t>coastal</w:t>
      </w:r>
      <w:r w:rsidRPr="00404C02">
        <w:rPr>
          <w:color w:val="000000" w:themeColor="text1"/>
          <w:szCs w:val="22"/>
        </w:rPr>
        <w:t xml:space="preserve"> sites the more </w:t>
      </w:r>
      <w:r w:rsidRPr="00593D9E">
        <w:rPr>
          <w:szCs w:val="22"/>
        </w:rPr>
        <w:t xml:space="preserve">negative values suggest increased C uptake in </w:t>
      </w:r>
      <w:r w:rsidR="008574EC">
        <w:rPr>
          <w:szCs w:val="22"/>
        </w:rPr>
        <w:t>2016–17</w:t>
      </w:r>
      <w:r w:rsidRPr="00593D9E">
        <w:rPr>
          <w:szCs w:val="22"/>
        </w:rPr>
        <w:t xml:space="preserve"> (</w:t>
      </w:r>
      <w:r w:rsidR="000E614D">
        <w:rPr>
          <w:szCs w:val="22"/>
        </w:rPr>
        <w:fldChar w:fldCharType="begin"/>
      </w:r>
      <w:r w:rsidR="000E614D">
        <w:rPr>
          <w:szCs w:val="22"/>
        </w:rPr>
        <w:instrText xml:space="preserve"> REF _Ref511386390 \h </w:instrText>
      </w:r>
      <w:r w:rsidR="000E614D">
        <w:rPr>
          <w:szCs w:val="22"/>
        </w:rPr>
      </w:r>
      <w:r w:rsidR="000E614D">
        <w:rPr>
          <w:szCs w:val="22"/>
        </w:rPr>
        <w:fldChar w:fldCharType="separate"/>
      </w:r>
      <w:r w:rsidR="00F87DF9">
        <w:t xml:space="preserve">Figure </w:t>
      </w:r>
      <w:r w:rsidR="00F87DF9">
        <w:rPr>
          <w:noProof/>
        </w:rPr>
        <w:t>25</w:t>
      </w:r>
      <w:r w:rsidR="000E614D">
        <w:rPr>
          <w:szCs w:val="22"/>
        </w:rPr>
        <w:fldChar w:fldCharType="end"/>
      </w:r>
      <w:r w:rsidRPr="00593D9E">
        <w:rPr>
          <w:szCs w:val="22"/>
        </w:rPr>
        <w:t>).</w:t>
      </w:r>
      <w:r>
        <w:rPr>
          <w:szCs w:val="22"/>
        </w:rPr>
        <w:t xml:space="preserve"> The degree of fractionation can be used as an estimate of photosynthetic ra</w:t>
      </w:r>
      <w:r w:rsidR="00C4787F">
        <w:rPr>
          <w:szCs w:val="22"/>
        </w:rPr>
        <w:t>te (Grice et al 1996), hence the</w:t>
      </w:r>
      <w:r>
        <w:rPr>
          <w:szCs w:val="22"/>
        </w:rPr>
        <w:t>s</w:t>
      </w:r>
      <w:r w:rsidR="00C4787F">
        <w:rPr>
          <w:szCs w:val="22"/>
        </w:rPr>
        <w:t>e data suggest</w:t>
      </w:r>
      <w:r>
        <w:rPr>
          <w:szCs w:val="22"/>
        </w:rPr>
        <w:t xml:space="preserve"> the seagrass on the coast and reef intertidal habitats </w:t>
      </w:r>
      <w:r w:rsidR="00C4787F">
        <w:rPr>
          <w:szCs w:val="22"/>
        </w:rPr>
        <w:t>receive</w:t>
      </w:r>
      <w:r>
        <w:rPr>
          <w:szCs w:val="22"/>
        </w:rPr>
        <w:t xml:space="preserve"> </w:t>
      </w:r>
      <w:r w:rsidR="00C4787F">
        <w:rPr>
          <w:szCs w:val="22"/>
        </w:rPr>
        <w:t>more light and photosynthesize</w:t>
      </w:r>
      <w:r>
        <w:rPr>
          <w:szCs w:val="22"/>
        </w:rPr>
        <w:t xml:space="preserve"> at a faster rate. </w:t>
      </w:r>
    </w:p>
    <w:p w14:paraId="3BE863E3" w14:textId="440F8578" w:rsidR="007F7A67" w:rsidRPr="00991782" w:rsidRDefault="007F7A67" w:rsidP="00994F86">
      <w:pPr>
        <w:rPr>
          <w:color w:val="000000"/>
        </w:rPr>
      </w:pPr>
      <w:r w:rsidRPr="00346307">
        <w:rPr>
          <w:color w:val="000000" w:themeColor="text1"/>
          <w:szCs w:val="22"/>
        </w:rPr>
        <w:t xml:space="preserve">Phosphorus relative to </w:t>
      </w:r>
      <w:r w:rsidR="00535164">
        <w:rPr>
          <w:color w:val="000000" w:themeColor="text1"/>
          <w:szCs w:val="22"/>
        </w:rPr>
        <w:t>c</w:t>
      </w:r>
      <w:r w:rsidRPr="00346307">
        <w:rPr>
          <w:color w:val="000000" w:themeColor="text1"/>
          <w:szCs w:val="22"/>
        </w:rPr>
        <w:t>arbon (C</w:t>
      </w:r>
      <w:r>
        <w:rPr>
          <w:color w:val="000000" w:themeColor="text1"/>
          <w:szCs w:val="22"/>
        </w:rPr>
        <w:t>:P</w:t>
      </w:r>
      <w:r w:rsidRPr="00346307">
        <w:rPr>
          <w:color w:val="000000" w:themeColor="text1"/>
          <w:szCs w:val="22"/>
        </w:rPr>
        <w:t xml:space="preserve">) has been relatively stable in </w:t>
      </w:r>
      <w:r w:rsidR="008574EC">
        <w:rPr>
          <w:color w:val="000000" w:themeColor="text1"/>
          <w:szCs w:val="22"/>
        </w:rPr>
        <w:t>2016–17</w:t>
      </w:r>
      <w:r w:rsidRPr="00346307">
        <w:rPr>
          <w:color w:val="000000" w:themeColor="text1"/>
          <w:szCs w:val="22"/>
        </w:rPr>
        <w:t xml:space="preserve"> compared to the previous two years, with some improvement in coastal habitat only (</w:t>
      </w:r>
      <w:r w:rsidRPr="00346307">
        <w:rPr>
          <w:color w:val="000000" w:themeColor="text1"/>
          <w:szCs w:val="22"/>
        </w:rPr>
        <w:fldChar w:fldCharType="begin"/>
      </w:r>
      <w:r w:rsidRPr="00346307">
        <w:rPr>
          <w:color w:val="000000" w:themeColor="text1"/>
          <w:szCs w:val="22"/>
        </w:rPr>
        <w:instrText xml:space="preserve"> REF _Ref442529454 \h </w:instrText>
      </w:r>
      <w:r w:rsidRPr="00346307">
        <w:rPr>
          <w:color w:val="000000" w:themeColor="text1"/>
          <w:szCs w:val="22"/>
        </w:rPr>
      </w:r>
      <w:r w:rsidRPr="00346307">
        <w:rPr>
          <w:color w:val="000000" w:themeColor="text1"/>
          <w:szCs w:val="22"/>
        </w:rPr>
        <w:fldChar w:fldCharType="separate"/>
      </w:r>
      <w:r w:rsidR="00F87DF9" w:rsidRPr="009A66FC">
        <w:rPr>
          <w:color w:val="000000"/>
        </w:rPr>
        <w:t xml:space="preserve">Figure </w:t>
      </w:r>
      <w:r w:rsidR="00F87DF9">
        <w:rPr>
          <w:noProof/>
          <w:color w:val="000000"/>
        </w:rPr>
        <w:t>26</w:t>
      </w:r>
      <w:r w:rsidRPr="00346307">
        <w:rPr>
          <w:color w:val="000000" w:themeColor="text1"/>
          <w:szCs w:val="22"/>
        </w:rPr>
        <w:fldChar w:fldCharType="end"/>
      </w:r>
      <w:r w:rsidRPr="00346307">
        <w:rPr>
          <w:color w:val="000000" w:themeColor="text1"/>
          <w:szCs w:val="22"/>
        </w:rPr>
        <w:t>). The increasing C:P indicates a reduction in supply of P, relative to demand and is consistent with reducing per cent P in seagrass tissue and also increased per cent C in some sites and species (</w:t>
      </w:r>
      <w:r w:rsidRPr="00346307">
        <w:rPr>
          <w:color w:val="000000" w:themeColor="text1"/>
          <w:szCs w:val="22"/>
        </w:rPr>
        <w:fldChar w:fldCharType="begin"/>
      </w:r>
      <w:r w:rsidRPr="00346307">
        <w:rPr>
          <w:color w:val="000000" w:themeColor="text1"/>
          <w:szCs w:val="22"/>
        </w:rPr>
        <w:instrText xml:space="preserve"> REF _Ref271613914 \h </w:instrText>
      </w:r>
      <w:r w:rsidRPr="00346307">
        <w:rPr>
          <w:color w:val="000000" w:themeColor="text1"/>
          <w:szCs w:val="22"/>
        </w:rPr>
      </w:r>
      <w:r w:rsidRPr="00346307">
        <w:rPr>
          <w:color w:val="000000" w:themeColor="text1"/>
          <w:szCs w:val="22"/>
        </w:rPr>
        <w:fldChar w:fldCharType="separate"/>
      </w:r>
      <w:r w:rsidR="00F87DF9" w:rsidRPr="00A07CCD">
        <w:rPr>
          <w:color w:val="000000"/>
        </w:rPr>
        <w:t xml:space="preserve">Figure </w:t>
      </w:r>
      <w:r w:rsidR="00F87DF9">
        <w:rPr>
          <w:noProof/>
          <w:color w:val="000000"/>
        </w:rPr>
        <w:t>23</w:t>
      </w:r>
      <w:r w:rsidRPr="00346307">
        <w:rPr>
          <w:color w:val="000000" w:themeColor="text1"/>
          <w:szCs w:val="22"/>
        </w:rPr>
        <w:fldChar w:fldCharType="end"/>
      </w:r>
      <w:r w:rsidRPr="00346307">
        <w:rPr>
          <w:color w:val="000000" w:themeColor="text1"/>
          <w:szCs w:val="22"/>
        </w:rPr>
        <w:t>)(</w:t>
      </w:r>
      <w:r>
        <w:rPr>
          <w:color w:val="000000" w:themeColor="text1"/>
          <w:szCs w:val="22"/>
        </w:rPr>
        <w:t>s</w:t>
      </w:r>
      <w:r w:rsidRPr="00346307">
        <w:rPr>
          <w:color w:val="000000" w:themeColor="text1"/>
          <w:szCs w:val="22"/>
        </w:rPr>
        <w:t xml:space="preserve">ee also Appendix </w:t>
      </w:r>
      <w:r>
        <w:rPr>
          <w:color w:val="000000" w:themeColor="text1"/>
          <w:szCs w:val="22"/>
        </w:rPr>
        <w:fldChar w:fldCharType="begin"/>
      </w:r>
      <w:r>
        <w:rPr>
          <w:color w:val="000000" w:themeColor="text1"/>
          <w:szCs w:val="22"/>
        </w:rPr>
        <w:instrText xml:space="preserve"> REF _Ref511383436 \r \h </w:instrText>
      </w:r>
      <w:r>
        <w:rPr>
          <w:color w:val="000000" w:themeColor="text1"/>
          <w:szCs w:val="22"/>
        </w:rPr>
      </w:r>
      <w:r>
        <w:rPr>
          <w:color w:val="000000" w:themeColor="text1"/>
          <w:szCs w:val="22"/>
        </w:rPr>
        <w:fldChar w:fldCharType="separate"/>
      </w:r>
      <w:r w:rsidR="00F87DF9">
        <w:rPr>
          <w:color w:val="000000" w:themeColor="text1"/>
          <w:szCs w:val="22"/>
        </w:rPr>
        <w:t>A4.2.6</w:t>
      </w:r>
      <w:r>
        <w:rPr>
          <w:color w:val="000000" w:themeColor="text1"/>
          <w:szCs w:val="22"/>
        </w:rPr>
        <w:fldChar w:fldCharType="end"/>
      </w:r>
      <w:r w:rsidRPr="00346307">
        <w:rPr>
          <w:color w:val="000000" w:themeColor="text1"/>
          <w:szCs w:val="22"/>
        </w:rPr>
        <w:t xml:space="preserve">). At a </w:t>
      </w:r>
      <w:r w:rsidR="007F6948">
        <w:rPr>
          <w:color w:val="000000" w:themeColor="text1"/>
          <w:szCs w:val="22"/>
        </w:rPr>
        <w:t>Great Barrier Reef</w:t>
      </w:r>
      <w:r w:rsidRPr="00346307">
        <w:rPr>
          <w:color w:val="000000" w:themeColor="text1"/>
          <w:szCs w:val="22"/>
        </w:rPr>
        <w:t xml:space="preserve">-wide scale, the ratio of N relative to P (N:P) was highly variable within habitat, owing to large variability in trends among regions. In </w:t>
      </w:r>
      <w:r w:rsidR="008574EC">
        <w:rPr>
          <w:color w:val="000000" w:themeColor="text1"/>
          <w:szCs w:val="22"/>
        </w:rPr>
        <w:t>2016–17</w:t>
      </w:r>
      <w:r w:rsidRPr="00346307">
        <w:rPr>
          <w:color w:val="000000" w:themeColor="text1"/>
          <w:szCs w:val="22"/>
        </w:rPr>
        <w:t xml:space="preserve"> there was a greater number of sites that improved in N:P (i.e. </w:t>
      </w:r>
      <w:r>
        <w:rPr>
          <w:color w:val="000000" w:themeColor="text1"/>
          <w:szCs w:val="22"/>
        </w:rPr>
        <w:t xml:space="preserve">N:P </w:t>
      </w:r>
      <w:r w:rsidRPr="00346307">
        <w:rPr>
          <w:color w:val="000000" w:themeColor="text1"/>
          <w:szCs w:val="22"/>
        </w:rPr>
        <w:t xml:space="preserve">declined), than those that increased. All reef sites improved in N:P except Hamilton Island and Piper Reef (which had a marginal &lt;1 increase in N:P), but there is a wide variation in N:P among sites so this trend </w:t>
      </w:r>
      <w:r>
        <w:rPr>
          <w:color w:val="000000" w:themeColor="text1"/>
          <w:szCs w:val="22"/>
        </w:rPr>
        <w:t xml:space="preserve">for improving N:P </w:t>
      </w:r>
      <w:r w:rsidRPr="00346307">
        <w:rPr>
          <w:color w:val="000000" w:themeColor="text1"/>
          <w:szCs w:val="22"/>
        </w:rPr>
        <w:t>is not apparent</w:t>
      </w:r>
      <w:r>
        <w:rPr>
          <w:color w:val="000000" w:themeColor="text1"/>
          <w:szCs w:val="22"/>
        </w:rPr>
        <w:t xml:space="preserve"> at the </w:t>
      </w:r>
      <w:r w:rsidR="007F6948">
        <w:rPr>
          <w:color w:val="000000" w:themeColor="text1"/>
          <w:szCs w:val="22"/>
        </w:rPr>
        <w:t>Great Barrier Reef</w:t>
      </w:r>
      <w:r>
        <w:rPr>
          <w:color w:val="000000" w:themeColor="text1"/>
          <w:szCs w:val="22"/>
        </w:rPr>
        <w:t>-wide scale</w:t>
      </w:r>
      <w:r w:rsidRPr="00346307">
        <w:rPr>
          <w:color w:val="000000" w:themeColor="text1"/>
          <w:szCs w:val="22"/>
        </w:rPr>
        <w:t xml:space="preserve">. </w:t>
      </w:r>
      <w:r>
        <w:rPr>
          <w:color w:val="000000" w:themeColor="text1"/>
          <w:szCs w:val="22"/>
        </w:rPr>
        <w:t>In coastal and reef habitats, there were some sites that improved, and others that declined, depending on NRM</w:t>
      </w:r>
      <w:r w:rsidRPr="00172C64">
        <w:rPr>
          <w:color w:val="000000" w:themeColor="text1"/>
          <w:szCs w:val="22"/>
        </w:rPr>
        <w:t>. Locations with the highest N:P were at Burrum heads (49.6), Yule Point (36.9), Hamilton Island (36.2), Shelburne Bay (33.3) and Archer Point (32.8) and the ratios were &lt;30 at all other locations</w:t>
      </w:r>
      <w:r>
        <w:rPr>
          <w:color w:val="000000" w:themeColor="text1"/>
          <w:szCs w:val="22"/>
        </w:rPr>
        <w:t>.</w:t>
      </w:r>
    </w:p>
    <w:p w14:paraId="559974FB" w14:textId="2F2A2B8F" w:rsidR="007F7A67" w:rsidRDefault="007F7A67" w:rsidP="00994F86">
      <w:pPr>
        <w:rPr>
          <w:color w:val="000000" w:themeColor="text1"/>
          <w:szCs w:val="22"/>
        </w:rPr>
      </w:pPr>
    </w:p>
    <w:p w14:paraId="5C8E6616" w14:textId="77777777" w:rsidR="007F7A67" w:rsidRDefault="007F7A67" w:rsidP="00994F86">
      <w:pPr>
        <w:jc w:val="center"/>
        <w:rPr>
          <w:color w:val="000000"/>
          <w:szCs w:val="22"/>
        </w:rPr>
      </w:pPr>
      <w:r>
        <w:rPr>
          <w:noProof/>
          <w:color w:val="000000"/>
          <w:szCs w:val="22"/>
          <w:lang w:eastAsia="en-AU"/>
        </w:rPr>
        <w:drawing>
          <wp:inline distT="0" distB="0" distL="0" distR="0" wp14:anchorId="3DCE0A91" wp14:editId="11955436">
            <wp:extent cx="4179235" cy="3726000"/>
            <wp:effectExtent l="0" t="0" r="0" b="8255"/>
            <wp:docPr id="225" name="Picture 225" descr="Set of eight boxplot graphs showing annual seagrass leaf tissue delta13C and delta15N concentrations from each GBR seagrass habitat (locations pooled) in the late dry from 201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GBR_d15N_d13C_2016.png"/>
                    <pic:cNvPicPr/>
                  </pic:nvPicPr>
                  <pic:blipFill>
                    <a:blip r:embed="rId62">
                      <a:extLst>
                        <a:ext uri="{28A0092B-C50C-407E-A947-70E740481C1C}">
                          <a14:useLocalDpi xmlns:a14="http://schemas.microsoft.com/office/drawing/2010/main" val="0"/>
                        </a:ext>
                      </a:extLst>
                    </a:blip>
                    <a:stretch>
                      <a:fillRect/>
                    </a:stretch>
                  </pic:blipFill>
                  <pic:spPr>
                    <a:xfrm>
                      <a:off x="0" y="0"/>
                      <a:ext cx="4179235" cy="3726000"/>
                    </a:xfrm>
                    <a:prstGeom prst="rect">
                      <a:avLst/>
                    </a:prstGeom>
                  </pic:spPr>
                </pic:pic>
              </a:graphicData>
            </a:graphic>
          </wp:inline>
        </w:drawing>
      </w:r>
    </w:p>
    <w:p w14:paraId="53B269A5" w14:textId="228023BD" w:rsidR="001B3EED" w:rsidRPr="009F7BEA" w:rsidRDefault="007F7A67" w:rsidP="0015251F">
      <w:pPr>
        <w:pStyle w:val="Caption"/>
        <w:rPr>
          <w:i/>
          <w:vanish/>
          <w:color w:val="000000" w:themeColor="text1"/>
          <w:specVanish/>
        </w:rPr>
      </w:pPr>
      <w:bookmarkStart w:id="185" w:name="_Ref511386390"/>
      <w:bookmarkStart w:id="186" w:name="_Toc516053235"/>
      <w:bookmarkStart w:id="187" w:name="_Ref380930844"/>
      <w:bookmarkStart w:id="188" w:name="_Toc431493814"/>
      <w:bookmarkStart w:id="189" w:name="_Toc50154393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25</w:t>
      </w:r>
      <w:r w:rsidR="00C506C7">
        <w:rPr>
          <w:noProof/>
        </w:rPr>
        <w:fldChar w:fldCharType="end"/>
      </w:r>
      <w:bookmarkEnd w:id="185"/>
      <w:r>
        <w:t xml:space="preserve">. </w:t>
      </w:r>
      <w:r w:rsidRPr="006B4212">
        <w:rPr>
          <w:i/>
          <w:color w:val="000000"/>
        </w:rPr>
        <w:t>Seagrass leaf tissue δ</w:t>
      </w:r>
      <w:r w:rsidRPr="006B4212">
        <w:rPr>
          <w:i/>
          <w:color w:val="000000"/>
          <w:vertAlign w:val="superscript"/>
        </w:rPr>
        <w:t>13</w:t>
      </w:r>
      <w:r w:rsidRPr="006B4212">
        <w:rPr>
          <w:i/>
          <w:color w:val="000000"/>
        </w:rPr>
        <w:t>C</w:t>
      </w:r>
      <w:r w:rsidRPr="006B4212">
        <w:rPr>
          <w:i/>
          <w:color w:val="000000"/>
          <w:lang w:val="en-US"/>
        </w:rPr>
        <w:t xml:space="preserve"> and </w:t>
      </w:r>
      <w:r w:rsidRPr="006B4212">
        <w:rPr>
          <w:i/>
          <w:color w:val="000000"/>
        </w:rPr>
        <w:t>δ</w:t>
      </w:r>
      <w:r w:rsidRPr="006B4212">
        <w:rPr>
          <w:i/>
          <w:color w:val="000000"/>
          <w:vertAlign w:val="superscript"/>
        </w:rPr>
        <w:t>15</w:t>
      </w:r>
      <w:r w:rsidRPr="006B4212">
        <w:rPr>
          <w:i/>
          <w:color w:val="000000"/>
        </w:rPr>
        <w:t>N</w:t>
      </w:r>
      <w:r w:rsidRPr="006B4212">
        <w:rPr>
          <w:i/>
          <w:color w:val="000000"/>
          <w:lang w:val="en-US"/>
        </w:rPr>
        <w:t xml:space="preserve"> concentrations from each </w:t>
      </w:r>
      <w:r w:rsidR="007F6948">
        <w:rPr>
          <w:i/>
          <w:color w:val="000000"/>
          <w:lang w:val="en-US"/>
        </w:rPr>
        <w:t>Great Barrier Reef</w:t>
      </w:r>
      <w:r w:rsidRPr="006B4212">
        <w:rPr>
          <w:i/>
          <w:color w:val="000000"/>
          <w:lang w:val="en-US"/>
        </w:rPr>
        <w:t xml:space="preserve"> seagrass habitat (locations pooled) in the late dry </w:t>
      </w:r>
      <w:r>
        <w:rPr>
          <w:i/>
          <w:color w:val="000000"/>
          <w:lang w:val="en-US"/>
        </w:rPr>
        <w:t xml:space="preserve">from </w:t>
      </w:r>
      <w:r w:rsidRPr="006B4212">
        <w:rPr>
          <w:i/>
          <w:color w:val="000000"/>
          <w:lang w:val="en-US"/>
        </w:rPr>
        <w:t xml:space="preserve">2011 </w:t>
      </w:r>
      <w:r>
        <w:rPr>
          <w:i/>
          <w:color w:val="000000"/>
          <w:lang w:val="en-US"/>
        </w:rPr>
        <w:t>to</w:t>
      </w:r>
      <w:r w:rsidRPr="006B4212">
        <w:rPr>
          <w:i/>
          <w:color w:val="000000"/>
          <w:lang w:val="en-US"/>
        </w:rPr>
        <w:t xml:space="preserve"> 201</w:t>
      </w:r>
      <w:r w:rsidR="000E614D">
        <w:rPr>
          <w:i/>
          <w:color w:val="000000"/>
          <w:lang w:val="en-US"/>
        </w:rPr>
        <w:t>6</w:t>
      </w:r>
      <w:bookmarkEnd w:id="186"/>
    </w:p>
    <w:p w14:paraId="6E2C90F9" w14:textId="7E8BD0C1" w:rsidR="007F7A67" w:rsidRDefault="001B3EED" w:rsidP="0015251F">
      <w:pPr>
        <w:rPr>
          <w:i/>
          <w:color w:val="000000"/>
        </w:rPr>
      </w:pPr>
      <w:r w:rsidRPr="009F7BEA">
        <w:rPr>
          <w:i/>
          <w:color w:val="000000" w:themeColor="text1"/>
        </w:rPr>
        <w:t xml:space="preserve"> </w:t>
      </w:r>
      <w:r w:rsidR="00653D95">
        <w:rPr>
          <w:i/>
          <w:color w:val="000000"/>
          <w:lang w:val="en-US"/>
        </w:rPr>
        <w:t xml:space="preserve"> </w:t>
      </w:r>
      <w:r w:rsidR="00653D95" w:rsidRPr="009A66FC">
        <w:rPr>
          <w:i/>
          <w:color w:val="000000"/>
          <w:lang w:eastAsia="en-AU"/>
        </w:rPr>
        <w:t xml:space="preserve">(± </w:t>
      </w:r>
      <w:r w:rsidR="00653D95">
        <w:rPr>
          <w:i/>
          <w:color w:val="000000"/>
          <w:lang w:eastAsia="en-AU"/>
        </w:rPr>
        <w:t>SE</w:t>
      </w:r>
      <w:r w:rsidR="00653D95" w:rsidRPr="009A66FC">
        <w:rPr>
          <w:i/>
          <w:color w:val="000000"/>
          <w:lang w:eastAsia="en-AU"/>
        </w:rPr>
        <w:t>)</w:t>
      </w:r>
      <w:r w:rsidR="007F7A67" w:rsidRPr="006B4212">
        <w:rPr>
          <w:i/>
          <w:color w:val="000000"/>
          <w:lang w:val="en-US"/>
        </w:rPr>
        <w:t xml:space="preserve">. </w:t>
      </w:r>
      <w:r w:rsidR="007F7A67" w:rsidRPr="006B4212">
        <w:rPr>
          <w:i/>
          <w:color w:val="000000"/>
        </w:rPr>
        <w:t>The box represents the interquartile range of values, where the boundary of the box closest to zero indicates the 25</w:t>
      </w:r>
      <w:r w:rsidR="007F7A67" w:rsidRPr="000B53BD">
        <w:rPr>
          <w:i/>
          <w:color w:val="000000"/>
          <w:vertAlign w:val="superscript"/>
        </w:rPr>
        <w:t>th</w:t>
      </w:r>
      <w:r w:rsidR="007F7A67" w:rsidRPr="006B4212">
        <w:rPr>
          <w:i/>
          <w:color w:val="000000"/>
        </w:rPr>
        <w:t xml:space="preserve"> percentile, a line within the box marks the median, and the boundary of the box farthest from zero indicates the 75</w:t>
      </w:r>
      <w:r w:rsidR="007F7A67" w:rsidRPr="000B53BD">
        <w:rPr>
          <w:i/>
          <w:color w:val="000000"/>
          <w:vertAlign w:val="superscript"/>
        </w:rPr>
        <w:t>th</w:t>
      </w:r>
      <w:r w:rsidR="007F7A67" w:rsidRPr="006B4212">
        <w:rPr>
          <w:i/>
          <w:color w:val="000000"/>
        </w:rPr>
        <w:t xml:space="preserve"> percentile. Whiskers (error bars) above and below the box indicate the 90</w:t>
      </w:r>
      <w:r w:rsidR="007F7A67" w:rsidRPr="000B53BD">
        <w:rPr>
          <w:i/>
          <w:color w:val="000000"/>
          <w:vertAlign w:val="superscript"/>
        </w:rPr>
        <w:t>th</w:t>
      </w:r>
      <w:r w:rsidR="007F7A67" w:rsidRPr="006B4212">
        <w:rPr>
          <w:i/>
          <w:color w:val="000000"/>
        </w:rPr>
        <w:t xml:space="preserve"> and 10</w:t>
      </w:r>
      <w:r w:rsidR="007F7A67" w:rsidRPr="000B53BD">
        <w:rPr>
          <w:i/>
          <w:color w:val="000000"/>
          <w:vertAlign w:val="superscript"/>
        </w:rPr>
        <w:t>th</w:t>
      </w:r>
      <w:r w:rsidR="007F7A67" w:rsidRPr="006B4212">
        <w:rPr>
          <w:i/>
          <w:color w:val="000000"/>
        </w:rPr>
        <w:t xml:space="preserve"> percentiles, and the black dots represent outlying points. </w:t>
      </w:r>
    </w:p>
    <w:bookmarkEnd w:id="187"/>
    <w:bookmarkEnd w:id="188"/>
    <w:bookmarkEnd w:id="189"/>
    <w:p w14:paraId="36C48EE3" w14:textId="77777777" w:rsidR="007F7A67" w:rsidRDefault="007F7A67" w:rsidP="00994F86">
      <w:pPr>
        <w:rPr>
          <w:color w:val="000000" w:themeColor="text1"/>
          <w:szCs w:val="22"/>
        </w:rPr>
      </w:pPr>
    </w:p>
    <w:p w14:paraId="5D144040" w14:textId="77777777" w:rsidR="0032403D" w:rsidRDefault="00767FB9" w:rsidP="00994F86">
      <w:pPr>
        <w:spacing w:before="240"/>
        <w:rPr>
          <w:color w:val="000000"/>
          <w:szCs w:val="22"/>
        </w:rPr>
      </w:pPr>
      <w:r>
        <w:rPr>
          <w:noProof/>
          <w:color w:val="000000"/>
          <w:szCs w:val="22"/>
          <w:lang w:eastAsia="en-AU"/>
        </w:rPr>
        <w:drawing>
          <wp:inline distT="0" distB="0" distL="0" distR="0" wp14:anchorId="6A3BE7C7" wp14:editId="1C80DED8">
            <wp:extent cx="5346700" cy="2287106"/>
            <wp:effectExtent l="0" t="0" r="6350" b="0"/>
            <wp:docPr id="245" name="Picture 245" descr="Set of eight scatter plots with straight lines and markers showing elemental ratios (atomic) of seagrass leaf tissue C:P and N:P for each habitat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GBR_CNP_yr_Dec16.png"/>
                    <pic:cNvPicPr/>
                  </pic:nvPicPr>
                  <pic:blipFill>
                    <a:blip r:embed="rId63">
                      <a:extLst>
                        <a:ext uri="{28A0092B-C50C-407E-A947-70E740481C1C}">
                          <a14:useLocalDpi xmlns:a14="http://schemas.microsoft.com/office/drawing/2010/main" val="0"/>
                        </a:ext>
                      </a:extLst>
                    </a:blip>
                    <a:stretch>
                      <a:fillRect/>
                    </a:stretch>
                  </pic:blipFill>
                  <pic:spPr>
                    <a:xfrm>
                      <a:off x="0" y="0"/>
                      <a:ext cx="5347537" cy="2287464"/>
                    </a:xfrm>
                    <a:prstGeom prst="rect">
                      <a:avLst/>
                    </a:prstGeom>
                  </pic:spPr>
                </pic:pic>
              </a:graphicData>
            </a:graphic>
          </wp:inline>
        </w:drawing>
      </w:r>
    </w:p>
    <w:p w14:paraId="6CF1B8CE" w14:textId="371F35A6" w:rsidR="0032403D" w:rsidRPr="009A66FC" w:rsidRDefault="0032403D" w:rsidP="0015251F">
      <w:pPr>
        <w:rPr>
          <w:i/>
          <w:iCs/>
          <w:vanish/>
          <w:color w:val="000000"/>
          <w:szCs w:val="22"/>
          <w:lang w:eastAsia="en-AU"/>
          <w:specVanish/>
        </w:rPr>
      </w:pPr>
      <w:bookmarkStart w:id="190" w:name="_Ref442529454"/>
      <w:bookmarkStart w:id="191" w:name="_Toc516053236"/>
      <w:r w:rsidRPr="009A66F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26</w:t>
      </w:r>
      <w:r w:rsidR="0073595B">
        <w:rPr>
          <w:color w:val="000000"/>
        </w:rPr>
        <w:fldChar w:fldCharType="end"/>
      </w:r>
      <w:bookmarkEnd w:id="190"/>
      <w:r w:rsidRPr="009A66FC">
        <w:rPr>
          <w:color w:val="000000"/>
        </w:rPr>
        <w:t xml:space="preserve">. </w:t>
      </w:r>
      <w:r w:rsidRPr="009A66FC">
        <w:rPr>
          <w:i/>
          <w:color w:val="000000"/>
          <w:lang w:eastAsia="en-AU"/>
        </w:rPr>
        <w:t xml:space="preserve">Elemental ratios (atomic) of seagrass leaf tissue </w:t>
      </w:r>
      <w:r>
        <w:rPr>
          <w:i/>
          <w:color w:val="000000"/>
          <w:lang w:eastAsia="en-AU"/>
        </w:rPr>
        <w:t>C</w:t>
      </w:r>
      <w:r w:rsidRPr="009A66FC">
        <w:rPr>
          <w:i/>
          <w:color w:val="000000"/>
          <w:lang w:eastAsia="en-AU"/>
        </w:rPr>
        <w:t xml:space="preserve">:P and </w:t>
      </w:r>
      <w:r>
        <w:rPr>
          <w:i/>
          <w:color w:val="000000"/>
          <w:lang w:eastAsia="en-AU"/>
        </w:rPr>
        <w:t>N</w:t>
      </w:r>
      <w:r w:rsidRPr="009A66FC">
        <w:rPr>
          <w:i/>
          <w:color w:val="000000"/>
          <w:lang w:eastAsia="en-AU"/>
        </w:rPr>
        <w:t>:P for each habitat each year</w:t>
      </w:r>
      <w:bookmarkEnd w:id="191"/>
      <w:r w:rsidRPr="009A66FC">
        <w:rPr>
          <w:i/>
          <w:color w:val="000000"/>
          <w:lang w:eastAsia="en-AU"/>
        </w:rPr>
        <w:t xml:space="preserve"> </w:t>
      </w:r>
    </w:p>
    <w:p w14:paraId="104BA3B6" w14:textId="5383A900" w:rsidR="0032403D" w:rsidRPr="009A66FC" w:rsidRDefault="0032403D" w:rsidP="0015251F">
      <w:pPr>
        <w:rPr>
          <w:color w:val="000000"/>
          <w:lang w:eastAsia="en-AU"/>
        </w:rPr>
      </w:pPr>
      <w:r w:rsidRPr="009A66FC">
        <w:rPr>
          <w:i/>
          <w:color w:val="000000"/>
          <w:lang w:eastAsia="en-AU"/>
        </w:rPr>
        <w:t xml:space="preserve"> (foundation species pooled) (± </w:t>
      </w:r>
      <w:r w:rsidR="00535164">
        <w:rPr>
          <w:i/>
          <w:color w:val="000000"/>
          <w:lang w:eastAsia="en-AU"/>
        </w:rPr>
        <w:t>SE</w:t>
      </w:r>
      <w:r w:rsidRPr="009A66FC">
        <w:rPr>
          <w:i/>
          <w:color w:val="000000"/>
          <w:lang w:eastAsia="en-AU"/>
        </w:rPr>
        <w:t xml:space="preserve">). Horizontal shaded band on the N:P ratio panel </w:t>
      </w:r>
      <w:r w:rsidR="003D76B5">
        <w:rPr>
          <w:i/>
          <w:color w:val="000000"/>
          <w:lang w:eastAsia="en-AU"/>
        </w:rPr>
        <w:t>is</w:t>
      </w:r>
      <w:r w:rsidRPr="009A66FC">
        <w:rPr>
          <w:i/>
          <w:color w:val="000000"/>
          <w:lang w:eastAsia="en-AU"/>
        </w:rPr>
        <w:t xml:space="preserve"> the range </w:t>
      </w:r>
      <w:r w:rsidR="003D76B5">
        <w:rPr>
          <w:i/>
          <w:color w:val="000000"/>
          <w:lang w:eastAsia="en-AU"/>
        </w:rPr>
        <w:t>over which</w:t>
      </w:r>
      <w:r w:rsidRPr="009A66FC">
        <w:rPr>
          <w:i/>
          <w:color w:val="000000"/>
          <w:lang w:eastAsia="en-AU"/>
        </w:rPr>
        <w:t xml:space="preserve"> </w:t>
      </w:r>
      <w:r w:rsidR="00820EBC">
        <w:rPr>
          <w:i/>
          <w:color w:val="000000"/>
          <w:lang w:eastAsia="en-AU"/>
        </w:rPr>
        <w:t>these nutrients are</w:t>
      </w:r>
      <w:r w:rsidR="003D76B5">
        <w:rPr>
          <w:i/>
          <w:color w:val="000000"/>
          <w:lang w:eastAsia="en-AU"/>
        </w:rPr>
        <w:t xml:space="preserve"> considered to be in </w:t>
      </w:r>
      <w:r w:rsidRPr="009A66FC">
        <w:rPr>
          <w:i/>
          <w:color w:val="000000"/>
          <w:lang w:eastAsia="en-AU"/>
        </w:rPr>
        <w:t xml:space="preserve">balance in plant tissues, </w:t>
      </w:r>
      <w:r w:rsidR="003D76B5">
        <w:rPr>
          <w:i/>
          <w:color w:val="000000"/>
          <w:lang w:eastAsia="en-AU"/>
        </w:rPr>
        <w:t>similar to</w:t>
      </w:r>
      <w:r w:rsidRPr="009A66FC">
        <w:rPr>
          <w:i/>
          <w:color w:val="000000"/>
          <w:lang w:eastAsia="en-AU"/>
        </w:rPr>
        <w:t xml:space="preserve"> a seagrass “Redfield” ratio (</w: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
          <w:color w:val="000000"/>
          <w:lang w:eastAsia="en-AU"/>
        </w:rPr>
        <w:instrText xml:space="preserve"> ADDIN EN.CITE </w:instrText>
      </w:r>
      <w:r w:rsidR="00521D93">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
          <w:color w:val="000000"/>
          <w:lang w:eastAsia="en-AU"/>
        </w:rPr>
        <w:instrText xml:space="preserve"> ADDIN EN.CITE.DATA </w:instrText>
      </w:r>
      <w:r w:rsidR="00521D93">
        <w:rPr>
          <w:i/>
          <w:color w:val="000000"/>
          <w:lang w:eastAsia="en-AU"/>
        </w:rPr>
      </w:r>
      <w:r w:rsidR="00521D93">
        <w:rPr>
          <w:i/>
          <w:color w:val="000000"/>
          <w:lang w:eastAsia="en-AU"/>
        </w:rPr>
        <w:fldChar w:fldCharType="end"/>
      </w:r>
      <w:r w:rsidR="00644A84">
        <w:rPr>
          <w:i/>
          <w:color w:val="000000"/>
          <w:lang w:eastAsia="en-AU"/>
        </w:rPr>
      </w:r>
      <w:r w:rsidR="00644A84">
        <w:rPr>
          <w:i/>
          <w:color w:val="000000"/>
          <w:lang w:eastAsia="en-AU"/>
        </w:rPr>
        <w:fldChar w:fldCharType="separate"/>
      </w:r>
      <w:hyperlink w:anchor="_ENREF_9" w:tooltip="Atkinson, 1983 #6292" w:history="1">
        <w:r w:rsidR="00305FE7">
          <w:rPr>
            <w:i/>
            <w:noProof/>
            <w:color w:val="000000"/>
            <w:lang w:eastAsia="en-AU"/>
          </w:rPr>
          <w:t>Atkinson and Smith 1983</w:t>
        </w:r>
      </w:hyperlink>
      <w:r w:rsidR="00521D93">
        <w:rPr>
          <w:i/>
          <w:noProof/>
          <w:color w:val="000000"/>
          <w:lang w:eastAsia="en-AU"/>
        </w:rPr>
        <w:t xml:space="preserve">; </w:t>
      </w:r>
      <w:hyperlink w:anchor="_ENREF_84" w:tooltip="Duarte, 1990 #1954" w:history="1">
        <w:r w:rsidR="00305FE7">
          <w:rPr>
            <w:i/>
            <w:noProof/>
            <w:color w:val="000000"/>
            <w:lang w:eastAsia="en-AU"/>
          </w:rPr>
          <w:t>Duarte 1990</w:t>
        </w:r>
      </w:hyperlink>
      <w:r w:rsidR="00521D93">
        <w:rPr>
          <w:i/>
          <w:noProof/>
          <w:color w:val="000000"/>
          <w:lang w:eastAsia="en-AU"/>
        </w:rPr>
        <w:t xml:space="preserve">; </w:t>
      </w:r>
      <w:hyperlink w:anchor="_ENREF_100" w:tooltip="Fourqurean, 1992 #9493" w:history="1">
        <w:r w:rsidR="00305FE7">
          <w:rPr>
            <w:i/>
            <w:noProof/>
            <w:color w:val="000000"/>
            <w:lang w:eastAsia="en-AU"/>
          </w:rPr>
          <w:t>Fourqurean et al. 1992b</w:t>
        </w:r>
      </w:hyperlink>
      <w:r w:rsidR="00644A84">
        <w:rPr>
          <w:i/>
          <w:color w:val="000000"/>
          <w:lang w:eastAsia="en-AU"/>
        </w:rPr>
        <w:fldChar w:fldCharType="end"/>
      </w:r>
      <w:r w:rsidRPr="009A66FC">
        <w:rPr>
          <w:i/>
          <w:color w:val="000000"/>
          <w:lang w:eastAsia="en-AU"/>
        </w:rPr>
        <w:t xml:space="preserve">; </w:t>
      </w:r>
      <w:hyperlink w:anchor="_ENREF_94" w:tooltip="Fourqurean, 2001 #9492" w:history="1">
        <w:r w:rsidR="00305FE7">
          <w:rPr>
            <w:i/>
            <w:color w:val="000000"/>
            <w:lang w:eastAsia="en-AU"/>
          </w:rPr>
          <w:fldChar w:fldCharType="begin"/>
        </w:r>
        <w:r w:rsidR="00305FE7">
          <w:rPr>
            <w:i/>
            <w:color w:val="000000"/>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305FE7">
          <w:rPr>
            <w:i/>
            <w:color w:val="000000"/>
            <w:lang w:eastAsia="en-AU"/>
          </w:rPr>
          <w:fldChar w:fldCharType="separate"/>
        </w:r>
        <w:r w:rsidR="00305FE7">
          <w:rPr>
            <w:i/>
            <w:noProof/>
            <w:color w:val="000000"/>
            <w:lang w:eastAsia="en-AU"/>
          </w:rPr>
          <w:t>Fourqurean and Cai 2001</w:t>
        </w:r>
        <w:r w:rsidR="00305FE7">
          <w:rPr>
            <w:i/>
            <w:color w:val="000000"/>
            <w:lang w:eastAsia="en-AU"/>
          </w:rPr>
          <w:fldChar w:fldCharType="end"/>
        </w:r>
      </w:hyperlink>
      <w:r w:rsidRPr="009A66FC">
        <w:rPr>
          <w:i/>
          <w:color w:val="000000"/>
          <w:lang w:eastAsia="en-AU"/>
        </w:rPr>
        <w:t>). N:P ratio above this band indicates P limitation, below indicates N limitation and within indicates replete. Horizontal dashed line on the C:P panel at 500 represents the value associated with C:P balance ratio in the plant tissues, C:P values &lt;500 may indicate nutrient rich habitats (large P pool).</w:t>
      </w:r>
      <w:r w:rsidRPr="009A66FC">
        <w:rPr>
          <w:color w:val="000000"/>
          <w:lang w:eastAsia="en-AU"/>
        </w:rPr>
        <w:t xml:space="preserve"> </w:t>
      </w:r>
    </w:p>
    <w:p w14:paraId="40D42DBF" w14:textId="2A9B4448" w:rsidR="0032403D" w:rsidRPr="004C5145" w:rsidRDefault="0032403D" w:rsidP="00994F86">
      <w:pPr>
        <w:rPr>
          <w:szCs w:val="22"/>
        </w:rPr>
      </w:pPr>
      <w:r w:rsidRPr="004C5145">
        <w:rPr>
          <w:szCs w:val="22"/>
        </w:rPr>
        <w:t xml:space="preserve">Seagrass nutrient status scores (using only C:N) were reduced in </w:t>
      </w:r>
      <w:r w:rsidR="00404C02" w:rsidRPr="004C5145">
        <w:rPr>
          <w:szCs w:val="22"/>
        </w:rPr>
        <w:t xml:space="preserve">the </w:t>
      </w:r>
      <w:r w:rsidR="00501C82">
        <w:rPr>
          <w:szCs w:val="22"/>
        </w:rPr>
        <w:t xml:space="preserve">Burnett </w:t>
      </w:r>
      <w:r w:rsidR="004C5145" w:rsidRPr="004C5145">
        <w:rPr>
          <w:szCs w:val="22"/>
        </w:rPr>
        <w:t xml:space="preserve">Mary </w:t>
      </w:r>
      <w:r w:rsidR="00404C02" w:rsidRPr="004C5145">
        <w:rPr>
          <w:szCs w:val="22"/>
        </w:rPr>
        <w:t xml:space="preserve">(from </w:t>
      </w:r>
      <w:r w:rsidR="004C5145" w:rsidRPr="004C5145">
        <w:rPr>
          <w:szCs w:val="22"/>
        </w:rPr>
        <w:t>moderate</w:t>
      </w:r>
      <w:r w:rsidR="00404C02" w:rsidRPr="004C5145">
        <w:rPr>
          <w:szCs w:val="22"/>
        </w:rPr>
        <w:t xml:space="preserve"> to </w:t>
      </w:r>
      <w:r w:rsidR="004C5145" w:rsidRPr="004C5145">
        <w:rPr>
          <w:szCs w:val="22"/>
        </w:rPr>
        <w:t>poor</w:t>
      </w:r>
      <w:r w:rsidR="00404C02" w:rsidRPr="004C5145">
        <w:rPr>
          <w:szCs w:val="22"/>
        </w:rPr>
        <w:t xml:space="preserve">), </w:t>
      </w:r>
      <w:r w:rsidR="004C5145" w:rsidRPr="004C5145">
        <w:rPr>
          <w:szCs w:val="22"/>
        </w:rPr>
        <w:t>improved</w:t>
      </w:r>
      <w:r w:rsidR="00404C02" w:rsidRPr="004C5145">
        <w:rPr>
          <w:szCs w:val="22"/>
        </w:rPr>
        <w:t xml:space="preserve"> in</w:t>
      </w:r>
      <w:r w:rsidR="005722FD" w:rsidRPr="004C5145">
        <w:rPr>
          <w:szCs w:val="22"/>
        </w:rPr>
        <w:t xml:space="preserve"> t</w:t>
      </w:r>
      <w:r w:rsidR="00404C02" w:rsidRPr="004C5145">
        <w:rPr>
          <w:szCs w:val="22"/>
        </w:rPr>
        <w:t xml:space="preserve">he </w:t>
      </w:r>
      <w:r w:rsidR="004C5145" w:rsidRPr="004C5145">
        <w:rPr>
          <w:szCs w:val="22"/>
        </w:rPr>
        <w:t>Cape York and Fitzroy</w:t>
      </w:r>
      <w:r w:rsidR="00404C02" w:rsidRPr="004C5145">
        <w:rPr>
          <w:szCs w:val="22"/>
        </w:rPr>
        <w:t xml:space="preserve"> (fr</w:t>
      </w:r>
      <w:r w:rsidR="005722FD" w:rsidRPr="004C5145">
        <w:rPr>
          <w:szCs w:val="22"/>
        </w:rPr>
        <w:t>o</w:t>
      </w:r>
      <w:r w:rsidR="00404C02" w:rsidRPr="004C5145">
        <w:rPr>
          <w:szCs w:val="22"/>
        </w:rPr>
        <w:t xml:space="preserve">m poor to </w:t>
      </w:r>
      <w:r w:rsidR="00566D51" w:rsidRPr="004C5145">
        <w:rPr>
          <w:szCs w:val="22"/>
        </w:rPr>
        <w:t>moderate</w:t>
      </w:r>
      <w:r w:rsidR="00404C02" w:rsidRPr="004C5145">
        <w:rPr>
          <w:szCs w:val="22"/>
        </w:rPr>
        <w:t>), and remained relatively stable in all other regions</w:t>
      </w:r>
      <w:r w:rsidR="00566D51" w:rsidRPr="004C5145">
        <w:rPr>
          <w:szCs w:val="22"/>
        </w:rPr>
        <w:t xml:space="preserve"> in </w:t>
      </w:r>
      <w:r w:rsidR="008574EC">
        <w:rPr>
          <w:szCs w:val="22"/>
        </w:rPr>
        <w:t>2016–17</w:t>
      </w:r>
      <w:r w:rsidRPr="004C5145">
        <w:rPr>
          <w:szCs w:val="22"/>
        </w:rPr>
        <w:t xml:space="preserve"> (</w:t>
      </w:r>
      <w:r w:rsidRPr="004C5145">
        <w:rPr>
          <w:szCs w:val="22"/>
        </w:rPr>
        <w:fldChar w:fldCharType="begin"/>
      </w:r>
      <w:r w:rsidRPr="004C5145">
        <w:rPr>
          <w:szCs w:val="22"/>
        </w:rPr>
        <w:instrText xml:space="preserve"> REF _Ref382141759 \h  \* MERGEFORMAT </w:instrText>
      </w:r>
      <w:r w:rsidRPr="004C5145">
        <w:rPr>
          <w:szCs w:val="22"/>
        </w:rPr>
      </w:r>
      <w:r w:rsidRPr="004C5145">
        <w:rPr>
          <w:szCs w:val="22"/>
        </w:rPr>
        <w:fldChar w:fldCharType="separate"/>
      </w:r>
      <w:r w:rsidR="00F87DF9" w:rsidRPr="00F87DF9">
        <w:t xml:space="preserve">Figure </w:t>
      </w:r>
      <w:r w:rsidR="00F87DF9" w:rsidRPr="00F87DF9">
        <w:rPr>
          <w:noProof/>
        </w:rPr>
        <w:t>27</w:t>
      </w:r>
      <w:r w:rsidRPr="004C5145">
        <w:rPr>
          <w:szCs w:val="22"/>
        </w:rPr>
        <w:fldChar w:fldCharType="end"/>
      </w:r>
      <w:r w:rsidRPr="004C5145">
        <w:rPr>
          <w:szCs w:val="22"/>
        </w:rPr>
        <w:t xml:space="preserve">). </w:t>
      </w:r>
    </w:p>
    <w:p w14:paraId="26EBCDCF" w14:textId="77777777" w:rsidR="009817B8" w:rsidRDefault="009817B8" w:rsidP="00994F86">
      <w:pPr>
        <w:rPr>
          <w:color w:val="000000"/>
          <w:szCs w:val="22"/>
        </w:rPr>
      </w:pPr>
    </w:p>
    <w:p w14:paraId="3F43345F" w14:textId="77777777" w:rsidR="0032403D" w:rsidRDefault="00767FB9" w:rsidP="00994F86">
      <w:pPr>
        <w:keepNext/>
        <w:widowControl w:val="0"/>
        <w:spacing w:after="0"/>
        <w:jc w:val="center"/>
        <w:rPr>
          <w:color w:val="000000"/>
          <w:szCs w:val="22"/>
        </w:rPr>
      </w:pPr>
      <w:r>
        <w:rPr>
          <w:noProof/>
          <w:color w:val="000000"/>
          <w:szCs w:val="22"/>
          <w:lang w:eastAsia="en-AU"/>
        </w:rPr>
        <w:drawing>
          <wp:inline distT="0" distB="0" distL="0" distR="0" wp14:anchorId="4F598F39" wp14:editId="2238A6DB">
            <wp:extent cx="5758698" cy="2056336"/>
            <wp:effectExtent l="0" t="0" r="0" b="1270"/>
            <wp:docPr id="246" name="Picture 246" descr="Set of six scatter plots with straight lines and markers showing regional report card scores for seagrass leaf tissue nutrient status (C: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NDEX_CN_2016.png"/>
                    <pic:cNvPicPr/>
                  </pic:nvPicPr>
                  <pic:blipFill>
                    <a:blip r:embed="rId64">
                      <a:extLst>
                        <a:ext uri="{28A0092B-C50C-407E-A947-70E740481C1C}">
                          <a14:useLocalDpi xmlns:a14="http://schemas.microsoft.com/office/drawing/2010/main" val="0"/>
                        </a:ext>
                      </a:extLst>
                    </a:blip>
                    <a:stretch>
                      <a:fillRect/>
                    </a:stretch>
                  </pic:blipFill>
                  <pic:spPr>
                    <a:xfrm>
                      <a:off x="0" y="0"/>
                      <a:ext cx="5758698" cy="2056336"/>
                    </a:xfrm>
                    <a:prstGeom prst="rect">
                      <a:avLst/>
                    </a:prstGeom>
                  </pic:spPr>
                </pic:pic>
              </a:graphicData>
            </a:graphic>
          </wp:inline>
        </w:drawing>
      </w:r>
    </w:p>
    <w:p w14:paraId="103D06DE" w14:textId="3C01BA3C" w:rsidR="00545457" w:rsidRPr="00003FCC" w:rsidRDefault="00ED31CD" w:rsidP="0015251F">
      <w:pPr>
        <w:rPr>
          <w:i/>
          <w:vanish/>
          <w:color w:val="000000"/>
          <w:szCs w:val="22"/>
          <w:specVanish/>
        </w:rPr>
      </w:pPr>
      <w:bookmarkStart w:id="192" w:name="_Ref382141759"/>
      <w:bookmarkStart w:id="193" w:name="_Toc431493812"/>
      <w:bookmarkStart w:id="194" w:name="_Toc516053237"/>
      <w:r w:rsidRPr="00003FC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27</w:t>
      </w:r>
      <w:r w:rsidR="0073595B">
        <w:rPr>
          <w:color w:val="000000"/>
        </w:rPr>
        <w:fldChar w:fldCharType="end"/>
      </w:r>
      <w:bookmarkEnd w:id="192"/>
      <w:r w:rsidRPr="00003FCC">
        <w:rPr>
          <w:color w:val="000000"/>
        </w:rPr>
        <w:t xml:space="preserve">. </w:t>
      </w:r>
      <w:r w:rsidR="00E815D5" w:rsidRPr="00003FCC">
        <w:rPr>
          <w:i/>
          <w:color w:val="000000"/>
        </w:rPr>
        <w:t xml:space="preserve">Regional report card scores for seagrass leaf tissue nutrient status (C:N) </w:t>
      </w:r>
      <w:r w:rsidRPr="00003FCC">
        <w:rPr>
          <w:i/>
          <w:color w:val="000000"/>
        </w:rPr>
        <w:t>over the life of the MMP</w:t>
      </w:r>
      <w:bookmarkEnd w:id="193"/>
      <w:bookmarkEnd w:id="194"/>
    </w:p>
    <w:p w14:paraId="103D2AC6" w14:textId="21974783" w:rsidR="00531604" w:rsidRDefault="00ED31CD" w:rsidP="0015251F">
      <w:pPr>
        <w:rPr>
          <w:i/>
          <w:szCs w:val="22"/>
        </w:rPr>
      </w:pPr>
      <w:r w:rsidRPr="00003FCC">
        <w:rPr>
          <w:i/>
          <w:color w:val="000000"/>
        </w:rPr>
        <w:t xml:space="preserve">. </w:t>
      </w:r>
      <w:r w:rsidR="007D4BE7" w:rsidRPr="007D4BE7">
        <w:rPr>
          <w:i/>
          <w:color w:val="000000"/>
        </w:rPr>
        <w:t xml:space="preserve">Bold symbol = </w:t>
      </w:r>
      <w:r w:rsidR="008574EC">
        <w:rPr>
          <w:i/>
          <w:color w:val="000000"/>
        </w:rPr>
        <w:t>2016–17</w:t>
      </w:r>
      <w:r w:rsidR="007D4BE7" w:rsidRPr="007D4BE7">
        <w:rPr>
          <w:i/>
          <w:color w:val="000000"/>
        </w:rPr>
        <w:t xml:space="preserve"> monitoring period. </w:t>
      </w:r>
      <w:r w:rsidRPr="00003FCC">
        <w:rPr>
          <w:i/>
          <w:color w:val="000000"/>
        </w:rPr>
        <w:t>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p>
    <w:p w14:paraId="159EA348" w14:textId="77777777" w:rsidR="009817B8" w:rsidRDefault="009817B8" w:rsidP="00994F86">
      <w:pPr>
        <w:rPr>
          <w:color w:val="000000"/>
          <w:szCs w:val="22"/>
          <w:lang w:val="en-GB"/>
        </w:rPr>
      </w:pPr>
    </w:p>
    <w:p w14:paraId="01EAC139" w14:textId="77777777" w:rsidR="00531604" w:rsidRDefault="00531604" w:rsidP="00531604">
      <w:pPr>
        <w:pStyle w:val="Heading4"/>
        <w:numPr>
          <w:ilvl w:val="0"/>
          <w:numId w:val="0"/>
        </w:numPr>
        <w:tabs>
          <w:tab w:val="left" w:pos="720"/>
        </w:tabs>
        <w:rPr>
          <w:rFonts w:ascii="Arial" w:hAnsi="Arial" w:cs="Arial"/>
          <w:sz w:val="24"/>
          <w:szCs w:val="24"/>
        </w:rPr>
      </w:pPr>
      <w:r>
        <w:rPr>
          <w:rFonts w:ascii="Arial" w:hAnsi="Arial" w:cs="Arial"/>
          <w:sz w:val="24"/>
          <w:szCs w:val="24"/>
        </w:rPr>
        <w:t>Seagrass meadow sediments</w:t>
      </w:r>
    </w:p>
    <w:p w14:paraId="260366CC" w14:textId="439F3FC3" w:rsidR="00531604" w:rsidRPr="003F065C" w:rsidRDefault="003F065C" w:rsidP="00994F86">
      <w:pPr>
        <w:rPr>
          <w:szCs w:val="22"/>
          <w:lang w:val="en-GB"/>
        </w:rPr>
      </w:pPr>
      <w:r w:rsidRPr="003F065C">
        <w:rPr>
          <w:szCs w:val="22"/>
          <w:lang w:val="en-GB"/>
        </w:rPr>
        <w:t>Coastal subtidal and e</w:t>
      </w:r>
      <w:r w:rsidR="001E64C8" w:rsidRPr="003F065C">
        <w:rPr>
          <w:szCs w:val="22"/>
          <w:lang w:val="en-GB"/>
        </w:rPr>
        <w:t xml:space="preserve">stuarine seagrass habitats across the </w:t>
      </w:r>
      <w:r w:rsidR="007F6948">
        <w:rPr>
          <w:szCs w:val="22"/>
          <w:lang w:val="en-GB"/>
        </w:rPr>
        <w:t>Great Barrier Reef</w:t>
      </w:r>
      <w:r w:rsidR="001E64C8" w:rsidRPr="003F065C">
        <w:rPr>
          <w:szCs w:val="22"/>
          <w:lang w:val="en-GB"/>
        </w:rPr>
        <w:t xml:space="preserve"> had a greater proportion of fine sediments (i.e. mud) than other habitats</w:t>
      </w:r>
      <w:r w:rsidR="00800235" w:rsidRPr="003F065C">
        <w:rPr>
          <w:szCs w:val="22"/>
          <w:lang w:val="en-GB"/>
        </w:rPr>
        <w:t xml:space="preserve"> (</w:t>
      </w:r>
      <w:r w:rsidR="00112B83" w:rsidRPr="003F065C">
        <w:rPr>
          <w:szCs w:val="22"/>
          <w:lang w:val="en-GB"/>
        </w:rPr>
        <w:fldChar w:fldCharType="begin"/>
      </w:r>
      <w:r w:rsidR="00112B83" w:rsidRPr="003F065C">
        <w:rPr>
          <w:szCs w:val="22"/>
          <w:lang w:val="en-GB"/>
        </w:rPr>
        <w:instrText xml:space="preserve"> REF _Ref442530421 \h </w:instrText>
      </w:r>
      <w:r w:rsidR="00112B83" w:rsidRPr="003F065C">
        <w:rPr>
          <w:szCs w:val="22"/>
          <w:lang w:val="en-GB"/>
        </w:rPr>
      </w:r>
      <w:r w:rsidR="00112B83" w:rsidRPr="003F065C">
        <w:rPr>
          <w:szCs w:val="22"/>
          <w:lang w:val="en-GB"/>
        </w:rPr>
        <w:fldChar w:fldCharType="separate"/>
      </w:r>
      <w:r w:rsidR="00F87DF9" w:rsidRPr="00687DA2">
        <w:t xml:space="preserve">Table </w:t>
      </w:r>
      <w:r w:rsidR="00F87DF9">
        <w:rPr>
          <w:noProof/>
        </w:rPr>
        <w:t>11</w:t>
      </w:r>
      <w:r w:rsidR="00112B83" w:rsidRPr="003F065C">
        <w:rPr>
          <w:szCs w:val="22"/>
          <w:lang w:val="en-GB"/>
        </w:rPr>
        <w:fldChar w:fldCharType="end"/>
      </w:r>
      <w:r w:rsidR="00800235" w:rsidRPr="003F065C">
        <w:rPr>
          <w:szCs w:val="22"/>
          <w:lang w:val="en-GB"/>
        </w:rPr>
        <w:t>)</w:t>
      </w:r>
      <w:r w:rsidR="001E64C8" w:rsidRPr="003F065C">
        <w:rPr>
          <w:szCs w:val="22"/>
          <w:lang w:val="en-GB"/>
        </w:rPr>
        <w:t xml:space="preserve">. </w:t>
      </w:r>
      <w:r w:rsidR="00800235" w:rsidRPr="003F065C">
        <w:rPr>
          <w:szCs w:val="22"/>
          <w:lang w:val="en-GB"/>
        </w:rPr>
        <w:t>Sediments a</w:t>
      </w:r>
      <w:r w:rsidR="00501C82">
        <w:rPr>
          <w:szCs w:val="22"/>
          <w:lang w:val="en-GB"/>
        </w:rPr>
        <w:t>t</w:t>
      </w:r>
      <w:r w:rsidR="00800235" w:rsidRPr="003F065C">
        <w:rPr>
          <w:szCs w:val="22"/>
          <w:lang w:val="en-GB"/>
        </w:rPr>
        <w:t xml:space="preserve"> coastal habitats were predominately medium and fine sands, while reef habitats (intertidal and subtidal) were dominated by medium sands (</w:t>
      </w:r>
      <w:r w:rsidR="00112B83" w:rsidRPr="003F065C">
        <w:rPr>
          <w:szCs w:val="22"/>
          <w:lang w:val="en-GB"/>
        </w:rPr>
        <w:fldChar w:fldCharType="begin"/>
      </w:r>
      <w:r w:rsidR="00112B83" w:rsidRPr="003F065C">
        <w:rPr>
          <w:szCs w:val="22"/>
          <w:lang w:val="en-GB"/>
        </w:rPr>
        <w:instrText xml:space="preserve"> REF _Ref442530421 \h </w:instrText>
      </w:r>
      <w:r w:rsidR="00112B83" w:rsidRPr="003F065C">
        <w:rPr>
          <w:szCs w:val="22"/>
          <w:lang w:val="en-GB"/>
        </w:rPr>
      </w:r>
      <w:r w:rsidR="00112B83" w:rsidRPr="003F065C">
        <w:rPr>
          <w:szCs w:val="22"/>
          <w:lang w:val="en-GB"/>
        </w:rPr>
        <w:fldChar w:fldCharType="separate"/>
      </w:r>
      <w:r w:rsidR="00F87DF9" w:rsidRPr="00687DA2">
        <w:t xml:space="preserve">Table </w:t>
      </w:r>
      <w:r w:rsidR="00F87DF9">
        <w:rPr>
          <w:noProof/>
        </w:rPr>
        <w:t>11</w:t>
      </w:r>
      <w:r w:rsidR="00112B83" w:rsidRPr="003F065C">
        <w:rPr>
          <w:szCs w:val="22"/>
          <w:lang w:val="en-GB"/>
        </w:rPr>
        <w:fldChar w:fldCharType="end"/>
      </w:r>
      <w:r w:rsidR="00800235" w:rsidRPr="003F065C">
        <w:rPr>
          <w:szCs w:val="22"/>
          <w:lang w:val="en-GB"/>
        </w:rPr>
        <w:t>).</w:t>
      </w:r>
    </w:p>
    <w:p w14:paraId="6B8B77B3" w14:textId="4F5DE724" w:rsidR="001E64C8" w:rsidRPr="00687DA2" w:rsidRDefault="001E64C8" w:rsidP="00994F86">
      <w:pPr>
        <w:jc w:val="center"/>
        <w:rPr>
          <w:i/>
        </w:rPr>
      </w:pPr>
      <w:bookmarkStart w:id="195" w:name="_Ref442530421"/>
      <w:bookmarkStart w:id="196" w:name="_Toc516053435"/>
      <w:r w:rsidRPr="00687DA2">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11</w:t>
      </w:r>
      <w:r w:rsidR="00C506C7">
        <w:rPr>
          <w:noProof/>
        </w:rPr>
        <w:fldChar w:fldCharType="end"/>
      </w:r>
      <w:bookmarkEnd w:id="195"/>
      <w:r w:rsidRPr="00687DA2">
        <w:t xml:space="preserve">. </w:t>
      </w:r>
      <w:r w:rsidR="004D6BB7">
        <w:rPr>
          <w:i/>
        </w:rPr>
        <w:t>Long-term average (</w:t>
      </w:r>
      <w:r w:rsidRPr="00687DA2">
        <w:rPr>
          <w:i/>
        </w:rPr>
        <w:t xml:space="preserve">±SE) sediment composition for each seagrass habitat (pooled across regions and time) monitoring within the </w:t>
      </w:r>
      <w:r w:rsidR="007F6948">
        <w:rPr>
          <w:i/>
        </w:rPr>
        <w:t>Great Barrier Reef</w:t>
      </w:r>
      <w:r w:rsidRPr="00687DA2">
        <w:rPr>
          <w:i/>
        </w:rPr>
        <w:t xml:space="preserve"> (1999-</w:t>
      </w:r>
      <w:r w:rsidRPr="003F065C">
        <w:rPr>
          <w:i/>
        </w:rPr>
        <w:t>201</w:t>
      </w:r>
      <w:r w:rsidR="003F065C" w:rsidRPr="003F065C">
        <w:rPr>
          <w:i/>
        </w:rPr>
        <w:t>7</w:t>
      </w:r>
      <w:r w:rsidRPr="00687DA2">
        <w:rPr>
          <w:i/>
        </w:rPr>
        <w:t>)</w:t>
      </w:r>
      <w:bookmarkEnd w:id="196"/>
    </w:p>
    <w:tbl>
      <w:tblPr>
        <w:tblW w:w="8540" w:type="dxa"/>
        <w:jc w:val="center"/>
        <w:tblLook w:val="04A0" w:firstRow="1" w:lastRow="0" w:firstColumn="1" w:lastColumn="0" w:noHBand="0" w:noVBand="1"/>
      </w:tblPr>
      <w:tblGrid>
        <w:gridCol w:w="2040"/>
        <w:gridCol w:w="1300"/>
        <w:gridCol w:w="1300"/>
        <w:gridCol w:w="1300"/>
        <w:gridCol w:w="1300"/>
        <w:gridCol w:w="1300"/>
      </w:tblGrid>
      <w:tr w:rsidR="00687DA2" w:rsidRPr="00687DA2" w14:paraId="31F59A0C" w14:textId="77777777" w:rsidTr="001E64C8">
        <w:trPr>
          <w:trHeight w:val="288"/>
          <w:jc w:val="center"/>
        </w:trPr>
        <w:tc>
          <w:tcPr>
            <w:tcW w:w="2040" w:type="dxa"/>
            <w:tcBorders>
              <w:top w:val="single" w:sz="4" w:space="0" w:color="auto"/>
              <w:bottom w:val="single" w:sz="4" w:space="0" w:color="auto"/>
            </w:tcBorders>
            <w:shd w:val="clear" w:color="auto" w:fill="BBE0E3"/>
            <w:noWrap/>
            <w:vAlign w:val="center"/>
            <w:hideMark/>
          </w:tcPr>
          <w:p w14:paraId="607C0BD5" w14:textId="77777777" w:rsidR="001E64C8" w:rsidRPr="00687DA2" w:rsidRDefault="001E64C8" w:rsidP="00994F86">
            <w:pPr>
              <w:spacing w:before="0" w:after="0" w:line="200" w:lineRule="exact"/>
              <w:jc w:val="center"/>
              <w:rPr>
                <w:lang w:eastAsia="en-AU"/>
              </w:rPr>
            </w:pPr>
            <w:r w:rsidRPr="00687DA2">
              <w:rPr>
                <w:lang w:eastAsia="en-AU"/>
              </w:rPr>
              <w:t>Habitat</w:t>
            </w:r>
          </w:p>
        </w:tc>
        <w:tc>
          <w:tcPr>
            <w:tcW w:w="1300" w:type="dxa"/>
            <w:tcBorders>
              <w:top w:val="single" w:sz="4" w:space="0" w:color="auto"/>
              <w:bottom w:val="single" w:sz="4" w:space="0" w:color="auto"/>
            </w:tcBorders>
            <w:shd w:val="clear" w:color="auto" w:fill="BBE0E3"/>
            <w:noWrap/>
            <w:vAlign w:val="center"/>
            <w:hideMark/>
          </w:tcPr>
          <w:p w14:paraId="11DEC352" w14:textId="77777777" w:rsidR="001E64C8" w:rsidRPr="00687DA2" w:rsidRDefault="001E64C8" w:rsidP="00994F86">
            <w:pPr>
              <w:spacing w:before="0" w:after="0" w:line="200" w:lineRule="exact"/>
              <w:jc w:val="center"/>
              <w:rPr>
                <w:lang w:eastAsia="en-AU"/>
              </w:rPr>
            </w:pPr>
            <w:r w:rsidRPr="00687DA2">
              <w:rPr>
                <w:lang w:eastAsia="en-AU"/>
              </w:rPr>
              <w:t>Mud</w:t>
            </w:r>
          </w:p>
        </w:tc>
        <w:tc>
          <w:tcPr>
            <w:tcW w:w="1300" w:type="dxa"/>
            <w:tcBorders>
              <w:top w:val="single" w:sz="4" w:space="0" w:color="auto"/>
              <w:bottom w:val="single" w:sz="4" w:space="0" w:color="auto"/>
            </w:tcBorders>
            <w:shd w:val="clear" w:color="auto" w:fill="BBE0E3"/>
            <w:noWrap/>
            <w:vAlign w:val="center"/>
            <w:hideMark/>
          </w:tcPr>
          <w:p w14:paraId="29F7EB92" w14:textId="77777777" w:rsidR="001E64C8" w:rsidRPr="00687DA2" w:rsidRDefault="001E64C8" w:rsidP="00994F86">
            <w:pPr>
              <w:spacing w:before="0" w:after="0" w:line="200" w:lineRule="exact"/>
              <w:jc w:val="center"/>
              <w:rPr>
                <w:lang w:eastAsia="en-AU"/>
              </w:rPr>
            </w:pPr>
            <w:r w:rsidRPr="00687DA2">
              <w:rPr>
                <w:lang w:eastAsia="en-AU"/>
              </w:rPr>
              <w:t>Fine sand</w:t>
            </w:r>
          </w:p>
        </w:tc>
        <w:tc>
          <w:tcPr>
            <w:tcW w:w="1300" w:type="dxa"/>
            <w:tcBorders>
              <w:top w:val="single" w:sz="4" w:space="0" w:color="auto"/>
              <w:bottom w:val="single" w:sz="4" w:space="0" w:color="auto"/>
            </w:tcBorders>
            <w:shd w:val="clear" w:color="auto" w:fill="BBE0E3"/>
            <w:noWrap/>
            <w:vAlign w:val="center"/>
            <w:hideMark/>
          </w:tcPr>
          <w:p w14:paraId="2714FE28" w14:textId="77777777" w:rsidR="001E64C8" w:rsidRPr="00687DA2" w:rsidRDefault="001E64C8" w:rsidP="00994F86">
            <w:pPr>
              <w:spacing w:before="0" w:after="0" w:line="200" w:lineRule="exact"/>
              <w:jc w:val="center"/>
              <w:rPr>
                <w:lang w:eastAsia="en-AU"/>
              </w:rPr>
            </w:pPr>
            <w:r w:rsidRPr="00687DA2">
              <w:rPr>
                <w:lang w:eastAsia="en-AU"/>
              </w:rPr>
              <w:t>Sand</w:t>
            </w:r>
          </w:p>
        </w:tc>
        <w:tc>
          <w:tcPr>
            <w:tcW w:w="1300" w:type="dxa"/>
            <w:tcBorders>
              <w:top w:val="single" w:sz="4" w:space="0" w:color="auto"/>
              <w:bottom w:val="single" w:sz="4" w:space="0" w:color="auto"/>
            </w:tcBorders>
            <w:shd w:val="clear" w:color="auto" w:fill="BBE0E3"/>
            <w:noWrap/>
            <w:vAlign w:val="center"/>
            <w:hideMark/>
          </w:tcPr>
          <w:p w14:paraId="6B670E42" w14:textId="77777777" w:rsidR="001E64C8" w:rsidRPr="00687DA2" w:rsidRDefault="001E64C8" w:rsidP="00994F86">
            <w:pPr>
              <w:spacing w:before="0" w:after="0" w:line="200" w:lineRule="exact"/>
              <w:jc w:val="center"/>
              <w:rPr>
                <w:lang w:eastAsia="en-AU"/>
              </w:rPr>
            </w:pPr>
            <w:r w:rsidRPr="00687DA2">
              <w:rPr>
                <w:lang w:eastAsia="en-AU"/>
              </w:rPr>
              <w:t>Coarse sand</w:t>
            </w:r>
          </w:p>
        </w:tc>
        <w:tc>
          <w:tcPr>
            <w:tcW w:w="1300" w:type="dxa"/>
            <w:tcBorders>
              <w:top w:val="single" w:sz="4" w:space="0" w:color="auto"/>
              <w:bottom w:val="single" w:sz="4" w:space="0" w:color="auto"/>
            </w:tcBorders>
            <w:shd w:val="clear" w:color="auto" w:fill="BBE0E3"/>
            <w:noWrap/>
            <w:vAlign w:val="center"/>
            <w:hideMark/>
          </w:tcPr>
          <w:p w14:paraId="6B9AEFFC" w14:textId="77777777" w:rsidR="001E64C8" w:rsidRPr="00687DA2" w:rsidRDefault="001E64C8" w:rsidP="00994F86">
            <w:pPr>
              <w:spacing w:before="0" w:after="0" w:line="200" w:lineRule="exact"/>
              <w:jc w:val="center"/>
              <w:rPr>
                <w:lang w:eastAsia="en-AU"/>
              </w:rPr>
            </w:pPr>
            <w:r w:rsidRPr="00687DA2">
              <w:rPr>
                <w:lang w:eastAsia="en-AU"/>
              </w:rPr>
              <w:t>Gravel</w:t>
            </w:r>
          </w:p>
        </w:tc>
      </w:tr>
      <w:tr w:rsidR="00687DA2" w:rsidRPr="00687DA2" w14:paraId="3E6143ED" w14:textId="77777777" w:rsidTr="003F065C">
        <w:trPr>
          <w:trHeight w:val="288"/>
          <w:jc w:val="center"/>
        </w:trPr>
        <w:tc>
          <w:tcPr>
            <w:tcW w:w="2040" w:type="dxa"/>
            <w:tcBorders>
              <w:top w:val="single" w:sz="4" w:space="0" w:color="auto"/>
            </w:tcBorders>
            <w:shd w:val="clear" w:color="auto" w:fill="E7F3F4"/>
            <w:noWrap/>
            <w:vAlign w:val="bottom"/>
            <w:hideMark/>
          </w:tcPr>
          <w:p w14:paraId="36238FCF" w14:textId="77777777" w:rsidR="001E64C8" w:rsidRPr="00687DA2" w:rsidRDefault="001E64C8" w:rsidP="00994F86">
            <w:pPr>
              <w:spacing w:before="0" w:after="0" w:line="200" w:lineRule="exact"/>
              <w:rPr>
                <w:lang w:eastAsia="en-AU"/>
              </w:rPr>
            </w:pPr>
            <w:r w:rsidRPr="00687DA2">
              <w:rPr>
                <w:lang w:eastAsia="en-AU"/>
              </w:rPr>
              <w:t>estuarine intertidal</w:t>
            </w:r>
          </w:p>
        </w:tc>
        <w:tc>
          <w:tcPr>
            <w:tcW w:w="1300" w:type="dxa"/>
            <w:tcBorders>
              <w:top w:val="single" w:sz="4" w:space="0" w:color="auto"/>
            </w:tcBorders>
            <w:shd w:val="clear" w:color="auto" w:fill="E7F3F4"/>
            <w:noWrap/>
            <w:vAlign w:val="bottom"/>
          </w:tcPr>
          <w:p w14:paraId="0D50BCB0" w14:textId="442A2B16" w:rsidR="001E64C8" w:rsidRPr="00687DA2" w:rsidRDefault="003F065C" w:rsidP="00994F86">
            <w:pPr>
              <w:spacing w:before="0" w:after="0" w:line="200" w:lineRule="exact"/>
              <w:jc w:val="center"/>
              <w:rPr>
                <w:lang w:eastAsia="en-AU"/>
              </w:rPr>
            </w:pPr>
            <w:r>
              <w:t>49.2 ±2.1</w:t>
            </w:r>
          </w:p>
        </w:tc>
        <w:tc>
          <w:tcPr>
            <w:tcW w:w="1300" w:type="dxa"/>
            <w:tcBorders>
              <w:top w:val="single" w:sz="4" w:space="0" w:color="auto"/>
            </w:tcBorders>
            <w:shd w:val="clear" w:color="auto" w:fill="E7F3F4"/>
            <w:noWrap/>
            <w:vAlign w:val="bottom"/>
          </w:tcPr>
          <w:p w14:paraId="6D636029" w14:textId="0B48BF15" w:rsidR="001E64C8" w:rsidRPr="00687DA2" w:rsidRDefault="003F065C" w:rsidP="00994F86">
            <w:pPr>
              <w:spacing w:before="0" w:after="0" w:line="200" w:lineRule="exact"/>
              <w:jc w:val="center"/>
              <w:rPr>
                <w:lang w:eastAsia="en-AU"/>
              </w:rPr>
            </w:pPr>
            <w:r>
              <w:t>19.2 ±2.0</w:t>
            </w:r>
          </w:p>
        </w:tc>
        <w:tc>
          <w:tcPr>
            <w:tcW w:w="1300" w:type="dxa"/>
            <w:tcBorders>
              <w:top w:val="single" w:sz="4" w:space="0" w:color="auto"/>
            </w:tcBorders>
            <w:shd w:val="clear" w:color="auto" w:fill="E7F3F4"/>
            <w:noWrap/>
            <w:vAlign w:val="bottom"/>
          </w:tcPr>
          <w:p w14:paraId="186CF5E4" w14:textId="747AE82A" w:rsidR="001E64C8" w:rsidRPr="00687DA2" w:rsidRDefault="003F065C" w:rsidP="00994F86">
            <w:pPr>
              <w:spacing w:before="0" w:after="0" w:line="200" w:lineRule="exact"/>
              <w:jc w:val="center"/>
              <w:rPr>
                <w:lang w:eastAsia="en-AU"/>
              </w:rPr>
            </w:pPr>
            <w:r>
              <w:t>28.7 ±1.9</w:t>
            </w:r>
          </w:p>
        </w:tc>
        <w:tc>
          <w:tcPr>
            <w:tcW w:w="1300" w:type="dxa"/>
            <w:tcBorders>
              <w:top w:val="single" w:sz="4" w:space="0" w:color="auto"/>
            </w:tcBorders>
            <w:shd w:val="clear" w:color="auto" w:fill="E7F3F4"/>
            <w:noWrap/>
            <w:vAlign w:val="bottom"/>
          </w:tcPr>
          <w:p w14:paraId="2721DC02" w14:textId="113CD961" w:rsidR="001E64C8" w:rsidRPr="00687DA2" w:rsidRDefault="003F065C" w:rsidP="00994F86">
            <w:pPr>
              <w:spacing w:before="0" w:after="0" w:line="200" w:lineRule="exact"/>
              <w:jc w:val="center"/>
              <w:rPr>
                <w:lang w:eastAsia="en-AU"/>
              </w:rPr>
            </w:pPr>
            <w:r>
              <w:t>0.2 ±0.5</w:t>
            </w:r>
          </w:p>
        </w:tc>
        <w:tc>
          <w:tcPr>
            <w:tcW w:w="1300" w:type="dxa"/>
            <w:tcBorders>
              <w:top w:val="single" w:sz="4" w:space="0" w:color="auto"/>
            </w:tcBorders>
            <w:shd w:val="clear" w:color="auto" w:fill="E7F3F4"/>
            <w:noWrap/>
            <w:vAlign w:val="bottom"/>
          </w:tcPr>
          <w:p w14:paraId="59020AB2" w14:textId="2C7B7513" w:rsidR="001E64C8" w:rsidRPr="00687DA2" w:rsidRDefault="003F065C" w:rsidP="00994F86">
            <w:pPr>
              <w:spacing w:before="0" w:after="0" w:line="200" w:lineRule="exact"/>
              <w:jc w:val="center"/>
              <w:rPr>
                <w:lang w:eastAsia="en-AU"/>
              </w:rPr>
            </w:pPr>
            <w:r>
              <w:t>2.7 ±1.1</w:t>
            </w:r>
          </w:p>
        </w:tc>
      </w:tr>
      <w:tr w:rsidR="00687DA2" w:rsidRPr="00687DA2" w14:paraId="33EA2940" w14:textId="77777777" w:rsidTr="003F065C">
        <w:trPr>
          <w:trHeight w:val="288"/>
          <w:jc w:val="center"/>
        </w:trPr>
        <w:tc>
          <w:tcPr>
            <w:tcW w:w="2040" w:type="dxa"/>
            <w:shd w:val="clear" w:color="auto" w:fill="F3F9FA"/>
            <w:noWrap/>
            <w:vAlign w:val="bottom"/>
            <w:hideMark/>
          </w:tcPr>
          <w:p w14:paraId="3477BF34" w14:textId="77777777" w:rsidR="001E64C8" w:rsidRPr="00687DA2" w:rsidRDefault="001E64C8" w:rsidP="00994F86">
            <w:pPr>
              <w:spacing w:before="0" w:after="0" w:line="200" w:lineRule="exact"/>
              <w:rPr>
                <w:lang w:eastAsia="en-AU"/>
              </w:rPr>
            </w:pPr>
            <w:r w:rsidRPr="00687DA2">
              <w:rPr>
                <w:lang w:eastAsia="en-AU"/>
              </w:rPr>
              <w:t>coastal intertidal</w:t>
            </w:r>
          </w:p>
        </w:tc>
        <w:tc>
          <w:tcPr>
            <w:tcW w:w="1300" w:type="dxa"/>
            <w:shd w:val="clear" w:color="auto" w:fill="F3F9FA"/>
            <w:noWrap/>
            <w:vAlign w:val="bottom"/>
          </w:tcPr>
          <w:p w14:paraId="70EEFB24" w14:textId="67BBBBEF" w:rsidR="001E64C8" w:rsidRPr="00687DA2" w:rsidRDefault="003F065C" w:rsidP="00994F86">
            <w:pPr>
              <w:spacing w:before="0" w:after="0" w:line="200" w:lineRule="exact"/>
              <w:jc w:val="center"/>
              <w:rPr>
                <w:lang w:eastAsia="en-AU"/>
              </w:rPr>
            </w:pPr>
            <w:r>
              <w:t>28.5 ±2.1</w:t>
            </w:r>
          </w:p>
        </w:tc>
        <w:tc>
          <w:tcPr>
            <w:tcW w:w="1300" w:type="dxa"/>
            <w:shd w:val="clear" w:color="auto" w:fill="F3F9FA"/>
            <w:noWrap/>
            <w:vAlign w:val="bottom"/>
          </w:tcPr>
          <w:p w14:paraId="1B257856" w14:textId="6C23D591" w:rsidR="001E64C8" w:rsidRPr="00687DA2" w:rsidRDefault="003F065C" w:rsidP="00994F86">
            <w:pPr>
              <w:spacing w:before="0" w:after="0" w:line="200" w:lineRule="exact"/>
              <w:jc w:val="center"/>
              <w:rPr>
                <w:lang w:eastAsia="en-AU"/>
              </w:rPr>
            </w:pPr>
            <w:r>
              <w:t>31.6 ±2.4</w:t>
            </w:r>
          </w:p>
        </w:tc>
        <w:tc>
          <w:tcPr>
            <w:tcW w:w="1300" w:type="dxa"/>
            <w:shd w:val="clear" w:color="auto" w:fill="F3F9FA"/>
            <w:noWrap/>
            <w:vAlign w:val="bottom"/>
          </w:tcPr>
          <w:p w14:paraId="07863038" w14:textId="50080EC9" w:rsidR="001E64C8" w:rsidRPr="00687DA2" w:rsidRDefault="003F065C" w:rsidP="00994F86">
            <w:pPr>
              <w:spacing w:before="0" w:after="0" w:line="200" w:lineRule="exact"/>
              <w:jc w:val="center"/>
              <w:rPr>
                <w:lang w:eastAsia="en-AU"/>
              </w:rPr>
            </w:pPr>
            <w:r>
              <w:t>34.7 ±2.6</w:t>
            </w:r>
          </w:p>
        </w:tc>
        <w:tc>
          <w:tcPr>
            <w:tcW w:w="1300" w:type="dxa"/>
            <w:shd w:val="clear" w:color="auto" w:fill="F3F9FA"/>
            <w:noWrap/>
            <w:vAlign w:val="bottom"/>
          </w:tcPr>
          <w:p w14:paraId="41F497EE" w14:textId="5864EA73" w:rsidR="001E64C8" w:rsidRPr="00687DA2" w:rsidRDefault="003F065C" w:rsidP="00994F86">
            <w:pPr>
              <w:spacing w:before="0" w:after="0" w:line="200" w:lineRule="exact"/>
              <w:jc w:val="center"/>
              <w:rPr>
                <w:lang w:eastAsia="en-AU"/>
              </w:rPr>
            </w:pPr>
            <w:r>
              <w:t>0.3 ±0.5</w:t>
            </w:r>
          </w:p>
        </w:tc>
        <w:tc>
          <w:tcPr>
            <w:tcW w:w="1300" w:type="dxa"/>
            <w:shd w:val="clear" w:color="auto" w:fill="F3F9FA"/>
            <w:noWrap/>
            <w:vAlign w:val="bottom"/>
          </w:tcPr>
          <w:p w14:paraId="5F755927" w14:textId="23C8F327" w:rsidR="001E64C8" w:rsidRPr="00687DA2" w:rsidRDefault="003F065C" w:rsidP="00994F86">
            <w:pPr>
              <w:spacing w:before="0" w:after="0" w:line="200" w:lineRule="exact"/>
              <w:jc w:val="center"/>
              <w:rPr>
                <w:lang w:eastAsia="en-AU"/>
              </w:rPr>
            </w:pPr>
            <w:r>
              <w:t>4.8 ±1.2</w:t>
            </w:r>
          </w:p>
        </w:tc>
      </w:tr>
      <w:tr w:rsidR="003F065C" w:rsidRPr="00687DA2" w14:paraId="74534A2C" w14:textId="77777777" w:rsidTr="001E64C8">
        <w:trPr>
          <w:trHeight w:val="288"/>
          <w:jc w:val="center"/>
        </w:trPr>
        <w:tc>
          <w:tcPr>
            <w:tcW w:w="2040" w:type="dxa"/>
            <w:shd w:val="clear" w:color="auto" w:fill="E7F3F4"/>
            <w:noWrap/>
            <w:vAlign w:val="bottom"/>
          </w:tcPr>
          <w:p w14:paraId="1DC1A04C" w14:textId="3E32FC52" w:rsidR="003F065C" w:rsidRPr="00687DA2" w:rsidRDefault="003F065C" w:rsidP="00994F86">
            <w:pPr>
              <w:spacing w:before="0" w:after="0" w:line="200" w:lineRule="exact"/>
              <w:rPr>
                <w:lang w:eastAsia="en-AU"/>
              </w:rPr>
            </w:pPr>
            <w:r>
              <w:t>coastal subtidal</w:t>
            </w:r>
          </w:p>
        </w:tc>
        <w:tc>
          <w:tcPr>
            <w:tcW w:w="1300" w:type="dxa"/>
            <w:shd w:val="clear" w:color="auto" w:fill="E7F3F4"/>
            <w:noWrap/>
            <w:vAlign w:val="bottom"/>
          </w:tcPr>
          <w:p w14:paraId="282F4C11" w14:textId="41DECFA8" w:rsidR="003F065C" w:rsidRPr="00687DA2" w:rsidRDefault="003F065C" w:rsidP="00994F86">
            <w:pPr>
              <w:spacing w:before="0" w:after="0" w:line="200" w:lineRule="exact"/>
              <w:jc w:val="center"/>
              <w:rPr>
                <w:lang w:eastAsia="en-AU"/>
              </w:rPr>
            </w:pPr>
            <w:r>
              <w:t>51.2 ±2.3</w:t>
            </w:r>
          </w:p>
        </w:tc>
        <w:tc>
          <w:tcPr>
            <w:tcW w:w="1300" w:type="dxa"/>
            <w:shd w:val="clear" w:color="auto" w:fill="E7F3F4"/>
            <w:noWrap/>
            <w:vAlign w:val="bottom"/>
          </w:tcPr>
          <w:p w14:paraId="3985F474" w14:textId="3BF27D8C" w:rsidR="003F065C" w:rsidRPr="00687DA2" w:rsidRDefault="003F065C" w:rsidP="00994F86">
            <w:pPr>
              <w:spacing w:before="0" w:after="0" w:line="200" w:lineRule="exact"/>
              <w:jc w:val="center"/>
              <w:rPr>
                <w:lang w:eastAsia="en-AU"/>
              </w:rPr>
            </w:pPr>
            <w:r>
              <w:t>19.0 ±0.6</w:t>
            </w:r>
          </w:p>
        </w:tc>
        <w:tc>
          <w:tcPr>
            <w:tcW w:w="1300" w:type="dxa"/>
            <w:shd w:val="clear" w:color="auto" w:fill="E7F3F4"/>
            <w:noWrap/>
            <w:vAlign w:val="bottom"/>
          </w:tcPr>
          <w:p w14:paraId="62FFDC88" w14:textId="35088A70" w:rsidR="003F065C" w:rsidRPr="00687DA2" w:rsidRDefault="003F065C" w:rsidP="00994F86">
            <w:pPr>
              <w:spacing w:before="0" w:after="0" w:line="200" w:lineRule="exact"/>
              <w:jc w:val="center"/>
              <w:rPr>
                <w:lang w:eastAsia="en-AU"/>
              </w:rPr>
            </w:pPr>
            <w:r>
              <w:t>17.2 ±2.7</w:t>
            </w:r>
          </w:p>
        </w:tc>
        <w:tc>
          <w:tcPr>
            <w:tcW w:w="1300" w:type="dxa"/>
            <w:shd w:val="clear" w:color="auto" w:fill="E7F3F4"/>
            <w:noWrap/>
            <w:vAlign w:val="bottom"/>
          </w:tcPr>
          <w:p w14:paraId="0CBC37CF" w14:textId="0304435D" w:rsidR="003F065C" w:rsidRPr="00687DA2" w:rsidRDefault="003F065C" w:rsidP="00994F86">
            <w:pPr>
              <w:spacing w:before="0" w:after="0" w:line="200" w:lineRule="exact"/>
              <w:jc w:val="center"/>
              <w:rPr>
                <w:lang w:eastAsia="en-AU"/>
              </w:rPr>
            </w:pPr>
            <w:r>
              <w:t>12.6 ±1.6</w:t>
            </w:r>
          </w:p>
        </w:tc>
        <w:tc>
          <w:tcPr>
            <w:tcW w:w="1300" w:type="dxa"/>
            <w:shd w:val="clear" w:color="auto" w:fill="E7F3F4"/>
            <w:noWrap/>
            <w:vAlign w:val="bottom"/>
          </w:tcPr>
          <w:p w14:paraId="2BB5B0FB" w14:textId="5598F17E" w:rsidR="003F065C" w:rsidRPr="00687DA2" w:rsidRDefault="003F065C" w:rsidP="00994F86">
            <w:pPr>
              <w:spacing w:before="0" w:after="0" w:line="200" w:lineRule="exact"/>
              <w:jc w:val="center"/>
              <w:rPr>
                <w:lang w:eastAsia="en-AU"/>
              </w:rPr>
            </w:pPr>
            <w:r>
              <w:rPr>
                <w:lang w:eastAsia="en-AU"/>
              </w:rPr>
              <w:t>0</w:t>
            </w:r>
          </w:p>
        </w:tc>
      </w:tr>
      <w:tr w:rsidR="00687DA2" w:rsidRPr="00687DA2" w14:paraId="17DACA86" w14:textId="77777777" w:rsidTr="003F065C">
        <w:trPr>
          <w:trHeight w:val="288"/>
          <w:jc w:val="center"/>
        </w:trPr>
        <w:tc>
          <w:tcPr>
            <w:tcW w:w="2040" w:type="dxa"/>
            <w:shd w:val="clear" w:color="auto" w:fill="E7F3F4"/>
            <w:noWrap/>
            <w:vAlign w:val="bottom"/>
            <w:hideMark/>
          </w:tcPr>
          <w:p w14:paraId="393D4E4C" w14:textId="77777777" w:rsidR="001E64C8" w:rsidRPr="00687DA2" w:rsidRDefault="001E64C8" w:rsidP="00994F86">
            <w:pPr>
              <w:spacing w:before="0" w:after="0" w:line="200" w:lineRule="exact"/>
              <w:rPr>
                <w:lang w:eastAsia="en-AU"/>
              </w:rPr>
            </w:pPr>
            <w:r w:rsidRPr="00687DA2">
              <w:rPr>
                <w:lang w:eastAsia="en-AU"/>
              </w:rPr>
              <w:t>reef intertidal</w:t>
            </w:r>
          </w:p>
        </w:tc>
        <w:tc>
          <w:tcPr>
            <w:tcW w:w="1300" w:type="dxa"/>
            <w:shd w:val="clear" w:color="auto" w:fill="E7F3F4"/>
            <w:noWrap/>
            <w:vAlign w:val="bottom"/>
          </w:tcPr>
          <w:p w14:paraId="7FF18F79" w14:textId="2AC4BEEF" w:rsidR="001E64C8" w:rsidRPr="00687DA2" w:rsidRDefault="003F065C" w:rsidP="00994F86">
            <w:pPr>
              <w:spacing w:before="0" w:after="0" w:line="200" w:lineRule="exact"/>
              <w:jc w:val="center"/>
              <w:rPr>
                <w:lang w:eastAsia="en-AU"/>
              </w:rPr>
            </w:pPr>
            <w:r>
              <w:t>5.2 ±1.2</w:t>
            </w:r>
          </w:p>
        </w:tc>
        <w:tc>
          <w:tcPr>
            <w:tcW w:w="1300" w:type="dxa"/>
            <w:shd w:val="clear" w:color="auto" w:fill="E7F3F4"/>
            <w:noWrap/>
            <w:vAlign w:val="bottom"/>
          </w:tcPr>
          <w:p w14:paraId="711A1B4D" w14:textId="529243A8" w:rsidR="001E64C8" w:rsidRPr="00687DA2" w:rsidRDefault="003F065C" w:rsidP="00994F86">
            <w:pPr>
              <w:spacing w:before="0" w:after="0" w:line="200" w:lineRule="exact"/>
              <w:jc w:val="center"/>
              <w:rPr>
                <w:lang w:eastAsia="en-AU"/>
              </w:rPr>
            </w:pPr>
            <w:r>
              <w:t>7.1 ±1.7</w:t>
            </w:r>
          </w:p>
        </w:tc>
        <w:tc>
          <w:tcPr>
            <w:tcW w:w="1300" w:type="dxa"/>
            <w:shd w:val="clear" w:color="auto" w:fill="E7F3F4"/>
            <w:noWrap/>
            <w:vAlign w:val="bottom"/>
          </w:tcPr>
          <w:p w14:paraId="11964D0A" w14:textId="2BD4A03A" w:rsidR="001E64C8" w:rsidRPr="00687DA2" w:rsidRDefault="003F065C" w:rsidP="00994F86">
            <w:pPr>
              <w:spacing w:before="0" w:after="0" w:line="200" w:lineRule="exact"/>
              <w:jc w:val="center"/>
              <w:rPr>
                <w:lang w:eastAsia="en-AU"/>
              </w:rPr>
            </w:pPr>
            <w:r>
              <w:t>47.9 ±2.8</w:t>
            </w:r>
          </w:p>
        </w:tc>
        <w:tc>
          <w:tcPr>
            <w:tcW w:w="1300" w:type="dxa"/>
            <w:shd w:val="clear" w:color="auto" w:fill="E7F3F4"/>
            <w:noWrap/>
            <w:vAlign w:val="bottom"/>
          </w:tcPr>
          <w:p w14:paraId="4E163A0B" w14:textId="4BACEE6E" w:rsidR="001E64C8" w:rsidRPr="00687DA2" w:rsidRDefault="003F065C" w:rsidP="00994F86">
            <w:pPr>
              <w:spacing w:before="0" w:after="0" w:line="200" w:lineRule="exact"/>
              <w:jc w:val="center"/>
              <w:rPr>
                <w:lang w:eastAsia="en-AU"/>
              </w:rPr>
            </w:pPr>
            <w:r>
              <w:t>17.2 ±1.7</w:t>
            </w:r>
          </w:p>
        </w:tc>
        <w:tc>
          <w:tcPr>
            <w:tcW w:w="1300" w:type="dxa"/>
            <w:shd w:val="clear" w:color="auto" w:fill="E7F3F4"/>
            <w:noWrap/>
            <w:vAlign w:val="bottom"/>
          </w:tcPr>
          <w:p w14:paraId="45BDA7CA" w14:textId="20FDF7AD" w:rsidR="001E64C8" w:rsidRPr="00687DA2" w:rsidRDefault="003F065C" w:rsidP="00994F86">
            <w:pPr>
              <w:spacing w:before="0" w:after="0" w:line="200" w:lineRule="exact"/>
              <w:jc w:val="center"/>
              <w:rPr>
                <w:lang w:eastAsia="en-AU"/>
              </w:rPr>
            </w:pPr>
            <w:r>
              <w:t>22.0 ±2.3</w:t>
            </w:r>
          </w:p>
        </w:tc>
      </w:tr>
      <w:tr w:rsidR="00687DA2" w:rsidRPr="00687DA2" w14:paraId="3D0ECE84" w14:textId="77777777" w:rsidTr="003F065C">
        <w:trPr>
          <w:trHeight w:val="288"/>
          <w:jc w:val="center"/>
        </w:trPr>
        <w:tc>
          <w:tcPr>
            <w:tcW w:w="2040" w:type="dxa"/>
            <w:tcBorders>
              <w:bottom w:val="single" w:sz="4" w:space="0" w:color="auto"/>
            </w:tcBorders>
            <w:shd w:val="clear" w:color="auto" w:fill="F3F9FA"/>
            <w:noWrap/>
            <w:vAlign w:val="bottom"/>
            <w:hideMark/>
          </w:tcPr>
          <w:p w14:paraId="3F983DDD" w14:textId="77777777" w:rsidR="001E64C8" w:rsidRPr="00687DA2" w:rsidRDefault="001E64C8" w:rsidP="00994F86">
            <w:pPr>
              <w:spacing w:before="0" w:after="0" w:line="200" w:lineRule="exact"/>
              <w:rPr>
                <w:lang w:eastAsia="en-AU"/>
              </w:rPr>
            </w:pPr>
            <w:r w:rsidRPr="00687DA2">
              <w:rPr>
                <w:lang w:eastAsia="en-AU"/>
              </w:rPr>
              <w:t>reef subtidal</w:t>
            </w:r>
          </w:p>
        </w:tc>
        <w:tc>
          <w:tcPr>
            <w:tcW w:w="1300" w:type="dxa"/>
            <w:tcBorders>
              <w:bottom w:val="single" w:sz="4" w:space="0" w:color="auto"/>
            </w:tcBorders>
            <w:shd w:val="clear" w:color="auto" w:fill="F3F9FA"/>
            <w:noWrap/>
            <w:vAlign w:val="bottom"/>
          </w:tcPr>
          <w:p w14:paraId="4E8A1031" w14:textId="377637CE" w:rsidR="001E64C8" w:rsidRPr="00687DA2" w:rsidRDefault="003F065C" w:rsidP="00994F86">
            <w:pPr>
              <w:spacing w:before="0" w:after="0" w:line="200" w:lineRule="exact"/>
              <w:jc w:val="center"/>
              <w:rPr>
                <w:lang w:eastAsia="en-AU"/>
              </w:rPr>
            </w:pPr>
            <w:r>
              <w:t>6.0 ±0.4</w:t>
            </w:r>
          </w:p>
        </w:tc>
        <w:tc>
          <w:tcPr>
            <w:tcW w:w="1300" w:type="dxa"/>
            <w:tcBorders>
              <w:bottom w:val="single" w:sz="4" w:space="0" w:color="auto"/>
            </w:tcBorders>
            <w:shd w:val="clear" w:color="auto" w:fill="F3F9FA"/>
            <w:noWrap/>
            <w:vAlign w:val="bottom"/>
          </w:tcPr>
          <w:p w14:paraId="219BF787" w14:textId="0FD40790" w:rsidR="001E64C8" w:rsidRPr="00687DA2" w:rsidRDefault="003F065C" w:rsidP="00994F86">
            <w:pPr>
              <w:spacing w:before="0" w:after="0" w:line="200" w:lineRule="exact"/>
              <w:jc w:val="center"/>
              <w:rPr>
                <w:lang w:eastAsia="en-AU"/>
              </w:rPr>
            </w:pPr>
            <w:r>
              <w:t>10.1 ±1.2</w:t>
            </w:r>
          </w:p>
        </w:tc>
        <w:tc>
          <w:tcPr>
            <w:tcW w:w="1300" w:type="dxa"/>
            <w:tcBorders>
              <w:bottom w:val="single" w:sz="4" w:space="0" w:color="auto"/>
            </w:tcBorders>
            <w:shd w:val="clear" w:color="auto" w:fill="F3F9FA"/>
            <w:noWrap/>
            <w:vAlign w:val="bottom"/>
          </w:tcPr>
          <w:p w14:paraId="7773B3B5" w14:textId="0BF58CB2" w:rsidR="001E64C8" w:rsidRPr="00687DA2" w:rsidRDefault="003F065C" w:rsidP="00994F86">
            <w:pPr>
              <w:spacing w:before="0" w:after="0" w:line="200" w:lineRule="exact"/>
              <w:jc w:val="center"/>
              <w:rPr>
                <w:lang w:eastAsia="en-AU"/>
              </w:rPr>
            </w:pPr>
            <w:r>
              <w:t>58.1 ±7.3</w:t>
            </w:r>
          </w:p>
        </w:tc>
        <w:tc>
          <w:tcPr>
            <w:tcW w:w="1300" w:type="dxa"/>
            <w:tcBorders>
              <w:bottom w:val="single" w:sz="4" w:space="0" w:color="auto"/>
            </w:tcBorders>
            <w:shd w:val="clear" w:color="auto" w:fill="F3F9FA"/>
            <w:noWrap/>
            <w:vAlign w:val="bottom"/>
          </w:tcPr>
          <w:p w14:paraId="2CC21367" w14:textId="2784E4C1" w:rsidR="001E64C8" w:rsidRPr="00687DA2" w:rsidRDefault="003F065C" w:rsidP="00994F86">
            <w:pPr>
              <w:spacing w:before="0" w:after="0" w:line="200" w:lineRule="exact"/>
              <w:jc w:val="center"/>
              <w:rPr>
                <w:lang w:eastAsia="en-AU"/>
              </w:rPr>
            </w:pPr>
            <w:r>
              <w:t>1.9 ±0.7</w:t>
            </w:r>
          </w:p>
        </w:tc>
        <w:tc>
          <w:tcPr>
            <w:tcW w:w="1300" w:type="dxa"/>
            <w:tcBorders>
              <w:bottom w:val="single" w:sz="4" w:space="0" w:color="auto"/>
            </w:tcBorders>
            <w:shd w:val="clear" w:color="auto" w:fill="F3F9FA"/>
            <w:noWrap/>
            <w:vAlign w:val="bottom"/>
          </w:tcPr>
          <w:p w14:paraId="2C6F1895" w14:textId="7E6007E2" w:rsidR="001E64C8" w:rsidRPr="00687DA2" w:rsidRDefault="003F065C" w:rsidP="00994F86">
            <w:pPr>
              <w:spacing w:before="0" w:after="0" w:line="200" w:lineRule="exact"/>
              <w:jc w:val="center"/>
              <w:rPr>
                <w:lang w:eastAsia="en-AU"/>
              </w:rPr>
            </w:pPr>
            <w:r>
              <w:t>12.9 ±7.2</w:t>
            </w:r>
          </w:p>
        </w:tc>
      </w:tr>
    </w:tbl>
    <w:p w14:paraId="44B64C76" w14:textId="77777777" w:rsidR="003F065C" w:rsidRPr="00687DA2" w:rsidRDefault="003F065C" w:rsidP="00994F86">
      <w:pPr>
        <w:rPr>
          <w:szCs w:val="22"/>
          <w:lang w:val="en-GB"/>
        </w:rPr>
      </w:pPr>
    </w:p>
    <w:p w14:paraId="5E3FBCD0" w14:textId="27D14248" w:rsidR="001E64C8" w:rsidRPr="003F065C" w:rsidRDefault="00800235" w:rsidP="00994F86">
      <w:pPr>
        <w:rPr>
          <w:szCs w:val="22"/>
          <w:lang w:val="en-GB"/>
        </w:rPr>
      </w:pPr>
      <w:r w:rsidRPr="003F065C">
        <w:rPr>
          <w:szCs w:val="22"/>
          <w:lang w:val="en-GB"/>
        </w:rPr>
        <w:t xml:space="preserve">Since monitoring was established, the composition of sediments has fluctuated at all habitats, with the proportion of mud declining below the long-term average at estuary and coastal habitats immediately following periods of physical disturbance from storms (e.g. </w:t>
      </w:r>
      <w:r w:rsidR="004D6BB7">
        <w:rPr>
          <w:szCs w:val="22"/>
          <w:lang w:val="en-GB"/>
        </w:rPr>
        <w:t>tropical cyclones in 2006 and</w:t>
      </w:r>
      <w:r w:rsidRPr="003F065C">
        <w:rPr>
          <w:szCs w:val="22"/>
          <w:lang w:val="en-GB"/>
        </w:rPr>
        <w:t xml:space="preserve"> 2011</w:t>
      </w:r>
      <w:r w:rsidR="00501C82">
        <w:rPr>
          <w:szCs w:val="22"/>
          <w:lang w:val="en-GB"/>
        </w:rPr>
        <w:t>)</w:t>
      </w:r>
      <w:r w:rsidRPr="003F065C">
        <w:rPr>
          <w:szCs w:val="22"/>
          <w:lang w:val="en-GB"/>
        </w:rPr>
        <w:t>. Conversely, the proportion of mud increased above the long-term average at reef (intertidal and subtidal) habitats during periods of extreme climatic events (e.g. tropical cyclones and/or flood events)</w:t>
      </w:r>
      <w:r w:rsidR="00E731A8" w:rsidRPr="003F065C">
        <w:rPr>
          <w:szCs w:val="22"/>
          <w:lang w:val="en-GB"/>
        </w:rPr>
        <w:t xml:space="preserve">. During the </w:t>
      </w:r>
      <w:r w:rsidR="008574EC">
        <w:rPr>
          <w:szCs w:val="22"/>
          <w:lang w:val="en-GB"/>
        </w:rPr>
        <w:t>2016–17</w:t>
      </w:r>
      <w:r w:rsidR="00E731A8" w:rsidRPr="003F065C">
        <w:rPr>
          <w:szCs w:val="22"/>
          <w:lang w:val="en-GB"/>
        </w:rPr>
        <w:t xml:space="preserve"> monitori</w:t>
      </w:r>
      <w:r w:rsidR="005E4A65" w:rsidRPr="003F065C">
        <w:rPr>
          <w:szCs w:val="22"/>
          <w:lang w:val="en-GB"/>
        </w:rPr>
        <w:t>ng period, the proportion mud de</w:t>
      </w:r>
      <w:r w:rsidR="00E731A8" w:rsidRPr="003F065C">
        <w:rPr>
          <w:szCs w:val="22"/>
          <w:lang w:val="en-GB"/>
        </w:rPr>
        <w:t>creas</w:t>
      </w:r>
      <w:r w:rsidR="005E4A65" w:rsidRPr="003F065C">
        <w:rPr>
          <w:szCs w:val="22"/>
          <w:lang w:val="en-GB"/>
        </w:rPr>
        <w:t xml:space="preserve">ed at </w:t>
      </w:r>
      <w:r w:rsidR="003F065C" w:rsidRPr="003F065C">
        <w:rPr>
          <w:szCs w:val="22"/>
          <w:lang w:val="en-GB"/>
        </w:rPr>
        <w:t>coastal intertidal</w:t>
      </w:r>
      <w:r w:rsidR="005E4A65" w:rsidRPr="003F065C">
        <w:rPr>
          <w:szCs w:val="22"/>
          <w:lang w:val="en-GB"/>
        </w:rPr>
        <w:t xml:space="preserve"> habitats, but in</w:t>
      </w:r>
      <w:r w:rsidR="00E731A8" w:rsidRPr="003F065C">
        <w:rPr>
          <w:szCs w:val="22"/>
          <w:lang w:val="en-GB"/>
        </w:rPr>
        <w:t>creased across all other habitats relative to the previous year</w:t>
      </w:r>
      <w:r w:rsidR="00112B83" w:rsidRPr="003F065C">
        <w:rPr>
          <w:szCs w:val="22"/>
          <w:lang w:val="en-GB"/>
        </w:rPr>
        <w:t xml:space="preserve"> (</w:t>
      </w:r>
      <w:r w:rsidR="00112B83" w:rsidRPr="003F065C">
        <w:rPr>
          <w:szCs w:val="22"/>
          <w:lang w:val="en-GB"/>
        </w:rPr>
        <w:fldChar w:fldCharType="begin"/>
      </w:r>
      <w:r w:rsidR="00112B83" w:rsidRPr="003F065C">
        <w:rPr>
          <w:szCs w:val="22"/>
          <w:lang w:val="en-GB"/>
        </w:rPr>
        <w:instrText xml:space="preserve"> REF _Ref442530463 \h </w:instrText>
      </w:r>
      <w:r w:rsidR="00112B83" w:rsidRPr="003F065C">
        <w:rPr>
          <w:szCs w:val="22"/>
          <w:lang w:val="en-GB"/>
        </w:rPr>
      </w:r>
      <w:r w:rsidR="00112B83" w:rsidRPr="003F065C">
        <w:rPr>
          <w:szCs w:val="22"/>
          <w:lang w:val="en-GB"/>
        </w:rPr>
        <w:fldChar w:fldCharType="separate"/>
      </w:r>
      <w:r w:rsidR="00F87DF9" w:rsidRPr="007F41C8">
        <w:t xml:space="preserve">Figure </w:t>
      </w:r>
      <w:r w:rsidR="00F87DF9">
        <w:rPr>
          <w:noProof/>
        </w:rPr>
        <w:t>28</w:t>
      </w:r>
      <w:r w:rsidR="00112B83" w:rsidRPr="003F065C">
        <w:rPr>
          <w:szCs w:val="22"/>
          <w:lang w:val="en-GB"/>
        </w:rPr>
        <w:fldChar w:fldCharType="end"/>
      </w:r>
      <w:r w:rsidR="00112B83" w:rsidRPr="003F065C">
        <w:rPr>
          <w:szCs w:val="22"/>
          <w:lang w:val="en-GB"/>
        </w:rPr>
        <w:t>)</w:t>
      </w:r>
      <w:r w:rsidR="00E731A8" w:rsidRPr="003F065C">
        <w:rPr>
          <w:szCs w:val="22"/>
          <w:lang w:val="en-GB"/>
        </w:rPr>
        <w:t>.</w:t>
      </w:r>
    </w:p>
    <w:p w14:paraId="196AE9C2" w14:textId="77777777" w:rsidR="009867A3" w:rsidRPr="005E4A65" w:rsidRDefault="009867A3" w:rsidP="00994F86">
      <w:pPr>
        <w:rPr>
          <w:szCs w:val="22"/>
          <w:lang w:val="en-GB"/>
        </w:rPr>
      </w:pPr>
    </w:p>
    <w:p w14:paraId="4E3B69FA" w14:textId="6206A4B5" w:rsidR="0007459F" w:rsidRPr="002F06F8" w:rsidRDefault="002F06F8" w:rsidP="00994F86">
      <w:pPr>
        <w:keepNext/>
        <w:widowControl w:val="0"/>
        <w:spacing w:after="0"/>
        <w:jc w:val="center"/>
        <w:rPr>
          <w:lang w:val="en-GB"/>
        </w:rPr>
      </w:pPr>
      <w:r w:rsidRPr="002F06F8">
        <w:rPr>
          <w:noProof/>
          <w:lang w:eastAsia="en-AU"/>
        </w:rPr>
        <w:drawing>
          <wp:inline distT="0" distB="0" distL="0" distR="0" wp14:anchorId="33E99709" wp14:editId="564878FB">
            <wp:extent cx="5759450" cy="1590389"/>
            <wp:effectExtent l="0" t="0" r="0" b="0"/>
            <wp:docPr id="233" name="Picture 233" descr="Set of four area plots showing proportion of sediment composed of mud (grain size less than 63µm) at GBR seagrass monitoring habitats from 1999-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GBR_proportion_mud_2016.png"/>
                    <pic:cNvPicPr/>
                  </pic:nvPicPr>
                  <pic:blipFill>
                    <a:blip r:embed="rId65">
                      <a:extLst>
                        <a:ext uri="{28A0092B-C50C-407E-A947-70E740481C1C}">
                          <a14:useLocalDpi xmlns:a14="http://schemas.microsoft.com/office/drawing/2010/main" val="0"/>
                        </a:ext>
                      </a:extLst>
                    </a:blip>
                    <a:stretch>
                      <a:fillRect/>
                    </a:stretch>
                  </pic:blipFill>
                  <pic:spPr>
                    <a:xfrm>
                      <a:off x="0" y="0"/>
                      <a:ext cx="5759450" cy="1590389"/>
                    </a:xfrm>
                    <a:prstGeom prst="rect">
                      <a:avLst/>
                    </a:prstGeom>
                  </pic:spPr>
                </pic:pic>
              </a:graphicData>
            </a:graphic>
          </wp:inline>
        </w:drawing>
      </w:r>
    </w:p>
    <w:p w14:paraId="585D83AB" w14:textId="21E87DC7" w:rsidR="00531604" w:rsidRPr="007F41C8" w:rsidRDefault="00E9595E" w:rsidP="00994F86">
      <w:pPr>
        <w:keepNext/>
        <w:widowControl w:val="0"/>
        <w:rPr>
          <w:szCs w:val="22"/>
        </w:rPr>
      </w:pPr>
      <w:bookmarkStart w:id="197" w:name="_Ref442530463"/>
      <w:bookmarkStart w:id="198" w:name="_Toc516053238"/>
      <w:r w:rsidRPr="007F41C8">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28</w:t>
      </w:r>
      <w:r w:rsidR="00C506C7">
        <w:rPr>
          <w:noProof/>
        </w:rPr>
        <w:fldChar w:fldCharType="end"/>
      </w:r>
      <w:bookmarkEnd w:id="197"/>
      <w:r w:rsidRPr="007F41C8">
        <w:t xml:space="preserve">. </w:t>
      </w:r>
      <w:r w:rsidRPr="007F41C8">
        <w:rPr>
          <w:i/>
        </w:rPr>
        <w:t xml:space="preserve">Proportion of sediment composed of mud (grain size &lt;63µm) at </w:t>
      </w:r>
      <w:r w:rsidR="007F6948">
        <w:rPr>
          <w:i/>
        </w:rPr>
        <w:t>Great Barrier Reef</w:t>
      </w:r>
      <w:r w:rsidRPr="007F41C8">
        <w:rPr>
          <w:i/>
        </w:rPr>
        <w:t xml:space="preserve"> seagrass monitoring habitats from 1999-201</w:t>
      </w:r>
      <w:r w:rsidR="007F41C8" w:rsidRPr="007F41C8">
        <w:rPr>
          <w:i/>
        </w:rPr>
        <w:t>7</w:t>
      </w:r>
      <w:r w:rsidRPr="007F41C8">
        <w:rPr>
          <w:i/>
        </w:rPr>
        <w:t>.</w:t>
      </w:r>
      <w:bookmarkEnd w:id="198"/>
      <w:r w:rsidRPr="007F41C8">
        <w:rPr>
          <w:i/>
        </w:rPr>
        <w:t xml:space="preserve"> </w:t>
      </w:r>
    </w:p>
    <w:p w14:paraId="16912DE3" w14:textId="77777777" w:rsidR="00531604" w:rsidRPr="002F06F8" w:rsidRDefault="00531604" w:rsidP="00994F86">
      <w:pPr>
        <w:rPr>
          <w:lang w:val="en-GB"/>
        </w:rPr>
      </w:pPr>
    </w:p>
    <w:p w14:paraId="5A9A0D1E" w14:textId="77777777" w:rsidR="005132EF" w:rsidRPr="00BA12BB" w:rsidRDefault="005132EF" w:rsidP="00BA12BB">
      <w:pPr>
        <w:pStyle w:val="Heading4"/>
        <w:numPr>
          <w:ilvl w:val="0"/>
          <w:numId w:val="0"/>
        </w:numPr>
        <w:rPr>
          <w:rFonts w:ascii="Arial" w:hAnsi="Arial" w:cs="Arial"/>
          <w:sz w:val="24"/>
          <w:szCs w:val="24"/>
        </w:rPr>
      </w:pPr>
      <w:bookmarkStart w:id="199" w:name="_Toc184101966"/>
      <w:r w:rsidRPr="00BA12BB">
        <w:rPr>
          <w:rFonts w:ascii="Arial" w:hAnsi="Arial" w:cs="Arial"/>
          <w:sz w:val="24"/>
          <w:szCs w:val="24"/>
        </w:rPr>
        <w:t xml:space="preserve">Epiphytes and </w:t>
      </w:r>
      <w:r w:rsidR="00655F8E" w:rsidRPr="00BA12BB">
        <w:rPr>
          <w:rFonts w:ascii="Arial" w:hAnsi="Arial" w:cs="Arial"/>
          <w:sz w:val="24"/>
          <w:szCs w:val="24"/>
        </w:rPr>
        <w:t>macroalgae</w:t>
      </w:r>
      <w:bookmarkEnd w:id="199"/>
    </w:p>
    <w:p w14:paraId="62F625D1" w14:textId="24DE2914" w:rsidR="00222E08" w:rsidRPr="00DF4477" w:rsidRDefault="005132EF" w:rsidP="00222E08">
      <w:pPr>
        <w:rPr>
          <w:color w:val="000000" w:themeColor="text1"/>
          <w:szCs w:val="22"/>
        </w:rPr>
      </w:pPr>
      <w:r w:rsidRPr="00E2394A">
        <w:rPr>
          <w:color w:val="000000" w:themeColor="text1"/>
          <w:szCs w:val="22"/>
        </w:rPr>
        <w:t xml:space="preserve">Epiphyte </w:t>
      </w:r>
      <w:r w:rsidR="005D356D" w:rsidRPr="00E2394A">
        <w:rPr>
          <w:color w:val="000000" w:themeColor="text1"/>
          <w:szCs w:val="22"/>
        </w:rPr>
        <w:t xml:space="preserve">cover on seagrass leaves </w:t>
      </w:r>
      <w:r w:rsidR="00D5409B" w:rsidRPr="00E2394A">
        <w:rPr>
          <w:color w:val="000000" w:themeColor="text1"/>
          <w:szCs w:val="22"/>
        </w:rPr>
        <w:t xml:space="preserve">across the </w:t>
      </w:r>
      <w:r w:rsidR="007F6948">
        <w:rPr>
          <w:color w:val="000000" w:themeColor="text1"/>
          <w:szCs w:val="22"/>
        </w:rPr>
        <w:t>Great Barrier Reef</w:t>
      </w:r>
      <w:r w:rsidR="00D5409B" w:rsidRPr="00E2394A">
        <w:rPr>
          <w:color w:val="000000" w:themeColor="text1"/>
          <w:szCs w:val="22"/>
        </w:rPr>
        <w:t xml:space="preserve"> </w:t>
      </w:r>
      <w:r w:rsidR="00222E08" w:rsidRPr="00E2394A">
        <w:rPr>
          <w:color w:val="000000" w:themeColor="text1"/>
          <w:szCs w:val="22"/>
        </w:rPr>
        <w:t xml:space="preserve">was </w:t>
      </w:r>
      <w:r w:rsidR="00657D23" w:rsidRPr="00E2394A">
        <w:rPr>
          <w:color w:val="000000" w:themeColor="text1"/>
          <w:szCs w:val="22"/>
        </w:rPr>
        <w:t>lower</w:t>
      </w:r>
      <w:r w:rsidR="00222E08" w:rsidRPr="00E2394A">
        <w:rPr>
          <w:color w:val="000000" w:themeColor="text1"/>
          <w:szCs w:val="22"/>
        </w:rPr>
        <w:t xml:space="preserve"> in the </w:t>
      </w:r>
      <w:r w:rsidR="00D5409B" w:rsidRPr="00E2394A">
        <w:rPr>
          <w:color w:val="000000" w:themeColor="text1"/>
          <w:szCs w:val="22"/>
        </w:rPr>
        <w:t>wet</w:t>
      </w:r>
      <w:r w:rsidR="00222E08" w:rsidRPr="00E2394A">
        <w:rPr>
          <w:color w:val="000000" w:themeColor="text1"/>
          <w:szCs w:val="22"/>
        </w:rPr>
        <w:t xml:space="preserve"> than the </w:t>
      </w:r>
      <w:r w:rsidR="00D5409B" w:rsidRPr="00E2394A">
        <w:rPr>
          <w:color w:val="000000" w:themeColor="text1"/>
          <w:szCs w:val="22"/>
        </w:rPr>
        <w:t xml:space="preserve">dry season </w:t>
      </w:r>
      <w:r w:rsidR="00E2394A" w:rsidRPr="00E2394A">
        <w:rPr>
          <w:color w:val="000000" w:themeColor="text1"/>
          <w:szCs w:val="22"/>
        </w:rPr>
        <w:t xml:space="preserve">in coast and estuary habitats, and similar in the wet and dry in reef habitats </w:t>
      </w:r>
      <w:r w:rsidR="00D5409B" w:rsidRPr="00E2394A">
        <w:rPr>
          <w:color w:val="000000" w:themeColor="text1"/>
          <w:szCs w:val="22"/>
        </w:rPr>
        <w:t xml:space="preserve">in </w:t>
      </w:r>
      <w:r w:rsidR="008574EC">
        <w:rPr>
          <w:color w:val="000000" w:themeColor="text1"/>
          <w:szCs w:val="22"/>
        </w:rPr>
        <w:t>2016–17</w:t>
      </w:r>
      <w:r w:rsidR="009D0287" w:rsidRPr="00E2394A">
        <w:rPr>
          <w:color w:val="000000" w:themeColor="text1"/>
          <w:szCs w:val="22"/>
        </w:rPr>
        <w:t>, except at reef subtidal sites</w:t>
      </w:r>
      <w:r w:rsidR="00D5409B" w:rsidRPr="00E2394A">
        <w:rPr>
          <w:color w:val="000000" w:themeColor="text1"/>
          <w:szCs w:val="22"/>
        </w:rPr>
        <w:t xml:space="preserve">. Epiphyte cover </w:t>
      </w:r>
      <w:r w:rsidR="009D0287" w:rsidRPr="00E2394A">
        <w:rPr>
          <w:color w:val="000000" w:themeColor="text1"/>
          <w:szCs w:val="22"/>
        </w:rPr>
        <w:t xml:space="preserve">was </w:t>
      </w:r>
      <w:r w:rsidR="00E2394A" w:rsidRPr="00E2394A">
        <w:rPr>
          <w:color w:val="000000" w:themeColor="text1"/>
          <w:szCs w:val="22"/>
        </w:rPr>
        <w:t>around</w:t>
      </w:r>
      <w:r w:rsidR="009D0287" w:rsidRPr="00E2394A">
        <w:rPr>
          <w:color w:val="000000" w:themeColor="text1"/>
          <w:szCs w:val="22"/>
        </w:rPr>
        <w:t xml:space="preserve"> the </w:t>
      </w:r>
      <w:r w:rsidR="007F6948">
        <w:rPr>
          <w:color w:val="000000" w:themeColor="text1"/>
          <w:szCs w:val="22"/>
        </w:rPr>
        <w:t>Great Barrier Reef</w:t>
      </w:r>
      <w:r w:rsidR="009D0287" w:rsidRPr="00E2394A">
        <w:rPr>
          <w:color w:val="000000" w:themeColor="text1"/>
          <w:szCs w:val="22"/>
        </w:rPr>
        <w:t xml:space="preserve"> long-term mean </w:t>
      </w:r>
      <w:r w:rsidR="00E2394A" w:rsidRPr="00E2394A">
        <w:rPr>
          <w:color w:val="000000" w:themeColor="text1"/>
          <w:szCs w:val="22"/>
        </w:rPr>
        <w:t>in all habitats except the reef subtidal, where it was above average</w:t>
      </w:r>
      <w:r w:rsidR="00E2394A">
        <w:rPr>
          <w:color w:val="000000" w:themeColor="text1"/>
          <w:szCs w:val="22"/>
        </w:rPr>
        <w:t xml:space="preserve"> due to high epiphyte cover at all sites</w:t>
      </w:r>
      <w:r w:rsidR="009D0287" w:rsidRPr="00E2394A">
        <w:rPr>
          <w:color w:val="000000" w:themeColor="text1"/>
          <w:szCs w:val="22"/>
        </w:rPr>
        <w:t xml:space="preserve"> </w:t>
      </w:r>
      <w:r w:rsidR="00D5409B" w:rsidRPr="00E2394A">
        <w:rPr>
          <w:color w:val="000000" w:themeColor="text1"/>
          <w:szCs w:val="22"/>
        </w:rPr>
        <w:t>(</w:t>
      </w:r>
      <w:r w:rsidR="00D5409B" w:rsidRPr="00E2394A">
        <w:rPr>
          <w:color w:val="000000" w:themeColor="text1"/>
          <w:szCs w:val="22"/>
        </w:rPr>
        <w:fldChar w:fldCharType="begin"/>
      </w:r>
      <w:r w:rsidR="00D5409B" w:rsidRPr="00E2394A">
        <w:rPr>
          <w:color w:val="000000" w:themeColor="text1"/>
          <w:szCs w:val="22"/>
        </w:rPr>
        <w:instrText xml:space="preserve"> REF _Ref379615757 \h  \* MERGEFORMAT </w:instrText>
      </w:r>
      <w:r w:rsidR="00D5409B" w:rsidRPr="00E2394A">
        <w:rPr>
          <w:color w:val="000000" w:themeColor="text1"/>
          <w:szCs w:val="22"/>
        </w:rPr>
      </w:r>
      <w:r w:rsidR="00D5409B" w:rsidRPr="00E2394A">
        <w:rPr>
          <w:color w:val="000000" w:themeColor="text1"/>
          <w:szCs w:val="22"/>
        </w:rPr>
        <w:fldChar w:fldCharType="separate"/>
      </w:r>
      <w:r w:rsidR="00F87DF9" w:rsidRPr="00F87DF9">
        <w:rPr>
          <w:color w:val="000000" w:themeColor="text1"/>
        </w:rPr>
        <w:t xml:space="preserve">Figure </w:t>
      </w:r>
      <w:r w:rsidR="00F87DF9" w:rsidRPr="00F87DF9">
        <w:rPr>
          <w:noProof/>
          <w:color w:val="000000" w:themeColor="text1"/>
        </w:rPr>
        <w:t>29</w:t>
      </w:r>
      <w:r w:rsidR="00D5409B" w:rsidRPr="00E2394A">
        <w:rPr>
          <w:color w:val="000000" w:themeColor="text1"/>
          <w:szCs w:val="22"/>
        </w:rPr>
        <w:fldChar w:fldCharType="end"/>
      </w:r>
      <w:r w:rsidR="00D5409B" w:rsidRPr="00E2394A">
        <w:rPr>
          <w:color w:val="000000" w:themeColor="text1"/>
          <w:szCs w:val="22"/>
        </w:rPr>
        <w:t xml:space="preserve">). </w:t>
      </w:r>
    </w:p>
    <w:p w14:paraId="1815AEAD" w14:textId="77777777" w:rsidR="005D356D" w:rsidRPr="00E731A8" w:rsidRDefault="00DC7715" w:rsidP="0046050B">
      <w:pPr>
        <w:keepNext/>
        <w:spacing w:before="0" w:after="0"/>
        <w:jc w:val="center"/>
        <w:rPr>
          <w:szCs w:val="22"/>
        </w:rPr>
      </w:pPr>
      <w:r>
        <w:rPr>
          <w:noProof/>
          <w:szCs w:val="22"/>
          <w:lang w:eastAsia="en-AU"/>
        </w:rPr>
        <w:drawing>
          <wp:inline distT="0" distB="0" distL="0" distR="0" wp14:anchorId="30189090" wp14:editId="45B8CCA2">
            <wp:extent cx="5040000" cy="3502268"/>
            <wp:effectExtent l="0" t="0" r="8255" b="3175"/>
            <wp:docPr id="81" name="Picture 81" descr="Set of four scatter plots with straight lines and markers showing epiphyte abundance (% cover) relative to the long-term average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BR_epi_difference_2016.png"/>
                    <pic:cNvPicPr/>
                  </pic:nvPicPr>
                  <pic:blipFill>
                    <a:blip r:embed="rId66">
                      <a:extLst>
                        <a:ext uri="{28A0092B-C50C-407E-A947-70E740481C1C}">
                          <a14:useLocalDpi xmlns:a14="http://schemas.microsoft.com/office/drawing/2010/main" val="0"/>
                        </a:ext>
                      </a:extLst>
                    </a:blip>
                    <a:stretch>
                      <a:fillRect/>
                    </a:stretch>
                  </pic:blipFill>
                  <pic:spPr>
                    <a:xfrm>
                      <a:off x="0" y="0"/>
                      <a:ext cx="5040000" cy="3502268"/>
                    </a:xfrm>
                    <a:prstGeom prst="rect">
                      <a:avLst/>
                    </a:prstGeom>
                  </pic:spPr>
                </pic:pic>
              </a:graphicData>
            </a:graphic>
          </wp:inline>
        </w:drawing>
      </w:r>
    </w:p>
    <w:p w14:paraId="0A58ABFE" w14:textId="79DAB87B" w:rsidR="001B3EED" w:rsidRPr="009F7BEA" w:rsidRDefault="005D356D" w:rsidP="001B3EED">
      <w:pPr>
        <w:pStyle w:val="Caption"/>
        <w:jc w:val="both"/>
        <w:rPr>
          <w:i/>
          <w:vanish/>
          <w:color w:val="000000" w:themeColor="text1"/>
          <w:specVanish/>
        </w:rPr>
      </w:pPr>
      <w:bookmarkStart w:id="200" w:name="_Ref379615757"/>
      <w:bookmarkStart w:id="201" w:name="_Toc431493815"/>
      <w:bookmarkStart w:id="202" w:name="_Toc516053239"/>
      <w:r w:rsidRPr="007211D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29</w:t>
      </w:r>
      <w:r w:rsidR="00C506C7">
        <w:rPr>
          <w:noProof/>
        </w:rPr>
        <w:fldChar w:fldCharType="end"/>
      </w:r>
      <w:bookmarkEnd w:id="200"/>
      <w:r w:rsidRPr="007211D2">
        <w:t xml:space="preserve">. </w:t>
      </w:r>
      <w:r w:rsidRPr="007211D2">
        <w:rPr>
          <w:i/>
        </w:rPr>
        <w:t>Epiphyte abundance (</w:t>
      </w:r>
      <w:r w:rsidR="0063478C" w:rsidRPr="007211D2">
        <w:rPr>
          <w:i/>
        </w:rPr>
        <w:t>per cent</w:t>
      </w:r>
      <w:r w:rsidRPr="007211D2">
        <w:rPr>
          <w:i/>
        </w:rPr>
        <w:t xml:space="preserve"> cover) relative to the long-term average </w:t>
      </w:r>
      <w:r w:rsidR="00576FE6">
        <w:rPr>
          <w:i/>
        </w:rPr>
        <w:t xml:space="preserve">(the zero axis) </w:t>
      </w:r>
      <w:r w:rsidRPr="007211D2">
        <w:rPr>
          <w:i/>
        </w:rPr>
        <w:t xml:space="preserve">for each </w:t>
      </w:r>
      <w:r w:rsidR="007F6948">
        <w:rPr>
          <w:i/>
        </w:rPr>
        <w:t>Great Barrier Reef</w:t>
      </w:r>
      <w:r w:rsidRPr="007211D2">
        <w:rPr>
          <w:i/>
        </w:rPr>
        <w:t xml:space="preserve"> seagrass habitat</w:t>
      </w:r>
      <w:bookmarkEnd w:id="201"/>
      <w:bookmarkEnd w:id="202"/>
      <w:r w:rsidR="001B3EED">
        <w:rPr>
          <w:i/>
        </w:rPr>
        <w:t xml:space="preserve"> </w:t>
      </w:r>
    </w:p>
    <w:p w14:paraId="718232A1" w14:textId="554388B9" w:rsidR="001C56F3" w:rsidRPr="00085F52" w:rsidRDefault="001B3EED" w:rsidP="001B3EED">
      <w:pPr>
        <w:spacing w:before="60"/>
        <w:jc w:val="both"/>
        <w:rPr>
          <w:i/>
          <w:vanish/>
          <w:szCs w:val="22"/>
        </w:rPr>
      </w:pPr>
      <w:r w:rsidRPr="009F7BEA">
        <w:rPr>
          <w:i/>
          <w:color w:val="000000" w:themeColor="text1"/>
        </w:rPr>
        <w:t xml:space="preserve"> </w:t>
      </w:r>
      <w:r w:rsidR="005D356D" w:rsidRPr="007211D2">
        <w:rPr>
          <w:i/>
        </w:rPr>
        <w:t>(sites pooled, ±</w:t>
      </w:r>
      <w:r w:rsidR="00085F52">
        <w:rPr>
          <w:i/>
        </w:rPr>
        <w:t xml:space="preserve"> </w:t>
      </w:r>
      <w:r w:rsidR="005D356D" w:rsidRPr="007211D2">
        <w:rPr>
          <w:i/>
        </w:rPr>
        <w:t xml:space="preserve">SE). </w:t>
      </w:r>
      <w:r w:rsidR="007F6948">
        <w:rPr>
          <w:i/>
        </w:rPr>
        <w:t>Great Barrier Reef</w:t>
      </w:r>
      <w:r w:rsidR="005D356D" w:rsidRPr="007211D2">
        <w:rPr>
          <w:i/>
        </w:rPr>
        <w:t xml:space="preserve"> long-term average; estuarine = </w:t>
      </w:r>
      <w:r w:rsidR="007211D2" w:rsidRPr="007211D2">
        <w:rPr>
          <w:i/>
        </w:rPr>
        <w:t>18.1±3.8</w:t>
      </w:r>
      <w:r w:rsidR="0063478C" w:rsidRPr="007211D2">
        <w:rPr>
          <w:i/>
        </w:rPr>
        <w:t xml:space="preserve"> per cent</w:t>
      </w:r>
      <w:r w:rsidR="005D356D" w:rsidRPr="007211D2">
        <w:rPr>
          <w:i/>
        </w:rPr>
        <w:t xml:space="preserve"> coastal=</w:t>
      </w:r>
      <w:r w:rsidR="007211D2" w:rsidRPr="007211D2">
        <w:rPr>
          <w:i/>
        </w:rPr>
        <w:t>25.5±5.5</w:t>
      </w:r>
      <w:r w:rsidR="0063478C" w:rsidRPr="007211D2">
        <w:rPr>
          <w:i/>
        </w:rPr>
        <w:t xml:space="preserve"> per cent</w:t>
      </w:r>
      <w:r w:rsidR="005D356D" w:rsidRPr="007211D2">
        <w:rPr>
          <w:i/>
        </w:rPr>
        <w:t xml:space="preserve">, reef = </w:t>
      </w:r>
      <w:r w:rsidR="007211D2" w:rsidRPr="007211D2">
        <w:rPr>
          <w:i/>
        </w:rPr>
        <w:t>23.1±4.2</w:t>
      </w:r>
      <w:r w:rsidR="0063478C" w:rsidRPr="007211D2">
        <w:rPr>
          <w:i/>
        </w:rPr>
        <w:t xml:space="preserve"> per cent</w:t>
      </w:r>
      <w:r w:rsidR="005D356D" w:rsidRPr="007211D2">
        <w:rPr>
          <w:i/>
        </w:rPr>
        <w:t xml:space="preserve">, subtidal= </w:t>
      </w:r>
      <w:r w:rsidR="007211D2" w:rsidRPr="007211D2">
        <w:rPr>
          <w:i/>
        </w:rPr>
        <w:t>18.4±2.7</w:t>
      </w:r>
      <w:r w:rsidR="0063478C" w:rsidRPr="007211D2">
        <w:rPr>
          <w:i/>
        </w:rPr>
        <w:t xml:space="preserve"> per cent</w:t>
      </w:r>
      <w:r w:rsidR="005D356D" w:rsidRPr="007211D2">
        <w:rPr>
          <w:i/>
        </w:rPr>
        <w:t>.</w:t>
      </w:r>
      <w:r w:rsidR="00545457" w:rsidRPr="007211D2">
        <w:rPr>
          <w:i/>
        </w:rPr>
        <w:t xml:space="preserve"> </w:t>
      </w:r>
    </w:p>
    <w:p w14:paraId="2ADD4BE4" w14:textId="4328B740" w:rsidR="001C56F3" w:rsidRPr="0053284D" w:rsidRDefault="00655F8E" w:rsidP="00034AD4">
      <w:pPr>
        <w:rPr>
          <w:color w:val="000000" w:themeColor="text1"/>
          <w:szCs w:val="22"/>
        </w:rPr>
      </w:pPr>
      <w:r w:rsidRPr="0053284D">
        <w:rPr>
          <w:color w:val="000000" w:themeColor="text1"/>
          <w:szCs w:val="22"/>
        </w:rPr>
        <w:t>Macroalgae</w:t>
      </w:r>
      <w:r w:rsidR="005132EF" w:rsidRPr="0053284D">
        <w:rPr>
          <w:color w:val="000000" w:themeColor="text1"/>
          <w:szCs w:val="22"/>
        </w:rPr>
        <w:t xml:space="preserve"> abundance </w:t>
      </w:r>
      <w:r w:rsidR="00402575" w:rsidRPr="0053284D">
        <w:rPr>
          <w:color w:val="000000" w:themeColor="text1"/>
          <w:szCs w:val="22"/>
        </w:rPr>
        <w:t xml:space="preserve">is generally low and stable in the </w:t>
      </w:r>
      <w:r w:rsidR="007F6948">
        <w:rPr>
          <w:color w:val="000000" w:themeColor="text1"/>
          <w:szCs w:val="22"/>
        </w:rPr>
        <w:t>Great Barrier Reef</w:t>
      </w:r>
      <w:r w:rsidR="00402575" w:rsidRPr="0053284D">
        <w:rPr>
          <w:color w:val="000000" w:themeColor="text1"/>
          <w:szCs w:val="22"/>
        </w:rPr>
        <w:t xml:space="preserve"> seagrass habitats and there was again little change in </w:t>
      </w:r>
      <w:r w:rsidR="008574EC">
        <w:rPr>
          <w:color w:val="000000" w:themeColor="text1"/>
          <w:szCs w:val="22"/>
        </w:rPr>
        <w:t>2016–17</w:t>
      </w:r>
      <w:r w:rsidR="00402575" w:rsidRPr="0053284D">
        <w:rPr>
          <w:color w:val="000000" w:themeColor="text1"/>
          <w:szCs w:val="22"/>
        </w:rPr>
        <w:t xml:space="preserve"> </w:t>
      </w:r>
      <w:r w:rsidR="005132EF" w:rsidRPr="0053284D">
        <w:rPr>
          <w:color w:val="000000" w:themeColor="text1"/>
          <w:szCs w:val="22"/>
        </w:rPr>
        <w:t>(</w:t>
      </w:r>
      <w:r w:rsidR="00F63096" w:rsidRPr="0053284D">
        <w:rPr>
          <w:color w:val="000000" w:themeColor="text1"/>
          <w:szCs w:val="22"/>
        </w:rPr>
        <w:fldChar w:fldCharType="begin"/>
      </w:r>
      <w:r w:rsidR="00F63096" w:rsidRPr="0053284D">
        <w:rPr>
          <w:color w:val="000000" w:themeColor="text1"/>
          <w:szCs w:val="22"/>
        </w:rPr>
        <w:instrText xml:space="preserve"> REF _Ref271537893 \h </w:instrText>
      </w:r>
      <w:r w:rsidR="00222E08" w:rsidRPr="0053284D">
        <w:rPr>
          <w:color w:val="000000" w:themeColor="text1"/>
          <w:szCs w:val="22"/>
        </w:rPr>
        <w:instrText xml:space="preserve"> \* MERGEFORMAT </w:instrText>
      </w:r>
      <w:r w:rsidR="00F63096" w:rsidRPr="0053284D">
        <w:rPr>
          <w:color w:val="000000" w:themeColor="text1"/>
          <w:szCs w:val="22"/>
        </w:rPr>
      </w:r>
      <w:r w:rsidR="00F63096" w:rsidRPr="0053284D">
        <w:rPr>
          <w:color w:val="000000" w:themeColor="text1"/>
          <w:szCs w:val="22"/>
        </w:rPr>
        <w:fldChar w:fldCharType="separate"/>
      </w:r>
      <w:r w:rsidR="00F87DF9" w:rsidRPr="00F87DF9">
        <w:rPr>
          <w:color w:val="000000" w:themeColor="text1"/>
          <w:szCs w:val="22"/>
        </w:rPr>
        <w:t xml:space="preserve">Figure </w:t>
      </w:r>
      <w:r w:rsidR="00F87DF9" w:rsidRPr="00F87DF9">
        <w:rPr>
          <w:noProof/>
          <w:color w:val="000000" w:themeColor="text1"/>
          <w:szCs w:val="22"/>
        </w:rPr>
        <w:t>30</w:t>
      </w:r>
      <w:r w:rsidR="00F63096" w:rsidRPr="0053284D">
        <w:rPr>
          <w:color w:val="000000" w:themeColor="text1"/>
          <w:szCs w:val="22"/>
        </w:rPr>
        <w:fldChar w:fldCharType="end"/>
      </w:r>
      <w:r w:rsidR="005132EF" w:rsidRPr="0053284D">
        <w:rPr>
          <w:color w:val="000000" w:themeColor="text1"/>
          <w:szCs w:val="22"/>
        </w:rPr>
        <w:t xml:space="preserve">). </w:t>
      </w:r>
      <w:r w:rsidR="00E731A8" w:rsidRPr="0053284D">
        <w:rPr>
          <w:color w:val="000000" w:themeColor="text1"/>
          <w:szCs w:val="22"/>
        </w:rPr>
        <w:t xml:space="preserve">A gradual increase at </w:t>
      </w:r>
      <w:r w:rsidR="00402575" w:rsidRPr="0053284D">
        <w:rPr>
          <w:color w:val="000000" w:themeColor="text1"/>
          <w:szCs w:val="22"/>
        </w:rPr>
        <w:t>reef</w:t>
      </w:r>
      <w:r w:rsidR="00E731A8" w:rsidRPr="0053284D">
        <w:rPr>
          <w:color w:val="000000" w:themeColor="text1"/>
          <w:szCs w:val="22"/>
        </w:rPr>
        <w:t xml:space="preserve"> </w:t>
      </w:r>
      <w:r w:rsidR="0053284D" w:rsidRPr="0053284D">
        <w:rPr>
          <w:color w:val="000000" w:themeColor="text1"/>
          <w:szCs w:val="22"/>
        </w:rPr>
        <w:t xml:space="preserve">subtidal </w:t>
      </w:r>
      <w:r w:rsidR="00E731A8" w:rsidRPr="0053284D">
        <w:rPr>
          <w:color w:val="000000" w:themeColor="text1"/>
          <w:szCs w:val="22"/>
        </w:rPr>
        <w:t>habitats during the late dry</w:t>
      </w:r>
      <w:r w:rsidR="00D817C1">
        <w:rPr>
          <w:color w:val="000000" w:themeColor="text1"/>
          <w:szCs w:val="22"/>
        </w:rPr>
        <w:t xml:space="preserve"> season</w:t>
      </w:r>
      <w:r w:rsidR="00E731A8" w:rsidRPr="0053284D">
        <w:rPr>
          <w:color w:val="000000" w:themeColor="text1"/>
          <w:szCs w:val="22"/>
        </w:rPr>
        <w:t xml:space="preserve"> </w:t>
      </w:r>
      <w:r w:rsidR="0053284D" w:rsidRPr="0053284D">
        <w:rPr>
          <w:color w:val="000000" w:themeColor="text1"/>
          <w:szCs w:val="22"/>
        </w:rPr>
        <w:t xml:space="preserve">and </w:t>
      </w:r>
      <w:r w:rsidR="00D817C1">
        <w:rPr>
          <w:color w:val="000000" w:themeColor="text1"/>
          <w:szCs w:val="22"/>
        </w:rPr>
        <w:t xml:space="preserve">the </w:t>
      </w:r>
      <w:r w:rsidR="0053284D" w:rsidRPr="0053284D">
        <w:rPr>
          <w:color w:val="000000" w:themeColor="text1"/>
          <w:szCs w:val="22"/>
        </w:rPr>
        <w:t xml:space="preserve">wet </w:t>
      </w:r>
      <w:r w:rsidR="00E731A8" w:rsidRPr="0053284D">
        <w:rPr>
          <w:color w:val="000000" w:themeColor="text1"/>
          <w:szCs w:val="22"/>
        </w:rPr>
        <w:t>season</w:t>
      </w:r>
      <w:r w:rsidR="0053284D" w:rsidRPr="0053284D">
        <w:rPr>
          <w:color w:val="000000" w:themeColor="text1"/>
          <w:szCs w:val="22"/>
        </w:rPr>
        <w:t xml:space="preserve"> has occurred at all sites</w:t>
      </w:r>
      <w:r w:rsidR="00E731A8" w:rsidRPr="0053284D">
        <w:rPr>
          <w:color w:val="000000" w:themeColor="text1"/>
          <w:szCs w:val="22"/>
        </w:rPr>
        <w:t xml:space="preserve"> over the last 3 years.</w:t>
      </w:r>
    </w:p>
    <w:p w14:paraId="06B537FB" w14:textId="77777777" w:rsidR="005132EF" w:rsidRPr="00294B25" w:rsidRDefault="00DC7715" w:rsidP="0046050B">
      <w:pPr>
        <w:keepNext/>
        <w:spacing w:before="0" w:after="0"/>
        <w:jc w:val="center"/>
        <w:rPr>
          <w:noProof/>
          <w:color w:val="000000"/>
          <w:lang w:eastAsia="en-AU"/>
        </w:rPr>
      </w:pPr>
      <w:r>
        <w:rPr>
          <w:noProof/>
          <w:color w:val="000000"/>
          <w:lang w:eastAsia="en-AU"/>
        </w:rPr>
        <w:drawing>
          <wp:inline distT="0" distB="0" distL="0" distR="0" wp14:anchorId="659C1134" wp14:editId="7E1E33EC">
            <wp:extent cx="5040000" cy="3502268"/>
            <wp:effectExtent l="0" t="0" r="8255" b="3175"/>
            <wp:docPr id="79" name="Picture 79" descr="Set of four scatter plots with straight lines and markers showing macroalgae abundance (% cover) relative to the long-term average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GBR_algae_difference_2016.png"/>
                    <pic:cNvPicPr/>
                  </pic:nvPicPr>
                  <pic:blipFill>
                    <a:blip r:embed="rId67">
                      <a:extLst>
                        <a:ext uri="{28A0092B-C50C-407E-A947-70E740481C1C}">
                          <a14:useLocalDpi xmlns:a14="http://schemas.microsoft.com/office/drawing/2010/main" val="0"/>
                        </a:ext>
                      </a:extLst>
                    </a:blip>
                    <a:stretch>
                      <a:fillRect/>
                    </a:stretch>
                  </pic:blipFill>
                  <pic:spPr>
                    <a:xfrm>
                      <a:off x="0" y="0"/>
                      <a:ext cx="5040000" cy="3502268"/>
                    </a:xfrm>
                    <a:prstGeom prst="rect">
                      <a:avLst/>
                    </a:prstGeom>
                  </pic:spPr>
                </pic:pic>
              </a:graphicData>
            </a:graphic>
          </wp:inline>
        </w:drawing>
      </w:r>
    </w:p>
    <w:p w14:paraId="7670930D" w14:textId="0C0AD7F0" w:rsidR="0015251F" w:rsidRPr="00716CE2" w:rsidRDefault="005132EF" w:rsidP="0015251F">
      <w:pPr>
        <w:rPr>
          <w:i/>
          <w:vanish/>
          <w:szCs w:val="22"/>
          <w:specVanish/>
        </w:rPr>
      </w:pPr>
      <w:bookmarkStart w:id="203" w:name="_Ref271537893"/>
      <w:bookmarkStart w:id="204" w:name="_Toc431493816"/>
      <w:bookmarkStart w:id="205" w:name="_Toc516053240"/>
      <w:r w:rsidRPr="007211D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30</w:t>
      </w:r>
      <w:r w:rsidR="00C506C7">
        <w:rPr>
          <w:noProof/>
        </w:rPr>
        <w:fldChar w:fldCharType="end"/>
      </w:r>
      <w:bookmarkEnd w:id="203"/>
      <w:r w:rsidRPr="007211D2">
        <w:t xml:space="preserve">. </w:t>
      </w:r>
      <w:r w:rsidR="00655F8E" w:rsidRPr="007211D2">
        <w:rPr>
          <w:i/>
        </w:rPr>
        <w:t>Macroalgae</w:t>
      </w:r>
      <w:r w:rsidRPr="007211D2">
        <w:rPr>
          <w:i/>
        </w:rPr>
        <w:t xml:space="preserve"> abundance (</w:t>
      </w:r>
      <w:r w:rsidR="0063478C" w:rsidRPr="007211D2">
        <w:rPr>
          <w:i/>
        </w:rPr>
        <w:t>per cent</w:t>
      </w:r>
      <w:r w:rsidRPr="007211D2">
        <w:rPr>
          <w:i/>
        </w:rPr>
        <w:t xml:space="preserve"> cover) </w:t>
      </w:r>
      <w:r w:rsidR="00184906" w:rsidRPr="007211D2">
        <w:rPr>
          <w:i/>
        </w:rPr>
        <w:t xml:space="preserve">relative to the long-term average for each </w:t>
      </w:r>
      <w:r w:rsidR="00C6227E" w:rsidRPr="007211D2">
        <w:rPr>
          <w:i/>
        </w:rPr>
        <w:t xml:space="preserve">inshore </w:t>
      </w:r>
      <w:r w:rsidR="007F6948">
        <w:rPr>
          <w:i/>
        </w:rPr>
        <w:t>Great Barrier Reef</w:t>
      </w:r>
      <w:r w:rsidR="00184906" w:rsidRPr="007211D2">
        <w:rPr>
          <w:i/>
        </w:rPr>
        <w:t xml:space="preserve"> seagrass habitat</w:t>
      </w:r>
      <w:bookmarkEnd w:id="204"/>
      <w:bookmarkEnd w:id="205"/>
    </w:p>
    <w:p w14:paraId="0DC86632" w14:textId="7B7E2F45" w:rsidR="00FA4C72" w:rsidRPr="00D817C1" w:rsidRDefault="0015251F" w:rsidP="0015251F">
      <w:pPr>
        <w:spacing w:before="60" w:after="0"/>
        <w:rPr>
          <w:i/>
          <w:vanish/>
          <w:szCs w:val="22"/>
        </w:rPr>
      </w:pPr>
      <w:r w:rsidRPr="00716CE2">
        <w:rPr>
          <w:i/>
        </w:rPr>
        <w:t xml:space="preserve">. </w:t>
      </w:r>
      <w:r w:rsidR="00184906" w:rsidRPr="007211D2">
        <w:rPr>
          <w:i/>
        </w:rPr>
        <w:t>(sites pooled, ±</w:t>
      </w:r>
      <w:r w:rsidR="00D817C1">
        <w:rPr>
          <w:i/>
        </w:rPr>
        <w:t xml:space="preserve"> </w:t>
      </w:r>
      <w:r w:rsidR="00184906" w:rsidRPr="007211D2">
        <w:rPr>
          <w:i/>
        </w:rPr>
        <w:t xml:space="preserve">SE). </w:t>
      </w:r>
      <w:r w:rsidR="007F6948">
        <w:rPr>
          <w:i/>
        </w:rPr>
        <w:t>Great Barrier Reef</w:t>
      </w:r>
      <w:r w:rsidR="00184906" w:rsidRPr="007211D2">
        <w:rPr>
          <w:i/>
        </w:rPr>
        <w:t xml:space="preserve"> long-term average; </w:t>
      </w:r>
      <w:r w:rsidR="005132EF" w:rsidRPr="007211D2">
        <w:rPr>
          <w:i/>
        </w:rPr>
        <w:t xml:space="preserve">estuarine = </w:t>
      </w:r>
      <w:r w:rsidR="007211D2" w:rsidRPr="007211D2">
        <w:rPr>
          <w:i/>
        </w:rPr>
        <w:t xml:space="preserve">2.3±1.1 </w:t>
      </w:r>
      <w:r w:rsidR="0063478C" w:rsidRPr="007211D2">
        <w:rPr>
          <w:i/>
        </w:rPr>
        <w:t>per cent</w:t>
      </w:r>
      <w:r w:rsidR="005132EF" w:rsidRPr="007211D2">
        <w:rPr>
          <w:i/>
        </w:rPr>
        <w:t>, coastal=</w:t>
      </w:r>
      <w:r w:rsidR="007211D2" w:rsidRPr="007211D2">
        <w:rPr>
          <w:i/>
        </w:rPr>
        <w:t>2.8±1.3</w:t>
      </w:r>
      <w:r w:rsidR="0063478C" w:rsidRPr="007211D2">
        <w:rPr>
          <w:i/>
        </w:rPr>
        <w:t xml:space="preserve"> per cent</w:t>
      </w:r>
      <w:r w:rsidR="005132EF" w:rsidRPr="007211D2">
        <w:rPr>
          <w:i/>
        </w:rPr>
        <w:t xml:space="preserve">, reef = </w:t>
      </w:r>
      <w:r w:rsidR="007211D2" w:rsidRPr="007211D2">
        <w:rPr>
          <w:i/>
        </w:rPr>
        <w:t>6.8±2.0</w:t>
      </w:r>
      <w:r w:rsidR="0063478C" w:rsidRPr="007211D2">
        <w:rPr>
          <w:i/>
        </w:rPr>
        <w:t xml:space="preserve"> per cent</w:t>
      </w:r>
      <w:r w:rsidR="00184906" w:rsidRPr="007211D2">
        <w:rPr>
          <w:i/>
        </w:rPr>
        <w:t xml:space="preserve">, subtidal = </w:t>
      </w:r>
      <w:r w:rsidR="007211D2" w:rsidRPr="007211D2">
        <w:rPr>
          <w:i/>
        </w:rPr>
        <w:t>5.6±2.1</w:t>
      </w:r>
      <w:r w:rsidR="0063478C" w:rsidRPr="007211D2">
        <w:rPr>
          <w:i/>
        </w:rPr>
        <w:t xml:space="preserve"> per cent</w:t>
      </w:r>
      <w:r w:rsidR="005132EF" w:rsidRPr="007211D2">
        <w:rPr>
          <w:i/>
        </w:rPr>
        <w:t>.</w:t>
      </w:r>
      <w:r w:rsidR="00C6227E" w:rsidRPr="007211D2">
        <w:rPr>
          <w:i/>
        </w:rPr>
        <w:t xml:space="preserve"> </w:t>
      </w:r>
    </w:p>
    <w:p w14:paraId="5C054662" w14:textId="77777777" w:rsidR="00AB6175" w:rsidRPr="001F473C" w:rsidRDefault="000535CA" w:rsidP="00926892">
      <w:pPr>
        <w:pStyle w:val="Heading2"/>
        <w:numPr>
          <w:ilvl w:val="1"/>
          <w:numId w:val="9"/>
        </w:numPr>
        <w:rPr>
          <w:rFonts w:ascii="Century Gothic" w:hAnsi="Century Gothic"/>
          <w:color w:val="000000"/>
        </w:rPr>
      </w:pPr>
      <w:r w:rsidRPr="00015190">
        <w:rPr>
          <w:color w:val="0000FF"/>
        </w:rPr>
        <w:br w:type="page"/>
      </w:r>
      <w:bookmarkStart w:id="206" w:name="_Toc431493758"/>
      <w:bookmarkStart w:id="207" w:name="_Toc516053137"/>
      <w:bookmarkStart w:id="208" w:name="_Toc175991058"/>
      <w:bookmarkStart w:id="209" w:name="_Toc232845904"/>
      <w:bookmarkStart w:id="210" w:name="_Toc184101968"/>
      <w:r w:rsidR="00AB6175" w:rsidRPr="001F473C">
        <w:rPr>
          <w:rFonts w:ascii="Century Gothic" w:hAnsi="Century Gothic"/>
          <w:color w:val="000000"/>
        </w:rPr>
        <w:t>Cape York</w:t>
      </w:r>
      <w:bookmarkEnd w:id="206"/>
      <w:bookmarkEnd w:id="207"/>
    </w:p>
    <w:p w14:paraId="5169FC9C" w14:textId="39829489" w:rsidR="005132EF" w:rsidRPr="00150333" w:rsidRDefault="008574EC" w:rsidP="00926892">
      <w:pPr>
        <w:pStyle w:val="Heading3"/>
        <w:numPr>
          <w:ilvl w:val="2"/>
          <w:numId w:val="9"/>
        </w:numPr>
        <w:rPr>
          <w:rFonts w:ascii="Arial" w:hAnsi="Arial" w:cs="Arial"/>
        </w:rPr>
      </w:pPr>
      <w:bookmarkStart w:id="211" w:name="_Toc184101969"/>
      <w:bookmarkStart w:id="212" w:name="_Toc431493759"/>
      <w:bookmarkStart w:id="213" w:name="_Toc516053138"/>
      <w:bookmarkEnd w:id="208"/>
      <w:bookmarkEnd w:id="209"/>
      <w:bookmarkEnd w:id="210"/>
      <w:r>
        <w:rPr>
          <w:rFonts w:ascii="Arial" w:hAnsi="Arial" w:cs="Arial"/>
        </w:rPr>
        <w:t>2016–17</w:t>
      </w:r>
      <w:r w:rsidR="005132EF" w:rsidRPr="00150333">
        <w:rPr>
          <w:rFonts w:ascii="Arial" w:hAnsi="Arial" w:cs="Arial"/>
        </w:rPr>
        <w:t xml:space="preserve"> </w:t>
      </w:r>
      <w:r w:rsidR="002F55F1">
        <w:rPr>
          <w:rFonts w:ascii="Arial" w:hAnsi="Arial" w:cs="Arial"/>
        </w:rPr>
        <w:t>s</w:t>
      </w:r>
      <w:r w:rsidR="005132EF" w:rsidRPr="00150333">
        <w:rPr>
          <w:rFonts w:ascii="Arial" w:hAnsi="Arial" w:cs="Arial"/>
        </w:rPr>
        <w:t>ummary</w:t>
      </w:r>
      <w:bookmarkEnd w:id="211"/>
      <w:bookmarkEnd w:id="212"/>
      <w:bookmarkEnd w:id="213"/>
    </w:p>
    <w:p w14:paraId="6A0CD2CC" w14:textId="510DADD6" w:rsidR="00906FE6" w:rsidRPr="00121CDB" w:rsidRDefault="00906FE6" w:rsidP="00017151">
      <w:pPr>
        <w:spacing w:after="0"/>
        <w:rPr>
          <w:rFonts w:asciiTheme="minorHAnsi" w:hAnsiTheme="minorHAnsi"/>
          <w:szCs w:val="22"/>
        </w:rPr>
      </w:pPr>
      <w:bookmarkStart w:id="214" w:name="_Toc431493761"/>
      <w:bookmarkStart w:id="215" w:name="_Toc175991060"/>
      <w:bookmarkStart w:id="216" w:name="_Toc232845906"/>
      <w:r w:rsidRPr="0079725B">
        <w:rPr>
          <w:rFonts w:asciiTheme="minorHAnsi" w:hAnsiTheme="minorHAnsi"/>
          <w:color w:val="000000" w:themeColor="text1"/>
          <w:szCs w:val="22"/>
        </w:rPr>
        <w:t xml:space="preserve">Waters entering the </w:t>
      </w:r>
      <w:r w:rsidR="007F6948">
        <w:rPr>
          <w:rFonts w:asciiTheme="minorHAnsi" w:hAnsiTheme="minorHAnsi"/>
          <w:color w:val="000000" w:themeColor="text1"/>
          <w:szCs w:val="22"/>
        </w:rPr>
        <w:t>Great Barrier Reef</w:t>
      </w:r>
      <w:r w:rsidRPr="0079725B">
        <w:rPr>
          <w:rFonts w:asciiTheme="minorHAnsi" w:hAnsiTheme="minorHAnsi"/>
          <w:color w:val="000000" w:themeColor="text1"/>
          <w:szCs w:val="22"/>
        </w:rPr>
        <w:t xml:space="preserve"> lagoon from Cape York catchments are perceived to be </w:t>
      </w:r>
      <w:r w:rsidR="00017151" w:rsidRPr="0079725B">
        <w:rPr>
          <w:rFonts w:asciiTheme="minorHAnsi" w:hAnsiTheme="minorHAnsi"/>
          <w:color w:val="000000" w:themeColor="text1"/>
          <w:szCs w:val="22"/>
        </w:rPr>
        <w:t xml:space="preserve">of a high quality, with low </w:t>
      </w:r>
      <w:r w:rsidR="00017151" w:rsidRPr="0079725B">
        <w:rPr>
          <w:color w:val="000000" w:themeColor="text1"/>
          <w:szCs w:val="22"/>
        </w:rPr>
        <w:t>levels of suspended sediments, nutrients and pesticides</w:t>
      </w:r>
      <w:r w:rsidRPr="0079725B">
        <w:rPr>
          <w:rFonts w:asciiTheme="minorHAnsi" w:hAnsiTheme="minorHAnsi"/>
          <w:color w:val="000000" w:themeColor="text1"/>
          <w:szCs w:val="22"/>
        </w:rPr>
        <w:t xml:space="preserve">. Seagrass growth on reef and coastal habitats in the region appears primarily controlled by physical disturbance from waves/swell and associated sediment movement, with pulsed terrigenous runoff from seasonal rains affecting some coastal regions. </w:t>
      </w:r>
      <w:r w:rsidR="0079725B" w:rsidRPr="0079725B">
        <w:rPr>
          <w:rFonts w:asciiTheme="minorHAnsi" w:hAnsiTheme="minorHAnsi"/>
          <w:color w:val="000000" w:themeColor="text1"/>
          <w:szCs w:val="22"/>
        </w:rPr>
        <w:t xml:space="preserve">In the past 2 years, extreme </w:t>
      </w:r>
      <w:r w:rsidR="0069228A">
        <w:rPr>
          <w:rFonts w:asciiTheme="minorHAnsi" w:hAnsiTheme="minorHAnsi"/>
          <w:color w:val="000000" w:themeColor="text1"/>
          <w:szCs w:val="22"/>
        </w:rPr>
        <w:t xml:space="preserve">marine </w:t>
      </w:r>
      <w:r w:rsidR="00970D64">
        <w:rPr>
          <w:rFonts w:asciiTheme="minorHAnsi" w:hAnsiTheme="minorHAnsi"/>
          <w:color w:val="000000" w:themeColor="text1"/>
          <w:szCs w:val="22"/>
        </w:rPr>
        <w:t>heat</w:t>
      </w:r>
      <w:r w:rsidR="0079725B" w:rsidRPr="0079725B">
        <w:rPr>
          <w:rFonts w:asciiTheme="minorHAnsi" w:hAnsiTheme="minorHAnsi"/>
          <w:color w:val="000000" w:themeColor="text1"/>
          <w:szCs w:val="22"/>
        </w:rPr>
        <w:t xml:space="preserve">waves have also affected the region. </w:t>
      </w:r>
      <w:r w:rsidR="00AF0C44" w:rsidRPr="0079725B">
        <w:rPr>
          <w:rFonts w:asciiTheme="minorHAnsi" w:hAnsiTheme="minorHAnsi"/>
          <w:color w:val="000000" w:themeColor="text1"/>
          <w:szCs w:val="22"/>
        </w:rPr>
        <w:t xml:space="preserve">Rainfall </w:t>
      </w:r>
      <w:r w:rsidR="00D37BAD" w:rsidRPr="00121CDB">
        <w:rPr>
          <w:rFonts w:asciiTheme="minorHAnsi" w:hAnsiTheme="minorHAnsi"/>
          <w:szCs w:val="22"/>
        </w:rPr>
        <w:t xml:space="preserve">in </w:t>
      </w:r>
      <w:r w:rsidR="008574EC">
        <w:rPr>
          <w:rFonts w:asciiTheme="minorHAnsi" w:hAnsiTheme="minorHAnsi"/>
          <w:szCs w:val="22"/>
        </w:rPr>
        <w:t>2016–17</w:t>
      </w:r>
      <w:r w:rsidR="00D37BAD" w:rsidRPr="00121CDB">
        <w:rPr>
          <w:rFonts w:asciiTheme="minorHAnsi" w:hAnsiTheme="minorHAnsi"/>
          <w:szCs w:val="22"/>
        </w:rPr>
        <w:t xml:space="preserve"> </w:t>
      </w:r>
      <w:r w:rsidR="0079725B" w:rsidRPr="00121CDB">
        <w:rPr>
          <w:rFonts w:asciiTheme="minorHAnsi" w:hAnsiTheme="minorHAnsi"/>
          <w:szCs w:val="22"/>
        </w:rPr>
        <w:t>was</w:t>
      </w:r>
      <w:r w:rsidR="00AF0C44" w:rsidRPr="00121CDB">
        <w:rPr>
          <w:rFonts w:asciiTheme="minorHAnsi" w:hAnsiTheme="minorHAnsi"/>
          <w:szCs w:val="22"/>
        </w:rPr>
        <w:t xml:space="preserve"> below the long-term average</w:t>
      </w:r>
      <w:r w:rsidR="0079725B" w:rsidRPr="00121CDB">
        <w:rPr>
          <w:rFonts w:asciiTheme="minorHAnsi" w:hAnsiTheme="minorHAnsi"/>
          <w:szCs w:val="22"/>
        </w:rPr>
        <w:t>, but river discharge was slightly increased, due to above</w:t>
      </w:r>
      <w:r w:rsidR="0069228A">
        <w:rPr>
          <w:rFonts w:asciiTheme="minorHAnsi" w:hAnsiTheme="minorHAnsi"/>
          <w:szCs w:val="22"/>
        </w:rPr>
        <w:t>-</w:t>
      </w:r>
      <w:r w:rsidR="0079725B" w:rsidRPr="00121CDB">
        <w:rPr>
          <w:rFonts w:asciiTheme="minorHAnsi" w:hAnsiTheme="minorHAnsi"/>
          <w:szCs w:val="22"/>
        </w:rPr>
        <w:t>average discharge from the small rivers of Cape York</w:t>
      </w:r>
      <w:r w:rsidR="00D37BAD" w:rsidRPr="00121CDB">
        <w:rPr>
          <w:rFonts w:asciiTheme="minorHAnsi" w:hAnsiTheme="minorHAnsi"/>
          <w:szCs w:val="22"/>
        </w:rPr>
        <w:t>.</w:t>
      </w:r>
      <w:r w:rsidR="00AF0C44" w:rsidRPr="00121CDB">
        <w:rPr>
          <w:rFonts w:asciiTheme="minorHAnsi" w:hAnsiTheme="minorHAnsi"/>
          <w:szCs w:val="22"/>
        </w:rPr>
        <w:t xml:space="preserve"> </w:t>
      </w:r>
      <w:r w:rsidRPr="00121CDB">
        <w:rPr>
          <w:rFonts w:asciiTheme="minorHAnsi" w:hAnsiTheme="minorHAnsi"/>
          <w:szCs w:val="22"/>
        </w:rPr>
        <w:t xml:space="preserve">There was a high frequency of exposure to </w:t>
      </w:r>
      <w:r w:rsidR="00917E19" w:rsidRPr="00121CDB">
        <w:rPr>
          <w:rFonts w:asciiTheme="minorHAnsi" w:hAnsiTheme="minorHAnsi"/>
          <w:szCs w:val="22"/>
        </w:rPr>
        <w:t>‘</w:t>
      </w:r>
      <w:r w:rsidRPr="00121CDB">
        <w:rPr>
          <w:rFonts w:asciiTheme="minorHAnsi" w:hAnsiTheme="minorHAnsi"/>
          <w:szCs w:val="22"/>
        </w:rPr>
        <w:t>green</w:t>
      </w:r>
      <w:r w:rsidR="00917E19" w:rsidRPr="00121CDB">
        <w:rPr>
          <w:rFonts w:asciiTheme="minorHAnsi" w:hAnsiTheme="minorHAnsi"/>
          <w:szCs w:val="22"/>
        </w:rPr>
        <w:t>’</w:t>
      </w:r>
      <w:r w:rsidRPr="00121CDB">
        <w:rPr>
          <w:rFonts w:asciiTheme="minorHAnsi" w:hAnsiTheme="minorHAnsi"/>
          <w:szCs w:val="22"/>
        </w:rPr>
        <w:t xml:space="preserve"> secondary </w:t>
      </w:r>
      <w:r w:rsidR="00D37BAD" w:rsidRPr="00121CDB">
        <w:rPr>
          <w:rFonts w:asciiTheme="minorHAnsi" w:hAnsiTheme="minorHAnsi"/>
          <w:szCs w:val="22"/>
        </w:rPr>
        <w:t xml:space="preserve">water at seagrass sites in </w:t>
      </w:r>
      <w:r w:rsidR="008574EC">
        <w:rPr>
          <w:rFonts w:asciiTheme="minorHAnsi" w:hAnsiTheme="minorHAnsi"/>
          <w:szCs w:val="22"/>
        </w:rPr>
        <w:t>2016–17</w:t>
      </w:r>
      <w:r w:rsidRPr="00121CDB">
        <w:rPr>
          <w:rFonts w:asciiTheme="minorHAnsi" w:hAnsiTheme="minorHAnsi"/>
          <w:szCs w:val="22"/>
        </w:rPr>
        <w:t>, indicat</w:t>
      </w:r>
      <w:r w:rsidR="0069228A">
        <w:rPr>
          <w:rFonts w:asciiTheme="minorHAnsi" w:hAnsiTheme="minorHAnsi"/>
          <w:szCs w:val="22"/>
        </w:rPr>
        <w:t>ing</w:t>
      </w:r>
      <w:r w:rsidRPr="00121CDB">
        <w:rPr>
          <w:rFonts w:asciiTheme="minorHAnsi" w:hAnsiTheme="minorHAnsi"/>
          <w:szCs w:val="22"/>
        </w:rPr>
        <w:t xml:space="preserve"> the possibility of some nutrient enrichment</w:t>
      </w:r>
      <w:r w:rsidR="00D37BAD" w:rsidRPr="00121CDB">
        <w:rPr>
          <w:rFonts w:asciiTheme="minorHAnsi" w:hAnsiTheme="minorHAnsi"/>
          <w:szCs w:val="22"/>
        </w:rPr>
        <w:t xml:space="preserve"> and light limitation</w:t>
      </w:r>
      <w:r w:rsidRPr="00121CDB">
        <w:rPr>
          <w:rFonts w:asciiTheme="minorHAnsi" w:hAnsiTheme="minorHAnsi"/>
          <w:szCs w:val="22"/>
        </w:rPr>
        <w:t xml:space="preserve">. </w:t>
      </w:r>
      <w:r w:rsidR="00D37BAD" w:rsidRPr="00121CDB">
        <w:rPr>
          <w:rFonts w:asciiTheme="minorHAnsi" w:hAnsiTheme="minorHAnsi"/>
          <w:szCs w:val="22"/>
        </w:rPr>
        <w:t>W</w:t>
      </w:r>
      <w:r w:rsidRPr="00121CDB">
        <w:rPr>
          <w:rFonts w:asciiTheme="minorHAnsi" w:hAnsiTheme="minorHAnsi"/>
          <w:szCs w:val="22"/>
        </w:rPr>
        <w:t xml:space="preserve">ithin-canopy daily light </w:t>
      </w:r>
      <w:r w:rsidR="00D37BAD" w:rsidRPr="00121CDB">
        <w:rPr>
          <w:rFonts w:asciiTheme="minorHAnsi" w:hAnsiTheme="minorHAnsi"/>
          <w:szCs w:val="22"/>
        </w:rPr>
        <w:t xml:space="preserve">was below the long-term average but was the highest in the </w:t>
      </w:r>
      <w:r w:rsidR="007F6948">
        <w:rPr>
          <w:rFonts w:asciiTheme="minorHAnsi" w:hAnsiTheme="minorHAnsi"/>
          <w:szCs w:val="22"/>
        </w:rPr>
        <w:t>Great Barrier Reef</w:t>
      </w:r>
      <w:r w:rsidR="00D37BAD" w:rsidRPr="00121CDB">
        <w:rPr>
          <w:rFonts w:asciiTheme="minorHAnsi" w:hAnsiTheme="minorHAnsi"/>
          <w:szCs w:val="22"/>
        </w:rPr>
        <w:t>; however ligh</w:t>
      </w:r>
      <w:r w:rsidR="00917E19" w:rsidRPr="00121CDB">
        <w:rPr>
          <w:rFonts w:asciiTheme="minorHAnsi" w:hAnsiTheme="minorHAnsi"/>
          <w:szCs w:val="22"/>
        </w:rPr>
        <w:t xml:space="preserve">t data </w:t>
      </w:r>
      <w:r w:rsidR="00CC2044" w:rsidRPr="00121CDB">
        <w:rPr>
          <w:rFonts w:asciiTheme="minorHAnsi" w:hAnsiTheme="minorHAnsi"/>
          <w:szCs w:val="22"/>
        </w:rPr>
        <w:t xml:space="preserve">was only recorded from </w:t>
      </w:r>
      <w:r w:rsidR="00917E19" w:rsidRPr="00121CDB">
        <w:rPr>
          <w:rFonts w:asciiTheme="minorHAnsi" w:hAnsiTheme="minorHAnsi"/>
          <w:szCs w:val="22"/>
        </w:rPr>
        <w:t>October – March</w:t>
      </w:r>
      <w:r w:rsidR="00D37BAD" w:rsidRPr="00121CDB">
        <w:rPr>
          <w:rFonts w:asciiTheme="minorHAnsi" w:hAnsiTheme="minorHAnsi"/>
          <w:szCs w:val="22"/>
        </w:rPr>
        <w:t xml:space="preserve">, as monitoring has been reduced to once per year. </w:t>
      </w:r>
      <w:r w:rsidR="00970D64">
        <w:rPr>
          <w:rFonts w:asciiTheme="minorHAnsi" w:hAnsiTheme="minorHAnsi"/>
          <w:szCs w:val="22"/>
        </w:rPr>
        <w:t>A heat</w:t>
      </w:r>
      <w:r w:rsidR="00917E19" w:rsidRPr="00121CDB">
        <w:rPr>
          <w:rFonts w:asciiTheme="minorHAnsi" w:hAnsiTheme="minorHAnsi"/>
          <w:szCs w:val="22"/>
        </w:rPr>
        <w:t xml:space="preserve">wave swept through </w:t>
      </w:r>
      <w:r w:rsidR="003F0E7A" w:rsidRPr="00121CDB">
        <w:rPr>
          <w:rFonts w:asciiTheme="minorHAnsi" w:hAnsiTheme="minorHAnsi"/>
          <w:szCs w:val="22"/>
        </w:rPr>
        <w:t xml:space="preserve">the </w:t>
      </w:r>
      <w:r w:rsidR="007F6948">
        <w:rPr>
          <w:rFonts w:asciiTheme="minorHAnsi" w:hAnsiTheme="minorHAnsi"/>
          <w:szCs w:val="22"/>
        </w:rPr>
        <w:t>Great Barrier Reef</w:t>
      </w:r>
      <w:r w:rsidR="003F0E7A" w:rsidRPr="00121CDB">
        <w:rPr>
          <w:rFonts w:asciiTheme="minorHAnsi" w:hAnsiTheme="minorHAnsi"/>
          <w:szCs w:val="22"/>
        </w:rPr>
        <w:t xml:space="preserve">, and also affected </w:t>
      </w:r>
      <w:r w:rsidR="00917E19" w:rsidRPr="00121CDB">
        <w:rPr>
          <w:rFonts w:asciiTheme="minorHAnsi" w:hAnsiTheme="minorHAnsi"/>
          <w:szCs w:val="22"/>
        </w:rPr>
        <w:t xml:space="preserve">Cape York </w:t>
      </w:r>
      <w:r w:rsidR="0069228A">
        <w:rPr>
          <w:rFonts w:asciiTheme="minorHAnsi" w:hAnsiTheme="minorHAnsi"/>
          <w:szCs w:val="22"/>
        </w:rPr>
        <w:t xml:space="preserve">for </w:t>
      </w:r>
      <w:r w:rsidR="003F0E7A" w:rsidRPr="00121CDB">
        <w:rPr>
          <w:rFonts w:asciiTheme="minorHAnsi" w:hAnsiTheme="minorHAnsi"/>
          <w:szCs w:val="22"/>
        </w:rPr>
        <w:t>58 d</w:t>
      </w:r>
      <w:r w:rsidR="0069228A">
        <w:rPr>
          <w:rFonts w:asciiTheme="minorHAnsi" w:hAnsiTheme="minorHAnsi"/>
          <w:szCs w:val="22"/>
        </w:rPr>
        <w:t>ays</w:t>
      </w:r>
      <w:r w:rsidR="003F0E7A" w:rsidRPr="00121CDB">
        <w:rPr>
          <w:rFonts w:asciiTheme="minorHAnsi" w:hAnsiTheme="minorHAnsi"/>
          <w:szCs w:val="22"/>
        </w:rPr>
        <w:t>, and temperature was above the long-term median for the whole year except in July 2016</w:t>
      </w:r>
      <w:r w:rsidR="00593D9E" w:rsidRPr="00121CDB">
        <w:rPr>
          <w:rFonts w:asciiTheme="minorHAnsi" w:hAnsiTheme="minorHAnsi"/>
          <w:szCs w:val="22"/>
        </w:rPr>
        <w:t>.</w:t>
      </w:r>
    </w:p>
    <w:p w14:paraId="08FFCC0E" w14:textId="14D2CB54" w:rsidR="00906FE6" w:rsidRPr="000336D1" w:rsidRDefault="00906FE6" w:rsidP="006E32D4">
      <w:pPr>
        <w:spacing w:after="0"/>
        <w:rPr>
          <w:color w:val="000000" w:themeColor="text1"/>
          <w:szCs w:val="22"/>
        </w:rPr>
      </w:pPr>
      <w:r w:rsidRPr="00121CDB">
        <w:rPr>
          <w:rFonts w:asciiTheme="minorHAnsi" w:hAnsiTheme="minorHAnsi"/>
          <w:szCs w:val="22"/>
        </w:rPr>
        <w:t xml:space="preserve">One location in Cape York (Archer Point) has been monitored since 2005, while locations further north have only been monitored from 2011. This makes it difficult to assess long-term trends </w:t>
      </w:r>
      <w:r w:rsidR="007C3ABF" w:rsidRPr="00121CDB">
        <w:rPr>
          <w:rFonts w:asciiTheme="minorHAnsi" w:hAnsiTheme="minorHAnsi"/>
          <w:szCs w:val="22"/>
        </w:rPr>
        <w:t>across</w:t>
      </w:r>
      <w:r w:rsidRPr="00121CDB">
        <w:rPr>
          <w:rFonts w:asciiTheme="minorHAnsi" w:hAnsiTheme="minorHAnsi"/>
          <w:szCs w:val="22"/>
        </w:rPr>
        <w:t xml:space="preserve"> Cape York. </w:t>
      </w:r>
      <w:r w:rsidR="00ED5057" w:rsidRPr="00121CDB">
        <w:rPr>
          <w:rFonts w:asciiTheme="minorHAnsi" w:hAnsiTheme="minorHAnsi"/>
          <w:szCs w:val="22"/>
        </w:rPr>
        <w:t>On average</w:t>
      </w:r>
      <w:r w:rsidRPr="00121CDB">
        <w:rPr>
          <w:rFonts w:asciiTheme="minorHAnsi" w:hAnsiTheme="minorHAnsi"/>
          <w:szCs w:val="22"/>
        </w:rPr>
        <w:t xml:space="preserve">, seagrass abundance </w:t>
      </w:r>
      <w:r w:rsidR="00FE0C12" w:rsidRPr="00121CDB">
        <w:rPr>
          <w:rFonts w:asciiTheme="minorHAnsi" w:hAnsiTheme="minorHAnsi"/>
          <w:szCs w:val="22"/>
        </w:rPr>
        <w:t>decreased</w:t>
      </w:r>
      <w:r w:rsidR="007C3ABF" w:rsidRPr="00121CDB">
        <w:rPr>
          <w:rFonts w:asciiTheme="minorHAnsi" w:hAnsiTheme="minorHAnsi"/>
          <w:szCs w:val="22"/>
        </w:rPr>
        <w:t xml:space="preserve"> relative to the previous period</w:t>
      </w:r>
      <w:r w:rsidRPr="00121CDB">
        <w:rPr>
          <w:rFonts w:asciiTheme="minorHAnsi" w:hAnsiTheme="minorHAnsi"/>
          <w:szCs w:val="22"/>
        </w:rPr>
        <w:t xml:space="preserve"> </w:t>
      </w:r>
      <w:r w:rsidR="00ED17A9" w:rsidRPr="00121CDB">
        <w:rPr>
          <w:rFonts w:asciiTheme="minorHAnsi" w:hAnsiTheme="minorHAnsi"/>
          <w:szCs w:val="22"/>
        </w:rPr>
        <w:t xml:space="preserve">at </w:t>
      </w:r>
      <w:r w:rsidR="00FE0C12" w:rsidRPr="00121CDB">
        <w:rPr>
          <w:rFonts w:asciiTheme="minorHAnsi" w:hAnsiTheme="minorHAnsi"/>
          <w:szCs w:val="22"/>
        </w:rPr>
        <w:t xml:space="preserve">all sites, </w:t>
      </w:r>
      <w:r w:rsidR="00FE0C12" w:rsidRPr="00FE0C12">
        <w:rPr>
          <w:rFonts w:asciiTheme="minorHAnsi" w:hAnsiTheme="minorHAnsi"/>
          <w:color w:val="000000" w:themeColor="text1"/>
          <w:szCs w:val="22"/>
        </w:rPr>
        <w:t>except at Bathurst Bay and Piper Reef</w:t>
      </w:r>
      <w:r w:rsidR="007249C2">
        <w:rPr>
          <w:rFonts w:asciiTheme="minorHAnsi" w:hAnsiTheme="minorHAnsi"/>
          <w:color w:val="000000" w:themeColor="text1"/>
          <w:szCs w:val="22"/>
        </w:rPr>
        <w:t>, but long-term trends (</w:t>
      </w:r>
      <w:r w:rsidR="0069228A">
        <w:rPr>
          <w:rFonts w:asciiTheme="minorHAnsi" w:hAnsiTheme="minorHAnsi"/>
          <w:color w:val="000000" w:themeColor="text1"/>
          <w:szCs w:val="22"/>
        </w:rPr>
        <w:t>GAM</w:t>
      </w:r>
      <w:r w:rsidR="007249C2">
        <w:rPr>
          <w:rFonts w:asciiTheme="minorHAnsi" w:hAnsiTheme="minorHAnsi"/>
          <w:color w:val="000000" w:themeColor="text1"/>
          <w:szCs w:val="22"/>
        </w:rPr>
        <w:t xml:space="preserve"> plots), indicate that conditions have been relatively stable throughout the region since 2011</w:t>
      </w:r>
      <w:r w:rsidR="00C603FE" w:rsidRPr="00FE0C12">
        <w:rPr>
          <w:rFonts w:asciiTheme="minorHAnsi" w:hAnsiTheme="minorHAnsi"/>
          <w:color w:val="000000" w:themeColor="text1"/>
          <w:szCs w:val="22"/>
        </w:rPr>
        <w:t xml:space="preserve">. </w:t>
      </w:r>
      <w:r w:rsidR="007249C2">
        <w:rPr>
          <w:rFonts w:asciiTheme="minorHAnsi" w:hAnsiTheme="minorHAnsi"/>
          <w:color w:val="000000" w:themeColor="text1"/>
          <w:szCs w:val="22"/>
        </w:rPr>
        <w:t>Reproductive effort and seed bank de</w:t>
      </w:r>
      <w:r w:rsidR="0069228A">
        <w:rPr>
          <w:rFonts w:asciiTheme="minorHAnsi" w:hAnsiTheme="minorHAnsi"/>
          <w:color w:val="000000" w:themeColor="text1"/>
          <w:szCs w:val="22"/>
        </w:rPr>
        <w:t>n</w:t>
      </w:r>
      <w:r w:rsidR="007249C2">
        <w:rPr>
          <w:rFonts w:asciiTheme="minorHAnsi" w:hAnsiTheme="minorHAnsi"/>
          <w:color w:val="000000" w:themeColor="text1"/>
          <w:szCs w:val="22"/>
        </w:rPr>
        <w:t xml:space="preserve">sity at coastal sites reached record high levels in </w:t>
      </w:r>
      <w:r w:rsidR="008574EC">
        <w:rPr>
          <w:rFonts w:asciiTheme="minorHAnsi" w:hAnsiTheme="minorHAnsi"/>
          <w:color w:val="000000" w:themeColor="text1"/>
          <w:szCs w:val="22"/>
        </w:rPr>
        <w:t>2016–17</w:t>
      </w:r>
      <w:r w:rsidR="007249C2">
        <w:rPr>
          <w:rFonts w:asciiTheme="minorHAnsi" w:hAnsiTheme="minorHAnsi"/>
          <w:color w:val="000000" w:themeColor="text1"/>
          <w:szCs w:val="22"/>
        </w:rPr>
        <w:t>,</w:t>
      </w:r>
      <w:r w:rsidR="000336D1">
        <w:rPr>
          <w:rFonts w:asciiTheme="minorHAnsi" w:hAnsiTheme="minorHAnsi"/>
          <w:color w:val="000000" w:themeColor="text1"/>
          <w:szCs w:val="22"/>
        </w:rPr>
        <w:t xml:space="preserve"> while reef sites had negligible seeds in the seed bank and low reproductive effort with a very poor rating at both coastal and reef sites. </w:t>
      </w:r>
      <w:r w:rsidRPr="000336D1">
        <w:rPr>
          <w:rFonts w:asciiTheme="minorHAnsi" w:hAnsiTheme="minorHAnsi"/>
          <w:color w:val="000000" w:themeColor="text1"/>
          <w:szCs w:val="22"/>
        </w:rPr>
        <w:t xml:space="preserve">Seagrass leaf tissue nutrients (C:N) </w:t>
      </w:r>
      <w:r w:rsidR="000336D1" w:rsidRPr="000336D1">
        <w:rPr>
          <w:rFonts w:asciiTheme="minorHAnsi" w:hAnsiTheme="minorHAnsi"/>
          <w:color w:val="000000" w:themeColor="text1"/>
          <w:szCs w:val="22"/>
        </w:rPr>
        <w:t>increased at all sites and just exceeded the threshold (C:N = 20) indicating nitrogen limitation for the first time since monitoring began</w:t>
      </w:r>
      <w:r w:rsidR="000336D1">
        <w:rPr>
          <w:rFonts w:asciiTheme="minorHAnsi" w:hAnsiTheme="minorHAnsi"/>
          <w:color w:val="000000" w:themeColor="text1"/>
          <w:szCs w:val="22"/>
        </w:rPr>
        <w:t>, but remained just below the threshold at reef sites</w:t>
      </w:r>
      <w:r w:rsidR="000336D1" w:rsidRPr="000336D1">
        <w:rPr>
          <w:rFonts w:asciiTheme="minorHAnsi" w:hAnsiTheme="minorHAnsi"/>
          <w:color w:val="000000" w:themeColor="text1"/>
          <w:szCs w:val="22"/>
        </w:rPr>
        <w:t xml:space="preserve">. </w:t>
      </w:r>
      <w:r w:rsidR="000336D1">
        <w:rPr>
          <w:rFonts w:asciiTheme="minorHAnsi" w:hAnsiTheme="minorHAnsi"/>
          <w:color w:val="000000" w:themeColor="text1"/>
          <w:szCs w:val="22"/>
        </w:rPr>
        <w:t xml:space="preserve">Due to the reduction in seagrass </w:t>
      </w:r>
      <w:r w:rsidRPr="000336D1">
        <w:rPr>
          <w:rFonts w:asciiTheme="minorHAnsi" w:hAnsiTheme="minorHAnsi"/>
          <w:color w:val="000000" w:themeColor="text1"/>
          <w:szCs w:val="22"/>
        </w:rPr>
        <w:t xml:space="preserve">abundance, </w:t>
      </w:r>
      <w:r w:rsidR="000336D1" w:rsidRPr="000336D1">
        <w:rPr>
          <w:rFonts w:asciiTheme="minorHAnsi" w:hAnsiTheme="minorHAnsi"/>
          <w:color w:val="000000" w:themeColor="text1"/>
          <w:szCs w:val="22"/>
        </w:rPr>
        <w:t xml:space="preserve">possibly due to thermal stress, </w:t>
      </w:r>
      <w:r w:rsidRPr="000336D1">
        <w:rPr>
          <w:rFonts w:asciiTheme="minorHAnsi" w:hAnsiTheme="minorHAnsi"/>
          <w:color w:val="000000" w:themeColor="text1"/>
          <w:szCs w:val="22"/>
        </w:rPr>
        <w:t xml:space="preserve">the regional seagrass </w:t>
      </w:r>
      <w:r w:rsidR="007259C7" w:rsidRPr="000336D1">
        <w:rPr>
          <w:rFonts w:asciiTheme="minorHAnsi" w:hAnsiTheme="minorHAnsi"/>
          <w:color w:val="000000" w:themeColor="text1"/>
          <w:szCs w:val="22"/>
        </w:rPr>
        <w:t>index</w:t>
      </w:r>
      <w:r w:rsidRPr="000336D1">
        <w:rPr>
          <w:rFonts w:asciiTheme="minorHAnsi" w:hAnsiTheme="minorHAnsi"/>
          <w:color w:val="000000" w:themeColor="text1"/>
          <w:szCs w:val="22"/>
        </w:rPr>
        <w:t xml:space="preserve"> </w:t>
      </w:r>
      <w:r w:rsidR="000336D1" w:rsidRPr="000336D1">
        <w:rPr>
          <w:rFonts w:asciiTheme="minorHAnsi" w:hAnsiTheme="minorHAnsi"/>
          <w:color w:val="000000" w:themeColor="text1"/>
          <w:szCs w:val="22"/>
        </w:rPr>
        <w:t>reduced</w:t>
      </w:r>
      <w:r w:rsidRPr="000336D1">
        <w:rPr>
          <w:rFonts w:asciiTheme="minorHAnsi" w:hAnsiTheme="minorHAnsi"/>
          <w:color w:val="000000" w:themeColor="text1"/>
          <w:szCs w:val="22"/>
        </w:rPr>
        <w:t xml:space="preserve"> slightly over the last 12 months, but remains </w:t>
      </w:r>
      <w:r w:rsidRPr="000336D1">
        <w:rPr>
          <w:rFonts w:asciiTheme="minorHAnsi" w:hAnsiTheme="minorHAnsi"/>
          <w:b/>
          <w:color w:val="000000" w:themeColor="text1"/>
          <w:szCs w:val="22"/>
        </w:rPr>
        <w:t>poor</w:t>
      </w:r>
      <w:r w:rsidRPr="000336D1">
        <w:rPr>
          <w:rFonts w:asciiTheme="minorHAnsi" w:hAnsiTheme="minorHAnsi"/>
          <w:color w:val="000000" w:themeColor="text1"/>
          <w:szCs w:val="22"/>
        </w:rPr>
        <w:t xml:space="preserve"> (</w:t>
      </w:r>
      <w:r w:rsidR="006E32D4" w:rsidRPr="000336D1">
        <w:rPr>
          <w:rFonts w:asciiTheme="minorHAnsi" w:hAnsiTheme="minorHAnsi"/>
          <w:color w:val="000000" w:themeColor="text1"/>
          <w:szCs w:val="22"/>
        </w:rPr>
        <w:fldChar w:fldCharType="begin"/>
      </w:r>
      <w:r w:rsidR="006E32D4" w:rsidRPr="000336D1">
        <w:rPr>
          <w:rFonts w:asciiTheme="minorHAnsi" w:hAnsiTheme="minorHAnsi"/>
          <w:color w:val="000000" w:themeColor="text1"/>
          <w:szCs w:val="22"/>
        </w:rPr>
        <w:instrText xml:space="preserve"> REF _Ref385233470 \h </w:instrText>
      </w:r>
      <w:r w:rsidR="006E32D4" w:rsidRPr="000336D1">
        <w:rPr>
          <w:rFonts w:asciiTheme="minorHAnsi" w:hAnsiTheme="minorHAnsi"/>
          <w:color w:val="000000" w:themeColor="text1"/>
          <w:szCs w:val="22"/>
        </w:rPr>
      </w:r>
      <w:r w:rsidR="006E32D4" w:rsidRPr="000336D1">
        <w:rPr>
          <w:rFonts w:asciiTheme="minorHAnsi" w:hAnsiTheme="minorHAnsi"/>
          <w:color w:val="000000" w:themeColor="text1"/>
          <w:szCs w:val="22"/>
        </w:rPr>
        <w:fldChar w:fldCharType="separate"/>
      </w:r>
      <w:r w:rsidR="00F87DF9" w:rsidRPr="00120417">
        <w:rPr>
          <w:color w:val="000000"/>
        </w:rPr>
        <w:t xml:space="preserve">Figure </w:t>
      </w:r>
      <w:r w:rsidR="00F87DF9">
        <w:rPr>
          <w:noProof/>
          <w:color w:val="000000"/>
        </w:rPr>
        <w:t>31</w:t>
      </w:r>
      <w:r w:rsidR="006E32D4" w:rsidRPr="000336D1">
        <w:rPr>
          <w:rFonts w:asciiTheme="minorHAnsi" w:hAnsiTheme="minorHAnsi"/>
          <w:color w:val="000000" w:themeColor="text1"/>
          <w:szCs w:val="22"/>
        </w:rPr>
        <w:fldChar w:fldCharType="end"/>
      </w:r>
      <w:r w:rsidRPr="000336D1">
        <w:rPr>
          <w:rFonts w:asciiTheme="minorHAnsi" w:hAnsiTheme="minorHAnsi"/>
          <w:color w:val="000000" w:themeColor="text1"/>
          <w:szCs w:val="22"/>
        </w:rPr>
        <w:t>).</w:t>
      </w:r>
    </w:p>
    <w:p w14:paraId="5843F6CC" w14:textId="77777777" w:rsidR="006E32D4" w:rsidRDefault="002D353D" w:rsidP="006E32D4">
      <w:pPr>
        <w:spacing w:before="240" w:after="0"/>
        <w:jc w:val="center"/>
        <w:rPr>
          <w:color w:val="000000"/>
          <w:szCs w:val="22"/>
        </w:rPr>
      </w:pPr>
      <w:r>
        <w:rPr>
          <w:noProof/>
          <w:color w:val="000000"/>
          <w:szCs w:val="22"/>
          <w:lang w:eastAsia="en-AU"/>
        </w:rPr>
        <w:drawing>
          <wp:inline distT="0" distB="0" distL="0" distR="0" wp14:anchorId="3521960D" wp14:editId="162E8148">
            <wp:extent cx="4319846" cy="2333321"/>
            <wp:effectExtent l="0" t="0" r="5080" b="0"/>
            <wp:docPr id="6" name="Picture 6" descr="Panel of four scatter plots with straight lines and markers showing report card of seagrass condition (indicators and index) for the Cape York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DEX_CY_2016.png"/>
                    <pic:cNvPicPr/>
                  </pic:nvPicPr>
                  <pic:blipFill>
                    <a:blip r:embed="rId68">
                      <a:extLst>
                        <a:ext uri="{28A0092B-C50C-407E-A947-70E740481C1C}">
                          <a14:useLocalDpi xmlns:a14="http://schemas.microsoft.com/office/drawing/2010/main" val="0"/>
                        </a:ext>
                      </a:extLst>
                    </a:blip>
                    <a:stretch>
                      <a:fillRect/>
                    </a:stretch>
                  </pic:blipFill>
                  <pic:spPr>
                    <a:xfrm>
                      <a:off x="0" y="0"/>
                      <a:ext cx="4319846" cy="2333321"/>
                    </a:xfrm>
                    <a:prstGeom prst="rect">
                      <a:avLst/>
                    </a:prstGeom>
                  </pic:spPr>
                </pic:pic>
              </a:graphicData>
            </a:graphic>
          </wp:inline>
        </w:drawing>
      </w:r>
    </w:p>
    <w:p w14:paraId="425FD56A" w14:textId="299BB5B5" w:rsidR="006E32D4" w:rsidRPr="00120417" w:rsidRDefault="006E32D4" w:rsidP="006E32D4">
      <w:pPr>
        <w:rPr>
          <w:i/>
          <w:vanish/>
          <w:color w:val="000000"/>
          <w:szCs w:val="22"/>
          <w:specVanish/>
        </w:rPr>
      </w:pPr>
      <w:bookmarkStart w:id="217" w:name="_Ref385233470"/>
      <w:bookmarkStart w:id="218" w:name="_Toc431493825"/>
      <w:bookmarkStart w:id="219" w:name="_Toc516053241"/>
      <w:r w:rsidRPr="00120417">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31</w:t>
      </w:r>
      <w:r>
        <w:rPr>
          <w:color w:val="000000"/>
        </w:rPr>
        <w:fldChar w:fldCharType="end"/>
      </w:r>
      <w:bookmarkEnd w:id="217"/>
      <w:r w:rsidRPr="00120417">
        <w:rPr>
          <w:color w:val="000000"/>
        </w:rPr>
        <w:t xml:space="preserve">. </w:t>
      </w:r>
      <w:r w:rsidRPr="00120417">
        <w:rPr>
          <w:i/>
          <w:color w:val="000000"/>
          <w:szCs w:val="22"/>
        </w:rPr>
        <w:t xml:space="preserve">Report card of seagrass </w:t>
      </w:r>
      <w:r>
        <w:rPr>
          <w:i/>
          <w:color w:val="000000"/>
          <w:szCs w:val="22"/>
        </w:rPr>
        <w:t>condition</w:t>
      </w:r>
      <w:r w:rsidRPr="00120417">
        <w:rPr>
          <w:i/>
          <w:color w:val="000000"/>
          <w:szCs w:val="22"/>
        </w:rPr>
        <w:t xml:space="preserve"> </w:t>
      </w:r>
      <w:r>
        <w:rPr>
          <w:i/>
          <w:color w:val="000000"/>
          <w:szCs w:val="22"/>
        </w:rPr>
        <w:t>(</w:t>
      </w:r>
      <w:r w:rsidRPr="00120417">
        <w:rPr>
          <w:i/>
          <w:color w:val="000000"/>
          <w:szCs w:val="22"/>
        </w:rPr>
        <w:t>indicators and index</w:t>
      </w:r>
      <w:r>
        <w:rPr>
          <w:i/>
          <w:color w:val="000000"/>
          <w:szCs w:val="22"/>
        </w:rPr>
        <w:t>)</w:t>
      </w:r>
      <w:r w:rsidRPr="00120417">
        <w:rPr>
          <w:i/>
          <w:color w:val="000000"/>
          <w:szCs w:val="22"/>
        </w:rPr>
        <w:t xml:space="preserve"> for the Cape York NRM region</w:t>
      </w:r>
      <w:bookmarkEnd w:id="218"/>
      <w:bookmarkEnd w:id="219"/>
    </w:p>
    <w:p w14:paraId="718B0D29" w14:textId="75CF0E29" w:rsidR="000336D1" w:rsidRDefault="006E32D4" w:rsidP="006E32D4">
      <w:pPr>
        <w:rPr>
          <w:i/>
          <w:szCs w:val="22"/>
        </w:rPr>
      </w:pPr>
      <w:r w:rsidRPr="00120417">
        <w:rPr>
          <w:i/>
          <w:color w:val="000000"/>
          <w:szCs w:val="22"/>
        </w:rPr>
        <w:t xml:space="preserve"> </w:t>
      </w:r>
      <w:r w:rsidRPr="001227E6">
        <w:rPr>
          <w:i/>
          <w:szCs w:val="22"/>
        </w:rPr>
        <w:t xml:space="preserve">(averaged across habitats and sites). </w:t>
      </w:r>
      <w:r w:rsidR="001227E6" w:rsidRPr="001227E6">
        <w:rPr>
          <w:i/>
          <w:szCs w:val="22"/>
        </w:rPr>
        <w:t xml:space="preserve">Bold symbol = </w:t>
      </w:r>
      <w:r w:rsidR="008574EC">
        <w:rPr>
          <w:i/>
          <w:szCs w:val="22"/>
        </w:rPr>
        <w:t>2016–17</w:t>
      </w:r>
      <w:r w:rsidR="001227E6" w:rsidRPr="001227E6">
        <w:rPr>
          <w:i/>
          <w:szCs w:val="22"/>
        </w:rPr>
        <w:t xml:space="preserve"> monitoring period. </w:t>
      </w:r>
      <w:r w:rsidRPr="001227E6">
        <w:rPr>
          <w:i/>
          <w:szCs w:val="22"/>
        </w:rPr>
        <w:t xml:space="preserve">Values are indexed </w:t>
      </w:r>
      <w:r w:rsidRPr="00E237C6">
        <w:rPr>
          <w:i/>
          <w:szCs w:val="22"/>
        </w:rPr>
        <w:t xml:space="preserve">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74A8F263" w14:textId="77777777" w:rsidR="0069228A" w:rsidRPr="000C1040" w:rsidRDefault="000336D1" w:rsidP="0069228A">
      <w:pPr>
        <w:pStyle w:val="Heading3"/>
        <w:numPr>
          <w:ilvl w:val="2"/>
          <w:numId w:val="9"/>
        </w:numPr>
        <w:rPr>
          <w:rFonts w:ascii="Arial" w:hAnsi="Arial" w:cs="Arial"/>
          <w:color w:val="000000"/>
        </w:rPr>
      </w:pPr>
      <w:r>
        <w:rPr>
          <w:i/>
          <w:szCs w:val="22"/>
        </w:rPr>
        <w:br w:type="column"/>
      </w:r>
      <w:bookmarkStart w:id="220" w:name="_Toc516053139"/>
      <w:r w:rsidR="0069228A" w:rsidRPr="000C1040">
        <w:rPr>
          <w:rFonts w:ascii="Arial" w:hAnsi="Arial" w:cs="Arial"/>
          <w:color w:val="000000"/>
        </w:rPr>
        <w:t>Climate and environmental pressures</w:t>
      </w:r>
      <w:bookmarkEnd w:id="220"/>
    </w:p>
    <w:p w14:paraId="47B6F485" w14:textId="235F2106" w:rsidR="00906FE6" w:rsidRPr="00154304" w:rsidRDefault="003A06A4" w:rsidP="00906FE6">
      <w:pPr>
        <w:rPr>
          <w:szCs w:val="22"/>
        </w:rPr>
      </w:pPr>
      <w:r w:rsidRPr="00DF41E4">
        <w:rPr>
          <w:color w:val="000000" w:themeColor="text1"/>
        </w:rPr>
        <w:t xml:space="preserve">Rainfall </w:t>
      </w:r>
      <w:r w:rsidR="00DF41E4" w:rsidRPr="00DF41E4">
        <w:rPr>
          <w:color w:val="000000" w:themeColor="text1"/>
        </w:rPr>
        <w:t xml:space="preserve">during the wet season was below the long-term average </w:t>
      </w:r>
      <w:r w:rsidR="00754DE9" w:rsidRPr="00DF41E4">
        <w:rPr>
          <w:color w:val="000000" w:themeColor="text1"/>
        </w:rPr>
        <w:t xml:space="preserve">in </w:t>
      </w:r>
      <w:r w:rsidR="008574EC">
        <w:rPr>
          <w:color w:val="000000" w:themeColor="text1"/>
        </w:rPr>
        <w:t>2016–17</w:t>
      </w:r>
      <w:r w:rsidR="00754DE9" w:rsidRPr="00DF41E4">
        <w:rPr>
          <w:color w:val="000000" w:themeColor="text1"/>
        </w:rPr>
        <w:t xml:space="preserve"> </w:t>
      </w:r>
      <w:r w:rsidR="00DF41E4" w:rsidRPr="00DF41E4">
        <w:rPr>
          <w:color w:val="000000" w:themeColor="text1"/>
        </w:rPr>
        <w:t xml:space="preserve">particularly in the largest </w:t>
      </w:r>
      <w:r w:rsidR="0049600F">
        <w:rPr>
          <w:color w:val="000000" w:themeColor="text1"/>
        </w:rPr>
        <w:t>b</w:t>
      </w:r>
      <w:r w:rsidR="00DF41E4" w:rsidRPr="00DF41E4">
        <w:rPr>
          <w:color w:val="000000" w:themeColor="text1"/>
        </w:rPr>
        <w:t>asin within the region, the Normanby River. Discharge was slightly above</w:t>
      </w:r>
      <w:r w:rsidR="0049600F">
        <w:rPr>
          <w:color w:val="000000" w:themeColor="text1"/>
        </w:rPr>
        <w:t>-</w:t>
      </w:r>
      <w:r w:rsidR="00DF41E4" w:rsidRPr="00DF41E4">
        <w:rPr>
          <w:color w:val="000000" w:themeColor="text1"/>
        </w:rPr>
        <w:t xml:space="preserve">average for the region as a whole, except in the Normanby and Stewart River </w:t>
      </w:r>
      <w:r w:rsidR="0049600F">
        <w:rPr>
          <w:color w:val="000000" w:themeColor="text1"/>
        </w:rPr>
        <w:t>b</w:t>
      </w:r>
      <w:r w:rsidR="00DF41E4" w:rsidRPr="00DF41E4">
        <w:rPr>
          <w:color w:val="000000" w:themeColor="text1"/>
        </w:rPr>
        <w:t xml:space="preserve">asins in which discharge was similar </w:t>
      </w:r>
      <w:r w:rsidR="00DF41E4" w:rsidRPr="00F125BC">
        <w:t xml:space="preserve">to the long-term median </w:t>
      </w:r>
      <w:r w:rsidR="002B494C" w:rsidRPr="00F125BC">
        <w:t>(</w:t>
      </w:r>
      <w:r w:rsidR="002B494C" w:rsidRPr="00F125BC">
        <w:fldChar w:fldCharType="begin"/>
      </w:r>
      <w:r w:rsidR="002B494C" w:rsidRPr="00F125BC">
        <w:instrText xml:space="preserve"> REF _Ref442423803 \h </w:instrText>
      </w:r>
      <w:r w:rsidR="002B494C" w:rsidRPr="00F125BC">
        <w:fldChar w:fldCharType="separate"/>
      </w:r>
      <w:r w:rsidR="00F87DF9">
        <w:t xml:space="preserve">Table </w:t>
      </w:r>
      <w:r w:rsidR="00F87DF9">
        <w:rPr>
          <w:noProof/>
        </w:rPr>
        <w:t>12</w:t>
      </w:r>
      <w:r w:rsidR="002B494C" w:rsidRPr="00F125BC">
        <w:fldChar w:fldCharType="end"/>
      </w:r>
      <w:r w:rsidR="002B494C" w:rsidRPr="00F125BC">
        <w:t>)</w:t>
      </w:r>
      <w:r w:rsidR="00685BA0" w:rsidRPr="00F125BC">
        <w:t xml:space="preserve">. </w:t>
      </w:r>
      <w:r w:rsidR="00DF41E4" w:rsidRPr="00F125BC">
        <w:t>W</w:t>
      </w:r>
      <w:r w:rsidR="00685BA0" w:rsidRPr="00F125BC">
        <w:t xml:space="preserve">ind was </w:t>
      </w:r>
      <w:r w:rsidR="00DF41E4" w:rsidRPr="00F125BC">
        <w:t>below</w:t>
      </w:r>
      <w:r w:rsidR="00685BA0" w:rsidRPr="00F125BC">
        <w:t xml:space="preserve"> the long-term average </w:t>
      </w:r>
      <w:r w:rsidR="00DF41E4" w:rsidRPr="00F125BC">
        <w:t>following two previous years of windy conditions</w:t>
      </w:r>
      <w:r w:rsidR="00685BA0" w:rsidRPr="00F125BC">
        <w:t xml:space="preserve">. </w:t>
      </w:r>
      <w:r w:rsidR="00906FE6" w:rsidRPr="00F125BC">
        <w:t>The inshore waters of Cape York had predominantly secondary water type</w:t>
      </w:r>
      <w:r w:rsidR="00754DE9" w:rsidRPr="00F125BC">
        <w:t xml:space="preserve"> (</w:t>
      </w:r>
      <w:r w:rsidR="00523918" w:rsidRPr="00F125BC">
        <w:t>‘</w:t>
      </w:r>
      <w:r w:rsidR="00754DE9" w:rsidRPr="00F125BC">
        <w:t>green</w:t>
      </w:r>
      <w:r w:rsidR="00523918" w:rsidRPr="00F125BC">
        <w:t>’</w:t>
      </w:r>
      <w:r w:rsidR="00754DE9" w:rsidRPr="00F125BC">
        <w:t>, phytoplankton rich water)</w:t>
      </w:r>
      <w:r w:rsidR="00906FE6" w:rsidRPr="00F125BC">
        <w:t xml:space="preserve">, and some </w:t>
      </w:r>
      <w:r w:rsidR="00523918" w:rsidRPr="00F125BC">
        <w:t xml:space="preserve">‘brown’ </w:t>
      </w:r>
      <w:r w:rsidR="00754DE9" w:rsidRPr="00F125BC">
        <w:t>turbid</w:t>
      </w:r>
      <w:r w:rsidR="00523918" w:rsidRPr="00F125BC">
        <w:t xml:space="preserve"> water</w:t>
      </w:r>
      <w:r w:rsidR="00754DE9" w:rsidRPr="00F125BC">
        <w:t xml:space="preserve"> </w:t>
      </w:r>
      <w:r w:rsidR="00906FE6" w:rsidRPr="00F125BC">
        <w:t>exposure through the wet season (</w:t>
      </w:r>
      <w:r w:rsidR="00523918" w:rsidRPr="00F125BC">
        <w:t>December</w:t>
      </w:r>
      <w:r w:rsidR="00906FE6" w:rsidRPr="00F125BC">
        <w:t>-April</w:t>
      </w:r>
      <w:r w:rsidR="00E5349B" w:rsidRPr="00F125BC">
        <w:t>;</w:t>
      </w:r>
      <w:r w:rsidR="00523918" w:rsidRPr="00F125BC">
        <w:t xml:space="preserve"> </w:t>
      </w:r>
      <w:r w:rsidR="00523918" w:rsidRPr="00F125BC">
        <w:fldChar w:fldCharType="begin"/>
      </w:r>
      <w:r w:rsidR="00523918" w:rsidRPr="00F125BC">
        <w:instrText xml:space="preserve"> REF _Ref442423849 \h </w:instrText>
      </w:r>
      <w:r w:rsidR="00523918" w:rsidRPr="00F125BC">
        <w:fldChar w:fldCharType="separate"/>
      </w:r>
      <w:r w:rsidR="00F87DF9">
        <w:t>T</w:t>
      </w:r>
      <w:r w:rsidR="00F87DF9" w:rsidRPr="008F457F">
        <w:t xml:space="preserve">able </w:t>
      </w:r>
      <w:r w:rsidR="00F87DF9">
        <w:rPr>
          <w:noProof/>
        </w:rPr>
        <w:t>13</w:t>
      </w:r>
      <w:r w:rsidR="00523918" w:rsidRPr="00F125BC">
        <w:fldChar w:fldCharType="end"/>
      </w:r>
      <w:r w:rsidR="00E5349B" w:rsidRPr="00F125BC">
        <w:t xml:space="preserve">, </w:t>
      </w:r>
      <w:r w:rsidR="002B494C" w:rsidRPr="00F125BC">
        <w:rPr>
          <w:highlight w:val="yellow"/>
        </w:rPr>
        <w:fldChar w:fldCharType="begin"/>
      </w:r>
      <w:r w:rsidR="002B494C" w:rsidRPr="00F125BC">
        <w:instrText xml:space="preserve"> REF _Ref442423831 \h </w:instrText>
      </w:r>
      <w:r w:rsidR="002B494C" w:rsidRPr="00F125BC">
        <w:rPr>
          <w:highlight w:val="yellow"/>
        </w:rPr>
      </w:r>
      <w:r w:rsidR="002B494C" w:rsidRPr="00F125BC">
        <w:rPr>
          <w:highlight w:val="yellow"/>
        </w:rPr>
        <w:fldChar w:fldCharType="separate"/>
      </w:r>
      <w:r w:rsidR="00F87DF9" w:rsidRPr="007B7122">
        <w:t xml:space="preserve">Figure </w:t>
      </w:r>
      <w:r w:rsidR="00F87DF9">
        <w:rPr>
          <w:noProof/>
        </w:rPr>
        <w:t>32</w:t>
      </w:r>
      <w:r w:rsidR="002B494C" w:rsidRPr="00F125BC">
        <w:rPr>
          <w:highlight w:val="yellow"/>
        </w:rPr>
        <w:fldChar w:fldCharType="end"/>
      </w:r>
      <w:r w:rsidR="000172D4" w:rsidRPr="00F125BC">
        <w:t xml:space="preserve">). </w:t>
      </w:r>
      <w:r w:rsidR="00523918" w:rsidRPr="00F125BC">
        <w:t>Shellburne</w:t>
      </w:r>
      <w:r w:rsidR="000172D4" w:rsidRPr="00F125BC">
        <w:t xml:space="preserve"> Bay had the highest expo</w:t>
      </w:r>
      <w:r w:rsidR="00523918" w:rsidRPr="00F125BC">
        <w:t>sure to turbid primary water (</w:t>
      </w:r>
      <w:r w:rsidR="00523918" w:rsidRPr="00F125BC">
        <w:rPr>
          <w:i/>
        </w:rPr>
        <w:t>f</w:t>
      </w:r>
      <w:r w:rsidR="00523918" w:rsidRPr="00F125BC">
        <w:rPr>
          <w:vertAlign w:val="subscript"/>
        </w:rPr>
        <w:t>P</w:t>
      </w:r>
      <w:r w:rsidR="00523918" w:rsidRPr="00F125BC">
        <w:t xml:space="preserve"> = 79</w:t>
      </w:r>
      <w:r w:rsidR="0063478C" w:rsidRPr="00F125BC">
        <w:t xml:space="preserve"> per cent</w:t>
      </w:r>
      <w:r w:rsidR="000172D4" w:rsidRPr="00F125BC">
        <w:t xml:space="preserve"> weeks). The </w:t>
      </w:r>
      <w:r w:rsidR="00906FE6" w:rsidRPr="00F125BC">
        <w:t>frequency of exposure to both</w:t>
      </w:r>
      <w:r w:rsidR="00523918" w:rsidRPr="00F125BC">
        <w:t xml:space="preserve"> ‘brown’ and ‘green’ water</w:t>
      </w:r>
      <w:r w:rsidR="00906FE6" w:rsidRPr="00F125BC">
        <w:t xml:space="preserve"> </w:t>
      </w:r>
      <w:r w:rsidR="00906FE6" w:rsidRPr="00523918">
        <w:rPr>
          <w:color w:val="000000" w:themeColor="text1"/>
        </w:rPr>
        <w:t>(</w:t>
      </w:r>
      <w:r w:rsidR="00906FE6" w:rsidRPr="00523918">
        <w:rPr>
          <w:i/>
          <w:color w:val="000000" w:themeColor="text1"/>
        </w:rPr>
        <w:t>f</w:t>
      </w:r>
      <w:r w:rsidR="00906FE6" w:rsidRPr="00523918">
        <w:rPr>
          <w:color w:val="000000" w:themeColor="text1"/>
          <w:vertAlign w:val="subscript"/>
        </w:rPr>
        <w:t>(P+S)</w:t>
      </w:r>
      <w:r w:rsidR="000172D4" w:rsidRPr="00523918">
        <w:rPr>
          <w:color w:val="000000" w:themeColor="text1"/>
        </w:rPr>
        <w:t>) ranged</w:t>
      </w:r>
      <w:r w:rsidR="00754DE9" w:rsidRPr="00523918">
        <w:rPr>
          <w:color w:val="000000" w:themeColor="text1"/>
        </w:rPr>
        <w:t xml:space="preserve"> from 2</w:t>
      </w:r>
      <w:r w:rsidR="00523918" w:rsidRPr="00523918">
        <w:rPr>
          <w:color w:val="000000" w:themeColor="text1"/>
        </w:rPr>
        <w:t>1</w:t>
      </w:r>
      <w:r w:rsidR="0063478C" w:rsidRPr="00523918">
        <w:rPr>
          <w:color w:val="000000" w:themeColor="text1"/>
        </w:rPr>
        <w:t xml:space="preserve"> per cent</w:t>
      </w:r>
      <w:r w:rsidR="00906FE6" w:rsidRPr="00523918">
        <w:rPr>
          <w:color w:val="000000" w:themeColor="text1"/>
        </w:rPr>
        <w:t xml:space="preserve"> to </w:t>
      </w:r>
      <w:r w:rsidR="00523918" w:rsidRPr="00523918">
        <w:rPr>
          <w:color w:val="000000" w:themeColor="text1"/>
        </w:rPr>
        <w:t>94</w:t>
      </w:r>
      <w:r w:rsidR="0063478C" w:rsidRPr="00523918">
        <w:rPr>
          <w:color w:val="000000" w:themeColor="text1"/>
        </w:rPr>
        <w:t xml:space="preserve"> per cent</w:t>
      </w:r>
      <w:r w:rsidR="00906FE6" w:rsidRPr="00523918">
        <w:rPr>
          <w:color w:val="000000" w:themeColor="text1"/>
        </w:rPr>
        <w:t xml:space="preserve"> of weeks at seagrass monitoring sites (</w:t>
      </w:r>
      <w:r w:rsidR="009867A3" w:rsidRPr="00523918">
        <w:rPr>
          <w:color w:val="000000" w:themeColor="text1"/>
        </w:rPr>
        <w:t>Table 13</w:t>
      </w:r>
      <w:r w:rsidR="00906FE6" w:rsidRPr="00523918">
        <w:rPr>
          <w:color w:val="000000" w:themeColor="text1"/>
        </w:rPr>
        <w:t xml:space="preserve">). </w:t>
      </w:r>
    </w:p>
    <w:p w14:paraId="50CF6A5B" w14:textId="1382ACD6" w:rsidR="00906FE6" w:rsidRPr="008925B3" w:rsidRDefault="008925B3" w:rsidP="002B494C">
      <w:pPr>
        <w:jc w:val="center"/>
        <w:rPr>
          <w:i/>
        </w:rPr>
      </w:pPr>
      <w:bookmarkStart w:id="221" w:name="_Ref442423803"/>
      <w:bookmarkStart w:id="222" w:name="_Ref473615498"/>
      <w:bookmarkStart w:id="223" w:name="_Toc516053436"/>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12</w:t>
      </w:r>
      <w:r w:rsidR="00C506C7">
        <w:rPr>
          <w:noProof/>
        </w:rPr>
        <w:fldChar w:fldCharType="end"/>
      </w:r>
      <w:bookmarkEnd w:id="221"/>
      <w:r>
        <w:t xml:space="preserve">.  </w:t>
      </w:r>
      <w:r w:rsidR="00906FE6" w:rsidRPr="008925B3">
        <w:rPr>
          <w:i/>
        </w:rPr>
        <w:t xml:space="preserve">Summary of environmental conditions at monitoring sites in Cape York </w:t>
      </w:r>
      <w:r>
        <w:rPr>
          <w:i/>
        </w:rPr>
        <w:t xml:space="preserve">region </w:t>
      </w:r>
      <w:r w:rsidR="00906FE6" w:rsidRPr="008925B3">
        <w:rPr>
          <w:i/>
        </w:rPr>
        <w:t xml:space="preserve">in </w:t>
      </w:r>
      <w:r w:rsidR="008574EC">
        <w:rPr>
          <w:i/>
        </w:rPr>
        <w:t>2016–17</w:t>
      </w:r>
      <w:r w:rsidR="00906FE6" w:rsidRPr="008925B3">
        <w:rPr>
          <w:i/>
        </w:rPr>
        <w:t xml:space="preserve"> compared to the long-term average (long-term range indicated for each data set).</w:t>
      </w:r>
      <w:bookmarkEnd w:id="222"/>
      <w:bookmarkEnd w:id="223"/>
    </w:p>
    <w:tbl>
      <w:tblPr>
        <w:tblW w:w="0" w:type="auto"/>
        <w:jc w:val="center"/>
        <w:tblBorders>
          <w:bottom w:val="single" w:sz="4" w:space="0" w:color="auto"/>
        </w:tblBorders>
        <w:tblLook w:val="04A0" w:firstRow="1" w:lastRow="0" w:firstColumn="1" w:lastColumn="0" w:noHBand="0" w:noVBand="1"/>
      </w:tblPr>
      <w:tblGrid>
        <w:gridCol w:w="3652"/>
        <w:gridCol w:w="2268"/>
        <w:gridCol w:w="1712"/>
      </w:tblGrid>
      <w:tr w:rsidR="00906FE6" w:rsidRPr="00121CDB" w14:paraId="481B827F" w14:textId="77777777" w:rsidTr="0059610E">
        <w:trPr>
          <w:trHeight w:val="227"/>
          <w:jc w:val="center"/>
        </w:trPr>
        <w:tc>
          <w:tcPr>
            <w:tcW w:w="3652" w:type="dxa"/>
            <w:tcBorders>
              <w:top w:val="single" w:sz="4" w:space="0" w:color="auto"/>
              <w:bottom w:val="single" w:sz="4" w:space="0" w:color="auto"/>
            </w:tcBorders>
            <w:shd w:val="clear" w:color="auto" w:fill="BBE0E3"/>
          </w:tcPr>
          <w:p w14:paraId="40300F4F" w14:textId="77777777" w:rsidR="00906FE6" w:rsidRPr="00121CDB" w:rsidRDefault="00906FE6"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0EC812E8" w14:textId="77777777" w:rsidR="00906FE6" w:rsidRPr="00121CDB" w:rsidRDefault="00906FE6" w:rsidP="0059610E">
            <w:pPr>
              <w:spacing w:before="0" w:after="0"/>
              <w:rPr>
                <w:b/>
                <w:sz w:val="18"/>
                <w:szCs w:val="18"/>
              </w:rPr>
            </w:pPr>
            <w:r w:rsidRPr="00121CDB">
              <w:rPr>
                <w:b/>
                <w:sz w:val="18"/>
                <w:szCs w:val="18"/>
              </w:rPr>
              <w:t>Long-term average</w:t>
            </w:r>
          </w:p>
        </w:tc>
        <w:tc>
          <w:tcPr>
            <w:tcW w:w="1712" w:type="dxa"/>
            <w:tcBorders>
              <w:top w:val="single" w:sz="4" w:space="0" w:color="auto"/>
              <w:bottom w:val="single" w:sz="4" w:space="0" w:color="auto"/>
            </w:tcBorders>
            <w:shd w:val="clear" w:color="auto" w:fill="BBE0E3"/>
          </w:tcPr>
          <w:p w14:paraId="2C8A1384" w14:textId="172D566D" w:rsidR="00906FE6" w:rsidRPr="00121CDB" w:rsidRDefault="008574EC" w:rsidP="002D353D">
            <w:pPr>
              <w:spacing w:before="0" w:after="0"/>
              <w:rPr>
                <w:b/>
                <w:sz w:val="18"/>
                <w:szCs w:val="18"/>
              </w:rPr>
            </w:pPr>
            <w:r>
              <w:rPr>
                <w:b/>
                <w:sz w:val="18"/>
                <w:szCs w:val="18"/>
              </w:rPr>
              <w:t>2016–17</w:t>
            </w:r>
          </w:p>
        </w:tc>
      </w:tr>
      <w:tr w:rsidR="00906FE6" w:rsidRPr="00121CDB" w14:paraId="6CF1FE6E" w14:textId="77777777" w:rsidTr="0059610E">
        <w:trPr>
          <w:trHeight w:val="227"/>
          <w:jc w:val="center"/>
        </w:trPr>
        <w:tc>
          <w:tcPr>
            <w:tcW w:w="3652" w:type="dxa"/>
            <w:shd w:val="clear" w:color="auto" w:fill="E7F3F4"/>
          </w:tcPr>
          <w:p w14:paraId="626A3048" w14:textId="072D736A" w:rsidR="00906FE6" w:rsidRPr="00121CDB" w:rsidRDefault="00906FE6" w:rsidP="002D0EAA">
            <w:pPr>
              <w:spacing w:before="0" w:after="0"/>
              <w:rPr>
                <w:sz w:val="18"/>
                <w:szCs w:val="18"/>
              </w:rPr>
            </w:pPr>
            <w:r w:rsidRPr="00121CDB">
              <w:rPr>
                <w:sz w:val="18"/>
                <w:szCs w:val="18"/>
              </w:rPr>
              <w:t>Rainfall</w:t>
            </w:r>
            <w:r w:rsidR="001D30DD" w:rsidRPr="00121CDB">
              <w:rPr>
                <w:sz w:val="18"/>
                <w:szCs w:val="18"/>
              </w:rPr>
              <w:t xml:space="preserve"> (1965</w:t>
            </w:r>
            <w:r w:rsidR="00A9188E" w:rsidRPr="00121CDB">
              <w:rPr>
                <w:sz w:val="18"/>
                <w:szCs w:val="18"/>
              </w:rPr>
              <w:t>-201</w:t>
            </w:r>
            <w:r w:rsidR="002D0EAA" w:rsidRPr="00121CDB">
              <w:rPr>
                <w:sz w:val="18"/>
                <w:szCs w:val="18"/>
              </w:rPr>
              <w:t>7</w:t>
            </w:r>
            <w:r w:rsidRPr="00121CDB">
              <w:rPr>
                <w:sz w:val="18"/>
                <w:szCs w:val="18"/>
              </w:rPr>
              <w:t>)</w:t>
            </w:r>
          </w:p>
        </w:tc>
        <w:tc>
          <w:tcPr>
            <w:tcW w:w="2268" w:type="dxa"/>
            <w:shd w:val="clear" w:color="auto" w:fill="E7F3F4"/>
          </w:tcPr>
          <w:p w14:paraId="1ECB1472" w14:textId="4D5C0216" w:rsidR="00906FE6" w:rsidRPr="00121CDB" w:rsidRDefault="00DF41E4" w:rsidP="0059610E">
            <w:pPr>
              <w:spacing w:before="0" w:after="0"/>
              <w:rPr>
                <w:sz w:val="18"/>
                <w:szCs w:val="18"/>
              </w:rPr>
            </w:pPr>
            <w:r w:rsidRPr="00121CDB">
              <w:rPr>
                <w:sz w:val="18"/>
                <w:szCs w:val="18"/>
              </w:rPr>
              <w:t>8.1</w:t>
            </w:r>
            <w:r w:rsidR="00906FE6" w:rsidRPr="00121CDB">
              <w:rPr>
                <w:sz w:val="18"/>
                <w:szCs w:val="18"/>
              </w:rPr>
              <w:t xml:space="preserve"> mm</w:t>
            </w:r>
            <w:r w:rsidRPr="00121CDB">
              <w:rPr>
                <w:sz w:val="18"/>
                <w:szCs w:val="18"/>
              </w:rPr>
              <w:t xml:space="preserve"> d</w:t>
            </w:r>
            <w:r w:rsidRPr="00121CDB">
              <w:rPr>
                <w:sz w:val="18"/>
                <w:szCs w:val="18"/>
                <w:vertAlign w:val="superscript"/>
              </w:rPr>
              <w:t>-1</w:t>
            </w:r>
          </w:p>
        </w:tc>
        <w:tc>
          <w:tcPr>
            <w:tcW w:w="1712" w:type="dxa"/>
            <w:shd w:val="clear" w:color="auto" w:fill="E7F3F4"/>
          </w:tcPr>
          <w:p w14:paraId="6FDC2E88" w14:textId="084AECB2" w:rsidR="00906FE6" w:rsidRPr="00121CDB" w:rsidRDefault="00DF41E4" w:rsidP="0059610E">
            <w:pPr>
              <w:spacing w:before="0" w:after="0"/>
              <w:rPr>
                <w:sz w:val="18"/>
                <w:szCs w:val="18"/>
              </w:rPr>
            </w:pPr>
            <w:r w:rsidRPr="00121CDB">
              <w:rPr>
                <w:sz w:val="18"/>
                <w:szCs w:val="18"/>
              </w:rPr>
              <w:t>6.9 mm d</w:t>
            </w:r>
            <w:r w:rsidRPr="00121CDB">
              <w:rPr>
                <w:sz w:val="18"/>
                <w:szCs w:val="18"/>
                <w:vertAlign w:val="superscript"/>
              </w:rPr>
              <w:t>-1</w:t>
            </w:r>
          </w:p>
        </w:tc>
      </w:tr>
      <w:tr w:rsidR="00906FE6" w:rsidRPr="00121CDB" w14:paraId="1971672C" w14:textId="77777777" w:rsidTr="0059610E">
        <w:trPr>
          <w:trHeight w:val="227"/>
          <w:jc w:val="center"/>
        </w:trPr>
        <w:tc>
          <w:tcPr>
            <w:tcW w:w="3652" w:type="dxa"/>
            <w:shd w:val="clear" w:color="auto" w:fill="E7F3F4"/>
          </w:tcPr>
          <w:p w14:paraId="1ABAB8E0" w14:textId="3242EA75" w:rsidR="00906FE6" w:rsidRPr="00121CDB" w:rsidRDefault="00A9188E" w:rsidP="002D0EAA">
            <w:pPr>
              <w:spacing w:before="0" w:after="0"/>
              <w:rPr>
                <w:sz w:val="18"/>
                <w:szCs w:val="18"/>
              </w:rPr>
            </w:pPr>
            <w:r w:rsidRPr="00121CDB">
              <w:rPr>
                <w:sz w:val="18"/>
                <w:szCs w:val="18"/>
              </w:rPr>
              <w:t>River discharge (1970-201</w:t>
            </w:r>
            <w:r w:rsidR="002D0EAA" w:rsidRPr="00121CDB">
              <w:rPr>
                <w:sz w:val="18"/>
                <w:szCs w:val="18"/>
              </w:rPr>
              <w:t>7</w:t>
            </w:r>
            <w:r w:rsidR="00906FE6" w:rsidRPr="00121CDB">
              <w:rPr>
                <w:sz w:val="18"/>
                <w:szCs w:val="18"/>
              </w:rPr>
              <w:t>)</w:t>
            </w:r>
          </w:p>
        </w:tc>
        <w:tc>
          <w:tcPr>
            <w:tcW w:w="2268" w:type="dxa"/>
            <w:shd w:val="clear" w:color="auto" w:fill="E7F3F4"/>
          </w:tcPr>
          <w:p w14:paraId="0853270B" w14:textId="48513561" w:rsidR="00906FE6" w:rsidRPr="00121CDB" w:rsidRDefault="001850CB" w:rsidP="0059610E">
            <w:pPr>
              <w:spacing w:before="0" w:after="0"/>
              <w:rPr>
                <w:sz w:val="18"/>
                <w:szCs w:val="18"/>
              </w:rPr>
            </w:pPr>
            <w:r w:rsidRPr="00121CDB">
              <w:rPr>
                <w:sz w:val="18"/>
                <w:szCs w:val="18"/>
              </w:rPr>
              <w:t>13,166</w:t>
            </w:r>
            <w:r w:rsidR="00BC296C" w:rsidRPr="00121CDB">
              <w:rPr>
                <w:sz w:val="18"/>
                <w:szCs w:val="18"/>
              </w:rPr>
              <w:t>,</w:t>
            </w:r>
            <w:r w:rsidRPr="00121CDB">
              <w:rPr>
                <w:sz w:val="18"/>
                <w:szCs w:val="18"/>
              </w:rPr>
              <w:t>623</w:t>
            </w:r>
            <w:r w:rsidR="00715400" w:rsidRPr="00121CDB">
              <w:rPr>
                <w:sz w:val="18"/>
                <w:szCs w:val="18"/>
              </w:rPr>
              <w:t xml:space="preserve"> </w:t>
            </w:r>
            <w:r w:rsidR="00906FE6" w:rsidRPr="00121CDB">
              <w:rPr>
                <w:sz w:val="18"/>
                <w:szCs w:val="18"/>
              </w:rPr>
              <w:t>L yr</w:t>
            </w:r>
            <w:r w:rsidR="00906FE6" w:rsidRPr="00121CDB">
              <w:rPr>
                <w:sz w:val="18"/>
                <w:szCs w:val="18"/>
                <w:vertAlign w:val="superscript"/>
              </w:rPr>
              <w:t>-1</w:t>
            </w:r>
          </w:p>
        </w:tc>
        <w:tc>
          <w:tcPr>
            <w:tcW w:w="1712" w:type="dxa"/>
            <w:shd w:val="clear" w:color="auto" w:fill="E7F3F4"/>
          </w:tcPr>
          <w:p w14:paraId="790D9747" w14:textId="1CC4AA7B" w:rsidR="00906FE6" w:rsidRPr="00121CDB" w:rsidRDefault="001850CB" w:rsidP="0059610E">
            <w:pPr>
              <w:spacing w:before="0" w:after="0"/>
              <w:rPr>
                <w:sz w:val="18"/>
                <w:szCs w:val="18"/>
              </w:rPr>
            </w:pPr>
            <w:r w:rsidRPr="00121CDB">
              <w:rPr>
                <w:sz w:val="18"/>
                <w:szCs w:val="18"/>
              </w:rPr>
              <w:t>14,596,810</w:t>
            </w:r>
            <w:r w:rsidR="00906FE6" w:rsidRPr="00121CDB">
              <w:rPr>
                <w:sz w:val="18"/>
                <w:szCs w:val="18"/>
              </w:rPr>
              <w:t>L yr</w:t>
            </w:r>
            <w:r w:rsidR="00906FE6" w:rsidRPr="00121CDB">
              <w:rPr>
                <w:sz w:val="18"/>
                <w:szCs w:val="18"/>
                <w:vertAlign w:val="superscript"/>
              </w:rPr>
              <w:t>-1</w:t>
            </w:r>
          </w:p>
        </w:tc>
      </w:tr>
      <w:tr w:rsidR="00906FE6" w:rsidRPr="00121CDB" w14:paraId="1EF65EBF" w14:textId="77777777" w:rsidTr="0059610E">
        <w:trPr>
          <w:trHeight w:val="227"/>
          <w:jc w:val="center"/>
        </w:trPr>
        <w:tc>
          <w:tcPr>
            <w:tcW w:w="3652" w:type="dxa"/>
            <w:shd w:val="clear" w:color="auto" w:fill="E7F3F4"/>
          </w:tcPr>
          <w:p w14:paraId="2E8FB783" w14:textId="6B79CFF3" w:rsidR="00906FE6" w:rsidRPr="00121CDB" w:rsidRDefault="00F054D3" w:rsidP="002D0EAA">
            <w:pPr>
              <w:spacing w:before="0" w:after="0"/>
              <w:rPr>
                <w:sz w:val="18"/>
                <w:szCs w:val="18"/>
              </w:rPr>
            </w:pPr>
            <w:r w:rsidRPr="00121CDB">
              <w:rPr>
                <w:sz w:val="18"/>
                <w:szCs w:val="18"/>
              </w:rPr>
              <w:t>Turbid water</w:t>
            </w:r>
            <w:r w:rsidR="00A9188E" w:rsidRPr="00121CDB">
              <w:rPr>
                <w:sz w:val="18"/>
                <w:szCs w:val="18"/>
              </w:rPr>
              <w:t xml:space="preserve"> exposure (2006-201</w:t>
            </w:r>
            <w:r w:rsidR="002D0EAA" w:rsidRPr="00121CDB">
              <w:rPr>
                <w:sz w:val="18"/>
                <w:szCs w:val="18"/>
              </w:rPr>
              <w:t>7</w:t>
            </w:r>
            <w:r w:rsidR="00906FE6" w:rsidRPr="00121CDB">
              <w:rPr>
                <w:sz w:val="18"/>
                <w:szCs w:val="18"/>
              </w:rPr>
              <w:t>)</w:t>
            </w:r>
          </w:p>
        </w:tc>
        <w:tc>
          <w:tcPr>
            <w:tcW w:w="2268" w:type="dxa"/>
            <w:shd w:val="clear" w:color="auto" w:fill="E7F3F4"/>
          </w:tcPr>
          <w:p w14:paraId="5A7FDCBA" w14:textId="679BAC60" w:rsidR="00906FE6" w:rsidRPr="00121CDB" w:rsidRDefault="00523918" w:rsidP="0059610E">
            <w:pPr>
              <w:spacing w:before="0" w:after="0"/>
              <w:rPr>
                <w:sz w:val="18"/>
                <w:szCs w:val="18"/>
              </w:rPr>
            </w:pPr>
            <w:r w:rsidRPr="00121CDB">
              <w:rPr>
                <w:sz w:val="18"/>
                <w:szCs w:val="18"/>
              </w:rPr>
              <w:t>83 per cent</w:t>
            </w:r>
          </w:p>
        </w:tc>
        <w:tc>
          <w:tcPr>
            <w:tcW w:w="1712" w:type="dxa"/>
            <w:shd w:val="clear" w:color="auto" w:fill="E7F3F4"/>
          </w:tcPr>
          <w:p w14:paraId="7643B7FD" w14:textId="7024FC57" w:rsidR="00906FE6" w:rsidRPr="00121CDB" w:rsidRDefault="00523918" w:rsidP="0059610E">
            <w:pPr>
              <w:spacing w:before="0" w:after="0"/>
              <w:rPr>
                <w:sz w:val="18"/>
                <w:szCs w:val="18"/>
              </w:rPr>
            </w:pPr>
            <w:r w:rsidRPr="00121CDB">
              <w:rPr>
                <w:sz w:val="18"/>
                <w:szCs w:val="18"/>
              </w:rPr>
              <w:t>81</w:t>
            </w:r>
            <w:r w:rsidR="0063478C" w:rsidRPr="00121CDB">
              <w:rPr>
                <w:sz w:val="18"/>
                <w:szCs w:val="18"/>
              </w:rPr>
              <w:t xml:space="preserve"> per cent</w:t>
            </w:r>
          </w:p>
        </w:tc>
      </w:tr>
      <w:tr w:rsidR="00D337E3" w:rsidRPr="00121CDB" w14:paraId="4782643B" w14:textId="77777777" w:rsidTr="0059610E">
        <w:trPr>
          <w:trHeight w:val="227"/>
          <w:jc w:val="center"/>
        </w:trPr>
        <w:tc>
          <w:tcPr>
            <w:tcW w:w="3652" w:type="dxa"/>
            <w:shd w:val="clear" w:color="auto" w:fill="E7F3F4"/>
          </w:tcPr>
          <w:p w14:paraId="6C9D8659" w14:textId="0F06BA52" w:rsidR="00906FE6" w:rsidRPr="00121CDB" w:rsidRDefault="00906FE6" w:rsidP="002D0EAA">
            <w:pPr>
              <w:spacing w:before="0" w:after="0"/>
              <w:rPr>
                <w:sz w:val="18"/>
                <w:szCs w:val="18"/>
              </w:rPr>
            </w:pPr>
            <w:r w:rsidRPr="00121CDB">
              <w:rPr>
                <w:sz w:val="18"/>
                <w:szCs w:val="18"/>
              </w:rPr>
              <w:t>D</w:t>
            </w:r>
            <w:r w:rsidR="00A9188E" w:rsidRPr="00121CDB">
              <w:rPr>
                <w:sz w:val="18"/>
                <w:szCs w:val="18"/>
              </w:rPr>
              <w:t>aytime tidal exposure (2011-201</w:t>
            </w:r>
            <w:r w:rsidR="002D0EAA" w:rsidRPr="00121CDB">
              <w:rPr>
                <w:sz w:val="18"/>
                <w:szCs w:val="18"/>
              </w:rPr>
              <w:t>7</w:t>
            </w:r>
            <w:r w:rsidRPr="00121CDB">
              <w:rPr>
                <w:sz w:val="18"/>
                <w:szCs w:val="18"/>
              </w:rPr>
              <w:t>)</w:t>
            </w:r>
          </w:p>
        </w:tc>
        <w:tc>
          <w:tcPr>
            <w:tcW w:w="2268" w:type="dxa"/>
            <w:shd w:val="clear" w:color="auto" w:fill="E7F3F4"/>
          </w:tcPr>
          <w:p w14:paraId="7237F0AD" w14:textId="3B124462" w:rsidR="00906FE6" w:rsidRPr="00121CDB" w:rsidRDefault="004F46CD" w:rsidP="00C65677">
            <w:pPr>
              <w:spacing w:before="0" w:after="0"/>
              <w:rPr>
                <w:sz w:val="18"/>
                <w:szCs w:val="18"/>
              </w:rPr>
            </w:pPr>
            <w:r w:rsidRPr="00121CDB">
              <w:rPr>
                <w:sz w:val="18"/>
                <w:szCs w:val="18"/>
              </w:rPr>
              <w:t>70 hr yr</w:t>
            </w:r>
            <w:r w:rsidRPr="00121CDB">
              <w:rPr>
                <w:sz w:val="18"/>
                <w:szCs w:val="18"/>
                <w:vertAlign w:val="superscript"/>
              </w:rPr>
              <w:t>-1</w:t>
            </w:r>
          </w:p>
        </w:tc>
        <w:tc>
          <w:tcPr>
            <w:tcW w:w="1712" w:type="dxa"/>
            <w:shd w:val="clear" w:color="auto" w:fill="E7F3F4"/>
          </w:tcPr>
          <w:p w14:paraId="67190FDC" w14:textId="206DD2DA" w:rsidR="00906FE6" w:rsidRPr="00121CDB" w:rsidRDefault="004F46CD" w:rsidP="0059610E">
            <w:pPr>
              <w:spacing w:before="0" w:after="0"/>
              <w:rPr>
                <w:sz w:val="18"/>
                <w:szCs w:val="18"/>
              </w:rPr>
            </w:pPr>
            <w:r w:rsidRPr="00121CDB">
              <w:rPr>
                <w:sz w:val="18"/>
                <w:szCs w:val="18"/>
              </w:rPr>
              <w:t>86 hr yr</w:t>
            </w:r>
            <w:r w:rsidRPr="00121CDB">
              <w:rPr>
                <w:sz w:val="18"/>
                <w:szCs w:val="18"/>
                <w:vertAlign w:val="superscript"/>
              </w:rPr>
              <w:t>-1</w:t>
            </w:r>
          </w:p>
        </w:tc>
      </w:tr>
      <w:tr w:rsidR="00906FE6" w:rsidRPr="00121CDB" w14:paraId="0D1D1DC0" w14:textId="77777777" w:rsidTr="0059610E">
        <w:trPr>
          <w:trHeight w:val="227"/>
          <w:jc w:val="center"/>
        </w:trPr>
        <w:tc>
          <w:tcPr>
            <w:tcW w:w="3652" w:type="dxa"/>
            <w:tcBorders>
              <w:bottom w:val="single" w:sz="4" w:space="0" w:color="auto"/>
            </w:tcBorders>
            <w:shd w:val="clear" w:color="auto" w:fill="E7F3F4"/>
          </w:tcPr>
          <w:p w14:paraId="704C0831" w14:textId="31086440" w:rsidR="00906FE6" w:rsidRPr="00121CDB" w:rsidRDefault="00906FE6" w:rsidP="002D0EAA">
            <w:pPr>
              <w:spacing w:before="0" w:after="0"/>
              <w:rPr>
                <w:sz w:val="18"/>
                <w:szCs w:val="18"/>
              </w:rPr>
            </w:pPr>
            <w:r w:rsidRPr="00121CDB">
              <w:rPr>
                <w:sz w:val="18"/>
                <w:szCs w:val="18"/>
              </w:rPr>
              <w:t>Wind</w:t>
            </w:r>
            <w:r w:rsidR="00A9188E" w:rsidRPr="00121CDB">
              <w:rPr>
                <w:sz w:val="18"/>
                <w:szCs w:val="18"/>
              </w:rPr>
              <w:t xml:space="preserve"> (2002-201</w:t>
            </w:r>
            <w:r w:rsidR="002D0EAA" w:rsidRPr="00121CDB">
              <w:rPr>
                <w:sz w:val="18"/>
                <w:szCs w:val="18"/>
              </w:rPr>
              <w:t>7</w:t>
            </w:r>
            <w:r w:rsidRPr="00121CDB">
              <w:rPr>
                <w:sz w:val="18"/>
                <w:szCs w:val="18"/>
              </w:rPr>
              <w:t>)</w:t>
            </w:r>
          </w:p>
        </w:tc>
        <w:tc>
          <w:tcPr>
            <w:tcW w:w="2268" w:type="dxa"/>
            <w:tcBorders>
              <w:bottom w:val="single" w:sz="4" w:space="0" w:color="auto"/>
            </w:tcBorders>
            <w:shd w:val="clear" w:color="auto" w:fill="E7F3F4"/>
          </w:tcPr>
          <w:p w14:paraId="2FE33B0F" w14:textId="77CE83DE" w:rsidR="00906FE6" w:rsidRPr="00121CDB" w:rsidRDefault="00D523C4" w:rsidP="0059610E">
            <w:pPr>
              <w:spacing w:before="0" w:after="0"/>
              <w:rPr>
                <w:sz w:val="18"/>
                <w:szCs w:val="18"/>
              </w:rPr>
            </w:pPr>
            <w:r w:rsidRPr="00121CDB">
              <w:rPr>
                <w:sz w:val="18"/>
                <w:szCs w:val="18"/>
              </w:rPr>
              <w:t>126</w:t>
            </w:r>
            <w:r w:rsidR="00906FE6" w:rsidRPr="00121CDB">
              <w:rPr>
                <w:sz w:val="18"/>
                <w:szCs w:val="18"/>
              </w:rPr>
              <w:t xml:space="preserve"> days yr</w:t>
            </w:r>
            <w:r w:rsidR="00906FE6" w:rsidRPr="00121CDB">
              <w:rPr>
                <w:sz w:val="18"/>
                <w:szCs w:val="18"/>
                <w:vertAlign w:val="superscript"/>
              </w:rPr>
              <w:t>-1</w:t>
            </w:r>
          </w:p>
        </w:tc>
        <w:tc>
          <w:tcPr>
            <w:tcW w:w="1712" w:type="dxa"/>
            <w:tcBorders>
              <w:bottom w:val="single" w:sz="4" w:space="0" w:color="auto"/>
            </w:tcBorders>
            <w:shd w:val="clear" w:color="auto" w:fill="E7F3F4"/>
          </w:tcPr>
          <w:p w14:paraId="3B5D80A5" w14:textId="41E6B9C5" w:rsidR="00906FE6" w:rsidRPr="00121CDB" w:rsidRDefault="00D523C4" w:rsidP="0059610E">
            <w:pPr>
              <w:spacing w:before="0" w:after="0"/>
              <w:rPr>
                <w:sz w:val="18"/>
                <w:szCs w:val="18"/>
              </w:rPr>
            </w:pPr>
            <w:r w:rsidRPr="00121CDB">
              <w:rPr>
                <w:sz w:val="18"/>
                <w:szCs w:val="18"/>
              </w:rPr>
              <w:t>101</w:t>
            </w:r>
            <w:r w:rsidR="00906FE6" w:rsidRPr="00121CDB">
              <w:rPr>
                <w:sz w:val="18"/>
                <w:szCs w:val="18"/>
              </w:rPr>
              <w:t xml:space="preserve"> days yr</w:t>
            </w:r>
            <w:r w:rsidR="00906FE6" w:rsidRPr="00121CDB">
              <w:rPr>
                <w:sz w:val="18"/>
                <w:szCs w:val="18"/>
                <w:vertAlign w:val="superscript"/>
              </w:rPr>
              <w:t>-1</w:t>
            </w:r>
          </w:p>
        </w:tc>
      </w:tr>
      <w:tr w:rsidR="00D337E3" w:rsidRPr="00121CDB" w14:paraId="1696D10F" w14:textId="77777777" w:rsidTr="0059610E">
        <w:trPr>
          <w:trHeight w:val="227"/>
          <w:jc w:val="center"/>
        </w:trPr>
        <w:tc>
          <w:tcPr>
            <w:tcW w:w="3652" w:type="dxa"/>
            <w:shd w:val="clear" w:color="auto" w:fill="F3F9FA"/>
          </w:tcPr>
          <w:p w14:paraId="310B0021" w14:textId="109F209D" w:rsidR="00906FE6" w:rsidRPr="00121CDB" w:rsidRDefault="00906FE6" w:rsidP="002D0EAA">
            <w:pPr>
              <w:spacing w:before="0" w:after="0"/>
              <w:rPr>
                <w:sz w:val="18"/>
                <w:szCs w:val="18"/>
              </w:rPr>
            </w:pPr>
            <w:r w:rsidRPr="00121CDB">
              <w:rPr>
                <w:sz w:val="18"/>
                <w:szCs w:val="18"/>
              </w:rPr>
              <w:t>Within canopy temperature (2011</w:t>
            </w:r>
            <w:r w:rsidR="00A9188E" w:rsidRPr="00121CDB">
              <w:rPr>
                <w:sz w:val="18"/>
                <w:szCs w:val="18"/>
              </w:rPr>
              <w:t>-201</w:t>
            </w:r>
            <w:r w:rsidR="002D0EAA" w:rsidRPr="00121CDB">
              <w:rPr>
                <w:sz w:val="18"/>
                <w:szCs w:val="18"/>
              </w:rPr>
              <w:t>7</w:t>
            </w:r>
            <w:r w:rsidRPr="00121CDB">
              <w:rPr>
                <w:sz w:val="18"/>
                <w:szCs w:val="18"/>
              </w:rPr>
              <w:t>)</w:t>
            </w:r>
          </w:p>
        </w:tc>
        <w:tc>
          <w:tcPr>
            <w:tcW w:w="2268" w:type="dxa"/>
            <w:shd w:val="clear" w:color="auto" w:fill="F3F9FA"/>
          </w:tcPr>
          <w:p w14:paraId="0E10C05E" w14:textId="541302BF" w:rsidR="00906FE6" w:rsidRPr="00121CDB" w:rsidRDefault="00523918" w:rsidP="00D337E3">
            <w:pPr>
              <w:spacing w:before="0" w:after="0"/>
              <w:rPr>
                <w:sz w:val="18"/>
                <w:szCs w:val="18"/>
              </w:rPr>
            </w:pPr>
            <w:r w:rsidRPr="00121CDB">
              <w:rPr>
                <w:sz w:val="18"/>
                <w:szCs w:val="18"/>
              </w:rPr>
              <w:t>26.9</w:t>
            </w:r>
            <w:r w:rsidR="00906FE6" w:rsidRPr="00121CDB">
              <w:rPr>
                <w:sz w:val="18"/>
                <w:szCs w:val="18"/>
              </w:rPr>
              <w:t xml:space="preserve">°C </w:t>
            </w:r>
            <w:r w:rsidR="00906FE6" w:rsidRPr="00121CDB">
              <w:rPr>
                <w:i/>
                <w:sz w:val="18"/>
                <w:szCs w:val="18"/>
              </w:rPr>
              <w:t>(4</w:t>
            </w:r>
            <w:r w:rsidR="00D337E3" w:rsidRPr="00121CDB">
              <w:rPr>
                <w:i/>
                <w:sz w:val="18"/>
                <w:szCs w:val="18"/>
              </w:rPr>
              <w:t>1.6</w:t>
            </w:r>
            <w:r w:rsidR="00906FE6" w:rsidRPr="00121CDB">
              <w:rPr>
                <w:i/>
                <w:sz w:val="18"/>
                <w:szCs w:val="18"/>
              </w:rPr>
              <w:t>°C)</w:t>
            </w:r>
          </w:p>
        </w:tc>
        <w:tc>
          <w:tcPr>
            <w:tcW w:w="1712" w:type="dxa"/>
            <w:shd w:val="clear" w:color="auto" w:fill="F3F9FA"/>
          </w:tcPr>
          <w:p w14:paraId="33B0897A" w14:textId="2D296B39" w:rsidR="00906FE6" w:rsidRPr="00121CDB" w:rsidRDefault="00906FE6" w:rsidP="00D337E3">
            <w:pPr>
              <w:spacing w:before="0" w:after="0"/>
              <w:rPr>
                <w:sz w:val="18"/>
                <w:szCs w:val="18"/>
              </w:rPr>
            </w:pPr>
            <w:r w:rsidRPr="00121CDB">
              <w:rPr>
                <w:sz w:val="18"/>
                <w:szCs w:val="18"/>
              </w:rPr>
              <w:t>27.</w:t>
            </w:r>
            <w:r w:rsidR="00523918" w:rsidRPr="00121CDB">
              <w:rPr>
                <w:sz w:val="18"/>
                <w:szCs w:val="18"/>
              </w:rPr>
              <w:t>8</w:t>
            </w:r>
            <w:r w:rsidRPr="00121CDB">
              <w:rPr>
                <w:sz w:val="18"/>
                <w:szCs w:val="18"/>
              </w:rPr>
              <w:t xml:space="preserve">°C </w:t>
            </w:r>
            <w:r w:rsidRPr="00121CDB">
              <w:rPr>
                <w:i/>
                <w:sz w:val="18"/>
                <w:szCs w:val="18"/>
              </w:rPr>
              <w:t>(</w:t>
            </w:r>
            <w:r w:rsidR="00523918" w:rsidRPr="00121CDB">
              <w:rPr>
                <w:i/>
                <w:sz w:val="18"/>
                <w:szCs w:val="18"/>
              </w:rPr>
              <w:t>39.8</w:t>
            </w:r>
            <w:r w:rsidR="00D337E3" w:rsidRPr="00121CDB">
              <w:rPr>
                <w:i/>
                <w:sz w:val="18"/>
                <w:szCs w:val="18"/>
              </w:rPr>
              <w:t>6</w:t>
            </w:r>
            <w:r w:rsidRPr="00121CDB">
              <w:rPr>
                <w:i/>
                <w:sz w:val="18"/>
                <w:szCs w:val="18"/>
              </w:rPr>
              <w:t>°C)</w:t>
            </w:r>
          </w:p>
        </w:tc>
      </w:tr>
      <w:tr w:rsidR="00906FE6" w:rsidRPr="00121CDB" w14:paraId="76D05850" w14:textId="77777777" w:rsidTr="0059610E">
        <w:trPr>
          <w:trHeight w:val="227"/>
          <w:jc w:val="center"/>
        </w:trPr>
        <w:tc>
          <w:tcPr>
            <w:tcW w:w="3652" w:type="dxa"/>
            <w:shd w:val="clear" w:color="auto" w:fill="F3F9FA"/>
          </w:tcPr>
          <w:p w14:paraId="32DEE7B8" w14:textId="408C78B8" w:rsidR="00906FE6" w:rsidRPr="00121CDB" w:rsidRDefault="00A9188E" w:rsidP="002D0EAA">
            <w:pPr>
              <w:spacing w:before="0" w:after="0"/>
              <w:rPr>
                <w:sz w:val="18"/>
                <w:szCs w:val="18"/>
              </w:rPr>
            </w:pPr>
            <w:r w:rsidRPr="00121CDB">
              <w:rPr>
                <w:sz w:val="18"/>
                <w:szCs w:val="18"/>
              </w:rPr>
              <w:t>Within canopy light (2012-201</w:t>
            </w:r>
            <w:r w:rsidR="002D0EAA" w:rsidRPr="00121CDB">
              <w:rPr>
                <w:sz w:val="18"/>
                <w:szCs w:val="18"/>
              </w:rPr>
              <w:t>7</w:t>
            </w:r>
            <w:r w:rsidR="00906FE6" w:rsidRPr="00121CDB">
              <w:rPr>
                <w:sz w:val="18"/>
                <w:szCs w:val="18"/>
              </w:rPr>
              <w:t>)</w:t>
            </w:r>
          </w:p>
        </w:tc>
        <w:tc>
          <w:tcPr>
            <w:tcW w:w="2268" w:type="dxa"/>
            <w:shd w:val="clear" w:color="auto" w:fill="F3F9FA"/>
          </w:tcPr>
          <w:p w14:paraId="2C6C4B52" w14:textId="30C3F6DB" w:rsidR="00906FE6" w:rsidRPr="00121CDB" w:rsidRDefault="00D523C4" w:rsidP="0059610E">
            <w:pPr>
              <w:spacing w:before="0" w:after="0"/>
              <w:rPr>
                <w:sz w:val="18"/>
                <w:szCs w:val="18"/>
              </w:rPr>
            </w:pPr>
            <w:r w:rsidRPr="00121CDB">
              <w:rPr>
                <w:sz w:val="18"/>
                <w:szCs w:val="18"/>
              </w:rPr>
              <w:t>17.3</w:t>
            </w:r>
            <w:r w:rsidR="00906FE6" w:rsidRPr="00121CDB">
              <w:rPr>
                <w:sz w:val="18"/>
                <w:szCs w:val="18"/>
              </w:rPr>
              <w:t xml:space="preserve"> mol m</w:t>
            </w:r>
            <w:r w:rsidR="00906FE6" w:rsidRPr="00121CDB">
              <w:rPr>
                <w:sz w:val="18"/>
                <w:szCs w:val="18"/>
                <w:vertAlign w:val="superscript"/>
              </w:rPr>
              <w:t>-2</w:t>
            </w:r>
            <w:r w:rsidR="00906FE6" w:rsidRPr="00121CDB">
              <w:rPr>
                <w:sz w:val="18"/>
                <w:szCs w:val="18"/>
              </w:rPr>
              <w:t xml:space="preserve"> d</w:t>
            </w:r>
            <w:r w:rsidR="00906FE6" w:rsidRPr="00121CDB">
              <w:rPr>
                <w:sz w:val="18"/>
                <w:szCs w:val="18"/>
                <w:vertAlign w:val="superscript"/>
              </w:rPr>
              <w:t>-1</w:t>
            </w:r>
          </w:p>
        </w:tc>
        <w:tc>
          <w:tcPr>
            <w:tcW w:w="1712" w:type="dxa"/>
            <w:shd w:val="clear" w:color="auto" w:fill="F3F9FA"/>
          </w:tcPr>
          <w:p w14:paraId="51925B96" w14:textId="205CCA0E" w:rsidR="00906FE6" w:rsidRPr="00121CDB" w:rsidRDefault="00D523C4" w:rsidP="0059610E">
            <w:pPr>
              <w:spacing w:before="0" w:after="0"/>
              <w:rPr>
                <w:sz w:val="18"/>
                <w:szCs w:val="18"/>
              </w:rPr>
            </w:pPr>
            <w:r w:rsidRPr="00121CDB">
              <w:rPr>
                <w:sz w:val="18"/>
                <w:szCs w:val="18"/>
              </w:rPr>
              <w:t>14.6</w:t>
            </w:r>
            <w:r w:rsidR="00906FE6" w:rsidRPr="00121CDB">
              <w:rPr>
                <w:sz w:val="18"/>
                <w:szCs w:val="18"/>
              </w:rPr>
              <w:t xml:space="preserve"> mol m</w:t>
            </w:r>
            <w:r w:rsidR="00906FE6" w:rsidRPr="00121CDB">
              <w:rPr>
                <w:sz w:val="18"/>
                <w:szCs w:val="18"/>
                <w:vertAlign w:val="superscript"/>
              </w:rPr>
              <w:t>-2</w:t>
            </w:r>
            <w:r w:rsidR="00906FE6" w:rsidRPr="00121CDB">
              <w:rPr>
                <w:sz w:val="18"/>
                <w:szCs w:val="18"/>
              </w:rPr>
              <w:t xml:space="preserve"> d</w:t>
            </w:r>
            <w:r w:rsidR="00906FE6" w:rsidRPr="00121CDB">
              <w:rPr>
                <w:sz w:val="18"/>
                <w:szCs w:val="18"/>
                <w:vertAlign w:val="superscript"/>
              </w:rPr>
              <w:t>-1</w:t>
            </w:r>
          </w:p>
        </w:tc>
      </w:tr>
    </w:tbl>
    <w:p w14:paraId="31D8F890" w14:textId="77777777" w:rsidR="008925B3" w:rsidRPr="005515AE" w:rsidRDefault="008925B3" w:rsidP="008925B3">
      <w:pPr>
        <w:spacing w:before="0" w:after="0"/>
        <w:rPr>
          <w:color w:val="000000"/>
          <w:sz w:val="10"/>
          <w:szCs w:val="10"/>
        </w:rPr>
      </w:pPr>
    </w:p>
    <w:p w14:paraId="7D73947E" w14:textId="520AAD37" w:rsidR="003B4D3B" w:rsidRPr="00941B89" w:rsidRDefault="00906FE6" w:rsidP="003B4D3B">
      <w:pPr>
        <w:rPr>
          <w:i/>
          <w:iCs/>
          <w:vanish/>
          <w:szCs w:val="22"/>
          <w:lang w:eastAsia="en-AU"/>
          <w:specVanish/>
        </w:rPr>
      </w:pPr>
      <w:bookmarkStart w:id="224" w:name="_Toc516053242"/>
      <w:r>
        <w:rPr>
          <w:noProof/>
          <w:color w:val="000000"/>
          <w:szCs w:val="22"/>
          <w:lang w:eastAsia="en-AU"/>
        </w:rPr>
        <w:drawing>
          <wp:anchor distT="0" distB="0" distL="114300" distR="114300" simplePos="0" relativeHeight="251651584" behindDoc="0" locked="0" layoutInCell="1" allowOverlap="1" wp14:anchorId="0AF93541" wp14:editId="78798254">
            <wp:simplePos x="0" y="0"/>
            <wp:positionH relativeFrom="column">
              <wp:posOffset>-5080</wp:posOffset>
            </wp:positionH>
            <wp:positionV relativeFrom="paragraph">
              <wp:posOffset>72390</wp:posOffset>
            </wp:positionV>
            <wp:extent cx="2335530" cy="3350260"/>
            <wp:effectExtent l="0" t="0" r="7620" b="2540"/>
            <wp:wrapSquare wrapText="right"/>
            <wp:docPr id="10" name="Picture 10" descr="Compostie graph showing the location of each seagrass monitoring site and the frequency of exposure to plume water in the Cape York NRM, wet season (December 2016 –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e York sites_legend.png"/>
                    <pic:cNvPicPr/>
                  </pic:nvPicPr>
                  <pic:blipFill>
                    <a:blip r:embed="rId69"/>
                    <a:stretch>
                      <a:fillRect/>
                    </a:stretch>
                  </pic:blipFill>
                  <pic:spPr>
                    <a:xfrm>
                      <a:off x="0" y="0"/>
                      <a:ext cx="2335530" cy="3350260"/>
                    </a:xfrm>
                    <a:prstGeom prst="rect">
                      <a:avLst/>
                    </a:prstGeom>
                  </pic:spPr>
                </pic:pic>
              </a:graphicData>
            </a:graphic>
            <wp14:sizeRelH relativeFrom="margin">
              <wp14:pctWidth>0</wp14:pctWidth>
            </wp14:sizeRelH>
            <wp14:sizeRelV relativeFrom="margin">
              <wp14:pctHeight>0</wp14:pctHeight>
            </wp14:sizeRelV>
          </wp:anchor>
        </w:drawing>
      </w:r>
      <w:bookmarkStart w:id="225" w:name="_Ref442423831"/>
      <w:r w:rsidR="008925B3" w:rsidRPr="007B712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32</w:t>
      </w:r>
      <w:r w:rsidR="00C506C7">
        <w:rPr>
          <w:noProof/>
        </w:rPr>
        <w:fldChar w:fldCharType="end"/>
      </w:r>
      <w:bookmarkEnd w:id="225"/>
      <w:r w:rsidR="008925B3" w:rsidRPr="007B7122">
        <w:t xml:space="preserve">.  </w:t>
      </w:r>
      <w:r w:rsidRPr="007B7122">
        <w:rPr>
          <w:i/>
        </w:rPr>
        <w:t xml:space="preserve">Frequency of exposure to </w:t>
      </w:r>
      <w:r w:rsidR="006844EA">
        <w:rPr>
          <w:i/>
        </w:rPr>
        <w:t>turbid</w:t>
      </w:r>
      <w:r w:rsidR="006844EA" w:rsidRPr="00FD0A74">
        <w:rPr>
          <w:i/>
        </w:rPr>
        <w:t xml:space="preserve"> water</w:t>
      </w:r>
      <w:r w:rsidR="006844EA">
        <w:rPr>
          <w:i/>
        </w:rPr>
        <w:t xml:space="preserve"> (colour classes 1-5) </w:t>
      </w:r>
      <w:r w:rsidRPr="007B7122">
        <w:rPr>
          <w:i/>
        </w:rPr>
        <w:t xml:space="preserve">in the Cape York NRM, wet season </w:t>
      </w:r>
      <w:r w:rsidRPr="00756C7A">
        <w:rPr>
          <w:i/>
          <w:color w:val="000000" w:themeColor="text1"/>
        </w:rPr>
        <w:t>(December 201</w:t>
      </w:r>
      <w:r w:rsidR="00756C7A" w:rsidRPr="00756C7A">
        <w:rPr>
          <w:i/>
          <w:color w:val="000000" w:themeColor="text1"/>
        </w:rPr>
        <w:t>6</w:t>
      </w:r>
      <w:r w:rsidRPr="00756C7A">
        <w:rPr>
          <w:i/>
          <w:color w:val="000000" w:themeColor="text1"/>
        </w:rPr>
        <w:t xml:space="preserve"> – April 201</w:t>
      </w:r>
      <w:r w:rsidR="00756C7A" w:rsidRPr="00756C7A">
        <w:rPr>
          <w:i/>
          <w:color w:val="000000" w:themeColor="text1"/>
        </w:rPr>
        <w:t>7</w:t>
      </w:r>
      <w:r w:rsidRPr="00756C7A">
        <w:rPr>
          <w:i/>
          <w:color w:val="000000" w:themeColor="text1"/>
        </w:rPr>
        <w:t xml:space="preserve">) </w:t>
      </w:r>
      <w:r w:rsidRPr="007B7122">
        <w:rPr>
          <w:i/>
        </w:rPr>
        <w:t>composite</w:t>
      </w:r>
      <w:bookmarkEnd w:id="224"/>
    </w:p>
    <w:p w14:paraId="257758E4" w14:textId="6B67451A" w:rsidR="00906FE6" w:rsidRPr="008E2E54" w:rsidRDefault="00906FE6" w:rsidP="003B4D3B">
      <w:pPr>
        <w:rPr>
          <w:i/>
          <w:vanish/>
        </w:rPr>
      </w:pPr>
      <w:r w:rsidRPr="007B7122">
        <w:rPr>
          <w:i/>
        </w:rPr>
        <w:t xml:space="preserve">. Frequency calculated as number of weeks in wet season exposed to primary or secondary water (colour classes 1 – 5). Each colour class category is </w:t>
      </w:r>
      <w:r w:rsidRPr="0041342B">
        <w:rPr>
          <w:i/>
        </w:rPr>
        <w:t>described by mean water quality values for TSS, CDOM, chlorophyll a and K</w:t>
      </w:r>
      <w:r w:rsidRPr="0041342B">
        <w:rPr>
          <w:i/>
          <w:vertAlign w:val="subscript"/>
        </w:rPr>
        <w:t>d</w:t>
      </w:r>
      <w:r w:rsidRPr="0041342B">
        <w:rPr>
          <w:i/>
        </w:rPr>
        <w:t xml:space="preserve"> (PAR) (</w:t>
      </w:r>
      <w:hyperlink w:anchor="_ENREF_82" w:tooltip="Devlin, 2015 #10405" w:history="1">
        <w:r w:rsidR="00305FE7" w:rsidRPr="0041342B">
          <w:rPr>
            <w:i/>
          </w:rPr>
          <w:fldChar w:fldCharType="begin"/>
        </w:r>
        <w:r w:rsidR="00305FE7">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41342B">
          <w:rPr>
            <w:i/>
          </w:rPr>
          <w:fldChar w:fldCharType="separate"/>
        </w:r>
        <w:r w:rsidR="00305FE7">
          <w:rPr>
            <w:i/>
          </w:rPr>
          <w:t>Devlin et al. 2015</w:t>
        </w:r>
        <w:r w:rsidR="00305FE7" w:rsidRPr="0041342B">
          <w:rPr>
            <w:i/>
          </w:rPr>
          <w:fldChar w:fldCharType="end"/>
        </w:r>
      </w:hyperlink>
      <w:r w:rsidRPr="0041342B">
        <w:rPr>
          <w:i/>
        </w:rPr>
        <w:t>;</w:t>
      </w:r>
      <w:r w:rsidR="000B7516" w:rsidRPr="000B7516">
        <w:rPr>
          <w:i/>
        </w:rPr>
        <w:t xml:space="preserve">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sidRPr="0041342B">
        <w:rPr>
          <w:i/>
        </w:rPr>
        <w:t>).</w:t>
      </w:r>
      <w:r w:rsidR="007C3ABF" w:rsidRPr="0041342B">
        <w:rPr>
          <w:i/>
        </w:rPr>
        <w:t xml:space="preserve"> For site details, see Tables 3 &amp; 4.</w:t>
      </w:r>
    </w:p>
    <w:p w14:paraId="5AA6BDF3" w14:textId="77777777" w:rsidR="00E50C95" w:rsidRPr="00A93D8C" w:rsidRDefault="00363524" w:rsidP="00E50C95">
      <w:pPr>
        <w:spacing w:before="0"/>
        <w:rPr>
          <w:i/>
          <w:vanish/>
          <w:specVanish/>
        </w:rPr>
      </w:pPr>
      <w:bookmarkStart w:id="226" w:name="_Ref442423849"/>
      <w:bookmarkStart w:id="227" w:name="_Toc516053437"/>
      <w:r>
        <w:t>T</w:t>
      </w:r>
      <w:r w:rsidR="008925B3" w:rsidRPr="008F457F">
        <w:t xml:space="preserve">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13</w:t>
      </w:r>
      <w:r w:rsidR="00C506C7">
        <w:rPr>
          <w:noProof/>
        </w:rPr>
        <w:fldChar w:fldCharType="end"/>
      </w:r>
      <w:bookmarkEnd w:id="226"/>
      <w:r w:rsidR="008925B3" w:rsidRPr="008F457F">
        <w:t xml:space="preserve">.  </w:t>
      </w:r>
      <w:r w:rsidR="00906FE6" w:rsidRPr="008F457F">
        <w:rPr>
          <w:i/>
        </w:rPr>
        <w:t xml:space="preserve">Water type at each </w:t>
      </w:r>
      <w:r w:rsidR="009526BE" w:rsidRPr="008F457F">
        <w:rPr>
          <w:i/>
        </w:rPr>
        <w:t>site</w:t>
      </w:r>
      <w:r w:rsidR="00906FE6" w:rsidRPr="008F457F">
        <w:rPr>
          <w:i/>
        </w:rPr>
        <w:t xml:space="preserve"> derive</w:t>
      </w:r>
      <w:r w:rsidR="008925B3" w:rsidRPr="008F457F">
        <w:rPr>
          <w:i/>
        </w:rPr>
        <w:t>d from MODIS true colour images</w:t>
      </w:r>
      <w:bookmarkEnd w:id="227"/>
    </w:p>
    <w:p w14:paraId="66E3F774" w14:textId="4C40C349" w:rsidR="00906FE6" w:rsidRPr="002F3E73" w:rsidRDefault="008925B3" w:rsidP="00E50C95">
      <w:pPr>
        <w:spacing w:before="0"/>
        <w:rPr>
          <w:i/>
          <w:vanish/>
        </w:rPr>
      </w:pPr>
      <w:r w:rsidRPr="008F457F">
        <w:rPr>
          <w:i/>
        </w:rPr>
        <w:t xml:space="preserve"> </w:t>
      </w:r>
      <w:r w:rsidR="00906FE6" w:rsidRPr="008F457F">
        <w:rPr>
          <w:i/>
        </w:rPr>
        <w:t>as colour classes of tu</w:t>
      </w:r>
      <w:r w:rsidR="002F3E73">
        <w:rPr>
          <w:i/>
        </w:rPr>
        <w:t>rbid primary water (class 1 – 4</w:t>
      </w:r>
      <w:r w:rsidR="00906FE6" w:rsidRPr="008F457F">
        <w:rPr>
          <w:i/>
        </w:rPr>
        <w:t xml:space="preserve"> red/brown), nutrient/chlorophyll-enriched secondary water (class 5, green), and tertiary (some freshwater/CDOM influence) or no plume influence (class 6 and 7 respectively, blue), for 22 weeks from </w:t>
      </w:r>
      <w:r w:rsidR="00906FE6" w:rsidRPr="00397CFE">
        <w:rPr>
          <w:i/>
          <w:color w:val="000000" w:themeColor="text1"/>
        </w:rPr>
        <w:t>December 201</w:t>
      </w:r>
      <w:r w:rsidR="00397CFE" w:rsidRPr="00397CFE">
        <w:rPr>
          <w:i/>
          <w:color w:val="000000" w:themeColor="text1"/>
        </w:rPr>
        <w:t>6</w:t>
      </w:r>
      <w:r w:rsidR="00906FE6" w:rsidRPr="00397CFE">
        <w:rPr>
          <w:i/>
          <w:color w:val="000000" w:themeColor="text1"/>
        </w:rPr>
        <w:t xml:space="preserve"> – April 201</w:t>
      </w:r>
      <w:r w:rsidR="00397CFE" w:rsidRPr="00397CFE">
        <w:rPr>
          <w:i/>
          <w:color w:val="000000" w:themeColor="text1"/>
        </w:rPr>
        <w:t>7</w:t>
      </w:r>
      <w:r w:rsidR="0015251F" w:rsidRPr="00716CE2">
        <w:rPr>
          <w:i/>
        </w:rPr>
        <w:t>.</w:t>
      </w:r>
      <w:r w:rsidR="00906FE6" w:rsidRPr="00397CFE">
        <w:rPr>
          <w:i/>
          <w:color w:val="000000" w:themeColor="text1"/>
        </w:rPr>
        <w:t xml:space="preserve"> </w:t>
      </w:r>
      <w:r w:rsidR="00906FE6" w:rsidRPr="008F457F">
        <w:rPr>
          <w:i/>
        </w:rPr>
        <w:t>Also shown, median wet season colour class (Med), frequency of primary water as f</w:t>
      </w:r>
      <w:r w:rsidR="00906FE6" w:rsidRPr="008F457F">
        <w:rPr>
          <w:i/>
          <w:vertAlign w:val="subscript"/>
        </w:rPr>
        <w:t>(P)</w:t>
      </w:r>
      <w:r w:rsidR="00906FE6" w:rsidRPr="008F457F">
        <w:rPr>
          <w:i/>
        </w:rPr>
        <w:t>, the frequency of secondary water as f</w:t>
      </w:r>
      <w:r w:rsidR="00906FE6" w:rsidRPr="008F457F">
        <w:rPr>
          <w:i/>
          <w:vertAlign w:val="subscript"/>
        </w:rPr>
        <w:t>(S)</w:t>
      </w:r>
      <w:r w:rsidR="00906FE6" w:rsidRPr="008F457F">
        <w:rPr>
          <w:i/>
        </w:rPr>
        <w:t>, and the frequency of primary or secondary as f</w:t>
      </w:r>
      <w:r w:rsidR="00906FE6" w:rsidRPr="008F457F">
        <w:rPr>
          <w:i/>
          <w:vertAlign w:val="subscript"/>
        </w:rPr>
        <w:t>(P+S)</w:t>
      </w:r>
      <w:r w:rsidR="00906FE6" w:rsidRPr="008F457F">
        <w:rPr>
          <w:i/>
        </w:rPr>
        <w:t>. *denotes data</w:t>
      </w:r>
      <w:r w:rsidR="009526BE" w:rsidRPr="008F457F">
        <w:rPr>
          <w:i/>
        </w:rPr>
        <w:t xml:space="preserve"> obtained from adjacent pixel.</w:t>
      </w:r>
    </w:p>
    <w:p w14:paraId="1A571538" w14:textId="77777777" w:rsidR="00E5349B" w:rsidRDefault="00E5349B" w:rsidP="008925B3">
      <w:pPr>
        <w:rPr>
          <w:i/>
        </w:rPr>
      </w:pPr>
    </w:p>
    <w:tbl>
      <w:tblPr>
        <w:tblW w:w="10632" w:type="dxa"/>
        <w:tblInd w:w="-426" w:type="dxa"/>
        <w:tblBorders>
          <w:top w:val="nil"/>
          <w:left w:val="nil"/>
          <w:right w:val="nil"/>
        </w:tblBorders>
        <w:tblLayout w:type="fixed"/>
        <w:tblLook w:val="0000" w:firstRow="0" w:lastRow="0" w:firstColumn="0" w:lastColumn="0" w:noHBand="0" w:noVBand="0"/>
      </w:tblPr>
      <w:tblGrid>
        <w:gridCol w:w="915"/>
        <w:gridCol w:w="348"/>
        <w:gridCol w:w="353"/>
        <w:gridCol w:w="353"/>
        <w:gridCol w:w="353"/>
        <w:gridCol w:w="354"/>
        <w:gridCol w:w="354"/>
        <w:gridCol w:w="354"/>
        <w:gridCol w:w="354"/>
        <w:gridCol w:w="354"/>
        <w:gridCol w:w="376"/>
        <w:gridCol w:w="376"/>
        <w:gridCol w:w="376"/>
        <w:gridCol w:w="376"/>
        <w:gridCol w:w="376"/>
        <w:gridCol w:w="376"/>
        <w:gridCol w:w="376"/>
        <w:gridCol w:w="376"/>
        <w:gridCol w:w="376"/>
        <w:gridCol w:w="376"/>
        <w:gridCol w:w="376"/>
        <w:gridCol w:w="376"/>
        <w:gridCol w:w="376"/>
        <w:gridCol w:w="518"/>
        <w:gridCol w:w="567"/>
        <w:gridCol w:w="567"/>
      </w:tblGrid>
      <w:tr w:rsidR="00703B29" w:rsidRPr="00703B29" w14:paraId="15D6306C" w14:textId="77777777" w:rsidTr="00696B7C">
        <w:tc>
          <w:tcPr>
            <w:tcW w:w="915" w:type="dxa"/>
            <w:tcBorders>
              <w:top w:val="single" w:sz="8" w:space="0" w:color="000000"/>
              <w:bottom w:val="single" w:sz="8" w:space="0" w:color="000000"/>
            </w:tcBorders>
            <w:vAlign w:val="center"/>
          </w:tcPr>
          <w:p w14:paraId="7D88CA2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Site</w:t>
            </w:r>
          </w:p>
        </w:tc>
        <w:tc>
          <w:tcPr>
            <w:tcW w:w="348" w:type="dxa"/>
            <w:tcBorders>
              <w:top w:val="single" w:sz="8" w:space="0" w:color="000000"/>
              <w:bottom w:val="single" w:sz="8" w:space="0" w:color="000000" w:themeColor="text1"/>
            </w:tcBorders>
            <w:vAlign w:val="center"/>
          </w:tcPr>
          <w:p w14:paraId="03BFFE95"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w:t>
            </w:r>
          </w:p>
        </w:tc>
        <w:tc>
          <w:tcPr>
            <w:tcW w:w="353" w:type="dxa"/>
            <w:tcBorders>
              <w:top w:val="single" w:sz="8" w:space="0" w:color="000000"/>
              <w:bottom w:val="single" w:sz="8" w:space="0" w:color="000000" w:themeColor="text1"/>
            </w:tcBorders>
            <w:vAlign w:val="center"/>
          </w:tcPr>
          <w:p w14:paraId="77964775"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2</w:t>
            </w:r>
          </w:p>
        </w:tc>
        <w:tc>
          <w:tcPr>
            <w:tcW w:w="353" w:type="dxa"/>
            <w:tcBorders>
              <w:top w:val="single" w:sz="8" w:space="0" w:color="000000"/>
              <w:bottom w:val="single" w:sz="8" w:space="0" w:color="000000" w:themeColor="text1"/>
            </w:tcBorders>
            <w:vAlign w:val="center"/>
          </w:tcPr>
          <w:p w14:paraId="5B404F95"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3</w:t>
            </w:r>
          </w:p>
        </w:tc>
        <w:tc>
          <w:tcPr>
            <w:tcW w:w="353" w:type="dxa"/>
            <w:tcBorders>
              <w:top w:val="single" w:sz="8" w:space="0" w:color="000000"/>
              <w:bottom w:val="single" w:sz="8" w:space="0" w:color="000000" w:themeColor="text1"/>
            </w:tcBorders>
            <w:vAlign w:val="center"/>
          </w:tcPr>
          <w:p w14:paraId="4D39FF8A"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4</w:t>
            </w:r>
          </w:p>
        </w:tc>
        <w:tc>
          <w:tcPr>
            <w:tcW w:w="354" w:type="dxa"/>
            <w:tcBorders>
              <w:top w:val="single" w:sz="8" w:space="0" w:color="000000"/>
              <w:bottom w:val="single" w:sz="8" w:space="0" w:color="000000" w:themeColor="text1"/>
            </w:tcBorders>
            <w:vAlign w:val="center"/>
          </w:tcPr>
          <w:p w14:paraId="450D2700"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5</w:t>
            </w:r>
          </w:p>
        </w:tc>
        <w:tc>
          <w:tcPr>
            <w:tcW w:w="354" w:type="dxa"/>
            <w:tcBorders>
              <w:top w:val="single" w:sz="8" w:space="0" w:color="000000"/>
              <w:bottom w:val="single" w:sz="8" w:space="0" w:color="000000" w:themeColor="text1"/>
            </w:tcBorders>
            <w:vAlign w:val="center"/>
          </w:tcPr>
          <w:p w14:paraId="249E0AFC"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6</w:t>
            </w:r>
          </w:p>
        </w:tc>
        <w:tc>
          <w:tcPr>
            <w:tcW w:w="354" w:type="dxa"/>
            <w:tcBorders>
              <w:top w:val="single" w:sz="8" w:space="0" w:color="000000"/>
              <w:bottom w:val="single" w:sz="8" w:space="0" w:color="000000" w:themeColor="text1"/>
            </w:tcBorders>
            <w:vAlign w:val="center"/>
          </w:tcPr>
          <w:p w14:paraId="5E18332C"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7</w:t>
            </w:r>
          </w:p>
        </w:tc>
        <w:tc>
          <w:tcPr>
            <w:tcW w:w="354" w:type="dxa"/>
            <w:tcBorders>
              <w:top w:val="single" w:sz="8" w:space="0" w:color="000000"/>
              <w:bottom w:val="single" w:sz="8" w:space="0" w:color="000000" w:themeColor="text1"/>
            </w:tcBorders>
            <w:vAlign w:val="center"/>
          </w:tcPr>
          <w:p w14:paraId="616FFFB7"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8</w:t>
            </w:r>
          </w:p>
        </w:tc>
        <w:tc>
          <w:tcPr>
            <w:tcW w:w="354" w:type="dxa"/>
            <w:tcBorders>
              <w:top w:val="single" w:sz="8" w:space="0" w:color="000000"/>
              <w:bottom w:val="single" w:sz="8" w:space="0" w:color="000000" w:themeColor="text1"/>
            </w:tcBorders>
            <w:vAlign w:val="center"/>
          </w:tcPr>
          <w:p w14:paraId="20B1FC6E"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9</w:t>
            </w:r>
          </w:p>
        </w:tc>
        <w:tc>
          <w:tcPr>
            <w:tcW w:w="376" w:type="dxa"/>
            <w:tcBorders>
              <w:top w:val="single" w:sz="8" w:space="0" w:color="000000"/>
              <w:bottom w:val="single" w:sz="8" w:space="0" w:color="000000" w:themeColor="text1"/>
            </w:tcBorders>
            <w:vAlign w:val="center"/>
          </w:tcPr>
          <w:p w14:paraId="672DBF7B"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10</w:t>
            </w:r>
          </w:p>
        </w:tc>
        <w:tc>
          <w:tcPr>
            <w:tcW w:w="376" w:type="dxa"/>
            <w:tcBorders>
              <w:top w:val="single" w:sz="8" w:space="0" w:color="000000"/>
              <w:bottom w:val="single" w:sz="8" w:space="0" w:color="000000" w:themeColor="text1"/>
            </w:tcBorders>
            <w:vAlign w:val="center"/>
          </w:tcPr>
          <w:p w14:paraId="6117C260"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11</w:t>
            </w:r>
          </w:p>
        </w:tc>
        <w:tc>
          <w:tcPr>
            <w:tcW w:w="376" w:type="dxa"/>
            <w:tcBorders>
              <w:top w:val="single" w:sz="8" w:space="0" w:color="000000"/>
              <w:bottom w:val="single" w:sz="8" w:space="0" w:color="000000" w:themeColor="text1"/>
            </w:tcBorders>
            <w:vAlign w:val="center"/>
          </w:tcPr>
          <w:p w14:paraId="6788BDE8"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12</w:t>
            </w:r>
          </w:p>
        </w:tc>
        <w:tc>
          <w:tcPr>
            <w:tcW w:w="376" w:type="dxa"/>
            <w:tcBorders>
              <w:top w:val="single" w:sz="8" w:space="0" w:color="000000"/>
              <w:bottom w:val="single" w:sz="8" w:space="0" w:color="000000" w:themeColor="text1"/>
            </w:tcBorders>
            <w:vAlign w:val="center"/>
          </w:tcPr>
          <w:p w14:paraId="03EA4FBE"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13</w:t>
            </w:r>
          </w:p>
        </w:tc>
        <w:tc>
          <w:tcPr>
            <w:tcW w:w="376" w:type="dxa"/>
            <w:tcBorders>
              <w:top w:val="single" w:sz="8" w:space="0" w:color="000000"/>
              <w:bottom w:val="single" w:sz="8" w:space="0" w:color="000000" w:themeColor="text1"/>
            </w:tcBorders>
            <w:vAlign w:val="center"/>
          </w:tcPr>
          <w:p w14:paraId="4F01D30F"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14</w:t>
            </w:r>
          </w:p>
        </w:tc>
        <w:tc>
          <w:tcPr>
            <w:tcW w:w="376" w:type="dxa"/>
            <w:tcBorders>
              <w:top w:val="single" w:sz="8" w:space="0" w:color="000000"/>
              <w:bottom w:val="single" w:sz="8" w:space="0" w:color="000000" w:themeColor="text1"/>
            </w:tcBorders>
            <w:vAlign w:val="center"/>
          </w:tcPr>
          <w:p w14:paraId="140AD8A5"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15</w:t>
            </w:r>
          </w:p>
        </w:tc>
        <w:tc>
          <w:tcPr>
            <w:tcW w:w="376" w:type="dxa"/>
            <w:tcBorders>
              <w:top w:val="single" w:sz="8" w:space="0" w:color="000000"/>
              <w:bottom w:val="single" w:sz="8" w:space="0" w:color="000000" w:themeColor="text1"/>
            </w:tcBorders>
            <w:vAlign w:val="center"/>
          </w:tcPr>
          <w:p w14:paraId="7F25DE85"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16</w:t>
            </w:r>
          </w:p>
        </w:tc>
        <w:tc>
          <w:tcPr>
            <w:tcW w:w="376" w:type="dxa"/>
            <w:tcBorders>
              <w:top w:val="single" w:sz="8" w:space="0" w:color="000000"/>
              <w:bottom w:val="single" w:sz="8" w:space="0" w:color="000000" w:themeColor="text1"/>
            </w:tcBorders>
            <w:vAlign w:val="center"/>
          </w:tcPr>
          <w:p w14:paraId="6AD69770"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17</w:t>
            </w:r>
          </w:p>
        </w:tc>
        <w:tc>
          <w:tcPr>
            <w:tcW w:w="376" w:type="dxa"/>
            <w:tcBorders>
              <w:top w:val="single" w:sz="8" w:space="0" w:color="000000"/>
              <w:bottom w:val="single" w:sz="8" w:space="0" w:color="000000" w:themeColor="text1"/>
            </w:tcBorders>
            <w:vAlign w:val="center"/>
          </w:tcPr>
          <w:p w14:paraId="457C9F18"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18</w:t>
            </w:r>
          </w:p>
        </w:tc>
        <w:tc>
          <w:tcPr>
            <w:tcW w:w="376" w:type="dxa"/>
            <w:tcBorders>
              <w:top w:val="single" w:sz="8" w:space="0" w:color="000000"/>
              <w:bottom w:val="single" w:sz="8" w:space="0" w:color="000000" w:themeColor="text1"/>
            </w:tcBorders>
            <w:vAlign w:val="center"/>
          </w:tcPr>
          <w:p w14:paraId="58F03BDA"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19</w:t>
            </w:r>
          </w:p>
        </w:tc>
        <w:tc>
          <w:tcPr>
            <w:tcW w:w="376" w:type="dxa"/>
            <w:tcBorders>
              <w:top w:val="single" w:sz="8" w:space="0" w:color="000000"/>
              <w:bottom w:val="single" w:sz="8" w:space="0" w:color="000000" w:themeColor="text1"/>
            </w:tcBorders>
            <w:vAlign w:val="center"/>
          </w:tcPr>
          <w:p w14:paraId="1334F5C3"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20</w:t>
            </w:r>
          </w:p>
        </w:tc>
        <w:tc>
          <w:tcPr>
            <w:tcW w:w="376" w:type="dxa"/>
            <w:tcBorders>
              <w:top w:val="single" w:sz="8" w:space="0" w:color="000000"/>
              <w:bottom w:val="single" w:sz="8" w:space="0" w:color="000000" w:themeColor="text1"/>
            </w:tcBorders>
            <w:vAlign w:val="center"/>
          </w:tcPr>
          <w:p w14:paraId="71C4EBF7"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21</w:t>
            </w:r>
          </w:p>
        </w:tc>
        <w:tc>
          <w:tcPr>
            <w:tcW w:w="376" w:type="dxa"/>
            <w:tcBorders>
              <w:top w:val="single" w:sz="8" w:space="0" w:color="000000"/>
              <w:bottom w:val="single" w:sz="8" w:space="0" w:color="000000" w:themeColor="text1"/>
            </w:tcBorders>
            <w:vAlign w:val="center"/>
          </w:tcPr>
          <w:p w14:paraId="2A9D506D" w14:textId="77777777" w:rsidR="00703B29" w:rsidRPr="00703B29" w:rsidRDefault="00703B29">
            <w:pPr>
              <w:autoSpaceDE w:val="0"/>
              <w:autoSpaceDN w:val="0"/>
              <w:adjustRightInd w:val="0"/>
              <w:spacing w:before="0" w:after="0" w:line="260" w:lineRule="atLeast"/>
              <w:jc w:val="center"/>
              <w:rPr>
                <w:rFonts w:cs="Calibri"/>
                <w:color w:val="000000"/>
                <w:sz w:val="14"/>
                <w:szCs w:val="14"/>
                <w:lang w:eastAsia="en-AU"/>
              </w:rPr>
            </w:pPr>
            <w:r w:rsidRPr="00703B29">
              <w:rPr>
                <w:rFonts w:cs="Calibri"/>
                <w:color w:val="000000"/>
                <w:sz w:val="14"/>
                <w:szCs w:val="14"/>
                <w:lang w:eastAsia="en-AU"/>
              </w:rPr>
              <w:t>22</w:t>
            </w:r>
          </w:p>
        </w:tc>
        <w:tc>
          <w:tcPr>
            <w:tcW w:w="518" w:type="dxa"/>
            <w:tcBorders>
              <w:top w:val="single" w:sz="8" w:space="0" w:color="000000"/>
              <w:bottom w:val="single" w:sz="8" w:space="0" w:color="000000"/>
            </w:tcBorders>
            <w:vAlign w:val="center"/>
          </w:tcPr>
          <w:p w14:paraId="70233C70" w14:textId="77777777" w:rsidR="00703B29" w:rsidRPr="00703B29" w:rsidRDefault="00703B29">
            <w:pPr>
              <w:autoSpaceDE w:val="0"/>
              <w:autoSpaceDN w:val="0"/>
              <w:adjustRightInd w:val="0"/>
              <w:spacing w:before="0" w:after="0" w:line="260" w:lineRule="atLeast"/>
              <w:jc w:val="center"/>
              <w:rPr>
                <w:rFonts w:cs="Calibri"/>
                <w:b/>
                <w:bCs/>
                <w:color w:val="000000"/>
                <w:sz w:val="14"/>
                <w:szCs w:val="14"/>
                <w:lang w:eastAsia="en-AU"/>
              </w:rPr>
            </w:pPr>
            <w:r w:rsidRPr="00703B29">
              <w:rPr>
                <w:rFonts w:cs="Calibri"/>
                <w:b/>
                <w:bCs/>
                <w:i/>
                <w:iCs/>
                <w:color w:val="000000"/>
                <w:sz w:val="14"/>
                <w:szCs w:val="14"/>
                <w:lang w:eastAsia="en-AU"/>
              </w:rPr>
              <w:t>f</w:t>
            </w:r>
            <w:r w:rsidRPr="00703B29">
              <w:rPr>
                <w:rFonts w:ascii="Times" w:hAnsi="Times" w:cs="Times"/>
                <w:b/>
                <w:bCs/>
                <w:color w:val="000000"/>
                <w:sz w:val="14"/>
                <w:szCs w:val="14"/>
                <w:vertAlign w:val="subscript"/>
                <w:lang w:eastAsia="en-AU"/>
              </w:rPr>
              <w:t>(P)</w:t>
            </w:r>
          </w:p>
        </w:tc>
        <w:tc>
          <w:tcPr>
            <w:tcW w:w="567" w:type="dxa"/>
            <w:tcBorders>
              <w:top w:val="single" w:sz="8" w:space="0" w:color="000000"/>
              <w:bottom w:val="single" w:sz="8" w:space="0" w:color="000000"/>
            </w:tcBorders>
            <w:vAlign w:val="center"/>
          </w:tcPr>
          <w:p w14:paraId="12D28289" w14:textId="77777777" w:rsidR="00703B29" w:rsidRPr="00703B29" w:rsidRDefault="00703B29">
            <w:pPr>
              <w:autoSpaceDE w:val="0"/>
              <w:autoSpaceDN w:val="0"/>
              <w:adjustRightInd w:val="0"/>
              <w:spacing w:before="0" w:after="0" w:line="260" w:lineRule="atLeast"/>
              <w:jc w:val="center"/>
              <w:rPr>
                <w:rFonts w:cs="Calibri"/>
                <w:b/>
                <w:bCs/>
                <w:color w:val="000000"/>
                <w:sz w:val="14"/>
                <w:szCs w:val="14"/>
                <w:lang w:eastAsia="en-AU"/>
              </w:rPr>
            </w:pPr>
            <w:r w:rsidRPr="00703B29">
              <w:rPr>
                <w:rFonts w:cs="Calibri"/>
                <w:b/>
                <w:bCs/>
                <w:color w:val="000000"/>
                <w:sz w:val="14"/>
                <w:szCs w:val="14"/>
                <w:lang w:eastAsia="en-AU"/>
              </w:rPr>
              <w:t>f</w:t>
            </w:r>
            <w:r w:rsidRPr="00703B29">
              <w:rPr>
                <w:rFonts w:ascii="Times" w:hAnsi="Times" w:cs="Times"/>
                <w:b/>
                <w:bCs/>
                <w:color w:val="000000"/>
                <w:sz w:val="14"/>
                <w:szCs w:val="14"/>
                <w:vertAlign w:val="subscript"/>
                <w:lang w:eastAsia="en-AU"/>
              </w:rPr>
              <w:t>(S)</w:t>
            </w:r>
          </w:p>
        </w:tc>
        <w:tc>
          <w:tcPr>
            <w:tcW w:w="567" w:type="dxa"/>
            <w:tcBorders>
              <w:top w:val="single" w:sz="8" w:space="0" w:color="000000"/>
              <w:bottom w:val="single" w:sz="8" w:space="0" w:color="000000"/>
            </w:tcBorders>
            <w:vAlign w:val="center"/>
          </w:tcPr>
          <w:p w14:paraId="30E68056" w14:textId="77777777" w:rsidR="00703B29" w:rsidRPr="00703B29" w:rsidRDefault="00703B29">
            <w:pPr>
              <w:autoSpaceDE w:val="0"/>
              <w:autoSpaceDN w:val="0"/>
              <w:adjustRightInd w:val="0"/>
              <w:spacing w:before="0" w:after="0" w:line="260" w:lineRule="atLeast"/>
              <w:jc w:val="center"/>
              <w:rPr>
                <w:rFonts w:cs="Calibri"/>
                <w:b/>
                <w:bCs/>
                <w:color w:val="000000"/>
                <w:sz w:val="14"/>
                <w:szCs w:val="14"/>
                <w:lang w:eastAsia="en-AU"/>
              </w:rPr>
            </w:pPr>
            <w:r w:rsidRPr="00703B29">
              <w:rPr>
                <w:rFonts w:cs="Calibri"/>
                <w:b/>
                <w:bCs/>
                <w:color w:val="000000"/>
                <w:sz w:val="14"/>
                <w:szCs w:val="14"/>
                <w:lang w:eastAsia="en-AU"/>
              </w:rPr>
              <w:t>f</w:t>
            </w:r>
            <w:r w:rsidRPr="00703B29">
              <w:rPr>
                <w:rFonts w:ascii="Times" w:hAnsi="Times" w:cs="Times"/>
                <w:b/>
                <w:bCs/>
                <w:color w:val="000000"/>
                <w:sz w:val="14"/>
                <w:szCs w:val="14"/>
                <w:vertAlign w:val="subscript"/>
                <w:lang w:eastAsia="en-AU"/>
              </w:rPr>
              <w:t>(P+S)</w:t>
            </w:r>
          </w:p>
        </w:tc>
      </w:tr>
      <w:tr w:rsidR="00397CFE" w:rsidRPr="00703B29" w14:paraId="0394FFAB" w14:textId="77777777" w:rsidTr="00696B7C">
        <w:tblPrEx>
          <w:tblBorders>
            <w:top w:val="none" w:sz="0" w:space="0" w:color="auto"/>
          </w:tblBorders>
        </w:tblPrEx>
        <w:tc>
          <w:tcPr>
            <w:tcW w:w="915" w:type="dxa"/>
            <w:tcBorders>
              <w:right w:val="single" w:sz="8" w:space="0" w:color="FFFFFF" w:themeColor="background1"/>
            </w:tcBorders>
            <w:vAlign w:val="center"/>
          </w:tcPr>
          <w:p w14:paraId="550C562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SR1, SR2</w:t>
            </w:r>
          </w:p>
        </w:tc>
        <w:tc>
          <w:tcPr>
            <w:tcW w:w="348" w:type="dxa"/>
            <w:tcBorders>
              <w:top w:val="single" w:sz="8" w:space="0" w:color="000000" w:themeColor="text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55521BD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53"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A02E2B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53"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BC1727B"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53"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751C24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2</w:t>
            </w:r>
          </w:p>
        </w:tc>
        <w:tc>
          <w:tcPr>
            <w:tcW w:w="354"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16963545"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1B86631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D937C90"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6E1E5DA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DFCACF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2</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185123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6917C90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5088DD1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D970A8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1</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67BE65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2A3F5BE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5BB5D31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6970AE5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2DE13C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2</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CA9AC0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1</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5438A61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1C48804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8" w:space="0" w:color="000000" w:themeColor="text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246DAE9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1</w:t>
            </w:r>
          </w:p>
        </w:tc>
        <w:tc>
          <w:tcPr>
            <w:tcW w:w="518" w:type="dxa"/>
            <w:tcBorders>
              <w:left w:val="single" w:sz="8" w:space="0" w:color="FFFFFF" w:themeColor="background1"/>
            </w:tcBorders>
            <w:vAlign w:val="center"/>
          </w:tcPr>
          <w:p w14:paraId="1ECF69F7"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0.79</w:t>
            </w:r>
          </w:p>
        </w:tc>
        <w:tc>
          <w:tcPr>
            <w:tcW w:w="567" w:type="dxa"/>
            <w:vAlign w:val="center"/>
          </w:tcPr>
          <w:p w14:paraId="1620E86C"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0.21</w:t>
            </w:r>
          </w:p>
        </w:tc>
        <w:tc>
          <w:tcPr>
            <w:tcW w:w="567" w:type="dxa"/>
            <w:vAlign w:val="center"/>
          </w:tcPr>
          <w:p w14:paraId="078139D9"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1.00</w:t>
            </w:r>
          </w:p>
        </w:tc>
      </w:tr>
      <w:tr w:rsidR="00397CFE" w:rsidRPr="00703B29" w14:paraId="506FBCDE" w14:textId="77777777" w:rsidTr="00397CFE">
        <w:tblPrEx>
          <w:tblBorders>
            <w:top w:val="none" w:sz="0" w:space="0" w:color="auto"/>
          </w:tblBorders>
        </w:tblPrEx>
        <w:tc>
          <w:tcPr>
            <w:tcW w:w="915" w:type="dxa"/>
            <w:tcBorders>
              <w:right w:val="single" w:sz="8" w:space="0" w:color="FFFFFF" w:themeColor="background1"/>
            </w:tcBorders>
            <w:vAlign w:val="center"/>
          </w:tcPr>
          <w:p w14:paraId="062101B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FR1, FR2</w:t>
            </w:r>
          </w:p>
        </w:tc>
        <w:tc>
          <w:tcPr>
            <w:tcW w:w="348"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0CDEA"/>
            <w:vAlign w:val="center"/>
          </w:tcPr>
          <w:p w14:paraId="3B4A8A1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35A157D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09B2F29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3111B33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0F154AC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3EE3840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394D9794"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70BCCCB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1606CBB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1DC31FA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61A2052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1FACD84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44F1E23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0E809B0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6C7E16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6D1E733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4438217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868832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1C7C86D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04D18B4"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58B9993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0CDEA"/>
            <w:vAlign w:val="center"/>
          </w:tcPr>
          <w:p w14:paraId="6338B01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518" w:type="dxa"/>
            <w:tcBorders>
              <w:left w:val="single" w:sz="8" w:space="0" w:color="FFFFFF" w:themeColor="background1"/>
            </w:tcBorders>
            <w:vAlign w:val="center"/>
          </w:tcPr>
          <w:p w14:paraId="10C7867F"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0.00</w:t>
            </w:r>
          </w:p>
        </w:tc>
        <w:tc>
          <w:tcPr>
            <w:tcW w:w="567" w:type="dxa"/>
            <w:vAlign w:val="center"/>
          </w:tcPr>
          <w:p w14:paraId="517F7573"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0.22</w:t>
            </w:r>
          </w:p>
        </w:tc>
        <w:tc>
          <w:tcPr>
            <w:tcW w:w="567" w:type="dxa"/>
            <w:vAlign w:val="center"/>
          </w:tcPr>
          <w:p w14:paraId="21C9A947"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0.22</w:t>
            </w:r>
          </w:p>
        </w:tc>
      </w:tr>
      <w:tr w:rsidR="00397CFE" w:rsidRPr="00703B29" w14:paraId="19209878" w14:textId="77777777" w:rsidTr="00397CFE">
        <w:tblPrEx>
          <w:tblBorders>
            <w:top w:val="none" w:sz="0" w:space="0" w:color="auto"/>
          </w:tblBorders>
        </w:tblPrEx>
        <w:tc>
          <w:tcPr>
            <w:tcW w:w="915" w:type="dxa"/>
            <w:tcBorders>
              <w:right w:val="single" w:sz="8" w:space="0" w:color="FFFFFF" w:themeColor="background1"/>
            </w:tcBorders>
            <w:vAlign w:val="center"/>
          </w:tcPr>
          <w:p w14:paraId="69AD73B4"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YY1*</w:t>
            </w:r>
          </w:p>
        </w:tc>
        <w:tc>
          <w:tcPr>
            <w:tcW w:w="348"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9AC87C"/>
            <w:vAlign w:val="center"/>
          </w:tcPr>
          <w:p w14:paraId="3E3C9F2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6B3529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187380F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2228042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74337C3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7631517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5D0E923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130B9E40"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FC2AA0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2A02CCC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4875D0A5"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6AD21D2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19B68CB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B40E6A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53DE5C6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148BC84B"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518F95C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C72A7E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25A0E965"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2926874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46219D5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9AC87C"/>
            <w:vAlign w:val="center"/>
          </w:tcPr>
          <w:p w14:paraId="129E02E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518" w:type="dxa"/>
            <w:tcBorders>
              <w:left w:val="single" w:sz="8" w:space="0" w:color="FFFFFF" w:themeColor="background1"/>
            </w:tcBorders>
            <w:vAlign w:val="center"/>
          </w:tcPr>
          <w:p w14:paraId="52E2FC4A"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0.00</w:t>
            </w:r>
          </w:p>
        </w:tc>
        <w:tc>
          <w:tcPr>
            <w:tcW w:w="567" w:type="dxa"/>
            <w:vAlign w:val="center"/>
          </w:tcPr>
          <w:p w14:paraId="68F57394"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0.94</w:t>
            </w:r>
          </w:p>
        </w:tc>
        <w:tc>
          <w:tcPr>
            <w:tcW w:w="567" w:type="dxa"/>
            <w:vAlign w:val="center"/>
          </w:tcPr>
          <w:p w14:paraId="2B5FE6A9"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0.94</w:t>
            </w:r>
          </w:p>
        </w:tc>
      </w:tr>
      <w:tr w:rsidR="00397CFE" w:rsidRPr="00703B29" w14:paraId="203D0EDA" w14:textId="77777777" w:rsidTr="00397CFE">
        <w:tblPrEx>
          <w:tblBorders>
            <w:top w:val="none" w:sz="0" w:space="0" w:color="auto"/>
          </w:tblBorders>
        </w:tblPrEx>
        <w:tc>
          <w:tcPr>
            <w:tcW w:w="915" w:type="dxa"/>
            <w:tcBorders>
              <w:right w:val="single" w:sz="8" w:space="0" w:color="FFFFFF" w:themeColor="background1"/>
            </w:tcBorders>
            <w:vAlign w:val="center"/>
          </w:tcPr>
          <w:p w14:paraId="1285FA7B"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ST1, ST2</w:t>
            </w:r>
          </w:p>
        </w:tc>
        <w:tc>
          <w:tcPr>
            <w:tcW w:w="348"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9AC87C"/>
            <w:vAlign w:val="center"/>
          </w:tcPr>
          <w:p w14:paraId="38E6EDB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E3A65B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15BF37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6F9816F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8B5C996"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310360D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69A6569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2D55CEA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4FE6B68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60F590F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47C8375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66FFE0F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16748B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25C6EA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5F0E4AB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42556DD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62642B7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7E399CB"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18FD15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55FEE1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C3D0A1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9AC87C"/>
            <w:vAlign w:val="center"/>
          </w:tcPr>
          <w:p w14:paraId="4CB927B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518" w:type="dxa"/>
            <w:tcBorders>
              <w:left w:val="single" w:sz="8" w:space="0" w:color="FFFFFF" w:themeColor="background1"/>
            </w:tcBorders>
            <w:vAlign w:val="center"/>
          </w:tcPr>
          <w:p w14:paraId="76366296"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0.00</w:t>
            </w:r>
          </w:p>
        </w:tc>
        <w:tc>
          <w:tcPr>
            <w:tcW w:w="567" w:type="dxa"/>
            <w:vAlign w:val="center"/>
          </w:tcPr>
          <w:p w14:paraId="1F710809"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0.90</w:t>
            </w:r>
          </w:p>
        </w:tc>
        <w:tc>
          <w:tcPr>
            <w:tcW w:w="567" w:type="dxa"/>
            <w:vAlign w:val="center"/>
          </w:tcPr>
          <w:p w14:paraId="4E4DF857"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0.90</w:t>
            </w:r>
          </w:p>
        </w:tc>
      </w:tr>
      <w:tr w:rsidR="00397CFE" w:rsidRPr="00703B29" w14:paraId="73F8B407" w14:textId="77777777" w:rsidTr="00397CFE">
        <w:tblPrEx>
          <w:tblBorders>
            <w:top w:val="none" w:sz="0" w:space="0" w:color="auto"/>
          </w:tblBorders>
        </w:tblPrEx>
        <w:tc>
          <w:tcPr>
            <w:tcW w:w="915" w:type="dxa"/>
            <w:tcBorders>
              <w:right w:val="single" w:sz="8" w:space="0" w:color="FFFFFF" w:themeColor="background1"/>
            </w:tcBorders>
            <w:vAlign w:val="center"/>
          </w:tcPr>
          <w:p w14:paraId="616F949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BY1, BY2*</w:t>
            </w:r>
          </w:p>
        </w:tc>
        <w:tc>
          <w:tcPr>
            <w:tcW w:w="348"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9AC87C"/>
            <w:vAlign w:val="center"/>
          </w:tcPr>
          <w:p w14:paraId="10A4451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8FA595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0742595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176A265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5E4C9E6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C64EED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072B94C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DF6AA7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5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6AF6AF2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14AB860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1340857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2D4C18EB"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B64B32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2</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413AD450"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8EFCA6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72353E0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F99F74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0B10D94"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center"/>
          </w:tcPr>
          <w:p w14:paraId="3362C10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E950B34"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2</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6DBB0E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151EF7E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518" w:type="dxa"/>
            <w:tcBorders>
              <w:left w:val="single" w:sz="8" w:space="0" w:color="FFFFFF" w:themeColor="background1"/>
            </w:tcBorders>
            <w:vAlign w:val="center"/>
          </w:tcPr>
          <w:p w14:paraId="6019D653"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0.40</w:t>
            </w:r>
          </w:p>
        </w:tc>
        <w:tc>
          <w:tcPr>
            <w:tcW w:w="567" w:type="dxa"/>
            <w:vAlign w:val="center"/>
          </w:tcPr>
          <w:p w14:paraId="5A4013D4"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0.60</w:t>
            </w:r>
          </w:p>
        </w:tc>
        <w:tc>
          <w:tcPr>
            <w:tcW w:w="567" w:type="dxa"/>
            <w:vAlign w:val="center"/>
          </w:tcPr>
          <w:p w14:paraId="67459882"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1.00</w:t>
            </w:r>
          </w:p>
        </w:tc>
      </w:tr>
      <w:tr w:rsidR="00397CFE" w:rsidRPr="00703B29" w14:paraId="79E8AF14" w14:textId="77777777" w:rsidTr="00696B7C">
        <w:tc>
          <w:tcPr>
            <w:tcW w:w="915" w:type="dxa"/>
            <w:tcBorders>
              <w:bottom w:val="single" w:sz="8" w:space="0" w:color="000000"/>
              <w:right w:val="nil"/>
            </w:tcBorders>
            <w:vAlign w:val="center"/>
          </w:tcPr>
          <w:p w14:paraId="271F539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AP1, AP2*</w:t>
            </w:r>
          </w:p>
        </w:tc>
        <w:tc>
          <w:tcPr>
            <w:tcW w:w="348" w:type="dxa"/>
            <w:tcBorders>
              <w:top w:val="single" w:sz="6" w:space="0" w:color="FFFFFF" w:themeColor="background1"/>
              <w:left w:val="nil"/>
              <w:bottom w:val="single" w:sz="8" w:space="0" w:color="000000" w:themeColor="text1"/>
              <w:right w:val="single" w:sz="6" w:space="0" w:color="FFFFFF" w:themeColor="background1"/>
            </w:tcBorders>
            <w:shd w:val="clear" w:color="auto" w:fill="9AC87C"/>
            <w:vAlign w:val="center"/>
          </w:tcPr>
          <w:p w14:paraId="77D6F383"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0C48EE1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64E39C62"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3"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0AF3513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0CDEA"/>
            <w:vAlign w:val="center"/>
          </w:tcPr>
          <w:p w14:paraId="338071BE"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0CDEA"/>
            <w:vAlign w:val="center"/>
          </w:tcPr>
          <w:p w14:paraId="61986508"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54"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vAlign w:val="center"/>
          </w:tcPr>
          <w:p w14:paraId="2E68CA0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54"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051B84D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54"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0BC460E9"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vAlign w:val="center"/>
          </w:tcPr>
          <w:p w14:paraId="07C6899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 </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66990925"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1800BF7D"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6FBED93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07A0767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31ED7864"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0CDEA"/>
            <w:vAlign w:val="center"/>
          </w:tcPr>
          <w:p w14:paraId="7E3060E7"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0CDEA"/>
            <w:vAlign w:val="center"/>
          </w:tcPr>
          <w:p w14:paraId="21027030"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6</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9AC87C"/>
            <w:vAlign w:val="center"/>
          </w:tcPr>
          <w:p w14:paraId="7596950F"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84410"/>
            <w:vAlign w:val="center"/>
          </w:tcPr>
          <w:p w14:paraId="2CE1666C"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84410"/>
            <w:vAlign w:val="center"/>
          </w:tcPr>
          <w:p w14:paraId="5E230E61"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8" w:space="0" w:color="000000" w:themeColor="text1"/>
              <w:right w:val="single" w:sz="6" w:space="0" w:color="FFFFFF" w:themeColor="background1"/>
            </w:tcBorders>
            <w:shd w:val="clear" w:color="auto" w:fill="B84410"/>
            <w:vAlign w:val="center"/>
          </w:tcPr>
          <w:p w14:paraId="01EB9495"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4</w:t>
            </w:r>
          </w:p>
        </w:tc>
        <w:tc>
          <w:tcPr>
            <w:tcW w:w="376" w:type="dxa"/>
            <w:tcBorders>
              <w:top w:val="single" w:sz="6" w:space="0" w:color="FFFFFF" w:themeColor="background1"/>
              <w:left w:val="single" w:sz="6" w:space="0" w:color="FFFFFF" w:themeColor="background1"/>
              <w:bottom w:val="single" w:sz="8" w:space="0" w:color="000000" w:themeColor="text1"/>
              <w:right w:val="single" w:sz="8" w:space="0" w:color="FFFFFF" w:themeColor="background1"/>
            </w:tcBorders>
            <w:shd w:val="clear" w:color="auto" w:fill="9AC87C"/>
            <w:vAlign w:val="center"/>
          </w:tcPr>
          <w:p w14:paraId="45AFB67A" w14:textId="77777777" w:rsidR="00703B29" w:rsidRPr="00844D4D" w:rsidRDefault="00703B29">
            <w:pPr>
              <w:autoSpaceDE w:val="0"/>
              <w:autoSpaceDN w:val="0"/>
              <w:adjustRightInd w:val="0"/>
              <w:spacing w:before="0" w:after="0" w:line="260" w:lineRule="atLeast"/>
              <w:jc w:val="center"/>
              <w:rPr>
                <w:rFonts w:cs="Calibri"/>
                <w:color w:val="000000"/>
                <w:sz w:val="16"/>
                <w:szCs w:val="16"/>
                <w:lang w:eastAsia="en-AU"/>
              </w:rPr>
            </w:pPr>
            <w:r w:rsidRPr="00844D4D">
              <w:rPr>
                <w:rFonts w:cs="Calibri"/>
                <w:color w:val="000000"/>
                <w:sz w:val="16"/>
                <w:szCs w:val="16"/>
                <w:lang w:eastAsia="en-AU"/>
              </w:rPr>
              <w:t>5</w:t>
            </w:r>
          </w:p>
        </w:tc>
        <w:tc>
          <w:tcPr>
            <w:tcW w:w="518" w:type="dxa"/>
            <w:tcBorders>
              <w:left w:val="single" w:sz="8" w:space="0" w:color="FFFFFF" w:themeColor="background1"/>
              <w:bottom w:val="single" w:sz="8" w:space="0" w:color="000000" w:themeColor="text1"/>
            </w:tcBorders>
            <w:vAlign w:val="center"/>
          </w:tcPr>
          <w:p w14:paraId="00F82F75"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0.15</w:t>
            </w:r>
          </w:p>
        </w:tc>
        <w:tc>
          <w:tcPr>
            <w:tcW w:w="567" w:type="dxa"/>
            <w:tcBorders>
              <w:bottom w:val="single" w:sz="8" w:space="0" w:color="000000"/>
            </w:tcBorders>
            <w:vAlign w:val="center"/>
          </w:tcPr>
          <w:p w14:paraId="4C414A69"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0.65</w:t>
            </w:r>
          </w:p>
        </w:tc>
        <w:tc>
          <w:tcPr>
            <w:tcW w:w="567" w:type="dxa"/>
            <w:tcBorders>
              <w:bottom w:val="single" w:sz="8" w:space="0" w:color="000000"/>
            </w:tcBorders>
            <w:vAlign w:val="center"/>
          </w:tcPr>
          <w:p w14:paraId="7FD06CBE" w14:textId="77777777" w:rsidR="00703B29" w:rsidRPr="00844D4D" w:rsidRDefault="00703B29">
            <w:pPr>
              <w:autoSpaceDE w:val="0"/>
              <w:autoSpaceDN w:val="0"/>
              <w:adjustRightInd w:val="0"/>
              <w:spacing w:before="0" w:after="0" w:line="260" w:lineRule="atLeast"/>
              <w:jc w:val="center"/>
              <w:rPr>
                <w:rFonts w:cs="Calibri"/>
                <w:b/>
                <w:bCs/>
                <w:color w:val="000000"/>
                <w:sz w:val="16"/>
                <w:szCs w:val="16"/>
                <w:lang w:eastAsia="en-AU"/>
              </w:rPr>
            </w:pPr>
            <w:r w:rsidRPr="00844D4D">
              <w:rPr>
                <w:rFonts w:cs="Calibri"/>
                <w:b/>
                <w:bCs/>
                <w:color w:val="000000"/>
                <w:sz w:val="16"/>
                <w:szCs w:val="16"/>
                <w:lang w:eastAsia="en-AU"/>
              </w:rPr>
              <w:t>0.80</w:t>
            </w:r>
          </w:p>
        </w:tc>
      </w:tr>
    </w:tbl>
    <w:p w14:paraId="394388E4" w14:textId="23426C60" w:rsidR="00880A75" w:rsidRPr="00287470" w:rsidRDefault="00880A75" w:rsidP="00880A75">
      <w:pPr>
        <w:rPr>
          <w:color w:val="000000" w:themeColor="text1"/>
          <w:szCs w:val="22"/>
        </w:rPr>
      </w:pPr>
      <w:r w:rsidRPr="00287470">
        <w:rPr>
          <w:color w:val="000000" w:themeColor="text1"/>
        </w:rPr>
        <w:t xml:space="preserve">Daily light at Cape York locations has been monitored since October 2012 when sites were established. However, in the 2014-15 reporting year, sampling was reduced to once per year, and loggers record for just 5 – 6 months after deployment, and after sampling (i.e. Oct-Mar/Apr). Furthermore, in these remote locations, missed sampling events caused by weather and logistics cause </w:t>
      </w:r>
      <w:r>
        <w:rPr>
          <w:color w:val="000000" w:themeColor="text1"/>
        </w:rPr>
        <w:t xml:space="preserve">prolonged </w:t>
      </w:r>
      <w:r w:rsidRPr="00287470">
        <w:rPr>
          <w:color w:val="000000" w:themeColor="text1"/>
        </w:rPr>
        <w:t xml:space="preserve">gaps in data (e.g. at SR in </w:t>
      </w:r>
      <w:r w:rsidR="008574EC">
        <w:rPr>
          <w:color w:val="000000" w:themeColor="text1"/>
        </w:rPr>
        <w:t>2016–17</w:t>
      </w:r>
      <w:r w:rsidRPr="00287470">
        <w:rPr>
          <w:color w:val="000000" w:themeColor="text1"/>
        </w:rPr>
        <w:t xml:space="preserve">). </w:t>
      </w:r>
      <w:r>
        <w:rPr>
          <w:color w:val="000000" w:themeColor="text1"/>
        </w:rPr>
        <w:t xml:space="preserve">However, in 2016, there was a thermal anomaly that affected Cape York, and this led to an additional survey in June to two of the sites (Stanley Island and Bathurst Bay) to assess the effects of the heatwave on the condition of the seagrass. This provided an opportunity to replace the light loggers leading to very high level of light data retrieval (100 and 99% per cent, respectively) in </w:t>
      </w:r>
      <w:r w:rsidR="008574EC">
        <w:rPr>
          <w:color w:val="000000" w:themeColor="text1"/>
        </w:rPr>
        <w:t>2016–17</w:t>
      </w:r>
      <w:r>
        <w:rPr>
          <w:color w:val="000000" w:themeColor="text1"/>
        </w:rPr>
        <w:t xml:space="preserve">. </w:t>
      </w:r>
      <w:r w:rsidRPr="00287470">
        <w:rPr>
          <w:color w:val="000000" w:themeColor="text1"/>
        </w:rPr>
        <w:t xml:space="preserve">Daily light is generally very high at all Cape York sites (long-term average, </w:t>
      </w:r>
      <w:r>
        <w:rPr>
          <w:color w:val="000000" w:themeColor="text1"/>
        </w:rPr>
        <w:t>17.0</w:t>
      </w:r>
      <w:r w:rsidRPr="00287470">
        <w:rPr>
          <w:color w:val="000000" w:themeColor="text1"/>
        </w:rPr>
        <w:t xml:space="preserve"> mol m</w:t>
      </w:r>
      <w:r w:rsidRPr="00287470">
        <w:rPr>
          <w:color w:val="000000" w:themeColor="text1"/>
          <w:vertAlign w:val="superscript"/>
        </w:rPr>
        <w:t>-2</w:t>
      </w:r>
      <w:r w:rsidRPr="00287470">
        <w:rPr>
          <w:color w:val="000000" w:themeColor="text1"/>
        </w:rPr>
        <w:t xml:space="preserve"> d</w:t>
      </w:r>
      <w:r w:rsidRPr="00287470">
        <w:rPr>
          <w:color w:val="000000" w:themeColor="text1"/>
          <w:vertAlign w:val="superscript"/>
        </w:rPr>
        <w:t>-1</w:t>
      </w:r>
      <w:r w:rsidRPr="00287470">
        <w:rPr>
          <w:color w:val="000000" w:themeColor="text1"/>
        </w:rPr>
        <w:t xml:space="preserve">, </w:t>
      </w:r>
      <w:r w:rsidR="007F6948">
        <w:rPr>
          <w:color w:val="000000" w:themeColor="text1"/>
        </w:rPr>
        <w:t>Great Barrier Reef</w:t>
      </w:r>
      <w:r w:rsidRPr="00287470">
        <w:rPr>
          <w:color w:val="000000" w:themeColor="text1"/>
        </w:rPr>
        <w:t xml:space="preserve">-wide , </w:t>
      </w:r>
      <w:r>
        <w:rPr>
          <w:color w:val="000000" w:themeColor="text1"/>
        </w:rPr>
        <w:t>13.6</w:t>
      </w:r>
      <w:r w:rsidRPr="00287470">
        <w:rPr>
          <w:color w:val="000000" w:themeColor="text1"/>
        </w:rPr>
        <w:t xml:space="preserve"> mol m</w:t>
      </w:r>
      <w:r w:rsidRPr="00287470">
        <w:rPr>
          <w:color w:val="000000" w:themeColor="text1"/>
          <w:vertAlign w:val="superscript"/>
        </w:rPr>
        <w:t>-2</w:t>
      </w:r>
      <w:r w:rsidRPr="00287470">
        <w:rPr>
          <w:color w:val="000000" w:themeColor="text1"/>
        </w:rPr>
        <w:t xml:space="preserve"> d</w:t>
      </w:r>
      <w:r w:rsidRPr="00287470">
        <w:rPr>
          <w:color w:val="000000" w:themeColor="text1"/>
          <w:vertAlign w:val="superscript"/>
        </w:rPr>
        <w:t>-1</w:t>
      </w:r>
      <w:r w:rsidRPr="00287470">
        <w:rPr>
          <w:color w:val="000000" w:themeColor="text1"/>
        </w:rPr>
        <w:t xml:space="preserve">); however, the trends are highly variable among sites with no distinct </w:t>
      </w:r>
      <w:r>
        <w:rPr>
          <w:color w:val="000000" w:themeColor="text1"/>
        </w:rPr>
        <w:t xml:space="preserve">seasonal </w:t>
      </w:r>
      <w:r w:rsidRPr="00287470">
        <w:rPr>
          <w:color w:val="000000" w:themeColor="text1"/>
        </w:rPr>
        <w:t>pattern that characterises benthic light over the past four years (</w:t>
      </w:r>
      <w:r w:rsidRPr="00287470">
        <w:rPr>
          <w:color w:val="000000" w:themeColor="text1"/>
        </w:rPr>
        <w:fldChar w:fldCharType="begin"/>
      </w:r>
      <w:r w:rsidRPr="00287470">
        <w:rPr>
          <w:color w:val="000000" w:themeColor="text1"/>
        </w:rPr>
        <w:instrText xml:space="preserve"> REF _Ref442423941 \h </w:instrText>
      </w:r>
      <w:r w:rsidRPr="00287470">
        <w:rPr>
          <w:color w:val="000000" w:themeColor="text1"/>
        </w:rPr>
      </w:r>
      <w:r w:rsidRPr="00287470">
        <w:rPr>
          <w:color w:val="000000" w:themeColor="text1"/>
        </w:rPr>
        <w:fldChar w:fldCharType="separate"/>
      </w:r>
      <w:r w:rsidR="00F87DF9" w:rsidRPr="005C35C3">
        <w:t xml:space="preserve">Figure </w:t>
      </w:r>
      <w:r w:rsidR="00F87DF9">
        <w:rPr>
          <w:noProof/>
        </w:rPr>
        <w:t>33</w:t>
      </w:r>
      <w:r w:rsidRPr="00287470">
        <w:rPr>
          <w:color w:val="000000" w:themeColor="text1"/>
        </w:rPr>
        <w:fldChar w:fldCharType="end"/>
      </w:r>
      <w:r w:rsidRPr="00287470">
        <w:rPr>
          <w:color w:val="000000" w:themeColor="text1"/>
        </w:rPr>
        <w:t>).</w:t>
      </w:r>
      <w:r>
        <w:rPr>
          <w:color w:val="000000" w:themeColor="text1"/>
        </w:rPr>
        <w:t xml:space="preserve"> In </w:t>
      </w:r>
      <w:r w:rsidR="008574EC">
        <w:rPr>
          <w:color w:val="000000" w:themeColor="text1"/>
        </w:rPr>
        <w:t>2016–17</w:t>
      </w:r>
      <w:r>
        <w:rPr>
          <w:color w:val="000000" w:themeColor="text1"/>
        </w:rPr>
        <w:t>, I</w:t>
      </w:r>
      <w:r w:rsidRPr="003B5680">
        <w:rPr>
          <w:color w:val="000000" w:themeColor="text1"/>
          <w:vertAlign w:val="subscript"/>
        </w:rPr>
        <w:t>d</w:t>
      </w:r>
      <w:r>
        <w:rPr>
          <w:color w:val="000000" w:themeColor="text1"/>
        </w:rPr>
        <w:t xml:space="preserve"> was lower than the long-term average due to low light levels at Archer Point and Piper Reef, but the reason for these low light levels is not apparent. </w:t>
      </w:r>
    </w:p>
    <w:p w14:paraId="1E640484" w14:textId="560DA1AA" w:rsidR="00906FE6" w:rsidRPr="005C35C3" w:rsidRDefault="005C35C3" w:rsidP="002661A3">
      <w:pPr>
        <w:keepNext/>
        <w:widowControl w:val="0"/>
        <w:spacing w:after="0"/>
        <w:jc w:val="center"/>
        <w:rPr>
          <w:color w:val="000000"/>
          <w:szCs w:val="22"/>
        </w:rPr>
      </w:pPr>
      <w:r w:rsidRPr="005C35C3">
        <w:rPr>
          <w:noProof/>
          <w:color w:val="000000"/>
          <w:szCs w:val="22"/>
          <w:lang w:eastAsia="en-AU"/>
        </w:rPr>
        <w:drawing>
          <wp:inline distT="0" distB="0" distL="0" distR="0" wp14:anchorId="63FFE8A6" wp14:editId="2267C834">
            <wp:extent cx="5759450" cy="2170538"/>
            <wp:effectExtent l="0" t="0" r="0" b="1270"/>
            <wp:docPr id="37" name="Picture 37" descr="Plot of mean daily light (all sites pooled) with 28 dat rolling average and Generalised Additive Model plot of temporal trends in daily light for each location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Y_Daily &amp; GAM.png"/>
                    <pic:cNvPicPr/>
                  </pic:nvPicPr>
                  <pic:blipFill>
                    <a:blip r:embed="rId70"/>
                    <a:stretch>
                      <a:fillRect/>
                    </a:stretch>
                  </pic:blipFill>
                  <pic:spPr>
                    <a:xfrm>
                      <a:off x="0" y="0"/>
                      <a:ext cx="5759450" cy="2170538"/>
                    </a:xfrm>
                    <a:prstGeom prst="rect">
                      <a:avLst/>
                    </a:prstGeom>
                  </pic:spPr>
                </pic:pic>
              </a:graphicData>
            </a:graphic>
          </wp:inline>
        </w:drawing>
      </w:r>
    </w:p>
    <w:p w14:paraId="43620831" w14:textId="2FB8A4BA" w:rsidR="0015251F" w:rsidRPr="00716CE2" w:rsidRDefault="008925B3" w:rsidP="0015251F">
      <w:pPr>
        <w:rPr>
          <w:i/>
          <w:vanish/>
          <w:szCs w:val="22"/>
          <w:specVanish/>
        </w:rPr>
      </w:pPr>
      <w:bookmarkStart w:id="228" w:name="_Ref442423941"/>
      <w:bookmarkStart w:id="229" w:name="_Toc516053243"/>
      <w:r w:rsidRPr="005C35C3">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33</w:t>
      </w:r>
      <w:r w:rsidR="00C506C7">
        <w:rPr>
          <w:noProof/>
        </w:rPr>
        <w:fldChar w:fldCharType="end"/>
      </w:r>
      <w:bookmarkEnd w:id="228"/>
      <w:r w:rsidRPr="005C35C3">
        <w:t xml:space="preserve">.  </w:t>
      </w:r>
      <w:r w:rsidR="00A9188E" w:rsidRPr="005C35C3">
        <w:rPr>
          <w:i/>
        </w:rPr>
        <w:t xml:space="preserve">Daily light (mean) at Cape York sites with 28-d rolling average from 2012 to </w:t>
      </w:r>
      <w:r w:rsidR="00A9188E" w:rsidRPr="00BB2963">
        <w:rPr>
          <w:i/>
          <w:color w:val="000000" w:themeColor="text1"/>
        </w:rPr>
        <w:t>201</w:t>
      </w:r>
      <w:r w:rsidR="00BB2963" w:rsidRPr="00BB2963">
        <w:rPr>
          <w:i/>
          <w:color w:val="000000" w:themeColor="text1"/>
        </w:rPr>
        <w:t>7</w:t>
      </w:r>
      <w:r w:rsidR="00A9188E" w:rsidRPr="002D0EAA">
        <w:rPr>
          <w:i/>
          <w:color w:val="0000FF"/>
        </w:rPr>
        <w:t xml:space="preserve"> </w:t>
      </w:r>
      <w:r w:rsidR="00A9188E" w:rsidRPr="005C35C3">
        <w:rPr>
          <w:i/>
        </w:rPr>
        <w:t>(left) and GAM plots (right)</w:t>
      </w:r>
      <w:bookmarkEnd w:id="229"/>
      <w:r w:rsidR="0015251F" w:rsidRPr="0015251F">
        <w:rPr>
          <w:i/>
          <w:vanish/>
          <w:szCs w:val="22"/>
          <w:specVanish/>
        </w:rPr>
        <w:t xml:space="preserve"> </w:t>
      </w:r>
    </w:p>
    <w:p w14:paraId="3A31E289" w14:textId="280C0938" w:rsidR="00A9188E" w:rsidRPr="008E2E54" w:rsidRDefault="0015251F" w:rsidP="0015251F">
      <w:pPr>
        <w:rPr>
          <w:i/>
          <w:vanish/>
        </w:rPr>
      </w:pPr>
      <w:r>
        <w:rPr>
          <w:i/>
        </w:rPr>
        <w:t>.</w:t>
      </w:r>
      <w:r w:rsidR="00A9188E" w:rsidRPr="005C35C3">
        <w:rPr>
          <w:i/>
        </w:rPr>
        <w:t xml:space="preserve"> with the black line showing mean trend for all sites (±95</w:t>
      </w:r>
      <w:r w:rsidR="0063478C">
        <w:rPr>
          <w:i/>
        </w:rPr>
        <w:t xml:space="preserve"> per cent</w:t>
      </w:r>
      <w:r w:rsidR="00A9188E" w:rsidRPr="005C35C3">
        <w:rPr>
          <w:i/>
        </w:rPr>
        <w:t xml:space="preserve"> confidence interval in grey shade) and coloured lines (with CI’s) for each location. Results of statistical analysis (GAM) and site-specific graphs (site-level daily light data plus 28-d rolling average) are shown in Appendix 5.</w:t>
      </w:r>
    </w:p>
    <w:p w14:paraId="0CE8B715" w14:textId="13B2116E" w:rsidR="00906FE6" w:rsidRPr="00BB2963" w:rsidRDefault="00B13CE9" w:rsidP="00A9188E">
      <w:pPr>
        <w:rPr>
          <w:color w:val="000000" w:themeColor="text1"/>
          <w:szCs w:val="22"/>
        </w:rPr>
      </w:pPr>
      <w:r w:rsidRPr="00930995">
        <w:rPr>
          <w:color w:val="000000" w:themeColor="text1"/>
          <w:szCs w:val="22"/>
        </w:rPr>
        <w:t>Coastal and reef seagrass meadows of Cape York are frequently exposed to high temperatures; however, a</w:t>
      </w:r>
      <w:r w:rsidR="00970D64">
        <w:rPr>
          <w:color w:val="000000" w:themeColor="text1"/>
          <w:szCs w:val="22"/>
        </w:rPr>
        <w:t xml:space="preserve"> heat</w:t>
      </w:r>
      <w:r w:rsidR="00182D83" w:rsidRPr="00930995">
        <w:rPr>
          <w:color w:val="000000" w:themeColor="text1"/>
          <w:szCs w:val="22"/>
        </w:rPr>
        <w:t xml:space="preserve">wave </w:t>
      </w:r>
      <w:r w:rsidR="00930995" w:rsidRPr="00930995">
        <w:rPr>
          <w:color w:val="000000" w:themeColor="text1"/>
          <w:szCs w:val="22"/>
        </w:rPr>
        <w:t xml:space="preserve">again </w:t>
      </w:r>
      <w:r w:rsidR="00182D83" w:rsidRPr="00930995">
        <w:rPr>
          <w:color w:val="000000" w:themeColor="text1"/>
          <w:szCs w:val="22"/>
        </w:rPr>
        <w:t xml:space="preserve">swept across Cape York in the </w:t>
      </w:r>
      <w:r w:rsidR="008574EC">
        <w:rPr>
          <w:color w:val="000000" w:themeColor="text1"/>
          <w:szCs w:val="22"/>
        </w:rPr>
        <w:t>2016–17</w:t>
      </w:r>
      <w:r w:rsidR="00182D83" w:rsidRPr="00930995">
        <w:rPr>
          <w:color w:val="000000" w:themeColor="text1"/>
          <w:szCs w:val="22"/>
        </w:rPr>
        <w:t xml:space="preserve"> summer. </w:t>
      </w:r>
      <w:r w:rsidRPr="00930995">
        <w:rPr>
          <w:color w:val="000000" w:themeColor="text1"/>
          <w:szCs w:val="22"/>
        </w:rPr>
        <w:t>I</w:t>
      </w:r>
      <w:r w:rsidR="001907B1" w:rsidRPr="00930995">
        <w:rPr>
          <w:color w:val="000000" w:themeColor="text1"/>
          <w:szCs w:val="22"/>
        </w:rPr>
        <w:t xml:space="preserve">n the summer of </w:t>
      </w:r>
      <w:r w:rsidR="008574EC">
        <w:rPr>
          <w:color w:val="000000" w:themeColor="text1"/>
          <w:szCs w:val="22"/>
        </w:rPr>
        <w:t>2016–17</w:t>
      </w:r>
      <w:r w:rsidR="00B64D15" w:rsidRPr="00930995">
        <w:rPr>
          <w:color w:val="000000" w:themeColor="text1"/>
          <w:szCs w:val="22"/>
        </w:rPr>
        <w:t xml:space="preserve"> </w:t>
      </w:r>
      <w:r w:rsidRPr="00930995">
        <w:rPr>
          <w:color w:val="000000" w:themeColor="text1"/>
          <w:szCs w:val="22"/>
        </w:rPr>
        <w:t xml:space="preserve">within-canopy temperature </w:t>
      </w:r>
      <w:r w:rsidR="00930995" w:rsidRPr="00930995">
        <w:rPr>
          <w:color w:val="000000" w:themeColor="text1"/>
          <w:szCs w:val="22"/>
        </w:rPr>
        <w:t xml:space="preserve">exceeded 35°C in all months except July 2016, which is the longest sustained period of elevated temperature recorded, and the greatest number of days exceeding  35°C (58 d) at the Cape York seagrass sites. The hottest months were in March (&gt; 35°C for 14 days) and in January (&gt; 35°C for 13 days) </w:t>
      </w:r>
      <w:r w:rsidR="00B64D15" w:rsidRPr="00930995">
        <w:rPr>
          <w:color w:val="000000" w:themeColor="text1"/>
          <w:szCs w:val="22"/>
        </w:rPr>
        <w:t>(</w:t>
      </w:r>
      <w:r w:rsidR="00B64D15" w:rsidRPr="00930995">
        <w:rPr>
          <w:color w:val="000000" w:themeColor="text1"/>
          <w:szCs w:val="22"/>
        </w:rPr>
        <w:fldChar w:fldCharType="begin"/>
      </w:r>
      <w:r w:rsidR="00B64D15" w:rsidRPr="00930995">
        <w:rPr>
          <w:color w:val="000000" w:themeColor="text1"/>
          <w:szCs w:val="22"/>
        </w:rPr>
        <w:instrText xml:space="preserve"> REF _Ref473614158 \h </w:instrText>
      </w:r>
      <w:r w:rsidR="00930995" w:rsidRPr="00930995">
        <w:rPr>
          <w:color w:val="000000" w:themeColor="text1"/>
          <w:szCs w:val="22"/>
        </w:rPr>
        <w:instrText xml:space="preserve"> \* MERGEFORMAT </w:instrText>
      </w:r>
      <w:r w:rsidR="00B64D15" w:rsidRPr="00930995">
        <w:rPr>
          <w:color w:val="000000" w:themeColor="text1"/>
          <w:szCs w:val="22"/>
        </w:rPr>
      </w:r>
      <w:r w:rsidR="00B64D15" w:rsidRPr="00930995">
        <w:rPr>
          <w:color w:val="000000" w:themeColor="text1"/>
          <w:szCs w:val="22"/>
        </w:rPr>
        <w:fldChar w:fldCharType="separate"/>
      </w:r>
      <w:r w:rsidR="00F87DF9" w:rsidRPr="00F87DF9">
        <w:rPr>
          <w:color w:val="000000" w:themeColor="text1"/>
          <w:szCs w:val="22"/>
          <w:lang w:val="en-GB"/>
        </w:rPr>
        <w:t xml:space="preserve">Figure </w:t>
      </w:r>
      <w:r w:rsidR="00F87DF9" w:rsidRPr="00F87DF9">
        <w:rPr>
          <w:noProof/>
          <w:color w:val="000000" w:themeColor="text1"/>
          <w:szCs w:val="22"/>
          <w:lang w:val="en-GB"/>
        </w:rPr>
        <w:t>34</w:t>
      </w:r>
      <w:r w:rsidR="00B64D15" w:rsidRPr="00930995">
        <w:rPr>
          <w:color w:val="000000" w:themeColor="text1"/>
          <w:szCs w:val="22"/>
        </w:rPr>
        <w:fldChar w:fldCharType="end"/>
      </w:r>
      <w:r w:rsidR="00137046" w:rsidRPr="00930995">
        <w:rPr>
          <w:color w:val="000000" w:themeColor="text1"/>
          <w:szCs w:val="22"/>
        </w:rPr>
        <w:t>a</w:t>
      </w:r>
      <w:r w:rsidR="00B64D15" w:rsidRPr="00930995">
        <w:rPr>
          <w:color w:val="000000" w:themeColor="text1"/>
          <w:szCs w:val="22"/>
        </w:rPr>
        <w:t>).</w:t>
      </w:r>
      <w:r w:rsidR="001907B1" w:rsidRPr="00930995">
        <w:rPr>
          <w:color w:val="000000" w:themeColor="text1"/>
          <w:szCs w:val="22"/>
        </w:rPr>
        <w:t xml:space="preserve"> </w:t>
      </w:r>
      <w:r w:rsidR="00930995" w:rsidRPr="00930995">
        <w:rPr>
          <w:color w:val="000000" w:themeColor="text1"/>
          <w:szCs w:val="22"/>
        </w:rPr>
        <w:t>Of these, there were 11 days that exceeded 38°C, but no days &gt; 40°C, which is the critical threshold leading to photoinhibition and mortality in some species (</w:t>
      </w:r>
      <w:r w:rsidR="00930995" w:rsidRPr="00791A68">
        <w:rPr>
          <w:color w:val="000000" w:themeColor="text1"/>
          <w:szCs w:val="22"/>
        </w:rPr>
        <w:t>Campbell</w:t>
      </w:r>
      <w:r w:rsidR="00791A68" w:rsidRPr="00791A68">
        <w:rPr>
          <w:color w:val="000000" w:themeColor="text1"/>
          <w:szCs w:val="22"/>
        </w:rPr>
        <w:t xml:space="preserve"> et al 2007</w:t>
      </w:r>
      <w:r w:rsidR="00930995" w:rsidRPr="00791A68">
        <w:rPr>
          <w:color w:val="000000" w:themeColor="text1"/>
          <w:szCs w:val="22"/>
        </w:rPr>
        <w:t>, Collier</w:t>
      </w:r>
      <w:r w:rsidR="00791A68">
        <w:rPr>
          <w:color w:val="000000" w:themeColor="text1"/>
          <w:szCs w:val="22"/>
        </w:rPr>
        <w:t xml:space="preserve"> et al 2014</w:t>
      </w:r>
      <w:r w:rsidR="00930995" w:rsidRPr="00BB2963">
        <w:rPr>
          <w:color w:val="000000" w:themeColor="text1"/>
          <w:szCs w:val="22"/>
        </w:rPr>
        <w:t xml:space="preserve">). </w:t>
      </w:r>
      <w:r w:rsidR="00137046" w:rsidRPr="00BB2963">
        <w:rPr>
          <w:color w:val="000000" w:themeColor="text1"/>
          <w:szCs w:val="22"/>
        </w:rPr>
        <w:t xml:space="preserve">Temperature exceeded the median </w:t>
      </w:r>
      <w:r w:rsidR="00BB2963" w:rsidRPr="00BB2963">
        <w:rPr>
          <w:color w:val="000000" w:themeColor="text1"/>
          <w:szCs w:val="22"/>
        </w:rPr>
        <w:t>for 41 weeks of the year</w:t>
      </w:r>
      <w:r w:rsidR="00137046" w:rsidRPr="00BB2963">
        <w:rPr>
          <w:color w:val="000000" w:themeColor="text1"/>
          <w:szCs w:val="22"/>
        </w:rPr>
        <w:t xml:space="preserve"> (</w:t>
      </w:r>
      <w:r w:rsidR="00137046" w:rsidRPr="00BB2963">
        <w:rPr>
          <w:color w:val="000000" w:themeColor="text1"/>
          <w:szCs w:val="22"/>
        </w:rPr>
        <w:fldChar w:fldCharType="begin"/>
      </w:r>
      <w:r w:rsidR="00137046" w:rsidRPr="00BB2963">
        <w:rPr>
          <w:color w:val="000000" w:themeColor="text1"/>
          <w:szCs w:val="22"/>
        </w:rPr>
        <w:instrText xml:space="preserve"> REF _Ref473614158 \h </w:instrText>
      </w:r>
      <w:r w:rsidR="00137046" w:rsidRPr="00BB2963">
        <w:rPr>
          <w:color w:val="000000" w:themeColor="text1"/>
          <w:szCs w:val="22"/>
        </w:rPr>
      </w:r>
      <w:r w:rsidR="00137046" w:rsidRPr="00BB2963">
        <w:rPr>
          <w:color w:val="000000" w:themeColor="text1"/>
          <w:szCs w:val="22"/>
        </w:rPr>
        <w:fldChar w:fldCharType="separate"/>
      </w:r>
      <w:r w:rsidR="00F87DF9" w:rsidRPr="00EA10D7">
        <w:rPr>
          <w:color w:val="000000"/>
          <w:szCs w:val="22"/>
          <w:lang w:val="en-GB"/>
        </w:rPr>
        <w:t xml:space="preserve">Figure </w:t>
      </w:r>
      <w:r w:rsidR="00F87DF9">
        <w:rPr>
          <w:noProof/>
          <w:color w:val="000000"/>
          <w:szCs w:val="22"/>
          <w:lang w:val="en-GB"/>
        </w:rPr>
        <w:t>34</w:t>
      </w:r>
      <w:r w:rsidR="00137046" w:rsidRPr="00BB2963">
        <w:rPr>
          <w:color w:val="000000" w:themeColor="text1"/>
          <w:szCs w:val="22"/>
        </w:rPr>
        <w:fldChar w:fldCharType="end"/>
      </w:r>
      <w:r w:rsidR="00137046" w:rsidRPr="00BB2963">
        <w:rPr>
          <w:color w:val="000000" w:themeColor="text1"/>
          <w:szCs w:val="22"/>
        </w:rPr>
        <w:t>b) and a</w:t>
      </w:r>
      <w:r w:rsidR="00880E3C" w:rsidRPr="00BB2963">
        <w:rPr>
          <w:color w:val="000000" w:themeColor="text1"/>
          <w:szCs w:val="22"/>
        </w:rPr>
        <w:t>verage</w:t>
      </w:r>
      <w:r w:rsidR="00B64D15" w:rsidRPr="00BB2963">
        <w:rPr>
          <w:color w:val="000000" w:themeColor="text1"/>
          <w:szCs w:val="22"/>
        </w:rPr>
        <w:t xml:space="preserve"> annual within canopy temperatures</w:t>
      </w:r>
      <w:r w:rsidR="00880E3C" w:rsidRPr="00BB2963">
        <w:rPr>
          <w:color w:val="000000" w:themeColor="text1"/>
          <w:szCs w:val="22"/>
        </w:rPr>
        <w:t xml:space="preserve"> in </w:t>
      </w:r>
      <w:r w:rsidR="008574EC">
        <w:rPr>
          <w:color w:val="000000" w:themeColor="text1"/>
          <w:szCs w:val="22"/>
        </w:rPr>
        <w:t>2016–17</w:t>
      </w:r>
      <w:r w:rsidR="00B64D15" w:rsidRPr="00BB2963">
        <w:rPr>
          <w:color w:val="000000" w:themeColor="text1"/>
          <w:szCs w:val="22"/>
        </w:rPr>
        <w:t xml:space="preserve"> were </w:t>
      </w:r>
      <w:r w:rsidR="00BB2963" w:rsidRPr="00BB2963">
        <w:rPr>
          <w:color w:val="000000" w:themeColor="text1"/>
          <w:szCs w:val="22"/>
        </w:rPr>
        <w:t>almost 1°C</w:t>
      </w:r>
      <w:r w:rsidR="00B64D15" w:rsidRPr="00BB2963">
        <w:rPr>
          <w:color w:val="000000" w:themeColor="text1"/>
          <w:szCs w:val="22"/>
        </w:rPr>
        <w:t xml:space="preserve"> above the long-term average </w:t>
      </w:r>
      <w:r w:rsidR="00137046" w:rsidRPr="00BB2963">
        <w:rPr>
          <w:color w:val="000000" w:themeColor="text1"/>
          <w:szCs w:val="22"/>
        </w:rPr>
        <w:t>(</w:t>
      </w:r>
      <w:r w:rsidR="00137046" w:rsidRPr="00BB2963">
        <w:rPr>
          <w:color w:val="000000" w:themeColor="text1"/>
          <w:szCs w:val="22"/>
        </w:rPr>
        <w:fldChar w:fldCharType="begin"/>
      </w:r>
      <w:r w:rsidR="00137046" w:rsidRPr="00BB2963">
        <w:rPr>
          <w:color w:val="000000" w:themeColor="text1"/>
          <w:szCs w:val="22"/>
        </w:rPr>
        <w:instrText xml:space="preserve"> REF _Ref442423803 \h </w:instrText>
      </w:r>
      <w:r w:rsidR="00137046" w:rsidRPr="00BB2963">
        <w:rPr>
          <w:color w:val="000000" w:themeColor="text1"/>
          <w:szCs w:val="22"/>
        </w:rPr>
      </w:r>
      <w:r w:rsidR="00137046" w:rsidRPr="00BB2963">
        <w:rPr>
          <w:color w:val="000000" w:themeColor="text1"/>
          <w:szCs w:val="22"/>
        </w:rPr>
        <w:fldChar w:fldCharType="separate"/>
      </w:r>
      <w:r w:rsidR="00F87DF9">
        <w:t xml:space="preserve">Table </w:t>
      </w:r>
      <w:r w:rsidR="00F87DF9">
        <w:rPr>
          <w:noProof/>
        </w:rPr>
        <w:t>12</w:t>
      </w:r>
      <w:r w:rsidR="00137046" w:rsidRPr="00BB2963">
        <w:rPr>
          <w:color w:val="000000" w:themeColor="text1"/>
          <w:szCs w:val="22"/>
        </w:rPr>
        <w:fldChar w:fldCharType="end"/>
      </w:r>
      <w:r w:rsidR="00137046" w:rsidRPr="00BB2963">
        <w:rPr>
          <w:color w:val="000000" w:themeColor="text1"/>
          <w:szCs w:val="22"/>
        </w:rPr>
        <w:t>)</w:t>
      </w:r>
      <w:r w:rsidR="00B64D15" w:rsidRPr="00BB2963">
        <w:rPr>
          <w:color w:val="000000" w:themeColor="text1"/>
          <w:szCs w:val="22"/>
        </w:rPr>
        <w:t xml:space="preserve">. </w:t>
      </w:r>
    </w:p>
    <w:p w14:paraId="56C45AFF" w14:textId="77777777" w:rsidR="00906FE6" w:rsidRDefault="002D353D" w:rsidP="00121CDB">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42885022" wp14:editId="47C13560">
            <wp:extent cx="4877258" cy="2594997"/>
            <wp:effectExtent l="0" t="0" r="0" b="0"/>
            <wp:docPr id="7" name="Picture 7" descr="Panel of two bar graphs showing number of days when inshore within canopy sea temperature exceeded 35°C, 38°C, 40°C and 43°C within each season and deviations at Archer Point from 7-year mean weekly temperature records for intertidal seagrass habitats in the Cape York NRM region from April 2007 to Ju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Y_temperature_deviation_2016.png"/>
                    <pic:cNvPicPr/>
                  </pic:nvPicPr>
                  <pic:blipFill>
                    <a:blip r:embed="rId71">
                      <a:extLst>
                        <a:ext uri="{28A0092B-C50C-407E-A947-70E740481C1C}">
                          <a14:useLocalDpi xmlns:a14="http://schemas.microsoft.com/office/drawing/2010/main" val="0"/>
                        </a:ext>
                      </a:extLst>
                    </a:blip>
                    <a:stretch>
                      <a:fillRect/>
                    </a:stretch>
                  </pic:blipFill>
                  <pic:spPr>
                    <a:xfrm>
                      <a:off x="0" y="0"/>
                      <a:ext cx="4877258" cy="2594997"/>
                    </a:xfrm>
                    <a:prstGeom prst="rect">
                      <a:avLst/>
                    </a:prstGeom>
                  </pic:spPr>
                </pic:pic>
              </a:graphicData>
            </a:graphic>
          </wp:inline>
        </w:drawing>
      </w:r>
    </w:p>
    <w:p w14:paraId="48A8A800" w14:textId="77777777" w:rsidR="0015251F" w:rsidRPr="00716CE2" w:rsidRDefault="00906FE6" w:rsidP="0015251F">
      <w:pPr>
        <w:rPr>
          <w:i/>
          <w:vanish/>
          <w:szCs w:val="22"/>
          <w:specVanish/>
        </w:rPr>
      </w:pPr>
      <w:bookmarkStart w:id="230" w:name="_Ref473614158"/>
      <w:bookmarkStart w:id="231" w:name="_Toc516053244"/>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34</w:t>
      </w:r>
      <w:r w:rsidR="0073595B">
        <w:rPr>
          <w:color w:val="000000"/>
          <w:szCs w:val="22"/>
          <w:lang w:val="en-GB"/>
        </w:rPr>
        <w:fldChar w:fldCharType="end"/>
      </w:r>
      <w:bookmarkEnd w:id="230"/>
      <w:r w:rsidRPr="00EA10D7">
        <w:rPr>
          <w:color w:val="000000"/>
          <w:szCs w:val="22"/>
          <w:lang w:val="en-GB"/>
        </w:rPr>
        <w:t xml:space="preserve">. </w:t>
      </w:r>
      <w:r w:rsidRPr="00EA10D7">
        <w:rPr>
          <w:i/>
          <w:color w:val="000000"/>
          <w:szCs w:val="22"/>
          <w:lang w:val="en-GB"/>
        </w:rPr>
        <w:t xml:space="preserve">Inshore </w:t>
      </w:r>
      <w:r w:rsidR="00272A62">
        <w:rPr>
          <w:i/>
          <w:color w:val="000000"/>
          <w:szCs w:val="22"/>
          <w:lang w:val="en-GB"/>
        </w:rPr>
        <w:t xml:space="preserve">within canopy </w:t>
      </w:r>
      <w:r w:rsidRPr="00EA10D7">
        <w:rPr>
          <w:i/>
          <w:color w:val="000000"/>
          <w:szCs w:val="22"/>
          <w:lang w:val="en-GB"/>
        </w:rPr>
        <w:t xml:space="preserve">sea temperature for intertidal seagrass habitats in the Cape York </w:t>
      </w:r>
      <w:r w:rsidRPr="00ED0424">
        <w:rPr>
          <w:i/>
          <w:szCs w:val="22"/>
          <w:lang w:val="en-GB"/>
        </w:rPr>
        <w:t>NRM region from April 2007 to June 201</w:t>
      </w:r>
      <w:r w:rsidR="00ED0424" w:rsidRPr="00ED0424">
        <w:rPr>
          <w:i/>
          <w:szCs w:val="22"/>
          <w:lang w:val="en-GB"/>
        </w:rPr>
        <w:t>7</w:t>
      </w:r>
      <w:bookmarkEnd w:id="231"/>
    </w:p>
    <w:p w14:paraId="50859303" w14:textId="41F62EE4" w:rsidR="00906FE6" w:rsidRPr="008E2E54" w:rsidRDefault="00906FE6" w:rsidP="0015251F">
      <w:pPr>
        <w:spacing w:before="0"/>
        <w:rPr>
          <w:i/>
          <w:vanish/>
          <w:szCs w:val="22"/>
          <w:lang w:val="en-GB"/>
        </w:rPr>
      </w:pPr>
      <w:r w:rsidRPr="00ED0424">
        <w:rPr>
          <w:i/>
          <w:szCs w:val="22"/>
          <w:lang w:val="en-GB"/>
        </w:rPr>
        <w:t>:</w:t>
      </w:r>
      <w:r w:rsidRPr="00ED0424">
        <w:rPr>
          <w:i/>
          <w:szCs w:val="22"/>
        </w:rPr>
        <w:t xml:space="preserve"> a) n</w:t>
      </w:r>
      <w:r w:rsidRPr="00ED0424">
        <w:rPr>
          <w:i/>
          <w:szCs w:val="22"/>
          <w:lang w:val="en-GB"/>
        </w:rPr>
        <w:t xml:space="preserve">umber of days when temperature exceeded 35°C, 38°C, 40°C and 43°C within each season (thresholds adapted from </w:t>
      </w:r>
      <w:hyperlink w:anchor="_ENREF_30" w:tooltip="Campbell, 2006 #2896" w:history="1">
        <w:r w:rsidR="00305FE7" w:rsidRPr="00ED0424">
          <w:rPr>
            <w:i/>
            <w:szCs w:val="22"/>
            <w:lang w:val="en-GB"/>
          </w:rPr>
          <w:fldChar w:fldCharType="begin"/>
        </w:r>
        <w:r w:rsidR="00305FE7">
          <w:rPr>
            <w:i/>
            <w:szCs w:val="22"/>
            <w:lang w:val="en-GB"/>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sidRPr="00ED0424">
          <w:rPr>
            <w:i/>
            <w:szCs w:val="22"/>
            <w:lang w:val="en-GB"/>
          </w:rPr>
          <w:fldChar w:fldCharType="separate"/>
        </w:r>
        <w:r w:rsidR="00305FE7">
          <w:rPr>
            <w:i/>
            <w:noProof/>
            <w:szCs w:val="22"/>
            <w:lang w:val="en-GB"/>
          </w:rPr>
          <w:t>Campbell et al. 2006</w:t>
        </w:r>
        <w:r w:rsidR="00305FE7" w:rsidRPr="00ED0424">
          <w:rPr>
            <w:i/>
            <w:szCs w:val="22"/>
            <w:lang w:val="en-GB"/>
          </w:rPr>
          <w:fldChar w:fldCharType="end"/>
        </w:r>
      </w:hyperlink>
      <w:r w:rsidRPr="00ED0424">
        <w:rPr>
          <w:i/>
          <w:szCs w:val="22"/>
          <w:lang w:val="en-GB"/>
        </w:rPr>
        <w:t xml:space="preserve">); b) deviations at </w:t>
      </w:r>
      <w:r w:rsidRPr="00EA10D7">
        <w:rPr>
          <w:i/>
          <w:color w:val="000000"/>
          <w:szCs w:val="22"/>
          <w:lang w:val="en-GB"/>
        </w:rPr>
        <w:t xml:space="preserve">Archer Point from </w:t>
      </w:r>
      <w:r>
        <w:rPr>
          <w:i/>
          <w:color w:val="000000"/>
          <w:szCs w:val="22"/>
          <w:lang w:val="en-GB"/>
        </w:rPr>
        <w:t>7</w:t>
      </w:r>
      <w:r w:rsidRPr="00EA10D7">
        <w:rPr>
          <w:i/>
          <w:color w:val="000000"/>
          <w:szCs w:val="22"/>
          <w:lang w:val="en-GB"/>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14:paraId="2F65CAC9" w14:textId="77777777" w:rsidR="001D3ECB" w:rsidRDefault="001D3ECB" w:rsidP="001D3ECB">
      <w:pPr>
        <w:pStyle w:val="Heading3"/>
        <w:numPr>
          <w:ilvl w:val="2"/>
          <w:numId w:val="9"/>
        </w:numPr>
        <w:rPr>
          <w:rFonts w:ascii="Arial" w:hAnsi="Arial" w:cs="Arial"/>
          <w:color w:val="000000"/>
        </w:rPr>
      </w:pPr>
      <w:bookmarkStart w:id="232" w:name="_Toc516053140"/>
      <w:r>
        <w:rPr>
          <w:rFonts w:ascii="Arial" w:hAnsi="Arial" w:cs="Arial"/>
          <w:color w:val="000000"/>
        </w:rPr>
        <w:t>Indicators of seagrass condition</w:t>
      </w:r>
      <w:bookmarkEnd w:id="232"/>
    </w:p>
    <w:p w14:paraId="42F406FB" w14:textId="31537790" w:rsidR="00EE1122" w:rsidRPr="00791A68" w:rsidRDefault="00EE1122" w:rsidP="00EE1122">
      <w:pPr>
        <w:rPr>
          <w:color w:val="000000" w:themeColor="text1"/>
          <w:lang w:eastAsia="x-none"/>
        </w:rPr>
      </w:pPr>
      <w:r w:rsidRPr="00791A68">
        <w:rPr>
          <w:color w:val="000000" w:themeColor="text1"/>
          <w:lang w:eastAsia="x-none"/>
        </w:rPr>
        <w:t xml:space="preserve">Three seagrass habitat types were assessed across the Cape York region in </w:t>
      </w:r>
      <w:r w:rsidR="008574EC">
        <w:rPr>
          <w:color w:val="000000" w:themeColor="text1"/>
          <w:lang w:eastAsia="x-none"/>
        </w:rPr>
        <w:t>2016–17</w:t>
      </w:r>
      <w:r w:rsidR="002765F1" w:rsidRPr="00791A68">
        <w:rPr>
          <w:color w:val="000000" w:themeColor="text1"/>
          <w:lang w:eastAsia="x-none"/>
        </w:rPr>
        <w:t xml:space="preserve">, </w:t>
      </w:r>
      <w:r w:rsidR="00791A68">
        <w:rPr>
          <w:color w:val="000000" w:themeColor="text1"/>
          <w:lang w:eastAsia="x-none"/>
        </w:rPr>
        <w:t>with data from 1</w:t>
      </w:r>
      <w:r w:rsidR="00E5349B">
        <w:rPr>
          <w:color w:val="000000" w:themeColor="text1"/>
          <w:lang w:eastAsia="x-none"/>
        </w:rPr>
        <w:t xml:space="preserve">2 of the 15 long-term monitoring </w:t>
      </w:r>
      <w:r w:rsidRPr="00791A68">
        <w:rPr>
          <w:color w:val="000000" w:themeColor="text1"/>
          <w:lang w:eastAsia="x-none"/>
        </w:rPr>
        <w:t>sites (</w:t>
      </w:r>
      <w:r w:rsidRPr="00791A68">
        <w:rPr>
          <w:color w:val="000000" w:themeColor="text1"/>
          <w:lang w:eastAsia="x-none"/>
        </w:rPr>
        <w:fldChar w:fldCharType="begin"/>
      </w:r>
      <w:r w:rsidRPr="00791A68">
        <w:rPr>
          <w:color w:val="000000" w:themeColor="text1"/>
          <w:lang w:eastAsia="x-none"/>
        </w:rPr>
        <w:instrText xml:space="preserve"> REF _Ref473897619 \h </w:instrText>
      </w:r>
      <w:r w:rsidRPr="00791A68">
        <w:rPr>
          <w:color w:val="000000" w:themeColor="text1"/>
          <w:lang w:eastAsia="x-none"/>
        </w:rPr>
      </w:r>
      <w:r w:rsidRPr="00791A68">
        <w:rPr>
          <w:color w:val="000000" w:themeColor="text1"/>
          <w:lang w:eastAsia="x-none"/>
        </w:rPr>
        <w:fldChar w:fldCharType="separate"/>
      </w:r>
      <w:r w:rsidR="00F87DF9">
        <w:t xml:space="preserve">Table </w:t>
      </w:r>
      <w:r w:rsidR="00F87DF9">
        <w:rPr>
          <w:noProof/>
        </w:rPr>
        <w:t>14</w:t>
      </w:r>
      <w:r w:rsidRPr="00791A68">
        <w:rPr>
          <w:color w:val="000000" w:themeColor="text1"/>
          <w:lang w:eastAsia="x-none"/>
        </w:rPr>
        <w:fldChar w:fldCharType="end"/>
      </w:r>
      <w:r w:rsidRPr="00791A68">
        <w:rPr>
          <w:color w:val="000000" w:themeColor="text1"/>
          <w:lang w:eastAsia="x-none"/>
        </w:rPr>
        <w:t>).</w:t>
      </w:r>
    </w:p>
    <w:p w14:paraId="04EB76D3" w14:textId="77777777" w:rsidR="00E50C95" w:rsidRPr="00A93D8C" w:rsidRDefault="00EE1122" w:rsidP="00E50C95">
      <w:pPr>
        <w:spacing w:before="0"/>
        <w:rPr>
          <w:i/>
          <w:vanish/>
          <w:specVanish/>
        </w:rPr>
      </w:pPr>
      <w:bookmarkStart w:id="233" w:name="_Ref473897619"/>
      <w:bookmarkStart w:id="234" w:name="_Toc516053438"/>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14</w:t>
      </w:r>
      <w:r w:rsidR="00C506C7">
        <w:rPr>
          <w:noProof/>
        </w:rPr>
        <w:fldChar w:fldCharType="end"/>
      </w:r>
      <w:bookmarkEnd w:id="233"/>
      <w:r>
        <w:t xml:space="preserve">. </w:t>
      </w:r>
      <w:r w:rsidRPr="00EE1122">
        <w:rPr>
          <w:i/>
        </w:rPr>
        <w:t xml:space="preserve">List of data sources of seagrass and environmental condition indicators for each seagrass habitat type in the </w:t>
      </w:r>
      <w:r>
        <w:rPr>
          <w:i/>
        </w:rPr>
        <w:t>Cape York</w:t>
      </w:r>
      <w:r w:rsidRPr="00EE1122">
        <w:rPr>
          <w:i/>
        </w:rPr>
        <w:t xml:space="preserve"> NRM region</w:t>
      </w:r>
      <w:bookmarkEnd w:id="234"/>
    </w:p>
    <w:p w14:paraId="609B19D2" w14:textId="6A1E978B" w:rsidR="00EE1122" w:rsidRPr="008E2E54" w:rsidRDefault="00EE1122" w:rsidP="00994F86">
      <w:pPr>
        <w:spacing w:before="240"/>
        <w:rPr>
          <w:i/>
          <w:vanish/>
          <w:color w:val="000000"/>
          <w:szCs w:val="22"/>
          <w:lang w:val="en-GB"/>
        </w:rPr>
      </w:pPr>
      <w:r w:rsidRPr="00EE1122">
        <w:rPr>
          <w:i/>
        </w:rPr>
        <w:t>.</w:t>
      </w:r>
      <w:r w:rsidR="008E2E54">
        <w:rPr>
          <w:i/>
        </w:rPr>
        <w:t xml:space="preserve"> </w:t>
      </w:r>
      <w:r w:rsidRPr="00EE1122">
        <w:rPr>
          <w:i/>
        </w:rPr>
        <w:t xml:space="preserve">For site details see </w:t>
      </w:r>
      <w:r w:rsidRPr="00EE1122">
        <w:rPr>
          <w:i/>
        </w:rPr>
        <w:fldChar w:fldCharType="begin"/>
      </w:r>
      <w:r w:rsidRPr="00EE1122">
        <w:rPr>
          <w:i/>
        </w:rPr>
        <w:instrText xml:space="preserve"> REF _Ref236539751 \h </w:instrText>
      </w:r>
      <w:r>
        <w:rPr>
          <w:i/>
        </w:rPr>
        <w:instrText xml:space="preserve"> \* MERGEFORMAT </w:instrText>
      </w:r>
      <w:r w:rsidRPr="00EE1122">
        <w:rPr>
          <w:i/>
        </w:rPr>
      </w:r>
      <w:r w:rsidRPr="00EE1122">
        <w:rPr>
          <w:i/>
        </w:rPr>
        <w:fldChar w:fldCharType="separate"/>
      </w:r>
      <w:r w:rsidR="00F87DF9" w:rsidRPr="00F87DF9">
        <w:rPr>
          <w:i/>
          <w:color w:val="000000"/>
          <w:szCs w:val="22"/>
        </w:rPr>
        <w:t xml:space="preserve">Table </w:t>
      </w:r>
      <w:r w:rsidR="00F87DF9" w:rsidRPr="00F87DF9">
        <w:rPr>
          <w:i/>
          <w:noProof/>
          <w:color w:val="000000"/>
          <w:szCs w:val="22"/>
        </w:rPr>
        <w:t>3</w:t>
      </w:r>
      <w:r w:rsidRPr="00EE1122">
        <w:rPr>
          <w:i/>
        </w:rPr>
        <w:fldChar w:fldCharType="end"/>
      </w:r>
      <w:r w:rsidRPr="00EE1122">
        <w:rPr>
          <w:i/>
        </w:rPr>
        <w:t xml:space="preserve"> and </w:t>
      </w:r>
      <w:r w:rsidRPr="00EE1122">
        <w:rPr>
          <w:i/>
        </w:rPr>
        <w:fldChar w:fldCharType="begin"/>
      </w:r>
      <w:r w:rsidRPr="00EE1122">
        <w:rPr>
          <w:i/>
        </w:rPr>
        <w:instrText xml:space="preserve"> REF _Ref461186562 \h </w:instrText>
      </w:r>
      <w:r>
        <w:rPr>
          <w:i/>
        </w:rPr>
        <w:instrText xml:space="preserve"> \* MERGEFORMAT </w:instrText>
      </w:r>
      <w:r w:rsidRPr="00EE1122">
        <w:rPr>
          <w:i/>
        </w:rPr>
      </w:r>
      <w:r w:rsidRPr="00EE1122">
        <w:rPr>
          <w:i/>
        </w:rPr>
        <w:fldChar w:fldCharType="separate"/>
      </w:r>
      <w:r w:rsidR="00F87DF9" w:rsidRPr="00F87DF9">
        <w:rPr>
          <w:i/>
          <w:color w:val="000000"/>
          <w:szCs w:val="22"/>
        </w:rPr>
        <w:t xml:space="preserve">Table </w:t>
      </w:r>
      <w:r w:rsidR="00F87DF9" w:rsidRPr="00F87DF9">
        <w:rPr>
          <w:i/>
          <w:noProof/>
          <w:color w:val="000000"/>
          <w:szCs w:val="22"/>
        </w:rPr>
        <w:t>4</w:t>
      </w:r>
      <w:r w:rsidRPr="00EE1122">
        <w:rPr>
          <w:i/>
        </w:rPr>
        <w:fldChar w:fldCharType="end"/>
      </w:r>
      <w:r>
        <w:rPr>
          <w:i/>
        </w:rPr>
        <w:t>.</w:t>
      </w:r>
      <w:r w:rsidR="00F75525">
        <w:rPr>
          <w:i/>
        </w:rPr>
        <w:t xml:space="preserve"> </w:t>
      </w:r>
      <w:r>
        <w:rPr>
          <w:i/>
          <w:color w:val="000000"/>
          <w:szCs w:val="22"/>
        </w:rPr>
        <w:t xml:space="preserve">Open square indicates </w:t>
      </w:r>
      <w:r w:rsidR="00F75525">
        <w:rPr>
          <w:i/>
          <w:color w:val="000000"/>
          <w:szCs w:val="22"/>
        </w:rPr>
        <w:t xml:space="preserve">not measured in </w:t>
      </w:r>
      <w:r w:rsidR="008574EC">
        <w:rPr>
          <w:i/>
          <w:color w:val="000000"/>
          <w:szCs w:val="22"/>
        </w:rPr>
        <w:t>2016–17</w:t>
      </w:r>
      <w:r w:rsidR="00F75525">
        <w:rPr>
          <w:i/>
          <w:color w:val="000000"/>
          <w:szCs w:val="22"/>
        </w:rPr>
        <w:t>.</w:t>
      </w:r>
      <w:r w:rsidR="00BE000D">
        <w:rPr>
          <w:i/>
          <w:color w:val="000000"/>
          <w:szCs w:val="22"/>
        </w:rPr>
        <w:t xml:space="preserve"> </w:t>
      </w:r>
      <w:r w:rsidR="00BE000D" w:rsidRPr="00BE000D">
        <w:rPr>
          <w:i/>
          <w:color w:val="000000"/>
          <w:szCs w:val="22"/>
          <w:vertAlign w:val="superscript"/>
        </w:rPr>
        <w:sym w:font="Wingdings 2" w:char="F085"/>
      </w:r>
      <w:r w:rsidR="00BE000D">
        <w:rPr>
          <w:i/>
          <w:color w:val="000000"/>
          <w:szCs w:val="22"/>
        </w:rPr>
        <w:t xml:space="preserve"> drop camera sampling (QPWS), *Seagrass-Watch.</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1"/>
        <w:gridCol w:w="674"/>
        <w:gridCol w:w="3042"/>
        <w:gridCol w:w="467"/>
        <w:gridCol w:w="467"/>
        <w:gridCol w:w="467"/>
        <w:gridCol w:w="467"/>
        <w:gridCol w:w="467"/>
        <w:gridCol w:w="467"/>
        <w:gridCol w:w="467"/>
        <w:gridCol w:w="467"/>
        <w:gridCol w:w="467"/>
      </w:tblGrid>
      <w:tr w:rsidR="00EE1122" w:rsidRPr="00BE000D" w14:paraId="6DB0B329" w14:textId="77777777" w:rsidTr="00E5349B">
        <w:trPr>
          <w:cantSplit/>
          <w:trHeight w:val="1459"/>
          <w:jc w:val="center"/>
        </w:trPr>
        <w:tc>
          <w:tcPr>
            <w:tcW w:w="1681" w:type="dxa"/>
            <w:shd w:val="clear" w:color="auto" w:fill="BBE0E3"/>
            <w:vAlign w:val="center"/>
          </w:tcPr>
          <w:p w14:paraId="393A78E3" w14:textId="77777777" w:rsidR="00EE1122" w:rsidRPr="00BE000D" w:rsidRDefault="00EE1122" w:rsidP="00994F86">
            <w:pPr>
              <w:spacing w:before="0" w:after="0"/>
              <w:jc w:val="center"/>
              <w:rPr>
                <w:rFonts w:cs="Arial"/>
                <w:b/>
                <w:bCs/>
                <w:color w:val="000000"/>
                <w:sz w:val="20"/>
                <w:szCs w:val="20"/>
              </w:rPr>
            </w:pPr>
            <w:r w:rsidRPr="00BE000D">
              <w:rPr>
                <w:rFonts w:cs="Arial"/>
                <w:b/>
                <w:bCs/>
                <w:color w:val="000000"/>
                <w:sz w:val="20"/>
                <w:szCs w:val="20"/>
              </w:rPr>
              <w:t>Habitat</w:t>
            </w:r>
          </w:p>
        </w:tc>
        <w:tc>
          <w:tcPr>
            <w:tcW w:w="3716" w:type="dxa"/>
            <w:gridSpan w:val="2"/>
            <w:shd w:val="clear" w:color="auto" w:fill="BBE0E3"/>
            <w:noWrap/>
            <w:vAlign w:val="center"/>
          </w:tcPr>
          <w:p w14:paraId="133C7B7A" w14:textId="77777777" w:rsidR="00EE1122" w:rsidRPr="00BE000D" w:rsidRDefault="00EE1122" w:rsidP="00994F86">
            <w:pPr>
              <w:spacing w:before="0" w:after="0"/>
              <w:jc w:val="center"/>
              <w:rPr>
                <w:rFonts w:cs="Arial"/>
                <w:b/>
                <w:bCs/>
                <w:color w:val="000000"/>
                <w:sz w:val="20"/>
                <w:szCs w:val="20"/>
              </w:rPr>
            </w:pPr>
            <w:r w:rsidRPr="00BE000D">
              <w:rPr>
                <w:rFonts w:cs="Arial"/>
                <w:b/>
                <w:bCs/>
                <w:color w:val="000000"/>
                <w:sz w:val="20"/>
                <w:szCs w:val="20"/>
              </w:rPr>
              <w:t>Site</w:t>
            </w:r>
          </w:p>
        </w:tc>
        <w:tc>
          <w:tcPr>
            <w:tcW w:w="467" w:type="dxa"/>
            <w:shd w:val="clear" w:color="auto" w:fill="BBE0E3"/>
            <w:textDirection w:val="btLr"/>
            <w:vAlign w:val="center"/>
          </w:tcPr>
          <w:p w14:paraId="1259B716"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abundance</w:t>
            </w:r>
          </w:p>
        </w:tc>
        <w:tc>
          <w:tcPr>
            <w:tcW w:w="467" w:type="dxa"/>
            <w:shd w:val="clear" w:color="auto" w:fill="BBE0E3"/>
            <w:textDirection w:val="btLr"/>
            <w:vAlign w:val="center"/>
          </w:tcPr>
          <w:p w14:paraId="16D19093"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 xml:space="preserve">composition </w:t>
            </w:r>
          </w:p>
        </w:tc>
        <w:tc>
          <w:tcPr>
            <w:tcW w:w="467" w:type="dxa"/>
            <w:shd w:val="clear" w:color="auto" w:fill="BBE0E3"/>
            <w:textDirection w:val="btLr"/>
            <w:vAlign w:val="center"/>
          </w:tcPr>
          <w:p w14:paraId="00A4191E"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distribution</w:t>
            </w:r>
          </w:p>
        </w:tc>
        <w:tc>
          <w:tcPr>
            <w:tcW w:w="467" w:type="dxa"/>
            <w:shd w:val="clear" w:color="auto" w:fill="BBE0E3"/>
            <w:textDirection w:val="btLr"/>
            <w:vAlign w:val="center"/>
          </w:tcPr>
          <w:p w14:paraId="326452D7"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Reproductive effort</w:t>
            </w:r>
          </w:p>
        </w:tc>
        <w:tc>
          <w:tcPr>
            <w:tcW w:w="467" w:type="dxa"/>
            <w:shd w:val="clear" w:color="auto" w:fill="BBE0E3"/>
            <w:textDirection w:val="btLr"/>
            <w:vAlign w:val="center"/>
          </w:tcPr>
          <w:p w14:paraId="4DCACBC3"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seed banks</w:t>
            </w:r>
          </w:p>
        </w:tc>
        <w:tc>
          <w:tcPr>
            <w:tcW w:w="467" w:type="dxa"/>
            <w:shd w:val="clear" w:color="auto" w:fill="BBE0E3"/>
            <w:textDirection w:val="btLr"/>
            <w:vAlign w:val="center"/>
          </w:tcPr>
          <w:p w14:paraId="77F7CC05"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Leaf tissue nutrients</w:t>
            </w:r>
          </w:p>
        </w:tc>
        <w:tc>
          <w:tcPr>
            <w:tcW w:w="467" w:type="dxa"/>
            <w:shd w:val="clear" w:color="auto" w:fill="BBE0E3"/>
            <w:textDirection w:val="btLr"/>
            <w:vAlign w:val="center"/>
          </w:tcPr>
          <w:p w14:paraId="785ACB9B"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Meadow sediments</w:t>
            </w:r>
          </w:p>
        </w:tc>
        <w:tc>
          <w:tcPr>
            <w:tcW w:w="467" w:type="dxa"/>
            <w:shd w:val="clear" w:color="auto" w:fill="BBE0E3"/>
            <w:textDirection w:val="btLr"/>
            <w:vAlign w:val="center"/>
          </w:tcPr>
          <w:p w14:paraId="4E41F9CF"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Epiphytes</w:t>
            </w:r>
          </w:p>
        </w:tc>
        <w:tc>
          <w:tcPr>
            <w:tcW w:w="467" w:type="dxa"/>
            <w:shd w:val="clear" w:color="auto" w:fill="BBE0E3"/>
            <w:textDirection w:val="btLr"/>
          </w:tcPr>
          <w:p w14:paraId="541967D2" w14:textId="77777777" w:rsidR="00EE1122" w:rsidRPr="00E5349B" w:rsidRDefault="00EE1122" w:rsidP="00994F86">
            <w:pPr>
              <w:spacing w:before="0" w:after="0"/>
              <w:ind w:right="113"/>
              <w:rPr>
                <w:rFonts w:cs="Arial"/>
                <w:b/>
                <w:bCs/>
                <w:color w:val="000000"/>
                <w:sz w:val="16"/>
                <w:szCs w:val="16"/>
              </w:rPr>
            </w:pPr>
            <w:r w:rsidRPr="00E5349B">
              <w:rPr>
                <w:rFonts w:cs="Arial"/>
                <w:b/>
                <w:bCs/>
                <w:color w:val="000000"/>
                <w:sz w:val="16"/>
                <w:szCs w:val="16"/>
              </w:rPr>
              <w:t>Macroalgae</w:t>
            </w:r>
          </w:p>
        </w:tc>
      </w:tr>
      <w:tr w:rsidR="009867A3" w:rsidRPr="00015190" w14:paraId="09E8D5AA" w14:textId="77777777" w:rsidTr="00BE000D">
        <w:trPr>
          <w:trHeight w:val="170"/>
          <w:jc w:val="center"/>
        </w:trPr>
        <w:tc>
          <w:tcPr>
            <w:tcW w:w="1681" w:type="dxa"/>
            <w:vMerge w:val="restart"/>
            <w:shd w:val="clear" w:color="auto" w:fill="E7F3F4"/>
            <w:vAlign w:val="center"/>
          </w:tcPr>
          <w:p w14:paraId="2ED61DDD" w14:textId="77777777" w:rsidR="009867A3" w:rsidRPr="00BE000D" w:rsidRDefault="009867A3" w:rsidP="00994F86">
            <w:pPr>
              <w:spacing w:before="0" w:after="0"/>
              <w:jc w:val="center"/>
              <w:rPr>
                <w:color w:val="000000"/>
                <w:sz w:val="20"/>
                <w:szCs w:val="20"/>
              </w:rPr>
            </w:pPr>
            <w:r w:rsidRPr="00BE000D">
              <w:rPr>
                <w:color w:val="000000"/>
                <w:sz w:val="20"/>
                <w:szCs w:val="20"/>
              </w:rPr>
              <w:t>coastal intertidal</w:t>
            </w:r>
          </w:p>
        </w:tc>
        <w:tc>
          <w:tcPr>
            <w:tcW w:w="674" w:type="dxa"/>
            <w:shd w:val="clear" w:color="auto" w:fill="E7F3F4"/>
            <w:noWrap/>
            <w:vAlign w:val="center"/>
          </w:tcPr>
          <w:p w14:paraId="67446566" w14:textId="77777777" w:rsidR="009867A3" w:rsidRPr="00BE000D" w:rsidRDefault="009867A3" w:rsidP="00994F86">
            <w:pPr>
              <w:spacing w:before="0" w:after="0"/>
              <w:jc w:val="center"/>
              <w:rPr>
                <w:color w:val="000000"/>
                <w:sz w:val="20"/>
                <w:szCs w:val="20"/>
              </w:rPr>
            </w:pPr>
            <w:r w:rsidRPr="00BE000D">
              <w:rPr>
                <w:color w:val="000000"/>
                <w:sz w:val="20"/>
                <w:szCs w:val="20"/>
              </w:rPr>
              <w:t>BY1</w:t>
            </w:r>
          </w:p>
        </w:tc>
        <w:tc>
          <w:tcPr>
            <w:tcW w:w="3042" w:type="dxa"/>
            <w:shd w:val="clear" w:color="auto" w:fill="E7F3F4"/>
            <w:noWrap/>
            <w:vAlign w:val="center"/>
          </w:tcPr>
          <w:p w14:paraId="45F2EA26" w14:textId="77777777" w:rsidR="009867A3" w:rsidRPr="00BE000D" w:rsidRDefault="009867A3" w:rsidP="00994F86">
            <w:pPr>
              <w:spacing w:before="0" w:after="0"/>
              <w:jc w:val="center"/>
              <w:rPr>
                <w:color w:val="000000"/>
                <w:sz w:val="20"/>
                <w:szCs w:val="20"/>
              </w:rPr>
            </w:pPr>
            <w:r w:rsidRPr="00BE000D">
              <w:rPr>
                <w:color w:val="000000"/>
                <w:sz w:val="20"/>
                <w:szCs w:val="20"/>
              </w:rPr>
              <w:t>Bathurst Bay</w:t>
            </w:r>
          </w:p>
        </w:tc>
        <w:tc>
          <w:tcPr>
            <w:tcW w:w="467" w:type="dxa"/>
            <w:shd w:val="clear" w:color="auto" w:fill="E7F3F4"/>
            <w:vAlign w:val="center"/>
          </w:tcPr>
          <w:p w14:paraId="130D8375" w14:textId="77777777" w:rsidR="009867A3" w:rsidRPr="00F45F13" w:rsidRDefault="009867A3"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878D635"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EBE534C" w14:textId="77777777" w:rsidR="009867A3" w:rsidRPr="00F45F13" w:rsidRDefault="009867A3"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68E4C40" w14:textId="77777777" w:rsidR="009867A3" w:rsidRPr="00F45F13" w:rsidRDefault="009867A3"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C0FEB39"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9BFB77C"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AEED85A"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7EED965"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116FCB1"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r>
      <w:tr w:rsidR="009867A3" w:rsidRPr="00015190" w14:paraId="374289EC" w14:textId="77777777" w:rsidTr="00BE000D">
        <w:trPr>
          <w:trHeight w:val="170"/>
          <w:jc w:val="center"/>
        </w:trPr>
        <w:tc>
          <w:tcPr>
            <w:tcW w:w="1681" w:type="dxa"/>
            <w:vMerge/>
            <w:shd w:val="clear" w:color="auto" w:fill="E7F3F4"/>
            <w:vAlign w:val="center"/>
          </w:tcPr>
          <w:p w14:paraId="4459998C" w14:textId="77777777" w:rsidR="009867A3" w:rsidRPr="00BE000D" w:rsidRDefault="009867A3" w:rsidP="00994F86">
            <w:pPr>
              <w:spacing w:before="0" w:after="0"/>
              <w:jc w:val="center"/>
              <w:rPr>
                <w:color w:val="000000"/>
                <w:sz w:val="20"/>
                <w:szCs w:val="20"/>
              </w:rPr>
            </w:pPr>
          </w:p>
        </w:tc>
        <w:tc>
          <w:tcPr>
            <w:tcW w:w="674" w:type="dxa"/>
            <w:shd w:val="clear" w:color="auto" w:fill="E7F3F4"/>
            <w:noWrap/>
            <w:vAlign w:val="center"/>
          </w:tcPr>
          <w:p w14:paraId="3C6471F1" w14:textId="77777777" w:rsidR="009867A3" w:rsidRPr="00BE000D" w:rsidRDefault="009867A3" w:rsidP="00994F86">
            <w:pPr>
              <w:spacing w:before="0" w:after="0"/>
              <w:jc w:val="center"/>
              <w:rPr>
                <w:color w:val="000000"/>
                <w:sz w:val="20"/>
                <w:szCs w:val="20"/>
              </w:rPr>
            </w:pPr>
            <w:r w:rsidRPr="00BE000D">
              <w:rPr>
                <w:color w:val="000000"/>
                <w:sz w:val="20"/>
                <w:szCs w:val="20"/>
              </w:rPr>
              <w:t>BY2</w:t>
            </w:r>
          </w:p>
        </w:tc>
        <w:tc>
          <w:tcPr>
            <w:tcW w:w="3042" w:type="dxa"/>
            <w:shd w:val="clear" w:color="auto" w:fill="E7F3F4"/>
            <w:noWrap/>
            <w:vAlign w:val="center"/>
          </w:tcPr>
          <w:p w14:paraId="7473FB78" w14:textId="77777777" w:rsidR="009867A3" w:rsidRPr="00BE000D" w:rsidRDefault="009867A3" w:rsidP="00994F86">
            <w:pPr>
              <w:spacing w:before="0" w:after="0"/>
              <w:jc w:val="center"/>
              <w:rPr>
                <w:color w:val="000000"/>
                <w:sz w:val="20"/>
                <w:szCs w:val="20"/>
              </w:rPr>
            </w:pPr>
            <w:r w:rsidRPr="00BE000D">
              <w:rPr>
                <w:color w:val="000000"/>
                <w:sz w:val="20"/>
                <w:szCs w:val="20"/>
              </w:rPr>
              <w:t>Bathurst Bay</w:t>
            </w:r>
          </w:p>
        </w:tc>
        <w:tc>
          <w:tcPr>
            <w:tcW w:w="467" w:type="dxa"/>
            <w:shd w:val="clear" w:color="auto" w:fill="E7F3F4"/>
            <w:vAlign w:val="center"/>
          </w:tcPr>
          <w:p w14:paraId="20833164" w14:textId="77777777" w:rsidR="009867A3" w:rsidRPr="00F45F13" w:rsidRDefault="009867A3"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40A9A79"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5D5094C" w14:textId="77777777" w:rsidR="009867A3" w:rsidRPr="00F45F13" w:rsidRDefault="009867A3"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8D26D51" w14:textId="77777777" w:rsidR="009867A3" w:rsidRPr="00F45F13" w:rsidRDefault="009867A3"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BB8ABEC"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6A83B01"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EEC46AA"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5FD587"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C8F79DA" w14:textId="77777777" w:rsidR="009867A3" w:rsidRDefault="009867A3" w:rsidP="00994F86">
            <w:pPr>
              <w:spacing w:before="0" w:after="0"/>
              <w:jc w:val="center"/>
              <w:rPr>
                <w:color w:val="000000"/>
                <w:sz w:val="14"/>
                <w:szCs w:val="14"/>
              </w:rPr>
            </w:pPr>
            <w:r w:rsidRPr="00F45F13">
              <w:rPr>
                <w:color w:val="000000"/>
                <w:sz w:val="16"/>
                <w:szCs w:val="16"/>
              </w:rPr>
              <w:sym w:font="Wingdings" w:char="F06E"/>
            </w:r>
          </w:p>
        </w:tc>
      </w:tr>
      <w:tr w:rsidR="00C91222" w:rsidRPr="00015190" w14:paraId="013BFDA0" w14:textId="77777777" w:rsidTr="00BE000D">
        <w:trPr>
          <w:trHeight w:val="170"/>
          <w:jc w:val="center"/>
        </w:trPr>
        <w:tc>
          <w:tcPr>
            <w:tcW w:w="1681" w:type="dxa"/>
            <w:vMerge/>
            <w:shd w:val="clear" w:color="auto" w:fill="E7F3F4"/>
            <w:vAlign w:val="center"/>
          </w:tcPr>
          <w:p w14:paraId="0EB1E187" w14:textId="77777777" w:rsidR="00C91222" w:rsidRPr="00BE000D" w:rsidRDefault="00C91222" w:rsidP="00994F86">
            <w:pPr>
              <w:spacing w:before="0" w:after="0"/>
              <w:jc w:val="center"/>
              <w:rPr>
                <w:color w:val="000000"/>
                <w:sz w:val="20"/>
                <w:szCs w:val="20"/>
              </w:rPr>
            </w:pPr>
          </w:p>
        </w:tc>
        <w:tc>
          <w:tcPr>
            <w:tcW w:w="674" w:type="dxa"/>
            <w:shd w:val="clear" w:color="auto" w:fill="E7F3F4"/>
            <w:noWrap/>
            <w:vAlign w:val="center"/>
          </w:tcPr>
          <w:p w14:paraId="5925B3C2" w14:textId="77777777" w:rsidR="00C91222" w:rsidRPr="00BE000D" w:rsidRDefault="00C91222" w:rsidP="00994F86">
            <w:pPr>
              <w:spacing w:before="0" w:after="0"/>
              <w:jc w:val="center"/>
              <w:rPr>
                <w:color w:val="000000"/>
                <w:sz w:val="20"/>
                <w:szCs w:val="20"/>
              </w:rPr>
            </w:pPr>
            <w:r w:rsidRPr="00BE000D">
              <w:rPr>
                <w:color w:val="000000"/>
                <w:sz w:val="20"/>
                <w:szCs w:val="20"/>
              </w:rPr>
              <w:t>SR1</w:t>
            </w:r>
          </w:p>
        </w:tc>
        <w:tc>
          <w:tcPr>
            <w:tcW w:w="3042" w:type="dxa"/>
            <w:shd w:val="clear" w:color="auto" w:fill="E7F3F4"/>
            <w:noWrap/>
            <w:vAlign w:val="center"/>
          </w:tcPr>
          <w:p w14:paraId="166E10C4" w14:textId="77777777" w:rsidR="00C91222" w:rsidRPr="00BE000D" w:rsidRDefault="00C91222" w:rsidP="00994F86">
            <w:pPr>
              <w:spacing w:before="0" w:after="0"/>
              <w:jc w:val="center"/>
              <w:rPr>
                <w:color w:val="000000"/>
                <w:sz w:val="20"/>
                <w:szCs w:val="20"/>
              </w:rPr>
            </w:pPr>
            <w:r w:rsidRPr="00BE000D">
              <w:rPr>
                <w:color w:val="000000"/>
                <w:sz w:val="20"/>
                <w:szCs w:val="20"/>
              </w:rPr>
              <w:t>Shelburne Bay</w:t>
            </w:r>
          </w:p>
        </w:tc>
        <w:tc>
          <w:tcPr>
            <w:tcW w:w="467" w:type="dxa"/>
            <w:shd w:val="clear" w:color="auto" w:fill="E7F3F4"/>
            <w:vAlign w:val="center"/>
          </w:tcPr>
          <w:p w14:paraId="1785E946" w14:textId="3BB17FD0"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0752F382" w14:textId="5C3AB465"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145463DF" w14:textId="59644D0E"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04882AD9" w14:textId="6BF54F8A"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76E06939" w14:textId="34E8B3E0"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1A3197DC" w14:textId="5D31F7BE"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7B9B98FA" w14:textId="4C23B319"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1B48A8A8" w14:textId="70E5C780"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4D7AF5FE" w14:textId="37A98D15" w:rsidR="00C91222" w:rsidRDefault="00C91222" w:rsidP="00994F86">
            <w:pPr>
              <w:spacing w:before="0" w:after="0"/>
              <w:jc w:val="center"/>
              <w:rPr>
                <w:color w:val="000000"/>
                <w:sz w:val="14"/>
                <w:szCs w:val="14"/>
              </w:rPr>
            </w:pPr>
            <w:r w:rsidRPr="00F45F13">
              <w:rPr>
                <w:color w:val="000000"/>
                <w:sz w:val="14"/>
                <w:szCs w:val="14"/>
              </w:rPr>
              <w:sym w:font="Wingdings" w:char="F0A8"/>
            </w:r>
          </w:p>
        </w:tc>
      </w:tr>
      <w:tr w:rsidR="00C91222" w:rsidRPr="00015190" w14:paraId="0D94FFE2" w14:textId="77777777" w:rsidTr="00BE000D">
        <w:trPr>
          <w:trHeight w:val="170"/>
          <w:jc w:val="center"/>
        </w:trPr>
        <w:tc>
          <w:tcPr>
            <w:tcW w:w="1681" w:type="dxa"/>
            <w:vMerge/>
            <w:shd w:val="clear" w:color="auto" w:fill="E7F3F4"/>
            <w:vAlign w:val="center"/>
          </w:tcPr>
          <w:p w14:paraId="757D8943" w14:textId="77777777" w:rsidR="00C91222" w:rsidRPr="00BE000D" w:rsidRDefault="00C91222" w:rsidP="00994F86">
            <w:pPr>
              <w:spacing w:before="0" w:after="0"/>
              <w:jc w:val="center"/>
              <w:rPr>
                <w:color w:val="000000"/>
                <w:sz w:val="20"/>
                <w:szCs w:val="20"/>
              </w:rPr>
            </w:pPr>
          </w:p>
        </w:tc>
        <w:tc>
          <w:tcPr>
            <w:tcW w:w="674" w:type="dxa"/>
            <w:shd w:val="clear" w:color="auto" w:fill="E7F3F4"/>
            <w:noWrap/>
            <w:vAlign w:val="center"/>
          </w:tcPr>
          <w:p w14:paraId="6C07BAA3" w14:textId="77777777" w:rsidR="00C91222" w:rsidRPr="00BE000D" w:rsidRDefault="00C91222" w:rsidP="00994F86">
            <w:pPr>
              <w:spacing w:before="0" w:after="0"/>
              <w:jc w:val="center"/>
              <w:rPr>
                <w:color w:val="000000"/>
                <w:sz w:val="20"/>
                <w:szCs w:val="20"/>
              </w:rPr>
            </w:pPr>
            <w:r w:rsidRPr="00BE000D">
              <w:rPr>
                <w:color w:val="000000"/>
                <w:sz w:val="20"/>
                <w:szCs w:val="20"/>
              </w:rPr>
              <w:t>SR2</w:t>
            </w:r>
          </w:p>
        </w:tc>
        <w:tc>
          <w:tcPr>
            <w:tcW w:w="3042" w:type="dxa"/>
            <w:shd w:val="clear" w:color="auto" w:fill="E7F3F4"/>
            <w:noWrap/>
            <w:vAlign w:val="center"/>
          </w:tcPr>
          <w:p w14:paraId="7F8FE8C9" w14:textId="77777777" w:rsidR="00C91222" w:rsidRPr="00BE000D" w:rsidRDefault="00C91222" w:rsidP="00994F86">
            <w:pPr>
              <w:spacing w:before="0" w:after="0"/>
              <w:jc w:val="center"/>
              <w:rPr>
                <w:color w:val="000000"/>
                <w:sz w:val="20"/>
                <w:szCs w:val="20"/>
              </w:rPr>
            </w:pPr>
            <w:r w:rsidRPr="00BE000D">
              <w:rPr>
                <w:color w:val="000000"/>
                <w:sz w:val="20"/>
                <w:szCs w:val="20"/>
              </w:rPr>
              <w:t>Shelburne Bay</w:t>
            </w:r>
          </w:p>
        </w:tc>
        <w:tc>
          <w:tcPr>
            <w:tcW w:w="467" w:type="dxa"/>
            <w:shd w:val="clear" w:color="auto" w:fill="E7F3F4"/>
            <w:vAlign w:val="center"/>
          </w:tcPr>
          <w:p w14:paraId="4EE264AC" w14:textId="55AA7176"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5E3D0BD9" w14:textId="21ADEA34"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66FC7D37" w14:textId="464477AC"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7F5C8AB5" w14:textId="4DB8F544"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1C4238E4" w14:textId="245409C9"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338D557A" w14:textId="04C32062"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5014EA35" w14:textId="1A1DACE3"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4D69D8A2" w14:textId="4A0CCD6A" w:rsidR="00C91222" w:rsidRDefault="00C91222" w:rsidP="00994F86">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70A88F79" w14:textId="5FCCFAE2" w:rsidR="00C91222" w:rsidRDefault="00C91222" w:rsidP="00994F86">
            <w:pPr>
              <w:spacing w:before="0" w:after="0"/>
              <w:jc w:val="center"/>
              <w:rPr>
                <w:color w:val="000000"/>
                <w:sz w:val="14"/>
                <w:szCs w:val="14"/>
              </w:rPr>
            </w:pPr>
            <w:r w:rsidRPr="00F45F13">
              <w:rPr>
                <w:color w:val="000000"/>
                <w:sz w:val="14"/>
                <w:szCs w:val="14"/>
              </w:rPr>
              <w:sym w:font="Wingdings" w:char="F0A8"/>
            </w:r>
          </w:p>
        </w:tc>
      </w:tr>
      <w:tr w:rsidR="00C91222" w:rsidRPr="00015190" w14:paraId="57BD7317" w14:textId="77777777" w:rsidTr="00BE000D">
        <w:trPr>
          <w:trHeight w:val="170"/>
          <w:jc w:val="center"/>
        </w:trPr>
        <w:tc>
          <w:tcPr>
            <w:tcW w:w="1681" w:type="dxa"/>
            <w:vMerge w:val="restart"/>
            <w:shd w:val="clear" w:color="auto" w:fill="F3F9FA"/>
            <w:vAlign w:val="center"/>
          </w:tcPr>
          <w:p w14:paraId="28293C5F" w14:textId="77777777" w:rsidR="00C91222" w:rsidRPr="00BE000D" w:rsidRDefault="00C91222" w:rsidP="00994F86">
            <w:pPr>
              <w:spacing w:before="0" w:after="0"/>
              <w:jc w:val="center"/>
              <w:rPr>
                <w:color w:val="000000"/>
                <w:sz w:val="20"/>
                <w:szCs w:val="20"/>
              </w:rPr>
            </w:pPr>
            <w:r w:rsidRPr="00BE000D">
              <w:rPr>
                <w:color w:val="000000"/>
                <w:sz w:val="20"/>
                <w:szCs w:val="20"/>
              </w:rPr>
              <w:t>coastal subtidal</w:t>
            </w:r>
          </w:p>
        </w:tc>
        <w:tc>
          <w:tcPr>
            <w:tcW w:w="674" w:type="dxa"/>
            <w:shd w:val="clear" w:color="auto" w:fill="F3F9FA"/>
            <w:noWrap/>
            <w:vAlign w:val="center"/>
          </w:tcPr>
          <w:p w14:paraId="50FDD5FD" w14:textId="5F3FC549" w:rsidR="00C91222" w:rsidRPr="00BE000D" w:rsidRDefault="00C91222" w:rsidP="00994F86">
            <w:pPr>
              <w:spacing w:before="0" w:after="0"/>
              <w:jc w:val="center"/>
              <w:rPr>
                <w:color w:val="000000"/>
                <w:sz w:val="20"/>
                <w:szCs w:val="20"/>
              </w:rPr>
            </w:pPr>
            <w:r w:rsidRPr="00BE000D">
              <w:rPr>
                <w:color w:val="000000"/>
                <w:sz w:val="20"/>
                <w:szCs w:val="20"/>
              </w:rPr>
              <w:t>LR1</w:t>
            </w:r>
            <w:r w:rsidRPr="00BE000D">
              <w:rPr>
                <w:color w:val="000000"/>
                <w:sz w:val="20"/>
                <w:szCs w:val="20"/>
                <w:vertAlign w:val="superscript"/>
              </w:rPr>
              <w:sym w:font="Wingdings 2" w:char="F085"/>
            </w:r>
          </w:p>
        </w:tc>
        <w:tc>
          <w:tcPr>
            <w:tcW w:w="3042" w:type="dxa"/>
            <w:shd w:val="clear" w:color="auto" w:fill="F3F9FA"/>
            <w:noWrap/>
            <w:vAlign w:val="center"/>
          </w:tcPr>
          <w:p w14:paraId="35071DB5" w14:textId="77777777" w:rsidR="00C91222" w:rsidRPr="00BE000D" w:rsidRDefault="00C91222" w:rsidP="00994F86">
            <w:pPr>
              <w:spacing w:before="0" w:after="0"/>
              <w:jc w:val="center"/>
              <w:rPr>
                <w:color w:val="000000"/>
                <w:sz w:val="20"/>
                <w:szCs w:val="20"/>
              </w:rPr>
            </w:pPr>
            <w:r w:rsidRPr="00BE000D">
              <w:rPr>
                <w:color w:val="000000"/>
                <w:sz w:val="20"/>
                <w:szCs w:val="20"/>
              </w:rPr>
              <w:t>Lloyd Bay</w:t>
            </w:r>
          </w:p>
        </w:tc>
        <w:tc>
          <w:tcPr>
            <w:tcW w:w="467" w:type="dxa"/>
            <w:shd w:val="clear" w:color="auto" w:fill="F3F9FA"/>
            <w:vAlign w:val="center"/>
          </w:tcPr>
          <w:p w14:paraId="6D0B7793" w14:textId="77777777" w:rsidR="00C91222" w:rsidRPr="00F45F13" w:rsidRDefault="00C91222" w:rsidP="00994F86">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6BF745E6" w14:textId="77777777" w:rsidR="00C91222" w:rsidRDefault="00C91222"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841805E" w14:textId="77777777" w:rsidR="00C91222" w:rsidRPr="00F45F13" w:rsidRDefault="00C91222" w:rsidP="00994F86">
            <w:pPr>
              <w:spacing w:before="0" w:after="0"/>
              <w:jc w:val="center"/>
              <w:rPr>
                <w:color w:val="000000"/>
                <w:sz w:val="16"/>
                <w:szCs w:val="16"/>
              </w:rPr>
            </w:pPr>
          </w:p>
        </w:tc>
        <w:tc>
          <w:tcPr>
            <w:tcW w:w="467" w:type="dxa"/>
            <w:shd w:val="clear" w:color="auto" w:fill="F3F9FA"/>
            <w:vAlign w:val="center"/>
          </w:tcPr>
          <w:p w14:paraId="53E65AB5" w14:textId="77777777" w:rsidR="00C91222" w:rsidRPr="00F45F13" w:rsidRDefault="00C91222" w:rsidP="00994F86">
            <w:pPr>
              <w:spacing w:before="0" w:after="0"/>
              <w:jc w:val="center"/>
              <w:rPr>
                <w:color w:val="000000"/>
                <w:sz w:val="16"/>
                <w:szCs w:val="16"/>
              </w:rPr>
            </w:pPr>
          </w:p>
        </w:tc>
        <w:tc>
          <w:tcPr>
            <w:tcW w:w="467" w:type="dxa"/>
            <w:shd w:val="clear" w:color="auto" w:fill="F3F9FA"/>
            <w:vAlign w:val="center"/>
          </w:tcPr>
          <w:p w14:paraId="4732B34F"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7F15CA91"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020919F6"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32359A74"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4D7334CD" w14:textId="77777777" w:rsidR="00C91222" w:rsidRDefault="00C91222" w:rsidP="00994F86">
            <w:pPr>
              <w:spacing w:before="0" w:after="0"/>
              <w:jc w:val="center"/>
              <w:rPr>
                <w:color w:val="000000"/>
                <w:sz w:val="14"/>
                <w:szCs w:val="14"/>
              </w:rPr>
            </w:pPr>
            <w:r w:rsidRPr="00F45F13">
              <w:rPr>
                <w:color w:val="000000"/>
                <w:sz w:val="16"/>
                <w:szCs w:val="16"/>
              </w:rPr>
              <w:sym w:font="Wingdings" w:char="F06E"/>
            </w:r>
          </w:p>
        </w:tc>
      </w:tr>
      <w:tr w:rsidR="00C91222" w:rsidRPr="00015190" w14:paraId="4343E733" w14:textId="77777777" w:rsidTr="00BE000D">
        <w:trPr>
          <w:trHeight w:val="170"/>
          <w:jc w:val="center"/>
        </w:trPr>
        <w:tc>
          <w:tcPr>
            <w:tcW w:w="1681" w:type="dxa"/>
            <w:vMerge/>
            <w:shd w:val="clear" w:color="auto" w:fill="F3F9FA"/>
            <w:vAlign w:val="center"/>
          </w:tcPr>
          <w:p w14:paraId="19F5124C" w14:textId="77777777" w:rsidR="00C91222" w:rsidRPr="00BE000D" w:rsidRDefault="00C91222" w:rsidP="00994F86">
            <w:pPr>
              <w:spacing w:before="0" w:after="0"/>
              <w:jc w:val="center"/>
              <w:rPr>
                <w:color w:val="000000"/>
                <w:sz w:val="20"/>
                <w:szCs w:val="20"/>
              </w:rPr>
            </w:pPr>
          </w:p>
        </w:tc>
        <w:tc>
          <w:tcPr>
            <w:tcW w:w="674" w:type="dxa"/>
            <w:shd w:val="clear" w:color="auto" w:fill="F3F9FA"/>
            <w:noWrap/>
            <w:vAlign w:val="center"/>
          </w:tcPr>
          <w:p w14:paraId="69CBB863" w14:textId="400B149B" w:rsidR="00C91222" w:rsidRPr="00BE000D" w:rsidRDefault="00C91222" w:rsidP="00994F86">
            <w:pPr>
              <w:spacing w:before="0" w:after="0"/>
              <w:jc w:val="center"/>
              <w:rPr>
                <w:color w:val="000000"/>
                <w:sz w:val="20"/>
                <w:szCs w:val="20"/>
              </w:rPr>
            </w:pPr>
            <w:r w:rsidRPr="00BE000D">
              <w:rPr>
                <w:color w:val="000000"/>
                <w:sz w:val="20"/>
                <w:szCs w:val="20"/>
              </w:rPr>
              <w:t>LR2</w:t>
            </w:r>
            <w:r w:rsidRPr="00BE000D">
              <w:rPr>
                <w:color w:val="000000"/>
                <w:sz w:val="20"/>
                <w:szCs w:val="20"/>
                <w:vertAlign w:val="superscript"/>
              </w:rPr>
              <w:sym w:font="Wingdings 2" w:char="F085"/>
            </w:r>
          </w:p>
        </w:tc>
        <w:tc>
          <w:tcPr>
            <w:tcW w:w="3042" w:type="dxa"/>
            <w:shd w:val="clear" w:color="auto" w:fill="F3F9FA"/>
            <w:noWrap/>
            <w:vAlign w:val="center"/>
          </w:tcPr>
          <w:p w14:paraId="476D9272" w14:textId="77777777" w:rsidR="00C91222" w:rsidRPr="00BE000D" w:rsidRDefault="00C91222" w:rsidP="00994F86">
            <w:pPr>
              <w:spacing w:before="0" w:after="0"/>
              <w:jc w:val="center"/>
              <w:rPr>
                <w:color w:val="000000"/>
                <w:sz w:val="20"/>
                <w:szCs w:val="20"/>
              </w:rPr>
            </w:pPr>
            <w:r w:rsidRPr="00BE000D">
              <w:rPr>
                <w:color w:val="000000"/>
                <w:sz w:val="20"/>
                <w:szCs w:val="20"/>
              </w:rPr>
              <w:t>Lloyd Bay</w:t>
            </w:r>
          </w:p>
        </w:tc>
        <w:tc>
          <w:tcPr>
            <w:tcW w:w="467" w:type="dxa"/>
            <w:shd w:val="clear" w:color="auto" w:fill="F3F9FA"/>
            <w:vAlign w:val="center"/>
          </w:tcPr>
          <w:p w14:paraId="5197E925" w14:textId="77777777" w:rsidR="00C91222" w:rsidRDefault="00C91222"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BD80017" w14:textId="77777777" w:rsidR="00C91222" w:rsidRDefault="00C91222" w:rsidP="00994F86">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8884F6B" w14:textId="77777777" w:rsidR="00C91222" w:rsidRPr="00F45F13" w:rsidRDefault="00C91222" w:rsidP="00994F86">
            <w:pPr>
              <w:spacing w:before="0" w:after="0"/>
              <w:jc w:val="center"/>
              <w:rPr>
                <w:color w:val="000000"/>
                <w:sz w:val="16"/>
                <w:szCs w:val="16"/>
              </w:rPr>
            </w:pPr>
          </w:p>
        </w:tc>
        <w:tc>
          <w:tcPr>
            <w:tcW w:w="467" w:type="dxa"/>
            <w:shd w:val="clear" w:color="auto" w:fill="F3F9FA"/>
            <w:vAlign w:val="center"/>
          </w:tcPr>
          <w:p w14:paraId="605B8646" w14:textId="77777777" w:rsidR="00C91222" w:rsidRPr="00F45F13" w:rsidRDefault="00C91222" w:rsidP="00994F86">
            <w:pPr>
              <w:spacing w:before="0" w:after="0"/>
              <w:jc w:val="center"/>
              <w:rPr>
                <w:color w:val="000000"/>
                <w:sz w:val="16"/>
                <w:szCs w:val="16"/>
              </w:rPr>
            </w:pPr>
          </w:p>
        </w:tc>
        <w:tc>
          <w:tcPr>
            <w:tcW w:w="467" w:type="dxa"/>
            <w:shd w:val="clear" w:color="auto" w:fill="F3F9FA"/>
            <w:vAlign w:val="center"/>
          </w:tcPr>
          <w:p w14:paraId="323B136E"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1F65414C"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0A86CE63"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70A87445" w14:textId="77777777" w:rsidR="00C91222" w:rsidRDefault="00C91222" w:rsidP="00994F86">
            <w:pPr>
              <w:spacing w:before="0" w:after="0"/>
              <w:jc w:val="center"/>
              <w:rPr>
                <w:color w:val="000000"/>
                <w:sz w:val="14"/>
                <w:szCs w:val="14"/>
              </w:rPr>
            </w:pPr>
          </w:p>
        </w:tc>
        <w:tc>
          <w:tcPr>
            <w:tcW w:w="467" w:type="dxa"/>
            <w:shd w:val="clear" w:color="auto" w:fill="F3F9FA"/>
            <w:vAlign w:val="center"/>
          </w:tcPr>
          <w:p w14:paraId="09815FC6" w14:textId="77777777" w:rsidR="00C91222" w:rsidRDefault="00C91222" w:rsidP="00994F86">
            <w:pPr>
              <w:spacing w:before="0" w:after="0"/>
              <w:jc w:val="center"/>
              <w:rPr>
                <w:color w:val="000000"/>
                <w:sz w:val="14"/>
                <w:szCs w:val="14"/>
              </w:rPr>
            </w:pPr>
            <w:r w:rsidRPr="00F45F13">
              <w:rPr>
                <w:color w:val="000000"/>
                <w:sz w:val="16"/>
                <w:szCs w:val="16"/>
              </w:rPr>
              <w:sym w:font="Wingdings" w:char="F06E"/>
            </w:r>
          </w:p>
        </w:tc>
      </w:tr>
      <w:tr w:rsidR="00C91222" w:rsidRPr="00015190" w14:paraId="028765FE" w14:textId="77777777" w:rsidTr="00BE000D">
        <w:trPr>
          <w:trHeight w:val="170"/>
          <w:jc w:val="center"/>
        </w:trPr>
        <w:tc>
          <w:tcPr>
            <w:tcW w:w="1681" w:type="dxa"/>
            <w:vMerge w:val="restart"/>
            <w:shd w:val="clear" w:color="auto" w:fill="E7F3F4"/>
            <w:vAlign w:val="center"/>
          </w:tcPr>
          <w:p w14:paraId="1F09792E" w14:textId="77777777" w:rsidR="00C91222" w:rsidRPr="00BE000D" w:rsidRDefault="00C91222" w:rsidP="00907D11">
            <w:pPr>
              <w:spacing w:before="0" w:after="0"/>
              <w:jc w:val="center"/>
              <w:rPr>
                <w:color w:val="000000"/>
                <w:sz w:val="20"/>
                <w:szCs w:val="20"/>
              </w:rPr>
            </w:pPr>
            <w:r w:rsidRPr="00BE000D">
              <w:rPr>
                <w:color w:val="000000"/>
                <w:sz w:val="20"/>
                <w:szCs w:val="20"/>
              </w:rPr>
              <w:t>reef intertidal</w:t>
            </w:r>
          </w:p>
        </w:tc>
        <w:tc>
          <w:tcPr>
            <w:tcW w:w="674" w:type="dxa"/>
            <w:shd w:val="clear" w:color="auto" w:fill="E7F3F4"/>
            <w:noWrap/>
            <w:vAlign w:val="center"/>
          </w:tcPr>
          <w:p w14:paraId="497A9188" w14:textId="77777777" w:rsidR="00C91222" w:rsidRPr="00BE000D" w:rsidRDefault="00C91222" w:rsidP="00907D11">
            <w:pPr>
              <w:spacing w:before="0" w:after="0"/>
              <w:jc w:val="center"/>
              <w:rPr>
                <w:color w:val="000000"/>
                <w:sz w:val="20"/>
                <w:szCs w:val="20"/>
              </w:rPr>
            </w:pPr>
            <w:r w:rsidRPr="00BE000D">
              <w:rPr>
                <w:color w:val="000000"/>
                <w:sz w:val="20"/>
                <w:szCs w:val="20"/>
              </w:rPr>
              <w:t>AP1</w:t>
            </w:r>
          </w:p>
        </w:tc>
        <w:tc>
          <w:tcPr>
            <w:tcW w:w="3042" w:type="dxa"/>
            <w:shd w:val="clear" w:color="auto" w:fill="E7F3F4"/>
            <w:noWrap/>
            <w:vAlign w:val="center"/>
          </w:tcPr>
          <w:p w14:paraId="7E2DF49B" w14:textId="63919173" w:rsidR="00C91222" w:rsidRPr="00BE000D" w:rsidRDefault="00E5349B" w:rsidP="00907D11">
            <w:pPr>
              <w:spacing w:before="0" w:after="0"/>
              <w:jc w:val="center"/>
              <w:rPr>
                <w:color w:val="000000"/>
                <w:sz w:val="20"/>
                <w:szCs w:val="20"/>
              </w:rPr>
            </w:pPr>
            <w:r>
              <w:rPr>
                <w:color w:val="000000"/>
                <w:sz w:val="20"/>
                <w:szCs w:val="20"/>
              </w:rPr>
              <w:t>Archer Point</w:t>
            </w:r>
          </w:p>
        </w:tc>
        <w:tc>
          <w:tcPr>
            <w:tcW w:w="467" w:type="dxa"/>
            <w:shd w:val="clear" w:color="auto" w:fill="E7F3F4"/>
            <w:vAlign w:val="center"/>
          </w:tcPr>
          <w:p w14:paraId="440DD538" w14:textId="77777777" w:rsidR="00C91222" w:rsidRPr="00F45F13" w:rsidRDefault="00C91222"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1B9A95F"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AA38E29" w14:textId="77777777" w:rsidR="00C91222" w:rsidRPr="00F45F13" w:rsidRDefault="00C91222"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F917CE8" w14:textId="77777777" w:rsidR="00C91222" w:rsidRPr="00F45F13" w:rsidRDefault="00C91222"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B71AB18"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BD9742"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6062DE"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2BDB8B8"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3641BB3"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r>
      <w:tr w:rsidR="00C91222" w:rsidRPr="00015190" w14:paraId="4C7ABB3A" w14:textId="77777777" w:rsidTr="00BE000D">
        <w:trPr>
          <w:trHeight w:val="170"/>
          <w:jc w:val="center"/>
        </w:trPr>
        <w:tc>
          <w:tcPr>
            <w:tcW w:w="1681" w:type="dxa"/>
            <w:vMerge/>
            <w:shd w:val="clear" w:color="auto" w:fill="E7F3F4"/>
            <w:vAlign w:val="center"/>
          </w:tcPr>
          <w:p w14:paraId="1F606B16" w14:textId="77777777" w:rsidR="00C91222" w:rsidRPr="00BE000D" w:rsidRDefault="00C91222" w:rsidP="00907D11">
            <w:pPr>
              <w:spacing w:before="0" w:after="0"/>
              <w:jc w:val="center"/>
              <w:rPr>
                <w:color w:val="000000"/>
                <w:sz w:val="20"/>
                <w:szCs w:val="20"/>
              </w:rPr>
            </w:pPr>
          </w:p>
        </w:tc>
        <w:tc>
          <w:tcPr>
            <w:tcW w:w="674" w:type="dxa"/>
            <w:shd w:val="clear" w:color="auto" w:fill="E7F3F4"/>
            <w:noWrap/>
            <w:vAlign w:val="center"/>
          </w:tcPr>
          <w:p w14:paraId="50F8EC1B" w14:textId="77777777" w:rsidR="00C91222" w:rsidRPr="00BE000D" w:rsidRDefault="00C91222" w:rsidP="00907D11">
            <w:pPr>
              <w:spacing w:before="0" w:after="0"/>
              <w:jc w:val="center"/>
              <w:rPr>
                <w:color w:val="000000"/>
                <w:sz w:val="20"/>
                <w:szCs w:val="20"/>
              </w:rPr>
            </w:pPr>
            <w:r w:rsidRPr="00BE000D">
              <w:rPr>
                <w:color w:val="000000"/>
                <w:sz w:val="20"/>
                <w:szCs w:val="20"/>
              </w:rPr>
              <w:t>AP2</w:t>
            </w:r>
          </w:p>
        </w:tc>
        <w:tc>
          <w:tcPr>
            <w:tcW w:w="3042" w:type="dxa"/>
            <w:shd w:val="clear" w:color="auto" w:fill="E7F3F4"/>
            <w:noWrap/>
            <w:vAlign w:val="center"/>
          </w:tcPr>
          <w:p w14:paraId="7886B2BA" w14:textId="4B8B40BA" w:rsidR="00C91222" w:rsidRPr="00BE000D" w:rsidRDefault="00E5349B" w:rsidP="00907D11">
            <w:pPr>
              <w:spacing w:before="0" w:after="0"/>
              <w:jc w:val="center"/>
              <w:rPr>
                <w:color w:val="000000"/>
                <w:sz w:val="20"/>
                <w:szCs w:val="20"/>
              </w:rPr>
            </w:pPr>
            <w:r>
              <w:rPr>
                <w:color w:val="000000"/>
                <w:sz w:val="20"/>
                <w:szCs w:val="20"/>
              </w:rPr>
              <w:t>Archer Point</w:t>
            </w:r>
          </w:p>
        </w:tc>
        <w:tc>
          <w:tcPr>
            <w:tcW w:w="467" w:type="dxa"/>
            <w:shd w:val="clear" w:color="auto" w:fill="E7F3F4"/>
            <w:vAlign w:val="center"/>
          </w:tcPr>
          <w:p w14:paraId="6283917D" w14:textId="77777777" w:rsidR="00C91222" w:rsidRPr="00F45F13" w:rsidRDefault="00C91222"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C71556E"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2E741D0" w14:textId="77777777" w:rsidR="00C91222" w:rsidRPr="00F45F13" w:rsidRDefault="00C91222"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CD4B549" w14:textId="77777777" w:rsidR="00C91222" w:rsidRPr="00F45F13" w:rsidRDefault="00C91222"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73B7A80"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FD75732"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338D2B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F856C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325CEC9"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r>
      <w:tr w:rsidR="00C91222" w:rsidRPr="00015190" w14:paraId="12B5C8EE" w14:textId="77777777" w:rsidTr="00BE000D">
        <w:trPr>
          <w:trHeight w:val="170"/>
          <w:jc w:val="center"/>
        </w:trPr>
        <w:tc>
          <w:tcPr>
            <w:tcW w:w="1681" w:type="dxa"/>
            <w:vMerge/>
            <w:shd w:val="clear" w:color="auto" w:fill="E7F3F4"/>
            <w:vAlign w:val="center"/>
          </w:tcPr>
          <w:p w14:paraId="1B6D817B" w14:textId="77777777" w:rsidR="00C91222" w:rsidRPr="00BE000D" w:rsidRDefault="00C91222" w:rsidP="00907D11">
            <w:pPr>
              <w:spacing w:before="0" w:after="0"/>
              <w:jc w:val="center"/>
              <w:rPr>
                <w:color w:val="000000"/>
                <w:sz w:val="20"/>
                <w:szCs w:val="20"/>
              </w:rPr>
            </w:pPr>
          </w:p>
        </w:tc>
        <w:tc>
          <w:tcPr>
            <w:tcW w:w="674" w:type="dxa"/>
            <w:shd w:val="clear" w:color="auto" w:fill="E7F3F4"/>
            <w:noWrap/>
            <w:vAlign w:val="center"/>
          </w:tcPr>
          <w:p w14:paraId="530D0441" w14:textId="77777777" w:rsidR="00C91222" w:rsidRPr="00BE000D" w:rsidRDefault="00C91222" w:rsidP="00907D11">
            <w:pPr>
              <w:spacing w:before="0" w:after="0"/>
              <w:jc w:val="center"/>
              <w:rPr>
                <w:color w:val="000000"/>
                <w:sz w:val="20"/>
                <w:szCs w:val="20"/>
              </w:rPr>
            </w:pPr>
            <w:r w:rsidRPr="00BE000D">
              <w:rPr>
                <w:color w:val="000000"/>
                <w:sz w:val="20"/>
                <w:szCs w:val="20"/>
              </w:rPr>
              <w:t>FR1</w:t>
            </w:r>
          </w:p>
        </w:tc>
        <w:tc>
          <w:tcPr>
            <w:tcW w:w="3042" w:type="dxa"/>
            <w:shd w:val="clear" w:color="auto" w:fill="E7F3F4"/>
            <w:noWrap/>
            <w:vAlign w:val="center"/>
          </w:tcPr>
          <w:p w14:paraId="356910C6" w14:textId="77777777" w:rsidR="00C91222" w:rsidRPr="00BE000D" w:rsidRDefault="00C91222" w:rsidP="00907D11">
            <w:pPr>
              <w:spacing w:before="0" w:after="0"/>
              <w:jc w:val="center"/>
              <w:rPr>
                <w:color w:val="000000"/>
                <w:sz w:val="20"/>
                <w:szCs w:val="20"/>
              </w:rPr>
            </w:pPr>
            <w:r w:rsidRPr="00BE000D">
              <w:rPr>
                <w:color w:val="000000"/>
                <w:sz w:val="20"/>
                <w:szCs w:val="20"/>
              </w:rPr>
              <w:t>Farmer Is. (Piper Reef)</w:t>
            </w:r>
          </w:p>
        </w:tc>
        <w:tc>
          <w:tcPr>
            <w:tcW w:w="467" w:type="dxa"/>
            <w:shd w:val="clear" w:color="auto" w:fill="E7F3F4"/>
            <w:vAlign w:val="center"/>
          </w:tcPr>
          <w:p w14:paraId="1AB549A2"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7D68D31"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CF35343"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DCE0F99"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394DC1"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268B18A"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6FDF7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FDC9405"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C278211"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r>
      <w:tr w:rsidR="00C91222" w:rsidRPr="00015190" w14:paraId="59BEBA22" w14:textId="77777777" w:rsidTr="00BE000D">
        <w:trPr>
          <w:trHeight w:val="170"/>
          <w:jc w:val="center"/>
        </w:trPr>
        <w:tc>
          <w:tcPr>
            <w:tcW w:w="1681" w:type="dxa"/>
            <w:vMerge/>
            <w:shd w:val="clear" w:color="auto" w:fill="E7F3F4"/>
            <w:vAlign w:val="center"/>
          </w:tcPr>
          <w:p w14:paraId="62EA0496" w14:textId="77777777" w:rsidR="00C91222" w:rsidRPr="00BE000D" w:rsidRDefault="00C91222" w:rsidP="00907D11">
            <w:pPr>
              <w:spacing w:before="0" w:after="0"/>
              <w:jc w:val="center"/>
              <w:rPr>
                <w:color w:val="000000"/>
                <w:sz w:val="20"/>
                <w:szCs w:val="20"/>
              </w:rPr>
            </w:pPr>
          </w:p>
        </w:tc>
        <w:tc>
          <w:tcPr>
            <w:tcW w:w="674" w:type="dxa"/>
            <w:shd w:val="clear" w:color="auto" w:fill="E7F3F4"/>
            <w:noWrap/>
            <w:vAlign w:val="center"/>
          </w:tcPr>
          <w:p w14:paraId="46BEDC30" w14:textId="77777777" w:rsidR="00C91222" w:rsidRPr="00BE000D" w:rsidRDefault="00C91222" w:rsidP="00907D11">
            <w:pPr>
              <w:spacing w:before="0" w:after="0"/>
              <w:jc w:val="center"/>
              <w:rPr>
                <w:color w:val="000000"/>
                <w:sz w:val="20"/>
                <w:szCs w:val="20"/>
              </w:rPr>
            </w:pPr>
            <w:r w:rsidRPr="00BE000D">
              <w:rPr>
                <w:color w:val="000000"/>
                <w:sz w:val="20"/>
                <w:szCs w:val="20"/>
              </w:rPr>
              <w:t>FR2</w:t>
            </w:r>
          </w:p>
        </w:tc>
        <w:tc>
          <w:tcPr>
            <w:tcW w:w="3042" w:type="dxa"/>
            <w:shd w:val="clear" w:color="auto" w:fill="E7F3F4"/>
            <w:noWrap/>
            <w:vAlign w:val="center"/>
          </w:tcPr>
          <w:p w14:paraId="2311F448" w14:textId="77777777" w:rsidR="00C91222" w:rsidRPr="00BE000D" w:rsidRDefault="00C91222" w:rsidP="00907D11">
            <w:pPr>
              <w:spacing w:before="0" w:after="0"/>
              <w:jc w:val="center"/>
              <w:rPr>
                <w:color w:val="000000"/>
                <w:sz w:val="20"/>
                <w:szCs w:val="20"/>
              </w:rPr>
            </w:pPr>
            <w:r w:rsidRPr="00BE000D">
              <w:rPr>
                <w:color w:val="000000"/>
                <w:sz w:val="20"/>
                <w:szCs w:val="20"/>
              </w:rPr>
              <w:t>Farmer Is. (Piper Reef)</w:t>
            </w:r>
          </w:p>
        </w:tc>
        <w:tc>
          <w:tcPr>
            <w:tcW w:w="467" w:type="dxa"/>
            <w:shd w:val="clear" w:color="auto" w:fill="E7F3F4"/>
            <w:vAlign w:val="center"/>
          </w:tcPr>
          <w:p w14:paraId="02D535A4"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7792FE"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E4EFFE1"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BB30E8"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35009C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093D46F"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49888F"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088E72"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4D839C"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r>
      <w:tr w:rsidR="00C91222" w:rsidRPr="00015190" w14:paraId="0F61D91C" w14:textId="77777777" w:rsidTr="00BE000D">
        <w:trPr>
          <w:trHeight w:val="170"/>
          <w:jc w:val="center"/>
        </w:trPr>
        <w:tc>
          <w:tcPr>
            <w:tcW w:w="1681" w:type="dxa"/>
            <w:vMerge/>
            <w:shd w:val="clear" w:color="auto" w:fill="E7F3F4"/>
            <w:vAlign w:val="center"/>
          </w:tcPr>
          <w:p w14:paraId="04F7889E" w14:textId="77777777" w:rsidR="00C91222" w:rsidRPr="00BE000D" w:rsidRDefault="00C91222" w:rsidP="00907D11">
            <w:pPr>
              <w:spacing w:before="0" w:after="0"/>
              <w:jc w:val="center"/>
              <w:rPr>
                <w:color w:val="000000"/>
                <w:sz w:val="20"/>
                <w:szCs w:val="20"/>
              </w:rPr>
            </w:pPr>
          </w:p>
        </w:tc>
        <w:tc>
          <w:tcPr>
            <w:tcW w:w="674" w:type="dxa"/>
            <w:shd w:val="clear" w:color="auto" w:fill="E7F3F4"/>
            <w:noWrap/>
            <w:vAlign w:val="center"/>
          </w:tcPr>
          <w:p w14:paraId="2740B5D8" w14:textId="77777777" w:rsidR="00C91222" w:rsidRPr="00BE000D" w:rsidRDefault="00C91222" w:rsidP="00907D11">
            <w:pPr>
              <w:spacing w:before="0" w:after="0"/>
              <w:jc w:val="center"/>
              <w:rPr>
                <w:color w:val="000000"/>
                <w:sz w:val="20"/>
                <w:szCs w:val="20"/>
              </w:rPr>
            </w:pPr>
            <w:r w:rsidRPr="00BE000D">
              <w:rPr>
                <w:color w:val="000000"/>
                <w:sz w:val="20"/>
                <w:szCs w:val="20"/>
              </w:rPr>
              <w:t>ST1</w:t>
            </w:r>
          </w:p>
        </w:tc>
        <w:tc>
          <w:tcPr>
            <w:tcW w:w="3042" w:type="dxa"/>
            <w:shd w:val="clear" w:color="auto" w:fill="E7F3F4"/>
            <w:noWrap/>
            <w:vAlign w:val="center"/>
          </w:tcPr>
          <w:p w14:paraId="788CEBE4" w14:textId="323CF859" w:rsidR="00C91222" w:rsidRPr="00BE000D" w:rsidRDefault="00C91222" w:rsidP="00907D11">
            <w:pPr>
              <w:spacing w:before="0" w:after="0"/>
              <w:jc w:val="center"/>
              <w:rPr>
                <w:color w:val="000000"/>
                <w:sz w:val="20"/>
                <w:szCs w:val="20"/>
              </w:rPr>
            </w:pPr>
            <w:r w:rsidRPr="00BE000D">
              <w:rPr>
                <w:color w:val="000000"/>
                <w:sz w:val="20"/>
                <w:szCs w:val="20"/>
              </w:rPr>
              <w:t>Stanley Island</w:t>
            </w:r>
            <w:r w:rsidR="00E5349B">
              <w:rPr>
                <w:color w:val="000000"/>
                <w:sz w:val="20"/>
                <w:szCs w:val="20"/>
              </w:rPr>
              <w:t xml:space="preserve"> (Flinders Group)</w:t>
            </w:r>
          </w:p>
        </w:tc>
        <w:tc>
          <w:tcPr>
            <w:tcW w:w="467" w:type="dxa"/>
            <w:shd w:val="clear" w:color="auto" w:fill="E7F3F4"/>
            <w:vAlign w:val="center"/>
          </w:tcPr>
          <w:p w14:paraId="51429485"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48948D"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5779DB8"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EA7409"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5726618"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0C384FA"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7D157FE"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2977C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2E4D23A"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r>
      <w:tr w:rsidR="00C91222" w:rsidRPr="00015190" w14:paraId="158C70BE" w14:textId="77777777" w:rsidTr="00BE000D">
        <w:trPr>
          <w:trHeight w:val="170"/>
          <w:jc w:val="center"/>
        </w:trPr>
        <w:tc>
          <w:tcPr>
            <w:tcW w:w="1681" w:type="dxa"/>
            <w:vMerge/>
            <w:shd w:val="clear" w:color="auto" w:fill="E7F3F4"/>
            <w:vAlign w:val="center"/>
          </w:tcPr>
          <w:p w14:paraId="37D2B913" w14:textId="77777777" w:rsidR="00C91222" w:rsidRPr="00BE000D" w:rsidRDefault="00C91222" w:rsidP="00907D11">
            <w:pPr>
              <w:spacing w:before="0" w:after="0"/>
              <w:jc w:val="center"/>
              <w:rPr>
                <w:color w:val="000000"/>
                <w:sz w:val="20"/>
                <w:szCs w:val="20"/>
              </w:rPr>
            </w:pPr>
          </w:p>
        </w:tc>
        <w:tc>
          <w:tcPr>
            <w:tcW w:w="674" w:type="dxa"/>
            <w:shd w:val="clear" w:color="auto" w:fill="E7F3F4"/>
            <w:noWrap/>
            <w:vAlign w:val="center"/>
          </w:tcPr>
          <w:p w14:paraId="2A12E6B2" w14:textId="77777777" w:rsidR="00C91222" w:rsidRPr="00BE000D" w:rsidRDefault="00C91222" w:rsidP="00907D11">
            <w:pPr>
              <w:spacing w:before="0" w:after="0"/>
              <w:jc w:val="center"/>
              <w:rPr>
                <w:color w:val="000000"/>
                <w:sz w:val="20"/>
                <w:szCs w:val="20"/>
              </w:rPr>
            </w:pPr>
            <w:r w:rsidRPr="00BE000D">
              <w:rPr>
                <w:color w:val="000000"/>
                <w:sz w:val="20"/>
                <w:szCs w:val="20"/>
              </w:rPr>
              <w:t>ST2</w:t>
            </w:r>
          </w:p>
        </w:tc>
        <w:tc>
          <w:tcPr>
            <w:tcW w:w="3042" w:type="dxa"/>
            <w:shd w:val="clear" w:color="auto" w:fill="E7F3F4"/>
            <w:noWrap/>
            <w:vAlign w:val="center"/>
          </w:tcPr>
          <w:p w14:paraId="3228F782" w14:textId="6D087D14" w:rsidR="00C91222" w:rsidRPr="00BE000D" w:rsidRDefault="00C91222" w:rsidP="00907D11">
            <w:pPr>
              <w:spacing w:before="0" w:after="0"/>
              <w:jc w:val="center"/>
              <w:rPr>
                <w:color w:val="000000"/>
                <w:sz w:val="20"/>
                <w:szCs w:val="20"/>
              </w:rPr>
            </w:pPr>
            <w:r w:rsidRPr="00BE000D">
              <w:rPr>
                <w:color w:val="000000"/>
                <w:sz w:val="20"/>
                <w:szCs w:val="20"/>
              </w:rPr>
              <w:t>Stanley Island</w:t>
            </w:r>
            <w:r w:rsidR="00E5349B">
              <w:rPr>
                <w:color w:val="000000"/>
                <w:sz w:val="20"/>
                <w:szCs w:val="20"/>
              </w:rPr>
              <w:t xml:space="preserve"> (Flinders Group)</w:t>
            </w:r>
          </w:p>
        </w:tc>
        <w:tc>
          <w:tcPr>
            <w:tcW w:w="467" w:type="dxa"/>
            <w:shd w:val="clear" w:color="auto" w:fill="E7F3F4"/>
            <w:vAlign w:val="center"/>
          </w:tcPr>
          <w:p w14:paraId="68ABFC95"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905CF79"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EF52BA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E985F36"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68987A4"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255D24"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73219F"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CDD87AE"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AB23E2" w14:textId="77777777" w:rsidR="00C91222" w:rsidRDefault="00C91222" w:rsidP="00907D11">
            <w:pPr>
              <w:spacing w:before="0" w:after="0"/>
              <w:jc w:val="center"/>
              <w:rPr>
                <w:color w:val="000000"/>
                <w:sz w:val="14"/>
                <w:szCs w:val="14"/>
              </w:rPr>
            </w:pPr>
            <w:r w:rsidRPr="00F45F13">
              <w:rPr>
                <w:color w:val="000000"/>
                <w:sz w:val="16"/>
                <w:szCs w:val="16"/>
              </w:rPr>
              <w:sym w:font="Wingdings" w:char="F06E"/>
            </w:r>
          </w:p>
        </w:tc>
      </w:tr>
      <w:tr w:rsidR="00C91222" w:rsidRPr="00015190" w14:paraId="0987D0BB" w14:textId="77777777" w:rsidTr="00BE000D">
        <w:trPr>
          <w:trHeight w:val="170"/>
          <w:jc w:val="center"/>
        </w:trPr>
        <w:tc>
          <w:tcPr>
            <w:tcW w:w="1681" w:type="dxa"/>
            <w:vMerge/>
            <w:shd w:val="clear" w:color="auto" w:fill="E7F3F4"/>
            <w:vAlign w:val="center"/>
          </w:tcPr>
          <w:p w14:paraId="47CDE21E" w14:textId="77777777" w:rsidR="00C91222" w:rsidRPr="00BE000D" w:rsidRDefault="00C91222" w:rsidP="00907D11">
            <w:pPr>
              <w:spacing w:before="0" w:after="0"/>
              <w:jc w:val="center"/>
              <w:rPr>
                <w:color w:val="000000"/>
                <w:sz w:val="20"/>
                <w:szCs w:val="20"/>
              </w:rPr>
            </w:pPr>
          </w:p>
        </w:tc>
        <w:tc>
          <w:tcPr>
            <w:tcW w:w="674" w:type="dxa"/>
            <w:shd w:val="clear" w:color="auto" w:fill="E7F3F4"/>
            <w:noWrap/>
            <w:vAlign w:val="center"/>
          </w:tcPr>
          <w:p w14:paraId="40688279" w14:textId="042259F3" w:rsidR="00C91222" w:rsidRPr="00BE000D" w:rsidRDefault="00C91222" w:rsidP="00907D11">
            <w:pPr>
              <w:spacing w:before="0" w:after="0"/>
              <w:jc w:val="center"/>
              <w:rPr>
                <w:color w:val="000000"/>
                <w:sz w:val="20"/>
                <w:szCs w:val="20"/>
              </w:rPr>
            </w:pPr>
            <w:r w:rsidRPr="00BE000D">
              <w:rPr>
                <w:color w:val="000000"/>
                <w:sz w:val="20"/>
                <w:szCs w:val="20"/>
              </w:rPr>
              <w:t>YY1*</w:t>
            </w:r>
          </w:p>
        </w:tc>
        <w:tc>
          <w:tcPr>
            <w:tcW w:w="3042" w:type="dxa"/>
            <w:shd w:val="clear" w:color="auto" w:fill="E7F3F4"/>
            <w:noWrap/>
            <w:vAlign w:val="center"/>
          </w:tcPr>
          <w:p w14:paraId="0462332D" w14:textId="77777777" w:rsidR="00C91222" w:rsidRPr="00BE000D" w:rsidRDefault="00C91222" w:rsidP="00907D11">
            <w:pPr>
              <w:spacing w:before="0" w:after="0"/>
              <w:jc w:val="center"/>
              <w:rPr>
                <w:color w:val="000000"/>
                <w:sz w:val="20"/>
                <w:szCs w:val="20"/>
              </w:rPr>
            </w:pPr>
            <w:r w:rsidRPr="00BE000D">
              <w:rPr>
                <w:color w:val="000000"/>
                <w:sz w:val="20"/>
                <w:szCs w:val="20"/>
              </w:rPr>
              <w:t>Yum Yum Beach (Weymouth Bay)</w:t>
            </w:r>
          </w:p>
        </w:tc>
        <w:tc>
          <w:tcPr>
            <w:tcW w:w="467" w:type="dxa"/>
            <w:shd w:val="clear" w:color="auto" w:fill="E7F3F4"/>
            <w:vAlign w:val="center"/>
          </w:tcPr>
          <w:p w14:paraId="4652094F" w14:textId="77777777" w:rsidR="00C91222" w:rsidRPr="00F45F13" w:rsidRDefault="00C91222" w:rsidP="00907D11">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543BEBDF" w14:textId="77777777" w:rsidR="00C91222" w:rsidRPr="00F45F13" w:rsidRDefault="00C91222" w:rsidP="00907D11">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19D4B17E" w14:textId="77777777" w:rsidR="00C91222" w:rsidRPr="00F45F13" w:rsidRDefault="00C91222" w:rsidP="00907D11">
            <w:pPr>
              <w:spacing w:before="0" w:after="0"/>
              <w:jc w:val="center"/>
              <w:rPr>
                <w:color w:val="000000"/>
                <w:sz w:val="16"/>
                <w:szCs w:val="16"/>
              </w:rPr>
            </w:pPr>
          </w:p>
        </w:tc>
        <w:tc>
          <w:tcPr>
            <w:tcW w:w="467" w:type="dxa"/>
            <w:shd w:val="clear" w:color="auto" w:fill="E7F3F4"/>
            <w:vAlign w:val="center"/>
          </w:tcPr>
          <w:p w14:paraId="0FA9DC55" w14:textId="77777777" w:rsidR="00C91222" w:rsidRPr="00F45F13" w:rsidRDefault="00C91222" w:rsidP="00907D11">
            <w:pPr>
              <w:spacing w:before="0" w:after="0"/>
              <w:jc w:val="center"/>
              <w:rPr>
                <w:color w:val="000000"/>
                <w:sz w:val="16"/>
                <w:szCs w:val="16"/>
              </w:rPr>
            </w:pPr>
          </w:p>
        </w:tc>
        <w:tc>
          <w:tcPr>
            <w:tcW w:w="467" w:type="dxa"/>
            <w:shd w:val="clear" w:color="auto" w:fill="E7F3F4"/>
            <w:vAlign w:val="center"/>
          </w:tcPr>
          <w:p w14:paraId="02766D25" w14:textId="77777777" w:rsidR="00C91222" w:rsidRPr="00F45F13" w:rsidRDefault="00C91222" w:rsidP="00907D11">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1445C3C4" w14:textId="77777777" w:rsidR="00C91222" w:rsidRPr="00F45F13" w:rsidRDefault="00C91222" w:rsidP="00907D11">
            <w:pPr>
              <w:spacing w:before="0" w:after="0"/>
              <w:jc w:val="center"/>
              <w:rPr>
                <w:color w:val="000000"/>
                <w:sz w:val="16"/>
                <w:szCs w:val="16"/>
              </w:rPr>
            </w:pPr>
          </w:p>
        </w:tc>
        <w:tc>
          <w:tcPr>
            <w:tcW w:w="467" w:type="dxa"/>
            <w:shd w:val="clear" w:color="auto" w:fill="E7F3F4"/>
            <w:vAlign w:val="center"/>
          </w:tcPr>
          <w:p w14:paraId="5373E6D5" w14:textId="77777777" w:rsidR="00C91222" w:rsidRPr="00F45F13" w:rsidRDefault="00C91222" w:rsidP="00907D11">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206B65CD" w14:textId="77777777" w:rsidR="00C91222" w:rsidRPr="00F45F13" w:rsidRDefault="00C91222" w:rsidP="00907D11">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532D3CF1" w14:textId="77777777" w:rsidR="00C91222" w:rsidRPr="00F45F13" w:rsidRDefault="00C91222" w:rsidP="00907D11">
            <w:pPr>
              <w:spacing w:before="0" w:after="0"/>
              <w:jc w:val="center"/>
              <w:rPr>
                <w:color w:val="000000"/>
                <w:sz w:val="16"/>
                <w:szCs w:val="16"/>
              </w:rPr>
            </w:pPr>
            <w:r w:rsidRPr="00F45F13">
              <w:rPr>
                <w:color w:val="000000"/>
                <w:sz w:val="14"/>
                <w:szCs w:val="14"/>
              </w:rPr>
              <w:sym w:font="Wingdings" w:char="F0A8"/>
            </w:r>
          </w:p>
        </w:tc>
      </w:tr>
      <w:tr w:rsidR="00E5349B" w:rsidRPr="00015190" w14:paraId="2DA4C048" w14:textId="77777777" w:rsidTr="00E5349B">
        <w:trPr>
          <w:trHeight w:val="170"/>
          <w:jc w:val="center"/>
        </w:trPr>
        <w:tc>
          <w:tcPr>
            <w:tcW w:w="1681" w:type="dxa"/>
            <w:vMerge w:val="restart"/>
            <w:shd w:val="clear" w:color="auto" w:fill="F3F9FA"/>
            <w:vAlign w:val="center"/>
          </w:tcPr>
          <w:p w14:paraId="1F01AACB" w14:textId="5FCEE81F" w:rsidR="00E5349B" w:rsidRPr="00BE000D" w:rsidRDefault="00E5349B" w:rsidP="00907D11">
            <w:pPr>
              <w:spacing w:before="0" w:after="0"/>
              <w:jc w:val="center"/>
              <w:rPr>
                <w:color w:val="000000"/>
                <w:sz w:val="20"/>
                <w:szCs w:val="20"/>
              </w:rPr>
            </w:pPr>
            <w:r>
              <w:rPr>
                <w:color w:val="000000"/>
                <w:sz w:val="20"/>
                <w:szCs w:val="20"/>
              </w:rPr>
              <w:t>Reef subtidal</w:t>
            </w:r>
          </w:p>
        </w:tc>
        <w:tc>
          <w:tcPr>
            <w:tcW w:w="674" w:type="dxa"/>
            <w:shd w:val="clear" w:color="auto" w:fill="F3F9FA"/>
            <w:noWrap/>
            <w:vAlign w:val="center"/>
          </w:tcPr>
          <w:p w14:paraId="1E01E439" w14:textId="22B8B9F5" w:rsidR="00E5349B" w:rsidRPr="00BE000D" w:rsidRDefault="00E5349B" w:rsidP="00907D11">
            <w:pPr>
              <w:spacing w:before="0" w:after="0"/>
              <w:jc w:val="center"/>
              <w:rPr>
                <w:color w:val="000000"/>
                <w:sz w:val="20"/>
                <w:szCs w:val="20"/>
              </w:rPr>
            </w:pPr>
            <w:r>
              <w:rPr>
                <w:color w:val="000000"/>
                <w:sz w:val="20"/>
                <w:szCs w:val="20"/>
              </w:rPr>
              <w:t>FG1</w:t>
            </w:r>
            <w:r w:rsidRPr="00BE000D">
              <w:rPr>
                <w:color w:val="000000"/>
                <w:sz w:val="20"/>
                <w:szCs w:val="20"/>
                <w:vertAlign w:val="superscript"/>
              </w:rPr>
              <w:sym w:font="Wingdings 2" w:char="F085"/>
            </w:r>
          </w:p>
        </w:tc>
        <w:tc>
          <w:tcPr>
            <w:tcW w:w="3042" w:type="dxa"/>
            <w:shd w:val="clear" w:color="auto" w:fill="F3F9FA"/>
            <w:noWrap/>
            <w:vAlign w:val="center"/>
          </w:tcPr>
          <w:p w14:paraId="499D1435" w14:textId="3E7A92FE" w:rsidR="00E5349B" w:rsidRPr="00BE000D" w:rsidRDefault="00E5349B" w:rsidP="00907D11">
            <w:pPr>
              <w:spacing w:before="0" w:after="0"/>
              <w:jc w:val="center"/>
              <w:rPr>
                <w:color w:val="000000"/>
                <w:sz w:val="20"/>
                <w:szCs w:val="20"/>
              </w:rPr>
            </w:pPr>
            <w:r>
              <w:rPr>
                <w:color w:val="000000"/>
                <w:sz w:val="20"/>
                <w:szCs w:val="20"/>
              </w:rPr>
              <w:t>Flinders Island (Flinders Group)</w:t>
            </w:r>
          </w:p>
        </w:tc>
        <w:tc>
          <w:tcPr>
            <w:tcW w:w="467" w:type="dxa"/>
            <w:shd w:val="clear" w:color="auto" w:fill="F3F9FA"/>
            <w:vAlign w:val="center"/>
          </w:tcPr>
          <w:p w14:paraId="2A1D0342" w14:textId="74B2CFCF" w:rsidR="00E5349B" w:rsidRPr="00F45F13" w:rsidRDefault="00E5349B"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12B1D3" w14:textId="0ADB34A9" w:rsidR="00E5349B" w:rsidRPr="00F45F13" w:rsidRDefault="00E5349B"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63CC3FF" w14:textId="77777777" w:rsidR="00E5349B" w:rsidRPr="00F45F13" w:rsidRDefault="00E5349B" w:rsidP="00907D11">
            <w:pPr>
              <w:spacing w:before="0" w:after="0"/>
              <w:jc w:val="center"/>
              <w:rPr>
                <w:color w:val="000000"/>
                <w:sz w:val="16"/>
                <w:szCs w:val="16"/>
              </w:rPr>
            </w:pPr>
          </w:p>
        </w:tc>
        <w:tc>
          <w:tcPr>
            <w:tcW w:w="467" w:type="dxa"/>
            <w:shd w:val="clear" w:color="auto" w:fill="F3F9FA"/>
            <w:vAlign w:val="center"/>
          </w:tcPr>
          <w:p w14:paraId="6437C708" w14:textId="77777777" w:rsidR="00E5349B" w:rsidRPr="00F45F13" w:rsidRDefault="00E5349B" w:rsidP="00907D11">
            <w:pPr>
              <w:spacing w:before="0" w:after="0"/>
              <w:jc w:val="center"/>
              <w:rPr>
                <w:color w:val="000000"/>
                <w:sz w:val="16"/>
                <w:szCs w:val="16"/>
              </w:rPr>
            </w:pPr>
          </w:p>
        </w:tc>
        <w:tc>
          <w:tcPr>
            <w:tcW w:w="467" w:type="dxa"/>
            <w:shd w:val="clear" w:color="auto" w:fill="F3F9FA"/>
            <w:vAlign w:val="center"/>
          </w:tcPr>
          <w:p w14:paraId="4ADB5CFD" w14:textId="77777777" w:rsidR="00E5349B" w:rsidRPr="00F45F13" w:rsidRDefault="00E5349B" w:rsidP="00907D11">
            <w:pPr>
              <w:spacing w:before="0" w:after="0"/>
              <w:jc w:val="center"/>
              <w:rPr>
                <w:color w:val="000000"/>
                <w:sz w:val="14"/>
                <w:szCs w:val="14"/>
              </w:rPr>
            </w:pPr>
          </w:p>
        </w:tc>
        <w:tc>
          <w:tcPr>
            <w:tcW w:w="467" w:type="dxa"/>
            <w:shd w:val="clear" w:color="auto" w:fill="F3F9FA"/>
            <w:vAlign w:val="center"/>
          </w:tcPr>
          <w:p w14:paraId="5C8B4301" w14:textId="77777777" w:rsidR="00E5349B" w:rsidRPr="00F45F13" w:rsidRDefault="00E5349B" w:rsidP="00907D11">
            <w:pPr>
              <w:spacing w:before="0" w:after="0"/>
              <w:jc w:val="center"/>
              <w:rPr>
                <w:color w:val="000000"/>
                <w:sz w:val="16"/>
                <w:szCs w:val="16"/>
              </w:rPr>
            </w:pPr>
          </w:p>
        </w:tc>
        <w:tc>
          <w:tcPr>
            <w:tcW w:w="467" w:type="dxa"/>
            <w:shd w:val="clear" w:color="auto" w:fill="F3F9FA"/>
            <w:vAlign w:val="center"/>
          </w:tcPr>
          <w:p w14:paraId="6596692F" w14:textId="77777777" w:rsidR="00E5349B" w:rsidRPr="00F45F13" w:rsidRDefault="00E5349B" w:rsidP="00907D11">
            <w:pPr>
              <w:spacing w:before="0" w:after="0"/>
              <w:jc w:val="center"/>
              <w:rPr>
                <w:color w:val="000000"/>
                <w:sz w:val="14"/>
                <w:szCs w:val="14"/>
              </w:rPr>
            </w:pPr>
          </w:p>
        </w:tc>
        <w:tc>
          <w:tcPr>
            <w:tcW w:w="467" w:type="dxa"/>
            <w:shd w:val="clear" w:color="auto" w:fill="F3F9FA"/>
            <w:vAlign w:val="center"/>
          </w:tcPr>
          <w:p w14:paraId="564E1886" w14:textId="77777777" w:rsidR="00E5349B" w:rsidRPr="00F45F13" w:rsidRDefault="00E5349B" w:rsidP="00907D11">
            <w:pPr>
              <w:spacing w:before="0" w:after="0"/>
              <w:jc w:val="center"/>
              <w:rPr>
                <w:color w:val="000000"/>
                <w:sz w:val="14"/>
                <w:szCs w:val="14"/>
              </w:rPr>
            </w:pPr>
          </w:p>
        </w:tc>
        <w:tc>
          <w:tcPr>
            <w:tcW w:w="467" w:type="dxa"/>
            <w:shd w:val="clear" w:color="auto" w:fill="F3F9FA"/>
            <w:vAlign w:val="center"/>
          </w:tcPr>
          <w:p w14:paraId="0D0FAE77" w14:textId="167FDFA2" w:rsidR="00E5349B" w:rsidRPr="00F45F13" w:rsidRDefault="00E5349B" w:rsidP="00907D11">
            <w:pPr>
              <w:spacing w:before="0" w:after="0"/>
              <w:jc w:val="center"/>
              <w:rPr>
                <w:color w:val="000000"/>
                <w:sz w:val="14"/>
                <w:szCs w:val="14"/>
              </w:rPr>
            </w:pPr>
            <w:r w:rsidRPr="00F45F13">
              <w:rPr>
                <w:color w:val="000000"/>
                <w:sz w:val="16"/>
                <w:szCs w:val="16"/>
              </w:rPr>
              <w:sym w:font="Wingdings" w:char="F06E"/>
            </w:r>
          </w:p>
        </w:tc>
      </w:tr>
      <w:tr w:rsidR="00E5349B" w:rsidRPr="00015190" w14:paraId="7D9CA04B" w14:textId="77777777" w:rsidTr="00E5349B">
        <w:trPr>
          <w:trHeight w:val="170"/>
          <w:jc w:val="center"/>
        </w:trPr>
        <w:tc>
          <w:tcPr>
            <w:tcW w:w="1681" w:type="dxa"/>
            <w:vMerge/>
            <w:shd w:val="clear" w:color="auto" w:fill="F3F9FA"/>
            <w:vAlign w:val="center"/>
          </w:tcPr>
          <w:p w14:paraId="247154B6" w14:textId="77777777" w:rsidR="00E5349B" w:rsidRPr="00BE000D" w:rsidRDefault="00E5349B" w:rsidP="00907D11">
            <w:pPr>
              <w:spacing w:before="0" w:after="0"/>
              <w:jc w:val="center"/>
              <w:rPr>
                <w:color w:val="000000"/>
                <w:sz w:val="20"/>
                <w:szCs w:val="20"/>
              </w:rPr>
            </w:pPr>
          </w:p>
        </w:tc>
        <w:tc>
          <w:tcPr>
            <w:tcW w:w="674" w:type="dxa"/>
            <w:shd w:val="clear" w:color="auto" w:fill="F3F9FA"/>
            <w:noWrap/>
            <w:vAlign w:val="center"/>
          </w:tcPr>
          <w:p w14:paraId="2ACB99B1" w14:textId="619B7126" w:rsidR="00E5349B" w:rsidRPr="00BE000D" w:rsidRDefault="00E5349B" w:rsidP="00907D11">
            <w:pPr>
              <w:spacing w:before="0" w:after="0"/>
              <w:jc w:val="center"/>
              <w:rPr>
                <w:color w:val="000000"/>
                <w:sz w:val="20"/>
                <w:szCs w:val="20"/>
              </w:rPr>
            </w:pPr>
            <w:r>
              <w:rPr>
                <w:color w:val="000000"/>
                <w:sz w:val="20"/>
                <w:szCs w:val="20"/>
              </w:rPr>
              <w:t>FG2</w:t>
            </w:r>
            <w:r w:rsidRPr="00BE000D">
              <w:rPr>
                <w:color w:val="000000"/>
                <w:sz w:val="20"/>
                <w:szCs w:val="20"/>
                <w:vertAlign w:val="superscript"/>
              </w:rPr>
              <w:sym w:font="Wingdings 2" w:char="F085"/>
            </w:r>
          </w:p>
        </w:tc>
        <w:tc>
          <w:tcPr>
            <w:tcW w:w="3042" w:type="dxa"/>
            <w:shd w:val="clear" w:color="auto" w:fill="F3F9FA"/>
            <w:noWrap/>
            <w:vAlign w:val="center"/>
          </w:tcPr>
          <w:p w14:paraId="5FD3F164" w14:textId="49FB11AB" w:rsidR="00E5349B" w:rsidRPr="00BE000D" w:rsidRDefault="00E5349B" w:rsidP="00907D11">
            <w:pPr>
              <w:spacing w:before="0" w:after="0"/>
              <w:jc w:val="center"/>
              <w:rPr>
                <w:color w:val="000000"/>
                <w:sz w:val="20"/>
                <w:szCs w:val="20"/>
              </w:rPr>
            </w:pPr>
            <w:r>
              <w:rPr>
                <w:color w:val="000000"/>
                <w:sz w:val="20"/>
                <w:szCs w:val="20"/>
              </w:rPr>
              <w:t>Flinders Island (Flinders Group)</w:t>
            </w:r>
          </w:p>
        </w:tc>
        <w:tc>
          <w:tcPr>
            <w:tcW w:w="467" w:type="dxa"/>
            <w:shd w:val="clear" w:color="auto" w:fill="F3F9FA"/>
            <w:vAlign w:val="center"/>
          </w:tcPr>
          <w:p w14:paraId="60E07E37" w14:textId="42B31215" w:rsidR="00E5349B" w:rsidRPr="00F45F13" w:rsidRDefault="00E5349B"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F56EB9C" w14:textId="6AC98D5D" w:rsidR="00E5349B" w:rsidRPr="00F45F13" w:rsidRDefault="00E5349B"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4997B2A" w14:textId="77777777" w:rsidR="00E5349B" w:rsidRPr="00F45F13" w:rsidRDefault="00E5349B" w:rsidP="00907D11">
            <w:pPr>
              <w:spacing w:before="0" w:after="0"/>
              <w:jc w:val="center"/>
              <w:rPr>
                <w:color w:val="000000"/>
                <w:sz w:val="16"/>
                <w:szCs w:val="16"/>
              </w:rPr>
            </w:pPr>
          </w:p>
        </w:tc>
        <w:tc>
          <w:tcPr>
            <w:tcW w:w="467" w:type="dxa"/>
            <w:shd w:val="clear" w:color="auto" w:fill="F3F9FA"/>
            <w:vAlign w:val="center"/>
          </w:tcPr>
          <w:p w14:paraId="6F16DCA3" w14:textId="77777777" w:rsidR="00E5349B" w:rsidRPr="00F45F13" w:rsidRDefault="00E5349B" w:rsidP="00907D11">
            <w:pPr>
              <w:spacing w:before="0" w:after="0"/>
              <w:jc w:val="center"/>
              <w:rPr>
                <w:color w:val="000000"/>
                <w:sz w:val="16"/>
                <w:szCs w:val="16"/>
              </w:rPr>
            </w:pPr>
          </w:p>
        </w:tc>
        <w:tc>
          <w:tcPr>
            <w:tcW w:w="467" w:type="dxa"/>
            <w:shd w:val="clear" w:color="auto" w:fill="F3F9FA"/>
            <w:vAlign w:val="center"/>
          </w:tcPr>
          <w:p w14:paraId="5B1B4602" w14:textId="77777777" w:rsidR="00E5349B" w:rsidRPr="00F45F13" w:rsidRDefault="00E5349B" w:rsidP="00907D11">
            <w:pPr>
              <w:spacing w:before="0" w:after="0"/>
              <w:jc w:val="center"/>
              <w:rPr>
                <w:color w:val="000000"/>
                <w:sz w:val="14"/>
                <w:szCs w:val="14"/>
              </w:rPr>
            </w:pPr>
          </w:p>
        </w:tc>
        <w:tc>
          <w:tcPr>
            <w:tcW w:w="467" w:type="dxa"/>
            <w:shd w:val="clear" w:color="auto" w:fill="F3F9FA"/>
            <w:vAlign w:val="center"/>
          </w:tcPr>
          <w:p w14:paraId="4059B10A" w14:textId="77777777" w:rsidR="00E5349B" w:rsidRPr="00F45F13" w:rsidRDefault="00E5349B" w:rsidP="00907D11">
            <w:pPr>
              <w:spacing w:before="0" w:after="0"/>
              <w:jc w:val="center"/>
              <w:rPr>
                <w:color w:val="000000"/>
                <w:sz w:val="16"/>
                <w:szCs w:val="16"/>
              </w:rPr>
            </w:pPr>
          </w:p>
        </w:tc>
        <w:tc>
          <w:tcPr>
            <w:tcW w:w="467" w:type="dxa"/>
            <w:shd w:val="clear" w:color="auto" w:fill="F3F9FA"/>
            <w:vAlign w:val="center"/>
          </w:tcPr>
          <w:p w14:paraId="4BE99F34" w14:textId="77777777" w:rsidR="00E5349B" w:rsidRPr="00F45F13" w:rsidRDefault="00E5349B" w:rsidP="00907D11">
            <w:pPr>
              <w:spacing w:before="0" w:after="0"/>
              <w:jc w:val="center"/>
              <w:rPr>
                <w:color w:val="000000"/>
                <w:sz w:val="14"/>
                <w:szCs w:val="14"/>
              </w:rPr>
            </w:pPr>
          </w:p>
        </w:tc>
        <w:tc>
          <w:tcPr>
            <w:tcW w:w="467" w:type="dxa"/>
            <w:shd w:val="clear" w:color="auto" w:fill="F3F9FA"/>
            <w:vAlign w:val="center"/>
          </w:tcPr>
          <w:p w14:paraId="5C8D6E2C" w14:textId="77777777" w:rsidR="00E5349B" w:rsidRPr="00F45F13" w:rsidRDefault="00E5349B" w:rsidP="00907D11">
            <w:pPr>
              <w:spacing w:before="0" w:after="0"/>
              <w:jc w:val="center"/>
              <w:rPr>
                <w:color w:val="000000"/>
                <w:sz w:val="14"/>
                <w:szCs w:val="14"/>
              </w:rPr>
            </w:pPr>
          </w:p>
        </w:tc>
        <w:tc>
          <w:tcPr>
            <w:tcW w:w="467" w:type="dxa"/>
            <w:shd w:val="clear" w:color="auto" w:fill="F3F9FA"/>
            <w:vAlign w:val="center"/>
          </w:tcPr>
          <w:p w14:paraId="38C8777C" w14:textId="51410B8A" w:rsidR="00E5349B" w:rsidRPr="00F45F13" w:rsidRDefault="00E5349B" w:rsidP="00907D11">
            <w:pPr>
              <w:spacing w:before="0" w:after="0"/>
              <w:jc w:val="center"/>
              <w:rPr>
                <w:color w:val="000000"/>
                <w:sz w:val="14"/>
                <w:szCs w:val="14"/>
              </w:rPr>
            </w:pPr>
            <w:r w:rsidRPr="00F45F13">
              <w:rPr>
                <w:color w:val="000000"/>
                <w:sz w:val="16"/>
                <w:szCs w:val="16"/>
              </w:rPr>
              <w:sym w:font="Wingdings" w:char="F06E"/>
            </w:r>
          </w:p>
        </w:tc>
      </w:tr>
    </w:tbl>
    <w:p w14:paraId="6F213BB0" w14:textId="6643BEA5" w:rsidR="005132EF" w:rsidRPr="004F2236" w:rsidRDefault="005132EF" w:rsidP="004F2236">
      <w:pPr>
        <w:pStyle w:val="Heading4"/>
        <w:numPr>
          <w:ilvl w:val="0"/>
          <w:numId w:val="0"/>
        </w:numPr>
        <w:rPr>
          <w:rFonts w:ascii="Arial" w:hAnsi="Arial" w:cs="Arial"/>
          <w:sz w:val="24"/>
          <w:szCs w:val="24"/>
        </w:rPr>
      </w:pPr>
      <w:bookmarkStart w:id="235" w:name="_Toc184101972"/>
      <w:bookmarkEnd w:id="214"/>
      <w:bookmarkEnd w:id="215"/>
      <w:bookmarkEnd w:id="216"/>
      <w:r w:rsidRPr="004F2236">
        <w:rPr>
          <w:rFonts w:ascii="Arial" w:hAnsi="Arial" w:cs="Arial"/>
          <w:sz w:val="24"/>
          <w:szCs w:val="24"/>
        </w:rPr>
        <w:t>Seagrass abundance</w:t>
      </w:r>
      <w:r w:rsidR="00106667">
        <w:rPr>
          <w:rFonts w:ascii="Arial" w:hAnsi="Arial" w:cs="Arial"/>
          <w:sz w:val="24"/>
          <w:szCs w:val="24"/>
        </w:rPr>
        <w:t>,</w:t>
      </w:r>
      <w:r w:rsidRPr="004F2236">
        <w:rPr>
          <w:rFonts w:ascii="Arial" w:hAnsi="Arial" w:cs="Arial"/>
          <w:sz w:val="24"/>
          <w:szCs w:val="24"/>
        </w:rPr>
        <w:t xml:space="preserve"> composition</w:t>
      </w:r>
      <w:bookmarkEnd w:id="235"/>
      <w:r w:rsidR="00106667" w:rsidRPr="00106667">
        <w:rPr>
          <w:rFonts w:ascii="Arial" w:hAnsi="Arial" w:cs="Arial"/>
          <w:sz w:val="24"/>
          <w:szCs w:val="24"/>
        </w:rPr>
        <w:t xml:space="preserve"> </w:t>
      </w:r>
      <w:r w:rsidR="00106667" w:rsidRPr="004F2236">
        <w:rPr>
          <w:rFonts w:ascii="Arial" w:hAnsi="Arial" w:cs="Arial"/>
          <w:sz w:val="24"/>
          <w:szCs w:val="24"/>
        </w:rPr>
        <w:t>and</w:t>
      </w:r>
      <w:r w:rsidR="00106667">
        <w:rPr>
          <w:rFonts w:ascii="Arial" w:hAnsi="Arial" w:cs="Arial"/>
          <w:sz w:val="24"/>
          <w:szCs w:val="24"/>
        </w:rPr>
        <w:t xml:space="preserve"> extent</w:t>
      </w:r>
    </w:p>
    <w:p w14:paraId="68FBB164" w14:textId="19B140F2" w:rsidR="00906FE6" w:rsidRPr="003B7E3F" w:rsidRDefault="00906FE6" w:rsidP="00994F86">
      <w:pPr>
        <w:rPr>
          <w:color w:val="000000" w:themeColor="text1"/>
          <w:szCs w:val="22"/>
        </w:rPr>
      </w:pPr>
      <w:r w:rsidRPr="003B7E3F">
        <w:rPr>
          <w:color w:val="000000" w:themeColor="text1"/>
          <w:szCs w:val="22"/>
        </w:rPr>
        <w:t xml:space="preserve">The seagrass abundance score </w:t>
      </w:r>
      <w:r w:rsidR="00BB2963" w:rsidRPr="003B7E3F">
        <w:rPr>
          <w:color w:val="000000" w:themeColor="text1"/>
          <w:szCs w:val="22"/>
        </w:rPr>
        <w:t xml:space="preserve">reduced in the Cape York region in </w:t>
      </w:r>
      <w:r w:rsidR="008574EC">
        <w:rPr>
          <w:color w:val="000000" w:themeColor="text1"/>
          <w:szCs w:val="22"/>
        </w:rPr>
        <w:t>2016–17</w:t>
      </w:r>
      <w:r w:rsidR="00DC68FC" w:rsidRPr="003B7E3F">
        <w:rPr>
          <w:color w:val="000000" w:themeColor="text1"/>
          <w:szCs w:val="22"/>
        </w:rPr>
        <w:t xml:space="preserve">, but </w:t>
      </w:r>
      <w:r w:rsidRPr="003B7E3F">
        <w:rPr>
          <w:color w:val="000000" w:themeColor="text1"/>
          <w:szCs w:val="22"/>
        </w:rPr>
        <w:t>remained moderate (</w:t>
      </w:r>
      <w:r w:rsidR="002B494C" w:rsidRPr="003B7E3F">
        <w:rPr>
          <w:color w:val="000000" w:themeColor="text1"/>
          <w:szCs w:val="22"/>
        </w:rPr>
        <w:fldChar w:fldCharType="begin"/>
      </w:r>
      <w:r w:rsidR="002B494C" w:rsidRPr="003B7E3F">
        <w:rPr>
          <w:color w:val="000000" w:themeColor="text1"/>
          <w:szCs w:val="22"/>
        </w:rPr>
        <w:instrText xml:space="preserve"> REF _Ref385233470 \h </w:instrText>
      </w:r>
      <w:r w:rsidR="0041342B" w:rsidRPr="003B7E3F">
        <w:rPr>
          <w:color w:val="000000" w:themeColor="text1"/>
          <w:szCs w:val="22"/>
        </w:rPr>
        <w:instrText xml:space="preserve"> \* MERGEFORMAT </w:instrText>
      </w:r>
      <w:r w:rsidR="002B494C" w:rsidRPr="003B7E3F">
        <w:rPr>
          <w:color w:val="000000" w:themeColor="text1"/>
          <w:szCs w:val="22"/>
        </w:rPr>
      </w:r>
      <w:r w:rsidR="002B494C" w:rsidRPr="003B7E3F">
        <w:rPr>
          <w:color w:val="000000" w:themeColor="text1"/>
          <w:szCs w:val="22"/>
        </w:rPr>
        <w:fldChar w:fldCharType="separate"/>
      </w:r>
      <w:r w:rsidR="00F87DF9" w:rsidRPr="00F87DF9">
        <w:rPr>
          <w:color w:val="000000" w:themeColor="text1"/>
          <w:szCs w:val="22"/>
        </w:rPr>
        <w:t>Figure 31</w:t>
      </w:r>
      <w:r w:rsidR="002B494C" w:rsidRPr="003B7E3F">
        <w:rPr>
          <w:color w:val="000000" w:themeColor="text1"/>
          <w:szCs w:val="22"/>
        </w:rPr>
        <w:fldChar w:fldCharType="end"/>
      </w:r>
      <w:r w:rsidRPr="003B7E3F">
        <w:rPr>
          <w:color w:val="000000" w:themeColor="text1"/>
          <w:szCs w:val="22"/>
        </w:rPr>
        <w:t xml:space="preserve">). </w:t>
      </w:r>
      <w:r w:rsidR="006A1D35" w:rsidRPr="003B7E3F">
        <w:rPr>
          <w:color w:val="000000" w:themeColor="text1"/>
          <w:szCs w:val="22"/>
        </w:rPr>
        <w:t xml:space="preserve">The </w:t>
      </w:r>
      <w:r w:rsidR="003B7E3F" w:rsidRPr="003B7E3F">
        <w:rPr>
          <w:color w:val="000000" w:themeColor="text1"/>
          <w:szCs w:val="22"/>
        </w:rPr>
        <w:t>decline</w:t>
      </w:r>
      <w:r w:rsidR="006A1D35" w:rsidRPr="003B7E3F">
        <w:rPr>
          <w:color w:val="000000" w:themeColor="text1"/>
          <w:szCs w:val="22"/>
        </w:rPr>
        <w:t xml:space="preserve"> in s</w:t>
      </w:r>
      <w:r w:rsidRPr="003B7E3F">
        <w:rPr>
          <w:color w:val="000000" w:themeColor="text1"/>
          <w:szCs w:val="22"/>
        </w:rPr>
        <w:t xml:space="preserve">eagrass abundance </w:t>
      </w:r>
      <w:r w:rsidR="006A1D35" w:rsidRPr="003B7E3F">
        <w:rPr>
          <w:color w:val="000000" w:themeColor="text1"/>
          <w:szCs w:val="22"/>
        </w:rPr>
        <w:t xml:space="preserve">in </w:t>
      </w:r>
      <w:r w:rsidR="008574EC">
        <w:rPr>
          <w:color w:val="000000" w:themeColor="text1"/>
          <w:szCs w:val="22"/>
        </w:rPr>
        <w:t>2016–17</w:t>
      </w:r>
      <w:r w:rsidR="006A1D35" w:rsidRPr="003B7E3F">
        <w:rPr>
          <w:color w:val="000000" w:themeColor="text1"/>
          <w:szCs w:val="22"/>
        </w:rPr>
        <w:t xml:space="preserve"> was attributed to </w:t>
      </w:r>
      <w:r w:rsidR="003B7E3F" w:rsidRPr="003B7E3F">
        <w:rPr>
          <w:color w:val="000000" w:themeColor="text1"/>
          <w:szCs w:val="22"/>
        </w:rPr>
        <w:t>reductions in cover</w:t>
      </w:r>
      <w:r w:rsidR="006A1D35" w:rsidRPr="003B7E3F">
        <w:rPr>
          <w:color w:val="000000" w:themeColor="text1"/>
          <w:szCs w:val="22"/>
        </w:rPr>
        <w:t xml:space="preserve"> at </w:t>
      </w:r>
      <w:r w:rsidR="003B7E3F" w:rsidRPr="003B7E3F">
        <w:rPr>
          <w:color w:val="000000" w:themeColor="text1"/>
          <w:szCs w:val="22"/>
        </w:rPr>
        <w:t xml:space="preserve">all sites and habitats, except </w:t>
      </w:r>
      <w:r w:rsidR="000E2DCC">
        <w:rPr>
          <w:color w:val="000000" w:themeColor="text1"/>
          <w:szCs w:val="22"/>
        </w:rPr>
        <w:t xml:space="preserve">in the coastal intertidal habitat </w:t>
      </w:r>
      <w:r w:rsidR="003B7E3F" w:rsidRPr="003B7E3F">
        <w:rPr>
          <w:color w:val="000000" w:themeColor="text1"/>
          <w:szCs w:val="22"/>
        </w:rPr>
        <w:t>at Bathurst Bay</w:t>
      </w:r>
      <w:r w:rsidR="003B7E3F">
        <w:rPr>
          <w:color w:val="000000" w:themeColor="text1"/>
          <w:szCs w:val="22"/>
        </w:rPr>
        <w:t xml:space="preserve"> (</w:t>
      </w:r>
      <w:r w:rsidR="001851D6">
        <w:rPr>
          <w:color w:val="000000" w:themeColor="text1"/>
          <w:szCs w:val="22"/>
        </w:rPr>
        <w:fldChar w:fldCharType="begin"/>
      </w:r>
      <w:r w:rsidR="001851D6">
        <w:rPr>
          <w:color w:val="000000" w:themeColor="text1"/>
          <w:szCs w:val="22"/>
        </w:rPr>
        <w:instrText xml:space="preserve"> REF _Ref179269976 \h </w:instrText>
      </w:r>
      <w:r w:rsidR="001851D6">
        <w:rPr>
          <w:color w:val="000000" w:themeColor="text1"/>
          <w:szCs w:val="22"/>
        </w:rPr>
      </w:r>
      <w:r w:rsidR="001851D6">
        <w:rPr>
          <w:color w:val="000000" w:themeColor="text1"/>
          <w:szCs w:val="22"/>
        </w:rPr>
        <w:fldChar w:fldCharType="separate"/>
      </w:r>
      <w:r w:rsidR="00F87DF9" w:rsidRPr="00D20408">
        <w:rPr>
          <w:color w:val="000000"/>
        </w:rPr>
        <w:t xml:space="preserve">Figure </w:t>
      </w:r>
      <w:r w:rsidR="00F87DF9">
        <w:rPr>
          <w:noProof/>
          <w:color w:val="000000"/>
        </w:rPr>
        <w:t>35</w:t>
      </w:r>
      <w:r w:rsidR="001851D6">
        <w:rPr>
          <w:color w:val="000000" w:themeColor="text1"/>
          <w:szCs w:val="22"/>
        </w:rPr>
        <w:fldChar w:fldCharType="end"/>
      </w:r>
      <w:r w:rsidR="001851D6">
        <w:rPr>
          <w:color w:val="000000" w:themeColor="text1"/>
          <w:szCs w:val="22"/>
        </w:rPr>
        <w:t xml:space="preserve">, </w:t>
      </w:r>
      <w:r w:rsidR="001851D6">
        <w:rPr>
          <w:color w:val="000000" w:themeColor="text1"/>
          <w:szCs w:val="22"/>
        </w:rPr>
        <w:fldChar w:fldCharType="begin"/>
      </w:r>
      <w:r w:rsidR="001851D6">
        <w:rPr>
          <w:color w:val="000000" w:themeColor="text1"/>
          <w:szCs w:val="22"/>
        </w:rPr>
        <w:instrText xml:space="preserve"> REF _Ref380060771 \h </w:instrText>
      </w:r>
      <w:r w:rsidR="001851D6">
        <w:rPr>
          <w:color w:val="000000" w:themeColor="text1"/>
          <w:szCs w:val="22"/>
        </w:rPr>
      </w:r>
      <w:r w:rsidR="001851D6">
        <w:rPr>
          <w:color w:val="000000" w:themeColor="text1"/>
          <w:szCs w:val="22"/>
        </w:rPr>
        <w:fldChar w:fldCharType="separate"/>
      </w:r>
      <w:r w:rsidR="00F87DF9" w:rsidRPr="0014481E">
        <w:rPr>
          <w:color w:val="000000"/>
          <w:szCs w:val="22"/>
        </w:rPr>
        <w:t xml:space="preserve">Figure </w:t>
      </w:r>
      <w:r w:rsidR="00F87DF9">
        <w:rPr>
          <w:noProof/>
          <w:color w:val="000000"/>
          <w:szCs w:val="22"/>
        </w:rPr>
        <w:t>36</w:t>
      </w:r>
      <w:r w:rsidR="001851D6">
        <w:rPr>
          <w:color w:val="000000" w:themeColor="text1"/>
          <w:szCs w:val="22"/>
        </w:rPr>
        <w:fldChar w:fldCharType="end"/>
      </w:r>
      <w:r w:rsidR="001851D6">
        <w:rPr>
          <w:color w:val="000000" w:themeColor="text1"/>
          <w:szCs w:val="22"/>
        </w:rPr>
        <w:t>)</w:t>
      </w:r>
      <w:r w:rsidR="003B7E3F" w:rsidRPr="003B7E3F">
        <w:rPr>
          <w:color w:val="000000" w:themeColor="text1"/>
          <w:szCs w:val="22"/>
        </w:rPr>
        <w:t xml:space="preserve">. </w:t>
      </w:r>
    </w:p>
    <w:p w14:paraId="2415CA1E" w14:textId="4866B1ED" w:rsidR="00D06955" w:rsidRPr="00121CDB" w:rsidRDefault="003611ED" w:rsidP="00994F86">
      <w:pPr>
        <w:rPr>
          <w:szCs w:val="22"/>
        </w:rPr>
      </w:pPr>
      <w:r w:rsidRPr="003B7E3F">
        <w:rPr>
          <w:color w:val="000000" w:themeColor="text1"/>
          <w:szCs w:val="22"/>
        </w:rPr>
        <w:t xml:space="preserve">The most southern location (Archer Point reef habitat) has been monitored for the greatest period of time in the region, while the other four </w:t>
      </w:r>
      <w:r w:rsidR="0091436F" w:rsidRPr="003B7E3F">
        <w:rPr>
          <w:color w:val="000000" w:themeColor="text1"/>
          <w:szCs w:val="22"/>
        </w:rPr>
        <w:t>locations</w:t>
      </w:r>
      <w:r w:rsidRPr="003B7E3F">
        <w:rPr>
          <w:color w:val="000000" w:themeColor="text1"/>
          <w:szCs w:val="22"/>
        </w:rPr>
        <w:t xml:space="preserve"> </w:t>
      </w:r>
      <w:r w:rsidR="0091436F" w:rsidRPr="003B7E3F">
        <w:rPr>
          <w:color w:val="000000" w:themeColor="text1"/>
          <w:szCs w:val="22"/>
        </w:rPr>
        <w:t>were established in</w:t>
      </w:r>
      <w:r w:rsidRPr="003B7E3F">
        <w:rPr>
          <w:color w:val="000000" w:themeColor="text1"/>
          <w:szCs w:val="22"/>
        </w:rPr>
        <w:t xml:space="preserve"> 2012 (</w:t>
      </w:r>
      <w:r w:rsidR="001851D6">
        <w:rPr>
          <w:color w:val="000000" w:themeColor="text1"/>
          <w:szCs w:val="22"/>
        </w:rPr>
        <w:fldChar w:fldCharType="begin"/>
      </w:r>
      <w:r w:rsidR="001851D6">
        <w:rPr>
          <w:color w:val="000000" w:themeColor="text1"/>
          <w:szCs w:val="22"/>
        </w:rPr>
        <w:instrText xml:space="preserve"> REF _Ref380060771 \h </w:instrText>
      </w:r>
      <w:r w:rsidR="001851D6">
        <w:rPr>
          <w:color w:val="000000" w:themeColor="text1"/>
          <w:szCs w:val="22"/>
        </w:rPr>
      </w:r>
      <w:r w:rsidR="001851D6">
        <w:rPr>
          <w:color w:val="000000" w:themeColor="text1"/>
          <w:szCs w:val="22"/>
        </w:rPr>
        <w:fldChar w:fldCharType="separate"/>
      </w:r>
      <w:r w:rsidR="00F87DF9" w:rsidRPr="0014481E">
        <w:rPr>
          <w:color w:val="000000"/>
          <w:szCs w:val="22"/>
        </w:rPr>
        <w:t xml:space="preserve">Figure </w:t>
      </w:r>
      <w:r w:rsidR="00F87DF9">
        <w:rPr>
          <w:noProof/>
          <w:color w:val="000000"/>
          <w:szCs w:val="22"/>
        </w:rPr>
        <w:t>36</w:t>
      </w:r>
      <w:r w:rsidR="001851D6">
        <w:rPr>
          <w:color w:val="000000" w:themeColor="text1"/>
          <w:szCs w:val="22"/>
        </w:rPr>
        <w:fldChar w:fldCharType="end"/>
      </w:r>
      <w:r w:rsidR="001851D6">
        <w:rPr>
          <w:color w:val="000000" w:themeColor="text1"/>
          <w:szCs w:val="22"/>
        </w:rPr>
        <w:t>)</w:t>
      </w:r>
      <w:r w:rsidR="00154304" w:rsidRPr="003B7E3F">
        <w:rPr>
          <w:color w:val="000000" w:themeColor="text1"/>
          <w:szCs w:val="22"/>
        </w:rPr>
        <w:t xml:space="preserve">. </w:t>
      </w:r>
      <w:r w:rsidR="00E43A3C" w:rsidRPr="003B7E3F">
        <w:rPr>
          <w:color w:val="000000" w:themeColor="text1"/>
          <w:szCs w:val="22"/>
        </w:rPr>
        <w:t xml:space="preserve">Since monitoring was established at Archer Point (AP1) in 2003, seagrass cover has generally followed a </w:t>
      </w:r>
      <w:r w:rsidR="00E43A3C" w:rsidRPr="00121CDB">
        <w:rPr>
          <w:szCs w:val="22"/>
        </w:rPr>
        <w:t>seasonal trend with higher abundance in late dry period (</w:t>
      </w:r>
      <w:hyperlink w:anchor="_ENREF_155" w:tooltip="McKenzie, 2012 #9614" w:history="1">
        <w:r w:rsidR="00305FE7" w:rsidRPr="00121CDB">
          <w:rPr>
            <w:szCs w:val="22"/>
          </w:rPr>
          <w:fldChar w:fldCharType="begin"/>
        </w:r>
        <w:r w:rsidR="00305FE7" w:rsidRPr="00121CDB">
          <w:rPr>
            <w:szCs w:val="22"/>
          </w:rPr>
          <w:instrText xml:space="preserve"> ADDIN EN.CITE &lt;EndNote&gt;&lt;Cite&gt;&lt;Author&gt;McKenzie&lt;/Author&gt;&lt;Year&gt;2012&lt;/Year&gt;&lt;RecNum&gt;9614&lt;/RecNum&gt;&lt;DisplayText&gt;McKenzie&lt;style face="italic"&gt; et al.&lt;/style&gt; 2012a&lt;/DisplayText&gt;&lt;record&gt;&lt;rec-number&gt;9614&lt;/rec-number&gt;&lt;foreign-keys&gt;&lt;key app="EN" db-id="0eve55x9y5vfd6e9dacxtew4eatve2dzds9a" timestamp="1388536034"&gt;9614&lt;/key&gt;&lt;/foreign-keys&gt;&lt;ref-type name="Book Section"&gt;5&lt;/ref-type&gt;&lt;contributors&gt;&lt;authors&gt;&lt;author&gt;McKenzie, Len J&lt;/author&gt;&lt;author&gt;Collier, C&lt;/author&gt;&lt;author&gt;Waycott, M&lt;/author&gt;&lt;author&gt;Unsworth, R&lt;/author&gt;&lt;author&gt;Yoshida, R&lt;/author&gt;&lt;author&gt;Smith, N&lt;/author&gt;&lt;/authors&gt;&lt;secondary-authors&gt;&lt;author&gt;Yellowlees, D&lt;/author&gt;&lt;author&gt;Hughes, T. P&lt;/author&gt;&lt;/secondary-authors&gt;&lt;/contributors&gt;&lt;titles&gt;&lt;title&gt;Monitoring inshore seagrasses of the GBR and responses to water quality&lt;/title&gt;&lt;secondary-title&gt;Proceedings of the 12th International Coral Reef Symposium, Cairns, Australia, 9-13 July 2012. Mini-Symposium 15b – Seagrasses and seagrass ecosystems&lt;/secondary-title&gt;&lt;/titles&gt;&lt;pages&gt;5&lt;/pages&gt;&lt;dates&gt;&lt;year&gt;2012&lt;/year&gt;&lt;/dates&gt;&lt;pub-location&gt;Townsville, Queensland&lt;/pub-location&gt;&lt;publisher&gt;James Cook University&lt;/publisher&gt;&lt;isbn&gt;978-0-9808572-5-2&lt;/isbn&gt;&lt;urls&gt;&lt;related-urls&gt;&lt;url&gt;http://www.icrs2012.com/proceedings/manuscripts/ICRS2012_15B_4.pdf&lt;/url&gt;&lt;/related-urls&gt;&lt;/urls&gt;&lt;/record&gt;&lt;/Cite&gt;&lt;/EndNote&gt;</w:instrText>
        </w:r>
        <w:r w:rsidR="00305FE7" w:rsidRPr="00121CDB">
          <w:rPr>
            <w:szCs w:val="22"/>
          </w:rPr>
          <w:fldChar w:fldCharType="separate"/>
        </w:r>
        <w:r w:rsidR="00305FE7" w:rsidRPr="00121CDB">
          <w:rPr>
            <w:szCs w:val="22"/>
          </w:rPr>
          <w:t>McKenzie et al. 2012a</w:t>
        </w:r>
        <w:r w:rsidR="00305FE7" w:rsidRPr="00121CDB">
          <w:rPr>
            <w:szCs w:val="22"/>
          </w:rPr>
          <w:fldChar w:fldCharType="end"/>
        </w:r>
      </w:hyperlink>
      <w:r w:rsidR="00E43A3C" w:rsidRPr="00121CDB">
        <w:rPr>
          <w:szCs w:val="22"/>
        </w:rPr>
        <w:t xml:space="preserve">). </w:t>
      </w:r>
      <w:r w:rsidR="00CC1C24" w:rsidRPr="00121CDB">
        <w:rPr>
          <w:szCs w:val="22"/>
        </w:rPr>
        <w:t>Previous analysis (</w:t>
      </w:r>
      <w:r w:rsidR="00D4220F" w:rsidRPr="00121CDB">
        <w:rPr>
          <w:szCs w:val="22"/>
        </w:rPr>
        <w:t xml:space="preserve">reported in </w:t>
      </w:r>
      <w:r w:rsidR="00CC1C24" w:rsidRPr="00121CDB">
        <w:rPr>
          <w:szCs w:val="22"/>
        </w:rPr>
        <w:t xml:space="preserve">2014-15) </w:t>
      </w:r>
      <w:r w:rsidR="00E43A3C" w:rsidRPr="00121CDB">
        <w:rPr>
          <w:szCs w:val="22"/>
        </w:rPr>
        <w:t xml:space="preserve">at all locations in Cape York </w:t>
      </w:r>
      <w:r w:rsidR="00CC1C24" w:rsidRPr="00121CDB">
        <w:rPr>
          <w:szCs w:val="22"/>
        </w:rPr>
        <w:t xml:space="preserve">has shown that </w:t>
      </w:r>
      <w:r w:rsidR="00D4220F" w:rsidRPr="00121CDB">
        <w:rPr>
          <w:szCs w:val="22"/>
        </w:rPr>
        <w:t xml:space="preserve">variation in </w:t>
      </w:r>
      <w:r w:rsidRPr="00121CDB">
        <w:rPr>
          <w:szCs w:val="22"/>
        </w:rPr>
        <w:t xml:space="preserve">seagrass cover at reef habitats </w:t>
      </w:r>
      <w:r w:rsidR="00D4220F" w:rsidRPr="00121CDB">
        <w:rPr>
          <w:szCs w:val="22"/>
        </w:rPr>
        <w:t xml:space="preserve">does not follow a seasonal pattern </w:t>
      </w:r>
      <w:r w:rsidR="00297299" w:rsidRPr="00121CDB">
        <w:rPr>
          <w:szCs w:val="22"/>
        </w:rPr>
        <w:t>at most locations</w:t>
      </w:r>
      <w:r w:rsidRPr="00121CDB">
        <w:rPr>
          <w:szCs w:val="22"/>
        </w:rPr>
        <w:t>: 16.2</w:t>
      </w:r>
      <w:r w:rsidR="0063478C" w:rsidRPr="00121CDB">
        <w:rPr>
          <w:szCs w:val="22"/>
        </w:rPr>
        <w:t xml:space="preserve"> per cent</w:t>
      </w:r>
      <w:r w:rsidRPr="00121CDB">
        <w:rPr>
          <w:szCs w:val="22"/>
        </w:rPr>
        <w:t xml:space="preserve"> in the late dry and 15.9</w:t>
      </w:r>
      <w:r w:rsidR="0063478C" w:rsidRPr="00121CDB">
        <w:rPr>
          <w:szCs w:val="22"/>
        </w:rPr>
        <w:t xml:space="preserve"> per cent</w:t>
      </w:r>
      <w:r w:rsidRPr="00121CDB">
        <w:rPr>
          <w:szCs w:val="22"/>
        </w:rPr>
        <w:t xml:space="preserve"> in late </w:t>
      </w:r>
      <w:r w:rsidR="000945E8" w:rsidRPr="00121CDB">
        <w:rPr>
          <w:szCs w:val="22"/>
        </w:rPr>
        <w:t>wet</w:t>
      </w:r>
      <w:r w:rsidRPr="00121CDB">
        <w:rPr>
          <w:szCs w:val="22"/>
        </w:rPr>
        <w:t xml:space="preserve"> season.</w:t>
      </w:r>
      <w:r w:rsidR="00CC1C24" w:rsidRPr="00121CDB">
        <w:rPr>
          <w:szCs w:val="22"/>
        </w:rPr>
        <w:t xml:space="preserve"> Seasonality can no longer be interpreted as sites are visited just once per year in the late dry.</w:t>
      </w:r>
      <w:r w:rsidRPr="00121CDB">
        <w:rPr>
          <w:szCs w:val="22"/>
        </w:rPr>
        <w:t xml:space="preserve"> </w:t>
      </w:r>
    </w:p>
    <w:p w14:paraId="68274D49" w14:textId="77777777" w:rsidR="003611ED" w:rsidRDefault="002D353D" w:rsidP="00994F86">
      <w:pPr>
        <w:keepNext/>
        <w:widowControl w:val="0"/>
        <w:spacing w:after="0"/>
        <w:jc w:val="center"/>
        <w:rPr>
          <w:color w:val="000000"/>
          <w:szCs w:val="22"/>
        </w:rPr>
      </w:pPr>
      <w:r>
        <w:rPr>
          <w:noProof/>
          <w:color w:val="000000"/>
          <w:szCs w:val="22"/>
          <w:lang w:eastAsia="en-AU"/>
        </w:rPr>
        <w:drawing>
          <wp:inline distT="0" distB="0" distL="0" distR="0" wp14:anchorId="29A4AE99" wp14:editId="68786B4E">
            <wp:extent cx="5025600" cy="5436000"/>
            <wp:effectExtent l="0" t="0" r="3810" b="0"/>
            <wp:docPr id="29" name="Picture 29" descr="Set of five scatter plots with straight lines and markers showing seagrass abundance (% cover and Standard Error) at inshore intertidal reef habitats (replicate sites pooled) in the Cape York NRM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Y_reef_SG16.png"/>
                    <pic:cNvPicPr/>
                  </pic:nvPicPr>
                  <pic:blipFill>
                    <a:blip r:embed="rId72"/>
                    <a:stretch>
                      <a:fillRect/>
                    </a:stretch>
                  </pic:blipFill>
                  <pic:spPr>
                    <a:xfrm>
                      <a:off x="0" y="0"/>
                      <a:ext cx="5025600" cy="5436000"/>
                    </a:xfrm>
                    <a:prstGeom prst="rect">
                      <a:avLst/>
                    </a:prstGeom>
                  </pic:spPr>
                </pic:pic>
              </a:graphicData>
            </a:graphic>
          </wp:inline>
        </w:drawing>
      </w:r>
    </w:p>
    <w:p w14:paraId="3BEA8A01" w14:textId="01987205" w:rsidR="0064588D" w:rsidRPr="00D20408" w:rsidRDefault="005132EF" w:rsidP="00994F86">
      <w:pPr>
        <w:spacing w:before="0"/>
        <w:ind w:right="233"/>
        <w:rPr>
          <w:color w:val="000000"/>
        </w:rPr>
      </w:pPr>
      <w:bookmarkStart w:id="236" w:name="_Ref179269976"/>
      <w:bookmarkStart w:id="237" w:name="_Toc176158848"/>
      <w:bookmarkStart w:id="238" w:name="_Toc232845956"/>
      <w:bookmarkStart w:id="239" w:name="_Toc431493826"/>
      <w:bookmarkStart w:id="240" w:name="_Ref354735615"/>
      <w:bookmarkStart w:id="241" w:name="_Ref507669469"/>
      <w:bookmarkStart w:id="242" w:name="_Toc516053245"/>
      <w:r w:rsidRPr="00D20408">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35</w:t>
      </w:r>
      <w:r w:rsidR="0073595B">
        <w:rPr>
          <w:color w:val="000000"/>
        </w:rPr>
        <w:fldChar w:fldCharType="end"/>
      </w:r>
      <w:bookmarkEnd w:id="236"/>
      <w:r w:rsidRPr="00D20408">
        <w:rPr>
          <w:color w:val="000000"/>
        </w:rPr>
        <w:t xml:space="preserve">. </w:t>
      </w:r>
      <w:r w:rsidRPr="00D20408">
        <w:rPr>
          <w:i/>
          <w:color w:val="000000"/>
        </w:rPr>
        <w:t>Seagrass abundance (</w:t>
      </w:r>
      <w:r w:rsidR="0063478C">
        <w:rPr>
          <w:i/>
          <w:color w:val="000000"/>
        </w:rPr>
        <w:t>per cent</w:t>
      </w:r>
      <w:r w:rsidRPr="00D20408">
        <w:rPr>
          <w:i/>
          <w:color w:val="000000"/>
        </w:rPr>
        <w:t xml:space="preserve"> cover ± </w:t>
      </w:r>
      <w:r w:rsidR="009C7692">
        <w:rPr>
          <w:i/>
          <w:color w:val="000000"/>
        </w:rPr>
        <w:t>SE</w:t>
      </w:r>
      <w:r w:rsidRPr="00D20408">
        <w:rPr>
          <w:i/>
          <w:color w:val="000000"/>
        </w:rPr>
        <w:t xml:space="preserve">) at inshore </w:t>
      </w:r>
      <w:r w:rsidR="0064588D" w:rsidRPr="00D20408">
        <w:rPr>
          <w:i/>
          <w:color w:val="000000"/>
        </w:rPr>
        <w:t xml:space="preserve">intertidal </w:t>
      </w:r>
      <w:r w:rsidRPr="00D20408">
        <w:rPr>
          <w:i/>
          <w:color w:val="000000"/>
        </w:rPr>
        <w:t>reef habitat</w:t>
      </w:r>
      <w:r w:rsidR="00F84A5C" w:rsidRPr="00D20408">
        <w:rPr>
          <w:i/>
          <w:color w:val="000000"/>
        </w:rPr>
        <w:t>s</w:t>
      </w:r>
      <w:r w:rsidRPr="00D20408">
        <w:rPr>
          <w:i/>
          <w:color w:val="000000"/>
        </w:rPr>
        <w:t xml:space="preserve"> </w:t>
      </w:r>
      <w:r w:rsidRPr="007615D3">
        <w:rPr>
          <w:i/>
          <w:color w:val="000000"/>
        </w:rPr>
        <w:t>(</w:t>
      </w:r>
      <w:r w:rsidR="000626FE" w:rsidRPr="00240924">
        <w:rPr>
          <w:i/>
        </w:rPr>
        <w:t xml:space="preserve">replicate </w:t>
      </w:r>
      <w:r w:rsidRPr="00240924">
        <w:rPr>
          <w:i/>
        </w:rPr>
        <w:t>sites pooled)</w:t>
      </w:r>
      <w:r w:rsidR="000626FE" w:rsidRPr="00240924">
        <w:rPr>
          <w:i/>
        </w:rPr>
        <w:t xml:space="preserve"> in the Cape York NRM</w:t>
      </w:r>
      <w:r w:rsidRPr="00240924">
        <w:rPr>
          <w:i/>
        </w:rPr>
        <w:t>.</w:t>
      </w:r>
      <w:bookmarkEnd w:id="237"/>
      <w:bookmarkEnd w:id="238"/>
      <w:bookmarkEnd w:id="239"/>
      <w:bookmarkEnd w:id="240"/>
      <w:bookmarkEnd w:id="241"/>
      <w:bookmarkEnd w:id="242"/>
    </w:p>
    <w:p w14:paraId="013A8B8F" w14:textId="189400B9" w:rsidR="00967596" w:rsidRPr="00F75525" w:rsidRDefault="00967596" w:rsidP="00994F86">
      <w:pPr>
        <w:spacing w:before="0" w:after="0"/>
        <w:rPr>
          <w:szCs w:val="22"/>
        </w:rPr>
      </w:pPr>
    </w:p>
    <w:p w14:paraId="040A0B42" w14:textId="77777777" w:rsidR="0091436F" w:rsidRDefault="002D353D" w:rsidP="00994F86">
      <w:pPr>
        <w:spacing w:after="0"/>
        <w:jc w:val="center"/>
        <w:rPr>
          <w:color w:val="000000"/>
          <w:szCs w:val="22"/>
        </w:rPr>
      </w:pPr>
      <w:r>
        <w:rPr>
          <w:noProof/>
          <w:color w:val="000000"/>
          <w:szCs w:val="22"/>
          <w:lang w:eastAsia="en-AU"/>
        </w:rPr>
        <w:drawing>
          <wp:inline distT="0" distB="0" distL="0" distR="0" wp14:anchorId="5AF6B41F" wp14:editId="6EB97190">
            <wp:extent cx="5025600" cy="3646800"/>
            <wp:effectExtent l="0" t="0" r="3810" b="0"/>
            <wp:docPr id="247" name="Picture 247" descr="Panel of three scatter plots with straight lines and markers showing seagrass abundance (% cover and  Standard Error) at inshore intertidal and subtidal coastal habitats (sites pooled) in the Cape York NRM region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CY_coast_SG16.png"/>
                    <pic:cNvPicPr/>
                  </pic:nvPicPr>
                  <pic:blipFill>
                    <a:blip r:embed="rId73"/>
                    <a:stretch>
                      <a:fillRect/>
                    </a:stretch>
                  </pic:blipFill>
                  <pic:spPr>
                    <a:xfrm>
                      <a:off x="0" y="0"/>
                      <a:ext cx="5025600" cy="3646800"/>
                    </a:xfrm>
                    <a:prstGeom prst="rect">
                      <a:avLst/>
                    </a:prstGeom>
                  </pic:spPr>
                </pic:pic>
              </a:graphicData>
            </a:graphic>
          </wp:inline>
        </w:drawing>
      </w:r>
    </w:p>
    <w:p w14:paraId="105E9D33" w14:textId="477E2837" w:rsidR="0091436F" w:rsidRPr="0014481E" w:rsidRDefault="0091436F" w:rsidP="00994F86">
      <w:pPr>
        <w:spacing w:before="0"/>
        <w:ind w:right="233"/>
        <w:rPr>
          <w:color w:val="000000"/>
          <w:szCs w:val="22"/>
        </w:rPr>
      </w:pPr>
      <w:bookmarkStart w:id="243" w:name="_Ref380060771"/>
      <w:bookmarkStart w:id="244" w:name="_Toc431493827"/>
      <w:bookmarkStart w:id="245" w:name="_Toc516053246"/>
      <w:r w:rsidRPr="0014481E">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36</w:t>
      </w:r>
      <w:r w:rsidR="0073595B">
        <w:rPr>
          <w:color w:val="000000"/>
          <w:szCs w:val="22"/>
        </w:rPr>
        <w:fldChar w:fldCharType="end"/>
      </w:r>
      <w:bookmarkEnd w:id="243"/>
      <w:r w:rsidRPr="0014481E">
        <w:rPr>
          <w:color w:val="000000"/>
          <w:szCs w:val="22"/>
        </w:rPr>
        <w:t xml:space="preserve">. </w:t>
      </w:r>
      <w:r w:rsidRPr="0014481E">
        <w:rPr>
          <w:i/>
          <w:color w:val="000000"/>
          <w:szCs w:val="22"/>
        </w:rPr>
        <w:t>Seagrass abundance (</w:t>
      </w:r>
      <w:r w:rsidR="0063478C">
        <w:rPr>
          <w:i/>
          <w:color w:val="000000"/>
          <w:szCs w:val="22"/>
        </w:rPr>
        <w:t xml:space="preserve"> per cent</w:t>
      </w:r>
      <w:r w:rsidRPr="0014481E">
        <w:rPr>
          <w:i/>
          <w:color w:val="000000"/>
          <w:szCs w:val="22"/>
        </w:rPr>
        <w:t xml:space="preserve"> cover ± </w:t>
      </w:r>
      <w:r w:rsidR="009C7692">
        <w:rPr>
          <w:i/>
          <w:color w:val="000000"/>
          <w:szCs w:val="22"/>
        </w:rPr>
        <w:t>SE</w:t>
      </w:r>
      <w:r w:rsidRPr="0014481E">
        <w:rPr>
          <w:i/>
          <w:color w:val="000000"/>
          <w:szCs w:val="22"/>
        </w:rPr>
        <w:t>) at inshore intertidal coastal habitats (sites pooled) in the Cape York NRM region.</w:t>
      </w:r>
      <w:bookmarkEnd w:id="244"/>
      <w:bookmarkEnd w:id="245"/>
    </w:p>
    <w:p w14:paraId="18C1662D" w14:textId="59C3AEC6" w:rsidR="0091436F" w:rsidRPr="000F7CA4" w:rsidRDefault="0091436F" w:rsidP="00994F86">
      <w:pPr>
        <w:rPr>
          <w:color w:val="000000" w:themeColor="text1"/>
          <w:szCs w:val="22"/>
        </w:rPr>
      </w:pPr>
      <w:r w:rsidRPr="000F7CA4">
        <w:rPr>
          <w:color w:val="000000" w:themeColor="text1"/>
          <w:szCs w:val="22"/>
        </w:rPr>
        <w:t xml:space="preserve">An examination of the long term trend across the Cape York NRM region shows seagrass </w:t>
      </w:r>
      <w:r w:rsidR="0063478C" w:rsidRPr="000F7CA4">
        <w:rPr>
          <w:color w:val="000000" w:themeColor="text1"/>
          <w:szCs w:val="22"/>
        </w:rPr>
        <w:t>per cent</w:t>
      </w:r>
      <w:r w:rsidR="001C6797" w:rsidRPr="000F7CA4">
        <w:rPr>
          <w:color w:val="000000" w:themeColor="text1"/>
          <w:szCs w:val="22"/>
        </w:rPr>
        <w:t xml:space="preserve"> cover</w:t>
      </w:r>
      <w:r w:rsidRPr="000F7CA4">
        <w:rPr>
          <w:color w:val="000000" w:themeColor="text1"/>
          <w:szCs w:val="22"/>
        </w:rPr>
        <w:t xml:space="preserve"> progressively decreased from 2003 to 2012, but has </w:t>
      </w:r>
      <w:r w:rsidR="000F7CA4" w:rsidRPr="000F7CA4">
        <w:rPr>
          <w:color w:val="000000" w:themeColor="text1"/>
          <w:szCs w:val="22"/>
        </w:rPr>
        <w:t>remained relatively stable in coastal and reef habitats since 2011</w:t>
      </w:r>
      <w:r w:rsidR="00E16A8B" w:rsidRPr="000F7CA4">
        <w:rPr>
          <w:color w:val="000000" w:themeColor="text1"/>
          <w:szCs w:val="22"/>
        </w:rPr>
        <w:t xml:space="preserve"> </w:t>
      </w:r>
      <w:r w:rsidRPr="000F7CA4">
        <w:rPr>
          <w:color w:val="000000" w:themeColor="text1"/>
          <w:szCs w:val="22"/>
        </w:rPr>
        <w:t>(</w:t>
      </w:r>
      <w:r w:rsidRPr="000F7CA4">
        <w:rPr>
          <w:color w:val="000000" w:themeColor="text1"/>
          <w:szCs w:val="22"/>
        </w:rPr>
        <w:fldChar w:fldCharType="begin"/>
      </w:r>
      <w:r w:rsidRPr="000F7CA4">
        <w:rPr>
          <w:color w:val="000000" w:themeColor="text1"/>
          <w:szCs w:val="22"/>
        </w:rPr>
        <w:instrText xml:space="preserve"> REF _Ref442423744 \h </w:instrText>
      </w:r>
      <w:r w:rsidRPr="000F7CA4">
        <w:rPr>
          <w:color w:val="000000" w:themeColor="text1"/>
          <w:szCs w:val="22"/>
        </w:rPr>
      </w:r>
      <w:r w:rsidRPr="000F7CA4">
        <w:rPr>
          <w:color w:val="000000" w:themeColor="text1"/>
          <w:szCs w:val="22"/>
        </w:rPr>
        <w:fldChar w:fldCharType="separate"/>
      </w:r>
      <w:r w:rsidR="00F87DF9">
        <w:t xml:space="preserve">Figure </w:t>
      </w:r>
      <w:r w:rsidR="00F87DF9">
        <w:rPr>
          <w:noProof/>
        </w:rPr>
        <w:t>37</w:t>
      </w:r>
      <w:r w:rsidRPr="000F7CA4">
        <w:rPr>
          <w:color w:val="000000" w:themeColor="text1"/>
          <w:szCs w:val="22"/>
        </w:rPr>
        <w:fldChar w:fldCharType="end"/>
      </w:r>
      <w:r w:rsidR="000F7CA4" w:rsidRPr="000F7CA4">
        <w:rPr>
          <w:color w:val="000000" w:themeColor="text1"/>
          <w:szCs w:val="22"/>
        </w:rPr>
        <w:t xml:space="preserve">, </w:t>
      </w:r>
      <w:r w:rsidR="006E30A0" w:rsidRPr="000F7CA4">
        <w:rPr>
          <w:color w:val="000000" w:themeColor="text1"/>
          <w:szCs w:val="22"/>
        </w:rPr>
        <w:fldChar w:fldCharType="begin"/>
      </w:r>
      <w:r w:rsidR="006E30A0" w:rsidRPr="000F7CA4">
        <w:rPr>
          <w:color w:val="000000" w:themeColor="text1"/>
          <w:szCs w:val="22"/>
        </w:rPr>
        <w:instrText xml:space="preserve"> REF _Ref473620638 \h </w:instrText>
      </w:r>
      <w:r w:rsidR="006E30A0" w:rsidRPr="000F7CA4">
        <w:rPr>
          <w:color w:val="000000" w:themeColor="text1"/>
          <w:szCs w:val="22"/>
        </w:rPr>
      </w:r>
      <w:r w:rsidR="006E30A0" w:rsidRPr="000F7CA4">
        <w:rPr>
          <w:color w:val="000000" w:themeColor="text1"/>
          <w:szCs w:val="22"/>
        </w:rPr>
        <w:fldChar w:fldCharType="separate"/>
      </w:r>
      <w:r w:rsidR="00F87DF9">
        <w:t xml:space="preserve">Figure </w:t>
      </w:r>
      <w:r w:rsidR="00F87DF9">
        <w:rPr>
          <w:noProof/>
        </w:rPr>
        <w:t>38</w:t>
      </w:r>
      <w:r w:rsidR="006E30A0" w:rsidRPr="000F7CA4">
        <w:rPr>
          <w:color w:val="000000" w:themeColor="text1"/>
          <w:szCs w:val="22"/>
        </w:rPr>
        <w:fldChar w:fldCharType="end"/>
      </w:r>
      <w:r w:rsidR="006E30A0" w:rsidRPr="000F7CA4">
        <w:rPr>
          <w:color w:val="000000" w:themeColor="text1"/>
          <w:szCs w:val="22"/>
        </w:rPr>
        <w:t>)</w:t>
      </w:r>
      <w:r w:rsidRPr="000F7CA4">
        <w:rPr>
          <w:color w:val="000000" w:themeColor="text1"/>
          <w:szCs w:val="22"/>
        </w:rPr>
        <w:t>.</w:t>
      </w:r>
      <w:r w:rsidR="00E16A8B" w:rsidRPr="000F7CA4">
        <w:rPr>
          <w:color w:val="000000" w:themeColor="text1"/>
          <w:szCs w:val="22"/>
        </w:rPr>
        <w:t xml:space="preserve"> </w:t>
      </w:r>
    </w:p>
    <w:p w14:paraId="4E798C1C" w14:textId="45A74A74" w:rsidR="0091436F" w:rsidRDefault="00E16A8B" w:rsidP="00994F86">
      <w:pPr>
        <w:keepNext/>
        <w:widowControl w:val="0"/>
        <w:spacing w:after="0"/>
        <w:jc w:val="center"/>
        <w:rPr>
          <w:color w:val="000000"/>
          <w:szCs w:val="22"/>
        </w:rPr>
      </w:pPr>
      <w:r w:rsidRPr="00E16A8B">
        <w:rPr>
          <w:noProof/>
          <w:color w:val="000000"/>
          <w:szCs w:val="22"/>
          <w:lang w:eastAsia="en-AU"/>
        </w:rPr>
        <w:drawing>
          <wp:inline distT="0" distB="0" distL="0" distR="0" wp14:anchorId="1CB7C8B3" wp14:editId="5C4C8DBD">
            <wp:extent cx="3272018" cy="2002341"/>
            <wp:effectExtent l="0" t="0" r="5080" b="0"/>
            <wp:docPr id="3" name="Picture 3" descr="GAM plot showing long-term temporal trends in seagrass abundance for each location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Y_cvr_GAM_Dec16.png"/>
                    <pic:cNvPicPr/>
                  </pic:nvPicPr>
                  <pic:blipFill>
                    <a:blip r:embed="rId74"/>
                    <a:stretch>
                      <a:fillRect/>
                    </a:stretch>
                  </pic:blipFill>
                  <pic:spPr>
                    <a:xfrm>
                      <a:off x="0" y="0"/>
                      <a:ext cx="3272018" cy="2002341"/>
                    </a:xfrm>
                    <a:prstGeom prst="rect">
                      <a:avLst/>
                    </a:prstGeom>
                  </pic:spPr>
                </pic:pic>
              </a:graphicData>
            </a:graphic>
          </wp:inline>
        </w:drawing>
      </w:r>
    </w:p>
    <w:p w14:paraId="2800FE1E" w14:textId="09E2DC95" w:rsidR="0091436F" w:rsidRPr="00665BC8" w:rsidRDefault="0091436F" w:rsidP="00994F86">
      <w:pPr>
        <w:rPr>
          <w:i/>
          <w:vanish/>
          <w:specVanish/>
        </w:rPr>
      </w:pPr>
      <w:bookmarkStart w:id="246" w:name="_Ref442423744"/>
      <w:bookmarkStart w:id="247" w:name="_Toc51605324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37</w:t>
      </w:r>
      <w:r w:rsidR="00C506C7">
        <w:rPr>
          <w:noProof/>
        </w:rPr>
        <w:fldChar w:fldCharType="end"/>
      </w:r>
      <w:bookmarkEnd w:id="246"/>
      <w:r>
        <w:t xml:space="preserve">.  </w:t>
      </w:r>
      <w:r w:rsidR="006007AA">
        <w:rPr>
          <w:i/>
        </w:rPr>
        <w:t>Regional and location te</w:t>
      </w:r>
      <w:r w:rsidRPr="00665BC8">
        <w:rPr>
          <w:i/>
        </w:rPr>
        <w:t xml:space="preserve">mporal trend in seagrass abundance in the Cape York </w:t>
      </w:r>
      <w:r w:rsidR="00272A62">
        <w:rPr>
          <w:i/>
        </w:rPr>
        <w:t xml:space="preserve">NRM </w:t>
      </w:r>
      <w:r w:rsidRPr="00665BC8">
        <w:rPr>
          <w:i/>
        </w:rPr>
        <w:t>region</w:t>
      </w:r>
      <w:r w:rsidR="000E2DCC">
        <w:rPr>
          <w:i/>
        </w:rPr>
        <w:t xml:space="preserve"> from 2003 to 2016</w:t>
      </w:r>
      <w:r w:rsidRPr="00665BC8">
        <w:rPr>
          <w:i/>
        </w:rPr>
        <w:t xml:space="preserve"> represented by a GAM plot.</w:t>
      </w:r>
      <w:bookmarkEnd w:id="247"/>
    </w:p>
    <w:p w14:paraId="4921869C" w14:textId="1AC2049A" w:rsidR="0091436F" w:rsidRDefault="0091436F" w:rsidP="00994F86">
      <w:pPr>
        <w:rPr>
          <w:color w:val="000000"/>
          <w:szCs w:val="22"/>
        </w:rPr>
      </w:pPr>
      <w:r w:rsidRPr="00665BC8">
        <w:rPr>
          <w:i/>
        </w:rPr>
        <w:t xml:space="preserve">  Regional trend (all </w:t>
      </w:r>
      <w:r>
        <w:rPr>
          <w:i/>
        </w:rPr>
        <w:t>locations</w:t>
      </w:r>
      <w:r w:rsidRPr="00665BC8">
        <w:rPr>
          <w:i/>
        </w:rPr>
        <w:t xml:space="preserve"> pooled) represented by black line with gre</w:t>
      </w:r>
      <w:r w:rsidR="006007AA">
        <w:rPr>
          <w:i/>
        </w:rPr>
        <w:t>y</w:t>
      </w:r>
      <w:r w:rsidRPr="00665BC8">
        <w:rPr>
          <w:i/>
        </w:rPr>
        <w:t xml:space="preserve"> shaded area defining 95</w:t>
      </w:r>
      <w:r w:rsidR="0063478C">
        <w:rPr>
          <w:i/>
        </w:rPr>
        <w:t xml:space="preserve"> per cent</w:t>
      </w:r>
      <w:r w:rsidRPr="00665BC8">
        <w:rPr>
          <w:i/>
        </w:rPr>
        <w:t xml:space="preserve"> confidence intervals.</w:t>
      </w:r>
    </w:p>
    <w:p w14:paraId="21A90BB6" w14:textId="7A9F57A8" w:rsidR="00E16A8B" w:rsidRPr="00E16A8B" w:rsidRDefault="00E16A8B" w:rsidP="00994F86">
      <w:pPr>
        <w:keepNext/>
        <w:widowControl w:val="0"/>
        <w:spacing w:after="0"/>
        <w:jc w:val="center"/>
        <w:rPr>
          <w:noProof/>
          <w:color w:val="000000"/>
          <w:szCs w:val="22"/>
          <w:lang w:eastAsia="en-AU"/>
        </w:rPr>
      </w:pPr>
      <w:r>
        <w:rPr>
          <w:noProof/>
          <w:color w:val="000000"/>
          <w:szCs w:val="22"/>
          <w:lang w:eastAsia="en-AU"/>
        </w:rPr>
        <w:drawing>
          <wp:inline distT="0" distB="0" distL="0" distR="0" wp14:anchorId="4DF2BD25" wp14:editId="4BD82B44">
            <wp:extent cx="4319998" cy="2064904"/>
            <wp:effectExtent l="0" t="0" r="4445" b="0"/>
            <wp:docPr id="83" name="Picture 83" descr="GAM plot showing long-term temporal trends in seagrass abundance for each habitat in the Cape York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CY_hab_cvr_GAM_Dec16.png"/>
                    <pic:cNvPicPr/>
                  </pic:nvPicPr>
                  <pic:blipFill>
                    <a:blip r:embed="rId75"/>
                    <a:stretch>
                      <a:fillRect/>
                    </a:stretch>
                  </pic:blipFill>
                  <pic:spPr>
                    <a:xfrm>
                      <a:off x="0" y="0"/>
                      <a:ext cx="4319998" cy="2064904"/>
                    </a:xfrm>
                    <a:prstGeom prst="rect">
                      <a:avLst/>
                    </a:prstGeom>
                  </pic:spPr>
                </pic:pic>
              </a:graphicData>
            </a:graphic>
          </wp:inline>
        </w:drawing>
      </w:r>
    </w:p>
    <w:p w14:paraId="4C64CC1A" w14:textId="0FEB9C28" w:rsidR="00E16A8B" w:rsidRPr="00665BC8" w:rsidRDefault="00E16A8B" w:rsidP="00994F86">
      <w:pPr>
        <w:rPr>
          <w:i/>
          <w:vanish/>
          <w:specVanish/>
        </w:rPr>
      </w:pPr>
      <w:bookmarkStart w:id="248" w:name="_Ref473620638"/>
      <w:bookmarkStart w:id="249" w:name="_Ref473620513"/>
      <w:bookmarkStart w:id="250" w:name="_Toc51605324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38</w:t>
      </w:r>
      <w:r w:rsidR="00C506C7">
        <w:rPr>
          <w:noProof/>
        </w:rPr>
        <w:fldChar w:fldCharType="end"/>
      </w:r>
      <w:bookmarkEnd w:id="248"/>
      <w:r>
        <w:t xml:space="preserve">. </w:t>
      </w:r>
      <w:r w:rsidRPr="00665BC8">
        <w:rPr>
          <w:i/>
        </w:rPr>
        <w:t xml:space="preserve">Temporal trends in seagrass abundance for each </w:t>
      </w:r>
      <w:r>
        <w:rPr>
          <w:i/>
        </w:rPr>
        <w:t>habitat</w:t>
      </w:r>
      <w:r w:rsidRPr="00665BC8">
        <w:rPr>
          <w:i/>
        </w:rPr>
        <w:t xml:space="preserve"> in the Cape York </w:t>
      </w:r>
      <w:r>
        <w:rPr>
          <w:i/>
        </w:rPr>
        <w:t xml:space="preserve">NRM </w:t>
      </w:r>
      <w:r w:rsidRPr="00665BC8">
        <w:rPr>
          <w:i/>
        </w:rPr>
        <w:t>region represented by a GAM plot.</w:t>
      </w:r>
      <w:bookmarkEnd w:id="249"/>
      <w:bookmarkEnd w:id="250"/>
    </w:p>
    <w:p w14:paraId="51F6E1CD" w14:textId="20375832" w:rsidR="00E16A8B" w:rsidRDefault="00E16A8B" w:rsidP="00994F86">
      <w:pPr>
        <w:rPr>
          <w:color w:val="000000"/>
          <w:szCs w:val="22"/>
        </w:rPr>
      </w:pPr>
      <w:r w:rsidRPr="00665BC8">
        <w:rPr>
          <w:i/>
        </w:rPr>
        <w:t xml:space="preserve">  Regional trend (all </w:t>
      </w:r>
      <w:r>
        <w:rPr>
          <w:i/>
        </w:rPr>
        <w:t>locations</w:t>
      </w:r>
      <w:r w:rsidRPr="00665BC8">
        <w:rPr>
          <w:i/>
        </w:rPr>
        <w:t xml:space="preserve"> pooled) represented by black line with gre</w:t>
      </w:r>
      <w:r>
        <w:rPr>
          <w:i/>
        </w:rPr>
        <w:t>en</w:t>
      </w:r>
      <w:r w:rsidRPr="00665BC8">
        <w:rPr>
          <w:i/>
        </w:rPr>
        <w:t xml:space="preserve"> shaded area defining 95</w:t>
      </w:r>
      <w:r w:rsidR="0063478C">
        <w:rPr>
          <w:i/>
        </w:rPr>
        <w:t xml:space="preserve"> per cent</w:t>
      </w:r>
      <w:r w:rsidRPr="00665BC8">
        <w:rPr>
          <w:i/>
        </w:rPr>
        <w:t xml:space="preserve"> confidence intervals</w:t>
      </w:r>
      <w:r>
        <w:rPr>
          <w:i/>
        </w:rPr>
        <w:t xml:space="preserve"> and quadrat measures represented by grey circles</w:t>
      </w:r>
      <w:r w:rsidRPr="00665BC8">
        <w:rPr>
          <w:i/>
        </w:rPr>
        <w:t>.</w:t>
      </w:r>
    </w:p>
    <w:p w14:paraId="7EDD8779" w14:textId="77777777" w:rsidR="0091436F" w:rsidRPr="00121CDB" w:rsidRDefault="0091436F" w:rsidP="00994F86">
      <w:pPr>
        <w:spacing w:before="0" w:after="0"/>
        <w:rPr>
          <w:szCs w:val="22"/>
        </w:rPr>
      </w:pPr>
    </w:p>
    <w:p w14:paraId="13A31C01" w14:textId="0B310F87" w:rsidR="00BC524E" w:rsidRPr="0079725B" w:rsidRDefault="003611ED" w:rsidP="00994F86">
      <w:pPr>
        <w:spacing w:before="0" w:after="0"/>
        <w:rPr>
          <w:color w:val="000000" w:themeColor="text1"/>
          <w:szCs w:val="22"/>
        </w:rPr>
      </w:pPr>
      <w:r w:rsidRPr="0079725B">
        <w:rPr>
          <w:color w:val="000000" w:themeColor="text1"/>
          <w:szCs w:val="22"/>
        </w:rPr>
        <w:t xml:space="preserve">Seagrass meadows in the Cape York NRM region were composed of below </w:t>
      </w:r>
      <w:r w:rsidR="007F6948">
        <w:rPr>
          <w:color w:val="000000" w:themeColor="text1"/>
          <w:szCs w:val="22"/>
        </w:rPr>
        <w:t>Great Barrier Reef</w:t>
      </w:r>
      <w:r w:rsidR="005E74A3" w:rsidRPr="0079725B">
        <w:rPr>
          <w:color w:val="000000" w:themeColor="text1"/>
          <w:szCs w:val="22"/>
        </w:rPr>
        <w:t xml:space="preserve"> </w:t>
      </w:r>
      <w:r w:rsidRPr="0079725B">
        <w:rPr>
          <w:color w:val="000000" w:themeColor="text1"/>
          <w:szCs w:val="22"/>
        </w:rPr>
        <w:t xml:space="preserve">average </w:t>
      </w:r>
      <w:r w:rsidR="00E62446" w:rsidRPr="0079725B">
        <w:rPr>
          <w:color w:val="000000" w:themeColor="text1"/>
          <w:szCs w:val="22"/>
        </w:rPr>
        <w:t xml:space="preserve">(MMP sites) </w:t>
      </w:r>
      <w:r w:rsidRPr="0079725B">
        <w:rPr>
          <w:color w:val="000000" w:themeColor="text1"/>
          <w:szCs w:val="22"/>
        </w:rPr>
        <w:t xml:space="preserve">proportion of </w:t>
      </w:r>
      <w:r w:rsidR="005E74A3" w:rsidRPr="0079725B">
        <w:rPr>
          <w:color w:val="000000" w:themeColor="text1"/>
          <w:szCs w:val="22"/>
        </w:rPr>
        <w:t xml:space="preserve">species displaying </w:t>
      </w:r>
      <w:r w:rsidRPr="0079725B">
        <w:rPr>
          <w:color w:val="000000" w:themeColor="text1"/>
          <w:szCs w:val="22"/>
        </w:rPr>
        <w:t xml:space="preserve">colonising </w:t>
      </w:r>
      <w:r w:rsidR="005E74A3" w:rsidRPr="0079725B">
        <w:rPr>
          <w:color w:val="000000" w:themeColor="text1"/>
          <w:szCs w:val="22"/>
        </w:rPr>
        <w:t>traits</w:t>
      </w:r>
      <w:r w:rsidR="00E64C33" w:rsidRPr="0079725B">
        <w:rPr>
          <w:color w:val="000000" w:themeColor="text1"/>
          <w:szCs w:val="22"/>
        </w:rPr>
        <w:t xml:space="preserve"> in </w:t>
      </w:r>
      <w:r w:rsidR="008574EC">
        <w:rPr>
          <w:color w:val="000000" w:themeColor="text1"/>
          <w:szCs w:val="22"/>
        </w:rPr>
        <w:t>2016–17</w:t>
      </w:r>
      <w:r w:rsidR="0079725B" w:rsidRPr="0079725B">
        <w:rPr>
          <w:color w:val="000000" w:themeColor="text1"/>
          <w:szCs w:val="22"/>
        </w:rPr>
        <w:t>, except at the newly established coastal subtidal site</w:t>
      </w:r>
      <w:r w:rsidRPr="0079725B">
        <w:rPr>
          <w:color w:val="000000" w:themeColor="text1"/>
          <w:szCs w:val="22"/>
        </w:rPr>
        <w:t xml:space="preserve"> (</w:t>
      </w:r>
      <w:r w:rsidR="005F428D" w:rsidRPr="0079725B">
        <w:rPr>
          <w:color w:val="000000" w:themeColor="text1"/>
          <w:szCs w:val="22"/>
        </w:rPr>
        <w:fldChar w:fldCharType="begin"/>
      </w:r>
      <w:r w:rsidR="005F428D" w:rsidRPr="0079725B">
        <w:rPr>
          <w:color w:val="000000" w:themeColor="text1"/>
          <w:szCs w:val="22"/>
        </w:rPr>
        <w:instrText xml:space="preserve"> REF _Ref442426453 \h </w:instrText>
      </w:r>
      <w:r w:rsidR="005F428D" w:rsidRPr="0079725B">
        <w:rPr>
          <w:color w:val="000000" w:themeColor="text1"/>
          <w:szCs w:val="22"/>
        </w:rPr>
      </w:r>
      <w:r w:rsidR="005F428D" w:rsidRPr="0079725B">
        <w:rPr>
          <w:color w:val="000000" w:themeColor="text1"/>
          <w:szCs w:val="22"/>
        </w:rPr>
        <w:fldChar w:fldCharType="separate"/>
      </w:r>
      <w:r w:rsidR="00F87DF9" w:rsidRPr="003F0A8B">
        <w:rPr>
          <w:szCs w:val="22"/>
        </w:rPr>
        <w:t xml:space="preserve">Figure </w:t>
      </w:r>
      <w:r w:rsidR="00F87DF9">
        <w:rPr>
          <w:noProof/>
          <w:szCs w:val="22"/>
        </w:rPr>
        <w:t>39</w:t>
      </w:r>
      <w:r w:rsidR="005F428D" w:rsidRPr="0079725B">
        <w:rPr>
          <w:color w:val="000000" w:themeColor="text1"/>
          <w:szCs w:val="22"/>
        </w:rPr>
        <w:fldChar w:fldCharType="end"/>
      </w:r>
      <w:r w:rsidRPr="0079725B">
        <w:rPr>
          <w:color w:val="000000" w:themeColor="text1"/>
          <w:szCs w:val="22"/>
        </w:rPr>
        <w:t>). Fluctuations over the long-term suggests th</w:t>
      </w:r>
      <w:r w:rsidR="0079725B" w:rsidRPr="0079725B">
        <w:rPr>
          <w:color w:val="000000" w:themeColor="text1"/>
          <w:szCs w:val="22"/>
        </w:rPr>
        <w:t>e meadows are dynamic in nature</w:t>
      </w:r>
      <w:r w:rsidRPr="0079725B">
        <w:rPr>
          <w:color w:val="000000" w:themeColor="text1"/>
          <w:szCs w:val="22"/>
        </w:rPr>
        <w:t>.</w:t>
      </w:r>
    </w:p>
    <w:p w14:paraId="73760D54" w14:textId="77777777" w:rsidR="003611ED" w:rsidRDefault="00DC7715" w:rsidP="00994F86">
      <w:pPr>
        <w:keepNext/>
        <w:widowControl w:val="0"/>
        <w:spacing w:after="0"/>
        <w:jc w:val="center"/>
        <w:rPr>
          <w:color w:val="000000"/>
          <w:szCs w:val="22"/>
          <w:lang w:val="en-GB"/>
        </w:rPr>
      </w:pPr>
      <w:r>
        <w:rPr>
          <w:noProof/>
          <w:color w:val="000000"/>
          <w:szCs w:val="22"/>
          <w:lang w:eastAsia="en-AU"/>
        </w:rPr>
        <w:drawing>
          <wp:inline distT="0" distB="0" distL="0" distR="0" wp14:anchorId="747EA951" wp14:editId="1C6FEDE2">
            <wp:extent cx="4320000" cy="1580400"/>
            <wp:effectExtent l="0" t="0" r="4445" b="1270"/>
            <wp:docPr id="311" name="Picture 311" descr="Panel of two graphs showing proportion of seagrass abundance composed of species displaying colonising traits at inshore habitats in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CY_colonising_2016.png"/>
                    <pic:cNvPicPr/>
                  </pic:nvPicPr>
                  <pic:blipFill>
                    <a:blip r:embed="rId76">
                      <a:extLst>
                        <a:ext uri="{28A0092B-C50C-407E-A947-70E740481C1C}">
                          <a14:useLocalDpi xmlns:a14="http://schemas.microsoft.com/office/drawing/2010/main" val="0"/>
                        </a:ext>
                      </a:extLst>
                    </a:blip>
                    <a:stretch>
                      <a:fillRect/>
                    </a:stretch>
                  </pic:blipFill>
                  <pic:spPr>
                    <a:xfrm>
                      <a:off x="0" y="0"/>
                      <a:ext cx="4320000" cy="1580400"/>
                    </a:xfrm>
                    <a:prstGeom prst="rect">
                      <a:avLst/>
                    </a:prstGeom>
                  </pic:spPr>
                </pic:pic>
              </a:graphicData>
            </a:graphic>
          </wp:inline>
        </w:drawing>
      </w:r>
    </w:p>
    <w:p w14:paraId="34A7FEDC" w14:textId="77777777" w:rsidR="0015251F" w:rsidRPr="00716CE2" w:rsidRDefault="003611ED" w:rsidP="0015251F">
      <w:pPr>
        <w:rPr>
          <w:i/>
          <w:vanish/>
          <w:szCs w:val="22"/>
          <w:specVanish/>
        </w:rPr>
      </w:pPr>
      <w:bookmarkStart w:id="251" w:name="_Ref442426453"/>
      <w:bookmarkStart w:id="252" w:name="_Toc516053249"/>
      <w:r w:rsidRPr="003F0A8B">
        <w:rPr>
          <w:szCs w:val="22"/>
        </w:rPr>
        <w:t xml:space="preserve">Figure </w:t>
      </w:r>
      <w:r w:rsidR="0073595B">
        <w:rPr>
          <w:szCs w:val="22"/>
        </w:rPr>
        <w:fldChar w:fldCharType="begin"/>
      </w:r>
      <w:r w:rsidR="0073595B">
        <w:rPr>
          <w:szCs w:val="22"/>
        </w:rPr>
        <w:instrText xml:space="preserve"> SEQ Figure \* ARABIC </w:instrText>
      </w:r>
      <w:r w:rsidR="0073595B">
        <w:rPr>
          <w:szCs w:val="22"/>
        </w:rPr>
        <w:fldChar w:fldCharType="separate"/>
      </w:r>
      <w:r w:rsidR="00F87DF9">
        <w:rPr>
          <w:noProof/>
          <w:szCs w:val="22"/>
        </w:rPr>
        <w:t>39</w:t>
      </w:r>
      <w:r w:rsidR="0073595B">
        <w:rPr>
          <w:szCs w:val="22"/>
        </w:rPr>
        <w:fldChar w:fldCharType="end"/>
      </w:r>
      <w:bookmarkEnd w:id="251"/>
      <w:r w:rsidRPr="003F0A8B">
        <w:rPr>
          <w:szCs w:val="22"/>
        </w:rPr>
        <w:t xml:space="preserve">. </w:t>
      </w:r>
      <w:r w:rsidRPr="003F0A8B">
        <w:rPr>
          <w:i/>
          <w:szCs w:val="22"/>
        </w:rPr>
        <w:t xml:space="preserve">Proportion of seagrass abundance composed of </w:t>
      </w:r>
      <w:r w:rsidRPr="003F0A8B">
        <w:rPr>
          <w:i/>
          <w:szCs w:val="22"/>
          <w:lang w:val="en-GB"/>
        </w:rPr>
        <w:t xml:space="preserve">species </w:t>
      </w:r>
      <w:r w:rsidR="005E74A3">
        <w:rPr>
          <w:i/>
          <w:szCs w:val="22"/>
          <w:lang w:val="en-GB"/>
        </w:rPr>
        <w:t xml:space="preserve">displaying </w:t>
      </w:r>
      <w:r w:rsidR="005E74A3" w:rsidRPr="003F0A8B">
        <w:rPr>
          <w:i/>
          <w:szCs w:val="22"/>
        </w:rPr>
        <w:t>colonising</w:t>
      </w:r>
      <w:r w:rsidR="005E74A3" w:rsidRPr="003F0A8B">
        <w:rPr>
          <w:i/>
          <w:szCs w:val="22"/>
          <w:lang w:val="en-GB"/>
        </w:rPr>
        <w:t xml:space="preserve"> </w:t>
      </w:r>
      <w:r w:rsidR="005E74A3">
        <w:rPr>
          <w:i/>
          <w:szCs w:val="22"/>
          <w:lang w:val="en-GB"/>
        </w:rPr>
        <w:t xml:space="preserve">traits </w:t>
      </w:r>
      <w:r w:rsidRPr="003F0A8B">
        <w:rPr>
          <w:i/>
          <w:szCs w:val="22"/>
          <w:lang w:val="en-GB"/>
        </w:rPr>
        <w:t>at inshore habitats in the Cape York region</w:t>
      </w:r>
      <w:bookmarkEnd w:id="252"/>
    </w:p>
    <w:p w14:paraId="41B93AE6" w14:textId="742D5AD9" w:rsidR="003611ED" w:rsidRPr="008E2E54" w:rsidRDefault="0015251F" w:rsidP="0015251F">
      <w:pPr>
        <w:rPr>
          <w:i/>
          <w:vanish/>
          <w:szCs w:val="22"/>
          <w:lang w:val="en-GB"/>
        </w:rPr>
      </w:pPr>
      <w:r w:rsidRPr="00716CE2">
        <w:rPr>
          <w:i/>
        </w:rPr>
        <w:t>.</w:t>
      </w:r>
      <w:r w:rsidR="003611ED" w:rsidRPr="003F0A8B">
        <w:rPr>
          <w:i/>
          <w:vanish/>
          <w:szCs w:val="22"/>
          <w:lang w:val="en-GB"/>
          <w:specVanish/>
        </w:rPr>
        <w:t xml:space="preserve"> </w:t>
      </w:r>
      <w:r w:rsidR="005E74A3">
        <w:rPr>
          <w:i/>
          <w:szCs w:val="22"/>
          <w:lang w:val="en-GB"/>
        </w:rPr>
        <w:t>The dashed line</w:t>
      </w:r>
      <w:r w:rsidR="003611ED" w:rsidRPr="003F0A8B">
        <w:rPr>
          <w:i/>
          <w:szCs w:val="22"/>
          <w:lang w:val="en-GB"/>
        </w:rPr>
        <w:t xml:space="preserve"> represents </w:t>
      </w:r>
      <w:r w:rsidR="007F6948">
        <w:rPr>
          <w:i/>
          <w:szCs w:val="22"/>
          <w:lang w:val="en-GB"/>
        </w:rPr>
        <w:t>Great Barrier Reef</w:t>
      </w:r>
      <w:r w:rsidR="003611ED" w:rsidRPr="003F0A8B">
        <w:rPr>
          <w:i/>
          <w:szCs w:val="22"/>
          <w:lang w:val="en-GB"/>
        </w:rPr>
        <w:t xml:space="preserve"> long-term average for each habitat type. </w:t>
      </w:r>
    </w:p>
    <w:p w14:paraId="7A1564D0" w14:textId="624A4F6A" w:rsidR="005132EF" w:rsidRPr="007377D4" w:rsidRDefault="005132EF" w:rsidP="00994F86">
      <w:pPr>
        <w:rPr>
          <w:color w:val="000000" w:themeColor="text1"/>
          <w:szCs w:val="22"/>
          <w:lang w:val="en-US"/>
        </w:rPr>
      </w:pPr>
      <w:r w:rsidRPr="007377D4">
        <w:rPr>
          <w:color w:val="000000" w:themeColor="text1"/>
          <w:szCs w:val="22"/>
          <w:lang w:val="en-GB"/>
        </w:rPr>
        <w:t>S</w:t>
      </w:r>
      <w:r w:rsidR="0032634E" w:rsidRPr="007377D4">
        <w:rPr>
          <w:color w:val="000000" w:themeColor="text1"/>
          <w:szCs w:val="22"/>
          <w:lang w:val="en-GB"/>
        </w:rPr>
        <w:t>eagrass spatial extent</w:t>
      </w:r>
      <w:r w:rsidRPr="007377D4">
        <w:rPr>
          <w:color w:val="000000" w:themeColor="text1"/>
          <w:szCs w:val="22"/>
          <w:lang w:val="en-US"/>
        </w:rPr>
        <w:t xml:space="preserve"> mapping was conducted within </w:t>
      </w:r>
      <w:r w:rsidR="007F0EDD" w:rsidRPr="007377D4">
        <w:rPr>
          <w:color w:val="000000" w:themeColor="text1"/>
          <w:szCs w:val="22"/>
          <w:lang w:val="en-US"/>
        </w:rPr>
        <w:t>all</w:t>
      </w:r>
      <w:r w:rsidRPr="007377D4">
        <w:rPr>
          <w:color w:val="000000" w:themeColor="text1"/>
          <w:szCs w:val="22"/>
          <w:lang w:val="en-US"/>
        </w:rPr>
        <w:t xml:space="preserve"> monitoring sites to determine if changes in abundance were a consequence of the meadow </w:t>
      </w:r>
      <w:r w:rsidR="008300F2" w:rsidRPr="007377D4">
        <w:rPr>
          <w:color w:val="000000" w:themeColor="text1"/>
          <w:szCs w:val="22"/>
          <w:lang w:val="en-US"/>
        </w:rPr>
        <w:t>landscape</w:t>
      </w:r>
      <w:r w:rsidRPr="007377D4">
        <w:rPr>
          <w:color w:val="000000" w:themeColor="text1"/>
          <w:szCs w:val="22"/>
          <w:lang w:val="en-US"/>
        </w:rPr>
        <w:t xml:space="preserve"> changing</w:t>
      </w:r>
      <w:r w:rsidR="005F428D" w:rsidRPr="007377D4">
        <w:rPr>
          <w:color w:val="000000" w:themeColor="text1"/>
          <w:szCs w:val="22"/>
          <w:lang w:val="en-US"/>
        </w:rPr>
        <w:t xml:space="preserve"> and to indicate if plants were allocating resources to colonisation (asexual reproduction)</w:t>
      </w:r>
      <w:r w:rsidRPr="007377D4">
        <w:rPr>
          <w:color w:val="000000" w:themeColor="text1"/>
          <w:szCs w:val="22"/>
          <w:lang w:val="en-US"/>
        </w:rPr>
        <w:t xml:space="preserve"> (</w:t>
      </w:r>
      <w:r w:rsidR="001D2093" w:rsidRPr="007377D4">
        <w:rPr>
          <w:color w:val="000000" w:themeColor="text1"/>
          <w:szCs w:val="22"/>
          <w:lang w:val="en-US"/>
        </w:rPr>
        <w:t xml:space="preserve">Appendix </w:t>
      </w:r>
      <w:r w:rsidR="00F13465">
        <w:rPr>
          <w:color w:val="000000" w:themeColor="text1"/>
          <w:szCs w:val="22"/>
          <w:lang w:val="en-US"/>
        </w:rPr>
        <w:fldChar w:fldCharType="begin"/>
      </w:r>
      <w:r w:rsidR="00F13465">
        <w:rPr>
          <w:color w:val="000000" w:themeColor="text1"/>
          <w:szCs w:val="22"/>
          <w:lang w:val="en-US"/>
        </w:rPr>
        <w:instrText xml:space="preserve"> REF _Ref511130957 \r \h </w:instrText>
      </w:r>
      <w:r w:rsidR="00F13465">
        <w:rPr>
          <w:color w:val="000000" w:themeColor="text1"/>
          <w:szCs w:val="22"/>
          <w:lang w:val="en-US"/>
        </w:rPr>
      </w:r>
      <w:r w:rsidR="00F13465">
        <w:rPr>
          <w:color w:val="000000" w:themeColor="text1"/>
          <w:szCs w:val="22"/>
          <w:lang w:val="en-US"/>
        </w:rPr>
        <w:fldChar w:fldCharType="separate"/>
      </w:r>
      <w:r w:rsidR="00F87DF9">
        <w:rPr>
          <w:color w:val="000000" w:themeColor="text1"/>
          <w:szCs w:val="22"/>
          <w:lang w:val="en-US"/>
        </w:rPr>
        <w:t>A4.2.4</w:t>
      </w:r>
      <w:r w:rsidR="00F13465">
        <w:rPr>
          <w:color w:val="000000" w:themeColor="text1"/>
          <w:szCs w:val="22"/>
          <w:lang w:val="en-US"/>
        </w:rPr>
        <w:fldChar w:fldCharType="end"/>
      </w:r>
      <w:r w:rsidRPr="007377D4">
        <w:rPr>
          <w:color w:val="000000" w:themeColor="text1"/>
          <w:szCs w:val="22"/>
          <w:lang w:val="en-US"/>
        </w:rPr>
        <w:t xml:space="preserve">). </w:t>
      </w:r>
      <w:r w:rsidR="00E70D67" w:rsidRPr="007377D4">
        <w:rPr>
          <w:color w:val="000000" w:themeColor="text1"/>
          <w:szCs w:val="22"/>
          <w:lang w:val="en-US"/>
        </w:rPr>
        <w:t xml:space="preserve">Prior to 2012, the only meadow extent mapping in the Cape York NRM region was conducted at Archer Point. </w:t>
      </w:r>
      <w:r w:rsidR="00FF2F8F" w:rsidRPr="007377D4">
        <w:rPr>
          <w:color w:val="000000" w:themeColor="text1"/>
          <w:szCs w:val="22"/>
          <w:lang w:val="en-US"/>
        </w:rPr>
        <w:t>The meadow</w:t>
      </w:r>
      <w:r w:rsidR="00991C7F" w:rsidRPr="007377D4">
        <w:rPr>
          <w:color w:val="000000" w:themeColor="text1"/>
          <w:szCs w:val="22"/>
          <w:lang w:val="en-US"/>
        </w:rPr>
        <w:t>s</w:t>
      </w:r>
      <w:r w:rsidR="00FF2F8F" w:rsidRPr="007377D4">
        <w:rPr>
          <w:color w:val="000000" w:themeColor="text1"/>
          <w:szCs w:val="22"/>
          <w:lang w:val="en-US"/>
        </w:rPr>
        <w:t xml:space="preserve"> within </w:t>
      </w:r>
      <w:r w:rsidR="002713FB" w:rsidRPr="007377D4">
        <w:rPr>
          <w:color w:val="000000" w:themeColor="text1"/>
          <w:szCs w:val="22"/>
          <w:lang w:val="en-US"/>
        </w:rPr>
        <w:t xml:space="preserve">monitoring sites on the reef flat at </w:t>
      </w:r>
      <w:r w:rsidR="00FF2F8F" w:rsidRPr="007377D4">
        <w:rPr>
          <w:color w:val="000000" w:themeColor="text1"/>
          <w:szCs w:val="22"/>
          <w:lang w:val="en-US"/>
        </w:rPr>
        <w:t>Archer Point ha</w:t>
      </w:r>
      <w:r w:rsidR="00E70D67" w:rsidRPr="007377D4">
        <w:rPr>
          <w:color w:val="000000" w:themeColor="text1"/>
          <w:szCs w:val="22"/>
          <w:lang w:val="en-US"/>
        </w:rPr>
        <w:t>ve</w:t>
      </w:r>
      <w:r w:rsidR="00FF2F8F" w:rsidRPr="007377D4">
        <w:rPr>
          <w:color w:val="000000" w:themeColor="text1"/>
          <w:szCs w:val="22"/>
          <w:lang w:val="en-US"/>
        </w:rPr>
        <w:t xml:space="preserve"> fluctuated within and between years</w:t>
      </w:r>
      <w:r w:rsidR="002713FB" w:rsidRPr="007377D4">
        <w:rPr>
          <w:color w:val="000000" w:themeColor="text1"/>
          <w:szCs w:val="22"/>
          <w:lang w:val="en-US"/>
        </w:rPr>
        <w:t xml:space="preserve"> (</w:t>
      </w:r>
      <w:r w:rsidR="002713FB" w:rsidRPr="007377D4">
        <w:rPr>
          <w:color w:val="000000" w:themeColor="text1"/>
          <w:szCs w:val="22"/>
          <w:lang w:val="en-US"/>
        </w:rPr>
        <w:fldChar w:fldCharType="begin"/>
      </w:r>
      <w:r w:rsidR="002713FB" w:rsidRPr="007377D4">
        <w:rPr>
          <w:color w:val="000000" w:themeColor="text1"/>
          <w:szCs w:val="22"/>
          <w:lang w:val="en-US"/>
        </w:rPr>
        <w:instrText xml:space="preserve"> REF _Ref380061981 \h </w:instrText>
      </w:r>
      <w:r w:rsidR="00015190" w:rsidRPr="007377D4">
        <w:rPr>
          <w:color w:val="000000" w:themeColor="text1"/>
          <w:szCs w:val="22"/>
          <w:lang w:val="en-US"/>
        </w:rPr>
        <w:instrText xml:space="preserve"> \* MERGEFORMAT </w:instrText>
      </w:r>
      <w:r w:rsidR="002713FB" w:rsidRPr="007377D4">
        <w:rPr>
          <w:color w:val="000000" w:themeColor="text1"/>
          <w:szCs w:val="22"/>
          <w:lang w:val="en-US"/>
        </w:rPr>
      </w:r>
      <w:r w:rsidR="002713FB" w:rsidRPr="007377D4">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40</w:t>
      </w:r>
      <w:r w:rsidR="002713FB" w:rsidRPr="007377D4">
        <w:rPr>
          <w:color w:val="000000" w:themeColor="text1"/>
          <w:szCs w:val="22"/>
          <w:lang w:val="en-US"/>
        </w:rPr>
        <w:fldChar w:fldCharType="end"/>
      </w:r>
      <w:r w:rsidR="002713FB" w:rsidRPr="007377D4">
        <w:rPr>
          <w:color w:val="000000" w:themeColor="text1"/>
          <w:szCs w:val="22"/>
          <w:lang w:val="en-US"/>
        </w:rPr>
        <w:t>)</w:t>
      </w:r>
      <w:r w:rsidR="00FF2F8F" w:rsidRPr="007377D4">
        <w:rPr>
          <w:color w:val="000000" w:themeColor="text1"/>
          <w:szCs w:val="22"/>
          <w:lang w:val="en-US"/>
        </w:rPr>
        <w:t xml:space="preserve">, </w:t>
      </w:r>
      <w:r w:rsidR="0041342B" w:rsidRPr="007377D4">
        <w:rPr>
          <w:color w:val="000000" w:themeColor="text1"/>
          <w:szCs w:val="22"/>
          <w:lang w:val="en-US"/>
        </w:rPr>
        <w:t>primarily</w:t>
      </w:r>
      <w:r w:rsidR="00FF2F8F" w:rsidRPr="007377D4">
        <w:rPr>
          <w:color w:val="000000" w:themeColor="text1"/>
          <w:szCs w:val="22"/>
          <w:lang w:val="en-US"/>
        </w:rPr>
        <w:t xml:space="preserve"> due to changes in the landward edge</w:t>
      </w:r>
      <w:r w:rsidR="0014156A" w:rsidRPr="007377D4">
        <w:rPr>
          <w:color w:val="000000" w:themeColor="text1"/>
          <w:szCs w:val="22"/>
          <w:lang w:val="en-US"/>
        </w:rPr>
        <w:t xml:space="preserve"> and </w:t>
      </w:r>
      <w:r w:rsidRPr="007377D4">
        <w:rPr>
          <w:color w:val="000000" w:themeColor="text1"/>
          <w:szCs w:val="22"/>
          <w:lang w:val="en-US"/>
        </w:rPr>
        <w:t xml:space="preserve">appearance of a drainage channel from an adjacent creek (data not presented). </w:t>
      </w:r>
      <w:r w:rsidR="00E70D67" w:rsidRPr="007377D4">
        <w:rPr>
          <w:color w:val="000000" w:themeColor="text1"/>
          <w:szCs w:val="22"/>
          <w:lang w:val="en-US"/>
        </w:rPr>
        <w:t>Post 2011, additional reef meadows and coastal meadows in the Cap</w:t>
      </w:r>
      <w:r w:rsidR="005F428D" w:rsidRPr="007377D4">
        <w:rPr>
          <w:color w:val="000000" w:themeColor="text1"/>
          <w:szCs w:val="22"/>
          <w:lang w:val="en-US"/>
        </w:rPr>
        <w:t>e York NRM region were included.</w:t>
      </w:r>
      <w:r w:rsidR="00E70D67" w:rsidRPr="007377D4">
        <w:rPr>
          <w:color w:val="000000" w:themeColor="text1"/>
          <w:szCs w:val="22"/>
          <w:lang w:val="en-US"/>
        </w:rPr>
        <w:t xml:space="preserve"> Overall, </w:t>
      </w:r>
      <w:r w:rsidR="00F758CA" w:rsidRPr="007377D4">
        <w:rPr>
          <w:color w:val="000000" w:themeColor="text1"/>
          <w:szCs w:val="22"/>
          <w:lang w:val="en-US"/>
        </w:rPr>
        <w:t xml:space="preserve">meadow extent has </w:t>
      </w:r>
      <w:r w:rsidR="00E03E16" w:rsidRPr="007377D4">
        <w:rPr>
          <w:color w:val="000000" w:themeColor="text1"/>
          <w:szCs w:val="22"/>
          <w:lang w:val="en-US"/>
        </w:rPr>
        <w:t>been relatively stable</w:t>
      </w:r>
      <w:r w:rsidR="00E64C33" w:rsidRPr="007377D4">
        <w:rPr>
          <w:color w:val="000000" w:themeColor="text1"/>
          <w:szCs w:val="22"/>
          <w:lang w:val="en-US"/>
        </w:rPr>
        <w:t xml:space="preserve"> </w:t>
      </w:r>
      <w:r w:rsidR="007377D4" w:rsidRPr="007377D4">
        <w:rPr>
          <w:color w:val="000000" w:themeColor="text1"/>
          <w:szCs w:val="22"/>
          <w:lang w:val="en-US"/>
        </w:rPr>
        <w:t xml:space="preserve">in reef meadows, but there has been significant but small decline in coastal meadows </w:t>
      </w:r>
      <w:r w:rsidR="007377D4">
        <w:rPr>
          <w:color w:val="000000" w:themeColor="text1"/>
          <w:szCs w:val="22"/>
          <w:lang w:val="en-US"/>
        </w:rPr>
        <w:t xml:space="preserve">since </w:t>
      </w:r>
      <w:r w:rsidR="007377D4" w:rsidRPr="007377D4">
        <w:rPr>
          <w:color w:val="000000" w:themeColor="text1"/>
          <w:szCs w:val="22"/>
          <w:lang w:val="en-US"/>
        </w:rPr>
        <w:t>2015</w:t>
      </w:r>
      <w:r w:rsidR="00E70D67" w:rsidRPr="007377D4">
        <w:rPr>
          <w:color w:val="000000" w:themeColor="text1"/>
          <w:szCs w:val="22"/>
          <w:lang w:val="en-US"/>
        </w:rPr>
        <w:t xml:space="preserve"> </w:t>
      </w:r>
      <w:r w:rsidR="001D2093" w:rsidRPr="007377D4">
        <w:rPr>
          <w:color w:val="000000" w:themeColor="text1"/>
          <w:szCs w:val="22"/>
          <w:lang w:val="en-US"/>
        </w:rPr>
        <w:t>(</w:t>
      </w:r>
      <w:r w:rsidR="001D2093" w:rsidRPr="007377D4">
        <w:rPr>
          <w:color w:val="000000" w:themeColor="text1"/>
          <w:szCs w:val="22"/>
          <w:lang w:val="en-US"/>
        </w:rPr>
        <w:fldChar w:fldCharType="begin"/>
      </w:r>
      <w:r w:rsidR="001D2093" w:rsidRPr="007377D4">
        <w:rPr>
          <w:color w:val="000000" w:themeColor="text1"/>
          <w:szCs w:val="22"/>
          <w:lang w:val="en-US"/>
        </w:rPr>
        <w:instrText xml:space="preserve"> REF _Ref380061981 \h </w:instrText>
      </w:r>
      <w:r w:rsidR="00015190" w:rsidRPr="007377D4">
        <w:rPr>
          <w:color w:val="000000" w:themeColor="text1"/>
          <w:szCs w:val="22"/>
          <w:lang w:val="en-US"/>
        </w:rPr>
        <w:instrText xml:space="preserve"> \* MERGEFORMAT </w:instrText>
      </w:r>
      <w:r w:rsidR="001D2093" w:rsidRPr="007377D4">
        <w:rPr>
          <w:color w:val="000000" w:themeColor="text1"/>
          <w:szCs w:val="22"/>
          <w:lang w:val="en-US"/>
        </w:rPr>
      </w:r>
      <w:r w:rsidR="001D2093" w:rsidRPr="007377D4">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40</w:t>
      </w:r>
      <w:r w:rsidR="001D2093" w:rsidRPr="007377D4">
        <w:rPr>
          <w:color w:val="000000" w:themeColor="text1"/>
          <w:szCs w:val="22"/>
          <w:lang w:val="en-US"/>
        </w:rPr>
        <w:fldChar w:fldCharType="end"/>
      </w:r>
      <w:r w:rsidR="001D2093" w:rsidRPr="007377D4">
        <w:rPr>
          <w:color w:val="000000" w:themeColor="text1"/>
          <w:szCs w:val="22"/>
          <w:lang w:val="en-US"/>
        </w:rPr>
        <w:t xml:space="preserve">; </w:t>
      </w:r>
      <w:r w:rsidR="00F13465" w:rsidRPr="007377D4">
        <w:rPr>
          <w:color w:val="000000" w:themeColor="text1"/>
          <w:szCs w:val="22"/>
          <w:lang w:val="en-US"/>
        </w:rPr>
        <w:t xml:space="preserve">Appendix </w:t>
      </w:r>
      <w:r w:rsidR="00F13465">
        <w:rPr>
          <w:color w:val="000000" w:themeColor="text1"/>
          <w:szCs w:val="22"/>
          <w:lang w:val="en-US"/>
        </w:rPr>
        <w:fldChar w:fldCharType="begin"/>
      </w:r>
      <w:r w:rsidR="00F13465">
        <w:rPr>
          <w:color w:val="000000" w:themeColor="text1"/>
          <w:szCs w:val="22"/>
          <w:lang w:val="en-US"/>
        </w:rPr>
        <w:instrText xml:space="preserve"> REF _Ref511130957 \r \h </w:instrText>
      </w:r>
      <w:r w:rsidR="00F13465">
        <w:rPr>
          <w:color w:val="000000" w:themeColor="text1"/>
          <w:szCs w:val="22"/>
          <w:lang w:val="en-US"/>
        </w:rPr>
      </w:r>
      <w:r w:rsidR="00F13465">
        <w:rPr>
          <w:color w:val="000000" w:themeColor="text1"/>
          <w:szCs w:val="22"/>
          <w:lang w:val="en-US"/>
        </w:rPr>
        <w:fldChar w:fldCharType="separate"/>
      </w:r>
      <w:r w:rsidR="00F87DF9">
        <w:rPr>
          <w:color w:val="000000" w:themeColor="text1"/>
          <w:szCs w:val="22"/>
          <w:lang w:val="en-US"/>
        </w:rPr>
        <w:t>A4.2.4</w:t>
      </w:r>
      <w:r w:rsidR="00F13465">
        <w:rPr>
          <w:color w:val="000000" w:themeColor="text1"/>
          <w:szCs w:val="22"/>
          <w:lang w:val="en-US"/>
        </w:rPr>
        <w:fldChar w:fldCharType="end"/>
      </w:r>
      <w:r w:rsidR="001D2093" w:rsidRPr="007377D4">
        <w:rPr>
          <w:color w:val="000000" w:themeColor="text1"/>
          <w:szCs w:val="22"/>
          <w:lang w:val="en-US"/>
        </w:rPr>
        <w:t>)</w:t>
      </w:r>
      <w:r w:rsidRPr="007377D4">
        <w:rPr>
          <w:color w:val="000000" w:themeColor="text1"/>
          <w:szCs w:val="22"/>
          <w:lang w:val="en-US"/>
        </w:rPr>
        <w:t xml:space="preserve">. </w:t>
      </w:r>
    </w:p>
    <w:p w14:paraId="21C988E9" w14:textId="77777777" w:rsidR="003611ED" w:rsidRPr="003611ED" w:rsidRDefault="00665D56" w:rsidP="00994F86">
      <w:pPr>
        <w:keepNext/>
        <w:widowControl w:val="0"/>
        <w:spacing w:after="0"/>
        <w:jc w:val="center"/>
        <w:rPr>
          <w:szCs w:val="22"/>
          <w:lang w:val="en-US"/>
        </w:rPr>
      </w:pPr>
      <w:r>
        <w:rPr>
          <w:noProof/>
          <w:szCs w:val="22"/>
          <w:lang w:eastAsia="en-AU"/>
        </w:rPr>
        <w:drawing>
          <wp:inline distT="0" distB="0" distL="0" distR="0" wp14:anchorId="3F6E3D23" wp14:editId="64BBDB03">
            <wp:extent cx="4680000" cy="2004019"/>
            <wp:effectExtent l="0" t="0" r="6350" b="0"/>
            <wp:docPr id="249" name="Picture 249" descr="Line graph showing spatial extent of seagrass meadows within a 100m radius of monitoring sites for each habitat and monitoring period across the eastern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CY_extent_avg_2016.png"/>
                    <pic:cNvPicPr/>
                  </pic:nvPicPr>
                  <pic:blipFill>
                    <a:blip r:embed="rId77">
                      <a:extLst>
                        <a:ext uri="{28A0092B-C50C-407E-A947-70E740481C1C}">
                          <a14:useLocalDpi xmlns:a14="http://schemas.microsoft.com/office/drawing/2010/main" val="0"/>
                        </a:ext>
                      </a:extLst>
                    </a:blip>
                    <a:stretch>
                      <a:fillRect/>
                    </a:stretch>
                  </pic:blipFill>
                  <pic:spPr>
                    <a:xfrm>
                      <a:off x="0" y="0"/>
                      <a:ext cx="4680000" cy="2004019"/>
                    </a:xfrm>
                    <a:prstGeom prst="rect">
                      <a:avLst/>
                    </a:prstGeom>
                  </pic:spPr>
                </pic:pic>
              </a:graphicData>
            </a:graphic>
          </wp:inline>
        </w:drawing>
      </w:r>
    </w:p>
    <w:p w14:paraId="4B96042C" w14:textId="77CD5470" w:rsidR="00D000AC" w:rsidRPr="003611ED" w:rsidRDefault="002B4949" w:rsidP="00994F86">
      <w:pPr>
        <w:spacing w:before="0"/>
        <w:ind w:right="233"/>
        <w:rPr>
          <w:i/>
          <w:szCs w:val="22"/>
        </w:rPr>
      </w:pPr>
      <w:bookmarkStart w:id="253" w:name="_Ref380061981"/>
      <w:bookmarkStart w:id="254" w:name="_Toc431493829"/>
      <w:bookmarkStart w:id="255" w:name="_Toc516053250"/>
      <w:r w:rsidRPr="003611ED">
        <w:rPr>
          <w:szCs w:val="22"/>
        </w:rPr>
        <w:t xml:space="preserve">Figure </w:t>
      </w:r>
      <w:r w:rsidR="0073595B">
        <w:rPr>
          <w:szCs w:val="22"/>
        </w:rPr>
        <w:fldChar w:fldCharType="begin"/>
      </w:r>
      <w:r w:rsidR="0073595B">
        <w:rPr>
          <w:szCs w:val="22"/>
        </w:rPr>
        <w:instrText xml:space="preserve"> SEQ Figure \* ARABIC </w:instrText>
      </w:r>
      <w:r w:rsidR="0073595B">
        <w:rPr>
          <w:szCs w:val="22"/>
        </w:rPr>
        <w:fldChar w:fldCharType="separate"/>
      </w:r>
      <w:r w:rsidR="00F87DF9">
        <w:rPr>
          <w:noProof/>
          <w:szCs w:val="22"/>
        </w:rPr>
        <w:t>40</w:t>
      </w:r>
      <w:r w:rsidR="0073595B">
        <w:rPr>
          <w:szCs w:val="22"/>
        </w:rPr>
        <w:fldChar w:fldCharType="end"/>
      </w:r>
      <w:bookmarkEnd w:id="253"/>
      <w:r w:rsidRPr="003611ED">
        <w:rPr>
          <w:szCs w:val="22"/>
        </w:rPr>
        <w:t xml:space="preserve">. </w:t>
      </w:r>
      <w:r w:rsidRPr="003611ED">
        <w:rPr>
          <w:i/>
          <w:szCs w:val="22"/>
        </w:rPr>
        <w:t xml:space="preserve">Change in </w:t>
      </w:r>
      <w:r w:rsidR="00CF6158" w:rsidRPr="003611ED">
        <w:rPr>
          <w:i/>
          <w:szCs w:val="22"/>
        </w:rPr>
        <w:t xml:space="preserve">spatial extent of seagrass meadows within monitoring sites </w:t>
      </w:r>
      <w:r w:rsidRPr="003611ED">
        <w:rPr>
          <w:i/>
          <w:szCs w:val="22"/>
        </w:rPr>
        <w:t xml:space="preserve">for each habitat </w:t>
      </w:r>
      <w:r w:rsidR="00CF6158" w:rsidRPr="003611ED">
        <w:rPr>
          <w:i/>
          <w:szCs w:val="22"/>
        </w:rPr>
        <w:t>and</w:t>
      </w:r>
      <w:r w:rsidRPr="003611ED">
        <w:rPr>
          <w:i/>
          <w:szCs w:val="22"/>
        </w:rPr>
        <w:t xml:space="preserve"> monitoring period across the eastern Cape York NRM region.</w:t>
      </w:r>
      <w:bookmarkEnd w:id="254"/>
      <w:bookmarkEnd w:id="255"/>
    </w:p>
    <w:p w14:paraId="552AE84C"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p>
    <w:p w14:paraId="6A1E7D0E" w14:textId="0B032880" w:rsidR="003611ED" w:rsidRPr="00CA53EC" w:rsidRDefault="0014011B" w:rsidP="00034AD4">
      <w:pPr>
        <w:rPr>
          <w:color w:val="000000" w:themeColor="text1"/>
          <w:szCs w:val="22"/>
          <w:lang w:val="en-GB"/>
        </w:rPr>
      </w:pPr>
      <w:bookmarkStart w:id="256" w:name="_Toc145126957"/>
      <w:bookmarkStart w:id="257" w:name="_Toc175991065"/>
      <w:bookmarkStart w:id="258" w:name="_Toc215637046"/>
      <w:r w:rsidRPr="005F1B3F">
        <w:rPr>
          <w:color w:val="000000" w:themeColor="text1"/>
          <w:szCs w:val="22"/>
          <w:lang w:val="en-GB"/>
        </w:rPr>
        <w:t xml:space="preserve">The seed bank is dominated by </w:t>
      </w:r>
      <w:r w:rsidRPr="005F1B3F">
        <w:rPr>
          <w:i/>
          <w:color w:val="000000" w:themeColor="text1"/>
          <w:szCs w:val="22"/>
          <w:lang w:val="en-GB"/>
        </w:rPr>
        <w:t>Halodule uninervis</w:t>
      </w:r>
      <w:r w:rsidRPr="005F1B3F">
        <w:rPr>
          <w:color w:val="000000" w:themeColor="text1"/>
          <w:szCs w:val="22"/>
          <w:lang w:val="en-GB"/>
        </w:rPr>
        <w:t xml:space="preserve"> in Cape York sites. Although </w:t>
      </w:r>
      <w:r w:rsidRPr="005F1B3F">
        <w:rPr>
          <w:i/>
          <w:color w:val="000000" w:themeColor="text1"/>
          <w:szCs w:val="22"/>
          <w:lang w:val="en-GB"/>
        </w:rPr>
        <w:t>Cymodocea</w:t>
      </w:r>
      <w:r w:rsidRPr="005F1B3F">
        <w:rPr>
          <w:color w:val="000000" w:themeColor="text1"/>
          <w:szCs w:val="22"/>
          <w:lang w:val="en-GB"/>
        </w:rPr>
        <w:t xml:space="preserve"> plants were present across reef meadows, no seeds have been found since monitoring commenced. </w:t>
      </w:r>
      <w:r w:rsidR="003611ED" w:rsidRPr="005F1B3F">
        <w:rPr>
          <w:color w:val="000000" w:themeColor="text1"/>
          <w:szCs w:val="22"/>
          <w:lang w:val="en-GB"/>
        </w:rPr>
        <w:t xml:space="preserve">Seagrass seed banks in Cape York meadows were often larger in the late dry than late </w:t>
      </w:r>
      <w:r w:rsidR="000945E8" w:rsidRPr="005F1B3F">
        <w:rPr>
          <w:color w:val="000000" w:themeColor="text1"/>
          <w:szCs w:val="22"/>
          <w:lang w:val="en-GB"/>
        </w:rPr>
        <w:t>wet</w:t>
      </w:r>
      <w:r w:rsidR="003611ED" w:rsidRPr="005F1B3F">
        <w:rPr>
          <w:color w:val="000000" w:themeColor="text1"/>
          <w:szCs w:val="22"/>
          <w:lang w:val="en-GB"/>
        </w:rPr>
        <w:t xml:space="preserve"> (</w:t>
      </w:r>
      <w:r w:rsidR="005F428D" w:rsidRPr="005F1B3F">
        <w:rPr>
          <w:color w:val="000000" w:themeColor="text1"/>
          <w:szCs w:val="22"/>
          <w:lang w:val="en-GB"/>
        </w:rPr>
        <w:fldChar w:fldCharType="begin"/>
      </w:r>
      <w:r w:rsidR="005F428D" w:rsidRPr="005F1B3F">
        <w:rPr>
          <w:color w:val="000000" w:themeColor="text1"/>
          <w:szCs w:val="22"/>
          <w:lang w:val="en-GB"/>
        </w:rPr>
        <w:instrText xml:space="preserve"> REF _Ref271218562 \h </w:instrText>
      </w:r>
      <w:r w:rsidR="005F428D" w:rsidRPr="005F1B3F">
        <w:rPr>
          <w:color w:val="000000" w:themeColor="text1"/>
          <w:szCs w:val="22"/>
          <w:lang w:val="en-GB"/>
        </w:rPr>
      </w:r>
      <w:r w:rsidR="005F428D" w:rsidRPr="005F1B3F">
        <w:rPr>
          <w:color w:val="000000" w:themeColor="text1"/>
          <w:szCs w:val="22"/>
          <w:lang w:val="en-GB"/>
        </w:rPr>
        <w:fldChar w:fldCharType="separate"/>
      </w:r>
      <w:r w:rsidR="00F87DF9" w:rsidRPr="008A695E">
        <w:rPr>
          <w:color w:val="000000"/>
        </w:rPr>
        <w:t xml:space="preserve">Figure </w:t>
      </w:r>
      <w:r w:rsidR="00F87DF9">
        <w:rPr>
          <w:noProof/>
          <w:color w:val="000000"/>
        </w:rPr>
        <w:t>41</w:t>
      </w:r>
      <w:r w:rsidR="005F428D" w:rsidRPr="005F1B3F">
        <w:rPr>
          <w:color w:val="000000" w:themeColor="text1"/>
          <w:szCs w:val="22"/>
          <w:lang w:val="en-GB"/>
        </w:rPr>
        <w:fldChar w:fldCharType="end"/>
      </w:r>
      <w:r w:rsidR="003611ED" w:rsidRPr="005F1B3F">
        <w:rPr>
          <w:color w:val="000000" w:themeColor="text1"/>
          <w:szCs w:val="22"/>
          <w:lang w:val="en-GB"/>
        </w:rPr>
        <w:t xml:space="preserve">). </w:t>
      </w:r>
      <w:r w:rsidR="003329EA" w:rsidRPr="005F1B3F">
        <w:rPr>
          <w:color w:val="000000" w:themeColor="text1"/>
          <w:szCs w:val="22"/>
          <w:lang w:val="en-GB"/>
        </w:rPr>
        <w:t xml:space="preserve"> </w:t>
      </w:r>
      <w:r w:rsidR="007377D4" w:rsidRPr="005F1B3F">
        <w:rPr>
          <w:color w:val="000000" w:themeColor="text1"/>
          <w:szCs w:val="22"/>
          <w:lang w:val="en-GB"/>
        </w:rPr>
        <w:t>S</w:t>
      </w:r>
      <w:r w:rsidR="003329EA" w:rsidRPr="005F1B3F">
        <w:rPr>
          <w:color w:val="000000" w:themeColor="text1"/>
          <w:szCs w:val="22"/>
          <w:lang w:val="en-GB"/>
        </w:rPr>
        <w:t xml:space="preserve">eed </w:t>
      </w:r>
      <w:r w:rsidR="007377D4" w:rsidRPr="005F1B3F">
        <w:rPr>
          <w:color w:val="000000" w:themeColor="text1"/>
          <w:szCs w:val="22"/>
          <w:lang w:val="en-GB"/>
        </w:rPr>
        <w:t xml:space="preserve">density </w:t>
      </w:r>
      <w:r w:rsidRPr="005F1B3F">
        <w:rPr>
          <w:color w:val="000000" w:themeColor="text1"/>
          <w:szCs w:val="22"/>
          <w:lang w:val="en-GB"/>
        </w:rPr>
        <w:t>has been increasing and was</w:t>
      </w:r>
      <w:r w:rsidR="007377D4" w:rsidRPr="005F1B3F">
        <w:rPr>
          <w:color w:val="000000" w:themeColor="text1"/>
          <w:szCs w:val="22"/>
          <w:lang w:val="en-GB"/>
        </w:rPr>
        <w:t xml:space="preserve"> </w:t>
      </w:r>
      <w:r w:rsidR="00C856B5" w:rsidRPr="005F1B3F">
        <w:rPr>
          <w:color w:val="000000" w:themeColor="text1"/>
          <w:szCs w:val="22"/>
          <w:lang w:val="en-GB"/>
        </w:rPr>
        <w:t xml:space="preserve">considerably </w:t>
      </w:r>
      <w:r w:rsidR="003329EA" w:rsidRPr="005F1B3F">
        <w:rPr>
          <w:color w:val="000000" w:themeColor="text1"/>
          <w:szCs w:val="22"/>
          <w:lang w:val="en-GB"/>
        </w:rPr>
        <w:t>higher</w:t>
      </w:r>
      <w:r w:rsidR="007377D4" w:rsidRPr="005F1B3F">
        <w:rPr>
          <w:color w:val="000000" w:themeColor="text1"/>
          <w:szCs w:val="22"/>
          <w:lang w:val="en-GB"/>
        </w:rPr>
        <w:t xml:space="preserve"> </w:t>
      </w:r>
      <w:r w:rsidR="003329EA" w:rsidRPr="005F1B3F">
        <w:rPr>
          <w:color w:val="000000" w:themeColor="text1"/>
          <w:szCs w:val="22"/>
          <w:lang w:val="en-GB"/>
        </w:rPr>
        <w:t>at c</w:t>
      </w:r>
      <w:r w:rsidR="00C856B5" w:rsidRPr="005F1B3F">
        <w:rPr>
          <w:color w:val="000000" w:themeColor="text1"/>
          <w:szCs w:val="22"/>
          <w:lang w:val="en-GB"/>
        </w:rPr>
        <w:t>oastal sites than at reef sites</w:t>
      </w:r>
      <w:r w:rsidRPr="005F1B3F">
        <w:rPr>
          <w:color w:val="000000" w:themeColor="text1"/>
          <w:szCs w:val="22"/>
          <w:lang w:val="en-GB"/>
        </w:rPr>
        <w:t xml:space="preserve"> in </w:t>
      </w:r>
      <w:r w:rsidR="008574EC">
        <w:rPr>
          <w:color w:val="000000" w:themeColor="text1"/>
          <w:szCs w:val="22"/>
          <w:lang w:val="en-GB"/>
        </w:rPr>
        <w:t>2016–17</w:t>
      </w:r>
      <w:r w:rsidR="00C856B5" w:rsidRPr="005F1B3F">
        <w:rPr>
          <w:color w:val="000000" w:themeColor="text1"/>
          <w:szCs w:val="22"/>
          <w:lang w:val="en-GB"/>
        </w:rPr>
        <w:t xml:space="preserve">. </w:t>
      </w:r>
      <w:r w:rsidRPr="005F1B3F">
        <w:rPr>
          <w:color w:val="000000" w:themeColor="text1"/>
          <w:szCs w:val="22"/>
          <w:lang w:val="en-GB"/>
        </w:rPr>
        <w:t xml:space="preserve">At reef sites, there has been few or no seeds recorded since 2013, </w:t>
      </w:r>
      <w:r w:rsidR="005F1B3F" w:rsidRPr="005F1B3F">
        <w:rPr>
          <w:color w:val="000000" w:themeColor="text1"/>
          <w:szCs w:val="22"/>
          <w:lang w:val="en-GB"/>
        </w:rPr>
        <w:t xml:space="preserve">and these meadows may have poor recovery rates from seeds if there is substantial decline in seagrass abudance. </w:t>
      </w:r>
      <w:r w:rsidR="003611ED" w:rsidRPr="005F1B3F">
        <w:rPr>
          <w:color w:val="000000" w:themeColor="text1"/>
          <w:szCs w:val="22"/>
          <w:lang w:val="en-GB"/>
        </w:rPr>
        <w:t xml:space="preserve">Total reproductive effort </w:t>
      </w:r>
      <w:r w:rsidR="003E0D39" w:rsidRPr="005F1B3F">
        <w:rPr>
          <w:color w:val="000000" w:themeColor="text1"/>
          <w:szCs w:val="22"/>
          <w:lang w:val="en-GB"/>
        </w:rPr>
        <w:t xml:space="preserve">across the region </w:t>
      </w:r>
      <w:r w:rsidR="00CA53EC" w:rsidRPr="005F1B3F">
        <w:rPr>
          <w:color w:val="000000" w:themeColor="text1"/>
          <w:szCs w:val="22"/>
          <w:lang w:val="en-GB"/>
        </w:rPr>
        <w:t xml:space="preserve">remains low with a report card rating of </w:t>
      </w:r>
      <w:r w:rsidR="008300F2" w:rsidRPr="005F1B3F">
        <w:rPr>
          <w:color w:val="000000" w:themeColor="text1"/>
          <w:szCs w:val="22"/>
          <w:lang w:val="en-GB"/>
        </w:rPr>
        <w:t xml:space="preserve">very </w:t>
      </w:r>
      <w:r w:rsidR="003E0D39" w:rsidRPr="005F1B3F">
        <w:rPr>
          <w:color w:val="000000" w:themeColor="text1"/>
          <w:szCs w:val="22"/>
          <w:lang w:val="en-GB"/>
        </w:rPr>
        <w:t>poor</w:t>
      </w:r>
      <w:r w:rsidR="00CA53EC" w:rsidRPr="005F1B3F">
        <w:rPr>
          <w:color w:val="000000" w:themeColor="text1"/>
          <w:szCs w:val="22"/>
          <w:lang w:val="en-GB"/>
        </w:rPr>
        <w:t xml:space="preserve"> </w:t>
      </w:r>
      <w:r w:rsidR="003E2DD3" w:rsidRPr="005F1B3F">
        <w:rPr>
          <w:color w:val="000000" w:themeColor="text1"/>
          <w:szCs w:val="22"/>
          <w:lang w:val="en-GB"/>
        </w:rPr>
        <w:t>(</w:t>
      </w:r>
      <w:r w:rsidR="003E2DD3" w:rsidRPr="005F1B3F">
        <w:rPr>
          <w:color w:val="000000" w:themeColor="text1"/>
          <w:szCs w:val="22"/>
          <w:lang w:val="en-GB"/>
        </w:rPr>
        <w:fldChar w:fldCharType="begin"/>
      </w:r>
      <w:r w:rsidR="003E2DD3" w:rsidRPr="005F1B3F">
        <w:rPr>
          <w:color w:val="000000" w:themeColor="text1"/>
          <w:szCs w:val="22"/>
          <w:lang w:val="en-GB"/>
        </w:rPr>
        <w:instrText xml:space="preserve"> REF _Ref385233470 \h  \* MERGEFORMAT </w:instrText>
      </w:r>
      <w:r w:rsidR="003E2DD3" w:rsidRPr="005F1B3F">
        <w:rPr>
          <w:color w:val="000000" w:themeColor="text1"/>
          <w:szCs w:val="22"/>
          <w:lang w:val="en-GB"/>
        </w:rPr>
      </w:r>
      <w:r w:rsidR="003E2DD3" w:rsidRPr="005F1B3F">
        <w:rPr>
          <w:color w:val="000000" w:themeColor="text1"/>
          <w:szCs w:val="22"/>
          <w:lang w:val="en-GB"/>
        </w:rPr>
        <w:fldChar w:fldCharType="separate"/>
      </w:r>
      <w:r w:rsidR="00F87DF9" w:rsidRPr="00F87DF9">
        <w:rPr>
          <w:color w:val="000000" w:themeColor="text1"/>
        </w:rPr>
        <w:t xml:space="preserve">Figure </w:t>
      </w:r>
      <w:r w:rsidR="00F87DF9" w:rsidRPr="00F87DF9">
        <w:rPr>
          <w:noProof/>
          <w:color w:val="000000" w:themeColor="text1"/>
        </w:rPr>
        <w:t>31</w:t>
      </w:r>
      <w:r w:rsidR="003E2DD3" w:rsidRPr="005F1B3F">
        <w:rPr>
          <w:color w:val="000000" w:themeColor="text1"/>
          <w:szCs w:val="22"/>
          <w:lang w:val="en-GB"/>
        </w:rPr>
        <w:fldChar w:fldCharType="end"/>
      </w:r>
      <w:r w:rsidR="00CA53EC" w:rsidRPr="005F1B3F">
        <w:rPr>
          <w:color w:val="000000" w:themeColor="text1"/>
          <w:szCs w:val="22"/>
          <w:lang w:val="en-GB"/>
        </w:rPr>
        <w:t>)</w:t>
      </w:r>
      <w:r w:rsidR="003611ED" w:rsidRPr="005F1B3F">
        <w:rPr>
          <w:color w:val="000000" w:themeColor="text1"/>
          <w:szCs w:val="22"/>
          <w:lang w:val="en-GB"/>
        </w:rPr>
        <w:t xml:space="preserve">, </w:t>
      </w:r>
      <w:r w:rsidR="005F1B3F" w:rsidRPr="005F1B3F">
        <w:rPr>
          <w:color w:val="000000" w:themeColor="text1"/>
          <w:szCs w:val="22"/>
          <w:lang w:val="en-GB"/>
        </w:rPr>
        <w:t>despite significant increases in reproductive effort in coastal habitats</w:t>
      </w:r>
      <w:r w:rsidR="003611ED" w:rsidRPr="005F1B3F">
        <w:rPr>
          <w:color w:val="000000" w:themeColor="text1"/>
          <w:szCs w:val="22"/>
          <w:lang w:val="en-GB"/>
        </w:rPr>
        <w:t xml:space="preserve"> (</w:t>
      </w:r>
      <w:r w:rsidR="005F428D" w:rsidRPr="005F1B3F">
        <w:rPr>
          <w:color w:val="000000" w:themeColor="text1"/>
          <w:szCs w:val="22"/>
          <w:lang w:val="en-GB"/>
        </w:rPr>
        <w:fldChar w:fldCharType="begin"/>
      </w:r>
      <w:r w:rsidR="005F428D" w:rsidRPr="005F1B3F">
        <w:rPr>
          <w:color w:val="000000" w:themeColor="text1"/>
          <w:szCs w:val="22"/>
          <w:lang w:val="en-GB"/>
        </w:rPr>
        <w:instrText xml:space="preserve"> REF _Ref271218562 \h </w:instrText>
      </w:r>
      <w:r w:rsidR="005F428D" w:rsidRPr="005F1B3F">
        <w:rPr>
          <w:color w:val="000000" w:themeColor="text1"/>
          <w:szCs w:val="22"/>
          <w:lang w:val="en-GB"/>
        </w:rPr>
      </w:r>
      <w:r w:rsidR="005F428D" w:rsidRPr="005F1B3F">
        <w:rPr>
          <w:color w:val="000000" w:themeColor="text1"/>
          <w:szCs w:val="22"/>
          <w:lang w:val="en-GB"/>
        </w:rPr>
        <w:fldChar w:fldCharType="separate"/>
      </w:r>
      <w:r w:rsidR="00F87DF9" w:rsidRPr="008A695E">
        <w:rPr>
          <w:color w:val="000000"/>
        </w:rPr>
        <w:t xml:space="preserve">Figure </w:t>
      </w:r>
      <w:r w:rsidR="00F87DF9">
        <w:rPr>
          <w:noProof/>
          <w:color w:val="000000"/>
        </w:rPr>
        <w:t>41</w:t>
      </w:r>
      <w:r w:rsidR="005F428D" w:rsidRPr="005F1B3F">
        <w:rPr>
          <w:color w:val="000000" w:themeColor="text1"/>
          <w:szCs w:val="22"/>
          <w:lang w:val="en-GB"/>
        </w:rPr>
        <w:fldChar w:fldCharType="end"/>
      </w:r>
      <w:r w:rsidR="003611ED" w:rsidRPr="005F1B3F">
        <w:rPr>
          <w:color w:val="000000" w:themeColor="text1"/>
          <w:szCs w:val="22"/>
          <w:lang w:val="en-GB"/>
        </w:rPr>
        <w:t>).</w:t>
      </w:r>
      <w:r w:rsidR="005F428D" w:rsidRPr="005F1B3F">
        <w:rPr>
          <w:color w:val="000000" w:themeColor="text1"/>
          <w:lang w:val="en-GB"/>
        </w:rPr>
        <w:t xml:space="preserve"> </w:t>
      </w:r>
    </w:p>
    <w:p w14:paraId="2EB06CEF" w14:textId="77777777" w:rsidR="003611ED" w:rsidRDefault="00665D56" w:rsidP="00F758CA">
      <w:pPr>
        <w:keepNext/>
        <w:widowControl w:val="0"/>
        <w:spacing w:after="0"/>
        <w:jc w:val="center"/>
        <w:rPr>
          <w:color w:val="000000"/>
          <w:szCs w:val="22"/>
          <w:lang w:val="en-GB"/>
        </w:rPr>
      </w:pPr>
      <w:r>
        <w:rPr>
          <w:noProof/>
          <w:color w:val="000000"/>
          <w:szCs w:val="22"/>
          <w:lang w:eastAsia="en-AU"/>
        </w:rPr>
        <w:drawing>
          <wp:inline distT="0" distB="0" distL="0" distR="0" wp14:anchorId="50BF7A15" wp14:editId="4BF1EB23">
            <wp:extent cx="5690483" cy="2060575"/>
            <wp:effectExtent l="0" t="0" r="5715" b="0"/>
            <wp:docPr id="250" name="Picture 250" descr="Panel of two composite bar and scatter plot graphs showing seed banks (bars) and reproductive effort (dots) at inshore intertidal coastal and reef habitats in the Cape York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CY_repro16.png"/>
                    <pic:cNvPicPr/>
                  </pic:nvPicPr>
                  <pic:blipFill>
                    <a:blip r:embed="rId78">
                      <a:extLst>
                        <a:ext uri="{28A0092B-C50C-407E-A947-70E740481C1C}">
                          <a14:useLocalDpi xmlns:a14="http://schemas.microsoft.com/office/drawing/2010/main" val="0"/>
                        </a:ext>
                      </a:extLst>
                    </a:blip>
                    <a:stretch>
                      <a:fillRect/>
                    </a:stretch>
                  </pic:blipFill>
                  <pic:spPr>
                    <a:xfrm>
                      <a:off x="0" y="0"/>
                      <a:ext cx="5690483" cy="2060575"/>
                    </a:xfrm>
                    <a:prstGeom prst="rect">
                      <a:avLst/>
                    </a:prstGeom>
                  </pic:spPr>
                </pic:pic>
              </a:graphicData>
            </a:graphic>
          </wp:inline>
        </w:drawing>
      </w:r>
    </w:p>
    <w:p w14:paraId="071C54A4" w14:textId="77777777" w:rsidR="0015251F" w:rsidRPr="00716CE2" w:rsidRDefault="005132EF" w:rsidP="0015251F">
      <w:pPr>
        <w:rPr>
          <w:i/>
          <w:vanish/>
          <w:szCs w:val="22"/>
          <w:specVanish/>
        </w:rPr>
      </w:pPr>
      <w:bookmarkStart w:id="259" w:name="_Ref271218562"/>
      <w:bookmarkStart w:id="260" w:name="_Toc431493830"/>
      <w:bookmarkStart w:id="261" w:name="_Toc516053251"/>
      <w:r w:rsidRPr="008A695E">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41</w:t>
      </w:r>
      <w:r w:rsidR="0073595B">
        <w:rPr>
          <w:color w:val="000000"/>
        </w:rPr>
        <w:fldChar w:fldCharType="end"/>
      </w:r>
      <w:bookmarkEnd w:id="259"/>
      <w:r w:rsidRPr="008A695E">
        <w:rPr>
          <w:color w:val="000000"/>
        </w:rPr>
        <w:t xml:space="preserve">. </w:t>
      </w:r>
      <w:r w:rsidR="00A927E0" w:rsidRPr="008A695E">
        <w:rPr>
          <w:i/>
          <w:color w:val="000000"/>
        </w:rPr>
        <w:t xml:space="preserve">Seed banks and reproductive effort at inshore intertidal </w:t>
      </w:r>
      <w:r w:rsidR="002C16F4" w:rsidRPr="008A695E">
        <w:rPr>
          <w:i/>
          <w:color w:val="000000"/>
        </w:rPr>
        <w:t xml:space="preserve">coastal </w:t>
      </w:r>
      <w:r w:rsidR="00B020D9" w:rsidRPr="008A695E">
        <w:rPr>
          <w:i/>
          <w:color w:val="000000"/>
        </w:rPr>
        <w:t xml:space="preserve">(a) </w:t>
      </w:r>
      <w:r w:rsidR="002C16F4" w:rsidRPr="008A695E">
        <w:rPr>
          <w:i/>
          <w:color w:val="000000"/>
        </w:rPr>
        <w:t xml:space="preserve">and </w:t>
      </w:r>
      <w:r w:rsidR="0032552E" w:rsidRPr="008A695E">
        <w:rPr>
          <w:i/>
          <w:color w:val="000000"/>
        </w:rPr>
        <w:t>reef</w:t>
      </w:r>
      <w:r w:rsidRPr="008A695E">
        <w:rPr>
          <w:i/>
          <w:color w:val="000000"/>
        </w:rPr>
        <w:t xml:space="preserve"> </w:t>
      </w:r>
      <w:r w:rsidR="00B020D9" w:rsidRPr="008A695E">
        <w:rPr>
          <w:i/>
          <w:color w:val="000000"/>
        </w:rPr>
        <w:t xml:space="preserve">(b) </w:t>
      </w:r>
      <w:r w:rsidR="00A927E0" w:rsidRPr="008A695E">
        <w:rPr>
          <w:i/>
          <w:color w:val="000000"/>
        </w:rPr>
        <w:t>habitats in the Cape York region</w:t>
      </w:r>
      <w:bookmarkEnd w:id="260"/>
      <w:bookmarkEnd w:id="261"/>
    </w:p>
    <w:p w14:paraId="316D9823" w14:textId="49F83BD0" w:rsidR="00A927E0" w:rsidRPr="008E2E54" w:rsidRDefault="00A927E0" w:rsidP="0015251F">
      <w:pPr>
        <w:rPr>
          <w:i/>
          <w:vanish/>
          <w:color w:val="000000"/>
          <w:szCs w:val="22"/>
        </w:rPr>
      </w:pPr>
      <w:r w:rsidRPr="008A695E">
        <w:rPr>
          <w:i/>
          <w:color w:val="000000"/>
        </w:rPr>
        <w:t xml:space="preserve"> </w:t>
      </w:r>
      <w:r w:rsidR="005132EF" w:rsidRPr="008A695E">
        <w:rPr>
          <w:i/>
          <w:color w:val="000000"/>
        </w:rPr>
        <w:t xml:space="preserve">(species </w:t>
      </w:r>
      <w:r w:rsidR="00C21312" w:rsidRPr="008A695E">
        <w:rPr>
          <w:i/>
          <w:color w:val="000000"/>
        </w:rPr>
        <w:t xml:space="preserve">and sites </w:t>
      </w:r>
      <w:r w:rsidR="005132EF" w:rsidRPr="008A695E">
        <w:rPr>
          <w:i/>
          <w:color w:val="000000"/>
        </w:rPr>
        <w:t>pooled).</w:t>
      </w:r>
      <w:r w:rsidRPr="008A695E">
        <w:rPr>
          <w:i/>
          <w:color w:val="000000"/>
        </w:rPr>
        <w:t xml:space="preserve"> Seed banks </w:t>
      </w:r>
      <w:r w:rsidR="008300F2">
        <w:rPr>
          <w:i/>
          <w:color w:val="000000"/>
        </w:rPr>
        <w:t xml:space="preserve">(bars </w:t>
      </w:r>
      <w:r w:rsidR="008300F2" w:rsidRPr="00401A2E">
        <w:rPr>
          <w:i/>
          <w:color w:val="000000"/>
          <w:lang w:eastAsia="en-AU"/>
        </w:rPr>
        <w:t xml:space="preserve">± </w:t>
      </w:r>
      <w:r w:rsidR="009C7692">
        <w:rPr>
          <w:i/>
          <w:color w:val="000000"/>
          <w:lang w:eastAsia="en-AU"/>
        </w:rPr>
        <w:t>SE</w:t>
      </w:r>
      <w:r w:rsidR="008300F2">
        <w:rPr>
          <w:i/>
          <w:color w:val="000000"/>
        </w:rPr>
        <w:t xml:space="preserve">) </w:t>
      </w:r>
      <w:r w:rsidRPr="008A695E">
        <w:rPr>
          <w:i/>
          <w:color w:val="000000"/>
        </w:rPr>
        <w:t>presented as the total number of seeds per m</w:t>
      </w:r>
      <w:r w:rsidRPr="008A695E">
        <w:rPr>
          <w:i/>
          <w:color w:val="000000"/>
          <w:vertAlign w:val="superscript"/>
        </w:rPr>
        <w:t>2</w:t>
      </w:r>
      <w:r w:rsidRPr="008A695E">
        <w:rPr>
          <w:i/>
          <w:color w:val="000000"/>
        </w:rPr>
        <w:t xml:space="preserve"> sediment surface. Reproductive effort for late dry season </w:t>
      </w:r>
      <w:r w:rsidR="008300F2">
        <w:rPr>
          <w:i/>
          <w:color w:val="000000"/>
        </w:rPr>
        <w:t xml:space="preserve">(dots </w:t>
      </w:r>
      <w:r w:rsidR="008300F2" w:rsidRPr="00401A2E">
        <w:rPr>
          <w:i/>
          <w:color w:val="000000"/>
          <w:lang w:eastAsia="en-AU"/>
        </w:rPr>
        <w:t xml:space="preserve">± </w:t>
      </w:r>
      <w:r w:rsidR="009C7692">
        <w:rPr>
          <w:i/>
          <w:color w:val="000000"/>
          <w:lang w:eastAsia="en-AU"/>
        </w:rPr>
        <w:t>SE</w:t>
      </w:r>
      <w:r w:rsidR="008300F2">
        <w:rPr>
          <w:i/>
          <w:color w:val="000000"/>
        </w:rPr>
        <w:t xml:space="preserve">) </w:t>
      </w:r>
      <w:r w:rsidRPr="008A695E">
        <w:rPr>
          <w:i/>
          <w:color w:val="000000"/>
        </w:rPr>
        <w:t>presented as the average number of reproductive structures per core.</w:t>
      </w:r>
    </w:p>
    <w:p w14:paraId="54724D42" w14:textId="77777777" w:rsidR="003611ED" w:rsidRPr="003611ED" w:rsidRDefault="003611ED" w:rsidP="003611ED">
      <w:pPr>
        <w:rPr>
          <w:lang w:val="en-GB"/>
        </w:rPr>
      </w:pPr>
    </w:p>
    <w:p w14:paraId="400AAEF3" w14:textId="77777777" w:rsidR="005132EF" w:rsidRPr="00BD0604" w:rsidRDefault="00FF0A86" w:rsidP="00926892">
      <w:pPr>
        <w:pStyle w:val="Heading3"/>
        <w:numPr>
          <w:ilvl w:val="2"/>
          <w:numId w:val="9"/>
        </w:numPr>
        <w:rPr>
          <w:rFonts w:ascii="Arial" w:hAnsi="Arial" w:cs="Arial"/>
          <w:color w:val="000000"/>
        </w:rPr>
      </w:pPr>
      <w:bookmarkStart w:id="262" w:name="_Toc516053141"/>
      <w:r>
        <w:rPr>
          <w:rFonts w:ascii="Arial" w:hAnsi="Arial" w:cs="Arial"/>
          <w:color w:val="000000"/>
        </w:rPr>
        <w:t>Indicators of environmental condition</w:t>
      </w:r>
      <w:bookmarkEnd w:id="262"/>
    </w:p>
    <w:p w14:paraId="74E66F2D" w14:textId="096607A9" w:rsidR="00906FE6" w:rsidRPr="004F2236" w:rsidRDefault="00906FE6" w:rsidP="00906FE6">
      <w:pPr>
        <w:pStyle w:val="Heading4"/>
        <w:numPr>
          <w:ilvl w:val="0"/>
          <w:numId w:val="0"/>
        </w:numPr>
        <w:rPr>
          <w:rFonts w:ascii="Arial" w:hAnsi="Arial" w:cs="Arial"/>
          <w:sz w:val="24"/>
          <w:szCs w:val="24"/>
        </w:rPr>
      </w:pPr>
      <w:bookmarkStart w:id="263" w:name="_Toc184101975"/>
      <w:bookmarkEnd w:id="256"/>
      <w:bookmarkEnd w:id="257"/>
      <w:bookmarkEnd w:id="258"/>
      <w:r w:rsidRPr="004F2236">
        <w:rPr>
          <w:rFonts w:ascii="Arial" w:hAnsi="Arial" w:cs="Arial"/>
          <w:sz w:val="24"/>
          <w:szCs w:val="24"/>
        </w:rPr>
        <w:t>Seagrass tissue nutrients</w:t>
      </w:r>
      <w:bookmarkEnd w:id="263"/>
    </w:p>
    <w:p w14:paraId="4743F574" w14:textId="1F4A813B" w:rsidR="003611ED" w:rsidRDefault="003611ED" w:rsidP="00906FE6">
      <w:pPr>
        <w:autoSpaceDE w:val="0"/>
        <w:autoSpaceDN w:val="0"/>
        <w:adjustRightInd w:val="0"/>
        <w:rPr>
          <w:rFonts w:cs="TimesNewRoman,Italic"/>
          <w:iCs/>
          <w:color w:val="000000"/>
          <w:szCs w:val="22"/>
        </w:rPr>
      </w:pPr>
      <w:r w:rsidRPr="005F1B3F">
        <w:rPr>
          <w:rFonts w:cs="TimesNewRoman,Italic"/>
          <w:iCs/>
          <w:color w:val="000000" w:themeColor="text1"/>
          <w:szCs w:val="22"/>
        </w:rPr>
        <w:t xml:space="preserve">Seagrass leaf molar C:N ratios </w:t>
      </w:r>
      <w:r w:rsidR="005F1B3F" w:rsidRPr="005F1B3F">
        <w:rPr>
          <w:rFonts w:cs="TimesNewRoman,Italic"/>
          <w:iCs/>
          <w:color w:val="000000" w:themeColor="text1"/>
          <w:szCs w:val="22"/>
        </w:rPr>
        <w:t xml:space="preserve">increased significantly in </w:t>
      </w:r>
      <w:r w:rsidR="008574EC">
        <w:rPr>
          <w:rFonts w:cs="TimesNewRoman,Italic"/>
          <w:iCs/>
          <w:color w:val="000000" w:themeColor="text1"/>
          <w:szCs w:val="22"/>
        </w:rPr>
        <w:t>2016–17</w:t>
      </w:r>
      <w:r w:rsidR="005F1B3F">
        <w:rPr>
          <w:rFonts w:cs="TimesNewRoman,Italic"/>
          <w:iCs/>
          <w:color w:val="000000" w:themeColor="text1"/>
          <w:szCs w:val="22"/>
        </w:rPr>
        <w:t>, with the largest increase occurring at coastal habitats (</w:t>
      </w:r>
      <w:r w:rsidR="005F1B3F">
        <w:rPr>
          <w:rFonts w:cs="TimesNewRoman,Italic"/>
          <w:iCs/>
          <w:color w:val="000000" w:themeColor="text1"/>
          <w:szCs w:val="22"/>
        </w:rPr>
        <w:fldChar w:fldCharType="begin"/>
      </w:r>
      <w:r w:rsidR="005F1B3F">
        <w:rPr>
          <w:rFonts w:cs="TimesNewRoman,Italic"/>
          <w:iCs/>
          <w:color w:val="000000" w:themeColor="text1"/>
          <w:szCs w:val="22"/>
        </w:rPr>
        <w:instrText xml:space="preserve"> REF _Ref380082962 \h </w:instrText>
      </w:r>
      <w:r w:rsidR="005F1B3F">
        <w:rPr>
          <w:rFonts w:cs="TimesNewRoman,Italic"/>
          <w:iCs/>
          <w:color w:val="000000" w:themeColor="text1"/>
          <w:szCs w:val="22"/>
        </w:rPr>
      </w:r>
      <w:r w:rsidR="005F1B3F">
        <w:rPr>
          <w:rFonts w:cs="TimesNewRoman,Italic"/>
          <w:iCs/>
          <w:color w:val="000000" w:themeColor="text1"/>
          <w:szCs w:val="22"/>
        </w:rPr>
        <w:fldChar w:fldCharType="separate"/>
      </w:r>
      <w:r w:rsidR="00F87DF9" w:rsidRPr="00E93489">
        <w:rPr>
          <w:color w:val="000000"/>
        </w:rPr>
        <w:t xml:space="preserve">Figure </w:t>
      </w:r>
      <w:r w:rsidR="00F87DF9">
        <w:rPr>
          <w:noProof/>
          <w:color w:val="000000"/>
        </w:rPr>
        <w:t>42</w:t>
      </w:r>
      <w:r w:rsidR="005F1B3F">
        <w:rPr>
          <w:rFonts w:cs="TimesNewRoman,Italic"/>
          <w:iCs/>
          <w:color w:val="000000" w:themeColor="text1"/>
          <w:szCs w:val="22"/>
        </w:rPr>
        <w:fldChar w:fldCharType="end"/>
      </w:r>
      <w:r w:rsidR="005F1B3F">
        <w:rPr>
          <w:rFonts w:cs="TimesNewRoman,Italic"/>
          <w:iCs/>
          <w:color w:val="000000" w:themeColor="text1"/>
          <w:szCs w:val="22"/>
        </w:rPr>
        <w:t xml:space="preserve">). </w:t>
      </w:r>
      <w:r w:rsidR="0063025A">
        <w:rPr>
          <w:rFonts w:cs="TimesNewRoman,Italic"/>
          <w:iCs/>
          <w:color w:val="000000" w:themeColor="text1"/>
          <w:szCs w:val="22"/>
        </w:rPr>
        <w:t>The increase occurred</w:t>
      </w:r>
      <w:r w:rsidR="005F1B3F" w:rsidRPr="005F1B3F">
        <w:rPr>
          <w:rFonts w:cs="TimesNewRoman,Italic"/>
          <w:iCs/>
          <w:color w:val="000000" w:themeColor="text1"/>
          <w:szCs w:val="22"/>
        </w:rPr>
        <w:t xml:space="preserve"> </w:t>
      </w:r>
      <w:r w:rsidRPr="0079725B">
        <w:rPr>
          <w:rFonts w:cs="TimesNewRoman,Italic"/>
          <w:iCs/>
          <w:color w:val="000000" w:themeColor="text1"/>
          <w:szCs w:val="22"/>
        </w:rPr>
        <w:t>at all Cape York habitats and locations in late dry season 201</w:t>
      </w:r>
      <w:r w:rsidR="0079725B">
        <w:rPr>
          <w:rFonts w:cs="TimesNewRoman,Italic"/>
          <w:iCs/>
          <w:color w:val="000000" w:themeColor="text1"/>
          <w:szCs w:val="22"/>
        </w:rPr>
        <w:t>6, but the largest increases occurred at the more southern coast and reef sites</w:t>
      </w:r>
      <w:r w:rsidRPr="0079725B">
        <w:rPr>
          <w:rFonts w:cs="TimesNewRoman,Italic"/>
          <w:iCs/>
          <w:color w:val="000000" w:themeColor="text1"/>
          <w:szCs w:val="22"/>
        </w:rPr>
        <w:t xml:space="preserve"> </w:t>
      </w:r>
      <w:r w:rsidR="0079725B">
        <w:rPr>
          <w:rFonts w:cs="TimesNewRoman,Italic"/>
          <w:iCs/>
          <w:color w:val="000000" w:themeColor="text1"/>
          <w:szCs w:val="22"/>
        </w:rPr>
        <w:t xml:space="preserve">(AP, ST, BY) </w:t>
      </w:r>
      <w:r w:rsidRPr="0079725B">
        <w:rPr>
          <w:rFonts w:cs="TimesNewRoman,Italic"/>
          <w:iCs/>
          <w:color w:val="000000" w:themeColor="text1"/>
          <w:szCs w:val="22"/>
        </w:rPr>
        <w:t>(</w:t>
      </w:r>
      <w:r w:rsidR="00D075F9" w:rsidRPr="0079725B">
        <w:rPr>
          <w:rFonts w:cs="TimesNewRoman,Italic"/>
          <w:iCs/>
          <w:color w:val="000000" w:themeColor="text1"/>
          <w:szCs w:val="22"/>
        </w:rPr>
        <w:t>Appendix 4</w:t>
      </w:r>
      <w:r w:rsidRPr="0079725B">
        <w:rPr>
          <w:rFonts w:cs="TimesNewRoman,Italic"/>
          <w:iCs/>
          <w:color w:val="000000" w:themeColor="text1"/>
          <w:szCs w:val="22"/>
        </w:rPr>
        <w:t>).</w:t>
      </w:r>
      <w:r w:rsidR="0063025A" w:rsidRPr="0079725B">
        <w:rPr>
          <w:rFonts w:cs="TimesNewRoman,Italic"/>
          <w:iCs/>
          <w:color w:val="000000" w:themeColor="text1"/>
          <w:szCs w:val="22"/>
        </w:rPr>
        <w:t xml:space="preserve"> </w:t>
      </w:r>
      <w:r w:rsidR="0063025A" w:rsidRPr="0063025A">
        <w:rPr>
          <w:rFonts w:cs="TimesNewRoman,Italic"/>
          <w:iCs/>
          <w:color w:val="000000" w:themeColor="text1"/>
          <w:szCs w:val="22"/>
        </w:rPr>
        <w:t>This indicates that the availability of nitrogen (N) was reduced relative the demand for growth.</w:t>
      </w:r>
      <w:r w:rsidR="0063025A">
        <w:rPr>
          <w:rFonts w:cs="TimesNewRoman,Italic"/>
          <w:iCs/>
          <w:color w:val="000000" w:themeColor="text1"/>
          <w:szCs w:val="22"/>
        </w:rPr>
        <w:t xml:space="preserve"> Furthermore, leaf N:P ratios were reduced (</w:t>
      </w:r>
      <w:r w:rsidR="0063025A">
        <w:rPr>
          <w:rFonts w:cs="TimesNewRoman,Italic"/>
          <w:iCs/>
          <w:color w:val="000000" w:themeColor="text1"/>
          <w:szCs w:val="22"/>
        </w:rPr>
        <w:fldChar w:fldCharType="begin"/>
      </w:r>
      <w:r w:rsidR="0063025A">
        <w:rPr>
          <w:rFonts w:cs="TimesNewRoman,Italic"/>
          <w:iCs/>
          <w:color w:val="000000" w:themeColor="text1"/>
          <w:szCs w:val="22"/>
        </w:rPr>
        <w:instrText xml:space="preserve"> REF _Ref236560189 \h </w:instrText>
      </w:r>
      <w:r w:rsidR="0063025A">
        <w:rPr>
          <w:rFonts w:cs="TimesNewRoman,Italic"/>
          <w:iCs/>
          <w:color w:val="000000" w:themeColor="text1"/>
          <w:szCs w:val="22"/>
        </w:rPr>
      </w:r>
      <w:r w:rsidR="0063025A">
        <w:rPr>
          <w:rFonts w:cs="TimesNewRoman,Italic"/>
          <w:iCs/>
          <w:color w:val="000000" w:themeColor="text1"/>
          <w:szCs w:val="22"/>
        </w:rPr>
        <w:fldChar w:fldCharType="separate"/>
      </w:r>
      <w:r w:rsidR="00F87DF9" w:rsidRPr="00401A2E">
        <w:rPr>
          <w:color w:val="000000"/>
        </w:rPr>
        <w:t xml:space="preserve">Figure </w:t>
      </w:r>
      <w:r w:rsidR="00F87DF9">
        <w:rPr>
          <w:noProof/>
          <w:color w:val="000000"/>
        </w:rPr>
        <w:t>43</w:t>
      </w:r>
      <w:r w:rsidR="0063025A">
        <w:rPr>
          <w:rFonts w:cs="TimesNewRoman,Italic"/>
          <w:iCs/>
          <w:color w:val="000000" w:themeColor="text1"/>
          <w:szCs w:val="22"/>
        </w:rPr>
        <w:fldChar w:fldCharType="end"/>
      </w:r>
      <w:r w:rsidR="0063025A">
        <w:rPr>
          <w:rFonts w:cs="TimesNewRoman,Italic"/>
          <w:iCs/>
          <w:color w:val="000000" w:themeColor="text1"/>
          <w:szCs w:val="22"/>
        </w:rPr>
        <w:t>), providing further evidence that nitrogen has been reduced in the seagrass habitats of Cape York</w:t>
      </w:r>
      <w:r w:rsidR="0063025A" w:rsidRPr="0063025A">
        <w:rPr>
          <w:rFonts w:cs="TimesNewRoman,Italic"/>
          <w:iCs/>
          <w:color w:val="000000" w:themeColor="text1"/>
          <w:szCs w:val="22"/>
        </w:rPr>
        <w:t xml:space="preserve">.  </w:t>
      </w:r>
      <w:r w:rsidRPr="0063025A">
        <w:rPr>
          <w:rFonts w:cs="TimesNewRoman,Italic"/>
          <w:iCs/>
          <w:color w:val="000000" w:themeColor="text1"/>
          <w:szCs w:val="22"/>
        </w:rPr>
        <w:t xml:space="preserve">Leaf molar C:P ratios </w:t>
      </w:r>
      <w:r w:rsidR="0063025A">
        <w:rPr>
          <w:rFonts w:cs="TimesNewRoman,Italic"/>
          <w:iCs/>
          <w:color w:val="000000" w:themeColor="text1"/>
          <w:szCs w:val="22"/>
        </w:rPr>
        <w:t xml:space="preserve">increased slightly </w:t>
      </w:r>
      <w:r w:rsidRPr="0063025A">
        <w:rPr>
          <w:rFonts w:cs="TimesNewRoman,Italic"/>
          <w:iCs/>
          <w:color w:val="000000" w:themeColor="text1"/>
          <w:szCs w:val="22"/>
        </w:rPr>
        <w:t>in 201</w:t>
      </w:r>
      <w:r w:rsidR="0063025A" w:rsidRPr="0063025A">
        <w:rPr>
          <w:rFonts w:cs="TimesNewRoman,Italic"/>
          <w:iCs/>
          <w:color w:val="000000" w:themeColor="text1"/>
          <w:szCs w:val="22"/>
        </w:rPr>
        <w:t>6</w:t>
      </w:r>
      <w:r w:rsidRPr="0063025A">
        <w:rPr>
          <w:rFonts w:cs="TimesNewRoman,Italic"/>
          <w:iCs/>
          <w:color w:val="000000" w:themeColor="text1"/>
          <w:szCs w:val="22"/>
        </w:rPr>
        <w:t xml:space="preserve"> were just above 500, indicating that the plants were growing in a relatively moderate</w:t>
      </w:r>
      <w:r w:rsidR="0063025A">
        <w:rPr>
          <w:rFonts w:cs="TimesNewRoman,Italic"/>
          <w:iCs/>
          <w:color w:val="000000" w:themeColor="text1"/>
          <w:szCs w:val="22"/>
        </w:rPr>
        <w:t>ly depleted</w:t>
      </w:r>
      <w:r w:rsidRPr="0063025A">
        <w:rPr>
          <w:rFonts w:cs="TimesNewRoman,Italic"/>
          <w:iCs/>
          <w:color w:val="000000" w:themeColor="text1"/>
          <w:szCs w:val="22"/>
        </w:rPr>
        <w:t xml:space="preserve"> P pool (</w:t>
      </w:r>
      <w:r w:rsidR="003E0D39" w:rsidRPr="0063025A">
        <w:rPr>
          <w:rFonts w:cs="TimesNewRoman,Italic"/>
          <w:iCs/>
          <w:color w:val="000000" w:themeColor="text1"/>
          <w:szCs w:val="22"/>
        </w:rPr>
        <w:fldChar w:fldCharType="begin"/>
      </w:r>
      <w:r w:rsidR="003E0D39" w:rsidRPr="0063025A">
        <w:rPr>
          <w:rFonts w:cs="TimesNewRoman,Italic"/>
          <w:iCs/>
          <w:color w:val="000000" w:themeColor="text1"/>
          <w:szCs w:val="22"/>
        </w:rPr>
        <w:instrText xml:space="preserve"> REF _Ref236560189 \h </w:instrText>
      </w:r>
      <w:r w:rsidR="003E0D39" w:rsidRPr="0063025A">
        <w:rPr>
          <w:rFonts w:cs="TimesNewRoman,Italic"/>
          <w:iCs/>
          <w:color w:val="000000" w:themeColor="text1"/>
          <w:szCs w:val="22"/>
        </w:rPr>
      </w:r>
      <w:r w:rsidR="003E0D39" w:rsidRPr="0063025A">
        <w:rPr>
          <w:rFonts w:cs="TimesNewRoman,Italic"/>
          <w:iCs/>
          <w:color w:val="000000" w:themeColor="text1"/>
          <w:szCs w:val="22"/>
        </w:rPr>
        <w:fldChar w:fldCharType="separate"/>
      </w:r>
      <w:r w:rsidR="00F87DF9" w:rsidRPr="00401A2E">
        <w:rPr>
          <w:color w:val="000000"/>
        </w:rPr>
        <w:t xml:space="preserve">Figure </w:t>
      </w:r>
      <w:r w:rsidR="00F87DF9">
        <w:rPr>
          <w:noProof/>
          <w:color w:val="000000"/>
        </w:rPr>
        <w:t>43</w:t>
      </w:r>
      <w:r w:rsidR="003E0D39" w:rsidRPr="0063025A">
        <w:rPr>
          <w:rFonts w:cs="TimesNewRoman,Italic"/>
          <w:iCs/>
          <w:color w:val="000000" w:themeColor="text1"/>
          <w:szCs w:val="22"/>
        </w:rPr>
        <w:fldChar w:fldCharType="end"/>
      </w:r>
      <w:r w:rsidRPr="0063025A">
        <w:rPr>
          <w:rFonts w:cs="TimesNewRoman,Italic"/>
          <w:iCs/>
          <w:color w:val="000000" w:themeColor="text1"/>
          <w:szCs w:val="22"/>
        </w:rPr>
        <w:t xml:space="preserve">; Appendix </w:t>
      </w:r>
      <w:r w:rsidR="003E0D39" w:rsidRPr="0063025A">
        <w:rPr>
          <w:rFonts w:cs="TimesNewRoman,Italic"/>
          <w:iCs/>
          <w:color w:val="000000" w:themeColor="text1"/>
          <w:szCs w:val="22"/>
        </w:rPr>
        <w:t>4</w:t>
      </w:r>
      <w:r w:rsidRPr="0063025A">
        <w:rPr>
          <w:rFonts w:cs="TimesNewRoman,Italic"/>
          <w:iCs/>
          <w:color w:val="000000" w:themeColor="text1"/>
          <w:szCs w:val="22"/>
        </w:rPr>
        <w:t>).</w:t>
      </w:r>
    </w:p>
    <w:p w14:paraId="152C3065" w14:textId="77777777" w:rsidR="003611ED" w:rsidRDefault="00665D56" w:rsidP="003E0D39">
      <w:pPr>
        <w:keepNext/>
        <w:widowControl w:val="0"/>
        <w:autoSpaceDE w:val="0"/>
        <w:autoSpaceDN w:val="0"/>
        <w:adjustRightInd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17B8C237" wp14:editId="1975F563">
            <wp:extent cx="3960000" cy="1774254"/>
            <wp:effectExtent l="0" t="0" r="2540" b="0"/>
            <wp:docPr id="251" name="Picture 251" descr="Panel of two scatter plots with straight lines and markers showing elemental ratios (atomic) of seagrass leaf tissue C:N for the foundation species in inshore intertidal coastal and reef habitats in the Cape York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CY_CN_yr_Dec16.png"/>
                    <pic:cNvPicPr/>
                  </pic:nvPicPr>
                  <pic:blipFill>
                    <a:blip r:embed="rId79">
                      <a:extLst>
                        <a:ext uri="{28A0092B-C50C-407E-A947-70E740481C1C}">
                          <a14:useLocalDpi xmlns:a14="http://schemas.microsoft.com/office/drawing/2010/main" val="0"/>
                        </a:ext>
                      </a:extLst>
                    </a:blip>
                    <a:stretch>
                      <a:fillRect/>
                    </a:stretch>
                  </pic:blipFill>
                  <pic:spPr>
                    <a:xfrm>
                      <a:off x="0" y="0"/>
                      <a:ext cx="3960000" cy="1774254"/>
                    </a:xfrm>
                    <a:prstGeom prst="rect">
                      <a:avLst/>
                    </a:prstGeom>
                  </pic:spPr>
                </pic:pic>
              </a:graphicData>
            </a:graphic>
          </wp:inline>
        </w:drawing>
      </w:r>
    </w:p>
    <w:p w14:paraId="5B495095" w14:textId="7585C72C" w:rsidR="00906FE6" w:rsidRPr="00941B89" w:rsidRDefault="00906FE6" w:rsidP="00906FE6">
      <w:pPr>
        <w:rPr>
          <w:i/>
          <w:iCs/>
          <w:vanish/>
          <w:szCs w:val="22"/>
          <w:lang w:eastAsia="en-AU"/>
          <w:specVanish/>
        </w:rPr>
      </w:pPr>
      <w:bookmarkStart w:id="264" w:name="_Ref380082962"/>
      <w:bookmarkStart w:id="265" w:name="_Toc431493832"/>
      <w:bookmarkStart w:id="266" w:name="_Toc516053252"/>
      <w:r w:rsidRPr="00E93489">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42</w:t>
      </w:r>
      <w:r w:rsidR="0073595B">
        <w:rPr>
          <w:color w:val="000000"/>
        </w:rPr>
        <w:fldChar w:fldCharType="end"/>
      </w:r>
      <w:bookmarkEnd w:id="264"/>
      <w:r w:rsidRPr="00E93489">
        <w:rPr>
          <w:color w:val="000000"/>
        </w:rPr>
        <w:t xml:space="preserve">. </w:t>
      </w:r>
      <w:r w:rsidRPr="00E93489">
        <w:rPr>
          <w:i/>
          <w:color w:val="000000"/>
          <w:lang w:eastAsia="en-AU"/>
        </w:rPr>
        <w:t xml:space="preserve">Elemental ratios (atomic) of seagrass leaf tissue C:N for </w:t>
      </w:r>
      <w:r w:rsidRPr="00E93489">
        <w:rPr>
          <w:i/>
          <w:color w:val="000000"/>
        </w:rPr>
        <w:t xml:space="preserve">the foundation species in inshore </w:t>
      </w:r>
      <w:r w:rsidRPr="00941B89">
        <w:rPr>
          <w:i/>
        </w:rPr>
        <w:t>intertidal coastal (a) and reef (b) habitats in the Cape York region from 2005 to 201</w:t>
      </w:r>
      <w:r w:rsidR="00941B89" w:rsidRPr="00941B89">
        <w:rPr>
          <w:i/>
        </w:rPr>
        <w:t>6</w:t>
      </w:r>
      <w:bookmarkEnd w:id="265"/>
      <w:bookmarkEnd w:id="266"/>
      <w:r w:rsidRPr="00941B89">
        <w:rPr>
          <w:i/>
          <w:lang w:eastAsia="en-AU"/>
        </w:rPr>
        <w:t xml:space="preserve"> </w:t>
      </w:r>
    </w:p>
    <w:p w14:paraId="26A53F52" w14:textId="720EEC5B" w:rsidR="00906FE6" w:rsidRDefault="00906FE6" w:rsidP="00906FE6">
      <w:pPr>
        <w:rPr>
          <w:i/>
          <w:color w:val="000000"/>
          <w:lang w:eastAsia="en-AU"/>
        </w:rPr>
      </w:pPr>
      <w:r w:rsidRPr="00941B89">
        <w:rPr>
          <w:i/>
          <w:lang w:eastAsia="en-AU"/>
        </w:rPr>
        <w:t xml:space="preserve"> (species pooled) </w:t>
      </w:r>
      <w:r w:rsidRPr="00E93489">
        <w:rPr>
          <w:i/>
          <w:color w:val="000000"/>
        </w:rPr>
        <w:t>(mean and SE displayed)</w:t>
      </w:r>
      <w:r w:rsidRPr="00E93489">
        <w:rPr>
          <w:i/>
          <w:color w:val="000000"/>
          <w:lang w:eastAsia="en-AU"/>
        </w:rPr>
        <w:t xml:space="preserve">. Horizontal shaded band on the C:N ratio panel represents the accepted </w:t>
      </w:r>
      <w:r w:rsidRPr="00E93489">
        <w:rPr>
          <w:i/>
          <w:color w:val="000000"/>
        </w:rPr>
        <w:t xml:space="preserve">guideline </w:t>
      </w:r>
      <w:r w:rsidRPr="00E93489">
        <w:rPr>
          <w:i/>
          <w:color w:val="000000"/>
          <w:lang w:eastAsia="en-AU"/>
        </w:rPr>
        <w:t xml:space="preserve">seagrass “Redfield” ratio </w:t>
      </w:r>
      <w:r w:rsidRPr="00E93489">
        <w:rPr>
          <w:i/>
          <w:color w:val="000000"/>
        </w:rPr>
        <w:t>of 20:1 (</w:t>
      </w:r>
      <w:hyperlink w:anchor="_ENREF_2" w:tooltip="Abal, 1994 #7405" w:history="1">
        <w:r w:rsidR="00305FE7">
          <w:rPr>
            <w:i/>
            <w:color w:val="000000"/>
          </w:rPr>
          <w:fldChar w:fldCharType="begin"/>
        </w:r>
        <w:r w:rsidR="00305FE7">
          <w:rPr>
            <w:i/>
            <w:color w:val="000000"/>
          </w:rPr>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305FE7">
          <w:rPr>
            <w:i/>
            <w:color w:val="000000"/>
          </w:rPr>
          <w:fldChar w:fldCharType="separate"/>
        </w:r>
        <w:r w:rsidR="00305FE7">
          <w:rPr>
            <w:i/>
            <w:noProof/>
            <w:color w:val="000000"/>
          </w:rPr>
          <w:t>Abal et al. 1994</w:t>
        </w:r>
        <w:r w:rsidR="00305FE7">
          <w:rPr>
            <w:i/>
            <w:color w:val="000000"/>
          </w:rPr>
          <w:fldChar w:fldCharType="end"/>
        </w:r>
      </w:hyperlink>
      <w:r w:rsidRPr="00E93489">
        <w:rPr>
          <w:i/>
          <w:color w:val="000000"/>
        </w:rPr>
        <w:t>; Grice et al. 1996)</w:t>
      </w:r>
      <w:r w:rsidRPr="00E93489">
        <w:rPr>
          <w:i/>
          <w:color w:val="000000"/>
          <w:lang w:eastAsia="en-AU"/>
        </w:rPr>
        <w:t xml:space="preserve">. C:N ratios below this line may </w:t>
      </w:r>
      <w:r w:rsidRPr="00E93489">
        <w:rPr>
          <w:i/>
          <w:color w:val="000000"/>
        </w:rPr>
        <w:t>indicate reduced light availability and/or N enrichment</w:t>
      </w:r>
      <w:r w:rsidRPr="00E93489">
        <w:rPr>
          <w:i/>
          <w:color w:val="000000"/>
          <w:lang w:eastAsia="en-AU"/>
        </w:rPr>
        <w:t xml:space="preserve">. </w:t>
      </w:r>
    </w:p>
    <w:p w14:paraId="2C7AE270" w14:textId="77777777" w:rsidR="003611ED" w:rsidRDefault="00665D56" w:rsidP="00CB68A0">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51C784D0" wp14:editId="3BD95380">
            <wp:extent cx="3954014" cy="3391200"/>
            <wp:effectExtent l="0" t="0" r="8890" b="0"/>
            <wp:docPr id="254" name="Picture 254" descr="Set of four scatter plots with straight lines and markers showing  elemental ratios (atomic) of seagrass leaf tissue N:P and C:P for the foundation species in inshore intertidal reef and coastal habitats in the Cape York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CY_CNP_yr_Dec16.png"/>
                    <pic:cNvPicPr/>
                  </pic:nvPicPr>
                  <pic:blipFill>
                    <a:blip r:embed="rId80">
                      <a:extLst>
                        <a:ext uri="{28A0092B-C50C-407E-A947-70E740481C1C}">
                          <a14:useLocalDpi xmlns:a14="http://schemas.microsoft.com/office/drawing/2010/main" val="0"/>
                        </a:ext>
                      </a:extLst>
                    </a:blip>
                    <a:stretch>
                      <a:fillRect/>
                    </a:stretch>
                  </pic:blipFill>
                  <pic:spPr>
                    <a:xfrm>
                      <a:off x="0" y="0"/>
                      <a:ext cx="3954014" cy="3391200"/>
                    </a:xfrm>
                    <a:prstGeom prst="rect">
                      <a:avLst/>
                    </a:prstGeom>
                  </pic:spPr>
                </pic:pic>
              </a:graphicData>
            </a:graphic>
          </wp:inline>
        </w:drawing>
      </w:r>
    </w:p>
    <w:p w14:paraId="014DBEA1" w14:textId="5148F66A" w:rsidR="00906FE6" w:rsidRPr="00941B89" w:rsidRDefault="00906FE6" w:rsidP="00906FE6">
      <w:pPr>
        <w:rPr>
          <w:i/>
          <w:iCs/>
          <w:vanish/>
          <w:szCs w:val="22"/>
          <w:lang w:eastAsia="en-AU"/>
          <w:specVanish/>
        </w:rPr>
      </w:pPr>
      <w:bookmarkStart w:id="267" w:name="_Ref236560189"/>
      <w:bookmarkStart w:id="268" w:name="_Toc431493833"/>
      <w:bookmarkStart w:id="269" w:name="_Toc516053253"/>
      <w:r w:rsidRPr="00401A2E">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43</w:t>
      </w:r>
      <w:r w:rsidR="0073595B">
        <w:rPr>
          <w:color w:val="000000"/>
        </w:rPr>
        <w:fldChar w:fldCharType="end"/>
      </w:r>
      <w:bookmarkEnd w:id="267"/>
      <w:r w:rsidRPr="00401A2E">
        <w:rPr>
          <w:color w:val="000000"/>
        </w:rPr>
        <w:t xml:space="preserve">. </w:t>
      </w:r>
      <w:r w:rsidRPr="00401A2E">
        <w:rPr>
          <w:i/>
          <w:color w:val="000000"/>
          <w:lang w:eastAsia="en-AU"/>
        </w:rPr>
        <w:t xml:space="preserve">Elemental ratios (atomic) of seagrass leaf tissue N:P and C:P </w:t>
      </w:r>
      <w:r w:rsidRPr="00401A2E">
        <w:rPr>
          <w:i/>
          <w:color w:val="000000"/>
        </w:rPr>
        <w:t xml:space="preserve">for the foundation species in </w:t>
      </w:r>
      <w:r w:rsidRPr="00941B89">
        <w:rPr>
          <w:i/>
        </w:rPr>
        <w:t>inshore intertidal reef (a, c) and coastal (b, d) habitats in the Cape York region from 2005 to 201</w:t>
      </w:r>
      <w:r w:rsidR="00941B89" w:rsidRPr="00941B89">
        <w:rPr>
          <w:i/>
        </w:rPr>
        <w:t>6</w:t>
      </w:r>
      <w:bookmarkEnd w:id="268"/>
      <w:bookmarkEnd w:id="269"/>
      <w:r w:rsidRPr="00941B89">
        <w:rPr>
          <w:i/>
          <w:lang w:eastAsia="en-AU"/>
        </w:rPr>
        <w:t xml:space="preserve"> </w:t>
      </w:r>
    </w:p>
    <w:p w14:paraId="0A68530D" w14:textId="76777092" w:rsidR="00721C0E" w:rsidRDefault="00906FE6" w:rsidP="00906FE6">
      <w:pPr>
        <w:rPr>
          <w:color w:val="000000"/>
          <w:lang w:eastAsia="en-AU"/>
        </w:rPr>
      </w:pPr>
      <w:r w:rsidRPr="00941B89">
        <w:rPr>
          <w:i/>
          <w:lang w:eastAsia="en-AU"/>
        </w:rPr>
        <w:t xml:space="preserve"> </w:t>
      </w:r>
      <w:r w:rsidRPr="00401A2E">
        <w:rPr>
          <w:i/>
          <w:color w:val="000000"/>
          <w:lang w:eastAsia="en-AU"/>
        </w:rPr>
        <w:t>(species pooled) (</w:t>
      </w:r>
      <w:r w:rsidRPr="00401A2E">
        <w:rPr>
          <w:i/>
          <w:color w:val="000000"/>
        </w:rPr>
        <w:t>mean</w:t>
      </w:r>
      <w:r w:rsidRPr="00401A2E">
        <w:rPr>
          <w:i/>
          <w:color w:val="000000"/>
          <w:lang w:eastAsia="en-AU"/>
        </w:rPr>
        <w:t xml:space="preserve"> ± </w:t>
      </w:r>
      <w:r w:rsidR="009C7692">
        <w:rPr>
          <w:i/>
          <w:color w:val="000000"/>
          <w:lang w:eastAsia="en-AU"/>
        </w:rPr>
        <w:t>SE</w:t>
      </w:r>
      <w:r w:rsidRPr="00401A2E">
        <w:rPr>
          <w:i/>
          <w:color w:val="000000"/>
          <w:lang w:eastAsia="en-AU"/>
        </w:rPr>
        <w:t>). Horizontal shaded band on the N:P ratio panel represents the range of value associated with N:P balance ratio in the plant tissues, i.e. a seagrass “Redfield” ratio (</w: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
          <w:color w:val="000000"/>
          <w:lang w:eastAsia="en-AU"/>
        </w:rPr>
        <w:instrText xml:space="preserve"> ADDIN EN.CITE </w:instrText>
      </w:r>
      <w:r w:rsidR="00521D93">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
          <w:color w:val="000000"/>
          <w:lang w:eastAsia="en-AU"/>
        </w:rPr>
        <w:instrText xml:space="preserve"> ADDIN EN.CITE.DATA </w:instrText>
      </w:r>
      <w:r w:rsidR="00521D93">
        <w:rPr>
          <w:i/>
          <w:color w:val="000000"/>
          <w:lang w:eastAsia="en-AU"/>
        </w:rPr>
      </w:r>
      <w:r w:rsidR="00521D93">
        <w:rPr>
          <w:i/>
          <w:color w:val="000000"/>
          <w:lang w:eastAsia="en-AU"/>
        </w:rPr>
        <w:fldChar w:fldCharType="end"/>
      </w:r>
      <w:r w:rsidR="00644A84">
        <w:rPr>
          <w:i/>
          <w:color w:val="000000"/>
          <w:lang w:eastAsia="en-AU"/>
        </w:rPr>
      </w:r>
      <w:r w:rsidR="00644A84">
        <w:rPr>
          <w:i/>
          <w:color w:val="000000"/>
          <w:lang w:eastAsia="en-AU"/>
        </w:rPr>
        <w:fldChar w:fldCharType="separate"/>
      </w:r>
      <w:hyperlink w:anchor="_ENREF_9" w:tooltip="Atkinson, 1983 #6292" w:history="1">
        <w:r w:rsidR="00305FE7">
          <w:rPr>
            <w:i/>
            <w:noProof/>
            <w:color w:val="000000"/>
            <w:lang w:eastAsia="en-AU"/>
          </w:rPr>
          <w:t>Atkinson and Smith 1983</w:t>
        </w:r>
      </w:hyperlink>
      <w:r w:rsidR="00521D93">
        <w:rPr>
          <w:i/>
          <w:noProof/>
          <w:color w:val="000000"/>
          <w:lang w:eastAsia="en-AU"/>
        </w:rPr>
        <w:t xml:space="preserve">; </w:t>
      </w:r>
      <w:hyperlink w:anchor="_ENREF_84" w:tooltip="Duarte, 1990 #1954" w:history="1">
        <w:r w:rsidR="00305FE7">
          <w:rPr>
            <w:i/>
            <w:noProof/>
            <w:color w:val="000000"/>
            <w:lang w:eastAsia="en-AU"/>
          </w:rPr>
          <w:t>Duarte 1990</w:t>
        </w:r>
      </w:hyperlink>
      <w:r w:rsidR="00521D93">
        <w:rPr>
          <w:i/>
          <w:noProof/>
          <w:color w:val="000000"/>
          <w:lang w:eastAsia="en-AU"/>
        </w:rPr>
        <w:t xml:space="preserve">; </w:t>
      </w:r>
      <w:hyperlink w:anchor="_ENREF_100" w:tooltip="Fourqurean, 1992 #9493" w:history="1">
        <w:r w:rsidR="00305FE7">
          <w:rPr>
            <w:i/>
            <w:noProof/>
            <w:color w:val="000000"/>
            <w:lang w:eastAsia="en-AU"/>
          </w:rPr>
          <w:t>Fourqurean et al. 1992b</w:t>
        </w:r>
      </w:hyperlink>
      <w:r w:rsidR="00644A84">
        <w:rPr>
          <w:i/>
          <w:color w:val="000000"/>
          <w:lang w:eastAsia="en-AU"/>
        </w:rPr>
        <w:fldChar w:fldCharType="end"/>
      </w:r>
      <w:r w:rsidRPr="00401A2E">
        <w:rPr>
          <w:i/>
          <w:color w:val="000000"/>
          <w:lang w:eastAsia="en-AU"/>
        </w:rPr>
        <w:t xml:space="preserve">; </w:t>
      </w:r>
      <w:hyperlink w:anchor="_ENREF_94" w:tooltip="Fourqurean, 2001 #9492" w:history="1">
        <w:r w:rsidR="00305FE7">
          <w:rPr>
            <w:i/>
            <w:color w:val="000000"/>
            <w:lang w:eastAsia="en-AU"/>
          </w:rPr>
          <w:fldChar w:fldCharType="begin"/>
        </w:r>
        <w:r w:rsidR="00305FE7">
          <w:rPr>
            <w:i/>
            <w:color w:val="000000"/>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305FE7">
          <w:rPr>
            <w:i/>
            <w:color w:val="000000"/>
            <w:lang w:eastAsia="en-AU"/>
          </w:rPr>
          <w:fldChar w:fldCharType="separate"/>
        </w:r>
        <w:r w:rsidR="00305FE7">
          <w:rPr>
            <w:i/>
            <w:noProof/>
            <w:color w:val="000000"/>
            <w:lang w:eastAsia="en-AU"/>
          </w:rPr>
          <w:t>Fourqurean and Cai 2001</w:t>
        </w:r>
        <w:r w:rsidR="00305FE7">
          <w:rPr>
            <w:i/>
            <w:color w:val="000000"/>
            <w:lang w:eastAsia="en-AU"/>
          </w:rPr>
          <w:fldChar w:fldCharType="end"/>
        </w:r>
      </w:hyperlink>
      <w:r w:rsidRPr="00401A2E">
        <w:rPr>
          <w:i/>
          <w:color w:val="000000"/>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401A2E">
        <w:rPr>
          <w:color w:val="000000"/>
          <w:lang w:eastAsia="en-AU"/>
        </w:rPr>
        <w:t xml:space="preserve"> </w:t>
      </w:r>
    </w:p>
    <w:p w14:paraId="09BE5FB6" w14:textId="4171DEAA" w:rsidR="00F13465" w:rsidRDefault="00F13465" w:rsidP="00906FE6">
      <w:pPr>
        <w:rPr>
          <w:color w:val="000000"/>
          <w:lang w:eastAsia="en-AU"/>
        </w:rPr>
      </w:pPr>
    </w:p>
    <w:p w14:paraId="079B1C2B" w14:textId="77777777" w:rsidR="00F13465" w:rsidRDefault="00F13465" w:rsidP="00F13465">
      <w:pPr>
        <w:pStyle w:val="Heading4"/>
        <w:numPr>
          <w:ilvl w:val="0"/>
          <w:numId w:val="0"/>
        </w:numPr>
        <w:tabs>
          <w:tab w:val="left" w:pos="720"/>
        </w:tabs>
        <w:rPr>
          <w:rFonts w:ascii="Arial" w:hAnsi="Arial" w:cs="Arial"/>
          <w:sz w:val="24"/>
          <w:szCs w:val="24"/>
        </w:rPr>
      </w:pPr>
      <w:r>
        <w:rPr>
          <w:rFonts w:ascii="Arial" w:hAnsi="Arial" w:cs="Arial"/>
          <w:sz w:val="24"/>
          <w:szCs w:val="24"/>
        </w:rPr>
        <w:t>Seagrass meadow sediments</w:t>
      </w:r>
    </w:p>
    <w:p w14:paraId="64944E8C" w14:textId="797CC1CF" w:rsidR="00F13465" w:rsidRPr="00945E1D" w:rsidRDefault="00F13465" w:rsidP="00F13465">
      <w:pPr>
        <w:rPr>
          <w:szCs w:val="22"/>
          <w:lang w:val="en-GB"/>
        </w:rPr>
      </w:pPr>
      <w:r>
        <w:rPr>
          <w:szCs w:val="22"/>
          <w:lang w:val="en-GB"/>
        </w:rPr>
        <w:t>In the Cape York NRM region, r</w:t>
      </w:r>
      <w:r w:rsidRPr="00945E1D">
        <w:rPr>
          <w:szCs w:val="22"/>
          <w:lang w:val="en-GB"/>
        </w:rPr>
        <w:t xml:space="preserve">eef habitats were dominated by sands and coarser sediments, while coastal habitats contained a greater proportion of mud (Appendix </w:t>
      </w:r>
      <w:r>
        <w:rPr>
          <w:szCs w:val="22"/>
          <w:lang w:val="en-GB"/>
        </w:rPr>
        <w:fldChar w:fldCharType="begin"/>
      </w:r>
      <w:r>
        <w:rPr>
          <w:szCs w:val="22"/>
          <w:lang w:val="en-GB"/>
        </w:rPr>
        <w:instrText xml:space="preserve"> REF _Ref511130749 \r \h </w:instrText>
      </w:r>
      <w:r>
        <w:rPr>
          <w:szCs w:val="22"/>
          <w:lang w:val="en-GB"/>
        </w:rPr>
      </w:r>
      <w:r>
        <w:rPr>
          <w:szCs w:val="22"/>
          <w:lang w:val="en-GB"/>
        </w:rPr>
        <w:fldChar w:fldCharType="separate"/>
      </w:r>
      <w:r w:rsidR="00F87DF9">
        <w:rPr>
          <w:szCs w:val="22"/>
          <w:lang w:val="en-GB"/>
        </w:rPr>
        <w:t>A4.2.2</w:t>
      </w:r>
      <w:r>
        <w:rPr>
          <w:szCs w:val="22"/>
          <w:lang w:val="en-GB"/>
        </w:rPr>
        <w:fldChar w:fldCharType="end"/>
      </w:r>
      <w:r w:rsidRPr="00945E1D">
        <w:rPr>
          <w:szCs w:val="22"/>
          <w:lang w:val="en-GB"/>
        </w:rPr>
        <w:t xml:space="preserve">). In </w:t>
      </w:r>
      <w:r w:rsidR="008574EC">
        <w:rPr>
          <w:szCs w:val="22"/>
          <w:lang w:val="en-GB"/>
        </w:rPr>
        <w:t>2016–17</w:t>
      </w:r>
      <w:r w:rsidRPr="00945E1D">
        <w:rPr>
          <w:szCs w:val="22"/>
          <w:lang w:val="en-GB"/>
        </w:rPr>
        <w:t xml:space="preserve">, the proportion of mud in the sediments of reef and coastal habitats (e.g. Stanley Island and Bathurst Bay) adjacent to the Normanby River mouth continued to increase above the </w:t>
      </w:r>
      <w:r w:rsidR="007F6948">
        <w:rPr>
          <w:szCs w:val="22"/>
          <w:lang w:val="en-GB"/>
        </w:rPr>
        <w:t>Great Barrier Reef</w:t>
      </w:r>
      <w:r w:rsidRPr="00945E1D">
        <w:rPr>
          <w:szCs w:val="22"/>
          <w:lang w:val="en-GB"/>
        </w:rPr>
        <w:t xml:space="preserve"> long-term average; </w:t>
      </w:r>
      <w:r>
        <w:rPr>
          <w:szCs w:val="22"/>
          <w:lang w:val="en-GB"/>
        </w:rPr>
        <w:t>conversely,</w:t>
      </w:r>
      <w:r w:rsidRPr="00945E1D">
        <w:rPr>
          <w:szCs w:val="22"/>
          <w:lang w:val="en-GB"/>
        </w:rPr>
        <w:t xml:space="preserve"> reef and coastal habitats to the north and south of the region</w:t>
      </w:r>
      <w:r>
        <w:rPr>
          <w:szCs w:val="22"/>
          <w:lang w:val="en-GB"/>
        </w:rPr>
        <w:t xml:space="preserve"> have negligible mud content </w:t>
      </w:r>
      <w:r w:rsidRPr="00945E1D">
        <w:rPr>
          <w:szCs w:val="22"/>
          <w:lang w:val="en-GB"/>
        </w:rPr>
        <w:t>(</w:t>
      </w:r>
      <w:r>
        <w:rPr>
          <w:szCs w:val="22"/>
          <w:lang w:val="en-GB"/>
        </w:rPr>
        <w:fldChar w:fldCharType="begin"/>
      </w:r>
      <w:r>
        <w:rPr>
          <w:szCs w:val="22"/>
          <w:lang w:val="en-GB"/>
        </w:rPr>
        <w:instrText xml:space="preserve"> REF _Ref511130629 \h </w:instrText>
      </w:r>
      <w:r>
        <w:rPr>
          <w:szCs w:val="22"/>
          <w:lang w:val="en-GB"/>
        </w:rPr>
      </w:r>
      <w:r>
        <w:rPr>
          <w:szCs w:val="22"/>
          <w:lang w:val="en-GB"/>
        </w:rPr>
        <w:fldChar w:fldCharType="separate"/>
      </w:r>
      <w:r w:rsidR="00F87DF9">
        <w:t xml:space="preserve">Figure </w:t>
      </w:r>
      <w:r w:rsidR="00F87DF9">
        <w:rPr>
          <w:noProof/>
        </w:rPr>
        <w:t>168</w:t>
      </w:r>
      <w:r>
        <w:rPr>
          <w:szCs w:val="22"/>
          <w:lang w:val="en-GB"/>
        </w:rPr>
        <w:fldChar w:fldCharType="end"/>
      </w:r>
      <w:r>
        <w:rPr>
          <w:szCs w:val="22"/>
          <w:lang w:val="en-GB"/>
        </w:rPr>
        <w:t xml:space="preserve">, </w:t>
      </w:r>
      <w:r>
        <w:rPr>
          <w:szCs w:val="22"/>
          <w:lang w:val="en-GB"/>
        </w:rPr>
        <w:fldChar w:fldCharType="begin"/>
      </w:r>
      <w:r>
        <w:rPr>
          <w:szCs w:val="22"/>
          <w:lang w:val="en-GB"/>
        </w:rPr>
        <w:instrText xml:space="preserve"> REF _Ref511130634 \h </w:instrText>
      </w:r>
      <w:r>
        <w:rPr>
          <w:szCs w:val="22"/>
          <w:lang w:val="en-GB"/>
        </w:rPr>
      </w:r>
      <w:r>
        <w:rPr>
          <w:szCs w:val="22"/>
          <w:lang w:val="en-GB"/>
        </w:rPr>
        <w:fldChar w:fldCharType="separate"/>
      </w:r>
      <w:r w:rsidR="00F87DF9">
        <w:t xml:space="preserve">Figure </w:t>
      </w:r>
      <w:r w:rsidR="00F87DF9">
        <w:rPr>
          <w:noProof/>
        </w:rPr>
        <w:t>169</w:t>
      </w:r>
      <w:r>
        <w:rPr>
          <w:szCs w:val="22"/>
          <w:lang w:val="en-GB"/>
        </w:rPr>
        <w:fldChar w:fldCharType="end"/>
      </w:r>
      <w:r w:rsidRPr="00945E1D">
        <w:rPr>
          <w:szCs w:val="22"/>
          <w:lang w:val="en-GB"/>
        </w:rPr>
        <w:t>).</w:t>
      </w:r>
    </w:p>
    <w:p w14:paraId="487806C9" w14:textId="77777777" w:rsidR="00F13465" w:rsidRDefault="00F13465" w:rsidP="00906FE6">
      <w:pPr>
        <w:rPr>
          <w:color w:val="000000"/>
          <w:lang w:eastAsia="en-AU"/>
        </w:rPr>
      </w:pPr>
    </w:p>
    <w:p w14:paraId="2F565465" w14:textId="77777777" w:rsidR="00906FE6" w:rsidRPr="004F2236" w:rsidRDefault="00906FE6" w:rsidP="00906FE6">
      <w:pPr>
        <w:pStyle w:val="Heading4"/>
        <w:numPr>
          <w:ilvl w:val="0"/>
          <w:numId w:val="0"/>
        </w:numPr>
        <w:rPr>
          <w:rFonts w:ascii="Arial" w:hAnsi="Arial" w:cs="Arial"/>
          <w:sz w:val="24"/>
          <w:szCs w:val="24"/>
        </w:rPr>
      </w:pPr>
      <w:bookmarkStart w:id="270" w:name="_Toc232845908"/>
      <w:bookmarkStart w:id="271" w:name="_Toc184101976"/>
      <w:r w:rsidRPr="004F2236">
        <w:rPr>
          <w:rFonts w:ascii="Arial" w:hAnsi="Arial" w:cs="Arial"/>
          <w:sz w:val="24"/>
          <w:szCs w:val="24"/>
        </w:rPr>
        <w:t>Epiphytes and macroalgae</w:t>
      </w:r>
      <w:bookmarkEnd w:id="270"/>
      <w:bookmarkEnd w:id="271"/>
    </w:p>
    <w:p w14:paraId="2C423CE1" w14:textId="4CB8093D" w:rsidR="00906FE6" w:rsidRDefault="00906FE6" w:rsidP="00906FE6">
      <w:pPr>
        <w:rPr>
          <w:color w:val="000000" w:themeColor="text1"/>
          <w:szCs w:val="22"/>
          <w:lang w:val="en-US"/>
        </w:rPr>
      </w:pPr>
      <w:r w:rsidRPr="0001518D">
        <w:rPr>
          <w:color w:val="000000" w:themeColor="text1"/>
          <w:szCs w:val="22"/>
          <w:lang w:val="en-US"/>
        </w:rPr>
        <w:t>Epiphyte cover on seagrass leaf blades over the long-term was generally higher in the wet season at coastal habitats and in the dry season at reef habitats (</w:t>
      </w:r>
      <w:r w:rsidRPr="0001518D">
        <w:rPr>
          <w:color w:val="000000" w:themeColor="text1"/>
          <w:szCs w:val="22"/>
          <w:lang w:val="en-US"/>
        </w:rPr>
        <w:fldChar w:fldCharType="begin"/>
      </w:r>
      <w:r w:rsidRPr="0001518D">
        <w:rPr>
          <w:color w:val="000000" w:themeColor="text1"/>
          <w:szCs w:val="22"/>
          <w:lang w:val="en-US"/>
        </w:rPr>
        <w:instrText xml:space="preserve"> REF _Ref380084379 \h  \* MERGEFORMAT </w:instrText>
      </w:r>
      <w:r w:rsidRPr="0001518D">
        <w:rPr>
          <w:color w:val="000000" w:themeColor="text1"/>
          <w:szCs w:val="22"/>
          <w:lang w:val="en-US"/>
        </w:rPr>
      </w:r>
      <w:r w:rsidRPr="000151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44</w:t>
      </w:r>
      <w:r w:rsidRPr="0001518D">
        <w:rPr>
          <w:color w:val="000000" w:themeColor="text1"/>
          <w:szCs w:val="22"/>
          <w:lang w:val="en-US"/>
        </w:rPr>
        <w:fldChar w:fldCharType="end"/>
      </w:r>
      <w:r w:rsidRPr="0001518D">
        <w:rPr>
          <w:color w:val="000000" w:themeColor="text1"/>
          <w:szCs w:val="22"/>
          <w:lang w:val="en-US"/>
        </w:rPr>
        <w:t xml:space="preserve">). During </w:t>
      </w:r>
      <w:r w:rsidR="00F758CA" w:rsidRPr="0001518D">
        <w:rPr>
          <w:color w:val="000000" w:themeColor="text1"/>
          <w:szCs w:val="22"/>
          <w:lang w:val="en-US"/>
        </w:rPr>
        <w:t xml:space="preserve">the </w:t>
      </w:r>
      <w:r w:rsidR="008574EC">
        <w:rPr>
          <w:color w:val="000000" w:themeColor="text1"/>
          <w:szCs w:val="22"/>
          <w:lang w:val="en-US"/>
        </w:rPr>
        <w:t>2016–17</w:t>
      </w:r>
      <w:r w:rsidR="00F758CA" w:rsidRPr="0001518D">
        <w:rPr>
          <w:color w:val="000000" w:themeColor="text1"/>
          <w:szCs w:val="22"/>
          <w:lang w:val="en-US"/>
        </w:rPr>
        <w:t xml:space="preserve"> </w:t>
      </w:r>
      <w:r w:rsidR="00A202F1" w:rsidRPr="0001518D">
        <w:rPr>
          <w:color w:val="000000" w:themeColor="text1"/>
          <w:szCs w:val="22"/>
          <w:lang w:val="en-US"/>
        </w:rPr>
        <w:t>dry season</w:t>
      </w:r>
      <w:r w:rsidRPr="0001518D">
        <w:rPr>
          <w:color w:val="000000" w:themeColor="text1"/>
          <w:szCs w:val="22"/>
          <w:lang w:val="en-US"/>
        </w:rPr>
        <w:t xml:space="preserve">, </w:t>
      </w:r>
      <w:r w:rsidRPr="003B6D57">
        <w:rPr>
          <w:szCs w:val="22"/>
          <w:lang w:val="en-US"/>
        </w:rPr>
        <w:t xml:space="preserve">epiphyte abundances at reef </w:t>
      </w:r>
      <w:r w:rsidR="00BB6EC9" w:rsidRPr="003B6D57">
        <w:rPr>
          <w:szCs w:val="22"/>
          <w:lang w:val="en-US"/>
        </w:rPr>
        <w:t xml:space="preserve">and coastal </w:t>
      </w:r>
      <w:r w:rsidRPr="003B6D57">
        <w:rPr>
          <w:szCs w:val="22"/>
          <w:lang w:val="en-US"/>
        </w:rPr>
        <w:t xml:space="preserve">habitats were </w:t>
      </w:r>
      <w:r w:rsidR="0001518D" w:rsidRPr="003B6D57">
        <w:rPr>
          <w:szCs w:val="22"/>
          <w:lang w:val="en-US"/>
        </w:rPr>
        <w:t>similar to</w:t>
      </w:r>
      <w:r w:rsidRPr="003B6D57">
        <w:rPr>
          <w:szCs w:val="22"/>
          <w:lang w:val="en-US"/>
        </w:rPr>
        <w:t xml:space="preserve"> the </w:t>
      </w:r>
      <w:r w:rsidR="007F6948">
        <w:rPr>
          <w:szCs w:val="22"/>
          <w:lang w:val="en-US"/>
        </w:rPr>
        <w:t>Great Barrier Reef</w:t>
      </w:r>
      <w:r w:rsidRPr="003B6D57">
        <w:rPr>
          <w:szCs w:val="22"/>
          <w:lang w:val="en-US"/>
        </w:rPr>
        <w:t xml:space="preserve"> long-term average</w:t>
      </w:r>
      <w:r w:rsidR="00A202F1" w:rsidRPr="003B6D57">
        <w:rPr>
          <w:szCs w:val="22"/>
          <w:lang w:val="en-US"/>
        </w:rPr>
        <w:t xml:space="preserve">, </w:t>
      </w:r>
      <w:r w:rsidR="0001518D" w:rsidRPr="003B6D57">
        <w:rPr>
          <w:szCs w:val="22"/>
          <w:lang w:val="en-US"/>
        </w:rPr>
        <w:t>and considerably</w:t>
      </w:r>
      <w:r w:rsidR="00A21829" w:rsidRPr="003B6D57">
        <w:rPr>
          <w:szCs w:val="22"/>
          <w:lang w:val="en-US"/>
        </w:rPr>
        <w:t xml:space="preserve"> </w:t>
      </w:r>
      <w:r w:rsidR="00A202F1" w:rsidRPr="003B6D57">
        <w:rPr>
          <w:szCs w:val="22"/>
          <w:lang w:val="en-US"/>
        </w:rPr>
        <w:t xml:space="preserve">lower than </w:t>
      </w:r>
      <w:r w:rsidR="0001518D" w:rsidRPr="003B6D57">
        <w:rPr>
          <w:szCs w:val="22"/>
          <w:lang w:val="en-US"/>
        </w:rPr>
        <w:t xml:space="preserve">in </w:t>
      </w:r>
      <w:r w:rsidR="00A21829" w:rsidRPr="003B6D57">
        <w:rPr>
          <w:szCs w:val="22"/>
          <w:lang w:val="en-US"/>
        </w:rPr>
        <w:t>2009-2012</w:t>
      </w:r>
      <w:r w:rsidRPr="003B6D57">
        <w:rPr>
          <w:szCs w:val="22"/>
          <w:lang w:val="en-US"/>
        </w:rPr>
        <w:t xml:space="preserve"> (</w:t>
      </w:r>
      <w:r w:rsidRPr="003B6D57">
        <w:rPr>
          <w:szCs w:val="22"/>
          <w:lang w:val="en-US"/>
        </w:rPr>
        <w:fldChar w:fldCharType="begin"/>
      </w:r>
      <w:r w:rsidRPr="003B6D57">
        <w:rPr>
          <w:szCs w:val="22"/>
          <w:lang w:val="en-US"/>
        </w:rPr>
        <w:instrText xml:space="preserve"> REF _Ref380084379 \h  \* MERGEFORMAT </w:instrText>
      </w:r>
      <w:r w:rsidRPr="003B6D57">
        <w:rPr>
          <w:szCs w:val="22"/>
          <w:lang w:val="en-US"/>
        </w:rPr>
      </w:r>
      <w:r w:rsidRPr="003B6D57">
        <w:rPr>
          <w:szCs w:val="22"/>
          <w:lang w:val="en-US"/>
        </w:rPr>
        <w:fldChar w:fldCharType="separate"/>
      </w:r>
      <w:r w:rsidR="00F87DF9" w:rsidRPr="00F87DF9">
        <w:rPr>
          <w:szCs w:val="22"/>
        </w:rPr>
        <w:t xml:space="preserve">Figure </w:t>
      </w:r>
      <w:r w:rsidR="00F87DF9" w:rsidRPr="00F87DF9">
        <w:rPr>
          <w:noProof/>
          <w:szCs w:val="22"/>
        </w:rPr>
        <w:t>44</w:t>
      </w:r>
      <w:r w:rsidRPr="003B6D57">
        <w:rPr>
          <w:szCs w:val="22"/>
          <w:lang w:val="en-US"/>
        </w:rPr>
        <w:fldChar w:fldCharType="end"/>
      </w:r>
      <w:r w:rsidRPr="003B6D57">
        <w:rPr>
          <w:szCs w:val="22"/>
          <w:lang w:val="en-US"/>
        </w:rPr>
        <w:t xml:space="preserve">; Appendix </w:t>
      </w:r>
      <w:r w:rsidR="00C80D03" w:rsidRPr="003B6D57">
        <w:rPr>
          <w:szCs w:val="22"/>
          <w:lang w:val="en-US"/>
        </w:rPr>
        <w:t>4</w:t>
      </w:r>
      <w:r w:rsidR="009867A3" w:rsidRPr="003B6D57">
        <w:rPr>
          <w:szCs w:val="22"/>
          <w:lang w:val="en-US"/>
        </w:rPr>
        <w:t xml:space="preserve">, </w:t>
      </w:r>
      <w:r w:rsidRPr="003B6D57">
        <w:rPr>
          <w:szCs w:val="22"/>
          <w:lang w:val="en-US"/>
        </w:rPr>
        <w:fldChar w:fldCharType="begin"/>
      </w:r>
      <w:r w:rsidRPr="003B6D57">
        <w:rPr>
          <w:szCs w:val="22"/>
          <w:lang w:val="en-US"/>
        </w:rPr>
        <w:instrText xml:space="preserve"> REF _Ref382147489 \h </w:instrText>
      </w:r>
      <w:r w:rsidRPr="003B6D57">
        <w:rPr>
          <w:szCs w:val="22"/>
          <w:lang w:val="en-US"/>
        </w:rPr>
      </w:r>
      <w:r w:rsidRPr="003B6D57">
        <w:rPr>
          <w:szCs w:val="22"/>
          <w:lang w:val="en-US"/>
        </w:rPr>
        <w:fldChar w:fldCharType="separate"/>
      </w:r>
      <w:r w:rsidR="00F87DF9" w:rsidRPr="00C86706">
        <w:t xml:space="preserve">Figure </w:t>
      </w:r>
      <w:r w:rsidR="00F87DF9">
        <w:rPr>
          <w:noProof/>
        </w:rPr>
        <w:t>185</w:t>
      </w:r>
      <w:r w:rsidRPr="003B6D57">
        <w:rPr>
          <w:szCs w:val="22"/>
          <w:lang w:val="en-US"/>
        </w:rPr>
        <w:fldChar w:fldCharType="end"/>
      </w:r>
      <w:r w:rsidRPr="003B6D57">
        <w:rPr>
          <w:szCs w:val="22"/>
          <w:lang w:val="en-US"/>
        </w:rPr>
        <w:t>).</w:t>
      </w:r>
      <w:r w:rsidR="00A202F1" w:rsidRPr="003B6D57">
        <w:rPr>
          <w:szCs w:val="22"/>
          <w:lang w:val="en-US"/>
        </w:rPr>
        <w:t xml:space="preserve"> </w:t>
      </w:r>
      <w:r w:rsidRPr="003B6D57">
        <w:rPr>
          <w:szCs w:val="22"/>
          <w:lang w:val="en-US"/>
        </w:rPr>
        <w:t xml:space="preserve">Percentage cover of macroalgae was variable between </w:t>
      </w:r>
      <w:r w:rsidR="00AB5998" w:rsidRPr="003B6D57">
        <w:rPr>
          <w:szCs w:val="22"/>
          <w:lang w:val="en-US"/>
        </w:rPr>
        <w:t>locations</w:t>
      </w:r>
      <w:r w:rsidRPr="003B6D57">
        <w:rPr>
          <w:szCs w:val="22"/>
          <w:lang w:val="en-US"/>
        </w:rPr>
        <w:t xml:space="preserve">, and </w:t>
      </w:r>
      <w:r w:rsidR="00AB5998" w:rsidRPr="003B6D57">
        <w:rPr>
          <w:szCs w:val="22"/>
          <w:lang w:val="en-US"/>
        </w:rPr>
        <w:t>remained</w:t>
      </w:r>
      <w:r w:rsidRPr="003B6D57">
        <w:rPr>
          <w:szCs w:val="22"/>
          <w:lang w:val="en-US"/>
        </w:rPr>
        <w:t xml:space="preserve"> above the </w:t>
      </w:r>
      <w:r w:rsidR="007F6948">
        <w:rPr>
          <w:szCs w:val="22"/>
          <w:lang w:val="en-US"/>
        </w:rPr>
        <w:t>Great Barrier Reef</w:t>
      </w:r>
      <w:r w:rsidRPr="003B6D57">
        <w:rPr>
          <w:szCs w:val="22"/>
          <w:lang w:val="en-US"/>
        </w:rPr>
        <w:t xml:space="preserve"> long-term average for reef habitats </w:t>
      </w:r>
      <w:r w:rsidR="00AB5998" w:rsidRPr="003B6D57">
        <w:rPr>
          <w:szCs w:val="22"/>
          <w:lang w:val="en-US"/>
        </w:rPr>
        <w:t xml:space="preserve">in the central and north of the region </w:t>
      </w:r>
      <w:r w:rsidRPr="003B6D57">
        <w:rPr>
          <w:szCs w:val="22"/>
          <w:lang w:val="en-US"/>
        </w:rPr>
        <w:t xml:space="preserve">throughout </w:t>
      </w:r>
      <w:r w:rsidR="008574EC">
        <w:rPr>
          <w:szCs w:val="22"/>
          <w:lang w:val="en-US"/>
        </w:rPr>
        <w:t>2016–17</w:t>
      </w:r>
      <w:r w:rsidRPr="003B6D57">
        <w:rPr>
          <w:szCs w:val="22"/>
          <w:lang w:val="en-US"/>
        </w:rPr>
        <w:t xml:space="preserve"> (</w:t>
      </w:r>
      <w:r w:rsidRPr="003B6D57">
        <w:rPr>
          <w:szCs w:val="22"/>
          <w:lang w:val="en-US"/>
        </w:rPr>
        <w:fldChar w:fldCharType="begin"/>
      </w:r>
      <w:r w:rsidRPr="003B6D57">
        <w:rPr>
          <w:szCs w:val="22"/>
          <w:lang w:val="en-US"/>
        </w:rPr>
        <w:instrText xml:space="preserve"> REF _Ref380084379 \h  \* MERGEFORMAT </w:instrText>
      </w:r>
      <w:r w:rsidRPr="003B6D57">
        <w:rPr>
          <w:szCs w:val="22"/>
          <w:lang w:val="en-US"/>
        </w:rPr>
      </w:r>
      <w:r w:rsidRPr="003B6D57">
        <w:rPr>
          <w:szCs w:val="22"/>
          <w:lang w:val="en-US"/>
        </w:rPr>
        <w:fldChar w:fldCharType="separate"/>
      </w:r>
      <w:r w:rsidR="00F87DF9" w:rsidRPr="00F87DF9">
        <w:rPr>
          <w:szCs w:val="22"/>
        </w:rPr>
        <w:t xml:space="preserve">Figure </w:t>
      </w:r>
      <w:r w:rsidR="00F87DF9" w:rsidRPr="00F87DF9">
        <w:rPr>
          <w:noProof/>
          <w:szCs w:val="22"/>
        </w:rPr>
        <w:t>44</w:t>
      </w:r>
      <w:r w:rsidRPr="003B6D57">
        <w:rPr>
          <w:szCs w:val="22"/>
          <w:lang w:val="en-US"/>
        </w:rPr>
        <w:fldChar w:fldCharType="end"/>
      </w:r>
      <w:r w:rsidR="00C80D03" w:rsidRPr="003B6D57">
        <w:rPr>
          <w:szCs w:val="22"/>
          <w:lang w:val="en-US"/>
        </w:rPr>
        <w:t>; Appendix 4</w:t>
      </w:r>
      <w:r w:rsidRPr="003B6D57">
        <w:rPr>
          <w:szCs w:val="22"/>
          <w:lang w:val="en-US"/>
        </w:rPr>
        <w:t xml:space="preserve">, </w:t>
      </w:r>
      <w:r w:rsidRPr="003B6D57">
        <w:rPr>
          <w:szCs w:val="22"/>
          <w:lang w:val="en-US"/>
        </w:rPr>
        <w:fldChar w:fldCharType="begin"/>
      </w:r>
      <w:r w:rsidRPr="003B6D57">
        <w:rPr>
          <w:szCs w:val="22"/>
          <w:lang w:val="en-US"/>
        </w:rPr>
        <w:instrText xml:space="preserve"> REF _Ref382147489 \h  \* MERGEFORMAT </w:instrText>
      </w:r>
      <w:r w:rsidRPr="003B6D57">
        <w:rPr>
          <w:szCs w:val="22"/>
          <w:lang w:val="en-US"/>
        </w:rPr>
      </w:r>
      <w:r w:rsidRPr="003B6D57">
        <w:rPr>
          <w:szCs w:val="22"/>
          <w:lang w:val="en-US"/>
        </w:rPr>
        <w:fldChar w:fldCharType="separate"/>
      </w:r>
      <w:r w:rsidR="00F87DF9" w:rsidRPr="00F87DF9">
        <w:rPr>
          <w:szCs w:val="22"/>
        </w:rPr>
        <w:t xml:space="preserve">Figure </w:t>
      </w:r>
      <w:r w:rsidR="00F87DF9" w:rsidRPr="00F87DF9">
        <w:rPr>
          <w:noProof/>
          <w:szCs w:val="22"/>
        </w:rPr>
        <w:t>185</w:t>
      </w:r>
      <w:r w:rsidRPr="003B6D57">
        <w:rPr>
          <w:szCs w:val="22"/>
          <w:lang w:val="en-US"/>
        </w:rPr>
        <w:fldChar w:fldCharType="end"/>
      </w:r>
      <w:r w:rsidRPr="003B6D57">
        <w:rPr>
          <w:szCs w:val="22"/>
          <w:lang w:val="en-US"/>
        </w:rPr>
        <w:t xml:space="preserve">). Macroalgae cover </w:t>
      </w:r>
      <w:r w:rsidR="00EB13D2" w:rsidRPr="003B6D57">
        <w:rPr>
          <w:szCs w:val="22"/>
          <w:lang w:val="en-US"/>
        </w:rPr>
        <w:t xml:space="preserve">at coastal sites has varied little and in </w:t>
      </w:r>
      <w:r w:rsidR="008574EC">
        <w:rPr>
          <w:szCs w:val="22"/>
          <w:lang w:val="en-US"/>
        </w:rPr>
        <w:t>2016–17</w:t>
      </w:r>
      <w:r w:rsidR="00AB5998" w:rsidRPr="003B6D57">
        <w:rPr>
          <w:szCs w:val="22"/>
          <w:lang w:val="en-US"/>
        </w:rPr>
        <w:t xml:space="preserve"> </w:t>
      </w:r>
      <w:r w:rsidR="00EB13D2" w:rsidRPr="003B6D57">
        <w:rPr>
          <w:szCs w:val="22"/>
          <w:lang w:val="en-US"/>
        </w:rPr>
        <w:t>it remained near to</w:t>
      </w:r>
      <w:r w:rsidRPr="003B6D57">
        <w:rPr>
          <w:szCs w:val="22"/>
          <w:lang w:val="en-US"/>
        </w:rPr>
        <w:t xml:space="preserve"> the </w:t>
      </w:r>
      <w:r w:rsidR="007F6948">
        <w:rPr>
          <w:color w:val="000000" w:themeColor="text1"/>
          <w:szCs w:val="22"/>
          <w:lang w:val="en-US"/>
        </w:rPr>
        <w:t>Great Barrier Reef</w:t>
      </w:r>
      <w:r w:rsidRPr="0001518D">
        <w:rPr>
          <w:color w:val="000000" w:themeColor="text1"/>
          <w:szCs w:val="22"/>
          <w:lang w:val="en-US"/>
        </w:rPr>
        <w:t xml:space="preserve"> long-term average (</w:t>
      </w:r>
      <w:r w:rsidRPr="0001518D">
        <w:rPr>
          <w:color w:val="000000" w:themeColor="text1"/>
          <w:szCs w:val="22"/>
          <w:lang w:val="en-US"/>
        </w:rPr>
        <w:fldChar w:fldCharType="begin"/>
      </w:r>
      <w:r w:rsidRPr="0001518D">
        <w:rPr>
          <w:color w:val="000000" w:themeColor="text1"/>
          <w:szCs w:val="22"/>
          <w:lang w:val="en-US"/>
        </w:rPr>
        <w:instrText xml:space="preserve"> REF _Ref380084379 \h  \* MERGEFORMAT </w:instrText>
      </w:r>
      <w:r w:rsidRPr="0001518D">
        <w:rPr>
          <w:color w:val="000000" w:themeColor="text1"/>
          <w:szCs w:val="22"/>
          <w:lang w:val="en-US"/>
        </w:rPr>
      </w:r>
      <w:r w:rsidRPr="000151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44</w:t>
      </w:r>
      <w:r w:rsidRPr="0001518D">
        <w:rPr>
          <w:color w:val="000000" w:themeColor="text1"/>
          <w:szCs w:val="22"/>
          <w:lang w:val="en-US"/>
        </w:rPr>
        <w:fldChar w:fldCharType="end"/>
      </w:r>
      <w:r w:rsidRPr="0001518D">
        <w:rPr>
          <w:color w:val="000000" w:themeColor="text1"/>
          <w:szCs w:val="22"/>
          <w:lang w:val="en-US"/>
        </w:rPr>
        <w:t>).</w:t>
      </w:r>
    </w:p>
    <w:p w14:paraId="6A305EE8" w14:textId="77777777" w:rsidR="00F13465" w:rsidRPr="0001518D" w:rsidRDefault="00F13465" w:rsidP="00906FE6">
      <w:pPr>
        <w:rPr>
          <w:color w:val="000000" w:themeColor="text1"/>
          <w:szCs w:val="22"/>
          <w:lang w:val="en-US"/>
        </w:rPr>
      </w:pPr>
    </w:p>
    <w:p w14:paraId="04265A79" w14:textId="77777777" w:rsidR="00906FE6" w:rsidRPr="008579CD" w:rsidRDefault="00665D56" w:rsidP="008579CD">
      <w:pPr>
        <w:keepNext/>
        <w:widowControl w:val="0"/>
        <w:spacing w:after="0"/>
        <w:jc w:val="center"/>
        <w:rPr>
          <w:szCs w:val="22"/>
          <w:lang w:val="en-US"/>
        </w:rPr>
      </w:pPr>
      <w:bookmarkStart w:id="272" w:name="_Ref211836184"/>
      <w:bookmarkStart w:id="273" w:name="_Toc232845960"/>
      <w:r>
        <w:rPr>
          <w:noProof/>
          <w:szCs w:val="22"/>
          <w:lang w:eastAsia="en-AU"/>
        </w:rPr>
        <w:drawing>
          <wp:inline distT="0" distB="0" distL="0" distR="0" wp14:anchorId="04B88AA4" wp14:editId="1EB42EF1">
            <wp:extent cx="5759450" cy="2107976"/>
            <wp:effectExtent l="0" t="0" r="0" b="6985"/>
            <wp:docPr id="290" name="Picture 290" descr="Set of four scatter plots with straight lines and markers showing long-term trend in mean epiphyte and macroalgae abundance (% cover) at monitoring sites in the Cape York region, relative to the long-term average for each inshore GBR intertidal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CY_epi_algae_change_2016.png"/>
                    <pic:cNvPicPr/>
                  </pic:nvPicPr>
                  <pic:blipFill>
                    <a:blip r:embed="rId81">
                      <a:extLst>
                        <a:ext uri="{28A0092B-C50C-407E-A947-70E740481C1C}">
                          <a14:useLocalDpi xmlns:a14="http://schemas.microsoft.com/office/drawing/2010/main" val="0"/>
                        </a:ext>
                      </a:extLst>
                    </a:blip>
                    <a:stretch>
                      <a:fillRect/>
                    </a:stretch>
                  </pic:blipFill>
                  <pic:spPr>
                    <a:xfrm>
                      <a:off x="0" y="0"/>
                      <a:ext cx="5759450" cy="2107976"/>
                    </a:xfrm>
                    <a:prstGeom prst="rect">
                      <a:avLst/>
                    </a:prstGeom>
                  </pic:spPr>
                </pic:pic>
              </a:graphicData>
            </a:graphic>
          </wp:inline>
        </w:drawing>
      </w:r>
    </w:p>
    <w:p w14:paraId="4E697DCE" w14:textId="4B475488" w:rsidR="00906FE6" w:rsidRPr="008579CD" w:rsidRDefault="00906FE6" w:rsidP="00906FE6">
      <w:pPr>
        <w:rPr>
          <w:i/>
          <w:vanish/>
          <w:szCs w:val="22"/>
          <w:specVanish/>
        </w:rPr>
      </w:pPr>
      <w:bookmarkStart w:id="274" w:name="_Ref380084379"/>
      <w:bookmarkStart w:id="275" w:name="_Toc431493834"/>
      <w:bookmarkStart w:id="276" w:name="_Toc516053254"/>
      <w:r w:rsidRPr="008579CD">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44</w:t>
      </w:r>
      <w:r w:rsidR="00C506C7">
        <w:rPr>
          <w:noProof/>
        </w:rPr>
        <w:fldChar w:fldCharType="end"/>
      </w:r>
      <w:bookmarkEnd w:id="272"/>
      <w:bookmarkEnd w:id="274"/>
      <w:r w:rsidRPr="008579CD">
        <w:t xml:space="preserve">. </w:t>
      </w:r>
      <w:bookmarkEnd w:id="273"/>
      <w:r w:rsidRPr="008579CD">
        <w:rPr>
          <w:i/>
        </w:rPr>
        <w:t>Long-term trend in mean epiphyte and macroalgae abundance (</w:t>
      </w:r>
      <w:r w:rsidR="0063478C">
        <w:rPr>
          <w:i/>
        </w:rPr>
        <w:t xml:space="preserve"> per cent</w:t>
      </w:r>
      <w:r w:rsidRPr="008579CD">
        <w:rPr>
          <w:i/>
        </w:rPr>
        <w:t xml:space="preserve"> cover) </w:t>
      </w:r>
      <w:r w:rsidR="00F758CA" w:rsidRPr="008579CD">
        <w:rPr>
          <w:i/>
        </w:rPr>
        <w:t xml:space="preserve">at monitoring sites in the Cape York region, </w:t>
      </w:r>
      <w:r w:rsidRPr="008579CD">
        <w:rPr>
          <w:i/>
        </w:rPr>
        <w:t xml:space="preserve">relative to the long-term average for each inshore </w:t>
      </w:r>
      <w:r w:rsidR="007F6948">
        <w:rPr>
          <w:i/>
        </w:rPr>
        <w:t>Great Barrier Reef</w:t>
      </w:r>
      <w:r w:rsidRPr="008579CD">
        <w:rPr>
          <w:i/>
        </w:rPr>
        <w:t xml:space="preserve"> intertidal seagrass habitat</w:t>
      </w:r>
      <w:bookmarkEnd w:id="275"/>
      <w:bookmarkEnd w:id="276"/>
      <w:r w:rsidRPr="008579CD">
        <w:rPr>
          <w:i/>
        </w:rPr>
        <w:t xml:space="preserve"> </w:t>
      </w:r>
    </w:p>
    <w:p w14:paraId="400C1F9D" w14:textId="201FB0EA" w:rsidR="00906FE6" w:rsidRDefault="00906FE6" w:rsidP="00906FE6">
      <w:pPr>
        <w:rPr>
          <w:i/>
        </w:rPr>
      </w:pPr>
      <w:r w:rsidRPr="008579CD">
        <w:rPr>
          <w:i/>
        </w:rPr>
        <w:t xml:space="preserve"> (sites pooled, ±SE). </w:t>
      </w:r>
    </w:p>
    <w:p w14:paraId="7AD2C171" w14:textId="77777777" w:rsidR="00F13465" w:rsidRDefault="00F13465" w:rsidP="00906FE6">
      <w:pPr>
        <w:rPr>
          <w:i/>
        </w:rPr>
      </w:pPr>
    </w:p>
    <w:p w14:paraId="2C25AF0A" w14:textId="0C0FDECA" w:rsidR="000C1668" w:rsidRPr="00BD0604" w:rsidRDefault="000C1668" w:rsidP="00926892">
      <w:pPr>
        <w:pStyle w:val="Heading3"/>
        <w:numPr>
          <w:ilvl w:val="2"/>
          <w:numId w:val="9"/>
        </w:numPr>
        <w:rPr>
          <w:rFonts w:ascii="Arial" w:hAnsi="Arial" w:cs="Arial"/>
          <w:color w:val="000000"/>
        </w:rPr>
      </w:pPr>
      <w:bookmarkStart w:id="277" w:name="_Toc516053142"/>
      <w:r w:rsidRPr="000C1668">
        <w:rPr>
          <w:rFonts w:ascii="Arial" w:hAnsi="Arial" w:cs="Arial"/>
          <w:color w:val="000000"/>
        </w:rPr>
        <w:t xml:space="preserve">Report card for </w:t>
      </w:r>
      <w:r w:rsidR="00145B89">
        <w:rPr>
          <w:rFonts w:ascii="Arial" w:hAnsi="Arial" w:cs="Arial"/>
          <w:color w:val="000000"/>
        </w:rPr>
        <w:t xml:space="preserve">inshore </w:t>
      </w:r>
      <w:r w:rsidRPr="000C1668">
        <w:rPr>
          <w:rFonts w:ascii="Arial" w:hAnsi="Arial" w:cs="Arial"/>
          <w:color w:val="000000"/>
        </w:rPr>
        <w:t>seagrass status</w:t>
      </w:r>
      <w:bookmarkEnd w:id="277"/>
      <w:r w:rsidRPr="000C1668">
        <w:rPr>
          <w:rFonts w:ascii="Arial" w:hAnsi="Arial" w:cs="Arial"/>
          <w:color w:val="000000"/>
        </w:rPr>
        <w:t xml:space="preserve"> </w:t>
      </w:r>
    </w:p>
    <w:p w14:paraId="3CB8E6C7" w14:textId="764DF41D" w:rsidR="00AB5998" w:rsidRDefault="00A17790" w:rsidP="00F4530D">
      <w:pPr>
        <w:rPr>
          <w:color w:val="000000" w:themeColor="text1"/>
          <w:lang w:val="en-GB"/>
        </w:rPr>
      </w:pPr>
      <w:r w:rsidRPr="002A6A64">
        <w:rPr>
          <w:color w:val="000000" w:themeColor="text1"/>
          <w:lang w:val="en-GB"/>
        </w:rPr>
        <w:t xml:space="preserve">In the </w:t>
      </w:r>
      <w:r w:rsidR="008574EC">
        <w:rPr>
          <w:color w:val="000000" w:themeColor="text1"/>
          <w:lang w:val="en-GB"/>
        </w:rPr>
        <w:t>2016–17</w:t>
      </w:r>
      <w:r w:rsidRPr="002A6A64">
        <w:rPr>
          <w:color w:val="000000" w:themeColor="text1"/>
          <w:lang w:val="en-GB"/>
        </w:rPr>
        <w:t xml:space="preserve"> monitoring period, the seagr</w:t>
      </w:r>
      <w:r w:rsidR="00952F47" w:rsidRPr="002A6A64">
        <w:rPr>
          <w:color w:val="000000" w:themeColor="text1"/>
          <w:lang w:val="en-GB"/>
        </w:rPr>
        <w:t xml:space="preserve">ass index for Cape York region </w:t>
      </w:r>
      <w:r w:rsidR="002A6A64" w:rsidRPr="002A6A64">
        <w:rPr>
          <w:color w:val="000000" w:themeColor="text1"/>
          <w:lang w:val="en-GB"/>
        </w:rPr>
        <w:t>has reduced slightly since</w:t>
      </w:r>
      <w:r w:rsidRPr="002A6A64">
        <w:rPr>
          <w:color w:val="000000" w:themeColor="text1"/>
          <w:lang w:val="en-GB"/>
        </w:rPr>
        <w:t xml:space="preserve"> the previous </w:t>
      </w:r>
      <w:r w:rsidR="002A6A64" w:rsidRPr="002A6A64">
        <w:rPr>
          <w:color w:val="000000" w:themeColor="text1"/>
          <w:lang w:val="en-GB"/>
        </w:rPr>
        <w:t xml:space="preserve">monitoring </w:t>
      </w:r>
      <w:r w:rsidRPr="002A6A64">
        <w:rPr>
          <w:color w:val="000000" w:themeColor="text1"/>
          <w:lang w:val="en-GB"/>
        </w:rPr>
        <w:t>period</w:t>
      </w:r>
      <w:r w:rsidR="002A6A64" w:rsidRPr="002A6A64">
        <w:rPr>
          <w:color w:val="000000" w:themeColor="text1"/>
          <w:lang w:val="en-GB"/>
        </w:rPr>
        <w:t xml:space="preserve"> but remains moderate overall</w:t>
      </w:r>
      <w:r w:rsidR="00952F47" w:rsidRPr="002A6A64">
        <w:rPr>
          <w:color w:val="000000" w:themeColor="text1"/>
          <w:lang w:val="en-GB"/>
        </w:rPr>
        <w:t xml:space="preserve"> (</w:t>
      </w:r>
      <w:r w:rsidR="00952F47" w:rsidRPr="002A6A64">
        <w:rPr>
          <w:color w:val="000000" w:themeColor="text1"/>
          <w:lang w:val="en-GB"/>
        </w:rPr>
        <w:fldChar w:fldCharType="begin"/>
      </w:r>
      <w:r w:rsidR="00952F47" w:rsidRPr="002A6A64">
        <w:rPr>
          <w:color w:val="000000" w:themeColor="text1"/>
          <w:lang w:val="en-GB"/>
        </w:rPr>
        <w:instrText xml:space="preserve"> REF _Ref382198976 \h </w:instrText>
      </w:r>
      <w:r w:rsidR="00952F47" w:rsidRPr="002A6A64">
        <w:rPr>
          <w:color w:val="000000" w:themeColor="text1"/>
          <w:lang w:val="en-GB"/>
        </w:rPr>
      </w:r>
      <w:r w:rsidR="00952F47" w:rsidRPr="002A6A64">
        <w:rPr>
          <w:color w:val="000000" w:themeColor="text1"/>
          <w:lang w:val="en-GB"/>
        </w:rPr>
        <w:fldChar w:fldCharType="separate"/>
      </w:r>
      <w:r w:rsidR="00F87DF9" w:rsidRPr="00115153">
        <w:rPr>
          <w:color w:val="000000"/>
        </w:rPr>
        <w:t xml:space="preserve">Table </w:t>
      </w:r>
      <w:r w:rsidR="00F87DF9">
        <w:rPr>
          <w:noProof/>
          <w:color w:val="000000"/>
        </w:rPr>
        <w:t>15</w:t>
      </w:r>
      <w:r w:rsidR="00952F47" w:rsidRPr="002A6A64">
        <w:rPr>
          <w:color w:val="000000" w:themeColor="text1"/>
          <w:lang w:val="en-GB"/>
        </w:rPr>
        <w:fldChar w:fldCharType="end"/>
      </w:r>
      <w:r w:rsidR="00952F47" w:rsidRPr="002A6A64">
        <w:rPr>
          <w:color w:val="000000" w:themeColor="text1"/>
          <w:lang w:val="en-GB"/>
        </w:rPr>
        <w:t>)</w:t>
      </w:r>
      <w:r w:rsidRPr="002A6A64">
        <w:rPr>
          <w:color w:val="000000" w:themeColor="text1"/>
          <w:lang w:val="en-GB"/>
        </w:rPr>
        <w:t xml:space="preserve">. The </w:t>
      </w:r>
      <w:r w:rsidR="002A6A64" w:rsidRPr="002A6A64">
        <w:rPr>
          <w:color w:val="000000" w:themeColor="text1"/>
          <w:lang w:val="en-GB"/>
        </w:rPr>
        <w:t>reduction is due</w:t>
      </w:r>
      <w:r w:rsidRPr="002A6A64">
        <w:rPr>
          <w:color w:val="000000" w:themeColor="text1"/>
          <w:lang w:val="en-GB"/>
        </w:rPr>
        <w:t xml:space="preserve"> </w:t>
      </w:r>
      <w:r w:rsidR="002A6A64" w:rsidRPr="002A6A64">
        <w:rPr>
          <w:color w:val="000000" w:themeColor="text1"/>
          <w:lang w:val="en-GB"/>
        </w:rPr>
        <w:t>lower abundance</w:t>
      </w:r>
      <w:r w:rsidR="00681768">
        <w:rPr>
          <w:color w:val="000000" w:themeColor="text1"/>
          <w:lang w:val="en-GB"/>
        </w:rPr>
        <w:t xml:space="preserve"> at coastal subtidal and reef intertidal sites</w:t>
      </w:r>
      <w:r w:rsidR="002A6A64" w:rsidRPr="002A6A64">
        <w:rPr>
          <w:color w:val="000000" w:themeColor="text1"/>
          <w:lang w:val="en-GB"/>
        </w:rPr>
        <w:t xml:space="preserve">, </w:t>
      </w:r>
      <w:r w:rsidR="002A362B" w:rsidRPr="002A6A64">
        <w:rPr>
          <w:color w:val="000000" w:themeColor="text1"/>
          <w:lang w:val="en-GB"/>
        </w:rPr>
        <w:t>but this</w:t>
      </w:r>
      <w:r w:rsidR="00952F47" w:rsidRPr="002A6A64">
        <w:rPr>
          <w:color w:val="000000" w:themeColor="text1"/>
          <w:lang w:val="en-GB"/>
        </w:rPr>
        <w:t xml:space="preserve"> was offset to a degree by </w:t>
      </w:r>
      <w:r w:rsidR="002A6A64" w:rsidRPr="002A6A64">
        <w:rPr>
          <w:color w:val="000000" w:themeColor="text1"/>
          <w:lang w:val="en-GB"/>
        </w:rPr>
        <w:t>improvements in leaf tissue nutrients</w:t>
      </w:r>
      <w:r w:rsidRPr="002A6A64">
        <w:rPr>
          <w:color w:val="000000" w:themeColor="text1"/>
          <w:lang w:val="en-GB"/>
        </w:rPr>
        <w:t>. Overall, the Cape York seagrass index remains well below the 2005-06 baseline</w:t>
      </w:r>
      <w:r w:rsidR="00B35DE3">
        <w:rPr>
          <w:color w:val="000000" w:themeColor="text1"/>
          <w:lang w:val="en-GB"/>
        </w:rPr>
        <w:t xml:space="preserve"> but has the second highest score since the addition of new sites in 2012 and 2013</w:t>
      </w:r>
      <w:r w:rsidRPr="002A6A64">
        <w:rPr>
          <w:color w:val="000000" w:themeColor="text1"/>
          <w:lang w:val="en-GB"/>
        </w:rPr>
        <w:t>.</w:t>
      </w:r>
    </w:p>
    <w:p w14:paraId="0EA03590" w14:textId="677AFA31" w:rsidR="00F13465" w:rsidRDefault="00F13465" w:rsidP="00F4530D">
      <w:pPr>
        <w:rPr>
          <w:color w:val="000000" w:themeColor="text1"/>
          <w:lang w:val="en-GB"/>
        </w:rPr>
      </w:pPr>
    </w:p>
    <w:p w14:paraId="73DD21C2" w14:textId="6B2B6095" w:rsidR="00F13465" w:rsidRDefault="00F13465" w:rsidP="00F4530D">
      <w:pPr>
        <w:rPr>
          <w:color w:val="000000" w:themeColor="text1"/>
          <w:lang w:val="en-GB"/>
        </w:rPr>
      </w:pPr>
    </w:p>
    <w:p w14:paraId="7A2521BF" w14:textId="77777777" w:rsidR="00F13465" w:rsidRPr="002A6A64" w:rsidRDefault="00F13465" w:rsidP="00F4530D">
      <w:pPr>
        <w:rPr>
          <w:color w:val="000000" w:themeColor="text1"/>
          <w:lang w:val="en-GB"/>
        </w:rPr>
      </w:pPr>
    </w:p>
    <w:p w14:paraId="3EF8DC59" w14:textId="3BA27ED9" w:rsidR="00115153" w:rsidRPr="00115153" w:rsidRDefault="00115153" w:rsidP="00115153">
      <w:pPr>
        <w:jc w:val="center"/>
        <w:rPr>
          <w:i/>
          <w:vanish/>
          <w:szCs w:val="22"/>
          <w:specVanish/>
        </w:rPr>
      </w:pPr>
      <w:bookmarkStart w:id="278" w:name="_Ref382198976"/>
      <w:bookmarkStart w:id="279" w:name="_Toc431494027"/>
      <w:bookmarkStart w:id="280" w:name="_Toc516053439"/>
      <w:bookmarkStart w:id="281" w:name="_Toc175991066"/>
      <w:bookmarkStart w:id="282" w:name="_Toc232845911"/>
      <w:bookmarkStart w:id="283" w:name="_Toc184101981"/>
      <w:bookmarkStart w:id="284" w:name="_Toc431493763"/>
      <w:r w:rsidRPr="00115153">
        <w:rPr>
          <w:color w:val="000000"/>
        </w:rPr>
        <w:t xml:space="preserve">Table </w:t>
      </w:r>
      <w:r w:rsidRPr="00115153">
        <w:rPr>
          <w:color w:val="000000"/>
        </w:rPr>
        <w:fldChar w:fldCharType="begin"/>
      </w:r>
      <w:r w:rsidRPr="00115153">
        <w:rPr>
          <w:color w:val="000000"/>
        </w:rPr>
        <w:instrText xml:space="preserve"> SEQ Table \* ARABIC </w:instrText>
      </w:r>
      <w:r w:rsidRPr="00115153">
        <w:rPr>
          <w:color w:val="000000"/>
        </w:rPr>
        <w:fldChar w:fldCharType="separate"/>
      </w:r>
      <w:r w:rsidR="00F87DF9">
        <w:rPr>
          <w:noProof/>
          <w:color w:val="000000"/>
        </w:rPr>
        <w:t>15</w:t>
      </w:r>
      <w:r w:rsidRPr="00115153">
        <w:rPr>
          <w:color w:val="000000"/>
        </w:rPr>
        <w:fldChar w:fldCharType="end"/>
      </w:r>
      <w:bookmarkEnd w:id="278"/>
      <w:r w:rsidRPr="00115153">
        <w:rPr>
          <w:color w:val="000000"/>
        </w:rPr>
        <w:t xml:space="preserve">. </w:t>
      </w:r>
      <w:r w:rsidRPr="00115153">
        <w:rPr>
          <w:i/>
          <w:color w:val="000000"/>
        </w:rPr>
        <w:t xml:space="preserve">Long-term report card scores for seagrass abundance, reproductive and leaf tissue nutrient </w:t>
      </w:r>
      <w:r w:rsidRPr="00115153">
        <w:rPr>
          <w:i/>
        </w:rPr>
        <w:t>status for each habitat in the Cape York NRM region: June 2005 – May 2017.</w:t>
      </w:r>
      <w:bookmarkEnd w:id="279"/>
      <w:bookmarkEnd w:id="280"/>
      <w:r w:rsidRPr="00115153">
        <w:rPr>
          <w:i/>
        </w:rPr>
        <w:t xml:space="preserve"> </w:t>
      </w:r>
    </w:p>
    <w:p w14:paraId="6C2A0E3B" w14:textId="77777777" w:rsidR="00115153" w:rsidRPr="00115153" w:rsidRDefault="00115153" w:rsidP="00115153">
      <w:pPr>
        <w:pStyle w:val="ListParagraph"/>
        <w:numPr>
          <w:ilvl w:val="0"/>
          <w:numId w:val="9"/>
        </w:numPr>
        <w:jc w:val="center"/>
        <w:rPr>
          <w:color w:val="000000"/>
        </w:rPr>
      </w:pPr>
      <w:r w:rsidRPr="00115153">
        <w:rPr>
          <w:i/>
          <w:szCs w:val="22"/>
        </w:rPr>
        <w:t xml:space="preserve">Values are indexed scores scaled from 0-100; </w:t>
      </w:r>
      <w:r w:rsidRPr="00115153">
        <w:rPr>
          <w:rFonts w:ascii="Arial" w:hAnsi="Arial" w:cs="Arial"/>
          <w:i/>
          <w:color w:val="008000"/>
          <w:szCs w:val="22"/>
        </w:rPr>
        <w:t>■</w:t>
      </w:r>
      <w:r w:rsidRPr="00115153">
        <w:rPr>
          <w:rFonts w:cs="Arial"/>
          <w:i/>
          <w:color w:val="008000"/>
          <w:szCs w:val="22"/>
        </w:rPr>
        <w:t> </w:t>
      </w:r>
      <w:r w:rsidRPr="00115153">
        <w:rPr>
          <w:i/>
          <w:szCs w:val="22"/>
        </w:rPr>
        <w:t xml:space="preserve">= very good (81-100), </w:t>
      </w:r>
      <w:r w:rsidRPr="00115153">
        <w:rPr>
          <w:rFonts w:ascii="Arial" w:hAnsi="Arial" w:cs="Arial"/>
          <w:i/>
          <w:color w:val="92D050"/>
          <w:szCs w:val="22"/>
        </w:rPr>
        <w:t>■</w:t>
      </w:r>
      <w:r w:rsidRPr="00115153">
        <w:rPr>
          <w:i/>
          <w:szCs w:val="22"/>
        </w:rPr>
        <w:t xml:space="preserve"> = good (61 - 80), </w:t>
      </w:r>
      <w:r w:rsidRPr="00115153">
        <w:rPr>
          <w:rFonts w:ascii="Arial" w:hAnsi="Arial" w:cs="Arial"/>
          <w:i/>
          <w:color w:val="FFFF00"/>
          <w:szCs w:val="22"/>
        </w:rPr>
        <w:t>■</w:t>
      </w:r>
      <w:r w:rsidRPr="00115153">
        <w:rPr>
          <w:i/>
          <w:szCs w:val="22"/>
        </w:rPr>
        <w:t xml:space="preserve"> = moderate (41 - 60), </w:t>
      </w:r>
      <w:r w:rsidRPr="00115153">
        <w:rPr>
          <w:rFonts w:ascii="Arial" w:hAnsi="Arial" w:cs="Arial"/>
          <w:i/>
          <w:color w:val="FFC000"/>
          <w:szCs w:val="22"/>
        </w:rPr>
        <w:t>■</w:t>
      </w:r>
      <w:r w:rsidRPr="00115153">
        <w:rPr>
          <w:i/>
          <w:szCs w:val="22"/>
        </w:rPr>
        <w:t xml:space="preserve"> = poor (21 - 40), </w:t>
      </w:r>
      <w:r w:rsidRPr="00115153">
        <w:rPr>
          <w:rFonts w:ascii="Arial" w:hAnsi="Arial" w:cs="Arial"/>
          <w:i/>
          <w:color w:val="FF0000"/>
          <w:szCs w:val="22"/>
        </w:rPr>
        <w:t>■</w:t>
      </w:r>
      <w:r w:rsidRPr="00115153">
        <w:rPr>
          <w:i/>
          <w:szCs w:val="22"/>
        </w:rPr>
        <w:t> = very poor (0 - 20).</w:t>
      </w:r>
      <w:r w:rsidRPr="00115153">
        <w:rPr>
          <w:i/>
          <w:color w:val="000000"/>
        </w:rPr>
        <w:t xml:space="preserve"> </w:t>
      </w:r>
      <w:r w:rsidRPr="00115153">
        <w:rPr>
          <w:i/>
          <w:szCs w:val="22"/>
        </w:rPr>
        <w:t>NB: Scores are unitless.</w:t>
      </w:r>
    </w:p>
    <w:tbl>
      <w:tblPr>
        <w:tblW w:w="7987"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14"/>
        <w:gridCol w:w="1567"/>
        <w:gridCol w:w="422"/>
        <w:gridCol w:w="422"/>
        <w:gridCol w:w="422"/>
        <w:gridCol w:w="422"/>
        <w:gridCol w:w="422"/>
        <w:gridCol w:w="422"/>
        <w:gridCol w:w="422"/>
        <w:gridCol w:w="422"/>
        <w:gridCol w:w="422"/>
        <w:gridCol w:w="422"/>
        <w:gridCol w:w="422"/>
        <w:gridCol w:w="464"/>
      </w:tblGrid>
      <w:tr w:rsidR="00115153" w:rsidRPr="00EC364C" w14:paraId="66F0A337" w14:textId="77777777" w:rsidTr="00121CDB">
        <w:trPr>
          <w:cantSplit/>
          <w:trHeight w:val="746"/>
          <w:jc w:val="center"/>
        </w:trPr>
        <w:tc>
          <w:tcPr>
            <w:tcW w:w="1314" w:type="dxa"/>
            <w:tcBorders>
              <w:top w:val="single" w:sz="4" w:space="0" w:color="000000"/>
              <w:bottom w:val="single" w:sz="4" w:space="0" w:color="auto"/>
            </w:tcBorders>
            <w:shd w:val="clear" w:color="auto" w:fill="auto"/>
            <w:vAlign w:val="center"/>
          </w:tcPr>
          <w:p w14:paraId="2470EDB6" w14:textId="77777777" w:rsidR="00115153" w:rsidRPr="00EC364C"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Indicator</w:t>
            </w:r>
          </w:p>
        </w:tc>
        <w:tc>
          <w:tcPr>
            <w:tcW w:w="1567" w:type="dxa"/>
            <w:tcBorders>
              <w:top w:val="single" w:sz="4" w:space="0" w:color="000000"/>
              <w:bottom w:val="single" w:sz="4" w:space="0" w:color="auto"/>
            </w:tcBorders>
            <w:shd w:val="clear" w:color="auto" w:fill="auto"/>
            <w:noWrap/>
            <w:vAlign w:val="center"/>
          </w:tcPr>
          <w:p w14:paraId="1B5C37C3" w14:textId="77777777" w:rsidR="00115153" w:rsidRPr="00EC364C" w:rsidRDefault="00115153" w:rsidP="00907D11">
            <w:pPr>
              <w:spacing w:before="0" w:after="0" w:line="200" w:lineRule="exact"/>
              <w:ind w:left="-57" w:right="-57"/>
              <w:jc w:val="center"/>
              <w:rPr>
                <w:b/>
                <w:color w:val="000000"/>
                <w:sz w:val="20"/>
                <w:szCs w:val="20"/>
                <w:lang w:eastAsia="en-AU"/>
              </w:rPr>
            </w:pPr>
            <w:r w:rsidRPr="00EC364C">
              <w:rPr>
                <w:b/>
                <w:color w:val="000000"/>
                <w:sz w:val="20"/>
                <w:szCs w:val="20"/>
                <w:lang w:eastAsia="en-AU"/>
              </w:rPr>
              <w:t>Habitat</w:t>
            </w:r>
          </w:p>
        </w:tc>
        <w:tc>
          <w:tcPr>
            <w:tcW w:w="422" w:type="dxa"/>
            <w:tcBorders>
              <w:top w:val="single" w:sz="4" w:space="0" w:color="000000"/>
              <w:bottom w:val="single" w:sz="4" w:space="0" w:color="auto"/>
            </w:tcBorders>
            <w:shd w:val="clear" w:color="auto" w:fill="auto"/>
            <w:textDirection w:val="btLr"/>
            <w:vAlign w:val="center"/>
          </w:tcPr>
          <w:p w14:paraId="3BD3E2BF"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422" w:type="dxa"/>
            <w:tcBorders>
              <w:top w:val="single" w:sz="4" w:space="0" w:color="000000"/>
              <w:bottom w:val="single" w:sz="4" w:space="0" w:color="auto"/>
            </w:tcBorders>
            <w:shd w:val="clear" w:color="auto" w:fill="auto"/>
            <w:textDirection w:val="btLr"/>
            <w:vAlign w:val="center"/>
          </w:tcPr>
          <w:p w14:paraId="4AAE87FC"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422" w:type="dxa"/>
            <w:tcBorders>
              <w:top w:val="single" w:sz="4" w:space="0" w:color="000000"/>
              <w:bottom w:val="single" w:sz="4" w:space="0" w:color="auto"/>
            </w:tcBorders>
            <w:shd w:val="clear" w:color="auto" w:fill="auto"/>
            <w:textDirection w:val="btLr"/>
            <w:vAlign w:val="center"/>
          </w:tcPr>
          <w:p w14:paraId="24A3BD25"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422" w:type="dxa"/>
            <w:tcBorders>
              <w:top w:val="single" w:sz="4" w:space="0" w:color="000000"/>
              <w:bottom w:val="single" w:sz="4" w:space="0" w:color="auto"/>
            </w:tcBorders>
            <w:shd w:val="clear" w:color="auto" w:fill="auto"/>
            <w:textDirection w:val="btLr"/>
            <w:vAlign w:val="center"/>
          </w:tcPr>
          <w:p w14:paraId="389BEBD0"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422" w:type="dxa"/>
            <w:tcBorders>
              <w:top w:val="single" w:sz="4" w:space="0" w:color="000000"/>
              <w:bottom w:val="single" w:sz="4" w:space="0" w:color="auto"/>
            </w:tcBorders>
            <w:shd w:val="clear" w:color="auto" w:fill="auto"/>
            <w:textDirection w:val="btLr"/>
            <w:vAlign w:val="center"/>
          </w:tcPr>
          <w:p w14:paraId="50B26D51"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422" w:type="dxa"/>
            <w:tcBorders>
              <w:top w:val="single" w:sz="4" w:space="0" w:color="000000"/>
              <w:bottom w:val="single" w:sz="4" w:space="0" w:color="auto"/>
            </w:tcBorders>
            <w:shd w:val="clear" w:color="auto" w:fill="auto"/>
            <w:textDirection w:val="btLr"/>
            <w:vAlign w:val="center"/>
          </w:tcPr>
          <w:p w14:paraId="6818A5B3"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422" w:type="dxa"/>
            <w:tcBorders>
              <w:top w:val="single" w:sz="4" w:space="0" w:color="000000"/>
              <w:bottom w:val="single" w:sz="4" w:space="0" w:color="auto"/>
            </w:tcBorders>
            <w:shd w:val="clear" w:color="auto" w:fill="auto"/>
            <w:textDirection w:val="btLr"/>
            <w:vAlign w:val="center"/>
          </w:tcPr>
          <w:p w14:paraId="1499A5BD"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422" w:type="dxa"/>
            <w:tcBorders>
              <w:top w:val="single" w:sz="4" w:space="0" w:color="000000"/>
              <w:bottom w:val="single" w:sz="4" w:space="0" w:color="auto"/>
            </w:tcBorders>
            <w:textDirection w:val="btLr"/>
            <w:vAlign w:val="center"/>
          </w:tcPr>
          <w:p w14:paraId="6577F1BD"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2012-13</w:t>
            </w:r>
          </w:p>
        </w:tc>
        <w:tc>
          <w:tcPr>
            <w:tcW w:w="422" w:type="dxa"/>
            <w:tcBorders>
              <w:top w:val="single" w:sz="4" w:space="0" w:color="000000"/>
              <w:bottom w:val="single" w:sz="4" w:space="0" w:color="auto"/>
            </w:tcBorders>
            <w:textDirection w:val="btLr"/>
            <w:vAlign w:val="center"/>
          </w:tcPr>
          <w:p w14:paraId="4581D4B3" w14:textId="77777777" w:rsidR="00115153" w:rsidRPr="00EC364C" w:rsidRDefault="00115153" w:rsidP="00907D11">
            <w:pPr>
              <w:spacing w:before="0" w:after="0" w:line="200" w:lineRule="exact"/>
              <w:ind w:left="-57" w:right="-57"/>
              <w:jc w:val="center"/>
              <w:rPr>
                <w:b/>
                <w:color w:val="000000"/>
                <w:sz w:val="16"/>
                <w:szCs w:val="16"/>
                <w:lang w:eastAsia="en-AU"/>
              </w:rPr>
            </w:pPr>
            <w:r w:rsidRPr="00EC364C">
              <w:rPr>
                <w:b/>
                <w:color w:val="000000"/>
                <w:sz w:val="16"/>
                <w:szCs w:val="16"/>
                <w:lang w:eastAsia="en-AU"/>
              </w:rPr>
              <w:t>2013-14</w:t>
            </w:r>
          </w:p>
        </w:tc>
        <w:tc>
          <w:tcPr>
            <w:tcW w:w="422" w:type="dxa"/>
            <w:tcBorders>
              <w:top w:val="single" w:sz="4" w:space="0" w:color="000000"/>
              <w:bottom w:val="single" w:sz="4" w:space="0" w:color="auto"/>
            </w:tcBorders>
            <w:textDirection w:val="btLr"/>
            <w:vAlign w:val="center"/>
          </w:tcPr>
          <w:p w14:paraId="20C9A63B" w14:textId="77777777" w:rsidR="00115153" w:rsidRPr="00EC364C" w:rsidRDefault="00115153" w:rsidP="00907D11">
            <w:pPr>
              <w:spacing w:before="0" w:after="0" w:line="200" w:lineRule="exact"/>
              <w:ind w:left="-57" w:right="-57"/>
              <w:jc w:val="center"/>
              <w:rPr>
                <w:b/>
                <w:color w:val="000000"/>
                <w:sz w:val="16"/>
                <w:szCs w:val="16"/>
                <w:lang w:eastAsia="en-AU"/>
              </w:rPr>
            </w:pPr>
            <w:r>
              <w:rPr>
                <w:b/>
                <w:color w:val="000000"/>
                <w:sz w:val="16"/>
                <w:szCs w:val="16"/>
                <w:lang w:eastAsia="en-AU"/>
              </w:rPr>
              <w:t>2014-15</w:t>
            </w:r>
          </w:p>
        </w:tc>
        <w:tc>
          <w:tcPr>
            <w:tcW w:w="422" w:type="dxa"/>
            <w:tcBorders>
              <w:top w:val="single" w:sz="4" w:space="0" w:color="000000"/>
              <w:bottom w:val="single" w:sz="4" w:space="0" w:color="auto"/>
            </w:tcBorders>
            <w:textDirection w:val="btLr"/>
            <w:vAlign w:val="center"/>
          </w:tcPr>
          <w:p w14:paraId="72FAD8AF" w14:textId="77777777" w:rsidR="00115153" w:rsidRDefault="00115153" w:rsidP="00907D11">
            <w:pPr>
              <w:spacing w:before="0" w:after="0" w:line="200" w:lineRule="exact"/>
              <w:ind w:left="-57" w:right="-57"/>
              <w:jc w:val="center"/>
              <w:rPr>
                <w:b/>
                <w:color w:val="000000"/>
                <w:sz w:val="16"/>
                <w:szCs w:val="16"/>
                <w:lang w:eastAsia="en-AU"/>
              </w:rPr>
            </w:pPr>
            <w:r>
              <w:rPr>
                <w:b/>
                <w:color w:val="000000"/>
                <w:sz w:val="16"/>
                <w:szCs w:val="16"/>
                <w:lang w:eastAsia="en-AU"/>
              </w:rPr>
              <w:t>2015-16</w:t>
            </w:r>
          </w:p>
        </w:tc>
        <w:tc>
          <w:tcPr>
            <w:tcW w:w="464" w:type="dxa"/>
            <w:tcBorders>
              <w:top w:val="single" w:sz="4" w:space="0" w:color="000000"/>
              <w:bottom w:val="single" w:sz="4" w:space="0" w:color="auto"/>
            </w:tcBorders>
            <w:textDirection w:val="btLr"/>
          </w:tcPr>
          <w:p w14:paraId="1C5794B5" w14:textId="279AF2EC" w:rsidR="00115153" w:rsidRDefault="008574EC" w:rsidP="00907D11">
            <w:pPr>
              <w:spacing w:before="0" w:after="0" w:line="200" w:lineRule="exact"/>
              <w:ind w:left="-57" w:right="-57"/>
              <w:jc w:val="center"/>
              <w:rPr>
                <w:b/>
                <w:color w:val="000000"/>
                <w:sz w:val="16"/>
                <w:szCs w:val="16"/>
                <w:lang w:eastAsia="en-AU"/>
              </w:rPr>
            </w:pPr>
            <w:r>
              <w:rPr>
                <w:b/>
                <w:color w:val="000000"/>
                <w:sz w:val="16"/>
                <w:szCs w:val="16"/>
                <w:lang w:eastAsia="en-AU"/>
              </w:rPr>
              <w:t>2016–17</w:t>
            </w:r>
          </w:p>
        </w:tc>
      </w:tr>
      <w:tr w:rsidR="00115153" w:rsidRPr="00EC364C" w14:paraId="6830919C" w14:textId="77777777" w:rsidTr="00121CDB">
        <w:trPr>
          <w:trHeight w:val="312"/>
          <w:jc w:val="center"/>
        </w:trPr>
        <w:tc>
          <w:tcPr>
            <w:tcW w:w="1314" w:type="dxa"/>
            <w:vMerge w:val="restart"/>
            <w:tcBorders>
              <w:top w:val="single" w:sz="4" w:space="0" w:color="auto"/>
            </w:tcBorders>
            <w:shd w:val="clear" w:color="auto" w:fill="auto"/>
            <w:noWrap/>
            <w:vAlign w:val="center"/>
          </w:tcPr>
          <w:p w14:paraId="38B26F6A" w14:textId="77777777" w:rsidR="00115153" w:rsidRPr="00EC364C" w:rsidRDefault="00115153" w:rsidP="00907D11">
            <w:pPr>
              <w:spacing w:before="0" w:after="0" w:line="200" w:lineRule="exact"/>
              <w:ind w:left="-57" w:right="-57"/>
              <w:rPr>
                <w:color w:val="000000"/>
                <w:sz w:val="20"/>
                <w:szCs w:val="20"/>
                <w:lang w:eastAsia="en-AU"/>
              </w:rPr>
            </w:pPr>
            <w:r>
              <w:rPr>
                <w:color w:val="000000"/>
                <w:sz w:val="20"/>
                <w:szCs w:val="20"/>
                <w:lang w:eastAsia="en-AU"/>
              </w:rPr>
              <w:t>Abundance</w:t>
            </w:r>
          </w:p>
        </w:tc>
        <w:tc>
          <w:tcPr>
            <w:tcW w:w="1567" w:type="dxa"/>
            <w:tcBorders>
              <w:top w:val="single" w:sz="4" w:space="0" w:color="auto"/>
              <w:bottom w:val="single" w:sz="4" w:space="0" w:color="FFFFFF"/>
              <w:right w:val="single" w:sz="4" w:space="0" w:color="FFFFFF" w:themeColor="background1"/>
            </w:tcBorders>
            <w:shd w:val="clear" w:color="auto" w:fill="auto"/>
            <w:noWrap/>
            <w:vAlign w:val="center"/>
          </w:tcPr>
          <w:p w14:paraId="306907B5" w14:textId="77777777" w:rsidR="00115153" w:rsidRPr="00EC364C" w:rsidRDefault="00115153" w:rsidP="00907D11">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8596832"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8FF1DE8"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E2B1BA8"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6D0D5B9"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4A3DDF2"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D86482F"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438C008D"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63</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008000"/>
            <w:vAlign w:val="center"/>
          </w:tcPr>
          <w:p w14:paraId="6CFDF404"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81</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658732A4"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63</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0EAE9AB8" w14:textId="77777777" w:rsidR="00115153" w:rsidRPr="00056DBB" w:rsidRDefault="00115153" w:rsidP="00907D11">
            <w:pPr>
              <w:spacing w:before="0" w:after="0" w:line="200" w:lineRule="exact"/>
              <w:ind w:left="-57" w:right="-57"/>
              <w:jc w:val="center"/>
              <w:rPr>
                <w:b/>
                <w:color w:val="000000"/>
                <w:sz w:val="20"/>
                <w:szCs w:val="20"/>
                <w:lang w:eastAsia="en-AU"/>
              </w:rPr>
            </w:pPr>
            <w:r w:rsidRPr="00056DBB">
              <w:rPr>
                <w:sz w:val="20"/>
                <w:szCs w:val="20"/>
              </w:rPr>
              <w:t>75</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5B722FDA" w14:textId="77777777" w:rsidR="00115153" w:rsidRPr="00056DBB" w:rsidRDefault="00115153" w:rsidP="00907D11">
            <w:pPr>
              <w:spacing w:before="0" w:after="0" w:line="200" w:lineRule="exact"/>
              <w:ind w:left="-57" w:right="-57"/>
              <w:jc w:val="center"/>
              <w:rPr>
                <w:sz w:val="20"/>
                <w:szCs w:val="20"/>
              </w:rPr>
            </w:pPr>
            <w:r>
              <w:rPr>
                <w:sz w:val="20"/>
                <w:szCs w:val="20"/>
              </w:rPr>
              <w:t>75</w:t>
            </w:r>
          </w:p>
        </w:tc>
        <w:tc>
          <w:tcPr>
            <w:tcW w:w="464"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008000"/>
            <w:vAlign w:val="center"/>
          </w:tcPr>
          <w:p w14:paraId="46A2A213" w14:textId="77777777" w:rsidR="00115153" w:rsidRPr="00FB5F17" w:rsidRDefault="00115153" w:rsidP="00907D11">
            <w:pPr>
              <w:spacing w:before="0" w:after="0" w:line="200" w:lineRule="exact"/>
              <w:ind w:left="-57" w:right="-57"/>
              <w:jc w:val="center"/>
              <w:rPr>
                <w:sz w:val="20"/>
                <w:szCs w:val="20"/>
              </w:rPr>
            </w:pPr>
            <w:r w:rsidRPr="00FB5F17">
              <w:rPr>
                <w:sz w:val="20"/>
                <w:szCs w:val="20"/>
              </w:rPr>
              <w:t>100</w:t>
            </w:r>
          </w:p>
        </w:tc>
      </w:tr>
      <w:tr w:rsidR="00115153" w:rsidRPr="00EC364C" w14:paraId="0086DEAA" w14:textId="77777777" w:rsidTr="00121CDB">
        <w:trPr>
          <w:trHeight w:val="312"/>
          <w:jc w:val="center"/>
        </w:trPr>
        <w:tc>
          <w:tcPr>
            <w:tcW w:w="1314" w:type="dxa"/>
            <w:vMerge/>
            <w:shd w:val="clear" w:color="auto" w:fill="auto"/>
            <w:noWrap/>
            <w:vAlign w:val="center"/>
          </w:tcPr>
          <w:p w14:paraId="2A4EFE4A" w14:textId="77777777" w:rsidR="00115153" w:rsidRPr="00EC364C" w:rsidRDefault="00115153" w:rsidP="00907D11">
            <w:pPr>
              <w:spacing w:before="0" w:after="0" w:line="200" w:lineRule="exact"/>
              <w:ind w:left="-57" w:right="-57"/>
              <w:rPr>
                <w:color w:val="000000"/>
                <w:sz w:val="20"/>
                <w:szCs w:val="20"/>
                <w:lang w:eastAsia="en-AU"/>
              </w:rPr>
            </w:pPr>
          </w:p>
        </w:tc>
        <w:tc>
          <w:tcPr>
            <w:tcW w:w="1567" w:type="dxa"/>
            <w:tcBorders>
              <w:top w:val="single" w:sz="4" w:space="0" w:color="FFFFFF"/>
              <w:bottom w:val="nil"/>
              <w:right w:val="single" w:sz="4" w:space="0" w:color="FFFFFF" w:themeColor="background1"/>
            </w:tcBorders>
            <w:shd w:val="clear" w:color="auto" w:fill="auto"/>
            <w:noWrap/>
            <w:vAlign w:val="center"/>
          </w:tcPr>
          <w:p w14:paraId="337E36F3" w14:textId="77777777" w:rsidR="00115153" w:rsidRPr="00EC364C" w:rsidRDefault="00115153" w:rsidP="00907D11">
            <w:pPr>
              <w:spacing w:before="0" w:after="0" w:line="200" w:lineRule="exact"/>
              <w:ind w:left="-57" w:right="-57"/>
              <w:rPr>
                <w:color w:val="000000"/>
                <w:sz w:val="20"/>
                <w:szCs w:val="20"/>
                <w:lang w:eastAsia="en-AU"/>
              </w:rPr>
            </w:pPr>
            <w:r>
              <w:rPr>
                <w:color w:val="000000"/>
                <w:sz w:val="20"/>
                <w:szCs w:val="20"/>
                <w:lang w:eastAsia="en-AU"/>
              </w:rPr>
              <w:t>coastal subtidal</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C0EC87F"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E2E56CD"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2C4C5D2"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1E5F0D8"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D5542FE"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AF7F0C7"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4DCC859"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4FEF82B"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44834A6F" w14:textId="77777777" w:rsidR="00115153" w:rsidRPr="00EC364C"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BCB62BB" w14:textId="77777777" w:rsidR="00115153" w:rsidRPr="00056DBB" w:rsidRDefault="00115153" w:rsidP="00907D11">
            <w:pPr>
              <w:spacing w:before="0" w:after="0" w:line="200" w:lineRule="exact"/>
              <w:ind w:left="-57" w:right="-57"/>
              <w:jc w:val="center"/>
              <w:rPr>
                <w:b/>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44979B0A" w14:textId="77777777" w:rsidR="00115153" w:rsidRPr="00056DBB" w:rsidRDefault="00115153" w:rsidP="00907D11">
            <w:pPr>
              <w:spacing w:before="0" w:after="0" w:line="200" w:lineRule="exact"/>
              <w:ind w:left="-57" w:right="-57"/>
              <w:jc w:val="center"/>
              <w:rPr>
                <w:sz w:val="20"/>
                <w:szCs w:val="20"/>
              </w:rPr>
            </w:pPr>
            <w:r>
              <w:rPr>
                <w:sz w:val="20"/>
                <w:szCs w:val="20"/>
              </w:rPr>
              <w:t>75</w:t>
            </w:r>
          </w:p>
        </w:tc>
        <w:tc>
          <w:tcPr>
            <w:tcW w:w="46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0723B942" w14:textId="77777777" w:rsidR="00115153" w:rsidRPr="00FB5F17" w:rsidRDefault="00115153" w:rsidP="00907D11">
            <w:pPr>
              <w:spacing w:before="0" w:after="0" w:line="200" w:lineRule="exact"/>
              <w:ind w:left="-57" w:right="-57"/>
              <w:jc w:val="center"/>
              <w:rPr>
                <w:sz w:val="20"/>
                <w:szCs w:val="20"/>
              </w:rPr>
            </w:pPr>
            <w:r w:rsidRPr="00FB5F17">
              <w:rPr>
                <w:sz w:val="20"/>
                <w:szCs w:val="20"/>
              </w:rPr>
              <w:t>63</w:t>
            </w:r>
          </w:p>
        </w:tc>
      </w:tr>
      <w:tr w:rsidR="00115153" w:rsidRPr="00EC364C" w14:paraId="6C293F60" w14:textId="77777777" w:rsidTr="00121CDB">
        <w:trPr>
          <w:trHeight w:val="312"/>
          <w:jc w:val="center"/>
        </w:trPr>
        <w:tc>
          <w:tcPr>
            <w:tcW w:w="1314" w:type="dxa"/>
            <w:vMerge/>
            <w:tcBorders>
              <w:bottom w:val="single" w:sz="4" w:space="0" w:color="auto"/>
            </w:tcBorders>
            <w:shd w:val="clear" w:color="auto" w:fill="auto"/>
            <w:noWrap/>
            <w:vAlign w:val="center"/>
          </w:tcPr>
          <w:p w14:paraId="5118D063" w14:textId="77777777" w:rsidR="00115153" w:rsidRPr="00EC364C" w:rsidRDefault="00115153" w:rsidP="00907D11">
            <w:pPr>
              <w:spacing w:before="0" w:after="0" w:line="200" w:lineRule="exact"/>
              <w:ind w:left="-57" w:right="-57"/>
              <w:rPr>
                <w:color w:val="000000"/>
                <w:sz w:val="20"/>
                <w:szCs w:val="20"/>
                <w:lang w:eastAsia="en-AU"/>
              </w:rPr>
            </w:pPr>
          </w:p>
        </w:tc>
        <w:tc>
          <w:tcPr>
            <w:tcW w:w="1567" w:type="dxa"/>
            <w:tcBorders>
              <w:top w:val="nil"/>
              <w:bottom w:val="single" w:sz="4" w:space="0" w:color="auto"/>
              <w:right w:val="single" w:sz="4" w:space="0" w:color="FFFFFF" w:themeColor="background1"/>
            </w:tcBorders>
            <w:shd w:val="clear" w:color="auto" w:fill="auto"/>
            <w:noWrap/>
            <w:vAlign w:val="center"/>
          </w:tcPr>
          <w:p w14:paraId="3FFF3B62" w14:textId="77777777" w:rsidR="00115153" w:rsidRPr="00EC364C" w:rsidRDefault="00115153" w:rsidP="00907D11">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92D050"/>
            <w:noWrap/>
            <w:vAlign w:val="center"/>
          </w:tcPr>
          <w:p w14:paraId="3D96069A"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75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noWrap/>
            <w:vAlign w:val="center"/>
          </w:tcPr>
          <w:p w14:paraId="3F882048"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35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00"/>
            <w:noWrap/>
            <w:vAlign w:val="center"/>
          </w:tcPr>
          <w:p w14:paraId="644B37EE"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45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00"/>
            <w:noWrap/>
            <w:vAlign w:val="center"/>
          </w:tcPr>
          <w:p w14:paraId="34AD9422"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44</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00"/>
            <w:noWrap/>
            <w:vAlign w:val="center"/>
          </w:tcPr>
          <w:p w14:paraId="02189AB2"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44</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0000"/>
            <w:noWrap/>
            <w:vAlign w:val="center"/>
          </w:tcPr>
          <w:p w14:paraId="04F356F0"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20</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0000"/>
            <w:noWrap/>
            <w:vAlign w:val="center"/>
          </w:tcPr>
          <w:p w14:paraId="065AF87B"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14</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6AFB2F22"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22</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414C1F98" w14:textId="77777777" w:rsidR="00115153" w:rsidRPr="00EC364C" w:rsidRDefault="00115153" w:rsidP="00907D11">
            <w:pPr>
              <w:spacing w:before="0" w:after="0" w:line="200" w:lineRule="exact"/>
              <w:ind w:left="-57" w:right="-57"/>
              <w:jc w:val="center"/>
              <w:rPr>
                <w:color w:val="000000"/>
                <w:sz w:val="20"/>
                <w:szCs w:val="20"/>
                <w:lang w:eastAsia="en-AU"/>
              </w:rPr>
            </w:pPr>
            <w:r w:rsidRPr="00EC364C">
              <w:rPr>
                <w:color w:val="000000"/>
                <w:sz w:val="20"/>
                <w:szCs w:val="20"/>
                <w:lang w:eastAsia="en-AU"/>
              </w:rPr>
              <w:t>29</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2064E0EA" w14:textId="77777777" w:rsidR="00115153" w:rsidRPr="00056DBB" w:rsidRDefault="00115153" w:rsidP="00907D11">
            <w:pPr>
              <w:spacing w:before="0" w:after="0" w:line="200" w:lineRule="exact"/>
              <w:ind w:left="-57" w:right="-57"/>
              <w:jc w:val="center"/>
              <w:rPr>
                <w:b/>
                <w:color w:val="000000"/>
                <w:sz w:val="20"/>
                <w:szCs w:val="20"/>
                <w:lang w:eastAsia="en-AU"/>
              </w:rPr>
            </w:pPr>
            <w:r w:rsidRPr="00056DBB">
              <w:rPr>
                <w:sz w:val="20"/>
                <w:szCs w:val="20"/>
              </w:rPr>
              <w:t>25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59152A8D" w14:textId="77777777" w:rsidR="00115153" w:rsidRPr="00056DBB" w:rsidRDefault="00115153" w:rsidP="00907D11">
            <w:pPr>
              <w:spacing w:before="0" w:after="0" w:line="200" w:lineRule="exact"/>
              <w:ind w:left="-57" w:right="-57"/>
              <w:jc w:val="center"/>
              <w:rPr>
                <w:sz w:val="20"/>
                <w:szCs w:val="20"/>
              </w:rPr>
            </w:pPr>
            <w:r>
              <w:rPr>
                <w:sz w:val="20"/>
                <w:szCs w:val="20"/>
              </w:rPr>
              <w:t>40</w:t>
            </w:r>
          </w:p>
        </w:tc>
        <w:tc>
          <w:tcPr>
            <w:tcW w:w="464"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1C0E503F" w14:textId="77777777" w:rsidR="00115153" w:rsidRPr="00FB5F17" w:rsidRDefault="00115153" w:rsidP="00907D11">
            <w:pPr>
              <w:spacing w:before="0" w:after="0" w:line="200" w:lineRule="exact"/>
              <w:ind w:left="-57" w:right="-57"/>
              <w:jc w:val="center"/>
              <w:rPr>
                <w:sz w:val="20"/>
                <w:szCs w:val="20"/>
              </w:rPr>
            </w:pPr>
            <w:r w:rsidRPr="00FB5F17">
              <w:rPr>
                <w:sz w:val="20"/>
                <w:szCs w:val="20"/>
              </w:rPr>
              <w:t>29</w:t>
            </w:r>
          </w:p>
        </w:tc>
      </w:tr>
      <w:tr w:rsidR="00115153" w:rsidRPr="00EC364C" w14:paraId="2B7B23A7" w14:textId="77777777" w:rsidTr="00121CDB">
        <w:trPr>
          <w:trHeight w:val="312"/>
          <w:jc w:val="center"/>
        </w:trPr>
        <w:tc>
          <w:tcPr>
            <w:tcW w:w="1314" w:type="dxa"/>
            <w:vMerge w:val="restart"/>
            <w:tcBorders>
              <w:top w:val="single" w:sz="4" w:space="0" w:color="auto"/>
              <w:left w:val="nil"/>
              <w:right w:val="nil"/>
            </w:tcBorders>
            <w:shd w:val="clear" w:color="auto" w:fill="auto"/>
            <w:noWrap/>
            <w:vAlign w:val="center"/>
          </w:tcPr>
          <w:p w14:paraId="05713273" w14:textId="77777777" w:rsidR="00115153" w:rsidRDefault="00115153" w:rsidP="00907D11">
            <w:pPr>
              <w:spacing w:before="0" w:after="0" w:line="200" w:lineRule="exact"/>
              <w:ind w:left="-57" w:right="-57"/>
              <w:rPr>
                <w:color w:val="000000"/>
                <w:sz w:val="20"/>
                <w:szCs w:val="20"/>
                <w:lang w:eastAsia="en-AU"/>
              </w:rPr>
            </w:pPr>
            <w:bookmarkStart w:id="285" w:name="_Toc431494030"/>
            <w:r>
              <w:rPr>
                <w:color w:val="000000"/>
                <w:sz w:val="20"/>
                <w:szCs w:val="20"/>
                <w:lang w:eastAsia="en-AU"/>
              </w:rPr>
              <w:t>R</w:t>
            </w:r>
            <w:r w:rsidRPr="000C1668">
              <w:rPr>
                <w:color w:val="000000"/>
                <w:sz w:val="20"/>
                <w:szCs w:val="20"/>
                <w:lang w:eastAsia="en-AU"/>
              </w:rPr>
              <w:t>eproductive</w:t>
            </w:r>
          </w:p>
          <w:p w14:paraId="62A920E5" w14:textId="77777777" w:rsidR="00115153" w:rsidRPr="00EC364C" w:rsidRDefault="00115153" w:rsidP="00907D11">
            <w:pPr>
              <w:spacing w:before="0" w:after="0" w:line="200" w:lineRule="exact"/>
              <w:ind w:left="-57" w:right="-57"/>
              <w:rPr>
                <w:color w:val="000000"/>
                <w:sz w:val="20"/>
                <w:szCs w:val="20"/>
                <w:lang w:eastAsia="en-AU"/>
              </w:rPr>
            </w:pPr>
            <w:r>
              <w:rPr>
                <w:color w:val="000000"/>
                <w:sz w:val="20"/>
                <w:szCs w:val="20"/>
                <w:lang w:eastAsia="en-AU"/>
              </w:rPr>
              <w:t>effort</w:t>
            </w:r>
          </w:p>
        </w:tc>
        <w:tc>
          <w:tcPr>
            <w:tcW w:w="1567" w:type="dxa"/>
            <w:tcBorders>
              <w:top w:val="single" w:sz="4" w:space="0" w:color="auto"/>
              <w:left w:val="nil"/>
              <w:bottom w:val="nil"/>
              <w:right w:val="nil"/>
            </w:tcBorders>
            <w:shd w:val="clear" w:color="auto" w:fill="auto"/>
            <w:noWrap/>
            <w:vAlign w:val="center"/>
          </w:tcPr>
          <w:p w14:paraId="0D5FD719" w14:textId="77777777" w:rsidR="00115153" w:rsidRPr="00EC364C" w:rsidRDefault="00115153" w:rsidP="00907D11">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422" w:type="dxa"/>
            <w:tcBorders>
              <w:top w:val="single" w:sz="4" w:space="0" w:color="auto"/>
              <w:left w:val="nil"/>
              <w:bottom w:val="single" w:sz="4" w:space="0" w:color="FFFFFF" w:themeColor="background1"/>
              <w:right w:val="single" w:sz="4" w:space="0" w:color="FFFFFF" w:themeColor="background1"/>
            </w:tcBorders>
            <w:shd w:val="clear" w:color="auto" w:fill="FFFFFF" w:themeFill="background1"/>
            <w:noWrap/>
            <w:vAlign w:val="center"/>
          </w:tcPr>
          <w:p w14:paraId="30CB8EC2"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0C30768E"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3A40E367"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6660BAA3"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27E4DF5A"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125934E6"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34F0DB0" w14:textId="77777777" w:rsidR="00115153" w:rsidRPr="005556A8"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0ACCB9E9"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6B04D020"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32B13A1A" w14:textId="77777777" w:rsidR="00115153" w:rsidRPr="005556A8" w:rsidRDefault="00115153" w:rsidP="00907D11">
            <w:pPr>
              <w:spacing w:before="0" w:after="0" w:line="200" w:lineRule="exact"/>
              <w:ind w:left="-57" w:right="-57"/>
              <w:jc w:val="center"/>
              <w:rPr>
                <w:color w:val="000000"/>
                <w:sz w:val="20"/>
                <w:szCs w:val="20"/>
                <w:lang w:eastAsia="en-AU"/>
              </w:rPr>
            </w:pPr>
            <w:r>
              <w:rPr>
                <w:color w:val="000000"/>
                <w:sz w:val="20"/>
                <w:szCs w:val="20"/>
              </w:rPr>
              <w:t>0</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540EC3F2" w14:textId="77777777" w:rsidR="00115153" w:rsidRDefault="00115153" w:rsidP="00907D11">
            <w:pPr>
              <w:spacing w:before="0" w:after="0" w:line="200" w:lineRule="exact"/>
              <w:ind w:left="-57" w:right="-57"/>
              <w:jc w:val="center"/>
              <w:rPr>
                <w:color w:val="000000"/>
                <w:sz w:val="20"/>
                <w:szCs w:val="20"/>
              </w:rPr>
            </w:pPr>
            <w:r>
              <w:rPr>
                <w:color w:val="000000"/>
                <w:sz w:val="20"/>
                <w:szCs w:val="20"/>
              </w:rPr>
              <w:t>6</w:t>
            </w:r>
          </w:p>
        </w:tc>
        <w:tc>
          <w:tcPr>
            <w:tcW w:w="464"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55800636" w14:textId="77777777" w:rsidR="00115153" w:rsidRPr="00FB5F17" w:rsidRDefault="00115153" w:rsidP="00907D11">
            <w:pPr>
              <w:spacing w:before="0" w:after="0" w:line="200" w:lineRule="exact"/>
              <w:ind w:left="-57" w:right="-57"/>
              <w:jc w:val="center"/>
              <w:rPr>
                <w:sz w:val="20"/>
                <w:szCs w:val="20"/>
              </w:rPr>
            </w:pPr>
            <w:r w:rsidRPr="00FB5F17">
              <w:rPr>
                <w:sz w:val="20"/>
                <w:szCs w:val="20"/>
              </w:rPr>
              <w:t>13</w:t>
            </w:r>
          </w:p>
        </w:tc>
      </w:tr>
      <w:tr w:rsidR="00115153" w:rsidRPr="00EC364C" w14:paraId="289D842E" w14:textId="77777777" w:rsidTr="00121CDB">
        <w:trPr>
          <w:trHeight w:val="312"/>
          <w:jc w:val="center"/>
        </w:trPr>
        <w:tc>
          <w:tcPr>
            <w:tcW w:w="1314" w:type="dxa"/>
            <w:vMerge/>
            <w:tcBorders>
              <w:bottom w:val="single" w:sz="4" w:space="0" w:color="FFFFFF"/>
            </w:tcBorders>
            <w:shd w:val="clear" w:color="auto" w:fill="auto"/>
            <w:noWrap/>
            <w:vAlign w:val="center"/>
          </w:tcPr>
          <w:p w14:paraId="2E1395EF" w14:textId="77777777" w:rsidR="00115153" w:rsidRPr="00EC364C" w:rsidRDefault="00115153" w:rsidP="00907D11">
            <w:pPr>
              <w:spacing w:before="0" w:after="0" w:line="200" w:lineRule="exact"/>
              <w:ind w:left="-57" w:right="-57"/>
              <w:rPr>
                <w:color w:val="000000"/>
                <w:sz w:val="20"/>
                <w:szCs w:val="20"/>
                <w:lang w:eastAsia="en-AU"/>
              </w:rPr>
            </w:pPr>
          </w:p>
        </w:tc>
        <w:tc>
          <w:tcPr>
            <w:tcW w:w="1567" w:type="dxa"/>
            <w:tcBorders>
              <w:top w:val="nil"/>
              <w:bottom w:val="single" w:sz="4" w:space="0" w:color="FFFFFF"/>
              <w:right w:val="single" w:sz="4" w:space="0" w:color="FFFFFF" w:themeColor="background1"/>
            </w:tcBorders>
            <w:shd w:val="clear" w:color="auto" w:fill="auto"/>
            <w:noWrap/>
            <w:vAlign w:val="center"/>
          </w:tcPr>
          <w:p w14:paraId="406BCA9D" w14:textId="77777777" w:rsidR="00115153" w:rsidRPr="00EC364C" w:rsidRDefault="00115153" w:rsidP="00907D11">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0248CC3F"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3DD02CE2"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7656A315"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25</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74BB4A52"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38</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501F28FE"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56748631"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4F4CF18C"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13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55DB6957"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17</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5D651482" w14:textId="77777777" w:rsidR="00115153" w:rsidRPr="005556A8" w:rsidRDefault="00115153" w:rsidP="00907D11">
            <w:pPr>
              <w:spacing w:before="0" w:after="0" w:line="200" w:lineRule="exact"/>
              <w:ind w:left="-57" w:right="-57"/>
              <w:jc w:val="center"/>
              <w:rPr>
                <w:color w:val="000000"/>
                <w:sz w:val="20"/>
                <w:szCs w:val="20"/>
                <w:lang w:eastAsia="en-AU"/>
              </w:rPr>
            </w:pPr>
            <w:r w:rsidRPr="005556A8">
              <w:rPr>
                <w:color w:val="000000"/>
                <w:sz w:val="20"/>
                <w:szCs w:val="20"/>
                <w:lang w:eastAsia="en-AU"/>
              </w:rPr>
              <w:t>17</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09D09A45" w14:textId="77777777" w:rsidR="00115153" w:rsidRDefault="00115153" w:rsidP="00907D11">
            <w:pPr>
              <w:spacing w:before="0" w:after="0" w:line="200" w:lineRule="exact"/>
              <w:ind w:left="-57" w:right="-57"/>
              <w:jc w:val="center"/>
              <w:rPr>
                <w:color w:val="000000"/>
                <w:sz w:val="20"/>
                <w:szCs w:val="20"/>
              </w:rPr>
            </w:pPr>
            <w:r>
              <w:rPr>
                <w:color w:val="000000"/>
                <w:sz w:val="20"/>
                <w:szCs w:val="20"/>
              </w:rPr>
              <w:t>21</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22BAF0C8" w14:textId="77777777" w:rsidR="00115153" w:rsidRDefault="00115153" w:rsidP="00907D11">
            <w:pPr>
              <w:spacing w:before="0" w:after="0" w:line="200" w:lineRule="exact"/>
              <w:ind w:left="-57" w:right="-57"/>
              <w:jc w:val="center"/>
              <w:rPr>
                <w:color w:val="000000"/>
                <w:sz w:val="20"/>
                <w:szCs w:val="20"/>
              </w:rPr>
            </w:pPr>
            <w:r>
              <w:rPr>
                <w:color w:val="000000"/>
                <w:sz w:val="20"/>
                <w:szCs w:val="20"/>
              </w:rPr>
              <w:t>5</w:t>
            </w:r>
          </w:p>
        </w:tc>
        <w:tc>
          <w:tcPr>
            <w:tcW w:w="46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78B3E678" w14:textId="77777777" w:rsidR="00115153" w:rsidRPr="00FB5F17" w:rsidRDefault="00115153" w:rsidP="00907D11">
            <w:pPr>
              <w:spacing w:before="0" w:after="0" w:line="200" w:lineRule="exact"/>
              <w:ind w:left="-57" w:right="-57"/>
              <w:jc w:val="center"/>
              <w:rPr>
                <w:sz w:val="20"/>
                <w:szCs w:val="20"/>
              </w:rPr>
            </w:pPr>
            <w:r w:rsidRPr="00FB5F17">
              <w:rPr>
                <w:sz w:val="20"/>
                <w:szCs w:val="20"/>
              </w:rPr>
              <w:t>8</w:t>
            </w:r>
          </w:p>
        </w:tc>
      </w:tr>
      <w:tr w:rsidR="00115153" w:rsidRPr="00EC364C" w14:paraId="6554D655" w14:textId="77777777" w:rsidTr="00121CDB">
        <w:trPr>
          <w:trHeight w:val="312"/>
          <w:jc w:val="center"/>
        </w:trPr>
        <w:tc>
          <w:tcPr>
            <w:tcW w:w="1314" w:type="dxa"/>
            <w:vMerge w:val="restart"/>
            <w:tcBorders>
              <w:top w:val="single" w:sz="4" w:space="0" w:color="000000"/>
            </w:tcBorders>
            <w:shd w:val="clear" w:color="auto" w:fill="auto"/>
            <w:noWrap/>
            <w:vAlign w:val="center"/>
          </w:tcPr>
          <w:p w14:paraId="3DE4927B" w14:textId="77777777" w:rsidR="00115153" w:rsidRDefault="00115153" w:rsidP="00907D11">
            <w:pPr>
              <w:spacing w:before="0" w:after="0" w:line="200" w:lineRule="exact"/>
              <w:ind w:left="-57" w:right="-57"/>
              <w:rPr>
                <w:color w:val="000000"/>
                <w:sz w:val="20"/>
                <w:szCs w:val="20"/>
                <w:lang w:eastAsia="en-AU"/>
              </w:rPr>
            </w:pPr>
            <w:r>
              <w:rPr>
                <w:color w:val="000000"/>
                <w:sz w:val="20"/>
                <w:szCs w:val="20"/>
                <w:lang w:eastAsia="en-AU"/>
              </w:rPr>
              <w:t>L</w:t>
            </w:r>
            <w:r w:rsidRPr="000C1668">
              <w:rPr>
                <w:color w:val="000000"/>
                <w:sz w:val="20"/>
                <w:szCs w:val="20"/>
                <w:lang w:eastAsia="en-AU"/>
              </w:rPr>
              <w:t>eaf tissue</w:t>
            </w:r>
          </w:p>
          <w:p w14:paraId="04D45440" w14:textId="77777777" w:rsidR="00115153" w:rsidRPr="00EC364C" w:rsidRDefault="00115153" w:rsidP="00907D11">
            <w:pPr>
              <w:spacing w:before="0" w:after="0" w:line="200" w:lineRule="exact"/>
              <w:ind w:left="-57" w:right="-57"/>
              <w:rPr>
                <w:color w:val="000000"/>
                <w:sz w:val="20"/>
                <w:szCs w:val="20"/>
                <w:lang w:eastAsia="en-AU"/>
              </w:rPr>
            </w:pPr>
            <w:r w:rsidRPr="000C1668">
              <w:rPr>
                <w:color w:val="000000"/>
                <w:sz w:val="20"/>
                <w:szCs w:val="20"/>
                <w:lang w:eastAsia="en-AU"/>
              </w:rPr>
              <w:t>nutrient</w:t>
            </w:r>
          </w:p>
        </w:tc>
        <w:tc>
          <w:tcPr>
            <w:tcW w:w="1567" w:type="dxa"/>
            <w:tcBorders>
              <w:top w:val="single" w:sz="4" w:space="0" w:color="000000"/>
              <w:bottom w:val="single" w:sz="4" w:space="0" w:color="FFFFFF"/>
            </w:tcBorders>
            <w:shd w:val="clear" w:color="auto" w:fill="auto"/>
            <w:noWrap/>
            <w:vAlign w:val="center"/>
          </w:tcPr>
          <w:p w14:paraId="60B0CD60" w14:textId="77777777" w:rsidR="00115153" w:rsidRPr="00EC364C" w:rsidRDefault="00115153" w:rsidP="00907D11">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422" w:type="dxa"/>
            <w:tcBorders>
              <w:top w:val="single" w:sz="4" w:space="0" w:color="000000"/>
              <w:bottom w:val="single" w:sz="4" w:space="0" w:color="FFFFFF"/>
            </w:tcBorders>
            <w:shd w:val="clear" w:color="auto" w:fill="auto"/>
            <w:noWrap/>
            <w:vAlign w:val="center"/>
          </w:tcPr>
          <w:p w14:paraId="79C3C991"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6718BCE1"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3B12F1A9"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60CDA5C7"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4C5DA4C6"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3F8725D5"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3EC3376B" w14:textId="77777777" w:rsidR="00115153" w:rsidRPr="002D209A" w:rsidRDefault="00115153" w:rsidP="00907D11">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FFCC00"/>
            <w:vAlign w:val="center"/>
          </w:tcPr>
          <w:p w14:paraId="6231D1F2"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30</w:t>
            </w:r>
          </w:p>
        </w:tc>
        <w:tc>
          <w:tcPr>
            <w:tcW w:w="422" w:type="dxa"/>
            <w:tcBorders>
              <w:top w:val="single" w:sz="4" w:space="0" w:color="000000"/>
              <w:bottom w:val="single" w:sz="4" w:space="0" w:color="FFFFFF"/>
            </w:tcBorders>
            <w:shd w:val="clear" w:color="auto" w:fill="FFCC00"/>
            <w:vAlign w:val="center"/>
          </w:tcPr>
          <w:p w14:paraId="2C501518"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36</w:t>
            </w:r>
          </w:p>
        </w:tc>
        <w:tc>
          <w:tcPr>
            <w:tcW w:w="422" w:type="dxa"/>
            <w:tcBorders>
              <w:top w:val="single" w:sz="4" w:space="0" w:color="000000"/>
              <w:bottom w:val="single" w:sz="4" w:space="0" w:color="FFFFFF"/>
            </w:tcBorders>
            <w:shd w:val="clear" w:color="auto" w:fill="FFCC00"/>
            <w:vAlign w:val="center"/>
          </w:tcPr>
          <w:p w14:paraId="17460DF1" w14:textId="77777777" w:rsidR="00115153" w:rsidRPr="002D209A" w:rsidRDefault="00115153" w:rsidP="00907D11">
            <w:pPr>
              <w:spacing w:before="0" w:after="0" w:line="200" w:lineRule="exact"/>
              <w:ind w:left="-57" w:right="-57"/>
              <w:jc w:val="center"/>
              <w:rPr>
                <w:color w:val="000000"/>
                <w:sz w:val="20"/>
                <w:szCs w:val="20"/>
                <w:lang w:eastAsia="en-AU"/>
              </w:rPr>
            </w:pPr>
            <w:r>
              <w:rPr>
                <w:color w:val="000000"/>
                <w:sz w:val="20"/>
                <w:szCs w:val="20"/>
              </w:rPr>
              <w:t>37</w:t>
            </w:r>
          </w:p>
        </w:tc>
        <w:tc>
          <w:tcPr>
            <w:tcW w:w="422" w:type="dxa"/>
            <w:tcBorders>
              <w:top w:val="single" w:sz="4" w:space="0" w:color="000000"/>
              <w:bottom w:val="single" w:sz="4" w:space="0" w:color="FFFFFF"/>
            </w:tcBorders>
            <w:shd w:val="clear" w:color="auto" w:fill="FFCC00"/>
            <w:vAlign w:val="center"/>
          </w:tcPr>
          <w:p w14:paraId="75919051" w14:textId="77777777" w:rsidR="00115153" w:rsidRDefault="00115153" w:rsidP="00907D11">
            <w:pPr>
              <w:spacing w:before="0" w:after="0" w:line="200" w:lineRule="exact"/>
              <w:ind w:left="-57" w:right="-57"/>
              <w:jc w:val="center"/>
              <w:rPr>
                <w:color w:val="000000"/>
                <w:sz w:val="20"/>
                <w:szCs w:val="20"/>
              </w:rPr>
            </w:pPr>
            <w:r>
              <w:rPr>
                <w:color w:val="000000"/>
                <w:sz w:val="20"/>
                <w:szCs w:val="20"/>
              </w:rPr>
              <w:t>35</w:t>
            </w:r>
          </w:p>
        </w:tc>
        <w:tc>
          <w:tcPr>
            <w:tcW w:w="464" w:type="dxa"/>
            <w:tcBorders>
              <w:top w:val="single" w:sz="4" w:space="0" w:color="000000"/>
              <w:bottom w:val="single" w:sz="4" w:space="0" w:color="FFFFFF"/>
            </w:tcBorders>
            <w:shd w:val="clear" w:color="auto" w:fill="FFFF00"/>
            <w:vAlign w:val="center"/>
          </w:tcPr>
          <w:p w14:paraId="6C5A7559" w14:textId="77777777" w:rsidR="00115153" w:rsidRPr="00FB5F17" w:rsidRDefault="00115153" w:rsidP="00907D11">
            <w:pPr>
              <w:spacing w:before="0" w:after="0" w:line="200" w:lineRule="exact"/>
              <w:ind w:left="-57" w:right="-57"/>
              <w:jc w:val="center"/>
              <w:rPr>
                <w:sz w:val="20"/>
                <w:szCs w:val="20"/>
              </w:rPr>
            </w:pPr>
            <w:r w:rsidRPr="00FB5F17">
              <w:rPr>
                <w:sz w:val="20"/>
                <w:szCs w:val="20"/>
              </w:rPr>
              <w:t>51</w:t>
            </w:r>
          </w:p>
        </w:tc>
      </w:tr>
      <w:tr w:rsidR="00115153" w:rsidRPr="00EC364C" w14:paraId="1E5192CA" w14:textId="77777777" w:rsidTr="00121CDB">
        <w:trPr>
          <w:trHeight w:val="312"/>
          <w:jc w:val="center"/>
        </w:trPr>
        <w:tc>
          <w:tcPr>
            <w:tcW w:w="1314" w:type="dxa"/>
            <w:vMerge/>
            <w:tcBorders>
              <w:bottom w:val="single" w:sz="4" w:space="0" w:color="000000"/>
            </w:tcBorders>
            <w:shd w:val="clear" w:color="auto" w:fill="auto"/>
            <w:noWrap/>
            <w:vAlign w:val="center"/>
          </w:tcPr>
          <w:p w14:paraId="02AF7697" w14:textId="77777777" w:rsidR="00115153" w:rsidRPr="00EC364C" w:rsidRDefault="00115153" w:rsidP="00907D11">
            <w:pPr>
              <w:spacing w:before="0" w:after="0" w:line="200" w:lineRule="exact"/>
              <w:ind w:left="-57" w:right="-57"/>
              <w:rPr>
                <w:color w:val="000000"/>
                <w:sz w:val="20"/>
                <w:szCs w:val="20"/>
                <w:lang w:eastAsia="en-AU"/>
              </w:rPr>
            </w:pPr>
          </w:p>
        </w:tc>
        <w:tc>
          <w:tcPr>
            <w:tcW w:w="1567" w:type="dxa"/>
            <w:tcBorders>
              <w:top w:val="single" w:sz="4" w:space="0" w:color="FFFFFF"/>
              <w:bottom w:val="single" w:sz="4" w:space="0" w:color="000000"/>
            </w:tcBorders>
            <w:shd w:val="clear" w:color="auto" w:fill="auto"/>
            <w:noWrap/>
            <w:vAlign w:val="center"/>
          </w:tcPr>
          <w:p w14:paraId="20652E10" w14:textId="77777777" w:rsidR="00115153" w:rsidRPr="00EC364C" w:rsidRDefault="00115153" w:rsidP="00907D11">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422" w:type="dxa"/>
            <w:tcBorders>
              <w:top w:val="single" w:sz="4" w:space="0" w:color="FFFFFF"/>
            </w:tcBorders>
            <w:shd w:val="clear" w:color="auto" w:fill="FFFF00"/>
            <w:noWrap/>
            <w:vAlign w:val="center"/>
          </w:tcPr>
          <w:p w14:paraId="64A4DFEC"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45</w:t>
            </w:r>
          </w:p>
        </w:tc>
        <w:tc>
          <w:tcPr>
            <w:tcW w:w="422" w:type="dxa"/>
            <w:tcBorders>
              <w:top w:val="single" w:sz="4" w:space="0" w:color="FFFFFF"/>
            </w:tcBorders>
            <w:shd w:val="clear" w:color="auto" w:fill="FFFF00"/>
            <w:noWrap/>
            <w:vAlign w:val="center"/>
          </w:tcPr>
          <w:p w14:paraId="242F55D9"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52</w:t>
            </w:r>
          </w:p>
        </w:tc>
        <w:tc>
          <w:tcPr>
            <w:tcW w:w="422" w:type="dxa"/>
            <w:tcBorders>
              <w:top w:val="single" w:sz="4" w:space="0" w:color="FFFFFF"/>
            </w:tcBorders>
            <w:shd w:val="clear" w:color="auto" w:fill="92D050"/>
            <w:noWrap/>
            <w:vAlign w:val="center"/>
          </w:tcPr>
          <w:p w14:paraId="46FD3C00"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69</w:t>
            </w:r>
          </w:p>
        </w:tc>
        <w:tc>
          <w:tcPr>
            <w:tcW w:w="422" w:type="dxa"/>
            <w:tcBorders>
              <w:top w:val="single" w:sz="4" w:space="0" w:color="FFFFFF"/>
            </w:tcBorders>
            <w:shd w:val="clear" w:color="auto" w:fill="FFFF00"/>
            <w:noWrap/>
            <w:vAlign w:val="center"/>
          </w:tcPr>
          <w:p w14:paraId="7BF3A17D"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49</w:t>
            </w:r>
          </w:p>
        </w:tc>
        <w:tc>
          <w:tcPr>
            <w:tcW w:w="422" w:type="dxa"/>
            <w:tcBorders>
              <w:top w:val="single" w:sz="4" w:space="0" w:color="FFFFFF"/>
            </w:tcBorders>
            <w:shd w:val="clear" w:color="auto" w:fill="FFFF00"/>
            <w:noWrap/>
            <w:vAlign w:val="center"/>
          </w:tcPr>
          <w:p w14:paraId="4C874247"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51</w:t>
            </w:r>
          </w:p>
        </w:tc>
        <w:tc>
          <w:tcPr>
            <w:tcW w:w="422" w:type="dxa"/>
            <w:tcBorders>
              <w:top w:val="single" w:sz="4" w:space="0" w:color="FFFFFF"/>
            </w:tcBorders>
            <w:shd w:val="clear" w:color="auto" w:fill="FFFF00"/>
            <w:noWrap/>
            <w:vAlign w:val="center"/>
          </w:tcPr>
          <w:p w14:paraId="7C068005"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46</w:t>
            </w:r>
          </w:p>
        </w:tc>
        <w:tc>
          <w:tcPr>
            <w:tcW w:w="422" w:type="dxa"/>
            <w:tcBorders>
              <w:top w:val="single" w:sz="4" w:space="0" w:color="FFFFFF"/>
            </w:tcBorders>
            <w:shd w:val="clear" w:color="auto" w:fill="FFCC00"/>
            <w:noWrap/>
            <w:vAlign w:val="center"/>
          </w:tcPr>
          <w:p w14:paraId="206A450B"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21</w:t>
            </w:r>
          </w:p>
        </w:tc>
        <w:tc>
          <w:tcPr>
            <w:tcW w:w="422" w:type="dxa"/>
            <w:tcBorders>
              <w:top w:val="single" w:sz="4" w:space="0" w:color="FFFFFF"/>
            </w:tcBorders>
            <w:shd w:val="clear" w:color="auto" w:fill="FFCC00"/>
            <w:vAlign w:val="center"/>
          </w:tcPr>
          <w:p w14:paraId="27E768FA"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36</w:t>
            </w:r>
          </w:p>
        </w:tc>
        <w:tc>
          <w:tcPr>
            <w:tcW w:w="422" w:type="dxa"/>
            <w:tcBorders>
              <w:top w:val="single" w:sz="4" w:space="0" w:color="FFFFFF"/>
            </w:tcBorders>
            <w:shd w:val="clear" w:color="auto" w:fill="FFCC00"/>
            <w:vAlign w:val="center"/>
          </w:tcPr>
          <w:p w14:paraId="73B2F836" w14:textId="77777777" w:rsidR="00115153" w:rsidRPr="002D209A" w:rsidRDefault="00115153" w:rsidP="00907D11">
            <w:pPr>
              <w:spacing w:before="0" w:after="0" w:line="200" w:lineRule="exact"/>
              <w:ind w:left="-57" w:right="-57"/>
              <w:jc w:val="center"/>
              <w:rPr>
                <w:color w:val="000000"/>
                <w:sz w:val="20"/>
                <w:szCs w:val="20"/>
                <w:lang w:eastAsia="en-AU"/>
              </w:rPr>
            </w:pPr>
            <w:r w:rsidRPr="002D209A">
              <w:rPr>
                <w:color w:val="000000"/>
                <w:sz w:val="20"/>
                <w:szCs w:val="20"/>
                <w:lang w:eastAsia="en-AU"/>
              </w:rPr>
              <w:t>35</w:t>
            </w:r>
          </w:p>
        </w:tc>
        <w:tc>
          <w:tcPr>
            <w:tcW w:w="422" w:type="dxa"/>
            <w:tcBorders>
              <w:top w:val="single" w:sz="4" w:space="0" w:color="FFFFFF"/>
            </w:tcBorders>
            <w:shd w:val="clear" w:color="auto" w:fill="FFCC00"/>
            <w:vAlign w:val="center"/>
          </w:tcPr>
          <w:p w14:paraId="33E93511" w14:textId="77777777" w:rsidR="00115153" w:rsidRPr="002D209A" w:rsidRDefault="00115153" w:rsidP="00907D11">
            <w:pPr>
              <w:spacing w:before="0" w:after="0" w:line="200" w:lineRule="exact"/>
              <w:ind w:left="-57" w:right="-57"/>
              <w:jc w:val="center"/>
              <w:rPr>
                <w:color w:val="000000"/>
                <w:sz w:val="20"/>
                <w:szCs w:val="20"/>
                <w:lang w:eastAsia="en-AU"/>
              </w:rPr>
            </w:pPr>
            <w:r>
              <w:rPr>
                <w:color w:val="000000"/>
                <w:sz w:val="20"/>
                <w:szCs w:val="20"/>
              </w:rPr>
              <w:t>33</w:t>
            </w:r>
          </w:p>
        </w:tc>
        <w:tc>
          <w:tcPr>
            <w:tcW w:w="422" w:type="dxa"/>
            <w:tcBorders>
              <w:top w:val="single" w:sz="4" w:space="0" w:color="FFFFFF"/>
            </w:tcBorders>
            <w:shd w:val="clear" w:color="auto" w:fill="FFCC00"/>
            <w:vAlign w:val="center"/>
          </w:tcPr>
          <w:p w14:paraId="14A593FC" w14:textId="77777777" w:rsidR="00115153" w:rsidRDefault="00115153" w:rsidP="00907D11">
            <w:pPr>
              <w:spacing w:before="0" w:after="0" w:line="200" w:lineRule="exact"/>
              <w:ind w:left="-57" w:right="-57"/>
              <w:jc w:val="center"/>
              <w:rPr>
                <w:color w:val="000000"/>
                <w:sz w:val="20"/>
                <w:szCs w:val="20"/>
              </w:rPr>
            </w:pPr>
            <w:r>
              <w:rPr>
                <w:color w:val="000000"/>
                <w:sz w:val="20"/>
                <w:szCs w:val="20"/>
              </w:rPr>
              <w:t>37</w:t>
            </w:r>
          </w:p>
        </w:tc>
        <w:tc>
          <w:tcPr>
            <w:tcW w:w="464" w:type="dxa"/>
            <w:tcBorders>
              <w:top w:val="single" w:sz="4" w:space="0" w:color="FFFFFF"/>
            </w:tcBorders>
            <w:shd w:val="clear" w:color="auto" w:fill="FFCC00"/>
            <w:vAlign w:val="center"/>
          </w:tcPr>
          <w:p w14:paraId="2F2AF6FA" w14:textId="77777777" w:rsidR="00115153" w:rsidRPr="00FB5F17" w:rsidRDefault="00115153" w:rsidP="00907D11">
            <w:pPr>
              <w:spacing w:before="0" w:after="0" w:line="200" w:lineRule="exact"/>
              <w:ind w:left="-57" w:right="-57"/>
              <w:jc w:val="center"/>
              <w:rPr>
                <w:sz w:val="20"/>
                <w:szCs w:val="20"/>
              </w:rPr>
            </w:pPr>
            <w:r w:rsidRPr="00FB5F17">
              <w:rPr>
                <w:sz w:val="20"/>
                <w:szCs w:val="20"/>
              </w:rPr>
              <w:t>32</w:t>
            </w:r>
          </w:p>
        </w:tc>
      </w:tr>
      <w:tr w:rsidR="00115153" w:rsidRPr="001A5C7B" w14:paraId="09A15318" w14:textId="77777777" w:rsidTr="00121CDB">
        <w:trPr>
          <w:trHeight w:val="312"/>
          <w:jc w:val="center"/>
        </w:trPr>
        <w:tc>
          <w:tcPr>
            <w:tcW w:w="2881" w:type="dxa"/>
            <w:gridSpan w:val="2"/>
            <w:tcBorders>
              <w:top w:val="single" w:sz="4" w:space="0" w:color="000000"/>
              <w:bottom w:val="single" w:sz="4" w:space="0" w:color="000000"/>
            </w:tcBorders>
            <w:shd w:val="clear" w:color="auto" w:fill="auto"/>
            <w:noWrap/>
            <w:vAlign w:val="center"/>
          </w:tcPr>
          <w:p w14:paraId="3A790B2D" w14:textId="77777777" w:rsidR="00115153" w:rsidRPr="001A5C7B" w:rsidRDefault="00115153" w:rsidP="00907D11">
            <w:pPr>
              <w:spacing w:before="0" w:after="0" w:line="200" w:lineRule="exact"/>
              <w:ind w:left="-57" w:right="-57"/>
              <w:rPr>
                <w:b/>
                <w:color w:val="000000"/>
                <w:sz w:val="20"/>
                <w:szCs w:val="20"/>
                <w:lang w:eastAsia="en-AU"/>
              </w:rPr>
            </w:pPr>
            <w:r>
              <w:rPr>
                <w:b/>
                <w:color w:val="000000"/>
                <w:sz w:val="20"/>
                <w:szCs w:val="20"/>
                <w:lang w:eastAsia="en-AU"/>
              </w:rPr>
              <w:t>Seagrass Index</w:t>
            </w:r>
          </w:p>
        </w:tc>
        <w:tc>
          <w:tcPr>
            <w:tcW w:w="422" w:type="dxa"/>
            <w:tcBorders>
              <w:top w:val="single" w:sz="4" w:space="0" w:color="auto"/>
              <w:bottom w:val="single" w:sz="4" w:space="0" w:color="000000"/>
            </w:tcBorders>
            <w:shd w:val="clear" w:color="auto" w:fill="92D050"/>
            <w:noWrap/>
            <w:vAlign w:val="center"/>
          </w:tcPr>
          <w:p w14:paraId="50AE953D"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61</w:t>
            </w:r>
          </w:p>
        </w:tc>
        <w:tc>
          <w:tcPr>
            <w:tcW w:w="422" w:type="dxa"/>
            <w:tcBorders>
              <w:top w:val="single" w:sz="4" w:space="0" w:color="auto"/>
              <w:bottom w:val="single" w:sz="4" w:space="0" w:color="000000"/>
            </w:tcBorders>
            <w:shd w:val="clear" w:color="auto" w:fill="FFCC00"/>
            <w:noWrap/>
            <w:vAlign w:val="center"/>
          </w:tcPr>
          <w:p w14:paraId="54A02179"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29</w:t>
            </w:r>
          </w:p>
        </w:tc>
        <w:tc>
          <w:tcPr>
            <w:tcW w:w="422" w:type="dxa"/>
            <w:tcBorders>
              <w:top w:val="single" w:sz="4" w:space="0" w:color="auto"/>
              <w:bottom w:val="single" w:sz="4" w:space="0" w:color="000000"/>
            </w:tcBorders>
            <w:shd w:val="clear" w:color="auto" w:fill="FFFF00"/>
            <w:noWrap/>
            <w:vAlign w:val="center"/>
          </w:tcPr>
          <w:p w14:paraId="1E30F068"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46</w:t>
            </w:r>
          </w:p>
        </w:tc>
        <w:tc>
          <w:tcPr>
            <w:tcW w:w="422" w:type="dxa"/>
            <w:tcBorders>
              <w:top w:val="single" w:sz="4" w:space="0" w:color="auto"/>
              <w:bottom w:val="single" w:sz="4" w:space="0" w:color="000000"/>
            </w:tcBorders>
            <w:shd w:val="clear" w:color="auto" w:fill="FFFF00"/>
            <w:noWrap/>
            <w:vAlign w:val="center"/>
          </w:tcPr>
          <w:p w14:paraId="56838A44"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43</w:t>
            </w:r>
          </w:p>
        </w:tc>
        <w:tc>
          <w:tcPr>
            <w:tcW w:w="422" w:type="dxa"/>
            <w:tcBorders>
              <w:top w:val="single" w:sz="4" w:space="0" w:color="auto"/>
              <w:bottom w:val="single" w:sz="4" w:space="0" w:color="000000"/>
            </w:tcBorders>
            <w:shd w:val="clear" w:color="auto" w:fill="FFFF00"/>
            <w:noWrap/>
            <w:vAlign w:val="center"/>
          </w:tcPr>
          <w:p w14:paraId="0F5C2D4B"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52</w:t>
            </w:r>
          </w:p>
        </w:tc>
        <w:tc>
          <w:tcPr>
            <w:tcW w:w="422" w:type="dxa"/>
            <w:tcBorders>
              <w:top w:val="single" w:sz="4" w:space="0" w:color="auto"/>
              <w:bottom w:val="single" w:sz="4" w:space="0" w:color="000000"/>
            </w:tcBorders>
            <w:shd w:val="clear" w:color="auto" w:fill="FFFF00"/>
            <w:noWrap/>
            <w:vAlign w:val="center"/>
          </w:tcPr>
          <w:p w14:paraId="5E4260E0"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43</w:t>
            </w:r>
          </w:p>
        </w:tc>
        <w:tc>
          <w:tcPr>
            <w:tcW w:w="422" w:type="dxa"/>
            <w:tcBorders>
              <w:top w:val="single" w:sz="4" w:space="0" w:color="auto"/>
              <w:bottom w:val="single" w:sz="4" w:space="0" w:color="000000"/>
            </w:tcBorders>
            <w:shd w:val="clear" w:color="auto" w:fill="FFC000"/>
            <w:noWrap/>
            <w:vAlign w:val="center"/>
          </w:tcPr>
          <w:p w14:paraId="338B47EB"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21</w:t>
            </w:r>
          </w:p>
        </w:tc>
        <w:tc>
          <w:tcPr>
            <w:tcW w:w="422" w:type="dxa"/>
            <w:tcBorders>
              <w:top w:val="single" w:sz="4" w:space="0" w:color="auto"/>
              <w:bottom w:val="single" w:sz="4" w:space="0" w:color="000000"/>
            </w:tcBorders>
            <w:shd w:val="clear" w:color="auto" w:fill="FFC000"/>
            <w:vAlign w:val="center"/>
          </w:tcPr>
          <w:p w14:paraId="0152D459"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28</w:t>
            </w:r>
          </w:p>
        </w:tc>
        <w:tc>
          <w:tcPr>
            <w:tcW w:w="422" w:type="dxa"/>
            <w:tcBorders>
              <w:top w:val="single" w:sz="4" w:space="0" w:color="auto"/>
              <w:bottom w:val="single" w:sz="4" w:space="0" w:color="000000"/>
            </w:tcBorders>
            <w:shd w:val="clear" w:color="auto" w:fill="FFC000"/>
            <w:vAlign w:val="center"/>
          </w:tcPr>
          <w:p w14:paraId="61A902DE"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29</w:t>
            </w:r>
          </w:p>
        </w:tc>
        <w:tc>
          <w:tcPr>
            <w:tcW w:w="422" w:type="dxa"/>
            <w:tcBorders>
              <w:top w:val="single" w:sz="4" w:space="0" w:color="auto"/>
              <w:bottom w:val="single" w:sz="4" w:space="0" w:color="000000"/>
            </w:tcBorders>
            <w:shd w:val="clear" w:color="auto" w:fill="FFC000"/>
            <w:vAlign w:val="center"/>
          </w:tcPr>
          <w:p w14:paraId="2BDFE2C1" w14:textId="77777777" w:rsidR="00115153" w:rsidRPr="001A5C7B"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30</w:t>
            </w:r>
          </w:p>
        </w:tc>
        <w:tc>
          <w:tcPr>
            <w:tcW w:w="422" w:type="dxa"/>
            <w:tcBorders>
              <w:top w:val="single" w:sz="4" w:space="0" w:color="auto"/>
              <w:bottom w:val="single" w:sz="4" w:space="0" w:color="000000"/>
            </w:tcBorders>
            <w:shd w:val="clear" w:color="auto" w:fill="FFCC00"/>
            <w:vAlign w:val="center"/>
          </w:tcPr>
          <w:p w14:paraId="470ADED4" w14:textId="77777777" w:rsidR="00115153" w:rsidRDefault="00115153" w:rsidP="00907D11">
            <w:pPr>
              <w:spacing w:before="0" w:after="0" w:line="200" w:lineRule="exact"/>
              <w:ind w:left="-57" w:right="-57"/>
              <w:jc w:val="center"/>
              <w:rPr>
                <w:b/>
                <w:color w:val="000000"/>
                <w:sz w:val="20"/>
                <w:szCs w:val="20"/>
                <w:lang w:eastAsia="en-AU"/>
              </w:rPr>
            </w:pPr>
            <w:r>
              <w:rPr>
                <w:b/>
                <w:color w:val="000000"/>
                <w:sz w:val="20"/>
                <w:szCs w:val="20"/>
                <w:lang w:eastAsia="en-AU"/>
              </w:rPr>
              <w:t>34</w:t>
            </w:r>
          </w:p>
        </w:tc>
        <w:tc>
          <w:tcPr>
            <w:tcW w:w="464" w:type="dxa"/>
            <w:tcBorders>
              <w:top w:val="single" w:sz="4" w:space="0" w:color="auto"/>
              <w:bottom w:val="single" w:sz="4" w:space="0" w:color="000000"/>
            </w:tcBorders>
            <w:shd w:val="clear" w:color="auto" w:fill="FFCC00"/>
            <w:vAlign w:val="center"/>
          </w:tcPr>
          <w:p w14:paraId="07134742" w14:textId="77777777" w:rsidR="00115153" w:rsidRPr="00FB5F17" w:rsidRDefault="00115153" w:rsidP="00907D11">
            <w:pPr>
              <w:spacing w:before="0" w:after="0" w:line="200" w:lineRule="exact"/>
              <w:ind w:left="-57" w:right="-57"/>
              <w:jc w:val="center"/>
              <w:rPr>
                <w:b/>
                <w:color w:val="000000"/>
                <w:sz w:val="20"/>
                <w:szCs w:val="20"/>
                <w:lang w:eastAsia="en-AU"/>
              </w:rPr>
            </w:pPr>
            <w:r w:rsidRPr="00FB5F17">
              <w:rPr>
                <w:b/>
                <w:color w:val="000000"/>
                <w:sz w:val="20"/>
                <w:szCs w:val="20"/>
                <w:lang w:eastAsia="en-AU"/>
              </w:rPr>
              <w:t>32</w:t>
            </w:r>
          </w:p>
        </w:tc>
      </w:tr>
      <w:bookmarkEnd w:id="285"/>
    </w:tbl>
    <w:p w14:paraId="13784917" w14:textId="2FE30D3E" w:rsidR="00F13465" w:rsidRDefault="00F13465" w:rsidP="00F13465">
      <w:pPr>
        <w:rPr>
          <w:szCs w:val="22"/>
        </w:rPr>
      </w:pPr>
    </w:p>
    <w:p w14:paraId="347FD01A" w14:textId="77777777" w:rsidR="00F13465" w:rsidRDefault="00F13465">
      <w:pPr>
        <w:spacing w:before="0" w:after="0"/>
        <w:rPr>
          <w:szCs w:val="22"/>
        </w:rPr>
      </w:pPr>
      <w:r>
        <w:rPr>
          <w:szCs w:val="22"/>
        </w:rPr>
        <w:br w:type="page"/>
      </w:r>
    </w:p>
    <w:p w14:paraId="575E9775" w14:textId="77777777" w:rsidR="00F13465" w:rsidRPr="006E0687" w:rsidRDefault="00F13465" w:rsidP="00F13465">
      <w:pPr>
        <w:pStyle w:val="Heading2"/>
        <w:numPr>
          <w:ilvl w:val="1"/>
          <w:numId w:val="9"/>
        </w:numPr>
        <w:rPr>
          <w:rFonts w:ascii="Century Gothic" w:hAnsi="Century Gothic"/>
          <w:color w:val="000000"/>
        </w:rPr>
      </w:pPr>
      <w:bookmarkStart w:id="286" w:name="_Toc516053143"/>
      <w:r w:rsidRPr="006E0687">
        <w:rPr>
          <w:rFonts w:ascii="Century Gothic" w:hAnsi="Century Gothic"/>
          <w:color w:val="000000"/>
        </w:rPr>
        <w:t>Wet Tropics</w:t>
      </w:r>
      <w:bookmarkEnd w:id="286"/>
    </w:p>
    <w:p w14:paraId="75C3EA68" w14:textId="04CFAD7A" w:rsidR="005132EF" w:rsidRPr="00BD0604" w:rsidRDefault="008574EC" w:rsidP="00926892">
      <w:pPr>
        <w:pStyle w:val="Heading3"/>
        <w:numPr>
          <w:ilvl w:val="2"/>
          <w:numId w:val="9"/>
        </w:numPr>
        <w:rPr>
          <w:rFonts w:ascii="Arial" w:hAnsi="Arial" w:cs="Arial"/>
          <w:color w:val="000000"/>
        </w:rPr>
      </w:pPr>
      <w:bookmarkStart w:id="287" w:name="_Toc184101982"/>
      <w:bookmarkStart w:id="288" w:name="_Toc431493764"/>
      <w:bookmarkStart w:id="289" w:name="_Toc516053144"/>
      <w:bookmarkEnd w:id="281"/>
      <w:bookmarkEnd w:id="282"/>
      <w:bookmarkEnd w:id="283"/>
      <w:bookmarkEnd w:id="284"/>
      <w:r>
        <w:rPr>
          <w:rFonts w:ascii="Arial" w:hAnsi="Arial" w:cs="Arial"/>
          <w:color w:val="000000"/>
        </w:rPr>
        <w:t>2016–17</w:t>
      </w:r>
      <w:r w:rsidR="005132EF" w:rsidRPr="00BD0604">
        <w:rPr>
          <w:rFonts w:ascii="Arial" w:hAnsi="Arial" w:cs="Arial"/>
          <w:color w:val="000000"/>
        </w:rPr>
        <w:t xml:space="preserve"> </w:t>
      </w:r>
      <w:r w:rsidR="002F55F1">
        <w:rPr>
          <w:rFonts w:ascii="Arial" w:hAnsi="Arial" w:cs="Arial"/>
          <w:color w:val="000000"/>
        </w:rPr>
        <w:t>s</w:t>
      </w:r>
      <w:r w:rsidR="005132EF" w:rsidRPr="00BD0604">
        <w:rPr>
          <w:rFonts w:ascii="Arial" w:hAnsi="Arial" w:cs="Arial"/>
          <w:color w:val="000000"/>
        </w:rPr>
        <w:t>ummary</w:t>
      </w:r>
      <w:bookmarkEnd w:id="287"/>
      <w:bookmarkEnd w:id="288"/>
      <w:bookmarkEnd w:id="289"/>
    </w:p>
    <w:p w14:paraId="7804871F" w14:textId="266DB2DD" w:rsidR="003611ED" w:rsidRPr="00754C3C" w:rsidRDefault="003611ED" w:rsidP="003611ED">
      <w:pPr>
        <w:rPr>
          <w:szCs w:val="22"/>
        </w:rPr>
      </w:pPr>
      <w:bookmarkStart w:id="290" w:name="_Toc184101983"/>
      <w:bookmarkStart w:id="291" w:name="_Toc431493765"/>
      <w:r w:rsidRPr="00754C3C">
        <w:rPr>
          <w:szCs w:val="22"/>
        </w:rPr>
        <w:t xml:space="preserve">The Wet Tropics includes two World Heritage Areas, however increases in intensive agriculture, coastal development and declining water quality have been identified as significant across the region. </w:t>
      </w:r>
      <w:r w:rsidR="00390FEB" w:rsidRPr="00754C3C">
        <w:rPr>
          <w:szCs w:val="22"/>
        </w:rPr>
        <w:t xml:space="preserve">In </w:t>
      </w:r>
      <w:r w:rsidR="008574EC">
        <w:rPr>
          <w:szCs w:val="22"/>
        </w:rPr>
        <w:t>2016–17</w:t>
      </w:r>
      <w:r w:rsidRPr="00754C3C">
        <w:rPr>
          <w:szCs w:val="22"/>
        </w:rPr>
        <w:t xml:space="preserve"> </w:t>
      </w:r>
      <w:r w:rsidR="00F51BEA" w:rsidRPr="00754C3C">
        <w:rPr>
          <w:szCs w:val="22"/>
        </w:rPr>
        <w:t>r</w:t>
      </w:r>
      <w:r w:rsidRPr="00754C3C">
        <w:rPr>
          <w:rFonts w:cs="TimesNewRoman"/>
          <w:szCs w:val="22"/>
        </w:rPr>
        <w:t xml:space="preserve">ainfall and river discharge </w:t>
      </w:r>
      <w:r w:rsidR="00390FEB" w:rsidRPr="00754C3C">
        <w:rPr>
          <w:rFonts w:cs="TimesNewRoman"/>
          <w:szCs w:val="22"/>
        </w:rPr>
        <w:t>were</w:t>
      </w:r>
      <w:r w:rsidRPr="00754C3C">
        <w:rPr>
          <w:rFonts w:cs="TimesNewRoman"/>
          <w:szCs w:val="22"/>
        </w:rPr>
        <w:t xml:space="preserve"> </w:t>
      </w:r>
      <w:r w:rsidR="00390FEB" w:rsidRPr="00754C3C">
        <w:rPr>
          <w:rFonts w:cs="TimesNewRoman"/>
          <w:szCs w:val="22"/>
        </w:rPr>
        <w:t xml:space="preserve">again </w:t>
      </w:r>
      <w:r w:rsidRPr="00754C3C">
        <w:rPr>
          <w:rFonts w:cs="TimesNewRoman"/>
          <w:szCs w:val="22"/>
        </w:rPr>
        <w:t>below the long-term average</w:t>
      </w:r>
      <w:r w:rsidR="00D6376F" w:rsidRPr="00754C3C">
        <w:rPr>
          <w:rFonts w:cs="TimesNewRoman"/>
          <w:szCs w:val="22"/>
        </w:rPr>
        <w:t xml:space="preserve">. </w:t>
      </w:r>
      <w:r w:rsidR="00F51BEA" w:rsidRPr="00754C3C">
        <w:rPr>
          <w:rFonts w:cs="TimesNewRoman"/>
          <w:szCs w:val="22"/>
        </w:rPr>
        <w:t>Despite this, c</w:t>
      </w:r>
      <w:r w:rsidRPr="00754C3C">
        <w:rPr>
          <w:rFonts w:cs="TimesNewRoman"/>
          <w:szCs w:val="22"/>
        </w:rPr>
        <w:t xml:space="preserve">oastal </w:t>
      </w:r>
      <w:r w:rsidR="00390FEB" w:rsidRPr="00754C3C">
        <w:rPr>
          <w:rFonts w:cs="TimesNewRoman"/>
          <w:szCs w:val="22"/>
        </w:rPr>
        <w:t xml:space="preserve">sites </w:t>
      </w:r>
      <w:r w:rsidRPr="00754C3C">
        <w:rPr>
          <w:rFonts w:cs="TimesNewRoman"/>
          <w:szCs w:val="22"/>
        </w:rPr>
        <w:t xml:space="preserve">and </w:t>
      </w:r>
      <w:r w:rsidR="00390FEB" w:rsidRPr="00754C3C">
        <w:rPr>
          <w:rFonts w:cs="TimesNewRoman"/>
          <w:szCs w:val="22"/>
        </w:rPr>
        <w:t>Dunk Island</w:t>
      </w:r>
      <w:r w:rsidRPr="00754C3C">
        <w:rPr>
          <w:rFonts w:cs="TimesNewRoman"/>
          <w:szCs w:val="22"/>
        </w:rPr>
        <w:t xml:space="preserve"> </w:t>
      </w:r>
      <w:r w:rsidR="00390FEB" w:rsidRPr="00754C3C">
        <w:rPr>
          <w:rFonts w:cs="TimesNewRoman"/>
          <w:szCs w:val="22"/>
        </w:rPr>
        <w:t xml:space="preserve">(which is the reef site closest to shore) </w:t>
      </w:r>
      <w:r w:rsidRPr="00754C3C">
        <w:rPr>
          <w:rFonts w:cs="TimesNewRoman"/>
          <w:szCs w:val="22"/>
        </w:rPr>
        <w:t xml:space="preserve">were exposed to </w:t>
      </w:r>
      <w:r w:rsidR="0082736B" w:rsidRPr="00754C3C">
        <w:rPr>
          <w:rFonts w:cs="TimesNewRoman"/>
          <w:szCs w:val="22"/>
        </w:rPr>
        <w:t>‘brown’ or ‘green’</w:t>
      </w:r>
      <w:r w:rsidRPr="00754C3C">
        <w:rPr>
          <w:rFonts w:cs="TimesNewRoman"/>
          <w:szCs w:val="22"/>
        </w:rPr>
        <w:t xml:space="preserve"> </w:t>
      </w:r>
      <w:r w:rsidR="0082736B" w:rsidRPr="00754C3C">
        <w:rPr>
          <w:rFonts w:cs="TimesNewRoman"/>
          <w:szCs w:val="22"/>
        </w:rPr>
        <w:t>turbid</w:t>
      </w:r>
      <w:r w:rsidRPr="00754C3C">
        <w:rPr>
          <w:rFonts w:cs="TimesNewRoman"/>
          <w:szCs w:val="22"/>
        </w:rPr>
        <w:t xml:space="preserve"> water tfor </w:t>
      </w:r>
      <w:r w:rsidR="0082736B" w:rsidRPr="00754C3C">
        <w:rPr>
          <w:rFonts w:cs="TimesNewRoman"/>
          <w:szCs w:val="22"/>
        </w:rPr>
        <w:t>95</w:t>
      </w:r>
      <w:r w:rsidR="00390FEB" w:rsidRPr="00754C3C">
        <w:rPr>
          <w:rFonts w:cs="TimesNewRoman"/>
          <w:szCs w:val="22"/>
        </w:rPr>
        <w:t>-</w:t>
      </w:r>
      <w:r w:rsidRPr="00754C3C">
        <w:rPr>
          <w:rFonts w:cs="TimesNewRoman"/>
          <w:szCs w:val="22"/>
        </w:rPr>
        <w:t>100</w:t>
      </w:r>
      <w:r w:rsidR="0063478C" w:rsidRPr="00754C3C">
        <w:rPr>
          <w:rFonts w:cs="TimesNewRoman"/>
          <w:szCs w:val="22"/>
        </w:rPr>
        <w:t xml:space="preserve"> per cent</w:t>
      </w:r>
      <w:r w:rsidRPr="00754C3C">
        <w:rPr>
          <w:rFonts w:cs="TimesNewRoman"/>
          <w:szCs w:val="22"/>
        </w:rPr>
        <w:t xml:space="preserve"> </w:t>
      </w:r>
      <w:r w:rsidR="0082736B" w:rsidRPr="00754C3C">
        <w:rPr>
          <w:rFonts w:cs="TimesNewRoman"/>
          <w:szCs w:val="22"/>
        </w:rPr>
        <w:t>of the wet season (December 2016 to April 2017</w:t>
      </w:r>
      <w:r w:rsidRPr="00754C3C">
        <w:rPr>
          <w:rFonts w:cs="TimesNewRoman"/>
          <w:szCs w:val="22"/>
        </w:rPr>
        <w:t>)</w:t>
      </w:r>
      <w:r w:rsidR="0082736B" w:rsidRPr="00754C3C">
        <w:rPr>
          <w:rFonts w:cs="TimesNewRoman"/>
          <w:szCs w:val="22"/>
        </w:rPr>
        <w:t xml:space="preserve"> and c</w:t>
      </w:r>
      <w:r w:rsidRPr="00754C3C">
        <w:rPr>
          <w:rFonts w:cs="TimesNewRoman"/>
          <w:szCs w:val="22"/>
        </w:rPr>
        <w:t xml:space="preserve">anopy </w:t>
      </w:r>
      <w:r w:rsidR="00880A75" w:rsidRPr="00754C3C">
        <w:rPr>
          <w:rFonts w:cs="TimesNewRoman"/>
          <w:szCs w:val="22"/>
        </w:rPr>
        <w:t>daily light was slightly lower than the long-term average across the entire region</w:t>
      </w:r>
      <w:r w:rsidRPr="00754C3C">
        <w:rPr>
          <w:rFonts w:cs="TimesNewRoman"/>
          <w:szCs w:val="22"/>
        </w:rPr>
        <w:t xml:space="preserve">. </w:t>
      </w:r>
      <w:r w:rsidR="0082736B" w:rsidRPr="00754C3C">
        <w:rPr>
          <w:rFonts w:cs="TimesNewRoman"/>
          <w:szCs w:val="22"/>
        </w:rPr>
        <w:t>Due to a widespread seawater thermal anaomaly, water temperature exceeded the long-term average by almost 1</w:t>
      </w:r>
      <w:r w:rsidR="0082736B" w:rsidRPr="00754C3C">
        <w:rPr>
          <w:szCs w:val="22"/>
        </w:rPr>
        <w:sym w:font="Symbol" w:char="F0B0"/>
      </w:r>
      <w:r w:rsidR="0082736B" w:rsidRPr="00754C3C">
        <w:rPr>
          <w:rFonts w:cs="TimesNewRoman"/>
          <w:szCs w:val="22"/>
        </w:rPr>
        <w:t xml:space="preserve">C on average throughout the year. </w:t>
      </w:r>
      <w:r w:rsidR="00CD61F3" w:rsidRPr="00754C3C">
        <w:rPr>
          <w:szCs w:val="22"/>
        </w:rPr>
        <w:t>The number of days that seawater temperature was above 35</w:t>
      </w:r>
      <w:r w:rsidR="00CD61F3" w:rsidRPr="00754C3C">
        <w:rPr>
          <w:szCs w:val="22"/>
        </w:rPr>
        <w:sym w:font="Symbol" w:char="F0B0"/>
      </w:r>
      <w:r w:rsidR="00CD61F3" w:rsidRPr="00754C3C">
        <w:rPr>
          <w:szCs w:val="22"/>
        </w:rPr>
        <w:t xml:space="preserve">C </w:t>
      </w:r>
      <w:r w:rsidR="0082736B" w:rsidRPr="00754C3C">
        <w:rPr>
          <w:szCs w:val="22"/>
        </w:rPr>
        <w:t>(70 d) exceeded the thermal stress event in the previous year (50 d)</w:t>
      </w:r>
      <w:r w:rsidR="00CD61F3" w:rsidRPr="00754C3C">
        <w:rPr>
          <w:szCs w:val="22"/>
        </w:rPr>
        <w:t xml:space="preserve">. </w:t>
      </w:r>
      <w:r w:rsidR="0082736B" w:rsidRPr="00754C3C">
        <w:rPr>
          <w:rFonts w:cs="Calibri"/>
          <w:szCs w:val="22"/>
        </w:rPr>
        <w:t>But extreme heat stress days (&gt;40</w:t>
      </w:r>
      <w:r w:rsidR="0082736B" w:rsidRPr="00754C3C">
        <w:rPr>
          <w:szCs w:val="22"/>
        </w:rPr>
        <w:sym w:font="Symbol" w:char="F0B0"/>
      </w:r>
      <w:r w:rsidR="0082736B" w:rsidRPr="00754C3C">
        <w:rPr>
          <w:szCs w:val="22"/>
        </w:rPr>
        <w:t>C</w:t>
      </w:r>
      <w:r w:rsidR="0082736B" w:rsidRPr="00754C3C">
        <w:rPr>
          <w:rFonts w:cs="Calibri"/>
          <w:szCs w:val="22"/>
        </w:rPr>
        <w:t xml:space="preserve">), only occurred on 3 days. </w:t>
      </w:r>
    </w:p>
    <w:p w14:paraId="60C0AD77" w14:textId="1847656E" w:rsidR="003611ED" w:rsidRPr="00DE7535" w:rsidRDefault="003611ED" w:rsidP="003611ED">
      <w:pPr>
        <w:rPr>
          <w:color w:val="000000" w:themeColor="text1"/>
          <w:szCs w:val="22"/>
        </w:rPr>
      </w:pPr>
      <w:r w:rsidRPr="007415DC">
        <w:rPr>
          <w:color w:val="000000" w:themeColor="text1"/>
          <w:szCs w:val="22"/>
        </w:rPr>
        <w:t>Seagrass meadows in the region remain in a vulne</w:t>
      </w:r>
      <w:r w:rsidR="00850F6A" w:rsidRPr="007415DC">
        <w:rPr>
          <w:color w:val="000000" w:themeColor="text1"/>
          <w:szCs w:val="22"/>
        </w:rPr>
        <w:t xml:space="preserve">rable state in </w:t>
      </w:r>
      <w:r w:rsidR="008574EC">
        <w:rPr>
          <w:color w:val="000000" w:themeColor="text1"/>
          <w:szCs w:val="22"/>
        </w:rPr>
        <w:t>2016–17</w:t>
      </w:r>
      <w:r w:rsidRPr="007415DC">
        <w:rPr>
          <w:color w:val="000000" w:themeColor="text1"/>
          <w:szCs w:val="22"/>
        </w:rPr>
        <w:t xml:space="preserve"> with an overall abundance rating of poor. </w:t>
      </w:r>
      <w:r w:rsidR="00850F6A" w:rsidRPr="007415DC">
        <w:rPr>
          <w:color w:val="000000" w:themeColor="text1"/>
          <w:szCs w:val="22"/>
        </w:rPr>
        <w:t xml:space="preserve">The trends in abundance </w:t>
      </w:r>
      <w:r w:rsidR="00F51BEA" w:rsidRPr="007415DC">
        <w:rPr>
          <w:color w:val="000000" w:themeColor="text1"/>
          <w:szCs w:val="22"/>
        </w:rPr>
        <w:t>vary among locations</w:t>
      </w:r>
      <w:r w:rsidR="00850F6A" w:rsidRPr="007415DC">
        <w:rPr>
          <w:color w:val="000000" w:themeColor="text1"/>
          <w:szCs w:val="22"/>
        </w:rPr>
        <w:t xml:space="preserve"> reflecting a complex range of environmental and biological process</w:t>
      </w:r>
      <w:r w:rsidR="00F51BEA" w:rsidRPr="007415DC">
        <w:rPr>
          <w:color w:val="000000" w:themeColor="text1"/>
          <w:szCs w:val="22"/>
        </w:rPr>
        <w:t>e</w:t>
      </w:r>
      <w:r w:rsidR="00850F6A" w:rsidRPr="007415DC">
        <w:rPr>
          <w:color w:val="000000" w:themeColor="text1"/>
          <w:szCs w:val="22"/>
        </w:rPr>
        <w:t xml:space="preserve">s affecting recovery rates. </w:t>
      </w:r>
      <w:r w:rsidR="00F51BEA" w:rsidRPr="007415DC">
        <w:rPr>
          <w:color w:val="000000" w:themeColor="text1"/>
          <w:szCs w:val="22"/>
        </w:rPr>
        <w:t>A</w:t>
      </w:r>
      <w:r w:rsidRPr="007415DC">
        <w:rPr>
          <w:color w:val="000000" w:themeColor="text1"/>
          <w:szCs w:val="22"/>
        </w:rPr>
        <w:t xml:space="preserve">bundance </w:t>
      </w:r>
      <w:r w:rsidR="00F51BEA" w:rsidRPr="007415DC">
        <w:rPr>
          <w:color w:val="000000" w:themeColor="text1"/>
          <w:szCs w:val="22"/>
        </w:rPr>
        <w:t>continued to decline</w:t>
      </w:r>
      <w:r w:rsidRPr="007415DC">
        <w:rPr>
          <w:color w:val="000000" w:themeColor="text1"/>
          <w:szCs w:val="22"/>
        </w:rPr>
        <w:t xml:space="preserve"> at </w:t>
      </w:r>
      <w:r w:rsidR="00F51BEA" w:rsidRPr="007415DC">
        <w:rPr>
          <w:color w:val="000000" w:themeColor="text1"/>
          <w:szCs w:val="22"/>
        </w:rPr>
        <w:t>the</w:t>
      </w:r>
      <w:r w:rsidR="00C2093A" w:rsidRPr="007415DC">
        <w:rPr>
          <w:color w:val="000000" w:themeColor="text1"/>
          <w:szCs w:val="22"/>
        </w:rPr>
        <w:t xml:space="preserve"> </w:t>
      </w:r>
      <w:r w:rsidR="00F51BEA" w:rsidRPr="007415DC">
        <w:rPr>
          <w:color w:val="000000" w:themeColor="text1"/>
          <w:szCs w:val="22"/>
        </w:rPr>
        <w:t>Green Island subtidal site</w:t>
      </w:r>
      <w:r w:rsidR="007415DC" w:rsidRPr="007415DC">
        <w:rPr>
          <w:color w:val="000000" w:themeColor="text1"/>
          <w:szCs w:val="22"/>
        </w:rPr>
        <w:t xml:space="preserve"> and previous trends for increasing abundance at the other subtidal sites reversed. </w:t>
      </w:r>
      <w:r w:rsidR="007415DC">
        <w:rPr>
          <w:color w:val="000000" w:themeColor="text1"/>
          <w:szCs w:val="22"/>
        </w:rPr>
        <w:t xml:space="preserve">Despite this, the proportion of colonising species reduced at the reef intertidal and subtidal sites in </w:t>
      </w:r>
      <w:r w:rsidR="008574EC">
        <w:rPr>
          <w:color w:val="000000" w:themeColor="text1"/>
          <w:szCs w:val="22"/>
        </w:rPr>
        <w:t>2016–17</w:t>
      </w:r>
      <w:r w:rsidR="007415DC">
        <w:rPr>
          <w:color w:val="000000" w:themeColor="text1"/>
          <w:szCs w:val="22"/>
        </w:rPr>
        <w:t xml:space="preserve">. </w:t>
      </w:r>
      <w:r w:rsidR="0022266A" w:rsidRPr="00DE7535">
        <w:rPr>
          <w:color w:val="000000" w:themeColor="text1"/>
          <w:szCs w:val="22"/>
        </w:rPr>
        <w:t xml:space="preserve">The overall rating for reproductive effort further declined and remained very poor, </w:t>
      </w:r>
      <w:r w:rsidR="00DE7535" w:rsidRPr="00DE7535">
        <w:rPr>
          <w:color w:val="000000" w:themeColor="text1"/>
          <w:szCs w:val="22"/>
        </w:rPr>
        <w:t xml:space="preserve">due to very low reproductive effort at reef sites, and a reduction at the coastal sites in </w:t>
      </w:r>
      <w:r w:rsidR="008574EC">
        <w:rPr>
          <w:color w:val="000000" w:themeColor="text1"/>
          <w:szCs w:val="22"/>
        </w:rPr>
        <w:t>2016–17</w:t>
      </w:r>
      <w:r w:rsidR="00DE7535" w:rsidRPr="00DE7535">
        <w:rPr>
          <w:color w:val="000000" w:themeColor="text1"/>
          <w:szCs w:val="22"/>
        </w:rPr>
        <w:t xml:space="preserve">. </w:t>
      </w:r>
      <w:r w:rsidR="00DE7535">
        <w:rPr>
          <w:color w:val="000000" w:themeColor="text1"/>
          <w:szCs w:val="22"/>
        </w:rPr>
        <w:t xml:space="preserve">The density of seeds in the seed banks also remained very low at reef sites, but above the long-term average at Yule Point. </w:t>
      </w:r>
      <w:r w:rsidR="00DE7535" w:rsidRPr="00DE7535">
        <w:rPr>
          <w:color w:val="000000" w:themeColor="text1"/>
          <w:szCs w:val="22"/>
        </w:rPr>
        <w:t>L</w:t>
      </w:r>
      <w:r w:rsidRPr="00DE7535">
        <w:rPr>
          <w:color w:val="000000" w:themeColor="text1"/>
          <w:szCs w:val="22"/>
        </w:rPr>
        <w:t xml:space="preserve">eaf tissue </w:t>
      </w:r>
      <w:r w:rsidR="00DE7535" w:rsidRPr="00DE7535">
        <w:rPr>
          <w:color w:val="000000" w:themeColor="text1"/>
          <w:szCs w:val="22"/>
        </w:rPr>
        <w:t>nutrients (C:N), have remained unchanged for a number of years, and suggest</w:t>
      </w:r>
      <w:r w:rsidRPr="00DE7535">
        <w:rPr>
          <w:color w:val="000000" w:themeColor="text1"/>
          <w:szCs w:val="22"/>
        </w:rPr>
        <w:t xml:space="preserve"> an excess of nitrogen relative photosynthetic C uptake (C:N &lt;20), which is consistent with the high frequency of exposure to secondary water. Nutrient status therefore remained poor. </w:t>
      </w:r>
    </w:p>
    <w:p w14:paraId="5ACB9C26" w14:textId="7BED52F7" w:rsidR="003611ED" w:rsidRPr="00791A68" w:rsidRDefault="003611ED" w:rsidP="003611ED">
      <w:pPr>
        <w:rPr>
          <w:color w:val="000000" w:themeColor="text1"/>
          <w:szCs w:val="22"/>
        </w:rPr>
      </w:pPr>
      <w:r w:rsidRPr="00791A68">
        <w:rPr>
          <w:color w:val="000000" w:themeColor="text1"/>
          <w:szCs w:val="22"/>
        </w:rPr>
        <w:t xml:space="preserve">Overall, the status of seagrass condition in the Wet Tropics NRM region has remained </w:t>
      </w:r>
      <w:r w:rsidRPr="00791A68">
        <w:rPr>
          <w:b/>
          <w:color w:val="000000" w:themeColor="text1"/>
          <w:szCs w:val="22"/>
        </w:rPr>
        <w:t>poor</w:t>
      </w:r>
      <w:r w:rsidRPr="00791A68">
        <w:rPr>
          <w:color w:val="000000" w:themeColor="text1"/>
          <w:szCs w:val="22"/>
        </w:rPr>
        <w:t xml:space="preserve"> in </w:t>
      </w:r>
      <w:r w:rsidR="008574EC">
        <w:rPr>
          <w:color w:val="000000" w:themeColor="text1"/>
          <w:szCs w:val="22"/>
        </w:rPr>
        <w:t>2016–17</w:t>
      </w:r>
      <w:r w:rsidRPr="00791A68">
        <w:rPr>
          <w:color w:val="000000" w:themeColor="text1"/>
          <w:szCs w:val="22"/>
        </w:rPr>
        <w:t xml:space="preserve"> (</w:t>
      </w:r>
      <w:r w:rsidR="00F7114B" w:rsidRPr="00791A68">
        <w:rPr>
          <w:color w:val="000000" w:themeColor="text1"/>
          <w:szCs w:val="22"/>
        </w:rPr>
        <w:fldChar w:fldCharType="begin"/>
      </w:r>
      <w:r w:rsidR="00F7114B" w:rsidRPr="00791A68">
        <w:rPr>
          <w:color w:val="000000" w:themeColor="text1"/>
          <w:szCs w:val="22"/>
        </w:rPr>
        <w:instrText xml:space="preserve"> REF _Ref385233640 \h </w:instrText>
      </w:r>
      <w:r w:rsidR="001838E0" w:rsidRPr="00791A68">
        <w:rPr>
          <w:color w:val="000000" w:themeColor="text1"/>
          <w:szCs w:val="22"/>
        </w:rPr>
        <w:instrText xml:space="preserve"> \* MERGEFORMAT </w:instrText>
      </w:r>
      <w:r w:rsidR="00F7114B" w:rsidRPr="00791A68">
        <w:rPr>
          <w:color w:val="000000" w:themeColor="text1"/>
          <w:szCs w:val="22"/>
        </w:rPr>
      </w:r>
      <w:r w:rsidR="00F7114B" w:rsidRPr="00791A68">
        <w:rPr>
          <w:color w:val="000000" w:themeColor="text1"/>
          <w:szCs w:val="22"/>
        </w:rPr>
        <w:fldChar w:fldCharType="separate"/>
      </w:r>
      <w:r w:rsidR="00F87DF9" w:rsidRPr="00F87DF9">
        <w:rPr>
          <w:color w:val="000000" w:themeColor="text1"/>
        </w:rPr>
        <w:t xml:space="preserve">Figure </w:t>
      </w:r>
      <w:r w:rsidR="00F87DF9" w:rsidRPr="00F87DF9">
        <w:rPr>
          <w:noProof/>
          <w:color w:val="000000" w:themeColor="text1"/>
        </w:rPr>
        <w:t>45</w:t>
      </w:r>
      <w:r w:rsidR="00F7114B" w:rsidRPr="00791A68">
        <w:rPr>
          <w:color w:val="000000" w:themeColor="text1"/>
          <w:szCs w:val="22"/>
        </w:rPr>
        <w:fldChar w:fldCharType="end"/>
      </w:r>
      <w:r w:rsidRPr="00791A68">
        <w:rPr>
          <w:color w:val="000000" w:themeColor="text1"/>
          <w:szCs w:val="22"/>
        </w:rPr>
        <w:t xml:space="preserve">). On average, Wet Tropics seagrass meadows remain in a vulnerable condition with low resilience, however, some sites </w:t>
      </w:r>
      <w:r w:rsidR="00DE7535" w:rsidRPr="00791A68">
        <w:rPr>
          <w:color w:val="000000" w:themeColor="text1"/>
          <w:szCs w:val="22"/>
        </w:rPr>
        <w:t xml:space="preserve">have shown recent signs of improving, </w:t>
      </w:r>
      <w:r w:rsidR="00754C3C">
        <w:rPr>
          <w:color w:val="000000" w:themeColor="text1"/>
          <w:szCs w:val="22"/>
        </w:rPr>
        <w:t>while</w:t>
      </w:r>
      <w:r w:rsidR="00DE7535" w:rsidRPr="00791A68">
        <w:rPr>
          <w:color w:val="000000" w:themeColor="text1"/>
          <w:szCs w:val="22"/>
        </w:rPr>
        <w:t xml:space="preserve"> others </w:t>
      </w:r>
      <w:r w:rsidRPr="00791A68">
        <w:rPr>
          <w:color w:val="000000" w:themeColor="text1"/>
          <w:szCs w:val="22"/>
        </w:rPr>
        <w:t>have deteriorated</w:t>
      </w:r>
      <w:r w:rsidR="00DE7535" w:rsidRPr="00791A68">
        <w:rPr>
          <w:color w:val="000000" w:themeColor="text1"/>
          <w:szCs w:val="22"/>
        </w:rPr>
        <w:t xml:space="preserve"> in </w:t>
      </w:r>
      <w:r w:rsidR="008574EC">
        <w:rPr>
          <w:color w:val="000000" w:themeColor="text1"/>
          <w:szCs w:val="22"/>
        </w:rPr>
        <w:t>2016–17</w:t>
      </w:r>
      <w:r w:rsidRPr="00791A68">
        <w:rPr>
          <w:color w:val="000000" w:themeColor="text1"/>
          <w:szCs w:val="22"/>
        </w:rPr>
        <w:t xml:space="preserve">. </w:t>
      </w:r>
    </w:p>
    <w:p w14:paraId="5032498D" w14:textId="77777777" w:rsidR="00334002" w:rsidRDefault="00334002" w:rsidP="00F7114B">
      <w:pPr>
        <w:jc w:val="center"/>
        <w:rPr>
          <w:color w:val="000000"/>
          <w:szCs w:val="22"/>
        </w:rPr>
      </w:pPr>
      <w:r>
        <w:rPr>
          <w:noProof/>
          <w:color w:val="000000"/>
          <w:szCs w:val="22"/>
          <w:lang w:eastAsia="en-AU"/>
        </w:rPr>
        <w:drawing>
          <wp:inline distT="0" distB="0" distL="0" distR="0" wp14:anchorId="6854967B" wp14:editId="3E7AF6F4">
            <wp:extent cx="4755902" cy="2628368"/>
            <wp:effectExtent l="0" t="0" r="6985" b="635"/>
            <wp:docPr id="291" name="Picture 291" descr="Panel of four scatter plots with straight lines and markers showing report card of seagrass condition (indicators and index) for the Wet Tropics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INDEX_WT_2016.png"/>
                    <pic:cNvPicPr/>
                  </pic:nvPicPr>
                  <pic:blipFill>
                    <a:blip r:embed="rId82">
                      <a:extLst>
                        <a:ext uri="{28A0092B-C50C-407E-A947-70E740481C1C}">
                          <a14:useLocalDpi xmlns:a14="http://schemas.microsoft.com/office/drawing/2010/main" val="0"/>
                        </a:ext>
                      </a:extLst>
                    </a:blip>
                    <a:stretch>
                      <a:fillRect/>
                    </a:stretch>
                  </pic:blipFill>
                  <pic:spPr>
                    <a:xfrm>
                      <a:off x="0" y="0"/>
                      <a:ext cx="4760068" cy="2630670"/>
                    </a:xfrm>
                    <a:prstGeom prst="rect">
                      <a:avLst/>
                    </a:prstGeom>
                  </pic:spPr>
                </pic:pic>
              </a:graphicData>
            </a:graphic>
          </wp:inline>
        </w:drawing>
      </w:r>
    </w:p>
    <w:p w14:paraId="343C87B5" w14:textId="5DD54DB2" w:rsidR="00F7114B" w:rsidRPr="00025245" w:rsidRDefault="00F7114B" w:rsidP="00F7114B">
      <w:pPr>
        <w:rPr>
          <w:vanish/>
          <w:color w:val="000000"/>
          <w:specVanish/>
        </w:rPr>
      </w:pPr>
      <w:bookmarkStart w:id="292" w:name="_Ref385233640"/>
      <w:bookmarkStart w:id="293" w:name="_Toc431493839"/>
      <w:bookmarkStart w:id="294" w:name="_Toc516053255"/>
      <w:r w:rsidRPr="00025245">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45</w:t>
      </w:r>
      <w:r>
        <w:rPr>
          <w:color w:val="000000"/>
        </w:rPr>
        <w:fldChar w:fldCharType="end"/>
      </w:r>
      <w:bookmarkEnd w:id="292"/>
      <w:r w:rsidRPr="00025245">
        <w:rPr>
          <w:color w:val="000000"/>
        </w:rPr>
        <w:t>. Report card of seagrass indicators and index for the Wet Tropics NRM region</w:t>
      </w:r>
      <w:bookmarkEnd w:id="293"/>
      <w:bookmarkEnd w:id="294"/>
    </w:p>
    <w:p w14:paraId="112EEA4C" w14:textId="5A94BF3F" w:rsidR="00F7114B" w:rsidRDefault="00F7114B" w:rsidP="00F7114B">
      <w:pPr>
        <w:rPr>
          <w:i/>
          <w:szCs w:val="22"/>
        </w:rPr>
      </w:pPr>
      <w:r w:rsidRPr="00025245">
        <w:rPr>
          <w:i/>
          <w:color w:val="000000"/>
          <w:szCs w:val="22"/>
        </w:rPr>
        <w:t xml:space="preserve"> (average </w:t>
      </w:r>
      <w:r w:rsidRPr="001227E6">
        <w:rPr>
          <w:i/>
          <w:szCs w:val="22"/>
        </w:rPr>
        <w:t xml:space="preserve">across habitats and sites). </w:t>
      </w:r>
      <w:r w:rsidR="001227E6" w:rsidRPr="001227E6">
        <w:rPr>
          <w:i/>
          <w:szCs w:val="22"/>
        </w:rPr>
        <w:t xml:space="preserve">Bold symbol = </w:t>
      </w:r>
      <w:r w:rsidR="008574EC">
        <w:rPr>
          <w:i/>
          <w:szCs w:val="22"/>
        </w:rPr>
        <w:t>2016–17</w:t>
      </w:r>
      <w:r w:rsidR="001227E6" w:rsidRPr="001227E6">
        <w:rPr>
          <w:i/>
          <w:szCs w:val="22"/>
        </w:rPr>
        <w:t xml:space="preserve"> monitoring period. </w:t>
      </w:r>
      <w:r w:rsidRPr="001227E6">
        <w:rPr>
          <w:i/>
          <w:szCs w:val="22"/>
        </w:rPr>
        <w:t xml:space="preserve">Values are indexed scores </w:t>
      </w:r>
      <w:r w:rsidRPr="00E237C6">
        <w:rPr>
          <w:i/>
          <w:szCs w:val="22"/>
        </w:rPr>
        <w:t xml:space="preserve">scaled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3373D563" w14:textId="77777777" w:rsidR="001227E6" w:rsidRPr="000C1040" w:rsidRDefault="001227E6" w:rsidP="001227E6">
      <w:pPr>
        <w:pStyle w:val="Heading3"/>
        <w:numPr>
          <w:ilvl w:val="2"/>
          <w:numId w:val="9"/>
        </w:numPr>
        <w:rPr>
          <w:rFonts w:ascii="Arial" w:hAnsi="Arial" w:cs="Arial"/>
          <w:color w:val="000000"/>
        </w:rPr>
      </w:pPr>
      <w:bookmarkStart w:id="295" w:name="_Toc516053145"/>
      <w:r w:rsidRPr="000C1040">
        <w:rPr>
          <w:rFonts w:ascii="Arial" w:hAnsi="Arial" w:cs="Arial"/>
          <w:color w:val="000000"/>
        </w:rPr>
        <w:t>Climate and environmental pressures</w:t>
      </w:r>
      <w:bookmarkEnd w:id="295"/>
    </w:p>
    <w:p w14:paraId="3D003098" w14:textId="1779B4EC" w:rsidR="003611ED" w:rsidRPr="00D80A21" w:rsidRDefault="00D10D59" w:rsidP="003611ED">
      <w:bookmarkStart w:id="296" w:name="_Toc431493766"/>
      <w:bookmarkStart w:id="297" w:name="_Toc170192305"/>
      <w:bookmarkEnd w:id="290"/>
      <w:bookmarkEnd w:id="291"/>
      <w:r w:rsidRPr="007118C6">
        <w:rPr>
          <w:color w:val="000000" w:themeColor="text1"/>
        </w:rPr>
        <w:t>Annual rainfall</w:t>
      </w:r>
      <w:r w:rsidR="007118C6" w:rsidRPr="007118C6">
        <w:rPr>
          <w:color w:val="000000" w:themeColor="text1"/>
        </w:rPr>
        <w:t xml:space="preserve"> was below average in the Wet Tropics in </w:t>
      </w:r>
      <w:r w:rsidR="008574EC">
        <w:rPr>
          <w:color w:val="000000" w:themeColor="text1"/>
        </w:rPr>
        <w:t>2016–17</w:t>
      </w:r>
      <w:r w:rsidR="007118C6" w:rsidRPr="007118C6">
        <w:rPr>
          <w:color w:val="000000" w:themeColor="text1"/>
        </w:rPr>
        <w:t xml:space="preserve"> with the largest anomaly occurring in the Herbert River </w:t>
      </w:r>
      <w:r w:rsidR="007118C6" w:rsidRPr="007118C6">
        <w:rPr>
          <w:rFonts w:cs="TimesNewRoman"/>
          <w:color w:val="000000" w:themeColor="text1"/>
          <w:szCs w:val="22"/>
        </w:rPr>
        <w:t>(</w:t>
      </w:r>
      <w:r w:rsidR="007118C6" w:rsidRPr="007118C6">
        <w:rPr>
          <w:rFonts w:cs="TimesNewRoman"/>
          <w:color w:val="000000" w:themeColor="text1"/>
          <w:szCs w:val="22"/>
        </w:rPr>
        <w:fldChar w:fldCharType="begin"/>
      </w:r>
      <w:r w:rsidR="007118C6" w:rsidRPr="007118C6">
        <w:rPr>
          <w:rFonts w:cs="TimesNewRoman"/>
          <w:color w:val="000000" w:themeColor="text1"/>
          <w:szCs w:val="22"/>
        </w:rPr>
        <w:instrText xml:space="preserve"> REF _Ref507510845 \h </w:instrText>
      </w:r>
      <w:r w:rsidR="007118C6" w:rsidRPr="007118C6">
        <w:rPr>
          <w:rFonts w:cs="TimesNewRoman"/>
          <w:color w:val="000000" w:themeColor="text1"/>
          <w:szCs w:val="22"/>
        </w:rPr>
      </w:r>
      <w:r w:rsidR="007118C6" w:rsidRPr="007118C6">
        <w:rPr>
          <w:rFonts w:cs="TimesNewRoman"/>
          <w:color w:val="000000" w:themeColor="text1"/>
          <w:szCs w:val="22"/>
        </w:rPr>
        <w:fldChar w:fldCharType="separate"/>
      </w:r>
      <w:r w:rsidR="00F87DF9" w:rsidRPr="007D4BE7">
        <w:rPr>
          <w:rFonts w:asciiTheme="minorHAnsi" w:hAnsiTheme="minorHAnsi"/>
          <w:szCs w:val="22"/>
        </w:rPr>
        <w:t xml:space="preserve">Figure </w:t>
      </w:r>
      <w:r w:rsidR="00F87DF9">
        <w:rPr>
          <w:rFonts w:asciiTheme="minorHAnsi" w:hAnsiTheme="minorHAnsi"/>
          <w:noProof/>
          <w:szCs w:val="22"/>
        </w:rPr>
        <w:t>8</w:t>
      </w:r>
      <w:r w:rsidR="007118C6" w:rsidRPr="007118C6">
        <w:rPr>
          <w:rFonts w:cs="TimesNewRoman"/>
          <w:color w:val="000000" w:themeColor="text1"/>
          <w:szCs w:val="22"/>
        </w:rPr>
        <w:fldChar w:fldCharType="end"/>
      </w:r>
      <w:r w:rsidR="007118C6" w:rsidRPr="007118C6">
        <w:rPr>
          <w:rFonts w:cs="TimesNewRoman"/>
          <w:color w:val="000000" w:themeColor="text1"/>
          <w:szCs w:val="22"/>
        </w:rPr>
        <w:t xml:space="preserve">; </w:t>
      </w:r>
      <w:r w:rsidR="007118C6" w:rsidRPr="007118C6">
        <w:rPr>
          <w:rFonts w:cs="TimesNewRoman"/>
          <w:color w:val="000000" w:themeColor="text1"/>
          <w:szCs w:val="22"/>
        </w:rPr>
        <w:fldChar w:fldCharType="begin"/>
      </w:r>
      <w:r w:rsidR="007118C6" w:rsidRPr="007118C6">
        <w:rPr>
          <w:rFonts w:cs="TimesNewRoman"/>
          <w:color w:val="000000" w:themeColor="text1"/>
          <w:szCs w:val="22"/>
        </w:rPr>
        <w:instrText xml:space="preserve"> REF _Ref442440216 \h </w:instrText>
      </w:r>
      <w:r w:rsidR="007118C6" w:rsidRPr="007118C6">
        <w:rPr>
          <w:rFonts w:cs="TimesNewRoman"/>
          <w:color w:val="000000" w:themeColor="text1"/>
          <w:szCs w:val="22"/>
        </w:rPr>
      </w:r>
      <w:r w:rsidR="007118C6" w:rsidRPr="007118C6">
        <w:rPr>
          <w:rFonts w:cs="TimesNewRoman"/>
          <w:color w:val="000000" w:themeColor="text1"/>
          <w:szCs w:val="22"/>
        </w:rPr>
        <w:fldChar w:fldCharType="separate"/>
      </w:r>
      <w:r w:rsidR="00F87DF9">
        <w:t xml:space="preserve">Table </w:t>
      </w:r>
      <w:r w:rsidR="00F87DF9">
        <w:rPr>
          <w:noProof/>
        </w:rPr>
        <w:t>16</w:t>
      </w:r>
      <w:r w:rsidR="007118C6" w:rsidRPr="007118C6">
        <w:rPr>
          <w:rFonts w:cs="TimesNewRoman"/>
          <w:color w:val="000000" w:themeColor="text1"/>
          <w:szCs w:val="22"/>
        </w:rPr>
        <w:fldChar w:fldCharType="end"/>
      </w:r>
      <w:r w:rsidR="007118C6" w:rsidRPr="007118C6">
        <w:rPr>
          <w:rFonts w:cs="TimesNewRoman"/>
          <w:color w:val="000000" w:themeColor="text1"/>
          <w:szCs w:val="22"/>
        </w:rPr>
        <w:t xml:space="preserve">). </w:t>
      </w:r>
      <w:r w:rsidR="00AB521C">
        <w:rPr>
          <w:rFonts w:cs="TimesNewRoman"/>
          <w:color w:val="000000" w:themeColor="text1"/>
          <w:szCs w:val="22"/>
        </w:rPr>
        <w:t>This was also associated with below-average river discharge</w:t>
      </w:r>
      <w:r w:rsidR="00754C3C">
        <w:rPr>
          <w:rFonts w:cs="TimesNewRoman"/>
          <w:color w:val="000000" w:themeColor="text1"/>
          <w:szCs w:val="22"/>
        </w:rPr>
        <w:t xml:space="preserve"> and higher than average </w:t>
      </w:r>
      <w:r w:rsidR="00AB521C" w:rsidRPr="004255AA">
        <w:rPr>
          <w:color w:val="000000" w:themeColor="text1"/>
        </w:rPr>
        <w:t>number of days in which wind speed</w:t>
      </w:r>
      <w:r w:rsidR="00754C3C">
        <w:rPr>
          <w:color w:val="000000" w:themeColor="text1"/>
        </w:rPr>
        <w:t>s</w:t>
      </w:r>
      <w:r w:rsidR="00AB521C" w:rsidRPr="004255AA">
        <w:rPr>
          <w:color w:val="000000" w:themeColor="text1"/>
        </w:rPr>
        <w:t xml:space="preserve"> exceeded 25 k</w:t>
      </w:r>
      <w:r w:rsidR="00754C3C">
        <w:rPr>
          <w:color w:val="000000" w:themeColor="text1"/>
        </w:rPr>
        <w:t>m hr</w:t>
      </w:r>
      <w:r w:rsidR="00754C3C" w:rsidRPr="00754C3C">
        <w:rPr>
          <w:color w:val="000000" w:themeColor="text1"/>
          <w:vertAlign w:val="superscript"/>
        </w:rPr>
        <w:t>-1</w:t>
      </w:r>
      <w:r w:rsidR="00AB521C" w:rsidRPr="004255AA">
        <w:rPr>
          <w:color w:val="000000" w:themeColor="text1"/>
        </w:rPr>
        <w:t xml:space="preserve">. </w:t>
      </w:r>
      <w:r w:rsidR="005852E6" w:rsidRPr="004255AA">
        <w:rPr>
          <w:color w:val="000000" w:themeColor="text1"/>
        </w:rPr>
        <w:t xml:space="preserve">Exposure to </w:t>
      </w:r>
      <w:r w:rsidR="004255AA" w:rsidRPr="004255AA">
        <w:rPr>
          <w:color w:val="000000" w:themeColor="text1"/>
        </w:rPr>
        <w:t xml:space="preserve">‘brown’ or ‘green’ turbid water </w:t>
      </w:r>
      <w:r w:rsidR="003611ED" w:rsidRPr="004255AA">
        <w:rPr>
          <w:color w:val="000000" w:themeColor="text1"/>
        </w:rPr>
        <w:t>was highly variable among sites</w:t>
      </w:r>
      <w:r w:rsidR="004255AA" w:rsidRPr="004255AA">
        <w:rPr>
          <w:color w:val="000000" w:themeColor="text1"/>
        </w:rPr>
        <w:t xml:space="preserve"> (</w:t>
      </w:r>
      <w:r w:rsidR="004255AA" w:rsidRPr="004255AA">
        <w:rPr>
          <w:color w:val="000000" w:themeColor="text1"/>
        </w:rPr>
        <w:fldChar w:fldCharType="begin"/>
      </w:r>
      <w:r w:rsidR="004255AA" w:rsidRPr="004255AA">
        <w:rPr>
          <w:color w:val="000000" w:themeColor="text1"/>
        </w:rPr>
        <w:instrText xml:space="preserve"> REF _Ref442440167 \h </w:instrText>
      </w:r>
      <w:r w:rsidR="004255AA" w:rsidRPr="004255AA">
        <w:rPr>
          <w:color w:val="000000" w:themeColor="text1"/>
        </w:rPr>
      </w:r>
      <w:r w:rsidR="004255AA" w:rsidRPr="004255AA">
        <w:rPr>
          <w:color w:val="000000" w:themeColor="text1"/>
        </w:rPr>
        <w:fldChar w:fldCharType="separate"/>
      </w:r>
      <w:r w:rsidR="00F87DF9" w:rsidRPr="007B7122">
        <w:t xml:space="preserve">Figure </w:t>
      </w:r>
      <w:r w:rsidR="00F87DF9">
        <w:rPr>
          <w:noProof/>
        </w:rPr>
        <w:t>46</w:t>
      </w:r>
      <w:r w:rsidR="004255AA" w:rsidRPr="004255AA">
        <w:rPr>
          <w:color w:val="000000" w:themeColor="text1"/>
        </w:rPr>
        <w:fldChar w:fldCharType="end"/>
      </w:r>
      <w:r w:rsidR="004255AA" w:rsidRPr="004255AA">
        <w:rPr>
          <w:color w:val="000000" w:themeColor="text1"/>
        </w:rPr>
        <w:t xml:space="preserve">, </w:t>
      </w:r>
      <w:r w:rsidR="004255AA" w:rsidRPr="004255AA">
        <w:rPr>
          <w:color w:val="000000" w:themeColor="text1"/>
        </w:rPr>
        <w:fldChar w:fldCharType="begin"/>
      </w:r>
      <w:r w:rsidR="004255AA" w:rsidRPr="004255AA">
        <w:rPr>
          <w:color w:val="000000" w:themeColor="text1"/>
        </w:rPr>
        <w:instrText xml:space="preserve"> REF _Ref442440193 \h </w:instrText>
      </w:r>
      <w:r w:rsidR="004255AA" w:rsidRPr="004255AA">
        <w:rPr>
          <w:color w:val="000000" w:themeColor="text1"/>
        </w:rPr>
      </w:r>
      <w:r w:rsidR="004255AA" w:rsidRPr="004255AA">
        <w:rPr>
          <w:color w:val="000000" w:themeColor="text1"/>
        </w:rPr>
        <w:fldChar w:fldCharType="separate"/>
      </w:r>
      <w:r w:rsidR="00F87DF9" w:rsidRPr="008E418C">
        <w:t xml:space="preserve">Table </w:t>
      </w:r>
      <w:r w:rsidR="00F87DF9">
        <w:rPr>
          <w:noProof/>
        </w:rPr>
        <w:t>17</w:t>
      </w:r>
      <w:r w:rsidR="004255AA" w:rsidRPr="004255AA">
        <w:rPr>
          <w:color w:val="000000" w:themeColor="text1"/>
        </w:rPr>
        <w:fldChar w:fldCharType="end"/>
      </w:r>
      <w:r w:rsidR="004255AA" w:rsidRPr="004255AA">
        <w:rPr>
          <w:color w:val="000000" w:themeColor="text1"/>
        </w:rPr>
        <w:t>)</w:t>
      </w:r>
      <w:r w:rsidR="003611ED" w:rsidRPr="004255AA">
        <w:rPr>
          <w:color w:val="000000" w:themeColor="text1"/>
        </w:rPr>
        <w:t>.</w:t>
      </w:r>
      <w:r w:rsidR="005852E6" w:rsidRPr="004255AA">
        <w:rPr>
          <w:color w:val="000000" w:themeColor="text1"/>
        </w:rPr>
        <w:t xml:space="preserve"> </w:t>
      </w:r>
      <w:r w:rsidR="004255AA" w:rsidRPr="004255AA">
        <w:rPr>
          <w:color w:val="000000" w:themeColor="text1"/>
        </w:rPr>
        <w:t>Coastal</w:t>
      </w:r>
      <w:r w:rsidR="005852E6" w:rsidRPr="004255AA">
        <w:rPr>
          <w:color w:val="000000" w:themeColor="text1"/>
        </w:rPr>
        <w:t xml:space="preserve"> sites</w:t>
      </w:r>
      <w:r w:rsidR="00B272C6" w:rsidRPr="004255AA">
        <w:rPr>
          <w:color w:val="000000" w:themeColor="text1"/>
        </w:rPr>
        <w:t xml:space="preserve"> </w:t>
      </w:r>
      <w:r w:rsidR="005852E6" w:rsidRPr="004255AA">
        <w:rPr>
          <w:color w:val="000000" w:themeColor="text1"/>
        </w:rPr>
        <w:t xml:space="preserve">had the greatest level of exposure to </w:t>
      </w:r>
      <w:r w:rsidR="004255AA" w:rsidRPr="004255AA">
        <w:rPr>
          <w:color w:val="000000" w:themeColor="text1"/>
        </w:rPr>
        <w:t xml:space="preserve">‘brown’ </w:t>
      </w:r>
      <w:r w:rsidR="005852E6" w:rsidRPr="004255AA">
        <w:rPr>
          <w:color w:val="000000" w:themeColor="text1"/>
        </w:rPr>
        <w:t xml:space="preserve">turbid </w:t>
      </w:r>
      <w:r w:rsidR="004255AA" w:rsidRPr="004255AA">
        <w:rPr>
          <w:color w:val="000000" w:themeColor="text1"/>
        </w:rPr>
        <w:t xml:space="preserve">water, </w:t>
      </w:r>
      <w:r w:rsidR="004255AA">
        <w:rPr>
          <w:color w:val="000000" w:themeColor="text1"/>
        </w:rPr>
        <w:t>particularly</w:t>
      </w:r>
      <w:r w:rsidR="004255AA" w:rsidRPr="004255AA">
        <w:rPr>
          <w:color w:val="000000" w:themeColor="text1"/>
        </w:rPr>
        <w:t xml:space="preserve"> at </w:t>
      </w:r>
      <w:r w:rsidR="005852E6" w:rsidRPr="004255AA">
        <w:rPr>
          <w:color w:val="000000" w:themeColor="text1"/>
        </w:rPr>
        <w:t xml:space="preserve">Lugger Bay </w:t>
      </w:r>
      <w:r w:rsidR="004255AA" w:rsidRPr="004255AA">
        <w:rPr>
          <w:color w:val="000000" w:themeColor="text1"/>
        </w:rPr>
        <w:t>(90 percent of wet season weeks</w:t>
      </w:r>
      <w:r w:rsidR="00B272C6" w:rsidRPr="004255AA">
        <w:rPr>
          <w:color w:val="000000" w:themeColor="text1"/>
        </w:rPr>
        <w:t>)</w:t>
      </w:r>
      <w:r w:rsidR="004255AA" w:rsidRPr="004255AA">
        <w:rPr>
          <w:color w:val="000000" w:themeColor="text1"/>
        </w:rPr>
        <w:t xml:space="preserve"> </w:t>
      </w:r>
      <w:r w:rsidR="004255AA">
        <w:rPr>
          <w:color w:val="000000" w:themeColor="text1"/>
        </w:rPr>
        <w:t>compared to</w:t>
      </w:r>
      <w:r w:rsidR="004255AA" w:rsidRPr="004255AA">
        <w:rPr>
          <w:color w:val="000000" w:themeColor="text1"/>
        </w:rPr>
        <w:t xml:space="preserve"> Yule Point (14 per cent), which was more frequently exposed to ‘green’ water (</w:t>
      </w:r>
      <w:r w:rsidR="004255AA" w:rsidRPr="004255AA">
        <w:rPr>
          <w:i/>
          <w:color w:val="000000" w:themeColor="text1"/>
        </w:rPr>
        <w:t>f</w:t>
      </w:r>
      <w:r w:rsidR="004255AA" w:rsidRPr="004255AA">
        <w:rPr>
          <w:color w:val="000000" w:themeColor="text1"/>
          <w:vertAlign w:val="subscript"/>
        </w:rPr>
        <w:t xml:space="preserve">S+P </w:t>
      </w:r>
      <w:r w:rsidR="004255AA" w:rsidRPr="004255AA">
        <w:rPr>
          <w:color w:val="000000" w:themeColor="text1"/>
        </w:rPr>
        <w:t xml:space="preserve">= 95 per cent). </w:t>
      </w:r>
      <w:r w:rsidR="004255AA">
        <w:rPr>
          <w:color w:val="000000" w:themeColor="text1"/>
        </w:rPr>
        <w:t xml:space="preserve">Reef sites were exposed primarily to ‘green’ turbid water, with the highest frequency at </w:t>
      </w:r>
      <w:r w:rsidR="005852E6" w:rsidRPr="004255AA">
        <w:rPr>
          <w:color w:val="000000" w:themeColor="text1"/>
        </w:rPr>
        <w:t>Dunk Island</w:t>
      </w:r>
      <w:r w:rsidR="00B272C6" w:rsidRPr="004255AA">
        <w:rPr>
          <w:color w:val="000000" w:themeColor="text1"/>
        </w:rPr>
        <w:t xml:space="preserve"> </w:t>
      </w:r>
      <w:r w:rsidR="004255AA" w:rsidRPr="004255AA">
        <w:rPr>
          <w:color w:val="000000" w:themeColor="text1"/>
        </w:rPr>
        <w:t>(95</w:t>
      </w:r>
      <w:r w:rsidR="0063478C" w:rsidRPr="004255AA">
        <w:rPr>
          <w:color w:val="000000" w:themeColor="text1"/>
        </w:rPr>
        <w:t xml:space="preserve"> per cent</w:t>
      </w:r>
      <w:r w:rsidR="004255AA">
        <w:rPr>
          <w:color w:val="000000" w:themeColor="text1"/>
        </w:rPr>
        <w:t>) and lowest at</w:t>
      </w:r>
      <w:r w:rsidR="004255AA" w:rsidRPr="004255AA">
        <w:rPr>
          <w:color w:val="000000" w:themeColor="text1"/>
        </w:rPr>
        <w:t xml:space="preserve"> Green Island (9 per cent)</w:t>
      </w:r>
      <w:r w:rsidR="005852E6" w:rsidRPr="004255AA">
        <w:rPr>
          <w:color w:val="000000" w:themeColor="text1"/>
        </w:rPr>
        <w:t xml:space="preserve">. </w:t>
      </w:r>
    </w:p>
    <w:p w14:paraId="4B551B66" w14:textId="7E3357C9" w:rsidR="003611ED" w:rsidRPr="005C004C" w:rsidRDefault="005C004C" w:rsidP="005C004C">
      <w:pPr>
        <w:jc w:val="center"/>
        <w:rPr>
          <w:i/>
        </w:rPr>
      </w:pPr>
      <w:bookmarkStart w:id="298" w:name="_Ref442440216"/>
      <w:bookmarkStart w:id="299" w:name="_Toc516053440"/>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16</w:t>
      </w:r>
      <w:r w:rsidR="00C506C7">
        <w:rPr>
          <w:noProof/>
        </w:rPr>
        <w:fldChar w:fldCharType="end"/>
      </w:r>
      <w:bookmarkEnd w:id="298"/>
      <w:r>
        <w:t xml:space="preserve">.  </w:t>
      </w:r>
      <w:r w:rsidR="003611ED" w:rsidRPr="005C004C">
        <w:rPr>
          <w:i/>
        </w:rPr>
        <w:t xml:space="preserve">Summary of environmental conditions at monitoring sites in </w:t>
      </w:r>
      <w:r>
        <w:rPr>
          <w:i/>
        </w:rPr>
        <w:t xml:space="preserve">the </w:t>
      </w:r>
      <w:r w:rsidR="003611ED" w:rsidRPr="005C004C">
        <w:rPr>
          <w:i/>
        </w:rPr>
        <w:t xml:space="preserve">Wet Tropics </w:t>
      </w:r>
      <w:r>
        <w:rPr>
          <w:i/>
        </w:rPr>
        <w:t xml:space="preserve">region </w:t>
      </w:r>
      <w:r w:rsidR="003611ED" w:rsidRPr="005C004C">
        <w:rPr>
          <w:i/>
        </w:rPr>
        <w:t>in 2014-15 compared to the long-term average (long-term range indicated for each data set).</w:t>
      </w:r>
      <w:bookmarkEnd w:id="299"/>
    </w:p>
    <w:tbl>
      <w:tblPr>
        <w:tblW w:w="0" w:type="auto"/>
        <w:jc w:val="center"/>
        <w:tblBorders>
          <w:bottom w:val="single" w:sz="4" w:space="0" w:color="auto"/>
        </w:tblBorders>
        <w:tblLook w:val="04A0" w:firstRow="1" w:lastRow="0" w:firstColumn="1" w:lastColumn="0" w:noHBand="0" w:noVBand="1"/>
      </w:tblPr>
      <w:tblGrid>
        <w:gridCol w:w="4164"/>
        <w:gridCol w:w="2268"/>
        <w:gridCol w:w="1559"/>
      </w:tblGrid>
      <w:tr w:rsidR="003611ED" w:rsidRPr="005C004C" w14:paraId="7EB85DDD" w14:textId="77777777" w:rsidTr="0059610E">
        <w:trPr>
          <w:trHeight w:val="227"/>
          <w:jc w:val="center"/>
        </w:trPr>
        <w:tc>
          <w:tcPr>
            <w:tcW w:w="4164" w:type="dxa"/>
            <w:tcBorders>
              <w:top w:val="single" w:sz="4" w:space="0" w:color="auto"/>
              <w:bottom w:val="single" w:sz="4" w:space="0" w:color="auto"/>
            </w:tcBorders>
            <w:shd w:val="clear" w:color="auto" w:fill="BBE0E3"/>
          </w:tcPr>
          <w:p w14:paraId="1B08EC47" w14:textId="77777777" w:rsidR="003611ED" w:rsidRPr="005C004C" w:rsidRDefault="003611ED"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405D1990" w14:textId="77777777" w:rsidR="003611ED" w:rsidRPr="005C004C" w:rsidRDefault="003611ED" w:rsidP="0059610E">
            <w:pPr>
              <w:spacing w:before="0" w:after="0"/>
              <w:rPr>
                <w:b/>
                <w:sz w:val="18"/>
                <w:szCs w:val="18"/>
              </w:rPr>
            </w:pPr>
            <w:r w:rsidRPr="005C004C">
              <w:rPr>
                <w:b/>
                <w:sz w:val="18"/>
                <w:szCs w:val="18"/>
              </w:rPr>
              <w:t>Long-term average</w:t>
            </w:r>
          </w:p>
        </w:tc>
        <w:tc>
          <w:tcPr>
            <w:tcW w:w="1559" w:type="dxa"/>
            <w:tcBorders>
              <w:top w:val="single" w:sz="4" w:space="0" w:color="auto"/>
              <w:bottom w:val="single" w:sz="4" w:space="0" w:color="auto"/>
            </w:tcBorders>
            <w:shd w:val="clear" w:color="auto" w:fill="BBE0E3"/>
          </w:tcPr>
          <w:p w14:paraId="4EAA84E0" w14:textId="331E7DD4" w:rsidR="003611ED" w:rsidRPr="005C004C" w:rsidRDefault="008574EC" w:rsidP="00334002">
            <w:pPr>
              <w:spacing w:before="0" w:after="0"/>
              <w:rPr>
                <w:b/>
                <w:sz w:val="18"/>
                <w:szCs w:val="18"/>
              </w:rPr>
            </w:pPr>
            <w:r>
              <w:rPr>
                <w:b/>
                <w:sz w:val="18"/>
                <w:szCs w:val="18"/>
              </w:rPr>
              <w:t>2016–17</w:t>
            </w:r>
          </w:p>
        </w:tc>
      </w:tr>
      <w:tr w:rsidR="003611ED" w14:paraId="763A1DF5" w14:textId="77777777" w:rsidTr="0059610E">
        <w:trPr>
          <w:trHeight w:val="227"/>
          <w:jc w:val="center"/>
        </w:trPr>
        <w:tc>
          <w:tcPr>
            <w:tcW w:w="4164" w:type="dxa"/>
            <w:shd w:val="clear" w:color="auto" w:fill="E7F3F4"/>
          </w:tcPr>
          <w:p w14:paraId="01F5D4FC" w14:textId="108FC41F" w:rsidR="003611ED" w:rsidRPr="008D1B84" w:rsidRDefault="003611ED" w:rsidP="001838E0">
            <w:pPr>
              <w:spacing w:before="0" w:after="0"/>
              <w:rPr>
                <w:sz w:val="18"/>
                <w:szCs w:val="18"/>
              </w:rPr>
            </w:pPr>
            <w:r w:rsidRPr="008D1B84">
              <w:rPr>
                <w:sz w:val="18"/>
                <w:szCs w:val="18"/>
              </w:rPr>
              <w:t>Rainfall</w:t>
            </w:r>
            <w:r w:rsidR="00B137B4">
              <w:rPr>
                <w:sz w:val="18"/>
                <w:szCs w:val="18"/>
              </w:rPr>
              <w:t xml:space="preserve"> (1961-1990</w:t>
            </w:r>
            <w:r>
              <w:rPr>
                <w:sz w:val="18"/>
                <w:szCs w:val="18"/>
              </w:rPr>
              <w:t>)</w:t>
            </w:r>
          </w:p>
        </w:tc>
        <w:tc>
          <w:tcPr>
            <w:tcW w:w="2268" w:type="dxa"/>
            <w:shd w:val="clear" w:color="auto" w:fill="E7F3F4"/>
          </w:tcPr>
          <w:p w14:paraId="4EF87806" w14:textId="04F0CA9B" w:rsidR="003611ED" w:rsidRPr="007118C6" w:rsidRDefault="007118C6" w:rsidP="0059610E">
            <w:pPr>
              <w:spacing w:before="0" w:after="0"/>
              <w:rPr>
                <w:color w:val="000000" w:themeColor="text1"/>
                <w:sz w:val="18"/>
                <w:szCs w:val="18"/>
              </w:rPr>
            </w:pPr>
            <w:r w:rsidRPr="007118C6">
              <w:rPr>
                <w:color w:val="000000" w:themeColor="text1"/>
                <w:sz w:val="18"/>
                <w:szCs w:val="18"/>
              </w:rPr>
              <w:t>9.4</w:t>
            </w:r>
            <w:r w:rsidR="003611ED" w:rsidRPr="007118C6">
              <w:rPr>
                <w:color w:val="000000" w:themeColor="text1"/>
                <w:sz w:val="18"/>
                <w:szCs w:val="18"/>
              </w:rPr>
              <w:t xml:space="preserve"> mm</w:t>
            </w:r>
            <w:r w:rsidRPr="007118C6">
              <w:rPr>
                <w:color w:val="000000" w:themeColor="text1"/>
                <w:sz w:val="18"/>
                <w:szCs w:val="18"/>
              </w:rPr>
              <w:t xml:space="preserve"> d</w:t>
            </w:r>
            <w:r w:rsidRPr="007118C6">
              <w:rPr>
                <w:color w:val="000000" w:themeColor="text1"/>
                <w:sz w:val="18"/>
                <w:szCs w:val="18"/>
                <w:vertAlign w:val="superscript"/>
              </w:rPr>
              <w:t>-1</w:t>
            </w:r>
          </w:p>
        </w:tc>
        <w:tc>
          <w:tcPr>
            <w:tcW w:w="1559" w:type="dxa"/>
            <w:shd w:val="clear" w:color="auto" w:fill="E7F3F4"/>
          </w:tcPr>
          <w:p w14:paraId="2D216C07" w14:textId="24994D2A" w:rsidR="003611ED" w:rsidRPr="007118C6" w:rsidRDefault="007118C6" w:rsidP="00B3301A">
            <w:pPr>
              <w:spacing w:before="0" w:after="0"/>
              <w:rPr>
                <w:color w:val="000000" w:themeColor="text1"/>
                <w:sz w:val="18"/>
                <w:szCs w:val="18"/>
              </w:rPr>
            </w:pPr>
            <w:r w:rsidRPr="007118C6">
              <w:rPr>
                <w:color w:val="000000" w:themeColor="text1"/>
                <w:sz w:val="18"/>
                <w:szCs w:val="18"/>
              </w:rPr>
              <w:t>8.0</w:t>
            </w:r>
            <w:r w:rsidR="003611ED" w:rsidRPr="007118C6">
              <w:rPr>
                <w:color w:val="000000" w:themeColor="text1"/>
                <w:sz w:val="18"/>
                <w:szCs w:val="18"/>
              </w:rPr>
              <w:t xml:space="preserve"> mm</w:t>
            </w:r>
            <w:r w:rsidRPr="007118C6">
              <w:rPr>
                <w:color w:val="000000" w:themeColor="text1"/>
                <w:sz w:val="18"/>
                <w:szCs w:val="18"/>
              </w:rPr>
              <w:t xml:space="preserve"> d</w:t>
            </w:r>
            <w:r w:rsidRPr="007118C6">
              <w:rPr>
                <w:color w:val="000000" w:themeColor="text1"/>
                <w:sz w:val="18"/>
                <w:szCs w:val="18"/>
                <w:vertAlign w:val="superscript"/>
              </w:rPr>
              <w:t>-1</w:t>
            </w:r>
          </w:p>
        </w:tc>
      </w:tr>
      <w:tr w:rsidR="003611ED" w14:paraId="1E1495D4" w14:textId="77777777" w:rsidTr="0059610E">
        <w:trPr>
          <w:trHeight w:val="227"/>
          <w:jc w:val="center"/>
        </w:trPr>
        <w:tc>
          <w:tcPr>
            <w:tcW w:w="4164" w:type="dxa"/>
            <w:shd w:val="clear" w:color="auto" w:fill="E7F3F4"/>
          </w:tcPr>
          <w:p w14:paraId="2E9C42E8" w14:textId="02420E11" w:rsidR="003611ED" w:rsidRDefault="003611ED" w:rsidP="001838E0">
            <w:pPr>
              <w:spacing w:before="0" w:after="0"/>
              <w:rPr>
                <w:sz w:val="18"/>
                <w:szCs w:val="18"/>
              </w:rPr>
            </w:pPr>
            <w:r>
              <w:rPr>
                <w:sz w:val="18"/>
                <w:szCs w:val="18"/>
              </w:rPr>
              <w:t>River discharge (1970</w:t>
            </w:r>
            <w:r w:rsidR="00B4451B">
              <w:rPr>
                <w:sz w:val="18"/>
                <w:szCs w:val="18"/>
              </w:rPr>
              <w:t>-201</w:t>
            </w:r>
            <w:r w:rsidR="001838E0">
              <w:rPr>
                <w:sz w:val="18"/>
                <w:szCs w:val="18"/>
              </w:rPr>
              <w:t>7</w:t>
            </w:r>
            <w:r w:rsidRPr="008D1B84">
              <w:rPr>
                <w:sz w:val="18"/>
                <w:szCs w:val="18"/>
              </w:rPr>
              <w:t>)</w:t>
            </w:r>
          </w:p>
        </w:tc>
        <w:tc>
          <w:tcPr>
            <w:tcW w:w="2268" w:type="dxa"/>
            <w:shd w:val="clear" w:color="auto" w:fill="E7F3F4"/>
          </w:tcPr>
          <w:p w14:paraId="3BBF7E58" w14:textId="053DCBA6" w:rsidR="003611ED" w:rsidRPr="007118C6" w:rsidRDefault="007118C6" w:rsidP="0059610E">
            <w:pPr>
              <w:spacing w:before="0" w:after="0"/>
              <w:rPr>
                <w:color w:val="000000" w:themeColor="text1"/>
                <w:sz w:val="18"/>
                <w:szCs w:val="18"/>
              </w:rPr>
            </w:pPr>
            <w:r w:rsidRPr="007118C6">
              <w:rPr>
                <w:color w:val="000000" w:themeColor="text1"/>
                <w:sz w:val="18"/>
                <w:szCs w:val="18"/>
              </w:rPr>
              <w:t>20,755</w:t>
            </w:r>
            <w:r w:rsidR="00CF4364" w:rsidRPr="007118C6">
              <w:rPr>
                <w:color w:val="000000" w:themeColor="text1"/>
                <w:sz w:val="18"/>
                <w:szCs w:val="18"/>
              </w:rPr>
              <w:t>,</w:t>
            </w:r>
            <w:r w:rsidRPr="007118C6">
              <w:rPr>
                <w:color w:val="000000" w:themeColor="text1"/>
                <w:sz w:val="18"/>
                <w:szCs w:val="18"/>
              </w:rPr>
              <w:t>244</w:t>
            </w:r>
            <w:r w:rsidR="003611ED" w:rsidRPr="007118C6">
              <w:rPr>
                <w:color w:val="000000" w:themeColor="text1"/>
                <w:sz w:val="18"/>
                <w:szCs w:val="18"/>
              </w:rPr>
              <w:t xml:space="preserve"> L yr</w:t>
            </w:r>
            <w:r w:rsidR="003611ED" w:rsidRPr="007118C6">
              <w:rPr>
                <w:color w:val="000000" w:themeColor="text1"/>
                <w:sz w:val="18"/>
                <w:szCs w:val="18"/>
                <w:vertAlign w:val="superscript"/>
              </w:rPr>
              <w:t>-1</w:t>
            </w:r>
          </w:p>
        </w:tc>
        <w:tc>
          <w:tcPr>
            <w:tcW w:w="1559" w:type="dxa"/>
            <w:shd w:val="clear" w:color="auto" w:fill="E7F3F4"/>
          </w:tcPr>
          <w:p w14:paraId="3C5EDB6C" w14:textId="39898C37" w:rsidR="003611ED" w:rsidRPr="007118C6" w:rsidRDefault="007118C6" w:rsidP="0059610E">
            <w:pPr>
              <w:spacing w:before="0" w:after="0"/>
              <w:rPr>
                <w:color w:val="000000" w:themeColor="text1"/>
                <w:sz w:val="18"/>
                <w:szCs w:val="18"/>
              </w:rPr>
            </w:pPr>
            <w:r w:rsidRPr="007118C6">
              <w:rPr>
                <w:color w:val="000000" w:themeColor="text1"/>
                <w:sz w:val="18"/>
                <w:szCs w:val="18"/>
              </w:rPr>
              <w:t>14,442</w:t>
            </w:r>
            <w:r w:rsidR="00CF4364" w:rsidRPr="007118C6">
              <w:rPr>
                <w:color w:val="000000" w:themeColor="text1"/>
                <w:sz w:val="18"/>
                <w:szCs w:val="18"/>
              </w:rPr>
              <w:t>,</w:t>
            </w:r>
            <w:r w:rsidRPr="007118C6">
              <w:rPr>
                <w:color w:val="000000" w:themeColor="text1"/>
                <w:sz w:val="18"/>
                <w:szCs w:val="18"/>
              </w:rPr>
              <w:t>402</w:t>
            </w:r>
            <w:r w:rsidR="003611ED" w:rsidRPr="007118C6">
              <w:rPr>
                <w:rFonts w:asciiTheme="majorHAnsi" w:hAnsiTheme="majorHAnsi"/>
                <w:color w:val="000000" w:themeColor="text1"/>
                <w:sz w:val="18"/>
                <w:szCs w:val="18"/>
              </w:rPr>
              <w:t xml:space="preserve"> </w:t>
            </w:r>
            <w:r w:rsidR="003611ED" w:rsidRPr="007118C6">
              <w:rPr>
                <w:color w:val="000000" w:themeColor="text1"/>
                <w:sz w:val="18"/>
                <w:szCs w:val="18"/>
              </w:rPr>
              <w:t>L yr</w:t>
            </w:r>
            <w:r w:rsidR="003611ED" w:rsidRPr="007118C6">
              <w:rPr>
                <w:color w:val="000000" w:themeColor="text1"/>
                <w:sz w:val="18"/>
                <w:szCs w:val="18"/>
                <w:vertAlign w:val="superscript"/>
              </w:rPr>
              <w:t>-1</w:t>
            </w:r>
          </w:p>
        </w:tc>
      </w:tr>
      <w:tr w:rsidR="003611ED" w14:paraId="055ADE25" w14:textId="77777777" w:rsidTr="0059610E">
        <w:trPr>
          <w:trHeight w:val="227"/>
          <w:jc w:val="center"/>
        </w:trPr>
        <w:tc>
          <w:tcPr>
            <w:tcW w:w="4164" w:type="dxa"/>
            <w:shd w:val="clear" w:color="auto" w:fill="E7F3F4"/>
          </w:tcPr>
          <w:p w14:paraId="16C4A675" w14:textId="30116FC6" w:rsidR="003611ED" w:rsidRDefault="00F054D3" w:rsidP="001838E0">
            <w:pPr>
              <w:spacing w:before="0" w:after="0"/>
              <w:rPr>
                <w:sz w:val="18"/>
                <w:szCs w:val="18"/>
              </w:rPr>
            </w:pPr>
            <w:r>
              <w:rPr>
                <w:sz w:val="18"/>
                <w:szCs w:val="18"/>
              </w:rPr>
              <w:t>Turbid water</w:t>
            </w:r>
            <w:r w:rsidR="003611ED" w:rsidRPr="008D1B84">
              <w:rPr>
                <w:sz w:val="18"/>
                <w:szCs w:val="18"/>
              </w:rPr>
              <w:t xml:space="preserve"> exposure (2006-201</w:t>
            </w:r>
            <w:r w:rsidR="001838E0">
              <w:rPr>
                <w:sz w:val="18"/>
                <w:szCs w:val="18"/>
              </w:rPr>
              <w:t>7</w:t>
            </w:r>
            <w:r w:rsidR="003611ED" w:rsidRPr="008D1B84">
              <w:rPr>
                <w:sz w:val="18"/>
                <w:szCs w:val="18"/>
              </w:rPr>
              <w:t>)</w:t>
            </w:r>
          </w:p>
        </w:tc>
        <w:tc>
          <w:tcPr>
            <w:tcW w:w="2268" w:type="dxa"/>
            <w:shd w:val="clear" w:color="auto" w:fill="E7F3F4"/>
          </w:tcPr>
          <w:p w14:paraId="11329213" w14:textId="0E36FBE1" w:rsidR="003611ED" w:rsidRPr="004255AA" w:rsidRDefault="004255AA" w:rsidP="0059610E">
            <w:pPr>
              <w:spacing w:before="0" w:after="0"/>
              <w:rPr>
                <w:color w:val="000000" w:themeColor="text1"/>
                <w:sz w:val="18"/>
                <w:szCs w:val="18"/>
              </w:rPr>
            </w:pPr>
            <w:r w:rsidRPr="004255AA">
              <w:rPr>
                <w:color w:val="000000" w:themeColor="text1"/>
                <w:sz w:val="18"/>
                <w:szCs w:val="18"/>
              </w:rPr>
              <w:t>67 per cent</w:t>
            </w:r>
          </w:p>
        </w:tc>
        <w:tc>
          <w:tcPr>
            <w:tcW w:w="1559" w:type="dxa"/>
            <w:shd w:val="clear" w:color="auto" w:fill="E7F3F4"/>
          </w:tcPr>
          <w:p w14:paraId="5C1AA5E3" w14:textId="63AA2906" w:rsidR="003611ED" w:rsidRPr="004255AA" w:rsidRDefault="004255AA" w:rsidP="0059610E">
            <w:pPr>
              <w:spacing w:before="0" w:after="0"/>
              <w:rPr>
                <w:color w:val="000000" w:themeColor="text1"/>
                <w:sz w:val="18"/>
                <w:szCs w:val="18"/>
              </w:rPr>
            </w:pPr>
            <w:r w:rsidRPr="004255AA">
              <w:rPr>
                <w:color w:val="000000" w:themeColor="text1"/>
                <w:sz w:val="18"/>
                <w:szCs w:val="18"/>
              </w:rPr>
              <w:t>65</w:t>
            </w:r>
            <w:r w:rsidR="0063478C" w:rsidRPr="004255AA">
              <w:rPr>
                <w:color w:val="000000" w:themeColor="text1"/>
                <w:sz w:val="18"/>
                <w:szCs w:val="18"/>
              </w:rPr>
              <w:t xml:space="preserve"> per cent</w:t>
            </w:r>
          </w:p>
        </w:tc>
      </w:tr>
      <w:tr w:rsidR="00C65677" w:rsidRPr="00C65677" w14:paraId="0A068271" w14:textId="77777777" w:rsidTr="0059610E">
        <w:trPr>
          <w:trHeight w:val="227"/>
          <w:jc w:val="center"/>
        </w:trPr>
        <w:tc>
          <w:tcPr>
            <w:tcW w:w="4164" w:type="dxa"/>
            <w:shd w:val="clear" w:color="auto" w:fill="E7F3F4"/>
          </w:tcPr>
          <w:p w14:paraId="0A08DB68" w14:textId="34EA072A" w:rsidR="003611ED" w:rsidRPr="00C65677" w:rsidRDefault="003611ED" w:rsidP="001838E0">
            <w:pPr>
              <w:spacing w:before="0" w:after="0"/>
              <w:rPr>
                <w:sz w:val="18"/>
                <w:szCs w:val="18"/>
              </w:rPr>
            </w:pPr>
            <w:r w:rsidRPr="00C65677">
              <w:rPr>
                <w:sz w:val="18"/>
                <w:szCs w:val="18"/>
              </w:rPr>
              <w:t>Daytime tidal exposure (1999-201</w:t>
            </w:r>
            <w:r w:rsidR="001838E0">
              <w:rPr>
                <w:sz w:val="18"/>
                <w:szCs w:val="18"/>
              </w:rPr>
              <w:t>7</w:t>
            </w:r>
            <w:r w:rsidRPr="00C65677">
              <w:rPr>
                <w:sz w:val="18"/>
                <w:szCs w:val="18"/>
              </w:rPr>
              <w:t>)</w:t>
            </w:r>
          </w:p>
        </w:tc>
        <w:tc>
          <w:tcPr>
            <w:tcW w:w="2268" w:type="dxa"/>
            <w:shd w:val="clear" w:color="auto" w:fill="E7F3F4"/>
          </w:tcPr>
          <w:p w14:paraId="10D5CD78" w14:textId="44ED9B0D" w:rsidR="003611ED" w:rsidRPr="004F46CD" w:rsidRDefault="004F46CD" w:rsidP="00C65677">
            <w:pPr>
              <w:spacing w:before="0" w:after="0"/>
              <w:rPr>
                <w:color w:val="000000" w:themeColor="text1"/>
                <w:sz w:val="18"/>
                <w:szCs w:val="18"/>
              </w:rPr>
            </w:pPr>
            <w:r w:rsidRPr="004F46CD">
              <w:rPr>
                <w:color w:val="000000" w:themeColor="text1"/>
                <w:sz w:val="18"/>
                <w:szCs w:val="18"/>
              </w:rPr>
              <w:t>97 hr yr</w:t>
            </w:r>
            <w:r w:rsidRPr="004F46CD">
              <w:rPr>
                <w:color w:val="000000" w:themeColor="text1"/>
                <w:sz w:val="18"/>
                <w:szCs w:val="18"/>
                <w:vertAlign w:val="superscript"/>
              </w:rPr>
              <w:t>-1</w:t>
            </w:r>
          </w:p>
        </w:tc>
        <w:tc>
          <w:tcPr>
            <w:tcW w:w="1559" w:type="dxa"/>
            <w:shd w:val="clear" w:color="auto" w:fill="E7F3F4"/>
          </w:tcPr>
          <w:p w14:paraId="75384045" w14:textId="4DFC7530" w:rsidR="003611ED" w:rsidRPr="004F46CD" w:rsidRDefault="004F46CD" w:rsidP="00C65677">
            <w:pPr>
              <w:spacing w:before="0" w:after="0"/>
              <w:rPr>
                <w:color w:val="000000" w:themeColor="text1"/>
                <w:sz w:val="18"/>
                <w:szCs w:val="18"/>
              </w:rPr>
            </w:pPr>
            <w:r w:rsidRPr="004F46CD">
              <w:rPr>
                <w:color w:val="000000" w:themeColor="text1"/>
                <w:sz w:val="18"/>
                <w:szCs w:val="18"/>
              </w:rPr>
              <w:t>110 hr yr</w:t>
            </w:r>
            <w:r w:rsidRPr="004F46CD">
              <w:rPr>
                <w:color w:val="000000" w:themeColor="text1"/>
                <w:sz w:val="18"/>
                <w:szCs w:val="18"/>
                <w:vertAlign w:val="superscript"/>
              </w:rPr>
              <w:t>-1</w:t>
            </w:r>
          </w:p>
        </w:tc>
      </w:tr>
      <w:tr w:rsidR="003611ED" w14:paraId="4A5500A7" w14:textId="77777777" w:rsidTr="0059610E">
        <w:trPr>
          <w:trHeight w:val="227"/>
          <w:jc w:val="center"/>
        </w:trPr>
        <w:tc>
          <w:tcPr>
            <w:tcW w:w="4164" w:type="dxa"/>
            <w:tcBorders>
              <w:bottom w:val="single" w:sz="4" w:space="0" w:color="auto"/>
            </w:tcBorders>
            <w:shd w:val="clear" w:color="auto" w:fill="E7F3F4"/>
          </w:tcPr>
          <w:p w14:paraId="36C6E7C4" w14:textId="53A169EF" w:rsidR="003611ED" w:rsidRPr="005F27E2" w:rsidRDefault="003611ED" w:rsidP="001838E0">
            <w:pPr>
              <w:spacing w:before="0" w:after="0"/>
              <w:rPr>
                <w:sz w:val="18"/>
                <w:szCs w:val="18"/>
              </w:rPr>
            </w:pPr>
            <w:r w:rsidRPr="008D1B84">
              <w:rPr>
                <w:sz w:val="18"/>
                <w:szCs w:val="18"/>
              </w:rPr>
              <w:t>Wind</w:t>
            </w:r>
            <w:r>
              <w:rPr>
                <w:sz w:val="18"/>
                <w:szCs w:val="18"/>
              </w:rPr>
              <w:t xml:space="preserve"> (1998-201</w:t>
            </w:r>
            <w:r w:rsidR="001838E0">
              <w:rPr>
                <w:sz w:val="18"/>
                <w:szCs w:val="18"/>
              </w:rPr>
              <w:t>7</w:t>
            </w:r>
            <w:r>
              <w:rPr>
                <w:sz w:val="18"/>
                <w:szCs w:val="18"/>
              </w:rPr>
              <w:t>)</w:t>
            </w:r>
          </w:p>
        </w:tc>
        <w:tc>
          <w:tcPr>
            <w:tcW w:w="2268" w:type="dxa"/>
            <w:tcBorders>
              <w:bottom w:val="single" w:sz="4" w:space="0" w:color="auto"/>
            </w:tcBorders>
            <w:shd w:val="clear" w:color="auto" w:fill="E7F3F4"/>
          </w:tcPr>
          <w:p w14:paraId="07B62552" w14:textId="70E7BA96" w:rsidR="003611ED" w:rsidRPr="00880A75" w:rsidRDefault="00880A75" w:rsidP="0059610E">
            <w:pPr>
              <w:spacing w:before="0" w:after="0"/>
              <w:rPr>
                <w:color w:val="000000" w:themeColor="text1"/>
                <w:sz w:val="18"/>
                <w:szCs w:val="18"/>
              </w:rPr>
            </w:pPr>
            <w:r w:rsidRPr="00880A75">
              <w:rPr>
                <w:color w:val="000000" w:themeColor="text1"/>
                <w:sz w:val="18"/>
                <w:szCs w:val="18"/>
              </w:rPr>
              <w:t>88</w:t>
            </w:r>
            <w:r w:rsidR="003611ED" w:rsidRPr="00880A75">
              <w:rPr>
                <w:color w:val="000000" w:themeColor="text1"/>
                <w:sz w:val="18"/>
                <w:szCs w:val="18"/>
              </w:rPr>
              <w:t xml:space="preserve"> days yr</w:t>
            </w:r>
            <w:r w:rsidR="003611ED" w:rsidRPr="00880A75">
              <w:rPr>
                <w:color w:val="000000" w:themeColor="text1"/>
                <w:sz w:val="18"/>
                <w:szCs w:val="18"/>
                <w:vertAlign w:val="superscript"/>
              </w:rPr>
              <w:t>-1</w:t>
            </w:r>
          </w:p>
        </w:tc>
        <w:tc>
          <w:tcPr>
            <w:tcW w:w="1559" w:type="dxa"/>
            <w:tcBorders>
              <w:bottom w:val="single" w:sz="4" w:space="0" w:color="auto"/>
            </w:tcBorders>
            <w:shd w:val="clear" w:color="auto" w:fill="E7F3F4"/>
          </w:tcPr>
          <w:p w14:paraId="71C26977" w14:textId="6783972D" w:rsidR="003611ED" w:rsidRPr="00880A75" w:rsidRDefault="00880A75" w:rsidP="0059610E">
            <w:pPr>
              <w:spacing w:before="0" w:after="0"/>
              <w:rPr>
                <w:color w:val="000000" w:themeColor="text1"/>
                <w:sz w:val="18"/>
                <w:szCs w:val="18"/>
              </w:rPr>
            </w:pPr>
            <w:r w:rsidRPr="00880A75">
              <w:rPr>
                <w:color w:val="000000" w:themeColor="text1"/>
                <w:sz w:val="18"/>
                <w:szCs w:val="18"/>
              </w:rPr>
              <w:t>117</w:t>
            </w:r>
            <w:r w:rsidR="003611ED" w:rsidRPr="00880A75">
              <w:rPr>
                <w:color w:val="000000" w:themeColor="text1"/>
                <w:sz w:val="18"/>
                <w:szCs w:val="18"/>
              </w:rPr>
              <w:t xml:space="preserve"> days yr</w:t>
            </w:r>
            <w:r w:rsidR="003611ED" w:rsidRPr="00880A75">
              <w:rPr>
                <w:color w:val="000000" w:themeColor="text1"/>
                <w:sz w:val="18"/>
                <w:szCs w:val="18"/>
                <w:vertAlign w:val="superscript"/>
              </w:rPr>
              <w:t>-1</w:t>
            </w:r>
          </w:p>
        </w:tc>
      </w:tr>
      <w:tr w:rsidR="00D64001" w:rsidRPr="00D64001" w14:paraId="76EF8A70" w14:textId="77777777" w:rsidTr="0059610E">
        <w:trPr>
          <w:trHeight w:val="227"/>
          <w:jc w:val="center"/>
        </w:trPr>
        <w:tc>
          <w:tcPr>
            <w:tcW w:w="4164" w:type="dxa"/>
            <w:shd w:val="clear" w:color="auto" w:fill="F3F9FA"/>
          </w:tcPr>
          <w:p w14:paraId="3A06DB6A" w14:textId="63D9F5B1" w:rsidR="003611ED" w:rsidRPr="00D64001" w:rsidRDefault="003611ED" w:rsidP="0059610E">
            <w:pPr>
              <w:tabs>
                <w:tab w:val="left" w:pos="2296"/>
              </w:tabs>
              <w:spacing w:before="0" w:after="0"/>
              <w:rPr>
                <w:sz w:val="18"/>
                <w:szCs w:val="18"/>
              </w:rPr>
            </w:pPr>
            <w:r w:rsidRPr="00D64001">
              <w:rPr>
                <w:sz w:val="18"/>
                <w:szCs w:val="18"/>
              </w:rPr>
              <w:t xml:space="preserve">Within canopy temperature – </w:t>
            </w:r>
            <w:r w:rsidRPr="00D64001">
              <w:rPr>
                <w:sz w:val="18"/>
                <w:szCs w:val="18"/>
              </w:rPr>
              <w:tab/>
            </w:r>
            <w:r w:rsidRPr="00D64001">
              <w:rPr>
                <w:i/>
                <w:sz w:val="18"/>
                <w:szCs w:val="18"/>
              </w:rPr>
              <w:t>intertidal</w:t>
            </w:r>
            <w:r w:rsidRPr="00D64001">
              <w:rPr>
                <w:sz w:val="18"/>
                <w:szCs w:val="18"/>
              </w:rPr>
              <w:t xml:space="preserve"> (2003-201</w:t>
            </w:r>
            <w:r w:rsidR="001838E0">
              <w:rPr>
                <w:sz w:val="18"/>
                <w:szCs w:val="18"/>
              </w:rPr>
              <w:t>7</w:t>
            </w:r>
            <w:r w:rsidRPr="00D64001">
              <w:rPr>
                <w:sz w:val="18"/>
                <w:szCs w:val="18"/>
              </w:rPr>
              <w:t>)</w:t>
            </w:r>
          </w:p>
          <w:p w14:paraId="341C35B2" w14:textId="6C82A9A9" w:rsidR="003611ED" w:rsidRPr="00D64001" w:rsidRDefault="003611ED" w:rsidP="001838E0">
            <w:pPr>
              <w:tabs>
                <w:tab w:val="left" w:pos="2296"/>
              </w:tabs>
              <w:spacing w:before="0" w:after="0"/>
              <w:rPr>
                <w:sz w:val="18"/>
                <w:szCs w:val="18"/>
              </w:rPr>
            </w:pPr>
            <w:r w:rsidRPr="00D64001">
              <w:rPr>
                <w:sz w:val="18"/>
                <w:szCs w:val="18"/>
              </w:rPr>
              <w:tab/>
            </w:r>
            <w:r w:rsidRPr="00D64001">
              <w:rPr>
                <w:i/>
                <w:sz w:val="18"/>
                <w:szCs w:val="18"/>
              </w:rPr>
              <w:t>subtidal</w:t>
            </w:r>
            <w:r w:rsidRPr="00D64001">
              <w:rPr>
                <w:sz w:val="18"/>
                <w:szCs w:val="18"/>
              </w:rPr>
              <w:t xml:space="preserve"> (2008-201</w:t>
            </w:r>
            <w:r w:rsidR="001838E0">
              <w:rPr>
                <w:sz w:val="18"/>
                <w:szCs w:val="18"/>
              </w:rPr>
              <w:t>7</w:t>
            </w:r>
            <w:r w:rsidRPr="00D64001">
              <w:rPr>
                <w:sz w:val="18"/>
                <w:szCs w:val="18"/>
              </w:rPr>
              <w:t>)</w:t>
            </w:r>
          </w:p>
        </w:tc>
        <w:tc>
          <w:tcPr>
            <w:tcW w:w="2268" w:type="dxa"/>
            <w:shd w:val="clear" w:color="auto" w:fill="F3F9FA"/>
          </w:tcPr>
          <w:p w14:paraId="3944AC61" w14:textId="6911C3CC" w:rsidR="003611ED" w:rsidRPr="00B137B4" w:rsidRDefault="00AB521C" w:rsidP="0059610E">
            <w:pPr>
              <w:spacing w:before="0" w:after="0"/>
              <w:rPr>
                <w:color w:val="000000" w:themeColor="text1"/>
                <w:sz w:val="18"/>
                <w:szCs w:val="18"/>
              </w:rPr>
            </w:pPr>
            <w:r w:rsidRPr="00B137B4">
              <w:rPr>
                <w:color w:val="000000" w:themeColor="text1"/>
                <w:sz w:val="18"/>
                <w:szCs w:val="18"/>
              </w:rPr>
              <w:t>26.9</w:t>
            </w:r>
            <w:r w:rsidR="003611ED" w:rsidRPr="00B137B4">
              <w:rPr>
                <w:color w:val="000000" w:themeColor="text1"/>
                <w:sz w:val="18"/>
                <w:szCs w:val="18"/>
              </w:rPr>
              <w:t xml:space="preserve">°C </w:t>
            </w:r>
            <w:r w:rsidR="003611ED" w:rsidRPr="00B137B4">
              <w:rPr>
                <w:i/>
                <w:color w:val="000000" w:themeColor="text1"/>
                <w:sz w:val="18"/>
                <w:szCs w:val="18"/>
              </w:rPr>
              <w:t>(41.5°C)</w:t>
            </w:r>
          </w:p>
          <w:p w14:paraId="1A95E05B" w14:textId="2D4BEDB4" w:rsidR="003611ED" w:rsidRPr="00B137B4" w:rsidRDefault="003611ED" w:rsidP="00D64001">
            <w:pPr>
              <w:spacing w:before="0" w:after="0"/>
              <w:rPr>
                <w:color w:val="000000" w:themeColor="text1"/>
                <w:sz w:val="18"/>
                <w:szCs w:val="18"/>
              </w:rPr>
            </w:pPr>
            <w:r w:rsidRPr="00B137B4">
              <w:rPr>
                <w:color w:val="000000" w:themeColor="text1"/>
                <w:sz w:val="18"/>
                <w:szCs w:val="18"/>
              </w:rPr>
              <w:t>26.</w:t>
            </w:r>
            <w:r w:rsidR="00AB521C" w:rsidRPr="00B137B4">
              <w:rPr>
                <w:color w:val="000000" w:themeColor="text1"/>
                <w:sz w:val="18"/>
                <w:szCs w:val="18"/>
              </w:rPr>
              <w:t>6</w:t>
            </w:r>
            <w:r w:rsidRPr="00B137B4">
              <w:rPr>
                <w:color w:val="000000" w:themeColor="text1"/>
                <w:sz w:val="18"/>
                <w:szCs w:val="18"/>
              </w:rPr>
              <w:t xml:space="preserve">°C </w:t>
            </w:r>
            <w:r w:rsidRPr="00B137B4">
              <w:rPr>
                <w:i/>
                <w:color w:val="000000" w:themeColor="text1"/>
                <w:sz w:val="18"/>
                <w:szCs w:val="18"/>
              </w:rPr>
              <w:t>(35.7°C)</w:t>
            </w:r>
          </w:p>
        </w:tc>
        <w:tc>
          <w:tcPr>
            <w:tcW w:w="1559" w:type="dxa"/>
            <w:shd w:val="clear" w:color="auto" w:fill="F3F9FA"/>
          </w:tcPr>
          <w:p w14:paraId="02CCB1BE" w14:textId="4F1BCA70" w:rsidR="003611ED" w:rsidRPr="00B137B4" w:rsidRDefault="003611ED" w:rsidP="0059610E">
            <w:pPr>
              <w:spacing w:before="0" w:after="0"/>
              <w:rPr>
                <w:color w:val="000000" w:themeColor="text1"/>
                <w:sz w:val="18"/>
                <w:szCs w:val="18"/>
              </w:rPr>
            </w:pPr>
            <w:r w:rsidRPr="00B137B4">
              <w:rPr>
                <w:color w:val="000000" w:themeColor="text1"/>
                <w:sz w:val="18"/>
                <w:szCs w:val="18"/>
              </w:rPr>
              <w:t>27.</w:t>
            </w:r>
            <w:r w:rsidR="00AB521C" w:rsidRPr="00B137B4">
              <w:rPr>
                <w:color w:val="000000" w:themeColor="text1"/>
                <w:sz w:val="18"/>
                <w:szCs w:val="18"/>
              </w:rPr>
              <w:t>7</w:t>
            </w:r>
            <w:r w:rsidRPr="00B137B4">
              <w:rPr>
                <w:color w:val="000000" w:themeColor="text1"/>
                <w:sz w:val="18"/>
                <w:szCs w:val="18"/>
              </w:rPr>
              <w:t xml:space="preserve">°C </w:t>
            </w:r>
            <w:r w:rsidR="00AB521C" w:rsidRPr="00B137B4">
              <w:rPr>
                <w:i/>
                <w:color w:val="000000" w:themeColor="text1"/>
                <w:sz w:val="18"/>
                <w:szCs w:val="18"/>
              </w:rPr>
              <w:t>(41</w:t>
            </w:r>
            <w:r w:rsidRPr="00B137B4">
              <w:rPr>
                <w:i/>
                <w:color w:val="000000" w:themeColor="text1"/>
                <w:sz w:val="18"/>
                <w:szCs w:val="18"/>
              </w:rPr>
              <w:t>.</w:t>
            </w:r>
            <w:r w:rsidR="00AB521C" w:rsidRPr="00B137B4">
              <w:rPr>
                <w:i/>
                <w:color w:val="000000" w:themeColor="text1"/>
                <w:sz w:val="18"/>
                <w:szCs w:val="18"/>
              </w:rPr>
              <w:t>4</w:t>
            </w:r>
            <w:r w:rsidRPr="00B137B4">
              <w:rPr>
                <w:i/>
                <w:color w:val="000000" w:themeColor="text1"/>
                <w:sz w:val="18"/>
                <w:szCs w:val="18"/>
              </w:rPr>
              <w:t>°C)</w:t>
            </w:r>
          </w:p>
          <w:p w14:paraId="01CB7FB9" w14:textId="15DE5F12" w:rsidR="003611ED" w:rsidRPr="00B137B4" w:rsidRDefault="00AB521C" w:rsidP="00D64001">
            <w:pPr>
              <w:spacing w:before="0" w:after="0"/>
              <w:rPr>
                <w:color w:val="000000" w:themeColor="text1"/>
                <w:sz w:val="16"/>
                <w:szCs w:val="16"/>
              </w:rPr>
            </w:pPr>
            <w:r w:rsidRPr="00B137B4">
              <w:rPr>
                <w:color w:val="000000" w:themeColor="text1"/>
                <w:sz w:val="16"/>
                <w:szCs w:val="16"/>
              </w:rPr>
              <w:t>27.4</w:t>
            </w:r>
            <w:r w:rsidRPr="00B137B4">
              <w:rPr>
                <w:color w:val="000000" w:themeColor="text1"/>
                <w:sz w:val="18"/>
                <w:szCs w:val="18"/>
              </w:rPr>
              <w:t>°C (</w:t>
            </w:r>
            <w:r w:rsidRPr="00B137B4">
              <w:rPr>
                <w:i/>
                <w:color w:val="000000" w:themeColor="text1"/>
                <w:sz w:val="18"/>
                <w:szCs w:val="18"/>
              </w:rPr>
              <w:t>32.4°C</w:t>
            </w:r>
            <w:r w:rsidRPr="00B137B4">
              <w:rPr>
                <w:color w:val="000000" w:themeColor="text1"/>
                <w:sz w:val="18"/>
                <w:szCs w:val="18"/>
              </w:rPr>
              <w:t>)</w:t>
            </w:r>
          </w:p>
        </w:tc>
      </w:tr>
      <w:tr w:rsidR="003611ED" w14:paraId="6805C103" w14:textId="77777777" w:rsidTr="0059610E">
        <w:trPr>
          <w:trHeight w:val="227"/>
          <w:jc w:val="center"/>
        </w:trPr>
        <w:tc>
          <w:tcPr>
            <w:tcW w:w="4164" w:type="dxa"/>
            <w:shd w:val="clear" w:color="auto" w:fill="F3F9FA"/>
          </w:tcPr>
          <w:p w14:paraId="5E9EDE4C" w14:textId="30AA5A92" w:rsidR="003611ED" w:rsidRPr="008D1B84" w:rsidRDefault="003611ED" w:rsidP="001838E0">
            <w:pPr>
              <w:tabs>
                <w:tab w:val="left" w:pos="2296"/>
              </w:tabs>
              <w:spacing w:before="0" w:after="0"/>
              <w:rPr>
                <w:sz w:val="18"/>
                <w:szCs w:val="18"/>
              </w:rPr>
            </w:pPr>
            <w:r w:rsidRPr="008D1B84">
              <w:rPr>
                <w:sz w:val="18"/>
                <w:szCs w:val="18"/>
              </w:rPr>
              <w:t>Within canopy light (2012-201</w:t>
            </w:r>
            <w:r w:rsidR="001838E0">
              <w:rPr>
                <w:sz w:val="18"/>
                <w:szCs w:val="18"/>
              </w:rPr>
              <w:t>7</w:t>
            </w:r>
            <w:r w:rsidRPr="008D1B84">
              <w:rPr>
                <w:sz w:val="18"/>
                <w:szCs w:val="18"/>
              </w:rPr>
              <w:t>)</w:t>
            </w:r>
          </w:p>
        </w:tc>
        <w:tc>
          <w:tcPr>
            <w:tcW w:w="2268" w:type="dxa"/>
            <w:shd w:val="clear" w:color="auto" w:fill="F3F9FA"/>
          </w:tcPr>
          <w:p w14:paraId="0FC2E64D" w14:textId="42971A26" w:rsidR="003611ED" w:rsidRPr="00880A75" w:rsidRDefault="00880A75" w:rsidP="0059610E">
            <w:pPr>
              <w:spacing w:before="0" w:after="0"/>
              <w:rPr>
                <w:color w:val="000000" w:themeColor="text1"/>
                <w:sz w:val="18"/>
                <w:szCs w:val="18"/>
              </w:rPr>
            </w:pPr>
            <w:r w:rsidRPr="00880A75">
              <w:rPr>
                <w:color w:val="000000" w:themeColor="text1"/>
                <w:sz w:val="18"/>
                <w:szCs w:val="18"/>
              </w:rPr>
              <w:t>12.7</w:t>
            </w:r>
            <w:r w:rsidR="003611ED" w:rsidRPr="00880A75">
              <w:rPr>
                <w:color w:val="000000" w:themeColor="text1"/>
                <w:sz w:val="18"/>
                <w:szCs w:val="18"/>
              </w:rPr>
              <w:t xml:space="preserve"> mol m</w:t>
            </w:r>
            <w:r w:rsidR="003611ED" w:rsidRPr="00880A75">
              <w:rPr>
                <w:color w:val="000000" w:themeColor="text1"/>
                <w:sz w:val="18"/>
                <w:szCs w:val="18"/>
                <w:vertAlign w:val="superscript"/>
              </w:rPr>
              <w:t>-2</w:t>
            </w:r>
            <w:r w:rsidR="003611ED" w:rsidRPr="00880A75">
              <w:rPr>
                <w:color w:val="000000" w:themeColor="text1"/>
                <w:sz w:val="18"/>
                <w:szCs w:val="18"/>
              </w:rPr>
              <w:t xml:space="preserve"> d</w:t>
            </w:r>
            <w:r w:rsidR="003611ED" w:rsidRPr="00880A75">
              <w:rPr>
                <w:color w:val="000000" w:themeColor="text1"/>
                <w:sz w:val="18"/>
                <w:szCs w:val="18"/>
                <w:vertAlign w:val="superscript"/>
              </w:rPr>
              <w:t>-1</w:t>
            </w:r>
          </w:p>
        </w:tc>
        <w:tc>
          <w:tcPr>
            <w:tcW w:w="1559" w:type="dxa"/>
            <w:shd w:val="clear" w:color="auto" w:fill="F3F9FA"/>
          </w:tcPr>
          <w:p w14:paraId="4309BF89" w14:textId="02BB5012" w:rsidR="003611ED" w:rsidRPr="00880A75" w:rsidRDefault="00880A75" w:rsidP="0059610E">
            <w:pPr>
              <w:spacing w:before="0" w:after="0"/>
              <w:rPr>
                <w:color w:val="000000" w:themeColor="text1"/>
                <w:sz w:val="18"/>
                <w:szCs w:val="18"/>
              </w:rPr>
            </w:pPr>
            <w:r w:rsidRPr="00880A75">
              <w:rPr>
                <w:color w:val="000000" w:themeColor="text1"/>
                <w:sz w:val="18"/>
                <w:szCs w:val="18"/>
              </w:rPr>
              <w:t>12.0</w:t>
            </w:r>
            <w:r w:rsidR="003611ED" w:rsidRPr="00880A75">
              <w:rPr>
                <w:color w:val="000000" w:themeColor="text1"/>
                <w:sz w:val="18"/>
                <w:szCs w:val="18"/>
              </w:rPr>
              <w:t xml:space="preserve"> mol m</w:t>
            </w:r>
            <w:r w:rsidR="003611ED" w:rsidRPr="00880A75">
              <w:rPr>
                <w:color w:val="000000" w:themeColor="text1"/>
                <w:sz w:val="18"/>
                <w:szCs w:val="18"/>
                <w:vertAlign w:val="superscript"/>
              </w:rPr>
              <w:t>-2</w:t>
            </w:r>
            <w:r w:rsidR="003611ED" w:rsidRPr="00880A75">
              <w:rPr>
                <w:color w:val="000000" w:themeColor="text1"/>
                <w:sz w:val="18"/>
                <w:szCs w:val="18"/>
              </w:rPr>
              <w:t xml:space="preserve"> d</w:t>
            </w:r>
            <w:r w:rsidR="003611ED" w:rsidRPr="00880A75">
              <w:rPr>
                <w:color w:val="000000" w:themeColor="text1"/>
                <w:sz w:val="18"/>
                <w:szCs w:val="18"/>
                <w:vertAlign w:val="superscript"/>
              </w:rPr>
              <w:t>-1</w:t>
            </w:r>
          </w:p>
        </w:tc>
      </w:tr>
    </w:tbl>
    <w:p w14:paraId="3FCA6C8D" w14:textId="77777777" w:rsidR="008925B3" w:rsidRPr="005515AE" w:rsidRDefault="008925B3" w:rsidP="008925B3">
      <w:pPr>
        <w:spacing w:before="0" w:after="0"/>
        <w:rPr>
          <w:color w:val="000000"/>
          <w:sz w:val="10"/>
          <w:szCs w:val="10"/>
        </w:rPr>
      </w:pPr>
    </w:p>
    <w:p w14:paraId="1E28E8EB" w14:textId="7990DCB6" w:rsidR="001402C9" w:rsidRPr="007B7122" w:rsidRDefault="003611ED" w:rsidP="001402C9">
      <w:pPr>
        <w:rPr>
          <w:i/>
          <w:vanish/>
          <w:specVanish/>
        </w:rPr>
      </w:pPr>
      <w:bookmarkStart w:id="300" w:name="_Toc516053256"/>
      <w:r>
        <w:rPr>
          <w:noProof/>
          <w:color w:val="000000"/>
          <w:szCs w:val="22"/>
          <w:lang w:eastAsia="en-AU"/>
        </w:rPr>
        <w:drawing>
          <wp:anchor distT="0" distB="0" distL="114300" distR="114300" simplePos="0" relativeHeight="251659776" behindDoc="0" locked="0" layoutInCell="1" allowOverlap="1" wp14:anchorId="64A2EE54" wp14:editId="6E22BE97">
            <wp:simplePos x="0" y="0"/>
            <wp:positionH relativeFrom="margin">
              <wp:posOffset>5512</wp:posOffset>
            </wp:positionH>
            <wp:positionV relativeFrom="paragraph">
              <wp:posOffset>167005</wp:posOffset>
            </wp:positionV>
            <wp:extent cx="2335301" cy="3349625"/>
            <wp:effectExtent l="0" t="0" r="8255" b="3175"/>
            <wp:wrapSquare wrapText="right"/>
            <wp:docPr id="23" name="Picture 23" descr="Composite graph showing the location of each seagrass monitoring site and the frequency of exposure to plume water in the Wet Tropics NRM, wet season (December 2016 –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 sites_legend.png"/>
                    <pic:cNvPicPr/>
                  </pic:nvPicPr>
                  <pic:blipFill>
                    <a:blip r:embed="rId83"/>
                    <a:stretch>
                      <a:fillRect/>
                    </a:stretch>
                  </pic:blipFill>
                  <pic:spPr>
                    <a:xfrm>
                      <a:off x="0" y="0"/>
                      <a:ext cx="2335301" cy="3349625"/>
                    </a:xfrm>
                    <a:prstGeom prst="rect">
                      <a:avLst/>
                    </a:prstGeom>
                  </pic:spPr>
                </pic:pic>
              </a:graphicData>
            </a:graphic>
            <wp14:sizeRelH relativeFrom="margin">
              <wp14:pctWidth>0</wp14:pctWidth>
            </wp14:sizeRelH>
            <wp14:sizeRelV relativeFrom="margin">
              <wp14:pctHeight>0</wp14:pctHeight>
            </wp14:sizeRelV>
          </wp:anchor>
        </w:drawing>
      </w:r>
      <w:bookmarkStart w:id="301" w:name="_Ref442440167"/>
      <w:r w:rsidR="005C004C" w:rsidRPr="007B712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46</w:t>
      </w:r>
      <w:r w:rsidR="00C506C7">
        <w:rPr>
          <w:noProof/>
        </w:rPr>
        <w:fldChar w:fldCharType="end"/>
      </w:r>
      <w:bookmarkEnd w:id="301"/>
      <w:r w:rsidR="001402C9" w:rsidRPr="007B7122">
        <w:t xml:space="preserve">.  </w:t>
      </w:r>
      <w:r w:rsidRPr="007B7122">
        <w:rPr>
          <w:i/>
        </w:rPr>
        <w:t xml:space="preserve">Frequency of exposure to </w:t>
      </w:r>
      <w:r w:rsidR="006844EA">
        <w:rPr>
          <w:i/>
        </w:rPr>
        <w:t>turbid</w:t>
      </w:r>
      <w:r w:rsidR="006844EA" w:rsidRPr="00FD0A74">
        <w:rPr>
          <w:i/>
        </w:rPr>
        <w:t xml:space="preserve"> water</w:t>
      </w:r>
      <w:r w:rsidR="006844EA">
        <w:rPr>
          <w:i/>
        </w:rPr>
        <w:t xml:space="preserve"> (colour classes 1-5) </w:t>
      </w:r>
      <w:r w:rsidRPr="007B7122">
        <w:rPr>
          <w:i/>
        </w:rPr>
        <w:t xml:space="preserve">in the Wet Tropics NRM, wet season (22 weeks from </w:t>
      </w:r>
      <w:r w:rsidR="00E3346D" w:rsidRPr="00E3346D">
        <w:rPr>
          <w:i/>
          <w:color w:val="000000" w:themeColor="text1"/>
        </w:rPr>
        <w:t>December 2016</w:t>
      </w:r>
      <w:r w:rsidRPr="00E3346D">
        <w:rPr>
          <w:i/>
          <w:color w:val="000000" w:themeColor="text1"/>
        </w:rPr>
        <w:t xml:space="preserve"> – April 201</w:t>
      </w:r>
      <w:r w:rsidR="00E3346D" w:rsidRPr="00E3346D">
        <w:rPr>
          <w:i/>
          <w:color w:val="000000" w:themeColor="text1"/>
        </w:rPr>
        <w:t>7</w:t>
      </w:r>
      <w:r w:rsidRPr="00E3346D">
        <w:rPr>
          <w:i/>
          <w:color w:val="000000" w:themeColor="text1"/>
        </w:rPr>
        <w:t xml:space="preserve">) </w:t>
      </w:r>
      <w:r w:rsidRPr="007B7122">
        <w:rPr>
          <w:i/>
        </w:rPr>
        <w:t>composite.</w:t>
      </w:r>
      <w:bookmarkEnd w:id="300"/>
    </w:p>
    <w:p w14:paraId="227C3459" w14:textId="598E3AFC" w:rsidR="003611ED" w:rsidRPr="007B7122" w:rsidRDefault="003611ED" w:rsidP="001402C9">
      <w:pPr>
        <w:rPr>
          <w:i/>
        </w:rPr>
      </w:pPr>
      <w:r w:rsidRPr="007B7122">
        <w:rPr>
          <w:i/>
        </w:rPr>
        <w:t xml:space="preserve"> Frequency calculated as number of weeks in wet season exposed to primary or secondary water (colour classes 1 – 5). </w:t>
      </w:r>
      <w:r w:rsidR="00FF0A86" w:rsidRPr="007B7122">
        <w:rPr>
          <w:i/>
        </w:rPr>
        <w:t xml:space="preserve">Each colour class </w:t>
      </w:r>
      <w:r w:rsidR="00FF0A86" w:rsidRPr="00F75525">
        <w:rPr>
          <w:i/>
        </w:rPr>
        <w:t>category is described by mean water quality values for TSS, CDOM, chlorophyll a and K</w:t>
      </w:r>
      <w:r w:rsidR="00FF0A86" w:rsidRPr="00F75525">
        <w:rPr>
          <w:i/>
          <w:vertAlign w:val="subscript"/>
        </w:rPr>
        <w:t>d</w:t>
      </w:r>
      <w:r w:rsidR="00FF0A86" w:rsidRPr="00F75525">
        <w:rPr>
          <w:i/>
        </w:rPr>
        <w:t xml:space="preserve"> (PAR) </w:t>
      </w:r>
      <w:r w:rsidR="000B7516" w:rsidRPr="0041342B">
        <w:rPr>
          <w:i/>
        </w:rPr>
        <w:t>(</w:t>
      </w:r>
      <w:hyperlink w:anchor="_ENREF_82" w:tooltip="Devlin, 2015 #10405" w:history="1">
        <w:r w:rsidR="00305FE7" w:rsidRPr="0041342B">
          <w:rPr>
            <w:i/>
          </w:rPr>
          <w:fldChar w:fldCharType="begin"/>
        </w:r>
        <w:r w:rsidR="00305FE7">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41342B">
          <w:rPr>
            <w:i/>
          </w:rPr>
          <w:fldChar w:fldCharType="separate"/>
        </w:r>
        <w:r w:rsidR="00305FE7">
          <w:rPr>
            <w:i/>
          </w:rPr>
          <w:t>Devlin et al. 2015</w:t>
        </w:r>
        <w:r w:rsidR="00305FE7" w:rsidRPr="0041342B">
          <w:rPr>
            <w:i/>
          </w:rPr>
          <w:fldChar w:fldCharType="end"/>
        </w:r>
      </w:hyperlink>
      <w:r w:rsidR="000B7516" w:rsidRPr="0041342B">
        <w:rPr>
          <w:i/>
        </w:rPr>
        <w:t>;</w:t>
      </w:r>
      <w:r w:rsidR="000B7516" w:rsidRPr="000B7516">
        <w:rPr>
          <w:i/>
        </w:rPr>
        <w:t xml:space="preserve">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sidR="000B7516" w:rsidRPr="0041342B">
        <w:rPr>
          <w:i/>
        </w:rPr>
        <w:t>)</w:t>
      </w:r>
      <w:r w:rsidR="00FF0A86" w:rsidRPr="00F75525">
        <w:rPr>
          <w:i/>
        </w:rPr>
        <w:t xml:space="preserve">. For site details, see </w:t>
      </w:r>
      <w:r w:rsidR="00F75525">
        <w:rPr>
          <w:i/>
        </w:rPr>
        <w:fldChar w:fldCharType="begin"/>
      </w:r>
      <w:r w:rsidR="00F75525">
        <w:rPr>
          <w:i/>
        </w:rPr>
        <w:instrText xml:space="preserve"> REF _Ref473897322 \h </w:instrText>
      </w:r>
      <w:r w:rsidR="00F75525">
        <w:rPr>
          <w:i/>
        </w:rPr>
      </w:r>
      <w:r w:rsidR="00F75525">
        <w:rPr>
          <w:i/>
        </w:rPr>
        <w:fldChar w:fldCharType="separate"/>
      </w:r>
      <w:r w:rsidR="00F87DF9">
        <w:t xml:space="preserve">Table </w:t>
      </w:r>
      <w:r w:rsidR="00F87DF9">
        <w:rPr>
          <w:noProof/>
        </w:rPr>
        <w:t>18</w:t>
      </w:r>
      <w:r w:rsidR="00F75525">
        <w:rPr>
          <w:i/>
        </w:rPr>
        <w:fldChar w:fldCharType="end"/>
      </w:r>
      <w:r w:rsidR="00FF0A86" w:rsidRPr="00F75525">
        <w:rPr>
          <w:i/>
        </w:rPr>
        <w:t>.</w:t>
      </w:r>
    </w:p>
    <w:p w14:paraId="67A05286" w14:textId="6B55829F" w:rsidR="001402C9" w:rsidRPr="008E418C" w:rsidRDefault="001402C9" w:rsidP="001402C9">
      <w:pPr>
        <w:rPr>
          <w:i/>
          <w:vanish/>
          <w:specVanish/>
        </w:rPr>
      </w:pPr>
      <w:bookmarkStart w:id="302" w:name="_Ref442440193"/>
      <w:bookmarkStart w:id="303" w:name="_Toc516053441"/>
      <w:r w:rsidRPr="008E418C">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17</w:t>
      </w:r>
      <w:r w:rsidR="00C506C7">
        <w:rPr>
          <w:noProof/>
        </w:rPr>
        <w:fldChar w:fldCharType="end"/>
      </w:r>
      <w:bookmarkEnd w:id="302"/>
      <w:r w:rsidRPr="008E418C">
        <w:t xml:space="preserve">.  </w:t>
      </w:r>
      <w:r w:rsidR="00EC46EC" w:rsidRPr="008E418C">
        <w:rPr>
          <w:i/>
        </w:rPr>
        <w:t xml:space="preserve">Water type at each location in the Wet Tropics </w:t>
      </w:r>
      <w:r w:rsidRPr="008E418C">
        <w:rPr>
          <w:i/>
        </w:rPr>
        <w:t>region</w:t>
      </w:r>
      <w:r w:rsidR="00EC46EC" w:rsidRPr="008E418C">
        <w:rPr>
          <w:i/>
        </w:rPr>
        <w:t xml:space="preserve"> derived from MODIS true colour images</w:t>
      </w:r>
      <w:bookmarkEnd w:id="303"/>
    </w:p>
    <w:p w14:paraId="0C8AD2AC" w14:textId="202731EC" w:rsidR="00EC46EC" w:rsidRDefault="00EC46EC" w:rsidP="001402C9">
      <w:pPr>
        <w:rPr>
          <w:i/>
        </w:rPr>
      </w:pPr>
      <w:r w:rsidRPr="008E418C">
        <w:rPr>
          <w:i/>
        </w:rPr>
        <w:t xml:space="preserve"> as colour classes of turbid primary water (class 1 – 4, red/brown), nutrient/chlorophyll-enriched secondary water (class 5, green), and tertiary (some freshwater/CDOM influence) or no plume influence (class 6 and 7 respectively, blue), for 22 weeks from </w:t>
      </w:r>
      <w:r w:rsidRPr="00630FC8">
        <w:rPr>
          <w:i/>
          <w:color w:val="000000" w:themeColor="text1"/>
        </w:rPr>
        <w:t>December 201</w:t>
      </w:r>
      <w:r w:rsidR="00630FC8" w:rsidRPr="00630FC8">
        <w:rPr>
          <w:i/>
          <w:color w:val="000000" w:themeColor="text1"/>
        </w:rPr>
        <w:t>6</w:t>
      </w:r>
      <w:r w:rsidRPr="00630FC8">
        <w:rPr>
          <w:i/>
          <w:color w:val="000000" w:themeColor="text1"/>
        </w:rPr>
        <w:t xml:space="preserve"> – April 201</w:t>
      </w:r>
      <w:r w:rsidR="00630FC8" w:rsidRPr="00630FC8">
        <w:rPr>
          <w:i/>
          <w:color w:val="000000" w:themeColor="text1"/>
        </w:rPr>
        <w:t>7</w:t>
      </w:r>
      <w:r w:rsidRPr="00630FC8">
        <w:rPr>
          <w:i/>
          <w:color w:val="000000" w:themeColor="text1"/>
        </w:rPr>
        <w:t xml:space="preserve">. </w:t>
      </w:r>
      <w:r w:rsidRPr="008E418C">
        <w:rPr>
          <w:i/>
        </w:rPr>
        <w:t>Also shown, median wet season colour class (Med), frequency of primary water as f</w:t>
      </w:r>
      <w:r w:rsidRPr="008E418C">
        <w:rPr>
          <w:i/>
          <w:vertAlign w:val="subscript"/>
        </w:rPr>
        <w:t>(P)</w:t>
      </w:r>
      <w:r w:rsidRPr="008E418C">
        <w:rPr>
          <w:i/>
        </w:rPr>
        <w:t>, the frequency of secondary water as f</w:t>
      </w:r>
      <w:r w:rsidRPr="008E418C">
        <w:rPr>
          <w:i/>
          <w:vertAlign w:val="subscript"/>
        </w:rPr>
        <w:t>(S)</w:t>
      </w:r>
      <w:r w:rsidRPr="008E418C">
        <w:rPr>
          <w:i/>
        </w:rPr>
        <w:t>, and the frequency of primary or secondary as f</w:t>
      </w:r>
      <w:r w:rsidRPr="008E418C">
        <w:rPr>
          <w:i/>
          <w:vertAlign w:val="subscript"/>
        </w:rPr>
        <w:t>(P+S)</w:t>
      </w:r>
      <w:r w:rsidRPr="008E418C">
        <w:rPr>
          <w:i/>
        </w:rPr>
        <w:t>. *denotes dat</w:t>
      </w:r>
      <w:r w:rsidR="009526BE" w:rsidRPr="008E418C">
        <w:rPr>
          <w:i/>
        </w:rPr>
        <w:t>a obtained from adjacent pixel.</w:t>
      </w:r>
    </w:p>
    <w:tbl>
      <w:tblPr>
        <w:tblW w:w="10915" w:type="dxa"/>
        <w:tblInd w:w="-1134" w:type="dxa"/>
        <w:tblBorders>
          <w:top w:val="nil"/>
          <w:left w:val="nil"/>
          <w:right w:val="nil"/>
        </w:tblBorders>
        <w:tblLayout w:type="fixed"/>
        <w:tblLook w:val="0000" w:firstRow="0" w:lastRow="0" w:firstColumn="0" w:lastColumn="0" w:noHBand="0" w:noVBand="0"/>
      </w:tblPr>
      <w:tblGrid>
        <w:gridCol w:w="981"/>
        <w:gridCol w:w="364"/>
        <w:gridCol w:w="364"/>
        <w:gridCol w:w="364"/>
        <w:gridCol w:w="364"/>
        <w:gridCol w:w="365"/>
        <w:gridCol w:w="365"/>
        <w:gridCol w:w="365"/>
        <w:gridCol w:w="365"/>
        <w:gridCol w:w="365"/>
        <w:gridCol w:w="365"/>
        <w:gridCol w:w="365"/>
        <w:gridCol w:w="365"/>
        <w:gridCol w:w="365"/>
        <w:gridCol w:w="365"/>
        <w:gridCol w:w="365"/>
        <w:gridCol w:w="365"/>
        <w:gridCol w:w="365"/>
        <w:gridCol w:w="365"/>
        <w:gridCol w:w="365"/>
        <w:gridCol w:w="365"/>
        <w:gridCol w:w="365"/>
        <w:gridCol w:w="365"/>
        <w:gridCol w:w="632"/>
        <w:gridCol w:w="709"/>
        <w:gridCol w:w="567"/>
      </w:tblGrid>
      <w:tr w:rsidR="00397CFE" w:rsidRPr="00D82E01" w14:paraId="360E3160" w14:textId="77777777" w:rsidTr="00BF5856">
        <w:trPr>
          <w:trHeight w:hRule="exact" w:val="312"/>
        </w:trPr>
        <w:tc>
          <w:tcPr>
            <w:tcW w:w="981" w:type="dxa"/>
            <w:tcBorders>
              <w:top w:val="single" w:sz="4" w:space="0" w:color="auto"/>
              <w:bottom w:val="single" w:sz="8" w:space="0" w:color="000000"/>
            </w:tcBorders>
            <w:vAlign w:val="bottom"/>
          </w:tcPr>
          <w:p w14:paraId="644711FD" w14:textId="77777777" w:rsidR="00DD2C01" w:rsidRPr="00D82E01" w:rsidRDefault="00DD2C01" w:rsidP="00BF5856">
            <w:pPr>
              <w:autoSpaceDE w:val="0"/>
              <w:autoSpaceDN w:val="0"/>
              <w:adjustRightInd w:val="0"/>
              <w:spacing w:before="20" w:after="20"/>
              <w:jc w:val="center"/>
              <w:rPr>
                <w:rFonts w:cs="Calibri"/>
                <w:color w:val="000000"/>
                <w:sz w:val="16"/>
                <w:szCs w:val="16"/>
                <w:lang w:eastAsia="en-AU"/>
              </w:rPr>
            </w:pPr>
            <w:r w:rsidRPr="00D82E01">
              <w:rPr>
                <w:rFonts w:cs="Calibri"/>
                <w:color w:val="000000"/>
                <w:sz w:val="16"/>
                <w:szCs w:val="16"/>
                <w:lang w:eastAsia="en-AU"/>
              </w:rPr>
              <w:t>Site</w:t>
            </w:r>
          </w:p>
        </w:tc>
        <w:tc>
          <w:tcPr>
            <w:tcW w:w="364" w:type="dxa"/>
            <w:tcBorders>
              <w:top w:val="single" w:sz="4" w:space="0" w:color="auto"/>
              <w:bottom w:val="single" w:sz="8" w:space="0" w:color="FFFFFF" w:themeColor="background1"/>
            </w:tcBorders>
            <w:vAlign w:val="bottom"/>
          </w:tcPr>
          <w:p w14:paraId="1589F1C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w:t>
            </w:r>
          </w:p>
        </w:tc>
        <w:tc>
          <w:tcPr>
            <w:tcW w:w="364" w:type="dxa"/>
            <w:tcBorders>
              <w:top w:val="single" w:sz="4" w:space="0" w:color="auto"/>
              <w:bottom w:val="single" w:sz="8" w:space="0" w:color="FFFFFF" w:themeColor="background1"/>
            </w:tcBorders>
            <w:vAlign w:val="bottom"/>
          </w:tcPr>
          <w:p w14:paraId="680E059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2</w:t>
            </w:r>
          </w:p>
        </w:tc>
        <w:tc>
          <w:tcPr>
            <w:tcW w:w="364" w:type="dxa"/>
            <w:tcBorders>
              <w:top w:val="single" w:sz="4" w:space="0" w:color="auto"/>
              <w:bottom w:val="single" w:sz="8" w:space="0" w:color="FFFFFF" w:themeColor="background1"/>
            </w:tcBorders>
            <w:vAlign w:val="bottom"/>
          </w:tcPr>
          <w:p w14:paraId="7CFA1E1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3</w:t>
            </w:r>
          </w:p>
        </w:tc>
        <w:tc>
          <w:tcPr>
            <w:tcW w:w="364" w:type="dxa"/>
            <w:tcBorders>
              <w:top w:val="single" w:sz="4" w:space="0" w:color="auto"/>
              <w:bottom w:val="single" w:sz="8" w:space="0" w:color="FFFFFF" w:themeColor="background1"/>
            </w:tcBorders>
            <w:vAlign w:val="bottom"/>
          </w:tcPr>
          <w:p w14:paraId="2261523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4" w:space="0" w:color="auto"/>
              <w:bottom w:val="single" w:sz="8" w:space="0" w:color="FFFFFF" w:themeColor="background1"/>
            </w:tcBorders>
            <w:vAlign w:val="bottom"/>
          </w:tcPr>
          <w:p w14:paraId="0A9AE2C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4" w:space="0" w:color="auto"/>
              <w:bottom w:val="single" w:sz="8" w:space="0" w:color="FFFFFF" w:themeColor="background1"/>
            </w:tcBorders>
            <w:vAlign w:val="bottom"/>
          </w:tcPr>
          <w:p w14:paraId="72FA3F2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4" w:space="0" w:color="auto"/>
              <w:bottom w:val="single" w:sz="8" w:space="0" w:color="FFFFFF" w:themeColor="background1"/>
            </w:tcBorders>
            <w:vAlign w:val="bottom"/>
          </w:tcPr>
          <w:p w14:paraId="0556E0F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4" w:space="0" w:color="auto"/>
              <w:bottom w:val="single" w:sz="8" w:space="0" w:color="FFFFFF" w:themeColor="background1"/>
            </w:tcBorders>
            <w:vAlign w:val="bottom"/>
          </w:tcPr>
          <w:p w14:paraId="7100428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8</w:t>
            </w:r>
          </w:p>
        </w:tc>
        <w:tc>
          <w:tcPr>
            <w:tcW w:w="365" w:type="dxa"/>
            <w:tcBorders>
              <w:top w:val="single" w:sz="4" w:space="0" w:color="auto"/>
              <w:bottom w:val="single" w:sz="8" w:space="0" w:color="FFFFFF" w:themeColor="background1"/>
            </w:tcBorders>
            <w:vAlign w:val="bottom"/>
          </w:tcPr>
          <w:p w14:paraId="32064CF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9</w:t>
            </w:r>
          </w:p>
        </w:tc>
        <w:tc>
          <w:tcPr>
            <w:tcW w:w="365" w:type="dxa"/>
            <w:tcBorders>
              <w:top w:val="single" w:sz="4" w:space="0" w:color="auto"/>
              <w:bottom w:val="single" w:sz="8" w:space="0" w:color="FFFFFF" w:themeColor="background1"/>
            </w:tcBorders>
            <w:vAlign w:val="bottom"/>
          </w:tcPr>
          <w:p w14:paraId="36C300C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10</w:t>
            </w:r>
          </w:p>
        </w:tc>
        <w:tc>
          <w:tcPr>
            <w:tcW w:w="365" w:type="dxa"/>
            <w:tcBorders>
              <w:top w:val="single" w:sz="4" w:space="0" w:color="auto"/>
              <w:bottom w:val="single" w:sz="8" w:space="0" w:color="FFFFFF" w:themeColor="background1"/>
            </w:tcBorders>
            <w:vAlign w:val="bottom"/>
          </w:tcPr>
          <w:p w14:paraId="7201F82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11</w:t>
            </w:r>
          </w:p>
        </w:tc>
        <w:tc>
          <w:tcPr>
            <w:tcW w:w="365" w:type="dxa"/>
            <w:tcBorders>
              <w:top w:val="single" w:sz="4" w:space="0" w:color="auto"/>
              <w:bottom w:val="single" w:sz="8" w:space="0" w:color="FFFFFF" w:themeColor="background1"/>
            </w:tcBorders>
            <w:vAlign w:val="bottom"/>
          </w:tcPr>
          <w:p w14:paraId="509B02C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12</w:t>
            </w:r>
          </w:p>
        </w:tc>
        <w:tc>
          <w:tcPr>
            <w:tcW w:w="365" w:type="dxa"/>
            <w:tcBorders>
              <w:top w:val="single" w:sz="4" w:space="0" w:color="auto"/>
              <w:bottom w:val="single" w:sz="8" w:space="0" w:color="FFFFFF" w:themeColor="background1"/>
            </w:tcBorders>
            <w:vAlign w:val="bottom"/>
          </w:tcPr>
          <w:p w14:paraId="65C5A4A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13</w:t>
            </w:r>
          </w:p>
        </w:tc>
        <w:tc>
          <w:tcPr>
            <w:tcW w:w="365" w:type="dxa"/>
            <w:tcBorders>
              <w:top w:val="single" w:sz="4" w:space="0" w:color="auto"/>
              <w:bottom w:val="single" w:sz="8" w:space="0" w:color="FFFFFF" w:themeColor="background1"/>
            </w:tcBorders>
            <w:vAlign w:val="bottom"/>
          </w:tcPr>
          <w:p w14:paraId="6A4B05F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14</w:t>
            </w:r>
          </w:p>
        </w:tc>
        <w:tc>
          <w:tcPr>
            <w:tcW w:w="365" w:type="dxa"/>
            <w:tcBorders>
              <w:top w:val="single" w:sz="4" w:space="0" w:color="auto"/>
              <w:bottom w:val="single" w:sz="8" w:space="0" w:color="FFFFFF" w:themeColor="background1"/>
            </w:tcBorders>
            <w:vAlign w:val="bottom"/>
          </w:tcPr>
          <w:p w14:paraId="5B2FD5E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15</w:t>
            </w:r>
          </w:p>
        </w:tc>
        <w:tc>
          <w:tcPr>
            <w:tcW w:w="365" w:type="dxa"/>
            <w:tcBorders>
              <w:top w:val="single" w:sz="4" w:space="0" w:color="auto"/>
              <w:bottom w:val="single" w:sz="8" w:space="0" w:color="FFFFFF" w:themeColor="background1"/>
            </w:tcBorders>
            <w:vAlign w:val="bottom"/>
          </w:tcPr>
          <w:p w14:paraId="552CDEB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16</w:t>
            </w:r>
          </w:p>
        </w:tc>
        <w:tc>
          <w:tcPr>
            <w:tcW w:w="365" w:type="dxa"/>
            <w:tcBorders>
              <w:top w:val="single" w:sz="4" w:space="0" w:color="auto"/>
              <w:bottom w:val="single" w:sz="8" w:space="0" w:color="FFFFFF" w:themeColor="background1"/>
            </w:tcBorders>
            <w:vAlign w:val="bottom"/>
          </w:tcPr>
          <w:p w14:paraId="35692BB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17</w:t>
            </w:r>
          </w:p>
        </w:tc>
        <w:tc>
          <w:tcPr>
            <w:tcW w:w="365" w:type="dxa"/>
            <w:tcBorders>
              <w:top w:val="single" w:sz="4" w:space="0" w:color="auto"/>
              <w:bottom w:val="single" w:sz="8" w:space="0" w:color="FFFFFF" w:themeColor="background1"/>
            </w:tcBorders>
            <w:vAlign w:val="bottom"/>
          </w:tcPr>
          <w:p w14:paraId="1EBEAA0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18</w:t>
            </w:r>
          </w:p>
        </w:tc>
        <w:tc>
          <w:tcPr>
            <w:tcW w:w="365" w:type="dxa"/>
            <w:tcBorders>
              <w:top w:val="single" w:sz="4" w:space="0" w:color="auto"/>
              <w:bottom w:val="single" w:sz="8" w:space="0" w:color="FFFFFF" w:themeColor="background1"/>
            </w:tcBorders>
            <w:vAlign w:val="bottom"/>
          </w:tcPr>
          <w:p w14:paraId="138E92C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19</w:t>
            </w:r>
          </w:p>
        </w:tc>
        <w:tc>
          <w:tcPr>
            <w:tcW w:w="365" w:type="dxa"/>
            <w:tcBorders>
              <w:top w:val="single" w:sz="4" w:space="0" w:color="auto"/>
              <w:bottom w:val="single" w:sz="8" w:space="0" w:color="FFFFFF" w:themeColor="background1"/>
            </w:tcBorders>
            <w:vAlign w:val="bottom"/>
          </w:tcPr>
          <w:p w14:paraId="5FA0F4B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20</w:t>
            </w:r>
          </w:p>
        </w:tc>
        <w:tc>
          <w:tcPr>
            <w:tcW w:w="365" w:type="dxa"/>
            <w:tcBorders>
              <w:top w:val="single" w:sz="4" w:space="0" w:color="auto"/>
              <w:bottom w:val="single" w:sz="8" w:space="0" w:color="FFFFFF" w:themeColor="background1"/>
            </w:tcBorders>
            <w:vAlign w:val="bottom"/>
          </w:tcPr>
          <w:p w14:paraId="3CD9F5D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21</w:t>
            </w:r>
          </w:p>
        </w:tc>
        <w:tc>
          <w:tcPr>
            <w:tcW w:w="365" w:type="dxa"/>
            <w:tcBorders>
              <w:top w:val="single" w:sz="4" w:space="0" w:color="auto"/>
              <w:bottom w:val="single" w:sz="8" w:space="0" w:color="FFFFFF" w:themeColor="background1"/>
            </w:tcBorders>
            <w:vAlign w:val="bottom"/>
          </w:tcPr>
          <w:p w14:paraId="10B80FC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22</w:t>
            </w:r>
          </w:p>
        </w:tc>
        <w:tc>
          <w:tcPr>
            <w:tcW w:w="632" w:type="dxa"/>
            <w:tcBorders>
              <w:top w:val="single" w:sz="4" w:space="0" w:color="auto"/>
              <w:bottom w:val="single" w:sz="8" w:space="0" w:color="000000"/>
            </w:tcBorders>
            <w:vAlign w:val="bottom"/>
          </w:tcPr>
          <w:p w14:paraId="0041BEEE"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i/>
                <w:iCs/>
                <w:color w:val="000000"/>
                <w:sz w:val="16"/>
                <w:szCs w:val="16"/>
                <w:lang w:eastAsia="en-AU"/>
              </w:rPr>
              <w:t>f</w:t>
            </w:r>
            <w:r w:rsidRPr="00D82E01">
              <w:rPr>
                <w:rFonts w:ascii="Times" w:hAnsi="Times" w:cs="Times"/>
                <w:b/>
                <w:bCs/>
                <w:color w:val="000000"/>
                <w:sz w:val="16"/>
                <w:szCs w:val="16"/>
                <w:vertAlign w:val="subscript"/>
                <w:lang w:eastAsia="en-AU"/>
              </w:rPr>
              <w:t>(P)</w:t>
            </w:r>
          </w:p>
        </w:tc>
        <w:tc>
          <w:tcPr>
            <w:tcW w:w="709" w:type="dxa"/>
            <w:tcBorders>
              <w:top w:val="single" w:sz="4" w:space="0" w:color="auto"/>
              <w:bottom w:val="single" w:sz="8" w:space="0" w:color="000000"/>
            </w:tcBorders>
            <w:vAlign w:val="bottom"/>
          </w:tcPr>
          <w:p w14:paraId="75465313"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f</w:t>
            </w:r>
            <w:r w:rsidRPr="00D82E01">
              <w:rPr>
                <w:rFonts w:ascii="Times" w:hAnsi="Times" w:cs="Times"/>
                <w:b/>
                <w:bCs/>
                <w:color w:val="000000"/>
                <w:sz w:val="16"/>
                <w:szCs w:val="16"/>
                <w:vertAlign w:val="subscript"/>
                <w:lang w:eastAsia="en-AU"/>
              </w:rPr>
              <w:t>(S)</w:t>
            </w:r>
          </w:p>
        </w:tc>
        <w:tc>
          <w:tcPr>
            <w:tcW w:w="567" w:type="dxa"/>
            <w:tcBorders>
              <w:top w:val="single" w:sz="4" w:space="0" w:color="auto"/>
              <w:bottom w:val="single" w:sz="8" w:space="0" w:color="000000"/>
            </w:tcBorders>
            <w:vAlign w:val="bottom"/>
          </w:tcPr>
          <w:p w14:paraId="25EDFCF6"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f</w:t>
            </w:r>
            <w:r w:rsidRPr="00D82E01">
              <w:rPr>
                <w:rFonts w:ascii="Times" w:hAnsi="Times" w:cs="Times"/>
                <w:b/>
                <w:bCs/>
                <w:color w:val="000000"/>
                <w:sz w:val="16"/>
                <w:szCs w:val="16"/>
                <w:vertAlign w:val="subscript"/>
                <w:lang w:eastAsia="en-AU"/>
              </w:rPr>
              <w:t>(P+S)</w:t>
            </w:r>
          </w:p>
        </w:tc>
      </w:tr>
      <w:tr w:rsidR="00BF5856" w:rsidRPr="00D82E01" w14:paraId="3DD9B505" w14:textId="77777777" w:rsidTr="00BF5856">
        <w:tblPrEx>
          <w:tblBorders>
            <w:top w:val="none" w:sz="0" w:space="0" w:color="auto"/>
          </w:tblBorders>
        </w:tblPrEx>
        <w:trPr>
          <w:trHeight w:hRule="exact" w:val="312"/>
        </w:trPr>
        <w:tc>
          <w:tcPr>
            <w:tcW w:w="981" w:type="dxa"/>
            <w:tcBorders>
              <w:right w:val="single" w:sz="8" w:space="0" w:color="FFFFFF" w:themeColor="background1"/>
            </w:tcBorders>
            <w:vAlign w:val="bottom"/>
          </w:tcPr>
          <w:p w14:paraId="5988F8B4" w14:textId="77777777" w:rsidR="00DD2C01" w:rsidRPr="00D82E01" w:rsidRDefault="00DD2C01" w:rsidP="00BF5856">
            <w:pPr>
              <w:autoSpaceDE w:val="0"/>
              <w:autoSpaceDN w:val="0"/>
              <w:adjustRightInd w:val="0"/>
              <w:spacing w:before="20" w:after="20"/>
              <w:jc w:val="center"/>
              <w:rPr>
                <w:rFonts w:cs="Calibri"/>
                <w:color w:val="000000"/>
                <w:sz w:val="16"/>
                <w:szCs w:val="16"/>
                <w:lang w:eastAsia="en-AU"/>
              </w:rPr>
            </w:pPr>
            <w:r w:rsidRPr="00D82E01">
              <w:rPr>
                <w:rFonts w:cs="Calibri"/>
                <w:color w:val="000000"/>
                <w:sz w:val="16"/>
                <w:szCs w:val="16"/>
                <w:lang w:eastAsia="en-AU"/>
              </w:rPr>
              <w:t>LI1, LI2</w:t>
            </w:r>
          </w:p>
        </w:tc>
        <w:tc>
          <w:tcPr>
            <w:tcW w:w="364" w:type="dxa"/>
            <w:tcBorders>
              <w:top w:val="single" w:sz="8"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0CDEA"/>
            <w:vAlign w:val="bottom"/>
          </w:tcPr>
          <w:p w14:paraId="76BA008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4"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8B2636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4"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4E9B464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4"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35E4A51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1F9DD77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055EE87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2508CB9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D780A3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612CEB6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1350695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0EE6506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34A652E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6BC86F6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0367387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29EEB40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457C64B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0310FA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053282F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DD6020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1618ECB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8"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553EBDA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8"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9AC87C"/>
            <w:vAlign w:val="bottom"/>
          </w:tcPr>
          <w:p w14:paraId="62FE122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632" w:type="dxa"/>
            <w:tcBorders>
              <w:left w:val="single" w:sz="8" w:space="0" w:color="FFFFFF" w:themeColor="background1"/>
            </w:tcBorders>
            <w:vAlign w:val="bottom"/>
          </w:tcPr>
          <w:p w14:paraId="480AFFEA"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w:t>
            </w:r>
          </w:p>
        </w:tc>
        <w:tc>
          <w:tcPr>
            <w:tcW w:w="709" w:type="dxa"/>
            <w:vAlign w:val="bottom"/>
          </w:tcPr>
          <w:p w14:paraId="6908921E"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0.23</w:t>
            </w:r>
          </w:p>
        </w:tc>
        <w:tc>
          <w:tcPr>
            <w:tcW w:w="567" w:type="dxa"/>
            <w:vAlign w:val="bottom"/>
          </w:tcPr>
          <w:p w14:paraId="08DA6823"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0.23</w:t>
            </w:r>
          </w:p>
        </w:tc>
      </w:tr>
      <w:tr w:rsidR="00BF5856" w:rsidRPr="00D82E01" w14:paraId="0AFF3E18" w14:textId="77777777" w:rsidTr="00BF5856">
        <w:tblPrEx>
          <w:tblBorders>
            <w:top w:val="none" w:sz="0" w:space="0" w:color="auto"/>
          </w:tblBorders>
        </w:tblPrEx>
        <w:trPr>
          <w:trHeight w:hRule="exact" w:val="312"/>
        </w:trPr>
        <w:tc>
          <w:tcPr>
            <w:tcW w:w="981" w:type="dxa"/>
            <w:tcBorders>
              <w:right w:val="single" w:sz="8" w:space="0" w:color="FFFFFF" w:themeColor="background1"/>
            </w:tcBorders>
            <w:vAlign w:val="bottom"/>
          </w:tcPr>
          <w:p w14:paraId="64026465" w14:textId="77777777" w:rsidR="00DD2C01" w:rsidRPr="00D82E01" w:rsidRDefault="00DD2C01" w:rsidP="00BF5856">
            <w:pPr>
              <w:autoSpaceDE w:val="0"/>
              <w:autoSpaceDN w:val="0"/>
              <w:adjustRightInd w:val="0"/>
              <w:spacing w:before="20" w:after="20"/>
              <w:jc w:val="center"/>
              <w:rPr>
                <w:rFonts w:cs="Calibri"/>
                <w:color w:val="000000"/>
                <w:sz w:val="16"/>
                <w:szCs w:val="16"/>
                <w:lang w:eastAsia="en-AU"/>
              </w:rPr>
            </w:pPr>
            <w:r w:rsidRPr="00D82E01">
              <w:rPr>
                <w:rFonts w:cs="Calibri"/>
                <w:color w:val="000000"/>
                <w:sz w:val="16"/>
                <w:szCs w:val="16"/>
                <w:lang w:eastAsia="en-AU"/>
              </w:rPr>
              <w:t>YP1, YP2*</w:t>
            </w:r>
          </w:p>
        </w:tc>
        <w:tc>
          <w:tcPr>
            <w:tcW w:w="364"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9AC87C"/>
            <w:vAlign w:val="bottom"/>
          </w:tcPr>
          <w:p w14:paraId="4AD25FE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03B5889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6644FB3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F6747D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383B3C6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5387F6B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2211453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0B9839C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69EE2E8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17B248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1C35B0E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52CF6D3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A9CFF9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4070BD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4D5D2C6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0A7DB01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12D9CE3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48C97FC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537E70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bottom"/>
          </w:tcPr>
          <w:p w14:paraId="7CA713C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bottom"/>
          </w:tcPr>
          <w:p w14:paraId="30AE3BC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bottom"/>
          </w:tcPr>
          <w:p w14:paraId="2737A7E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632" w:type="dxa"/>
            <w:tcBorders>
              <w:left w:val="single" w:sz="8" w:space="0" w:color="FFFFFF" w:themeColor="background1"/>
            </w:tcBorders>
            <w:vAlign w:val="bottom"/>
          </w:tcPr>
          <w:p w14:paraId="1D30BFEE"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0.14</w:t>
            </w:r>
          </w:p>
        </w:tc>
        <w:tc>
          <w:tcPr>
            <w:tcW w:w="709" w:type="dxa"/>
            <w:vAlign w:val="bottom"/>
          </w:tcPr>
          <w:p w14:paraId="723FC8BA"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0.82</w:t>
            </w:r>
          </w:p>
        </w:tc>
        <w:tc>
          <w:tcPr>
            <w:tcW w:w="567" w:type="dxa"/>
            <w:vAlign w:val="bottom"/>
          </w:tcPr>
          <w:p w14:paraId="14047B6A"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0.95</w:t>
            </w:r>
          </w:p>
        </w:tc>
      </w:tr>
      <w:tr w:rsidR="00BF5856" w:rsidRPr="00D82E01" w14:paraId="3E9AF4FB" w14:textId="77777777" w:rsidTr="00BF5856">
        <w:tblPrEx>
          <w:tblBorders>
            <w:top w:val="none" w:sz="0" w:space="0" w:color="auto"/>
          </w:tblBorders>
        </w:tblPrEx>
        <w:trPr>
          <w:trHeight w:hRule="exact" w:val="312"/>
        </w:trPr>
        <w:tc>
          <w:tcPr>
            <w:tcW w:w="981" w:type="dxa"/>
            <w:tcBorders>
              <w:right w:val="single" w:sz="8" w:space="0" w:color="FFFFFF" w:themeColor="background1"/>
            </w:tcBorders>
            <w:vAlign w:val="bottom"/>
          </w:tcPr>
          <w:p w14:paraId="7CFDD51D" w14:textId="77777777" w:rsidR="00DD2C01" w:rsidRPr="00D82E01" w:rsidRDefault="00DD2C01" w:rsidP="00BF5856">
            <w:pPr>
              <w:autoSpaceDE w:val="0"/>
              <w:autoSpaceDN w:val="0"/>
              <w:adjustRightInd w:val="0"/>
              <w:spacing w:before="20" w:after="20"/>
              <w:jc w:val="center"/>
              <w:rPr>
                <w:rFonts w:cs="Calibri"/>
                <w:color w:val="000000"/>
                <w:sz w:val="16"/>
                <w:szCs w:val="16"/>
                <w:lang w:eastAsia="en-AU"/>
              </w:rPr>
            </w:pPr>
            <w:r w:rsidRPr="00D82E01">
              <w:rPr>
                <w:rFonts w:cs="Calibri"/>
                <w:color w:val="000000"/>
                <w:sz w:val="16"/>
                <w:szCs w:val="16"/>
                <w:lang w:eastAsia="en-AU"/>
              </w:rPr>
              <w:t>GI3</w:t>
            </w:r>
          </w:p>
        </w:tc>
        <w:tc>
          <w:tcPr>
            <w:tcW w:w="364"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vAlign w:val="bottom"/>
          </w:tcPr>
          <w:p w14:paraId="30E5B4C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7755A1F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2B327E5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4B2640C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1590C6D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6E294C8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4169746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05A3E82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7C0D7A8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2C236C6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6601BA8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6B5CA49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C239B8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D13A14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51F02F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21C0FC2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0396D9F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4D33774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4A737CE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4B8BF79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3A6733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0CDEA"/>
            <w:vAlign w:val="bottom"/>
          </w:tcPr>
          <w:p w14:paraId="339EB52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632" w:type="dxa"/>
            <w:tcBorders>
              <w:left w:val="single" w:sz="8" w:space="0" w:color="FFFFFF" w:themeColor="background1"/>
            </w:tcBorders>
            <w:vAlign w:val="bottom"/>
          </w:tcPr>
          <w:p w14:paraId="6A98B7DD"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w:t>
            </w:r>
          </w:p>
        </w:tc>
        <w:tc>
          <w:tcPr>
            <w:tcW w:w="709" w:type="dxa"/>
            <w:vAlign w:val="bottom"/>
          </w:tcPr>
          <w:p w14:paraId="7FD28E8B"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0.09</w:t>
            </w:r>
          </w:p>
        </w:tc>
        <w:tc>
          <w:tcPr>
            <w:tcW w:w="567" w:type="dxa"/>
            <w:vAlign w:val="bottom"/>
          </w:tcPr>
          <w:p w14:paraId="4BB374F7"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0.09</w:t>
            </w:r>
          </w:p>
        </w:tc>
      </w:tr>
      <w:tr w:rsidR="00BF5856" w:rsidRPr="00D82E01" w14:paraId="0A859AD3" w14:textId="77777777" w:rsidTr="00BF5856">
        <w:tblPrEx>
          <w:tblBorders>
            <w:top w:val="none" w:sz="0" w:space="0" w:color="auto"/>
          </w:tblBorders>
        </w:tblPrEx>
        <w:trPr>
          <w:trHeight w:hRule="exact" w:val="312"/>
        </w:trPr>
        <w:tc>
          <w:tcPr>
            <w:tcW w:w="981" w:type="dxa"/>
            <w:tcBorders>
              <w:right w:val="single" w:sz="8" w:space="0" w:color="FFFFFF" w:themeColor="background1"/>
            </w:tcBorders>
            <w:vAlign w:val="bottom"/>
          </w:tcPr>
          <w:p w14:paraId="59B52570" w14:textId="77777777" w:rsidR="00DD2C01" w:rsidRPr="00D82E01" w:rsidRDefault="00DD2C01" w:rsidP="00BF5856">
            <w:pPr>
              <w:autoSpaceDE w:val="0"/>
              <w:autoSpaceDN w:val="0"/>
              <w:adjustRightInd w:val="0"/>
              <w:spacing w:before="20" w:after="20"/>
              <w:jc w:val="center"/>
              <w:rPr>
                <w:rFonts w:cs="Calibri"/>
                <w:color w:val="000000"/>
                <w:sz w:val="16"/>
                <w:szCs w:val="16"/>
                <w:lang w:eastAsia="en-AU"/>
              </w:rPr>
            </w:pPr>
            <w:r w:rsidRPr="00D82E01">
              <w:rPr>
                <w:rFonts w:cs="Calibri"/>
                <w:color w:val="000000"/>
                <w:sz w:val="16"/>
                <w:szCs w:val="16"/>
                <w:lang w:eastAsia="en-AU"/>
              </w:rPr>
              <w:t>GI1, GI2</w:t>
            </w:r>
          </w:p>
        </w:tc>
        <w:tc>
          <w:tcPr>
            <w:tcW w:w="364"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vAlign w:val="bottom"/>
          </w:tcPr>
          <w:p w14:paraId="156A14E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21AFB16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6C34FEE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4823B8E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1D78B5B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3ADFA10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3031F6F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07DD398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4CF3CB6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3FCFEBF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269C34A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19BCC6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60FE0D1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0D4944F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4EE752C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1B5F8C1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bottom"/>
          </w:tcPr>
          <w:p w14:paraId="3B8E022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7</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51F4998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2FB2E5A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7D21ED9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19A3DE1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0CDEA"/>
            <w:vAlign w:val="bottom"/>
          </w:tcPr>
          <w:p w14:paraId="3E8B1EE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632" w:type="dxa"/>
            <w:tcBorders>
              <w:left w:val="single" w:sz="8" w:space="0" w:color="FFFFFF" w:themeColor="background1"/>
            </w:tcBorders>
            <w:vAlign w:val="bottom"/>
          </w:tcPr>
          <w:p w14:paraId="7A2D2688"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w:t>
            </w:r>
          </w:p>
        </w:tc>
        <w:tc>
          <w:tcPr>
            <w:tcW w:w="709" w:type="dxa"/>
            <w:vAlign w:val="bottom"/>
          </w:tcPr>
          <w:p w14:paraId="312C2C76"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0.09</w:t>
            </w:r>
          </w:p>
        </w:tc>
        <w:tc>
          <w:tcPr>
            <w:tcW w:w="567" w:type="dxa"/>
            <w:vAlign w:val="bottom"/>
          </w:tcPr>
          <w:p w14:paraId="06B28ADB"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0.09</w:t>
            </w:r>
          </w:p>
        </w:tc>
      </w:tr>
      <w:tr w:rsidR="00BF5856" w:rsidRPr="00D82E01" w14:paraId="5F0BBF0E" w14:textId="77777777" w:rsidTr="007F2D7B">
        <w:tblPrEx>
          <w:tblBorders>
            <w:top w:val="none" w:sz="0" w:space="0" w:color="auto"/>
          </w:tblBorders>
        </w:tblPrEx>
        <w:trPr>
          <w:trHeight w:hRule="exact" w:val="312"/>
        </w:trPr>
        <w:tc>
          <w:tcPr>
            <w:tcW w:w="981" w:type="dxa"/>
            <w:tcBorders>
              <w:bottom w:val="nil"/>
              <w:right w:val="single" w:sz="8" w:space="0" w:color="FFFFFF" w:themeColor="background1"/>
            </w:tcBorders>
            <w:vAlign w:val="bottom"/>
          </w:tcPr>
          <w:p w14:paraId="42914B06" w14:textId="77777777" w:rsidR="00DD2C01" w:rsidRPr="00D82E01" w:rsidRDefault="00DD2C01" w:rsidP="00BF5856">
            <w:pPr>
              <w:autoSpaceDE w:val="0"/>
              <w:autoSpaceDN w:val="0"/>
              <w:adjustRightInd w:val="0"/>
              <w:spacing w:before="20" w:after="20"/>
              <w:jc w:val="center"/>
              <w:rPr>
                <w:rFonts w:cs="Calibri"/>
                <w:color w:val="000000"/>
                <w:sz w:val="16"/>
                <w:szCs w:val="16"/>
                <w:lang w:eastAsia="en-AU"/>
              </w:rPr>
            </w:pPr>
            <w:r w:rsidRPr="00D82E01">
              <w:rPr>
                <w:rFonts w:cs="Calibri"/>
                <w:color w:val="000000"/>
                <w:sz w:val="16"/>
                <w:szCs w:val="16"/>
                <w:lang w:eastAsia="en-AU"/>
              </w:rPr>
              <w:t>DI3</w:t>
            </w:r>
          </w:p>
        </w:tc>
        <w:tc>
          <w:tcPr>
            <w:tcW w:w="364"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9AC87C"/>
            <w:vAlign w:val="bottom"/>
          </w:tcPr>
          <w:p w14:paraId="5AF7EBC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41C75B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02DD2AE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9C39A9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600E4EF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bottom"/>
          </w:tcPr>
          <w:p w14:paraId="1FF7A4C2"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A78703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97570E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29792B0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2875898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402A1141"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28E4C53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6B6E268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BC892D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58B6D3F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8EEA70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768AEB3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4A6EB35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13E3BF8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2337F94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9AC87C"/>
            <w:vAlign w:val="bottom"/>
          </w:tcPr>
          <w:p w14:paraId="35632B6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9AC87C"/>
            <w:vAlign w:val="bottom"/>
          </w:tcPr>
          <w:p w14:paraId="3885E07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632" w:type="dxa"/>
            <w:tcBorders>
              <w:left w:val="single" w:sz="8" w:space="0" w:color="FFFFFF" w:themeColor="background1"/>
              <w:bottom w:val="nil"/>
            </w:tcBorders>
            <w:vAlign w:val="bottom"/>
          </w:tcPr>
          <w:p w14:paraId="03023132"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w:t>
            </w:r>
          </w:p>
        </w:tc>
        <w:tc>
          <w:tcPr>
            <w:tcW w:w="709" w:type="dxa"/>
            <w:tcBorders>
              <w:bottom w:val="nil"/>
            </w:tcBorders>
            <w:vAlign w:val="bottom"/>
          </w:tcPr>
          <w:p w14:paraId="06260277"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0.95</w:t>
            </w:r>
          </w:p>
        </w:tc>
        <w:tc>
          <w:tcPr>
            <w:tcW w:w="567" w:type="dxa"/>
            <w:tcBorders>
              <w:bottom w:val="nil"/>
            </w:tcBorders>
            <w:vAlign w:val="bottom"/>
          </w:tcPr>
          <w:p w14:paraId="7B3944A7"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0.95</w:t>
            </w:r>
          </w:p>
        </w:tc>
      </w:tr>
      <w:tr w:rsidR="00BF5856" w:rsidRPr="00D82E01" w14:paraId="7E3F25DC" w14:textId="77777777" w:rsidTr="007F2D7B">
        <w:tblPrEx>
          <w:tblBorders>
            <w:top w:val="none" w:sz="0" w:space="0" w:color="auto"/>
          </w:tblBorders>
        </w:tblPrEx>
        <w:trPr>
          <w:trHeight w:hRule="exact" w:val="312"/>
        </w:trPr>
        <w:tc>
          <w:tcPr>
            <w:tcW w:w="981" w:type="dxa"/>
            <w:tcBorders>
              <w:bottom w:val="nil"/>
              <w:right w:val="single" w:sz="8" w:space="0" w:color="FFFFFF" w:themeColor="background1"/>
            </w:tcBorders>
            <w:vAlign w:val="bottom"/>
          </w:tcPr>
          <w:p w14:paraId="60AD6B81" w14:textId="77777777" w:rsidR="00DD2C01" w:rsidRPr="00D82E01" w:rsidRDefault="00DD2C01" w:rsidP="00D82E01">
            <w:pPr>
              <w:autoSpaceDE w:val="0"/>
              <w:autoSpaceDN w:val="0"/>
              <w:adjustRightInd w:val="0"/>
              <w:spacing w:before="20" w:after="20"/>
              <w:rPr>
                <w:rFonts w:cs="Calibri"/>
                <w:color w:val="000000"/>
                <w:sz w:val="16"/>
                <w:szCs w:val="16"/>
                <w:lang w:eastAsia="en-AU"/>
              </w:rPr>
            </w:pPr>
            <w:r w:rsidRPr="00D82E01">
              <w:rPr>
                <w:rFonts w:cs="Calibri"/>
                <w:color w:val="000000"/>
                <w:sz w:val="16"/>
                <w:szCs w:val="16"/>
                <w:lang w:eastAsia="en-AU"/>
              </w:rPr>
              <w:t>DI1, DI2</w:t>
            </w:r>
          </w:p>
        </w:tc>
        <w:tc>
          <w:tcPr>
            <w:tcW w:w="364" w:type="dxa"/>
            <w:tcBorders>
              <w:top w:val="single" w:sz="6" w:space="0" w:color="FFFFFF" w:themeColor="background1"/>
              <w:left w:val="single" w:sz="8" w:space="0" w:color="FFFFFF" w:themeColor="background1"/>
              <w:bottom w:val="single" w:sz="8" w:space="0" w:color="FFFFFF" w:themeColor="background1"/>
              <w:right w:val="single" w:sz="6" w:space="0" w:color="FFFFFF" w:themeColor="background1"/>
            </w:tcBorders>
            <w:shd w:val="clear" w:color="auto" w:fill="9AC87C"/>
            <w:vAlign w:val="bottom"/>
          </w:tcPr>
          <w:p w14:paraId="7802118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02671D7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48E24BB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4"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2C7EFA5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1E56535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B0CDEA"/>
            <w:vAlign w:val="bottom"/>
          </w:tcPr>
          <w:p w14:paraId="70C8F15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6</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67E0BA8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335FBD6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7AF210C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33798B0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B84410"/>
            <w:vAlign w:val="bottom"/>
          </w:tcPr>
          <w:p w14:paraId="58D6D64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44E6E949"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699075A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65FE633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6B31A6E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6ADD996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5253E7C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77F0916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63069513"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0E91DB8A"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shd w:val="clear" w:color="auto" w:fill="9AC87C"/>
            <w:vAlign w:val="bottom"/>
          </w:tcPr>
          <w:p w14:paraId="0C9FE44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shd w:val="clear" w:color="auto" w:fill="9AC87C"/>
            <w:vAlign w:val="bottom"/>
          </w:tcPr>
          <w:p w14:paraId="6D0417A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632" w:type="dxa"/>
            <w:tcBorders>
              <w:left w:val="single" w:sz="8" w:space="0" w:color="FFFFFF" w:themeColor="background1"/>
              <w:bottom w:val="nil"/>
            </w:tcBorders>
            <w:vAlign w:val="bottom"/>
          </w:tcPr>
          <w:p w14:paraId="510D6366"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0.05</w:t>
            </w:r>
          </w:p>
        </w:tc>
        <w:tc>
          <w:tcPr>
            <w:tcW w:w="709" w:type="dxa"/>
            <w:tcBorders>
              <w:bottom w:val="nil"/>
            </w:tcBorders>
            <w:vAlign w:val="bottom"/>
          </w:tcPr>
          <w:p w14:paraId="09AB1D32"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0.91</w:t>
            </w:r>
          </w:p>
        </w:tc>
        <w:tc>
          <w:tcPr>
            <w:tcW w:w="567" w:type="dxa"/>
            <w:tcBorders>
              <w:bottom w:val="nil"/>
            </w:tcBorders>
            <w:vAlign w:val="bottom"/>
          </w:tcPr>
          <w:p w14:paraId="048BB22D" w14:textId="77777777" w:rsidR="00DD2C01" w:rsidRPr="00D82E01" w:rsidRDefault="00DD2C01" w:rsidP="00D82E01">
            <w:pPr>
              <w:autoSpaceDE w:val="0"/>
              <w:autoSpaceDN w:val="0"/>
              <w:adjustRightInd w:val="0"/>
              <w:spacing w:before="20" w:after="20"/>
              <w:jc w:val="center"/>
              <w:rPr>
                <w:rFonts w:cs="Calibri"/>
                <w:b/>
                <w:bCs/>
                <w:color w:val="000000"/>
                <w:sz w:val="16"/>
                <w:szCs w:val="16"/>
                <w:lang w:eastAsia="en-AU"/>
              </w:rPr>
            </w:pPr>
            <w:r w:rsidRPr="00D82E01">
              <w:rPr>
                <w:rFonts w:cs="Calibri"/>
                <w:b/>
                <w:bCs/>
                <w:color w:val="000000"/>
                <w:sz w:val="16"/>
                <w:szCs w:val="16"/>
                <w:lang w:eastAsia="en-AU"/>
              </w:rPr>
              <w:t>0.95</w:t>
            </w:r>
          </w:p>
        </w:tc>
      </w:tr>
      <w:tr w:rsidR="00BF5856" w:rsidRPr="00D82E01" w14:paraId="58F6A9F8" w14:textId="77777777" w:rsidTr="007F2D7B">
        <w:trPr>
          <w:trHeight w:hRule="exact" w:val="312"/>
        </w:trPr>
        <w:tc>
          <w:tcPr>
            <w:tcW w:w="981" w:type="dxa"/>
            <w:tcBorders>
              <w:top w:val="nil"/>
              <w:bottom w:val="single" w:sz="4" w:space="0" w:color="000000" w:themeColor="text1"/>
            </w:tcBorders>
            <w:vAlign w:val="bottom"/>
          </w:tcPr>
          <w:p w14:paraId="579C6DFE" w14:textId="77777777" w:rsidR="00DD2C01" w:rsidRPr="00D82E01" w:rsidRDefault="00DD2C01" w:rsidP="00D82E01">
            <w:pPr>
              <w:autoSpaceDE w:val="0"/>
              <w:autoSpaceDN w:val="0"/>
              <w:adjustRightInd w:val="0"/>
              <w:spacing w:before="20" w:after="20"/>
              <w:rPr>
                <w:rFonts w:cs="Calibri"/>
                <w:color w:val="000000"/>
                <w:sz w:val="16"/>
                <w:szCs w:val="16"/>
                <w:lang w:eastAsia="en-AU"/>
              </w:rPr>
            </w:pPr>
            <w:r w:rsidRPr="00D82E01">
              <w:rPr>
                <w:rFonts w:cs="Calibri"/>
                <w:color w:val="000000"/>
                <w:sz w:val="16"/>
                <w:szCs w:val="16"/>
                <w:lang w:eastAsia="en-AU"/>
              </w:rPr>
              <w:t>LB1, LB2*</w:t>
            </w:r>
          </w:p>
        </w:tc>
        <w:tc>
          <w:tcPr>
            <w:tcW w:w="364" w:type="dxa"/>
            <w:tcBorders>
              <w:top w:val="single" w:sz="8" w:space="0" w:color="FFFFFF" w:themeColor="background1"/>
              <w:bottom w:val="single" w:sz="4" w:space="0" w:color="000000" w:themeColor="text1"/>
            </w:tcBorders>
            <w:shd w:val="clear" w:color="auto" w:fill="B84410"/>
            <w:vAlign w:val="bottom"/>
          </w:tcPr>
          <w:p w14:paraId="273499E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4" w:type="dxa"/>
            <w:tcBorders>
              <w:top w:val="single" w:sz="8" w:space="0" w:color="FFFFFF" w:themeColor="background1"/>
              <w:bottom w:val="single" w:sz="4" w:space="0" w:color="000000" w:themeColor="text1"/>
            </w:tcBorders>
            <w:shd w:val="clear" w:color="auto" w:fill="B84410"/>
            <w:vAlign w:val="bottom"/>
          </w:tcPr>
          <w:p w14:paraId="280099E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4" w:type="dxa"/>
            <w:tcBorders>
              <w:top w:val="single" w:sz="8" w:space="0" w:color="FFFFFF" w:themeColor="background1"/>
              <w:bottom w:val="single" w:sz="4" w:space="0" w:color="000000" w:themeColor="text1"/>
            </w:tcBorders>
            <w:shd w:val="clear" w:color="auto" w:fill="B84410"/>
            <w:vAlign w:val="bottom"/>
          </w:tcPr>
          <w:p w14:paraId="3A1CA66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4" w:type="dxa"/>
            <w:tcBorders>
              <w:top w:val="single" w:sz="8" w:space="0" w:color="FFFFFF" w:themeColor="background1"/>
              <w:bottom w:val="single" w:sz="4" w:space="0" w:color="000000" w:themeColor="text1"/>
            </w:tcBorders>
            <w:shd w:val="clear" w:color="auto" w:fill="B84410"/>
            <w:vAlign w:val="bottom"/>
          </w:tcPr>
          <w:p w14:paraId="7828B0CE"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4C13C48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vAlign w:val="bottom"/>
          </w:tcPr>
          <w:p w14:paraId="2D68167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p>
        </w:tc>
        <w:tc>
          <w:tcPr>
            <w:tcW w:w="365" w:type="dxa"/>
            <w:tcBorders>
              <w:top w:val="single" w:sz="8" w:space="0" w:color="FFFFFF" w:themeColor="background1"/>
              <w:bottom w:val="single" w:sz="4" w:space="0" w:color="000000" w:themeColor="text1"/>
            </w:tcBorders>
            <w:shd w:val="clear" w:color="auto" w:fill="B84410"/>
            <w:vAlign w:val="bottom"/>
          </w:tcPr>
          <w:p w14:paraId="0D3374E8"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0A18A44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6E63E46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093E39B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33398D95"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41F94E04"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1432D4D6"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7D1BC000"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2CA1AAE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9AC87C"/>
            <w:vAlign w:val="bottom"/>
          </w:tcPr>
          <w:p w14:paraId="5127015D"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8" w:space="0" w:color="FFFFFF" w:themeColor="background1"/>
              <w:bottom w:val="single" w:sz="4" w:space="0" w:color="000000" w:themeColor="text1"/>
            </w:tcBorders>
            <w:shd w:val="clear" w:color="auto" w:fill="B84410"/>
            <w:vAlign w:val="bottom"/>
          </w:tcPr>
          <w:p w14:paraId="606C409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33F80CE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4E14888F"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365" w:type="dxa"/>
            <w:tcBorders>
              <w:top w:val="single" w:sz="8" w:space="0" w:color="FFFFFF" w:themeColor="background1"/>
              <w:bottom w:val="single" w:sz="4" w:space="0" w:color="000000" w:themeColor="text1"/>
            </w:tcBorders>
            <w:shd w:val="clear" w:color="auto" w:fill="B84410"/>
            <w:vAlign w:val="bottom"/>
          </w:tcPr>
          <w:p w14:paraId="04C7B317"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3</w:t>
            </w:r>
          </w:p>
        </w:tc>
        <w:tc>
          <w:tcPr>
            <w:tcW w:w="365" w:type="dxa"/>
            <w:tcBorders>
              <w:top w:val="single" w:sz="8" w:space="0" w:color="FFFFFF" w:themeColor="background1"/>
              <w:bottom w:val="single" w:sz="4" w:space="0" w:color="000000" w:themeColor="text1"/>
            </w:tcBorders>
            <w:shd w:val="clear" w:color="auto" w:fill="9AC87C"/>
            <w:vAlign w:val="bottom"/>
          </w:tcPr>
          <w:p w14:paraId="7C2E245C"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5</w:t>
            </w:r>
          </w:p>
        </w:tc>
        <w:tc>
          <w:tcPr>
            <w:tcW w:w="365" w:type="dxa"/>
            <w:tcBorders>
              <w:top w:val="single" w:sz="8" w:space="0" w:color="FFFFFF" w:themeColor="background1"/>
              <w:bottom w:val="single" w:sz="4" w:space="0" w:color="000000" w:themeColor="text1"/>
            </w:tcBorders>
            <w:shd w:val="clear" w:color="auto" w:fill="B84410"/>
            <w:vAlign w:val="bottom"/>
          </w:tcPr>
          <w:p w14:paraId="1135E7AB" w14:textId="77777777" w:rsidR="00DD2C01" w:rsidRPr="00BF5856" w:rsidRDefault="00DD2C01" w:rsidP="00D82E01">
            <w:pPr>
              <w:autoSpaceDE w:val="0"/>
              <w:autoSpaceDN w:val="0"/>
              <w:adjustRightInd w:val="0"/>
              <w:spacing w:before="20" w:after="20"/>
              <w:jc w:val="center"/>
              <w:rPr>
                <w:rFonts w:cs="Calibri"/>
                <w:color w:val="000000"/>
                <w:sz w:val="14"/>
                <w:szCs w:val="14"/>
                <w:lang w:eastAsia="en-AU"/>
              </w:rPr>
            </w:pPr>
            <w:r w:rsidRPr="00BF5856">
              <w:rPr>
                <w:rFonts w:cs="Calibri"/>
                <w:color w:val="000000"/>
                <w:sz w:val="14"/>
                <w:szCs w:val="14"/>
                <w:lang w:eastAsia="en-AU"/>
              </w:rPr>
              <w:t>4</w:t>
            </w:r>
          </w:p>
        </w:tc>
        <w:tc>
          <w:tcPr>
            <w:tcW w:w="632" w:type="dxa"/>
            <w:tcBorders>
              <w:top w:val="nil"/>
              <w:bottom w:val="single" w:sz="4" w:space="0" w:color="000000" w:themeColor="text1"/>
            </w:tcBorders>
            <w:vAlign w:val="bottom"/>
          </w:tcPr>
          <w:p w14:paraId="5C05438A" w14:textId="77777777" w:rsidR="00DD2C01" w:rsidRPr="00D82E01" w:rsidRDefault="00DD2C01" w:rsidP="00D82E01">
            <w:pPr>
              <w:autoSpaceDE w:val="0"/>
              <w:autoSpaceDN w:val="0"/>
              <w:adjustRightInd w:val="0"/>
              <w:spacing w:before="20" w:after="20"/>
              <w:jc w:val="right"/>
              <w:rPr>
                <w:rFonts w:cs="Calibri"/>
                <w:b/>
                <w:bCs/>
                <w:color w:val="000000"/>
                <w:sz w:val="16"/>
                <w:szCs w:val="16"/>
                <w:lang w:eastAsia="en-AU"/>
              </w:rPr>
            </w:pPr>
            <w:r w:rsidRPr="00D82E01">
              <w:rPr>
                <w:rFonts w:cs="Calibri"/>
                <w:b/>
                <w:bCs/>
                <w:color w:val="000000"/>
                <w:sz w:val="16"/>
                <w:szCs w:val="16"/>
                <w:lang w:eastAsia="en-AU"/>
              </w:rPr>
              <w:t>0.9</w:t>
            </w:r>
          </w:p>
        </w:tc>
        <w:tc>
          <w:tcPr>
            <w:tcW w:w="709" w:type="dxa"/>
            <w:tcBorders>
              <w:top w:val="nil"/>
              <w:bottom w:val="single" w:sz="4" w:space="0" w:color="000000" w:themeColor="text1"/>
            </w:tcBorders>
            <w:vAlign w:val="bottom"/>
          </w:tcPr>
          <w:p w14:paraId="50FCFCB8" w14:textId="77777777" w:rsidR="00DD2C01" w:rsidRPr="00D82E01" w:rsidRDefault="00DD2C01" w:rsidP="00D82E01">
            <w:pPr>
              <w:autoSpaceDE w:val="0"/>
              <w:autoSpaceDN w:val="0"/>
              <w:adjustRightInd w:val="0"/>
              <w:spacing w:before="20" w:after="20"/>
              <w:jc w:val="right"/>
              <w:rPr>
                <w:rFonts w:cs="Calibri"/>
                <w:b/>
                <w:bCs/>
                <w:color w:val="000000"/>
                <w:sz w:val="16"/>
                <w:szCs w:val="16"/>
                <w:lang w:eastAsia="en-AU"/>
              </w:rPr>
            </w:pPr>
            <w:r w:rsidRPr="00D82E01">
              <w:rPr>
                <w:rFonts w:cs="Calibri"/>
                <w:b/>
                <w:bCs/>
                <w:color w:val="000000"/>
                <w:sz w:val="16"/>
                <w:szCs w:val="16"/>
                <w:lang w:eastAsia="en-AU"/>
              </w:rPr>
              <w:t>0.1</w:t>
            </w:r>
          </w:p>
        </w:tc>
        <w:tc>
          <w:tcPr>
            <w:tcW w:w="567" w:type="dxa"/>
            <w:tcBorders>
              <w:top w:val="nil"/>
              <w:bottom w:val="single" w:sz="4" w:space="0" w:color="000000" w:themeColor="text1"/>
            </w:tcBorders>
            <w:vAlign w:val="bottom"/>
          </w:tcPr>
          <w:p w14:paraId="1477F4CA" w14:textId="77777777" w:rsidR="00DD2C01" w:rsidRPr="00D82E01" w:rsidRDefault="00DD2C01" w:rsidP="00D82E01">
            <w:pPr>
              <w:autoSpaceDE w:val="0"/>
              <w:autoSpaceDN w:val="0"/>
              <w:adjustRightInd w:val="0"/>
              <w:spacing w:before="20" w:after="20"/>
              <w:jc w:val="right"/>
              <w:rPr>
                <w:rFonts w:cs="Calibri"/>
                <w:b/>
                <w:bCs/>
                <w:color w:val="000000"/>
                <w:sz w:val="16"/>
                <w:szCs w:val="16"/>
                <w:lang w:eastAsia="en-AU"/>
              </w:rPr>
            </w:pPr>
            <w:r w:rsidRPr="00D82E01">
              <w:rPr>
                <w:rFonts w:cs="Calibri"/>
                <w:b/>
                <w:bCs/>
                <w:color w:val="000000"/>
                <w:sz w:val="16"/>
                <w:szCs w:val="16"/>
                <w:lang w:eastAsia="en-AU"/>
              </w:rPr>
              <w:t>1</w:t>
            </w:r>
          </w:p>
        </w:tc>
      </w:tr>
    </w:tbl>
    <w:p w14:paraId="5890B730" w14:textId="003303B4" w:rsidR="00A97340" w:rsidRPr="001A17C7" w:rsidRDefault="00A97340" w:rsidP="00A97340">
      <w:pPr>
        <w:rPr>
          <w:color w:val="000000" w:themeColor="text1"/>
        </w:rPr>
      </w:pPr>
      <w:r w:rsidRPr="00291AD7">
        <w:t>Daily light (I</w:t>
      </w:r>
      <w:r w:rsidRPr="00291AD7">
        <w:rPr>
          <w:vertAlign w:val="subscript"/>
        </w:rPr>
        <w:t>d</w:t>
      </w:r>
      <w:r w:rsidRPr="00291AD7">
        <w:t xml:space="preserve">) at Wet Tropics sites has been monitored since 2008 </w:t>
      </w:r>
      <w:r>
        <w:t>or 2009</w:t>
      </w:r>
      <w:r w:rsidRPr="001A17C7">
        <w:rPr>
          <w:color w:val="000000" w:themeColor="text1"/>
        </w:rPr>
        <w:t>. I</w:t>
      </w:r>
      <w:r w:rsidRPr="001A17C7">
        <w:rPr>
          <w:color w:val="000000" w:themeColor="text1"/>
          <w:vertAlign w:val="subscript"/>
        </w:rPr>
        <w:t>d</w:t>
      </w:r>
      <w:r w:rsidRPr="001A17C7">
        <w:rPr>
          <w:color w:val="000000" w:themeColor="text1"/>
        </w:rPr>
        <w:t xml:space="preserve"> in </w:t>
      </w:r>
      <w:r w:rsidR="008574EC">
        <w:rPr>
          <w:color w:val="000000" w:themeColor="text1"/>
        </w:rPr>
        <w:t>2016–17</w:t>
      </w:r>
      <w:r w:rsidRPr="001A17C7">
        <w:rPr>
          <w:color w:val="000000" w:themeColor="text1"/>
        </w:rPr>
        <w:t xml:space="preserve"> (12.0 mol m</w:t>
      </w:r>
      <w:r w:rsidRPr="001A17C7">
        <w:rPr>
          <w:color w:val="000000" w:themeColor="text1"/>
          <w:vertAlign w:val="superscript"/>
        </w:rPr>
        <w:t>-2</w:t>
      </w:r>
      <w:r w:rsidRPr="001A17C7">
        <w:rPr>
          <w:color w:val="000000" w:themeColor="text1"/>
        </w:rPr>
        <w:t xml:space="preserve"> d</w:t>
      </w:r>
      <w:r w:rsidRPr="001A17C7">
        <w:rPr>
          <w:color w:val="000000" w:themeColor="text1"/>
          <w:vertAlign w:val="superscript"/>
        </w:rPr>
        <w:t>-1</w:t>
      </w:r>
      <w:r w:rsidRPr="001A17C7">
        <w:rPr>
          <w:color w:val="000000" w:themeColor="text1"/>
        </w:rPr>
        <w:t>) was slightly lower than the long-term average (12.7 mol m</w:t>
      </w:r>
      <w:r w:rsidRPr="001A17C7">
        <w:rPr>
          <w:color w:val="000000" w:themeColor="text1"/>
          <w:vertAlign w:val="superscript"/>
        </w:rPr>
        <w:t>-2</w:t>
      </w:r>
      <w:r w:rsidRPr="001A17C7">
        <w:rPr>
          <w:color w:val="000000" w:themeColor="text1"/>
        </w:rPr>
        <w:t xml:space="preserve"> d</w:t>
      </w:r>
      <w:r w:rsidRPr="001A17C7">
        <w:rPr>
          <w:color w:val="000000" w:themeColor="text1"/>
          <w:vertAlign w:val="superscript"/>
        </w:rPr>
        <w:t>-1</w:t>
      </w:r>
      <w:r w:rsidRPr="001A17C7">
        <w:rPr>
          <w:color w:val="000000" w:themeColor="text1"/>
        </w:rPr>
        <w:t xml:space="preserve">), largely due to conditions in the southern Wet Tropics (at Dunk Island, loggers not deployed at Lugger Bay) and at Low Isles. Other sites in the Wet Tropics were at or around the long-term average in </w:t>
      </w:r>
      <w:r w:rsidR="008574EC">
        <w:rPr>
          <w:color w:val="000000" w:themeColor="text1"/>
        </w:rPr>
        <w:t>2016–17</w:t>
      </w:r>
      <w:r w:rsidRPr="001A17C7">
        <w:rPr>
          <w:color w:val="000000" w:themeColor="text1"/>
        </w:rPr>
        <w:t>.</w:t>
      </w:r>
      <w:r w:rsidR="00452B63">
        <w:rPr>
          <w:color w:val="000000" w:themeColor="text1"/>
        </w:rPr>
        <w:t xml:space="preserve"> The lowest light levels occurred at the Low Isles (5.8 </w:t>
      </w:r>
      <w:r w:rsidR="00452B63" w:rsidRPr="001A17C7">
        <w:rPr>
          <w:color w:val="000000" w:themeColor="text1"/>
        </w:rPr>
        <w:t>mol m</w:t>
      </w:r>
      <w:r w:rsidR="00452B63" w:rsidRPr="001A17C7">
        <w:rPr>
          <w:color w:val="000000" w:themeColor="text1"/>
          <w:vertAlign w:val="superscript"/>
        </w:rPr>
        <w:t>-2</w:t>
      </w:r>
      <w:r w:rsidR="00452B63" w:rsidRPr="001A17C7">
        <w:rPr>
          <w:color w:val="000000" w:themeColor="text1"/>
        </w:rPr>
        <w:t xml:space="preserve"> d</w:t>
      </w:r>
      <w:r w:rsidR="00452B63" w:rsidRPr="001A17C7">
        <w:rPr>
          <w:color w:val="000000" w:themeColor="text1"/>
          <w:vertAlign w:val="superscript"/>
        </w:rPr>
        <w:t>-1</w:t>
      </w:r>
      <w:r w:rsidR="00452B63">
        <w:rPr>
          <w:color w:val="000000" w:themeColor="text1"/>
        </w:rPr>
        <w:t xml:space="preserve">), Dunk Island (7.4 </w:t>
      </w:r>
      <w:r w:rsidR="00452B63" w:rsidRPr="001A17C7">
        <w:rPr>
          <w:color w:val="000000" w:themeColor="text1"/>
        </w:rPr>
        <w:t>mol m</w:t>
      </w:r>
      <w:r w:rsidR="00452B63" w:rsidRPr="001A17C7">
        <w:rPr>
          <w:color w:val="000000" w:themeColor="text1"/>
          <w:vertAlign w:val="superscript"/>
        </w:rPr>
        <w:t>-2</w:t>
      </w:r>
      <w:r w:rsidR="00452B63" w:rsidRPr="001A17C7">
        <w:rPr>
          <w:color w:val="000000" w:themeColor="text1"/>
        </w:rPr>
        <w:t xml:space="preserve"> d</w:t>
      </w:r>
      <w:r w:rsidR="00452B63" w:rsidRPr="001A17C7">
        <w:rPr>
          <w:color w:val="000000" w:themeColor="text1"/>
          <w:vertAlign w:val="superscript"/>
        </w:rPr>
        <w:t>-1</w:t>
      </w:r>
      <w:r w:rsidR="00452B63">
        <w:rPr>
          <w:color w:val="000000" w:themeColor="text1"/>
        </w:rPr>
        <w:t xml:space="preserve">) and Green Island subtidal sites (9.6 </w:t>
      </w:r>
      <w:r w:rsidR="00452B63" w:rsidRPr="001A17C7">
        <w:rPr>
          <w:color w:val="000000" w:themeColor="text1"/>
        </w:rPr>
        <w:t>mol m</w:t>
      </w:r>
      <w:r w:rsidR="00452B63" w:rsidRPr="001A17C7">
        <w:rPr>
          <w:color w:val="000000" w:themeColor="text1"/>
          <w:vertAlign w:val="superscript"/>
        </w:rPr>
        <w:t>-2</w:t>
      </w:r>
      <w:r w:rsidR="00452B63" w:rsidRPr="001A17C7">
        <w:rPr>
          <w:color w:val="000000" w:themeColor="text1"/>
        </w:rPr>
        <w:t xml:space="preserve"> d</w:t>
      </w:r>
      <w:r w:rsidR="00452B63" w:rsidRPr="001A17C7">
        <w:rPr>
          <w:color w:val="000000" w:themeColor="text1"/>
          <w:vertAlign w:val="superscript"/>
        </w:rPr>
        <w:t>-1</w:t>
      </w:r>
      <w:r w:rsidR="00452B63">
        <w:rPr>
          <w:color w:val="000000" w:themeColor="text1"/>
        </w:rPr>
        <w:t xml:space="preserve">), which were below the long-term average at the Low Isles and Green Island sites. </w:t>
      </w:r>
      <w:r w:rsidR="001851D6">
        <w:rPr>
          <w:color w:val="000000" w:themeColor="text1"/>
        </w:rPr>
        <w:t>Daily light levels have been highly seasonal for the past three years (</w:t>
      </w:r>
      <w:r w:rsidR="001851D6">
        <w:rPr>
          <w:color w:val="000000" w:themeColor="text1"/>
        </w:rPr>
        <w:fldChar w:fldCharType="begin"/>
      </w:r>
      <w:r w:rsidR="001851D6">
        <w:rPr>
          <w:color w:val="000000" w:themeColor="text1"/>
        </w:rPr>
        <w:instrText xml:space="preserve"> REF _Ref509322498 \h </w:instrText>
      </w:r>
      <w:r w:rsidR="001851D6">
        <w:rPr>
          <w:color w:val="000000" w:themeColor="text1"/>
        </w:rPr>
      </w:r>
      <w:r w:rsidR="001851D6">
        <w:rPr>
          <w:color w:val="000000" w:themeColor="text1"/>
        </w:rPr>
        <w:fldChar w:fldCharType="separate"/>
      </w:r>
      <w:r w:rsidR="00F87DF9" w:rsidRPr="00B4451B">
        <w:t xml:space="preserve">Figure </w:t>
      </w:r>
      <w:r w:rsidR="00F87DF9">
        <w:rPr>
          <w:noProof/>
        </w:rPr>
        <w:t>47</w:t>
      </w:r>
      <w:r w:rsidR="001851D6">
        <w:rPr>
          <w:color w:val="000000" w:themeColor="text1"/>
        </w:rPr>
        <w:fldChar w:fldCharType="end"/>
      </w:r>
      <w:r w:rsidR="001851D6">
        <w:rPr>
          <w:color w:val="000000" w:themeColor="text1"/>
        </w:rPr>
        <w:t xml:space="preserve">). </w:t>
      </w:r>
    </w:p>
    <w:p w14:paraId="45B314F7" w14:textId="7065492C" w:rsidR="001B6AA0" w:rsidRDefault="005C35C3" w:rsidP="002242D2">
      <w:pPr>
        <w:keepNext/>
        <w:widowControl w:val="0"/>
        <w:spacing w:before="0" w:after="0"/>
        <w:jc w:val="center"/>
        <w:rPr>
          <w:color w:val="000000"/>
          <w:szCs w:val="22"/>
        </w:rPr>
      </w:pPr>
      <w:r>
        <w:rPr>
          <w:noProof/>
          <w:color w:val="000000"/>
          <w:szCs w:val="22"/>
          <w:lang w:eastAsia="en-AU"/>
        </w:rPr>
        <w:drawing>
          <wp:inline distT="0" distB="0" distL="0" distR="0" wp14:anchorId="78B50402" wp14:editId="45F6A243">
            <wp:extent cx="5759450" cy="1861387"/>
            <wp:effectExtent l="0" t="0" r="0" b="5715"/>
            <wp:docPr id="49" name="Picture 49" descr="Plot of mean daily light (all sites pooled) with 28 day rolling average and Generalised Additive Model plot of temporal trends in daily light for each location n the Wet Tropics NRM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WT_Daily&amp;GAM.png"/>
                    <pic:cNvPicPr/>
                  </pic:nvPicPr>
                  <pic:blipFill>
                    <a:blip r:embed="rId84"/>
                    <a:stretch>
                      <a:fillRect/>
                    </a:stretch>
                  </pic:blipFill>
                  <pic:spPr>
                    <a:xfrm>
                      <a:off x="0" y="0"/>
                      <a:ext cx="5759450" cy="1861387"/>
                    </a:xfrm>
                    <a:prstGeom prst="rect">
                      <a:avLst/>
                    </a:prstGeom>
                  </pic:spPr>
                </pic:pic>
              </a:graphicData>
            </a:graphic>
          </wp:inline>
        </w:drawing>
      </w:r>
    </w:p>
    <w:p w14:paraId="4B7E1146" w14:textId="58048063" w:rsidR="00B4451B" w:rsidRPr="001402C9" w:rsidRDefault="001402C9" w:rsidP="009A1A75">
      <w:pPr>
        <w:spacing w:before="0"/>
        <w:rPr>
          <w:i/>
          <w:vanish/>
          <w:specVanish/>
        </w:rPr>
      </w:pPr>
      <w:bookmarkStart w:id="304" w:name="_Ref509322498"/>
      <w:bookmarkStart w:id="305" w:name="_Toc516053257"/>
      <w:r w:rsidRPr="00B4451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47</w:t>
      </w:r>
      <w:r w:rsidR="00C506C7">
        <w:rPr>
          <w:noProof/>
        </w:rPr>
        <w:fldChar w:fldCharType="end"/>
      </w:r>
      <w:bookmarkEnd w:id="304"/>
      <w:r w:rsidRPr="00B4451B">
        <w:t>.</w:t>
      </w:r>
      <w:r w:rsidRPr="00DC7715">
        <w:rPr>
          <w:color w:val="0000FF"/>
        </w:rPr>
        <w:t xml:space="preserve">  </w:t>
      </w:r>
      <w:r w:rsidR="00B4451B" w:rsidRPr="001402C9">
        <w:rPr>
          <w:i/>
        </w:rPr>
        <w:t>Mean daily light at Wet Tropics sites with 28-d rolling average from 20</w:t>
      </w:r>
      <w:r w:rsidR="00B4451B">
        <w:rPr>
          <w:i/>
        </w:rPr>
        <w:t>08</w:t>
      </w:r>
      <w:r w:rsidR="00B4451B" w:rsidRPr="001402C9">
        <w:rPr>
          <w:i/>
        </w:rPr>
        <w:t xml:space="preserve"> to </w:t>
      </w:r>
      <w:r w:rsidR="00B4451B" w:rsidRPr="00513870">
        <w:rPr>
          <w:i/>
          <w:color w:val="000000" w:themeColor="text1"/>
        </w:rPr>
        <w:t>201</w:t>
      </w:r>
      <w:r w:rsidR="00513870" w:rsidRPr="00513870">
        <w:rPr>
          <w:i/>
          <w:color w:val="000000" w:themeColor="text1"/>
        </w:rPr>
        <w:t>7</w:t>
      </w:r>
      <w:r w:rsidR="00B4451B" w:rsidRPr="00513870">
        <w:rPr>
          <w:i/>
          <w:color w:val="000000" w:themeColor="text1"/>
        </w:rPr>
        <w:t xml:space="preserve"> </w:t>
      </w:r>
      <w:r w:rsidR="00B4451B" w:rsidRPr="001402C9">
        <w:rPr>
          <w:i/>
        </w:rPr>
        <w:t xml:space="preserve">(left) and GAM plots </w:t>
      </w:r>
      <w:r w:rsidR="00B4451B">
        <w:rPr>
          <w:i/>
        </w:rPr>
        <w:t>(right)</w:t>
      </w:r>
      <w:bookmarkEnd w:id="305"/>
    </w:p>
    <w:p w14:paraId="3E6998A6" w14:textId="02609F4B" w:rsidR="00B4451B" w:rsidRPr="001402C9" w:rsidRDefault="00B4451B" w:rsidP="00B4451B">
      <w:pPr>
        <w:rPr>
          <w:i/>
        </w:rPr>
      </w:pPr>
      <w:r>
        <w:rPr>
          <w:i/>
        </w:rPr>
        <w:t xml:space="preserve"> </w:t>
      </w:r>
      <w:r w:rsidRPr="001402C9">
        <w:rPr>
          <w:i/>
        </w:rPr>
        <w:t>with the black line showing mean trend for all sites (±95</w:t>
      </w:r>
      <w:r w:rsidR="0063478C">
        <w:rPr>
          <w:i/>
        </w:rPr>
        <w:t xml:space="preserve"> per cent</w:t>
      </w:r>
      <w:r w:rsidRPr="001402C9">
        <w:rPr>
          <w:i/>
        </w:rPr>
        <w:t xml:space="preserve"> confidence interval in grey shade) and coloured lines (with CI’s) showing the trend for each site. Results of statistical analysis (GAM) and site-specific graphs (site-level daily light data plus 28-d rolling </w:t>
      </w:r>
      <w:r w:rsidRPr="009526BE">
        <w:rPr>
          <w:i/>
        </w:rPr>
        <w:t>a</w:t>
      </w:r>
      <w:r w:rsidR="005C35C3">
        <w:rPr>
          <w:i/>
        </w:rPr>
        <w:t>verage) are shown in Appendix 4.</w:t>
      </w:r>
    </w:p>
    <w:p w14:paraId="3FAE1324" w14:textId="4021BCF9" w:rsidR="001B6AA0" w:rsidRPr="004B7165" w:rsidRDefault="0073741A" w:rsidP="001B6AA0">
      <w:pPr>
        <w:spacing w:before="240"/>
        <w:rPr>
          <w:color w:val="000000" w:themeColor="text1"/>
          <w:szCs w:val="22"/>
        </w:rPr>
      </w:pPr>
      <w:r w:rsidRPr="004B7165">
        <w:rPr>
          <w:color w:val="000000" w:themeColor="text1"/>
          <w:szCs w:val="22"/>
        </w:rPr>
        <w:t xml:space="preserve">The </w:t>
      </w:r>
      <w:r w:rsidR="008574EC">
        <w:rPr>
          <w:color w:val="000000" w:themeColor="text1"/>
          <w:szCs w:val="22"/>
        </w:rPr>
        <w:t>2016–17</w:t>
      </w:r>
      <w:r w:rsidR="001B6AA0" w:rsidRPr="004B7165">
        <w:rPr>
          <w:color w:val="000000" w:themeColor="text1"/>
          <w:szCs w:val="22"/>
        </w:rPr>
        <w:t xml:space="preserve"> </w:t>
      </w:r>
      <w:r w:rsidRPr="004B7165">
        <w:rPr>
          <w:color w:val="000000" w:themeColor="text1"/>
          <w:szCs w:val="22"/>
        </w:rPr>
        <w:t xml:space="preserve">year </w:t>
      </w:r>
      <w:r w:rsidR="001B6AA0" w:rsidRPr="004B7165">
        <w:rPr>
          <w:color w:val="000000" w:themeColor="text1"/>
          <w:szCs w:val="22"/>
        </w:rPr>
        <w:t xml:space="preserve">was </w:t>
      </w:r>
      <w:r w:rsidR="004B7165" w:rsidRPr="004B7165">
        <w:rPr>
          <w:color w:val="000000" w:themeColor="text1"/>
          <w:szCs w:val="22"/>
        </w:rPr>
        <w:t>the hottest year on</w:t>
      </w:r>
      <w:r w:rsidR="001B6AA0" w:rsidRPr="004B7165">
        <w:rPr>
          <w:color w:val="000000" w:themeColor="text1"/>
          <w:szCs w:val="22"/>
        </w:rPr>
        <w:t xml:space="preserve"> average at Wet Tropics seagrass sites</w:t>
      </w:r>
      <w:r w:rsidR="004B7165" w:rsidRPr="004B7165">
        <w:rPr>
          <w:color w:val="000000" w:themeColor="text1"/>
          <w:szCs w:val="22"/>
        </w:rPr>
        <w:t xml:space="preserve"> since monitoring began</w:t>
      </w:r>
      <w:r w:rsidR="001B6AA0" w:rsidRPr="004B7165">
        <w:rPr>
          <w:color w:val="000000" w:themeColor="text1"/>
          <w:szCs w:val="22"/>
        </w:rPr>
        <w:t>. High temperatures (&gt;35</w:t>
      </w:r>
      <w:r w:rsidR="001B6AA0" w:rsidRPr="004B7165">
        <w:rPr>
          <w:color w:val="000000" w:themeColor="text1"/>
          <w:szCs w:val="22"/>
        </w:rPr>
        <w:sym w:font="Symbol" w:char="F0B0"/>
      </w:r>
      <w:r w:rsidR="001B6AA0" w:rsidRPr="004B7165">
        <w:rPr>
          <w:color w:val="000000" w:themeColor="text1"/>
          <w:szCs w:val="22"/>
        </w:rPr>
        <w:t xml:space="preserve">C) </w:t>
      </w:r>
      <w:r w:rsidR="004B7165" w:rsidRPr="004B7165">
        <w:rPr>
          <w:color w:val="000000" w:themeColor="text1"/>
          <w:szCs w:val="22"/>
        </w:rPr>
        <w:t xml:space="preserve">had been sustained for 2 years </w:t>
      </w:r>
      <w:r w:rsidR="001B6AA0" w:rsidRPr="004B7165">
        <w:rPr>
          <w:color w:val="000000" w:themeColor="text1"/>
          <w:szCs w:val="22"/>
        </w:rPr>
        <w:t xml:space="preserve">from </w:t>
      </w:r>
      <w:r w:rsidR="001D0D0D" w:rsidRPr="004B7165">
        <w:rPr>
          <w:color w:val="000000" w:themeColor="text1"/>
          <w:szCs w:val="22"/>
        </w:rPr>
        <w:t>mid-2015</w:t>
      </w:r>
      <w:r w:rsidR="001B6AA0" w:rsidRPr="004B7165">
        <w:rPr>
          <w:color w:val="000000" w:themeColor="text1"/>
          <w:szCs w:val="22"/>
        </w:rPr>
        <w:t xml:space="preserve"> to </w:t>
      </w:r>
      <w:r w:rsidR="004B7165" w:rsidRPr="004B7165">
        <w:rPr>
          <w:color w:val="000000" w:themeColor="text1"/>
          <w:szCs w:val="22"/>
        </w:rPr>
        <w:t>June 2017</w:t>
      </w:r>
      <w:r w:rsidR="001B6AA0" w:rsidRPr="004B7165">
        <w:rPr>
          <w:color w:val="000000" w:themeColor="text1"/>
          <w:szCs w:val="22"/>
        </w:rPr>
        <w:t xml:space="preserve"> across the region, with the highest temperature </w:t>
      </w:r>
      <w:r w:rsidR="00A63673" w:rsidRPr="004B7165">
        <w:rPr>
          <w:color w:val="000000" w:themeColor="text1"/>
          <w:szCs w:val="22"/>
        </w:rPr>
        <w:t xml:space="preserve">at intertidal sites </w:t>
      </w:r>
      <w:r w:rsidR="001B6AA0" w:rsidRPr="004B7165">
        <w:rPr>
          <w:color w:val="000000" w:themeColor="text1"/>
          <w:szCs w:val="22"/>
        </w:rPr>
        <w:t>(</w:t>
      </w:r>
      <w:r w:rsidR="004B7165" w:rsidRPr="004B7165">
        <w:rPr>
          <w:color w:val="000000" w:themeColor="text1"/>
          <w:szCs w:val="22"/>
        </w:rPr>
        <w:t>41.4</w:t>
      </w:r>
      <w:r w:rsidR="005E6D0A" w:rsidRPr="004B7165">
        <w:rPr>
          <w:color w:val="000000" w:themeColor="text1"/>
          <w:szCs w:val="22"/>
        </w:rPr>
        <w:sym w:font="Symbol" w:char="F0B0"/>
      </w:r>
      <w:r w:rsidR="005E6D0A" w:rsidRPr="004B7165">
        <w:rPr>
          <w:color w:val="000000" w:themeColor="text1"/>
          <w:szCs w:val="22"/>
        </w:rPr>
        <w:t xml:space="preserve">C) recorded in </w:t>
      </w:r>
      <w:r w:rsidR="004B7165" w:rsidRPr="004B7165">
        <w:rPr>
          <w:color w:val="000000" w:themeColor="text1"/>
          <w:szCs w:val="22"/>
        </w:rPr>
        <w:t xml:space="preserve">March </w:t>
      </w:r>
      <w:r w:rsidR="00A63673" w:rsidRPr="004B7165">
        <w:rPr>
          <w:color w:val="000000" w:themeColor="text1"/>
          <w:szCs w:val="22"/>
        </w:rPr>
        <w:t>(</w:t>
      </w:r>
      <w:r w:rsidR="00A63673" w:rsidRPr="004B7165">
        <w:rPr>
          <w:color w:val="000000" w:themeColor="text1"/>
          <w:szCs w:val="22"/>
        </w:rPr>
        <w:fldChar w:fldCharType="begin"/>
      </w:r>
      <w:r w:rsidR="00A63673" w:rsidRPr="004B7165">
        <w:rPr>
          <w:color w:val="000000" w:themeColor="text1"/>
          <w:szCs w:val="22"/>
        </w:rPr>
        <w:instrText xml:space="preserve"> REF _Ref473640109 \h </w:instrText>
      </w:r>
      <w:r w:rsidR="00A63673" w:rsidRPr="004B7165">
        <w:rPr>
          <w:color w:val="000000" w:themeColor="text1"/>
          <w:szCs w:val="22"/>
        </w:rPr>
      </w:r>
      <w:r w:rsidR="00A63673" w:rsidRPr="004B7165">
        <w:rPr>
          <w:color w:val="000000" w:themeColor="text1"/>
          <w:szCs w:val="22"/>
        </w:rPr>
        <w:fldChar w:fldCharType="separate"/>
      </w:r>
      <w:r w:rsidR="00F87DF9" w:rsidRPr="00D82A3D">
        <w:rPr>
          <w:szCs w:val="22"/>
          <w:lang w:val="en-GB"/>
        </w:rPr>
        <w:t xml:space="preserve">Figure </w:t>
      </w:r>
      <w:r w:rsidR="00F87DF9">
        <w:rPr>
          <w:noProof/>
          <w:szCs w:val="22"/>
          <w:lang w:val="en-GB"/>
        </w:rPr>
        <w:t>48</w:t>
      </w:r>
      <w:r w:rsidR="00A63673" w:rsidRPr="004B7165">
        <w:rPr>
          <w:color w:val="000000" w:themeColor="text1"/>
          <w:szCs w:val="22"/>
        </w:rPr>
        <w:fldChar w:fldCharType="end"/>
      </w:r>
      <w:r w:rsidR="00A63673" w:rsidRPr="004B7165">
        <w:rPr>
          <w:color w:val="000000" w:themeColor="text1"/>
          <w:szCs w:val="22"/>
        </w:rPr>
        <w:t>)</w:t>
      </w:r>
      <w:r w:rsidR="005E6D0A" w:rsidRPr="004B7165">
        <w:rPr>
          <w:color w:val="000000" w:themeColor="text1"/>
          <w:szCs w:val="22"/>
        </w:rPr>
        <w:t xml:space="preserve">. </w:t>
      </w:r>
      <w:r w:rsidR="00363524" w:rsidRPr="004B7165">
        <w:rPr>
          <w:color w:val="000000" w:themeColor="text1"/>
          <w:szCs w:val="22"/>
        </w:rPr>
        <w:t>Within canopy</w:t>
      </w:r>
      <w:r w:rsidR="001B6AA0" w:rsidRPr="004B7165">
        <w:rPr>
          <w:color w:val="000000" w:themeColor="text1"/>
          <w:szCs w:val="22"/>
        </w:rPr>
        <w:t xml:space="preserve"> water temperatures exceeded 35</w:t>
      </w:r>
      <w:r w:rsidR="001B6AA0" w:rsidRPr="004B7165">
        <w:rPr>
          <w:color w:val="000000" w:themeColor="text1"/>
          <w:szCs w:val="22"/>
        </w:rPr>
        <w:sym w:font="Symbol" w:char="F0B0"/>
      </w:r>
      <w:r w:rsidR="001B6AA0" w:rsidRPr="004B7165">
        <w:rPr>
          <w:color w:val="000000" w:themeColor="text1"/>
          <w:szCs w:val="22"/>
        </w:rPr>
        <w:t xml:space="preserve">C </w:t>
      </w:r>
      <w:r w:rsidR="004B7165" w:rsidRPr="004B7165">
        <w:rPr>
          <w:color w:val="000000" w:themeColor="text1"/>
          <w:szCs w:val="22"/>
        </w:rPr>
        <w:t>for 70</w:t>
      </w:r>
      <w:r w:rsidR="00363524" w:rsidRPr="004B7165">
        <w:rPr>
          <w:color w:val="000000" w:themeColor="text1"/>
          <w:szCs w:val="22"/>
        </w:rPr>
        <w:t xml:space="preserve"> d, which is </w:t>
      </w:r>
      <w:r w:rsidR="004B7165" w:rsidRPr="004B7165">
        <w:rPr>
          <w:color w:val="000000" w:themeColor="text1"/>
          <w:szCs w:val="22"/>
        </w:rPr>
        <w:t>well above</w:t>
      </w:r>
      <w:r w:rsidR="00363524" w:rsidRPr="004B7165">
        <w:rPr>
          <w:color w:val="000000" w:themeColor="text1"/>
          <w:szCs w:val="22"/>
        </w:rPr>
        <w:t xml:space="preserve"> the median </w:t>
      </w:r>
      <w:r w:rsidR="0001759E" w:rsidRPr="004B7165">
        <w:rPr>
          <w:color w:val="000000" w:themeColor="text1"/>
          <w:szCs w:val="22"/>
        </w:rPr>
        <w:t>level</w:t>
      </w:r>
      <w:r w:rsidR="00363524" w:rsidRPr="004B7165">
        <w:rPr>
          <w:color w:val="000000" w:themeColor="text1"/>
          <w:szCs w:val="22"/>
        </w:rPr>
        <w:t xml:space="preserve"> (44 d) </w:t>
      </w:r>
      <w:r w:rsidR="001B6AA0" w:rsidRPr="004B7165">
        <w:rPr>
          <w:color w:val="000000" w:themeColor="text1"/>
          <w:szCs w:val="22"/>
        </w:rPr>
        <w:t xml:space="preserve">since 2003 when monitoring was established. </w:t>
      </w:r>
      <w:r w:rsidR="00A63673" w:rsidRPr="004B7165">
        <w:rPr>
          <w:color w:val="000000" w:themeColor="text1"/>
          <w:szCs w:val="22"/>
        </w:rPr>
        <w:t>Water temperature at subtidal sites rarely exceeds thresholds (</w:t>
      </w:r>
      <w:r w:rsidR="00A63673" w:rsidRPr="004B7165">
        <w:rPr>
          <w:color w:val="000000" w:themeColor="text1"/>
          <w:szCs w:val="22"/>
        </w:rPr>
        <w:fldChar w:fldCharType="begin"/>
      </w:r>
      <w:r w:rsidR="00A63673" w:rsidRPr="004B7165">
        <w:rPr>
          <w:color w:val="000000" w:themeColor="text1"/>
          <w:szCs w:val="22"/>
        </w:rPr>
        <w:instrText xml:space="preserve"> REF _Ref473640074 \h </w:instrText>
      </w:r>
      <w:r w:rsidR="00A63673" w:rsidRPr="004B7165">
        <w:rPr>
          <w:color w:val="000000" w:themeColor="text1"/>
          <w:szCs w:val="22"/>
        </w:rPr>
      </w:r>
      <w:r w:rsidR="00A63673" w:rsidRPr="004B7165">
        <w:rPr>
          <w:color w:val="000000" w:themeColor="text1"/>
          <w:szCs w:val="22"/>
        </w:rPr>
        <w:fldChar w:fldCharType="separate"/>
      </w:r>
      <w:r w:rsidR="00F87DF9" w:rsidRPr="00D82A3D">
        <w:rPr>
          <w:szCs w:val="22"/>
          <w:lang w:val="en-GB"/>
        </w:rPr>
        <w:t xml:space="preserve">Figure </w:t>
      </w:r>
      <w:r w:rsidR="00F87DF9">
        <w:rPr>
          <w:noProof/>
          <w:szCs w:val="22"/>
          <w:lang w:val="en-GB"/>
        </w:rPr>
        <w:t>49</w:t>
      </w:r>
      <w:r w:rsidR="00A63673" w:rsidRPr="004B7165">
        <w:rPr>
          <w:color w:val="000000" w:themeColor="text1"/>
          <w:szCs w:val="22"/>
        </w:rPr>
        <w:fldChar w:fldCharType="end"/>
      </w:r>
      <w:r w:rsidR="00A63673" w:rsidRPr="004B7165">
        <w:rPr>
          <w:color w:val="000000" w:themeColor="text1"/>
          <w:szCs w:val="22"/>
        </w:rPr>
        <w:t xml:space="preserve">); however, there were </w:t>
      </w:r>
      <w:r w:rsidR="004B7165" w:rsidRPr="004B7165">
        <w:rPr>
          <w:color w:val="000000" w:themeColor="text1"/>
          <w:szCs w:val="22"/>
        </w:rPr>
        <w:t>only a few</w:t>
      </w:r>
      <w:r w:rsidR="00A63673" w:rsidRPr="004B7165">
        <w:rPr>
          <w:color w:val="000000" w:themeColor="text1"/>
          <w:szCs w:val="22"/>
        </w:rPr>
        <w:t xml:space="preserve"> weeks that were cooler than the baseline (</w:t>
      </w:r>
      <w:r w:rsidR="00A63673" w:rsidRPr="004B7165">
        <w:rPr>
          <w:color w:val="000000" w:themeColor="text1"/>
          <w:szCs w:val="22"/>
        </w:rPr>
        <w:fldChar w:fldCharType="begin"/>
      </w:r>
      <w:r w:rsidR="00A63673" w:rsidRPr="004B7165">
        <w:rPr>
          <w:color w:val="000000" w:themeColor="text1"/>
          <w:szCs w:val="22"/>
        </w:rPr>
        <w:instrText xml:space="preserve"> REF _Ref473640074 \h </w:instrText>
      </w:r>
      <w:r w:rsidR="00A63673" w:rsidRPr="004B7165">
        <w:rPr>
          <w:color w:val="000000" w:themeColor="text1"/>
          <w:szCs w:val="22"/>
        </w:rPr>
      </w:r>
      <w:r w:rsidR="00A63673" w:rsidRPr="004B7165">
        <w:rPr>
          <w:color w:val="000000" w:themeColor="text1"/>
          <w:szCs w:val="22"/>
        </w:rPr>
        <w:fldChar w:fldCharType="separate"/>
      </w:r>
      <w:r w:rsidR="00F87DF9" w:rsidRPr="00D82A3D">
        <w:rPr>
          <w:szCs w:val="22"/>
          <w:lang w:val="en-GB"/>
        </w:rPr>
        <w:t xml:space="preserve">Figure </w:t>
      </w:r>
      <w:r w:rsidR="00F87DF9">
        <w:rPr>
          <w:noProof/>
          <w:szCs w:val="22"/>
          <w:lang w:val="en-GB"/>
        </w:rPr>
        <w:t>49</w:t>
      </w:r>
      <w:r w:rsidR="00A63673" w:rsidRPr="004B7165">
        <w:rPr>
          <w:color w:val="000000" w:themeColor="text1"/>
          <w:szCs w:val="22"/>
        </w:rPr>
        <w:fldChar w:fldCharType="end"/>
      </w:r>
      <w:r w:rsidR="00A63673" w:rsidRPr="004B7165">
        <w:rPr>
          <w:color w:val="000000" w:themeColor="text1"/>
          <w:szCs w:val="22"/>
        </w:rPr>
        <w:t xml:space="preserve">). </w:t>
      </w:r>
    </w:p>
    <w:p w14:paraId="1421307C" w14:textId="77777777" w:rsidR="001B6AA0" w:rsidRDefault="00334002" w:rsidP="00526A6D">
      <w:pPr>
        <w:keepNext/>
        <w:widowControl w:val="0"/>
        <w:spacing w:after="0"/>
        <w:jc w:val="center"/>
        <w:rPr>
          <w:color w:val="000000"/>
          <w:szCs w:val="22"/>
        </w:rPr>
      </w:pPr>
      <w:r>
        <w:rPr>
          <w:noProof/>
          <w:color w:val="000000"/>
          <w:szCs w:val="22"/>
          <w:lang w:eastAsia="en-AU"/>
        </w:rPr>
        <w:drawing>
          <wp:inline distT="0" distB="0" distL="0" distR="0" wp14:anchorId="49A567CA" wp14:editId="51F26A73">
            <wp:extent cx="4175348" cy="2232992"/>
            <wp:effectExtent l="0" t="0" r="0" b="0"/>
            <wp:docPr id="293" name="Picture 293" descr="Panel of two bar graphs showing number of days when inshore within canopy sea temperature exceeded 35°C, 38°C, 40°C and 43°C within each season and deviations at intertidal seagrass habitats from 11-year mean weekly temperature records for intertidal seagrass habitats in the Wet Tropics NRM region from August 2001 to Ju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WT_temperature_deviation_2016.png"/>
                    <pic:cNvPicPr/>
                  </pic:nvPicPr>
                  <pic:blipFill>
                    <a:blip r:embed="rId85">
                      <a:extLst>
                        <a:ext uri="{28A0092B-C50C-407E-A947-70E740481C1C}">
                          <a14:useLocalDpi xmlns:a14="http://schemas.microsoft.com/office/drawing/2010/main" val="0"/>
                        </a:ext>
                      </a:extLst>
                    </a:blip>
                    <a:stretch>
                      <a:fillRect/>
                    </a:stretch>
                  </pic:blipFill>
                  <pic:spPr>
                    <a:xfrm>
                      <a:off x="0" y="0"/>
                      <a:ext cx="4177845" cy="2234327"/>
                    </a:xfrm>
                    <a:prstGeom prst="rect">
                      <a:avLst/>
                    </a:prstGeom>
                  </pic:spPr>
                </pic:pic>
              </a:graphicData>
            </a:graphic>
          </wp:inline>
        </w:drawing>
      </w:r>
    </w:p>
    <w:p w14:paraId="584DC7CF" w14:textId="57ED479A" w:rsidR="001B6AA0" w:rsidRPr="00D82A3D" w:rsidRDefault="001B6AA0" w:rsidP="009A1A75">
      <w:pPr>
        <w:spacing w:before="0"/>
        <w:rPr>
          <w:i/>
          <w:vanish/>
          <w:szCs w:val="22"/>
          <w:lang w:val="en-GB"/>
          <w:specVanish/>
        </w:rPr>
      </w:pPr>
      <w:bookmarkStart w:id="306" w:name="_Ref473640109"/>
      <w:bookmarkStart w:id="307" w:name="_Toc516053258"/>
      <w:r w:rsidRPr="00D82A3D">
        <w:rPr>
          <w:szCs w:val="22"/>
          <w:lang w:val="en-GB"/>
        </w:rPr>
        <w:t xml:space="preserve">Figure </w:t>
      </w:r>
      <w:r w:rsidR="0073595B" w:rsidRPr="00D82A3D">
        <w:rPr>
          <w:szCs w:val="22"/>
          <w:lang w:val="en-GB"/>
        </w:rPr>
        <w:fldChar w:fldCharType="begin"/>
      </w:r>
      <w:r w:rsidR="0073595B" w:rsidRPr="00D82A3D">
        <w:rPr>
          <w:szCs w:val="22"/>
          <w:lang w:val="en-GB"/>
        </w:rPr>
        <w:instrText xml:space="preserve"> SEQ Figure \* ARABIC </w:instrText>
      </w:r>
      <w:r w:rsidR="0073595B" w:rsidRPr="00D82A3D">
        <w:rPr>
          <w:szCs w:val="22"/>
          <w:lang w:val="en-GB"/>
        </w:rPr>
        <w:fldChar w:fldCharType="separate"/>
      </w:r>
      <w:r w:rsidR="00F87DF9">
        <w:rPr>
          <w:noProof/>
          <w:szCs w:val="22"/>
          <w:lang w:val="en-GB"/>
        </w:rPr>
        <w:t>48</w:t>
      </w:r>
      <w:r w:rsidR="0073595B" w:rsidRPr="00D82A3D">
        <w:rPr>
          <w:szCs w:val="22"/>
          <w:lang w:val="en-GB"/>
        </w:rPr>
        <w:fldChar w:fldCharType="end"/>
      </w:r>
      <w:bookmarkEnd w:id="306"/>
      <w:r w:rsidRPr="00D82A3D">
        <w:rPr>
          <w:szCs w:val="22"/>
          <w:lang w:val="en-GB"/>
        </w:rPr>
        <w:t xml:space="preserve">. </w:t>
      </w:r>
      <w:r w:rsidRPr="00D82A3D">
        <w:rPr>
          <w:i/>
          <w:szCs w:val="22"/>
          <w:lang w:val="en-GB"/>
        </w:rPr>
        <w:t>Inshore sea temperature for intertidal seagrass habitats in the Wet Tropics NRM region from A</w:t>
      </w:r>
      <w:r w:rsidR="00DD0053" w:rsidRPr="00D82A3D">
        <w:rPr>
          <w:i/>
          <w:szCs w:val="22"/>
          <w:lang w:val="en-GB"/>
        </w:rPr>
        <w:t>ugust</w:t>
      </w:r>
      <w:r w:rsidRPr="00D82A3D">
        <w:rPr>
          <w:i/>
          <w:szCs w:val="22"/>
          <w:lang w:val="en-GB"/>
        </w:rPr>
        <w:t xml:space="preserve"> 200</w:t>
      </w:r>
      <w:r w:rsidR="00DD0053" w:rsidRPr="00D82A3D">
        <w:rPr>
          <w:i/>
          <w:szCs w:val="22"/>
          <w:lang w:val="en-GB"/>
        </w:rPr>
        <w:t>1</w:t>
      </w:r>
      <w:r w:rsidRPr="00D82A3D">
        <w:rPr>
          <w:i/>
          <w:szCs w:val="22"/>
          <w:lang w:val="en-GB"/>
        </w:rPr>
        <w:t xml:space="preserve"> to June 201</w:t>
      </w:r>
      <w:r w:rsidR="00D82A3D" w:rsidRPr="00D82A3D">
        <w:rPr>
          <w:i/>
          <w:szCs w:val="22"/>
          <w:lang w:val="en-GB"/>
        </w:rPr>
        <w:t>7</w:t>
      </w:r>
      <w:bookmarkEnd w:id="307"/>
    </w:p>
    <w:p w14:paraId="3AF723F8" w14:textId="57E142D3" w:rsidR="001B6AA0" w:rsidRDefault="001B6AA0" w:rsidP="001B6AA0">
      <w:pPr>
        <w:spacing w:before="240"/>
        <w:rPr>
          <w:i/>
          <w:color w:val="000000"/>
          <w:szCs w:val="22"/>
          <w:lang w:val="en-GB"/>
        </w:rPr>
      </w:pPr>
      <w:r w:rsidRPr="00D82A3D">
        <w:rPr>
          <w:i/>
          <w:szCs w:val="22"/>
          <w:lang w:val="en-GB"/>
        </w:rPr>
        <w:t>:</w:t>
      </w:r>
      <w:r w:rsidRPr="00D82A3D">
        <w:rPr>
          <w:i/>
          <w:szCs w:val="22"/>
        </w:rPr>
        <w:t xml:space="preserve"> a) n</w:t>
      </w:r>
      <w:r w:rsidRPr="00D82A3D">
        <w:rPr>
          <w:i/>
          <w:szCs w:val="22"/>
          <w:lang w:val="en-GB"/>
        </w:rPr>
        <w:t xml:space="preserve">umber of days when temperature exceeded 35°C, 38°C, 40°C and 43°C within each season (thresholds adapted from </w:t>
      </w:r>
      <w:hyperlink w:anchor="_ENREF_30" w:tooltip="Campbell, 2006 #2896" w:history="1">
        <w:r w:rsidR="00305FE7" w:rsidRPr="00D82A3D">
          <w:rPr>
            <w:i/>
            <w:szCs w:val="22"/>
            <w:lang w:val="en-GB"/>
          </w:rPr>
          <w:fldChar w:fldCharType="begin"/>
        </w:r>
        <w:r w:rsidR="00305FE7">
          <w:rPr>
            <w:i/>
            <w:szCs w:val="22"/>
            <w:lang w:val="en-GB"/>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sidRPr="00D82A3D">
          <w:rPr>
            <w:i/>
            <w:szCs w:val="22"/>
            <w:lang w:val="en-GB"/>
          </w:rPr>
          <w:fldChar w:fldCharType="separate"/>
        </w:r>
        <w:r w:rsidR="00305FE7">
          <w:rPr>
            <w:i/>
            <w:noProof/>
            <w:szCs w:val="22"/>
            <w:lang w:val="en-GB"/>
          </w:rPr>
          <w:t>Campbell et al. 2006</w:t>
        </w:r>
        <w:r w:rsidR="00305FE7" w:rsidRPr="00D82A3D">
          <w:rPr>
            <w:i/>
            <w:szCs w:val="22"/>
            <w:lang w:val="en-GB"/>
          </w:rPr>
          <w:fldChar w:fldCharType="end"/>
        </w:r>
      </w:hyperlink>
      <w:r w:rsidRPr="00D82A3D">
        <w:rPr>
          <w:i/>
          <w:szCs w:val="22"/>
          <w:lang w:val="en-GB"/>
        </w:rPr>
        <w:t xml:space="preserve">); b) deviations from </w:t>
      </w:r>
      <w:r w:rsidR="00334002" w:rsidRPr="00D82A3D">
        <w:rPr>
          <w:i/>
          <w:szCs w:val="22"/>
          <w:lang w:val="en-GB"/>
        </w:rPr>
        <w:t>13</w:t>
      </w:r>
      <w:r w:rsidRPr="00D82A3D">
        <w:rPr>
          <w:i/>
          <w:szCs w:val="22"/>
          <w:lang w:val="en-GB"/>
        </w:rPr>
        <w:t xml:space="preserve">-year </w:t>
      </w:r>
      <w:r w:rsidRPr="00EA10D7">
        <w:rPr>
          <w:i/>
          <w:color w:val="000000"/>
          <w:szCs w:val="22"/>
          <w:lang w:val="en-GB"/>
        </w:rPr>
        <w:t xml:space="preserve">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14:paraId="362BBDC8" w14:textId="77777777" w:rsidR="001B6AA0" w:rsidRDefault="00334002" w:rsidP="00574D52">
      <w:pPr>
        <w:spacing w:before="0" w:after="0"/>
        <w:jc w:val="center"/>
        <w:rPr>
          <w:color w:val="000000"/>
          <w:szCs w:val="22"/>
        </w:rPr>
      </w:pPr>
      <w:r>
        <w:rPr>
          <w:noProof/>
          <w:color w:val="000000"/>
          <w:szCs w:val="22"/>
          <w:lang w:eastAsia="en-AU"/>
        </w:rPr>
        <w:drawing>
          <wp:inline distT="0" distB="0" distL="0" distR="0" wp14:anchorId="2B36A7E1" wp14:editId="2391DB14">
            <wp:extent cx="4176000" cy="2228400"/>
            <wp:effectExtent l="0" t="0" r="0" b="635"/>
            <wp:docPr id="294" name="Picture 294" descr="Panel of two bar graphs showing number of days when inshore within canopy sea temperature exceeded 35°C, 38°C, 40°C and 43°C within each season and deviations at subtidal seagrass habitats from 7-year mean weekly temperature records for intertidal seagrass habitats in the Wet Tropics NRM region from October 2008 to Ju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WT_sub_temperature_deviation_2016.png"/>
                    <pic:cNvPicPr/>
                  </pic:nvPicPr>
                  <pic:blipFill>
                    <a:blip r:embed="rId86">
                      <a:extLst>
                        <a:ext uri="{28A0092B-C50C-407E-A947-70E740481C1C}">
                          <a14:useLocalDpi xmlns:a14="http://schemas.microsoft.com/office/drawing/2010/main" val="0"/>
                        </a:ext>
                      </a:extLst>
                    </a:blip>
                    <a:stretch>
                      <a:fillRect/>
                    </a:stretch>
                  </pic:blipFill>
                  <pic:spPr>
                    <a:xfrm>
                      <a:off x="0" y="0"/>
                      <a:ext cx="4176000" cy="2228400"/>
                    </a:xfrm>
                    <a:prstGeom prst="rect">
                      <a:avLst/>
                    </a:prstGeom>
                  </pic:spPr>
                </pic:pic>
              </a:graphicData>
            </a:graphic>
          </wp:inline>
        </w:drawing>
      </w:r>
    </w:p>
    <w:p w14:paraId="471C6F95" w14:textId="5D962625" w:rsidR="001B6AA0" w:rsidRPr="00D82A3D" w:rsidRDefault="001B6AA0" w:rsidP="00574D52">
      <w:pPr>
        <w:rPr>
          <w:i/>
          <w:vanish/>
          <w:szCs w:val="22"/>
          <w:lang w:val="en-GB"/>
          <w:specVanish/>
        </w:rPr>
      </w:pPr>
      <w:bookmarkStart w:id="308" w:name="_Ref473640074"/>
      <w:bookmarkStart w:id="309" w:name="_Toc516053259"/>
      <w:r w:rsidRPr="00D82A3D">
        <w:rPr>
          <w:szCs w:val="22"/>
          <w:lang w:val="en-GB"/>
        </w:rPr>
        <w:t xml:space="preserve">Figure </w:t>
      </w:r>
      <w:r w:rsidR="0073595B" w:rsidRPr="00D82A3D">
        <w:rPr>
          <w:szCs w:val="22"/>
          <w:lang w:val="en-GB"/>
        </w:rPr>
        <w:fldChar w:fldCharType="begin"/>
      </w:r>
      <w:r w:rsidR="0073595B" w:rsidRPr="00D82A3D">
        <w:rPr>
          <w:szCs w:val="22"/>
          <w:lang w:val="en-GB"/>
        </w:rPr>
        <w:instrText xml:space="preserve"> SEQ Figure \* ARABIC </w:instrText>
      </w:r>
      <w:r w:rsidR="0073595B" w:rsidRPr="00D82A3D">
        <w:rPr>
          <w:szCs w:val="22"/>
          <w:lang w:val="en-GB"/>
        </w:rPr>
        <w:fldChar w:fldCharType="separate"/>
      </w:r>
      <w:r w:rsidR="00F87DF9">
        <w:rPr>
          <w:noProof/>
          <w:szCs w:val="22"/>
          <w:lang w:val="en-GB"/>
        </w:rPr>
        <w:t>49</w:t>
      </w:r>
      <w:r w:rsidR="0073595B" w:rsidRPr="00D82A3D">
        <w:rPr>
          <w:szCs w:val="22"/>
          <w:lang w:val="en-GB"/>
        </w:rPr>
        <w:fldChar w:fldCharType="end"/>
      </w:r>
      <w:bookmarkEnd w:id="308"/>
      <w:r w:rsidRPr="00D82A3D">
        <w:rPr>
          <w:szCs w:val="22"/>
          <w:lang w:val="en-GB"/>
        </w:rPr>
        <w:t xml:space="preserve">. </w:t>
      </w:r>
      <w:r w:rsidRPr="00D82A3D">
        <w:rPr>
          <w:i/>
          <w:szCs w:val="22"/>
          <w:lang w:val="en-GB"/>
        </w:rPr>
        <w:t xml:space="preserve">Inshore sea temperature for subtidal seagrass habitats in the Wet Tropics NRM region from </w:t>
      </w:r>
      <w:r w:rsidR="00DD0053" w:rsidRPr="00D82A3D">
        <w:rPr>
          <w:i/>
          <w:szCs w:val="22"/>
          <w:lang w:val="en-GB"/>
        </w:rPr>
        <w:t>October</w:t>
      </w:r>
      <w:r w:rsidRPr="00D82A3D">
        <w:rPr>
          <w:i/>
          <w:szCs w:val="22"/>
          <w:lang w:val="en-GB"/>
        </w:rPr>
        <w:t xml:space="preserve"> 200</w:t>
      </w:r>
      <w:r w:rsidR="00DD0053" w:rsidRPr="00D82A3D">
        <w:rPr>
          <w:i/>
          <w:szCs w:val="22"/>
          <w:lang w:val="en-GB"/>
        </w:rPr>
        <w:t>8</w:t>
      </w:r>
      <w:r w:rsidRPr="00D82A3D">
        <w:rPr>
          <w:i/>
          <w:szCs w:val="22"/>
          <w:lang w:val="en-GB"/>
        </w:rPr>
        <w:t xml:space="preserve"> to June 201</w:t>
      </w:r>
      <w:r w:rsidR="00D82A3D" w:rsidRPr="00D82A3D">
        <w:rPr>
          <w:i/>
          <w:szCs w:val="22"/>
          <w:lang w:val="en-GB"/>
        </w:rPr>
        <w:t>7</w:t>
      </w:r>
      <w:bookmarkEnd w:id="309"/>
    </w:p>
    <w:p w14:paraId="28F17D60" w14:textId="2704248C" w:rsidR="001B6AA0" w:rsidRDefault="001B6AA0" w:rsidP="00574D52">
      <w:pPr>
        <w:rPr>
          <w:i/>
          <w:color w:val="000000"/>
          <w:szCs w:val="22"/>
          <w:lang w:val="en-GB"/>
        </w:rPr>
      </w:pPr>
      <w:r w:rsidRPr="00D82A3D">
        <w:rPr>
          <w:i/>
          <w:szCs w:val="22"/>
          <w:lang w:val="en-GB"/>
        </w:rPr>
        <w:t>:</w:t>
      </w:r>
      <w:r w:rsidRPr="00D82A3D">
        <w:rPr>
          <w:i/>
          <w:szCs w:val="22"/>
        </w:rPr>
        <w:t xml:space="preserve"> a) n</w:t>
      </w:r>
      <w:r w:rsidRPr="00D82A3D">
        <w:rPr>
          <w:i/>
          <w:szCs w:val="22"/>
          <w:lang w:val="en-GB"/>
        </w:rPr>
        <w:t xml:space="preserve">umber of days when temperature exceeded 35°C, 38°C, 40°C and 43°C within each season (thresholds adapted from </w:t>
      </w:r>
      <w:hyperlink w:anchor="_ENREF_30" w:tooltip="Campbell, 2006 #2896" w:history="1">
        <w:r w:rsidR="00305FE7" w:rsidRPr="00D82A3D">
          <w:rPr>
            <w:i/>
            <w:szCs w:val="22"/>
            <w:lang w:val="en-GB"/>
          </w:rPr>
          <w:fldChar w:fldCharType="begin"/>
        </w:r>
        <w:r w:rsidR="00305FE7">
          <w:rPr>
            <w:i/>
            <w:szCs w:val="22"/>
            <w:lang w:val="en-GB"/>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sidRPr="00D82A3D">
          <w:rPr>
            <w:i/>
            <w:szCs w:val="22"/>
            <w:lang w:val="en-GB"/>
          </w:rPr>
          <w:fldChar w:fldCharType="separate"/>
        </w:r>
        <w:r w:rsidR="00305FE7">
          <w:rPr>
            <w:i/>
            <w:noProof/>
            <w:szCs w:val="22"/>
            <w:lang w:val="en-GB"/>
          </w:rPr>
          <w:t>Campbell et al. 2006</w:t>
        </w:r>
        <w:r w:rsidR="00305FE7" w:rsidRPr="00D82A3D">
          <w:rPr>
            <w:i/>
            <w:szCs w:val="22"/>
            <w:lang w:val="en-GB"/>
          </w:rPr>
          <w:fldChar w:fldCharType="end"/>
        </w:r>
      </w:hyperlink>
      <w:r w:rsidRPr="00D82A3D">
        <w:rPr>
          <w:i/>
          <w:szCs w:val="22"/>
          <w:lang w:val="en-GB"/>
        </w:rPr>
        <w:t xml:space="preserve">); b) deviations from 7-year mean </w:t>
      </w:r>
      <w:r w:rsidRPr="00EA10D7">
        <w:rPr>
          <w:i/>
          <w:color w:val="000000"/>
          <w:szCs w:val="22"/>
          <w:lang w:val="en-GB"/>
        </w:rPr>
        <w:t>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w:t>
      </w:r>
      <w:r w:rsidR="006E5753">
        <w:rPr>
          <w:i/>
          <w:color w:val="000000"/>
          <w:szCs w:val="22"/>
          <w:lang w:val="en-GB"/>
        </w:rPr>
        <w:t xml:space="preserve"> or no data available</w:t>
      </w:r>
      <w:r w:rsidRPr="00EA10D7">
        <w:rPr>
          <w:i/>
          <w:color w:val="000000"/>
          <w:szCs w:val="22"/>
          <w:lang w:val="en-GB"/>
        </w:rPr>
        <w:t xml:space="preserve">. </w:t>
      </w:r>
    </w:p>
    <w:p w14:paraId="536381F9" w14:textId="77777777" w:rsidR="00025B2F" w:rsidRDefault="00FF0A86" w:rsidP="00926892">
      <w:pPr>
        <w:pStyle w:val="Heading3"/>
        <w:numPr>
          <w:ilvl w:val="2"/>
          <w:numId w:val="9"/>
        </w:numPr>
        <w:rPr>
          <w:rFonts w:ascii="Arial" w:hAnsi="Arial" w:cs="Arial"/>
          <w:color w:val="000000"/>
        </w:rPr>
      </w:pPr>
      <w:bookmarkStart w:id="310" w:name="_Toc516053146"/>
      <w:r>
        <w:rPr>
          <w:rFonts w:ascii="Arial" w:hAnsi="Arial" w:cs="Arial"/>
          <w:color w:val="000000"/>
        </w:rPr>
        <w:t>Indicators of seagrass condition</w:t>
      </w:r>
      <w:bookmarkEnd w:id="296"/>
      <w:bookmarkEnd w:id="310"/>
    </w:p>
    <w:p w14:paraId="5A924BE9" w14:textId="695B7938" w:rsidR="004E1A5A" w:rsidRDefault="001838E0" w:rsidP="00223B18">
      <w:r>
        <w:t>Three</w:t>
      </w:r>
      <w:r w:rsidR="004E1A5A">
        <w:t xml:space="preserve"> seagrass habitat types were assessed across the Wet Tropics region in </w:t>
      </w:r>
      <w:r w:rsidR="008574EC">
        <w:t>2016–17</w:t>
      </w:r>
      <w:r w:rsidR="004E1A5A">
        <w:t>, with data from 1</w:t>
      </w:r>
      <w:r>
        <w:t>2</w:t>
      </w:r>
      <w:r w:rsidR="004E1A5A">
        <w:t xml:space="preserve"> sites (</w:t>
      </w:r>
      <w:r w:rsidR="004E1A5A">
        <w:fldChar w:fldCharType="begin"/>
      </w:r>
      <w:r w:rsidR="004E1A5A">
        <w:instrText xml:space="preserve"> REF _Ref473897322 \h </w:instrText>
      </w:r>
      <w:r w:rsidR="00223B18">
        <w:instrText xml:space="preserve"> \* MERGEFORMAT </w:instrText>
      </w:r>
      <w:r w:rsidR="004E1A5A">
        <w:fldChar w:fldCharType="separate"/>
      </w:r>
      <w:r w:rsidR="00F87DF9">
        <w:t xml:space="preserve">Table </w:t>
      </w:r>
      <w:r w:rsidR="00F87DF9">
        <w:rPr>
          <w:noProof/>
        </w:rPr>
        <w:t>18</w:t>
      </w:r>
      <w:r w:rsidR="004E1A5A">
        <w:fldChar w:fldCharType="end"/>
      </w:r>
      <w:r w:rsidR="004E1A5A">
        <w:t>).</w:t>
      </w:r>
    </w:p>
    <w:p w14:paraId="0527D4B5" w14:textId="5B53A755" w:rsidR="004E1A5A" w:rsidRPr="00A062EF" w:rsidRDefault="004E1A5A" w:rsidP="004E1A5A">
      <w:pPr>
        <w:rPr>
          <w:i/>
          <w:vanish/>
          <w:specVanish/>
        </w:rPr>
      </w:pPr>
      <w:bookmarkStart w:id="311" w:name="_Ref473897322"/>
      <w:bookmarkStart w:id="312" w:name="_Toc516053442"/>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18</w:t>
      </w:r>
      <w:r w:rsidR="00C506C7">
        <w:rPr>
          <w:noProof/>
        </w:rPr>
        <w:fldChar w:fldCharType="end"/>
      </w:r>
      <w:bookmarkEnd w:id="311"/>
      <w:r>
        <w:t xml:space="preserve">. </w:t>
      </w:r>
      <w:r w:rsidRPr="006178EE">
        <w:rPr>
          <w:i/>
        </w:rPr>
        <w:t xml:space="preserve">List of data sources </w:t>
      </w:r>
      <w:r>
        <w:rPr>
          <w:i/>
        </w:rPr>
        <w:t>of</w:t>
      </w:r>
      <w:r w:rsidRPr="006178EE">
        <w:rPr>
          <w:i/>
        </w:rPr>
        <w:t xml:space="preserve"> </w:t>
      </w:r>
      <w:r>
        <w:rPr>
          <w:i/>
        </w:rPr>
        <w:t xml:space="preserve">seagrass and environmental condition indicators for </w:t>
      </w:r>
      <w:r w:rsidRPr="006178EE">
        <w:rPr>
          <w:i/>
        </w:rPr>
        <w:t xml:space="preserve">each seagrass habitat type in the </w:t>
      </w:r>
      <w:r>
        <w:rPr>
          <w:i/>
        </w:rPr>
        <w:t>Wet Tropics</w:t>
      </w:r>
      <w:r w:rsidRPr="006178EE">
        <w:rPr>
          <w:i/>
        </w:rPr>
        <w:t xml:space="preserve"> NRM region</w:t>
      </w:r>
      <w:r w:rsidRPr="00A062EF">
        <w:rPr>
          <w:i/>
        </w:rPr>
        <w:t>.</w:t>
      </w:r>
      <w:bookmarkEnd w:id="312"/>
    </w:p>
    <w:p w14:paraId="1B03949E" w14:textId="6DE90B62" w:rsidR="004E1A5A" w:rsidRDefault="004E1A5A" w:rsidP="004E1A5A">
      <w:pPr>
        <w:pStyle w:val="Caption"/>
      </w:pPr>
      <w:r w:rsidRPr="00A062EF">
        <w:rPr>
          <w:i/>
        </w:rPr>
        <w:t xml:space="preserve"> </w:t>
      </w:r>
      <w:r w:rsidR="009A1A75" w:rsidRPr="00BE000D">
        <w:rPr>
          <w:i/>
          <w:color w:val="000000"/>
          <w:szCs w:val="22"/>
          <w:vertAlign w:val="superscript"/>
        </w:rPr>
        <w:sym w:font="Wingdings 2" w:char="F085"/>
      </w:r>
      <w:r w:rsidR="009A1A75">
        <w:rPr>
          <w:i/>
          <w:color w:val="000000"/>
          <w:szCs w:val="22"/>
        </w:rPr>
        <w:t xml:space="preserve"> drop camera sampling (QPWS), *Seagrass-Watch.</w:t>
      </w:r>
      <w:r w:rsidRPr="00A062EF">
        <w:rPr>
          <w:i/>
        </w:rPr>
        <w:t xml:space="preserve"> </w:t>
      </w:r>
      <w:r w:rsidRPr="006178EE">
        <w:rPr>
          <w:i/>
        </w:rPr>
        <w:t xml:space="preserve">For site details see </w:t>
      </w:r>
      <w:r w:rsidRPr="006178EE">
        <w:rPr>
          <w:i/>
        </w:rPr>
        <w:fldChar w:fldCharType="begin"/>
      </w:r>
      <w:r w:rsidRPr="006178EE">
        <w:rPr>
          <w:i/>
        </w:rPr>
        <w:instrText xml:space="preserve"> REF _Ref236539751 \h </w:instrText>
      </w:r>
      <w:r>
        <w:rPr>
          <w:i/>
        </w:rPr>
        <w:instrText xml:space="preserve"> \* MERGEFORMAT </w:instrText>
      </w:r>
      <w:r w:rsidRPr="006178EE">
        <w:rPr>
          <w:i/>
        </w:rPr>
      </w:r>
      <w:r w:rsidRPr="006178EE">
        <w:rPr>
          <w:i/>
        </w:rPr>
        <w:fldChar w:fldCharType="separate"/>
      </w:r>
      <w:r w:rsidR="00F87DF9" w:rsidRPr="00F87DF9">
        <w:rPr>
          <w:i/>
          <w:color w:val="000000"/>
          <w:szCs w:val="22"/>
        </w:rPr>
        <w:t xml:space="preserve">Table </w:t>
      </w:r>
      <w:r w:rsidR="00F87DF9" w:rsidRPr="00F87DF9">
        <w:rPr>
          <w:i/>
          <w:noProof/>
          <w:color w:val="000000"/>
          <w:szCs w:val="22"/>
        </w:rPr>
        <w:t>3</w:t>
      </w:r>
      <w:r w:rsidRPr="006178EE">
        <w:rPr>
          <w:i/>
        </w:rPr>
        <w:fldChar w:fldCharType="end"/>
      </w:r>
      <w:r w:rsidRPr="006178EE">
        <w:rPr>
          <w:i/>
        </w:rPr>
        <w:t xml:space="preserve"> and </w:t>
      </w:r>
      <w:r w:rsidRPr="006178EE">
        <w:rPr>
          <w:i/>
        </w:rPr>
        <w:fldChar w:fldCharType="begin"/>
      </w:r>
      <w:r w:rsidRPr="006178EE">
        <w:rPr>
          <w:i/>
        </w:rPr>
        <w:instrText xml:space="preserve"> REF _Ref461186562 \h </w:instrText>
      </w:r>
      <w:r>
        <w:rPr>
          <w:i/>
        </w:rPr>
        <w:instrText xml:space="preserve"> \* MERGEFORMAT </w:instrText>
      </w:r>
      <w:r w:rsidRPr="006178EE">
        <w:rPr>
          <w:i/>
        </w:rPr>
      </w:r>
      <w:r w:rsidRPr="006178EE">
        <w:rPr>
          <w:i/>
        </w:rPr>
        <w:fldChar w:fldCharType="separate"/>
      </w:r>
      <w:r w:rsidR="00F87DF9" w:rsidRPr="00F87DF9">
        <w:rPr>
          <w:i/>
          <w:color w:val="000000"/>
          <w:szCs w:val="22"/>
        </w:rPr>
        <w:t xml:space="preserve">Table </w:t>
      </w:r>
      <w:r w:rsidR="00F87DF9" w:rsidRPr="00F87DF9">
        <w:rPr>
          <w:i/>
          <w:noProof/>
          <w:color w:val="000000"/>
          <w:szCs w:val="22"/>
        </w:rPr>
        <w:t>4</w:t>
      </w:r>
      <w:r w:rsidRPr="006178EE">
        <w:rPr>
          <w:i/>
        </w:rPr>
        <w:fldChar w:fldCharType="end"/>
      </w:r>
      <w:r w:rsidRPr="006178EE">
        <w:rPr>
          <w:i/>
        </w:rPr>
        <w:t>.</w:t>
      </w:r>
    </w:p>
    <w:tbl>
      <w:tblPr>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9"/>
        <w:gridCol w:w="676"/>
        <w:gridCol w:w="1542"/>
        <w:gridCol w:w="467"/>
        <w:gridCol w:w="467"/>
        <w:gridCol w:w="467"/>
        <w:gridCol w:w="467"/>
        <w:gridCol w:w="467"/>
        <w:gridCol w:w="467"/>
        <w:gridCol w:w="467"/>
        <w:gridCol w:w="467"/>
        <w:gridCol w:w="467"/>
      </w:tblGrid>
      <w:tr w:rsidR="004E1A5A" w:rsidRPr="00844AC3" w14:paraId="7CABE451" w14:textId="77777777" w:rsidTr="009A1A75">
        <w:trPr>
          <w:cantSplit/>
          <w:trHeight w:val="1803"/>
          <w:jc w:val="center"/>
        </w:trPr>
        <w:tc>
          <w:tcPr>
            <w:tcW w:w="1681" w:type="dxa"/>
            <w:shd w:val="clear" w:color="auto" w:fill="BBE0E3"/>
            <w:vAlign w:val="center"/>
          </w:tcPr>
          <w:p w14:paraId="73692851" w14:textId="77777777" w:rsidR="004E1A5A" w:rsidRPr="00844AC3" w:rsidRDefault="004E1A5A" w:rsidP="00907D11">
            <w:pPr>
              <w:spacing w:before="0" w:after="0"/>
              <w:jc w:val="center"/>
              <w:rPr>
                <w:rFonts w:cs="Arial"/>
                <w:b/>
                <w:bCs/>
                <w:color w:val="000000"/>
                <w:sz w:val="20"/>
                <w:szCs w:val="20"/>
              </w:rPr>
            </w:pPr>
            <w:r w:rsidRPr="00844AC3">
              <w:rPr>
                <w:rFonts w:cs="Arial"/>
                <w:b/>
                <w:bCs/>
                <w:color w:val="000000"/>
                <w:sz w:val="20"/>
                <w:szCs w:val="20"/>
              </w:rPr>
              <w:t>Habitat</w:t>
            </w:r>
          </w:p>
        </w:tc>
        <w:tc>
          <w:tcPr>
            <w:tcW w:w="2216" w:type="dxa"/>
            <w:gridSpan w:val="2"/>
            <w:shd w:val="clear" w:color="auto" w:fill="BBE0E3"/>
            <w:noWrap/>
            <w:vAlign w:val="center"/>
          </w:tcPr>
          <w:p w14:paraId="243CB11A" w14:textId="77777777" w:rsidR="004E1A5A" w:rsidRPr="00844AC3" w:rsidRDefault="004E1A5A" w:rsidP="00907D11">
            <w:pPr>
              <w:spacing w:before="0" w:after="0"/>
              <w:jc w:val="center"/>
              <w:rPr>
                <w:rFonts w:cs="Arial"/>
                <w:b/>
                <w:bCs/>
                <w:color w:val="000000"/>
                <w:sz w:val="20"/>
                <w:szCs w:val="20"/>
              </w:rPr>
            </w:pPr>
            <w:r w:rsidRPr="00844AC3">
              <w:rPr>
                <w:rFonts w:cs="Arial"/>
                <w:b/>
                <w:bCs/>
                <w:color w:val="000000"/>
                <w:sz w:val="20"/>
                <w:szCs w:val="20"/>
              </w:rPr>
              <w:t>Site</w:t>
            </w:r>
          </w:p>
        </w:tc>
        <w:tc>
          <w:tcPr>
            <w:tcW w:w="467" w:type="dxa"/>
            <w:shd w:val="clear" w:color="auto" w:fill="BBE0E3"/>
            <w:textDirection w:val="btLr"/>
            <w:vAlign w:val="center"/>
          </w:tcPr>
          <w:p w14:paraId="4762E7B8"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abundance</w:t>
            </w:r>
          </w:p>
        </w:tc>
        <w:tc>
          <w:tcPr>
            <w:tcW w:w="467" w:type="dxa"/>
            <w:shd w:val="clear" w:color="auto" w:fill="BBE0E3"/>
            <w:textDirection w:val="btLr"/>
            <w:vAlign w:val="center"/>
          </w:tcPr>
          <w:p w14:paraId="38605D4E"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 xml:space="preserve">composition </w:t>
            </w:r>
          </w:p>
        </w:tc>
        <w:tc>
          <w:tcPr>
            <w:tcW w:w="467" w:type="dxa"/>
            <w:shd w:val="clear" w:color="auto" w:fill="BBE0E3"/>
            <w:textDirection w:val="btLr"/>
            <w:vAlign w:val="center"/>
          </w:tcPr>
          <w:p w14:paraId="63E83C8B"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distribution</w:t>
            </w:r>
          </w:p>
        </w:tc>
        <w:tc>
          <w:tcPr>
            <w:tcW w:w="467" w:type="dxa"/>
            <w:shd w:val="clear" w:color="auto" w:fill="BBE0E3"/>
            <w:textDirection w:val="btLr"/>
            <w:vAlign w:val="center"/>
          </w:tcPr>
          <w:p w14:paraId="5F679E13"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Reproductive effort</w:t>
            </w:r>
          </w:p>
        </w:tc>
        <w:tc>
          <w:tcPr>
            <w:tcW w:w="467" w:type="dxa"/>
            <w:shd w:val="clear" w:color="auto" w:fill="BBE0E3"/>
            <w:textDirection w:val="btLr"/>
            <w:vAlign w:val="center"/>
          </w:tcPr>
          <w:p w14:paraId="2528293A"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seed banks</w:t>
            </w:r>
          </w:p>
        </w:tc>
        <w:tc>
          <w:tcPr>
            <w:tcW w:w="467" w:type="dxa"/>
            <w:shd w:val="clear" w:color="auto" w:fill="BBE0E3"/>
            <w:textDirection w:val="btLr"/>
            <w:vAlign w:val="center"/>
          </w:tcPr>
          <w:p w14:paraId="10C2663F"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Leaf tissue nutrients</w:t>
            </w:r>
          </w:p>
        </w:tc>
        <w:tc>
          <w:tcPr>
            <w:tcW w:w="467" w:type="dxa"/>
            <w:shd w:val="clear" w:color="auto" w:fill="BBE0E3"/>
            <w:textDirection w:val="btLr"/>
            <w:vAlign w:val="center"/>
          </w:tcPr>
          <w:p w14:paraId="0CD94001"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Meadow sediments</w:t>
            </w:r>
          </w:p>
        </w:tc>
        <w:tc>
          <w:tcPr>
            <w:tcW w:w="467" w:type="dxa"/>
            <w:shd w:val="clear" w:color="auto" w:fill="BBE0E3"/>
            <w:textDirection w:val="btLr"/>
            <w:vAlign w:val="center"/>
          </w:tcPr>
          <w:p w14:paraId="057913EC"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Epiphytes</w:t>
            </w:r>
          </w:p>
        </w:tc>
        <w:tc>
          <w:tcPr>
            <w:tcW w:w="467" w:type="dxa"/>
            <w:shd w:val="clear" w:color="auto" w:fill="BBE0E3"/>
            <w:textDirection w:val="btLr"/>
          </w:tcPr>
          <w:p w14:paraId="10FE08FF" w14:textId="77777777" w:rsidR="004E1A5A" w:rsidRPr="00844AC3" w:rsidRDefault="004E1A5A" w:rsidP="00907D11">
            <w:pPr>
              <w:spacing w:before="0" w:after="0"/>
              <w:rPr>
                <w:rFonts w:cs="Arial"/>
                <w:b/>
                <w:bCs/>
                <w:color w:val="000000"/>
                <w:sz w:val="20"/>
                <w:szCs w:val="20"/>
              </w:rPr>
            </w:pPr>
            <w:r w:rsidRPr="00844AC3">
              <w:rPr>
                <w:rFonts w:cs="Arial"/>
                <w:b/>
                <w:bCs/>
                <w:color w:val="000000"/>
                <w:sz w:val="20"/>
                <w:szCs w:val="20"/>
              </w:rPr>
              <w:t>Macroalgae</w:t>
            </w:r>
          </w:p>
        </w:tc>
      </w:tr>
      <w:tr w:rsidR="00844AC3" w:rsidRPr="00015190" w14:paraId="59328EC0" w14:textId="77777777" w:rsidTr="00844AC3">
        <w:trPr>
          <w:trHeight w:val="170"/>
          <w:jc w:val="center"/>
        </w:trPr>
        <w:tc>
          <w:tcPr>
            <w:tcW w:w="1681" w:type="dxa"/>
            <w:vMerge w:val="restart"/>
            <w:shd w:val="clear" w:color="auto" w:fill="E7F3F4"/>
            <w:vAlign w:val="center"/>
          </w:tcPr>
          <w:p w14:paraId="6962F4C7" w14:textId="77777777" w:rsidR="00844AC3" w:rsidRPr="00844AC3" w:rsidRDefault="00844AC3" w:rsidP="00907D11">
            <w:pPr>
              <w:spacing w:before="0" w:after="0"/>
              <w:jc w:val="center"/>
              <w:rPr>
                <w:color w:val="000000"/>
                <w:sz w:val="20"/>
                <w:szCs w:val="20"/>
              </w:rPr>
            </w:pPr>
            <w:r w:rsidRPr="00844AC3">
              <w:rPr>
                <w:color w:val="000000"/>
                <w:sz w:val="20"/>
                <w:szCs w:val="20"/>
              </w:rPr>
              <w:t>coastal intertidal</w:t>
            </w:r>
          </w:p>
        </w:tc>
        <w:tc>
          <w:tcPr>
            <w:tcW w:w="674" w:type="dxa"/>
            <w:shd w:val="clear" w:color="auto" w:fill="E7F3F4"/>
            <w:noWrap/>
            <w:vAlign w:val="center"/>
          </w:tcPr>
          <w:p w14:paraId="14557227" w14:textId="77777777" w:rsidR="00844AC3" w:rsidRPr="00844AC3" w:rsidRDefault="00844AC3" w:rsidP="00907D11">
            <w:pPr>
              <w:spacing w:before="0" w:after="0"/>
              <w:jc w:val="center"/>
              <w:rPr>
                <w:color w:val="000000"/>
                <w:sz w:val="20"/>
                <w:szCs w:val="20"/>
              </w:rPr>
            </w:pPr>
            <w:r w:rsidRPr="00844AC3">
              <w:rPr>
                <w:color w:val="000000"/>
                <w:sz w:val="20"/>
                <w:szCs w:val="20"/>
              </w:rPr>
              <w:t>LB1</w:t>
            </w:r>
          </w:p>
        </w:tc>
        <w:tc>
          <w:tcPr>
            <w:tcW w:w="1542" w:type="dxa"/>
            <w:shd w:val="clear" w:color="auto" w:fill="E7F3F4"/>
            <w:noWrap/>
            <w:vAlign w:val="center"/>
          </w:tcPr>
          <w:p w14:paraId="2D08FF50" w14:textId="77777777" w:rsidR="00844AC3" w:rsidRPr="00844AC3" w:rsidRDefault="00844AC3" w:rsidP="00907D11">
            <w:pPr>
              <w:spacing w:before="0" w:after="0"/>
              <w:jc w:val="center"/>
              <w:rPr>
                <w:color w:val="000000"/>
                <w:sz w:val="20"/>
                <w:szCs w:val="20"/>
              </w:rPr>
            </w:pPr>
            <w:r w:rsidRPr="00844AC3">
              <w:rPr>
                <w:color w:val="000000"/>
                <w:sz w:val="20"/>
                <w:szCs w:val="20"/>
              </w:rPr>
              <w:t>Lugger Bay</w:t>
            </w:r>
          </w:p>
        </w:tc>
        <w:tc>
          <w:tcPr>
            <w:tcW w:w="467" w:type="dxa"/>
            <w:shd w:val="clear" w:color="auto" w:fill="E7F3F4"/>
            <w:vAlign w:val="center"/>
          </w:tcPr>
          <w:p w14:paraId="4D375BEE"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FCE9852"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3B659FC"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5A6C401"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79BA41B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976E94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1E0622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82304E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280FB3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0999E1B3" w14:textId="77777777" w:rsidTr="00844AC3">
        <w:trPr>
          <w:trHeight w:val="170"/>
          <w:jc w:val="center"/>
        </w:trPr>
        <w:tc>
          <w:tcPr>
            <w:tcW w:w="1681" w:type="dxa"/>
            <w:vMerge/>
            <w:shd w:val="clear" w:color="auto" w:fill="E7F3F4"/>
            <w:vAlign w:val="center"/>
          </w:tcPr>
          <w:p w14:paraId="039B3BE3"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755528A9" w14:textId="77777777" w:rsidR="00844AC3" w:rsidRPr="00844AC3" w:rsidRDefault="00844AC3" w:rsidP="00907D11">
            <w:pPr>
              <w:spacing w:before="0" w:after="0"/>
              <w:jc w:val="center"/>
              <w:rPr>
                <w:iCs/>
                <w:color w:val="000000"/>
                <w:sz w:val="20"/>
                <w:szCs w:val="20"/>
              </w:rPr>
            </w:pPr>
            <w:r w:rsidRPr="00844AC3">
              <w:rPr>
                <w:iCs/>
                <w:color w:val="000000"/>
                <w:sz w:val="20"/>
                <w:szCs w:val="20"/>
              </w:rPr>
              <w:t>LB2</w:t>
            </w:r>
          </w:p>
        </w:tc>
        <w:tc>
          <w:tcPr>
            <w:tcW w:w="1542" w:type="dxa"/>
            <w:shd w:val="clear" w:color="auto" w:fill="E7F3F4"/>
            <w:noWrap/>
            <w:vAlign w:val="center"/>
          </w:tcPr>
          <w:p w14:paraId="5F05DA3F" w14:textId="77777777" w:rsidR="00844AC3" w:rsidRPr="00844AC3" w:rsidRDefault="00844AC3" w:rsidP="00907D11">
            <w:pPr>
              <w:spacing w:before="0" w:after="0"/>
              <w:jc w:val="center"/>
              <w:rPr>
                <w:color w:val="000000"/>
                <w:sz w:val="20"/>
                <w:szCs w:val="20"/>
              </w:rPr>
            </w:pPr>
            <w:r w:rsidRPr="00844AC3">
              <w:rPr>
                <w:color w:val="000000"/>
                <w:sz w:val="20"/>
                <w:szCs w:val="20"/>
              </w:rPr>
              <w:t>Lugger Bay</w:t>
            </w:r>
          </w:p>
        </w:tc>
        <w:tc>
          <w:tcPr>
            <w:tcW w:w="467" w:type="dxa"/>
            <w:shd w:val="clear" w:color="auto" w:fill="E7F3F4"/>
            <w:vAlign w:val="center"/>
          </w:tcPr>
          <w:p w14:paraId="7E9290A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7C45AD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2DDD3D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314512C"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7AC0B4"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3F8A5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5A9FF7E"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BB7C3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498EBC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67FBCE1C" w14:textId="77777777" w:rsidTr="00844AC3">
        <w:trPr>
          <w:trHeight w:val="170"/>
          <w:jc w:val="center"/>
        </w:trPr>
        <w:tc>
          <w:tcPr>
            <w:tcW w:w="1681" w:type="dxa"/>
            <w:vMerge/>
            <w:shd w:val="clear" w:color="auto" w:fill="E7F3F4"/>
            <w:vAlign w:val="center"/>
          </w:tcPr>
          <w:p w14:paraId="6F74508A"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5C42A708" w14:textId="77777777" w:rsidR="00844AC3" w:rsidRPr="00844AC3" w:rsidRDefault="00844AC3" w:rsidP="00907D11">
            <w:pPr>
              <w:spacing w:before="0" w:after="0"/>
              <w:jc w:val="center"/>
              <w:rPr>
                <w:color w:val="000000"/>
                <w:sz w:val="20"/>
                <w:szCs w:val="20"/>
              </w:rPr>
            </w:pPr>
            <w:r w:rsidRPr="00844AC3">
              <w:rPr>
                <w:color w:val="000000"/>
                <w:sz w:val="20"/>
                <w:szCs w:val="20"/>
              </w:rPr>
              <w:t>YP1</w:t>
            </w:r>
          </w:p>
        </w:tc>
        <w:tc>
          <w:tcPr>
            <w:tcW w:w="1542" w:type="dxa"/>
            <w:shd w:val="clear" w:color="auto" w:fill="E7F3F4"/>
            <w:noWrap/>
            <w:vAlign w:val="center"/>
          </w:tcPr>
          <w:p w14:paraId="040EC323" w14:textId="77777777" w:rsidR="00844AC3" w:rsidRPr="00844AC3" w:rsidRDefault="00844AC3" w:rsidP="00907D11">
            <w:pPr>
              <w:spacing w:before="0" w:after="0"/>
              <w:jc w:val="center"/>
              <w:rPr>
                <w:color w:val="000000"/>
                <w:sz w:val="20"/>
                <w:szCs w:val="20"/>
              </w:rPr>
            </w:pPr>
            <w:r w:rsidRPr="00844AC3">
              <w:rPr>
                <w:color w:val="000000"/>
                <w:sz w:val="20"/>
                <w:szCs w:val="20"/>
              </w:rPr>
              <w:t>Yule Point</w:t>
            </w:r>
          </w:p>
        </w:tc>
        <w:tc>
          <w:tcPr>
            <w:tcW w:w="467" w:type="dxa"/>
            <w:shd w:val="clear" w:color="auto" w:fill="E7F3F4"/>
            <w:vAlign w:val="center"/>
          </w:tcPr>
          <w:p w14:paraId="4560D86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F5AB439"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C0A92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B260AB9"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D760E9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1B416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1A7DD63"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FE4ECD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C5DDD33"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22D42F90" w14:textId="77777777" w:rsidTr="00844AC3">
        <w:trPr>
          <w:trHeight w:val="170"/>
          <w:jc w:val="center"/>
        </w:trPr>
        <w:tc>
          <w:tcPr>
            <w:tcW w:w="1681" w:type="dxa"/>
            <w:vMerge/>
            <w:shd w:val="clear" w:color="auto" w:fill="E7F3F4"/>
            <w:vAlign w:val="center"/>
          </w:tcPr>
          <w:p w14:paraId="421EE742"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369A95B6" w14:textId="77777777" w:rsidR="00844AC3" w:rsidRPr="00844AC3" w:rsidRDefault="00844AC3" w:rsidP="00907D11">
            <w:pPr>
              <w:spacing w:before="0" w:after="0"/>
              <w:jc w:val="center"/>
              <w:rPr>
                <w:color w:val="000000"/>
                <w:sz w:val="20"/>
                <w:szCs w:val="20"/>
              </w:rPr>
            </w:pPr>
            <w:r w:rsidRPr="00844AC3">
              <w:rPr>
                <w:color w:val="000000"/>
                <w:sz w:val="20"/>
                <w:szCs w:val="20"/>
              </w:rPr>
              <w:t>YP2</w:t>
            </w:r>
          </w:p>
        </w:tc>
        <w:tc>
          <w:tcPr>
            <w:tcW w:w="1542" w:type="dxa"/>
            <w:shd w:val="clear" w:color="auto" w:fill="E7F3F4"/>
            <w:noWrap/>
            <w:vAlign w:val="center"/>
          </w:tcPr>
          <w:p w14:paraId="636E2C93" w14:textId="77777777" w:rsidR="00844AC3" w:rsidRPr="00844AC3" w:rsidRDefault="00844AC3" w:rsidP="00907D11">
            <w:pPr>
              <w:spacing w:before="0" w:after="0"/>
              <w:jc w:val="center"/>
              <w:rPr>
                <w:color w:val="000000"/>
                <w:sz w:val="20"/>
                <w:szCs w:val="20"/>
              </w:rPr>
            </w:pPr>
            <w:r w:rsidRPr="00844AC3">
              <w:rPr>
                <w:color w:val="000000"/>
                <w:sz w:val="20"/>
                <w:szCs w:val="20"/>
              </w:rPr>
              <w:t>Yule Point</w:t>
            </w:r>
          </w:p>
        </w:tc>
        <w:tc>
          <w:tcPr>
            <w:tcW w:w="467" w:type="dxa"/>
            <w:shd w:val="clear" w:color="auto" w:fill="E7F3F4"/>
            <w:vAlign w:val="center"/>
          </w:tcPr>
          <w:p w14:paraId="14B0EBD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254EBFA"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EEDB13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FB5155A"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100ED5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B9E260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D25CB4F"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DF57DB3"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E41A5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239312E9" w14:textId="77777777" w:rsidTr="00844AC3">
        <w:trPr>
          <w:trHeight w:val="170"/>
          <w:jc w:val="center"/>
        </w:trPr>
        <w:tc>
          <w:tcPr>
            <w:tcW w:w="1681" w:type="dxa"/>
            <w:vMerge w:val="restart"/>
            <w:shd w:val="clear" w:color="auto" w:fill="F3F9FA"/>
            <w:vAlign w:val="center"/>
          </w:tcPr>
          <w:p w14:paraId="41316F9E" w14:textId="77777777" w:rsidR="00844AC3" w:rsidRPr="00844AC3" w:rsidRDefault="00844AC3" w:rsidP="00907D11">
            <w:pPr>
              <w:spacing w:before="0" w:after="0"/>
              <w:jc w:val="center"/>
              <w:rPr>
                <w:color w:val="000000"/>
                <w:sz w:val="20"/>
                <w:szCs w:val="20"/>
              </w:rPr>
            </w:pPr>
            <w:r w:rsidRPr="00844AC3">
              <w:rPr>
                <w:color w:val="000000"/>
                <w:sz w:val="20"/>
                <w:szCs w:val="20"/>
              </w:rPr>
              <w:t>coastal subtidal</w:t>
            </w:r>
          </w:p>
        </w:tc>
        <w:tc>
          <w:tcPr>
            <w:tcW w:w="674" w:type="dxa"/>
            <w:shd w:val="clear" w:color="auto" w:fill="F3F9FA"/>
            <w:noWrap/>
            <w:vAlign w:val="center"/>
          </w:tcPr>
          <w:p w14:paraId="2093E51B" w14:textId="7C77BC7A" w:rsidR="00844AC3" w:rsidRPr="00844AC3" w:rsidRDefault="00844AC3" w:rsidP="00907D11">
            <w:pPr>
              <w:spacing w:before="0" w:after="0"/>
              <w:jc w:val="center"/>
              <w:rPr>
                <w:color w:val="000000"/>
                <w:sz w:val="20"/>
                <w:szCs w:val="20"/>
              </w:rPr>
            </w:pPr>
            <w:r w:rsidRPr="00844AC3">
              <w:rPr>
                <w:color w:val="000000"/>
                <w:sz w:val="20"/>
                <w:szCs w:val="20"/>
              </w:rPr>
              <w:t>MS1</w:t>
            </w:r>
            <w:r w:rsidR="009A1A75" w:rsidRPr="009A1A75">
              <w:rPr>
                <w:color w:val="000000"/>
                <w:szCs w:val="22"/>
                <w:vertAlign w:val="superscript"/>
              </w:rPr>
              <w:sym w:font="Wingdings 2" w:char="F085"/>
            </w:r>
          </w:p>
        </w:tc>
        <w:tc>
          <w:tcPr>
            <w:tcW w:w="1542" w:type="dxa"/>
            <w:shd w:val="clear" w:color="auto" w:fill="F3F9FA"/>
            <w:noWrap/>
            <w:vAlign w:val="center"/>
          </w:tcPr>
          <w:p w14:paraId="64C8F514" w14:textId="77777777" w:rsidR="00844AC3" w:rsidRPr="00844AC3" w:rsidRDefault="00844AC3" w:rsidP="00907D11">
            <w:pPr>
              <w:spacing w:before="0" w:after="0"/>
              <w:jc w:val="center"/>
              <w:rPr>
                <w:color w:val="000000"/>
                <w:sz w:val="20"/>
                <w:szCs w:val="20"/>
              </w:rPr>
            </w:pPr>
            <w:r w:rsidRPr="00844AC3">
              <w:rPr>
                <w:color w:val="000000"/>
                <w:sz w:val="20"/>
                <w:szCs w:val="20"/>
              </w:rPr>
              <w:t>Missionary Bay</w:t>
            </w:r>
          </w:p>
        </w:tc>
        <w:tc>
          <w:tcPr>
            <w:tcW w:w="467" w:type="dxa"/>
            <w:shd w:val="clear" w:color="auto" w:fill="F3F9FA"/>
            <w:vAlign w:val="center"/>
          </w:tcPr>
          <w:p w14:paraId="0C6EE9EB" w14:textId="20371BD3"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F3F9FA"/>
            <w:vAlign w:val="center"/>
          </w:tcPr>
          <w:p w14:paraId="16109432" w14:textId="633DF572"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F3F9FA"/>
            <w:vAlign w:val="center"/>
          </w:tcPr>
          <w:p w14:paraId="15120202"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6EE3B0E9"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3006BE9A"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0DCAD96A"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3A036537"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2F4EC12E"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7B55BF26" w14:textId="2B34555A" w:rsidR="00844AC3" w:rsidRDefault="001838E0" w:rsidP="00907D11">
            <w:pPr>
              <w:spacing w:before="0" w:after="0"/>
              <w:jc w:val="center"/>
              <w:rPr>
                <w:color w:val="000000"/>
                <w:sz w:val="14"/>
                <w:szCs w:val="14"/>
              </w:rPr>
            </w:pPr>
            <w:r w:rsidRPr="00F45F13">
              <w:rPr>
                <w:color w:val="000000"/>
                <w:sz w:val="14"/>
                <w:szCs w:val="14"/>
              </w:rPr>
              <w:sym w:font="Wingdings" w:char="F0A8"/>
            </w:r>
          </w:p>
        </w:tc>
      </w:tr>
      <w:tr w:rsidR="00844AC3" w:rsidRPr="00015190" w14:paraId="36AAD416" w14:textId="77777777" w:rsidTr="00844AC3">
        <w:trPr>
          <w:trHeight w:val="170"/>
          <w:jc w:val="center"/>
        </w:trPr>
        <w:tc>
          <w:tcPr>
            <w:tcW w:w="1681" w:type="dxa"/>
            <w:vMerge/>
            <w:shd w:val="clear" w:color="auto" w:fill="F3F9FA"/>
            <w:vAlign w:val="center"/>
          </w:tcPr>
          <w:p w14:paraId="5C494318" w14:textId="77777777" w:rsidR="00844AC3" w:rsidRPr="00844AC3" w:rsidRDefault="00844AC3" w:rsidP="00907D11">
            <w:pPr>
              <w:spacing w:before="0" w:after="0"/>
              <w:jc w:val="center"/>
              <w:rPr>
                <w:color w:val="000000"/>
                <w:sz w:val="20"/>
                <w:szCs w:val="20"/>
              </w:rPr>
            </w:pPr>
          </w:p>
        </w:tc>
        <w:tc>
          <w:tcPr>
            <w:tcW w:w="674" w:type="dxa"/>
            <w:shd w:val="clear" w:color="auto" w:fill="F3F9FA"/>
            <w:noWrap/>
            <w:vAlign w:val="center"/>
          </w:tcPr>
          <w:p w14:paraId="019FD061" w14:textId="3AECE4A9" w:rsidR="00844AC3" w:rsidRPr="00844AC3" w:rsidRDefault="00844AC3" w:rsidP="00907D11">
            <w:pPr>
              <w:spacing w:before="0" w:after="0"/>
              <w:jc w:val="center"/>
              <w:rPr>
                <w:color w:val="000000"/>
                <w:sz w:val="20"/>
                <w:szCs w:val="20"/>
              </w:rPr>
            </w:pPr>
            <w:r w:rsidRPr="00844AC3">
              <w:rPr>
                <w:color w:val="000000"/>
                <w:sz w:val="20"/>
                <w:szCs w:val="20"/>
              </w:rPr>
              <w:t>MS2</w:t>
            </w:r>
            <w:r w:rsidR="009A1A75" w:rsidRPr="009A1A75">
              <w:rPr>
                <w:color w:val="000000"/>
                <w:szCs w:val="22"/>
                <w:vertAlign w:val="superscript"/>
              </w:rPr>
              <w:sym w:font="Wingdings 2" w:char="F085"/>
            </w:r>
          </w:p>
        </w:tc>
        <w:tc>
          <w:tcPr>
            <w:tcW w:w="1542" w:type="dxa"/>
            <w:shd w:val="clear" w:color="auto" w:fill="F3F9FA"/>
            <w:noWrap/>
            <w:vAlign w:val="center"/>
          </w:tcPr>
          <w:p w14:paraId="6B09D8DA" w14:textId="77777777" w:rsidR="00844AC3" w:rsidRPr="00844AC3" w:rsidRDefault="00844AC3" w:rsidP="00907D11">
            <w:pPr>
              <w:spacing w:before="0" w:after="0"/>
              <w:jc w:val="center"/>
              <w:rPr>
                <w:color w:val="000000"/>
                <w:sz w:val="20"/>
                <w:szCs w:val="20"/>
              </w:rPr>
            </w:pPr>
            <w:r w:rsidRPr="00844AC3">
              <w:rPr>
                <w:color w:val="000000"/>
                <w:sz w:val="20"/>
                <w:szCs w:val="20"/>
              </w:rPr>
              <w:t>Missionary Bay</w:t>
            </w:r>
          </w:p>
        </w:tc>
        <w:tc>
          <w:tcPr>
            <w:tcW w:w="467" w:type="dxa"/>
            <w:shd w:val="clear" w:color="auto" w:fill="F3F9FA"/>
            <w:vAlign w:val="center"/>
          </w:tcPr>
          <w:p w14:paraId="73D10533" w14:textId="2FFD6478"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F3F9FA"/>
            <w:vAlign w:val="center"/>
          </w:tcPr>
          <w:p w14:paraId="34C17163" w14:textId="5E88D628"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F3F9FA"/>
            <w:vAlign w:val="center"/>
          </w:tcPr>
          <w:p w14:paraId="7C27A02E"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1738EDEA"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7E0BDE61"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285F2E2B"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667AF612"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163EF133" w14:textId="77777777" w:rsidR="00844AC3" w:rsidRDefault="00844AC3" w:rsidP="00907D11">
            <w:pPr>
              <w:spacing w:before="0" w:after="0"/>
              <w:jc w:val="center"/>
              <w:rPr>
                <w:color w:val="000000"/>
                <w:sz w:val="14"/>
                <w:szCs w:val="14"/>
              </w:rPr>
            </w:pPr>
          </w:p>
        </w:tc>
        <w:tc>
          <w:tcPr>
            <w:tcW w:w="467" w:type="dxa"/>
            <w:shd w:val="clear" w:color="auto" w:fill="F3F9FA"/>
            <w:vAlign w:val="center"/>
          </w:tcPr>
          <w:p w14:paraId="07B7F125" w14:textId="5318396D" w:rsidR="00844AC3" w:rsidRDefault="001838E0" w:rsidP="00907D11">
            <w:pPr>
              <w:spacing w:before="0" w:after="0"/>
              <w:jc w:val="center"/>
              <w:rPr>
                <w:color w:val="000000"/>
                <w:sz w:val="14"/>
                <w:szCs w:val="14"/>
              </w:rPr>
            </w:pPr>
            <w:r w:rsidRPr="00F45F13">
              <w:rPr>
                <w:color w:val="000000"/>
                <w:sz w:val="14"/>
                <w:szCs w:val="14"/>
              </w:rPr>
              <w:sym w:font="Wingdings" w:char="F0A8"/>
            </w:r>
          </w:p>
        </w:tc>
      </w:tr>
      <w:tr w:rsidR="00844AC3" w:rsidRPr="00015190" w14:paraId="519118EC" w14:textId="77777777" w:rsidTr="00844AC3">
        <w:trPr>
          <w:trHeight w:val="170"/>
          <w:jc w:val="center"/>
        </w:trPr>
        <w:tc>
          <w:tcPr>
            <w:tcW w:w="1681" w:type="dxa"/>
            <w:vMerge w:val="restart"/>
            <w:shd w:val="clear" w:color="auto" w:fill="E7F3F4"/>
            <w:vAlign w:val="center"/>
          </w:tcPr>
          <w:p w14:paraId="529719F2" w14:textId="77777777" w:rsidR="00844AC3" w:rsidRPr="00844AC3" w:rsidRDefault="00844AC3" w:rsidP="00907D11">
            <w:pPr>
              <w:spacing w:before="0" w:after="0"/>
              <w:jc w:val="center"/>
              <w:rPr>
                <w:color w:val="000000"/>
                <w:sz w:val="20"/>
                <w:szCs w:val="20"/>
              </w:rPr>
            </w:pPr>
            <w:r w:rsidRPr="00844AC3">
              <w:rPr>
                <w:color w:val="000000"/>
                <w:sz w:val="20"/>
                <w:szCs w:val="20"/>
              </w:rPr>
              <w:t>reef intertidal</w:t>
            </w:r>
          </w:p>
        </w:tc>
        <w:tc>
          <w:tcPr>
            <w:tcW w:w="674" w:type="dxa"/>
            <w:shd w:val="clear" w:color="auto" w:fill="E7F3F4"/>
            <w:noWrap/>
            <w:vAlign w:val="center"/>
          </w:tcPr>
          <w:p w14:paraId="09CB3D79" w14:textId="77777777" w:rsidR="00844AC3" w:rsidRPr="00844AC3" w:rsidRDefault="00844AC3" w:rsidP="00907D11">
            <w:pPr>
              <w:spacing w:before="0" w:after="0"/>
              <w:jc w:val="center"/>
              <w:rPr>
                <w:iCs/>
                <w:color w:val="000000"/>
                <w:sz w:val="20"/>
                <w:szCs w:val="20"/>
              </w:rPr>
            </w:pPr>
            <w:r w:rsidRPr="00844AC3">
              <w:rPr>
                <w:iCs/>
                <w:color w:val="000000"/>
                <w:sz w:val="20"/>
                <w:szCs w:val="20"/>
              </w:rPr>
              <w:t>DI1</w:t>
            </w:r>
          </w:p>
        </w:tc>
        <w:tc>
          <w:tcPr>
            <w:tcW w:w="1542" w:type="dxa"/>
            <w:shd w:val="clear" w:color="auto" w:fill="E7F3F4"/>
            <w:noWrap/>
            <w:vAlign w:val="center"/>
          </w:tcPr>
          <w:p w14:paraId="5501F54A" w14:textId="77777777" w:rsidR="00844AC3" w:rsidRPr="00844AC3" w:rsidRDefault="00844AC3" w:rsidP="00907D11">
            <w:pPr>
              <w:spacing w:before="0" w:after="0"/>
              <w:jc w:val="center"/>
              <w:rPr>
                <w:color w:val="000000"/>
                <w:sz w:val="20"/>
                <w:szCs w:val="20"/>
              </w:rPr>
            </w:pPr>
            <w:r w:rsidRPr="00844AC3">
              <w:rPr>
                <w:color w:val="000000"/>
                <w:sz w:val="20"/>
                <w:szCs w:val="20"/>
              </w:rPr>
              <w:t>Dunk Island</w:t>
            </w:r>
          </w:p>
        </w:tc>
        <w:tc>
          <w:tcPr>
            <w:tcW w:w="467" w:type="dxa"/>
            <w:shd w:val="clear" w:color="auto" w:fill="E7F3F4"/>
            <w:vAlign w:val="center"/>
          </w:tcPr>
          <w:p w14:paraId="472C09C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7FCE5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51CB30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90D0D74"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4C9E2E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013520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03E854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98C9BA2"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23B8CB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416A30DF" w14:textId="77777777" w:rsidTr="00844AC3">
        <w:trPr>
          <w:trHeight w:val="170"/>
          <w:jc w:val="center"/>
        </w:trPr>
        <w:tc>
          <w:tcPr>
            <w:tcW w:w="1681" w:type="dxa"/>
            <w:vMerge/>
            <w:shd w:val="clear" w:color="auto" w:fill="E7F3F4"/>
            <w:vAlign w:val="center"/>
          </w:tcPr>
          <w:p w14:paraId="4675FF88"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37D8F087" w14:textId="77777777" w:rsidR="00844AC3" w:rsidRPr="00844AC3" w:rsidRDefault="00844AC3" w:rsidP="00907D11">
            <w:pPr>
              <w:spacing w:before="0" w:after="0"/>
              <w:jc w:val="center"/>
              <w:rPr>
                <w:iCs/>
                <w:color w:val="000000"/>
                <w:sz w:val="20"/>
                <w:szCs w:val="20"/>
              </w:rPr>
            </w:pPr>
            <w:r w:rsidRPr="00844AC3">
              <w:rPr>
                <w:iCs/>
                <w:color w:val="000000"/>
                <w:sz w:val="20"/>
                <w:szCs w:val="20"/>
              </w:rPr>
              <w:t>DI2</w:t>
            </w:r>
          </w:p>
        </w:tc>
        <w:tc>
          <w:tcPr>
            <w:tcW w:w="1542" w:type="dxa"/>
            <w:shd w:val="clear" w:color="auto" w:fill="E7F3F4"/>
            <w:noWrap/>
            <w:vAlign w:val="center"/>
          </w:tcPr>
          <w:p w14:paraId="18904901" w14:textId="77777777" w:rsidR="00844AC3" w:rsidRPr="00844AC3" w:rsidRDefault="00844AC3" w:rsidP="00907D11">
            <w:pPr>
              <w:spacing w:before="0" w:after="0"/>
              <w:jc w:val="center"/>
              <w:rPr>
                <w:color w:val="000000"/>
                <w:sz w:val="20"/>
                <w:szCs w:val="20"/>
              </w:rPr>
            </w:pPr>
            <w:r w:rsidRPr="00844AC3">
              <w:rPr>
                <w:color w:val="000000"/>
                <w:sz w:val="20"/>
                <w:szCs w:val="20"/>
              </w:rPr>
              <w:t>Dunk Island</w:t>
            </w:r>
          </w:p>
        </w:tc>
        <w:tc>
          <w:tcPr>
            <w:tcW w:w="467" w:type="dxa"/>
            <w:shd w:val="clear" w:color="auto" w:fill="E7F3F4"/>
            <w:vAlign w:val="center"/>
          </w:tcPr>
          <w:p w14:paraId="724D7CA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1B43C4F"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A7A5F2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3A1BE8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F16121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C0AAD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665B8B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6C2571"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AE5152C"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6E955494" w14:textId="77777777" w:rsidTr="00844AC3">
        <w:trPr>
          <w:trHeight w:val="170"/>
          <w:jc w:val="center"/>
        </w:trPr>
        <w:tc>
          <w:tcPr>
            <w:tcW w:w="1681" w:type="dxa"/>
            <w:vMerge/>
            <w:shd w:val="clear" w:color="auto" w:fill="E7F3F4"/>
            <w:vAlign w:val="center"/>
          </w:tcPr>
          <w:p w14:paraId="21E1A677"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68BBF9B2" w14:textId="77777777" w:rsidR="00844AC3" w:rsidRPr="00844AC3" w:rsidRDefault="00844AC3" w:rsidP="00907D11">
            <w:pPr>
              <w:spacing w:before="0" w:after="0"/>
              <w:jc w:val="center"/>
              <w:rPr>
                <w:color w:val="000000"/>
                <w:sz w:val="20"/>
                <w:szCs w:val="20"/>
              </w:rPr>
            </w:pPr>
            <w:r w:rsidRPr="00844AC3">
              <w:rPr>
                <w:color w:val="000000"/>
                <w:sz w:val="20"/>
                <w:szCs w:val="20"/>
              </w:rPr>
              <w:t>GI1</w:t>
            </w:r>
          </w:p>
        </w:tc>
        <w:tc>
          <w:tcPr>
            <w:tcW w:w="1542" w:type="dxa"/>
            <w:shd w:val="clear" w:color="auto" w:fill="E7F3F4"/>
            <w:noWrap/>
            <w:vAlign w:val="center"/>
          </w:tcPr>
          <w:p w14:paraId="0E671309" w14:textId="77777777" w:rsidR="00844AC3" w:rsidRPr="00844AC3" w:rsidRDefault="00844AC3" w:rsidP="00907D11">
            <w:pPr>
              <w:spacing w:before="0" w:after="0"/>
              <w:jc w:val="center"/>
              <w:rPr>
                <w:color w:val="000000"/>
                <w:sz w:val="20"/>
                <w:szCs w:val="20"/>
              </w:rPr>
            </w:pPr>
            <w:r w:rsidRPr="00844AC3">
              <w:rPr>
                <w:color w:val="000000"/>
                <w:sz w:val="20"/>
                <w:szCs w:val="20"/>
              </w:rPr>
              <w:t>Green Island</w:t>
            </w:r>
          </w:p>
        </w:tc>
        <w:tc>
          <w:tcPr>
            <w:tcW w:w="467" w:type="dxa"/>
            <w:shd w:val="clear" w:color="auto" w:fill="E7F3F4"/>
            <w:vAlign w:val="center"/>
          </w:tcPr>
          <w:p w14:paraId="2351ECEE"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8FB23D4"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59A4CC9"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B80B3E1"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3819820"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B5F83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90021BC"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1AF54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6405F51"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69246F25" w14:textId="77777777" w:rsidTr="00844AC3">
        <w:trPr>
          <w:trHeight w:val="170"/>
          <w:jc w:val="center"/>
        </w:trPr>
        <w:tc>
          <w:tcPr>
            <w:tcW w:w="1681" w:type="dxa"/>
            <w:vMerge/>
            <w:shd w:val="clear" w:color="auto" w:fill="E7F3F4"/>
            <w:vAlign w:val="center"/>
          </w:tcPr>
          <w:p w14:paraId="71DAADC5"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6D495015" w14:textId="77777777" w:rsidR="00844AC3" w:rsidRPr="00844AC3" w:rsidRDefault="00844AC3" w:rsidP="00907D11">
            <w:pPr>
              <w:spacing w:before="0" w:after="0"/>
              <w:jc w:val="center"/>
              <w:rPr>
                <w:color w:val="000000"/>
                <w:sz w:val="20"/>
                <w:szCs w:val="20"/>
              </w:rPr>
            </w:pPr>
            <w:r w:rsidRPr="00844AC3">
              <w:rPr>
                <w:color w:val="000000"/>
                <w:sz w:val="20"/>
                <w:szCs w:val="20"/>
              </w:rPr>
              <w:t>GI2</w:t>
            </w:r>
          </w:p>
        </w:tc>
        <w:tc>
          <w:tcPr>
            <w:tcW w:w="1542" w:type="dxa"/>
            <w:shd w:val="clear" w:color="auto" w:fill="E7F3F4"/>
            <w:noWrap/>
            <w:vAlign w:val="center"/>
          </w:tcPr>
          <w:p w14:paraId="309216AA" w14:textId="77777777" w:rsidR="00844AC3" w:rsidRPr="00844AC3" w:rsidRDefault="00844AC3" w:rsidP="00907D11">
            <w:pPr>
              <w:spacing w:before="0" w:after="0"/>
              <w:jc w:val="center"/>
              <w:rPr>
                <w:color w:val="000000"/>
                <w:sz w:val="20"/>
                <w:szCs w:val="20"/>
              </w:rPr>
            </w:pPr>
            <w:r w:rsidRPr="00844AC3">
              <w:rPr>
                <w:color w:val="000000"/>
                <w:sz w:val="20"/>
                <w:szCs w:val="20"/>
              </w:rPr>
              <w:t>Green Island</w:t>
            </w:r>
          </w:p>
        </w:tc>
        <w:tc>
          <w:tcPr>
            <w:tcW w:w="467" w:type="dxa"/>
            <w:shd w:val="clear" w:color="auto" w:fill="E7F3F4"/>
            <w:vAlign w:val="center"/>
          </w:tcPr>
          <w:p w14:paraId="6F7C33EC"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AE0DF7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FE9C673"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66F0B0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D07296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6CCBCEC"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7787569"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33D288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C4834F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15B536DC" w14:textId="77777777" w:rsidTr="00844AC3">
        <w:trPr>
          <w:trHeight w:val="170"/>
          <w:jc w:val="center"/>
        </w:trPr>
        <w:tc>
          <w:tcPr>
            <w:tcW w:w="1681" w:type="dxa"/>
            <w:vMerge/>
            <w:shd w:val="clear" w:color="auto" w:fill="E7F3F4"/>
            <w:vAlign w:val="center"/>
          </w:tcPr>
          <w:p w14:paraId="35C8DDF8" w14:textId="77777777" w:rsidR="00844AC3" w:rsidRPr="00844AC3" w:rsidRDefault="00844AC3" w:rsidP="00907D11">
            <w:pPr>
              <w:spacing w:before="0" w:after="0"/>
              <w:jc w:val="center"/>
              <w:rPr>
                <w:color w:val="000000"/>
                <w:sz w:val="20"/>
                <w:szCs w:val="20"/>
              </w:rPr>
            </w:pPr>
          </w:p>
        </w:tc>
        <w:tc>
          <w:tcPr>
            <w:tcW w:w="674" w:type="dxa"/>
            <w:shd w:val="clear" w:color="auto" w:fill="E7F3F4"/>
            <w:noWrap/>
            <w:vAlign w:val="center"/>
          </w:tcPr>
          <w:p w14:paraId="75F852C6" w14:textId="18DF5103" w:rsidR="00844AC3" w:rsidRPr="00844AC3" w:rsidRDefault="00844AC3" w:rsidP="00907D11">
            <w:pPr>
              <w:spacing w:before="0" w:after="0"/>
              <w:jc w:val="center"/>
              <w:rPr>
                <w:color w:val="000000"/>
                <w:sz w:val="20"/>
                <w:szCs w:val="20"/>
              </w:rPr>
            </w:pPr>
            <w:r w:rsidRPr="00844AC3">
              <w:rPr>
                <w:color w:val="000000"/>
                <w:sz w:val="20"/>
                <w:szCs w:val="20"/>
              </w:rPr>
              <w:t>GO1</w:t>
            </w:r>
            <w:r w:rsidR="009A1A75">
              <w:rPr>
                <w:color w:val="000000"/>
                <w:sz w:val="20"/>
                <w:szCs w:val="20"/>
              </w:rPr>
              <w:t>*</w:t>
            </w:r>
          </w:p>
        </w:tc>
        <w:tc>
          <w:tcPr>
            <w:tcW w:w="1542" w:type="dxa"/>
            <w:shd w:val="clear" w:color="auto" w:fill="E7F3F4"/>
            <w:noWrap/>
            <w:vAlign w:val="center"/>
          </w:tcPr>
          <w:p w14:paraId="528C7468" w14:textId="77777777" w:rsidR="00844AC3" w:rsidRPr="00844AC3" w:rsidRDefault="00844AC3" w:rsidP="00907D11">
            <w:pPr>
              <w:spacing w:before="0" w:after="0"/>
              <w:jc w:val="center"/>
              <w:rPr>
                <w:color w:val="000000"/>
                <w:sz w:val="20"/>
                <w:szCs w:val="20"/>
              </w:rPr>
            </w:pPr>
            <w:r w:rsidRPr="00844AC3">
              <w:rPr>
                <w:color w:val="000000"/>
                <w:sz w:val="20"/>
                <w:szCs w:val="20"/>
              </w:rPr>
              <w:t>Goold Island</w:t>
            </w:r>
          </w:p>
        </w:tc>
        <w:tc>
          <w:tcPr>
            <w:tcW w:w="467" w:type="dxa"/>
            <w:shd w:val="clear" w:color="auto" w:fill="E7F3F4"/>
            <w:vAlign w:val="center"/>
          </w:tcPr>
          <w:p w14:paraId="715AAAFF" w14:textId="74E1BF48"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3E5EE416" w14:textId="6A563BAB"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5960E5C0" w14:textId="77777777" w:rsidR="00844AC3" w:rsidRDefault="00844AC3" w:rsidP="00907D11">
            <w:pPr>
              <w:spacing w:before="0" w:after="0"/>
              <w:jc w:val="center"/>
              <w:rPr>
                <w:color w:val="000000"/>
                <w:sz w:val="14"/>
                <w:szCs w:val="14"/>
              </w:rPr>
            </w:pPr>
          </w:p>
        </w:tc>
        <w:tc>
          <w:tcPr>
            <w:tcW w:w="467" w:type="dxa"/>
            <w:shd w:val="clear" w:color="auto" w:fill="E7F3F4"/>
            <w:vAlign w:val="center"/>
          </w:tcPr>
          <w:p w14:paraId="755AD4B5" w14:textId="77777777" w:rsidR="00844AC3" w:rsidRDefault="00844AC3" w:rsidP="00907D11">
            <w:pPr>
              <w:spacing w:before="0" w:after="0"/>
              <w:jc w:val="center"/>
              <w:rPr>
                <w:color w:val="000000"/>
                <w:sz w:val="14"/>
                <w:szCs w:val="14"/>
              </w:rPr>
            </w:pPr>
          </w:p>
        </w:tc>
        <w:tc>
          <w:tcPr>
            <w:tcW w:w="467" w:type="dxa"/>
            <w:shd w:val="clear" w:color="auto" w:fill="E7F3F4"/>
            <w:vAlign w:val="center"/>
          </w:tcPr>
          <w:p w14:paraId="389F1B6A" w14:textId="5CB23C87"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4AEB8E7E" w14:textId="77777777" w:rsidR="00844AC3" w:rsidRDefault="00844AC3" w:rsidP="00907D11">
            <w:pPr>
              <w:spacing w:before="0" w:after="0"/>
              <w:jc w:val="center"/>
              <w:rPr>
                <w:color w:val="000000"/>
                <w:sz w:val="14"/>
                <w:szCs w:val="14"/>
              </w:rPr>
            </w:pPr>
          </w:p>
        </w:tc>
        <w:tc>
          <w:tcPr>
            <w:tcW w:w="467" w:type="dxa"/>
            <w:shd w:val="clear" w:color="auto" w:fill="E7F3F4"/>
            <w:vAlign w:val="center"/>
          </w:tcPr>
          <w:p w14:paraId="49C66192" w14:textId="013731FA"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5A9A0A29" w14:textId="2FFEDC92" w:rsidR="00844AC3" w:rsidRDefault="001838E0" w:rsidP="00907D11">
            <w:pPr>
              <w:spacing w:before="0" w:after="0"/>
              <w:jc w:val="center"/>
              <w:rPr>
                <w:color w:val="000000"/>
                <w:sz w:val="14"/>
                <w:szCs w:val="14"/>
              </w:rPr>
            </w:pPr>
            <w:r w:rsidRPr="00F45F13">
              <w:rPr>
                <w:color w:val="000000"/>
                <w:sz w:val="14"/>
                <w:szCs w:val="14"/>
              </w:rPr>
              <w:sym w:font="Wingdings" w:char="F0A8"/>
            </w:r>
          </w:p>
        </w:tc>
        <w:tc>
          <w:tcPr>
            <w:tcW w:w="467" w:type="dxa"/>
            <w:shd w:val="clear" w:color="auto" w:fill="E7F3F4"/>
            <w:vAlign w:val="center"/>
          </w:tcPr>
          <w:p w14:paraId="6284A4DA" w14:textId="1703790A" w:rsidR="00844AC3" w:rsidRDefault="001838E0" w:rsidP="00907D11">
            <w:pPr>
              <w:spacing w:before="0" w:after="0"/>
              <w:jc w:val="center"/>
              <w:rPr>
                <w:color w:val="000000"/>
                <w:sz w:val="14"/>
                <w:szCs w:val="14"/>
              </w:rPr>
            </w:pPr>
            <w:r w:rsidRPr="00F45F13">
              <w:rPr>
                <w:color w:val="000000"/>
                <w:sz w:val="14"/>
                <w:szCs w:val="14"/>
              </w:rPr>
              <w:sym w:font="Wingdings" w:char="F0A8"/>
            </w:r>
          </w:p>
        </w:tc>
      </w:tr>
      <w:tr w:rsidR="00844AC3" w:rsidRPr="00015190" w14:paraId="6E65957F" w14:textId="77777777" w:rsidTr="00844AC3">
        <w:trPr>
          <w:trHeight w:val="170"/>
          <w:jc w:val="center"/>
        </w:trPr>
        <w:tc>
          <w:tcPr>
            <w:tcW w:w="1681" w:type="dxa"/>
            <w:vMerge w:val="restart"/>
            <w:shd w:val="clear" w:color="auto" w:fill="F3F9FA"/>
            <w:vAlign w:val="center"/>
          </w:tcPr>
          <w:p w14:paraId="64064C78" w14:textId="77777777" w:rsidR="00844AC3" w:rsidRPr="00844AC3" w:rsidRDefault="00844AC3" w:rsidP="00907D11">
            <w:pPr>
              <w:spacing w:before="0" w:after="0"/>
              <w:jc w:val="center"/>
              <w:rPr>
                <w:color w:val="000000"/>
                <w:sz w:val="20"/>
                <w:szCs w:val="20"/>
              </w:rPr>
            </w:pPr>
            <w:r w:rsidRPr="00844AC3">
              <w:rPr>
                <w:color w:val="000000"/>
                <w:sz w:val="20"/>
                <w:szCs w:val="20"/>
              </w:rPr>
              <w:t>reef subtidal</w:t>
            </w:r>
          </w:p>
        </w:tc>
        <w:tc>
          <w:tcPr>
            <w:tcW w:w="674" w:type="dxa"/>
            <w:shd w:val="clear" w:color="auto" w:fill="F3F9FA"/>
            <w:noWrap/>
            <w:vAlign w:val="center"/>
          </w:tcPr>
          <w:p w14:paraId="60B07A6C" w14:textId="77777777" w:rsidR="00844AC3" w:rsidRPr="00844AC3" w:rsidRDefault="00844AC3" w:rsidP="00907D11">
            <w:pPr>
              <w:spacing w:before="0" w:after="0"/>
              <w:jc w:val="center"/>
              <w:rPr>
                <w:color w:val="000000"/>
                <w:sz w:val="20"/>
                <w:szCs w:val="20"/>
              </w:rPr>
            </w:pPr>
            <w:r w:rsidRPr="00844AC3">
              <w:rPr>
                <w:color w:val="000000"/>
                <w:sz w:val="20"/>
                <w:szCs w:val="20"/>
              </w:rPr>
              <w:t>LI1</w:t>
            </w:r>
          </w:p>
        </w:tc>
        <w:tc>
          <w:tcPr>
            <w:tcW w:w="1542" w:type="dxa"/>
            <w:shd w:val="clear" w:color="auto" w:fill="F3F9FA"/>
            <w:noWrap/>
            <w:vAlign w:val="center"/>
          </w:tcPr>
          <w:p w14:paraId="6D557179" w14:textId="77777777" w:rsidR="00844AC3" w:rsidRPr="00844AC3" w:rsidRDefault="00844AC3" w:rsidP="00907D11">
            <w:pPr>
              <w:spacing w:before="0" w:after="0"/>
              <w:jc w:val="center"/>
              <w:rPr>
                <w:color w:val="000000"/>
                <w:sz w:val="20"/>
                <w:szCs w:val="20"/>
              </w:rPr>
            </w:pPr>
            <w:r w:rsidRPr="00844AC3">
              <w:rPr>
                <w:color w:val="000000"/>
                <w:sz w:val="20"/>
                <w:szCs w:val="20"/>
              </w:rPr>
              <w:t>Low Isles</w:t>
            </w:r>
          </w:p>
        </w:tc>
        <w:tc>
          <w:tcPr>
            <w:tcW w:w="467" w:type="dxa"/>
            <w:shd w:val="clear" w:color="auto" w:fill="F3F9FA"/>
            <w:vAlign w:val="center"/>
          </w:tcPr>
          <w:p w14:paraId="01EF32E9"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5080C32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6CC6778"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AAA5A6F"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45C274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E5B5ED4"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251BFEA"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53C1FC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E9B7F0B"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7DE3E12F" w14:textId="77777777" w:rsidTr="00844AC3">
        <w:trPr>
          <w:trHeight w:val="170"/>
          <w:jc w:val="center"/>
        </w:trPr>
        <w:tc>
          <w:tcPr>
            <w:tcW w:w="1681" w:type="dxa"/>
            <w:vMerge/>
            <w:shd w:val="clear" w:color="auto" w:fill="F3F9FA"/>
            <w:vAlign w:val="center"/>
          </w:tcPr>
          <w:p w14:paraId="4A25146F" w14:textId="77777777" w:rsidR="00844AC3" w:rsidRPr="00844AC3" w:rsidRDefault="00844AC3" w:rsidP="00907D11">
            <w:pPr>
              <w:spacing w:before="0" w:after="0"/>
              <w:jc w:val="center"/>
              <w:rPr>
                <w:color w:val="000000"/>
                <w:sz w:val="20"/>
                <w:szCs w:val="20"/>
              </w:rPr>
            </w:pPr>
          </w:p>
        </w:tc>
        <w:tc>
          <w:tcPr>
            <w:tcW w:w="674" w:type="dxa"/>
            <w:shd w:val="clear" w:color="auto" w:fill="F3F9FA"/>
            <w:noWrap/>
            <w:vAlign w:val="center"/>
          </w:tcPr>
          <w:p w14:paraId="0B8DC45D" w14:textId="77777777" w:rsidR="00844AC3" w:rsidRPr="00844AC3" w:rsidRDefault="00844AC3" w:rsidP="00907D11">
            <w:pPr>
              <w:spacing w:before="0" w:after="0"/>
              <w:jc w:val="center"/>
              <w:rPr>
                <w:iCs/>
                <w:color w:val="000000"/>
                <w:sz w:val="20"/>
                <w:szCs w:val="20"/>
              </w:rPr>
            </w:pPr>
            <w:r w:rsidRPr="00844AC3">
              <w:rPr>
                <w:iCs/>
                <w:color w:val="000000"/>
                <w:sz w:val="20"/>
                <w:szCs w:val="20"/>
              </w:rPr>
              <w:t>DI3</w:t>
            </w:r>
          </w:p>
        </w:tc>
        <w:tc>
          <w:tcPr>
            <w:tcW w:w="1542" w:type="dxa"/>
            <w:shd w:val="clear" w:color="auto" w:fill="F3F9FA"/>
            <w:noWrap/>
            <w:vAlign w:val="center"/>
          </w:tcPr>
          <w:p w14:paraId="58B2D5B0" w14:textId="77777777" w:rsidR="00844AC3" w:rsidRPr="00844AC3" w:rsidRDefault="00844AC3" w:rsidP="00907D11">
            <w:pPr>
              <w:spacing w:before="0" w:after="0"/>
              <w:jc w:val="center"/>
              <w:rPr>
                <w:color w:val="000000"/>
                <w:sz w:val="20"/>
                <w:szCs w:val="20"/>
              </w:rPr>
            </w:pPr>
            <w:r w:rsidRPr="00844AC3">
              <w:rPr>
                <w:color w:val="000000"/>
                <w:sz w:val="20"/>
                <w:szCs w:val="20"/>
              </w:rPr>
              <w:t>Dunk Island</w:t>
            </w:r>
          </w:p>
        </w:tc>
        <w:tc>
          <w:tcPr>
            <w:tcW w:w="467" w:type="dxa"/>
            <w:shd w:val="clear" w:color="auto" w:fill="F3F9FA"/>
            <w:vAlign w:val="center"/>
          </w:tcPr>
          <w:p w14:paraId="5FBC99BA"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16257C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4CE33A7"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A056A6"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328F4FF"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4BBA8C"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540538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FD0D3CF"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95A726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4886A0E8" w14:textId="77777777" w:rsidTr="00844AC3">
        <w:trPr>
          <w:trHeight w:val="170"/>
          <w:jc w:val="center"/>
        </w:trPr>
        <w:tc>
          <w:tcPr>
            <w:tcW w:w="1681" w:type="dxa"/>
            <w:vMerge/>
            <w:shd w:val="clear" w:color="auto" w:fill="F3F9FA"/>
            <w:vAlign w:val="center"/>
          </w:tcPr>
          <w:p w14:paraId="2A42CD60" w14:textId="77777777" w:rsidR="00844AC3" w:rsidRPr="00844AC3" w:rsidRDefault="00844AC3" w:rsidP="00907D11">
            <w:pPr>
              <w:spacing w:before="0" w:after="0"/>
              <w:jc w:val="center"/>
              <w:rPr>
                <w:color w:val="000000"/>
                <w:sz w:val="20"/>
                <w:szCs w:val="20"/>
              </w:rPr>
            </w:pPr>
          </w:p>
        </w:tc>
        <w:tc>
          <w:tcPr>
            <w:tcW w:w="674" w:type="dxa"/>
            <w:shd w:val="clear" w:color="auto" w:fill="F3F9FA"/>
            <w:noWrap/>
            <w:vAlign w:val="center"/>
          </w:tcPr>
          <w:p w14:paraId="5FCD94BE" w14:textId="77777777" w:rsidR="00844AC3" w:rsidRPr="00844AC3" w:rsidRDefault="00844AC3" w:rsidP="00907D11">
            <w:pPr>
              <w:spacing w:before="0" w:after="0"/>
              <w:jc w:val="center"/>
              <w:rPr>
                <w:color w:val="000000"/>
                <w:sz w:val="20"/>
                <w:szCs w:val="20"/>
              </w:rPr>
            </w:pPr>
            <w:r w:rsidRPr="00844AC3">
              <w:rPr>
                <w:color w:val="000000"/>
                <w:sz w:val="20"/>
                <w:szCs w:val="20"/>
              </w:rPr>
              <w:t>GI3</w:t>
            </w:r>
          </w:p>
        </w:tc>
        <w:tc>
          <w:tcPr>
            <w:tcW w:w="1542" w:type="dxa"/>
            <w:shd w:val="clear" w:color="auto" w:fill="F3F9FA"/>
            <w:noWrap/>
            <w:vAlign w:val="center"/>
          </w:tcPr>
          <w:p w14:paraId="6CD0380E" w14:textId="77777777" w:rsidR="00844AC3" w:rsidRPr="00844AC3" w:rsidRDefault="00844AC3" w:rsidP="00907D11">
            <w:pPr>
              <w:spacing w:before="0" w:after="0"/>
              <w:jc w:val="center"/>
              <w:rPr>
                <w:color w:val="000000"/>
                <w:sz w:val="20"/>
                <w:szCs w:val="20"/>
              </w:rPr>
            </w:pPr>
            <w:r w:rsidRPr="00844AC3">
              <w:rPr>
                <w:color w:val="000000"/>
                <w:sz w:val="20"/>
                <w:szCs w:val="20"/>
              </w:rPr>
              <w:t>Green Island</w:t>
            </w:r>
          </w:p>
        </w:tc>
        <w:tc>
          <w:tcPr>
            <w:tcW w:w="467" w:type="dxa"/>
            <w:shd w:val="clear" w:color="auto" w:fill="F3F9FA"/>
            <w:vAlign w:val="center"/>
          </w:tcPr>
          <w:p w14:paraId="0B0354AB"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9D3E709"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152FF9C"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824FE7B"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5E43836F"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F160F7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C5D2A44"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D2B5635"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297117D"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r w:rsidR="00844AC3" w:rsidRPr="00015190" w14:paraId="796687E2" w14:textId="77777777" w:rsidTr="00844AC3">
        <w:trPr>
          <w:trHeight w:val="170"/>
          <w:jc w:val="center"/>
        </w:trPr>
        <w:tc>
          <w:tcPr>
            <w:tcW w:w="1681" w:type="dxa"/>
            <w:vMerge/>
            <w:shd w:val="clear" w:color="auto" w:fill="F3F9FA"/>
            <w:vAlign w:val="center"/>
          </w:tcPr>
          <w:p w14:paraId="6FD7BC78" w14:textId="77777777" w:rsidR="00844AC3" w:rsidRPr="00844AC3" w:rsidRDefault="00844AC3" w:rsidP="00907D11">
            <w:pPr>
              <w:spacing w:before="0" w:after="0"/>
              <w:jc w:val="center"/>
              <w:rPr>
                <w:color w:val="000000"/>
                <w:sz w:val="20"/>
                <w:szCs w:val="20"/>
              </w:rPr>
            </w:pPr>
          </w:p>
        </w:tc>
        <w:tc>
          <w:tcPr>
            <w:tcW w:w="674" w:type="dxa"/>
            <w:shd w:val="clear" w:color="auto" w:fill="F3F9FA"/>
            <w:noWrap/>
            <w:vAlign w:val="center"/>
          </w:tcPr>
          <w:p w14:paraId="42663FC7" w14:textId="77777777" w:rsidR="00844AC3" w:rsidRPr="00844AC3" w:rsidRDefault="00844AC3" w:rsidP="00907D11">
            <w:pPr>
              <w:spacing w:before="0" w:after="0"/>
              <w:jc w:val="center"/>
              <w:rPr>
                <w:color w:val="000000"/>
                <w:sz w:val="20"/>
                <w:szCs w:val="20"/>
              </w:rPr>
            </w:pPr>
            <w:r w:rsidRPr="00844AC3">
              <w:rPr>
                <w:color w:val="000000"/>
                <w:sz w:val="20"/>
                <w:szCs w:val="20"/>
              </w:rPr>
              <w:t>LI2</w:t>
            </w:r>
          </w:p>
        </w:tc>
        <w:tc>
          <w:tcPr>
            <w:tcW w:w="1542" w:type="dxa"/>
            <w:shd w:val="clear" w:color="auto" w:fill="F3F9FA"/>
            <w:noWrap/>
            <w:vAlign w:val="center"/>
          </w:tcPr>
          <w:p w14:paraId="67A99C9E" w14:textId="77777777" w:rsidR="00844AC3" w:rsidRPr="00844AC3" w:rsidRDefault="00844AC3" w:rsidP="00907D11">
            <w:pPr>
              <w:spacing w:before="0" w:after="0"/>
              <w:jc w:val="center"/>
              <w:rPr>
                <w:color w:val="000000"/>
                <w:sz w:val="20"/>
                <w:szCs w:val="20"/>
              </w:rPr>
            </w:pPr>
            <w:r w:rsidRPr="00844AC3">
              <w:rPr>
                <w:color w:val="000000"/>
                <w:sz w:val="20"/>
                <w:szCs w:val="20"/>
              </w:rPr>
              <w:t>Low Isles</w:t>
            </w:r>
          </w:p>
        </w:tc>
        <w:tc>
          <w:tcPr>
            <w:tcW w:w="467" w:type="dxa"/>
            <w:shd w:val="clear" w:color="auto" w:fill="F3F9FA"/>
            <w:vAlign w:val="center"/>
          </w:tcPr>
          <w:p w14:paraId="70EA45BE"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66827CE3"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FDFBD7"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48B325BF" w14:textId="77777777" w:rsidR="00844AC3" w:rsidRPr="00F45F13" w:rsidRDefault="00844AC3" w:rsidP="00907D11">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BBBE489"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23B0E93"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EAAD6B8"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AFC4F52"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C7BEE02" w14:textId="77777777" w:rsidR="00844AC3" w:rsidRDefault="00844AC3" w:rsidP="00907D11">
            <w:pPr>
              <w:spacing w:before="0" w:after="0"/>
              <w:jc w:val="center"/>
              <w:rPr>
                <w:color w:val="000000"/>
                <w:sz w:val="14"/>
                <w:szCs w:val="14"/>
              </w:rPr>
            </w:pPr>
            <w:r w:rsidRPr="00F45F13">
              <w:rPr>
                <w:color w:val="000000"/>
                <w:sz w:val="16"/>
                <w:szCs w:val="16"/>
              </w:rPr>
              <w:sym w:font="Wingdings" w:char="F06E"/>
            </w:r>
          </w:p>
        </w:tc>
      </w:tr>
    </w:tbl>
    <w:p w14:paraId="2B7E0CD8" w14:textId="77777777" w:rsidR="00025B2F" w:rsidRPr="004F2236" w:rsidRDefault="00025B2F" w:rsidP="004F2236">
      <w:pPr>
        <w:pStyle w:val="Heading4"/>
        <w:numPr>
          <w:ilvl w:val="0"/>
          <w:numId w:val="0"/>
        </w:numPr>
        <w:rPr>
          <w:rFonts w:ascii="Arial" w:hAnsi="Arial" w:cs="Arial"/>
          <w:sz w:val="24"/>
          <w:szCs w:val="24"/>
        </w:rPr>
      </w:pPr>
      <w:bookmarkStart w:id="313" w:name="_Toc184101985"/>
      <w:r w:rsidRPr="004F2236">
        <w:rPr>
          <w:rFonts w:ascii="Arial" w:hAnsi="Arial" w:cs="Arial"/>
          <w:sz w:val="24"/>
          <w:szCs w:val="24"/>
        </w:rPr>
        <w:t>Seagrass abundance</w:t>
      </w:r>
      <w:r w:rsidR="001402C9">
        <w:rPr>
          <w:rFonts w:ascii="Arial" w:hAnsi="Arial" w:cs="Arial"/>
          <w:sz w:val="24"/>
          <w:szCs w:val="24"/>
        </w:rPr>
        <w:t>,</w:t>
      </w:r>
      <w:r w:rsidRPr="004F2236">
        <w:rPr>
          <w:rFonts w:ascii="Arial" w:hAnsi="Arial" w:cs="Arial"/>
          <w:sz w:val="24"/>
          <w:szCs w:val="24"/>
        </w:rPr>
        <w:t xml:space="preserve"> composition</w:t>
      </w:r>
      <w:bookmarkEnd w:id="313"/>
      <w:r w:rsidR="001402C9" w:rsidRPr="001402C9">
        <w:rPr>
          <w:rFonts w:ascii="Arial" w:hAnsi="Arial" w:cs="Arial"/>
          <w:sz w:val="24"/>
          <w:szCs w:val="24"/>
        </w:rPr>
        <w:t xml:space="preserve"> </w:t>
      </w:r>
      <w:r w:rsidR="001402C9" w:rsidRPr="004F2236">
        <w:rPr>
          <w:rFonts w:ascii="Arial" w:hAnsi="Arial" w:cs="Arial"/>
          <w:sz w:val="24"/>
          <w:szCs w:val="24"/>
        </w:rPr>
        <w:t>and</w:t>
      </w:r>
      <w:r w:rsidR="001402C9">
        <w:rPr>
          <w:rFonts w:ascii="Arial" w:hAnsi="Arial" w:cs="Arial"/>
          <w:sz w:val="24"/>
          <w:szCs w:val="24"/>
        </w:rPr>
        <w:t xml:space="preserve"> extent</w:t>
      </w:r>
    </w:p>
    <w:p w14:paraId="1DBF76B7" w14:textId="22909374" w:rsidR="001B6AA0" w:rsidRPr="00A91091" w:rsidRDefault="001B6AA0" w:rsidP="00907D11">
      <w:pPr>
        <w:rPr>
          <w:color w:val="000000" w:themeColor="text1"/>
          <w:szCs w:val="22"/>
        </w:rPr>
      </w:pPr>
      <w:r w:rsidRPr="00E668DD">
        <w:rPr>
          <w:color w:val="000000" w:themeColor="text1"/>
          <w:szCs w:val="22"/>
        </w:rPr>
        <w:t xml:space="preserve">The seagrass abundance score across the region was </w:t>
      </w:r>
      <w:r w:rsidR="00754C3C">
        <w:rPr>
          <w:color w:val="000000" w:themeColor="text1"/>
          <w:szCs w:val="22"/>
        </w:rPr>
        <w:t>graded</w:t>
      </w:r>
      <w:r w:rsidRPr="00E668DD">
        <w:rPr>
          <w:color w:val="000000" w:themeColor="text1"/>
          <w:szCs w:val="22"/>
        </w:rPr>
        <w:t xml:space="preserve"> as </w:t>
      </w:r>
      <w:r w:rsidR="00F37E11" w:rsidRPr="00E668DD">
        <w:rPr>
          <w:color w:val="000000" w:themeColor="text1"/>
          <w:szCs w:val="22"/>
        </w:rPr>
        <w:t xml:space="preserve">poor in </w:t>
      </w:r>
      <w:r w:rsidR="008574EC">
        <w:rPr>
          <w:color w:val="000000" w:themeColor="text1"/>
          <w:szCs w:val="22"/>
        </w:rPr>
        <w:t>2016–17</w:t>
      </w:r>
      <w:r w:rsidRPr="00E668DD">
        <w:rPr>
          <w:color w:val="000000" w:themeColor="text1"/>
          <w:szCs w:val="22"/>
        </w:rPr>
        <w:t xml:space="preserve"> (</w:t>
      </w:r>
      <w:r w:rsidR="002F7814">
        <w:rPr>
          <w:color w:val="000000" w:themeColor="text1"/>
          <w:szCs w:val="22"/>
        </w:rPr>
        <w:fldChar w:fldCharType="begin"/>
      </w:r>
      <w:r w:rsidR="002F7814">
        <w:rPr>
          <w:color w:val="000000" w:themeColor="text1"/>
          <w:szCs w:val="22"/>
        </w:rPr>
        <w:instrText xml:space="preserve"> REF _Ref385233640 \h </w:instrText>
      </w:r>
      <w:r w:rsidR="002F7814">
        <w:rPr>
          <w:color w:val="000000" w:themeColor="text1"/>
          <w:szCs w:val="22"/>
        </w:rPr>
      </w:r>
      <w:r w:rsidR="002F7814">
        <w:rPr>
          <w:color w:val="000000" w:themeColor="text1"/>
          <w:szCs w:val="22"/>
        </w:rPr>
        <w:fldChar w:fldCharType="separate"/>
      </w:r>
      <w:r w:rsidR="00F87DF9" w:rsidRPr="00025245">
        <w:rPr>
          <w:color w:val="000000"/>
        </w:rPr>
        <w:t xml:space="preserve">Figure </w:t>
      </w:r>
      <w:r w:rsidR="00F87DF9">
        <w:rPr>
          <w:noProof/>
          <w:color w:val="000000"/>
        </w:rPr>
        <w:t>45</w:t>
      </w:r>
      <w:r w:rsidR="002F7814">
        <w:rPr>
          <w:color w:val="000000" w:themeColor="text1"/>
          <w:szCs w:val="22"/>
        </w:rPr>
        <w:fldChar w:fldCharType="end"/>
      </w:r>
      <w:r w:rsidRPr="006222CA">
        <w:rPr>
          <w:color w:val="000000" w:themeColor="text1"/>
          <w:szCs w:val="22"/>
        </w:rPr>
        <w:t>). The long-term average seagrass cover at coastal habitats in the Wet Tropics NRM region var</w:t>
      </w:r>
      <w:r w:rsidR="006A73BA" w:rsidRPr="006222CA">
        <w:rPr>
          <w:color w:val="000000" w:themeColor="text1"/>
          <w:szCs w:val="22"/>
        </w:rPr>
        <w:t>ied greatly between seasons: 6.2</w:t>
      </w:r>
      <w:r w:rsidRPr="006222CA">
        <w:rPr>
          <w:color w:val="000000" w:themeColor="text1"/>
          <w:szCs w:val="22"/>
        </w:rPr>
        <w:t xml:space="preserve"> ±</w:t>
      </w:r>
      <w:r w:rsidR="006A73BA" w:rsidRPr="006222CA">
        <w:rPr>
          <w:color w:val="000000" w:themeColor="text1"/>
          <w:szCs w:val="22"/>
        </w:rPr>
        <w:t>0.7</w:t>
      </w:r>
      <w:r w:rsidR="0063478C" w:rsidRPr="006222CA">
        <w:rPr>
          <w:color w:val="000000" w:themeColor="text1"/>
          <w:szCs w:val="22"/>
        </w:rPr>
        <w:t xml:space="preserve"> per cent</w:t>
      </w:r>
      <w:r w:rsidRPr="006222CA">
        <w:rPr>
          <w:color w:val="000000" w:themeColor="text1"/>
          <w:szCs w:val="22"/>
        </w:rPr>
        <w:t xml:space="preserve"> in the dry and </w:t>
      </w:r>
      <w:r w:rsidR="006A73BA" w:rsidRPr="006222CA">
        <w:rPr>
          <w:color w:val="000000" w:themeColor="text1"/>
          <w:szCs w:val="22"/>
        </w:rPr>
        <w:t>18.8 ±0.7</w:t>
      </w:r>
      <w:r w:rsidR="0063478C" w:rsidRPr="006222CA">
        <w:rPr>
          <w:color w:val="000000" w:themeColor="text1"/>
          <w:szCs w:val="22"/>
        </w:rPr>
        <w:t xml:space="preserve"> per cent</w:t>
      </w:r>
      <w:r w:rsidRPr="006222CA">
        <w:rPr>
          <w:color w:val="000000" w:themeColor="text1"/>
          <w:szCs w:val="22"/>
        </w:rPr>
        <w:t xml:space="preserve"> in the </w:t>
      </w:r>
      <w:r w:rsidR="000945E8" w:rsidRPr="006222CA">
        <w:rPr>
          <w:color w:val="000000" w:themeColor="text1"/>
          <w:szCs w:val="22"/>
        </w:rPr>
        <w:t>wet</w:t>
      </w:r>
      <w:r w:rsidRPr="006222CA">
        <w:rPr>
          <w:color w:val="000000" w:themeColor="text1"/>
          <w:szCs w:val="22"/>
        </w:rPr>
        <w:t xml:space="preserve"> season. Changes in seagrass abundance were variable among </w:t>
      </w:r>
      <w:r w:rsidR="006222CA" w:rsidRPr="006222CA">
        <w:rPr>
          <w:color w:val="000000" w:themeColor="text1"/>
          <w:szCs w:val="22"/>
        </w:rPr>
        <w:t>habitats</w:t>
      </w:r>
      <w:r w:rsidRPr="006222CA">
        <w:rPr>
          <w:color w:val="000000" w:themeColor="text1"/>
          <w:szCs w:val="22"/>
        </w:rPr>
        <w:t>,</w:t>
      </w:r>
      <w:r w:rsidR="006222CA" w:rsidRPr="006222CA">
        <w:rPr>
          <w:color w:val="000000" w:themeColor="text1"/>
          <w:szCs w:val="22"/>
        </w:rPr>
        <w:t xml:space="preserve"> increasing or stabilising at reef intertidal and coastal habitats, but declining in reef subtidal habitat</w:t>
      </w:r>
      <w:r w:rsidRPr="006222CA">
        <w:rPr>
          <w:color w:val="000000" w:themeColor="text1"/>
          <w:szCs w:val="22"/>
        </w:rPr>
        <w:t xml:space="preserve">. </w:t>
      </w:r>
      <w:r w:rsidR="006222CA" w:rsidRPr="006222CA">
        <w:rPr>
          <w:color w:val="000000" w:themeColor="text1"/>
          <w:szCs w:val="22"/>
        </w:rPr>
        <w:t xml:space="preserve">After six years, seagrass has </w:t>
      </w:r>
      <w:r w:rsidR="00754C3C">
        <w:rPr>
          <w:color w:val="000000" w:themeColor="text1"/>
          <w:szCs w:val="22"/>
        </w:rPr>
        <w:t>appeared</w:t>
      </w:r>
      <w:r w:rsidR="006222CA" w:rsidRPr="006222CA">
        <w:rPr>
          <w:color w:val="000000" w:themeColor="text1"/>
          <w:szCs w:val="22"/>
        </w:rPr>
        <w:t xml:space="preserve"> at the Lugger Bay site </w:t>
      </w:r>
      <w:r w:rsidR="006222CA">
        <w:rPr>
          <w:color w:val="000000" w:themeColor="text1"/>
          <w:szCs w:val="22"/>
        </w:rPr>
        <w:t>following</w:t>
      </w:r>
      <w:r w:rsidR="006222CA" w:rsidRPr="006222CA">
        <w:rPr>
          <w:color w:val="000000" w:themeColor="text1"/>
          <w:szCs w:val="22"/>
        </w:rPr>
        <w:t xml:space="preserve"> complete loss in 2011</w:t>
      </w:r>
      <w:r w:rsidR="00852DB0">
        <w:rPr>
          <w:color w:val="000000" w:themeColor="text1"/>
          <w:szCs w:val="22"/>
        </w:rPr>
        <w:t xml:space="preserve"> (</w:t>
      </w:r>
      <w:r w:rsidR="00852DB0">
        <w:rPr>
          <w:color w:val="000000" w:themeColor="text1"/>
          <w:szCs w:val="22"/>
        </w:rPr>
        <w:fldChar w:fldCharType="begin"/>
      </w:r>
      <w:r w:rsidR="00852DB0">
        <w:rPr>
          <w:color w:val="000000" w:themeColor="text1"/>
          <w:szCs w:val="22"/>
        </w:rPr>
        <w:instrText xml:space="preserve"> REF _Ref179412965 \h </w:instrText>
      </w:r>
      <w:r w:rsidR="00852DB0">
        <w:rPr>
          <w:color w:val="000000" w:themeColor="text1"/>
          <w:szCs w:val="22"/>
        </w:rPr>
      </w:r>
      <w:r w:rsidR="00852DB0">
        <w:rPr>
          <w:color w:val="000000" w:themeColor="text1"/>
          <w:szCs w:val="22"/>
        </w:rPr>
        <w:fldChar w:fldCharType="separate"/>
      </w:r>
      <w:r w:rsidR="00F87DF9" w:rsidRPr="007615D3">
        <w:rPr>
          <w:color w:val="000000"/>
        </w:rPr>
        <w:t xml:space="preserve">Figure </w:t>
      </w:r>
      <w:r w:rsidR="00F87DF9">
        <w:rPr>
          <w:noProof/>
          <w:color w:val="000000"/>
        </w:rPr>
        <w:t>50</w:t>
      </w:r>
      <w:r w:rsidR="00852DB0">
        <w:rPr>
          <w:color w:val="000000" w:themeColor="text1"/>
          <w:szCs w:val="22"/>
        </w:rPr>
        <w:fldChar w:fldCharType="end"/>
      </w:r>
      <w:r w:rsidR="00852DB0">
        <w:rPr>
          <w:color w:val="000000" w:themeColor="text1"/>
          <w:szCs w:val="22"/>
        </w:rPr>
        <w:t>)</w:t>
      </w:r>
      <w:r w:rsidR="00A91091" w:rsidRPr="006222CA">
        <w:rPr>
          <w:color w:val="000000" w:themeColor="text1"/>
          <w:szCs w:val="22"/>
        </w:rPr>
        <w:t xml:space="preserve">. </w:t>
      </w:r>
      <w:r w:rsidR="006222CA" w:rsidRPr="006222CA">
        <w:rPr>
          <w:color w:val="000000" w:themeColor="text1"/>
          <w:szCs w:val="22"/>
        </w:rPr>
        <w:t xml:space="preserve">The largest declines occurred at the </w:t>
      </w:r>
      <w:r w:rsidR="00452B63">
        <w:rPr>
          <w:color w:val="000000" w:themeColor="text1"/>
          <w:szCs w:val="22"/>
        </w:rPr>
        <w:t>Dunk I</w:t>
      </w:r>
      <w:r w:rsidR="006222CA" w:rsidRPr="006222CA">
        <w:rPr>
          <w:color w:val="000000" w:themeColor="text1"/>
          <w:szCs w:val="22"/>
        </w:rPr>
        <w:t xml:space="preserve">sland subtidal site, where recovery over the previous two years were reversed in </w:t>
      </w:r>
      <w:r w:rsidR="008574EC">
        <w:rPr>
          <w:color w:val="000000" w:themeColor="text1"/>
          <w:szCs w:val="22"/>
        </w:rPr>
        <w:t>2016–17</w:t>
      </w:r>
      <w:r w:rsidR="006222CA" w:rsidRPr="006222CA">
        <w:rPr>
          <w:color w:val="000000" w:themeColor="text1"/>
          <w:szCs w:val="22"/>
        </w:rPr>
        <w:t>, and at Green Island where declines have continued since 2012</w:t>
      </w:r>
      <w:r w:rsidR="00852DB0">
        <w:rPr>
          <w:color w:val="000000" w:themeColor="text1"/>
          <w:szCs w:val="22"/>
        </w:rPr>
        <w:t xml:space="preserve"> (</w:t>
      </w:r>
      <w:r w:rsidR="00852DB0">
        <w:rPr>
          <w:color w:val="000000" w:themeColor="text1"/>
          <w:szCs w:val="22"/>
        </w:rPr>
        <w:fldChar w:fldCharType="begin"/>
      </w:r>
      <w:r w:rsidR="00852DB0">
        <w:rPr>
          <w:color w:val="000000" w:themeColor="text1"/>
          <w:szCs w:val="22"/>
        </w:rPr>
        <w:instrText xml:space="preserve"> REF _Ref348439596 \h </w:instrText>
      </w:r>
      <w:r w:rsidR="00852DB0">
        <w:rPr>
          <w:color w:val="000000" w:themeColor="text1"/>
          <w:szCs w:val="22"/>
        </w:rPr>
      </w:r>
      <w:r w:rsidR="00852DB0">
        <w:rPr>
          <w:color w:val="000000" w:themeColor="text1"/>
          <w:szCs w:val="22"/>
        </w:rPr>
        <w:fldChar w:fldCharType="separate"/>
      </w:r>
      <w:r w:rsidR="00F87DF9" w:rsidRPr="006D3C69">
        <w:rPr>
          <w:color w:val="000000"/>
          <w:szCs w:val="22"/>
        </w:rPr>
        <w:t xml:space="preserve">Figure </w:t>
      </w:r>
      <w:r w:rsidR="00F87DF9">
        <w:rPr>
          <w:noProof/>
          <w:color w:val="000000"/>
          <w:szCs w:val="22"/>
        </w:rPr>
        <w:t>51</w:t>
      </w:r>
      <w:r w:rsidR="00852DB0">
        <w:rPr>
          <w:color w:val="000000" w:themeColor="text1"/>
          <w:szCs w:val="22"/>
        </w:rPr>
        <w:fldChar w:fldCharType="end"/>
      </w:r>
      <w:r w:rsidR="00852DB0">
        <w:rPr>
          <w:color w:val="000000" w:themeColor="text1"/>
          <w:szCs w:val="22"/>
        </w:rPr>
        <w:t>)</w:t>
      </w:r>
      <w:r w:rsidR="006222CA" w:rsidRPr="006222CA">
        <w:rPr>
          <w:color w:val="000000" w:themeColor="text1"/>
          <w:szCs w:val="22"/>
        </w:rPr>
        <w:t xml:space="preserve">. </w:t>
      </w:r>
    </w:p>
    <w:p w14:paraId="5539FF74" w14:textId="77777777" w:rsidR="001B6AA0" w:rsidRDefault="00DC7715" w:rsidP="00907D11">
      <w:pPr>
        <w:jc w:val="center"/>
        <w:rPr>
          <w:color w:val="000000"/>
          <w:szCs w:val="22"/>
        </w:rPr>
      </w:pPr>
      <w:r>
        <w:rPr>
          <w:noProof/>
          <w:color w:val="000000"/>
          <w:szCs w:val="22"/>
          <w:lang w:eastAsia="en-AU"/>
        </w:rPr>
        <w:drawing>
          <wp:inline distT="0" distB="0" distL="0" distR="0" wp14:anchorId="40BCF9FF" wp14:editId="21BBC47A">
            <wp:extent cx="5024604" cy="1861200"/>
            <wp:effectExtent l="0" t="0" r="5080" b="5715"/>
            <wp:docPr id="303" name="Picture 303" descr="Panel of two scatter plots with straight lines and markers showing seagrass abundance (% cover and standard error) at inshore intertidal coastal habitats (sites pooled) in the Wet Tropics NRM region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WT_coast_SG16.png"/>
                    <pic:cNvPicPr/>
                  </pic:nvPicPr>
                  <pic:blipFill>
                    <a:blip r:embed="rId87"/>
                    <a:stretch>
                      <a:fillRect/>
                    </a:stretch>
                  </pic:blipFill>
                  <pic:spPr>
                    <a:xfrm>
                      <a:off x="0" y="0"/>
                      <a:ext cx="5024604" cy="1861200"/>
                    </a:xfrm>
                    <a:prstGeom prst="rect">
                      <a:avLst/>
                    </a:prstGeom>
                  </pic:spPr>
                </pic:pic>
              </a:graphicData>
            </a:graphic>
          </wp:inline>
        </w:drawing>
      </w:r>
    </w:p>
    <w:p w14:paraId="7126190C" w14:textId="183D190C" w:rsidR="00012F2C" w:rsidRPr="00E75670" w:rsidRDefault="005132EF" w:rsidP="00907D11">
      <w:bookmarkStart w:id="314" w:name="_Ref179412965"/>
      <w:bookmarkStart w:id="315" w:name="_Toc176158861"/>
      <w:bookmarkStart w:id="316" w:name="_Toc232845966"/>
      <w:bookmarkStart w:id="317" w:name="_Toc431493840"/>
      <w:bookmarkStart w:id="318" w:name="_Toc516053260"/>
      <w:bookmarkEnd w:id="297"/>
      <w:r w:rsidRPr="007615D3">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50</w:t>
      </w:r>
      <w:r w:rsidR="0073595B">
        <w:rPr>
          <w:color w:val="000000"/>
        </w:rPr>
        <w:fldChar w:fldCharType="end"/>
      </w:r>
      <w:bookmarkEnd w:id="314"/>
      <w:r w:rsidRPr="007615D3">
        <w:rPr>
          <w:color w:val="000000"/>
        </w:rPr>
        <w:t xml:space="preserve">. </w:t>
      </w:r>
      <w:bookmarkEnd w:id="315"/>
      <w:bookmarkEnd w:id="316"/>
      <w:r w:rsidRPr="007615D3">
        <w:rPr>
          <w:i/>
          <w:color w:val="000000"/>
        </w:rPr>
        <w:t>Changes in seagrass abundance (</w:t>
      </w:r>
      <w:r w:rsidR="0063478C">
        <w:rPr>
          <w:i/>
          <w:color w:val="000000"/>
        </w:rPr>
        <w:t>per cent</w:t>
      </w:r>
      <w:r w:rsidRPr="007615D3">
        <w:rPr>
          <w:i/>
          <w:color w:val="000000"/>
        </w:rPr>
        <w:t xml:space="preserve"> cover ±</w:t>
      </w:r>
      <w:r w:rsidR="009C7692">
        <w:rPr>
          <w:i/>
          <w:color w:val="000000"/>
        </w:rPr>
        <w:t xml:space="preserve"> SE</w:t>
      </w:r>
      <w:r w:rsidRPr="007615D3">
        <w:rPr>
          <w:i/>
          <w:color w:val="000000"/>
        </w:rPr>
        <w:t xml:space="preserve">) </w:t>
      </w:r>
      <w:r w:rsidR="00A12512" w:rsidRPr="007615D3">
        <w:rPr>
          <w:i/>
          <w:color w:val="000000"/>
        </w:rPr>
        <w:t xml:space="preserve">at inshore </w:t>
      </w:r>
      <w:r w:rsidRPr="007615D3">
        <w:rPr>
          <w:i/>
          <w:color w:val="000000"/>
        </w:rPr>
        <w:t xml:space="preserve">intertidal </w:t>
      </w:r>
      <w:r w:rsidR="00A12512" w:rsidRPr="007615D3">
        <w:rPr>
          <w:i/>
          <w:color w:val="000000"/>
        </w:rPr>
        <w:t>coastal habitats</w:t>
      </w:r>
      <w:r w:rsidRPr="007615D3">
        <w:rPr>
          <w:i/>
          <w:color w:val="000000"/>
        </w:rPr>
        <w:t xml:space="preserve"> in the Wet Tropics </w:t>
      </w:r>
      <w:r w:rsidR="00F35A94">
        <w:rPr>
          <w:i/>
          <w:color w:val="000000"/>
        </w:rPr>
        <w:t xml:space="preserve">NRM </w:t>
      </w:r>
      <w:r w:rsidRPr="007615D3">
        <w:rPr>
          <w:i/>
          <w:color w:val="000000"/>
        </w:rPr>
        <w:t>region</w:t>
      </w:r>
      <w:r w:rsidR="00A12512" w:rsidRPr="007615D3">
        <w:rPr>
          <w:i/>
          <w:color w:val="000000"/>
        </w:rPr>
        <w:t>,</w:t>
      </w:r>
      <w:r w:rsidRPr="007615D3">
        <w:rPr>
          <w:i/>
          <w:color w:val="000000"/>
        </w:rPr>
        <w:t xml:space="preserve"> 2000 </w:t>
      </w:r>
      <w:r w:rsidR="00574C5B" w:rsidRPr="007615D3">
        <w:rPr>
          <w:i/>
          <w:color w:val="000000"/>
        </w:rPr>
        <w:t>-</w:t>
      </w:r>
      <w:r w:rsidRPr="007615D3">
        <w:rPr>
          <w:i/>
          <w:color w:val="000000"/>
        </w:rPr>
        <w:t xml:space="preserve"> </w:t>
      </w:r>
      <w:r w:rsidR="00452B63" w:rsidRPr="00452B63">
        <w:rPr>
          <w:i/>
          <w:color w:val="000000" w:themeColor="text1"/>
        </w:rPr>
        <w:t>2017</w:t>
      </w:r>
      <w:r w:rsidRPr="007615D3">
        <w:rPr>
          <w:i/>
          <w:color w:val="000000"/>
        </w:rPr>
        <w:t>.</w:t>
      </w:r>
      <w:bookmarkEnd w:id="317"/>
      <w:bookmarkEnd w:id="318"/>
    </w:p>
    <w:p w14:paraId="3F8B0A19" w14:textId="77777777" w:rsidR="001B6AA0" w:rsidRDefault="00DC7715" w:rsidP="00907D11">
      <w:pPr>
        <w:keepNext/>
        <w:widowControl w:val="0"/>
        <w:spacing w:after="0"/>
        <w:jc w:val="center"/>
        <w:rPr>
          <w:lang w:val="en-GB"/>
        </w:rPr>
      </w:pPr>
      <w:r>
        <w:rPr>
          <w:noProof/>
          <w:lang w:eastAsia="en-AU"/>
        </w:rPr>
        <w:drawing>
          <wp:inline distT="0" distB="0" distL="0" distR="0" wp14:anchorId="2E52013D" wp14:editId="092BD042">
            <wp:extent cx="4671426" cy="6529052"/>
            <wp:effectExtent l="0" t="0" r="0" b="5715"/>
            <wp:docPr id="48" name="Picture 48" descr="Set of seven scatter plots with straight lines and markers showing seagrass abundance (% cover and standard error) at inshore intertidal and subtidal reef habitats (replicate sites pooled) in the Wet Tropics NRM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WT_reef_SG16.png"/>
                    <pic:cNvPicPr/>
                  </pic:nvPicPr>
                  <pic:blipFill>
                    <a:blip r:embed="rId88">
                      <a:extLst>
                        <a:ext uri="{28A0092B-C50C-407E-A947-70E740481C1C}">
                          <a14:useLocalDpi xmlns:a14="http://schemas.microsoft.com/office/drawing/2010/main" val="0"/>
                        </a:ext>
                      </a:extLst>
                    </a:blip>
                    <a:stretch>
                      <a:fillRect/>
                    </a:stretch>
                  </pic:blipFill>
                  <pic:spPr>
                    <a:xfrm>
                      <a:off x="0" y="0"/>
                      <a:ext cx="4671426" cy="6529052"/>
                    </a:xfrm>
                    <a:prstGeom prst="rect">
                      <a:avLst/>
                    </a:prstGeom>
                  </pic:spPr>
                </pic:pic>
              </a:graphicData>
            </a:graphic>
          </wp:inline>
        </w:drawing>
      </w:r>
    </w:p>
    <w:p w14:paraId="66BBE842" w14:textId="6516D51B" w:rsidR="00574C5B" w:rsidRPr="00E75670" w:rsidRDefault="00ED32CE" w:rsidP="00907D11">
      <w:pPr>
        <w:rPr>
          <w:i/>
          <w:szCs w:val="22"/>
        </w:rPr>
      </w:pPr>
      <w:bookmarkStart w:id="319" w:name="_Ref348439596"/>
      <w:bookmarkStart w:id="320" w:name="_Toc431493841"/>
      <w:bookmarkStart w:id="321" w:name="_Toc516053261"/>
      <w:r w:rsidRPr="006D3C69">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51</w:t>
      </w:r>
      <w:r w:rsidR="0073595B">
        <w:rPr>
          <w:color w:val="000000"/>
          <w:szCs w:val="22"/>
        </w:rPr>
        <w:fldChar w:fldCharType="end"/>
      </w:r>
      <w:bookmarkEnd w:id="319"/>
      <w:r w:rsidRPr="006D3C69">
        <w:rPr>
          <w:color w:val="000000"/>
          <w:szCs w:val="22"/>
        </w:rPr>
        <w:t>.</w:t>
      </w:r>
      <w:r w:rsidRPr="006D3C69">
        <w:rPr>
          <w:i/>
          <w:color w:val="000000"/>
          <w:szCs w:val="22"/>
        </w:rPr>
        <w:t xml:space="preserve"> Changes in seagrass abundance (</w:t>
      </w:r>
      <w:r w:rsidR="0063478C">
        <w:rPr>
          <w:i/>
          <w:color w:val="000000"/>
          <w:szCs w:val="22"/>
        </w:rPr>
        <w:t>per cent</w:t>
      </w:r>
      <w:r w:rsidRPr="006D3C69">
        <w:rPr>
          <w:i/>
          <w:color w:val="000000"/>
          <w:szCs w:val="22"/>
        </w:rPr>
        <w:t xml:space="preserve"> cover ±</w:t>
      </w:r>
      <w:r w:rsidR="009C7692">
        <w:rPr>
          <w:i/>
          <w:color w:val="000000"/>
          <w:szCs w:val="22"/>
        </w:rPr>
        <w:t xml:space="preserve"> SE</w:t>
      </w:r>
      <w:r w:rsidRPr="006D3C69">
        <w:rPr>
          <w:i/>
          <w:color w:val="000000"/>
          <w:szCs w:val="22"/>
        </w:rPr>
        <w:t xml:space="preserve">) </w:t>
      </w:r>
      <w:r w:rsidR="00574C5B" w:rsidRPr="006D3C69">
        <w:rPr>
          <w:i/>
          <w:color w:val="000000"/>
          <w:szCs w:val="22"/>
        </w:rPr>
        <w:t>for</w:t>
      </w:r>
      <w:r w:rsidRPr="006D3C69">
        <w:rPr>
          <w:i/>
          <w:color w:val="000000"/>
          <w:szCs w:val="22"/>
        </w:rPr>
        <w:t xml:space="preserve"> </w:t>
      </w:r>
      <w:r w:rsidR="00574C5B" w:rsidRPr="006D3C69">
        <w:rPr>
          <w:i/>
          <w:color w:val="000000"/>
          <w:szCs w:val="22"/>
        </w:rPr>
        <w:t xml:space="preserve">inshore intertidal and </w:t>
      </w:r>
      <w:r w:rsidR="00574C5B" w:rsidRPr="007615D3">
        <w:rPr>
          <w:i/>
          <w:color w:val="000000"/>
          <w:szCs w:val="22"/>
        </w:rPr>
        <w:t xml:space="preserve">subtidal </w:t>
      </w:r>
      <w:r w:rsidR="006B2240" w:rsidRPr="007615D3">
        <w:rPr>
          <w:i/>
          <w:color w:val="000000"/>
          <w:szCs w:val="22"/>
        </w:rPr>
        <w:t>reef habitat</w:t>
      </w:r>
      <w:r w:rsidR="00574C5B" w:rsidRPr="007615D3">
        <w:rPr>
          <w:i/>
          <w:color w:val="000000"/>
          <w:szCs w:val="22"/>
        </w:rPr>
        <w:t>s</w:t>
      </w:r>
      <w:r w:rsidR="006B2240" w:rsidRPr="007615D3">
        <w:rPr>
          <w:i/>
          <w:color w:val="000000"/>
          <w:szCs w:val="22"/>
        </w:rPr>
        <w:t xml:space="preserve"> </w:t>
      </w:r>
      <w:r w:rsidRPr="007615D3">
        <w:rPr>
          <w:i/>
          <w:color w:val="000000"/>
          <w:szCs w:val="22"/>
        </w:rPr>
        <w:t xml:space="preserve">(left and right respectively) </w:t>
      </w:r>
      <w:r w:rsidR="00574C5B" w:rsidRPr="007615D3">
        <w:rPr>
          <w:i/>
          <w:color w:val="000000"/>
          <w:szCs w:val="22"/>
        </w:rPr>
        <w:t>in the</w:t>
      </w:r>
      <w:r w:rsidRPr="007615D3">
        <w:rPr>
          <w:i/>
          <w:color w:val="000000"/>
          <w:szCs w:val="22"/>
        </w:rPr>
        <w:t xml:space="preserve"> </w:t>
      </w:r>
      <w:r w:rsidR="006B2240" w:rsidRPr="007615D3">
        <w:rPr>
          <w:i/>
          <w:color w:val="000000"/>
          <w:szCs w:val="22"/>
        </w:rPr>
        <w:t xml:space="preserve">Wet Tropics </w:t>
      </w:r>
      <w:r w:rsidR="00F35A94">
        <w:rPr>
          <w:i/>
          <w:color w:val="000000"/>
          <w:szCs w:val="22"/>
        </w:rPr>
        <w:t>NRM</w:t>
      </w:r>
      <w:r w:rsidR="005D2F52">
        <w:rPr>
          <w:i/>
          <w:color w:val="000000"/>
          <w:szCs w:val="22"/>
        </w:rPr>
        <w:t xml:space="preserve"> </w:t>
      </w:r>
      <w:r w:rsidR="00574C5B" w:rsidRPr="007615D3">
        <w:rPr>
          <w:i/>
          <w:color w:val="000000"/>
          <w:szCs w:val="22"/>
        </w:rPr>
        <w:t xml:space="preserve">region, 2001 </w:t>
      </w:r>
      <w:r w:rsidR="00F35A94">
        <w:rPr>
          <w:i/>
          <w:color w:val="000000"/>
          <w:szCs w:val="22"/>
        </w:rPr>
        <w:t>–</w:t>
      </w:r>
      <w:r w:rsidR="00574C5B" w:rsidRPr="007615D3">
        <w:rPr>
          <w:i/>
          <w:color w:val="000000"/>
          <w:szCs w:val="22"/>
        </w:rPr>
        <w:t xml:space="preserve"> </w:t>
      </w:r>
      <w:r w:rsidR="00574C5B" w:rsidRPr="00452B63">
        <w:rPr>
          <w:i/>
          <w:color w:val="000000" w:themeColor="text1"/>
          <w:szCs w:val="22"/>
        </w:rPr>
        <w:t>201</w:t>
      </w:r>
      <w:bookmarkEnd w:id="320"/>
      <w:r w:rsidR="00452B63" w:rsidRPr="00452B63">
        <w:rPr>
          <w:i/>
          <w:color w:val="000000" w:themeColor="text1"/>
          <w:szCs w:val="22"/>
        </w:rPr>
        <w:t>7</w:t>
      </w:r>
      <w:r w:rsidR="00F35A94">
        <w:rPr>
          <w:i/>
          <w:color w:val="000000"/>
          <w:szCs w:val="22"/>
        </w:rPr>
        <w:t>.</w:t>
      </w:r>
      <w:bookmarkEnd w:id="321"/>
    </w:p>
    <w:p w14:paraId="51CA1FF7" w14:textId="16B977E6" w:rsidR="00B07165" w:rsidRPr="00662E54" w:rsidRDefault="00B07165" w:rsidP="00907D11">
      <w:pPr>
        <w:rPr>
          <w:szCs w:val="22"/>
        </w:rPr>
      </w:pPr>
      <w:r w:rsidRPr="00A62C45">
        <w:rPr>
          <w:color w:val="000000" w:themeColor="text1"/>
          <w:szCs w:val="22"/>
        </w:rPr>
        <w:t>An examination of the long term trends across the Wet Tropics NRM region suggests seagrass abundance (</w:t>
      </w:r>
      <w:r w:rsidR="0063478C" w:rsidRPr="00A62C45">
        <w:rPr>
          <w:color w:val="000000" w:themeColor="text1"/>
          <w:szCs w:val="22"/>
        </w:rPr>
        <w:t>per cent</w:t>
      </w:r>
      <w:r w:rsidRPr="00A62C45">
        <w:rPr>
          <w:color w:val="000000" w:themeColor="text1"/>
          <w:szCs w:val="22"/>
        </w:rPr>
        <w:t xml:space="preserve"> cover) has </w:t>
      </w:r>
      <w:r w:rsidR="00515CE6" w:rsidRPr="00A62C45">
        <w:rPr>
          <w:color w:val="000000" w:themeColor="text1"/>
          <w:szCs w:val="22"/>
        </w:rPr>
        <w:t xml:space="preserve">remained relatively stable </w:t>
      </w:r>
      <w:r w:rsidR="00662E54" w:rsidRPr="00A62C45">
        <w:rPr>
          <w:color w:val="000000" w:themeColor="text1"/>
          <w:szCs w:val="22"/>
        </w:rPr>
        <w:t>in the northern section</w:t>
      </w:r>
      <w:r w:rsidR="00515CE6" w:rsidRPr="00A62C45">
        <w:rPr>
          <w:color w:val="000000" w:themeColor="text1"/>
          <w:szCs w:val="22"/>
        </w:rPr>
        <w:t xml:space="preserve"> (with variable trajectories among </w:t>
      </w:r>
      <w:r w:rsidR="00112864" w:rsidRPr="00A62C45">
        <w:rPr>
          <w:color w:val="000000" w:themeColor="text1"/>
          <w:szCs w:val="22"/>
        </w:rPr>
        <w:t>habitats leading to large variation</w:t>
      </w:r>
      <w:r w:rsidR="00515CE6" w:rsidRPr="00A62C45">
        <w:rPr>
          <w:color w:val="000000" w:themeColor="text1"/>
          <w:szCs w:val="22"/>
        </w:rPr>
        <w:t>)</w:t>
      </w:r>
      <w:r w:rsidR="00662E54" w:rsidRPr="00A62C45">
        <w:rPr>
          <w:color w:val="000000" w:themeColor="text1"/>
          <w:szCs w:val="22"/>
        </w:rPr>
        <w:t xml:space="preserve"> </w:t>
      </w:r>
      <w:r w:rsidR="00112864" w:rsidRPr="00A62C45">
        <w:rPr>
          <w:color w:val="000000" w:themeColor="text1"/>
          <w:szCs w:val="22"/>
        </w:rPr>
        <w:t>(</w:t>
      </w:r>
      <w:r w:rsidR="00112864" w:rsidRPr="00A62C45">
        <w:rPr>
          <w:color w:val="000000" w:themeColor="text1"/>
          <w:szCs w:val="22"/>
        </w:rPr>
        <w:fldChar w:fldCharType="begin"/>
      </w:r>
      <w:r w:rsidR="00112864" w:rsidRPr="00A62C45">
        <w:rPr>
          <w:color w:val="000000" w:themeColor="text1"/>
          <w:szCs w:val="22"/>
        </w:rPr>
        <w:instrText xml:space="preserve"> REF _Ref442427651 \h </w:instrText>
      </w:r>
      <w:r w:rsidR="00112864" w:rsidRPr="00A62C45">
        <w:rPr>
          <w:color w:val="000000" w:themeColor="text1"/>
          <w:szCs w:val="22"/>
        </w:rPr>
      </w:r>
      <w:r w:rsidR="00112864" w:rsidRPr="00A62C45">
        <w:rPr>
          <w:color w:val="000000" w:themeColor="text1"/>
          <w:szCs w:val="22"/>
        </w:rPr>
        <w:fldChar w:fldCharType="separate"/>
      </w:r>
      <w:r w:rsidR="00F87DF9" w:rsidRPr="00D82A3D">
        <w:t xml:space="preserve">Figure </w:t>
      </w:r>
      <w:r w:rsidR="00F87DF9">
        <w:rPr>
          <w:noProof/>
        </w:rPr>
        <w:t>52</w:t>
      </w:r>
      <w:r w:rsidR="00112864" w:rsidRPr="00A62C45">
        <w:rPr>
          <w:color w:val="000000" w:themeColor="text1"/>
          <w:szCs w:val="22"/>
        </w:rPr>
        <w:fldChar w:fldCharType="end"/>
      </w:r>
      <w:r w:rsidR="00852DB0">
        <w:rPr>
          <w:color w:val="000000" w:themeColor="text1"/>
          <w:szCs w:val="22"/>
        </w:rPr>
        <w:t xml:space="preserve">, </w:t>
      </w:r>
      <w:r w:rsidR="00852DB0">
        <w:rPr>
          <w:color w:val="000000" w:themeColor="text1"/>
          <w:szCs w:val="22"/>
        </w:rPr>
        <w:fldChar w:fldCharType="begin"/>
      </w:r>
      <w:r w:rsidR="00852DB0">
        <w:rPr>
          <w:color w:val="000000" w:themeColor="text1"/>
          <w:szCs w:val="22"/>
        </w:rPr>
        <w:instrText xml:space="preserve"> REF _Ref509322617 \h </w:instrText>
      </w:r>
      <w:r w:rsidR="00852DB0">
        <w:rPr>
          <w:color w:val="000000" w:themeColor="text1"/>
          <w:szCs w:val="22"/>
        </w:rPr>
      </w:r>
      <w:r w:rsidR="00852DB0">
        <w:rPr>
          <w:color w:val="000000" w:themeColor="text1"/>
          <w:szCs w:val="22"/>
        </w:rPr>
        <w:fldChar w:fldCharType="separate"/>
      </w:r>
      <w:r w:rsidR="00F87DF9" w:rsidRPr="004677EF">
        <w:t xml:space="preserve">Figure </w:t>
      </w:r>
      <w:r w:rsidR="00F87DF9">
        <w:rPr>
          <w:noProof/>
        </w:rPr>
        <w:t>53</w:t>
      </w:r>
      <w:r w:rsidR="00852DB0">
        <w:rPr>
          <w:color w:val="000000" w:themeColor="text1"/>
          <w:szCs w:val="22"/>
        </w:rPr>
        <w:fldChar w:fldCharType="end"/>
      </w:r>
      <w:r w:rsidR="00112864" w:rsidRPr="00A62C45">
        <w:rPr>
          <w:color w:val="000000" w:themeColor="text1"/>
          <w:szCs w:val="22"/>
        </w:rPr>
        <w:t>). I</w:t>
      </w:r>
      <w:r w:rsidR="00515CE6" w:rsidRPr="00A62C45">
        <w:rPr>
          <w:color w:val="000000" w:themeColor="text1"/>
          <w:szCs w:val="22"/>
        </w:rPr>
        <w:t>n</w:t>
      </w:r>
      <w:r w:rsidR="00662E54" w:rsidRPr="00A62C45">
        <w:rPr>
          <w:color w:val="000000" w:themeColor="text1"/>
          <w:szCs w:val="22"/>
        </w:rPr>
        <w:t xml:space="preserve"> the south</w:t>
      </w:r>
      <w:r w:rsidR="00112864" w:rsidRPr="00A62C45">
        <w:rPr>
          <w:color w:val="000000" w:themeColor="text1"/>
          <w:szCs w:val="22"/>
        </w:rPr>
        <w:t>ern Wet Tropics</w:t>
      </w:r>
      <w:r w:rsidR="00515CE6" w:rsidRPr="00A62C45">
        <w:rPr>
          <w:color w:val="000000" w:themeColor="text1"/>
          <w:szCs w:val="22"/>
        </w:rPr>
        <w:t xml:space="preserve">, although recovery is very slow and abundances are in very poor condition, there have been </w:t>
      </w:r>
      <w:r w:rsidR="00A62C45" w:rsidRPr="00A62C45">
        <w:rPr>
          <w:color w:val="000000" w:themeColor="text1"/>
          <w:szCs w:val="22"/>
        </w:rPr>
        <w:t xml:space="preserve">small </w:t>
      </w:r>
      <w:r w:rsidR="00515CE6" w:rsidRPr="00A62C45">
        <w:rPr>
          <w:color w:val="000000" w:themeColor="text1"/>
          <w:szCs w:val="22"/>
        </w:rPr>
        <w:t xml:space="preserve">increases </w:t>
      </w:r>
      <w:r w:rsidRPr="00A62C45">
        <w:rPr>
          <w:color w:val="000000" w:themeColor="text1"/>
          <w:szCs w:val="22"/>
        </w:rPr>
        <w:t xml:space="preserve">since </w:t>
      </w:r>
      <w:r w:rsidR="00515CE6" w:rsidRPr="00A62C45">
        <w:rPr>
          <w:color w:val="000000" w:themeColor="text1"/>
          <w:szCs w:val="22"/>
        </w:rPr>
        <w:t>2011</w:t>
      </w:r>
      <w:r w:rsidR="00112864" w:rsidRPr="00A62C45">
        <w:rPr>
          <w:color w:val="000000" w:themeColor="text1"/>
          <w:szCs w:val="22"/>
        </w:rPr>
        <w:t xml:space="preserve"> at the </w:t>
      </w:r>
      <w:r w:rsidR="00A62C45" w:rsidRPr="00A62C45">
        <w:rPr>
          <w:color w:val="000000" w:themeColor="text1"/>
          <w:szCs w:val="22"/>
        </w:rPr>
        <w:t>intertidal coastal and reef site</w:t>
      </w:r>
      <w:r w:rsidR="00112864" w:rsidRPr="00A62C45">
        <w:rPr>
          <w:color w:val="000000" w:themeColor="text1"/>
          <w:szCs w:val="22"/>
        </w:rPr>
        <w:t xml:space="preserve"> </w:t>
      </w:r>
      <w:r w:rsidR="00067B61" w:rsidRPr="00A62C45">
        <w:rPr>
          <w:color w:val="000000" w:themeColor="text1"/>
          <w:szCs w:val="22"/>
        </w:rPr>
        <w:t>(</w:t>
      </w:r>
      <w:r w:rsidR="00067B61" w:rsidRPr="00A62C45">
        <w:rPr>
          <w:color w:val="000000" w:themeColor="text1"/>
          <w:szCs w:val="22"/>
        </w:rPr>
        <w:fldChar w:fldCharType="begin"/>
      </w:r>
      <w:r w:rsidR="00067B61" w:rsidRPr="00A62C45">
        <w:rPr>
          <w:color w:val="000000" w:themeColor="text1"/>
          <w:szCs w:val="22"/>
        </w:rPr>
        <w:instrText xml:space="preserve"> REF _Ref473643067 \h </w:instrText>
      </w:r>
      <w:r w:rsidR="00067B61" w:rsidRPr="00A62C45">
        <w:rPr>
          <w:color w:val="000000" w:themeColor="text1"/>
          <w:szCs w:val="22"/>
        </w:rPr>
      </w:r>
      <w:r w:rsidR="00067B61" w:rsidRPr="00A62C45">
        <w:rPr>
          <w:color w:val="000000" w:themeColor="text1"/>
          <w:szCs w:val="22"/>
        </w:rPr>
        <w:fldChar w:fldCharType="separate"/>
      </w:r>
      <w:r w:rsidR="00F87DF9" w:rsidRPr="004677EF">
        <w:t xml:space="preserve">Figure </w:t>
      </w:r>
      <w:r w:rsidR="00F87DF9">
        <w:rPr>
          <w:noProof/>
        </w:rPr>
        <w:t>54</w:t>
      </w:r>
      <w:r w:rsidR="00067B61" w:rsidRPr="00A62C45">
        <w:rPr>
          <w:color w:val="000000" w:themeColor="text1"/>
          <w:szCs w:val="22"/>
        </w:rPr>
        <w:fldChar w:fldCharType="end"/>
      </w:r>
      <w:r w:rsidR="00067B61" w:rsidRPr="00A62C45">
        <w:rPr>
          <w:color w:val="000000" w:themeColor="text1"/>
          <w:szCs w:val="22"/>
        </w:rPr>
        <w:t>)</w:t>
      </w:r>
      <w:r w:rsidR="00A62C45" w:rsidRPr="00A62C45">
        <w:rPr>
          <w:color w:val="000000" w:themeColor="text1"/>
          <w:szCs w:val="22"/>
        </w:rPr>
        <w:t xml:space="preserve"> but abundance remains well below historical levels</w:t>
      </w:r>
      <w:r w:rsidR="00112864" w:rsidRPr="00A62C45">
        <w:rPr>
          <w:color w:val="000000" w:themeColor="text1"/>
          <w:szCs w:val="22"/>
        </w:rPr>
        <w:t xml:space="preserve">. </w:t>
      </w:r>
    </w:p>
    <w:p w14:paraId="52392776" w14:textId="77777777" w:rsidR="00C437D6" w:rsidRPr="006A6C0E" w:rsidRDefault="00C437D6" w:rsidP="00907D11">
      <w:pPr>
        <w:keepNext/>
        <w:tabs>
          <w:tab w:val="left" w:pos="567"/>
          <w:tab w:val="left" w:pos="4962"/>
        </w:tabs>
        <w:spacing w:after="0"/>
        <w:rPr>
          <w:b/>
          <w:sz w:val="20"/>
          <w:szCs w:val="20"/>
        </w:rPr>
      </w:pPr>
      <w:r>
        <w:rPr>
          <w:b/>
          <w:sz w:val="20"/>
          <w:szCs w:val="20"/>
        </w:rPr>
        <w:tab/>
      </w:r>
      <w:r w:rsidRPr="006A6C0E">
        <w:rPr>
          <w:b/>
          <w:sz w:val="20"/>
          <w:szCs w:val="20"/>
        </w:rPr>
        <w:t>a.</w:t>
      </w:r>
      <w:r w:rsidRPr="006A6C0E">
        <w:rPr>
          <w:b/>
          <w:sz w:val="20"/>
          <w:szCs w:val="20"/>
        </w:rPr>
        <w:tab/>
        <w:t>b.</w:t>
      </w:r>
    </w:p>
    <w:p w14:paraId="75ABC6CF" w14:textId="77777777" w:rsidR="001402C9" w:rsidRDefault="00AA7BCE" w:rsidP="00907D11">
      <w:pPr>
        <w:keepNext/>
        <w:widowControl w:val="0"/>
        <w:spacing w:before="0" w:after="0"/>
        <w:jc w:val="center"/>
        <w:rPr>
          <w:color w:val="000000"/>
          <w:szCs w:val="22"/>
        </w:rPr>
      </w:pPr>
      <w:r>
        <w:rPr>
          <w:noProof/>
          <w:color w:val="000000"/>
          <w:szCs w:val="22"/>
          <w:lang w:eastAsia="en-AU"/>
        </w:rPr>
        <w:drawing>
          <wp:inline distT="0" distB="0" distL="0" distR="0" wp14:anchorId="5ACA441B" wp14:editId="57A8B0D9">
            <wp:extent cx="2847600" cy="1872000"/>
            <wp:effectExtent l="0" t="0" r="0" b="0"/>
            <wp:docPr id="316" name="Picture 316" descr="Generalised Additive Model plot of temporal trend in seagrass abundance for locations in the northern Wet Tropics region from 2001-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WTN_cvr_GAM_Dec16.png"/>
                    <pic:cNvPicPr/>
                  </pic:nvPicPr>
                  <pic:blipFill>
                    <a:blip r:embed="rId89">
                      <a:extLst>
                        <a:ext uri="{28A0092B-C50C-407E-A947-70E740481C1C}">
                          <a14:useLocalDpi xmlns:a14="http://schemas.microsoft.com/office/drawing/2010/main" val="0"/>
                        </a:ext>
                      </a:extLst>
                    </a:blip>
                    <a:stretch>
                      <a:fillRect/>
                    </a:stretch>
                  </pic:blipFill>
                  <pic:spPr>
                    <a:xfrm>
                      <a:off x="0" y="0"/>
                      <a:ext cx="2847600" cy="1872000"/>
                    </a:xfrm>
                    <a:prstGeom prst="rect">
                      <a:avLst/>
                    </a:prstGeom>
                  </pic:spPr>
                </pic:pic>
              </a:graphicData>
            </a:graphic>
          </wp:inline>
        </w:drawing>
      </w:r>
      <w:r w:rsidR="00C437D6">
        <w:rPr>
          <w:color w:val="000000"/>
          <w:szCs w:val="22"/>
        </w:rPr>
        <w:t xml:space="preserve"> </w:t>
      </w:r>
      <w:r w:rsidR="00C437D6">
        <w:rPr>
          <w:noProof/>
          <w:color w:val="000000"/>
          <w:szCs w:val="22"/>
          <w:lang w:eastAsia="en-AU"/>
        </w:rPr>
        <w:drawing>
          <wp:inline distT="0" distB="0" distL="0" distR="0" wp14:anchorId="4DB72B0B" wp14:editId="2EAD42EB">
            <wp:extent cx="2731881" cy="1871967"/>
            <wp:effectExtent l="0" t="0" r="0" b="0"/>
            <wp:docPr id="317" name="Picture 317" descr="Generalised Additive Model plot of temporal trend in seagrass abundance for locations in the southern Wet Tropics region from 2001-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WTS_cvr_GAM_Dec16.png"/>
                    <pic:cNvPicPr/>
                  </pic:nvPicPr>
                  <pic:blipFill rotWithShape="1">
                    <a:blip r:embed="rId90">
                      <a:extLst>
                        <a:ext uri="{28A0092B-C50C-407E-A947-70E740481C1C}">
                          <a14:useLocalDpi xmlns:a14="http://schemas.microsoft.com/office/drawing/2010/main" val="0"/>
                        </a:ext>
                      </a:extLst>
                    </a:blip>
                    <a:srcRect l="4183"/>
                    <a:stretch/>
                  </pic:blipFill>
                  <pic:spPr bwMode="auto">
                    <a:xfrm>
                      <a:off x="0" y="0"/>
                      <a:ext cx="2731929" cy="1872000"/>
                    </a:xfrm>
                    <a:prstGeom prst="rect">
                      <a:avLst/>
                    </a:prstGeom>
                    <a:ln>
                      <a:noFill/>
                    </a:ln>
                    <a:extLst>
                      <a:ext uri="{53640926-AAD7-44D8-BBD7-CCE9431645EC}">
                        <a14:shadowObscured xmlns:a14="http://schemas.microsoft.com/office/drawing/2010/main"/>
                      </a:ext>
                    </a:extLst>
                  </pic:spPr>
                </pic:pic>
              </a:graphicData>
            </a:graphic>
          </wp:inline>
        </w:drawing>
      </w:r>
    </w:p>
    <w:p w14:paraId="59F6F772" w14:textId="49535634" w:rsidR="00A009CE" w:rsidRPr="00D82A3D" w:rsidRDefault="001402C9" w:rsidP="00907D11">
      <w:pPr>
        <w:rPr>
          <w:i/>
          <w:vanish/>
          <w:specVanish/>
        </w:rPr>
      </w:pPr>
      <w:bookmarkStart w:id="322" w:name="_Ref442427651"/>
      <w:bookmarkStart w:id="323" w:name="_Toc516053262"/>
      <w:r w:rsidRPr="00D82A3D">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52</w:t>
      </w:r>
      <w:r w:rsidR="00C506C7">
        <w:rPr>
          <w:noProof/>
        </w:rPr>
        <w:fldChar w:fldCharType="end"/>
      </w:r>
      <w:bookmarkEnd w:id="322"/>
      <w:r w:rsidRPr="00D82A3D">
        <w:t xml:space="preserve">.  </w:t>
      </w:r>
      <w:r w:rsidR="00A009CE" w:rsidRPr="00D82A3D">
        <w:rPr>
          <w:i/>
        </w:rPr>
        <w:t xml:space="preserve">Temporal trends in seagrass abundance for each monitoring location in the </w:t>
      </w:r>
      <w:r w:rsidR="00C437D6" w:rsidRPr="00D82A3D">
        <w:rPr>
          <w:i/>
        </w:rPr>
        <w:t xml:space="preserve">northern (a) and southern (b) </w:t>
      </w:r>
      <w:r w:rsidR="00A009CE" w:rsidRPr="00D82A3D">
        <w:rPr>
          <w:i/>
        </w:rPr>
        <w:t>Wet Tropics region represented by a GAM plot, 2001-201</w:t>
      </w:r>
      <w:r w:rsidR="00D82A3D" w:rsidRPr="00D82A3D">
        <w:rPr>
          <w:i/>
        </w:rPr>
        <w:t>7</w:t>
      </w:r>
      <w:r w:rsidR="00A009CE" w:rsidRPr="00D82A3D">
        <w:rPr>
          <w:i/>
        </w:rPr>
        <w:t>.</w:t>
      </w:r>
      <w:bookmarkEnd w:id="323"/>
    </w:p>
    <w:p w14:paraId="727FC12E" w14:textId="1FB494CB" w:rsidR="001402C9" w:rsidRPr="00D82A3D" w:rsidRDefault="00A009CE" w:rsidP="00907D11">
      <w:pPr>
        <w:rPr>
          <w:i/>
          <w:szCs w:val="22"/>
        </w:rPr>
      </w:pPr>
      <w:r w:rsidRPr="00D82A3D">
        <w:rPr>
          <w:i/>
        </w:rPr>
        <w:t xml:space="preserve">  </w:t>
      </w:r>
      <w:r w:rsidR="00C437D6" w:rsidRPr="00D82A3D">
        <w:rPr>
          <w:i/>
        </w:rPr>
        <w:t xml:space="preserve">Northern and southern section trends </w:t>
      </w:r>
      <w:r w:rsidRPr="00D82A3D">
        <w:rPr>
          <w:i/>
        </w:rPr>
        <w:t>(locations pooled) represented by black line with grey shaded area defining 95</w:t>
      </w:r>
      <w:r w:rsidR="0063478C" w:rsidRPr="00D82A3D">
        <w:rPr>
          <w:i/>
        </w:rPr>
        <w:t xml:space="preserve"> per cent</w:t>
      </w:r>
      <w:r w:rsidRPr="00D82A3D">
        <w:rPr>
          <w:i/>
        </w:rPr>
        <w:t xml:space="preserve"> confiden</w:t>
      </w:r>
      <w:r w:rsidR="00C437D6" w:rsidRPr="00D82A3D">
        <w:rPr>
          <w:i/>
        </w:rPr>
        <w:t>c</w:t>
      </w:r>
      <w:r w:rsidRPr="00D82A3D">
        <w:rPr>
          <w:i/>
        </w:rPr>
        <w:t>e intervals.</w:t>
      </w:r>
    </w:p>
    <w:p w14:paraId="2A22E9B7" w14:textId="77777777" w:rsidR="00C437D6" w:rsidRPr="00C437D6" w:rsidRDefault="00C437D6" w:rsidP="00907D11">
      <w:pPr>
        <w:keepNext/>
        <w:widowControl w:val="0"/>
        <w:spacing w:before="0" w:after="0"/>
        <w:jc w:val="center"/>
        <w:rPr>
          <w:noProof/>
          <w:color w:val="000000"/>
          <w:szCs w:val="22"/>
          <w:lang w:eastAsia="en-AU"/>
        </w:rPr>
      </w:pPr>
      <w:r w:rsidRPr="00C437D6">
        <w:rPr>
          <w:noProof/>
          <w:color w:val="000000"/>
          <w:szCs w:val="22"/>
          <w:lang w:eastAsia="en-AU"/>
        </w:rPr>
        <w:drawing>
          <wp:inline distT="0" distB="0" distL="0" distR="0" wp14:anchorId="699E97A3" wp14:editId="112D1AFB">
            <wp:extent cx="4319999" cy="2065899"/>
            <wp:effectExtent l="0" t="0" r="4445" b="0"/>
            <wp:docPr id="318" name="Picture 318" descr="Panel of 3 plots showing temporal trends in seagrass abundance for seagrass habitat in the northern Wet Tropics region represented by a Generalised Additive Model plot, 2001-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WTN_hab_cvr_GAM_Dec16.png"/>
                    <pic:cNvPicPr/>
                  </pic:nvPicPr>
                  <pic:blipFill>
                    <a:blip r:embed="rId91">
                      <a:extLst>
                        <a:ext uri="{28A0092B-C50C-407E-A947-70E740481C1C}">
                          <a14:useLocalDpi xmlns:a14="http://schemas.microsoft.com/office/drawing/2010/main" val="0"/>
                        </a:ext>
                      </a:extLst>
                    </a:blip>
                    <a:stretch>
                      <a:fillRect/>
                    </a:stretch>
                  </pic:blipFill>
                  <pic:spPr>
                    <a:xfrm>
                      <a:off x="0" y="0"/>
                      <a:ext cx="4319999" cy="2065899"/>
                    </a:xfrm>
                    <a:prstGeom prst="rect">
                      <a:avLst/>
                    </a:prstGeom>
                  </pic:spPr>
                </pic:pic>
              </a:graphicData>
            </a:graphic>
          </wp:inline>
        </w:drawing>
      </w:r>
    </w:p>
    <w:p w14:paraId="186CC974" w14:textId="49792343" w:rsidR="00C437D6" w:rsidRPr="004677EF" w:rsidRDefault="00C437D6" w:rsidP="00907D11">
      <w:pPr>
        <w:rPr>
          <w:i/>
          <w:vanish/>
          <w:specVanish/>
        </w:rPr>
      </w:pPr>
      <w:bookmarkStart w:id="324" w:name="_Ref509322617"/>
      <w:bookmarkStart w:id="325" w:name="_Toc516053263"/>
      <w:r w:rsidRPr="004677EF">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53</w:t>
      </w:r>
      <w:r w:rsidR="00C506C7">
        <w:rPr>
          <w:noProof/>
        </w:rPr>
        <w:fldChar w:fldCharType="end"/>
      </w:r>
      <w:bookmarkEnd w:id="324"/>
      <w:r w:rsidRPr="004677EF">
        <w:t xml:space="preserve">. </w:t>
      </w:r>
      <w:r w:rsidRPr="004677EF">
        <w:rPr>
          <w:i/>
        </w:rPr>
        <w:t>Temporal trends in seagrass abundance for seagrass habitat in the northern Wet Tropics region represented by a GAM plot, 2001-201</w:t>
      </w:r>
      <w:r w:rsidR="004677EF" w:rsidRPr="004677EF">
        <w:rPr>
          <w:i/>
        </w:rPr>
        <w:t>7</w:t>
      </w:r>
      <w:r w:rsidRPr="004677EF">
        <w:rPr>
          <w:i/>
        </w:rPr>
        <w:t>.</w:t>
      </w:r>
      <w:bookmarkEnd w:id="325"/>
    </w:p>
    <w:p w14:paraId="207934EB" w14:textId="6DBCEAB6" w:rsidR="00C437D6" w:rsidRDefault="00C437D6" w:rsidP="00907D11">
      <w:pPr>
        <w:pStyle w:val="Caption"/>
      </w:pPr>
      <w:r w:rsidRPr="004677EF">
        <w:rPr>
          <w:i/>
        </w:rPr>
        <w:t xml:space="preserve">  Trends (locations pooled) represented by black line with green shaded area defining 95</w:t>
      </w:r>
      <w:r w:rsidR="0063478C" w:rsidRPr="004677EF">
        <w:rPr>
          <w:i/>
        </w:rPr>
        <w:t xml:space="preserve"> per cent</w:t>
      </w:r>
      <w:r w:rsidRPr="004677EF">
        <w:rPr>
          <w:i/>
        </w:rPr>
        <w:t xml:space="preserve"> confidence intervals, and quadrat data displayed as grey </w:t>
      </w:r>
      <w:r>
        <w:rPr>
          <w:i/>
        </w:rPr>
        <w:t>circles</w:t>
      </w:r>
      <w:r w:rsidRPr="00A009CE">
        <w:rPr>
          <w:i/>
        </w:rPr>
        <w:t>.</w:t>
      </w:r>
    </w:p>
    <w:p w14:paraId="64EFE3AD" w14:textId="77777777" w:rsidR="00C437D6" w:rsidRPr="00C437D6" w:rsidRDefault="00C437D6" w:rsidP="00907D11">
      <w:pPr>
        <w:keepNext/>
        <w:widowControl w:val="0"/>
        <w:spacing w:before="0" w:after="0"/>
        <w:jc w:val="center"/>
        <w:rPr>
          <w:noProof/>
          <w:color w:val="000000"/>
          <w:szCs w:val="22"/>
          <w:lang w:eastAsia="en-AU"/>
        </w:rPr>
      </w:pPr>
      <w:r w:rsidRPr="00C437D6">
        <w:rPr>
          <w:noProof/>
          <w:color w:val="000000"/>
          <w:szCs w:val="22"/>
          <w:lang w:eastAsia="en-AU"/>
        </w:rPr>
        <w:drawing>
          <wp:inline distT="0" distB="0" distL="0" distR="0" wp14:anchorId="30C38F7A" wp14:editId="162EB6F2">
            <wp:extent cx="4319998" cy="2072212"/>
            <wp:effectExtent l="0" t="0" r="4445" b="4445"/>
            <wp:docPr id="319" name="Picture 319" descr="Panel of 3 plots showing temporal trends in seagrass abundance for seagrass habitat in the southern Wet Tropics region represented by a Generalised Additive Model plot, 2001-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 name="WTS_hab_cvr_GAM_Dec16.png"/>
                    <pic:cNvPicPr/>
                  </pic:nvPicPr>
                  <pic:blipFill>
                    <a:blip r:embed="rId92">
                      <a:extLst>
                        <a:ext uri="{28A0092B-C50C-407E-A947-70E740481C1C}">
                          <a14:useLocalDpi xmlns:a14="http://schemas.microsoft.com/office/drawing/2010/main" val="0"/>
                        </a:ext>
                      </a:extLst>
                    </a:blip>
                    <a:stretch>
                      <a:fillRect/>
                    </a:stretch>
                  </pic:blipFill>
                  <pic:spPr>
                    <a:xfrm>
                      <a:off x="0" y="0"/>
                      <a:ext cx="4319998" cy="2072212"/>
                    </a:xfrm>
                    <a:prstGeom prst="rect">
                      <a:avLst/>
                    </a:prstGeom>
                  </pic:spPr>
                </pic:pic>
              </a:graphicData>
            </a:graphic>
          </wp:inline>
        </w:drawing>
      </w:r>
    </w:p>
    <w:p w14:paraId="61FE488D" w14:textId="5AB6E00D" w:rsidR="00C437D6" w:rsidRPr="004677EF" w:rsidRDefault="00C437D6" w:rsidP="00907D11">
      <w:pPr>
        <w:rPr>
          <w:i/>
          <w:vanish/>
          <w:specVanish/>
        </w:rPr>
      </w:pPr>
      <w:bookmarkStart w:id="326" w:name="_Ref473643067"/>
      <w:bookmarkStart w:id="327" w:name="_Toc516053264"/>
      <w:r w:rsidRPr="004677EF">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54</w:t>
      </w:r>
      <w:r w:rsidR="00C506C7">
        <w:rPr>
          <w:noProof/>
        </w:rPr>
        <w:fldChar w:fldCharType="end"/>
      </w:r>
      <w:bookmarkEnd w:id="326"/>
      <w:r w:rsidRPr="004677EF">
        <w:t xml:space="preserve">. </w:t>
      </w:r>
      <w:r w:rsidRPr="004677EF">
        <w:rPr>
          <w:i/>
        </w:rPr>
        <w:t>Temporal trends in seagrass abundance for seagrass habitat in the southern Wet Tropics region represented by a GAM plot, 2001-201</w:t>
      </w:r>
      <w:r w:rsidR="004677EF" w:rsidRPr="004677EF">
        <w:rPr>
          <w:i/>
        </w:rPr>
        <w:t>7</w:t>
      </w:r>
      <w:r w:rsidRPr="004677EF">
        <w:rPr>
          <w:i/>
        </w:rPr>
        <w:t>.</w:t>
      </w:r>
      <w:bookmarkEnd w:id="327"/>
    </w:p>
    <w:p w14:paraId="733227DB" w14:textId="03854673" w:rsidR="00C437D6" w:rsidRPr="00C437D6" w:rsidRDefault="00C437D6" w:rsidP="00907D11">
      <w:pPr>
        <w:pStyle w:val="Caption"/>
        <w:rPr>
          <w:szCs w:val="22"/>
        </w:rPr>
      </w:pPr>
      <w:r w:rsidRPr="004677EF">
        <w:rPr>
          <w:i/>
        </w:rPr>
        <w:t xml:space="preserve">  Trends (locations pooled) represented by black line </w:t>
      </w:r>
      <w:r>
        <w:rPr>
          <w:i/>
        </w:rPr>
        <w:t xml:space="preserve">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xml:space="preserve">, and quadrat data displayed as grey </w:t>
      </w:r>
      <w:r w:rsidRPr="00C437D6">
        <w:rPr>
          <w:i/>
        </w:rPr>
        <w:t>circles.</w:t>
      </w:r>
    </w:p>
    <w:p w14:paraId="662FE635" w14:textId="0A85B7FE" w:rsidR="001B6AA0" w:rsidRPr="00084DD2" w:rsidRDefault="001B6AA0" w:rsidP="00907D11">
      <w:pPr>
        <w:rPr>
          <w:szCs w:val="22"/>
        </w:rPr>
      </w:pPr>
      <w:r w:rsidRPr="00084DD2">
        <w:rPr>
          <w:szCs w:val="22"/>
        </w:rPr>
        <w:t xml:space="preserve">The proportion of </w:t>
      </w:r>
      <w:r w:rsidR="003F1B2E" w:rsidRPr="00084DD2">
        <w:rPr>
          <w:szCs w:val="22"/>
        </w:rPr>
        <w:t xml:space="preserve">seagrass species displaying </w:t>
      </w:r>
      <w:r w:rsidRPr="00084DD2">
        <w:rPr>
          <w:szCs w:val="22"/>
        </w:rPr>
        <w:t xml:space="preserve">colonising </w:t>
      </w:r>
      <w:r w:rsidR="003F1B2E" w:rsidRPr="00084DD2">
        <w:rPr>
          <w:szCs w:val="22"/>
        </w:rPr>
        <w:t>traits</w:t>
      </w:r>
      <w:r w:rsidRPr="00084DD2">
        <w:rPr>
          <w:szCs w:val="22"/>
        </w:rPr>
        <w:t xml:space="preserve"> at coastal habitats (Yule Point, Lugger Bay) </w:t>
      </w:r>
      <w:r w:rsidR="00084DD2" w:rsidRPr="00084DD2">
        <w:rPr>
          <w:szCs w:val="22"/>
        </w:rPr>
        <w:t>was</w:t>
      </w:r>
      <w:r w:rsidRPr="00084DD2">
        <w:rPr>
          <w:szCs w:val="22"/>
        </w:rPr>
        <w:t xml:space="preserve"> above </w:t>
      </w:r>
      <w:r w:rsidR="007F7A67">
        <w:rPr>
          <w:szCs w:val="22"/>
        </w:rPr>
        <w:t xml:space="preserve">the </w:t>
      </w:r>
      <w:r w:rsidR="007F6948">
        <w:rPr>
          <w:szCs w:val="22"/>
        </w:rPr>
        <w:t>Great Barrier Reef</w:t>
      </w:r>
      <w:r w:rsidR="00D933AD" w:rsidRPr="00084DD2">
        <w:rPr>
          <w:szCs w:val="22"/>
        </w:rPr>
        <w:t xml:space="preserve"> </w:t>
      </w:r>
      <w:r w:rsidRPr="00084DD2">
        <w:rPr>
          <w:szCs w:val="22"/>
        </w:rPr>
        <w:t xml:space="preserve">average </w:t>
      </w:r>
      <w:r w:rsidR="00D933AD" w:rsidRPr="00084DD2">
        <w:rPr>
          <w:szCs w:val="22"/>
        </w:rPr>
        <w:t>from 2004 to 2014</w:t>
      </w:r>
      <w:r w:rsidR="00C61865" w:rsidRPr="00084DD2">
        <w:rPr>
          <w:szCs w:val="22"/>
        </w:rPr>
        <w:t>,</w:t>
      </w:r>
      <w:r w:rsidRPr="00084DD2">
        <w:rPr>
          <w:szCs w:val="22"/>
        </w:rPr>
        <w:t xml:space="preserve"> however, </w:t>
      </w:r>
      <w:r w:rsidR="00D933AD" w:rsidRPr="00084DD2">
        <w:rPr>
          <w:szCs w:val="22"/>
        </w:rPr>
        <w:t xml:space="preserve">since 2014 </w:t>
      </w:r>
      <w:r w:rsidRPr="00084DD2">
        <w:rPr>
          <w:szCs w:val="22"/>
        </w:rPr>
        <w:t>the proportion declined</w:t>
      </w:r>
      <w:r w:rsidR="00895A81" w:rsidRPr="00084DD2">
        <w:rPr>
          <w:szCs w:val="22"/>
        </w:rPr>
        <w:t xml:space="preserve"> </w:t>
      </w:r>
      <w:r w:rsidR="00F0676E">
        <w:rPr>
          <w:szCs w:val="22"/>
        </w:rPr>
        <w:t xml:space="preserve">below the </w:t>
      </w:r>
      <w:r w:rsidR="007F6948">
        <w:rPr>
          <w:szCs w:val="22"/>
        </w:rPr>
        <w:t>Great Barrier Reef</w:t>
      </w:r>
      <w:r w:rsidR="00F0676E">
        <w:rPr>
          <w:szCs w:val="22"/>
        </w:rPr>
        <w:t xml:space="preserve">-wide long-term average </w:t>
      </w:r>
      <w:r w:rsidR="00895A81" w:rsidRPr="00084DD2">
        <w:rPr>
          <w:szCs w:val="22"/>
        </w:rPr>
        <w:t xml:space="preserve">(due to trends </w:t>
      </w:r>
      <w:r w:rsidR="007F7A67">
        <w:rPr>
          <w:szCs w:val="22"/>
        </w:rPr>
        <w:t>predominately at Yule Point</w:t>
      </w:r>
      <w:r w:rsidR="00895A81" w:rsidRPr="00084DD2">
        <w:rPr>
          <w:szCs w:val="22"/>
        </w:rPr>
        <w:t>)</w:t>
      </w:r>
      <w:r w:rsidR="00D933AD" w:rsidRPr="00084DD2">
        <w:rPr>
          <w:szCs w:val="22"/>
        </w:rPr>
        <w:t>;</w:t>
      </w:r>
      <w:r w:rsidRPr="00084DD2">
        <w:rPr>
          <w:szCs w:val="22"/>
        </w:rPr>
        <w:t xml:space="preserve"> with colonising species replaced by opportunistic species (</w:t>
      </w:r>
      <w:r w:rsidRPr="00084DD2">
        <w:rPr>
          <w:i/>
          <w:szCs w:val="22"/>
        </w:rPr>
        <w:t>Halodule uninervis</w:t>
      </w:r>
      <w:r w:rsidR="00D933AD" w:rsidRPr="00084DD2">
        <w:rPr>
          <w:szCs w:val="22"/>
        </w:rPr>
        <w:t>)</w:t>
      </w:r>
      <w:r w:rsidR="00895A81" w:rsidRPr="00084DD2">
        <w:rPr>
          <w:szCs w:val="22"/>
        </w:rPr>
        <w:t xml:space="preserve"> </w:t>
      </w:r>
      <w:r w:rsidR="00B07165" w:rsidRPr="00084DD2">
        <w:rPr>
          <w:szCs w:val="22"/>
        </w:rPr>
        <w:t>(</w:t>
      </w:r>
      <w:r w:rsidR="00B07165" w:rsidRPr="00084DD2">
        <w:rPr>
          <w:szCs w:val="22"/>
        </w:rPr>
        <w:fldChar w:fldCharType="begin"/>
      </w:r>
      <w:r w:rsidR="00B07165" w:rsidRPr="00084DD2">
        <w:rPr>
          <w:szCs w:val="22"/>
        </w:rPr>
        <w:instrText xml:space="preserve"> REF _Ref380401548 \h </w:instrText>
      </w:r>
      <w:r w:rsidR="00B07165" w:rsidRPr="00084DD2">
        <w:rPr>
          <w:szCs w:val="22"/>
        </w:rPr>
      </w:r>
      <w:r w:rsidR="00B07165" w:rsidRPr="00084DD2">
        <w:rPr>
          <w:szCs w:val="22"/>
        </w:rPr>
        <w:fldChar w:fldCharType="separate"/>
      </w:r>
      <w:r w:rsidR="00F87DF9" w:rsidRPr="00084DD2">
        <w:t xml:space="preserve">Figure </w:t>
      </w:r>
      <w:r w:rsidR="00F87DF9">
        <w:rPr>
          <w:noProof/>
        </w:rPr>
        <w:t>55</w:t>
      </w:r>
      <w:r w:rsidR="00B07165" w:rsidRPr="00084DD2">
        <w:rPr>
          <w:szCs w:val="22"/>
        </w:rPr>
        <w:fldChar w:fldCharType="end"/>
      </w:r>
      <w:r w:rsidR="00B07165" w:rsidRPr="00084DD2">
        <w:rPr>
          <w:szCs w:val="22"/>
        </w:rPr>
        <w:t>)</w:t>
      </w:r>
      <w:r w:rsidRPr="00084DD2">
        <w:rPr>
          <w:szCs w:val="22"/>
        </w:rPr>
        <w:t>.</w:t>
      </w:r>
      <w:r w:rsidR="00084DD2" w:rsidRPr="00084DD2">
        <w:rPr>
          <w:szCs w:val="22"/>
        </w:rPr>
        <w:t xml:space="preserve"> Coastal meadows were the only habitats to increase in the proportion of colonising species over the last 12 months.</w:t>
      </w:r>
      <w:r w:rsidRPr="00084DD2">
        <w:rPr>
          <w:szCs w:val="22"/>
        </w:rPr>
        <w:t xml:space="preserve"> </w:t>
      </w:r>
      <w:r w:rsidR="00084DD2" w:rsidRPr="00084DD2">
        <w:rPr>
          <w:szCs w:val="22"/>
        </w:rPr>
        <w:t>At</w:t>
      </w:r>
      <w:r w:rsidRPr="00084DD2">
        <w:rPr>
          <w:szCs w:val="22"/>
        </w:rPr>
        <w:t xml:space="preserve"> reef habitats</w:t>
      </w:r>
      <w:r w:rsidR="00084DD2" w:rsidRPr="00084DD2">
        <w:rPr>
          <w:szCs w:val="22"/>
        </w:rPr>
        <w:t xml:space="preserve"> (intertidal and subtidal)</w:t>
      </w:r>
      <w:r w:rsidRPr="00084DD2">
        <w:rPr>
          <w:szCs w:val="22"/>
        </w:rPr>
        <w:t xml:space="preserve">, </w:t>
      </w:r>
      <w:r w:rsidR="00084DD2" w:rsidRPr="00084DD2">
        <w:rPr>
          <w:szCs w:val="22"/>
        </w:rPr>
        <w:t xml:space="preserve">the </w:t>
      </w:r>
      <w:r w:rsidR="008574EC">
        <w:rPr>
          <w:szCs w:val="22"/>
        </w:rPr>
        <w:t>2016–17</w:t>
      </w:r>
      <w:r w:rsidR="00084DD2" w:rsidRPr="00084DD2">
        <w:rPr>
          <w:szCs w:val="22"/>
        </w:rPr>
        <w:t xml:space="preserve"> was the first period since </w:t>
      </w:r>
      <w:r w:rsidR="00D933AD" w:rsidRPr="00084DD2">
        <w:rPr>
          <w:szCs w:val="22"/>
        </w:rPr>
        <w:t>the extreme weather events of 2011</w:t>
      </w:r>
      <w:r w:rsidR="00B07165" w:rsidRPr="00084DD2">
        <w:rPr>
          <w:szCs w:val="22"/>
        </w:rPr>
        <w:t xml:space="preserve"> </w:t>
      </w:r>
      <w:r w:rsidR="00084DD2" w:rsidRPr="00084DD2">
        <w:rPr>
          <w:szCs w:val="22"/>
        </w:rPr>
        <w:t xml:space="preserve">where the average proportion of colonising species declined below the </w:t>
      </w:r>
      <w:r w:rsidR="007F6948">
        <w:rPr>
          <w:szCs w:val="22"/>
        </w:rPr>
        <w:t>Great Barrier Reef</w:t>
      </w:r>
      <w:r w:rsidR="00084DD2" w:rsidRPr="00084DD2">
        <w:rPr>
          <w:szCs w:val="22"/>
        </w:rPr>
        <w:t>-wide long-term average</w:t>
      </w:r>
      <w:r w:rsidRPr="00084DD2">
        <w:rPr>
          <w:szCs w:val="22"/>
        </w:rPr>
        <w:t xml:space="preserve"> </w:t>
      </w:r>
      <w:r w:rsidR="00B07165" w:rsidRPr="00084DD2">
        <w:rPr>
          <w:szCs w:val="22"/>
        </w:rPr>
        <w:t>(</w:t>
      </w:r>
      <w:r w:rsidR="00B07165" w:rsidRPr="00084DD2">
        <w:rPr>
          <w:szCs w:val="22"/>
        </w:rPr>
        <w:fldChar w:fldCharType="begin"/>
      </w:r>
      <w:r w:rsidR="00B07165" w:rsidRPr="00084DD2">
        <w:rPr>
          <w:szCs w:val="22"/>
        </w:rPr>
        <w:instrText xml:space="preserve"> REF _Ref380401548 \h </w:instrText>
      </w:r>
      <w:r w:rsidR="00C2093A" w:rsidRPr="00084DD2">
        <w:rPr>
          <w:szCs w:val="22"/>
        </w:rPr>
        <w:instrText xml:space="preserve"> \* MERGEFORMAT </w:instrText>
      </w:r>
      <w:r w:rsidR="00B07165" w:rsidRPr="00084DD2">
        <w:rPr>
          <w:szCs w:val="22"/>
        </w:rPr>
      </w:r>
      <w:r w:rsidR="00B07165" w:rsidRPr="00084DD2">
        <w:rPr>
          <w:szCs w:val="22"/>
        </w:rPr>
        <w:fldChar w:fldCharType="separate"/>
      </w:r>
      <w:r w:rsidR="00F87DF9" w:rsidRPr="00084DD2">
        <w:t xml:space="preserve">Figure </w:t>
      </w:r>
      <w:r w:rsidR="00F87DF9">
        <w:rPr>
          <w:noProof/>
        </w:rPr>
        <w:t>55</w:t>
      </w:r>
      <w:r w:rsidR="00B07165" w:rsidRPr="00084DD2">
        <w:rPr>
          <w:szCs w:val="22"/>
        </w:rPr>
        <w:fldChar w:fldCharType="end"/>
      </w:r>
      <w:r w:rsidR="00B07165" w:rsidRPr="00084DD2">
        <w:rPr>
          <w:szCs w:val="22"/>
        </w:rPr>
        <w:t>)</w:t>
      </w:r>
      <w:r w:rsidR="003F1B2E" w:rsidRPr="00084DD2">
        <w:rPr>
          <w:szCs w:val="22"/>
        </w:rPr>
        <w:t xml:space="preserve">. </w:t>
      </w:r>
    </w:p>
    <w:p w14:paraId="569F5D96" w14:textId="77777777" w:rsidR="001B6AA0" w:rsidRDefault="00AA7BCE" w:rsidP="00907D11">
      <w:pPr>
        <w:keepNext/>
        <w:widowControl w:val="0"/>
        <w:spacing w:after="0"/>
        <w:jc w:val="center"/>
        <w:rPr>
          <w:color w:val="000000"/>
          <w:szCs w:val="22"/>
        </w:rPr>
      </w:pPr>
      <w:r>
        <w:rPr>
          <w:noProof/>
          <w:color w:val="000000"/>
          <w:szCs w:val="22"/>
          <w:lang w:eastAsia="en-AU"/>
        </w:rPr>
        <w:drawing>
          <wp:inline distT="0" distB="0" distL="0" distR="0" wp14:anchorId="6DFFE969" wp14:editId="08206D77">
            <wp:extent cx="4289829" cy="1544400"/>
            <wp:effectExtent l="0" t="0" r="0" b="0"/>
            <wp:docPr id="315" name="Picture 315" descr="Panel of three area plots showing proportion of seagrass abundance composed of species displaying colonising traits at inshore habitats in the Wet Tropics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WT_colonising_2016.png"/>
                    <pic:cNvPicPr/>
                  </pic:nvPicPr>
                  <pic:blipFill>
                    <a:blip r:embed="rId93">
                      <a:extLst>
                        <a:ext uri="{28A0092B-C50C-407E-A947-70E740481C1C}">
                          <a14:useLocalDpi xmlns:a14="http://schemas.microsoft.com/office/drawing/2010/main" val="0"/>
                        </a:ext>
                      </a:extLst>
                    </a:blip>
                    <a:stretch>
                      <a:fillRect/>
                    </a:stretch>
                  </pic:blipFill>
                  <pic:spPr>
                    <a:xfrm>
                      <a:off x="0" y="0"/>
                      <a:ext cx="4289829" cy="1544400"/>
                    </a:xfrm>
                    <a:prstGeom prst="rect">
                      <a:avLst/>
                    </a:prstGeom>
                  </pic:spPr>
                </pic:pic>
              </a:graphicData>
            </a:graphic>
          </wp:inline>
        </w:drawing>
      </w:r>
    </w:p>
    <w:p w14:paraId="39F5AD3D" w14:textId="77777777" w:rsidR="0015251F" w:rsidRPr="00941B89" w:rsidRDefault="001B6AA0" w:rsidP="0015251F">
      <w:pPr>
        <w:rPr>
          <w:i/>
          <w:iCs/>
          <w:vanish/>
          <w:szCs w:val="22"/>
          <w:lang w:eastAsia="en-AU"/>
          <w:specVanish/>
        </w:rPr>
      </w:pPr>
      <w:bookmarkStart w:id="328" w:name="_Ref380401548"/>
      <w:bookmarkStart w:id="329" w:name="_Toc516053265"/>
      <w:r w:rsidRPr="00084DD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55</w:t>
      </w:r>
      <w:r w:rsidR="00C506C7">
        <w:rPr>
          <w:noProof/>
        </w:rPr>
        <w:fldChar w:fldCharType="end"/>
      </w:r>
      <w:bookmarkEnd w:id="328"/>
      <w:r w:rsidRPr="00084DD2">
        <w:t xml:space="preserve">. </w:t>
      </w:r>
      <w:r w:rsidRPr="00084DD2">
        <w:rPr>
          <w:i/>
        </w:rPr>
        <w:t>Proportion of seagrass abundance composed of colonising species at inshore habitats</w:t>
      </w:r>
      <w:r w:rsidR="008E2E54">
        <w:rPr>
          <w:i/>
        </w:rPr>
        <w:t xml:space="preserve"> in the Wet Tropics region, from the 2000-01 to the 2016-</w:t>
      </w:r>
      <w:r w:rsidRPr="00084DD2">
        <w:rPr>
          <w:i/>
        </w:rPr>
        <w:t>201</w:t>
      </w:r>
      <w:r w:rsidR="00084DD2" w:rsidRPr="00084DD2">
        <w:rPr>
          <w:i/>
        </w:rPr>
        <w:t>7</w:t>
      </w:r>
      <w:r w:rsidR="008E2E54">
        <w:rPr>
          <w:i/>
        </w:rPr>
        <w:t xml:space="preserve"> reporting periods</w:t>
      </w:r>
      <w:r w:rsidRPr="00084DD2">
        <w:rPr>
          <w:i/>
        </w:rPr>
        <w:t>.</w:t>
      </w:r>
      <w:bookmarkEnd w:id="329"/>
      <w:r w:rsidR="0015251F" w:rsidRPr="00941B89">
        <w:rPr>
          <w:i/>
          <w:lang w:eastAsia="en-AU"/>
        </w:rPr>
        <w:t xml:space="preserve"> </w:t>
      </w:r>
    </w:p>
    <w:p w14:paraId="47210A28" w14:textId="46F04797" w:rsidR="001B6AA0" w:rsidRPr="008E2E54" w:rsidRDefault="0015251F" w:rsidP="0015251F">
      <w:pPr>
        <w:rPr>
          <w:i/>
          <w:vanish/>
          <w:szCs w:val="22"/>
        </w:rPr>
      </w:pPr>
      <w:r w:rsidRPr="00941B89">
        <w:rPr>
          <w:i/>
          <w:lang w:eastAsia="en-AU"/>
        </w:rPr>
        <w:t xml:space="preserve"> </w:t>
      </w:r>
      <w:r w:rsidR="001B6AA0" w:rsidRPr="00084DD2">
        <w:rPr>
          <w:i/>
        </w:rPr>
        <w:t xml:space="preserve">The dashed line represents the </w:t>
      </w:r>
      <w:r w:rsidR="007F6948">
        <w:rPr>
          <w:i/>
        </w:rPr>
        <w:t>Great Barrier Reef</w:t>
      </w:r>
      <w:r w:rsidR="001B6AA0" w:rsidRPr="00084DD2">
        <w:rPr>
          <w:i/>
        </w:rPr>
        <w:t>-wide average for each habitat type.</w:t>
      </w:r>
      <w:r w:rsidR="001B6AA0" w:rsidRPr="00084DD2">
        <w:t xml:space="preserve"> </w:t>
      </w:r>
    </w:p>
    <w:p w14:paraId="598F853C" w14:textId="3B671450" w:rsidR="001B6AA0" w:rsidRPr="00526A6D" w:rsidRDefault="005373CC" w:rsidP="00907D11">
      <w:pPr>
        <w:rPr>
          <w:szCs w:val="22"/>
          <w:lang w:val="en-US"/>
        </w:rPr>
      </w:pPr>
      <w:r w:rsidRPr="004D138D">
        <w:rPr>
          <w:color w:val="000000" w:themeColor="text1"/>
          <w:szCs w:val="22"/>
          <w:lang w:val="en-GB"/>
        </w:rPr>
        <w:t>S</w:t>
      </w:r>
      <w:r w:rsidR="005132EF" w:rsidRPr="004D138D">
        <w:rPr>
          <w:color w:val="000000" w:themeColor="text1"/>
          <w:szCs w:val="22"/>
          <w:lang w:val="en-US"/>
        </w:rPr>
        <w:t xml:space="preserve">eagrass meadow </w:t>
      </w:r>
      <w:r w:rsidR="00B07165" w:rsidRPr="004D138D">
        <w:rPr>
          <w:color w:val="000000" w:themeColor="text1"/>
          <w:szCs w:val="22"/>
          <w:lang w:val="en-US"/>
        </w:rPr>
        <w:t>extent</w:t>
      </w:r>
      <w:r w:rsidR="005132EF" w:rsidRPr="004D138D">
        <w:rPr>
          <w:color w:val="000000" w:themeColor="text1"/>
          <w:szCs w:val="22"/>
          <w:lang w:val="en-US"/>
        </w:rPr>
        <w:t xml:space="preserve"> within all intertidal monitoring sites </w:t>
      </w:r>
      <w:r w:rsidR="00B07165" w:rsidRPr="004D138D">
        <w:rPr>
          <w:color w:val="000000" w:themeColor="text1"/>
          <w:szCs w:val="22"/>
          <w:lang w:val="en-US"/>
        </w:rPr>
        <w:t>has</w:t>
      </w:r>
      <w:r w:rsidR="00A14B33" w:rsidRPr="004D138D">
        <w:rPr>
          <w:color w:val="000000" w:themeColor="text1"/>
          <w:szCs w:val="22"/>
          <w:lang w:val="en-US"/>
        </w:rPr>
        <w:t xml:space="preserve"> fluctuated within and between years (</w:t>
      </w:r>
      <w:r w:rsidR="004A743E" w:rsidRPr="004D138D">
        <w:rPr>
          <w:color w:val="000000" w:themeColor="text1"/>
          <w:szCs w:val="22"/>
          <w:lang w:val="en-US"/>
        </w:rPr>
        <w:fldChar w:fldCharType="begin"/>
      </w:r>
      <w:r w:rsidR="004A743E" w:rsidRPr="004D138D">
        <w:rPr>
          <w:color w:val="000000" w:themeColor="text1"/>
          <w:szCs w:val="22"/>
          <w:lang w:val="en-US"/>
        </w:rPr>
        <w:instrText xml:space="preserve"> REF _Ref382149718 \h </w:instrText>
      </w:r>
      <w:r w:rsidR="00015190" w:rsidRPr="004D138D">
        <w:rPr>
          <w:color w:val="000000" w:themeColor="text1"/>
          <w:szCs w:val="22"/>
          <w:lang w:val="en-US"/>
        </w:rPr>
        <w:instrText xml:space="preserve"> \* MERGEFORMAT </w:instrText>
      </w:r>
      <w:r w:rsidR="004A743E" w:rsidRPr="004D138D">
        <w:rPr>
          <w:color w:val="000000" w:themeColor="text1"/>
          <w:szCs w:val="22"/>
          <w:lang w:val="en-US"/>
        </w:rPr>
      </w:r>
      <w:r w:rsidR="004A743E" w:rsidRPr="004D13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56</w:t>
      </w:r>
      <w:r w:rsidR="004A743E" w:rsidRPr="004D138D">
        <w:rPr>
          <w:color w:val="000000" w:themeColor="text1"/>
          <w:szCs w:val="22"/>
          <w:lang w:val="en-US"/>
        </w:rPr>
        <w:fldChar w:fldCharType="end"/>
      </w:r>
      <w:r w:rsidR="00A14B33" w:rsidRPr="004D138D">
        <w:rPr>
          <w:color w:val="000000" w:themeColor="text1"/>
          <w:szCs w:val="22"/>
          <w:lang w:val="en-US"/>
        </w:rPr>
        <w:t>), primar</w:t>
      </w:r>
      <w:r w:rsidR="00A76A80" w:rsidRPr="004D138D">
        <w:rPr>
          <w:color w:val="000000" w:themeColor="text1"/>
          <w:szCs w:val="22"/>
          <w:lang w:val="en-US"/>
        </w:rPr>
        <w:t>il</w:t>
      </w:r>
      <w:r w:rsidR="00A14B33" w:rsidRPr="004D138D">
        <w:rPr>
          <w:color w:val="000000" w:themeColor="text1"/>
          <w:szCs w:val="22"/>
          <w:lang w:val="en-US"/>
        </w:rPr>
        <w:t xml:space="preserve">y due to losses and </w:t>
      </w:r>
      <w:r w:rsidR="00A76A80" w:rsidRPr="004D138D">
        <w:rPr>
          <w:color w:val="000000" w:themeColor="text1"/>
          <w:szCs w:val="22"/>
          <w:lang w:val="en-US"/>
        </w:rPr>
        <w:t>subsequent recolonisation</w:t>
      </w:r>
      <w:r w:rsidR="00B07165" w:rsidRPr="004D138D">
        <w:rPr>
          <w:color w:val="000000" w:themeColor="text1"/>
          <w:szCs w:val="22"/>
          <w:lang w:val="en-US"/>
        </w:rPr>
        <w:t xml:space="preserve">. At </w:t>
      </w:r>
      <w:r w:rsidR="004D138D" w:rsidRPr="004D138D">
        <w:rPr>
          <w:color w:val="000000" w:themeColor="text1"/>
          <w:szCs w:val="22"/>
          <w:lang w:val="en-US"/>
        </w:rPr>
        <w:t xml:space="preserve">intertidal coastal and reef  </w:t>
      </w:r>
      <w:r w:rsidR="00B07165" w:rsidRPr="004D138D">
        <w:rPr>
          <w:color w:val="000000" w:themeColor="text1"/>
          <w:szCs w:val="22"/>
          <w:lang w:val="en-US"/>
        </w:rPr>
        <w:t>meadows, the extent has gradual</w:t>
      </w:r>
      <w:r w:rsidR="004D138D" w:rsidRPr="004D138D">
        <w:rPr>
          <w:color w:val="000000" w:themeColor="text1"/>
          <w:szCs w:val="22"/>
          <w:lang w:val="en-US"/>
        </w:rPr>
        <w:t>ly improved since 2011 and has remained relatively stable since 2015</w:t>
      </w:r>
      <w:r w:rsidR="002901F4" w:rsidRPr="004D138D">
        <w:rPr>
          <w:color w:val="000000" w:themeColor="text1"/>
          <w:szCs w:val="22"/>
          <w:lang w:val="en-US"/>
        </w:rPr>
        <w:t xml:space="preserve">, but </w:t>
      </w:r>
      <w:r w:rsidR="00B07165" w:rsidRPr="004D138D">
        <w:rPr>
          <w:color w:val="000000" w:themeColor="text1"/>
          <w:szCs w:val="22"/>
          <w:lang w:val="en-US"/>
        </w:rPr>
        <w:t>still remains below the greatest extent in 200</w:t>
      </w:r>
      <w:r w:rsidR="001661BD" w:rsidRPr="004D138D">
        <w:rPr>
          <w:color w:val="000000" w:themeColor="text1"/>
          <w:szCs w:val="22"/>
          <w:lang w:val="en-US"/>
        </w:rPr>
        <w:t>9</w:t>
      </w:r>
      <w:r w:rsidR="00F13465">
        <w:rPr>
          <w:color w:val="000000" w:themeColor="text1"/>
          <w:szCs w:val="22"/>
          <w:lang w:val="en-US"/>
        </w:rPr>
        <w:t xml:space="preserve"> (</w:t>
      </w:r>
      <w:r w:rsidR="00F13465" w:rsidRPr="007377D4">
        <w:rPr>
          <w:color w:val="000000" w:themeColor="text1"/>
          <w:szCs w:val="22"/>
          <w:lang w:val="en-US"/>
        </w:rPr>
        <w:t xml:space="preserve">Appendix </w:t>
      </w:r>
      <w:r w:rsidR="00F13465">
        <w:rPr>
          <w:color w:val="000000" w:themeColor="text1"/>
          <w:szCs w:val="22"/>
          <w:lang w:val="en-US"/>
        </w:rPr>
        <w:fldChar w:fldCharType="begin"/>
      </w:r>
      <w:r w:rsidR="00F13465">
        <w:rPr>
          <w:color w:val="000000" w:themeColor="text1"/>
          <w:szCs w:val="22"/>
          <w:lang w:val="en-US"/>
        </w:rPr>
        <w:instrText xml:space="preserve"> REF _Ref511130957 \r \h </w:instrText>
      </w:r>
      <w:r w:rsidR="00F13465">
        <w:rPr>
          <w:color w:val="000000" w:themeColor="text1"/>
          <w:szCs w:val="22"/>
          <w:lang w:val="en-US"/>
        </w:rPr>
      </w:r>
      <w:r w:rsidR="00F13465">
        <w:rPr>
          <w:color w:val="000000" w:themeColor="text1"/>
          <w:szCs w:val="22"/>
          <w:lang w:val="en-US"/>
        </w:rPr>
        <w:fldChar w:fldCharType="separate"/>
      </w:r>
      <w:r w:rsidR="00F87DF9">
        <w:rPr>
          <w:color w:val="000000" w:themeColor="text1"/>
          <w:szCs w:val="22"/>
          <w:lang w:val="en-US"/>
        </w:rPr>
        <w:t>A4.2.4</w:t>
      </w:r>
      <w:r w:rsidR="00F13465">
        <w:rPr>
          <w:color w:val="000000" w:themeColor="text1"/>
          <w:szCs w:val="22"/>
          <w:lang w:val="en-US"/>
        </w:rPr>
        <w:fldChar w:fldCharType="end"/>
      </w:r>
      <w:r w:rsidR="00F13465">
        <w:rPr>
          <w:color w:val="000000" w:themeColor="text1"/>
          <w:szCs w:val="22"/>
          <w:lang w:val="en-US"/>
        </w:rPr>
        <w:t>)</w:t>
      </w:r>
      <w:r w:rsidR="00A76A80" w:rsidRPr="004D138D">
        <w:rPr>
          <w:color w:val="000000" w:themeColor="text1"/>
          <w:szCs w:val="22"/>
          <w:lang w:val="en-US"/>
        </w:rPr>
        <w:t>.</w:t>
      </w:r>
      <w:r w:rsidR="00791A68">
        <w:rPr>
          <w:color w:val="000000" w:themeColor="text1"/>
          <w:szCs w:val="22"/>
          <w:lang w:val="en-US"/>
        </w:rPr>
        <w:t xml:space="preserve"> </w:t>
      </w:r>
    </w:p>
    <w:p w14:paraId="71F72D6E" w14:textId="77777777" w:rsidR="001B6AA0" w:rsidRDefault="001E0449" w:rsidP="00907D11">
      <w:pPr>
        <w:keepNext/>
        <w:widowControl w:val="0"/>
        <w:spacing w:before="0" w:after="0"/>
        <w:jc w:val="center"/>
        <w:rPr>
          <w:color w:val="000000"/>
          <w:szCs w:val="22"/>
          <w:lang w:val="en-US"/>
        </w:rPr>
      </w:pPr>
      <w:r>
        <w:rPr>
          <w:noProof/>
          <w:color w:val="000000"/>
          <w:szCs w:val="22"/>
          <w:lang w:eastAsia="en-AU"/>
        </w:rPr>
        <w:drawing>
          <wp:inline distT="0" distB="0" distL="0" distR="0" wp14:anchorId="5B51717E" wp14:editId="0B14292C">
            <wp:extent cx="4320000" cy="1825123"/>
            <wp:effectExtent l="0" t="0" r="4445" b="3810"/>
            <wp:docPr id="229" name="Picture 229" descr="Line graph showing spatial extent of seagrass meadows within a 100m radius of monitoring sites for each habitat and monitoring period across the eastern Wet Tropics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WT_extent_avg_2016.png"/>
                    <pic:cNvPicPr/>
                  </pic:nvPicPr>
                  <pic:blipFill>
                    <a:blip r:embed="rId94">
                      <a:extLst>
                        <a:ext uri="{28A0092B-C50C-407E-A947-70E740481C1C}">
                          <a14:useLocalDpi xmlns:a14="http://schemas.microsoft.com/office/drawing/2010/main" val="0"/>
                        </a:ext>
                      </a:extLst>
                    </a:blip>
                    <a:stretch>
                      <a:fillRect/>
                    </a:stretch>
                  </pic:blipFill>
                  <pic:spPr>
                    <a:xfrm>
                      <a:off x="0" y="0"/>
                      <a:ext cx="4320000" cy="1825123"/>
                    </a:xfrm>
                    <a:prstGeom prst="rect">
                      <a:avLst/>
                    </a:prstGeom>
                  </pic:spPr>
                </pic:pic>
              </a:graphicData>
            </a:graphic>
          </wp:inline>
        </w:drawing>
      </w:r>
    </w:p>
    <w:p w14:paraId="3296BE9C" w14:textId="3C5A249B" w:rsidR="003A14DB" w:rsidRPr="005373CC" w:rsidRDefault="006307D2" w:rsidP="00907D11">
      <w:pPr>
        <w:rPr>
          <w:i/>
          <w:color w:val="000000"/>
          <w:szCs w:val="22"/>
        </w:rPr>
      </w:pPr>
      <w:bookmarkStart w:id="330" w:name="_Ref382149718"/>
      <w:bookmarkStart w:id="331" w:name="_Toc431493843"/>
      <w:bookmarkStart w:id="332" w:name="_Toc516053266"/>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56</w:t>
      </w:r>
      <w:r w:rsidR="0073595B">
        <w:rPr>
          <w:color w:val="000000"/>
          <w:szCs w:val="22"/>
        </w:rPr>
        <w:fldChar w:fldCharType="end"/>
      </w:r>
      <w:bookmarkEnd w:id="330"/>
      <w:r w:rsidRPr="005373CC">
        <w:rPr>
          <w:color w:val="000000"/>
          <w:szCs w:val="22"/>
        </w:rPr>
        <w:t xml:space="preserve">. </w:t>
      </w:r>
      <w:r w:rsidRPr="005373CC">
        <w:rPr>
          <w:i/>
          <w:color w:val="000000"/>
          <w:szCs w:val="22"/>
        </w:rPr>
        <w:t xml:space="preserve">Change in </w:t>
      </w:r>
      <w:r w:rsidR="00DB7C40">
        <w:rPr>
          <w:i/>
          <w:color w:val="000000"/>
          <w:szCs w:val="22"/>
        </w:rPr>
        <w:t xml:space="preserve">relative </w:t>
      </w:r>
      <w:r w:rsidRPr="005373CC">
        <w:rPr>
          <w:i/>
          <w:color w:val="000000"/>
          <w:szCs w:val="22"/>
        </w:rPr>
        <w:t xml:space="preserve">spatial extent </w:t>
      </w:r>
      <w:r w:rsidR="001661BD">
        <w:rPr>
          <w:i/>
          <w:color w:val="000000"/>
          <w:szCs w:val="22"/>
        </w:rPr>
        <w:t xml:space="preserve">(±SE) </w:t>
      </w:r>
      <w:r w:rsidRPr="005373CC">
        <w:rPr>
          <w:i/>
          <w:color w:val="000000"/>
          <w:szCs w:val="22"/>
        </w:rPr>
        <w:t xml:space="preserve">of seagrass meadows within monitoring sites for each habitat and monitoring period across the Wet Tropics </w:t>
      </w:r>
      <w:r w:rsidR="00DB7C40">
        <w:rPr>
          <w:i/>
          <w:color w:val="000000"/>
          <w:szCs w:val="22"/>
        </w:rPr>
        <w:t xml:space="preserve">NRM </w:t>
      </w:r>
      <w:r w:rsidRPr="005373CC">
        <w:rPr>
          <w:i/>
          <w:color w:val="000000"/>
          <w:szCs w:val="22"/>
        </w:rPr>
        <w:t>region.</w:t>
      </w:r>
      <w:bookmarkEnd w:id="331"/>
      <w:bookmarkEnd w:id="332"/>
    </w:p>
    <w:p w14:paraId="5C1B4501" w14:textId="0AF74E2A" w:rsidR="008046B9" w:rsidRPr="002C6ECD" w:rsidRDefault="00B35396" w:rsidP="00907D11">
      <w:pPr>
        <w:rPr>
          <w:lang w:val="en-GB"/>
        </w:rPr>
      </w:pPr>
      <w:bookmarkStart w:id="333" w:name="_Toc184101986"/>
      <w:r w:rsidRPr="00513B1B">
        <w:rPr>
          <w:lang w:val="en-GB"/>
        </w:rPr>
        <w:t>Long-term monitoring in places where cumulative anthropogenic impacts to seagrass are highest (e.g. Ports)</w:t>
      </w:r>
      <w:r>
        <w:rPr>
          <w:lang w:val="en-GB"/>
        </w:rPr>
        <w:t xml:space="preserve"> (</w:t>
      </w:r>
      <w:hyperlink w:anchor="_ENREF_104" w:tooltip="Grech, 2011 #9070" w:history="1">
        <w:r w:rsidR="00305FE7">
          <w:rPr>
            <w:lang w:val="en-GB"/>
          </w:rPr>
          <w:fldChar w:fldCharType="begin"/>
        </w:r>
        <w:r w:rsidR="00305FE7">
          <w:rPr>
            <w:lang w:val="en-GB"/>
          </w:rPr>
          <w:instrText xml:space="preserve"> ADDIN EN.CITE &lt;EndNote&gt;&lt;Cite&gt;&lt;Author&gt;Grech&lt;/Author&gt;&lt;Year&gt;2011&lt;/Year&gt;&lt;RecNum&gt;9070&lt;/RecNum&gt;&lt;DisplayText&gt;Grech&lt;style face="italic"&gt; et al.&lt;/style&gt; 2011&lt;/DisplayText&gt;&lt;record&gt;&lt;rec-number&gt;9070&lt;/rec-number&gt;&lt;foreign-keys&gt;&lt;key app="EN" db-id="0eve55x9y5vfd6e9dacxtew4eatve2dzds9a" timestamp="0"&gt;9070&lt;/key&gt;&lt;/foreign-keys&gt;&lt;ref-type name="Journal Article"&gt;17&lt;/ref-type&gt;&lt;contributors&gt;&lt;authors&gt;&lt;author&gt;Grech, Alana&lt;/author&gt;&lt;author&gt;Coles, Robert Graham&lt;/author&gt;&lt;author&gt;March, Helene&lt;/author&gt;&lt;/authors&gt;&lt;/contributors&gt;&lt;titles&gt;&lt;title&gt;A broad-scale assessment of the risk to coastal seagrasses from cumulative threats&lt;/title&gt;&lt;secondary-title&gt;Marine Policy&lt;/secondary-title&gt;&lt;/titles&gt;&lt;periodical&gt;&lt;full-title&gt;Marine Policy&lt;/full-title&gt;&lt;/periodical&gt;&lt;pages&gt;560-567&lt;/pages&gt;&lt;volume&gt;35&lt;/volume&gt;&lt;dates&gt;&lt;year&gt;2011&lt;/year&gt;&lt;/dates&gt;&lt;urls&gt;&lt;/urls&gt;&lt;/record&gt;&lt;/Cite&gt;&lt;/EndNote&gt;</w:instrText>
        </w:r>
        <w:r w:rsidR="00305FE7">
          <w:rPr>
            <w:lang w:val="en-GB"/>
          </w:rPr>
          <w:fldChar w:fldCharType="separate"/>
        </w:r>
        <w:r w:rsidR="00305FE7">
          <w:rPr>
            <w:noProof/>
            <w:lang w:val="en-GB"/>
          </w:rPr>
          <w:t>Grech</w:t>
        </w:r>
        <w:r w:rsidR="00305FE7" w:rsidRPr="00783B80">
          <w:rPr>
            <w:i/>
            <w:noProof/>
            <w:lang w:val="en-GB"/>
          </w:rPr>
          <w:t xml:space="preserve"> et al.</w:t>
        </w:r>
        <w:r w:rsidR="00305FE7">
          <w:rPr>
            <w:noProof/>
            <w:lang w:val="en-GB"/>
          </w:rPr>
          <w:t xml:space="preserve"> 2011</w:t>
        </w:r>
        <w:r w:rsidR="00305FE7">
          <w:rPr>
            <w:lang w:val="en-GB"/>
          </w:rPr>
          <w:fldChar w:fldCharType="end"/>
        </w:r>
      </w:hyperlink>
      <w:r>
        <w:rPr>
          <w:lang w:val="en-GB"/>
        </w:rPr>
        <w:t>)</w:t>
      </w:r>
      <w:r w:rsidRPr="00513B1B">
        <w:rPr>
          <w:lang w:val="en-GB"/>
        </w:rPr>
        <w:t xml:space="preserve"> </w:t>
      </w:r>
      <w:r w:rsidR="00621FD0" w:rsidRPr="0022318E">
        <w:rPr>
          <w:color w:val="000000" w:themeColor="text1"/>
          <w:lang w:val="en-GB"/>
        </w:rPr>
        <w:t>report</w:t>
      </w:r>
      <w:r w:rsidR="00513B1B" w:rsidRPr="0022318E">
        <w:rPr>
          <w:color w:val="000000" w:themeColor="text1"/>
          <w:lang w:val="en-GB"/>
        </w:rPr>
        <w:t>ed</w:t>
      </w:r>
      <w:r w:rsidR="00621FD0" w:rsidRPr="0022318E">
        <w:rPr>
          <w:color w:val="000000" w:themeColor="text1"/>
          <w:lang w:val="en-GB"/>
        </w:rPr>
        <w:t xml:space="preserve"> similar trends </w:t>
      </w:r>
      <w:r w:rsidR="00621FD0" w:rsidRPr="002C6ECD">
        <w:rPr>
          <w:lang w:val="en-GB"/>
        </w:rPr>
        <w:t xml:space="preserve">to </w:t>
      </w:r>
      <w:r w:rsidR="0037176C">
        <w:rPr>
          <w:lang w:val="en-GB"/>
        </w:rPr>
        <w:t xml:space="preserve">the northern </w:t>
      </w:r>
      <w:r w:rsidR="0022318E">
        <w:rPr>
          <w:lang w:val="en-GB"/>
        </w:rPr>
        <w:t xml:space="preserve">coastal intertidal habitats of </w:t>
      </w:r>
      <w:r w:rsidR="00621FD0" w:rsidRPr="002C6ECD">
        <w:rPr>
          <w:lang w:val="en-GB"/>
        </w:rPr>
        <w:t>the MMP</w:t>
      </w:r>
      <w:r w:rsidR="009669D1" w:rsidRPr="002C6ECD">
        <w:rPr>
          <w:lang w:val="en-GB"/>
        </w:rPr>
        <w:t xml:space="preserve"> </w:t>
      </w:r>
      <w:r w:rsidR="0037176C">
        <w:rPr>
          <w:lang w:val="en-GB"/>
        </w:rPr>
        <w:t xml:space="preserve">(i.e. Yule Point) </w:t>
      </w:r>
      <w:r w:rsidR="009669D1" w:rsidRPr="002C6ECD">
        <w:rPr>
          <w:lang w:val="en-GB"/>
        </w:rPr>
        <w:t xml:space="preserve">during </w:t>
      </w:r>
      <w:r w:rsidR="008574EC">
        <w:rPr>
          <w:lang w:val="en-GB"/>
        </w:rPr>
        <w:t>2016–17</w:t>
      </w:r>
      <w:r w:rsidR="0037176C">
        <w:rPr>
          <w:lang w:val="en-GB"/>
        </w:rPr>
        <w:t xml:space="preserve">. </w:t>
      </w:r>
      <w:r w:rsidR="001B6AA0" w:rsidRPr="002C6ECD">
        <w:rPr>
          <w:lang w:val="en-GB"/>
        </w:rPr>
        <w:t xml:space="preserve">An assessment of 6 meadows (predominately </w:t>
      </w:r>
      <w:r w:rsidR="002C6ECD" w:rsidRPr="002C6ECD">
        <w:rPr>
          <w:lang w:val="en-GB"/>
        </w:rPr>
        <w:t xml:space="preserve">isolated or </w:t>
      </w:r>
      <w:r w:rsidR="001B6AA0" w:rsidRPr="002C6ECD">
        <w:rPr>
          <w:lang w:val="en-GB"/>
        </w:rPr>
        <w:t xml:space="preserve">aggregated patches) </w:t>
      </w:r>
      <w:r w:rsidR="001B6AA0" w:rsidRPr="002C6ECD">
        <w:t>in Cairns Harbour and Trinity Inlet</w:t>
      </w:r>
      <w:r w:rsidR="001B6AA0" w:rsidRPr="002C6ECD">
        <w:rPr>
          <w:lang w:val="en-GB"/>
        </w:rPr>
        <w:t xml:space="preserve"> between </w:t>
      </w:r>
      <w:r w:rsidR="00513B1B" w:rsidRPr="002C6ECD">
        <w:rPr>
          <w:lang w:val="en-GB"/>
        </w:rPr>
        <w:t>September</w:t>
      </w:r>
      <w:r w:rsidR="001B6AA0" w:rsidRPr="002C6ECD">
        <w:rPr>
          <w:lang w:val="en-GB"/>
        </w:rPr>
        <w:t xml:space="preserve"> and December 201</w:t>
      </w:r>
      <w:r w:rsidR="002C6ECD" w:rsidRPr="002C6ECD">
        <w:rPr>
          <w:lang w:val="en-GB"/>
        </w:rPr>
        <w:t>6</w:t>
      </w:r>
      <w:r w:rsidR="001B6AA0" w:rsidRPr="002C6ECD">
        <w:rPr>
          <w:lang w:val="en-GB"/>
        </w:rPr>
        <w:t xml:space="preserve">, </w:t>
      </w:r>
      <w:r w:rsidR="008046B9" w:rsidRPr="002C6ECD">
        <w:rPr>
          <w:lang w:val="en-GB"/>
        </w:rPr>
        <w:t>reported</w:t>
      </w:r>
      <w:r w:rsidR="001B6AA0" w:rsidRPr="002C6ECD">
        <w:rPr>
          <w:lang w:val="en-GB"/>
        </w:rPr>
        <w:t xml:space="preserve"> </w:t>
      </w:r>
      <w:r w:rsidR="002C6ECD" w:rsidRPr="002C6ECD">
        <w:rPr>
          <w:lang w:val="en-GB"/>
        </w:rPr>
        <w:t xml:space="preserve">above-ground biomass </w:t>
      </w:r>
      <w:r w:rsidR="008046B9" w:rsidRPr="002C6ECD">
        <w:rPr>
          <w:lang w:val="en-GB"/>
        </w:rPr>
        <w:t>(visual</w:t>
      </w:r>
      <w:r w:rsidR="00AB04F4" w:rsidRPr="002C6ECD">
        <w:rPr>
          <w:lang w:val="en-GB"/>
        </w:rPr>
        <w:t>ly</w:t>
      </w:r>
      <w:r w:rsidR="008046B9" w:rsidRPr="002C6ECD">
        <w:rPr>
          <w:lang w:val="en-GB"/>
        </w:rPr>
        <w:t xml:space="preserve"> estimate</w:t>
      </w:r>
      <w:r w:rsidR="00AB04F4" w:rsidRPr="002C6ECD">
        <w:rPr>
          <w:lang w:val="en-GB"/>
        </w:rPr>
        <w:t>d</w:t>
      </w:r>
      <w:r w:rsidR="008046B9" w:rsidRPr="002C6ECD">
        <w:rPr>
          <w:lang w:val="en-GB"/>
        </w:rPr>
        <w:t xml:space="preserve"> from a helicopter or CCTV) and extent </w:t>
      </w:r>
      <w:r w:rsidR="002C6ECD" w:rsidRPr="002C6ECD">
        <w:rPr>
          <w:lang w:val="en-GB"/>
        </w:rPr>
        <w:t xml:space="preserve">more than doubled </w:t>
      </w:r>
      <w:r w:rsidR="008046B9" w:rsidRPr="002C6ECD">
        <w:rPr>
          <w:lang w:val="en-GB"/>
        </w:rPr>
        <w:t>since 201</w:t>
      </w:r>
      <w:r w:rsidR="002C6ECD" w:rsidRPr="002C6ECD">
        <w:rPr>
          <w:lang w:val="en-GB"/>
        </w:rPr>
        <w:t>5</w:t>
      </w:r>
      <w:r w:rsidR="008046B9" w:rsidRPr="002C6ECD">
        <w:rPr>
          <w:lang w:val="en-GB"/>
        </w:rPr>
        <w:t xml:space="preserve"> (</w:t>
      </w:r>
      <w:hyperlink w:anchor="_ENREF_244" w:tooltip="York, 2017 #11337" w:history="1">
        <w:r w:rsidR="00305FE7">
          <w:rPr>
            <w:lang w:val="en-GB"/>
          </w:rPr>
          <w:fldChar w:fldCharType="begin"/>
        </w:r>
        <w:r w:rsidR="00305FE7">
          <w:rPr>
            <w:lang w:val="en-GB"/>
          </w:rPr>
          <w:instrText xml:space="preserve"> ADDIN EN.CITE &lt;EndNote&gt;&lt;Cite&gt;&lt;Author&gt;York&lt;/Author&gt;&lt;Year&gt;2017&lt;/Year&gt;&lt;RecNum&gt;11337&lt;/RecNum&gt;&lt;DisplayText&gt;York and Rasheed 2017&lt;/DisplayText&gt;&lt;record&gt;&lt;rec-number&gt;11337&lt;/rec-number&gt;&lt;foreign-keys&gt;&lt;key app="EN" db-id="0eve55x9y5vfd6e9dacxtew4eatve2dzds9a" timestamp="1513822093"&gt;11337&lt;/key&gt;&lt;/foreign-keys&gt;&lt;ref-type name="Book"&gt;6&lt;/ref-type&gt;&lt;contributors&gt;&lt;authors&gt;&lt;author&gt;York, Paul H&lt;/author&gt;&lt;author&gt;Rasheed, MA&lt;/author&gt;&lt;/authors&gt;&lt;/contributors&gt;&lt;titles&gt;&lt;title&gt;Seagrass habitat of Cairns Harbour and Trinity Inlet: Annual Monitoring Report 2016. TropWATER Publication 17/27&lt;/title&gt;&lt;/titles&gt;&lt;section&gt;57&lt;/section&gt;&lt;dates&gt;&lt;year&gt;2017&lt;/year&gt;&lt;/dates&gt;&lt;pub-location&gt;Cairns&lt;/pub-location&gt;&lt;publisher&gt;Centre for Tropical Water &amp;amp; Aquatic Ecosystem Research, James Cook University&lt;/publisher&gt;&lt;urls&gt;&lt;/urls&gt;&lt;/record&gt;&lt;/Cite&gt;&lt;/EndNote&gt;</w:instrText>
        </w:r>
        <w:r w:rsidR="00305FE7">
          <w:rPr>
            <w:lang w:val="en-GB"/>
          </w:rPr>
          <w:fldChar w:fldCharType="separate"/>
        </w:r>
        <w:r w:rsidR="00305FE7">
          <w:rPr>
            <w:noProof/>
            <w:lang w:val="en-GB"/>
          </w:rPr>
          <w:t>York and Rasheed 2017</w:t>
        </w:r>
        <w:r w:rsidR="00305FE7">
          <w:rPr>
            <w:lang w:val="en-GB"/>
          </w:rPr>
          <w:fldChar w:fldCharType="end"/>
        </w:r>
      </w:hyperlink>
      <w:r w:rsidR="008046B9" w:rsidRPr="002C6ECD">
        <w:rPr>
          <w:lang w:val="en-GB"/>
        </w:rPr>
        <w:t xml:space="preserve">). Despite the positive signs of recovery in Cairns Harbour, mean </w:t>
      </w:r>
      <w:r w:rsidR="002C6ECD" w:rsidRPr="002C6ECD">
        <w:rPr>
          <w:lang w:val="en-GB"/>
        </w:rPr>
        <w:t>above-ground biomass</w:t>
      </w:r>
      <w:r w:rsidR="008046B9" w:rsidRPr="002C6ECD">
        <w:rPr>
          <w:lang w:val="en-GB"/>
        </w:rPr>
        <w:t xml:space="preserve"> </w:t>
      </w:r>
      <w:r w:rsidR="002C6ECD" w:rsidRPr="002C6ECD">
        <w:rPr>
          <w:lang w:val="en-GB"/>
        </w:rPr>
        <w:t xml:space="preserve">for the majority of </w:t>
      </w:r>
      <w:r w:rsidR="008046B9" w:rsidRPr="002C6ECD">
        <w:rPr>
          <w:lang w:val="en-GB"/>
        </w:rPr>
        <w:t>monitoring meadows remain</w:t>
      </w:r>
      <w:r w:rsidR="00852DB0">
        <w:rPr>
          <w:lang w:val="en-GB"/>
        </w:rPr>
        <w:t>s</w:t>
      </w:r>
      <w:r w:rsidR="008046B9" w:rsidRPr="002C6ECD">
        <w:rPr>
          <w:lang w:val="en-GB"/>
        </w:rPr>
        <w:t xml:space="preserve"> below </w:t>
      </w:r>
      <w:r w:rsidR="002C6ECD" w:rsidRPr="002C6ECD">
        <w:rPr>
          <w:lang w:val="en-GB"/>
        </w:rPr>
        <w:t>10 year baseline</w:t>
      </w:r>
      <w:r w:rsidR="008046B9" w:rsidRPr="002C6ECD">
        <w:rPr>
          <w:lang w:val="en-GB"/>
        </w:rPr>
        <w:t xml:space="preserve"> averages </w:t>
      </w:r>
      <w:r w:rsidR="008046B9" w:rsidRPr="002C6ECD">
        <w:rPr>
          <w:szCs w:val="22"/>
        </w:rPr>
        <w:t>(</w:t>
      </w:r>
      <w:r w:rsidR="00852DB0">
        <w:rPr>
          <w:szCs w:val="22"/>
        </w:rPr>
        <w:fldChar w:fldCharType="begin"/>
      </w:r>
      <w:r w:rsidR="00852DB0">
        <w:rPr>
          <w:szCs w:val="22"/>
        </w:rPr>
        <w:instrText xml:space="preserve"> REF _Ref469564353 \h </w:instrText>
      </w:r>
      <w:r w:rsidR="00852DB0">
        <w:rPr>
          <w:szCs w:val="22"/>
        </w:rPr>
      </w:r>
      <w:r w:rsidR="00852DB0">
        <w:rPr>
          <w:szCs w:val="22"/>
        </w:rPr>
        <w:fldChar w:fldCharType="separate"/>
      </w:r>
      <w:r w:rsidR="00F87DF9">
        <w:t xml:space="preserve">Figure </w:t>
      </w:r>
      <w:r w:rsidR="00F87DF9">
        <w:rPr>
          <w:noProof/>
        </w:rPr>
        <w:t>57</w:t>
      </w:r>
      <w:r w:rsidR="00852DB0">
        <w:rPr>
          <w:szCs w:val="22"/>
        </w:rPr>
        <w:fldChar w:fldCharType="end"/>
      </w:r>
      <w:r w:rsidR="00852DB0">
        <w:rPr>
          <w:szCs w:val="22"/>
        </w:rPr>
        <w:t>)</w:t>
      </w:r>
      <w:r w:rsidR="0037176C">
        <w:rPr>
          <w:szCs w:val="22"/>
        </w:rPr>
        <w:t>, and therefore recovery is lagging behind that of the Yule Point coastal habitat</w:t>
      </w:r>
      <w:r w:rsidR="008046B9" w:rsidRPr="002C6ECD">
        <w:rPr>
          <w:lang w:val="en-GB"/>
        </w:rPr>
        <w:t>.</w:t>
      </w:r>
    </w:p>
    <w:p w14:paraId="7432F702" w14:textId="6668ED37" w:rsidR="002C6ECD" w:rsidRDefault="0022318E" w:rsidP="00907D11">
      <w:pPr>
        <w:spacing w:before="0"/>
        <w:jc w:val="center"/>
        <w:rPr>
          <w:szCs w:val="22"/>
        </w:rPr>
      </w:pPr>
      <w:r>
        <w:rPr>
          <w:noProof/>
          <w:szCs w:val="22"/>
          <w:lang w:eastAsia="en-AU"/>
        </w:rPr>
        <w:drawing>
          <wp:inline distT="0" distB="0" distL="0" distR="0" wp14:anchorId="62615515" wp14:editId="2E5E6D79">
            <wp:extent cx="3236340" cy="3823252"/>
            <wp:effectExtent l="0" t="0" r="2540" b="6350"/>
            <wp:docPr id="559" name="Picture 559" descr="Two scatter plots with straight lines and markers showing change in visually estimated above-ground biomass and total extent of all monitoring meadows combined in Cairns Harbour and Trinity Inlet from 2001 –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 name="Pages from 17 27 Seagrass habitat of Cairns Harbour and Trinity Inlet.pdf"/>
                    <pic:cNvPicPr/>
                  </pic:nvPicPr>
                  <pic:blipFill rotWithShape="1">
                    <a:blip r:embed="rId95"/>
                    <a:srcRect b="4960"/>
                    <a:stretch/>
                  </pic:blipFill>
                  <pic:spPr bwMode="auto">
                    <a:xfrm>
                      <a:off x="0" y="0"/>
                      <a:ext cx="3240747" cy="3828458"/>
                    </a:xfrm>
                    <a:prstGeom prst="rect">
                      <a:avLst/>
                    </a:prstGeom>
                    <a:ln>
                      <a:noFill/>
                    </a:ln>
                    <a:extLst>
                      <a:ext uri="{53640926-AAD7-44D8-BBD7-CCE9431645EC}">
                        <a14:shadowObscured xmlns:a14="http://schemas.microsoft.com/office/drawing/2010/main"/>
                      </a:ext>
                    </a:extLst>
                  </pic:spPr>
                </pic:pic>
              </a:graphicData>
            </a:graphic>
          </wp:inline>
        </w:drawing>
      </w:r>
    </w:p>
    <w:p w14:paraId="73AFE934" w14:textId="77777777" w:rsidR="0015251F" w:rsidRPr="00941B89" w:rsidRDefault="00EF513A" w:rsidP="0015251F">
      <w:pPr>
        <w:rPr>
          <w:i/>
          <w:iCs/>
          <w:vanish/>
          <w:szCs w:val="22"/>
          <w:lang w:eastAsia="en-AU"/>
          <w:specVanish/>
        </w:rPr>
      </w:pPr>
      <w:bookmarkStart w:id="334" w:name="_Ref469564353"/>
      <w:bookmarkStart w:id="335" w:name="_Toc51605326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57</w:t>
      </w:r>
      <w:r w:rsidR="00C506C7">
        <w:rPr>
          <w:noProof/>
        </w:rPr>
        <w:fldChar w:fldCharType="end"/>
      </w:r>
      <w:bookmarkEnd w:id="334"/>
      <w:r>
        <w:t xml:space="preserve">. </w:t>
      </w:r>
      <w:r w:rsidRPr="005373CC">
        <w:rPr>
          <w:i/>
          <w:color w:val="000000"/>
          <w:szCs w:val="22"/>
        </w:rPr>
        <w:t xml:space="preserve">Change in </w:t>
      </w:r>
      <w:r w:rsidRPr="006A6C0E">
        <w:rPr>
          <w:i/>
          <w:color w:val="000000"/>
          <w:szCs w:val="22"/>
        </w:rPr>
        <w:t xml:space="preserve">visually estimated above-ground biomass </w:t>
      </w:r>
      <w:r>
        <w:rPr>
          <w:i/>
          <w:color w:val="000000"/>
          <w:szCs w:val="22"/>
        </w:rPr>
        <w:t xml:space="preserve">(a.) and </w:t>
      </w:r>
      <w:r w:rsidRPr="00542B4D">
        <w:rPr>
          <w:i/>
          <w:color w:val="000000"/>
          <w:szCs w:val="22"/>
        </w:rPr>
        <w:t xml:space="preserve">total extent </w:t>
      </w:r>
      <w:r>
        <w:rPr>
          <w:i/>
          <w:color w:val="000000"/>
          <w:szCs w:val="22"/>
        </w:rPr>
        <w:t xml:space="preserve">(b.) </w:t>
      </w:r>
      <w:r w:rsidRPr="006A6C0E">
        <w:rPr>
          <w:i/>
          <w:color w:val="000000"/>
          <w:szCs w:val="22"/>
        </w:rPr>
        <w:t xml:space="preserve">of all monitoring meadows combined </w:t>
      </w:r>
      <w:r>
        <w:rPr>
          <w:i/>
          <w:color w:val="000000"/>
          <w:szCs w:val="22"/>
        </w:rPr>
        <w:t xml:space="preserve">in </w:t>
      </w:r>
      <w:r w:rsidRPr="006A6C0E">
        <w:rPr>
          <w:i/>
          <w:color w:val="000000"/>
          <w:szCs w:val="22"/>
        </w:rPr>
        <w:t>Cairns</w:t>
      </w:r>
      <w:r>
        <w:rPr>
          <w:i/>
          <w:color w:val="000000"/>
          <w:szCs w:val="22"/>
        </w:rPr>
        <w:t xml:space="preserve"> </w:t>
      </w:r>
      <w:r w:rsidRPr="006A6C0E">
        <w:rPr>
          <w:i/>
          <w:color w:val="000000"/>
          <w:szCs w:val="22"/>
        </w:rPr>
        <w:t xml:space="preserve">Harbour and Trinity Inlet </w:t>
      </w:r>
      <w:r w:rsidRPr="00F6656F">
        <w:rPr>
          <w:i/>
          <w:szCs w:val="22"/>
        </w:rPr>
        <w:t>from 2001 – 201</w:t>
      </w:r>
      <w:r w:rsidR="002C6ECD" w:rsidRPr="00F6656F">
        <w:rPr>
          <w:i/>
          <w:szCs w:val="22"/>
        </w:rPr>
        <w:t>6</w:t>
      </w:r>
      <w:bookmarkEnd w:id="335"/>
      <w:r w:rsidR="0015251F" w:rsidRPr="00941B89">
        <w:rPr>
          <w:i/>
          <w:lang w:eastAsia="en-AU"/>
        </w:rPr>
        <w:t xml:space="preserve"> </w:t>
      </w:r>
    </w:p>
    <w:p w14:paraId="711B28C9" w14:textId="4701AACE" w:rsidR="00EF513A" w:rsidRDefault="0015251F" w:rsidP="0015251F">
      <w:pPr>
        <w:keepLines/>
        <w:spacing w:before="0"/>
        <w:rPr>
          <w:i/>
          <w:color w:val="000000"/>
          <w:szCs w:val="22"/>
        </w:rPr>
      </w:pPr>
      <w:r w:rsidRPr="00941B89">
        <w:rPr>
          <w:i/>
          <w:lang w:eastAsia="en-AU"/>
        </w:rPr>
        <w:t xml:space="preserve"> </w:t>
      </w:r>
      <w:r w:rsidR="00EF513A" w:rsidRPr="00F6656F">
        <w:rPr>
          <w:i/>
          <w:szCs w:val="22"/>
        </w:rPr>
        <w:t>(</w:t>
      </w:r>
      <w:r w:rsidR="00EF513A">
        <w:rPr>
          <w:i/>
          <w:color w:val="000000"/>
          <w:szCs w:val="22"/>
        </w:rPr>
        <w:t xml:space="preserve">from </w:t>
      </w:r>
      <w:hyperlink w:anchor="_ENREF_244" w:tooltip="York, 2017 #11337" w:history="1">
        <w:r w:rsidR="00305FE7">
          <w:rPr>
            <w:lang w:val="en-GB"/>
          </w:rPr>
          <w:fldChar w:fldCharType="begin"/>
        </w:r>
        <w:r w:rsidR="00305FE7">
          <w:rPr>
            <w:lang w:val="en-GB"/>
          </w:rPr>
          <w:instrText xml:space="preserve"> ADDIN EN.CITE &lt;EndNote&gt;&lt;Cite&gt;&lt;Author&gt;York&lt;/Author&gt;&lt;Year&gt;2017&lt;/Year&gt;&lt;RecNum&gt;11337&lt;/RecNum&gt;&lt;DisplayText&gt;York and Rasheed 2017&lt;/DisplayText&gt;&lt;record&gt;&lt;rec-number&gt;11337&lt;/rec-number&gt;&lt;foreign-keys&gt;&lt;key app="EN" db-id="0eve55x9y5vfd6e9dacxtew4eatve2dzds9a" timestamp="1513822093"&gt;11337&lt;/key&gt;&lt;/foreign-keys&gt;&lt;ref-type name="Book"&gt;6&lt;/ref-type&gt;&lt;contributors&gt;&lt;authors&gt;&lt;author&gt;York, Paul H&lt;/author&gt;&lt;author&gt;Rasheed, MA&lt;/author&gt;&lt;/authors&gt;&lt;/contributors&gt;&lt;titles&gt;&lt;title&gt;Seagrass habitat of Cairns Harbour and Trinity Inlet: Annual Monitoring Report 2016. TropWATER Publication 17/27&lt;/title&gt;&lt;/titles&gt;&lt;section&gt;57&lt;/section&gt;&lt;dates&gt;&lt;year&gt;2017&lt;/year&gt;&lt;/dates&gt;&lt;pub-location&gt;Cairns&lt;/pub-location&gt;&lt;publisher&gt;Centre for Tropical Water &amp;amp; Aquatic Ecosystem Research, James Cook University&lt;/publisher&gt;&lt;urls&gt;&lt;/urls&gt;&lt;/record&gt;&lt;/Cite&gt;&lt;/EndNote&gt;</w:instrText>
        </w:r>
        <w:r w:rsidR="00305FE7">
          <w:rPr>
            <w:lang w:val="en-GB"/>
          </w:rPr>
          <w:fldChar w:fldCharType="separate"/>
        </w:r>
        <w:r w:rsidR="00305FE7">
          <w:rPr>
            <w:noProof/>
            <w:lang w:val="en-GB"/>
          </w:rPr>
          <w:t>York and Rasheed 2017</w:t>
        </w:r>
        <w:r w:rsidR="00305FE7">
          <w:rPr>
            <w:lang w:val="en-GB"/>
          </w:rPr>
          <w:fldChar w:fldCharType="end"/>
        </w:r>
      </w:hyperlink>
      <w:r w:rsidR="00EF513A">
        <w:rPr>
          <w:i/>
          <w:color w:val="000000"/>
          <w:szCs w:val="22"/>
        </w:rPr>
        <w:t xml:space="preserve">). Error bars are SE for </w:t>
      </w:r>
      <w:r w:rsidR="00EF513A" w:rsidRPr="006A6C0E">
        <w:rPr>
          <w:i/>
          <w:color w:val="000000"/>
          <w:szCs w:val="22"/>
        </w:rPr>
        <w:t>g DW m</w:t>
      </w:r>
      <w:r w:rsidR="00EF513A" w:rsidRPr="006A6C0E">
        <w:rPr>
          <w:i/>
          <w:color w:val="000000"/>
          <w:szCs w:val="22"/>
          <w:vertAlign w:val="superscript"/>
        </w:rPr>
        <w:t>2</w:t>
      </w:r>
      <w:r w:rsidR="00EF513A">
        <w:rPr>
          <w:i/>
          <w:color w:val="000000"/>
          <w:szCs w:val="22"/>
        </w:rPr>
        <w:t xml:space="preserve"> and</w:t>
      </w:r>
      <w:r w:rsidR="00EF513A" w:rsidRPr="006A6C0E">
        <w:rPr>
          <w:i/>
          <w:color w:val="000000"/>
          <w:szCs w:val="22"/>
        </w:rPr>
        <w:t xml:space="preserve"> </w:t>
      </w:r>
      <w:r w:rsidR="00EF513A" w:rsidRPr="00542B4D">
        <w:rPr>
          <w:i/>
          <w:color w:val="000000"/>
          <w:szCs w:val="22"/>
        </w:rPr>
        <w:t>“R” reliability estimate</w:t>
      </w:r>
      <w:r w:rsidR="00EF513A">
        <w:rPr>
          <w:i/>
          <w:color w:val="000000"/>
          <w:szCs w:val="22"/>
        </w:rPr>
        <w:t xml:space="preserve"> for ha. </w:t>
      </w:r>
      <w:r w:rsidR="00EF513A" w:rsidRPr="006A6C0E">
        <w:rPr>
          <w:i/>
          <w:color w:val="000000"/>
          <w:szCs w:val="22"/>
        </w:rPr>
        <w:t>D</w:t>
      </w:r>
      <w:r w:rsidR="00EF513A">
        <w:rPr>
          <w:i/>
          <w:color w:val="000000"/>
          <w:szCs w:val="22"/>
        </w:rPr>
        <w:t xml:space="preserve">ashed </w:t>
      </w:r>
      <w:r w:rsidR="00EF513A" w:rsidRPr="006A6C0E">
        <w:rPr>
          <w:i/>
          <w:color w:val="000000"/>
          <w:szCs w:val="22"/>
        </w:rPr>
        <w:t xml:space="preserve">line indicates </w:t>
      </w:r>
      <w:r w:rsidR="002C6ECD">
        <w:rPr>
          <w:i/>
          <w:color w:val="000000"/>
          <w:szCs w:val="22"/>
        </w:rPr>
        <w:t>10 year</w:t>
      </w:r>
      <w:r w:rsidR="00EF513A">
        <w:rPr>
          <w:i/>
          <w:color w:val="000000"/>
          <w:szCs w:val="22"/>
        </w:rPr>
        <w:t xml:space="preserve"> average</w:t>
      </w:r>
      <w:r w:rsidR="008E2E54">
        <w:rPr>
          <w:i/>
          <w:color w:val="000000"/>
          <w:szCs w:val="22"/>
        </w:rPr>
        <w:t xml:space="preserve"> from 2000 - 2010</w:t>
      </w:r>
      <w:r w:rsidR="00EF513A">
        <w:rPr>
          <w:i/>
          <w:color w:val="000000"/>
          <w:szCs w:val="22"/>
        </w:rPr>
        <w:t>.</w:t>
      </w:r>
    </w:p>
    <w:p w14:paraId="7C52F374" w14:textId="77777777" w:rsidR="00CB6CFF" w:rsidRPr="008E2E54" w:rsidRDefault="00CB6CFF" w:rsidP="0015251F">
      <w:pPr>
        <w:keepLines/>
        <w:spacing w:before="0"/>
        <w:rPr>
          <w:i/>
          <w:vanish/>
        </w:rPr>
      </w:pPr>
    </w:p>
    <w:p w14:paraId="39F890AC" w14:textId="1270FE33" w:rsidR="004E098B" w:rsidRPr="00354437" w:rsidRDefault="00D44EC5" w:rsidP="00907D11">
      <w:pPr>
        <w:rPr>
          <w:szCs w:val="22"/>
        </w:rPr>
      </w:pPr>
      <w:r w:rsidRPr="005B483E">
        <w:rPr>
          <w:szCs w:val="22"/>
        </w:rPr>
        <w:t>Conversely</w:t>
      </w:r>
      <w:r w:rsidR="001B6AA0" w:rsidRPr="005B483E">
        <w:rPr>
          <w:szCs w:val="22"/>
        </w:rPr>
        <w:t xml:space="preserve">, an assessment of 5 seagrass meadows in Mourilyan Harbour in </w:t>
      </w:r>
      <w:r w:rsidR="00DE259D" w:rsidRPr="005B483E">
        <w:rPr>
          <w:szCs w:val="22"/>
        </w:rPr>
        <w:t>October</w:t>
      </w:r>
      <w:r w:rsidR="002B3448" w:rsidRPr="005B483E">
        <w:rPr>
          <w:szCs w:val="22"/>
        </w:rPr>
        <w:t>-</w:t>
      </w:r>
      <w:r w:rsidR="00DE259D" w:rsidRPr="005B483E">
        <w:rPr>
          <w:szCs w:val="22"/>
        </w:rPr>
        <w:t>November</w:t>
      </w:r>
      <w:r w:rsidR="001B6AA0" w:rsidRPr="005B483E">
        <w:rPr>
          <w:szCs w:val="22"/>
        </w:rPr>
        <w:t xml:space="preserve"> 201</w:t>
      </w:r>
      <w:r w:rsidR="00DE259D" w:rsidRPr="005B483E">
        <w:rPr>
          <w:szCs w:val="22"/>
        </w:rPr>
        <w:t>6</w:t>
      </w:r>
      <w:r w:rsidR="001B6AA0" w:rsidRPr="005B483E">
        <w:rPr>
          <w:szCs w:val="22"/>
        </w:rPr>
        <w:t xml:space="preserve"> reported seagrass </w:t>
      </w:r>
      <w:r w:rsidR="00D22C48">
        <w:rPr>
          <w:szCs w:val="22"/>
        </w:rPr>
        <w:t xml:space="preserve">has changed little relative to the </w:t>
      </w:r>
      <w:r w:rsidR="00D22C48" w:rsidRPr="005B483E">
        <w:rPr>
          <w:szCs w:val="22"/>
        </w:rPr>
        <w:t xml:space="preserve">previous </w:t>
      </w:r>
      <w:r w:rsidRPr="005B483E">
        <w:rPr>
          <w:szCs w:val="22"/>
        </w:rPr>
        <w:t xml:space="preserve">year </w:t>
      </w:r>
      <w:r w:rsidR="00852DB0">
        <w:rPr>
          <w:szCs w:val="22"/>
        </w:rPr>
        <w:t>(</w:t>
      </w:r>
      <w:hyperlink w:anchor="_ENREF_201" w:tooltip="Reason, 2017 #11338" w:history="1">
        <w:r w:rsidR="00305FE7">
          <w:rPr>
            <w:szCs w:val="22"/>
          </w:rPr>
          <w:fldChar w:fldCharType="begin"/>
        </w:r>
        <w:r w:rsidR="00305FE7">
          <w:rPr>
            <w:szCs w:val="22"/>
          </w:rPr>
          <w:instrText xml:space="preserve"> ADDIN EN.CITE &lt;EndNote&gt;&lt;Cite&gt;&lt;Author&gt;Reason&lt;/Author&gt;&lt;Year&gt;2017&lt;/Year&gt;&lt;RecNum&gt;11338&lt;/RecNum&gt;&lt;DisplayText&gt;Reason&lt;style face="italic"&gt; et al.&lt;/style&gt; 2017&lt;/DisplayText&gt;&lt;record&gt;&lt;rec-number&gt;11338&lt;/rec-number&gt;&lt;foreign-keys&gt;&lt;key app="EN" db-id="0eve55x9y5vfd6e9dacxtew4eatve2dzds9a" timestamp="1513822946"&gt;11338&lt;/key&gt;&lt;/foreign-keys&gt;&lt;ref-type name="Book"&gt;6&lt;/ref-type&gt;&lt;contributors&gt;&lt;authors&gt;&lt;author&gt;Reason, CL&lt;/author&gt;&lt;author&gt;Sozou, AM&lt;/author&gt;&lt;author&gt;York, PH&lt;/author&gt;&lt;author&gt;Rasheed, MA&lt;/author&gt;&lt;/authors&gt;&lt;/contributors&gt;&lt;titles&gt;&lt;title&gt;Seagrass habitat of Mourilyan Harbour: Annual Monitoring Report – 2016. TropWATER report 17/28&lt;/title&gt;&lt;/titles&gt;&lt;section&gt;37&lt;/section&gt;&lt;dates&gt;&lt;year&gt;2017&lt;/year&gt;&lt;/dates&gt;&lt;pub-location&gt;Cairns&lt;/pub-location&gt;&lt;publisher&gt;JCU Publication, Centre for Tropical Water &amp;amp; Aquatic Ecosystem Research&lt;/publisher&gt;&lt;urls&gt;&lt;/urls&gt;&lt;/record&gt;&lt;/Cite&gt;&lt;/EndNote&gt;</w:instrText>
        </w:r>
        <w:r w:rsidR="00305FE7">
          <w:rPr>
            <w:szCs w:val="22"/>
          </w:rPr>
          <w:fldChar w:fldCharType="separate"/>
        </w:r>
        <w:r w:rsidR="00305FE7">
          <w:rPr>
            <w:noProof/>
            <w:szCs w:val="22"/>
          </w:rPr>
          <w:t>Reason</w:t>
        </w:r>
        <w:r w:rsidR="00305FE7" w:rsidRPr="00610D5C">
          <w:rPr>
            <w:i/>
            <w:noProof/>
            <w:szCs w:val="22"/>
          </w:rPr>
          <w:t xml:space="preserve"> et al.</w:t>
        </w:r>
        <w:r w:rsidR="00305FE7">
          <w:rPr>
            <w:noProof/>
            <w:szCs w:val="22"/>
          </w:rPr>
          <w:t xml:space="preserve"> 2017</w:t>
        </w:r>
        <w:r w:rsidR="00305FE7">
          <w:rPr>
            <w:szCs w:val="22"/>
          </w:rPr>
          <w:fldChar w:fldCharType="end"/>
        </w:r>
      </w:hyperlink>
      <w:r w:rsidR="00117E94" w:rsidRPr="005B483E">
        <w:rPr>
          <w:szCs w:val="22"/>
        </w:rPr>
        <w:t>)</w:t>
      </w:r>
      <w:r w:rsidR="002B3448" w:rsidRPr="005B483E">
        <w:rPr>
          <w:szCs w:val="22"/>
        </w:rPr>
        <w:t xml:space="preserve">. </w:t>
      </w:r>
      <w:r w:rsidR="005B483E">
        <w:rPr>
          <w:szCs w:val="22"/>
        </w:rPr>
        <w:t xml:space="preserve">The </w:t>
      </w:r>
      <w:r w:rsidR="005B483E" w:rsidRPr="00D22C48">
        <w:rPr>
          <w:szCs w:val="22"/>
        </w:rPr>
        <w:t xml:space="preserve">subtidal meadow </w:t>
      </w:r>
      <w:r w:rsidR="00D22C48" w:rsidRPr="00D22C48">
        <w:rPr>
          <w:szCs w:val="22"/>
        </w:rPr>
        <w:t>was</w:t>
      </w:r>
      <w:r w:rsidR="005B483E" w:rsidRPr="00D22C48">
        <w:rPr>
          <w:szCs w:val="22"/>
        </w:rPr>
        <w:t xml:space="preserve"> less aggregated </w:t>
      </w:r>
      <w:r w:rsidR="00D22C48" w:rsidRPr="00D22C48">
        <w:rPr>
          <w:szCs w:val="22"/>
        </w:rPr>
        <w:t xml:space="preserve">in the channel </w:t>
      </w:r>
      <w:r w:rsidR="005B483E" w:rsidRPr="00D22C48">
        <w:rPr>
          <w:szCs w:val="22"/>
        </w:rPr>
        <w:t xml:space="preserve">and </w:t>
      </w:r>
      <w:r w:rsidR="00D22C48" w:rsidRPr="00D22C48">
        <w:rPr>
          <w:szCs w:val="22"/>
        </w:rPr>
        <w:t xml:space="preserve">a few isolated patches of seagrass had </w:t>
      </w:r>
      <w:r w:rsidR="00D22C48" w:rsidRPr="00354437">
        <w:rPr>
          <w:szCs w:val="22"/>
        </w:rPr>
        <w:t xml:space="preserve">colonised one of the intertidal banks in 2016. </w:t>
      </w:r>
      <w:r w:rsidRPr="00354437">
        <w:rPr>
          <w:szCs w:val="22"/>
        </w:rPr>
        <w:t>Similar to 201</w:t>
      </w:r>
      <w:r w:rsidR="00AF7732" w:rsidRPr="00354437">
        <w:rPr>
          <w:szCs w:val="22"/>
        </w:rPr>
        <w:t>5</w:t>
      </w:r>
      <w:r w:rsidRPr="00354437">
        <w:rPr>
          <w:szCs w:val="22"/>
        </w:rPr>
        <w:t xml:space="preserve">, </w:t>
      </w:r>
      <w:r w:rsidR="00D22C48" w:rsidRPr="00354437">
        <w:rPr>
          <w:szCs w:val="22"/>
        </w:rPr>
        <w:t>above-ground biomass (visually estimated from helicopter or CCTV) and extent remained very poor</w:t>
      </w:r>
      <w:r w:rsidR="001B6AA0" w:rsidRPr="00354437">
        <w:rPr>
          <w:szCs w:val="22"/>
        </w:rPr>
        <w:t xml:space="preserve"> </w:t>
      </w:r>
      <w:r w:rsidR="00DB7C40" w:rsidRPr="00354437">
        <w:rPr>
          <w:szCs w:val="22"/>
        </w:rPr>
        <w:t>(</w:t>
      </w:r>
      <w:r w:rsidR="00DB7C40" w:rsidRPr="00354437">
        <w:rPr>
          <w:szCs w:val="22"/>
        </w:rPr>
        <w:fldChar w:fldCharType="begin"/>
      </w:r>
      <w:r w:rsidR="00DB7C40" w:rsidRPr="00354437">
        <w:rPr>
          <w:szCs w:val="22"/>
        </w:rPr>
        <w:instrText xml:space="preserve"> REF _Ref469564363 \h </w:instrText>
      </w:r>
      <w:r w:rsidR="00DB7C40" w:rsidRPr="00354437">
        <w:rPr>
          <w:szCs w:val="22"/>
        </w:rPr>
      </w:r>
      <w:r w:rsidR="00DB7C40" w:rsidRPr="00354437">
        <w:rPr>
          <w:szCs w:val="22"/>
        </w:rPr>
        <w:fldChar w:fldCharType="separate"/>
      </w:r>
      <w:r w:rsidR="00F87DF9" w:rsidRPr="00BD27FC">
        <w:t xml:space="preserve">Figure </w:t>
      </w:r>
      <w:r w:rsidR="00F87DF9">
        <w:rPr>
          <w:noProof/>
        </w:rPr>
        <w:t>58</w:t>
      </w:r>
      <w:r w:rsidR="00DB7C40" w:rsidRPr="00354437">
        <w:rPr>
          <w:szCs w:val="22"/>
        </w:rPr>
        <w:fldChar w:fldCharType="end"/>
      </w:r>
      <w:r w:rsidR="00DB7C40" w:rsidRPr="00354437">
        <w:rPr>
          <w:szCs w:val="22"/>
        </w:rPr>
        <w:t>)</w:t>
      </w:r>
      <w:r w:rsidR="00D22C48" w:rsidRPr="00354437">
        <w:rPr>
          <w:szCs w:val="22"/>
        </w:rPr>
        <w:t>, with</w:t>
      </w:r>
      <w:r w:rsidR="00DB7C40" w:rsidRPr="00354437">
        <w:rPr>
          <w:szCs w:val="22"/>
        </w:rPr>
        <w:t xml:space="preserve"> </w:t>
      </w:r>
      <w:r w:rsidR="00D22C48" w:rsidRPr="00354437">
        <w:rPr>
          <w:szCs w:val="22"/>
        </w:rPr>
        <w:t>foundation species (</w:t>
      </w:r>
      <w:r w:rsidR="00D22C48" w:rsidRPr="00354437">
        <w:rPr>
          <w:i/>
          <w:szCs w:val="22"/>
        </w:rPr>
        <w:t xml:space="preserve">Zostera muelleri </w:t>
      </w:r>
      <w:r w:rsidR="00D22C48" w:rsidRPr="00354437">
        <w:rPr>
          <w:szCs w:val="22"/>
        </w:rPr>
        <w:t>and</w:t>
      </w:r>
      <w:r w:rsidR="00D22C48" w:rsidRPr="00354437">
        <w:rPr>
          <w:i/>
          <w:szCs w:val="22"/>
        </w:rPr>
        <w:t xml:space="preserve"> Halodule uninervis</w:t>
      </w:r>
      <w:r w:rsidR="00D22C48" w:rsidRPr="00354437">
        <w:rPr>
          <w:szCs w:val="22"/>
        </w:rPr>
        <w:t xml:space="preserve">) absent from the monitoring meadows for the </w:t>
      </w:r>
      <w:r w:rsidR="0007514A" w:rsidRPr="00354437">
        <w:rPr>
          <w:szCs w:val="22"/>
        </w:rPr>
        <w:t>sixth</w:t>
      </w:r>
      <w:r w:rsidR="00D22C48" w:rsidRPr="00354437">
        <w:rPr>
          <w:szCs w:val="22"/>
        </w:rPr>
        <w:t xml:space="preserve"> consecutive year </w:t>
      </w:r>
      <w:r w:rsidR="000A6C5A">
        <w:rPr>
          <w:szCs w:val="22"/>
        </w:rPr>
        <w:t>(</w:t>
      </w:r>
      <w:hyperlink w:anchor="_ENREF_201" w:tooltip="Reason, 2017 #11338" w:history="1">
        <w:r w:rsidR="00305FE7">
          <w:rPr>
            <w:szCs w:val="22"/>
          </w:rPr>
          <w:fldChar w:fldCharType="begin"/>
        </w:r>
        <w:r w:rsidR="00305FE7">
          <w:rPr>
            <w:szCs w:val="22"/>
          </w:rPr>
          <w:instrText xml:space="preserve"> ADDIN EN.CITE &lt;EndNote&gt;&lt;Cite&gt;&lt;Author&gt;Reason&lt;/Author&gt;&lt;Year&gt;2017&lt;/Year&gt;&lt;RecNum&gt;11338&lt;/RecNum&gt;&lt;DisplayText&gt;Reason&lt;style face="italic"&gt; et al.&lt;/style&gt; 2017&lt;/DisplayText&gt;&lt;record&gt;&lt;rec-number&gt;11338&lt;/rec-number&gt;&lt;foreign-keys&gt;&lt;key app="EN" db-id="0eve55x9y5vfd6e9dacxtew4eatve2dzds9a" timestamp="1513822946"&gt;11338&lt;/key&gt;&lt;/foreign-keys&gt;&lt;ref-type name="Book"&gt;6&lt;/ref-type&gt;&lt;contributors&gt;&lt;authors&gt;&lt;author&gt;Reason, CL&lt;/author&gt;&lt;author&gt;Sozou, AM&lt;/author&gt;&lt;author&gt;York, PH&lt;/author&gt;&lt;author&gt;Rasheed, MA&lt;/author&gt;&lt;/authors&gt;&lt;/contributors&gt;&lt;titles&gt;&lt;title&gt;Seagrass habitat of Mourilyan Harbour: Annual Monitoring Report – 2016. TropWATER report 17/28&lt;/title&gt;&lt;/titles&gt;&lt;section&gt;37&lt;/section&gt;&lt;dates&gt;&lt;year&gt;2017&lt;/year&gt;&lt;/dates&gt;&lt;pub-location&gt;Cairns&lt;/pub-location&gt;&lt;publisher&gt;JCU Publication, Centre for Tropical Water &amp;amp; Aquatic Ecosystem Research&lt;/publisher&gt;&lt;urls&gt;&lt;/urls&gt;&lt;/record&gt;&lt;/Cite&gt;&lt;/EndNote&gt;</w:instrText>
        </w:r>
        <w:r w:rsidR="00305FE7">
          <w:rPr>
            <w:szCs w:val="22"/>
          </w:rPr>
          <w:fldChar w:fldCharType="separate"/>
        </w:r>
        <w:r w:rsidR="00305FE7">
          <w:rPr>
            <w:noProof/>
            <w:szCs w:val="22"/>
          </w:rPr>
          <w:t>Reason</w:t>
        </w:r>
        <w:r w:rsidR="00305FE7" w:rsidRPr="00521D93">
          <w:rPr>
            <w:i/>
            <w:noProof/>
            <w:szCs w:val="22"/>
          </w:rPr>
          <w:t xml:space="preserve"> et al.</w:t>
        </w:r>
        <w:r w:rsidR="00305FE7">
          <w:rPr>
            <w:noProof/>
            <w:szCs w:val="22"/>
          </w:rPr>
          <w:t xml:space="preserve"> 2017</w:t>
        </w:r>
        <w:r w:rsidR="00305FE7">
          <w:rPr>
            <w:szCs w:val="22"/>
          </w:rPr>
          <w:fldChar w:fldCharType="end"/>
        </w:r>
      </w:hyperlink>
      <w:r w:rsidR="000A6C5A" w:rsidRPr="005B483E">
        <w:rPr>
          <w:szCs w:val="22"/>
        </w:rPr>
        <w:t>)</w:t>
      </w:r>
      <w:r w:rsidR="002B3448" w:rsidRPr="00354437">
        <w:rPr>
          <w:szCs w:val="22"/>
        </w:rPr>
        <w:t xml:space="preserve">. </w:t>
      </w:r>
      <w:r w:rsidR="00354437" w:rsidRPr="00354437">
        <w:rPr>
          <w:szCs w:val="22"/>
        </w:rPr>
        <w:t>Although t</w:t>
      </w:r>
      <w:r w:rsidR="002B3448" w:rsidRPr="00354437">
        <w:rPr>
          <w:szCs w:val="22"/>
        </w:rPr>
        <w:t xml:space="preserve">he authors attributed the </w:t>
      </w:r>
      <w:r w:rsidR="00354437" w:rsidRPr="00354437">
        <w:rPr>
          <w:szCs w:val="22"/>
        </w:rPr>
        <w:t>lack of recovery of the foundational species to an absent seed bank, they were unable to explain the slow recovery of the remaining meadows when t</w:t>
      </w:r>
      <w:r w:rsidR="00354437" w:rsidRPr="00354437">
        <w:rPr>
          <w:rFonts w:cs="Calibri"/>
          <w:sz w:val="21"/>
          <w:szCs w:val="21"/>
          <w:lang w:eastAsia="en-AU"/>
        </w:rPr>
        <w:t>he three year period preceeding the 2016 survey were favourable for seagrass growth</w:t>
      </w:r>
      <w:r w:rsidR="00354437" w:rsidRPr="00354437">
        <w:rPr>
          <w:szCs w:val="22"/>
        </w:rPr>
        <w:t xml:space="preserve"> </w:t>
      </w:r>
      <w:r w:rsidR="000A6C5A">
        <w:rPr>
          <w:szCs w:val="22"/>
        </w:rPr>
        <w:t>(</w:t>
      </w:r>
      <w:hyperlink w:anchor="_ENREF_201" w:tooltip="Reason, 2017 #11338" w:history="1">
        <w:r w:rsidR="00305FE7">
          <w:rPr>
            <w:szCs w:val="22"/>
          </w:rPr>
          <w:fldChar w:fldCharType="begin"/>
        </w:r>
        <w:r w:rsidR="00305FE7">
          <w:rPr>
            <w:szCs w:val="22"/>
          </w:rPr>
          <w:instrText xml:space="preserve"> ADDIN EN.CITE &lt;EndNote&gt;&lt;Cite&gt;&lt;Author&gt;Reason&lt;/Author&gt;&lt;Year&gt;2017&lt;/Year&gt;&lt;RecNum&gt;11338&lt;/RecNum&gt;&lt;DisplayText&gt;Reason&lt;style face="italic"&gt; et al.&lt;/style&gt; 2017&lt;/DisplayText&gt;&lt;record&gt;&lt;rec-number&gt;11338&lt;/rec-number&gt;&lt;foreign-keys&gt;&lt;key app="EN" db-id="0eve55x9y5vfd6e9dacxtew4eatve2dzds9a" timestamp="1513822946"&gt;11338&lt;/key&gt;&lt;/foreign-keys&gt;&lt;ref-type name="Book"&gt;6&lt;/ref-type&gt;&lt;contributors&gt;&lt;authors&gt;&lt;author&gt;Reason, CL&lt;/author&gt;&lt;author&gt;Sozou, AM&lt;/author&gt;&lt;author&gt;York, PH&lt;/author&gt;&lt;author&gt;Rasheed, MA&lt;/author&gt;&lt;/authors&gt;&lt;/contributors&gt;&lt;titles&gt;&lt;title&gt;Seagrass habitat of Mourilyan Harbour: Annual Monitoring Report – 2016. TropWATER report 17/28&lt;/title&gt;&lt;/titles&gt;&lt;section&gt;37&lt;/section&gt;&lt;dates&gt;&lt;year&gt;2017&lt;/year&gt;&lt;/dates&gt;&lt;pub-location&gt;Cairns&lt;/pub-location&gt;&lt;publisher&gt;JCU Publication, Centre for Tropical Water &amp;amp; Aquatic Ecosystem Research&lt;/publisher&gt;&lt;urls&gt;&lt;/urls&gt;&lt;/record&gt;&lt;/Cite&gt;&lt;/EndNote&gt;</w:instrText>
        </w:r>
        <w:r w:rsidR="00305FE7">
          <w:rPr>
            <w:szCs w:val="22"/>
          </w:rPr>
          <w:fldChar w:fldCharType="separate"/>
        </w:r>
        <w:r w:rsidR="00305FE7">
          <w:rPr>
            <w:noProof/>
            <w:szCs w:val="22"/>
          </w:rPr>
          <w:t>Reason</w:t>
        </w:r>
        <w:r w:rsidR="00305FE7" w:rsidRPr="00521D93">
          <w:rPr>
            <w:i/>
            <w:noProof/>
            <w:szCs w:val="22"/>
          </w:rPr>
          <w:t xml:space="preserve"> et al.</w:t>
        </w:r>
        <w:r w:rsidR="00305FE7">
          <w:rPr>
            <w:noProof/>
            <w:szCs w:val="22"/>
          </w:rPr>
          <w:t xml:space="preserve"> 2017</w:t>
        </w:r>
        <w:r w:rsidR="00305FE7">
          <w:rPr>
            <w:szCs w:val="22"/>
          </w:rPr>
          <w:fldChar w:fldCharType="end"/>
        </w:r>
      </w:hyperlink>
      <w:r w:rsidR="000A6C5A" w:rsidRPr="005B483E">
        <w:rPr>
          <w:szCs w:val="22"/>
        </w:rPr>
        <w:t>)</w:t>
      </w:r>
      <w:r w:rsidR="004E098B" w:rsidRPr="00354437">
        <w:rPr>
          <w:szCs w:val="22"/>
        </w:rPr>
        <w:t>.</w:t>
      </w:r>
    </w:p>
    <w:p w14:paraId="1DDD5D65" w14:textId="5C7EA2DB" w:rsidR="00AF7732" w:rsidRDefault="00AF7732" w:rsidP="00907D11">
      <w:pPr>
        <w:rPr>
          <w:szCs w:val="22"/>
        </w:rPr>
      </w:pPr>
      <w:r>
        <w:rPr>
          <w:noProof/>
          <w:szCs w:val="22"/>
          <w:lang w:eastAsia="en-AU"/>
        </w:rPr>
        <w:drawing>
          <wp:inline distT="0" distB="0" distL="0" distR="0" wp14:anchorId="013A9AAE" wp14:editId="316B79B1">
            <wp:extent cx="5759450" cy="1550670"/>
            <wp:effectExtent l="0" t="0" r="0" b="0"/>
            <wp:docPr id="36" name="Picture 36" descr="Two scatter plots with straight lines and markers showing change in visually estimated above-ground biomass and total extent of all monitoring meadows combined in Mourilyan Harbour from 1993 – 20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MRLYN_2016.png"/>
                    <pic:cNvPicPr/>
                  </pic:nvPicPr>
                  <pic:blipFill>
                    <a:blip r:embed="rId96">
                      <a:extLst>
                        <a:ext uri="{28A0092B-C50C-407E-A947-70E740481C1C}">
                          <a14:useLocalDpi xmlns:a14="http://schemas.microsoft.com/office/drawing/2010/main" val="0"/>
                        </a:ext>
                      </a:extLst>
                    </a:blip>
                    <a:stretch>
                      <a:fillRect/>
                    </a:stretch>
                  </pic:blipFill>
                  <pic:spPr>
                    <a:xfrm>
                      <a:off x="0" y="0"/>
                      <a:ext cx="5759450" cy="1550670"/>
                    </a:xfrm>
                    <a:prstGeom prst="rect">
                      <a:avLst/>
                    </a:prstGeom>
                  </pic:spPr>
                </pic:pic>
              </a:graphicData>
            </a:graphic>
          </wp:inline>
        </w:drawing>
      </w:r>
    </w:p>
    <w:p w14:paraId="47E41CB7" w14:textId="77777777" w:rsidR="0015251F" w:rsidRPr="00941B89" w:rsidRDefault="003E6849" w:rsidP="0015251F">
      <w:pPr>
        <w:rPr>
          <w:i/>
          <w:iCs/>
          <w:vanish/>
          <w:szCs w:val="22"/>
          <w:lang w:eastAsia="en-AU"/>
          <w:specVanish/>
        </w:rPr>
      </w:pPr>
      <w:bookmarkStart w:id="336" w:name="_Ref469564363"/>
      <w:bookmarkStart w:id="337" w:name="_Toc516053268"/>
      <w:r w:rsidRPr="00BD27FC">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58</w:t>
      </w:r>
      <w:r w:rsidR="00C506C7">
        <w:rPr>
          <w:noProof/>
        </w:rPr>
        <w:fldChar w:fldCharType="end"/>
      </w:r>
      <w:bookmarkEnd w:id="336"/>
      <w:r w:rsidRPr="00BD27FC">
        <w:t xml:space="preserve">. </w:t>
      </w:r>
      <w:r w:rsidR="00542B4D" w:rsidRPr="00BD27FC">
        <w:rPr>
          <w:i/>
          <w:szCs w:val="22"/>
        </w:rPr>
        <w:t xml:space="preserve">Change </w:t>
      </w:r>
      <w:r w:rsidR="00EF513A" w:rsidRPr="00BD27FC">
        <w:rPr>
          <w:i/>
          <w:szCs w:val="22"/>
        </w:rPr>
        <w:t xml:space="preserve">in visually estimated above-ground biomass (a.) and total extent (b.) of all monitoring meadows combined in </w:t>
      </w:r>
      <w:r w:rsidR="00542B4D" w:rsidRPr="00BD27FC">
        <w:rPr>
          <w:i/>
          <w:szCs w:val="22"/>
        </w:rPr>
        <w:t>Mourilyan Harbour from 1993 – 201</w:t>
      </w:r>
      <w:r w:rsidR="00BD27FC" w:rsidRPr="00BD27FC">
        <w:rPr>
          <w:i/>
          <w:szCs w:val="22"/>
        </w:rPr>
        <w:t>6</w:t>
      </w:r>
      <w:bookmarkEnd w:id="337"/>
      <w:r w:rsidR="0015251F" w:rsidRPr="00941B89">
        <w:rPr>
          <w:i/>
          <w:lang w:eastAsia="en-AU"/>
        </w:rPr>
        <w:t xml:space="preserve"> </w:t>
      </w:r>
    </w:p>
    <w:p w14:paraId="1E611397" w14:textId="1CE147F4" w:rsidR="003E6849" w:rsidRPr="008E2E54" w:rsidRDefault="0015251F" w:rsidP="0015251F">
      <w:pPr>
        <w:keepLines/>
        <w:spacing w:before="0"/>
        <w:rPr>
          <w:i/>
          <w:vanish/>
        </w:rPr>
      </w:pPr>
      <w:r w:rsidRPr="00941B89">
        <w:rPr>
          <w:i/>
          <w:lang w:eastAsia="en-AU"/>
        </w:rPr>
        <w:t xml:space="preserve"> </w:t>
      </w:r>
      <w:r w:rsidR="00D3159D" w:rsidRPr="00BD27FC">
        <w:rPr>
          <w:i/>
          <w:szCs w:val="22"/>
        </w:rPr>
        <w:t>(from</w:t>
      </w:r>
      <w:r w:rsidR="00B6386E">
        <w:rPr>
          <w:i/>
          <w:szCs w:val="22"/>
        </w:rPr>
        <w:t xml:space="preserve"> Reason et al</w:t>
      </w:r>
      <w:r w:rsidR="008E2E54">
        <w:rPr>
          <w:i/>
          <w:szCs w:val="22"/>
        </w:rPr>
        <w:t>.</w:t>
      </w:r>
      <w:r w:rsidR="00B6386E">
        <w:rPr>
          <w:i/>
          <w:szCs w:val="22"/>
        </w:rPr>
        <w:t xml:space="preserve"> 2017</w:t>
      </w:r>
      <w:r w:rsidR="00D3159D" w:rsidRPr="00BD27FC">
        <w:rPr>
          <w:i/>
          <w:szCs w:val="22"/>
        </w:rPr>
        <w:t>)</w:t>
      </w:r>
      <w:r w:rsidR="00542B4D" w:rsidRPr="00BD27FC">
        <w:rPr>
          <w:i/>
          <w:szCs w:val="22"/>
        </w:rPr>
        <w:t xml:space="preserve">. </w:t>
      </w:r>
      <w:r w:rsidR="00EF513A" w:rsidRPr="00BD27FC">
        <w:rPr>
          <w:i/>
          <w:szCs w:val="22"/>
        </w:rPr>
        <w:t>Error bars are SE for g DW m</w:t>
      </w:r>
      <w:r w:rsidR="00EF513A" w:rsidRPr="00BD27FC">
        <w:rPr>
          <w:i/>
          <w:szCs w:val="22"/>
          <w:vertAlign w:val="superscript"/>
        </w:rPr>
        <w:t>2</w:t>
      </w:r>
      <w:r w:rsidR="00EF513A" w:rsidRPr="00BD27FC">
        <w:rPr>
          <w:i/>
          <w:szCs w:val="22"/>
        </w:rPr>
        <w:t xml:space="preserve"> and “R” reliability estimate for ha. Dashed line indicates long-term average.</w:t>
      </w:r>
    </w:p>
    <w:p w14:paraId="0D393D82"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bookmarkEnd w:id="333"/>
    </w:p>
    <w:p w14:paraId="67F959CC" w14:textId="003F3887" w:rsidR="001B6AA0" w:rsidRPr="00110359" w:rsidRDefault="00110359" w:rsidP="001B6AA0">
      <w:pPr>
        <w:autoSpaceDE w:val="0"/>
        <w:autoSpaceDN w:val="0"/>
        <w:adjustRightInd w:val="0"/>
        <w:spacing w:before="0" w:after="0"/>
        <w:rPr>
          <w:color w:val="000000" w:themeColor="text1"/>
          <w:szCs w:val="22"/>
        </w:rPr>
      </w:pPr>
      <w:r w:rsidRPr="00110359">
        <w:rPr>
          <w:color w:val="000000" w:themeColor="text1"/>
          <w:szCs w:val="22"/>
          <w:lang w:eastAsia="en-AU"/>
        </w:rPr>
        <w:t>R</w:t>
      </w:r>
      <w:r w:rsidR="001B6AA0" w:rsidRPr="00110359">
        <w:rPr>
          <w:color w:val="000000" w:themeColor="text1"/>
          <w:szCs w:val="22"/>
          <w:lang w:eastAsia="en-AU"/>
        </w:rPr>
        <w:t xml:space="preserve">eproductive effort </w:t>
      </w:r>
      <w:r w:rsidRPr="00110359">
        <w:rPr>
          <w:color w:val="000000" w:themeColor="text1"/>
          <w:szCs w:val="22"/>
          <w:lang w:eastAsia="en-AU"/>
        </w:rPr>
        <w:t xml:space="preserve">declined </w:t>
      </w:r>
      <w:r w:rsidR="001B6AA0" w:rsidRPr="00110359">
        <w:rPr>
          <w:color w:val="000000" w:themeColor="text1"/>
          <w:szCs w:val="22"/>
          <w:lang w:eastAsia="en-AU"/>
        </w:rPr>
        <w:t xml:space="preserve">in coastal intertidal habitats </w:t>
      </w:r>
      <w:r w:rsidR="00C747CD" w:rsidRPr="00110359">
        <w:rPr>
          <w:color w:val="000000" w:themeColor="text1"/>
          <w:szCs w:val="22"/>
          <w:lang w:eastAsia="en-AU"/>
        </w:rPr>
        <w:t xml:space="preserve">(at Yule Point) during </w:t>
      </w:r>
      <w:r w:rsidR="008574EC">
        <w:rPr>
          <w:color w:val="000000" w:themeColor="text1"/>
          <w:szCs w:val="22"/>
          <w:lang w:eastAsia="en-AU"/>
        </w:rPr>
        <w:t>2016–17</w:t>
      </w:r>
      <w:r w:rsidRPr="00110359">
        <w:rPr>
          <w:color w:val="000000" w:themeColor="text1"/>
          <w:szCs w:val="22"/>
          <w:lang w:eastAsia="en-AU"/>
        </w:rPr>
        <w:t xml:space="preserve"> relative to the 2015-16. The density of seeds in the</w:t>
      </w:r>
      <w:r w:rsidR="00070712" w:rsidRPr="00110359">
        <w:rPr>
          <w:color w:val="000000" w:themeColor="text1"/>
          <w:szCs w:val="22"/>
          <w:lang w:eastAsia="en-AU"/>
        </w:rPr>
        <w:t xml:space="preserve"> seedbank</w:t>
      </w:r>
      <w:r w:rsidRPr="00110359">
        <w:rPr>
          <w:color w:val="000000" w:themeColor="text1"/>
          <w:szCs w:val="22"/>
          <w:lang w:eastAsia="en-AU"/>
        </w:rPr>
        <w:t xml:space="preserve"> remained higher on average than it has been since 2011</w:t>
      </w:r>
      <w:r w:rsidR="00070712" w:rsidRPr="00110359">
        <w:rPr>
          <w:color w:val="000000" w:themeColor="text1"/>
          <w:szCs w:val="22"/>
          <w:lang w:eastAsia="en-AU"/>
        </w:rPr>
        <w:t xml:space="preserve">; however </w:t>
      </w:r>
      <w:r w:rsidR="00C747CD" w:rsidRPr="00110359">
        <w:rPr>
          <w:color w:val="000000" w:themeColor="text1"/>
          <w:szCs w:val="22"/>
          <w:lang w:eastAsia="en-AU"/>
        </w:rPr>
        <w:t xml:space="preserve">seed density remains well below historical peaks. Reef intertidal and subtidal habitats maintained low reproductive effort, following a slight increase at subtidal habitats in </w:t>
      </w:r>
      <w:r w:rsidR="00070712" w:rsidRPr="00110359">
        <w:rPr>
          <w:color w:val="000000" w:themeColor="text1"/>
          <w:szCs w:val="22"/>
          <w:lang w:eastAsia="en-AU"/>
        </w:rPr>
        <w:t>2014-15</w:t>
      </w:r>
      <w:r w:rsidR="00C747CD" w:rsidRPr="00110359">
        <w:rPr>
          <w:color w:val="000000" w:themeColor="text1"/>
          <w:szCs w:val="22"/>
          <w:lang w:eastAsia="en-AU"/>
        </w:rPr>
        <w:t xml:space="preserve">. To date, </w:t>
      </w:r>
      <w:r w:rsidR="001B6AA0" w:rsidRPr="00110359">
        <w:rPr>
          <w:color w:val="000000" w:themeColor="text1"/>
          <w:szCs w:val="22"/>
          <w:lang w:eastAsia="en-AU"/>
        </w:rPr>
        <w:t>seed bank</w:t>
      </w:r>
      <w:r w:rsidR="00C747CD" w:rsidRPr="00110359">
        <w:rPr>
          <w:color w:val="000000" w:themeColor="text1"/>
          <w:szCs w:val="22"/>
          <w:lang w:eastAsia="en-AU"/>
        </w:rPr>
        <w:t xml:space="preserve">s </w:t>
      </w:r>
      <w:r w:rsidR="001B6AA0" w:rsidRPr="00110359">
        <w:rPr>
          <w:color w:val="000000" w:themeColor="text1"/>
          <w:szCs w:val="22"/>
          <w:lang w:eastAsia="en-AU"/>
        </w:rPr>
        <w:t>remained very low across the region</w:t>
      </w:r>
      <w:r w:rsidR="00C747CD" w:rsidRPr="00110359">
        <w:rPr>
          <w:color w:val="000000" w:themeColor="text1"/>
          <w:szCs w:val="22"/>
          <w:lang w:eastAsia="en-AU"/>
        </w:rPr>
        <w:t xml:space="preserve"> in reef habitat</w:t>
      </w:r>
      <w:r w:rsidR="001B6AA0" w:rsidRPr="00110359">
        <w:rPr>
          <w:color w:val="000000" w:themeColor="text1"/>
          <w:szCs w:val="22"/>
          <w:lang w:eastAsia="en-AU"/>
        </w:rPr>
        <w:t xml:space="preserve"> </w:t>
      </w:r>
      <w:r w:rsidR="001B6AA0" w:rsidRPr="00110359">
        <w:rPr>
          <w:color w:val="000000" w:themeColor="text1"/>
          <w:szCs w:val="22"/>
        </w:rPr>
        <w:t>(</w:t>
      </w:r>
      <w:r w:rsidR="001B6AA0" w:rsidRPr="00110359">
        <w:rPr>
          <w:color w:val="000000" w:themeColor="text1"/>
        </w:rPr>
        <w:fldChar w:fldCharType="begin"/>
      </w:r>
      <w:r w:rsidR="001B6AA0" w:rsidRPr="00110359">
        <w:rPr>
          <w:color w:val="000000" w:themeColor="text1"/>
        </w:rPr>
        <w:instrText xml:space="preserve"> REF _Ref271530838 \h  \* MERGEFORMAT </w:instrText>
      </w:r>
      <w:r w:rsidR="001B6AA0" w:rsidRPr="00110359">
        <w:rPr>
          <w:color w:val="000000" w:themeColor="text1"/>
        </w:rPr>
      </w:r>
      <w:r w:rsidR="001B6AA0" w:rsidRPr="00110359">
        <w:rPr>
          <w:color w:val="000000" w:themeColor="text1"/>
        </w:rPr>
        <w:fldChar w:fldCharType="separate"/>
      </w:r>
      <w:r w:rsidR="00F87DF9" w:rsidRPr="00F87DF9">
        <w:rPr>
          <w:color w:val="000000" w:themeColor="text1"/>
          <w:szCs w:val="22"/>
        </w:rPr>
        <w:t xml:space="preserve">Figure </w:t>
      </w:r>
      <w:r w:rsidR="00F87DF9" w:rsidRPr="00F87DF9">
        <w:rPr>
          <w:noProof/>
          <w:color w:val="000000" w:themeColor="text1"/>
          <w:szCs w:val="22"/>
        </w:rPr>
        <w:t>59</w:t>
      </w:r>
      <w:r w:rsidR="001B6AA0" w:rsidRPr="00110359">
        <w:rPr>
          <w:color w:val="000000" w:themeColor="text1"/>
        </w:rPr>
        <w:fldChar w:fldCharType="end"/>
      </w:r>
      <w:r w:rsidR="001B6AA0" w:rsidRPr="00110359">
        <w:rPr>
          <w:color w:val="000000" w:themeColor="text1"/>
          <w:szCs w:val="22"/>
        </w:rPr>
        <w:t xml:space="preserve">). </w:t>
      </w:r>
      <w:r w:rsidR="00070712" w:rsidRPr="00110359">
        <w:rPr>
          <w:color w:val="000000" w:themeColor="text1"/>
          <w:szCs w:val="22"/>
        </w:rPr>
        <w:t xml:space="preserve">Some possible explanations </w:t>
      </w:r>
      <w:r w:rsidR="00390FEB" w:rsidRPr="00110359">
        <w:rPr>
          <w:color w:val="000000" w:themeColor="text1"/>
          <w:szCs w:val="22"/>
        </w:rPr>
        <w:t xml:space="preserve">for the low seed bank </w:t>
      </w:r>
      <w:r w:rsidR="00070712" w:rsidRPr="00110359">
        <w:rPr>
          <w:color w:val="000000" w:themeColor="text1"/>
          <w:szCs w:val="22"/>
        </w:rPr>
        <w:t>include failure to set seed</w:t>
      </w:r>
      <w:r w:rsidR="00390FEB" w:rsidRPr="00110359">
        <w:rPr>
          <w:color w:val="000000" w:themeColor="text1"/>
          <w:szCs w:val="22"/>
        </w:rPr>
        <w:t>, particularly in low density dioecious species (</w:t>
      </w:r>
      <w:hyperlink w:anchor="_ENREF_211" w:tooltip="Shelton, 2008 #10877" w:history="1">
        <w:r w:rsidR="00305FE7" w:rsidRPr="00110359">
          <w:rPr>
            <w:color w:val="000000" w:themeColor="text1"/>
            <w:szCs w:val="22"/>
          </w:rPr>
          <w:fldChar w:fldCharType="begin"/>
        </w:r>
        <w:r w:rsidR="00305FE7" w:rsidRPr="00110359">
          <w:rPr>
            <w:color w:val="000000" w:themeColor="text1"/>
            <w:szCs w:val="22"/>
          </w:rPr>
          <w:instrText xml:space="preserve"> ADDIN EN.CITE &lt;EndNote&gt;&lt;Cite&gt;&lt;Author&gt;Shelton&lt;/Author&gt;&lt;Year&gt;2008&lt;/Year&gt;&lt;RecNum&gt;10877&lt;/RecNum&gt;&lt;DisplayText&gt;Shelton 2008&lt;/DisplayText&gt;&lt;record&gt;&lt;rec-number&gt;10877&lt;/rec-number&gt;&lt;foreign-keys&gt;&lt;key app="EN" db-id="0eve55x9y5vfd6e9dacxtew4eatve2dzds9a" timestamp="1486085870"&gt;10877&lt;/key&gt;&lt;/foreign-keys&gt;&lt;ref-type name="Journal Article"&gt;17&lt;/ref-type&gt;&lt;contributors&gt;&lt;authors&gt;&lt;author&gt;Shelton, A O&lt;/author&gt;&lt;/authors&gt;&lt;/contributors&gt;&lt;titles&gt;&lt;title&gt;&lt;style face="normal" font="default" size="100%"&gt;Skewed sex ratios, pollen limitation, and reproductive failure in the dioecious seagrass &lt;/style&gt;&lt;style face="italic" font="default" size="100%"&gt;Phyllospadix&lt;/style&gt;&lt;/title&gt;&lt;secondary-title&gt;Ecology&lt;/secondary-title&gt;&lt;/titles&gt;&lt;periodical&gt;&lt;full-title&gt;Ecology&lt;/full-title&gt;&lt;/periodical&gt;&lt;pages&gt;3020-3029&lt;/pages&gt;&lt;volume&gt;89&lt;/volume&gt;&lt;dates&gt;&lt;year&gt;2008&lt;/year&gt;&lt;/dates&gt;&lt;urls&gt;&lt;/urls&gt;&lt;/record&gt;&lt;/Cite&gt;&lt;/EndNote&gt;</w:instrText>
        </w:r>
        <w:r w:rsidR="00305FE7" w:rsidRPr="00110359">
          <w:rPr>
            <w:color w:val="000000" w:themeColor="text1"/>
            <w:szCs w:val="22"/>
          </w:rPr>
          <w:fldChar w:fldCharType="separate"/>
        </w:r>
        <w:r w:rsidR="00305FE7" w:rsidRPr="00110359">
          <w:rPr>
            <w:noProof/>
            <w:color w:val="000000" w:themeColor="text1"/>
            <w:szCs w:val="22"/>
          </w:rPr>
          <w:t>Shelton 2008</w:t>
        </w:r>
        <w:r w:rsidR="00305FE7" w:rsidRPr="00110359">
          <w:rPr>
            <w:color w:val="000000" w:themeColor="text1"/>
            <w:szCs w:val="22"/>
          </w:rPr>
          <w:fldChar w:fldCharType="end"/>
        </w:r>
      </w:hyperlink>
      <w:r w:rsidR="00390FEB" w:rsidRPr="00110359">
        <w:rPr>
          <w:color w:val="000000" w:themeColor="text1"/>
          <w:szCs w:val="22"/>
        </w:rPr>
        <w:t>)</w:t>
      </w:r>
      <w:r w:rsidR="00070712" w:rsidRPr="00110359">
        <w:rPr>
          <w:color w:val="000000" w:themeColor="text1"/>
          <w:szCs w:val="22"/>
        </w:rPr>
        <w:t>, or rap</w:t>
      </w:r>
      <w:r w:rsidR="00390FEB" w:rsidRPr="00110359">
        <w:rPr>
          <w:color w:val="000000" w:themeColor="text1"/>
          <w:szCs w:val="22"/>
        </w:rPr>
        <w:t>id loss of seeds after release from germination or grazing</w:t>
      </w:r>
      <w:r w:rsidR="005634B8" w:rsidRPr="00110359">
        <w:rPr>
          <w:color w:val="000000" w:themeColor="text1"/>
          <w:szCs w:val="22"/>
        </w:rPr>
        <w:t xml:space="preserve"> (</w:t>
      </w:r>
      <w:hyperlink w:anchor="_ENREF_112" w:tooltip="Heck, 2006 #7367" w:history="1">
        <w:r w:rsidR="00305FE7" w:rsidRPr="00110359">
          <w:rPr>
            <w:color w:val="000000" w:themeColor="text1"/>
            <w:szCs w:val="22"/>
          </w:rPr>
          <w:fldChar w:fldCharType="begin"/>
        </w:r>
        <w:r w:rsidR="00305FE7" w:rsidRPr="00110359">
          <w:rPr>
            <w:color w:val="000000" w:themeColor="text1"/>
            <w:szCs w:val="22"/>
          </w:rPr>
          <w:instrText xml:space="preserve"> ADDIN EN.CITE &lt;EndNote&gt;&lt;Cite&gt;&lt;Author&gt;Heck&lt;/Author&gt;&lt;Year&gt;2006&lt;/Year&gt;&lt;RecNum&gt;7367&lt;/RecNum&gt;&lt;DisplayText&gt;Heck and Orth 2006&lt;/DisplayText&gt;&lt;record&gt;&lt;rec-number&gt;7367&lt;/rec-number&gt;&lt;foreign-keys&gt;&lt;key app="EN" db-id="0eve55x9y5vfd6e9dacxtew4eatve2dzds9a" timestamp="0"&gt;7367&lt;/key&gt;&lt;/foreign-keys&gt;&lt;ref-type name="Book Section"&gt;5&lt;/ref-type&gt;&lt;contributors&gt;&lt;authors&gt;&lt;author&gt;Heck, K.L.&lt;/author&gt;&lt;author&gt;Orth, R.J.&lt;/author&gt;&lt;/authors&gt;&lt;secondary-authors&gt;&lt;author&gt;Larkum, W.D.&lt;/author&gt;&lt;author&gt;Orth, R.J.&lt;/author&gt;&lt;author&gt;Duarte, C.M.&lt;/author&gt;&lt;/secondary-authors&gt;&lt;/contributors&gt;&lt;titles&gt;&lt;title&gt;Predation in seagrass beds&lt;/title&gt;&lt;secondary-title&gt;Seagrasses: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1-4020-2942-X&lt;/isbn&gt;&lt;urls&gt;&lt;/urls&gt;&lt;/record&gt;&lt;/Cite&gt;&lt;/EndNote&gt;</w:instrText>
        </w:r>
        <w:r w:rsidR="00305FE7" w:rsidRPr="00110359">
          <w:rPr>
            <w:color w:val="000000" w:themeColor="text1"/>
            <w:szCs w:val="22"/>
          </w:rPr>
          <w:fldChar w:fldCharType="separate"/>
        </w:r>
        <w:r w:rsidR="00305FE7" w:rsidRPr="00110359">
          <w:rPr>
            <w:noProof/>
            <w:color w:val="000000" w:themeColor="text1"/>
            <w:szCs w:val="22"/>
          </w:rPr>
          <w:t>Heck and Orth 2006</w:t>
        </w:r>
        <w:r w:rsidR="00305FE7" w:rsidRPr="00110359">
          <w:rPr>
            <w:color w:val="000000" w:themeColor="text1"/>
            <w:szCs w:val="22"/>
          </w:rPr>
          <w:fldChar w:fldCharType="end"/>
        </w:r>
      </w:hyperlink>
      <w:r w:rsidR="005634B8" w:rsidRPr="00110359">
        <w:rPr>
          <w:color w:val="000000" w:themeColor="text1"/>
          <w:szCs w:val="22"/>
        </w:rPr>
        <w:t>)</w:t>
      </w:r>
      <w:r w:rsidR="00070712" w:rsidRPr="00110359">
        <w:rPr>
          <w:color w:val="000000" w:themeColor="text1"/>
          <w:szCs w:val="22"/>
        </w:rPr>
        <w:t xml:space="preserve">. </w:t>
      </w:r>
      <w:r w:rsidR="001B6AA0" w:rsidRPr="00110359">
        <w:rPr>
          <w:color w:val="000000" w:themeColor="text1"/>
          <w:szCs w:val="22"/>
        </w:rPr>
        <w:t>Wet Tropics m</w:t>
      </w:r>
      <w:r w:rsidR="001B6AA0" w:rsidRPr="00110359">
        <w:rPr>
          <w:color w:val="000000" w:themeColor="text1"/>
          <w:szCs w:val="22"/>
          <w:lang w:eastAsia="en-AU"/>
        </w:rPr>
        <w:t>eadows may be at risk from further disturbances, as recovery potential remains very low without a substantial seed bank</w:t>
      </w:r>
      <w:r w:rsidR="00070712" w:rsidRPr="00110359">
        <w:rPr>
          <w:color w:val="000000" w:themeColor="text1"/>
          <w:szCs w:val="22"/>
          <w:lang w:eastAsia="en-AU"/>
        </w:rPr>
        <w:t xml:space="preserve">.  </w:t>
      </w:r>
    </w:p>
    <w:p w14:paraId="1159E225" w14:textId="77777777" w:rsidR="001B6AA0" w:rsidRDefault="00AA7BCE" w:rsidP="002242D2">
      <w:pPr>
        <w:autoSpaceDE w:val="0"/>
        <w:autoSpaceDN w:val="0"/>
        <w:adjustRightInd w:val="0"/>
        <w:spacing w:after="0"/>
        <w:rPr>
          <w:color w:val="000000"/>
          <w:szCs w:val="22"/>
        </w:rPr>
      </w:pPr>
      <w:r>
        <w:rPr>
          <w:noProof/>
          <w:color w:val="000000"/>
          <w:szCs w:val="22"/>
          <w:lang w:eastAsia="en-AU"/>
        </w:rPr>
        <w:drawing>
          <wp:inline distT="0" distB="0" distL="0" distR="0" wp14:anchorId="723DCAC2" wp14:editId="54032F06">
            <wp:extent cx="5739723" cy="1420495"/>
            <wp:effectExtent l="0" t="0" r="0" b="8255"/>
            <wp:docPr id="314" name="Picture 314" descr="Panel of three composite bar and scatter plot graphs showing seed banks (bars) and reproductive effort (dots) at inshore intertidal coast and reef habitats in the Wet Tropics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WT_repro16.png"/>
                    <pic:cNvPicPr/>
                  </pic:nvPicPr>
                  <pic:blipFill>
                    <a:blip r:embed="rId97">
                      <a:extLst>
                        <a:ext uri="{28A0092B-C50C-407E-A947-70E740481C1C}">
                          <a14:useLocalDpi xmlns:a14="http://schemas.microsoft.com/office/drawing/2010/main" val="0"/>
                        </a:ext>
                      </a:extLst>
                    </a:blip>
                    <a:stretch>
                      <a:fillRect/>
                    </a:stretch>
                  </pic:blipFill>
                  <pic:spPr>
                    <a:xfrm>
                      <a:off x="0" y="0"/>
                      <a:ext cx="5739723" cy="1420495"/>
                    </a:xfrm>
                    <a:prstGeom prst="rect">
                      <a:avLst/>
                    </a:prstGeom>
                  </pic:spPr>
                </pic:pic>
              </a:graphicData>
            </a:graphic>
          </wp:inline>
        </w:drawing>
      </w:r>
    </w:p>
    <w:p w14:paraId="404557CB" w14:textId="75BDA188" w:rsidR="001876B8" w:rsidRPr="00FD1055" w:rsidRDefault="005132EF" w:rsidP="001876B8">
      <w:pPr>
        <w:keepLines/>
        <w:spacing w:before="0"/>
        <w:rPr>
          <w:i/>
          <w:vanish/>
          <w:specVanish/>
        </w:rPr>
      </w:pPr>
      <w:bookmarkStart w:id="338" w:name="_Ref271530838"/>
      <w:bookmarkStart w:id="339" w:name="_Toc431493844"/>
      <w:bookmarkStart w:id="340" w:name="_Toc516053269"/>
      <w:r w:rsidRPr="00FE2FF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59</w:t>
      </w:r>
      <w:r w:rsidR="00C506C7">
        <w:rPr>
          <w:noProof/>
        </w:rPr>
        <w:fldChar w:fldCharType="end"/>
      </w:r>
      <w:bookmarkEnd w:id="338"/>
      <w:r w:rsidRPr="00FE2FFB">
        <w:t xml:space="preserve">. </w:t>
      </w:r>
      <w:r w:rsidR="00CC60D9" w:rsidRPr="001876B8">
        <w:rPr>
          <w:i/>
        </w:rPr>
        <w:t xml:space="preserve">Seed bank and late dry season reproductive effort for inshore intertidal coast and reef </w:t>
      </w:r>
      <w:r w:rsidR="00CC60D9" w:rsidRPr="00FD1055">
        <w:rPr>
          <w:i/>
        </w:rPr>
        <w:t xml:space="preserve">habitats in the </w:t>
      </w:r>
      <w:r w:rsidR="003509A0" w:rsidRPr="00FD1055">
        <w:rPr>
          <w:i/>
        </w:rPr>
        <w:t xml:space="preserve">Wet Tropics </w:t>
      </w:r>
      <w:r w:rsidR="00CC60D9" w:rsidRPr="00FD1055">
        <w:rPr>
          <w:i/>
        </w:rPr>
        <w:t>region, 2001 - 201</w:t>
      </w:r>
      <w:r w:rsidR="00FD1055" w:rsidRPr="00FD1055">
        <w:rPr>
          <w:i/>
        </w:rPr>
        <w:t>7</w:t>
      </w:r>
      <w:r w:rsidR="003509A0" w:rsidRPr="00FD1055">
        <w:rPr>
          <w:i/>
        </w:rPr>
        <w:t>.</w:t>
      </w:r>
      <w:bookmarkEnd w:id="339"/>
      <w:bookmarkEnd w:id="340"/>
      <w:r w:rsidR="00CC60D9" w:rsidRPr="00FD1055">
        <w:rPr>
          <w:i/>
          <w:vanish/>
          <w:szCs w:val="22"/>
          <w:specVanish/>
        </w:rPr>
        <w:t xml:space="preserve"> </w:t>
      </w:r>
    </w:p>
    <w:p w14:paraId="3F45E2FC" w14:textId="77777777" w:rsidR="00A27EC0" w:rsidRDefault="00CC60D9" w:rsidP="001876B8">
      <w:pPr>
        <w:keepLines/>
        <w:spacing w:before="0"/>
        <w:rPr>
          <w:i/>
        </w:rPr>
      </w:pPr>
      <w:r w:rsidRPr="00FD1055">
        <w:rPr>
          <w:i/>
        </w:rPr>
        <w:t xml:space="preserve">Seed banks presented as the total number of seeds </w:t>
      </w:r>
      <w:r w:rsidRPr="001876B8">
        <w:rPr>
          <w:i/>
        </w:rPr>
        <w:t>per m</w:t>
      </w:r>
      <w:r w:rsidRPr="001876B8">
        <w:rPr>
          <w:i/>
          <w:vertAlign w:val="superscript"/>
        </w:rPr>
        <w:t>2</w:t>
      </w:r>
      <w:r w:rsidRPr="001876B8">
        <w:rPr>
          <w:i/>
        </w:rPr>
        <w:t xml:space="preserve"> sediment surface</w:t>
      </w:r>
      <w:r w:rsidR="003523A5">
        <w:rPr>
          <w:i/>
        </w:rPr>
        <w:t xml:space="preserve"> (bars ±SE)</w:t>
      </w:r>
      <w:r w:rsidRPr="001876B8">
        <w:rPr>
          <w:i/>
        </w:rPr>
        <w:t>, and reproductive effort presented as the average number of reproductive structures per core (species and sites pooled)</w:t>
      </w:r>
      <w:r w:rsidR="003523A5" w:rsidRPr="003523A5">
        <w:rPr>
          <w:i/>
        </w:rPr>
        <w:t xml:space="preserve"> </w:t>
      </w:r>
      <w:r w:rsidR="003523A5">
        <w:rPr>
          <w:i/>
        </w:rPr>
        <w:t>(dots ±SE)</w:t>
      </w:r>
      <w:r w:rsidRPr="001876B8">
        <w:rPr>
          <w:i/>
        </w:rPr>
        <w:t xml:space="preserve">. </w:t>
      </w:r>
    </w:p>
    <w:p w14:paraId="7721A806" w14:textId="3AF7ADF1" w:rsidR="00E76F3F" w:rsidRPr="00080867" w:rsidRDefault="00D05880" w:rsidP="00E76F3F">
      <w:pPr>
        <w:rPr>
          <w:color w:val="000000" w:themeColor="text1"/>
          <w:lang w:val="en-GB"/>
        </w:rPr>
      </w:pPr>
      <w:hyperlink w:anchor="_ENREF_245" w:tooltip="York, 2016 #10821" w:history="1">
        <w:r w:rsidR="00305FE7" w:rsidRPr="00080867">
          <w:rPr>
            <w:color w:val="000000" w:themeColor="text1"/>
            <w:szCs w:val="22"/>
          </w:rPr>
          <w:fldChar w:fldCharType="begin"/>
        </w:r>
        <w:r w:rsidR="00305FE7">
          <w:rPr>
            <w:color w:val="000000" w:themeColor="text1"/>
            <w:szCs w:val="22"/>
          </w:rPr>
          <w:instrText xml:space="preserve"> ADDIN EN.CITE &lt;EndNote&gt;&lt;Cite ExcludeYear="1"&gt;&lt;Author&gt;York&lt;/Author&gt;&lt;Year&gt;2016&lt;/Year&gt;&lt;RecNum&gt;10821&lt;/RecNum&gt;&lt;DisplayText&gt;York&lt;style face="italic"&gt; et al.&lt;/style&gt; &lt;/DisplayText&gt;&lt;record&gt;&lt;rec-number&gt;10821&lt;/rec-number&gt;&lt;foreign-keys&gt;&lt;key app="EN" db-id="0eve55x9y5vfd6e9dacxtew4eatve2dzds9a" timestamp="1481760630"&gt;10821&lt;/key&gt;&lt;/foreign-keys&gt;&lt;ref-type name="Book"&gt;6&lt;/ref-type&gt;&lt;contributors&gt;&lt;authors&gt;&lt;author&gt;York, Paul H&lt;/author&gt;&lt;author&gt;Reason, C L&lt;/author&gt;&lt;author&gt;Scott, Emma&lt;/author&gt;&lt;author&gt;Sankey, Tonia&lt;/author&gt;&lt;author&gt;Rasheed, Michael&lt;/author&gt;&lt;/authors&gt;&lt;/contributors&gt;&lt;titles&gt;&lt;title&gt;Seagrass habitat of Cairns Harbour and Trinity Inlet: Annual Monitoring Report 2015&lt;/title&gt;&lt;/titles&gt;&lt;pages&gt;53&lt;/pages&gt;&lt;dates&gt;&lt;year&gt;2016&lt;/year&gt;&lt;/dates&gt;&lt;pub-location&gt;Cairns&lt;/pub-location&gt;&lt;publisher&gt;Centre for Tropical Water &amp;amp; Aquatic Ecosystem Research Publication, JCU&lt;/publisher&gt;&lt;urls&gt;&lt;/urls&gt;&lt;/record&gt;&lt;/Cite&gt;&lt;/EndNote&gt;</w:instrText>
        </w:r>
        <w:r w:rsidR="00305FE7" w:rsidRPr="00080867">
          <w:rPr>
            <w:color w:val="000000" w:themeColor="text1"/>
            <w:szCs w:val="22"/>
          </w:rPr>
          <w:fldChar w:fldCharType="separate"/>
        </w:r>
        <w:r w:rsidR="00305FE7">
          <w:rPr>
            <w:noProof/>
            <w:color w:val="000000" w:themeColor="text1"/>
            <w:szCs w:val="22"/>
          </w:rPr>
          <w:t>York</w:t>
        </w:r>
        <w:r w:rsidR="00305FE7" w:rsidRPr="00610D5C">
          <w:rPr>
            <w:i/>
            <w:noProof/>
            <w:color w:val="000000" w:themeColor="text1"/>
            <w:szCs w:val="22"/>
          </w:rPr>
          <w:t xml:space="preserve"> et al.</w:t>
        </w:r>
        <w:r w:rsidR="00305FE7">
          <w:rPr>
            <w:noProof/>
            <w:color w:val="000000" w:themeColor="text1"/>
            <w:szCs w:val="22"/>
          </w:rPr>
          <w:t xml:space="preserve"> </w:t>
        </w:r>
        <w:r w:rsidR="00305FE7" w:rsidRPr="00080867">
          <w:rPr>
            <w:color w:val="000000" w:themeColor="text1"/>
            <w:szCs w:val="22"/>
          </w:rPr>
          <w:fldChar w:fldCharType="end"/>
        </w:r>
      </w:hyperlink>
      <w:r w:rsidR="00806B9B" w:rsidRPr="00080867">
        <w:rPr>
          <w:color w:val="000000" w:themeColor="text1"/>
          <w:szCs w:val="22"/>
        </w:rPr>
        <w:t>(</w:t>
      </w:r>
      <w:hyperlink w:anchor="_ENREF_277" w:tooltip="York, 2016 #10821" w:history="1">
        <w:r w:rsidR="00080867" w:rsidRPr="00080867">
          <w:rPr>
            <w:color w:val="000000" w:themeColor="text1"/>
            <w:szCs w:val="22"/>
          </w:rPr>
          <w:t>2017</w:t>
        </w:r>
      </w:hyperlink>
      <w:r w:rsidR="00806B9B" w:rsidRPr="00080867">
        <w:rPr>
          <w:color w:val="000000" w:themeColor="text1"/>
          <w:szCs w:val="22"/>
        </w:rPr>
        <w:t xml:space="preserve">) </w:t>
      </w:r>
      <w:r w:rsidR="00E76F3F" w:rsidRPr="00080867">
        <w:rPr>
          <w:color w:val="000000" w:themeColor="text1"/>
          <w:szCs w:val="22"/>
        </w:rPr>
        <w:t>reported that</w:t>
      </w:r>
      <w:r w:rsidR="00080867" w:rsidRPr="00080867">
        <w:rPr>
          <w:color w:val="000000" w:themeColor="text1"/>
          <w:lang w:val="en-GB"/>
        </w:rPr>
        <w:t xml:space="preserve"> some seeds of </w:t>
      </w:r>
      <w:r w:rsidR="00080867" w:rsidRPr="00080867">
        <w:rPr>
          <w:i/>
          <w:color w:val="000000" w:themeColor="text1"/>
          <w:szCs w:val="22"/>
        </w:rPr>
        <w:t>Zostera muelleri</w:t>
      </w:r>
      <w:r w:rsidR="00080867" w:rsidRPr="00080867">
        <w:rPr>
          <w:color w:val="000000" w:themeColor="text1"/>
          <w:szCs w:val="22"/>
        </w:rPr>
        <w:t xml:space="preserve"> </w:t>
      </w:r>
      <w:r w:rsidR="00080867" w:rsidRPr="00080867">
        <w:rPr>
          <w:color w:val="000000" w:themeColor="text1"/>
          <w:lang w:val="en-GB"/>
        </w:rPr>
        <w:t>were present in the late dry (November 2016)</w:t>
      </w:r>
      <w:r w:rsidR="00E76F3F" w:rsidRPr="00080867">
        <w:rPr>
          <w:color w:val="000000" w:themeColor="text1"/>
          <w:szCs w:val="22"/>
        </w:rPr>
        <w:t xml:space="preserve"> </w:t>
      </w:r>
      <w:r w:rsidR="00080867" w:rsidRPr="00080867">
        <w:rPr>
          <w:color w:val="000000" w:themeColor="text1"/>
          <w:lang w:val="en-GB"/>
        </w:rPr>
        <w:t>but</w:t>
      </w:r>
      <w:r w:rsidR="00E76F3F" w:rsidRPr="00080867">
        <w:rPr>
          <w:color w:val="000000" w:themeColor="text1"/>
          <w:lang w:val="en-GB"/>
        </w:rPr>
        <w:t xml:space="preserve"> </w:t>
      </w:r>
      <w:r w:rsidR="00B27E0C" w:rsidRPr="00080867">
        <w:rPr>
          <w:color w:val="000000" w:themeColor="text1"/>
          <w:lang w:val="en-GB"/>
        </w:rPr>
        <w:t>were absent from Ellie Point in</w:t>
      </w:r>
      <w:r w:rsidR="00E76F3F" w:rsidRPr="00080867">
        <w:rPr>
          <w:color w:val="000000" w:themeColor="text1"/>
          <w:lang w:val="en-GB"/>
        </w:rPr>
        <w:t xml:space="preserve"> Cairns Harbour</w:t>
      </w:r>
      <w:r w:rsidR="00080867" w:rsidRPr="00080867">
        <w:rPr>
          <w:color w:val="000000" w:themeColor="text1"/>
          <w:lang w:val="en-GB"/>
        </w:rPr>
        <w:t xml:space="preserve"> in March 2017 for the first time </w:t>
      </w:r>
      <w:r w:rsidR="00E76F3F" w:rsidRPr="00080867">
        <w:rPr>
          <w:color w:val="000000" w:themeColor="text1"/>
          <w:lang w:val="en-GB"/>
        </w:rPr>
        <w:t>since quarterly monitoring for Ports North was established in June 2014</w:t>
      </w:r>
      <w:r w:rsidR="00080867" w:rsidRPr="00080867">
        <w:rPr>
          <w:color w:val="000000" w:themeColor="text1"/>
          <w:lang w:val="en-GB"/>
        </w:rPr>
        <w:t xml:space="preserve">. This is most likely due to their germination in the favourable growing conditions, but the meadows are developmentally young, and not yet replenishing seeds to form seed banks. This places the meadows of Cairns harbour in a highly vulnerable state if further impacts were to affect the region. </w:t>
      </w:r>
    </w:p>
    <w:p w14:paraId="6137DD26" w14:textId="77777777" w:rsidR="00E76F3F" w:rsidRPr="001B6AA0" w:rsidRDefault="00E76F3F" w:rsidP="001B6AA0">
      <w:pPr>
        <w:rPr>
          <w:lang w:val="en-GB"/>
        </w:rPr>
      </w:pPr>
    </w:p>
    <w:p w14:paraId="372BD518" w14:textId="3E5A78C9" w:rsidR="005132EF" w:rsidRPr="00BD0604" w:rsidRDefault="00FF0A86" w:rsidP="00926892">
      <w:pPr>
        <w:pStyle w:val="Heading3"/>
        <w:numPr>
          <w:ilvl w:val="2"/>
          <w:numId w:val="9"/>
        </w:numPr>
        <w:rPr>
          <w:rFonts w:ascii="Arial" w:hAnsi="Arial" w:cs="Arial"/>
          <w:color w:val="000000"/>
        </w:rPr>
      </w:pPr>
      <w:bookmarkStart w:id="341" w:name="_Toc516053147"/>
      <w:r>
        <w:rPr>
          <w:rFonts w:ascii="Arial" w:hAnsi="Arial" w:cs="Arial"/>
          <w:color w:val="000000"/>
        </w:rPr>
        <w:t>Indicators of environmental condition</w:t>
      </w:r>
      <w:bookmarkEnd w:id="341"/>
    </w:p>
    <w:p w14:paraId="279ACED7" w14:textId="77777777" w:rsidR="005132EF" w:rsidRPr="004F2236" w:rsidRDefault="005132EF" w:rsidP="004F2236">
      <w:pPr>
        <w:pStyle w:val="Heading4"/>
        <w:numPr>
          <w:ilvl w:val="0"/>
          <w:numId w:val="0"/>
        </w:numPr>
        <w:rPr>
          <w:rFonts w:ascii="Arial" w:hAnsi="Arial" w:cs="Arial"/>
          <w:sz w:val="24"/>
          <w:szCs w:val="24"/>
        </w:rPr>
      </w:pPr>
      <w:bookmarkStart w:id="342" w:name="_Toc184101988"/>
      <w:r w:rsidRPr="004F2236">
        <w:rPr>
          <w:rFonts w:ascii="Arial" w:hAnsi="Arial" w:cs="Arial"/>
          <w:sz w:val="24"/>
          <w:szCs w:val="24"/>
        </w:rPr>
        <w:t>Seagrass tissue nutrients</w:t>
      </w:r>
      <w:bookmarkEnd w:id="342"/>
    </w:p>
    <w:p w14:paraId="78FDCEC4" w14:textId="14684E50" w:rsidR="001B6AA0" w:rsidRPr="00B35F39" w:rsidRDefault="00F478A9" w:rsidP="001B6AA0">
      <w:pPr>
        <w:rPr>
          <w:szCs w:val="22"/>
          <w:lang w:val="en-GB"/>
        </w:rPr>
      </w:pPr>
      <w:bookmarkStart w:id="343" w:name="_Toc175991069"/>
      <w:bookmarkStart w:id="344" w:name="_Toc232845913"/>
      <w:r w:rsidRPr="009E5C7C">
        <w:rPr>
          <w:color w:val="000000" w:themeColor="text1"/>
          <w:szCs w:val="22"/>
          <w:lang w:val="en-GB"/>
        </w:rPr>
        <w:t>C:N ratio</w:t>
      </w:r>
      <w:r w:rsidR="001B6AA0" w:rsidRPr="009E5C7C">
        <w:rPr>
          <w:color w:val="000000" w:themeColor="text1"/>
          <w:szCs w:val="22"/>
          <w:lang w:val="en-GB"/>
        </w:rPr>
        <w:t xml:space="preserve"> in the leaves of the foundation seagrass spec</w:t>
      </w:r>
      <w:r w:rsidR="0005499A" w:rsidRPr="009E5C7C">
        <w:rPr>
          <w:color w:val="000000" w:themeColor="text1"/>
          <w:szCs w:val="22"/>
          <w:lang w:val="en-GB"/>
        </w:rPr>
        <w:t>ies (in the late dry season 2016</w:t>
      </w:r>
      <w:r w:rsidR="001B6AA0" w:rsidRPr="009E5C7C">
        <w:rPr>
          <w:color w:val="000000" w:themeColor="text1"/>
          <w:szCs w:val="22"/>
          <w:lang w:val="en-GB"/>
        </w:rPr>
        <w:t xml:space="preserve">) </w:t>
      </w:r>
      <w:r w:rsidRPr="009E5C7C">
        <w:rPr>
          <w:color w:val="000000" w:themeColor="text1"/>
          <w:szCs w:val="22"/>
          <w:lang w:val="en-GB"/>
        </w:rPr>
        <w:t xml:space="preserve">at the coastal sites </w:t>
      </w:r>
      <w:r w:rsidR="009E5C7C" w:rsidRPr="009E5C7C">
        <w:rPr>
          <w:color w:val="000000" w:themeColor="text1"/>
          <w:szCs w:val="22"/>
          <w:lang w:val="en-GB"/>
        </w:rPr>
        <w:t>remaned very low</w:t>
      </w:r>
      <w:r w:rsidRPr="009E5C7C">
        <w:rPr>
          <w:color w:val="000000" w:themeColor="text1"/>
          <w:szCs w:val="22"/>
          <w:lang w:val="en-GB"/>
        </w:rPr>
        <w:t xml:space="preserve"> (</w:t>
      </w:r>
      <w:r w:rsidR="00E34D3F">
        <w:rPr>
          <w:color w:val="000000" w:themeColor="text1"/>
          <w:szCs w:val="22"/>
          <w:lang w:val="en-GB"/>
        </w:rPr>
        <w:fldChar w:fldCharType="begin"/>
      </w:r>
      <w:r w:rsidR="00E34D3F">
        <w:rPr>
          <w:color w:val="000000" w:themeColor="text1"/>
          <w:szCs w:val="22"/>
          <w:lang w:val="en-GB"/>
        </w:rPr>
        <w:instrText xml:space="preserve"> REF _Ref304271974 \h </w:instrText>
      </w:r>
      <w:r w:rsidR="00E34D3F">
        <w:rPr>
          <w:color w:val="000000" w:themeColor="text1"/>
          <w:szCs w:val="22"/>
          <w:lang w:val="en-GB"/>
        </w:rPr>
      </w:r>
      <w:r w:rsidR="00E34D3F">
        <w:rPr>
          <w:color w:val="000000" w:themeColor="text1"/>
          <w:szCs w:val="22"/>
          <w:lang w:val="en-GB"/>
        </w:rPr>
        <w:fldChar w:fldCharType="separate"/>
      </w:r>
      <w:r w:rsidR="00F87DF9" w:rsidRPr="00E93489">
        <w:rPr>
          <w:color w:val="000000"/>
        </w:rPr>
        <w:t xml:space="preserve">Figure </w:t>
      </w:r>
      <w:r w:rsidR="00F87DF9">
        <w:rPr>
          <w:noProof/>
          <w:color w:val="000000"/>
        </w:rPr>
        <w:t>60</w:t>
      </w:r>
      <w:r w:rsidR="00E34D3F">
        <w:rPr>
          <w:color w:val="000000" w:themeColor="text1"/>
          <w:szCs w:val="22"/>
          <w:lang w:val="en-GB"/>
        </w:rPr>
        <w:fldChar w:fldCharType="end"/>
      </w:r>
      <w:r w:rsidRPr="009E5C7C">
        <w:rPr>
          <w:color w:val="000000" w:themeColor="text1"/>
          <w:szCs w:val="22"/>
          <w:lang w:val="en-GB"/>
        </w:rPr>
        <w:t xml:space="preserve">; Appendix 4), </w:t>
      </w:r>
      <w:r w:rsidR="009E5C7C">
        <w:rPr>
          <w:color w:val="000000" w:themeColor="text1"/>
          <w:szCs w:val="22"/>
          <w:lang w:val="en-GB"/>
        </w:rPr>
        <w:t>and</w:t>
      </w:r>
      <w:r w:rsidRPr="009E5C7C">
        <w:rPr>
          <w:color w:val="000000" w:themeColor="text1"/>
          <w:szCs w:val="22"/>
          <w:lang w:val="en-GB"/>
        </w:rPr>
        <w:t xml:space="preserve"> well below the guideline value (</w:t>
      </w:r>
      <w:r w:rsidR="001B6AA0" w:rsidRPr="009E5C7C">
        <w:rPr>
          <w:color w:val="000000" w:themeColor="text1"/>
          <w:szCs w:val="22"/>
          <w:lang w:val="en-GB"/>
        </w:rPr>
        <w:t>20</w:t>
      </w:r>
      <w:r w:rsidRPr="009E5C7C">
        <w:rPr>
          <w:color w:val="000000" w:themeColor="text1"/>
          <w:szCs w:val="22"/>
          <w:lang w:val="en-GB"/>
        </w:rPr>
        <w:t xml:space="preserve">) </w:t>
      </w:r>
      <w:r w:rsidR="00DA1760" w:rsidRPr="0005499A">
        <w:rPr>
          <w:color w:val="000000" w:themeColor="text1"/>
          <w:szCs w:val="22"/>
          <w:lang w:val="en-GB"/>
        </w:rPr>
        <w:t xml:space="preserve">and C:N </w:t>
      </w:r>
      <w:r w:rsidR="00DA1760" w:rsidRPr="002F7814">
        <w:rPr>
          <w:szCs w:val="22"/>
          <w:lang w:val="en-GB"/>
        </w:rPr>
        <w:t xml:space="preserve">ratios at the coastal sites were particularly low compared to other sites throughout the </w:t>
      </w:r>
      <w:r w:rsidR="007F6948">
        <w:rPr>
          <w:szCs w:val="22"/>
          <w:lang w:val="en-GB"/>
        </w:rPr>
        <w:t>Great Barrier Reef</w:t>
      </w:r>
      <w:r w:rsidR="00DA1760" w:rsidRPr="002F7814">
        <w:rPr>
          <w:szCs w:val="22"/>
          <w:lang w:val="en-GB"/>
        </w:rPr>
        <w:t xml:space="preserve">. This </w:t>
      </w:r>
      <w:r w:rsidRPr="002F7814">
        <w:rPr>
          <w:szCs w:val="22"/>
          <w:lang w:val="en-GB"/>
        </w:rPr>
        <w:t>indicat</w:t>
      </w:r>
      <w:r w:rsidR="00DA1760" w:rsidRPr="002F7814">
        <w:rPr>
          <w:szCs w:val="22"/>
          <w:lang w:val="en-GB"/>
        </w:rPr>
        <w:t>es</w:t>
      </w:r>
      <w:r w:rsidRPr="002F7814">
        <w:rPr>
          <w:szCs w:val="22"/>
          <w:lang w:val="en-GB"/>
        </w:rPr>
        <w:t xml:space="preserve"> that nitrogen loads are in excess of growth requirements, due possibly to light limitation</w:t>
      </w:r>
      <w:r w:rsidR="001B6AA0" w:rsidRPr="002F7814">
        <w:rPr>
          <w:szCs w:val="22"/>
          <w:lang w:val="en-GB"/>
        </w:rPr>
        <w:t xml:space="preserve">. </w:t>
      </w:r>
      <w:r w:rsidR="00DB6FA5" w:rsidRPr="002F7814">
        <w:rPr>
          <w:szCs w:val="22"/>
          <w:lang w:val="en-GB"/>
        </w:rPr>
        <w:t>Although river discharge was below average in the past year, there was high exposure to secondary water</w:t>
      </w:r>
      <w:r w:rsidR="00CD043C" w:rsidRPr="002F7814">
        <w:rPr>
          <w:szCs w:val="22"/>
          <w:lang w:val="en-GB"/>
        </w:rPr>
        <w:t xml:space="preserve"> at some sites</w:t>
      </w:r>
      <w:r w:rsidR="00DB6FA5" w:rsidRPr="002F7814">
        <w:rPr>
          <w:szCs w:val="22"/>
          <w:lang w:val="en-GB"/>
        </w:rPr>
        <w:t xml:space="preserve">, which indicates availability of N in overlying waters, and light reducing effects from phytoplankton. </w:t>
      </w:r>
      <w:r w:rsidR="00DD3003" w:rsidRPr="002F7814">
        <w:rPr>
          <w:szCs w:val="22"/>
          <w:lang w:val="en-GB"/>
        </w:rPr>
        <w:t>High N:P ratios in coastal</w:t>
      </w:r>
      <w:r w:rsidR="00DA1760" w:rsidRPr="002F7814">
        <w:rPr>
          <w:szCs w:val="22"/>
          <w:lang w:val="en-GB"/>
        </w:rPr>
        <w:t xml:space="preserve"> habitats (</w:t>
      </w:r>
      <w:r w:rsidR="00DA1760" w:rsidRPr="002F7814">
        <w:rPr>
          <w:szCs w:val="22"/>
          <w:lang w:val="en-GB"/>
        </w:rPr>
        <w:fldChar w:fldCharType="begin"/>
      </w:r>
      <w:r w:rsidR="00DA1760" w:rsidRPr="002F7814">
        <w:rPr>
          <w:szCs w:val="22"/>
          <w:lang w:val="en-GB"/>
        </w:rPr>
        <w:instrText xml:space="preserve"> REF _Ref237498756 \h </w:instrText>
      </w:r>
      <w:r w:rsidR="00DA1760" w:rsidRPr="002F7814">
        <w:rPr>
          <w:szCs w:val="22"/>
          <w:lang w:val="en-GB"/>
        </w:rPr>
      </w:r>
      <w:r w:rsidR="00DA1760" w:rsidRPr="002F7814">
        <w:rPr>
          <w:szCs w:val="22"/>
          <w:lang w:val="en-GB"/>
        </w:rPr>
        <w:fldChar w:fldCharType="separate"/>
      </w:r>
      <w:r w:rsidR="00F87DF9" w:rsidRPr="00E93489">
        <w:rPr>
          <w:color w:val="000000"/>
          <w:szCs w:val="22"/>
        </w:rPr>
        <w:t xml:space="preserve">Figure </w:t>
      </w:r>
      <w:r w:rsidR="00F87DF9">
        <w:rPr>
          <w:noProof/>
          <w:color w:val="000000"/>
          <w:szCs w:val="22"/>
        </w:rPr>
        <w:t>61</w:t>
      </w:r>
      <w:r w:rsidR="00DA1760" w:rsidRPr="002F7814">
        <w:rPr>
          <w:szCs w:val="22"/>
          <w:lang w:val="en-GB"/>
        </w:rPr>
        <w:fldChar w:fldCharType="end"/>
      </w:r>
      <w:r w:rsidR="00DA1760" w:rsidRPr="002F7814">
        <w:rPr>
          <w:szCs w:val="22"/>
          <w:lang w:val="en-GB"/>
        </w:rPr>
        <w:t xml:space="preserve">) </w:t>
      </w:r>
      <w:r w:rsidR="00DD3003" w:rsidRPr="002F7814">
        <w:rPr>
          <w:szCs w:val="22"/>
          <w:lang w:val="en-GB"/>
        </w:rPr>
        <w:t xml:space="preserve">also </w:t>
      </w:r>
      <w:r w:rsidR="00DA1760" w:rsidRPr="002F7814">
        <w:rPr>
          <w:szCs w:val="22"/>
          <w:lang w:val="en-GB"/>
        </w:rPr>
        <w:t>provides evidence of excess nitrogen loads</w:t>
      </w:r>
      <w:r w:rsidR="00DB6FA5" w:rsidRPr="002F7814">
        <w:rPr>
          <w:szCs w:val="22"/>
          <w:lang w:val="en-GB"/>
        </w:rPr>
        <w:t xml:space="preserve"> at this site</w:t>
      </w:r>
      <w:r w:rsidR="00DA1760" w:rsidRPr="002F7814">
        <w:rPr>
          <w:szCs w:val="22"/>
          <w:lang w:val="en-GB"/>
        </w:rPr>
        <w:t xml:space="preserve">. </w:t>
      </w:r>
      <w:r w:rsidR="001B6AA0" w:rsidRPr="002F7814">
        <w:rPr>
          <w:szCs w:val="22"/>
          <w:lang w:val="en-GB"/>
        </w:rPr>
        <w:t>Seagrasses in reef habitats (intertidal and subtidal) had higher leaf molar C:N ratios than those in coastal habitats (</w:t>
      </w:r>
      <w:r w:rsidR="00E6374C" w:rsidRPr="002F7814">
        <w:rPr>
          <w:szCs w:val="22"/>
          <w:lang w:val="en-GB"/>
        </w:rPr>
        <w:fldChar w:fldCharType="begin"/>
      </w:r>
      <w:r w:rsidR="00E6374C" w:rsidRPr="002F7814">
        <w:rPr>
          <w:szCs w:val="22"/>
          <w:lang w:val="en-GB"/>
        </w:rPr>
        <w:instrText xml:space="preserve"> REF _Ref304271974 \h </w:instrText>
      </w:r>
      <w:r w:rsidR="00E6374C" w:rsidRPr="002F7814">
        <w:rPr>
          <w:szCs w:val="22"/>
          <w:lang w:val="en-GB"/>
        </w:rPr>
      </w:r>
      <w:r w:rsidR="00E6374C" w:rsidRPr="002F7814">
        <w:rPr>
          <w:szCs w:val="22"/>
          <w:lang w:val="en-GB"/>
        </w:rPr>
        <w:fldChar w:fldCharType="separate"/>
      </w:r>
      <w:r w:rsidR="00F87DF9" w:rsidRPr="00E93489">
        <w:rPr>
          <w:color w:val="000000"/>
        </w:rPr>
        <w:t xml:space="preserve">Figure </w:t>
      </w:r>
      <w:r w:rsidR="00F87DF9">
        <w:rPr>
          <w:noProof/>
          <w:color w:val="000000"/>
        </w:rPr>
        <w:t>60</w:t>
      </w:r>
      <w:r w:rsidR="00E6374C" w:rsidRPr="002F7814">
        <w:rPr>
          <w:szCs w:val="22"/>
          <w:lang w:val="en-GB"/>
        </w:rPr>
        <w:fldChar w:fldCharType="end"/>
      </w:r>
      <w:r w:rsidR="001B6AA0" w:rsidRPr="002F7814">
        <w:rPr>
          <w:szCs w:val="22"/>
          <w:lang w:val="en-GB"/>
        </w:rPr>
        <w:t xml:space="preserve">), </w:t>
      </w:r>
      <w:r w:rsidR="00DD3003" w:rsidRPr="002F7814">
        <w:rPr>
          <w:szCs w:val="22"/>
          <w:lang w:val="en-GB"/>
        </w:rPr>
        <w:t>and higher leaf C:P ratios (</w:t>
      </w:r>
      <w:r w:rsidR="00DD3003" w:rsidRPr="002F7814">
        <w:rPr>
          <w:szCs w:val="22"/>
          <w:lang w:val="en-GB"/>
        </w:rPr>
        <w:fldChar w:fldCharType="begin"/>
      </w:r>
      <w:r w:rsidR="00DD3003" w:rsidRPr="002F7814">
        <w:rPr>
          <w:szCs w:val="22"/>
          <w:lang w:val="en-GB"/>
        </w:rPr>
        <w:instrText xml:space="preserve"> REF _Ref237498756 \h </w:instrText>
      </w:r>
      <w:r w:rsidR="00DD3003" w:rsidRPr="002F7814">
        <w:rPr>
          <w:szCs w:val="22"/>
          <w:lang w:val="en-GB"/>
        </w:rPr>
      </w:r>
      <w:r w:rsidR="00DD3003" w:rsidRPr="002F7814">
        <w:rPr>
          <w:szCs w:val="22"/>
          <w:lang w:val="en-GB"/>
        </w:rPr>
        <w:fldChar w:fldCharType="separate"/>
      </w:r>
      <w:r w:rsidR="00F87DF9" w:rsidRPr="00E93489">
        <w:rPr>
          <w:color w:val="000000"/>
          <w:szCs w:val="22"/>
        </w:rPr>
        <w:t xml:space="preserve">Figure </w:t>
      </w:r>
      <w:r w:rsidR="00F87DF9">
        <w:rPr>
          <w:noProof/>
          <w:color w:val="000000"/>
          <w:szCs w:val="22"/>
        </w:rPr>
        <w:t>61</w:t>
      </w:r>
      <w:r w:rsidR="00DD3003" w:rsidRPr="002F7814">
        <w:rPr>
          <w:szCs w:val="22"/>
          <w:lang w:val="en-GB"/>
        </w:rPr>
        <w:fldChar w:fldCharType="end"/>
      </w:r>
      <w:r w:rsidR="00DD3003" w:rsidRPr="002F7814">
        <w:rPr>
          <w:szCs w:val="22"/>
          <w:lang w:val="en-GB"/>
        </w:rPr>
        <w:t xml:space="preserve">), </w:t>
      </w:r>
      <w:r w:rsidR="001B6AA0" w:rsidRPr="002F7814">
        <w:rPr>
          <w:szCs w:val="22"/>
          <w:lang w:val="en-GB"/>
        </w:rPr>
        <w:t xml:space="preserve">which has </w:t>
      </w:r>
      <w:r w:rsidR="001B6AA0" w:rsidRPr="00DD3003">
        <w:rPr>
          <w:color w:val="000000" w:themeColor="text1"/>
          <w:szCs w:val="22"/>
          <w:lang w:val="en-GB"/>
        </w:rPr>
        <w:t xml:space="preserve">remained consistent across all years of monitoring. C:N ratios have remained relatively unchanged across all intertidal seagrass habitats over the last </w:t>
      </w:r>
      <w:r w:rsidR="00DD3003" w:rsidRPr="00DD3003">
        <w:rPr>
          <w:color w:val="000000" w:themeColor="text1"/>
          <w:szCs w:val="22"/>
          <w:lang w:val="en-GB"/>
        </w:rPr>
        <w:t>7</w:t>
      </w:r>
      <w:r w:rsidR="001B6AA0" w:rsidRPr="00DD3003">
        <w:rPr>
          <w:color w:val="000000" w:themeColor="text1"/>
          <w:szCs w:val="22"/>
          <w:lang w:val="en-GB"/>
        </w:rPr>
        <w:t xml:space="preserve"> years (</w:t>
      </w:r>
      <w:r w:rsidR="00E6374C" w:rsidRPr="00DD3003">
        <w:rPr>
          <w:color w:val="000000" w:themeColor="text1"/>
          <w:szCs w:val="22"/>
          <w:lang w:val="en-GB"/>
        </w:rPr>
        <w:fldChar w:fldCharType="begin"/>
      </w:r>
      <w:r w:rsidR="00E6374C" w:rsidRPr="00DD3003">
        <w:rPr>
          <w:color w:val="000000" w:themeColor="text1"/>
          <w:szCs w:val="22"/>
          <w:lang w:val="en-GB"/>
        </w:rPr>
        <w:instrText xml:space="preserve"> REF _Ref304271974 \h </w:instrText>
      </w:r>
      <w:r w:rsidR="00E6374C" w:rsidRPr="00DD3003">
        <w:rPr>
          <w:color w:val="000000" w:themeColor="text1"/>
          <w:szCs w:val="22"/>
          <w:lang w:val="en-GB"/>
        </w:rPr>
      </w:r>
      <w:r w:rsidR="00E6374C" w:rsidRPr="00DD3003">
        <w:rPr>
          <w:color w:val="000000" w:themeColor="text1"/>
          <w:szCs w:val="22"/>
          <w:lang w:val="en-GB"/>
        </w:rPr>
        <w:fldChar w:fldCharType="separate"/>
      </w:r>
      <w:r w:rsidR="00F87DF9" w:rsidRPr="00E93489">
        <w:rPr>
          <w:color w:val="000000"/>
        </w:rPr>
        <w:t xml:space="preserve">Figure </w:t>
      </w:r>
      <w:r w:rsidR="00F87DF9">
        <w:rPr>
          <w:noProof/>
          <w:color w:val="000000"/>
        </w:rPr>
        <w:t>60</w:t>
      </w:r>
      <w:r w:rsidR="00E6374C" w:rsidRPr="00DD3003">
        <w:rPr>
          <w:color w:val="000000" w:themeColor="text1"/>
          <w:szCs w:val="22"/>
          <w:lang w:val="en-GB"/>
        </w:rPr>
        <w:fldChar w:fldCharType="end"/>
      </w:r>
      <w:r w:rsidR="001B6AA0" w:rsidRPr="00DD3003">
        <w:rPr>
          <w:color w:val="000000" w:themeColor="text1"/>
          <w:szCs w:val="22"/>
          <w:lang w:val="en-GB"/>
        </w:rPr>
        <w:t xml:space="preserve">; Appendix </w:t>
      </w:r>
      <w:r w:rsidR="00E6374C" w:rsidRPr="00DD3003">
        <w:rPr>
          <w:color w:val="000000" w:themeColor="text1"/>
          <w:szCs w:val="22"/>
          <w:lang w:val="en-GB"/>
        </w:rPr>
        <w:t>4</w:t>
      </w:r>
      <w:r w:rsidR="001B6AA0" w:rsidRPr="00DD3003">
        <w:rPr>
          <w:color w:val="000000" w:themeColor="text1"/>
          <w:szCs w:val="22"/>
          <w:lang w:val="en-GB"/>
        </w:rPr>
        <w:t xml:space="preserve">), while at subtidal sites, other than a sharp increase at Green Island in 2012, C:N ratios at reef subtidal habitats have been relatively stable since monitoring commenced in 2008 (Appendix </w:t>
      </w:r>
      <w:r w:rsidR="00E6374C" w:rsidRPr="00DD3003">
        <w:rPr>
          <w:color w:val="000000" w:themeColor="text1"/>
          <w:szCs w:val="22"/>
          <w:lang w:val="en-GB"/>
        </w:rPr>
        <w:t>4</w:t>
      </w:r>
      <w:r w:rsidR="001B6AA0" w:rsidRPr="00DD3003">
        <w:rPr>
          <w:color w:val="000000" w:themeColor="text1"/>
          <w:szCs w:val="22"/>
          <w:lang w:val="en-GB"/>
        </w:rPr>
        <w:t xml:space="preserve">). </w:t>
      </w:r>
    </w:p>
    <w:p w14:paraId="3BF22C0A" w14:textId="77777777" w:rsidR="001B6AA0" w:rsidRDefault="00AA7BCE" w:rsidP="00526A6D">
      <w:pPr>
        <w:keepNext/>
        <w:widowControl w:val="0"/>
        <w:spacing w:after="0"/>
        <w:jc w:val="center"/>
        <w:rPr>
          <w:color w:val="000000"/>
          <w:szCs w:val="22"/>
          <w:lang w:val="en-GB"/>
        </w:rPr>
      </w:pPr>
      <w:r>
        <w:rPr>
          <w:noProof/>
          <w:color w:val="000000"/>
          <w:szCs w:val="22"/>
          <w:lang w:eastAsia="en-AU"/>
        </w:rPr>
        <w:drawing>
          <wp:inline distT="0" distB="0" distL="0" distR="0" wp14:anchorId="3FA9DE68" wp14:editId="55C19C4E">
            <wp:extent cx="5035628" cy="1544400"/>
            <wp:effectExtent l="0" t="0" r="0" b="0"/>
            <wp:docPr id="313" name="Picture 313" descr="Set of three scatter plots with straight lines and markers showing  elemental ratios (atomic) of seagrass leaf tissue C:N for the foundation species in inshore seagrass habitats in the Wet Tropics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WT_CN_yr_Dec16.png"/>
                    <pic:cNvPicPr/>
                  </pic:nvPicPr>
                  <pic:blipFill>
                    <a:blip r:embed="rId98">
                      <a:extLst>
                        <a:ext uri="{28A0092B-C50C-407E-A947-70E740481C1C}">
                          <a14:useLocalDpi xmlns:a14="http://schemas.microsoft.com/office/drawing/2010/main" val="0"/>
                        </a:ext>
                      </a:extLst>
                    </a:blip>
                    <a:stretch>
                      <a:fillRect/>
                    </a:stretch>
                  </pic:blipFill>
                  <pic:spPr>
                    <a:xfrm>
                      <a:off x="0" y="0"/>
                      <a:ext cx="5035628" cy="1544400"/>
                    </a:xfrm>
                    <a:prstGeom prst="rect">
                      <a:avLst/>
                    </a:prstGeom>
                  </pic:spPr>
                </pic:pic>
              </a:graphicData>
            </a:graphic>
          </wp:inline>
        </w:drawing>
      </w:r>
    </w:p>
    <w:p w14:paraId="57F50DE0" w14:textId="77777777" w:rsidR="0015251F" w:rsidRPr="00941B89" w:rsidRDefault="00D15580" w:rsidP="0015251F">
      <w:pPr>
        <w:rPr>
          <w:i/>
          <w:iCs/>
          <w:vanish/>
          <w:szCs w:val="22"/>
          <w:lang w:eastAsia="en-AU"/>
          <w:specVanish/>
        </w:rPr>
      </w:pPr>
      <w:bookmarkStart w:id="345" w:name="_Ref304271974"/>
      <w:bookmarkStart w:id="346" w:name="_Toc431493846"/>
      <w:bookmarkStart w:id="347" w:name="_Toc516053270"/>
      <w:r w:rsidRPr="00E93489">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60</w:t>
      </w:r>
      <w:r w:rsidR="0073595B">
        <w:rPr>
          <w:color w:val="000000"/>
        </w:rPr>
        <w:fldChar w:fldCharType="end"/>
      </w:r>
      <w:bookmarkEnd w:id="345"/>
      <w:r w:rsidRPr="00E93489">
        <w:rPr>
          <w:color w:val="000000"/>
        </w:rPr>
        <w:t xml:space="preserve">. </w:t>
      </w:r>
      <w:r w:rsidRPr="00E93489">
        <w:rPr>
          <w:i/>
          <w:color w:val="000000"/>
          <w:lang w:eastAsia="en-AU"/>
        </w:rPr>
        <w:t xml:space="preserve">Elemental ratios (atomic) of seagrass leaf tissue C:N for </w:t>
      </w:r>
      <w:r w:rsidRPr="00E93489">
        <w:rPr>
          <w:i/>
          <w:color w:val="000000"/>
        </w:rPr>
        <w:t xml:space="preserve">the foundation seagrass species examined at each inshore habitat in the Wet Tropics region </w:t>
      </w:r>
      <w:r w:rsidRPr="00E93489">
        <w:rPr>
          <w:i/>
          <w:color w:val="000000"/>
          <w:lang w:eastAsia="en-AU"/>
        </w:rPr>
        <w:t>each year</w:t>
      </w:r>
      <w:bookmarkEnd w:id="346"/>
      <w:bookmarkEnd w:id="347"/>
      <w:r w:rsidR="0015251F" w:rsidRPr="00941B89">
        <w:rPr>
          <w:i/>
          <w:lang w:eastAsia="en-AU"/>
        </w:rPr>
        <w:t xml:space="preserve"> </w:t>
      </w:r>
    </w:p>
    <w:p w14:paraId="40AA4EF0" w14:textId="404160A2" w:rsidR="000C1447" w:rsidRPr="008E2E54" w:rsidRDefault="0015251F" w:rsidP="0015251F">
      <w:pPr>
        <w:rPr>
          <w:i/>
          <w:iCs/>
          <w:vanish/>
          <w:color w:val="000000"/>
          <w:szCs w:val="22"/>
          <w:lang w:eastAsia="en-AU"/>
        </w:rPr>
      </w:pPr>
      <w:r w:rsidRPr="00941B89">
        <w:rPr>
          <w:i/>
          <w:lang w:eastAsia="en-AU"/>
        </w:rPr>
        <w:t xml:space="preserve"> </w:t>
      </w:r>
      <w:r w:rsidR="00D15580" w:rsidRPr="00E93489">
        <w:rPr>
          <w:i/>
          <w:color w:val="000000"/>
          <w:lang w:eastAsia="en-AU"/>
        </w:rPr>
        <w:t xml:space="preserve">(species pooled) </w:t>
      </w:r>
      <w:r w:rsidR="00D15580" w:rsidRPr="00E93489">
        <w:rPr>
          <w:i/>
          <w:color w:val="000000"/>
        </w:rPr>
        <w:t>(mean</w:t>
      </w:r>
      <w:r w:rsidR="00D15580" w:rsidRPr="00E93489">
        <w:rPr>
          <w:i/>
          <w:color w:val="000000"/>
          <w:lang w:eastAsia="en-AU"/>
        </w:rPr>
        <w:t xml:space="preserve"> ± </w:t>
      </w:r>
      <w:r w:rsidR="009C7692">
        <w:rPr>
          <w:i/>
          <w:color w:val="000000"/>
          <w:lang w:eastAsia="en-AU"/>
        </w:rPr>
        <w:t>SE</w:t>
      </w:r>
      <w:r w:rsidR="00D15580" w:rsidRPr="00E93489">
        <w:rPr>
          <w:i/>
          <w:color w:val="000000"/>
        </w:rPr>
        <w:t>)</w:t>
      </w:r>
      <w:r w:rsidR="00D15580" w:rsidRPr="00E93489">
        <w:rPr>
          <w:i/>
          <w:color w:val="000000"/>
          <w:lang w:eastAsia="en-AU"/>
        </w:rPr>
        <w:t xml:space="preserve">. Horizontal shaded band on the C:N ratio panel represents the accepted </w:t>
      </w:r>
      <w:r w:rsidR="00D15580" w:rsidRPr="00E93489">
        <w:rPr>
          <w:i/>
          <w:color w:val="000000"/>
        </w:rPr>
        <w:t xml:space="preserve">guideline </w:t>
      </w:r>
      <w:r w:rsidR="00D15580" w:rsidRPr="00E93489">
        <w:rPr>
          <w:i/>
          <w:color w:val="000000"/>
          <w:lang w:eastAsia="en-AU"/>
        </w:rPr>
        <w:t xml:space="preserve">seagrass “Redfield” ratio </w:t>
      </w:r>
      <w:r w:rsidR="00D15580" w:rsidRPr="00E93489">
        <w:rPr>
          <w:i/>
          <w:color w:val="000000"/>
        </w:rPr>
        <w:t>of 20:1</w:t>
      </w:r>
      <w:r w:rsidR="00D15580" w:rsidRPr="00E93489">
        <w:rPr>
          <w:i/>
          <w:color w:val="000000"/>
          <w:lang w:eastAsia="en-AU"/>
        </w:rPr>
        <w:t xml:space="preserve">. C:N ratios below this line </w:t>
      </w:r>
      <w:r w:rsidR="00D15580" w:rsidRPr="00E93489">
        <w:rPr>
          <w:i/>
          <w:color w:val="000000"/>
        </w:rPr>
        <w:t>indicate reduced light availability and/or N enrichment</w:t>
      </w:r>
      <w:r w:rsidR="00D15580" w:rsidRPr="00E93489">
        <w:rPr>
          <w:i/>
          <w:color w:val="000000"/>
          <w:lang w:eastAsia="en-AU"/>
        </w:rPr>
        <w:t xml:space="preserve">. </w:t>
      </w:r>
    </w:p>
    <w:p w14:paraId="60A33111" w14:textId="77777777" w:rsidR="000C1447" w:rsidRDefault="00AA7BCE" w:rsidP="000C1447">
      <w:pPr>
        <w:jc w:val="center"/>
        <w:rPr>
          <w:rFonts w:cs="TimesNewRoman,Italic"/>
          <w:iCs/>
          <w:color w:val="000000"/>
          <w:szCs w:val="22"/>
        </w:rPr>
      </w:pPr>
      <w:r>
        <w:rPr>
          <w:rFonts w:cs="TimesNewRoman,Italic"/>
          <w:iCs/>
          <w:noProof/>
          <w:color w:val="000000"/>
          <w:szCs w:val="22"/>
          <w:lang w:eastAsia="en-AU"/>
        </w:rPr>
        <w:drawing>
          <wp:inline distT="0" distB="0" distL="0" distR="0" wp14:anchorId="35DED36C" wp14:editId="3DFDF1D5">
            <wp:extent cx="5039809" cy="2970000"/>
            <wp:effectExtent l="0" t="0" r="8890" b="1905"/>
            <wp:docPr id="312" name="Picture 312" descr="Set of six scatter plots with straight lines and markers showing  elemental ratios (atomic) of seagrass leaf tissue C:P and N:P for the foundation species in inshore seagrass habitats in the Wet Tropics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WT_CNP_yr_Dec16.png"/>
                    <pic:cNvPicPr/>
                  </pic:nvPicPr>
                  <pic:blipFill>
                    <a:blip r:embed="rId99">
                      <a:extLst>
                        <a:ext uri="{28A0092B-C50C-407E-A947-70E740481C1C}">
                          <a14:useLocalDpi xmlns:a14="http://schemas.microsoft.com/office/drawing/2010/main" val="0"/>
                        </a:ext>
                      </a:extLst>
                    </a:blip>
                    <a:stretch>
                      <a:fillRect/>
                    </a:stretch>
                  </pic:blipFill>
                  <pic:spPr>
                    <a:xfrm>
                      <a:off x="0" y="0"/>
                      <a:ext cx="5039809" cy="2970000"/>
                    </a:xfrm>
                    <a:prstGeom prst="rect">
                      <a:avLst/>
                    </a:prstGeom>
                  </pic:spPr>
                </pic:pic>
              </a:graphicData>
            </a:graphic>
          </wp:inline>
        </w:drawing>
      </w:r>
    </w:p>
    <w:p w14:paraId="11CFFED0" w14:textId="77777777" w:rsidR="0015251F" w:rsidRPr="00941B89" w:rsidRDefault="005132EF" w:rsidP="0015251F">
      <w:pPr>
        <w:rPr>
          <w:i/>
          <w:iCs/>
          <w:vanish/>
          <w:szCs w:val="22"/>
          <w:lang w:eastAsia="en-AU"/>
          <w:specVanish/>
        </w:rPr>
      </w:pPr>
      <w:bookmarkStart w:id="348" w:name="_Ref237498756"/>
      <w:bookmarkStart w:id="349" w:name="_Toc431493847"/>
      <w:bookmarkStart w:id="350" w:name="_Toc516053271"/>
      <w:bookmarkEnd w:id="343"/>
      <w:bookmarkEnd w:id="344"/>
      <w:r w:rsidRPr="00E93489">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61</w:t>
      </w:r>
      <w:r w:rsidR="0073595B">
        <w:rPr>
          <w:color w:val="000000"/>
          <w:szCs w:val="22"/>
        </w:rPr>
        <w:fldChar w:fldCharType="end"/>
      </w:r>
      <w:bookmarkEnd w:id="348"/>
      <w:r w:rsidRPr="00E93489">
        <w:rPr>
          <w:color w:val="000000"/>
          <w:szCs w:val="22"/>
        </w:rPr>
        <w:t xml:space="preserve">. </w:t>
      </w:r>
      <w:r w:rsidRPr="00E93489">
        <w:rPr>
          <w:i/>
          <w:iCs/>
          <w:color w:val="000000"/>
          <w:szCs w:val="22"/>
          <w:lang w:eastAsia="en-AU"/>
        </w:rPr>
        <w:t xml:space="preserve">Elemental ratios (atomic) of seagrass leaf tissue N:P and C:P </w:t>
      </w:r>
      <w:r w:rsidRPr="00E93489">
        <w:rPr>
          <w:i/>
          <w:iCs/>
          <w:color w:val="000000"/>
          <w:szCs w:val="22"/>
        </w:rPr>
        <w:t xml:space="preserve">for the foundation seagrass species </w:t>
      </w:r>
      <w:r w:rsidR="00CC60D9" w:rsidRPr="00E93489">
        <w:rPr>
          <w:i/>
          <w:color w:val="000000"/>
        </w:rPr>
        <w:t>examined at each inshore habitat in the Wet Tropics region</w:t>
      </w:r>
      <w:bookmarkEnd w:id="349"/>
      <w:bookmarkEnd w:id="350"/>
      <w:r w:rsidR="0015251F" w:rsidRPr="00941B89">
        <w:rPr>
          <w:i/>
          <w:lang w:eastAsia="en-AU"/>
        </w:rPr>
        <w:t xml:space="preserve"> </w:t>
      </w:r>
    </w:p>
    <w:p w14:paraId="23D2C9B9" w14:textId="71BA2A7A" w:rsidR="00CC60D9" w:rsidRPr="009C7692" w:rsidRDefault="0015251F" w:rsidP="0015251F">
      <w:pPr>
        <w:rPr>
          <w:i/>
          <w:iCs/>
          <w:vanish/>
          <w:color w:val="000000"/>
          <w:szCs w:val="22"/>
          <w:lang w:eastAsia="en-AU"/>
        </w:rPr>
      </w:pPr>
      <w:r w:rsidRPr="00941B89">
        <w:rPr>
          <w:i/>
          <w:lang w:eastAsia="en-AU"/>
        </w:rPr>
        <w:t xml:space="preserve"> </w:t>
      </w:r>
      <w:r w:rsidR="005132EF" w:rsidRPr="00E93489">
        <w:rPr>
          <w:i/>
          <w:iCs/>
          <w:color w:val="000000"/>
          <w:szCs w:val="22"/>
          <w:lang w:eastAsia="en-AU"/>
        </w:rPr>
        <w:t>(species pooled) (</w:t>
      </w:r>
      <w:r w:rsidR="005132EF" w:rsidRPr="00E93489">
        <w:rPr>
          <w:i/>
          <w:iCs/>
          <w:color w:val="000000"/>
          <w:szCs w:val="22"/>
        </w:rPr>
        <w:t>mean</w:t>
      </w:r>
      <w:r w:rsidR="005132EF" w:rsidRPr="00E93489">
        <w:rPr>
          <w:i/>
          <w:iCs/>
          <w:color w:val="000000"/>
          <w:szCs w:val="22"/>
          <w:lang w:eastAsia="en-AU"/>
        </w:rPr>
        <w:t xml:space="preserve"> ± </w:t>
      </w:r>
      <w:r w:rsidR="009C7692">
        <w:rPr>
          <w:i/>
          <w:iCs/>
          <w:color w:val="000000"/>
          <w:szCs w:val="22"/>
          <w:lang w:eastAsia="en-AU"/>
        </w:rPr>
        <w:t>SE</w:t>
      </w:r>
      <w:r w:rsidR="005132EF" w:rsidRPr="00E93489">
        <w:rPr>
          <w:i/>
          <w:iCs/>
          <w:color w:val="000000"/>
          <w:szCs w:val="22"/>
          <w:lang w:eastAsia="en-AU"/>
        </w:rPr>
        <w:t>). Horizontal shaded band on the N:P ratio panel represents the range of value associated with N:P balance rat</w:t>
      </w:r>
      <w:r w:rsidR="00E6374C">
        <w:rPr>
          <w:i/>
          <w:iCs/>
          <w:color w:val="000000"/>
          <w:szCs w:val="22"/>
          <w:lang w:eastAsia="en-AU"/>
        </w:rPr>
        <w:t>io in the plant tissues</w:t>
      </w:r>
      <w:r w:rsidR="005132EF" w:rsidRPr="00E93489">
        <w:rPr>
          <w:i/>
          <w:iCs/>
          <w:color w:val="000000"/>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CC60D9" w:rsidRPr="00E93489">
        <w:rPr>
          <w:color w:val="000000"/>
          <w:lang w:val="en-GB"/>
        </w:rPr>
        <w:t xml:space="preserve"> </w:t>
      </w:r>
    </w:p>
    <w:p w14:paraId="1F0625E1" w14:textId="77777777" w:rsidR="00F36F8B" w:rsidRDefault="00F36F8B" w:rsidP="00F36F8B"/>
    <w:p w14:paraId="2E32DC08" w14:textId="77777777" w:rsidR="00F36F8B" w:rsidRPr="001D05D4" w:rsidRDefault="00F36F8B" w:rsidP="00F36F8B">
      <w:pPr>
        <w:pStyle w:val="Heading4"/>
        <w:numPr>
          <w:ilvl w:val="0"/>
          <w:numId w:val="0"/>
        </w:numPr>
        <w:rPr>
          <w:rFonts w:ascii="Arial" w:hAnsi="Arial" w:cs="Arial"/>
          <w:sz w:val="24"/>
          <w:szCs w:val="24"/>
        </w:rPr>
      </w:pPr>
      <w:r>
        <w:rPr>
          <w:rFonts w:ascii="Arial" w:hAnsi="Arial" w:cs="Arial"/>
          <w:sz w:val="24"/>
          <w:szCs w:val="24"/>
        </w:rPr>
        <w:t>Seagrass meadow sediments</w:t>
      </w:r>
    </w:p>
    <w:p w14:paraId="702FDBE5" w14:textId="18DF207B" w:rsidR="00F36F8B" w:rsidRPr="00080816" w:rsidRDefault="00F36F8B" w:rsidP="00F36F8B">
      <w:pPr>
        <w:rPr>
          <w:szCs w:val="22"/>
          <w:lang w:val="en-GB"/>
        </w:rPr>
      </w:pPr>
      <w:r w:rsidRPr="00080816">
        <w:rPr>
          <w:szCs w:val="22"/>
          <w:lang w:val="en-GB"/>
        </w:rPr>
        <w:t xml:space="preserve">In the Wet Tropics NRM region, coastal sediments were composed primarily of fine sand, while reef habitats were composed of sand and coarser sediments; although finer sediments have been observed on occasion during 2012 and 2013 (Appendix </w:t>
      </w:r>
      <w:r>
        <w:rPr>
          <w:szCs w:val="22"/>
          <w:lang w:val="en-GB"/>
        </w:rPr>
        <w:fldChar w:fldCharType="begin"/>
      </w:r>
      <w:r>
        <w:rPr>
          <w:szCs w:val="22"/>
          <w:lang w:val="en-GB"/>
        </w:rPr>
        <w:instrText xml:space="preserve"> REF _Ref511131212 \r \h </w:instrText>
      </w:r>
      <w:r>
        <w:rPr>
          <w:szCs w:val="22"/>
          <w:lang w:val="en-GB"/>
        </w:rPr>
      </w:r>
      <w:r>
        <w:rPr>
          <w:szCs w:val="22"/>
          <w:lang w:val="en-GB"/>
        </w:rPr>
        <w:fldChar w:fldCharType="separate"/>
      </w:r>
      <w:r w:rsidR="00F87DF9">
        <w:rPr>
          <w:szCs w:val="22"/>
          <w:lang w:val="en-GB"/>
        </w:rPr>
        <w:t>A4.2.2</w:t>
      </w:r>
      <w:r>
        <w:rPr>
          <w:szCs w:val="22"/>
          <w:lang w:val="en-GB"/>
        </w:rPr>
        <w:fldChar w:fldCharType="end"/>
      </w:r>
      <w:r w:rsidRPr="00080816">
        <w:rPr>
          <w:szCs w:val="22"/>
          <w:lang w:val="en-GB"/>
        </w:rPr>
        <w:t xml:space="preserve">). In </w:t>
      </w:r>
      <w:r w:rsidR="008574EC">
        <w:rPr>
          <w:szCs w:val="22"/>
          <w:lang w:val="en-GB"/>
        </w:rPr>
        <w:t>2016–17</w:t>
      </w:r>
      <w:r w:rsidRPr="00080816">
        <w:rPr>
          <w:szCs w:val="22"/>
          <w:lang w:val="en-GB"/>
        </w:rPr>
        <w:t xml:space="preserve">, sediments appeared similar to the long-term and the proportion of fine sediments (i.e. mud) was well below the </w:t>
      </w:r>
      <w:r w:rsidR="007F6948">
        <w:rPr>
          <w:szCs w:val="22"/>
          <w:lang w:val="en-GB"/>
        </w:rPr>
        <w:t>Great Barrier Reef</w:t>
      </w:r>
      <w:r w:rsidRPr="00080816">
        <w:rPr>
          <w:szCs w:val="22"/>
          <w:lang w:val="en-GB"/>
        </w:rPr>
        <w:t xml:space="preserve"> long-term average</w:t>
      </w:r>
      <w:r>
        <w:rPr>
          <w:szCs w:val="22"/>
          <w:lang w:val="en-GB"/>
        </w:rPr>
        <w:t xml:space="preserve"> (</w:t>
      </w:r>
      <w:r>
        <w:rPr>
          <w:szCs w:val="22"/>
          <w:lang w:val="en-GB"/>
        </w:rPr>
        <w:fldChar w:fldCharType="begin"/>
      </w:r>
      <w:r>
        <w:rPr>
          <w:szCs w:val="22"/>
          <w:lang w:val="en-GB"/>
        </w:rPr>
        <w:instrText xml:space="preserve"> REF _Ref511131260 \h </w:instrText>
      </w:r>
      <w:r>
        <w:rPr>
          <w:szCs w:val="22"/>
          <w:lang w:val="en-GB"/>
        </w:rPr>
      </w:r>
      <w:r>
        <w:rPr>
          <w:szCs w:val="22"/>
          <w:lang w:val="en-GB"/>
        </w:rPr>
        <w:fldChar w:fldCharType="separate"/>
      </w:r>
      <w:r w:rsidR="00F87DF9">
        <w:t xml:space="preserve">Figure </w:t>
      </w:r>
      <w:r w:rsidR="00F87DF9">
        <w:rPr>
          <w:noProof/>
        </w:rPr>
        <w:t>170</w:t>
      </w:r>
      <w:r>
        <w:rPr>
          <w:szCs w:val="22"/>
          <w:lang w:val="en-GB"/>
        </w:rPr>
        <w:fldChar w:fldCharType="end"/>
      </w:r>
      <w:r>
        <w:rPr>
          <w:szCs w:val="22"/>
          <w:lang w:val="en-GB"/>
        </w:rPr>
        <w:t xml:space="preserve">, </w:t>
      </w:r>
      <w:r>
        <w:rPr>
          <w:szCs w:val="22"/>
          <w:lang w:val="en-GB"/>
        </w:rPr>
        <w:fldChar w:fldCharType="begin"/>
      </w:r>
      <w:r>
        <w:rPr>
          <w:szCs w:val="22"/>
          <w:lang w:val="en-GB"/>
        </w:rPr>
        <w:instrText xml:space="preserve"> REF _Ref511131261 \h </w:instrText>
      </w:r>
      <w:r>
        <w:rPr>
          <w:szCs w:val="22"/>
          <w:lang w:val="en-GB"/>
        </w:rPr>
      </w:r>
      <w:r>
        <w:rPr>
          <w:szCs w:val="22"/>
          <w:lang w:val="en-GB"/>
        </w:rPr>
        <w:fldChar w:fldCharType="separate"/>
      </w:r>
      <w:r w:rsidR="00F87DF9">
        <w:t xml:space="preserve">Figure </w:t>
      </w:r>
      <w:r w:rsidR="00F87DF9">
        <w:rPr>
          <w:noProof/>
        </w:rPr>
        <w:t>171</w:t>
      </w:r>
      <w:r>
        <w:rPr>
          <w:szCs w:val="22"/>
          <w:lang w:val="en-GB"/>
        </w:rPr>
        <w:fldChar w:fldCharType="end"/>
      </w:r>
      <w:r>
        <w:rPr>
          <w:szCs w:val="22"/>
          <w:lang w:val="en-GB"/>
        </w:rPr>
        <w:t xml:space="preserve">, </w:t>
      </w:r>
      <w:r>
        <w:rPr>
          <w:szCs w:val="22"/>
          <w:lang w:val="en-GB"/>
        </w:rPr>
        <w:fldChar w:fldCharType="begin"/>
      </w:r>
      <w:r>
        <w:rPr>
          <w:szCs w:val="22"/>
          <w:lang w:val="en-GB"/>
        </w:rPr>
        <w:instrText xml:space="preserve"> REF _Ref511131267 \h </w:instrText>
      </w:r>
      <w:r>
        <w:rPr>
          <w:szCs w:val="22"/>
          <w:lang w:val="en-GB"/>
        </w:rPr>
      </w:r>
      <w:r>
        <w:rPr>
          <w:szCs w:val="22"/>
          <w:lang w:val="en-GB"/>
        </w:rPr>
        <w:fldChar w:fldCharType="separate"/>
      </w:r>
      <w:r w:rsidR="00F87DF9">
        <w:t xml:space="preserve">Figure </w:t>
      </w:r>
      <w:r w:rsidR="00F87DF9">
        <w:rPr>
          <w:noProof/>
        </w:rPr>
        <w:t>172</w:t>
      </w:r>
      <w:r>
        <w:rPr>
          <w:szCs w:val="22"/>
          <w:lang w:val="en-GB"/>
        </w:rPr>
        <w:fldChar w:fldCharType="end"/>
      </w:r>
      <w:r>
        <w:rPr>
          <w:szCs w:val="22"/>
          <w:lang w:val="en-GB"/>
        </w:rPr>
        <w:t>)</w:t>
      </w:r>
      <w:r w:rsidRPr="00080816">
        <w:rPr>
          <w:szCs w:val="22"/>
          <w:lang w:val="en-GB"/>
        </w:rPr>
        <w:t>.</w:t>
      </w:r>
    </w:p>
    <w:p w14:paraId="43A1F520" w14:textId="40C6948F" w:rsidR="00F36F8B" w:rsidRDefault="00F36F8B" w:rsidP="00CC60D9">
      <w:pPr>
        <w:rPr>
          <w:color w:val="000000"/>
          <w:lang w:val="en-GB"/>
        </w:rPr>
      </w:pPr>
    </w:p>
    <w:p w14:paraId="1D3E05B9" w14:textId="77777777" w:rsidR="00F36F8B" w:rsidRDefault="00F36F8B" w:rsidP="00CC60D9">
      <w:pPr>
        <w:rPr>
          <w:color w:val="000000"/>
          <w:lang w:val="en-GB"/>
        </w:rPr>
      </w:pPr>
    </w:p>
    <w:p w14:paraId="76436CD4" w14:textId="77777777" w:rsidR="005132EF" w:rsidRPr="004F2236" w:rsidRDefault="005132EF" w:rsidP="004F2236">
      <w:pPr>
        <w:pStyle w:val="Heading4"/>
        <w:numPr>
          <w:ilvl w:val="0"/>
          <w:numId w:val="0"/>
        </w:numPr>
        <w:rPr>
          <w:rFonts w:ascii="Arial" w:hAnsi="Arial" w:cs="Arial"/>
          <w:sz w:val="24"/>
          <w:szCs w:val="24"/>
        </w:rPr>
      </w:pPr>
      <w:bookmarkStart w:id="351" w:name="_Toc232845914"/>
      <w:bookmarkStart w:id="352" w:name="_Toc184101989"/>
      <w:r w:rsidRPr="004F2236">
        <w:rPr>
          <w:rFonts w:ascii="Arial" w:hAnsi="Arial" w:cs="Arial"/>
          <w:sz w:val="24"/>
          <w:szCs w:val="24"/>
        </w:rPr>
        <w:t>Epiphytes and macroalgae</w:t>
      </w:r>
      <w:bookmarkEnd w:id="351"/>
      <w:bookmarkEnd w:id="352"/>
    </w:p>
    <w:p w14:paraId="13B2E50C" w14:textId="144AE9F6" w:rsidR="00621CD4" w:rsidRDefault="00621CD4" w:rsidP="00621CD4">
      <w:pPr>
        <w:rPr>
          <w:color w:val="000000" w:themeColor="text1"/>
          <w:szCs w:val="22"/>
          <w:lang w:val="en-US"/>
        </w:rPr>
      </w:pPr>
      <w:r w:rsidRPr="00AB04B5">
        <w:rPr>
          <w:color w:val="000000" w:themeColor="text1"/>
          <w:szCs w:val="22"/>
          <w:lang w:val="en-US"/>
        </w:rPr>
        <w:t>Epiphyte cover on seagrass le</w:t>
      </w:r>
      <w:r w:rsidR="004A743E" w:rsidRPr="00AB04B5">
        <w:rPr>
          <w:color w:val="000000" w:themeColor="text1"/>
          <w:szCs w:val="22"/>
          <w:lang w:val="en-US"/>
        </w:rPr>
        <w:t xml:space="preserve">af blades </w:t>
      </w:r>
      <w:r w:rsidR="007E47D7" w:rsidRPr="00AB04B5">
        <w:rPr>
          <w:color w:val="000000" w:themeColor="text1"/>
          <w:szCs w:val="22"/>
          <w:lang w:val="en-US"/>
        </w:rPr>
        <w:t>has</w:t>
      </w:r>
      <w:r w:rsidRPr="00AB04B5">
        <w:rPr>
          <w:color w:val="000000" w:themeColor="text1"/>
          <w:szCs w:val="22"/>
          <w:lang w:val="en-US"/>
        </w:rPr>
        <w:t xml:space="preserve"> </w:t>
      </w:r>
      <w:r w:rsidR="007E47D7" w:rsidRPr="00AB04B5">
        <w:rPr>
          <w:color w:val="000000" w:themeColor="text1"/>
          <w:szCs w:val="22"/>
          <w:lang w:val="en-US"/>
        </w:rPr>
        <w:t>historically</w:t>
      </w:r>
      <w:r w:rsidRPr="00AB04B5">
        <w:rPr>
          <w:color w:val="000000" w:themeColor="text1"/>
          <w:szCs w:val="22"/>
          <w:lang w:val="en-US"/>
        </w:rPr>
        <w:t xml:space="preserve"> </w:t>
      </w:r>
      <w:r w:rsidR="007E47D7" w:rsidRPr="00AB04B5">
        <w:rPr>
          <w:color w:val="000000" w:themeColor="text1"/>
          <w:szCs w:val="22"/>
          <w:lang w:val="en-US"/>
        </w:rPr>
        <w:t xml:space="preserve">been </w:t>
      </w:r>
      <w:r w:rsidRPr="00AB04B5">
        <w:rPr>
          <w:color w:val="000000" w:themeColor="text1"/>
          <w:szCs w:val="22"/>
          <w:lang w:val="en-US"/>
        </w:rPr>
        <w:t xml:space="preserve">higher in the wet season across all habitats in </w:t>
      </w:r>
      <w:r w:rsidR="001016B3" w:rsidRPr="00AB04B5">
        <w:rPr>
          <w:color w:val="000000" w:themeColor="text1"/>
          <w:szCs w:val="22"/>
          <w:lang w:val="en-US"/>
        </w:rPr>
        <w:t>the</w:t>
      </w:r>
      <w:r w:rsidRPr="00AB04B5">
        <w:rPr>
          <w:color w:val="000000" w:themeColor="text1"/>
          <w:szCs w:val="22"/>
          <w:lang w:val="en-US"/>
        </w:rPr>
        <w:t xml:space="preserve"> </w:t>
      </w:r>
      <w:r w:rsidR="00E143D7" w:rsidRPr="00AB04B5">
        <w:rPr>
          <w:color w:val="000000" w:themeColor="text1"/>
          <w:szCs w:val="22"/>
          <w:lang w:val="en-US"/>
        </w:rPr>
        <w:t xml:space="preserve">Wet </w:t>
      </w:r>
      <w:r w:rsidRPr="00AB04B5">
        <w:rPr>
          <w:color w:val="000000" w:themeColor="text1"/>
          <w:szCs w:val="22"/>
          <w:lang w:val="en-US"/>
        </w:rPr>
        <w:t>Tropics region (</w:t>
      </w:r>
      <w:r w:rsidRPr="00AB04B5">
        <w:rPr>
          <w:color w:val="000000" w:themeColor="text1"/>
          <w:szCs w:val="22"/>
          <w:lang w:val="en-US"/>
        </w:rPr>
        <w:fldChar w:fldCharType="begin"/>
      </w:r>
      <w:r w:rsidRPr="00AB04B5">
        <w:rPr>
          <w:color w:val="000000" w:themeColor="text1"/>
          <w:szCs w:val="22"/>
          <w:lang w:val="en-US"/>
        </w:rPr>
        <w:instrText xml:space="preserve"> REF _Ref380413215 \h </w:instrText>
      </w:r>
      <w:r w:rsidR="00015190" w:rsidRPr="00AB04B5">
        <w:rPr>
          <w:color w:val="000000" w:themeColor="text1"/>
          <w:szCs w:val="22"/>
          <w:lang w:val="en-US"/>
        </w:rPr>
        <w:instrText xml:space="preserve"> \* MERGEFORMAT </w:instrText>
      </w:r>
      <w:r w:rsidRPr="00AB04B5">
        <w:rPr>
          <w:color w:val="000000" w:themeColor="text1"/>
          <w:szCs w:val="22"/>
          <w:lang w:val="en-US"/>
        </w:rPr>
      </w:r>
      <w:r w:rsidRPr="00AB04B5">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62</w:t>
      </w:r>
      <w:r w:rsidRPr="00AB04B5">
        <w:rPr>
          <w:color w:val="000000" w:themeColor="text1"/>
          <w:szCs w:val="22"/>
          <w:lang w:val="en-US"/>
        </w:rPr>
        <w:fldChar w:fldCharType="end"/>
      </w:r>
      <w:r w:rsidRPr="00AB04B5">
        <w:rPr>
          <w:color w:val="000000" w:themeColor="text1"/>
          <w:szCs w:val="22"/>
          <w:lang w:val="en-US"/>
        </w:rPr>
        <w:t>)</w:t>
      </w:r>
      <w:r w:rsidR="007E47D7" w:rsidRPr="00AB04B5">
        <w:rPr>
          <w:color w:val="000000" w:themeColor="text1"/>
          <w:szCs w:val="22"/>
          <w:lang w:val="en-US"/>
        </w:rPr>
        <w:t xml:space="preserve">; however, in </w:t>
      </w:r>
      <w:r w:rsidR="008574EC">
        <w:rPr>
          <w:color w:val="000000" w:themeColor="text1"/>
          <w:szCs w:val="22"/>
          <w:lang w:val="en-US"/>
        </w:rPr>
        <w:t>2016–17</w:t>
      </w:r>
      <w:r w:rsidR="007E47D7" w:rsidRPr="00AB04B5">
        <w:rPr>
          <w:color w:val="000000" w:themeColor="text1"/>
          <w:szCs w:val="22"/>
          <w:lang w:val="en-US"/>
        </w:rPr>
        <w:t xml:space="preserve"> epiphyte loads were reduced in the wet season at reef subtidal and </w:t>
      </w:r>
      <w:r w:rsidR="00DD3003" w:rsidRPr="00AB04B5">
        <w:rPr>
          <w:color w:val="000000" w:themeColor="text1"/>
          <w:szCs w:val="22"/>
          <w:lang w:val="en-US"/>
        </w:rPr>
        <w:t>intertidal</w:t>
      </w:r>
      <w:r w:rsidR="007E47D7" w:rsidRPr="00AB04B5">
        <w:rPr>
          <w:color w:val="000000" w:themeColor="text1"/>
          <w:szCs w:val="22"/>
          <w:lang w:val="en-US"/>
        </w:rPr>
        <w:t xml:space="preserve"> habitats</w:t>
      </w:r>
      <w:r w:rsidRPr="00AB04B5">
        <w:rPr>
          <w:color w:val="000000" w:themeColor="text1"/>
          <w:szCs w:val="22"/>
          <w:lang w:val="en-US"/>
        </w:rPr>
        <w:t xml:space="preserve">. </w:t>
      </w:r>
      <w:r w:rsidR="001016B3" w:rsidRPr="00AB04B5">
        <w:rPr>
          <w:color w:val="000000" w:themeColor="text1"/>
          <w:szCs w:val="22"/>
          <w:lang w:val="en-US"/>
        </w:rPr>
        <w:t xml:space="preserve">Epiphyte abundance varied </w:t>
      </w:r>
      <w:r w:rsidR="009B1019" w:rsidRPr="00AB04B5">
        <w:rPr>
          <w:color w:val="000000" w:themeColor="text1"/>
          <w:szCs w:val="22"/>
          <w:lang w:val="en-US"/>
        </w:rPr>
        <w:t xml:space="preserve">little </w:t>
      </w:r>
      <w:r w:rsidR="001016B3" w:rsidRPr="00AB04B5">
        <w:rPr>
          <w:color w:val="000000" w:themeColor="text1"/>
          <w:szCs w:val="22"/>
          <w:lang w:val="en-US"/>
        </w:rPr>
        <w:t xml:space="preserve">across </w:t>
      </w:r>
      <w:r w:rsidR="009B1019" w:rsidRPr="00AB04B5">
        <w:rPr>
          <w:color w:val="000000" w:themeColor="text1"/>
          <w:szCs w:val="22"/>
          <w:lang w:val="en-US"/>
        </w:rPr>
        <w:t xml:space="preserve">reef </w:t>
      </w:r>
      <w:r w:rsidR="009C69A5" w:rsidRPr="00AB04B5">
        <w:rPr>
          <w:color w:val="000000" w:themeColor="text1"/>
          <w:szCs w:val="22"/>
          <w:lang w:val="en-US"/>
        </w:rPr>
        <w:t xml:space="preserve">habitats and </w:t>
      </w:r>
      <w:r w:rsidR="001016B3" w:rsidRPr="00AB04B5">
        <w:rPr>
          <w:color w:val="000000" w:themeColor="text1"/>
          <w:szCs w:val="22"/>
          <w:lang w:val="en-US"/>
        </w:rPr>
        <w:t>locations</w:t>
      </w:r>
      <w:r w:rsidR="007E47D7" w:rsidRPr="00AB04B5">
        <w:rPr>
          <w:color w:val="000000" w:themeColor="text1"/>
          <w:szCs w:val="22"/>
          <w:lang w:val="en-US"/>
        </w:rPr>
        <w:t xml:space="preserve"> in </w:t>
      </w:r>
      <w:r w:rsidR="009B1019" w:rsidRPr="00AB04B5">
        <w:rPr>
          <w:color w:val="000000" w:themeColor="text1"/>
          <w:szCs w:val="22"/>
          <w:lang w:val="en-US"/>
        </w:rPr>
        <w:t xml:space="preserve">the past two years and remain similar to the </w:t>
      </w:r>
      <w:r w:rsidR="007F6948">
        <w:rPr>
          <w:color w:val="000000" w:themeColor="text1"/>
          <w:szCs w:val="22"/>
          <w:lang w:val="en-US"/>
        </w:rPr>
        <w:t>Great Barrier Reef</w:t>
      </w:r>
      <w:r w:rsidR="009B1019" w:rsidRPr="00AB04B5">
        <w:rPr>
          <w:color w:val="000000" w:themeColor="text1"/>
          <w:szCs w:val="22"/>
          <w:lang w:val="en-US"/>
        </w:rPr>
        <w:t>-wide average</w:t>
      </w:r>
      <w:r w:rsidR="001016B3" w:rsidRPr="00AB04B5">
        <w:rPr>
          <w:color w:val="000000" w:themeColor="text1"/>
          <w:szCs w:val="22"/>
          <w:lang w:val="en-US"/>
        </w:rPr>
        <w:t xml:space="preserve">, </w:t>
      </w:r>
      <w:r w:rsidR="009C69A5" w:rsidRPr="00AB04B5">
        <w:rPr>
          <w:color w:val="000000" w:themeColor="text1"/>
          <w:szCs w:val="22"/>
          <w:lang w:val="en-US"/>
        </w:rPr>
        <w:t xml:space="preserve">but </w:t>
      </w:r>
      <w:r w:rsidR="009B1019" w:rsidRPr="00AB04B5">
        <w:rPr>
          <w:color w:val="000000" w:themeColor="text1"/>
          <w:szCs w:val="22"/>
          <w:lang w:val="en-US"/>
        </w:rPr>
        <w:t xml:space="preserve">epiphytes vary greatly </w:t>
      </w:r>
      <w:r w:rsidR="009C69A5" w:rsidRPr="00AB04B5">
        <w:rPr>
          <w:color w:val="000000" w:themeColor="text1"/>
          <w:szCs w:val="22"/>
          <w:lang w:val="en-US"/>
        </w:rPr>
        <w:t xml:space="preserve">at </w:t>
      </w:r>
      <w:r w:rsidR="00F523BC" w:rsidRPr="00AB04B5">
        <w:rPr>
          <w:color w:val="000000" w:themeColor="text1"/>
          <w:szCs w:val="22"/>
          <w:lang w:val="en-US"/>
        </w:rPr>
        <w:t xml:space="preserve">reef </w:t>
      </w:r>
      <w:r w:rsidR="009B1019" w:rsidRPr="00AB04B5">
        <w:rPr>
          <w:color w:val="000000" w:themeColor="text1"/>
          <w:szCs w:val="22"/>
          <w:lang w:val="en-US"/>
        </w:rPr>
        <w:t xml:space="preserve">subtidal </w:t>
      </w:r>
      <w:r w:rsidR="00F523BC" w:rsidRPr="00AB04B5">
        <w:rPr>
          <w:color w:val="000000" w:themeColor="text1"/>
          <w:szCs w:val="22"/>
          <w:lang w:val="en-US"/>
        </w:rPr>
        <w:t xml:space="preserve">habitats, </w:t>
      </w:r>
      <w:r w:rsidR="00F523BC" w:rsidRPr="004F46CD">
        <w:rPr>
          <w:color w:val="000000" w:themeColor="text1"/>
          <w:szCs w:val="22"/>
          <w:lang w:val="en-US"/>
        </w:rPr>
        <w:t xml:space="preserve">in particular </w:t>
      </w:r>
      <w:r w:rsidR="00AB04B5" w:rsidRPr="004F46CD">
        <w:rPr>
          <w:color w:val="000000" w:themeColor="text1"/>
          <w:szCs w:val="22"/>
          <w:lang w:val="en-US"/>
        </w:rPr>
        <w:t xml:space="preserve">at </w:t>
      </w:r>
      <w:r w:rsidR="00E143D7" w:rsidRPr="004F46CD">
        <w:rPr>
          <w:color w:val="000000" w:themeColor="text1"/>
          <w:szCs w:val="22"/>
          <w:lang w:val="en-US"/>
        </w:rPr>
        <w:t>Green Island</w:t>
      </w:r>
      <w:r w:rsidR="009C69A5" w:rsidRPr="004F46CD">
        <w:rPr>
          <w:color w:val="000000" w:themeColor="text1"/>
          <w:szCs w:val="22"/>
          <w:lang w:val="en-US"/>
        </w:rPr>
        <w:t xml:space="preserve"> and </w:t>
      </w:r>
      <w:r w:rsidR="009B1019" w:rsidRPr="004F46CD">
        <w:rPr>
          <w:color w:val="000000" w:themeColor="text1"/>
          <w:szCs w:val="22"/>
          <w:lang w:val="en-US"/>
        </w:rPr>
        <w:t>Dunk Island</w:t>
      </w:r>
      <w:r w:rsidR="00F80777" w:rsidRPr="004F46CD">
        <w:rPr>
          <w:color w:val="000000" w:themeColor="text1"/>
          <w:szCs w:val="22"/>
          <w:lang w:val="en-US"/>
        </w:rPr>
        <w:t xml:space="preserve"> </w:t>
      </w:r>
      <w:r w:rsidR="00F80777" w:rsidRPr="00AB04B5">
        <w:rPr>
          <w:color w:val="000000" w:themeColor="text1"/>
          <w:szCs w:val="22"/>
          <w:lang w:val="en-US"/>
        </w:rPr>
        <w:t xml:space="preserve">(Appendix </w:t>
      </w:r>
      <w:r w:rsidR="002F7814">
        <w:rPr>
          <w:color w:val="000000" w:themeColor="text1"/>
          <w:szCs w:val="22"/>
          <w:lang w:val="en-US"/>
        </w:rPr>
        <w:fldChar w:fldCharType="begin"/>
      </w:r>
      <w:r w:rsidR="002F7814">
        <w:rPr>
          <w:color w:val="000000" w:themeColor="text1"/>
          <w:szCs w:val="22"/>
          <w:lang w:val="en-US"/>
        </w:rPr>
        <w:instrText xml:space="preserve"> REF _Ref511388718 \r \h </w:instrText>
      </w:r>
      <w:r w:rsidR="002F7814">
        <w:rPr>
          <w:color w:val="000000" w:themeColor="text1"/>
          <w:szCs w:val="22"/>
          <w:lang w:val="en-US"/>
        </w:rPr>
      </w:r>
      <w:r w:rsidR="002F7814">
        <w:rPr>
          <w:color w:val="000000" w:themeColor="text1"/>
          <w:szCs w:val="22"/>
          <w:lang w:val="en-US"/>
        </w:rPr>
        <w:fldChar w:fldCharType="separate"/>
      </w:r>
      <w:r w:rsidR="00F87DF9">
        <w:rPr>
          <w:color w:val="000000" w:themeColor="text1"/>
          <w:szCs w:val="22"/>
          <w:lang w:val="en-US"/>
        </w:rPr>
        <w:t>A4.2.3</w:t>
      </w:r>
      <w:r w:rsidR="002F7814">
        <w:rPr>
          <w:color w:val="000000" w:themeColor="text1"/>
          <w:szCs w:val="22"/>
          <w:lang w:val="en-US"/>
        </w:rPr>
        <w:fldChar w:fldCharType="end"/>
      </w:r>
      <w:r w:rsidR="00F80777" w:rsidRPr="00AB04B5">
        <w:rPr>
          <w:color w:val="000000" w:themeColor="text1"/>
          <w:szCs w:val="22"/>
          <w:lang w:val="en-US"/>
        </w:rPr>
        <w:t xml:space="preserve">, </w:t>
      </w:r>
      <w:r w:rsidR="00F80777" w:rsidRPr="00AB04B5">
        <w:rPr>
          <w:color w:val="000000" w:themeColor="text1"/>
          <w:szCs w:val="22"/>
          <w:lang w:val="en-US"/>
        </w:rPr>
        <w:fldChar w:fldCharType="begin"/>
      </w:r>
      <w:r w:rsidR="00F80777" w:rsidRPr="00AB04B5">
        <w:rPr>
          <w:color w:val="000000" w:themeColor="text1"/>
          <w:szCs w:val="22"/>
          <w:lang w:val="en-US"/>
        </w:rPr>
        <w:instrText xml:space="preserve"> REF _Ref211846521 \h  \* MERGEFORMAT </w:instrText>
      </w:r>
      <w:r w:rsidR="00F80777" w:rsidRPr="00AB04B5">
        <w:rPr>
          <w:color w:val="000000" w:themeColor="text1"/>
          <w:szCs w:val="22"/>
          <w:lang w:val="en-US"/>
        </w:rPr>
      </w:r>
      <w:r w:rsidR="00F80777" w:rsidRPr="00AB04B5">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186</w:t>
      </w:r>
      <w:r w:rsidR="00F80777" w:rsidRPr="00AB04B5">
        <w:rPr>
          <w:color w:val="000000" w:themeColor="text1"/>
          <w:szCs w:val="22"/>
          <w:lang w:val="en-US"/>
        </w:rPr>
        <w:fldChar w:fldCharType="end"/>
      </w:r>
      <w:r w:rsidR="00F80777" w:rsidRPr="00AB04B5">
        <w:rPr>
          <w:color w:val="000000" w:themeColor="text1"/>
          <w:szCs w:val="22"/>
          <w:lang w:val="en-US"/>
        </w:rPr>
        <w:t xml:space="preserve">, </w:t>
      </w:r>
      <w:r w:rsidR="00F80777" w:rsidRPr="00AB04B5">
        <w:rPr>
          <w:color w:val="000000" w:themeColor="text1"/>
          <w:szCs w:val="22"/>
          <w:lang w:val="en-US"/>
        </w:rPr>
        <w:fldChar w:fldCharType="begin"/>
      </w:r>
      <w:r w:rsidR="00F80777" w:rsidRPr="00AB04B5">
        <w:rPr>
          <w:color w:val="000000" w:themeColor="text1"/>
          <w:szCs w:val="22"/>
          <w:lang w:val="en-US"/>
        </w:rPr>
        <w:instrText xml:space="preserve"> REF _Ref211846231 \h  \* MERGEFORMAT </w:instrText>
      </w:r>
      <w:r w:rsidR="00F80777" w:rsidRPr="00AB04B5">
        <w:rPr>
          <w:color w:val="000000" w:themeColor="text1"/>
          <w:szCs w:val="22"/>
          <w:lang w:val="en-US"/>
        </w:rPr>
      </w:r>
      <w:r w:rsidR="00F80777" w:rsidRPr="00AB04B5">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187</w:t>
      </w:r>
      <w:r w:rsidR="00F80777" w:rsidRPr="00AB04B5">
        <w:rPr>
          <w:color w:val="000000" w:themeColor="text1"/>
          <w:szCs w:val="22"/>
          <w:lang w:val="en-US"/>
        </w:rPr>
        <w:fldChar w:fldCharType="end"/>
      </w:r>
      <w:r w:rsidR="00F80777" w:rsidRPr="00AB04B5">
        <w:rPr>
          <w:color w:val="000000" w:themeColor="text1"/>
          <w:szCs w:val="22"/>
          <w:lang w:val="en-US"/>
        </w:rPr>
        <w:t>,</w:t>
      </w:r>
      <w:r w:rsidR="00853091" w:rsidRPr="00AB04B5">
        <w:rPr>
          <w:color w:val="000000" w:themeColor="text1"/>
          <w:szCs w:val="22"/>
          <w:lang w:val="en-US"/>
        </w:rPr>
        <w:t xml:space="preserve"> </w:t>
      </w:r>
      <w:r w:rsidR="00F80777" w:rsidRPr="00AB04B5">
        <w:rPr>
          <w:color w:val="000000" w:themeColor="text1"/>
          <w:szCs w:val="22"/>
          <w:lang w:val="en-US"/>
        </w:rPr>
        <w:fldChar w:fldCharType="begin"/>
      </w:r>
      <w:r w:rsidR="00F80777" w:rsidRPr="00AB04B5">
        <w:rPr>
          <w:color w:val="000000" w:themeColor="text1"/>
          <w:szCs w:val="22"/>
          <w:lang w:val="en-US"/>
        </w:rPr>
        <w:instrText xml:space="preserve"> REF _Ref410233525 \h </w:instrText>
      </w:r>
      <w:r w:rsidR="00F80777" w:rsidRPr="00AB04B5">
        <w:rPr>
          <w:color w:val="000000" w:themeColor="text1"/>
          <w:szCs w:val="22"/>
          <w:lang w:val="en-US"/>
        </w:rPr>
      </w:r>
      <w:r w:rsidR="00F80777" w:rsidRPr="00AB04B5">
        <w:rPr>
          <w:color w:val="000000" w:themeColor="text1"/>
          <w:szCs w:val="22"/>
          <w:lang w:val="en-US"/>
        </w:rPr>
        <w:fldChar w:fldCharType="separate"/>
      </w:r>
      <w:r w:rsidR="00F87DF9" w:rsidRPr="00642F1C">
        <w:t xml:space="preserve">Figure </w:t>
      </w:r>
      <w:r w:rsidR="00F87DF9">
        <w:rPr>
          <w:noProof/>
        </w:rPr>
        <w:t>188</w:t>
      </w:r>
      <w:r w:rsidR="00F80777" w:rsidRPr="00AB04B5">
        <w:rPr>
          <w:color w:val="000000" w:themeColor="text1"/>
          <w:szCs w:val="22"/>
          <w:lang w:val="en-US"/>
        </w:rPr>
        <w:fldChar w:fldCharType="end"/>
      </w:r>
      <w:r w:rsidR="00F523BC" w:rsidRPr="00AB04B5">
        <w:rPr>
          <w:color w:val="000000" w:themeColor="text1"/>
          <w:szCs w:val="22"/>
          <w:lang w:val="en-US"/>
        </w:rPr>
        <w:t xml:space="preserve">). </w:t>
      </w:r>
      <w:r w:rsidR="007E47D7" w:rsidRPr="00AB04B5">
        <w:rPr>
          <w:color w:val="000000" w:themeColor="text1"/>
          <w:szCs w:val="22"/>
          <w:lang w:val="en-US"/>
        </w:rPr>
        <w:t>P</w:t>
      </w:r>
      <w:r w:rsidRPr="00AB04B5">
        <w:rPr>
          <w:color w:val="000000" w:themeColor="text1"/>
          <w:szCs w:val="22"/>
          <w:lang w:val="en-US"/>
        </w:rPr>
        <w:t xml:space="preserve">ercentage cover of macroalgae </w:t>
      </w:r>
      <w:r w:rsidR="00F523BC" w:rsidRPr="00AB04B5">
        <w:rPr>
          <w:color w:val="000000" w:themeColor="text1"/>
          <w:szCs w:val="22"/>
          <w:lang w:val="en-US"/>
        </w:rPr>
        <w:t xml:space="preserve">generally </w:t>
      </w:r>
      <w:r w:rsidRPr="00AB04B5">
        <w:rPr>
          <w:color w:val="000000" w:themeColor="text1"/>
          <w:szCs w:val="22"/>
          <w:lang w:val="en-US"/>
        </w:rPr>
        <w:t xml:space="preserve">remained </w:t>
      </w:r>
      <w:r w:rsidR="007E47D7" w:rsidRPr="00AB04B5">
        <w:rPr>
          <w:color w:val="000000" w:themeColor="text1"/>
          <w:szCs w:val="22"/>
          <w:lang w:val="en-US"/>
        </w:rPr>
        <w:t>around</w:t>
      </w:r>
      <w:r w:rsidRPr="00AB04B5">
        <w:rPr>
          <w:color w:val="000000" w:themeColor="text1"/>
          <w:szCs w:val="22"/>
          <w:lang w:val="en-US"/>
        </w:rPr>
        <w:t xml:space="preserve"> the </w:t>
      </w:r>
      <w:r w:rsidR="007F6948">
        <w:rPr>
          <w:color w:val="000000" w:themeColor="text1"/>
          <w:szCs w:val="22"/>
          <w:lang w:val="en-US"/>
        </w:rPr>
        <w:t>Great Barrier Reef</w:t>
      </w:r>
      <w:r w:rsidRPr="00AB04B5">
        <w:rPr>
          <w:color w:val="000000" w:themeColor="text1"/>
          <w:szCs w:val="22"/>
          <w:lang w:val="en-US"/>
        </w:rPr>
        <w:t xml:space="preserve"> average</w:t>
      </w:r>
      <w:r w:rsidR="00AB04B5" w:rsidRPr="00AB04B5">
        <w:rPr>
          <w:color w:val="000000" w:themeColor="text1"/>
          <w:szCs w:val="22"/>
          <w:lang w:val="en-US"/>
        </w:rPr>
        <w:t xml:space="preserve"> at coastal and reef intertidal habitats</w:t>
      </w:r>
      <w:r w:rsidR="009E0C63">
        <w:rPr>
          <w:color w:val="000000" w:themeColor="text1"/>
          <w:szCs w:val="22"/>
          <w:lang w:val="en-US"/>
        </w:rPr>
        <w:t xml:space="preserve"> while at subtidal habitats, </w:t>
      </w:r>
      <w:r w:rsidR="008574EC">
        <w:rPr>
          <w:color w:val="000000" w:themeColor="text1"/>
          <w:szCs w:val="22"/>
          <w:lang w:val="en-US"/>
        </w:rPr>
        <w:t>2016–17</w:t>
      </w:r>
      <w:r w:rsidR="009E0C63">
        <w:rPr>
          <w:color w:val="000000" w:themeColor="text1"/>
          <w:szCs w:val="22"/>
          <w:lang w:val="en-US"/>
        </w:rPr>
        <w:t xml:space="preserve"> had the highest macroalgae cover observed since 2008</w:t>
      </w:r>
      <w:r w:rsidRPr="00AB04B5">
        <w:rPr>
          <w:color w:val="000000" w:themeColor="text1"/>
          <w:szCs w:val="22"/>
          <w:lang w:val="en-US"/>
        </w:rPr>
        <w:t xml:space="preserve"> (</w:t>
      </w:r>
      <w:r w:rsidRPr="00AB04B5">
        <w:rPr>
          <w:color w:val="000000" w:themeColor="text1"/>
          <w:szCs w:val="22"/>
          <w:lang w:val="en-US"/>
        </w:rPr>
        <w:fldChar w:fldCharType="begin"/>
      </w:r>
      <w:r w:rsidRPr="00AB04B5">
        <w:rPr>
          <w:color w:val="000000" w:themeColor="text1"/>
          <w:szCs w:val="22"/>
          <w:lang w:val="en-US"/>
        </w:rPr>
        <w:instrText xml:space="preserve"> REF _Ref380413215 \h </w:instrText>
      </w:r>
      <w:r w:rsidR="00015190" w:rsidRPr="00AB04B5">
        <w:rPr>
          <w:color w:val="000000" w:themeColor="text1"/>
          <w:szCs w:val="22"/>
          <w:lang w:val="en-US"/>
        </w:rPr>
        <w:instrText xml:space="preserve"> \* MERGEFORMAT </w:instrText>
      </w:r>
      <w:r w:rsidRPr="00AB04B5">
        <w:rPr>
          <w:color w:val="000000" w:themeColor="text1"/>
          <w:szCs w:val="22"/>
          <w:lang w:val="en-US"/>
        </w:rPr>
      </w:r>
      <w:r w:rsidRPr="00AB04B5">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62</w:t>
      </w:r>
      <w:r w:rsidRPr="00AB04B5">
        <w:rPr>
          <w:color w:val="000000" w:themeColor="text1"/>
          <w:szCs w:val="22"/>
          <w:lang w:val="en-US"/>
        </w:rPr>
        <w:fldChar w:fldCharType="end"/>
      </w:r>
      <w:r w:rsidR="00EA2B11" w:rsidRPr="00AB04B5">
        <w:rPr>
          <w:color w:val="000000" w:themeColor="text1"/>
          <w:szCs w:val="22"/>
          <w:lang w:val="en-US"/>
        </w:rPr>
        <w:t xml:space="preserve">; Appendix </w:t>
      </w:r>
      <w:r w:rsidR="002F7814">
        <w:rPr>
          <w:color w:val="000000" w:themeColor="text1"/>
          <w:szCs w:val="22"/>
          <w:lang w:val="en-US"/>
        </w:rPr>
        <w:fldChar w:fldCharType="begin"/>
      </w:r>
      <w:r w:rsidR="002F7814">
        <w:rPr>
          <w:color w:val="000000" w:themeColor="text1"/>
          <w:szCs w:val="22"/>
          <w:lang w:val="en-US"/>
        </w:rPr>
        <w:instrText xml:space="preserve"> REF _Ref511388718 \r \h </w:instrText>
      </w:r>
      <w:r w:rsidR="002F7814">
        <w:rPr>
          <w:color w:val="000000" w:themeColor="text1"/>
          <w:szCs w:val="22"/>
          <w:lang w:val="en-US"/>
        </w:rPr>
      </w:r>
      <w:r w:rsidR="002F7814">
        <w:rPr>
          <w:color w:val="000000" w:themeColor="text1"/>
          <w:szCs w:val="22"/>
          <w:lang w:val="en-US"/>
        </w:rPr>
        <w:fldChar w:fldCharType="separate"/>
      </w:r>
      <w:r w:rsidR="00F87DF9">
        <w:rPr>
          <w:color w:val="000000" w:themeColor="text1"/>
          <w:szCs w:val="22"/>
          <w:lang w:val="en-US"/>
        </w:rPr>
        <w:t>A4.2.3</w:t>
      </w:r>
      <w:r w:rsidR="002F7814">
        <w:rPr>
          <w:color w:val="000000" w:themeColor="text1"/>
          <w:szCs w:val="22"/>
          <w:lang w:val="en-US"/>
        </w:rPr>
        <w:fldChar w:fldCharType="end"/>
      </w:r>
      <w:r w:rsidR="00EA2B11" w:rsidRPr="00AB04B5">
        <w:rPr>
          <w:color w:val="000000" w:themeColor="text1"/>
          <w:szCs w:val="22"/>
          <w:lang w:val="en-US"/>
        </w:rPr>
        <w:t xml:space="preserve">, </w:t>
      </w:r>
      <w:r w:rsidR="00EA2B11" w:rsidRPr="00AB04B5">
        <w:rPr>
          <w:color w:val="000000" w:themeColor="text1"/>
          <w:szCs w:val="22"/>
          <w:highlight w:val="yellow"/>
          <w:lang w:val="en-US"/>
        </w:rPr>
        <w:fldChar w:fldCharType="begin"/>
      </w:r>
      <w:r w:rsidR="00EA2B11" w:rsidRPr="00AB04B5">
        <w:rPr>
          <w:color w:val="000000" w:themeColor="text1"/>
          <w:szCs w:val="22"/>
          <w:lang w:val="en-US"/>
        </w:rPr>
        <w:instrText xml:space="preserve"> REF _Ref211846521 \h </w:instrText>
      </w:r>
      <w:r w:rsidR="00015190" w:rsidRPr="00AB04B5">
        <w:rPr>
          <w:color w:val="000000" w:themeColor="text1"/>
          <w:szCs w:val="22"/>
          <w:highlight w:val="yellow"/>
          <w:lang w:val="en-US"/>
        </w:rPr>
        <w:instrText xml:space="preserve"> \* MERGEFORMAT </w:instrText>
      </w:r>
      <w:r w:rsidR="00EA2B11" w:rsidRPr="00AB04B5">
        <w:rPr>
          <w:color w:val="000000" w:themeColor="text1"/>
          <w:szCs w:val="22"/>
          <w:highlight w:val="yellow"/>
          <w:lang w:val="en-US"/>
        </w:rPr>
      </w:r>
      <w:r w:rsidR="00EA2B11" w:rsidRPr="00AB04B5">
        <w:rPr>
          <w:color w:val="000000" w:themeColor="text1"/>
          <w:szCs w:val="22"/>
          <w:highlight w:val="yellow"/>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186</w:t>
      </w:r>
      <w:r w:rsidR="00EA2B11" w:rsidRPr="00AB04B5">
        <w:rPr>
          <w:color w:val="000000" w:themeColor="text1"/>
          <w:szCs w:val="22"/>
          <w:highlight w:val="yellow"/>
          <w:lang w:val="en-US"/>
        </w:rPr>
        <w:fldChar w:fldCharType="end"/>
      </w:r>
      <w:r w:rsidR="00EA2B11" w:rsidRPr="00AB04B5">
        <w:rPr>
          <w:color w:val="000000" w:themeColor="text1"/>
          <w:szCs w:val="22"/>
          <w:lang w:val="en-US"/>
        </w:rPr>
        <w:t>,</w:t>
      </w:r>
      <w:r w:rsidR="002F7814">
        <w:rPr>
          <w:color w:val="000000" w:themeColor="text1"/>
          <w:szCs w:val="22"/>
          <w:lang w:val="en-US"/>
        </w:rPr>
        <w:t xml:space="preserve"> </w:t>
      </w:r>
      <w:r w:rsidR="00EA2B11" w:rsidRPr="00AB04B5">
        <w:rPr>
          <w:color w:val="000000" w:themeColor="text1"/>
          <w:szCs w:val="22"/>
          <w:highlight w:val="yellow"/>
          <w:lang w:val="en-US"/>
        </w:rPr>
        <w:fldChar w:fldCharType="begin"/>
      </w:r>
      <w:r w:rsidR="00EA2B11" w:rsidRPr="00AB04B5">
        <w:rPr>
          <w:color w:val="000000" w:themeColor="text1"/>
          <w:szCs w:val="22"/>
          <w:lang w:val="en-US"/>
        </w:rPr>
        <w:instrText xml:space="preserve"> REF _Ref211846231 \h </w:instrText>
      </w:r>
      <w:r w:rsidR="00015190" w:rsidRPr="00AB04B5">
        <w:rPr>
          <w:color w:val="000000" w:themeColor="text1"/>
          <w:szCs w:val="22"/>
          <w:highlight w:val="yellow"/>
          <w:lang w:val="en-US"/>
        </w:rPr>
        <w:instrText xml:space="preserve"> \* MERGEFORMAT </w:instrText>
      </w:r>
      <w:r w:rsidR="00EA2B11" w:rsidRPr="00AB04B5">
        <w:rPr>
          <w:color w:val="000000" w:themeColor="text1"/>
          <w:szCs w:val="22"/>
          <w:highlight w:val="yellow"/>
          <w:lang w:val="en-US"/>
        </w:rPr>
      </w:r>
      <w:r w:rsidR="00EA2B11" w:rsidRPr="00AB04B5">
        <w:rPr>
          <w:color w:val="000000" w:themeColor="text1"/>
          <w:szCs w:val="22"/>
          <w:highlight w:val="yellow"/>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187</w:t>
      </w:r>
      <w:r w:rsidR="00EA2B11" w:rsidRPr="00AB04B5">
        <w:rPr>
          <w:color w:val="000000" w:themeColor="text1"/>
          <w:szCs w:val="22"/>
          <w:highlight w:val="yellow"/>
          <w:lang w:val="en-US"/>
        </w:rPr>
        <w:fldChar w:fldCharType="end"/>
      </w:r>
      <w:r w:rsidRPr="00AB04B5">
        <w:rPr>
          <w:color w:val="000000" w:themeColor="text1"/>
          <w:szCs w:val="22"/>
          <w:lang w:val="en-US"/>
        </w:rPr>
        <w:t xml:space="preserve">). </w:t>
      </w:r>
    </w:p>
    <w:p w14:paraId="58637C17" w14:textId="77777777" w:rsidR="00670CAB" w:rsidRPr="007E47D7" w:rsidRDefault="00670CAB" w:rsidP="00621CD4">
      <w:pPr>
        <w:rPr>
          <w:color w:val="000000" w:themeColor="text1"/>
          <w:szCs w:val="22"/>
          <w:lang w:val="en-US"/>
        </w:rPr>
      </w:pPr>
    </w:p>
    <w:p w14:paraId="5109C3B7" w14:textId="77777777" w:rsidR="00DF06E4" w:rsidRPr="004C0582" w:rsidRDefault="00AA7BCE" w:rsidP="002E37BF">
      <w:pPr>
        <w:keepNext/>
        <w:spacing w:after="0"/>
        <w:jc w:val="center"/>
        <w:rPr>
          <w:color w:val="000000"/>
          <w:szCs w:val="22"/>
          <w:lang w:val="en-GB"/>
        </w:rPr>
      </w:pPr>
      <w:r>
        <w:rPr>
          <w:noProof/>
          <w:color w:val="000000"/>
          <w:szCs w:val="22"/>
          <w:lang w:eastAsia="en-AU"/>
        </w:rPr>
        <w:drawing>
          <wp:inline distT="0" distB="0" distL="0" distR="0" wp14:anchorId="7FD1CD61" wp14:editId="4316285A">
            <wp:extent cx="5760000" cy="3100043"/>
            <wp:effectExtent l="0" t="0" r="0" b="5715"/>
            <wp:docPr id="310" name="Picture 310" descr="Set of six scatter plots with straight lines and markers showing long-term trend in mean epiphyte and macroalgae abundance (% cover) at each inshore seagrass habitats in the Wet Tropics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WT_epi_algae_change_2016.png"/>
                    <pic:cNvPicPr/>
                  </pic:nvPicPr>
                  <pic:blipFill>
                    <a:blip r:embed="rId100">
                      <a:extLst>
                        <a:ext uri="{28A0092B-C50C-407E-A947-70E740481C1C}">
                          <a14:useLocalDpi xmlns:a14="http://schemas.microsoft.com/office/drawing/2010/main" val="0"/>
                        </a:ext>
                      </a:extLst>
                    </a:blip>
                    <a:stretch>
                      <a:fillRect/>
                    </a:stretch>
                  </pic:blipFill>
                  <pic:spPr>
                    <a:xfrm>
                      <a:off x="0" y="0"/>
                      <a:ext cx="5760000" cy="3100043"/>
                    </a:xfrm>
                    <a:prstGeom prst="rect">
                      <a:avLst/>
                    </a:prstGeom>
                  </pic:spPr>
                </pic:pic>
              </a:graphicData>
            </a:graphic>
          </wp:inline>
        </w:drawing>
      </w:r>
    </w:p>
    <w:p w14:paraId="7EA632D2" w14:textId="34C1F514" w:rsidR="00CC60D9" w:rsidRPr="00904B46" w:rsidRDefault="006307D2" w:rsidP="00CC60D9">
      <w:pPr>
        <w:rPr>
          <w:i/>
          <w:vanish/>
          <w:szCs w:val="22"/>
          <w:specVanish/>
        </w:rPr>
      </w:pPr>
      <w:bookmarkStart w:id="353" w:name="_Ref380413215"/>
      <w:bookmarkStart w:id="354" w:name="_Toc431493848"/>
      <w:bookmarkStart w:id="355" w:name="_Toc516053272"/>
      <w:r w:rsidRPr="004C058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62</w:t>
      </w:r>
      <w:r w:rsidR="0073595B">
        <w:rPr>
          <w:color w:val="000000"/>
          <w:szCs w:val="22"/>
        </w:rPr>
        <w:fldChar w:fldCharType="end"/>
      </w:r>
      <w:bookmarkEnd w:id="353"/>
      <w:r w:rsidRPr="004C0582">
        <w:rPr>
          <w:color w:val="000000"/>
          <w:szCs w:val="22"/>
        </w:rPr>
        <w:t xml:space="preserve">. </w:t>
      </w:r>
      <w:r w:rsidRPr="004C0582">
        <w:rPr>
          <w:i/>
          <w:color w:val="000000"/>
          <w:szCs w:val="22"/>
        </w:rPr>
        <w:t>Long-term trend in mean epiphyte and macroalgae abundance (</w:t>
      </w:r>
      <w:r w:rsidR="0063478C">
        <w:rPr>
          <w:i/>
          <w:color w:val="000000"/>
          <w:szCs w:val="22"/>
        </w:rPr>
        <w:t>per cent</w:t>
      </w:r>
      <w:r w:rsidRPr="004C0582">
        <w:rPr>
          <w:i/>
          <w:color w:val="000000"/>
          <w:szCs w:val="22"/>
        </w:rPr>
        <w:t xml:space="preserve"> cover) relative to </w:t>
      </w:r>
      <w:r w:rsidRPr="00904B46">
        <w:rPr>
          <w:i/>
          <w:szCs w:val="22"/>
        </w:rPr>
        <w:t xml:space="preserve">the long-term average for each </w:t>
      </w:r>
      <w:r w:rsidR="00CC60D9" w:rsidRPr="00904B46">
        <w:rPr>
          <w:i/>
          <w:szCs w:val="22"/>
        </w:rPr>
        <w:t xml:space="preserve">inshore </w:t>
      </w:r>
      <w:r w:rsidRPr="00904B46">
        <w:rPr>
          <w:i/>
          <w:szCs w:val="22"/>
        </w:rPr>
        <w:t>seagrass habitat</w:t>
      </w:r>
      <w:r w:rsidR="00CC60D9" w:rsidRPr="00904B46">
        <w:rPr>
          <w:i/>
          <w:szCs w:val="22"/>
        </w:rPr>
        <w:t xml:space="preserve"> in the Wet Tropics region, 2001 - 201</w:t>
      </w:r>
      <w:r w:rsidR="00904B46" w:rsidRPr="00904B46">
        <w:rPr>
          <w:i/>
          <w:szCs w:val="22"/>
        </w:rPr>
        <w:t>7</w:t>
      </w:r>
      <w:bookmarkEnd w:id="354"/>
      <w:bookmarkEnd w:id="355"/>
      <w:r w:rsidRPr="00904B46">
        <w:rPr>
          <w:i/>
          <w:szCs w:val="22"/>
        </w:rPr>
        <w:t xml:space="preserve"> </w:t>
      </w:r>
    </w:p>
    <w:p w14:paraId="48F89F58" w14:textId="5BB488F1" w:rsidR="00CC60D9" w:rsidRDefault="00CC60D9" w:rsidP="00CC60D9">
      <w:pPr>
        <w:rPr>
          <w:i/>
          <w:color w:val="000000"/>
          <w:szCs w:val="22"/>
        </w:rPr>
      </w:pPr>
      <w:r w:rsidRPr="00904B46">
        <w:rPr>
          <w:i/>
          <w:szCs w:val="22"/>
        </w:rPr>
        <w:t xml:space="preserve"> </w:t>
      </w:r>
      <w:r w:rsidR="006307D2" w:rsidRPr="00904B46">
        <w:rPr>
          <w:i/>
          <w:szCs w:val="22"/>
        </w:rPr>
        <w:t xml:space="preserve">(sites </w:t>
      </w:r>
      <w:r w:rsidR="006307D2" w:rsidRPr="004C0582">
        <w:rPr>
          <w:i/>
          <w:color w:val="000000"/>
          <w:szCs w:val="22"/>
        </w:rPr>
        <w:t xml:space="preserve">pooled, ±SE). </w:t>
      </w:r>
    </w:p>
    <w:p w14:paraId="37F65C8B" w14:textId="77777777" w:rsidR="00670CAB" w:rsidRPr="00670CAB" w:rsidRDefault="00670CAB" w:rsidP="00CC60D9">
      <w:pPr>
        <w:rPr>
          <w:color w:val="000000" w:themeColor="text1"/>
          <w:lang w:val="en-GB"/>
        </w:rPr>
      </w:pPr>
    </w:p>
    <w:p w14:paraId="0505D2F5" w14:textId="63D0056A" w:rsidR="00BC6384" w:rsidRPr="00BD0604" w:rsidRDefault="00BC6384" w:rsidP="00926892">
      <w:pPr>
        <w:pStyle w:val="Heading3"/>
        <w:numPr>
          <w:ilvl w:val="2"/>
          <w:numId w:val="9"/>
        </w:numPr>
        <w:rPr>
          <w:rFonts w:ascii="Arial" w:hAnsi="Arial" w:cs="Arial"/>
          <w:color w:val="000000"/>
        </w:rPr>
      </w:pPr>
      <w:bookmarkStart w:id="356" w:name="_Toc516053148"/>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356"/>
      <w:r w:rsidRPr="000C1668">
        <w:rPr>
          <w:rFonts w:ascii="Arial" w:hAnsi="Arial" w:cs="Arial"/>
          <w:color w:val="000000"/>
        </w:rPr>
        <w:t xml:space="preserve"> </w:t>
      </w:r>
    </w:p>
    <w:p w14:paraId="4B7AA844" w14:textId="6DB1B6A0" w:rsidR="00BC6384" w:rsidRDefault="00BC6384" w:rsidP="00907D11">
      <w:pPr>
        <w:rPr>
          <w:color w:val="000000" w:themeColor="text1"/>
          <w:lang w:val="en-GB"/>
        </w:rPr>
      </w:pPr>
      <w:r w:rsidRPr="00A52594">
        <w:rPr>
          <w:color w:val="000000" w:themeColor="text1"/>
          <w:lang w:val="en-GB"/>
        </w:rPr>
        <w:t xml:space="preserve">In the </w:t>
      </w:r>
      <w:r w:rsidR="008574EC">
        <w:rPr>
          <w:color w:val="000000" w:themeColor="text1"/>
          <w:lang w:val="en-GB"/>
        </w:rPr>
        <w:t>2016–17</w:t>
      </w:r>
      <w:r w:rsidRPr="00A52594">
        <w:rPr>
          <w:color w:val="000000" w:themeColor="text1"/>
          <w:lang w:val="en-GB"/>
        </w:rPr>
        <w:t xml:space="preserve"> monitoring period, the seagrass index for </w:t>
      </w:r>
      <w:r w:rsidR="00E43A54" w:rsidRPr="00A52594">
        <w:rPr>
          <w:color w:val="000000" w:themeColor="text1"/>
          <w:lang w:val="en-GB"/>
        </w:rPr>
        <w:t>the Wet Tropics</w:t>
      </w:r>
      <w:r w:rsidRPr="00A52594">
        <w:rPr>
          <w:color w:val="000000" w:themeColor="text1"/>
          <w:lang w:val="en-GB"/>
        </w:rPr>
        <w:t xml:space="preserve"> region </w:t>
      </w:r>
      <w:r w:rsidR="00A56E73" w:rsidRPr="00A52594">
        <w:rPr>
          <w:color w:val="000000" w:themeColor="text1"/>
          <w:lang w:val="en-GB"/>
        </w:rPr>
        <w:t>de</w:t>
      </w:r>
      <w:r w:rsidR="00E43A54" w:rsidRPr="00A52594">
        <w:rPr>
          <w:color w:val="000000" w:themeColor="text1"/>
          <w:lang w:val="en-GB"/>
        </w:rPr>
        <w:t xml:space="preserve">creased </w:t>
      </w:r>
      <w:r w:rsidR="009B0027" w:rsidRPr="00A52594">
        <w:rPr>
          <w:color w:val="000000" w:themeColor="text1"/>
          <w:lang w:val="en-GB"/>
        </w:rPr>
        <w:t xml:space="preserve">slightly </w:t>
      </w:r>
      <w:r w:rsidR="00E43A54" w:rsidRPr="00A52594">
        <w:rPr>
          <w:color w:val="000000" w:themeColor="text1"/>
          <w:lang w:val="en-GB"/>
        </w:rPr>
        <w:t>relative</w:t>
      </w:r>
      <w:r w:rsidRPr="00A52594">
        <w:rPr>
          <w:color w:val="000000" w:themeColor="text1"/>
          <w:lang w:val="en-GB"/>
        </w:rPr>
        <w:t xml:space="preserve"> similar to the previous period</w:t>
      </w:r>
      <w:r w:rsidR="00E43A54" w:rsidRPr="00A52594">
        <w:rPr>
          <w:color w:val="000000" w:themeColor="text1"/>
          <w:lang w:val="en-GB"/>
        </w:rPr>
        <w:t xml:space="preserve"> (</w:t>
      </w:r>
      <w:r w:rsidR="003763EC" w:rsidRPr="00A52594">
        <w:rPr>
          <w:color w:val="000000" w:themeColor="text1"/>
          <w:highlight w:val="yellow"/>
          <w:lang w:val="en-GB"/>
        </w:rPr>
        <w:fldChar w:fldCharType="begin"/>
      </w:r>
      <w:r w:rsidR="003763EC" w:rsidRPr="00A52594">
        <w:rPr>
          <w:color w:val="000000" w:themeColor="text1"/>
          <w:lang w:val="en-GB"/>
        </w:rPr>
        <w:instrText xml:space="preserve"> REF _Ref442440778 \h </w:instrText>
      </w:r>
      <w:r w:rsidR="003763EC" w:rsidRPr="00A52594">
        <w:rPr>
          <w:color w:val="000000" w:themeColor="text1"/>
          <w:highlight w:val="yellow"/>
          <w:lang w:val="en-GB"/>
        </w:rPr>
      </w:r>
      <w:r w:rsidR="003763EC" w:rsidRPr="00A52594">
        <w:rPr>
          <w:color w:val="000000" w:themeColor="text1"/>
          <w:highlight w:val="yellow"/>
          <w:lang w:val="en-GB"/>
        </w:rPr>
        <w:fldChar w:fldCharType="separate"/>
      </w:r>
      <w:r w:rsidR="00F87DF9">
        <w:t xml:space="preserve">Table </w:t>
      </w:r>
      <w:r w:rsidR="00F87DF9">
        <w:rPr>
          <w:noProof/>
        </w:rPr>
        <w:t>19</w:t>
      </w:r>
      <w:r w:rsidR="003763EC" w:rsidRPr="00A52594">
        <w:rPr>
          <w:color w:val="000000" w:themeColor="text1"/>
          <w:highlight w:val="yellow"/>
          <w:lang w:val="en-GB"/>
        </w:rPr>
        <w:fldChar w:fldCharType="end"/>
      </w:r>
      <w:r w:rsidR="00E43A54" w:rsidRPr="00A52594">
        <w:rPr>
          <w:color w:val="000000" w:themeColor="text1"/>
          <w:lang w:val="en-GB"/>
        </w:rPr>
        <w:t>)</w:t>
      </w:r>
      <w:r w:rsidRPr="00A52594">
        <w:rPr>
          <w:color w:val="000000" w:themeColor="text1"/>
          <w:lang w:val="en-GB"/>
        </w:rPr>
        <w:t xml:space="preserve">. The </w:t>
      </w:r>
      <w:r w:rsidR="00A56E73" w:rsidRPr="00A52594">
        <w:rPr>
          <w:color w:val="000000" w:themeColor="text1"/>
          <w:lang w:val="en-GB"/>
        </w:rPr>
        <w:t>de</w:t>
      </w:r>
      <w:r w:rsidR="00E43A54" w:rsidRPr="00A52594">
        <w:rPr>
          <w:color w:val="000000" w:themeColor="text1"/>
          <w:lang w:val="en-GB"/>
        </w:rPr>
        <w:t>crease</w:t>
      </w:r>
      <w:r w:rsidRPr="00A52594">
        <w:rPr>
          <w:color w:val="000000" w:themeColor="text1"/>
          <w:lang w:val="en-GB"/>
        </w:rPr>
        <w:t xml:space="preserve"> </w:t>
      </w:r>
      <w:r w:rsidR="00A52594" w:rsidRPr="00A52594">
        <w:rPr>
          <w:color w:val="000000" w:themeColor="text1"/>
          <w:lang w:val="en-GB"/>
        </w:rPr>
        <w:t xml:space="preserve">is due primarily to the very poor </w:t>
      </w:r>
      <w:r w:rsidRPr="00A52594">
        <w:rPr>
          <w:color w:val="000000" w:themeColor="text1"/>
          <w:lang w:val="en-GB"/>
        </w:rPr>
        <w:t xml:space="preserve">reproductive effort </w:t>
      </w:r>
      <w:r w:rsidR="00A52594" w:rsidRPr="00A52594">
        <w:rPr>
          <w:color w:val="000000" w:themeColor="text1"/>
          <w:lang w:val="en-GB"/>
        </w:rPr>
        <w:t xml:space="preserve">particularly at reef intertidal and subtidal habitats and the reduction in reproductive effort at coastal sites. </w:t>
      </w:r>
      <w:r w:rsidRPr="00A52594">
        <w:rPr>
          <w:color w:val="000000" w:themeColor="text1"/>
          <w:lang w:val="en-GB"/>
        </w:rPr>
        <w:t xml:space="preserve">Overall, the </w:t>
      </w:r>
      <w:r w:rsidR="00E43A54" w:rsidRPr="00A52594">
        <w:rPr>
          <w:color w:val="000000" w:themeColor="text1"/>
          <w:lang w:val="en-GB"/>
        </w:rPr>
        <w:t xml:space="preserve">Wet Tropics seagrass index in </w:t>
      </w:r>
      <w:r w:rsidR="008574EC">
        <w:rPr>
          <w:color w:val="000000" w:themeColor="text1"/>
          <w:lang w:val="en-GB"/>
        </w:rPr>
        <w:t>2016–17</w:t>
      </w:r>
      <w:r w:rsidR="00E43A54" w:rsidRPr="00A52594">
        <w:rPr>
          <w:color w:val="000000" w:themeColor="text1"/>
          <w:lang w:val="en-GB"/>
        </w:rPr>
        <w:t xml:space="preserve"> </w:t>
      </w:r>
      <w:r w:rsidR="00A56E73" w:rsidRPr="00A52594">
        <w:rPr>
          <w:color w:val="000000" w:themeColor="text1"/>
          <w:lang w:val="en-GB"/>
        </w:rPr>
        <w:t>remained in a poor state</w:t>
      </w:r>
      <w:r w:rsidR="00B90AA1" w:rsidRPr="00A52594">
        <w:rPr>
          <w:color w:val="000000" w:themeColor="text1"/>
          <w:lang w:val="en-GB"/>
        </w:rPr>
        <w:t>,</w:t>
      </w:r>
      <w:r w:rsidR="00A56E73" w:rsidRPr="00A52594">
        <w:rPr>
          <w:color w:val="000000" w:themeColor="text1"/>
          <w:lang w:val="en-GB"/>
        </w:rPr>
        <w:t xml:space="preserve"> </w:t>
      </w:r>
      <w:r w:rsidRPr="00A52594">
        <w:rPr>
          <w:color w:val="000000" w:themeColor="text1"/>
          <w:lang w:val="en-GB"/>
        </w:rPr>
        <w:t xml:space="preserve">below the </w:t>
      </w:r>
      <w:r w:rsidR="00E43A54" w:rsidRPr="00A52594">
        <w:rPr>
          <w:color w:val="000000" w:themeColor="text1"/>
          <w:lang w:val="en-GB"/>
        </w:rPr>
        <w:t>2008-09 peak</w:t>
      </w:r>
      <w:r w:rsidRPr="00A52594">
        <w:rPr>
          <w:color w:val="000000" w:themeColor="text1"/>
          <w:lang w:val="en-GB"/>
        </w:rPr>
        <w:t>.</w:t>
      </w:r>
    </w:p>
    <w:p w14:paraId="4088843B" w14:textId="3B64F999" w:rsidR="00670CAB" w:rsidRDefault="00670CAB" w:rsidP="00907D11">
      <w:pPr>
        <w:rPr>
          <w:color w:val="000000" w:themeColor="text1"/>
          <w:lang w:val="en-GB"/>
        </w:rPr>
      </w:pPr>
    </w:p>
    <w:p w14:paraId="2BC84856" w14:textId="12F5A08A" w:rsidR="00670CAB" w:rsidRDefault="00670CAB" w:rsidP="00907D11">
      <w:pPr>
        <w:rPr>
          <w:color w:val="000000" w:themeColor="text1"/>
          <w:lang w:val="en-GB"/>
        </w:rPr>
      </w:pPr>
    </w:p>
    <w:p w14:paraId="741C9490" w14:textId="217363D9" w:rsidR="00670CAB" w:rsidRDefault="00670CAB" w:rsidP="00907D11">
      <w:pPr>
        <w:rPr>
          <w:color w:val="000000" w:themeColor="text1"/>
          <w:lang w:val="en-GB"/>
        </w:rPr>
      </w:pPr>
    </w:p>
    <w:p w14:paraId="62CA5093" w14:textId="62B64EA7" w:rsidR="00670CAB" w:rsidRDefault="00670CAB" w:rsidP="00907D11">
      <w:pPr>
        <w:rPr>
          <w:color w:val="000000" w:themeColor="text1"/>
          <w:lang w:val="en-GB"/>
        </w:rPr>
      </w:pPr>
    </w:p>
    <w:p w14:paraId="06F445B9" w14:textId="77777777" w:rsidR="00670CAB" w:rsidRDefault="00670CAB" w:rsidP="00907D11">
      <w:pPr>
        <w:rPr>
          <w:color w:val="000000"/>
          <w:lang w:val="en-GB"/>
        </w:rPr>
      </w:pPr>
    </w:p>
    <w:p w14:paraId="3B961970" w14:textId="58F7146F" w:rsidR="009526BE" w:rsidRPr="000F1DF9" w:rsidRDefault="009526BE" w:rsidP="00907D11">
      <w:pPr>
        <w:rPr>
          <w:i/>
          <w:vanish/>
          <w:color w:val="000000"/>
          <w:szCs w:val="22"/>
          <w:specVanish/>
        </w:rPr>
      </w:pPr>
      <w:bookmarkStart w:id="357" w:name="_Ref442440778"/>
      <w:bookmarkStart w:id="358" w:name="_Toc516053443"/>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19</w:t>
      </w:r>
      <w:r w:rsidR="00C506C7">
        <w:rPr>
          <w:noProof/>
        </w:rPr>
        <w:fldChar w:fldCharType="end"/>
      </w:r>
      <w:bookmarkEnd w:id="357"/>
      <w: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Wet Tropics </w:t>
      </w:r>
      <w:r w:rsidRPr="000F1DF9">
        <w:rPr>
          <w:i/>
          <w:color w:val="000000"/>
        </w:rPr>
        <w:t>NRM region: Ju</w:t>
      </w:r>
      <w:r>
        <w:rPr>
          <w:i/>
          <w:color w:val="000000"/>
        </w:rPr>
        <w:t>ne</w:t>
      </w:r>
      <w:r w:rsidRPr="000F1DF9">
        <w:rPr>
          <w:i/>
          <w:color w:val="000000"/>
        </w:rPr>
        <w:t xml:space="preserve"> 2005 – May </w:t>
      </w:r>
      <w:r w:rsidRPr="00B35DE3">
        <w:rPr>
          <w:i/>
          <w:color w:val="000000" w:themeColor="text1"/>
        </w:rPr>
        <w:t>201</w:t>
      </w:r>
      <w:r w:rsidR="00B35DE3" w:rsidRPr="00B35DE3">
        <w:rPr>
          <w:i/>
          <w:color w:val="000000" w:themeColor="text1"/>
        </w:rPr>
        <w:t>7</w:t>
      </w:r>
      <w:r w:rsidRPr="000F1DF9">
        <w:rPr>
          <w:i/>
          <w:color w:val="000000"/>
        </w:rPr>
        <w:t>.</w:t>
      </w:r>
      <w:bookmarkEnd w:id="358"/>
      <w:r w:rsidRPr="000F1DF9">
        <w:rPr>
          <w:i/>
          <w:color w:val="000000"/>
        </w:rPr>
        <w:t xml:space="preserve"> </w:t>
      </w:r>
    </w:p>
    <w:p w14:paraId="085AA446" w14:textId="77777777" w:rsidR="009526BE" w:rsidRDefault="009526BE" w:rsidP="00907D11">
      <w:pPr>
        <w:jc w:val="center"/>
        <w:rPr>
          <w:i/>
          <w:szCs w:val="22"/>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xml:space="preserve"> = very poor (0 - </w:t>
      </w:r>
      <w:r w:rsidR="001E70A1" w:rsidRPr="00E237C6">
        <w:rPr>
          <w:i/>
          <w:szCs w:val="22"/>
        </w:rPr>
        <w:t>20).</w:t>
      </w:r>
      <w:r w:rsidR="001E70A1" w:rsidRPr="00243A2E">
        <w:rPr>
          <w:i/>
          <w:color w:val="000000"/>
          <w:szCs w:val="22"/>
        </w:rPr>
        <w:t xml:space="preserve"> NB: Scores</w:t>
      </w:r>
      <w:r w:rsidR="001E70A1">
        <w:rPr>
          <w:i/>
          <w:szCs w:val="22"/>
        </w:rPr>
        <w:t xml:space="preserve"> are unitless</w:t>
      </w:r>
      <w:r>
        <w:rPr>
          <w:i/>
          <w:szCs w:val="22"/>
        </w:rPr>
        <w:t>.</w:t>
      </w:r>
    </w:p>
    <w:tbl>
      <w:tblPr>
        <w:tblW w:w="9060"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280"/>
        <w:gridCol w:w="1699"/>
        <w:gridCol w:w="519"/>
        <w:gridCol w:w="519"/>
        <w:gridCol w:w="519"/>
        <w:gridCol w:w="519"/>
        <w:gridCol w:w="519"/>
        <w:gridCol w:w="519"/>
        <w:gridCol w:w="519"/>
        <w:gridCol w:w="498"/>
        <w:gridCol w:w="498"/>
        <w:gridCol w:w="498"/>
        <w:gridCol w:w="498"/>
        <w:gridCol w:w="456"/>
      </w:tblGrid>
      <w:tr w:rsidR="00B35DE3" w:rsidRPr="00EC364C" w14:paraId="61CC94A1" w14:textId="77777777" w:rsidTr="0090798E">
        <w:trPr>
          <w:cantSplit/>
          <w:trHeight w:val="823"/>
          <w:jc w:val="center"/>
        </w:trPr>
        <w:tc>
          <w:tcPr>
            <w:tcW w:w="1280" w:type="dxa"/>
            <w:tcBorders>
              <w:top w:val="single" w:sz="4" w:space="0" w:color="000000"/>
              <w:bottom w:val="single" w:sz="4" w:space="0" w:color="000000"/>
            </w:tcBorders>
            <w:shd w:val="clear" w:color="auto" w:fill="auto"/>
            <w:vAlign w:val="center"/>
          </w:tcPr>
          <w:p w14:paraId="42559ACA" w14:textId="77777777" w:rsidR="00B35DE3" w:rsidRPr="00EC364C" w:rsidRDefault="00B35DE3" w:rsidP="00907D11">
            <w:pPr>
              <w:spacing w:before="0" w:after="0"/>
              <w:jc w:val="center"/>
              <w:rPr>
                <w:b/>
                <w:color w:val="000000"/>
                <w:sz w:val="20"/>
                <w:szCs w:val="20"/>
                <w:lang w:eastAsia="en-AU"/>
              </w:rPr>
            </w:pPr>
            <w:r>
              <w:rPr>
                <w:b/>
                <w:color w:val="000000"/>
                <w:sz w:val="20"/>
                <w:szCs w:val="20"/>
                <w:lang w:eastAsia="en-AU"/>
              </w:rPr>
              <w:t>Indicator</w:t>
            </w:r>
          </w:p>
        </w:tc>
        <w:tc>
          <w:tcPr>
            <w:tcW w:w="1699" w:type="dxa"/>
            <w:tcBorders>
              <w:top w:val="single" w:sz="4" w:space="0" w:color="000000"/>
              <w:bottom w:val="single" w:sz="4" w:space="0" w:color="000000"/>
            </w:tcBorders>
            <w:shd w:val="clear" w:color="auto" w:fill="auto"/>
            <w:noWrap/>
            <w:vAlign w:val="center"/>
          </w:tcPr>
          <w:p w14:paraId="69200FDF" w14:textId="77777777" w:rsidR="00B35DE3" w:rsidRPr="00EC364C" w:rsidRDefault="00B35DE3" w:rsidP="00907D11">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0E0DCBB6"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424CB599"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519" w:type="dxa"/>
            <w:tcBorders>
              <w:top w:val="single" w:sz="4" w:space="0" w:color="000000"/>
              <w:bottom w:val="single" w:sz="4" w:space="0" w:color="000000"/>
            </w:tcBorders>
            <w:shd w:val="clear" w:color="auto" w:fill="auto"/>
            <w:textDirection w:val="btLr"/>
            <w:vAlign w:val="center"/>
          </w:tcPr>
          <w:p w14:paraId="13DF7611"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519" w:type="dxa"/>
            <w:tcBorders>
              <w:top w:val="single" w:sz="4" w:space="0" w:color="000000"/>
              <w:bottom w:val="single" w:sz="4" w:space="0" w:color="000000"/>
            </w:tcBorders>
            <w:shd w:val="clear" w:color="auto" w:fill="auto"/>
            <w:textDirection w:val="btLr"/>
            <w:vAlign w:val="center"/>
          </w:tcPr>
          <w:p w14:paraId="7EC12896"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519" w:type="dxa"/>
            <w:tcBorders>
              <w:top w:val="single" w:sz="4" w:space="0" w:color="000000"/>
              <w:bottom w:val="single" w:sz="4" w:space="0" w:color="000000"/>
            </w:tcBorders>
            <w:shd w:val="clear" w:color="auto" w:fill="auto"/>
            <w:textDirection w:val="btLr"/>
            <w:vAlign w:val="center"/>
          </w:tcPr>
          <w:p w14:paraId="533F0E75"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351A8408"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55480577"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498" w:type="dxa"/>
            <w:tcBorders>
              <w:top w:val="single" w:sz="4" w:space="0" w:color="000000"/>
              <w:bottom w:val="single" w:sz="4" w:space="0" w:color="000000"/>
            </w:tcBorders>
            <w:textDirection w:val="btLr"/>
            <w:vAlign w:val="center"/>
          </w:tcPr>
          <w:p w14:paraId="470688E9"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2012-13</w:t>
            </w:r>
          </w:p>
        </w:tc>
        <w:tc>
          <w:tcPr>
            <w:tcW w:w="498" w:type="dxa"/>
            <w:tcBorders>
              <w:top w:val="single" w:sz="4" w:space="0" w:color="000000"/>
              <w:bottom w:val="single" w:sz="4" w:space="0" w:color="000000"/>
            </w:tcBorders>
            <w:textDirection w:val="btLr"/>
            <w:vAlign w:val="center"/>
          </w:tcPr>
          <w:p w14:paraId="60BF34F3" w14:textId="77777777" w:rsidR="00B35DE3" w:rsidRPr="00EC364C" w:rsidRDefault="00B35DE3" w:rsidP="00907D11">
            <w:pPr>
              <w:spacing w:before="0" w:after="0"/>
              <w:ind w:left="113" w:right="113"/>
              <w:rPr>
                <w:b/>
                <w:color w:val="000000"/>
                <w:sz w:val="16"/>
                <w:szCs w:val="16"/>
                <w:lang w:eastAsia="en-AU"/>
              </w:rPr>
            </w:pPr>
            <w:r w:rsidRPr="00EC364C">
              <w:rPr>
                <w:b/>
                <w:color w:val="000000"/>
                <w:sz w:val="16"/>
                <w:szCs w:val="16"/>
                <w:lang w:eastAsia="en-AU"/>
              </w:rPr>
              <w:t>2013-14</w:t>
            </w:r>
          </w:p>
        </w:tc>
        <w:tc>
          <w:tcPr>
            <w:tcW w:w="498" w:type="dxa"/>
            <w:tcBorders>
              <w:top w:val="single" w:sz="4" w:space="0" w:color="000000"/>
              <w:bottom w:val="single" w:sz="4" w:space="0" w:color="000000"/>
            </w:tcBorders>
            <w:textDirection w:val="btLr"/>
            <w:vAlign w:val="center"/>
          </w:tcPr>
          <w:p w14:paraId="225F341B" w14:textId="77777777" w:rsidR="00B35DE3" w:rsidRPr="00EC364C" w:rsidRDefault="00B35DE3" w:rsidP="00907D11">
            <w:pPr>
              <w:spacing w:before="0" w:after="0"/>
              <w:ind w:left="113" w:right="113"/>
              <w:rPr>
                <w:b/>
                <w:color w:val="000000"/>
                <w:sz w:val="16"/>
                <w:szCs w:val="16"/>
                <w:lang w:eastAsia="en-AU"/>
              </w:rPr>
            </w:pPr>
            <w:r>
              <w:rPr>
                <w:b/>
                <w:color w:val="000000"/>
                <w:sz w:val="16"/>
                <w:szCs w:val="16"/>
                <w:lang w:eastAsia="en-AU"/>
              </w:rPr>
              <w:t>2014-15</w:t>
            </w:r>
          </w:p>
        </w:tc>
        <w:tc>
          <w:tcPr>
            <w:tcW w:w="498" w:type="dxa"/>
            <w:tcBorders>
              <w:top w:val="single" w:sz="4" w:space="0" w:color="000000"/>
              <w:bottom w:val="single" w:sz="4" w:space="0" w:color="000000"/>
            </w:tcBorders>
            <w:textDirection w:val="btLr"/>
            <w:vAlign w:val="center"/>
          </w:tcPr>
          <w:p w14:paraId="395EC3E1" w14:textId="77777777" w:rsidR="00B35DE3" w:rsidRDefault="00B35DE3" w:rsidP="00907D11">
            <w:pPr>
              <w:spacing w:before="0" w:after="0"/>
              <w:ind w:left="113" w:right="113"/>
              <w:rPr>
                <w:b/>
                <w:color w:val="000000"/>
                <w:sz w:val="16"/>
                <w:szCs w:val="16"/>
                <w:lang w:eastAsia="en-AU"/>
              </w:rPr>
            </w:pPr>
            <w:r>
              <w:rPr>
                <w:b/>
                <w:color w:val="000000"/>
                <w:sz w:val="16"/>
                <w:szCs w:val="16"/>
                <w:lang w:eastAsia="en-AU"/>
              </w:rPr>
              <w:t>2015-16</w:t>
            </w:r>
          </w:p>
        </w:tc>
        <w:tc>
          <w:tcPr>
            <w:tcW w:w="456" w:type="dxa"/>
            <w:tcBorders>
              <w:top w:val="single" w:sz="4" w:space="0" w:color="000000"/>
              <w:bottom w:val="single" w:sz="4" w:space="0" w:color="000000"/>
            </w:tcBorders>
            <w:textDirection w:val="btLr"/>
          </w:tcPr>
          <w:p w14:paraId="038D60F0" w14:textId="55B8170D" w:rsidR="00B35DE3" w:rsidRDefault="008574EC" w:rsidP="00907D11">
            <w:pPr>
              <w:spacing w:before="0" w:after="0"/>
              <w:ind w:left="113" w:right="113"/>
              <w:rPr>
                <w:b/>
                <w:color w:val="000000"/>
                <w:sz w:val="16"/>
                <w:szCs w:val="16"/>
                <w:lang w:eastAsia="en-AU"/>
              </w:rPr>
            </w:pPr>
            <w:r>
              <w:rPr>
                <w:b/>
                <w:color w:val="000000"/>
                <w:sz w:val="16"/>
                <w:szCs w:val="16"/>
                <w:lang w:eastAsia="en-AU"/>
              </w:rPr>
              <w:t>2016–17</w:t>
            </w:r>
          </w:p>
        </w:tc>
      </w:tr>
      <w:tr w:rsidR="00B35DE3" w:rsidRPr="00074274" w14:paraId="4E4A5434" w14:textId="77777777" w:rsidTr="0090798E">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14:paraId="006EBC3C" w14:textId="77777777" w:rsidR="00B35DE3" w:rsidRPr="00EC364C" w:rsidRDefault="00B35DE3" w:rsidP="00907D11">
            <w:pPr>
              <w:spacing w:before="0" w:after="0"/>
              <w:rPr>
                <w:color w:val="000000"/>
                <w:sz w:val="20"/>
                <w:szCs w:val="20"/>
                <w:lang w:eastAsia="en-AU"/>
              </w:rPr>
            </w:pPr>
            <w:r>
              <w:rPr>
                <w:color w:val="000000"/>
                <w:sz w:val="20"/>
                <w:szCs w:val="20"/>
                <w:lang w:eastAsia="en-AU"/>
              </w:rPr>
              <w:t>Abundance</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3337F1CF"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FFCC00"/>
            <w:noWrap/>
            <w:vAlign w:val="center"/>
          </w:tcPr>
          <w:p w14:paraId="04446BE5"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38</w:t>
            </w:r>
          </w:p>
        </w:tc>
        <w:tc>
          <w:tcPr>
            <w:tcW w:w="519" w:type="dxa"/>
            <w:shd w:val="clear" w:color="auto" w:fill="FFCC00"/>
            <w:noWrap/>
            <w:vAlign w:val="center"/>
          </w:tcPr>
          <w:p w14:paraId="4FEBD910"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30</w:t>
            </w:r>
          </w:p>
        </w:tc>
        <w:tc>
          <w:tcPr>
            <w:tcW w:w="519" w:type="dxa"/>
            <w:shd w:val="clear" w:color="auto" w:fill="FFFF00"/>
            <w:noWrap/>
            <w:vAlign w:val="center"/>
          </w:tcPr>
          <w:p w14:paraId="25F32B18"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55</w:t>
            </w:r>
          </w:p>
        </w:tc>
        <w:tc>
          <w:tcPr>
            <w:tcW w:w="519" w:type="dxa"/>
            <w:shd w:val="clear" w:color="auto" w:fill="92D050"/>
            <w:noWrap/>
            <w:vAlign w:val="center"/>
          </w:tcPr>
          <w:p w14:paraId="7CC905A4"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70</w:t>
            </w:r>
          </w:p>
        </w:tc>
        <w:tc>
          <w:tcPr>
            <w:tcW w:w="519" w:type="dxa"/>
            <w:shd w:val="clear" w:color="auto" w:fill="FFFF00"/>
            <w:noWrap/>
            <w:vAlign w:val="center"/>
          </w:tcPr>
          <w:p w14:paraId="46EA612F"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54</w:t>
            </w:r>
          </w:p>
        </w:tc>
        <w:tc>
          <w:tcPr>
            <w:tcW w:w="519" w:type="dxa"/>
            <w:shd w:val="clear" w:color="auto" w:fill="FFFF00"/>
            <w:noWrap/>
            <w:vAlign w:val="center"/>
          </w:tcPr>
          <w:p w14:paraId="289F249D"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46</w:t>
            </w:r>
          </w:p>
        </w:tc>
        <w:tc>
          <w:tcPr>
            <w:tcW w:w="519" w:type="dxa"/>
            <w:shd w:val="clear" w:color="auto" w:fill="FF0000"/>
            <w:noWrap/>
            <w:vAlign w:val="center"/>
          </w:tcPr>
          <w:p w14:paraId="7C4C5B05"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7</w:t>
            </w:r>
          </w:p>
        </w:tc>
        <w:tc>
          <w:tcPr>
            <w:tcW w:w="498" w:type="dxa"/>
            <w:shd w:val="clear" w:color="auto" w:fill="FF0000"/>
            <w:vAlign w:val="center"/>
          </w:tcPr>
          <w:p w14:paraId="184CD3AB"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13</w:t>
            </w:r>
          </w:p>
        </w:tc>
        <w:tc>
          <w:tcPr>
            <w:tcW w:w="498" w:type="dxa"/>
            <w:shd w:val="clear" w:color="auto" w:fill="FFCC00"/>
            <w:vAlign w:val="center"/>
          </w:tcPr>
          <w:p w14:paraId="5660FC8B"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21</w:t>
            </w:r>
          </w:p>
        </w:tc>
        <w:tc>
          <w:tcPr>
            <w:tcW w:w="498" w:type="dxa"/>
            <w:shd w:val="clear" w:color="auto" w:fill="FF0000"/>
            <w:vAlign w:val="center"/>
          </w:tcPr>
          <w:p w14:paraId="61C54DE4" w14:textId="77777777" w:rsidR="00B35DE3" w:rsidRPr="00A56E73" w:rsidRDefault="00B35DE3" w:rsidP="00907D11">
            <w:pPr>
              <w:spacing w:before="0" w:after="0"/>
              <w:jc w:val="center"/>
              <w:rPr>
                <w:color w:val="000000"/>
                <w:sz w:val="20"/>
                <w:szCs w:val="20"/>
                <w:lang w:eastAsia="en-AU"/>
              </w:rPr>
            </w:pPr>
            <w:r w:rsidRPr="00A56E73">
              <w:rPr>
                <w:color w:val="000000"/>
                <w:sz w:val="20"/>
                <w:szCs w:val="20"/>
                <w:lang w:eastAsia="en-AU"/>
              </w:rPr>
              <w:t>19</w:t>
            </w:r>
          </w:p>
        </w:tc>
        <w:tc>
          <w:tcPr>
            <w:tcW w:w="498" w:type="dxa"/>
            <w:shd w:val="clear" w:color="auto" w:fill="FFCC00"/>
            <w:vAlign w:val="center"/>
          </w:tcPr>
          <w:p w14:paraId="694A0528" w14:textId="77777777" w:rsidR="00B35DE3" w:rsidRPr="00A56E73" w:rsidRDefault="00B35DE3" w:rsidP="00907D11">
            <w:pPr>
              <w:spacing w:before="0" w:after="0"/>
              <w:jc w:val="center"/>
              <w:rPr>
                <w:color w:val="000000"/>
                <w:sz w:val="20"/>
                <w:szCs w:val="20"/>
                <w:lang w:eastAsia="en-AU"/>
              </w:rPr>
            </w:pPr>
            <w:r w:rsidRPr="00A56E73">
              <w:rPr>
                <w:color w:val="000000"/>
                <w:sz w:val="20"/>
                <w:szCs w:val="20"/>
                <w:lang w:eastAsia="en-AU"/>
              </w:rPr>
              <w:t>38</w:t>
            </w:r>
          </w:p>
        </w:tc>
        <w:tc>
          <w:tcPr>
            <w:tcW w:w="456" w:type="dxa"/>
            <w:shd w:val="clear" w:color="auto" w:fill="FFFF00"/>
            <w:vAlign w:val="center"/>
          </w:tcPr>
          <w:p w14:paraId="57B4CDDC"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48</w:t>
            </w:r>
          </w:p>
        </w:tc>
      </w:tr>
      <w:tr w:rsidR="00B35DE3" w:rsidRPr="00074274" w14:paraId="71B7796B" w14:textId="77777777" w:rsidTr="0090798E">
        <w:trPr>
          <w:trHeight w:val="312"/>
          <w:jc w:val="center"/>
        </w:trPr>
        <w:tc>
          <w:tcPr>
            <w:tcW w:w="1280" w:type="dxa"/>
            <w:vMerge/>
            <w:tcBorders>
              <w:left w:val="single" w:sz="4" w:space="0" w:color="FFFFFF"/>
              <w:right w:val="single" w:sz="4" w:space="0" w:color="FFFFFF"/>
            </w:tcBorders>
            <w:shd w:val="clear" w:color="auto" w:fill="auto"/>
            <w:noWrap/>
            <w:vAlign w:val="center"/>
          </w:tcPr>
          <w:p w14:paraId="148D1C38"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04805535" w14:textId="77777777" w:rsidR="00B35DE3" w:rsidRPr="00EC364C" w:rsidRDefault="00B35DE3" w:rsidP="00907D11">
            <w:pPr>
              <w:spacing w:before="0" w:after="0"/>
              <w:rPr>
                <w:color w:val="000000"/>
                <w:sz w:val="20"/>
                <w:szCs w:val="20"/>
                <w:lang w:eastAsia="en-AU"/>
              </w:rPr>
            </w:pPr>
            <w:r>
              <w:rPr>
                <w:color w:val="000000"/>
                <w:sz w:val="20"/>
                <w:szCs w:val="20"/>
                <w:lang w:eastAsia="en-AU"/>
              </w:rPr>
              <w:t>coastal subtidal</w:t>
            </w:r>
          </w:p>
        </w:tc>
        <w:tc>
          <w:tcPr>
            <w:tcW w:w="519" w:type="dxa"/>
            <w:tcBorders>
              <w:top w:val="single" w:sz="4" w:space="0" w:color="FFFFFF"/>
            </w:tcBorders>
            <w:shd w:val="clear" w:color="auto" w:fill="auto"/>
            <w:noWrap/>
            <w:vAlign w:val="center"/>
          </w:tcPr>
          <w:p w14:paraId="4A5182F5" w14:textId="77777777" w:rsidR="00B35DE3" w:rsidRPr="00EC364C"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3419CD64" w14:textId="77777777" w:rsidR="00B35DE3" w:rsidRPr="00EC364C"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5CE94DBE" w14:textId="77777777" w:rsidR="00B35DE3" w:rsidRPr="00EC364C"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7D5858BF" w14:textId="77777777" w:rsidR="00B35DE3" w:rsidRPr="00EC364C"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415198B7" w14:textId="77777777" w:rsidR="00B35DE3" w:rsidRPr="00EC364C"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725C6BBC" w14:textId="77777777" w:rsidR="00B35DE3" w:rsidRPr="00EC364C"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5E9E0188" w14:textId="77777777" w:rsidR="00B35DE3" w:rsidRPr="00EC364C" w:rsidRDefault="00B35DE3" w:rsidP="00907D11">
            <w:pPr>
              <w:spacing w:before="0" w:after="0"/>
              <w:jc w:val="center"/>
              <w:rPr>
                <w:color w:val="000000"/>
                <w:sz w:val="20"/>
                <w:szCs w:val="20"/>
                <w:lang w:eastAsia="en-AU"/>
              </w:rPr>
            </w:pPr>
          </w:p>
        </w:tc>
        <w:tc>
          <w:tcPr>
            <w:tcW w:w="498" w:type="dxa"/>
            <w:tcBorders>
              <w:top w:val="single" w:sz="4" w:space="0" w:color="FFFFFF"/>
            </w:tcBorders>
            <w:shd w:val="clear" w:color="auto" w:fill="auto"/>
            <w:vAlign w:val="center"/>
          </w:tcPr>
          <w:p w14:paraId="6EADB085" w14:textId="77777777" w:rsidR="00B35DE3" w:rsidRPr="00EC364C" w:rsidRDefault="00B35DE3" w:rsidP="00907D11">
            <w:pPr>
              <w:spacing w:before="0" w:after="0"/>
              <w:jc w:val="center"/>
              <w:rPr>
                <w:color w:val="000000"/>
                <w:sz w:val="20"/>
                <w:szCs w:val="20"/>
                <w:lang w:eastAsia="en-AU"/>
              </w:rPr>
            </w:pPr>
          </w:p>
        </w:tc>
        <w:tc>
          <w:tcPr>
            <w:tcW w:w="498" w:type="dxa"/>
            <w:tcBorders>
              <w:top w:val="single" w:sz="4" w:space="0" w:color="FFFFFF"/>
            </w:tcBorders>
            <w:shd w:val="clear" w:color="auto" w:fill="auto"/>
            <w:vAlign w:val="center"/>
          </w:tcPr>
          <w:p w14:paraId="1859D0A9" w14:textId="77777777" w:rsidR="00B35DE3" w:rsidRPr="00EC364C" w:rsidRDefault="00B35DE3" w:rsidP="00907D11">
            <w:pPr>
              <w:spacing w:before="0" w:after="0"/>
              <w:jc w:val="center"/>
              <w:rPr>
                <w:color w:val="000000"/>
                <w:sz w:val="20"/>
                <w:szCs w:val="20"/>
                <w:lang w:eastAsia="en-AU"/>
              </w:rPr>
            </w:pPr>
          </w:p>
        </w:tc>
        <w:tc>
          <w:tcPr>
            <w:tcW w:w="498" w:type="dxa"/>
            <w:tcBorders>
              <w:top w:val="single" w:sz="4" w:space="0" w:color="FFFFFF"/>
            </w:tcBorders>
            <w:shd w:val="clear" w:color="auto" w:fill="auto"/>
            <w:vAlign w:val="center"/>
          </w:tcPr>
          <w:p w14:paraId="48A69E10" w14:textId="77777777" w:rsidR="00B35DE3" w:rsidRPr="00A56E73" w:rsidRDefault="00B35DE3" w:rsidP="00907D11">
            <w:pPr>
              <w:spacing w:before="0" w:after="0"/>
              <w:jc w:val="center"/>
              <w:rPr>
                <w:color w:val="000000"/>
                <w:sz w:val="20"/>
                <w:szCs w:val="20"/>
                <w:lang w:eastAsia="en-AU"/>
              </w:rPr>
            </w:pPr>
          </w:p>
        </w:tc>
        <w:tc>
          <w:tcPr>
            <w:tcW w:w="498" w:type="dxa"/>
            <w:tcBorders>
              <w:top w:val="single" w:sz="4" w:space="0" w:color="FFFFFF"/>
            </w:tcBorders>
            <w:shd w:val="clear" w:color="auto" w:fill="FFCC00"/>
            <w:vAlign w:val="center"/>
          </w:tcPr>
          <w:p w14:paraId="3B0AAE45" w14:textId="77777777" w:rsidR="00B35DE3" w:rsidRPr="00A56E73" w:rsidRDefault="00B35DE3" w:rsidP="00907D11">
            <w:pPr>
              <w:spacing w:before="0" w:after="0"/>
              <w:jc w:val="center"/>
              <w:rPr>
                <w:color w:val="000000"/>
                <w:sz w:val="20"/>
                <w:szCs w:val="20"/>
                <w:lang w:eastAsia="en-AU"/>
              </w:rPr>
            </w:pPr>
            <w:r>
              <w:rPr>
                <w:color w:val="000000"/>
                <w:sz w:val="20"/>
                <w:szCs w:val="20"/>
                <w:lang w:eastAsia="en-AU"/>
              </w:rPr>
              <w:t>33</w:t>
            </w:r>
          </w:p>
        </w:tc>
        <w:tc>
          <w:tcPr>
            <w:tcW w:w="456" w:type="dxa"/>
            <w:tcBorders>
              <w:top w:val="single" w:sz="4" w:space="0" w:color="FFFFFF"/>
            </w:tcBorders>
            <w:shd w:val="clear" w:color="auto" w:fill="FFFFFF" w:themeFill="background1"/>
            <w:vAlign w:val="center"/>
          </w:tcPr>
          <w:p w14:paraId="23CC5A78" w14:textId="77777777" w:rsidR="00B35DE3" w:rsidRPr="00074274" w:rsidRDefault="00B35DE3" w:rsidP="00907D11">
            <w:pPr>
              <w:spacing w:before="0" w:after="0"/>
              <w:jc w:val="center"/>
              <w:rPr>
                <w:color w:val="000000"/>
                <w:sz w:val="20"/>
                <w:szCs w:val="20"/>
                <w:lang w:eastAsia="en-AU"/>
              </w:rPr>
            </w:pPr>
          </w:p>
        </w:tc>
      </w:tr>
      <w:tr w:rsidR="00B35DE3" w:rsidRPr="00074274" w14:paraId="4971E071" w14:textId="77777777" w:rsidTr="0090798E">
        <w:trPr>
          <w:trHeight w:val="312"/>
          <w:jc w:val="center"/>
        </w:trPr>
        <w:tc>
          <w:tcPr>
            <w:tcW w:w="1280" w:type="dxa"/>
            <w:vMerge/>
            <w:tcBorders>
              <w:left w:val="single" w:sz="4" w:space="0" w:color="FFFFFF"/>
              <w:right w:val="single" w:sz="4" w:space="0" w:color="FFFFFF"/>
            </w:tcBorders>
            <w:shd w:val="clear" w:color="auto" w:fill="auto"/>
            <w:noWrap/>
            <w:vAlign w:val="center"/>
          </w:tcPr>
          <w:p w14:paraId="26B9F72F"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474C7C8C"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92D050"/>
            <w:noWrap/>
            <w:vAlign w:val="center"/>
          </w:tcPr>
          <w:p w14:paraId="5C52E2B8"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72</w:t>
            </w:r>
          </w:p>
        </w:tc>
        <w:tc>
          <w:tcPr>
            <w:tcW w:w="519" w:type="dxa"/>
            <w:tcBorders>
              <w:top w:val="single" w:sz="4" w:space="0" w:color="FFFFFF"/>
            </w:tcBorders>
            <w:shd w:val="clear" w:color="auto" w:fill="FFFF00"/>
            <w:noWrap/>
            <w:vAlign w:val="center"/>
          </w:tcPr>
          <w:p w14:paraId="72D0A134"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58</w:t>
            </w:r>
          </w:p>
        </w:tc>
        <w:tc>
          <w:tcPr>
            <w:tcW w:w="519" w:type="dxa"/>
            <w:tcBorders>
              <w:top w:val="single" w:sz="4" w:space="0" w:color="FFFFFF"/>
            </w:tcBorders>
            <w:shd w:val="clear" w:color="auto" w:fill="FFFF00"/>
            <w:noWrap/>
            <w:vAlign w:val="center"/>
          </w:tcPr>
          <w:p w14:paraId="48C54B77"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43</w:t>
            </w:r>
          </w:p>
        </w:tc>
        <w:tc>
          <w:tcPr>
            <w:tcW w:w="519" w:type="dxa"/>
            <w:tcBorders>
              <w:top w:val="single" w:sz="4" w:space="0" w:color="FFFFFF"/>
            </w:tcBorders>
            <w:shd w:val="clear" w:color="auto" w:fill="FFCC00"/>
            <w:noWrap/>
            <w:vAlign w:val="center"/>
          </w:tcPr>
          <w:p w14:paraId="53ECEC92"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35</w:t>
            </w:r>
          </w:p>
        </w:tc>
        <w:tc>
          <w:tcPr>
            <w:tcW w:w="519" w:type="dxa"/>
            <w:tcBorders>
              <w:top w:val="single" w:sz="4" w:space="0" w:color="FFFFFF"/>
            </w:tcBorders>
            <w:shd w:val="clear" w:color="auto" w:fill="FFCC00"/>
            <w:noWrap/>
            <w:vAlign w:val="center"/>
          </w:tcPr>
          <w:p w14:paraId="433C7CCC"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35</w:t>
            </w:r>
          </w:p>
        </w:tc>
        <w:tc>
          <w:tcPr>
            <w:tcW w:w="519" w:type="dxa"/>
            <w:tcBorders>
              <w:top w:val="single" w:sz="4" w:space="0" w:color="FFFFFF"/>
            </w:tcBorders>
            <w:shd w:val="clear" w:color="auto" w:fill="FF0000"/>
            <w:noWrap/>
            <w:vAlign w:val="center"/>
          </w:tcPr>
          <w:p w14:paraId="028C7D33"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19</w:t>
            </w:r>
          </w:p>
        </w:tc>
        <w:tc>
          <w:tcPr>
            <w:tcW w:w="519" w:type="dxa"/>
            <w:tcBorders>
              <w:top w:val="single" w:sz="4" w:space="0" w:color="FFFFFF"/>
            </w:tcBorders>
            <w:shd w:val="clear" w:color="auto" w:fill="FF0000"/>
            <w:noWrap/>
            <w:vAlign w:val="center"/>
          </w:tcPr>
          <w:p w14:paraId="62ABADE5"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17</w:t>
            </w:r>
          </w:p>
        </w:tc>
        <w:tc>
          <w:tcPr>
            <w:tcW w:w="498" w:type="dxa"/>
            <w:tcBorders>
              <w:top w:val="single" w:sz="4" w:space="0" w:color="FFFFFF"/>
            </w:tcBorders>
            <w:shd w:val="clear" w:color="auto" w:fill="FFCC00"/>
            <w:vAlign w:val="center"/>
          </w:tcPr>
          <w:p w14:paraId="6F3B1603"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21</w:t>
            </w:r>
          </w:p>
        </w:tc>
        <w:tc>
          <w:tcPr>
            <w:tcW w:w="498" w:type="dxa"/>
            <w:tcBorders>
              <w:top w:val="single" w:sz="4" w:space="0" w:color="FFFFFF"/>
            </w:tcBorders>
            <w:shd w:val="clear" w:color="auto" w:fill="FFCC00"/>
            <w:vAlign w:val="center"/>
          </w:tcPr>
          <w:p w14:paraId="48C8708B"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28</w:t>
            </w:r>
          </w:p>
        </w:tc>
        <w:tc>
          <w:tcPr>
            <w:tcW w:w="498" w:type="dxa"/>
            <w:tcBorders>
              <w:top w:val="single" w:sz="4" w:space="0" w:color="FFFFFF"/>
            </w:tcBorders>
            <w:shd w:val="clear" w:color="auto" w:fill="FF0000"/>
            <w:vAlign w:val="center"/>
          </w:tcPr>
          <w:p w14:paraId="4C925D49" w14:textId="77777777" w:rsidR="00B35DE3" w:rsidRPr="00A56E73" w:rsidRDefault="00B35DE3" w:rsidP="00907D11">
            <w:pPr>
              <w:spacing w:before="0" w:after="0"/>
              <w:jc w:val="center"/>
              <w:rPr>
                <w:color w:val="000000"/>
                <w:sz w:val="20"/>
                <w:szCs w:val="20"/>
                <w:lang w:eastAsia="en-AU"/>
              </w:rPr>
            </w:pPr>
            <w:r w:rsidRPr="00A56E73">
              <w:rPr>
                <w:color w:val="000000"/>
                <w:sz w:val="20"/>
                <w:szCs w:val="20"/>
                <w:lang w:eastAsia="en-AU"/>
              </w:rPr>
              <w:t>20</w:t>
            </w:r>
          </w:p>
        </w:tc>
        <w:tc>
          <w:tcPr>
            <w:tcW w:w="498" w:type="dxa"/>
            <w:tcBorders>
              <w:top w:val="single" w:sz="4" w:space="0" w:color="FFFFFF"/>
            </w:tcBorders>
            <w:shd w:val="clear" w:color="auto" w:fill="FF0000"/>
            <w:vAlign w:val="center"/>
          </w:tcPr>
          <w:p w14:paraId="26119CBA" w14:textId="77777777" w:rsidR="00B35DE3" w:rsidRPr="00056DBB" w:rsidRDefault="00B35DE3" w:rsidP="00907D11">
            <w:pPr>
              <w:spacing w:before="0" w:after="0"/>
              <w:jc w:val="center"/>
              <w:rPr>
                <w:sz w:val="20"/>
                <w:szCs w:val="20"/>
              </w:rPr>
            </w:pPr>
            <w:r>
              <w:rPr>
                <w:sz w:val="20"/>
                <w:szCs w:val="20"/>
              </w:rPr>
              <w:t>20</w:t>
            </w:r>
          </w:p>
        </w:tc>
        <w:tc>
          <w:tcPr>
            <w:tcW w:w="456" w:type="dxa"/>
            <w:tcBorders>
              <w:top w:val="single" w:sz="4" w:space="0" w:color="FFFFFF"/>
            </w:tcBorders>
            <w:shd w:val="clear" w:color="auto" w:fill="FFCC00"/>
            <w:vAlign w:val="center"/>
          </w:tcPr>
          <w:p w14:paraId="0CB651EE"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26</w:t>
            </w:r>
          </w:p>
        </w:tc>
      </w:tr>
      <w:tr w:rsidR="00B35DE3" w:rsidRPr="00074274" w14:paraId="362BDB48" w14:textId="77777777" w:rsidTr="0090798E">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14:paraId="30BC25BE"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14:paraId="3D00C9EF"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624F9C7B" w14:textId="77777777" w:rsidR="00B35DE3" w:rsidRPr="00EC364C"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2332FF8A" w14:textId="77777777" w:rsidR="00B35DE3" w:rsidRPr="00EC364C"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FF0000"/>
            <w:noWrap/>
            <w:vAlign w:val="center"/>
          </w:tcPr>
          <w:p w14:paraId="76821756"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0</w:t>
            </w:r>
          </w:p>
        </w:tc>
        <w:tc>
          <w:tcPr>
            <w:tcW w:w="519" w:type="dxa"/>
            <w:tcBorders>
              <w:bottom w:val="single" w:sz="4" w:space="0" w:color="FFFFFF"/>
            </w:tcBorders>
            <w:shd w:val="clear" w:color="auto" w:fill="FFCC00"/>
            <w:noWrap/>
            <w:vAlign w:val="center"/>
          </w:tcPr>
          <w:p w14:paraId="77C64602"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33</w:t>
            </w:r>
          </w:p>
        </w:tc>
        <w:tc>
          <w:tcPr>
            <w:tcW w:w="519" w:type="dxa"/>
            <w:tcBorders>
              <w:bottom w:val="single" w:sz="4" w:space="0" w:color="FFFFFF"/>
            </w:tcBorders>
            <w:shd w:val="clear" w:color="auto" w:fill="FFCC00"/>
            <w:noWrap/>
            <w:vAlign w:val="center"/>
          </w:tcPr>
          <w:p w14:paraId="0C78C007"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23</w:t>
            </w:r>
          </w:p>
        </w:tc>
        <w:tc>
          <w:tcPr>
            <w:tcW w:w="519" w:type="dxa"/>
            <w:tcBorders>
              <w:bottom w:val="single" w:sz="4" w:space="0" w:color="FFFFFF"/>
            </w:tcBorders>
            <w:shd w:val="clear" w:color="auto" w:fill="FFCC00"/>
            <w:noWrap/>
            <w:vAlign w:val="center"/>
          </w:tcPr>
          <w:p w14:paraId="0F6B856B"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27</w:t>
            </w:r>
          </w:p>
        </w:tc>
        <w:tc>
          <w:tcPr>
            <w:tcW w:w="519" w:type="dxa"/>
            <w:tcBorders>
              <w:bottom w:val="single" w:sz="4" w:space="0" w:color="FFFFFF"/>
            </w:tcBorders>
            <w:shd w:val="clear" w:color="auto" w:fill="FFCC00"/>
            <w:noWrap/>
            <w:vAlign w:val="center"/>
          </w:tcPr>
          <w:p w14:paraId="2AEA082E"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34</w:t>
            </w:r>
          </w:p>
        </w:tc>
        <w:tc>
          <w:tcPr>
            <w:tcW w:w="498" w:type="dxa"/>
            <w:tcBorders>
              <w:bottom w:val="single" w:sz="4" w:space="0" w:color="FFFFFF"/>
            </w:tcBorders>
            <w:shd w:val="clear" w:color="auto" w:fill="FFCC00"/>
            <w:vAlign w:val="center"/>
          </w:tcPr>
          <w:p w14:paraId="6F4889ED" w14:textId="77777777"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37</w:t>
            </w:r>
          </w:p>
        </w:tc>
        <w:tc>
          <w:tcPr>
            <w:tcW w:w="498" w:type="dxa"/>
            <w:tcBorders>
              <w:bottom w:val="single" w:sz="4" w:space="0" w:color="FFFFFF"/>
            </w:tcBorders>
            <w:shd w:val="clear" w:color="auto" w:fill="FFCC00"/>
            <w:vAlign w:val="center"/>
          </w:tcPr>
          <w:p w14:paraId="4CE0324C" w14:textId="015448C6" w:rsidR="00B35DE3" w:rsidRPr="00EC364C" w:rsidRDefault="00B35DE3" w:rsidP="00907D11">
            <w:pPr>
              <w:spacing w:before="0" w:after="0"/>
              <w:jc w:val="center"/>
              <w:rPr>
                <w:color w:val="000000"/>
                <w:sz w:val="20"/>
                <w:szCs w:val="20"/>
                <w:lang w:eastAsia="en-AU"/>
              </w:rPr>
            </w:pPr>
            <w:r w:rsidRPr="00EC364C">
              <w:rPr>
                <w:color w:val="000000"/>
                <w:sz w:val="20"/>
                <w:szCs w:val="20"/>
                <w:lang w:eastAsia="en-AU"/>
              </w:rPr>
              <w:t>2</w:t>
            </w:r>
            <w:r w:rsidR="008F6ECE">
              <w:rPr>
                <w:color w:val="000000"/>
                <w:sz w:val="20"/>
                <w:szCs w:val="20"/>
                <w:lang w:eastAsia="en-AU"/>
              </w:rPr>
              <w:t>1</w:t>
            </w:r>
          </w:p>
        </w:tc>
        <w:tc>
          <w:tcPr>
            <w:tcW w:w="498" w:type="dxa"/>
            <w:tcBorders>
              <w:bottom w:val="single" w:sz="4" w:space="0" w:color="FFFFFF"/>
            </w:tcBorders>
            <w:shd w:val="clear" w:color="auto" w:fill="FF0000"/>
            <w:vAlign w:val="center"/>
          </w:tcPr>
          <w:p w14:paraId="4FF66859" w14:textId="77777777" w:rsidR="00B35DE3" w:rsidRPr="00A56E73" w:rsidRDefault="00B35DE3" w:rsidP="00907D11">
            <w:pPr>
              <w:spacing w:before="0" w:after="0"/>
              <w:jc w:val="center"/>
              <w:rPr>
                <w:color w:val="000000"/>
                <w:sz w:val="20"/>
                <w:szCs w:val="20"/>
                <w:lang w:eastAsia="en-AU"/>
              </w:rPr>
            </w:pPr>
            <w:r w:rsidRPr="00A56E73">
              <w:rPr>
                <w:color w:val="000000"/>
                <w:sz w:val="20"/>
                <w:szCs w:val="20"/>
                <w:lang w:eastAsia="en-AU"/>
              </w:rPr>
              <w:t>15</w:t>
            </w:r>
          </w:p>
        </w:tc>
        <w:tc>
          <w:tcPr>
            <w:tcW w:w="498" w:type="dxa"/>
            <w:tcBorders>
              <w:bottom w:val="single" w:sz="4" w:space="0" w:color="FFFFFF"/>
            </w:tcBorders>
            <w:shd w:val="clear" w:color="auto" w:fill="FF0000"/>
            <w:vAlign w:val="center"/>
          </w:tcPr>
          <w:p w14:paraId="3B0DF6E6" w14:textId="77777777" w:rsidR="00B35DE3" w:rsidRPr="00056DBB" w:rsidRDefault="00B35DE3" w:rsidP="00907D11">
            <w:pPr>
              <w:spacing w:before="0" w:after="0"/>
              <w:jc w:val="center"/>
              <w:rPr>
                <w:sz w:val="20"/>
                <w:szCs w:val="20"/>
              </w:rPr>
            </w:pPr>
            <w:r>
              <w:rPr>
                <w:sz w:val="20"/>
                <w:szCs w:val="20"/>
              </w:rPr>
              <w:t>17</w:t>
            </w:r>
          </w:p>
        </w:tc>
        <w:tc>
          <w:tcPr>
            <w:tcW w:w="456" w:type="dxa"/>
            <w:tcBorders>
              <w:bottom w:val="single" w:sz="4" w:space="0" w:color="FFFFFF"/>
            </w:tcBorders>
            <w:shd w:val="clear" w:color="auto" w:fill="FF0000"/>
            <w:vAlign w:val="center"/>
          </w:tcPr>
          <w:p w14:paraId="21C5A3DB"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6</w:t>
            </w:r>
          </w:p>
        </w:tc>
      </w:tr>
      <w:tr w:rsidR="00B35DE3" w:rsidRPr="00074274" w14:paraId="5FDF78E2" w14:textId="77777777" w:rsidTr="0090798E">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14:paraId="4B882103" w14:textId="77777777" w:rsidR="00B35DE3" w:rsidRDefault="00B35DE3" w:rsidP="00907D11">
            <w:pPr>
              <w:spacing w:before="0" w:after="0" w:line="200" w:lineRule="exact"/>
              <w:ind w:left="-57" w:right="-57"/>
              <w:rPr>
                <w:color w:val="000000"/>
                <w:sz w:val="20"/>
                <w:szCs w:val="20"/>
                <w:lang w:eastAsia="en-AU"/>
              </w:rPr>
            </w:pPr>
            <w:r>
              <w:rPr>
                <w:color w:val="000000"/>
                <w:sz w:val="20"/>
                <w:szCs w:val="20"/>
                <w:lang w:eastAsia="en-AU"/>
              </w:rPr>
              <w:t>R</w:t>
            </w:r>
            <w:r w:rsidRPr="000C1668">
              <w:rPr>
                <w:color w:val="000000"/>
                <w:sz w:val="20"/>
                <w:szCs w:val="20"/>
                <w:lang w:eastAsia="en-AU"/>
              </w:rPr>
              <w:t>eproductive</w:t>
            </w:r>
          </w:p>
          <w:p w14:paraId="40675159" w14:textId="77777777" w:rsidR="00B35DE3" w:rsidRPr="00EC364C" w:rsidRDefault="00B35DE3" w:rsidP="00907D11">
            <w:pPr>
              <w:spacing w:before="0" w:after="0"/>
              <w:rPr>
                <w:color w:val="000000"/>
                <w:sz w:val="20"/>
                <w:szCs w:val="20"/>
                <w:lang w:eastAsia="en-AU"/>
              </w:rPr>
            </w:pPr>
            <w:r>
              <w:rPr>
                <w:color w:val="000000"/>
                <w:sz w:val="20"/>
                <w:szCs w:val="20"/>
                <w:lang w:eastAsia="en-AU"/>
              </w:rPr>
              <w:t>effort</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56A89454"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themeColor="background1"/>
              <w:left w:val="single" w:sz="4" w:space="0" w:color="FFFFFF"/>
            </w:tcBorders>
            <w:shd w:val="clear" w:color="auto" w:fill="FF0000"/>
            <w:noWrap/>
            <w:vAlign w:val="center"/>
          </w:tcPr>
          <w:p w14:paraId="1C4F41EB"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27A0A153"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5859B588"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04960E15"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0BA6EFC8"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6</w:t>
            </w:r>
          </w:p>
        </w:tc>
        <w:tc>
          <w:tcPr>
            <w:tcW w:w="519" w:type="dxa"/>
            <w:tcBorders>
              <w:top w:val="single" w:sz="4" w:space="0" w:color="FFFFFF" w:themeColor="background1"/>
            </w:tcBorders>
            <w:shd w:val="clear" w:color="auto" w:fill="FF0000"/>
            <w:noWrap/>
            <w:vAlign w:val="center"/>
          </w:tcPr>
          <w:p w14:paraId="1E498F52"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070BF118"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498" w:type="dxa"/>
            <w:tcBorders>
              <w:top w:val="single" w:sz="4" w:space="0" w:color="FFFFFF" w:themeColor="background1"/>
            </w:tcBorders>
            <w:shd w:val="clear" w:color="auto" w:fill="FF0000"/>
            <w:vAlign w:val="center"/>
          </w:tcPr>
          <w:p w14:paraId="702CD0F3"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498" w:type="dxa"/>
            <w:tcBorders>
              <w:top w:val="single" w:sz="4" w:space="0" w:color="FFFFFF" w:themeColor="background1"/>
            </w:tcBorders>
            <w:shd w:val="clear" w:color="auto" w:fill="FF0000"/>
            <w:vAlign w:val="center"/>
          </w:tcPr>
          <w:p w14:paraId="0258F311"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498" w:type="dxa"/>
            <w:tcBorders>
              <w:top w:val="single" w:sz="4" w:space="0" w:color="FFFFFF" w:themeColor="background1"/>
            </w:tcBorders>
            <w:shd w:val="clear" w:color="auto" w:fill="FF0000"/>
            <w:vAlign w:val="center"/>
          </w:tcPr>
          <w:p w14:paraId="29717F29" w14:textId="77777777" w:rsidR="00B35DE3" w:rsidRPr="005556A8" w:rsidRDefault="00B35DE3" w:rsidP="00907D11">
            <w:pPr>
              <w:spacing w:before="0" w:after="0"/>
              <w:jc w:val="center"/>
              <w:rPr>
                <w:color w:val="000000"/>
                <w:sz w:val="20"/>
                <w:szCs w:val="20"/>
                <w:lang w:eastAsia="en-AU"/>
              </w:rPr>
            </w:pPr>
            <w:r>
              <w:rPr>
                <w:color w:val="000000"/>
                <w:sz w:val="20"/>
                <w:szCs w:val="20"/>
                <w:lang w:eastAsia="en-AU"/>
              </w:rPr>
              <w:t>0</w:t>
            </w:r>
          </w:p>
        </w:tc>
        <w:tc>
          <w:tcPr>
            <w:tcW w:w="498" w:type="dxa"/>
            <w:tcBorders>
              <w:top w:val="single" w:sz="4" w:space="0" w:color="FFFFFF" w:themeColor="background1"/>
            </w:tcBorders>
            <w:shd w:val="clear" w:color="auto" w:fill="FF0000"/>
            <w:vAlign w:val="center"/>
          </w:tcPr>
          <w:p w14:paraId="02281347" w14:textId="77777777" w:rsidR="00B35DE3" w:rsidRPr="00623C6D" w:rsidRDefault="00B35DE3" w:rsidP="00907D11">
            <w:pPr>
              <w:spacing w:before="0" w:after="0"/>
              <w:jc w:val="center"/>
              <w:rPr>
                <w:sz w:val="20"/>
                <w:szCs w:val="20"/>
              </w:rPr>
            </w:pPr>
            <w:r>
              <w:rPr>
                <w:sz w:val="20"/>
                <w:szCs w:val="20"/>
              </w:rPr>
              <w:t>19</w:t>
            </w:r>
          </w:p>
        </w:tc>
        <w:tc>
          <w:tcPr>
            <w:tcW w:w="456" w:type="dxa"/>
            <w:tcBorders>
              <w:top w:val="single" w:sz="4" w:space="0" w:color="FFFFFF" w:themeColor="background1"/>
            </w:tcBorders>
            <w:shd w:val="clear" w:color="auto" w:fill="FF0000"/>
            <w:vAlign w:val="center"/>
          </w:tcPr>
          <w:p w14:paraId="56784AEE"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0</w:t>
            </w:r>
          </w:p>
        </w:tc>
      </w:tr>
      <w:tr w:rsidR="00B35DE3" w:rsidRPr="00074274" w14:paraId="6CED0C28" w14:textId="77777777" w:rsidTr="0090798E">
        <w:trPr>
          <w:trHeight w:val="312"/>
          <w:jc w:val="center"/>
        </w:trPr>
        <w:tc>
          <w:tcPr>
            <w:tcW w:w="1280" w:type="dxa"/>
            <w:vMerge/>
            <w:tcBorders>
              <w:left w:val="single" w:sz="4" w:space="0" w:color="FFFFFF"/>
              <w:right w:val="single" w:sz="4" w:space="0" w:color="FFFFFF"/>
            </w:tcBorders>
            <w:shd w:val="clear" w:color="auto" w:fill="auto"/>
            <w:noWrap/>
            <w:vAlign w:val="center"/>
          </w:tcPr>
          <w:p w14:paraId="1B2D6094"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36DEC583"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FF0000"/>
            <w:noWrap/>
            <w:vAlign w:val="center"/>
          </w:tcPr>
          <w:p w14:paraId="1B4C11D4"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0000"/>
            <w:noWrap/>
            <w:vAlign w:val="center"/>
          </w:tcPr>
          <w:p w14:paraId="5054A052"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0000"/>
            <w:noWrap/>
            <w:vAlign w:val="center"/>
          </w:tcPr>
          <w:p w14:paraId="59974D5E"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CC00"/>
            <w:noWrap/>
            <w:vAlign w:val="center"/>
          </w:tcPr>
          <w:p w14:paraId="1C7FF85A"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38</w:t>
            </w:r>
          </w:p>
        </w:tc>
        <w:tc>
          <w:tcPr>
            <w:tcW w:w="519" w:type="dxa"/>
            <w:tcBorders>
              <w:top w:val="single" w:sz="4" w:space="0" w:color="FFFFFF"/>
            </w:tcBorders>
            <w:shd w:val="clear" w:color="auto" w:fill="FF0000"/>
            <w:noWrap/>
            <w:vAlign w:val="center"/>
          </w:tcPr>
          <w:p w14:paraId="74674911"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19</w:t>
            </w:r>
          </w:p>
        </w:tc>
        <w:tc>
          <w:tcPr>
            <w:tcW w:w="519" w:type="dxa"/>
            <w:tcBorders>
              <w:top w:val="single" w:sz="4" w:space="0" w:color="FFFFFF"/>
            </w:tcBorders>
            <w:shd w:val="clear" w:color="auto" w:fill="FF0000"/>
            <w:noWrap/>
            <w:vAlign w:val="center"/>
          </w:tcPr>
          <w:p w14:paraId="396B101B"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20</w:t>
            </w:r>
          </w:p>
        </w:tc>
        <w:tc>
          <w:tcPr>
            <w:tcW w:w="519" w:type="dxa"/>
            <w:tcBorders>
              <w:top w:val="single" w:sz="4" w:space="0" w:color="FFFFFF"/>
            </w:tcBorders>
            <w:shd w:val="clear" w:color="auto" w:fill="FF0000"/>
            <w:noWrap/>
            <w:vAlign w:val="center"/>
          </w:tcPr>
          <w:p w14:paraId="5B55AA42"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10</w:t>
            </w:r>
          </w:p>
        </w:tc>
        <w:tc>
          <w:tcPr>
            <w:tcW w:w="498" w:type="dxa"/>
            <w:tcBorders>
              <w:top w:val="single" w:sz="4" w:space="0" w:color="FFFFFF"/>
            </w:tcBorders>
            <w:shd w:val="clear" w:color="auto" w:fill="FF0000"/>
            <w:vAlign w:val="center"/>
          </w:tcPr>
          <w:p w14:paraId="007186A3"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498" w:type="dxa"/>
            <w:tcBorders>
              <w:top w:val="single" w:sz="4" w:space="0" w:color="FFFFFF"/>
            </w:tcBorders>
            <w:shd w:val="clear" w:color="auto" w:fill="FF0000"/>
            <w:vAlign w:val="center"/>
          </w:tcPr>
          <w:p w14:paraId="1E46DAD5"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10</w:t>
            </w:r>
          </w:p>
        </w:tc>
        <w:tc>
          <w:tcPr>
            <w:tcW w:w="498" w:type="dxa"/>
            <w:tcBorders>
              <w:top w:val="single" w:sz="4" w:space="0" w:color="FFFFFF"/>
            </w:tcBorders>
            <w:shd w:val="clear" w:color="auto" w:fill="FF0000"/>
            <w:vAlign w:val="center"/>
          </w:tcPr>
          <w:p w14:paraId="1F45D906" w14:textId="77777777" w:rsidR="00B35DE3" w:rsidRPr="005556A8" w:rsidRDefault="00B35DE3" w:rsidP="00907D11">
            <w:pPr>
              <w:spacing w:before="0" w:after="0"/>
              <w:jc w:val="center"/>
              <w:rPr>
                <w:color w:val="000000"/>
                <w:sz w:val="20"/>
                <w:szCs w:val="20"/>
                <w:lang w:eastAsia="en-AU"/>
              </w:rPr>
            </w:pPr>
            <w:r>
              <w:rPr>
                <w:color w:val="000000"/>
                <w:sz w:val="20"/>
                <w:szCs w:val="20"/>
                <w:lang w:eastAsia="en-AU"/>
              </w:rPr>
              <w:t>8</w:t>
            </w:r>
          </w:p>
        </w:tc>
        <w:tc>
          <w:tcPr>
            <w:tcW w:w="498" w:type="dxa"/>
            <w:tcBorders>
              <w:top w:val="single" w:sz="4" w:space="0" w:color="FFFFFF"/>
            </w:tcBorders>
            <w:shd w:val="clear" w:color="auto" w:fill="FF0000"/>
            <w:vAlign w:val="center"/>
          </w:tcPr>
          <w:p w14:paraId="55A390A2" w14:textId="77777777" w:rsidR="00B35DE3" w:rsidRPr="00623C6D" w:rsidRDefault="00B35DE3" w:rsidP="00907D11">
            <w:pPr>
              <w:spacing w:before="0" w:after="0"/>
              <w:jc w:val="center"/>
              <w:rPr>
                <w:sz w:val="20"/>
                <w:szCs w:val="20"/>
              </w:rPr>
            </w:pPr>
            <w:r>
              <w:rPr>
                <w:sz w:val="20"/>
                <w:szCs w:val="20"/>
              </w:rPr>
              <w:t>10</w:t>
            </w:r>
          </w:p>
        </w:tc>
        <w:tc>
          <w:tcPr>
            <w:tcW w:w="456" w:type="dxa"/>
            <w:tcBorders>
              <w:top w:val="single" w:sz="4" w:space="0" w:color="FFFFFF"/>
            </w:tcBorders>
            <w:shd w:val="clear" w:color="auto" w:fill="FF0000"/>
            <w:vAlign w:val="center"/>
          </w:tcPr>
          <w:p w14:paraId="7EF08A0D"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5</w:t>
            </w:r>
          </w:p>
        </w:tc>
      </w:tr>
      <w:tr w:rsidR="00B35DE3" w:rsidRPr="00074274" w14:paraId="59F6DDF8" w14:textId="77777777" w:rsidTr="0090798E">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14:paraId="5CF8490D"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14:paraId="3C174E91"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652DD828" w14:textId="77777777" w:rsidR="00B35DE3" w:rsidRPr="005556A8"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2ACA5B50" w14:textId="77777777" w:rsidR="00B35DE3" w:rsidRPr="005556A8"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301DCB4E" w14:textId="77777777" w:rsidR="00B35DE3" w:rsidRPr="005556A8"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020D2E81" w14:textId="77777777" w:rsidR="00B35DE3" w:rsidRPr="005556A8"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4EBDC30F" w14:textId="77777777" w:rsidR="00B35DE3" w:rsidRPr="005556A8"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FF0000"/>
            <w:noWrap/>
            <w:vAlign w:val="center"/>
          </w:tcPr>
          <w:p w14:paraId="60F0F921"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CC00"/>
            <w:noWrap/>
            <w:vAlign w:val="center"/>
          </w:tcPr>
          <w:p w14:paraId="1792604D"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33</w:t>
            </w:r>
          </w:p>
        </w:tc>
        <w:tc>
          <w:tcPr>
            <w:tcW w:w="498" w:type="dxa"/>
            <w:tcBorders>
              <w:bottom w:val="single" w:sz="4" w:space="0" w:color="FFFFFF"/>
            </w:tcBorders>
            <w:shd w:val="clear" w:color="auto" w:fill="FF0000"/>
            <w:vAlign w:val="center"/>
          </w:tcPr>
          <w:p w14:paraId="6585205E"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0</w:t>
            </w:r>
          </w:p>
        </w:tc>
        <w:tc>
          <w:tcPr>
            <w:tcW w:w="498" w:type="dxa"/>
            <w:tcBorders>
              <w:bottom w:val="single" w:sz="4" w:space="0" w:color="FFFFFF"/>
            </w:tcBorders>
            <w:shd w:val="clear" w:color="auto" w:fill="FFCC00"/>
            <w:vAlign w:val="center"/>
          </w:tcPr>
          <w:p w14:paraId="3F37B168" w14:textId="77777777" w:rsidR="00B35DE3" w:rsidRPr="005556A8" w:rsidRDefault="00B35DE3" w:rsidP="00907D11">
            <w:pPr>
              <w:spacing w:before="0" w:after="0"/>
              <w:jc w:val="center"/>
              <w:rPr>
                <w:color w:val="000000"/>
                <w:sz w:val="20"/>
                <w:szCs w:val="20"/>
                <w:lang w:eastAsia="en-AU"/>
              </w:rPr>
            </w:pPr>
            <w:r w:rsidRPr="005556A8">
              <w:rPr>
                <w:color w:val="000000"/>
                <w:sz w:val="20"/>
                <w:szCs w:val="20"/>
                <w:lang w:eastAsia="en-AU"/>
              </w:rPr>
              <w:t>25</w:t>
            </w:r>
          </w:p>
        </w:tc>
        <w:tc>
          <w:tcPr>
            <w:tcW w:w="498" w:type="dxa"/>
            <w:tcBorders>
              <w:bottom w:val="single" w:sz="4" w:space="0" w:color="FFFFFF"/>
            </w:tcBorders>
            <w:shd w:val="clear" w:color="auto" w:fill="008000"/>
            <w:vAlign w:val="center"/>
          </w:tcPr>
          <w:p w14:paraId="569DB4E7" w14:textId="77777777" w:rsidR="00B35DE3" w:rsidRPr="005556A8" w:rsidRDefault="00B35DE3" w:rsidP="00907D11">
            <w:pPr>
              <w:spacing w:before="0" w:after="0"/>
              <w:jc w:val="center"/>
              <w:rPr>
                <w:color w:val="000000"/>
                <w:sz w:val="20"/>
                <w:szCs w:val="20"/>
                <w:lang w:eastAsia="en-AU"/>
              </w:rPr>
            </w:pPr>
            <w:r>
              <w:rPr>
                <w:color w:val="000000"/>
                <w:sz w:val="20"/>
                <w:szCs w:val="20"/>
              </w:rPr>
              <w:t>83</w:t>
            </w:r>
          </w:p>
        </w:tc>
        <w:tc>
          <w:tcPr>
            <w:tcW w:w="498" w:type="dxa"/>
            <w:tcBorders>
              <w:bottom w:val="single" w:sz="4" w:space="0" w:color="FFFFFF"/>
            </w:tcBorders>
            <w:shd w:val="clear" w:color="auto" w:fill="FF0000"/>
            <w:vAlign w:val="center"/>
          </w:tcPr>
          <w:p w14:paraId="7B31DEC0" w14:textId="77777777" w:rsidR="00B35DE3" w:rsidRPr="00623C6D" w:rsidRDefault="00B35DE3" w:rsidP="00907D11">
            <w:pPr>
              <w:spacing w:before="0" w:after="0"/>
              <w:jc w:val="center"/>
              <w:rPr>
                <w:sz w:val="20"/>
                <w:szCs w:val="20"/>
              </w:rPr>
            </w:pPr>
            <w:r>
              <w:rPr>
                <w:sz w:val="20"/>
                <w:szCs w:val="20"/>
              </w:rPr>
              <w:t>17</w:t>
            </w:r>
          </w:p>
        </w:tc>
        <w:tc>
          <w:tcPr>
            <w:tcW w:w="456" w:type="dxa"/>
            <w:tcBorders>
              <w:bottom w:val="single" w:sz="4" w:space="0" w:color="FFFFFF"/>
            </w:tcBorders>
            <w:shd w:val="clear" w:color="auto" w:fill="FF0000"/>
            <w:vAlign w:val="center"/>
          </w:tcPr>
          <w:p w14:paraId="433B6DFA"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0</w:t>
            </w:r>
          </w:p>
        </w:tc>
      </w:tr>
      <w:tr w:rsidR="00B35DE3" w:rsidRPr="00074274" w14:paraId="5387E0F7" w14:textId="77777777" w:rsidTr="0090798E">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14:paraId="6EAE5E3D" w14:textId="77777777" w:rsidR="00B35DE3" w:rsidRDefault="00B35DE3" w:rsidP="00907D11">
            <w:pPr>
              <w:spacing w:before="0" w:after="0" w:line="200" w:lineRule="exact"/>
              <w:ind w:left="-57" w:right="-57"/>
              <w:rPr>
                <w:color w:val="000000"/>
                <w:sz w:val="20"/>
                <w:szCs w:val="20"/>
                <w:lang w:eastAsia="en-AU"/>
              </w:rPr>
            </w:pPr>
            <w:r>
              <w:rPr>
                <w:color w:val="000000"/>
                <w:sz w:val="20"/>
                <w:szCs w:val="20"/>
                <w:lang w:eastAsia="en-AU"/>
              </w:rPr>
              <w:t>L</w:t>
            </w:r>
            <w:r w:rsidRPr="000C1668">
              <w:rPr>
                <w:color w:val="000000"/>
                <w:sz w:val="20"/>
                <w:szCs w:val="20"/>
                <w:lang w:eastAsia="en-AU"/>
              </w:rPr>
              <w:t>eaf tissue</w:t>
            </w:r>
          </w:p>
          <w:p w14:paraId="3262409F" w14:textId="77777777" w:rsidR="00B35DE3" w:rsidRPr="00EC364C" w:rsidRDefault="00B35DE3" w:rsidP="00907D11">
            <w:pPr>
              <w:spacing w:before="0" w:after="0"/>
              <w:rPr>
                <w:color w:val="000000"/>
                <w:sz w:val="20"/>
                <w:szCs w:val="20"/>
                <w:lang w:eastAsia="en-AU"/>
              </w:rPr>
            </w:pPr>
            <w:r w:rsidRPr="000C1668">
              <w:rPr>
                <w:color w:val="000000"/>
                <w:sz w:val="20"/>
                <w:szCs w:val="20"/>
                <w:lang w:eastAsia="en-AU"/>
              </w:rPr>
              <w:t>nutrient</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7E55F457"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FF0000"/>
            <w:noWrap/>
            <w:vAlign w:val="center"/>
          </w:tcPr>
          <w:p w14:paraId="428BB2FA"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11</w:t>
            </w:r>
          </w:p>
        </w:tc>
        <w:tc>
          <w:tcPr>
            <w:tcW w:w="519" w:type="dxa"/>
            <w:shd w:val="clear" w:color="auto" w:fill="FF0000"/>
            <w:noWrap/>
            <w:vAlign w:val="center"/>
          </w:tcPr>
          <w:p w14:paraId="045E06F4"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10</w:t>
            </w:r>
          </w:p>
        </w:tc>
        <w:tc>
          <w:tcPr>
            <w:tcW w:w="519" w:type="dxa"/>
            <w:shd w:val="clear" w:color="auto" w:fill="FFCC00"/>
            <w:noWrap/>
            <w:vAlign w:val="center"/>
          </w:tcPr>
          <w:p w14:paraId="263D61DC"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21</w:t>
            </w:r>
          </w:p>
        </w:tc>
        <w:tc>
          <w:tcPr>
            <w:tcW w:w="519" w:type="dxa"/>
            <w:shd w:val="clear" w:color="auto" w:fill="FF0000"/>
            <w:noWrap/>
            <w:vAlign w:val="center"/>
          </w:tcPr>
          <w:p w14:paraId="1BDFF6A3"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6</w:t>
            </w:r>
          </w:p>
        </w:tc>
        <w:tc>
          <w:tcPr>
            <w:tcW w:w="519" w:type="dxa"/>
            <w:shd w:val="clear" w:color="auto" w:fill="FFCC00"/>
            <w:noWrap/>
            <w:vAlign w:val="center"/>
          </w:tcPr>
          <w:p w14:paraId="7A058A27"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25</w:t>
            </w:r>
          </w:p>
        </w:tc>
        <w:tc>
          <w:tcPr>
            <w:tcW w:w="519" w:type="dxa"/>
            <w:shd w:val="clear" w:color="auto" w:fill="FF0000"/>
            <w:noWrap/>
            <w:vAlign w:val="center"/>
          </w:tcPr>
          <w:p w14:paraId="4191EA30"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7</w:t>
            </w:r>
          </w:p>
        </w:tc>
        <w:tc>
          <w:tcPr>
            <w:tcW w:w="519" w:type="dxa"/>
            <w:shd w:val="clear" w:color="auto" w:fill="FF0000"/>
            <w:noWrap/>
            <w:vAlign w:val="center"/>
          </w:tcPr>
          <w:p w14:paraId="15D1FC32"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w:t>
            </w:r>
          </w:p>
        </w:tc>
        <w:tc>
          <w:tcPr>
            <w:tcW w:w="498" w:type="dxa"/>
            <w:shd w:val="clear" w:color="auto" w:fill="FF0000"/>
            <w:vAlign w:val="center"/>
          </w:tcPr>
          <w:p w14:paraId="33C4CBF4"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7</w:t>
            </w:r>
          </w:p>
        </w:tc>
        <w:tc>
          <w:tcPr>
            <w:tcW w:w="498" w:type="dxa"/>
            <w:shd w:val="clear" w:color="auto" w:fill="FF0000"/>
            <w:vAlign w:val="center"/>
          </w:tcPr>
          <w:p w14:paraId="1FD1158D"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16</w:t>
            </w:r>
          </w:p>
        </w:tc>
        <w:tc>
          <w:tcPr>
            <w:tcW w:w="498" w:type="dxa"/>
            <w:shd w:val="clear" w:color="auto" w:fill="FF0000"/>
            <w:vAlign w:val="center"/>
          </w:tcPr>
          <w:p w14:paraId="333487C2" w14:textId="77777777" w:rsidR="00B35DE3" w:rsidRPr="002D209A" w:rsidRDefault="00B35DE3" w:rsidP="00907D11">
            <w:pPr>
              <w:spacing w:before="0" w:after="0"/>
              <w:jc w:val="center"/>
              <w:rPr>
                <w:color w:val="000000"/>
                <w:sz w:val="20"/>
                <w:szCs w:val="20"/>
                <w:lang w:eastAsia="en-AU"/>
              </w:rPr>
            </w:pPr>
            <w:r>
              <w:rPr>
                <w:color w:val="000000"/>
                <w:sz w:val="20"/>
                <w:szCs w:val="20"/>
              </w:rPr>
              <w:t>8</w:t>
            </w:r>
          </w:p>
        </w:tc>
        <w:tc>
          <w:tcPr>
            <w:tcW w:w="498" w:type="dxa"/>
            <w:shd w:val="clear" w:color="auto" w:fill="FF0000"/>
            <w:vAlign w:val="center"/>
          </w:tcPr>
          <w:p w14:paraId="0148E689" w14:textId="77777777" w:rsidR="00B35DE3" w:rsidRPr="00623C6D" w:rsidRDefault="00B35DE3" w:rsidP="00907D11">
            <w:pPr>
              <w:spacing w:before="0" w:after="0"/>
              <w:jc w:val="center"/>
              <w:rPr>
                <w:sz w:val="20"/>
                <w:szCs w:val="20"/>
              </w:rPr>
            </w:pPr>
            <w:r>
              <w:rPr>
                <w:sz w:val="20"/>
                <w:szCs w:val="20"/>
              </w:rPr>
              <w:t>9</w:t>
            </w:r>
          </w:p>
        </w:tc>
        <w:tc>
          <w:tcPr>
            <w:tcW w:w="456" w:type="dxa"/>
            <w:shd w:val="clear" w:color="auto" w:fill="FF0000"/>
            <w:vAlign w:val="center"/>
          </w:tcPr>
          <w:p w14:paraId="64C0CD11"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13</w:t>
            </w:r>
          </w:p>
        </w:tc>
      </w:tr>
      <w:tr w:rsidR="00B35DE3" w:rsidRPr="00074274" w14:paraId="0FA6989B" w14:textId="77777777" w:rsidTr="0090798E">
        <w:trPr>
          <w:trHeight w:val="312"/>
          <w:jc w:val="center"/>
        </w:trPr>
        <w:tc>
          <w:tcPr>
            <w:tcW w:w="1280" w:type="dxa"/>
            <w:vMerge/>
            <w:tcBorders>
              <w:left w:val="single" w:sz="4" w:space="0" w:color="FFFFFF"/>
              <w:right w:val="single" w:sz="4" w:space="0" w:color="FFFFFF"/>
            </w:tcBorders>
            <w:shd w:val="clear" w:color="auto" w:fill="auto"/>
            <w:noWrap/>
            <w:vAlign w:val="center"/>
          </w:tcPr>
          <w:p w14:paraId="1ECE363B"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68032862"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auto"/>
            <w:noWrap/>
            <w:vAlign w:val="center"/>
          </w:tcPr>
          <w:p w14:paraId="5C312538" w14:textId="77777777" w:rsidR="00B35DE3" w:rsidRPr="002D209A" w:rsidRDefault="00B35DE3" w:rsidP="00907D11">
            <w:pPr>
              <w:spacing w:before="0" w:after="0"/>
              <w:jc w:val="center"/>
              <w:rPr>
                <w:color w:val="000000"/>
                <w:sz w:val="20"/>
                <w:szCs w:val="20"/>
                <w:lang w:eastAsia="en-AU"/>
              </w:rPr>
            </w:pPr>
          </w:p>
        </w:tc>
        <w:tc>
          <w:tcPr>
            <w:tcW w:w="519" w:type="dxa"/>
            <w:tcBorders>
              <w:top w:val="single" w:sz="4" w:space="0" w:color="FFFFFF"/>
            </w:tcBorders>
            <w:shd w:val="clear" w:color="auto" w:fill="92D050"/>
            <w:noWrap/>
            <w:vAlign w:val="center"/>
          </w:tcPr>
          <w:p w14:paraId="646DCB94"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70</w:t>
            </w:r>
          </w:p>
        </w:tc>
        <w:tc>
          <w:tcPr>
            <w:tcW w:w="519" w:type="dxa"/>
            <w:tcBorders>
              <w:top w:val="single" w:sz="4" w:space="0" w:color="FFFFFF"/>
            </w:tcBorders>
            <w:shd w:val="clear" w:color="auto" w:fill="FFFF00"/>
            <w:noWrap/>
            <w:vAlign w:val="center"/>
          </w:tcPr>
          <w:p w14:paraId="6327DEBB"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46</w:t>
            </w:r>
          </w:p>
        </w:tc>
        <w:tc>
          <w:tcPr>
            <w:tcW w:w="519" w:type="dxa"/>
            <w:tcBorders>
              <w:top w:val="single" w:sz="4" w:space="0" w:color="FFFFFF"/>
            </w:tcBorders>
            <w:shd w:val="clear" w:color="auto" w:fill="FFFF00"/>
            <w:noWrap/>
            <w:vAlign w:val="center"/>
          </w:tcPr>
          <w:p w14:paraId="0B989057"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47</w:t>
            </w:r>
          </w:p>
        </w:tc>
        <w:tc>
          <w:tcPr>
            <w:tcW w:w="519" w:type="dxa"/>
            <w:tcBorders>
              <w:top w:val="single" w:sz="4" w:space="0" w:color="FFFFFF"/>
            </w:tcBorders>
            <w:shd w:val="clear" w:color="auto" w:fill="FFFF00"/>
            <w:noWrap/>
            <w:vAlign w:val="center"/>
          </w:tcPr>
          <w:p w14:paraId="76E61C5D"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50</w:t>
            </w:r>
          </w:p>
        </w:tc>
        <w:tc>
          <w:tcPr>
            <w:tcW w:w="519" w:type="dxa"/>
            <w:tcBorders>
              <w:top w:val="single" w:sz="4" w:space="0" w:color="FFFFFF"/>
            </w:tcBorders>
            <w:shd w:val="clear" w:color="auto" w:fill="FFCC00"/>
            <w:noWrap/>
            <w:vAlign w:val="center"/>
          </w:tcPr>
          <w:p w14:paraId="74DB15EA"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40</w:t>
            </w:r>
          </w:p>
        </w:tc>
        <w:tc>
          <w:tcPr>
            <w:tcW w:w="519" w:type="dxa"/>
            <w:tcBorders>
              <w:top w:val="single" w:sz="4" w:space="0" w:color="FFFFFF"/>
            </w:tcBorders>
            <w:shd w:val="clear" w:color="auto" w:fill="FFCC00"/>
            <w:noWrap/>
            <w:vAlign w:val="center"/>
          </w:tcPr>
          <w:p w14:paraId="13E4B536"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38</w:t>
            </w:r>
          </w:p>
        </w:tc>
        <w:tc>
          <w:tcPr>
            <w:tcW w:w="498" w:type="dxa"/>
            <w:tcBorders>
              <w:top w:val="single" w:sz="4" w:space="0" w:color="FFFFFF"/>
            </w:tcBorders>
            <w:shd w:val="clear" w:color="auto" w:fill="FFCC00"/>
            <w:vAlign w:val="center"/>
          </w:tcPr>
          <w:p w14:paraId="48088E31"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40</w:t>
            </w:r>
          </w:p>
        </w:tc>
        <w:tc>
          <w:tcPr>
            <w:tcW w:w="498" w:type="dxa"/>
            <w:tcBorders>
              <w:top w:val="single" w:sz="4" w:space="0" w:color="FFFFFF"/>
            </w:tcBorders>
            <w:shd w:val="clear" w:color="auto" w:fill="FFCC00"/>
            <w:vAlign w:val="center"/>
          </w:tcPr>
          <w:p w14:paraId="0B43C2C6"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40</w:t>
            </w:r>
          </w:p>
        </w:tc>
        <w:tc>
          <w:tcPr>
            <w:tcW w:w="498" w:type="dxa"/>
            <w:tcBorders>
              <w:top w:val="single" w:sz="4" w:space="0" w:color="FFFFFF"/>
            </w:tcBorders>
            <w:shd w:val="clear" w:color="auto" w:fill="FFCC00"/>
            <w:vAlign w:val="center"/>
          </w:tcPr>
          <w:p w14:paraId="4193D8A8" w14:textId="77777777" w:rsidR="00B35DE3" w:rsidRPr="002D209A" w:rsidRDefault="00B35DE3" w:rsidP="00907D11">
            <w:pPr>
              <w:spacing w:before="0" w:after="0"/>
              <w:jc w:val="center"/>
              <w:rPr>
                <w:color w:val="000000"/>
                <w:sz w:val="20"/>
                <w:szCs w:val="20"/>
                <w:lang w:eastAsia="en-AU"/>
              </w:rPr>
            </w:pPr>
            <w:r>
              <w:rPr>
                <w:color w:val="000000"/>
                <w:sz w:val="20"/>
                <w:szCs w:val="20"/>
              </w:rPr>
              <w:t>36</w:t>
            </w:r>
          </w:p>
        </w:tc>
        <w:tc>
          <w:tcPr>
            <w:tcW w:w="498" w:type="dxa"/>
            <w:tcBorders>
              <w:top w:val="single" w:sz="4" w:space="0" w:color="FFFFFF"/>
            </w:tcBorders>
            <w:shd w:val="clear" w:color="auto" w:fill="FFCC00"/>
            <w:vAlign w:val="center"/>
          </w:tcPr>
          <w:p w14:paraId="5FEB7DBF" w14:textId="77777777" w:rsidR="00B35DE3" w:rsidRPr="00623C6D" w:rsidRDefault="00B35DE3" w:rsidP="00907D11">
            <w:pPr>
              <w:spacing w:before="0" w:after="0"/>
              <w:jc w:val="center"/>
              <w:rPr>
                <w:sz w:val="20"/>
                <w:szCs w:val="20"/>
              </w:rPr>
            </w:pPr>
            <w:r>
              <w:rPr>
                <w:sz w:val="20"/>
                <w:szCs w:val="20"/>
              </w:rPr>
              <w:t>40</w:t>
            </w:r>
          </w:p>
        </w:tc>
        <w:tc>
          <w:tcPr>
            <w:tcW w:w="456" w:type="dxa"/>
            <w:tcBorders>
              <w:top w:val="single" w:sz="4" w:space="0" w:color="FFFFFF"/>
            </w:tcBorders>
            <w:shd w:val="clear" w:color="auto" w:fill="FFFF00"/>
            <w:vAlign w:val="center"/>
          </w:tcPr>
          <w:p w14:paraId="6843E49F"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43</w:t>
            </w:r>
          </w:p>
        </w:tc>
      </w:tr>
      <w:tr w:rsidR="00B35DE3" w:rsidRPr="00074274" w14:paraId="13D249DA" w14:textId="77777777" w:rsidTr="0090798E">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14:paraId="05393AEB" w14:textId="77777777" w:rsidR="00B35DE3" w:rsidRPr="00EC364C" w:rsidRDefault="00B35DE3" w:rsidP="00907D11">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14:paraId="7F95FD38" w14:textId="77777777" w:rsidR="00B35DE3" w:rsidRPr="00EC364C" w:rsidRDefault="00B35DE3" w:rsidP="00907D11">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382041DC" w14:textId="77777777" w:rsidR="00B35DE3" w:rsidRPr="002D209A"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488B59C8" w14:textId="77777777" w:rsidR="00B35DE3" w:rsidRPr="002D209A"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250024BA" w14:textId="77777777" w:rsidR="00B35DE3" w:rsidRPr="002D209A" w:rsidRDefault="00B35DE3" w:rsidP="00907D11">
            <w:pPr>
              <w:spacing w:before="0" w:after="0"/>
              <w:jc w:val="center"/>
              <w:rPr>
                <w:color w:val="000000"/>
                <w:sz w:val="20"/>
                <w:szCs w:val="20"/>
                <w:lang w:eastAsia="en-AU"/>
              </w:rPr>
            </w:pPr>
          </w:p>
        </w:tc>
        <w:tc>
          <w:tcPr>
            <w:tcW w:w="519" w:type="dxa"/>
            <w:tcBorders>
              <w:bottom w:val="single" w:sz="4" w:space="0" w:color="FFFFFF"/>
            </w:tcBorders>
            <w:shd w:val="clear" w:color="auto" w:fill="92D050"/>
            <w:noWrap/>
            <w:vAlign w:val="center"/>
          </w:tcPr>
          <w:p w14:paraId="118DA999"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64</w:t>
            </w:r>
          </w:p>
        </w:tc>
        <w:tc>
          <w:tcPr>
            <w:tcW w:w="519" w:type="dxa"/>
            <w:tcBorders>
              <w:bottom w:val="single" w:sz="4" w:space="0" w:color="FFFFFF"/>
            </w:tcBorders>
            <w:shd w:val="clear" w:color="auto" w:fill="FFFF00"/>
            <w:noWrap/>
            <w:vAlign w:val="center"/>
          </w:tcPr>
          <w:p w14:paraId="02B004A3"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48</w:t>
            </w:r>
          </w:p>
        </w:tc>
        <w:tc>
          <w:tcPr>
            <w:tcW w:w="519" w:type="dxa"/>
            <w:tcBorders>
              <w:bottom w:val="single" w:sz="4" w:space="0" w:color="FFFFFF"/>
            </w:tcBorders>
            <w:shd w:val="clear" w:color="auto" w:fill="FFFF00"/>
            <w:noWrap/>
            <w:vAlign w:val="center"/>
          </w:tcPr>
          <w:p w14:paraId="35AEA194"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52</w:t>
            </w:r>
          </w:p>
        </w:tc>
        <w:tc>
          <w:tcPr>
            <w:tcW w:w="519" w:type="dxa"/>
            <w:tcBorders>
              <w:bottom w:val="single" w:sz="4" w:space="0" w:color="FFFFFF"/>
            </w:tcBorders>
            <w:shd w:val="clear" w:color="auto" w:fill="FFFF00"/>
            <w:noWrap/>
            <w:vAlign w:val="center"/>
          </w:tcPr>
          <w:p w14:paraId="077985BC"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54</w:t>
            </w:r>
          </w:p>
        </w:tc>
        <w:tc>
          <w:tcPr>
            <w:tcW w:w="498" w:type="dxa"/>
            <w:tcBorders>
              <w:bottom w:val="single" w:sz="4" w:space="0" w:color="FFFFFF"/>
            </w:tcBorders>
            <w:shd w:val="clear" w:color="auto" w:fill="008000"/>
            <w:vAlign w:val="center"/>
          </w:tcPr>
          <w:p w14:paraId="5C0C350B"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93</w:t>
            </w:r>
          </w:p>
        </w:tc>
        <w:tc>
          <w:tcPr>
            <w:tcW w:w="498" w:type="dxa"/>
            <w:tcBorders>
              <w:bottom w:val="single" w:sz="4" w:space="0" w:color="FFFFFF"/>
            </w:tcBorders>
            <w:shd w:val="clear" w:color="auto" w:fill="FFFF00"/>
            <w:vAlign w:val="center"/>
          </w:tcPr>
          <w:p w14:paraId="5B5BC63B" w14:textId="77777777" w:rsidR="00B35DE3" w:rsidRPr="002D209A" w:rsidRDefault="00B35DE3" w:rsidP="00907D11">
            <w:pPr>
              <w:spacing w:before="0" w:after="0"/>
              <w:jc w:val="center"/>
              <w:rPr>
                <w:color w:val="000000"/>
                <w:sz w:val="20"/>
                <w:szCs w:val="20"/>
                <w:lang w:eastAsia="en-AU"/>
              </w:rPr>
            </w:pPr>
            <w:r w:rsidRPr="002D209A">
              <w:rPr>
                <w:color w:val="000000"/>
                <w:sz w:val="20"/>
                <w:szCs w:val="20"/>
                <w:lang w:eastAsia="en-AU"/>
              </w:rPr>
              <w:t>46</w:t>
            </w:r>
          </w:p>
        </w:tc>
        <w:tc>
          <w:tcPr>
            <w:tcW w:w="498" w:type="dxa"/>
            <w:tcBorders>
              <w:bottom w:val="single" w:sz="4" w:space="0" w:color="FFFFFF"/>
            </w:tcBorders>
            <w:shd w:val="clear" w:color="auto" w:fill="FFFF00"/>
            <w:vAlign w:val="center"/>
          </w:tcPr>
          <w:p w14:paraId="6AD09A1A" w14:textId="77777777" w:rsidR="00B35DE3" w:rsidRPr="002D209A" w:rsidRDefault="00B35DE3" w:rsidP="00907D11">
            <w:pPr>
              <w:spacing w:before="0" w:after="0"/>
              <w:jc w:val="center"/>
              <w:rPr>
                <w:color w:val="000000"/>
                <w:sz w:val="20"/>
                <w:szCs w:val="20"/>
                <w:lang w:eastAsia="en-AU"/>
              </w:rPr>
            </w:pPr>
            <w:r>
              <w:rPr>
                <w:color w:val="000000"/>
                <w:sz w:val="20"/>
                <w:szCs w:val="20"/>
              </w:rPr>
              <w:t>52</w:t>
            </w:r>
          </w:p>
        </w:tc>
        <w:tc>
          <w:tcPr>
            <w:tcW w:w="498" w:type="dxa"/>
            <w:tcBorders>
              <w:bottom w:val="single" w:sz="4" w:space="0" w:color="FFFFFF"/>
            </w:tcBorders>
            <w:shd w:val="clear" w:color="auto" w:fill="FFFF00"/>
            <w:vAlign w:val="center"/>
          </w:tcPr>
          <w:p w14:paraId="5FB4BB06" w14:textId="77777777" w:rsidR="00B35DE3" w:rsidRPr="00623C6D" w:rsidRDefault="00B35DE3" w:rsidP="00907D11">
            <w:pPr>
              <w:spacing w:before="0" w:after="0"/>
              <w:jc w:val="center"/>
              <w:rPr>
                <w:sz w:val="20"/>
                <w:szCs w:val="20"/>
              </w:rPr>
            </w:pPr>
            <w:r>
              <w:rPr>
                <w:sz w:val="20"/>
                <w:szCs w:val="20"/>
              </w:rPr>
              <w:t>47</w:t>
            </w:r>
          </w:p>
        </w:tc>
        <w:tc>
          <w:tcPr>
            <w:tcW w:w="456" w:type="dxa"/>
            <w:tcBorders>
              <w:bottom w:val="single" w:sz="4" w:space="0" w:color="FFFFFF"/>
            </w:tcBorders>
            <w:shd w:val="clear" w:color="auto" w:fill="FFFF00"/>
            <w:vAlign w:val="center"/>
          </w:tcPr>
          <w:p w14:paraId="3377BE74" w14:textId="77777777" w:rsidR="00B35DE3" w:rsidRPr="00074274" w:rsidRDefault="00B35DE3" w:rsidP="00907D11">
            <w:pPr>
              <w:spacing w:before="0" w:after="0"/>
              <w:jc w:val="center"/>
              <w:rPr>
                <w:color w:val="000000"/>
                <w:sz w:val="20"/>
                <w:szCs w:val="20"/>
                <w:lang w:eastAsia="en-AU"/>
              </w:rPr>
            </w:pPr>
            <w:r w:rsidRPr="00074274">
              <w:rPr>
                <w:color w:val="000000"/>
                <w:sz w:val="20"/>
                <w:szCs w:val="20"/>
                <w:lang w:eastAsia="en-AU"/>
              </w:rPr>
              <w:t>50</w:t>
            </w:r>
          </w:p>
        </w:tc>
      </w:tr>
      <w:tr w:rsidR="00B35DE3" w:rsidRPr="00074274" w14:paraId="71D81BD2" w14:textId="77777777" w:rsidTr="0090798E">
        <w:trPr>
          <w:trHeight w:val="312"/>
          <w:jc w:val="center"/>
        </w:trPr>
        <w:tc>
          <w:tcPr>
            <w:tcW w:w="2979" w:type="dxa"/>
            <w:gridSpan w:val="2"/>
            <w:tcBorders>
              <w:top w:val="single" w:sz="4" w:space="0" w:color="000000"/>
              <w:bottom w:val="single" w:sz="4" w:space="0" w:color="000000"/>
            </w:tcBorders>
            <w:shd w:val="clear" w:color="auto" w:fill="auto"/>
            <w:noWrap/>
            <w:vAlign w:val="center"/>
          </w:tcPr>
          <w:p w14:paraId="0567DE48" w14:textId="77777777" w:rsidR="00B35DE3" w:rsidRPr="002D209A" w:rsidRDefault="00B35DE3" w:rsidP="00907D11">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FF0000"/>
            <w:noWrap/>
            <w:vAlign w:val="center"/>
          </w:tcPr>
          <w:p w14:paraId="7CC71877"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20</w:t>
            </w:r>
          </w:p>
        </w:tc>
        <w:tc>
          <w:tcPr>
            <w:tcW w:w="519" w:type="dxa"/>
            <w:tcBorders>
              <w:top w:val="single" w:sz="4" w:space="0" w:color="000000"/>
              <w:bottom w:val="single" w:sz="4" w:space="0" w:color="000000"/>
            </w:tcBorders>
            <w:shd w:val="clear" w:color="auto" w:fill="FFCC00"/>
            <w:noWrap/>
            <w:vAlign w:val="center"/>
          </w:tcPr>
          <w:p w14:paraId="7D0282CA"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27</w:t>
            </w:r>
          </w:p>
        </w:tc>
        <w:tc>
          <w:tcPr>
            <w:tcW w:w="519" w:type="dxa"/>
            <w:tcBorders>
              <w:top w:val="single" w:sz="4" w:space="0" w:color="000000"/>
              <w:bottom w:val="single" w:sz="4" w:space="0" w:color="000000"/>
            </w:tcBorders>
            <w:shd w:val="clear" w:color="auto" w:fill="FFCC00"/>
            <w:noWrap/>
            <w:vAlign w:val="center"/>
          </w:tcPr>
          <w:p w14:paraId="64607F6F"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27</w:t>
            </w:r>
          </w:p>
        </w:tc>
        <w:tc>
          <w:tcPr>
            <w:tcW w:w="519" w:type="dxa"/>
            <w:tcBorders>
              <w:top w:val="single" w:sz="4" w:space="0" w:color="000000"/>
              <w:bottom w:val="single" w:sz="4" w:space="0" w:color="000000"/>
            </w:tcBorders>
            <w:shd w:val="clear" w:color="auto" w:fill="FFCC00"/>
            <w:noWrap/>
            <w:vAlign w:val="center"/>
          </w:tcPr>
          <w:p w14:paraId="6505AF7F"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35</w:t>
            </w:r>
          </w:p>
        </w:tc>
        <w:tc>
          <w:tcPr>
            <w:tcW w:w="519" w:type="dxa"/>
            <w:tcBorders>
              <w:top w:val="single" w:sz="4" w:space="0" w:color="000000"/>
              <w:bottom w:val="single" w:sz="4" w:space="0" w:color="000000"/>
            </w:tcBorders>
            <w:shd w:val="clear" w:color="auto" w:fill="FFCC00"/>
            <w:noWrap/>
            <w:vAlign w:val="center"/>
          </w:tcPr>
          <w:p w14:paraId="262A83BD"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30</w:t>
            </w:r>
          </w:p>
        </w:tc>
        <w:tc>
          <w:tcPr>
            <w:tcW w:w="519" w:type="dxa"/>
            <w:tcBorders>
              <w:top w:val="single" w:sz="4" w:space="0" w:color="000000"/>
              <w:bottom w:val="single" w:sz="4" w:space="0" w:color="000000"/>
            </w:tcBorders>
            <w:shd w:val="clear" w:color="auto" w:fill="FFCC00"/>
            <w:noWrap/>
            <w:vAlign w:val="center"/>
          </w:tcPr>
          <w:p w14:paraId="480CB304"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23</w:t>
            </w:r>
          </w:p>
        </w:tc>
        <w:tc>
          <w:tcPr>
            <w:tcW w:w="519" w:type="dxa"/>
            <w:tcBorders>
              <w:top w:val="single" w:sz="4" w:space="0" w:color="000000"/>
              <w:bottom w:val="single" w:sz="4" w:space="0" w:color="000000"/>
            </w:tcBorders>
            <w:shd w:val="clear" w:color="auto" w:fill="FFCC00"/>
            <w:noWrap/>
            <w:vAlign w:val="center"/>
          </w:tcPr>
          <w:p w14:paraId="2A3C73A0"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22</w:t>
            </w:r>
          </w:p>
        </w:tc>
        <w:tc>
          <w:tcPr>
            <w:tcW w:w="498" w:type="dxa"/>
            <w:tcBorders>
              <w:top w:val="single" w:sz="4" w:space="0" w:color="000000"/>
              <w:bottom w:val="single" w:sz="4" w:space="0" w:color="000000"/>
            </w:tcBorders>
            <w:shd w:val="clear" w:color="auto" w:fill="FFCC00"/>
            <w:vAlign w:val="center"/>
          </w:tcPr>
          <w:p w14:paraId="6C2C8C6D"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23</w:t>
            </w:r>
          </w:p>
        </w:tc>
        <w:tc>
          <w:tcPr>
            <w:tcW w:w="498" w:type="dxa"/>
            <w:tcBorders>
              <w:top w:val="single" w:sz="4" w:space="0" w:color="000000"/>
              <w:bottom w:val="single" w:sz="4" w:space="0" w:color="000000"/>
            </w:tcBorders>
            <w:shd w:val="clear" w:color="auto" w:fill="FFCC00"/>
            <w:vAlign w:val="center"/>
          </w:tcPr>
          <w:p w14:paraId="0414207F"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23</w:t>
            </w:r>
          </w:p>
        </w:tc>
        <w:tc>
          <w:tcPr>
            <w:tcW w:w="498" w:type="dxa"/>
            <w:tcBorders>
              <w:top w:val="single" w:sz="4" w:space="0" w:color="000000"/>
              <w:bottom w:val="single" w:sz="4" w:space="0" w:color="000000"/>
            </w:tcBorders>
            <w:shd w:val="clear" w:color="auto" w:fill="FFCC00"/>
            <w:vAlign w:val="center"/>
          </w:tcPr>
          <w:p w14:paraId="132F5506" w14:textId="77777777" w:rsidR="00B35DE3" w:rsidRPr="002D209A" w:rsidRDefault="00B35DE3" w:rsidP="00907D11">
            <w:pPr>
              <w:spacing w:before="0" w:after="0"/>
              <w:jc w:val="center"/>
              <w:rPr>
                <w:b/>
                <w:color w:val="000000"/>
                <w:sz w:val="20"/>
                <w:szCs w:val="20"/>
                <w:lang w:eastAsia="en-AU"/>
              </w:rPr>
            </w:pPr>
            <w:r>
              <w:rPr>
                <w:b/>
                <w:color w:val="000000"/>
                <w:sz w:val="20"/>
                <w:szCs w:val="20"/>
                <w:lang w:eastAsia="en-AU"/>
              </w:rPr>
              <w:t>27</w:t>
            </w:r>
          </w:p>
        </w:tc>
        <w:tc>
          <w:tcPr>
            <w:tcW w:w="498" w:type="dxa"/>
            <w:tcBorders>
              <w:top w:val="single" w:sz="4" w:space="0" w:color="000000"/>
              <w:bottom w:val="single" w:sz="4" w:space="0" w:color="000000"/>
            </w:tcBorders>
            <w:shd w:val="clear" w:color="auto" w:fill="FFCC00"/>
            <w:vAlign w:val="center"/>
          </w:tcPr>
          <w:p w14:paraId="19DD7317" w14:textId="77777777" w:rsidR="00B35DE3" w:rsidRPr="00A56E73" w:rsidRDefault="00B35DE3" w:rsidP="00907D11">
            <w:pPr>
              <w:spacing w:before="0" w:after="0"/>
              <w:jc w:val="center"/>
              <w:rPr>
                <w:b/>
                <w:color w:val="000000"/>
                <w:sz w:val="20"/>
                <w:szCs w:val="20"/>
                <w:lang w:eastAsia="en-AU"/>
              </w:rPr>
            </w:pPr>
            <w:r w:rsidRPr="00A56E73">
              <w:rPr>
                <w:b/>
                <w:color w:val="000000"/>
                <w:sz w:val="20"/>
                <w:szCs w:val="20"/>
                <w:lang w:eastAsia="en-AU"/>
              </w:rPr>
              <w:t>2</w:t>
            </w:r>
            <w:r>
              <w:rPr>
                <w:b/>
                <w:color w:val="000000"/>
                <w:sz w:val="20"/>
                <w:szCs w:val="20"/>
                <w:lang w:eastAsia="en-AU"/>
              </w:rPr>
              <w:t>5</w:t>
            </w:r>
          </w:p>
        </w:tc>
        <w:tc>
          <w:tcPr>
            <w:tcW w:w="456" w:type="dxa"/>
            <w:tcBorders>
              <w:top w:val="single" w:sz="4" w:space="0" w:color="000000"/>
              <w:bottom w:val="single" w:sz="4" w:space="0" w:color="000000"/>
            </w:tcBorders>
            <w:shd w:val="clear" w:color="auto" w:fill="FFCC00"/>
            <w:vAlign w:val="center"/>
          </w:tcPr>
          <w:p w14:paraId="5F94FDC3" w14:textId="77777777" w:rsidR="00B35DE3" w:rsidRPr="00074274" w:rsidRDefault="00B35DE3" w:rsidP="00907D11">
            <w:pPr>
              <w:spacing w:before="0" w:after="0"/>
              <w:jc w:val="center"/>
              <w:rPr>
                <w:b/>
                <w:color w:val="000000"/>
                <w:sz w:val="20"/>
                <w:szCs w:val="20"/>
                <w:lang w:eastAsia="en-AU"/>
              </w:rPr>
            </w:pPr>
            <w:r w:rsidRPr="00074274">
              <w:rPr>
                <w:b/>
                <w:color w:val="000000"/>
                <w:sz w:val="20"/>
                <w:szCs w:val="20"/>
                <w:lang w:eastAsia="en-AU"/>
              </w:rPr>
              <w:t>22</w:t>
            </w:r>
          </w:p>
        </w:tc>
      </w:tr>
    </w:tbl>
    <w:p w14:paraId="45AE1482" w14:textId="77777777" w:rsidR="00B35DE3" w:rsidRPr="00B00E71" w:rsidRDefault="00B35DE3" w:rsidP="00907D11">
      <w:pPr>
        <w:jc w:val="center"/>
        <w:rPr>
          <w:color w:val="000000"/>
        </w:rPr>
      </w:pPr>
    </w:p>
    <w:p w14:paraId="59AC924F" w14:textId="77777777" w:rsidR="005D1A37" w:rsidRPr="006E0687" w:rsidRDefault="005132EF" w:rsidP="00926892">
      <w:pPr>
        <w:pStyle w:val="Heading2"/>
        <w:numPr>
          <w:ilvl w:val="1"/>
          <w:numId w:val="9"/>
        </w:numPr>
        <w:rPr>
          <w:rFonts w:ascii="Century Gothic" w:hAnsi="Century Gothic"/>
          <w:color w:val="000000"/>
        </w:rPr>
      </w:pPr>
      <w:r w:rsidRPr="00015190">
        <w:rPr>
          <w:color w:val="0000FF"/>
        </w:rPr>
        <w:br w:type="page"/>
      </w:r>
      <w:bookmarkStart w:id="359" w:name="_Toc175991073"/>
      <w:bookmarkStart w:id="360" w:name="_Toc232845917"/>
      <w:bookmarkStart w:id="361" w:name="_Toc184101995"/>
      <w:bookmarkStart w:id="362" w:name="_Toc431493768"/>
      <w:bookmarkStart w:id="363" w:name="_Toc516053149"/>
      <w:bookmarkStart w:id="364" w:name="_Toc170191629"/>
      <w:r w:rsidR="005D1A37" w:rsidRPr="006E0687">
        <w:rPr>
          <w:rFonts w:ascii="Century Gothic" w:hAnsi="Century Gothic"/>
          <w:color w:val="000000"/>
        </w:rPr>
        <w:t>Burdekin</w:t>
      </w:r>
      <w:bookmarkEnd w:id="359"/>
      <w:bookmarkEnd w:id="360"/>
      <w:bookmarkEnd w:id="361"/>
      <w:bookmarkEnd w:id="362"/>
      <w:bookmarkEnd w:id="363"/>
    </w:p>
    <w:p w14:paraId="4C75C9AC" w14:textId="28C85596" w:rsidR="005132EF" w:rsidRPr="00BD0604" w:rsidRDefault="008574EC" w:rsidP="00926892">
      <w:pPr>
        <w:pStyle w:val="Heading3"/>
        <w:numPr>
          <w:ilvl w:val="2"/>
          <w:numId w:val="9"/>
        </w:numPr>
        <w:rPr>
          <w:rFonts w:ascii="Arial" w:hAnsi="Arial" w:cs="Arial"/>
          <w:color w:val="000000"/>
        </w:rPr>
      </w:pPr>
      <w:bookmarkStart w:id="365" w:name="_Toc184101996"/>
      <w:bookmarkStart w:id="366" w:name="_Toc431493769"/>
      <w:bookmarkStart w:id="367" w:name="_Toc516053150"/>
      <w:bookmarkStart w:id="368" w:name="_Toc170191630"/>
      <w:bookmarkStart w:id="369" w:name="_Toc175991074"/>
      <w:bookmarkStart w:id="370" w:name="_Toc232845918"/>
      <w:bookmarkEnd w:id="364"/>
      <w:r>
        <w:rPr>
          <w:rFonts w:ascii="Arial" w:hAnsi="Arial" w:cs="Arial"/>
          <w:color w:val="000000"/>
        </w:rPr>
        <w:t>2016–17</w:t>
      </w:r>
      <w:r w:rsidR="002F55F1">
        <w:rPr>
          <w:rFonts w:ascii="Arial" w:hAnsi="Arial" w:cs="Arial"/>
          <w:color w:val="000000"/>
        </w:rPr>
        <w:t xml:space="preserve"> s</w:t>
      </w:r>
      <w:r w:rsidR="005132EF" w:rsidRPr="00BD0604">
        <w:rPr>
          <w:rFonts w:ascii="Arial" w:hAnsi="Arial" w:cs="Arial"/>
          <w:color w:val="000000"/>
        </w:rPr>
        <w:t>ummary</w:t>
      </w:r>
      <w:bookmarkEnd w:id="365"/>
      <w:bookmarkEnd w:id="366"/>
      <w:bookmarkEnd w:id="367"/>
    </w:p>
    <w:p w14:paraId="5DC6B7AE" w14:textId="055A626E" w:rsidR="000C1447" w:rsidRPr="006D6BD1" w:rsidRDefault="000C1447" w:rsidP="000C1447">
      <w:pPr>
        <w:rPr>
          <w:color w:val="000000" w:themeColor="text1"/>
          <w:szCs w:val="22"/>
        </w:rPr>
      </w:pPr>
      <w:bookmarkStart w:id="371" w:name="_Toc184101997"/>
      <w:bookmarkStart w:id="372" w:name="_Toc431493770"/>
      <w:r w:rsidRPr="00B213FA">
        <w:rPr>
          <w:color w:val="000000" w:themeColor="text1"/>
          <w:szCs w:val="22"/>
        </w:rPr>
        <w:t xml:space="preserve">Inshore seagrass meadows in the Burdekin region are primarily structured by wind-induced turbidity (re-suspension) in the short term and by episodic riverine delivery of nutrients and sediment in the medium term. </w:t>
      </w:r>
      <w:r w:rsidR="008574EC">
        <w:rPr>
          <w:color w:val="000000" w:themeColor="text1"/>
          <w:lang w:val="en-GB"/>
        </w:rPr>
        <w:t>2016–17</w:t>
      </w:r>
      <w:r w:rsidRPr="00B213FA">
        <w:rPr>
          <w:color w:val="000000" w:themeColor="text1"/>
          <w:lang w:val="en-GB"/>
        </w:rPr>
        <w:t xml:space="preserve"> was </w:t>
      </w:r>
      <w:r w:rsidR="00B213FA" w:rsidRPr="00B213FA">
        <w:rPr>
          <w:color w:val="000000" w:themeColor="text1"/>
          <w:lang w:val="en-GB"/>
        </w:rPr>
        <w:t xml:space="preserve">an </w:t>
      </w:r>
      <w:r w:rsidR="00CD7872" w:rsidRPr="00B213FA">
        <w:rPr>
          <w:color w:val="000000" w:themeColor="text1"/>
          <w:lang w:val="en-GB"/>
        </w:rPr>
        <w:t xml:space="preserve">average </w:t>
      </w:r>
      <w:r w:rsidR="00B213FA" w:rsidRPr="00B213FA">
        <w:rPr>
          <w:color w:val="000000" w:themeColor="text1"/>
          <w:lang w:val="en-GB"/>
        </w:rPr>
        <w:t xml:space="preserve">year for </w:t>
      </w:r>
      <w:r w:rsidR="00CD7872" w:rsidRPr="00B213FA">
        <w:rPr>
          <w:color w:val="000000" w:themeColor="text1"/>
          <w:lang w:val="en-GB"/>
        </w:rPr>
        <w:t xml:space="preserve">rainfall </w:t>
      </w:r>
      <w:r w:rsidR="00E735BE" w:rsidRPr="00B213FA">
        <w:rPr>
          <w:color w:val="000000" w:themeColor="text1"/>
          <w:lang w:val="en-GB"/>
        </w:rPr>
        <w:t xml:space="preserve">and </w:t>
      </w:r>
      <w:r w:rsidR="00C41E76" w:rsidRPr="00B213FA">
        <w:rPr>
          <w:color w:val="000000" w:themeColor="text1"/>
          <w:lang w:val="en-GB"/>
        </w:rPr>
        <w:t>river discharge</w:t>
      </w:r>
      <w:r w:rsidR="00441914">
        <w:rPr>
          <w:color w:val="000000" w:themeColor="text1"/>
          <w:lang w:val="en-GB"/>
        </w:rPr>
        <w:t>,</w:t>
      </w:r>
      <w:r w:rsidR="00C41E76" w:rsidRPr="00B213FA">
        <w:rPr>
          <w:color w:val="000000" w:themeColor="text1"/>
          <w:lang w:val="en-GB"/>
        </w:rPr>
        <w:t xml:space="preserve"> </w:t>
      </w:r>
      <w:r w:rsidR="00E34D3F">
        <w:rPr>
          <w:color w:val="000000" w:themeColor="text1"/>
          <w:lang w:val="en-GB"/>
        </w:rPr>
        <w:t xml:space="preserve">yet </w:t>
      </w:r>
      <w:r w:rsidR="00B213FA" w:rsidRPr="00B213FA">
        <w:rPr>
          <w:color w:val="000000" w:themeColor="text1"/>
          <w:lang w:val="en-GB"/>
        </w:rPr>
        <w:t>s</w:t>
      </w:r>
      <w:r w:rsidR="00213082" w:rsidRPr="00B213FA">
        <w:rPr>
          <w:color w:val="000000" w:themeColor="text1"/>
          <w:lang w:val="en-GB"/>
        </w:rPr>
        <w:t>eagrass</w:t>
      </w:r>
      <w:r w:rsidRPr="00B213FA">
        <w:rPr>
          <w:color w:val="000000" w:themeColor="text1"/>
          <w:lang w:val="en-GB"/>
        </w:rPr>
        <w:t xml:space="preserve"> sites were </w:t>
      </w:r>
      <w:r w:rsidR="00441914">
        <w:rPr>
          <w:color w:val="000000" w:themeColor="text1"/>
          <w:lang w:val="en-GB"/>
        </w:rPr>
        <w:t>exposed to</w:t>
      </w:r>
      <w:r w:rsidRPr="00B213FA">
        <w:rPr>
          <w:color w:val="000000" w:themeColor="text1"/>
          <w:lang w:val="en-GB"/>
        </w:rPr>
        <w:t xml:space="preserve"> </w:t>
      </w:r>
      <w:r w:rsidR="00B213FA" w:rsidRPr="00B213FA">
        <w:rPr>
          <w:color w:val="000000" w:themeColor="text1"/>
          <w:lang w:val="en-GB"/>
        </w:rPr>
        <w:t>‘brown’ or ‘green’</w:t>
      </w:r>
      <w:r w:rsidRPr="00B213FA">
        <w:rPr>
          <w:color w:val="000000" w:themeColor="text1"/>
          <w:lang w:val="en-GB"/>
        </w:rPr>
        <w:t xml:space="preserve"> </w:t>
      </w:r>
      <w:r w:rsidR="00B213FA" w:rsidRPr="00B213FA">
        <w:rPr>
          <w:color w:val="000000" w:themeColor="text1"/>
          <w:lang w:val="en-GB"/>
        </w:rPr>
        <w:t xml:space="preserve">turbid </w:t>
      </w:r>
      <w:r w:rsidRPr="00B213FA">
        <w:rPr>
          <w:color w:val="000000" w:themeColor="text1"/>
          <w:lang w:val="en-GB"/>
        </w:rPr>
        <w:t>water for 100</w:t>
      </w:r>
      <w:r w:rsidR="0063478C" w:rsidRPr="00B213FA">
        <w:rPr>
          <w:color w:val="000000" w:themeColor="text1"/>
          <w:lang w:val="en-GB"/>
        </w:rPr>
        <w:t xml:space="preserve"> per cent</w:t>
      </w:r>
      <w:r w:rsidRPr="00B213FA">
        <w:rPr>
          <w:color w:val="000000" w:themeColor="text1"/>
          <w:lang w:val="en-GB"/>
        </w:rPr>
        <w:t xml:space="preserve"> of the wet season (</w:t>
      </w:r>
      <w:r w:rsidR="00B213FA" w:rsidRPr="00B213FA">
        <w:rPr>
          <w:color w:val="000000" w:themeColor="text1"/>
          <w:lang w:val="en-GB"/>
        </w:rPr>
        <w:t>December 2016-April 2017</w:t>
      </w:r>
      <w:r w:rsidRPr="00B213FA">
        <w:rPr>
          <w:color w:val="000000" w:themeColor="text1"/>
          <w:lang w:val="en-GB"/>
        </w:rPr>
        <w:t xml:space="preserve">), </w:t>
      </w:r>
      <w:r w:rsidR="00E34D3F">
        <w:rPr>
          <w:color w:val="000000" w:themeColor="text1"/>
          <w:lang w:val="en-GB"/>
        </w:rPr>
        <w:t xml:space="preserve">and </w:t>
      </w:r>
      <w:r w:rsidRPr="00B213FA">
        <w:rPr>
          <w:color w:val="000000" w:themeColor="text1"/>
          <w:szCs w:val="22"/>
        </w:rPr>
        <w:t>daily light</w:t>
      </w:r>
      <w:r w:rsidR="006D6BD1" w:rsidRPr="00B213FA">
        <w:rPr>
          <w:color w:val="000000" w:themeColor="text1"/>
          <w:szCs w:val="22"/>
        </w:rPr>
        <w:t xml:space="preserve"> </w:t>
      </w:r>
      <w:r w:rsidR="00E34D3F">
        <w:rPr>
          <w:color w:val="000000" w:themeColor="text1"/>
          <w:szCs w:val="22"/>
        </w:rPr>
        <w:t>was below average</w:t>
      </w:r>
      <w:r w:rsidRPr="00B213FA">
        <w:rPr>
          <w:color w:val="000000" w:themeColor="text1"/>
          <w:szCs w:val="22"/>
        </w:rPr>
        <w:t xml:space="preserve">. </w:t>
      </w:r>
      <w:r w:rsidR="00B213FA">
        <w:rPr>
          <w:color w:val="000000" w:themeColor="text1"/>
          <w:szCs w:val="22"/>
        </w:rPr>
        <w:t xml:space="preserve">Due to the </w:t>
      </w:r>
      <w:r w:rsidR="00E34D3F">
        <w:rPr>
          <w:color w:val="000000" w:themeColor="text1"/>
          <w:szCs w:val="22"/>
        </w:rPr>
        <w:t xml:space="preserve">marine </w:t>
      </w:r>
      <w:r w:rsidR="00970D64">
        <w:rPr>
          <w:color w:val="000000" w:themeColor="text1"/>
          <w:szCs w:val="22"/>
        </w:rPr>
        <w:t>heat</w:t>
      </w:r>
      <w:r w:rsidR="00B213FA">
        <w:rPr>
          <w:color w:val="000000" w:themeColor="text1"/>
          <w:szCs w:val="22"/>
        </w:rPr>
        <w:t>wave, water temperature was 0.7</w:t>
      </w:r>
      <w:r w:rsidR="00B213FA">
        <w:rPr>
          <w:rFonts w:cs="Calibri"/>
          <w:color w:val="000000" w:themeColor="text1"/>
          <w:szCs w:val="22"/>
        </w:rPr>
        <w:t>°</w:t>
      </w:r>
      <w:r w:rsidR="00B213FA">
        <w:rPr>
          <w:color w:val="000000" w:themeColor="text1"/>
          <w:szCs w:val="22"/>
        </w:rPr>
        <w:t>C and 1.2</w:t>
      </w:r>
      <w:r w:rsidR="00B213FA">
        <w:rPr>
          <w:rFonts w:cs="Calibri"/>
          <w:color w:val="000000" w:themeColor="text1"/>
          <w:szCs w:val="22"/>
        </w:rPr>
        <w:t>°</w:t>
      </w:r>
      <w:r w:rsidR="00B213FA">
        <w:rPr>
          <w:color w:val="000000" w:themeColor="text1"/>
          <w:szCs w:val="22"/>
        </w:rPr>
        <w:t xml:space="preserve">C higher than average in intertidal and subtidal habitats, respectively. </w:t>
      </w:r>
      <w:r w:rsidR="000B7DDD" w:rsidRPr="000B7DDD">
        <w:rPr>
          <w:color w:val="000000" w:themeColor="text1"/>
          <w:szCs w:val="22"/>
        </w:rPr>
        <w:t xml:space="preserve">Furthermore, </w:t>
      </w:r>
      <w:r w:rsidR="006D6BD1" w:rsidRPr="000B7DDD">
        <w:rPr>
          <w:color w:val="000000" w:themeColor="text1"/>
          <w:szCs w:val="22"/>
        </w:rPr>
        <w:t>the total number of days exceeding 35</w:t>
      </w:r>
      <w:r w:rsidR="006D6BD1" w:rsidRPr="000B7DDD">
        <w:rPr>
          <w:color w:val="000000" w:themeColor="text1"/>
          <w:szCs w:val="22"/>
        </w:rPr>
        <w:sym w:font="Symbol" w:char="F0B0"/>
      </w:r>
      <w:r w:rsidR="006D6BD1" w:rsidRPr="000B7DDD">
        <w:rPr>
          <w:color w:val="000000" w:themeColor="text1"/>
          <w:szCs w:val="22"/>
        </w:rPr>
        <w:t xml:space="preserve">C </w:t>
      </w:r>
      <w:r w:rsidR="000B7DDD" w:rsidRPr="000B7DDD">
        <w:rPr>
          <w:color w:val="000000" w:themeColor="text1"/>
          <w:szCs w:val="22"/>
        </w:rPr>
        <w:t xml:space="preserve">(45 d) </w:t>
      </w:r>
      <w:r w:rsidR="006D6BD1" w:rsidRPr="000B7DDD">
        <w:rPr>
          <w:color w:val="000000" w:themeColor="text1"/>
          <w:szCs w:val="22"/>
        </w:rPr>
        <w:t xml:space="preserve">was </w:t>
      </w:r>
      <w:r w:rsidR="000B7DDD" w:rsidRPr="000B7DDD">
        <w:rPr>
          <w:color w:val="000000" w:themeColor="text1"/>
          <w:szCs w:val="22"/>
        </w:rPr>
        <w:t>the highest on record</w:t>
      </w:r>
      <w:r w:rsidR="000B7DDD">
        <w:rPr>
          <w:color w:val="000000" w:themeColor="text1"/>
          <w:szCs w:val="22"/>
        </w:rPr>
        <w:t>, and this thermal anomaly may have had a chronic effect on seagrass condition</w:t>
      </w:r>
      <w:r w:rsidR="002A1E6E">
        <w:rPr>
          <w:color w:val="000000" w:themeColor="text1"/>
          <w:szCs w:val="22"/>
        </w:rPr>
        <w:t xml:space="preserve"> and resilience</w:t>
      </w:r>
      <w:r w:rsidR="000B7DDD">
        <w:rPr>
          <w:color w:val="000000" w:themeColor="text1"/>
          <w:szCs w:val="22"/>
        </w:rPr>
        <w:t xml:space="preserve">, particularly in combination with below-average light levels. </w:t>
      </w:r>
    </w:p>
    <w:p w14:paraId="202AF942" w14:textId="777ED592" w:rsidR="000C1447" w:rsidRPr="003059B8" w:rsidRDefault="000C1447" w:rsidP="000C1447">
      <w:pPr>
        <w:rPr>
          <w:color w:val="000000" w:themeColor="text1"/>
          <w:szCs w:val="22"/>
          <w:lang w:eastAsia="en-AU"/>
        </w:rPr>
      </w:pPr>
      <w:r w:rsidRPr="002A1E6E">
        <w:rPr>
          <w:color w:val="000000" w:themeColor="text1"/>
          <w:szCs w:val="22"/>
        </w:rPr>
        <w:t xml:space="preserve">Seagrass meadows in the Burdekin NRM </w:t>
      </w:r>
      <w:r w:rsidR="002A1E6E" w:rsidRPr="002A1E6E">
        <w:rPr>
          <w:color w:val="000000" w:themeColor="text1"/>
          <w:szCs w:val="22"/>
        </w:rPr>
        <w:t>increased</w:t>
      </w:r>
      <w:r w:rsidRPr="002A1E6E">
        <w:rPr>
          <w:color w:val="000000" w:themeColor="text1"/>
          <w:szCs w:val="22"/>
        </w:rPr>
        <w:t xml:space="preserve"> in abundance </w:t>
      </w:r>
      <w:r w:rsidR="002A1E6E" w:rsidRPr="002A1E6E">
        <w:rPr>
          <w:color w:val="000000" w:themeColor="text1"/>
          <w:szCs w:val="22"/>
        </w:rPr>
        <w:t>in some habitats in</w:t>
      </w:r>
      <w:r w:rsidRPr="002A1E6E">
        <w:rPr>
          <w:color w:val="000000" w:themeColor="text1"/>
          <w:szCs w:val="22"/>
        </w:rPr>
        <w:t xml:space="preserve"> </w:t>
      </w:r>
      <w:r w:rsidR="008574EC">
        <w:rPr>
          <w:color w:val="000000" w:themeColor="text1"/>
          <w:szCs w:val="22"/>
        </w:rPr>
        <w:t>2016–17</w:t>
      </w:r>
      <w:r w:rsidRPr="002A1E6E">
        <w:rPr>
          <w:color w:val="000000" w:themeColor="text1"/>
          <w:szCs w:val="22"/>
        </w:rPr>
        <w:t xml:space="preserve">, </w:t>
      </w:r>
      <w:r w:rsidR="002A1E6E" w:rsidRPr="002A1E6E">
        <w:rPr>
          <w:color w:val="000000" w:themeColor="text1"/>
          <w:szCs w:val="22"/>
        </w:rPr>
        <w:t xml:space="preserve">leading to an increase in the overall score to </w:t>
      </w:r>
      <w:r w:rsidR="002A1E6E" w:rsidRPr="002A1E6E">
        <w:rPr>
          <w:b/>
          <w:color w:val="000000" w:themeColor="text1"/>
          <w:szCs w:val="22"/>
        </w:rPr>
        <w:t>good</w:t>
      </w:r>
      <w:r w:rsidRPr="002A1E6E">
        <w:rPr>
          <w:color w:val="000000" w:themeColor="text1"/>
          <w:szCs w:val="22"/>
        </w:rPr>
        <w:t xml:space="preserve">. </w:t>
      </w:r>
      <w:r w:rsidR="002A1E6E" w:rsidRPr="002A1E6E">
        <w:rPr>
          <w:color w:val="000000" w:themeColor="text1"/>
          <w:szCs w:val="22"/>
        </w:rPr>
        <w:t xml:space="preserve">Coastal habitats had the largest increase </w:t>
      </w:r>
      <w:r w:rsidR="00E23AFE" w:rsidRPr="002A1E6E">
        <w:rPr>
          <w:color w:val="000000" w:themeColor="text1"/>
          <w:szCs w:val="22"/>
        </w:rPr>
        <w:t>in abundance</w:t>
      </w:r>
      <w:r w:rsidR="002A1E6E" w:rsidRPr="002A1E6E">
        <w:rPr>
          <w:color w:val="000000" w:themeColor="text1"/>
          <w:szCs w:val="22"/>
        </w:rPr>
        <w:t xml:space="preserve"> relative to the previous reporting year, while reef habitats were unchanged. The long-term trend for the region (</w:t>
      </w:r>
      <w:r w:rsidR="00441914">
        <w:rPr>
          <w:color w:val="000000" w:themeColor="text1"/>
          <w:szCs w:val="22"/>
        </w:rPr>
        <w:t>GAM</w:t>
      </w:r>
      <w:r w:rsidR="002A1E6E" w:rsidRPr="002A1E6E">
        <w:rPr>
          <w:color w:val="000000" w:themeColor="text1"/>
          <w:szCs w:val="22"/>
        </w:rPr>
        <w:t xml:space="preserve"> plots), </w:t>
      </w:r>
      <w:r w:rsidR="00222434">
        <w:rPr>
          <w:color w:val="000000" w:themeColor="text1"/>
          <w:szCs w:val="22"/>
        </w:rPr>
        <w:t xml:space="preserve">indicate a trend for declining abundance in </w:t>
      </w:r>
      <w:r w:rsidR="002A1E6E" w:rsidRPr="002A1E6E">
        <w:rPr>
          <w:color w:val="000000" w:themeColor="text1"/>
          <w:szCs w:val="22"/>
        </w:rPr>
        <w:t xml:space="preserve">reef subtidal </w:t>
      </w:r>
      <w:r w:rsidR="00222434">
        <w:rPr>
          <w:color w:val="000000" w:themeColor="text1"/>
          <w:szCs w:val="22"/>
        </w:rPr>
        <w:t xml:space="preserve">habitat </w:t>
      </w:r>
      <w:r w:rsidR="002A1E6E" w:rsidRPr="002A1E6E">
        <w:rPr>
          <w:color w:val="000000" w:themeColor="text1"/>
          <w:szCs w:val="22"/>
        </w:rPr>
        <w:t xml:space="preserve">and </w:t>
      </w:r>
      <w:r w:rsidR="00222434">
        <w:rPr>
          <w:color w:val="000000" w:themeColor="text1"/>
          <w:szCs w:val="22"/>
        </w:rPr>
        <w:t xml:space="preserve">an increase in </w:t>
      </w:r>
      <w:r w:rsidR="002A1E6E" w:rsidRPr="002A1E6E">
        <w:rPr>
          <w:color w:val="000000" w:themeColor="text1"/>
          <w:szCs w:val="22"/>
        </w:rPr>
        <w:t xml:space="preserve">coastal habitats </w:t>
      </w:r>
      <w:r w:rsidR="00222434">
        <w:rPr>
          <w:color w:val="000000" w:themeColor="text1"/>
          <w:szCs w:val="22"/>
        </w:rPr>
        <w:t>over</w:t>
      </w:r>
      <w:r w:rsidR="002A1E6E" w:rsidRPr="002A1E6E">
        <w:rPr>
          <w:color w:val="000000" w:themeColor="text1"/>
          <w:szCs w:val="22"/>
        </w:rPr>
        <w:t xml:space="preserve"> </w:t>
      </w:r>
      <w:r w:rsidR="00222434">
        <w:rPr>
          <w:color w:val="000000" w:themeColor="text1"/>
          <w:szCs w:val="22"/>
        </w:rPr>
        <w:t>the past few years</w:t>
      </w:r>
      <w:r w:rsidR="00E34D3F">
        <w:rPr>
          <w:color w:val="000000" w:themeColor="text1"/>
          <w:szCs w:val="22"/>
        </w:rPr>
        <w:t xml:space="preserve"> years</w:t>
      </w:r>
      <w:r w:rsidR="004D1416" w:rsidRPr="004D1416">
        <w:rPr>
          <w:color w:val="000000" w:themeColor="text1"/>
          <w:szCs w:val="22"/>
        </w:rPr>
        <w:t xml:space="preserve">. </w:t>
      </w:r>
      <w:r w:rsidRPr="004D1416">
        <w:rPr>
          <w:color w:val="000000" w:themeColor="text1"/>
          <w:szCs w:val="22"/>
        </w:rPr>
        <w:t xml:space="preserve">Annual monitoring </w:t>
      </w:r>
      <w:r w:rsidR="00DA13F7" w:rsidRPr="004D1416">
        <w:rPr>
          <w:color w:val="000000" w:themeColor="text1"/>
          <w:szCs w:val="22"/>
        </w:rPr>
        <w:t xml:space="preserve">as part of the </w:t>
      </w:r>
      <w:r w:rsidRPr="004D1416">
        <w:rPr>
          <w:color w:val="000000" w:themeColor="text1"/>
          <w:szCs w:val="22"/>
          <w:lang w:val="en-US"/>
        </w:rPr>
        <w:t>Q</w:t>
      </w:r>
      <w:r w:rsidR="00C71F26" w:rsidRPr="004D1416">
        <w:rPr>
          <w:color w:val="000000" w:themeColor="text1"/>
          <w:szCs w:val="22"/>
          <w:lang w:val="en-US"/>
        </w:rPr>
        <w:t xml:space="preserve">ueensland </w:t>
      </w:r>
      <w:r w:rsidRPr="004D1416">
        <w:rPr>
          <w:color w:val="000000" w:themeColor="text1"/>
          <w:szCs w:val="22"/>
          <w:lang w:val="en-US"/>
        </w:rPr>
        <w:t>P</w:t>
      </w:r>
      <w:r w:rsidR="00C71F26" w:rsidRPr="004D1416">
        <w:rPr>
          <w:color w:val="000000" w:themeColor="text1"/>
          <w:szCs w:val="22"/>
          <w:lang w:val="en-US"/>
        </w:rPr>
        <w:t xml:space="preserve">orts </w:t>
      </w:r>
      <w:r w:rsidRPr="004D1416">
        <w:rPr>
          <w:color w:val="000000" w:themeColor="text1"/>
          <w:szCs w:val="22"/>
          <w:lang w:val="en-US"/>
        </w:rPr>
        <w:t>S</w:t>
      </w:r>
      <w:r w:rsidR="00C71F26" w:rsidRPr="004D1416">
        <w:rPr>
          <w:color w:val="000000" w:themeColor="text1"/>
          <w:szCs w:val="22"/>
          <w:lang w:val="en-US"/>
        </w:rPr>
        <w:t xml:space="preserve">eagrass </w:t>
      </w:r>
      <w:r w:rsidRPr="004D1416">
        <w:rPr>
          <w:color w:val="000000" w:themeColor="text1"/>
          <w:szCs w:val="22"/>
          <w:lang w:val="en-US"/>
        </w:rPr>
        <w:t>M</w:t>
      </w:r>
      <w:r w:rsidR="00C71F26" w:rsidRPr="004D1416">
        <w:rPr>
          <w:color w:val="000000" w:themeColor="text1"/>
          <w:szCs w:val="22"/>
          <w:lang w:val="en-US"/>
        </w:rPr>
        <w:t xml:space="preserve">onitoring </w:t>
      </w:r>
      <w:r w:rsidRPr="004D1416">
        <w:rPr>
          <w:color w:val="000000" w:themeColor="text1"/>
          <w:szCs w:val="22"/>
          <w:lang w:val="en-US"/>
        </w:rPr>
        <w:t>P</w:t>
      </w:r>
      <w:r w:rsidR="00C71F26" w:rsidRPr="004D1416">
        <w:rPr>
          <w:color w:val="000000" w:themeColor="text1"/>
          <w:szCs w:val="22"/>
          <w:lang w:val="en-US"/>
        </w:rPr>
        <w:t>rogram</w:t>
      </w:r>
      <w:r w:rsidR="00DA13F7" w:rsidRPr="004D1416">
        <w:rPr>
          <w:color w:val="000000" w:themeColor="text1"/>
          <w:szCs w:val="22"/>
          <w:lang w:val="en-US"/>
        </w:rPr>
        <w:t xml:space="preserve"> (QPSMP</w:t>
      </w:r>
      <w:r w:rsidRPr="004D1416">
        <w:rPr>
          <w:color w:val="000000" w:themeColor="text1"/>
          <w:szCs w:val="22"/>
          <w:lang w:val="en-US"/>
        </w:rPr>
        <w:t xml:space="preserve">) </w:t>
      </w:r>
      <w:r w:rsidR="00DA13F7" w:rsidRPr="004D1416">
        <w:rPr>
          <w:color w:val="000000" w:themeColor="text1"/>
          <w:szCs w:val="22"/>
          <w:lang w:val="en-US"/>
        </w:rPr>
        <w:t>in</w:t>
      </w:r>
      <w:r w:rsidRPr="004D1416">
        <w:rPr>
          <w:color w:val="000000" w:themeColor="text1"/>
          <w:szCs w:val="22"/>
          <w:lang w:val="en-US"/>
        </w:rPr>
        <w:t xml:space="preserve"> the Cleveland Bay region </w:t>
      </w:r>
      <w:r w:rsidR="00441914">
        <w:rPr>
          <w:color w:val="000000" w:themeColor="text1"/>
          <w:szCs w:val="22"/>
          <w:lang w:val="en-US"/>
        </w:rPr>
        <w:t>reported</w:t>
      </w:r>
      <w:r w:rsidRPr="004D1416">
        <w:rPr>
          <w:color w:val="000000" w:themeColor="text1"/>
          <w:szCs w:val="22"/>
          <w:lang w:val="en-US"/>
        </w:rPr>
        <w:t xml:space="preserve"> </w:t>
      </w:r>
      <w:r w:rsidR="004D1416" w:rsidRPr="004D1416">
        <w:rPr>
          <w:color w:val="000000" w:themeColor="text1"/>
          <w:szCs w:val="22"/>
          <w:lang w:val="en-US"/>
        </w:rPr>
        <w:t xml:space="preserve">increased </w:t>
      </w:r>
      <w:r w:rsidR="00441914">
        <w:rPr>
          <w:color w:val="000000" w:themeColor="text1"/>
          <w:szCs w:val="22"/>
          <w:lang w:val="en-US"/>
        </w:rPr>
        <w:t xml:space="preserve">visually estimated </w:t>
      </w:r>
      <w:r w:rsidR="004D1416" w:rsidRPr="004D1416">
        <w:rPr>
          <w:color w:val="000000" w:themeColor="text1"/>
          <w:szCs w:val="22"/>
          <w:lang w:val="en-US"/>
        </w:rPr>
        <w:t>biomass in 2016</w:t>
      </w:r>
      <w:r w:rsidR="00E23AFE" w:rsidRPr="004D1416">
        <w:rPr>
          <w:color w:val="000000" w:themeColor="text1"/>
          <w:szCs w:val="22"/>
          <w:lang w:val="en-US"/>
        </w:rPr>
        <w:t xml:space="preserve">, but relatively stable meadow extent </w:t>
      </w:r>
      <w:r w:rsidRPr="004D1416">
        <w:rPr>
          <w:color w:val="000000" w:themeColor="text1"/>
          <w:szCs w:val="22"/>
          <w:lang w:eastAsia="en-AU"/>
        </w:rPr>
        <w:t>(</w:t>
      </w:r>
      <w:hyperlink w:anchor="_ENREF_239" w:tooltip="Wells, 2017 #11339" w:history="1">
        <w:r w:rsidR="00305FE7">
          <w:fldChar w:fldCharType="begin"/>
        </w:r>
        <w:r w:rsidR="00305FE7">
          <w:instrText xml:space="preserve"> ADDIN EN.CITE &lt;EndNote&gt;&lt;Cite&gt;&lt;Author&gt;Wells&lt;/Author&gt;&lt;Year&gt;2017&lt;/Year&gt;&lt;RecNum&gt;11339&lt;/RecNum&gt;&lt;DisplayText&gt;Wells and Rasheed 2017&lt;/DisplayText&gt;&lt;record&gt;&lt;rec-number&gt;11339&lt;/rec-number&gt;&lt;foreign-keys&gt;&lt;key app="EN" db-id="0eve55x9y5vfd6e9dacxtew4eatve2dzds9a" timestamp="1513823442"&gt;11339&lt;/key&gt;&lt;/foreign-keys&gt;&lt;ref-type name="Book"&gt;6&lt;/ref-type&gt;&lt;contributors&gt;&lt;authors&gt;&lt;author&gt;Wells, Jaclyn N&lt;/author&gt;&lt;author&gt;Rasheed, Michael A&lt;/author&gt;&lt;/authors&gt;&lt;/contributors&gt;&lt;titles&gt;&lt;title&gt;Port of Townsville Annual Seagrass Monitoring and Baseline Survey: September - October 2016. TropWATER report 17/01&lt;/title&gt;&lt;/titles&gt;&lt;pages&gt;54&lt;/pages&gt;&lt;dates&gt;&lt;year&gt;2017&lt;/year&gt;&lt;/dates&gt;&lt;pub-location&gt;Cairns&lt;/pub-location&gt;&lt;publisher&gt;James Cook University Publication, Centre for Tropical Water &amp;amp; Aquatic Ecosystem Research (TropWATER)&lt;/publisher&gt;&lt;urls&gt;&lt;/urls&gt;&lt;/record&gt;&lt;/Cite&gt;&lt;/EndNote&gt;</w:instrText>
        </w:r>
        <w:r w:rsidR="00305FE7">
          <w:fldChar w:fldCharType="separate"/>
        </w:r>
        <w:r w:rsidR="00305FE7">
          <w:rPr>
            <w:noProof/>
          </w:rPr>
          <w:t>Wells and Rasheed 2017</w:t>
        </w:r>
        <w:r w:rsidR="00305FE7">
          <w:fldChar w:fldCharType="end"/>
        </w:r>
      </w:hyperlink>
      <w:r w:rsidR="003059B8">
        <w:t xml:space="preserve">). </w:t>
      </w:r>
      <w:r w:rsidRPr="003059B8">
        <w:rPr>
          <w:color w:val="000000" w:themeColor="text1"/>
          <w:szCs w:val="22"/>
          <w:lang w:eastAsia="en-AU"/>
        </w:rPr>
        <w:t xml:space="preserve">However, at the port of Abbot Point in the southern Burdekin region, the dynamic deep-water seagrass meadows </w:t>
      </w:r>
      <w:r w:rsidR="003059B8" w:rsidRPr="003059B8">
        <w:rPr>
          <w:color w:val="000000" w:themeColor="text1"/>
          <w:szCs w:val="22"/>
          <w:lang w:eastAsia="en-AU"/>
        </w:rPr>
        <w:t>descreased</w:t>
      </w:r>
      <w:r w:rsidRPr="003059B8">
        <w:rPr>
          <w:color w:val="000000" w:themeColor="text1"/>
          <w:szCs w:val="22"/>
          <w:lang w:eastAsia="en-AU"/>
        </w:rPr>
        <w:t xml:space="preserve"> in </w:t>
      </w:r>
      <w:r w:rsidR="00441914">
        <w:rPr>
          <w:color w:val="000000" w:themeColor="text1"/>
          <w:szCs w:val="22"/>
          <w:lang w:val="en-US"/>
        </w:rPr>
        <w:t xml:space="preserve">visually estimated </w:t>
      </w:r>
      <w:r w:rsidRPr="003059B8">
        <w:rPr>
          <w:color w:val="000000" w:themeColor="text1"/>
          <w:szCs w:val="22"/>
          <w:lang w:eastAsia="en-AU"/>
        </w:rPr>
        <w:t xml:space="preserve">biomass, </w:t>
      </w:r>
      <w:r w:rsidR="003059B8" w:rsidRPr="003059B8">
        <w:rPr>
          <w:color w:val="000000" w:themeColor="text1"/>
          <w:szCs w:val="22"/>
          <w:lang w:eastAsia="en-AU"/>
        </w:rPr>
        <w:t>due to unusual climatic conditions (dry season rainfall) having critical impacts on the light-sensitive deepwater populati</w:t>
      </w:r>
      <w:r w:rsidR="00441914">
        <w:rPr>
          <w:color w:val="000000" w:themeColor="text1"/>
          <w:szCs w:val="22"/>
          <w:lang w:eastAsia="en-AU"/>
        </w:rPr>
        <w:t>ons during their growing season</w:t>
      </w:r>
      <w:r w:rsidRPr="003059B8">
        <w:rPr>
          <w:color w:val="000000" w:themeColor="text1"/>
          <w:szCs w:val="22"/>
          <w:lang w:eastAsia="en-AU"/>
        </w:rPr>
        <w:t xml:space="preserve"> (</w:t>
      </w:r>
      <w:hyperlink w:anchor="_ENREF_146" w:tooltip="McKenna, 2015 #10488" w:history="1">
        <w:r w:rsidR="00305FE7" w:rsidRPr="003059B8">
          <w:rPr>
            <w:color w:val="000000" w:themeColor="text1"/>
            <w:szCs w:val="22"/>
            <w:lang w:eastAsia="en-AU"/>
          </w:rPr>
          <w:fldChar w:fldCharType="begin"/>
        </w:r>
        <w:r w:rsidR="00305FE7" w:rsidRPr="003059B8">
          <w:rPr>
            <w:color w:val="000000" w:themeColor="text1"/>
            <w:szCs w:val="22"/>
            <w:lang w:eastAsia="en-AU"/>
          </w:rPr>
          <w:instrText xml:space="preserve"> ADDIN EN.CITE &lt;EndNote&gt;&lt;Cite&gt;&lt;Author&gt;McKenna&lt;/Author&gt;&lt;Year&gt;2015&lt;/Year&gt;&lt;RecNum&gt;10488&lt;/RecNum&gt;&lt;DisplayText&gt;McKenna&lt;style face="italic"&gt; et al.&lt;/style&gt; 2015&lt;/DisplayText&gt;&lt;record&gt;&lt;rec-number&gt;10488&lt;/rec-number&gt;&lt;foreign-keys&gt;&lt;key app="EN" db-id="0eve55x9y5vfd6e9dacxtew4eatve2dzds9a" timestamp="1454641728"&gt;10488&lt;/key&gt;&lt;/foreign-keys&gt;&lt;ref-type name="Book"&gt;6&lt;/ref-type&gt;&lt;contributors&gt;&lt;authors&gt;&lt;author&gt;McKenna, SA&lt;/author&gt;&lt;author&gt;Sozou, AM&lt;/author&gt;&lt;author&gt;Scott, EL&lt;/author&gt;&lt;author&gt;Rasheed, MA&lt;/author&gt;&lt;/authors&gt;&lt;/contributors&gt;&lt;titles&gt;&lt;title&gt;Port of Abbot Point Long-Term Seagrass Monitoring: Annual Report 2013-2014&lt;/title&gt;&lt;/titles&gt;&lt;pages&gt;42&lt;/pages&gt;&lt;dates&gt;&lt;year&gt;2015&lt;/year&gt;&lt;/dates&gt;&lt;pub-location&gt;Cairns&lt;/pub-location&gt;&lt;publisher&gt;JCU Publication, Centre for Tropical Water &amp;amp; Aquatic Ecosystem Research&lt;/publisher&gt;&lt;urls&gt;&lt;/urls&gt;&lt;/record&gt;&lt;/Cite&gt;&lt;/EndNote&gt;</w:instrText>
        </w:r>
        <w:r w:rsidR="00305FE7" w:rsidRPr="003059B8">
          <w:rPr>
            <w:color w:val="000000" w:themeColor="text1"/>
            <w:szCs w:val="22"/>
            <w:lang w:eastAsia="en-AU"/>
          </w:rPr>
          <w:fldChar w:fldCharType="separate"/>
        </w:r>
        <w:r w:rsidR="00305FE7" w:rsidRPr="003059B8">
          <w:rPr>
            <w:noProof/>
            <w:color w:val="000000" w:themeColor="text1"/>
            <w:szCs w:val="22"/>
            <w:lang w:eastAsia="en-AU"/>
          </w:rPr>
          <w:t>McKenna</w:t>
        </w:r>
        <w:r w:rsidR="00305FE7" w:rsidRPr="003059B8">
          <w:rPr>
            <w:i/>
            <w:noProof/>
            <w:color w:val="000000" w:themeColor="text1"/>
            <w:szCs w:val="22"/>
            <w:lang w:eastAsia="en-AU"/>
          </w:rPr>
          <w:t xml:space="preserve"> et al.</w:t>
        </w:r>
        <w:r w:rsidR="00305FE7" w:rsidRPr="003059B8">
          <w:rPr>
            <w:noProof/>
            <w:color w:val="000000" w:themeColor="text1"/>
            <w:szCs w:val="22"/>
            <w:lang w:eastAsia="en-AU"/>
          </w:rPr>
          <w:t xml:space="preserve"> 2015</w:t>
        </w:r>
        <w:r w:rsidR="00305FE7" w:rsidRPr="003059B8">
          <w:rPr>
            <w:color w:val="000000" w:themeColor="text1"/>
            <w:szCs w:val="22"/>
            <w:lang w:eastAsia="en-AU"/>
          </w:rPr>
          <w:fldChar w:fldCharType="end"/>
        </w:r>
      </w:hyperlink>
      <w:r w:rsidRPr="003059B8">
        <w:rPr>
          <w:color w:val="000000" w:themeColor="text1"/>
          <w:szCs w:val="22"/>
          <w:lang w:eastAsia="en-AU"/>
        </w:rPr>
        <w:t>).</w:t>
      </w:r>
    </w:p>
    <w:p w14:paraId="2BA90FE7" w14:textId="16A16BA3" w:rsidR="000C1447" w:rsidRPr="000A215B" w:rsidRDefault="00487ED3" w:rsidP="000C1447">
      <w:pPr>
        <w:rPr>
          <w:szCs w:val="22"/>
        </w:rPr>
      </w:pPr>
      <w:r w:rsidRPr="00487ED3">
        <w:rPr>
          <w:rFonts w:cs="TimesNewRoman,Italic"/>
          <w:iCs/>
          <w:color w:val="000000" w:themeColor="text1"/>
          <w:szCs w:val="22"/>
        </w:rPr>
        <w:t xml:space="preserve">The overall score for reproductive effort reduced to </w:t>
      </w:r>
      <w:r w:rsidRPr="00487ED3">
        <w:rPr>
          <w:rFonts w:cs="TimesNewRoman,Italic"/>
          <w:b/>
          <w:iCs/>
          <w:color w:val="000000" w:themeColor="text1"/>
          <w:szCs w:val="22"/>
        </w:rPr>
        <w:t>poor</w:t>
      </w:r>
      <w:r w:rsidRPr="00487ED3">
        <w:rPr>
          <w:rFonts w:cs="TimesNewRoman,Italic"/>
          <w:iCs/>
          <w:color w:val="000000" w:themeColor="text1"/>
          <w:szCs w:val="22"/>
        </w:rPr>
        <w:t xml:space="preserve"> in </w:t>
      </w:r>
      <w:r w:rsidR="008574EC">
        <w:rPr>
          <w:rFonts w:cs="TimesNewRoman,Italic"/>
          <w:iCs/>
          <w:color w:val="000000" w:themeColor="text1"/>
          <w:szCs w:val="22"/>
        </w:rPr>
        <w:t>2016–17</w:t>
      </w:r>
      <w:r w:rsidRPr="00487ED3">
        <w:rPr>
          <w:rFonts w:cs="TimesNewRoman,Italic"/>
          <w:iCs/>
          <w:color w:val="000000" w:themeColor="text1"/>
          <w:szCs w:val="22"/>
        </w:rPr>
        <w:t xml:space="preserve">. </w:t>
      </w:r>
      <w:r w:rsidR="000C1447" w:rsidRPr="00487ED3">
        <w:rPr>
          <w:rFonts w:cs="TimesNewRoman,Italic"/>
          <w:iCs/>
          <w:color w:val="000000" w:themeColor="text1"/>
          <w:szCs w:val="22"/>
        </w:rPr>
        <w:t xml:space="preserve">Reproductive effort </w:t>
      </w:r>
      <w:r w:rsidR="00BC309A" w:rsidRPr="00487ED3">
        <w:rPr>
          <w:rFonts w:cs="TimesNewRoman,Italic"/>
          <w:iCs/>
          <w:color w:val="000000" w:themeColor="text1"/>
          <w:szCs w:val="22"/>
        </w:rPr>
        <w:t>has remained moderately high</w:t>
      </w:r>
      <w:r w:rsidR="00996ADC" w:rsidRPr="00487ED3">
        <w:rPr>
          <w:rFonts w:cs="TimesNewRoman,Italic"/>
          <w:iCs/>
          <w:color w:val="000000" w:themeColor="text1"/>
          <w:szCs w:val="22"/>
        </w:rPr>
        <w:t xml:space="preserve"> at coastal sites, and the seed bank </w:t>
      </w:r>
      <w:r w:rsidR="00BC309A" w:rsidRPr="00487ED3">
        <w:rPr>
          <w:rFonts w:cs="TimesNewRoman,Italic"/>
          <w:iCs/>
          <w:color w:val="000000" w:themeColor="text1"/>
          <w:szCs w:val="22"/>
        </w:rPr>
        <w:t>has the</w:t>
      </w:r>
      <w:r w:rsidR="00996ADC" w:rsidRPr="00487ED3">
        <w:rPr>
          <w:rFonts w:cs="TimesNewRoman,Italic"/>
          <w:iCs/>
          <w:color w:val="000000" w:themeColor="text1"/>
          <w:szCs w:val="22"/>
        </w:rPr>
        <w:t xml:space="preserve"> highest densities </w:t>
      </w:r>
      <w:r>
        <w:rPr>
          <w:rFonts w:cs="TimesNewRoman,Italic"/>
          <w:iCs/>
          <w:color w:val="000000" w:themeColor="text1"/>
          <w:szCs w:val="22"/>
        </w:rPr>
        <w:t xml:space="preserve">among all </w:t>
      </w:r>
      <w:r w:rsidR="007F6948">
        <w:rPr>
          <w:rFonts w:cs="TimesNewRoman,Italic"/>
          <w:iCs/>
          <w:color w:val="000000" w:themeColor="text1"/>
          <w:szCs w:val="22"/>
        </w:rPr>
        <w:t>Great Barrier Reef</w:t>
      </w:r>
      <w:r>
        <w:rPr>
          <w:rFonts w:cs="TimesNewRoman,Italic"/>
          <w:iCs/>
          <w:color w:val="000000" w:themeColor="text1"/>
          <w:szCs w:val="22"/>
        </w:rPr>
        <w:t xml:space="preserve"> sites; however, seed density</w:t>
      </w:r>
      <w:r w:rsidR="00996ADC" w:rsidRPr="00487ED3">
        <w:rPr>
          <w:rFonts w:cs="TimesNewRoman,Italic"/>
          <w:iCs/>
          <w:color w:val="000000" w:themeColor="text1"/>
          <w:szCs w:val="22"/>
        </w:rPr>
        <w:t xml:space="preserve"> remains lower than the historical peaks observed in 2004-2008. </w:t>
      </w:r>
      <w:r w:rsidR="00D57386">
        <w:rPr>
          <w:rFonts w:cs="TimesNewRoman,Italic"/>
          <w:iCs/>
          <w:color w:val="000000" w:themeColor="text1"/>
          <w:szCs w:val="22"/>
        </w:rPr>
        <w:t xml:space="preserve">The reduction in </w:t>
      </w:r>
      <w:r w:rsidR="00441914">
        <w:rPr>
          <w:rFonts w:cs="TimesNewRoman,Italic"/>
          <w:iCs/>
          <w:color w:val="000000" w:themeColor="text1"/>
          <w:szCs w:val="22"/>
        </w:rPr>
        <w:t>category</w:t>
      </w:r>
      <w:r w:rsidR="00D57386">
        <w:rPr>
          <w:rFonts w:cs="TimesNewRoman,Italic"/>
          <w:iCs/>
          <w:color w:val="000000" w:themeColor="text1"/>
          <w:szCs w:val="22"/>
        </w:rPr>
        <w:t xml:space="preserve"> was due to reproductive effort at the</w:t>
      </w:r>
      <w:r w:rsidR="00996ADC" w:rsidRPr="00487ED3">
        <w:rPr>
          <w:rFonts w:cs="TimesNewRoman,Italic"/>
          <w:iCs/>
          <w:color w:val="000000" w:themeColor="text1"/>
          <w:szCs w:val="22"/>
        </w:rPr>
        <w:t xml:space="preserve"> reef </w:t>
      </w:r>
      <w:r w:rsidRPr="00487ED3">
        <w:rPr>
          <w:rFonts w:cs="TimesNewRoman,Italic"/>
          <w:iCs/>
          <w:color w:val="000000" w:themeColor="text1"/>
          <w:szCs w:val="22"/>
        </w:rPr>
        <w:t xml:space="preserve">intertidal and </w:t>
      </w:r>
      <w:r w:rsidR="00996ADC" w:rsidRPr="00487ED3">
        <w:rPr>
          <w:rFonts w:cs="TimesNewRoman,Italic"/>
          <w:iCs/>
          <w:color w:val="000000" w:themeColor="text1"/>
          <w:szCs w:val="22"/>
        </w:rPr>
        <w:t>subtidal sites</w:t>
      </w:r>
      <w:r w:rsidR="00D57386">
        <w:rPr>
          <w:rFonts w:cs="TimesNewRoman,Italic"/>
          <w:iCs/>
          <w:color w:val="000000" w:themeColor="text1"/>
          <w:szCs w:val="22"/>
        </w:rPr>
        <w:t xml:space="preserve">. </w:t>
      </w:r>
      <w:r w:rsidR="000B1FB3">
        <w:rPr>
          <w:rFonts w:cs="TimesNewRoman,Italic"/>
          <w:iCs/>
          <w:color w:val="000000" w:themeColor="text1"/>
          <w:szCs w:val="22"/>
        </w:rPr>
        <w:t>Des</w:t>
      </w:r>
      <w:r w:rsidR="00B26D25">
        <w:rPr>
          <w:rFonts w:cs="TimesNewRoman,Italic"/>
          <w:iCs/>
          <w:color w:val="000000" w:themeColor="text1"/>
          <w:szCs w:val="22"/>
        </w:rPr>
        <w:t>p</w:t>
      </w:r>
      <w:r w:rsidR="000B1FB3">
        <w:rPr>
          <w:rFonts w:cs="TimesNewRoman,Italic"/>
          <w:iCs/>
          <w:color w:val="000000" w:themeColor="text1"/>
          <w:szCs w:val="22"/>
        </w:rPr>
        <w:t>ite this, s</w:t>
      </w:r>
      <w:r w:rsidR="00D57386">
        <w:rPr>
          <w:rFonts w:cs="TimesNewRoman,Italic"/>
          <w:iCs/>
          <w:color w:val="000000" w:themeColor="text1"/>
          <w:szCs w:val="22"/>
        </w:rPr>
        <w:t>eed density in the</w:t>
      </w:r>
      <w:r w:rsidR="000C1447" w:rsidRPr="00487ED3">
        <w:rPr>
          <w:rFonts w:cs="TimesNewRoman,Italic"/>
          <w:iCs/>
          <w:color w:val="000000" w:themeColor="text1"/>
          <w:szCs w:val="22"/>
        </w:rPr>
        <w:t xml:space="preserve"> seed bank </w:t>
      </w:r>
      <w:r w:rsidR="000B1FB3">
        <w:rPr>
          <w:rFonts w:cs="TimesNewRoman,Italic"/>
          <w:iCs/>
          <w:color w:val="000000" w:themeColor="text1"/>
          <w:szCs w:val="22"/>
        </w:rPr>
        <w:t>of the reef subtidal habitat</w:t>
      </w:r>
      <w:r w:rsidR="000B1FB3" w:rsidRPr="00487ED3">
        <w:rPr>
          <w:rFonts w:cs="TimesNewRoman,Italic"/>
          <w:iCs/>
          <w:color w:val="000000" w:themeColor="text1"/>
          <w:szCs w:val="22"/>
        </w:rPr>
        <w:t xml:space="preserve"> </w:t>
      </w:r>
      <w:r w:rsidRPr="00487ED3">
        <w:rPr>
          <w:rFonts w:cs="TimesNewRoman,Italic"/>
          <w:iCs/>
          <w:color w:val="000000" w:themeColor="text1"/>
          <w:szCs w:val="22"/>
        </w:rPr>
        <w:t xml:space="preserve">is at historical </w:t>
      </w:r>
      <w:r w:rsidR="000B1FB3">
        <w:rPr>
          <w:rFonts w:cs="TimesNewRoman,Italic"/>
          <w:iCs/>
          <w:color w:val="000000" w:themeColor="text1"/>
          <w:szCs w:val="22"/>
        </w:rPr>
        <w:t>peaks</w:t>
      </w:r>
      <w:r w:rsidR="00B26D25">
        <w:rPr>
          <w:rFonts w:cs="TimesNewRoman,Italic"/>
          <w:iCs/>
          <w:color w:val="000000" w:themeColor="text1"/>
          <w:szCs w:val="22"/>
        </w:rPr>
        <w:t xml:space="preserve">, and it is </w:t>
      </w:r>
      <w:r w:rsidR="00B26D25" w:rsidRPr="000A215B">
        <w:rPr>
          <w:rFonts w:cs="TimesNewRoman,Italic"/>
          <w:iCs/>
          <w:szCs w:val="22"/>
        </w:rPr>
        <w:t>the only subtidal reef habitat to maintain a seed bank</w:t>
      </w:r>
      <w:r w:rsidR="000C1447" w:rsidRPr="000A215B">
        <w:rPr>
          <w:rFonts w:cs="TimesNewRoman,Italic"/>
          <w:iCs/>
          <w:szCs w:val="22"/>
        </w:rPr>
        <w:t xml:space="preserve">. </w:t>
      </w:r>
      <w:r w:rsidR="000C1447" w:rsidRPr="000A215B">
        <w:rPr>
          <w:szCs w:val="22"/>
        </w:rPr>
        <w:t xml:space="preserve">The C:N ratio of seagrass leaves </w:t>
      </w:r>
      <w:r w:rsidR="00ED57BE" w:rsidRPr="000A215B">
        <w:rPr>
          <w:szCs w:val="22"/>
        </w:rPr>
        <w:t>increased</w:t>
      </w:r>
      <w:r w:rsidR="000C1447" w:rsidRPr="000A215B">
        <w:rPr>
          <w:szCs w:val="22"/>
        </w:rPr>
        <w:t xml:space="preserve"> </w:t>
      </w:r>
      <w:r w:rsidR="000B1FB3" w:rsidRPr="000A215B">
        <w:rPr>
          <w:szCs w:val="22"/>
        </w:rPr>
        <w:t xml:space="preserve">in </w:t>
      </w:r>
      <w:r w:rsidR="008574EC">
        <w:rPr>
          <w:szCs w:val="22"/>
        </w:rPr>
        <w:t>2016–17</w:t>
      </w:r>
      <w:r w:rsidR="00996ADC" w:rsidRPr="000A215B">
        <w:rPr>
          <w:szCs w:val="22"/>
        </w:rPr>
        <w:t xml:space="preserve"> </w:t>
      </w:r>
      <w:r w:rsidR="00A65C8A" w:rsidRPr="000A215B">
        <w:rPr>
          <w:szCs w:val="22"/>
        </w:rPr>
        <w:t>in all habitats</w:t>
      </w:r>
      <w:r w:rsidR="00ED57BE" w:rsidRPr="000A215B">
        <w:rPr>
          <w:szCs w:val="22"/>
        </w:rPr>
        <w:t xml:space="preserve">, reaching </w:t>
      </w:r>
      <w:r w:rsidR="00A65C8A" w:rsidRPr="000A215B">
        <w:rPr>
          <w:szCs w:val="22"/>
        </w:rPr>
        <w:t>the greatest</w:t>
      </w:r>
      <w:r w:rsidR="00ED57BE" w:rsidRPr="000A215B">
        <w:rPr>
          <w:szCs w:val="22"/>
        </w:rPr>
        <w:t xml:space="preserve"> </w:t>
      </w:r>
      <w:r w:rsidR="00A65C8A" w:rsidRPr="000A215B">
        <w:rPr>
          <w:szCs w:val="22"/>
        </w:rPr>
        <w:t>level observed in coastal habitats of the region since monitoring began. At reef sites, C:N remains above 20, indicating that nitrogen is not in excess relative to growth requirements. Reductions in N:P ratios in all habitats further indicate a reduction in nitrogen in the region</w:t>
      </w:r>
      <w:r w:rsidR="000C1447" w:rsidRPr="000A215B">
        <w:rPr>
          <w:szCs w:val="22"/>
        </w:rPr>
        <w:t xml:space="preserve"> </w:t>
      </w:r>
    </w:p>
    <w:p w14:paraId="0FD3C9DE" w14:textId="49AB1CEA" w:rsidR="000C1447" w:rsidRPr="00F86FF6" w:rsidRDefault="000C1447" w:rsidP="000C1447">
      <w:pPr>
        <w:rPr>
          <w:color w:val="000000" w:themeColor="text1"/>
          <w:szCs w:val="22"/>
        </w:rPr>
      </w:pPr>
      <w:r w:rsidRPr="000A215B">
        <w:rPr>
          <w:szCs w:val="22"/>
        </w:rPr>
        <w:t xml:space="preserve">Over the past decade, seagrass meadows of the Burdekin region have demonstrated high resilience </w:t>
      </w:r>
      <w:r w:rsidRPr="00F86FF6">
        <w:rPr>
          <w:color w:val="000000" w:themeColor="text1"/>
          <w:szCs w:val="22"/>
        </w:rPr>
        <w:t xml:space="preserve">particularly through their capacity for recovery. This may reflect a conditioning to disturbance (high seed bank, high </w:t>
      </w:r>
      <w:r w:rsidR="00C71F26" w:rsidRPr="00F86FF6">
        <w:rPr>
          <w:color w:val="000000" w:themeColor="text1"/>
          <w:szCs w:val="22"/>
        </w:rPr>
        <w:t xml:space="preserve">species </w:t>
      </w:r>
      <w:r w:rsidRPr="00F86FF6">
        <w:rPr>
          <w:color w:val="000000" w:themeColor="text1"/>
          <w:szCs w:val="22"/>
        </w:rPr>
        <w:t xml:space="preserve">diversity), but also reflects the nature of the disturbances which are episodic </w:t>
      </w:r>
      <w:r w:rsidR="00A65C8A" w:rsidRPr="00F86FF6">
        <w:rPr>
          <w:color w:val="000000" w:themeColor="text1"/>
          <w:szCs w:val="22"/>
        </w:rPr>
        <w:t xml:space="preserve">and </w:t>
      </w:r>
      <w:r w:rsidRPr="00F86FF6">
        <w:rPr>
          <w:color w:val="000000" w:themeColor="text1"/>
          <w:szCs w:val="22"/>
        </w:rPr>
        <w:t>dominated by Burdekin River f</w:t>
      </w:r>
      <w:r w:rsidR="006E47B4" w:rsidRPr="00F86FF6">
        <w:rPr>
          <w:color w:val="000000" w:themeColor="text1"/>
          <w:szCs w:val="22"/>
        </w:rPr>
        <w:t>lows</w:t>
      </w:r>
      <w:r w:rsidRPr="00F86FF6">
        <w:rPr>
          <w:color w:val="000000" w:themeColor="text1"/>
          <w:szCs w:val="22"/>
        </w:rPr>
        <w:t xml:space="preserve">. Burdekin regional seagrass state </w:t>
      </w:r>
      <w:r w:rsidR="00A65C8A" w:rsidRPr="00F86FF6">
        <w:rPr>
          <w:color w:val="000000" w:themeColor="text1"/>
          <w:szCs w:val="22"/>
        </w:rPr>
        <w:t xml:space="preserve">increased slightly in </w:t>
      </w:r>
      <w:r w:rsidR="008574EC">
        <w:rPr>
          <w:color w:val="000000" w:themeColor="text1"/>
          <w:szCs w:val="22"/>
        </w:rPr>
        <w:t>2016–17</w:t>
      </w:r>
      <w:r w:rsidRPr="00F86FF6">
        <w:rPr>
          <w:color w:val="000000" w:themeColor="text1"/>
          <w:szCs w:val="22"/>
        </w:rPr>
        <w:t xml:space="preserve"> </w:t>
      </w:r>
      <w:r w:rsidR="00A65C8A" w:rsidRPr="00F86FF6">
        <w:rPr>
          <w:color w:val="000000" w:themeColor="text1"/>
          <w:szCs w:val="22"/>
        </w:rPr>
        <w:t>and</w:t>
      </w:r>
      <w:r w:rsidR="00996ADC" w:rsidRPr="00F86FF6">
        <w:rPr>
          <w:color w:val="000000" w:themeColor="text1"/>
          <w:szCs w:val="22"/>
        </w:rPr>
        <w:t xml:space="preserve"> remains </w:t>
      </w:r>
      <w:r w:rsidRPr="00F86FF6">
        <w:rPr>
          <w:b/>
          <w:color w:val="000000" w:themeColor="text1"/>
          <w:szCs w:val="22"/>
        </w:rPr>
        <w:t>moderate</w:t>
      </w:r>
      <w:r w:rsidR="00996ADC" w:rsidRPr="00F86FF6">
        <w:rPr>
          <w:color w:val="000000" w:themeColor="text1"/>
          <w:szCs w:val="22"/>
        </w:rPr>
        <w:t xml:space="preserve"> </w:t>
      </w:r>
      <w:r w:rsidRPr="00F86FF6">
        <w:rPr>
          <w:color w:val="000000" w:themeColor="text1"/>
          <w:szCs w:val="22"/>
        </w:rPr>
        <w:t>due largely to reduced reproductive effort (</w:t>
      </w:r>
      <w:r w:rsidR="00F7114B" w:rsidRPr="00F86FF6">
        <w:rPr>
          <w:color w:val="000000" w:themeColor="text1"/>
          <w:szCs w:val="22"/>
        </w:rPr>
        <w:fldChar w:fldCharType="begin"/>
      </w:r>
      <w:r w:rsidR="00F7114B" w:rsidRPr="00F86FF6">
        <w:rPr>
          <w:color w:val="000000" w:themeColor="text1"/>
          <w:szCs w:val="22"/>
        </w:rPr>
        <w:instrText xml:space="preserve"> REF _Ref410385306 \h </w:instrText>
      </w:r>
      <w:r w:rsidR="00F7114B" w:rsidRPr="00F86FF6">
        <w:rPr>
          <w:color w:val="000000" w:themeColor="text1"/>
          <w:szCs w:val="22"/>
        </w:rPr>
      </w:r>
      <w:r w:rsidR="00F7114B" w:rsidRPr="00F86FF6">
        <w:rPr>
          <w:color w:val="000000" w:themeColor="text1"/>
          <w:szCs w:val="22"/>
        </w:rPr>
        <w:fldChar w:fldCharType="separate"/>
      </w:r>
      <w:r w:rsidR="00F87DF9" w:rsidRPr="0090020B">
        <w:rPr>
          <w:color w:val="000000"/>
        </w:rPr>
        <w:t xml:space="preserve">Figure </w:t>
      </w:r>
      <w:r w:rsidR="00F87DF9">
        <w:rPr>
          <w:noProof/>
          <w:color w:val="000000"/>
        </w:rPr>
        <w:t>63</w:t>
      </w:r>
      <w:r w:rsidR="00F7114B" w:rsidRPr="00F86FF6">
        <w:rPr>
          <w:color w:val="000000" w:themeColor="text1"/>
          <w:szCs w:val="22"/>
        </w:rPr>
        <w:fldChar w:fldCharType="end"/>
      </w:r>
      <w:r w:rsidRPr="00F86FF6">
        <w:rPr>
          <w:color w:val="000000" w:themeColor="text1"/>
          <w:szCs w:val="22"/>
        </w:rPr>
        <w:t xml:space="preserve">). </w:t>
      </w:r>
    </w:p>
    <w:p w14:paraId="4AF3FEEC" w14:textId="77777777" w:rsidR="00C64CB8" w:rsidRDefault="00015AD8" w:rsidP="00C64CB8">
      <w:pPr>
        <w:keepNext/>
        <w:widowControl w:val="0"/>
        <w:spacing w:after="0"/>
        <w:jc w:val="center"/>
        <w:rPr>
          <w:color w:val="000000"/>
          <w:szCs w:val="22"/>
        </w:rPr>
      </w:pPr>
      <w:r>
        <w:rPr>
          <w:noProof/>
          <w:color w:val="000000"/>
          <w:szCs w:val="22"/>
          <w:lang w:eastAsia="en-AU"/>
        </w:rPr>
        <w:drawing>
          <wp:inline distT="0" distB="0" distL="0" distR="0" wp14:anchorId="3DB578BB" wp14:editId="19F907AD">
            <wp:extent cx="4319999" cy="2396549"/>
            <wp:effectExtent l="0" t="0" r="4445" b="3810"/>
            <wp:docPr id="309" name="Picture 309" descr="Panel of four scatter plots with straight lines and markers showing report card of seagrass condition (indicators and index) for the Burdekin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INDEX_B_2016.png"/>
                    <pic:cNvPicPr/>
                  </pic:nvPicPr>
                  <pic:blipFill>
                    <a:blip r:embed="rId101">
                      <a:extLst>
                        <a:ext uri="{28A0092B-C50C-407E-A947-70E740481C1C}">
                          <a14:useLocalDpi xmlns:a14="http://schemas.microsoft.com/office/drawing/2010/main" val="0"/>
                        </a:ext>
                      </a:extLst>
                    </a:blip>
                    <a:stretch>
                      <a:fillRect/>
                    </a:stretch>
                  </pic:blipFill>
                  <pic:spPr>
                    <a:xfrm>
                      <a:off x="0" y="0"/>
                      <a:ext cx="4319999" cy="2396549"/>
                    </a:xfrm>
                    <a:prstGeom prst="rect">
                      <a:avLst/>
                    </a:prstGeom>
                  </pic:spPr>
                </pic:pic>
              </a:graphicData>
            </a:graphic>
          </wp:inline>
        </w:drawing>
      </w:r>
    </w:p>
    <w:p w14:paraId="0D878332" w14:textId="48C87007" w:rsidR="00C64CB8" w:rsidRPr="0090020B" w:rsidRDefault="00C64CB8" w:rsidP="00C64CB8">
      <w:pPr>
        <w:rPr>
          <w:i/>
          <w:vanish/>
          <w:color w:val="000000"/>
          <w:specVanish/>
        </w:rPr>
      </w:pPr>
      <w:bookmarkStart w:id="373" w:name="_Ref410385306"/>
      <w:bookmarkStart w:id="374" w:name="_Toc431493856"/>
      <w:bookmarkStart w:id="375" w:name="_Toc516053273"/>
      <w:r w:rsidRPr="0090020B">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63</w:t>
      </w:r>
      <w:r>
        <w:rPr>
          <w:color w:val="000000"/>
        </w:rPr>
        <w:fldChar w:fldCharType="end"/>
      </w:r>
      <w:bookmarkEnd w:id="373"/>
      <w:r w:rsidRPr="0090020B">
        <w:rPr>
          <w:color w:val="000000"/>
        </w:rPr>
        <w:t xml:space="preserve">. </w:t>
      </w:r>
      <w:r w:rsidRPr="0090020B">
        <w:rPr>
          <w:i/>
          <w:color w:val="000000"/>
        </w:rPr>
        <w:t>Report card of seagrass status indicators and index for the Burdekin NRM region</w:t>
      </w:r>
      <w:bookmarkEnd w:id="374"/>
      <w:bookmarkEnd w:id="375"/>
    </w:p>
    <w:p w14:paraId="22C0D860" w14:textId="5B428135" w:rsidR="00C64CB8" w:rsidRDefault="00C64CB8" w:rsidP="00C64CB8">
      <w:pPr>
        <w:rPr>
          <w:i/>
          <w:szCs w:val="22"/>
        </w:rPr>
      </w:pPr>
      <w:r w:rsidRPr="0090020B">
        <w:rPr>
          <w:i/>
          <w:color w:val="000000"/>
          <w:szCs w:val="22"/>
        </w:rPr>
        <w:t xml:space="preserve"> (average</w:t>
      </w:r>
      <w:r w:rsidR="000115D2">
        <w:rPr>
          <w:i/>
          <w:color w:val="000000"/>
          <w:szCs w:val="22"/>
        </w:rPr>
        <w:t>s</w:t>
      </w:r>
      <w:r w:rsidRPr="0090020B">
        <w:rPr>
          <w:i/>
          <w:color w:val="000000"/>
          <w:szCs w:val="22"/>
        </w:rPr>
        <w:t xml:space="preserve">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5B39B217" w14:textId="77777777" w:rsidR="00DA13F7" w:rsidRDefault="00DA13F7" w:rsidP="00C64CB8">
      <w:pPr>
        <w:rPr>
          <w:color w:val="000000"/>
          <w:szCs w:val="22"/>
        </w:rPr>
      </w:pPr>
    </w:p>
    <w:p w14:paraId="4F7206AE" w14:textId="77777777" w:rsidR="000C1447" w:rsidRPr="000C1040" w:rsidRDefault="000C1447" w:rsidP="00926892">
      <w:pPr>
        <w:pStyle w:val="Heading3"/>
        <w:numPr>
          <w:ilvl w:val="2"/>
          <w:numId w:val="9"/>
        </w:numPr>
        <w:rPr>
          <w:rFonts w:ascii="Arial" w:hAnsi="Arial" w:cs="Arial"/>
          <w:color w:val="000000"/>
        </w:rPr>
      </w:pPr>
      <w:bookmarkStart w:id="376" w:name="_Toc516053151"/>
      <w:r w:rsidRPr="000C1040">
        <w:rPr>
          <w:rFonts w:ascii="Arial" w:hAnsi="Arial" w:cs="Arial"/>
          <w:color w:val="000000"/>
        </w:rPr>
        <w:t>Climate and environmental pressures</w:t>
      </w:r>
      <w:bookmarkEnd w:id="376"/>
    </w:p>
    <w:p w14:paraId="64771162" w14:textId="44810889" w:rsidR="000C1447" w:rsidRPr="00377268" w:rsidRDefault="000C1447" w:rsidP="000C1447">
      <w:pPr>
        <w:rPr>
          <w:color w:val="000000" w:themeColor="text1"/>
        </w:rPr>
      </w:pPr>
      <w:r w:rsidRPr="00410E1C">
        <w:rPr>
          <w:color w:val="000000" w:themeColor="text1"/>
        </w:rPr>
        <w:t xml:space="preserve">Rainfall and river discharge were </w:t>
      </w:r>
      <w:r w:rsidR="0080651C" w:rsidRPr="00410E1C">
        <w:rPr>
          <w:color w:val="000000" w:themeColor="text1"/>
        </w:rPr>
        <w:t xml:space="preserve">below </w:t>
      </w:r>
      <w:r w:rsidRPr="00410E1C">
        <w:rPr>
          <w:color w:val="000000" w:themeColor="text1"/>
        </w:rPr>
        <w:t>the long-term average</w:t>
      </w:r>
      <w:r w:rsidR="0080651C" w:rsidRPr="00410E1C">
        <w:rPr>
          <w:color w:val="000000" w:themeColor="text1"/>
        </w:rPr>
        <w:t xml:space="preserve"> in the Burdekin </w:t>
      </w:r>
      <w:r w:rsidR="00410E1C" w:rsidRPr="00410E1C">
        <w:rPr>
          <w:color w:val="000000" w:themeColor="text1"/>
        </w:rPr>
        <w:t>region (</w:t>
      </w:r>
      <w:r w:rsidR="00410E1C" w:rsidRPr="00410E1C">
        <w:rPr>
          <w:color w:val="000000" w:themeColor="text1"/>
        </w:rPr>
        <w:fldChar w:fldCharType="begin"/>
      </w:r>
      <w:r w:rsidR="00410E1C" w:rsidRPr="00410E1C">
        <w:rPr>
          <w:color w:val="000000" w:themeColor="text1"/>
        </w:rPr>
        <w:instrText xml:space="preserve"> REF _Ref442551414 \h </w:instrText>
      </w:r>
      <w:r w:rsidR="00410E1C" w:rsidRPr="00410E1C">
        <w:rPr>
          <w:color w:val="000000" w:themeColor="text1"/>
        </w:rPr>
      </w:r>
      <w:r w:rsidR="00410E1C" w:rsidRPr="00410E1C">
        <w:rPr>
          <w:color w:val="000000" w:themeColor="text1"/>
        </w:rPr>
        <w:fldChar w:fldCharType="separate"/>
      </w:r>
      <w:r w:rsidR="00F87DF9">
        <w:t xml:space="preserve">Table </w:t>
      </w:r>
      <w:r w:rsidR="00F87DF9">
        <w:rPr>
          <w:noProof/>
        </w:rPr>
        <w:t>20</w:t>
      </w:r>
      <w:r w:rsidR="00410E1C" w:rsidRPr="00410E1C">
        <w:rPr>
          <w:color w:val="000000" w:themeColor="text1"/>
        </w:rPr>
        <w:fldChar w:fldCharType="end"/>
      </w:r>
      <w:r w:rsidR="00410E1C" w:rsidRPr="00410E1C">
        <w:rPr>
          <w:color w:val="000000" w:themeColor="text1"/>
        </w:rPr>
        <w:t>). However, t</w:t>
      </w:r>
      <w:r w:rsidR="0080651C" w:rsidRPr="00410E1C">
        <w:rPr>
          <w:color w:val="000000" w:themeColor="text1"/>
        </w:rPr>
        <w:t xml:space="preserve">he largest river, </w:t>
      </w:r>
      <w:r w:rsidR="00410E1C" w:rsidRPr="00410E1C">
        <w:rPr>
          <w:color w:val="000000" w:themeColor="text1"/>
        </w:rPr>
        <w:t>t</w:t>
      </w:r>
      <w:r w:rsidR="0080651C" w:rsidRPr="00410E1C">
        <w:rPr>
          <w:color w:val="000000" w:themeColor="text1"/>
        </w:rPr>
        <w:t>he Burdekin River, had a discharge that was around the long-term average</w:t>
      </w:r>
      <w:r w:rsidR="00410E1C" w:rsidRPr="00410E1C">
        <w:rPr>
          <w:color w:val="000000" w:themeColor="text1"/>
        </w:rPr>
        <w:t>, while discharge from the Don River was more than double the long-term median</w:t>
      </w:r>
      <w:r w:rsidR="00B26D25">
        <w:rPr>
          <w:color w:val="000000" w:themeColor="text1"/>
        </w:rPr>
        <w:t xml:space="preserve"> (</w:t>
      </w:r>
      <w:r w:rsidR="00B26D25">
        <w:rPr>
          <w:color w:val="000000" w:themeColor="text1"/>
        </w:rPr>
        <w:fldChar w:fldCharType="begin"/>
      </w:r>
      <w:r w:rsidR="00B26D25">
        <w:rPr>
          <w:color w:val="000000" w:themeColor="text1"/>
        </w:rPr>
        <w:instrText xml:space="preserve"> REF _Ref442465342 \h </w:instrText>
      </w:r>
      <w:r w:rsidR="00B26D25">
        <w:rPr>
          <w:color w:val="000000" w:themeColor="text1"/>
        </w:rPr>
      </w:r>
      <w:r w:rsidR="00B26D25">
        <w:rPr>
          <w:color w:val="000000" w:themeColor="text1"/>
        </w:rPr>
        <w:fldChar w:fldCharType="separate"/>
      </w:r>
      <w:r w:rsidR="00F87DF9">
        <w:t xml:space="preserve">Table </w:t>
      </w:r>
      <w:r w:rsidR="00F87DF9">
        <w:rPr>
          <w:noProof/>
        </w:rPr>
        <w:t>10</w:t>
      </w:r>
      <w:r w:rsidR="00B26D25">
        <w:rPr>
          <w:color w:val="000000" w:themeColor="text1"/>
        </w:rPr>
        <w:fldChar w:fldCharType="end"/>
      </w:r>
      <w:r w:rsidR="00B26D25">
        <w:rPr>
          <w:color w:val="000000" w:themeColor="text1"/>
        </w:rPr>
        <w:t>)</w:t>
      </w:r>
      <w:r w:rsidR="00410E1C" w:rsidRPr="00410E1C">
        <w:rPr>
          <w:color w:val="000000" w:themeColor="text1"/>
        </w:rPr>
        <w:t>. W</w:t>
      </w:r>
      <w:r w:rsidRPr="00410E1C">
        <w:rPr>
          <w:color w:val="000000" w:themeColor="text1"/>
        </w:rPr>
        <w:t>ind</w:t>
      </w:r>
      <w:r w:rsidR="005E1EB5" w:rsidRPr="00410E1C">
        <w:rPr>
          <w:color w:val="000000" w:themeColor="text1"/>
        </w:rPr>
        <w:t xml:space="preserve">, which can resuspend fine sediments and nutrients adsorbed to their surface, </w:t>
      </w:r>
      <w:r w:rsidR="00410E1C" w:rsidRPr="00410E1C">
        <w:rPr>
          <w:color w:val="000000" w:themeColor="text1"/>
        </w:rPr>
        <w:t>exceeded</w:t>
      </w:r>
      <w:r w:rsidRPr="00410E1C">
        <w:rPr>
          <w:color w:val="000000" w:themeColor="text1"/>
        </w:rPr>
        <w:t xml:space="preserve"> the long-term average</w:t>
      </w:r>
      <w:r w:rsidR="00B26D25">
        <w:rPr>
          <w:color w:val="000000" w:themeColor="text1"/>
        </w:rPr>
        <w:t xml:space="preserve"> and </w:t>
      </w:r>
      <w:r w:rsidR="005E1EB5" w:rsidRPr="00377268">
        <w:rPr>
          <w:color w:val="000000" w:themeColor="text1"/>
        </w:rPr>
        <w:t>s</w:t>
      </w:r>
      <w:r w:rsidRPr="00377268">
        <w:rPr>
          <w:color w:val="000000" w:themeColor="text1"/>
        </w:rPr>
        <w:t xml:space="preserve">eagrass monitoring sites were exposed to </w:t>
      </w:r>
      <w:r w:rsidR="00377268" w:rsidRPr="00377268">
        <w:rPr>
          <w:color w:val="000000" w:themeColor="text1"/>
        </w:rPr>
        <w:t>‘brown’ or ‘green’ turbid</w:t>
      </w:r>
      <w:r w:rsidRPr="00377268">
        <w:rPr>
          <w:color w:val="000000" w:themeColor="text1"/>
        </w:rPr>
        <w:t xml:space="preserve"> water for 100</w:t>
      </w:r>
      <w:r w:rsidR="0063478C" w:rsidRPr="00377268">
        <w:rPr>
          <w:color w:val="000000" w:themeColor="text1"/>
        </w:rPr>
        <w:t xml:space="preserve"> per cent</w:t>
      </w:r>
      <w:r w:rsidRPr="00377268">
        <w:rPr>
          <w:color w:val="000000" w:themeColor="text1"/>
        </w:rPr>
        <w:t xml:space="preserve"> (</w:t>
      </w:r>
      <w:r w:rsidR="00B35F39" w:rsidRPr="00377268">
        <w:rPr>
          <w:i/>
          <w:color w:val="000000" w:themeColor="text1"/>
        </w:rPr>
        <w:t>f</w:t>
      </w:r>
      <w:r w:rsidRPr="00377268">
        <w:rPr>
          <w:color w:val="000000" w:themeColor="text1"/>
          <w:vertAlign w:val="subscript"/>
        </w:rPr>
        <w:t>P+S</w:t>
      </w:r>
      <w:r w:rsidRPr="00377268">
        <w:rPr>
          <w:color w:val="000000" w:themeColor="text1"/>
        </w:rPr>
        <w:t xml:space="preserve"> = 1.00) of the wet season. </w:t>
      </w:r>
      <w:r w:rsidR="00D14175" w:rsidRPr="00377268">
        <w:rPr>
          <w:color w:val="000000" w:themeColor="text1"/>
        </w:rPr>
        <w:t>C</w:t>
      </w:r>
      <w:r w:rsidRPr="00377268">
        <w:rPr>
          <w:color w:val="000000" w:themeColor="text1"/>
        </w:rPr>
        <w:t xml:space="preserve">oastal sites were exposed to </w:t>
      </w:r>
      <w:r w:rsidR="00D14175" w:rsidRPr="00377268">
        <w:rPr>
          <w:color w:val="000000" w:themeColor="text1"/>
        </w:rPr>
        <w:t xml:space="preserve">turbid, sediment laden, </w:t>
      </w:r>
      <w:r w:rsidRPr="00377268">
        <w:rPr>
          <w:color w:val="000000" w:themeColor="text1"/>
        </w:rPr>
        <w:t>primary water</w:t>
      </w:r>
      <w:r w:rsidR="00D14175" w:rsidRPr="00377268">
        <w:rPr>
          <w:color w:val="000000" w:themeColor="text1"/>
        </w:rPr>
        <w:t>s</w:t>
      </w:r>
      <w:r w:rsidRPr="00377268">
        <w:rPr>
          <w:color w:val="000000" w:themeColor="text1"/>
        </w:rPr>
        <w:t xml:space="preserve">, and reefs sites were exposed largely to </w:t>
      </w:r>
      <w:r w:rsidR="00377268" w:rsidRPr="00377268">
        <w:rPr>
          <w:color w:val="000000" w:themeColor="text1"/>
        </w:rPr>
        <w:t>‘green’</w:t>
      </w:r>
      <w:r w:rsidRPr="00377268">
        <w:rPr>
          <w:color w:val="000000" w:themeColor="text1"/>
        </w:rPr>
        <w:t xml:space="preserve"> </w:t>
      </w:r>
      <w:r w:rsidR="00B26D25">
        <w:rPr>
          <w:color w:val="000000" w:themeColor="text1"/>
        </w:rPr>
        <w:t xml:space="preserve">turbid </w:t>
      </w:r>
      <w:r w:rsidRPr="00377268">
        <w:rPr>
          <w:color w:val="000000" w:themeColor="text1"/>
        </w:rPr>
        <w:t>water</w:t>
      </w:r>
      <w:r w:rsidR="00B65283" w:rsidRPr="00377268">
        <w:rPr>
          <w:color w:val="000000" w:themeColor="text1"/>
        </w:rPr>
        <w:t>,</w:t>
      </w:r>
      <w:r w:rsidRPr="00377268">
        <w:rPr>
          <w:color w:val="000000" w:themeColor="text1"/>
        </w:rPr>
        <w:t xml:space="preserve"> </w:t>
      </w:r>
      <w:r w:rsidR="005E1EB5" w:rsidRPr="00377268">
        <w:rPr>
          <w:color w:val="000000" w:themeColor="text1"/>
        </w:rPr>
        <w:t xml:space="preserve">for the duration of the </w:t>
      </w:r>
      <w:r w:rsidR="008574EC">
        <w:rPr>
          <w:color w:val="000000" w:themeColor="text1"/>
        </w:rPr>
        <w:t>2016–17</w:t>
      </w:r>
      <w:r w:rsidR="00D14175" w:rsidRPr="00377268">
        <w:rPr>
          <w:color w:val="000000" w:themeColor="text1"/>
        </w:rPr>
        <w:t xml:space="preserve"> </w:t>
      </w:r>
      <w:r w:rsidR="000945E8" w:rsidRPr="00377268">
        <w:rPr>
          <w:color w:val="000000" w:themeColor="text1"/>
        </w:rPr>
        <w:t>wet</w:t>
      </w:r>
      <w:r w:rsidR="00D14175" w:rsidRPr="00377268">
        <w:rPr>
          <w:color w:val="000000" w:themeColor="text1"/>
        </w:rPr>
        <w:t xml:space="preserve"> period </w:t>
      </w:r>
      <w:r w:rsidRPr="00377268">
        <w:rPr>
          <w:color w:val="000000" w:themeColor="text1"/>
        </w:rPr>
        <w:t>(</w:t>
      </w:r>
      <w:r w:rsidR="00D14175" w:rsidRPr="00377268">
        <w:rPr>
          <w:color w:val="000000" w:themeColor="text1"/>
        </w:rPr>
        <w:fldChar w:fldCharType="begin"/>
      </w:r>
      <w:r w:rsidR="00D14175" w:rsidRPr="00377268">
        <w:rPr>
          <w:color w:val="000000" w:themeColor="text1"/>
        </w:rPr>
        <w:instrText xml:space="preserve"> REF _Ref461446989 \h </w:instrText>
      </w:r>
      <w:r w:rsidR="00D14175" w:rsidRPr="00377268">
        <w:rPr>
          <w:color w:val="000000" w:themeColor="text1"/>
        </w:rPr>
      </w:r>
      <w:r w:rsidR="00D14175" w:rsidRPr="00377268">
        <w:rPr>
          <w:color w:val="000000" w:themeColor="text1"/>
        </w:rPr>
        <w:fldChar w:fldCharType="separate"/>
      </w:r>
      <w:r w:rsidR="00F87DF9" w:rsidRPr="00FD0A74">
        <w:t xml:space="preserve">Figure </w:t>
      </w:r>
      <w:r w:rsidR="00F87DF9">
        <w:rPr>
          <w:noProof/>
        </w:rPr>
        <w:t>64</w:t>
      </w:r>
      <w:r w:rsidR="00D14175" w:rsidRPr="00377268">
        <w:rPr>
          <w:color w:val="000000" w:themeColor="text1"/>
        </w:rPr>
        <w:fldChar w:fldCharType="end"/>
      </w:r>
      <w:r w:rsidR="00D14175" w:rsidRPr="00377268">
        <w:rPr>
          <w:color w:val="000000" w:themeColor="text1"/>
        </w:rPr>
        <w:t xml:space="preserve">, </w:t>
      </w:r>
      <w:r w:rsidR="00D14175" w:rsidRPr="00377268">
        <w:rPr>
          <w:color w:val="000000" w:themeColor="text1"/>
        </w:rPr>
        <w:fldChar w:fldCharType="begin"/>
      </w:r>
      <w:r w:rsidR="00D14175" w:rsidRPr="00377268">
        <w:rPr>
          <w:color w:val="000000" w:themeColor="text1"/>
        </w:rPr>
        <w:instrText xml:space="preserve"> REF _Ref461447002 \h </w:instrText>
      </w:r>
      <w:r w:rsidR="00D14175" w:rsidRPr="00377268">
        <w:rPr>
          <w:color w:val="000000" w:themeColor="text1"/>
        </w:rPr>
      </w:r>
      <w:r w:rsidR="00D14175" w:rsidRPr="00377268">
        <w:rPr>
          <w:color w:val="000000" w:themeColor="text1"/>
        </w:rPr>
        <w:fldChar w:fldCharType="separate"/>
      </w:r>
      <w:r w:rsidR="00F87DF9" w:rsidRPr="00FD0A74">
        <w:t xml:space="preserve">Table </w:t>
      </w:r>
      <w:r w:rsidR="00F87DF9">
        <w:rPr>
          <w:noProof/>
        </w:rPr>
        <w:t>21</w:t>
      </w:r>
      <w:r w:rsidR="00D14175" w:rsidRPr="00377268">
        <w:rPr>
          <w:color w:val="000000" w:themeColor="text1"/>
        </w:rPr>
        <w:fldChar w:fldCharType="end"/>
      </w:r>
      <w:r w:rsidR="00D14175" w:rsidRPr="00377268">
        <w:rPr>
          <w:color w:val="000000" w:themeColor="text1"/>
        </w:rPr>
        <w:t>).</w:t>
      </w:r>
    </w:p>
    <w:p w14:paraId="46E2C414" w14:textId="77777777" w:rsidR="00DA13F7" w:rsidRDefault="00DA13F7" w:rsidP="000C1447">
      <w:pPr>
        <w:rPr>
          <w:color w:val="000000"/>
          <w:szCs w:val="22"/>
        </w:rPr>
      </w:pPr>
    </w:p>
    <w:p w14:paraId="69F11F64" w14:textId="25314D35" w:rsidR="00E50C95" w:rsidRPr="00A93D8C" w:rsidRDefault="005515AE" w:rsidP="00E50C95">
      <w:pPr>
        <w:spacing w:before="0"/>
        <w:rPr>
          <w:i/>
          <w:vanish/>
          <w:specVanish/>
        </w:rPr>
      </w:pPr>
      <w:bookmarkStart w:id="377" w:name="_Ref442551414"/>
      <w:bookmarkStart w:id="378" w:name="_Toc516053444"/>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20</w:t>
      </w:r>
      <w:r w:rsidR="00C506C7">
        <w:rPr>
          <w:noProof/>
        </w:rPr>
        <w:fldChar w:fldCharType="end"/>
      </w:r>
      <w:bookmarkEnd w:id="377"/>
      <w:r>
        <w:t xml:space="preserve">.  </w:t>
      </w:r>
      <w:r w:rsidR="000C1447" w:rsidRPr="005515AE">
        <w:rPr>
          <w:i/>
        </w:rPr>
        <w:t xml:space="preserve">Summary of environmental conditions at monitoring sites in the Burdekin in </w:t>
      </w:r>
      <w:r w:rsidR="008574EC">
        <w:rPr>
          <w:i/>
        </w:rPr>
        <w:t>2016–17</w:t>
      </w:r>
      <w:r w:rsidR="000C1447" w:rsidRPr="005515AE">
        <w:rPr>
          <w:i/>
        </w:rPr>
        <w:t xml:space="preserve"> compared to the long-term average</w:t>
      </w:r>
      <w:bookmarkEnd w:id="378"/>
    </w:p>
    <w:p w14:paraId="04890730" w14:textId="7ECCC045" w:rsidR="000C1447" w:rsidRPr="005515AE" w:rsidRDefault="000C1447" w:rsidP="001402C9">
      <w:pPr>
        <w:jc w:val="center"/>
        <w:rPr>
          <w:i/>
        </w:rPr>
      </w:pPr>
      <w:r w:rsidRPr="005515AE">
        <w:rPr>
          <w:i/>
        </w:rPr>
        <w:t xml:space="preserve"> (long-term range indicated for each data set) including climate, discharge, plume, and within seagrass canopy conditions.</w:t>
      </w:r>
    </w:p>
    <w:tbl>
      <w:tblPr>
        <w:tblW w:w="0" w:type="auto"/>
        <w:jc w:val="center"/>
        <w:tblBorders>
          <w:bottom w:val="single" w:sz="4" w:space="0" w:color="auto"/>
        </w:tblBorders>
        <w:tblLook w:val="04A0" w:firstRow="1" w:lastRow="0" w:firstColumn="1" w:lastColumn="0" w:noHBand="0" w:noVBand="1"/>
      </w:tblPr>
      <w:tblGrid>
        <w:gridCol w:w="4210"/>
        <w:gridCol w:w="2268"/>
        <w:gridCol w:w="1559"/>
      </w:tblGrid>
      <w:tr w:rsidR="00EE1122" w:rsidRPr="008F6ECE" w14:paraId="25BB6898" w14:textId="77777777" w:rsidTr="001402C9">
        <w:trPr>
          <w:trHeight w:val="227"/>
          <w:jc w:val="center"/>
        </w:trPr>
        <w:tc>
          <w:tcPr>
            <w:tcW w:w="4210" w:type="dxa"/>
            <w:tcBorders>
              <w:top w:val="single" w:sz="4" w:space="0" w:color="auto"/>
              <w:bottom w:val="single" w:sz="4" w:space="0" w:color="auto"/>
            </w:tcBorders>
            <w:shd w:val="clear" w:color="auto" w:fill="BBE0E3"/>
          </w:tcPr>
          <w:p w14:paraId="17E580B3" w14:textId="77777777" w:rsidR="000C1447" w:rsidRPr="008F6ECE" w:rsidRDefault="000C1447"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5A8718B6" w14:textId="77777777" w:rsidR="000C1447" w:rsidRPr="008F6ECE" w:rsidRDefault="000C1447" w:rsidP="0059610E">
            <w:pPr>
              <w:spacing w:before="0" w:after="0"/>
              <w:rPr>
                <w:b/>
                <w:sz w:val="18"/>
                <w:szCs w:val="18"/>
              </w:rPr>
            </w:pPr>
            <w:r w:rsidRPr="008F6ECE">
              <w:rPr>
                <w:b/>
                <w:sz w:val="18"/>
                <w:szCs w:val="18"/>
              </w:rPr>
              <w:t>Long-term average</w:t>
            </w:r>
          </w:p>
        </w:tc>
        <w:tc>
          <w:tcPr>
            <w:tcW w:w="1559" w:type="dxa"/>
            <w:tcBorders>
              <w:top w:val="single" w:sz="4" w:space="0" w:color="auto"/>
              <w:bottom w:val="single" w:sz="4" w:space="0" w:color="auto"/>
            </w:tcBorders>
            <w:shd w:val="clear" w:color="auto" w:fill="BBE0E3"/>
          </w:tcPr>
          <w:p w14:paraId="0BCBD51D" w14:textId="6F6BB122" w:rsidR="000C1447" w:rsidRPr="008F6ECE" w:rsidRDefault="008574EC" w:rsidP="002E37BF">
            <w:pPr>
              <w:spacing w:before="0" w:after="0"/>
              <w:rPr>
                <w:b/>
                <w:sz w:val="18"/>
                <w:szCs w:val="18"/>
              </w:rPr>
            </w:pPr>
            <w:r>
              <w:rPr>
                <w:b/>
                <w:sz w:val="18"/>
                <w:szCs w:val="18"/>
              </w:rPr>
              <w:t>2016–17</w:t>
            </w:r>
          </w:p>
        </w:tc>
      </w:tr>
      <w:tr w:rsidR="00EE1122" w:rsidRPr="008F6ECE" w14:paraId="3A02E061" w14:textId="77777777" w:rsidTr="001402C9">
        <w:trPr>
          <w:trHeight w:val="227"/>
          <w:jc w:val="center"/>
        </w:trPr>
        <w:tc>
          <w:tcPr>
            <w:tcW w:w="4210" w:type="dxa"/>
            <w:shd w:val="clear" w:color="auto" w:fill="E7F3F4"/>
          </w:tcPr>
          <w:p w14:paraId="21A84565" w14:textId="285F8A5D" w:rsidR="000C1447" w:rsidRPr="008F6ECE" w:rsidRDefault="00B3027C" w:rsidP="00945B81">
            <w:pPr>
              <w:spacing w:before="0" w:after="0"/>
              <w:rPr>
                <w:sz w:val="18"/>
                <w:szCs w:val="18"/>
              </w:rPr>
            </w:pPr>
            <w:r w:rsidRPr="008F6ECE">
              <w:rPr>
                <w:sz w:val="18"/>
                <w:szCs w:val="18"/>
              </w:rPr>
              <w:t>Wet Season r</w:t>
            </w:r>
            <w:r w:rsidR="000C1447" w:rsidRPr="008F6ECE">
              <w:rPr>
                <w:sz w:val="18"/>
                <w:szCs w:val="18"/>
              </w:rPr>
              <w:t>ainfall</w:t>
            </w:r>
            <w:r w:rsidRPr="008F6ECE">
              <w:rPr>
                <w:sz w:val="18"/>
                <w:szCs w:val="18"/>
              </w:rPr>
              <w:t xml:space="preserve"> (1961</w:t>
            </w:r>
            <w:r w:rsidR="00B4451B" w:rsidRPr="008F6ECE">
              <w:rPr>
                <w:sz w:val="18"/>
                <w:szCs w:val="18"/>
              </w:rPr>
              <w:t>-</w:t>
            </w:r>
            <w:r w:rsidRPr="008F6ECE">
              <w:rPr>
                <w:sz w:val="18"/>
                <w:szCs w:val="18"/>
              </w:rPr>
              <w:t>1990</w:t>
            </w:r>
            <w:r w:rsidR="000C1447" w:rsidRPr="008F6ECE">
              <w:rPr>
                <w:sz w:val="18"/>
                <w:szCs w:val="18"/>
              </w:rPr>
              <w:t>)</w:t>
            </w:r>
          </w:p>
        </w:tc>
        <w:tc>
          <w:tcPr>
            <w:tcW w:w="2268" w:type="dxa"/>
            <w:shd w:val="clear" w:color="auto" w:fill="E7F3F4"/>
          </w:tcPr>
          <w:p w14:paraId="4F7AF3AE" w14:textId="2D3DE20D" w:rsidR="000C1447" w:rsidRPr="008F6ECE" w:rsidRDefault="00410E1C" w:rsidP="0059610E">
            <w:pPr>
              <w:spacing w:before="0" w:after="0"/>
              <w:rPr>
                <w:sz w:val="18"/>
                <w:szCs w:val="18"/>
              </w:rPr>
            </w:pPr>
            <w:r w:rsidRPr="008F6ECE">
              <w:rPr>
                <w:sz w:val="18"/>
                <w:szCs w:val="18"/>
              </w:rPr>
              <w:t>3.3</w:t>
            </w:r>
            <w:r w:rsidR="000C1447" w:rsidRPr="008F6ECE">
              <w:rPr>
                <w:sz w:val="18"/>
                <w:szCs w:val="18"/>
              </w:rPr>
              <w:t xml:space="preserve"> mm</w:t>
            </w:r>
            <w:r w:rsidRPr="008F6ECE">
              <w:rPr>
                <w:sz w:val="18"/>
                <w:szCs w:val="18"/>
              </w:rPr>
              <w:t xml:space="preserve"> d</w:t>
            </w:r>
            <w:r w:rsidRPr="008F6ECE">
              <w:rPr>
                <w:sz w:val="18"/>
                <w:szCs w:val="18"/>
                <w:vertAlign w:val="superscript"/>
              </w:rPr>
              <w:t>-1</w:t>
            </w:r>
          </w:p>
        </w:tc>
        <w:tc>
          <w:tcPr>
            <w:tcW w:w="1559" w:type="dxa"/>
            <w:shd w:val="clear" w:color="auto" w:fill="E7F3F4"/>
          </w:tcPr>
          <w:p w14:paraId="3AE338B2" w14:textId="4F0BAFF6" w:rsidR="000C1447" w:rsidRPr="008F6ECE" w:rsidRDefault="00B3027C" w:rsidP="0059610E">
            <w:pPr>
              <w:spacing w:before="0" w:after="0"/>
              <w:rPr>
                <w:sz w:val="18"/>
                <w:szCs w:val="18"/>
              </w:rPr>
            </w:pPr>
            <w:r w:rsidRPr="008F6ECE">
              <w:rPr>
                <w:sz w:val="18"/>
                <w:szCs w:val="18"/>
              </w:rPr>
              <w:t>2.6</w:t>
            </w:r>
            <w:r w:rsidR="000C1447" w:rsidRPr="008F6ECE">
              <w:rPr>
                <w:sz w:val="18"/>
                <w:szCs w:val="18"/>
              </w:rPr>
              <w:t xml:space="preserve"> mm</w:t>
            </w:r>
            <w:r w:rsidRPr="008F6ECE">
              <w:rPr>
                <w:sz w:val="18"/>
                <w:szCs w:val="18"/>
              </w:rPr>
              <w:t xml:space="preserve"> d</w:t>
            </w:r>
            <w:r w:rsidRPr="008F6ECE">
              <w:rPr>
                <w:sz w:val="18"/>
                <w:szCs w:val="18"/>
                <w:vertAlign w:val="superscript"/>
              </w:rPr>
              <w:t>-1</w:t>
            </w:r>
          </w:p>
        </w:tc>
      </w:tr>
      <w:tr w:rsidR="00EE1122" w:rsidRPr="008F6ECE" w14:paraId="7286E53D" w14:textId="77777777" w:rsidTr="001402C9">
        <w:trPr>
          <w:trHeight w:val="227"/>
          <w:jc w:val="center"/>
        </w:trPr>
        <w:tc>
          <w:tcPr>
            <w:tcW w:w="4210" w:type="dxa"/>
            <w:shd w:val="clear" w:color="auto" w:fill="E7F3F4"/>
          </w:tcPr>
          <w:p w14:paraId="1B66A94E" w14:textId="04BB2625" w:rsidR="000C1447" w:rsidRPr="008F6ECE" w:rsidRDefault="00B3027C" w:rsidP="00945B81">
            <w:pPr>
              <w:spacing w:before="0" w:after="0"/>
              <w:rPr>
                <w:sz w:val="18"/>
                <w:szCs w:val="18"/>
              </w:rPr>
            </w:pPr>
            <w:r w:rsidRPr="008F6ECE">
              <w:rPr>
                <w:sz w:val="18"/>
                <w:szCs w:val="18"/>
              </w:rPr>
              <w:t>Wet Season r</w:t>
            </w:r>
            <w:r w:rsidR="000C1447" w:rsidRPr="008F6ECE">
              <w:rPr>
                <w:sz w:val="18"/>
                <w:szCs w:val="18"/>
              </w:rPr>
              <w:t xml:space="preserve">iver discharge </w:t>
            </w:r>
            <w:r w:rsidRPr="008F6ECE">
              <w:rPr>
                <w:sz w:val="18"/>
                <w:szCs w:val="18"/>
              </w:rPr>
              <w:t>(1961-1990)</w:t>
            </w:r>
          </w:p>
        </w:tc>
        <w:tc>
          <w:tcPr>
            <w:tcW w:w="2268" w:type="dxa"/>
            <w:shd w:val="clear" w:color="auto" w:fill="E7F3F4"/>
          </w:tcPr>
          <w:p w14:paraId="4C79D46D" w14:textId="4F2AB6CF" w:rsidR="000C1447" w:rsidRPr="008F6ECE" w:rsidRDefault="00160623" w:rsidP="0059610E">
            <w:pPr>
              <w:spacing w:before="0" w:after="0"/>
              <w:rPr>
                <w:sz w:val="18"/>
                <w:szCs w:val="18"/>
              </w:rPr>
            </w:pPr>
            <w:r w:rsidRPr="008F6ECE">
              <w:rPr>
                <w:sz w:val="18"/>
                <w:szCs w:val="18"/>
              </w:rPr>
              <w:t>5,</w:t>
            </w:r>
            <w:r w:rsidR="00410E1C" w:rsidRPr="008F6ECE">
              <w:rPr>
                <w:sz w:val="18"/>
                <w:szCs w:val="18"/>
              </w:rPr>
              <w:t>889</w:t>
            </w:r>
            <w:r w:rsidRPr="008F6ECE">
              <w:rPr>
                <w:sz w:val="18"/>
                <w:szCs w:val="18"/>
              </w:rPr>
              <w:t>,</w:t>
            </w:r>
            <w:r w:rsidR="00410E1C" w:rsidRPr="008F6ECE">
              <w:rPr>
                <w:sz w:val="18"/>
                <w:szCs w:val="18"/>
              </w:rPr>
              <w:t>584</w:t>
            </w:r>
            <w:r w:rsidR="00D14175" w:rsidRPr="008F6ECE">
              <w:rPr>
                <w:rFonts w:asciiTheme="majorHAnsi" w:hAnsiTheme="majorHAnsi"/>
                <w:sz w:val="18"/>
                <w:szCs w:val="18"/>
              </w:rPr>
              <w:t xml:space="preserve"> </w:t>
            </w:r>
            <w:r w:rsidR="00D14175" w:rsidRPr="008F6ECE">
              <w:rPr>
                <w:sz w:val="18"/>
                <w:szCs w:val="18"/>
              </w:rPr>
              <w:t>L yr</w:t>
            </w:r>
            <w:r w:rsidR="00D14175" w:rsidRPr="008F6ECE">
              <w:rPr>
                <w:sz w:val="18"/>
                <w:szCs w:val="18"/>
                <w:vertAlign w:val="superscript"/>
              </w:rPr>
              <w:t>-1</w:t>
            </w:r>
          </w:p>
        </w:tc>
        <w:tc>
          <w:tcPr>
            <w:tcW w:w="1559" w:type="dxa"/>
            <w:shd w:val="clear" w:color="auto" w:fill="E7F3F4"/>
          </w:tcPr>
          <w:p w14:paraId="78D73130" w14:textId="4894629D" w:rsidR="000C1447" w:rsidRPr="008F6ECE" w:rsidRDefault="00410E1C" w:rsidP="0059610E">
            <w:pPr>
              <w:spacing w:before="0" w:after="0"/>
              <w:rPr>
                <w:sz w:val="18"/>
                <w:szCs w:val="18"/>
              </w:rPr>
            </w:pPr>
            <w:r w:rsidRPr="008F6ECE">
              <w:rPr>
                <w:sz w:val="18"/>
                <w:szCs w:val="18"/>
              </w:rPr>
              <w:t>5</w:t>
            </w:r>
            <w:r w:rsidR="00160623" w:rsidRPr="008F6ECE">
              <w:rPr>
                <w:sz w:val="18"/>
                <w:szCs w:val="18"/>
              </w:rPr>
              <w:t>,</w:t>
            </w:r>
            <w:r w:rsidRPr="008F6ECE">
              <w:rPr>
                <w:sz w:val="18"/>
                <w:szCs w:val="18"/>
              </w:rPr>
              <w:t>500</w:t>
            </w:r>
            <w:r w:rsidR="00160623" w:rsidRPr="008F6ECE">
              <w:rPr>
                <w:sz w:val="18"/>
                <w:szCs w:val="18"/>
              </w:rPr>
              <w:t>,</w:t>
            </w:r>
            <w:r w:rsidRPr="008F6ECE">
              <w:rPr>
                <w:sz w:val="18"/>
                <w:szCs w:val="18"/>
              </w:rPr>
              <w:t>724</w:t>
            </w:r>
            <w:r w:rsidR="00D14175" w:rsidRPr="008F6ECE">
              <w:rPr>
                <w:sz w:val="18"/>
                <w:szCs w:val="18"/>
              </w:rPr>
              <w:t xml:space="preserve"> L yr</w:t>
            </w:r>
            <w:r w:rsidR="00D14175" w:rsidRPr="008F6ECE">
              <w:rPr>
                <w:sz w:val="18"/>
                <w:szCs w:val="18"/>
                <w:vertAlign w:val="superscript"/>
              </w:rPr>
              <w:t>-1</w:t>
            </w:r>
          </w:p>
        </w:tc>
      </w:tr>
      <w:tr w:rsidR="00EE1122" w:rsidRPr="008F6ECE" w14:paraId="1EC76664" w14:textId="77777777" w:rsidTr="001402C9">
        <w:trPr>
          <w:trHeight w:val="227"/>
          <w:jc w:val="center"/>
        </w:trPr>
        <w:tc>
          <w:tcPr>
            <w:tcW w:w="4210" w:type="dxa"/>
            <w:shd w:val="clear" w:color="auto" w:fill="E7F3F4"/>
          </w:tcPr>
          <w:p w14:paraId="3C153718" w14:textId="2A0FFB70" w:rsidR="000C1447" w:rsidRPr="008F6ECE" w:rsidRDefault="00FC2BAC" w:rsidP="00945B81">
            <w:pPr>
              <w:spacing w:before="0" w:after="0"/>
              <w:rPr>
                <w:sz w:val="18"/>
                <w:szCs w:val="18"/>
              </w:rPr>
            </w:pPr>
            <w:r w:rsidRPr="008F6ECE">
              <w:rPr>
                <w:sz w:val="18"/>
                <w:szCs w:val="18"/>
              </w:rPr>
              <w:t>Turbid water exposure</w:t>
            </w:r>
            <w:r w:rsidR="00B4451B" w:rsidRPr="008F6ECE">
              <w:rPr>
                <w:sz w:val="18"/>
                <w:szCs w:val="18"/>
              </w:rPr>
              <w:t xml:space="preserve"> (2006-201</w:t>
            </w:r>
            <w:r w:rsidR="00945B81" w:rsidRPr="008F6ECE">
              <w:rPr>
                <w:sz w:val="18"/>
                <w:szCs w:val="18"/>
              </w:rPr>
              <w:t>7</w:t>
            </w:r>
            <w:r w:rsidR="000C1447" w:rsidRPr="008F6ECE">
              <w:rPr>
                <w:sz w:val="18"/>
                <w:szCs w:val="18"/>
              </w:rPr>
              <w:t>)</w:t>
            </w:r>
          </w:p>
        </w:tc>
        <w:tc>
          <w:tcPr>
            <w:tcW w:w="2268" w:type="dxa"/>
            <w:shd w:val="clear" w:color="auto" w:fill="E7F3F4"/>
          </w:tcPr>
          <w:p w14:paraId="14EF56C8" w14:textId="044C7695" w:rsidR="000C1447" w:rsidRPr="008F6ECE" w:rsidRDefault="00377268" w:rsidP="0059610E">
            <w:pPr>
              <w:spacing w:before="0" w:after="0"/>
              <w:rPr>
                <w:sz w:val="18"/>
                <w:szCs w:val="18"/>
              </w:rPr>
            </w:pPr>
            <w:r w:rsidRPr="008F6ECE">
              <w:rPr>
                <w:sz w:val="18"/>
                <w:szCs w:val="18"/>
              </w:rPr>
              <w:t>99 per cent</w:t>
            </w:r>
          </w:p>
        </w:tc>
        <w:tc>
          <w:tcPr>
            <w:tcW w:w="1559" w:type="dxa"/>
            <w:shd w:val="clear" w:color="auto" w:fill="E7F3F4"/>
          </w:tcPr>
          <w:p w14:paraId="3CE0FFF0" w14:textId="7E7D1703" w:rsidR="000C1447" w:rsidRPr="008F6ECE" w:rsidRDefault="000C1447" w:rsidP="0059610E">
            <w:pPr>
              <w:spacing w:before="0" w:after="0"/>
              <w:rPr>
                <w:sz w:val="18"/>
                <w:szCs w:val="18"/>
              </w:rPr>
            </w:pPr>
            <w:r w:rsidRPr="008F6ECE">
              <w:rPr>
                <w:sz w:val="18"/>
                <w:szCs w:val="18"/>
              </w:rPr>
              <w:t>100</w:t>
            </w:r>
            <w:r w:rsidR="0063478C" w:rsidRPr="008F6ECE">
              <w:rPr>
                <w:sz w:val="18"/>
                <w:szCs w:val="18"/>
              </w:rPr>
              <w:t xml:space="preserve"> per cent</w:t>
            </w:r>
          </w:p>
        </w:tc>
      </w:tr>
      <w:tr w:rsidR="00EE1122" w:rsidRPr="008F6ECE" w14:paraId="76DFBC41" w14:textId="77777777" w:rsidTr="001402C9">
        <w:trPr>
          <w:trHeight w:val="227"/>
          <w:jc w:val="center"/>
        </w:trPr>
        <w:tc>
          <w:tcPr>
            <w:tcW w:w="4210" w:type="dxa"/>
            <w:shd w:val="clear" w:color="auto" w:fill="E7F3F4"/>
          </w:tcPr>
          <w:p w14:paraId="62AFD9C0" w14:textId="6FC6BC80" w:rsidR="000C1447" w:rsidRPr="008F6ECE" w:rsidRDefault="00B4451B" w:rsidP="00945B81">
            <w:pPr>
              <w:spacing w:before="0" w:after="0"/>
              <w:rPr>
                <w:sz w:val="18"/>
                <w:szCs w:val="18"/>
              </w:rPr>
            </w:pPr>
            <w:r w:rsidRPr="008F6ECE">
              <w:rPr>
                <w:sz w:val="18"/>
                <w:szCs w:val="18"/>
              </w:rPr>
              <w:t>Daytime tidal exposure 2000-201</w:t>
            </w:r>
            <w:r w:rsidR="00945B81" w:rsidRPr="008F6ECE">
              <w:rPr>
                <w:sz w:val="18"/>
                <w:szCs w:val="18"/>
              </w:rPr>
              <w:t>7</w:t>
            </w:r>
            <w:r w:rsidR="000C1447" w:rsidRPr="008F6ECE">
              <w:rPr>
                <w:sz w:val="18"/>
                <w:szCs w:val="18"/>
              </w:rPr>
              <w:t>)</w:t>
            </w:r>
          </w:p>
        </w:tc>
        <w:tc>
          <w:tcPr>
            <w:tcW w:w="2268" w:type="dxa"/>
            <w:shd w:val="clear" w:color="auto" w:fill="E7F3F4"/>
          </w:tcPr>
          <w:p w14:paraId="0F418946" w14:textId="237F8C32" w:rsidR="000C1447" w:rsidRPr="008F6ECE" w:rsidRDefault="004F46CD" w:rsidP="0047199D">
            <w:pPr>
              <w:spacing w:before="0" w:after="0"/>
              <w:rPr>
                <w:sz w:val="18"/>
                <w:szCs w:val="18"/>
              </w:rPr>
            </w:pPr>
            <w:r w:rsidRPr="008F6ECE">
              <w:rPr>
                <w:sz w:val="18"/>
                <w:szCs w:val="18"/>
              </w:rPr>
              <w:t>109 hr yr</w:t>
            </w:r>
            <w:r w:rsidRPr="008F6ECE">
              <w:rPr>
                <w:sz w:val="18"/>
                <w:szCs w:val="18"/>
                <w:vertAlign w:val="superscript"/>
              </w:rPr>
              <w:t>-1</w:t>
            </w:r>
          </w:p>
        </w:tc>
        <w:tc>
          <w:tcPr>
            <w:tcW w:w="1559" w:type="dxa"/>
            <w:shd w:val="clear" w:color="auto" w:fill="E7F3F4"/>
          </w:tcPr>
          <w:p w14:paraId="603BF2D5" w14:textId="6FC34CEB" w:rsidR="000C1447" w:rsidRPr="008F6ECE" w:rsidRDefault="004F46CD" w:rsidP="0059610E">
            <w:pPr>
              <w:spacing w:before="0" w:after="0"/>
              <w:rPr>
                <w:sz w:val="18"/>
                <w:szCs w:val="18"/>
              </w:rPr>
            </w:pPr>
            <w:r w:rsidRPr="008F6ECE">
              <w:rPr>
                <w:sz w:val="18"/>
                <w:szCs w:val="18"/>
              </w:rPr>
              <w:t>85 hr yr</w:t>
            </w:r>
            <w:r w:rsidRPr="008F6ECE">
              <w:rPr>
                <w:sz w:val="18"/>
                <w:szCs w:val="18"/>
                <w:vertAlign w:val="superscript"/>
              </w:rPr>
              <w:t>-1</w:t>
            </w:r>
          </w:p>
        </w:tc>
      </w:tr>
      <w:tr w:rsidR="00EE1122" w:rsidRPr="008F6ECE" w14:paraId="70C453FD" w14:textId="77777777" w:rsidTr="001402C9">
        <w:trPr>
          <w:trHeight w:val="227"/>
          <w:jc w:val="center"/>
        </w:trPr>
        <w:tc>
          <w:tcPr>
            <w:tcW w:w="4210" w:type="dxa"/>
            <w:tcBorders>
              <w:bottom w:val="single" w:sz="4" w:space="0" w:color="auto"/>
            </w:tcBorders>
            <w:shd w:val="clear" w:color="auto" w:fill="E7F3F4"/>
          </w:tcPr>
          <w:p w14:paraId="0045F284" w14:textId="7BD884B0" w:rsidR="000C1447" w:rsidRPr="008F6ECE" w:rsidRDefault="000C1447" w:rsidP="00945B81">
            <w:pPr>
              <w:spacing w:before="0" w:after="0"/>
              <w:rPr>
                <w:sz w:val="18"/>
                <w:szCs w:val="18"/>
              </w:rPr>
            </w:pPr>
            <w:r w:rsidRPr="008F6ECE">
              <w:rPr>
                <w:sz w:val="18"/>
                <w:szCs w:val="18"/>
              </w:rPr>
              <w:t>Wind</w:t>
            </w:r>
            <w:r w:rsidR="00B4451B" w:rsidRPr="008F6ECE">
              <w:rPr>
                <w:sz w:val="18"/>
                <w:szCs w:val="18"/>
              </w:rPr>
              <w:t xml:space="preserve"> (1998-201</w:t>
            </w:r>
            <w:r w:rsidR="00945B81" w:rsidRPr="008F6ECE">
              <w:rPr>
                <w:sz w:val="18"/>
                <w:szCs w:val="18"/>
              </w:rPr>
              <w:t>7</w:t>
            </w:r>
            <w:r w:rsidRPr="008F6ECE">
              <w:rPr>
                <w:sz w:val="18"/>
                <w:szCs w:val="18"/>
              </w:rPr>
              <w:t>)</w:t>
            </w:r>
          </w:p>
        </w:tc>
        <w:tc>
          <w:tcPr>
            <w:tcW w:w="2268" w:type="dxa"/>
            <w:tcBorders>
              <w:bottom w:val="single" w:sz="4" w:space="0" w:color="auto"/>
            </w:tcBorders>
            <w:shd w:val="clear" w:color="auto" w:fill="E7F3F4"/>
          </w:tcPr>
          <w:p w14:paraId="167570D2" w14:textId="6BE5ADC3" w:rsidR="000C1447" w:rsidRPr="008F6ECE" w:rsidRDefault="00A97340" w:rsidP="0059610E">
            <w:pPr>
              <w:spacing w:before="0" w:after="0"/>
              <w:rPr>
                <w:sz w:val="18"/>
                <w:szCs w:val="18"/>
              </w:rPr>
            </w:pPr>
            <w:r w:rsidRPr="008F6ECE">
              <w:rPr>
                <w:sz w:val="18"/>
                <w:szCs w:val="18"/>
              </w:rPr>
              <w:t>97</w:t>
            </w:r>
            <w:r w:rsidR="00FE5E9E" w:rsidRPr="008F6ECE">
              <w:rPr>
                <w:sz w:val="18"/>
                <w:szCs w:val="18"/>
              </w:rPr>
              <w:t xml:space="preserve"> </w:t>
            </w:r>
            <w:r w:rsidR="000C1447" w:rsidRPr="008F6ECE">
              <w:rPr>
                <w:sz w:val="18"/>
                <w:szCs w:val="18"/>
              </w:rPr>
              <w:t>days yr</w:t>
            </w:r>
            <w:r w:rsidR="000C1447" w:rsidRPr="008F6ECE">
              <w:rPr>
                <w:sz w:val="18"/>
                <w:szCs w:val="18"/>
                <w:vertAlign w:val="superscript"/>
              </w:rPr>
              <w:t>-1</w:t>
            </w:r>
          </w:p>
        </w:tc>
        <w:tc>
          <w:tcPr>
            <w:tcW w:w="1559" w:type="dxa"/>
            <w:tcBorders>
              <w:bottom w:val="single" w:sz="4" w:space="0" w:color="auto"/>
            </w:tcBorders>
            <w:shd w:val="clear" w:color="auto" w:fill="E7F3F4"/>
          </w:tcPr>
          <w:p w14:paraId="3275EAFA" w14:textId="15318C7A" w:rsidR="000C1447" w:rsidRPr="008F6ECE" w:rsidRDefault="00A97340" w:rsidP="0059610E">
            <w:pPr>
              <w:spacing w:before="0" w:after="0"/>
              <w:rPr>
                <w:sz w:val="18"/>
                <w:szCs w:val="18"/>
              </w:rPr>
            </w:pPr>
            <w:r w:rsidRPr="008F6ECE">
              <w:rPr>
                <w:sz w:val="18"/>
                <w:szCs w:val="18"/>
              </w:rPr>
              <w:t>139</w:t>
            </w:r>
            <w:r w:rsidR="000C1447" w:rsidRPr="008F6ECE">
              <w:rPr>
                <w:sz w:val="18"/>
                <w:szCs w:val="18"/>
              </w:rPr>
              <w:t xml:space="preserve"> days yr</w:t>
            </w:r>
            <w:r w:rsidR="000C1447" w:rsidRPr="008F6ECE">
              <w:rPr>
                <w:sz w:val="18"/>
                <w:szCs w:val="18"/>
                <w:vertAlign w:val="superscript"/>
              </w:rPr>
              <w:t>-1</w:t>
            </w:r>
          </w:p>
        </w:tc>
      </w:tr>
      <w:tr w:rsidR="00EE1122" w:rsidRPr="008F6ECE" w14:paraId="50948C57" w14:textId="77777777" w:rsidTr="001402C9">
        <w:trPr>
          <w:trHeight w:val="227"/>
          <w:jc w:val="center"/>
        </w:trPr>
        <w:tc>
          <w:tcPr>
            <w:tcW w:w="4210" w:type="dxa"/>
            <w:shd w:val="clear" w:color="auto" w:fill="F3F9FA"/>
          </w:tcPr>
          <w:p w14:paraId="36D6F4CA" w14:textId="64F3C54D" w:rsidR="000C1447" w:rsidRPr="008F6ECE" w:rsidRDefault="000C1447" w:rsidP="0059610E">
            <w:pPr>
              <w:tabs>
                <w:tab w:val="left" w:pos="2283"/>
              </w:tabs>
              <w:spacing w:before="0" w:after="0"/>
              <w:rPr>
                <w:sz w:val="18"/>
                <w:szCs w:val="18"/>
              </w:rPr>
            </w:pPr>
            <w:r w:rsidRPr="008F6ECE">
              <w:rPr>
                <w:sz w:val="18"/>
                <w:szCs w:val="18"/>
              </w:rPr>
              <w:t xml:space="preserve">Within canopy temperature – </w:t>
            </w:r>
            <w:r w:rsidRPr="008F6ECE">
              <w:rPr>
                <w:sz w:val="18"/>
                <w:szCs w:val="18"/>
              </w:rPr>
              <w:tab/>
            </w:r>
            <w:r w:rsidRPr="008F6ECE">
              <w:rPr>
                <w:i/>
                <w:sz w:val="18"/>
                <w:szCs w:val="18"/>
              </w:rPr>
              <w:t>intertidal</w:t>
            </w:r>
            <w:r w:rsidRPr="008F6ECE">
              <w:rPr>
                <w:sz w:val="18"/>
                <w:szCs w:val="18"/>
              </w:rPr>
              <w:t xml:space="preserve"> (2003-</w:t>
            </w:r>
            <w:r w:rsidR="00B4451B" w:rsidRPr="008F6ECE">
              <w:rPr>
                <w:sz w:val="18"/>
                <w:szCs w:val="18"/>
              </w:rPr>
              <w:t>201</w:t>
            </w:r>
            <w:r w:rsidR="00945B81" w:rsidRPr="008F6ECE">
              <w:rPr>
                <w:sz w:val="18"/>
                <w:szCs w:val="18"/>
              </w:rPr>
              <w:t>7</w:t>
            </w:r>
            <w:r w:rsidRPr="008F6ECE">
              <w:rPr>
                <w:sz w:val="18"/>
                <w:szCs w:val="18"/>
              </w:rPr>
              <w:t>)</w:t>
            </w:r>
          </w:p>
          <w:p w14:paraId="6F79C82A" w14:textId="4AEF25F2" w:rsidR="000C1447" w:rsidRPr="008F6ECE" w:rsidRDefault="000C1447" w:rsidP="00945B81">
            <w:pPr>
              <w:tabs>
                <w:tab w:val="left" w:pos="2283"/>
              </w:tabs>
              <w:spacing w:before="0" w:after="0"/>
              <w:rPr>
                <w:sz w:val="18"/>
                <w:szCs w:val="18"/>
              </w:rPr>
            </w:pPr>
            <w:r w:rsidRPr="008F6ECE">
              <w:rPr>
                <w:sz w:val="18"/>
                <w:szCs w:val="18"/>
              </w:rPr>
              <w:tab/>
            </w:r>
            <w:r w:rsidRPr="008F6ECE">
              <w:rPr>
                <w:i/>
                <w:sz w:val="18"/>
                <w:szCs w:val="18"/>
              </w:rPr>
              <w:t>subtidal</w:t>
            </w:r>
            <w:r w:rsidRPr="008F6ECE">
              <w:rPr>
                <w:sz w:val="18"/>
                <w:szCs w:val="18"/>
              </w:rPr>
              <w:t xml:space="preserve"> (2008-</w:t>
            </w:r>
            <w:r w:rsidR="00B4451B" w:rsidRPr="008F6ECE">
              <w:rPr>
                <w:sz w:val="18"/>
                <w:szCs w:val="18"/>
              </w:rPr>
              <w:t>201</w:t>
            </w:r>
            <w:r w:rsidR="00945B81" w:rsidRPr="008F6ECE">
              <w:rPr>
                <w:sz w:val="18"/>
                <w:szCs w:val="18"/>
              </w:rPr>
              <w:t>7</w:t>
            </w:r>
            <w:r w:rsidRPr="008F6ECE">
              <w:rPr>
                <w:sz w:val="18"/>
                <w:szCs w:val="18"/>
              </w:rPr>
              <w:t>)</w:t>
            </w:r>
          </w:p>
        </w:tc>
        <w:tc>
          <w:tcPr>
            <w:tcW w:w="2268" w:type="dxa"/>
            <w:shd w:val="clear" w:color="auto" w:fill="F3F9FA"/>
          </w:tcPr>
          <w:p w14:paraId="2E00EAD8" w14:textId="64990F1D" w:rsidR="000C1447" w:rsidRPr="008F6ECE" w:rsidRDefault="002770CE" w:rsidP="0059610E">
            <w:pPr>
              <w:spacing w:before="0" w:after="0"/>
              <w:rPr>
                <w:sz w:val="18"/>
                <w:szCs w:val="18"/>
              </w:rPr>
            </w:pPr>
            <w:r w:rsidRPr="008F6ECE">
              <w:rPr>
                <w:sz w:val="18"/>
                <w:szCs w:val="18"/>
              </w:rPr>
              <w:t>26.4</w:t>
            </w:r>
            <w:r w:rsidR="000C1447" w:rsidRPr="008F6ECE">
              <w:rPr>
                <w:sz w:val="18"/>
                <w:szCs w:val="18"/>
              </w:rPr>
              <w:t>°C (46.6°C)</w:t>
            </w:r>
          </w:p>
          <w:p w14:paraId="743E3669" w14:textId="5BBD4524" w:rsidR="000C1447" w:rsidRPr="008F6ECE" w:rsidRDefault="0037637E" w:rsidP="0059610E">
            <w:pPr>
              <w:spacing w:before="0" w:after="0"/>
              <w:rPr>
                <w:sz w:val="18"/>
                <w:szCs w:val="18"/>
              </w:rPr>
            </w:pPr>
            <w:r w:rsidRPr="008F6ECE">
              <w:rPr>
                <w:sz w:val="18"/>
                <w:szCs w:val="18"/>
              </w:rPr>
              <w:t>26.3</w:t>
            </w:r>
            <w:r w:rsidR="000C1447" w:rsidRPr="008F6ECE">
              <w:rPr>
                <w:sz w:val="18"/>
                <w:szCs w:val="18"/>
              </w:rPr>
              <w:t xml:space="preserve">°C </w:t>
            </w:r>
            <w:r w:rsidR="000C1447" w:rsidRPr="008F6ECE">
              <w:rPr>
                <w:i/>
                <w:sz w:val="18"/>
                <w:szCs w:val="18"/>
              </w:rPr>
              <w:t>(36.2°C)</w:t>
            </w:r>
          </w:p>
        </w:tc>
        <w:tc>
          <w:tcPr>
            <w:tcW w:w="1559" w:type="dxa"/>
            <w:shd w:val="clear" w:color="auto" w:fill="F3F9FA"/>
          </w:tcPr>
          <w:p w14:paraId="11BA4119" w14:textId="39023411" w:rsidR="000C1447" w:rsidRPr="008F6ECE" w:rsidRDefault="002770CE" w:rsidP="0059610E">
            <w:pPr>
              <w:spacing w:before="0" w:after="0"/>
              <w:rPr>
                <w:i/>
                <w:sz w:val="18"/>
                <w:szCs w:val="18"/>
              </w:rPr>
            </w:pPr>
            <w:r w:rsidRPr="008F6ECE">
              <w:rPr>
                <w:sz w:val="18"/>
                <w:szCs w:val="18"/>
              </w:rPr>
              <w:t>27.1</w:t>
            </w:r>
            <w:r w:rsidR="000C1447" w:rsidRPr="008F6ECE">
              <w:rPr>
                <w:sz w:val="18"/>
                <w:szCs w:val="18"/>
              </w:rPr>
              <w:t xml:space="preserve">°C </w:t>
            </w:r>
            <w:r w:rsidR="000C1447" w:rsidRPr="008F6ECE">
              <w:rPr>
                <w:i/>
                <w:sz w:val="18"/>
                <w:szCs w:val="18"/>
              </w:rPr>
              <w:t>(</w:t>
            </w:r>
            <w:r w:rsidR="0037637E" w:rsidRPr="008F6ECE">
              <w:rPr>
                <w:i/>
                <w:sz w:val="18"/>
                <w:szCs w:val="18"/>
              </w:rPr>
              <w:t>40.</w:t>
            </w:r>
            <w:r w:rsidRPr="008F6ECE">
              <w:rPr>
                <w:i/>
                <w:sz w:val="18"/>
                <w:szCs w:val="18"/>
              </w:rPr>
              <w:t>1</w:t>
            </w:r>
            <w:r w:rsidR="000C1447" w:rsidRPr="008F6ECE">
              <w:rPr>
                <w:i/>
                <w:sz w:val="18"/>
                <w:szCs w:val="18"/>
              </w:rPr>
              <w:t>°C)</w:t>
            </w:r>
          </w:p>
          <w:p w14:paraId="316025BD" w14:textId="37A5648C" w:rsidR="000C1447" w:rsidRPr="008F6ECE" w:rsidRDefault="000C1447" w:rsidP="0037637E">
            <w:pPr>
              <w:spacing w:before="0" w:after="0"/>
              <w:rPr>
                <w:sz w:val="18"/>
                <w:szCs w:val="18"/>
              </w:rPr>
            </w:pPr>
            <w:r w:rsidRPr="008F6ECE">
              <w:rPr>
                <w:sz w:val="18"/>
                <w:szCs w:val="18"/>
              </w:rPr>
              <w:t>2</w:t>
            </w:r>
            <w:r w:rsidR="002770CE" w:rsidRPr="008F6ECE">
              <w:rPr>
                <w:sz w:val="18"/>
                <w:szCs w:val="18"/>
              </w:rPr>
              <w:t>7.5</w:t>
            </w:r>
            <w:r w:rsidRPr="008F6ECE">
              <w:rPr>
                <w:sz w:val="18"/>
                <w:szCs w:val="18"/>
              </w:rPr>
              <w:t xml:space="preserve">°C </w:t>
            </w:r>
            <w:r w:rsidR="002770CE" w:rsidRPr="008F6ECE">
              <w:rPr>
                <w:i/>
                <w:sz w:val="18"/>
                <w:szCs w:val="18"/>
              </w:rPr>
              <w:t>(35.2</w:t>
            </w:r>
            <w:r w:rsidRPr="008F6ECE">
              <w:rPr>
                <w:i/>
                <w:sz w:val="18"/>
                <w:szCs w:val="18"/>
              </w:rPr>
              <w:t>°C)</w:t>
            </w:r>
          </w:p>
        </w:tc>
      </w:tr>
      <w:tr w:rsidR="00EE1122" w:rsidRPr="008F6ECE" w14:paraId="3726BCB3" w14:textId="77777777" w:rsidTr="001402C9">
        <w:trPr>
          <w:trHeight w:val="227"/>
          <w:jc w:val="center"/>
        </w:trPr>
        <w:tc>
          <w:tcPr>
            <w:tcW w:w="4210" w:type="dxa"/>
            <w:shd w:val="clear" w:color="auto" w:fill="F3F9FA"/>
          </w:tcPr>
          <w:p w14:paraId="6DD8C6C9" w14:textId="47417E51" w:rsidR="000C1447" w:rsidRPr="008F6ECE" w:rsidRDefault="00B4451B" w:rsidP="00945B81">
            <w:pPr>
              <w:spacing w:before="0" w:after="0"/>
              <w:rPr>
                <w:sz w:val="18"/>
                <w:szCs w:val="18"/>
              </w:rPr>
            </w:pPr>
            <w:r w:rsidRPr="008F6ECE">
              <w:rPr>
                <w:sz w:val="18"/>
                <w:szCs w:val="18"/>
              </w:rPr>
              <w:t>Within canopy light (2012-201</w:t>
            </w:r>
            <w:r w:rsidR="00945B81" w:rsidRPr="008F6ECE">
              <w:rPr>
                <w:sz w:val="18"/>
                <w:szCs w:val="18"/>
              </w:rPr>
              <w:t>7</w:t>
            </w:r>
            <w:r w:rsidR="000C1447" w:rsidRPr="008F6ECE">
              <w:rPr>
                <w:sz w:val="18"/>
                <w:szCs w:val="18"/>
              </w:rPr>
              <w:t>)</w:t>
            </w:r>
          </w:p>
        </w:tc>
        <w:tc>
          <w:tcPr>
            <w:tcW w:w="2268" w:type="dxa"/>
            <w:shd w:val="clear" w:color="auto" w:fill="F3F9FA"/>
          </w:tcPr>
          <w:p w14:paraId="304EFD6A" w14:textId="534686D5" w:rsidR="000C1447" w:rsidRPr="008F6ECE" w:rsidRDefault="00A97340" w:rsidP="0059610E">
            <w:pPr>
              <w:spacing w:before="0" w:after="0"/>
              <w:rPr>
                <w:sz w:val="18"/>
                <w:szCs w:val="18"/>
              </w:rPr>
            </w:pPr>
            <w:r w:rsidRPr="008F6ECE">
              <w:rPr>
                <w:sz w:val="18"/>
                <w:szCs w:val="18"/>
              </w:rPr>
              <w:t>9.6</w:t>
            </w:r>
            <w:r w:rsidR="000C1447" w:rsidRPr="008F6ECE">
              <w:rPr>
                <w:sz w:val="18"/>
                <w:szCs w:val="18"/>
              </w:rPr>
              <w:t xml:space="preserve"> mol m</w:t>
            </w:r>
            <w:r w:rsidR="000C1447" w:rsidRPr="008F6ECE">
              <w:rPr>
                <w:sz w:val="18"/>
                <w:szCs w:val="18"/>
                <w:vertAlign w:val="superscript"/>
              </w:rPr>
              <w:t>-2</w:t>
            </w:r>
            <w:r w:rsidR="000C1447" w:rsidRPr="008F6ECE">
              <w:rPr>
                <w:sz w:val="18"/>
                <w:szCs w:val="18"/>
              </w:rPr>
              <w:t xml:space="preserve"> d</w:t>
            </w:r>
            <w:r w:rsidR="000C1447" w:rsidRPr="008F6ECE">
              <w:rPr>
                <w:sz w:val="18"/>
                <w:szCs w:val="18"/>
                <w:vertAlign w:val="superscript"/>
              </w:rPr>
              <w:t>-1</w:t>
            </w:r>
          </w:p>
        </w:tc>
        <w:tc>
          <w:tcPr>
            <w:tcW w:w="1559" w:type="dxa"/>
            <w:shd w:val="clear" w:color="auto" w:fill="F3F9FA"/>
          </w:tcPr>
          <w:p w14:paraId="615C90AA" w14:textId="7227BE8D" w:rsidR="000C1447" w:rsidRPr="008F6ECE" w:rsidRDefault="00A97340" w:rsidP="0059610E">
            <w:pPr>
              <w:spacing w:before="0" w:after="0"/>
              <w:rPr>
                <w:sz w:val="18"/>
                <w:szCs w:val="18"/>
              </w:rPr>
            </w:pPr>
            <w:r w:rsidRPr="008F6ECE">
              <w:rPr>
                <w:sz w:val="18"/>
                <w:szCs w:val="18"/>
              </w:rPr>
              <w:t>9.2</w:t>
            </w:r>
            <w:r w:rsidR="000C1447" w:rsidRPr="008F6ECE">
              <w:rPr>
                <w:sz w:val="18"/>
                <w:szCs w:val="18"/>
              </w:rPr>
              <w:t xml:space="preserve"> mol m</w:t>
            </w:r>
            <w:r w:rsidR="000C1447" w:rsidRPr="008F6ECE">
              <w:rPr>
                <w:sz w:val="18"/>
                <w:szCs w:val="18"/>
                <w:vertAlign w:val="superscript"/>
              </w:rPr>
              <w:t>-2</w:t>
            </w:r>
            <w:r w:rsidR="000C1447" w:rsidRPr="008F6ECE">
              <w:rPr>
                <w:sz w:val="18"/>
                <w:szCs w:val="18"/>
              </w:rPr>
              <w:t xml:space="preserve"> d</w:t>
            </w:r>
            <w:r w:rsidR="000C1447" w:rsidRPr="008F6ECE">
              <w:rPr>
                <w:sz w:val="18"/>
                <w:szCs w:val="18"/>
                <w:vertAlign w:val="superscript"/>
              </w:rPr>
              <w:t>-1</w:t>
            </w:r>
          </w:p>
        </w:tc>
      </w:tr>
    </w:tbl>
    <w:p w14:paraId="6421EAEE" w14:textId="77777777" w:rsidR="000C1447" w:rsidRPr="005515AE" w:rsidRDefault="000C1447" w:rsidP="005515AE">
      <w:pPr>
        <w:spacing w:before="0" w:after="0"/>
        <w:rPr>
          <w:color w:val="000000"/>
          <w:sz w:val="10"/>
          <w:szCs w:val="10"/>
        </w:rPr>
      </w:pPr>
    </w:p>
    <w:p w14:paraId="043E8661" w14:textId="77777777" w:rsidR="005515AE" w:rsidRPr="00FD0A74" w:rsidRDefault="005515AE" w:rsidP="005515AE">
      <w:r>
        <w:rPr>
          <w:noProof/>
          <w:color w:val="000000"/>
          <w:szCs w:val="22"/>
          <w:lang w:eastAsia="en-AU"/>
        </w:rPr>
        <w:drawing>
          <wp:anchor distT="0" distB="0" distL="114300" distR="114300" simplePos="0" relativeHeight="251653632" behindDoc="0" locked="0" layoutInCell="1" allowOverlap="1" wp14:anchorId="7C08FCF0" wp14:editId="3A82B857">
            <wp:simplePos x="0" y="0"/>
            <wp:positionH relativeFrom="margin">
              <wp:align>left</wp:align>
            </wp:positionH>
            <wp:positionV relativeFrom="paragraph">
              <wp:posOffset>17145</wp:posOffset>
            </wp:positionV>
            <wp:extent cx="2875915" cy="4125595"/>
            <wp:effectExtent l="0" t="0" r="635" b="8255"/>
            <wp:wrapSquare wrapText="right"/>
            <wp:docPr id="10165" name="Picture 10165" descr="Composite graph showing the location of each seagrass monitoring site and the frequency of exposure to plume water in the Burdekin NRM, wet season (December 2016 –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sites_legend.png"/>
                    <pic:cNvPicPr/>
                  </pic:nvPicPr>
                  <pic:blipFill>
                    <a:blip r:embed="rId102"/>
                    <a:stretch>
                      <a:fillRect/>
                    </a:stretch>
                  </pic:blipFill>
                  <pic:spPr>
                    <a:xfrm>
                      <a:off x="0" y="0"/>
                      <a:ext cx="2876298" cy="4125600"/>
                    </a:xfrm>
                    <a:prstGeom prst="rect">
                      <a:avLst/>
                    </a:prstGeom>
                  </pic:spPr>
                </pic:pic>
              </a:graphicData>
            </a:graphic>
            <wp14:sizeRelH relativeFrom="margin">
              <wp14:pctWidth>0</wp14:pctWidth>
            </wp14:sizeRelH>
            <wp14:sizeRelV relativeFrom="margin">
              <wp14:pctHeight>0</wp14:pctHeight>
            </wp14:sizeRelV>
          </wp:anchor>
        </w:drawing>
      </w:r>
    </w:p>
    <w:p w14:paraId="6DB5E983" w14:textId="62C2C600" w:rsidR="005515AE" w:rsidRPr="00FD0A74" w:rsidRDefault="005515AE" w:rsidP="005515AE">
      <w:pPr>
        <w:rPr>
          <w:i/>
          <w:vanish/>
          <w:specVanish/>
        </w:rPr>
      </w:pPr>
      <w:bookmarkStart w:id="379" w:name="_Ref461446989"/>
      <w:bookmarkStart w:id="380" w:name="_Toc516053274"/>
      <w:r w:rsidRPr="00FD0A74">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64</w:t>
      </w:r>
      <w:r w:rsidR="00C506C7">
        <w:rPr>
          <w:noProof/>
        </w:rPr>
        <w:fldChar w:fldCharType="end"/>
      </w:r>
      <w:bookmarkEnd w:id="379"/>
      <w:r w:rsidRPr="00FD0A74">
        <w:t xml:space="preserve">. </w:t>
      </w:r>
      <w:r w:rsidR="000C1447" w:rsidRPr="00FD0A74">
        <w:rPr>
          <w:i/>
        </w:rPr>
        <w:t xml:space="preserve">Frequency of exposure to </w:t>
      </w:r>
      <w:r w:rsidR="00FF0DD9">
        <w:rPr>
          <w:i/>
        </w:rPr>
        <w:t>turbid</w:t>
      </w:r>
      <w:r w:rsidR="00FF0DD9" w:rsidRPr="00FD0A74">
        <w:rPr>
          <w:i/>
        </w:rPr>
        <w:t xml:space="preserve"> </w:t>
      </w:r>
      <w:r w:rsidR="000C1447" w:rsidRPr="00FD0A74">
        <w:rPr>
          <w:i/>
        </w:rPr>
        <w:t>water</w:t>
      </w:r>
      <w:r w:rsidR="00FF0DD9">
        <w:rPr>
          <w:i/>
        </w:rPr>
        <w:t xml:space="preserve"> (colour classes 1-5)</w:t>
      </w:r>
      <w:r w:rsidR="000C1447" w:rsidRPr="00FD0A74">
        <w:rPr>
          <w:i/>
        </w:rPr>
        <w:t xml:space="preserve"> in the Burdekin NRM region, wet season </w:t>
      </w:r>
      <w:r w:rsidR="000C1447" w:rsidRPr="00377268">
        <w:rPr>
          <w:i/>
          <w:color w:val="000000" w:themeColor="text1"/>
        </w:rPr>
        <w:t>(December 201</w:t>
      </w:r>
      <w:r w:rsidR="00377268" w:rsidRPr="00377268">
        <w:rPr>
          <w:i/>
          <w:color w:val="000000" w:themeColor="text1"/>
        </w:rPr>
        <w:t>6</w:t>
      </w:r>
      <w:r w:rsidR="000C1447" w:rsidRPr="00377268">
        <w:rPr>
          <w:i/>
          <w:color w:val="000000" w:themeColor="text1"/>
        </w:rPr>
        <w:t xml:space="preserve"> – April 201</w:t>
      </w:r>
      <w:r w:rsidR="00377268" w:rsidRPr="00377268">
        <w:rPr>
          <w:i/>
          <w:color w:val="000000" w:themeColor="text1"/>
        </w:rPr>
        <w:t>7</w:t>
      </w:r>
      <w:r w:rsidR="000C1447" w:rsidRPr="00377268">
        <w:rPr>
          <w:i/>
          <w:color w:val="000000" w:themeColor="text1"/>
        </w:rPr>
        <w:t xml:space="preserve">) </w:t>
      </w:r>
      <w:r w:rsidR="000C1447" w:rsidRPr="00FD0A74">
        <w:rPr>
          <w:i/>
        </w:rPr>
        <w:t>composite.</w:t>
      </w:r>
      <w:bookmarkEnd w:id="380"/>
    </w:p>
    <w:p w14:paraId="76CC4238" w14:textId="14C7C052" w:rsidR="000C1447" w:rsidRPr="00FD0A74" w:rsidRDefault="000C1447" w:rsidP="005515AE">
      <w:pPr>
        <w:rPr>
          <w:i/>
        </w:rPr>
      </w:pPr>
      <w:r w:rsidRPr="00FD0A74">
        <w:rPr>
          <w:i/>
        </w:rPr>
        <w:t xml:space="preserve"> Frequency calculated as number of weeks in wet </w:t>
      </w:r>
      <w:r w:rsidRPr="00F75525">
        <w:rPr>
          <w:i/>
        </w:rPr>
        <w:t xml:space="preserve">season exposed to primary or secondary water (colour classes 1 – 5). </w:t>
      </w:r>
      <w:r w:rsidR="00FF0A86" w:rsidRPr="00F75525">
        <w:rPr>
          <w:i/>
        </w:rPr>
        <w:t>Each colour class category is described by mean water quality values for TSS, CDOM, chlorophyll a and K</w:t>
      </w:r>
      <w:r w:rsidR="00FF0A86" w:rsidRPr="00F75525">
        <w:rPr>
          <w:i/>
          <w:vertAlign w:val="subscript"/>
        </w:rPr>
        <w:t>d</w:t>
      </w:r>
      <w:r w:rsidR="00FF0A86" w:rsidRPr="00F75525">
        <w:rPr>
          <w:i/>
        </w:rPr>
        <w:t xml:space="preserve"> (PAR) (</w:t>
      </w:r>
      <w:hyperlink w:anchor="_ENREF_82" w:tooltip="Devlin, 2015 #10405" w:history="1">
        <w:r w:rsidR="00305FE7" w:rsidRPr="00F75525">
          <w:rPr>
            <w:i/>
          </w:rPr>
          <w:fldChar w:fldCharType="begin"/>
        </w:r>
        <w:r w:rsidR="00305FE7">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F75525">
          <w:rPr>
            <w:i/>
          </w:rPr>
          <w:fldChar w:fldCharType="separate"/>
        </w:r>
        <w:r w:rsidR="00305FE7">
          <w:rPr>
            <w:i/>
            <w:noProof/>
          </w:rPr>
          <w:t>Devlin et al. 2015</w:t>
        </w:r>
        <w:r w:rsidR="00305FE7" w:rsidRPr="00F75525">
          <w:rPr>
            <w:i/>
          </w:rPr>
          <w:fldChar w:fldCharType="end"/>
        </w:r>
      </w:hyperlink>
      <w:r w:rsidR="00FF0A86" w:rsidRPr="00F75525">
        <w:rPr>
          <w:i/>
        </w:rPr>
        <w:t>;</w:t>
      </w:r>
      <w:hyperlink w:anchor="_ENREF_232" w:tooltip="Waterhouse, 2017 #10878" w:history="1">
        <w:r w:rsidR="00305FE7">
          <w:rPr>
            <w:i/>
          </w:rPr>
          <w:fldChar w:fldCharType="begin"/>
        </w:r>
        <w:r w:rsidR="00305FE7">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305FE7">
          <w:rPr>
            <w:i/>
          </w:rPr>
          <w:fldChar w:fldCharType="separate"/>
        </w:r>
        <w:r w:rsidR="00305FE7">
          <w:rPr>
            <w:i/>
            <w:noProof/>
          </w:rPr>
          <w:t>Waterhouse et al. 2017</w:t>
        </w:r>
        <w:r w:rsidR="00305FE7">
          <w:rPr>
            <w:i/>
          </w:rPr>
          <w:fldChar w:fldCharType="end"/>
        </w:r>
      </w:hyperlink>
      <w:r w:rsidR="00FF0A86" w:rsidRPr="00F75525">
        <w:rPr>
          <w:i/>
        </w:rPr>
        <w:t xml:space="preserve">). For site details, see </w:t>
      </w:r>
      <w:r w:rsidR="00F75525" w:rsidRPr="00F75525">
        <w:rPr>
          <w:i/>
        </w:rPr>
        <w:fldChar w:fldCharType="begin"/>
      </w:r>
      <w:r w:rsidR="00F75525" w:rsidRPr="00F75525">
        <w:rPr>
          <w:i/>
        </w:rPr>
        <w:instrText xml:space="preserve"> REF _Ref473891445 \h </w:instrText>
      </w:r>
      <w:r w:rsidR="00F75525" w:rsidRPr="00F75525">
        <w:rPr>
          <w:i/>
        </w:rPr>
      </w:r>
      <w:r w:rsidR="00F75525" w:rsidRPr="00F75525">
        <w:rPr>
          <w:i/>
        </w:rPr>
        <w:fldChar w:fldCharType="separate"/>
      </w:r>
      <w:r w:rsidR="00F87DF9">
        <w:t xml:space="preserve">Table </w:t>
      </w:r>
      <w:r w:rsidR="00F87DF9">
        <w:rPr>
          <w:noProof/>
        </w:rPr>
        <w:t>22</w:t>
      </w:r>
      <w:r w:rsidR="00F75525" w:rsidRPr="00F75525">
        <w:rPr>
          <w:i/>
        </w:rPr>
        <w:fldChar w:fldCharType="end"/>
      </w:r>
      <w:r w:rsidR="00FF0A86" w:rsidRPr="00F75525">
        <w:rPr>
          <w:i/>
        </w:rPr>
        <w:t>.</w:t>
      </w:r>
    </w:p>
    <w:p w14:paraId="15155376" w14:textId="77777777" w:rsidR="005515AE" w:rsidRPr="00FD0A74" w:rsidRDefault="005515AE" w:rsidP="005515AE">
      <w:pPr>
        <w:rPr>
          <w:lang w:val="en-GB"/>
        </w:rPr>
      </w:pPr>
    </w:p>
    <w:p w14:paraId="6E2F85BE" w14:textId="77777777" w:rsidR="000C1447" w:rsidRDefault="000C1447" w:rsidP="000C1447">
      <w:pPr>
        <w:rPr>
          <w:color w:val="000000"/>
          <w:szCs w:val="22"/>
        </w:rPr>
      </w:pPr>
      <w:bookmarkStart w:id="381" w:name="_Toc431493771"/>
      <w:bookmarkStart w:id="382" w:name="_Toc184101999"/>
      <w:bookmarkEnd w:id="368"/>
      <w:bookmarkEnd w:id="369"/>
      <w:bookmarkEnd w:id="370"/>
      <w:bookmarkEnd w:id="371"/>
      <w:bookmarkEnd w:id="372"/>
    </w:p>
    <w:p w14:paraId="302ACCD9" w14:textId="77777777" w:rsidR="00DA13F7" w:rsidRDefault="00DA13F7" w:rsidP="000C1447">
      <w:pPr>
        <w:rPr>
          <w:color w:val="000000"/>
          <w:szCs w:val="22"/>
        </w:rPr>
      </w:pPr>
    </w:p>
    <w:p w14:paraId="7501805D" w14:textId="77777777" w:rsidR="00DA13F7" w:rsidRDefault="00DA13F7" w:rsidP="000C1447">
      <w:pPr>
        <w:rPr>
          <w:color w:val="000000"/>
          <w:szCs w:val="22"/>
        </w:rPr>
      </w:pPr>
    </w:p>
    <w:p w14:paraId="55A66054" w14:textId="77777777" w:rsidR="00DA13F7" w:rsidRDefault="00DA13F7" w:rsidP="000C1447">
      <w:pPr>
        <w:rPr>
          <w:color w:val="000000"/>
          <w:szCs w:val="22"/>
        </w:rPr>
      </w:pPr>
    </w:p>
    <w:p w14:paraId="6ACA49C2" w14:textId="77777777" w:rsidR="00DA13F7" w:rsidRDefault="00DA13F7" w:rsidP="000C1447">
      <w:pPr>
        <w:rPr>
          <w:color w:val="000000"/>
          <w:szCs w:val="22"/>
        </w:rPr>
      </w:pPr>
    </w:p>
    <w:p w14:paraId="6D7C901C" w14:textId="77777777" w:rsidR="00443207" w:rsidRDefault="00443207" w:rsidP="000C1447">
      <w:pPr>
        <w:rPr>
          <w:color w:val="000000"/>
          <w:szCs w:val="22"/>
        </w:rPr>
      </w:pPr>
    </w:p>
    <w:p w14:paraId="5EB16D18" w14:textId="77777777" w:rsidR="00443207" w:rsidRDefault="00443207" w:rsidP="000C1447">
      <w:pPr>
        <w:rPr>
          <w:color w:val="000000"/>
          <w:szCs w:val="22"/>
        </w:rPr>
      </w:pPr>
    </w:p>
    <w:p w14:paraId="57B31359" w14:textId="77777777" w:rsidR="00443207" w:rsidRDefault="00443207" w:rsidP="000C1447">
      <w:pPr>
        <w:rPr>
          <w:color w:val="000000"/>
          <w:szCs w:val="22"/>
        </w:rPr>
      </w:pPr>
    </w:p>
    <w:p w14:paraId="0BFA312D" w14:textId="77777777" w:rsidR="00DA13F7" w:rsidRPr="00FD0A74" w:rsidRDefault="00DA13F7" w:rsidP="000C1447">
      <w:pPr>
        <w:rPr>
          <w:szCs w:val="22"/>
        </w:rPr>
      </w:pPr>
    </w:p>
    <w:p w14:paraId="183D37C8" w14:textId="4AA6902C" w:rsidR="00443207" w:rsidRPr="00FD0A74" w:rsidRDefault="005515AE" w:rsidP="005515AE">
      <w:pPr>
        <w:rPr>
          <w:i/>
          <w:vanish/>
          <w:specVanish/>
        </w:rPr>
      </w:pPr>
      <w:bookmarkStart w:id="383" w:name="_Ref461447002"/>
      <w:bookmarkStart w:id="384" w:name="_Toc516053445"/>
      <w:r w:rsidRPr="00FD0A74">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21</w:t>
      </w:r>
      <w:r w:rsidR="00C506C7">
        <w:rPr>
          <w:noProof/>
        </w:rPr>
        <w:fldChar w:fldCharType="end"/>
      </w:r>
      <w:bookmarkEnd w:id="383"/>
      <w:r w:rsidRPr="00FD0A74">
        <w:t xml:space="preserve">. </w:t>
      </w:r>
      <w:bookmarkStart w:id="385" w:name="_Ref314316733"/>
      <w:r w:rsidRPr="00FD0A74">
        <w:t xml:space="preserve"> </w:t>
      </w:r>
      <w:r w:rsidR="000C1447" w:rsidRPr="00FD0A74">
        <w:rPr>
          <w:i/>
        </w:rPr>
        <w:t xml:space="preserve">Water type at each </w:t>
      </w:r>
      <w:r w:rsidR="00443207" w:rsidRPr="00FD0A74">
        <w:rPr>
          <w:i/>
        </w:rPr>
        <w:t>seagrass monitoring site</w:t>
      </w:r>
      <w:r w:rsidR="000C1447" w:rsidRPr="00FD0A74">
        <w:rPr>
          <w:i/>
        </w:rPr>
        <w:t xml:space="preserve"> in the Burdekin NRM </w:t>
      </w:r>
      <w:r w:rsidR="00443207" w:rsidRPr="00FD0A74">
        <w:rPr>
          <w:i/>
        </w:rPr>
        <w:t xml:space="preserve">region, </w:t>
      </w:r>
      <w:r w:rsidR="000C1447" w:rsidRPr="00FD0A74">
        <w:rPr>
          <w:i/>
        </w:rPr>
        <w:t>derived from MODIS true colour images</w:t>
      </w:r>
      <w:bookmarkEnd w:id="384"/>
    </w:p>
    <w:p w14:paraId="7F91C27A" w14:textId="348466E0" w:rsidR="000C1447" w:rsidRDefault="000C1447" w:rsidP="005515AE">
      <w:pPr>
        <w:rPr>
          <w:i/>
        </w:rPr>
      </w:pPr>
      <w:r w:rsidRPr="00FD0A74">
        <w:rPr>
          <w:i/>
        </w:rPr>
        <w:t xml:space="preserve"> as colour classes of turbid primary water (class 1 – 4, red/brown), nutrient/chlorophyll-enriched secondary water (class 5, green), and tertiary (some freshwater/CDOM influence) or no plume influence (class 6 and 7 respectively, blue), for 22 weeks from </w:t>
      </w:r>
      <w:r w:rsidRPr="00B07352">
        <w:rPr>
          <w:i/>
          <w:color w:val="000000" w:themeColor="text1"/>
        </w:rPr>
        <w:t>December 201</w:t>
      </w:r>
      <w:r w:rsidR="00FD0A74" w:rsidRPr="00B07352">
        <w:rPr>
          <w:i/>
          <w:color w:val="000000" w:themeColor="text1"/>
        </w:rPr>
        <w:t>5</w:t>
      </w:r>
      <w:r w:rsidRPr="00B07352">
        <w:rPr>
          <w:i/>
          <w:color w:val="000000" w:themeColor="text1"/>
        </w:rPr>
        <w:t xml:space="preserve"> – April 201</w:t>
      </w:r>
      <w:r w:rsidR="00B07352" w:rsidRPr="00B07352">
        <w:rPr>
          <w:i/>
          <w:color w:val="000000" w:themeColor="text1"/>
        </w:rPr>
        <w:t>7</w:t>
      </w:r>
      <w:r w:rsidRPr="00B07352">
        <w:rPr>
          <w:i/>
          <w:color w:val="000000" w:themeColor="text1"/>
        </w:rPr>
        <w:t xml:space="preserve">. </w:t>
      </w:r>
      <w:r w:rsidRPr="00FD0A74">
        <w:rPr>
          <w:i/>
        </w:rPr>
        <w:t>Also shown, median wet season colour class (Med), frequency of primary water as f</w:t>
      </w:r>
      <w:r w:rsidRPr="00FD0A74">
        <w:rPr>
          <w:i/>
          <w:vertAlign w:val="subscript"/>
        </w:rPr>
        <w:t>(P)</w:t>
      </w:r>
      <w:r w:rsidRPr="00FD0A74">
        <w:rPr>
          <w:i/>
        </w:rPr>
        <w:t>, the frequency of secondary water as f</w:t>
      </w:r>
      <w:r w:rsidRPr="00FD0A74">
        <w:rPr>
          <w:i/>
          <w:vertAlign w:val="subscript"/>
        </w:rPr>
        <w:t>(S)</w:t>
      </w:r>
      <w:r w:rsidRPr="00FD0A74">
        <w:rPr>
          <w:i/>
        </w:rPr>
        <w:t>, and the frequency of primary or secondary as f</w:t>
      </w:r>
      <w:r w:rsidRPr="00FD0A74">
        <w:rPr>
          <w:i/>
          <w:vertAlign w:val="subscript"/>
        </w:rPr>
        <w:t>(P+S)</w:t>
      </w:r>
      <w:bookmarkEnd w:id="385"/>
      <w:r w:rsidR="00E43A54" w:rsidRPr="00FD0A74">
        <w:rPr>
          <w:i/>
        </w:rPr>
        <w:t>.</w:t>
      </w:r>
    </w:p>
    <w:tbl>
      <w:tblPr>
        <w:tblW w:w="10632" w:type="dxa"/>
        <w:tblInd w:w="-426" w:type="dxa"/>
        <w:tblBorders>
          <w:top w:val="nil"/>
          <w:left w:val="nil"/>
          <w:right w:val="nil"/>
        </w:tblBorders>
        <w:tblLayout w:type="fixed"/>
        <w:tblLook w:val="0000" w:firstRow="0" w:lastRow="0" w:firstColumn="0" w:lastColumn="0" w:noHBand="0" w:noVBand="0"/>
      </w:tblPr>
      <w:tblGrid>
        <w:gridCol w:w="874"/>
        <w:gridCol w:w="352"/>
        <w:gridCol w:w="352"/>
        <w:gridCol w:w="352"/>
        <w:gridCol w:w="352"/>
        <w:gridCol w:w="352"/>
        <w:gridCol w:w="352"/>
        <w:gridCol w:w="352"/>
        <w:gridCol w:w="352"/>
        <w:gridCol w:w="352"/>
        <w:gridCol w:w="378"/>
        <w:gridCol w:w="378"/>
        <w:gridCol w:w="378"/>
        <w:gridCol w:w="378"/>
        <w:gridCol w:w="378"/>
        <w:gridCol w:w="378"/>
        <w:gridCol w:w="378"/>
        <w:gridCol w:w="378"/>
        <w:gridCol w:w="378"/>
        <w:gridCol w:w="378"/>
        <w:gridCol w:w="378"/>
        <w:gridCol w:w="378"/>
        <w:gridCol w:w="378"/>
        <w:gridCol w:w="557"/>
        <w:gridCol w:w="552"/>
        <w:gridCol w:w="567"/>
      </w:tblGrid>
      <w:tr w:rsidR="00DB608A" w:rsidRPr="00DB608A" w14:paraId="5287E9FC" w14:textId="77777777" w:rsidTr="00DB608A">
        <w:tc>
          <w:tcPr>
            <w:tcW w:w="874" w:type="dxa"/>
            <w:tcBorders>
              <w:top w:val="single" w:sz="4" w:space="0" w:color="000000" w:themeColor="text1"/>
              <w:left w:val="nil"/>
              <w:bottom w:val="single" w:sz="4" w:space="0" w:color="000000" w:themeColor="text1"/>
            </w:tcBorders>
            <w:vAlign w:val="center"/>
          </w:tcPr>
          <w:p w14:paraId="5999144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Site</w:t>
            </w:r>
          </w:p>
        </w:tc>
        <w:tc>
          <w:tcPr>
            <w:tcW w:w="352" w:type="dxa"/>
            <w:tcBorders>
              <w:top w:val="single" w:sz="4" w:space="0" w:color="000000" w:themeColor="text1"/>
              <w:bottom w:val="single" w:sz="4" w:space="0" w:color="000000" w:themeColor="text1"/>
            </w:tcBorders>
            <w:vAlign w:val="center"/>
          </w:tcPr>
          <w:p w14:paraId="60AB3C1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4" w:space="0" w:color="000000" w:themeColor="text1"/>
              <w:bottom w:val="single" w:sz="4" w:space="0" w:color="000000" w:themeColor="text1"/>
            </w:tcBorders>
            <w:vAlign w:val="center"/>
          </w:tcPr>
          <w:p w14:paraId="242DDBF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4" w:space="0" w:color="000000" w:themeColor="text1"/>
              <w:bottom w:val="single" w:sz="4" w:space="0" w:color="000000" w:themeColor="text1"/>
            </w:tcBorders>
            <w:vAlign w:val="center"/>
          </w:tcPr>
          <w:p w14:paraId="0E5D15E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single" w:sz="4" w:space="0" w:color="000000" w:themeColor="text1"/>
              <w:bottom w:val="single" w:sz="4" w:space="0" w:color="000000" w:themeColor="text1"/>
            </w:tcBorders>
            <w:vAlign w:val="center"/>
          </w:tcPr>
          <w:p w14:paraId="241E4A7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single" w:sz="4" w:space="0" w:color="000000" w:themeColor="text1"/>
              <w:bottom w:val="single" w:sz="4" w:space="0" w:color="000000" w:themeColor="text1"/>
            </w:tcBorders>
            <w:vAlign w:val="center"/>
          </w:tcPr>
          <w:p w14:paraId="391A666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bottom w:val="single" w:sz="4" w:space="0" w:color="000000" w:themeColor="text1"/>
            </w:tcBorders>
            <w:vAlign w:val="center"/>
          </w:tcPr>
          <w:p w14:paraId="44D774B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52" w:type="dxa"/>
            <w:tcBorders>
              <w:top w:val="single" w:sz="4" w:space="0" w:color="000000" w:themeColor="text1"/>
              <w:bottom w:val="single" w:sz="4" w:space="0" w:color="000000" w:themeColor="text1"/>
            </w:tcBorders>
            <w:vAlign w:val="center"/>
          </w:tcPr>
          <w:p w14:paraId="18A4FDD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7</w:t>
            </w:r>
          </w:p>
        </w:tc>
        <w:tc>
          <w:tcPr>
            <w:tcW w:w="352" w:type="dxa"/>
            <w:tcBorders>
              <w:top w:val="single" w:sz="4" w:space="0" w:color="000000" w:themeColor="text1"/>
              <w:bottom w:val="single" w:sz="4" w:space="0" w:color="000000" w:themeColor="text1"/>
            </w:tcBorders>
            <w:vAlign w:val="center"/>
          </w:tcPr>
          <w:p w14:paraId="0CAA58B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8</w:t>
            </w:r>
          </w:p>
        </w:tc>
        <w:tc>
          <w:tcPr>
            <w:tcW w:w="352" w:type="dxa"/>
            <w:tcBorders>
              <w:top w:val="single" w:sz="4" w:space="0" w:color="000000" w:themeColor="text1"/>
              <w:bottom w:val="single" w:sz="4" w:space="0" w:color="000000" w:themeColor="text1"/>
            </w:tcBorders>
            <w:vAlign w:val="center"/>
          </w:tcPr>
          <w:p w14:paraId="7E1A9F9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9</w:t>
            </w:r>
          </w:p>
        </w:tc>
        <w:tc>
          <w:tcPr>
            <w:tcW w:w="378" w:type="dxa"/>
            <w:tcBorders>
              <w:top w:val="single" w:sz="4" w:space="0" w:color="000000" w:themeColor="text1"/>
              <w:bottom w:val="single" w:sz="4" w:space="0" w:color="000000" w:themeColor="text1"/>
            </w:tcBorders>
            <w:vAlign w:val="center"/>
          </w:tcPr>
          <w:p w14:paraId="5E68B99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10</w:t>
            </w:r>
          </w:p>
        </w:tc>
        <w:tc>
          <w:tcPr>
            <w:tcW w:w="378" w:type="dxa"/>
            <w:tcBorders>
              <w:top w:val="single" w:sz="4" w:space="0" w:color="000000" w:themeColor="text1"/>
              <w:bottom w:val="single" w:sz="4" w:space="0" w:color="000000" w:themeColor="text1"/>
            </w:tcBorders>
            <w:vAlign w:val="center"/>
          </w:tcPr>
          <w:p w14:paraId="72A4EB56"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11</w:t>
            </w:r>
          </w:p>
        </w:tc>
        <w:tc>
          <w:tcPr>
            <w:tcW w:w="378" w:type="dxa"/>
            <w:tcBorders>
              <w:top w:val="single" w:sz="4" w:space="0" w:color="000000" w:themeColor="text1"/>
              <w:bottom w:val="single" w:sz="4" w:space="0" w:color="000000" w:themeColor="text1"/>
            </w:tcBorders>
            <w:vAlign w:val="center"/>
          </w:tcPr>
          <w:p w14:paraId="3BE52A6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12</w:t>
            </w:r>
          </w:p>
        </w:tc>
        <w:tc>
          <w:tcPr>
            <w:tcW w:w="378" w:type="dxa"/>
            <w:tcBorders>
              <w:top w:val="single" w:sz="4" w:space="0" w:color="000000" w:themeColor="text1"/>
              <w:bottom w:val="single" w:sz="4" w:space="0" w:color="000000" w:themeColor="text1"/>
            </w:tcBorders>
            <w:vAlign w:val="center"/>
          </w:tcPr>
          <w:p w14:paraId="61982AB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13</w:t>
            </w:r>
          </w:p>
        </w:tc>
        <w:tc>
          <w:tcPr>
            <w:tcW w:w="378" w:type="dxa"/>
            <w:tcBorders>
              <w:top w:val="single" w:sz="4" w:space="0" w:color="000000" w:themeColor="text1"/>
              <w:bottom w:val="single" w:sz="4" w:space="0" w:color="000000" w:themeColor="text1"/>
            </w:tcBorders>
            <w:vAlign w:val="center"/>
          </w:tcPr>
          <w:p w14:paraId="25ACDB3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14</w:t>
            </w:r>
          </w:p>
        </w:tc>
        <w:tc>
          <w:tcPr>
            <w:tcW w:w="378" w:type="dxa"/>
            <w:tcBorders>
              <w:top w:val="single" w:sz="4" w:space="0" w:color="000000" w:themeColor="text1"/>
              <w:bottom w:val="single" w:sz="4" w:space="0" w:color="000000" w:themeColor="text1"/>
            </w:tcBorders>
            <w:vAlign w:val="center"/>
          </w:tcPr>
          <w:p w14:paraId="7362DA8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15</w:t>
            </w:r>
          </w:p>
        </w:tc>
        <w:tc>
          <w:tcPr>
            <w:tcW w:w="378" w:type="dxa"/>
            <w:tcBorders>
              <w:top w:val="single" w:sz="4" w:space="0" w:color="000000" w:themeColor="text1"/>
              <w:bottom w:val="single" w:sz="4" w:space="0" w:color="000000" w:themeColor="text1"/>
            </w:tcBorders>
            <w:vAlign w:val="center"/>
          </w:tcPr>
          <w:p w14:paraId="3265FEB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16</w:t>
            </w:r>
          </w:p>
        </w:tc>
        <w:tc>
          <w:tcPr>
            <w:tcW w:w="378" w:type="dxa"/>
            <w:tcBorders>
              <w:top w:val="single" w:sz="4" w:space="0" w:color="000000" w:themeColor="text1"/>
              <w:bottom w:val="single" w:sz="4" w:space="0" w:color="000000" w:themeColor="text1"/>
            </w:tcBorders>
            <w:vAlign w:val="center"/>
          </w:tcPr>
          <w:p w14:paraId="0DE9FA51"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17</w:t>
            </w:r>
          </w:p>
        </w:tc>
        <w:tc>
          <w:tcPr>
            <w:tcW w:w="378" w:type="dxa"/>
            <w:tcBorders>
              <w:top w:val="single" w:sz="4" w:space="0" w:color="000000" w:themeColor="text1"/>
              <w:bottom w:val="single" w:sz="4" w:space="0" w:color="000000" w:themeColor="text1"/>
            </w:tcBorders>
            <w:vAlign w:val="center"/>
          </w:tcPr>
          <w:p w14:paraId="6434B99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18</w:t>
            </w:r>
          </w:p>
        </w:tc>
        <w:tc>
          <w:tcPr>
            <w:tcW w:w="378" w:type="dxa"/>
            <w:tcBorders>
              <w:top w:val="single" w:sz="4" w:space="0" w:color="000000" w:themeColor="text1"/>
              <w:bottom w:val="single" w:sz="4" w:space="0" w:color="000000" w:themeColor="text1"/>
            </w:tcBorders>
            <w:vAlign w:val="center"/>
          </w:tcPr>
          <w:p w14:paraId="55C17AC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19</w:t>
            </w:r>
          </w:p>
        </w:tc>
        <w:tc>
          <w:tcPr>
            <w:tcW w:w="378" w:type="dxa"/>
            <w:tcBorders>
              <w:top w:val="single" w:sz="4" w:space="0" w:color="000000" w:themeColor="text1"/>
              <w:bottom w:val="single" w:sz="4" w:space="0" w:color="000000" w:themeColor="text1"/>
            </w:tcBorders>
            <w:vAlign w:val="center"/>
          </w:tcPr>
          <w:p w14:paraId="7A8EF2D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20</w:t>
            </w:r>
          </w:p>
        </w:tc>
        <w:tc>
          <w:tcPr>
            <w:tcW w:w="378" w:type="dxa"/>
            <w:tcBorders>
              <w:top w:val="single" w:sz="4" w:space="0" w:color="000000" w:themeColor="text1"/>
              <w:bottom w:val="single" w:sz="4" w:space="0" w:color="000000" w:themeColor="text1"/>
            </w:tcBorders>
            <w:vAlign w:val="center"/>
          </w:tcPr>
          <w:p w14:paraId="5907DD5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21</w:t>
            </w:r>
          </w:p>
        </w:tc>
        <w:tc>
          <w:tcPr>
            <w:tcW w:w="378" w:type="dxa"/>
            <w:tcBorders>
              <w:top w:val="single" w:sz="4" w:space="0" w:color="000000" w:themeColor="text1"/>
              <w:bottom w:val="single" w:sz="4" w:space="0" w:color="000000" w:themeColor="text1"/>
            </w:tcBorders>
            <w:vAlign w:val="center"/>
          </w:tcPr>
          <w:p w14:paraId="1DC2BFA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22</w:t>
            </w:r>
          </w:p>
        </w:tc>
        <w:tc>
          <w:tcPr>
            <w:tcW w:w="557" w:type="dxa"/>
            <w:tcBorders>
              <w:top w:val="single" w:sz="4" w:space="0" w:color="000000" w:themeColor="text1"/>
              <w:bottom w:val="single" w:sz="4" w:space="0" w:color="000000" w:themeColor="text1"/>
            </w:tcBorders>
            <w:vAlign w:val="center"/>
          </w:tcPr>
          <w:p w14:paraId="533F1EDE"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i/>
                <w:iCs/>
                <w:color w:val="000000"/>
                <w:sz w:val="14"/>
                <w:szCs w:val="14"/>
                <w:lang w:eastAsia="en-AU"/>
              </w:rPr>
              <w:t>f</w:t>
            </w:r>
            <w:r w:rsidRPr="00DB608A">
              <w:rPr>
                <w:rFonts w:ascii="Times" w:hAnsi="Times" w:cs="Times"/>
                <w:b/>
                <w:bCs/>
                <w:color w:val="000000"/>
                <w:sz w:val="14"/>
                <w:szCs w:val="14"/>
                <w:vertAlign w:val="subscript"/>
                <w:lang w:eastAsia="en-AU"/>
              </w:rPr>
              <w:t>(P)</w:t>
            </w:r>
          </w:p>
        </w:tc>
        <w:tc>
          <w:tcPr>
            <w:tcW w:w="552" w:type="dxa"/>
            <w:tcBorders>
              <w:top w:val="single" w:sz="4" w:space="0" w:color="000000" w:themeColor="text1"/>
              <w:bottom w:val="single" w:sz="4" w:space="0" w:color="000000" w:themeColor="text1"/>
            </w:tcBorders>
            <w:vAlign w:val="center"/>
          </w:tcPr>
          <w:p w14:paraId="37900324"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f</w:t>
            </w:r>
            <w:r w:rsidRPr="00DB608A">
              <w:rPr>
                <w:rFonts w:ascii="Times" w:hAnsi="Times" w:cs="Times"/>
                <w:b/>
                <w:bCs/>
                <w:color w:val="000000"/>
                <w:sz w:val="14"/>
                <w:szCs w:val="14"/>
                <w:vertAlign w:val="subscript"/>
                <w:lang w:eastAsia="en-AU"/>
              </w:rPr>
              <w:t>(S)</w:t>
            </w:r>
          </w:p>
        </w:tc>
        <w:tc>
          <w:tcPr>
            <w:tcW w:w="567" w:type="dxa"/>
            <w:tcBorders>
              <w:top w:val="single" w:sz="4" w:space="0" w:color="000000" w:themeColor="text1"/>
              <w:bottom w:val="single" w:sz="4" w:space="0" w:color="000000" w:themeColor="text1"/>
              <w:right w:val="nil"/>
            </w:tcBorders>
            <w:vAlign w:val="center"/>
          </w:tcPr>
          <w:p w14:paraId="2AD54369"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f</w:t>
            </w:r>
            <w:r w:rsidRPr="00DB608A">
              <w:rPr>
                <w:rFonts w:ascii="Times" w:hAnsi="Times" w:cs="Times"/>
                <w:b/>
                <w:bCs/>
                <w:color w:val="000000"/>
                <w:sz w:val="14"/>
                <w:szCs w:val="14"/>
                <w:vertAlign w:val="subscript"/>
                <w:lang w:eastAsia="en-AU"/>
              </w:rPr>
              <w:t>(P+S)</w:t>
            </w:r>
          </w:p>
        </w:tc>
      </w:tr>
      <w:tr w:rsidR="00DB608A" w:rsidRPr="00DB608A" w14:paraId="2F09A97F" w14:textId="77777777" w:rsidTr="00DB608A">
        <w:tblPrEx>
          <w:tblBorders>
            <w:top w:val="none" w:sz="0" w:space="0" w:color="auto"/>
          </w:tblBorders>
        </w:tblPrEx>
        <w:tc>
          <w:tcPr>
            <w:tcW w:w="874" w:type="dxa"/>
            <w:tcBorders>
              <w:top w:val="single" w:sz="4" w:space="0" w:color="000000" w:themeColor="text1"/>
              <w:right w:val="single" w:sz="8" w:space="0" w:color="FFFFFF" w:themeColor="background1"/>
            </w:tcBorders>
            <w:vAlign w:val="center"/>
          </w:tcPr>
          <w:p w14:paraId="4328566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MI1, MI2</w:t>
            </w:r>
          </w:p>
        </w:tc>
        <w:tc>
          <w:tcPr>
            <w:tcW w:w="352" w:type="dxa"/>
            <w:tcBorders>
              <w:top w:val="single" w:sz="4" w:space="0" w:color="000000" w:themeColor="text1"/>
              <w:left w:val="single" w:sz="8" w:space="0" w:color="FFFFFF" w:themeColor="background1"/>
              <w:bottom w:val="single" w:sz="6" w:space="0" w:color="FFFFFF" w:themeColor="background1"/>
              <w:right w:val="single" w:sz="6" w:space="0" w:color="FFFFFF" w:themeColor="background1"/>
            </w:tcBorders>
            <w:shd w:val="clear" w:color="auto" w:fill="BBDBA5"/>
            <w:vAlign w:val="center"/>
          </w:tcPr>
          <w:p w14:paraId="7D871F1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3C1346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60485A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688F60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F53E6A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30C55D2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E9386F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CAEB8B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75F0C9F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3180531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300245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7801EE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92DC42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BCAF64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456705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32060B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C2B45A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31B736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F27138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2925FFF6"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31D954E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4" w:space="0" w:color="000000" w:themeColor="text1"/>
              <w:left w:val="single" w:sz="6" w:space="0" w:color="FFFFFF" w:themeColor="background1"/>
              <w:bottom w:val="single" w:sz="6" w:space="0" w:color="FFFFFF" w:themeColor="background1"/>
              <w:right w:val="single" w:sz="8" w:space="0" w:color="FFFFFF" w:themeColor="background1"/>
            </w:tcBorders>
            <w:shd w:val="clear" w:color="auto" w:fill="BBDBA5"/>
            <w:vAlign w:val="center"/>
          </w:tcPr>
          <w:p w14:paraId="799A5E1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557" w:type="dxa"/>
            <w:tcBorders>
              <w:top w:val="single" w:sz="4" w:space="0" w:color="000000" w:themeColor="text1"/>
              <w:left w:val="single" w:sz="8" w:space="0" w:color="FFFFFF" w:themeColor="background1"/>
            </w:tcBorders>
            <w:vAlign w:val="center"/>
          </w:tcPr>
          <w:p w14:paraId="32192340"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0.05</w:t>
            </w:r>
          </w:p>
        </w:tc>
        <w:tc>
          <w:tcPr>
            <w:tcW w:w="552" w:type="dxa"/>
            <w:tcBorders>
              <w:top w:val="single" w:sz="4" w:space="0" w:color="000000" w:themeColor="text1"/>
            </w:tcBorders>
            <w:vAlign w:val="center"/>
          </w:tcPr>
          <w:p w14:paraId="096A2864"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0.95</w:t>
            </w:r>
          </w:p>
        </w:tc>
        <w:tc>
          <w:tcPr>
            <w:tcW w:w="567" w:type="dxa"/>
            <w:tcBorders>
              <w:top w:val="single" w:sz="4" w:space="0" w:color="000000" w:themeColor="text1"/>
            </w:tcBorders>
            <w:vAlign w:val="center"/>
          </w:tcPr>
          <w:p w14:paraId="489C4B83"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3F1B6A94" w14:textId="77777777" w:rsidTr="00DB608A">
        <w:tblPrEx>
          <w:tblBorders>
            <w:top w:val="none" w:sz="0" w:space="0" w:color="auto"/>
          </w:tblBorders>
        </w:tblPrEx>
        <w:tc>
          <w:tcPr>
            <w:tcW w:w="874" w:type="dxa"/>
            <w:tcBorders>
              <w:right w:val="single" w:sz="8" w:space="0" w:color="FFFFFF" w:themeColor="background1"/>
            </w:tcBorders>
            <w:vAlign w:val="center"/>
          </w:tcPr>
          <w:p w14:paraId="20B83CD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MI3</w:t>
            </w:r>
          </w:p>
        </w:tc>
        <w:tc>
          <w:tcPr>
            <w:tcW w:w="352"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BDBA5"/>
            <w:vAlign w:val="center"/>
          </w:tcPr>
          <w:p w14:paraId="5703A7F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24F01E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C09A31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8C343F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613FA16"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76DC1C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8B0F54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7BF28F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B929891"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1F3C58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FEE61A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7251CA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5CA375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79B9252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ED2ECE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CD772D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05DBE4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758B221"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0B6991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81CFAC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ACD66D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BDBA5"/>
            <w:vAlign w:val="center"/>
          </w:tcPr>
          <w:p w14:paraId="14EEB83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557" w:type="dxa"/>
            <w:tcBorders>
              <w:left w:val="single" w:sz="8" w:space="0" w:color="FFFFFF" w:themeColor="background1"/>
            </w:tcBorders>
            <w:vAlign w:val="center"/>
          </w:tcPr>
          <w:p w14:paraId="251F0B93"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0.00</w:t>
            </w:r>
          </w:p>
        </w:tc>
        <w:tc>
          <w:tcPr>
            <w:tcW w:w="552" w:type="dxa"/>
            <w:vAlign w:val="center"/>
          </w:tcPr>
          <w:p w14:paraId="330BD334"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c>
          <w:tcPr>
            <w:tcW w:w="567" w:type="dxa"/>
            <w:vAlign w:val="center"/>
          </w:tcPr>
          <w:p w14:paraId="67B252B2"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1FBBAF7B" w14:textId="77777777" w:rsidTr="00DB608A">
        <w:tblPrEx>
          <w:tblBorders>
            <w:top w:val="none" w:sz="0" w:space="0" w:color="auto"/>
          </w:tblBorders>
        </w:tblPrEx>
        <w:tc>
          <w:tcPr>
            <w:tcW w:w="874" w:type="dxa"/>
            <w:tcBorders>
              <w:right w:val="single" w:sz="8" w:space="0" w:color="FFFFFF" w:themeColor="background1"/>
            </w:tcBorders>
            <w:vAlign w:val="center"/>
          </w:tcPr>
          <w:p w14:paraId="19D4898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SB2*</w:t>
            </w:r>
          </w:p>
        </w:tc>
        <w:tc>
          <w:tcPr>
            <w:tcW w:w="352"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09ACF11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AAA9CA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E49B36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C752BD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620EA9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7D4A83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4469F3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456311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9A6C0E1"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D42836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BB7F66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B75EF5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66CCA5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69AE8F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FE8D7A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2A6D04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64920CB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1FD994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8EEDEE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EE981F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F2C5A0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1386318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557" w:type="dxa"/>
            <w:tcBorders>
              <w:left w:val="single" w:sz="8" w:space="0" w:color="FFFFFF" w:themeColor="background1"/>
            </w:tcBorders>
            <w:vAlign w:val="center"/>
          </w:tcPr>
          <w:p w14:paraId="1E260AFD"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c>
          <w:tcPr>
            <w:tcW w:w="552" w:type="dxa"/>
            <w:vAlign w:val="center"/>
          </w:tcPr>
          <w:p w14:paraId="34805FAE"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0.00</w:t>
            </w:r>
          </w:p>
        </w:tc>
        <w:tc>
          <w:tcPr>
            <w:tcW w:w="567" w:type="dxa"/>
            <w:vAlign w:val="center"/>
          </w:tcPr>
          <w:p w14:paraId="3BE372E6"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0705CC5E" w14:textId="77777777" w:rsidTr="00DB608A">
        <w:tblPrEx>
          <w:tblBorders>
            <w:top w:val="none" w:sz="0" w:space="0" w:color="auto"/>
          </w:tblBorders>
        </w:tblPrEx>
        <w:tc>
          <w:tcPr>
            <w:tcW w:w="874" w:type="dxa"/>
            <w:tcBorders>
              <w:right w:val="single" w:sz="8" w:space="0" w:color="FFFFFF" w:themeColor="background1"/>
            </w:tcBorders>
            <w:vAlign w:val="center"/>
          </w:tcPr>
          <w:p w14:paraId="7E47D7E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BB1</w:t>
            </w:r>
          </w:p>
        </w:tc>
        <w:tc>
          <w:tcPr>
            <w:tcW w:w="352"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25337B9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317FC7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A3DEB3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475E32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998ACF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12FFFA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96FA2E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AC94DB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7B7182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625A21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CC8797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1E7AE2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01100B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755FBB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8A6B05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DC8B68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810261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E9275F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3C5036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820BC4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AE376D6"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7352CC6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557" w:type="dxa"/>
            <w:tcBorders>
              <w:left w:val="single" w:sz="8" w:space="0" w:color="FFFFFF" w:themeColor="background1"/>
            </w:tcBorders>
            <w:vAlign w:val="center"/>
          </w:tcPr>
          <w:p w14:paraId="4A7965E3"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c>
          <w:tcPr>
            <w:tcW w:w="552" w:type="dxa"/>
            <w:vAlign w:val="center"/>
          </w:tcPr>
          <w:p w14:paraId="2E468BB5"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0.00</w:t>
            </w:r>
          </w:p>
        </w:tc>
        <w:tc>
          <w:tcPr>
            <w:tcW w:w="567" w:type="dxa"/>
            <w:vAlign w:val="center"/>
          </w:tcPr>
          <w:p w14:paraId="636A7B37"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569D78F7" w14:textId="77777777" w:rsidTr="00DB608A">
        <w:tblPrEx>
          <w:tblBorders>
            <w:top w:val="none" w:sz="0" w:space="0" w:color="auto"/>
          </w:tblBorders>
        </w:tblPrEx>
        <w:tc>
          <w:tcPr>
            <w:tcW w:w="874" w:type="dxa"/>
            <w:tcBorders>
              <w:bottom w:val="nil"/>
              <w:right w:val="single" w:sz="8" w:space="0" w:color="FFFFFF" w:themeColor="background1"/>
            </w:tcBorders>
            <w:vAlign w:val="center"/>
          </w:tcPr>
          <w:p w14:paraId="047DEE6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SB1</w:t>
            </w:r>
          </w:p>
        </w:tc>
        <w:tc>
          <w:tcPr>
            <w:tcW w:w="352" w:type="dxa"/>
            <w:tcBorders>
              <w:top w:val="single" w:sz="6" w:space="0" w:color="FFFFFF" w:themeColor="background1"/>
              <w:left w:val="single" w:sz="8" w:space="0" w:color="FFFFFF" w:themeColor="background1"/>
              <w:bottom w:val="nil"/>
              <w:right w:val="single" w:sz="6" w:space="0" w:color="FFFFFF" w:themeColor="background1"/>
            </w:tcBorders>
            <w:shd w:val="clear" w:color="auto" w:fill="B84410"/>
            <w:vAlign w:val="center"/>
          </w:tcPr>
          <w:p w14:paraId="6E2F4DA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7C35CB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0CC85F9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E08543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09471F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9E4E76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D8EFA2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11F241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2B8B7F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375386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3015C1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16370A0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8881AB0"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874A69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E286BE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FBFCCBD"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C1E505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11FDFA9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78367E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67358B63"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0C3154F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single" w:sz="6" w:space="0" w:color="FFFFFF" w:themeColor="background1"/>
              <w:left w:val="single" w:sz="6" w:space="0" w:color="FFFFFF" w:themeColor="background1"/>
              <w:bottom w:val="nil"/>
              <w:right w:val="single" w:sz="8" w:space="0" w:color="FFFFFF" w:themeColor="background1"/>
            </w:tcBorders>
            <w:shd w:val="clear" w:color="auto" w:fill="B84410"/>
            <w:vAlign w:val="center"/>
          </w:tcPr>
          <w:p w14:paraId="5B9484A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557" w:type="dxa"/>
            <w:tcBorders>
              <w:left w:val="single" w:sz="8" w:space="0" w:color="FFFFFF" w:themeColor="background1"/>
              <w:bottom w:val="nil"/>
            </w:tcBorders>
            <w:vAlign w:val="center"/>
          </w:tcPr>
          <w:p w14:paraId="6BB2ECF6"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c>
          <w:tcPr>
            <w:tcW w:w="552" w:type="dxa"/>
            <w:tcBorders>
              <w:bottom w:val="nil"/>
            </w:tcBorders>
            <w:vAlign w:val="center"/>
          </w:tcPr>
          <w:p w14:paraId="4A398CD5"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0.00</w:t>
            </w:r>
          </w:p>
        </w:tc>
        <w:tc>
          <w:tcPr>
            <w:tcW w:w="567" w:type="dxa"/>
            <w:tcBorders>
              <w:bottom w:val="nil"/>
            </w:tcBorders>
            <w:vAlign w:val="center"/>
          </w:tcPr>
          <w:p w14:paraId="1CDC9DC6"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291EE636" w14:textId="77777777" w:rsidTr="00DB608A">
        <w:tc>
          <w:tcPr>
            <w:tcW w:w="874" w:type="dxa"/>
            <w:tcBorders>
              <w:top w:val="nil"/>
              <w:left w:val="nil"/>
              <w:bottom w:val="single" w:sz="4" w:space="0" w:color="000000" w:themeColor="text1"/>
              <w:right w:val="nil"/>
            </w:tcBorders>
            <w:vAlign w:val="center"/>
          </w:tcPr>
          <w:p w14:paraId="723672DF"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JR1, JR2</w:t>
            </w:r>
          </w:p>
        </w:tc>
        <w:tc>
          <w:tcPr>
            <w:tcW w:w="352" w:type="dxa"/>
            <w:tcBorders>
              <w:top w:val="nil"/>
              <w:left w:val="nil"/>
              <w:bottom w:val="single" w:sz="4" w:space="0" w:color="000000" w:themeColor="text1"/>
              <w:right w:val="nil"/>
            </w:tcBorders>
            <w:shd w:val="clear" w:color="auto" w:fill="B84410"/>
            <w:vAlign w:val="center"/>
          </w:tcPr>
          <w:p w14:paraId="2DE1B85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476AC298"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65B80FE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6146936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6B913CF1"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BDBA5"/>
            <w:vAlign w:val="center"/>
          </w:tcPr>
          <w:p w14:paraId="3DDBCCAE"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52" w:type="dxa"/>
            <w:tcBorders>
              <w:top w:val="nil"/>
              <w:left w:val="nil"/>
              <w:bottom w:val="single" w:sz="4" w:space="0" w:color="000000" w:themeColor="text1"/>
              <w:right w:val="nil"/>
            </w:tcBorders>
            <w:shd w:val="clear" w:color="auto" w:fill="B84410"/>
            <w:vAlign w:val="center"/>
          </w:tcPr>
          <w:p w14:paraId="3448150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4C5BF4B4"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52" w:type="dxa"/>
            <w:tcBorders>
              <w:top w:val="nil"/>
              <w:left w:val="nil"/>
              <w:bottom w:val="single" w:sz="4" w:space="0" w:color="000000" w:themeColor="text1"/>
              <w:right w:val="nil"/>
            </w:tcBorders>
            <w:shd w:val="clear" w:color="auto" w:fill="B84410"/>
            <w:vAlign w:val="center"/>
          </w:tcPr>
          <w:p w14:paraId="7EC76F95"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nil"/>
              <w:left w:val="nil"/>
              <w:bottom w:val="single" w:sz="4" w:space="0" w:color="000000" w:themeColor="text1"/>
              <w:right w:val="nil"/>
            </w:tcBorders>
            <w:shd w:val="clear" w:color="auto" w:fill="B84410"/>
            <w:vAlign w:val="center"/>
          </w:tcPr>
          <w:p w14:paraId="4410B14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nil"/>
              <w:left w:val="nil"/>
              <w:bottom w:val="single" w:sz="4" w:space="0" w:color="000000" w:themeColor="text1"/>
              <w:right w:val="nil"/>
            </w:tcBorders>
            <w:shd w:val="clear" w:color="auto" w:fill="B84410"/>
            <w:vAlign w:val="center"/>
          </w:tcPr>
          <w:p w14:paraId="4F6E885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nil"/>
              <w:left w:val="nil"/>
              <w:bottom w:val="single" w:sz="4" w:space="0" w:color="000000" w:themeColor="text1"/>
              <w:right w:val="nil"/>
            </w:tcBorders>
            <w:shd w:val="clear" w:color="auto" w:fill="B84410"/>
            <w:vAlign w:val="center"/>
          </w:tcPr>
          <w:p w14:paraId="5E71B31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nil"/>
              <w:left w:val="nil"/>
              <w:bottom w:val="single" w:sz="4" w:space="0" w:color="000000" w:themeColor="text1"/>
              <w:right w:val="nil"/>
            </w:tcBorders>
            <w:shd w:val="clear" w:color="auto" w:fill="B84410"/>
            <w:vAlign w:val="center"/>
          </w:tcPr>
          <w:p w14:paraId="4AEF933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nil"/>
              <w:left w:val="nil"/>
              <w:bottom w:val="single" w:sz="4" w:space="0" w:color="000000" w:themeColor="text1"/>
              <w:right w:val="nil"/>
            </w:tcBorders>
            <w:shd w:val="clear" w:color="auto" w:fill="B84410"/>
            <w:vAlign w:val="center"/>
          </w:tcPr>
          <w:p w14:paraId="63F0022B"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nil"/>
              <w:left w:val="nil"/>
              <w:bottom w:val="single" w:sz="4" w:space="0" w:color="000000" w:themeColor="text1"/>
              <w:right w:val="nil"/>
            </w:tcBorders>
            <w:shd w:val="clear" w:color="auto" w:fill="B84410"/>
            <w:vAlign w:val="center"/>
          </w:tcPr>
          <w:p w14:paraId="09900D42"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nil"/>
              <w:left w:val="nil"/>
              <w:bottom w:val="single" w:sz="4" w:space="0" w:color="000000" w:themeColor="text1"/>
              <w:right w:val="nil"/>
            </w:tcBorders>
            <w:shd w:val="clear" w:color="auto" w:fill="B84410"/>
            <w:vAlign w:val="center"/>
          </w:tcPr>
          <w:p w14:paraId="76594416"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8" w:type="dxa"/>
            <w:tcBorders>
              <w:top w:val="nil"/>
              <w:left w:val="nil"/>
              <w:bottom w:val="single" w:sz="4" w:space="0" w:color="000000" w:themeColor="text1"/>
              <w:right w:val="nil"/>
            </w:tcBorders>
            <w:shd w:val="clear" w:color="auto" w:fill="BBDBA5"/>
            <w:vAlign w:val="center"/>
          </w:tcPr>
          <w:p w14:paraId="5995F926"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8" w:type="dxa"/>
            <w:tcBorders>
              <w:top w:val="nil"/>
              <w:left w:val="nil"/>
              <w:bottom w:val="single" w:sz="4" w:space="0" w:color="000000" w:themeColor="text1"/>
              <w:right w:val="nil"/>
            </w:tcBorders>
            <w:shd w:val="clear" w:color="auto" w:fill="B84410"/>
            <w:vAlign w:val="center"/>
          </w:tcPr>
          <w:p w14:paraId="69841C11"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nil"/>
              <w:left w:val="nil"/>
              <w:bottom w:val="single" w:sz="4" w:space="0" w:color="000000" w:themeColor="text1"/>
              <w:right w:val="nil"/>
            </w:tcBorders>
            <w:shd w:val="clear" w:color="auto" w:fill="B84410"/>
            <w:vAlign w:val="center"/>
          </w:tcPr>
          <w:p w14:paraId="0C359C49"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8" w:type="dxa"/>
            <w:tcBorders>
              <w:top w:val="nil"/>
              <w:left w:val="nil"/>
              <w:bottom w:val="single" w:sz="4" w:space="0" w:color="000000" w:themeColor="text1"/>
              <w:right w:val="nil"/>
            </w:tcBorders>
            <w:shd w:val="clear" w:color="auto" w:fill="B84410"/>
            <w:vAlign w:val="center"/>
          </w:tcPr>
          <w:p w14:paraId="7FB94367"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nil"/>
              <w:left w:val="nil"/>
              <w:bottom w:val="single" w:sz="4" w:space="0" w:color="000000" w:themeColor="text1"/>
              <w:right w:val="nil"/>
            </w:tcBorders>
            <w:shd w:val="clear" w:color="auto" w:fill="B84410"/>
            <w:vAlign w:val="center"/>
          </w:tcPr>
          <w:p w14:paraId="015BD10A"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8" w:type="dxa"/>
            <w:tcBorders>
              <w:top w:val="nil"/>
              <w:left w:val="nil"/>
              <w:bottom w:val="single" w:sz="4" w:space="0" w:color="000000" w:themeColor="text1"/>
              <w:right w:val="nil"/>
            </w:tcBorders>
            <w:shd w:val="clear" w:color="auto" w:fill="B84410"/>
            <w:vAlign w:val="center"/>
          </w:tcPr>
          <w:p w14:paraId="3A6F219C" w14:textId="77777777" w:rsidR="00DB608A" w:rsidRPr="00DB608A" w:rsidRDefault="00DB608A">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557" w:type="dxa"/>
            <w:tcBorders>
              <w:top w:val="nil"/>
              <w:left w:val="nil"/>
              <w:bottom w:val="single" w:sz="4" w:space="0" w:color="000000" w:themeColor="text1"/>
              <w:right w:val="nil"/>
            </w:tcBorders>
            <w:vAlign w:val="center"/>
          </w:tcPr>
          <w:p w14:paraId="54692142"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0.91</w:t>
            </w:r>
          </w:p>
        </w:tc>
        <w:tc>
          <w:tcPr>
            <w:tcW w:w="552" w:type="dxa"/>
            <w:tcBorders>
              <w:top w:val="nil"/>
              <w:left w:val="nil"/>
              <w:bottom w:val="single" w:sz="4" w:space="0" w:color="000000" w:themeColor="text1"/>
              <w:right w:val="nil"/>
            </w:tcBorders>
            <w:vAlign w:val="center"/>
          </w:tcPr>
          <w:p w14:paraId="602DC022"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0.09</w:t>
            </w:r>
          </w:p>
        </w:tc>
        <w:tc>
          <w:tcPr>
            <w:tcW w:w="567" w:type="dxa"/>
            <w:tcBorders>
              <w:top w:val="nil"/>
              <w:left w:val="nil"/>
              <w:bottom w:val="single" w:sz="4" w:space="0" w:color="000000" w:themeColor="text1"/>
              <w:right w:val="nil"/>
            </w:tcBorders>
            <w:vAlign w:val="center"/>
          </w:tcPr>
          <w:p w14:paraId="5630CC6A" w14:textId="77777777" w:rsidR="00DB608A" w:rsidRPr="00DB608A" w:rsidRDefault="00DB608A">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bl>
    <w:p w14:paraId="65E41987" w14:textId="77777777" w:rsidR="00DB608A" w:rsidRPr="00DB608A" w:rsidRDefault="00DB608A" w:rsidP="005515AE"/>
    <w:p w14:paraId="17B73A8C" w14:textId="31DA6CA4" w:rsidR="00A97340" w:rsidRPr="002615E2" w:rsidRDefault="00A97340" w:rsidP="00A97340">
      <w:pPr>
        <w:rPr>
          <w:color w:val="000000" w:themeColor="text1"/>
        </w:rPr>
      </w:pPr>
      <w:r w:rsidRPr="002615E2">
        <w:rPr>
          <w:color w:val="000000" w:themeColor="text1"/>
        </w:rPr>
        <w:t>Daily light (I</w:t>
      </w:r>
      <w:r w:rsidRPr="002615E2">
        <w:rPr>
          <w:color w:val="000000" w:themeColor="text1"/>
          <w:vertAlign w:val="subscript"/>
        </w:rPr>
        <w:t>d</w:t>
      </w:r>
      <w:r w:rsidRPr="002615E2">
        <w:rPr>
          <w:color w:val="000000" w:themeColor="text1"/>
        </w:rPr>
        <w:t xml:space="preserve">) has been monitored at some Burdekin </w:t>
      </w:r>
      <w:r w:rsidR="00441914">
        <w:rPr>
          <w:color w:val="000000" w:themeColor="text1"/>
        </w:rPr>
        <w:t xml:space="preserve">NRM </w:t>
      </w:r>
      <w:r w:rsidRPr="002615E2">
        <w:rPr>
          <w:color w:val="000000" w:themeColor="text1"/>
        </w:rPr>
        <w:t>sites since 2008 (</w:t>
      </w:r>
      <w:r w:rsidRPr="002615E2">
        <w:rPr>
          <w:color w:val="000000" w:themeColor="text1"/>
        </w:rPr>
        <w:fldChar w:fldCharType="begin"/>
      </w:r>
      <w:r w:rsidRPr="002615E2">
        <w:rPr>
          <w:color w:val="000000" w:themeColor="text1"/>
        </w:rPr>
        <w:instrText xml:space="preserve"> REF _Ref461447383 \h </w:instrText>
      </w:r>
      <w:r w:rsidRPr="002615E2">
        <w:rPr>
          <w:color w:val="000000" w:themeColor="text1"/>
        </w:rPr>
      </w:r>
      <w:r w:rsidRPr="002615E2">
        <w:rPr>
          <w:color w:val="000000" w:themeColor="text1"/>
        </w:rPr>
        <w:fldChar w:fldCharType="separate"/>
      </w:r>
      <w:r w:rsidR="00F87DF9" w:rsidRPr="003D7A86">
        <w:t xml:space="preserve">Figure </w:t>
      </w:r>
      <w:r w:rsidR="00F87DF9">
        <w:rPr>
          <w:noProof/>
        </w:rPr>
        <w:t>65</w:t>
      </w:r>
      <w:r w:rsidRPr="002615E2">
        <w:rPr>
          <w:color w:val="000000" w:themeColor="text1"/>
        </w:rPr>
        <w:fldChar w:fldCharType="end"/>
      </w:r>
      <w:r w:rsidRPr="002615E2">
        <w:rPr>
          <w:color w:val="000000" w:themeColor="text1"/>
        </w:rPr>
        <w:t>). I</w:t>
      </w:r>
      <w:r w:rsidRPr="002615E2">
        <w:rPr>
          <w:color w:val="000000" w:themeColor="text1"/>
          <w:vertAlign w:val="subscript"/>
        </w:rPr>
        <w:t>d</w:t>
      </w:r>
      <w:r w:rsidRPr="002615E2">
        <w:rPr>
          <w:color w:val="000000" w:themeColor="text1"/>
        </w:rPr>
        <w:t xml:space="preserve"> is highly seasonal at some sites, with the peak occurring in the late dry season (usually October-December). The seasonal signal in I</w:t>
      </w:r>
      <w:r w:rsidRPr="002615E2">
        <w:rPr>
          <w:color w:val="000000" w:themeColor="text1"/>
          <w:vertAlign w:val="subscript"/>
        </w:rPr>
        <w:t>d</w:t>
      </w:r>
      <w:r w:rsidRPr="002615E2">
        <w:rPr>
          <w:color w:val="000000" w:themeColor="text1"/>
        </w:rPr>
        <w:t xml:space="preserve"> is most pronounced at Picnic Bay intertidal (MI1) and subtidal (MI3) sites (</w:t>
      </w:r>
      <w:r w:rsidRPr="002615E2">
        <w:rPr>
          <w:color w:val="000000" w:themeColor="text1"/>
        </w:rPr>
        <w:fldChar w:fldCharType="begin"/>
      </w:r>
      <w:r w:rsidRPr="002615E2">
        <w:rPr>
          <w:color w:val="000000" w:themeColor="text1"/>
        </w:rPr>
        <w:instrText xml:space="preserve"> REF _Ref461447383 \h </w:instrText>
      </w:r>
      <w:r w:rsidRPr="002615E2">
        <w:rPr>
          <w:color w:val="000000" w:themeColor="text1"/>
        </w:rPr>
      </w:r>
      <w:r w:rsidRPr="002615E2">
        <w:rPr>
          <w:color w:val="000000" w:themeColor="text1"/>
        </w:rPr>
        <w:fldChar w:fldCharType="separate"/>
      </w:r>
      <w:r w:rsidR="00F87DF9" w:rsidRPr="003D7A86">
        <w:t xml:space="preserve">Figure </w:t>
      </w:r>
      <w:r w:rsidR="00F87DF9">
        <w:rPr>
          <w:noProof/>
        </w:rPr>
        <w:t>65</w:t>
      </w:r>
      <w:r w:rsidRPr="002615E2">
        <w:rPr>
          <w:color w:val="000000" w:themeColor="text1"/>
        </w:rPr>
        <w:fldChar w:fldCharType="end"/>
      </w:r>
      <w:r w:rsidRPr="002615E2">
        <w:rPr>
          <w:color w:val="000000" w:themeColor="text1"/>
        </w:rPr>
        <w:t xml:space="preserve">). In </w:t>
      </w:r>
      <w:r w:rsidR="008574EC">
        <w:rPr>
          <w:color w:val="000000" w:themeColor="text1"/>
        </w:rPr>
        <w:t>2016–17</w:t>
      </w:r>
      <w:r w:rsidRPr="002615E2">
        <w:rPr>
          <w:color w:val="000000" w:themeColor="text1"/>
        </w:rPr>
        <w:t>, average I</w:t>
      </w:r>
      <w:r w:rsidRPr="002615E2">
        <w:rPr>
          <w:color w:val="000000" w:themeColor="text1"/>
          <w:vertAlign w:val="subscript"/>
        </w:rPr>
        <w:t xml:space="preserve">d </w:t>
      </w:r>
      <w:r w:rsidRPr="002615E2">
        <w:rPr>
          <w:color w:val="000000" w:themeColor="text1"/>
        </w:rPr>
        <w:t>was lower than average due to conditions at the Magnetic Island sites (</w:t>
      </w:r>
      <w:r w:rsidRPr="002615E2">
        <w:rPr>
          <w:color w:val="000000" w:themeColor="text1"/>
        </w:rPr>
        <w:fldChar w:fldCharType="begin"/>
      </w:r>
      <w:r w:rsidRPr="002615E2">
        <w:rPr>
          <w:color w:val="000000" w:themeColor="text1"/>
        </w:rPr>
        <w:instrText xml:space="preserve"> REF _Ref461447383 \h </w:instrText>
      </w:r>
      <w:r w:rsidRPr="002615E2">
        <w:rPr>
          <w:color w:val="000000" w:themeColor="text1"/>
        </w:rPr>
      </w:r>
      <w:r w:rsidRPr="002615E2">
        <w:rPr>
          <w:color w:val="000000" w:themeColor="text1"/>
        </w:rPr>
        <w:fldChar w:fldCharType="separate"/>
      </w:r>
      <w:r w:rsidR="00F87DF9" w:rsidRPr="003D7A86">
        <w:t xml:space="preserve">Figure </w:t>
      </w:r>
      <w:r w:rsidR="00F87DF9">
        <w:rPr>
          <w:noProof/>
        </w:rPr>
        <w:t>65</w:t>
      </w:r>
      <w:r w:rsidRPr="002615E2">
        <w:rPr>
          <w:color w:val="000000" w:themeColor="text1"/>
        </w:rPr>
        <w:fldChar w:fldCharType="end"/>
      </w:r>
      <w:r w:rsidRPr="002615E2">
        <w:rPr>
          <w:color w:val="000000" w:themeColor="text1"/>
        </w:rPr>
        <w:t xml:space="preserve">). </w:t>
      </w:r>
      <w:r w:rsidR="00172348" w:rsidRPr="00172348">
        <w:rPr>
          <w:color w:val="000000" w:themeColor="text1"/>
        </w:rPr>
        <w:t xml:space="preserve">Bushland Beach intertidal and the Magnetic Island subtidal sites have the most frequent exceedance of light thresholds, and the region as a whole has the greatest exceedance of light thresholds within the </w:t>
      </w:r>
      <w:r w:rsidR="007F6948">
        <w:rPr>
          <w:color w:val="000000" w:themeColor="text1"/>
        </w:rPr>
        <w:t>Great Barrier Reef</w:t>
      </w:r>
      <w:r w:rsidR="00172348" w:rsidRPr="00172348">
        <w:rPr>
          <w:color w:val="000000" w:themeColor="text1"/>
        </w:rPr>
        <w:t xml:space="preserve">. Despite this, in </w:t>
      </w:r>
      <w:r w:rsidR="008574EC">
        <w:rPr>
          <w:color w:val="000000" w:themeColor="text1"/>
        </w:rPr>
        <w:t>2016–17</w:t>
      </w:r>
      <w:r w:rsidR="00172348" w:rsidRPr="00172348">
        <w:rPr>
          <w:color w:val="000000" w:themeColor="text1"/>
        </w:rPr>
        <w:t>, I</w:t>
      </w:r>
      <w:r w:rsidR="00172348" w:rsidRPr="00172348">
        <w:rPr>
          <w:color w:val="000000" w:themeColor="text1"/>
          <w:vertAlign w:val="subscript"/>
        </w:rPr>
        <w:t>d</w:t>
      </w:r>
      <w:r w:rsidR="00172348" w:rsidRPr="00172348">
        <w:rPr>
          <w:color w:val="000000" w:themeColor="text1"/>
        </w:rPr>
        <w:t xml:space="preserve"> was above light thresholds during the peak growth season (September to November) at all sites, as typically occurs in the region at this time of year.</w:t>
      </w:r>
    </w:p>
    <w:p w14:paraId="6755EB07" w14:textId="7AFF5DD5" w:rsidR="000C1447" w:rsidRPr="00555F68" w:rsidRDefault="00555F68" w:rsidP="00E75670">
      <w:pPr>
        <w:keepNext/>
        <w:widowControl w:val="0"/>
        <w:spacing w:after="0"/>
        <w:jc w:val="center"/>
        <w:rPr>
          <w:color w:val="000000"/>
          <w:szCs w:val="22"/>
        </w:rPr>
      </w:pPr>
      <w:r w:rsidRPr="00555F68">
        <w:rPr>
          <w:noProof/>
          <w:color w:val="000000"/>
          <w:szCs w:val="22"/>
          <w:lang w:eastAsia="en-AU"/>
        </w:rPr>
        <w:drawing>
          <wp:inline distT="0" distB="0" distL="0" distR="0" wp14:anchorId="31BFB2B6" wp14:editId="06082937">
            <wp:extent cx="5759450" cy="1900283"/>
            <wp:effectExtent l="0" t="0" r="0" b="5080"/>
            <wp:docPr id="50" name="Picture 50" descr="Plot of mean daily light (all sites pooled) with 28 day rolling average and Generalised Additive Model plot of temporal trends in daily light for each location in the Burdekin NRM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B_Daily &amp; GAM.png"/>
                    <pic:cNvPicPr/>
                  </pic:nvPicPr>
                  <pic:blipFill>
                    <a:blip r:embed="rId103"/>
                    <a:stretch>
                      <a:fillRect/>
                    </a:stretch>
                  </pic:blipFill>
                  <pic:spPr>
                    <a:xfrm>
                      <a:off x="0" y="0"/>
                      <a:ext cx="5759450" cy="1900283"/>
                    </a:xfrm>
                    <a:prstGeom prst="rect">
                      <a:avLst/>
                    </a:prstGeom>
                  </pic:spPr>
                </pic:pic>
              </a:graphicData>
            </a:graphic>
          </wp:inline>
        </w:drawing>
      </w:r>
    </w:p>
    <w:p w14:paraId="3060F985" w14:textId="5566CAAB" w:rsidR="00B4451B" w:rsidRPr="003D7A86" w:rsidRDefault="00443207" w:rsidP="00B4451B">
      <w:pPr>
        <w:rPr>
          <w:i/>
          <w:vanish/>
          <w:specVanish/>
        </w:rPr>
      </w:pPr>
      <w:bookmarkStart w:id="386" w:name="_Ref461447383"/>
      <w:bookmarkStart w:id="387" w:name="_Toc516053275"/>
      <w:r w:rsidRPr="003D7A86">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65</w:t>
      </w:r>
      <w:r w:rsidR="00C506C7">
        <w:rPr>
          <w:noProof/>
        </w:rPr>
        <w:fldChar w:fldCharType="end"/>
      </w:r>
      <w:bookmarkEnd w:id="386"/>
      <w:r w:rsidRPr="003D7A86">
        <w:t xml:space="preserve">.  </w:t>
      </w:r>
      <w:r w:rsidR="00B4451B" w:rsidRPr="003D7A86">
        <w:rPr>
          <w:i/>
        </w:rPr>
        <w:t xml:space="preserve">Mean daily light at Burdekin sites with 28-d rolling average from 2008 to </w:t>
      </w:r>
      <w:r w:rsidR="00B26D25" w:rsidRPr="003D7A86">
        <w:rPr>
          <w:i/>
        </w:rPr>
        <w:t>2017</w:t>
      </w:r>
      <w:r w:rsidR="00B4451B" w:rsidRPr="003D7A86">
        <w:rPr>
          <w:i/>
        </w:rPr>
        <w:t xml:space="preserve"> (left) and GAM plots (right)</w:t>
      </w:r>
      <w:bookmarkEnd w:id="387"/>
    </w:p>
    <w:p w14:paraId="13512555" w14:textId="13A6B43C" w:rsidR="00B4451B" w:rsidRPr="003D7A86" w:rsidRDefault="00B4451B" w:rsidP="00B4451B">
      <w:pPr>
        <w:rPr>
          <w:i/>
        </w:rPr>
      </w:pPr>
      <w:r w:rsidRPr="003D7A86">
        <w:rPr>
          <w:i/>
        </w:rPr>
        <w:t xml:space="preserve"> with the black line showing mean trend for all sites (±95</w:t>
      </w:r>
      <w:r w:rsidR="0063478C" w:rsidRPr="003D7A86">
        <w:rPr>
          <w:i/>
        </w:rPr>
        <w:t xml:space="preserve"> per cent</w:t>
      </w:r>
      <w:r w:rsidRPr="003D7A86">
        <w:rPr>
          <w:i/>
        </w:rPr>
        <w:t xml:space="preserve"> confidence interval in grey shade) and coloured lines (with CI’s) showing the trend for each site. Results of statistical analysis (GAM) and site-specific graphs (site-level daily light data plus 28-d rolling average) are shown in Appendix 4.</w:t>
      </w:r>
    </w:p>
    <w:p w14:paraId="14363109" w14:textId="77777777" w:rsidR="000C1447" w:rsidRPr="000C1447" w:rsidRDefault="000C1447" w:rsidP="000C1447">
      <w:pPr>
        <w:rPr>
          <w:color w:val="000000"/>
          <w:szCs w:val="22"/>
        </w:rPr>
      </w:pPr>
    </w:p>
    <w:p w14:paraId="7E03F52A" w14:textId="23869FD4" w:rsidR="000C1447" w:rsidRPr="00682D46" w:rsidRDefault="000C1447" w:rsidP="000C1447">
      <w:pPr>
        <w:rPr>
          <w:color w:val="000000" w:themeColor="text1"/>
          <w:szCs w:val="22"/>
        </w:rPr>
      </w:pPr>
      <w:r w:rsidRPr="00D70B49">
        <w:rPr>
          <w:color w:val="000000" w:themeColor="text1"/>
          <w:szCs w:val="22"/>
        </w:rPr>
        <w:t xml:space="preserve">Water temperature was generally very warm, </w:t>
      </w:r>
      <w:r w:rsidR="0058085F">
        <w:rPr>
          <w:color w:val="000000" w:themeColor="text1"/>
          <w:szCs w:val="22"/>
        </w:rPr>
        <w:t xml:space="preserve">and was the highest average temperature since monitoring began. Despite that, there was </w:t>
      </w:r>
      <w:r w:rsidR="00D70B49" w:rsidRPr="00D70B49">
        <w:rPr>
          <w:color w:val="000000" w:themeColor="text1"/>
          <w:szCs w:val="22"/>
        </w:rPr>
        <w:t>a similar number of</w:t>
      </w:r>
      <w:r w:rsidR="00CE4CFD" w:rsidRPr="00D70B49">
        <w:rPr>
          <w:color w:val="000000" w:themeColor="text1"/>
          <w:szCs w:val="22"/>
        </w:rPr>
        <w:t xml:space="preserve"> days above 35°C in </w:t>
      </w:r>
      <w:r w:rsidR="008574EC">
        <w:rPr>
          <w:color w:val="000000" w:themeColor="text1"/>
          <w:szCs w:val="22"/>
        </w:rPr>
        <w:t>2016–17</w:t>
      </w:r>
      <w:r w:rsidR="00CE4CFD" w:rsidRPr="00D70B49">
        <w:rPr>
          <w:color w:val="000000" w:themeColor="text1"/>
          <w:szCs w:val="22"/>
        </w:rPr>
        <w:t xml:space="preserve"> </w:t>
      </w:r>
      <w:r w:rsidR="00D70B49" w:rsidRPr="00D70B49">
        <w:rPr>
          <w:color w:val="000000" w:themeColor="text1"/>
          <w:szCs w:val="22"/>
        </w:rPr>
        <w:t xml:space="preserve">(45d) </w:t>
      </w:r>
      <w:r w:rsidR="0058085F">
        <w:rPr>
          <w:color w:val="000000" w:themeColor="text1"/>
          <w:szCs w:val="22"/>
        </w:rPr>
        <w:t>as in</w:t>
      </w:r>
      <w:r w:rsidR="00D70B49" w:rsidRPr="00D70B49">
        <w:rPr>
          <w:color w:val="000000" w:themeColor="text1"/>
          <w:szCs w:val="22"/>
        </w:rPr>
        <w:t xml:space="preserve"> 2015-16 </w:t>
      </w:r>
      <w:r w:rsidR="00CE4CFD" w:rsidRPr="00D70B49">
        <w:rPr>
          <w:color w:val="000000" w:themeColor="text1"/>
          <w:szCs w:val="22"/>
        </w:rPr>
        <w:t>(44d)</w:t>
      </w:r>
      <w:r w:rsidR="00D70B49" w:rsidRPr="00D70B49">
        <w:rPr>
          <w:color w:val="000000" w:themeColor="text1"/>
          <w:szCs w:val="22"/>
        </w:rPr>
        <w:t>,</w:t>
      </w:r>
      <w:r w:rsidR="00CE4CFD" w:rsidRPr="00D70B49">
        <w:rPr>
          <w:color w:val="000000" w:themeColor="text1"/>
          <w:szCs w:val="22"/>
        </w:rPr>
        <w:t xml:space="preserve"> </w:t>
      </w:r>
      <w:r w:rsidR="0058085F">
        <w:rPr>
          <w:color w:val="000000" w:themeColor="text1"/>
          <w:szCs w:val="22"/>
        </w:rPr>
        <w:t>which was</w:t>
      </w:r>
      <w:r w:rsidR="00D70B49" w:rsidRPr="00D70B49">
        <w:rPr>
          <w:color w:val="000000" w:themeColor="text1"/>
          <w:szCs w:val="22"/>
        </w:rPr>
        <w:t xml:space="preserve"> </w:t>
      </w:r>
      <w:r w:rsidR="0058085F">
        <w:rPr>
          <w:color w:val="000000" w:themeColor="text1"/>
          <w:szCs w:val="22"/>
        </w:rPr>
        <w:t>fewer than in</w:t>
      </w:r>
      <w:r w:rsidR="00CE4CFD" w:rsidRPr="00D70B49">
        <w:rPr>
          <w:color w:val="000000" w:themeColor="text1"/>
          <w:szCs w:val="22"/>
        </w:rPr>
        <w:t xml:space="preserve"> 2014-15 (53 d)</w:t>
      </w:r>
      <w:r w:rsidRPr="00D70B49">
        <w:rPr>
          <w:color w:val="000000" w:themeColor="text1"/>
          <w:szCs w:val="22"/>
        </w:rPr>
        <w:t xml:space="preserve"> (</w:t>
      </w:r>
      <w:r w:rsidR="00213082" w:rsidRPr="00D70B49">
        <w:rPr>
          <w:color w:val="000000" w:themeColor="text1"/>
          <w:szCs w:val="22"/>
        </w:rPr>
        <w:fldChar w:fldCharType="begin"/>
      </w:r>
      <w:r w:rsidR="00213082" w:rsidRPr="00D70B49">
        <w:rPr>
          <w:color w:val="000000" w:themeColor="text1"/>
          <w:szCs w:val="22"/>
        </w:rPr>
        <w:instrText xml:space="preserve"> REF _Ref442441224 \h </w:instrText>
      </w:r>
      <w:r w:rsidR="00213082" w:rsidRPr="00D70B49">
        <w:rPr>
          <w:color w:val="000000" w:themeColor="text1"/>
          <w:szCs w:val="22"/>
        </w:rPr>
      </w:r>
      <w:r w:rsidR="00213082" w:rsidRPr="00D70B49">
        <w:rPr>
          <w:color w:val="000000" w:themeColor="text1"/>
          <w:szCs w:val="22"/>
        </w:rPr>
        <w:fldChar w:fldCharType="separate"/>
      </w:r>
      <w:r w:rsidR="00F87DF9">
        <w:t xml:space="preserve">Figure </w:t>
      </w:r>
      <w:r w:rsidR="00F87DF9">
        <w:rPr>
          <w:noProof/>
        </w:rPr>
        <w:t>66</w:t>
      </w:r>
      <w:r w:rsidR="00213082" w:rsidRPr="00D70B49">
        <w:rPr>
          <w:color w:val="000000" w:themeColor="text1"/>
          <w:szCs w:val="22"/>
        </w:rPr>
        <w:fldChar w:fldCharType="end"/>
      </w:r>
      <w:r w:rsidR="00213082" w:rsidRPr="00D70B49">
        <w:rPr>
          <w:color w:val="000000" w:themeColor="text1"/>
          <w:szCs w:val="22"/>
        </w:rPr>
        <w:t>a</w:t>
      </w:r>
      <w:r w:rsidR="00682D46" w:rsidRPr="00D70B49">
        <w:rPr>
          <w:color w:val="000000" w:themeColor="text1"/>
          <w:szCs w:val="22"/>
        </w:rPr>
        <w:t>)</w:t>
      </w:r>
      <w:r w:rsidR="00D70B49" w:rsidRPr="00D70B49">
        <w:rPr>
          <w:color w:val="000000" w:themeColor="text1"/>
          <w:szCs w:val="22"/>
        </w:rPr>
        <w:t xml:space="preserve">. </w:t>
      </w:r>
      <w:r w:rsidR="00682D46" w:rsidRPr="00D70B49">
        <w:rPr>
          <w:color w:val="000000" w:themeColor="text1"/>
          <w:szCs w:val="22"/>
        </w:rPr>
        <w:t xml:space="preserve"> </w:t>
      </w:r>
      <w:r w:rsidR="00D70B49" w:rsidRPr="0058085F">
        <w:rPr>
          <w:color w:val="000000" w:themeColor="text1"/>
          <w:szCs w:val="22"/>
        </w:rPr>
        <w:t>F</w:t>
      </w:r>
      <w:r w:rsidR="00214082" w:rsidRPr="0058085F">
        <w:rPr>
          <w:color w:val="000000" w:themeColor="text1"/>
          <w:szCs w:val="22"/>
        </w:rPr>
        <w:t xml:space="preserve">or </w:t>
      </w:r>
      <w:r w:rsidR="00D70B49" w:rsidRPr="0058085F">
        <w:rPr>
          <w:color w:val="000000" w:themeColor="text1"/>
          <w:szCs w:val="22"/>
        </w:rPr>
        <w:t>a third</w:t>
      </w:r>
      <w:r w:rsidR="00214082" w:rsidRPr="0058085F">
        <w:rPr>
          <w:color w:val="000000" w:themeColor="text1"/>
          <w:szCs w:val="22"/>
        </w:rPr>
        <w:t xml:space="preserve"> year in </w:t>
      </w:r>
      <w:r w:rsidR="00D70B49" w:rsidRPr="0058085F">
        <w:rPr>
          <w:color w:val="000000" w:themeColor="text1"/>
          <w:szCs w:val="22"/>
        </w:rPr>
        <w:t xml:space="preserve">a </w:t>
      </w:r>
      <w:r w:rsidR="00214082" w:rsidRPr="0058085F">
        <w:rPr>
          <w:color w:val="000000" w:themeColor="text1"/>
          <w:szCs w:val="22"/>
        </w:rPr>
        <w:t>row there was</w:t>
      </w:r>
      <w:r w:rsidRPr="0058085F">
        <w:rPr>
          <w:color w:val="000000" w:themeColor="text1"/>
          <w:szCs w:val="22"/>
        </w:rPr>
        <w:t xml:space="preserve"> frequent deviation from the thermal baseline, even at subtidal sites (</w:t>
      </w:r>
      <w:r w:rsidR="00213082" w:rsidRPr="0058085F">
        <w:rPr>
          <w:color w:val="000000" w:themeColor="text1"/>
          <w:szCs w:val="22"/>
        </w:rPr>
        <w:fldChar w:fldCharType="begin"/>
      </w:r>
      <w:r w:rsidR="00213082" w:rsidRPr="0058085F">
        <w:rPr>
          <w:color w:val="000000" w:themeColor="text1"/>
          <w:szCs w:val="22"/>
        </w:rPr>
        <w:instrText xml:space="preserve"> REF _Ref442441224 \h </w:instrText>
      </w:r>
      <w:r w:rsidR="00213082" w:rsidRPr="0058085F">
        <w:rPr>
          <w:color w:val="000000" w:themeColor="text1"/>
          <w:szCs w:val="22"/>
        </w:rPr>
      </w:r>
      <w:r w:rsidR="00213082" w:rsidRPr="0058085F">
        <w:rPr>
          <w:color w:val="000000" w:themeColor="text1"/>
          <w:szCs w:val="22"/>
        </w:rPr>
        <w:fldChar w:fldCharType="separate"/>
      </w:r>
      <w:r w:rsidR="00F87DF9">
        <w:t xml:space="preserve">Figure </w:t>
      </w:r>
      <w:r w:rsidR="00F87DF9">
        <w:rPr>
          <w:noProof/>
        </w:rPr>
        <w:t>66</w:t>
      </w:r>
      <w:r w:rsidR="00213082" w:rsidRPr="0058085F">
        <w:rPr>
          <w:color w:val="000000" w:themeColor="text1"/>
          <w:szCs w:val="22"/>
        </w:rPr>
        <w:fldChar w:fldCharType="end"/>
      </w:r>
      <w:r w:rsidR="00213082" w:rsidRPr="0058085F">
        <w:rPr>
          <w:color w:val="000000" w:themeColor="text1"/>
          <w:szCs w:val="22"/>
        </w:rPr>
        <w:t>b</w:t>
      </w:r>
      <w:r w:rsidRPr="0058085F">
        <w:rPr>
          <w:color w:val="000000" w:themeColor="text1"/>
          <w:szCs w:val="22"/>
        </w:rPr>
        <w:t xml:space="preserve">). </w:t>
      </w:r>
      <w:r w:rsidR="00682D46" w:rsidRPr="0058085F">
        <w:rPr>
          <w:color w:val="000000" w:themeColor="text1"/>
          <w:szCs w:val="22"/>
        </w:rPr>
        <w:t>There</w:t>
      </w:r>
      <w:r w:rsidR="00214082" w:rsidRPr="0058085F">
        <w:rPr>
          <w:color w:val="000000" w:themeColor="text1"/>
          <w:szCs w:val="22"/>
        </w:rPr>
        <w:t xml:space="preserve"> were </w:t>
      </w:r>
      <w:r w:rsidR="00682D46" w:rsidRPr="0058085F">
        <w:rPr>
          <w:color w:val="000000" w:themeColor="text1"/>
          <w:szCs w:val="22"/>
        </w:rPr>
        <w:t xml:space="preserve">also </w:t>
      </w:r>
      <w:r w:rsidR="00D70B49" w:rsidRPr="0058085F">
        <w:rPr>
          <w:color w:val="000000" w:themeColor="text1"/>
          <w:szCs w:val="22"/>
        </w:rPr>
        <w:t>1 day</w:t>
      </w:r>
      <w:r w:rsidR="00214082" w:rsidRPr="0058085F">
        <w:rPr>
          <w:color w:val="000000" w:themeColor="text1"/>
          <w:szCs w:val="22"/>
        </w:rPr>
        <w:t xml:space="preserve"> of extreme temperature (&gt;40°C) in </w:t>
      </w:r>
      <w:r w:rsidR="0058085F" w:rsidRPr="0058085F">
        <w:rPr>
          <w:color w:val="000000" w:themeColor="text1"/>
          <w:szCs w:val="22"/>
        </w:rPr>
        <w:t>November</w:t>
      </w:r>
      <w:r w:rsidR="00682D46" w:rsidRPr="0058085F">
        <w:rPr>
          <w:color w:val="000000" w:themeColor="text1"/>
          <w:szCs w:val="22"/>
        </w:rPr>
        <w:t xml:space="preserve"> </w:t>
      </w:r>
      <w:r w:rsidR="006574F1" w:rsidRPr="0058085F">
        <w:rPr>
          <w:color w:val="000000" w:themeColor="text1"/>
          <w:szCs w:val="22"/>
        </w:rPr>
        <w:t>2016</w:t>
      </w:r>
      <w:r w:rsidR="0058085F" w:rsidRPr="0058085F">
        <w:rPr>
          <w:color w:val="000000" w:themeColor="text1"/>
          <w:szCs w:val="22"/>
        </w:rPr>
        <w:t xml:space="preserve"> at </w:t>
      </w:r>
      <w:r w:rsidR="003D7A86">
        <w:rPr>
          <w:color w:val="000000" w:themeColor="text1"/>
          <w:szCs w:val="22"/>
        </w:rPr>
        <w:t>a</w:t>
      </w:r>
      <w:r w:rsidR="0058085F" w:rsidRPr="0058085F">
        <w:rPr>
          <w:color w:val="000000" w:themeColor="text1"/>
          <w:szCs w:val="22"/>
        </w:rPr>
        <w:t xml:space="preserve"> coastal Townsville site</w:t>
      </w:r>
      <w:r w:rsidR="00214082" w:rsidRPr="0058085F">
        <w:rPr>
          <w:color w:val="000000" w:themeColor="text1"/>
          <w:szCs w:val="22"/>
        </w:rPr>
        <w:t xml:space="preserve">. </w:t>
      </w:r>
    </w:p>
    <w:p w14:paraId="78E156B9" w14:textId="77777777" w:rsidR="000C1447" w:rsidRDefault="000C1447" w:rsidP="000C1447">
      <w:pPr>
        <w:rPr>
          <w:color w:val="000000"/>
          <w:szCs w:val="22"/>
        </w:rPr>
      </w:pPr>
    </w:p>
    <w:p w14:paraId="77C8EAD1" w14:textId="77777777" w:rsidR="000C1447" w:rsidRDefault="00015AD8" w:rsidP="00443207">
      <w:pPr>
        <w:keepNext/>
        <w:widowControl w:val="0"/>
        <w:spacing w:after="0"/>
        <w:jc w:val="center"/>
        <w:rPr>
          <w:noProof/>
          <w:color w:val="000000"/>
          <w:szCs w:val="22"/>
          <w:lang w:eastAsia="en-AU"/>
        </w:rPr>
      </w:pPr>
      <w:r>
        <w:rPr>
          <w:noProof/>
          <w:color w:val="000000"/>
          <w:szCs w:val="22"/>
          <w:lang w:eastAsia="en-AU"/>
        </w:rPr>
        <w:drawing>
          <wp:inline distT="0" distB="0" distL="0" distR="0" wp14:anchorId="5CD7B5BC" wp14:editId="07DFB801">
            <wp:extent cx="5040000" cy="2699029"/>
            <wp:effectExtent l="0" t="0" r="8255" b="6350"/>
            <wp:docPr id="308" name="Picture 308" descr="Panel of two bar graphs showing number of days when inshore within canopy sea temperature exceeded 35°C, 38°C, 40°C and 43°C within each season and deviations at intertidal seagrass habitats from 11-year mean weekly temperature records for intertidal seagrass habitats in the Burdekin NRM region from September 2003 to Ju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B_temperature_deviation_2016.png"/>
                    <pic:cNvPicPr/>
                  </pic:nvPicPr>
                  <pic:blipFill>
                    <a:blip r:embed="rId104">
                      <a:extLst>
                        <a:ext uri="{28A0092B-C50C-407E-A947-70E740481C1C}">
                          <a14:useLocalDpi xmlns:a14="http://schemas.microsoft.com/office/drawing/2010/main" val="0"/>
                        </a:ext>
                      </a:extLst>
                    </a:blip>
                    <a:stretch>
                      <a:fillRect/>
                    </a:stretch>
                  </pic:blipFill>
                  <pic:spPr>
                    <a:xfrm>
                      <a:off x="0" y="0"/>
                      <a:ext cx="5040000" cy="2699029"/>
                    </a:xfrm>
                    <a:prstGeom prst="rect">
                      <a:avLst/>
                    </a:prstGeom>
                  </pic:spPr>
                </pic:pic>
              </a:graphicData>
            </a:graphic>
          </wp:inline>
        </w:drawing>
      </w:r>
    </w:p>
    <w:p w14:paraId="71E55E9E" w14:textId="098FB1D3" w:rsidR="000C1447" w:rsidRPr="00F02E39" w:rsidRDefault="000C1447" w:rsidP="000C1447">
      <w:pPr>
        <w:spacing w:before="0"/>
        <w:ind w:right="233"/>
        <w:rPr>
          <w:i/>
          <w:vanish/>
          <w:szCs w:val="22"/>
          <w:specVanish/>
        </w:rPr>
      </w:pPr>
      <w:bookmarkStart w:id="388" w:name="_Ref442441224"/>
      <w:bookmarkStart w:id="389" w:name="_Toc516053276"/>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66</w:t>
      </w:r>
      <w:r w:rsidR="00C506C7">
        <w:rPr>
          <w:noProof/>
        </w:rPr>
        <w:fldChar w:fldCharType="end"/>
      </w:r>
      <w:bookmarkEnd w:id="388"/>
      <w:r>
        <w:t xml:space="preserve">. </w:t>
      </w:r>
      <w:r w:rsidRPr="00EA10D7">
        <w:rPr>
          <w:i/>
          <w:color w:val="000000"/>
        </w:rPr>
        <w:t xml:space="preserve">Inshore sea temperature at </w:t>
      </w:r>
      <w:r w:rsidR="00213082">
        <w:rPr>
          <w:i/>
          <w:color w:val="000000"/>
        </w:rPr>
        <w:t>intertidal</w:t>
      </w:r>
      <w:r w:rsidRPr="00EA10D7">
        <w:rPr>
          <w:i/>
          <w:color w:val="000000"/>
        </w:rPr>
        <w:t xml:space="preserve"> seagrass habitat</w:t>
      </w:r>
      <w:r w:rsidR="00213082">
        <w:rPr>
          <w:i/>
          <w:color w:val="000000"/>
        </w:rPr>
        <w:t>s</w:t>
      </w:r>
      <w:r w:rsidRPr="00EA10D7">
        <w:rPr>
          <w:i/>
          <w:color w:val="000000"/>
        </w:rPr>
        <w:t xml:space="preserve"> </w:t>
      </w:r>
      <w:r w:rsidR="00213082">
        <w:rPr>
          <w:i/>
          <w:color w:val="000000"/>
        </w:rPr>
        <w:t xml:space="preserve">in the </w:t>
      </w:r>
      <w:r w:rsidRPr="00EA10D7">
        <w:rPr>
          <w:i/>
          <w:color w:val="000000"/>
        </w:rPr>
        <w:t xml:space="preserve">Burdekin region, </w:t>
      </w:r>
      <w:r>
        <w:rPr>
          <w:i/>
          <w:color w:val="000000"/>
        </w:rPr>
        <w:t>January</w:t>
      </w:r>
      <w:r w:rsidRPr="00EA10D7">
        <w:rPr>
          <w:i/>
          <w:color w:val="000000"/>
        </w:rPr>
        <w:t xml:space="preserve"> </w:t>
      </w:r>
      <w:r w:rsidRPr="00F02E39">
        <w:rPr>
          <w:i/>
        </w:rPr>
        <w:t xml:space="preserve">2008 - </w:t>
      </w:r>
      <w:r w:rsidR="00443207" w:rsidRPr="00F02E39">
        <w:rPr>
          <w:i/>
        </w:rPr>
        <w:t>May</w:t>
      </w:r>
      <w:r w:rsidRPr="00F02E39">
        <w:rPr>
          <w:i/>
        </w:rPr>
        <w:t xml:space="preserve"> 201</w:t>
      </w:r>
      <w:r w:rsidR="00F02E39" w:rsidRPr="00F02E39">
        <w:rPr>
          <w:i/>
        </w:rPr>
        <w:t>7</w:t>
      </w:r>
      <w:bookmarkEnd w:id="389"/>
    </w:p>
    <w:p w14:paraId="076BB5A2" w14:textId="7F2C1113" w:rsidR="000C1447" w:rsidRDefault="000C1447" w:rsidP="000C1447">
      <w:r w:rsidRPr="00F02E39">
        <w:rPr>
          <w:i/>
        </w:rPr>
        <w:t xml:space="preserve">: a) number of days when temperature exceeded 35°C, 38°C, 40°C and 43°C within </w:t>
      </w:r>
      <w:r w:rsidRPr="00EA10D7">
        <w:rPr>
          <w:i/>
          <w:color w:val="000000"/>
        </w:rPr>
        <w:t xml:space="preserve">each season (thresholds adapted from </w:t>
      </w:r>
      <w:hyperlink w:anchor="_ENREF_30" w:tooltip="Campbell, 2006 #2896" w:history="1">
        <w:r w:rsidR="00305FE7">
          <w:rPr>
            <w:i/>
            <w:color w:val="000000"/>
          </w:rPr>
          <w:fldChar w:fldCharType="begin"/>
        </w:r>
        <w:r w:rsidR="00305FE7">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Pr>
            <w:i/>
            <w:color w:val="000000"/>
          </w:rPr>
          <w:fldChar w:fldCharType="separate"/>
        </w:r>
        <w:r w:rsidR="00305FE7">
          <w:rPr>
            <w:i/>
            <w:noProof/>
            <w:color w:val="000000"/>
          </w:rPr>
          <w:t>Campbell et al. 2006</w:t>
        </w:r>
        <w:r w:rsidR="00305FE7">
          <w:rPr>
            <w:i/>
            <w:color w:val="000000"/>
          </w:rPr>
          <w:fldChar w:fldCharType="end"/>
        </w:r>
      </w:hyperlink>
      <w:r w:rsidRPr="00EA10D7">
        <w:rPr>
          <w:i/>
          <w:color w:val="000000"/>
        </w:rPr>
        <w:t xml:space="preserve">); b) deviations from </w:t>
      </w:r>
      <w:r w:rsidR="00443207">
        <w:rPr>
          <w:i/>
          <w:color w:val="000000"/>
        </w:rPr>
        <w:t>11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p>
    <w:p w14:paraId="4A23C06C" w14:textId="77777777" w:rsidR="000C1447" w:rsidRDefault="00015AD8" w:rsidP="00443207">
      <w:pPr>
        <w:keepNext/>
        <w:widowControl w:val="0"/>
        <w:spacing w:after="0"/>
        <w:jc w:val="center"/>
        <w:rPr>
          <w:noProof/>
          <w:color w:val="000000"/>
          <w:szCs w:val="22"/>
          <w:lang w:eastAsia="en-AU"/>
        </w:rPr>
      </w:pPr>
      <w:r>
        <w:rPr>
          <w:noProof/>
          <w:color w:val="000000"/>
          <w:szCs w:val="22"/>
          <w:lang w:eastAsia="en-AU"/>
        </w:rPr>
        <w:drawing>
          <wp:inline distT="0" distB="0" distL="0" distR="0" wp14:anchorId="4090AA37" wp14:editId="113B567B">
            <wp:extent cx="5040000" cy="2695411"/>
            <wp:effectExtent l="0" t="0" r="8255" b="0"/>
            <wp:docPr id="306" name="Picture 306" descr="Two bar graphs showing the number of days when sea temperature at subtidal seagrass habitats at Magnetic Island exceeded 35°C, 38°C, 40°C and 43°C within each season, and deviations from the seven 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B_sub_temperature_deviation_2016.png"/>
                    <pic:cNvPicPr/>
                  </pic:nvPicPr>
                  <pic:blipFill>
                    <a:blip r:embed="rId105">
                      <a:extLst>
                        <a:ext uri="{28A0092B-C50C-407E-A947-70E740481C1C}">
                          <a14:useLocalDpi xmlns:a14="http://schemas.microsoft.com/office/drawing/2010/main" val="0"/>
                        </a:ext>
                      </a:extLst>
                    </a:blip>
                    <a:stretch>
                      <a:fillRect/>
                    </a:stretch>
                  </pic:blipFill>
                  <pic:spPr>
                    <a:xfrm>
                      <a:off x="0" y="0"/>
                      <a:ext cx="5040000" cy="2695411"/>
                    </a:xfrm>
                    <a:prstGeom prst="rect">
                      <a:avLst/>
                    </a:prstGeom>
                  </pic:spPr>
                </pic:pic>
              </a:graphicData>
            </a:graphic>
          </wp:inline>
        </w:drawing>
      </w:r>
    </w:p>
    <w:p w14:paraId="5899CE64" w14:textId="1A49095E" w:rsidR="000C1447" w:rsidRPr="00F02E39" w:rsidRDefault="000C1447" w:rsidP="000C1447">
      <w:pPr>
        <w:spacing w:before="0"/>
        <w:ind w:right="233"/>
        <w:rPr>
          <w:i/>
          <w:vanish/>
          <w:szCs w:val="22"/>
          <w:specVanish/>
        </w:rPr>
      </w:pPr>
      <w:bookmarkStart w:id="390" w:name="_Toc51605327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67</w:t>
      </w:r>
      <w:r w:rsidR="00C506C7">
        <w:rPr>
          <w:noProof/>
        </w:rPr>
        <w:fldChar w:fldCharType="end"/>
      </w:r>
      <w:r>
        <w:t xml:space="preserve">. </w:t>
      </w:r>
      <w:r w:rsidRPr="00EA10D7">
        <w:rPr>
          <w:i/>
          <w:color w:val="000000"/>
        </w:rPr>
        <w:t>Inshore sea temperature at</w:t>
      </w:r>
      <w:r>
        <w:rPr>
          <w:i/>
          <w:color w:val="000000"/>
        </w:rPr>
        <w:t xml:space="preserve"> </w:t>
      </w:r>
      <w:r w:rsidR="00A062EF" w:rsidRPr="00EA10D7">
        <w:rPr>
          <w:i/>
          <w:color w:val="000000"/>
        </w:rPr>
        <w:t xml:space="preserve">inshore </w:t>
      </w:r>
      <w:r>
        <w:rPr>
          <w:i/>
          <w:color w:val="000000"/>
        </w:rPr>
        <w:t>subtidal</w:t>
      </w:r>
      <w:r w:rsidRPr="00EA10D7">
        <w:rPr>
          <w:i/>
          <w:color w:val="000000"/>
        </w:rPr>
        <w:t xml:space="preserve"> seagrass habitat </w:t>
      </w:r>
      <w:r>
        <w:rPr>
          <w:i/>
          <w:color w:val="000000"/>
        </w:rPr>
        <w:t xml:space="preserve">at Magnetic Island </w:t>
      </w:r>
      <w:r w:rsidRPr="00F02E39">
        <w:rPr>
          <w:i/>
        </w:rPr>
        <w:t xml:space="preserve">(Burdekin region), January 2008 - </w:t>
      </w:r>
      <w:r w:rsidR="00443207" w:rsidRPr="00F02E39">
        <w:rPr>
          <w:i/>
        </w:rPr>
        <w:t>May</w:t>
      </w:r>
      <w:r w:rsidRPr="00F02E39">
        <w:rPr>
          <w:i/>
        </w:rPr>
        <w:t xml:space="preserve"> 201</w:t>
      </w:r>
      <w:r w:rsidR="00F02E39" w:rsidRPr="00F02E39">
        <w:rPr>
          <w:i/>
        </w:rPr>
        <w:t>7</w:t>
      </w:r>
      <w:bookmarkEnd w:id="390"/>
    </w:p>
    <w:p w14:paraId="1F8FC665" w14:textId="309ADE98" w:rsidR="000C1447" w:rsidRDefault="000C1447" w:rsidP="000C1447">
      <w:r w:rsidRPr="00F02E39">
        <w:rPr>
          <w:i/>
        </w:rPr>
        <w:t xml:space="preserve">: a) number of days when temperature exceeded 35°C, </w:t>
      </w:r>
      <w:r w:rsidRPr="00EA10D7">
        <w:rPr>
          <w:i/>
          <w:color w:val="000000"/>
        </w:rPr>
        <w:t xml:space="preserve">38°C, 40°C and 43°C within each season (thresholds adapted from </w:t>
      </w:r>
      <w:hyperlink w:anchor="_ENREF_30" w:tooltip="Campbell, 2006 #2896" w:history="1">
        <w:r w:rsidR="00305FE7">
          <w:rPr>
            <w:i/>
            <w:color w:val="000000"/>
          </w:rPr>
          <w:fldChar w:fldCharType="begin"/>
        </w:r>
        <w:r w:rsidR="00305FE7">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Pr>
            <w:i/>
            <w:color w:val="000000"/>
          </w:rPr>
          <w:fldChar w:fldCharType="separate"/>
        </w:r>
        <w:r w:rsidR="00305FE7">
          <w:rPr>
            <w:i/>
            <w:noProof/>
            <w:color w:val="000000"/>
          </w:rPr>
          <w:t>Campbell et al. 2006</w:t>
        </w:r>
        <w:r w:rsidR="00305FE7">
          <w:rPr>
            <w:i/>
            <w:color w:val="000000"/>
          </w:rPr>
          <w:fldChar w:fldCharType="end"/>
        </w:r>
      </w:hyperlink>
      <w:r w:rsidRPr="00EA10D7">
        <w:rPr>
          <w:i/>
          <w:color w:val="000000"/>
        </w:rPr>
        <w:t xml:space="preserve">); b) deviations from </w:t>
      </w:r>
      <w:r>
        <w:rPr>
          <w:i/>
          <w:color w:val="000000"/>
        </w:rPr>
        <w:t>7</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00EC6A45">
        <w:rPr>
          <w:i/>
          <w:color w:val="000000"/>
        </w:rPr>
        <w:t xml:space="preserve"> Dashed line represents no data.</w:t>
      </w:r>
    </w:p>
    <w:p w14:paraId="3F183F5E" w14:textId="77777777" w:rsidR="000A5F0A" w:rsidRDefault="00FF0A86" w:rsidP="00926892">
      <w:pPr>
        <w:pStyle w:val="Heading3"/>
        <w:numPr>
          <w:ilvl w:val="2"/>
          <w:numId w:val="9"/>
        </w:numPr>
        <w:rPr>
          <w:rFonts w:ascii="Arial" w:hAnsi="Arial" w:cs="Arial"/>
          <w:color w:val="000000"/>
        </w:rPr>
      </w:pPr>
      <w:bookmarkStart w:id="391" w:name="_Toc516053152"/>
      <w:r>
        <w:rPr>
          <w:rFonts w:ascii="Arial" w:hAnsi="Arial" w:cs="Arial"/>
          <w:color w:val="000000"/>
        </w:rPr>
        <w:t>Indicators of seagrass condition</w:t>
      </w:r>
      <w:bookmarkEnd w:id="391"/>
    </w:p>
    <w:p w14:paraId="411F9413" w14:textId="7EAE5018" w:rsidR="006178EE" w:rsidRDefault="00B75DBC" w:rsidP="006178EE">
      <w:pPr>
        <w:rPr>
          <w:lang w:eastAsia="x-none"/>
        </w:rPr>
      </w:pPr>
      <w:r>
        <w:rPr>
          <w:lang w:eastAsia="x-none"/>
        </w:rPr>
        <w:t xml:space="preserve">Three seagrass habitat types were assessed across the Burdekin region in </w:t>
      </w:r>
      <w:r w:rsidR="008574EC">
        <w:rPr>
          <w:lang w:eastAsia="x-none"/>
        </w:rPr>
        <w:t>2016–17</w:t>
      </w:r>
      <w:r>
        <w:rPr>
          <w:lang w:eastAsia="x-none"/>
        </w:rPr>
        <w:t>, with data from 8 sites (</w:t>
      </w:r>
      <w:r>
        <w:rPr>
          <w:lang w:eastAsia="x-none"/>
        </w:rPr>
        <w:fldChar w:fldCharType="begin"/>
      </w:r>
      <w:r>
        <w:rPr>
          <w:lang w:eastAsia="x-none"/>
        </w:rPr>
        <w:instrText xml:space="preserve"> REF _Ref473891445 \h </w:instrText>
      </w:r>
      <w:r>
        <w:rPr>
          <w:lang w:eastAsia="x-none"/>
        </w:rPr>
      </w:r>
      <w:r>
        <w:rPr>
          <w:lang w:eastAsia="x-none"/>
        </w:rPr>
        <w:fldChar w:fldCharType="separate"/>
      </w:r>
      <w:r w:rsidR="00F87DF9">
        <w:t xml:space="preserve">Table </w:t>
      </w:r>
      <w:r w:rsidR="00F87DF9">
        <w:rPr>
          <w:noProof/>
        </w:rPr>
        <w:t>22</w:t>
      </w:r>
      <w:r>
        <w:rPr>
          <w:lang w:eastAsia="x-none"/>
        </w:rPr>
        <w:fldChar w:fldCharType="end"/>
      </w:r>
      <w:r>
        <w:rPr>
          <w:lang w:eastAsia="x-none"/>
        </w:rPr>
        <w:t>).</w:t>
      </w:r>
    </w:p>
    <w:p w14:paraId="7E211D57" w14:textId="77777777" w:rsidR="00B67313" w:rsidRDefault="00B67313" w:rsidP="006178EE">
      <w:pPr>
        <w:rPr>
          <w:lang w:eastAsia="x-none"/>
        </w:rPr>
      </w:pPr>
    </w:p>
    <w:p w14:paraId="0C23BAD4" w14:textId="7A05B0F5" w:rsidR="006178EE" w:rsidRPr="00A062EF" w:rsidRDefault="006178EE" w:rsidP="006178EE">
      <w:pPr>
        <w:rPr>
          <w:i/>
          <w:vanish/>
          <w:specVanish/>
        </w:rPr>
      </w:pPr>
      <w:bookmarkStart w:id="392" w:name="_Ref473891445"/>
      <w:bookmarkStart w:id="393" w:name="_Toc516053446"/>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22</w:t>
      </w:r>
      <w:r w:rsidR="00C506C7">
        <w:rPr>
          <w:noProof/>
        </w:rPr>
        <w:fldChar w:fldCharType="end"/>
      </w:r>
      <w:bookmarkEnd w:id="392"/>
      <w:r>
        <w:t xml:space="preserve">. </w:t>
      </w:r>
      <w:r w:rsidRPr="006178EE">
        <w:rPr>
          <w:i/>
        </w:rPr>
        <w:t xml:space="preserve">List of data sources </w:t>
      </w:r>
      <w:r>
        <w:rPr>
          <w:i/>
        </w:rPr>
        <w:t>of</w:t>
      </w:r>
      <w:r w:rsidRPr="006178EE">
        <w:rPr>
          <w:i/>
        </w:rPr>
        <w:t xml:space="preserve"> </w:t>
      </w:r>
      <w:r>
        <w:rPr>
          <w:i/>
        </w:rPr>
        <w:t xml:space="preserve">seagrass and environmental condition indicators for </w:t>
      </w:r>
      <w:r w:rsidRPr="006178EE">
        <w:rPr>
          <w:i/>
        </w:rPr>
        <w:t>each seagrass habitat type in the Burdekin NRM region</w:t>
      </w:r>
      <w:r w:rsidRPr="00A062EF">
        <w:rPr>
          <w:i/>
        </w:rPr>
        <w:t>.</w:t>
      </w:r>
      <w:bookmarkEnd w:id="393"/>
    </w:p>
    <w:p w14:paraId="738076BD" w14:textId="5CD37135" w:rsidR="006178EE" w:rsidRPr="006178EE" w:rsidRDefault="006178EE" w:rsidP="006178EE">
      <w:pPr>
        <w:pStyle w:val="Caption"/>
        <w:rPr>
          <w:i/>
          <w:lang w:eastAsia="x-none"/>
        </w:rPr>
      </w:pPr>
      <w:r w:rsidRPr="00A062EF">
        <w:rPr>
          <w:i/>
        </w:rPr>
        <w:t xml:space="preserve"> </w:t>
      </w:r>
      <w:r w:rsidR="00B67313">
        <w:rPr>
          <w:i/>
        </w:rPr>
        <w:t>*Seagrass-Watch.</w:t>
      </w:r>
      <w:r w:rsidRPr="00A062EF">
        <w:rPr>
          <w:i/>
        </w:rPr>
        <w:t xml:space="preserve"> </w:t>
      </w:r>
      <w:r w:rsidRPr="006178EE">
        <w:rPr>
          <w:i/>
        </w:rPr>
        <w:t xml:space="preserve">For site details see </w:t>
      </w:r>
      <w:r w:rsidRPr="006178EE">
        <w:rPr>
          <w:i/>
        </w:rPr>
        <w:fldChar w:fldCharType="begin"/>
      </w:r>
      <w:r w:rsidRPr="006178EE">
        <w:rPr>
          <w:i/>
        </w:rPr>
        <w:instrText xml:space="preserve"> REF _Ref236539751 \h </w:instrText>
      </w:r>
      <w:r>
        <w:rPr>
          <w:i/>
        </w:rPr>
        <w:instrText xml:space="preserve"> \* MERGEFORMAT </w:instrText>
      </w:r>
      <w:r w:rsidRPr="006178EE">
        <w:rPr>
          <w:i/>
        </w:rPr>
      </w:r>
      <w:r w:rsidRPr="006178EE">
        <w:rPr>
          <w:i/>
        </w:rPr>
        <w:fldChar w:fldCharType="separate"/>
      </w:r>
      <w:r w:rsidR="00F87DF9" w:rsidRPr="00F87DF9">
        <w:rPr>
          <w:i/>
          <w:color w:val="000000"/>
          <w:szCs w:val="22"/>
        </w:rPr>
        <w:t xml:space="preserve">Table </w:t>
      </w:r>
      <w:r w:rsidR="00F87DF9" w:rsidRPr="00F87DF9">
        <w:rPr>
          <w:i/>
          <w:noProof/>
          <w:color w:val="000000"/>
          <w:szCs w:val="22"/>
        </w:rPr>
        <w:t>3</w:t>
      </w:r>
      <w:r w:rsidRPr="006178EE">
        <w:rPr>
          <w:i/>
        </w:rPr>
        <w:fldChar w:fldCharType="end"/>
      </w:r>
      <w:r w:rsidRPr="006178EE">
        <w:rPr>
          <w:i/>
        </w:rPr>
        <w:t xml:space="preserve"> and </w:t>
      </w:r>
      <w:r w:rsidRPr="006178EE">
        <w:rPr>
          <w:i/>
        </w:rPr>
        <w:fldChar w:fldCharType="begin"/>
      </w:r>
      <w:r w:rsidRPr="006178EE">
        <w:rPr>
          <w:i/>
        </w:rPr>
        <w:instrText xml:space="preserve"> REF _Ref461186562 \h </w:instrText>
      </w:r>
      <w:r>
        <w:rPr>
          <w:i/>
        </w:rPr>
        <w:instrText xml:space="preserve"> \* MERGEFORMAT </w:instrText>
      </w:r>
      <w:r w:rsidRPr="006178EE">
        <w:rPr>
          <w:i/>
        </w:rPr>
      </w:r>
      <w:r w:rsidRPr="006178EE">
        <w:rPr>
          <w:i/>
        </w:rPr>
        <w:fldChar w:fldCharType="separate"/>
      </w:r>
      <w:r w:rsidR="00F87DF9" w:rsidRPr="00F87DF9">
        <w:rPr>
          <w:i/>
          <w:color w:val="000000"/>
          <w:szCs w:val="22"/>
        </w:rPr>
        <w:t xml:space="preserve">Table </w:t>
      </w:r>
      <w:r w:rsidR="00F87DF9" w:rsidRPr="00F87DF9">
        <w:rPr>
          <w:i/>
          <w:noProof/>
          <w:color w:val="000000"/>
          <w:szCs w:val="22"/>
        </w:rPr>
        <w:t>4</w:t>
      </w:r>
      <w:r w:rsidRPr="006178EE">
        <w:rPr>
          <w:i/>
        </w:rPr>
        <w:fldChar w:fldCharType="end"/>
      </w:r>
      <w:r w:rsidRPr="006178EE">
        <w:rPr>
          <w:i/>
        </w:rPr>
        <w:t>.</w:t>
      </w:r>
      <w:r w:rsidR="006E47B4" w:rsidRPr="006E47B4">
        <w:rPr>
          <w:color w:val="000000"/>
          <w:szCs w:val="22"/>
          <w:vertAlign w:val="superscript"/>
        </w:rPr>
        <w:t xml:space="preserve"> </w:t>
      </w:r>
    </w:p>
    <w:tbl>
      <w:tblP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1"/>
        <w:gridCol w:w="674"/>
        <w:gridCol w:w="3576"/>
        <w:gridCol w:w="467"/>
        <w:gridCol w:w="467"/>
        <w:gridCol w:w="467"/>
        <w:gridCol w:w="467"/>
        <w:gridCol w:w="467"/>
        <w:gridCol w:w="467"/>
        <w:gridCol w:w="467"/>
        <w:gridCol w:w="467"/>
      </w:tblGrid>
      <w:tr w:rsidR="006178EE" w:rsidRPr="00844AC3" w14:paraId="70F1713D" w14:textId="77777777" w:rsidTr="00844AC3">
        <w:trPr>
          <w:cantSplit/>
          <w:trHeight w:val="2345"/>
          <w:jc w:val="center"/>
        </w:trPr>
        <w:tc>
          <w:tcPr>
            <w:tcW w:w="1681" w:type="dxa"/>
            <w:shd w:val="clear" w:color="auto" w:fill="BBE0E3"/>
            <w:vAlign w:val="center"/>
          </w:tcPr>
          <w:p w14:paraId="1298D368" w14:textId="77777777" w:rsidR="006178EE" w:rsidRPr="00844AC3" w:rsidRDefault="006178EE" w:rsidP="00C36ADD">
            <w:pPr>
              <w:spacing w:before="0" w:after="0"/>
              <w:jc w:val="center"/>
              <w:rPr>
                <w:rFonts w:cs="Arial"/>
                <w:b/>
                <w:bCs/>
                <w:color w:val="000000"/>
                <w:sz w:val="20"/>
                <w:szCs w:val="20"/>
              </w:rPr>
            </w:pPr>
            <w:r w:rsidRPr="00844AC3">
              <w:rPr>
                <w:rFonts w:cs="Arial"/>
                <w:b/>
                <w:bCs/>
                <w:color w:val="000000"/>
                <w:sz w:val="20"/>
                <w:szCs w:val="20"/>
              </w:rPr>
              <w:t>Habitat</w:t>
            </w:r>
          </w:p>
        </w:tc>
        <w:tc>
          <w:tcPr>
            <w:tcW w:w="4250" w:type="dxa"/>
            <w:gridSpan w:val="2"/>
            <w:shd w:val="clear" w:color="auto" w:fill="BBE0E3"/>
            <w:noWrap/>
            <w:vAlign w:val="center"/>
          </w:tcPr>
          <w:p w14:paraId="15E235F6" w14:textId="77777777" w:rsidR="006178EE" w:rsidRPr="00844AC3" w:rsidRDefault="006178EE" w:rsidP="00C36ADD">
            <w:pPr>
              <w:spacing w:before="0" w:after="0"/>
              <w:jc w:val="center"/>
              <w:rPr>
                <w:rFonts w:cs="Arial"/>
                <w:b/>
                <w:bCs/>
                <w:color w:val="000000"/>
                <w:sz w:val="20"/>
                <w:szCs w:val="20"/>
              </w:rPr>
            </w:pPr>
            <w:r w:rsidRPr="00844AC3">
              <w:rPr>
                <w:rFonts w:cs="Arial"/>
                <w:b/>
                <w:bCs/>
                <w:color w:val="000000"/>
                <w:sz w:val="20"/>
                <w:szCs w:val="20"/>
              </w:rPr>
              <w:t>Site</w:t>
            </w:r>
          </w:p>
          <w:p w14:paraId="0BF308D6" w14:textId="51A181F7" w:rsidR="006178EE" w:rsidRPr="00844AC3" w:rsidRDefault="006178EE" w:rsidP="00C36ADD">
            <w:pPr>
              <w:spacing w:before="0" w:after="0"/>
              <w:jc w:val="center"/>
              <w:rPr>
                <w:rFonts w:cs="Arial"/>
                <w:b/>
                <w:bCs/>
                <w:color w:val="000000"/>
                <w:sz w:val="20"/>
                <w:szCs w:val="20"/>
              </w:rPr>
            </w:pPr>
            <w:r w:rsidRPr="00844AC3">
              <w:rPr>
                <w:rFonts w:cs="Arial"/>
                <w:b/>
                <w:bCs/>
                <w:color w:val="000000"/>
                <w:sz w:val="20"/>
                <w:szCs w:val="20"/>
              </w:rPr>
              <w:t>code and location</w:t>
            </w:r>
          </w:p>
        </w:tc>
        <w:tc>
          <w:tcPr>
            <w:tcW w:w="467" w:type="dxa"/>
            <w:shd w:val="clear" w:color="auto" w:fill="BBE0E3"/>
            <w:textDirection w:val="btLr"/>
            <w:vAlign w:val="center"/>
          </w:tcPr>
          <w:p w14:paraId="05A6BB3C" w14:textId="1EB00670"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Seagrass abundance</w:t>
            </w:r>
          </w:p>
        </w:tc>
        <w:tc>
          <w:tcPr>
            <w:tcW w:w="467" w:type="dxa"/>
            <w:shd w:val="clear" w:color="auto" w:fill="BBE0E3"/>
            <w:textDirection w:val="btLr"/>
            <w:vAlign w:val="center"/>
          </w:tcPr>
          <w:p w14:paraId="686996D4" w14:textId="2CB845BC"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 xml:space="preserve">Seagrass composition </w:t>
            </w:r>
          </w:p>
        </w:tc>
        <w:tc>
          <w:tcPr>
            <w:tcW w:w="467" w:type="dxa"/>
            <w:shd w:val="clear" w:color="auto" w:fill="BBE0E3"/>
            <w:textDirection w:val="btLr"/>
            <w:vAlign w:val="center"/>
          </w:tcPr>
          <w:p w14:paraId="35CC3F66" w14:textId="345803BB"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Seagrass distribution</w:t>
            </w:r>
          </w:p>
        </w:tc>
        <w:tc>
          <w:tcPr>
            <w:tcW w:w="467" w:type="dxa"/>
            <w:shd w:val="clear" w:color="auto" w:fill="BBE0E3"/>
            <w:textDirection w:val="btLr"/>
            <w:vAlign w:val="center"/>
          </w:tcPr>
          <w:p w14:paraId="77A8F39C" w14:textId="77777777"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Reproductive effort</w:t>
            </w:r>
          </w:p>
        </w:tc>
        <w:tc>
          <w:tcPr>
            <w:tcW w:w="467" w:type="dxa"/>
            <w:shd w:val="clear" w:color="auto" w:fill="BBE0E3"/>
            <w:textDirection w:val="btLr"/>
            <w:vAlign w:val="center"/>
          </w:tcPr>
          <w:p w14:paraId="2796936C" w14:textId="77777777"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seed banks</w:t>
            </w:r>
          </w:p>
        </w:tc>
        <w:tc>
          <w:tcPr>
            <w:tcW w:w="467" w:type="dxa"/>
            <w:shd w:val="clear" w:color="auto" w:fill="BBE0E3"/>
            <w:textDirection w:val="btLr"/>
            <w:vAlign w:val="center"/>
          </w:tcPr>
          <w:p w14:paraId="56A25180" w14:textId="77777777"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Leaf tissue nutrients</w:t>
            </w:r>
          </w:p>
        </w:tc>
        <w:tc>
          <w:tcPr>
            <w:tcW w:w="467" w:type="dxa"/>
            <w:shd w:val="clear" w:color="auto" w:fill="BBE0E3"/>
            <w:textDirection w:val="btLr"/>
            <w:vAlign w:val="center"/>
          </w:tcPr>
          <w:p w14:paraId="2C1D8F57" w14:textId="77777777"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Meadow sediments</w:t>
            </w:r>
          </w:p>
        </w:tc>
        <w:tc>
          <w:tcPr>
            <w:tcW w:w="467" w:type="dxa"/>
            <w:shd w:val="clear" w:color="auto" w:fill="BBE0E3"/>
            <w:textDirection w:val="btLr"/>
            <w:vAlign w:val="center"/>
          </w:tcPr>
          <w:p w14:paraId="0510CF68" w14:textId="77777777" w:rsidR="006178EE" w:rsidRPr="00844AC3" w:rsidRDefault="006178EE" w:rsidP="00C36ADD">
            <w:pPr>
              <w:spacing w:before="0" w:after="0"/>
              <w:ind w:left="113" w:right="113"/>
              <w:rPr>
                <w:rFonts w:cs="Arial"/>
                <w:b/>
                <w:bCs/>
                <w:color w:val="000000"/>
                <w:sz w:val="20"/>
                <w:szCs w:val="20"/>
              </w:rPr>
            </w:pPr>
            <w:r w:rsidRPr="00844AC3">
              <w:rPr>
                <w:rFonts w:cs="Arial"/>
                <w:b/>
                <w:bCs/>
                <w:color w:val="000000"/>
                <w:sz w:val="20"/>
                <w:szCs w:val="20"/>
              </w:rPr>
              <w:t>Epiphytes &amp; macroalgae</w:t>
            </w:r>
          </w:p>
        </w:tc>
      </w:tr>
      <w:tr w:rsidR="006178EE" w:rsidRPr="00015190" w14:paraId="78877235" w14:textId="77777777" w:rsidTr="00844AC3">
        <w:trPr>
          <w:trHeight w:val="170"/>
          <w:jc w:val="center"/>
        </w:trPr>
        <w:tc>
          <w:tcPr>
            <w:tcW w:w="1681" w:type="dxa"/>
            <w:vMerge w:val="restart"/>
            <w:shd w:val="clear" w:color="auto" w:fill="E7F3F4"/>
            <w:vAlign w:val="center"/>
          </w:tcPr>
          <w:p w14:paraId="799234A8" w14:textId="77777777" w:rsidR="006178EE" w:rsidRPr="00844AC3" w:rsidRDefault="006178EE" w:rsidP="00C36ADD">
            <w:pPr>
              <w:spacing w:before="0" w:after="0"/>
              <w:jc w:val="center"/>
              <w:rPr>
                <w:color w:val="000000"/>
                <w:sz w:val="20"/>
                <w:szCs w:val="20"/>
              </w:rPr>
            </w:pPr>
            <w:r w:rsidRPr="00844AC3">
              <w:rPr>
                <w:color w:val="000000"/>
                <w:sz w:val="20"/>
                <w:szCs w:val="20"/>
              </w:rPr>
              <w:t>coastal intertidal</w:t>
            </w:r>
          </w:p>
        </w:tc>
        <w:tc>
          <w:tcPr>
            <w:tcW w:w="674" w:type="dxa"/>
            <w:shd w:val="clear" w:color="auto" w:fill="E7F3F4"/>
            <w:noWrap/>
            <w:vAlign w:val="center"/>
          </w:tcPr>
          <w:p w14:paraId="78FB08D7" w14:textId="77777777" w:rsidR="006178EE" w:rsidRPr="00844AC3" w:rsidRDefault="006178EE" w:rsidP="00C36ADD">
            <w:pPr>
              <w:spacing w:before="0" w:after="0"/>
              <w:jc w:val="center"/>
              <w:rPr>
                <w:color w:val="000000"/>
                <w:sz w:val="20"/>
                <w:szCs w:val="20"/>
              </w:rPr>
            </w:pPr>
            <w:r w:rsidRPr="00844AC3">
              <w:rPr>
                <w:color w:val="000000"/>
                <w:sz w:val="20"/>
                <w:szCs w:val="20"/>
              </w:rPr>
              <w:t>SB1</w:t>
            </w:r>
          </w:p>
        </w:tc>
        <w:tc>
          <w:tcPr>
            <w:tcW w:w="3576" w:type="dxa"/>
            <w:shd w:val="clear" w:color="auto" w:fill="E7F3F4"/>
            <w:noWrap/>
            <w:vAlign w:val="center"/>
          </w:tcPr>
          <w:p w14:paraId="518F0B07" w14:textId="77777777" w:rsidR="006178EE" w:rsidRPr="00844AC3" w:rsidRDefault="006178EE" w:rsidP="00C36ADD">
            <w:pPr>
              <w:spacing w:before="0" w:after="0"/>
              <w:jc w:val="center"/>
              <w:rPr>
                <w:color w:val="000000"/>
                <w:sz w:val="20"/>
                <w:szCs w:val="20"/>
              </w:rPr>
            </w:pPr>
            <w:r w:rsidRPr="00844AC3">
              <w:rPr>
                <w:color w:val="000000"/>
                <w:sz w:val="20"/>
                <w:szCs w:val="20"/>
              </w:rPr>
              <w:t>Shelley Beach (Townsville)</w:t>
            </w:r>
          </w:p>
        </w:tc>
        <w:tc>
          <w:tcPr>
            <w:tcW w:w="467" w:type="dxa"/>
            <w:shd w:val="clear" w:color="auto" w:fill="E7F3F4"/>
            <w:vAlign w:val="center"/>
          </w:tcPr>
          <w:p w14:paraId="77A6ED2C" w14:textId="77777777" w:rsidR="006178EE" w:rsidRPr="00F45F13" w:rsidRDefault="006178EE"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tcPr>
          <w:p w14:paraId="59E5A4D3"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9F10599" w14:textId="77777777" w:rsidR="006178EE" w:rsidRPr="00F45F13" w:rsidRDefault="006178EE"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tcPr>
          <w:p w14:paraId="0E709B59" w14:textId="77777777" w:rsidR="006178EE" w:rsidRPr="00F45F13" w:rsidRDefault="006178EE"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tcPr>
          <w:p w14:paraId="110453DE"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E121767"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4718CD9E"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D95025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6204E291" w14:textId="77777777" w:rsidTr="00844AC3">
        <w:trPr>
          <w:trHeight w:val="170"/>
          <w:jc w:val="center"/>
        </w:trPr>
        <w:tc>
          <w:tcPr>
            <w:tcW w:w="1681" w:type="dxa"/>
            <w:vMerge/>
            <w:shd w:val="clear" w:color="auto" w:fill="E7F3F4"/>
            <w:vAlign w:val="center"/>
          </w:tcPr>
          <w:p w14:paraId="7F355AB4" w14:textId="77777777" w:rsidR="006178EE" w:rsidRPr="00844AC3" w:rsidRDefault="006178EE" w:rsidP="00C36ADD">
            <w:pPr>
              <w:spacing w:before="0" w:after="0"/>
              <w:jc w:val="center"/>
              <w:rPr>
                <w:color w:val="000000"/>
                <w:sz w:val="20"/>
                <w:szCs w:val="20"/>
              </w:rPr>
            </w:pPr>
          </w:p>
        </w:tc>
        <w:tc>
          <w:tcPr>
            <w:tcW w:w="674" w:type="dxa"/>
            <w:shd w:val="clear" w:color="auto" w:fill="E7F3F4"/>
            <w:noWrap/>
            <w:vAlign w:val="center"/>
          </w:tcPr>
          <w:p w14:paraId="3CE5AA8B" w14:textId="43CBD7C3" w:rsidR="006178EE" w:rsidRPr="00844AC3" w:rsidRDefault="006178EE" w:rsidP="00C36ADD">
            <w:pPr>
              <w:spacing w:before="0" w:after="0"/>
              <w:jc w:val="center"/>
              <w:rPr>
                <w:color w:val="000000"/>
                <w:sz w:val="20"/>
                <w:szCs w:val="20"/>
              </w:rPr>
            </w:pPr>
            <w:r w:rsidRPr="00844AC3">
              <w:rPr>
                <w:color w:val="000000"/>
                <w:sz w:val="20"/>
                <w:szCs w:val="20"/>
              </w:rPr>
              <w:t>SB2</w:t>
            </w:r>
            <w:r w:rsidR="00B67313">
              <w:rPr>
                <w:color w:val="000000"/>
                <w:sz w:val="20"/>
                <w:szCs w:val="20"/>
              </w:rPr>
              <w:t>*</w:t>
            </w:r>
          </w:p>
        </w:tc>
        <w:tc>
          <w:tcPr>
            <w:tcW w:w="3576" w:type="dxa"/>
            <w:shd w:val="clear" w:color="auto" w:fill="E7F3F4"/>
            <w:noWrap/>
            <w:vAlign w:val="center"/>
          </w:tcPr>
          <w:p w14:paraId="51CC79C6" w14:textId="77777777" w:rsidR="006178EE" w:rsidRPr="00844AC3" w:rsidRDefault="006178EE" w:rsidP="00C36ADD">
            <w:pPr>
              <w:spacing w:before="0" w:after="0"/>
              <w:jc w:val="center"/>
              <w:rPr>
                <w:color w:val="000000"/>
                <w:sz w:val="20"/>
                <w:szCs w:val="20"/>
              </w:rPr>
            </w:pPr>
            <w:r w:rsidRPr="00844AC3">
              <w:rPr>
                <w:color w:val="000000"/>
                <w:sz w:val="20"/>
                <w:szCs w:val="20"/>
              </w:rPr>
              <w:t>Shelley Beach (Townsville)</w:t>
            </w:r>
          </w:p>
        </w:tc>
        <w:tc>
          <w:tcPr>
            <w:tcW w:w="467" w:type="dxa"/>
            <w:shd w:val="clear" w:color="auto" w:fill="E7F3F4"/>
          </w:tcPr>
          <w:p w14:paraId="2C68949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431A5C9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56016D4" w14:textId="77777777" w:rsidR="006178EE" w:rsidRPr="00F45F13" w:rsidRDefault="006178EE" w:rsidP="00C36ADD">
            <w:pPr>
              <w:spacing w:before="0" w:after="0"/>
              <w:jc w:val="center"/>
              <w:rPr>
                <w:color w:val="000000"/>
                <w:sz w:val="16"/>
                <w:szCs w:val="16"/>
              </w:rPr>
            </w:pPr>
          </w:p>
        </w:tc>
        <w:tc>
          <w:tcPr>
            <w:tcW w:w="467" w:type="dxa"/>
            <w:shd w:val="clear" w:color="auto" w:fill="E7F3F4"/>
          </w:tcPr>
          <w:p w14:paraId="32589F67" w14:textId="77777777" w:rsidR="006178EE" w:rsidRPr="00F45F13" w:rsidRDefault="006178EE" w:rsidP="00C36ADD">
            <w:pPr>
              <w:spacing w:before="0" w:after="0"/>
              <w:jc w:val="center"/>
              <w:rPr>
                <w:color w:val="000000"/>
                <w:sz w:val="16"/>
                <w:szCs w:val="16"/>
              </w:rPr>
            </w:pPr>
          </w:p>
        </w:tc>
        <w:tc>
          <w:tcPr>
            <w:tcW w:w="467" w:type="dxa"/>
            <w:shd w:val="clear" w:color="auto" w:fill="E7F3F4"/>
          </w:tcPr>
          <w:p w14:paraId="0CE80AD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3CF4741B" w14:textId="77777777" w:rsidR="006178EE" w:rsidRDefault="006178EE" w:rsidP="00C36ADD">
            <w:pPr>
              <w:spacing w:before="0" w:after="0"/>
              <w:jc w:val="center"/>
              <w:rPr>
                <w:color w:val="000000"/>
                <w:sz w:val="14"/>
                <w:szCs w:val="14"/>
              </w:rPr>
            </w:pPr>
          </w:p>
        </w:tc>
        <w:tc>
          <w:tcPr>
            <w:tcW w:w="467" w:type="dxa"/>
            <w:shd w:val="clear" w:color="auto" w:fill="E7F3F4"/>
          </w:tcPr>
          <w:p w14:paraId="09170AC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4051509"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126941D0" w14:textId="77777777" w:rsidTr="00844AC3">
        <w:trPr>
          <w:trHeight w:val="170"/>
          <w:jc w:val="center"/>
        </w:trPr>
        <w:tc>
          <w:tcPr>
            <w:tcW w:w="1681" w:type="dxa"/>
            <w:vMerge/>
            <w:shd w:val="clear" w:color="auto" w:fill="E7F3F4"/>
            <w:vAlign w:val="center"/>
          </w:tcPr>
          <w:p w14:paraId="7074CEE2" w14:textId="77777777" w:rsidR="006178EE" w:rsidRPr="00844AC3" w:rsidRDefault="006178EE" w:rsidP="00C36ADD">
            <w:pPr>
              <w:spacing w:before="0" w:after="0"/>
              <w:jc w:val="center"/>
              <w:rPr>
                <w:color w:val="000000"/>
                <w:sz w:val="20"/>
                <w:szCs w:val="20"/>
              </w:rPr>
            </w:pPr>
          </w:p>
        </w:tc>
        <w:tc>
          <w:tcPr>
            <w:tcW w:w="674" w:type="dxa"/>
            <w:shd w:val="clear" w:color="auto" w:fill="E7F3F4"/>
            <w:noWrap/>
            <w:vAlign w:val="center"/>
          </w:tcPr>
          <w:p w14:paraId="4C3197C1" w14:textId="77777777" w:rsidR="006178EE" w:rsidRPr="00844AC3" w:rsidRDefault="006178EE" w:rsidP="00C36ADD">
            <w:pPr>
              <w:spacing w:before="0" w:after="0"/>
              <w:jc w:val="center"/>
              <w:rPr>
                <w:color w:val="000000"/>
                <w:sz w:val="20"/>
                <w:szCs w:val="20"/>
              </w:rPr>
            </w:pPr>
            <w:r w:rsidRPr="00844AC3">
              <w:rPr>
                <w:color w:val="000000"/>
                <w:sz w:val="20"/>
                <w:szCs w:val="20"/>
              </w:rPr>
              <w:t>BB1</w:t>
            </w:r>
          </w:p>
        </w:tc>
        <w:tc>
          <w:tcPr>
            <w:tcW w:w="3576" w:type="dxa"/>
            <w:shd w:val="clear" w:color="auto" w:fill="E7F3F4"/>
            <w:noWrap/>
            <w:vAlign w:val="center"/>
          </w:tcPr>
          <w:p w14:paraId="2597B76F" w14:textId="77777777" w:rsidR="006178EE" w:rsidRPr="00844AC3" w:rsidRDefault="006178EE" w:rsidP="00C36ADD">
            <w:pPr>
              <w:spacing w:before="0" w:after="0"/>
              <w:jc w:val="center"/>
              <w:rPr>
                <w:color w:val="000000"/>
                <w:sz w:val="20"/>
                <w:szCs w:val="20"/>
              </w:rPr>
            </w:pPr>
            <w:r w:rsidRPr="00844AC3">
              <w:rPr>
                <w:color w:val="000000"/>
                <w:sz w:val="20"/>
                <w:szCs w:val="20"/>
              </w:rPr>
              <w:t>Bushland Beach (Townsville)</w:t>
            </w:r>
          </w:p>
        </w:tc>
        <w:tc>
          <w:tcPr>
            <w:tcW w:w="467" w:type="dxa"/>
            <w:shd w:val="clear" w:color="auto" w:fill="E7F3F4"/>
          </w:tcPr>
          <w:p w14:paraId="4864DB84"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04627A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E6BFD31"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FDD449A"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369D8EE7"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5800E48"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CB0BC3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332796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3282D4B0" w14:textId="77777777" w:rsidTr="00844AC3">
        <w:trPr>
          <w:trHeight w:val="170"/>
          <w:jc w:val="center"/>
        </w:trPr>
        <w:tc>
          <w:tcPr>
            <w:tcW w:w="1681" w:type="dxa"/>
            <w:vMerge/>
            <w:shd w:val="clear" w:color="auto" w:fill="E7F3F4"/>
            <w:vAlign w:val="center"/>
          </w:tcPr>
          <w:p w14:paraId="6B0E7BA9" w14:textId="77777777" w:rsidR="006178EE" w:rsidRPr="00844AC3" w:rsidRDefault="006178EE" w:rsidP="00C36ADD">
            <w:pPr>
              <w:spacing w:before="0" w:after="0"/>
              <w:jc w:val="center"/>
              <w:rPr>
                <w:color w:val="000000"/>
                <w:sz w:val="20"/>
                <w:szCs w:val="20"/>
              </w:rPr>
            </w:pPr>
          </w:p>
        </w:tc>
        <w:tc>
          <w:tcPr>
            <w:tcW w:w="674" w:type="dxa"/>
            <w:shd w:val="clear" w:color="auto" w:fill="E7F3F4"/>
            <w:noWrap/>
            <w:vAlign w:val="center"/>
          </w:tcPr>
          <w:p w14:paraId="25AAFDF4" w14:textId="77777777" w:rsidR="006178EE" w:rsidRPr="00844AC3" w:rsidRDefault="006178EE" w:rsidP="00C36ADD">
            <w:pPr>
              <w:spacing w:before="0" w:after="0"/>
              <w:jc w:val="center"/>
              <w:rPr>
                <w:color w:val="000000"/>
                <w:sz w:val="20"/>
                <w:szCs w:val="20"/>
              </w:rPr>
            </w:pPr>
            <w:r w:rsidRPr="00844AC3">
              <w:rPr>
                <w:color w:val="000000"/>
                <w:sz w:val="20"/>
                <w:szCs w:val="20"/>
              </w:rPr>
              <w:t>JR1</w:t>
            </w:r>
          </w:p>
        </w:tc>
        <w:tc>
          <w:tcPr>
            <w:tcW w:w="3576" w:type="dxa"/>
            <w:shd w:val="clear" w:color="auto" w:fill="E7F3F4"/>
            <w:noWrap/>
            <w:vAlign w:val="center"/>
          </w:tcPr>
          <w:p w14:paraId="2BDD4159" w14:textId="77777777" w:rsidR="006178EE" w:rsidRPr="00844AC3" w:rsidRDefault="006178EE" w:rsidP="00C36ADD">
            <w:pPr>
              <w:spacing w:before="0" w:after="0"/>
              <w:jc w:val="center"/>
              <w:rPr>
                <w:color w:val="000000"/>
                <w:sz w:val="20"/>
                <w:szCs w:val="20"/>
              </w:rPr>
            </w:pPr>
            <w:r w:rsidRPr="00844AC3">
              <w:rPr>
                <w:color w:val="000000"/>
                <w:sz w:val="20"/>
                <w:szCs w:val="20"/>
              </w:rPr>
              <w:t>Jerona (Barratta CK, Bowling Green Bay)</w:t>
            </w:r>
          </w:p>
        </w:tc>
        <w:tc>
          <w:tcPr>
            <w:tcW w:w="467" w:type="dxa"/>
            <w:shd w:val="clear" w:color="auto" w:fill="E7F3F4"/>
          </w:tcPr>
          <w:p w14:paraId="6220C6A7"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E71CDE9"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EF523F0"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D705BD1"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A7F5285"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18D79E1"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3B89841B"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59DD1B5"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0A2387DE" w14:textId="77777777" w:rsidTr="00844AC3">
        <w:trPr>
          <w:trHeight w:val="170"/>
          <w:jc w:val="center"/>
        </w:trPr>
        <w:tc>
          <w:tcPr>
            <w:tcW w:w="1681" w:type="dxa"/>
            <w:vMerge/>
            <w:shd w:val="clear" w:color="auto" w:fill="E7F3F4"/>
            <w:vAlign w:val="center"/>
          </w:tcPr>
          <w:p w14:paraId="602625CC" w14:textId="77777777" w:rsidR="006178EE" w:rsidRPr="00844AC3" w:rsidRDefault="006178EE" w:rsidP="00C36ADD">
            <w:pPr>
              <w:spacing w:before="0" w:after="0"/>
              <w:jc w:val="center"/>
              <w:rPr>
                <w:color w:val="000000"/>
                <w:sz w:val="20"/>
                <w:szCs w:val="20"/>
              </w:rPr>
            </w:pPr>
          </w:p>
        </w:tc>
        <w:tc>
          <w:tcPr>
            <w:tcW w:w="674" w:type="dxa"/>
            <w:shd w:val="clear" w:color="auto" w:fill="E7F3F4"/>
            <w:noWrap/>
            <w:vAlign w:val="center"/>
          </w:tcPr>
          <w:p w14:paraId="3284F65A" w14:textId="77777777" w:rsidR="006178EE" w:rsidRPr="00844AC3" w:rsidRDefault="006178EE" w:rsidP="00C36ADD">
            <w:pPr>
              <w:spacing w:before="0" w:after="0"/>
              <w:jc w:val="center"/>
              <w:rPr>
                <w:color w:val="000000"/>
                <w:sz w:val="20"/>
                <w:szCs w:val="20"/>
              </w:rPr>
            </w:pPr>
            <w:r w:rsidRPr="00844AC3">
              <w:rPr>
                <w:color w:val="000000"/>
                <w:sz w:val="20"/>
                <w:szCs w:val="20"/>
              </w:rPr>
              <w:t>JR2</w:t>
            </w:r>
          </w:p>
        </w:tc>
        <w:tc>
          <w:tcPr>
            <w:tcW w:w="3576" w:type="dxa"/>
            <w:shd w:val="clear" w:color="auto" w:fill="E7F3F4"/>
            <w:noWrap/>
            <w:vAlign w:val="center"/>
          </w:tcPr>
          <w:p w14:paraId="31EB9C1C" w14:textId="77777777" w:rsidR="006178EE" w:rsidRPr="00844AC3" w:rsidRDefault="006178EE" w:rsidP="00C36ADD">
            <w:pPr>
              <w:spacing w:before="0" w:after="0"/>
              <w:jc w:val="center"/>
              <w:rPr>
                <w:color w:val="000000"/>
                <w:sz w:val="20"/>
                <w:szCs w:val="20"/>
              </w:rPr>
            </w:pPr>
            <w:r w:rsidRPr="00844AC3">
              <w:rPr>
                <w:color w:val="000000"/>
                <w:sz w:val="20"/>
                <w:szCs w:val="20"/>
              </w:rPr>
              <w:t>Jerona (Barratta CK, Bowling Green Bay)</w:t>
            </w:r>
          </w:p>
        </w:tc>
        <w:tc>
          <w:tcPr>
            <w:tcW w:w="467" w:type="dxa"/>
            <w:shd w:val="clear" w:color="auto" w:fill="E7F3F4"/>
          </w:tcPr>
          <w:p w14:paraId="36D0A79A"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DBA9915"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A8FA82C"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4338F6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911402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5D6FB00"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4367F8F4"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6C68D33"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57153B60" w14:textId="77777777" w:rsidTr="00844AC3">
        <w:trPr>
          <w:trHeight w:val="170"/>
          <w:jc w:val="center"/>
        </w:trPr>
        <w:tc>
          <w:tcPr>
            <w:tcW w:w="1681" w:type="dxa"/>
            <w:vMerge w:val="restart"/>
            <w:shd w:val="clear" w:color="auto" w:fill="F3F9FA"/>
            <w:vAlign w:val="center"/>
          </w:tcPr>
          <w:p w14:paraId="101FF4D1" w14:textId="77777777" w:rsidR="006178EE" w:rsidRPr="00844AC3" w:rsidRDefault="006178EE" w:rsidP="00C36ADD">
            <w:pPr>
              <w:spacing w:before="0" w:after="0"/>
              <w:jc w:val="center"/>
              <w:rPr>
                <w:color w:val="000000"/>
                <w:sz w:val="20"/>
                <w:szCs w:val="20"/>
              </w:rPr>
            </w:pPr>
            <w:r w:rsidRPr="00844AC3">
              <w:rPr>
                <w:color w:val="000000"/>
                <w:sz w:val="20"/>
                <w:szCs w:val="20"/>
              </w:rPr>
              <w:t>reef intertidal</w:t>
            </w:r>
          </w:p>
        </w:tc>
        <w:tc>
          <w:tcPr>
            <w:tcW w:w="674" w:type="dxa"/>
            <w:shd w:val="clear" w:color="auto" w:fill="F3F9FA"/>
            <w:noWrap/>
            <w:vAlign w:val="center"/>
          </w:tcPr>
          <w:p w14:paraId="34FFAD00" w14:textId="77777777" w:rsidR="006178EE" w:rsidRPr="00844AC3" w:rsidRDefault="006178EE" w:rsidP="00C36ADD">
            <w:pPr>
              <w:spacing w:before="0" w:after="0"/>
              <w:jc w:val="center"/>
              <w:rPr>
                <w:color w:val="000000"/>
                <w:sz w:val="20"/>
                <w:szCs w:val="20"/>
              </w:rPr>
            </w:pPr>
            <w:r w:rsidRPr="00844AC3">
              <w:rPr>
                <w:color w:val="000000"/>
                <w:sz w:val="20"/>
                <w:szCs w:val="20"/>
              </w:rPr>
              <w:t>MI1</w:t>
            </w:r>
          </w:p>
        </w:tc>
        <w:tc>
          <w:tcPr>
            <w:tcW w:w="3576" w:type="dxa"/>
            <w:shd w:val="clear" w:color="auto" w:fill="F3F9FA"/>
            <w:noWrap/>
            <w:vAlign w:val="center"/>
          </w:tcPr>
          <w:p w14:paraId="4F9C9FE2" w14:textId="77777777" w:rsidR="006178EE" w:rsidRPr="00844AC3" w:rsidRDefault="006178EE" w:rsidP="00C36ADD">
            <w:pPr>
              <w:spacing w:before="0" w:after="0"/>
              <w:jc w:val="center"/>
              <w:rPr>
                <w:color w:val="000000"/>
                <w:sz w:val="20"/>
                <w:szCs w:val="20"/>
              </w:rPr>
            </w:pPr>
            <w:r w:rsidRPr="00844AC3">
              <w:rPr>
                <w:color w:val="000000"/>
                <w:sz w:val="20"/>
                <w:szCs w:val="20"/>
              </w:rPr>
              <w:t>Picnic Bay (Magnetic Island)</w:t>
            </w:r>
          </w:p>
        </w:tc>
        <w:tc>
          <w:tcPr>
            <w:tcW w:w="467" w:type="dxa"/>
            <w:shd w:val="clear" w:color="auto" w:fill="F3F9FA"/>
          </w:tcPr>
          <w:p w14:paraId="46AE747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2DB80C59"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08BE6E81"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0CA1F8D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3CD54AB8"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5DA0482A"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68FD4C7F"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586C8ACA"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14BD0B94" w14:textId="77777777" w:rsidTr="00844AC3">
        <w:trPr>
          <w:trHeight w:val="170"/>
          <w:jc w:val="center"/>
        </w:trPr>
        <w:tc>
          <w:tcPr>
            <w:tcW w:w="1681" w:type="dxa"/>
            <w:vMerge/>
            <w:shd w:val="clear" w:color="auto" w:fill="F3F9FA"/>
            <w:vAlign w:val="center"/>
          </w:tcPr>
          <w:p w14:paraId="6493C377" w14:textId="77777777" w:rsidR="006178EE" w:rsidRPr="00844AC3" w:rsidRDefault="006178EE" w:rsidP="00C36ADD">
            <w:pPr>
              <w:spacing w:before="0" w:after="0"/>
              <w:jc w:val="center"/>
              <w:rPr>
                <w:color w:val="000000"/>
                <w:sz w:val="20"/>
                <w:szCs w:val="20"/>
              </w:rPr>
            </w:pPr>
          </w:p>
        </w:tc>
        <w:tc>
          <w:tcPr>
            <w:tcW w:w="674" w:type="dxa"/>
            <w:shd w:val="clear" w:color="auto" w:fill="F3F9FA"/>
            <w:noWrap/>
            <w:vAlign w:val="center"/>
          </w:tcPr>
          <w:p w14:paraId="13BE9429" w14:textId="77777777" w:rsidR="006178EE" w:rsidRPr="00844AC3" w:rsidRDefault="006178EE" w:rsidP="00C36ADD">
            <w:pPr>
              <w:spacing w:before="0" w:after="0"/>
              <w:jc w:val="center"/>
              <w:rPr>
                <w:color w:val="000000"/>
                <w:sz w:val="20"/>
                <w:szCs w:val="20"/>
              </w:rPr>
            </w:pPr>
            <w:r w:rsidRPr="00844AC3">
              <w:rPr>
                <w:color w:val="000000"/>
                <w:sz w:val="20"/>
                <w:szCs w:val="20"/>
              </w:rPr>
              <w:t>MI2</w:t>
            </w:r>
          </w:p>
        </w:tc>
        <w:tc>
          <w:tcPr>
            <w:tcW w:w="3576" w:type="dxa"/>
            <w:shd w:val="clear" w:color="auto" w:fill="F3F9FA"/>
            <w:noWrap/>
            <w:vAlign w:val="center"/>
          </w:tcPr>
          <w:p w14:paraId="114699E7" w14:textId="77777777" w:rsidR="006178EE" w:rsidRPr="00844AC3" w:rsidRDefault="006178EE" w:rsidP="00C36ADD">
            <w:pPr>
              <w:spacing w:before="0" w:after="0"/>
              <w:jc w:val="center"/>
              <w:rPr>
                <w:color w:val="000000"/>
                <w:sz w:val="20"/>
                <w:szCs w:val="20"/>
              </w:rPr>
            </w:pPr>
            <w:r w:rsidRPr="00844AC3">
              <w:rPr>
                <w:color w:val="000000"/>
                <w:sz w:val="20"/>
                <w:szCs w:val="20"/>
              </w:rPr>
              <w:t>Cockle Bay (Magnetic Island)</w:t>
            </w:r>
          </w:p>
        </w:tc>
        <w:tc>
          <w:tcPr>
            <w:tcW w:w="467" w:type="dxa"/>
            <w:shd w:val="clear" w:color="auto" w:fill="F3F9FA"/>
          </w:tcPr>
          <w:p w14:paraId="5C8ADE73"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5684D012"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02F2AC4"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6C886E14"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8F3DD0B"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E73B880"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879E79B"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07B70EBD"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tr w:rsidR="006178EE" w:rsidRPr="00015190" w14:paraId="403628AB" w14:textId="77777777" w:rsidTr="00844AC3">
        <w:trPr>
          <w:trHeight w:val="170"/>
          <w:jc w:val="center"/>
        </w:trPr>
        <w:tc>
          <w:tcPr>
            <w:tcW w:w="1681" w:type="dxa"/>
            <w:shd w:val="clear" w:color="auto" w:fill="E7F3F4"/>
            <w:vAlign w:val="center"/>
          </w:tcPr>
          <w:p w14:paraId="3371F8F8" w14:textId="77777777" w:rsidR="006178EE" w:rsidRPr="00844AC3" w:rsidRDefault="006178EE" w:rsidP="00C36ADD">
            <w:pPr>
              <w:spacing w:before="0" w:after="0"/>
              <w:jc w:val="center"/>
              <w:rPr>
                <w:color w:val="000000"/>
                <w:sz w:val="20"/>
                <w:szCs w:val="20"/>
              </w:rPr>
            </w:pPr>
            <w:r w:rsidRPr="00844AC3">
              <w:rPr>
                <w:color w:val="000000"/>
                <w:sz w:val="20"/>
                <w:szCs w:val="20"/>
              </w:rPr>
              <w:t>reef subtidal</w:t>
            </w:r>
          </w:p>
        </w:tc>
        <w:tc>
          <w:tcPr>
            <w:tcW w:w="674" w:type="dxa"/>
            <w:shd w:val="clear" w:color="auto" w:fill="E7F3F4"/>
            <w:noWrap/>
            <w:vAlign w:val="center"/>
          </w:tcPr>
          <w:p w14:paraId="36691185" w14:textId="77777777" w:rsidR="006178EE" w:rsidRPr="00844AC3" w:rsidRDefault="006178EE" w:rsidP="00C36ADD">
            <w:pPr>
              <w:spacing w:before="0" w:after="0"/>
              <w:jc w:val="center"/>
              <w:rPr>
                <w:color w:val="000000"/>
                <w:sz w:val="20"/>
                <w:szCs w:val="20"/>
              </w:rPr>
            </w:pPr>
            <w:r w:rsidRPr="00844AC3">
              <w:rPr>
                <w:color w:val="000000"/>
                <w:sz w:val="20"/>
                <w:szCs w:val="20"/>
              </w:rPr>
              <w:t>MI3</w:t>
            </w:r>
          </w:p>
        </w:tc>
        <w:tc>
          <w:tcPr>
            <w:tcW w:w="3576" w:type="dxa"/>
            <w:shd w:val="clear" w:color="auto" w:fill="E7F3F4"/>
            <w:noWrap/>
            <w:vAlign w:val="center"/>
          </w:tcPr>
          <w:p w14:paraId="77D1E378" w14:textId="77777777" w:rsidR="006178EE" w:rsidRPr="00844AC3" w:rsidRDefault="006178EE" w:rsidP="00C36ADD">
            <w:pPr>
              <w:spacing w:before="0" w:after="0"/>
              <w:jc w:val="center"/>
              <w:rPr>
                <w:color w:val="000000"/>
                <w:sz w:val="20"/>
                <w:szCs w:val="20"/>
              </w:rPr>
            </w:pPr>
            <w:r w:rsidRPr="00844AC3">
              <w:rPr>
                <w:color w:val="000000"/>
                <w:sz w:val="20"/>
                <w:szCs w:val="20"/>
              </w:rPr>
              <w:t>Picnic Bay (Magnetic Island)</w:t>
            </w:r>
          </w:p>
        </w:tc>
        <w:tc>
          <w:tcPr>
            <w:tcW w:w="467" w:type="dxa"/>
            <w:shd w:val="clear" w:color="auto" w:fill="E7F3F4"/>
          </w:tcPr>
          <w:p w14:paraId="4A106FB9"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39AF33B"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A721546"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5A6D534"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C4DFD44"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6F9D739"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9C25E0D"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09F0958" w14:textId="77777777" w:rsidR="006178EE" w:rsidRDefault="006178EE" w:rsidP="00C36ADD">
            <w:pPr>
              <w:spacing w:before="0" w:after="0"/>
              <w:jc w:val="center"/>
              <w:rPr>
                <w:color w:val="000000"/>
                <w:sz w:val="14"/>
                <w:szCs w:val="14"/>
              </w:rPr>
            </w:pPr>
            <w:r w:rsidRPr="00F45F13">
              <w:rPr>
                <w:color w:val="000000"/>
                <w:sz w:val="16"/>
                <w:szCs w:val="16"/>
              </w:rPr>
              <w:sym w:font="Wingdings" w:char="F06E"/>
            </w:r>
          </w:p>
        </w:tc>
      </w:tr>
      <w:bookmarkEnd w:id="381"/>
    </w:tbl>
    <w:p w14:paraId="74C55CC3" w14:textId="77777777" w:rsidR="00B07352" w:rsidRPr="000A215B" w:rsidRDefault="00B07352" w:rsidP="000A215B">
      <w:pPr>
        <w:rPr>
          <w:lang w:eastAsia="x-none"/>
        </w:rPr>
      </w:pPr>
    </w:p>
    <w:p w14:paraId="2043D769" w14:textId="52848F63" w:rsidR="000205AF" w:rsidRPr="004F2236" w:rsidRDefault="00B07352" w:rsidP="004F2236">
      <w:pPr>
        <w:pStyle w:val="Heading4"/>
        <w:numPr>
          <w:ilvl w:val="0"/>
          <w:numId w:val="0"/>
        </w:numPr>
        <w:rPr>
          <w:rFonts w:ascii="Arial" w:hAnsi="Arial" w:cs="Arial"/>
          <w:sz w:val="24"/>
          <w:szCs w:val="24"/>
        </w:rPr>
      </w:pPr>
      <w:r>
        <w:rPr>
          <w:rFonts w:ascii="Arial" w:hAnsi="Arial" w:cs="Arial"/>
          <w:sz w:val="24"/>
          <w:szCs w:val="24"/>
        </w:rPr>
        <w:br w:type="column"/>
      </w:r>
      <w:r w:rsidR="000205AF" w:rsidRPr="004F2236">
        <w:rPr>
          <w:rFonts w:ascii="Arial" w:hAnsi="Arial" w:cs="Arial"/>
          <w:sz w:val="24"/>
          <w:szCs w:val="24"/>
        </w:rPr>
        <w:t>Seagrass abundance</w:t>
      </w:r>
      <w:r w:rsidR="000F45DC">
        <w:rPr>
          <w:rFonts w:ascii="Arial" w:hAnsi="Arial" w:cs="Arial"/>
          <w:sz w:val="24"/>
          <w:szCs w:val="24"/>
        </w:rPr>
        <w:t>,</w:t>
      </w:r>
      <w:r w:rsidR="000205AF" w:rsidRPr="004F2236">
        <w:rPr>
          <w:rFonts w:ascii="Arial" w:hAnsi="Arial" w:cs="Arial"/>
          <w:sz w:val="24"/>
          <w:szCs w:val="24"/>
        </w:rPr>
        <w:t xml:space="preserve"> composition</w:t>
      </w:r>
      <w:bookmarkEnd w:id="382"/>
      <w:r w:rsidR="000F45DC">
        <w:rPr>
          <w:rFonts w:ascii="Arial" w:hAnsi="Arial" w:cs="Arial"/>
          <w:sz w:val="24"/>
          <w:szCs w:val="24"/>
        </w:rPr>
        <w:t xml:space="preserve"> and distribution</w:t>
      </w:r>
    </w:p>
    <w:p w14:paraId="65AB9DF3" w14:textId="2C1FA013" w:rsidR="008F0EC4" w:rsidRPr="000D5734" w:rsidRDefault="006938DD" w:rsidP="00A062EF">
      <w:pPr>
        <w:widowControl w:val="0"/>
        <w:spacing w:before="0" w:after="0"/>
        <w:rPr>
          <w:color w:val="000000" w:themeColor="text1"/>
          <w:szCs w:val="22"/>
        </w:rPr>
      </w:pPr>
      <w:r w:rsidRPr="000D5734">
        <w:rPr>
          <w:rFonts w:cs="TimesNewRoman,Italic"/>
          <w:iCs/>
          <w:color w:val="000000" w:themeColor="text1"/>
          <w:szCs w:val="22"/>
        </w:rPr>
        <w:t xml:space="preserve">The overall status for seagrass abundance </w:t>
      </w:r>
      <w:r w:rsidR="000D5734" w:rsidRPr="000D5734">
        <w:rPr>
          <w:rFonts w:cs="TimesNewRoman,Italic"/>
          <w:iCs/>
          <w:color w:val="000000" w:themeColor="text1"/>
          <w:szCs w:val="22"/>
        </w:rPr>
        <w:t xml:space="preserve">increased to </w:t>
      </w:r>
      <w:r w:rsidR="000D5734" w:rsidRPr="000D5734">
        <w:rPr>
          <w:rFonts w:cs="TimesNewRoman,Italic"/>
          <w:b/>
          <w:iCs/>
          <w:color w:val="000000" w:themeColor="text1"/>
          <w:szCs w:val="22"/>
        </w:rPr>
        <w:t>good</w:t>
      </w:r>
      <w:r w:rsidRPr="000D5734">
        <w:rPr>
          <w:color w:val="000000" w:themeColor="text1"/>
          <w:szCs w:val="22"/>
        </w:rPr>
        <w:t xml:space="preserve"> in </w:t>
      </w:r>
      <w:r w:rsidR="008574EC">
        <w:rPr>
          <w:color w:val="000000" w:themeColor="text1"/>
          <w:szCs w:val="22"/>
        </w:rPr>
        <w:t>2016–17</w:t>
      </w:r>
      <w:r w:rsidR="000D5734" w:rsidRPr="000D5734">
        <w:rPr>
          <w:color w:val="000000" w:themeColor="text1"/>
          <w:szCs w:val="22"/>
        </w:rPr>
        <w:t xml:space="preserve"> (</w:t>
      </w:r>
      <w:r w:rsidR="000D5734" w:rsidRPr="000D5734">
        <w:rPr>
          <w:color w:val="000000" w:themeColor="text1"/>
          <w:szCs w:val="22"/>
        </w:rPr>
        <w:fldChar w:fldCharType="begin"/>
      </w:r>
      <w:r w:rsidR="000D5734" w:rsidRPr="000D5734">
        <w:rPr>
          <w:color w:val="000000" w:themeColor="text1"/>
          <w:szCs w:val="22"/>
        </w:rPr>
        <w:instrText xml:space="preserve"> REF _Ref410385306 \h </w:instrText>
      </w:r>
      <w:r w:rsidR="000D5734" w:rsidRPr="000D5734">
        <w:rPr>
          <w:color w:val="000000" w:themeColor="text1"/>
          <w:szCs w:val="22"/>
        </w:rPr>
      </w:r>
      <w:r w:rsidR="000D5734" w:rsidRPr="000D5734">
        <w:rPr>
          <w:color w:val="000000" w:themeColor="text1"/>
          <w:szCs w:val="22"/>
        </w:rPr>
        <w:fldChar w:fldCharType="separate"/>
      </w:r>
      <w:r w:rsidR="00F87DF9" w:rsidRPr="0090020B">
        <w:rPr>
          <w:color w:val="000000"/>
        </w:rPr>
        <w:t xml:space="preserve">Figure </w:t>
      </w:r>
      <w:r w:rsidR="00F87DF9">
        <w:rPr>
          <w:noProof/>
          <w:color w:val="000000"/>
        </w:rPr>
        <w:t>63</w:t>
      </w:r>
      <w:r w:rsidR="000D5734" w:rsidRPr="000D5734">
        <w:rPr>
          <w:color w:val="000000" w:themeColor="text1"/>
          <w:szCs w:val="22"/>
        </w:rPr>
        <w:fldChar w:fldCharType="end"/>
      </w:r>
      <w:r w:rsidR="000D5734" w:rsidRPr="000D5734">
        <w:rPr>
          <w:color w:val="000000" w:themeColor="text1"/>
          <w:szCs w:val="22"/>
        </w:rPr>
        <w:t>), due to increases in percent cover at the coastal sites (</w:t>
      </w:r>
      <w:r w:rsidR="000D5734" w:rsidRPr="000D5734">
        <w:rPr>
          <w:color w:val="000000" w:themeColor="text1"/>
          <w:szCs w:val="22"/>
        </w:rPr>
        <w:fldChar w:fldCharType="begin"/>
      </w:r>
      <w:r w:rsidR="000D5734" w:rsidRPr="000D5734">
        <w:rPr>
          <w:color w:val="000000" w:themeColor="text1"/>
          <w:szCs w:val="22"/>
        </w:rPr>
        <w:instrText xml:space="preserve"> REF _Ref179446038 \h </w:instrText>
      </w:r>
      <w:r w:rsidR="000D5734" w:rsidRPr="000D5734">
        <w:rPr>
          <w:color w:val="000000" w:themeColor="text1"/>
          <w:szCs w:val="22"/>
        </w:rPr>
      </w:r>
      <w:r w:rsidR="000D5734" w:rsidRPr="000D5734">
        <w:rPr>
          <w:color w:val="000000" w:themeColor="text1"/>
          <w:szCs w:val="22"/>
        </w:rPr>
        <w:fldChar w:fldCharType="separate"/>
      </w:r>
      <w:r w:rsidR="00F87DF9" w:rsidRPr="00403D16">
        <w:rPr>
          <w:color w:val="000000"/>
        </w:rPr>
        <w:t xml:space="preserve">Figure </w:t>
      </w:r>
      <w:r w:rsidR="00F87DF9">
        <w:rPr>
          <w:noProof/>
          <w:color w:val="000000"/>
        </w:rPr>
        <w:t>68</w:t>
      </w:r>
      <w:r w:rsidR="000D5734" w:rsidRPr="000D5734">
        <w:rPr>
          <w:color w:val="000000" w:themeColor="text1"/>
          <w:szCs w:val="22"/>
        </w:rPr>
        <w:fldChar w:fldCharType="end"/>
      </w:r>
      <w:r w:rsidR="000D5734" w:rsidRPr="000D5734">
        <w:rPr>
          <w:color w:val="000000" w:themeColor="text1"/>
          <w:szCs w:val="22"/>
        </w:rPr>
        <w:t>)</w:t>
      </w:r>
      <w:r w:rsidRPr="000D5734">
        <w:rPr>
          <w:color w:val="000000" w:themeColor="text1"/>
          <w:szCs w:val="22"/>
        </w:rPr>
        <w:t xml:space="preserve">. </w:t>
      </w:r>
    </w:p>
    <w:p w14:paraId="79737E80" w14:textId="544CB2E5" w:rsidR="000A5F0A" w:rsidRPr="00E527B2" w:rsidRDefault="000A5F0A" w:rsidP="000A5F0A">
      <w:pPr>
        <w:rPr>
          <w:szCs w:val="22"/>
        </w:rPr>
      </w:pPr>
      <w:r w:rsidRPr="00E527B2">
        <w:rPr>
          <w:szCs w:val="22"/>
        </w:rPr>
        <w:t xml:space="preserve">Since monitoring was established, coastal </w:t>
      </w:r>
      <w:r w:rsidR="00864A5B" w:rsidRPr="00E527B2">
        <w:rPr>
          <w:szCs w:val="22"/>
        </w:rPr>
        <w:t xml:space="preserve">and reef intertidal </w:t>
      </w:r>
      <w:r w:rsidRPr="00E527B2">
        <w:rPr>
          <w:szCs w:val="22"/>
        </w:rPr>
        <w:t xml:space="preserve">meadows in the region have displayed a seasonal pattern in abundance; high in </w:t>
      </w:r>
      <w:r w:rsidR="000945E8" w:rsidRPr="00E527B2">
        <w:rPr>
          <w:szCs w:val="22"/>
        </w:rPr>
        <w:t>wet</w:t>
      </w:r>
      <w:r w:rsidRPr="00E527B2">
        <w:rPr>
          <w:szCs w:val="22"/>
        </w:rPr>
        <w:t xml:space="preserve"> and low in the dry season (</w:t>
      </w:r>
      <w:hyperlink w:anchor="_ENREF_155" w:tooltip="McKenzie, 2012 #9614" w:history="1">
        <w:r w:rsidR="00305FE7" w:rsidRPr="00E527B2">
          <w:rPr>
            <w:szCs w:val="22"/>
          </w:rPr>
          <w:fldChar w:fldCharType="begin"/>
        </w:r>
        <w:r w:rsidR="00305FE7">
          <w:rPr>
            <w:szCs w:val="22"/>
          </w:rPr>
          <w:instrText xml:space="preserve"> ADDIN EN.CITE &lt;EndNote&gt;&lt;Cite&gt;&lt;Author&gt;McKenzie&lt;/Author&gt;&lt;Year&gt;2012&lt;/Year&gt;&lt;RecNum&gt;9614&lt;/RecNum&gt;&lt;DisplayText&gt;McKenzie&lt;style face="italic"&gt; et al.&lt;/style&gt; 2012a&lt;/DisplayText&gt;&lt;record&gt;&lt;rec-number&gt;9614&lt;/rec-number&gt;&lt;foreign-keys&gt;&lt;key app="EN" db-id="0eve55x9y5vfd6e9dacxtew4eatve2dzds9a" timestamp="1388536034"&gt;9614&lt;/key&gt;&lt;/foreign-keys&gt;&lt;ref-type name="Book Section"&gt;5&lt;/ref-type&gt;&lt;contributors&gt;&lt;authors&gt;&lt;author&gt;McKenzie, Len J&lt;/author&gt;&lt;author&gt;Collier, C&lt;/author&gt;&lt;author&gt;Waycott, M&lt;/author&gt;&lt;author&gt;Unsworth, R&lt;/author&gt;&lt;author&gt;Yoshida, R&lt;/author&gt;&lt;author&gt;Smith, N&lt;/author&gt;&lt;/authors&gt;&lt;secondary-authors&gt;&lt;author&gt;Yellowlees, D&lt;/author&gt;&lt;author&gt;Hughes, T. P&lt;/author&gt;&lt;/secondary-authors&gt;&lt;/contributors&gt;&lt;titles&gt;&lt;title&gt;Monitoring inshore seagrasses of the GBR and responses to water quality&lt;/title&gt;&lt;secondary-title&gt;Proceedings of the 12th International Coral Reef Symposium, Cairns, Australia, 9-13 July 2012. Mini-Symposium 15b – Seagrasses and seagrass ecosystems&lt;/secondary-title&gt;&lt;/titles&gt;&lt;pages&gt;5&lt;/pages&gt;&lt;dates&gt;&lt;year&gt;2012&lt;/year&gt;&lt;/dates&gt;&lt;pub-location&gt;Townsville, Queensland&lt;/pub-location&gt;&lt;publisher&gt;James Cook University&lt;/publisher&gt;&lt;isbn&gt;978-0-9808572-5-2&lt;/isbn&gt;&lt;urls&gt;&lt;related-urls&gt;&lt;url&gt;http://www.icrs2012.com/proceedings/manuscripts/ICRS2012_15B_4.pdf&lt;/url&gt;&lt;/related-urls&gt;&lt;/urls&gt;&lt;/record&gt;&lt;/Cite&gt;&lt;/EndNote&gt;</w:instrText>
        </w:r>
        <w:r w:rsidR="00305FE7" w:rsidRPr="00E527B2">
          <w:rPr>
            <w:szCs w:val="22"/>
          </w:rPr>
          <w:fldChar w:fldCharType="separate"/>
        </w:r>
        <w:r w:rsidR="00305FE7">
          <w:rPr>
            <w:noProof/>
            <w:szCs w:val="22"/>
          </w:rPr>
          <w:t>McKenzie</w:t>
        </w:r>
        <w:r w:rsidR="00305FE7" w:rsidRPr="00521D93">
          <w:rPr>
            <w:i/>
            <w:noProof/>
            <w:szCs w:val="22"/>
          </w:rPr>
          <w:t xml:space="preserve"> et al.</w:t>
        </w:r>
        <w:r w:rsidR="00305FE7">
          <w:rPr>
            <w:noProof/>
            <w:szCs w:val="22"/>
          </w:rPr>
          <w:t xml:space="preserve"> 2012a</w:t>
        </w:r>
        <w:r w:rsidR="00305FE7" w:rsidRPr="00E527B2">
          <w:rPr>
            <w:szCs w:val="22"/>
          </w:rPr>
          <w:fldChar w:fldCharType="end"/>
        </w:r>
      </w:hyperlink>
      <w:r w:rsidRPr="00E527B2">
        <w:rPr>
          <w:szCs w:val="22"/>
        </w:rPr>
        <w:t xml:space="preserve">). This, however, </w:t>
      </w:r>
      <w:r w:rsidR="00CC4329" w:rsidRPr="00E527B2">
        <w:rPr>
          <w:szCs w:val="22"/>
        </w:rPr>
        <w:t>was not apparent over the last five</w:t>
      </w:r>
      <w:r w:rsidRPr="00E527B2">
        <w:rPr>
          <w:szCs w:val="22"/>
        </w:rPr>
        <w:t xml:space="preserve"> years, as </w:t>
      </w:r>
      <w:r w:rsidR="00864A5B" w:rsidRPr="00E527B2">
        <w:rPr>
          <w:szCs w:val="22"/>
        </w:rPr>
        <w:t xml:space="preserve">variability has not followed typical seasonal trends while </w:t>
      </w:r>
      <w:r w:rsidRPr="00E527B2">
        <w:rPr>
          <w:szCs w:val="22"/>
        </w:rPr>
        <w:t xml:space="preserve">seagrass has been recovering from losses experienced in early 2011. </w:t>
      </w:r>
      <w:r w:rsidR="00172348" w:rsidRPr="00172348">
        <w:rPr>
          <w:szCs w:val="22"/>
        </w:rPr>
        <w:t xml:space="preserve">Recovery has proceeded rapidly in the Burdekin Region after severe weather in 2009-2011, and this recovery has occurred despite the frequent exceedance of light thresholds at some of the sites. This might have been due to the timing of when light is received (highest in September to November) or because threshold exceedance is short lived (typically for days only), thus highlighting the need to identify seasonal and annual light thresholds, and not just event thresholds which are reported against in this report. </w:t>
      </w:r>
      <w:r w:rsidR="000C1261" w:rsidRPr="00E527B2">
        <w:rPr>
          <w:szCs w:val="22"/>
        </w:rPr>
        <w:t>S</w:t>
      </w:r>
      <w:r w:rsidRPr="00E527B2">
        <w:rPr>
          <w:szCs w:val="22"/>
        </w:rPr>
        <w:t xml:space="preserve">eagrass abundances </w:t>
      </w:r>
      <w:r w:rsidR="000C1261" w:rsidRPr="00E527B2">
        <w:rPr>
          <w:szCs w:val="22"/>
        </w:rPr>
        <w:t xml:space="preserve">in </w:t>
      </w:r>
      <w:r w:rsidR="008574EC">
        <w:rPr>
          <w:szCs w:val="22"/>
        </w:rPr>
        <w:t>2016–17</w:t>
      </w:r>
      <w:r w:rsidR="000C1261" w:rsidRPr="00E527B2">
        <w:rPr>
          <w:szCs w:val="22"/>
        </w:rPr>
        <w:t xml:space="preserve"> </w:t>
      </w:r>
      <w:r w:rsidR="00CC4329" w:rsidRPr="00E527B2">
        <w:rPr>
          <w:szCs w:val="22"/>
        </w:rPr>
        <w:t>were highest at the Barrata Creek coastal intertidal habitat</w:t>
      </w:r>
      <w:r w:rsidRPr="00E527B2">
        <w:rPr>
          <w:szCs w:val="22"/>
        </w:rPr>
        <w:t xml:space="preserve"> </w:t>
      </w:r>
      <w:r w:rsidR="00CC4329" w:rsidRPr="00E527B2">
        <w:rPr>
          <w:szCs w:val="22"/>
        </w:rPr>
        <w:t xml:space="preserve">followed by the reef subtidal </w:t>
      </w:r>
      <w:r w:rsidRPr="00E527B2">
        <w:rPr>
          <w:szCs w:val="22"/>
        </w:rPr>
        <w:t>habitats</w:t>
      </w:r>
      <w:r w:rsidR="00B92B1D" w:rsidRPr="00E527B2">
        <w:rPr>
          <w:szCs w:val="22"/>
        </w:rPr>
        <w:t xml:space="preserve"> (</w:t>
      </w:r>
      <w:r w:rsidR="00B92B1D" w:rsidRPr="00E527B2">
        <w:rPr>
          <w:szCs w:val="22"/>
        </w:rPr>
        <w:fldChar w:fldCharType="begin"/>
      </w:r>
      <w:r w:rsidR="00B92B1D" w:rsidRPr="00E527B2">
        <w:rPr>
          <w:szCs w:val="22"/>
        </w:rPr>
        <w:instrText xml:space="preserve"> REF _Ref179446038 \h </w:instrText>
      </w:r>
      <w:r w:rsidR="00B92B1D" w:rsidRPr="00E527B2">
        <w:rPr>
          <w:szCs w:val="22"/>
        </w:rPr>
      </w:r>
      <w:r w:rsidR="00B92B1D" w:rsidRPr="00E527B2">
        <w:rPr>
          <w:szCs w:val="22"/>
        </w:rPr>
        <w:fldChar w:fldCharType="separate"/>
      </w:r>
      <w:r w:rsidR="00F87DF9" w:rsidRPr="00403D16">
        <w:rPr>
          <w:color w:val="000000"/>
        </w:rPr>
        <w:t xml:space="preserve">Figure </w:t>
      </w:r>
      <w:r w:rsidR="00F87DF9">
        <w:rPr>
          <w:noProof/>
          <w:color w:val="000000"/>
        </w:rPr>
        <w:t>68</w:t>
      </w:r>
      <w:r w:rsidR="00B92B1D" w:rsidRPr="00E527B2">
        <w:rPr>
          <w:szCs w:val="22"/>
        </w:rPr>
        <w:fldChar w:fldCharType="end"/>
      </w:r>
      <w:r w:rsidR="00B92B1D" w:rsidRPr="00E527B2">
        <w:rPr>
          <w:szCs w:val="22"/>
        </w:rPr>
        <w:t>)</w:t>
      </w:r>
      <w:r w:rsidR="000C1261" w:rsidRPr="00E527B2">
        <w:rPr>
          <w:szCs w:val="22"/>
        </w:rPr>
        <w:t xml:space="preserve">. </w:t>
      </w:r>
    </w:p>
    <w:p w14:paraId="5EC8FD05" w14:textId="77777777" w:rsidR="000A5F0A" w:rsidRPr="000A5F0A" w:rsidRDefault="00024A6D"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65E19B48" wp14:editId="64785757">
            <wp:extent cx="4257066" cy="3109654"/>
            <wp:effectExtent l="0" t="0" r="0" b="0"/>
            <wp:docPr id="296" name="Picture 296" descr="Set of four scatter plots with straight lines and markers showing seagrass abundance (% cover and standard error) at inshore intertidal and subtidal reef habitats (replicate sites pooled) in the Burdekin NRM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B_SG16.png"/>
                    <pic:cNvPicPr/>
                  </pic:nvPicPr>
                  <pic:blipFill>
                    <a:blip r:embed="rId106"/>
                    <a:stretch>
                      <a:fillRect/>
                    </a:stretch>
                  </pic:blipFill>
                  <pic:spPr>
                    <a:xfrm>
                      <a:off x="0" y="0"/>
                      <a:ext cx="4257066" cy="3109654"/>
                    </a:xfrm>
                    <a:prstGeom prst="rect">
                      <a:avLst/>
                    </a:prstGeom>
                  </pic:spPr>
                </pic:pic>
              </a:graphicData>
            </a:graphic>
          </wp:inline>
        </w:drawing>
      </w:r>
    </w:p>
    <w:p w14:paraId="051F3BD0" w14:textId="441954FD" w:rsidR="00B910F2" w:rsidRPr="00277D18" w:rsidRDefault="00BD6B65" w:rsidP="00096D39">
      <w:bookmarkStart w:id="394" w:name="_Ref179446038"/>
      <w:bookmarkStart w:id="395" w:name="_Toc431493857"/>
      <w:bookmarkStart w:id="396" w:name="_Toc176158883"/>
      <w:bookmarkStart w:id="397" w:name="_Toc232845983"/>
      <w:bookmarkStart w:id="398" w:name="_Toc516053278"/>
      <w:r w:rsidRPr="00403D1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68</w:t>
      </w:r>
      <w:r w:rsidR="0073595B">
        <w:rPr>
          <w:color w:val="000000"/>
        </w:rPr>
        <w:fldChar w:fldCharType="end"/>
      </w:r>
      <w:bookmarkEnd w:id="394"/>
      <w:r w:rsidRPr="00403D16">
        <w:rPr>
          <w:color w:val="000000"/>
        </w:rPr>
        <w:t xml:space="preserve">. </w:t>
      </w:r>
      <w:r w:rsidRPr="00403D16">
        <w:rPr>
          <w:i/>
          <w:color w:val="000000"/>
        </w:rPr>
        <w:t>Changes in mean seagrass abundance (</w:t>
      </w:r>
      <w:r w:rsidR="0063478C">
        <w:rPr>
          <w:i/>
          <w:color w:val="000000"/>
        </w:rPr>
        <w:t>per cent</w:t>
      </w:r>
      <w:r w:rsidRPr="00403D16">
        <w:rPr>
          <w:i/>
          <w:color w:val="000000"/>
        </w:rPr>
        <w:t xml:space="preserve"> cover ±</w:t>
      </w:r>
      <w:r w:rsidR="009C7692">
        <w:rPr>
          <w:i/>
          <w:color w:val="000000"/>
        </w:rPr>
        <w:t xml:space="preserve"> SE</w:t>
      </w:r>
      <w:r w:rsidRPr="00403D16">
        <w:rPr>
          <w:i/>
          <w:color w:val="000000"/>
        </w:rPr>
        <w:t xml:space="preserve">) at </w:t>
      </w:r>
      <w:r w:rsidR="00B910F2" w:rsidRPr="00403D16">
        <w:rPr>
          <w:i/>
          <w:color w:val="000000"/>
        </w:rPr>
        <w:t xml:space="preserve">inshore </w:t>
      </w:r>
      <w:r w:rsidRPr="00403D16">
        <w:rPr>
          <w:i/>
          <w:color w:val="000000"/>
        </w:rPr>
        <w:t xml:space="preserve">coastal </w:t>
      </w:r>
      <w:r w:rsidRPr="004F39E2">
        <w:rPr>
          <w:i/>
          <w:color w:val="000000"/>
        </w:rPr>
        <w:t>intertidal (a, b), reef intertidal (c) and reef subtidal (d) meadows in the Burdekin region</w:t>
      </w:r>
      <w:r w:rsidR="00B910F2" w:rsidRPr="004F39E2">
        <w:rPr>
          <w:i/>
          <w:color w:val="000000"/>
        </w:rPr>
        <w:t xml:space="preserve">, </w:t>
      </w:r>
      <w:r w:rsidRPr="004F39E2">
        <w:rPr>
          <w:i/>
          <w:color w:val="000000"/>
        </w:rPr>
        <w:t xml:space="preserve">2001 </w:t>
      </w:r>
      <w:r w:rsidR="00B910F2" w:rsidRPr="001446FA">
        <w:rPr>
          <w:i/>
          <w:color w:val="000000" w:themeColor="text1"/>
        </w:rPr>
        <w:t>-</w:t>
      </w:r>
      <w:r w:rsidRPr="001446FA">
        <w:rPr>
          <w:i/>
          <w:color w:val="000000" w:themeColor="text1"/>
        </w:rPr>
        <w:t xml:space="preserve"> 201</w:t>
      </w:r>
      <w:r w:rsidR="001446FA" w:rsidRPr="001446FA">
        <w:rPr>
          <w:i/>
          <w:color w:val="000000" w:themeColor="text1"/>
        </w:rPr>
        <w:t>7</w:t>
      </w:r>
      <w:r w:rsidRPr="001446FA">
        <w:rPr>
          <w:i/>
          <w:color w:val="000000" w:themeColor="text1"/>
        </w:rPr>
        <w:t>.</w:t>
      </w:r>
      <w:bookmarkEnd w:id="395"/>
      <w:bookmarkEnd w:id="396"/>
      <w:bookmarkEnd w:id="397"/>
      <w:bookmarkEnd w:id="398"/>
    </w:p>
    <w:p w14:paraId="1A463D68" w14:textId="0AEEA782" w:rsidR="00A062EF" w:rsidRPr="001446FA" w:rsidRDefault="00A062EF" w:rsidP="00FD7E76">
      <w:pPr>
        <w:rPr>
          <w:color w:val="000000" w:themeColor="text1"/>
          <w:szCs w:val="22"/>
        </w:rPr>
      </w:pPr>
      <w:r w:rsidRPr="001446FA">
        <w:rPr>
          <w:color w:val="000000" w:themeColor="text1"/>
          <w:szCs w:val="22"/>
        </w:rPr>
        <w:t xml:space="preserve">An examination of the long term trends across the Burdekin NRM </w:t>
      </w:r>
      <w:r w:rsidR="00024A6D" w:rsidRPr="001446FA">
        <w:rPr>
          <w:color w:val="000000" w:themeColor="text1"/>
          <w:szCs w:val="22"/>
        </w:rPr>
        <w:t xml:space="preserve">habitats </w:t>
      </w:r>
      <w:r w:rsidRPr="001446FA">
        <w:rPr>
          <w:color w:val="000000" w:themeColor="text1"/>
          <w:szCs w:val="22"/>
        </w:rPr>
        <w:t>suggests seagrass abundance (</w:t>
      </w:r>
      <w:r w:rsidR="0063478C" w:rsidRPr="001446FA">
        <w:rPr>
          <w:color w:val="000000" w:themeColor="text1"/>
          <w:szCs w:val="22"/>
        </w:rPr>
        <w:t>per cent</w:t>
      </w:r>
      <w:r w:rsidR="001446FA">
        <w:rPr>
          <w:color w:val="000000" w:themeColor="text1"/>
          <w:szCs w:val="22"/>
        </w:rPr>
        <w:t xml:space="preserve"> cover) has</w:t>
      </w:r>
      <w:r w:rsidR="001446FA" w:rsidRPr="001446FA">
        <w:rPr>
          <w:color w:val="000000" w:themeColor="text1"/>
          <w:szCs w:val="22"/>
        </w:rPr>
        <w:t xml:space="preserve"> been relatively</w:t>
      </w:r>
      <w:r w:rsidRPr="001446FA">
        <w:rPr>
          <w:color w:val="000000" w:themeColor="text1"/>
          <w:szCs w:val="22"/>
        </w:rPr>
        <w:t xml:space="preserve"> </w:t>
      </w:r>
      <w:r w:rsidR="001446FA" w:rsidRPr="001446FA">
        <w:rPr>
          <w:color w:val="000000" w:themeColor="text1"/>
          <w:szCs w:val="22"/>
        </w:rPr>
        <w:t xml:space="preserve">stable </w:t>
      </w:r>
      <w:r w:rsidR="001446FA">
        <w:rPr>
          <w:color w:val="000000" w:themeColor="text1"/>
          <w:szCs w:val="22"/>
        </w:rPr>
        <w:t xml:space="preserve">for the region as a whole </w:t>
      </w:r>
      <w:r w:rsidR="001446FA" w:rsidRPr="001446FA">
        <w:rPr>
          <w:color w:val="000000" w:themeColor="text1"/>
          <w:szCs w:val="22"/>
        </w:rPr>
        <w:t>since 2013</w:t>
      </w:r>
      <w:r w:rsidR="00024A6D" w:rsidRPr="001446FA">
        <w:rPr>
          <w:color w:val="000000" w:themeColor="text1"/>
          <w:szCs w:val="22"/>
        </w:rPr>
        <w:t xml:space="preserve"> </w:t>
      </w:r>
      <w:r w:rsidR="001446FA" w:rsidRPr="001446FA">
        <w:rPr>
          <w:color w:val="000000" w:themeColor="text1"/>
          <w:szCs w:val="22"/>
        </w:rPr>
        <w:t>(</w:t>
      </w:r>
      <w:r w:rsidR="00024A6D" w:rsidRPr="001446FA">
        <w:rPr>
          <w:color w:val="000000" w:themeColor="text1"/>
          <w:szCs w:val="22"/>
        </w:rPr>
        <w:fldChar w:fldCharType="begin"/>
      </w:r>
      <w:r w:rsidR="00024A6D" w:rsidRPr="001446FA">
        <w:rPr>
          <w:color w:val="000000" w:themeColor="text1"/>
          <w:szCs w:val="22"/>
        </w:rPr>
        <w:instrText xml:space="preserve"> REF _Ref469853486 \h </w:instrText>
      </w:r>
      <w:r w:rsidR="00024A6D" w:rsidRPr="001446FA">
        <w:rPr>
          <w:color w:val="000000" w:themeColor="text1"/>
          <w:szCs w:val="22"/>
        </w:rPr>
      </w:r>
      <w:r w:rsidR="00024A6D" w:rsidRPr="001446FA">
        <w:rPr>
          <w:color w:val="000000" w:themeColor="text1"/>
          <w:szCs w:val="22"/>
        </w:rPr>
        <w:fldChar w:fldCharType="separate"/>
      </w:r>
      <w:r w:rsidR="00F87DF9" w:rsidRPr="00024A6D">
        <w:t xml:space="preserve">Figure </w:t>
      </w:r>
      <w:r w:rsidR="00F87DF9">
        <w:rPr>
          <w:noProof/>
        </w:rPr>
        <w:t>70</w:t>
      </w:r>
      <w:r w:rsidR="00024A6D" w:rsidRPr="001446FA">
        <w:rPr>
          <w:color w:val="000000" w:themeColor="text1"/>
          <w:szCs w:val="22"/>
        </w:rPr>
        <w:fldChar w:fldCharType="end"/>
      </w:r>
      <w:r w:rsidR="001446FA" w:rsidRPr="001446FA">
        <w:rPr>
          <w:color w:val="000000" w:themeColor="text1"/>
          <w:szCs w:val="22"/>
        </w:rPr>
        <w:t>)</w:t>
      </w:r>
      <w:r w:rsidRPr="001446FA">
        <w:rPr>
          <w:color w:val="000000" w:themeColor="text1"/>
          <w:szCs w:val="22"/>
        </w:rPr>
        <w:t>.</w:t>
      </w:r>
      <w:r w:rsidR="001446FA">
        <w:rPr>
          <w:color w:val="000000" w:themeColor="text1"/>
          <w:szCs w:val="22"/>
        </w:rPr>
        <w:t xml:space="preserve"> Long-term trends of the habitats, however, indicates that there have been declines at the subtidal habitas and increases at coastal habitats. </w:t>
      </w:r>
    </w:p>
    <w:p w14:paraId="13AE8405" w14:textId="77777777" w:rsidR="00E43A54" w:rsidRDefault="00024A6D" w:rsidP="00E43A54">
      <w:pPr>
        <w:keepNext/>
        <w:widowControl w:val="0"/>
        <w:spacing w:after="0"/>
        <w:jc w:val="center"/>
        <w:rPr>
          <w:color w:val="000000"/>
          <w:szCs w:val="22"/>
        </w:rPr>
      </w:pPr>
      <w:r>
        <w:rPr>
          <w:noProof/>
          <w:color w:val="000000"/>
          <w:szCs w:val="22"/>
          <w:lang w:eastAsia="en-AU"/>
        </w:rPr>
        <w:drawing>
          <wp:inline distT="0" distB="0" distL="0" distR="0" wp14:anchorId="2A80F04C" wp14:editId="141ECD11">
            <wp:extent cx="4320000" cy="2621240"/>
            <wp:effectExtent l="0" t="0" r="4445" b="8255"/>
            <wp:docPr id="295" name="Picture 295" descr="GAM plot showing long-term temporal trends in seagrass abundance for each location in the Burdekin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B_cvr_GAM_Dec16.png"/>
                    <pic:cNvPicPr/>
                  </pic:nvPicPr>
                  <pic:blipFill>
                    <a:blip r:embed="rId107">
                      <a:extLst>
                        <a:ext uri="{28A0092B-C50C-407E-A947-70E740481C1C}">
                          <a14:useLocalDpi xmlns:a14="http://schemas.microsoft.com/office/drawing/2010/main" val="0"/>
                        </a:ext>
                      </a:extLst>
                    </a:blip>
                    <a:stretch>
                      <a:fillRect/>
                    </a:stretch>
                  </pic:blipFill>
                  <pic:spPr>
                    <a:xfrm>
                      <a:off x="0" y="0"/>
                      <a:ext cx="4320000" cy="2621240"/>
                    </a:xfrm>
                    <a:prstGeom prst="rect">
                      <a:avLst/>
                    </a:prstGeom>
                  </pic:spPr>
                </pic:pic>
              </a:graphicData>
            </a:graphic>
          </wp:inline>
        </w:drawing>
      </w:r>
    </w:p>
    <w:p w14:paraId="290B6100" w14:textId="1E8CC292" w:rsidR="00A062EF" w:rsidRPr="00A062EF" w:rsidRDefault="00E43A54" w:rsidP="00E43A54">
      <w:pPr>
        <w:rPr>
          <w:i/>
          <w:vanish/>
          <w:specVanish/>
        </w:rPr>
      </w:pPr>
      <w:bookmarkStart w:id="399" w:name="_Ref442441725"/>
      <w:bookmarkStart w:id="400" w:name="_Toc51605327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69</w:t>
      </w:r>
      <w:r w:rsidR="00C506C7">
        <w:rPr>
          <w:noProof/>
        </w:rPr>
        <w:fldChar w:fldCharType="end"/>
      </w:r>
      <w:bookmarkEnd w:id="399"/>
      <w:r>
        <w:t xml:space="preserve">.  </w:t>
      </w:r>
      <w:r w:rsidR="00A062EF" w:rsidRPr="00A062EF">
        <w:rPr>
          <w:i/>
        </w:rPr>
        <w:t>Temporal trends in seagrass abundance for each location in the Burdekin region represented by a GAM plot.</w:t>
      </w:r>
      <w:bookmarkEnd w:id="400"/>
    </w:p>
    <w:p w14:paraId="349504C8" w14:textId="65623520" w:rsidR="00E43A54" w:rsidRDefault="00A062EF" w:rsidP="00FD7E76">
      <w:pPr>
        <w:rPr>
          <w:color w:val="000000"/>
          <w:szCs w:val="22"/>
        </w:rPr>
      </w:pPr>
      <w:r w:rsidRPr="00A062EF">
        <w:rPr>
          <w:i/>
        </w:rPr>
        <w:t xml:space="preserve">  Regional trend (all habitats pooled) represented by black line with grey shaded areas defining 95</w:t>
      </w:r>
      <w:r w:rsidR="0063478C">
        <w:rPr>
          <w:i/>
        </w:rPr>
        <w:t xml:space="preserve"> per cent</w:t>
      </w:r>
      <w:r w:rsidRPr="00A062EF">
        <w:rPr>
          <w:i/>
        </w:rPr>
        <w:t xml:space="preserve"> confidence intervals.</w:t>
      </w:r>
    </w:p>
    <w:p w14:paraId="53E546F2" w14:textId="77777777" w:rsidR="00024A6D" w:rsidRPr="00024A6D" w:rsidRDefault="00024A6D" w:rsidP="00FD7E76">
      <w:pPr>
        <w:rPr>
          <w:szCs w:val="22"/>
        </w:rPr>
      </w:pPr>
    </w:p>
    <w:p w14:paraId="1DDF8709" w14:textId="77777777" w:rsidR="00024A6D" w:rsidRPr="00024A6D" w:rsidRDefault="00024A6D" w:rsidP="00024A6D">
      <w:pPr>
        <w:keepNext/>
        <w:widowControl w:val="0"/>
        <w:spacing w:after="0"/>
        <w:jc w:val="center"/>
        <w:rPr>
          <w:noProof/>
          <w:color w:val="000000"/>
          <w:szCs w:val="22"/>
          <w:lang w:eastAsia="en-AU"/>
        </w:rPr>
      </w:pPr>
      <w:r w:rsidRPr="00024A6D">
        <w:rPr>
          <w:noProof/>
          <w:color w:val="000000"/>
          <w:szCs w:val="22"/>
          <w:lang w:eastAsia="en-AU"/>
        </w:rPr>
        <w:drawing>
          <wp:inline distT="0" distB="0" distL="0" distR="0" wp14:anchorId="2AE297E9" wp14:editId="41D84C86">
            <wp:extent cx="5039658" cy="2395737"/>
            <wp:effectExtent l="0" t="0" r="0" b="5080"/>
            <wp:docPr id="297" name="Picture 297" descr="Set of 3 GAM plots showing long-term temporal trends in seagrass abundance for each habitat in the Burdekin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B_hab_cvr_GAM_Dec16.png"/>
                    <pic:cNvPicPr/>
                  </pic:nvPicPr>
                  <pic:blipFill>
                    <a:blip r:embed="rId108">
                      <a:extLst>
                        <a:ext uri="{28A0092B-C50C-407E-A947-70E740481C1C}">
                          <a14:useLocalDpi xmlns:a14="http://schemas.microsoft.com/office/drawing/2010/main" val="0"/>
                        </a:ext>
                      </a:extLst>
                    </a:blip>
                    <a:stretch>
                      <a:fillRect/>
                    </a:stretch>
                  </pic:blipFill>
                  <pic:spPr>
                    <a:xfrm>
                      <a:off x="0" y="0"/>
                      <a:ext cx="5039658" cy="2395737"/>
                    </a:xfrm>
                    <a:prstGeom prst="rect">
                      <a:avLst/>
                    </a:prstGeom>
                  </pic:spPr>
                </pic:pic>
              </a:graphicData>
            </a:graphic>
          </wp:inline>
        </w:drawing>
      </w:r>
    </w:p>
    <w:p w14:paraId="234C24EF" w14:textId="2B3ED9AC" w:rsidR="00024A6D" w:rsidRPr="00024A6D" w:rsidRDefault="00024A6D" w:rsidP="00024A6D">
      <w:pPr>
        <w:rPr>
          <w:i/>
          <w:vanish/>
          <w:specVanish/>
        </w:rPr>
      </w:pPr>
      <w:bookmarkStart w:id="401" w:name="_Ref469853486"/>
      <w:bookmarkStart w:id="402" w:name="_Toc516053280"/>
      <w:r w:rsidRPr="00024A6D">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70</w:t>
      </w:r>
      <w:r w:rsidR="00C506C7">
        <w:rPr>
          <w:noProof/>
        </w:rPr>
        <w:fldChar w:fldCharType="end"/>
      </w:r>
      <w:bookmarkEnd w:id="401"/>
      <w:r w:rsidRPr="00024A6D">
        <w:t xml:space="preserve">. </w:t>
      </w:r>
      <w:r w:rsidRPr="00024A6D">
        <w:rPr>
          <w:i/>
        </w:rPr>
        <w:t>Temporal trends in seagrass abundance for each habitat in the Burdekin region represented by GAM plot</w:t>
      </w:r>
      <w:r>
        <w:rPr>
          <w:i/>
        </w:rPr>
        <w:t>s</w:t>
      </w:r>
      <w:r w:rsidRPr="00024A6D">
        <w:rPr>
          <w:i/>
        </w:rPr>
        <w:t>.</w:t>
      </w:r>
      <w:bookmarkEnd w:id="402"/>
    </w:p>
    <w:p w14:paraId="3B31B54C" w14:textId="039CF3E1" w:rsidR="00024A6D" w:rsidRPr="00024A6D" w:rsidRDefault="00024A6D" w:rsidP="00024A6D">
      <w:pPr>
        <w:pStyle w:val="Caption"/>
        <w:rPr>
          <w:szCs w:val="22"/>
        </w:rPr>
      </w:pPr>
      <w:r w:rsidRPr="00024A6D">
        <w:rPr>
          <w:i/>
        </w:rPr>
        <w:t xml:space="preserve">  </w:t>
      </w:r>
      <w:r w:rsidR="00064DB3">
        <w:rPr>
          <w:i/>
        </w:rPr>
        <w:t xml:space="preserve">Trends </w:t>
      </w:r>
      <w:r w:rsidR="00064DB3" w:rsidRPr="00A009CE">
        <w:rPr>
          <w:i/>
        </w:rPr>
        <w:t>(</w:t>
      </w:r>
      <w:r w:rsidR="00064DB3">
        <w:rPr>
          <w:i/>
        </w:rPr>
        <w:t>locations</w:t>
      </w:r>
      <w:r w:rsidR="00064DB3" w:rsidRPr="00A009CE">
        <w:rPr>
          <w:i/>
        </w:rPr>
        <w:t xml:space="preserve"> pooled) represented by black line</w:t>
      </w:r>
      <w:r w:rsidR="00064DB3" w:rsidRPr="00C437D6">
        <w:rPr>
          <w:i/>
        </w:rPr>
        <w:t xml:space="preserve"> </w:t>
      </w:r>
      <w:r w:rsidR="00064DB3">
        <w:rPr>
          <w:i/>
        </w:rPr>
        <w:t xml:space="preserve">with </w:t>
      </w:r>
      <w:r w:rsidR="00064DB3" w:rsidRPr="00A009CE">
        <w:rPr>
          <w:i/>
        </w:rPr>
        <w:t>gre</w:t>
      </w:r>
      <w:r w:rsidR="00064DB3">
        <w:rPr>
          <w:i/>
        </w:rPr>
        <w:t>en</w:t>
      </w:r>
      <w:r w:rsidR="00064DB3" w:rsidRPr="00A009CE">
        <w:rPr>
          <w:i/>
        </w:rPr>
        <w:t xml:space="preserve"> shaded area defining 95</w:t>
      </w:r>
      <w:r w:rsidR="0063478C">
        <w:rPr>
          <w:i/>
        </w:rPr>
        <w:t xml:space="preserve"> per cent</w:t>
      </w:r>
      <w:r w:rsidR="00064DB3" w:rsidRPr="00A009CE">
        <w:rPr>
          <w:i/>
        </w:rPr>
        <w:t xml:space="preserve"> confiden</w:t>
      </w:r>
      <w:r w:rsidR="00064DB3">
        <w:rPr>
          <w:i/>
        </w:rPr>
        <w:t>c</w:t>
      </w:r>
      <w:r w:rsidR="00064DB3" w:rsidRPr="00A009CE">
        <w:rPr>
          <w:i/>
        </w:rPr>
        <w:t>e intervals</w:t>
      </w:r>
      <w:r w:rsidR="00064DB3">
        <w:rPr>
          <w:i/>
        </w:rPr>
        <w:t>, and quadrat data displayed as grey circles</w:t>
      </w:r>
      <w:r w:rsidR="00064DB3" w:rsidRPr="00A009CE">
        <w:rPr>
          <w:i/>
        </w:rPr>
        <w:t>.</w:t>
      </w:r>
    </w:p>
    <w:p w14:paraId="7D050198" w14:textId="1D77EBA9" w:rsidR="000A5F0A" w:rsidRPr="001446FA" w:rsidRDefault="001446FA" w:rsidP="00FD7E76">
      <w:pPr>
        <w:rPr>
          <w:rFonts w:cs="TimesNewRoman,Italic"/>
          <w:iCs/>
          <w:color w:val="000000" w:themeColor="text1"/>
          <w:szCs w:val="22"/>
        </w:rPr>
      </w:pPr>
      <w:r w:rsidRPr="001446FA">
        <w:rPr>
          <w:color w:val="000000" w:themeColor="text1"/>
          <w:szCs w:val="22"/>
        </w:rPr>
        <w:t>There has also been a low</w:t>
      </w:r>
      <w:r w:rsidR="000A5F0A" w:rsidRPr="001446FA">
        <w:rPr>
          <w:color w:val="000000" w:themeColor="text1"/>
          <w:szCs w:val="22"/>
        </w:rPr>
        <w:t xml:space="preserve"> proportion of </w:t>
      </w:r>
      <w:r w:rsidR="00B65283" w:rsidRPr="001446FA">
        <w:rPr>
          <w:color w:val="000000" w:themeColor="text1"/>
          <w:szCs w:val="22"/>
        </w:rPr>
        <w:t xml:space="preserve">species displaying </w:t>
      </w:r>
      <w:r w:rsidR="000A5F0A" w:rsidRPr="001446FA">
        <w:rPr>
          <w:color w:val="000000" w:themeColor="text1"/>
          <w:szCs w:val="22"/>
        </w:rPr>
        <w:t xml:space="preserve">colonising </w:t>
      </w:r>
      <w:r w:rsidR="00B65283" w:rsidRPr="001446FA">
        <w:rPr>
          <w:color w:val="000000" w:themeColor="text1"/>
          <w:szCs w:val="22"/>
        </w:rPr>
        <w:t>traits (</w:t>
      </w:r>
      <w:r w:rsidR="00B65283" w:rsidRPr="001446FA">
        <w:rPr>
          <w:i/>
          <w:color w:val="000000" w:themeColor="text1"/>
          <w:szCs w:val="22"/>
        </w:rPr>
        <w:t>Halophila ovalis</w:t>
      </w:r>
      <w:r w:rsidR="00B65283" w:rsidRPr="001446FA">
        <w:rPr>
          <w:color w:val="000000" w:themeColor="text1"/>
          <w:szCs w:val="22"/>
        </w:rPr>
        <w:t>)</w:t>
      </w:r>
      <w:r w:rsidRPr="001446FA">
        <w:rPr>
          <w:color w:val="000000" w:themeColor="text1"/>
          <w:szCs w:val="22"/>
        </w:rPr>
        <w:t xml:space="preserve"> since 2014-15 in all habitats. I</w:t>
      </w:r>
      <w:r w:rsidR="000A5F0A" w:rsidRPr="001446FA">
        <w:rPr>
          <w:color w:val="000000" w:themeColor="text1"/>
          <w:szCs w:val="22"/>
        </w:rPr>
        <w:t xml:space="preserve">nstead </w:t>
      </w:r>
      <w:r w:rsidRPr="001446FA">
        <w:rPr>
          <w:color w:val="000000" w:themeColor="text1"/>
          <w:szCs w:val="22"/>
        </w:rPr>
        <w:t>these habitats are</w:t>
      </w:r>
      <w:r w:rsidR="000A5F0A" w:rsidRPr="001446FA">
        <w:rPr>
          <w:color w:val="000000" w:themeColor="text1"/>
          <w:szCs w:val="22"/>
        </w:rPr>
        <w:t xml:space="preserve"> dominated by opportunistic species (</w:t>
      </w:r>
      <w:r w:rsidR="000A5F0A" w:rsidRPr="001446FA">
        <w:rPr>
          <w:i/>
          <w:color w:val="000000" w:themeColor="text1"/>
          <w:szCs w:val="22"/>
        </w:rPr>
        <w:t>H. uninervis, Z. muelleri, C. serrulata</w:t>
      </w:r>
      <w:r w:rsidR="000A5F0A" w:rsidRPr="001446FA">
        <w:rPr>
          <w:color w:val="000000" w:themeColor="text1"/>
          <w:szCs w:val="22"/>
        </w:rPr>
        <w:t>) in coastal and reef sites or persistent species in intertidal reef habitat (</w:t>
      </w:r>
      <w:r w:rsidR="000A5F0A" w:rsidRPr="001446FA">
        <w:rPr>
          <w:i/>
          <w:color w:val="000000" w:themeColor="text1"/>
          <w:szCs w:val="22"/>
        </w:rPr>
        <w:t>T. hemprichii</w:t>
      </w:r>
      <w:r w:rsidR="00C153CF" w:rsidRPr="001446FA">
        <w:rPr>
          <w:color w:val="000000" w:themeColor="text1"/>
          <w:szCs w:val="22"/>
        </w:rPr>
        <w:t xml:space="preserve">) in </w:t>
      </w:r>
      <w:r w:rsidR="008574EC">
        <w:rPr>
          <w:color w:val="000000" w:themeColor="text1"/>
          <w:szCs w:val="22"/>
        </w:rPr>
        <w:t>2016–17</w:t>
      </w:r>
      <w:r w:rsidR="000A5F0A" w:rsidRPr="001446FA">
        <w:rPr>
          <w:color w:val="000000" w:themeColor="text1"/>
          <w:szCs w:val="22"/>
        </w:rPr>
        <w:t xml:space="preserve"> than in the previous </w:t>
      </w:r>
      <w:r w:rsidR="00C153CF" w:rsidRPr="001446FA">
        <w:rPr>
          <w:color w:val="000000" w:themeColor="text1"/>
          <w:szCs w:val="22"/>
        </w:rPr>
        <w:t>4</w:t>
      </w:r>
      <w:r w:rsidR="000A5F0A" w:rsidRPr="001446FA">
        <w:rPr>
          <w:color w:val="000000" w:themeColor="text1"/>
          <w:szCs w:val="22"/>
        </w:rPr>
        <w:t xml:space="preserve"> years (</w:t>
      </w:r>
      <w:r w:rsidR="00C118FA" w:rsidRPr="001446FA">
        <w:rPr>
          <w:color w:val="000000" w:themeColor="text1"/>
          <w:szCs w:val="22"/>
        </w:rPr>
        <w:fldChar w:fldCharType="begin"/>
      </w:r>
      <w:r w:rsidR="00C118FA" w:rsidRPr="001446FA">
        <w:rPr>
          <w:color w:val="000000" w:themeColor="text1"/>
          <w:szCs w:val="22"/>
        </w:rPr>
        <w:instrText xml:space="preserve"> REF _Ref380429833 \h </w:instrText>
      </w:r>
      <w:r w:rsidR="00C118FA" w:rsidRPr="001446FA">
        <w:rPr>
          <w:color w:val="000000" w:themeColor="text1"/>
          <w:szCs w:val="22"/>
        </w:rPr>
      </w:r>
      <w:r w:rsidR="00C118FA" w:rsidRPr="001446FA">
        <w:rPr>
          <w:color w:val="000000" w:themeColor="text1"/>
          <w:szCs w:val="22"/>
        </w:rPr>
        <w:fldChar w:fldCharType="separate"/>
      </w:r>
      <w:r w:rsidR="00F87DF9" w:rsidRPr="009540F9">
        <w:t xml:space="preserve">Figure </w:t>
      </w:r>
      <w:r w:rsidR="00F87DF9">
        <w:rPr>
          <w:noProof/>
        </w:rPr>
        <w:t>71</w:t>
      </w:r>
      <w:r w:rsidR="00C118FA" w:rsidRPr="001446FA">
        <w:rPr>
          <w:color w:val="000000" w:themeColor="text1"/>
          <w:szCs w:val="22"/>
        </w:rPr>
        <w:fldChar w:fldCharType="end"/>
      </w:r>
      <w:r w:rsidR="00C118FA" w:rsidRPr="001446FA">
        <w:rPr>
          <w:color w:val="000000" w:themeColor="text1"/>
          <w:szCs w:val="22"/>
        </w:rPr>
        <w:t>; Appendix 4</w:t>
      </w:r>
      <w:r w:rsidR="000A5F0A" w:rsidRPr="001446FA">
        <w:rPr>
          <w:color w:val="000000" w:themeColor="text1"/>
          <w:szCs w:val="22"/>
        </w:rPr>
        <w:t>). This is a sign of meadow progression following near decimation after the events leading up to and including 2011. Opportunistic and persistent foundation species also have a capacity to resist stress (survive, through reallocation of resources) caused by acute disturbances (</w:t>
      </w:r>
      <w:hyperlink w:anchor="_ENREF_59" w:tooltip="Collier, 2012 #9368" w:history="1">
        <w:r w:rsidR="00305FE7" w:rsidRPr="001446FA">
          <w:rPr>
            <w:color w:val="000000" w:themeColor="text1"/>
            <w:szCs w:val="22"/>
          </w:rPr>
          <w:fldChar w:fldCharType="begin"/>
        </w:r>
        <w:r w:rsidR="00305FE7" w:rsidRPr="001446FA">
          <w:rPr>
            <w:color w:val="000000" w:themeColor="text1"/>
            <w:szCs w:val="22"/>
          </w:rPr>
          <w:instrText xml:space="preserve"> ADDIN EN.CITE &lt;EndNote&gt;&lt;Cite&gt;&lt;Author&gt;Collier&lt;/Author&gt;&lt;Year&gt;2012&lt;/Year&gt;&lt;RecNum&gt;9368&lt;/RecNum&gt;&lt;DisplayText&gt;Collier&lt;style face="italic"&gt; et al.&lt;/style&gt; 2012c&lt;/DisplayText&gt;&lt;record&gt;&lt;rec-number&gt;9368&lt;/rec-number&gt;&lt;foreign-keys&gt;&lt;key app="EN" db-id="0eve55x9y5vfd6e9dacxtew4eatve2dzds9a" timestamp="1375052483"&gt;9368&lt;/key&gt;&lt;/foreign-keys&gt;&lt;ref-type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305FE7" w:rsidRPr="001446FA">
          <w:rPr>
            <w:color w:val="000000" w:themeColor="text1"/>
            <w:szCs w:val="22"/>
          </w:rPr>
          <w:fldChar w:fldCharType="separate"/>
        </w:r>
        <w:r w:rsidR="00305FE7" w:rsidRPr="001446FA">
          <w:rPr>
            <w:noProof/>
            <w:color w:val="000000" w:themeColor="text1"/>
            <w:szCs w:val="22"/>
          </w:rPr>
          <w:t>Collier</w:t>
        </w:r>
        <w:r w:rsidR="00305FE7" w:rsidRPr="001446FA">
          <w:rPr>
            <w:i/>
            <w:noProof/>
            <w:color w:val="000000" w:themeColor="text1"/>
            <w:szCs w:val="22"/>
          </w:rPr>
          <w:t xml:space="preserve"> et al.</w:t>
        </w:r>
        <w:r w:rsidR="00305FE7" w:rsidRPr="001446FA">
          <w:rPr>
            <w:noProof/>
            <w:color w:val="000000" w:themeColor="text1"/>
            <w:szCs w:val="22"/>
          </w:rPr>
          <w:t xml:space="preserve"> 2012c</w:t>
        </w:r>
        <w:r w:rsidR="00305FE7" w:rsidRPr="001446FA">
          <w:rPr>
            <w:color w:val="000000" w:themeColor="text1"/>
            <w:szCs w:val="22"/>
          </w:rPr>
          <w:fldChar w:fldCharType="end"/>
        </w:r>
      </w:hyperlink>
      <w:r w:rsidR="000A5F0A" w:rsidRPr="001446FA">
        <w:rPr>
          <w:color w:val="000000" w:themeColor="text1"/>
          <w:szCs w:val="22"/>
        </w:rPr>
        <w:t>), and therefore, current species composition provides greater overall resilie</w:t>
      </w:r>
      <w:r w:rsidR="00F96B43" w:rsidRPr="001446FA">
        <w:rPr>
          <w:color w:val="000000" w:themeColor="text1"/>
          <w:szCs w:val="22"/>
        </w:rPr>
        <w:t>nce in Burdekin meadows.</w:t>
      </w:r>
    </w:p>
    <w:p w14:paraId="441B0E04" w14:textId="77777777" w:rsidR="00270034" w:rsidRPr="000F45DC" w:rsidRDefault="00C83356"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2E06EB79" wp14:editId="7D353101">
            <wp:extent cx="4660416" cy="1674000"/>
            <wp:effectExtent l="0" t="0" r="6985" b="2540"/>
            <wp:docPr id="298" name="Picture 298" descr="Panel of three area plots showing proportion of seagrass abundance composed of species displaying colonising traits at inshore habitats in the Burdekin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B_colonising_2016.png"/>
                    <pic:cNvPicPr/>
                  </pic:nvPicPr>
                  <pic:blipFill>
                    <a:blip r:embed="rId109">
                      <a:extLst>
                        <a:ext uri="{28A0092B-C50C-407E-A947-70E740481C1C}">
                          <a14:useLocalDpi xmlns:a14="http://schemas.microsoft.com/office/drawing/2010/main" val="0"/>
                        </a:ext>
                      </a:extLst>
                    </a:blip>
                    <a:stretch>
                      <a:fillRect/>
                    </a:stretch>
                  </pic:blipFill>
                  <pic:spPr>
                    <a:xfrm>
                      <a:off x="0" y="0"/>
                      <a:ext cx="4660416" cy="1674000"/>
                    </a:xfrm>
                    <a:prstGeom prst="rect">
                      <a:avLst/>
                    </a:prstGeom>
                  </pic:spPr>
                </pic:pic>
              </a:graphicData>
            </a:graphic>
          </wp:inline>
        </w:drawing>
      </w:r>
    </w:p>
    <w:p w14:paraId="5CF59B93" w14:textId="264EB429" w:rsidR="00B910F2" w:rsidRPr="009540F9" w:rsidRDefault="00BC6300" w:rsidP="00B910F2">
      <w:pPr>
        <w:rPr>
          <w:i/>
          <w:vanish/>
          <w:szCs w:val="22"/>
          <w:specVanish/>
        </w:rPr>
      </w:pPr>
      <w:bookmarkStart w:id="403" w:name="_Ref380429833"/>
      <w:bookmarkStart w:id="404" w:name="_Toc431493858"/>
      <w:bookmarkStart w:id="405" w:name="_Toc516053281"/>
      <w:r w:rsidRPr="009540F9">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71</w:t>
      </w:r>
      <w:r w:rsidR="00C506C7">
        <w:rPr>
          <w:noProof/>
        </w:rPr>
        <w:fldChar w:fldCharType="end"/>
      </w:r>
      <w:bookmarkEnd w:id="403"/>
      <w:r w:rsidRPr="009540F9">
        <w:t xml:space="preserve">. </w:t>
      </w:r>
      <w:r w:rsidRPr="009540F9">
        <w:rPr>
          <w:i/>
        </w:rPr>
        <w:t xml:space="preserve">Proportion of seagrass abundance composed of </w:t>
      </w:r>
      <w:r w:rsidR="00270034" w:rsidRPr="009540F9">
        <w:rPr>
          <w:i/>
        </w:rPr>
        <w:t>colonising</w:t>
      </w:r>
      <w:r w:rsidRPr="009540F9">
        <w:rPr>
          <w:i/>
        </w:rPr>
        <w:t xml:space="preserve"> species</w:t>
      </w:r>
      <w:r w:rsidR="00B910F2" w:rsidRPr="009540F9">
        <w:rPr>
          <w:i/>
        </w:rPr>
        <w:t xml:space="preserve"> at inshore habitats in the Burdekin region, 2001 - 201</w:t>
      </w:r>
      <w:r w:rsidR="009540F9" w:rsidRPr="009540F9">
        <w:rPr>
          <w:i/>
        </w:rPr>
        <w:t>7</w:t>
      </w:r>
      <w:r w:rsidRPr="009540F9">
        <w:rPr>
          <w:i/>
        </w:rPr>
        <w:t>.</w:t>
      </w:r>
      <w:bookmarkEnd w:id="404"/>
      <w:bookmarkEnd w:id="405"/>
      <w:r w:rsidRPr="009540F9">
        <w:rPr>
          <w:i/>
        </w:rPr>
        <w:t xml:space="preserve"> </w:t>
      </w:r>
    </w:p>
    <w:p w14:paraId="555E345D" w14:textId="1C987E86" w:rsidR="00B910F2" w:rsidRPr="006B4212" w:rsidRDefault="00BC6300" w:rsidP="00B910F2">
      <w:pPr>
        <w:rPr>
          <w:color w:val="000000"/>
        </w:rPr>
      </w:pPr>
      <w:r w:rsidRPr="009540F9">
        <w:rPr>
          <w:i/>
        </w:rPr>
        <w:t xml:space="preserve">Grey area represents </w:t>
      </w:r>
      <w:r w:rsidR="007F6948">
        <w:rPr>
          <w:i/>
        </w:rPr>
        <w:t>Great Barrier Reef</w:t>
      </w:r>
      <w:r w:rsidRPr="009540F9">
        <w:rPr>
          <w:i/>
        </w:rPr>
        <w:t xml:space="preserve"> long-term average proportion of </w:t>
      </w:r>
      <w:r w:rsidR="00270034">
        <w:rPr>
          <w:i/>
          <w:color w:val="000000"/>
        </w:rPr>
        <w:t>colonising</w:t>
      </w:r>
      <w:r w:rsidRPr="006B4212">
        <w:rPr>
          <w:i/>
          <w:color w:val="000000"/>
        </w:rPr>
        <w:t xml:space="preserve"> </w:t>
      </w:r>
      <w:r w:rsidR="00E207CE" w:rsidRPr="006B4212">
        <w:rPr>
          <w:i/>
          <w:color w:val="000000"/>
        </w:rPr>
        <w:t xml:space="preserve">species </w:t>
      </w:r>
      <w:r w:rsidRPr="006B4212">
        <w:rPr>
          <w:i/>
          <w:color w:val="000000"/>
        </w:rPr>
        <w:t>for each habitat type.</w:t>
      </w:r>
      <w:r w:rsidR="00B910F2" w:rsidRPr="006B4212">
        <w:rPr>
          <w:color w:val="000000"/>
        </w:rPr>
        <w:t xml:space="preserve"> </w:t>
      </w:r>
    </w:p>
    <w:p w14:paraId="1A0BA516" w14:textId="213AA323" w:rsidR="00270034" w:rsidRPr="00110BFF" w:rsidRDefault="00F96B43" w:rsidP="00034AD4">
      <w:pPr>
        <w:rPr>
          <w:szCs w:val="22"/>
          <w:lang w:val="en-US"/>
        </w:rPr>
      </w:pPr>
      <w:r w:rsidRPr="00110BFF">
        <w:rPr>
          <w:szCs w:val="22"/>
          <w:lang w:val="en-GB"/>
        </w:rPr>
        <w:t>Seagrass meadow extent within all intertidal monitoring sites has fluctuated within and between years (</w:t>
      </w:r>
      <w:r w:rsidRPr="00110BFF">
        <w:rPr>
          <w:szCs w:val="22"/>
          <w:lang w:val="en-GB"/>
        </w:rPr>
        <w:fldChar w:fldCharType="begin"/>
      </w:r>
      <w:r w:rsidRPr="00110BFF">
        <w:rPr>
          <w:szCs w:val="22"/>
          <w:lang w:val="en-GB"/>
        </w:rPr>
        <w:instrText xml:space="preserve"> REF _Ref179449820 \h </w:instrText>
      </w:r>
      <w:r w:rsidRPr="00110BFF">
        <w:rPr>
          <w:szCs w:val="22"/>
          <w:lang w:val="en-GB"/>
        </w:rPr>
      </w:r>
      <w:r w:rsidRPr="00110BFF">
        <w:rPr>
          <w:szCs w:val="22"/>
          <w:lang w:val="en-GB"/>
        </w:rPr>
        <w:fldChar w:fldCharType="separate"/>
      </w:r>
      <w:r w:rsidR="00F87DF9" w:rsidRPr="00110BFF">
        <w:rPr>
          <w:szCs w:val="22"/>
        </w:rPr>
        <w:t xml:space="preserve">Figure </w:t>
      </w:r>
      <w:r w:rsidR="00F87DF9">
        <w:rPr>
          <w:noProof/>
          <w:szCs w:val="22"/>
        </w:rPr>
        <w:t>72</w:t>
      </w:r>
      <w:r w:rsidRPr="00110BFF">
        <w:rPr>
          <w:szCs w:val="22"/>
          <w:lang w:val="en-GB"/>
        </w:rPr>
        <w:fldChar w:fldCharType="end"/>
      </w:r>
      <w:r w:rsidRPr="00110BFF">
        <w:rPr>
          <w:szCs w:val="22"/>
          <w:lang w:val="en-GB"/>
        </w:rPr>
        <w:t xml:space="preserve">), primarily due to </w:t>
      </w:r>
      <w:r w:rsidR="00110BFF" w:rsidRPr="00110BFF">
        <w:rPr>
          <w:szCs w:val="22"/>
          <w:lang w:val="en-GB"/>
        </w:rPr>
        <w:t xml:space="preserve">short-term </w:t>
      </w:r>
      <w:r w:rsidRPr="00110BFF">
        <w:rPr>
          <w:szCs w:val="22"/>
          <w:lang w:val="en-GB"/>
        </w:rPr>
        <w:t xml:space="preserve">losses and subsequent recolonisation. </w:t>
      </w:r>
      <w:r w:rsidR="00E85003" w:rsidRPr="00110BFF">
        <w:rPr>
          <w:szCs w:val="22"/>
          <w:lang w:val="en-US"/>
        </w:rPr>
        <w:t xml:space="preserve">In the </w:t>
      </w:r>
      <w:r w:rsidR="005132EF" w:rsidRPr="00110BFF">
        <w:rPr>
          <w:szCs w:val="22"/>
          <w:lang w:val="en-US"/>
        </w:rPr>
        <w:t>two to three years</w:t>
      </w:r>
      <w:r w:rsidR="00E85003" w:rsidRPr="00110BFF">
        <w:rPr>
          <w:szCs w:val="22"/>
          <w:lang w:val="en-US"/>
        </w:rPr>
        <w:t xml:space="preserve"> prior to 2011</w:t>
      </w:r>
      <w:r w:rsidR="005132EF" w:rsidRPr="00110BFF">
        <w:rPr>
          <w:szCs w:val="22"/>
          <w:lang w:val="en-US"/>
        </w:rPr>
        <w:t>, significant changes occurred across the region with all seagrass meadows reducing in size and changing in landscape from continuous, to patchy, to isolated patches and finally to isolated shoots with the loss of meadow cohesion (</w:t>
      </w:r>
      <w:r w:rsidR="00E85003" w:rsidRPr="00110BFF">
        <w:fldChar w:fldCharType="begin"/>
      </w:r>
      <w:r w:rsidR="00E85003" w:rsidRPr="00110BFF">
        <w:rPr>
          <w:szCs w:val="22"/>
          <w:lang w:val="en-US"/>
        </w:rPr>
        <w:instrText xml:space="preserve"> REF _Ref179449820 \h </w:instrText>
      </w:r>
      <w:r w:rsidR="00E85003" w:rsidRPr="00110BFF">
        <w:instrText xml:space="preserve"> \* MERGEFORMAT </w:instrText>
      </w:r>
      <w:r w:rsidR="00E85003" w:rsidRPr="00110BFF">
        <w:fldChar w:fldCharType="separate"/>
      </w:r>
      <w:r w:rsidR="00F87DF9" w:rsidRPr="00110BFF">
        <w:rPr>
          <w:szCs w:val="22"/>
        </w:rPr>
        <w:t xml:space="preserve">Figure </w:t>
      </w:r>
      <w:r w:rsidR="00F87DF9">
        <w:rPr>
          <w:noProof/>
          <w:szCs w:val="22"/>
        </w:rPr>
        <w:t>72</w:t>
      </w:r>
      <w:r w:rsidR="00E85003" w:rsidRPr="00110BFF">
        <w:fldChar w:fldCharType="end"/>
      </w:r>
      <w:r w:rsidR="005132EF" w:rsidRPr="00110BFF">
        <w:rPr>
          <w:szCs w:val="22"/>
          <w:lang w:val="en-US"/>
        </w:rPr>
        <w:t>).</w:t>
      </w:r>
      <w:r w:rsidR="00734C8B" w:rsidRPr="00110BFF">
        <w:rPr>
          <w:szCs w:val="22"/>
          <w:lang w:val="en-US"/>
        </w:rPr>
        <w:t xml:space="preserve"> That trend was also replicated at the Bay-wide scale in Cleveland Bay, with considerable loss of meadow area and meadow fragmentation (</w:t>
      </w:r>
      <w:hyperlink w:anchor="_ENREF_187" w:tooltip="Petus, 2014 #10800" w:history="1">
        <w:r w:rsidR="00305FE7" w:rsidRPr="00110BFF">
          <w:rPr>
            <w:szCs w:val="22"/>
            <w:lang w:val="en-US"/>
          </w:rPr>
          <w:fldChar w:fldCharType="begin"/>
        </w:r>
        <w:r w:rsidR="00305FE7" w:rsidRPr="00110BFF">
          <w:rPr>
            <w:szCs w:val="22"/>
            <w:lang w:val="en-US"/>
          </w:rPr>
          <w:instrText xml:space="preserve"> ADDIN EN.CITE &lt;EndNote&gt;&lt;Cite&gt;&lt;Author&gt;Petus&lt;/Author&gt;&lt;Year&gt;2014&lt;/Year&gt;&lt;RecNum&gt;10800&lt;/RecNum&gt;&lt;DisplayText&gt;Petus&lt;style face="italic"&gt; et al.&lt;/style&gt; 2014a&lt;/DisplayText&gt;&lt;record&gt;&lt;rec-number&gt;10800&lt;/rec-number&gt;&lt;foreign-keys&gt;&lt;key app="EN" db-id="0eve55x9y5vfd6e9dacxtew4eatve2dzds9a" timestamp="1479685536"&gt;10800&lt;/key&gt;&lt;/foreign-keys&gt;&lt;ref-type name="Journal Article"&gt;17&lt;/ref-type&gt;&lt;contributors&gt;&lt;authors&gt;&lt;author&gt;Petus, Caroline&lt;/author&gt;&lt;author&gt;Collier, Catherine&lt;/author&gt;&lt;author&gt;Devlin, Michelle&lt;/author&gt;&lt;author&gt;Rasheed, Michael&lt;/author&gt;&lt;author&gt;McKenna, Skye&lt;/author&gt;&lt;/authors&gt;&lt;/contributors&gt;&lt;titles&gt;&lt;title&gt;Using MODIS data for understanding changes in seagrass meadow health: A case study in the Great Barrier Reef (Australia)&lt;/title&gt;&lt;secondary-title&gt;Marine Environmental Research&lt;/secondary-title&gt;&lt;/titles&gt;&lt;periodical&gt;&lt;full-title&gt;Marine Environmental Research&lt;/full-title&gt;&lt;/periodical&gt;&lt;pages&gt;68-85&lt;/pages&gt;&lt;volume&gt;98&lt;/volume&gt;&lt;keywords&gt;&lt;keyword&gt;Seagrass health&lt;/keyword&gt;&lt;keyword&gt;MODIS&lt;/keyword&gt;&lt;keyword&gt;Water clarity&lt;/keyword&gt;&lt;keyword&gt;Ecological consequences&lt;/keyword&gt;&lt;/keywords&gt;&lt;dates&gt;&lt;year&gt;2014&lt;/year&gt;&lt;/dates&gt;&lt;isbn&gt;0141-1136&lt;/isbn&gt;&lt;urls&gt;&lt;related-urls&gt;&lt;url&gt;http://www.sciencedirect.com/science/article/pii/S0141113614000488&lt;/url&gt;&lt;/related-urls&gt;&lt;/urls&gt;&lt;electronic-resource-num&gt;http://dx.doi.org/10.1016/j.marenvres.2014.03.006&lt;/electronic-resource-num&gt;&lt;/record&gt;&lt;/Cite&gt;&lt;/EndNote&gt;</w:instrText>
        </w:r>
        <w:r w:rsidR="00305FE7" w:rsidRPr="00110BFF">
          <w:rPr>
            <w:szCs w:val="22"/>
            <w:lang w:val="en-US"/>
          </w:rPr>
          <w:fldChar w:fldCharType="separate"/>
        </w:r>
        <w:r w:rsidR="00305FE7" w:rsidRPr="00110BFF">
          <w:rPr>
            <w:noProof/>
            <w:szCs w:val="22"/>
            <w:lang w:val="en-US"/>
          </w:rPr>
          <w:t>Petus</w:t>
        </w:r>
        <w:r w:rsidR="00305FE7" w:rsidRPr="00110BFF">
          <w:rPr>
            <w:i/>
            <w:noProof/>
            <w:szCs w:val="22"/>
            <w:lang w:val="en-US"/>
          </w:rPr>
          <w:t xml:space="preserve"> et al.</w:t>
        </w:r>
        <w:r w:rsidR="00305FE7" w:rsidRPr="00110BFF">
          <w:rPr>
            <w:noProof/>
            <w:szCs w:val="22"/>
            <w:lang w:val="en-US"/>
          </w:rPr>
          <w:t xml:space="preserve"> 2014a</w:t>
        </w:r>
        <w:r w:rsidR="00305FE7" w:rsidRPr="00110BFF">
          <w:rPr>
            <w:szCs w:val="22"/>
            <w:lang w:val="en-US"/>
          </w:rPr>
          <w:fldChar w:fldCharType="end"/>
        </w:r>
      </w:hyperlink>
      <w:r w:rsidR="00734C8B" w:rsidRPr="00110BFF">
        <w:rPr>
          <w:szCs w:val="22"/>
          <w:lang w:val="en-US"/>
        </w:rPr>
        <w:t>).</w:t>
      </w:r>
      <w:r w:rsidR="005132EF" w:rsidRPr="00110BFF">
        <w:rPr>
          <w:szCs w:val="22"/>
          <w:lang w:val="en-US"/>
        </w:rPr>
        <w:t xml:space="preserve"> </w:t>
      </w:r>
      <w:r w:rsidR="0063146C" w:rsidRPr="00110BFF">
        <w:rPr>
          <w:szCs w:val="22"/>
          <w:lang w:val="en-US"/>
        </w:rPr>
        <w:t xml:space="preserve">This was caused by the high rainfall and riverine discharge that affected much of the </w:t>
      </w:r>
      <w:r w:rsidR="007F6948">
        <w:rPr>
          <w:szCs w:val="22"/>
          <w:lang w:val="en-US"/>
        </w:rPr>
        <w:t>Great Barrier Reef</w:t>
      </w:r>
      <w:r w:rsidR="0063146C" w:rsidRPr="00110BFF">
        <w:rPr>
          <w:szCs w:val="22"/>
          <w:lang w:val="en-US"/>
        </w:rPr>
        <w:t xml:space="preserve">. </w:t>
      </w:r>
      <w:r w:rsidR="00E85003" w:rsidRPr="00110BFF">
        <w:rPr>
          <w:szCs w:val="22"/>
          <w:lang w:val="en-US"/>
        </w:rPr>
        <w:t>Since 2011, meadow extents have increased in both coastal and reef habitats to pre-2009 levels (</w:t>
      </w:r>
      <w:r w:rsidR="00E85003" w:rsidRPr="00110BFF">
        <w:fldChar w:fldCharType="begin"/>
      </w:r>
      <w:r w:rsidR="00E85003" w:rsidRPr="00110BFF">
        <w:rPr>
          <w:szCs w:val="22"/>
          <w:lang w:val="en-US"/>
        </w:rPr>
        <w:instrText xml:space="preserve"> REF _Ref179449820 \h </w:instrText>
      </w:r>
      <w:r w:rsidR="00E85003" w:rsidRPr="00110BFF">
        <w:instrText xml:space="preserve"> \* MERGEFORMAT </w:instrText>
      </w:r>
      <w:r w:rsidR="00E85003" w:rsidRPr="00110BFF">
        <w:fldChar w:fldCharType="separate"/>
      </w:r>
      <w:r w:rsidR="00F87DF9" w:rsidRPr="00110BFF">
        <w:rPr>
          <w:szCs w:val="22"/>
        </w:rPr>
        <w:t xml:space="preserve">Figure </w:t>
      </w:r>
      <w:r w:rsidR="00F87DF9">
        <w:rPr>
          <w:noProof/>
          <w:szCs w:val="22"/>
        </w:rPr>
        <w:t>72</w:t>
      </w:r>
      <w:r w:rsidR="00E85003" w:rsidRPr="00110BFF">
        <w:fldChar w:fldCharType="end"/>
      </w:r>
      <w:r w:rsidR="00E85003" w:rsidRPr="00110BFF">
        <w:rPr>
          <w:szCs w:val="22"/>
          <w:lang w:val="en-US"/>
        </w:rPr>
        <w:t>)</w:t>
      </w:r>
      <w:r w:rsidR="0040420B" w:rsidRPr="00110BFF">
        <w:rPr>
          <w:szCs w:val="22"/>
          <w:lang w:val="en-US"/>
        </w:rPr>
        <w:t xml:space="preserve"> and have remained stable</w:t>
      </w:r>
      <w:r w:rsidR="00E85003" w:rsidRPr="00110BFF">
        <w:rPr>
          <w:szCs w:val="22"/>
          <w:lang w:val="en-US"/>
        </w:rPr>
        <w:t>.</w:t>
      </w:r>
      <w:r w:rsidR="0040420B" w:rsidRPr="00110BFF">
        <w:rPr>
          <w:szCs w:val="22"/>
          <w:lang w:val="en-US"/>
        </w:rPr>
        <w:t xml:space="preserve"> </w:t>
      </w:r>
      <w:r w:rsidR="009243E9" w:rsidRPr="00110BFF">
        <w:rPr>
          <w:szCs w:val="22"/>
          <w:lang w:val="en-US"/>
        </w:rPr>
        <w:t xml:space="preserve">In </w:t>
      </w:r>
      <w:r w:rsidR="004F39E2" w:rsidRPr="00110BFF">
        <w:rPr>
          <w:szCs w:val="22"/>
          <w:lang w:val="en-US"/>
        </w:rPr>
        <w:t xml:space="preserve">early </w:t>
      </w:r>
      <w:r w:rsidR="009243E9" w:rsidRPr="00110BFF">
        <w:rPr>
          <w:szCs w:val="22"/>
          <w:lang w:val="en-US"/>
        </w:rPr>
        <w:t>2014, however, seagrass extent declined at the subtidal habitat, to the lowest in 2 years</w:t>
      </w:r>
      <w:r w:rsidR="0063146C" w:rsidRPr="00110BFF">
        <w:rPr>
          <w:szCs w:val="22"/>
          <w:lang w:val="en-US"/>
        </w:rPr>
        <w:t xml:space="preserve"> but </w:t>
      </w:r>
      <w:r w:rsidR="004F39E2" w:rsidRPr="00110BFF">
        <w:rPr>
          <w:szCs w:val="22"/>
          <w:lang w:val="en-US"/>
        </w:rPr>
        <w:t>subse</w:t>
      </w:r>
      <w:r w:rsidR="00734C8B" w:rsidRPr="00110BFF">
        <w:rPr>
          <w:szCs w:val="22"/>
          <w:lang w:val="en-US"/>
        </w:rPr>
        <w:t>quently recovered</w:t>
      </w:r>
      <w:r w:rsidR="00110BFF" w:rsidRPr="00110BFF">
        <w:rPr>
          <w:szCs w:val="22"/>
          <w:lang w:val="en-US"/>
        </w:rPr>
        <w:t xml:space="preserve"> within 6 months to it’s maximum extent</w:t>
      </w:r>
      <w:r w:rsidR="00734C8B" w:rsidRPr="00110BFF">
        <w:rPr>
          <w:szCs w:val="22"/>
          <w:lang w:val="en-US"/>
        </w:rPr>
        <w:t xml:space="preserve">. </w:t>
      </w:r>
      <w:r w:rsidR="00110BFF" w:rsidRPr="00110BFF">
        <w:rPr>
          <w:szCs w:val="22"/>
          <w:lang w:val="en-US"/>
        </w:rPr>
        <w:t xml:space="preserve">Little change has occurred in the extent of seagrass meadows in all habitats over the last 2-3 years. </w:t>
      </w:r>
    </w:p>
    <w:p w14:paraId="4BC8F38A" w14:textId="77777777" w:rsidR="00270034" w:rsidRPr="000F45DC" w:rsidRDefault="00C83356"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22C1741A" wp14:editId="064E0836">
            <wp:extent cx="4320000" cy="1804256"/>
            <wp:effectExtent l="0" t="0" r="4445" b="5715"/>
            <wp:docPr id="299" name="Picture 299" descr="Line graphs showing spatial extent of seagrass meadows within a 100m radius of monitoring sites for each habitat and monitoring period across the Burdekin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B_extent_avg_2016.png"/>
                    <pic:cNvPicPr/>
                  </pic:nvPicPr>
                  <pic:blipFill>
                    <a:blip r:embed="rId110">
                      <a:extLst>
                        <a:ext uri="{28A0092B-C50C-407E-A947-70E740481C1C}">
                          <a14:useLocalDpi xmlns:a14="http://schemas.microsoft.com/office/drawing/2010/main" val="0"/>
                        </a:ext>
                      </a:extLst>
                    </a:blip>
                    <a:stretch>
                      <a:fillRect/>
                    </a:stretch>
                  </pic:blipFill>
                  <pic:spPr>
                    <a:xfrm>
                      <a:off x="0" y="0"/>
                      <a:ext cx="4320000" cy="1804256"/>
                    </a:xfrm>
                    <a:prstGeom prst="rect">
                      <a:avLst/>
                    </a:prstGeom>
                  </pic:spPr>
                </pic:pic>
              </a:graphicData>
            </a:graphic>
          </wp:inline>
        </w:drawing>
      </w:r>
    </w:p>
    <w:p w14:paraId="7733D7F6" w14:textId="7C447B6D" w:rsidR="00BC6300" w:rsidRPr="00110BFF" w:rsidRDefault="005132EF" w:rsidP="00BC6300">
      <w:pPr>
        <w:rPr>
          <w:i/>
          <w:szCs w:val="22"/>
        </w:rPr>
      </w:pPr>
      <w:bookmarkStart w:id="406" w:name="_Ref179449820"/>
      <w:bookmarkStart w:id="407" w:name="_Toc176158888"/>
      <w:bookmarkStart w:id="408" w:name="_Toc232845989"/>
      <w:bookmarkStart w:id="409" w:name="_Toc431493859"/>
      <w:bookmarkStart w:id="410" w:name="_Toc516053282"/>
      <w:r w:rsidRPr="00110BFF">
        <w:rPr>
          <w:szCs w:val="22"/>
        </w:rPr>
        <w:t xml:space="preserve">Figure </w:t>
      </w:r>
      <w:r w:rsidR="0073595B" w:rsidRPr="00110BFF">
        <w:rPr>
          <w:szCs w:val="22"/>
        </w:rPr>
        <w:fldChar w:fldCharType="begin"/>
      </w:r>
      <w:r w:rsidR="0073595B" w:rsidRPr="00110BFF">
        <w:rPr>
          <w:szCs w:val="22"/>
        </w:rPr>
        <w:instrText xml:space="preserve"> SEQ Figure \* ARABIC </w:instrText>
      </w:r>
      <w:r w:rsidR="0073595B" w:rsidRPr="00110BFF">
        <w:rPr>
          <w:szCs w:val="22"/>
        </w:rPr>
        <w:fldChar w:fldCharType="separate"/>
      </w:r>
      <w:r w:rsidR="00F87DF9">
        <w:rPr>
          <w:noProof/>
          <w:szCs w:val="22"/>
        </w:rPr>
        <w:t>72</w:t>
      </w:r>
      <w:r w:rsidR="0073595B" w:rsidRPr="00110BFF">
        <w:rPr>
          <w:szCs w:val="22"/>
        </w:rPr>
        <w:fldChar w:fldCharType="end"/>
      </w:r>
      <w:bookmarkEnd w:id="406"/>
      <w:r w:rsidRPr="00110BFF">
        <w:rPr>
          <w:szCs w:val="22"/>
        </w:rPr>
        <w:t>.</w:t>
      </w:r>
      <w:bookmarkEnd w:id="407"/>
      <w:bookmarkEnd w:id="408"/>
      <w:r w:rsidR="00BC6300" w:rsidRPr="00110BFF">
        <w:rPr>
          <w:szCs w:val="22"/>
        </w:rPr>
        <w:t xml:space="preserve"> </w:t>
      </w:r>
      <w:r w:rsidR="00BC6300" w:rsidRPr="00110BFF">
        <w:rPr>
          <w:i/>
          <w:szCs w:val="22"/>
        </w:rPr>
        <w:t xml:space="preserve">Change in spatial extent of seagrass meadows within monitoring sites for each </w:t>
      </w:r>
      <w:r w:rsidR="00B910F2" w:rsidRPr="00110BFF">
        <w:rPr>
          <w:i/>
          <w:szCs w:val="22"/>
        </w:rPr>
        <w:t xml:space="preserve">inshore intertidal </w:t>
      </w:r>
      <w:r w:rsidR="00BC6300" w:rsidRPr="00110BFF">
        <w:rPr>
          <w:i/>
          <w:szCs w:val="22"/>
        </w:rPr>
        <w:t>habitat and monitoring period across the Burdekin region</w:t>
      </w:r>
      <w:r w:rsidR="00B910F2" w:rsidRPr="00110BFF">
        <w:rPr>
          <w:i/>
          <w:szCs w:val="22"/>
        </w:rPr>
        <w:t>, 2005 - 201</w:t>
      </w:r>
      <w:r w:rsidR="00110BFF" w:rsidRPr="00110BFF">
        <w:rPr>
          <w:i/>
          <w:szCs w:val="22"/>
        </w:rPr>
        <w:t>7</w:t>
      </w:r>
      <w:r w:rsidR="00BC6300" w:rsidRPr="00110BFF">
        <w:rPr>
          <w:i/>
          <w:szCs w:val="22"/>
        </w:rPr>
        <w:t>.</w:t>
      </w:r>
      <w:bookmarkEnd w:id="409"/>
      <w:bookmarkEnd w:id="410"/>
    </w:p>
    <w:p w14:paraId="27188669" w14:textId="471CA78A" w:rsidR="00EF513A" w:rsidRPr="004B7238" w:rsidRDefault="003059B8" w:rsidP="004B7238">
      <w:pPr>
        <w:rPr>
          <w:lang w:val="en-GB" w:eastAsia="en-AU"/>
        </w:rPr>
      </w:pPr>
      <w:bookmarkStart w:id="411" w:name="_Toc184102000"/>
      <w:r>
        <w:rPr>
          <w:color w:val="000000" w:themeColor="text1"/>
          <w:lang w:val="en-GB" w:eastAsia="en-AU"/>
        </w:rPr>
        <w:t xml:space="preserve">The trends observed at the inshore MMP sites, broadly reflect the overall trends observed in complimentary monitoring programs. </w:t>
      </w:r>
      <w:r w:rsidR="00270034" w:rsidRPr="004B7238">
        <w:rPr>
          <w:color w:val="000000" w:themeColor="text1"/>
          <w:lang w:val="en-GB" w:eastAsia="en-AU"/>
        </w:rPr>
        <w:t xml:space="preserve">Apart from the MMP, seagrass monitoring within the Burdekin NRM region is also conducted </w:t>
      </w:r>
      <w:r w:rsidR="00EB220B" w:rsidRPr="004B7238">
        <w:rPr>
          <w:color w:val="000000" w:themeColor="text1"/>
          <w:lang w:val="en-GB"/>
        </w:rPr>
        <w:t xml:space="preserve">in places where cumulative anthropogenic impacts to seagrass are highest </w:t>
      </w:r>
      <w:r w:rsidR="00270034" w:rsidRPr="004B7238">
        <w:rPr>
          <w:color w:val="000000" w:themeColor="text1"/>
          <w:lang w:val="en-GB" w:eastAsia="en-AU"/>
        </w:rPr>
        <w:t xml:space="preserve">as part of the Queensland Ports Seagrass Monitoring Program (QPSMP). </w:t>
      </w:r>
      <w:r w:rsidR="00A628A2" w:rsidRPr="004B7238">
        <w:rPr>
          <w:color w:val="000000" w:themeColor="text1"/>
          <w:lang w:val="en-GB" w:eastAsia="en-AU"/>
        </w:rPr>
        <w:t>Ann</w:t>
      </w:r>
      <w:r w:rsidR="004B7238" w:rsidRPr="004B7238">
        <w:rPr>
          <w:color w:val="000000" w:themeColor="text1"/>
          <w:lang w:val="en-GB" w:eastAsia="en-AU"/>
        </w:rPr>
        <w:t>ual monitoring in September and October 2016</w:t>
      </w:r>
      <w:r w:rsidR="00A628A2" w:rsidRPr="004B7238">
        <w:rPr>
          <w:color w:val="000000" w:themeColor="text1"/>
          <w:lang w:val="en-GB" w:eastAsia="en-AU"/>
        </w:rPr>
        <w:t xml:space="preserve"> of 10 seagrass meadows in the Port of Townsville reported minor, but not significant, increases in overall extent (</w:t>
      </w:r>
      <w:r w:rsidR="00E01B30">
        <w:t>Wells and Rasheed 2017</w:t>
      </w:r>
      <w:r w:rsidR="00441914">
        <w:t>,</w:t>
      </w:r>
      <w:r w:rsidR="00E01B30">
        <w:t xml:space="preserve"> </w:t>
      </w:r>
      <w:r w:rsidR="00A628A2" w:rsidRPr="004B7238">
        <w:rPr>
          <w:color w:val="000000" w:themeColor="text1"/>
          <w:lang w:val="en-GB" w:eastAsia="en-AU"/>
        </w:rPr>
        <w:fldChar w:fldCharType="begin"/>
      </w:r>
      <w:r w:rsidR="00A628A2" w:rsidRPr="004B7238">
        <w:rPr>
          <w:color w:val="000000" w:themeColor="text1"/>
          <w:lang w:val="en-GB" w:eastAsia="en-AU"/>
        </w:rPr>
        <w:instrText xml:space="preserve"> REF _Ref469655765 \h </w:instrText>
      </w:r>
      <w:r w:rsidR="00A628A2" w:rsidRPr="004B7238">
        <w:rPr>
          <w:color w:val="000000" w:themeColor="text1"/>
          <w:lang w:val="en-GB" w:eastAsia="en-AU"/>
        </w:rPr>
      </w:r>
      <w:r w:rsidR="00A628A2" w:rsidRPr="004B7238">
        <w:rPr>
          <w:color w:val="000000" w:themeColor="text1"/>
          <w:lang w:val="en-GB" w:eastAsia="en-AU"/>
        </w:rPr>
        <w:fldChar w:fldCharType="separate"/>
      </w:r>
      <w:r w:rsidR="00F87DF9" w:rsidRPr="00E55207">
        <w:t xml:space="preserve">Figure </w:t>
      </w:r>
      <w:r w:rsidR="00F87DF9">
        <w:rPr>
          <w:noProof/>
        </w:rPr>
        <w:t>73</w:t>
      </w:r>
      <w:r w:rsidR="00A628A2" w:rsidRPr="004B7238">
        <w:rPr>
          <w:color w:val="000000" w:themeColor="text1"/>
          <w:lang w:val="en-GB" w:eastAsia="en-AU"/>
        </w:rPr>
        <w:fldChar w:fldCharType="end"/>
      </w:r>
      <w:r w:rsidR="00A628A2" w:rsidRPr="004B7238">
        <w:rPr>
          <w:color w:val="000000" w:themeColor="text1"/>
          <w:lang w:val="en-GB" w:eastAsia="en-AU"/>
        </w:rPr>
        <w:t xml:space="preserve">). </w:t>
      </w:r>
      <w:r w:rsidR="00A628A2" w:rsidRPr="00EA6305">
        <w:rPr>
          <w:color w:val="000000" w:themeColor="text1"/>
        </w:rPr>
        <w:t>The increas</w:t>
      </w:r>
      <w:r w:rsidR="00F015B4">
        <w:rPr>
          <w:color w:val="000000" w:themeColor="text1"/>
        </w:rPr>
        <w:t>ed extent was largely due to the</w:t>
      </w:r>
      <w:r w:rsidR="00A628A2" w:rsidRPr="00EA6305">
        <w:rPr>
          <w:color w:val="000000" w:themeColor="text1"/>
        </w:rPr>
        <w:t xml:space="preserve"> expansion of a subtidal</w:t>
      </w:r>
      <w:r w:rsidR="00EA6305">
        <w:rPr>
          <w:color w:val="000000" w:themeColor="text1"/>
        </w:rPr>
        <w:t xml:space="preserve"> </w:t>
      </w:r>
      <w:r w:rsidR="00EA6305" w:rsidRPr="00EA6305">
        <w:rPr>
          <w:i/>
          <w:color w:val="000000" w:themeColor="text1"/>
        </w:rPr>
        <w:t>Halodule uninervis</w:t>
      </w:r>
      <w:r w:rsidR="00EA6305">
        <w:rPr>
          <w:color w:val="000000" w:themeColor="text1"/>
        </w:rPr>
        <w:t xml:space="preserve"> and</w:t>
      </w:r>
      <w:r w:rsidR="00A628A2" w:rsidRPr="00EA6305">
        <w:rPr>
          <w:color w:val="000000" w:themeColor="text1"/>
        </w:rPr>
        <w:t xml:space="preserve"> </w:t>
      </w:r>
      <w:r w:rsidR="00A628A2" w:rsidRPr="00EA6305">
        <w:rPr>
          <w:i/>
          <w:color w:val="000000" w:themeColor="text1"/>
        </w:rPr>
        <w:t>Halophila spinulosa</w:t>
      </w:r>
      <w:r w:rsidR="00A628A2" w:rsidRPr="00EA6305">
        <w:rPr>
          <w:color w:val="000000" w:themeColor="text1"/>
        </w:rPr>
        <w:t xml:space="preserve"> dominated meadow</w:t>
      </w:r>
      <w:r w:rsidR="00EA6305">
        <w:rPr>
          <w:color w:val="000000" w:themeColor="text1"/>
        </w:rPr>
        <w:t>s</w:t>
      </w:r>
      <w:r w:rsidR="00A628A2" w:rsidRPr="00EA6305">
        <w:rPr>
          <w:color w:val="000000" w:themeColor="text1"/>
        </w:rPr>
        <w:t xml:space="preserve"> adjacent to Cape Pallarenda</w:t>
      </w:r>
      <w:r w:rsidR="00EA6305">
        <w:rPr>
          <w:color w:val="000000" w:themeColor="text1"/>
        </w:rPr>
        <w:t xml:space="preserve"> (meadows 12 and 14)</w:t>
      </w:r>
      <w:r w:rsidR="00EA6305">
        <w:rPr>
          <w:color w:val="0000FF"/>
        </w:rPr>
        <w:t xml:space="preserve"> </w:t>
      </w:r>
      <w:r w:rsidR="00EA6305" w:rsidRPr="00EA6305">
        <w:rPr>
          <w:color w:val="000000" w:themeColor="text1"/>
        </w:rPr>
        <w:t xml:space="preserve">and the large </w:t>
      </w:r>
      <w:r w:rsidR="00EA6305" w:rsidRPr="00EA6305">
        <w:rPr>
          <w:i/>
          <w:color w:val="000000" w:themeColor="text1"/>
        </w:rPr>
        <w:t>H. uninervis</w:t>
      </w:r>
      <w:r w:rsidR="00EA6305" w:rsidRPr="00EA6305">
        <w:rPr>
          <w:color w:val="000000" w:themeColor="text1"/>
        </w:rPr>
        <w:t xml:space="preserve"> and </w:t>
      </w:r>
      <w:r w:rsidR="00EA6305" w:rsidRPr="00EA6305">
        <w:rPr>
          <w:i/>
          <w:color w:val="000000" w:themeColor="text1"/>
        </w:rPr>
        <w:t>C. serrulata</w:t>
      </w:r>
      <w:r w:rsidR="00EA6305" w:rsidRPr="00EA6305">
        <w:rPr>
          <w:color w:val="000000" w:themeColor="text1"/>
        </w:rPr>
        <w:t>-dominated meadows in southern Cleveland Bay (meadow 17-18)</w:t>
      </w:r>
      <w:r w:rsidR="00EA6305">
        <w:rPr>
          <w:color w:val="000000" w:themeColor="text1"/>
        </w:rPr>
        <w:t>, while there were small declines in the extent of smaller meadows around Magnetic Island</w:t>
      </w:r>
      <w:r w:rsidR="00A628A2" w:rsidRPr="00EA6305">
        <w:rPr>
          <w:color w:val="000000" w:themeColor="text1"/>
        </w:rPr>
        <w:t xml:space="preserve">. </w:t>
      </w:r>
      <w:r w:rsidR="00F015B4" w:rsidRPr="00F015B4">
        <w:rPr>
          <w:color w:val="000000" w:themeColor="text1"/>
        </w:rPr>
        <w:t xml:space="preserve">These changes </w:t>
      </w:r>
      <w:r w:rsidR="00F015B4">
        <w:rPr>
          <w:color w:val="000000" w:themeColor="text1"/>
        </w:rPr>
        <w:t xml:space="preserve">in extent </w:t>
      </w:r>
      <w:r w:rsidR="00F015B4" w:rsidRPr="00F015B4">
        <w:rPr>
          <w:color w:val="000000" w:themeColor="text1"/>
        </w:rPr>
        <w:t>were</w:t>
      </w:r>
      <w:r w:rsidR="00A628A2" w:rsidRPr="00F015B4">
        <w:rPr>
          <w:color w:val="000000" w:themeColor="text1"/>
        </w:rPr>
        <w:t xml:space="preserve"> not </w:t>
      </w:r>
      <w:r w:rsidR="00F015B4" w:rsidRPr="00F015B4">
        <w:rPr>
          <w:color w:val="000000" w:themeColor="text1"/>
        </w:rPr>
        <w:t xml:space="preserve">statistically </w:t>
      </w:r>
      <w:r w:rsidR="00A628A2" w:rsidRPr="00F015B4">
        <w:rPr>
          <w:color w:val="000000" w:themeColor="text1"/>
        </w:rPr>
        <w:t xml:space="preserve">significant </w:t>
      </w:r>
      <w:r w:rsidR="00F015B4">
        <w:rPr>
          <w:color w:val="000000" w:themeColor="text1"/>
        </w:rPr>
        <w:t xml:space="preserve">in most meadows </w:t>
      </w:r>
      <w:r w:rsidR="00A628A2" w:rsidRPr="00F015B4">
        <w:rPr>
          <w:color w:val="000000" w:themeColor="text1"/>
        </w:rPr>
        <w:t xml:space="preserve">as they were within the estimates of reliability (see Appendix 2 in </w:t>
      </w:r>
      <w:r w:rsidR="00E01B30">
        <w:t xml:space="preserve">Wells and Rasheed 2017). </w:t>
      </w:r>
      <w:r w:rsidR="00F015B4" w:rsidRPr="00F015B4">
        <w:rPr>
          <w:color w:val="000000" w:themeColor="text1"/>
        </w:rPr>
        <w:t xml:space="preserve">There was, however, large and significant increases in </w:t>
      </w:r>
      <w:r w:rsidR="00E527B2">
        <w:rPr>
          <w:color w:val="000000" w:themeColor="text1"/>
        </w:rPr>
        <w:t>mean visually-estimated</w:t>
      </w:r>
      <w:r w:rsidR="00A628A2" w:rsidRPr="00F015B4">
        <w:rPr>
          <w:color w:val="000000" w:themeColor="text1"/>
        </w:rPr>
        <w:t xml:space="preserve"> biomass</w:t>
      </w:r>
      <w:r w:rsidR="00F015B4" w:rsidRPr="00F015B4">
        <w:rPr>
          <w:color w:val="000000" w:themeColor="text1"/>
        </w:rPr>
        <w:t xml:space="preserve"> of all meadows except meadow 6, a small </w:t>
      </w:r>
      <w:r w:rsidR="00F015B4" w:rsidRPr="00F015B4">
        <w:rPr>
          <w:i/>
          <w:color w:val="000000" w:themeColor="text1"/>
        </w:rPr>
        <w:t>Z. muelleri</w:t>
      </w:r>
      <w:r w:rsidR="00F015B4" w:rsidRPr="00F015B4">
        <w:rPr>
          <w:color w:val="000000" w:themeColor="text1"/>
        </w:rPr>
        <w:t>-dominated meadow</w:t>
      </w:r>
      <w:r w:rsidR="000B322C">
        <w:rPr>
          <w:color w:val="000000" w:themeColor="text1"/>
        </w:rPr>
        <w:t xml:space="preserve"> around Magnetic Island</w:t>
      </w:r>
      <w:r w:rsidR="00A628A2" w:rsidRPr="00F015B4">
        <w:rPr>
          <w:color w:val="000000" w:themeColor="text1"/>
        </w:rPr>
        <w:t xml:space="preserve"> (</w:t>
      </w:r>
      <w:hyperlink w:anchor="_ENREF_71" w:tooltip="Davies, 2016 #10822" w:history="1">
        <w:r w:rsidR="00305FE7" w:rsidRPr="00F015B4">
          <w:rPr>
            <w:color w:val="000000" w:themeColor="text1"/>
          </w:rPr>
          <w:fldChar w:fldCharType="begin"/>
        </w:r>
        <w:r w:rsidR="00305FE7" w:rsidRPr="00F015B4">
          <w:rPr>
            <w:color w:val="000000" w:themeColor="text1"/>
          </w:rPr>
          <w:instrText xml:space="preserve"> ADDIN EN.CITE &lt;EndNote&gt;&lt;Cite&gt;&lt;Author&gt;Davies&lt;/Author&gt;&lt;Year&gt;2016&lt;/Year&gt;&lt;RecNum&gt;10822&lt;/RecNum&gt;&lt;DisplayText&gt;Davies and Rasheed 2016&lt;/DisplayText&gt;&lt;record&gt;&lt;rec-number&gt;10822&lt;/rec-number&gt;&lt;foreign-keys&gt;&lt;key app="EN" db-id="0eve55x9y5vfd6e9dacxtew4eatve2dzds9a" timestamp="1481844280"&gt;10822&lt;/key&gt;&lt;/foreign-keys&gt;&lt;ref-type name="Book"&gt;6&lt;/ref-type&gt;&lt;contributors&gt;&lt;authors&gt;&lt;author&gt;Davies, Jaclyn N&lt;/author&gt;&lt;author&gt;Rasheed, Michael A&lt;/author&gt;&lt;/authors&gt;&lt;/contributors&gt;&lt;titles&gt;&lt;title&gt;Port of Townsville Annual Seagrass Monitoring: September 2015&lt;/title&gt;&lt;/titles&gt;&lt;pages&gt;43&lt;/pages&gt;&lt;dates&gt;&lt;year&gt;2016&lt;/year&gt;&lt;/dates&gt;&lt;pub-location&gt;Cairns&lt;/pub-location&gt;&lt;publisher&gt;James Cook University Publication, Centre for Tropical Water &amp;amp; Aquatic Ecosystem Research (TropWATER)&lt;/publisher&gt;&lt;urls&gt;&lt;/urls&gt;&lt;/record&gt;&lt;/Cite&gt;&lt;/EndNote&gt;</w:instrText>
        </w:r>
        <w:r w:rsidR="00305FE7" w:rsidRPr="00F015B4">
          <w:rPr>
            <w:color w:val="000000" w:themeColor="text1"/>
          </w:rPr>
          <w:fldChar w:fldCharType="separate"/>
        </w:r>
        <w:r w:rsidR="00305FE7" w:rsidRPr="00F015B4">
          <w:rPr>
            <w:noProof/>
            <w:color w:val="000000" w:themeColor="text1"/>
          </w:rPr>
          <w:t>Davies and Rasheed 2016</w:t>
        </w:r>
        <w:r w:rsidR="00305FE7" w:rsidRPr="00F015B4">
          <w:rPr>
            <w:color w:val="000000" w:themeColor="text1"/>
          </w:rPr>
          <w:fldChar w:fldCharType="end"/>
        </w:r>
      </w:hyperlink>
      <w:r w:rsidR="00A628A2" w:rsidRPr="00F015B4">
        <w:rPr>
          <w:color w:val="000000" w:themeColor="text1"/>
        </w:rPr>
        <w:t xml:space="preserve">). </w:t>
      </w:r>
    </w:p>
    <w:p w14:paraId="72E92689" w14:textId="127DEB82" w:rsidR="009D223B" w:rsidRPr="00E55207" w:rsidRDefault="00E01B30" w:rsidP="00E01B30">
      <w:pPr>
        <w:spacing w:before="0"/>
        <w:jc w:val="center"/>
        <w:rPr>
          <w:lang w:val="en-GB" w:eastAsia="en-AU"/>
        </w:rPr>
      </w:pPr>
      <w:r>
        <w:rPr>
          <w:noProof/>
          <w:lang w:eastAsia="en-AU"/>
        </w:rPr>
        <w:drawing>
          <wp:inline distT="0" distB="0" distL="0" distR="0" wp14:anchorId="03C09832" wp14:editId="42652FBD">
            <wp:extent cx="3322480" cy="1544662"/>
            <wp:effectExtent l="0" t="0" r="0" b="0"/>
            <wp:docPr id="558" name="Picture 558" descr="Scatter plots with straight lines and markers showing change in total extent of all monitoring meadows combined in Port of Townsville from 2007 – 20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 name="Pages from 17 01 Port of Townsville annual seagrass monitoring and baseline survey.pdf"/>
                    <pic:cNvPicPr/>
                  </pic:nvPicPr>
                  <pic:blipFill>
                    <a:blip r:embed="rId111"/>
                    <a:stretch>
                      <a:fillRect/>
                    </a:stretch>
                  </pic:blipFill>
                  <pic:spPr>
                    <a:xfrm>
                      <a:off x="0" y="0"/>
                      <a:ext cx="3327971" cy="1547215"/>
                    </a:xfrm>
                    <a:prstGeom prst="rect">
                      <a:avLst/>
                    </a:prstGeom>
                  </pic:spPr>
                </pic:pic>
              </a:graphicData>
            </a:graphic>
          </wp:inline>
        </w:drawing>
      </w:r>
    </w:p>
    <w:p w14:paraId="270FE699" w14:textId="77777777" w:rsidR="00D90552" w:rsidRPr="00E55207" w:rsidRDefault="00EF513A" w:rsidP="00D90552">
      <w:pPr>
        <w:keepLines/>
        <w:spacing w:before="0"/>
        <w:rPr>
          <w:i/>
          <w:vanish/>
          <w:specVanish/>
        </w:rPr>
      </w:pPr>
      <w:bookmarkStart w:id="412" w:name="_Ref469655765"/>
      <w:bookmarkStart w:id="413" w:name="_Toc516053283"/>
      <w:r w:rsidRPr="00E55207">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73</w:t>
      </w:r>
      <w:r w:rsidR="00C506C7">
        <w:rPr>
          <w:noProof/>
        </w:rPr>
        <w:fldChar w:fldCharType="end"/>
      </w:r>
      <w:bookmarkEnd w:id="412"/>
      <w:r w:rsidRPr="00E55207">
        <w:t xml:space="preserve">. </w:t>
      </w:r>
      <w:r w:rsidRPr="00E55207">
        <w:rPr>
          <w:i/>
          <w:szCs w:val="22"/>
        </w:rPr>
        <w:t xml:space="preserve">Change in total extent of all monitoring meadows combined in </w:t>
      </w:r>
      <w:r w:rsidR="00BF1134">
        <w:rPr>
          <w:i/>
          <w:szCs w:val="22"/>
        </w:rPr>
        <w:t>Port of Townsville</w:t>
      </w:r>
      <w:r w:rsidRPr="00E55207">
        <w:rPr>
          <w:i/>
          <w:szCs w:val="22"/>
        </w:rPr>
        <w:t xml:space="preserve"> from </w:t>
      </w:r>
      <w:r w:rsidR="00BF1134">
        <w:rPr>
          <w:i/>
          <w:szCs w:val="22"/>
        </w:rPr>
        <w:t>2007</w:t>
      </w:r>
      <w:r w:rsidRPr="00E55207">
        <w:rPr>
          <w:i/>
          <w:szCs w:val="22"/>
        </w:rPr>
        <w:t xml:space="preserve"> – </w:t>
      </w:r>
      <w:r w:rsidR="004B7238" w:rsidRPr="004B7238">
        <w:rPr>
          <w:i/>
          <w:color w:val="000000" w:themeColor="text1"/>
          <w:szCs w:val="22"/>
        </w:rPr>
        <w:t>2016</w:t>
      </w:r>
      <w:bookmarkEnd w:id="413"/>
      <w:r w:rsidR="00D90552" w:rsidRPr="00E55207">
        <w:rPr>
          <w:i/>
          <w:vanish/>
          <w:szCs w:val="22"/>
          <w:specVanish/>
        </w:rPr>
        <w:t xml:space="preserve"> </w:t>
      </w:r>
    </w:p>
    <w:p w14:paraId="21176AC8" w14:textId="2DFBED68" w:rsidR="00EF513A" w:rsidRPr="00E55207" w:rsidRDefault="00E01B30" w:rsidP="00D90552">
      <w:pPr>
        <w:keepLines/>
        <w:spacing w:before="0"/>
        <w:rPr>
          <w:szCs w:val="22"/>
        </w:rPr>
      </w:pPr>
      <w:r>
        <w:rPr>
          <w:i/>
          <w:color w:val="000000" w:themeColor="text1"/>
          <w:szCs w:val="22"/>
        </w:rPr>
        <w:t xml:space="preserve"> (from Wells and Rasheed 2017)</w:t>
      </w:r>
      <w:r w:rsidR="00D90552">
        <w:rPr>
          <w:i/>
          <w:color w:val="000000" w:themeColor="text1"/>
          <w:szCs w:val="22"/>
        </w:rPr>
        <w:t xml:space="preserve">. </w:t>
      </w:r>
      <w:r w:rsidR="00EF513A" w:rsidRPr="00E55207">
        <w:rPr>
          <w:i/>
          <w:szCs w:val="22"/>
        </w:rPr>
        <w:t>Error bars are SE for g DW m</w:t>
      </w:r>
      <w:r w:rsidR="00BF1134" w:rsidRPr="00BF1134">
        <w:rPr>
          <w:i/>
          <w:szCs w:val="22"/>
          <w:vertAlign w:val="superscript"/>
        </w:rPr>
        <w:t>-</w:t>
      </w:r>
      <w:r w:rsidR="00EF513A" w:rsidRPr="00E55207">
        <w:rPr>
          <w:i/>
          <w:szCs w:val="22"/>
          <w:vertAlign w:val="superscript"/>
        </w:rPr>
        <w:t>2</w:t>
      </w:r>
      <w:r w:rsidR="00EF513A" w:rsidRPr="00E55207">
        <w:rPr>
          <w:i/>
          <w:szCs w:val="22"/>
        </w:rPr>
        <w:t xml:space="preserve"> and “R” reliability estimate for ha. Dashed line indicates long-term average.</w:t>
      </w:r>
    </w:p>
    <w:p w14:paraId="1A682FC8" w14:textId="54B0A24A" w:rsidR="00197784" w:rsidRDefault="00197784" w:rsidP="00197784">
      <w:r w:rsidRPr="007C7D41">
        <w:rPr>
          <w:color w:val="000000" w:themeColor="text1"/>
          <w:lang w:val="en-GB" w:eastAsia="en-AU"/>
        </w:rPr>
        <w:t>In the southern part of the Burdekin NRM region, the findings from annual monitoring for the North Queensland Bulk Ports Corporation in the Port of Abbot Point remain less clear, as discerning seagrass state at the coastal and subtidal locations is challenged by the extremely dynamic nature of the meadows. The Port is positioned in a highly weather (e.g. wind and wave action) exposed area which place substantial environmental pressures on the seagrass and benthic communities (</w:t>
      </w:r>
      <w:hyperlink w:anchor="_ENREF_196" w:tooltip="Rasheed, 2005 #10824" w:history="1">
        <w:r w:rsidR="00305FE7" w:rsidRPr="007C7D41">
          <w:rPr>
            <w:color w:val="000000" w:themeColor="text1"/>
            <w:lang w:val="en-GB" w:eastAsia="en-AU"/>
          </w:rPr>
          <w:fldChar w:fldCharType="begin"/>
        </w:r>
        <w:r w:rsidR="00305FE7" w:rsidRPr="007C7D41">
          <w:rPr>
            <w:color w:val="000000" w:themeColor="text1"/>
            <w:lang w:val="en-GB" w:eastAsia="en-AU"/>
          </w:rPr>
          <w:instrText xml:space="preserve"> ADDIN EN.CITE &lt;EndNote&gt;&lt;Cite&gt;&lt;Author&gt;Rasheed&lt;/Author&gt;&lt;Year&gt;2005&lt;/Year&gt;&lt;RecNum&gt;10824&lt;/RecNum&gt;&lt;DisplayText&gt;Rasheed&lt;style face="italic"&gt; et al.&lt;/style&gt; 2005a&lt;/DisplayText&gt;&lt;record&gt;&lt;rec-number&gt;10824&lt;/rec-number&gt;&lt;foreign-keys&gt;&lt;key app="EN" db-id="0eve55x9y5vfd6e9dacxtew4eatve2dzds9a" timestamp="1481860167"&gt;10824&lt;/key&gt;&lt;/foreign-keys&gt;&lt;ref-type name="Book"&gt;6&lt;/ref-type&gt;&lt;contributors&gt;&lt;authors&gt;&lt;author&gt;Rasheed, MA&lt;/author&gt;&lt;author&gt;Thomas, R&lt;/author&gt;&lt;author&gt;McKenna, SA&lt;/author&gt;&lt;/authors&gt;&lt;/contributors&gt;&lt;titles&gt;&lt;title&gt;Port of Abbot Point seagrass, algae and benthic macroinvertebrate community survey - March 2005. DPI&amp;amp;F Information Series QI05044&lt;/title&gt;&lt;/titles&gt;&lt;pages&gt;27&lt;/pages&gt;&lt;dates&gt;&lt;year&gt;2005&lt;/year&gt;&lt;/dates&gt;&lt;pub-location&gt;Cairns&lt;/pub-location&gt;&lt;publisher&gt;Primary Industries &amp;amp; Fisheries, QLD Government&lt;/publisher&gt;&lt;urls&gt;&lt;/urls&gt;&lt;/record&gt;&lt;/Cite&gt;&lt;/EndNote&gt;</w:instrText>
        </w:r>
        <w:r w:rsidR="00305FE7" w:rsidRPr="007C7D41">
          <w:rPr>
            <w:color w:val="000000" w:themeColor="text1"/>
            <w:lang w:val="en-GB" w:eastAsia="en-AU"/>
          </w:rPr>
          <w:fldChar w:fldCharType="separate"/>
        </w:r>
        <w:r w:rsidR="00305FE7" w:rsidRPr="007C7D41">
          <w:rPr>
            <w:noProof/>
            <w:color w:val="000000" w:themeColor="text1"/>
            <w:lang w:val="en-GB" w:eastAsia="en-AU"/>
          </w:rPr>
          <w:t>Rasheed</w:t>
        </w:r>
        <w:r w:rsidR="00305FE7" w:rsidRPr="007C7D41">
          <w:rPr>
            <w:i/>
            <w:noProof/>
            <w:color w:val="000000" w:themeColor="text1"/>
            <w:lang w:val="en-GB" w:eastAsia="en-AU"/>
          </w:rPr>
          <w:t xml:space="preserve"> et al.</w:t>
        </w:r>
        <w:r w:rsidR="00305FE7" w:rsidRPr="007C7D41">
          <w:rPr>
            <w:noProof/>
            <w:color w:val="000000" w:themeColor="text1"/>
            <w:lang w:val="en-GB" w:eastAsia="en-AU"/>
          </w:rPr>
          <w:t xml:space="preserve"> 2005a</w:t>
        </w:r>
        <w:r w:rsidR="00305FE7" w:rsidRPr="007C7D41">
          <w:rPr>
            <w:color w:val="000000" w:themeColor="text1"/>
            <w:lang w:val="en-GB" w:eastAsia="en-AU"/>
          </w:rPr>
          <w:fldChar w:fldCharType="end"/>
        </w:r>
      </w:hyperlink>
      <w:r w:rsidRPr="007C7D41">
        <w:rPr>
          <w:color w:val="000000" w:themeColor="text1"/>
          <w:lang w:val="en-GB" w:eastAsia="en-AU"/>
        </w:rPr>
        <w:t xml:space="preserve">). </w:t>
      </w:r>
      <w:r w:rsidRPr="000F0B97">
        <w:rPr>
          <w:color w:val="000000" w:themeColor="text1"/>
          <w:lang w:val="en-GB" w:eastAsia="en-AU"/>
        </w:rPr>
        <w:t xml:space="preserve">The dynamic deeper water seagrass </w:t>
      </w:r>
      <w:r w:rsidR="000F0B97" w:rsidRPr="000F0B97">
        <w:rPr>
          <w:color w:val="000000" w:themeColor="text1"/>
          <w:lang w:val="en-GB" w:eastAsia="en-AU"/>
        </w:rPr>
        <w:t xml:space="preserve">declined in biomass </w:t>
      </w:r>
      <w:r w:rsidRPr="000F0B97">
        <w:rPr>
          <w:color w:val="000000" w:themeColor="text1"/>
        </w:rPr>
        <w:t xml:space="preserve">(visually estimated from boat based free diving and CCTV surveys) </w:t>
      </w:r>
      <w:r w:rsidR="000F0B97" w:rsidRPr="000F0B97">
        <w:rPr>
          <w:color w:val="000000" w:themeColor="text1"/>
          <w:lang w:val="en-GB" w:eastAsia="en-AU"/>
        </w:rPr>
        <w:t>in late 2016</w:t>
      </w:r>
      <w:r w:rsidRPr="000F0B97">
        <w:rPr>
          <w:color w:val="000000" w:themeColor="text1"/>
          <w:lang w:val="en-GB" w:eastAsia="en-AU"/>
        </w:rPr>
        <w:t xml:space="preserve"> </w:t>
      </w:r>
      <w:r w:rsidR="000F0B97">
        <w:rPr>
          <w:color w:val="000000" w:themeColor="text1"/>
          <w:lang w:val="en-GB" w:eastAsia="en-AU"/>
        </w:rPr>
        <w:t xml:space="preserve">due to a reduction in the proportion of </w:t>
      </w:r>
      <w:r w:rsidR="000F0B97" w:rsidRPr="00B26D25">
        <w:rPr>
          <w:i/>
          <w:color w:val="000000" w:themeColor="text1"/>
          <w:lang w:val="en-GB" w:eastAsia="en-AU"/>
        </w:rPr>
        <w:t>H. spinulosa</w:t>
      </w:r>
      <w:r w:rsidR="000F0B97">
        <w:rPr>
          <w:color w:val="000000" w:themeColor="text1"/>
          <w:lang w:val="en-GB" w:eastAsia="en-AU"/>
        </w:rPr>
        <w:t xml:space="preserve"> which has a larger biomass than other deepwater species </w:t>
      </w:r>
      <w:r w:rsidRPr="000F0B97">
        <w:rPr>
          <w:color w:val="000000" w:themeColor="text1"/>
          <w:lang w:val="en-GB" w:eastAsia="en-AU"/>
        </w:rPr>
        <w:t>(</w:t>
      </w:r>
      <w:hyperlink w:anchor="_ENREF_145" w:tooltip="McKenna, 2017  #11466" w:history="1">
        <w:r w:rsidR="00305FE7">
          <w:rPr>
            <w:color w:val="000000" w:themeColor="text1"/>
          </w:rPr>
          <w:fldChar w:fldCharType="begin"/>
        </w:r>
        <w:r w:rsidR="00305FE7">
          <w:rPr>
            <w:color w:val="000000" w:themeColor="text1"/>
          </w:rPr>
          <w:instrText xml:space="preserve"> ADDIN EN.CITE &lt;EndNote&gt;&lt;Cite&gt;&lt;Author&gt;McKenna&lt;/Author&gt;&lt;Year&gt;2017&lt;/Year&gt;&lt;RecNum&gt;11466&lt;/RecNum&gt;&lt;DisplayText&gt;McKenna&lt;style face="italic"&gt; et al.&lt;/style&gt; 2017 &lt;/DisplayText&gt;&lt;record&gt;&lt;rec-number&gt;11466&lt;/rec-number&gt;&lt;foreign-keys&gt;&lt;key app="EN" db-id="0eve55x9y5vfd6e9dacxtew4eatve2dzds9a" timestamp="1523399840"&gt;11466&lt;/key&gt;&lt;/foreign-keys&gt;&lt;ref-type name="Book"&gt;6&lt;/ref-type&gt;&lt;contributors&gt;&lt;authors&gt;&lt;author&gt;McKenna, SA&lt;/author&gt;&lt;author&gt;Scott, ES&lt;/author&gt;&lt;author&gt;Rasheed, MA&lt;/author&gt;&lt;/authors&gt;&lt;/contributors&gt;&lt;titles&gt;&lt;title&gt;Port of Abbot Point long-term seagrass monitoring program: annual report 2015-16&lt;/title&gt;&lt;/titles&gt;&lt;dates&gt;&lt;year&gt;2017 &lt;/year&gt;&lt;/dates&gt;&lt;pub-location&gt;Cairns&lt;/pub-location&gt;&lt;publisher&gt;JCU Publication, centre for Tropical Water &amp;amp; Aquatic Ecosystem Research&lt;/publisher&gt;&lt;urls&gt;&lt;/urls&gt;&lt;/record&gt;&lt;/Cite&gt;&lt;/EndNote&gt;</w:instrText>
        </w:r>
        <w:r w:rsidR="00305FE7">
          <w:rPr>
            <w:color w:val="000000" w:themeColor="text1"/>
          </w:rPr>
          <w:fldChar w:fldCharType="separate"/>
        </w:r>
        <w:r w:rsidR="00305FE7">
          <w:rPr>
            <w:noProof/>
            <w:color w:val="000000" w:themeColor="text1"/>
          </w:rPr>
          <w:t>McKenna</w:t>
        </w:r>
        <w:r w:rsidR="00305FE7" w:rsidRPr="00610D5C">
          <w:rPr>
            <w:i/>
            <w:noProof/>
            <w:color w:val="000000" w:themeColor="text1"/>
          </w:rPr>
          <w:t xml:space="preserve"> et al.</w:t>
        </w:r>
        <w:r w:rsidR="00305FE7">
          <w:rPr>
            <w:noProof/>
            <w:color w:val="000000" w:themeColor="text1"/>
          </w:rPr>
          <w:t xml:space="preserve"> 2017 </w:t>
        </w:r>
        <w:r w:rsidR="00305FE7">
          <w:rPr>
            <w:color w:val="000000" w:themeColor="text1"/>
          </w:rPr>
          <w:fldChar w:fldCharType="end"/>
        </w:r>
      </w:hyperlink>
      <w:r w:rsidR="000F0B97" w:rsidRPr="000F0B97">
        <w:rPr>
          <w:color w:val="000000" w:themeColor="text1"/>
        </w:rPr>
        <w:t>)</w:t>
      </w:r>
      <w:r w:rsidR="00287304" w:rsidRPr="000F0B97">
        <w:rPr>
          <w:color w:val="000000" w:themeColor="text1"/>
          <w:lang w:val="en-GB" w:eastAsia="en-AU"/>
        </w:rPr>
        <w:t xml:space="preserve"> (</w:t>
      </w:r>
      <w:r w:rsidR="00B26D25">
        <w:rPr>
          <w:color w:val="000000" w:themeColor="text1"/>
          <w:lang w:val="en-GB" w:eastAsia="en-AU"/>
        </w:rPr>
        <w:fldChar w:fldCharType="begin"/>
      </w:r>
      <w:r w:rsidR="00B26D25">
        <w:rPr>
          <w:color w:val="000000" w:themeColor="text1"/>
          <w:lang w:val="en-GB" w:eastAsia="en-AU"/>
        </w:rPr>
        <w:instrText xml:space="preserve"> REF _Ref469663411 \h </w:instrText>
      </w:r>
      <w:r w:rsidR="00B26D25">
        <w:rPr>
          <w:color w:val="000000" w:themeColor="text1"/>
          <w:lang w:val="en-GB" w:eastAsia="en-AU"/>
        </w:rPr>
      </w:r>
      <w:r w:rsidR="00B26D25">
        <w:rPr>
          <w:color w:val="000000" w:themeColor="text1"/>
          <w:lang w:val="en-GB" w:eastAsia="en-AU"/>
        </w:rPr>
        <w:fldChar w:fldCharType="separate"/>
      </w:r>
      <w:r w:rsidR="00F87DF9">
        <w:t xml:space="preserve">Figure </w:t>
      </w:r>
      <w:r w:rsidR="00F87DF9">
        <w:rPr>
          <w:noProof/>
        </w:rPr>
        <w:t>74</w:t>
      </w:r>
      <w:r w:rsidR="00B26D25">
        <w:rPr>
          <w:color w:val="000000" w:themeColor="text1"/>
          <w:lang w:val="en-GB" w:eastAsia="en-AU"/>
        </w:rPr>
        <w:fldChar w:fldCharType="end"/>
      </w:r>
      <w:r w:rsidR="00287304" w:rsidRPr="000F0B97">
        <w:rPr>
          <w:color w:val="000000" w:themeColor="text1"/>
          <w:lang w:val="en-GB" w:eastAsia="en-AU"/>
        </w:rPr>
        <w:t>)</w:t>
      </w:r>
      <w:r w:rsidRPr="000F0B97">
        <w:rPr>
          <w:color w:val="000000" w:themeColor="text1"/>
          <w:lang w:val="en-GB" w:eastAsia="en-AU"/>
        </w:rPr>
        <w:t xml:space="preserve">. </w:t>
      </w:r>
      <w:r w:rsidR="00593F47" w:rsidRPr="00593F47">
        <w:rPr>
          <w:color w:val="000000" w:themeColor="text1"/>
        </w:rPr>
        <w:t xml:space="preserve">While there was relatively good growing conditions on an annual basis, light availability was below critical light thresholds for deepwater species in the months preceding the surveys, which is the peak growing season for deepwater seagrass species. The low levels were caused by dry season rainfall that reduced total incoming solar radiation </w:t>
      </w:r>
      <w:r w:rsidR="00593F47" w:rsidRPr="00593F47">
        <w:rPr>
          <w:color w:val="000000" w:themeColor="text1"/>
          <w:lang w:val="en-GB" w:eastAsia="en-AU"/>
        </w:rPr>
        <w:t>(</w:t>
      </w:r>
      <w:hyperlink w:anchor="_ENREF_145" w:tooltip="McKenna, 2017  #11466" w:history="1">
        <w:r w:rsidR="00305FE7">
          <w:rPr>
            <w:color w:val="000000" w:themeColor="text1"/>
          </w:rPr>
          <w:fldChar w:fldCharType="begin"/>
        </w:r>
        <w:r w:rsidR="00305FE7">
          <w:rPr>
            <w:color w:val="000000" w:themeColor="text1"/>
          </w:rPr>
          <w:instrText xml:space="preserve"> ADDIN EN.CITE &lt;EndNote&gt;&lt;Cite&gt;&lt;Author&gt;McKenna&lt;/Author&gt;&lt;Year&gt;2017&lt;/Year&gt;&lt;RecNum&gt;11466&lt;/RecNum&gt;&lt;DisplayText&gt;McKenna&lt;style face="italic"&gt; et al.&lt;/style&gt; 2017 &lt;/DisplayText&gt;&lt;record&gt;&lt;rec-number&gt;11466&lt;/rec-number&gt;&lt;foreign-keys&gt;&lt;key app="EN" db-id="0eve55x9y5vfd6e9dacxtew4eatve2dzds9a" timestamp="1523399840"&gt;11466&lt;/key&gt;&lt;/foreign-keys&gt;&lt;ref-type name="Book"&gt;6&lt;/ref-type&gt;&lt;contributors&gt;&lt;authors&gt;&lt;author&gt;McKenna, SA&lt;/author&gt;&lt;author&gt;Scott, ES&lt;/author&gt;&lt;author&gt;Rasheed, MA&lt;/author&gt;&lt;/authors&gt;&lt;/contributors&gt;&lt;titles&gt;&lt;title&gt;Port of Abbot Point long-term seagrass monitoring program: annual report 2015-16&lt;/title&gt;&lt;/titles&gt;&lt;dates&gt;&lt;year&gt;2017 &lt;/year&gt;&lt;/dates&gt;&lt;pub-location&gt;Cairns&lt;/pub-location&gt;&lt;publisher&gt;JCU Publication, centre for Tropical Water &amp;amp; Aquatic Ecosystem Research&lt;/publisher&gt;&lt;urls&gt;&lt;/urls&gt;&lt;/record&gt;&lt;/Cite&gt;&lt;/EndNote&gt;</w:instrText>
        </w:r>
        <w:r w:rsidR="00305FE7">
          <w:rPr>
            <w:color w:val="000000" w:themeColor="text1"/>
          </w:rPr>
          <w:fldChar w:fldCharType="separate"/>
        </w:r>
        <w:r w:rsidR="00305FE7">
          <w:rPr>
            <w:noProof/>
            <w:color w:val="000000" w:themeColor="text1"/>
          </w:rPr>
          <w:t>McKenna</w:t>
        </w:r>
        <w:r w:rsidR="00305FE7" w:rsidRPr="00521D93">
          <w:rPr>
            <w:i/>
            <w:noProof/>
            <w:color w:val="000000" w:themeColor="text1"/>
          </w:rPr>
          <w:t xml:space="preserve"> et al.</w:t>
        </w:r>
        <w:r w:rsidR="00305FE7">
          <w:rPr>
            <w:noProof/>
            <w:color w:val="000000" w:themeColor="text1"/>
          </w:rPr>
          <w:t xml:space="preserve"> 2017 </w:t>
        </w:r>
        <w:r w:rsidR="00305FE7">
          <w:rPr>
            <w:color w:val="000000" w:themeColor="text1"/>
          </w:rPr>
          <w:fldChar w:fldCharType="end"/>
        </w:r>
      </w:hyperlink>
      <w:r w:rsidR="00593F47" w:rsidRPr="00593F47">
        <w:rPr>
          <w:color w:val="000000" w:themeColor="text1"/>
        </w:rPr>
        <w:t>)</w:t>
      </w:r>
      <w:r w:rsidR="00593F47" w:rsidRPr="00593F47">
        <w:rPr>
          <w:color w:val="000000" w:themeColor="text1"/>
          <w:lang w:val="en-GB" w:eastAsia="en-AU"/>
        </w:rPr>
        <w:t>.</w:t>
      </w:r>
      <w:r w:rsidR="00593F47" w:rsidRPr="00593F47">
        <w:rPr>
          <w:color w:val="000000" w:themeColor="text1"/>
        </w:rPr>
        <w:t xml:space="preserve"> It also resulted in very small discharges from the Don River that may have affected water quality.</w:t>
      </w:r>
      <w:r w:rsidR="00593F47">
        <w:t xml:space="preserve"> </w:t>
      </w:r>
      <w:r w:rsidR="00593F47" w:rsidRPr="00593F47">
        <w:rPr>
          <w:color w:val="000000" w:themeColor="text1"/>
          <w:lang w:val="en-GB" w:eastAsia="en-AU"/>
        </w:rPr>
        <w:t xml:space="preserve">By contrast, </w:t>
      </w:r>
      <w:r w:rsidR="00593F47" w:rsidRPr="00593F47">
        <w:rPr>
          <w:color w:val="000000" w:themeColor="text1"/>
        </w:rPr>
        <w:t>biomass increased</w:t>
      </w:r>
      <w:r w:rsidR="00593F47" w:rsidRPr="00593F47">
        <w:rPr>
          <w:color w:val="000000" w:themeColor="text1"/>
          <w:lang w:val="en-GB" w:eastAsia="en-AU"/>
        </w:rPr>
        <w:t xml:space="preserve"> i</w:t>
      </w:r>
      <w:r w:rsidRPr="00593F47">
        <w:rPr>
          <w:color w:val="000000" w:themeColor="text1"/>
        </w:rPr>
        <w:t xml:space="preserve">n </w:t>
      </w:r>
      <w:r w:rsidR="00593F47" w:rsidRPr="00593F47">
        <w:rPr>
          <w:color w:val="000000" w:themeColor="text1"/>
        </w:rPr>
        <w:t xml:space="preserve">three out of five of </w:t>
      </w:r>
      <w:r w:rsidRPr="00593F47">
        <w:rPr>
          <w:color w:val="000000" w:themeColor="text1"/>
        </w:rPr>
        <w:t xml:space="preserve">the </w:t>
      </w:r>
      <w:r w:rsidR="00593F47" w:rsidRPr="00593F47">
        <w:rPr>
          <w:color w:val="000000" w:themeColor="text1"/>
        </w:rPr>
        <w:t xml:space="preserve">inshore </w:t>
      </w:r>
      <w:r w:rsidRPr="00593F47">
        <w:rPr>
          <w:color w:val="000000" w:themeColor="text1"/>
        </w:rPr>
        <w:t>coastal meadows,</w:t>
      </w:r>
      <w:r w:rsidR="00593F47" w:rsidRPr="00593F47">
        <w:rPr>
          <w:color w:val="000000" w:themeColor="text1"/>
        </w:rPr>
        <w:t xml:space="preserve"> and area increased in two out of five meadows leading to an overall increase in the biomass score</w:t>
      </w:r>
      <w:r w:rsidRPr="00593F47">
        <w:rPr>
          <w:color w:val="000000" w:themeColor="text1"/>
        </w:rPr>
        <w:t>.</w:t>
      </w:r>
      <w:r w:rsidR="00E01B30">
        <w:rPr>
          <w:color w:val="000000" w:themeColor="text1"/>
        </w:rPr>
        <w:t xml:space="preserve"> The dry season conditions affecting the deepwater communities do not appear to have impacted the inshore communities</w:t>
      </w:r>
      <w:r w:rsidR="00365F98">
        <w:rPr>
          <w:color w:val="000000" w:themeColor="text1"/>
        </w:rPr>
        <w:t xml:space="preserve"> (</w:t>
      </w:r>
      <w:hyperlink w:anchor="_ENREF_145" w:tooltip="McKenna, 2017  #11466" w:history="1">
        <w:r w:rsidR="00305FE7">
          <w:rPr>
            <w:color w:val="000000" w:themeColor="text1"/>
          </w:rPr>
          <w:fldChar w:fldCharType="begin"/>
        </w:r>
        <w:r w:rsidR="00305FE7">
          <w:rPr>
            <w:color w:val="000000" w:themeColor="text1"/>
          </w:rPr>
          <w:instrText xml:space="preserve"> ADDIN EN.CITE &lt;EndNote&gt;&lt;Cite&gt;&lt;Author&gt;McKenna&lt;/Author&gt;&lt;Year&gt;2017&lt;/Year&gt;&lt;RecNum&gt;11466&lt;/RecNum&gt;&lt;DisplayText&gt;McKenna&lt;style face="italic"&gt; et al.&lt;/style&gt; 2017 &lt;/DisplayText&gt;&lt;record&gt;&lt;rec-number&gt;11466&lt;/rec-number&gt;&lt;foreign-keys&gt;&lt;key app="EN" db-id="0eve55x9y5vfd6e9dacxtew4eatve2dzds9a" timestamp="1523399840"&gt;11466&lt;/key&gt;&lt;/foreign-keys&gt;&lt;ref-type name="Book"&gt;6&lt;/ref-type&gt;&lt;contributors&gt;&lt;authors&gt;&lt;author&gt;McKenna, SA&lt;/author&gt;&lt;author&gt;Scott, ES&lt;/author&gt;&lt;author&gt;Rasheed, MA&lt;/author&gt;&lt;/authors&gt;&lt;/contributors&gt;&lt;titles&gt;&lt;title&gt;Port of Abbot Point long-term seagrass monitoring program: annual report 2015-16&lt;/title&gt;&lt;/titles&gt;&lt;dates&gt;&lt;year&gt;2017 &lt;/year&gt;&lt;/dates&gt;&lt;pub-location&gt;Cairns&lt;/pub-location&gt;&lt;publisher&gt;JCU Publication, centre for Tropical Water &amp;amp; Aquatic Ecosystem Research&lt;/publisher&gt;&lt;urls&gt;&lt;/urls&gt;&lt;/record&gt;&lt;/Cite&gt;&lt;/EndNote&gt;</w:instrText>
        </w:r>
        <w:r w:rsidR="00305FE7">
          <w:rPr>
            <w:color w:val="000000" w:themeColor="text1"/>
          </w:rPr>
          <w:fldChar w:fldCharType="separate"/>
        </w:r>
        <w:r w:rsidR="00305FE7">
          <w:rPr>
            <w:noProof/>
            <w:color w:val="000000" w:themeColor="text1"/>
          </w:rPr>
          <w:t>McKenna</w:t>
        </w:r>
        <w:r w:rsidR="00305FE7" w:rsidRPr="00521D93">
          <w:rPr>
            <w:i/>
            <w:noProof/>
            <w:color w:val="000000" w:themeColor="text1"/>
          </w:rPr>
          <w:t xml:space="preserve"> et al.</w:t>
        </w:r>
        <w:r w:rsidR="00305FE7">
          <w:rPr>
            <w:noProof/>
            <w:color w:val="000000" w:themeColor="text1"/>
          </w:rPr>
          <w:t xml:space="preserve"> 2017 </w:t>
        </w:r>
        <w:r w:rsidR="00305FE7">
          <w:rPr>
            <w:color w:val="000000" w:themeColor="text1"/>
          </w:rPr>
          <w:fldChar w:fldCharType="end"/>
        </w:r>
      </w:hyperlink>
      <w:r w:rsidR="00E01B30" w:rsidRPr="00593F47">
        <w:rPr>
          <w:color w:val="000000" w:themeColor="text1"/>
        </w:rPr>
        <w:t>)</w:t>
      </w:r>
      <w:r w:rsidR="00E01B30" w:rsidRPr="00593F47">
        <w:rPr>
          <w:color w:val="000000" w:themeColor="text1"/>
          <w:lang w:val="en-GB" w:eastAsia="en-AU"/>
        </w:rPr>
        <w:t>.</w:t>
      </w:r>
    </w:p>
    <w:p w14:paraId="29FDDD2E" w14:textId="77777777" w:rsidR="00A628A2" w:rsidRPr="00BF1134" w:rsidRDefault="00197784" w:rsidP="00287304">
      <w:pPr>
        <w:keepNext/>
        <w:widowControl w:val="0"/>
        <w:spacing w:after="0"/>
        <w:jc w:val="center"/>
        <w:rPr>
          <w:noProof/>
          <w:color w:val="000000"/>
          <w:szCs w:val="22"/>
          <w:lang w:eastAsia="en-AU"/>
        </w:rPr>
      </w:pPr>
      <w:r w:rsidRPr="00287304">
        <w:rPr>
          <w:noProof/>
          <w:color w:val="000000"/>
          <w:szCs w:val="22"/>
          <w:lang w:eastAsia="en-AU"/>
        </w:rPr>
        <w:t xml:space="preserve"> </w:t>
      </w:r>
      <w:r w:rsidR="00BF1134" w:rsidRPr="00BF1134">
        <w:rPr>
          <w:noProof/>
          <w:color w:val="000000"/>
          <w:szCs w:val="22"/>
          <w:lang w:eastAsia="en-AU"/>
        </w:rPr>
        <w:drawing>
          <wp:inline distT="0" distB="0" distL="0" distR="0" wp14:anchorId="03E8AC59" wp14:editId="2D64661D">
            <wp:extent cx="3687619" cy="2872461"/>
            <wp:effectExtent l="0" t="0" r="8255" b="4445"/>
            <wp:docPr id="252" name="Picture 252" descr="Bar chart showing change in visually estimated above-ground biomass at offshore monitoring sites adjacent to Abbot Point from 2005 –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Abbott_bio.png"/>
                    <pic:cNvPicPr/>
                  </pic:nvPicPr>
                  <pic:blipFill>
                    <a:blip r:embed="rId112"/>
                    <a:stretch>
                      <a:fillRect/>
                    </a:stretch>
                  </pic:blipFill>
                  <pic:spPr bwMode="auto">
                    <a:xfrm>
                      <a:off x="0" y="0"/>
                      <a:ext cx="3687619" cy="2872461"/>
                    </a:xfrm>
                    <a:prstGeom prst="rect">
                      <a:avLst/>
                    </a:prstGeom>
                    <a:ln>
                      <a:noFill/>
                    </a:ln>
                    <a:extLst>
                      <a:ext uri="{53640926-AAD7-44D8-BBD7-CCE9431645EC}">
                        <a14:shadowObscured xmlns:a14="http://schemas.microsoft.com/office/drawing/2010/main"/>
                      </a:ext>
                    </a:extLst>
                  </pic:spPr>
                </pic:pic>
              </a:graphicData>
            </a:graphic>
          </wp:inline>
        </w:drawing>
      </w:r>
    </w:p>
    <w:p w14:paraId="0B1AF92B" w14:textId="19C58AF0" w:rsidR="00BF1134" w:rsidRPr="00E55207" w:rsidRDefault="00A628A2" w:rsidP="00BF1134">
      <w:pPr>
        <w:keepLines/>
        <w:spacing w:before="0"/>
        <w:rPr>
          <w:i/>
          <w:vanish/>
          <w:specVanish/>
        </w:rPr>
      </w:pPr>
      <w:bookmarkStart w:id="414" w:name="_Ref469663411"/>
      <w:bookmarkStart w:id="415" w:name="_Ref509323348"/>
      <w:bookmarkStart w:id="416" w:name="_Toc51605328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74</w:t>
      </w:r>
      <w:r w:rsidR="00C506C7">
        <w:rPr>
          <w:noProof/>
        </w:rPr>
        <w:fldChar w:fldCharType="end"/>
      </w:r>
      <w:bookmarkEnd w:id="414"/>
      <w:r w:rsidR="00BF1134">
        <w:t xml:space="preserve">. </w:t>
      </w:r>
      <w:r w:rsidR="00BF1134" w:rsidRPr="00E55207">
        <w:rPr>
          <w:i/>
          <w:szCs w:val="22"/>
        </w:rPr>
        <w:t xml:space="preserve">Change in visually estimated above-ground biomass </w:t>
      </w:r>
      <w:r w:rsidR="00BF1134">
        <w:rPr>
          <w:i/>
          <w:szCs w:val="22"/>
        </w:rPr>
        <w:t>at</w:t>
      </w:r>
      <w:r w:rsidR="00BF1134" w:rsidRPr="00E55207">
        <w:rPr>
          <w:i/>
          <w:szCs w:val="22"/>
        </w:rPr>
        <w:t xml:space="preserve"> </w:t>
      </w:r>
      <w:r w:rsidR="00BF1134">
        <w:rPr>
          <w:i/>
          <w:szCs w:val="22"/>
        </w:rPr>
        <w:t>offshore</w:t>
      </w:r>
      <w:r w:rsidR="00BF1134" w:rsidRPr="00E55207">
        <w:rPr>
          <w:i/>
          <w:szCs w:val="22"/>
        </w:rPr>
        <w:t xml:space="preserve"> monitoring </w:t>
      </w:r>
      <w:r w:rsidR="00BF1134">
        <w:rPr>
          <w:i/>
          <w:szCs w:val="22"/>
        </w:rPr>
        <w:t>sites</w:t>
      </w:r>
      <w:r w:rsidR="00BF1134" w:rsidRPr="00E55207">
        <w:rPr>
          <w:i/>
          <w:szCs w:val="22"/>
        </w:rPr>
        <w:t xml:space="preserve"> </w:t>
      </w:r>
      <w:r w:rsidR="00BF1134">
        <w:rPr>
          <w:i/>
          <w:szCs w:val="22"/>
        </w:rPr>
        <w:t>adjacent to Abbot Point</w:t>
      </w:r>
      <w:r w:rsidR="00BF1134" w:rsidRPr="00E55207">
        <w:rPr>
          <w:i/>
          <w:szCs w:val="22"/>
        </w:rPr>
        <w:t xml:space="preserve"> from </w:t>
      </w:r>
      <w:r w:rsidR="00BF1134">
        <w:rPr>
          <w:i/>
          <w:szCs w:val="22"/>
        </w:rPr>
        <w:t>2005</w:t>
      </w:r>
      <w:r w:rsidR="00BF1134" w:rsidRPr="00E55207">
        <w:rPr>
          <w:i/>
          <w:szCs w:val="22"/>
        </w:rPr>
        <w:t xml:space="preserve"> – </w:t>
      </w:r>
      <w:r w:rsidR="00BF1134" w:rsidRPr="00F96710">
        <w:rPr>
          <w:i/>
          <w:color w:val="000000" w:themeColor="text1"/>
          <w:szCs w:val="22"/>
        </w:rPr>
        <w:t>201</w:t>
      </w:r>
      <w:r w:rsidR="00F96710" w:rsidRPr="00F96710">
        <w:rPr>
          <w:i/>
          <w:color w:val="000000" w:themeColor="text1"/>
          <w:szCs w:val="22"/>
        </w:rPr>
        <w:t>6</w:t>
      </w:r>
      <w:bookmarkEnd w:id="415"/>
      <w:bookmarkEnd w:id="416"/>
      <w:r w:rsidR="00BF1134" w:rsidRPr="0097780F">
        <w:rPr>
          <w:i/>
          <w:vanish/>
          <w:color w:val="0000FF"/>
          <w:szCs w:val="22"/>
          <w:specVanish/>
        </w:rPr>
        <w:t xml:space="preserve"> </w:t>
      </w:r>
    </w:p>
    <w:p w14:paraId="24D596BA" w14:textId="436516BF" w:rsidR="00A628A2" w:rsidRPr="00A628A2" w:rsidRDefault="00BF1134" w:rsidP="00BF1134">
      <w:pPr>
        <w:keepLines/>
        <w:spacing w:before="0"/>
      </w:pPr>
      <w:r w:rsidRPr="00E55207">
        <w:rPr>
          <w:i/>
          <w:szCs w:val="22"/>
        </w:rPr>
        <w:t xml:space="preserve"> (</w:t>
      </w:r>
      <w:r w:rsidRPr="002528EE">
        <w:rPr>
          <w:i/>
          <w:szCs w:val="22"/>
        </w:rPr>
        <w:t>from</w:t>
      </w:r>
      <w:r w:rsidR="00F96710">
        <w:rPr>
          <w:i/>
          <w:szCs w:val="22"/>
        </w:rPr>
        <w:t xml:space="preserve"> </w:t>
      </w:r>
      <w:hyperlink w:anchor="_ENREF_145" w:tooltip="McKenna, 2017  #11466" w:history="1">
        <w:r w:rsidR="00305FE7">
          <w:rPr>
            <w:i/>
            <w:szCs w:val="22"/>
          </w:rPr>
          <w:fldChar w:fldCharType="begin"/>
        </w:r>
        <w:r w:rsidR="00305FE7">
          <w:rPr>
            <w:i/>
            <w:szCs w:val="22"/>
          </w:rPr>
          <w:instrText xml:space="preserve"> ADDIN EN.CITE &lt;EndNote&gt;&lt;Cite&gt;&lt;Author&gt;McKenna&lt;/Author&gt;&lt;Year&gt;2017&lt;/Year&gt;&lt;RecNum&gt;11466&lt;/RecNum&gt;&lt;DisplayText&gt;McKenna&lt;style face="italic"&gt; et al.&lt;/style&gt; 2017 &lt;/DisplayText&gt;&lt;record&gt;&lt;rec-number&gt;11466&lt;/rec-number&gt;&lt;foreign-keys&gt;&lt;key app="EN" db-id="0eve55x9y5vfd6e9dacxtew4eatve2dzds9a" timestamp="1523399840"&gt;11466&lt;/key&gt;&lt;/foreign-keys&gt;&lt;ref-type name="Book"&gt;6&lt;/ref-type&gt;&lt;contributors&gt;&lt;authors&gt;&lt;author&gt;McKenna, SA&lt;/author&gt;&lt;author&gt;Scott, ES&lt;/author&gt;&lt;author&gt;Rasheed, MA&lt;/author&gt;&lt;/authors&gt;&lt;/contributors&gt;&lt;titles&gt;&lt;title&gt;Port of Abbot Point long-term seagrass monitoring program: annual report 2015-16&lt;/title&gt;&lt;/titles&gt;&lt;dates&gt;&lt;year&gt;2017 &lt;/year&gt;&lt;/dates&gt;&lt;pub-location&gt;Cairns&lt;/pub-location&gt;&lt;publisher&gt;JCU Publication, centre for Tropical Water &amp;amp; Aquatic Ecosystem Research&lt;/publisher&gt;&lt;urls&gt;&lt;/urls&gt;&lt;/record&gt;&lt;/Cite&gt;&lt;/EndNote&gt;</w:instrText>
        </w:r>
        <w:r w:rsidR="00305FE7">
          <w:rPr>
            <w:i/>
            <w:szCs w:val="22"/>
          </w:rPr>
          <w:fldChar w:fldCharType="separate"/>
        </w:r>
        <w:r w:rsidR="00305FE7">
          <w:rPr>
            <w:i/>
            <w:noProof/>
            <w:szCs w:val="22"/>
          </w:rPr>
          <w:t xml:space="preserve">McKenna et al. 2017 </w:t>
        </w:r>
        <w:r w:rsidR="00305FE7">
          <w:rPr>
            <w:i/>
            <w:szCs w:val="22"/>
          </w:rPr>
          <w:fldChar w:fldCharType="end"/>
        </w:r>
      </w:hyperlink>
      <w:r w:rsidR="00F96710">
        <w:rPr>
          <w:i/>
          <w:szCs w:val="22"/>
        </w:rPr>
        <w:t>)</w:t>
      </w:r>
      <w:r>
        <w:rPr>
          <w:i/>
          <w:szCs w:val="22"/>
        </w:rPr>
        <w:t xml:space="preserve">. </w:t>
      </w:r>
      <w:r w:rsidRPr="00E55207">
        <w:rPr>
          <w:i/>
          <w:szCs w:val="22"/>
        </w:rPr>
        <w:t>Error bars are SE for g DW m</w:t>
      </w:r>
      <w:r w:rsidRPr="00E55207">
        <w:rPr>
          <w:i/>
          <w:szCs w:val="22"/>
          <w:vertAlign w:val="superscript"/>
        </w:rPr>
        <w:t>2</w:t>
      </w:r>
      <w:r w:rsidRPr="00E55207">
        <w:rPr>
          <w:i/>
          <w:szCs w:val="22"/>
        </w:rPr>
        <w:t>.</w:t>
      </w:r>
    </w:p>
    <w:p w14:paraId="31042893"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bookmarkEnd w:id="411"/>
    </w:p>
    <w:p w14:paraId="0795626D" w14:textId="294004AD" w:rsidR="00270034" w:rsidRPr="00126C4F" w:rsidRDefault="00270034" w:rsidP="00B45034">
      <w:pPr>
        <w:autoSpaceDE w:val="0"/>
        <w:autoSpaceDN w:val="0"/>
        <w:adjustRightInd w:val="0"/>
        <w:spacing w:before="0" w:after="0"/>
        <w:rPr>
          <w:szCs w:val="22"/>
          <w:lang w:eastAsia="en-AU"/>
        </w:rPr>
      </w:pPr>
      <w:r w:rsidRPr="00475877">
        <w:rPr>
          <w:color w:val="000000" w:themeColor="text1"/>
          <w:szCs w:val="22"/>
          <w:lang w:eastAsia="en-AU"/>
        </w:rPr>
        <w:t xml:space="preserve">Reproductive effort in </w:t>
      </w:r>
      <w:r w:rsidR="003D0691">
        <w:rPr>
          <w:color w:val="000000" w:themeColor="text1"/>
          <w:szCs w:val="22"/>
          <w:lang w:eastAsia="en-AU"/>
        </w:rPr>
        <w:t xml:space="preserve">meadows of the </w:t>
      </w:r>
      <w:r w:rsidRPr="00475877">
        <w:rPr>
          <w:color w:val="000000" w:themeColor="text1"/>
          <w:szCs w:val="22"/>
          <w:lang w:eastAsia="en-AU"/>
        </w:rPr>
        <w:t xml:space="preserve">Burdekin </w:t>
      </w:r>
      <w:r w:rsidR="00F96B43" w:rsidRPr="00475877">
        <w:rPr>
          <w:color w:val="000000" w:themeColor="text1"/>
          <w:szCs w:val="22"/>
          <w:lang w:eastAsia="en-AU"/>
        </w:rPr>
        <w:t xml:space="preserve">region </w:t>
      </w:r>
      <w:r w:rsidR="003D0691">
        <w:rPr>
          <w:color w:val="000000" w:themeColor="text1"/>
          <w:szCs w:val="22"/>
          <w:lang w:eastAsia="en-AU"/>
        </w:rPr>
        <w:t>h</w:t>
      </w:r>
      <w:r w:rsidRPr="00475877">
        <w:rPr>
          <w:color w:val="000000" w:themeColor="text1"/>
          <w:szCs w:val="22"/>
          <w:lang w:eastAsia="en-AU"/>
        </w:rPr>
        <w:t xml:space="preserve">ad been on an increasing trajectory but the reproductive score declined to </w:t>
      </w:r>
      <w:r w:rsidR="00475877" w:rsidRPr="00475877">
        <w:rPr>
          <w:color w:val="000000" w:themeColor="text1"/>
          <w:szCs w:val="22"/>
          <w:lang w:eastAsia="en-AU"/>
        </w:rPr>
        <w:t xml:space="preserve">poor in </w:t>
      </w:r>
      <w:r w:rsidR="008574EC">
        <w:rPr>
          <w:color w:val="000000" w:themeColor="text1"/>
          <w:szCs w:val="22"/>
          <w:lang w:eastAsia="en-AU"/>
        </w:rPr>
        <w:t>2016–17</w:t>
      </w:r>
      <w:r w:rsidRPr="00475877">
        <w:rPr>
          <w:color w:val="000000" w:themeColor="text1"/>
          <w:szCs w:val="22"/>
          <w:lang w:eastAsia="en-AU"/>
        </w:rPr>
        <w:t xml:space="preserve">, </w:t>
      </w:r>
      <w:r w:rsidR="00475877" w:rsidRPr="00475877">
        <w:rPr>
          <w:color w:val="000000" w:themeColor="text1"/>
          <w:szCs w:val="22"/>
          <w:lang w:eastAsia="en-AU"/>
        </w:rPr>
        <w:t>after reaching moderate in the previous reporting year</w:t>
      </w:r>
      <w:r w:rsidRPr="00475877">
        <w:rPr>
          <w:color w:val="000000" w:themeColor="text1"/>
          <w:szCs w:val="22"/>
          <w:lang w:eastAsia="en-AU"/>
        </w:rPr>
        <w:t xml:space="preserve">. </w:t>
      </w:r>
      <w:r w:rsidR="003D0691">
        <w:rPr>
          <w:color w:val="000000" w:themeColor="text1"/>
          <w:szCs w:val="22"/>
          <w:lang w:eastAsia="en-AU"/>
        </w:rPr>
        <w:t xml:space="preserve">This decline in reproductive effort was observed in all habitats to some extent. </w:t>
      </w:r>
      <w:r w:rsidR="008968C5" w:rsidRPr="00475877">
        <w:rPr>
          <w:color w:val="000000" w:themeColor="text1"/>
          <w:szCs w:val="22"/>
          <w:lang w:eastAsia="en-AU"/>
        </w:rPr>
        <w:t xml:space="preserve">Reproductive effort </w:t>
      </w:r>
      <w:r w:rsidR="003D0691">
        <w:rPr>
          <w:color w:val="000000" w:themeColor="text1"/>
          <w:szCs w:val="22"/>
          <w:lang w:eastAsia="en-AU"/>
        </w:rPr>
        <w:t>and de</w:t>
      </w:r>
      <w:r w:rsidR="00915906">
        <w:rPr>
          <w:color w:val="000000" w:themeColor="text1"/>
          <w:szCs w:val="22"/>
          <w:lang w:eastAsia="en-AU"/>
        </w:rPr>
        <w:t>n</w:t>
      </w:r>
      <w:r w:rsidR="003D0691">
        <w:rPr>
          <w:color w:val="000000" w:themeColor="text1"/>
          <w:szCs w:val="22"/>
          <w:lang w:eastAsia="en-AU"/>
        </w:rPr>
        <w:t>s</w:t>
      </w:r>
      <w:r w:rsidR="00915906">
        <w:rPr>
          <w:color w:val="000000" w:themeColor="text1"/>
          <w:szCs w:val="22"/>
          <w:lang w:eastAsia="en-AU"/>
        </w:rPr>
        <w:t xml:space="preserve">ity of seeds in the seed bank </w:t>
      </w:r>
      <w:r w:rsidR="007D5701" w:rsidRPr="00475877">
        <w:rPr>
          <w:color w:val="000000" w:themeColor="text1"/>
          <w:szCs w:val="22"/>
          <w:lang w:eastAsia="en-AU"/>
        </w:rPr>
        <w:t xml:space="preserve">at coastal sites </w:t>
      </w:r>
      <w:r w:rsidR="00475877" w:rsidRPr="00475877">
        <w:rPr>
          <w:color w:val="000000" w:themeColor="text1"/>
          <w:szCs w:val="22"/>
          <w:lang w:eastAsia="en-AU"/>
        </w:rPr>
        <w:t xml:space="preserve">has been </w:t>
      </w:r>
      <w:r w:rsidR="00475877">
        <w:rPr>
          <w:color w:val="000000" w:themeColor="text1"/>
          <w:szCs w:val="22"/>
          <w:lang w:eastAsia="en-AU"/>
        </w:rPr>
        <w:t xml:space="preserve">highly </w:t>
      </w:r>
      <w:r w:rsidR="00475877" w:rsidRPr="00475877">
        <w:rPr>
          <w:color w:val="000000" w:themeColor="text1"/>
          <w:szCs w:val="22"/>
          <w:lang w:eastAsia="en-AU"/>
        </w:rPr>
        <w:t>variable</w:t>
      </w:r>
      <w:r w:rsidR="00475877">
        <w:rPr>
          <w:color w:val="000000" w:themeColor="text1"/>
          <w:szCs w:val="22"/>
          <w:lang w:eastAsia="en-AU"/>
        </w:rPr>
        <w:t xml:space="preserve"> since</w:t>
      </w:r>
      <w:r w:rsidR="00915906">
        <w:rPr>
          <w:color w:val="000000" w:themeColor="text1"/>
          <w:szCs w:val="22"/>
          <w:lang w:eastAsia="en-AU"/>
        </w:rPr>
        <w:t xml:space="preserve"> monitoring began. In </w:t>
      </w:r>
      <w:r w:rsidR="008574EC">
        <w:rPr>
          <w:color w:val="000000" w:themeColor="text1"/>
          <w:szCs w:val="22"/>
          <w:lang w:eastAsia="en-AU"/>
        </w:rPr>
        <w:t>2016–17</w:t>
      </w:r>
      <w:r w:rsidR="00915906">
        <w:rPr>
          <w:color w:val="000000" w:themeColor="text1"/>
          <w:szCs w:val="22"/>
          <w:lang w:eastAsia="en-AU"/>
        </w:rPr>
        <w:t xml:space="preserve"> both reproductive effort and seed density</w:t>
      </w:r>
      <w:r w:rsidR="00475877">
        <w:rPr>
          <w:color w:val="000000" w:themeColor="text1"/>
          <w:szCs w:val="22"/>
          <w:lang w:eastAsia="en-AU"/>
        </w:rPr>
        <w:t xml:space="preserve"> </w:t>
      </w:r>
      <w:r w:rsidR="00915906">
        <w:rPr>
          <w:color w:val="000000" w:themeColor="text1"/>
          <w:szCs w:val="22"/>
          <w:lang w:eastAsia="en-AU"/>
        </w:rPr>
        <w:t>were</w:t>
      </w:r>
      <w:r w:rsidR="00475877">
        <w:rPr>
          <w:color w:val="000000" w:themeColor="text1"/>
          <w:szCs w:val="22"/>
          <w:lang w:eastAsia="en-AU"/>
        </w:rPr>
        <w:t xml:space="preserve"> </w:t>
      </w:r>
      <w:r w:rsidR="00475877" w:rsidRPr="00475877">
        <w:rPr>
          <w:color w:val="000000" w:themeColor="text1"/>
          <w:szCs w:val="22"/>
          <w:lang w:eastAsia="en-AU"/>
        </w:rPr>
        <w:t>higher than in other habitat types</w:t>
      </w:r>
      <w:r w:rsidR="00915906">
        <w:rPr>
          <w:color w:val="000000" w:themeColor="text1"/>
          <w:szCs w:val="22"/>
          <w:lang w:eastAsia="en-AU"/>
        </w:rPr>
        <w:t>, but they did not reach historical peaks observed in the period 2005 to 2008</w:t>
      </w:r>
      <w:r w:rsidR="00475877" w:rsidRPr="009A51A0">
        <w:rPr>
          <w:color w:val="000000" w:themeColor="text1"/>
          <w:szCs w:val="22"/>
          <w:lang w:eastAsia="en-AU"/>
        </w:rPr>
        <w:t xml:space="preserve">. </w:t>
      </w:r>
      <w:r w:rsidR="007D5701" w:rsidRPr="009A51A0">
        <w:rPr>
          <w:color w:val="000000" w:themeColor="text1"/>
          <w:szCs w:val="22"/>
          <w:lang w:eastAsia="en-AU"/>
        </w:rPr>
        <w:t xml:space="preserve">At reef intertidal sites, reproductive effort has remained low in </w:t>
      </w:r>
      <w:r w:rsidR="008574EC">
        <w:rPr>
          <w:color w:val="000000" w:themeColor="text1"/>
          <w:szCs w:val="22"/>
          <w:lang w:eastAsia="en-AU"/>
        </w:rPr>
        <w:t>2016–17</w:t>
      </w:r>
      <w:r w:rsidR="007D5701" w:rsidRPr="009A51A0">
        <w:rPr>
          <w:color w:val="000000" w:themeColor="text1"/>
          <w:szCs w:val="22"/>
          <w:lang w:eastAsia="en-AU"/>
        </w:rPr>
        <w:t xml:space="preserve">, </w:t>
      </w:r>
      <w:r w:rsidR="009A51A0" w:rsidRPr="009A51A0">
        <w:rPr>
          <w:color w:val="000000" w:themeColor="text1"/>
          <w:szCs w:val="22"/>
          <w:lang w:eastAsia="en-AU"/>
        </w:rPr>
        <w:t>and previous increases in seed density had reversed and were again very low. By contrast, although reproductive effort is typically low a</w:t>
      </w:r>
      <w:r w:rsidR="007D5701" w:rsidRPr="009A51A0">
        <w:rPr>
          <w:color w:val="000000" w:themeColor="text1"/>
          <w:szCs w:val="22"/>
          <w:lang w:eastAsia="en-AU"/>
        </w:rPr>
        <w:t xml:space="preserve">t reef subtidal sites, </w:t>
      </w:r>
      <w:r w:rsidR="009A51A0" w:rsidRPr="009A51A0">
        <w:rPr>
          <w:color w:val="000000" w:themeColor="text1"/>
          <w:szCs w:val="22"/>
          <w:lang w:eastAsia="en-AU"/>
        </w:rPr>
        <w:t xml:space="preserve">a seed bank has built up from 2011, and was maintained in </w:t>
      </w:r>
      <w:r w:rsidR="008574EC">
        <w:rPr>
          <w:color w:val="000000" w:themeColor="text1"/>
          <w:szCs w:val="22"/>
          <w:lang w:eastAsia="en-AU"/>
        </w:rPr>
        <w:t>2016–17</w:t>
      </w:r>
      <w:r w:rsidR="009A51A0" w:rsidRPr="009A51A0">
        <w:rPr>
          <w:color w:val="000000" w:themeColor="text1"/>
          <w:szCs w:val="22"/>
          <w:lang w:eastAsia="en-AU"/>
        </w:rPr>
        <w:t xml:space="preserve"> </w:t>
      </w:r>
      <w:r w:rsidR="008968C5" w:rsidRPr="009A51A0">
        <w:rPr>
          <w:color w:val="000000" w:themeColor="text1"/>
          <w:szCs w:val="22"/>
          <w:lang w:eastAsia="en-AU"/>
        </w:rPr>
        <w:t>(</w:t>
      </w:r>
      <w:r w:rsidR="008968C5" w:rsidRPr="009A51A0">
        <w:rPr>
          <w:color w:val="000000" w:themeColor="text1"/>
          <w:szCs w:val="22"/>
          <w:lang w:eastAsia="en-AU"/>
        </w:rPr>
        <w:fldChar w:fldCharType="begin"/>
      </w:r>
      <w:r w:rsidR="008968C5" w:rsidRPr="009A51A0">
        <w:rPr>
          <w:color w:val="000000" w:themeColor="text1"/>
          <w:szCs w:val="22"/>
          <w:lang w:eastAsia="en-AU"/>
        </w:rPr>
        <w:instrText xml:space="preserve"> REF _Ref271531417 \h </w:instrText>
      </w:r>
      <w:r w:rsidR="008968C5" w:rsidRPr="009A51A0">
        <w:rPr>
          <w:color w:val="000000" w:themeColor="text1"/>
          <w:szCs w:val="22"/>
          <w:lang w:eastAsia="en-AU"/>
        </w:rPr>
      </w:r>
      <w:r w:rsidR="008968C5" w:rsidRPr="009A51A0">
        <w:rPr>
          <w:color w:val="000000" w:themeColor="text1"/>
          <w:szCs w:val="22"/>
          <w:lang w:eastAsia="en-AU"/>
        </w:rPr>
        <w:fldChar w:fldCharType="separate"/>
      </w:r>
      <w:r w:rsidR="00F87DF9" w:rsidRPr="00CA2B35">
        <w:t xml:space="preserve">Figure </w:t>
      </w:r>
      <w:r w:rsidR="00F87DF9">
        <w:rPr>
          <w:noProof/>
        </w:rPr>
        <w:t>75</w:t>
      </w:r>
      <w:r w:rsidR="008968C5" w:rsidRPr="009A51A0">
        <w:rPr>
          <w:color w:val="000000" w:themeColor="text1"/>
          <w:szCs w:val="22"/>
          <w:lang w:eastAsia="en-AU"/>
        </w:rPr>
        <w:fldChar w:fldCharType="end"/>
      </w:r>
      <w:r w:rsidR="008968C5" w:rsidRPr="009A51A0">
        <w:rPr>
          <w:color w:val="000000" w:themeColor="text1"/>
          <w:szCs w:val="22"/>
          <w:lang w:eastAsia="en-AU"/>
        </w:rPr>
        <w:t xml:space="preserve">). </w:t>
      </w:r>
    </w:p>
    <w:p w14:paraId="08EDACF8" w14:textId="77777777" w:rsidR="00270034" w:rsidRPr="000F45DC" w:rsidRDefault="00015AD8"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7D012F1C" wp14:editId="2ECB7EB6">
            <wp:extent cx="5684915" cy="1357164"/>
            <wp:effectExtent l="0" t="0" r="0" b="0"/>
            <wp:docPr id="301" name="Picture 301" descr="Panel of three composite bar and scatter plot graphs showing seed banks (bars) and reproductive effort (dots) at inshore seagrass habitats in the Burdekin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B_repro16.png"/>
                    <pic:cNvPicPr/>
                  </pic:nvPicPr>
                  <pic:blipFill>
                    <a:blip r:embed="rId113">
                      <a:extLst>
                        <a:ext uri="{28A0092B-C50C-407E-A947-70E740481C1C}">
                          <a14:useLocalDpi xmlns:a14="http://schemas.microsoft.com/office/drawing/2010/main" val="0"/>
                        </a:ext>
                      </a:extLst>
                    </a:blip>
                    <a:stretch>
                      <a:fillRect/>
                    </a:stretch>
                  </pic:blipFill>
                  <pic:spPr>
                    <a:xfrm>
                      <a:off x="0" y="0"/>
                      <a:ext cx="5684915" cy="1357164"/>
                    </a:xfrm>
                    <a:prstGeom prst="rect">
                      <a:avLst/>
                    </a:prstGeom>
                  </pic:spPr>
                </pic:pic>
              </a:graphicData>
            </a:graphic>
          </wp:inline>
        </w:drawing>
      </w:r>
    </w:p>
    <w:p w14:paraId="21115081" w14:textId="268C97F0" w:rsidR="0075536C" w:rsidRPr="0075536C" w:rsidRDefault="005132EF" w:rsidP="0075536C">
      <w:pPr>
        <w:rPr>
          <w:i/>
          <w:vanish/>
          <w:color w:val="000000"/>
          <w:specVanish/>
        </w:rPr>
      </w:pPr>
      <w:bookmarkStart w:id="417" w:name="_Ref271531417"/>
      <w:bookmarkStart w:id="418" w:name="_Toc431493860"/>
      <w:bookmarkStart w:id="419" w:name="_Toc516053285"/>
      <w:r w:rsidRPr="00CA2B35">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75</w:t>
      </w:r>
      <w:r w:rsidR="00C506C7">
        <w:rPr>
          <w:noProof/>
        </w:rPr>
        <w:fldChar w:fldCharType="end"/>
      </w:r>
      <w:bookmarkEnd w:id="417"/>
      <w:r w:rsidRPr="00CA2B35">
        <w:t xml:space="preserve">. </w:t>
      </w:r>
      <w:r w:rsidR="00B910F2" w:rsidRPr="0075536C">
        <w:rPr>
          <w:i/>
        </w:rPr>
        <w:t xml:space="preserve">Seed bank and late dry season reproductive effort at inshore intertidal </w:t>
      </w:r>
      <w:r w:rsidR="00C72F27" w:rsidRPr="0075536C">
        <w:rPr>
          <w:i/>
        </w:rPr>
        <w:t xml:space="preserve">coast and reef </w:t>
      </w:r>
      <w:r w:rsidR="00CA2B35" w:rsidRPr="0075536C">
        <w:rPr>
          <w:i/>
        </w:rPr>
        <w:t xml:space="preserve">and subtidal reef </w:t>
      </w:r>
      <w:r w:rsidR="00B910F2" w:rsidRPr="0075536C">
        <w:rPr>
          <w:i/>
        </w:rPr>
        <w:t>habitats in the Burdekin region</w:t>
      </w:r>
      <w:r w:rsidR="00C72F27" w:rsidRPr="0075536C">
        <w:rPr>
          <w:i/>
        </w:rPr>
        <w:t>.</w:t>
      </w:r>
      <w:bookmarkEnd w:id="418"/>
      <w:bookmarkEnd w:id="419"/>
      <w:r w:rsidR="00B910F2" w:rsidRPr="0075536C">
        <w:rPr>
          <w:i/>
          <w:vanish/>
          <w:szCs w:val="22"/>
          <w:specVanish/>
        </w:rPr>
        <w:t xml:space="preserve"> </w:t>
      </w:r>
      <w:r w:rsidR="00C72F27" w:rsidRPr="0075536C">
        <w:rPr>
          <w:i/>
        </w:rPr>
        <w:t xml:space="preserve"> </w:t>
      </w:r>
    </w:p>
    <w:p w14:paraId="304A375C" w14:textId="77777777" w:rsidR="00270034" w:rsidRDefault="00B910F2" w:rsidP="00F31F8D">
      <w:pPr>
        <w:rPr>
          <w:rFonts w:cs="TimesNewRoman,Italic"/>
          <w:iCs/>
          <w:color w:val="000000"/>
          <w:szCs w:val="22"/>
        </w:rPr>
      </w:pPr>
      <w:r w:rsidRPr="0075536C">
        <w:rPr>
          <w:i/>
        </w:rPr>
        <w:t>Seed bank presented as the total number of seeds per m</w:t>
      </w:r>
      <w:r w:rsidRPr="0075536C">
        <w:rPr>
          <w:i/>
          <w:vertAlign w:val="superscript"/>
        </w:rPr>
        <w:t>2</w:t>
      </w:r>
      <w:r w:rsidRPr="0075536C">
        <w:rPr>
          <w:i/>
        </w:rPr>
        <w:t xml:space="preserve"> sediment surface</w:t>
      </w:r>
      <w:r w:rsidR="00B65283">
        <w:rPr>
          <w:i/>
        </w:rPr>
        <w:t xml:space="preserve"> (bars ±SE)</w:t>
      </w:r>
      <w:r w:rsidRPr="0075536C">
        <w:rPr>
          <w:i/>
        </w:rPr>
        <w:t>, and late dry season reproductive effort presented as the average number of reproductive structures per core (species and sites pooled)</w:t>
      </w:r>
      <w:r w:rsidR="00B65283">
        <w:rPr>
          <w:i/>
        </w:rPr>
        <w:t xml:space="preserve"> (dots ±SE)</w:t>
      </w:r>
      <w:r w:rsidRPr="0075536C">
        <w:rPr>
          <w:i/>
        </w:rPr>
        <w:t xml:space="preserve">. </w:t>
      </w:r>
      <w:r w:rsidR="00C72F27" w:rsidRPr="0075536C">
        <w:rPr>
          <w:i/>
        </w:rPr>
        <w:t>NB: Y-axis scale for seed banks</w:t>
      </w:r>
      <w:r w:rsidR="005132EF" w:rsidRPr="0075536C">
        <w:rPr>
          <w:i/>
        </w:rPr>
        <w:t xml:space="preserve"> </w:t>
      </w:r>
      <w:r w:rsidR="00C72F27" w:rsidRPr="0075536C">
        <w:rPr>
          <w:i/>
        </w:rPr>
        <w:t>differ</w:t>
      </w:r>
      <w:r w:rsidR="00B65283">
        <w:rPr>
          <w:i/>
        </w:rPr>
        <w:t>s</w:t>
      </w:r>
      <w:r w:rsidR="00C72F27" w:rsidRPr="0075536C">
        <w:rPr>
          <w:i/>
        </w:rPr>
        <w:t xml:space="preserve"> between habitats.</w:t>
      </w:r>
      <w:r w:rsidRPr="00CA2B35">
        <w:t xml:space="preserve"> </w:t>
      </w:r>
    </w:p>
    <w:p w14:paraId="2A3A9DBD" w14:textId="65471625" w:rsidR="00BC4EC5" w:rsidRPr="00BD0604" w:rsidRDefault="00FF0A86" w:rsidP="00926892">
      <w:pPr>
        <w:pStyle w:val="Heading3"/>
        <w:numPr>
          <w:ilvl w:val="2"/>
          <w:numId w:val="9"/>
        </w:numPr>
        <w:rPr>
          <w:rFonts w:ascii="Arial" w:hAnsi="Arial" w:cs="Arial"/>
          <w:color w:val="000000"/>
        </w:rPr>
      </w:pPr>
      <w:bookmarkStart w:id="420" w:name="_Toc516053153"/>
      <w:r>
        <w:rPr>
          <w:rFonts w:ascii="Arial" w:hAnsi="Arial" w:cs="Arial"/>
          <w:color w:val="000000"/>
        </w:rPr>
        <w:t>Indicators of environmental condition</w:t>
      </w:r>
      <w:bookmarkEnd w:id="420"/>
    </w:p>
    <w:p w14:paraId="25C222EB" w14:textId="77777777" w:rsidR="005132EF" w:rsidRPr="004F2236" w:rsidRDefault="005132EF" w:rsidP="004F2236">
      <w:pPr>
        <w:pStyle w:val="Heading4"/>
        <w:numPr>
          <w:ilvl w:val="0"/>
          <w:numId w:val="0"/>
        </w:numPr>
        <w:rPr>
          <w:rFonts w:ascii="Arial" w:hAnsi="Arial" w:cs="Arial"/>
          <w:sz w:val="24"/>
          <w:szCs w:val="24"/>
        </w:rPr>
      </w:pPr>
      <w:bookmarkStart w:id="421" w:name="_Toc184102002"/>
      <w:r w:rsidRPr="004F2236">
        <w:rPr>
          <w:rFonts w:ascii="Arial" w:hAnsi="Arial" w:cs="Arial"/>
          <w:sz w:val="24"/>
          <w:szCs w:val="24"/>
        </w:rPr>
        <w:t>Seagrass tissue nutrients</w:t>
      </w:r>
      <w:bookmarkEnd w:id="421"/>
    </w:p>
    <w:p w14:paraId="23C2613F" w14:textId="18001DD8" w:rsidR="00270034" w:rsidRPr="00B24AAD" w:rsidRDefault="00270034" w:rsidP="00270034">
      <w:pPr>
        <w:rPr>
          <w:color w:val="000000" w:themeColor="text1"/>
          <w:szCs w:val="22"/>
        </w:rPr>
      </w:pPr>
      <w:r w:rsidRPr="00B24AAD">
        <w:rPr>
          <w:color w:val="000000" w:themeColor="text1"/>
          <w:szCs w:val="22"/>
        </w:rPr>
        <w:t xml:space="preserve">Seagrass leaf tissue molar C:N ratios </w:t>
      </w:r>
      <w:r w:rsidR="00B24AAD" w:rsidRPr="00B24AAD">
        <w:rPr>
          <w:color w:val="000000" w:themeColor="text1"/>
          <w:szCs w:val="22"/>
        </w:rPr>
        <w:t>increased</w:t>
      </w:r>
      <w:r w:rsidRPr="00B24AAD">
        <w:rPr>
          <w:color w:val="000000" w:themeColor="text1"/>
          <w:szCs w:val="22"/>
        </w:rPr>
        <w:t xml:space="preserve"> </w:t>
      </w:r>
      <w:r w:rsidR="00B24AAD" w:rsidRPr="00B24AAD">
        <w:rPr>
          <w:color w:val="000000" w:themeColor="text1"/>
          <w:szCs w:val="22"/>
        </w:rPr>
        <w:t xml:space="preserve">in coastal habitats </w:t>
      </w:r>
      <w:r w:rsidR="00C66143" w:rsidRPr="00B24AAD">
        <w:rPr>
          <w:color w:val="000000" w:themeColor="text1"/>
          <w:szCs w:val="22"/>
        </w:rPr>
        <w:t xml:space="preserve">in </w:t>
      </w:r>
      <w:r w:rsidR="008574EC">
        <w:rPr>
          <w:color w:val="000000" w:themeColor="text1"/>
          <w:szCs w:val="22"/>
        </w:rPr>
        <w:t>2016–17</w:t>
      </w:r>
      <w:r w:rsidR="00C66143" w:rsidRPr="00B24AAD">
        <w:rPr>
          <w:color w:val="000000" w:themeColor="text1"/>
          <w:szCs w:val="22"/>
        </w:rPr>
        <w:t xml:space="preserve"> </w:t>
      </w:r>
      <w:r w:rsidR="00B24AAD" w:rsidRPr="00B24AAD">
        <w:rPr>
          <w:color w:val="000000" w:themeColor="text1"/>
          <w:szCs w:val="22"/>
        </w:rPr>
        <w:t xml:space="preserve">reaching historical maxima </w:t>
      </w:r>
      <w:r w:rsidRPr="00B24AAD">
        <w:rPr>
          <w:color w:val="000000" w:themeColor="text1"/>
          <w:szCs w:val="22"/>
        </w:rPr>
        <w:t>(</w:t>
      </w:r>
      <w:r w:rsidR="002C452C" w:rsidRPr="00B24AAD">
        <w:rPr>
          <w:color w:val="000000" w:themeColor="text1"/>
          <w:szCs w:val="22"/>
        </w:rPr>
        <w:fldChar w:fldCharType="begin"/>
      </w:r>
      <w:r w:rsidR="002C452C" w:rsidRPr="00B24AAD">
        <w:rPr>
          <w:color w:val="000000" w:themeColor="text1"/>
          <w:szCs w:val="22"/>
        </w:rPr>
        <w:instrText xml:space="preserve"> REF _Ref271126020 \h </w:instrText>
      </w:r>
      <w:r w:rsidR="002C452C" w:rsidRPr="00B24AAD">
        <w:rPr>
          <w:color w:val="000000" w:themeColor="text1"/>
          <w:szCs w:val="22"/>
        </w:rPr>
      </w:r>
      <w:r w:rsidR="002C452C" w:rsidRPr="00B24AAD">
        <w:rPr>
          <w:color w:val="000000" w:themeColor="text1"/>
          <w:szCs w:val="22"/>
        </w:rPr>
        <w:fldChar w:fldCharType="separate"/>
      </w:r>
      <w:r w:rsidR="00F87DF9" w:rsidRPr="00B05710">
        <w:rPr>
          <w:color w:val="000000"/>
        </w:rPr>
        <w:t xml:space="preserve">Figure </w:t>
      </w:r>
      <w:r w:rsidR="00F87DF9">
        <w:rPr>
          <w:noProof/>
          <w:color w:val="000000"/>
        </w:rPr>
        <w:t>76</w:t>
      </w:r>
      <w:r w:rsidR="002C452C" w:rsidRPr="00B24AAD">
        <w:rPr>
          <w:color w:val="000000" w:themeColor="text1"/>
          <w:szCs w:val="22"/>
        </w:rPr>
        <w:fldChar w:fldCharType="end"/>
      </w:r>
      <w:r w:rsidRPr="00B24AAD">
        <w:rPr>
          <w:color w:val="000000" w:themeColor="text1"/>
          <w:szCs w:val="22"/>
        </w:rPr>
        <w:t xml:space="preserve">). </w:t>
      </w:r>
      <w:r w:rsidR="00B24AAD" w:rsidRPr="00B24AAD">
        <w:rPr>
          <w:color w:val="000000" w:themeColor="text1"/>
          <w:szCs w:val="22"/>
        </w:rPr>
        <w:t>There were also small increases at reef habitat, where the values were above the</w:t>
      </w:r>
      <w:r w:rsidRPr="00B24AAD">
        <w:rPr>
          <w:color w:val="000000" w:themeColor="text1"/>
          <w:szCs w:val="22"/>
        </w:rPr>
        <w:t xml:space="preserve"> threshold value (C:N &lt;20) </w:t>
      </w:r>
      <w:r w:rsidR="00C66143" w:rsidRPr="00B24AAD">
        <w:rPr>
          <w:color w:val="000000" w:themeColor="text1"/>
          <w:szCs w:val="22"/>
        </w:rPr>
        <w:t xml:space="preserve">that </w:t>
      </w:r>
      <w:r w:rsidRPr="00B24AAD">
        <w:rPr>
          <w:color w:val="000000" w:themeColor="text1"/>
          <w:szCs w:val="22"/>
        </w:rPr>
        <w:t>indicat</w:t>
      </w:r>
      <w:r w:rsidR="00C66143" w:rsidRPr="00B24AAD">
        <w:rPr>
          <w:color w:val="000000" w:themeColor="text1"/>
          <w:szCs w:val="22"/>
        </w:rPr>
        <w:t>es</w:t>
      </w:r>
      <w:r w:rsidRPr="00B24AAD">
        <w:rPr>
          <w:color w:val="000000" w:themeColor="text1"/>
          <w:szCs w:val="22"/>
        </w:rPr>
        <w:t xml:space="preserve"> </w:t>
      </w:r>
      <w:r w:rsidR="00A65C8A">
        <w:rPr>
          <w:color w:val="000000" w:themeColor="text1"/>
          <w:szCs w:val="22"/>
        </w:rPr>
        <w:t>that nitrogen is not in supply at a rate in excess of growth requirements (i.e. N limited)</w:t>
      </w:r>
      <w:r w:rsidR="00B24AAD" w:rsidRPr="00B24AAD">
        <w:rPr>
          <w:color w:val="000000" w:themeColor="text1"/>
          <w:szCs w:val="22"/>
        </w:rPr>
        <w:t>. The reduction in</w:t>
      </w:r>
      <w:r w:rsidRPr="00B24AAD">
        <w:rPr>
          <w:color w:val="000000" w:themeColor="text1"/>
          <w:szCs w:val="22"/>
        </w:rPr>
        <w:t xml:space="preserve"> N:P at </w:t>
      </w:r>
      <w:r w:rsidR="003B14EE" w:rsidRPr="00B24AAD">
        <w:rPr>
          <w:color w:val="000000" w:themeColor="text1"/>
          <w:szCs w:val="22"/>
        </w:rPr>
        <w:t>all</w:t>
      </w:r>
      <w:r w:rsidRPr="00B24AAD">
        <w:rPr>
          <w:color w:val="000000" w:themeColor="text1"/>
          <w:szCs w:val="22"/>
        </w:rPr>
        <w:t xml:space="preserve"> sites also suggest</w:t>
      </w:r>
      <w:r w:rsidR="00B24AAD" w:rsidRPr="00B24AAD">
        <w:rPr>
          <w:color w:val="000000" w:themeColor="text1"/>
          <w:szCs w:val="22"/>
        </w:rPr>
        <w:t>s</w:t>
      </w:r>
      <w:r w:rsidRPr="00B24AAD">
        <w:rPr>
          <w:color w:val="000000" w:themeColor="text1"/>
          <w:szCs w:val="22"/>
        </w:rPr>
        <w:t xml:space="preserve"> that </w:t>
      </w:r>
      <w:r w:rsidR="00B24AAD" w:rsidRPr="00B24AAD">
        <w:rPr>
          <w:color w:val="000000" w:themeColor="text1"/>
          <w:szCs w:val="22"/>
        </w:rPr>
        <w:t>reduced N-availability</w:t>
      </w:r>
      <w:r w:rsidRPr="00B24AAD">
        <w:rPr>
          <w:color w:val="000000" w:themeColor="text1"/>
          <w:szCs w:val="22"/>
        </w:rPr>
        <w:t xml:space="preserve"> </w:t>
      </w:r>
      <w:r w:rsidR="00B24AAD" w:rsidRPr="00B24AAD">
        <w:rPr>
          <w:color w:val="000000" w:themeColor="text1"/>
          <w:szCs w:val="22"/>
        </w:rPr>
        <w:t>is likely to be</w:t>
      </w:r>
      <w:r w:rsidR="003B14EE" w:rsidRPr="00B24AAD">
        <w:rPr>
          <w:color w:val="000000" w:themeColor="text1"/>
          <w:szCs w:val="22"/>
        </w:rPr>
        <w:t xml:space="preserve"> contributing to the </w:t>
      </w:r>
      <w:r w:rsidR="00B24AAD" w:rsidRPr="00B24AAD">
        <w:rPr>
          <w:color w:val="000000" w:themeColor="text1"/>
          <w:szCs w:val="22"/>
        </w:rPr>
        <w:t>rising</w:t>
      </w:r>
      <w:r w:rsidR="003B14EE" w:rsidRPr="00B24AAD">
        <w:rPr>
          <w:color w:val="000000" w:themeColor="text1"/>
          <w:szCs w:val="22"/>
        </w:rPr>
        <w:t xml:space="preserve"> C:N ratios</w:t>
      </w:r>
      <w:r w:rsidR="00B32B4D" w:rsidRPr="00B24AAD">
        <w:rPr>
          <w:color w:val="000000" w:themeColor="text1"/>
          <w:szCs w:val="22"/>
        </w:rPr>
        <w:t xml:space="preserve"> (</w:t>
      </w:r>
      <w:r w:rsidR="00B32B4D" w:rsidRPr="00B24AAD">
        <w:rPr>
          <w:color w:val="000000" w:themeColor="text1"/>
          <w:szCs w:val="22"/>
        </w:rPr>
        <w:fldChar w:fldCharType="begin"/>
      </w:r>
      <w:r w:rsidR="00B32B4D" w:rsidRPr="00B24AAD">
        <w:rPr>
          <w:color w:val="000000" w:themeColor="text1"/>
          <w:szCs w:val="22"/>
        </w:rPr>
        <w:instrText xml:space="preserve"> REF _Ref236801906 \h </w:instrText>
      </w:r>
      <w:r w:rsidR="00B32B4D" w:rsidRPr="00B24AAD">
        <w:rPr>
          <w:color w:val="000000" w:themeColor="text1"/>
          <w:szCs w:val="22"/>
        </w:rPr>
      </w:r>
      <w:r w:rsidR="00B32B4D" w:rsidRPr="00B24AAD">
        <w:rPr>
          <w:color w:val="000000" w:themeColor="text1"/>
          <w:szCs w:val="22"/>
        </w:rPr>
        <w:fldChar w:fldCharType="separate"/>
      </w:r>
      <w:r w:rsidR="00F87DF9" w:rsidRPr="00833388">
        <w:rPr>
          <w:color w:val="000000"/>
          <w:szCs w:val="22"/>
        </w:rPr>
        <w:t xml:space="preserve">Figure </w:t>
      </w:r>
      <w:r w:rsidR="00F87DF9">
        <w:rPr>
          <w:noProof/>
          <w:color w:val="000000"/>
          <w:szCs w:val="22"/>
        </w:rPr>
        <w:t>77</w:t>
      </w:r>
      <w:r w:rsidR="00B32B4D" w:rsidRPr="00B24AAD">
        <w:rPr>
          <w:color w:val="000000" w:themeColor="text1"/>
          <w:szCs w:val="22"/>
        </w:rPr>
        <w:fldChar w:fldCharType="end"/>
      </w:r>
      <w:r w:rsidR="00B32B4D" w:rsidRPr="00B24AAD">
        <w:rPr>
          <w:color w:val="000000" w:themeColor="text1"/>
          <w:szCs w:val="22"/>
        </w:rPr>
        <w:t>)</w:t>
      </w:r>
      <w:r w:rsidR="00075662" w:rsidRPr="00B24AAD">
        <w:rPr>
          <w:color w:val="000000" w:themeColor="text1"/>
          <w:szCs w:val="22"/>
        </w:rPr>
        <w:t xml:space="preserve">; </w:t>
      </w:r>
      <w:r w:rsidR="00B24AAD" w:rsidRPr="00B24AAD">
        <w:rPr>
          <w:color w:val="000000" w:themeColor="text1"/>
          <w:szCs w:val="22"/>
        </w:rPr>
        <w:t>and this may be attributed to the multiple years of below average river discharge</w:t>
      </w:r>
      <w:r w:rsidRPr="00B24AAD">
        <w:rPr>
          <w:color w:val="000000" w:themeColor="text1"/>
          <w:szCs w:val="22"/>
        </w:rPr>
        <w:t xml:space="preserve">. </w:t>
      </w:r>
    </w:p>
    <w:p w14:paraId="7319797D" w14:textId="77777777" w:rsidR="00270034" w:rsidRPr="00270034" w:rsidRDefault="00015AD8" w:rsidP="00A40091">
      <w:pPr>
        <w:keepNext/>
        <w:widowControl w:val="0"/>
        <w:spacing w:after="0"/>
        <w:jc w:val="center"/>
        <w:rPr>
          <w:color w:val="000000"/>
          <w:szCs w:val="22"/>
        </w:rPr>
      </w:pPr>
      <w:r>
        <w:rPr>
          <w:noProof/>
          <w:color w:val="000000"/>
          <w:szCs w:val="22"/>
          <w:lang w:eastAsia="en-AU"/>
        </w:rPr>
        <w:drawing>
          <wp:inline distT="0" distB="0" distL="0" distR="0" wp14:anchorId="146D055E" wp14:editId="1E2302B2">
            <wp:extent cx="5220000" cy="1600945"/>
            <wp:effectExtent l="0" t="0" r="0" b="0"/>
            <wp:docPr id="302" name="Picture 302" descr="Panel of three scatter plots with straight lines and markers showing elemental ratios (atomic) of seagrass leaf tissue C:N for the foundation species in inshore seagrass habitats in the Burdekin NRM region from 2006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B_CN_yr_Dec16.png"/>
                    <pic:cNvPicPr/>
                  </pic:nvPicPr>
                  <pic:blipFill>
                    <a:blip r:embed="rId114">
                      <a:extLst>
                        <a:ext uri="{28A0092B-C50C-407E-A947-70E740481C1C}">
                          <a14:useLocalDpi xmlns:a14="http://schemas.microsoft.com/office/drawing/2010/main" val="0"/>
                        </a:ext>
                      </a:extLst>
                    </a:blip>
                    <a:stretch>
                      <a:fillRect/>
                    </a:stretch>
                  </pic:blipFill>
                  <pic:spPr>
                    <a:xfrm>
                      <a:off x="0" y="0"/>
                      <a:ext cx="5220000" cy="1600945"/>
                    </a:xfrm>
                    <a:prstGeom prst="rect">
                      <a:avLst/>
                    </a:prstGeom>
                  </pic:spPr>
                </pic:pic>
              </a:graphicData>
            </a:graphic>
          </wp:inline>
        </w:drawing>
      </w:r>
    </w:p>
    <w:p w14:paraId="335694D1" w14:textId="227AC281" w:rsidR="00527E4F" w:rsidRPr="00B05710" w:rsidRDefault="005132EF" w:rsidP="00A40091">
      <w:pPr>
        <w:rPr>
          <w:i/>
          <w:iCs/>
          <w:vanish/>
          <w:color w:val="000000"/>
          <w:szCs w:val="22"/>
          <w:lang w:eastAsia="en-AU"/>
          <w:specVanish/>
        </w:rPr>
      </w:pPr>
      <w:bookmarkStart w:id="422" w:name="_Ref271126020"/>
      <w:bookmarkStart w:id="423" w:name="_Toc431493862"/>
      <w:bookmarkStart w:id="424" w:name="_Toc516053286"/>
      <w:r w:rsidRPr="00B05710">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76</w:t>
      </w:r>
      <w:r w:rsidR="0073595B">
        <w:rPr>
          <w:color w:val="000000"/>
        </w:rPr>
        <w:fldChar w:fldCharType="end"/>
      </w:r>
      <w:bookmarkEnd w:id="422"/>
      <w:r w:rsidRPr="00B05710">
        <w:rPr>
          <w:color w:val="000000"/>
        </w:rPr>
        <w:t xml:space="preserve">. </w:t>
      </w:r>
      <w:r w:rsidRPr="00B05710">
        <w:rPr>
          <w:i/>
          <w:color w:val="000000"/>
          <w:lang w:eastAsia="en-AU"/>
        </w:rPr>
        <w:t xml:space="preserve">Elemental ratios (atomic) of seagrass leaf tissue C:N for </w:t>
      </w:r>
      <w:r w:rsidRPr="00B05710">
        <w:rPr>
          <w:i/>
          <w:color w:val="000000"/>
        </w:rPr>
        <w:t xml:space="preserve">the foundation seagrass species examined at each </w:t>
      </w:r>
      <w:r w:rsidR="00527E4F" w:rsidRPr="00B05710">
        <w:rPr>
          <w:i/>
          <w:color w:val="000000"/>
        </w:rPr>
        <w:t xml:space="preserve">inshore </w:t>
      </w:r>
      <w:r w:rsidRPr="00B05710">
        <w:rPr>
          <w:i/>
          <w:color w:val="000000"/>
        </w:rPr>
        <w:t>habitat in the Burdekin region</w:t>
      </w:r>
      <w:r w:rsidRPr="00B05710">
        <w:rPr>
          <w:i/>
          <w:color w:val="000000"/>
          <w:lang w:eastAsia="en-AU"/>
        </w:rPr>
        <w:t xml:space="preserve"> each year</w:t>
      </w:r>
      <w:bookmarkEnd w:id="423"/>
      <w:bookmarkEnd w:id="424"/>
    </w:p>
    <w:p w14:paraId="1B97D8B0" w14:textId="77C260CC" w:rsidR="00565927" w:rsidRDefault="005132EF" w:rsidP="00A40091">
      <w:pPr>
        <w:rPr>
          <w:i/>
          <w:color w:val="000000"/>
          <w:lang w:eastAsia="en-AU"/>
        </w:rPr>
      </w:pPr>
      <w:r w:rsidRPr="00B05710">
        <w:rPr>
          <w:i/>
          <w:color w:val="000000"/>
          <w:lang w:eastAsia="en-AU"/>
        </w:rPr>
        <w:t xml:space="preserve"> (species pooled) </w:t>
      </w:r>
      <w:r w:rsidRPr="00B05710">
        <w:rPr>
          <w:i/>
          <w:color w:val="000000"/>
        </w:rPr>
        <w:t>(mean</w:t>
      </w:r>
      <w:r w:rsidRPr="00B05710">
        <w:rPr>
          <w:i/>
          <w:color w:val="000000"/>
          <w:lang w:eastAsia="en-AU"/>
        </w:rPr>
        <w:t xml:space="preserve"> ± </w:t>
      </w:r>
      <w:r w:rsidR="009C7692">
        <w:rPr>
          <w:i/>
          <w:color w:val="000000"/>
          <w:lang w:eastAsia="en-AU"/>
        </w:rPr>
        <w:t>SE</w:t>
      </w:r>
      <w:r w:rsidRPr="00B05710">
        <w:rPr>
          <w:i/>
          <w:color w:val="000000"/>
        </w:rPr>
        <w:t>)</w:t>
      </w:r>
      <w:r w:rsidRPr="00B05710">
        <w:rPr>
          <w:i/>
          <w:color w:val="000000"/>
          <w:lang w:eastAsia="en-AU"/>
        </w:rPr>
        <w:t xml:space="preserve">. Horizontal shaded band on the C:N ratio panel represents the accepted </w:t>
      </w:r>
      <w:r w:rsidRPr="00B05710">
        <w:rPr>
          <w:i/>
          <w:color w:val="000000"/>
        </w:rPr>
        <w:t xml:space="preserve">guideline </w:t>
      </w:r>
      <w:r w:rsidRPr="00B05710">
        <w:rPr>
          <w:i/>
          <w:color w:val="000000"/>
          <w:lang w:eastAsia="en-AU"/>
        </w:rPr>
        <w:t xml:space="preserve">seagrass “Redfield” ratio </w:t>
      </w:r>
      <w:r w:rsidRPr="00B05710">
        <w:rPr>
          <w:i/>
          <w:color w:val="000000"/>
        </w:rPr>
        <w:t xml:space="preserve">of 20:1 </w:t>
      </w:r>
      <w:r w:rsidR="00C63415" w:rsidRPr="00B05710">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 </w:instrText>
      </w:r>
      <w:r w:rsidR="00521D93">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EN.CITE.DATA </w:instrText>
      </w:r>
      <w:r w:rsidR="00521D93">
        <w:rPr>
          <w:i/>
          <w:color w:val="000000"/>
        </w:rPr>
      </w:r>
      <w:r w:rsidR="00521D93">
        <w:rPr>
          <w:i/>
          <w:color w:val="000000"/>
        </w:rPr>
        <w:fldChar w:fldCharType="end"/>
      </w:r>
      <w:r w:rsidR="00644A84">
        <w:rPr>
          <w:i/>
          <w:color w:val="000000"/>
        </w:rPr>
      </w:r>
      <w:r w:rsidR="00644A84">
        <w:rPr>
          <w:i/>
          <w:color w:val="000000"/>
        </w:rPr>
        <w:fldChar w:fldCharType="separate"/>
      </w:r>
      <w:hyperlink w:anchor="_ENREF_2" w:tooltip="Abal, 1994 #7405" w:history="1">
        <w:r w:rsidR="00305FE7">
          <w:rPr>
            <w:i/>
            <w:noProof/>
            <w:color w:val="000000"/>
          </w:rPr>
          <w:t>Abal et al. 1994</w:t>
        </w:r>
      </w:hyperlink>
      <w:r w:rsidR="00521D93">
        <w:rPr>
          <w:i/>
          <w:noProof/>
          <w:color w:val="000000"/>
        </w:rPr>
        <w:t xml:space="preserve">; </w:t>
      </w:r>
      <w:hyperlink w:anchor="_ENREF_107" w:tooltip="Grice, 1996 #1346" w:history="1">
        <w:r w:rsidR="00305FE7">
          <w:rPr>
            <w:i/>
            <w:noProof/>
            <w:color w:val="000000"/>
          </w:rPr>
          <w:t>Grice et al. 1996</w:t>
        </w:r>
      </w:hyperlink>
      <w:r w:rsidR="00644A84">
        <w:rPr>
          <w:i/>
          <w:color w:val="000000"/>
        </w:rPr>
        <w:fldChar w:fldCharType="end"/>
      </w:r>
      <w:r w:rsidR="00C63415" w:rsidRPr="00B05710">
        <w:rPr>
          <w:i/>
          <w:color w:val="000000"/>
        </w:rPr>
        <w:t>)</w:t>
      </w:r>
      <w:r w:rsidRPr="00B05710">
        <w:rPr>
          <w:i/>
          <w:color w:val="000000"/>
          <w:lang w:eastAsia="en-AU"/>
        </w:rPr>
        <w:t xml:space="preserve">. C:N ratios below this line </w:t>
      </w:r>
      <w:r w:rsidRPr="00B05710">
        <w:rPr>
          <w:i/>
          <w:color w:val="000000"/>
        </w:rPr>
        <w:t>indicate reduced light availability</w:t>
      </w:r>
      <w:r w:rsidR="00C45977" w:rsidRPr="00B05710">
        <w:rPr>
          <w:i/>
          <w:color w:val="000000"/>
        </w:rPr>
        <w:t xml:space="preserve"> and/or N enrichment</w:t>
      </w:r>
      <w:r w:rsidRPr="00B05710">
        <w:rPr>
          <w:i/>
          <w:color w:val="000000"/>
          <w:lang w:eastAsia="en-AU"/>
        </w:rPr>
        <w:t>.</w:t>
      </w:r>
      <w:r w:rsidR="00565927" w:rsidRPr="00B05710">
        <w:rPr>
          <w:i/>
          <w:color w:val="000000"/>
          <w:lang w:eastAsia="en-AU"/>
        </w:rPr>
        <w:t xml:space="preserve"> </w:t>
      </w:r>
    </w:p>
    <w:p w14:paraId="2B60ABB5" w14:textId="77777777" w:rsidR="00270034" w:rsidRDefault="00015AD8" w:rsidP="00A40091">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2EBDA0C6" wp14:editId="5E25ECCB">
            <wp:extent cx="5220000" cy="3076187"/>
            <wp:effectExtent l="0" t="0" r="0" b="0"/>
            <wp:docPr id="304" name="Picture 304" descr="Set of four scatter plots with straight lines and markers showing elemental ratios (atomic) of seagrass leaf tissue N:P and C:P for the foundation species in inshore seagrass habitats in the Burdekin NRM region from 2006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B_CPN_yr_Dec16.png"/>
                    <pic:cNvPicPr/>
                  </pic:nvPicPr>
                  <pic:blipFill>
                    <a:blip r:embed="rId115">
                      <a:extLst>
                        <a:ext uri="{28A0092B-C50C-407E-A947-70E740481C1C}">
                          <a14:useLocalDpi xmlns:a14="http://schemas.microsoft.com/office/drawing/2010/main" val="0"/>
                        </a:ext>
                      </a:extLst>
                    </a:blip>
                    <a:stretch>
                      <a:fillRect/>
                    </a:stretch>
                  </pic:blipFill>
                  <pic:spPr>
                    <a:xfrm>
                      <a:off x="0" y="0"/>
                      <a:ext cx="5220000" cy="3076187"/>
                    </a:xfrm>
                    <a:prstGeom prst="rect">
                      <a:avLst/>
                    </a:prstGeom>
                  </pic:spPr>
                </pic:pic>
              </a:graphicData>
            </a:graphic>
          </wp:inline>
        </w:drawing>
      </w:r>
    </w:p>
    <w:p w14:paraId="36A81B71" w14:textId="50EE2162" w:rsidR="00527E4F" w:rsidRPr="00833388" w:rsidRDefault="005132EF" w:rsidP="00527E4F">
      <w:pPr>
        <w:rPr>
          <w:i/>
          <w:iCs/>
          <w:vanish/>
          <w:color w:val="000000"/>
          <w:szCs w:val="22"/>
          <w:lang w:eastAsia="en-AU"/>
          <w:specVanish/>
        </w:rPr>
      </w:pPr>
      <w:bookmarkStart w:id="425" w:name="_Ref236801906"/>
      <w:bookmarkStart w:id="426" w:name="_Toc431493863"/>
      <w:bookmarkStart w:id="427" w:name="_Toc516053287"/>
      <w:r w:rsidRPr="00833388">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77</w:t>
      </w:r>
      <w:r w:rsidR="0073595B">
        <w:rPr>
          <w:color w:val="000000"/>
          <w:szCs w:val="22"/>
        </w:rPr>
        <w:fldChar w:fldCharType="end"/>
      </w:r>
      <w:bookmarkEnd w:id="425"/>
      <w:r w:rsidRPr="00833388">
        <w:rPr>
          <w:color w:val="000000"/>
          <w:szCs w:val="22"/>
        </w:rPr>
        <w:t xml:space="preserve">. </w:t>
      </w:r>
      <w:r w:rsidRPr="00833388">
        <w:rPr>
          <w:i/>
          <w:iCs/>
          <w:color w:val="000000"/>
          <w:szCs w:val="22"/>
          <w:lang w:eastAsia="en-AU"/>
        </w:rPr>
        <w:t xml:space="preserve">Elemental ratios (atomic) of seagrass leaf tissue N:P and C:P </w:t>
      </w:r>
      <w:r w:rsidRPr="00833388">
        <w:rPr>
          <w:i/>
          <w:iCs/>
          <w:color w:val="000000"/>
          <w:szCs w:val="22"/>
        </w:rPr>
        <w:t xml:space="preserve">for the foundation seagrass species examined at each </w:t>
      </w:r>
      <w:r w:rsidR="00527E4F" w:rsidRPr="00833388">
        <w:rPr>
          <w:i/>
          <w:iCs/>
          <w:color w:val="000000"/>
          <w:szCs w:val="22"/>
        </w:rPr>
        <w:t>inshore intertidal habitat</w:t>
      </w:r>
      <w:r w:rsidRPr="00833388">
        <w:rPr>
          <w:i/>
          <w:iCs/>
          <w:color w:val="000000"/>
          <w:szCs w:val="22"/>
        </w:rPr>
        <w:t xml:space="preserve"> in the Burdekin region </w:t>
      </w:r>
      <w:r w:rsidRPr="00833388">
        <w:rPr>
          <w:i/>
          <w:iCs/>
          <w:color w:val="000000"/>
          <w:szCs w:val="22"/>
          <w:lang w:eastAsia="en-AU"/>
        </w:rPr>
        <w:t>each year</w:t>
      </w:r>
      <w:bookmarkEnd w:id="426"/>
      <w:bookmarkEnd w:id="427"/>
    </w:p>
    <w:p w14:paraId="6A318BF9" w14:textId="67E83EAE" w:rsidR="00527E4F" w:rsidRDefault="005132EF" w:rsidP="00034AD4">
      <w:pPr>
        <w:rPr>
          <w:i/>
          <w:iCs/>
          <w:color w:val="000000"/>
          <w:szCs w:val="22"/>
          <w:lang w:eastAsia="en-AU"/>
        </w:rPr>
      </w:pPr>
      <w:r w:rsidRPr="00833388">
        <w:rPr>
          <w:i/>
          <w:iCs/>
          <w:color w:val="000000"/>
          <w:szCs w:val="22"/>
          <w:lang w:eastAsia="en-AU"/>
        </w:rPr>
        <w:t xml:space="preserve"> (species pooled) (</w:t>
      </w:r>
      <w:r w:rsidRPr="00833388">
        <w:rPr>
          <w:i/>
          <w:iCs/>
          <w:color w:val="000000"/>
          <w:szCs w:val="22"/>
        </w:rPr>
        <w:t>mean</w:t>
      </w:r>
      <w:r w:rsidRPr="00833388">
        <w:rPr>
          <w:i/>
          <w:iCs/>
          <w:color w:val="000000"/>
          <w:szCs w:val="22"/>
          <w:lang w:eastAsia="en-AU"/>
        </w:rPr>
        <w:t xml:space="preserve"> ± </w:t>
      </w:r>
      <w:r w:rsidR="009C7692">
        <w:rPr>
          <w:i/>
          <w:iCs/>
          <w:color w:val="000000"/>
          <w:szCs w:val="22"/>
          <w:lang w:eastAsia="en-AU"/>
        </w:rPr>
        <w:t>SE</w:t>
      </w:r>
      <w:r w:rsidRPr="00833388">
        <w:rPr>
          <w:i/>
          <w:iCs/>
          <w:color w:val="000000"/>
          <w:szCs w:val="22"/>
          <w:lang w:eastAsia="en-AU"/>
        </w:rPr>
        <w:t>).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527E4F" w:rsidRPr="00833388">
        <w:rPr>
          <w:i/>
          <w:iCs/>
          <w:color w:val="000000"/>
          <w:szCs w:val="22"/>
          <w:lang w:eastAsia="en-AU"/>
        </w:rPr>
        <w:t xml:space="preserve"> </w:t>
      </w:r>
    </w:p>
    <w:p w14:paraId="669958C5" w14:textId="77777777" w:rsidR="008B0432" w:rsidRPr="001D05D4" w:rsidRDefault="008B0432" w:rsidP="008B0432">
      <w:pPr>
        <w:pStyle w:val="Heading4"/>
        <w:numPr>
          <w:ilvl w:val="0"/>
          <w:numId w:val="0"/>
        </w:numPr>
        <w:rPr>
          <w:rFonts w:ascii="Arial" w:hAnsi="Arial" w:cs="Arial"/>
          <w:sz w:val="24"/>
          <w:szCs w:val="24"/>
        </w:rPr>
      </w:pPr>
      <w:r>
        <w:rPr>
          <w:rFonts w:ascii="Arial" w:hAnsi="Arial" w:cs="Arial"/>
          <w:sz w:val="24"/>
          <w:szCs w:val="24"/>
        </w:rPr>
        <w:t>Seagrass meadow sediments</w:t>
      </w:r>
    </w:p>
    <w:p w14:paraId="23EF5C0E" w14:textId="57859566" w:rsidR="008B0432" w:rsidRPr="00464934" w:rsidRDefault="008B0432" w:rsidP="008B0432">
      <w:pPr>
        <w:rPr>
          <w:szCs w:val="22"/>
          <w:lang w:val="en-GB"/>
        </w:rPr>
      </w:pPr>
      <w:r w:rsidRPr="001F2FA7">
        <w:rPr>
          <w:szCs w:val="22"/>
          <w:lang w:val="en-GB"/>
        </w:rPr>
        <w:t xml:space="preserve">The proportion of mud at Jerona (Barratta Creek) coastal meadows was much higher than Townsville </w:t>
      </w:r>
      <w:r w:rsidRPr="00464934">
        <w:rPr>
          <w:szCs w:val="22"/>
          <w:lang w:val="en-GB"/>
        </w:rPr>
        <w:t xml:space="preserve">meadows (Bushland Beach and Shelley Beach) and has remained well above the </w:t>
      </w:r>
      <w:r w:rsidR="007F6948">
        <w:rPr>
          <w:szCs w:val="22"/>
          <w:lang w:val="en-GB"/>
        </w:rPr>
        <w:t>Great Barrier Reef</w:t>
      </w:r>
      <w:r w:rsidRPr="00464934">
        <w:rPr>
          <w:szCs w:val="22"/>
          <w:lang w:val="en-GB"/>
        </w:rPr>
        <w:t xml:space="preserve"> long-term average (Appendix </w:t>
      </w:r>
      <w:r>
        <w:rPr>
          <w:szCs w:val="22"/>
          <w:lang w:val="en-GB"/>
        </w:rPr>
        <w:fldChar w:fldCharType="begin"/>
      </w:r>
      <w:r>
        <w:rPr>
          <w:szCs w:val="22"/>
          <w:lang w:val="en-GB"/>
        </w:rPr>
        <w:instrText xml:space="preserve"> REF _Ref511131430 \r \h </w:instrText>
      </w:r>
      <w:r>
        <w:rPr>
          <w:szCs w:val="22"/>
          <w:lang w:val="en-GB"/>
        </w:rPr>
      </w:r>
      <w:r>
        <w:rPr>
          <w:szCs w:val="22"/>
          <w:lang w:val="en-GB"/>
        </w:rPr>
        <w:fldChar w:fldCharType="separate"/>
      </w:r>
      <w:r w:rsidR="00F87DF9">
        <w:rPr>
          <w:szCs w:val="22"/>
          <w:lang w:val="en-GB"/>
        </w:rPr>
        <w:t>A4.2.2</w:t>
      </w:r>
      <w:r>
        <w:rPr>
          <w:szCs w:val="22"/>
          <w:lang w:val="en-GB"/>
        </w:rPr>
        <w:fldChar w:fldCharType="end"/>
      </w:r>
      <w:r w:rsidRPr="00464934">
        <w:rPr>
          <w:szCs w:val="22"/>
          <w:lang w:val="en-GB"/>
        </w:rPr>
        <w:t>). Townsville coastal meadows were dominated by fine sediments, although the proportion of mud has remained low post 2011</w:t>
      </w:r>
      <w:r>
        <w:rPr>
          <w:szCs w:val="22"/>
          <w:lang w:val="en-GB"/>
        </w:rPr>
        <w:t xml:space="preserve"> (</w:t>
      </w:r>
      <w:r>
        <w:rPr>
          <w:szCs w:val="22"/>
          <w:lang w:val="en-GB"/>
        </w:rPr>
        <w:fldChar w:fldCharType="begin"/>
      </w:r>
      <w:r>
        <w:rPr>
          <w:szCs w:val="22"/>
          <w:lang w:val="en-GB"/>
        </w:rPr>
        <w:instrText xml:space="preserve"> REF _Ref511131469 \h </w:instrText>
      </w:r>
      <w:r>
        <w:rPr>
          <w:szCs w:val="22"/>
          <w:lang w:val="en-GB"/>
        </w:rPr>
      </w:r>
      <w:r>
        <w:rPr>
          <w:szCs w:val="22"/>
          <w:lang w:val="en-GB"/>
        </w:rPr>
        <w:fldChar w:fldCharType="separate"/>
      </w:r>
      <w:r w:rsidR="00F87DF9">
        <w:t xml:space="preserve">Figure </w:t>
      </w:r>
      <w:r w:rsidR="00F87DF9">
        <w:rPr>
          <w:noProof/>
        </w:rPr>
        <w:t>173</w:t>
      </w:r>
      <w:r>
        <w:rPr>
          <w:szCs w:val="22"/>
          <w:lang w:val="en-GB"/>
        </w:rPr>
        <w:fldChar w:fldCharType="end"/>
      </w:r>
      <w:r>
        <w:rPr>
          <w:szCs w:val="22"/>
          <w:lang w:val="en-GB"/>
        </w:rPr>
        <w:t>)</w:t>
      </w:r>
      <w:r w:rsidRPr="00464934">
        <w:rPr>
          <w:szCs w:val="22"/>
          <w:lang w:val="en-GB"/>
        </w:rPr>
        <w:t>. Conversely, reef habitats which were dominated by coarser sediment prior to 2009-10, having since gradually increased in composition of fine sand and mud. More fine sediments were present at the Cockle Bay (MI2) than the Picnic Bay (MI1) reef habitat meadows</w:t>
      </w:r>
      <w:r>
        <w:rPr>
          <w:szCs w:val="22"/>
          <w:lang w:val="en-GB"/>
        </w:rPr>
        <w:t xml:space="preserve"> (</w:t>
      </w:r>
      <w:r>
        <w:rPr>
          <w:szCs w:val="22"/>
          <w:lang w:val="en-GB"/>
        </w:rPr>
        <w:fldChar w:fldCharType="begin"/>
      </w:r>
      <w:r>
        <w:rPr>
          <w:szCs w:val="22"/>
          <w:lang w:val="en-GB"/>
        </w:rPr>
        <w:instrText xml:space="preserve"> REF _Ref511131488 \h </w:instrText>
      </w:r>
      <w:r>
        <w:rPr>
          <w:szCs w:val="22"/>
          <w:lang w:val="en-GB"/>
        </w:rPr>
      </w:r>
      <w:r>
        <w:rPr>
          <w:szCs w:val="22"/>
          <w:lang w:val="en-GB"/>
        </w:rPr>
        <w:fldChar w:fldCharType="separate"/>
      </w:r>
      <w:r w:rsidR="00F87DF9">
        <w:t xml:space="preserve">Figure </w:t>
      </w:r>
      <w:r w:rsidR="00F87DF9">
        <w:rPr>
          <w:noProof/>
        </w:rPr>
        <w:t>174</w:t>
      </w:r>
      <w:r>
        <w:rPr>
          <w:szCs w:val="22"/>
          <w:lang w:val="en-GB"/>
        </w:rPr>
        <w:fldChar w:fldCharType="end"/>
      </w:r>
      <w:r>
        <w:rPr>
          <w:szCs w:val="22"/>
          <w:lang w:val="en-GB"/>
        </w:rPr>
        <w:t xml:space="preserve">, </w:t>
      </w:r>
      <w:r>
        <w:rPr>
          <w:szCs w:val="22"/>
          <w:lang w:val="en-GB"/>
        </w:rPr>
        <w:fldChar w:fldCharType="begin"/>
      </w:r>
      <w:r>
        <w:rPr>
          <w:szCs w:val="22"/>
          <w:lang w:val="en-GB"/>
        </w:rPr>
        <w:instrText xml:space="preserve"> REF _Ref511131496 \h </w:instrText>
      </w:r>
      <w:r>
        <w:rPr>
          <w:szCs w:val="22"/>
          <w:lang w:val="en-GB"/>
        </w:rPr>
      </w:r>
      <w:r>
        <w:rPr>
          <w:szCs w:val="22"/>
          <w:lang w:val="en-GB"/>
        </w:rPr>
        <w:fldChar w:fldCharType="separate"/>
      </w:r>
      <w:r w:rsidR="00F87DF9">
        <w:t xml:space="preserve">Figure </w:t>
      </w:r>
      <w:r w:rsidR="00F87DF9">
        <w:rPr>
          <w:noProof/>
        </w:rPr>
        <w:t>175</w:t>
      </w:r>
      <w:r>
        <w:rPr>
          <w:szCs w:val="22"/>
          <w:lang w:val="en-GB"/>
        </w:rPr>
        <w:fldChar w:fldCharType="end"/>
      </w:r>
      <w:r>
        <w:rPr>
          <w:szCs w:val="22"/>
          <w:lang w:val="en-GB"/>
        </w:rPr>
        <w:t>)</w:t>
      </w:r>
      <w:r w:rsidRPr="00464934">
        <w:rPr>
          <w:szCs w:val="22"/>
          <w:lang w:val="en-GB"/>
        </w:rPr>
        <w:t>.</w:t>
      </w:r>
    </w:p>
    <w:p w14:paraId="5E25B0A4" w14:textId="77777777" w:rsidR="008B0432" w:rsidRPr="008B0432" w:rsidRDefault="008B0432" w:rsidP="00034AD4">
      <w:pPr>
        <w:rPr>
          <w:color w:val="000000" w:themeColor="text1"/>
          <w:szCs w:val="22"/>
          <w:lang w:val="en-US"/>
        </w:rPr>
      </w:pPr>
    </w:p>
    <w:p w14:paraId="7C5582CF" w14:textId="77777777" w:rsidR="005132EF" w:rsidRPr="004F2236" w:rsidRDefault="005132EF" w:rsidP="004F2236">
      <w:pPr>
        <w:pStyle w:val="Heading4"/>
        <w:numPr>
          <w:ilvl w:val="0"/>
          <w:numId w:val="0"/>
        </w:numPr>
        <w:rPr>
          <w:rFonts w:ascii="Arial" w:hAnsi="Arial" w:cs="Arial"/>
          <w:sz w:val="24"/>
          <w:szCs w:val="24"/>
        </w:rPr>
      </w:pPr>
      <w:bookmarkStart w:id="428" w:name="_Toc232845920"/>
      <w:bookmarkStart w:id="429" w:name="_Toc184102003"/>
      <w:r w:rsidRPr="004F2236">
        <w:rPr>
          <w:rFonts w:ascii="Arial" w:hAnsi="Arial" w:cs="Arial"/>
          <w:sz w:val="24"/>
          <w:szCs w:val="24"/>
        </w:rPr>
        <w:t>Epiphytes and macroalgae</w:t>
      </w:r>
      <w:bookmarkEnd w:id="428"/>
      <w:bookmarkEnd w:id="429"/>
    </w:p>
    <w:p w14:paraId="7788482A" w14:textId="255342F9" w:rsidR="00F84928" w:rsidRPr="00292745" w:rsidRDefault="005132EF" w:rsidP="00034AD4">
      <w:pPr>
        <w:rPr>
          <w:color w:val="000000" w:themeColor="text1"/>
          <w:szCs w:val="22"/>
          <w:lang w:val="en-US"/>
        </w:rPr>
      </w:pPr>
      <w:r w:rsidRPr="00740990">
        <w:rPr>
          <w:color w:val="000000" w:themeColor="text1"/>
          <w:szCs w:val="22"/>
          <w:lang w:val="en-US"/>
        </w:rPr>
        <w:t xml:space="preserve">Epiphyte cover on seagrass leaf blades </w:t>
      </w:r>
      <w:r w:rsidR="00292745" w:rsidRPr="00740990">
        <w:rPr>
          <w:color w:val="000000" w:themeColor="text1"/>
          <w:szCs w:val="22"/>
          <w:lang w:val="en-US"/>
        </w:rPr>
        <w:t>are generally</w:t>
      </w:r>
      <w:r w:rsidR="00BB0EF6" w:rsidRPr="00740990">
        <w:rPr>
          <w:color w:val="000000" w:themeColor="text1"/>
          <w:szCs w:val="22"/>
          <w:lang w:val="en-US"/>
        </w:rPr>
        <w:t xml:space="preserve"> higher in the </w:t>
      </w:r>
      <w:r w:rsidR="00292745" w:rsidRPr="00740990">
        <w:rPr>
          <w:color w:val="000000" w:themeColor="text1"/>
          <w:szCs w:val="22"/>
          <w:lang w:val="en-US"/>
        </w:rPr>
        <w:t>wet</w:t>
      </w:r>
      <w:r w:rsidR="00E564B0" w:rsidRPr="00740990">
        <w:rPr>
          <w:color w:val="000000" w:themeColor="text1"/>
          <w:szCs w:val="22"/>
          <w:lang w:val="en-US"/>
        </w:rPr>
        <w:t>-</w:t>
      </w:r>
      <w:r w:rsidR="00292745" w:rsidRPr="00740990">
        <w:rPr>
          <w:color w:val="000000" w:themeColor="text1"/>
          <w:szCs w:val="22"/>
          <w:lang w:val="en-US"/>
        </w:rPr>
        <w:t xml:space="preserve"> </w:t>
      </w:r>
      <w:r w:rsidR="00F84928" w:rsidRPr="00740990">
        <w:rPr>
          <w:color w:val="000000" w:themeColor="text1"/>
          <w:szCs w:val="22"/>
          <w:lang w:val="en-US"/>
        </w:rPr>
        <w:t xml:space="preserve">than the </w:t>
      </w:r>
      <w:r w:rsidR="00292745" w:rsidRPr="00740990">
        <w:rPr>
          <w:color w:val="000000" w:themeColor="text1"/>
          <w:szCs w:val="22"/>
          <w:lang w:val="en-US"/>
        </w:rPr>
        <w:t>dry</w:t>
      </w:r>
      <w:r w:rsidR="00E564B0" w:rsidRPr="00740990">
        <w:rPr>
          <w:color w:val="000000" w:themeColor="text1"/>
          <w:szCs w:val="22"/>
          <w:lang w:val="en-US"/>
        </w:rPr>
        <w:t>-</w:t>
      </w:r>
      <w:r w:rsidR="00BB0EF6" w:rsidRPr="00740990">
        <w:rPr>
          <w:color w:val="000000" w:themeColor="text1"/>
          <w:szCs w:val="22"/>
          <w:lang w:val="en-US"/>
        </w:rPr>
        <w:t xml:space="preserve">season </w:t>
      </w:r>
      <w:r w:rsidR="00740990" w:rsidRPr="00740990">
        <w:rPr>
          <w:color w:val="000000" w:themeColor="text1"/>
          <w:szCs w:val="22"/>
          <w:lang w:val="en-US"/>
        </w:rPr>
        <w:t>at coastal sites, but there is not a strong s</w:t>
      </w:r>
      <w:r w:rsidR="00B26D25">
        <w:rPr>
          <w:color w:val="000000" w:themeColor="text1"/>
          <w:szCs w:val="22"/>
          <w:lang w:val="en-US"/>
        </w:rPr>
        <w:t>easonal trend in other habitats</w:t>
      </w:r>
      <w:r w:rsidR="00740990" w:rsidRPr="00740990">
        <w:rPr>
          <w:color w:val="000000" w:themeColor="text1"/>
          <w:szCs w:val="22"/>
          <w:lang w:val="en-US"/>
        </w:rPr>
        <w:t xml:space="preserve">. </w:t>
      </w:r>
      <w:r w:rsidR="00C45977" w:rsidRPr="00740990">
        <w:rPr>
          <w:color w:val="000000" w:themeColor="text1"/>
          <w:szCs w:val="22"/>
          <w:lang w:val="en-US"/>
        </w:rPr>
        <w:t>(</w:t>
      </w:r>
      <w:r w:rsidR="00C45977" w:rsidRPr="00740990">
        <w:rPr>
          <w:color w:val="000000" w:themeColor="text1"/>
          <w:szCs w:val="22"/>
          <w:lang w:val="en-US"/>
        </w:rPr>
        <w:fldChar w:fldCharType="begin"/>
      </w:r>
      <w:r w:rsidR="00C45977" w:rsidRPr="00740990">
        <w:rPr>
          <w:color w:val="000000" w:themeColor="text1"/>
          <w:szCs w:val="22"/>
          <w:lang w:val="en-US"/>
        </w:rPr>
        <w:instrText xml:space="preserve"> REF _Ref380433470 \h </w:instrText>
      </w:r>
      <w:r w:rsidR="00015190" w:rsidRPr="00740990">
        <w:rPr>
          <w:color w:val="000000" w:themeColor="text1"/>
          <w:szCs w:val="22"/>
          <w:lang w:val="en-US"/>
        </w:rPr>
        <w:instrText xml:space="preserve"> \* MERGEFORMAT </w:instrText>
      </w:r>
      <w:r w:rsidR="00C45977" w:rsidRPr="00740990">
        <w:rPr>
          <w:color w:val="000000" w:themeColor="text1"/>
          <w:szCs w:val="22"/>
          <w:lang w:val="en-US"/>
        </w:rPr>
      </w:r>
      <w:r w:rsidR="00C45977" w:rsidRPr="00740990">
        <w:rPr>
          <w:color w:val="000000" w:themeColor="text1"/>
          <w:szCs w:val="22"/>
          <w:lang w:val="en-US"/>
        </w:rPr>
        <w:fldChar w:fldCharType="separate"/>
      </w:r>
      <w:r w:rsidR="00F87DF9" w:rsidRPr="00F87DF9">
        <w:rPr>
          <w:color w:val="000000" w:themeColor="text1"/>
        </w:rPr>
        <w:t xml:space="preserve">Figure </w:t>
      </w:r>
      <w:r w:rsidR="00F87DF9" w:rsidRPr="00F87DF9">
        <w:rPr>
          <w:noProof/>
          <w:color w:val="000000" w:themeColor="text1"/>
        </w:rPr>
        <w:t>78</w:t>
      </w:r>
      <w:r w:rsidR="00C45977" w:rsidRPr="00740990">
        <w:rPr>
          <w:color w:val="000000" w:themeColor="text1"/>
          <w:szCs w:val="22"/>
          <w:lang w:val="en-US"/>
        </w:rPr>
        <w:fldChar w:fldCharType="end"/>
      </w:r>
      <w:r w:rsidR="003B09B2" w:rsidRPr="00740990">
        <w:rPr>
          <w:color w:val="000000" w:themeColor="text1"/>
          <w:szCs w:val="22"/>
          <w:lang w:val="en-US"/>
        </w:rPr>
        <w:t xml:space="preserve">; Appendix </w:t>
      </w:r>
      <w:r w:rsidR="00F80777" w:rsidRPr="00740990">
        <w:rPr>
          <w:color w:val="000000" w:themeColor="text1"/>
          <w:szCs w:val="22"/>
          <w:lang w:val="en-US"/>
        </w:rPr>
        <w:t>2</w:t>
      </w:r>
      <w:r w:rsidR="003B09B2" w:rsidRPr="00740990">
        <w:rPr>
          <w:color w:val="000000" w:themeColor="text1"/>
          <w:szCs w:val="22"/>
          <w:lang w:val="en-US"/>
        </w:rPr>
        <w:t xml:space="preserve">, </w:t>
      </w:r>
      <w:r w:rsidR="003B09B2" w:rsidRPr="00740990">
        <w:rPr>
          <w:color w:val="000000" w:themeColor="text1"/>
          <w:szCs w:val="22"/>
          <w:lang w:val="en-US"/>
        </w:rPr>
        <w:fldChar w:fldCharType="begin"/>
      </w:r>
      <w:r w:rsidR="003B09B2" w:rsidRPr="00740990">
        <w:rPr>
          <w:color w:val="000000" w:themeColor="text1"/>
          <w:szCs w:val="22"/>
          <w:lang w:val="en-US"/>
        </w:rPr>
        <w:instrText xml:space="preserve"> REF _Ref382202839 \h </w:instrText>
      </w:r>
      <w:r w:rsidR="00015190" w:rsidRPr="00740990">
        <w:rPr>
          <w:color w:val="000000" w:themeColor="text1"/>
          <w:szCs w:val="22"/>
          <w:lang w:val="en-US"/>
        </w:rPr>
        <w:instrText xml:space="preserve"> \* MERGEFORMAT </w:instrText>
      </w:r>
      <w:r w:rsidR="003B09B2" w:rsidRPr="00740990">
        <w:rPr>
          <w:color w:val="000000" w:themeColor="text1"/>
          <w:szCs w:val="22"/>
          <w:lang w:val="en-US"/>
        </w:rPr>
      </w:r>
      <w:r w:rsidR="003B09B2" w:rsidRPr="00740990">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189</w:t>
      </w:r>
      <w:r w:rsidR="003B09B2" w:rsidRPr="00740990">
        <w:rPr>
          <w:color w:val="000000" w:themeColor="text1"/>
          <w:szCs w:val="22"/>
          <w:lang w:val="en-US"/>
        </w:rPr>
        <w:fldChar w:fldCharType="end"/>
      </w:r>
      <w:r w:rsidR="00BB0EF6" w:rsidRPr="00740990">
        <w:rPr>
          <w:color w:val="000000" w:themeColor="text1"/>
          <w:szCs w:val="22"/>
          <w:lang w:val="en-US"/>
        </w:rPr>
        <w:t xml:space="preserve">. </w:t>
      </w:r>
      <w:r w:rsidR="00740990" w:rsidRPr="00740990">
        <w:rPr>
          <w:color w:val="000000" w:themeColor="text1"/>
          <w:szCs w:val="22"/>
          <w:lang w:val="en-US"/>
        </w:rPr>
        <w:t xml:space="preserve">There was no significant change in epiphyte or macroalgae cover at intertidal coastal and reef habitats in </w:t>
      </w:r>
      <w:r w:rsidR="008574EC">
        <w:rPr>
          <w:color w:val="000000" w:themeColor="text1"/>
          <w:szCs w:val="22"/>
          <w:lang w:val="en-US"/>
        </w:rPr>
        <w:t>2016–17</w:t>
      </w:r>
      <w:r w:rsidR="00740990" w:rsidRPr="00740990">
        <w:rPr>
          <w:color w:val="000000" w:themeColor="text1"/>
          <w:szCs w:val="22"/>
          <w:lang w:val="en-US"/>
        </w:rPr>
        <w:t xml:space="preserve"> compared ot the previous reporting year. However, at the reef subtidal site, there was an increase in wet season epiphyte cover and dry season macroalgae cover. </w:t>
      </w:r>
      <w:r w:rsidR="00292745" w:rsidRPr="00740990">
        <w:rPr>
          <w:color w:val="000000" w:themeColor="text1"/>
          <w:szCs w:val="22"/>
          <w:lang w:val="en-US"/>
        </w:rPr>
        <w:t>Both epiphytes and macroalgae cover can increase following nutrient enrichment (</w:t>
      </w:r>
      <w:r w:rsidR="004D6969" w:rsidRPr="00740990">
        <w:rPr>
          <w:color w:val="000000" w:themeColor="text1"/>
          <w:szCs w:val="22"/>
          <w:lang w:val="en-US"/>
        </w:rPr>
        <w:fldChar w:fldCharType="begin">
          <w:fldData xml:space="preserve">PEVuZE5vdGU+PENpdGU+PEF1dGhvcj5OZWxzb248L0F1dGhvcj48WWVhcj4yMDE3PC9ZZWFyPjxS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</w:fldData>
        </w:fldChar>
      </w:r>
      <w:r w:rsidR="004D6969" w:rsidRPr="00740990">
        <w:rPr>
          <w:color w:val="000000" w:themeColor="text1"/>
          <w:szCs w:val="22"/>
          <w:lang w:val="en-US"/>
        </w:rPr>
        <w:instrText xml:space="preserve"> ADDIN EN.CITE </w:instrText>
      </w:r>
      <w:r w:rsidR="004D6969" w:rsidRPr="00740990">
        <w:rPr>
          <w:color w:val="000000" w:themeColor="text1"/>
          <w:szCs w:val="22"/>
          <w:lang w:val="en-US"/>
        </w:rPr>
        <w:fldChar w:fldCharType="begin">
          <w:fldData xml:space="preserve">PEVuZE5vdGU+PENpdGU+PEF1dGhvcj5OZWxzb248L0F1dGhvcj48WWVhcj4yMDE3PC9ZZWFyPjxS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</w:fldData>
        </w:fldChar>
      </w:r>
      <w:r w:rsidR="004D6969" w:rsidRPr="00740990">
        <w:rPr>
          <w:color w:val="000000" w:themeColor="text1"/>
          <w:szCs w:val="22"/>
          <w:lang w:val="en-US"/>
        </w:rPr>
        <w:instrText xml:space="preserve"> ADDIN EN.CITE.DATA </w:instrText>
      </w:r>
      <w:r w:rsidR="004D6969" w:rsidRPr="00740990">
        <w:rPr>
          <w:color w:val="000000" w:themeColor="text1"/>
          <w:szCs w:val="22"/>
          <w:lang w:val="en-US"/>
        </w:rPr>
      </w:r>
      <w:r w:rsidR="004D6969" w:rsidRPr="00740990">
        <w:rPr>
          <w:color w:val="000000" w:themeColor="text1"/>
          <w:szCs w:val="22"/>
          <w:lang w:val="en-US"/>
        </w:rPr>
        <w:fldChar w:fldCharType="end"/>
      </w:r>
      <w:r w:rsidR="004D6969" w:rsidRPr="00740990">
        <w:rPr>
          <w:color w:val="000000" w:themeColor="text1"/>
          <w:szCs w:val="22"/>
          <w:lang w:val="en-US"/>
        </w:rPr>
      </w:r>
      <w:r w:rsidR="004D6969" w:rsidRPr="00740990">
        <w:rPr>
          <w:color w:val="000000" w:themeColor="text1"/>
          <w:szCs w:val="22"/>
          <w:lang w:val="en-US"/>
        </w:rPr>
        <w:fldChar w:fldCharType="separate"/>
      </w:r>
      <w:hyperlink w:anchor="_ENREF_25" w:tooltip="Cabaço, 2013 #10917" w:history="1">
        <w:r w:rsidR="00305FE7" w:rsidRPr="00740990">
          <w:rPr>
            <w:noProof/>
            <w:color w:val="000000" w:themeColor="text1"/>
            <w:szCs w:val="22"/>
            <w:lang w:val="en-US"/>
          </w:rPr>
          <w:t>Cabaço</w:t>
        </w:r>
        <w:r w:rsidR="00305FE7" w:rsidRPr="00740990">
          <w:rPr>
            <w:i/>
            <w:noProof/>
            <w:color w:val="000000" w:themeColor="text1"/>
            <w:szCs w:val="22"/>
            <w:lang w:val="en-US"/>
          </w:rPr>
          <w:t xml:space="preserve"> et al.</w:t>
        </w:r>
        <w:r w:rsidR="00305FE7" w:rsidRPr="00740990">
          <w:rPr>
            <w:noProof/>
            <w:color w:val="000000" w:themeColor="text1"/>
            <w:szCs w:val="22"/>
            <w:lang w:val="en-US"/>
          </w:rPr>
          <w:t xml:space="preserve"> 2013</w:t>
        </w:r>
      </w:hyperlink>
      <w:r w:rsidR="004D6969" w:rsidRPr="00740990">
        <w:rPr>
          <w:noProof/>
          <w:color w:val="000000" w:themeColor="text1"/>
          <w:szCs w:val="22"/>
          <w:lang w:val="en-US"/>
        </w:rPr>
        <w:t xml:space="preserve">; </w:t>
      </w:r>
      <w:hyperlink w:anchor="_ENREF_179" w:tooltip="Nelson, 2017 #10813" w:history="1">
        <w:r w:rsidR="00305FE7" w:rsidRPr="00740990">
          <w:rPr>
            <w:noProof/>
            <w:color w:val="000000" w:themeColor="text1"/>
            <w:szCs w:val="22"/>
            <w:lang w:val="en-US"/>
          </w:rPr>
          <w:t>Nelson 2017</w:t>
        </w:r>
      </w:hyperlink>
      <w:r w:rsidR="004D6969" w:rsidRPr="00740990">
        <w:rPr>
          <w:color w:val="000000" w:themeColor="text1"/>
          <w:szCs w:val="22"/>
          <w:lang w:val="en-US"/>
        </w:rPr>
        <w:fldChar w:fldCharType="end"/>
      </w:r>
      <w:r w:rsidR="00740990" w:rsidRPr="00740990">
        <w:rPr>
          <w:color w:val="000000" w:themeColor="text1"/>
          <w:szCs w:val="22"/>
          <w:lang w:val="en-US"/>
        </w:rPr>
        <w:t>)</w:t>
      </w:r>
      <w:r w:rsidR="00292745" w:rsidRPr="00740990">
        <w:rPr>
          <w:color w:val="000000" w:themeColor="text1"/>
          <w:szCs w:val="22"/>
          <w:lang w:val="en-US"/>
        </w:rPr>
        <w:t xml:space="preserve">; however, due to complex ecological and biological factors (e.g. grazing </w:t>
      </w:r>
      <w:hyperlink w:anchor="_ENREF_113" w:tooltip="Heck, 2006 #7246" w:history="1">
        <w:r w:rsidR="00305FE7" w:rsidRPr="00740990">
          <w:rPr>
            <w:color w:val="000000" w:themeColor="text1"/>
            <w:szCs w:val="22"/>
            <w:lang w:val="en-US"/>
          </w:rPr>
          <w:fldChar w:fldCharType="begin"/>
        </w:r>
        <w:r w:rsidR="00305FE7" w:rsidRPr="00740990">
          <w:rPr>
            <w:color w:val="000000" w:themeColor="text1"/>
            <w:szCs w:val="22"/>
            <w:lang w:val="en-US"/>
          </w:rPr>
          <w:instrText xml:space="preserve"> ADDIN EN.CITE &lt;EndNote&gt;&lt;Cite&gt;&lt;Author&gt;Heck&lt;/Author&gt;&lt;Year&gt;2006&lt;/Year&gt;&lt;RecNum&gt;7246&lt;/RecNum&gt;&lt;DisplayText&gt;Heck and Valentine 2006&lt;/DisplayText&gt;&lt;record&gt;&lt;rec-number&gt;7246&lt;/rec-number&gt;&lt;foreign-keys&gt;&lt;key app="EN" db-id="0eve55x9y5vfd6e9dacxtew4eatve2dzds9a" timestamp="0"&gt;7246&lt;/key&gt;&lt;/foreign-keys&gt;&lt;ref-type name="Journal Article"&gt;17&lt;/ref-type&gt;&lt;contributors&gt;&lt;authors&gt;&lt;author&gt;Heck, K. L.&lt;/author&gt;&lt;author&gt;Valentine, J. F.&lt;/author&gt;&lt;/authors&gt;&lt;/contributors&gt;&lt;auth-address&gt;Heck, K. L.&amp;#xD;Dauphin Isl Sea Lab, 101 Bienville Blvd, Dauphin Isl, AL 36528 USA&amp;#xD;Dauphin Isl Sea Lab, Dauphin Isl, AL 36528 USA&amp;#xD;Univ S Alabama, Dauphin Isl, AL 36528 USA&lt;/auth-address&gt;&lt;titles&gt;&lt;title&gt;Plant-herbivore interactions in seagrass meadows&lt;/title&gt;&lt;secondary-title&gt;Journal of Experimental Marine Biology and Ecology&lt;/secondary-title&gt;&lt;alt-title&gt;J Exp Mar Biol Ecol&amp;#xD;J Exp Mar Biol Ecol&lt;/alt-title&gt;&lt;/titles&gt;&lt;periodical&gt;&lt;full-title&gt;Journal of Experimental Marine Biology and Ecology&lt;/full-title&gt;&lt;/periodical&gt;&lt;pages&gt;420-436&lt;/pages&gt;&lt;volume&gt;330&lt;/volume&gt;&lt;number&gt;1&lt;/number&gt;&lt;keywords&gt;&lt;keyword&gt;epiphytes&lt;/keyword&gt;&lt;keyword&gt;food webs&lt;/keyword&gt;&lt;keyword&gt;grazing&lt;/keyword&gt;&lt;keyword&gt;herbivory&lt;/keyword&gt;&lt;keyword&gt;seagrasses&lt;/keyword&gt;&lt;keyword&gt;suspension feeders&lt;/keyword&gt;&lt;keyword&gt;eelgrass zostera-marina&lt;/keyword&gt;&lt;keyword&gt;turtlegrass thalassia-testudinum&lt;/keyword&gt;&lt;keyword&gt;surfgrass phyllospadix-torreyi&lt;/keyword&gt;&lt;keyword&gt;urchin lytechinus-variegatus&lt;/keyword&gt;&lt;keyword&gt;suspension-feeding bivalves&lt;/keyword&gt;&lt;keyword&gt;mussels mytilus-edulis&lt;/keyword&gt;&lt;keyword&gt;oceanica l. delile&lt;/keyword&gt;&lt;keyword&gt;gulf-of-mexico&lt;/keyword&gt;&lt;keyword&gt;banks ex konig&lt;/keyword&gt;&lt;keyword&gt;nutrient enrichment&lt;/keyword&gt;&lt;/keywords&gt;&lt;dates&gt;&lt;year&gt;2006&lt;/year&gt;&lt;pub-dates&gt;&lt;date&gt;MAR 7&lt;/date&gt;&lt;/pub-dates&gt;&lt;/dates&gt;&lt;accession-num&gt;ISI:000236058900034&lt;/accession-num&gt;&lt;label&gt;Elsevier Science Bv&lt;/label&gt;&lt;urls&gt;&lt;related-urls&gt;&lt;url&gt;&amp;lt;Go to ISI&amp;gt;://000236058900034&lt;/url&gt;&lt;/related-urls&gt;&lt;/urls&gt;&lt;/record&gt;&lt;/Cite&gt;&lt;/EndNote&gt;</w:instrText>
        </w:r>
        <w:r w:rsidR="00305FE7" w:rsidRPr="00740990">
          <w:rPr>
            <w:color w:val="000000" w:themeColor="text1"/>
            <w:szCs w:val="22"/>
            <w:lang w:val="en-US"/>
          </w:rPr>
          <w:fldChar w:fldCharType="separate"/>
        </w:r>
        <w:r w:rsidR="00305FE7" w:rsidRPr="00740990">
          <w:rPr>
            <w:noProof/>
            <w:color w:val="000000" w:themeColor="text1"/>
            <w:szCs w:val="22"/>
            <w:lang w:val="en-US"/>
          </w:rPr>
          <w:t>Heck and Valentine 2006</w:t>
        </w:r>
        <w:r w:rsidR="00305FE7" w:rsidRPr="00740990">
          <w:rPr>
            <w:color w:val="000000" w:themeColor="text1"/>
            <w:szCs w:val="22"/>
            <w:lang w:val="en-US"/>
          </w:rPr>
          <w:fldChar w:fldCharType="end"/>
        </w:r>
      </w:hyperlink>
      <w:r w:rsidR="00292745" w:rsidRPr="00740990">
        <w:rPr>
          <w:color w:val="000000" w:themeColor="text1"/>
          <w:szCs w:val="22"/>
          <w:lang w:val="en-US"/>
        </w:rPr>
        <w:t>), the</w:t>
      </w:r>
      <w:r w:rsidR="00281B60" w:rsidRPr="00740990">
        <w:rPr>
          <w:color w:val="000000" w:themeColor="text1"/>
          <w:szCs w:val="22"/>
          <w:lang w:val="en-US"/>
        </w:rPr>
        <w:t>ir abundance may not necessarily correlate</w:t>
      </w:r>
      <w:r w:rsidR="00E564B0" w:rsidRPr="00740990">
        <w:rPr>
          <w:color w:val="000000" w:themeColor="text1"/>
          <w:szCs w:val="22"/>
          <w:lang w:val="en-US"/>
        </w:rPr>
        <w:t xml:space="preserve"> to nutrient loading.</w:t>
      </w:r>
      <w:r w:rsidR="00740990" w:rsidRPr="00740990">
        <w:rPr>
          <w:color w:val="000000" w:themeColor="text1"/>
          <w:szCs w:val="22"/>
          <w:lang w:val="en-US"/>
        </w:rPr>
        <w:t xml:space="preserve"> Elevated </w:t>
      </w:r>
      <w:r w:rsidR="00740990">
        <w:rPr>
          <w:color w:val="000000" w:themeColor="text1"/>
          <w:szCs w:val="22"/>
          <w:lang w:val="en-US"/>
        </w:rPr>
        <w:t xml:space="preserve">water temperature in </w:t>
      </w:r>
      <w:r w:rsidR="008574EC">
        <w:rPr>
          <w:color w:val="000000" w:themeColor="text1"/>
          <w:szCs w:val="22"/>
          <w:lang w:val="en-US"/>
        </w:rPr>
        <w:t>2016–17</w:t>
      </w:r>
      <w:r w:rsidR="00740990">
        <w:rPr>
          <w:color w:val="000000" w:themeColor="text1"/>
          <w:szCs w:val="22"/>
          <w:lang w:val="en-US"/>
        </w:rPr>
        <w:t xml:space="preserve"> may have also driven faster rates of epiphyte and macroalgae cover in subtidal sites, as they can be highly responsive to temperature.  </w:t>
      </w:r>
    </w:p>
    <w:p w14:paraId="424574F5" w14:textId="77777777" w:rsidR="00F84928" w:rsidRPr="00F84928" w:rsidRDefault="00015AD8" w:rsidP="00F84928">
      <w:pPr>
        <w:keepNext/>
        <w:widowControl w:val="0"/>
        <w:spacing w:after="0"/>
        <w:jc w:val="center"/>
        <w:rPr>
          <w:szCs w:val="22"/>
          <w:lang w:val="en-GB"/>
        </w:rPr>
      </w:pPr>
      <w:r>
        <w:rPr>
          <w:noProof/>
          <w:szCs w:val="22"/>
          <w:lang w:eastAsia="en-AU"/>
        </w:rPr>
        <w:drawing>
          <wp:inline distT="0" distB="0" distL="0" distR="0" wp14:anchorId="58410C0F" wp14:editId="790616D1">
            <wp:extent cx="5759450" cy="3079292"/>
            <wp:effectExtent l="0" t="0" r="0" b="6985"/>
            <wp:docPr id="305" name="Picture 305" descr="Set of six scatter plots with straight lines and markers showing long-term trend in mean epiphyte and macroalgae abundance (% cover) at each inshore seagrass habitats in the Burdekin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B_epi_algae_change_2016.png"/>
                    <pic:cNvPicPr/>
                  </pic:nvPicPr>
                  <pic:blipFill>
                    <a:blip r:embed="rId116">
                      <a:extLst>
                        <a:ext uri="{28A0092B-C50C-407E-A947-70E740481C1C}">
                          <a14:useLocalDpi xmlns:a14="http://schemas.microsoft.com/office/drawing/2010/main" val="0"/>
                        </a:ext>
                      </a:extLst>
                    </a:blip>
                    <a:stretch>
                      <a:fillRect/>
                    </a:stretch>
                  </pic:blipFill>
                  <pic:spPr>
                    <a:xfrm>
                      <a:off x="0" y="0"/>
                      <a:ext cx="5759450" cy="3079292"/>
                    </a:xfrm>
                    <a:prstGeom prst="rect">
                      <a:avLst/>
                    </a:prstGeom>
                  </pic:spPr>
                </pic:pic>
              </a:graphicData>
            </a:graphic>
          </wp:inline>
        </w:drawing>
      </w:r>
    </w:p>
    <w:p w14:paraId="7DA4C506" w14:textId="063D2353" w:rsidR="00527E4F" w:rsidRPr="00DE31AC" w:rsidRDefault="005132EF" w:rsidP="00527E4F">
      <w:pPr>
        <w:spacing w:before="0"/>
        <w:ind w:right="233"/>
        <w:rPr>
          <w:i/>
          <w:vanish/>
          <w:color w:val="000000"/>
          <w:szCs w:val="22"/>
          <w:specVanish/>
        </w:rPr>
      </w:pPr>
      <w:bookmarkStart w:id="430" w:name="_Ref211930918"/>
      <w:bookmarkStart w:id="431" w:name="_Ref380433470"/>
      <w:bookmarkStart w:id="432" w:name="_Toc232845987"/>
      <w:bookmarkStart w:id="433" w:name="_Toc431493864"/>
      <w:bookmarkStart w:id="434" w:name="_Toc516053288"/>
      <w:r w:rsidRPr="00DE31A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78</w:t>
      </w:r>
      <w:r w:rsidR="0073595B">
        <w:rPr>
          <w:color w:val="000000"/>
        </w:rPr>
        <w:fldChar w:fldCharType="end"/>
      </w:r>
      <w:bookmarkEnd w:id="430"/>
      <w:bookmarkEnd w:id="431"/>
      <w:r w:rsidRPr="00DE31AC">
        <w:rPr>
          <w:color w:val="000000"/>
        </w:rPr>
        <w:t xml:space="preserve">. </w:t>
      </w:r>
      <w:bookmarkEnd w:id="432"/>
      <w:r w:rsidR="00BC6300" w:rsidRPr="00DE31AC">
        <w:rPr>
          <w:i/>
          <w:color w:val="000000"/>
        </w:rPr>
        <w:t>Long-term trend in mean epiphyte and macroalgae abundance (</w:t>
      </w:r>
      <w:r w:rsidR="0063478C">
        <w:rPr>
          <w:i/>
          <w:color w:val="000000"/>
        </w:rPr>
        <w:t>per cent</w:t>
      </w:r>
      <w:r w:rsidR="00BC6300" w:rsidRPr="00DE31AC">
        <w:rPr>
          <w:i/>
          <w:color w:val="000000"/>
        </w:rPr>
        <w:t xml:space="preserve"> cover) relative to the long-term </w:t>
      </w:r>
      <w:r w:rsidR="007F6948">
        <w:rPr>
          <w:i/>
          <w:color w:val="000000"/>
        </w:rPr>
        <w:t>Great Barrier Reef</w:t>
      </w:r>
      <w:r w:rsidR="00DE31AC" w:rsidRPr="00DE31AC">
        <w:rPr>
          <w:i/>
          <w:color w:val="000000"/>
        </w:rPr>
        <w:t xml:space="preserve"> </w:t>
      </w:r>
      <w:r w:rsidR="00BC6300" w:rsidRPr="00DE31AC">
        <w:rPr>
          <w:i/>
          <w:color w:val="000000"/>
        </w:rPr>
        <w:t xml:space="preserve">average for each </w:t>
      </w:r>
      <w:r w:rsidR="00527E4F" w:rsidRPr="00DE31AC">
        <w:rPr>
          <w:i/>
          <w:color w:val="000000"/>
        </w:rPr>
        <w:t>inshore</w:t>
      </w:r>
      <w:r w:rsidR="00BC6300" w:rsidRPr="00DE31AC">
        <w:rPr>
          <w:i/>
          <w:color w:val="000000"/>
        </w:rPr>
        <w:t xml:space="preserve"> seagrass habitat </w:t>
      </w:r>
      <w:r w:rsidR="00527E4F" w:rsidRPr="00DE31AC">
        <w:rPr>
          <w:i/>
          <w:color w:val="000000"/>
        </w:rPr>
        <w:t>in the Burdekin region</w:t>
      </w:r>
      <w:bookmarkEnd w:id="433"/>
      <w:bookmarkEnd w:id="434"/>
      <w:r w:rsidR="00527E4F" w:rsidRPr="00DE31AC">
        <w:rPr>
          <w:i/>
          <w:color w:val="000000"/>
        </w:rPr>
        <w:t xml:space="preserve"> </w:t>
      </w:r>
    </w:p>
    <w:p w14:paraId="35277835" w14:textId="77777777" w:rsidR="00527E4F" w:rsidRDefault="00527E4F" w:rsidP="00527E4F">
      <w:pPr>
        <w:spacing w:before="0"/>
        <w:ind w:right="233"/>
        <w:rPr>
          <w:i/>
          <w:color w:val="000000"/>
        </w:rPr>
      </w:pPr>
      <w:r w:rsidRPr="00DE31AC">
        <w:rPr>
          <w:i/>
          <w:color w:val="000000"/>
        </w:rPr>
        <w:t xml:space="preserve"> </w:t>
      </w:r>
      <w:r w:rsidR="00BC6300" w:rsidRPr="00DE31AC">
        <w:rPr>
          <w:i/>
          <w:color w:val="000000"/>
        </w:rPr>
        <w:t xml:space="preserve">(sites pooled, ±SE). </w:t>
      </w:r>
    </w:p>
    <w:p w14:paraId="33B0283B" w14:textId="17EBB6C1" w:rsidR="008B0432" w:rsidRPr="00BD0604" w:rsidRDefault="008B0432" w:rsidP="008B0432">
      <w:pPr>
        <w:pStyle w:val="Heading3"/>
        <w:numPr>
          <w:ilvl w:val="2"/>
          <w:numId w:val="9"/>
        </w:numPr>
        <w:rPr>
          <w:rFonts w:ascii="Arial" w:hAnsi="Arial" w:cs="Arial"/>
          <w:color w:val="000000"/>
        </w:rPr>
      </w:pPr>
      <w:bookmarkStart w:id="435" w:name="_Toc516053154"/>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435"/>
      <w:r w:rsidRPr="000C1668">
        <w:rPr>
          <w:rFonts w:ascii="Arial" w:hAnsi="Arial" w:cs="Arial"/>
          <w:color w:val="000000"/>
        </w:rPr>
        <w:t xml:space="preserve"> </w:t>
      </w:r>
    </w:p>
    <w:p w14:paraId="33D16687" w14:textId="06D30CDA" w:rsidR="00BC6384" w:rsidRPr="009B15CF" w:rsidRDefault="0066770B" w:rsidP="00C36ADD">
      <w:pPr>
        <w:rPr>
          <w:color w:val="000000" w:themeColor="text1"/>
          <w:lang w:val="en-GB"/>
        </w:rPr>
      </w:pPr>
      <w:r w:rsidRPr="009B15CF">
        <w:rPr>
          <w:color w:val="000000" w:themeColor="text1"/>
          <w:lang w:val="en-GB"/>
        </w:rPr>
        <w:t xml:space="preserve">In the </w:t>
      </w:r>
      <w:r w:rsidR="008574EC">
        <w:rPr>
          <w:color w:val="000000" w:themeColor="text1"/>
          <w:lang w:val="en-GB"/>
        </w:rPr>
        <w:t>2016–17</w:t>
      </w:r>
      <w:r w:rsidR="00BC6384" w:rsidRPr="009B15CF">
        <w:rPr>
          <w:color w:val="000000" w:themeColor="text1"/>
          <w:lang w:val="en-GB"/>
        </w:rPr>
        <w:t xml:space="preserve"> monitoring period, the seagrass index for </w:t>
      </w:r>
      <w:r w:rsidR="001264B9" w:rsidRPr="009B15CF">
        <w:rPr>
          <w:color w:val="000000" w:themeColor="text1"/>
          <w:lang w:val="en-GB"/>
        </w:rPr>
        <w:t xml:space="preserve">the Burdekin region </w:t>
      </w:r>
      <w:r w:rsidR="00D53B64" w:rsidRPr="009B15CF">
        <w:rPr>
          <w:color w:val="000000" w:themeColor="text1"/>
          <w:lang w:val="en-GB"/>
        </w:rPr>
        <w:t xml:space="preserve">improved </w:t>
      </w:r>
      <w:r w:rsidR="009B15CF" w:rsidRPr="009B15CF">
        <w:rPr>
          <w:color w:val="000000" w:themeColor="text1"/>
          <w:lang w:val="en-GB"/>
        </w:rPr>
        <w:t>but remained moderate</w:t>
      </w:r>
      <w:r w:rsidR="00BC6384" w:rsidRPr="009B15CF">
        <w:rPr>
          <w:color w:val="000000" w:themeColor="text1"/>
          <w:lang w:val="en-GB"/>
        </w:rPr>
        <w:t>.</w:t>
      </w:r>
      <w:r w:rsidR="009B15CF" w:rsidRPr="009B15CF">
        <w:rPr>
          <w:color w:val="000000" w:themeColor="text1"/>
          <w:lang w:val="en-GB"/>
        </w:rPr>
        <w:t xml:space="preserve"> Gains in abundance at coastal intertidal meadows were offset by declining abundance at reef sites and very poor reproductive effort at coastal and reef intertidal sites.</w:t>
      </w:r>
      <w:r w:rsidR="00BC6384" w:rsidRPr="009B15CF">
        <w:rPr>
          <w:color w:val="000000" w:themeColor="text1"/>
          <w:lang w:val="en-GB"/>
        </w:rPr>
        <w:t xml:space="preserve"> </w:t>
      </w:r>
      <w:r w:rsidR="009B15CF" w:rsidRPr="009B15CF">
        <w:rPr>
          <w:color w:val="000000" w:themeColor="text1"/>
          <w:lang w:val="en-GB"/>
        </w:rPr>
        <w:t>Changes in the score for tissue nutrients rekative to the previous varied among habitats, and it</w:t>
      </w:r>
      <w:r w:rsidR="008F6ECE">
        <w:rPr>
          <w:color w:val="000000" w:themeColor="text1"/>
          <w:lang w:val="en-GB"/>
        </w:rPr>
        <w:t xml:space="preserve"> was moderate in all habitats.</w:t>
      </w:r>
    </w:p>
    <w:p w14:paraId="3ED6E150" w14:textId="40226D11" w:rsidR="00E43A54" w:rsidRPr="000F1DF9" w:rsidRDefault="00E43A54" w:rsidP="00C36ADD">
      <w:pPr>
        <w:jc w:val="center"/>
        <w:rPr>
          <w:i/>
          <w:vanish/>
          <w:color w:val="000000"/>
          <w:szCs w:val="22"/>
          <w:specVanish/>
        </w:rPr>
      </w:pPr>
      <w:bookmarkStart w:id="436" w:name="_Toc516053447"/>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F87DF9">
        <w:rPr>
          <w:noProof/>
          <w:color w:val="000000"/>
        </w:rPr>
        <w:t>23</w:t>
      </w:r>
      <w:r w:rsidRPr="000F1DF9">
        <w:rPr>
          <w:color w:val="000000"/>
        </w:rPr>
        <w:fldChar w:fldCharType="end"/>
      </w:r>
      <w:r w:rsidRPr="000F1DF9">
        <w:rPr>
          <w:color w:val="000000"/>
        </w:rPr>
        <w:t xml:space="preserve">. </w:t>
      </w:r>
      <w:r w:rsidRPr="000F1DF9">
        <w:rPr>
          <w:i/>
          <w:color w:val="000000"/>
        </w:rPr>
        <w:t xml:space="preserve">Long-term </w:t>
      </w:r>
      <w:r w:rsidR="001264B9" w:rsidRPr="000F1DF9">
        <w:rPr>
          <w:i/>
          <w:color w:val="000000"/>
        </w:rPr>
        <w:t xml:space="preserve">report card </w:t>
      </w:r>
      <w:r w:rsidR="001264B9">
        <w:rPr>
          <w:i/>
          <w:color w:val="000000"/>
        </w:rPr>
        <w:t xml:space="preserve">scores </w:t>
      </w:r>
      <w:r w:rsidR="001264B9" w:rsidRPr="000F1DF9">
        <w:rPr>
          <w:i/>
          <w:color w:val="000000"/>
        </w:rPr>
        <w:t>for seagrass abundance</w:t>
      </w:r>
      <w:r w:rsidR="001264B9">
        <w:rPr>
          <w:i/>
          <w:color w:val="000000"/>
        </w:rPr>
        <w:t>, reproductive</w:t>
      </w:r>
      <w:r w:rsidR="001264B9" w:rsidRPr="000F1DF9">
        <w:rPr>
          <w:i/>
          <w:color w:val="000000"/>
        </w:rPr>
        <w:t xml:space="preserve"> </w:t>
      </w:r>
      <w:r w:rsidR="001264B9">
        <w:rPr>
          <w:i/>
          <w:color w:val="000000"/>
        </w:rPr>
        <w:t>and leaf tissue nutrient</w:t>
      </w:r>
      <w:r w:rsidR="001264B9" w:rsidRPr="000F1DF9">
        <w:rPr>
          <w:i/>
          <w:color w:val="000000"/>
        </w:rPr>
        <w:t xml:space="preserve"> status for each habitat in </w:t>
      </w:r>
      <w:r w:rsidR="001264B9">
        <w:rPr>
          <w:i/>
          <w:color w:val="000000"/>
        </w:rPr>
        <w:t>the Burdekin</w:t>
      </w:r>
      <w:r w:rsidRPr="000F1DF9">
        <w:rPr>
          <w:i/>
          <w:color w:val="000000"/>
        </w:rPr>
        <w:t xml:space="preserve"> region: </w:t>
      </w:r>
      <w:r w:rsidRPr="009B15CF">
        <w:rPr>
          <w:i/>
          <w:color w:val="000000" w:themeColor="text1"/>
        </w:rPr>
        <w:t>June 20</w:t>
      </w:r>
      <w:r w:rsidR="00B9118A" w:rsidRPr="009B15CF">
        <w:rPr>
          <w:i/>
          <w:color w:val="000000" w:themeColor="text1"/>
        </w:rPr>
        <w:t>1</w:t>
      </w:r>
      <w:r w:rsidR="0090798E" w:rsidRPr="009B15CF">
        <w:rPr>
          <w:i/>
          <w:color w:val="000000" w:themeColor="text1"/>
        </w:rPr>
        <w:t>6</w:t>
      </w:r>
      <w:r w:rsidRPr="009B15CF">
        <w:rPr>
          <w:i/>
          <w:color w:val="000000" w:themeColor="text1"/>
        </w:rPr>
        <w:t xml:space="preserve"> – May 201</w:t>
      </w:r>
      <w:r w:rsidR="0090798E" w:rsidRPr="009B15CF">
        <w:rPr>
          <w:i/>
          <w:color w:val="000000" w:themeColor="text1"/>
        </w:rPr>
        <w:t>7</w:t>
      </w:r>
      <w:r w:rsidRPr="000F1DF9">
        <w:rPr>
          <w:i/>
          <w:color w:val="000000"/>
        </w:rPr>
        <w:t>.</w:t>
      </w:r>
      <w:bookmarkEnd w:id="436"/>
      <w:r w:rsidRPr="000F1DF9">
        <w:rPr>
          <w:i/>
          <w:color w:val="000000"/>
        </w:rPr>
        <w:t xml:space="preserve"> </w:t>
      </w:r>
    </w:p>
    <w:p w14:paraId="548E8238" w14:textId="77777777" w:rsidR="00E43A54" w:rsidRPr="00B00E71" w:rsidRDefault="00E43A54" w:rsidP="00C36ADD">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1E70A1">
        <w:rPr>
          <w:rFonts w:ascii="Arial" w:hAnsi="Arial" w:cs="Arial"/>
          <w:i/>
          <w:color w:val="FF0000"/>
          <w:szCs w:val="22"/>
        </w:rPr>
        <w:t>■</w:t>
      </w:r>
      <w:r w:rsidR="001E70A1">
        <w:rPr>
          <w:i/>
          <w:szCs w:val="22"/>
        </w:rPr>
        <w:t xml:space="preserve"> = very poor (0 - </w:t>
      </w:r>
      <w:r w:rsidR="001E70A1" w:rsidRPr="00E237C6">
        <w:rPr>
          <w:i/>
          <w:szCs w:val="22"/>
        </w:rPr>
        <w:t>20).</w:t>
      </w:r>
      <w:r>
        <w:rPr>
          <w:i/>
          <w:color w:val="000000"/>
        </w:rPr>
        <w:t xml:space="preserve"> </w:t>
      </w:r>
      <w:r>
        <w:rPr>
          <w:i/>
          <w:szCs w:val="22"/>
        </w:rPr>
        <w:t>NB: Scores are unitless.</w:t>
      </w:r>
    </w:p>
    <w:tbl>
      <w:tblPr>
        <w:tblW w:w="9215"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2"/>
        <w:gridCol w:w="1668"/>
        <w:gridCol w:w="516"/>
        <w:gridCol w:w="516"/>
        <w:gridCol w:w="616"/>
        <w:gridCol w:w="516"/>
        <w:gridCol w:w="516"/>
        <w:gridCol w:w="516"/>
        <w:gridCol w:w="516"/>
        <w:gridCol w:w="419"/>
        <w:gridCol w:w="521"/>
        <w:gridCol w:w="521"/>
        <w:gridCol w:w="521"/>
        <w:gridCol w:w="551"/>
      </w:tblGrid>
      <w:tr w:rsidR="0090798E" w:rsidRPr="00EC364C" w14:paraId="475638F0" w14:textId="77777777" w:rsidTr="0090798E">
        <w:trPr>
          <w:cantSplit/>
          <w:trHeight w:val="783"/>
          <w:jc w:val="center"/>
        </w:trPr>
        <w:tc>
          <w:tcPr>
            <w:tcW w:w="1302" w:type="dxa"/>
            <w:tcBorders>
              <w:top w:val="single" w:sz="4" w:space="0" w:color="000000"/>
              <w:bottom w:val="single" w:sz="4" w:space="0" w:color="000000"/>
            </w:tcBorders>
            <w:shd w:val="clear" w:color="auto" w:fill="auto"/>
            <w:vAlign w:val="center"/>
          </w:tcPr>
          <w:p w14:paraId="23CA392A" w14:textId="77777777" w:rsidR="0090798E" w:rsidRPr="00EC364C" w:rsidRDefault="0090798E" w:rsidP="00C36ADD">
            <w:pPr>
              <w:spacing w:before="0" w:after="0"/>
              <w:jc w:val="center"/>
              <w:rPr>
                <w:b/>
                <w:color w:val="000000"/>
                <w:sz w:val="20"/>
                <w:szCs w:val="20"/>
                <w:lang w:eastAsia="en-AU"/>
              </w:rPr>
            </w:pPr>
            <w:r>
              <w:rPr>
                <w:b/>
                <w:color w:val="000000"/>
                <w:sz w:val="20"/>
                <w:szCs w:val="20"/>
                <w:lang w:eastAsia="en-AU"/>
              </w:rPr>
              <w:t>Indicator</w:t>
            </w:r>
          </w:p>
        </w:tc>
        <w:tc>
          <w:tcPr>
            <w:tcW w:w="1668" w:type="dxa"/>
            <w:tcBorders>
              <w:top w:val="single" w:sz="4" w:space="0" w:color="000000"/>
              <w:bottom w:val="single" w:sz="4" w:space="0" w:color="000000"/>
            </w:tcBorders>
            <w:shd w:val="clear" w:color="auto" w:fill="auto"/>
            <w:noWrap/>
            <w:vAlign w:val="center"/>
          </w:tcPr>
          <w:p w14:paraId="1FFFB5FC" w14:textId="77777777" w:rsidR="0090798E" w:rsidRPr="00EC364C" w:rsidRDefault="0090798E" w:rsidP="00C36ADD">
            <w:pPr>
              <w:spacing w:before="0" w:after="0"/>
              <w:jc w:val="center"/>
              <w:rPr>
                <w:b/>
                <w:color w:val="000000"/>
                <w:sz w:val="20"/>
                <w:szCs w:val="20"/>
                <w:lang w:eastAsia="en-AU"/>
              </w:rPr>
            </w:pPr>
            <w:r w:rsidRPr="00EC364C">
              <w:rPr>
                <w:b/>
                <w:color w:val="000000"/>
                <w:sz w:val="20"/>
                <w:szCs w:val="20"/>
                <w:lang w:eastAsia="en-AU"/>
              </w:rPr>
              <w:t>Habitat</w:t>
            </w:r>
          </w:p>
        </w:tc>
        <w:tc>
          <w:tcPr>
            <w:tcW w:w="516" w:type="dxa"/>
            <w:tcBorders>
              <w:top w:val="single" w:sz="4" w:space="0" w:color="000000"/>
              <w:bottom w:val="single" w:sz="4" w:space="0" w:color="000000"/>
            </w:tcBorders>
            <w:shd w:val="clear" w:color="auto" w:fill="auto"/>
            <w:textDirection w:val="btLr"/>
            <w:vAlign w:val="center"/>
          </w:tcPr>
          <w:p w14:paraId="2FF54117"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6" w:type="dxa"/>
            <w:tcBorders>
              <w:top w:val="single" w:sz="4" w:space="0" w:color="000000"/>
              <w:bottom w:val="single" w:sz="4" w:space="0" w:color="000000"/>
            </w:tcBorders>
            <w:shd w:val="clear" w:color="auto" w:fill="auto"/>
            <w:textDirection w:val="btLr"/>
            <w:vAlign w:val="center"/>
          </w:tcPr>
          <w:p w14:paraId="6ECEE033"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616" w:type="dxa"/>
            <w:tcBorders>
              <w:top w:val="single" w:sz="4" w:space="0" w:color="000000"/>
              <w:bottom w:val="single" w:sz="4" w:space="0" w:color="000000"/>
            </w:tcBorders>
            <w:shd w:val="clear" w:color="auto" w:fill="auto"/>
            <w:textDirection w:val="btLr"/>
            <w:vAlign w:val="center"/>
          </w:tcPr>
          <w:p w14:paraId="117C045C"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516" w:type="dxa"/>
            <w:tcBorders>
              <w:top w:val="single" w:sz="4" w:space="0" w:color="000000"/>
              <w:bottom w:val="single" w:sz="4" w:space="0" w:color="000000"/>
            </w:tcBorders>
            <w:shd w:val="clear" w:color="auto" w:fill="auto"/>
            <w:textDirection w:val="btLr"/>
            <w:vAlign w:val="center"/>
          </w:tcPr>
          <w:p w14:paraId="5DBFEC67"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516" w:type="dxa"/>
            <w:tcBorders>
              <w:top w:val="single" w:sz="4" w:space="0" w:color="000000"/>
              <w:bottom w:val="single" w:sz="4" w:space="0" w:color="000000"/>
            </w:tcBorders>
            <w:shd w:val="clear" w:color="auto" w:fill="auto"/>
            <w:textDirection w:val="btLr"/>
            <w:vAlign w:val="center"/>
          </w:tcPr>
          <w:p w14:paraId="26DD00FD"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6" w:type="dxa"/>
            <w:tcBorders>
              <w:top w:val="single" w:sz="4" w:space="0" w:color="000000"/>
              <w:bottom w:val="single" w:sz="4" w:space="0" w:color="000000"/>
            </w:tcBorders>
            <w:shd w:val="clear" w:color="auto" w:fill="auto"/>
            <w:textDirection w:val="btLr"/>
            <w:vAlign w:val="center"/>
          </w:tcPr>
          <w:p w14:paraId="077BAE06"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6" w:type="dxa"/>
            <w:tcBorders>
              <w:top w:val="single" w:sz="4" w:space="0" w:color="000000"/>
              <w:bottom w:val="single" w:sz="4" w:space="0" w:color="000000"/>
            </w:tcBorders>
            <w:shd w:val="clear" w:color="auto" w:fill="auto"/>
            <w:textDirection w:val="btLr"/>
            <w:vAlign w:val="center"/>
          </w:tcPr>
          <w:p w14:paraId="2ECFD3ED"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419" w:type="dxa"/>
            <w:tcBorders>
              <w:top w:val="single" w:sz="4" w:space="0" w:color="000000"/>
              <w:bottom w:val="single" w:sz="4" w:space="0" w:color="000000"/>
            </w:tcBorders>
            <w:textDirection w:val="btLr"/>
            <w:vAlign w:val="center"/>
          </w:tcPr>
          <w:p w14:paraId="76020A54"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2012-13</w:t>
            </w:r>
          </w:p>
        </w:tc>
        <w:tc>
          <w:tcPr>
            <w:tcW w:w="521" w:type="dxa"/>
            <w:tcBorders>
              <w:top w:val="single" w:sz="4" w:space="0" w:color="000000"/>
              <w:bottom w:val="single" w:sz="4" w:space="0" w:color="000000"/>
            </w:tcBorders>
            <w:textDirection w:val="btLr"/>
            <w:vAlign w:val="center"/>
          </w:tcPr>
          <w:p w14:paraId="4753338C" w14:textId="77777777" w:rsidR="0090798E" w:rsidRPr="00EC364C" w:rsidRDefault="0090798E" w:rsidP="00C36ADD">
            <w:pPr>
              <w:spacing w:before="0" w:after="0"/>
              <w:ind w:left="113" w:right="113"/>
              <w:rPr>
                <w:b/>
                <w:color w:val="000000"/>
                <w:sz w:val="16"/>
                <w:szCs w:val="16"/>
                <w:lang w:eastAsia="en-AU"/>
              </w:rPr>
            </w:pPr>
            <w:r w:rsidRPr="00EC364C">
              <w:rPr>
                <w:b/>
                <w:color w:val="000000"/>
                <w:sz w:val="16"/>
                <w:szCs w:val="16"/>
                <w:lang w:eastAsia="en-AU"/>
              </w:rPr>
              <w:t>2013-14</w:t>
            </w:r>
          </w:p>
        </w:tc>
        <w:tc>
          <w:tcPr>
            <w:tcW w:w="521" w:type="dxa"/>
            <w:tcBorders>
              <w:top w:val="single" w:sz="4" w:space="0" w:color="000000"/>
              <w:bottom w:val="single" w:sz="4" w:space="0" w:color="000000"/>
            </w:tcBorders>
            <w:textDirection w:val="btLr"/>
            <w:vAlign w:val="center"/>
          </w:tcPr>
          <w:p w14:paraId="5DED6596" w14:textId="77777777" w:rsidR="0090798E" w:rsidRPr="00EC364C" w:rsidRDefault="0090798E" w:rsidP="00C36ADD">
            <w:pPr>
              <w:spacing w:before="0" w:after="0"/>
              <w:ind w:left="113" w:right="113"/>
              <w:rPr>
                <w:b/>
                <w:color w:val="000000"/>
                <w:sz w:val="16"/>
                <w:szCs w:val="16"/>
                <w:lang w:eastAsia="en-AU"/>
              </w:rPr>
            </w:pPr>
            <w:r>
              <w:rPr>
                <w:b/>
                <w:color w:val="000000"/>
                <w:sz w:val="16"/>
                <w:szCs w:val="16"/>
                <w:lang w:eastAsia="en-AU"/>
              </w:rPr>
              <w:t>2014-15</w:t>
            </w:r>
          </w:p>
        </w:tc>
        <w:tc>
          <w:tcPr>
            <w:tcW w:w="521" w:type="dxa"/>
            <w:tcBorders>
              <w:top w:val="single" w:sz="4" w:space="0" w:color="000000"/>
              <w:bottom w:val="single" w:sz="4" w:space="0" w:color="000000"/>
            </w:tcBorders>
            <w:textDirection w:val="btLr"/>
          </w:tcPr>
          <w:p w14:paraId="775F22A0" w14:textId="77777777" w:rsidR="0090798E" w:rsidRDefault="0090798E" w:rsidP="00C36ADD">
            <w:pPr>
              <w:spacing w:before="0" w:after="0"/>
              <w:ind w:left="113" w:right="113"/>
              <w:rPr>
                <w:b/>
                <w:color w:val="000000"/>
                <w:sz w:val="16"/>
                <w:szCs w:val="16"/>
                <w:lang w:eastAsia="en-AU"/>
              </w:rPr>
            </w:pPr>
            <w:r>
              <w:rPr>
                <w:b/>
                <w:color w:val="000000"/>
                <w:sz w:val="16"/>
                <w:szCs w:val="16"/>
                <w:lang w:eastAsia="en-AU"/>
              </w:rPr>
              <w:t>2015-16</w:t>
            </w:r>
          </w:p>
        </w:tc>
        <w:tc>
          <w:tcPr>
            <w:tcW w:w="551" w:type="dxa"/>
            <w:tcBorders>
              <w:top w:val="single" w:sz="4" w:space="0" w:color="000000"/>
              <w:bottom w:val="single" w:sz="4" w:space="0" w:color="000000"/>
            </w:tcBorders>
            <w:textDirection w:val="btLr"/>
          </w:tcPr>
          <w:p w14:paraId="17C04CFD" w14:textId="69A0CB9A" w:rsidR="0090798E" w:rsidRDefault="008574EC" w:rsidP="00C36ADD">
            <w:pPr>
              <w:spacing w:before="0" w:after="0"/>
              <w:ind w:left="113" w:right="113"/>
              <w:rPr>
                <w:b/>
                <w:color w:val="000000"/>
                <w:sz w:val="16"/>
                <w:szCs w:val="16"/>
                <w:lang w:eastAsia="en-AU"/>
              </w:rPr>
            </w:pPr>
            <w:r>
              <w:rPr>
                <w:b/>
                <w:color w:val="000000"/>
                <w:sz w:val="16"/>
                <w:szCs w:val="16"/>
                <w:lang w:eastAsia="en-AU"/>
              </w:rPr>
              <w:t>2016–17</w:t>
            </w:r>
          </w:p>
        </w:tc>
      </w:tr>
      <w:tr w:rsidR="0090798E" w:rsidRPr="00EC364C" w14:paraId="290B4A49" w14:textId="77777777" w:rsidTr="0090798E">
        <w:trPr>
          <w:trHeight w:val="312"/>
          <w:jc w:val="center"/>
        </w:trPr>
        <w:tc>
          <w:tcPr>
            <w:tcW w:w="1302"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51D31D69" w14:textId="77777777" w:rsidR="0090798E" w:rsidRPr="00EC364C" w:rsidRDefault="0090798E" w:rsidP="00C36ADD">
            <w:pPr>
              <w:spacing w:before="0" w:after="0"/>
              <w:rPr>
                <w:color w:val="000000"/>
                <w:sz w:val="20"/>
                <w:szCs w:val="20"/>
                <w:lang w:eastAsia="en-AU"/>
              </w:rPr>
            </w:pPr>
            <w:r>
              <w:rPr>
                <w:color w:val="000000"/>
                <w:sz w:val="20"/>
                <w:szCs w:val="20"/>
                <w:lang w:eastAsia="en-AU"/>
              </w:rPr>
              <w:t>Abundance</w:t>
            </w:r>
          </w:p>
        </w:tc>
        <w:tc>
          <w:tcPr>
            <w:tcW w:w="1668"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2B1C3743"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coastal intertidal</w:t>
            </w:r>
          </w:p>
        </w:tc>
        <w:tc>
          <w:tcPr>
            <w:tcW w:w="516" w:type="dxa"/>
            <w:tcBorders>
              <w:left w:val="single" w:sz="4" w:space="0" w:color="FFFFFF"/>
            </w:tcBorders>
            <w:shd w:val="clear" w:color="auto" w:fill="008000"/>
            <w:noWrap/>
            <w:vAlign w:val="center"/>
          </w:tcPr>
          <w:p w14:paraId="7480D150"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88</w:t>
            </w:r>
          </w:p>
        </w:tc>
        <w:tc>
          <w:tcPr>
            <w:tcW w:w="516" w:type="dxa"/>
            <w:shd w:val="clear" w:color="auto" w:fill="FFCC00"/>
            <w:noWrap/>
            <w:vAlign w:val="center"/>
          </w:tcPr>
          <w:p w14:paraId="0CEAF150"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31</w:t>
            </w:r>
          </w:p>
        </w:tc>
        <w:tc>
          <w:tcPr>
            <w:tcW w:w="616" w:type="dxa"/>
            <w:shd w:val="clear" w:color="auto" w:fill="FFCC00"/>
            <w:noWrap/>
            <w:vAlign w:val="center"/>
          </w:tcPr>
          <w:p w14:paraId="2C38384B"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34</w:t>
            </w:r>
          </w:p>
        </w:tc>
        <w:tc>
          <w:tcPr>
            <w:tcW w:w="516" w:type="dxa"/>
            <w:shd w:val="clear" w:color="auto" w:fill="FFCC00"/>
            <w:noWrap/>
            <w:vAlign w:val="center"/>
          </w:tcPr>
          <w:p w14:paraId="03D471DD"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25</w:t>
            </w:r>
          </w:p>
        </w:tc>
        <w:tc>
          <w:tcPr>
            <w:tcW w:w="516" w:type="dxa"/>
            <w:shd w:val="clear" w:color="auto" w:fill="FF0000"/>
            <w:noWrap/>
            <w:vAlign w:val="center"/>
          </w:tcPr>
          <w:p w14:paraId="0820CBE2"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11</w:t>
            </w:r>
          </w:p>
        </w:tc>
        <w:tc>
          <w:tcPr>
            <w:tcW w:w="516" w:type="dxa"/>
            <w:shd w:val="clear" w:color="auto" w:fill="FF0000"/>
            <w:noWrap/>
            <w:vAlign w:val="center"/>
          </w:tcPr>
          <w:p w14:paraId="6D3A5119"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6</w:t>
            </w:r>
          </w:p>
        </w:tc>
        <w:tc>
          <w:tcPr>
            <w:tcW w:w="516" w:type="dxa"/>
            <w:shd w:val="clear" w:color="auto" w:fill="FF0000"/>
            <w:noWrap/>
            <w:vAlign w:val="center"/>
          </w:tcPr>
          <w:p w14:paraId="71462E88"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5</w:t>
            </w:r>
          </w:p>
        </w:tc>
        <w:tc>
          <w:tcPr>
            <w:tcW w:w="419" w:type="dxa"/>
            <w:shd w:val="clear" w:color="auto" w:fill="FFCC00"/>
            <w:vAlign w:val="center"/>
          </w:tcPr>
          <w:p w14:paraId="2C73FA63"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29</w:t>
            </w:r>
          </w:p>
        </w:tc>
        <w:tc>
          <w:tcPr>
            <w:tcW w:w="521" w:type="dxa"/>
            <w:shd w:val="clear" w:color="auto" w:fill="FFFF00"/>
            <w:vAlign w:val="center"/>
          </w:tcPr>
          <w:p w14:paraId="78597FDA"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44</w:t>
            </w:r>
          </w:p>
        </w:tc>
        <w:tc>
          <w:tcPr>
            <w:tcW w:w="521" w:type="dxa"/>
            <w:shd w:val="clear" w:color="auto" w:fill="FFFF00"/>
            <w:vAlign w:val="center"/>
          </w:tcPr>
          <w:p w14:paraId="1C8AD0DF" w14:textId="77777777" w:rsidR="0090798E" w:rsidRPr="00056DBB" w:rsidRDefault="0090798E" w:rsidP="00C36ADD">
            <w:pPr>
              <w:spacing w:before="0" w:after="0"/>
              <w:jc w:val="center"/>
              <w:rPr>
                <w:b/>
                <w:color w:val="000000"/>
                <w:sz w:val="20"/>
                <w:szCs w:val="20"/>
                <w:lang w:eastAsia="en-AU"/>
              </w:rPr>
            </w:pPr>
            <w:r w:rsidRPr="00056DBB">
              <w:rPr>
                <w:sz w:val="20"/>
                <w:szCs w:val="20"/>
              </w:rPr>
              <w:t>49</w:t>
            </w:r>
          </w:p>
        </w:tc>
        <w:tc>
          <w:tcPr>
            <w:tcW w:w="521" w:type="dxa"/>
            <w:shd w:val="clear" w:color="auto" w:fill="FFFF00"/>
            <w:vAlign w:val="center"/>
          </w:tcPr>
          <w:p w14:paraId="147BCC76" w14:textId="6BF1AE8B" w:rsidR="0090798E" w:rsidRPr="0073784B" w:rsidRDefault="008F6ECE" w:rsidP="00C36ADD">
            <w:pPr>
              <w:spacing w:before="0" w:after="0"/>
              <w:jc w:val="center"/>
              <w:rPr>
                <w:sz w:val="20"/>
                <w:szCs w:val="20"/>
              </w:rPr>
            </w:pPr>
            <w:r>
              <w:rPr>
                <w:sz w:val="20"/>
                <w:szCs w:val="20"/>
              </w:rPr>
              <w:t>47</w:t>
            </w:r>
          </w:p>
        </w:tc>
        <w:tc>
          <w:tcPr>
            <w:tcW w:w="551" w:type="dxa"/>
            <w:shd w:val="clear" w:color="auto" w:fill="008000"/>
            <w:vAlign w:val="center"/>
          </w:tcPr>
          <w:p w14:paraId="6C5F8F59" w14:textId="77777777" w:rsidR="0090798E" w:rsidRPr="00353DC2" w:rsidRDefault="0090798E" w:rsidP="00C36ADD">
            <w:pPr>
              <w:spacing w:before="0" w:after="0"/>
              <w:jc w:val="center"/>
              <w:rPr>
                <w:sz w:val="20"/>
                <w:szCs w:val="20"/>
              </w:rPr>
            </w:pPr>
            <w:r w:rsidRPr="00353DC2">
              <w:rPr>
                <w:sz w:val="20"/>
                <w:szCs w:val="20"/>
              </w:rPr>
              <w:t>85</w:t>
            </w:r>
          </w:p>
        </w:tc>
      </w:tr>
      <w:tr w:rsidR="0090798E" w:rsidRPr="00EC364C" w14:paraId="154B53C3" w14:textId="77777777" w:rsidTr="0090798E">
        <w:trPr>
          <w:trHeight w:val="312"/>
          <w:jc w:val="center"/>
        </w:trPr>
        <w:tc>
          <w:tcPr>
            <w:tcW w:w="1302" w:type="dxa"/>
            <w:tcBorders>
              <w:top w:val="single" w:sz="4" w:space="0" w:color="FFFFFF"/>
              <w:bottom w:val="single" w:sz="4" w:space="0" w:color="FFFFFF"/>
            </w:tcBorders>
            <w:shd w:val="clear" w:color="auto" w:fill="auto"/>
            <w:noWrap/>
            <w:vAlign w:val="center"/>
          </w:tcPr>
          <w:p w14:paraId="312D9D39" w14:textId="77777777" w:rsidR="0090798E" w:rsidRPr="00EC364C" w:rsidRDefault="0090798E" w:rsidP="00C36ADD">
            <w:pPr>
              <w:spacing w:before="0" w:after="0"/>
              <w:rPr>
                <w:color w:val="000000"/>
                <w:sz w:val="20"/>
                <w:szCs w:val="20"/>
                <w:lang w:eastAsia="en-AU"/>
              </w:rPr>
            </w:pPr>
          </w:p>
        </w:tc>
        <w:tc>
          <w:tcPr>
            <w:tcW w:w="1668" w:type="dxa"/>
            <w:tcBorders>
              <w:top w:val="single" w:sz="4" w:space="0" w:color="FFFFFF"/>
              <w:bottom w:val="single" w:sz="4" w:space="0" w:color="FFFFFF"/>
            </w:tcBorders>
            <w:shd w:val="clear" w:color="auto" w:fill="auto"/>
            <w:noWrap/>
            <w:vAlign w:val="center"/>
          </w:tcPr>
          <w:p w14:paraId="3DF57138"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reef intertidal</w:t>
            </w:r>
          </w:p>
        </w:tc>
        <w:tc>
          <w:tcPr>
            <w:tcW w:w="516" w:type="dxa"/>
            <w:tcBorders>
              <w:top w:val="single" w:sz="4" w:space="0" w:color="FFFFFF"/>
            </w:tcBorders>
            <w:shd w:val="clear" w:color="auto" w:fill="FFFF00"/>
            <w:noWrap/>
            <w:vAlign w:val="center"/>
          </w:tcPr>
          <w:p w14:paraId="0C053F33"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59</w:t>
            </w:r>
          </w:p>
        </w:tc>
        <w:tc>
          <w:tcPr>
            <w:tcW w:w="516" w:type="dxa"/>
            <w:tcBorders>
              <w:top w:val="single" w:sz="4" w:space="0" w:color="FFFFFF"/>
            </w:tcBorders>
            <w:shd w:val="clear" w:color="auto" w:fill="FFFF00"/>
            <w:noWrap/>
            <w:vAlign w:val="center"/>
          </w:tcPr>
          <w:p w14:paraId="40563070"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59</w:t>
            </w:r>
          </w:p>
        </w:tc>
        <w:tc>
          <w:tcPr>
            <w:tcW w:w="616" w:type="dxa"/>
            <w:tcBorders>
              <w:top w:val="single" w:sz="4" w:space="0" w:color="FFFFFF"/>
            </w:tcBorders>
            <w:shd w:val="clear" w:color="auto" w:fill="92D050"/>
            <w:noWrap/>
            <w:vAlign w:val="center"/>
          </w:tcPr>
          <w:p w14:paraId="458D1945"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75</w:t>
            </w:r>
          </w:p>
        </w:tc>
        <w:tc>
          <w:tcPr>
            <w:tcW w:w="516" w:type="dxa"/>
            <w:tcBorders>
              <w:top w:val="single" w:sz="4" w:space="0" w:color="FFFFFF"/>
            </w:tcBorders>
            <w:shd w:val="clear" w:color="auto" w:fill="FFCC00"/>
            <w:noWrap/>
            <w:vAlign w:val="center"/>
          </w:tcPr>
          <w:p w14:paraId="510F4B13"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31</w:t>
            </w:r>
          </w:p>
        </w:tc>
        <w:tc>
          <w:tcPr>
            <w:tcW w:w="516" w:type="dxa"/>
            <w:tcBorders>
              <w:top w:val="single" w:sz="4" w:space="0" w:color="FFFFFF"/>
            </w:tcBorders>
            <w:shd w:val="clear" w:color="auto" w:fill="FF0000"/>
            <w:noWrap/>
            <w:vAlign w:val="center"/>
          </w:tcPr>
          <w:p w14:paraId="52BFFE07"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6</w:t>
            </w:r>
          </w:p>
        </w:tc>
        <w:tc>
          <w:tcPr>
            <w:tcW w:w="516" w:type="dxa"/>
            <w:tcBorders>
              <w:top w:val="single" w:sz="4" w:space="0" w:color="FFFFFF"/>
            </w:tcBorders>
            <w:shd w:val="clear" w:color="auto" w:fill="FF0000"/>
            <w:noWrap/>
            <w:vAlign w:val="center"/>
          </w:tcPr>
          <w:p w14:paraId="2A81427D"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9</w:t>
            </w:r>
          </w:p>
        </w:tc>
        <w:tc>
          <w:tcPr>
            <w:tcW w:w="516" w:type="dxa"/>
            <w:tcBorders>
              <w:top w:val="single" w:sz="4" w:space="0" w:color="FFFFFF"/>
            </w:tcBorders>
            <w:shd w:val="clear" w:color="auto" w:fill="FFCC00"/>
            <w:noWrap/>
            <w:vAlign w:val="center"/>
          </w:tcPr>
          <w:p w14:paraId="3BE0771F"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25</w:t>
            </w:r>
          </w:p>
        </w:tc>
        <w:tc>
          <w:tcPr>
            <w:tcW w:w="419" w:type="dxa"/>
            <w:tcBorders>
              <w:top w:val="single" w:sz="4" w:space="0" w:color="FFFFFF"/>
            </w:tcBorders>
            <w:shd w:val="clear" w:color="auto" w:fill="FFFF00"/>
            <w:vAlign w:val="center"/>
          </w:tcPr>
          <w:p w14:paraId="2D46C591"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41</w:t>
            </w:r>
          </w:p>
        </w:tc>
        <w:tc>
          <w:tcPr>
            <w:tcW w:w="521" w:type="dxa"/>
            <w:tcBorders>
              <w:top w:val="single" w:sz="4" w:space="0" w:color="FFFFFF"/>
            </w:tcBorders>
            <w:shd w:val="clear" w:color="auto" w:fill="FFFF00"/>
            <w:vAlign w:val="center"/>
          </w:tcPr>
          <w:p w14:paraId="0F161555"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50</w:t>
            </w:r>
          </w:p>
        </w:tc>
        <w:tc>
          <w:tcPr>
            <w:tcW w:w="521" w:type="dxa"/>
            <w:tcBorders>
              <w:top w:val="single" w:sz="4" w:space="0" w:color="FFFFFF"/>
            </w:tcBorders>
            <w:shd w:val="clear" w:color="auto" w:fill="FFFF00"/>
            <w:vAlign w:val="center"/>
          </w:tcPr>
          <w:p w14:paraId="5D3D268F" w14:textId="77777777" w:rsidR="0090798E" w:rsidRPr="00056DBB" w:rsidRDefault="0090798E" w:rsidP="00C36ADD">
            <w:pPr>
              <w:spacing w:before="0" w:after="0"/>
              <w:jc w:val="center"/>
              <w:rPr>
                <w:b/>
                <w:color w:val="000000"/>
                <w:sz w:val="20"/>
                <w:szCs w:val="20"/>
                <w:lang w:eastAsia="en-AU"/>
              </w:rPr>
            </w:pPr>
            <w:r w:rsidRPr="00056DBB">
              <w:rPr>
                <w:sz w:val="20"/>
                <w:szCs w:val="20"/>
              </w:rPr>
              <w:t>56</w:t>
            </w:r>
          </w:p>
        </w:tc>
        <w:tc>
          <w:tcPr>
            <w:tcW w:w="521" w:type="dxa"/>
            <w:tcBorders>
              <w:top w:val="single" w:sz="4" w:space="0" w:color="FFFFFF"/>
            </w:tcBorders>
            <w:shd w:val="clear" w:color="auto" w:fill="FFCC00"/>
            <w:vAlign w:val="center"/>
          </w:tcPr>
          <w:p w14:paraId="0DFD1D22" w14:textId="10B3AC2F" w:rsidR="0090798E" w:rsidRPr="0073784B" w:rsidRDefault="008F6ECE" w:rsidP="00C36ADD">
            <w:pPr>
              <w:spacing w:before="0" w:after="0"/>
              <w:jc w:val="center"/>
              <w:rPr>
                <w:sz w:val="20"/>
                <w:szCs w:val="20"/>
              </w:rPr>
            </w:pPr>
            <w:r>
              <w:rPr>
                <w:sz w:val="20"/>
                <w:szCs w:val="20"/>
              </w:rPr>
              <w:t>38</w:t>
            </w:r>
          </w:p>
        </w:tc>
        <w:tc>
          <w:tcPr>
            <w:tcW w:w="551" w:type="dxa"/>
            <w:tcBorders>
              <w:top w:val="single" w:sz="4" w:space="0" w:color="FFFFFF"/>
            </w:tcBorders>
            <w:shd w:val="clear" w:color="auto" w:fill="FFCC00"/>
            <w:vAlign w:val="center"/>
          </w:tcPr>
          <w:p w14:paraId="42536B62" w14:textId="77777777" w:rsidR="0090798E" w:rsidRPr="00353DC2" w:rsidRDefault="0090798E" w:rsidP="00C36ADD">
            <w:pPr>
              <w:spacing w:before="0" w:after="0"/>
              <w:jc w:val="center"/>
              <w:rPr>
                <w:sz w:val="20"/>
                <w:szCs w:val="20"/>
              </w:rPr>
            </w:pPr>
            <w:r w:rsidRPr="00353DC2">
              <w:rPr>
                <w:sz w:val="20"/>
                <w:szCs w:val="20"/>
              </w:rPr>
              <w:t>34</w:t>
            </w:r>
          </w:p>
        </w:tc>
      </w:tr>
      <w:tr w:rsidR="0090798E" w:rsidRPr="00EC364C" w14:paraId="06C626CC" w14:textId="77777777" w:rsidTr="0090798E">
        <w:trPr>
          <w:trHeight w:val="312"/>
          <w:jc w:val="center"/>
        </w:trPr>
        <w:tc>
          <w:tcPr>
            <w:tcW w:w="1302" w:type="dxa"/>
            <w:tcBorders>
              <w:top w:val="single" w:sz="4" w:space="0" w:color="FFFFFF"/>
              <w:bottom w:val="single" w:sz="4" w:space="0" w:color="000000"/>
            </w:tcBorders>
            <w:shd w:val="clear" w:color="auto" w:fill="auto"/>
            <w:noWrap/>
            <w:vAlign w:val="center"/>
          </w:tcPr>
          <w:p w14:paraId="05D92C6C" w14:textId="77777777" w:rsidR="0090798E" w:rsidRPr="00EC364C" w:rsidRDefault="0090798E" w:rsidP="00C36ADD">
            <w:pPr>
              <w:spacing w:before="0" w:after="0"/>
              <w:rPr>
                <w:color w:val="000000"/>
                <w:sz w:val="20"/>
                <w:szCs w:val="20"/>
                <w:lang w:eastAsia="en-AU"/>
              </w:rPr>
            </w:pPr>
          </w:p>
        </w:tc>
        <w:tc>
          <w:tcPr>
            <w:tcW w:w="1668" w:type="dxa"/>
            <w:tcBorders>
              <w:top w:val="single" w:sz="4" w:space="0" w:color="FFFFFF"/>
              <w:bottom w:val="single" w:sz="4" w:space="0" w:color="000000"/>
            </w:tcBorders>
            <w:shd w:val="clear" w:color="auto" w:fill="auto"/>
            <w:noWrap/>
            <w:vAlign w:val="center"/>
          </w:tcPr>
          <w:p w14:paraId="7789D0C5"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reef subtidal</w:t>
            </w:r>
          </w:p>
        </w:tc>
        <w:tc>
          <w:tcPr>
            <w:tcW w:w="516" w:type="dxa"/>
            <w:tcBorders>
              <w:bottom w:val="single" w:sz="4" w:space="0" w:color="FFFFFF"/>
            </w:tcBorders>
            <w:shd w:val="clear" w:color="auto" w:fill="auto"/>
            <w:noWrap/>
            <w:vAlign w:val="center"/>
          </w:tcPr>
          <w:p w14:paraId="7D1B15D7" w14:textId="77777777" w:rsidR="0090798E" w:rsidRPr="00EC364C"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1321D81D" w14:textId="77777777" w:rsidR="0090798E" w:rsidRPr="00EC364C" w:rsidRDefault="0090798E" w:rsidP="00C36ADD">
            <w:pPr>
              <w:spacing w:before="0" w:after="0"/>
              <w:jc w:val="center"/>
              <w:rPr>
                <w:color w:val="000000"/>
                <w:sz w:val="20"/>
                <w:szCs w:val="20"/>
                <w:lang w:eastAsia="en-AU"/>
              </w:rPr>
            </w:pPr>
          </w:p>
        </w:tc>
        <w:tc>
          <w:tcPr>
            <w:tcW w:w="616" w:type="dxa"/>
            <w:tcBorders>
              <w:bottom w:val="single" w:sz="4" w:space="0" w:color="FFFFFF"/>
            </w:tcBorders>
            <w:shd w:val="clear" w:color="auto" w:fill="008000"/>
            <w:noWrap/>
            <w:vAlign w:val="center"/>
          </w:tcPr>
          <w:p w14:paraId="146C7F85"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100</w:t>
            </w:r>
          </w:p>
        </w:tc>
        <w:tc>
          <w:tcPr>
            <w:tcW w:w="516" w:type="dxa"/>
            <w:tcBorders>
              <w:bottom w:val="single" w:sz="4" w:space="0" w:color="FFFFFF"/>
            </w:tcBorders>
            <w:shd w:val="clear" w:color="auto" w:fill="FFFF00"/>
            <w:noWrap/>
            <w:vAlign w:val="center"/>
          </w:tcPr>
          <w:p w14:paraId="2164C086"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50</w:t>
            </w:r>
          </w:p>
        </w:tc>
        <w:tc>
          <w:tcPr>
            <w:tcW w:w="516" w:type="dxa"/>
            <w:tcBorders>
              <w:bottom w:val="single" w:sz="4" w:space="0" w:color="FFFFFF"/>
            </w:tcBorders>
            <w:shd w:val="clear" w:color="auto" w:fill="FF0000"/>
            <w:noWrap/>
            <w:vAlign w:val="center"/>
          </w:tcPr>
          <w:p w14:paraId="313A98CA"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8</w:t>
            </w:r>
          </w:p>
        </w:tc>
        <w:tc>
          <w:tcPr>
            <w:tcW w:w="516" w:type="dxa"/>
            <w:tcBorders>
              <w:bottom w:val="single" w:sz="4" w:space="0" w:color="FFFFFF"/>
            </w:tcBorders>
            <w:shd w:val="clear" w:color="auto" w:fill="FF0000"/>
            <w:noWrap/>
            <w:vAlign w:val="center"/>
          </w:tcPr>
          <w:p w14:paraId="30045B7E"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0</w:t>
            </w:r>
          </w:p>
        </w:tc>
        <w:tc>
          <w:tcPr>
            <w:tcW w:w="516" w:type="dxa"/>
            <w:tcBorders>
              <w:bottom w:val="single" w:sz="4" w:space="0" w:color="FFFFFF"/>
            </w:tcBorders>
            <w:shd w:val="clear" w:color="auto" w:fill="FF0000"/>
            <w:noWrap/>
            <w:vAlign w:val="center"/>
          </w:tcPr>
          <w:p w14:paraId="3236D002"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8</w:t>
            </w:r>
          </w:p>
        </w:tc>
        <w:tc>
          <w:tcPr>
            <w:tcW w:w="419" w:type="dxa"/>
            <w:tcBorders>
              <w:bottom w:val="single" w:sz="4" w:space="0" w:color="FFFFFF"/>
            </w:tcBorders>
            <w:shd w:val="clear" w:color="auto" w:fill="FFCC00"/>
            <w:vAlign w:val="center"/>
          </w:tcPr>
          <w:p w14:paraId="7BD6B164"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31</w:t>
            </w:r>
          </w:p>
        </w:tc>
        <w:tc>
          <w:tcPr>
            <w:tcW w:w="521" w:type="dxa"/>
            <w:tcBorders>
              <w:bottom w:val="single" w:sz="4" w:space="0" w:color="FFFFFF"/>
            </w:tcBorders>
            <w:shd w:val="clear" w:color="auto" w:fill="92D050"/>
            <w:vAlign w:val="center"/>
          </w:tcPr>
          <w:p w14:paraId="76605345" w14:textId="77777777" w:rsidR="0090798E" w:rsidRPr="00EC364C" w:rsidRDefault="0090798E" w:rsidP="00C36ADD">
            <w:pPr>
              <w:spacing w:before="0" w:after="0"/>
              <w:jc w:val="center"/>
              <w:rPr>
                <w:color w:val="000000"/>
                <w:sz w:val="20"/>
                <w:szCs w:val="20"/>
                <w:lang w:eastAsia="en-AU"/>
              </w:rPr>
            </w:pPr>
            <w:r w:rsidRPr="00EC364C">
              <w:rPr>
                <w:color w:val="000000"/>
                <w:sz w:val="20"/>
                <w:szCs w:val="20"/>
                <w:lang w:eastAsia="en-AU"/>
              </w:rPr>
              <w:t>75</w:t>
            </w:r>
          </w:p>
        </w:tc>
        <w:tc>
          <w:tcPr>
            <w:tcW w:w="521" w:type="dxa"/>
            <w:tcBorders>
              <w:bottom w:val="single" w:sz="4" w:space="0" w:color="FFFFFF"/>
            </w:tcBorders>
            <w:shd w:val="clear" w:color="auto" w:fill="008000"/>
            <w:vAlign w:val="center"/>
          </w:tcPr>
          <w:p w14:paraId="68676757" w14:textId="77777777" w:rsidR="0090798E" w:rsidRPr="00056DBB" w:rsidRDefault="0090798E" w:rsidP="00C36ADD">
            <w:pPr>
              <w:spacing w:before="0" w:after="0"/>
              <w:jc w:val="center"/>
              <w:rPr>
                <w:b/>
                <w:color w:val="000000"/>
                <w:sz w:val="20"/>
                <w:szCs w:val="20"/>
                <w:lang w:eastAsia="en-AU"/>
              </w:rPr>
            </w:pPr>
            <w:r w:rsidRPr="00056DBB">
              <w:rPr>
                <w:sz w:val="20"/>
                <w:szCs w:val="20"/>
              </w:rPr>
              <w:t>100</w:t>
            </w:r>
          </w:p>
        </w:tc>
        <w:tc>
          <w:tcPr>
            <w:tcW w:w="521" w:type="dxa"/>
            <w:tcBorders>
              <w:bottom w:val="single" w:sz="4" w:space="0" w:color="FFFFFF"/>
            </w:tcBorders>
            <w:shd w:val="clear" w:color="auto" w:fill="008000"/>
            <w:vAlign w:val="center"/>
          </w:tcPr>
          <w:p w14:paraId="61F45663" w14:textId="77777777" w:rsidR="0090798E" w:rsidRPr="0073784B" w:rsidRDefault="0090798E" w:rsidP="00C36ADD">
            <w:pPr>
              <w:spacing w:before="0" w:after="0"/>
              <w:jc w:val="center"/>
              <w:rPr>
                <w:sz w:val="20"/>
                <w:szCs w:val="20"/>
              </w:rPr>
            </w:pPr>
            <w:r w:rsidRPr="0073784B">
              <w:rPr>
                <w:sz w:val="20"/>
                <w:szCs w:val="20"/>
              </w:rPr>
              <w:t>88</w:t>
            </w:r>
          </w:p>
        </w:tc>
        <w:tc>
          <w:tcPr>
            <w:tcW w:w="551" w:type="dxa"/>
            <w:tcBorders>
              <w:bottom w:val="single" w:sz="4" w:space="0" w:color="FFFFFF"/>
            </w:tcBorders>
            <w:shd w:val="clear" w:color="auto" w:fill="92D050"/>
            <w:vAlign w:val="center"/>
          </w:tcPr>
          <w:p w14:paraId="75A2EF60" w14:textId="77777777" w:rsidR="0090798E" w:rsidRPr="00353DC2" w:rsidRDefault="0090798E" w:rsidP="00C36ADD">
            <w:pPr>
              <w:spacing w:before="0" w:after="0"/>
              <w:jc w:val="center"/>
              <w:rPr>
                <w:sz w:val="20"/>
                <w:szCs w:val="20"/>
              </w:rPr>
            </w:pPr>
            <w:r w:rsidRPr="00353DC2">
              <w:rPr>
                <w:sz w:val="20"/>
                <w:szCs w:val="20"/>
              </w:rPr>
              <w:t>69</w:t>
            </w:r>
          </w:p>
        </w:tc>
      </w:tr>
      <w:tr w:rsidR="0090798E" w:rsidRPr="00EC364C" w14:paraId="2E953B50" w14:textId="77777777" w:rsidTr="0090798E">
        <w:trPr>
          <w:trHeight w:val="312"/>
          <w:jc w:val="center"/>
        </w:trPr>
        <w:tc>
          <w:tcPr>
            <w:tcW w:w="1302"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7ACB0964" w14:textId="77777777" w:rsidR="0090798E" w:rsidRPr="00EC364C" w:rsidRDefault="0090798E" w:rsidP="00C36ADD">
            <w:pPr>
              <w:spacing w:before="0" w:after="0"/>
              <w:rPr>
                <w:color w:val="000000"/>
                <w:sz w:val="20"/>
                <w:szCs w:val="20"/>
                <w:lang w:eastAsia="en-AU"/>
              </w:rPr>
            </w:pPr>
            <w:r>
              <w:rPr>
                <w:color w:val="000000"/>
                <w:sz w:val="20"/>
                <w:szCs w:val="20"/>
                <w:lang w:eastAsia="en-AU"/>
              </w:rPr>
              <w:t>Reproductive</w:t>
            </w:r>
          </w:p>
        </w:tc>
        <w:tc>
          <w:tcPr>
            <w:tcW w:w="1668"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5A3444C0"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coastal intertidal</w:t>
            </w:r>
          </w:p>
        </w:tc>
        <w:tc>
          <w:tcPr>
            <w:tcW w:w="516" w:type="dxa"/>
            <w:tcBorders>
              <w:left w:val="single" w:sz="4" w:space="0" w:color="FFFFFF"/>
            </w:tcBorders>
            <w:shd w:val="clear" w:color="auto" w:fill="FFFF00"/>
            <w:noWrap/>
            <w:vAlign w:val="center"/>
          </w:tcPr>
          <w:p w14:paraId="223E6AAB"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50</w:t>
            </w:r>
          </w:p>
        </w:tc>
        <w:tc>
          <w:tcPr>
            <w:tcW w:w="516" w:type="dxa"/>
            <w:shd w:val="clear" w:color="auto" w:fill="FFCC00"/>
            <w:noWrap/>
            <w:vAlign w:val="center"/>
          </w:tcPr>
          <w:p w14:paraId="4F8EF1B2"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25</w:t>
            </w:r>
          </w:p>
        </w:tc>
        <w:tc>
          <w:tcPr>
            <w:tcW w:w="616" w:type="dxa"/>
            <w:shd w:val="clear" w:color="auto" w:fill="FFCC00"/>
            <w:noWrap/>
            <w:vAlign w:val="center"/>
          </w:tcPr>
          <w:p w14:paraId="39DB0FC2"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25</w:t>
            </w:r>
          </w:p>
        </w:tc>
        <w:tc>
          <w:tcPr>
            <w:tcW w:w="516" w:type="dxa"/>
            <w:shd w:val="clear" w:color="auto" w:fill="FFCC00"/>
            <w:noWrap/>
            <w:vAlign w:val="center"/>
          </w:tcPr>
          <w:p w14:paraId="23F85401"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38</w:t>
            </w:r>
          </w:p>
        </w:tc>
        <w:tc>
          <w:tcPr>
            <w:tcW w:w="516" w:type="dxa"/>
            <w:shd w:val="clear" w:color="auto" w:fill="FF0000"/>
            <w:noWrap/>
            <w:vAlign w:val="center"/>
          </w:tcPr>
          <w:p w14:paraId="08BB6BA1"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0</w:t>
            </w:r>
          </w:p>
        </w:tc>
        <w:tc>
          <w:tcPr>
            <w:tcW w:w="516" w:type="dxa"/>
            <w:shd w:val="clear" w:color="auto" w:fill="FF0000"/>
            <w:noWrap/>
            <w:vAlign w:val="center"/>
          </w:tcPr>
          <w:p w14:paraId="191CBAFC"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0</w:t>
            </w:r>
          </w:p>
        </w:tc>
        <w:tc>
          <w:tcPr>
            <w:tcW w:w="516" w:type="dxa"/>
            <w:shd w:val="clear" w:color="auto" w:fill="FF0000"/>
            <w:noWrap/>
            <w:vAlign w:val="center"/>
          </w:tcPr>
          <w:p w14:paraId="7E3E1190"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0</w:t>
            </w:r>
          </w:p>
        </w:tc>
        <w:tc>
          <w:tcPr>
            <w:tcW w:w="419" w:type="dxa"/>
            <w:shd w:val="clear" w:color="auto" w:fill="FF0000"/>
            <w:vAlign w:val="center"/>
          </w:tcPr>
          <w:p w14:paraId="2E34AE1C"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13</w:t>
            </w:r>
          </w:p>
        </w:tc>
        <w:tc>
          <w:tcPr>
            <w:tcW w:w="521" w:type="dxa"/>
            <w:shd w:val="clear" w:color="auto" w:fill="FF0000"/>
            <w:vAlign w:val="center"/>
          </w:tcPr>
          <w:p w14:paraId="3608381F"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19</w:t>
            </w:r>
          </w:p>
        </w:tc>
        <w:tc>
          <w:tcPr>
            <w:tcW w:w="521" w:type="dxa"/>
            <w:shd w:val="clear" w:color="auto" w:fill="FF0000"/>
            <w:vAlign w:val="center"/>
          </w:tcPr>
          <w:p w14:paraId="745DCFD4" w14:textId="77777777" w:rsidR="0090798E" w:rsidRPr="005556A8" w:rsidRDefault="0090798E" w:rsidP="00C36ADD">
            <w:pPr>
              <w:spacing w:before="0" w:after="0"/>
              <w:jc w:val="center"/>
              <w:rPr>
                <w:color w:val="000000"/>
                <w:sz w:val="20"/>
                <w:szCs w:val="20"/>
                <w:lang w:eastAsia="en-AU"/>
              </w:rPr>
            </w:pPr>
            <w:r>
              <w:rPr>
                <w:color w:val="000000"/>
                <w:sz w:val="20"/>
                <w:szCs w:val="20"/>
              </w:rPr>
              <w:t>6</w:t>
            </w:r>
          </w:p>
        </w:tc>
        <w:tc>
          <w:tcPr>
            <w:tcW w:w="521" w:type="dxa"/>
            <w:shd w:val="clear" w:color="auto" w:fill="FFCC00"/>
            <w:vAlign w:val="center"/>
          </w:tcPr>
          <w:p w14:paraId="4DFAFEA9" w14:textId="77777777" w:rsidR="0090798E" w:rsidRPr="00646940" w:rsidRDefault="0090798E" w:rsidP="00C36ADD">
            <w:pPr>
              <w:spacing w:before="0" w:after="0"/>
              <w:jc w:val="center"/>
              <w:rPr>
                <w:sz w:val="20"/>
                <w:szCs w:val="20"/>
              </w:rPr>
            </w:pPr>
            <w:r w:rsidRPr="00646940">
              <w:rPr>
                <w:sz w:val="20"/>
                <w:szCs w:val="20"/>
              </w:rPr>
              <w:t>38</w:t>
            </w:r>
          </w:p>
        </w:tc>
        <w:tc>
          <w:tcPr>
            <w:tcW w:w="551" w:type="dxa"/>
            <w:shd w:val="clear" w:color="auto" w:fill="FF0000"/>
            <w:vAlign w:val="center"/>
          </w:tcPr>
          <w:p w14:paraId="310882F8" w14:textId="77777777" w:rsidR="0090798E" w:rsidRPr="00353DC2" w:rsidRDefault="0090798E" w:rsidP="00C36ADD">
            <w:pPr>
              <w:spacing w:before="0" w:after="0"/>
              <w:jc w:val="center"/>
              <w:rPr>
                <w:sz w:val="20"/>
                <w:szCs w:val="20"/>
              </w:rPr>
            </w:pPr>
            <w:r w:rsidRPr="00353DC2">
              <w:rPr>
                <w:sz w:val="20"/>
                <w:szCs w:val="20"/>
              </w:rPr>
              <w:t>13</w:t>
            </w:r>
          </w:p>
        </w:tc>
      </w:tr>
      <w:tr w:rsidR="0090798E" w:rsidRPr="00EC364C" w14:paraId="213E1595" w14:textId="77777777" w:rsidTr="0090798E">
        <w:trPr>
          <w:trHeight w:val="312"/>
          <w:jc w:val="center"/>
        </w:trPr>
        <w:tc>
          <w:tcPr>
            <w:tcW w:w="1302" w:type="dxa"/>
            <w:tcBorders>
              <w:top w:val="single" w:sz="4" w:space="0" w:color="FFFFFF"/>
              <w:bottom w:val="single" w:sz="4" w:space="0" w:color="FFFFFF"/>
            </w:tcBorders>
            <w:shd w:val="clear" w:color="auto" w:fill="auto"/>
            <w:noWrap/>
            <w:vAlign w:val="center"/>
          </w:tcPr>
          <w:p w14:paraId="2E113006" w14:textId="77777777" w:rsidR="0090798E" w:rsidRPr="00EC364C" w:rsidRDefault="0090798E" w:rsidP="00C36ADD">
            <w:pPr>
              <w:spacing w:before="0" w:after="0"/>
              <w:rPr>
                <w:color w:val="000000"/>
                <w:sz w:val="20"/>
                <w:szCs w:val="20"/>
                <w:lang w:eastAsia="en-AU"/>
              </w:rPr>
            </w:pPr>
            <w:r>
              <w:rPr>
                <w:color w:val="000000"/>
                <w:sz w:val="20"/>
                <w:szCs w:val="20"/>
                <w:lang w:eastAsia="en-AU"/>
              </w:rPr>
              <w:t>effort</w:t>
            </w:r>
          </w:p>
        </w:tc>
        <w:tc>
          <w:tcPr>
            <w:tcW w:w="1668" w:type="dxa"/>
            <w:tcBorders>
              <w:top w:val="single" w:sz="4" w:space="0" w:color="FFFFFF"/>
              <w:bottom w:val="single" w:sz="4" w:space="0" w:color="FFFFFF"/>
            </w:tcBorders>
            <w:shd w:val="clear" w:color="auto" w:fill="auto"/>
            <w:noWrap/>
            <w:vAlign w:val="center"/>
          </w:tcPr>
          <w:p w14:paraId="646C265A"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reef intertidal</w:t>
            </w:r>
          </w:p>
        </w:tc>
        <w:tc>
          <w:tcPr>
            <w:tcW w:w="516" w:type="dxa"/>
            <w:tcBorders>
              <w:top w:val="single" w:sz="4" w:space="0" w:color="FFFFFF"/>
            </w:tcBorders>
            <w:shd w:val="clear" w:color="auto" w:fill="FFFF00"/>
            <w:noWrap/>
            <w:vAlign w:val="center"/>
          </w:tcPr>
          <w:p w14:paraId="2408322C"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50</w:t>
            </w:r>
          </w:p>
        </w:tc>
        <w:tc>
          <w:tcPr>
            <w:tcW w:w="516" w:type="dxa"/>
            <w:tcBorders>
              <w:top w:val="single" w:sz="4" w:space="0" w:color="FFFFFF"/>
            </w:tcBorders>
            <w:shd w:val="clear" w:color="auto" w:fill="FFFF00"/>
            <w:noWrap/>
            <w:vAlign w:val="center"/>
          </w:tcPr>
          <w:p w14:paraId="697995E7"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50</w:t>
            </w:r>
          </w:p>
        </w:tc>
        <w:tc>
          <w:tcPr>
            <w:tcW w:w="616" w:type="dxa"/>
            <w:tcBorders>
              <w:top w:val="single" w:sz="4" w:space="0" w:color="FFFFFF"/>
            </w:tcBorders>
            <w:shd w:val="clear" w:color="auto" w:fill="FF0000"/>
            <w:noWrap/>
            <w:vAlign w:val="center"/>
          </w:tcPr>
          <w:p w14:paraId="7878A98A"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0</w:t>
            </w:r>
          </w:p>
        </w:tc>
        <w:tc>
          <w:tcPr>
            <w:tcW w:w="516" w:type="dxa"/>
            <w:tcBorders>
              <w:top w:val="single" w:sz="4" w:space="0" w:color="FFFFFF"/>
            </w:tcBorders>
            <w:shd w:val="clear" w:color="auto" w:fill="FFCC00"/>
            <w:noWrap/>
            <w:vAlign w:val="center"/>
          </w:tcPr>
          <w:p w14:paraId="480CFF2E"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25</w:t>
            </w:r>
          </w:p>
        </w:tc>
        <w:tc>
          <w:tcPr>
            <w:tcW w:w="516" w:type="dxa"/>
            <w:tcBorders>
              <w:top w:val="single" w:sz="4" w:space="0" w:color="FFFFFF"/>
            </w:tcBorders>
            <w:shd w:val="clear" w:color="auto" w:fill="FFCC00"/>
            <w:noWrap/>
            <w:vAlign w:val="center"/>
          </w:tcPr>
          <w:p w14:paraId="35A65EDA"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25</w:t>
            </w:r>
          </w:p>
        </w:tc>
        <w:tc>
          <w:tcPr>
            <w:tcW w:w="516" w:type="dxa"/>
            <w:tcBorders>
              <w:top w:val="single" w:sz="4" w:space="0" w:color="FFFFFF"/>
            </w:tcBorders>
            <w:shd w:val="clear" w:color="auto" w:fill="FFCC00"/>
            <w:noWrap/>
            <w:vAlign w:val="center"/>
          </w:tcPr>
          <w:p w14:paraId="4A91B48D"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25</w:t>
            </w:r>
          </w:p>
        </w:tc>
        <w:tc>
          <w:tcPr>
            <w:tcW w:w="516" w:type="dxa"/>
            <w:tcBorders>
              <w:top w:val="single" w:sz="4" w:space="0" w:color="FFFFFF"/>
            </w:tcBorders>
            <w:shd w:val="clear" w:color="auto" w:fill="FFCC00"/>
            <w:noWrap/>
            <w:vAlign w:val="center"/>
          </w:tcPr>
          <w:p w14:paraId="52C85984"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38</w:t>
            </w:r>
          </w:p>
        </w:tc>
        <w:tc>
          <w:tcPr>
            <w:tcW w:w="419" w:type="dxa"/>
            <w:tcBorders>
              <w:top w:val="single" w:sz="4" w:space="0" w:color="FFFFFF"/>
            </w:tcBorders>
            <w:shd w:val="clear" w:color="auto" w:fill="92D050"/>
            <w:vAlign w:val="center"/>
          </w:tcPr>
          <w:p w14:paraId="6B1F040D"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75</w:t>
            </w:r>
          </w:p>
        </w:tc>
        <w:tc>
          <w:tcPr>
            <w:tcW w:w="521" w:type="dxa"/>
            <w:tcBorders>
              <w:top w:val="single" w:sz="4" w:space="0" w:color="FFFFFF"/>
            </w:tcBorders>
            <w:shd w:val="clear" w:color="auto" w:fill="92D050"/>
            <w:vAlign w:val="center"/>
          </w:tcPr>
          <w:p w14:paraId="1FEB6488"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63</w:t>
            </w:r>
          </w:p>
        </w:tc>
        <w:tc>
          <w:tcPr>
            <w:tcW w:w="521" w:type="dxa"/>
            <w:tcBorders>
              <w:top w:val="single" w:sz="4" w:space="0" w:color="FFFFFF"/>
            </w:tcBorders>
            <w:shd w:val="clear" w:color="auto" w:fill="FF0000"/>
            <w:vAlign w:val="center"/>
          </w:tcPr>
          <w:p w14:paraId="247C67FC" w14:textId="77777777" w:rsidR="0090798E" w:rsidRPr="005556A8" w:rsidRDefault="0090798E" w:rsidP="00C36ADD">
            <w:pPr>
              <w:spacing w:before="0" w:after="0"/>
              <w:jc w:val="center"/>
              <w:rPr>
                <w:color w:val="000000"/>
                <w:sz w:val="20"/>
                <w:szCs w:val="20"/>
                <w:lang w:eastAsia="en-AU"/>
              </w:rPr>
            </w:pPr>
            <w:r>
              <w:rPr>
                <w:color w:val="000000"/>
                <w:sz w:val="20"/>
                <w:szCs w:val="20"/>
              </w:rPr>
              <w:t>13</w:t>
            </w:r>
          </w:p>
        </w:tc>
        <w:tc>
          <w:tcPr>
            <w:tcW w:w="521" w:type="dxa"/>
            <w:tcBorders>
              <w:top w:val="single" w:sz="4" w:space="0" w:color="FFFFFF"/>
            </w:tcBorders>
            <w:shd w:val="clear" w:color="auto" w:fill="FF0000"/>
            <w:vAlign w:val="center"/>
          </w:tcPr>
          <w:p w14:paraId="53ADF953" w14:textId="77777777" w:rsidR="0090798E" w:rsidRPr="00646940" w:rsidRDefault="0090798E" w:rsidP="00C36ADD">
            <w:pPr>
              <w:spacing w:before="0" w:after="0"/>
              <w:jc w:val="center"/>
              <w:rPr>
                <w:sz w:val="20"/>
                <w:szCs w:val="20"/>
              </w:rPr>
            </w:pPr>
            <w:r w:rsidRPr="00646940">
              <w:rPr>
                <w:sz w:val="20"/>
                <w:szCs w:val="20"/>
              </w:rPr>
              <w:t>0</w:t>
            </w:r>
          </w:p>
        </w:tc>
        <w:tc>
          <w:tcPr>
            <w:tcW w:w="551" w:type="dxa"/>
            <w:tcBorders>
              <w:top w:val="single" w:sz="4" w:space="0" w:color="FFFFFF"/>
            </w:tcBorders>
            <w:shd w:val="clear" w:color="auto" w:fill="FF0000"/>
            <w:vAlign w:val="center"/>
          </w:tcPr>
          <w:p w14:paraId="5442C9A1" w14:textId="77777777" w:rsidR="0090798E" w:rsidRPr="00353DC2" w:rsidRDefault="0090798E" w:rsidP="00C36ADD">
            <w:pPr>
              <w:spacing w:before="0" w:after="0"/>
              <w:jc w:val="center"/>
              <w:rPr>
                <w:sz w:val="20"/>
                <w:szCs w:val="20"/>
              </w:rPr>
            </w:pPr>
            <w:r w:rsidRPr="00353DC2">
              <w:rPr>
                <w:sz w:val="20"/>
                <w:szCs w:val="20"/>
              </w:rPr>
              <w:t>0</w:t>
            </w:r>
          </w:p>
        </w:tc>
      </w:tr>
      <w:tr w:rsidR="0090798E" w:rsidRPr="00EC364C" w14:paraId="2538A07E" w14:textId="77777777" w:rsidTr="0090798E">
        <w:trPr>
          <w:trHeight w:val="312"/>
          <w:jc w:val="center"/>
        </w:trPr>
        <w:tc>
          <w:tcPr>
            <w:tcW w:w="1302" w:type="dxa"/>
            <w:tcBorders>
              <w:top w:val="single" w:sz="4" w:space="0" w:color="FFFFFF"/>
              <w:bottom w:val="single" w:sz="4" w:space="0" w:color="000000"/>
            </w:tcBorders>
            <w:shd w:val="clear" w:color="auto" w:fill="auto"/>
            <w:noWrap/>
            <w:vAlign w:val="center"/>
          </w:tcPr>
          <w:p w14:paraId="65CEC4C7" w14:textId="77777777" w:rsidR="0090798E" w:rsidRPr="00EC364C" w:rsidRDefault="0090798E" w:rsidP="00C36ADD">
            <w:pPr>
              <w:spacing w:before="0" w:after="0"/>
              <w:rPr>
                <w:color w:val="000000"/>
                <w:sz w:val="20"/>
                <w:szCs w:val="20"/>
                <w:lang w:eastAsia="en-AU"/>
              </w:rPr>
            </w:pPr>
          </w:p>
        </w:tc>
        <w:tc>
          <w:tcPr>
            <w:tcW w:w="1668" w:type="dxa"/>
            <w:tcBorders>
              <w:top w:val="single" w:sz="4" w:space="0" w:color="FFFFFF"/>
              <w:bottom w:val="single" w:sz="4" w:space="0" w:color="000000"/>
            </w:tcBorders>
            <w:shd w:val="clear" w:color="auto" w:fill="auto"/>
            <w:noWrap/>
            <w:vAlign w:val="center"/>
          </w:tcPr>
          <w:p w14:paraId="485FE35B"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reef subtidal</w:t>
            </w:r>
          </w:p>
        </w:tc>
        <w:tc>
          <w:tcPr>
            <w:tcW w:w="516" w:type="dxa"/>
            <w:tcBorders>
              <w:bottom w:val="single" w:sz="4" w:space="0" w:color="FFFFFF"/>
            </w:tcBorders>
            <w:shd w:val="clear" w:color="auto" w:fill="auto"/>
            <w:noWrap/>
            <w:vAlign w:val="center"/>
          </w:tcPr>
          <w:p w14:paraId="21A1E477" w14:textId="77777777" w:rsidR="0090798E" w:rsidRPr="005556A8"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5AC66ADE" w14:textId="77777777" w:rsidR="0090798E" w:rsidRPr="005556A8" w:rsidRDefault="0090798E" w:rsidP="00C36ADD">
            <w:pPr>
              <w:spacing w:before="0" w:after="0"/>
              <w:jc w:val="center"/>
              <w:rPr>
                <w:color w:val="000000"/>
                <w:sz w:val="20"/>
                <w:szCs w:val="20"/>
                <w:lang w:eastAsia="en-AU"/>
              </w:rPr>
            </w:pPr>
          </w:p>
        </w:tc>
        <w:tc>
          <w:tcPr>
            <w:tcW w:w="616" w:type="dxa"/>
            <w:tcBorders>
              <w:bottom w:val="single" w:sz="4" w:space="0" w:color="FFFFFF"/>
            </w:tcBorders>
            <w:shd w:val="clear" w:color="auto" w:fill="auto"/>
            <w:noWrap/>
            <w:vAlign w:val="center"/>
          </w:tcPr>
          <w:p w14:paraId="08FEA4FD" w14:textId="77777777" w:rsidR="0090798E" w:rsidRPr="005556A8"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2C0C2553" w14:textId="77777777" w:rsidR="0090798E" w:rsidRPr="005556A8"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6900A975" w14:textId="77777777" w:rsidR="0090798E" w:rsidRPr="005556A8"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5971D235" w14:textId="77777777" w:rsidR="0090798E" w:rsidRPr="005556A8"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7E9A19E3" w14:textId="77777777" w:rsidR="0090798E" w:rsidRPr="005556A8" w:rsidRDefault="0090798E" w:rsidP="00C36ADD">
            <w:pPr>
              <w:spacing w:before="0" w:after="0"/>
              <w:jc w:val="center"/>
              <w:rPr>
                <w:color w:val="000000"/>
                <w:sz w:val="20"/>
                <w:szCs w:val="20"/>
                <w:lang w:eastAsia="en-AU"/>
              </w:rPr>
            </w:pPr>
          </w:p>
        </w:tc>
        <w:tc>
          <w:tcPr>
            <w:tcW w:w="419" w:type="dxa"/>
            <w:tcBorders>
              <w:bottom w:val="single" w:sz="4" w:space="0" w:color="FFFFFF"/>
            </w:tcBorders>
            <w:shd w:val="clear" w:color="auto" w:fill="auto"/>
            <w:vAlign w:val="center"/>
          </w:tcPr>
          <w:p w14:paraId="78E0031C" w14:textId="77777777" w:rsidR="0090798E" w:rsidRPr="005556A8" w:rsidRDefault="0090798E" w:rsidP="00C36ADD">
            <w:pPr>
              <w:spacing w:before="0" w:after="0"/>
              <w:jc w:val="center"/>
              <w:rPr>
                <w:color w:val="000000"/>
                <w:sz w:val="20"/>
                <w:szCs w:val="20"/>
                <w:lang w:eastAsia="en-AU"/>
              </w:rPr>
            </w:pPr>
          </w:p>
        </w:tc>
        <w:tc>
          <w:tcPr>
            <w:tcW w:w="521" w:type="dxa"/>
            <w:tcBorders>
              <w:bottom w:val="single" w:sz="4" w:space="0" w:color="FFFFFF"/>
            </w:tcBorders>
            <w:shd w:val="clear" w:color="auto" w:fill="008000"/>
            <w:vAlign w:val="center"/>
          </w:tcPr>
          <w:p w14:paraId="44E44DDF" w14:textId="77777777" w:rsidR="0090798E" w:rsidRPr="005556A8" w:rsidRDefault="0090798E" w:rsidP="00C36ADD">
            <w:pPr>
              <w:spacing w:before="0" w:after="0"/>
              <w:jc w:val="center"/>
              <w:rPr>
                <w:color w:val="000000"/>
                <w:sz w:val="20"/>
                <w:szCs w:val="20"/>
                <w:lang w:eastAsia="en-AU"/>
              </w:rPr>
            </w:pPr>
            <w:r w:rsidRPr="005556A8">
              <w:rPr>
                <w:color w:val="000000"/>
                <w:sz w:val="20"/>
                <w:szCs w:val="20"/>
                <w:lang w:eastAsia="en-AU"/>
              </w:rPr>
              <w:t>100</w:t>
            </w:r>
          </w:p>
        </w:tc>
        <w:tc>
          <w:tcPr>
            <w:tcW w:w="521" w:type="dxa"/>
            <w:tcBorders>
              <w:bottom w:val="single" w:sz="4" w:space="0" w:color="FFFFFF"/>
            </w:tcBorders>
            <w:shd w:val="clear" w:color="auto" w:fill="008000"/>
            <w:vAlign w:val="center"/>
          </w:tcPr>
          <w:p w14:paraId="058C31DE" w14:textId="77777777" w:rsidR="0090798E" w:rsidRPr="005556A8" w:rsidRDefault="0090798E" w:rsidP="00C36ADD">
            <w:pPr>
              <w:spacing w:before="0" w:after="0"/>
              <w:jc w:val="center"/>
              <w:rPr>
                <w:color w:val="000000"/>
                <w:sz w:val="20"/>
                <w:szCs w:val="20"/>
                <w:lang w:eastAsia="en-AU"/>
              </w:rPr>
            </w:pPr>
            <w:r>
              <w:rPr>
                <w:color w:val="000000"/>
                <w:sz w:val="20"/>
                <w:szCs w:val="20"/>
              </w:rPr>
              <w:t>100</w:t>
            </w:r>
          </w:p>
        </w:tc>
        <w:tc>
          <w:tcPr>
            <w:tcW w:w="521" w:type="dxa"/>
            <w:tcBorders>
              <w:bottom w:val="single" w:sz="4" w:space="0" w:color="FFFFFF"/>
            </w:tcBorders>
            <w:shd w:val="clear" w:color="auto" w:fill="008000"/>
            <w:vAlign w:val="center"/>
          </w:tcPr>
          <w:p w14:paraId="6E61BA8F" w14:textId="77777777" w:rsidR="0090798E" w:rsidRPr="00646940" w:rsidRDefault="0090798E" w:rsidP="00C36ADD">
            <w:pPr>
              <w:spacing w:before="0" w:after="0"/>
              <w:jc w:val="center"/>
              <w:rPr>
                <w:sz w:val="20"/>
                <w:szCs w:val="20"/>
              </w:rPr>
            </w:pPr>
            <w:r w:rsidRPr="00646940">
              <w:rPr>
                <w:sz w:val="20"/>
                <w:szCs w:val="20"/>
              </w:rPr>
              <w:t>100</w:t>
            </w:r>
          </w:p>
        </w:tc>
        <w:tc>
          <w:tcPr>
            <w:tcW w:w="551" w:type="dxa"/>
            <w:tcBorders>
              <w:bottom w:val="single" w:sz="4" w:space="0" w:color="FFFFFF"/>
            </w:tcBorders>
            <w:shd w:val="clear" w:color="auto" w:fill="008000"/>
            <w:vAlign w:val="center"/>
          </w:tcPr>
          <w:p w14:paraId="363EE088" w14:textId="77777777" w:rsidR="0090798E" w:rsidRPr="00353DC2" w:rsidRDefault="0090798E" w:rsidP="00C36ADD">
            <w:pPr>
              <w:spacing w:before="0" w:after="0"/>
              <w:jc w:val="center"/>
              <w:rPr>
                <w:sz w:val="20"/>
                <w:szCs w:val="20"/>
              </w:rPr>
            </w:pPr>
            <w:r w:rsidRPr="00353DC2">
              <w:rPr>
                <w:sz w:val="20"/>
                <w:szCs w:val="20"/>
              </w:rPr>
              <w:t>100</w:t>
            </w:r>
          </w:p>
        </w:tc>
      </w:tr>
      <w:tr w:rsidR="0090798E" w:rsidRPr="00EC364C" w14:paraId="36150298" w14:textId="77777777" w:rsidTr="0090798E">
        <w:trPr>
          <w:trHeight w:val="312"/>
          <w:jc w:val="center"/>
        </w:trPr>
        <w:tc>
          <w:tcPr>
            <w:tcW w:w="1302"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0871C882" w14:textId="77777777" w:rsidR="0090798E" w:rsidRPr="00EC364C" w:rsidRDefault="0090798E" w:rsidP="00C36ADD">
            <w:pPr>
              <w:spacing w:before="0" w:after="0"/>
              <w:rPr>
                <w:color w:val="000000"/>
                <w:sz w:val="20"/>
                <w:szCs w:val="20"/>
                <w:lang w:eastAsia="en-AU"/>
              </w:rPr>
            </w:pPr>
            <w:r>
              <w:rPr>
                <w:color w:val="000000"/>
                <w:sz w:val="20"/>
                <w:szCs w:val="20"/>
                <w:lang w:eastAsia="en-AU"/>
              </w:rPr>
              <w:t>Leaf tissue</w:t>
            </w:r>
          </w:p>
        </w:tc>
        <w:tc>
          <w:tcPr>
            <w:tcW w:w="1668"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1025E8B0"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coastal intertidal</w:t>
            </w:r>
          </w:p>
        </w:tc>
        <w:tc>
          <w:tcPr>
            <w:tcW w:w="516" w:type="dxa"/>
            <w:tcBorders>
              <w:left w:val="single" w:sz="4" w:space="0" w:color="FFFFFF"/>
            </w:tcBorders>
            <w:shd w:val="clear" w:color="auto" w:fill="auto"/>
            <w:noWrap/>
            <w:vAlign w:val="center"/>
          </w:tcPr>
          <w:p w14:paraId="195C6A07" w14:textId="77777777" w:rsidR="0090798E" w:rsidRPr="002D209A" w:rsidRDefault="0090798E" w:rsidP="00C36ADD">
            <w:pPr>
              <w:spacing w:before="0" w:after="0"/>
              <w:jc w:val="center"/>
              <w:rPr>
                <w:color w:val="000000"/>
                <w:sz w:val="20"/>
                <w:szCs w:val="20"/>
                <w:lang w:eastAsia="en-AU"/>
              </w:rPr>
            </w:pPr>
          </w:p>
        </w:tc>
        <w:tc>
          <w:tcPr>
            <w:tcW w:w="516" w:type="dxa"/>
            <w:shd w:val="clear" w:color="auto" w:fill="FFCC00"/>
            <w:noWrap/>
            <w:vAlign w:val="center"/>
          </w:tcPr>
          <w:p w14:paraId="095C49F7"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30</w:t>
            </w:r>
          </w:p>
        </w:tc>
        <w:tc>
          <w:tcPr>
            <w:tcW w:w="616" w:type="dxa"/>
            <w:shd w:val="clear" w:color="auto" w:fill="FFCC00"/>
            <w:noWrap/>
            <w:vAlign w:val="center"/>
          </w:tcPr>
          <w:p w14:paraId="348E3DC8"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27</w:t>
            </w:r>
          </w:p>
        </w:tc>
        <w:tc>
          <w:tcPr>
            <w:tcW w:w="516" w:type="dxa"/>
            <w:shd w:val="clear" w:color="auto" w:fill="FFCC00"/>
            <w:noWrap/>
            <w:vAlign w:val="center"/>
          </w:tcPr>
          <w:p w14:paraId="4FE4EC36"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27</w:t>
            </w:r>
          </w:p>
        </w:tc>
        <w:tc>
          <w:tcPr>
            <w:tcW w:w="516" w:type="dxa"/>
            <w:shd w:val="clear" w:color="auto" w:fill="FF0000"/>
            <w:noWrap/>
            <w:vAlign w:val="center"/>
          </w:tcPr>
          <w:p w14:paraId="1C46A332"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19</w:t>
            </w:r>
          </w:p>
        </w:tc>
        <w:tc>
          <w:tcPr>
            <w:tcW w:w="516" w:type="dxa"/>
            <w:shd w:val="clear" w:color="auto" w:fill="FF0000"/>
            <w:noWrap/>
            <w:vAlign w:val="center"/>
          </w:tcPr>
          <w:p w14:paraId="5CEF64E4"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6</w:t>
            </w:r>
          </w:p>
        </w:tc>
        <w:tc>
          <w:tcPr>
            <w:tcW w:w="516" w:type="dxa"/>
            <w:shd w:val="clear" w:color="auto" w:fill="FF0000"/>
            <w:noWrap/>
            <w:vAlign w:val="center"/>
          </w:tcPr>
          <w:p w14:paraId="66FE73B7"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14</w:t>
            </w:r>
          </w:p>
        </w:tc>
        <w:tc>
          <w:tcPr>
            <w:tcW w:w="419" w:type="dxa"/>
            <w:shd w:val="clear" w:color="auto" w:fill="FFCC00"/>
            <w:vAlign w:val="center"/>
          </w:tcPr>
          <w:p w14:paraId="4AAA1B1B"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26</w:t>
            </w:r>
          </w:p>
        </w:tc>
        <w:tc>
          <w:tcPr>
            <w:tcW w:w="521" w:type="dxa"/>
            <w:shd w:val="clear" w:color="auto" w:fill="FFCC00"/>
            <w:vAlign w:val="center"/>
          </w:tcPr>
          <w:p w14:paraId="7ADEBCA9"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39</w:t>
            </w:r>
          </w:p>
        </w:tc>
        <w:tc>
          <w:tcPr>
            <w:tcW w:w="521" w:type="dxa"/>
            <w:shd w:val="clear" w:color="auto" w:fill="FFCC00"/>
            <w:vAlign w:val="center"/>
          </w:tcPr>
          <w:p w14:paraId="4DF8A823" w14:textId="77777777" w:rsidR="0090798E" w:rsidRPr="002D209A" w:rsidRDefault="0090798E" w:rsidP="00C36ADD">
            <w:pPr>
              <w:spacing w:before="0" w:after="0"/>
              <w:jc w:val="center"/>
              <w:rPr>
                <w:color w:val="000000"/>
                <w:sz w:val="20"/>
                <w:szCs w:val="20"/>
                <w:lang w:eastAsia="en-AU"/>
              </w:rPr>
            </w:pPr>
            <w:r>
              <w:rPr>
                <w:color w:val="000000"/>
                <w:sz w:val="20"/>
                <w:szCs w:val="20"/>
              </w:rPr>
              <w:t>28</w:t>
            </w:r>
          </w:p>
        </w:tc>
        <w:tc>
          <w:tcPr>
            <w:tcW w:w="521" w:type="dxa"/>
            <w:shd w:val="clear" w:color="auto" w:fill="FFCC00"/>
            <w:vAlign w:val="center"/>
          </w:tcPr>
          <w:p w14:paraId="57573396" w14:textId="77777777" w:rsidR="0090798E" w:rsidRPr="00646940" w:rsidRDefault="0090798E" w:rsidP="00C36ADD">
            <w:pPr>
              <w:spacing w:before="0" w:after="0"/>
              <w:jc w:val="center"/>
              <w:rPr>
                <w:sz w:val="20"/>
                <w:szCs w:val="20"/>
              </w:rPr>
            </w:pPr>
            <w:r w:rsidRPr="00646940">
              <w:rPr>
                <w:sz w:val="20"/>
                <w:szCs w:val="20"/>
              </w:rPr>
              <w:t>32</w:t>
            </w:r>
          </w:p>
        </w:tc>
        <w:tc>
          <w:tcPr>
            <w:tcW w:w="551" w:type="dxa"/>
            <w:shd w:val="clear" w:color="auto" w:fill="FFFF00"/>
            <w:vAlign w:val="center"/>
          </w:tcPr>
          <w:p w14:paraId="4762D869" w14:textId="77777777" w:rsidR="0090798E" w:rsidRPr="00353DC2" w:rsidRDefault="0090798E" w:rsidP="00C36ADD">
            <w:pPr>
              <w:spacing w:before="0" w:after="0"/>
              <w:jc w:val="center"/>
              <w:rPr>
                <w:sz w:val="20"/>
                <w:szCs w:val="20"/>
              </w:rPr>
            </w:pPr>
            <w:r w:rsidRPr="00353DC2">
              <w:rPr>
                <w:sz w:val="20"/>
                <w:szCs w:val="20"/>
              </w:rPr>
              <w:t>46</w:t>
            </w:r>
          </w:p>
        </w:tc>
      </w:tr>
      <w:tr w:rsidR="0090798E" w:rsidRPr="00EC364C" w14:paraId="6EF12E22" w14:textId="77777777" w:rsidTr="0090798E">
        <w:trPr>
          <w:trHeight w:val="312"/>
          <w:jc w:val="center"/>
        </w:trPr>
        <w:tc>
          <w:tcPr>
            <w:tcW w:w="1302" w:type="dxa"/>
            <w:tcBorders>
              <w:top w:val="single" w:sz="4" w:space="0" w:color="FFFFFF"/>
              <w:bottom w:val="single" w:sz="4" w:space="0" w:color="FFFFFF"/>
            </w:tcBorders>
            <w:shd w:val="clear" w:color="auto" w:fill="auto"/>
            <w:noWrap/>
            <w:vAlign w:val="center"/>
          </w:tcPr>
          <w:p w14:paraId="5F1161E0" w14:textId="77777777" w:rsidR="0090798E" w:rsidRPr="00EC364C" w:rsidRDefault="0090798E" w:rsidP="00C36ADD">
            <w:pPr>
              <w:spacing w:before="0" w:after="0"/>
              <w:rPr>
                <w:color w:val="000000"/>
                <w:sz w:val="20"/>
                <w:szCs w:val="20"/>
                <w:lang w:eastAsia="en-AU"/>
              </w:rPr>
            </w:pPr>
            <w:r>
              <w:rPr>
                <w:color w:val="000000"/>
                <w:sz w:val="20"/>
                <w:szCs w:val="20"/>
                <w:lang w:eastAsia="en-AU"/>
              </w:rPr>
              <w:t>nutrients</w:t>
            </w:r>
          </w:p>
        </w:tc>
        <w:tc>
          <w:tcPr>
            <w:tcW w:w="1668" w:type="dxa"/>
            <w:tcBorders>
              <w:top w:val="single" w:sz="4" w:space="0" w:color="FFFFFF"/>
              <w:bottom w:val="single" w:sz="4" w:space="0" w:color="FFFFFF"/>
            </w:tcBorders>
            <w:shd w:val="clear" w:color="auto" w:fill="auto"/>
            <w:noWrap/>
            <w:vAlign w:val="center"/>
          </w:tcPr>
          <w:p w14:paraId="38E4B45A"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reef intertidal</w:t>
            </w:r>
          </w:p>
        </w:tc>
        <w:tc>
          <w:tcPr>
            <w:tcW w:w="516" w:type="dxa"/>
            <w:tcBorders>
              <w:top w:val="single" w:sz="4" w:space="0" w:color="FFFFFF"/>
            </w:tcBorders>
            <w:shd w:val="clear" w:color="auto" w:fill="auto"/>
            <w:noWrap/>
            <w:vAlign w:val="center"/>
          </w:tcPr>
          <w:p w14:paraId="38E7C2B4" w14:textId="77777777" w:rsidR="0090798E" w:rsidRPr="002D209A" w:rsidRDefault="0090798E" w:rsidP="00C36ADD">
            <w:pPr>
              <w:spacing w:before="0" w:after="0"/>
              <w:jc w:val="center"/>
              <w:rPr>
                <w:color w:val="000000"/>
                <w:sz w:val="20"/>
                <w:szCs w:val="20"/>
                <w:lang w:eastAsia="en-AU"/>
              </w:rPr>
            </w:pPr>
          </w:p>
        </w:tc>
        <w:tc>
          <w:tcPr>
            <w:tcW w:w="516" w:type="dxa"/>
            <w:tcBorders>
              <w:top w:val="single" w:sz="4" w:space="0" w:color="FFFFFF"/>
            </w:tcBorders>
            <w:shd w:val="clear" w:color="auto" w:fill="92D050"/>
            <w:noWrap/>
            <w:vAlign w:val="center"/>
          </w:tcPr>
          <w:p w14:paraId="2E253D59"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62</w:t>
            </w:r>
          </w:p>
        </w:tc>
        <w:tc>
          <w:tcPr>
            <w:tcW w:w="616" w:type="dxa"/>
            <w:tcBorders>
              <w:top w:val="single" w:sz="4" w:space="0" w:color="FFFFFF"/>
            </w:tcBorders>
            <w:shd w:val="clear" w:color="auto" w:fill="FFFF00"/>
            <w:noWrap/>
            <w:vAlign w:val="center"/>
          </w:tcPr>
          <w:p w14:paraId="65AF3D85"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54</w:t>
            </w:r>
          </w:p>
        </w:tc>
        <w:tc>
          <w:tcPr>
            <w:tcW w:w="516" w:type="dxa"/>
            <w:tcBorders>
              <w:top w:val="single" w:sz="4" w:space="0" w:color="FFFFFF"/>
            </w:tcBorders>
            <w:shd w:val="clear" w:color="auto" w:fill="FFFF00"/>
            <w:noWrap/>
            <w:vAlign w:val="center"/>
          </w:tcPr>
          <w:p w14:paraId="0ED80E61"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51</w:t>
            </w:r>
          </w:p>
        </w:tc>
        <w:tc>
          <w:tcPr>
            <w:tcW w:w="516" w:type="dxa"/>
            <w:tcBorders>
              <w:top w:val="single" w:sz="4" w:space="0" w:color="FFFFFF"/>
            </w:tcBorders>
            <w:shd w:val="clear" w:color="auto" w:fill="92D050"/>
            <w:noWrap/>
            <w:vAlign w:val="center"/>
          </w:tcPr>
          <w:p w14:paraId="11AC6AC5"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64</w:t>
            </w:r>
          </w:p>
        </w:tc>
        <w:tc>
          <w:tcPr>
            <w:tcW w:w="516" w:type="dxa"/>
            <w:tcBorders>
              <w:top w:val="single" w:sz="4" w:space="0" w:color="FFFFFF"/>
            </w:tcBorders>
            <w:shd w:val="clear" w:color="auto" w:fill="FFCC00"/>
            <w:noWrap/>
            <w:vAlign w:val="center"/>
          </w:tcPr>
          <w:p w14:paraId="1E88BEA4"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28</w:t>
            </w:r>
          </w:p>
        </w:tc>
        <w:tc>
          <w:tcPr>
            <w:tcW w:w="516" w:type="dxa"/>
            <w:tcBorders>
              <w:top w:val="single" w:sz="4" w:space="0" w:color="FFFFFF"/>
            </w:tcBorders>
            <w:shd w:val="clear" w:color="auto" w:fill="FFCC00"/>
            <w:noWrap/>
            <w:vAlign w:val="center"/>
          </w:tcPr>
          <w:p w14:paraId="7F066075"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28</w:t>
            </w:r>
          </w:p>
        </w:tc>
        <w:tc>
          <w:tcPr>
            <w:tcW w:w="419" w:type="dxa"/>
            <w:tcBorders>
              <w:top w:val="single" w:sz="4" w:space="0" w:color="FFFFFF"/>
            </w:tcBorders>
            <w:shd w:val="clear" w:color="auto" w:fill="FFFF00"/>
            <w:vAlign w:val="center"/>
          </w:tcPr>
          <w:p w14:paraId="32AF6243"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42</w:t>
            </w:r>
          </w:p>
        </w:tc>
        <w:tc>
          <w:tcPr>
            <w:tcW w:w="521" w:type="dxa"/>
            <w:tcBorders>
              <w:top w:val="single" w:sz="4" w:space="0" w:color="FFFFFF"/>
            </w:tcBorders>
            <w:shd w:val="clear" w:color="auto" w:fill="92D050"/>
            <w:vAlign w:val="center"/>
          </w:tcPr>
          <w:p w14:paraId="0D5984A0"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69</w:t>
            </w:r>
          </w:p>
        </w:tc>
        <w:tc>
          <w:tcPr>
            <w:tcW w:w="521" w:type="dxa"/>
            <w:tcBorders>
              <w:top w:val="single" w:sz="4" w:space="0" w:color="FFFFFF"/>
            </w:tcBorders>
            <w:shd w:val="clear" w:color="auto" w:fill="FFFF00"/>
            <w:vAlign w:val="center"/>
          </w:tcPr>
          <w:p w14:paraId="3E41B143" w14:textId="77777777" w:rsidR="0090798E" w:rsidRPr="002D209A" w:rsidRDefault="0090798E" w:rsidP="00C36ADD">
            <w:pPr>
              <w:spacing w:before="0" w:after="0"/>
              <w:jc w:val="center"/>
              <w:rPr>
                <w:color w:val="000000"/>
                <w:sz w:val="20"/>
                <w:szCs w:val="20"/>
                <w:lang w:eastAsia="en-AU"/>
              </w:rPr>
            </w:pPr>
            <w:r>
              <w:rPr>
                <w:color w:val="000000"/>
                <w:sz w:val="20"/>
                <w:szCs w:val="20"/>
              </w:rPr>
              <w:t>57</w:t>
            </w:r>
          </w:p>
        </w:tc>
        <w:tc>
          <w:tcPr>
            <w:tcW w:w="521" w:type="dxa"/>
            <w:tcBorders>
              <w:top w:val="single" w:sz="4" w:space="0" w:color="FFFFFF"/>
            </w:tcBorders>
            <w:shd w:val="clear" w:color="auto" w:fill="FFFF00"/>
            <w:vAlign w:val="center"/>
          </w:tcPr>
          <w:p w14:paraId="793A2796" w14:textId="77777777" w:rsidR="0090798E" w:rsidRPr="00646940" w:rsidRDefault="0090798E" w:rsidP="00C36ADD">
            <w:pPr>
              <w:spacing w:before="0" w:after="0"/>
              <w:jc w:val="center"/>
              <w:rPr>
                <w:sz w:val="20"/>
                <w:szCs w:val="20"/>
              </w:rPr>
            </w:pPr>
            <w:r w:rsidRPr="00646940">
              <w:rPr>
                <w:sz w:val="20"/>
                <w:szCs w:val="20"/>
              </w:rPr>
              <w:t>43</w:t>
            </w:r>
          </w:p>
        </w:tc>
        <w:tc>
          <w:tcPr>
            <w:tcW w:w="551" w:type="dxa"/>
            <w:tcBorders>
              <w:top w:val="single" w:sz="4" w:space="0" w:color="FFFFFF"/>
            </w:tcBorders>
            <w:shd w:val="clear" w:color="auto" w:fill="FFFF00"/>
            <w:vAlign w:val="center"/>
          </w:tcPr>
          <w:p w14:paraId="470D93F0" w14:textId="77777777" w:rsidR="0090798E" w:rsidRPr="00353DC2" w:rsidRDefault="0090798E" w:rsidP="00C36ADD">
            <w:pPr>
              <w:spacing w:before="0" w:after="0"/>
              <w:jc w:val="center"/>
              <w:rPr>
                <w:sz w:val="20"/>
                <w:szCs w:val="20"/>
              </w:rPr>
            </w:pPr>
            <w:r w:rsidRPr="00353DC2">
              <w:rPr>
                <w:sz w:val="20"/>
                <w:szCs w:val="20"/>
              </w:rPr>
              <w:t>59</w:t>
            </w:r>
          </w:p>
        </w:tc>
      </w:tr>
      <w:tr w:rsidR="0090798E" w:rsidRPr="00EC364C" w14:paraId="333D38EA" w14:textId="77777777" w:rsidTr="008F6ECE">
        <w:trPr>
          <w:trHeight w:val="312"/>
          <w:jc w:val="center"/>
        </w:trPr>
        <w:tc>
          <w:tcPr>
            <w:tcW w:w="1302" w:type="dxa"/>
            <w:tcBorders>
              <w:top w:val="single" w:sz="4" w:space="0" w:color="FFFFFF"/>
              <w:bottom w:val="single" w:sz="4" w:space="0" w:color="000000"/>
            </w:tcBorders>
            <w:shd w:val="clear" w:color="auto" w:fill="auto"/>
            <w:noWrap/>
            <w:vAlign w:val="center"/>
          </w:tcPr>
          <w:p w14:paraId="3583C749" w14:textId="77777777" w:rsidR="0090798E" w:rsidRPr="00EC364C" w:rsidRDefault="0090798E" w:rsidP="00C36ADD">
            <w:pPr>
              <w:spacing w:before="0" w:after="0"/>
              <w:rPr>
                <w:color w:val="000000"/>
                <w:sz w:val="20"/>
                <w:szCs w:val="20"/>
                <w:lang w:eastAsia="en-AU"/>
              </w:rPr>
            </w:pPr>
          </w:p>
        </w:tc>
        <w:tc>
          <w:tcPr>
            <w:tcW w:w="1668" w:type="dxa"/>
            <w:tcBorders>
              <w:top w:val="single" w:sz="4" w:space="0" w:color="FFFFFF"/>
              <w:bottom w:val="single" w:sz="4" w:space="0" w:color="000000"/>
            </w:tcBorders>
            <w:shd w:val="clear" w:color="auto" w:fill="auto"/>
            <w:noWrap/>
            <w:vAlign w:val="center"/>
          </w:tcPr>
          <w:p w14:paraId="1B811BF4" w14:textId="77777777" w:rsidR="0090798E" w:rsidRPr="00EC364C" w:rsidRDefault="0090798E" w:rsidP="00C36ADD">
            <w:pPr>
              <w:spacing w:before="0" w:after="0"/>
              <w:rPr>
                <w:color w:val="000000"/>
                <w:sz w:val="20"/>
                <w:szCs w:val="20"/>
                <w:lang w:eastAsia="en-AU"/>
              </w:rPr>
            </w:pPr>
            <w:r w:rsidRPr="00EC364C">
              <w:rPr>
                <w:color w:val="000000"/>
                <w:sz w:val="20"/>
                <w:szCs w:val="20"/>
                <w:lang w:eastAsia="en-AU"/>
              </w:rPr>
              <w:t>reef subtidal</w:t>
            </w:r>
          </w:p>
        </w:tc>
        <w:tc>
          <w:tcPr>
            <w:tcW w:w="516" w:type="dxa"/>
            <w:tcBorders>
              <w:bottom w:val="single" w:sz="4" w:space="0" w:color="FFFFFF"/>
            </w:tcBorders>
            <w:shd w:val="clear" w:color="auto" w:fill="auto"/>
            <w:noWrap/>
            <w:vAlign w:val="center"/>
          </w:tcPr>
          <w:p w14:paraId="431A30B7" w14:textId="77777777" w:rsidR="0090798E" w:rsidRPr="002D209A"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5ECBA47C" w14:textId="77777777" w:rsidR="0090798E" w:rsidRPr="002D209A" w:rsidRDefault="0090798E" w:rsidP="00C36ADD">
            <w:pPr>
              <w:spacing w:before="0" w:after="0"/>
              <w:jc w:val="center"/>
              <w:rPr>
                <w:color w:val="000000"/>
                <w:sz w:val="20"/>
                <w:szCs w:val="20"/>
                <w:lang w:eastAsia="en-AU"/>
              </w:rPr>
            </w:pPr>
          </w:p>
        </w:tc>
        <w:tc>
          <w:tcPr>
            <w:tcW w:w="616" w:type="dxa"/>
            <w:tcBorders>
              <w:bottom w:val="single" w:sz="4" w:space="0" w:color="FFFFFF"/>
            </w:tcBorders>
            <w:shd w:val="clear" w:color="auto" w:fill="auto"/>
            <w:noWrap/>
            <w:vAlign w:val="center"/>
          </w:tcPr>
          <w:p w14:paraId="4572183E" w14:textId="77777777" w:rsidR="0090798E" w:rsidRPr="002D209A"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auto"/>
            <w:noWrap/>
            <w:vAlign w:val="center"/>
          </w:tcPr>
          <w:p w14:paraId="4518CB47" w14:textId="77777777" w:rsidR="0090798E" w:rsidRPr="002D209A" w:rsidRDefault="0090798E" w:rsidP="00C36ADD">
            <w:pPr>
              <w:spacing w:before="0" w:after="0"/>
              <w:jc w:val="center"/>
              <w:rPr>
                <w:color w:val="000000"/>
                <w:sz w:val="20"/>
                <w:szCs w:val="20"/>
                <w:lang w:eastAsia="en-AU"/>
              </w:rPr>
            </w:pPr>
          </w:p>
        </w:tc>
        <w:tc>
          <w:tcPr>
            <w:tcW w:w="516" w:type="dxa"/>
            <w:tcBorders>
              <w:bottom w:val="single" w:sz="4" w:space="0" w:color="FFFFFF"/>
            </w:tcBorders>
            <w:shd w:val="clear" w:color="auto" w:fill="FFCC00"/>
            <w:noWrap/>
            <w:vAlign w:val="center"/>
          </w:tcPr>
          <w:p w14:paraId="633B4AF1"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39</w:t>
            </w:r>
          </w:p>
        </w:tc>
        <w:tc>
          <w:tcPr>
            <w:tcW w:w="516" w:type="dxa"/>
            <w:tcBorders>
              <w:bottom w:val="single" w:sz="4" w:space="0" w:color="FFFFFF"/>
            </w:tcBorders>
            <w:shd w:val="clear" w:color="auto" w:fill="FFCC00"/>
            <w:noWrap/>
            <w:vAlign w:val="center"/>
          </w:tcPr>
          <w:p w14:paraId="74B6EBD2"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30</w:t>
            </w:r>
          </w:p>
        </w:tc>
        <w:tc>
          <w:tcPr>
            <w:tcW w:w="516" w:type="dxa"/>
            <w:tcBorders>
              <w:bottom w:val="single" w:sz="4" w:space="0" w:color="FFFFFF"/>
            </w:tcBorders>
            <w:shd w:val="clear" w:color="auto" w:fill="auto"/>
            <w:noWrap/>
            <w:vAlign w:val="center"/>
          </w:tcPr>
          <w:p w14:paraId="2881C330" w14:textId="77777777" w:rsidR="0090798E" w:rsidRPr="002D209A" w:rsidRDefault="0090798E" w:rsidP="00C36ADD">
            <w:pPr>
              <w:spacing w:before="0" w:after="0"/>
              <w:jc w:val="center"/>
              <w:rPr>
                <w:color w:val="000000"/>
                <w:sz w:val="20"/>
                <w:szCs w:val="20"/>
                <w:lang w:eastAsia="en-AU"/>
              </w:rPr>
            </w:pPr>
          </w:p>
        </w:tc>
        <w:tc>
          <w:tcPr>
            <w:tcW w:w="419" w:type="dxa"/>
            <w:tcBorders>
              <w:bottom w:val="single" w:sz="4" w:space="0" w:color="FFFFFF"/>
            </w:tcBorders>
            <w:shd w:val="clear" w:color="auto" w:fill="FFCC00"/>
            <w:vAlign w:val="center"/>
          </w:tcPr>
          <w:p w14:paraId="1529D17F"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37</w:t>
            </w:r>
          </w:p>
        </w:tc>
        <w:tc>
          <w:tcPr>
            <w:tcW w:w="521" w:type="dxa"/>
            <w:tcBorders>
              <w:bottom w:val="single" w:sz="4" w:space="0" w:color="FFFFFF"/>
            </w:tcBorders>
            <w:shd w:val="clear" w:color="auto" w:fill="008000"/>
            <w:vAlign w:val="center"/>
          </w:tcPr>
          <w:p w14:paraId="0056AC70" w14:textId="77777777" w:rsidR="0090798E" w:rsidRPr="002D209A" w:rsidRDefault="0090798E" w:rsidP="00C36ADD">
            <w:pPr>
              <w:spacing w:before="0" w:after="0"/>
              <w:jc w:val="center"/>
              <w:rPr>
                <w:color w:val="000000"/>
                <w:sz w:val="20"/>
                <w:szCs w:val="20"/>
                <w:lang w:eastAsia="en-AU"/>
              </w:rPr>
            </w:pPr>
            <w:r w:rsidRPr="002D209A">
              <w:rPr>
                <w:color w:val="000000"/>
                <w:sz w:val="20"/>
                <w:szCs w:val="20"/>
                <w:lang w:eastAsia="en-AU"/>
              </w:rPr>
              <w:t>100</w:t>
            </w:r>
          </w:p>
        </w:tc>
        <w:tc>
          <w:tcPr>
            <w:tcW w:w="521" w:type="dxa"/>
            <w:tcBorders>
              <w:bottom w:val="single" w:sz="4" w:space="0" w:color="FFFFFF"/>
            </w:tcBorders>
            <w:shd w:val="clear" w:color="auto" w:fill="008000"/>
            <w:vAlign w:val="center"/>
          </w:tcPr>
          <w:p w14:paraId="1821FA1D" w14:textId="3E870ADE" w:rsidR="0090798E" w:rsidRPr="002D209A" w:rsidRDefault="008F6ECE" w:rsidP="00C36ADD">
            <w:pPr>
              <w:spacing w:before="0" w:after="0"/>
              <w:jc w:val="center"/>
              <w:rPr>
                <w:color w:val="000000"/>
                <w:sz w:val="20"/>
                <w:szCs w:val="20"/>
                <w:lang w:eastAsia="en-AU"/>
              </w:rPr>
            </w:pPr>
            <w:r>
              <w:rPr>
                <w:color w:val="000000"/>
                <w:sz w:val="20"/>
                <w:szCs w:val="20"/>
              </w:rPr>
              <w:t>94</w:t>
            </w:r>
          </w:p>
        </w:tc>
        <w:tc>
          <w:tcPr>
            <w:tcW w:w="521" w:type="dxa"/>
            <w:tcBorders>
              <w:bottom w:val="single" w:sz="4" w:space="0" w:color="FFFFFF"/>
            </w:tcBorders>
            <w:shd w:val="clear" w:color="auto" w:fill="FFFF00"/>
            <w:vAlign w:val="center"/>
          </w:tcPr>
          <w:p w14:paraId="6A84F191" w14:textId="0046088A" w:rsidR="0090798E" w:rsidRPr="00646940" w:rsidRDefault="008F6ECE" w:rsidP="00C36ADD">
            <w:pPr>
              <w:spacing w:before="0" w:after="0"/>
              <w:jc w:val="center"/>
              <w:rPr>
                <w:sz w:val="20"/>
                <w:szCs w:val="20"/>
              </w:rPr>
            </w:pPr>
            <w:r>
              <w:rPr>
                <w:sz w:val="20"/>
                <w:szCs w:val="20"/>
              </w:rPr>
              <w:t>52</w:t>
            </w:r>
          </w:p>
        </w:tc>
        <w:tc>
          <w:tcPr>
            <w:tcW w:w="551" w:type="dxa"/>
            <w:tcBorders>
              <w:bottom w:val="single" w:sz="4" w:space="0" w:color="FFFFFF"/>
            </w:tcBorders>
            <w:shd w:val="clear" w:color="auto" w:fill="FFFF00"/>
            <w:vAlign w:val="center"/>
          </w:tcPr>
          <w:p w14:paraId="09343761" w14:textId="77777777" w:rsidR="0090798E" w:rsidRPr="00353DC2" w:rsidRDefault="0090798E" w:rsidP="00C36ADD">
            <w:pPr>
              <w:spacing w:before="0" w:after="0"/>
              <w:jc w:val="center"/>
              <w:rPr>
                <w:sz w:val="20"/>
                <w:szCs w:val="20"/>
              </w:rPr>
            </w:pPr>
            <w:r w:rsidRPr="00353DC2">
              <w:rPr>
                <w:sz w:val="20"/>
                <w:szCs w:val="20"/>
              </w:rPr>
              <w:t>58</w:t>
            </w:r>
          </w:p>
        </w:tc>
      </w:tr>
      <w:tr w:rsidR="0090798E" w:rsidRPr="002D209A" w14:paraId="5DC42A98" w14:textId="77777777" w:rsidTr="0090798E">
        <w:trPr>
          <w:trHeight w:val="312"/>
          <w:jc w:val="center"/>
        </w:trPr>
        <w:tc>
          <w:tcPr>
            <w:tcW w:w="2970" w:type="dxa"/>
            <w:gridSpan w:val="2"/>
            <w:tcBorders>
              <w:top w:val="single" w:sz="4" w:space="0" w:color="000000"/>
              <w:bottom w:val="single" w:sz="4" w:space="0" w:color="000000"/>
            </w:tcBorders>
            <w:shd w:val="clear" w:color="auto" w:fill="auto"/>
            <w:noWrap/>
            <w:vAlign w:val="center"/>
          </w:tcPr>
          <w:p w14:paraId="4EBD3715" w14:textId="77777777" w:rsidR="0090798E" w:rsidRPr="002D209A" w:rsidRDefault="0090798E" w:rsidP="00C36ADD">
            <w:pPr>
              <w:spacing w:before="0" w:after="0"/>
              <w:rPr>
                <w:b/>
                <w:color w:val="000000"/>
                <w:sz w:val="20"/>
                <w:szCs w:val="20"/>
                <w:lang w:eastAsia="en-AU"/>
              </w:rPr>
            </w:pPr>
            <w:r>
              <w:rPr>
                <w:b/>
                <w:color w:val="000000"/>
                <w:sz w:val="20"/>
                <w:szCs w:val="20"/>
                <w:lang w:eastAsia="en-AU"/>
              </w:rPr>
              <w:t>Seagrass Index</w:t>
            </w:r>
          </w:p>
        </w:tc>
        <w:tc>
          <w:tcPr>
            <w:tcW w:w="516" w:type="dxa"/>
            <w:tcBorders>
              <w:top w:val="single" w:sz="4" w:space="0" w:color="000000"/>
              <w:bottom w:val="single" w:sz="4" w:space="0" w:color="000000"/>
            </w:tcBorders>
            <w:shd w:val="clear" w:color="auto" w:fill="92D050"/>
            <w:noWrap/>
            <w:vAlign w:val="center"/>
          </w:tcPr>
          <w:p w14:paraId="4BF704CF"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62</w:t>
            </w:r>
          </w:p>
        </w:tc>
        <w:tc>
          <w:tcPr>
            <w:tcW w:w="516" w:type="dxa"/>
            <w:tcBorders>
              <w:top w:val="single" w:sz="4" w:space="0" w:color="000000"/>
              <w:bottom w:val="single" w:sz="4" w:space="0" w:color="000000"/>
            </w:tcBorders>
            <w:shd w:val="clear" w:color="auto" w:fill="FFFF00"/>
            <w:noWrap/>
            <w:vAlign w:val="center"/>
          </w:tcPr>
          <w:p w14:paraId="5E804D6B"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43</w:t>
            </w:r>
          </w:p>
        </w:tc>
        <w:tc>
          <w:tcPr>
            <w:tcW w:w="616" w:type="dxa"/>
            <w:tcBorders>
              <w:top w:val="single" w:sz="4" w:space="0" w:color="000000"/>
              <w:bottom w:val="single" w:sz="4" w:space="0" w:color="000000"/>
            </w:tcBorders>
            <w:shd w:val="clear" w:color="auto" w:fill="FFCC00"/>
            <w:noWrap/>
            <w:vAlign w:val="center"/>
          </w:tcPr>
          <w:p w14:paraId="7B26E200"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38</w:t>
            </w:r>
          </w:p>
        </w:tc>
        <w:tc>
          <w:tcPr>
            <w:tcW w:w="516" w:type="dxa"/>
            <w:tcBorders>
              <w:top w:val="single" w:sz="4" w:space="0" w:color="000000"/>
              <w:bottom w:val="single" w:sz="4" w:space="0" w:color="000000"/>
            </w:tcBorders>
            <w:shd w:val="clear" w:color="auto" w:fill="FFCC00"/>
            <w:noWrap/>
            <w:vAlign w:val="center"/>
          </w:tcPr>
          <w:p w14:paraId="1DB91BEE"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34</w:t>
            </w:r>
          </w:p>
        </w:tc>
        <w:tc>
          <w:tcPr>
            <w:tcW w:w="516" w:type="dxa"/>
            <w:tcBorders>
              <w:top w:val="single" w:sz="4" w:space="0" w:color="000000"/>
              <w:bottom w:val="single" w:sz="4" w:space="0" w:color="000000"/>
            </w:tcBorders>
            <w:shd w:val="clear" w:color="auto" w:fill="FF0000"/>
            <w:noWrap/>
            <w:vAlign w:val="center"/>
          </w:tcPr>
          <w:p w14:paraId="61712BBC"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20</w:t>
            </w:r>
          </w:p>
        </w:tc>
        <w:tc>
          <w:tcPr>
            <w:tcW w:w="516" w:type="dxa"/>
            <w:tcBorders>
              <w:top w:val="single" w:sz="4" w:space="0" w:color="000000"/>
              <w:bottom w:val="single" w:sz="4" w:space="0" w:color="000000"/>
            </w:tcBorders>
            <w:shd w:val="clear" w:color="auto" w:fill="FF0000"/>
            <w:noWrap/>
            <w:vAlign w:val="center"/>
          </w:tcPr>
          <w:p w14:paraId="4DA7C6EE"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13</w:t>
            </w:r>
          </w:p>
        </w:tc>
        <w:tc>
          <w:tcPr>
            <w:tcW w:w="516" w:type="dxa"/>
            <w:tcBorders>
              <w:top w:val="single" w:sz="4" w:space="0" w:color="000000"/>
              <w:bottom w:val="single" w:sz="4" w:space="0" w:color="000000"/>
            </w:tcBorders>
            <w:shd w:val="clear" w:color="auto" w:fill="FF0000"/>
            <w:noWrap/>
            <w:vAlign w:val="center"/>
          </w:tcPr>
          <w:p w14:paraId="38876710"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18</w:t>
            </w:r>
          </w:p>
        </w:tc>
        <w:tc>
          <w:tcPr>
            <w:tcW w:w="419" w:type="dxa"/>
            <w:tcBorders>
              <w:top w:val="single" w:sz="4" w:space="0" w:color="000000"/>
              <w:bottom w:val="single" w:sz="4" w:space="0" w:color="000000"/>
            </w:tcBorders>
            <w:shd w:val="clear" w:color="auto" w:fill="FFCC00"/>
            <w:vAlign w:val="center"/>
          </w:tcPr>
          <w:p w14:paraId="3D89990B"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37</w:t>
            </w:r>
          </w:p>
        </w:tc>
        <w:tc>
          <w:tcPr>
            <w:tcW w:w="521" w:type="dxa"/>
            <w:tcBorders>
              <w:top w:val="single" w:sz="4" w:space="0" w:color="000000"/>
              <w:bottom w:val="single" w:sz="4" w:space="0" w:color="000000"/>
            </w:tcBorders>
            <w:shd w:val="clear" w:color="auto" w:fill="FFFF00"/>
            <w:vAlign w:val="center"/>
          </w:tcPr>
          <w:p w14:paraId="62C118BB"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60</w:t>
            </w:r>
          </w:p>
        </w:tc>
        <w:tc>
          <w:tcPr>
            <w:tcW w:w="521" w:type="dxa"/>
            <w:tcBorders>
              <w:top w:val="single" w:sz="4" w:space="0" w:color="000000"/>
              <w:bottom w:val="single" w:sz="4" w:space="0" w:color="000000"/>
            </w:tcBorders>
            <w:shd w:val="clear" w:color="auto" w:fill="FFFF00"/>
            <w:vAlign w:val="center"/>
          </w:tcPr>
          <w:p w14:paraId="24DEA0B1" w14:textId="77777777" w:rsidR="0090798E" w:rsidRPr="00423BA4" w:rsidRDefault="0090798E" w:rsidP="00C36ADD">
            <w:pPr>
              <w:spacing w:before="0" w:after="0"/>
              <w:jc w:val="center"/>
              <w:rPr>
                <w:b/>
                <w:color w:val="000000"/>
                <w:sz w:val="20"/>
                <w:szCs w:val="20"/>
                <w:lang w:eastAsia="en-AU"/>
              </w:rPr>
            </w:pPr>
            <w:r w:rsidRPr="006834BF">
              <w:rPr>
                <w:b/>
                <w:color w:val="000000"/>
                <w:sz w:val="20"/>
                <w:szCs w:val="20"/>
                <w:lang w:eastAsia="en-AU"/>
              </w:rPr>
              <w:t>53</w:t>
            </w:r>
          </w:p>
        </w:tc>
        <w:tc>
          <w:tcPr>
            <w:tcW w:w="521" w:type="dxa"/>
            <w:tcBorders>
              <w:top w:val="single" w:sz="4" w:space="0" w:color="000000"/>
              <w:bottom w:val="single" w:sz="4" w:space="0" w:color="000000"/>
            </w:tcBorders>
            <w:shd w:val="clear" w:color="auto" w:fill="FFFF00"/>
            <w:vAlign w:val="center"/>
          </w:tcPr>
          <w:p w14:paraId="0BC76937" w14:textId="62AED212" w:rsidR="0090798E" w:rsidRPr="006834BF" w:rsidRDefault="008F6ECE" w:rsidP="00C36ADD">
            <w:pPr>
              <w:spacing w:before="0" w:after="0"/>
              <w:jc w:val="center"/>
              <w:rPr>
                <w:b/>
                <w:color w:val="000000"/>
                <w:sz w:val="20"/>
                <w:szCs w:val="20"/>
                <w:lang w:eastAsia="en-AU"/>
              </w:rPr>
            </w:pPr>
            <w:r>
              <w:rPr>
                <w:b/>
                <w:color w:val="000000"/>
                <w:sz w:val="20"/>
                <w:szCs w:val="20"/>
                <w:lang w:eastAsia="en-AU"/>
              </w:rPr>
              <w:t>46</w:t>
            </w:r>
          </w:p>
        </w:tc>
        <w:tc>
          <w:tcPr>
            <w:tcW w:w="551" w:type="dxa"/>
            <w:tcBorders>
              <w:top w:val="single" w:sz="4" w:space="0" w:color="000000"/>
              <w:bottom w:val="single" w:sz="4" w:space="0" w:color="000000"/>
            </w:tcBorders>
            <w:shd w:val="clear" w:color="auto" w:fill="FFFF00"/>
            <w:vAlign w:val="center"/>
          </w:tcPr>
          <w:p w14:paraId="7C1C1E52" w14:textId="77777777" w:rsidR="0090798E" w:rsidRPr="00353DC2" w:rsidRDefault="0090798E" w:rsidP="00C36ADD">
            <w:pPr>
              <w:spacing w:before="0" w:after="0"/>
              <w:jc w:val="center"/>
              <w:rPr>
                <w:b/>
                <w:sz w:val="20"/>
                <w:szCs w:val="20"/>
              </w:rPr>
            </w:pPr>
            <w:r w:rsidRPr="00353DC2">
              <w:rPr>
                <w:b/>
                <w:sz w:val="20"/>
                <w:szCs w:val="20"/>
              </w:rPr>
              <w:t>54</w:t>
            </w:r>
          </w:p>
        </w:tc>
      </w:tr>
    </w:tbl>
    <w:p w14:paraId="743CF14E" w14:textId="77777777" w:rsidR="00270034" w:rsidRDefault="00270034" w:rsidP="00C36ADD">
      <w:pPr>
        <w:rPr>
          <w:color w:val="000000"/>
          <w:szCs w:val="22"/>
          <w:lang w:val="en-US"/>
        </w:rPr>
      </w:pPr>
    </w:p>
    <w:p w14:paraId="61024208" w14:textId="77777777" w:rsidR="00E0661B" w:rsidRPr="006E0687" w:rsidRDefault="005132EF" w:rsidP="00926892">
      <w:pPr>
        <w:pStyle w:val="Heading2"/>
        <w:numPr>
          <w:ilvl w:val="1"/>
          <w:numId w:val="9"/>
        </w:numPr>
        <w:rPr>
          <w:rFonts w:ascii="Century Gothic" w:hAnsi="Century Gothic"/>
          <w:color w:val="000000"/>
        </w:rPr>
      </w:pPr>
      <w:r w:rsidRPr="00015190">
        <w:rPr>
          <w:color w:val="0000FF"/>
          <w:lang w:val="en-GB"/>
        </w:rPr>
        <w:br w:type="page"/>
      </w:r>
      <w:bookmarkStart w:id="437" w:name="_Toc175991081"/>
      <w:bookmarkStart w:id="438" w:name="_Toc232845924"/>
      <w:bookmarkStart w:id="439" w:name="_Toc184102009"/>
      <w:bookmarkStart w:id="440" w:name="_Toc431493773"/>
      <w:bookmarkStart w:id="441" w:name="_Toc516053155"/>
      <w:bookmarkStart w:id="442" w:name="_Toc170191638"/>
      <w:r w:rsidR="00E0661B" w:rsidRPr="006E0687">
        <w:rPr>
          <w:rFonts w:ascii="Century Gothic" w:hAnsi="Century Gothic"/>
          <w:color w:val="000000"/>
        </w:rPr>
        <w:t>Mackay Whitsunday</w:t>
      </w:r>
      <w:bookmarkEnd w:id="437"/>
      <w:bookmarkEnd w:id="438"/>
      <w:bookmarkEnd w:id="439"/>
      <w:bookmarkEnd w:id="440"/>
      <w:bookmarkEnd w:id="441"/>
    </w:p>
    <w:p w14:paraId="2EAC211F" w14:textId="66855D3A" w:rsidR="005132EF" w:rsidRPr="00712221" w:rsidRDefault="008574EC" w:rsidP="00926892">
      <w:pPr>
        <w:pStyle w:val="Heading3"/>
        <w:numPr>
          <w:ilvl w:val="2"/>
          <w:numId w:val="9"/>
        </w:numPr>
        <w:rPr>
          <w:rFonts w:ascii="Arial" w:hAnsi="Arial" w:cs="Arial"/>
          <w:color w:val="000000"/>
        </w:rPr>
      </w:pPr>
      <w:bookmarkStart w:id="443" w:name="_Toc184102010"/>
      <w:bookmarkStart w:id="444" w:name="_Toc431493774"/>
      <w:bookmarkStart w:id="445" w:name="_Toc516053156"/>
      <w:bookmarkStart w:id="446" w:name="OLE_LINK38"/>
      <w:bookmarkStart w:id="447" w:name="OLE_LINK39"/>
      <w:bookmarkEnd w:id="442"/>
      <w:r>
        <w:rPr>
          <w:rFonts w:ascii="Arial" w:hAnsi="Arial" w:cs="Arial"/>
          <w:color w:val="000000"/>
        </w:rPr>
        <w:t>2016–17</w:t>
      </w:r>
      <w:r w:rsidR="005132EF" w:rsidRPr="00712221">
        <w:rPr>
          <w:rFonts w:ascii="Arial" w:hAnsi="Arial" w:cs="Arial"/>
          <w:color w:val="000000"/>
        </w:rPr>
        <w:t xml:space="preserve"> </w:t>
      </w:r>
      <w:r w:rsidR="002F55F1">
        <w:rPr>
          <w:rFonts w:ascii="Arial" w:hAnsi="Arial" w:cs="Arial"/>
          <w:color w:val="000000"/>
        </w:rPr>
        <w:t>s</w:t>
      </w:r>
      <w:r w:rsidR="005132EF" w:rsidRPr="00712221">
        <w:rPr>
          <w:rFonts w:ascii="Arial" w:hAnsi="Arial" w:cs="Arial"/>
          <w:color w:val="000000"/>
        </w:rPr>
        <w:t>ummary</w:t>
      </w:r>
      <w:bookmarkEnd w:id="443"/>
      <w:bookmarkEnd w:id="444"/>
      <w:bookmarkEnd w:id="445"/>
    </w:p>
    <w:p w14:paraId="1C7F718A" w14:textId="2D260AAA" w:rsidR="00270034" w:rsidRPr="002F329B" w:rsidRDefault="00270034" w:rsidP="00270034">
      <w:pPr>
        <w:rPr>
          <w:color w:val="000000" w:themeColor="text1"/>
          <w:szCs w:val="22"/>
        </w:rPr>
      </w:pPr>
      <w:bookmarkStart w:id="448" w:name="_Toc184102011"/>
      <w:bookmarkStart w:id="449" w:name="_Toc431493775"/>
      <w:bookmarkEnd w:id="446"/>
      <w:bookmarkEnd w:id="447"/>
      <w:r w:rsidRPr="00233A8B">
        <w:rPr>
          <w:lang w:val="en-GB"/>
        </w:rPr>
        <w:t>The Mackay Whitsunday region is characterised by episodic flows from adjacent catchments, as well as urban and marina development, tourism and is also vulnerable to temperature extremes in shallow habitats</w:t>
      </w:r>
      <w:r w:rsidRPr="0022398D">
        <w:rPr>
          <w:color w:val="000000" w:themeColor="text1"/>
          <w:lang w:val="en-GB"/>
        </w:rPr>
        <w:t xml:space="preserve">. </w:t>
      </w:r>
      <w:r w:rsidR="0022398D" w:rsidRPr="0022398D">
        <w:rPr>
          <w:color w:val="000000" w:themeColor="text1"/>
          <w:lang w:val="en-GB"/>
        </w:rPr>
        <w:t xml:space="preserve">In </w:t>
      </w:r>
      <w:r w:rsidR="008574EC">
        <w:rPr>
          <w:color w:val="000000" w:themeColor="text1"/>
          <w:lang w:val="en-GB"/>
        </w:rPr>
        <w:t>2016–17</w:t>
      </w:r>
      <w:r w:rsidR="0022398D" w:rsidRPr="0022398D">
        <w:rPr>
          <w:color w:val="000000" w:themeColor="text1"/>
          <w:lang w:val="en-GB"/>
        </w:rPr>
        <w:t>, the region was aff</w:t>
      </w:r>
      <w:r w:rsidR="002F329B">
        <w:rPr>
          <w:color w:val="000000" w:themeColor="text1"/>
          <w:lang w:val="en-GB"/>
        </w:rPr>
        <w:t xml:space="preserve">ected by </w:t>
      </w:r>
      <w:r w:rsidR="00444C95">
        <w:rPr>
          <w:color w:val="000000" w:themeColor="text1"/>
          <w:lang w:val="en-GB"/>
        </w:rPr>
        <w:t>t</w:t>
      </w:r>
      <w:r w:rsidR="002F329B">
        <w:rPr>
          <w:color w:val="000000" w:themeColor="text1"/>
          <w:lang w:val="en-GB"/>
        </w:rPr>
        <w:t xml:space="preserve">ropical </w:t>
      </w:r>
      <w:r w:rsidR="00444C95">
        <w:rPr>
          <w:color w:val="000000" w:themeColor="text1"/>
          <w:lang w:val="en-GB"/>
        </w:rPr>
        <w:t>c</w:t>
      </w:r>
      <w:r w:rsidR="002F329B">
        <w:rPr>
          <w:color w:val="000000" w:themeColor="text1"/>
          <w:lang w:val="en-GB"/>
        </w:rPr>
        <w:t>yclone Debbie</w:t>
      </w:r>
      <w:r w:rsidR="0022398D" w:rsidRPr="0022398D">
        <w:rPr>
          <w:color w:val="000000" w:themeColor="text1"/>
          <w:lang w:val="en-GB"/>
        </w:rPr>
        <w:t>, which crossed the coast near Airlie Beach on the 28</w:t>
      </w:r>
      <w:r w:rsidR="0022398D" w:rsidRPr="0022398D">
        <w:rPr>
          <w:color w:val="000000" w:themeColor="text1"/>
          <w:vertAlign w:val="superscript"/>
          <w:lang w:val="en-GB"/>
        </w:rPr>
        <w:t>th</w:t>
      </w:r>
      <w:r w:rsidR="0022398D" w:rsidRPr="0022398D">
        <w:rPr>
          <w:color w:val="000000" w:themeColor="text1"/>
          <w:lang w:val="en-GB"/>
        </w:rPr>
        <w:t xml:space="preserve"> March 2017</w:t>
      </w:r>
      <w:r w:rsidR="0022398D">
        <w:rPr>
          <w:color w:val="000000" w:themeColor="text1"/>
          <w:lang w:val="en-GB"/>
        </w:rPr>
        <w:t xml:space="preserve"> as a category four cyclone</w:t>
      </w:r>
      <w:r w:rsidR="00C97EEE">
        <w:rPr>
          <w:color w:val="000000" w:themeColor="text1"/>
          <w:lang w:val="en-GB"/>
        </w:rPr>
        <w:t>, then tracked down the coast leaving a path of heavy rainfall</w:t>
      </w:r>
      <w:r w:rsidR="0022398D" w:rsidRPr="0022398D">
        <w:rPr>
          <w:color w:val="000000" w:themeColor="text1"/>
          <w:lang w:val="en-GB"/>
        </w:rPr>
        <w:t xml:space="preserve">. </w:t>
      </w:r>
      <w:r w:rsidR="0022398D">
        <w:rPr>
          <w:color w:val="000000" w:themeColor="text1"/>
          <w:lang w:val="en-GB"/>
        </w:rPr>
        <w:t>Rainfall and</w:t>
      </w:r>
      <w:r w:rsidR="00C97EEE">
        <w:rPr>
          <w:color w:val="000000" w:themeColor="text1"/>
          <w:lang w:val="en-GB"/>
        </w:rPr>
        <w:t xml:space="preserve"> river discharge were elevated </w:t>
      </w:r>
      <w:r w:rsidR="0022398D">
        <w:rPr>
          <w:color w:val="000000" w:themeColor="text1"/>
          <w:lang w:val="en-GB"/>
        </w:rPr>
        <w:t>but the frequency of exposure to ‘brown</w:t>
      </w:r>
      <w:r w:rsidR="006659EF">
        <w:rPr>
          <w:color w:val="000000" w:themeColor="text1"/>
          <w:lang w:val="en-GB"/>
        </w:rPr>
        <w:t>’</w:t>
      </w:r>
      <w:r w:rsidR="0022398D">
        <w:rPr>
          <w:color w:val="000000" w:themeColor="text1"/>
          <w:lang w:val="en-GB"/>
        </w:rPr>
        <w:t xml:space="preserve"> and ‘green’ water </w:t>
      </w:r>
      <w:r w:rsidR="00C97EEE">
        <w:rPr>
          <w:color w:val="000000" w:themeColor="text1"/>
          <w:lang w:val="en-GB"/>
        </w:rPr>
        <w:t>(</w:t>
      </w:r>
      <w:r w:rsidR="00C97EEE" w:rsidRPr="00C97EEE">
        <w:rPr>
          <w:i/>
          <w:color w:val="000000" w:themeColor="text1"/>
          <w:lang w:val="en-GB"/>
        </w:rPr>
        <w:t>f</w:t>
      </w:r>
      <w:r w:rsidR="00C97EEE" w:rsidRPr="00C97EEE">
        <w:rPr>
          <w:color w:val="000000" w:themeColor="text1"/>
          <w:vertAlign w:val="subscript"/>
          <w:lang w:val="en-GB"/>
        </w:rPr>
        <w:t>P+S</w:t>
      </w:r>
      <w:r w:rsidR="00C97EEE">
        <w:rPr>
          <w:color w:val="000000" w:themeColor="text1"/>
          <w:lang w:val="en-GB"/>
        </w:rPr>
        <w:t xml:space="preserve">) </w:t>
      </w:r>
      <w:r w:rsidR="0022398D">
        <w:rPr>
          <w:color w:val="000000" w:themeColor="text1"/>
          <w:lang w:val="en-GB"/>
        </w:rPr>
        <w:t>combined</w:t>
      </w:r>
      <w:r w:rsidR="00A57695">
        <w:rPr>
          <w:color w:val="000000" w:themeColor="text1"/>
          <w:lang w:val="en-GB"/>
        </w:rPr>
        <w:t xml:space="preserve"> </w:t>
      </w:r>
      <w:r w:rsidR="00B26D25">
        <w:rPr>
          <w:color w:val="000000" w:themeColor="text1"/>
          <w:lang w:val="en-GB"/>
        </w:rPr>
        <w:t xml:space="preserve">was </w:t>
      </w:r>
      <w:r w:rsidR="00AA094F">
        <w:rPr>
          <w:color w:val="000000" w:themeColor="text1"/>
          <w:lang w:val="en-GB"/>
        </w:rPr>
        <w:t>average for the region</w:t>
      </w:r>
      <w:r w:rsidR="00A57695">
        <w:rPr>
          <w:color w:val="000000" w:themeColor="text1"/>
          <w:lang w:val="en-GB"/>
        </w:rPr>
        <w:t xml:space="preserve"> (94 per cent of wet season weeks)</w:t>
      </w:r>
      <w:r w:rsidR="0022398D">
        <w:rPr>
          <w:color w:val="000000" w:themeColor="text1"/>
          <w:lang w:val="en-GB"/>
        </w:rPr>
        <w:t>.</w:t>
      </w:r>
      <w:r w:rsidR="009E62FD">
        <w:rPr>
          <w:color w:val="000000" w:themeColor="text1"/>
          <w:lang w:val="en-GB"/>
        </w:rPr>
        <w:t xml:space="preserve"> </w:t>
      </w:r>
      <w:r w:rsidR="006659EF">
        <w:rPr>
          <w:color w:val="000000" w:themeColor="text1"/>
          <w:lang w:val="en-GB"/>
        </w:rPr>
        <w:t>Similarly, l</w:t>
      </w:r>
      <w:r w:rsidR="009E62FD">
        <w:rPr>
          <w:color w:val="000000" w:themeColor="text1"/>
          <w:lang w:val="en-GB"/>
        </w:rPr>
        <w:t xml:space="preserve">ight levels were average </w:t>
      </w:r>
      <w:r w:rsidR="006659EF">
        <w:rPr>
          <w:color w:val="000000" w:themeColor="text1"/>
          <w:lang w:val="en-GB"/>
        </w:rPr>
        <w:t>in most sites of</w:t>
      </w:r>
      <w:r w:rsidR="009E62FD">
        <w:rPr>
          <w:color w:val="000000" w:themeColor="text1"/>
          <w:lang w:val="en-GB"/>
        </w:rPr>
        <w:t xml:space="preserve"> the region, </w:t>
      </w:r>
      <w:r w:rsidR="006659EF">
        <w:rPr>
          <w:color w:val="000000" w:themeColor="text1"/>
          <w:lang w:val="en-GB"/>
        </w:rPr>
        <w:t>except that when the</w:t>
      </w:r>
      <w:r w:rsidR="00EF1048">
        <w:rPr>
          <w:color w:val="000000" w:themeColor="text1"/>
          <w:lang w:val="en-GB"/>
        </w:rPr>
        <w:t xml:space="preserve"> Lindeman I</w:t>
      </w:r>
      <w:r w:rsidR="009E62FD">
        <w:rPr>
          <w:color w:val="000000" w:themeColor="text1"/>
          <w:lang w:val="en-GB"/>
        </w:rPr>
        <w:t xml:space="preserve">sland </w:t>
      </w:r>
      <w:r w:rsidR="00EF1048">
        <w:rPr>
          <w:color w:val="000000" w:themeColor="text1"/>
          <w:lang w:val="en-GB"/>
        </w:rPr>
        <w:t>reef subtidal site</w:t>
      </w:r>
      <w:r w:rsidR="006659EF">
        <w:rPr>
          <w:color w:val="000000" w:themeColor="text1"/>
          <w:lang w:val="en-GB"/>
        </w:rPr>
        <w:t xml:space="preserve"> was added</w:t>
      </w:r>
      <w:r w:rsidR="00EF1048">
        <w:rPr>
          <w:color w:val="000000" w:themeColor="text1"/>
          <w:lang w:val="en-GB"/>
        </w:rPr>
        <w:t xml:space="preserve"> in 2017, very low light levels</w:t>
      </w:r>
      <w:r w:rsidR="006659EF">
        <w:rPr>
          <w:color w:val="000000" w:themeColor="text1"/>
          <w:lang w:val="en-GB"/>
        </w:rPr>
        <w:t xml:space="preserve"> reduced the regional average</w:t>
      </w:r>
      <w:r w:rsidR="00EF1048">
        <w:rPr>
          <w:color w:val="000000" w:themeColor="text1"/>
          <w:lang w:val="en-GB"/>
        </w:rPr>
        <w:t xml:space="preserve">. </w:t>
      </w:r>
      <w:r w:rsidR="00A7171D" w:rsidRPr="002F329B">
        <w:rPr>
          <w:color w:val="000000" w:themeColor="text1"/>
          <w:lang w:val="en-GB"/>
        </w:rPr>
        <w:t>Water temperature within the canopy of the seagrass meadows was 0.6</w:t>
      </w:r>
      <w:r w:rsidR="00A7171D" w:rsidRPr="002F329B">
        <w:rPr>
          <w:color w:val="000000" w:themeColor="text1"/>
          <w:szCs w:val="22"/>
        </w:rPr>
        <w:sym w:font="Symbol" w:char="F0B0"/>
      </w:r>
      <w:r w:rsidR="00A7171D" w:rsidRPr="002F329B">
        <w:rPr>
          <w:color w:val="000000" w:themeColor="text1"/>
          <w:szCs w:val="22"/>
        </w:rPr>
        <w:t>C</w:t>
      </w:r>
      <w:r w:rsidR="00A7171D" w:rsidRPr="002F329B">
        <w:rPr>
          <w:color w:val="000000" w:themeColor="text1"/>
          <w:lang w:val="en-GB"/>
        </w:rPr>
        <w:t xml:space="preserve"> a</w:t>
      </w:r>
      <w:r w:rsidRPr="002F329B">
        <w:rPr>
          <w:color w:val="000000" w:themeColor="text1"/>
          <w:szCs w:val="22"/>
        </w:rPr>
        <w:t>bove average</w:t>
      </w:r>
      <w:r w:rsidR="00A7171D" w:rsidRPr="002F329B">
        <w:rPr>
          <w:color w:val="000000" w:themeColor="text1"/>
          <w:szCs w:val="22"/>
        </w:rPr>
        <w:t>. The number of high temperature days (&gt;35</w:t>
      </w:r>
      <w:r w:rsidR="00A7171D" w:rsidRPr="002F329B">
        <w:rPr>
          <w:color w:val="000000" w:themeColor="text1"/>
          <w:szCs w:val="22"/>
        </w:rPr>
        <w:sym w:font="Symbol" w:char="F0B0"/>
      </w:r>
      <w:r w:rsidR="00C97EEE">
        <w:rPr>
          <w:color w:val="000000" w:themeColor="text1"/>
          <w:szCs w:val="22"/>
        </w:rPr>
        <w:t>C)</w:t>
      </w:r>
      <w:r w:rsidR="00A7171D" w:rsidRPr="002F329B">
        <w:rPr>
          <w:color w:val="000000" w:themeColor="text1"/>
          <w:szCs w:val="22"/>
        </w:rPr>
        <w:t xml:space="preserve"> was similar to the previous four years</w:t>
      </w:r>
      <w:r w:rsidRPr="002F329B">
        <w:rPr>
          <w:color w:val="000000" w:themeColor="text1"/>
          <w:szCs w:val="22"/>
        </w:rPr>
        <w:t xml:space="preserve">. </w:t>
      </w:r>
    </w:p>
    <w:p w14:paraId="6033755A" w14:textId="1FD06018" w:rsidR="00270034" w:rsidRPr="00D01EBE" w:rsidRDefault="00C97EEE" w:rsidP="00270034">
      <w:pPr>
        <w:rPr>
          <w:rFonts w:cs="TimesNewRoman,Italic"/>
          <w:iCs/>
          <w:szCs w:val="22"/>
        </w:rPr>
      </w:pPr>
      <w:r w:rsidRPr="00C97EEE">
        <w:rPr>
          <w:color w:val="000000" w:themeColor="text1"/>
          <w:szCs w:val="22"/>
        </w:rPr>
        <w:t>S</w:t>
      </w:r>
      <w:r w:rsidR="00270034" w:rsidRPr="00C97EEE">
        <w:rPr>
          <w:color w:val="000000" w:themeColor="text1"/>
          <w:szCs w:val="22"/>
        </w:rPr>
        <w:t xml:space="preserve">eagrass abundance </w:t>
      </w:r>
      <w:r w:rsidRPr="00C97EEE">
        <w:rPr>
          <w:color w:val="000000" w:themeColor="text1"/>
          <w:szCs w:val="22"/>
        </w:rPr>
        <w:t xml:space="preserve">was affected by TC Debbie at sites near and south of Airlie Beach, leading to a </w:t>
      </w:r>
      <w:r w:rsidRPr="00D01EBE">
        <w:rPr>
          <w:szCs w:val="22"/>
        </w:rPr>
        <w:t xml:space="preserve">reduction in the overall score to </w:t>
      </w:r>
      <w:r w:rsidRPr="00D01EBE">
        <w:rPr>
          <w:b/>
          <w:szCs w:val="22"/>
        </w:rPr>
        <w:t>poor</w:t>
      </w:r>
      <w:r w:rsidRPr="00D01EBE">
        <w:rPr>
          <w:szCs w:val="22"/>
        </w:rPr>
        <w:t>. The reef intertidal and estuarine habitats were the most severly affected with abundance delining to nearly zero. Meadow</w:t>
      </w:r>
      <w:r w:rsidR="00270034" w:rsidRPr="00D01EBE">
        <w:rPr>
          <w:szCs w:val="22"/>
        </w:rPr>
        <w:t xml:space="preserve"> </w:t>
      </w:r>
      <w:r w:rsidR="00730907" w:rsidRPr="00D01EBE">
        <w:rPr>
          <w:szCs w:val="22"/>
        </w:rPr>
        <w:t xml:space="preserve">extent </w:t>
      </w:r>
      <w:r w:rsidRPr="00D01EBE">
        <w:rPr>
          <w:szCs w:val="22"/>
        </w:rPr>
        <w:t>was also substantially reduced in all habitats</w:t>
      </w:r>
      <w:r w:rsidR="00730907" w:rsidRPr="00D01EBE">
        <w:rPr>
          <w:szCs w:val="22"/>
        </w:rPr>
        <w:t>. T</w:t>
      </w:r>
      <w:r w:rsidR="00270034" w:rsidRPr="00D01EBE">
        <w:rPr>
          <w:szCs w:val="22"/>
        </w:rPr>
        <w:t xml:space="preserve">he proportion of </w:t>
      </w:r>
      <w:r w:rsidRPr="00D01EBE">
        <w:rPr>
          <w:szCs w:val="22"/>
        </w:rPr>
        <w:t>colonising</w:t>
      </w:r>
      <w:r w:rsidR="00270034" w:rsidRPr="00D01EBE">
        <w:rPr>
          <w:szCs w:val="22"/>
        </w:rPr>
        <w:t xml:space="preserve"> species</w:t>
      </w:r>
      <w:r w:rsidR="00730907" w:rsidRPr="00D01EBE">
        <w:rPr>
          <w:szCs w:val="22"/>
        </w:rPr>
        <w:t xml:space="preserve"> remained stable and </w:t>
      </w:r>
      <w:r w:rsidRPr="00D01EBE">
        <w:rPr>
          <w:szCs w:val="22"/>
        </w:rPr>
        <w:t xml:space="preserve">low in most habitats, except in the reef habitat which is dominated by the colonising </w:t>
      </w:r>
      <w:r w:rsidRPr="00D01EBE">
        <w:rPr>
          <w:i/>
          <w:szCs w:val="22"/>
        </w:rPr>
        <w:t>H. ovalis</w:t>
      </w:r>
      <w:r w:rsidR="00270034" w:rsidRPr="00D01EBE">
        <w:rPr>
          <w:szCs w:val="22"/>
        </w:rPr>
        <w:t xml:space="preserve">. </w:t>
      </w:r>
    </w:p>
    <w:p w14:paraId="3129DCB5" w14:textId="075D3FAE" w:rsidR="00270034" w:rsidRPr="00D01EBE" w:rsidRDefault="00270034" w:rsidP="00270034">
      <w:pPr>
        <w:rPr>
          <w:szCs w:val="22"/>
        </w:rPr>
      </w:pPr>
      <w:r w:rsidRPr="00D01EBE">
        <w:rPr>
          <w:szCs w:val="22"/>
          <w:lang w:val="en-GB"/>
        </w:rPr>
        <w:t xml:space="preserve">Seagrass reproductive effort </w:t>
      </w:r>
      <w:r w:rsidR="00612B6C" w:rsidRPr="00D01EBE">
        <w:rPr>
          <w:szCs w:val="22"/>
          <w:lang w:val="en-GB"/>
        </w:rPr>
        <w:t xml:space="preserve">remained elevated at coastal and estuarine sites, even reaching record high densities of reproductive structures in the estuarine habitat. However, due to very low reproductive effort in reef habitat, the score </w:t>
      </w:r>
      <w:r w:rsidRPr="00D01EBE">
        <w:rPr>
          <w:szCs w:val="22"/>
          <w:lang w:val="en-GB"/>
        </w:rPr>
        <w:t xml:space="preserve">remained </w:t>
      </w:r>
      <w:r w:rsidRPr="00D01EBE">
        <w:rPr>
          <w:b/>
          <w:szCs w:val="22"/>
          <w:lang w:val="en-GB"/>
        </w:rPr>
        <w:t>poor</w:t>
      </w:r>
      <w:r w:rsidR="00612B6C" w:rsidRPr="00D01EBE">
        <w:rPr>
          <w:szCs w:val="22"/>
          <w:lang w:val="en-GB"/>
        </w:rPr>
        <w:t>. In addition, there are no seeds in the seed bank in the reef habitat</w:t>
      </w:r>
      <w:r w:rsidR="00612B6C" w:rsidRPr="00D01EBE">
        <w:rPr>
          <w:szCs w:val="22"/>
        </w:rPr>
        <w:t xml:space="preserve"> and therefore recovery from </w:t>
      </w:r>
      <w:r w:rsidR="00CB3F9D" w:rsidRPr="00D01EBE">
        <w:rPr>
          <w:szCs w:val="22"/>
        </w:rPr>
        <w:t xml:space="preserve">near decimation </w:t>
      </w:r>
      <w:r w:rsidR="00612B6C" w:rsidRPr="00D01EBE">
        <w:rPr>
          <w:szCs w:val="22"/>
        </w:rPr>
        <w:t xml:space="preserve">of seagrass </w:t>
      </w:r>
      <w:r w:rsidR="00CB3F9D" w:rsidRPr="00D01EBE">
        <w:rPr>
          <w:szCs w:val="22"/>
        </w:rPr>
        <w:t>at Hamilton</w:t>
      </w:r>
      <w:r w:rsidR="00612B6C" w:rsidRPr="00D01EBE">
        <w:rPr>
          <w:szCs w:val="22"/>
        </w:rPr>
        <w:t xml:space="preserve"> I</w:t>
      </w:r>
      <w:r w:rsidR="00CB3F9D" w:rsidRPr="00D01EBE">
        <w:rPr>
          <w:szCs w:val="22"/>
        </w:rPr>
        <w:t xml:space="preserve">sland, </w:t>
      </w:r>
      <w:r w:rsidR="00612B6C" w:rsidRPr="00D01EBE">
        <w:rPr>
          <w:szCs w:val="22"/>
        </w:rPr>
        <w:t>will be very slow</w:t>
      </w:r>
      <w:r w:rsidR="00CB3F9D" w:rsidRPr="00D01EBE">
        <w:rPr>
          <w:szCs w:val="22"/>
        </w:rPr>
        <w:t xml:space="preserve">. </w:t>
      </w:r>
      <w:r w:rsidRPr="00D01EBE">
        <w:rPr>
          <w:szCs w:val="22"/>
        </w:rPr>
        <w:t xml:space="preserve">Leaf tissue C:N ratios </w:t>
      </w:r>
      <w:r w:rsidR="00465BD6" w:rsidRPr="00D01EBE">
        <w:rPr>
          <w:szCs w:val="22"/>
        </w:rPr>
        <w:t>were unchanged and remained</w:t>
      </w:r>
      <w:r w:rsidRPr="00D01EBE">
        <w:rPr>
          <w:szCs w:val="22"/>
        </w:rPr>
        <w:t xml:space="preserve"> </w:t>
      </w:r>
      <w:r w:rsidRPr="00D01EBE">
        <w:rPr>
          <w:b/>
          <w:szCs w:val="22"/>
        </w:rPr>
        <w:t>poor</w:t>
      </w:r>
      <w:r w:rsidR="00CA30B0" w:rsidRPr="00D01EBE">
        <w:rPr>
          <w:b/>
          <w:szCs w:val="22"/>
        </w:rPr>
        <w:t xml:space="preserve"> </w:t>
      </w:r>
      <w:r w:rsidR="00CA30B0" w:rsidRPr="00D01EBE">
        <w:rPr>
          <w:szCs w:val="22"/>
        </w:rPr>
        <w:t>overall</w:t>
      </w:r>
      <w:r w:rsidRPr="00D01EBE">
        <w:rPr>
          <w:szCs w:val="22"/>
        </w:rPr>
        <w:t xml:space="preserve">. </w:t>
      </w:r>
    </w:p>
    <w:p w14:paraId="2E04CB85" w14:textId="2773E6D6" w:rsidR="00270034" w:rsidRPr="00415BB4" w:rsidRDefault="00270034" w:rsidP="00270034">
      <w:pPr>
        <w:rPr>
          <w:color w:val="000000" w:themeColor="text1"/>
          <w:szCs w:val="22"/>
        </w:rPr>
      </w:pPr>
      <w:r w:rsidRPr="00415BB4">
        <w:rPr>
          <w:color w:val="000000" w:themeColor="text1"/>
          <w:szCs w:val="22"/>
        </w:rPr>
        <w:t xml:space="preserve">Mackay Whitsunday regional seagrass state remained </w:t>
      </w:r>
      <w:r w:rsidRPr="00415BB4">
        <w:rPr>
          <w:b/>
          <w:color w:val="000000" w:themeColor="text1"/>
          <w:szCs w:val="22"/>
        </w:rPr>
        <w:t>poor</w:t>
      </w:r>
      <w:r w:rsidRPr="00415BB4">
        <w:rPr>
          <w:color w:val="000000" w:themeColor="text1"/>
          <w:szCs w:val="22"/>
        </w:rPr>
        <w:t xml:space="preserve"> in </w:t>
      </w:r>
      <w:r w:rsidR="008574EC">
        <w:rPr>
          <w:color w:val="000000" w:themeColor="text1"/>
          <w:szCs w:val="22"/>
        </w:rPr>
        <w:t>2016–17</w:t>
      </w:r>
      <w:r w:rsidRPr="00415BB4">
        <w:rPr>
          <w:color w:val="000000" w:themeColor="text1"/>
          <w:szCs w:val="22"/>
        </w:rPr>
        <w:t xml:space="preserve"> (</w:t>
      </w:r>
      <w:r w:rsidR="00F7114B" w:rsidRPr="00415BB4">
        <w:rPr>
          <w:color w:val="000000" w:themeColor="text1"/>
          <w:szCs w:val="22"/>
        </w:rPr>
        <w:fldChar w:fldCharType="begin"/>
      </w:r>
      <w:r w:rsidR="00F7114B" w:rsidRPr="00415BB4">
        <w:rPr>
          <w:color w:val="000000" w:themeColor="text1"/>
          <w:szCs w:val="22"/>
        </w:rPr>
        <w:instrText xml:space="preserve"> REF _Ref461377180 \h </w:instrText>
      </w:r>
      <w:r w:rsidR="00F8182C" w:rsidRPr="00415BB4">
        <w:rPr>
          <w:color w:val="000000" w:themeColor="text1"/>
          <w:szCs w:val="22"/>
        </w:rPr>
        <w:instrText xml:space="preserve"> \* MERGEFORMAT </w:instrText>
      </w:r>
      <w:r w:rsidR="00F7114B" w:rsidRPr="00415BB4">
        <w:rPr>
          <w:color w:val="000000" w:themeColor="text1"/>
          <w:szCs w:val="22"/>
        </w:rPr>
      </w:r>
      <w:r w:rsidR="00F7114B" w:rsidRPr="00415BB4">
        <w:rPr>
          <w:color w:val="000000" w:themeColor="text1"/>
          <w:szCs w:val="22"/>
        </w:rPr>
        <w:fldChar w:fldCharType="separate"/>
      </w:r>
      <w:r w:rsidR="00F87DF9" w:rsidRPr="00F87DF9">
        <w:rPr>
          <w:color w:val="000000" w:themeColor="text1"/>
        </w:rPr>
        <w:t xml:space="preserve">Figure </w:t>
      </w:r>
      <w:r w:rsidR="00F87DF9" w:rsidRPr="00F87DF9">
        <w:rPr>
          <w:noProof/>
          <w:color w:val="000000" w:themeColor="text1"/>
        </w:rPr>
        <w:t>79</w:t>
      </w:r>
      <w:r w:rsidR="00F7114B" w:rsidRPr="00415BB4">
        <w:rPr>
          <w:color w:val="000000" w:themeColor="text1"/>
          <w:szCs w:val="22"/>
        </w:rPr>
        <w:fldChar w:fldCharType="end"/>
      </w:r>
      <w:r w:rsidRPr="00415BB4">
        <w:rPr>
          <w:color w:val="000000" w:themeColor="text1"/>
          <w:szCs w:val="22"/>
        </w:rPr>
        <w:t xml:space="preserve">). While </w:t>
      </w:r>
      <w:r w:rsidR="00415BB4" w:rsidRPr="00415BB4">
        <w:rPr>
          <w:color w:val="000000" w:themeColor="text1"/>
          <w:szCs w:val="22"/>
        </w:rPr>
        <w:t xml:space="preserve">an increase in reproductive effort and stable seed density in seed banks indicate that the coastal and estuarine sites will recover from the disturbances of the passed year, the reef habitat is in an extremely vulnerable state. </w:t>
      </w:r>
    </w:p>
    <w:p w14:paraId="090076E6" w14:textId="77777777" w:rsidR="00F7114B" w:rsidRDefault="00786EF1" w:rsidP="00F7114B">
      <w:pPr>
        <w:jc w:val="center"/>
        <w:rPr>
          <w:color w:val="000000"/>
          <w:szCs w:val="22"/>
        </w:rPr>
      </w:pPr>
      <w:r>
        <w:rPr>
          <w:noProof/>
          <w:color w:val="000000"/>
          <w:szCs w:val="22"/>
          <w:lang w:eastAsia="en-AU"/>
        </w:rPr>
        <w:drawing>
          <wp:inline distT="0" distB="0" distL="0" distR="0" wp14:anchorId="767F9847" wp14:editId="645EE080">
            <wp:extent cx="4319999" cy="2396549"/>
            <wp:effectExtent l="0" t="0" r="4445" b="3810"/>
            <wp:docPr id="512" name="Picture 512" descr="Panel of four scatter plots with straight lines and markers showing report card of seagrass condition (indicators and index) for the Mackay Whitsunda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INDEX_MW_2016.png"/>
                    <pic:cNvPicPr/>
                  </pic:nvPicPr>
                  <pic:blipFill>
                    <a:blip r:embed="rId117">
                      <a:extLst>
                        <a:ext uri="{28A0092B-C50C-407E-A947-70E740481C1C}">
                          <a14:useLocalDpi xmlns:a14="http://schemas.microsoft.com/office/drawing/2010/main" val="0"/>
                        </a:ext>
                      </a:extLst>
                    </a:blip>
                    <a:stretch>
                      <a:fillRect/>
                    </a:stretch>
                  </pic:blipFill>
                  <pic:spPr>
                    <a:xfrm>
                      <a:off x="0" y="0"/>
                      <a:ext cx="4319999" cy="2396549"/>
                    </a:xfrm>
                    <a:prstGeom prst="rect">
                      <a:avLst/>
                    </a:prstGeom>
                  </pic:spPr>
                </pic:pic>
              </a:graphicData>
            </a:graphic>
          </wp:inline>
        </w:drawing>
      </w:r>
    </w:p>
    <w:p w14:paraId="71DE1744" w14:textId="7AF21289" w:rsidR="00F7114B" w:rsidRPr="00C41F18" w:rsidRDefault="00F7114B" w:rsidP="00F7114B">
      <w:pPr>
        <w:rPr>
          <w:i/>
          <w:vanish/>
          <w:specVanish/>
        </w:rPr>
      </w:pPr>
      <w:bookmarkStart w:id="450" w:name="_Ref461377180"/>
      <w:bookmarkStart w:id="451" w:name="_Toc431493872"/>
      <w:bookmarkStart w:id="452" w:name="_Toc516053289"/>
      <w:r w:rsidRPr="00447838">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79</w:t>
      </w:r>
      <w:r>
        <w:rPr>
          <w:color w:val="000000"/>
        </w:rPr>
        <w:fldChar w:fldCharType="end"/>
      </w:r>
      <w:bookmarkEnd w:id="450"/>
      <w:r w:rsidRPr="00447838">
        <w:rPr>
          <w:color w:val="000000"/>
        </w:rPr>
        <w:t xml:space="preserve">. </w:t>
      </w:r>
      <w:r w:rsidRPr="00447838">
        <w:rPr>
          <w:i/>
          <w:color w:val="000000"/>
        </w:rPr>
        <w:t xml:space="preserve">Report card of seagrass status indicators and index for the Mackay Whitsunday NRM </w:t>
      </w:r>
      <w:r w:rsidRPr="00C41F18">
        <w:rPr>
          <w:i/>
        </w:rPr>
        <w:t>region</w:t>
      </w:r>
      <w:bookmarkEnd w:id="451"/>
      <w:bookmarkEnd w:id="452"/>
    </w:p>
    <w:p w14:paraId="702F7101" w14:textId="246B79BC" w:rsidR="00F7114B" w:rsidRDefault="00F7114B" w:rsidP="00F7114B">
      <w:pPr>
        <w:rPr>
          <w:i/>
          <w:szCs w:val="22"/>
        </w:rPr>
      </w:pPr>
      <w:r w:rsidRPr="00C41F18">
        <w:rPr>
          <w:i/>
          <w:szCs w:val="22"/>
        </w:rPr>
        <w:t xml:space="preserve"> (averages across habitats and sites). </w:t>
      </w:r>
      <w:r w:rsidR="00C41F18" w:rsidRPr="00C41F18">
        <w:rPr>
          <w:i/>
          <w:szCs w:val="22"/>
        </w:rPr>
        <w:t xml:space="preserve">Bold symbol = </w:t>
      </w:r>
      <w:r w:rsidR="008574EC">
        <w:rPr>
          <w:i/>
          <w:szCs w:val="22"/>
        </w:rPr>
        <w:t>2016–17</w:t>
      </w:r>
      <w:r w:rsidR="00C41F18" w:rsidRPr="00C41F18">
        <w:rPr>
          <w:i/>
          <w:szCs w:val="22"/>
        </w:rPr>
        <w:t xml:space="preserve"> monitoring period. </w:t>
      </w:r>
      <w:r w:rsidRPr="00C41F18">
        <w:rPr>
          <w:i/>
          <w:szCs w:val="22"/>
        </w:rPr>
        <w:t xml:space="preserve">Values are </w:t>
      </w:r>
      <w:r w:rsidRPr="00E237C6">
        <w:rPr>
          <w:i/>
          <w:szCs w:val="22"/>
        </w:rPr>
        <w:t xml:space="preserve">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 very poor (0 - 20)</w:t>
      </w:r>
      <w:r w:rsidRPr="00E237C6">
        <w:rPr>
          <w:i/>
          <w:szCs w:val="22"/>
        </w:rPr>
        <w:t>.</w:t>
      </w:r>
    </w:p>
    <w:p w14:paraId="18114F78" w14:textId="77777777" w:rsidR="008F6ECE" w:rsidRPr="000C1040" w:rsidRDefault="00465BD6" w:rsidP="008F6ECE">
      <w:pPr>
        <w:pStyle w:val="Heading3"/>
        <w:numPr>
          <w:ilvl w:val="2"/>
          <w:numId w:val="9"/>
        </w:numPr>
        <w:rPr>
          <w:rFonts w:ascii="Arial" w:hAnsi="Arial" w:cs="Arial"/>
          <w:color w:val="000000"/>
        </w:rPr>
      </w:pPr>
      <w:r>
        <w:rPr>
          <w:i/>
          <w:szCs w:val="22"/>
        </w:rPr>
        <w:br w:type="column"/>
      </w:r>
      <w:bookmarkStart w:id="453" w:name="_Toc516053157"/>
      <w:r w:rsidR="008F6ECE" w:rsidRPr="000C1040">
        <w:rPr>
          <w:rFonts w:ascii="Arial" w:hAnsi="Arial" w:cs="Arial"/>
          <w:color w:val="000000"/>
        </w:rPr>
        <w:t>Climate and environmental pressures</w:t>
      </w:r>
      <w:bookmarkEnd w:id="453"/>
    </w:p>
    <w:p w14:paraId="4ACD2F5B" w14:textId="3BAAA3EB" w:rsidR="00270034" w:rsidRPr="004D761B" w:rsidRDefault="005C649B" w:rsidP="00C36ADD">
      <w:pPr>
        <w:rPr>
          <w:color w:val="000000" w:themeColor="text1"/>
        </w:rPr>
      </w:pPr>
      <w:r w:rsidRPr="005C649B">
        <w:rPr>
          <w:color w:val="000000" w:themeColor="text1"/>
        </w:rPr>
        <w:t>Rainfall and river discharge were</w:t>
      </w:r>
      <w:r w:rsidR="00270034" w:rsidRPr="005C649B">
        <w:rPr>
          <w:color w:val="000000" w:themeColor="text1"/>
        </w:rPr>
        <w:t xml:space="preserve"> considerably </w:t>
      </w:r>
      <w:r w:rsidR="00540272" w:rsidRPr="005C649B">
        <w:rPr>
          <w:color w:val="000000" w:themeColor="text1"/>
        </w:rPr>
        <w:t>above</w:t>
      </w:r>
      <w:r w:rsidR="00147483" w:rsidRPr="005C649B">
        <w:rPr>
          <w:color w:val="000000" w:themeColor="text1"/>
        </w:rPr>
        <w:t xml:space="preserve"> the long-term average in </w:t>
      </w:r>
      <w:r w:rsidR="008574EC">
        <w:rPr>
          <w:color w:val="000000" w:themeColor="text1"/>
        </w:rPr>
        <w:t>2016–17</w:t>
      </w:r>
      <w:r w:rsidRPr="005C649B">
        <w:rPr>
          <w:color w:val="000000" w:themeColor="text1"/>
        </w:rPr>
        <w:t xml:space="preserve"> due </w:t>
      </w:r>
      <w:r>
        <w:rPr>
          <w:color w:val="000000" w:themeColor="text1"/>
        </w:rPr>
        <w:t xml:space="preserve">to above average rainfall in January 2017 and March 2017 when TC Debbie </w:t>
      </w:r>
      <w:r w:rsidRPr="005C649B">
        <w:rPr>
          <w:color w:val="000000" w:themeColor="text1"/>
        </w:rPr>
        <w:t xml:space="preserve">made landfall </w:t>
      </w:r>
      <w:r>
        <w:rPr>
          <w:color w:val="000000" w:themeColor="text1"/>
        </w:rPr>
        <w:t>near</w:t>
      </w:r>
      <w:r w:rsidRPr="005C649B">
        <w:rPr>
          <w:color w:val="000000" w:themeColor="text1"/>
        </w:rPr>
        <w:t xml:space="preserve"> Airlie Beach </w:t>
      </w:r>
      <w:r w:rsidR="00270034" w:rsidRPr="005C649B">
        <w:rPr>
          <w:color w:val="000000" w:themeColor="text1"/>
        </w:rPr>
        <w:t>(</w:t>
      </w:r>
      <w:r w:rsidR="005D293A" w:rsidRPr="005C649B">
        <w:rPr>
          <w:color w:val="000000" w:themeColor="text1"/>
        </w:rPr>
        <w:fldChar w:fldCharType="begin"/>
      </w:r>
      <w:r w:rsidR="005D293A" w:rsidRPr="005C649B">
        <w:rPr>
          <w:color w:val="000000" w:themeColor="text1"/>
        </w:rPr>
        <w:instrText xml:space="preserve"> REF _Ref441843332 \h </w:instrText>
      </w:r>
      <w:r w:rsidR="005D293A" w:rsidRPr="005C649B">
        <w:rPr>
          <w:color w:val="000000" w:themeColor="text1"/>
        </w:rPr>
      </w:r>
      <w:r w:rsidR="005D293A" w:rsidRPr="005C649B">
        <w:rPr>
          <w:color w:val="000000" w:themeColor="text1"/>
        </w:rPr>
        <w:fldChar w:fldCharType="separate"/>
      </w:r>
      <w:r w:rsidR="00F87DF9" w:rsidRPr="008F6ECE">
        <w:t xml:space="preserve">Table </w:t>
      </w:r>
      <w:r w:rsidR="00F87DF9">
        <w:rPr>
          <w:noProof/>
        </w:rPr>
        <w:t>24</w:t>
      </w:r>
      <w:r w:rsidR="005D293A" w:rsidRPr="005C649B">
        <w:rPr>
          <w:color w:val="000000" w:themeColor="text1"/>
        </w:rPr>
        <w:fldChar w:fldCharType="end"/>
      </w:r>
      <w:r w:rsidR="00270034" w:rsidRPr="005C649B">
        <w:rPr>
          <w:color w:val="000000" w:themeColor="text1"/>
        </w:rPr>
        <w:t>)</w:t>
      </w:r>
      <w:r w:rsidR="005D293A" w:rsidRPr="005C649B">
        <w:rPr>
          <w:color w:val="000000" w:themeColor="text1"/>
        </w:rPr>
        <w:t xml:space="preserve">. </w:t>
      </w:r>
      <w:r w:rsidR="00CC156F">
        <w:rPr>
          <w:color w:val="000000" w:themeColor="text1"/>
        </w:rPr>
        <w:t xml:space="preserve">Despite this, the number of strong wind days </w:t>
      </w:r>
      <w:r w:rsidR="00CC156F" w:rsidRPr="00CC156F">
        <w:rPr>
          <w:color w:val="000000" w:themeColor="text1"/>
        </w:rPr>
        <w:t>was</w:t>
      </w:r>
      <w:r w:rsidR="00270034" w:rsidRPr="00CC156F">
        <w:rPr>
          <w:color w:val="000000" w:themeColor="text1"/>
        </w:rPr>
        <w:t xml:space="preserve"> </w:t>
      </w:r>
      <w:r w:rsidRPr="00CC156F">
        <w:rPr>
          <w:color w:val="000000" w:themeColor="text1"/>
        </w:rPr>
        <w:t>below</w:t>
      </w:r>
      <w:r w:rsidR="00270034" w:rsidRPr="00CC156F">
        <w:rPr>
          <w:color w:val="000000" w:themeColor="text1"/>
        </w:rPr>
        <w:t xml:space="preserve"> average</w:t>
      </w:r>
      <w:r w:rsidR="00270034" w:rsidRPr="0097780F">
        <w:rPr>
          <w:color w:val="0000FF"/>
        </w:rPr>
        <w:t xml:space="preserve">. </w:t>
      </w:r>
      <w:r w:rsidR="00924BF9" w:rsidRPr="0022398D">
        <w:rPr>
          <w:color w:val="000000" w:themeColor="text1"/>
        </w:rPr>
        <w:t>E</w:t>
      </w:r>
      <w:r w:rsidR="00270034" w:rsidRPr="0022398D">
        <w:rPr>
          <w:color w:val="000000" w:themeColor="text1"/>
        </w:rPr>
        <w:t xml:space="preserve">xposed to </w:t>
      </w:r>
      <w:r w:rsidR="0022398D" w:rsidRPr="0022398D">
        <w:rPr>
          <w:color w:val="000000" w:themeColor="text1"/>
        </w:rPr>
        <w:t xml:space="preserve">‘brown’ or ‘green’ </w:t>
      </w:r>
      <w:r w:rsidR="00270034" w:rsidRPr="0022398D">
        <w:rPr>
          <w:color w:val="000000" w:themeColor="text1"/>
        </w:rPr>
        <w:t xml:space="preserve">turbid water </w:t>
      </w:r>
      <w:r w:rsidR="004D761B" w:rsidRPr="0022398D">
        <w:rPr>
          <w:color w:val="000000" w:themeColor="text1"/>
        </w:rPr>
        <w:t xml:space="preserve">was </w:t>
      </w:r>
      <w:r w:rsidR="0022398D" w:rsidRPr="0022398D">
        <w:rPr>
          <w:color w:val="000000" w:themeColor="text1"/>
        </w:rPr>
        <w:t xml:space="preserve">the same in </w:t>
      </w:r>
      <w:r w:rsidR="008574EC">
        <w:rPr>
          <w:color w:val="000000" w:themeColor="text1"/>
        </w:rPr>
        <w:t>2016–17</w:t>
      </w:r>
      <w:r w:rsidR="0022398D" w:rsidRPr="0022398D">
        <w:rPr>
          <w:color w:val="000000" w:themeColor="text1"/>
        </w:rPr>
        <w:t>, with 94 per cent (</w:t>
      </w:r>
      <w:r w:rsidR="0022398D" w:rsidRPr="0022398D">
        <w:rPr>
          <w:i/>
          <w:color w:val="000000" w:themeColor="text1"/>
        </w:rPr>
        <w:t>f</w:t>
      </w:r>
      <w:r w:rsidR="0022398D" w:rsidRPr="0022398D">
        <w:rPr>
          <w:color w:val="000000" w:themeColor="text1"/>
          <w:vertAlign w:val="subscript"/>
        </w:rPr>
        <w:t xml:space="preserve">P+S </w:t>
      </w:r>
      <w:r w:rsidR="0022398D" w:rsidRPr="0022398D">
        <w:rPr>
          <w:color w:val="000000" w:themeColor="text1"/>
        </w:rPr>
        <w:t>= 0.94) of the wet season weeks experiencing turbid water</w:t>
      </w:r>
      <w:r w:rsidR="00270034" w:rsidRPr="0022398D">
        <w:rPr>
          <w:color w:val="000000" w:themeColor="text1"/>
        </w:rPr>
        <w:t xml:space="preserve">. </w:t>
      </w:r>
      <w:r w:rsidR="0022398D">
        <w:rPr>
          <w:color w:val="000000" w:themeColor="text1"/>
        </w:rPr>
        <w:t xml:space="preserve">However, in </w:t>
      </w:r>
      <w:r w:rsidR="008574EC">
        <w:rPr>
          <w:color w:val="000000" w:themeColor="text1"/>
        </w:rPr>
        <w:t>2016–17</w:t>
      </w:r>
      <w:r w:rsidR="0022398D">
        <w:rPr>
          <w:color w:val="000000" w:themeColor="text1"/>
        </w:rPr>
        <w:t xml:space="preserve">, there was a greater frequency of exposure to the ‘brown’ turbid water (Colour class 1-4, </w:t>
      </w:r>
      <w:r w:rsidR="0022398D" w:rsidRPr="0022398D">
        <w:rPr>
          <w:i/>
          <w:color w:val="000000" w:themeColor="text1"/>
        </w:rPr>
        <w:t>f</w:t>
      </w:r>
      <w:r w:rsidR="0022398D" w:rsidRPr="0022398D">
        <w:rPr>
          <w:color w:val="000000" w:themeColor="text1"/>
          <w:vertAlign w:val="subscript"/>
        </w:rPr>
        <w:t>P</w:t>
      </w:r>
      <w:r w:rsidR="0022398D">
        <w:rPr>
          <w:color w:val="000000" w:themeColor="text1"/>
        </w:rPr>
        <w:t>) compared to previous years (</w:t>
      </w:r>
      <w:r w:rsidR="0022398D">
        <w:rPr>
          <w:color w:val="000000" w:themeColor="text1"/>
        </w:rPr>
        <w:fldChar w:fldCharType="begin"/>
      </w:r>
      <w:r w:rsidR="0022398D">
        <w:rPr>
          <w:color w:val="000000" w:themeColor="text1"/>
        </w:rPr>
        <w:instrText xml:space="preserve"> REF _Ref507596879 \h </w:instrText>
      </w:r>
      <w:r w:rsidR="0022398D">
        <w:rPr>
          <w:color w:val="000000" w:themeColor="text1"/>
        </w:rPr>
      </w:r>
      <w:r w:rsidR="0022398D">
        <w:rPr>
          <w:color w:val="000000" w:themeColor="text1"/>
        </w:rPr>
        <w:fldChar w:fldCharType="separate"/>
      </w:r>
      <w:r w:rsidR="00F87DF9">
        <w:t xml:space="preserve">Figure </w:t>
      </w:r>
      <w:r w:rsidR="00F87DF9">
        <w:rPr>
          <w:noProof/>
        </w:rPr>
        <w:t>10</w:t>
      </w:r>
      <w:r w:rsidR="0022398D">
        <w:rPr>
          <w:color w:val="000000" w:themeColor="text1"/>
        </w:rPr>
        <w:fldChar w:fldCharType="end"/>
      </w:r>
      <w:r w:rsidR="0022398D">
        <w:rPr>
          <w:color w:val="000000" w:themeColor="text1"/>
        </w:rPr>
        <w:t>).</w:t>
      </w:r>
    </w:p>
    <w:p w14:paraId="3C9E9E36" w14:textId="3EE57B7A" w:rsidR="00270034" w:rsidRPr="008F6ECE" w:rsidRDefault="005D293A" w:rsidP="00C36ADD">
      <w:pPr>
        <w:jc w:val="center"/>
        <w:rPr>
          <w:i/>
          <w:szCs w:val="22"/>
        </w:rPr>
      </w:pPr>
      <w:bookmarkStart w:id="454" w:name="_Ref441843332"/>
      <w:bookmarkStart w:id="455" w:name="_Toc516053448"/>
      <w:r w:rsidRPr="008F6ECE">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24</w:t>
      </w:r>
      <w:r w:rsidR="00C506C7">
        <w:rPr>
          <w:noProof/>
        </w:rPr>
        <w:fldChar w:fldCharType="end"/>
      </w:r>
      <w:bookmarkEnd w:id="454"/>
      <w:r w:rsidRPr="008F6ECE">
        <w:t xml:space="preserve">. </w:t>
      </w:r>
      <w:r w:rsidRPr="008F6ECE">
        <w:rPr>
          <w:i/>
        </w:rPr>
        <w:t xml:space="preserve">Summary of environmental conditions at monitoring sites in Mackay Whitsunday region in </w:t>
      </w:r>
      <w:r w:rsidR="008574EC">
        <w:rPr>
          <w:i/>
        </w:rPr>
        <w:t>2016–17</w:t>
      </w:r>
      <w:r w:rsidRPr="008F6ECE">
        <w:rPr>
          <w:i/>
        </w:rPr>
        <w:t xml:space="preserve"> compared to the long-term average (long-term range indicated for each data set).</w:t>
      </w:r>
      <w:bookmarkEnd w:id="455"/>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270034" w:rsidRPr="008F6ECE" w14:paraId="5B6E02F3" w14:textId="77777777" w:rsidTr="0059610E">
        <w:trPr>
          <w:trHeight w:val="227"/>
          <w:jc w:val="center"/>
        </w:trPr>
        <w:tc>
          <w:tcPr>
            <w:tcW w:w="3652" w:type="dxa"/>
            <w:tcBorders>
              <w:top w:val="single" w:sz="4" w:space="0" w:color="auto"/>
              <w:bottom w:val="single" w:sz="4" w:space="0" w:color="auto"/>
            </w:tcBorders>
            <w:shd w:val="clear" w:color="auto" w:fill="BBE0E3"/>
          </w:tcPr>
          <w:p w14:paraId="2C284387" w14:textId="77777777" w:rsidR="00270034" w:rsidRPr="008F6ECE" w:rsidRDefault="00270034" w:rsidP="00C36ADD">
            <w:pPr>
              <w:spacing w:before="0" w:after="0"/>
              <w:rPr>
                <w:b/>
                <w:sz w:val="18"/>
                <w:szCs w:val="18"/>
              </w:rPr>
            </w:pPr>
          </w:p>
        </w:tc>
        <w:tc>
          <w:tcPr>
            <w:tcW w:w="2268" w:type="dxa"/>
            <w:tcBorders>
              <w:top w:val="single" w:sz="4" w:space="0" w:color="auto"/>
              <w:bottom w:val="single" w:sz="4" w:space="0" w:color="auto"/>
            </w:tcBorders>
            <w:shd w:val="clear" w:color="auto" w:fill="BBE0E3"/>
          </w:tcPr>
          <w:p w14:paraId="1FB35794" w14:textId="77777777" w:rsidR="00270034" w:rsidRPr="008F6ECE" w:rsidRDefault="00270034" w:rsidP="00C36ADD">
            <w:pPr>
              <w:spacing w:before="0" w:after="0"/>
              <w:rPr>
                <w:b/>
                <w:sz w:val="18"/>
                <w:szCs w:val="18"/>
              </w:rPr>
            </w:pPr>
            <w:r w:rsidRPr="008F6ECE">
              <w:rPr>
                <w:b/>
                <w:sz w:val="18"/>
                <w:szCs w:val="18"/>
              </w:rPr>
              <w:t>Long-term average</w:t>
            </w:r>
          </w:p>
        </w:tc>
        <w:tc>
          <w:tcPr>
            <w:tcW w:w="1559" w:type="dxa"/>
            <w:tcBorders>
              <w:top w:val="single" w:sz="4" w:space="0" w:color="auto"/>
              <w:bottom w:val="single" w:sz="4" w:space="0" w:color="auto"/>
            </w:tcBorders>
            <w:shd w:val="clear" w:color="auto" w:fill="BBE0E3"/>
          </w:tcPr>
          <w:p w14:paraId="3E3391D2" w14:textId="04BEBEBB" w:rsidR="00270034" w:rsidRPr="008F6ECE" w:rsidRDefault="008574EC" w:rsidP="00C36ADD">
            <w:pPr>
              <w:spacing w:before="0" w:after="0"/>
              <w:rPr>
                <w:b/>
                <w:sz w:val="18"/>
                <w:szCs w:val="18"/>
              </w:rPr>
            </w:pPr>
            <w:r>
              <w:rPr>
                <w:b/>
                <w:sz w:val="18"/>
                <w:szCs w:val="18"/>
              </w:rPr>
              <w:t>2016–17</w:t>
            </w:r>
          </w:p>
        </w:tc>
      </w:tr>
      <w:tr w:rsidR="00270034" w:rsidRPr="008F6ECE" w14:paraId="6572C775" w14:textId="77777777" w:rsidTr="0059610E">
        <w:trPr>
          <w:trHeight w:val="227"/>
          <w:jc w:val="center"/>
        </w:trPr>
        <w:tc>
          <w:tcPr>
            <w:tcW w:w="3652" w:type="dxa"/>
            <w:shd w:val="clear" w:color="auto" w:fill="E7F3F4"/>
          </w:tcPr>
          <w:p w14:paraId="26740011" w14:textId="5F41F2F3" w:rsidR="00270034" w:rsidRPr="008F6ECE" w:rsidRDefault="00270034" w:rsidP="00C36ADD">
            <w:pPr>
              <w:spacing w:before="0" w:after="0"/>
              <w:rPr>
                <w:sz w:val="18"/>
                <w:szCs w:val="18"/>
              </w:rPr>
            </w:pPr>
            <w:r w:rsidRPr="008F6ECE">
              <w:rPr>
                <w:sz w:val="18"/>
                <w:szCs w:val="18"/>
              </w:rPr>
              <w:t>Rainfall</w:t>
            </w:r>
            <w:r w:rsidR="003C6B91" w:rsidRPr="008F6ECE">
              <w:rPr>
                <w:sz w:val="18"/>
                <w:szCs w:val="18"/>
              </w:rPr>
              <w:t xml:space="preserve"> (1910-201</w:t>
            </w:r>
            <w:r w:rsidR="0097780F" w:rsidRPr="008F6ECE">
              <w:rPr>
                <w:sz w:val="18"/>
                <w:szCs w:val="18"/>
              </w:rPr>
              <w:t>7</w:t>
            </w:r>
            <w:r w:rsidRPr="008F6ECE">
              <w:rPr>
                <w:sz w:val="18"/>
                <w:szCs w:val="18"/>
              </w:rPr>
              <w:t>)</w:t>
            </w:r>
          </w:p>
        </w:tc>
        <w:tc>
          <w:tcPr>
            <w:tcW w:w="2268" w:type="dxa"/>
            <w:shd w:val="clear" w:color="auto" w:fill="E7F3F4"/>
          </w:tcPr>
          <w:p w14:paraId="4B335335" w14:textId="2DA803C5" w:rsidR="00270034" w:rsidRPr="008F6ECE" w:rsidRDefault="00540272" w:rsidP="00C36ADD">
            <w:pPr>
              <w:spacing w:before="0" w:after="0"/>
              <w:rPr>
                <w:sz w:val="18"/>
                <w:szCs w:val="18"/>
              </w:rPr>
            </w:pPr>
            <w:r w:rsidRPr="008F6ECE">
              <w:rPr>
                <w:sz w:val="18"/>
                <w:szCs w:val="18"/>
              </w:rPr>
              <w:t>7.7</w:t>
            </w:r>
            <w:r w:rsidR="004453EA" w:rsidRPr="008F6ECE">
              <w:rPr>
                <w:sz w:val="18"/>
                <w:szCs w:val="18"/>
              </w:rPr>
              <w:t xml:space="preserve"> </w:t>
            </w:r>
            <w:r w:rsidR="00270034" w:rsidRPr="008F6ECE">
              <w:rPr>
                <w:sz w:val="18"/>
                <w:szCs w:val="18"/>
              </w:rPr>
              <w:t>mm</w:t>
            </w:r>
            <w:r w:rsidRPr="008F6ECE">
              <w:rPr>
                <w:sz w:val="18"/>
                <w:szCs w:val="18"/>
              </w:rPr>
              <w:t xml:space="preserve"> d</w:t>
            </w:r>
            <w:r w:rsidRPr="008F6ECE">
              <w:rPr>
                <w:sz w:val="18"/>
                <w:szCs w:val="18"/>
                <w:vertAlign w:val="superscript"/>
              </w:rPr>
              <w:t>-1</w:t>
            </w:r>
          </w:p>
        </w:tc>
        <w:tc>
          <w:tcPr>
            <w:tcW w:w="1559" w:type="dxa"/>
            <w:shd w:val="clear" w:color="auto" w:fill="E7F3F4"/>
          </w:tcPr>
          <w:p w14:paraId="0B0BF997" w14:textId="10B8623C" w:rsidR="00270034" w:rsidRPr="008F6ECE" w:rsidRDefault="00540272" w:rsidP="00C36ADD">
            <w:pPr>
              <w:spacing w:before="0" w:after="0"/>
              <w:rPr>
                <w:sz w:val="18"/>
                <w:szCs w:val="18"/>
              </w:rPr>
            </w:pPr>
            <w:r w:rsidRPr="008F6ECE">
              <w:rPr>
                <w:sz w:val="18"/>
                <w:szCs w:val="18"/>
              </w:rPr>
              <w:t>11.7 mm d</w:t>
            </w:r>
            <w:r w:rsidRPr="008F6ECE">
              <w:rPr>
                <w:sz w:val="18"/>
                <w:szCs w:val="18"/>
                <w:vertAlign w:val="superscript"/>
              </w:rPr>
              <w:t>-1</w:t>
            </w:r>
          </w:p>
        </w:tc>
      </w:tr>
      <w:tr w:rsidR="00270034" w:rsidRPr="008F6ECE" w14:paraId="4976D7DE" w14:textId="77777777" w:rsidTr="0059610E">
        <w:trPr>
          <w:trHeight w:val="227"/>
          <w:jc w:val="center"/>
        </w:trPr>
        <w:tc>
          <w:tcPr>
            <w:tcW w:w="3652" w:type="dxa"/>
            <w:shd w:val="clear" w:color="auto" w:fill="E7F3F4"/>
          </w:tcPr>
          <w:p w14:paraId="7F5AB6C8" w14:textId="5800DE38" w:rsidR="00270034" w:rsidRPr="008F6ECE" w:rsidRDefault="00270034" w:rsidP="00C36ADD">
            <w:pPr>
              <w:spacing w:before="0" w:after="0"/>
              <w:rPr>
                <w:sz w:val="18"/>
                <w:szCs w:val="18"/>
              </w:rPr>
            </w:pPr>
            <w:r w:rsidRPr="008F6ECE">
              <w:rPr>
                <w:sz w:val="18"/>
                <w:szCs w:val="18"/>
              </w:rPr>
              <w:t>River discharge (1970</w:t>
            </w:r>
            <w:r w:rsidR="003C6B91" w:rsidRPr="008F6ECE">
              <w:rPr>
                <w:sz w:val="18"/>
                <w:szCs w:val="18"/>
              </w:rPr>
              <w:t>-201</w:t>
            </w:r>
            <w:r w:rsidR="0097780F" w:rsidRPr="008F6ECE">
              <w:rPr>
                <w:sz w:val="18"/>
                <w:szCs w:val="18"/>
              </w:rPr>
              <w:t>7</w:t>
            </w:r>
            <w:r w:rsidRPr="008F6ECE">
              <w:rPr>
                <w:sz w:val="18"/>
                <w:szCs w:val="18"/>
              </w:rPr>
              <w:t>)</w:t>
            </w:r>
          </w:p>
        </w:tc>
        <w:tc>
          <w:tcPr>
            <w:tcW w:w="2268" w:type="dxa"/>
            <w:shd w:val="clear" w:color="auto" w:fill="E7F3F4"/>
          </w:tcPr>
          <w:p w14:paraId="56230A58" w14:textId="08945728" w:rsidR="00270034" w:rsidRPr="008F6ECE" w:rsidRDefault="004453EA" w:rsidP="00C36ADD">
            <w:pPr>
              <w:spacing w:before="0" w:after="0"/>
              <w:rPr>
                <w:sz w:val="18"/>
                <w:szCs w:val="18"/>
              </w:rPr>
            </w:pPr>
            <w:r w:rsidRPr="008F6ECE">
              <w:rPr>
                <w:sz w:val="18"/>
                <w:szCs w:val="18"/>
              </w:rPr>
              <w:t>3,</w:t>
            </w:r>
            <w:r w:rsidR="00540272" w:rsidRPr="008F6ECE">
              <w:rPr>
                <w:sz w:val="18"/>
                <w:szCs w:val="18"/>
              </w:rPr>
              <w:t>831,058</w:t>
            </w:r>
            <w:r w:rsidRPr="008F6ECE">
              <w:rPr>
                <w:sz w:val="18"/>
                <w:szCs w:val="18"/>
              </w:rPr>
              <w:t xml:space="preserve"> </w:t>
            </w:r>
            <w:r w:rsidR="00270034" w:rsidRPr="008F6ECE">
              <w:rPr>
                <w:sz w:val="18"/>
                <w:szCs w:val="18"/>
              </w:rPr>
              <w:t>L yr</w:t>
            </w:r>
            <w:r w:rsidR="00270034" w:rsidRPr="008F6ECE">
              <w:rPr>
                <w:sz w:val="18"/>
                <w:szCs w:val="18"/>
                <w:vertAlign w:val="superscript"/>
              </w:rPr>
              <w:t>-1</w:t>
            </w:r>
          </w:p>
        </w:tc>
        <w:tc>
          <w:tcPr>
            <w:tcW w:w="1559" w:type="dxa"/>
            <w:shd w:val="clear" w:color="auto" w:fill="E7F3F4"/>
          </w:tcPr>
          <w:p w14:paraId="1950BD32" w14:textId="765D60D1" w:rsidR="00270034" w:rsidRPr="008F6ECE" w:rsidRDefault="00540272" w:rsidP="00C36ADD">
            <w:pPr>
              <w:spacing w:before="0" w:after="0"/>
              <w:rPr>
                <w:sz w:val="18"/>
                <w:szCs w:val="18"/>
              </w:rPr>
            </w:pPr>
            <w:r w:rsidRPr="008F6ECE">
              <w:rPr>
                <w:sz w:val="18"/>
                <w:szCs w:val="18"/>
              </w:rPr>
              <w:t>7</w:t>
            </w:r>
            <w:r w:rsidR="004453EA" w:rsidRPr="008F6ECE">
              <w:rPr>
                <w:sz w:val="18"/>
                <w:szCs w:val="18"/>
              </w:rPr>
              <w:t>,</w:t>
            </w:r>
            <w:r w:rsidRPr="008F6ECE">
              <w:rPr>
                <w:sz w:val="18"/>
                <w:szCs w:val="18"/>
              </w:rPr>
              <w:t>197,028</w:t>
            </w:r>
            <w:r w:rsidR="004453EA" w:rsidRPr="008F6ECE">
              <w:rPr>
                <w:sz w:val="18"/>
                <w:szCs w:val="18"/>
              </w:rPr>
              <w:t xml:space="preserve"> </w:t>
            </w:r>
            <w:r w:rsidR="00270034" w:rsidRPr="008F6ECE">
              <w:rPr>
                <w:sz w:val="18"/>
                <w:szCs w:val="18"/>
              </w:rPr>
              <w:t>L yr</w:t>
            </w:r>
            <w:r w:rsidR="00270034" w:rsidRPr="008F6ECE">
              <w:rPr>
                <w:sz w:val="18"/>
                <w:szCs w:val="18"/>
                <w:vertAlign w:val="superscript"/>
              </w:rPr>
              <w:t>-1</w:t>
            </w:r>
          </w:p>
        </w:tc>
      </w:tr>
      <w:tr w:rsidR="00270034" w:rsidRPr="008F6ECE" w14:paraId="7D95A9EF" w14:textId="77777777" w:rsidTr="0059610E">
        <w:trPr>
          <w:trHeight w:val="227"/>
          <w:jc w:val="center"/>
        </w:trPr>
        <w:tc>
          <w:tcPr>
            <w:tcW w:w="3652" w:type="dxa"/>
            <w:shd w:val="clear" w:color="auto" w:fill="E7F3F4"/>
          </w:tcPr>
          <w:p w14:paraId="6F443C08" w14:textId="7A4B5F15" w:rsidR="00270034" w:rsidRPr="008F6ECE" w:rsidRDefault="00DD6E6B" w:rsidP="00C36ADD">
            <w:pPr>
              <w:spacing w:before="0" w:after="0"/>
              <w:rPr>
                <w:sz w:val="18"/>
                <w:szCs w:val="18"/>
              </w:rPr>
            </w:pPr>
            <w:r w:rsidRPr="008F6ECE">
              <w:rPr>
                <w:sz w:val="18"/>
                <w:szCs w:val="18"/>
              </w:rPr>
              <w:t>Turbid water</w:t>
            </w:r>
            <w:r w:rsidR="00270034" w:rsidRPr="008F6ECE">
              <w:rPr>
                <w:sz w:val="18"/>
                <w:szCs w:val="18"/>
              </w:rPr>
              <w:t xml:space="preserve"> exposure</w:t>
            </w:r>
            <w:r w:rsidR="00681546" w:rsidRPr="008F6ECE">
              <w:rPr>
                <w:sz w:val="18"/>
                <w:szCs w:val="18"/>
              </w:rPr>
              <w:t xml:space="preserve"> </w:t>
            </w:r>
            <w:r w:rsidR="00681546" w:rsidRPr="008F6ECE">
              <w:rPr>
                <w:i/>
                <w:sz w:val="18"/>
                <w:szCs w:val="18"/>
              </w:rPr>
              <w:t>f</w:t>
            </w:r>
            <w:r w:rsidR="00681546" w:rsidRPr="008F6ECE">
              <w:rPr>
                <w:sz w:val="18"/>
                <w:szCs w:val="18"/>
                <w:vertAlign w:val="subscript"/>
              </w:rPr>
              <w:t>(P+S)</w:t>
            </w:r>
            <w:r w:rsidR="003C6B91" w:rsidRPr="008F6ECE">
              <w:rPr>
                <w:sz w:val="18"/>
                <w:szCs w:val="18"/>
              </w:rPr>
              <w:t xml:space="preserve"> (2006-201</w:t>
            </w:r>
            <w:r w:rsidR="0097780F" w:rsidRPr="008F6ECE">
              <w:rPr>
                <w:sz w:val="18"/>
                <w:szCs w:val="18"/>
              </w:rPr>
              <w:t>7</w:t>
            </w:r>
            <w:r w:rsidR="00270034" w:rsidRPr="008F6ECE">
              <w:rPr>
                <w:sz w:val="18"/>
                <w:szCs w:val="18"/>
              </w:rPr>
              <w:t>)</w:t>
            </w:r>
          </w:p>
        </w:tc>
        <w:tc>
          <w:tcPr>
            <w:tcW w:w="2268" w:type="dxa"/>
            <w:shd w:val="clear" w:color="auto" w:fill="E7F3F4"/>
          </w:tcPr>
          <w:p w14:paraId="27BFFDB0" w14:textId="37FAD218" w:rsidR="00270034" w:rsidRPr="008F6ECE" w:rsidRDefault="008705C0" w:rsidP="00C36ADD">
            <w:pPr>
              <w:spacing w:before="0" w:after="0"/>
              <w:rPr>
                <w:sz w:val="18"/>
                <w:szCs w:val="18"/>
              </w:rPr>
            </w:pPr>
            <w:r w:rsidRPr="008F6ECE">
              <w:rPr>
                <w:sz w:val="18"/>
                <w:szCs w:val="18"/>
              </w:rPr>
              <w:t>94 per cent</w:t>
            </w:r>
          </w:p>
        </w:tc>
        <w:tc>
          <w:tcPr>
            <w:tcW w:w="1559" w:type="dxa"/>
            <w:shd w:val="clear" w:color="auto" w:fill="E7F3F4"/>
          </w:tcPr>
          <w:p w14:paraId="0B74094E" w14:textId="2FB5CEFC" w:rsidR="00270034" w:rsidRPr="008F6ECE" w:rsidRDefault="008705C0" w:rsidP="00C36ADD">
            <w:pPr>
              <w:spacing w:before="0" w:after="0"/>
              <w:rPr>
                <w:sz w:val="18"/>
                <w:szCs w:val="18"/>
              </w:rPr>
            </w:pPr>
            <w:r w:rsidRPr="008F6ECE">
              <w:rPr>
                <w:sz w:val="18"/>
                <w:szCs w:val="18"/>
              </w:rPr>
              <w:t>94 per cent</w:t>
            </w:r>
          </w:p>
        </w:tc>
      </w:tr>
      <w:tr w:rsidR="00420073" w:rsidRPr="008F6ECE" w14:paraId="3224B8CF" w14:textId="77777777" w:rsidTr="0059610E">
        <w:trPr>
          <w:trHeight w:val="227"/>
          <w:jc w:val="center"/>
        </w:trPr>
        <w:tc>
          <w:tcPr>
            <w:tcW w:w="3652" w:type="dxa"/>
            <w:shd w:val="clear" w:color="auto" w:fill="E7F3F4"/>
          </w:tcPr>
          <w:p w14:paraId="71A5234B" w14:textId="612381C3" w:rsidR="00270034" w:rsidRPr="008F6ECE" w:rsidRDefault="00270034" w:rsidP="00C36ADD">
            <w:pPr>
              <w:spacing w:before="0" w:after="0"/>
              <w:rPr>
                <w:sz w:val="18"/>
                <w:szCs w:val="18"/>
              </w:rPr>
            </w:pPr>
            <w:r w:rsidRPr="008F6ECE">
              <w:rPr>
                <w:sz w:val="18"/>
                <w:szCs w:val="18"/>
              </w:rPr>
              <w:t>D</w:t>
            </w:r>
            <w:r w:rsidR="003C6B91" w:rsidRPr="008F6ECE">
              <w:rPr>
                <w:sz w:val="18"/>
                <w:szCs w:val="18"/>
              </w:rPr>
              <w:t>aytime tidal exposure (1999-201</w:t>
            </w:r>
            <w:r w:rsidR="0097780F" w:rsidRPr="008F6ECE">
              <w:rPr>
                <w:sz w:val="18"/>
                <w:szCs w:val="18"/>
              </w:rPr>
              <w:t>7</w:t>
            </w:r>
            <w:r w:rsidRPr="008F6ECE">
              <w:rPr>
                <w:sz w:val="18"/>
                <w:szCs w:val="18"/>
              </w:rPr>
              <w:t>)</w:t>
            </w:r>
          </w:p>
        </w:tc>
        <w:tc>
          <w:tcPr>
            <w:tcW w:w="2268" w:type="dxa"/>
            <w:shd w:val="clear" w:color="auto" w:fill="E7F3F4"/>
          </w:tcPr>
          <w:p w14:paraId="6747DC9E" w14:textId="0BA37EB0" w:rsidR="00270034" w:rsidRPr="008F6ECE" w:rsidRDefault="00A174BA" w:rsidP="00C36ADD">
            <w:pPr>
              <w:spacing w:before="0" w:after="0"/>
              <w:rPr>
                <w:sz w:val="18"/>
                <w:szCs w:val="18"/>
              </w:rPr>
            </w:pPr>
            <w:r w:rsidRPr="008F6ECE">
              <w:rPr>
                <w:sz w:val="18"/>
                <w:szCs w:val="18"/>
              </w:rPr>
              <w:t>47 hr yr</w:t>
            </w:r>
            <w:r w:rsidRPr="008F6ECE">
              <w:rPr>
                <w:sz w:val="18"/>
                <w:szCs w:val="18"/>
                <w:vertAlign w:val="superscript"/>
              </w:rPr>
              <w:t>-1</w:t>
            </w:r>
          </w:p>
        </w:tc>
        <w:tc>
          <w:tcPr>
            <w:tcW w:w="1559" w:type="dxa"/>
            <w:shd w:val="clear" w:color="auto" w:fill="E7F3F4"/>
          </w:tcPr>
          <w:p w14:paraId="4AE79AA6" w14:textId="6021E16A" w:rsidR="00270034" w:rsidRPr="008F6ECE" w:rsidRDefault="00A174BA" w:rsidP="00C36ADD">
            <w:pPr>
              <w:spacing w:before="0" w:after="0"/>
              <w:rPr>
                <w:sz w:val="18"/>
                <w:szCs w:val="18"/>
              </w:rPr>
            </w:pPr>
            <w:r w:rsidRPr="008F6ECE">
              <w:rPr>
                <w:sz w:val="18"/>
                <w:szCs w:val="18"/>
              </w:rPr>
              <w:t>57 hr yr</w:t>
            </w:r>
            <w:r w:rsidRPr="008F6ECE">
              <w:rPr>
                <w:sz w:val="18"/>
                <w:szCs w:val="18"/>
                <w:vertAlign w:val="superscript"/>
              </w:rPr>
              <w:t>-1</w:t>
            </w:r>
          </w:p>
        </w:tc>
      </w:tr>
      <w:tr w:rsidR="00270034" w:rsidRPr="008F6ECE" w14:paraId="40D5E944" w14:textId="77777777" w:rsidTr="0059610E">
        <w:trPr>
          <w:trHeight w:val="227"/>
          <w:jc w:val="center"/>
        </w:trPr>
        <w:tc>
          <w:tcPr>
            <w:tcW w:w="3652" w:type="dxa"/>
            <w:tcBorders>
              <w:bottom w:val="single" w:sz="4" w:space="0" w:color="auto"/>
            </w:tcBorders>
            <w:shd w:val="clear" w:color="auto" w:fill="E7F3F4"/>
          </w:tcPr>
          <w:p w14:paraId="45D2A342" w14:textId="74637EEC" w:rsidR="00270034" w:rsidRPr="008F6ECE" w:rsidRDefault="00270034" w:rsidP="00C36ADD">
            <w:pPr>
              <w:spacing w:before="0" w:after="0"/>
              <w:rPr>
                <w:sz w:val="18"/>
                <w:szCs w:val="18"/>
              </w:rPr>
            </w:pPr>
            <w:r w:rsidRPr="008F6ECE">
              <w:rPr>
                <w:sz w:val="18"/>
                <w:szCs w:val="18"/>
              </w:rPr>
              <w:t xml:space="preserve">Wind </w:t>
            </w:r>
            <w:r w:rsidR="00681546" w:rsidRPr="008F6ECE">
              <w:rPr>
                <w:sz w:val="18"/>
                <w:szCs w:val="18"/>
              </w:rPr>
              <w:t>&gt;25km hr</w:t>
            </w:r>
            <w:r w:rsidR="00681546" w:rsidRPr="008F6ECE">
              <w:rPr>
                <w:sz w:val="18"/>
                <w:szCs w:val="18"/>
                <w:vertAlign w:val="superscript"/>
              </w:rPr>
              <w:t>-1</w:t>
            </w:r>
            <w:r w:rsidR="003C6B91" w:rsidRPr="008F6ECE">
              <w:rPr>
                <w:sz w:val="18"/>
                <w:szCs w:val="18"/>
              </w:rPr>
              <w:t>(1998-201</w:t>
            </w:r>
            <w:r w:rsidR="0097780F" w:rsidRPr="008F6ECE">
              <w:rPr>
                <w:sz w:val="18"/>
                <w:szCs w:val="18"/>
              </w:rPr>
              <w:t>7</w:t>
            </w:r>
            <w:r w:rsidRPr="008F6ECE">
              <w:rPr>
                <w:sz w:val="18"/>
                <w:szCs w:val="18"/>
              </w:rPr>
              <w:t>)</w:t>
            </w:r>
          </w:p>
        </w:tc>
        <w:tc>
          <w:tcPr>
            <w:tcW w:w="2268" w:type="dxa"/>
            <w:tcBorders>
              <w:bottom w:val="single" w:sz="4" w:space="0" w:color="auto"/>
            </w:tcBorders>
            <w:shd w:val="clear" w:color="auto" w:fill="E7F3F4"/>
          </w:tcPr>
          <w:p w14:paraId="3CCDEE72" w14:textId="3F2A9260" w:rsidR="00270034" w:rsidRPr="008F6ECE" w:rsidRDefault="00A97340" w:rsidP="00C36ADD">
            <w:pPr>
              <w:spacing w:before="0" w:after="0"/>
              <w:rPr>
                <w:sz w:val="18"/>
                <w:szCs w:val="18"/>
              </w:rPr>
            </w:pPr>
            <w:r w:rsidRPr="008F6ECE">
              <w:rPr>
                <w:sz w:val="18"/>
                <w:szCs w:val="18"/>
              </w:rPr>
              <w:t>153</w:t>
            </w:r>
            <w:r w:rsidR="00270034" w:rsidRPr="008F6ECE">
              <w:rPr>
                <w:sz w:val="18"/>
                <w:szCs w:val="18"/>
              </w:rPr>
              <w:t xml:space="preserve"> days yr</w:t>
            </w:r>
            <w:r w:rsidR="00270034" w:rsidRPr="008F6ECE">
              <w:rPr>
                <w:sz w:val="18"/>
                <w:szCs w:val="18"/>
                <w:vertAlign w:val="superscript"/>
              </w:rPr>
              <w:t>-1</w:t>
            </w:r>
          </w:p>
        </w:tc>
        <w:tc>
          <w:tcPr>
            <w:tcW w:w="1559" w:type="dxa"/>
            <w:tcBorders>
              <w:bottom w:val="single" w:sz="4" w:space="0" w:color="auto"/>
            </w:tcBorders>
            <w:shd w:val="clear" w:color="auto" w:fill="E7F3F4"/>
          </w:tcPr>
          <w:p w14:paraId="43417297" w14:textId="3D64B147" w:rsidR="00270034" w:rsidRPr="008F6ECE" w:rsidRDefault="00A97340" w:rsidP="00C36ADD">
            <w:pPr>
              <w:spacing w:before="0" w:after="0"/>
              <w:rPr>
                <w:sz w:val="18"/>
                <w:szCs w:val="18"/>
              </w:rPr>
            </w:pPr>
            <w:r w:rsidRPr="008F6ECE">
              <w:rPr>
                <w:sz w:val="18"/>
                <w:szCs w:val="18"/>
              </w:rPr>
              <w:t>122</w:t>
            </w:r>
            <w:r w:rsidR="00270034" w:rsidRPr="008F6ECE">
              <w:rPr>
                <w:sz w:val="18"/>
                <w:szCs w:val="18"/>
              </w:rPr>
              <w:t xml:space="preserve"> days yr</w:t>
            </w:r>
            <w:r w:rsidR="00270034" w:rsidRPr="008F6ECE">
              <w:rPr>
                <w:sz w:val="18"/>
                <w:szCs w:val="18"/>
                <w:vertAlign w:val="superscript"/>
              </w:rPr>
              <w:t>-1</w:t>
            </w:r>
          </w:p>
        </w:tc>
      </w:tr>
      <w:tr w:rsidR="00582260" w:rsidRPr="008F6ECE" w14:paraId="518AF387" w14:textId="77777777" w:rsidTr="0059610E">
        <w:trPr>
          <w:trHeight w:val="227"/>
          <w:jc w:val="center"/>
        </w:trPr>
        <w:tc>
          <w:tcPr>
            <w:tcW w:w="3652" w:type="dxa"/>
            <w:shd w:val="clear" w:color="auto" w:fill="F3F9FA"/>
          </w:tcPr>
          <w:p w14:paraId="6962AA72" w14:textId="7D6D5147" w:rsidR="00270034" w:rsidRPr="008F6ECE" w:rsidRDefault="00270034" w:rsidP="00C36ADD">
            <w:pPr>
              <w:spacing w:before="0" w:after="0"/>
              <w:rPr>
                <w:sz w:val="18"/>
                <w:szCs w:val="18"/>
              </w:rPr>
            </w:pPr>
            <w:r w:rsidRPr="008F6ECE">
              <w:rPr>
                <w:sz w:val="18"/>
                <w:szCs w:val="18"/>
              </w:rPr>
              <w:t>Within canopy temperature (2003</w:t>
            </w:r>
            <w:r w:rsidR="003C6B91" w:rsidRPr="008F6ECE">
              <w:rPr>
                <w:sz w:val="18"/>
                <w:szCs w:val="18"/>
              </w:rPr>
              <w:t>-201</w:t>
            </w:r>
            <w:r w:rsidR="0097780F" w:rsidRPr="008F6ECE">
              <w:rPr>
                <w:sz w:val="18"/>
                <w:szCs w:val="18"/>
              </w:rPr>
              <w:t>7</w:t>
            </w:r>
            <w:r w:rsidRPr="008F6ECE">
              <w:rPr>
                <w:sz w:val="18"/>
                <w:szCs w:val="18"/>
              </w:rPr>
              <w:t>)</w:t>
            </w:r>
          </w:p>
        </w:tc>
        <w:tc>
          <w:tcPr>
            <w:tcW w:w="2268" w:type="dxa"/>
            <w:shd w:val="clear" w:color="auto" w:fill="F3F9FA"/>
          </w:tcPr>
          <w:p w14:paraId="0931C1F7" w14:textId="57C573FE" w:rsidR="00270034" w:rsidRPr="008F6ECE" w:rsidRDefault="005C649B" w:rsidP="00C36ADD">
            <w:pPr>
              <w:spacing w:before="0" w:after="0"/>
              <w:rPr>
                <w:sz w:val="18"/>
                <w:szCs w:val="18"/>
              </w:rPr>
            </w:pPr>
            <w:r w:rsidRPr="008F6ECE">
              <w:rPr>
                <w:sz w:val="18"/>
                <w:szCs w:val="18"/>
              </w:rPr>
              <w:t>25.3</w:t>
            </w:r>
            <w:r w:rsidR="00270034" w:rsidRPr="008F6ECE">
              <w:rPr>
                <w:sz w:val="18"/>
                <w:szCs w:val="18"/>
              </w:rPr>
              <w:t xml:space="preserve">°C </w:t>
            </w:r>
            <w:r w:rsidR="00270034" w:rsidRPr="008F6ECE">
              <w:rPr>
                <w:i/>
                <w:sz w:val="18"/>
                <w:szCs w:val="18"/>
              </w:rPr>
              <w:t>(42.7°C)</w:t>
            </w:r>
          </w:p>
        </w:tc>
        <w:tc>
          <w:tcPr>
            <w:tcW w:w="1559" w:type="dxa"/>
            <w:shd w:val="clear" w:color="auto" w:fill="F3F9FA"/>
          </w:tcPr>
          <w:p w14:paraId="54EADF72" w14:textId="09262C9B" w:rsidR="00270034" w:rsidRPr="008F6ECE" w:rsidRDefault="00270034" w:rsidP="00C36ADD">
            <w:pPr>
              <w:spacing w:before="0" w:after="0"/>
              <w:rPr>
                <w:sz w:val="18"/>
                <w:szCs w:val="18"/>
              </w:rPr>
            </w:pPr>
            <w:r w:rsidRPr="008F6ECE">
              <w:rPr>
                <w:sz w:val="18"/>
                <w:szCs w:val="18"/>
              </w:rPr>
              <w:t>25.</w:t>
            </w:r>
            <w:r w:rsidR="005C649B" w:rsidRPr="008F6ECE">
              <w:rPr>
                <w:sz w:val="18"/>
                <w:szCs w:val="18"/>
              </w:rPr>
              <w:t>9</w:t>
            </w:r>
            <w:r w:rsidRPr="008F6ECE">
              <w:rPr>
                <w:sz w:val="18"/>
                <w:szCs w:val="18"/>
              </w:rPr>
              <w:t xml:space="preserve">°C </w:t>
            </w:r>
            <w:r w:rsidRPr="008F6ECE">
              <w:rPr>
                <w:i/>
                <w:sz w:val="18"/>
                <w:szCs w:val="18"/>
              </w:rPr>
              <w:t>(</w:t>
            </w:r>
            <w:r w:rsidR="00582260" w:rsidRPr="008F6ECE">
              <w:rPr>
                <w:i/>
                <w:sz w:val="18"/>
                <w:szCs w:val="18"/>
              </w:rPr>
              <w:t>40.8</w:t>
            </w:r>
            <w:r w:rsidRPr="008F6ECE">
              <w:rPr>
                <w:i/>
                <w:sz w:val="18"/>
                <w:szCs w:val="18"/>
              </w:rPr>
              <w:t>°C)</w:t>
            </w:r>
          </w:p>
        </w:tc>
      </w:tr>
      <w:tr w:rsidR="00270034" w:rsidRPr="008F6ECE" w14:paraId="0B8A8A0A" w14:textId="77777777" w:rsidTr="0059610E">
        <w:trPr>
          <w:trHeight w:val="227"/>
          <w:jc w:val="center"/>
        </w:trPr>
        <w:tc>
          <w:tcPr>
            <w:tcW w:w="3652" w:type="dxa"/>
            <w:shd w:val="clear" w:color="auto" w:fill="F3F9FA"/>
          </w:tcPr>
          <w:p w14:paraId="5AAD5716" w14:textId="1537E5F8" w:rsidR="00270034" w:rsidRPr="008F6ECE" w:rsidRDefault="003C6B91" w:rsidP="00C36ADD">
            <w:pPr>
              <w:spacing w:before="0" w:after="0"/>
              <w:rPr>
                <w:sz w:val="18"/>
                <w:szCs w:val="18"/>
              </w:rPr>
            </w:pPr>
            <w:r w:rsidRPr="008F6ECE">
              <w:rPr>
                <w:sz w:val="18"/>
                <w:szCs w:val="18"/>
              </w:rPr>
              <w:t>Within canopy light (2012-201</w:t>
            </w:r>
            <w:r w:rsidR="0097780F" w:rsidRPr="008F6ECE">
              <w:rPr>
                <w:sz w:val="18"/>
                <w:szCs w:val="18"/>
              </w:rPr>
              <w:t>7</w:t>
            </w:r>
            <w:r w:rsidR="00270034" w:rsidRPr="008F6ECE">
              <w:rPr>
                <w:sz w:val="18"/>
                <w:szCs w:val="18"/>
              </w:rPr>
              <w:t>)</w:t>
            </w:r>
          </w:p>
        </w:tc>
        <w:tc>
          <w:tcPr>
            <w:tcW w:w="2268" w:type="dxa"/>
            <w:shd w:val="clear" w:color="auto" w:fill="F3F9FA"/>
          </w:tcPr>
          <w:p w14:paraId="46F2C70D" w14:textId="342F3B7D" w:rsidR="00270034" w:rsidRPr="008F6ECE" w:rsidRDefault="00A97340" w:rsidP="00C36ADD">
            <w:pPr>
              <w:spacing w:before="0" w:after="0"/>
              <w:rPr>
                <w:sz w:val="18"/>
                <w:szCs w:val="18"/>
              </w:rPr>
            </w:pPr>
            <w:r w:rsidRPr="008F6ECE">
              <w:rPr>
                <w:sz w:val="18"/>
                <w:szCs w:val="18"/>
              </w:rPr>
              <w:t>13.8</w:t>
            </w:r>
            <w:r w:rsidR="00270034" w:rsidRPr="008F6ECE">
              <w:rPr>
                <w:sz w:val="18"/>
                <w:szCs w:val="18"/>
              </w:rPr>
              <w:t xml:space="preserve"> mol m</w:t>
            </w:r>
            <w:r w:rsidR="00270034" w:rsidRPr="008F6ECE">
              <w:rPr>
                <w:sz w:val="18"/>
                <w:szCs w:val="18"/>
                <w:vertAlign w:val="superscript"/>
              </w:rPr>
              <w:t>-2</w:t>
            </w:r>
            <w:r w:rsidR="00270034" w:rsidRPr="008F6ECE">
              <w:rPr>
                <w:sz w:val="18"/>
                <w:szCs w:val="18"/>
              </w:rPr>
              <w:t xml:space="preserve"> d</w:t>
            </w:r>
            <w:r w:rsidR="00270034" w:rsidRPr="008F6ECE">
              <w:rPr>
                <w:sz w:val="18"/>
                <w:szCs w:val="18"/>
                <w:vertAlign w:val="superscript"/>
              </w:rPr>
              <w:t>-1</w:t>
            </w:r>
          </w:p>
        </w:tc>
        <w:tc>
          <w:tcPr>
            <w:tcW w:w="1559" w:type="dxa"/>
            <w:shd w:val="clear" w:color="auto" w:fill="F3F9FA"/>
          </w:tcPr>
          <w:p w14:paraId="6ACB1250" w14:textId="56B13D43" w:rsidR="00270034" w:rsidRPr="008F6ECE" w:rsidRDefault="00A97340" w:rsidP="00C36ADD">
            <w:pPr>
              <w:spacing w:before="0" w:after="0"/>
              <w:rPr>
                <w:sz w:val="18"/>
                <w:szCs w:val="18"/>
              </w:rPr>
            </w:pPr>
            <w:r w:rsidRPr="008F6ECE">
              <w:rPr>
                <w:sz w:val="18"/>
                <w:szCs w:val="18"/>
              </w:rPr>
              <w:t>9.5</w:t>
            </w:r>
            <w:r w:rsidR="00270034" w:rsidRPr="008F6ECE">
              <w:rPr>
                <w:sz w:val="18"/>
                <w:szCs w:val="18"/>
              </w:rPr>
              <w:t xml:space="preserve"> mol m</w:t>
            </w:r>
            <w:r w:rsidR="00270034" w:rsidRPr="008F6ECE">
              <w:rPr>
                <w:sz w:val="18"/>
                <w:szCs w:val="18"/>
                <w:vertAlign w:val="superscript"/>
              </w:rPr>
              <w:t>-2</w:t>
            </w:r>
            <w:r w:rsidR="00270034" w:rsidRPr="008F6ECE">
              <w:rPr>
                <w:sz w:val="18"/>
                <w:szCs w:val="18"/>
              </w:rPr>
              <w:t xml:space="preserve"> d</w:t>
            </w:r>
            <w:r w:rsidR="00270034" w:rsidRPr="008F6ECE">
              <w:rPr>
                <w:sz w:val="18"/>
                <w:szCs w:val="18"/>
                <w:vertAlign w:val="superscript"/>
              </w:rPr>
              <w:t>-1</w:t>
            </w:r>
          </w:p>
        </w:tc>
      </w:tr>
    </w:tbl>
    <w:p w14:paraId="5CDE6897" w14:textId="067F9E6E" w:rsidR="00270034" w:rsidRPr="005D293A" w:rsidRDefault="00270034" w:rsidP="00C36ADD">
      <w:pPr>
        <w:spacing w:before="0" w:after="0"/>
        <w:jc w:val="both"/>
        <w:rPr>
          <w:sz w:val="16"/>
          <w:szCs w:val="16"/>
        </w:rPr>
      </w:pPr>
    </w:p>
    <w:p w14:paraId="5B5F4338" w14:textId="68EDA851" w:rsidR="000F45DC" w:rsidRPr="00290D46" w:rsidRDefault="00D25A75" w:rsidP="00C36ADD">
      <w:pPr>
        <w:widowControl w:val="0"/>
        <w:spacing w:before="0" w:after="0"/>
      </w:pPr>
      <w:r>
        <w:rPr>
          <w:noProof/>
          <w:color w:val="000000"/>
          <w:szCs w:val="22"/>
          <w:lang w:eastAsia="en-AU"/>
        </w:rPr>
        <w:drawing>
          <wp:anchor distT="0" distB="0" distL="114300" distR="114300" simplePos="0" relativeHeight="251656704" behindDoc="0" locked="0" layoutInCell="1" allowOverlap="1" wp14:anchorId="1ABAB374" wp14:editId="21D688FB">
            <wp:simplePos x="0" y="0"/>
            <wp:positionH relativeFrom="column">
              <wp:posOffset>-5715</wp:posOffset>
            </wp:positionH>
            <wp:positionV relativeFrom="paragraph">
              <wp:posOffset>17145</wp:posOffset>
            </wp:positionV>
            <wp:extent cx="2336165" cy="3350895"/>
            <wp:effectExtent l="0" t="0" r="6985" b="1905"/>
            <wp:wrapSquare wrapText="right"/>
            <wp:docPr id="517" name="Picture 517" descr="Composite graph showing the location of each seagrass monitoring site and the frequency of exposure to plume water in the Mackay Whitsunday NRM, wet season December 2016 –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Whitsundays sites_legend.png"/>
                    <pic:cNvPicPr/>
                  </pic:nvPicPr>
                  <pic:blipFill>
                    <a:blip r:embed="rId118"/>
                    <a:stretch>
                      <a:fillRect/>
                    </a:stretch>
                  </pic:blipFill>
                  <pic:spPr>
                    <a:xfrm>
                      <a:off x="0" y="0"/>
                      <a:ext cx="2336165" cy="3350895"/>
                    </a:xfrm>
                    <a:prstGeom prst="rect">
                      <a:avLst/>
                    </a:prstGeom>
                  </pic:spPr>
                </pic:pic>
              </a:graphicData>
            </a:graphic>
            <wp14:sizeRelH relativeFrom="margin">
              <wp14:pctWidth>0</wp14:pctWidth>
            </wp14:sizeRelH>
            <wp14:sizeRelV relativeFrom="margin">
              <wp14:pctHeight>0</wp14:pctHeight>
            </wp14:sizeRelV>
          </wp:anchor>
        </w:drawing>
      </w:r>
    </w:p>
    <w:p w14:paraId="70A2976E" w14:textId="7388724D" w:rsidR="000F45DC" w:rsidRPr="00290D46" w:rsidRDefault="000F45DC" w:rsidP="00C36ADD">
      <w:pPr>
        <w:rPr>
          <w:i/>
          <w:vanish/>
          <w:specVanish/>
        </w:rPr>
      </w:pPr>
      <w:bookmarkStart w:id="456" w:name="_Ref461614236"/>
      <w:bookmarkStart w:id="457" w:name="_Toc516053290"/>
      <w:r w:rsidRPr="00290D46">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80</w:t>
      </w:r>
      <w:r w:rsidR="00C506C7">
        <w:rPr>
          <w:noProof/>
        </w:rPr>
        <w:fldChar w:fldCharType="end"/>
      </w:r>
      <w:bookmarkEnd w:id="456"/>
      <w:r w:rsidRPr="00290D46">
        <w:t xml:space="preserve">.  </w:t>
      </w:r>
      <w:r w:rsidR="005D293A" w:rsidRPr="00290D46">
        <w:rPr>
          <w:i/>
        </w:rPr>
        <w:t xml:space="preserve">Frequency of exposure to </w:t>
      </w:r>
      <w:r w:rsidR="000A1EE9">
        <w:rPr>
          <w:i/>
        </w:rPr>
        <w:t>turbid water (colour classes 1-5)</w:t>
      </w:r>
      <w:r w:rsidR="005D293A" w:rsidRPr="00290D46">
        <w:rPr>
          <w:i/>
        </w:rPr>
        <w:t xml:space="preserve"> in the Mackay Whitsunday NRM region, wet season </w:t>
      </w:r>
      <w:r w:rsidR="005D293A" w:rsidRPr="00377268">
        <w:rPr>
          <w:i/>
          <w:color w:val="000000" w:themeColor="text1"/>
        </w:rPr>
        <w:t>(Decembe</w:t>
      </w:r>
      <w:r w:rsidRPr="00377268">
        <w:rPr>
          <w:i/>
          <w:color w:val="000000" w:themeColor="text1"/>
        </w:rPr>
        <w:t>r 201</w:t>
      </w:r>
      <w:r w:rsidR="00377268" w:rsidRPr="00377268">
        <w:rPr>
          <w:i/>
          <w:color w:val="000000" w:themeColor="text1"/>
        </w:rPr>
        <w:t>6</w:t>
      </w:r>
      <w:r w:rsidRPr="00377268">
        <w:rPr>
          <w:i/>
          <w:color w:val="000000" w:themeColor="text1"/>
        </w:rPr>
        <w:t xml:space="preserve"> – April 201</w:t>
      </w:r>
      <w:r w:rsidR="00377268" w:rsidRPr="00377268">
        <w:rPr>
          <w:i/>
          <w:color w:val="000000" w:themeColor="text1"/>
        </w:rPr>
        <w:t>7</w:t>
      </w:r>
      <w:r w:rsidRPr="00377268">
        <w:rPr>
          <w:i/>
          <w:color w:val="000000" w:themeColor="text1"/>
        </w:rPr>
        <w:t xml:space="preserve">) </w:t>
      </w:r>
      <w:r w:rsidRPr="00290D46">
        <w:rPr>
          <w:i/>
        </w:rPr>
        <w:t>composite.</w:t>
      </w:r>
      <w:bookmarkEnd w:id="457"/>
    </w:p>
    <w:p w14:paraId="289839DE" w14:textId="55875F15" w:rsidR="005D293A" w:rsidRPr="00290D46" w:rsidRDefault="000F45DC" w:rsidP="00C36ADD">
      <w:pPr>
        <w:rPr>
          <w:i/>
        </w:rPr>
      </w:pPr>
      <w:r w:rsidRPr="00290D46">
        <w:rPr>
          <w:i/>
        </w:rPr>
        <w:t xml:space="preserve"> </w:t>
      </w:r>
      <w:r w:rsidR="005D293A" w:rsidRPr="00290D46">
        <w:rPr>
          <w:i/>
        </w:rPr>
        <w:t xml:space="preserve">Frequency calculated as number of weeks in wet season exposed to primary or secondary water (colour classes 1 – 5). </w:t>
      </w:r>
      <w:r w:rsidR="00FF0A86" w:rsidRPr="00290D46">
        <w:rPr>
          <w:i/>
        </w:rPr>
        <w:t xml:space="preserve">Each colour class </w:t>
      </w:r>
      <w:r w:rsidR="00FF0A86" w:rsidRPr="00844AC3">
        <w:rPr>
          <w:i/>
        </w:rPr>
        <w:t>category is described by mean water quality values for TSS, CDOM, chlorophyll a and K</w:t>
      </w:r>
      <w:r w:rsidR="00FF0A86" w:rsidRPr="00844AC3">
        <w:rPr>
          <w:i/>
          <w:vertAlign w:val="subscript"/>
        </w:rPr>
        <w:t>d</w:t>
      </w:r>
      <w:r w:rsidR="00FF0A86" w:rsidRPr="00844AC3">
        <w:rPr>
          <w:i/>
        </w:rPr>
        <w:t xml:space="preserve"> (PAR) </w:t>
      </w:r>
      <w:r w:rsidR="000B7516" w:rsidRPr="0041342B">
        <w:rPr>
          <w:i/>
        </w:rPr>
        <w:t>(</w:t>
      </w:r>
      <w:hyperlink w:anchor="_ENREF_82" w:tooltip="Devlin, 2015 #10405" w:history="1">
        <w:r w:rsidR="00305FE7" w:rsidRPr="0041342B">
          <w:rPr>
            <w:i/>
          </w:rPr>
          <w:fldChar w:fldCharType="begin"/>
        </w:r>
        <w:r w:rsidR="00305FE7">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41342B">
          <w:rPr>
            <w:i/>
          </w:rPr>
          <w:fldChar w:fldCharType="separate"/>
        </w:r>
        <w:r w:rsidR="00305FE7">
          <w:rPr>
            <w:i/>
          </w:rPr>
          <w:t>Devlin et al. 2015</w:t>
        </w:r>
        <w:r w:rsidR="00305FE7" w:rsidRPr="0041342B">
          <w:rPr>
            <w:i/>
          </w:rPr>
          <w:fldChar w:fldCharType="end"/>
        </w:r>
      </w:hyperlink>
      <w:r w:rsidR="000B7516" w:rsidRPr="0041342B">
        <w:rPr>
          <w:i/>
        </w:rPr>
        <w:t>;</w:t>
      </w:r>
      <w:r w:rsidR="000B7516" w:rsidRPr="000B7516">
        <w:rPr>
          <w:i/>
        </w:rPr>
        <w:t xml:space="preserve">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sidR="000B7516" w:rsidRPr="0041342B">
        <w:rPr>
          <w:i/>
        </w:rPr>
        <w:t>)</w:t>
      </w:r>
      <w:r w:rsidR="00FF0A86" w:rsidRPr="00844AC3">
        <w:rPr>
          <w:i/>
        </w:rPr>
        <w:t>. For site details, see Tables 3 &amp; 4.</w:t>
      </w:r>
    </w:p>
    <w:p w14:paraId="4481481C" w14:textId="05B5790A" w:rsidR="000F45DC" w:rsidRPr="006917E1" w:rsidRDefault="00270034" w:rsidP="00C36ADD">
      <w:pPr>
        <w:keepNext/>
        <w:rPr>
          <w:i/>
          <w:vanish/>
          <w:specVanish/>
        </w:rPr>
      </w:pPr>
      <w:bookmarkStart w:id="458" w:name="_Ref314325239"/>
      <w:bookmarkStart w:id="459" w:name="_Toc516053449"/>
      <w:r w:rsidRPr="006917E1">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25</w:t>
      </w:r>
      <w:r w:rsidR="00C506C7">
        <w:rPr>
          <w:noProof/>
        </w:rPr>
        <w:fldChar w:fldCharType="end"/>
      </w:r>
      <w:bookmarkEnd w:id="458"/>
      <w:r w:rsidRPr="006917E1">
        <w:rPr>
          <w:i/>
        </w:rPr>
        <w:t xml:space="preserve">. Water type at each location in the Mackay Whitsunday </w:t>
      </w:r>
      <w:r w:rsidR="00681546" w:rsidRPr="006917E1">
        <w:rPr>
          <w:i/>
        </w:rPr>
        <w:t>region</w:t>
      </w:r>
      <w:r w:rsidRPr="006917E1">
        <w:rPr>
          <w:i/>
        </w:rPr>
        <w:t xml:space="preserve"> derived from MODIS true colour images</w:t>
      </w:r>
      <w:bookmarkEnd w:id="459"/>
    </w:p>
    <w:p w14:paraId="2EB82DA5" w14:textId="27071A8E" w:rsidR="00270034" w:rsidRDefault="00270034" w:rsidP="00C36ADD">
      <w:pPr>
        <w:keepNext/>
        <w:rPr>
          <w:i/>
        </w:rPr>
      </w:pPr>
      <w:r w:rsidRPr="006917E1">
        <w:rPr>
          <w:i/>
        </w:rPr>
        <w:t xml:space="preserve"> as colour classes of turbid primary water (class 1 – 4, red/brown), nutrient/chlorophyll-enriched secondary water (class 5, green), and tertiary (some freshwater/CDOM influence) or no plume influence (class 6 and 7 respectively, blue), for 22 weeks from </w:t>
      </w:r>
      <w:r w:rsidR="007265BF" w:rsidRPr="007265BF">
        <w:rPr>
          <w:i/>
          <w:color w:val="000000" w:themeColor="text1"/>
        </w:rPr>
        <w:t>December 206</w:t>
      </w:r>
      <w:r w:rsidR="00290D46" w:rsidRPr="007265BF">
        <w:rPr>
          <w:i/>
          <w:color w:val="000000" w:themeColor="text1"/>
        </w:rPr>
        <w:t>5</w:t>
      </w:r>
      <w:r w:rsidRPr="007265BF">
        <w:rPr>
          <w:i/>
          <w:color w:val="000000" w:themeColor="text1"/>
        </w:rPr>
        <w:t xml:space="preserve"> – April 201</w:t>
      </w:r>
      <w:r w:rsidR="007265BF" w:rsidRPr="007265BF">
        <w:rPr>
          <w:i/>
          <w:color w:val="000000" w:themeColor="text1"/>
        </w:rPr>
        <w:t>7</w:t>
      </w:r>
      <w:r w:rsidRPr="007265BF">
        <w:rPr>
          <w:i/>
          <w:color w:val="000000" w:themeColor="text1"/>
        </w:rPr>
        <w:t xml:space="preserve">. </w:t>
      </w:r>
      <w:r w:rsidRPr="006917E1">
        <w:rPr>
          <w:i/>
        </w:rPr>
        <w:t>Also shown, median wet season colour class (Med), frequency of primary water as f</w:t>
      </w:r>
      <w:r w:rsidRPr="006917E1">
        <w:rPr>
          <w:i/>
          <w:vertAlign w:val="subscript"/>
        </w:rPr>
        <w:t>(P)</w:t>
      </w:r>
      <w:r w:rsidRPr="006917E1">
        <w:rPr>
          <w:i/>
        </w:rPr>
        <w:t>, the frequency of secondary water as f</w:t>
      </w:r>
      <w:r w:rsidRPr="006917E1">
        <w:rPr>
          <w:i/>
          <w:vertAlign w:val="subscript"/>
        </w:rPr>
        <w:t>(S)</w:t>
      </w:r>
      <w:r w:rsidRPr="006917E1">
        <w:rPr>
          <w:i/>
        </w:rPr>
        <w:t>, and the frequency of primary or secondary as f</w:t>
      </w:r>
      <w:r w:rsidRPr="006917E1">
        <w:rPr>
          <w:i/>
          <w:vertAlign w:val="subscript"/>
        </w:rPr>
        <w:t>(P+S)</w:t>
      </w:r>
      <w:r w:rsidRPr="006917E1">
        <w:rPr>
          <w:i/>
        </w:rPr>
        <w:t>. *denotes dat</w:t>
      </w:r>
      <w:r w:rsidR="006917E1" w:rsidRPr="006917E1">
        <w:rPr>
          <w:i/>
        </w:rPr>
        <w:t>a obtained from adjacent pixel.</w:t>
      </w:r>
    </w:p>
    <w:p w14:paraId="56928C9B" w14:textId="77777777" w:rsidR="006C5D6E" w:rsidRDefault="006C5D6E" w:rsidP="00C36ADD">
      <w:pPr>
        <w:keepNext/>
        <w:rPr>
          <w:i/>
        </w:rPr>
      </w:pPr>
    </w:p>
    <w:tbl>
      <w:tblPr>
        <w:tblW w:w="10491" w:type="dxa"/>
        <w:tblInd w:w="-426" w:type="dxa"/>
        <w:tblBorders>
          <w:top w:val="nil"/>
          <w:left w:val="nil"/>
          <w:right w:val="nil"/>
        </w:tblBorders>
        <w:tblLayout w:type="fixed"/>
        <w:tblLook w:val="0000" w:firstRow="0" w:lastRow="0" w:firstColumn="0" w:lastColumn="0" w:noHBand="0" w:noVBand="0"/>
      </w:tblPr>
      <w:tblGrid>
        <w:gridCol w:w="887"/>
        <w:gridCol w:w="347"/>
        <w:gridCol w:w="347"/>
        <w:gridCol w:w="347"/>
        <w:gridCol w:w="347"/>
        <w:gridCol w:w="347"/>
        <w:gridCol w:w="348"/>
        <w:gridCol w:w="348"/>
        <w:gridCol w:w="348"/>
        <w:gridCol w:w="348"/>
        <w:gridCol w:w="376"/>
        <w:gridCol w:w="376"/>
        <w:gridCol w:w="376"/>
        <w:gridCol w:w="376"/>
        <w:gridCol w:w="376"/>
        <w:gridCol w:w="376"/>
        <w:gridCol w:w="376"/>
        <w:gridCol w:w="376"/>
        <w:gridCol w:w="376"/>
        <w:gridCol w:w="376"/>
        <w:gridCol w:w="376"/>
        <w:gridCol w:w="376"/>
        <w:gridCol w:w="376"/>
        <w:gridCol w:w="554"/>
        <w:gridCol w:w="468"/>
        <w:gridCol w:w="567"/>
      </w:tblGrid>
      <w:tr w:rsidR="00DB608A" w:rsidRPr="00DB608A" w14:paraId="20A33236" w14:textId="77777777" w:rsidTr="00DB608A">
        <w:tc>
          <w:tcPr>
            <w:tcW w:w="887" w:type="dxa"/>
            <w:tcBorders>
              <w:top w:val="single" w:sz="8" w:space="0" w:color="000000" w:themeColor="text1"/>
              <w:bottom w:val="single" w:sz="8" w:space="0" w:color="000000" w:themeColor="text1"/>
            </w:tcBorders>
            <w:vAlign w:val="center"/>
          </w:tcPr>
          <w:p w14:paraId="722A909A"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Site</w:t>
            </w:r>
          </w:p>
        </w:tc>
        <w:tc>
          <w:tcPr>
            <w:tcW w:w="347" w:type="dxa"/>
            <w:tcBorders>
              <w:top w:val="single" w:sz="8" w:space="0" w:color="000000" w:themeColor="text1"/>
              <w:bottom w:val="single" w:sz="8" w:space="0" w:color="000000" w:themeColor="text1"/>
            </w:tcBorders>
            <w:vAlign w:val="center"/>
          </w:tcPr>
          <w:p w14:paraId="65FA48F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47" w:type="dxa"/>
            <w:tcBorders>
              <w:top w:val="single" w:sz="8" w:space="0" w:color="000000" w:themeColor="text1"/>
              <w:bottom w:val="single" w:sz="8" w:space="0" w:color="000000" w:themeColor="text1"/>
            </w:tcBorders>
            <w:vAlign w:val="center"/>
          </w:tcPr>
          <w:p w14:paraId="4DCD666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47" w:type="dxa"/>
            <w:tcBorders>
              <w:top w:val="single" w:sz="8" w:space="0" w:color="000000" w:themeColor="text1"/>
              <w:bottom w:val="single" w:sz="8" w:space="0" w:color="000000" w:themeColor="text1"/>
            </w:tcBorders>
            <w:vAlign w:val="center"/>
          </w:tcPr>
          <w:p w14:paraId="5BDF166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47" w:type="dxa"/>
            <w:tcBorders>
              <w:top w:val="single" w:sz="8" w:space="0" w:color="000000" w:themeColor="text1"/>
              <w:bottom w:val="single" w:sz="8" w:space="0" w:color="000000" w:themeColor="text1"/>
            </w:tcBorders>
            <w:vAlign w:val="center"/>
          </w:tcPr>
          <w:p w14:paraId="186B26B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8" w:space="0" w:color="000000" w:themeColor="text1"/>
              <w:bottom w:val="single" w:sz="8" w:space="0" w:color="000000" w:themeColor="text1"/>
            </w:tcBorders>
            <w:vAlign w:val="center"/>
          </w:tcPr>
          <w:p w14:paraId="61B9F8C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8" w:space="0" w:color="000000" w:themeColor="text1"/>
              <w:bottom w:val="single" w:sz="8" w:space="0" w:color="000000" w:themeColor="text1"/>
            </w:tcBorders>
            <w:vAlign w:val="center"/>
          </w:tcPr>
          <w:p w14:paraId="3689B52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48" w:type="dxa"/>
            <w:tcBorders>
              <w:top w:val="single" w:sz="8" w:space="0" w:color="000000" w:themeColor="text1"/>
              <w:bottom w:val="single" w:sz="8" w:space="0" w:color="000000" w:themeColor="text1"/>
            </w:tcBorders>
            <w:vAlign w:val="center"/>
          </w:tcPr>
          <w:p w14:paraId="5BF737E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7</w:t>
            </w:r>
          </w:p>
        </w:tc>
        <w:tc>
          <w:tcPr>
            <w:tcW w:w="348" w:type="dxa"/>
            <w:tcBorders>
              <w:top w:val="single" w:sz="8" w:space="0" w:color="000000" w:themeColor="text1"/>
              <w:bottom w:val="single" w:sz="8" w:space="0" w:color="000000" w:themeColor="text1"/>
            </w:tcBorders>
            <w:vAlign w:val="center"/>
          </w:tcPr>
          <w:p w14:paraId="3627EB7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8</w:t>
            </w:r>
          </w:p>
        </w:tc>
        <w:tc>
          <w:tcPr>
            <w:tcW w:w="348" w:type="dxa"/>
            <w:tcBorders>
              <w:top w:val="single" w:sz="8" w:space="0" w:color="000000" w:themeColor="text1"/>
              <w:bottom w:val="single" w:sz="8" w:space="0" w:color="000000" w:themeColor="text1"/>
            </w:tcBorders>
            <w:vAlign w:val="center"/>
          </w:tcPr>
          <w:p w14:paraId="347FF7B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9</w:t>
            </w:r>
          </w:p>
        </w:tc>
        <w:tc>
          <w:tcPr>
            <w:tcW w:w="376" w:type="dxa"/>
            <w:tcBorders>
              <w:top w:val="single" w:sz="8" w:space="0" w:color="000000" w:themeColor="text1"/>
              <w:bottom w:val="single" w:sz="8" w:space="0" w:color="000000" w:themeColor="text1"/>
            </w:tcBorders>
            <w:vAlign w:val="center"/>
          </w:tcPr>
          <w:p w14:paraId="2C4EDAA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10</w:t>
            </w:r>
          </w:p>
        </w:tc>
        <w:tc>
          <w:tcPr>
            <w:tcW w:w="376" w:type="dxa"/>
            <w:tcBorders>
              <w:top w:val="single" w:sz="8" w:space="0" w:color="000000" w:themeColor="text1"/>
              <w:bottom w:val="single" w:sz="8" w:space="0" w:color="000000" w:themeColor="text1"/>
            </w:tcBorders>
            <w:vAlign w:val="center"/>
          </w:tcPr>
          <w:p w14:paraId="68273B3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11</w:t>
            </w:r>
          </w:p>
        </w:tc>
        <w:tc>
          <w:tcPr>
            <w:tcW w:w="376" w:type="dxa"/>
            <w:tcBorders>
              <w:top w:val="single" w:sz="8" w:space="0" w:color="000000" w:themeColor="text1"/>
              <w:bottom w:val="single" w:sz="8" w:space="0" w:color="000000" w:themeColor="text1"/>
            </w:tcBorders>
            <w:vAlign w:val="center"/>
          </w:tcPr>
          <w:p w14:paraId="4416B0A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12</w:t>
            </w:r>
          </w:p>
        </w:tc>
        <w:tc>
          <w:tcPr>
            <w:tcW w:w="376" w:type="dxa"/>
            <w:tcBorders>
              <w:top w:val="single" w:sz="8" w:space="0" w:color="000000" w:themeColor="text1"/>
              <w:bottom w:val="single" w:sz="8" w:space="0" w:color="000000" w:themeColor="text1"/>
            </w:tcBorders>
            <w:vAlign w:val="center"/>
          </w:tcPr>
          <w:p w14:paraId="3584A99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13</w:t>
            </w:r>
          </w:p>
        </w:tc>
        <w:tc>
          <w:tcPr>
            <w:tcW w:w="376" w:type="dxa"/>
            <w:tcBorders>
              <w:top w:val="single" w:sz="8" w:space="0" w:color="000000" w:themeColor="text1"/>
              <w:bottom w:val="single" w:sz="8" w:space="0" w:color="000000" w:themeColor="text1"/>
            </w:tcBorders>
            <w:vAlign w:val="center"/>
          </w:tcPr>
          <w:p w14:paraId="3D6A463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14</w:t>
            </w:r>
          </w:p>
        </w:tc>
        <w:tc>
          <w:tcPr>
            <w:tcW w:w="376" w:type="dxa"/>
            <w:tcBorders>
              <w:top w:val="single" w:sz="8" w:space="0" w:color="000000" w:themeColor="text1"/>
              <w:bottom w:val="single" w:sz="8" w:space="0" w:color="000000" w:themeColor="text1"/>
            </w:tcBorders>
            <w:vAlign w:val="center"/>
          </w:tcPr>
          <w:p w14:paraId="31158A3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15</w:t>
            </w:r>
          </w:p>
        </w:tc>
        <w:tc>
          <w:tcPr>
            <w:tcW w:w="376" w:type="dxa"/>
            <w:tcBorders>
              <w:top w:val="single" w:sz="8" w:space="0" w:color="000000" w:themeColor="text1"/>
              <w:bottom w:val="single" w:sz="8" w:space="0" w:color="000000" w:themeColor="text1"/>
            </w:tcBorders>
            <w:vAlign w:val="center"/>
          </w:tcPr>
          <w:p w14:paraId="2263798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16</w:t>
            </w:r>
          </w:p>
        </w:tc>
        <w:tc>
          <w:tcPr>
            <w:tcW w:w="376" w:type="dxa"/>
            <w:tcBorders>
              <w:top w:val="single" w:sz="8" w:space="0" w:color="000000" w:themeColor="text1"/>
              <w:bottom w:val="single" w:sz="8" w:space="0" w:color="000000" w:themeColor="text1"/>
            </w:tcBorders>
            <w:vAlign w:val="center"/>
          </w:tcPr>
          <w:p w14:paraId="5D3B0AC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17</w:t>
            </w:r>
          </w:p>
        </w:tc>
        <w:tc>
          <w:tcPr>
            <w:tcW w:w="376" w:type="dxa"/>
            <w:tcBorders>
              <w:top w:val="single" w:sz="8" w:space="0" w:color="000000" w:themeColor="text1"/>
              <w:bottom w:val="single" w:sz="8" w:space="0" w:color="000000" w:themeColor="text1"/>
            </w:tcBorders>
            <w:vAlign w:val="center"/>
          </w:tcPr>
          <w:p w14:paraId="3D1A995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18</w:t>
            </w:r>
          </w:p>
        </w:tc>
        <w:tc>
          <w:tcPr>
            <w:tcW w:w="376" w:type="dxa"/>
            <w:tcBorders>
              <w:top w:val="single" w:sz="8" w:space="0" w:color="000000" w:themeColor="text1"/>
              <w:bottom w:val="single" w:sz="8" w:space="0" w:color="000000" w:themeColor="text1"/>
            </w:tcBorders>
            <w:vAlign w:val="center"/>
          </w:tcPr>
          <w:p w14:paraId="4078846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19</w:t>
            </w:r>
          </w:p>
        </w:tc>
        <w:tc>
          <w:tcPr>
            <w:tcW w:w="376" w:type="dxa"/>
            <w:tcBorders>
              <w:top w:val="single" w:sz="8" w:space="0" w:color="000000" w:themeColor="text1"/>
              <w:bottom w:val="single" w:sz="8" w:space="0" w:color="000000" w:themeColor="text1"/>
            </w:tcBorders>
            <w:vAlign w:val="center"/>
          </w:tcPr>
          <w:p w14:paraId="6A7C444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20</w:t>
            </w:r>
          </w:p>
        </w:tc>
        <w:tc>
          <w:tcPr>
            <w:tcW w:w="376" w:type="dxa"/>
            <w:tcBorders>
              <w:top w:val="single" w:sz="8" w:space="0" w:color="000000" w:themeColor="text1"/>
              <w:bottom w:val="single" w:sz="8" w:space="0" w:color="000000" w:themeColor="text1"/>
            </w:tcBorders>
            <w:vAlign w:val="center"/>
          </w:tcPr>
          <w:p w14:paraId="3C55127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21</w:t>
            </w:r>
          </w:p>
        </w:tc>
        <w:tc>
          <w:tcPr>
            <w:tcW w:w="376" w:type="dxa"/>
            <w:tcBorders>
              <w:top w:val="single" w:sz="8" w:space="0" w:color="000000" w:themeColor="text1"/>
              <w:bottom w:val="single" w:sz="8" w:space="0" w:color="000000" w:themeColor="text1"/>
            </w:tcBorders>
            <w:vAlign w:val="center"/>
          </w:tcPr>
          <w:p w14:paraId="26B3416B"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22</w:t>
            </w:r>
          </w:p>
        </w:tc>
        <w:tc>
          <w:tcPr>
            <w:tcW w:w="554" w:type="dxa"/>
            <w:tcBorders>
              <w:top w:val="single" w:sz="8" w:space="0" w:color="000000" w:themeColor="text1"/>
              <w:bottom w:val="single" w:sz="8" w:space="0" w:color="000000" w:themeColor="text1"/>
            </w:tcBorders>
            <w:vAlign w:val="center"/>
          </w:tcPr>
          <w:p w14:paraId="45E170F3"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i/>
                <w:iCs/>
                <w:color w:val="000000"/>
                <w:sz w:val="14"/>
                <w:szCs w:val="14"/>
                <w:lang w:eastAsia="en-AU"/>
              </w:rPr>
              <w:t>f</w:t>
            </w:r>
            <w:r w:rsidRPr="00DB608A">
              <w:rPr>
                <w:rFonts w:ascii="Times" w:hAnsi="Times" w:cs="Times"/>
                <w:b/>
                <w:bCs/>
                <w:color w:val="000000"/>
                <w:sz w:val="14"/>
                <w:szCs w:val="14"/>
                <w:vertAlign w:val="subscript"/>
                <w:lang w:eastAsia="en-AU"/>
              </w:rPr>
              <w:t>(P)</w:t>
            </w:r>
          </w:p>
        </w:tc>
        <w:tc>
          <w:tcPr>
            <w:tcW w:w="468" w:type="dxa"/>
            <w:tcBorders>
              <w:top w:val="single" w:sz="8" w:space="0" w:color="000000" w:themeColor="text1"/>
              <w:bottom w:val="single" w:sz="8" w:space="0" w:color="000000" w:themeColor="text1"/>
            </w:tcBorders>
            <w:vAlign w:val="center"/>
          </w:tcPr>
          <w:p w14:paraId="74B6F443"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f</w:t>
            </w:r>
            <w:r w:rsidRPr="00DB608A">
              <w:rPr>
                <w:rFonts w:ascii="Times" w:hAnsi="Times" w:cs="Times"/>
                <w:b/>
                <w:bCs/>
                <w:color w:val="000000"/>
                <w:sz w:val="14"/>
                <w:szCs w:val="14"/>
                <w:vertAlign w:val="subscript"/>
                <w:lang w:eastAsia="en-AU"/>
              </w:rPr>
              <w:t>(S)</w:t>
            </w:r>
          </w:p>
        </w:tc>
        <w:tc>
          <w:tcPr>
            <w:tcW w:w="567" w:type="dxa"/>
            <w:tcBorders>
              <w:top w:val="single" w:sz="8" w:space="0" w:color="000000" w:themeColor="text1"/>
              <w:bottom w:val="single" w:sz="8" w:space="0" w:color="000000" w:themeColor="text1"/>
            </w:tcBorders>
            <w:vAlign w:val="center"/>
          </w:tcPr>
          <w:p w14:paraId="29C5B450"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f</w:t>
            </w:r>
            <w:r w:rsidRPr="00DB608A">
              <w:rPr>
                <w:rFonts w:ascii="Times" w:hAnsi="Times" w:cs="Times"/>
                <w:b/>
                <w:bCs/>
                <w:color w:val="000000"/>
                <w:sz w:val="14"/>
                <w:szCs w:val="14"/>
                <w:vertAlign w:val="subscript"/>
                <w:lang w:eastAsia="en-AU"/>
              </w:rPr>
              <w:t>(P+S)</w:t>
            </w:r>
          </w:p>
        </w:tc>
      </w:tr>
      <w:tr w:rsidR="00DB608A" w:rsidRPr="00DB608A" w14:paraId="3C57C306" w14:textId="77777777" w:rsidTr="00DB608A">
        <w:tblPrEx>
          <w:tblBorders>
            <w:top w:val="none" w:sz="0" w:space="0" w:color="auto"/>
          </w:tblBorders>
        </w:tblPrEx>
        <w:tc>
          <w:tcPr>
            <w:tcW w:w="887" w:type="dxa"/>
            <w:tcBorders>
              <w:top w:val="single" w:sz="8" w:space="0" w:color="000000" w:themeColor="text1"/>
              <w:right w:val="single" w:sz="8" w:space="0" w:color="FFFFFF" w:themeColor="background1"/>
            </w:tcBorders>
            <w:vAlign w:val="center"/>
          </w:tcPr>
          <w:p w14:paraId="2FCA109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HB1, HB2*</w:t>
            </w:r>
          </w:p>
        </w:tc>
        <w:tc>
          <w:tcPr>
            <w:tcW w:w="347" w:type="dxa"/>
            <w:tcBorders>
              <w:top w:val="single" w:sz="8" w:space="0" w:color="000000" w:themeColor="text1"/>
              <w:left w:val="single" w:sz="8" w:space="0" w:color="FFFFFF" w:themeColor="background1"/>
              <w:bottom w:val="single" w:sz="6" w:space="0" w:color="FFFFFF" w:themeColor="background1"/>
              <w:right w:val="single" w:sz="6" w:space="0" w:color="FFFFFF" w:themeColor="background1"/>
            </w:tcBorders>
            <w:shd w:val="clear" w:color="auto" w:fill="BBDBA5"/>
            <w:vAlign w:val="center"/>
          </w:tcPr>
          <w:p w14:paraId="75EB5BE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132829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9C8BF7B"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566CFB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43B66E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55E6F04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48"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79C972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D5F985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76363E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AFB330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1E0BB2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577ADF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B58BEE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76A19C2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30EF9ED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73AE6E4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5CAA75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A836C8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2EE77DC4"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1D0925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3989ACD4"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8" w:space="0" w:color="000000" w:themeColor="text1"/>
              <w:left w:val="single" w:sz="6" w:space="0" w:color="FFFFFF" w:themeColor="background1"/>
              <w:bottom w:val="single" w:sz="6" w:space="0" w:color="FFFFFF" w:themeColor="background1"/>
              <w:right w:val="single" w:sz="8" w:space="0" w:color="FFFFFF" w:themeColor="background1"/>
            </w:tcBorders>
            <w:shd w:val="clear" w:color="auto" w:fill="BBDBA5"/>
            <w:vAlign w:val="center"/>
          </w:tcPr>
          <w:p w14:paraId="71B8097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554" w:type="dxa"/>
            <w:tcBorders>
              <w:top w:val="single" w:sz="8" w:space="0" w:color="000000" w:themeColor="text1"/>
              <w:left w:val="single" w:sz="8" w:space="0" w:color="FFFFFF" w:themeColor="background1"/>
            </w:tcBorders>
            <w:vAlign w:val="center"/>
          </w:tcPr>
          <w:p w14:paraId="3C504A3D"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0.00</w:t>
            </w:r>
          </w:p>
        </w:tc>
        <w:tc>
          <w:tcPr>
            <w:tcW w:w="468" w:type="dxa"/>
            <w:tcBorders>
              <w:top w:val="single" w:sz="8" w:space="0" w:color="000000" w:themeColor="text1"/>
            </w:tcBorders>
            <w:vAlign w:val="center"/>
          </w:tcPr>
          <w:p w14:paraId="6F3CD38F"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0.95</w:t>
            </w:r>
          </w:p>
        </w:tc>
        <w:tc>
          <w:tcPr>
            <w:tcW w:w="567" w:type="dxa"/>
            <w:tcBorders>
              <w:top w:val="single" w:sz="8" w:space="0" w:color="000000" w:themeColor="text1"/>
            </w:tcBorders>
            <w:vAlign w:val="center"/>
          </w:tcPr>
          <w:p w14:paraId="0B8D0725"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0.95</w:t>
            </w:r>
          </w:p>
        </w:tc>
      </w:tr>
      <w:tr w:rsidR="00DB608A" w:rsidRPr="00DB608A" w14:paraId="4C0CC41C" w14:textId="77777777" w:rsidTr="00DB608A">
        <w:tblPrEx>
          <w:tblBorders>
            <w:top w:val="none" w:sz="0" w:space="0" w:color="auto"/>
          </w:tblBorders>
        </w:tblPrEx>
        <w:tc>
          <w:tcPr>
            <w:tcW w:w="887" w:type="dxa"/>
            <w:tcBorders>
              <w:right w:val="single" w:sz="8" w:space="0" w:color="FFFFFF" w:themeColor="background1"/>
            </w:tcBorders>
            <w:vAlign w:val="center"/>
          </w:tcPr>
          <w:p w14:paraId="0DE199F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PI2, PI3</w:t>
            </w:r>
          </w:p>
        </w:tc>
        <w:tc>
          <w:tcPr>
            <w:tcW w:w="347"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22DB877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AE7F28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F504E9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6E46C2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416A1F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03511DC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9EF73D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23AF8B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B6347A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AC1026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986D5E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4C8011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7DF905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36B185D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3695FD4"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C8E1B1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42B2EBD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50F96A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213CAA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C51584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7B49B2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36B1B8BB"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554" w:type="dxa"/>
            <w:tcBorders>
              <w:left w:val="single" w:sz="8" w:space="0" w:color="FFFFFF" w:themeColor="background1"/>
            </w:tcBorders>
            <w:vAlign w:val="center"/>
          </w:tcPr>
          <w:p w14:paraId="5B08BE4A"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0.95</w:t>
            </w:r>
          </w:p>
        </w:tc>
        <w:tc>
          <w:tcPr>
            <w:tcW w:w="468" w:type="dxa"/>
            <w:vAlign w:val="center"/>
          </w:tcPr>
          <w:p w14:paraId="79790D59"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0.05</w:t>
            </w:r>
          </w:p>
        </w:tc>
        <w:tc>
          <w:tcPr>
            <w:tcW w:w="567" w:type="dxa"/>
            <w:vAlign w:val="center"/>
          </w:tcPr>
          <w:p w14:paraId="340201D3"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369DEFF7" w14:textId="77777777" w:rsidTr="00DB608A">
        <w:tblPrEx>
          <w:tblBorders>
            <w:top w:val="none" w:sz="0" w:space="0" w:color="auto"/>
          </w:tblBorders>
        </w:tblPrEx>
        <w:tc>
          <w:tcPr>
            <w:tcW w:w="887" w:type="dxa"/>
            <w:tcBorders>
              <w:right w:val="single" w:sz="8" w:space="0" w:color="FFFFFF" w:themeColor="background1"/>
            </w:tcBorders>
            <w:vAlign w:val="center"/>
          </w:tcPr>
          <w:p w14:paraId="20CC327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HM1, HM2</w:t>
            </w:r>
          </w:p>
        </w:tc>
        <w:tc>
          <w:tcPr>
            <w:tcW w:w="347"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0CDEA"/>
            <w:vAlign w:val="center"/>
          </w:tcPr>
          <w:p w14:paraId="54B83C2B"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3AE9280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DB11EF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2EFD805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4E321DB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73AADC94"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7CDD179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48DE14FB"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4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AD7AC0A"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EEFC0B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EC11874"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70D3EA2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CCB26C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689C3C5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CC3ECC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0CDEA"/>
            <w:vAlign w:val="center"/>
          </w:tcPr>
          <w:p w14:paraId="1360B02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6</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7F533BD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372B4EE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137E6C0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740405C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95EF2C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BDBA5"/>
            <w:vAlign w:val="center"/>
          </w:tcPr>
          <w:p w14:paraId="2A94480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554" w:type="dxa"/>
            <w:tcBorders>
              <w:left w:val="single" w:sz="8" w:space="0" w:color="FFFFFF" w:themeColor="background1"/>
            </w:tcBorders>
            <w:vAlign w:val="center"/>
          </w:tcPr>
          <w:p w14:paraId="159D2EC9"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0.00</w:t>
            </w:r>
          </w:p>
        </w:tc>
        <w:tc>
          <w:tcPr>
            <w:tcW w:w="468" w:type="dxa"/>
            <w:vAlign w:val="center"/>
          </w:tcPr>
          <w:p w14:paraId="4A18857F"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0.70</w:t>
            </w:r>
          </w:p>
        </w:tc>
        <w:tc>
          <w:tcPr>
            <w:tcW w:w="567" w:type="dxa"/>
            <w:vAlign w:val="center"/>
          </w:tcPr>
          <w:p w14:paraId="29C646FC"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0.70</w:t>
            </w:r>
          </w:p>
        </w:tc>
      </w:tr>
      <w:tr w:rsidR="00DB608A" w:rsidRPr="00DB608A" w14:paraId="7AED2BC6" w14:textId="77777777" w:rsidTr="00DB608A">
        <w:tblPrEx>
          <w:tblBorders>
            <w:top w:val="none" w:sz="0" w:space="0" w:color="auto"/>
          </w:tblBorders>
        </w:tblPrEx>
        <w:tc>
          <w:tcPr>
            <w:tcW w:w="887" w:type="dxa"/>
            <w:tcBorders>
              <w:bottom w:val="nil"/>
              <w:right w:val="single" w:sz="8" w:space="0" w:color="FFFFFF" w:themeColor="background1"/>
            </w:tcBorders>
            <w:vAlign w:val="center"/>
          </w:tcPr>
          <w:p w14:paraId="640B95F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MP2, MP3</w:t>
            </w:r>
          </w:p>
        </w:tc>
        <w:tc>
          <w:tcPr>
            <w:tcW w:w="347" w:type="dxa"/>
            <w:tcBorders>
              <w:top w:val="single" w:sz="6" w:space="0" w:color="FFFFFF" w:themeColor="background1"/>
              <w:left w:val="single" w:sz="8" w:space="0" w:color="FFFFFF" w:themeColor="background1"/>
              <w:bottom w:val="nil"/>
              <w:right w:val="single" w:sz="6" w:space="0" w:color="FFFFFF" w:themeColor="background1"/>
            </w:tcBorders>
            <w:shd w:val="clear" w:color="auto" w:fill="BBDBA5"/>
            <w:vAlign w:val="center"/>
          </w:tcPr>
          <w:p w14:paraId="2B8530A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FA7225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9DC867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C1F8BE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4146DC6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6816FA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4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EA5EBA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E4F5603"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48"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4A3AF3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684DF9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2836AB1"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6A0EE4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6E1FBC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685B16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11F4872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6CF1B3D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vAlign w:val="center"/>
          </w:tcPr>
          <w:p w14:paraId="0F8E172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91BF6C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0D743E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7D54C84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895854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single" w:sz="6" w:space="0" w:color="FFFFFF" w:themeColor="background1"/>
              <w:left w:val="single" w:sz="6" w:space="0" w:color="FFFFFF" w:themeColor="background1"/>
              <w:bottom w:val="nil"/>
              <w:right w:val="single" w:sz="8" w:space="0" w:color="FFFFFF" w:themeColor="background1"/>
            </w:tcBorders>
            <w:shd w:val="clear" w:color="auto" w:fill="B84410"/>
            <w:vAlign w:val="center"/>
          </w:tcPr>
          <w:p w14:paraId="5B268A9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554" w:type="dxa"/>
            <w:tcBorders>
              <w:left w:val="single" w:sz="8" w:space="0" w:color="FFFFFF" w:themeColor="background1"/>
              <w:bottom w:val="nil"/>
            </w:tcBorders>
            <w:vAlign w:val="center"/>
          </w:tcPr>
          <w:p w14:paraId="709FE3F3"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0.86</w:t>
            </w:r>
          </w:p>
        </w:tc>
        <w:tc>
          <w:tcPr>
            <w:tcW w:w="468" w:type="dxa"/>
            <w:tcBorders>
              <w:bottom w:val="nil"/>
            </w:tcBorders>
            <w:vAlign w:val="center"/>
          </w:tcPr>
          <w:p w14:paraId="40F8CF59"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0.14</w:t>
            </w:r>
          </w:p>
        </w:tc>
        <w:tc>
          <w:tcPr>
            <w:tcW w:w="567" w:type="dxa"/>
            <w:tcBorders>
              <w:bottom w:val="nil"/>
            </w:tcBorders>
            <w:vAlign w:val="center"/>
          </w:tcPr>
          <w:p w14:paraId="24375CBB"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r w:rsidR="00DB608A" w:rsidRPr="00DB608A" w14:paraId="0539237F" w14:textId="77777777" w:rsidTr="00DB608A">
        <w:tc>
          <w:tcPr>
            <w:tcW w:w="887" w:type="dxa"/>
            <w:tcBorders>
              <w:top w:val="nil"/>
              <w:left w:val="nil"/>
              <w:bottom w:val="single" w:sz="4" w:space="0" w:color="000000" w:themeColor="text1"/>
              <w:right w:val="nil"/>
            </w:tcBorders>
            <w:vAlign w:val="center"/>
          </w:tcPr>
          <w:p w14:paraId="77B553D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SI1, SI2</w:t>
            </w:r>
          </w:p>
        </w:tc>
        <w:tc>
          <w:tcPr>
            <w:tcW w:w="347" w:type="dxa"/>
            <w:tcBorders>
              <w:top w:val="nil"/>
              <w:left w:val="nil"/>
              <w:bottom w:val="single" w:sz="4" w:space="0" w:color="000000" w:themeColor="text1"/>
              <w:right w:val="nil"/>
            </w:tcBorders>
            <w:shd w:val="clear" w:color="auto" w:fill="BBDBA5"/>
            <w:vAlign w:val="center"/>
          </w:tcPr>
          <w:p w14:paraId="025D9A1A"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7" w:type="dxa"/>
            <w:tcBorders>
              <w:top w:val="nil"/>
              <w:left w:val="nil"/>
              <w:bottom w:val="single" w:sz="4" w:space="0" w:color="000000" w:themeColor="text1"/>
              <w:right w:val="nil"/>
            </w:tcBorders>
            <w:shd w:val="clear" w:color="auto" w:fill="B84410"/>
            <w:vAlign w:val="center"/>
          </w:tcPr>
          <w:p w14:paraId="5BED7FD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nil"/>
              <w:left w:val="nil"/>
              <w:bottom w:val="single" w:sz="4" w:space="0" w:color="000000" w:themeColor="text1"/>
              <w:right w:val="nil"/>
            </w:tcBorders>
            <w:shd w:val="clear" w:color="auto" w:fill="B84410"/>
            <w:vAlign w:val="center"/>
          </w:tcPr>
          <w:p w14:paraId="414DE48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7" w:type="dxa"/>
            <w:tcBorders>
              <w:top w:val="nil"/>
              <w:left w:val="nil"/>
              <w:bottom w:val="single" w:sz="4" w:space="0" w:color="000000" w:themeColor="text1"/>
              <w:right w:val="nil"/>
            </w:tcBorders>
            <w:shd w:val="clear" w:color="auto" w:fill="B84410"/>
            <w:vAlign w:val="center"/>
          </w:tcPr>
          <w:p w14:paraId="6445BB5B"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47" w:type="dxa"/>
            <w:tcBorders>
              <w:top w:val="nil"/>
              <w:left w:val="nil"/>
              <w:bottom w:val="single" w:sz="4" w:space="0" w:color="000000" w:themeColor="text1"/>
              <w:right w:val="nil"/>
            </w:tcBorders>
            <w:shd w:val="clear" w:color="auto" w:fill="B84410"/>
            <w:vAlign w:val="center"/>
          </w:tcPr>
          <w:p w14:paraId="62316C7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48" w:type="dxa"/>
            <w:tcBorders>
              <w:top w:val="nil"/>
              <w:left w:val="nil"/>
              <w:bottom w:val="single" w:sz="4" w:space="0" w:color="000000" w:themeColor="text1"/>
              <w:right w:val="nil"/>
            </w:tcBorders>
            <w:shd w:val="clear" w:color="auto" w:fill="B84410"/>
            <w:vAlign w:val="center"/>
          </w:tcPr>
          <w:p w14:paraId="1D1C273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48" w:type="dxa"/>
            <w:tcBorders>
              <w:top w:val="nil"/>
              <w:left w:val="nil"/>
              <w:bottom w:val="single" w:sz="4" w:space="0" w:color="000000" w:themeColor="text1"/>
              <w:right w:val="nil"/>
            </w:tcBorders>
            <w:shd w:val="clear" w:color="auto" w:fill="BBDBA5"/>
            <w:vAlign w:val="center"/>
          </w:tcPr>
          <w:p w14:paraId="5C18619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48" w:type="dxa"/>
            <w:tcBorders>
              <w:top w:val="nil"/>
              <w:left w:val="nil"/>
              <w:bottom w:val="single" w:sz="4" w:space="0" w:color="000000" w:themeColor="text1"/>
              <w:right w:val="nil"/>
            </w:tcBorders>
            <w:shd w:val="clear" w:color="auto" w:fill="B84410"/>
            <w:vAlign w:val="center"/>
          </w:tcPr>
          <w:p w14:paraId="2E6488B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48" w:type="dxa"/>
            <w:tcBorders>
              <w:top w:val="nil"/>
              <w:left w:val="nil"/>
              <w:bottom w:val="single" w:sz="4" w:space="0" w:color="000000" w:themeColor="text1"/>
              <w:right w:val="nil"/>
            </w:tcBorders>
            <w:shd w:val="clear" w:color="auto" w:fill="BBDBA5"/>
            <w:vAlign w:val="center"/>
          </w:tcPr>
          <w:p w14:paraId="61DDAA6C"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5</w:t>
            </w:r>
          </w:p>
        </w:tc>
        <w:tc>
          <w:tcPr>
            <w:tcW w:w="376" w:type="dxa"/>
            <w:tcBorders>
              <w:top w:val="nil"/>
              <w:left w:val="nil"/>
              <w:bottom w:val="single" w:sz="4" w:space="0" w:color="000000" w:themeColor="text1"/>
              <w:right w:val="nil"/>
            </w:tcBorders>
            <w:shd w:val="clear" w:color="auto" w:fill="B84410"/>
            <w:vAlign w:val="center"/>
          </w:tcPr>
          <w:p w14:paraId="0FDFD830"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6" w:type="dxa"/>
            <w:tcBorders>
              <w:top w:val="nil"/>
              <w:left w:val="nil"/>
              <w:bottom w:val="single" w:sz="4" w:space="0" w:color="000000" w:themeColor="text1"/>
              <w:right w:val="nil"/>
            </w:tcBorders>
            <w:shd w:val="clear" w:color="auto" w:fill="B84410"/>
            <w:vAlign w:val="center"/>
          </w:tcPr>
          <w:p w14:paraId="197572F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nil"/>
              <w:left w:val="nil"/>
              <w:bottom w:val="single" w:sz="4" w:space="0" w:color="000000" w:themeColor="text1"/>
              <w:right w:val="nil"/>
            </w:tcBorders>
            <w:shd w:val="clear" w:color="auto" w:fill="B84410"/>
            <w:vAlign w:val="center"/>
          </w:tcPr>
          <w:p w14:paraId="49C768A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nil"/>
              <w:left w:val="nil"/>
              <w:bottom w:val="single" w:sz="4" w:space="0" w:color="000000" w:themeColor="text1"/>
              <w:right w:val="nil"/>
            </w:tcBorders>
            <w:shd w:val="clear" w:color="auto" w:fill="B84410"/>
            <w:vAlign w:val="center"/>
          </w:tcPr>
          <w:p w14:paraId="0206DE76"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nil"/>
              <w:left w:val="nil"/>
              <w:bottom w:val="single" w:sz="4" w:space="0" w:color="000000" w:themeColor="text1"/>
              <w:right w:val="nil"/>
            </w:tcBorders>
            <w:shd w:val="clear" w:color="auto" w:fill="B84410"/>
            <w:vAlign w:val="center"/>
          </w:tcPr>
          <w:p w14:paraId="5C90F7C8"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nil"/>
              <w:left w:val="nil"/>
              <w:bottom w:val="single" w:sz="4" w:space="0" w:color="000000" w:themeColor="text1"/>
              <w:right w:val="nil"/>
            </w:tcBorders>
            <w:shd w:val="clear" w:color="auto" w:fill="B84410"/>
            <w:vAlign w:val="center"/>
          </w:tcPr>
          <w:p w14:paraId="407EA639"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nil"/>
              <w:left w:val="nil"/>
              <w:bottom w:val="single" w:sz="4" w:space="0" w:color="000000" w:themeColor="text1"/>
              <w:right w:val="nil"/>
            </w:tcBorders>
            <w:shd w:val="clear" w:color="auto" w:fill="B84410"/>
            <w:vAlign w:val="center"/>
          </w:tcPr>
          <w:p w14:paraId="55BBBF22"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nil"/>
              <w:left w:val="nil"/>
              <w:bottom w:val="single" w:sz="4" w:space="0" w:color="000000" w:themeColor="text1"/>
              <w:right w:val="nil"/>
            </w:tcBorders>
            <w:shd w:val="clear" w:color="auto" w:fill="B84410"/>
            <w:vAlign w:val="center"/>
          </w:tcPr>
          <w:p w14:paraId="1EA060CF"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nil"/>
              <w:left w:val="nil"/>
              <w:bottom w:val="single" w:sz="4" w:space="0" w:color="000000" w:themeColor="text1"/>
              <w:right w:val="nil"/>
            </w:tcBorders>
            <w:shd w:val="clear" w:color="auto" w:fill="B84410"/>
            <w:vAlign w:val="center"/>
          </w:tcPr>
          <w:p w14:paraId="09AE966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3</w:t>
            </w:r>
          </w:p>
        </w:tc>
        <w:tc>
          <w:tcPr>
            <w:tcW w:w="376" w:type="dxa"/>
            <w:tcBorders>
              <w:top w:val="nil"/>
              <w:left w:val="nil"/>
              <w:bottom w:val="single" w:sz="4" w:space="0" w:color="000000" w:themeColor="text1"/>
              <w:right w:val="nil"/>
            </w:tcBorders>
            <w:shd w:val="clear" w:color="auto" w:fill="B84410"/>
            <w:vAlign w:val="center"/>
          </w:tcPr>
          <w:p w14:paraId="09CDBA67"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1</w:t>
            </w:r>
          </w:p>
        </w:tc>
        <w:tc>
          <w:tcPr>
            <w:tcW w:w="376" w:type="dxa"/>
            <w:tcBorders>
              <w:top w:val="nil"/>
              <w:left w:val="nil"/>
              <w:bottom w:val="single" w:sz="4" w:space="0" w:color="000000" w:themeColor="text1"/>
              <w:right w:val="nil"/>
            </w:tcBorders>
            <w:shd w:val="clear" w:color="auto" w:fill="B84410"/>
            <w:vAlign w:val="center"/>
          </w:tcPr>
          <w:p w14:paraId="3474BCFD"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376" w:type="dxa"/>
            <w:tcBorders>
              <w:top w:val="nil"/>
              <w:left w:val="nil"/>
              <w:bottom w:val="single" w:sz="4" w:space="0" w:color="000000" w:themeColor="text1"/>
              <w:right w:val="nil"/>
            </w:tcBorders>
            <w:shd w:val="clear" w:color="auto" w:fill="B84410"/>
            <w:vAlign w:val="center"/>
          </w:tcPr>
          <w:p w14:paraId="7D82F8E5"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2</w:t>
            </w:r>
          </w:p>
        </w:tc>
        <w:tc>
          <w:tcPr>
            <w:tcW w:w="376" w:type="dxa"/>
            <w:tcBorders>
              <w:top w:val="nil"/>
              <w:left w:val="nil"/>
              <w:bottom w:val="single" w:sz="4" w:space="0" w:color="000000" w:themeColor="text1"/>
              <w:right w:val="nil"/>
            </w:tcBorders>
            <w:shd w:val="clear" w:color="auto" w:fill="B84410"/>
            <w:vAlign w:val="center"/>
          </w:tcPr>
          <w:p w14:paraId="249351DE" w14:textId="77777777" w:rsidR="00DB608A" w:rsidRPr="00DB608A" w:rsidRDefault="00DB608A" w:rsidP="00C36ADD">
            <w:pPr>
              <w:autoSpaceDE w:val="0"/>
              <w:autoSpaceDN w:val="0"/>
              <w:adjustRightInd w:val="0"/>
              <w:spacing w:before="0" w:after="0" w:line="260" w:lineRule="atLeast"/>
              <w:jc w:val="center"/>
              <w:rPr>
                <w:rFonts w:cs="Calibri"/>
                <w:color w:val="000000"/>
                <w:sz w:val="14"/>
                <w:szCs w:val="14"/>
                <w:lang w:eastAsia="en-AU"/>
              </w:rPr>
            </w:pPr>
            <w:r w:rsidRPr="00DB608A">
              <w:rPr>
                <w:rFonts w:cs="Calibri"/>
                <w:color w:val="000000"/>
                <w:sz w:val="14"/>
                <w:szCs w:val="14"/>
                <w:lang w:eastAsia="en-AU"/>
              </w:rPr>
              <w:t>4</w:t>
            </w:r>
          </w:p>
        </w:tc>
        <w:tc>
          <w:tcPr>
            <w:tcW w:w="554" w:type="dxa"/>
            <w:tcBorders>
              <w:top w:val="nil"/>
              <w:left w:val="nil"/>
              <w:bottom w:val="single" w:sz="4" w:space="0" w:color="000000" w:themeColor="text1"/>
              <w:right w:val="nil"/>
            </w:tcBorders>
            <w:vAlign w:val="center"/>
          </w:tcPr>
          <w:p w14:paraId="42B8820C"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0.86</w:t>
            </w:r>
          </w:p>
        </w:tc>
        <w:tc>
          <w:tcPr>
            <w:tcW w:w="468" w:type="dxa"/>
            <w:tcBorders>
              <w:top w:val="nil"/>
              <w:left w:val="nil"/>
              <w:bottom w:val="single" w:sz="4" w:space="0" w:color="000000" w:themeColor="text1"/>
              <w:right w:val="nil"/>
            </w:tcBorders>
            <w:vAlign w:val="center"/>
          </w:tcPr>
          <w:p w14:paraId="3B61DC61"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0.14</w:t>
            </w:r>
          </w:p>
        </w:tc>
        <w:tc>
          <w:tcPr>
            <w:tcW w:w="567" w:type="dxa"/>
            <w:tcBorders>
              <w:top w:val="nil"/>
              <w:left w:val="nil"/>
              <w:bottom w:val="single" w:sz="4" w:space="0" w:color="000000" w:themeColor="text1"/>
              <w:right w:val="nil"/>
            </w:tcBorders>
            <w:vAlign w:val="center"/>
          </w:tcPr>
          <w:p w14:paraId="34503CCC" w14:textId="77777777" w:rsidR="00DB608A" w:rsidRPr="00DB608A" w:rsidRDefault="00DB608A" w:rsidP="00C36ADD">
            <w:pPr>
              <w:autoSpaceDE w:val="0"/>
              <w:autoSpaceDN w:val="0"/>
              <w:adjustRightInd w:val="0"/>
              <w:spacing w:before="0" w:after="0" w:line="260" w:lineRule="atLeast"/>
              <w:jc w:val="center"/>
              <w:rPr>
                <w:rFonts w:cs="Calibri"/>
                <w:b/>
                <w:bCs/>
                <w:color w:val="000000"/>
                <w:sz w:val="14"/>
                <w:szCs w:val="14"/>
                <w:lang w:eastAsia="en-AU"/>
              </w:rPr>
            </w:pPr>
            <w:r w:rsidRPr="00DB608A">
              <w:rPr>
                <w:rFonts w:cs="Calibri"/>
                <w:b/>
                <w:bCs/>
                <w:color w:val="000000"/>
                <w:sz w:val="14"/>
                <w:szCs w:val="14"/>
                <w:lang w:eastAsia="en-AU"/>
              </w:rPr>
              <w:t>1.00</w:t>
            </w:r>
          </w:p>
        </w:tc>
      </w:tr>
    </w:tbl>
    <w:p w14:paraId="47D97EE4" w14:textId="79626A91" w:rsidR="00DB608A" w:rsidRDefault="00DB608A" w:rsidP="00C36ADD">
      <w:pPr>
        <w:widowControl w:val="0"/>
        <w:spacing w:before="0" w:after="0"/>
        <w:rPr>
          <w:color w:val="000000" w:themeColor="text1"/>
          <w:szCs w:val="22"/>
        </w:rPr>
      </w:pPr>
    </w:p>
    <w:p w14:paraId="4F9F42CC" w14:textId="040E5505" w:rsidR="006C5D6E" w:rsidRDefault="006C5D6E" w:rsidP="00C36ADD">
      <w:pPr>
        <w:widowControl w:val="0"/>
        <w:spacing w:before="0" w:after="0"/>
        <w:rPr>
          <w:color w:val="000000" w:themeColor="text1"/>
          <w:szCs w:val="22"/>
        </w:rPr>
      </w:pPr>
    </w:p>
    <w:p w14:paraId="34E04ADA" w14:textId="77777777" w:rsidR="006C5D6E" w:rsidRDefault="006C5D6E" w:rsidP="00C36ADD">
      <w:pPr>
        <w:widowControl w:val="0"/>
        <w:spacing w:before="0" w:after="0"/>
        <w:rPr>
          <w:color w:val="000000" w:themeColor="text1"/>
          <w:szCs w:val="22"/>
        </w:rPr>
      </w:pPr>
    </w:p>
    <w:p w14:paraId="43A8D85E" w14:textId="24A7C362" w:rsidR="003C6B91" w:rsidRPr="00197823" w:rsidRDefault="00197823" w:rsidP="00C36ADD">
      <w:pPr>
        <w:widowControl w:val="0"/>
        <w:spacing w:before="0" w:after="0"/>
        <w:rPr>
          <w:color w:val="000000" w:themeColor="text1"/>
        </w:rPr>
      </w:pPr>
      <w:r w:rsidRPr="004913EF">
        <w:rPr>
          <w:color w:val="000000" w:themeColor="text1"/>
          <w:szCs w:val="22"/>
        </w:rPr>
        <w:t>Daily light (I</w:t>
      </w:r>
      <w:r w:rsidRPr="004913EF">
        <w:rPr>
          <w:color w:val="000000" w:themeColor="text1"/>
          <w:szCs w:val="22"/>
          <w:vertAlign w:val="subscript"/>
        </w:rPr>
        <w:t>d</w:t>
      </w:r>
      <w:r w:rsidRPr="004913EF">
        <w:rPr>
          <w:color w:val="000000" w:themeColor="text1"/>
          <w:szCs w:val="22"/>
        </w:rPr>
        <w:t xml:space="preserve">) at Mackay Whitsunday sites has been monitored since 2009 for some locations. In </w:t>
      </w:r>
      <w:r w:rsidR="008574EC">
        <w:rPr>
          <w:color w:val="000000" w:themeColor="text1"/>
          <w:szCs w:val="22"/>
        </w:rPr>
        <w:t>2016–17</w:t>
      </w:r>
      <w:r w:rsidRPr="004913EF">
        <w:rPr>
          <w:color w:val="000000" w:themeColor="text1"/>
          <w:szCs w:val="22"/>
        </w:rPr>
        <w:t xml:space="preserve"> (</w:t>
      </w:r>
      <w:r>
        <w:rPr>
          <w:color w:val="000000" w:themeColor="text1"/>
          <w:szCs w:val="22"/>
        </w:rPr>
        <w:t>11</w:t>
      </w:r>
      <w:r w:rsidRPr="004913EF">
        <w:rPr>
          <w:color w:val="000000" w:themeColor="text1"/>
          <w:szCs w:val="22"/>
        </w:rPr>
        <w:t>.7 mol m</w:t>
      </w:r>
      <w:r w:rsidRPr="004913EF">
        <w:rPr>
          <w:color w:val="000000" w:themeColor="text1"/>
          <w:szCs w:val="22"/>
          <w:vertAlign w:val="superscript"/>
        </w:rPr>
        <w:t>-2</w:t>
      </w:r>
      <w:r w:rsidRPr="004913EF">
        <w:rPr>
          <w:color w:val="000000" w:themeColor="text1"/>
          <w:szCs w:val="22"/>
        </w:rPr>
        <w:t xml:space="preserve"> d</w:t>
      </w:r>
      <w:r w:rsidRPr="004913EF">
        <w:rPr>
          <w:color w:val="000000" w:themeColor="text1"/>
          <w:szCs w:val="22"/>
          <w:vertAlign w:val="superscript"/>
        </w:rPr>
        <w:t>-1</w:t>
      </w:r>
      <w:r w:rsidRPr="004913EF">
        <w:rPr>
          <w:color w:val="000000" w:themeColor="text1"/>
          <w:szCs w:val="22"/>
        </w:rPr>
        <w:t>), I</w:t>
      </w:r>
      <w:r w:rsidRPr="004913EF">
        <w:rPr>
          <w:color w:val="000000" w:themeColor="text1"/>
          <w:szCs w:val="22"/>
          <w:vertAlign w:val="subscript"/>
        </w:rPr>
        <w:t>d</w:t>
      </w:r>
      <w:r w:rsidRPr="004913EF">
        <w:rPr>
          <w:color w:val="000000" w:themeColor="text1"/>
          <w:szCs w:val="22"/>
        </w:rPr>
        <w:t xml:space="preserve"> was lower than the long-term average (</w:t>
      </w:r>
      <w:r>
        <w:rPr>
          <w:color w:val="000000" w:themeColor="text1"/>
          <w:szCs w:val="22"/>
        </w:rPr>
        <w:t>13</w:t>
      </w:r>
      <w:r w:rsidRPr="004913EF">
        <w:rPr>
          <w:color w:val="000000" w:themeColor="text1"/>
          <w:szCs w:val="22"/>
        </w:rPr>
        <w:t>.7 mol m</w:t>
      </w:r>
      <w:r w:rsidRPr="004913EF">
        <w:rPr>
          <w:color w:val="000000" w:themeColor="text1"/>
          <w:szCs w:val="22"/>
          <w:vertAlign w:val="superscript"/>
        </w:rPr>
        <w:t>-2</w:t>
      </w:r>
      <w:r w:rsidRPr="004913EF">
        <w:rPr>
          <w:color w:val="000000" w:themeColor="text1"/>
          <w:szCs w:val="22"/>
        </w:rPr>
        <w:t xml:space="preserve"> d</w:t>
      </w:r>
      <w:r w:rsidRPr="004913EF">
        <w:rPr>
          <w:color w:val="000000" w:themeColor="text1"/>
          <w:szCs w:val="22"/>
          <w:vertAlign w:val="superscript"/>
        </w:rPr>
        <w:t>-1</w:t>
      </w:r>
      <w:r>
        <w:rPr>
          <w:color w:val="000000" w:themeColor="text1"/>
          <w:szCs w:val="22"/>
        </w:rPr>
        <w:t xml:space="preserve">, </w:t>
      </w:r>
      <w:r w:rsidRPr="004913EF">
        <w:rPr>
          <w:color w:val="000000" w:themeColor="text1"/>
          <w:szCs w:val="22"/>
        </w:rPr>
        <w:t>excluding the retired Pioneer Bay site), due in part to the ongoing effects of TC Debbie on water clarity, particularly at the newly introduced Lindeman Island site.  Without the Lindeman Island site, I</w:t>
      </w:r>
      <w:r w:rsidRPr="006C5D6E">
        <w:rPr>
          <w:color w:val="000000" w:themeColor="text1"/>
          <w:szCs w:val="22"/>
          <w:vertAlign w:val="subscript"/>
        </w:rPr>
        <w:t>d</w:t>
      </w:r>
      <w:r w:rsidRPr="004913EF">
        <w:rPr>
          <w:color w:val="000000" w:themeColor="text1"/>
          <w:szCs w:val="22"/>
        </w:rPr>
        <w:t xml:space="preserve"> was still below average at 12.3 mol m</w:t>
      </w:r>
      <w:r w:rsidRPr="004913EF">
        <w:rPr>
          <w:color w:val="000000" w:themeColor="text1"/>
          <w:szCs w:val="22"/>
          <w:vertAlign w:val="superscript"/>
        </w:rPr>
        <w:t>-2</w:t>
      </w:r>
      <w:r w:rsidRPr="004913EF">
        <w:rPr>
          <w:color w:val="000000" w:themeColor="text1"/>
          <w:szCs w:val="22"/>
        </w:rPr>
        <w:t xml:space="preserve"> d</w:t>
      </w:r>
      <w:r w:rsidRPr="004913EF">
        <w:rPr>
          <w:color w:val="000000" w:themeColor="text1"/>
          <w:szCs w:val="22"/>
          <w:vertAlign w:val="superscript"/>
        </w:rPr>
        <w:t>-1</w:t>
      </w:r>
      <w:r w:rsidRPr="004913EF">
        <w:rPr>
          <w:color w:val="000000" w:themeColor="text1"/>
          <w:szCs w:val="22"/>
        </w:rPr>
        <w:t xml:space="preserve"> (</w:t>
      </w:r>
      <w:r w:rsidRPr="004913EF">
        <w:rPr>
          <w:color w:val="000000" w:themeColor="text1"/>
          <w:szCs w:val="22"/>
        </w:rPr>
        <w:fldChar w:fldCharType="begin"/>
      </w:r>
      <w:r w:rsidRPr="004913EF">
        <w:rPr>
          <w:color w:val="000000" w:themeColor="text1"/>
          <w:szCs w:val="22"/>
        </w:rPr>
        <w:instrText xml:space="preserve"> REF _Ref461614333 \h </w:instrText>
      </w:r>
      <w:r w:rsidRPr="004913EF">
        <w:rPr>
          <w:color w:val="000000" w:themeColor="text1"/>
          <w:szCs w:val="22"/>
        </w:rPr>
      </w:r>
      <w:r w:rsidRPr="004913EF">
        <w:rPr>
          <w:color w:val="000000" w:themeColor="text1"/>
          <w:szCs w:val="22"/>
        </w:rPr>
        <w:fldChar w:fldCharType="separate"/>
      </w:r>
      <w:r w:rsidR="00F87DF9" w:rsidRPr="003C6B91">
        <w:t xml:space="preserve">Figure </w:t>
      </w:r>
      <w:r w:rsidR="00F87DF9">
        <w:rPr>
          <w:noProof/>
        </w:rPr>
        <w:t>81</w:t>
      </w:r>
      <w:r w:rsidRPr="004913EF">
        <w:rPr>
          <w:color w:val="000000" w:themeColor="text1"/>
          <w:szCs w:val="22"/>
        </w:rPr>
        <w:fldChar w:fldCharType="end"/>
      </w:r>
      <w:r w:rsidRPr="004913EF">
        <w:rPr>
          <w:color w:val="000000" w:themeColor="text1"/>
          <w:szCs w:val="22"/>
        </w:rPr>
        <w:t>)</w:t>
      </w:r>
      <w:r w:rsidR="006C5D6E">
        <w:rPr>
          <w:color w:val="000000" w:themeColor="text1"/>
        </w:rPr>
        <w:t>.</w:t>
      </w:r>
    </w:p>
    <w:p w14:paraId="781C77C8" w14:textId="257FBFE8" w:rsidR="00270034" w:rsidRDefault="002860E9" w:rsidP="00C36ADD">
      <w:pPr>
        <w:keepNext/>
        <w:widowControl w:val="0"/>
        <w:spacing w:before="0" w:after="0"/>
        <w:jc w:val="center"/>
        <w:rPr>
          <w:color w:val="000000"/>
          <w:szCs w:val="22"/>
        </w:rPr>
      </w:pPr>
      <w:r>
        <w:rPr>
          <w:noProof/>
          <w:color w:val="000000"/>
          <w:szCs w:val="22"/>
          <w:lang w:eastAsia="en-AU"/>
        </w:rPr>
        <w:drawing>
          <wp:inline distT="0" distB="0" distL="0" distR="0" wp14:anchorId="30F1EE77" wp14:editId="62E91D40">
            <wp:extent cx="5759450" cy="1993655"/>
            <wp:effectExtent l="0" t="0" r="0" b="6985"/>
            <wp:docPr id="536" name="Picture 536" descr="Plot of mean daily light (all sites pooled) with 28 day rolling average and Generalised Additive Model plot of temporal trends in daily light for each location in the Mackay Whitsunday NRM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 name="MW_Daily&amp;GAM.png"/>
                    <pic:cNvPicPr/>
                  </pic:nvPicPr>
                  <pic:blipFill>
                    <a:blip r:embed="rId119"/>
                    <a:stretch>
                      <a:fillRect/>
                    </a:stretch>
                  </pic:blipFill>
                  <pic:spPr>
                    <a:xfrm>
                      <a:off x="0" y="0"/>
                      <a:ext cx="5759450" cy="1993655"/>
                    </a:xfrm>
                    <a:prstGeom prst="rect">
                      <a:avLst/>
                    </a:prstGeom>
                  </pic:spPr>
                </pic:pic>
              </a:graphicData>
            </a:graphic>
          </wp:inline>
        </w:drawing>
      </w:r>
    </w:p>
    <w:p w14:paraId="512D981A" w14:textId="1D64D7CA" w:rsidR="003C6B91" w:rsidRPr="00F9462F" w:rsidRDefault="00270034" w:rsidP="00C36ADD">
      <w:pPr>
        <w:rPr>
          <w:i/>
          <w:vanish/>
          <w:specVanish/>
        </w:rPr>
      </w:pPr>
      <w:bookmarkStart w:id="460" w:name="_Ref461614333"/>
      <w:bookmarkStart w:id="461" w:name="_Toc516053291"/>
      <w:r w:rsidRPr="003C6B91">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81</w:t>
      </w:r>
      <w:r w:rsidR="00C506C7">
        <w:rPr>
          <w:noProof/>
        </w:rPr>
        <w:fldChar w:fldCharType="end"/>
      </w:r>
      <w:bookmarkEnd w:id="460"/>
      <w:r w:rsidRPr="003C6B91">
        <w:rPr>
          <w:i/>
        </w:rPr>
        <w:t xml:space="preserve"> </w:t>
      </w:r>
      <w:r w:rsidR="003C6B91" w:rsidRPr="003C6B91">
        <w:rPr>
          <w:i/>
        </w:rPr>
        <w:t>.</w:t>
      </w:r>
      <w:r w:rsidR="003C6B91" w:rsidRPr="00F9462F">
        <w:rPr>
          <w:i/>
        </w:rPr>
        <w:t xml:space="preserve"> Mean daily light at Mackay Whitsunday habitats wit</w:t>
      </w:r>
      <w:r w:rsidR="003C6B91">
        <w:rPr>
          <w:i/>
        </w:rPr>
        <w:t xml:space="preserve">h 28-d rolling average from 2009 to </w:t>
      </w:r>
      <w:r w:rsidR="007265BF" w:rsidRPr="007265BF">
        <w:rPr>
          <w:i/>
          <w:color w:val="000000" w:themeColor="text1"/>
        </w:rPr>
        <w:t>2017</w:t>
      </w:r>
      <w:r w:rsidR="003C6B91" w:rsidRPr="0097780F">
        <w:rPr>
          <w:i/>
          <w:color w:val="0000FF"/>
        </w:rPr>
        <w:t xml:space="preserve"> </w:t>
      </w:r>
      <w:r w:rsidR="003C6B91" w:rsidRPr="00F9462F">
        <w:rPr>
          <w:i/>
        </w:rPr>
        <w:t>(left) and GAM plots (right)</w:t>
      </w:r>
      <w:bookmarkEnd w:id="461"/>
    </w:p>
    <w:p w14:paraId="5D30F483" w14:textId="2D3F6D15" w:rsidR="003C6B91" w:rsidRPr="00F9462F" w:rsidRDefault="003C6B91" w:rsidP="00C36ADD">
      <w:pPr>
        <w:rPr>
          <w:rFonts w:ascii="Arial" w:hAnsi="Arial" w:cs="Arial"/>
          <w:i/>
          <w:color w:val="000000"/>
        </w:rPr>
      </w:pPr>
      <w:r w:rsidRPr="00F9462F">
        <w:rPr>
          <w:i/>
        </w:rPr>
        <w:t xml:space="preserve"> with the black line showing mean trend for all sites (±95</w:t>
      </w:r>
      <w:r w:rsidR="0063478C">
        <w:rPr>
          <w:i/>
        </w:rPr>
        <w:t xml:space="preserve"> per cent</w:t>
      </w:r>
      <w:r w:rsidRPr="00F9462F">
        <w:rPr>
          <w:i/>
        </w:rPr>
        <w:t xml:space="preserve"> confidence interval in grey shade) and coloured lines (with CI’s) showing the trend for each site. Results of statistical analysis (GAM) and site-specific graphs (site-level daily light data plus 28-d rolling ave</w:t>
      </w:r>
      <w:r w:rsidR="00555F68">
        <w:rPr>
          <w:i/>
        </w:rPr>
        <w:t>rage) are shown in Appendix 4.</w:t>
      </w:r>
    </w:p>
    <w:p w14:paraId="1767D423" w14:textId="52FF49F6" w:rsidR="00270034" w:rsidRPr="00A3518E" w:rsidRDefault="00270034" w:rsidP="00C36ADD">
      <w:pPr>
        <w:rPr>
          <w:color w:val="000000" w:themeColor="text1"/>
          <w:szCs w:val="22"/>
        </w:rPr>
      </w:pPr>
      <w:r w:rsidRPr="00A3518E">
        <w:rPr>
          <w:color w:val="000000" w:themeColor="text1"/>
        </w:rPr>
        <w:t xml:space="preserve">Water temperature was </w:t>
      </w:r>
      <w:r w:rsidR="00484B59" w:rsidRPr="00A3518E">
        <w:rPr>
          <w:color w:val="000000" w:themeColor="text1"/>
        </w:rPr>
        <w:t xml:space="preserve">the highest recorded (annual average) </w:t>
      </w:r>
      <w:r w:rsidRPr="00A3518E">
        <w:rPr>
          <w:color w:val="000000" w:themeColor="text1"/>
        </w:rPr>
        <w:t xml:space="preserve">in the </w:t>
      </w:r>
      <w:r w:rsidR="00484B59" w:rsidRPr="00A3518E">
        <w:rPr>
          <w:color w:val="000000" w:themeColor="text1"/>
        </w:rPr>
        <w:t xml:space="preserve">inshore </w:t>
      </w:r>
      <w:r w:rsidR="004D761B" w:rsidRPr="00A3518E">
        <w:rPr>
          <w:color w:val="000000" w:themeColor="text1"/>
        </w:rPr>
        <w:t xml:space="preserve">seagrass habitats in the Mackay Whitsunday region in </w:t>
      </w:r>
      <w:r w:rsidR="008574EC">
        <w:rPr>
          <w:color w:val="000000" w:themeColor="text1"/>
        </w:rPr>
        <w:t>2016–17</w:t>
      </w:r>
      <w:r w:rsidR="00484B59" w:rsidRPr="00A3518E">
        <w:rPr>
          <w:color w:val="000000" w:themeColor="text1"/>
        </w:rPr>
        <w:t xml:space="preserve">. </w:t>
      </w:r>
      <w:r w:rsidR="0040059A" w:rsidRPr="00A3518E">
        <w:rPr>
          <w:color w:val="000000" w:themeColor="text1"/>
        </w:rPr>
        <w:t>There were fewer days above 35°C (56d)</w:t>
      </w:r>
      <w:r w:rsidRPr="00A3518E">
        <w:rPr>
          <w:color w:val="000000" w:themeColor="text1"/>
        </w:rPr>
        <w:t xml:space="preserve"> </w:t>
      </w:r>
      <w:r w:rsidR="0040059A" w:rsidRPr="00A3518E">
        <w:rPr>
          <w:color w:val="000000" w:themeColor="text1"/>
        </w:rPr>
        <w:t>compared to the previous year</w:t>
      </w:r>
      <w:r w:rsidRPr="00A3518E">
        <w:rPr>
          <w:color w:val="000000" w:themeColor="text1"/>
        </w:rPr>
        <w:t xml:space="preserve"> (</w:t>
      </w:r>
      <w:r w:rsidR="004D761B" w:rsidRPr="00A3518E">
        <w:rPr>
          <w:color w:val="000000" w:themeColor="text1"/>
        </w:rPr>
        <w:t>77</w:t>
      </w:r>
      <w:r w:rsidRPr="00A3518E">
        <w:rPr>
          <w:color w:val="000000" w:themeColor="text1"/>
        </w:rPr>
        <w:t xml:space="preserve"> days), </w:t>
      </w:r>
      <w:r w:rsidR="0040059A" w:rsidRPr="00A3518E">
        <w:rPr>
          <w:color w:val="000000" w:themeColor="text1"/>
        </w:rPr>
        <w:t>but there was</w:t>
      </w:r>
      <w:r w:rsidRPr="00A3518E">
        <w:rPr>
          <w:color w:val="000000" w:themeColor="text1"/>
        </w:rPr>
        <w:t xml:space="preserve"> frequent warm deviation from the baseline</w:t>
      </w:r>
      <w:r w:rsidR="004D761B" w:rsidRPr="00A3518E">
        <w:rPr>
          <w:color w:val="000000" w:themeColor="text1"/>
        </w:rPr>
        <w:t xml:space="preserve"> </w:t>
      </w:r>
      <w:r w:rsidR="00A3518E" w:rsidRPr="00A3518E">
        <w:rPr>
          <w:color w:val="000000" w:themeColor="text1"/>
        </w:rPr>
        <w:t>(</w:t>
      </w:r>
      <w:r w:rsidR="00A3518E" w:rsidRPr="00A3518E">
        <w:rPr>
          <w:color w:val="000000" w:themeColor="text1"/>
        </w:rPr>
        <w:fldChar w:fldCharType="begin"/>
      </w:r>
      <w:r w:rsidR="00A3518E" w:rsidRPr="00A3518E">
        <w:rPr>
          <w:color w:val="000000" w:themeColor="text1"/>
        </w:rPr>
        <w:instrText xml:space="preserve"> REF _Ref461614401 \h </w:instrText>
      </w:r>
      <w:r w:rsidR="00A3518E" w:rsidRPr="00A3518E">
        <w:rPr>
          <w:color w:val="000000" w:themeColor="text1"/>
        </w:rPr>
      </w:r>
      <w:r w:rsidR="00A3518E" w:rsidRPr="00A3518E">
        <w:rPr>
          <w:color w:val="000000" w:themeColor="text1"/>
        </w:rPr>
        <w:fldChar w:fldCharType="separate"/>
      </w:r>
      <w:r w:rsidR="00F87DF9" w:rsidRPr="00EA10D7">
        <w:rPr>
          <w:color w:val="000000"/>
        </w:rPr>
        <w:t xml:space="preserve">Figure </w:t>
      </w:r>
      <w:r w:rsidR="00F87DF9">
        <w:rPr>
          <w:noProof/>
          <w:color w:val="000000"/>
        </w:rPr>
        <w:t>82</w:t>
      </w:r>
      <w:r w:rsidR="00A3518E" w:rsidRPr="00A3518E">
        <w:rPr>
          <w:color w:val="000000" w:themeColor="text1"/>
        </w:rPr>
        <w:fldChar w:fldCharType="end"/>
      </w:r>
      <w:r w:rsidR="00A3518E" w:rsidRPr="00A3518E">
        <w:rPr>
          <w:color w:val="000000" w:themeColor="text1"/>
        </w:rPr>
        <w:t>)</w:t>
      </w:r>
      <w:r w:rsidR="007311CF" w:rsidRPr="00A3518E">
        <w:rPr>
          <w:color w:val="000000" w:themeColor="text1"/>
        </w:rPr>
        <w:t xml:space="preserve">. </w:t>
      </w:r>
      <w:r w:rsidR="00A3518E" w:rsidRPr="00A3518E">
        <w:rPr>
          <w:color w:val="000000" w:themeColor="text1"/>
        </w:rPr>
        <w:t>In addition, there were 12</w:t>
      </w:r>
      <w:r w:rsidR="004D761B" w:rsidRPr="00A3518E">
        <w:rPr>
          <w:color w:val="000000" w:themeColor="text1"/>
        </w:rPr>
        <w:t xml:space="preserve"> day</w:t>
      </w:r>
      <w:r w:rsidR="00A3518E" w:rsidRPr="00A3518E">
        <w:rPr>
          <w:color w:val="000000" w:themeColor="text1"/>
        </w:rPr>
        <w:t>s that were 35-38°C and 4</w:t>
      </w:r>
      <w:r w:rsidR="004D761B" w:rsidRPr="00A3518E">
        <w:rPr>
          <w:color w:val="000000" w:themeColor="text1"/>
        </w:rPr>
        <w:t xml:space="preserve"> days that were &gt;40°C</w:t>
      </w:r>
      <w:r w:rsidR="00A3518E" w:rsidRPr="00A3518E">
        <w:rPr>
          <w:color w:val="000000" w:themeColor="text1"/>
        </w:rPr>
        <w:t xml:space="preserve"> (3 of them in January 2017), which is the greatest number recorded in the region since monitoring began</w:t>
      </w:r>
      <w:r w:rsidR="004D761B" w:rsidRPr="00A3518E">
        <w:rPr>
          <w:color w:val="000000" w:themeColor="text1"/>
        </w:rPr>
        <w:t xml:space="preserve">. </w:t>
      </w:r>
      <w:r w:rsidRPr="00A3518E">
        <w:rPr>
          <w:color w:val="000000" w:themeColor="text1"/>
        </w:rPr>
        <w:t xml:space="preserve">These temperatures </w:t>
      </w:r>
      <w:r w:rsidR="004D761B" w:rsidRPr="00A3518E">
        <w:rPr>
          <w:color w:val="000000" w:themeColor="text1"/>
        </w:rPr>
        <w:t xml:space="preserve">can </w:t>
      </w:r>
      <w:r w:rsidRPr="00A3518E">
        <w:rPr>
          <w:color w:val="000000" w:themeColor="text1"/>
        </w:rPr>
        <w:t>cause significant photoinhibition</w:t>
      </w:r>
      <w:r w:rsidR="004D761B" w:rsidRPr="00A3518E">
        <w:rPr>
          <w:color w:val="000000" w:themeColor="text1"/>
        </w:rPr>
        <w:t xml:space="preserve"> and acute temperature stress</w:t>
      </w:r>
      <w:r w:rsidRPr="00A3518E">
        <w:rPr>
          <w:color w:val="000000" w:themeColor="text1"/>
        </w:rPr>
        <w:t xml:space="preserve"> (</w:t>
      </w:r>
      <w:hyperlink w:anchor="_ENREF_30" w:tooltip="Campbell, 2006 #2896" w:history="1">
        <w:r w:rsidR="00305FE7" w:rsidRPr="00A3518E">
          <w:rPr>
            <w:color w:val="000000" w:themeColor="text1"/>
          </w:rPr>
          <w:fldChar w:fldCharType="begin"/>
        </w:r>
        <w:r w:rsidR="00305FE7">
          <w:rPr>
            <w:color w:val="000000" w:themeColor="text1"/>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sidRPr="00A3518E">
          <w:rPr>
            <w:color w:val="000000" w:themeColor="text1"/>
          </w:rPr>
          <w:fldChar w:fldCharType="separate"/>
        </w:r>
        <w:r w:rsidR="00305FE7">
          <w:rPr>
            <w:noProof/>
            <w:color w:val="000000" w:themeColor="text1"/>
          </w:rPr>
          <w:t>Campbell</w:t>
        </w:r>
        <w:r w:rsidR="00305FE7" w:rsidRPr="00521D93">
          <w:rPr>
            <w:i/>
            <w:noProof/>
            <w:color w:val="000000" w:themeColor="text1"/>
          </w:rPr>
          <w:t xml:space="preserve"> et al.</w:t>
        </w:r>
        <w:r w:rsidR="00305FE7">
          <w:rPr>
            <w:noProof/>
            <w:color w:val="000000" w:themeColor="text1"/>
          </w:rPr>
          <w:t xml:space="preserve"> 2006</w:t>
        </w:r>
        <w:r w:rsidR="00305FE7" w:rsidRPr="00A3518E">
          <w:rPr>
            <w:color w:val="000000" w:themeColor="text1"/>
          </w:rPr>
          <w:fldChar w:fldCharType="end"/>
        </w:r>
      </w:hyperlink>
      <w:r w:rsidR="004D761B" w:rsidRPr="00A3518E">
        <w:rPr>
          <w:color w:val="000000" w:themeColor="text1"/>
        </w:rPr>
        <w:t>), and</w:t>
      </w:r>
      <w:r w:rsidRPr="00A3518E">
        <w:rPr>
          <w:color w:val="000000" w:themeColor="text1"/>
        </w:rPr>
        <w:t xml:space="preserve"> prolonged exposure to warm water can reduce growth in some species such as </w:t>
      </w:r>
      <w:r w:rsidRPr="00A3518E">
        <w:rPr>
          <w:i/>
          <w:color w:val="000000" w:themeColor="text1"/>
        </w:rPr>
        <w:t>Zostera muelleri</w:t>
      </w:r>
      <w:r w:rsidR="004D761B" w:rsidRPr="00A3518E">
        <w:rPr>
          <w:color w:val="000000" w:themeColor="text1"/>
        </w:rPr>
        <w:t xml:space="preserve"> </w:t>
      </w:r>
      <w:r w:rsidRPr="00A3518E">
        <w:rPr>
          <w:color w:val="000000" w:themeColor="text1"/>
        </w:rPr>
        <w:t>(</w:t>
      </w:r>
      <w:r w:rsidR="009A0520" w:rsidRPr="00A3518E">
        <w:rPr>
          <w:color w:val="000000" w:themeColor="text1"/>
        </w:rPr>
        <w:fldChar w:fldCharType="begin">
          <w:fldData xml:space="preserve">PEVuZE5vdGU+PENpdGU+PEF1dGhvcj5Db2xsaWVyPC9BdXRob3I+PFllYXI+MjAxMTwvWWVhcj48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</w:fldData>
        </w:fldChar>
      </w:r>
      <w:r w:rsidR="00610D5C">
        <w:rPr>
          <w:color w:val="000000" w:themeColor="text1"/>
        </w:rPr>
        <w:instrText xml:space="preserve"> ADDIN EN.CITE </w:instrText>
      </w:r>
      <w:r w:rsidR="00610D5C">
        <w:rPr>
          <w:color w:val="000000" w:themeColor="text1"/>
        </w:rPr>
        <w:fldChar w:fldCharType="begin">
          <w:fldData xml:space="preserve">PEVuZE5vdGU+PENpdGU+PEF1dGhvcj5Db2xsaWVyPC9BdXRob3I+PFllYXI+MjAxMTwvWWVhcj48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</w:fldData>
        </w:fldChar>
      </w:r>
      <w:r w:rsidR="00610D5C">
        <w:rPr>
          <w:color w:val="000000" w:themeColor="text1"/>
        </w:rPr>
        <w:instrText xml:space="preserve"> ADDIN EN.CITE.DATA </w:instrText>
      </w:r>
      <w:r w:rsidR="00610D5C">
        <w:rPr>
          <w:color w:val="000000" w:themeColor="text1"/>
        </w:rPr>
      </w:r>
      <w:r w:rsidR="00610D5C">
        <w:rPr>
          <w:color w:val="000000" w:themeColor="text1"/>
        </w:rPr>
        <w:fldChar w:fldCharType="end"/>
      </w:r>
      <w:r w:rsidR="009A0520" w:rsidRPr="00A3518E">
        <w:rPr>
          <w:color w:val="000000" w:themeColor="text1"/>
        </w:rPr>
      </w:r>
      <w:r w:rsidR="009A0520" w:rsidRPr="00A3518E">
        <w:rPr>
          <w:color w:val="000000" w:themeColor="text1"/>
        </w:rPr>
        <w:fldChar w:fldCharType="separate"/>
      </w:r>
      <w:hyperlink w:anchor="_ENREF_56" w:tooltip="Collier, 2011 #9244" w:history="1">
        <w:r w:rsidR="00305FE7">
          <w:rPr>
            <w:noProof/>
            <w:color w:val="000000" w:themeColor="text1"/>
          </w:rPr>
          <w:t>Collier</w:t>
        </w:r>
        <w:r w:rsidR="00305FE7" w:rsidRPr="00610D5C">
          <w:rPr>
            <w:i/>
            <w:noProof/>
            <w:color w:val="000000" w:themeColor="text1"/>
          </w:rPr>
          <w:t xml:space="preserve"> et al.</w:t>
        </w:r>
        <w:r w:rsidR="00305FE7">
          <w:rPr>
            <w:noProof/>
            <w:color w:val="000000" w:themeColor="text1"/>
          </w:rPr>
          <w:t xml:space="preserve"> 2011</w:t>
        </w:r>
      </w:hyperlink>
      <w:r w:rsidR="00610D5C">
        <w:rPr>
          <w:noProof/>
          <w:color w:val="000000" w:themeColor="text1"/>
        </w:rPr>
        <w:t xml:space="preserve">; </w:t>
      </w:r>
      <w:hyperlink w:anchor="_ENREF_54" w:tooltip="Collier, 2016 #10625" w:history="1">
        <w:r w:rsidR="00305FE7">
          <w:rPr>
            <w:noProof/>
            <w:color w:val="000000" w:themeColor="text1"/>
          </w:rPr>
          <w:t>Collier</w:t>
        </w:r>
        <w:r w:rsidR="00305FE7" w:rsidRPr="00610D5C">
          <w:rPr>
            <w:i/>
            <w:noProof/>
            <w:color w:val="000000" w:themeColor="text1"/>
          </w:rPr>
          <w:t xml:space="preserve"> et al.</w:t>
        </w:r>
        <w:r w:rsidR="00305FE7">
          <w:rPr>
            <w:noProof/>
            <w:color w:val="000000" w:themeColor="text1"/>
          </w:rPr>
          <w:t xml:space="preserve"> 2016</w:t>
        </w:r>
      </w:hyperlink>
      <w:r w:rsidR="009A0520" w:rsidRPr="00A3518E">
        <w:rPr>
          <w:color w:val="000000" w:themeColor="text1"/>
        </w:rPr>
        <w:fldChar w:fldCharType="end"/>
      </w:r>
      <w:r w:rsidR="004D761B" w:rsidRPr="00A3518E">
        <w:rPr>
          <w:color w:val="000000" w:themeColor="text1"/>
        </w:rPr>
        <w:t>)</w:t>
      </w:r>
      <w:r w:rsidRPr="00A3518E">
        <w:rPr>
          <w:color w:val="000000" w:themeColor="text1"/>
        </w:rPr>
        <w:t xml:space="preserve">. </w:t>
      </w:r>
    </w:p>
    <w:p w14:paraId="0541FF56" w14:textId="77777777" w:rsidR="00270034" w:rsidRDefault="00786EF1" w:rsidP="00C36ADD">
      <w:pPr>
        <w:jc w:val="center"/>
        <w:rPr>
          <w:color w:val="000000"/>
          <w:szCs w:val="22"/>
        </w:rPr>
      </w:pPr>
      <w:r>
        <w:rPr>
          <w:noProof/>
          <w:color w:val="000000"/>
          <w:szCs w:val="22"/>
          <w:lang w:eastAsia="en-AU"/>
        </w:rPr>
        <w:drawing>
          <wp:inline distT="0" distB="0" distL="0" distR="0" wp14:anchorId="488A5B40" wp14:editId="0F57539D">
            <wp:extent cx="4232893" cy="2254362"/>
            <wp:effectExtent l="0" t="0" r="0" b="0"/>
            <wp:docPr id="513" name="Picture 513" descr="Panel of two bar graphs showing number of days when inshore within canopy sea temperature exceeded 35°C, 38°C, 40°C and 43°C within each season and deviations at intertidal seagrass habitats from 11-year mean weekly temperature records for intertidal seagrass habitats in the Mackay Whitsunday NRM region from September 2003 to Ma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 name="MW_temperature_deviation_2016.png"/>
                    <pic:cNvPicPr/>
                  </pic:nvPicPr>
                  <pic:blipFill>
                    <a:blip r:embed="rId120">
                      <a:extLst>
                        <a:ext uri="{28A0092B-C50C-407E-A947-70E740481C1C}">
                          <a14:useLocalDpi xmlns:a14="http://schemas.microsoft.com/office/drawing/2010/main" val="0"/>
                        </a:ext>
                      </a:extLst>
                    </a:blip>
                    <a:stretch>
                      <a:fillRect/>
                    </a:stretch>
                  </pic:blipFill>
                  <pic:spPr>
                    <a:xfrm>
                      <a:off x="0" y="0"/>
                      <a:ext cx="4232893" cy="2254362"/>
                    </a:xfrm>
                    <a:prstGeom prst="rect">
                      <a:avLst/>
                    </a:prstGeom>
                  </pic:spPr>
                </pic:pic>
              </a:graphicData>
            </a:graphic>
          </wp:inline>
        </w:drawing>
      </w:r>
    </w:p>
    <w:p w14:paraId="4FED37B2" w14:textId="37EC41D8" w:rsidR="00270034" w:rsidRPr="0047633C" w:rsidRDefault="00270034" w:rsidP="00C36ADD">
      <w:pPr>
        <w:rPr>
          <w:i/>
          <w:vanish/>
          <w:szCs w:val="22"/>
          <w:specVanish/>
        </w:rPr>
      </w:pPr>
      <w:bookmarkStart w:id="462" w:name="_Ref461614401"/>
      <w:bookmarkStart w:id="463" w:name="_Toc516053292"/>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82</w:t>
      </w:r>
      <w:r w:rsidR="0073595B">
        <w:rPr>
          <w:color w:val="000000"/>
        </w:rPr>
        <w:fldChar w:fldCharType="end"/>
      </w:r>
      <w:bookmarkEnd w:id="462"/>
      <w:r w:rsidRPr="00EA10D7">
        <w:rPr>
          <w:color w:val="000000"/>
        </w:rPr>
        <w:t xml:space="preserve">. </w:t>
      </w:r>
      <w:r w:rsidRPr="00EA10D7">
        <w:rPr>
          <w:i/>
          <w:color w:val="000000"/>
        </w:rPr>
        <w:t xml:space="preserve">Inshore sea temperatures within each intertidal seagrass habitat in the Mackay </w:t>
      </w:r>
      <w:r w:rsidRPr="0047633C">
        <w:rPr>
          <w:i/>
        </w:rPr>
        <w:t xml:space="preserve">Whitsunday region, September 2003 - </w:t>
      </w:r>
      <w:r w:rsidR="00C76C36" w:rsidRPr="0047633C">
        <w:rPr>
          <w:i/>
        </w:rPr>
        <w:t>May</w:t>
      </w:r>
      <w:r w:rsidRPr="0047633C">
        <w:rPr>
          <w:i/>
        </w:rPr>
        <w:t xml:space="preserve"> 201</w:t>
      </w:r>
      <w:r w:rsidR="0047633C" w:rsidRPr="0047633C">
        <w:rPr>
          <w:i/>
        </w:rPr>
        <w:t>7</w:t>
      </w:r>
      <w:bookmarkEnd w:id="463"/>
    </w:p>
    <w:p w14:paraId="5A7E7D02" w14:textId="62432F02" w:rsidR="00270034" w:rsidRPr="00EA10D7" w:rsidRDefault="00270034" w:rsidP="00C36ADD">
      <w:pPr>
        <w:rPr>
          <w:color w:val="000000"/>
        </w:rPr>
      </w:pPr>
      <w:r w:rsidRPr="0047633C">
        <w:rPr>
          <w:i/>
        </w:rPr>
        <w:t xml:space="preserve">: a) number of days when temperature has exceeded </w:t>
      </w:r>
      <w:r w:rsidRPr="00EA10D7">
        <w:rPr>
          <w:i/>
          <w:color w:val="000000"/>
        </w:rPr>
        <w:t xml:space="preserve">35°C, 38°C, 40°C and 43°C within each season (thresholds adapted from </w:t>
      </w:r>
      <w:hyperlink w:anchor="_ENREF_30" w:tooltip="Campbell, 2006 #2896" w:history="1">
        <w:r w:rsidR="00305FE7">
          <w:rPr>
            <w:i/>
            <w:color w:val="000000"/>
          </w:rPr>
          <w:fldChar w:fldCharType="begin"/>
        </w:r>
        <w:r w:rsidR="00305FE7">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Pr>
            <w:i/>
            <w:color w:val="000000"/>
          </w:rPr>
          <w:fldChar w:fldCharType="separate"/>
        </w:r>
        <w:r w:rsidR="00305FE7">
          <w:rPr>
            <w:i/>
            <w:noProof/>
            <w:color w:val="000000"/>
          </w:rPr>
          <w:t>Campbell et al. 2006</w:t>
        </w:r>
        <w:r w:rsidR="00305FE7">
          <w:rPr>
            <w:i/>
            <w:color w:val="000000"/>
          </w:rPr>
          <w:fldChar w:fldCharType="end"/>
        </w:r>
      </w:hyperlink>
      <w:r w:rsidRPr="00EA10D7">
        <w:rPr>
          <w:i/>
          <w:color w:val="000000"/>
        </w:rPr>
        <w:t>); b) deviations from 1</w:t>
      </w:r>
      <w:r>
        <w:rPr>
          <w:i/>
          <w:color w:val="000000"/>
        </w:rPr>
        <w:t>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Pr="00EA10D7">
        <w:rPr>
          <w:color w:val="000000"/>
        </w:rPr>
        <w:t xml:space="preserve"> </w:t>
      </w:r>
    </w:p>
    <w:p w14:paraId="418E8B4B" w14:textId="77777777" w:rsidR="00FA3DCD" w:rsidRDefault="00FA3DCD" w:rsidP="00FA3DCD">
      <w:pPr>
        <w:pStyle w:val="Heading3"/>
        <w:numPr>
          <w:ilvl w:val="2"/>
          <w:numId w:val="9"/>
        </w:numPr>
        <w:rPr>
          <w:rFonts w:ascii="Arial" w:hAnsi="Arial" w:cs="Arial"/>
          <w:color w:val="000000"/>
        </w:rPr>
      </w:pPr>
      <w:bookmarkStart w:id="464" w:name="_Toc516053158"/>
      <w:bookmarkStart w:id="465" w:name="_Toc431493776"/>
      <w:bookmarkEnd w:id="448"/>
      <w:bookmarkEnd w:id="449"/>
      <w:r>
        <w:rPr>
          <w:rFonts w:ascii="Arial" w:hAnsi="Arial" w:cs="Arial"/>
          <w:color w:val="000000"/>
        </w:rPr>
        <w:t>Indicators of seagrass condition</w:t>
      </w:r>
      <w:bookmarkEnd w:id="464"/>
    </w:p>
    <w:p w14:paraId="25A3E5FD" w14:textId="26C54786" w:rsidR="00F75525" w:rsidRDefault="00F75525" w:rsidP="00C36ADD">
      <w:pPr>
        <w:rPr>
          <w:lang w:eastAsia="x-none"/>
        </w:rPr>
      </w:pPr>
      <w:r w:rsidRPr="00F75525">
        <w:rPr>
          <w:lang w:eastAsia="x-none"/>
        </w:rPr>
        <w:t>F</w:t>
      </w:r>
      <w:r>
        <w:rPr>
          <w:lang w:eastAsia="x-none"/>
        </w:rPr>
        <w:t>ive</w:t>
      </w:r>
      <w:r w:rsidRPr="00F75525">
        <w:rPr>
          <w:lang w:eastAsia="x-none"/>
        </w:rPr>
        <w:t xml:space="preserve"> seagrass habitat types were assessed across the </w:t>
      </w:r>
      <w:r>
        <w:rPr>
          <w:lang w:eastAsia="x-none"/>
        </w:rPr>
        <w:t>Mackay Whitsunday</w:t>
      </w:r>
      <w:r w:rsidRPr="00F75525">
        <w:rPr>
          <w:lang w:eastAsia="x-none"/>
        </w:rPr>
        <w:t xml:space="preserve"> region in </w:t>
      </w:r>
      <w:r w:rsidR="008574EC">
        <w:rPr>
          <w:lang w:eastAsia="x-none"/>
        </w:rPr>
        <w:t>2016–17</w:t>
      </w:r>
      <w:r w:rsidRPr="00F75525">
        <w:rPr>
          <w:lang w:eastAsia="x-none"/>
        </w:rPr>
        <w:t>, with data from 1</w:t>
      </w:r>
      <w:r>
        <w:rPr>
          <w:lang w:eastAsia="x-none"/>
        </w:rPr>
        <w:t>4</w:t>
      </w:r>
      <w:r w:rsidRPr="00F75525">
        <w:rPr>
          <w:lang w:eastAsia="x-none"/>
        </w:rPr>
        <w:t xml:space="preserve"> sites (</w:t>
      </w:r>
      <w:r>
        <w:rPr>
          <w:lang w:eastAsia="x-none"/>
        </w:rPr>
        <w:fldChar w:fldCharType="begin"/>
      </w:r>
      <w:r>
        <w:rPr>
          <w:lang w:eastAsia="x-none"/>
        </w:rPr>
        <w:instrText xml:space="preserve"> REF _Ref473898197 \h </w:instrText>
      </w:r>
      <w:r>
        <w:rPr>
          <w:lang w:eastAsia="x-none"/>
        </w:rPr>
      </w:r>
      <w:r>
        <w:rPr>
          <w:lang w:eastAsia="x-none"/>
        </w:rPr>
        <w:fldChar w:fldCharType="separate"/>
      </w:r>
      <w:r w:rsidR="00F87DF9">
        <w:t xml:space="preserve">Table </w:t>
      </w:r>
      <w:r w:rsidR="00F87DF9">
        <w:rPr>
          <w:noProof/>
        </w:rPr>
        <w:t>26</w:t>
      </w:r>
      <w:r>
        <w:rPr>
          <w:lang w:eastAsia="x-none"/>
        </w:rPr>
        <w:fldChar w:fldCharType="end"/>
      </w:r>
      <w:r w:rsidRPr="00F75525">
        <w:rPr>
          <w:lang w:eastAsia="x-none"/>
        </w:rPr>
        <w:t>).</w:t>
      </w:r>
    </w:p>
    <w:p w14:paraId="261FFF98" w14:textId="6E1F870A" w:rsidR="00F75525" w:rsidRPr="00F75525" w:rsidRDefault="00F75525" w:rsidP="00C36ADD">
      <w:pPr>
        <w:rPr>
          <w:i/>
          <w:vanish/>
          <w:specVanish/>
        </w:rPr>
      </w:pPr>
      <w:bookmarkStart w:id="466" w:name="_Ref473898197"/>
      <w:bookmarkStart w:id="467" w:name="_Toc516053450"/>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26</w:t>
      </w:r>
      <w:r w:rsidR="00C506C7">
        <w:rPr>
          <w:noProof/>
        </w:rPr>
        <w:fldChar w:fldCharType="end"/>
      </w:r>
      <w:bookmarkEnd w:id="466"/>
      <w:r>
        <w:t xml:space="preserve">. </w:t>
      </w:r>
      <w:r w:rsidRPr="00F75525">
        <w:rPr>
          <w:i/>
        </w:rPr>
        <w:t>List of data sources of seagrass and environmental condition indicators for each seagrass habitat type in the Mackay Whitsunday NRM region.</w:t>
      </w:r>
      <w:bookmarkEnd w:id="467"/>
      <w:r w:rsidRPr="00F75525">
        <w:rPr>
          <w:i/>
          <w:vanish/>
          <w:specVanish/>
        </w:rPr>
        <w:t xml:space="preserve"> </w:t>
      </w:r>
    </w:p>
    <w:p w14:paraId="198F3260" w14:textId="6A541850" w:rsidR="00F75525" w:rsidRPr="00F75525" w:rsidRDefault="00F75525" w:rsidP="00C36ADD">
      <w:pPr>
        <w:pStyle w:val="Caption"/>
        <w:rPr>
          <w:i/>
        </w:rPr>
      </w:pPr>
      <w:r w:rsidRPr="00F75525">
        <w:rPr>
          <w:i/>
        </w:rPr>
        <w:t xml:space="preserve"> </w:t>
      </w:r>
      <w:r w:rsidR="00C76C36" w:rsidRPr="00BE000D">
        <w:rPr>
          <w:i/>
          <w:color w:val="000000"/>
          <w:szCs w:val="22"/>
          <w:vertAlign w:val="superscript"/>
        </w:rPr>
        <w:sym w:font="Wingdings 2" w:char="F085"/>
      </w:r>
      <w:r w:rsidR="00C76C36">
        <w:rPr>
          <w:i/>
          <w:color w:val="000000"/>
          <w:szCs w:val="22"/>
        </w:rPr>
        <w:t xml:space="preserve"> drop camera sampling (QPWS), *Seagrass-Watch.</w:t>
      </w:r>
      <w:r w:rsidR="00C76C36" w:rsidRPr="00A062EF">
        <w:rPr>
          <w:i/>
        </w:rPr>
        <w:t xml:space="preserve"> </w:t>
      </w:r>
      <w:r w:rsidRPr="00F75525">
        <w:rPr>
          <w:i/>
        </w:rPr>
        <w:t xml:space="preserve">For site details see </w:t>
      </w:r>
      <w:r w:rsidRPr="00F75525">
        <w:rPr>
          <w:i/>
        </w:rPr>
        <w:fldChar w:fldCharType="begin"/>
      </w:r>
      <w:r w:rsidRPr="00F75525">
        <w:rPr>
          <w:i/>
        </w:rPr>
        <w:instrText xml:space="preserve"> REF _Ref236539751 \h </w:instrText>
      </w:r>
      <w:r>
        <w:rPr>
          <w:i/>
        </w:rPr>
        <w:instrText xml:space="preserve"> \* MERGEFORMAT </w:instrText>
      </w:r>
      <w:r w:rsidRPr="00F75525">
        <w:rPr>
          <w:i/>
        </w:rPr>
      </w:r>
      <w:r w:rsidRPr="00F75525">
        <w:rPr>
          <w:i/>
        </w:rPr>
        <w:fldChar w:fldCharType="separate"/>
      </w:r>
      <w:r w:rsidR="00F87DF9" w:rsidRPr="00F87DF9">
        <w:rPr>
          <w:i/>
          <w:color w:val="000000"/>
          <w:szCs w:val="22"/>
        </w:rPr>
        <w:t xml:space="preserve">Table </w:t>
      </w:r>
      <w:r w:rsidR="00F87DF9" w:rsidRPr="00F87DF9">
        <w:rPr>
          <w:i/>
          <w:noProof/>
          <w:color w:val="000000"/>
          <w:szCs w:val="22"/>
        </w:rPr>
        <w:t>3</w:t>
      </w:r>
      <w:r w:rsidRPr="00F75525">
        <w:rPr>
          <w:i/>
        </w:rPr>
        <w:fldChar w:fldCharType="end"/>
      </w:r>
      <w:r w:rsidRPr="00F75525">
        <w:rPr>
          <w:i/>
        </w:rPr>
        <w:t xml:space="preserve"> and </w:t>
      </w:r>
      <w:r w:rsidRPr="00F75525">
        <w:rPr>
          <w:i/>
        </w:rPr>
        <w:fldChar w:fldCharType="begin"/>
      </w:r>
      <w:r w:rsidRPr="00F75525">
        <w:rPr>
          <w:i/>
        </w:rPr>
        <w:instrText xml:space="preserve"> REF _Ref461186562 \h </w:instrText>
      </w:r>
      <w:r>
        <w:rPr>
          <w:i/>
        </w:rPr>
        <w:instrText xml:space="preserve"> \* MERGEFORMAT </w:instrText>
      </w:r>
      <w:r w:rsidRPr="00F75525">
        <w:rPr>
          <w:i/>
        </w:rPr>
      </w:r>
      <w:r w:rsidRPr="00F75525">
        <w:rPr>
          <w:i/>
        </w:rPr>
        <w:fldChar w:fldCharType="separate"/>
      </w:r>
      <w:r w:rsidR="00F87DF9" w:rsidRPr="00F87DF9">
        <w:rPr>
          <w:i/>
          <w:color w:val="000000"/>
          <w:szCs w:val="22"/>
        </w:rPr>
        <w:t xml:space="preserve">Table </w:t>
      </w:r>
      <w:r w:rsidR="00F87DF9" w:rsidRPr="00F87DF9">
        <w:rPr>
          <w:i/>
          <w:noProof/>
          <w:color w:val="000000"/>
          <w:szCs w:val="22"/>
        </w:rPr>
        <w:t>4</w:t>
      </w:r>
      <w:r w:rsidRPr="00F75525">
        <w:rPr>
          <w:i/>
        </w:rPr>
        <w:fldChar w:fldCharType="end"/>
      </w:r>
      <w:r w:rsidRPr="00F75525">
        <w:rPr>
          <w:i/>
        </w:rPr>
        <w:t>.</w:t>
      </w:r>
    </w:p>
    <w:tbl>
      <w:tblPr>
        <w:tblW w:w="81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4"/>
        <w:gridCol w:w="674"/>
        <w:gridCol w:w="1591"/>
        <w:gridCol w:w="467"/>
        <w:gridCol w:w="467"/>
        <w:gridCol w:w="467"/>
        <w:gridCol w:w="467"/>
        <w:gridCol w:w="467"/>
        <w:gridCol w:w="467"/>
        <w:gridCol w:w="467"/>
        <w:gridCol w:w="467"/>
        <w:gridCol w:w="467"/>
      </w:tblGrid>
      <w:tr w:rsidR="00F75525" w:rsidRPr="00F75525" w14:paraId="6B5FE3E8" w14:textId="77777777" w:rsidTr="00F75525">
        <w:trPr>
          <w:cantSplit/>
          <w:trHeight w:val="1968"/>
          <w:jc w:val="center"/>
        </w:trPr>
        <w:tc>
          <w:tcPr>
            <w:tcW w:w="1714" w:type="dxa"/>
            <w:shd w:val="clear" w:color="auto" w:fill="BBE0E3"/>
            <w:vAlign w:val="center"/>
          </w:tcPr>
          <w:p w14:paraId="258C4C7E" w14:textId="77777777" w:rsidR="00F75525" w:rsidRPr="00F75525" w:rsidRDefault="00F75525" w:rsidP="00C36ADD">
            <w:pPr>
              <w:spacing w:before="0" w:after="0"/>
              <w:jc w:val="center"/>
              <w:rPr>
                <w:rFonts w:cs="Arial"/>
                <w:b/>
                <w:bCs/>
                <w:color w:val="000000"/>
                <w:sz w:val="20"/>
                <w:szCs w:val="20"/>
              </w:rPr>
            </w:pPr>
            <w:r w:rsidRPr="00F75525">
              <w:rPr>
                <w:rFonts w:cs="Arial"/>
                <w:b/>
                <w:bCs/>
                <w:color w:val="000000"/>
                <w:sz w:val="20"/>
                <w:szCs w:val="20"/>
              </w:rPr>
              <w:t>Habitat</w:t>
            </w:r>
          </w:p>
        </w:tc>
        <w:tc>
          <w:tcPr>
            <w:tcW w:w="2265" w:type="dxa"/>
            <w:gridSpan w:val="2"/>
            <w:shd w:val="clear" w:color="auto" w:fill="BBE0E3"/>
            <w:noWrap/>
            <w:vAlign w:val="center"/>
          </w:tcPr>
          <w:p w14:paraId="125F396B" w14:textId="77777777" w:rsidR="00F75525" w:rsidRPr="00F75525" w:rsidRDefault="00F75525" w:rsidP="00C36ADD">
            <w:pPr>
              <w:spacing w:before="0" w:after="0"/>
              <w:jc w:val="center"/>
              <w:rPr>
                <w:rFonts w:cs="Arial"/>
                <w:b/>
                <w:bCs/>
                <w:color w:val="000000"/>
                <w:sz w:val="20"/>
                <w:szCs w:val="20"/>
              </w:rPr>
            </w:pPr>
            <w:r w:rsidRPr="00F75525">
              <w:rPr>
                <w:rFonts w:cs="Arial"/>
                <w:b/>
                <w:bCs/>
                <w:color w:val="000000"/>
                <w:sz w:val="20"/>
                <w:szCs w:val="20"/>
              </w:rPr>
              <w:t>Site</w:t>
            </w:r>
          </w:p>
        </w:tc>
        <w:tc>
          <w:tcPr>
            <w:tcW w:w="467" w:type="dxa"/>
            <w:shd w:val="clear" w:color="auto" w:fill="BBE0E3"/>
            <w:textDirection w:val="btLr"/>
            <w:vAlign w:val="center"/>
          </w:tcPr>
          <w:p w14:paraId="6A2A87D3"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abundance</w:t>
            </w:r>
          </w:p>
        </w:tc>
        <w:tc>
          <w:tcPr>
            <w:tcW w:w="467" w:type="dxa"/>
            <w:shd w:val="clear" w:color="auto" w:fill="BBE0E3"/>
            <w:textDirection w:val="btLr"/>
            <w:vAlign w:val="center"/>
          </w:tcPr>
          <w:p w14:paraId="7CA98E34"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 xml:space="preserve">composition </w:t>
            </w:r>
          </w:p>
        </w:tc>
        <w:tc>
          <w:tcPr>
            <w:tcW w:w="467" w:type="dxa"/>
            <w:shd w:val="clear" w:color="auto" w:fill="BBE0E3"/>
            <w:textDirection w:val="btLr"/>
            <w:vAlign w:val="center"/>
          </w:tcPr>
          <w:p w14:paraId="0FC157F4"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distribution</w:t>
            </w:r>
          </w:p>
        </w:tc>
        <w:tc>
          <w:tcPr>
            <w:tcW w:w="467" w:type="dxa"/>
            <w:shd w:val="clear" w:color="auto" w:fill="BBE0E3"/>
            <w:textDirection w:val="btLr"/>
            <w:vAlign w:val="center"/>
          </w:tcPr>
          <w:p w14:paraId="0757F73F"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Reproductive effort</w:t>
            </w:r>
          </w:p>
        </w:tc>
        <w:tc>
          <w:tcPr>
            <w:tcW w:w="467" w:type="dxa"/>
            <w:shd w:val="clear" w:color="auto" w:fill="BBE0E3"/>
            <w:textDirection w:val="btLr"/>
            <w:vAlign w:val="center"/>
          </w:tcPr>
          <w:p w14:paraId="54B4E9ED"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seed banks</w:t>
            </w:r>
          </w:p>
        </w:tc>
        <w:tc>
          <w:tcPr>
            <w:tcW w:w="467" w:type="dxa"/>
            <w:shd w:val="clear" w:color="auto" w:fill="BBE0E3"/>
            <w:textDirection w:val="btLr"/>
            <w:vAlign w:val="center"/>
          </w:tcPr>
          <w:p w14:paraId="3B7F1239"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Leaf tissue nutrients</w:t>
            </w:r>
          </w:p>
        </w:tc>
        <w:tc>
          <w:tcPr>
            <w:tcW w:w="467" w:type="dxa"/>
            <w:shd w:val="clear" w:color="auto" w:fill="BBE0E3"/>
            <w:textDirection w:val="btLr"/>
            <w:vAlign w:val="center"/>
          </w:tcPr>
          <w:p w14:paraId="14EAE87B"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Meadow sediments</w:t>
            </w:r>
          </w:p>
        </w:tc>
        <w:tc>
          <w:tcPr>
            <w:tcW w:w="467" w:type="dxa"/>
            <w:shd w:val="clear" w:color="auto" w:fill="BBE0E3"/>
            <w:textDirection w:val="btLr"/>
            <w:vAlign w:val="center"/>
          </w:tcPr>
          <w:p w14:paraId="12E56D02"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Epiphytes</w:t>
            </w:r>
          </w:p>
        </w:tc>
        <w:tc>
          <w:tcPr>
            <w:tcW w:w="467" w:type="dxa"/>
            <w:shd w:val="clear" w:color="auto" w:fill="BBE0E3"/>
            <w:textDirection w:val="btLr"/>
          </w:tcPr>
          <w:p w14:paraId="0693B3A8" w14:textId="77777777" w:rsidR="00F75525" w:rsidRPr="00F75525" w:rsidRDefault="00F75525" w:rsidP="00C36ADD">
            <w:pPr>
              <w:spacing w:before="0" w:after="0"/>
              <w:ind w:left="113" w:right="113"/>
              <w:rPr>
                <w:rFonts w:cs="Arial"/>
                <w:b/>
                <w:bCs/>
                <w:color w:val="000000"/>
                <w:sz w:val="20"/>
                <w:szCs w:val="20"/>
              </w:rPr>
            </w:pPr>
            <w:r w:rsidRPr="00F75525">
              <w:rPr>
                <w:rFonts w:cs="Arial"/>
                <w:b/>
                <w:bCs/>
                <w:color w:val="000000"/>
                <w:sz w:val="20"/>
                <w:szCs w:val="20"/>
              </w:rPr>
              <w:t>Macroalgae</w:t>
            </w:r>
          </w:p>
        </w:tc>
      </w:tr>
      <w:tr w:rsidR="00F75525" w:rsidRPr="00015190" w14:paraId="623D6187" w14:textId="77777777" w:rsidTr="00F75525">
        <w:trPr>
          <w:trHeight w:val="170"/>
          <w:jc w:val="center"/>
        </w:trPr>
        <w:tc>
          <w:tcPr>
            <w:tcW w:w="1714" w:type="dxa"/>
            <w:vMerge w:val="restart"/>
            <w:shd w:val="clear" w:color="auto" w:fill="E7F3F4"/>
            <w:vAlign w:val="center"/>
          </w:tcPr>
          <w:p w14:paraId="58B73E1B" w14:textId="77777777" w:rsidR="00F75525" w:rsidRPr="00F75525" w:rsidRDefault="00F75525" w:rsidP="00C36ADD">
            <w:pPr>
              <w:spacing w:before="0" w:after="0"/>
              <w:jc w:val="center"/>
              <w:rPr>
                <w:color w:val="000000"/>
                <w:sz w:val="20"/>
                <w:szCs w:val="20"/>
              </w:rPr>
            </w:pPr>
            <w:r w:rsidRPr="00F75525">
              <w:rPr>
                <w:color w:val="000000"/>
                <w:sz w:val="20"/>
                <w:szCs w:val="20"/>
              </w:rPr>
              <w:t>estuary intertidal</w:t>
            </w:r>
          </w:p>
        </w:tc>
        <w:tc>
          <w:tcPr>
            <w:tcW w:w="674" w:type="dxa"/>
            <w:shd w:val="clear" w:color="auto" w:fill="E7F3F4"/>
            <w:noWrap/>
            <w:vAlign w:val="center"/>
          </w:tcPr>
          <w:p w14:paraId="08D67159" w14:textId="77777777" w:rsidR="00F75525" w:rsidRPr="00F75525" w:rsidRDefault="00F75525" w:rsidP="00C36ADD">
            <w:pPr>
              <w:spacing w:before="0" w:after="0"/>
              <w:jc w:val="center"/>
              <w:rPr>
                <w:color w:val="000000"/>
                <w:sz w:val="20"/>
                <w:szCs w:val="20"/>
              </w:rPr>
            </w:pPr>
            <w:r w:rsidRPr="00F75525">
              <w:rPr>
                <w:color w:val="000000"/>
                <w:sz w:val="20"/>
                <w:szCs w:val="20"/>
              </w:rPr>
              <w:t>SI1</w:t>
            </w:r>
          </w:p>
        </w:tc>
        <w:tc>
          <w:tcPr>
            <w:tcW w:w="1591" w:type="dxa"/>
            <w:shd w:val="clear" w:color="auto" w:fill="E7F3F4"/>
            <w:noWrap/>
            <w:vAlign w:val="center"/>
          </w:tcPr>
          <w:p w14:paraId="25C70726" w14:textId="77777777" w:rsidR="00F75525" w:rsidRPr="00F75525" w:rsidRDefault="00F75525" w:rsidP="00C36ADD">
            <w:pPr>
              <w:spacing w:before="0" w:after="0"/>
              <w:jc w:val="center"/>
              <w:rPr>
                <w:color w:val="000000"/>
                <w:sz w:val="20"/>
                <w:szCs w:val="20"/>
              </w:rPr>
            </w:pPr>
            <w:r w:rsidRPr="00F75525">
              <w:rPr>
                <w:color w:val="000000"/>
                <w:sz w:val="20"/>
                <w:szCs w:val="20"/>
              </w:rPr>
              <w:t>Sarina Inlet</w:t>
            </w:r>
          </w:p>
        </w:tc>
        <w:tc>
          <w:tcPr>
            <w:tcW w:w="467" w:type="dxa"/>
            <w:shd w:val="clear" w:color="auto" w:fill="E7F3F4"/>
            <w:vAlign w:val="center"/>
          </w:tcPr>
          <w:p w14:paraId="5F6A0FE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F0D542"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C31EB43"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21B6293"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A18E45"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3DBEA5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6BA26C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6EA764"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6186DE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6DD50BC1" w14:textId="77777777" w:rsidTr="00F75525">
        <w:trPr>
          <w:trHeight w:val="170"/>
          <w:jc w:val="center"/>
        </w:trPr>
        <w:tc>
          <w:tcPr>
            <w:tcW w:w="1714" w:type="dxa"/>
            <w:vMerge/>
            <w:shd w:val="clear" w:color="auto" w:fill="E7F3F4"/>
            <w:vAlign w:val="center"/>
          </w:tcPr>
          <w:p w14:paraId="67D368BC" w14:textId="77777777" w:rsidR="00F75525" w:rsidRPr="00F75525" w:rsidRDefault="00F75525" w:rsidP="00C36ADD">
            <w:pPr>
              <w:spacing w:before="0" w:after="0"/>
              <w:jc w:val="center"/>
              <w:rPr>
                <w:color w:val="000000"/>
                <w:sz w:val="20"/>
                <w:szCs w:val="20"/>
              </w:rPr>
            </w:pPr>
          </w:p>
        </w:tc>
        <w:tc>
          <w:tcPr>
            <w:tcW w:w="674" w:type="dxa"/>
            <w:shd w:val="clear" w:color="auto" w:fill="E7F3F4"/>
            <w:noWrap/>
            <w:vAlign w:val="center"/>
          </w:tcPr>
          <w:p w14:paraId="3465D554" w14:textId="77777777" w:rsidR="00F75525" w:rsidRPr="00F75525" w:rsidRDefault="00F75525" w:rsidP="00C36ADD">
            <w:pPr>
              <w:spacing w:before="0" w:after="0"/>
              <w:jc w:val="center"/>
              <w:rPr>
                <w:iCs/>
                <w:color w:val="000000"/>
                <w:sz w:val="20"/>
                <w:szCs w:val="20"/>
              </w:rPr>
            </w:pPr>
            <w:r w:rsidRPr="00F75525">
              <w:rPr>
                <w:iCs/>
                <w:color w:val="000000"/>
                <w:sz w:val="20"/>
                <w:szCs w:val="20"/>
              </w:rPr>
              <w:t>SI2</w:t>
            </w:r>
          </w:p>
        </w:tc>
        <w:tc>
          <w:tcPr>
            <w:tcW w:w="1591" w:type="dxa"/>
            <w:shd w:val="clear" w:color="auto" w:fill="E7F3F4"/>
            <w:noWrap/>
            <w:vAlign w:val="center"/>
          </w:tcPr>
          <w:p w14:paraId="41B5D9F9" w14:textId="77777777" w:rsidR="00F75525" w:rsidRPr="00F75525" w:rsidRDefault="00F75525" w:rsidP="00C36ADD">
            <w:pPr>
              <w:spacing w:before="0" w:after="0"/>
              <w:jc w:val="center"/>
              <w:rPr>
                <w:color w:val="000000"/>
                <w:sz w:val="20"/>
                <w:szCs w:val="20"/>
              </w:rPr>
            </w:pPr>
            <w:r w:rsidRPr="00F75525">
              <w:rPr>
                <w:color w:val="000000"/>
                <w:sz w:val="20"/>
                <w:szCs w:val="20"/>
              </w:rPr>
              <w:t>Sarina Inlet</w:t>
            </w:r>
          </w:p>
        </w:tc>
        <w:tc>
          <w:tcPr>
            <w:tcW w:w="467" w:type="dxa"/>
            <w:shd w:val="clear" w:color="auto" w:fill="E7F3F4"/>
            <w:vAlign w:val="center"/>
          </w:tcPr>
          <w:p w14:paraId="7877F2DB"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CACADC0"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79271B1"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20966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537A8A5"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34D7BA2"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E8CF0C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FFF11C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5B1F85"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2830CBEA" w14:textId="77777777" w:rsidTr="00F75525">
        <w:trPr>
          <w:trHeight w:val="170"/>
          <w:jc w:val="center"/>
        </w:trPr>
        <w:tc>
          <w:tcPr>
            <w:tcW w:w="1714" w:type="dxa"/>
            <w:vMerge w:val="restart"/>
            <w:shd w:val="clear" w:color="auto" w:fill="F3F9FA"/>
            <w:vAlign w:val="center"/>
          </w:tcPr>
          <w:p w14:paraId="2130CE2C" w14:textId="77777777" w:rsidR="00F75525" w:rsidRPr="00F75525" w:rsidRDefault="00F75525" w:rsidP="00C36ADD">
            <w:pPr>
              <w:spacing w:before="0" w:after="0"/>
              <w:jc w:val="center"/>
              <w:rPr>
                <w:color w:val="000000"/>
                <w:sz w:val="20"/>
                <w:szCs w:val="20"/>
              </w:rPr>
            </w:pPr>
            <w:r w:rsidRPr="00F75525">
              <w:rPr>
                <w:color w:val="000000"/>
                <w:sz w:val="20"/>
                <w:szCs w:val="20"/>
              </w:rPr>
              <w:t>coastal intertidal</w:t>
            </w:r>
          </w:p>
        </w:tc>
        <w:tc>
          <w:tcPr>
            <w:tcW w:w="674" w:type="dxa"/>
            <w:shd w:val="clear" w:color="auto" w:fill="F3F9FA"/>
            <w:noWrap/>
            <w:vAlign w:val="center"/>
          </w:tcPr>
          <w:p w14:paraId="6862268E" w14:textId="77777777" w:rsidR="00F75525" w:rsidRPr="00F75525" w:rsidRDefault="00F75525" w:rsidP="00C36ADD">
            <w:pPr>
              <w:spacing w:before="0" w:after="0"/>
              <w:jc w:val="center"/>
              <w:rPr>
                <w:color w:val="000000"/>
                <w:sz w:val="20"/>
                <w:szCs w:val="20"/>
              </w:rPr>
            </w:pPr>
            <w:r w:rsidRPr="00F75525">
              <w:rPr>
                <w:color w:val="000000"/>
                <w:sz w:val="20"/>
                <w:szCs w:val="20"/>
              </w:rPr>
              <w:t>MP2</w:t>
            </w:r>
          </w:p>
        </w:tc>
        <w:tc>
          <w:tcPr>
            <w:tcW w:w="1591" w:type="dxa"/>
            <w:shd w:val="clear" w:color="auto" w:fill="F3F9FA"/>
            <w:noWrap/>
            <w:vAlign w:val="center"/>
          </w:tcPr>
          <w:p w14:paraId="186DF4BF" w14:textId="77777777" w:rsidR="00F75525" w:rsidRPr="00F75525" w:rsidRDefault="00F75525" w:rsidP="00C36ADD">
            <w:pPr>
              <w:spacing w:before="0" w:after="0"/>
              <w:jc w:val="center"/>
              <w:rPr>
                <w:color w:val="000000"/>
                <w:sz w:val="20"/>
                <w:szCs w:val="20"/>
              </w:rPr>
            </w:pPr>
            <w:r w:rsidRPr="00F75525">
              <w:rPr>
                <w:color w:val="000000"/>
                <w:sz w:val="20"/>
                <w:szCs w:val="20"/>
              </w:rPr>
              <w:t>Midge Point</w:t>
            </w:r>
          </w:p>
        </w:tc>
        <w:tc>
          <w:tcPr>
            <w:tcW w:w="467" w:type="dxa"/>
            <w:shd w:val="clear" w:color="auto" w:fill="F3F9FA"/>
            <w:vAlign w:val="center"/>
          </w:tcPr>
          <w:p w14:paraId="4D531116" w14:textId="77777777" w:rsidR="00F75525" w:rsidRPr="00F45F13" w:rsidRDefault="00F75525"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06C360B2"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0614F21" w14:textId="77777777" w:rsidR="00F75525" w:rsidRPr="00F45F13" w:rsidRDefault="00F75525"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00255CE4" w14:textId="77777777" w:rsidR="00F75525" w:rsidRPr="00F45F13" w:rsidRDefault="00F75525"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3469374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37A44DC"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4B0784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102F2C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92915A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18734036" w14:textId="77777777" w:rsidTr="00F75525">
        <w:trPr>
          <w:trHeight w:val="170"/>
          <w:jc w:val="center"/>
        </w:trPr>
        <w:tc>
          <w:tcPr>
            <w:tcW w:w="1714" w:type="dxa"/>
            <w:vMerge/>
            <w:shd w:val="clear" w:color="auto" w:fill="F3F9FA"/>
            <w:vAlign w:val="center"/>
          </w:tcPr>
          <w:p w14:paraId="730B897A" w14:textId="77777777" w:rsidR="00F75525" w:rsidRPr="00F75525" w:rsidRDefault="00F75525" w:rsidP="00C36ADD">
            <w:pPr>
              <w:spacing w:before="0" w:after="0"/>
              <w:jc w:val="center"/>
              <w:rPr>
                <w:color w:val="000000"/>
                <w:sz w:val="20"/>
                <w:szCs w:val="20"/>
              </w:rPr>
            </w:pPr>
          </w:p>
        </w:tc>
        <w:tc>
          <w:tcPr>
            <w:tcW w:w="674" w:type="dxa"/>
            <w:shd w:val="clear" w:color="auto" w:fill="F3F9FA"/>
            <w:noWrap/>
            <w:vAlign w:val="center"/>
          </w:tcPr>
          <w:p w14:paraId="1CA5F360" w14:textId="77777777" w:rsidR="00F75525" w:rsidRPr="00F75525" w:rsidRDefault="00F75525" w:rsidP="00C36ADD">
            <w:pPr>
              <w:spacing w:before="0" w:after="0"/>
              <w:jc w:val="center"/>
              <w:rPr>
                <w:color w:val="000000"/>
                <w:sz w:val="20"/>
                <w:szCs w:val="20"/>
              </w:rPr>
            </w:pPr>
            <w:r w:rsidRPr="00F75525">
              <w:rPr>
                <w:color w:val="000000"/>
                <w:sz w:val="20"/>
                <w:szCs w:val="20"/>
              </w:rPr>
              <w:t>MP3</w:t>
            </w:r>
          </w:p>
        </w:tc>
        <w:tc>
          <w:tcPr>
            <w:tcW w:w="1591" w:type="dxa"/>
            <w:shd w:val="clear" w:color="auto" w:fill="F3F9FA"/>
            <w:noWrap/>
            <w:vAlign w:val="center"/>
          </w:tcPr>
          <w:p w14:paraId="25766CA3" w14:textId="77777777" w:rsidR="00F75525" w:rsidRPr="00F75525" w:rsidRDefault="00F75525" w:rsidP="00C36ADD">
            <w:pPr>
              <w:spacing w:before="0" w:after="0"/>
              <w:jc w:val="center"/>
              <w:rPr>
                <w:i/>
                <w:color w:val="000000"/>
                <w:sz w:val="20"/>
                <w:szCs w:val="20"/>
              </w:rPr>
            </w:pPr>
            <w:r w:rsidRPr="00F75525">
              <w:rPr>
                <w:color w:val="000000"/>
                <w:sz w:val="20"/>
                <w:szCs w:val="20"/>
              </w:rPr>
              <w:t>Midge Point</w:t>
            </w:r>
          </w:p>
        </w:tc>
        <w:tc>
          <w:tcPr>
            <w:tcW w:w="467" w:type="dxa"/>
            <w:shd w:val="clear" w:color="auto" w:fill="F3F9FA"/>
            <w:vAlign w:val="center"/>
          </w:tcPr>
          <w:p w14:paraId="4B327CFC"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AF1AC3B"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46947B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5F15A73"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727CA3C"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C86658B"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AF2682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09368A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222B47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78B79F61" w14:textId="77777777" w:rsidTr="00F75525">
        <w:trPr>
          <w:trHeight w:val="170"/>
          <w:jc w:val="center"/>
        </w:trPr>
        <w:tc>
          <w:tcPr>
            <w:tcW w:w="1714" w:type="dxa"/>
            <w:vMerge/>
            <w:shd w:val="clear" w:color="auto" w:fill="F3F9FA"/>
            <w:vAlign w:val="center"/>
          </w:tcPr>
          <w:p w14:paraId="18730374" w14:textId="77777777" w:rsidR="00F75525" w:rsidRPr="00F75525" w:rsidRDefault="00F75525" w:rsidP="00C36ADD">
            <w:pPr>
              <w:spacing w:before="0" w:after="0"/>
              <w:jc w:val="center"/>
              <w:rPr>
                <w:color w:val="000000"/>
                <w:sz w:val="20"/>
                <w:szCs w:val="20"/>
              </w:rPr>
            </w:pPr>
          </w:p>
        </w:tc>
        <w:tc>
          <w:tcPr>
            <w:tcW w:w="674" w:type="dxa"/>
            <w:shd w:val="clear" w:color="auto" w:fill="F3F9FA"/>
            <w:noWrap/>
            <w:vAlign w:val="center"/>
          </w:tcPr>
          <w:p w14:paraId="0F583696" w14:textId="0E73C98F" w:rsidR="00F75525" w:rsidRPr="00F75525" w:rsidRDefault="00F75525" w:rsidP="00C36ADD">
            <w:pPr>
              <w:spacing w:before="0" w:after="0"/>
              <w:jc w:val="center"/>
              <w:rPr>
                <w:color w:val="000000"/>
                <w:sz w:val="20"/>
                <w:szCs w:val="20"/>
              </w:rPr>
            </w:pPr>
            <w:r w:rsidRPr="00F75525">
              <w:rPr>
                <w:color w:val="000000"/>
                <w:sz w:val="20"/>
                <w:szCs w:val="20"/>
              </w:rPr>
              <w:t>PI2</w:t>
            </w:r>
            <w:r w:rsidR="00C76C36">
              <w:rPr>
                <w:color w:val="000000"/>
                <w:sz w:val="20"/>
                <w:szCs w:val="20"/>
              </w:rPr>
              <w:t>*</w:t>
            </w:r>
          </w:p>
        </w:tc>
        <w:tc>
          <w:tcPr>
            <w:tcW w:w="1591" w:type="dxa"/>
            <w:shd w:val="clear" w:color="auto" w:fill="F3F9FA"/>
            <w:noWrap/>
            <w:vAlign w:val="center"/>
          </w:tcPr>
          <w:p w14:paraId="4632C9DF" w14:textId="77777777" w:rsidR="00F75525" w:rsidRPr="00F75525" w:rsidRDefault="00F75525" w:rsidP="00C36ADD">
            <w:pPr>
              <w:spacing w:before="0" w:after="0"/>
              <w:jc w:val="center"/>
              <w:rPr>
                <w:color w:val="000000"/>
                <w:sz w:val="20"/>
                <w:szCs w:val="20"/>
              </w:rPr>
            </w:pPr>
            <w:r w:rsidRPr="00F75525">
              <w:rPr>
                <w:color w:val="000000"/>
                <w:sz w:val="20"/>
                <w:szCs w:val="20"/>
              </w:rPr>
              <w:t>Pioneer Bay</w:t>
            </w:r>
          </w:p>
        </w:tc>
        <w:tc>
          <w:tcPr>
            <w:tcW w:w="467" w:type="dxa"/>
            <w:shd w:val="clear" w:color="auto" w:fill="F3F9FA"/>
            <w:vAlign w:val="center"/>
          </w:tcPr>
          <w:p w14:paraId="25773E63"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AA135A7"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9431C4"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61460DD5"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578D983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E156F23"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475586E7"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725290E"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7A4CF7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3CFF1E1D" w14:textId="77777777" w:rsidTr="00F75525">
        <w:trPr>
          <w:trHeight w:val="170"/>
          <w:jc w:val="center"/>
        </w:trPr>
        <w:tc>
          <w:tcPr>
            <w:tcW w:w="1714" w:type="dxa"/>
            <w:vMerge/>
            <w:shd w:val="clear" w:color="auto" w:fill="F3F9FA"/>
            <w:vAlign w:val="center"/>
          </w:tcPr>
          <w:p w14:paraId="376A5150" w14:textId="77777777" w:rsidR="00F75525" w:rsidRPr="00F75525" w:rsidRDefault="00F75525" w:rsidP="00C36ADD">
            <w:pPr>
              <w:spacing w:before="0" w:after="0"/>
              <w:jc w:val="center"/>
              <w:rPr>
                <w:color w:val="000000"/>
                <w:sz w:val="20"/>
                <w:szCs w:val="20"/>
              </w:rPr>
            </w:pPr>
          </w:p>
        </w:tc>
        <w:tc>
          <w:tcPr>
            <w:tcW w:w="674" w:type="dxa"/>
            <w:shd w:val="clear" w:color="auto" w:fill="F3F9FA"/>
            <w:noWrap/>
            <w:vAlign w:val="center"/>
          </w:tcPr>
          <w:p w14:paraId="04BE3452" w14:textId="0B08272E" w:rsidR="00F75525" w:rsidRPr="00F75525" w:rsidRDefault="00F75525" w:rsidP="00C36ADD">
            <w:pPr>
              <w:spacing w:before="0" w:after="0"/>
              <w:jc w:val="center"/>
              <w:rPr>
                <w:color w:val="000000"/>
                <w:sz w:val="20"/>
                <w:szCs w:val="20"/>
              </w:rPr>
            </w:pPr>
            <w:r w:rsidRPr="00F75525">
              <w:rPr>
                <w:color w:val="000000"/>
                <w:sz w:val="20"/>
                <w:szCs w:val="20"/>
              </w:rPr>
              <w:t>PI3</w:t>
            </w:r>
            <w:r w:rsidR="00C76C36">
              <w:rPr>
                <w:color w:val="000000"/>
                <w:sz w:val="20"/>
                <w:szCs w:val="20"/>
              </w:rPr>
              <w:t>*</w:t>
            </w:r>
          </w:p>
        </w:tc>
        <w:tc>
          <w:tcPr>
            <w:tcW w:w="1591" w:type="dxa"/>
            <w:shd w:val="clear" w:color="auto" w:fill="F3F9FA"/>
            <w:noWrap/>
            <w:vAlign w:val="center"/>
          </w:tcPr>
          <w:p w14:paraId="0FE9E17E" w14:textId="77777777" w:rsidR="00F75525" w:rsidRPr="00F75525" w:rsidRDefault="00F75525" w:rsidP="00C36ADD">
            <w:pPr>
              <w:spacing w:before="0" w:after="0"/>
              <w:jc w:val="center"/>
              <w:rPr>
                <w:i/>
                <w:color w:val="000000"/>
                <w:sz w:val="20"/>
                <w:szCs w:val="20"/>
              </w:rPr>
            </w:pPr>
            <w:r w:rsidRPr="00F75525">
              <w:rPr>
                <w:color w:val="000000"/>
                <w:sz w:val="20"/>
                <w:szCs w:val="20"/>
              </w:rPr>
              <w:t>Pioneer Bay</w:t>
            </w:r>
          </w:p>
        </w:tc>
        <w:tc>
          <w:tcPr>
            <w:tcW w:w="467" w:type="dxa"/>
            <w:shd w:val="clear" w:color="auto" w:fill="F3F9FA"/>
            <w:vAlign w:val="center"/>
          </w:tcPr>
          <w:p w14:paraId="1A7C5EF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054DCF0"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2ACB289"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764A1951"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13BA39AE"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A43886C"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3BD58AA0"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A33EB7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4DD6883"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21DC7D74" w14:textId="77777777" w:rsidTr="00F75525">
        <w:trPr>
          <w:trHeight w:val="170"/>
          <w:jc w:val="center"/>
        </w:trPr>
        <w:tc>
          <w:tcPr>
            <w:tcW w:w="1714" w:type="dxa"/>
            <w:vMerge w:val="restart"/>
            <w:shd w:val="clear" w:color="auto" w:fill="E7F3F4"/>
            <w:vAlign w:val="center"/>
          </w:tcPr>
          <w:p w14:paraId="2233250A" w14:textId="77777777" w:rsidR="00F75525" w:rsidRPr="00F75525" w:rsidRDefault="00F75525" w:rsidP="00C36ADD">
            <w:pPr>
              <w:spacing w:before="0" w:after="0"/>
              <w:jc w:val="center"/>
              <w:rPr>
                <w:color w:val="000000"/>
                <w:sz w:val="20"/>
                <w:szCs w:val="20"/>
              </w:rPr>
            </w:pPr>
            <w:r w:rsidRPr="00F75525">
              <w:rPr>
                <w:color w:val="000000"/>
                <w:sz w:val="20"/>
                <w:szCs w:val="20"/>
              </w:rPr>
              <w:t>coastal subtidal</w:t>
            </w:r>
          </w:p>
        </w:tc>
        <w:tc>
          <w:tcPr>
            <w:tcW w:w="674" w:type="dxa"/>
            <w:shd w:val="clear" w:color="auto" w:fill="E7F3F4"/>
            <w:noWrap/>
            <w:vAlign w:val="center"/>
          </w:tcPr>
          <w:p w14:paraId="1F20B6B1" w14:textId="4545F98E" w:rsidR="00F75525" w:rsidRPr="00F75525" w:rsidRDefault="00F75525" w:rsidP="00C36ADD">
            <w:pPr>
              <w:spacing w:before="0" w:after="0"/>
              <w:jc w:val="center"/>
              <w:rPr>
                <w:color w:val="000000"/>
                <w:sz w:val="20"/>
                <w:szCs w:val="20"/>
              </w:rPr>
            </w:pPr>
            <w:r w:rsidRPr="00F75525">
              <w:rPr>
                <w:color w:val="000000"/>
                <w:sz w:val="20"/>
                <w:szCs w:val="20"/>
              </w:rPr>
              <w:t>NB1</w:t>
            </w:r>
            <w:r w:rsidR="00C76C36" w:rsidRPr="00C76C36">
              <w:rPr>
                <w:color w:val="000000"/>
                <w:szCs w:val="22"/>
                <w:vertAlign w:val="superscript"/>
              </w:rPr>
              <w:sym w:font="Wingdings 2" w:char="F085"/>
            </w:r>
          </w:p>
        </w:tc>
        <w:tc>
          <w:tcPr>
            <w:tcW w:w="1591" w:type="dxa"/>
            <w:shd w:val="clear" w:color="auto" w:fill="E7F3F4"/>
            <w:noWrap/>
            <w:vAlign w:val="center"/>
          </w:tcPr>
          <w:p w14:paraId="450D77C5" w14:textId="77777777" w:rsidR="00F75525" w:rsidRPr="00F75525" w:rsidRDefault="00F75525" w:rsidP="00C36ADD">
            <w:pPr>
              <w:spacing w:before="0" w:after="0"/>
              <w:jc w:val="center"/>
              <w:rPr>
                <w:color w:val="000000"/>
                <w:sz w:val="20"/>
                <w:szCs w:val="20"/>
              </w:rPr>
            </w:pPr>
            <w:r w:rsidRPr="00F75525">
              <w:rPr>
                <w:color w:val="000000"/>
                <w:sz w:val="20"/>
                <w:szCs w:val="20"/>
              </w:rPr>
              <w:t>Newry Bay</w:t>
            </w:r>
          </w:p>
        </w:tc>
        <w:tc>
          <w:tcPr>
            <w:tcW w:w="467" w:type="dxa"/>
            <w:shd w:val="clear" w:color="auto" w:fill="E7F3F4"/>
            <w:vAlign w:val="center"/>
          </w:tcPr>
          <w:p w14:paraId="30B8A7BE"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708026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9523111"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713143B9"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09FFF54A"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3B71CCB5"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17C717C5"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4BE79624"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0E77B80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47EA4D72" w14:textId="77777777" w:rsidTr="00F75525">
        <w:trPr>
          <w:trHeight w:val="170"/>
          <w:jc w:val="center"/>
        </w:trPr>
        <w:tc>
          <w:tcPr>
            <w:tcW w:w="1714" w:type="dxa"/>
            <w:vMerge/>
            <w:shd w:val="clear" w:color="auto" w:fill="E7F3F4"/>
            <w:vAlign w:val="center"/>
          </w:tcPr>
          <w:p w14:paraId="22C57D7F" w14:textId="77777777" w:rsidR="00F75525" w:rsidRPr="00F75525" w:rsidRDefault="00F75525" w:rsidP="00C36ADD">
            <w:pPr>
              <w:spacing w:before="0" w:after="0"/>
              <w:jc w:val="center"/>
              <w:rPr>
                <w:color w:val="000000"/>
                <w:sz w:val="20"/>
                <w:szCs w:val="20"/>
              </w:rPr>
            </w:pPr>
          </w:p>
        </w:tc>
        <w:tc>
          <w:tcPr>
            <w:tcW w:w="674" w:type="dxa"/>
            <w:shd w:val="clear" w:color="auto" w:fill="E7F3F4"/>
            <w:noWrap/>
            <w:vAlign w:val="center"/>
          </w:tcPr>
          <w:p w14:paraId="0D6C2703" w14:textId="77EFEE36" w:rsidR="00F75525" w:rsidRPr="00F75525" w:rsidRDefault="00F75525" w:rsidP="00C36ADD">
            <w:pPr>
              <w:spacing w:before="0" w:after="0"/>
              <w:jc w:val="center"/>
              <w:rPr>
                <w:color w:val="000000"/>
                <w:sz w:val="20"/>
                <w:szCs w:val="20"/>
              </w:rPr>
            </w:pPr>
            <w:r w:rsidRPr="00F75525">
              <w:rPr>
                <w:color w:val="000000"/>
                <w:sz w:val="20"/>
                <w:szCs w:val="20"/>
              </w:rPr>
              <w:t>NB2</w:t>
            </w:r>
            <w:r w:rsidR="00C76C36" w:rsidRPr="00C76C36">
              <w:rPr>
                <w:color w:val="000000"/>
                <w:szCs w:val="22"/>
                <w:vertAlign w:val="superscript"/>
              </w:rPr>
              <w:sym w:font="Wingdings 2" w:char="F085"/>
            </w:r>
          </w:p>
        </w:tc>
        <w:tc>
          <w:tcPr>
            <w:tcW w:w="1591" w:type="dxa"/>
            <w:shd w:val="clear" w:color="auto" w:fill="E7F3F4"/>
            <w:noWrap/>
            <w:vAlign w:val="center"/>
          </w:tcPr>
          <w:p w14:paraId="09216892" w14:textId="77777777" w:rsidR="00F75525" w:rsidRPr="00F75525" w:rsidRDefault="00F75525" w:rsidP="00C36ADD">
            <w:pPr>
              <w:spacing w:before="0" w:after="0"/>
              <w:jc w:val="center"/>
              <w:rPr>
                <w:color w:val="000000"/>
                <w:sz w:val="20"/>
                <w:szCs w:val="20"/>
              </w:rPr>
            </w:pPr>
            <w:r w:rsidRPr="00F75525">
              <w:rPr>
                <w:color w:val="000000"/>
                <w:sz w:val="20"/>
                <w:szCs w:val="20"/>
              </w:rPr>
              <w:t>Newry Bay</w:t>
            </w:r>
          </w:p>
        </w:tc>
        <w:tc>
          <w:tcPr>
            <w:tcW w:w="467" w:type="dxa"/>
            <w:shd w:val="clear" w:color="auto" w:fill="E7F3F4"/>
            <w:vAlign w:val="center"/>
          </w:tcPr>
          <w:p w14:paraId="61B571A5"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8D5A12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69449AF"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01DB835D"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5D4B3085"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28913ED4"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672413B2"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6E1474D8"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21D372D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0146DB7D" w14:textId="77777777" w:rsidTr="00F75525">
        <w:trPr>
          <w:trHeight w:val="170"/>
          <w:jc w:val="center"/>
        </w:trPr>
        <w:tc>
          <w:tcPr>
            <w:tcW w:w="1714" w:type="dxa"/>
            <w:vMerge w:val="restart"/>
            <w:shd w:val="clear" w:color="auto" w:fill="F3F9FA"/>
            <w:vAlign w:val="center"/>
          </w:tcPr>
          <w:p w14:paraId="02A9DAFF" w14:textId="77777777" w:rsidR="00F75525" w:rsidRPr="00F75525" w:rsidRDefault="00F75525" w:rsidP="00C36ADD">
            <w:pPr>
              <w:spacing w:before="0" w:after="0"/>
              <w:jc w:val="center"/>
              <w:rPr>
                <w:color w:val="000000"/>
                <w:sz w:val="20"/>
                <w:szCs w:val="20"/>
              </w:rPr>
            </w:pPr>
            <w:r w:rsidRPr="00F75525">
              <w:rPr>
                <w:color w:val="000000"/>
                <w:sz w:val="20"/>
                <w:szCs w:val="20"/>
              </w:rPr>
              <w:t>reef intertidal</w:t>
            </w:r>
          </w:p>
        </w:tc>
        <w:tc>
          <w:tcPr>
            <w:tcW w:w="674" w:type="dxa"/>
            <w:shd w:val="clear" w:color="auto" w:fill="F3F9FA"/>
            <w:noWrap/>
            <w:vAlign w:val="center"/>
          </w:tcPr>
          <w:p w14:paraId="49430E2D" w14:textId="77777777" w:rsidR="00F75525" w:rsidRPr="00F75525" w:rsidRDefault="00F75525" w:rsidP="00C36ADD">
            <w:pPr>
              <w:spacing w:before="0" w:after="0"/>
              <w:jc w:val="center"/>
              <w:rPr>
                <w:color w:val="000000"/>
                <w:sz w:val="20"/>
                <w:szCs w:val="20"/>
              </w:rPr>
            </w:pPr>
            <w:r w:rsidRPr="00F75525">
              <w:rPr>
                <w:color w:val="000000"/>
                <w:sz w:val="20"/>
                <w:szCs w:val="20"/>
              </w:rPr>
              <w:t>HM1</w:t>
            </w:r>
          </w:p>
        </w:tc>
        <w:tc>
          <w:tcPr>
            <w:tcW w:w="1591" w:type="dxa"/>
            <w:shd w:val="clear" w:color="auto" w:fill="F3F9FA"/>
            <w:noWrap/>
            <w:vAlign w:val="center"/>
          </w:tcPr>
          <w:p w14:paraId="2C83AE44" w14:textId="77777777" w:rsidR="00F75525" w:rsidRPr="00F75525" w:rsidRDefault="00F75525" w:rsidP="00C36ADD">
            <w:pPr>
              <w:spacing w:before="0" w:after="0"/>
              <w:jc w:val="center"/>
              <w:rPr>
                <w:color w:val="000000"/>
                <w:sz w:val="20"/>
                <w:szCs w:val="20"/>
              </w:rPr>
            </w:pPr>
            <w:r w:rsidRPr="00F75525">
              <w:rPr>
                <w:color w:val="000000"/>
                <w:sz w:val="20"/>
                <w:szCs w:val="20"/>
              </w:rPr>
              <w:t>Hamilton Island</w:t>
            </w:r>
          </w:p>
        </w:tc>
        <w:tc>
          <w:tcPr>
            <w:tcW w:w="467" w:type="dxa"/>
            <w:shd w:val="clear" w:color="auto" w:fill="F3F9FA"/>
            <w:vAlign w:val="center"/>
          </w:tcPr>
          <w:p w14:paraId="52C12FFB"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85AA2B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8226F2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C0FD981"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71800A2"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EDD075E"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07063A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2AD15CE"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2A428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432139AA" w14:textId="77777777" w:rsidTr="00F75525">
        <w:trPr>
          <w:trHeight w:val="170"/>
          <w:jc w:val="center"/>
        </w:trPr>
        <w:tc>
          <w:tcPr>
            <w:tcW w:w="1714" w:type="dxa"/>
            <w:vMerge/>
            <w:shd w:val="clear" w:color="auto" w:fill="F3F9FA"/>
            <w:vAlign w:val="center"/>
          </w:tcPr>
          <w:p w14:paraId="165EF57F" w14:textId="77777777" w:rsidR="00F75525" w:rsidRPr="00F75525" w:rsidRDefault="00F75525" w:rsidP="00C36ADD">
            <w:pPr>
              <w:spacing w:before="0" w:after="0"/>
              <w:jc w:val="center"/>
              <w:rPr>
                <w:color w:val="000000"/>
                <w:sz w:val="20"/>
                <w:szCs w:val="20"/>
              </w:rPr>
            </w:pPr>
          </w:p>
        </w:tc>
        <w:tc>
          <w:tcPr>
            <w:tcW w:w="674" w:type="dxa"/>
            <w:shd w:val="clear" w:color="auto" w:fill="F3F9FA"/>
            <w:noWrap/>
            <w:vAlign w:val="center"/>
          </w:tcPr>
          <w:p w14:paraId="53FCCD9F" w14:textId="77777777" w:rsidR="00F75525" w:rsidRPr="00F75525" w:rsidRDefault="00F75525" w:rsidP="00C36ADD">
            <w:pPr>
              <w:spacing w:before="0" w:after="0"/>
              <w:jc w:val="center"/>
              <w:rPr>
                <w:color w:val="000000"/>
                <w:sz w:val="20"/>
                <w:szCs w:val="20"/>
              </w:rPr>
            </w:pPr>
            <w:r w:rsidRPr="00F75525">
              <w:rPr>
                <w:color w:val="000000"/>
                <w:sz w:val="20"/>
                <w:szCs w:val="20"/>
              </w:rPr>
              <w:t>HM2</w:t>
            </w:r>
          </w:p>
        </w:tc>
        <w:tc>
          <w:tcPr>
            <w:tcW w:w="1591" w:type="dxa"/>
            <w:shd w:val="clear" w:color="auto" w:fill="F3F9FA"/>
            <w:noWrap/>
            <w:vAlign w:val="center"/>
          </w:tcPr>
          <w:p w14:paraId="246932DB" w14:textId="77777777" w:rsidR="00F75525" w:rsidRPr="00F75525" w:rsidRDefault="00F75525" w:rsidP="00C36ADD">
            <w:pPr>
              <w:spacing w:before="0" w:after="0"/>
              <w:jc w:val="center"/>
              <w:rPr>
                <w:i/>
                <w:color w:val="000000"/>
                <w:sz w:val="20"/>
                <w:szCs w:val="20"/>
              </w:rPr>
            </w:pPr>
            <w:r w:rsidRPr="00F75525">
              <w:rPr>
                <w:color w:val="000000"/>
                <w:sz w:val="20"/>
                <w:szCs w:val="20"/>
              </w:rPr>
              <w:t>Hamilton Island</w:t>
            </w:r>
          </w:p>
        </w:tc>
        <w:tc>
          <w:tcPr>
            <w:tcW w:w="467" w:type="dxa"/>
            <w:shd w:val="clear" w:color="auto" w:fill="F3F9FA"/>
            <w:vAlign w:val="center"/>
          </w:tcPr>
          <w:p w14:paraId="72D0AE82"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AC39ED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DB1BAC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575D3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0A05A5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2B71832"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528066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B8AD89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8A3E8A7"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3E6105A1" w14:textId="77777777" w:rsidTr="00F75525">
        <w:trPr>
          <w:trHeight w:val="170"/>
          <w:jc w:val="center"/>
        </w:trPr>
        <w:tc>
          <w:tcPr>
            <w:tcW w:w="1714" w:type="dxa"/>
            <w:vMerge/>
            <w:shd w:val="clear" w:color="auto" w:fill="F3F9FA"/>
            <w:vAlign w:val="center"/>
          </w:tcPr>
          <w:p w14:paraId="6CAE1748" w14:textId="77777777" w:rsidR="00F75525" w:rsidRPr="00F75525" w:rsidRDefault="00F75525" w:rsidP="00C36ADD">
            <w:pPr>
              <w:spacing w:before="0" w:after="0"/>
              <w:jc w:val="center"/>
              <w:rPr>
                <w:color w:val="000000"/>
                <w:sz w:val="20"/>
                <w:szCs w:val="20"/>
              </w:rPr>
            </w:pPr>
          </w:p>
        </w:tc>
        <w:tc>
          <w:tcPr>
            <w:tcW w:w="674" w:type="dxa"/>
            <w:shd w:val="clear" w:color="auto" w:fill="F3F9FA"/>
            <w:noWrap/>
            <w:vAlign w:val="center"/>
          </w:tcPr>
          <w:p w14:paraId="6DC00DE7" w14:textId="330A4373" w:rsidR="00F75525" w:rsidRPr="00F75525" w:rsidRDefault="00F75525" w:rsidP="00C36ADD">
            <w:pPr>
              <w:spacing w:before="0" w:after="0"/>
              <w:jc w:val="center"/>
              <w:rPr>
                <w:color w:val="000000"/>
                <w:sz w:val="20"/>
                <w:szCs w:val="20"/>
              </w:rPr>
            </w:pPr>
            <w:r w:rsidRPr="00F75525">
              <w:rPr>
                <w:color w:val="000000"/>
                <w:sz w:val="20"/>
                <w:szCs w:val="20"/>
              </w:rPr>
              <w:t>HB1</w:t>
            </w:r>
            <w:r w:rsidR="00C76C36">
              <w:rPr>
                <w:color w:val="000000"/>
                <w:sz w:val="20"/>
                <w:szCs w:val="20"/>
              </w:rPr>
              <w:t>*</w:t>
            </w:r>
          </w:p>
        </w:tc>
        <w:tc>
          <w:tcPr>
            <w:tcW w:w="1591" w:type="dxa"/>
            <w:shd w:val="clear" w:color="auto" w:fill="F3F9FA"/>
            <w:noWrap/>
            <w:vAlign w:val="center"/>
          </w:tcPr>
          <w:p w14:paraId="7BE254B8" w14:textId="77777777" w:rsidR="00F75525" w:rsidRPr="00F75525" w:rsidRDefault="00F75525" w:rsidP="00C36ADD">
            <w:pPr>
              <w:spacing w:before="0" w:after="0"/>
              <w:jc w:val="center"/>
              <w:rPr>
                <w:color w:val="000000"/>
                <w:sz w:val="20"/>
                <w:szCs w:val="20"/>
              </w:rPr>
            </w:pPr>
            <w:r w:rsidRPr="00F75525">
              <w:rPr>
                <w:color w:val="000000"/>
                <w:sz w:val="20"/>
                <w:szCs w:val="20"/>
              </w:rPr>
              <w:t>Hydeaway Bay</w:t>
            </w:r>
          </w:p>
        </w:tc>
        <w:tc>
          <w:tcPr>
            <w:tcW w:w="467" w:type="dxa"/>
            <w:shd w:val="clear" w:color="auto" w:fill="F3F9FA"/>
            <w:vAlign w:val="center"/>
          </w:tcPr>
          <w:p w14:paraId="34D91626"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7337AA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CF56A7A"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4E02B64B"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59182B45"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F40CF9C"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4469497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6346A7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3E54A51"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69195C82" w14:textId="77777777" w:rsidTr="00F75525">
        <w:trPr>
          <w:trHeight w:val="170"/>
          <w:jc w:val="center"/>
        </w:trPr>
        <w:tc>
          <w:tcPr>
            <w:tcW w:w="1714" w:type="dxa"/>
            <w:vMerge/>
            <w:shd w:val="clear" w:color="auto" w:fill="F3F9FA"/>
            <w:vAlign w:val="center"/>
          </w:tcPr>
          <w:p w14:paraId="2B21C33D" w14:textId="77777777" w:rsidR="00F75525" w:rsidRPr="00F75525" w:rsidRDefault="00F75525" w:rsidP="00C36ADD">
            <w:pPr>
              <w:spacing w:before="0" w:after="0"/>
              <w:jc w:val="center"/>
              <w:rPr>
                <w:color w:val="000000"/>
                <w:sz w:val="20"/>
                <w:szCs w:val="20"/>
              </w:rPr>
            </w:pPr>
          </w:p>
        </w:tc>
        <w:tc>
          <w:tcPr>
            <w:tcW w:w="674" w:type="dxa"/>
            <w:shd w:val="clear" w:color="auto" w:fill="F3F9FA"/>
            <w:noWrap/>
            <w:vAlign w:val="center"/>
          </w:tcPr>
          <w:p w14:paraId="494BB528" w14:textId="2BCA643A" w:rsidR="00F75525" w:rsidRPr="00F75525" w:rsidRDefault="00F75525" w:rsidP="00C36ADD">
            <w:pPr>
              <w:spacing w:before="0" w:after="0"/>
              <w:jc w:val="center"/>
              <w:rPr>
                <w:color w:val="000000"/>
                <w:sz w:val="20"/>
                <w:szCs w:val="20"/>
              </w:rPr>
            </w:pPr>
            <w:r w:rsidRPr="00F75525">
              <w:rPr>
                <w:color w:val="000000"/>
                <w:sz w:val="20"/>
                <w:szCs w:val="20"/>
              </w:rPr>
              <w:t>HB2</w:t>
            </w:r>
            <w:r w:rsidR="00C76C36">
              <w:rPr>
                <w:color w:val="000000"/>
                <w:sz w:val="20"/>
                <w:szCs w:val="20"/>
              </w:rPr>
              <w:t>*</w:t>
            </w:r>
          </w:p>
        </w:tc>
        <w:tc>
          <w:tcPr>
            <w:tcW w:w="1591" w:type="dxa"/>
            <w:shd w:val="clear" w:color="auto" w:fill="F3F9FA"/>
            <w:noWrap/>
            <w:vAlign w:val="center"/>
          </w:tcPr>
          <w:p w14:paraId="787189A2" w14:textId="77777777" w:rsidR="00F75525" w:rsidRPr="00F75525" w:rsidRDefault="00F75525" w:rsidP="00C36ADD">
            <w:pPr>
              <w:spacing w:before="0" w:after="0"/>
              <w:jc w:val="center"/>
              <w:rPr>
                <w:color w:val="000000"/>
                <w:sz w:val="20"/>
                <w:szCs w:val="20"/>
              </w:rPr>
            </w:pPr>
            <w:r w:rsidRPr="00F75525">
              <w:rPr>
                <w:color w:val="000000"/>
                <w:sz w:val="20"/>
                <w:szCs w:val="20"/>
              </w:rPr>
              <w:t>Hydeaway Bay</w:t>
            </w:r>
          </w:p>
        </w:tc>
        <w:tc>
          <w:tcPr>
            <w:tcW w:w="467" w:type="dxa"/>
            <w:shd w:val="clear" w:color="auto" w:fill="F3F9FA"/>
            <w:vAlign w:val="center"/>
          </w:tcPr>
          <w:p w14:paraId="36B9FE58"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85F3E6D"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8EAA7E1"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7D3712C4"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44D7D39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6DD9217" w14:textId="77777777" w:rsidR="00F75525" w:rsidRDefault="00F75525" w:rsidP="00C36ADD">
            <w:pPr>
              <w:spacing w:before="0" w:after="0"/>
              <w:jc w:val="center"/>
              <w:rPr>
                <w:color w:val="000000"/>
                <w:sz w:val="14"/>
                <w:szCs w:val="14"/>
              </w:rPr>
            </w:pPr>
          </w:p>
        </w:tc>
        <w:tc>
          <w:tcPr>
            <w:tcW w:w="467" w:type="dxa"/>
            <w:shd w:val="clear" w:color="auto" w:fill="F3F9FA"/>
            <w:vAlign w:val="center"/>
          </w:tcPr>
          <w:p w14:paraId="1D3A3959"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DB6DFA0"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BADE43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0A3D4798" w14:textId="77777777" w:rsidTr="00F75525">
        <w:trPr>
          <w:trHeight w:val="170"/>
          <w:jc w:val="center"/>
        </w:trPr>
        <w:tc>
          <w:tcPr>
            <w:tcW w:w="1714" w:type="dxa"/>
            <w:vMerge w:val="restart"/>
            <w:shd w:val="clear" w:color="auto" w:fill="E7F3F4"/>
            <w:vAlign w:val="center"/>
          </w:tcPr>
          <w:p w14:paraId="0CFEE675" w14:textId="77777777" w:rsidR="00F75525" w:rsidRPr="00F75525" w:rsidRDefault="00F75525" w:rsidP="00C36ADD">
            <w:pPr>
              <w:spacing w:before="0" w:after="0"/>
              <w:jc w:val="center"/>
              <w:rPr>
                <w:color w:val="000000"/>
                <w:sz w:val="20"/>
                <w:szCs w:val="20"/>
              </w:rPr>
            </w:pPr>
            <w:r w:rsidRPr="00F75525">
              <w:rPr>
                <w:color w:val="000000"/>
                <w:sz w:val="20"/>
                <w:szCs w:val="20"/>
              </w:rPr>
              <w:t>reef subtidal</w:t>
            </w:r>
          </w:p>
        </w:tc>
        <w:tc>
          <w:tcPr>
            <w:tcW w:w="674" w:type="dxa"/>
            <w:shd w:val="clear" w:color="auto" w:fill="E7F3F4"/>
            <w:noWrap/>
            <w:vAlign w:val="center"/>
          </w:tcPr>
          <w:p w14:paraId="29DBDA51" w14:textId="4A92776A" w:rsidR="00F75525" w:rsidRPr="00F75525" w:rsidRDefault="00F75525" w:rsidP="00C36ADD">
            <w:pPr>
              <w:spacing w:before="0" w:after="0"/>
              <w:jc w:val="center"/>
              <w:rPr>
                <w:color w:val="000000"/>
                <w:sz w:val="20"/>
                <w:szCs w:val="20"/>
              </w:rPr>
            </w:pPr>
            <w:r w:rsidRPr="00F75525">
              <w:rPr>
                <w:color w:val="000000"/>
                <w:sz w:val="20"/>
                <w:szCs w:val="20"/>
              </w:rPr>
              <w:t>TO1</w:t>
            </w:r>
            <w:r w:rsidR="00C76C36" w:rsidRPr="00C76C36">
              <w:rPr>
                <w:color w:val="000000"/>
                <w:szCs w:val="22"/>
                <w:vertAlign w:val="superscript"/>
              </w:rPr>
              <w:sym w:font="Wingdings 2" w:char="F085"/>
            </w:r>
          </w:p>
        </w:tc>
        <w:tc>
          <w:tcPr>
            <w:tcW w:w="1591" w:type="dxa"/>
            <w:shd w:val="clear" w:color="auto" w:fill="E7F3F4"/>
            <w:noWrap/>
            <w:vAlign w:val="center"/>
          </w:tcPr>
          <w:p w14:paraId="725317A9" w14:textId="77777777" w:rsidR="00F75525" w:rsidRPr="00F75525" w:rsidRDefault="00F75525" w:rsidP="00C36ADD">
            <w:pPr>
              <w:spacing w:before="0" w:after="0"/>
              <w:jc w:val="center"/>
              <w:rPr>
                <w:color w:val="000000"/>
                <w:sz w:val="20"/>
                <w:szCs w:val="20"/>
              </w:rPr>
            </w:pPr>
            <w:r w:rsidRPr="00F75525">
              <w:rPr>
                <w:color w:val="000000"/>
                <w:sz w:val="20"/>
                <w:szCs w:val="20"/>
              </w:rPr>
              <w:t>Tongue Bay</w:t>
            </w:r>
          </w:p>
        </w:tc>
        <w:tc>
          <w:tcPr>
            <w:tcW w:w="467" w:type="dxa"/>
            <w:shd w:val="clear" w:color="auto" w:fill="E7F3F4"/>
            <w:vAlign w:val="center"/>
          </w:tcPr>
          <w:p w14:paraId="78BF9E1C"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A2191C7"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4E27801"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1F2289BE"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0B0B0D87"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42129CCE"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5F165D7B"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780D1EEF"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2A689C34"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r w:rsidR="00F75525" w:rsidRPr="00015190" w14:paraId="027A7322" w14:textId="77777777" w:rsidTr="00F75525">
        <w:trPr>
          <w:trHeight w:val="170"/>
          <w:jc w:val="center"/>
        </w:trPr>
        <w:tc>
          <w:tcPr>
            <w:tcW w:w="1714" w:type="dxa"/>
            <w:vMerge/>
            <w:shd w:val="clear" w:color="auto" w:fill="E7F3F4"/>
            <w:vAlign w:val="center"/>
          </w:tcPr>
          <w:p w14:paraId="6BF03761" w14:textId="77777777" w:rsidR="00F75525" w:rsidRPr="00F75525" w:rsidRDefault="00F75525" w:rsidP="00C36ADD">
            <w:pPr>
              <w:spacing w:before="0" w:after="0"/>
              <w:jc w:val="center"/>
              <w:rPr>
                <w:color w:val="000000"/>
                <w:sz w:val="20"/>
                <w:szCs w:val="20"/>
              </w:rPr>
            </w:pPr>
          </w:p>
        </w:tc>
        <w:tc>
          <w:tcPr>
            <w:tcW w:w="674" w:type="dxa"/>
            <w:shd w:val="clear" w:color="auto" w:fill="E7F3F4"/>
            <w:noWrap/>
            <w:vAlign w:val="center"/>
          </w:tcPr>
          <w:p w14:paraId="79898809" w14:textId="6FFC09A0" w:rsidR="00F75525" w:rsidRPr="00F75525" w:rsidRDefault="00F75525" w:rsidP="00C36ADD">
            <w:pPr>
              <w:spacing w:before="0" w:after="0"/>
              <w:jc w:val="center"/>
              <w:rPr>
                <w:color w:val="000000"/>
                <w:sz w:val="20"/>
                <w:szCs w:val="20"/>
              </w:rPr>
            </w:pPr>
            <w:r w:rsidRPr="00F75525">
              <w:rPr>
                <w:color w:val="000000"/>
                <w:sz w:val="20"/>
                <w:szCs w:val="20"/>
              </w:rPr>
              <w:t>TO2</w:t>
            </w:r>
            <w:r w:rsidR="00C76C36" w:rsidRPr="00C76C36">
              <w:rPr>
                <w:color w:val="000000"/>
                <w:szCs w:val="22"/>
                <w:vertAlign w:val="superscript"/>
              </w:rPr>
              <w:sym w:font="Wingdings 2" w:char="F085"/>
            </w:r>
          </w:p>
        </w:tc>
        <w:tc>
          <w:tcPr>
            <w:tcW w:w="1591" w:type="dxa"/>
            <w:shd w:val="clear" w:color="auto" w:fill="E7F3F4"/>
            <w:noWrap/>
            <w:vAlign w:val="center"/>
          </w:tcPr>
          <w:p w14:paraId="2C34AE97" w14:textId="77777777" w:rsidR="00F75525" w:rsidRPr="00F75525" w:rsidRDefault="00F75525" w:rsidP="00C36ADD">
            <w:pPr>
              <w:spacing w:before="0" w:after="0"/>
              <w:jc w:val="center"/>
              <w:rPr>
                <w:color w:val="000000"/>
                <w:sz w:val="20"/>
                <w:szCs w:val="20"/>
              </w:rPr>
            </w:pPr>
            <w:r w:rsidRPr="00F75525">
              <w:rPr>
                <w:color w:val="000000"/>
                <w:sz w:val="20"/>
                <w:szCs w:val="20"/>
              </w:rPr>
              <w:t>Tongue Bay</w:t>
            </w:r>
          </w:p>
        </w:tc>
        <w:tc>
          <w:tcPr>
            <w:tcW w:w="467" w:type="dxa"/>
            <w:shd w:val="clear" w:color="auto" w:fill="E7F3F4"/>
            <w:vAlign w:val="center"/>
          </w:tcPr>
          <w:p w14:paraId="7C1AB14A"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106D4E"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C3E01E8"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31DC0071"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6009BCC0"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709AF973"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0460999B"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08F18749" w14:textId="77777777" w:rsidR="00F75525" w:rsidRDefault="00F75525" w:rsidP="00C36ADD">
            <w:pPr>
              <w:spacing w:before="0" w:after="0"/>
              <w:jc w:val="center"/>
              <w:rPr>
                <w:color w:val="000000"/>
                <w:sz w:val="14"/>
                <w:szCs w:val="14"/>
              </w:rPr>
            </w:pPr>
          </w:p>
        </w:tc>
        <w:tc>
          <w:tcPr>
            <w:tcW w:w="467" w:type="dxa"/>
            <w:shd w:val="clear" w:color="auto" w:fill="E7F3F4"/>
            <w:vAlign w:val="center"/>
          </w:tcPr>
          <w:p w14:paraId="34DFA2EF" w14:textId="77777777" w:rsidR="00F75525" w:rsidRDefault="00F75525" w:rsidP="00C36ADD">
            <w:pPr>
              <w:spacing w:before="0" w:after="0"/>
              <w:jc w:val="center"/>
              <w:rPr>
                <w:color w:val="000000"/>
                <w:sz w:val="14"/>
                <w:szCs w:val="14"/>
              </w:rPr>
            </w:pPr>
            <w:r w:rsidRPr="00F45F13">
              <w:rPr>
                <w:color w:val="000000"/>
                <w:sz w:val="16"/>
                <w:szCs w:val="16"/>
              </w:rPr>
              <w:sym w:font="Wingdings" w:char="F06E"/>
            </w:r>
          </w:p>
        </w:tc>
      </w:tr>
    </w:tbl>
    <w:bookmarkEnd w:id="465"/>
    <w:p w14:paraId="1482A6B9" w14:textId="77777777" w:rsidR="00AA3AA8" w:rsidRPr="004F2236" w:rsidRDefault="00AA3AA8" w:rsidP="004F2236">
      <w:pPr>
        <w:pStyle w:val="Heading4"/>
        <w:numPr>
          <w:ilvl w:val="0"/>
          <w:numId w:val="0"/>
        </w:numPr>
        <w:rPr>
          <w:rFonts w:ascii="Arial" w:hAnsi="Arial" w:cs="Arial"/>
          <w:sz w:val="24"/>
          <w:szCs w:val="24"/>
        </w:rPr>
      </w:pPr>
      <w:r w:rsidRPr="004F2236">
        <w:rPr>
          <w:rFonts w:ascii="Arial" w:hAnsi="Arial" w:cs="Arial"/>
          <w:sz w:val="24"/>
          <w:szCs w:val="24"/>
        </w:rPr>
        <w:t>Seagrass abundance</w:t>
      </w:r>
      <w:r w:rsidR="00DA702C" w:rsidRPr="004F2236">
        <w:rPr>
          <w:rFonts w:ascii="Arial" w:hAnsi="Arial" w:cs="Arial"/>
          <w:sz w:val="24"/>
          <w:szCs w:val="24"/>
        </w:rPr>
        <w:t xml:space="preserve">, </w:t>
      </w:r>
      <w:r w:rsidRPr="004F2236">
        <w:rPr>
          <w:rFonts w:ascii="Arial" w:hAnsi="Arial" w:cs="Arial"/>
          <w:sz w:val="24"/>
          <w:szCs w:val="24"/>
        </w:rPr>
        <w:t>composition</w:t>
      </w:r>
      <w:r w:rsidR="00DA702C" w:rsidRPr="004F2236">
        <w:rPr>
          <w:rFonts w:ascii="Arial" w:hAnsi="Arial" w:cs="Arial"/>
          <w:sz w:val="24"/>
          <w:szCs w:val="24"/>
        </w:rPr>
        <w:t xml:space="preserve"> and </w:t>
      </w:r>
      <w:r w:rsidR="00994153">
        <w:rPr>
          <w:rFonts w:ascii="Arial" w:hAnsi="Arial" w:cs="Arial"/>
          <w:sz w:val="24"/>
          <w:szCs w:val="24"/>
        </w:rPr>
        <w:t>distribution</w:t>
      </w:r>
    </w:p>
    <w:p w14:paraId="7342BEF3" w14:textId="43717824" w:rsidR="004A5BCE" w:rsidRPr="008B0432" w:rsidRDefault="00232F39" w:rsidP="008730D4">
      <w:pPr>
        <w:rPr>
          <w:szCs w:val="22"/>
        </w:rPr>
      </w:pPr>
      <w:r w:rsidRPr="000338E7">
        <w:rPr>
          <w:color w:val="000000" w:themeColor="text1"/>
          <w:szCs w:val="22"/>
        </w:rPr>
        <w:t>The s</w:t>
      </w:r>
      <w:r w:rsidR="004A5BCE" w:rsidRPr="000338E7">
        <w:rPr>
          <w:color w:val="000000" w:themeColor="text1"/>
          <w:szCs w:val="22"/>
        </w:rPr>
        <w:t xml:space="preserve">eagrass abundance </w:t>
      </w:r>
      <w:r w:rsidRPr="000338E7">
        <w:rPr>
          <w:color w:val="000000" w:themeColor="text1"/>
          <w:szCs w:val="22"/>
        </w:rPr>
        <w:t xml:space="preserve">score was reduced to </w:t>
      </w:r>
      <w:r w:rsidRPr="000338E7">
        <w:rPr>
          <w:b/>
          <w:color w:val="000000" w:themeColor="text1"/>
          <w:szCs w:val="22"/>
        </w:rPr>
        <w:t>poor</w:t>
      </w:r>
      <w:r w:rsidR="004A5BCE" w:rsidRPr="000338E7">
        <w:rPr>
          <w:color w:val="000000" w:themeColor="text1"/>
          <w:szCs w:val="22"/>
        </w:rPr>
        <w:t xml:space="preserve"> </w:t>
      </w:r>
      <w:r w:rsidR="009D01B5" w:rsidRPr="000338E7">
        <w:rPr>
          <w:color w:val="000000" w:themeColor="text1"/>
          <w:szCs w:val="22"/>
        </w:rPr>
        <w:t xml:space="preserve">in </w:t>
      </w:r>
      <w:r w:rsidR="008574EC">
        <w:rPr>
          <w:color w:val="000000" w:themeColor="text1"/>
          <w:szCs w:val="22"/>
        </w:rPr>
        <w:t>2016–17</w:t>
      </w:r>
      <w:r w:rsidR="004A5BCE" w:rsidRPr="000338E7">
        <w:rPr>
          <w:color w:val="000000" w:themeColor="text1"/>
          <w:szCs w:val="22"/>
        </w:rPr>
        <w:t xml:space="preserve"> (</w:t>
      </w:r>
      <w:r w:rsidR="006C5D6E">
        <w:rPr>
          <w:color w:val="000000" w:themeColor="text1"/>
          <w:szCs w:val="22"/>
        </w:rPr>
        <w:fldChar w:fldCharType="begin"/>
      </w:r>
      <w:r w:rsidR="006C5D6E">
        <w:rPr>
          <w:color w:val="000000" w:themeColor="text1"/>
          <w:szCs w:val="22"/>
        </w:rPr>
        <w:instrText xml:space="preserve"> REF _Ref461377180 \h </w:instrText>
      </w:r>
      <w:r w:rsidR="006C5D6E">
        <w:rPr>
          <w:color w:val="000000" w:themeColor="text1"/>
          <w:szCs w:val="22"/>
        </w:rPr>
      </w:r>
      <w:r w:rsidR="006C5D6E">
        <w:rPr>
          <w:color w:val="000000" w:themeColor="text1"/>
          <w:szCs w:val="22"/>
        </w:rPr>
        <w:fldChar w:fldCharType="separate"/>
      </w:r>
      <w:r w:rsidR="00F87DF9" w:rsidRPr="00447838">
        <w:rPr>
          <w:color w:val="000000"/>
        </w:rPr>
        <w:t xml:space="preserve">Figure </w:t>
      </w:r>
      <w:r w:rsidR="00F87DF9">
        <w:rPr>
          <w:noProof/>
          <w:color w:val="000000"/>
        </w:rPr>
        <w:t>79</w:t>
      </w:r>
      <w:r w:rsidR="006C5D6E">
        <w:rPr>
          <w:color w:val="000000" w:themeColor="text1"/>
          <w:szCs w:val="22"/>
        </w:rPr>
        <w:fldChar w:fldCharType="end"/>
      </w:r>
      <w:r w:rsidR="004A5BCE" w:rsidRPr="000338E7">
        <w:rPr>
          <w:color w:val="000000" w:themeColor="text1"/>
          <w:szCs w:val="22"/>
        </w:rPr>
        <w:t>)</w:t>
      </w:r>
      <w:r w:rsidRPr="000338E7">
        <w:rPr>
          <w:color w:val="000000" w:themeColor="text1"/>
          <w:szCs w:val="22"/>
        </w:rPr>
        <w:t xml:space="preserve">, but the changes in abundance depended on the location of the sites relative to the site of landfall </w:t>
      </w:r>
      <w:r w:rsidR="000338E7" w:rsidRPr="000338E7">
        <w:rPr>
          <w:color w:val="000000" w:themeColor="text1"/>
          <w:szCs w:val="22"/>
        </w:rPr>
        <w:t xml:space="preserve">(Airlie Beach) </w:t>
      </w:r>
      <w:r w:rsidR="00640184">
        <w:rPr>
          <w:color w:val="000000" w:themeColor="text1"/>
          <w:szCs w:val="22"/>
        </w:rPr>
        <w:t xml:space="preserve">of </w:t>
      </w:r>
      <w:r w:rsidRPr="000338E7">
        <w:rPr>
          <w:color w:val="000000" w:themeColor="text1"/>
          <w:szCs w:val="22"/>
        </w:rPr>
        <w:t xml:space="preserve">TC  </w:t>
      </w:r>
      <w:r w:rsidRPr="008B0432">
        <w:rPr>
          <w:szCs w:val="22"/>
        </w:rPr>
        <w:t>Debbie. The sites nor</w:t>
      </w:r>
      <w:r w:rsidR="000338E7" w:rsidRPr="008B0432">
        <w:rPr>
          <w:szCs w:val="22"/>
        </w:rPr>
        <w:t>th of Airlie Beach increased slightly to achieve record high abundances since 2011 at one point in the year (</w:t>
      </w:r>
      <w:r w:rsidR="000338E7" w:rsidRPr="008B0432">
        <w:rPr>
          <w:szCs w:val="22"/>
        </w:rPr>
        <w:fldChar w:fldCharType="begin"/>
      </w:r>
      <w:r w:rsidR="000338E7" w:rsidRPr="008B0432">
        <w:rPr>
          <w:szCs w:val="22"/>
        </w:rPr>
        <w:instrText xml:space="preserve"> REF _Ref179444988 \h </w:instrText>
      </w:r>
      <w:r w:rsidR="000338E7" w:rsidRPr="008B0432">
        <w:rPr>
          <w:szCs w:val="22"/>
        </w:rPr>
      </w:r>
      <w:r w:rsidR="000338E7" w:rsidRPr="008B0432">
        <w:rPr>
          <w:szCs w:val="22"/>
        </w:rPr>
        <w:fldChar w:fldCharType="separate"/>
      </w:r>
      <w:r w:rsidR="00F87DF9" w:rsidRPr="00602C4B">
        <w:t xml:space="preserve">Figure </w:t>
      </w:r>
      <w:r w:rsidR="00F87DF9">
        <w:rPr>
          <w:noProof/>
        </w:rPr>
        <w:t>83</w:t>
      </w:r>
      <w:r w:rsidR="000338E7" w:rsidRPr="008B0432">
        <w:rPr>
          <w:szCs w:val="22"/>
        </w:rPr>
        <w:fldChar w:fldCharType="end"/>
      </w:r>
      <w:r w:rsidR="000338E7" w:rsidRPr="008B0432">
        <w:rPr>
          <w:szCs w:val="22"/>
        </w:rPr>
        <w:t>).</w:t>
      </w:r>
      <w:r w:rsidRPr="008B0432">
        <w:rPr>
          <w:szCs w:val="22"/>
        </w:rPr>
        <w:t xml:space="preserve"> </w:t>
      </w:r>
      <w:r w:rsidR="000338E7" w:rsidRPr="008B0432">
        <w:rPr>
          <w:szCs w:val="22"/>
        </w:rPr>
        <w:t>Sites south of Airlie Beach reduced in abundance, as a consequence of the destructive winds, sheer stress, and turbid water conditions. The most concerning losses were at Hamilton island and Sarina Inlet, where seagrass cover was reduced to almost zero. The exception were the shallow meadows at Newry Bay near Cape Hillsborough, which appeared to escape the effects of the cyclone</w:t>
      </w:r>
      <w:r w:rsidR="00640184" w:rsidRPr="008B0432">
        <w:rPr>
          <w:szCs w:val="22"/>
        </w:rPr>
        <w:t xml:space="preserve"> as there was an increase in cover since the previous year, but as there are only two years of data available for this site so the intrinsic site variability is as yet unknown</w:t>
      </w:r>
      <w:r w:rsidR="000338E7" w:rsidRPr="008B0432">
        <w:rPr>
          <w:szCs w:val="22"/>
        </w:rPr>
        <w:t>.</w:t>
      </w:r>
    </w:p>
    <w:p w14:paraId="2F3430FB" w14:textId="1B740CAB" w:rsidR="00C76C36" w:rsidRPr="00640184" w:rsidRDefault="00C76C36" w:rsidP="00C76C36">
      <w:pPr>
        <w:rPr>
          <w:color w:val="000000" w:themeColor="text1"/>
          <w:szCs w:val="22"/>
        </w:rPr>
      </w:pPr>
      <w:r w:rsidRPr="00640184">
        <w:rPr>
          <w:color w:val="000000" w:themeColor="text1"/>
          <w:szCs w:val="22"/>
        </w:rPr>
        <w:t>An examination of the long term trends across the Mackay Whitsunday NRM region</w:t>
      </w:r>
      <w:r w:rsidR="00640184" w:rsidRPr="00640184">
        <w:rPr>
          <w:color w:val="000000" w:themeColor="text1"/>
          <w:szCs w:val="22"/>
        </w:rPr>
        <w:t xml:space="preserve"> using </w:t>
      </w:r>
      <w:r w:rsidR="002568CA">
        <w:rPr>
          <w:color w:val="000000" w:themeColor="text1"/>
          <w:szCs w:val="22"/>
        </w:rPr>
        <w:t>GAM</w:t>
      </w:r>
      <w:r w:rsidR="00640184" w:rsidRPr="00640184">
        <w:rPr>
          <w:color w:val="000000" w:themeColor="text1"/>
          <w:szCs w:val="22"/>
        </w:rPr>
        <w:t xml:space="preserve"> plots</w:t>
      </w:r>
      <w:r w:rsidRPr="00640184">
        <w:rPr>
          <w:color w:val="000000" w:themeColor="text1"/>
          <w:szCs w:val="22"/>
        </w:rPr>
        <w:t xml:space="preserve"> suggests seagrass abundance (</w:t>
      </w:r>
      <w:r w:rsidR="0063478C" w:rsidRPr="00640184">
        <w:rPr>
          <w:color w:val="000000" w:themeColor="text1"/>
          <w:szCs w:val="22"/>
        </w:rPr>
        <w:t>per cent</w:t>
      </w:r>
      <w:r w:rsidRPr="00640184">
        <w:rPr>
          <w:color w:val="000000" w:themeColor="text1"/>
          <w:szCs w:val="22"/>
        </w:rPr>
        <w:t xml:space="preserve"> cover) </w:t>
      </w:r>
      <w:r w:rsidR="00640184" w:rsidRPr="00640184">
        <w:rPr>
          <w:color w:val="000000" w:themeColor="text1"/>
          <w:szCs w:val="22"/>
        </w:rPr>
        <w:t>has not changed significantly since 2011 (</w:t>
      </w:r>
      <w:r w:rsidR="00640184" w:rsidRPr="00640184">
        <w:rPr>
          <w:color w:val="000000" w:themeColor="text1"/>
          <w:szCs w:val="22"/>
        </w:rPr>
        <w:fldChar w:fldCharType="begin"/>
      </w:r>
      <w:r w:rsidR="00640184" w:rsidRPr="00640184">
        <w:rPr>
          <w:color w:val="000000" w:themeColor="text1"/>
          <w:szCs w:val="22"/>
        </w:rPr>
        <w:instrText xml:space="preserve"> REF _Ref507764726 \h </w:instrText>
      </w:r>
      <w:r w:rsidR="00640184" w:rsidRPr="00640184">
        <w:rPr>
          <w:color w:val="000000" w:themeColor="text1"/>
          <w:szCs w:val="22"/>
        </w:rPr>
      </w:r>
      <w:r w:rsidR="00640184" w:rsidRPr="00640184">
        <w:rPr>
          <w:color w:val="000000" w:themeColor="text1"/>
          <w:szCs w:val="22"/>
        </w:rPr>
        <w:fldChar w:fldCharType="separate"/>
      </w:r>
      <w:r w:rsidR="00F87DF9">
        <w:t xml:space="preserve">Figure </w:t>
      </w:r>
      <w:r w:rsidR="00F87DF9">
        <w:rPr>
          <w:noProof/>
        </w:rPr>
        <w:t>84</w:t>
      </w:r>
      <w:r w:rsidR="00640184" w:rsidRPr="00640184">
        <w:rPr>
          <w:color w:val="000000" w:themeColor="text1"/>
          <w:szCs w:val="22"/>
        </w:rPr>
        <w:fldChar w:fldCharType="end"/>
      </w:r>
      <w:r w:rsidR="00640184" w:rsidRPr="00640184">
        <w:rPr>
          <w:color w:val="000000" w:themeColor="text1"/>
          <w:szCs w:val="22"/>
        </w:rPr>
        <w:t xml:space="preserve">, </w:t>
      </w:r>
      <w:r w:rsidR="00640184" w:rsidRPr="00640184">
        <w:rPr>
          <w:color w:val="000000" w:themeColor="text1"/>
          <w:szCs w:val="22"/>
        </w:rPr>
        <w:fldChar w:fldCharType="begin"/>
      </w:r>
      <w:r w:rsidR="00640184" w:rsidRPr="00640184">
        <w:rPr>
          <w:color w:val="000000" w:themeColor="text1"/>
          <w:szCs w:val="22"/>
        </w:rPr>
        <w:instrText xml:space="preserve"> REF _Ref507764729 \h </w:instrText>
      </w:r>
      <w:r w:rsidR="00640184" w:rsidRPr="00640184">
        <w:rPr>
          <w:color w:val="000000" w:themeColor="text1"/>
          <w:szCs w:val="22"/>
        </w:rPr>
      </w:r>
      <w:r w:rsidR="00640184" w:rsidRPr="00640184">
        <w:rPr>
          <w:color w:val="000000" w:themeColor="text1"/>
          <w:szCs w:val="22"/>
        </w:rPr>
        <w:fldChar w:fldCharType="separate"/>
      </w:r>
      <w:r w:rsidR="00F87DF9">
        <w:t xml:space="preserve">Figure </w:t>
      </w:r>
      <w:r w:rsidR="00F87DF9">
        <w:rPr>
          <w:noProof/>
        </w:rPr>
        <w:t>85</w:t>
      </w:r>
      <w:r w:rsidR="00640184" w:rsidRPr="00640184">
        <w:rPr>
          <w:color w:val="000000" w:themeColor="text1"/>
          <w:szCs w:val="22"/>
        </w:rPr>
        <w:fldChar w:fldCharType="end"/>
      </w:r>
      <w:r w:rsidR="00640184" w:rsidRPr="00640184">
        <w:rPr>
          <w:color w:val="000000" w:themeColor="text1"/>
          <w:szCs w:val="22"/>
        </w:rPr>
        <w:t>)</w:t>
      </w:r>
      <w:r w:rsidRPr="00640184">
        <w:rPr>
          <w:color w:val="000000" w:themeColor="text1"/>
          <w:szCs w:val="22"/>
        </w:rPr>
        <w:t xml:space="preserve">. </w:t>
      </w:r>
    </w:p>
    <w:p w14:paraId="67D9F260" w14:textId="77777777" w:rsidR="00C76C36" w:rsidRPr="009D01B5" w:rsidRDefault="00C76C36" w:rsidP="008730D4">
      <w:pPr>
        <w:rPr>
          <w:color w:val="000000" w:themeColor="text1"/>
          <w:szCs w:val="22"/>
        </w:rPr>
      </w:pPr>
    </w:p>
    <w:p w14:paraId="62A475DF" w14:textId="77777777" w:rsidR="004A5BCE" w:rsidRDefault="004E43E3" w:rsidP="00630574">
      <w:pPr>
        <w:keepNext/>
        <w:widowControl w:val="0"/>
        <w:spacing w:after="0"/>
        <w:jc w:val="center"/>
        <w:rPr>
          <w:color w:val="000000"/>
          <w:szCs w:val="22"/>
          <w:lang w:val="en-GB"/>
        </w:rPr>
      </w:pPr>
      <w:r>
        <w:rPr>
          <w:noProof/>
          <w:color w:val="000000"/>
          <w:szCs w:val="22"/>
          <w:lang w:eastAsia="en-AU"/>
        </w:rPr>
        <w:drawing>
          <wp:inline distT="0" distB="0" distL="0" distR="0" wp14:anchorId="44359664" wp14:editId="30A9F0C8">
            <wp:extent cx="6475348" cy="4693920"/>
            <wp:effectExtent l="0" t="0" r="1905" b="0"/>
            <wp:docPr id="514" name="Picture 514" descr="Set of seven scatter plots with straight lines and markers showing seagrass abundance (% cover and standard error) at inshore intertidal and subtidal habitats (replicate sites pooled) in the Mackay Whitsunday NRM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MW_SG16.png"/>
                    <pic:cNvPicPr/>
                  </pic:nvPicPr>
                  <pic:blipFill>
                    <a:blip r:embed="rId121"/>
                    <a:stretch>
                      <a:fillRect/>
                    </a:stretch>
                  </pic:blipFill>
                  <pic:spPr>
                    <a:xfrm>
                      <a:off x="0" y="0"/>
                      <a:ext cx="6485915" cy="4701580"/>
                    </a:xfrm>
                    <a:prstGeom prst="rect">
                      <a:avLst/>
                    </a:prstGeom>
                  </pic:spPr>
                </pic:pic>
              </a:graphicData>
            </a:graphic>
          </wp:inline>
        </w:drawing>
      </w:r>
    </w:p>
    <w:p w14:paraId="5A4AE71E" w14:textId="7CEA72D2" w:rsidR="006341F9" w:rsidRPr="00640184" w:rsidRDefault="001961E3" w:rsidP="006341F9">
      <w:pPr>
        <w:rPr>
          <w:i/>
          <w:vanish/>
          <w:color w:val="000000" w:themeColor="text1"/>
          <w:specVanish/>
        </w:rPr>
      </w:pPr>
      <w:bookmarkStart w:id="468" w:name="_Ref179444988"/>
      <w:bookmarkStart w:id="469" w:name="_Toc431493873"/>
      <w:bookmarkStart w:id="470" w:name="_Toc516053293"/>
      <w:bookmarkStart w:id="471" w:name="_Toc176158899"/>
      <w:bookmarkStart w:id="472" w:name="_Toc232845997"/>
      <w:r w:rsidRPr="00602C4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83</w:t>
      </w:r>
      <w:r w:rsidR="00C506C7">
        <w:rPr>
          <w:noProof/>
        </w:rPr>
        <w:fldChar w:fldCharType="end"/>
      </w:r>
      <w:bookmarkEnd w:id="468"/>
      <w:r w:rsidRPr="00602C4B">
        <w:t xml:space="preserve">. </w:t>
      </w:r>
      <w:r w:rsidRPr="00602C4B">
        <w:rPr>
          <w:i/>
        </w:rPr>
        <w:t>Changes in seagrass abundance (</w:t>
      </w:r>
      <w:r w:rsidR="0063478C">
        <w:rPr>
          <w:i/>
        </w:rPr>
        <w:t>per cent</w:t>
      </w:r>
      <w:r w:rsidRPr="00602C4B">
        <w:rPr>
          <w:i/>
        </w:rPr>
        <w:t xml:space="preserve"> cover ±</w:t>
      </w:r>
      <w:r w:rsidR="009C7692">
        <w:rPr>
          <w:i/>
        </w:rPr>
        <w:t xml:space="preserve"> SE</w:t>
      </w:r>
      <w:r w:rsidRPr="00602C4B">
        <w:rPr>
          <w:i/>
        </w:rPr>
        <w:t xml:space="preserve">) at </w:t>
      </w:r>
      <w:r w:rsidR="006341F9" w:rsidRPr="00602C4B">
        <w:rPr>
          <w:i/>
        </w:rPr>
        <w:t xml:space="preserve">inshore intertidal habitats in the Mackay Whitsunday region, 1999 - </w:t>
      </w:r>
      <w:r w:rsidR="006341F9" w:rsidRPr="00640184">
        <w:rPr>
          <w:i/>
          <w:color w:val="000000" w:themeColor="text1"/>
        </w:rPr>
        <w:t>201</w:t>
      </w:r>
      <w:bookmarkEnd w:id="469"/>
      <w:r w:rsidR="00640184" w:rsidRPr="00640184">
        <w:rPr>
          <w:i/>
          <w:color w:val="000000" w:themeColor="text1"/>
        </w:rPr>
        <w:t>7</w:t>
      </w:r>
      <w:bookmarkEnd w:id="470"/>
    </w:p>
    <w:p w14:paraId="06915473" w14:textId="46D89E28" w:rsidR="000377A0" w:rsidRPr="00602C4B" w:rsidRDefault="006341F9" w:rsidP="000377A0">
      <w:r w:rsidRPr="00640184">
        <w:rPr>
          <w:i/>
          <w:color w:val="000000" w:themeColor="text1"/>
        </w:rPr>
        <w:t xml:space="preserve">: </w:t>
      </w:r>
      <w:r w:rsidR="004B7588" w:rsidRPr="00640184">
        <w:rPr>
          <w:i/>
          <w:color w:val="000000" w:themeColor="text1"/>
        </w:rPr>
        <w:t>a</w:t>
      </w:r>
      <w:r w:rsidR="004B7588" w:rsidRPr="00602C4B">
        <w:rPr>
          <w:i/>
        </w:rPr>
        <w:t xml:space="preserve">). </w:t>
      </w:r>
      <w:r w:rsidR="00BA409D" w:rsidRPr="00602C4B">
        <w:rPr>
          <w:i/>
        </w:rPr>
        <w:t>estuarine</w:t>
      </w:r>
      <w:r w:rsidR="004B7588" w:rsidRPr="00602C4B">
        <w:rPr>
          <w:i/>
        </w:rPr>
        <w:t>, b).</w:t>
      </w:r>
      <w:r w:rsidR="00BA409D" w:rsidRPr="00602C4B">
        <w:rPr>
          <w:i/>
        </w:rPr>
        <w:t xml:space="preserve"> coastal</w:t>
      </w:r>
      <w:r w:rsidR="004B7588" w:rsidRPr="00602C4B">
        <w:rPr>
          <w:i/>
        </w:rPr>
        <w:t>, and c). reef</w:t>
      </w:r>
      <w:r w:rsidR="001961E3" w:rsidRPr="00602C4B">
        <w:rPr>
          <w:i/>
        </w:rPr>
        <w:t>.</w:t>
      </w:r>
      <w:bookmarkEnd w:id="471"/>
      <w:bookmarkEnd w:id="472"/>
    </w:p>
    <w:p w14:paraId="073E82E4" w14:textId="77777777" w:rsidR="001264B9" w:rsidRDefault="004E43E3" w:rsidP="00F4372B">
      <w:pPr>
        <w:keepNext/>
        <w:widowControl w:val="0"/>
        <w:spacing w:after="0"/>
        <w:jc w:val="center"/>
        <w:rPr>
          <w:color w:val="000000"/>
          <w:szCs w:val="22"/>
        </w:rPr>
      </w:pPr>
      <w:r>
        <w:rPr>
          <w:noProof/>
          <w:color w:val="000000"/>
          <w:szCs w:val="22"/>
          <w:lang w:eastAsia="en-AU"/>
        </w:rPr>
        <w:drawing>
          <wp:inline distT="0" distB="0" distL="0" distR="0" wp14:anchorId="1F293742" wp14:editId="5856A204">
            <wp:extent cx="3958294" cy="2430000"/>
            <wp:effectExtent l="0" t="0" r="4445" b="8890"/>
            <wp:docPr id="515" name="Picture 515" descr="Panel of two bar graphs showing number of days when inshore within canopy sea temperature exceeded 35°C, 38°C, 40°C and 43°C within each season and deviations at intertidal seagrass habitats from 11-year mean weekly temperature records for intertidal seagrass habitats in the Mackay Whitsunday NRM region from September 2003 to Ma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MW_cvr_GAM_Dec16.png"/>
                    <pic:cNvPicPr/>
                  </pic:nvPicPr>
                  <pic:blipFill>
                    <a:blip r:embed="rId122">
                      <a:extLst>
                        <a:ext uri="{28A0092B-C50C-407E-A947-70E740481C1C}">
                          <a14:useLocalDpi xmlns:a14="http://schemas.microsoft.com/office/drawing/2010/main" val="0"/>
                        </a:ext>
                      </a:extLst>
                    </a:blip>
                    <a:stretch>
                      <a:fillRect/>
                    </a:stretch>
                  </pic:blipFill>
                  <pic:spPr>
                    <a:xfrm>
                      <a:off x="0" y="0"/>
                      <a:ext cx="3958294" cy="2430000"/>
                    </a:xfrm>
                    <a:prstGeom prst="rect">
                      <a:avLst/>
                    </a:prstGeom>
                  </pic:spPr>
                </pic:pic>
              </a:graphicData>
            </a:graphic>
          </wp:inline>
        </w:drawing>
      </w:r>
    </w:p>
    <w:p w14:paraId="04301383" w14:textId="511665DE" w:rsidR="008F1379" w:rsidRPr="008F1379" w:rsidRDefault="00F4372B" w:rsidP="00F4372B">
      <w:pPr>
        <w:rPr>
          <w:i/>
          <w:vanish/>
          <w:specVanish/>
        </w:rPr>
      </w:pPr>
      <w:bookmarkStart w:id="473" w:name="_Ref507764726"/>
      <w:bookmarkStart w:id="474" w:name="_Toc51605329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84</w:t>
      </w:r>
      <w:r w:rsidR="00C506C7">
        <w:rPr>
          <w:noProof/>
        </w:rPr>
        <w:fldChar w:fldCharType="end"/>
      </w:r>
      <w:bookmarkEnd w:id="473"/>
      <w:r>
        <w:t xml:space="preserve">. </w:t>
      </w:r>
      <w:r w:rsidR="008F1379" w:rsidRPr="008F1379">
        <w:rPr>
          <w:i/>
        </w:rPr>
        <w:t>Temporal trends in seagrass abundance for each location in the Mackay Whitsunday region represented by a GAM plot.</w:t>
      </w:r>
      <w:bookmarkEnd w:id="474"/>
    </w:p>
    <w:p w14:paraId="43694249" w14:textId="5DE129F8" w:rsidR="001264B9" w:rsidRDefault="008F1379" w:rsidP="00F4372B">
      <w:pPr>
        <w:rPr>
          <w:color w:val="000000"/>
          <w:szCs w:val="22"/>
        </w:rPr>
      </w:pPr>
      <w:r w:rsidRPr="008F1379">
        <w:rPr>
          <w:i/>
        </w:rPr>
        <w:t xml:space="preserve">  Regional trend (all habitats pooled) represented by black line with grey shaded areas defining 95</w:t>
      </w:r>
      <w:r w:rsidR="0063478C">
        <w:rPr>
          <w:i/>
        </w:rPr>
        <w:t xml:space="preserve"> per cent</w:t>
      </w:r>
      <w:r w:rsidRPr="008F1379">
        <w:rPr>
          <w:i/>
        </w:rPr>
        <w:t xml:space="preserve"> confidence intervals.</w:t>
      </w:r>
    </w:p>
    <w:p w14:paraId="394B8DED" w14:textId="31F5F7FA" w:rsidR="0058176A" w:rsidRDefault="00AD3F3A" w:rsidP="0058176A">
      <w:pPr>
        <w:keepNext/>
        <w:widowControl w:val="0"/>
        <w:spacing w:after="0"/>
        <w:jc w:val="center"/>
        <w:rPr>
          <w:color w:val="000000"/>
          <w:szCs w:val="22"/>
        </w:rPr>
      </w:pPr>
      <w:r>
        <w:rPr>
          <w:noProof/>
          <w:color w:val="000000"/>
          <w:szCs w:val="22"/>
          <w:lang w:eastAsia="en-AU"/>
        </w:rPr>
        <w:drawing>
          <wp:inline distT="0" distB="0" distL="0" distR="0" wp14:anchorId="4436EF69" wp14:editId="5C71AEAA">
            <wp:extent cx="4320000" cy="3895200"/>
            <wp:effectExtent l="0" t="0" r="4445" b="0"/>
            <wp:docPr id="226" name="Picture 226" descr="Panel of two bar graphs showing number of days when inshore within canopy sea temperature exceeded 35°C, 38°C, 40°C and 43°C within each season and deviations at intertidal seagrass habitats from 11-year mean weekly temperature records for intertidal seagrass habitats in the Mackay Whitsunday NRM region from September 2003 to June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MW_hab_cvr_GAM_Dec16.png"/>
                    <pic:cNvPicPr/>
                  </pic:nvPicPr>
                  <pic:blipFill>
                    <a:blip r:embed="rId123">
                      <a:extLst>
                        <a:ext uri="{28A0092B-C50C-407E-A947-70E740481C1C}">
                          <a14:useLocalDpi xmlns:a14="http://schemas.microsoft.com/office/drawing/2010/main" val="0"/>
                        </a:ext>
                      </a:extLst>
                    </a:blip>
                    <a:stretch>
                      <a:fillRect/>
                    </a:stretch>
                  </pic:blipFill>
                  <pic:spPr>
                    <a:xfrm>
                      <a:off x="0" y="0"/>
                      <a:ext cx="4320000" cy="3895200"/>
                    </a:xfrm>
                    <a:prstGeom prst="rect">
                      <a:avLst/>
                    </a:prstGeom>
                  </pic:spPr>
                </pic:pic>
              </a:graphicData>
            </a:graphic>
          </wp:inline>
        </w:drawing>
      </w:r>
    </w:p>
    <w:p w14:paraId="71DBBF19" w14:textId="7480280E" w:rsidR="0058176A" w:rsidRPr="00024A6D" w:rsidRDefault="0058176A" w:rsidP="0058176A">
      <w:pPr>
        <w:rPr>
          <w:i/>
          <w:vanish/>
          <w:specVanish/>
        </w:rPr>
      </w:pPr>
      <w:bookmarkStart w:id="475" w:name="_Ref507764729"/>
      <w:bookmarkStart w:id="476" w:name="_Toc51605329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85</w:t>
      </w:r>
      <w:r w:rsidR="00C506C7">
        <w:rPr>
          <w:noProof/>
        </w:rPr>
        <w:fldChar w:fldCharType="end"/>
      </w:r>
      <w:bookmarkEnd w:id="475"/>
      <w:r>
        <w:t xml:space="preserve">. </w:t>
      </w:r>
      <w:r w:rsidRPr="00024A6D">
        <w:rPr>
          <w:i/>
        </w:rPr>
        <w:t xml:space="preserve">Temporal trends in seagrass abundance for each habitat in the </w:t>
      </w:r>
      <w:r>
        <w:rPr>
          <w:i/>
        </w:rPr>
        <w:t>Mackay Whitsunday</w:t>
      </w:r>
      <w:r w:rsidRPr="00024A6D">
        <w:rPr>
          <w:i/>
        </w:rPr>
        <w:t xml:space="preserve"> region represented by GAM plot</w:t>
      </w:r>
      <w:r>
        <w:rPr>
          <w:i/>
        </w:rPr>
        <w:t>s</w:t>
      </w:r>
      <w:r w:rsidRPr="00024A6D">
        <w:rPr>
          <w:i/>
        </w:rPr>
        <w:t>.</w:t>
      </w:r>
      <w:bookmarkEnd w:id="476"/>
    </w:p>
    <w:p w14:paraId="163F04D7" w14:textId="2213FA8B" w:rsidR="0058176A" w:rsidRPr="00024A6D" w:rsidRDefault="0058176A" w:rsidP="0058176A">
      <w:pPr>
        <w:pStyle w:val="Caption"/>
        <w:rPr>
          <w:szCs w:val="22"/>
        </w:rPr>
      </w:pPr>
      <w:r w:rsidRPr="00024A6D">
        <w:rPr>
          <w:i/>
        </w:rPr>
        <w:t xml:space="preserve">  </w:t>
      </w:r>
      <w:r w:rsidR="00064DB3">
        <w:rPr>
          <w:i/>
        </w:rPr>
        <w:t xml:space="preserve">Trends </w:t>
      </w:r>
      <w:r w:rsidR="00064DB3" w:rsidRPr="00A009CE">
        <w:rPr>
          <w:i/>
        </w:rPr>
        <w:t>(</w:t>
      </w:r>
      <w:r w:rsidR="00064DB3">
        <w:rPr>
          <w:i/>
        </w:rPr>
        <w:t>locations</w:t>
      </w:r>
      <w:r w:rsidR="00064DB3" w:rsidRPr="00A009CE">
        <w:rPr>
          <w:i/>
        </w:rPr>
        <w:t xml:space="preserve"> pooled) represented by black line</w:t>
      </w:r>
      <w:r w:rsidR="00064DB3" w:rsidRPr="00C437D6">
        <w:rPr>
          <w:i/>
        </w:rPr>
        <w:t xml:space="preserve"> </w:t>
      </w:r>
      <w:r w:rsidR="00064DB3">
        <w:rPr>
          <w:i/>
        </w:rPr>
        <w:t xml:space="preserve">with </w:t>
      </w:r>
      <w:r w:rsidR="00064DB3" w:rsidRPr="00A009CE">
        <w:rPr>
          <w:i/>
        </w:rPr>
        <w:t>gre</w:t>
      </w:r>
      <w:r w:rsidR="00064DB3">
        <w:rPr>
          <w:i/>
        </w:rPr>
        <w:t>en</w:t>
      </w:r>
      <w:r w:rsidR="00064DB3" w:rsidRPr="00A009CE">
        <w:rPr>
          <w:i/>
        </w:rPr>
        <w:t xml:space="preserve"> shaded area defining 95</w:t>
      </w:r>
      <w:r w:rsidR="0063478C">
        <w:rPr>
          <w:i/>
        </w:rPr>
        <w:t xml:space="preserve"> per cent</w:t>
      </w:r>
      <w:r w:rsidR="00064DB3" w:rsidRPr="00A009CE">
        <w:rPr>
          <w:i/>
        </w:rPr>
        <w:t xml:space="preserve"> confiden</w:t>
      </w:r>
      <w:r w:rsidR="00064DB3">
        <w:rPr>
          <w:i/>
        </w:rPr>
        <w:t>c</w:t>
      </w:r>
      <w:r w:rsidR="00064DB3" w:rsidRPr="00A009CE">
        <w:rPr>
          <w:i/>
        </w:rPr>
        <w:t>e intervals</w:t>
      </w:r>
      <w:r w:rsidR="00064DB3">
        <w:rPr>
          <w:i/>
        </w:rPr>
        <w:t>, and quadrat data displayed as grey circles</w:t>
      </w:r>
      <w:r w:rsidR="00064DB3" w:rsidRPr="00A009CE">
        <w:rPr>
          <w:i/>
        </w:rPr>
        <w:t>.</w:t>
      </w:r>
    </w:p>
    <w:p w14:paraId="5B509825" w14:textId="77777777" w:rsidR="00C31BE9" w:rsidRPr="00640184" w:rsidRDefault="00C31BE9" w:rsidP="00C31BE9">
      <w:pPr>
        <w:rPr>
          <w:color w:val="000000" w:themeColor="text1"/>
          <w:szCs w:val="22"/>
        </w:rPr>
      </w:pPr>
      <w:r w:rsidRPr="00640184">
        <w:rPr>
          <w:color w:val="000000" w:themeColor="text1"/>
          <w:szCs w:val="22"/>
        </w:rPr>
        <w:t xml:space="preserve">The most common seagrass species across all habitats in the Mackay Whitsunday NRM region were </w:t>
      </w:r>
      <w:r w:rsidRPr="00640184">
        <w:rPr>
          <w:i/>
          <w:color w:val="000000" w:themeColor="text1"/>
          <w:szCs w:val="22"/>
        </w:rPr>
        <w:t>Halodule uninervis</w:t>
      </w:r>
      <w:r w:rsidRPr="00640184">
        <w:rPr>
          <w:color w:val="000000" w:themeColor="text1"/>
          <w:szCs w:val="22"/>
        </w:rPr>
        <w:t xml:space="preserve"> and </w:t>
      </w:r>
      <w:r w:rsidRPr="00640184">
        <w:rPr>
          <w:i/>
          <w:color w:val="000000" w:themeColor="text1"/>
          <w:szCs w:val="22"/>
        </w:rPr>
        <w:t>Zostera muelleri</w:t>
      </w:r>
      <w:r w:rsidRPr="00640184">
        <w:rPr>
          <w:color w:val="000000" w:themeColor="text1"/>
          <w:szCs w:val="22"/>
        </w:rPr>
        <w:t xml:space="preserve">, mixed with the colonising species </w:t>
      </w:r>
      <w:r w:rsidRPr="00640184">
        <w:rPr>
          <w:i/>
          <w:color w:val="000000" w:themeColor="text1"/>
          <w:szCs w:val="22"/>
        </w:rPr>
        <w:t>Halophila ovalis</w:t>
      </w:r>
      <w:r w:rsidRPr="00640184">
        <w:rPr>
          <w:color w:val="000000" w:themeColor="text1"/>
          <w:szCs w:val="22"/>
        </w:rPr>
        <w:t xml:space="preserve">. </w:t>
      </w:r>
    </w:p>
    <w:p w14:paraId="3DE9B0C3" w14:textId="0B2F5469" w:rsidR="00C31BE9" w:rsidRPr="00640184" w:rsidRDefault="00C31BE9" w:rsidP="00C31BE9">
      <w:pPr>
        <w:rPr>
          <w:color w:val="000000" w:themeColor="text1"/>
          <w:szCs w:val="22"/>
          <w:lang w:val="en-GB"/>
        </w:rPr>
      </w:pPr>
      <w:r w:rsidRPr="00640184">
        <w:rPr>
          <w:color w:val="000000" w:themeColor="text1"/>
          <w:szCs w:val="22"/>
        </w:rPr>
        <w:t xml:space="preserve">Colonising species have recently dominated in </w:t>
      </w:r>
      <w:r w:rsidR="00640184" w:rsidRPr="00640184">
        <w:rPr>
          <w:color w:val="000000" w:themeColor="text1"/>
          <w:szCs w:val="22"/>
        </w:rPr>
        <w:t>intertidal</w:t>
      </w:r>
      <w:r w:rsidRPr="00640184">
        <w:rPr>
          <w:color w:val="000000" w:themeColor="text1"/>
          <w:szCs w:val="22"/>
        </w:rPr>
        <w:t xml:space="preserve"> meadows across the Mackay Whitsunday NRM followi</w:t>
      </w:r>
      <w:r w:rsidR="00640184" w:rsidRPr="00640184">
        <w:rPr>
          <w:color w:val="000000" w:themeColor="text1"/>
          <w:szCs w:val="22"/>
        </w:rPr>
        <w:t xml:space="preserve">ng the extreme weather in 2011. In the previous two years, there has been a dramatic reduction in colonising species in estuarine and coastal intertidal habitats. In all habitats except the reef intertidal habitats, </w:t>
      </w:r>
      <w:r w:rsidR="009D01B5" w:rsidRPr="00640184">
        <w:rPr>
          <w:color w:val="000000" w:themeColor="text1"/>
          <w:szCs w:val="22"/>
        </w:rPr>
        <w:t>opportunistic foundational species (</w:t>
      </w:r>
      <w:r w:rsidRPr="00640184">
        <w:rPr>
          <w:i/>
          <w:color w:val="000000" w:themeColor="text1"/>
          <w:szCs w:val="22"/>
        </w:rPr>
        <w:t>H. uninervis</w:t>
      </w:r>
      <w:r w:rsidRPr="00640184">
        <w:rPr>
          <w:color w:val="000000" w:themeColor="text1"/>
          <w:szCs w:val="22"/>
        </w:rPr>
        <w:t xml:space="preserve"> and </w:t>
      </w:r>
      <w:r w:rsidRPr="00640184">
        <w:rPr>
          <w:i/>
          <w:color w:val="000000" w:themeColor="text1"/>
          <w:szCs w:val="22"/>
        </w:rPr>
        <w:t>Z. muelleri</w:t>
      </w:r>
      <w:r w:rsidR="009D01B5" w:rsidRPr="00640184">
        <w:rPr>
          <w:color w:val="000000" w:themeColor="text1"/>
          <w:szCs w:val="22"/>
        </w:rPr>
        <w:t>)</w:t>
      </w:r>
      <w:r w:rsidRPr="00640184">
        <w:rPr>
          <w:color w:val="000000" w:themeColor="text1"/>
          <w:szCs w:val="22"/>
        </w:rPr>
        <w:t xml:space="preserve"> now dominate (</w:t>
      </w:r>
      <w:r w:rsidR="00993358" w:rsidRPr="00640184">
        <w:rPr>
          <w:color w:val="000000" w:themeColor="text1"/>
          <w:szCs w:val="22"/>
          <w:lang w:val="en-GB"/>
        </w:rPr>
        <w:fldChar w:fldCharType="begin"/>
      </w:r>
      <w:r w:rsidR="00993358" w:rsidRPr="00640184">
        <w:rPr>
          <w:color w:val="000000" w:themeColor="text1"/>
          <w:szCs w:val="22"/>
          <w:lang w:val="en-GB"/>
        </w:rPr>
        <w:instrText xml:space="preserve"> REF _Ref382206677 \h  \* MERGEFORMAT </w:instrText>
      </w:r>
      <w:r w:rsidR="00993358" w:rsidRPr="00640184">
        <w:rPr>
          <w:color w:val="000000" w:themeColor="text1"/>
          <w:szCs w:val="22"/>
          <w:lang w:val="en-GB"/>
        </w:rPr>
      </w:r>
      <w:r w:rsidR="00993358" w:rsidRPr="00640184">
        <w:rPr>
          <w:color w:val="000000" w:themeColor="text1"/>
          <w:szCs w:val="22"/>
          <w:lang w:val="en-GB"/>
        </w:rPr>
        <w:fldChar w:fldCharType="separate"/>
      </w:r>
      <w:r w:rsidR="00F87DF9" w:rsidRPr="00F87DF9">
        <w:rPr>
          <w:color w:val="000000" w:themeColor="text1"/>
          <w:szCs w:val="22"/>
        </w:rPr>
        <w:t xml:space="preserve">Figure </w:t>
      </w:r>
      <w:r w:rsidR="00F87DF9" w:rsidRPr="00F87DF9">
        <w:rPr>
          <w:noProof/>
          <w:color w:val="000000" w:themeColor="text1"/>
          <w:szCs w:val="22"/>
        </w:rPr>
        <w:t>86</w:t>
      </w:r>
      <w:r w:rsidR="00993358" w:rsidRPr="00640184">
        <w:rPr>
          <w:color w:val="000000" w:themeColor="text1"/>
          <w:szCs w:val="22"/>
          <w:lang w:val="en-GB"/>
        </w:rPr>
        <w:fldChar w:fldCharType="end"/>
      </w:r>
      <w:r w:rsidR="00993358" w:rsidRPr="00640184">
        <w:rPr>
          <w:color w:val="000000" w:themeColor="text1"/>
          <w:szCs w:val="22"/>
          <w:lang w:val="en-GB"/>
        </w:rPr>
        <w:t>, Appendix 4</w:t>
      </w:r>
      <w:r w:rsidRPr="00640184">
        <w:rPr>
          <w:color w:val="000000" w:themeColor="text1"/>
          <w:szCs w:val="22"/>
        </w:rPr>
        <w:t>)</w:t>
      </w:r>
      <w:r w:rsidR="009D01B5" w:rsidRPr="00640184">
        <w:rPr>
          <w:color w:val="000000" w:themeColor="text1"/>
          <w:szCs w:val="22"/>
          <w:lang w:val="en-GB"/>
        </w:rPr>
        <w:t xml:space="preserve">, </w:t>
      </w:r>
      <w:r w:rsidR="009D01B5" w:rsidRPr="00640184">
        <w:rPr>
          <w:rFonts w:cs="TimesNewRoman,Italic"/>
          <w:iCs/>
          <w:color w:val="000000" w:themeColor="text1"/>
          <w:szCs w:val="22"/>
        </w:rPr>
        <w:t>suggesting meadows may have an improved ecosystem resistance to tolerate disturbances</w:t>
      </w:r>
      <w:r w:rsidR="009D01B5" w:rsidRPr="00640184">
        <w:rPr>
          <w:color w:val="000000" w:themeColor="text1"/>
          <w:szCs w:val="22"/>
          <w:lang w:val="en-GB"/>
        </w:rPr>
        <w:t xml:space="preserve"> (</w:t>
      </w:r>
      <w:r w:rsidR="009D01B5" w:rsidRPr="00640184">
        <w:rPr>
          <w:color w:val="000000" w:themeColor="text1"/>
          <w:szCs w:val="22"/>
          <w:lang w:val="en-GB"/>
        </w:rPr>
        <w:fldChar w:fldCharType="begin"/>
      </w:r>
      <w:r w:rsidR="009D01B5" w:rsidRPr="00640184">
        <w:rPr>
          <w:color w:val="000000" w:themeColor="text1"/>
          <w:szCs w:val="22"/>
          <w:lang w:val="en-GB"/>
        </w:rPr>
        <w:instrText xml:space="preserve"> REF _Ref382206677 \h  \* MERGEFORMAT </w:instrText>
      </w:r>
      <w:r w:rsidR="009D01B5" w:rsidRPr="00640184">
        <w:rPr>
          <w:color w:val="000000" w:themeColor="text1"/>
          <w:szCs w:val="22"/>
          <w:lang w:val="en-GB"/>
        </w:rPr>
      </w:r>
      <w:r w:rsidR="009D01B5" w:rsidRPr="00640184">
        <w:rPr>
          <w:color w:val="000000" w:themeColor="text1"/>
          <w:szCs w:val="22"/>
          <w:lang w:val="en-GB"/>
        </w:rPr>
        <w:fldChar w:fldCharType="separate"/>
      </w:r>
      <w:r w:rsidR="00F87DF9" w:rsidRPr="00F87DF9">
        <w:rPr>
          <w:color w:val="000000" w:themeColor="text1"/>
          <w:szCs w:val="22"/>
        </w:rPr>
        <w:t xml:space="preserve">Figure </w:t>
      </w:r>
      <w:r w:rsidR="00F87DF9" w:rsidRPr="00F87DF9">
        <w:rPr>
          <w:noProof/>
          <w:color w:val="000000" w:themeColor="text1"/>
          <w:szCs w:val="22"/>
        </w:rPr>
        <w:t>86</w:t>
      </w:r>
      <w:r w:rsidR="009D01B5" w:rsidRPr="00640184">
        <w:rPr>
          <w:color w:val="000000" w:themeColor="text1"/>
          <w:szCs w:val="22"/>
          <w:lang w:val="en-GB"/>
        </w:rPr>
        <w:fldChar w:fldCharType="end"/>
      </w:r>
      <w:r w:rsidR="009D01B5" w:rsidRPr="00640184">
        <w:rPr>
          <w:color w:val="000000" w:themeColor="text1"/>
          <w:szCs w:val="22"/>
          <w:lang w:val="en-GB"/>
        </w:rPr>
        <w:t xml:space="preserve">). </w:t>
      </w:r>
      <w:r w:rsidRPr="00640184">
        <w:rPr>
          <w:color w:val="000000" w:themeColor="text1"/>
          <w:szCs w:val="22"/>
        </w:rPr>
        <w:t>In contrast, in reef habitats (</w:t>
      </w:r>
      <w:r w:rsidR="00993358" w:rsidRPr="00640184">
        <w:rPr>
          <w:color w:val="000000" w:themeColor="text1"/>
          <w:szCs w:val="22"/>
        </w:rPr>
        <w:t>Hamilton Island</w:t>
      </w:r>
      <w:r w:rsidRPr="00640184">
        <w:rPr>
          <w:color w:val="000000" w:themeColor="text1"/>
          <w:szCs w:val="22"/>
        </w:rPr>
        <w:t xml:space="preserve">), colonising species </w:t>
      </w:r>
      <w:r w:rsidR="00640184" w:rsidRPr="00640184">
        <w:rPr>
          <w:color w:val="000000" w:themeColor="text1"/>
          <w:szCs w:val="22"/>
        </w:rPr>
        <w:t xml:space="preserve">have </w:t>
      </w:r>
      <w:r w:rsidR="009D01B5" w:rsidRPr="00640184">
        <w:rPr>
          <w:color w:val="000000" w:themeColor="text1"/>
          <w:szCs w:val="22"/>
        </w:rPr>
        <w:t>been steadily increasing</w:t>
      </w:r>
      <w:r w:rsidR="00640184" w:rsidRPr="00640184">
        <w:rPr>
          <w:color w:val="000000" w:themeColor="text1"/>
          <w:szCs w:val="22"/>
        </w:rPr>
        <w:t xml:space="preserve"> since 2006</w:t>
      </w:r>
      <w:r w:rsidRPr="00640184">
        <w:rPr>
          <w:color w:val="000000" w:themeColor="text1"/>
          <w:szCs w:val="22"/>
        </w:rPr>
        <w:t>.</w:t>
      </w:r>
      <w:r w:rsidR="009D01B5" w:rsidRPr="00640184">
        <w:rPr>
          <w:color w:val="000000" w:themeColor="text1"/>
          <w:szCs w:val="22"/>
          <w:lang w:val="en-GB"/>
        </w:rPr>
        <w:t xml:space="preserve"> </w:t>
      </w:r>
    </w:p>
    <w:p w14:paraId="492F0334" w14:textId="77777777" w:rsidR="00C31BE9" w:rsidRPr="00C03C5F" w:rsidRDefault="004E43E3" w:rsidP="00630574">
      <w:pPr>
        <w:keepNext/>
        <w:widowControl w:val="0"/>
        <w:spacing w:after="0"/>
        <w:jc w:val="center"/>
        <w:rPr>
          <w:color w:val="000000"/>
          <w:szCs w:val="22"/>
        </w:rPr>
      </w:pPr>
      <w:r>
        <w:rPr>
          <w:noProof/>
          <w:color w:val="000000"/>
          <w:szCs w:val="22"/>
          <w:lang w:eastAsia="en-AU"/>
        </w:rPr>
        <w:drawing>
          <wp:inline distT="0" distB="0" distL="0" distR="0" wp14:anchorId="3E8B5195" wp14:editId="6278D01A">
            <wp:extent cx="4320000" cy="2905200"/>
            <wp:effectExtent l="0" t="0" r="4445" b="9525"/>
            <wp:docPr id="516" name="Picture 516" descr="Panel of three area plots showing proportion of seagrass abundance composed of species displaying colonising traits at inshore habitats in the Mackay Whitsunda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MW_colonising_2016.png"/>
                    <pic:cNvPicPr/>
                  </pic:nvPicPr>
                  <pic:blipFill>
                    <a:blip r:embed="rId124">
                      <a:extLst>
                        <a:ext uri="{28A0092B-C50C-407E-A947-70E740481C1C}">
                          <a14:useLocalDpi xmlns:a14="http://schemas.microsoft.com/office/drawing/2010/main" val="0"/>
                        </a:ext>
                      </a:extLst>
                    </a:blip>
                    <a:stretch>
                      <a:fillRect/>
                    </a:stretch>
                  </pic:blipFill>
                  <pic:spPr>
                    <a:xfrm>
                      <a:off x="0" y="0"/>
                      <a:ext cx="4320000" cy="2905200"/>
                    </a:xfrm>
                    <a:prstGeom prst="rect">
                      <a:avLst/>
                    </a:prstGeom>
                  </pic:spPr>
                </pic:pic>
              </a:graphicData>
            </a:graphic>
          </wp:inline>
        </w:drawing>
      </w:r>
    </w:p>
    <w:p w14:paraId="2B9ABDFB" w14:textId="3B0374C5" w:rsidR="00C03C5F" w:rsidRPr="00C03C5F" w:rsidRDefault="008C4B1E" w:rsidP="00C03C5F">
      <w:pPr>
        <w:rPr>
          <w:vanish/>
          <w:color w:val="000000"/>
          <w:szCs w:val="22"/>
          <w:specVanish/>
        </w:rPr>
      </w:pPr>
      <w:bookmarkStart w:id="477" w:name="_Ref382206677"/>
      <w:bookmarkStart w:id="478" w:name="_Toc431493874"/>
      <w:bookmarkStart w:id="479" w:name="_Toc516053296"/>
      <w:r w:rsidRPr="006B421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86</w:t>
      </w:r>
      <w:r w:rsidR="0073595B">
        <w:rPr>
          <w:color w:val="000000"/>
          <w:szCs w:val="22"/>
        </w:rPr>
        <w:fldChar w:fldCharType="end"/>
      </w:r>
      <w:bookmarkEnd w:id="477"/>
      <w:r w:rsidRPr="006B4212">
        <w:rPr>
          <w:color w:val="000000"/>
          <w:szCs w:val="22"/>
        </w:rPr>
        <w:t xml:space="preserve">. </w:t>
      </w:r>
      <w:r w:rsidRPr="006B4212">
        <w:rPr>
          <w:i/>
          <w:color w:val="000000"/>
          <w:szCs w:val="22"/>
        </w:rPr>
        <w:t xml:space="preserve">Proportion of seagrass abundance composed of </w:t>
      </w:r>
      <w:r w:rsidR="00C31BE9">
        <w:rPr>
          <w:i/>
          <w:color w:val="000000"/>
          <w:szCs w:val="22"/>
        </w:rPr>
        <w:t>colonising</w:t>
      </w:r>
      <w:r w:rsidR="00A22D98" w:rsidRPr="006B4212">
        <w:rPr>
          <w:i/>
          <w:color w:val="000000"/>
          <w:szCs w:val="22"/>
        </w:rPr>
        <w:t xml:space="preserve"> species</w:t>
      </w:r>
      <w:r w:rsidR="006341F9" w:rsidRPr="006B4212">
        <w:rPr>
          <w:i/>
          <w:color w:val="000000"/>
          <w:szCs w:val="22"/>
        </w:rPr>
        <w:t xml:space="preserve"> at inshore intertidal habitats in the Mackay Whitsunday region, 1999 - </w:t>
      </w:r>
      <w:r w:rsidR="006341F9" w:rsidRPr="00F5099A">
        <w:rPr>
          <w:i/>
          <w:color w:val="000000" w:themeColor="text1"/>
          <w:szCs w:val="22"/>
        </w:rPr>
        <w:t>201</w:t>
      </w:r>
      <w:r w:rsidR="00F5099A" w:rsidRPr="00F5099A">
        <w:rPr>
          <w:i/>
          <w:color w:val="000000" w:themeColor="text1"/>
          <w:szCs w:val="22"/>
        </w:rPr>
        <w:t>7</w:t>
      </w:r>
      <w:r w:rsidRPr="006B4212">
        <w:rPr>
          <w:i/>
          <w:color w:val="000000"/>
          <w:szCs w:val="22"/>
        </w:rPr>
        <w:t>.</w:t>
      </w:r>
      <w:bookmarkEnd w:id="478"/>
      <w:bookmarkEnd w:id="479"/>
      <w:r w:rsidR="006341F9" w:rsidRPr="006B4212">
        <w:rPr>
          <w:vanish/>
          <w:color w:val="000000"/>
          <w:szCs w:val="22"/>
          <w:specVanish/>
        </w:rPr>
        <w:t xml:space="preserve"> </w:t>
      </w:r>
      <w:r w:rsidRPr="006B4212">
        <w:rPr>
          <w:i/>
          <w:color w:val="000000"/>
          <w:szCs w:val="22"/>
        </w:rPr>
        <w:t xml:space="preserve"> </w:t>
      </w:r>
    </w:p>
    <w:p w14:paraId="6A7702B9" w14:textId="731AE53A" w:rsidR="00C03C5F" w:rsidRPr="006B4212" w:rsidRDefault="008C4B1E" w:rsidP="006341F9">
      <w:pPr>
        <w:rPr>
          <w:color w:val="000000"/>
          <w:szCs w:val="22"/>
        </w:rPr>
      </w:pPr>
      <w:r w:rsidRPr="006B4212">
        <w:rPr>
          <w:i/>
          <w:color w:val="000000"/>
          <w:szCs w:val="22"/>
        </w:rPr>
        <w:t xml:space="preserve">Grey area represents </w:t>
      </w:r>
      <w:r w:rsidR="007F6948">
        <w:rPr>
          <w:i/>
          <w:color w:val="000000"/>
          <w:szCs w:val="22"/>
        </w:rPr>
        <w:t>Great Barrier Reef</w:t>
      </w:r>
      <w:r w:rsidRPr="006B4212">
        <w:rPr>
          <w:i/>
          <w:color w:val="000000"/>
          <w:szCs w:val="22"/>
        </w:rPr>
        <w:t xml:space="preserve"> long-term average proportion of </w:t>
      </w:r>
      <w:r w:rsidR="00C31BE9">
        <w:rPr>
          <w:i/>
          <w:color w:val="000000"/>
          <w:szCs w:val="22"/>
        </w:rPr>
        <w:t>colonising</w:t>
      </w:r>
      <w:r w:rsidR="00C31BE9" w:rsidRPr="006B4212">
        <w:rPr>
          <w:i/>
          <w:color w:val="000000"/>
          <w:szCs w:val="22"/>
        </w:rPr>
        <w:t xml:space="preserve"> </w:t>
      </w:r>
      <w:r w:rsidR="00A22D98" w:rsidRPr="006B4212">
        <w:rPr>
          <w:i/>
          <w:color w:val="000000"/>
          <w:szCs w:val="22"/>
        </w:rPr>
        <w:t xml:space="preserve">species </w:t>
      </w:r>
      <w:r w:rsidRPr="006B4212">
        <w:rPr>
          <w:i/>
          <w:color w:val="000000"/>
          <w:szCs w:val="22"/>
        </w:rPr>
        <w:t>for each habitat type</w:t>
      </w:r>
      <w:r w:rsidRPr="006B4212">
        <w:rPr>
          <w:color w:val="000000"/>
          <w:szCs w:val="22"/>
        </w:rPr>
        <w:t>.</w:t>
      </w:r>
      <w:r w:rsidR="006341F9" w:rsidRPr="006B4212">
        <w:rPr>
          <w:color w:val="000000"/>
          <w:szCs w:val="22"/>
        </w:rPr>
        <w:t xml:space="preserve"> </w:t>
      </w:r>
    </w:p>
    <w:p w14:paraId="72B06A6A" w14:textId="358B7E67" w:rsidR="009D511F" w:rsidRPr="00977C68" w:rsidRDefault="00F9462F" w:rsidP="00034AD4">
      <w:pPr>
        <w:spacing w:before="240"/>
        <w:rPr>
          <w:color w:val="000000" w:themeColor="text1"/>
          <w:szCs w:val="22"/>
        </w:rPr>
      </w:pPr>
      <w:r w:rsidRPr="00883F8B">
        <w:rPr>
          <w:color w:val="000000" w:themeColor="text1"/>
          <w:szCs w:val="22"/>
        </w:rPr>
        <w:t xml:space="preserve">Seagrass meadow edge mapping was conducted within all </w:t>
      </w:r>
      <w:r w:rsidR="00883F8B" w:rsidRPr="00883F8B">
        <w:rPr>
          <w:color w:val="000000" w:themeColor="text1"/>
          <w:szCs w:val="22"/>
        </w:rPr>
        <w:t>monitoring sites in October 2016 and April 2017</w:t>
      </w:r>
      <w:r w:rsidRPr="00883F8B">
        <w:rPr>
          <w:color w:val="000000" w:themeColor="text1"/>
          <w:szCs w:val="22"/>
        </w:rPr>
        <w:t xml:space="preserve"> to determine if changes in abundance were a consequence of the meadow edges changing and to indicate if plants were allocating resources to colonisation (asexual reproduction) (Appendix </w:t>
      </w:r>
      <w:r w:rsidR="008B0432">
        <w:rPr>
          <w:color w:val="000000" w:themeColor="text1"/>
          <w:szCs w:val="22"/>
        </w:rPr>
        <w:fldChar w:fldCharType="begin"/>
      </w:r>
      <w:r w:rsidR="008B0432">
        <w:rPr>
          <w:color w:val="000000" w:themeColor="text1"/>
          <w:szCs w:val="22"/>
        </w:rPr>
        <w:instrText xml:space="preserve"> REF _Ref511131590 \r \h </w:instrText>
      </w:r>
      <w:r w:rsidR="008B0432">
        <w:rPr>
          <w:color w:val="000000" w:themeColor="text1"/>
          <w:szCs w:val="22"/>
        </w:rPr>
      </w:r>
      <w:r w:rsidR="008B0432">
        <w:rPr>
          <w:color w:val="000000" w:themeColor="text1"/>
          <w:szCs w:val="22"/>
        </w:rPr>
        <w:fldChar w:fldCharType="separate"/>
      </w:r>
      <w:r w:rsidR="00F87DF9">
        <w:rPr>
          <w:color w:val="000000" w:themeColor="text1"/>
          <w:szCs w:val="22"/>
        </w:rPr>
        <w:t>A4.2.4</w:t>
      </w:r>
      <w:r w:rsidR="008B0432">
        <w:rPr>
          <w:color w:val="000000" w:themeColor="text1"/>
          <w:szCs w:val="22"/>
        </w:rPr>
        <w:fldChar w:fldCharType="end"/>
      </w:r>
      <w:r w:rsidRPr="00883F8B">
        <w:rPr>
          <w:color w:val="000000" w:themeColor="text1"/>
          <w:szCs w:val="22"/>
        </w:rPr>
        <w:t>).</w:t>
      </w:r>
      <w:r w:rsidR="005132EF" w:rsidRPr="00883F8B">
        <w:rPr>
          <w:color w:val="000000" w:themeColor="text1"/>
          <w:szCs w:val="22"/>
        </w:rPr>
        <w:t xml:space="preserve"> </w:t>
      </w:r>
      <w:r w:rsidR="005132EF" w:rsidRPr="00977C68">
        <w:rPr>
          <w:color w:val="000000" w:themeColor="text1"/>
          <w:szCs w:val="22"/>
        </w:rPr>
        <w:t xml:space="preserve">Over the past 12 months, </w:t>
      </w:r>
      <w:r w:rsidR="001E0128" w:rsidRPr="00977C68">
        <w:rPr>
          <w:color w:val="000000" w:themeColor="text1"/>
          <w:szCs w:val="22"/>
        </w:rPr>
        <w:t>spatial</w:t>
      </w:r>
      <w:r w:rsidR="009D01B5" w:rsidRPr="00977C68">
        <w:rPr>
          <w:color w:val="000000" w:themeColor="text1"/>
          <w:szCs w:val="22"/>
        </w:rPr>
        <w:t xml:space="preserve"> </w:t>
      </w:r>
      <w:r w:rsidR="006C492E" w:rsidRPr="00977C68">
        <w:rPr>
          <w:color w:val="000000" w:themeColor="text1"/>
          <w:szCs w:val="22"/>
        </w:rPr>
        <w:t>extent</w:t>
      </w:r>
      <w:r w:rsidR="001E0128" w:rsidRPr="00977C68">
        <w:rPr>
          <w:color w:val="000000" w:themeColor="text1"/>
          <w:szCs w:val="22"/>
        </w:rPr>
        <w:t xml:space="preserve"> declined dramatically</w:t>
      </w:r>
      <w:r w:rsidR="00977C68" w:rsidRPr="00977C68">
        <w:rPr>
          <w:color w:val="000000" w:themeColor="text1"/>
          <w:szCs w:val="22"/>
        </w:rPr>
        <w:t xml:space="preserve"> (by more than 50%), in all habitats. In the estuarine and reef meadows</w:t>
      </w:r>
      <w:r w:rsidR="006C492E" w:rsidRPr="00977C68">
        <w:rPr>
          <w:color w:val="000000" w:themeColor="text1"/>
          <w:szCs w:val="22"/>
        </w:rPr>
        <w:t>,</w:t>
      </w:r>
      <w:r w:rsidR="008703EA">
        <w:rPr>
          <w:color w:val="000000" w:themeColor="text1"/>
          <w:szCs w:val="22"/>
        </w:rPr>
        <w:t xml:space="preserve"> the reduction in extent</w:t>
      </w:r>
      <w:r w:rsidR="00977C68" w:rsidRPr="00977C68">
        <w:rPr>
          <w:color w:val="000000" w:themeColor="text1"/>
          <w:szCs w:val="22"/>
        </w:rPr>
        <w:t xml:space="preserve"> </w:t>
      </w:r>
      <w:r w:rsidR="008703EA">
        <w:rPr>
          <w:color w:val="000000" w:themeColor="text1"/>
          <w:szCs w:val="22"/>
        </w:rPr>
        <w:t>appears to be the results of</w:t>
      </w:r>
      <w:r w:rsidR="00977C68" w:rsidRPr="00977C68">
        <w:rPr>
          <w:color w:val="000000" w:themeColor="text1"/>
          <w:szCs w:val="22"/>
        </w:rPr>
        <w:t xml:space="preserve"> th</w:t>
      </w:r>
      <w:r w:rsidR="008703EA">
        <w:rPr>
          <w:color w:val="000000" w:themeColor="text1"/>
          <w:szCs w:val="22"/>
        </w:rPr>
        <w:t>e destructive effects of TC Debbie. However</w:t>
      </w:r>
      <w:r w:rsidR="00977C68" w:rsidRPr="00977C68">
        <w:rPr>
          <w:color w:val="000000" w:themeColor="text1"/>
          <w:szCs w:val="22"/>
        </w:rPr>
        <w:t xml:space="preserve"> in the coastal meadows, spatial extent was reduced prior to the cyclone</w:t>
      </w:r>
      <w:r w:rsidR="005132EF" w:rsidRPr="00977C68">
        <w:rPr>
          <w:color w:val="000000" w:themeColor="text1"/>
          <w:szCs w:val="22"/>
        </w:rPr>
        <w:t xml:space="preserve"> </w:t>
      </w:r>
      <w:r w:rsidR="008703EA">
        <w:rPr>
          <w:color w:val="000000" w:themeColor="text1"/>
          <w:szCs w:val="22"/>
        </w:rPr>
        <w:t xml:space="preserve">and the cause is uknown </w:t>
      </w:r>
      <w:r w:rsidR="005132EF" w:rsidRPr="00977C68">
        <w:rPr>
          <w:color w:val="000000" w:themeColor="text1"/>
          <w:szCs w:val="22"/>
        </w:rPr>
        <w:t>(</w:t>
      </w:r>
      <w:r w:rsidR="00766670" w:rsidRPr="00977C68">
        <w:rPr>
          <w:color w:val="000000" w:themeColor="text1"/>
          <w:szCs w:val="22"/>
        </w:rPr>
        <w:fldChar w:fldCharType="begin"/>
      </w:r>
      <w:r w:rsidR="00766670" w:rsidRPr="00977C68">
        <w:rPr>
          <w:color w:val="000000" w:themeColor="text1"/>
          <w:szCs w:val="22"/>
        </w:rPr>
        <w:instrText xml:space="preserve"> REF _Ref348961776 \h </w:instrText>
      </w:r>
      <w:r w:rsidR="00015190" w:rsidRPr="00977C68">
        <w:rPr>
          <w:color w:val="000000" w:themeColor="text1"/>
          <w:szCs w:val="22"/>
        </w:rPr>
        <w:instrText xml:space="preserve"> \* MERGEFORMAT </w:instrText>
      </w:r>
      <w:r w:rsidR="00766670" w:rsidRPr="00977C68">
        <w:rPr>
          <w:color w:val="000000" w:themeColor="text1"/>
          <w:szCs w:val="22"/>
        </w:rPr>
      </w:r>
      <w:r w:rsidR="00766670" w:rsidRPr="00977C68">
        <w:rPr>
          <w:color w:val="000000" w:themeColor="text1"/>
          <w:szCs w:val="22"/>
        </w:rPr>
        <w:fldChar w:fldCharType="separate"/>
      </w:r>
      <w:r w:rsidR="00F87DF9" w:rsidRPr="00F87DF9">
        <w:rPr>
          <w:color w:val="000000" w:themeColor="text1"/>
          <w:szCs w:val="22"/>
        </w:rPr>
        <w:t xml:space="preserve">Figure </w:t>
      </w:r>
      <w:r w:rsidR="00F87DF9" w:rsidRPr="00F87DF9">
        <w:rPr>
          <w:noProof/>
          <w:color w:val="000000" w:themeColor="text1"/>
          <w:szCs w:val="22"/>
        </w:rPr>
        <w:t>87</w:t>
      </w:r>
      <w:r w:rsidR="00766670" w:rsidRPr="00977C68">
        <w:rPr>
          <w:color w:val="000000" w:themeColor="text1"/>
          <w:szCs w:val="22"/>
        </w:rPr>
        <w:fldChar w:fldCharType="end"/>
      </w:r>
      <w:r w:rsidR="005132EF" w:rsidRPr="00977C68">
        <w:rPr>
          <w:color w:val="000000" w:themeColor="text1"/>
          <w:szCs w:val="22"/>
        </w:rPr>
        <w:t xml:space="preserve">). </w:t>
      </w:r>
    </w:p>
    <w:p w14:paraId="74EF6455" w14:textId="77777777" w:rsidR="00C31BE9" w:rsidRPr="00C31BE9" w:rsidRDefault="004E43E3" w:rsidP="00C31BE9">
      <w:pPr>
        <w:spacing w:before="240"/>
        <w:jc w:val="center"/>
        <w:rPr>
          <w:szCs w:val="22"/>
        </w:rPr>
      </w:pPr>
      <w:r>
        <w:rPr>
          <w:noProof/>
          <w:szCs w:val="22"/>
          <w:lang w:eastAsia="en-AU"/>
        </w:rPr>
        <w:drawing>
          <wp:inline distT="0" distB="0" distL="0" distR="0" wp14:anchorId="1646DD37" wp14:editId="66AED599">
            <wp:extent cx="4320000" cy="1804256"/>
            <wp:effectExtent l="0" t="0" r="4445" b="5715"/>
            <wp:docPr id="528" name="Picture 528" descr="Line graph showing spatial extent of seagrass meadows within a 100m radius of monitoring sites for each habitat and monitoring period across the Mackay Whitsunda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 name="MW_extent_avg_2016.png"/>
                    <pic:cNvPicPr/>
                  </pic:nvPicPr>
                  <pic:blipFill>
                    <a:blip r:embed="rId125">
                      <a:extLst>
                        <a:ext uri="{28A0092B-C50C-407E-A947-70E740481C1C}">
                          <a14:useLocalDpi xmlns:a14="http://schemas.microsoft.com/office/drawing/2010/main" val="0"/>
                        </a:ext>
                      </a:extLst>
                    </a:blip>
                    <a:stretch>
                      <a:fillRect/>
                    </a:stretch>
                  </pic:blipFill>
                  <pic:spPr>
                    <a:xfrm>
                      <a:off x="0" y="0"/>
                      <a:ext cx="4320000" cy="1804256"/>
                    </a:xfrm>
                    <a:prstGeom prst="rect">
                      <a:avLst/>
                    </a:prstGeom>
                  </pic:spPr>
                </pic:pic>
              </a:graphicData>
            </a:graphic>
          </wp:inline>
        </w:drawing>
      </w:r>
    </w:p>
    <w:p w14:paraId="1EE90C96" w14:textId="1903BA86" w:rsidR="008C4B1E" w:rsidRDefault="005132EF" w:rsidP="008C4B1E">
      <w:pPr>
        <w:rPr>
          <w:i/>
          <w:color w:val="000000"/>
          <w:szCs w:val="22"/>
        </w:rPr>
      </w:pPr>
      <w:bookmarkStart w:id="480" w:name="_Ref348961776"/>
      <w:bookmarkStart w:id="481" w:name="_Toc431493875"/>
      <w:bookmarkStart w:id="482" w:name="_Toc516053297"/>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87</w:t>
      </w:r>
      <w:r w:rsidR="0073595B">
        <w:rPr>
          <w:color w:val="000000"/>
          <w:szCs w:val="22"/>
        </w:rPr>
        <w:fldChar w:fldCharType="end"/>
      </w:r>
      <w:bookmarkEnd w:id="480"/>
      <w:r w:rsidRPr="005373CC">
        <w:rPr>
          <w:color w:val="000000"/>
          <w:szCs w:val="22"/>
        </w:rPr>
        <w:t>.</w:t>
      </w:r>
      <w:r w:rsidRPr="005373CC">
        <w:rPr>
          <w:i/>
          <w:color w:val="000000"/>
          <w:szCs w:val="22"/>
        </w:rPr>
        <w:t xml:space="preserve"> </w:t>
      </w:r>
      <w:r w:rsidR="008C4B1E" w:rsidRPr="005373CC">
        <w:rPr>
          <w:i/>
          <w:color w:val="000000"/>
          <w:szCs w:val="22"/>
        </w:rPr>
        <w:t xml:space="preserve">Change in spatial extent of seagrass meadows within monitoring sites for each </w:t>
      </w:r>
      <w:r w:rsidR="006341F9" w:rsidRPr="005373CC">
        <w:rPr>
          <w:i/>
          <w:color w:val="000000"/>
          <w:szCs w:val="22"/>
        </w:rPr>
        <w:t xml:space="preserve">inshore intertidal </w:t>
      </w:r>
      <w:r w:rsidR="008C4B1E" w:rsidRPr="005373CC">
        <w:rPr>
          <w:i/>
          <w:color w:val="000000"/>
          <w:szCs w:val="22"/>
        </w:rPr>
        <w:t>habitat and monitoring period across the Mackay Whitsunday NRM region.</w:t>
      </w:r>
      <w:bookmarkEnd w:id="481"/>
      <w:bookmarkEnd w:id="482"/>
    </w:p>
    <w:p w14:paraId="6D94AC22" w14:textId="14F26995" w:rsidR="00B75584" w:rsidRPr="00840C4A" w:rsidRDefault="00B75584" w:rsidP="00B75584">
      <w:pPr>
        <w:rPr>
          <w:rFonts w:eastAsiaTheme="minorHAnsi" w:cs="Calibri"/>
          <w:color w:val="000000" w:themeColor="text1"/>
          <w:szCs w:val="22"/>
        </w:rPr>
      </w:pPr>
      <w:r w:rsidRPr="0075107B">
        <w:rPr>
          <w:color w:val="000000" w:themeColor="text1"/>
          <w:szCs w:val="22"/>
          <w:lang w:val="en-GB" w:eastAsia="en-AU"/>
        </w:rPr>
        <w:t xml:space="preserve">Apart from the MMP, seagrass monitoring within the Mackay Whitsunday NRM region is also conducted as part of the Queensland Ports Seagrass Monitoring Program (QPSMP) </w:t>
      </w:r>
      <w:r w:rsidRPr="0075107B">
        <w:rPr>
          <w:color w:val="000000" w:themeColor="text1"/>
          <w:szCs w:val="22"/>
          <w:lang w:val="en-GB"/>
        </w:rPr>
        <w:t>in places where cumulative anthropogenic impacts to seagrass are highest</w:t>
      </w:r>
      <w:r w:rsidRPr="0075107B">
        <w:rPr>
          <w:color w:val="000000" w:themeColor="text1"/>
          <w:szCs w:val="22"/>
          <w:lang w:val="en-GB" w:eastAsia="en-AU"/>
        </w:rPr>
        <w:t>. Annual monitoring in October 201</w:t>
      </w:r>
      <w:r w:rsidR="002568CA">
        <w:rPr>
          <w:color w:val="000000" w:themeColor="text1"/>
          <w:szCs w:val="22"/>
          <w:lang w:val="en-GB" w:eastAsia="en-AU"/>
        </w:rPr>
        <w:t>6</w:t>
      </w:r>
      <w:r w:rsidRPr="0075107B">
        <w:rPr>
          <w:color w:val="000000" w:themeColor="text1"/>
          <w:szCs w:val="22"/>
          <w:lang w:val="en-GB" w:eastAsia="en-AU"/>
        </w:rPr>
        <w:t xml:space="preserve"> of </w:t>
      </w:r>
      <w:r w:rsidRPr="0075107B">
        <w:rPr>
          <w:color w:val="000000" w:themeColor="text1"/>
          <w:szCs w:val="22"/>
        </w:rPr>
        <w:t xml:space="preserve">five offshore monitoring areas between Mackay and Hay Point, an inshore region between Dudgeon Point and Hay Point, and two subtidal meadows at the Keswick Island group for North Queensland </w:t>
      </w:r>
      <w:r w:rsidRPr="002568CA">
        <w:rPr>
          <w:szCs w:val="22"/>
        </w:rPr>
        <w:t xml:space="preserve">Bulk Ports </w:t>
      </w:r>
      <w:r w:rsidRPr="002568CA">
        <w:rPr>
          <w:szCs w:val="22"/>
          <w:lang w:val="en-GB" w:eastAsia="en-AU"/>
        </w:rPr>
        <w:t xml:space="preserve">reported </w:t>
      </w:r>
      <w:r w:rsidRPr="002568CA">
        <w:rPr>
          <w:szCs w:val="22"/>
        </w:rPr>
        <w:t>a</w:t>
      </w:r>
      <w:r w:rsidR="00CB2B0C" w:rsidRPr="002568CA">
        <w:rPr>
          <w:szCs w:val="22"/>
        </w:rPr>
        <w:t xml:space="preserve"> substantial decline in condition October/November 2016 (i.e. before TC Debbie) </w:t>
      </w:r>
      <w:r w:rsidR="0075107B" w:rsidRPr="002568CA">
        <w:rPr>
          <w:szCs w:val="22"/>
        </w:rPr>
        <w:t>(</w:t>
      </w:r>
      <w:hyperlink w:anchor="_ENREF_147" w:tooltip="McKenna, 2017  #11465" w:history="1">
        <w:r w:rsidR="00305FE7" w:rsidRPr="002568CA">
          <w:rPr>
            <w:szCs w:val="22"/>
          </w:rPr>
          <w:fldChar w:fldCharType="begin"/>
        </w:r>
        <w:r w:rsidR="00305FE7" w:rsidRPr="002568CA">
          <w:rPr>
            <w:szCs w:val="22"/>
          </w:rPr>
          <w:instrText xml:space="preserve"> ADDIN EN.CITE &lt;EndNote&gt;&lt;Cite&gt;&lt;Author&gt;McKenna&lt;/Author&gt;&lt;Year&gt;2017&lt;/Year&gt;&lt;RecNum&gt;11465&lt;/RecNum&gt;&lt;DisplayText&gt;McKenna and Rasheed 2017 &lt;/DisplayText&gt;&lt;record&gt;&lt;rec-number&gt;11465&lt;/rec-number&gt;&lt;foreign-keys&gt;&lt;key app="EN" db-id="0eve55x9y5vfd6e9dacxtew4eatve2dzds9a" timestamp="1523399769"&gt;11465&lt;/key&gt;&lt;/foreign-keys&gt;&lt;ref-type name="Book"&gt;6&lt;/ref-type&gt;&lt;contributors&gt;&lt;authors&gt;&lt;author&gt;McKenna, S A&lt;/author&gt;&lt;author&gt;Rasheed, MA&lt;/author&gt;&lt;/authors&gt;&lt;/contributors&gt;&lt;titles&gt;&lt;title&gt;Annual seagrass monitoring in the Mackay-Hay Point Region 2016&lt;/title&gt;&lt;/titles&gt;&lt;dates&gt;&lt;year&gt;2017 &lt;/year&gt;&lt;/dates&gt;&lt;pub-location&gt;Cains&lt;/pub-location&gt;&lt;publisher&gt;Centre for Tropical Water &amp;amp; Aquatic Ecosystem Research (TropWATER), James Cook University&lt;/publisher&gt;&lt;urls&gt;&lt;/urls&gt;&lt;/record&gt;&lt;/Cite&gt;&lt;/EndNote&gt;</w:instrText>
        </w:r>
        <w:r w:rsidR="00305FE7" w:rsidRPr="002568CA">
          <w:rPr>
            <w:szCs w:val="22"/>
          </w:rPr>
          <w:fldChar w:fldCharType="separate"/>
        </w:r>
        <w:r w:rsidR="00305FE7" w:rsidRPr="002568CA">
          <w:rPr>
            <w:noProof/>
            <w:szCs w:val="22"/>
          </w:rPr>
          <w:t xml:space="preserve">McKenna and Rasheed 2017 </w:t>
        </w:r>
        <w:r w:rsidR="00305FE7" w:rsidRPr="002568CA">
          <w:rPr>
            <w:szCs w:val="22"/>
          </w:rPr>
          <w:fldChar w:fldCharType="end"/>
        </w:r>
      </w:hyperlink>
      <w:r w:rsidR="0075107B" w:rsidRPr="002568CA">
        <w:rPr>
          <w:szCs w:val="22"/>
        </w:rPr>
        <w:t>)</w:t>
      </w:r>
      <w:r w:rsidRPr="002568CA">
        <w:rPr>
          <w:szCs w:val="22"/>
        </w:rPr>
        <w:t xml:space="preserve">. </w:t>
      </w:r>
      <w:r w:rsidR="00CB2B0C" w:rsidRPr="002568CA">
        <w:rPr>
          <w:szCs w:val="22"/>
        </w:rPr>
        <w:t>Above-ground biomass (visually estimated from boat based CCTV) was significantly reduced in 2016 compared to 2015, and was only found in one out of 12 monitoring blocks</w:t>
      </w:r>
      <w:r w:rsidR="00752D5C" w:rsidRPr="002568CA">
        <w:rPr>
          <w:szCs w:val="22"/>
        </w:rPr>
        <w:t xml:space="preserve"> at Hay Point</w:t>
      </w:r>
      <w:r w:rsidR="00CB2B0C" w:rsidRPr="002568CA">
        <w:rPr>
          <w:szCs w:val="22"/>
        </w:rPr>
        <w:t xml:space="preserve"> (</w:t>
      </w:r>
      <w:r w:rsidR="00B26D25" w:rsidRPr="002568CA">
        <w:rPr>
          <w:szCs w:val="22"/>
        </w:rPr>
        <w:fldChar w:fldCharType="begin"/>
      </w:r>
      <w:r w:rsidR="00B26D25" w:rsidRPr="002568CA">
        <w:rPr>
          <w:szCs w:val="22"/>
        </w:rPr>
        <w:instrText xml:space="preserve"> REF _Ref469924268 \h </w:instrText>
      </w:r>
      <w:r w:rsidR="00B26D25" w:rsidRPr="002568CA">
        <w:rPr>
          <w:szCs w:val="22"/>
        </w:rPr>
      </w:r>
      <w:r w:rsidR="00B26D25" w:rsidRPr="002568CA">
        <w:rPr>
          <w:szCs w:val="22"/>
        </w:rPr>
        <w:fldChar w:fldCharType="separate"/>
      </w:r>
      <w:r w:rsidR="00F87DF9">
        <w:t xml:space="preserve">Figure </w:t>
      </w:r>
      <w:r w:rsidR="00F87DF9">
        <w:rPr>
          <w:noProof/>
        </w:rPr>
        <w:t>88</w:t>
      </w:r>
      <w:r w:rsidR="00B26D25" w:rsidRPr="002568CA">
        <w:rPr>
          <w:szCs w:val="22"/>
        </w:rPr>
        <w:fldChar w:fldCharType="end"/>
      </w:r>
      <w:r w:rsidR="00CB2B0C" w:rsidRPr="002568CA">
        <w:rPr>
          <w:szCs w:val="22"/>
        </w:rPr>
        <w:t xml:space="preserve">). </w:t>
      </w:r>
      <w:r w:rsidR="00752D5C" w:rsidRPr="002568CA">
        <w:rPr>
          <w:szCs w:val="22"/>
        </w:rPr>
        <w:t xml:space="preserve">Similarly, </w:t>
      </w:r>
      <w:r w:rsidR="002568CA">
        <w:rPr>
          <w:szCs w:val="22"/>
        </w:rPr>
        <w:t xml:space="preserve">visually estimated </w:t>
      </w:r>
      <w:r w:rsidR="00752D5C" w:rsidRPr="002568CA">
        <w:rPr>
          <w:szCs w:val="22"/>
        </w:rPr>
        <w:t xml:space="preserve">biomass of the deepwater meadow near the </w:t>
      </w:r>
      <w:r w:rsidR="00752D5C" w:rsidRPr="00752D5C">
        <w:rPr>
          <w:color w:val="000000" w:themeColor="text1"/>
          <w:szCs w:val="22"/>
        </w:rPr>
        <w:t>Mackay Marina was half the previous reporting year, but only two years of data are available for comparison (</w:t>
      </w:r>
      <w:hyperlink w:anchor="_ENREF_147" w:tooltip="McKenna, 2017  #11465" w:history="1">
        <w:r w:rsidR="00305FE7">
          <w:rPr>
            <w:color w:val="000000" w:themeColor="text1"/>
            <w:szCs w:val="22"/>
          </w:rPr>
          <w:fldChar w:fldCharType="begin"/>
        </w:r>
        <w:r w:rsidR="00305FE7">
          <w:rPr>
            <w:color w:val="000000" w:themeColor="text1"/>
            <w:szCs w:val="22"/>
          </w:rPr>
          <w:instrText xml:space="preserve"> ADDIN EN.CITE &lt;EndNote&gt;&lt;Cite&gt;&lt;Author&gt;McKenna&lt;/Author&gt;&lt;Year&gt;2017&lt;/Year&gt;&lt;RecNum&gt;11465&lt;/RecNum&gt;&lt;DisplayText&gt;McKenna and Rasheed 2017 &lt;/DisplayText&gt;&lt;record&gt;&lt;rec-number&gt;11465&lt;/rec-number&gt;&lt;foreign-keys&gt;&lt;key app="EN" db-id="0eve55x9y5vfd6e9dacxtew4eatve2dzds9a" timestamp="1523399769"&gt;11465&lt;/key&gt;&lt;/foreign-keys&gt;&lt;ref-type name="Book"&gt;6&lt;/ref-type&gt;&lt;contributors&gt;&lt;authors&gt;&lt;author&gt;McKenna, S A&lt;/author&gt;&lt;author&gt;Rasheed, MA&lt;/author&gt;&lt;/authors&gt;&lt;/contributors&gt;&lt;titles&gt;&lt;title&gt;Annual seagrass monitoring in the Mackay-Hay Point Region 2016&lt;/title&gt;&lt;/titles&gt;&lt;dates&gt;&lt;year&gt;2017 &lt;/year&gt;&lt;/dates&gt;&lt;pub-location&gt;Cains&lt;/pub-location&gt;&lt;publisher&gt;Centre for Tropical Water &amp;amp; Aquatic Ecosystem Research (TropWATER), James Cook University&lt;/publisher&gt;&lt;urls&gt;&lt;/urls&gt;&lt;/record&gt;&lt;/Cite&gt;&lt;/EndNote&gt;</w:instrText>
        </w:r>
        <w:r w:rsidR="00305FE7">
          <w:rPr>
            <w:color w:val="000000" w:themeColor="text1"/>
            <w:szCs w:val="22"/>
          </w:rPr>
          <w:fldChar w:fldCharType="separate"/>
        </w:r>
        <w:r w:rsidR="00305FE7">
          <w:rPr>
            <w:noProof/>
            <w:color w:val="000000" w:themeColor="text1"/>
            <w:szCs w:val="22"/>
          </w:rPr>
          <w:t xml:space="preserve">McKenna and Rasheed 2017 </w:t>
        </w:r>
        <w:r w:rsidR="00305FE7">
          <w:rPr>
            <w:color w:val="000000" w:themeColor="text1"/>
            <w:szCs w:val="22"/>
          </w:rPr>
          <w:fldChar w:fldCharType="end"/>
        </w:r>
      </w:hyperlink>
      <w:r w:rsidR="00752D5C" w:rsidRPr="00752D5C">
        <w:rPr>
          <w:color w:val="000000" w:themeColor="text1"/>
          <w:szCs w:val="22"/>
        </w:rPr>
        <w:t xml:space="preserve">). </w:t>
      </w:r>
      <w:r w:rsidR="002568CA">
        <w:rPr>
          <w:rFonts w:eastAsiaTheme="minorHAnsi" w:cs="Calibri"/>
          <w:color w:val="000000" w:themeColor="text1"/>
          <w:szCs w:val="22"/>
        </w:rPr>
        <w:t>T</w:t>
      </w:r>
      <w:r w:rsidRPr="00752D5C">
        <w:rPr>
          <w:rFonts w:eastAsiaTheme="minorHAnsi" w:cs="Calibri"/>
          <w:color w:val="000000" w:themeColor="text1"/>
          <w:szCs w:val="22"/>
        </w:rPr>
        <w:t>he</w:t>
      </w:r>
      <w:r w:rsidR="00752D5C" w:rsidRPr="00752D5C">
        <w:rPr>
          <w:rFonts w:eastAsiaTheme="minorHAnsi" w:cs="Calibri"/>
          <w:color w:val="000000" w:themeColor="text1"/>
          <w:szCs w:val="22"/>
        </w:rPr>
        <w:t xml:space="preserve">re was a </w:t>
      </w:r>
      <w:r w:rsidR="00752D5C" w:rsidRPr="00752D5C">
        <w:rPr>
          <w:color w:val="000000" w:themeColor="text1"/>
          <w:szCs w:val="22"/>
        </w:rPr>
        <w:t>minor and no</w:t>
      </w:r>
      <w:r w:rsidR="002568CA">
        <w:rPr>
          <w:color w:val="000000" w:themeColor="text1"/>
          <w:szCs w:val="22"/>
        </w:rPr>
        <w:t>n-</w:t>
      </w:r>
      <w:r w:rsidR="00752D5C" w:rsidRPr="00752D5C">
        <w:rPr>
          <w:color w:val="000000" w:themeColor="text1"/>
          <w:szCs w:val="22"/>
        </w:rPr>
        <w:t xml:space="preserve">significant </w:t>
      </w:r>
      <w:r w:rsidR="00752D5C" w:rsidRPr="00752D5C">
        <w:rPr>
          <w:color w:val="000000" w:themeColor="text1"/>
          <w:szCs w:val="22"/>
          <w:lang w:val="en-GB" w:eastAsia="en-AU"/>
        </w:rPr>
        <w:t xml:space="preserve">(i.e. estimates of reliability/mapping precision overlap between years) </w:t>
      </w:r>
      <w:r w:rsidR="00752D5C" w:rsidRPr="00752D5C">
        <w:rPr>
          <w:rFonts w:eastAsiaTheme="minorHAnsi" w:cs="Calibri"/>
          <w:color w:val="000000" w:themeColor="text1"/>
          <w:szCs w:val="22"/>
        </w:rPr>
        <w:t xml:space="preserve">decrease </w:t>
      </w:r>
      <w:r w:rsidRPr="00752D5C">
        <w:rPr>
          <w:color w:val="000000" w:themeColor="text1"/>
          <w:szCs w:val="22"/>
        </w:rPr>
        <w:t>in area of the small inshore seagrass meadows of Dalrymple Bay (between Hay Point and Dudgeon Point)</w:t>
      </w:r>
      <w:r w:rsidR="00752D5C" w:rsidRPr="00752D5C">
        <w:rPr>
          <w:color w:val="000000" w:themeColor="text1"/>
          <w:szCs w:val="22"/>
        </w:rPr>
        <w:t xml:space="preserve">, with no seagrass present in one of the monitoring meadows. </w:t>
      </w:r>
      <w:r w:rsidRPr="00752D5C">
        <w:rPr>
          <w:rFonts w:eastAsiaTheme="minorHAnsi" w:cs="Calibri"/>
          <w:color w:val="000000" w:themeColor="text1"/>
          <w:szCs w:val="22"/>
        </w:rPr>
        <w:t xml:space="preserve">In the Keswick Island group, the monitoring meadows were similar in extent, however abundances were </w:t>
      </w:r>
      <w:r w:rsidR="00752D5C" w:rsidRPr="00752D5C">
        <w:rPr>
          <w:rFonts w:eastAsiaTheme="minorHAnsi" w:cs="Calibri"/>
          <w:color w:val="000000" w:themeColor="text1"/>
          <w:szCs w:val="22"/>
        </w:rPr>
        <w:t>higher in 2016 relative to 2015</w:t>
      </w:r>
      <w:r w:rsidRPr="00752D5C">
        <w:rPr>
          <w:rFonts w:eastAsiaTheme="minorHAnsi" w:cs="Calibri"/>
          <w:color w:val="000000" w:themeColor="text1"/>
          <w:szCs w:val="22"/>
        </w:rPr>
        <w:t xml:space="preserve"> </w:t>
      </w:r>
      <w:r w:rsidR="00B67C2F" w:rsidRPr="00752D5C">
        <w:rPr>
          <w:color w:val="000000" w:themeColor="text1"/>
          <w:szCs w:val="22"/>
        </w:rPr>
        <w:t>(</w:t>
      </w:r>
      <w:hyperlink w:anchor="_ENREF_147" w:tooltip="McKenna, 2017  #11465" w:history="1">
        <w:r w:rsidR="00305FE7">
          <w:rPr>
            <w:color w:val="000000" w:themeColor="text1"/>
            <w:szCs w:val="22"/>
          </w:rPr>
          <w:fldChar w:fldCharType="begin"/>
        </w:r>
        <w:r w:rsidR="00305FE7">
          <w:rPr>
            <w:color w:val="000000" w:themeColor="text1"/>
            <w:szCs w:val="22"/>
          </w:rPr>
          <w:instrText xml:space="preserve"> ADDIN EN.CITE &lt;EndNote&gt;&lt;Cite&gt;&lt;Author&gt;McKenna&lt;/Author&gt;&lt;Year&gt;2017&lt;/Year&gt;&lt;RecNum&gt;11465&lt;/RecNum&gt;&lt;DisplayText&gt;McKenna and Rasheed 2017 &lt;/DisplayText&gt;&lt;record&gt;&lt;rec-number&gt;11465&lt;/rec-number&gt;&lt;foreign-keys&gt;&lt;key app="EN" db-id="0eve55x9y5vfd6e9dacxtew4eatve2dzds9a" timestamp="1523399769"&gt;11465&lt;/key&gt;&lt;/foreign-keys&gt;&lt;ref-type name="Book"&gt;6&lt;/ref-type&gt;&lt;contributors&gt;&lt;authors&gt;&lt;author&gt;McKenna, S A&lt;/author&gt;&lt;author&gt;Rasheed, MA&lt;/author&gt;&lt;/authors&gt;&lt;/contributors&gt;&lt;titles&gt;&lt;title&gt;Annual seagrass monitoring in the Mackay-Hay Point Region 2016&lt;/title&gt;&lt;/titles&gt;&lt;dates&gt;&lt;year&gt;2017 &lt;/year&gt;&lt;/dates&gt;&lt;pub-location&gt;Cains&lt;/pub-location&gt;&lt;publisher&gt;Centre for Tropical Water &amp;amp; Aquatic Ecosystem Research (TropWATER), James Cook University&lt;/publisher&gt;&lt;urls&gt;&lt;/urls&gt;&lt;/record&gt;&lt;/Cite&gt;&lt;/EndNote&gt;</w:instrText>
        </w:r>
        <w:r w:rsidR="00305FE7">
          <w:rPr>
            <w:color w:val="000000" w:themeColor="text1"/>
            <w:szCs w:val="22"/>
          </w:rPr>
          <w:fldChar w:fldCharType="separate"/>
        </w:r>
        <w:r w:rsidR="00305FE7">
          <w:rPr>
            <w:noProof/>
            <w:color w:val="000000" w:themeColor="text1"/>
            <w:szCs w:val="22"/>
          </w:rPr>
          <w:t xml:space="preserve">McKenna and Rasheed 2017 </w:t>
        </w:r>
        <w:r w:rsidR="00305FE7">
          <w:rPr>
            <w:color w:val="000000" w:themeColor="text1"/>
            <w:szCs w:val="22"/>
          </w:rPr>
          <w:fldChar w:fldCharType="end"/>
        </w:r>
      </w:hyperlink>
      <w:r w:rsidR="00B67C2F" w:rsidRPr="00752D5C">
        <w:rPr>
          <w:color w:val="000000" w:themeColor="text1"/>
          <w:szCs w:val="22"/>
        </w:rPr>
        <w:t>)</w:t>
      </w:r>
      <w:r w:rsidRPr="00752D5C">
        <w:rPr>
          <w:rFonts w:eastAsiaTheme="minorHAnsi" w:cs="Calibri"/>
          <w:color w:val="000000" w:themeColor="text1"/>
          <w:szCs w:val="22"/>
        </w:rPr>
        <w:t xml:space="preserve">. </w:t>
      </w:r>
      <w:r w:rsidR="00840C4A">
        <w:rPr>
          <w:rFonts w:eastAsiaTheme="minorHAnsi" w:cs="Calibri"/>
          <w:color w:val="000000" w:themeColor="text1"/>
          <w:szCs w:val="22"/>
        </w:rPr>
        <w:t>While annual rainfall was average for the year leading up to the 2016 surveys</w:t>
      </w:r>
      <w:r w:rsidR="00840C4A" w:rsidRPr="00840C4A">
        <w:rPr>
          <w:rFonts w:eastAsiaTheme="minorHAnsi" w:cs="Calibri"/>
          <w:color w:val="000000" w:themeColor="text1"/>
          <w:szCs w:val="22"/>
        </w:rPr>
        <w:t>, u</w:t>
      </w:r>
      <w:r w:rsidR="00752D5C" w:rsidRPr="00840C4A">
        <w:rPr>
          <w:rFonts w:eastAsiaTheme="minorHAnsi" w:cs="Calibri"/>
          <w:color w:val="000000" w:themeColor="text1"/>
          <w:szCs w:val="22"/>
        </w:rPr>
        <w:t xml:space="preserve">nusually </w:t>
      </w:r>
      <w:r w:rsidR="00840C4A" w:rsidRPr="00840C4A">
        <w:rPr>
          <w:rFonts w:eastAsiaTheme="minorHAnsi" w:cs="Calibri"/>
          <w:color w:val="000000" w:themeColor="text1"/>
          <w:szCs w:val="22"/>
        </w:rPr>
        <w:t>high rainfall and discharge in</w:t>
      </w:r>
      <w:r w:rsidR="00752D5C" w:rsidRPr="00840C4A">
        <w:rPr>
          <w:rFonts w:eastAsiaTheme="minorHAnsi" w:cs="Calibri"/>
          <w:color w:val="000000" w:themeColor="text1"/>
          <w:szCs w:val="22"/>
        </w:rPr>
        <w:t xml:space="preserve"> </w:t>
      </w:r>
      <w:r w:rsidR="00840C4A" w:rsidRPr="00840C4A">
        <w:rPr>
          <w:rFonts w:eastAsiaTheme="minorHAnsi" w:cs="Calibri"/>
          <w:color w:val="000000" w:themeColor="text1"/>
          <w:szCs w:val="22"/>
        </w:rPr>
        <w:t xml:space="preserve">winter and the early growth season when the ephemeral deepwater populations are establishing, is likely to have limited the recruitment success in 2016 </w:t>
      </w:r>
      <w:r w:rsidR="00B67C2F" w:rsidRPr="00752D5C">
        <w:rPr>
          <w:color w:val="000000" w:themeColor="text1"/>
          <w:szCs w:val="22"/>
        </w:rPr>
        <w:t>(</w:t>
      </w:r>
      <w:hyperlink w:anchor="_ENREF_147" w:tooltip="McKenna, 2017  #11465" w:history="1">
        <w:r w:rsidR="00305FE7">
          <w:rPr>
            <w:color w:val="000000" w:themeColor="text1"/>
            <w:szCs w:val="22"/>
          </w:rPr>
          <w:fldChar w:fldCharType="begin"/>
        </w:r>
        <w:r w:rsidR="00305FE7">
          <w:rPr>
            <w:color w:val="000000" w:themeColor="text1"/>
            <w:szCs w:val="22"/>
          </w:rPr>
          <w:instrText xml:space="preserve"> ADDIN EN.CITE &lt;EndNote&gt;&lt;Cite&gt;&lt;Author&gt;McKenna&lt;/Author&gt;&lt;Year&gt;2017&lt;/Year&gt;&lt;RecNum&gt;11465&lt;/RecNum&gt;&lt;DisplayText&gt;McKenna and Rasheed 2017 &lt;/DisplayText&gt;&lt;record&gt;&lt;rec-number&gt;11465&lt;/rec-number&gt;&lt;foreign-keys&gt;&lt;key app="EN" db-id="0eve55x9y5vfd6e9dacxtew4eatve2dzds9a" timestamp="1523399769"&gt;11465&lt;/key&gt;&lt;/foreign-keys&gt;&lt;ref-type name="Book"&gt;6&lt;/ref-type&gt;&lt;contributors&gt;&lt;authors&gt;&lt;author&gt;McKenna, S A&lt;/author&gt;&lt;author&gt;Rasheed, MA&lt;/author&gt;&lt;/authors&gt;&lt;/contributors&gt;&lt;titles&gt;&lt;title&gt;Annual seagrass monitoring in the Mackay-Hay Point Region 2016&lt;/title&gt;&lt;/titles&gt;&lt;dates&gt;&lt;year&gt;2017 &lt;/year&gt;&lt;/dates&gt;&lt;pub-location&gt;Cains&lt;/pub-location&gt;&lt;publisher&gt;Centre for Tropical Water &amp;amp; Aquatic Ecosystem Research (TropWATER), James Cook University&lt;/publisher&gt;&lt;urls&gt;&lt;/urls&gt;&lt;/record&gt;&lt;/Cite&gt;&lt;/EndNote&gt;</w:instrText>
        </w:r>
        <w:r w:rsidR="00305FE7">
          <w:rPr>
            <w:color w:val="000000" w:themeColor="text1"/>
            <w:szCs w:val="22"/>
          </w:rPr>
          <w:fldChar w:fldCharType="separate"/>
        </w:r>
        <w:r w:rsidR="00305FE7">
          <w:rPr>
            <w:noProof/>
            <w:color w:val="000000" w:themeColor="text1"/>
            <w:szCs w:val="22"/>
          </w:rPr>
          <w:t xml:space="preserve">McKenna and Rasheed 2017 </w:t>
        </w:r>
        <w:r w:rsidR="00305FE7">
          <w:rPr>
            <w:color w:val="000000" w:themeColor="text1"/>
            <w:szCs w:val="22"/>
          </w:rPr>
          <w:fldChar w:fldCharType="end"/>
        </w:r>
      </w:hyperlink>
      <w:r w:rsidR="00B67C2F" w:rsidRPr="00752D5C">
        <w:rPr>
          <w:color w:val="000000" w:themeColor="text1"/>
          <w:szCs w:val="22"/>
        </w:rPr>
        <w:t>)</w:t>
      </w:r>
      <w:r w:rsidRPr="00840C4A">
        <w:rPr>
          <w:rFonts w:eastAsiaTheme="minorHAnsi" w:cs="Calibri"/>
          <w:color w:val="000000" w:themeColor="text1"/>
          <w:szCs w:val="22"/>
        </w:rPr>
        <w:t>.</w:t>
      </w:r>
    </w:p>
    <w:p w14:paraId="36D868CA" w14:textId="01E3D789" w:rsidR="00F5099A" w:rsidRDefault="00F5099A" w:rsidP="00F5099A">
      <w:pPr>
        <w:jc w:val="center"/>
        <w:rPr>
          <w:rFonts w:eastAsiaTheme="minorHAnsi" w:cs="Calibri"/>
          <w:szCs w:val="22"/>
        </w:rPr>
      </w:pPr>
      <w:r>
        <w:rPr>
          <w:rFonts w:eastAsiaTheme="minorHAnsi" w:cs="Calibri"/>
          <w:noProof/>
          <w:szCs w:val="22"/>
          <w:lang w:eastAsia="en-AU"/>
        </w:rPr>
        <w:drawing>
          <wp:inline distT="0" distB="0" distL="0" distR="0" wp14:anchorId="1CD05CC4" wp14:editId="3530BC5B">
            <wp:extent cx="4541520" cy="3198254"/>
            <wp:effectExtent l="0" t="0" r="0" b="2540"/>
            <wp:docPr id="557" name="Picture 557" descr="Bar chart showing change in visually estimated above-ground biomass at Hay Point offshore monitoring sites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 name="Pages from Final - Port of Hay Point &amp; Mackay Annual Seagrass monitoring 2016.pdf"/>
                    <pic:cNvPicPr/>
                  </pic:nvPicPr>
                  <pic:blipFill>
                    <a:blip r:embed="rId126"/>
                    <a:stretch>
                      <a:fillRect/>
                    </a:stretch>
                  </pic:blipFill>
                  <pic:spPr>
                    <a:xfrm>
                      <a:off x="0" y="0"/>
                      <a:ext cx="4545566" cy="3201103"/>
                    </a:xfrm>
                    <a:prstGeom prst="rect">
                      <a:avLst/>
                    </a:prstGeom>
                  </pic:spPr>
                </pic:pic>
              </a:graphicData>
            </a:graphic>
          </wp:inline>
        </w:drawing>
      </w:r>
    </w:p>
    <w:p w14:paraId="3EC596E3" w14:textId="5B256C89" w:rsidR="00CC5D7F" w:rsidRPr="00F5099A" w:rsidRDefault="004A333E" w:rsidP="00CC5D7F">
      <w:pPr>
        <w:rPr>
          <w:vanish/>
          <w:color w:val="000000" w:themeColor="text1"/>
          <w:szCs w:val="22"/>
          <w:specVanish/>
        </w:rPr>
      </w:pPr>
      <w:bookmarkStart w:id="483" w:name="_Ref469924268"/>
      <w:bookmarkStart w:id="484" w:name="_Toc51605329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88</w:t>
      </w:r>
      <w:r w:rsidR="00C506C7">
        <w:rPr>
          <w:noProof/>
        </w:rPr>
        <w:fldChar w:fldCharType="end"/>
      </w:r>
      <w:bookmarkEnd w:id="483"/>
      <w:r>
        <w:t xml:space="preserve">. </w:t>
      </w:r>
      <w:r w:rsidR="00CC5D7F" w:rsidRPr="00CC5D7F">
        <w:rPr>
          <w:i/>
        </w:rPr>
        <w:t xml:space="preserve">Change in visually estimated above-ground biomass </w:t>
      </w:r>
      <w:r w:rsidR="00CC5D7F">
        <w:rPr>
          <w:i/>
        </w:rPr>
        <w:t>at H</w:t>
      </w:r>
      <w:r w:rsidR="00CC5D7F" w:rsidRPr="00CC5D7F">
        <w:rPr>
          <w:i/>
        </w:rPr>
        <w:t xml:space="preserve">ay Point offshore monitoring sites from 2005 to </w:t>
      </w:r>
      <w:r w:rsidR="00F5099A" w:rsidRPr="00F5099A">
        <w:rPr>
          <w:i/>
          <w:color w:val="000000" w:themeColor="text1"/>
        </w:rPr>
        <w:t>2016</w:t>
      </w:r>
      <w:bookmarkEnd w:id="484"/>
    </w:p>
    <w:p w14:paraId="3D3A49B9" w14:textId="6A8D27DB" w:rsidR="004A333E" w:rsidRPr="004A333E" w:rsidRDefault="00CC5D7F" w:rsidP="004A333E">
      <w:pPr>
        <w:pStyle w:val="Caption"/>
      </w:pPr>
      <w:r w:rsidRPr="00F5099A">
        <w:rPr>
          <w:i/>
          <w:color w:val="000000" w:themeColor="text1"/>
        </w:rPr>
        <w:t xml:space="preserve"> </w:t>
      </w:r>
      <w:r w:rsidRPr="00CC5D7F">
        <w:rPr>
          <w:i/>
        </w:rPr>
        <w:t>(from</w:t>
      </w:r>
      <w:r w:rsidR="00F5099A">
        <w:t xml:space="preserve"> </w:t>
      </w:r>
      <w:r w:rsidR="00B67C2F" w:rsidRPr="00752D5C">
        <w:rPr>
          <w:color w:val="000000" w:themeColor="text1"/>
          <w:szCs w:val="22"/>
        </w:rPr>
        <w:t>(</w:t>
      </w:r>
      <w:hyperlink w:anchor="_ENREF_147" w:tooltip="McKenna, 2017  #11465" w:history="1">
        <w:r w:rsidR="00305FE7">
          <w:rPr>
            <w:color w:val="000000" w:themeColor="text1"/>
            <w:szCs w:val="22"/>
          </w:rPr>
          <w:fldChar w:fldCharType="begin"/>
        </w:r>
        <w:r w:rsidR="00305FE7">
          <w:rPr>
            <w:color w:val="000000" w:themeColor="text1"/>
            <w:szCs w:val="22"/>
          </w:rPr>
          <w:instrText xml:space="preserve"> ADDIN EN.CITE &lt;EndNote&gt;&lt;Cite&gt;&lt;Author&gt;McKenna&lt;/Author&gt;&lt;Year&gt;2017&lt;/Year&gt;&lt;RecNum&gt;11465&lt;/RecNum&gt;&lt;DisplayText&gt;McKenna and Rasheed 2017 &lt;/DisplayText&gt;&lt;record&gt;&lt;rec-number&gt;11465&lt;/rec-number&gt;&lt;foreign-keys&gt;&lt;key app="EN" db-id="0eve55x9y5vfd6e9dacxtew4eatve2dzds9a" timestamp="1523399769"&gt;11465&lt;/key&gt;&lt;/foreign-keys&gt;&lt;ref-type name="Book"&gt;6&lt;/ref-type&gt;&lt;contributors&gt;&lt;authors&gt;&lt;author&gt;McKenna, S A&lt;/author&gt;&lt;author&gt;Rasheed, MA&lt;/author&gt;&lt;/authors&gt;&lt;/contributors&gt;&lt;titles&gt;&lt;title&gt;Annual seagrass monitoring in the Mackay-Hay Point Region 2016&lt;/title&gt;&lt;/titles&gt;&lt;dates&gt;&lt;year&gt;2017 &lt;/year&gt;&lt;/dates&gt;&lt;pub-location&gt;Cains&lt;/pub-location&gt;&lt;publisher&gt;Centre for Tropical Water &amp;amp; Aquatic Ecosystem Research (TropWATER), James Cook University&lt;/publisher&gt;&lt;urls&gt;&lt;/urls&gt;&lt;/record&gt;&lt;/Cite&gt;&lt;/EndNote&gt;</w:instrText>
        </w:r>
        <w:r w:rsidR="00305FE7">
          <w:rPr>
            <w:color w:val="000000" w:themeColor="text1"/>
            <w:szCs w:val="22"/>
          </w:rPr>
          <w:fldChar w:fldCharType="separate"/>
        </w:r>
        <w:r w:rsidR="00305FE7">
          <w:rPr>
            <w:noProof/>
            <w:color w:val="000000" w:themeColor="text1"/>
            <w:szCs w:val="22"/>
          </w:rPr>
          <w:t xml:space="preserve">McKenna and Rasheed 2017 </w:t>
        </w:r>
        <w:r w:rsidR="00305FE7">
          <w:rPr>
            <w:color w:val="000000" w:themeColor="text1"/>
            <w:szCs w:val="22"/>
          </w:rPr>
          <w:fldChar w:fldCharType="end"/>
        </w:r>
      </w:hyperlink>
      <w:r w:rsidR="00B67C2F" w:rsidRPr="00752D5C">
        <w:rPr>
          <w:color w:val="000000" w:themeColor="text1"/>
          <w:szCs w:val="22"/>
        </w:rPr>
        <w:t>)</w:t>
      </w:r>
      <w:r w:rsidR="00F5099A">
        <w:t>)</w:t>
      </w:r>
      <w:r w:rsidRPr="00CC5D7F">
        <w:rPr>
          <w:i/>
        </w:rPr>
        <w:t>. Error bars are SE for g DW m</w:t>
      </w:r>
      <w:r w:rsidRPr="00CC5D7F">
        <w:rPr>
          <w:i/>
          <w:vertAlign w:val="superscript"/>
        </w:rPr>
        <w:t>-2</w:t>
      </w:r>
      <w:r>
        <w:rPr>
          <w:i/>
        </w:rPr>
        <w:t>.</w:t>
      </w:r>
    </w:p>
    <w:p w14:paraId="002B0E16" w14:textId="77777777" w:rsidR="004A333E" w:rsidRPr="004A333E" w:rsidRDefault="004A333E" w:rsidP="005C0B31">
      <w:pPr>
        <w:spacing w:before="240"/>
      </w:pPr>
    </w:p>
    <w:p w14:paraId="0EC8073C" w14:textId="77777777" w:rsidR="005132EF" w:rsidRPr="004F2236" w:rsidRDefault="005132EF" w:rsidP="004F2236">
      <w:pPr>
        <w:pStyle w:val="Heading4"/>
        <w:numPr>
          <w:ilvl w:val="0"/>
          <w:numId w:val="0"/>
        </w:numPr>
        <w:rPr>
          <w:rFonts w:ascii="Arial" w:hAnsi="Arial" w:cs="Arial"/>
          <w:sz w:val="24"/>
          <w:szCs w:val="24"/>
        </w:rPr>
      </w:pPr>
      <w:bookmarkStart w:id="485" w:name="_Toc184102014"/>
      <w:r w:rsidRPr="004F2236">
        <w:rPr>
          <w:rFonts w:ascii="Arial" w:hAnsi="Arial" w:cs="Arial"/>
          <w:sz w:val="24"/>
          <w:szCs w:val="24"/>
        </w:rPr>
        <w:t>Seagrass reproductive status</w:t>
      </w:r>
      <w:bookmarkEnd w:id="485"/>
    </w:p>
    <w:p w14:paraId="2ACA46D7" w14:textId="69D8CE57" w:rsidR="00C31BE9" w:rsidRPr="00C40846" w:rsidRDefault="00C31BE9" w:rsidP="009D7E19">
      <w:pPr>
        <w:rPr>
          <w:color w:val="000000" w:themeColor="text1"/>
          <w:szCs w:val="22"/>
          <w:lang w:val="en-GB"/>
        </w:rPr>
      </w:pPr>
      <w:r w:rsidRPr="00FC0DC5">
        <w:rPr>
          <w:color w:val="000000" w:themeColor="text1"/>
          <w:szCs w:val="22"/>
          <w:lang w:val="en-GB"/>
        </w:rPr>
        <w:t>Reproductive effort was highly variable</w:t>
      </w:r>
      <w:r w:rsidR="00276135" w:rsidRPr="00FC0DC5">
        <w:rPr>
          <w:color w:val="000000" w:themeColor="text1"/>
          <w:szCs w:val="22"/>
          <w:lang w:val="en-GB"/>
        </w:rPr>
        <w:t xml:space="preserve"> and highly seasonal</w:t>
      </w:r>
      <w:r w:rsidRPr="00FC0DC5">
        <w:rPr>
          <w:color w:val="000000" w:themeColor="text1"/>
          <w:szCs w:val="22"/>
          <w:lang w:val="en-GB"/>
        </w:rPr>
        <w:t xml:space="preserve"> in the Mackay Whitsund</w:t>
      </w:r>
      <w:r w:rsidR="00276135" w:rsidRPr="00FC0DC5">
        <w:rPr>
          <w:color w:val="000000" w:themeColor="text1"/>
          <w:szCs w:val="22"/>
          <w:lang w:val="en-GB"/>
        </w:rPr>
        <w:t>ay region</w:t>
      </w:r>
      <w:r w:rsidR="008F1379" w:rsidRPr="00FC0DC5">
        <w:rPr>
          <w:color w:val="000000" w:themeColor="text1"/>
          <w:szCs w:val="22"/>
          <w:lang w:val="en-GB"/>
        </w:rPr>
        <w:t xml:space="preserve"> (</w:t>
      </w:r>
      <w:r w:rsidR="008F1379" w:rsidRPr="00FC0DC5">
        <w:rPr>
          <w:color w:val="000000" w:themeColor="text1"/>
          <w:szCs w:val="22"/>
          <w:lang w:val="en-GB"/>
        </w:rPr>
        <w:fldChar w:fldCharType="begin"/>
      </w:r>
      <w:r w:rsidR="008F1379" w:rsidRPr="00FC0DC5">
        <w:rPr>
          <w:color w:val="000000" w:themeColor="text1"/>
          <w:szCs w:val="22"/>
          <w:lang w:val="en-GB"/>
        </w:rPr>
        <w:instrText xml:space="preserve"> REF _Ref271532047 \h </w:instrText>
      </w:r>
      <w:r w:rsidR="008F1379" w:rsidRPr="00FC0DC5">
        <w:rPr>
          <w:color w:val="000000" w:themeColor="text1"/>
          <w:szCs w:val="22"/>
          <w:lang w:val="en-GB"/>
        </w:rPr>
      </w:r>
      <w:r w:rsidR="008F1379" w:rsidRPr="00FC0DC5">
        <w:rPr>
          <w:color w:val="000000" w:themeColor="text1"/>
          <w:szCs w:val="22"/>
          <w:lang w:val="en-GB"/>
        </w:rPr>
        <w:fldChar w:fldCharType="separate"/>
      </w:r>
      <w:r w:rsidR="00F87DF9" w:rsidRPr="00CA2B35">
        <w:rPr>
          <w:color w:val="000000"/>
        </w:rPr>
        <w:t xml:space="preserve">Figure </w:t>
      </w:r>
      <w:r w:rsidR="00F87DF9">
        <w:rPr>
          <w:noProof/>
          <w:color w:val="000000"/>
        </w:rPr>
        <w:t>89</w:t>
      </w:r>
      <w:r w:rsidR="008F1379" w:rsidRPr="00FC0DC5">
        <w:rPr>
          <w:color w:val="000000" w:themeColor="text1"/>
          <w:szCs w:val="22"/>
          <w:lang w:val="en-GB"/>
        </w:rPr>
        <w:fldChar w:fldCharType="end"/>
      </w:r>
      <w:r w:rsidR="008F1379" w:rsidRPr="00FC0DC5">
        <w:rPr>
          <w:color w:val="000000" w:themeColor="text1"/>
          <w:szCs w:val="22"/>
          <w:lang w:val="en-GB"/>
        </w:rPr>
        <w:t>)</w:t>
      </w:r>
      <w:r w:rsidRPr="00FC0DC5">
        <w:rPr>
          <w:color w:val="000000" w:themeColor="text1"/>
          <w:szCs w:val="22"/>
          <w:lang w:val="en-GB"/>
        </w:rPr>
        <w:t xml:space="preserve">. </w:t>
      </w:r>
      <w:r w:rsidR="00FC0DC5" w:rsidRPr="00FC0DC5">
        <w:rPr>
          <w:color w:val="000000" w:themeColor="text1"/>
          <w:szCs w:val="22"/>
          <w:lang w:val="en-GB"/>
        </w:rPr>
        <w:t xml:space="preserve">Reproductive effort remained elevated in coastal habitats, although the density of seeds in the seedbank declined in the late wet sampling of 2017 after TC Debbie, which may have been due to scouring of the seed bank. </w:t>
      </w:r>
      <w:r w:rsidR="00FC0DC5">
        <w:rPr>
          <w:color w:val="000000" w:themeColor="text1"/>
          <w:szCs w:val="22"/>
          <w:lang w:val="en-GB"/>
        </w:rPr>
        <w:t xml:space="preserve">At the estuary site (Sarina Inlet), the highest reproductive effort ever recorded, was observed in the late dry of 2016 but the seed bank remained unchanged relative to the previous year. </w:t>
      </w:r>
      <w:r w:rsidR="00CB3F9D" w:rsidRPr="00CB3F9D">
        <w:rPr>
          <w:color w:val="000000" w:themeColor="text1"/>
          <w:szCs w:val="22"/>
          <w:lang w:val="en-GB"/>
        </w:rPr>
        <w:t xml:space="preserve">In contrast, at the reef sites </w:t>
      </w:r>
      <w:r w:rsidR="00276135" w:rsidRPr="00CB3F9D">
        <w:rPr>
          <w:color w:val="000000" w:themeColor="text1"/>
          <w:szCs w:val="22"/>
          <w:lang w:val="en-GB"/>
        </w:rPr>
        <w:t xml:space="preserve">reproductive effort </w:t>
      </w:r>
      <w:r w:rsidR="00CB3F9D" w:rsidRPr="00CB3F9D">
        <w:rPr>
          <w:color w:val="000000" w:themeColor="text1"/>
          <w:szCs w:val="22"/>
          <w:lang w:val="en-GB"/>
        </w:rPr>
        <w:t>and the density of seeds in the seed bank remained very low i</w:t>
      </w:r>
      <w:r w:rsidR="00276135" w:rsidRPr="00CB3F9D">
        <w:rPr>
          <w:color w:val="000000" w:themeColor="text1"/>
          <w:szCs w:val="22"/>
          <w:lang w:val="en-GB"/>
        </w:rPr>
        <w:t xml:space="preserve">n </w:t>
      </w:r>
      <w:r w:rsidR="008574EC">
        <w:rPr>
          <w:color w:val="000000" w:themeColor="text1"/>
          <w:szCs w:val="22"/>
          <w:lang w:val="en-GB"/>
        </w:rPr>
        <w:t>2016–17</w:t>
      </w:r>
      <w:r w:rsidR="00CB3F9D" w:rsidRPr="00CB3F9D">
        <w:rPr>
          <w:color w:val="000000" w:themeColor="text1"/>
          <w:szCs w:val="22"/>
          <w:lang w:val="en-GB"/>
        </w:rPr>
        <w:t xml:space="preserve">, which is typical for </w:t>
      </w:r>
      <w:r w:rsidRPr="00CB3F9D">
        <w:rPr>
          <w:color w:val="000000" w:themeColor="text1"/>
          <w:szCs w:val="22"/>
          <w:lang w:val="en-GB"/>
        </w:rPr>
        <w:t xml:space="preserve">in </w:t>
      </w:r>
      <w:r w:rsidR="00CB3F9D" w:rsidRPr="00CB3F9D">
        <w:rPr>
          <w:color w:val="000000" w:themeColor="text1"/>
          <w:szCs w:val="22"/>
          <w:lang w:val="en-GB"/>
        </w:rPr>
        <w:t xml:space="preserve">the </w:t>
      </w:r>
      <w:r w:rsidRPr="00CB3F9D">
        <w:rPr>
          <w:color w:val="000000" w:themeColor="text1"/>
          <w:szCs w:val="22"/>
          <w:lang w:val="en-GB"/>
        </w:rPr>
        <w:t>reef habitat meadows</w:t>
      </w:r>
      <w:r w:rsidR="008F1379" w:rsidRPr="00CB3F9D">
        <w:rPr>
          <w:color w:val="000000" w:themeColor="text1"/>
          <w:szCs w:val="22"/>
          <w:lang w:val="en-GB"/>
        </w:rPr>
        <w:t xml:space="preserve"> (</w:t>
      </w:r>
      <w:r w:rsidR="008F1379" w:rsidRPr="00CB3F9D">
        <w:rPr>
          <w:color w:val="000000" w:themeColor="text1"/>
          <w:szCs w:val="22"/>
          <w:lang w:val="en-GB"/>
        </w:rPr>
        <w:fldChar w:fldCharType="begin"/>
      </w:r>
      <w:r w:rsidR="008F1379" w:rsidRPr="00CB3F9D">
        <w:rPr>
          <w:color w:val="000000" w:themeColor="text1"/>
          <w:szCs w:val="22"/>
          <w:lang w:val="en-GB"/>
        </w:rPr>
        <w:instrText xml:space="preserve"> REF _Ref271532047 \h </w:instrText>
      </w:r>
      <w:r w:rsidR="008F1379" w:rsidRPr="00CB3F9D">
        <w:rPr>
          <w:color w:val="000000" w:themeColor="text1"/>
          <w:szCs w:val="22"/>
          <w:lang w:val="en-GB"/>
        </w:rPr>
      </w:r>
      <w:r w:rsidR="008F1379" w:rsidRPr="00CB3F9D">
        <w:rPr>
          <w:color w:val="000000" w:themeColor="text1"/>
          <w:szCs w:val="22"/>
          <w:lang w:val="en-GB"/>
        </w:rPr>
        <w:fldChar w:fldCharType="separate"/>
      </w:r>
      <w:r w:rsidR="00F87DF9" w:rsidRPr="00CA2B35">
        <w:rPr>
          <w:color w:val="000000"/>
        </w:rPr>
        <w:t xml:space="preserve">Figure </w:t>
      </w:r>
      <w:r w:rsidR="00F87DF9">
        <w:rPr>
          <w:noProof/>
          <w:color w:val="000000"/>
        </w:rPr>
        <w:t>89</w:t>
      </w:r>
      <w:r w:rsidR="008F1379" w:rsidRPr="00CB3F9D">
        <w:rPr>
          <w:color w:val="000000" w:themeColor="text1"/>
          <w:szCs w:val="22"/>
          <w:lang w:val="en-GB"/>
        </w:rPr>
        <w:fldChar w:fldCharType="end"/>
      </w:r>
      <w:r w:rsidR="008F1379" w:rsidRPr="00CB3F9D">
        <w:rPr>
          <w:color w:val="000000" w:themeColor="text1"/>
          <w:szCs w:val="22"/>
          <w:lang w:val="en-GB"/>
        </w:rPr>
        <w:t>)</w:t>
      </w:r>
      <w:r w:rsidRPr="00CB3F9D">
        <w:rPr>
          <w:color w:val="000000" w:themeColor="text1"/>
          <w:szCs w:val="22"/>
          <w:lang w:val="en-GB"/>
        </w:rPr>
        <w:t xml:space="preserve">. The overall score for reproductive effort </w:t>
      </w:r>
      <w:r w:rsidR="00CB3F9D" w:rsidRPr="00CB3F9D">
        <w:rPr>
          <w:color w:val="000000" w:themeColor="text1"/>
          <w:szCs w:val="22"/>
          <w:lang w:val="en-GB"/>
        </w:rPr>
        <w:t xml:space="preserve">increased </w:t>
      </w:r>
      <w:r w:rsidR="00CB3F9D">
        <w:rPr>
          <w:color w:val="000000" w:themeColor="text1"/>
          <w:szCs w:val="22"/>
          <w:lang w:val="en-GB"/>
        </w:rPr>
        <w:t xml:space="preserve">slightly </w:t>
      </w:r>
      <w:r w:rsidR="00CB3F9D" w:rsidRPr="00CB3F9D">
        <w:rPr>
          <w:color w:val="000000" w:themeColor="text1"/>
          <w:szCs w:val="22"/>
          <w:lang w:val="en-GB"/>
        </w:rPr>
        <w:t>but remained</w:t>
      </w:r>
      <w:r w:rsidRPr="00CB3F9D">
        <w:rPr>
          <w:color w:val="000000" w:themeColor="text1"/>
          <w:szCs w:val="22"/>
          <w:lang w:val="en-GB"/>
        </w:rPr>
        <w:t xml:space="preserve"> poor</w:t>
      </w:r>
      <w:r w:rsidR="00276135" w:rsidRPr="00CB3F9D">
        <w:rPr>
          <w:color w:val="000000" w:themeColor="text1"/>
          <w:szCs w:val="22"/>
          <w:lang w:val="en-GB"/>
        </w:rPr>
        <w:t>, mostly due to conditions at the reef habitat</w:t>
      </w:r>
      <w:r w:rsidRPr="00CB3F9D">
        <w:rPr>
          <w:color w:val="000000" w:themeColor="text1"/>
          <w:szCs w:val="22"/>
          <w:lang w:val="en-GB"/>
        </w:rPr>
        <w:t>.</w:t>
      </w:r>
    </w:p>
    <w:p w14:paraId="2D0C773C" w14:textId="77777777" w:rsidR="00C31BE9" w:rsidRDefault="00C31BE9" w:rsidP="009D7E19">
      <w:pPr>
        <w:rPr>
          <w:color w:val="000000"/>
          <w:szCs w:val="22"/>
          <w:lang w:val="en-GB"/>
        </w:rPr>
      </w:pPr>
    </w:p>
    <w:p w14:paraId="52470FA3" w14:textId="77777777" w:rsidR="00C31BE9" w:rsidRPr="001F05B0" w:rsidRDefault="004E43E3" w:rsidP="009D7E19">
      <w:pPr>
        <w:rPr>
          <w:color w:val="000000"/>
          <w:szCs w:val="22"/>
          <w:lang w:val="en-GB"/>
        </w:rPr>
      </w:pPr>
      <w:r>
        <w:rPr>
          <w:noProof/>
          <w:color w:val="000000"/>
          <w:szCs w:val="22"/>
          <w:lang w:eastAsia="en-AU"/>
        </w:rPr>
        <w:drawing>
          <wp:inline distT="0" distB="0" distL="0" distR="0" wp14:anchorId="5D3CFD0E" wp14:editId="4261E3C5">
            <wp:extent cx="5699217" cy="1386205"/>
            <wp:effectExtent l="0" t="0" r="0" b="4445"/>
            <wp:docPr id="530" name="Picture 530" descr="Panel of three composite bar and scatter plot graphs showing seed banks (bars) and reproductive effort (dots) at inshore seagrass habitats in the Mackay Whitsunday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MW_repro16.png"/>
                    <pic:cNvPicPr/>
                  </pic:nvPicPr>
                  <pic:blipFill>
                    <a:blip r:embed="rId127">
                      <a:extLst>
                        <a:ext uri="{28A0092B-C50C-407E-A947-70E740481C1C}">
                          <a14:useLocalDpi xmlns:a14="http://schemas.microsoft.com/office/drawing/2010/main" val="0"/>
                        </a:ext>
                      </a:extLst>
                    </a:blip>
                    <a:stretch>
                      <a:fillRect/>
                    </a:stretch>
                  </pic:blipFill>
                  <pic:spPr>
                    <a:xfrm>
                      <a:off x="0" y="0"/>
                      <a:ext cx="5699217" cy="1386205"/>
                    </a:xfrm>
                    <a:prstGeom prst="rect">
                      <a:avLst/>
                    </a:prstGeom>
                  </pic:spPr>
                </pic:pic>
              </a:graphicData>
            </a:graphic>
          </wp:inline>
        </w:drawing>
      </w:r>
    </w:p>
    <w:p w14:paraId="0B2FCE10" w14:textId="02373C24" w:rsidR="006341F9" w:rsidRPr="00F02E39" w:rsidRDefault="005132EF" w:rsidP="006341F9">
      <w:pPr>
        <w:rPr>
          <w:i/>
          <w:vanish/>
          <w:szCs w:val="22"/>
          <w:specVanish/>
        </w:rPr>
      </w:pPr>
      <w:bookmarkStart w:id="486" w:name="_Ref271532047"/>
      <w:bookmarkStart w:id="487" w:name="_Toc431493876"/>
      <w:bookmarkStart w:id="488" w:name="_Toc516053299"/>
      <w:r w:rsidRPr="00CA2B35">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89</w:t>
      </w:r>
      <w:r w:rsidR="0073595B">
        <w:rPr>
          <w:color w:val="000000"/>
        </w:rPr>
        <w:fldChar w:fldCharType="end"/>
      </w:r>
      <w:bookmarkEnd w:id="486"/>
      <w:r w:rsidRPr="00CA2B35">
        <w:rPr>
          <w:color w:val="000000"/>
        </w:rPr>
        <w:t xml:space="preserve">. </w:t>
      </w:r>
      <w:r w:rsidR="006341F9" w:rsidRPr="00CA2B35">
        <w:rPr>
          <w:i/>
          <w:color w:val="000000"/>
        </w:rPr>
        <w:t xml:space="preserve">Seed bank and late dry season reproductive effort at inshore intertidal coast, estuary, and </w:t>
      </w:r>
      <w:r w:rsidR="006341F9" w:rsidRPr="00F02E39">
        <w:rPr>
          <w:i/>
        </w:rPr>
        <w:t xml:space="preserve">reef habitats in the </w:t>
      </w:r>
      <w:r w:rsidR="00E249FC" w:rsidRPr="00F02E39">
        <w:rPr>
          <w:i/>
        </w:rPr>
        <w:t xml:space="preserve">Mackay Whitsunday </w:t>
      </w:r>
      <w:r w:rsidR="006341F9" w:rsidRPr="00F02E39">
        <w:rPr>
          <w:i/>
        </w:rPr>
        <w:t>region, 2001 - 201</w:t>
      </w:r>
      <w:r w:rsidR="00F02E39" w:rsidRPr="00F02E39">
        <w:rPr>
          <w:i/>
        </w:rPr>
        <w:t>7</w:t>
      </w:r>
      <w:r w:rsidR="00E249FC" w:rsidRPr="00F02E39">
        <w:rPr>
          <w:i/>
        </w:rPr>
        <w:t>.</w:t>
      </w:r>
      <w:bookmarkEnd w:id="487"/>
      <w:bookmarkEnd w:id="488"/>
      <w:r w:rsidR="00E249FC" w:rsidRPr="00F02E39">
        <w:rPr>
          <w:i/>
        </w:rPr>
        <w:t xml:space="preserve"> </w:t>
      </w:r>
    </w:p>
    <w:p w14:paraId="748C68AC" w14:textId="14A198E9" w:rsidR="001F05B0" w:rsidRDefault="006341F9" w:rsidP="001F05B0">
      <w:pPr>
        <w:rPr>
          <w:lang w:val="en-GB"/>
        </w:rPr>
      </w:pPr>
      <w:r w:rsidRPr="00F02E39">
        <w:rPr>
          <w:i/>
        </w:rPr>
        <w:t xml:space="preserve">Seed bank presented as the total </w:t>
      </w:r>
      <w:r w:rsidRPr="00CA2B35">
        <w:rPr>
          <w:i/>
          <w:color w:val="000000"/>
        </w:rPr>
        <w:t>number of seeds per m</w:t>
      </w:r>
      <w:r w:rsidRPr="00CA2B35">
        <w:rPr>
          <w:i/>
          <w:color w:val="000000"/>
          <w:vertAlign w:val="superscript"/>
        </w:rPr>
        <w:t>2</w:t>
      </w:r>
      <w:r w:rsidRPr="00CA2B35">
        <w:rPr>
          <w:i/>
          <w:color w:val="000000"/>
        </w:rPr>
        <w:t xml:space="preserve"> sediment surface and late dry season reproductive effort presented as the average number of reproductive structures per core (species and sites pooled). </w:t>
      </w:r>
      <w:r w:rsidR="00E249FC" w:rsidRPr="00CA2B35">
        <w:rPr>
          <w:i/>
          <w:color w:val="000000"/>
        </w:rPr>
        <w:t>NB: Y-axis scale for seed banks differs between habitats.</w:t>
      </w:r>
      <w:r w:rsidRPr="00CA2B35">
        <w:rPr>
          <w:color w:val="000000"/>
        </w:rPr>
        <w:t xml:space="preserve"> </w:t>
      </w:r>
    </w:p>
    <w:p w14:paraId="49987403" w14:textId="1B37569C" w:rsidR="00BC4EC5" w:rsidRPr="00BD0604" w:rsidRDefault="00FF0A86" w:rsidP="00926892">
      <w:pPr>
        <w:pStyle w:val="Heading3"/>
        <w:numPr>
          <w:ilvl w:val="2"/>
          <w:numId w:val="9"/>
        </w:numPr>
        <w:rPr>
          <w:rFonts w:ascii="Arial" w:hAnsi="Arial" w:cs="Arial"/>
          <w:color w:val="000000"/>
        </w:rPr>
      </w:pPr>
      <w:bookmarkStart w:id="489" w:name="_Toc516053159"/>
      <w:r>
        <w:rPr>
          <w:rFonts w:ascii="Arial" w:hAnsi="Arial" w:cs="Arial"/>
          <w:color w:val="000000"/>
        </w:rPr>
        <w:t>Indicators of environmental condition</w:t>
      </w:r>
      <w:bookmarkEnd w:id="489"/>
    </w:p>
    <w:p w14:paraId="78A775B9" w14:textId="77777777" w:rsidR="005132EF" w:rsidRPr="004F2236" w:rsidRDefault="005132EF" w:rsidP="004F2236">
      <w:pPr>
        <w:pStyle w:val="Heading4"/>
        <w:numPr>
          <w:ilvl w:val="0"/>
          <w:numId w:val="0"/>
        </w:numPr>
        <w:rPr>
          <w:rFonts w:ascii="Arial" w:hAnsi="Arial" w:cs="Arial"/>
          <w:sz w:val="24"/>
          <w:szCs w:val="24"/>
        </w:rPr>
      </w:pPr>
      <w:bookmarkStart w:id="490" w:name="_Toc184102016"/>
      <w:r w:rsidRPr="004F2236">
        <w:rPr>
          <w:rFonts w:ascii="Arial" w:hAnsi="Arial" w:cs="Arial"/>
          <w:sz w:val="24"/>
          <w:szCs w:val="24"/>
        </w:rPr>
        <w:t>Seagrass tissue nutrients</w:t>
      </w:r>
      <w:bookmarkEnd w:id="490"/>
    </w:p>
    <w:p w14:paraId="4B5C23DB" w14:textId="508833DB" w:rsidR="00C31BE9" w:rsidRPr="006A6B0C" w:rsidRDefault="00C31BE9" w:rsidP="00034AD4">
      <w:pPr>
        <w:rPr>
          <w:rFonts w:cs="TimesNewRoman,Italic"/>
          <w:iCs/>
          <w:szCs w:val="22"/>
        </w:rPr>
      </w:pPr>
      <w:r w:rsidRPr="00B746BD">
        <w:rPr>
          <w:rFonts w:cs="TimesNewRoman,Italic"/>
          <w:iCs/>
          <w:color w:val="000000" w:themeColor="text1"/>
          <w:szCs w:val="22"/>
        </w:rPr>
        <w:t xml:space="preserve">Seagrass leaf molar C:N ratios were </w:t>
      </w:r>
      <w:r w:rsidR="00B746BD" w:rsidRPr="00B746BD">
        <w:rPr>
          <w:rFonts w:cs="TimesNewRoman,Italic"/>
          <w:iCs/>
          <w:color w:val="000000" w:themeColor="text1"/>
          <w:szCs w:val="22"/>
        </w:rPr>
        <w:t>unchanged compared</w:t>
      </w:r>
      <w:r w:rsidRPr="00B746BD">
        <w:rPr>
          <w:rFonts w:cs="TimesNewRoman,Italic"/>
          <w:iCs/>
          <w:color w:val="000000" w:themeColor="text1"/>
          <w:szCs w:val="22"/>
        </w:rPr>
        <w:t xml:space="preserve"> to the previous year</w:t>
      </w:r>
      <w:r w:rsidR="00B746BD" w:rsidRPr="00B746BD">
        <w:rPr>
          <w:rFonts w:cs="TimesNewRoman,Italic"/>
          <w:iCs/>
          <w:color w:val="000000" w:themeColor="text1"/>
          <w:szCs w:val="22"/>
        </w:rPr>
        <w:t>. C:N remained</w:t>
      </w:r>
      <w:r w:rsidR="00C40846" w:rsidRPr="00B746BD">
        <w:rPr>
          <w:rFonts w:cs="TimesNewRoman,Italic"/>
          <w:iCs/>
          <w:color w:val="000000" w:themeColor="text1"/>
          <w:szCs w:val="22"/>
        </w:rPr>
        <w:t xml:space="preserve"> </w:t>
      </w:r>
      <w:r w:rsidRPr="00B746BD">
        <w:rPr>
          <w:rFonts w:cs="TimesNewRoman,Italic"/>
          <w:iCs/>
          <w:color w:val="000000" w:themeColor="text1"/>
          <w:szCs w:val="22"/>
        </w:rPr>
        <w:t>below 20 (</w:t>
      </w:r>
      <w:r w:rsidR="007C6C8F" w:rsidRPr="00B746BD">
        <w:rPr>
          <w:rFonts w:cs="TimesNewRoman,Italic"/>
          <w:iCs/>
          <w:color w:val="000000" w:themeColor="text1"/>
          <w:szCs w:val="22"/>
        </w:rPr>
        <w:fldChar w:fldCharType="begin"/>
      </w:r>
      <w:r w:rsidR="007C6C8F" w:rsidRPr="00B746BD">
        <w:rPr>
          <w:rFonts w:cs="TimesNewRoman,Italic"/>
          <w:iCs/>
          <w:color w:val="000000" w:themeColor="text1"/>
          <w:szCs w:val="22"/>
        </w:rPr>
        <w:instrText xml:space="preserve"> REF _Ref271130459 \h </w:instrText>
      </w:r>
      <w:r w:rsidR="007C6C8F" w:rsidRPr="00B746BD">
        <w:rPr>
          <w:rFonts w:cs="TimesNewRoman,Italic"/>
          <w:iCs/>
          <w:color w:val="000000" w:themeColor="text1"/>
          <w:szCs w:val="22"/>
        </w:rPr>
      </w:r>
      <w:r w:rsidR="007C6C8F" w:rsidRPr="00B746BD">
        <w:rPr>
          <w:rFonts w:cs="TimesNewRoman,Italic"/>
          <w:iCs/>
          <w:color w:val="000000" w:themeColor="text1"/>
          <w:szCs w:val="22"/>
        </w:rPr>
        <w:fldChar w:fldCharType="separate"/>
      </w:r>
      <w:r w:rsidR="00F87DF9" w:rsidRPr="00372A66">
        <w:rPr>
          <w:color w:val="000000"/>
        </w:rPr>
        <w:t xml:space="preserve">Figure </w:t>
      </w:r>
      <w:r w:rsidR="00F87DF9">
        <w:rPr>
          <w:noProof/>
          <w:color w:val="000000"/>
        </w:rPr>
        <w:t>90</w:t>
      </w:r>
      <w:r w:rsidR="007C6C8F" w:rsidRPr="00B746BD">
        <w:rPr>
          <w:rFonts w:cs="TimesNewRoman,Italic"/>
          <w:iCs/>
          <w:color w:val="000000" w:themeColor="text1"/>
          <w:szCs w:val="22"/>
        </w:rPr>
        <w:fldChar w:fldCharType="end"/>
      </w:r>
      <w:r w:rsidRPr="00B746BD">
        <w:rPr>
          <w:rFonts w:cs="TimesNewRoman,Italic"/>
          <w:iCs/>
          <w:color w:val="000000" w:themeColor="text1"/>
          <w:szCs w:val="22"/>
        </w:rPr>
        <w:t xml:space="preserve">) </w:t>
      </w:r>
      <w:r w:rsidR="00C40846" w:rsidRPr="00B746BD">
        <w:rPr>
          <w:rFonts w:cs="TimesNewRoman,Italic"/>
          <w:iCs/>
          <w:color w:val="000000" w:themeColor="text1"/>
          <w:szCs w:val="22"/>
        </w:rPr>
        <w:t xml:space="preserve">at reef </w:t>
      </w:r>
      <w:r w:rsidR="00B746BD" w:rsidRPr="00B746BD">
        <w:rPr>
          <w:rFonts w:cs="TimesNewRoman,Italic"/>
          <w:iCs/>
          <w:color w:val="000000" w:themeColor="text1"/>
          <w:szCs w:val="22"/>
        </w:rPr>
        <w:t>and estuarine habitat indicating</w:t>
      </w:r>
      <w:r w:rsidRPr="00B746BD">
        <w:rPr>
          <w:rFonts w:cs="TimesNewRoman,Italic"/>
          <w:iCs/>
          <w:color w:val="000000" w:themeColor="text1"/>
          <w:szCs w:val="22"/>
        </w:rPr>
        <w:t xml:space="preserve"> a surplus of N relative to photosynthetic C incorporation. N:P ratios increased </w:t>
      </w:r>
      <w:r w:rsidR="00B746BD" w:rsidRPr="00B746BD">
        <w:rPr>
          <w:rFonts w:cs="TimesNewRoman,Italic"/>
          <w:iCs/>
          <w:color w:val="000000" w:themeColor="text1"/>
          <w:szCs w:val="22"/>
        </w:rPr>
        <w:t>in estuarine and coastal habitats</w:t>
      </w:r>
      <w:r w:rsidRPr="00B746BD">
        <w:rPr>
          <w:rFonts w:cs="TimesNewRoman,Italic"/>
          <w:iCs/>
          <w:color w:val="000000" w:themeColor="text1"/>
          <w:szCs w:val="22"/>
        </w:rPr>
        <w:t xml:space="preserve">, which indicates surplus availability of N </w:t>
      </w:r>
      <w:r w:rsidR="00B746BD" w:rsidRPr="00B746BD">
        <w:rPr>
          <w:rFonts w:cs="TimesNewRoman,Italic"/>
          <w:iCs/>
          <w:color w:val="000000" w:themeColor="text1"/>
          <w:szCs w:val="22"/>
        </w:rPr>
        <w:t>influencin</w:t>
      </w:r>
      <w:r w:rsidRPr="00B746BD">
        <w:rPr>
          <w:rFonts w:cs="TimesNewRoman,Italic"/>
          <w:iCs/>
          <w:color w:val="000000" w:themeColor="text1"/>
          <w:szCs w:val="22"/>
        </w:rPr>
        <w:t xml:space="preserve">g </w:t>
      </w:r>
      <w:r w:rsidR="00B746BD" w:rsidRPr="00B746BD">
        <w:rPr>
          <w:rFonts w:cs="TimesNewRoman,Italic"/>
          <w:iCs/>
          <w:color w:val="000000" w:themeColor="text1"/>
          <w:szCs w:val="22"/>
        </w:rPr>
        <w:t xml:space="preserve">the </w:t>
      </w:r>
      <w:r w:rsidRPr="00B746BD">
        <w:rPr>
          <w:rFonts w:cs="TimesNewRoman,Italic"/>
          <w:iCs/>
          <w:color w:val="000000" w:themeColor="text1"/>
          <w:szCs w:val="22"/>
        </w:rPr>
        <w:t xml:space="preserve">C:N </w:t>
      </w:r>
      <w:r w:rsidR="00B746BD" w:rsidRPr="00B746BD">
        <w:rPr>
          <w:rFonts w:cs="TimesNewRoman,Italic"/>
          <w:iCs/>
          <w:color w:val="000000" w:themeColor="text1"/>
          <w:szCs w:val="22"/>
        </w:rPr>
        <w:t xml:space="preserve">score </w:t>
      </w:r>
      <w:r w:rsidRPr="00B746BD">
        <w:rPr>
          <w:rFonts w:cs="TimesNewRoman,Italic"/>
          <w:iCs/>
          <w:color w:val="000000" w:themeColor="text1"/>
          <w:szCs w:val="22"/>
        </w:rPr>
        <w:t>(</w:t>
      </w:r>
      <w:r w:rsidR="007C6C8F" w:rsidRPr="00B746BD">
        <w:rPr>
          <w:rFonts w:cs="TimesNewRoman,Italic"/>
          <w:iCs/>
          <w:color w:val="000000" w:themeColor="text1"/>
          <w:szCs w:val="22"/>
        </w:rPr>
        <w:fldChar w:fldCharType="begin"/>
      </w:r>
      <w:r w:rsidR="007C6C8F" w:rsidRPr="00B746BD">
        <w:rPr>
          <w:rFonts w:cs="TimesNewRoman,Italic"/>
          <w:iCs/>
          <w:color w:val="000000" w:themeColor="text1"/>
          <w:szCs w:val="22"/>
        </w:rPr>
        <w:instrText xml:space="preserve"> REF _Ref236801440 \h </w:instrText>
      </w:r>
      <w:r w:rsidR="007C6C8F" w:rsidRPr="00B746BD">
        <w:rPr>
          <w:rFonts w:cs="TimesNewRoman,Italic"/>
          <w:iCs/>
          <w:color w:val="000000" w:themeColor="text1"/>
          <w:szCs w:val="22"/>
        </w:rPr>
      </w:r>
      <w:r w:rsidR="007C6C8F" w:rsidRPr="00B746BD">
        <w:rPr>
          <w:rFonts w:cs="TimesNewRoman,Italic"/>
          <w:iCs/>
          <w:color w:val="000000" w:themeColor="text1"/>
          <w:szCs w:val="22"/>
        </w:rPr>
        <w:fldChar w:fldCharType="separate"/>
      </w:r>
      <w:r w:rsidR="00F87DF9" w:rsidRPr="00372A66">
        <w:rPr>
          <w:color w:val="000000"/>
          <w:szCs w:val="22"/>
        </w:rPr>
        <w:t xml:space="preserve">Figure </w:t>
      </w:r>
      <w:r w:rsidR="00F87DF9">
        <w:rPr>
          <w:noProof/>
          <w:color w:val="000000"/>
          <w:szCs w:val="22"/>
        </w:rPr>
        <w:t>91</w:t>
      </w:r>
      <w:r w:rsidR="007C6C8F" w:rsidRPr="00B746BD">
        <w:rPr>
          <w:rFonts w:cs="TimesNewRoman,Italic"/>
          <w:iCs/>
          <w:color w:val="000000" w:themeColor="text1"/>
          <w:szCs w:val="22"/>
        </w:rPr>
        <w:fldChar w:fldCharType="end"/>
      </w:r>
      <w:r w:rsidRPr="00B746BD">
        <w:rPr>
          <w:rFonts w:cs="TimesNewRoman,Italic"/>
          <w:iCs/>
          <w:color w:val="000000" w:themeColor="text1"/>
          <w:szCs w:val="22"/>
        </w:rPr>
        <w:t>).</w:t>
      </w:r>
      <w:r w:rsidR="00C40846" w:rsidRPr="00B746BD">
        <w:rPr>
          <w:rFonts w:cs="TimesNewRoman,Italic"/>
          <w:iCs/>
          <w:color w:val="000000" w:themeColor="text1"/>
          <w:szCs w:val="22"/>
        </w:rPr>
        <w:t xml:space="preserve"> </w:t>
      </w:r>
    </w:p>
    <w:p w14:paraId="10F02CF8" w14:textId="77777777" w:rsidR="00C31BE9" w:rsidRPr="001C638D" w:rsidRDefault="004E43E3" w:rsidP="00353373">
      <w:pPr>
        <w:keepNext/>
        <w:widowControl w:val="0"/>
        <w:spacing w:after="0"/>
        <w:jc w:val="center"/>
        <w:rPr>
          <w:color w:val="000000"/>
          <w:szCs w:val="22"/>
        </w:rPr>
      </w:pPr>
      <w:r>
        <w:rPr>
          <w:noProof/>
          <w:color w:val="000000"/>
          <w:szCs w:val="22"/>
          <w:lang w:eastAsia="en-AU"/>
        </w:rPr>
        <w:drawing>
          <wp:inline distT="0" distB="0" distL="0" distR="0" wp14:anchorId="28B13F31" wp14:editId="31839C14">
            <wp:extent cx="5029944" cy="1548000"/>
            <wp:effectExtent l="0" t="0" r="0" b="0"/>
            <wp:docPr id="10144" name="Picture 10144" descr="Panel of three scatter plots with straight lines and markers showing elemental ratios (atomic) of seagrass leaf tissue C:N for the foundation species in inshore seagrass habitats in the Mackay Whitsunda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 name="MW_CN_yr_Dec16.png"/>
                    <pic:cNvPicPr/>
                  </pic:nvPicPr>
                  <pic:blipFill>
                    <a:blip r:embed="rId128">
                      <a:extLst>
                        <a:ext uri="{28A0092B-C50C-407E-A947-70E740481C1C}">
                          <a14:useLocalDpi xmlns:a14="http://schemas.microsoft.com/office/drawing/2010/main" val="0"/>
                        </a:ext>
                      </a:extLst>
                    </a:blip>
                    <a:stretch>
                      <a:fillRect/>
                    </a:stretch>
                  </pic:blipFill>
                  <pic:spPr>
                    <a:xfrm>
                      <a:off x="0" y="0"/>
                      <a:ext cx="5029944" cy="1548000"/>
                    </a:xfrm>
                    <a:prstGeom prst="rect">
                      <a:avLst/>
                    </a:prstGeom>
                  </pic:spPr>
                </pic:pic>
              </a:graphicData>
            </a:graphic>
          </wp:inline>
        </w:drawing>
      </w:r>
    </w:p>
    <w:p w14:paraId="68F9EE66" w14:textId="1F135B54" w:rsidR="006341F9" w:rsidRPr="00F02E39" w:rsidRDefault="005132EF" w:rsidP="006341F9">
      <w:pPr>
        <w:rPr>
          <w:i/>
          <w:vanish/>
          <w:szCs w:val="22"/>
          <w:specVanish/>
        </w:rPr>
      </w:pPr>
      <w:bookmarkStart w:id="491" w:name="_Ref271130459"/>
      <w:bookmarkStart w:id="492" w:name="_Ref410295244"/>
      <w:bookmarkStart w:id="493" w:name="_Toc431493878"/>
      <w:bookmarkStart w:id="494" w:name="_Toc516053300"/>
      <w:r w:rsidRPr="00372A6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90</w:t>
      </w:r>
      <w:r w:rsidR="0073595B">
        <w:rPr>
          <w:color w:val="000000"/>
        </w:rPr>
        <w:fldChar w:fldCharType="end"/>
      </w:r>
      <w:bookmarkEnd w:id="491"/>
      <w:bookmarkEnd w:id="492"/>
      <w:r w:rsidRPr="00372A66">
        <w:rPr>
          <w:color w:val="000000"/>
        </w:rPr>
        <w:t xml:space="preserve">. </w:t>
      </w:r>
      <w:r w:rsidRPr="00372A66">
        <w:rPr>
          <w:i/>
          <w:color w:val="000000"/>
          <w:lang w:eastAsia="en-AU"/>
        </w:rPr>
        <w:t xml:space="preserve">Elemental ratios (atomic) of seagrass leaf tissue C:N for </w:t>
      </w:r>
      <w:r w:rsidRPr="00372A66">
        <w:rPr>
          <w:i/>
          <w:color w:val="000000"/>
        </w:rPr>
        <w:t xml:space="preserve">the foundation seagrass species </w:t>
      </w:r>
      <w:r w:rsidRPr="00F02E39">
        <w:rPr>
          <w:i/>
        </w:rPr>
        <w:t xml:space="preserve">examined at </w:t>
      </w:r>
      <w:r w:rsidR="006341F9" w:rsidRPr="00F02E39">
        <w:rPr>
          <w:i/>
        </w:rPr>
        <w:t>inshore intertidal</w:t>
      </w:r>
      <w:r w:rsidRPr="00F02E39">
        <w:rPr>
          <w:i/>
        </w:rPr>
        <w:t xml:space="preserve"> habitat</w:t>
      </w:r>
      <w:r w:rsidR="006341F9" w:rsidRPr="00F02E39">
        <w:rPr>
          <w:i/>
        </w:rPr>
        <w:t>s</w:t>
      </w:r>
      <w:r w:rsidRPr="00F02E39">
        <w:rPr>
          <w:i/>
        </w:rPr>
        <w:t xml:space="preserve"> in </w:t>
      </w:r>
      <w:r w:rsidR="006341F9" w:rsidRPr="00F02E39">
        <w:rPr>
          <w:i/>
        </w:rPr>
        <w:t xml:space="preserve">the </w:t>
      </w:r>
      <w:r w:rsidRPr="00F02E39">
        <w:rPr>
          <w:i/>
        </w:rPr>
        <w:t>Mackay Whitsunday</w:t>
      </w:r>
      <w:r w:rsidRPr="00F02E39">
        <w:rPr>
          <w:i/>
          <w:lang w:eastAsia="en-AU"/>
        </w:rPr>
        <w:t xml:space="preserve"> region</w:t>
      </w:r>
      <w:r w:rsidR="006341F9" w:rsidRPr="00F02E39">
        <w:rPr>
          <w:i/>
          <w:lang w:eastAsia="en-AU"/>
        </w:rPr>
        <w:t>, 2006 - 201</w:t>
      </w:r>
      <w:r w:rsidR="00F02E39" w:rsidRPr="00F02E39">
        <w:rPr>
          <w:i/>
          <w:lang w:eastAsia="en-AU"/>
        </w:rPr>
        <w:t>6</w:t>
      </w:r>
      <w:bookmarkEnd w:id="493"/>
      <w:bookmarkEnd w:id="494"/>
      <w:r w:rsidRPr="00F02E39">
        <w:rPr>
          <w:i/>
          <w:lang w:eastAsia="en-AU"/>
        </w:rPr>
        <w:t xml:space="preserve"> </w:t>
      </w:r>
    </w:p>
    <w:p w14:paraId="573BA3C2" w14:textId="68C6ED8F" w:rsidR="006341F9" w:rsidRDefault="006341F9" w:rsidP="006341F9">
      <w:pPr>
        <w:rPr>
          <w:color w:val="000000"/>
        </w:rPr>
      </w:pPr>
      <w:r w:rsidRPr="00F02E39">
        <w:rPr>
          <w:i/>
          <w:lang w:eastAsia="en-AU"/>
        </w:rPr>
        <w:t xml:space="preserve"> </w:t>
      </w:r>
      <w:r w:rsidR="005132EF" w:rsidRPr="00F02E39">
        <w:rPr>
          <w:i/>
          <w:lang w:eastAsia="en-AU"/>
        </w:rPr>
        <w:t xml:space="preserve">(species </w:t>
      </w:r>
      <w:r w:rsidR="005132EF" w:rsidRPr="00372A66">
        <w:rPr>
          <w:i/>
          <w:color w:val="000000"/>
          <w:lang w:eastAsia="en-AU"/>
        </w:rPr>
        <w:t xml:space="preserve">pooled) </w:t>
      </w:r>
      <w:r w:rsidR="005132EF" w:rsidRPr="00372A66">
        <w:rPr>
          <w:i/>
          <w:color w:val="000000"/>
        </w:rPr>
        <w:t>(mean</w:t>
      </w:r>
      <w:r w:rsidR="005132EF" w:rsidRPr="00372A66">
        <w:rPr>
          <w:i/>
          <w:color w:val="000000"/>
          <w:lang w:eastAsia="en-AU"/>
        </w:rPr>
        <w:t xml:space="preserve"> ± </w:t>
      </w:r>
      <w:r w:rsidR="009C7692">
        <w:rPr>
          <w:i/>
          <w:color w:val="000000"/>
          <w:lang w:eastAsia="en-AU"/>
        </w:rPr>
        <w:t>SE</w:t>
      </w:r>
      <w:r w:rsidR="005132EF" w:rsidRPr="00372A66">
        <w:rPr>
          <w:i/>
          <w:color w:val="000000"/>
        </w:rPr>
        <w:t>)</w:t>
      </w:r>
      <w:r w:rsidR="005132EF" w:rsidRPr="00372A66">
        <w:rPr>
          <w:i/>
          <w:color w:val="000000"/>
          <w:lang w:eastAsia="en-AU"/>
        </w:rPr>
        <w:t xml:space="preserve">. Horizontal shaded band on the C:N ratio panel represents the accepted </w:t>
      </w:r>
      <w:r w:rsidR="005132EF" w:rsidRPr="00372A66">
        <w:rPr>
          <w:i/>
          <w:color w:val="000000"/>
        </w:rPr>
        <w:t xml:space="preserve">guideline </w:t>
      </w:r>
      <w:r w:rsidR="005132EF" w:rsidRPr="00372A66">
        <w:rPr>
          <w:i/>
          <w:color w:val="000000"/>
          <w:lang w:eastAsia="en-AU"/>
        </w:rPr>
        <w:t xml:space="preserve">seagrass “Redfield” ratio </w:t>
      </w:r>
      <w:r w:rsidR="005132EF" w:rsidRPr="00372A66">
        <w:rPr>
          <w:i/>
          <w:color w:val="000000"/>
        </w:rPr>
        <w:t xml:space="preserve">of 20:1 </w:t>
      </w:r>
      <w:r w:rsidR="00C63415" w:rsidRPr="00372A66">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 </w:instrText>
      </w:r>
      <w:r w:rsidR="00521D93">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EN.CITE.DATA </w:instrText>
      </w:r>
      <w:r w:rsidR="00521D93">
        <w:rPr>
          <w:i/>
          <w:color w:val="000000"/>
        </w:rPr>
      </w:r>
      <w:r w:rsidR="00521D93">
        <w:rPr>
          <w:i/>
          <w:color w:val="000000"/>
        </w:rPr>
        <w:fldChar w:fldCharType="end"/>
      </w:r>
      <w:r w:rsidR="00644A84">
        <w:rPr>
          <w:i/>
          <w:color w:val="000000"/>
        </w:rPr>
      </w:r>
      <w:r w:rsidR="00644A84">
        <w:rPr>
          <w:i/>
          <w:color w:val="000000"/>
        </w:rPr>
        <w:fldChar w:fldCharType="separate"/>
      </w:r>
      <w:hyperlink w:anchor="_ENREF_2" w:tooltip="Abal, 1994 #7405" w:history="1">
        <w:r w:rsidR="00305FE7">
          <w:rPr>
            <w:i/>
            <w:noProof/>
            <w:color w:val="000000"/>
          </w:rPr>
          <w:t>Abal et al. 1994</w:t>
        </w:r>
      </w:hyperlink>
      <w:r w:rsidR="00521D93">
        <w:rPr>
          <w:i/>
          <w:noProof/>
          <w:color w:val="000000"/>
        </w:rPr>
        <w:t xml:space="preserve">; </w:t>
      </w:r>
      <w:hyperlink w:anchor="_ENREF_107" w:tooltip="Grice, 1996 #1346" w:history="1">
        <w:r w:rsidR="00305FE7">
          <w:rPr>
            <w:i/>
            <w:noProof/>
            <w:color w:val="000000"/>
          </w:rPr>
          <w:t>Grice et al. 1996</w:t>
        </w:r>
      </w:hyperlink>
      <w:r w:rsidR="00644A84">
        <w:rPr>
          <w:i/>
          <w:color w:val="000000"/>
        </w:rPr>
        <w:fldChar w:fldCharType="end"/>
      </w:r>
      <w:r w:rsidR="00C63415" w:rsidRPr="00372A66">
        <w:rPr>
          <w:i/>
          <w:color w:val="000000"/>
        </w:rPr>
        <w:t>)</w:t>
      </w:r>
      <w:r w:rsidR="005132EF" w:rsidRPr="00372A66">
        <w:rPr>
          <w:i/>
          <w:color w:val="000000"/>
          <w:lang w:eastAsia="en-AU"/>
        </w:rPr>
        <w:t xml:space="preserve">. C:N ratios below this line may </w:t>
      </w:r>
      <w:r w:rsidR="005132EF" w:rsidRPr="00372A66">
        <w:rPr>
          <w:i/>
          <w:color w:val="000000"/>
        </w:rPr>
        <w:t>indicate reduced light availability</w:t>
      </w:r>
      <w:r w:rsidR="0065267C" w:rsidRPr="00372A66">
        <w:rPr>
          <w:i/>
          <w:color w:val="000000"/>
        </w:rPr>
        <w:t xml:space="preserve"> and/or </w:t>
      </w:r>
      <w:r w:rsidR="00A22D98" w:rsidRPr="00372A66">
        <w:rPr>
          <w:i/>
          <w:color w:val="000000"/>
        </w:rPr>
        <w:t>N enrichment</w:t>
      </w:r>
      <w:r w:rsidR="005132EF" w:rsidRPr="00372A66">
        <w:rPr>
          <w:i/>
          <w:color w:val="000000"/>
        </w:rPr>
        <w:t>.</w:t>
      </w:r>
      <w:r w:rsidRPr="00372A66">
        <w:rPr>
          <w:color w:val="000000"/>
        </w:rPr>
        <w:t xml:space="preserve"> </w:t>
      </w:r>
    </w:p>
    <w:p w14:paraId="553DA3D2" w14:textId="77777777" w:rsidR="00C31BE9" w:rsidRPr="00C31BE9" w:rsidRDefault="004E43E3" w:rsidP="00353373">
      <w:pPr>
        <w:keepNext/>
        <w:widowControl w:val="0"/>
        <w:spacing w:after="0"/>
        <w:jc w:val="center"/>
        <w:rPr>
          <w:lang w:val="en-GB"/>
        </w:rPr>
      </w:pPr>
      <w:r>
        <w:rPr>
          <w:noProof/>
          <w:lang w:eastAsia="en-AU"/>
        </w:rPr>
        <w:drawing>
          <wp:inline distT="0" distB="0" distL="0" distR="0" wp14:anchorId="407FE879" wp14:editId="5CCE55CF">
            <wp:extent cx="5039465" cy="2977200"/>
            <wp:effectExtent l="0" t="0" r="8890" b="0"/>
            <wp:docPr id="10145" name="Picture 10145" descr="Set of four scatter plots with straight lines and markers showing elemental ratios (atomic) of seagrass leaf tissue N:P and C:P for the foundation species in inshore seagrass habitats in the Mackay Whitsunda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5" name="MW_CNP_yr_Dec16.png"/>
                    <pic:cNvPicPr/>
                  </pic:nvPicPr>
                  <pic:blipFill>
                    <a:blip r:embed="rId129">
                      <a:extLst>
                        <a:ext uri="{28A0092B-C50C-407E-A947-70E740481C1C}">
                          <a14:useLocalDpi xmlns:a14="http://schemas.microsoft.com/office/drawing/2010/main" val="0"/>
                        </a:ext>
                      </a:extLst>
                    </a:blip>
                    <a:stretch>
                      <a:fillRect/>
                    </a:stretch>
                  </pic:blipFill>
                  <pic:spPr>
                    <a:xfrm>
                      <a:off x="0" y="0"/>
                      <a:ext cx="5039465" cy="2977200"/>
                    </a:xfrm>
                    <a:prstGeom prst="rect">
                      <a:avLst/>
                    </a:prstGeom>
                  </pic:spPr>
                </pic:pic>
              </a:graphicData>
            </a:graphic>
          </wp:inline>
        </w:drawing>
      </w:r>
    </w:p>
    <w:p w14:paraId="38C28D7A" w14:textId="09AB4A46" w:rsidR="006341F9" w:rsidRPr="00F02E39" w:rsidRDefault="005132EF" w:rsidP="00353373">
      <w:pPr>
        <w:rPr>
          <w:i/>
          <w:iCs/>
          <w:vanish/>
          <w:szCs w:val="22"/>
          <w:lang w:eastAsia="en-AU"/>
          <w:specVanish/>
        </w:rPr>
      </w:pPr>
      <w:bookmarkStart w:id="495" w:name="_Ref236801440"/>
      <w:bookmarkStart w:id="496" w:name="_Toc431493879"/>
      <w:bookmarkStart w:id="497" w:name="_Toc516053301"/>
      <w:r w:rsidRPr="00372A6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91</w:t>
      </w:r>
      <w:r w:rsidR="0073595B">
        <w:rPr>
          <w:color w:val="000000"/>
          <w:szCs w:val="22"/>
        </w:rPr>
        <w:fldChar w:fldCharType="end"/>
      </w:r>
      <w:bookmarkEnd w:id="495"/>
      <w:r w:rsidRPr="00372A66">
        <w:rPr>
          <w:color w:val="000000"/>
          <w:szCs w:val="22"/>
        </w:rP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w:t>
      </w:r>
      <w:r w:rsidRPr="00F02E39">
        <w:rPr>
          <w:i/>
          <w:iCs/>
          <w:szCs w:val="22"/>
        </w:rPr>
        <w:t xml:space="preserve">species examined at </w:t>
      </w:r>
      <w:r w:rsidR="006341F9" w:rsidRPr="00F02E39">
        <w:rPr>
          <w:i/>
        </w:rPr>
        <w:t>inshore intertidal habitats in the Mackay Whitsunday</w:t>
      </w:r>
      <w:r w:rsidR="006341F9" w:rsidRPr="00F02E39">
        <w:rPr>
          <w:i/>
          <w:lang w:eastAsia="en-AU"/>
        </w:rPr>
        <w:t xml:space="preserve"> region, 2006 - 201</w:t>
      </w:r>
      <w:r w:rsidR="00F02E39" w:rsidRPr="00F02E39">
        <w:rPr>
          <w:i/>
          <w:lang w:eastAsia="en-AU"/>
        </w:rPr>
        <w:t>6</w:t>
      </w:r>
      <w:bookmarkEnd w:id="496"/>
      <w:bookmarkEnd w:id="497"/>
    </w:p>
    <w:p w14:paraId="1ABA4129" w14:textId="1C284C8F" w:rsidR="006341F9" w:rsidRDefault="006341F9" w:rsidP="00353373">
      <w:pPr>
        <w:rPr>
          <w:i/>
          <w:iCs/>
          <w:color w:val="000000"/>
          <w:szCs w:val="22"/>
          <w:lang w:eastAsia="en-AU"/>
        </w:rPr>
      </w:pPr>
      <w:r w:rsidRPr="00F02E39">
        <w:rPr>
          <w:i/>
          <w:iCs/>
          <w:szCs w:val="22"/>
          <w:lang w:eastAsia="en-AU"/>
        </w:rPr>
        <w:t xml:space="preserve"> </w:t>
      </w:r>
      <w:r w:rsidR="005132EF" w:rsidRPr="00372A66">
        <w:rPr>
          <w:i/>
          <w:iCs/>
          <w:color w:val="000000"/>
          <w:szCs w:val="22"/>
          <w:lang w:eastAsia="en-AU"/>
        </w:rPr>
        <w:t>(species pooled) (</w:t>
      </w:r>
      <w:r w:rsidR="005132EF" w:rsidRPr="00372A66">
        <w:rPr>
          <w:i/>
          <w:iCs/>
          <w:color w:val="000000"/>
          <w:szCs w:val="22"/>
        </w:rPr>
        <w:t>mean</w:t>
      </w:r>
      <w:r w:rsidR="005132EF" w:rsidRPr="00372A66">
        <w:rPr>
          <w:i/>
          <w:iCs/>
          <w:color w:val="000000"/>
          <w:szCs w:val="22"/>
          <w:lang w:eastAsia="en-AU"/>
        </w:rPr>
        <w:t xml:space="preserve"> ± </w:t>
      </w:r>
      <w:r w:rsidR="009C7692">
        <w:rPr>
          <w:i/>
          <w:iCs/>
          <w:color w:val="000000"/>
          <w:szCs w:val="22"/>
          <w:lang w:eastAsia="en-AU"/>
        </w:rPr>
        <w:t>SE</w:t>
      </w:r>
      <w:r w:rsidR="005132EF" w:rsidRPr="00372A66">
        <w:rPr>
          <w:i/>
          <w:iCs/>
          <w:color w:val="000000"/>
          <w:szCs w:val="22"/>
          <w:lang w:eastAsia="en-AU"/>
        </w:rPr>
        <w:t xml:space="preserve">). Horizontal shaded band on the N:P ratio panel represents the range of value associated with N:P balance ratio in the plant tissues, i.e. a seagrass “Redfield” ratio </w:t>
      </w:r>
      <w:r w:rsidR="00CA555B" w:rsidRPr="00372A66">
        <w:rPr>
          <w:i/>
          <w:iCs/>
          <w:color w:val="000000"/>
          <w:szCs w:val="22"/>
          <w:lang w:eastAsia="en-AU"/>
        </w:rPr>
        <w:t>(</w: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
          <w:iCs/>
          <w:color w:val="000000"/>
          <w:szCs w:val="22"/>
          <w:lang w:eastAsia="en-AU"/>
        </w:rPr>
        <w:instrText xml:space="preserve"> ADDIN EN.CITE </w:instrText>
      </w:r>
      <w:r w:rsidR="00521D93">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
          <w:iCs/>
          <w:color w:val="000000"/>
          <w:szCs w:val="22"/>
          <w:lang w:eastAsia="en-AU"/>
        </w:rPr>
        <w:instrText xml:space="preserve"> ADDIN EN.CITE.DATA </w:instrText>
      </w:r>
      <w:r w:rsidR="00521D93">
        <w:rPr>
          <w:i/>
          <w:iCs/>
          <w:color w:val="000000"/>
          <w:szCs w:val="22"/>
          <w:lang w:eastAsia="en-AU"/>
        </w:rPr>
      </w:r>
      <w:r w:rsidR="00521D93">
        <w:rPr>
          <w:i/>
          <w:iCs/>
          <w:color w:val="000000"/>
          <w:szCs w:val="22"/>
          <w:lang w:eastAsia="en-AU"/>
        </w:rPr>
        <w:fldChar w:fldCharType="end"/>
      </w:r>
      <w:r w:rsidR="00644A84">
        <w:rPr>
          <w:i/>
          <w:iCs/>
          <w:color w:val="000000"/>
          <w:szCs w:val="22"/>
          <w:lang w:eastAsia="en-AU"/>
        </w:rPr>
      </w:r>
      <w:r w:rsidR="00644A84">
        <w:rPr>
          <w:i/>
          <w:iCs/>
          <w:color w:val="000000"/>
          <w:szCs w:val="22"/>
          <w:lang w:eastAsia="en-AU"/>
        </w:rPr>
        <w:fldChar w:fldCharType="separate"/>
      </w:r>
      <w:hyperlink w:anchor="_ENREF_9" w:tooltip="Atkinson, 1983 #6292" w:history="1">
        <w:r w:rsidR="00305FE7">
          <w:rPr>
            <w:i/>
            <w:iCs/>
            <w:noProof/>
            <w:color w:val="000000"/>
            <w:szCs w:val="22"/>
            <w:lang w:eastAsia="en-AU"/>
          </w:rPr>
          <w:t>Atkinson and Smith 1983</w:t>
        </w:r>
      </w:hyperlink>
      <w:r w:rsidR="00521D93">
        <w:rPr>
          <w:i/>
          <w:iCs/>
          <w:noProof/>
          <w:color w:val="000000"/>
          <w:szCs w:val="22"/>
          <w:lang w:eastAsia="en-AU"/>
        </w:rPr>
        <w:t xml:space="preserve">; </w:t>
      </w:r>
      <w:hyperlink w:anchor="_ENREF_84" w:tooltip="Duarte, 1990 #1954" w:history="1">
        <w:r w:rsidR="00305FE7">
          <w:rPr>
            <w:i/>
            <w:iCs/>
            <w:noProof/>
            <w:color w:val="000000"/>
            <w:szCs w:val="22"/>
            <w:lang w:eastAsia="en-AU"/>
          </w:rPr>
          <w:t>Duarte 1990</w:t>
        </w:r>
      </w:hyperlink>
      <w:r w:rsidR="00521D93">
        <w:rPr>
          <w:i/>
          <w:iCs/>
          <w:noProof/>
          <w:color w:val="000000"/>
          <w:szCs w:val="22"/>
          <w:lang w:eastAsia="en-AU"/>
        </w:rPr>
        <w:t xml:space="preserve">; </w:t>
      </w:r>
      <w:hyperlink w:anchor="_ENREF_100" w:tooltip="Fourqurean, 1992 #9493" w:history="1">
        <w:r w:rsidR="00305FE7">
          <w:rPr>
            <w:i/>
            <w:iCs/>
            <w:noProof/>
            <w:color w:val="000000"/>
            <w:szCs w:val="22"/>
            <w:lang w:eastAsia="en-AU"/>
          </w:rPr>
          <w:t>Fourqurean et al. 1992b</w:t>
        </w:r>
      </w:hyperlink>
      <w:r w:rsidR="00644A84">
        <w:rPr>
          <w:i/>
          <w:iCs/>
          <w:color w:val="000000"/>
          <w:szCs w:val="22"/>
          <w:lang w:eastAsia="en-AU"/>
        </w:rPr>
        <w:fldChar w:fldCharType="end"/>
      </w:r>
      <w:r w:rsidR="00CA555B" w:rsidRPr="00372A66">
        <w:rPr>
          <w:i/>
          <w:iCs/>
          <w:color w:val="000000"/>
          <w:szCs w:val="22"/>
          <w:lang w:eastAsia="en-AU"/>
        </w:rPr>
        <w:t xml:space="preserve">; </w:t>
      </w:r>
      <w:hyperlink w:anchor="_ENREF_94" w:tooltip="Fourqurean, 2001 #9492" w:history="1">
        <w:r w:rsidR="00305FE7">
          <w:rPr>
            <w:i/>
            <w:iCs/>
            <w:color w:val="000000"/>
            <w:szCs w:val="22"/>
            <w:lang w:eastAsia="en-AU"/>
          </w:rPr>
          <w:fldChar w:fldCharType="begin"/>
        </w:r>
        <w:r w:rsidR="00305FE7">
          <w:rPr>
            <w:i/>
            <w:iCs/>
            <w:color w:val="000000"/>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305FE7">
          <w:rPr>
            <w:i/>
            <w:iCs/>
            <w:color w:val="000000"/>
            <w:szCs w:val="22"/>
            <w:lang w:eastAsia="en-AU"/>
          </w:rPr>
          <w:fldChar w:fldCharType="separate"/>
        </w:r>
        <w:r w:rsidR="00305FE7">
          <w:rPr>
            <w:i/>
            <w:iCs/>
            <w:noProof/>
            <w:color w:val="000000"/>
            <w:szCs w:val="22"/>
            <w:lang w:eastAsia="en-AU"/>
          </w:rPr>
          <w:t>Fourqurean and Cai 2001</w:t>
        </w:r>
        <w:r w:rsidR="00305FE7">
          <w:rPr>
            <w:i/>
            <w:iCs/>
            <w:color w:val="000000"/>
            <w:szCs w:val="22"/>
            <w:lang w:eastAsia="en-AU"/>
          </w:rPr>
          <w:fldChar w:fldCharType="end"/>
        </w:r>
      </w:hyperlink>
      <w:r w:rsidR="00CA555B" w:rsidRPr="00372A66">
        <w:rPr>
          <w:i/>
          <w:iCs/>
          <w:color w:val="000000"/>
          <w:szCs w:val="22"/>
          <w:lang w:eastAsia="en-AU"/>
        </w:rPr>
        <w:t>)</w:t>
      </w:r>
      <w:r w:rsidR="005132EF" w:rsidRPr="00372A66">
        <w:rPr>
          <w:i/>
          <w:iCs/>
          <w:color w:val="000000"/>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372A66">
        <w:rPr>
          <w:i/>
          <w:iCs/>
          <w:color w:val="000000"/>
          <w:szCs w:val="22"/>
          <w:lang w:eastAsia="en-AU"/>
        </w:rPr>
        <w:t xml:space="preserve"> </w:t>
      </w:r>
    </w:p>
    <w:p w14:paraId="42C80CDF" w14:textId="7E4A701F" w:rsidR="00BC4EC5" w:rsidRDefault="00BC4EC5" w:rsidP="00BC4EC5">
      <w:pPr>
        <w:rPr>
          <w:color w:val="000000" w:themeColor="text1"/>
          <w:szCs w:val="22"/>
          <w:lang w:val="en-GB"/>
        </w:rPr>
      </w:pPr>
      <w:bookmarkStart w:id="498" w:name="_Toc232845926"/>
      <w:bookmarkStart w:id="499" w:name="_Toc184102017"/>
    </w:p>
    <w:p w14:paraId="7DF14E67" w14:textId="77777777" w:rsidR="008B0432" w:rsidRPr="001D05D4" w:rsidRDefault="008B0432" w:rsidP="008B0432">
      <w:pPr>
        <w:pStyle w:val="Heading4"/>
        <w:numPr>
          <w:ilvl w:val="0"/>
          <w:numId w:val="0"/>
        </w:numPr>
        <w:rPr>
          <w:rFonts w:ascii="Arial" w:hAnsi="Arial" w:cs="Arial"/>
          <w:sz w:val="24"/>
          <w:szCs w:val="24"/>
        </w:rPr>
      </w:pPr>
      <w:r>
        <w:rPr>
          <w:rFonts w:ascii="Arial" w:hAnsi="Arial" w:cs="Arial"/>
          <w:sz w:val="24"/>
          <w:szCs w:val="24"/>
        </w:rPr>
        <w:t>Seagrass meadow sediments</w:t>
      </w:r>
    </w:p>
    <w:p w14:paraId="2D59CE04" w14:textId="7F442A10" w:rsidR="008B0432" w:rsidRPr="002F406A" w:rsidRDefault="008B0432" w:rsidP="008B0432">
      <w:pPr>
        <w:rPr>
          <w:szCs w:val="22"/>
          <w:lang w:val="en-GB"/>
        </w:rPr>
      </w:pPr>
      <w:r w:rsidRPr="004B05A2">
        <w:rPr>
          <w:szCs w:val="22"/>
          <w:lang w:val="en-GB"/>
        </w:rPr>
        <w:t xml:space="preserve">The proportion of fine grain sizes decreases in the sediments of the seagrass monitoring sites/meadows with distance from the coast/river mouths in the Mackay Whitsunday region. Estuarine sediments were composed of greater proportion of finer sediments, and in </w:t>
      </w:r>
      <w:r w:rsidR="008574EC">
        <w:rPr>
          <w:szCs w:val="22"/>
          <w:lang w:val="en-GB"/>
        </w:rPr>
        <w:t>2016–17</w:t>
      </w:r>
      <w:r w:rsidRPr="004B05A2">
        <w:rPr>
          <w:szCs w:val="22"/>
          <w:lang w:val="en-GB"/>
        </w:rPr>
        <w:t xml:space="preserve"> the proportion of mud was similar to the </w:t>
      </w:r>
      <w:r w:rsidR="007F6948">
        <w:rPr>
          <w:szCs w:val="22"/>
          <w:lang w:val="en-GB"/>
        </w:rPr>
        <w:t>Great Barrier Reef</w:t>
      </w:r>
      <w:r w:rsidRPr="004B05A2">
        <w:rPr>
          <w:szCs w:val="22"/>
          <w:lang w:val="en-GB"/>
        </w:rPr>
        <w:t xml:space="preserve"> long-term average with little change over the last 6 years</w:t>
      </w:r>
      <w:r>
        <w:rPr>
          <w:szCs w:val="22"/>
          <w:lang w:val="en-GB"/>
        </w:rPr>
        <w:t xml:space="preserve"> (</w:t>
      </w:r>
      <w:r>
        <w:rPr>
          <w:szCs w:val="22"/>
          <w:lang w:val="en-GB"/>
        </w:rPr>
        <w:fldChar w:fldCharType="begin"/>
      </w:r>
      <w:r>
        <w:rPr>
          <w:szCs w:val="22"/>
          <w:lang w:val="en-GB"/>
        </w:rPr>
        <w:instrText xml:space="preserve"> REF _Ref511131656 \h </w:instrText>
      </w:r>
      <w:r>
        <w:rPr>
          <w:szCs w:val="22"/>
          <w:lang w:val="en-GB"/>
        </w:rPr>
      </w:r>
      <w:r>
        <w:rPr>
          <w:szCs w:val="22"/>
          <w:lang w:val="en-GB"/>
        </w:rPr>
        <w:fldChar w:fldCharType="separate"/>
      </w:r>
      <w:r w:rsidR="00F87DF9">
        <w:t xml:space="preserve">Figure </w:t>
      </w:r>
      <w:r w:rsidR="00F87DF9">
        <w:rPr>
          <w:noProof/>
        </w:rPr>
        <w:t>176</w:t>
      </w:r>
      <w:r>
        <w:rPr>
          <w:szCs w:val="22"/>
          <w:lang w:val="en-GB"/>
        </w:rPr>
        <w:fldChar w:fldCharType="end"/>
      </w:r>
      <w:r>
        <w:rPr>
          <w:szCs w:val="22"/>
          <w:lang w:val="en-GB"/>
        </w:rPr>
        <w:t>)</w:t>
      </w:r>
      <w:r w:rsidRPr="004B05A2">
        <w:rPr>
          <w:szCs w:val="22"/>
          <w:lang w:val="en-GB"/>
        </w:rPr>
        <w:t xml:space="preserve">. Coastal habitat meadows had less mud than estuarine habitats, and the meadows at Midge Point </w:t>
      </w:r>
      <w:r w:rsidRPr="002F406A">
        <w:rPr>
          <w:szCs w:val="22"/>
          <w:lang w:val="en-GB"/>
        </w:rPr>
        <w:t xml:space="preserve">had a higher proportion of mud than those in Pioneer Bay. Sediments at coastal habitats are generally above the </w:t>
      </w:r>
      <w:r w:rsidR="007F6948">
        <w:rPr>
          <w:szCs w:val="22"/>
          <w:lang w:val="en-GB"/>
        </w:rPr>
        <w:t>Great Barrier Reef</w:t>
      </w:r>
      <w:r w:rsidRPr="002F406A">
        <w:rPr>
          <w:szCs w:val="22"/>
          <w:lang w:val="en-GB"/>
        </w:rPr>
        <w:t xml:space="preserve"> long-term average, but fluctuate within and between both meadows and years</w:t>
      </w:r>
      <w:r>
        <w:rPr>
          <w:szCs w:val="22"/>
          <w:lang w:val="en-GB"/>
        </w:rPr>
        <w:t xml:space="preserve"> (</w:t>
      </w:r>
      <w:r>
        <w:rPr>
          <w:szCs w:val="22"/>
          <w:lang w:val="en-GB"/>
        </w:rPr>
        <w:fldChar w:fldCharType="begin"/>
      </w:r>
      <w:r>
        <w:rPr>
          <w:szCs w:val="22"/>
          <w:lang w:val="en-GB"/>
        </w:rPr>
        <w:instrText xml:space="preserve"> REF _Ref511131673 \h </w:instrText>
      </w:r>
      <w:r>
        <w:rPr>
          <w:szCs w:val="22"/>
          <w:lang w:val="en-GB"/>
        </w:rPr>
      </w:r>
      <w:r>
        <w:rPr>
          <w:szCs w:val="22"/>
          <w:lang w:val="en-GB"/>
        </w:rPr>
        <w:fldChar w:fldCharType="separate"/>
      </w:r>
      <w:r w:rsidR="00F87DF9">
        <w:t xml:space="preserve">Figure </w:t>
      </w:r>
      <w:r w:rsidR="00F87DF9">
        <w:rPr>
          <w:noProof/>
        </w:rPr>
        <w:t>177</w:t>
      </w:r>
      <w:r>
        <w:rPr>
          <w:szCs w:val="22"/>
          <w:lang w:val="en-GB"/>
        </w:rPr>
        <w:fldChar w:fldCharType="end"/>
      </w:r>
      <w:r>
        <w:rPr>
          <w:szCs w:val="22"/>
          <w:lang w:val="en-GB"/>
        </w:rPr>
        <w:t>)</w:t>
      </w:r>
      <w:r w:rsidRPr="002F406A">
        <w:rPr>
          <w:szCs w:val="22"/>
          <w:lang w:val="en-GB"/>
        </w:rPr>
        <w:t xml:space="preserve">. Reef habitats were composed predominately of fine to medium sand, and in </w:t>
      </w:r>
      <w:r w:rsidR="008574EC">
        <w:rPr>
          <w:szCs w:val="22"/>
          <w:lang w:val="en-GB"/>
        </w:rPr>
        <w:t>2016–17</w:t>
      </w:r>
      <w:r w:rsidRPr="002F406A">
        <w:rPr>
          <w:szCs w:val="22"/>
          <w:lang w:val="en-GB"/>
        </w:rPr>
        <w:t xml:space="preserve"> they contained a proportion of mud</w:t>
      </w:r>
      <w:r>
        <w:rPr>
          <w:szCs w:val="22"/>
          <w:lang w:val="en-GB"/>
        </w:rPr>
        <w:t xml:space="preserve"> above </w:t>
      </w:r>
      <w:r w:rsidRPr="002F406A">
        <w:rPr>
          <w:szCs w:val="22"/>
          <w:lang w:val="en-GB"/>
        </w:rPr>
        <w:t xml:space="preserve">the </w:t>
      </w:r>
      <w:r w:rsidR="007F6948">
        <w:rPr>
          <w:szCs w:val="22"/>
          <w:lang w:val="en-GB"/>
        </w:rPr>
        <w:t>Great Barrier Reef</w:t>
      </w:r>
      <w:r w:rsidRPr="002F406A">
        <w:rPr>
          <w:szCs w:val="22"/>
          <w:lang w:val="en-GB"/>
        </w:rPr>
        <w:t xml:space="preserve"> long-term average</w:t>
      </w:r>
      <w:r>
        <w:rPr>
          <w:szCs w:val="22"/>
          <w:lang w:val="en-GB"/>
        </w:rPr>
        <w:t xml:space="preserve"> (</w:t>
      </w:r>
      <w:r>
        <w:rPr>
          <w:szCs w:val="22"/>
          <w:lang w:val="en-GB"/>
        </w:rPr>
        <w:fldChar w:fldCharType="begin"/>
      </w:r>
      <w:r>
        <w:rPr>
          <w:szCs w:val="22"/>
          <w:lang w:val="en-GB"/>
        </w:rPr>
        <w:instrText xml:space="preserve"> REF _Ref511131682 \h </w:instrText>
      </w:r>
      <w:r>
        <w:rPr>
          <w:szCs w:val="22"/>
          <w:lang w:val="en-GB"/>
        </w:rPr>
      </w:r>
      <w:r>
        <w:rPr>
          <w:szCs w:val="22"/>
          <w:lang w:val="en-GB"/>
        </w:rPr>
        <w:fldChar w:fldCharType="separate"/>
      </w:r>
      <w:r w:rsidR="00F87DF9">
        <w:t xml:space="preserve">Figure </w:t>
      </w:r>
      <w:r w:rsidR="00F87DF9">
        <w:rPr>
          <w:noProof/>
        </w:rPr>
        <w:t>178</w:t>
      </w:r>
      <w:r>
        <w:rPr>
          <w:szCs w:val="22"/>
          <w:lang w:val="en-GB"/>
        </w:rPr>
        <w:fldChar w:fldCharType="end"/>
      </w:r>
      <w:r>
        <w:rPr>
          <w:szCs w:val="22"/>
          <w:lang w:val="en-GB"/>
        </w:rPr>
        <w:t>)</w:t>
      </w:r>
      <w:r w:rsidRPr="002F406A">
        <w:rPr>
          <w:szCs w:val="22"/>
          <w:lang w:val="en-GB"/>
        </w:rPr>
        <w:t>.</w:t>
      </w:r>
    </w:p>
    <w:p w14:paraId="0F466FC6" w14:textId="77777777" w:rsidR="008B0432" w:rsidRPr="00C40846" w:rsidRDefault="008B0432" w:rsidP="00BC4EC5">
      <w:pPr>
        <w:rPr>
          <w:color w:val="000000" w:themeColor="text1"/>
          <w:szCs w:val="22"/>
          <w:lang w:val="en-GB"/>
        </w:rPr>
      </w:pPr>
    </w:p>
    <w:p w14:paraId="0FA29936"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Epiphytes and macroalgae</w:t>
      </w:r>
      <w:bookmarkEnd w:id="498"/>
      <w:bookmarkEnd w:id="499"/>
    </w:p>
    <w:p w14:paraId="6BDC6A0E" w14:textId="77A47BB9" w:rsidR="008A1426" w:rsidRPr="0022398D" w:rsidRDefault="004B656A" w:rsidP="004B656A">
      <w:pPr>
        <w:rPr>
          <w:color w:val="000000" w:themeColor="text1"/>
          <w:szCs w:val="22"/>
          <w:lang w:val="en-US"/>
        </w:rPr>
      </w:pPr>
      <w:r w:rsidRPr="00CB3F9D">
        <w:rPr>
          <w:color w:val="000000" w:themeColor="text1"/>
          <w:szCs w:val="22"/>
          <w:lang w:val="en-US"/>
        </w:rPr>
        <w:t>Epiphyte</w:t>
      </w:r>
      <w:r w:rsidR="008A1426" w:rsidRPr="00CB3F9D">
        <w:rPr>
          <w:color w:val="000000" w:themeColor="text1"/>
          <w:szCs w:val="22"/>
          <w:lang w:val="en-US"/>
        </w:rPr>
        <w:t xml:space="preserve"> cover on seagrass leaf blades </w:t>
      </w:r>
      <w:r w:rsidR="0022398D">
        <w:rPr>
          <w:color w:val="000000" w:themeColor="text1"/>
          <w:szCs w:val="22"/>
          <w:lang w:val="en-US"/>
        </w:rPr>
        <w:t xml:space="preserve">increased in the dry season (2016) </w:t>
      </w:r>
      <w:r w:rsidR="0022398D" w:rsidRPr="00CB3F9D">
        <w:rPr>
          <w:color w:val="000000" w:themeColor="text1"/>
          <w:szCs w:val="22"/>
          <w:lang w:val="en-US"/>
        </w:rPr>
        <w:t xml:space="preserve">in estuarine habitat compared to the </w:t>
      </w:r>
      <w:r w:rsidR="0022398D">
        <w:rPr>
          <w:color w:val="000000" w:themeColor="text1"/>
          <w:szCs w:val="22"/>
          <w:lang w:val="en-US"/>
        </w:rPr>
        <w:t>dry season of the previous reporting year,</w:t>
      </w:r>
      <w:r w:rsidR="0022398D" w:rsidRPr="00CB3F9D">
        <w:rPr>
          <w:color w:val="000000" w:themeColor="text1"/>
          <w:szCs w:val="22"/>
          <w:lang w:val="en-US"/>
        </w:rPr>
        <w:t xml:space="preserve"> </w:t>
      </w:r>
      <w:r w:rsidR="0022398D">
        <w:rPr>
          <w:color w:val="000000" w:themeColor="text1"/>
          <w:szCs w:val="22"/>
          <w:lang w:val="en-US"/>
        </w:rPr>
        <w:t xml:space="preserve">but was unchanged </w:t>
      </w:r>
      <w:r w:rsidR="0022398D" w:rsidRPr="00CB3F9D">
        <w:rPr>
          <w:color w:val="000000" w:themeColor="text1"/>
          <w:szCs w:val="22"/>
          <w:lang w:val="en-US"/>
        </w:rPr>
        <w:t>in reef and coastal habitat</w:t>
      </w:r>
      <w:r w:rsidR="0022398D">
        <w:rPr>
          <w:color w:val="000000" w:themeColor="text1"/>
          <w:szCs w:val="22"/>
          <w:lang w:val="en-US"/>
        </w:rPr>
        <w:t>. I</w:t>
      </w:r>
      <w:r w:rsidR="00CB3F9D" w:rsidRPr="00CB3F9D">
        <w:rPr>
          <w:color w:val="000000" w:themeColor="text1"/>
          <w:szCs w:val="22"/>
          <w:lang w:val="en-US"/>
        </w:rPr>
        <w:t xml:space="preserve">n the </w:t>
      </w:r>
      <w:r w:rsidR="0022398D">
        <w:rPr>
          <w:color w:val="000000" w:themeColor="text1"/>
          <w:szCs w:val="22"/>
          <w:lang w:val="en-US"/>
        </w:rPr>
        <w:t>wet season (2017</w:t>
      </w:r>
      <w:r w:rsidR="00CB3F9D" w:rsidRPr="00CB3F9D">
        <w:rPr>
          <w:color w:val="000000" w:themeColor="text1"/>
          <w:szCs w:val="22"/>
          <w:lang w:val="en-US"/>
        </w:rPr>
        <w:t xml:space="preserve">) </w:t>
      </w:r>
      <w:r w:rsidR="0022398D">
        <w:rPr>
          <w:color w:val="000000" w:themeColor="text1"/>
          <w:szCs w:val="22"/>
          <w:lang w:val="en-US"/>
        </w:rPr>
        <w:t xml:space="preserve">epiphyte cover reduced </w:t>
      </w:r>
      <w:r w:rsidR="00CB3F9D" w:rsidRPr="00CB3F9D">
        <w:rPr>
          <w:color w:val="000000" w:themeColor="text1"/>
          <w:szCs w:val="22"/>
          <w:lang w:val="en-US"/>
        </w:rPr>
        <w:t>in all habitats</w:t>
      </w:r>
      <w:r w:rsidR="0022398D">
        <w:rPr>
          <w:color w:val="000000" w:themeColor="text1"/>
          <w:szCs w:val="22"/>
          <w:lang w:val="en-US"/>
        </w:rPr>
        <w:t xml:space="preserve"> compared to the previous wet </w:t>
      </w:r>
      <w:r w:rsidR="0022398D" w:rsidRPr="0022398D">
        <w:rPr>
          <w:color w:val="000000" w:themeColor="text1"/>
          <w:szCs w:val="22"/>
          <w:lang w:val="en-US"/>
        </w:rPr>
        <w:t xml:space="preserve">season </w:t>
      </w:r>
      <w:r w:rsidR="00766670" w:rsidRPr="0022398D">
        <w:rPr>
          <w:color w:val="000000" w:themeColor="text1"/>
          <w:szCs w:val="22"/>
          <w:lang w:val="en-US"/>
        </w:rPr>
        <w:t>(</w:t>
      </w:r>
      <w:r w:rsidR="00766670" w:rsidRPr="0022398D">
        <w:rPr>
          <w:color w:val="000000" w:themeColor="text1"/>
          <w:szCs w:val="22"/>
          <w:lang w:val="en-US"/>
        </w:rPr>
        <w:fldChar w:fldCharType="begin"/>
      </w:r>
      <w:r w:rsidR="00766670" w:rsidRPr="0022398D">
        <w:rPr>
          <w:color w:val="000000" w:themeColor="text1"/>
          <w:szCs w:val="22"/>
          <w:lang w:val="en-US"/>
        </w:rPr>
        <w:instrText xml:space="preserve"> REF _Ref211931338 \h  \* MERGEFORMAT </w:instrText>
      </w:r>
      <w:r w:rsidR="00766670" w:rsidRPr="0022398D">
        <w:rPr>
          <w:color w:val="000000" w:themeColor="text1"/>
          <w:szCs w:val="22"/>
          <w:lang w:val="en-US"/>
        </w:rPr>
      </w:r>
      <w:r w:rsidR="00766670" w:rsidRPr="002239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92</w:t>
      </w:r>
      <w:r w:rsidR="00766670" w:rsidRPr="0022398D">
        <w:rPr>
          <w:color w:val="000000" w:themeColor="text1"/>
          <w:szCs w:val="22"/>
          <w:lang w:val="en-US"/>
        </w:rPr>
        <w:fldChar w:fldCharType="end"/>
      </w:r>
      <w:r w:rsidR="0022398D" w:rsidRPr="0022398D">
        <w:rPr>
          <w:color w:val="000000" w:themeColor="text1"/>
          <w:szCs w:val="22"/>
          <w:lang w:val="en-US"/>
        </w:rPr>
        <w:t xml:space="preserve"> Appendix </w:t>
      </w:r>
      <w:r w:rsidR="008B0432">
        <w:rPr>
          <w:color w:val="000000" w:themeColor="text1"/>
          <w:szCs w:val="22"/>
          <w:lang w:val="en-US"/>
        </w:rPr>
        <w:fldChar w:fldCharType="begin"/>
      </w:r>
      <w:r w:rsidR="008B0432">
        <w:rPr>
          <w:color w:val="000000" w:themeColor="text1"/>
          <w:szCs w:val="22"/>
          <w:lang w:val="en-US"/>
        </w:rPr>
        <w:instrText xml:space="preserve"> REF _Ref511131718 \r \h </w:instrText>
      </w:r>
      <w:r w:rsidR="008B0432">
        <w:rPr>
          <w:color w:val="000000" w:themeColor="text1"/>
          <w:szCs w:val="22"/>
          <w:lang w:val="en-US"/>
        </w:rPr>
      </w:r>
      <w:r w:rsidR="008B0432">
        <w:rPr>
          <w:color w:val="000000" w:themeColor="text1"/>
          <w:szCs w:val="22"/>
          <w:lang w:val="en-US"/>
        </w:rPr>
        <w:fldChar w:fldCharType="separate"/>
      </w:r>
      <w:r w:rsidR="00F87DF9">
        <w:rPr>
          <w:color w:val="000000" w:themeColor="text1"/>
          <w:szCs w:val="22"/>
          <w:lang w:val="en-US"/>
        </w:rPr>
        <w:t>A4.2.3</w:t>
      </w:r>
      <w:r w:rsidR="008B0432">
        <w:rPr>
          <w:color w:val="000000" w:themeColor="text1"/>
          <w:szCs w:val="22"/>
          <w:lang w:val="en-US"/>
        </w:rPr>
        <w:fldChar w:fldCharType="end"/>
      </w:r>
      <w:r w:rsidR="0022398D" w:rsidRPr="0022398D">
        <w:rPr>
          <w:color w:val="000000" w:themeColor="text1"/>
          <w:szCs w:val="22"/>
          <w:lang w:val="en-US"/>
        </w:rPr>
        <w:t xml:space="preserve">, </w:t>
      </w:r>
      <w:r w:rsidR="0022398D" w:rsidRPr="0022398D">
        <w:rPr>
          <w:color w:val="000000" w:themeColor="text1"/>
          <w:szCs w:val="22"/>
          <w:lang w:val="en-US"/>
        </w:rPr>
        <w:fldChar w:fldCharType="begin"/>
      </w:r>
      <w:r w:rsidR="0022398D" w:rsidRPr="0022398D">
        <w:rPr>
          <w:color w:val="000000" w:themeColor="text1"/>
          <w:szCs w:val="22"/>
          <w:lang w:val="en-US"/>
        </w:rPr>
        <w:instrText xml:space="preserve"> REF _Ref382206987 \h  \* MERGEFORMAT </w:instrText>
      </w:r>
      <w:r w:rsidR="0022398D" w:rsidRPr="0022398D">
        <w:rPr>
          <w:color w:val="000000" w:themeColor="text1"/>
          <w:szCs w:val="22"/>
          <w:lang w:val="en-US"/>
        </w:rPr>
      </w:r>
      <w:r w:rsidR="0022398D" w:rsidRPr="002239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192</w:t>
      </w:r>
      <w:r w:rsidR="0022398D" w:rsidRPr="0022398D">
        <w:rPr>
          <w:color w:val="000000" w:themeColor="text1"/>
          <w:szCs w:val="22"/>
          <w:lang w:val="en-US"/>
        </w:rPr>
        <w:fldChar w:fldCharType="end"/>
      </w:r>
      <w:r w:rsidR="0022398D" w:rsidRPr="0022398D">
        <w:rPr>
          <w:color w:val="000000" w:themeColor="text1"/>
          <w:szCs w:val="22"/>
          <w:lang w:val="en-US"/>
        </w:rPr>
        <w:t xml:space="preserve">). </w:t>
      </w:r>
      <w:r w:rsidRPr="0022398D">
        <w:rPr>
          <w:color w:val="000000" w:themeColor="text1"/>
          <w:szCs w:val="22"/>
          <w:lang w:val="en-US"/>
        </w:rPr>
        <w:t xml:space="preserve">Percentage cover of macroalgae remained unchanged and </w:t>
      </w:r>
      <w:r w:rsidR="00CB4773" w:rsidRPr="0022398D">
        <w:rPr>
          <w:color w:val="000000" w:themeColor="text1"/>
          <w:szCs w:val="22"/>
          <w:lang w:val="en-US"/>
        </w:rPr>
        <w:t xml:space="preserve">at or </w:t>
      </w:r>
      <w:r w:rsidRPr="0022398D">
        <w:rPr>
          <w:color w:val="000000" w:themeColor="text1"/>
          <w:szCs w:val="22"/>
          <w:lang w:val="en-US"/>
        </w:rPr>
        <w:t xml:space="preserve">below the </w:t>
      </w:r>
      <w:r w:rsidR="007F6948">
        <w:rPr>
          <w:color w:val="000000" w:themeColor="text1"/>
          <w:szCs w:val="22"/>
          <w:lang w:val="en-US"/>
        </w:rPr>
        <w:t>Great Barrier Reef</w:t>
      </w:r>
      <w:r w:rsidRPr="0022398D">
        <w:rPr>
          <w:color w:val="000000" w:themeColor="text1"/>
          <w:szCs w:val="22"/>
          <w:lang w:val="en-US"/>
        </w:rPr>
        <w:t xml:space="preserve"> long-term average for </w:t>
      </w:r>
      <w:r w:rsidR="00B9236B" w:rsidRPr="0022398D">
        <w:rPr>
          <w:color w:val="000000" w:themeColor="text1"/>
          <w:szCs w:val="22"/>
          <w:lang w:val="en-US"/>
        </w:rPr>
        <w:t xml:space="preserve">all habitats </w:t>
      </w:r>
      <w:r w:rsidRPr="0022398D">
        <w:rPr>
          <w:color w:val="000000" w:themeColor="text1"/>
          <w:szCs w:val="22"/>
          <w:lang w:val="en-US"/>
        </w:rPr>
        <w:t xml:space="preserve">throughout </w:t>
      </w:r>
      <w:r w:rsidR="008574EC">
        <w:rPr>
          <w:color w:val="000000" w:themeColor="text1"/>
          <w:szCs w:val="22"/>
          <w:lang w:val="en-US"/>
        </w:rPr>
        <w:t>2016–17</w:t>
      </w:r>
      <w:r w:rsidRPr="0022398D">
        <w:rPr>
          <w:color w:val="000000" w:themeColor="text1"/>
          <w:szCs w:val="22"/>
          <w:lang w:val="en-US"/>
        </w:rPr>
        <w:t xml:space="preserve"> </w:t>
      </w:r>
      <w:r w:rsidR="00766670" w:rsidRPr="0022398D">
        <w:rPr>
          <w:color w:val="000000" w:themeColor="text1"/>
          <w:szCs w:val="22"/>
          <w:lang w:val="en-US"/>
        </w:rPr>
        <w:t xml:space="preserve">(Appendix </w:t>
      </w:r>
      <w:r w:rsidR="008B0432">
        <w:rPr>
          <w:color w:val="000000" w:themeColor="text1"/>
          <w:szCs w:val="22"/>
          <w:lang w:val="en-US"/>
        </w:rPr>
        <w:fldChar w:fldCharType="begin"/>
      </w:r>
      <w:r w:rsidR="008B0432">
        <w:rPr>
          <w:color w:val="000000" w:themeColor="text1"/>
          <w:szCs w:val="22"/>
          <w:lang w:val="en-US"/>
        </w:rPr>
        <w:instrText xml:space="preserve"> REF _Ref511131718 \r \h </w:instrText>
      </w:r>
      <w:r w:rsidR="008B0432">
        <w:rPr>
          <w:color w:val="000000" w:themeColor="text1"/>
          <w:szCs w:val="22"/>
          <w:lang w:val="en-US"/>
        </w:rPr>
      </w:r>
      <w:r w:rsidR="008B0432">
        <w:rPr>
          <w:color w:val="000000" w:themeColor="text1"/>
          <w:szCs w:val="22"/>
          <w:lang w:val="en-US"/>
        </w:rPr>
        <w:fldChar w:fldCharType="separate"/>
      </w:r>
      <w:r w:rsidR="00F87DF9">
        <w:rPr>
          <w:color w:val="000000" w:themeColor="text1"/>
          <w:szCs w:val="22"/>
          <w:lang w:val="en-US"/>
        </w:rPr>
        <w:t>A4.2.3</w:t>
      </w:r>
      <w:r w:rsidR="008B0432">
        <w:rPr>
          <w:color w:val="000000" w:themeColor="text1"/>
          <w:szCs w:val="22"/>
          <w:lang w:val="en-US"/>
        </w:rPr>
        <w:fldChar w:fldCharType="end"/>
      </w:r>
      <w:r w:rsidR="00766670" w:rsidRPr="0022398D">
        <w:rPr>
          <w:color w:val="000000" w:themeColor="text1"/>
          <w:szCs w:val="22"/>
          <w:lang w:val="en-US"/>
        </w:rPr>
        <w:t xml:space="preserve">, </w:t>
      </w:r>
      <w:r w:rsidR="00766670" w:rsidRPr="0022398D">
        <w:rPr>
          <w:color w:val="000000" w:themeColor="text1"/>
          <w:szCs w:val="22"/>
          <w:lang w:val="en-US"/>
        </w:rPr>
        <w:fldChar w:fldCharType="begin"/>
      </w:r>
      <w:r w:rsidR="00766670" w:rsidRPr="0022398D">
        <w:rPr>
          <w:color w:val="000000" w:themeColor="text1"/>
          <w:szCs w:val="22"/>
          <w:lang w:val="en-US"/>
        </w:rPr>
        <w:instrText xml:space="preserve"> REF _Ref382206987 \h  \* MERGEFORMAT </w:instrText>
      </w:r>
      <w:r w:rsidR="00766670" w:rsidRPr="0022398D">
        <w:rPr>
          <w:color w:val="000000" w:themeColor="text1"/>
          <w:szCs w:val="22"/>
          <w:lang w:val="en-US"/>
        </w:rPr>
      </w:r>
      <w:r w:rsidR="00766670" w:rsidRPr="002239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192</w:t>
      </w:r>
      <w:r w:rsidR="00766670" w:rsidRPr="0022398D">
        <w:rPr>
          <w:color w:val="000000" w:themeColor="text1"/>
          <w:szCs w:val="22"/>
          <w:lang w:val="en-US"/>
        </w:rPr>
        <w:fldChar w:fldCharType="end"/>
      </w:r>
      <w:r w:rsidR="00766670" w:rsidRPr="0022398D">
        <w:rPr>
          <w:color w:val="000000" w:themeColor="text1"/>
          <w:szCs w:val="22"/>
          <w:lang w:val="en-US"/>
        </w:rPr>
        <w:t xml:space="preserve">, </w:t>
      </w:r>
      <w:r w:rsidR="00766670" w:rsidRPr="0022398D">
        <w:rPr>
          <w:color w:val="000000" w:themeColor="text1"/>
          <w:szCs w:val="22"/>
          <w:lang w:val="en-US"/>
        </w:rPr>
        <w:fldChar w:fldCharType="begin"/>
      </w:r>
      <w:r w:rsidR="00766670" w:rsidRPr="0022398D">
        <w:rPr>
          <w:color w:val="000000" w:themeColor="text1"/>
          <w:szCs w:val="22"/>
          <w:lang w:val="en-US"/>
        </w:rPr>
        <w:instrText xml:space="preserve"> REF _Ref382207016 \h  \* MERGEFORMAT </w:instrText>
      </w:r>
      <w:r w:rsidR="00766670" w:rsidRPr="0022398D">
        <w:rPr>
          <w:color w:val="000000" w:themeColor="text1"/>
          <w:szCs w:val="22"/>
          <w:lang w:val="en-US"/>
        </w:rPr>
      </w:r>
      <w:r w:rsidR="00766670" w:rsidRPr="002239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193</w:t>
      </w:r>
      <w:r w:rsidR="00766670" w:rsidRPr="0022398D">
        <w:rPr>
          <w:color w:val="000000" w:themeColor="text1"/>
          <w:szCs w:val="22"/>
          <w:lang w:val="en-US"/>
        </w:rPr>
        <w:fldChar w:fldCharType="end"/>
      </w:r>
      <w:r w:rsidR="00766670" w:rsidRPr="0022398D">
        <w:rPr>
          <w:color w:val="000000" w:themeColor="text1"/>
          <w:szCs w:val="22"/>
          <w:lang w:val="en-US"/>
        </w:rPr>
        <w:t xml:space="preserve">, </w:t>
      </w:r>
      <w:r w:rsidR="00766670" w:rsidRPr="0022398D">
        <w:rPr>
          <w:color w:val="000000" w:themeColor="text1"/>
          <w:szCs w:val="22"/>
          <w:lang w:val="en-US"/>
        </w:rPr>
        <w:fldChar w:fldCharType="begin"/>
      </w:r>
      <w:r w:rsidR="00766670" w:rsidRPr="0022398D">
        <w:rPr>
          <w:color w:val="000000" w:themeColor="text1"/>
          <w:szCs w:val="22"/>
          <w:lang w:val="en-US"/>
        </w:rPr>
        <w:instrText xml:space="preserve"> REF _Ref382207017 \h  \* MERGEFORMAT </w:instrText>
      </w:r>
      <w:r w:rsidR="00766670" w:rsidRPr="0022398D">
        <w:rPr>
          <w:color w:val="000000" w:themeColor="text1"/>
          <w:szCs w:val="22"/>
          <w:lang w:val="en-US"/>
        </w:rPr>
      </w:r>
      <w:r w:rsidR="00766670" w:rsidRPr="0022398D">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194</w:t>
      </w:r>
      <w:r w:rsidR="00766670" w:rsidRPr="0022398D">
        <w:rPr>
          <w:color w:val="000000" w:themeColor="text1"/>
          <w:szCs w:val="22"/>
          <w:lang w:val="en-US"/>
        </w:rPr>
        <w:fldChar w:fldCharType="end"/>
      </w:r>
      <w:r w:rsidR="00766670" w:rsidRPr="0022398D">
        <w:rPr>
          <w:color w:val="000000" w:themeColor="text1"/>
          <w:szCs w:val="22"/>
          <w:lang w:val="en-US"/>
        </w:rPr>
        <w:t>)</w:t>
      </w:r>
      <w:r w:rsidRPr="0022398D">
        <w:rPr>
          <w:color w:val="000000" w:themeColor="text1"/>
          <w:szCs w:val="22"/>
          <w:lang w:val="en-US"/>
        </w:rPr>
        <w:t xml:space="preserve">. </w:t>
      </w:r>
    </w:p>
    <w:p w14:paraId="01DD9932" w14:textId="77777777" w:rsidR="008A1426" w:rsidRPr="00B9236B" w:rsidRDefault="004E43E3" w:rsidP="00B9236B">
      <w:pPr>
        <w:keepNext/>
        <w:widowControl w:val="0"/>
        <w:spacing w:after="0"/>
        <w:jc w:val="center"/>
        <w:rPr>
          <w:szCs w:val="22"/>
          <w:lang w:val="en-US"/>
        </w:rPr>
      </w:pPr>
      <w:r>
        <w:rPr>
          <w:noProof/>
          <w:szCs w:val="22"/>
          <w:lang w:eastAsia="en-AU"/>
        </w:rPr>
        <w:drawing>
          <wp:inline distT="0" distB="0" distL="0" distR="0" wp14:anchorId="3B5DA405" wp14:editId="6547693C">
            <wp:extent cx="5420687" cy="2899514"/>
            <wp:effectExtent l="0" t="0" r="8890" b="0"/>
            <wp:docPr id="10146" name="Picture 10146" descr="Set of six scatter plots with straight lines and markers showing long-term trend in mean epiphyte and macroalgae abundance (% cover) at each inshore seagrass habitats in the Mackay Whitsunday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6" name="MW_epi_algae_change_2016.png"/>
                    <pic:cNvPicPr/>
                  </pic:nvPicPr>
                  <pic:blipFill>
                    <a:blip r:embed="rId130">
                      <a:extLst>
                        <a:ext uri="{28A0092B-C50C-407E-A947-70E740481C1C}">
                          <a14:useLocalDpi xmlns:a14="http://schemas.microsoft.com/office/drawing/2010/main" val="0"/>
                        </a:ext>
                      </a:extLst>
                    </a:blip>
                    <a:stretch>
                      <a:fillRect/>
                    </a:stretch>
                  </pic:blipFill>
                  <pic:spPr>
                    <a:xfrm>
                      <a:off x="0" y="0"/>
                      <a:ext cx="5420687" cy="2899514"/>
                    </a:xfrm>
                    <a:prstGeom prst="rect">
                      <a:avLst/>
                    </a:prstGeom>
                  </pic:spPr>
                </pic:pic>
              </a:graphicData>
            </a:graphic>
          </wp:inline>
        </w:drawing>
      </w:r>
    </w:p>
    <w:p w14:paraId="2D4ABB41" w14:textId="2F5BD26F" w:rsidR="006341F9" w:rsidRPr="009C493A" w:rsidRDefault="005132EF" w:rsidP="006A6B0C">
      <w:pPr>
        <w:spacing w:before="0"/>
        <w:rPr>
          <w:i/>
          <w:vanish/>
          <w:szCs w:val="22"/>
          <w:specVanish/>
        </w:rPr>
      </w:pPr>
      <w:bookmarkStart w:id="500" w:name="_Ref211931338"/>
      <w:bookmarkStart w:id="501" w:name="_Toc232846003"/>
      <w:bookmarkStart w:id="502" w:name="_Toc431493880"/>
      <w:bookmarkStart w:id="503" w:name="_Toc516053302"/>
      <w:r w:rsidRPr="0095207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92</w:t>
      </w:r>
      <w:r w:rsidR="0073595B">
        <w:rPr>
          <w:color w:val="000000"/>
        </w:rPr>
        <w:fldChar w:fldCharType="end"/>
      </w:r>
      <w:bookmarkEnd w:id="500"/>
      <w:r w:rsidRPr="0095207B">
        <w:rPr>
          <w:color w:val="000000"/>
        </w:rPr>
        <w:t xml:space="preserve">. </w:t>
      </w:r>
      <w:bookmarkEnd w:id="501"/>
      <w:r w:rsidR="008C4B1E" w:rsidRPr="0095207B">
        <w:rPr>
          <w:i/>
          <w:color w:val="000000"/>
        </w:rPr>
        <w:t>Long-term trend in mean epiphyte and macroalgae abundance (</w:t>
      </w:r>
      <w:r w:rsidR="0063478C">
        <w:rPr>
          <w:i/>
          <w:color w:val="000000"/>
        </w:rPr>
        <w:t>per cent</w:t>
      </w:r>
      <w:r w:rsidR="008C4B1E" w:rsidRPr="0095207B">
        <w:rPr>
          <w:i/>
          <w:color w:val="000000"/>
        </w:rPr>
        <w:t xml:space="preserve"> cover) relative to the long-term average for each </w:t>
      </w:r>
      <w:r w:rsidR="006341F9" w:rsidRPr="0095207B">
        <w:rPr>
          <w:i/>
          <w:color w:val="000000"/>
        </w:rPr>
        <w:t xml:space="preserve">inshore intertidal habitat in the Mackay Whitsunday region, 1999 - </w:t>
      </w:r>
      <w:r w:rsidR="006341F9" w:rsidRPr="009C493A">
        <w:rPr>
          <w:i/>
        </w:rPr>
        <w:t>201</w:t>
      </w:r>
      <w:r w:rsidR="00374A95" w:rsidRPr="009C493A">
        <w:rPr>
          <w:i/>
        </w:rPr>
        <w:t>7</w:t>
      </w:r>
      <w:bookmarkEnd w:id="502"/>
      <w:bookmarkEnd w:id="503"/>
      <w:r w:rsidR="008C4B1E" w:rsidRPr="009C493A">
        <w:rPr>
          <w:i/>
        </w:rPr>
        <w:t xml:space="preserve"> </w:t>
      </w:r>
    </w:p>
    <w:p w14:paraId="26FE66E9" w14:textId="77777777" w:rsidR="00BC6384" w:rsidRPr="009C493A" w:rsidRDefault="006341F9" w:rsidP="00BC6384">
      <w:pPr>
        <w:rPr>
          <w:lang w:val="en-GB"/>
        </w:rPr>
      </w:pPr>
      <w:r w:rsidRPr="009C493A">
        <w:rPr>
          <w:i/>
        </w:rPr>
        <w:t xml:space="preserve"> </w:t>
      </w:r>
      <w:r w:rsidR="008C4B1E" w:rsidRPr="009C493A">
        <w:rPr>
          <w:i/>
        </w:rPr>
        <w:t xml:space="preserve">(sites pooled, ±SE). </w:t>
      </w:r>
    </w:p>
    <w:p w14:paraId="08BECF44" w14:textId="0F893F1B" w:rsidR="00BC6384" w:rsidRPr="00BD0604" w:rsidRDefault="00BC6384" w:rsidP="00926892">
      <w:pPr>
        <w:pStyle w:val="Heading3"/>
        <w:numPr>
          <w:ilvl w:val="2"/>
          <w:numId w:val="9"/>
        </w:numPr>
        <w:rPr>
          <w:rFonts w:ascii="Arial" w:hAnsi="Arial" w:cs="Arial"/>
          <w:color w:val="000000"/>
        </w:rPr>
      </w:pPr>
      <w:bookmarkStart w:id="504" w:name="_Toc516053160"/>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504"/>
      <w:r w:rsidRPr="000C1668">
        <w:rPr>
          <w:rFonts w:ascii="Arial" w:hAnsi="Arial" w:cs="Arial"/>
          <w:color w:val="000000"/>
        </w:rPr>
        <w:t xml:space="preserve"> </w:t>
      </w:r>
    </w:p>
    <w:p w14:paraId="1B221648" w14:textId="7C2B511A" w:rsidR="00F4372B" w:rsidRPr="00A80225" w:rsidRDefault="003166B0" w:rsidP="00C36ADD">
      <w:pPr>
        <w:rPr>
          <w:color w:val="000000"/>
          <w:lang w:val="en-GB"/>
        </w:rPr>
      </w:pPr>
      <w:r w:rsidRPr="00FC2669">
        <w:rPr>
          <w:color w:val="000000" w:themeColor="text1"/>
          <w:lang w:val="en-GB"/>
        </w:rPr>
        <w:t xml:space="preserve">In the </w:t>
      </w:r>
      <w:r w:rsidR="008574EC">
        <w:rPr>
          <w:color w:val="000000" w:themeColor="text1"/>
          <w:lang w:val="en-GB"/>
        </w:rPr>
        <w:t>2016–17</w:t>
      </w:r>
      <w:r w:rsidR="00BC6384" w:rsidRPr="00FC2669">
        <w:rPr>
          <w:color w:val="000000" w:themeColor="text1"/>
          <w:lang w:val="en-GB"/>
        </w:rPr>
        <w:t xml:space="preserve"> monitoring period, the seagrass index for </w:t>
      </w:r>
      <w:r w:rsidR="00F520E9" w:rsidRPr="00FC2669">
        <w:rPr>
          <w:color w:val="000000" w:themeColor="text1"/>
          <w:lang w:val="en-GB"/>
        </w:rPr>
        <w:t>the Mackay Whitsunday</w:t>
      </w:r>
      <w:r w:rsidR="00BC6384" w:rsidRPr="00FC2669">
        <w:rPr>
          <w:color w:val="000000" w:themeColor="text1"/>
          <w:lang w:val="en-GB"/>
        </w:rPr>
        <w:t xml:space="preserve"> region </w:t>
      </w:r>
      <w:r w:rsidR="009B15CF" w:rsidRPr="00FC2669">
        <w:rPr>
          <w:color w:val="000000" w:themeColor="text1"/>
          <w:lang w:val="en-GB"/>
        </w:rPr>
        <w:t xml:space="preserve">was </w:t>
      </w:r>
      <w:r w:rsidR="00FC2669" w:rsidRPr="00B26D25">
        <w:rPr>
          <w:b/>
          <w:color w:val="000000" w:themeColor="text1"/>
          <w:lang w:val="en-GB"/>
        </w:rPr>
        <w:t>poor</w:t>
      </w:r>
      <w:r w:rsidR="00FC2669">
        <w:rPr>
          <w:color w:val="000000" w:themeColor="text1"/>
          <w:lang w:val="en-GB"/>
        </w:rPr>
        <w:t xml:space="preserve">, which was </w:t>
      </w:r>
      <w:r w:rsidR="009B15CF" w:rsidRPr="00FC2669">
        <w:rPr>
          <w:color w:val="000000" w:themeColor="text1"/>
          <w:lang w:val="en-GB"/>
        </w:rPr>
        <w:t>the same as</w:t>
      </w:r>
      <w:r w:rsidR="00F520E9" w:rsidRPr="00FC2669">
        <w:rPr>
          <w:color w:val="000000" w:themeColor="text1"/>
          <w:lang w:val="en-GB"/>
        </w:rPr>
        <w:t xml:space="preserve"> the pr</w:t>
      </w:r>
      <w:r w:rsidR="00FC2669">
        <w:rPr>
          <w:color w:val="000000" w:themeColor="text1"/>
          <w:lang w:val="en-GB"/>
        </w:rPr>
        <w:t xml:space="preserve">evious period, </w:t>
      </w:r>
      <w:r w:rsidR="00F520E9" w:rsidRPr="00FC2669">
        <w:rPr>
          <w:color w:val="000000" w:themeColor="text1"/>
          <w:lang w:val="en-GB"/>
        </w:rPr>
        <w:t>the highest since 2006-07</w:t>
      </w:r>
      <w:r w:rsidR="00306555" w:rsidRPr="00FC2669">
        <w:rPr>
          <w:color w:val="000000" w:themeColor="text1"/>
          <w:lang w:val="en-GB"/>
        </w:rPr>
        <w:t xml:space="preserve"> and the second highest since monitoring began</w:t>
      </w:r>
      <w:r w:rsidR="00B26D25">
        <w:rPr>
          <w:color w:val="000000" w:themeColor="text1"/>
          <w:lang w:val="en-GB"/>
        </w:rPr>
        <w:t xml:space="preserve"> (</w:t>
      </w:r>
      <w:r w:rsidR="00B26D25">
        <w:rPr>
          <w:color w:val="000000" w:themeColor="text1"/>
          <w:lang w:val="en-GB"/>
        </w:rPr>
        <w:fldChar w:fldCharType="begin"/>
      </w:r>
      <w:r w:rsidR="00B26D25">
        <w:rPr>
          <w:color w:val="000000" w:themeColor="text1"/>
          <w:lang w:val="en-GB"/>
        </w:rPr>
        <w:instrText xml:space="preserve"> REF _Ref509323648 \h </w:instrText>
      </w:r>
      <w:r w:rsidR="00B26D25">
        <w:rPr>
          <w:color w:val="000000" w:themeColor="text1"/>
          <w:lang w:val="en-GB"/>
        </w:rPr>
      </w:r>
      <w:r w:rsidR="00B26D25">
        <w:rPr>
          <w:color w:val="000000" w:themeColor="text1"/>
          <w:lang w:val="en-GB"/>
        </w:rPr>
        <w:fldChar w:fldCharType="separate"/>
      </w:r>
      <w:r w:rsidR="00F87DF9" w:rsidRPr="000F1DF9">
        <w:rPr>
          <w:color w:val="000000"/>
        </w:rPr>
        <w:t xml:space="preserve">Table </w:t>
      </w:r>
      <w:r w:rsidR="00F87DF9">
        <w:rPr>
          <w:noProof/>
          <w:color w:val="000000"/>
        </w:rPr>
        <w:t>27</w:t>
      </w:r>
      <w:r w:rsidR="00B26D25">
        <w:rPr>
          <w:color w:val="000000" w:themeColor="text1"/>
          <w:lang w:val="en-GB"/>
        </w:rPr>
        <w:fldChar w:fldCharType="end"/>
      </w:r>
      <w:r w:rsidR="00B26D25">
        <w:rPr>
          <w:color w:val="000000" w:themeColor="text1"/>
          <w:lang w:val="en-GB"/>
        </w:rPr>
        <w:t>)</w:t>
      </w:r>
      <w:r w:rsidR="00F520E9" w:rsidRPr="00FC2669">
        <w:rPr>
          <w:color w:val="000000" w:themeColor="text1"/>
          <w:lang w:val="en-GB"/>
        </w:rPr>
        <w:t xml:space="preserve">. </w:t>
      </w:r>
      <w:r w:rsidR="00306555" w:rsidRPr="00FC2669">
        <w:rPr>
          <w:color w:val="000000" w:themeColor="text1"/>
          <w:lang w:val="en-GB"/>
        </w:rPr>
        <w:t>The most notable changes were the decline in ab</w:t>
      </w:r>
      <w:r w:rsidR="00FC2669">
        <w:rPr>
          <w:color w:val="000000" w:themeColor="text1"/>
          <w:lang w:val="en-GB"/>
        </w:rPr>
        <w:t>u</w:t>
      </w:r>
      <w:r w:rsidR="00306555" w:rsidRPr="00FC2669">
        <w:rPr>
          <w:color w:val="000000" w:themeColor="text1"/>
          <w:lang w:val="en-GB"/>
        </w:rPr>
        <w:t xml:space="preserve">ndance in all habitats (the result of TC Debbie), an increase in reproductive effort at estuarine sites and an improvement in tissue nutrients at coastal sites. </w:t>
      </w:r>
      <w:r w:rsidR="00BC6384" w:rsidRPr="00FC2669">
        <w:rPr>
          <w:color w:val="000000" w:themeColor="text1"/>
          <w:lang w:val="en-GB"/>
        </w:rPr>
        <w:t xml:space="preserve">Overall, the </w:t>
      </w:r>
      <w:r w:rsidR="00F520E9" w:rsidRPr="00FC2669">
        <w:rPr>
          <w:color w:val="000000" w:themeColor="text1"/>
          <w:lang w:val="en-GB"/>
        </w:rPr>
        <w:t>Mack</w:t>
      </w:r>
      <w:r w:rsidR="00306555" w:rsidRPr="00FC2669">
        <w:rPr>
          <w:color w:val="000000" w:themeColor="text1"/>
          <w:lang w:val="en-GB"/>
        </w:rPr>
        <w:t>ay Whitsunday seagrass index had</w:t>
      </w:r>
      <w:r w:rsidR="00F520E9" w:rsidRPr="00FC2669">
        <w:rPr>
          <w:color w:val="000000" w:themeColor="text1"/>
          <w:lang w:val="en-GB"/>
        </w:rPr>
        <w:t xml:space="preserve"> </w:t>
      </w:r>
      <w:r w:rsidR="00306555" w:rsidRPr="00FC2669">
        <w:rPr>
          <w:color w:val="000000" w:themeColor="text1"/>
          <w:lang w:val="en-GB"/>
        </w:rPr>
        <w:t>been improving</w:t>
      </w:r>
      <w:r w:rsidR="00F520E9" w:rsidRPr="00FC2669">
        <w:rPr>
          <w:color w:val="000000" w:themeColor="text1"/>
          <w:lang w:val="en-GB"/>
        </w:rPr>
        <w:t xml:space="preserve"> since 2010-11 when it reached its lowest level since monitoring commenced</w:t>
      </w:r>
      <w:r w:rsidR="00306555" w:rsidRPr="00FC2669">
        <w:rPr>
          <w:color w:val="000000" w:themeColor="text1"/>
          <w:lang w:val="en-GB"/>
        </w:rPr>
        <w:t>, but appears to have stablisied</w:t>
      </w:r>
      <w:r w:rsidR="00FC2669" w:rsidRPr="00FC2669">
        <w:rPr>
          <w:color w:val="000000" w:themeColor="text1"/>
          <w:lang w:val="en-GB"/>
        </w:rPr>
        <w:t xml:space="preserve"> at poor</w:t>
      </w:r>
      <w:r w:rsidR="00F520E9" w:rsidRPr="00FC2669">
        <w:rPr>
          <w:color w:val="000000" w:themeColor="text1"/>
          <w:lang w:val="en-GB"/>
        </w:rPr>
        <w:t>.</w:t>
      </w:r>
      <w:r w:rsidR="00F520E9" w:rsidRPr="00371CFF">
        <w:rPr>
          <w:color w:val="000000" w:themeColor="text1"/>
          <w:lang w:val="en-GB"/>
        </w:rPr>
        <w:t xml:space="preserve"> </w:t>
      </w:r>
    </w:p>
    <w:p w14:paraId="05BD92F0" w14:textId="4E0A617F" w:rsidR="00F4372B" w:rsidRPr="000F1DF9" w:rsidRDefault="00F4372B" w:rsidP="00C36ADD">
      <w:pPr>
        <w:jc w:val="center"/>
        <w:rPr>
          <w:i/>
          <w:vanish/>
          <w:color w:val="000000"/>
          <w:szCs w:val="22"/>
          <w:specVanish/>
        </w:rPr>
      </w:pPr>
      <w:bookmarkStart w:id="505" w:name="_Ref509323648"/>
      <w:bookmarkStart w:id="506" w:name="_Toc516053451"/>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F87DF9">
        <w:rPr>
          <w:noProof/>
          <w:color w:val="000000"/>
        </w:rPr>
        <w:t>27</w:t>
      </w:r>
      <w:r w:rsidRPr="000F1DF9">
        <w:rPr>
          <w:color w:val="000000"/>
        </w:rPr>
        <w:fldChar w:fldCharType="end"/>
      </w:r>
      <w:bookmarkEnd w:id="505"/>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Mackay Whitsunday </w:t>
      </w:r>
      <w:r w:rsidRPr="000F1DF9">
        <w:rPr>
          <w:i/>
          <w:color w:val="000000"/>
        </w:rPr>
        <w:t>region</w:t>
      </w:r>
      <w:r w:rsidRPr="009B15CF">
        <w:rPr>
          <w:i/>
          <w:color w:val="000000" w:themeColor="text1"/>
        </w:rPr>
        <w:t>: June 20</w:t>
      </w:r>
      <w:r w:rsidR="00B9118A" w:rsidRPr="009B15CF">
        <w:rPr>
          <w:i/>
          <w:color w:val="000000" w:themeColor="text1"/>
        </w:rPr>
        <w:t>1</w:t>
      </w:r>
      <w:r w:rsidR="009B15CF" w:rsidRPr="009B15CF">
        <w:rPr>
          <w:i/>
          <w:color w:val="000000" w:themeColor="text1"/>
        </w:rPr>
        <w:t>6</w:t>
      </w:r>
      <w:r w:rsidRPr="009B15CF">
        <w:rPr>
          <w:i/>
          <w:color w:val="000000" w:themeColor="text1"/>
        </w:rPr>
        <w:t xml:space="preserve"> – May 201</w:t>
      </w:r>
      <w:r w:rsidR="009B15CF" w:rsidRPr="009B15CF">
        <w:rPr>
          <w:i/>
          <w:color w:val="000000" w:themeColor="text1"/>
        </w:rPr>
        <w:t>7</w:t>
      </w:r>
      <w:r w:rsidRPr="009B15CF">
        <w:rPr>
          <w:i/>
          <w:color w:val="000000" w:themeColor="text1"/>
        </w:rPr>
        <w:t>.</w:t>
      </w:r>
      <w:bookmarkEnd w:id="506"/>
      <w:r w:rsidRPr="009B15CF">
        <w:rPr>
          <w:i/>
          <w:color w:val="000000" w:themeColor="text1"/>
        </w:rPr>
        <w:t xml:space="preserve"> </w:t>
      </w:r>
    </w:p>
    <w:p w14:paraId="54BABF4D" w14:textId="77777777" w:rsidR="00F4372B" w:rsidRDefault="00F4372B" w:rsidP="00C36ADD">
      <w:pPr>
        <w:jc w:val="center"/>
        <w:rPr>
          <w:i/>
          <w:szCs w:val="22"/>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 very poor (0 - 20)</w:t>
      </w:r>
      <w:r w:rsidRPr="00E237C6">
        <w:rPr>
          <w:i/>
          <w:szCs w:val="22"/>
        </w:rPr>
        <w:t>.</w:t>
      </w:r>
      <w:r>
        <w:rPr>
          <w:i/>
          <w:color w:val="000000"/>
        </w:rPr>
        <w:t xml:space="preserve"> </w:t>
      </w:r>
      <w:r>
        <w:rPr>
          <w:i/>
          <w:szCs w:val="22"/>
        </w:rPr>
        <w:t>NB: Scores are unitless.</w:t>
      </w:r>
    </w:p>
    <w:tbl>
      <w:tblPr>
        <w:tblW w:w="9060"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840"/>
        <w:gridCol w:w="519"/>
        <w:gridCol w:w="519"/>
        <w:gridCol w:w="519"/>
        <w:gridCol w:w="519"/>
        <w:gridCol w:w="519"/>
        <w:gridCol w:w="519"/>
        <w:gridCol w:w="519"/>
        <w:gridCol w:w="461"/>
        <w:gridCol w:w="461"/>
        <w:gridCol w:w="461"/>
        <w:gridCol w:w="461"/>
        <w:gridCol w:w="440"/>
      </w:tblGrid>
      <w:tr w:rsidR="009B15CF" w:rsidRPr="00EC364C" w14:paraId="412BF63C" w14:textId="77777777" w:rsidTr="005209EC">
        <w:trPr>
          <w:cantSplit/>
          <w:trHeight w:val="782"/>
          <w:jc w:val="center"/>
        </w:trPr>
        <w:tc>
          <w:tcPr>
            <w:tcW w:w="1303" w:type="dxa"/>
            <w:tcBorders>
              <w:top w:val="single" w:sz="4" w:space="0" w:color="000000"/>
              <w:bottom w:val="single" w:sz="4" w:space="0" w:color="auto"/>
            </w:tcBorders>
            <w:shd w:val="clear" w:color="auto" w:fill="auto"/>
            <w:vAlign w:val="center"/>
          </w:tcPr>
          <w:p w14:paraId="34C274AD" w14:textId="77777777" w:rsidR="009B15CF" w:rsidRPr="00EC364C" w:rsidRDefault="009B15CF" w:rsidP="00C36ADD">
            <w:pPr>
              <w:spacing w:before="0" w:after="0"/>
              <w:jc w:val="center"/>
              <w:rPr>
                <w:b/>
                <w:color w:val="000000"/>
                <w:sz w:val="20"/>
                <w:szCs w:val="20"/>
                <w:lang w:eastAsia="en-AU"/>
              </w:rPr>
            </w:pPr>
            <w:r>
              <w:rPr>
                <w:b/>
                <w:color w:val="000000"/>
                <w:sz w:val="20"/>
                <w:szCs w:val="20"/>
                <w:lang w:eastAsia="en-AU"/>
              </w:rPr>
              <w:t>Indicator</w:t>
            </w:r>
          </w:p>
        </w:tc>
        <w:tc>
          <w:tcPr>
            <w:tcW w:w="1840" w:type="dxa"/>
            <w:tcBorders>
              <w:top w:val="single" w:sz="4" w:space="0" w:color="000000"/>
              <w:bottom w:val="single" w:sz="4" w:space="0" w:color="auto"/>
            </w:tcBorders>
            <w:shd w:val="clear" w:color="auto" w:fill="auto"/>
            <w:noWrap/>
            <w:vAlign w:val="center"/>
          </w:tcPr>
          <w:p w14:paraId="2302D137" w14:textId="77777777" w:rsidR="009B15CF" w:rsidRPr="00EC364C" w:rsidRDefault="009B15CF" w:rsidP="00C36ADD">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3E20DF95"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0E2E1E3D"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519" w:type="dxa"/>
            <w:tcBorders>
              <w:top w:val="single" w:sz="4" w:space="0" w:color="000000"/>
              <w:bottom w:val="single" w:sz="4" w:space="0" w:color="000000"/>
            </w:tcBorders>
            <w:shd w:val="clear" w:color="auto" w:fill="auto"/>
            <w:textDirection w:val="btLr"/>
            <w:vAlign w:val="center"/>
          </w:tcPr>
          <w:p w14:paraId="1A4ACC1A"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519" w:type="dxa"/>
            <w:tcBorders>
              <w:top w:val="single" w:sz="4" w:space="0" w:color="000000"/>
              <w:bottom w:val="single" w:sz="4" w:space="0" w:color="000000"/>
            </w:tcBorders>
            <w:shd w:val="clear" w:color="auto" w:fill="auto"/>
            <w:textDirection w:val="btLr"/>
            <w:vAlign w:val="center"/>
          </w:tcPr>
          <w:p w14:paraId="4284AEED"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519" w:type="dxa"/>
            <w:tcBorders>
              <w:top w:val="single" w:sz="4" w:space="0" w:color="000000"/>
              <w:bottom w:val="single" w:sz="4" w:space="0" w:color="000000"/>
            </w:tcBorders>
            <w:shd w:val="clear" w:color="auto" w:fill="auto"/>
            <w:textDirection w:val="btLr"/>
            <w:vAlign w:val="center"/>
          </w:tcPr>
          <w:p w14:paraId="77379DC0"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2BABBEEB"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76C8140F"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461" w:type="dxa"/>
            <w:tcBorders>
              <w:top w:val="single" w:sz="4" w:space="0" w:color="000000"/>
              <w:bottom w:val="single" w:sz="4" w:space="0" w:color="000000"/>
            </w:tcBorders>
            <w:textDirection w:val="btLr"/>
            <w:vAlign w:val="center"/>
          </w:tcPr>
          <w:p w14:paraId="74B689B8"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2012-13</w:t>
            </w:r>
          </w:p>
        </w:tc>
        <w:tc>
          <w:tcPr>
            <w:tcW w:w="461" w:type="dxa"/>
            <w:tcBorders>
              <w:top w:val="single" w:sz="4" w:space="0" w:color="000000"/>
              <w:bottom w:val="single" w:sz="4" w:space="0" w:color="000000"/>
            </w:tcBorders>
            <w:textDirection w:val="btLr"/>
            <w:vAlign w:val="center"/>
          </w:tcPr>
          <w:p w14:paraId="19CE44DE" w14:textId="77777777" w:rsidR="009B15CF" w:rsidRPr="00EC364C" w:rsidRDefault="009B15CF" w:rsidP="00C36ADD">
            <w:pPr>
              <w:spacing w:before="0" w:after="0"/>
              <w:ind w:left="113" w:right="113"/>
              <w:rPr>
                <w:b/>
                <w:color w:val="000000"/>
                <w:sz w:val="16"/>
                <w:szCs w:val="16"/>
                <w:lang w:eastAsia="en-AU"/>
              </w:rPr>
            </w:pPr>
            <w:r w:rsidRPr="00EC364C">
              <w:rPr>
                <w:b/>
                <w:color w:val="000000"/>
                <w:sz w:val="16"/>
                <w:szCs w:val="16"/>
                <w:lang w:eastAsia="en-AU"/>
              </w:rPr>
              <w:t>2013-14</w:t>
            </w:r>
          </w:p>
        </w:tc>
        <w:tc>
          <w:tcPr>
            <w:tcW w:w="461" w:type="dxa"/>
            <w:tcBorders>
              <w:top w:val="single" w:sz="4" w:space="0" w:color="000000"/>
              <w:bottom w:val="single" w:sz="4" w:space="0" w:color="000000"/>
            </w:tcBorders>
            <w:textDirection w:val="btLr"/>
            <w:vAlign w:val="center"/>
          </w:tcPr>
          <w:p w14:paraId="1934B737" w14:textId="77777777" w:rsidR="009B15CF" w:rsidRPr="00EC364C" w:rsidRDefault="009B15CF" w:rsidP="00C36ADD">
            <w:pPr>
              <w:spacing w:before="0" w:after="0"/>
              <w:ind w:left="113" w:right="113"/>
              <w:rPr>
                <w:b/>
                <w:color w:val="000000"/>
                <w:sz w:val="16"/>
                <w:szCs w:val="16"/>
                <w:lang w:eastAsia="en-AU"/>
              </w:rPr>
            </w:pPr>
            <w:r>
              <w:rPr>
                <w:b/>
                <w:color w:val="000000"/>
                <w:sz w:val="16"/>
                <w:szCs w:val="16"/>
                <w:lang w:eastAsia="en-AU"/>
              </w:rPr>
              <w:t>2014-15</w:t>
            </w:r>
          </w:p>
        </w:tc>
        <w:tc>
          <w:tcPr>
            <w:tcW w:w="461" w:type="dxa"/>
            <w:tcBorders>
              <w:top w:val="single" w:sz="4" w:space="0" w:color="000000"/>
              <w:bottom w:val="single" w:sz="4" w:space="0" w:color="000000"/>
            </w:tcBorders>
            <w:textDirection w:val="btLr"/>
          </w:tcPr>
          <w:p w14:paraId="16658629" w14:textId="77777777" w:rsidR="009B15CF" w:rsidRDefault="009B15CF" w:rsidP="00C36ADD">
            <w:pPr>
              <w:spacing w:before="0" w:after="0"/>
              <w:ind w:left="113" w:right="113"/>
              <w:rPr>
                <w:b/>
                <w:color w:val="000000"/>
                <w:sz w:val="16"/>
                <w:szCs w:val="16"/>
                <w:lang w:eastAsia="en-AU"/>
              </w:rPr>
            </w:pPr>
            <w:r>
              <w:rPr>
                <w:b/>
                <w:color w:val="000000"/>
                <w:sz w:val="16"/>
                <w:szCs w:val="16"/>
                <w:lang w:eastAsia="en-AU"/>
              </w:rPr>
              <w:t>2015-16</w:t>
            </w:r>
          </w:p>
        </w:tc>
        <w:tc>
          <w:tcPr>
            <w:tcW w:w="440" w:type="dxa"/>
            <w:tcBorders>
              <w:top w:val="single" w:sz="4" w:space="0" w:color="000000"/>
              <w:bottom w:val="single" w:sz="4" w:space="0" w:color="000000"/>
            </w:tcBorders>
            <w:shd w:val="clear" w:color="auto" w:fill="FFFFFF" w:themeFill="background1"/>
            <w:textDirection w:val="btLr"/>
          </w:tcPr>
          <w:p w14:paraId="4FD889D1" w14:textId="24D35E0A" w:rsidR="009B15CF" w:rsidRDefault="008574EC" w:rsidP="00C36ADD">
            <w:pPr>
              <w:spacing w:before="0" w:after="0"/>
              <w:ind w:left="113" w:right="113"/>
              <w:rPr>
                <w:b/>
                <w:color w:val="000000"/>
                <w:sz w:val="16"/>
                <w:szCs w:val="16"/>
                <w:lang w:eastAsia="en-AU"/>
              </w:rPr>
            </w:pPr>
            <w:r>
              <w:rPr>
                <w:b/>
                <w:color w:val="000000"/>
                <w:sz w:val="16"/>
                <w:szCs w:val="16"/>
                <w:lang w:eastAsia="en-AU"/>
              </w:rPr>
              <w:t>2016–17</w:t>
            </w:r>
          </w:p>
        </w:tc>
      </w:tr>
      <w:tr w:rsidR="009B15CF" w:rsidRPr="00EC364C" w14:paraId="447EBAAC" w14:textId="77777777" w:rsidTr="005209EC">
        <w:trPr>
          <w:trHeight w:val="312"/>
          <w:jc w:val="center"/>
        </w:trPr>
        <w:tc>
          <w:tcPr>
            <w:tcW w:w="1303" w:type="dxa"/>
            <w:vMerge w:val="restart"/>
            <w:tcBorders>
              <w:top w:val="single" w:sz="4" w:space="0" w:color="auto"/>
              <w:left w:val="nil"/>
              <w:bottom w:val="nil"/>
              <w:right w:val="nil"/>
            </w:tcBorders>
            <w:shd w:val="clear" w:color="auto" w:fill="auto"/>
            <w:noWrap/>
            <w:vAlign w:val="center"/>
          </w:tcPr>
          <w:p w14:paraId="4E92376F" w14:textId="77777777" w:rsidR="009B15CF" w:rsidRPr="00EC364C" w:rsidRDefault="009B15CF" w:rsidP="00C36ADD">
            <w:pPr>
              <w:spacing w:before="0" w:after="0"/>
              <w:rPr>
                <w:color w:val="000000"/>
                <w:sz w:val="20"/>
                <w:szCs w:val="20"/>
                <w:lang w:eastAsia="en-AU"/>
              </w:rPr>
            </w:pPr>
            <w:r>
              <w:rPr>
                <w:color w:val="000000"/>
                <w:sz w:val="20"/>
                <w:szCs w:val="20"/>
                <w:lang w:eastAsia="en-AU"/>
              </w:rPr>
              <w:t>Abundance</w:t>
            </w:r>
          </w:p>
        </w:tc>
        <w:tc>
          <w:tcPr>
            <w:tcW w:w="1840" w:type="dxa"/>
            <w:tcBorders>
              <w:top w:val="single" w:sz="4" w:space="0" w:color="auto"/>
              <w:left w:val="nil"/>
              <w:bottom w:val="nil"/>
              <w:right w:val="nil"/>
            </w:tcBorders>
            <w:shd w:val="clear" w:color="auto" w:fill="auto"/>
            <w:noWrap/>
            <w:vAlign w:val="center"/>
          </w:tcPr>
          <w:p w14:paraId="5A657CC8"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estuarine intertidal</w:t>
            </w:r>
          </w:p>
        </w:tc>
        <w:tc>
          <w:tcPr>
            <w:tcW w:w="519" w:type="dxa"/>
            <w:tcBorders>
              <w:left w:val="nil"/>
              <w:bottom w:val="single" w:sz="4" w:space="0" w:color="FFFFFF"/>
            </w:tcBorders>
            <w:shd w:val="clear" w:color="auto" w:fill="FFCC00"/>
            <w:noWrap/>
            <w:vAlign w:val="center"/>
          </w:tcPr>
          <w:p w14:paraId="0270EE3C"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40</w:t>
            </w:r>
          </w:p>
        </w:tc>
        <w:tc>
          <w:tcPr>
            <w:tcW w:w="519" w:type="dxa"/>
            <w:tcBorders>
              <w:bottom w:val="single" w:sz="4" w:space="0" w:color="FFFFFF"/>
            </w:tcBorders>
            <w:shd w:val="clear" w:color="auto" w:fill="FFCC00"/>
            <w:noWrap/>
            <w:vAlign w:val="center"/>
          </w:tcPr>
          <w:p w14:paraId="417024A6"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noWrap/>
            <w:vAlign w:val="center"/>
          </w:tcPr>
          <w:p w14:paraId="063ADEA2"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20</w:t>
            </w:r>
          </w:p>
        </w:tc>
        <w:tc>
          <w:tcPr>
            <w:tcW w:w="519" w:type="dxa"/>
            <w:tcBorders>
              <w:bottom w:val="single" w:sz="4" w:space="0" w:color="FFFFFF"/>
            </w:tcBorders>
            <w:shd w:val="clear" w:color="auto" w:fill="FFCC00"/>
            <w:noWrap/>
            <w:vAlign w:val="center"/>
          </w:tcPr>
          <w:p w14:paraId="1B7BADAB"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noWrap/>
            <w:vAlign w:val="center"/>
          </w:tcPr>
          <w:p w14:paraId="72C2312A"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w:t>
            </w:r>
          </w:p>
        </w:tc>
        <w:tc>
          <w:tcPr>
            <w:tcW w:w="519" w:type="dxa"/>
            <w:tcBorders>
              <w:bottom w:val="single" w:sz="4" w:space="0" w:color="FFFFFF"/>
            </w:tcBorders>
            <w:shd w:val="clear" w:color="auto" w:fill="FF0000"/>
            <w:noWrap/>
            <w:vAlign w:val="center"/>
          </w:tcPr>
          <w:p w14:paraId="1EE5135E"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0</w:t>
            </w:r>
          </w:p>
        </w:tc>
        <w:tc>
          <w:tcPr>
            <w:tcW w:w="519" w:type="dxa"/>
            <w:tcBorders>
              <w:bottom w:val="single" w:sz="4" w:space="0" w:color="FFFFFF"/>
            </w:tcBorders>
            <w:shd w:val="clear" w:color="auto" w:fill="FF0000"/>
            <w:noWrap/>
            <w:vAlign w:val="center"/>
          </w:tcPr>
          <w:p w14:paraId="5524C168"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13</w:t>
            </w:r>
          </w:p>
        </w:tc>
        <w:tc>
          <w:tcPr>
            <w:tcW w:w="461" w:type="dxa"/>
            <w:tcBorders>
              <w:bottom w:val="single" w:sz="4" w:space="0" w:color="FFFFFF"/>
            </w:tcBorders>
            <w:shd w:val="clear" w:color="auto" w:fill="FFCC00"/>
            <w:vAlign w:val="center"/>
          </w:tcPr>
          <w:p w14:paraId="7E1C9ED3"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25</w:t>
            </w:r>
          </w:p>
        </w:tc>
        <w:tc>
          <w:tcPr>
            <w:tcW w:w="461" w:type="dxa"/>
            <w:tcBorders>
              <w:bottom w:val="single" w:sz="4" w:space="0" w:color="FFFFFF"/>
            </w:tcBorders>
            <w:shd w:val="clear" w:color="auto" w:fill="FF0000"/>
            <w:vAlign w:val="center"/>
          </w:tcPr>
          <w:p w14:paraId="2B060202"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13</w:t>
            </w:r>
          </w:p>
        </w:tc>
        <w:tc>
          <w:tcPr>
            <w:tcW w:w="461" w:type="dxa"/>
            <w:tcBorders>
              <w:bottom w:val="single" w:sz="4" w:space="0" w:color="FFFFFF"/>
            </w:tcBorders>
            <w:shd w:val="clear" w:color="auto" w:fill="FF0000"/>
            <w:vAlign w:val="center"/>
          </w:tcPr>
          <w:p w14:paraId="2087DC39" w14:textId="77777777" w:rsidR="009B15CF" w:rsidRPr="00056DBB" w:rsidRDefault="009B15CF" w:rsidP="00C36ADD">
            <w:pPr>
              <w:spacing w:before="0" w:after="0"/>
              <w:jc w:val="center"/>
              <w:rPr>
                <w:b/>
                <w:color w:val="000000"/>
                <w:sz w:val="20"/>
                <w:szCs w:val="20"/>
                <w:lang w:eastAsia="en-AU"/>
              </w:rPr>
            </w:pPr>
            <w:r w:rsidRPr="00056DBB">
              <w:rPr>
                <w:sz w:val="20"/>
                <w:szCs w:val="20"/>
              </w:rPr>
              <w:t>13</w:t>
            </w:r>
          </w:p>
        </w:tc>
        <w:tc>
          <w:tcPr>
            <w:tcW w:w="461" w:type="dxa"/>
            <w:tcBorders>
              <w:bottom w:val="single" w:sz="4" w:space="0" w:color="FFFFFF"/>
            </w:tcBorders>
            <w:shd w:val="clear" w:color="auto" w:fill="FF0000"/>
            <w:vAlign w:val="center"/>
          </w:tcPr>
          <w:p w14:paraId="171833DA" w14:textId="77777777" w:rsidR="009B15CF" w:rsidRPr="00056DBB" w:rsidRDefault="009B15CF" w:rsidP="00C36ADD">
            <w:pPr>
              <w:spacing w:before="0" w:after="0"/>
              <w:jc w:val="center"/>
              <w:rPr>
                <w:sz w:val="20"/>
                <w:szCs w:val="20"/>
              </w:rPr>
            </w:pPr>
            <w:r>
              <w:rPr>
                <w:sz w:val="20"/>
                <w:szCs w:val="20"/>
              </w:rPr>
              <w:t>13</w:t>
            </w:r>
          </w:p>
        </w:tc>
        <w:tc>
          <w:tcPr>
            <w:tcW w:w="440" w:type="dxa"/>
            <w:tcBorders>
              <w:bottom w:val="single" w:sz="4" w:space="0" w:color="FFFFFF"/>
            </w:tcBorders>
            <w:shd w:val="clear" w:color="auto" w:fill="FF0000"/>
            <w:vAlign w:val="center"/>
          </w:tcPr>
          <w:p w14:paraId="1689EE11" w14:textId="77777777" w:rsidR="009B15CF" w:rsidRPr="0073784B" w:rsidRDefault="009B15CF" w:rsidP="00C36ADD">
            <w:pPr>
              <w:spacing w:before="0" w:after="0"/>
              <w:jc w:val="center"/>
              <w:rPr>
                <w:sz w:val="20"/>
                <w:szCs w:val="20"/>
              </w:rPr>
            </w:pPr>
            <w:r w:rsidRPr="0073784B">
              <w:rPr>
                <w:sz w:val="20"/>
                <w:szCs w:val="20"/>
              </w:rPr>
              <w:t>13</w:t>
            </w:r>
          </w:p>
        </w:tc>
      </w:tr>
      <w:tr w:rsidR="009B15CF" w:rsidRPr="00EC364C" w14:paraId="3185F0F5" w14:textId="77777777" w:rsidTr="005209EC">
        <w:trPr>
          <w:trHeight w:val="312"/>
          <w:jc w:val="center"/>
        </w:trPr>
        <w:tc>
          <w:tcPr>
            <w:tcW w:w="1303" w:type="dxa"/>
            <w:vMerge/>
            <w:tcBorders>
              <w:top w:val="nil"/>
              <w:left w:val="nil"/>
              <w:bottom w:val="nil"/>
              <w:right w:val="nil"/>
            </w:tcBorders>
            <w:shd w:val="clear" w:color="auto" w:fill="auto"/>
            <w:noWrap/>
            <w:vAlign w:val="center"/>
          </w:tcPr>
          <w:p w14:paraId="4CCC30AD" w14:textId="77777777" w:rsidR="009B15CF" w:rsidRPr="00EC364C" w:rsidRDefault="009B15CF" w:rsidP="00C36ADD">
            <w:pPr>
              <w:spacing w:before="0" w:after="0"/>
              <w:rPr>
                <w:color w:val="000000"/>
                <w:sz w:val="20"/>
                <w:szCs w:val="20"/>
                <w:lang w:eastAsia="en-AU"/>
              </w:rPr>
            </w:pPr>
          </w:p>
        </w:tc>
        <w:tc>
          <w:tcPr>
            <w:tcW w:w="1840" w:type="dxa"/>
            <w:tcBorders>
              <w:top w:val="nil"/>
              <w:left w:val="nil"/>
              <w:bottom w:val="nil"/>
              <w:right w:val="nil"/>
            </w:tcBorders>
            <w:shd w:val="clear" w:color="auto" w:fill="auto"/>
            <w:noWrap/>
            <w:vAlign w:val="center"/>
          </w:tcPr>
          <w:p w14:paraId="50742EAB"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left w:val="nil"/>
              <w:bottom w:val="single" w:sz="4" w:space="0" w:color="FFFFFF"/>
              <w:right w:val="single" w:sz="4" w:space="0" w:color="FFFFFF"/>
            </w:tcBorders>
            <w:shd w:val="clear" w:color="auto" w:fill="92D050"/>
            <w:noWrap/>
            <w:vAlign w:val="center"/>
          </w:tcPr>
          <w:p w14:paraId="142F3D73"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63</w:t>
            </w:r>
          </w:p>
        </w:tc>
        <w:tc>
          <w:tcPr>
            <w:tcW w:w="519" w:type="dxa"/>
            <w:tcBorders>
              <w:top w:val="single" w:sz="4" w:space="0" w:color="FFFFFF"/>
              <w:left w:val="single" w:sz="4" w:space="0" w:color="FFFFFF"/>
              <w:bottom w:val="single" w:sz="4" w:space="0" w:color="FFFFFF"/>
              <w:right w:val="single" w:sz="4" w:space="0" w:color="FFFFFF"/>
            </w:tcBorders>
            <w:shd w:val="clear" w:color="auto" w:fill="008000"/>
            <w:noWrap/>
            <w:vAlign w:val="center"/>
          </w:tcPr>
          <w:p w14:paraId="73552AC2"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88</w:t>
            </w:r>
          </w:p>
        </w:tc>
        <w:tc>
          <w:tcPr>
            <w:tcW w:w="519"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14:paraId="25564758"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54</w:t>
            </w:r>
          </w:p>
        </w:tc>
        <w:tc>
          <w:tcPr>
            <w:tcW w:w="519"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14:paraId="79FBBFF9"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63</w:t>
            </w:r>
          </w:p>
        </w:tc>
        <w:tc>
          <w:tcPr>
            <w:tcW w:w="519"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14:paraId="4A00BED3"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63</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19A578CD"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7C180345"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13</w:t>
            </w:r>
          </w:p>
        </w:tc>
        <w:tc>
          <w:tcPr>
            <w:tcW w:w="461"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4042741D"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13</w:t>
            </w:r>
          </w:p>
        </w:tc>
        <w:tc>
          <w:tcPr>
            <w:tcW w:w="461" w:type="dxa"/>
            <w:tcBorders>
              <w:top w:val="single" w:sz="4" w:space="0" w:color="FFFFFF"/>
              <w:left w:val="single" w:sz="4" w:space="0" w:color="FFFFFF"/>
              <w:bottom w:val="single" w:sz="4" w:space="0" w:color="FFFFFF"/>
            </w:tcBorders>
            <w:shd w:val="clear" w:color="auto" w:fill="FFCC00"/>
            <w:vAlign w:val="center"/>
          </w:tcPr>
          <w:p w14:paraId="506D54BA"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33</w:t>
            </w:r>
          </w:p>
        </w:tc>
        <w:tc>
          <w:tcPr>
            <w:tcW w:w="461" w:type="dxa"/>
            <w:tcBorders>
              <w:top w:val="single" w:sz="4" w:space="0" w:color="FFFFFF"/>
              <w:left w:val="single" w:sz="4" w:space="0" w:color="FFFFFF"/>
              <w:bottom w:val="single" w:sz="4" w:space="0" w:color="FFFFFF"/>
            </w:tcBorders>
            <w:shd w:val="clear" w:color="auto" w:fill="92D050"/>
            <w:vAlign w:val="center"/>
          </w:tcPr>
          <w:p w14:paraId="0D583565" w14:textId="77777777" w:rsidR="009B15CF" w:rsidRPr="00056DBB" w:rsidRDefault="009B15CF" w:rsidP="00C36ADD">
            <w:pPr>
              <w:spacing w:before="0" w:after="0"/>
              <w:jc w:val="center"/>
              <w:rPr>
                <w:b/>
                <w:color w:val="000000"/>
                <w:sz w:val="20"/>
                <w:szCs w:val="20"/>
                <w:lang w:eastAsia="en-AU"/>
              </w:rPr>
            </w:pPr>
            <w:r w:rsidRPr="00056DBB">
              <w:rPr>
                <w:sz w:val="20"/>
                <w:szCs w:val="20"/>
              </w:rPr>
              <w:t>67</w:t>
            </w:r>
          </w:p>
        </w:tc>
        <w:tc>
          <w:tcPr>
            <w:tcW w:w="461" w:type="dxa"/>
            <w:tcBorders>
              <w:top w:val="single" w:sz="4" w:space="0" w:color="FFFFFF"/>
              <w:left w:val="single" w:sz="4" w:space="0" w:color="FFFFFF"/>
              <w:bottom w:val="single" w:sz="4" w:space="0" w:color="FFFFFF"/>
            </w:tcBorders>
            <w:shd w:val="clear" w:color="auto" w:fill="008000"/>
            <w:vAlign w:val="center"/>
          </w:tcPr>
          <w:p w14:paraId="0C0524A8" w14:textId="77777777" w:rsidR="009B15CF" w:rsidRPr="00056DBB" w:rsidRDefault="009B15CF" w:rsidP="00C36ADD">
            <w:pPr>
              <w:spacing w:before="0" w:after="0"/>
              <w:jc w:val="center"/>
              <w:rPr>
                <w:sz w:val="20"/>
                <w:szCs w:val="20"/>
              </w:rPr>
            </w:pPr>
            <w:r>
              <w:rPr>
                <w:sz w:val="20"/>
                <w:szCs w:val="20"/>
              </w:rPr>
              <w:t>83</w:t>
            </w:r>
          </w:p>
        </w:tc>
        <w:tc>
          <w:tcPr>
            <w:tcW w:w="440" w:type="dxa"/>
            <w:tcBorders>
              <w:top w:val="single" w:sz="4" w:space="0" w:color="FFFFFF"/>
              <w:left w:val="single" w:sz="4" w:space="0" w:color="FFFFFF"/>
              <w:bottom w:val="single" w:sz="4" w:space="0" w:color="FFFFFF"/>
            </w:tcBorders>
            <w:shd w:val="clear" w:color="auto" w:fill="92D050"/>
            <w:vAlign w:val="center"/>
          </w:tcPr>
          <w:p w14:paraId="3C5C0704" w14:textId="77777777" w:rsidR="009B15CF" w:rsidRPr="0073784B" w:rsidRDefault="009B15CF" w:rsidP="00C36ADD">
            <w:pPr>
              <w:spacing w:before="0" w:after="0"/>
              <w:jc w:val="center"/>
              <w:rPr>
                <w:sz w:val="20"/>
                <w:szCs w:val="20"/>
              </w:rPr>
            </w:pPr>
            <w:r w:rsidRPr="0073784B">
              <w:rPr>
                <w:sz w:val="20"/>
                <w:szCs w:val="20"/>
              </w:rPr>
              <w:t>63</w:t>
            </w:r>
          </w:p>
        </w:tc>
      </w:tr>
      <w:tr w:rsidR="009B15CF" w:rsidRPr="00EC364C" w14:paraId="2AC60D96" w14:textId="77777777" w:rsidTr="005209EC">
        <w:trPr>
          <w:trHeight w:val="312"/>
          <w:jc w:val="center"/>
        </w:trPr>
        <w:tc>
          <w:tcPr>
            <w:tcW w:w="1303" w:type="dxa"/>
            <w:vMerge/>
            <w:tcBorders>
              <w:top w:val="nil"/>
              <w:left w:val="nil"/>
              <w:bottom w:val="nil"/>
              <w:right w:val="nil"/>
            </w:tcBorders>
            <w:shd w:val="clear" w:color="auto" w:fill="auto"/>
            <w:noWrap/>
            <w:vAlign w:val="center"/>
          </w:tcPr>
          <w:p w14:paraId="7A79ABEF" w14:textId="77777777" w:rsidR="009B15CF" w:rsidRPr="00EC364C" w:rsidRDefault="009B15CF" w:rsidP="00C36ADD">
            <w:pPr>
              <w:spacing w:before="0" w:after="0"/>
              <w:rPr>
                <w:color w:val="000000"/>
                <w:sz w:val="20"/>
                <w:szCs w:val="20"/>
                <w:lang w:eastAsia="en-AU"/>
              </w:rPr>
            </w:pPr>
          </w:p>
        </w:tc>
        <w:tc>
          <w:tcPr>
            <w:tcW w:w="1840" w:type="dxa"/>
            <w:tcBorders>
              <w:top w:val="nil"/>
              <w:left w:val="nil"/>
              <w:bottom w:val="nil"/>
              <w:right w:val="nil"/>
            </w:tcBorders>
            <w:shd w:val="clear" w:color="auto" w:fill="auto"/>
            <w:noWrap/>
            <w:vAlign w:val="center"/>
          </w:tcPr>
          <w:p w14:paraId="28C5F439"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 xml:space="preserve">coastal </w:t>
            </w:r>
            <w:r>
              <w:rPr>
                <w:color w:val="000000"/>
                <w:sz w:val="20"/>
                <w:szCs w:val="20"/>
                <w:lang w:eastAsia="en-AU"/>
              </w:rPr>
              <w:t>sub</w:t>
            </w:r>
            <w:r w:rsidRPr="00EC364C">
              <w:rPr>
                <w:color w:val="000000"/>
                <w:sz w:val="20"/>
                <w:szCs w:val="20"/>
                <w:lang w:eastAsia="en-AU"/>
              </w:rPr>
              <w:t>tidal</w:t>
            </w:r>
          </w:p>
        </w:tc>
        <w:tc>
          <w:tcPr>
            <w:tcW w:w="519" w:type="dxa"/>
            <w:tcBorders>
              <w:top w:val="single" w:sz="4" w:space="0" w:color="FFFFFF"/>
              <w:left w:val="nil"/>
              <w:bottom w:val="single" w:sz="4" w:space="0" w:color="FFFFFF"/>
              <w:right w:val="single" w:sz="4" w:space="0" w:color="FFFFFF"/>
            </w:tcBorders>
            <w:shd w:val="clear" w:color="auto" w:fill="auto"/>
            <w:noWrap/>
            <w:vAlign w:val="center"/>
          </w:tcPr>
          <w:p w14:paraId="4D37070C"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5316371E"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164D58FC"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05B8248"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41A1C99D"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76C0747B"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50419AD4" w14:textId="77777777" w:rsidR="009B15CF" w:rsidRPr="00EC364C" w:rsidRDefault="009B15CF" w:rsidP="00C36ADD">
            <w:pPr>
              <w:spacing w:before="0" w:after="0"/>
              <w:jc w:val="center"/>
              <w:rPr>
                <w:color w:val="000000"/>
                <w:sz w:val="20"/>
                <w:szCs w:val="20"/>
                <w:lang w:eastAsia="en-AU"/>
              </w:rPr>
            </w:pPr>
          </w:p>
        </w:tc>
        <w:tc>
          <w:tcPr>
            <w:tcW w:w="461" w:type="dxa"/>
            <w:tcBorders>
              <w:top w:val="single" w:sz="4" w:space="0" w:color="FFFFFF"/>
              <w:left w:val="single" w:sz="4" w:space="0" w:color="FFFFFF"/>
              <w:bottom w:val="single" w:sz="4" w:space="0" w:color="FFFFFF"/>
              <w:right w:val="single" w:sz="4" w:space="0" w:color="FFFFFF"/>
            </w:tcBorders>
            <w:shd w:val="clear" w:color="auto" w:fill="auto"/>
            <w:vAlign w:val="center"/>
          </w:tcPr>
          <w:p w14:paraId="7FDD9280" w14:textId="77777777" w:rsidR="009B15CF" w:rsidRPr="00EC364C" w:rsidRDefault="009B15CF" w:rsidP="00C36ADD">
            <w:pPr>
              <w:spacing w:before="0" w:after="0"/>
              <w:jc w:val="center"/>
              <w:rPr>
                <w:color w:val="000000"/>
                <w:sz w:val="20"/>
                <w:szCs w:val="20"/>
                <w:lang w:eastAsia="en-AU"/>
              </w:rPr>
            </w:pPr>
          </w:p>
        </w:tc>
        <w:tc>
          <w:tcPr>
            <w:tcW w:w="461" w:type="dxa"/>
            <w:tcBorders>
              <w:top w:val="single" w:sz="4" w:space="0" w:color="FFFFFF"/>
              <w:left w:val="single" w:sz="4" w:space="0" w:color="FFFFFF"/>
              <w:bottom w:val="single" w:sz="4" w:space="0" w:color="FFFFFF"/>
            </w:tcBorders>
            <w:shd w:val="clear" w:color="auto" w:fill="auto"/>
            <w:vAlign w:val="center"/>
          </w:tcPr>
          <w:p w14:paraId="724A3062" w14:textId="77777777" w:rsidR="009B15CF" w:rsidRPr="00EC364C" w:rsidRDefault="009B15CF" w:rsidP="00C36ADD">
            <w:pPr>
              <w:spacing w:before="0" w:after="0"/>
              <w:jc w:val="center"/>
              <w:rPr>
                <w:color w:val="000000"/>
                <w:sz w:val="20"/>
                <w:szCs w:val="20"/>
                <w:lang w:eastAsia="en-AU"/>
              </w:rPr>
            </w:pPr>
          </w:p>
        </w:tc>
        <w:tc>
          <w:tcPr>
            <w:tcW w:w="461" w:type="dxa"/>
            <w:tcBorders>
              <w:top w:val="single" w:sz="4" w:space="0" w:color="FFFFFF"/>
              <w:left w:val="single" w:sz="4" w:space="0" w:color="FFFFFF"/>
              <w:bottom w:val="single" w:sz="4" w:space="0" w:color="FFFFFF"/>
            </w:tcBorders>
            <w:shd w:val="clear" w:color="auto" w:fill="auto"/>
            <w:vAlign w:val="center"/>
          </w:tcPr>
          <w:p w14:paraId="232F116B" w14:textId="77777777" w:rsidR="009B15CF" w:rsidRPr="00056DBB" w:rsidRDefault="009B15CF" w:rsidP="00C36ADD">
            <w:pPr>
              <w:spacing w:before="0" w:after="0"/>
              <w:jc w:val="center"/>
              <w:rPr>
                <w:sz w:val="20"/>
                <w:szCs w:val="20"/>
              </w:rPr>
            </w:pPr>
          </w:p>
        </w:tc>
        <w:tc>
          <w:tcPr>
            <w:tcW w:w="461" w:type="dxa"/>
            <w:tcBorders>
              <w:top w:val="single" w:sz="4" w:space="0" w:color="FFFFFF"/>
              <w:left w:val="single" w:sz="4" w:space="0" w:color="FFFFFF"/>
              <w:bottom w:val="single" w:sz="4" w:space="0" w:color="FFFFFF"/>
            </w:tcBorders>
            <w:shd w:val="clear" w:color="auto" w:fill="92D050"/>
            <w:vAlign w:val="center"/>
          </w:tcPr>
          <w:p w14:paraId="5FBC0C69" w14:textId="77777777" w:rsidR="009B15CF" w:rsidRDefault="009B15CF" w:rsidP="00C36ADD">
            <w:pPr>
              <w:spacing w:before="0" w:after="0"/>
              <w:jc w:val="center"/>
              <w:rPr>
                <w:sz w:val="20"/>
                <w:szCs w:val="20"/>
              </w:rPr>
            </w:pPr>
            <w:r>
              <w:rPr>
                <w:sz w:val="20"/>
                <w:szCs w:val="20"/>
              </w:rPr>
              <w:t>63</w:t>
            </w:r>
          </w:p>
        </w:tc>
        <w:tc>
          <w:tcPr>
            <w:tcW w:w="440" w:type="dxa"/>
            <w:tcBorders>
              <w:top w:val="single" w:sz="4" w:space="0" w:color="FFFFFF"/>
              <w:left w:val="single" w:sz="4" w:space="0" w:color="FFFFFF"/>
              <w:bottom w:val="single" w:sz="4" w:space="0" w:color="FFFFFF"/>
            </w:tcBorders>
            <w:shd w:val="clear" w:color="auto" w:fill="FFFF00"/>
            <w:vAlign w:val="center"/>
          </w:tcPr>
          <w:p w14:paraId="4C35107B" w14:textId="77777777" w:rsidR="009B15CF" w:rsidRPr="0073784B" w:rsidRDefault="009B15CF" w:rsidP="00C36ADD">
            <w:pPr>
              <w:spacing w:before="0" w:after="0"/>
              <w:jc w:val="center"/>
              <w:rPr>
                <w:sz w:val="20"/>
                <w:szCs w:val="20"/>
              </w:rPr>
            </w:pPr>
            <w:r w:rsidRPr="0073784B">
              <w:rPr>
                <w:sz w:val="20"/>
                <w:szCs w:val="20"/>
              </w:rPr>
              <w:t>50</w:t>
            </w:r>
          </w:p>
        </w:tc>
      </w:tr>
      <w:tr w:rsidR="009B15CF" w:rsidRPr="00EC364C" w14:paraId="45CCDDE2" w14:textId="77777777" w:rsidTr="005209EC">
        <w:trPr>
          <w:trHeight w:val="312"/>
          <w:jc w:val="center"/>
        </w:trPr>
        <w:tc>
          <w:tcPr>
            <w:tcW w:w="1303" w:type="dxa"/>
            <w:vMerge/>
            <w:tcBorders>
              <w:top w:val="nil"/>
              <w:left w:val="nil"/>
              <w:bottom w:val="nil"/>
              <w:right w:val="nil"/>
            </w:tcBorders>
            <w:shd w:val="clear" w:color="auto" w:fill="auto"/>
            <w:noWrap/>
            <w:vAlign w:val="center"/>
          </w:tcPr>
          <w:p w14:paraId="0B03F13D" w14:textId="77777777" w:rsidR="009B15CF" w:rsidRPr="00EC364C" w:rsidRDefault="009B15CF" w:rsidP="00C36ADD">
            <w:pPr>
              <w:spacing w:before="0" w:after="0"/>
              <w:rPr>
                <w:color w:val="000000"/>
                <w:sz w:val="20"/>
                <w:szCs w:val="20"/>
                <w:lang w:eastAsia="en-AU"/>
              </w:rPr>
            </w:pPr>
          </w:p>
        </w:tc>
        <w:tc>
          <w:tcPr>
            <w:tcW w:w="1840" w:type="dxa"/>
            <w:tcBorders>
              <w:top w:val="nil"/>
              <w:left w:val="nil"/>
              <w:bottom w:val="nil"/>
              <w:right w:val="nil"/>
            </w:tcBorders>
            <w:shd w:val="clear" w:color="auto" w:fill="auto"/>
            <w:noWrap/>
            <w:vAlign w:val="center"/>
          </w:tcPr>
          <w:p w14:paraId="314A580D"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left w:val="nil"/>
              <w:bottom w:val="single" w:sz="4" w:space="0" w:color="FFFFFF"/>
              <w:right w:val="single" w:sz="4" w:space="0" w:color="FFFFFF"/>
            </w:tcBorders>
            <w:shd w:val="clear" w:color="auto" w:fill="auto"/>
            <w:noWrap/>
            <w:vAlign w:val="center"/>
          </w:tcPr>
          <w:p w14:paraId="0C20A89E"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5BF16A39"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25</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5784E8B8"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20E0B6C8"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67D0EB9F"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54EC3237"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044F40B3"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13</w:t>
            </w:r>
          </w:p>
        </w:tc>
        <w:tc>
          <w:tcPr>
            <w:tcW w:w="461"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6F71C8E6"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0</w:t>
            </w:r>
          </w:p>
        </w:tc>
        <w:tc>
          <w:tcPr>
            <w:tcW w:w="461" w:type="dxa"/>
            <w:tcBorders>
              <w:top w:val="single" w:sz="4" w:space="0" w:color="FFFFFF"/>
              <w:left w:val="single" w:sz="4" w:space="0" w:color="FFFFFF"/>
              <w:bottom w:val="single" w:sz="4" w:space="0" w:color="FFFFFF"/>
            </w:tcBorders>
            <w:shd w:val="clear" w:color="auto" w:fill="FF0000"/>
            <w:vAlign w:val="center"/>
          </w:tcPr>
          <w:p w14:paraId="7B351065"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0</w:t>
            </w:r>
          </w:p>
        </w:tc>
        <w:tc>
          <w:tcPr>
            <w:tcW w:w="461" w:type="dxa"/>
            <w:tcBorders>
              <w:top w:val="single" w:sz="4" w:space="0" w:color="FFFFFF"/>
              <w:left w:val="single" w:sz="4" w:space="0" w:color="FFFFFF"/>
              <w:bottom w:val="single" w:sz="4" w:space="0" w:color="FFFFFF"/>
            </w:tcBorders>
            <w:shd w:val="clear" w:color="auto" w:fill="FF0000"/>
            <w:vAlign w:val="center"/>
          </w:tcPr>
          <w:p w14:paraId="3DC2E1CF" w14:textId="77777777" w:rsidR="009B15CF" w:rsidRPr="00056DBB" w:rsidRDefault="009B15CF" w:rsidP="00C36ADD">
            <w:pPr>
              <w:spacing w:before="0" w:after="0"/>
              <w:jc w:val="center"/>
              <w:rPr>
                <w:b/>
                <w:color w:val="000000"/>
                <w:sz w:val="20"/>
                <w:szCs w:val="20"/>
                <w:lang w:eastAsia="en-AU"/>
              </w:rPr>
            </w:pPr>
            <w:r w:rsidRPr="00056DBB">
              <w:rPr>
                <w:sz w:val="20"/>
                <w:szCs w:val="20"/>
              </w:rPr>
              <w:t>3</w:t>
            </w:r>
          </w:p>
        </w:tc>
        <w:tc>
          <w:tcPr>
            <w:tcW w:w="461" w:type="dxa"/>
            <w:tcBorders>
              <w:top w:val="single" w:sz="4" w:space="0" w:color="FFFFFF"/>
              <w:left w:val="single" w:sz="4" w:space="0" w:color="FFFFFF"/>
              <w:bottom w:val="single" w:sz="4" w:space="0" w:color="FFFFFF"/>
            </w:tcBorders>
            <w:shd w:val="clear" w:color="auto" w:fill="FFCC00"/>
            <w:vAlign w:val="center"/>
          </w:tcPr>
          <w:p w14:paraId="785DAA6C" w14:textId="77777777" w:rsidR="009B15CF" w:rsidRPr="00056DBB" w:rsidRDefault="009B15CF" w:rsidP="00C36ADD">
            <w:pPr>
              <w:spacing w:before="0" w:after="0"/>
              <w:jc w:val="center"/>
              <w:rPr>
                <w:sz w:val="20"/>
                <w:szCs w:val="20"/>
              </w:rPr>
            </w:pPr>
            <w:r>
              <w:rPr>
                <w:sz w:val="20"/>
                <w:szCs w:val="20"/>
              </w:rPr>
              <w:t>38</w:t>
            </w:r>
          </w:p>
        </w:tc>
        <w:tc>
          <w:tcPr>
            <w:tcW w:w="440" w:type="dxa"/>
            <w:tcBorders>
              <w:top w:val="single" w:sz="4" w:space="0" w:color="FFFFFF"/>
              <w:left w:val="single" w:sz="4" w:space="0" w:color="FFFFFF"/>
              <w:bottom w:val="single" w:sz="4" w:space="0" w:color="FFFFFF"/>
            </w:tcBorders>
            <w:shd w:val="clear" w:color="auto" w:fill="FFCC00"/>
            <w:vAlign w:val="center"/>
          </w:tcPr>
          <w:p w14:paraId="3C5FE47A" w14:textId="77777777" w:rsidR="009B15CF" w:rsidRPr="0073784B" w:rsidRDefault="009B15CF" w:rsidP="00C36ADD">
            <w:pPr>
              <w:spacing w:before="0" w:after="0"/>
              <w:jc w:val="center"/>
              <w:rPr>
                <w:sz w:val="20"/>
                <w:szCs w:val="20"/>
              </w:rPr>
            </w:pPr>
            <w:r w:rsidRPr="0073784B">
              <w:rPr>
                <w:sz w:val="20"/>
                <w:szCs w:val="20"/>
              </w:rPr>
              <w:t>25</w:t>
            </w:r>
          </w:p>
        </w:tc>
      </w:tr>
      <w:tr w:rsidR="009B15CF" w:rsidRPr="00EC364C" w14:paraId="6415BFBA" w14:textId="77777777" w:rsidTr="005209EC">
        <w:trPr>
          <w:trHeight w:val="312"/>
          <w:jc w:val="center"/>
        </w:trPr>
        <w:tc>
          <w:tcPr>
            <w:tcW w:w="1303" w:type="dxa"/>
            <w:tcBorders>
              <w:top w:val="nil"/>
              <w:bottom w:val="single" w:sz="4" w:space="0" w:color="000000"/>
            </w:tcBorders>
            <w:shd w:val="clear" w:color="auto" w:fill="auto"/>
            <w:noWrap/>
            <w:vAlign w:val="center"/>
          </w:tcPr>
          <w:p w14:paraId="5F68FE77" w14:textId="77777777" w:rsidR="009B15CF" w:rsidRPr="00EC364C" w:rsidRDefault="009B15CF" w:rsidP="00C36ADD">
            <w:pPr>
              <w:spacing w:before="0" w:after="0"/>
              <w:rPr>
                <w:color w:val="000000"/>
                <w:sz w:val="20"/>
                <w:szCs w:val="20"/>
                <w:lang w:eastAsia="en-AU"/>
              </w:rPr>
            </w:pPr>
          </w:p>
        </w:tc>
        <w:tc>
          <w:tcPr>
            <w:tcW w:w="1840" w:type="dxa"/>
            <w:tcBorders>
              <w:top w:val="nil"/>
              <w:bottom w:val="single" w:sz="4" w:space="0" w:color="000000"/>
              <w:right w:val="single" w:sz="4" w:space="0" w:color="FFFFFF"/>
            </w:tcBorders>
            <w:shd w:val="clear" w:color="auto" w:fill="auto"/>
            <w:noWrap/>
            <w:vAlign w:val="center"/>
          </w:tcPr>
          <w:p w14:paraId="59F7137D"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 xml:space="preserve">reef </w:t>
            </w:r>
            <w:r>
              <w:rPr>
                <w:color w:val="000000"/>
                <w:sz w:val="20"/>
                <w:szCs w:val="20"/>
                <w:lang w:eastAsia="en-AU"/>
              </w:rPr>
              <w:t>sub</w:t>
            </w:r>
            <w:r w:rsidRPr="00EC364C">
              <w:rPr>
                <w:color w:val="000000"/>
                <w:sz w:val="20"/>
                <w:szCs w:val="20"/>
                <w:lang w:eastAsia="en-AU"/>
              </w:rPr>
              <w:t>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76B390B4"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1C3319D"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1853475A"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4DE51013"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7A69492"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7C9EA5EA" w14:textId="77777777" w:rsidR="009B15CF" w:rsidRPr="00EC364C"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D4FEC07" w14:textId="77777777" w:rsidR="009B15CF" w:rsidRPr="00EC364C" w:rsidRDefault="009B15CF" w:rsidP="00C36ADD">
            <w:pPr>
              <w:spacing w:before="0" w:after="0"/>
              <w:jc w:val="center"/>
              <w:rPr>
                <w:color w:val="000000"/>
                <w:sz w:val="20"/>
                <w:szCs w:val="20"/>
                <w:lang w:eastAsia="en-AU"/>
              </w:rPr>
            </w:pPr>
          </w:p>
        </w:tc>
        <w:tc>
          <w:tcPr>
            <w:tcW w:w="461" w:type="dxa"/>
            <w:tcBorders>
              <w:top w:val="single" w:sz="4" w:space="0" w:color="FFFFFF"/>
              <w:left w:val="single" w:sz="4" w:space="0" w:color="FFFFFF"/>
              <w:bottom w:val="single" w:sz="4" w:space="0" w:color="FFFFFF"/>
              <w:right w:val="single" w:sz="4" w:space="0" w:color="FFFFFF"/>
            </w:tcBorders>
            <w:shd w:val="clear" w:color="auto" w:fill="auto"/>
            <w:vAlign w:val="center"/>
          </w:tcPr>
          <w:p w14:paraId="2E1EC9A5" w14:textId="77777777" w:rsidR="009B15CF" w:rsidRPr="00EC364C" w:rsidRDefault="009B15CF" w:rsidP="00C36ADD">
            <w:pPr>
              <w:spacing w:before="0" w:after="0"/>
              <w:jc w:val="center"/>
              <w:rPr>
                <w:color w:val="000000"/>
                <w:sz w:val="20"/>
                <w:szCs w:val="20"/>
                <w:lang w:eastAsia="en-AU"/>
              </w:rPr>
            </w:pPr>
          </w:p>
        </w:tc>
        <w:tc>
          <w:tcPr>
            <w:tcW w:w="461" w:type="dxa"/>
            <w:tcBorders>
              <w:top w:val="single" w:sz="4" w:space="0" w:color="FFFFFF"/>
              <w:left w:val="single" w:sz="4" w:space="0" w:color="FFFFFF"/>
              <w:bottom w:val="single" w:sz="4" w:space="0" w:color="FFFFFF"/>
            </w:tcBorders>
            <w:shd w:val="clear" w:color="auto" w:fill="auto"/>
            <w:vAlign w:val="center"/>
          </w:tcPr>
          <w:p w14:paraId="6E2A9794" w14:textId="77777777" w:rsidR="009B15CF" w:rsidRPr="00EC364C" w:rsidRDefault="009B15CF" w:rsidP="00C36ADD">
            <w:pPr>
              <w:spacing w:before="0" w:after="0"/>
              <w:jc w:val="center"/>
              <w:rPr>
                <w:color w:val="000000"/>
                <w:sz w:val="20"/>
                <w:szCs w:val="20"/>
                <w:lang w:eastAsia="en-AU"/>
              </w:rPr>
            </w:pPr>
          </w:p>
        </w:tc>
        <w:tc>
          <w:tcPr>
            <w:tcW w:w="461" w:type="dxa"/>
            <w:tcBorders>
              <w:top w:val="single" w:sz="4" w:space="0" w:color="FFFFFF"/>
              <w:left w:val="single" w:sz="4" w:space="0" w:color="FFFFFF"/>
              <w:bottom w:val="single" w:sz="4" w:space="0" w:color="FFFFFF"/>
            </w:tcBorders>
            <w:shd w:val="clear" w:color="auto" w:fill="auto"/>
            <w:vAlign w:val="center"/>
          </w:tcPr>
          <w:p w14:paraId="73060465" w14:textId="77777777" w:rsidR="009B15CF" w:rsidRPr="00056DBB" w:rsidRDefault="009B15CF" w:rsidP="00C36ADD">
            <w:pPr>
              <w:spacing w:before="0" w:after="0"/>
              <w:jc w:val="center"/>
              <w:rPr>
                <w:sz w:val="20"/>
                <w:szCs w:val="20"/>
              </w:rPr>
            </w:pPr>
          </w:p>
        </w:tc>
        <w:tc>
          <w:tcPr>
            <w:tcW w:w="461" w:type="dxa"/>
            <w:tcBorders>
              <w:top w:val="single" w:sz="4" w:space="0" w:color="FFFFFF"/>
              <w:left w:val="single" w:sz="4" w:space="0" w:color="FFFFFF"/>
              <w:bottom w:val="single" w:sz="4" w:space="0" w:color="FFFFFF"/>
            </w:tcBorders>
            <w:shd w:val="clear" w:color="auto" w:fill="FFCC00"/>
            <w:vAlign w:val="center"/>
          </w:tcPr>
          <w:p w14:paraId="48E38BCE" w14:textId="77777777" w:rsidR="009B15CF" w:rsidRPr="00056DBB" w:rsidRDefault="009B15CF" w:rsidP="00C36ADD">
            <w:pPr>
              <w:spacing w:before="0" w:after="0"/>
              <w:jc w:val="center"/>
              <w:rPr>
                <w:sz w:val="20"/>
                <w:szCs w:val="20"/>
              </w:rPr>
            </w:pPr>
            <w:r>
              <w:rPr>
                <w:sz w:val="20"/>
                <w:szCs w:val="20"/>
              </w:rPr>
              <w:t>25</w:t>
            </w:r>
          </w:p>
        </w:tc>
        <w:tc>
          <w:tcPr>
            <w:tcW w:w="440" w:type="dxa"/>
            <w:tcBorders>
              <w:top w:val="single" w:sz="4" w:space="0" w:color="FFFFFF"/>
              <w:left w:val="single" w:sz="4" w:space="0" w:color="FFFFFF"/>
              <w:bottom w:val="single" w:sz="4" w:space="0" w:color="FFFFFF"/>
            </w:tcBorders>
            <w:shd w:val="clear" w:color="auto" w:fill="FF0000"/>
            <w:vAlign w:val="center"/>
          </w:tcPr>
          <w:p w14:paraId="5C773414" w14:textId="77777777" w:rsidR="009B15CF" w:rsidRPr="0073784B" w:rsidRDefault="009B15CF" w:rsidP="00C36ADD">
            <w:pPr>
              <w:spacing w:before="0" w:after="0"/>
              <w:jc w:val="center"/>
              <w:rPr>
                <w:sz w:val="20"/>
                <w:szCs w:val="20"/>
              </w:rPr>
            </w:pPr>
            <w:r w:rsidRPr="0073784B">
              <w:rPr>
                <w:sz w:val="20"/>
                <w:szCs w:val="20"/>
              </w:rPr>
              <w:t>13</w:t>
            </w:r>
          </w:p>
        </w:tc>
      </w:tr>
      <w:tr w:rsidR="009B15CF" w:rsidRPr="00EC364C" w14:paraId="0DDBB9F0" w14:textId="77777777" w:rsidTr="005209EC">
        <w:trPr>
          <w:trHeight w:val="312"/>
          <w:jc w:val="center"/>
        </w:trPr>
        <w:tc>
          <w:tcPr>
            <w:tcW w:w="1303" w:type="dxa"/>
            <w:vMerge w:val="restart"/>
            <w:tcBorders>
              <w:top w:val="single" w:sz="4" w:space="0" w:color="000000"/>
            </w:tcBorders>
            <w:shd w:val="clear" w:color="auto" w:fill="auto"/>
            <w:noWrap/>
            <w:vAlign w:val="center"/>
          </w:tcPr>
          <w:p w14:paraId="316921F5" w14:textId="77777777" w:rsidR="009B15CF" w:rsidRDefault="009B15CF" w:rsidP="00C36ADD">
            <w:pPr>
              <w:spacing w:before="0" w:after="0"/>
              <w:rPr>
                <w:color w:val="000000"/>
                <w:sz w:val="20"/>
                <w:szCs w:val="20"/>
                <w:lang w:eastAsia="en-AU"/>
              </w:rPr>
            </w:pPr>
            <w:r>
              <w:rPr>
                <w:color w:val="000000"/>
                <w:sz w:val="20"/>
                <w:szCs w:val="20"/>
                <w:lang w:eastAsia="en-AU"/>
              </w:rPr>
              <w:t>Reproductive</w:t>
            </w:r>
          </w:p>
          <w:p w14:paraId="2948703F" w14:textId="77777777" w:rsidR="009B15CF" w:rsidRPr="00EC364C" w:rsidRDefault="009B15CF" w:rsidP="00C36ADD">
            <w:pPr>
              <w:spacing w:before="0" w:after="0"/>
              <w:rPr>
                <w:color w:val="000000"/>
                <w:sz w:val="20"/>
                <w:szCs w:val="20"/>
                <w:lang w:eastAsia="en-AU"/>
              </w:rPr>
            </w:pPr>
            <w:r>
              <w:rPr>
                <w:color w:val="000000"/>
                <w:sz w:val="20"/>
                <w:szCs w:val="20"/>
                <w:lang w:eastAsia="en-AU"/>
              </w:rPr>
              <w:t>effort</w:t>
            </w:r>
          </w:p>
        </w:tc>
        <w:tc>
          <w:tcPr>
            <w:tcW w:w="1840" w:type="dxa"/>
            <w:tcBorders>
              <w:top w:val="single" w:sz="4" w:space="0" w:color="000000"/>
              <w:bottom w:val="single" w:sz="4" w:space="0" w:color="FFFFFF"/>
            </w:tcBorders>
            <w:shd w:val="clear" w:color="auto" w:fill="auto"/>
            <w:noWrap/>
            <w:vAlign w:val="center"/>
          </w:tcPr>
          <w:p w14:paraId="5B06FC39"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estuarine intertidal</w:t>
            </w:r>
          </w:p>
        </w:tc>
        <w:tc>
          <w:tcPr>
            <w:tcW w:w="519" w:type="dxa"/>
            <w:tcBorders>
              <w:bottom w:val="single" w:sz="4" w:space="0" w:color="FFFFFF"/>
            </w:tcBorders>
            <w:shd w:val="clear" w:color="auto" w:fill="FFFF00"/>
            <w:noWrap/>
            <w:vAlign w:val="center"/>
          </w:tcPr>
          <w:p w14:paraId="360700A8"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50</w:t>
            </w:r>
          </w:p>
        </w:tc>
        <w:tc>
          <w:tcPr>
            <w:tcW w:w="519" w:type="dxa"/>
            <w:tcBorders>
              <w:bottom w:val="single" w:sz="4" w:space="0" w:color="FFFFFF"/>
            </w:tcBorders>
            <w:shd w:val="clear" w:color="auto" w:fill="FF0000"/>
            <w:noWrap/>
            <w:vAlign w:val="center"/>
          </w:tcPr>
          <w:p w14:paraId="45B100BA"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13</w:t>
            </w:r>
          </w:p>
        </w:tc>
        <w:tc>
          <w:tcPr>
            <w:tcW w:w="519" w:type="dxa"/>
            <w:tcBorders>
              <w:bottom w:val="single" w:sz="4" w:space="0" w:color="FFFFFF"/>
            </w:tcBorders>
            <w:shd w:val="clear" w:color="auto" w:fill="FFCC00"/>
            <w:noWrap/>
            <w:vAlign w:val="center"/>
          </w:tcPr>
          <w:p w14:paraId="3275B54A"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FF0000"/>
            <w:noWrap/>
            <w:vAlign w:val="center"/>
          </w:tcPr>
          <w:p w14:paraId="68B8A9ED"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noWrap/>
            <w:vAlign w:val="center"/>
          </w:tcPr>
          <w:p w14:paraId="0F5BE555"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noWrap/>
            <w:vAlign w:val="center"/>
          </w:tcPr>
          <w:p w14:paraId="5379A77F"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noWrap/>
            <w:vAlign w:val="center"/>
          </w:tcPr>
          <w:p w14:paraId="7D1BA71F"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461" w:type="dxa"/>
            <w:tcBorders>
              <w:bottom w:val="single" w:sz="4" w:space="0" w:color="FFFFFF"/>
            </w:tcBorders>
            <w:shd w:val="clear" w:color="auto" w:fill="FF0000"/>
            <w:vAlign w:val="center"/>
          </w:tcPr>
          <w:p w14:paraId="28E7575C"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461" w:type="dxa"/>
            <w:tcBorders>
              <w:bottom w:val="single" w:sz="4" w:space="0" w:color="FFFFFF"/>
            </w:tcBorders>
            <w:shd w:val="clear" w:color="auto" w:fill="FFCC00"/>
            <w:vAlign w:val="center"/>
          </w:tcPr>
          <w:p w14:paraId="4E0F2B14"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25</w:t>
            </w:r>
          </w:p>
        </w:tc>
        <w:tc>
          <w:tcPr>
            <w:tcW w:w="461" w:type="dxa"/>
            <w:tcBorders>
              <w:bottom w:val="single" w:sz="4" w:space="0" w:color="FFFFFF"/>
            </w:tcBorders>
            <w:shd w:val="clear" w:color="auto" w:fill="FFFF00"/>
            <w:vAlign w:val="center"/>
          </w:tcPr>
          <w:p w14:paraId="36F4831F" w14:textId="77777777" w:rsidR="009B15CF" w:rsidRPr="005556A8" w:rsidRDefault="009B15CF" w:rsidP="00C36ADD">
            <w:pPr>
              <w:spacing w:before="0" w:after="0"/>
              <w:jc w:val="center"/>
              <w:rPr>
                <w:color w:val="000000"/>
                <w:sz w:val="20"/>
                <w:szCs w:val="20"/>
                <w:lang w:eastAsia="en-AU"/>
              </w:rPr>
            </w:pPr>
            <w:r>
              <w:rPr>
                <w:color w:val="000000"/>
                <w:sz w:val="20"/>
                <w:szCs w:val="20"/>
              </w:rPr>
              <w:t>50</w:t>
            </w:r>
          </w:p>
        </w:tc>
        <w:tc>
          <w:tcPr>
            <w:tcW w:w="461" w:type="dxa"/>
            <w:tcBorders>
              <w:bottom w:val="single" w:sz="4" w:space="0" w:color="FFFFFF"/>
            </w:tcBorders>
            <w:shd w:val="clear" w:color="auto" w:fill="FFCC00"/>
            <w:vAlign w:val="center"/>
          </w:tcPr>
          <w:p w14:paraId="5D570278" w14:textId="77777777" w:rsidR="009B15CF" w:rsidRDefault="009B15CF" w:rsidP="00C36ADD">
            <w:pPr>
              <w:spacing w:before="0" w:after="0"/>
              <w:jc w:val="center"/>
              <w:rPr>
                <w:color w:val="000000"/>
                <w:sz w:val="20"/>
                <w:szCs w:val="20"/>
              </w:rPr>
            </w:pPr>
            <w:r>
              <w:rPr>
                <w:color w:val="000000"/>
                <w:sz w:val="20"/>
                <w:szCs w:val="20"/>
              </w:rPr>
              <w:t>25</w:t>
            </w:r>
          </w:p>
        </w:tc>
        <w:tc>
          <w:tcPr>
            <w:tcW w:w="440" w:type="dxa"/>
            <w:tcBorders>
              <w:bottom w:val="single" w:sz="4" w:space="0" w:color="FFFFFF"/>
            </w:tcBorders>
            <w:shd w:val="clear" w:color="auto" w:fill="92D050"/>
            <w:vAlign w:val="center"/>
          </w:tcPr>
          <w:p w14:paraId="6E0696FF" w14:textId="77777777" w:rsidR="009B15CF" w:rsidRPr="0073784B" w:rsidRDefault="009B15CF" w:rsidP="00C36ADD">
            <w:pPr>
              <w:spacing w:before="0" w:after="0"/>
              <w:jc w:val="center"/>
              <w:rPr>
                <w:sz w:val="20"/>
                <w:szCs w:val="20"/>
              </w:rPr>
            </w:pPr>
            <w:r w:rsidRPr="0073784B">
              <w:rPr>
                <w:sz w:val="20"/>
                <w:szCs w:val="20"/>
              </w:rPr>
              <w:t>75</w:t>
            </w:r>
          </w:p>
        </w:tc>
      </w:tr>
      <w:tr w:rsidR="009B15CF" w:rsidRPr="00EC364C" w14:paraId="33C95F78" w14:textId="77777777" w:rsidTr="005209EC">
        <w:trPr>
          <w:trHeight w:val="312"/>
          <w:jc w:val="center"/>
        </w:trPr>
        <w:tc>
          <w:tcPr>
            <w:tcW w:w="1303" w:type="dxa"/>
            <w:vMerge/>
            <w:shd w:val="clear" w:color="auto" w:fill="auto"/>
            <w:noWrap/>
            <w:vAlign w:val="center"/>
          </w:tcPr>
          <w:p w14:paraId="4178E50F" w14:textId="77777777" w:rsidR="009B15CF" w:rsidRPr="00EC364C" w:rsidRDefault="009B15CF" w:rsidP="00C36ADD">
            <w:pPr>
              <w:spacing w:before="0" w:after="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14:paraId="55F8451E"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080737B"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ADAF885"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4D7CE10E"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38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AD2AEA7"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0F830AF9"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38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31489ED1"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A017FC8"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461"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368FFCEA"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461" w:type="dxa"/>
            <w:tcBorders>
              <w:top w:val="single" w:sz="4" w:space="0" w:color="FFFFFF"/>
              <w:left w:val="single" w:sz="4" w:space="0" w:color="FFFFFF"/>
              <w:bottom w:val="single" w:sz="4" w:space="0" w:color="FFFFFF"/>
            </w:tcBorders>
            <w:shd w:val="clear" w:color="auto" w:fill="FF0000"/>
            <w:vAlign w:val="center"/>
          </w:tcPr>
          <w:p w14:paraId="4CE66E01"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461"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3F1703C4" w14:textId="77777777" w:rsidR="009B15CF" w:rsidRPr="005556A8" w:rsidRDefault="009B15CF" w:rsidP="00C36ADD">
            <w:pPr>
              <w:spacing w:before="0" w:after="0"/>
              <w:jc w:val="center"/>
              <w:rPr>
                <w:color w:val="000000"/>
                <w:sz w:val="20"/>
                <w:szCs w:val="20"/>
                <w:lang w:eastAsia="en-AU"/>
              </w:rPr>
            </w:pPr>
            <w:r>
              <w:rPr>
                <w:color w:val="000000"/>
                <w:sz w:val="20"/>
                <w:szCs w:val="20"/>
              </w:rPr>
              <w:t>25</w:t>
            </w:r>
          </w:p>
        </w:tc>
        <w:tc>
          <w:tcPr>
            <w:tcW w:w="461"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70F84327" w14:textId="77777777" w:rsidR="009B15CF" w:rsidRDefault="009B15CF" w:rsidP="00C36ADD">
            <w:pPr>
              <w:spacing w:before="0" w:after="0"/>
              <w:jc w:val="center"/>
              <w:rPr>
                <w:color w:val="000000"/>
                <w:sz w:val="20"/>
                <w:szCs w:val="20"/>
              </w:rPr>
            </w:pPr>
            <w:r>
              <w:rPr>
                <w:color w:val="000000"/>
                <w:sz w:val="20"/>
                <w:szCs w:val="20"/>
              </w:rPr>
              <w:t>38</w:t>
            </w:r>
          </w:p>
        </w:tc>
        <w:tc>
          <w:tcPr>
            <w:tcW w:w="440"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7F351DE9" w14:textId="77777777" w:rsidR="009B15CF" w:rsidRPr="0073784B" w:rsidRDefault="009B15CF" w:rsidP="00C36ADD">
            <w:pPr>
              <w:spacing w:before="0" w:after="0"/>
              <w:jc w:val="center"/>
              <w:rPr>
                <w:sz w:val="20"/>
                <w:szCs w:val="20"/>
              </w:rPr>
            </w:pPr>
            <w:r w:rsidRPr="0073784B">
              <w:rPr>
                <w:sz w:val="20"/>
                <w:szCs w:val="20"/>
              </w:rPr>
              <w:t>25</w:t>
            </w:r>
          </w:p>
        </w:tc>
      </w:tr>
      <w:tr w:rsidR="009B15CF" w:rsidRPr="00EC364C" w14:paraId="5DC73399" w14:textId="77777777" w:rsidTr="005209EC">
        <w:trPr>
          <w:trHeight w:val="312"/>
          <w:jc w:val="center"/>
        </w:trPr>
        <w:tc>
          <w:tcPr>
            <w:tcW w:w="1303" w:type="dxa"/>
            <w:vMerge/>
            <w:tcBorders>
              <w:bottom w:val="single" w:sz="4" w:space="0" w:color="000000"/>
            </w:tcBorders>
            <w:shd w:val="clear" w:color="auto" w:fill="auto"/>
            <w:noWrap/>
            <w:vAlign w:val="center"/>
          </w:tcPr>
          <w:p w14:paraId="4F6040C1" w14:textId="77777777" w:rsidR="009B15CF" w:rsidRPr="00EC364C" w:rsidRDefault="009B15CF" w:rsidP="00C36ADD">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14:paraId="3AA114DD" w14:textId="77777777" w:rsidR="009B15CF" w:rsidRPr="00EC364C" w:rsidRDefault="009B15CF" w:rsidP="00C36ADD">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50AA3993" w14:textId="77777777" w:rsidR="009B15CF" w:rsidRPr="005556A8"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2D6FADB2" w14:textId="77777777" w:rsidR="009B15CF" w:rsidRPr="005556A8"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306751B8"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25</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06B6C156"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2C23AA47"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6F483BCF"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12B621F"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0</w:t>
            </w:r>
          </w:p>
        </w:tc>
        <w:tc>
          <w:tcPr>
            <w:tcW w:w="461" w:type="dxa"/>
            <w:tcBorders>
              <w:top w:val="single" w:sz="4" w:space="0" w:color="FFFFFF"/>
              <w:left w:val="single" w:sz="4" w:space="0" w:color="FFFFFF"/>
              <w:bottom w:val="single" w:sz="4" w:space="0" w:color="FFFFFF"/>
              <w:right w:val="single" w:sz="4" w:space="0" w:color="FFFFFF"/>
            </w:tcBorders>
            <w:shd w:val="clear" w:color="auto" w:fill="FFFF00"/>
            <w:vAlign w:val="center"/>
          </w:tcPr>
          <w:p w14:paraId="386004B9"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50</w:t>
            </w:r>
          </w:p>
        </w:tc>
        <w:tc>
          <w:tcPr>
            <w:tcW w:w="461" w:type="dxa"/>
            <w:tcBorders>
              <w:top w:val="single" w:sz="4" w:space="0" w:color="FFFFFF"/>
              <w:left w:val="single" w:sz="4" w:space="0" w:color="FFFFFF"/>
              <w:bottom w:val="single" w:sz="4" w:space="0" w:color="FFFFFF"/>
            </w:tcBorders>
            <w:shd w:val="clear" w:color="auto" w:fill="FFFF00"/>
            <w:vAlign w:val="center"/>
          </w:tcPr>
          <w:p w14:paraId="56A1EF4B" w14:textId="77777777" w:rsidR="009B15CF" w:rsidRPr="005556A8" w:rsidRDefault="009B15CF" w:rsidP="00C36ADD">
            <w:pPr>
              <w:spacing w:before="0" w:after="0"/>
              <w:jc w:val="center"/>
              <w:rPr>
                <w:color w:val="000000"/>
                <w:sz w:val="20"/>
                <w:szCs w:val="20"/>
                <w:lang w:eastAsia="en-AU"/>
              </w:rPr>
            </w:pPr>
            <w:r w:rsidRPr="005556A8">
              <w:rPr>
                <w:color w:val="000000"/>
                <w:sz w:val="20"/>
                <w:szCs w:val="20"/>
                <w:lang w:eastAsia="en-AU"/>
              </w:rPr>
              <w:t>50</w:t>
            </w:r>
          </w:p>
        </w:tc>
        <w:tc>
          <w:tcPr>
            <w:tcW w:w="461"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1D65F208" w14:textId="77777777" w:rsidR="009B15CF" w:rsidRPr="005556A8" w:rsidRDefault="009B15CF" w:rsidP="00C36ADD">
            <w:pPr>
              <w:spacing w:before="0" w:after="0"/>
              <w:jc w:val="center"/>
              <w:rPr>
                <w:color w:val="000000"/>
                <w:sz w:val="20"/>
                <w:szCs w:val="20"/>
                <w:lang w:eastAsia="en-AU"/>
              </w:rPr>
            </w:pPr>
            <w:r>
              <w:rPr>
                <w:color w:val="000000"/>
                <w:sz w:val="20"/>
                <w:szCs w:val="20"/>
              </w:rPr>
              <w:t>25</w:t>
            </w:r>
          </w:p>
        </w:tc>
        <w:tc>
          <w:tcPr>
            <w:tcW w:w="461"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6B02D1F4" w14:textId="77777777" w:rsidR="009B15CF" w:rsidRDefault="009B15CF" w:rsidP="00C36ADD">
            <w:pPr>
              <w:spacing w:before="0" w:after="0"/>
              <w:jc w:val="center"/>
              <w:rPr>
                <w:color w:val="000000"/>
                <w:sz w:val="20"/>
                <w:szCs w:val="20"/>
              </w:rPr>
            </w:pPr>
            <w:r>
              <w:rPr>
                <w:color w:val="000000"/>
                <w:sz w:val="20"/>
                <w:szCs w:val="20"/>
              </w:rPr>
              <w:t>0</w:t>
            </w:r>
          </w:p>
        </w:tc>
        <w:tc>
          <w:tcPr>
            <w:tcW w:w="440"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663D6E8E" w14:textId="77777777" w:rsidR="009B15CF" w:rsidRPr="0073784B" w:rsidRDefault="009B15CF" w:rsidP="00C36ADD">
            <w:pPr>
              <w:spacing w:before="0" w:after="0"/>
              <w:jc w:val="center"/>
              <w:rPr>
                <w:sz w:val="20"/>
                <w:szCs w:val="20"/>
              </w:rPr>
            </w:pPr>
            <w:r w:rsidRPr="0073784B">
              <w:rPr>
                <w:sz w:val="20"/>
                <w:szCs w:val="20"/>
              </w:rPr>
              <w:t>0</w:t>
            </w:r>
          </w:p>
        </w:tc>
      </w:tr>
      <w:tr w:rsidR="009B15CF" w:rsidRPr="00EC364C" w14:paraId="6D69D1C9" w14:textId="77777777" w:rsidTr="005209EC">
        <w:trPr>
          <w:trHeight w:val="312"/>
          <w:jc w:val="center"/>
        </w:trPr>
        <w:tc>
          <w:tcPr>
            <w:tcW w:w="1303" w:type="dxa"/>
            <w:vMerge w:val="restart"/>
            <w:tcBorders>
              <w:top w:val="single" w:sz="4" w:space="0" w:color="000000"/>
            </w:tcBorders>
            <w:shd w:val="clear" w:color="auto" w:fill="auto"/>
            <w:noWrap/>
            <w:vAlign w:val="center"/>
          </w:tcPr>
          <w:p w14:paraId="3E1351A5" w14:textId="77777777" w:rsidR="009B15CF" w:rsidRDefault="009B15CF" w:rsidP="00C36ADD">
            <w:pPr>
              <w:spacing w:before="0" w:after="0"/>
              <w:rPr>
                <w:color w:val="000000"/>
                <w:sz w:val="20"/>
                <w:szCs w:val="20"/>
                <w:lang w:eastAsia="en-AU"/>
              </w:rPr>
            </w:pPr>
            <w:r>
              <w:rPr>
                <w:color w:val="000000"/>
                <w:sz w:val="20"/>
                <w:szCs w:val="20"/>
                <w:lang w:eastAsia="en-AU"/>
              </w:rPr>
              <w:t>Leaf tissue</w:t>
            </w:r>
          </w:p>
          <w:p w14:paraId="062FF159" w14:textId="77777777" w:rsidR="009B15CF" w:rsidRPr="00EC364C" w:rsidRDefault="009B15CF" w:rsidP="00C36ADD">
            <w:pPr>
              <w:spacing w:before="0" w:after="0"/>
              <w:rPr>
                <w:color w:val="000000"/>
                <w:sz w:val="20"/>
                <w:szCs w:val="20"/>
                <w:lang w:eastAsia="en-AU"/>
              </w:rPr>
            </w:pPr>
            <w:r>
              <w:rPr>
                <w:color w:val="000000"/>
                <w:sz w:val="20"/>
                <w:szCs w:val="20"/>
                <w:lang w:eastAsia="en-AU"/>
              </w:rPr>
              <w:t>nutrients</w:t>
            </w:r>
          </w:p>
        </w:tc>
        <w:tc>
          <w:tcPr>
            <w:tcW w:w="1840" w:type="dxa"/>
            <w:tcBorders>
              <w:top w:val="single" w:sz="4" w:space="0" w:color="000000"/>
              <w:bottom w:val="single" w:sz="4" w:space="0" w:color="FFFFFF"/>
            </w:tcBorders>
            <w:shd w:val="clear" w:color="auto" w:fill="auto"/>
            <w:noWrap/>
            <w:vAlign w:val="center"/>
          </w:tcPr>
          <w:p w14:paraId="784AA4F7"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estuarine intertidal</w:t>
            </w:r>
          </w:p>
        </w:tc>
        <w:tc>
          <w:tcPr>
            <w:tcW w:w="519" w:type="dxa"/>
            <w:tcBorders>
              <w:bottom w:val="single" w:sz="4" w:space="0" w:color="FFFFFF"/>
            </w:tcBorders>
            <w:shd w:val="clear" w:color="auto" w:fill="auto"/>
            <w:noWrap/>
            <w:vAlign w:val="center"/>
          </w:tcPr>
          <w:p w14:paraId="62A79C6D" w14:textId="77777777" w:rsidR="009B15CF" w:rsidRPr="002D209A" w:rsidRDefault="009B15CF" w:rsidP="00C36ADD">
            <w:pPr>
              <w:spacing w:before="0" w:after="0"/>
              <w:jc w:val="center"/>
              <w:rPr>
                <w:color w:val="000000"/>
                <w:sz w:val="20"/>
                <w:szCs w:val="20"/>
                <w:lang w:eastAsia="en-AU"/>
              </w:rPr>
            </w:pPr>
          </w:p>
        </w:tc>
        <w:tc>
          <w:tcPr>
            <w:tcW w:w="519" w:type="dxa"/>
            <w:tcBorders>
              <w:bottom w:val="single" w:sz="4" w:space="0" w:color="FFFFFF"/>
            </w:tcBorders>
            <w:shd w:val="clear" w:color="auto" w:fill="FFCC00"/>
            <w:noWrap/>
            <w:vAlign w:val="center"/>
          </w:tcPr>
          <w:p w14:paraId="5328F5D0"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23</w:t>
            </w:r>
          </w:p>
        </w:tc>
        <w:tc>
          <w:tcPr>
            <w:tcW w:w="519" w:type="dxa"/>
            <w:tcBorders>
              <w:bottom w:val="single" w:sz="4" w:space="0" w:color="FFFFFF"/>
            </w:tcBorders>
            <w:shd w:val="clear" w:color="auto" w:fill="FFCC00"/>
            <w:noWrap/>
            <w:vAlign w:val="center"/>
          </w:tcPr>
          <w:p w14:paraId="656AFBD6"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30</w:t>
            </w:r>
          </w:p>
        </w:tc>
        <w:tc>
          <w:tcPr>
            <w:tcW w:w="519" w:type="dxa"/>
            <w:tcBorders>
              <w:bottom w:val="single" w:sz="4" w:space="0" w:color="FFFFFF"/>
            </w:tcBorders>
            <w:shd w:val="clear" w:color="auto" w:fill="FFCC00"/>
            <w:noWrap/>
            <w:vAlign w:val="center"/>
          </w:tcPr>
          <w:p w14:paraId="544C2153"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26</w:t>
            </w:r>
          </w:p>
        </w:tc>
        <w:tc>
          <w:tcPr>
            <w:tcW w:w="519" w:type="dxa"/>
            <w:tcBorders>
              <w:bottom w:val="single" w:sz="4" w:space="0" w:color="FFFFFF"/>
            </w:tcBorders>
            <w:shd w:val="clear" w:color="auto" w:fill="FFFF00"/>
            <w:noWrap/>
            <w:vAlign w:val="center"/>
          </w:tcPr>
          <w:p w14:paraId="07A74C2A"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43</w:t>
            </w:r>
          </w:p>
        </w:tc>
        <w:tc>
          <w:tcPr>
            <w:tcW w:w="519" w:type="dxa"/>
            <w:tcBorders>
              <w:bottom w:val="single" w:sz="4" w:space="0" w:color="FFFFFF"/>
            </w:tcBorders>
            <w:shd w:val="clear" w:color="auto" w:fill="FF0000"/>
            <w:noWrap/>
            <w:vAlign w:val="center"/>
          </w:tcPr>
          <w:p w14:paraId="3821A706"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9</w:t>
            </w:r>
          </w:p>
        </w:tc>
        <w:tc>
          <w:tcPr>
            <w:tcW w:w="519" w:type="dxa"/>
            <w:tcBorders>
              <w:bottom w:val="single" w:sz="4" w:space="0" w:color="FFFFFF"/>
            </w:tcBorders>
            <w:shd w:val="clear" w:color="auto" w:fill="FF0000"/>
            <w:noWrap/>
            <w:vAlign w:val="center"/>
          </w:tcPr>
          <w:p w14:paraId="7E115AC1"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12</w:t>
            </w:r>
          </w:p>
        </w:tc>
        <w:tc>
          <w:tcPr>
            <w:tcW w:w="461" w:type="dxa"/>
            <w:tcBorders>
              <w:bottom w:val="single" w:sz="4" w:space="0" w:color="FFFFFF"/>
            </w:tcBorders>
            <w:shd w:val="clear" w:color="auto" w:fill="FF0000"/>
            <w:vAlign w:val="center"/>
          </w:tcPr>
          <w:p w14:paraId="7AD3AC8C"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19</w:t>
            </w:r>
          </w:p>
        </w:tc>
        <w:tc>
          <w:tcPr>
            <w:tcW w:w="461" w:type="dxa"/>
            <w:tcBorders>
              <w:bottom w:val="single" w:sz="4" w:space="0" w:color="FFFFFF"/>
            </w:tcBorders>
            <w:shd w:val="clear" w:color="auto" w:fill="FFCC00"/>
            <w:vAlign w:val="center"/>
          </w:tcPr>
          <w:p w14:paraId="258F829A"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39</w:t>
            </w:r>
          </w:p>
        </w:tc>
        <w:tc>
          <w:tcPr>
            <w:tcW w:w="461" w:type="dxa"/>
            <w:tcBorders>
              <w:bottom w:val="single" w:sz="4" w:space="0" w:color="FFFFFF"/>
            </w:tcBorders>
            <w:shd w:val="clear" w:color="auto" w:fill="FFCC00"/>
            <w:vAlign w:val="center"/>
          </w:tcPr>
          <w:p w14:paraId="0D921EA6" w14:textId="77777777" w:rsidR="009B15CF" w:rsidRPr="002D209A" w:rsidRDefault="009B15CF" w:rsidP="00C36ADD">
            <w:pPr>
              <w:spacing w:before="0" w:after="0"/>
              <w:jc w:val="center"/>
              <w:rPr>
                <w:color w:val="000000"/>
                <w:sz w:val="20"/>
                <w:szCs w:val="20"/>
                <w:lang w:eastAsia="en-AU"/>
              </w:rPr>
            </w:pPr>
            <w:r>
              <w:rPr>
                <w:color w:val="000000"/>
                <w:sz w:val="20"/>
                <w:szCs w:val="20"/>
              </w:rPr>
              <w:t>30</w:t>
            </w:r>
          </w:p>
        </w:tc>
        <w:tc>
          <w:tcPr>
            <w:tcW w:w="461" w:type="dxa"/>
            <w:tcBorders>
              <w:bottom w:val="single" w:sz="4" w:space="0" w:color="FFFFFF"/>
            </w:tcBorders>
            <w:shd w:val="clear" w:color="auto" w:fill="FFCC00"/>
            <w:vAlign w:val="center"/>
          </w:tcPr>
          <w:p w14:paraId="39AE6B78" w14:textId="77777777" w:rsidR="009B15CF" w:rsidRDefault="009B15CF" w:rsidP="00C36ADD">
            <w:pPr>
              <w:spacing w:before="0" w:after="0"/>
              <w:jc w:val="center"/>
              <w:rPr>
                <w:color w:val="000000"/>
                <w:sz w:val="20"/>
                <w:szCs w:val="20"/>
              </w:rPr>
            </w:pPr>
            <w:r>
              <w:rPr>
                <w:color w:val="000000"/>
                <w:sz w:val="20"/>
                <w:szCs w:val="20"/>
              </w:rPr>
              <w:t>37</w:t>
            </w:r>
          </w:p>
        </w:tc>
        <w:tc>
          <w:tcPr>
            <w:tcW w:w="440" w:type="dxa"/>
            <w:tcBorders>
              <w:bottom w:val="single" w:sz="4" w:space="0" w:color="FFFFFF"/>
            </w:tcBorders>
            <w:shd w:val="clear" w:color="auto" w:fill="FFCC00"/>
            <w:vAlign w:val="center"/>
          </w:tcPr>
          <w:p w14:paraId="735DB807" w14:textId="77777777" w:rsidR="009B15CF" w:rsidRPr="0073784B" w:rsidRDefault="009B15CF" w:rsidP="00C36ADD">
            <w:pPr>
              <w:spacing w:before="0" w:after="0"/>
              <w:jc w:val="center"/>
              <w:rPr>
                <w:sz w:val="20"/>
                <w:szCs w:val="20"/>
              </w:rPr>
            </w:pPr>
            <w:r w:rsidRPr="0073784B">
              <w:rPr>
                <w:sz w:val="20"/>
                <w:szCs w:val="20"/>
              </w:rPr>
              <w:t>37</w:t>
            </w:r>
          </w:p>
        </w:tc>
      </w:tr>
      <w:tr w:rsidR="009B15CF" w:rsidRPr="00EC364C" w14:paraId="2501E69B" w14:textId="77777777" w:rsidTr="005209EC">
        <w:trPr>
          <w:trHeight w:val="312"/>
          <w:jc w:val="center"/>
        </w:trPr>
        <w:tc>
          <w:tcPr>
            <w:tcW w:w="1303" w:type="dxa"/>
            <w:vMerge/>
            <w:shd w:val="clear" w:color="auto" w:fill="auto"/>
            <w:noWrap/>
            <w:vAlign w:val="center"/>
          </w:tcPr>
          <w:p w14:paraId="0FA205EE" w14:textId="77777777" w:rsidR="009B15CF" w:rsidRPr="00EC364C" w:rsidRDefault="009B15CF" w:rsidP="00C36ADD">
            <w:pPr>
              <w:spacing w:before="0" w:after="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14:paraId="55CA4351"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4B855BAF" w14:textId="77777777" w:rsidR="009B15CF" w:rsidRPr="002D209A"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561B1992"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39</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68B0DD70"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38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642C0500"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18</w:t>
            </w:r>
          </w:p>
        </w:tc>
        <w:tc>
          <w:tcPr>
            <w:tcW w:w="519"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14:paraId="07C8BFBF"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41</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3B70C7B2"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12</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70A9D22D"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14</w:t>
            </w:r>
          </w:p>
        </w:tc>
        <w:tc>
          <w:tcPr>
            <w:tcW w:w="461"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3DF0F25F"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14</w:t>
            </w:r>
          </w:p>
        </w:tc>
        <w:tc>
          <w:tcPr>
            <w:tcW w:w="461"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5F8F0140"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23</w:t>
            </w:r>
          </w:p>
        </w:tc>
        <w:tc>
          <w:tcPr>
            <w:tcW w:w="461" w:type="dxa"/>
            <w:tcBorders>
              <w:top w:val="single" w:sz="4" w:space="0" w:color="FFFFFF"/>
              <w:left w:val="single" w:sz="4" w:space="0" w:color="FFFFFF"/>
              <w:bottom w:val="single" w:sz="4" w:space="0" w:color="FFFFFF"/>
            </w:tcBorders>
            <w:shd w:val="clear" w:color="auto" w:fill="FFCC00"/>
            <w:vAlign w:val="center"/>
          </w:tcPr>
          <w:p w14:paraId="0C2FCCD2" w14:textId="77777777" w:rsidR="009B15CF" w:rsidRPr="002D209A" w:rsidRDefault="009B15CF" w:rsidP="00C36ADD">
            <w:pPr>
              <w:spacing w:before="0" w:after="0"/>
              <w:jc w:val="center"/>
              <w:rPr>
                <w:color w:val="000000"/>
                <w:sz w:val="20"/>
                <w:szCs w:val="20"/>
                <w:lang w:eastAsia="en-AU"/>
              </w:rPr>
            </w:pPr>
            <w:r>
              <w:rPr>
                <w:color w:val="000000"/>
                <w:sz w:val="20"/>
                <w:szCs w:val="20"/>
              </w:rPr>
              <w:t>37</w:t>
            </w:r>
          </w:p>
        </w:tc>
        <w:tc>
          <w:tcPr>
            <w:tcW w:w="461" w:type="dxa"/>
            <w:tcBorders>
              <w:top w:val="single" w:sz="4" w:space="0" w:color="FFFFFF"/>
              <w:left w:val="single" w:sz="4" w:space="0" w:color="FFFFFF"/>
              <w:bottom w:val="single" w:sz="4" w:space="0" w:color="FFFFFF"/>
            </w:tcBorders>
            <w:shd w:val="clear" w:color="auto" w:fill="FFFF00"/>
            <w:vAlign w:val="center"/>
          </w:tcPr>
          <w:p w14:paraId="20D13C3A" w14:textId="77777777" w:rsidR="009B15CF" w:rsidRDefault="009B15CF" w:rsidP="00C36ADD">
            <w:pPr>
              <w:spacing w:before="0" w:after="0"/>
              <w:jc w:val="center"/>
              <w:rPr>
                <w:color w:val="000000"/>
                <w:sz w:val="20"/>
                <w:szCs w:val="20"/>
              </w:rPr>
            </w:pPr>
            <w:r>
              <w:rPr>
                <w:color w:val="000000"/>
                <w:sz w:val="20"/>
                <w:szCs w:val="20"/>
              </w:rPr>
              <w:t>50</w:t>
            </w:r>
          </w:p>
        </w:tc>
        <w:tc>
          <w:tcPr>
            <w:tcW w:w="440" w:type="dxa"/>
            <w:tcBorders>
              <w:top w:val="single" w:sz="4" w:space="0" w:color="FFFFFF"/>
              <w:left w:val="single" w:sz="4" w:space="0" w:color="FFFFFF"/>
              <w:bottom w:val="single" w:sz="4" w:space="0" w:color="FFFFFF"/>
            </w:tcBorders>
            <w:shd w:val="clear" w:color="auto" w:fill="FFFF00"/>
            <w:vAlign w:val="center"/>
          </w:tcPr>
          <w:p w14:paraId="16004FCB" w14:textId="77777777" w:rsidR="009B15CF" w:rsidRPr="0073784B" w:rsidRDefault="009B15CF" w:rsidP="00C36ADD">
            <w:pPr>
              <w:spacing w:before="0" w:after="0"/>
              <w:jc w:val="center"/>
              <w:rPr>
                <w:sz w:val="20"/>
                <w:szCs w:val="20"/>
              </w:rPr>
            </w:pPr>
            <w:r w:rsidRPr="0073784B">
              <w:rPr>
                <w:sz w:val="20"/>
                <w:szCs w:val="20"/>
              </w:rPr>
              <w:t>55</w:t>
            </w:r>
          </w:p>
        </w:tc>
      </w:tr>
      <w:tr w:rsidR="009B15CF" w:rsidRPr="00EC364C" w14:paraId="4EE6ADDA" w14:textId="77777777" w:rsidTr="005209EC">
        <w:trPr>
          <w:trHeight w:val="312"/>
          <w:jc w:val="center"/>
        </w:trPr>
        <w:tc>
          <w:tcPr>
            <w:tcW w:w="1303" w:type="dxa"/>
            <w:vMerge/>
            <w:tcBorders>
              <w:bottom w:val="single" w:sz="4" w:space="0" w:color="000000"/>
            </w:tcBorders>
            <w:shd w:val="clear" w:color="auto" w:fill="auto"/>
            <w:noWrap/>
            <w:vAlign w:val="center"/>
          </w:tcPr>
          <w:p w14:paraId="54F88334" w14:textId="77777777" w:rsidR="009B15CF" w:rsidRPr="00EC364C" w:rsidRDefault="009B15CF" w:rsidP="00C36ADD">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14:paraId="5CCE32E3" w14:textId="77777777" w:rsidR="009B15CF" w:rsidRPr="00EC364C" w:rsidRDefault="009B15CF" w:rsidP="00C36ADD">
            <w:pPr>
              <w:spacing w:before="0" w:after="0"/>
              <w:jc w:val="center"/>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D8315DD" w14:textId="77777777" w:rsidR="009B15CF" w:rsidRPr="002D209A"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58EAB299" w14:textId="77777777" w:rsidR="009B15CF" w:rsidRPr="002D209A" w:rsidRDefault="009B15CF" w:rsidP="00C36ADD">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3ED28667"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27</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2D7AE9B2"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7</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5F64280E"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30</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20618B7D"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20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5930EB30"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11</w:t>
            </w:r>
          </w:p>
        </w:tc>
        <w:tc>
          <w:tcPr>
            <w:tcW w:w="461"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44BB73CB"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14</w:t>
            </w:r>
          </w:p>
        </w:tc>
        <w:tc>
          <w:tcPr>
            <w:tcW w:w="461"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6656070A" w14:textId="77777777" w:rsidR="009B15CF" w:rsidRPr="002D209A" w:rsidRDefault="009B15CF" w:rsidP="00C36ADD">
            <w:pPr>
              <w:spacing w:before="0" w:after="0"/>
              <w:jc w:val="center"/>
              <w:rPr>
                <w:color w:val="000000"/>
                <w:sz w:val="20"/>
                <w:szCs w:val="20"/>
                <w:lang w:eastAsia="en-AU"/>
              </w:rPr>
            </w:pPr>
            <w:r w:rsidRPr="002D209A">
              <w:rPr>
                <w:color w:val="000000"/>
                <w:sz w:val="20"/>
                <w:szCs w:val="20"/>
                <w:lang w:eastAsia="en-AU"/>
              </w:rPr>
              <w:t>31</w:t>
            </w:r>
          </w:p>
        </w:tc>
        <w:tc>
          <w:tcPr>
            <w:tcW w:w="461" w:type="dxa"/>
            <w:tcBorders>
              <w:top w:val="single" w:sz="4" w:space="0" w:color="FFFFFF"/>
              <w:left w:val="single" w:sz="4" w:space="0" w:color="FFFFFF"/>
              <w:bottom w:val="single" w:sz="4" w:space="0" w:color="FFFFFF"/>
            </w:tcBorders>
            <w:shd w:val="clear" w:color="auto" w:fill="FFCC00"/>
            <w:vAlign w:val="center"/>
          </w:tcPr>
          <w:p w14:paraId="0D58F1BD" w14:textId="77777777" w:rsidR="009B15CF" w:rsidRPr="002D209A" w:rsidRDefault="009B15CF" w:rsidP="00C36ADD">
            <w:pPr>
              <w:spacing w:before="0" w:after="0"/>
              <w:jc w:val="center"/>
              <w:rPr>
                <w:color w:val="000000"/>
                <w:sz w:val="20"/>
                <w:szCs w:val="20"/>
                <w:lang w:eastAsia="en-AU"/>
              </w:rPr>
            </w:pPr>
            <w:r>
              <w:rPr>
                <w:color w:val="000000"/>
                <w:sz w:val="20"/>
                <w:szCs w:val="20"/>
              </w:rPr>
              <w:t>26</w:t>
            </w:r>
          </w:p>
        </w:tc>
        <w:tc>
          <w:tcPr>
            <w:tcW w:w="461" w:type="dxa"/>
            <w:tcBorders>
              <w:top w:val="single" w:sz="4" w:space="0" w:color="FFFFFF"/>
              <w:left w:val="single" w:sz="4" w:space="0" w:color="FFFFFF"/>
              <w:bottom w:val="single" w:sz="4" w:space="0" w:color="FFFFFF"/>
            </w:tcBorders>
            <w:shd w:val="clear" w:color="auto" w:fill="FF0000"/>
            <w:vAlign w:val="center"/>
          </w:tcPr>
          <w:p w14:paraId="283E90BD" w14:textId="77777777" w:rsidR="009B15CF" w:rsidRDefault="009B15CF" w:rsidP="00C36ADD">
            <w:pPr>
              <w:spacing w:before="0" w:after="0"/>
              <w:jc w:val="center"/>
              <w:rPr>
                <w:color w:val="000000"/>
                <w:sz w:val="20"/>
                <w:szCs w:val="20"/>
              </w:rPr>
            </w:pPr>
            <w:r>
              <w:rPr>
                <w:color w:val="000000"/>
                <w:sz w:val="20"/>
                <w:szCs w:val="20"/>
              </w:rPr>
              <w:t>8</w:t>
            </w:r>
          </w:p>
        </w:tc>
        <w:tc>
          <w:tcPr>
            <w:tcW w:w="440" w:type="dxa"/>
            <w:tcBorders>
              <w:top w:val="single" w:sz="4" w:space="0" w:color="FFFFFF"/>
              <w:left w:val="single" w:sz="4" w:space="0" w:color="FFFFFF"/>
              <w:bottom w:val="single" w:sz="4" w:space="0" w:color="FFFFFF"/>
            </w:tcBorders>
            <w:shd w:val="clear" w:color="auto" w:fill="FF0000"/>
            <w:vAlign w:val="center"/>
          </w:tcPr>
          <w:p w14:paraId="03437B87" w14:textId="77777777" w:rsidR="009B15CF" w:rsidRPr="0073784B" w:rsidRDefault="009B15CF" w:rsidP="00C36ADD">
            <w:pPr>
              <w:spacing w:before="0" w:after="0"/>
              <w:jc w:val="center"/>
              <w:rPr>
                <w:sz w:val="20"/>
                <w:szCs w:val="20"/>
              </w:rPr>
            </w:pPr>
            <w:r w:rsidRPr="0073784B">
              <w:rPr>
                <w:sz w:val="20"/>
                <w:szCs w:val="20"/>
              </w:rPr>
              <w:t>9</w:t>
            </w:r>
          </w:p>
        </w:tc>
      </w:tr>
      <w:tr w:rsidR="009B15CF" w:rsidRPr="002D209A" w14:paraId="0CF71C22" w14:textId="77777777" w:rsidTr="005209EC">
        <w:trPr>
          <w:trHeight w:val="312"/>
          <w:jc w:val="center"/>
        </w:trPr>
        <w:tc>
          <w:tcPr>
            <w:tcW w:w="3143" w:type="dxa"/>
            <w:gridSpan w:val="2"/>
            <w:tcBorders>
              <w:top w:val="single" w:sz="4" w:space="0" w:color="000000"/>
              <w:bottom w:val="single" w:sz="4" w:space="0" w:color="000000"/>
            </w:tcBorders>
            <w:shd w:val="clear" w:color="auto" w:fill="auto"/>
            <w:noWrap/>
            <w:vAlign w:val="center"/>
          </w:tcPr>
          <w:p w14:paraId="02A86CCD" w14:textId="77777777" w:rsidR="009B15CF" w:rsidRPr="002D209A" w:rsidRDefault="009B15CF" w:rsidP="00C36ADD">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FFCC00"/>
            <w:noWrap/>
            <w:vAlign w:val="center"/>
          </w:tcPr>
          <w:p w14:paraId="1262AE78"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39</w:t>
            </w:r>
          </w:p>
        </w:tc>
        <w:tc>
          <w:tcPr>
            <w:tcW w:w="519" w:type="dxa"/>
            <w:tcBorders>
              <w:top w:val="single" w:sz="4" w:space="0" w:color="000000"/>
              <w:bottom w:val="single" w:sz="4" w:space="0" w:color="000000"/>
            </w:tcBorders>
            <w:shd w:val="clear" w:color="auto" w:fill="FFCC00"/>
            <w:noWrap/>
            <w:vAlign w:val="center"/>
          </w:tcPr>
          <w:p w14:paraId="6ECBFBB3"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31</w:t>
            </w:r>
          </w:p>
        </w:tc>
        <w:tc>
          <w:tcPr>
            <w:tcW w:w="519" w:type="dxa"/>
            <w:tcBorders>
              <w:top w:val="single" w:sz="4" w:space="0" w:color="000000"/>
              <w:bottom w:val="single" w:sz="4" w:space="0" w:color="000000"/>
            </w:tcBorders>
            <w:shd w:val="clear" w:color="auto" w:fill="FFCC00"/>
            <w:noWrap/>
            <w:vAlign w:val="center"/>
          </w:tcPr>
          <w:p w14:paraId="2283E529"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30</w:t>
            </w:r>
          </w:p>
        </w:tc>
        <w:tc>
          <w:tcPr>
            <w:tcW w:w="519" w:type="dxa"/>
            <w:tcBorders>
              <w:top w:val="single" w:sz="4" w:space="0" w:color="000000"/>
              <w:bottom w:val="single" w:sz="4" w:space="0" w:color="000000"/>
            </w:tcBorders>
            <w:shd w:val="clear" w:color="auto" w:fill="FFCC00"/>
            <w:noWrap/>
            <w:vAlign w:val="center"/>
          </w:tcPr>
          <w:p w14:paraId="38FB155C"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21</w:t>
            </w:r>
          </w:p>
        </w:tc>
        <w:tc>
          <w:tcPr>
            <w:tcW w:w="519" w:type="dxa"/>
            <w:tcBorders>
              <w:top w:val="single" w:sz="4" w:space="0" w:color="000000"/>
              <w:bottom w:val="single" w:sz="4" w:space="0" w:color="000000"/>
            </w:tcBorders>
            <w:shd w:val="clear" w:color="auto" w:fill="FFCC00"/>
            <w:noWrap/>
            <w:vAlign w:val="center"/>
          </w:tcPr>
          <w:p w14:paraId="136F3E7F"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0000"/>
            <w:noWrap/>
            <w:vAlign w:val="center"/>
          </w:tcPr>
          <w:p w14:paraId="2DBD39F9"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6</w:t>
            </w:r>
          </w:p>
        </w:tc>
        <w:tc>
          <w:tcPr>
            <w:tcW w:w="519" w:type="dxa"/>
            <w:tcBorders>
              <w:top w:val="single" w:sz="4" w:space="0" w:color="000000"/>
              <w:bottom w:val="single" w:sz="4" w:space="0" w:color="000000"/>
            </w:tcBorders>
            <w:shd w:val="clear" w:color="auto" w:fill="FF0000"/>
            <w:noWrap/>
            <w:vAlign w:val="center"/>
          </w:tcPr>
          <w:p w14:paraId="4F65C2E6"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8</w:t>
            </w:r>
          </w:p>
        </w:tc>
        <w:tc>
          <w:tcPr>
            <w:tcW w:w="461" w:type="dxa"/>
            <w:tcBorders>
              <w:top w:val="single" w:sz="4" w:space="0" w:color="000000"/>
              <w:bottom w:val="single" w:sz="4" w:space="0" w:color="000000"/>
            </w:tcBorders>
            <w:shd w:val="clear" w:color="auto" w:fill="FF0000"/>
            <w:vAlign w:val="center"/>
          </w:tcPr>
          <w:p w14:paraId="0DF2C94D"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15</w:t>
            </w:r>
          </w:p>
        </w:tc>
        <w:tc>
          <w:tcPr>
            <w:tcW w:w="461" w:type="dxa"/>
            <w:tcBorders>
              <w:top w:val="single" w:sz="4" w:space="0" w:color="000000"/>
              <w:bottom w:val="single" w:sz="4" w:space="0" w:color="000000"/>
            </w:tcBorders>
            <w:shd w:val="clear" w:color="auto" w:fill="FFCC00"/>
            <w:vAlign w:val="center"/>
          </w:tcPr>
          <w:p w14:paraId="362136FC"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25</w:t>
            </w:r>
          </w:p>
        </w:tc>
        <w:tc>
          <w:tcPr>
            <w:tcW w:w="461" w:type="dxa"/>
            <w:tcBorders>
              <w:top w:val="single" w:sz="4" w:space="0" w:color="000000"/>
              <w:bottom w:val="single" w:sz="4" w:space="0" w:color="000000"/>
            </w:tcBorders>
            <w:shd w:val="clear" w:color="auto" w:fill="FFCC00"/>
            <w:vAlign w:val="center"/>
          </w:tcPr>
          <w:p w14:paraId="33473B3D" w14:textId="77777777" w:rsidR="009B15CF" w:rsidRPr="00423BA4" w:rsidRDefault="009B15CF" w:rsidP="00C36ADD">
            <w:pPr>
              <w:spacing w:before="0" w:after="0"/>
              <w:jc w:val="center"/>
              <w:rPr>
                <w:b/>
                <w:color w:val="000000"/>
                <w:sz w:val="20"/>
                <w:szCs w:val="20"/>
                <w:lang w:eastAsia="en-AU"/>
              </w:rPr>
            </w:pPr>
            <w:r w:rsidRPr="006834BF">
              <w:rPr>
                <w:b/>
                <w:color w:val="000000"/>
                <w:sz w:val="20"/>
                <w:szCs w:val="20"/>
                <w:lang w:eastAsia="en-AU"/>
              </w:rPr>
              <w:t>32</w:t>
            </w:r>
          </w:p>
        </w:tc>
        <w:tc>
          <w:tcPr>
            <w:tcW w:w="461" w:type="dxa"/>
            <w:tcBorders>
              <w:top w:val="single" w:sz="4" w:space="0" w:color="000000"/>
              <w:bottom w:val="single" w:sz="4" w:space="0" w:color="000000"/>
            </w:tcBorders>
            <w:shd w:val="clear" w:color="auto" w:fill="FFCC00"/>
            <w:vAlign w:val="center"/>
          </w:tcPr>
          <w:p w14:paraId="4EB856E5" w14:textId="77777777" w:rsidR="009B15CF" w:rsidRPr="006834BF" w:rsidRDefault="009B15CF" w:rsidP="00C36ADD">
            <w:pPr>
              <w:spacing w:before="0" w:after="0"/>
              <w:jc w:val="center"/>
              <w:rPr>
                <w:b/>
                <w:color w:val="000000"/>
                <w:sz w:val="20"/>
                <w:szCs w:val="20"/>
                <w:lang w:eastAsia="en-AU"/>
              </w:rPr>
            </w:pPr>
            <w:r>
              <w:rPr>
                <w:b/>
                <w:color w:val="000000"/>
                <w:sz w:val="20"/>
                <w:szCs w:val="20"/>
                <w:lang w:eastAsia="en-AU"/>
              </w:rPr>
              <w:t>34</w:t>
            </w:r>
          </w:p>
        </w:tc>
        <w:tc>
          <w:tcPr>
            <w:tcW w:w="440" w:type="dxa"/>
            <w:tcBorders>
              <w:top w:val="single" w:sz="4" w:space="0" w:color="000000"/>
              <w:bottom w:val="single" w:sz="4" w:space="0" w:color="000000"/>
            </w:tcBorders>
            <w:shd w:val="clear" w:color="auto" w:fill="FFCC00"/>
            <w:vAlign w:val="center"/>
          </w:tcPr>
          <w:p w14:paraId="10EA70D3" w14:textId="77777777" w:rsidR="009B15CF" w:rsidRPr="00D01EBE" w:rsidRDefault="009B15CF" w:rsidP="00C36ADD">
            <w:pPr>
              <w:spacing w:before="0" w:after="0"/>
              <w:jc w:val="center"/>
              <w:rPr>
                <w:b/>
                <w:sz w:val="20"/>
                <w:szCs w:val="20"/>
              </w:rPr>
            </w:pPr>
            <w:r w:rsidRPr="00D01EBE">
              <w:rPr>
                <w:b/>
                <w:sz w:val="20"/>
                <w:szCs w:val="20"/>
              </w:rPr>
              <w:t>34</w:t>
            </w:r>
          </w:p>
        </w:tc>
      </w:tr>
    </w:tbl>
    <w:p w14:paraId="565F1368" w14:textId="77777777" w:rsidR="00BA409D" w:rsidRPr="006E0687" w:rsidRDefault="005132EF" w:rsidP="00926892">
      <w:pPr>
        <w:pStyle w:val="Heading2"/>
        <w:numPr>
          <w:ilvl w:val="1"/>
          <w:numId w:val="9"/>
        </w:numPr>
        <w:rPr>
          <w:rFonts w:ascii="Century Gothic" w:hAnsi="Century Gothic"/>
          <w:color w:val="000000"/>
        </w:rPr>
      </w:pPr>
      <w:r w:rsidRPr="00015190">
        <w:rPr>
          <w:color w:val="0000FF"/>
          <w:szCs w:val="22"/>
        </w:rPr>
        <w:br w:type="page"/>
      </w:r>
      <w:bookmarkStart w:id="507" w:name="_Toc175991085"/>
      <w:bookmarkStart w:id="508" w:name="_Toc232845930"/>
      <w:bookmarkStart w:id="509" w:name="_Toc184102023"/>
      <w:bookmarkStart w:id="510" w:name="_Toc431493778"/>
      <w:bookmarkStart w:id="511" w:name="_Toc516053161"/>
      <w:bookmarkStart w:id="512" w:name="_Toc170191647"/>
      <w:r w:rsidR="00BA409D" w:rsidRPr="006E0687">
        <w:rPr>
          <w:rFonts w:ascii="Century Gothic" w:hAnsi="Century Gothic"/>
          <w:color w:val="000000"/>
        </w:rPr>
        <w:t>Fitzroy</w:t>
      </w:r>
      <w:bookmarkEnd w:id="507"/>
      <w:bookmarkEnd w:id="508"/>
      <w:bookmarkEnd w:id="509"/>
      <w:bookmarkEnd w:id="510"/>
      <w:bookmarkEnd w:id="511"/>
    </w:p>
    <w:p w14:paraId="187864B6" w14:textId="5BED0AE9" w:rsidR="005132EF" w:rsidRPr="00712221" w:rsidRDefault="008574EC" w:rsidP="00926892">
      <w:pPr>
        <w:pStyle w:val="Heading3"/>
        <w:numPr>
          <w:ilvl w:val="2"/>
          <w:numId w:val="9"/>
        </w:numPr>
        <w:rPr>
          <w:rFonts w:ascii="Arial" w:hAnsi="Arial" w:cs="Arial"/>
          <w:color w:val="000000"/>
        </w:rPr>
      </w:pPr>
      <w:bookmarkStart w:id="513" w:name="_Toc184102024"/>
      <w:bookmarkStart w:id="514" w:name="_Toc431493779"/>
      <w:bookmarkStart w:id="515" w:name="_Toc516053162"/>
      <w:bookmarkEnd w:id="512"/>
      <w:r>
        <w:rPr>
          <w:rFonts w:ascii="Arial" w:hAnsi="Arial" w:cs="Arial"/>
          <w:color w:val="000000"/>
        </w:rPr>
        <w:t>2016–17</w:t>
      </w:r>
      <w:r w:rsidR="005132EF" w:rsidRPr="00712221">
        <w:rPr>
          <w:rFonts w:ascii="Arial" w:hAnsi="Arial" w:cs="Arial"/>
          <w:color w:val="000000"/>
        </w:rPr>
        <w:t xml:space="preserve"> </w:t>
      </w:r>
      <w:r w:rsidR="002F55F1">
        <w:rPr>
          <w:rFonts w:ascii="Arial" w:hAnsi="Arial" w:cs="Arial"/>
          <w:color w:val="000000"/>
        </w:rPr>
        <w:t>s</w:t>
      </w:r>
      <w:r w:rsidR="005132EF" w:rsidRPr="00712221">
        <w:rPr>
          <w:rFonts w:ascii="Arial" w:hAnsi="Arial" w:cs="Arial"/>
          <w:color w:val="000000"/>
        </w:rPr>
        <w:t>ummary</w:t>
      </w:r>
      <w:bookmarkEnd w:id="513"/>
      <w:bookmarkEnd w:id="514"/>
      <w:bookmarkEnd w:id="515"/>
    </w:p>
    <w:p w14:paraId="1B9AB629" w14:textId="3F6FE72F" w:rsidR="00045D87" w:rsidRPr="00D01EBE" w:rsidRDefault="00496AF3" w:rsidP="00045D87">
      <w:pPr>
        <w:rPr>
          <w:szCs w:val="22"/>
        </w:rPr>
      </w:pPr>
      <w:r w:rsidRPr="00233A8B">
        <w:rPr>
          <w:szCs w:val="22"/>
        </w:rPr>
        <w:t xml:space="preserve">The Fitzroy region has the largest </w:t>
      </w:r>
      <w:r w:rsidR="00DF43AB" w:rsidRPr="00233A8B">
        <w:rPr>
          <w:szCs w:val="22"/>
        </w:rPr>
        <w:t>catchment</w:t>
      </w:r>
      <w:r w:rsidRPr="00233A8B">
        <w:rPr>
          <w:szCs w:val="22"/>
        </w:rPr>
        <w:t xml:space="preserve"> area draining </w:t>
      </w:r>
      <w:r w:rsidR="00DF43AB" w:rsidRPr="00233A8B">
        <w:rPr>
          <w:szCs w:val="22"/>
        </w:rPr>
        <w:t xml:space="preserve">into the </w:t>
      </w:r>
      <w:r w:rsidR="007F6948">
        <w:rPr>
          <w:szCs w:val="22"/>
        </w:rPr>
        <w:t>Great Barrier Reef</w:t>
      </w:r>
      <w:r w:rsidR="00DF43AB" w:rsidRPr="00233A8B">
        <w:rPr>
          <w:szCs w:val="22"/>
        </w:rPr>
        <w:t xml:space="preserve">, and the inshore seagrass meadows </w:t>
      </w:r>
      <w:r w:rsidR="00C1776D" w:rsidRPr="00233A8B">
        <w:rPr>
          <w:szCs w:val="22"/>
        </w:rPr>
        <w:t xml:space="preserve">are mainly located on the large shallow sand/mud banks in sheltered areas of the region’s estuaries and coasts, or on the fringing reef flat habitats of offshore islands. </w:t>
      </w:r>
      <w:r w:rsidR="00A42FF9" w:rsidRPr="00F52465">
        <w:rPr>
          <w:color w:val="000000" w:themeColor="text1"/>
          <w:szCs w:val="22"/>
        </w:rPr>
        <w:t xml:space="preserve">In </w:t>
      </w:r>
      <w:r w:rsidR="008574EC">
        <w:rPr>
          <w:color w:val="000000" w:themeColor="text1"/>
          <w:szCs w:val="22"/>
        </w:rPr>
        <w:t>2016–17</w:t>
      </w:r>
      <w:r w:rsidR="00B26D25">
        <w:rPr>
          <w:color w:val="000000" w:themeColor="text1"/>
          <w:szCs w:val="22"/>
        </w:rPr>
        <w:t>,</w:t>
      </w:r>
      <w:r w:rsidR="00045D87" w:rsidRPr="00F52465">
        <w:rPr>
          <w:color w:val="000000" w:themeColor="text1"/>
          <w:szCs w:val="22"/>
        </w:rPr>
        <w:t xml:space="preserve"> </w:t>
      </w:r>
      <w:r w:rsidR="0053313B" w:rsidRPr="00F52465">
        <w:rPr>
          <w:color w:val="000000" w:themeColor="text1"/>
          <w:szCs w:val="22"/>
        </w:rPr>
        <w:t xml:space="preserve">although rainfall was similar to the long-term annual average, it fell episodically, and was associated with </w:t>
      </w:r>
      <w:r w:rsidR="00F52465" w:rsidRPr="00F52465">
        <w:rPr>
          <w:color w:val="000000" w:themeColor="text1"/>
          <w:szCs w:val="22"/>
        </w:rPr>
        <w:t xml:space="preserve">increased river discharge. </w:t>
      </w:r>
      <w:r w:rsidR="008E4F34" w:rsidRPr="00F52465">
        <w:rPr>
          <w:color w:val="000000" w:themeColor="text1"/>
          <w:szCs w:val="22"/>
        </w:rPr>
        <w:t>S</w:t>
      </w:r>
      <w:r w:rsidR="00285310" w:rsidRPr="00F52465">
        <w:rPr>
          <w:color w:val="000000" w:themeColor="text1"/>
          <w:szCs w:val="22"/>
        </w:rPr>
        <w:t xml:space="preserve">eagrass meadows </w:t>
      </w:r>
      <w:r w:rsidR="00916679" w:rsidRPr="00F52465">
        <w:rPr>
          <w:color w:val="000000" w:themeColor="text1"/>
          <w:szCs w:val="22"/>
        </w:rPr>
        <w:t xml:space="preserve">were exposed </w:t>
      </w:r>
      <w:r w:rsidR="00285310" w:rsidRPr="00F52465">
        <w:rPr>
          <w:color w:val="000000" w:themeColor="text1"/>
        </w:rPr>
        <w:t xml:space="preserve">to </w:t>
      </w:r>
      <w:r w:rsidR="00F52465" w:rsidRPr="00F52465">
        <w:rPr>
          <w:color w:val="000000" w:themeColor="text1"/>
        </w:rPr>
        <w:t>‘brown’ or ‘green’ turbid water 99</w:t>
      </w:r>
      <w:r w:rsidR="0063478C" w:rsidRPr="00F52465">
        <w:rPr>
          <w:color w:val="000000" w:themeColor="text1"/>
        </w:rPr>
        <w:t xml:space="preserve"> per cent</w:t>
      </w:r>
      <w:r w:rsidR="008E4F34" w:rsidRPr="00F52465">
        <w:rPr>
          <w:color w:val="000000" w:themeColor="text1"/>
        </w:rPr>
        <w:t xml:space="preserve"> of wet season weeks (November 2015 to April 2016). </w:t>
      </w:r>
      <w:r w:rsidR="00CC4030">
        <w:rPr>
          <w:color w:val="000000" w:themeColor="text1"/>
        </w:rPr>
        <w:t>However, t</w:t>
      </w:r>
      <w:r w:rsidR="008E4F34" w:rsidRPr="00F52465">
        <w:rPr>
          <w:color w:val="000000" w:themeColor="text1"/>
        </w:rPr>
        <w:t xml:space="preserve">he most distinguishing environmental extremes in </w:t>
      </w:r>
      <w:r w:rsidR="008574EC">
        <w:rPr>
          <w:color w:val="000000" w:themeColor="text1"/>
        </w:rPr>
        <w:t>2016–17</w:t>
      </w:r>
      <w:r w:rsidR="008E4F34" w:rsidRPr="00F52465">
        <w:rPr>
          <w:color w:val="000000" w:themeColor="text1"/>
        </w:rPr>
        <w:t xml:space="preserve"> were thermal anomalies, whereby meadows were exposed to </w:t>
      </w:r>
      <w:r w:rsidR="00F52465" w:rsidRPr="00D01EBE">
        <w:t>average temperature that was 2.1</w:t>
      </w:r>
      <w:r w:rsidR="00F52465" w:rsidRPr="00D01EBE">
        <w:rPr>
          <w:szCs w:val="22"/>
        </w:rPr>
        <w:sym w:font="Symbol" w:char="F0B0"/>
      </w:r>
      <w:r w:rsidR="00F52465" w:rsidRPr="00D01EBE">
        <w:rPr>
          <w:szCs w:val="22"/>
        </w:rPr>
        <w:t xml:space="preserve">C above average. In addition, there was </w:t>
      </w:r>
      <w:r w:rsidR="008E4F34" w:rsidRPr="00D01EBE">
        <w:t>a record number of warm water (&gt;35</w:t>
      </w:r>
      <w:r w:rsidR="008E4F34" w:rsidRPr="00D01EBE">
        <w:rPr>
          <w:szCs w:val="22"/>
        </w:rPr>
        <w:sym w:font="Symbol" w:char="F0B0"/>
      </w:r>
      <w:r w:rsidR="008E4F34" w:rsidRPr="00D01EBE">
        <w:t>C) days</w:t>
      </w:r>
      <w:r w:rsidR="00F52465" w:rsidRPr="00D01EBE">
        <w:t xml:space="preserve"> (70</w:t>
      </w:r>
      <w:r w:rsidR="00916679" w:rsidRPr="00D01EBE">
        <w:t xml:space="preserve"> d).</w:t>
      </w:r>
      <w:r w:rsidR="006D1A43" w:rsidRPr="00D01EBE">
        <w:t xml:space="preserve"> This was the fourth year in a </w:t>
      </w:r>
      <w:r w:rsidR="00916679" w:rsidRPr="00D01EBE">
        <w:t xml:space="preserve">row of above-average temperatures which could have a chronic impact on seagrass condition. </w:t>
      </w:r>
    </w:p>
    <w:p w14:paraId="6EEB28E0" w14:textId="4304C4D3" w:rsidR="008470F8" w:rsidRPr="00D01EBE" w:rsidRDefault="00CC4030" w:rsidP="00034AD4">
      <w:pPr>
        <w:rPr>
          <w:rFonts w:cs="TimesNewRoman,Italic"/>
          <w:iCs/>
          <w:szCs w:val="22"/>
        </w:rPr>
      </w:pPr>
      <w:r w:rsidRPr="00D01EBE">
        <w:rPr>
          <w:szCs w:val="22"/>
        </w:rPr>
        <w:t xml:space="preserve">The regional seagrass abundance score was unchanged and remained </w:t>
      </w:r>
      <w:r w:rsidRPr="00D01EBE">
        <w:rPr>
          <w:b/>
          <w:szCs w:val="22"/>
        </w:rPr>
        <w:t>poor</w:t>
      </w:r>
      <w:r w:rsidRPr="00D01EBE">
        <w:rPr>
          <w:szCs w:val="22"/>
        </w:rPr>
        <w:t xml:space="preserve">. </w:t>
      </w:r>
      <w:r w:rsidR="00C8158B" w:rsidRPr="00D01EBE">
        <w:rPr>
          <w:szCs w:val="22"/>
        </w:rPr>
        <w:t>Trends in s</w:t>
      </w:r>
      <w:r w:rsidR="00BA4F78" w:rsidRPr="00D01EBE">
        <w:rPr>
          <w:szCs w:val="22"/>
        </w:rPr>
        <w:t>eagrass abundance varied across habitats</w:t>
      </w:r>
      <w:r w:rsidR="00316033" w:rsidRPr="00D01EBE">
        <w:rPr>
          <w:szCs w:val="22"/>
        </w:rPr>
        <w:t xml:space="preserve"> in </w:t>
      </w:r>
      <w:r w:rsidR="008574EC">
        <w:rPr>
          <w:szCs w:val="22"/>
        </w:rPr>
        <w:t>2016–17</w:t>
      </w:r>
      <w:r w:rsidR="00BA4F78" w:rsidRPr="00D01EBE">
        <w:rPr>
          <w:szCs w:val="22"/>
        </w:rPr>
        <w:t xml:space="preserve">, with an overall </w:t>
      </w:r>
      <w:r w:rsidR="0076241E" w:rsidRPr="00D01EBE">
        <w:rPr>
          <w:szCs w:val="22"/>
        </w:rPr>
        <w:t xml:space="preserve">increase at coastal sites, a </w:t>
      </w:r>
      <w:r w:rsidR="00BA4F78" w:rsidRPr="00D01EBE">
        <w:rPr>
          <w:szCs w:val="22"/>
        </w:rPr>
        <w:t xml:space="preserve">decrease at estuarine </w:t>
      </w:r>
      <w:r w:rsidR="00B953C9" w:rsidRPr="00D01EBE">
        <w:rPr>
          <w:szCs w:val="22"/>
        </w:rPr>
        <w:t>sites</w:t>
      </w:r>
      <w:r w:rsidR="00BA4F78" w:rsidRPr="00D01EBE">
        <w:rPr>
          <w:szCs w:val="22"/>
        </w:rPr>
        <w:t xml:space="preserve"> </w:t>
      </w:r>
      <w:r w:rsidR="007629AC" w:rsidRPr="00D01EBE">
        <w:rPr>
          <w:szCs w:val="22"/>
        </w:rPr>
        <w:t>while</w:t>
      </w:r>
      <w:r w:rsidR="0076241E" w:rsidRPr="00D01EBE">
        <w:rPr>
          <w:szCs w:val="22"/>
        </w:rPr>
        <w:t xml:space="preserve"> </w:t>
      </w:r>
      <w:r w:rsidR="00BA4F78" w:rsidRPr="00D01EBE">
        <w:rPr>
          <w:szCs w:val="22"/>
        </w:rPr>
        <w:t xml:space="preserve">reef </w:t>
      </w:r>
      <w:r w:rsidR="00B953C9" w:rsidRPr="00D01EBE">
        <w:rPr>
          <w:szCs w:val="22"/>
        </w:rPr>
        <w:t>sites</w:t>
      </w:r>
      <w:r w:rsidR="007629AC" w:rsidRPr="00D01EBE">
        <w:rPr>
          <w:szCs w:val="22"/>
        </w:rPr>
        <w:t xml:space="preserve"> remained stable and low. </w:t>
      </w:r>
      <w:r w:rsidR="005813A5" w:rsidRPr="00D01EBE">
        <w:rPr>
          <w:szCs w:val="22"/>
        </w:rPr>
        <w:t xml:space="preserve">Annual assessment of the seagrass area in Gladstone Harbour by the QPSMP also confirms that the losses in abundance at the Gladstone estuarine sites reflect a trend of reduced meadow area of the large Pelican Banks meadow. </w:t>
      </w:r>
      <w:r w:rsidR="007629AC" w:rsidRPr="00D01EBE">
        <w:rPr>
          <w:szCs w:val="22"/>
        </w:rPr>
        <w:t xml:space="preserve">Deteriorating condition of the estuarine and reef habitats is also evident from reduction in spatial extent and an increase in the proportion of colonising species in both habitats. </w:t>
      </w:r>
      <w:r w:rsidR="00CE3DA0" w:rsidRPr="00D01EBE">
        <w:rPr>
          <w:szCs w:val="22"/>
        </w:rPr>
        <w:t>Furthermore, reproductive effort remained very low in both reef and estuarine habitats. Despite this, estuarine and coastal habitats maintained a small seedbank, while the reef habitat has no persistent seeds within the sediments</w:t>
      </w:r>
      <w:r w:rsidRPr="00D01EBE">
        <w:rPr>
          <w:szCs w:val="22"/>
        </w:rPr>
        <w:t>, making them highly vulnerable</w:t>
      </w:r>
      <w:r w:rsidR="008A5BB8">
        <w:rPr>
          <w:szCs w:val="22"/>
        </w:rPr>
        <w:t xml:space="preserve">. </w:t>
      </w:r>
      <w:r w:rsidR="00271910" w:rsidRPr="00D01EBE">
        <w:rPr>
          <w:rFonts w:cs="TimesNewRoman,Italic"/>
          <w:iCs/>
          <w:szCs w:val="22"/>
        </w:rPr>
        <w:t>Seagrass</w:t>
      </w:r>
      <w:r w:rsidR="006443C0" w:rsidRPr="00D01EBE">
        <w:rPr>
          <w:rFonts w:cs="TimesNewRoman,Italic"/>
          <w:iCs/>
          <w:szCs w:val="22"/>
        </w:rPr>
        <w:t xml:space="preserve"> </w:t>
      </w:r>
      <w:r w:rsidR="00BA4F78" w:rsidRPr="00D01EBE">
        <w:rPr>
          <w:rFonts w:cs="TimesNewRoman,Italic"/>
          <w:iCs/>
          <w:szCs w:val="22"/>
        </w:rPr>
        <w:t xml:space="preserve">leaf tissue nutrient concentrations </w:t>
      </w:r>
      <w:r w:rsidR="00CE3DA0" w:rsidRPr="00D01EBE">
        <w:rPr>
          <w:rFonts w:cs="TimesNewRoman,Italic"/>
          <w:iCs/>
          <w:szCs w:val="22"/>
        </w:rPr>
        <w:t xml:space="preserve">showed signs that environmental conditions </w:t>
      </w:r>
      <w:r w:rsidRPr="00D01EBE">
        <w:rPr>
          <w:rFonts w:cs="TimesNewRoman,Italic"/>
          <w:iCs/>
          <w:szCs w:val="22"/>
        </w:rPr>
        <w:t xml:space="preserve">for maintaining healthy seagrass habitat </w:t>
      </w:r>
      <w:r w:rsidR="00CE3DA0" w:rsidRPr="00D01EBE">
        <w:rPr>
          <w:rFonts w:cs="TimesNewRoman,Italic"/>
          <w:iCs/>
          <w:szCs w:val="22"/>
        </w:rPr>
        <w:t xml:space="preserve">had improved. </w:t>
      </w:r>
      <w:r w:rsidRPr="00D01EBE">
        <w:rPr>
          <w:rFonts w:cs="TimesNewRoman,Italic"/>
          <w:iCs/>
          <w:szCs w:val="22"/>
        </w:rPr>
        <w:t>The ratio of carbon to nitrogen increased in estuarine and coastal habitat. This was most likely due to a reduction in the availability of nitrogen, as there were also large reductions in the N:P ratios within seagrass leaf tissue. Leaf tissue nutrients are sampled in the late dry, before TC Debbie affected the region. As for other regions, a number of years with below average rainfall appears to have led to lower nitrogen avail</w:t>
      </w:r>
      <w:r w:rsidR="008A5BB8">
        <w:rPr>
          <w:rFonts w:cs="TimesNewRoman,Italic"/>
          <w:iCs/>
          <w:szCs w:val="22"/>
        </w:rPr>
        <w:t>ability.</w:t>
      </w:r>
    </w:p>
    <w:p w14:paraId="4E8C0C9D" w14:textId="28FFA8D2" w:rsidR="00583F77" w:rsidRPr="00CC4030" w:rsidRDefault="00BA4F78" w:rsidP="00583F77">
      <w:pPr>
        <w:rPr>
          <w:color w:val="000000" w:themeColor="text1"/>
          <w:szCs w:val="22"/>
        </w:rPr>
      </w:pPr>
      <w:r w:rsidRPr="00CC4030">
        <w:rPr>
          <w:rFonts w:cs="TimesNewRoman"/>
          <w:color w:val="000000" w:themeColor="text1"/>
          <w:szCs w:val="22"/>
        </w:rPr>
        <w:t>S</w:t>
      </w:r>
      <w:r w:rsidR="00337E89" w:rsidRPr="00CC4030">
        <w:rPr>
          <w:rFonts w:cs="TimesNewRoman"/>
          <w:color w:val="000000" w:themeColor="text1"/>
          <w:szCs w:val="22"/>
        </w:rPr>
        <w:t xml:space="preserve">eagrass across the region </w:t>
      </w:r>
      <w:r w:rsidRPr="00CC4030">
        <w:rPr>
          <w:rFonts w:cs="TimesNewRoman"/>
          <w:color w:val="000000" w:themeColor="text1"/>
          <w:szCs w:val="22"/>
        </w:rPr>
        <w:t>remain</w:t>
      </w:r>
      <w:r w:rsidR="00337E89" w:rsidRPr="00CC4030">
        <w:rPr>
          <w:rFonts w:cs="TimesNewRoman"/>
          <w:color w:val="000000" w:themeColor="text1"/>
          <w:szCs w:val="22"/>
        </w:rPr>
        <w:t xml:space="preserve"> in the early stages of recovering from </w:t>
      </w:r>
      <w:r w:rsidR="00337E89" w:rsidRPr="00CC4030">
        <w:rPr>
          <w:rFonts w:cs="Calibri"/>
          <w:color w:val="000000" w:themeColor="text1"/>
          <w:szCs w:val="22"/>
          <w:lang w:eastAsia="en-AU"/>
        </w:rPr>
        <w:t xml:space="preserve">multiple years of climate related impacts </w:t>
      </w:r>
      <w:r w:rsidR="005C3A14" w:rsidRPr="00CC4030">
        <w:rPr>
          <w:rFonts w:cs="Calibri"/>
          <w:color w:val="000000" w:themeColor="text1"/>
          <w:szCs w:val="22"/>
          <w:lang w:eastAsia="en-AU"/>
        </w:rPr>
        <w:t>which are more recent than in other regions</w:t>
      </w:r>
      <w:r w:rsidR="00CC4030" w:rsidRPr="00CC4030">
        <w:rPr>
          <w:rFonts w:cs="Calibri"/>
          <w:color w:val="000000" w:themeColor="text1"/>
          <w:szCs w:val="22"/>
          <w:lang w:eastAsia="en-AU"/>
        </w:rPr>
        <w:t xml:space="preserve">. The coastal habitats have been improving in all indicators, while other habitats demonstrate </w:t>
      </w:r>
      <w:r w:rsidR="00337E89" w:rsidRPr="00CC4030">
        <w:rPr>
          <w:rFonts w:cs="Calibri"/>
          <w:color w:val="000000" w:themeColor="text1"/>
          <w:szCs w:val="22"/>
          <w:lang w:eastAsia="en-AU"/>
        </w:rPr>
        <w:t>a legacy of reduced resilience</w:t>
      </w:r>
      <w:r w:rsidR="007629AC" w:rsidRPr="00CC4030">
        <w:rPr>
          <w:rFonts w:cs="Calibri"/>
          <w:color w:val="000000" w:themeColor="text1"/>
          <w:szCs w:val="22"/>
          <w:lang w:eastAsia="en-AU"/>
        </w:rPr>
        <w:t xml:space="preserve">. </w:t>
      </w:r>
      <w:r w:rsidR="005C15E5" w:rsidRPr="00CC4030">
        <w:rPr>
          <w:rFonts w:cs="TimesNewRoman"/>
          <w:color w:val="000000" w:themeColor="text1"/>
          <w:szCs w:val="22"/>
        </w:rPr>
        <w:t xml:space="preserve">Overall, </w:t>
      </w:r>
      <w:r w:rsidR="00B43114" w:rsidRPr="00CC4030">
        <w:rPr>
          <w:color w:val="000000" w:themeColor="text1"/>
          <w:szCs w:val="22"/>
        </w:rPr>
        <w:t xml:space="preserve">the </w:t>
      </w:r>
      <w:r w:rsidR="005C15E5" w:rsidRPr="00CC4030">
        <w:rPr>
          <w:color w:val="000000" w:themeColor="text1"/>
          <w:szCs w:val="22"/>
        </w:rPr>
        <w:t xml:space="preserve">Fitzroy </w:t>
      </w:r>
      <w:r w:rsidR="00B43114" w:rsidRPr="00CC4030">
        <w:rPr>
          <w:color w:val="000000" w:themeColor="text1"/>
          <w:szCs w:val="22"/>
        </w:rPr>
        <w:t xml:space="preserve">regional seagrass state </w:t>
      </w:r>
      <w:r w:rsidR="00CC4030" w:rsidRPr="00CC4030">
        <w:rPr>
          <w:color w:val="000000" w:themeColor="text1"/>
          <w:szCs w:val="22"/>
        </w:rPr>
        <w:t>remained</w:t>
      </w:r>
      <w:r w:rsidR="00593315" w:rsidRPr="00CC4030">
        <w:rPr>
          <w:color w:val="000000" w:themeColor="text1"/>
          <w:szCs w:val="22"/>
        </w:rPr>
        <w:t xml:space="preserve"> </w:t>
      </w:r>
      <w:r w:rsidR="00593315" w:rsidRPr="00CC4030">
        <w:rPr>
          <w:b/>
          <w:color w:val="000000" w:themeColor="text1"/>
          <w:szCs w:val="22"/>
        </w:rPr>
        <w:t>poor</w:t>
      </w:r>
      <w:r w:rsidR="00593315" w:rsidRPr="00CC4030">
        <w:rPr>
          <w:color w:val="000000" w:themeColor="text1"/>
          <w:szCs w:val="22"/>
        </w:rPr>
        <w:t xml:space="preserve"> </w:t>
      </w:r>
      <w:r w:rsidR="00337E89" w:rsidRPr="00CC4030">
        <w:rPr>
          <w:color w:val="000000" w:themeColor="text1"/>
          <w:szCs w:val="22"/>
        </w:rPr>
        <w:t xml:space="preserve">in </w:t>
      </w:r>
      <w:r w:rsidR="008574EC">
        <w:rPr>
          <w:color w:val="000000" w:themeColor="text1"/>
          <w:szCs w:val="22"/>
        </w:rPr>
        <w:t>2016–17</w:t>
      </w:r>
      <w:r w:rsidR="001E70A1" w:rsidRPr="00CC4030">
        <w:rPr>
          <w:color w:val="000000" w:themeColor="text1"/>
          <w:szCs w:val="22"/>
        </w:rPr>
        <w:t xml:space="preserve"> </w:t>
      </w:r>
      <w:r w:rsidR="00D844A1" w:rsidRPr="00CC4030">
        <w:rPr>
          <w:color w:val="000000" w:themeColor="text1"/>
          <w:szCs w:val="22"/>
        </w:rPr>
        <w:t>(</w:t>
      </w:r>
      <w:r w:rsidR="00F7114B" w:rsidRPr="00CC4030">
        <w:rPr>
          <w:color w:val="000000" w:themeColor="text1"/>
          <w:szCs w:val="22"/>
        </w:rPr>
        <w:fldChar w:fldCharType="begin"/>
      </w:r>
      <w:r w:rsidR="00F7114B" w:rsidRPr="00CC4030">
        <w:rPr>
          <w:color w:val="000000" w:themeColor="text1"/>
          <w:szCs w:val="22"/>
        </w:rPr>
        <w:instrText xml:space="preserve"> REF _Ref442349493 \h </w:instrText>
      </w:r>
      <w:r w:rsidR="00F7114B" w:rsidRPr="00CC4030">
        <w:rPr>
          <w:color w:val="000000" w:themeColor="text1"/>
          <w:szCs w:val="22"/>
        </w:rPr>
      </w:r>
      <w:r w:rsidR="00F7114B" w:rsidRPr="00CC4030">
        <w:rPr>
          <w:color w:val="000000" w:themeColor="text1"/>
          <w:szCs w:val="22"/>
        </w:rPr>
        <w:fldChar w:fldCharType="separate"/>
      </w:r>
      <w:r w:rsidR="00F87DF9" w:rsidRPr="005C796F">
        <w:rPr>
          <w:color w:val="000000"/>
        </w:rPr>
        <w:t xml:space="preserve">Figure </w:t>
      </w:r>
      <w:r w:rsidR="00F87DF9">
        <w:rPr>
          <w:noProof/>
          <w:color w:val="000000"/>
        </w:rPr>
        <w:t>93</w:t>
      </w:r>
      <w:r w:rsidR="00F7114B" w:rsidRPr="00CC4030">
        <w:rPr>
          <w:color w:val="000000" w:themeColor="text1"/>
          <w:szCs w:val="22"/>
        </w:rPr>
        <w:fldChar w:fldCharType="end"/>
      </w:r>
      <w:r w:rsidR="00593315" w:rsidRPr="00CC4030">
        <w:rPr>
          <w:color w:val="000000" w:themeColor="text1"/>
          <w:szCs w:val="22"/>
        </w:rPr>
        <w:t>)</w:t>
      </w:r>
      <w:r w:rsidR="00353AF2" w:rsidRPr="00CC4030">
        <w:rPr>
          <w:color w:val="000000" w:themeColor="text1"/>
          <w:szCs w:val="22"/>
        </w:rPr>
        <w:t xml:space="preserve">. </w:t>
      </w:r>
    </w:p>
    <w:p w14:paraId="6DCCCAF5" w14:textId="77777777" w:rsidR="00F7114B" w:rsidRDefault="004E43E3" w:rsidP="00F7114B">
      <w:pPr>
        <w:keepNext/>
        <w:widowControl w:val="0"/>
        <w:spacing w:after="0"/>
        <w:jc w:val="center"/>
        <w:rPr>
          <w:color w:val="000000"/>
          <w:szCs w:val="22"/>
        </w:rPr>
      </w:pPr>
      <w:r>
        <w:rPr>
          <w:noProof/>
          <w:color w:val="000000"/>
          <w:szCs w:val="22"/>
          <w:lang w:eastAsia="en-AU"/>
        </w:rPr>
        <w:drawing>
          <wp:inline distT="0" distB="0" distL="0" distR="0" wp14:anchorId="0EDF1246" wp14:editId="20DBCD4C">
            <wp:extent cx="3892035" cy="2159133"/>
            <wp:effectExtent l="0" t="0" r="0" b="0"/>
            <wp:docPr id="10149" name="Picture 10149" descr="Panel of four scatter plots with straight lines and markers showing report card of seagrass condition (indicators and index) for the Fitzro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9" name="INDEX_F_2016.png"/>
                    <pic:cNvPicPr/>
                  </pic:nvPicPr>
                  <pic:blipFill>
                    <a:blip r:embed="rId131">
                      <a:extLst>
                        <a:ext uri="{28A0092B-C50C-407E-A947-70E740481C1C}">
                          <a14:useLocalDpi xmlns:a14="http://schemas.microsoft.com/office/drawing/2010/main" val="0"/>
                        </a:ext>
                      </a:extLst>
                    </a:blip>
                    <a:stretch>
                      <a:fillRect/>
                    </a:stretch>
                  </pic:blipFill>
                  <pic:spPr>
                    <a:xfrm>
                      <a:off x="0" y="0"/>
                      <a:ext cx="3920364" cy="2174849"/>
                    </a:xfrm>
                    <a:prstGeom prst="rect">
                      <a:avLst/>
                    </a:prstGeom>
                  </pic:spPr>
                </pic:pic>
              </a:graphicData>
            </a:graphic>
          </wp:inline>
        </w:drawing>
      </w:r>
    </w:p>
    <w:p w14:paraId="649316BB" w14:textId="6EDE6E55" w:rsidR="00F7114B" w:rsidRPr="005C796F" w:rsidRDefault="00F7114B" w:rsidP="008A5BB8">
      <w:pPr>
        <w:spacing w:before="0"/>
        <w:rPr>
          <w:i/>
          <w:vanish/>
          <w:color w:val="000000"/>
          <w:specVanish/>
        </w:rPr>
      </w:pPr>
      <w:bookmarkStart w:id="516" w:name="_Ref442349493"/>
      <w:bookmarkStart w:id="517" w:name="_Toc431493886"/>
      <w:bookmarkStart w:id="518" w:name="_Toc516053303"/>
      <w:r w:rsidRPr="005C796F">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93</w:t>
      </w:r>
      <w:r>
        <w:rPr>
          <w:color w:val="000000"/>
        </w:rPr>
        <w:fldChar w:fldCharType="end"/>
      </w:r>
      <w:bookmarkEnd w:id="516"/>
      <w:r w:rsidRPr="005C796F">
        <w:rPr>
          <w:color w:val="000000"/>
        </w:rPr>
        <w:t xml:space="preserve">. </w:t>
      </w:r>
      <w:r w:rsidRPr="005C796F">
        <w:rPr>
          <w:i/>
          <w:color w:val="000000"/>
        </w:rPr>
        <w:t>Report card of seagrass status indicators and index for the Fitzroy NRM region</w:t>
      </w:r>
      <w:bookmarkEnd w:id="517"/>
      <w:bookmarkEnd w:id="518"/>
    </w:p>
    <w:p w14:paraId="79DBFC57" w14:textId="72FC55C8" w:rsidR="00F7114B" w:rsidRPr="005C796F" w:rsidRDefault="00F7114B" w:rsidP="008A5BB8">
      <w:pPr>
        <w:spacing w:before="0" w:after="0"/>
        <w:rPr>
          <w:i/>
          <w:color w:val="000000"/>
          <w:szCs w:val="22"/>
        </w:rPr>
      </w:pPr>
      <w:r w:rsidRPr="005C796F">
        <w:rPr>
          <w:i/>
          <w:color w:val="000000"/>
          <w:szCs w:val="22"/>
        </w:rPr>
        <w:t xml:space="preserve"> (averages across habitats and </w:t>
      </w:r>
      <w:r w:rsidRPr="008A5BB8">
        <w:rPr>
          <w:i/>
          <w:szCs w:val="22"/>
        </w:rPr>
        <w:t xml:space="preserve">sites). </w:t>
      </w:r>
      <w:r w:rsidR="00C41F18" w:rsidRPr="00C41F18">
        <w:rPr>
          <w:i/>
          <w:szCs w:val="22"/>
        </w:rPr>
        <w:t xml:space="preserve">Bold symbol = </w:t>
      </w:r>
      <w:r w:rsidR="008574EC">
        <w:rPr>
          <w:i/>
          <w:szCs w:val="22"/>
        </w:rPr>
        <w:t>2016–17</w:t>
      </w:r>
      <w:r w:rsidR="00C41F18" w:rsidRPr="00C41F18">
        <w:rPr>
          <w:i/>
          <w:szCs w:val="22"/>
        </w:rPr>
        <w:t xml:space="preserve"> monitoring period. </w:t>
      </w:r>
      <w:r w:rsidRPr="008A5BB8">
        <w:rPr>
          <w:i/>
          <w:szCs w:val="22"/>
        </w:rPr>
        <w:t xml:space="preserve">Values </w:t>
      </w:r>
      <w:r w:rsidRPr="00E237C6">
        <w:rPr>
          <w:i/>
          <w:szCs w:val="22"/>
        </w:rPr>
        <w:t xml:space="preserve">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5228B492" w14:textId="77777777" w:rsidR="008A5BB8" w:rsidRPr="000C1040" w:rsidRDefault="008A5BB8" w:rsidP="008A5BB8">
      <w:pPr>
        <w:pStyle w:val="Heading3"/>
        <w:numPr>
          <w:ilvl w:val="2"/>
          <w:numId w:val="9"/>
        </w:numPr>
        <w:rPr>
          <w:rFonts w:ascii="Arial" w:hAnsi="Arial" w:cs="Arial"/>
          <w:color w:val="000000"/>
        </w:rPr>
      </w:pPr>
      <w:bookmarkStart w:id="519" w:name="_Toc516053163"/>
      <w:r w:rsidRPr="000C1040">
        <w:rPr>
          <w:rFonts w:ascii="Arial" w:hAnsi="Arial" w:cs="Arial"/>
          <w:color w:val="000000"/>
        </w:rPr>
        <w:t>Climate and environmental pressures</w:t>
      </w:r>
      <w:bookmarkEnd w:id="519"/>
    </w:p>
    <w:p w14:paraId="5092D2F0" w14:textId="5573BD29" w:rsidR="00583F77" w:rsidRPr="00EA77EE" w:rsidRDefault="00583F77" w:rsidP="00C36ADD">
      <w:pPr>
        <w:rPr>
          <w:color w:val="000000" w:themeColor="text1"/>
          <w:szCs w:val="22"/>
        </w:rPr>
      </w:pPr>
      <w:bookmarkStart w:id="520" w:name="_Toc431493781"/>
      <w:r w:rsidRPr="007F0F99">
        <w:rPr>
          <w:color w:val="000000" w:themeColor="text1"/>
        </w:rPr>
        <w:t xml:space="preserve">In the Fitzroy </w:t>
      </w:r>
      <w:r w:rsidR="00FB58CF" w:rsidRPr="007F0F99">
        <w:rPr>
          <w:color w:val="000000" w:themeColor="text1"/>
        </w:rPr>
        <w:t>region</w:t>
      </w:r>
      <w:r w:rsidR="002868E0" w:rsidRPr="007F0F99">
        <w:rPr>
          <w:color w:val="000000" w:themeColor="text1"/>
        </w:rPr>
        <w:t>,</w:t>
      </w:r>
      <w:r w:rsidRPr="007F0F99">
        <w:rPr>
          <w:color w:val="000000" w:themeColor="text1"/>
        </w:rPr>
        <w:t xml:space="preserve"> rainfall </w:t>
      </w:r>
      <w:r w:rsidR="007F0F99" w:rsidRPr="007F0F99">
        <w:rPr>
          <w:color w:val="000000" w:themeColor="text1"/>
        </w:rPr>
        <w:t xml:space="preserve">in the catchment was equivalent to the long-term average in </w:t>
      </w:r>
      <w:r w:rsidR="008574EC">
        <w:rPr>
          <w:color w:val="000000" w:themeColor="text1"/>
        </w:rPr>
        <w:t>2016–17</w:t>
      </w:r>
      <w:r w:rsidR="007F0F99" w:rsidRPr="007F0F99">
        <w:rPr>
          <w:color w:val="000000" w:themeColor="text1"/>
        </w:rPr>
        <w:t xml:space="preserve"> with most falling in March</w:t>
      </w:r>
      <w:r w:rsidR="008A5BB8">
        <w:rPr>
          <w:color w:val="000000" w:themeColor="text1"/>
        </w:rPr>
        <w:t>,</w:t>
      </w:r>
      <w:r w:rsidR="007F0F99" w:rsidRPr="007F0F99">
        <w:rPr>
          <w:color w:val="000000" w:themeColor="text1"/>
        </w:rPr>
        <w:t xml:space="preserve"> both before and after TC Debbie moved down the coast</w:t>
      </w:r>
      <w:r w:rsidR="002868E0" w:rsidRPr="007F0F99">
        <w:rPr>
          <w:color w:val="000000" w:themeColor="text1"/>
        </w:rPr>
        <w:t xml:space="preserve"> (</w:t>
      </w:r>
      <w:r w:rsidR="002868E0" w:rsidRPr="007F0F99">
        <w:rPr>
          <w:color w:val="000000" w:themeColor="text1"/>
        </w:rPr>
        <w:fldChar w:fldCharType="begin"/>
      </w:r>
      <w:r w:rsidR="002868E0" w:rsidRPr="007F0F99">
        <w:rPr>
          <w:color w:val="000000" w:themeColor="text1"/>
        </w:rPr>
        <w:instrText xml:space="preserve"> REF _Ref442348145 \h </w:instrText>
      </w:r>
      <w:r w:rsidR="002868E0" w:rsidRPr="007F0F99">
        <w:rPr>
          <w:color w:val="000000" w:themeColor="text1"/>
        </w:rPr>
      </w:r>
      <w:r w:rsidR="002868E0" w:rsidRPr="007F0F99">
        <w:rPr>
          <w:color w:val="000000" w:themeColor="text1"/>
        </w:rPr>
        <w:fldChar w:fldCharType="separate"/>
      </w:r>
      <w:r w:rsidR="00F87DF9">
        <w:t xml:space="preserve">Table </w:t>
      </w:r>
      <w:r w:rsidR="00F87DF9">
        <w:rPr>
          <w:noProof/>
        </w:rPr>
        <w:t>28</w:t>
      </w:r>
      <w:r w:rsidR="002868E0" w:rsidRPr="007F0F99">
        <w:rPr>
          <w:color w:val="000000" w:themeColor="text1"/>
        </w:rPr>
        <w:fldChar w:fldCharType="end"/>
      </w:r>
      <w:r w:rsidR="002868E0" w:rsidRPr="007F0F99">
        <w:rPr>
          <w:color w:val="000000" w:themeColor="text1"/>
        </w:rPr>
        <w:t>)</w:t>
      </w:r>
      <w:r w:rsidR="007F0F99" w:rsidRPr="007F0F99">
        <w:rPr>
          <w:color w:val="000000" w:themeColor="text1"/>
        </w:rPr>
        <w:t xml:space="preserve">. This </w:t>
      </w:r>
      <w:r w:rsidR="003D7D5F">
        <w:rPr>
          <w:color w:val="000000" w:themeColor="text1"/>
        </w:rPr>
        <w:t>epi</w:t>
      </w:r>
      <w:r w:rsidR="004734ED">
        <w:rPr>
          <w:color w:val="000000" w:themeColor="text1"/>
        </w:rPr>
        <w:t xml:space="preserve">sodic rainfall event </w:t>
      </w:r>
      <w:r w:rsidR="007F0F99" w:rsidRPr="007F0F99">
        <w:rPr>
          <w:color w:val="000000" w:themeColor="text1"/>
        </w:rPr>
        <w:t>resulted in river discharge that was double the long-term median</w:t>
      </w:r>
      <w:r w:rsidRPr="007F0F99">
        <w:rPr>
          <w:color w:val="000000" w:themeColor="text1"/>
        </w:rPr>
        <w:t xml:space="preserve">. </w:t>
      </w:r>
      <w:r w:rsidRPr="004734ED">
        <w:rPr>
          <w:color w:val="000000" w:themeColor="text1"/>
        </w:rPr>
        <w:t xml:space="preserve">Water quality effects, however, were not limited to this event, as seagrass sites in the Fitzroy region were exposed to </w:t>
      </w:r>
      <w:r w:rsidR="00EA77EE" w:rsidRPr="004734ED">
        <w:rPr>
          <w:color w:val="000000" w:themeColor="text1"/>
        </w:rPr>
        <w:t xml:space="preserve">mostly </w:t>
      </w:r>
      <w:r w:rsidR="004734ED" w:rsidRPr="004734ED">
        <w:rPr>
          <w:color w:val="000000" w:themeColor="text1"/>
        </w:rPr>
        <w:t>‘brown’ turbid</w:t>
      </w:r>
      <w:r w:rsidRPr="004734ED">
        <w:rPr>
          <w:color w:val="000000" w:themeColor="text1"/>
        </w:rPr>
        <w:t xml:space="preserve"> water </w:t>
      </w:r>
      <w:r w:rsidR="00EA77EE" w:rsidRPr="004734ED">
        <w:rPr>
          <w:color w:val="000000" w:themeColor="text1"/>
        </w:rPr>
        <w:t>for</w:t>
      </w:r>
      <w:r w:rsidRPr="004734ED">
        <w:rPr>
          <w:color w:val="000000" w:themeColor="text1"/>
        </w:rPr>
        <w:t xml:space="preserve"> </w:t>
      </w:r>
      <w:r w:rsidR="004734ED" w:rsidRPr="004734ED">
        <w:rPr>
          <w:color w:val="000000" w:themeColor="text1"/>
        </w:rPr>
        <w:t>99</w:t>
      </w:r>
      <w:r w:rsidR="0063478C" w:rsidRPr="004734ED">
        <w:rPr>
          <w:color w:val="000000" w:themeColor="text1"/>
        </w:rPr>
        <w:t xml:space="preserve"> per cent</w:t>
      </w:r>
      <w:r w:rsidRPr="004734ED">
        <w:rPr>
          <w:color w:val="000000" w:themeColor="text1"/>
        </w:rPr>
        <w:t xml:space="preserve"> (</w:t>
      </w:r>
      <w:r w:rsidRPr="004734ED">
        <w:rPr>
          <w:i/>
          <w:color w:val="000000" w:themeColor="text1"/>
        </w:rPr>
        <w:t>f</w:t>
      </w:r>
      <w:r w:rsidRPr="004734ED">
        <w:rPr>
          <w:color w:val="000000" w:themeColor="text1"/>
          <w:vertAlign w:val="subscript"/>
        </w:rPr>
        <w:t>(P+S)</w:t>
      </w:r>
      <w:r w:rsidR="004734ED" w:rsidRPr="004734ED">
        <w:rPr>
          <w:color w:val="000000" w:themeColor="text1"/>
        </w:rPr>
        <w:t>=0.99</w:t>
      </w:r>
      <w:r w:rsidRPr="004734ED">
        <w:rPr>
          <w:color w:val="000000" w:themeColor="text1"/>
        </w:rPr>
        <w:t>) of the wet seas</w:t>
      </w:r>
      <w:r w:rsidR="00443674" w:rsidRPr="004734ED">
        <w:rPr>
          <w:color w:val="000000" w:themeColor="text1"/>
        </w:rPr>
        <w:t>on (November 2015</w:t>
      </w:r>
      <w:r w:rsidR="00C8437B" w:rsidRPr="004734ED">
        <w:rPr>
          <w:color w:val="000000" w:themeColor="text1"/>
        </w:rPr>
        <w:t xml:space="preserve"> –</w:t>
      </w:r>
      <w:r w:rsidR="00443674" w:rsidRPr="004734ED">
        <w:rPr>
          <w:color w:val="000000" w:themeColor="text1"/>
        </w:rPr>
        <w:t xml:space="preserve"> April 2016</w:t>
      </w:r>
      <w:r w:rsidRPr="004734ED">
        <w:rPr>
          <w:color w:val="000000" w:themeColor="text1"/>
        </w:rPr>
        <w:t>)</w:t>
      </w:r>
      <w:r w:rsidR="00443674" w:rsidRPr="004734ED">
        <w:rPr>
          <w:color w:val="000000" w:themeColor="text1"/>
        </w:rPr>
        <w:t xml:space="preserve">, </w:t>
      </w:r>
      <w:r w:rsidR="004734ED" w:rsidRPr="004734ED">
        <w:rPr>
          <w:color w:val="000000" w:themeColor="text1"/>
        </w:rPr>
        <w:t>which was exposed to ‘green’ turbid water</w:t>
      </w:r>
      <w:r w:rsidR="002868E0" w:rsidRPr="004734ED">
        <w:rPr>
          <w:color w:val="000000" w:themeColor="text1"/>
        </w:rPr>
        <w:t xml:space="preserve"> (</w:t>
      </w:r>
      <w:r w:rsidR="002868E0" w:rsidRPr="004734ED">
        <w:rPr>
          <w:color w:val="000000" w:themeColor="text1"/>
        </w:rPr>
        <w:fldChar w:fldCharType="begin"/>
      </w:r>
      <w:r w:rsidR="002868E0" w:rsidRPr="004734ED">
        <w:rPr>
          <w:color w:val="000000" w:themeColor="text1"/>
        </w:rPr>
        <w:instrText xml:space="preserve"> REF _Ref442348188 \h </w:instrText>
      </w:r>
      <w:r w:rsidR="002868E0" w:rsidRPr="004734ED">
        <w:rPr>
          <w:color w:val="000000" w:themeColor="text1"/>
        </w:rPr>
      </w:r>
      <w:r w:rsidR="002868E0" w:rsidRPr="004734ED">
        <w:rPr>
          <w:color w:val="000000" w:themeColor="text1"/>
        </w:rPr>
        <w:fldChar w:fldCharType="separate"/>
      </w:r>
      <w:r w:rsidR="00F87DF9" w:rsidRPr="00F9188C">
        <w:t xml:space="preserve">Figure </w:t>
      </w:r>
      <w:r w:rsidR="00F87DF9">
        <w:rPr>
          <w:noProof/>
        </w:rPr>
        <w:t>94</w:t>
      </w:r>
      <w:r w:rsidR="002868E0" w:rsidRPr="004734ED">
        <w:rPr>
          <w:color w:val="000000" w:themeColor="text1"/>
        </w:rPr>
        <w:fldChar w:fldCharType="end"/>
      </w:r>
      <w:r w:rsidR="00EA77EE" w:rsidRPr="004734ED">
        <w:rPr>
          <w:color w:val="000000" w:themeColor="text1"/>
        </w:rPr>
        <w:t xml:space="preserve">, </w:t>
      </w:r>
      <w:r w:rsidR="00EA77EE" w:rsidRPr="004734ED">
        <w:rPr>
          <w:color w:val="000000" w:themeColor="text1"/>
          <w:highlight w:val="yellow"/>
        </w:rPr>
        <w:fldChar w:fldCharType="begin"/>
      </w:r>
      <w:r w:rsidR="00EA77EE" w:rsidRPr="004734ED">
        <w:rPr>
          <w:color w:val="000000" w:themeColor="text1"/>
        </w:rPr>
        <w:instrText xml:space="preserve"> REF _Ref314326607 \h </w:instrText>
      </w:r>
      <w:r w:rsidR="00EA77EE" w:rsidRPr="004734ED">
        <w:rPr>
          <w:color w:val="000000" w:themeColor="text1"/>
          <w:highlight w:val="yellow"/>
        </w:rPr>
      </w:r>
      <w:r w:rsidR="00EA77EE" w:rsidRPr="004734ED">
        <w:rPr>
          <w:color w:val="000000" w:themeColor="text1"/>
          <w:highlight w:val="yellow"/>
        </w:rPr>
        <w:fldChar w:fldCharType="separate"/>
      </w:r>
      <w:r w:rsidR="00F87DF9" w:rsidRPr="00E67AE5">
        <w:t xml:space="preserve">Table </w:t>
      </w:r>
      <w:r w:rsidR="00F87DF9">
        <w:rPr>
          <w:noProof/>
        </w:rPr>
        <w:t>29</w:t>
      </w:r>
      <w:r w:rsidR="00EA77EE" w:rsidRPr="004734ED">
        <w:rPr>
          <w:color w:val="000000" w:themeColor="text1"/>
          <w:highlight w:val="yellow"/>
        </w:rPr>
        <w:fldChar w:fldCharType="end"/>
      </w:r>
      <w:r w:rsidR="00EA77EE" w:rsidRPr="004734ED">
        <w:rPr>
          <w:color w:val="000000" w:themeColor="text1"/>
        </w:rPr>
        <w:t>).</w:t>
      </w:r>
      <w:r w:rsidR="00C21390" w:rsidRPr="004734ED">
        <w:rPr>
          <w:color w:val="000000" w:themeColor="text1"/>
        </w:rPr>
        <w:t xml:space="preserve"> </w:t>
      </w:r>
    </w:p>
    <w:p w14:paraId="2BB319D4" w14:textId="542CB020" w:rsidR="00583F77" w:rsidRPr="00994153" w:rsidRDefault="00994153" w:rsidP="00C36ADD">
      <w:pPr>
        <w:jc w:val="center"/>
        <w:rPr>
          <w:i/>
        </w:rPr>
      </w:pPr>
      <w:bookmarkStart w:id="521" w:name="_Ref442348145"/>
      <w:bookmarkStart w:id="522" w:name="_Toc516053452"/>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28</w:t>
      </w:r>
      <w:r w:rsidR="00C506C7">
        <w:rPr>
          <w:noProof/>
        </w:rPr>
        <w:fldChar w:fldCharType="end"/>
      </w:r>
      <w:bookmarkEnd w:id="521"/>
      <w:r>
        <w:t xml:space="preserve">.  </w:t>
      </w:r>
      <w:r w:rsidR="00583F77" w:rsidRPr="00994153">
        <w:rPr>
          <w:i/>
        </w:rPr>
        <w:t xml:space="preserve">Summary of environmental conditions at monitoring sites in the Fitzroy </w:t>
      </w:r>
      <w:r>
        <w:rPr>
          <w:i/>
        </w:rPr>
        <w:t>region</w:t>
      </w:r>
      <w:r w:rsidR="00583F77" w:rsidRPr="00994153">
        <w:rPr>
          <w:i/>
        </w:rPr>
        <w:t xml:space="preserve"> in </w:t>
      </w:r>
      <w:r w:rsidR="008574EC">
        <w:rPr>
          <w:i/>
        </w:rPr>
        <w:t>2016–17</w:t>
      </w:r>
      <w:r w:rsidR="00583F77" w:rsidRPr="00994153">
        <w:rPr>
          <w:i/>
        </w:rPr>
        <w:t xml:space="preserve"> compared to the long-term average (long-term range indicated for each data set).</w:t>
      </w:r>
      <w:bookmarkEnd w:id="522"/>
    </w:p>
    <w:tbl>
      <w:tblPr>
        <w:tblW w:w="0" w:type="auto"/>
        <w:jc w:val="center"/>
        <w:tblBorders>
          <w:bottom w:val="single" w:sz="4" w:space="0" w:color="auto"/>
        </w:tblBorders>
        <w:tblLook w:val="04A0" w:firstRow="1" w:lastRow="0" w:firstColumn="1" w:lastColumn="0" w:noHBand="0" w:noVBand="1"/>
      </w:tblPr>
      <w:tblGrid>
        <w:gridCol w:w="3276"/>
        <w:gridCol w:w="1714"/>
        <w:gridCol w:w="1461"/>
      </w:tblGrid>
      <w:tr w:rsidR="00995B85" w:rsidRPr="00994153" w14:paraId="7FBFBA81" w14:textId="77777777" w:rsidTr="00F9188C">
        <w:trPr>
          <w:trHeight w:val="227"/>
          <w:jc w:val="center"/>
        </w:trPr>
        <w:tc>
          <w:tcPr>
            <w:tcW w:w="3276" w:type="dxa"/>
            <w:tcBorders>
              <w:top w:val="single" w:sz="4" w:space="0" w:color="auto"/>
              <w:bottom w:val="single" w:sz="4" w:space="0" w:color="auto"/>
            </w:tcBorders>
            <w:shd w:val="clear" w:color="auto" w:fill="BBE0E3"/>
          </w:tcPr>
          <w:p w14:paraId="10F2AF4A" w14:textId="77777777" w:rsidR="00583F77" w:rsidRPr="00994153" w:rsidRDefault="00583F77" w:rsidP="00C36ADD">
            <w:pPr>
              <w:spacing w:before="0" w:after="0"/>
              <w:rPr>
                <w:b/>
                <w:sz w:val="18"/>
                <w:szCs w:val="18"/>
              </w:rPr>
            </w:pPr>
          </w:p>
        </w:tc>
        <w:tc>
          <w:tcPr>
            <w:tcW w:w="1714" w:type="dxa"/>
            <w:tcBorders>
              <w:top w:val="single" w:sz="4" w:space="0" w:color="auto"/>
              <w:bottom w:val="single" w:sz="4" w:space="0" w:color="auto"/>
            </w:tcBorders>
            <w:shd w:val="clear" w:color="auto" w:fill="BBE0E3"/>
          </w:tcPr>
          <w:p w14:paraId="493B521E" w14:textId="77777777" w:rsidR="00583F77" w:rsidRPr="00994153" w:rsidRDefault="00583F77" w:rsidP="00C36ADD">
            <w:pPr>
              <w:spacing w:before="0" w:after="0"/>
              <w:rPr>
                <w:b/>
                <w:sz w:val="18"/>
                <w:szCs w:val="18"/>
              </w:rPr>
            </w:pPr>
            <w:r w:rsidRPr="00994153">
              <w:rPr>
                <w:b/>
                <w:sz w:val="18"/>
                <w:szCs w:val="18"/>
              </w:rPr>
              <w:t>Long-term average</w:t>
            </w:r>
          </w:p>
        </w:tc>
        <w:tc>
          <w:tcPr>
            <w:tcW w:w="1461" w:type="dxa"/>
            <w:tcBorders>
              <w:top w:val="single" w:sz="4" w:space="0" w:color="auto"/>
              <w:bottom w:val="single" w:sz="4" w:space="0" w:color="auto"/>
            </w:tcBorders>
            <w:shd w:val="clear" w:color="auto" w:fill="BBE0E3"/>
          </w:tcPr>
          <w:p w14:paraId="03CA377F" w14:textId="516D9A7C" w:rsidR="00583F77" w:rsidRPr="00994153" w:rsidRDefault="008574EC" w:rsidP="00C36ADD">
            <w:pPr>
              <w:spacing w:before="0" w:after="0"/>
              <w:rPr>
                <w:b/>
                <w:sz w:val="18"/>
                <w:szCs w:val="18"/>
              </w:rPr>
            </w:pPr>
            <w:r>
              <w:rPr>
                <w:b/>
                <w:sz w:val="18"/>
                <w:szCs w:val="18"/>
              </w:rPr>
              <w:t>2016–17</w:t>
            </w:r>
          </w:p>
        </w:tc>
      </w:tr>
      <w:tr w:rsidR="00995B85" w:rsidRPr="008A5BB8" w14:paraId="1DAD02B7" w14:textId="77777777" w:rsidTr="00F9188C">
        <w:trPr>
          <w:trHeight w:val="227"/>
          <w:jc w:val="center"/>
        </w:trPr>
        <w:tc>
          <w:tcPr>
            <w:tcW w:w="3276" w:type="dxa"/>
            <w:shd w:val="clear" w:color="auto" w:fill="E7F3F4"/>
          </w:tcPr>
          <w:p w14:paraId="7962EFFB" w14:textId="1786E619" w:rsidR="00583F77" w:rsidRPr="008A5BB8" w:rsidRDefault="00583F77" w:rsidP="00C36ADD">
            <w:pPr>
              <w:spacing w:before="0" w:after="0"/>
              <w:rPr>
                <w:sz w:val="18"/>
                <w:szCs w:val="18"/>
              </w:rPr>
            </w:pPr>
            <w:r w:rsidRPr="008A5BB8">
              <w:rPr>
                <w:sz w:val="18"/>
                <w:szCs w:val="18"/>
              </w:rPr>
              <w:t>Rainfall</w:t>
            </w:r>
            <w:r w:rsidR="00FD6EEB" w:rsidRPr="008A5BB8">
              <w:rPr>
                <w:sz w:val="18"/>
                <w:szCs w:val="18"/>
              </w:rPr>
              <w:t xml:space="preserve"> (1961-1990</w:t>
            </w:r>
            <w:r w:rsidRPr="008A5BB8">
              <w:rPr>
                <w:sz w:val="18"/>
                <w:szCs w:val="18"/>
              </w:rPr>
              <w:t>)</w:t>
            </w:r>
          </w:p>
        </w:tc>
        <w:tc>
          <w:tcPr>
            <w:tcW w:w="1714" w:type="dxa"/>
            <w:shd w:val="clear" w:color="auto" w:fill="E7F3F4"/>
          </w:tcPr>
          <w:p w14:paraId="639D599B" w14:textId="3C715FCC" w:rsidR="00583F77" w:rsidRPr="008A5BB8" w:rsidRDefault="00FD6EEB" w:rsidP="00C36ADD">
            <w:pPr>
              <w:spacing w:before="0" w:after="0"/>
              <w:rPr>
                <w:sz w:val="18"/>
                <w:szCs w:val="18"/>
              </w:rPr>
            </w:pPr>
            <w:r w:rsidRPr="008A5BB8">
              <w:rPr>
                <w:sz w:val="18"/>
                <w:szCs w:val="18"/>
              </w:rPr>
              <w:t>2.9</w:t>
            </w:r>
            <w:r w:rsidR="00583F77" w:rsidRPr="008A5BB8">
              <w:rPr>
                <w:sz w:val="18"/>
                <w:szCs w:val="18"/>
              </w:rPr>
              <w:t xml:space="preserve"> mm</w:t>
            </w:r>
            <w:r w:rsidRPr="008A5BB8">
              <w:rPr>
                <w:sz w:val="18"/>
                <w:szCs w:val="18"/>
              </w:rPr>
              <w:t xml:space="preserve"> d</w:t>
            </w:r>
            <w:r w:rsidRPr="008A5BB8">
              <w:rPr>
                <w:sz w:val="18"/>
                <w:szCs w:val="18"/>
                <w:vertAlign w:val="superscript"/>
              </w:rPr>
              <w:t>-1</w:t>
            </w:r>
          </w:p>
        </w:tc>
        <w:tc>
          <w:tcPr>
            <w:tcW w:w="1461" w:type="dxa"/>
            <w:shd w:val="clear" w:color="auto" w:fill="E7F3F4"/>
          </w:tcPr>
          <w:p w14:paraId="26837F07" w14:textId="0C34E061" w:rsidR="00583F77" w:rsidRPr="008A5BB8" w:rsidRDefault="00FD6EEB" w:rsidP="00C36ADD">
            <w:pPr>
              <w:spacing w:before="0" w:after="0"/>
              <w:rPr>
                <w:sz w:val="18"/>
                <w:szCs w:val="18"/>
              </w:rPr>
            </w:pPr>
            <w:r w:rsidRPr="008A5BB8">
              <w:rPr>
                <w:sz w:val="18"/>
                <w:szCs w:val="18"/>
              </w:rPr>
              <w:t>2.9</w:t>
            </w:r>
            <w:r w:rsidR="00583F77" w:rsidRPr="008A5BB8">
              <w:rPr>
                <w:sz w:val="18"/>
                <w:szCs w:val="18"/>
              </w:rPr>
              <w:t xml:space="preserve"> </w:t>
            </w:r>
            <w:r w:rsidRPr="008A5BB8">
              <w:rPr>
                <w:sz w:val="18"/>
                <w:szCs w:val="18"/>
              </w:rPr>
              <w:t>mm d</w:t>
            </w:r>
            <w:r w:rsidRPr="008A5BB8">
              <w:rPr>
                <w:sz w:val="18"/>
                <w:szCs w:val="18"/>
                <w:vertAlign w:val="superscript"/>
              </w:rPr>
              <w:t>-1</w:t>
            </w:r>
          </w:p>
        </w:tc>
      </w:tr>
      <w:tr w:rsidR="00995B85" w:rsidRPr="008A5BB8" w14:paraId="38B485F1" w14:textId="77777777" w:rsidTr="00F9188C">
        <w:trPr>
          <w:trHeight w:val="227"/>
          <w:jc w:val="center"/>
        </w:trPr>
        <w:tc>
          <w:tcPr>
            <w:tcW w:w="3276" w:type="dxa"/>
            <w:shd w:val="clear" w:color="auto" w:fill="E7F3F4"/>
          </w:tcPr>
          <w:p w14:paraId="114DF1C9" w14:textId="5319B96D" w:rsidR="00583F77" w:rsidRPr="008A5BB8" w:rsidRDefault="00583F77" w:rsidP="00C36ADD">
            <w:pPr>
              <w:spacing w:before="0" w:after="0"/>
              <w:rPr>
                <w:sz w:val="18"/>
                <w:szCs w:val="18"/>
              </w:rPr>
            </w:pPr>
            <w:r w:rsidRPr="008A5BB8">
              <w:rPr>
                <w:sz w:val="18"/>
                <w:szCs w:val="18"/>
              </w:rPr>
              <w:t>River discharge (1970</w:t>
            </w:r>
            <w:r w:rsidR="00FE6AA9" w:rsidRPr="008A5BB8">
              <w:rPr>
                <w:sz w:val="18"/>
                <w:szCs w:val="18"/>
              </w:rPr>
              <w:t>-201</w:t>
            </w:r>
            <w:r w:rsidR="0050222B" w:rsidRPr="008A5BB8">
              <w:rPr>
                <w:sz w:val="18"/>
                <w:szCs w:val="18"/>
              </w:rPr>
              <w:t>7</w:t>
            </w:r>
            <w:r w:rsidRPr="008A5BB8">
              <w:rPr>
                <w:sz w:val="18"/>
                <w:szCs w:val="18"/>
              </w:rPr>
              <w:t>)</w:t>
            </w:r>
          </w:p>
        </w:tc>
        <w:tc>
          <w:tcPr>
            <w:tcW w:w="1714" w:type="dxa"/>
            <w:shd w:val="clear" w:color="auto" w:fill="E7F3F4"/>
          </w:tcPr>
          <w:p w14:paraId="7641748C" w14:textId="6E1639DC" w:rsidR="00583F77" w:rsidRPr="008A5BB8" w:rsidRDefault="007F0F99" w:rsidP="00C36ADD">
            <w:pPr>
              <w:spacing w:before="0" w:after="0"/>
              <w:rPr>
                <w:sz w:val="18"/>
                <w:szCs w:val="18"/>
              </w:rPr>
            </w:pPr>
            <w:r w:rsidRPr="008A5BB8">
              <w:rPr>
                <w:sz w:val="18"/>
                <w:szCs w:val="18"/>
              </w:rPr>
              <w:t>4,176,120</w:t>
            </w:r>
            <w:r w:rsidR="00583F77" w:rsidRPr="008A5BB8">
              <w:rPr>
                <w:sz w:val="18"/>
                <w:szCs w:val="18"/>
              </w:rPr>
              <w:t xml:space="preserve"> L yr</w:t>
            </w:r>
            <w:r w:rsidR="00583F77" w:rsidRPr="008A5BB8">
              <w:rPr>
                <w:sz w:val="18"/>
                <w:szCs w:val="18"/>
                <w:vertAlign w:val="superscript"/>
              </w:rPr>
              <w:t>-1</w:t>
            </w:r>
          </w:p>
        </w:tc>
        <w:tc>
          <w:tcPr>
            <w:tcW w:w="1461" w:type="dxa"/>
            <w:shd w:val="clear" w:color="auto" w:fill="E7F3F4"/>
          </w:tcPr>
          <w:p w14:paraId="48211878" w14:textId="2BFFC60E" w:rsidR="00583F77" w:rsidRPr="008A5BB8" w:rsidRDefault="007F0F99" w:rsidP="00C36ADD">
            <w:pPr>
              <w:spacing w:before="0" w:after="0"/>
              <w:rPr>
                <w:sz w:val="18"/>
                <w:szCs w:val="18"/>
              </w:rPr>
            </w:pPr>
            <w:r w:rsidRPr="008A5BB8">
              <w:rPr>
                <w:sz w:val="18"/>
                <w:szCs w:val="18"/>
              </w:rPr>
              <w:t>9,288,832</w:t>
            </w:r>
            <w:r w:rsidR="00583F77" w:rsidRPr="008A5BB8">
              <w:rPr>
                <w:sz w:val="18"/>
                <w:szCs w:val="18"/>
              </w:rPr>
              <w:t xml:space="preserve"> L yr</w:t>
            </w:r>
            <w:r w:rsidR="00583F77" w:rsidRPr="008A5BB8">
              <w:rPr>
                <w:sz w:val="18"/>
                <w:szCs w:val="18"/>
                <w:vertAlign w:val="superscript"/>
              </w:rPr>
              <w:t>-1</w:t>
            </w:r>
          </w:p>
        </w:tc>
      </w:tr>
      <w:tr w:rsidR="00995B85" w:rsidRPr="008A5BB8" w14:paraId="472F59E2" w14:textId="77777777" w:rsidTr="00F9188C">
        <w:trPr>
          <w:trHeight w:val="227"/>
          <w:jc w:val="center"/>
        </w:trPr>
        <w:tc>
          <w:tcPr>
            <w:tcW w:w="3276" w:type="dxa"/>
            <w:shd w:val="clear" w:color="auto" w:fill="E7F3F4"/>
          </w:tcPr>
          <w:p w14:paraId="008339EF" w14:textId="10B4C91E" w:rsidR="00583F77" w:rsidRPr="008A5BB8" w:rsidRDefault="00F054D3" w:rsidP="00C36ADD">
            <w:pPr>
              <w:spacing w:before="0" w:after="0"/>
              <w:rPr>
                <w:sz w:val="18"/>
                <w:szCs w:val="18"/>
              </w:rPr>
            </w:pPr>
            <w:r w:rsidRPr="008A5BB8">
              <w:rPr>
                <w:sz w:val="18"/>
                <w:szCs w:val="18"/>
              </w:rPr>
              <w:t>Turbid water</w:t>
            </w:r>
            <w:r w:rsidR="00FE6AA9" w:rsidRPr="008A5BB8">
              <w:rPr>
                <w:sz w:val="18"/>
                <w:szCs w:val="18"/>
              </w:rPr>
              <w:t xml:space="preserve"> exposure (2006-201</w:t>
            </w:r>
            <w:r w:rsidR="0050222B" w:rsidRPr="008A5BB8">
              <w:rPr>
                <w:sz w:val="18"/>
                <w:szCs w:val="18"/>
              </w:rPr>
              <w:t>7</w:t>
            </w:r>
            <w:r w:rsidR="00583F77" w:rsidRPr="008A5BB8">
              <w:rPr>
                <w:sz w:val="18"/>
                <w:szCs w:val="18"/>
              </w:rPr>
              <w:t>)</w:t>
            </w:r>
          </w:p>
        </w:tc>
        <w:tc>
          <w:tcPr>
            <w:tcW w:w="1714" w:type="dxa"/>
            <w:shd w:val="clear" w:color="auto" w:fill="E7F3F4"/>
          </w:tcPr>
          <w:p w14:paraId="45522EF6" w14:textId="6DD0636B" w:rsidR="00583F77" w:rsidRPr="008A5BB8" w:rsidRDefault="004734ED" w:rsidP="00C36ADD">
            <w:pPr>
              <w:spacing w:before="0" w:after="0"/>
              <w:rPr>
                <w:sz w:val="18"/>
                <w:szCs w:val="18"/>
              </w:rPr>
            </w:pPr>
            <w:r w:rsidRPr="008A5BB8">
              <w:rPr>
                <w:sz w:val="18"/>
                <w:szCs w:val="18"/>
              </w:rPr>
              <w:t>98 per cent</w:t>
            </w:r>
          </w:p>
        </w:tc>
        <w:tc>
          <w:tcPr>
            <w:tcW w:w="1461" w:type="dxa"/>
            <w:shd w:val="clear" w:color="auto" w:fill="E7F3F4"/>
          </w:tcPr>
          <w:p w14:paraId="7CE0627D" w14:textId="7E92C25E" w:rsidR="00583F77" w:rsidRPr="008A5BB8" w:rsidRDefault="004734ED" w:rsidP="00C36ADD">
            <w:pPr>
              <w:spacing w:before="0" w:after="0"/>
              <w:rPr>
                <w:sz w:val="18"/>
                <w:szCs w:val="18"/>
              </w:rPr>
            </w:pPr>
            <w:r w:rsidRPr="008A5BB8">
              <w:rPr>
                <w:sz w:val="18"/>
                <w:szCs w:val="18"/>
              </w:rPr>
              <w:t>99</w:t>
            </w:r>
            <w:r w:rsidR="0063478C" w:rsidRPr="008A5BB8">
              <w:rPr>
                <w:sz w:val="18"/>
                <w:szCs w:val="18"/>
              </w:rPr>
              <w:t xml:space="preserve"> per cent</w:t>
            </w:r>
          </w:p>
        </w:tc>
      </w:tr>
      <w:tr w:rsidR="00995B85" w:rsidRPr="008A5BB8" w14:paraId="7D6112A5" w14:textId="77777777" w:rsidTr="00F9188C">
        <w:trPr>
          <w:trHeight w:val="227"/>
          <w:jc w:val="center"/>
        </w:trPr>
        <w:tc>
          <w:tcPr>
            <w:tcW w:w="3276" w:type="dxa"/>
            <w:shd w:val="clear" w:color="auto" w:fill="E7F3F4"/>
          </w:tcPr>
          <w:p w14:paraId="7E981255" w14:textId="0B67EC30" w:rsidR="00583F77" w:rsidRPr="008A5BB8" w:rsidRDefault="00583F77" w:rsidP="00C36ADD">
            <w:pPr>
              <w:spacing w:before="0" w:after="0"/>
              <w:rPr>
                <w:sz w:val="18"/>
                <w:szCs w:val="18"/>
              </w:rPr>
            </w:pPr>
            <w:r w:rsidRPr="008A5BB8">
              <w:rPr>
                <w:sz w:val="18"/>
                <w:szCs w:val="18"/>
              </w:rPr>
              <w:t>D</w:t>
            </w:r>
            <w:r w:rsidR="00FE6AA9" w:rsidRPr="008A5BB8">
              <w:rPr>
                <w:sz w:val="18"/>
                <w:szCs w:val="18"/>
              </w:rPr>
              <w:t>aytime tidal exposure (2002-201</w:t>
            </w:r>
            <w:r w:rsidR="0050222B" w:rsidRPr="008A5BB8">
              <w:rPr>
                <w:sz w:val="18"/>
                <w:szCs w:val="18"/>
              </w:rPr>
              <w:t>7</w:t>
            </w:r>
            <w:r w:rsidRPr="008A5BB8">
              <w:rPr>
                <w:sz w:val="18"/>
                <w:szCs w:val="18"/>
              </w:rPr>
              <w:t>)</w:t>
            </w:r>
          </w:p>
        </w:tc>
        <w:tc>
          <w:tcPr>
            <w:tcW w:w="1714" w:type="dxa"/>
            <w:shd w:val="clear" w:color="auto" w:fill="E7F3F4"/>
          </w:tcPr>
          <w:p w14:paraId="2B0441EA" w14:textId="1A08A4E1" w:rsidR="00583F77" w:rsidRPr="008A5BB8" w:rsidRDefault="00A174BA" w:rsidP="00C36ADD">
            <w:pPr>
              <w:spacing w:before="0" w:after="0"/>
              <w:rPr>
                <w:sz w:val="18"/>
                <w:szCs w:val="18"/>
              </w:rPr>
            </w:pPr>
            <w:r w:rsidRPr="008A5BB8">
              <w:rPr>
                <w:sz w:val="18"/>
                <w:szCs w:val="18"/>
              </w:rPr>
              <w:t>112 hr yr</w:t>
            </w:r>
            <w:r w:rsidRPr="008A5BB8">
              <w:rPr>
                <w:sz w:val="18"/>
                <w:szCs w:val="18"/>
                <w:vertAlign w:val="superscript"/>
              </w:rPr>
              <w:t>-1</w:t>
            </w:r>
          </w:p>
        </w:tc>
        <w:tc>
          <w:tcPr>
            <w:tcW w:w="1461" w:type="dxa"/>
            <w:shd w:val="clear" w:color="auto" w:fill="E7F3F4"/>
          </w:tcPr>
          <w:p w14:paraId="5D616B5F" w14:textId="0ECD1A58" w:rsidR="00583F77" w:rsidRPr="008A5BB8" w:rsidRDefault="00A174BA" w:rsidP="00C36ADD">
            <w:pPr>
              <w:spacing w:before="0" w:after="0"/>
              <w:rPr>
                <w:sz w:val="18"/>
                <w:szCs w:val="18"/>
              </w:rPr>
            </w:pPr>
            <w:r w:rsidRPr="008A5BB8">
              <w:rPr>
                <w:sz w:val="18"/>
                <w:szCs w:val="18"/>
              </w:rPr>
              <w:t>129 hr yr</w:t>
            </w:r>
            <w:r w:rsidRPr="008A5BB8">
              <w:rPr>
                <w:sz w:val="18"/>
                <w:szCs w:val="18"/>
                <w:vertAlign w:val="superscript"/>
              </w:rPr>
              <w:t>-1</w:t>
            </w:r>
          </w:p>
        </w:tc>
      </w:tr>
      <w:tr w:rsidR="00995B85" w14:paraId="55632E57" w14:textId="77777777" w:rsidTr="00F9188C">
        <w:trPr>
          <w:trHeight w:val="227"/>
          <w:jc w:val="center"/>
        </w:trPr>
        <w:tc>
          <w:tcPr>
            <w:tcW w:w="3276" w:type="dxa"/>
            <w:tcBorders>
              <w:bottom w:val="single" w:sz="4" w:space="0" w:color="auto"/>
            </w:tcBorders>
            <w:shd w:val="clear" w:color="auto" w:fill="E7F3F4"/>
          </w:tcPr>
          <w:p w14:paraId="10153CCE" w14:textId="28358CBE" w:rsidR="00583F77" w:rsidRPr="008D1B84" w:rsidRDefault="00583F77" w:rsidP="00C36ADD">
            <w:pPr>
              <w:spacing w:before="0" w:after="0"/>
              <w:rPr>
                <w:sz w:val="18"/>
                <w:szCs w:val="18"/>
              </w:rPr>
            </w:pPr>
            <w:r w:rsidRPr="008D1B84">
              <w:rPr>
                <w:sz w:val="18"/>
                <w:szCs w:val="18"/>
              </w:rPr>
              <w:t>Wind</w:t>
            </w:r>
            <w:r w:rsidR="00FE6AA9">
              <w:rPr>
                <w:sz w:val="18"/>
                <w:szCs w:val="18"/>
              </w:rPr>
              <w:t xml:space="preserve"> (1998-201</w:t>
            </w:r>
            <w:r w:rsidR="0050222B">
              <w:rPr>
                <w:sz w:val="18"/>
                <w:szCs w:val="18"/>
              </w:rPr>
              <w:t>7</w:t>
            </w:r>
            <w:r>
              <w:rPr>
                <w:sz w:val="18"/>
                <w:szCs w:val="18"/>
              </w:rPr>
              <w:t>)</w:t>
            </w:r>
          </w:p>
        </w:tc>
        <w:tc>
          <w:tcPr>
            <w:tcW w:w="1714" w:type="dxa"/>
            <w:tcBorders>
              <w:bottom w:val="single" w:sz="4" w:space="0" w:color="auto"/>
            </w:tcBorders>
            <w:shd w:val="clear" w:color="auto" w:fill="E7F3F4"/>
          </w:tcPr>
          <w:p w14:paraId="19CA5DDD" w14:textId="57111DDB" w:rsidR="00583F77" w:rsidRPr="00197823" w:rsidRDefault="00197823" w:rsidP="00C36ADD">
            <w:pPr>
              <w:spacing w:before="0" w:after="0"/>
              <w:rPr>
                <w:color w:val="000000" w:themeColor="text1"/>
                <w:sz w:val="18"/>
                <w:szCs w:val="18"/>
              </w:rPr>
            </w:pPr>
            <w:r w:rsidRPr="00197823">
              <w:rPr>
                <w:color w:val="000000" w:themeColor="text1"/>
                <w:sz w:val="18"/>
                <w:szCs w:val="18"/>
              </w:rPr>
              <w:t>80</w:t>
            </w:r>
            <w:r w:rsidR="00583F77" w:rsidRPr="00197823">
              <w:rPr>
                <w:color w:val="000000" w:themeColor="text1"/>
                <w:sz w:val="18"/>
                <w:szCs w:val="18"/>
              </w:rPr>
              <w:t xml:space="preserve"> days yr</w:t>
            </w:r>
            <w:r w:rsidR="00583F77" w:rsidRPr="00197823">
              <w:rPr>
                <w:color w:val="000000" w:themeColor="text1"/>
                <w:sz w:val="18"/>
                <w:szCs w:val="18"/>
                <w:vertAlign w:val="superscript"/>
              </w:rPr>
              <w:t>-1</w:t>
            </w:r>
          </w:p>
        </w:tc>
        <w:tc>
          <w:tcPr>
            <w:tcW w:w="1461" w:type="dxa"/>
            <w:tcBorders>
              <w:bottom w:val="single" w:sz="4" w:space="0" w:color="auto"/>
            </w:tcBorders>
            <w:shd w:val="clear" w:color="auto" w:fill="E7F3F4"/>
          </w:tcPr>
          <w:p w14:paraId="037FB584" w14:textId="67D93197" w:rsidR="00583F77" w:rsidRPr="00197823" w:rsidRDefault="00197823" w:rsidP="00C36ADD">
            <w:pPr>
              <w:spacing w:before="0" w:after="0"/>
              <w:rPr>
                <w:color w:val="000000" w:themeColor="text1"/>
                <w:sz w:val="18"/>
                <w:szCs w:val="18"/>
              </w:rPr>
            </w:pPr>
            <w:r w:rsidRPr="00197823">
              <w:rPr>
                <w:color w:val="000000" w:themeColor="text1"/>
                <w:sz w:val="18"/>
                <w:szCs w:val="18"/>
              </w:rPr>
              <w:t>68</w:t>
            </w:r>
            <w:r w:rsidR="00583F77" w:rsidRPr="00197823">
              <w:rPr>
                <w:color w:val="000000" w:themeColor="text1"/>
                <w:sz w:val="18"/>
                <w:szCs w:val="18"/>
              </w:rPr>
              <w:t xml:space="preserve"> days yr</w:t>
            </w:r>
            <w:r w:rsidR="00583F77" w:rsidRPr="00197823">
              <w:rPr>
                <w:color w:val="000000" w:themeColor="text1"/>
                <w:sz w:val="18"/>
                <w:szCs w:val="18"/>
                <w:vertAlign w:val="superscript"/>
              </w:rPr>
              <w:t>-1</w:t>
            </w:r>
          </w:p>
        </w:tc>
      </w:tr>
      <w:tr w:rsidR="00995B85" w:rsidRPr="004E7D74" w14:paraId="7A4ABD21" w14:textId="77777777" w:rsidTr="00F9188C">
        <w:trPr>
          <w:trHeight w:val="227"/>
          <w:jc w:val="center"/>
        </w:trPr>
        <w:tc>
          <w:tcPr>
            <w:tcW w:w="3276" w:type="dxa"/>
            <w:shd w:val="clear" w:color="auto" w:fill="F3F9FA"/>
          </w:tcPr>
          <w:p w14:paraId="58F5B1F2" w14:textId="27890FA1" w:rsidR="00583F77" w:rsidRPr="004E7D74" w:rsidRDefault="00583F77" w:rsidP="00C36ADD">
            <w:pPr>
              <w:spacing w:before="0" w:after="0"/>
              <w:rPr>
                <w:sz w:val="18"/>
                <w:szCs w:val="18"/>
              </w:rPr>
            </w:pPr>
            <w:r w:rsidRPr="004E7D74">
              <w:rPr>
                <w:sz w:val="18"/>
                <w:szCs w:val="18"/>
              </w:rPr>
              <w:t>Within canopy temperature (2006</w:t>
            </w:r>
            <w:r w:rsidR="00FE6AA9" w:rsidRPr="004E7D74">
              <w:rPr>
                <w:sz w:val="18"/>
                <w:szCs w:val="18"/>
              </w:rPr>
              <w:t>-201</w:t>
            </w:r>
            <w:r w:rsidR="0050222B">
              <w:rPr>
                <w:sz w:val="18"/>
                <w:szCs w:val="18"/>
              </w:rPr>
              <w:t>7</w:t>
            </w:r>
            <w:r w:rsidRPr="004E7D74">
              <w:rPr>
                <w:sz w:val="18"/>
                <w:szCs w:val="18"/>
              </w:rPr>
              <w:t>)</w:t>
            </w:r>
          </w:p>
        </w:tc>
        <w:tc>
          <w:tcPr>
            <w:tcW w:w="1714" w:type="dxa"/>
            <w:shd w:val="clear" w:color="auto" w:fill="F3F9FA"/>
          </w:tcPr>
          <w:p w14:paraId="64B871CB" w14:textId="0CC1CDAD" w:rsidR="00583F77" w:rsidRPr="00A3518E" w:rsidRDefault="00A3518E" w:rsidP="00C36ADD">
            <w:pPr>
              <w:spacing w:before="0" w:after="0"/>
              <w:rPr>
                <w:color w:val="000000" w:themeColor="text1"/>
                <w:sz w:val="18"/>
                <w:szCs w:val="18"/>
              </w:rPr>
            </w:pPr>
            <w:r w:rsidRPr="00A3518E">
              <w:rPr>
                <w:color w:val="000000" w:themeColor="text1"/>
                <w:sz w:val="18"/>
                <w:szCs w:val="18"/>
              </w:rPr>
              <w:t>24.1</w:t>
            </w:r>
            <w:r w:rsidR="00583F77" w:rsidRPr="00A3518E">
              <w:rPr>
                <w:color w:val="000000" w:themeColor="text1"/>
                <w:sz w:val="18"/>
                <w:szCs w:val="18"/>
              </w:rPr>
              <w:t xml:space="preserve">°C </w:t>
            </w:r>
            <w:r w:rsidR="00583F77" w:rsidRPr="00A3518E">
              <w:rPr>
                <w:i/>
                <w:color w:val="000000" w:themeColor="text1"/>
                <w:sz w:val="18"/>
                <w:szCs w:val="18"/>
              </w:rPr>
              <w:t>(41°C)</w:t>
            </w:r>
          </w:p>
        </w:tc>
        <w:tc>
          <w:tcPr>
            <w:tcW w:w="1461" w:type="dxa"/>
            <w:shd w:val="clear" w:color="auto" w:fill="F3F9FA"/>
          </w:tcPr>
          <w:p w14:paraId="12F273A2" w14:textId="18F40B5F" w:rsidR="00583F77" w:rsidRPr="00A3518E" w:rsidRDefault="00A3518E" w:rsidP="00C36ADD">
            <w:pPr>
              <w:spacing w:before="0" w:after="0"/>
              <w:rPr>
                <w:color w:val="000000" w:themeColor="text1"/>
                <w:sz w:val="18"/>
                <w:szCs w:val="18"/>
              </w:rPr>
            </w:pPr>
            <w:r w:rsidRPr="00A3518E">
              <w:rPr>
                <w:color w:val="000000" w:themeColor="text1"/>
                <w:sz w:val="18"/>
                <w:szCs w:val="18"/>
              </w:rPr>
              <w:t>26</w:t>
            </w:r>
            <w:r w:rsidR="00583F77" w:rsidRPr="00A3518E">
              <w:rPr>
                <w:color w:val="000000" w:themeColor="text1"/>
                <w:sz w:val="18"/>
                <w:szCs w:val="18"/>
              </w:rPr>
              <w:t>.</w:t>
            </w:r>
            <w:r w:rsidRPr="00A3518E">
              <w:rPr>
                <w:color w:val="000000" w:themeColor="text1"/>
                <w:sz w:val="18"/>
                <w:szCs w:val="18"/>
              </w:rPr>
              <w:t>2</w:t>
            </w:r>
            <w:r w:rsidR="00583F77" w:rsidRPr="00A3518E">
              <w:rPr>
                <w:color w:val="000000" w:themeColor="text1"/>
                <w:sz w:val="18"/>
                <w:szCs w:val="18"/>
              </w:rPr>
              <w:t xml:space="preserve">°C </w:t>
            </w:r>
            <w:r w:rsidR="00583F77" w:rsidRPr="00A3518E">
              <w:rPr>
                <w:i/>
                <w:color w:val="000000" w:themeColor="text1"/>
                <w:sz w:val="18"/>
                <w:szCs w:val="18"/>
              </w:rPr>
              <w:t>(</w:t>
            </w:r>
            <w:r>
              <w:rPr>
                <w:i/>
                <w:color w:val="000000" w:themeColor="text1"/>
                <w:sz w:val="18"/>
                <w:szCs w:val="18"/>
              </w:rPr>
              <w:t>40</w:t>
            </w:r>
            <w:r w:rsidR="004E7D74" w:rsidRPr="00A3518E">
              <w:rPr>
                <w:i/>
                <w:color w:val="000000" w:themeColor="text1"/>
                <w:sz w:val="18"/>
                <w:szCs w:val="18"/>
              </w:rPr>
              <w:t>.</w:t>
            </w:r>
            <w:r>
              <w:rPr>
                <w:i/>
                <w:color w:val="000000" w:themeColor="text1"/>
                <w:sz w:val="18"/>
                <w:szCs w:val="18"/>
              </w:rPr>
              <w:t>2</w:t>
            </w:r>
            <w:r w:rsidR="00583F77" w:rsidRPr="00A3518E">
              <w:rPr>
                <w:i/>
                <w:color w:val="000000" w:themeColor="text1"/>
                <w:sz w:val="18"/>
                <w:szCs w:val="18"/>
              </w:rPr>
              <w:t>°C)</w:t>
            </w:r>
          </w:p>
        </w:tc>
      </w:tr>
      <w:tr w:rsidR="00995B85" w14:paraId="2902A765" w14:textId="77777777" w:rsidTr="00F9188C">
        <w:trPr>
          <w:trHeight w:val="227"/>
          <w:jc w:val="center"/>
        </w:trPr>
        <w:tc>
          <w:tcPr>
            <w:tcW w:w="3276" w:type="dxa"/>
            <w:shd w:val="clear" w:color="auto" w:fill="F3F9FA"/>
          </w:tcPr>
          <w:p w14:paraId="20468C6F" w14:textId="5F3E9DAA" w:rsidR="00583F77" w:rsidRPr="008D1B84" w:rsidRDefault="00FE6AA9" w:rsidP="00C36ADD">
            <w:pPr>
              <w:spacing w:before="0" w:after="0"/>
              <w:rPr>
                <w:sz w:val="18"/>
                <w:szCs w:val="18"/>
              </w:rPr>
            </w:pPr>
            <w:r>
              <w:rPr>
                <w:sz w:val="18"/>
                <w:szCs w:val="18"/>
              </w:rPr>
              <w:t>Within canopy light (2012-201</w:t>
            </w:r>
            <w:r w:rsidR="0050222B">
              <w:rPr>
                <w:sz w:val="18"/>
                <w:szCs w:val="18"/>
              </w:rPr>
              <w:t>7</w:t>
            </w:r>
            <w:r w:rsidR="00583F77" w:rsidRPr="008D1B84">
              <w:rPr>
                <w:sz w:val="18"/>
                <w:szCs w:val="18"/>
              </w:rPr>
              <w:t>)</w:t>
            </w:r>
          </w:p>
        </w:tc>
        <w:tc>
          <w:tcPr>
            <w:tcW w:w="1714" w:type="dxa"/>
            <w:shd w:val="clear" w:color="auto" w:fill="F3F9FA"/>
          </w:tcPr>
          <w:p w14:paraId="4D863219" w14:textId="2FB8485C" w:rsidR="00583F77" w:rsidRPr="00197823" w:rsidRDefault="00197823" w:rsidP="00C36ADD">
            <w:pPr>
              <w:spacing w:before="0" w:after="0"/>
              <w:rPr>
                <w:color w:val="000000" w:themeColor="text1"/>
                <w:sz w:val="18"/>
                <w:szCs w:val="18"/>
              </w:rPr>
            </w:pPr>
            <w:r w:rsidRPr="00197823">
              <w:rPr>
                <w:color w:val="000000" w:themeColor="text1"/>
                <w:sz w:val="18"/>
                <w:szCs w:val="18"/>
              </w:rPr>
              <w:t>15.5</w:t>
            </w:r>
            <w:r w:rsidR="00583F77" w:rsidRPr="00197823">
              <w:rPr>
                <w:color w:val="000000" w:themeColor="text1"/>
                <w:sz w:val="18"/>
                <w:szCs w:val="18"/>
              </w:rPr>
              <w:t xml:space="preserve"> mol m</w:t>
            </w:r>
            <w:r w:rsidR="00583F77" w:rsidRPr="00197823">
              <w:rPr>
                <w:color w:val="000000" w:themeColor="text1"/>
                <w:sz w:val="18"/>
                <w:szCs w:val="18"/>
                <w:vertAlign w:val="superscript"/>
              </w:rPr>
              <w:t>-2</w:t>
            </w:r>
            <w:r w:rsidR="00583F77" w:rsidRPr="00197823">
              <w:rPr>
                <w:color w:val="000000" w:themeColor="text1"/>
                <w:sz w:val="18"/>
                <w:szCs w:val="18"/>
              </w:rPr>
              <w:t xml:space="preserve"> d</w:t>
            </w:r>
            <w:r w:rsidR="00583F77" w:rsidRPr="00197823">
              <w:rPr>
                <w:color w:val="000000" w:themeColor="text1"/>
                <w:sz w:val="18"/>
                <w:szCs w:val="18"/>
                <w:vertAlign w:val="superscript"/>
              </w:rPr>
              <w:t>-1</w:t>
            </w:r>
          </w:p>
        </w:tc>
        <w:tc>
          <w:tcPr>
            <w:tcW w:w="1461" w:type="dxa"/>
            <w:shd w:val="clear" w:color="auto" w:fill="F3F9FA"/>
          </w:tcPr>
          <w:p w14:paraId="303CD6A1" w14:textId="227B95C9" w:rsidR="00583F77" w:rsidRPr="00197823" w:rsidRDefault="00197823" w:rsidP="00C36ADD">
            <w:pPr>
              <w:spacing w:before="0" w:after="0"/>
              <w:rPr>
                <w:color w:val="000000" w:themeColor="text1"/>
                <w:sz w:val="18"/>
                <w:szCs w:val="18"/>
              </w:rPr>
            </w:pPr>
            <w:r w:rsidRPr="00197823">
              <w:rPr>
                <w:color w:val="000000" w:themeColor="text1"/>
                <w:sz w:val="18"/>
                <w:szCs w:val="18"/>
              </w:rPr>
              <w:t>12.7</w:t>
            </w:r>
            <w:r w:rsidR="00583F77" w:rsidRPr="00197823">
              <w:rPr>
                <w:color w:val="000000" w:themeColor="text1"/>
                <w:sz w:val="18"/>
                <w:szCs w:val="18"/>
              </w:rPr>
              <w:t xml:space="preserve"> mol m</w:t>
            </w:r>
            <w:r w:rsidR="00583F77" w:rsidRPr="00197823">
              <w:rPr>
                <w:color w:val="000000" w:themeColor="text1"/>
                <w:sz w:val="18"/>
                <w:szCs w:val="18"/>
                <w:vertAlign w:val="superscript"/>
              </w:rPr>
              <w:t>-2</w:t>
            </w:r>
            <w:r w:rsidR="00583F77" w:rsidRPr="00197823">
              <w:rPr>
                <w:color w:val="000000" w:themeColor="text1"/>
                <w:sz w:val="18"/>
                <w:szCs w:val="18"/>
              </w:rPr>
              <w:t xml:space="preserve"> d</w:t>
            </w:r>
            <w:r w:rsidR="00583F77" w:rsidRPr="00197823">
              <w:rPr>
                <w:color w:val="000000" w:themeColor="text1"/>
                <w:sz w:val="18"/>
                <w:szCs w:val="18"/>
                <w:vertAlign w:val="superscript"/>
              </w:rPr>
              <w:t>-1</w:t>
            </w:r>
          </w:p>
        </w:tc>
      </w:tr>
    </w:tbl>
    <w:p w14:paraId="5B8FCF89" w14:textId="4A10A2A9" w:rsidR="00F520E9" w:rsidRPr="00844AC3" w:rsidRDefault="00F9188C" w:rsidP="00C36ADD">
      <w:pPr>
        <w:rPr>
          <w:i/>
          <w:vanish/>
          <w:specVanish/>
        </w:rPr>
      </w:pPr>
      <w:bookmarkStart w:id="523" w:name="_Toc516053304"/>
      <w:r w:rsidRPr="00F9188C">
        <w:rPr>
          <w:noProof/>
          <w:szCs w:val="22"/>
          <w:lang w:eastAsia="en-AU"/>
        </w:rPr>
        <w:drawing>
          <wp:anchor distT="0" distB="0" distL="114300" distR="114300" simplePos="0" relativeHeight="251664896" behindDoc="0" locked="0" layoutInCell="1" allowOverlap="1" wp14:anchorId="31E88866" wp14:editId="64545094">
            <wp:simplePos x="0" y="0"/>
            <wp:positionH relativeFrom="column">
              <wp:posOffset>-4445</wp:posOffset>
            </wp:positionH>
            <wp:positionV relativeFrom="paragraph">
              <wp:posOffset>3810</wp:posOffset>
            </wp:positionV>
            <wp:extent cx="2874645" cy="4123690"/>
            <wp:effectExtent l="0" t="0" r="1905" b="0"/>
            <wp:wrapSquare wrapText="right"/>
            <wp:docPr id="27" name="Picture 27" descr="Composite graph showing the location of each seagrass monitoring site and the frequency of exposure to plume water in the Fitzroy NRM, wet season from December 2016 –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tzroy sites_legend.png"/>
                    <pic:cNvPicPr/>
                  </pic:nvPicPr>
                  <pic:blipFill>
                    <a:blip r:embed="rId132"/>
                    <a:stretch>
                      <a:fillRect/>
                    </a:stretch>
                  </pic:blipFill>
                  <pic:spPr>
                    <a:xfrm>
                      <a:off x="0" y="0"/>
                      <a:ext cx="2874645" cy="4123690"/>
                    </a:xfrm>
                    <a:prstGeom prst="rect">
                      <a:avLst/>
                    </a:prstGeom>
                  </pic:spPr>
                </pic:pic>
              </a:graphicData>
            </a:graphic>
            <wp14:sizeRelH relativeFrom="margin">
              <wp14:pctWidth>0</wp14:pctWidth>
            </wp14:sizeRelH>
            <wp14:sizeRelV relativeFrom="margin">
              <wp14:pctHeight>0</wp14:pctHeight>
            </wp14:sizeRelV>
          </wp:anchor>
        </w:drawing>
      </w:r>
      <w:bookmarkStart w:id="524" w:name="_Ref442348188"/>
      <w:r w:rsidR="00F520E9" w:rsidRPr="00F9188C">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94</w:t>
      </w:r>
      <w:r w:rsidR="00C506C7">
        <w:rPr>
          <w:noProof/>
        </w:rPr>
        <w:fldChar w:fldCharType="end"/>
      </w:r>
      <w:bookmarkEnd w:id="524"/>
      <w:r w:rsidR="00F520E9" w:rsidRPr="00F9188C">
        <w:t xml:space="preserve">.  </w:t>
      </w:r>
      <w:r w:rsidR="00583F77" w:rsidRPr="00844AC3">
        <w:rPr>
          <w:i/>
        </w:rPr>
        <w:t xml:space="preserve">Frequency of exposure to </w:t>
      </w:r>
      <w:r w:rsidR="006844EA">
        <w:rPr>
          <w:i/>
        </w:rPr>
        <w:t>turbid</w:t>
      </w:r>
      <w:r w:rsidR="006844EA" w:rsidRPr="00FD0A74">
        <w:rPr>
          <w:i/>
        </w:rPr>
        <w:t xml:space="preserve"> water</w:t>
      </w:r>
      <w:r w:rsidR="006844EA">
        <w:rPr>
          <w:i/>
        </w:rPr>
        <w:t xml:space="preserve"> (colour classes 1-5)</w:t>
      </w:r>
      <w:r w:rsidR="00583F77" w:rsidRPr="00844AC3">
        <w:rPr>
          <w:i/>
        </w:rPr>
        <w:t xml:space="preserve"> in the Fitzroy NRM, wet season (22 weeks from </w:t>
      </w:r>
      <w:r w:rsidR="00583F77" w:rsidRPr="00377268">
        <w:rPr>
          <w:i/>
          <w:color w:val="000000" w:themeColor="text1"/>
        </w:rPr>
        <w:t>December 201</w:t>
      </w:r>
      <w:r w:rsidR="00377268" w:rsidRPr="00377268">
        <w:rPr>
          <w:i/>
          <w:color w:val="000000" w:themeColor="text1"/>
        </w:rPr>
        <w:t>6</w:t>
      </w:r>
      <w:r w:rsidR="00583F77" w:rsidRPr="00377268">
        <w:rPr>
          <w:i/>
          <w:color w:val="000000" w:themeColor="text1"/>
        </w:rPr>
        <w:t xml:space="preserve"> – April 201</w:t>
      </w:r>
      <w:r w:rsidR="00377268" w:rsidRPr="00377268">
        <w:rPr>
          <w:i/>
          <w:color w:val="000000" w:themeColor="text1"/>
        </w:rPr>
        <w:t>7</w:t>
      </w:r>
      <w:r w:rsidR="00583F77" w:rsidRPr="00377268">
        <w:rPr>
          <w:i/>
          <w:color w:val="000000" w:themeColor="text1"/>
        </w:rPr>
        <w:t xml:space="preserve">) </w:t>
      </w:r>
      <w:r w:rsidR="00583F77" w:rsidRPr="00844AC3">
        <w:rPr>
          <w:i/>
        </w:rPr>
        <w:t>composite.</w:t>
      </w:r>
      <w:bookmarkEnd w:id="523"/>
    </w:p>
    <w:p w14:paraId="3719A76B" w14:textId="2D737B8C" w:rsidR="00583F77" w:rsidRPr="00844AC3" w:rsidRDefault="00583F77" w:rsidP="00C36ADD">
      <w:pPr>
        <w:rPr>
          <w:i/>
        </w:rPr>
      </w:pPr>
      <w:r w:rsidRPr="00844AC3">
        <w:rPr>
          <w:i/>
        </w:rPr>
        <w:t xml:space="preserve"> Frequency calculated as number of weeks in wet season exposed to primary or secondary water (colour classes 1 – 5). </w:t>
      </w:r>
      <w:r w:rsidR="00FF0A86" w:rsidRPr="00844AC3">
        <w:rPr>
          <w:i/>
        </w:rPr>
        <w:t>Each colour class category is described by mean water quality values for TSS, CDOM, chlorophyll a and K</w:t>
      </w:r>
      <w:r w:rsidR="00FF0A86" w:rsidRPr="00844AC3">
        <w:rPr>
          <w:i/>
          <w:vertAlign w:val="subscript"/>
        </w:rPr>
        <w:t>d</w:t>
      </w:r>
      <w:r w:rsidR="00FF0A86" w:rsidRPr="00844AC3">
        <w:rPr>
          <w:i/>
        </w:rPr>
        <w:t xml:space="preserve"> (PAR) (</w:t>
      </w:r>
      <w:hyperlink w:anchor="_ENREF_82" w:tooltip="Devlin, 2015 #10405" w:history="1">
        <w:r w:rsidR="00305FE7" w:rsidRPr="00844AC3">
          <w:rPr>
            <w:i/>
          </w:rPr>
          <w:fldChar w:fldCharType="begin"/>
        </w:r>
        <w:r w:rsidR="00305FE7">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844AC3">
          <w:rPr>
            <w:i/>
          </w:rPr>
          <w:fldChar w:fldCharType="separate"/>
        </w:r>
        <w:r w:rsidR="00305FE7">
          <w:rPr>
            <w:i/>
            <w:noProof/>
          </w:rPr>
          <w:t>Devlin et al. 2015</w:t>
        </w:r>
        <w:r w:rsidR="00305FE7" w:rsidRPr="00844AC3">
          <w:rPr>
            <w:i/>
          </w:rPr>
          <w:fldChar w:fldCharType="end"/>
        </w:r>
      </w:hyperlink>
      <w:r w:rsidR="00FF0A86" w:rsidRPr="00844AC3">
        <w:rPr>
          <w:i/>
        </w:rPr>
        <w:t>;</w:t>
      </w:r>
      <w:hyperlink w:anchor="_ENREF_232" w:tooltip="Waterhouse, 2017 #10878" w:history="1">
        <w:r w:rsidR="00305FE7">
          <w:rPr>
            <w:i/>
          </w:rPr>
          <w:fldChar w:fldCharType="begin"/>
        </w:r>
        <w:r w:rsidR="00305FE7">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305FE7">
          <w:rPr>
            <w:i/>
          </w:rPr>
          <w:fldChar w:fldCharType="separate"/>
        </w:r>
        <w:r w:rsidR="00305FE7">
          <w:rPr>
            <w:i/>
            <w:noProof/>
          </w:rPr>
          <w:t>Waterhouse et al. 2017</w:t>
        </w:r>
        <w:r w:rsidR="00305FE7">
          <w:rPr>
            <w:i/>
          </w:rPr>
          <w:fldChar w:fldCharType="end"/>
        </w:r>
      </w:hyperlink>
      <w:r w:rsidR="00FF0A86" w:rsidRPr="00844AC3">
        <w:rPr>
          <w:i/>
        </w:rPr>
        <w:t>). For site details, see Tables 3 &amp; 4.</w:t>
      </w:r>
    </w:p>
    <w:p w14:paraId="463C9523" w14:textId="3A6BDE93" w:rsidR="00F520E9" w:rsidRPr="00E67AE5" w:rsidRDefault="00583F77" w:rsidP="00C36ADD">
      <w:pPr>
        <w:keepNext/>
        <w:rPr>
          <w:i/>
          <w:vanish/>
          <w:specVanish/>
        </w:rPr>
      </w:pPr>
      <w:bookmarkStart w:id="525" w:name="_Ref314326607"/>
      <w:bookmarkStart w:id="526" w:name="_Toc516053453"/>
      <w:r w:rsidRPr="00E67AE5">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29</w:t>
      </w:r>
      <w:r w:rsidR="00C506C7">
        <w:rPr>
          <w:noProof/>
        </w:rPr>
        <w:fldChar w:fldCharType="end"/>
      </w:r>
      <w:bookmarkEnd w:id="525"/>
      <w:r w:rsidRPr="00E67AE5">
        <w:rPr>
          <w:i/>
        </w:rPr>
        <w:t xml:space="preserve">. Water type at each </w:t>
      </w:r>
      <w:r w:rsidR="00F520E9" w:rsidRPr="00E67AE5">
        <w:rPr>
          <w:i/>
        </w:rPr>
        <w:t>site</w:t>
      </w:r>
      <w:r w:rsidRPr="00E67AE5">
        <w:rPr>
          <w:i/>
        </w:rPr>
        <w:t xml:space="preserve"> in the Fitzroy </w:t>
      </w:r>
      <w:r w:rsidR="00F520E9" w:rsidRPr="00E67AE5">
        <w:rPr>
          <w:i/>
        </w:rPr>
        <w:t>region</w:t>
      </w:r>
      <w:r w:rsidRPr="00E67AE5">
        <w:rPr>
          <w:i/>
        </w:rPr>
        <w:t xml:space="preserve"> derived from MODIS true colour images</w:t>
      </w:r>
      <w:bookmarkEnd w:id="526"/>
    </w:p>
    <w:p w14:paraId="1D32440C" w14:textId="15CB563B" w:rsidR="00583F77" w:rsidRDefault="00583F77" w:rsidP="00C36ADD">
      <w:pPr>
        <w:keepNext/>
        <w:rPr>
          <w:i/>
        </w:rPr>
      </w:pPr>
      <w:r w:rsidRPr="00E67AE5">
        <w:rPr>
          <w:i/>
        </w:rPr>
        <w:t xml:space="preserve">as colour classes of turbid primary water (class 1 – 4, red/brown), nutrient/chlorophyll-enriched secondary water (class 5, green), and tertiary (some freshwater/CDOM influence) or no plume influence (class 6 and 7 respectively, blue), for 22 weeks from </w:t>
      </w:r>
      <w:r w:rsidRPr="005C1325">
        <w:rPr>
          <w:i/>
          <w:color w:val="000000" w:themeColor="text1"/>
        </w:rPr>
        <w:t>December 201</w:t>
      </w:r>
      <w:r w:rsidR="005C1325" w:rsidRPr="005C1325">
        <w:rPr>
          <w:i/>
          <w:color w:val="000000" w:themeColor="text1"/>
        </w:rPr>
        <w:t>6</w:t>
      </w:r>
      <w:r w:rsidRPr="005C1325">
        <w:rPr>
          <w:i/>
          <w:color w:val="000000" w:themeColor="text1"/>
        </w:rPr>
        <w:t xml:space="preserve"> – April 201</w:t>
      </w:r>
      <w:r w:rsidR="005C1325" w:rsidRPr="005C1325">
        <w:rPr>
          <w:i/>
          <w:color w:val="000000" w:themeColor="text1"/>
        </w:rPr>
        <w:t>7</w:t>
      </w:r>
      <w:r w:rsidRPr="005C1325">
        <w:rPr>
          <w:i/>
          <w:color w:val="000000" w:themeColor="text1"/>
        </w:rPr>
        <w:t xml:space="preserve">. </w:t>
      </w:r>
      <w:r w:rsidRPr="00E67AE5">
        <w:rPr>
          <w:i/>
        </w:rPr>
        <w:t>Also shown, median wet season colour class (Med), frequency of primary water as f</w:t>
      </w:r>
      <w:r w:rsidRPr="00E67AE5">
        <w:rPr>
          <w:i/>
          <w:vertAlign w:val="subscript"/>
        </w:rPr>
        <w:t>(P)</w:t>
      </w:r>
      <w:r w:rsidRPr="00E67AE5">
        <w:rPr>
          <w:i/>
        </w:rPr>
        <w:t>, the frequency of secondary water as f</w:t>
      </w:r>
      <w:r w:rsidRPr="00E67AE5">
        <w:rPr>
          <w:i/>
          <w:vertAlign w:val="subscript"/>
        </w:rPr>
        <w:t>(S</w:t>
      </w:r>
      <w:r w:rsidRPr="00E67AE5">
        <w:rPr>
          <w:i/>
        </w:rPr>
        <w:t>), and the frequency of primary or secondary as f</w:t>
      </w:r>
      <w:r w:rsidRPr="00E67AE5">
        <w:rPr>
          <w:i/>
          <w:vertAlign w:val="subscript"/>
        </w:rPr>
        <w:t>(P+S)</w:t>
      </w:r>
      <w:r w:rsidRPr="00E67AE5">
        <w:rPr>
          <w:i/>
        </w:rPr>
        <w:t>.</w:t>
      </w:r>
    </w:p>
    <w:p w14:paraId="34B7DC77" w14:textId="77777777" w:rsidR="008A5BB8" w:rsidRPr="008A5BB8" w:rsidRDefault="008A5BB8" w:rsidP="00C36ADD">
      <w:pPr>
        <w:rPr>
          <w:color w:val="000000" w:themeColor="text1"/>
        </w:rPr>
      </w:pPr>
    </w:p>
    <w:tbl>
      <w:tblPr>
        <w:tblW w:w="10632" w:type="dxa"/>
        <w:tblInd w:w="-426" w:type="dxa"/>
        <w:tblBorders>
          <w:top w:val="nil"/>
          <w:left w:val="nil"/>
          <w:right w:val="nil"/>
        </w:tblBorders>
        <w:tblLayout w:type="fixed"/>
        <w:tblLook w:val="0000" w:firstRow="0" w:lastRow="0" w:firstColumn="0" w:lastColumn="0" w:noHBand="0" w:noVBand="0"/>
      </w:tblPr>
      <w:tblGrid>
        <w:gridCol w:w="889"/>
        <w:gridCol w:w="351"/>
        <w:gridCol w:w="351"/>
        <w:gridCol w:w="352"/>
        <w:gridCol w:w="352"/>
        <w:gridCol w:w="352"/>
        <w:gridCol w:w="352"/>
        <w:gridCol w:w="352"/>
        <w:gridCol w:w="352"/>
        <w:gridCol w:w="352"/>
        <w:gridCol w:w="377"/>
        <w:gridCol w:w="377"/>
        <w:gridCol w:w="377"/>
        <w:gridCol w:w="377"/>
        <w:gridCol w:w="377"/>
        <w:gridCol w:w="377"/>
        <w:gridCol w:w="377"/>
        <w:gridCol w:w="377"/>
        <w:gridCol w:w="377"/>
        <w:gridCol w:w="377"/>
        <w:gridCol w:w="377"/>
        <w:gridCol w:w="377"/>
        <w:gridCol w:w="377"/>
        <w:gridCol w:w="557"/>
        <w:gridCol w:w="552"/>
        <w:gridCol w:w="567"/>
      </w:tblGrid>
      <w:tr w:rsidR="005659AC" w:rsidRPr="005659AC" w14:paraId="51B7959C" w14:textId="77777777" w:rsidTr="005C1325">
        <w:tc>
          <w:tcPr>
            <w:tcW w:w="889" w:type="dxa"/>
            <w:tcBorders>
              <w:top w:val="single" w:sz="8" w:space="0" w:color="000000" w:themeColor="text1"/>
              <w:bottom w:val="single" w:sz="8" w:space="0" w:color="000000" w:themeColor="text1"/>
            </w:tcBorders>
            <w:vAlign w:val="center"/>
          </w:tcPr>
          <w:p w14:paraId="73D3735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Site</w:t>
            </w:r>
          </w:p>
        </w:tc>
        <w:tc>
          <w:tcPr>
            <w:tcW w:w="351" w:type="dxa"/>
            <w:tcBorders>
              <w:top w:val="single" w:sz="8" w:space="0" w:color="000000" w:themeColor="text1"/>
              <w:bottom w:val="single" w:sz="8" w:space="0" w:color="000000" w:themeColor="text1"/>
            </w:tcBorders>
            <w:vAlign w:val="center"/>
          </w:tcPr>
          <w:p w14:paraId="11FC975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51" w:type="dxa"/>
            <w:tcBorders>
              <w:top w:val="single" w:sz="8" w:space="0" w:color="000000" w:themeColor="text1"/>
              <w:bottom w:val="single" w:sz="8" w:space="0" w:color="000000" w:themeColor="text1"/>
            </w:tcBorders>
            <w:vAlign w:val="center"/>
          </w:tcPr>
          <w:p w14:paraId="2246AA1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single" w:sz="8" w:space="0" w:color="000000" w:themeColor="text1"/>
              <w:bottom w:val="single" w:sz="8" w:space="0" w:color="000000" w:themeColor="text1"/>
            </w:tcBorders>
            <w:vAlign w:val="center"/>
          </w:tcPr>
          <w:p w14:paraId="0BF7104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3</w:t>
            </w:r>
          </w:p>
        </w:tc>
        <w:tc>
          <w:tcPr>
            <w:tcW w:w="352" w:type="dxa"/>
            <w:tcBorders>
              <w:top w:val="single" w:sz="8" w:space="0" w:color="000000" w:themeColor="text1"/>
              <w:bottom w:val="single" w:sz="8" w:space="0" w:color="000000" w:themeColor="text1"/>
            </w:tcBorders>
            <w:vAlign w:val="center"/>
          </w:tcPr>
          <w:p w14:paraId="2037BC20"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single" w:sz="8" w:space="0" w:color="000000" w:themeColor="text1"/>
              <w:bottom w:val="single" w:sz="8" w:space="0" w:color="000000" w:themeColor="text1"/>
            </w:tcBorders>
            <w:vAlign w:val="center"/>
          </w:tcPr>
          <w:p w14:paraId="1538CCAD"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8" w:space="0" w:color="000000" w:themeColor="text1"/>
              <w:bottom w:val="single" w:sz="8" w:space="0" w:color="000000" w:themeColor="text1"/>
            </w:tcBorders>
            <w:vAlign w:val="center"/>
          </w:tcPr>
          <w:p w14:paraId="3F10D36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6</w:t>
            </w:r>
          </w:p>
        </w:tc>
        <w:tc>
          <w:tcPr>
            <w:tcW w:w="352" w:type="dxa"/>
            <w:tcBorders>
              <w:top w:val="single" w:sz="8" w:space="0" w:color="000000" w:themeColor="text1"/>
              <w:bottom w:val="single" w:sz="8" w:space="0" w:color="000000" w:themeColor="text1"/>
            </w:tcBorders>
            <w:vAlign w:val="center"/>
          </w:tcPr>
          <w:p w14:paraId="038AE5F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7</w:t>
            </w:r>
          </w:p>
        </w:tc>
        <w:tc>
          <w:tcPr>
            <w:tcW w:w="352" w:type="dxa"/>
            <w:tcBorders>
              <w:top w:val="single" w:sz="8" w:space="0" w:color="000000" w:themeColor="text1"/>
              <w:bottom w:val="single" w:sz="8" w:space="0" w:color="000000" w:themeColor="text1"/>
            </w:tcBorders>
            <w:vAlign w:val="center"/>
          </w:tcPr>
          <w:p w14:paraId="02A6175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8</w:t>
            </w:r>
          </w:p>
        </w:tc>
        <w:tc>
          <w:tcPr>
            <w:tcW w:w="352" w:type="dxa"/>
            <w:tcBorders>
              <w:top w:val="single" w:sz="8" w:space="0" w:color="000000" w:themeColor="text1"/>
              <w:bottom w:val="single" w:sz="8" w:space="0" w:color="000000" w:themeColor="text1"/>
            </w:tcBorders>
            <w:vAlign w:val="center"/>
          </w:tcPr>
          <w:p w14:paraId="38DB3FAD"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9</w:t>
            </w:r>
          </w:p>
        </w:tc>
        <w:tc>
          <w:tcPr>
            <w:tcW w:w="377" w:type="dxa"/>
            <w:tcBorders>
              <w:top w:val="single" w:sz="8" w:space="0" w:color="000000" w:themeColor="text1"/>
              <w:bottom w:val="single" w:sz="8" w:space="0" w:color="000000" w:themeColor="text1"/>
            </w:tcBorders>
            <w:vAlign w:val="center"/>
          </w:tcPr>
          <w:p w14:paraId="4E26911D"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10</w:t>
            </w:r>
          </w:p>
        </w:tc>
        <w:tc>
          <w:tcPr>
            <w:tcW w:w="377" w:type="dxa"/>
            <w:tcBorders>
              <w:top w:val="single" w:sz="8" w:space="0" w:color="000000" w:themeColor="text1"/>
              <w:bottom w:val="single" w:sz="8" w:space="0" w:color="000000" w:themeColor="text1"/>
            </w:tcBorders>
            <w:vAlign w:val="center"/>
          </w:tcPr>
          <w:p w14:paraId="3899D80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11</w:t>
            </w:r>
          </w:p>
        </w:tc>
        <w:tc>
          <w:tcPr>
            <w:tcW w:w="377" w:type="dxa"/>
            <w:tcBorders>
              <w:top w:val="single" w:sz="8" w:space="0" w:color="000000" w:themeColor="text1"/>
              <w:bottom w:val="single" w:sz="8" w:space="0" w:color="000000" w:themeColor="text1"/>
            </w:tcBorders>
            <w:vAlign w:val="center"/>
          </w:tcPr>
          <w:p w14:paraId="0101843A"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12</w:t>
            </w:r>
          </w:p>
        </w:tc>
        <w:tc>
          <w:tcPr>
            <w:tcW w:w="377" w:type="dxa"/>
            <w:tcBorders>
              <w:top w:val="single" w:sz="8" w:space="0" w:color="000000" w:themeColor="text1"/>
              <w:bottom w:val="single" w:sz="8" w:space="0" w:color="000000" w:themeColor="text1"/>
            </w:tcBorders>
            <w:vAlign w:val="center"/>
          </w:tcPr>
          <w:p w14:paraId="323A45F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13</w:t>
            </w:r>
          </w:p>
        </w:tc>
        <w:tc>
          <w:tcPr>
            <w:tcW w:w="377" w:type="dxa"/>
            <w:tcBorders>
              <w:top w:val="single" w:sz="8" w:space="0" w:color="000000" w:themeColor="text1"/>
              <w:bottom w:val="single" w:sz="8" w:space="0" w:color="000000" w:themeColor="text1"/>
            </w:tcBorders>
            <w:vAlign w:val="center"/>
          </w:tcPr>
          <w:p w14:paraId="009AE49C"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14</w:t>
            </w:r>
          </w:p>
        </w:tc>
        <w:tc>
          <w:tcPr>
            <w:tcW w:w="377" w:type="dxa"/>
            <w:tcBorders>
              <w:top w:val="single" w:sz="8" w:space="0" w:color="000000" w:themeColor="text1"/>
              <w:bottom w:val="single" w:sz="8" w:space="0" w:color="000000" w:themeColor="text1"/>
            </w:tcBorders>
            <w:vAlign w:val="center"/>
          </w:tcPr>
          <w:p w14:paraId="5140E56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15</w:t>
            </w:r>
          </w:p>
        </w:tc>
        <w:tc>
          <w:tcPr>
            <w:tcW w:w="377" w:type="dxa"/>
            <w:tcBorders>
              <w:top w:val="single" w:sz="8" w:space="0" w:color="000000" w:themeColor="text1"/>
              <w:bottom w:val="single" w:sz="8" w:space="0" w:color="000000" w:themeColor="text1"/>
            </w:tcBorders>
            <w:vAlign w:val="center"/>
          </w:tcPr>
          <w:p w14:paraId="41ADE033"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16</w:t>
            </w:r>
          </w:p>
        </w:tc>
        <w:tc>
          <w:tcPr>
            <w:tcW w:w="377" w:type="dxa"/>
            <w:tcBorders>
              <w:top w:val="single" w:sz="8" w:space="0" w:color="000000" w:themeColor="text1"/>
              <w:bottom w:val="single" w:sz="8" w:space="0" w:color="000000" w:themeColor="text1"/>
            </w:tcBorders>
            <w:vAlign w:val="center"/>
          </w:tcPr>
          <w:p w14:paraId="467ED33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17</w:t>
            </w:r>
          </w:p>
        </w:tc>
        <w:tc>
          <w:tcPr>
            <w:tcW w:w="377" w:type="dxa"/>
            <w:tcBorders>
              <w:top w:val="single" w:sz="8" w:space="0" w:color="000000" w:themeColor="text1"/>
              <w:bottom w:val="single" w:sz="8" w:space="0" w:color="000000" w:themeColor="text1"/>
            </w:tcBorders>
            <w:vAlign w:val="center"/>
          </w:tcPr>
          <w:p w14:paraId="0A79411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18</w:t>
            </w:r>
          </w:p>
        </w:tc>
        <w:tc>
          <w:tcPr>
            <w:tcW w:w="377" w:type="dxa"/>
            <w:tcBorders>
              <w:top w:val="single" w:sz="8" w:space="0" w:color="000000" w:themeColor="text1"/>
              <w:bottom w:val="single" w:sz="8" w:space="0" w:color="000000" w:themeColor="text1"/>
            </w:tcBorders>
            <w:vAlign w:val="center"/>
          </w:tcPr>
          <w:p w14:paraId="68C2E8F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19</w:t>
            </w:r>
          </w:p>
        </w:tc>
        <w:tc>
          <w:tcPr>
            <w:tcW w:w="377" w:type="dxa"/>
            <w:tcBorders>
              <w:top w:val="single" w:sz="8" w:space="0" w:color="000000" w:themeColor="text1"/>
              <w:bottom w:val="single" w:sz="8" w:space="0" w:color="000000" w:themeColor="text1"/>
            </w:tcBorders>
            <w:vAlign w:val="center"/>
          </w:tcPr>
          <w:p w14:paraId="1870553A"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20</w:t>
            </w:r>
          </w:p>
        </w:tc>
        <w:tc>
          <w:tcPr>
            <w:tcW w:w="377" w:type="dxa"/>
            <w:tcBorders>
              <w:top w:val="single" w:sz="8" w:space="0" w:color="000000" w:themeColor="text1"/>
              <w:bottom w:val="single" w:sz="8" w:space="0" w:color="000000" w:themeColor="text1"/>
            </w:tcBorders>
            <w:vAlign w:val="center"/>
          </w:tcPr>
          <w:p w14:paraId="2882517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21</w:t>
            </w:r>
          </w:p>
        </w:tc>
        <w:tc>
          <w:tcPr>
            <w:tcW w:w="377" w:type="dxa"/>
            <w:tcBorders>
              <w:top w:val="single" w:sz="8" w:space="0" w:color="000000" w:themeColor="text1"/>
              <w:bottom w:val="single" w:sz="8" w:space="0" w:color="000000" w:themeColor="text1"/>
            </w:tcBorders>
            <w:vAlign w:val="center"/>
          </w:tcPr>
          <w:p w14:paraId="2A7BE8F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22</w:t>
            </w:r>
          </w:p>
        </w:tc>
        <w:tc>
          <w:tcPr>
            <w:tcW w:w="557" w:type="dxa"/>
            <w:tcBorders>
              <w:top w:val="single" w:sz="8" w:space="0" w:color="000000" w:themeColor="text1"/>
              <w:bottom w:val="single" w:sz="8" w:space="0" w:color="000000" w:themeColor="text1"/>
            </w:tcBorders>
            <w:vAlign w:val="center"/>
          </w:tcPr>
          <w:p w14:paraId="6EA54869"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i/>
                <w:iCs/>
                <w:color w:val="000000"/>
                <w:sz w:val="14"/>
                <w:szCs w:val="14"/>
                <w:lang w:eastAsia="en-AU"/>
              </w:rPr>
              <w:t>f</w:t>
            </w:r>
            <w:r w:rsidRPr="005659AC">
              <w:rPr>
                <w:rFonts w:ascii="Times" w:hAnsi="Times" w:cs="Times"/>
                <w:b/>
                <w:bCs/>
                <w:color w:val="000000"/>
                <w:sz w:val="14"/>
                <w:szCs w:val="14"/>
                <w:vertAlign w:val="subscript"/>
                <w:lang w:eastAsia="en-AU"/>
              </w:rPr>
              <w:t>(P)</w:t>
            </w:r>
          </w:p>
        </w:tc>
        <w:tc>
          <w:tcPr>
            <w:tcW w:w="552" w:type="dxa"/>
            <w:tcBorders>
              <w:top w:val="single" w:sz="8" w:space="0" w:color="000000" w:themeColor="text1"/>
              <w:bottom w:val="single" w:sz="8" w:space="0" w:color="000000" w:themeColor="text1"/>
            </w:tcBorders>
            <w:vAlign w:val="center"/>
          </w:tcPr>
          <w:p w14:paraId="55D7C793"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f</w:t>
            </w:r>
            <w:r w:rsidRPr="005659AC">
              <w:rPr>
                <w:rFonts w:ascii="Times" w:hAnsi="Times" w:cs="Times"/>
                <w:b/>
                <w:bCs/>
                <w:color w:val="000000"/>
                <w:sz w:val="14"/>
                <w:szCs w:val="14"/>
                <w:vertAlign w:val="subscript"/>
                <w:lang w:eastAsia="en-AU"/>
              </w:rPr>
              <w:t>(S)</w:t>
            </w:r>
          </w:p>
        </w:tc>
        <w:tc>
          <w:tcPr>
            <w:tcW w:w="567" w:type="dxa"/>
            <w:tcBorders>
              <w:top w:val="single" w:sz="8" w:space="0" w:color="000000" w:themeColor="text1"/>
              <w:bottom w:val="single" w:sz="8" w:space="0" w:color="000000" w:themeColor="text1"/>
            </w:tcBorders>
            <w:vAlign w:val="center"/>
          </w:tcPr>
          <w:p w14:paraId="52102DBD"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f</w:t>
            </w:r>
            <w:r w:rsidRPr="005659AC">
              <w:rPr>
                <w:rFonts w:ascii="Times" w:hAnsi="Times" w:cs="Times"/>
                <w:b/>
                <w:bCs/>
                <w:color w:val="000000"/>
                <w:sz w:val="14"/>
                <w:szCs w:val="14"/>
                <w:vertAlign w:val="subscript"/>
                <w:lang w:eastAsia="en-AU"/>
              </w:rPr>
              <w:t>(P+S)</w:t>
            </w:r>
          </w:p>
        </w:tc>
      </w:tr>
      <w:tr w:rsidR="005C1325" w:rsidRPr="005659AC" w14:paraId="4A3828C0" w14:textId="77777777" w:rsidTr="005C1325">
        <w:tblPrEx>
          <w:tblBorders>
            <w:top w:val="none" w:sz="0" w:space="0" w:color="auto"/>
          </w:tblBorders>
        </w:tblPrEx>
        <w:tc>
          <w:tcPr>
            <w:tcW w:w="889" w:type="dxa"/>
            <w:tcBorders>
              <w:top w:val="single" w:sz="8" w:space="0" w:color="000000" w:themeColor="text1"/>
              <w:right w:val="single" w:sz="8" w:space="0" w:color="FFFFFF" w:themeColor="background1"/>
            </w:tcBorders>
            <w:vAlign w:val="center"/>
          </w:tcPr>
          <w:p w14:paraId="0AF3555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RC1</w:t>
            </w:r>
          </w:p>
        </w:tc>
        <w:tc>
          <w:tcPr>
            <w:tcW w:w="351" w:type="dxa"/>
            <w:tcBorders>
              <w:top w:val="single" w:sz="8" w:space="0" w:color="000000" w:themeColor="text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341ECCD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1"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CA632B3"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EF3AC8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3</w:t>
            </w: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52EBD63"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7D2472F3"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A5ADB5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A9EB88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61A1E5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30A966B"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839642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CC431D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DB8E0B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892B87C"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FBC304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1942B3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2C49E120"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94E58CD"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DB17D1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D18978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37B33F3"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77" w:type="dxa"/>
            <w:tcBorders>
              <w:top w:val="single" w:sz="8"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884B370"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8" w:space="0" w:color="000000" w:themeColor="text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15E4B87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557" w:type="dxa"/>
            <w:tcBorders>
              <w:top w:val="single" w:sz="8" w:space="0" w:color="000000" w:themeColor="text1"/>
              <w:left w:val="single" w:sz="8" w:space="0" w:color="FFFFFF" w:themeColor="background1"/>
            </w:tcBorders>
            <w:vAlign w:val="center"/>
          </w:tcPr>
          <w:p w14:paraId="02847822"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0.95</w:t>
            </w:r>
          </w:p>
        </w:tc>
        <w:tc>
          <w:tcPr>
            <w:tcW w:w="552" w:type="dxa"/>
            <w:tcBorders>
              <w:top w:val="single" w:sz="8" w:space="0" w:color="000000" w:themeColor="text1"/>
            </w:tcBorders>
            <w:vAlign w:val="center"/>
          </w:tcPr>
          <w:p w14:paraId="2F0162DB"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0.05</w:t>
            </w:r>
          </w:p>
        </w:tc>
        <w:tc>
          <w:tcPr>
            <w:tcW w:w="567" w:type="dxa"/>
            <w:tcBorders>
              <w:top w:val="single" w:sz="8" w:space="0" w:color="000000" w:themeColor="text1"/>
            </w:tcBorders>
            <w:vAlign w:val="center"/>
          </w:tcPr>
          <w:p w14:paraId="633A2F5F"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1.00</w:t>
            </w:r>
          </w:p>
        </w:tc>
      </w:tr>
      <w:tr w:rsidR="005659AC" w:rsidRPr="005659AC" w14:paraId="68DA23D0" w14:textId="77777777" w:rsidTr="005C1325">
        <w:tblPrEx>
          <w:tblBorders>
            <w:top w:val="none" w:sz="0" w:space="0" w:color="auto"/>
          </w:tblBorders>
        </w:tblPrEx>
        <w:tc>
          <w:tcPr>
            <w:tcW w:w="889" w:type="dxa"/>
            <w:tcBorders>
              <w:right w:val="single" w:sz="8" w:space="0" w:color="FFFFFF" w:themeColor="background1"/>
            </w:tcBorders>
            <w:vAlign w:val="center"/>
          </w:tcPr>
          <w:p w14:paraId="6780346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WH1</w:t>
            </w:r>
          </w:p>
        </w:tc>
        <w:tc>
          <w:tcPr>
            <w:tcW w:w="351"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BDBA5"/>
            <w:vAlign w:val="center"/>
          </w:tcPr>
          <w:p w14:paraId="3C67276A"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C5FD8BC"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40A8C3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3B23E1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vAlign w:val="center"/>
          </w:tcPr>
          <w:p w14:paraId="680430CC"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3D0F06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1A387A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99791D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6C1E6B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7BC5C70"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032EE6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CEFFA3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D5E2CC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0E8953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5B2929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4EAF6D45"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AFFE0E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564134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B43587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1A59B6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946C37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4AC55CE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557" w:type="dxa"/>
            <w:tcBorders>
              <w:left w:val="single" w:sz="8" w:space="0" w:color="FFFFFF" w:themeColor="background1"/>
            </w:tcBorders>
            <w:vAlign w:val="center"/>
          </w:tcPr>
          <w:p w14:paraId="108B1937"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0.86</w:t>
            </w:r>
          </w:p>
        </w:tc>
        <w:tc>
          <w:tcPr>
            <w:tcW w:w="552" w:type="dxa"/>
            <w:vAlign w:val="center"/>
          </w:tcPr>
          <w:p w14:paraId="43530508"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0.14</w:t>
            </w:r>
          </w:p>
        </w:tc>
        <w:tc>
          <w:tcPr>
            <w:tcW w:w="567" w:type="dxa"/>
            <w:vAlign w:val="center"/>
          </w:tcPr>
          <w:p w14:paraId="62F4EAA2"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1.00</w:t>
            </w:r>
          </w:p>
        </w:tc>
      </w:tr>
      <w:tr w:rsidR="005C1325" w:rsidRPr="005659AC" w14:paraId="214BB17D" w14:textId="77777777" w:rsidTr="005C1325">
        <w:tblPrEx>
          <w:tblBorders>
            <w:top w:val="none" w:sz="0" w:space="0" w:color="auto"/>
          </w:tblBorders>
        </w:tblPrEx>
        <w:tc>
          <w:tcPr>
            <w:tcW w:w="889" w:type="dxa"/>
            <w:tcBorders>
              <w:bottom w:val="nil"/>
              <w:right w:val="single" w:sz="8" w:space="0" w:color="FFFFFF" w:themeColor="background1"/>
            </w:tcBorders>
            <w:vAlign w:val="center"/>
          </w:tcPr>
          <w:p w14:paraId="139CD00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GK1, GK2</w:t>
            </w:r>
          </w:p>
        </w:tc>
        <w:tc>
          <w:tcPr>
            <w:tcW w:w="351" w:type="dxa"/>
            <w:tcBorders>
              <w:top w:val="single" w:sz="6" w:space="0" w:color="FFFFFF" w:themeColor="background1"/>
              <w:left w:val="single" w:sz="8" w:space="0" w:color="FFFFFF" w:themeColor="background1"/>
              <w:bottom w:val="nil"/>
              <w:right w:val="single" w:sz="6" w:space="0" w:color="FFFFFF" w:themeColor="background1"/>
            </w:tcBorders>
            <w:shd w:val="clear" w:color="auto" w:fill="BBDBA5"/>
            <w:vAlign w:val="center"/>
          </w:tcPr>
          <w:p w14:paraId="01E5AB3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1"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62E5E41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286C76B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6414117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70EEF62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1A65C335"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4CFE931B"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5D5E5E4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0852CF9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6BF27D83"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50C60A7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588D600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42A91D9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0CDEA"/>
            <w:vAlign w:val="center"/>
          </w:tcPr>
          <w:p w14:paraId="6CE032A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6</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7003BE2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5AA2D2A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3379486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EDCA16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012855B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036D25E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BDBA5"/>
            <w:vAlign w:val="center"/>
          </w:tcPr>
          <w:p w14:paraId="0D53A8EC"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nil"/>
              <w:right w:val="single" w:sz="8" w:space="0" w:color="FFFFFF" w:themeColor="background1"/>
            </w:tcBorders>
            <w:shd w:val="clear" w:color="auto" w:fill="BBDBA5"/>
            <w:vAlign w:val="center"/>
          </w:tcPr>
          <w:p w14:paraId="5D8425D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557" w:type="dxa"/>
            <w:tcBorders>
              <w:left w:val="single" w:sz="8" w:space="0" w:color="FFFFFF" w:themeColor="background1"/>
              <w:bottom w:val="nil"/>
            </w:tcBorders>
            <w:vAlign w:val="center"/>
          </w:tcPr>
          <w:p w14:paraId="31AC2A83"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0.05</w:t>
            </w:r>
          </w:p>
        </w:tc>
        <w:tc>
          <w:tcPr>
            <w:tcW w:w="552" w:type="dxa"/>
            <w:tcBorders>
              <w:bottom w:val="nil"/>
            </w:tcBorders>
            <w:vAlign w:val="center"/>
          </w:tcPr>
          <w:p w14:paraId="34E7B03E"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0.91</w:t>
            </w:r>
          </w:p>
        </w:tc>
        <w:tc>
          <w:tcPr>
            <w:tcW w:w="567" w:type="dxa"/>
            <w:tcBorders>
              <w:bottom w:val="nil"/>
            </w:tcBorders>
            <w:vAlign w:val="center"/>
          </w:tcPr>
          <w:p w14:paraId="37610D65"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0.95</w:t>
            </w:r>
          </w:p>
        </w:tc>
      </w:tr>
      <w:tr w:rsidR="005C1325" w:rsidRPr="005659AC" w14:paraId="5A9C6E47" w14:textId="77777777" w:rsidTr="005C1325">
        <w:tc>
          <w:tcPr>
            <w:tcW w:w="889" w:type="dxa"/>
            <w:tcBorders>
              <w:top w:val="nil"/>
              <w:left w:val="nil"/>
              <w:bottom w:val="single" w:sz="4" w:space="0" w:color="000000" w:themeColor="text1"/>
              <w:right w:val="nil"/>
            </w:tcBorders>
            <w:vAlign w:val="center"/>
          </w:tcPr>
          <w:p w14:paraId="6FE4BB0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GH1, GH2</w:t>
            </w:r>
          </w:p>
        </w:tc>
        <w:tc>
          <w:tcPr>
            <w:tcW w:w="351" w:type="dxa"/>
            <w:tcBorders>
              <w:top w:val="nil"/>
              <w:left w:val="nil"/>
              <w:bottom w:val="single" w:sz="4" w:space="0" w:color="000000" w:themeColor="text1"/>
              <w:right w:val="nil"/>
            </w:tcBorders>
            <w:shd w:val="clear" w:color="auto" w:fill="B84410"/>
            <w:vAlign w:val="center"/>
          </w:tcPr>
          <w:p w14:paraId="34E9268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1" w:type="dxa"/>
            <w:tcBorders>
              <w:top w:val="nil"/>
              <w:left w:val="nil"/>
              <w:bottom w:val="single" w:sz="4" w:space="0" w:color="000000" w:themeColor="text1"/>
              <w:right w:val="nil"/>
            </w:tcBorders>
            <w:shd w:val="clear" w:color="auto" w:fill="B84410"/>
            <w:vAlign w:val="center"/>
          </w:tcPr>
          <w:p w14:paraId="6F791C6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1442ACAD"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5CE7310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2C4FCA22"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0C0A3AD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7F81192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16B0054E"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3</w:t>
            </w:r>
          </w:p>
        </w:tc>
        <w:tc>
          <w:tcPr>
            <w:tcW w:w="352" w:type="dxa"/>
            <w:tcBorders>
              <w:top w:val="nil"/>
              <w:left w:val="nil"/>
              <w:bottom w:val="single" w:sz="4" w:space="0" w:color="000000" w:themeColor="text1"/>
              <w:right w:val="nil"/>
            </w:tcBorders>
            <w:shd w:val="clear" w:color="auto" w:fill="B84410"/>
            <w:vAlign w:val="center"/>
          </w:tcPr>
          <w:p w14:paraId="79C8441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12E946DB"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1A4FF609"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nil"/>
              <w:left w:val="nil"/>
              <w:bottom w:val="single" w:sz="4" w:space="0" w:color="000000" w:themeColor="text1"/>
              <w:right w:val="nil"/>
            </w:tcBorders>
            <w:shd w:val="clear" w:color="auto" w:fill="BBDBA5"/>
            <w:vAlign w:val="center"/>
          </w:tcPr>
          <w:p w14:paraId="089E6CC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nil"/>
              <w:left w:val="nil"/>
              <w:bottom w:val="single" w:sz="4" w:space="0" w:color="000000" w:themeColor="text1"/>
              <w:right w:val="nil"/>
            </w:tcBorders>
            <w:shd w:val="clear" w:color="auto" w:fill="B84410"/>
            <w:vAlign w:val="center"/>
          </w:tcPr>
          <w:p w14:paraId="40BF8F9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BDBA5"/>
            <w:vAlign w:val="center"/>
          </w:tcPr>
          <w:p w14:paraId="0FF38AE4"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nil"/>
              <w:left w:val="nil"/>
              <w:bottom w:val="single" w:sz="4" w:space="0" w:color="000000" w:themeColor="text1"/>
              <w:right w:val="nil"/>
            </w:tcBorders>
            <w:shd w:val="clear" w:color="auto" w:fill="B84410"/>
            <w:vAlign w:val="center"/>
          </w:tcPr>
          <w:p w14:paraId="0D23FEC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BDBA5"/>
            <w:vAlign w:val="center"/>
          </w:tcPr>
          <w:p w14:paraId="38F30498"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5</w:t>
            </w:r>
          </w:p>
        </w:tc>
        <w:tc>
          <w:tcPr>
            <w:tcW w:w="377" w:type="dxa"/>
            <w:tcBorders>
              <w:top w:val="nil"/>
              <w:left w:val="nil"/>
              <w:bottom w:val="single" w:sz="4" w:space="0" w:color="000000" w:themeColor="text1"/>
              <w:right w:val="nil"/>
            </w:tcBorders>
            <w:shd w:val="clear" w:color="auto" w:fill="B84410"/>
            <w:vAlign w:val="center"/>
          </w:tcPr>
          <w:p w14:paraId="5E041A4D"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5E71E911"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53071CFF"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1</w:t>
            </w:r>
          </w:p>
        </w:tc>
        <w:tc>
          <w:tcPr>
            <w:tcW w:w="377" w:type="dxa"/>
            <w:tcBorders>
              <w:top w:val="nil"/>
              <w:left w:val="nil"/>
              <w:bottom w:val="single" w:sz="4" w:space="0" w:color="000000" w:themeColor="text1"/>
              <w:right w:val="nil"/>
            </w:tcBorders>
            <w:shd w:val="clear" w:color="auto" w:fill="B84410"/>
            <w:vAlign w:val="center"/>
          </w:tcPr>
          <w:p w14:paraId="52F04B1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4</w:t>
            </w:r>
          </w:p>
        </w:tc>
        <w:tc>
          <w:tcPr>
            <w:tcW w:w="377" w:type="dxa"/>
            <w:tcBorders>
              <w:top w:val="nil"/>
              <w:left w:val="nil"/>
              <w:bottom w:val="single" w:sz="4" w:space="0" w:color="000000" w:themeColor="text1"/>
              <w:right w:val="nil"/>
            </w:tcBorders>
            <w:shd w:val="clear" w:color="auto" w:fill="B84410"/>
            <w:vAlign w:val="center"/>
          </w:tcPr>
          <w:p w14:paraId="677D6CC6"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51C2C357" w14:textId="77777777" w:rsidR="005659AC" w:rsidRPr="005659AC" w:rsidRDefault="005659AC" w:rsidP="00C36ADD">
            <w:pPr>
              <w:autoSpaceDE w:val="0"/>
              <w:autoSpaceDN w:val="0"/>
              <w:adjustRightInd w:val="0"/>
              <w:spacing w:before="40" w:after="40"/>
              <w:jc w:val="center"/>
              <w:rPr>
                <w:rFonts w:cs="Calibri"/>
                <w:color w:val="000000"/>
                <w:sz w:val="14"/>
                <w:szCs w:val="14"/>
                <w:lang w:eastAsia="en-AU"/>
              </w:rPr>
            </w:pPr>
            <w:r w:rsidRPr="005659AC">
              <w:rPr>
                <w:rFonts w:cs="Calibri"/>
                <w:color w:val="000000"/>
                <w:sz w:val="14"/>
                <w:szCs w:val="14"/>
                <w:lang w:eastAsia="en-AU"/>
              </w:rPr>
              <w:t>2</w:t>
            </w:r>
          </w:p>
        </w:tc>
        <w:tc>
          <w:tcPr>
            <w:tcW w:w="557" w:type="dxa"/>
            <w:tcBorders>
              <w:top w:val="nil"/>
              <w:left w:val="nil"/>
              <w:bottom w:val="single" w:sz="4" w:space="0" w:color="000000" w:themeColor="text1"/>
              <w:right w:val="nil"/>
            </w:tcBorders>
            <w:vAlign w:val="center"/>
          </w:tcPr>
          <w:p w14:paraId="37CCD186"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0.86</w:t>
            </w:r>
          </w:p>
        </w:tc>
        <w:tc>
          <w:tcPr>
            <w:tcW w:w="552" w:type="dxa"/>
            <w:tcBorders>
              <w:top w:val="nil"/>
              <w:left w:val="nil"/>
              <w:bottom w:val="single" w:sz="4" w:space="0" w:color="000000" w:themeColor="text1"/>
              <w:right w:val="nil"/>
            </w:tcBorders>
            <w:vAlign w:val="center"/>
          </w:tcPr>
          <w:p w14:paraId="478ED141"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0.14</w:t>
            </w:r>
          </w:p>
        </w:tc>
        <w:tc>
          <w:tcPr>
            <w:tcW w:w="567" w:type="dxa"/>
            <w:tcBorders>
              <w:top w:val="nil"/>
              <w:left w:val="nil"/>
              <w:bottom w:val="single" w:sz="4" w:space="0" w:color="000000" w:themeColor="text1"/>
              <w:right w:val="nil"/>
            </w:tcBorders>
            <w:vAlign w:val="center"/>
          </w:tcPr>
          <w:p w14:paraId="4CFE80B5" w14:textId="77777777" w:rsidR="005659AC" w:rsidRPr="005659AC" w:rsidRDefault="005659AC" w:rsidP="00C36ADD">
            <w:pPr>
              <w:autoSpaceDE w:val="0"/>
              <w:autoSpaceDN w:val="0"/>
              <w:adjustRightInd w:val="0"/>
              <w:spacing w:before="40" w:after="40"/>
              <w:jc w:val="center"/>
              <w:rPr>
                <w:rFonts w:cs="Calibri"/>
                <w:b/>
                <w:bCs/>
                <w:color w:val="000000"/>
                <w:sz w:val="14"/>
                <w:szCs w:val="14"/>
                <w:lang w:eastAsia="en-AU"/>
              </w:rPr>
            </w:pPr>
            <w:r w:rsidRPr="005659AC">
              <w:rPr>
                <w:rFonts w:cs="Calibri"/>
                <w:b/>
                <w:bCs/>
                <w:color w:val="000000"/>
                <w:sz w:val="14"/>
                <w:szCs w:val="14"/>
                <w:lang w:eastAsia="en-AU"/>
              </w:rPr>
              <w:t>1.00</w:t>
            </w:r>
          </w:p>
        </w:tc>
      </w:tr>
    </w:tbl>
    <w:p w14:paraId="6C567233" w14:textId="4801F8F0" w:rsidR="004E4B77" w:rsidRPr="008A5BB8" w:rsidRDefault="004E4B77" w:rsidP="00C36ADD">
      <w:pPr>
        <w:rPr>
          <w:color w:val="000000" w:themeColor="text1"/>
        </w:rPr>
      </w:pPr>
    </w:p>
    <w:p w14:paraId="2DF0A634" w14:textId="74CC5F3C" w:rsidR="00A860BC" w:rsidRPr="000443B4" w:rsidRDefault="004E4B77" w:rsidP="00C36ADD">
      <w:pPr>
        <w:rPr>
          <w:color w:val="000000" w:themeColor="text1"/>
        </w:rPr>
      </w:pPr>
      <w:r w:rsidRPr="008A5BB8">
        <w:rPr>
          <w:color w:val="000000" w:themeColor="text1"/>
        </w:rPr>
        <w:br w:type="column"/>
      </w:r>
      <w:r w:rsidR="00A860BC" w:rsidRPr="000443B4">
        <w:rPr>
          <w:color w:val="000000" w:themeColor="text1"/>
        </w:rPr>
        <w:t>Within canopy daily light (I</w:t>
      </w:r>
      <w:r w:rsidR="00A860BC" w:rsidRPr="000443B4">
        <w:rPr>
          <w:color w:val="000000" w:themeColor="text1"/>
          <w:vertAlign w:val="subscript"/>
        </w:rPr>
        <w:t>d</w:t>
      </w:r>
      <w:r w:rsidR="00A860BC" w:rsidRPr="000443B4">
        <w:rPr>
          <w:color w:val="000000" w:themeColor="text1"/>
        </w:rPr>
        <w:t xml:space="preserve">), was lower in </w:t>
      </w:r>
      <w:r w:rsidR="008574EC">
        <w:rPr>
          <w:color w:val="000000" w:themeColor="text1"/>
        </w:rPr>
        <w:t>2016–17</w:t>
      </w:r>
      <w:r w:rsidR="00A860BC" w:rsidRPr="000443B4">
        <w:rPr>
          <w:color w:val="000000" w:themeColor="text1"/>
        </w:rPr>
        <w:t xml:space="preserve"> than the long-term average for the region, </w:t>
      </w:r>
      <w:r w:rsidR="00A860BC">
        <w:rPr>
          <w:color w:val="000000" w:themeColor="text1"/>
        </w:rPr>
        <w:t>due largely to very low light levels at all sites following TC Debbie in March</w:t>
      </w:r>
      <w:r w:rsidR="00A860BC" w:rsidRPr="000443B4">
        <w:rPr>
          <w:color w:val="000000" w:themeColor="text1"/>
        </w:rPr>
        <w:t xml:space="preserve"> (</w:t>
      </w:r>
      <w:r w:rsidR="00A860BC" w:rsidRPr="000443B4">
        <w:rPr>
          <w:color w:val="000000" w:themeColor="text1"/>
        </w:rPr>
        <w:fldChar w:fldCharType="begin"/>
      </w:r>
      <w:r w:rsidR="00A860BC" w:rsidRPr="000443B4">
        <w:rPr>
          <w:color w:val="000000" w:themeColor="text1"/>
        </w:rPr>
        <w:instrText xml:space="preserve"> REF _Ref442348230 \h </w:instrText>
      </w:r>
      <w:r w:rsidR="00A860BC" w:rsidRPr="000443B4">
        <w:rPr>
          <w:color w:val="000000" w:themeColor="text1"/>
        </w:rPr>
      </w:r>
      <w:r w:rsidR="00A860BC" w:rsidRPr="000443B4">
        <w:rPr>
          <w:color w:val="000000" w:themeColor="text1"/>
        </w:rPr>
        <w:fldChar w:fldCharType="separate"/>
      </w:r>
      <w:r w:rsidR="00F87DF9" w:rsidRPr="0079090F">
        <w:t xml:space="preserve">Figure </w:t>
      </w:r>
      <w:r w:rsidR="00F87DF9">
        <w:rPr>
          <w:noProof/>
        </w:rPr>
        <w:t>95</w:t>
      </w:r>
      <w:r w:rsidR="00A860BC" w:rsidRPr="000443B4">
        <w:rPr>
          <w:color w:val="000000" w:themeColor="text1"/>
        </w:rPr>
        <w:fldChar w:fldCharType="end"/>
      </w:r>
      <w:r w:rsidR="00A860BC">
        <w:rPr>
          <w:color w:val="000000" w:themeColor="text1"/>
        </w:rPr>
        <w:t xml:space="preserve">, </w:t>
      </w:r>
      <w:r w:rsidR="00A860BC">
        <w:rPr>
          <w:color w:val="000000" w:themeColor="text1"/>
        </w:rPr>
        <w:fldChar w:fldCharType="begin"/>
      </w:r>
      <w:r w:rsidR="00A860BC">
        <w:rPr>
          <w:color w:val="000000" w:themeColor="text1"/>
        </w:rPr>
        <w:instrText xml:space="preserve"> REF _Ref410307245 \h </w:instrText>
      </w:r>
      <w:r w:rsidR="00A860BC">
        <w:rPr>
          <w:color w:val="000000" w:themeColor="text1"/>
        </w:rPr>
      </w:r>
      <w:r w:rsidR="00A860BC">
        <w:rPr>
          <w:color w:val="000000" w:themeColor="text1"/>
        </w:rPr>
        <w:fldChar w:fldCharType="separate"/>
      </w:r>
      <w:r w:rsidR="00F87DF9" w:rsidRPr="006762AB">
        <w:rPr>
          <w:color w:val="000000"/>
          <w:szCs w:val="22"/>
        </w:rPr>
        <w:t xml:space="preserve">Figure </w:t>
      </w:r>
      <w:r w:rsidR="00F87DF9">
        <w:rPr>
          <w:noProof/>
          <w:color w:val="000000"/>
          <w:szCs w:val="22"/>
        </w:rPr>
        <w:t>160</w:t>
      </w:r>
      <w:r w:rsidR="00A860BC">
        <w:rPr>
          <w:color w:val="000000" w:themeColor="text1"/>
        </w:rPr>
        <w:fldChar w:fldCharType="end"/>
      </w:r>
      <w:r w:rsidR="00A860BC" w:rsidRPr="000443B4">
        <w:rPr>
          <w:color w:val="000000" w:themeColor="text1"/>
        </w:rPr>
        <w:t xml:space="preserve">).  Data retrieval has reduced at two of the three sites because they are now monitored only once per year but despite this, data was recorded on 67% of days at all sites. </w:t>
      </w:r>
    </w:p>
    <w:p w14:paraId="0B901C5F" w14:textId="3B0BFF94" w:rsidR="00583F77" w:rsidRPr="0079090F" w:rsidRDefault="0079090F" w:rsidP="00C36ADD">
      <w:pPr>
        <w:keepNext/>
        <w:widowControl w:val="0"/>
        <w:spacing w:after="0"/>
        <w:jc w:val="center"/>
        <w:rPr>
          <w:color w:val="000000"/>
          <w:szCs w:val="22"/>
        </w:rPr>
      </w:pPr>
      <w:r w:rsidRPr="0079090F">
        <w:rPr>
          <w:noProof/>
          <w:color w:val="000000"/>
          <w:szCs w:val="22"/>
          <w:lang w:eastAsia="en-AU"/>
        </w:rPr>
        <w:drawing>
          <wp:inline distT="0" distB="0" distL="0" distR="0" wp14:anchorId="5658B04C" wp14:editId="11A428EB">
            <wp:extent cx="5759450" cy="2062254"/>
            <wp:effectExtent l="0" t="0" r="0" b="0"/>
            <wp:docPr id="53" name="Picture 53" descr="Plot of mean daily light (all sites pooled) with 28 day rolling average and Generalised Additive Model plot of temporal trends in daily light for each location in the Fitzroy NRM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Fitzroy_Daily&amp;GAM.png"/>
                    <pic:cNvPicPr/>
                  </pic:nvPicPr>
                  <pic:blipFill>
                    <a:blip r:embed="rId133"/>
                    <a:stretch>
                      <a:fillRect/>
                    </a:stretch>
                  </pic:blipFill>
                  <pic:spPr>
                    <a:xfrm>
                      <a:off x="0" y="0"/>
                      <a:ext cx="5759450" cy="2062254"/>
                    </a:xfrm>
                    <a:prstGeom prst="rect">
                      <a:avLst/>
                    </a:prstGeom>
                  </pic:spPr>
                </pic:pic>
              </a:graphicData>
            </a:graphic>
          </wp:inline>
        </w:drawing>
      </w:r>
    </w:p>
    <w:p w14:paraId="204591ED" w14:textId="541779A7" w:rsidR="00FE6AA9" w:rsidRPr="0079090F" w:rsidRDefault="00F520E9" w:rsidP="00C36ADD">
      <w:pPr>
        <w:rPr>
          <w:i/>
          <w:vanish/>
          <w:specVanish/>
        </w:rPr>
      </w:pPr>
      <w:bookmarkStart w:id="527" w:name="_Ref442348230"/>
      <w:bookmarkStart w:id="528" w:name="_Toc516053305"/>
      <w:r w:rsidRPr="0079090F">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95</w:t>
      </w:r>
      <w:r w:rsidR="00C506C7">
        <w:rPr>
          <w:noProof/>
        </w:rPr>
        <w:fldChar w:fldCharType="end"/>
      </w:r>
      <w:bookmarkEnd w:id="527"/>
      <w:r w:rsidRPr="0079090F">
        <w:t>.</w:t>
      </w:r>
      <w:r w:rsidRPr="0079090F">
        <w:rPr>
          <w:color w:val="0000FF"/>
        </w:rPr>
        <w:t xml:space="preserve"> </w:t>
      </w:r>
      <w:r w:rsidR="00FE6AA9" w:rsidRPr="0079090F">
        <w:rPr>
          <w:i/>
        </w:rPr>
        <w:t xml:space="preserve">Mean daily light at Fitzroy sites with 28-d rolling average from 2009 to </w:t>
      </w:r>
      <w:r w:rsidR="006C4D04" w:rsidRPr="006C4D04">
        <w:rPr>
          <w:i/>
          <w:color w:val="000000" w:themeColor="text1"/>
        </w:rPr>
        <w:t>2017</w:t>
      </w:r>
      <w:r w:rsidR="00FE6AA9" w:rsidRPr="0050222B">
        <w:rPr>
          <w:i/>
          <w:color w:val="0000FF"/>
        </w:rPr>
        <w:t xml:space="preserve"> </w:t>
      </w:r>
      <w:r w:rsidR="00FE6AA9" w:rsidRPr="0079090F">
        <w:rPr>
          <w:i/>
        </w:rPr>
        <w:t>(left) and GAM plots (right)</w:t>
      </w:r>
      <w:bookmarkEnd w:id="528"/>
    </w:p>
    <w:p w14:paraId="4D88643F" w14:textId="0870ECEC" w:rsidR="00AA4E0B" w:rsidRPr="00F9462F" w:rsidRDefault="00FE6AA9" w:rsidP="00C36ADD">
      <w:pPr>
        <w:rPr>
          <w:rFonts w:ascii="Arial" w:hAnsi="Arial" w:cs="Arial"/>
          <w:i/>
          <w:color w:val="000000"/>
        </w:rPr>
      </w:pPr>
      <w:r w:rsidRPr="0079090F">
        <w:rPr>
          <w:i/>
        </w:rPr>
        <w:t xml:space="preserve"> with the black line showing mean trend for all sites (±95</w:t>
      </w:r>
      <w:r w:rsidR="0063478C">
        <w:rPr>
          <w:i/>
        </w:rPr>
        <w:t xml:space="preserve"> per cent</w:t>
      </w:r>
      <w:r w:rsidRPr="0079090F">
        <w:rPr>
          <w:i/>
        </w:rPr>
        <w:t xml:space="preserve"> confidence interval in grey shade) and coloured lines (with CI’s) showing the trend for each site. Results of statistical analysis (GAM) and site-specific graphs (site-level daily light data plus 28-d rolling average) are shown in Appendix 4.</w:t>
      </w:r>
    </w:p>
    <w:p w14:paraId="325C726D" w14:textId="5F6E78FB" w:rsidR="00583F77" w:rsidRPr="002E62B0" w:rsidRDefault="00583F77" w:rsidP="00C36ADD">
      <w:pPr>
        <w:rPr>
          <w:rFonts w:ascii="Arial" w:hAnsi="Arial" w:cs="Arial"/>
          <w:color w:val="000000" w:themeColor="text1"/>
        </w:rPr>
      </w:pPr>
      <w:r w:rsidRPr="007C3B04">
        <w:rPr>
          <w:color w:val="000000" w:themeColor="text1"/>
        </w:rPr>
        <w:t xml:space="preserve">Water temperature was </w:t>
      </w:r>
      <w:r w:rsidR="00FA56EE">
        <w:rPr>
          <w:color w:val="000000" w:themeColor="text1"/>
        </w:rPr>
        <w:t>&gt;</w:t>
      </w:r>
      <w:r w:rsidR="000107A5" w:rsidRPr="007C3B04">
        <w:rPr>
          <w:color w:val="000000" w:themeColor="text1"/>
        </w:rPr>
        <w:t xml:space="preserve">2°C </w:t>
      </w:r>
      <w:r w:rsidR="00C21390" w:rsidRPr="007C3B04">
        <w:rPr>
          <w:color w:val="000000" w:themeColor="text1"/>
        </w:rPr>
        <w:t xml:space="preserve">higher </w:t>
      </w:r>
      <w:r w:rsidR="007C3B04" w:rsidRPr="007C3B04">
        <w:rPr>
          <w:color w:val="000000" w:themeColor="text1"/>
        </w:rPr>
        <w:t xml:space="preserve">in </w:t>
      </w:r>
      <w:r w:rsidR="008574EC">
        <w:rPr>
          <w:color w:val="000000" w:themeColor="text1"/>
        </w:rPr>
        <w:t>2016–17</w:t>
      </w:r>
      <w:r w:rsidR="007C3B04" w:rsidRPr="007C3B04">
        <w:rPr>
          <w:color w:val="000000" w:themeColor="text1"/>
        </w:rPr>
        <w:t xml:space="preserve"> on average </w:t>
      </w:r>
      <w:r w:rsidR="00C21390" w:rsidRPr="007C3B04">
        <w:rPr>
          <w:color w:val="000000" w:themeColor="text1"/>
        </w:rPr>
        <w:t>than</w:t>
      </w:r>
      <w:r w:rsidRPr="007C3B04">
        <w:rPr>
          <w:color w:val="000000" w:themeColor="text1"/>
        </w:rPr>
        <w:t xml:space="preserve"> the long-term </w:t>
      </w:r>
      <w:r w:rsidR="007C3B04" w:rsidRPr="007C3B04">
        <w:rPr>
          <w:color w:val="000000" w:themeColor="text1"/>
        </w:rPr>
        <w:t xml:space="preserve">average (since 2005-06) </w:t>
      </w:r>
      <w:r w:rsidRPr="007C3B04">
        <w:rPr>
          <w:color w:val="000000" w:themeColor="text1"/>
        </w:rPr>
        <w:t>for this region</w:t>
      </w:r>
      <w:r w:rsidR="000A7F3B" w:rsidRPr="007C3B04">
        <w:rPr>
          <w:color w:val="000000" w:themeColor="text1"/>
        </w:rPr>
        <w:t xml:space="preserve"> (</w:t>
      </w:r>
      <w:r w:rsidR="000A7F3B" w:rsidRPr="007C3B04">
        <w:rPr>
          <w:color w:val="000000" w:themeColor="text1"/>
        </w:rPr>
        <w:fldChar w:fldCharType="begin"/>
      </w:r>
      <w:r w:rsidR="000A7F3B" w:rsidRPr="007C3B04">
        <w:rPr>
          <w:color w:val="000000" w:themeColor="text1"/>
        </w:rPr>
        <w:instrText xml:space="preserve"> REF _Ref442348310 \h </w:instrText>
      </w:r>
      <w:r w:rsidR="000A7F3B" w:rsidRPr="007C3B04">
        <w:rPr>
          <w:color w:val="000000" w:themeColor="text1"/>
        </w:rPr>
      </w:r>
      <w:r w:rsidR="000A7F3B" w:rsidRPr="007C3B04">
        <w:rPr>
          <w:color w:val="000000" w:themeColor="text1"/>
        </w:rPr>
        <w:fldChar w:fldCharType="separate"/>
      </w:r>
      <w:r w:rsidR="00F87DF9" w:rsidRPr="00EA10D7">
        <w:rPr>
          <w:color w:val="000000"/>
        </w:rPr>
        <w:t xml:space="preserve">Figure </w:t>
      </w:r>
      <w:r w:rsidR="00F87DF9">
        <w:rPr>
          <w:noProof/>
          <w:color w:val="000000"/>
        </w:rPr>
        <w:t>96</w:t>
      </w:r>
      <w:r w:rsidR="000A7F3B" w:rsidRPr="007C3B04">
        <w:rPr>
          <w:color w:val="000000" w:themeColor="text1"/>
        </w:rPr>
        <w:fldChar w:fldCharType="end"/>
      </w:r>
      <w:r w:rsidR="000A7F3B" w:rsidRPr="007C3B04">
        <w:rPr>
          <w:color w:val="000000" w:themeColor="text1"/>
        </w:rPr>
        <w:t>)</w:t>
      </w:r>
      <w:r w:rsidRPr="007C3B04">
        <w:rPr>
          <w:color w:val="000000" w:themeColor="text1"/>
        </w:rPr>
        <w:t xml:space="preserve">. There were a </w:t>
      </w:r>
      <w:r w:rsidR="00F15A46" w:rsidRPr="007C3B04">
        <w:rPr>
          <w:color w:val="000000" w:themeColor="text1"/>
        </w:rPr>
        <w:t xml:space="preserve">record </w:t>
      </w:r>
      <w:r w:rsidR="007C3B04" w:rsidRPr="007C3B04">
        <w:rPr>
          <w:color w:val="000000" w:themeColor="text1"/>
        </w:rPr>
        <w:t>number of days (70</w:t>
      </w:r>
      <w:r w:rsidR="00D91A9B" w:rsidRPr="007C3B04">
        <w:rPr>
          <w:color w:val="000000" w:themeColor="text1"/>
        </w:rPr>
        <w:t xml:space="preserve">) exceeding 35°C, </w:t>
      </w:r>
      <w:r w:rsidR="007C3B04" w:rsidRPr="007C3B04">
        <w:rPr>
          <w:color w:val="000000" w:themeColor="text1"/>
        </w:rPr>
        <w:t>and 2</w:t>
      </w:r>
      <w:r w:rsidR="00D91A9B" w:rsidRPr="007C3B04">
        <w:rPr>
          <w:color w:val="000000" w:themeColor="text1"/>
        </w:rPr>
        <w:t xml:space="preserve"> days where water temperature exceeded extreme thresholds (&gt;40</w:t>
      </w:r>
      <w:r w:rsidR="00587E10" w:rsidRPr="007C3B04">
        <w:rPr>
          <w:color w:val="000000" w:themeColor="text1"/>
        </w:rPr>
        <w:t>°</w:t>
      </w:r>
      <w:r w:rsidR="00D91A9B" w:rsidRPr="007C3B04">
        <w:rPr>
          <w:color w:val="000000" w:themeColor="text1"/>
        </w:rPr>
        <w:t>C)</w:t>
      </w:r>
      <w:r w:rsidR="007C3B04">
        <w:rPr>
          <w:color w:val="000000" w:themeColor="text1"/>
        </w:rPr>
        <w:t xml:space="preserve"> in December 2016 and january 2017 in Shoalwater Bay</w:t>
      </w:r>
      <w:r w:rsidR="00D91A9B" w:rsidRPr="007C3B04">
        <w:rPr>
          <w:color w:val="000000" w:themeColor="text1"/>
        </w:rPr>
        <w:t xml:space="preserve">. There was also </w:t>
      </w:r>
      <w:r w:rsidRPr="007C3B04">
        <w:rPr>
          <w:color w:val="000000" w:themeColor="text1"/>
        </w:rPr>
        <w:t xml:space="preserve">frequent </w:t>
      </w:r>
      <w:r w:rsidR="00D91A9B" w:rsidRPr="007C3B04">
        <w:rPr>
          <w:color w:val="000000" w:themeColor="text1"/>
        </w:rPr>
        <w:t xml:space="preserve">warm </w:t>
      </w:r>
      <w:r w:rsidRPr="007C3B04">
        <w:rPr>
          <w:color w:val="000000" w:themeColor="text1"/>
        </w:rPr>
        <w:t xml:space="preserve">deviation from the baseline. </w:t>
      </w:r>
      <w:r w:rsidR="00D91A9B" w:rsidRPr="007C3B04">
        <w:rPr>
          <w:color w:val="000000" w:themeColor="text1"/>
        </w:rPr>
        <w:t>These temperatures would not be expected to cause significant photoinhibition</w:t>
      </w:r>
      <w:r w:rsidR="007C3B04">
        <w:rPr>
          <w:color w:val="000000" w:themeColor="text1"/>
        </w:rPr>
        <w:t xml:space="preserve"> because the extreme temperatures were exceeded only twice</w:t>
      </w:r>
      <w:r w:rsidR="00D91A9B" w:rsidRPr="007C3B04">
        <w:rPr>
          <w:color w:val="000000" w:themeColor="text1"/>
        </w:rPr>
        <w:t xml:space="preserve"> (</w:t>
      </w:r>
      <w:hyperlink w:anchor="_ENREF_30" w:tooltip="Campbell, 2006 #2896" w:history="1">
        <w:r w:rsidR="00305FE7" w:rsidRPr="007C3B04">
          <w:rPr>
            <w:color w:val="000000" w:themeColor="text1"/>
          </w:rPr>
          <w:fldChar w:fldCharType="begin"/>
        </w:r>
        <w:r w:rsidR="00305FE7">
          <w:rPr>
            <w:color w:val="000000" w:themeColor="text1"/>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sidRPr="007C3B04">
          <w:rPr>
            <w:color w:val="000000" w:themeColor="text1"/>
          </w:rPr>
          <w:fldChar w:fldCharType="separate"/>
        </w:r>
        <w:r w:rsidR="00305FE7">
          <w:rPr>
            <w:noProof/>
            <w:color w:val="000000" w:themeColor="text1"/>
          </w:rPr>
          <w:t>Campbell</w:t>
        </w:r>
        <w:r w:rsidR="00305FE7" w:rsidRPr="00521D93">
          <w:rPr>
            <w:i/>
            <w:noProof/>
            <w:color w:val="000000" w:themeColor="text1"/>
          </w:rPr>
          <w:t xml:space="preserve"> et al.</w:t>
        </w:r>
        <w:r w:rsidR="00305FE7">
          <w:rPr>
            <w:noProof/>
            <w:color w:val="000000" w:themeColor="text1"/>
          </w:rPr>
          <w:t xml:space="preserve"> 2006</w:t>
        </w:r>
        <w:r w:rsidR="00305FE7" w:rsidRPr="007C3B04">
          <w:rPr>
            <w:color w:val="000000" w:themeColor="text1"/>
          </w:rPr>
          <w:fldChar w:fldCharType="end"/>
        </w:r>
      </w:hyperlink>
      <w:r w:rsidR="00D91A9B" w:rsidRPr="007C3B04">
        <w:rPr>
          <w:color w:val="000000" w:themeColor="text1"/>
        </w:rPr>
        <w:t xml:space="preserve">), but </w:t>
      </w:r>
      <w:r w:rsidR="007C3B04">
        <w:rPr>
          <w:color w:val="000000" w:themeColor="text1"/>
        </w:rPr>
        <w:t xml:space="preserve">the record number of days deviating from the baseline </w:t>
      </w:r>
      <w:r w:rsidR="00D91A9B" w:rsidRPr="007C3B04">
        <w:rPr>
          <w:color w:val="000000" w:themeColor="text1"/>
        </w:rPr>
        <w:t>may cause chronic cumulative stress (</w:t>
      </w:r>
      <w:hyperlink w:anchor="_ENREF_56" w:tooltip="Collier, 2011 #9244" w:history="1">
        <w:r w:rsidR="00305FE7" w:rsidRPr="007C3B04">
          <w:rPr>
            <w:color w:val="000000" w:themeColor="text1"/>
          </w:rPr>
          <w:fldChar w:fldCharType="begin"/>
        </w:r>
        <w:r w:rsidR="00305FE7">
          <w:rPr>
            <w:color w:val="000000" w:themeColor="text1"/>
          </w:rPr>
          <w:instrText xml:space="preserve"> ADDIN EN.CITE &lt;EndNote&gt;&lt;Cite&gt;&lt;Author&gt;Collier&lt;/Author&gt;&lt;Year&gt;2011&lt;/Year&gt;&lt;RecNum&gt;9244&lt;/RecNum&gt;&lt;DisplayText&gt;Collier&lt;style face="italic"&gt; et al.&lt;/style&gt; 2011&lt;/DisplayText&gt;&lt;record&gt;&lt;rec-number&gt;9244&lt;/rec-number&gt;&lt;foreign-keys&gt;&lt;key app="EN" db-id="0eve55x9y5vfd6e9dacxtew4eatve2dzds9a" timestamp="1375003732"&gt;9244&lt;/key&gt;&lt;/foreign-keys&gt;&lt;ref-type name="Journal Article"&gt;17&lt;/ref-type&gt;&lt;contributors&gt;&lt;authors&gt;&lt;author&gt;Collier, C.J.&lt;/author&gt;&lt;author&gt;Uthicke, S.&lt;/author&gt;&lt;author&gt;Waycott, M.&lt;/author&gt;&lt;/authors&gt;&lt;/contributors&gt;&lt;titles&gt;&lt;title&gt;Thermal tolerance of two seagrass species at contrasting light levels: Implications for future distribution in the Great Barrier Reef&lt;/title&gt;&lt;secondary-title&gt;Limnology &amp;amp; Oceanography&lt;/secondary-title&gt;&lt;/titles&gt;&lt;periodical&gt;&lt;full-title&gt;Limnology &amp;amp; Oceanography&lt;/full-title&gt;&lt;/periodical&gt;&lt;pages&gt;2200-2210&lt;/pages&gt;&lt;volume&gt;56&lt;/volume&gt;&lt;number&gt;6&lt;/number&gt;&lt;dates&gt;&lt;year&gt;2011&lt;/year&gt;&lt;/dates&gt;&lt;urls&gt;&lt;/urls&gt;&lt;/record&gt;&lt;/Cite&gt;&lt;/EndNote&gt;</w:instrText>
        </w:r>
        <w:r w:rsidR="00305FE7" w:rsidRPr="007C3B04">
          <w:rPr>
            <w:color w:val="000000" w:themeColor="text1"/>
          </w:rPr>
          <w:fldChar w:fldCharType="separate"/>
        </w:r>
        <w:r w:rsidR="00305FE7">
          <w:rPr>
            <w:noProof/>
            <w:color w:val="000000" w:themeColor="text1"/>
          </w:rPr>
          <w:t>Collier</w:t>
        </w:r>
        <w:r w:rsidR="00305FE7" w:rsidRPr="00521D93">
          <w:rPr>
            <w:i/>
            <w:noProof/>
            <w:color w:val="000000" w:themeColor="text1"/>
          </w:rPr>
          <w:t xml:space="preserve"> et al.</w:t>
        </w:r>
        <w:r w:rsidR="00305FE7">
          <w:rPr>
            <w:noProof/>
            <w:color w:val="000000" w:themeColor="text1"/>
          </w:rPr>
          <w:t xml:space="preserve"> 2011</w:t>
        </w:r>
        <w:r w:rsidR="00305FE7" w:rsidRPr="007C3B04">
          <w:rPr>
            <w:color w:val="000000" w:themeColor="text1"/>
          </w:rPr>
          <w:fldChar w:fldCharType="end"/>
        </w:r>
      </w:hyperlink>
      <w:r w:rsidR="00D91A9B" w:rsidRPr="007C3B04">
        <w:rPr>
          <w:color w:val="000000" w:themeColor="text1"/>
        </w:rPr>
        <w:t xml:space="preserve">). </w:t>
      </w:r>
      <w:r w:rsidR="007C3B04" w:rsidRPr="005813A5">
        <w:rPr>
          <w:color w:val="000000" w:themeColor="text1"/>
        </w:rPr>
        <w:t>D</w:t>
      </w:r>
      <w:r w:rsidRPr="005813A5">
        <w:rPr>
          <w:color w:val="000000" w:themeColor="text1"/>
        </w:rPr>
        <w:t xml:space="preserve">aily tide exposure </w:t>
      </w:r>
      <w:r w:rsidR="00587E10" w:rsidRPr="005813A5">
        <w:rPr>
          <w:color w:val="000000" w:themeColor="text1"/>
        </w:rPr>
        <w:t xml:space="preserve">was also greater than the long-term average, most likely contributing to the </w:t>
      </w:r>
      <w:r w:rsidR="002E62B0" w:rsidRPr="005813A5">
        <w:rPr>
          <w:color w:val="000000" w:themeColor="text1"/>
        </w:rPr>
        <w:t>anomalously</w:t>
      </w:r>
      <w:r w:rsidR="00587E10" w:rsidRPr="005813A5">
        <w:rPr>
          <w:color w:val="000000" w:themeColor="text1"/>
        </w:rPr>
        <w:t xml:space="preserve"> warm conditions</w:t>
      </w:r>
      <w:r w:rsidRPr="005813A5">
        <w:rPr>
          <w:color w:val="000000" w:themeColor="text1"/>
        </w:rPr>
        <w:t>.</w:t>
      </w:r>
      <w:r w:rsidRPr="002E62B0">
        <w:rPr>
          <w:color w:val="000000" w:themeColor="text1"/>
        </w:rPr>
        <w:t xml:space="preserve"> </w:t>
      </w:r>
    </w:p>
    <w:p w14:paraId="1F9E9192" w14:textId="77777777" w:rsidR="00583F77" w:rsidRDefault="006D0E2B" w:rsidP="00C36ADD">
      <w:pPr>
        <w:jc w:val="center"/>
        <w:rPr>
          <w:color w:val="000000"/>
          <w:szCs w:val="22"/>
        </w:rPr>
      </w:pPr>
      <w:r>
        <w:rPr>
          <w:noProof/>
          <w:color w:val="000000"/>
          <w:szCs w:val="22"/>
          <w:lang w:eastAsia="en-AU"/>
        </w:rPr>
        <w:drawing>
          <wp:inline distT="0" distB="0" distL="0" distR="0" wp14:anchorId="23A05591" wp14:editId="051A0364">
            <wp:extent cx="5040000" cy="2691621"/>
            <wp:effectExtent l="0" t="0" r="8255" b="0"/>
            <wp:docPr id="10151" name="Picture 10151" descr="Panel of two bar graphs showing number of days when inshore within canopy sea temperature exceeded 35°C, 38°C, 40°C and 43°C within each season and deviations at intertidal seagrass habitats from 11-year mean weekly temperature records for intertidal seagrass habitats in the Fitzroy NRM region from May 2007 to Ma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1" name="F_temperature_deviation_2016.png"/>
                    <pic:cNvPicPr/>
                  </pic:nvPicPr>
                  <pic:blipFill>
                    <a:blip r:embed="rId134">
                      <a:extLst>
                        <a:ext uri="{28A0092B-C50C-407E-A947-70E740481C1C}">
                          <a14:useLocalDpi xmlns:a14="http://schemas.microsoft.com/office/drawing/2010/main" val="0"/>
                        </a:ext>
                      </a:extLst>
                    </a:blip>
                    <a:stretch>
                      <a:fillRect/>
                    </a:stretch>
                  </pic:blipFill>
                  <pic:spPr>
                    <a:xfrm>
                      <a:off x="0" y="0"/>
                      <a:ext cx="5040000" cy="2691621"/>
                    </a:xfrm>
                    <a:prstGeom prst="rect">
                      <a:avLst/>
                    </a:prstGeom>
                  </pic:spPr>
                </pic:pic>
              </a:graphicData>
            </a:graphic>
          </wp:inline>
        </w:drawing>
      </w:r>
    </w:p>
    <w:p w14:paraId="21435CF1" w14:textId="32347CD6" w:rsidR="00583F77" w:rsidRPr="004B6C75" w:rsidRDefault="00583F77" w:rsidP="00C36ADD">
      <w:pPr>
        <w:rPr>
          <w:i/>
          <w:vanish/>
          <w:szCs w:val="22"/>
          <w:specVanish/>
        </w:rPr>
      </w:pPr>
      <w:bookmarkStart w:id="529" w:name="_Ref442348310"/>
      <w:bookmarkStart w:id="530" w:name="_Toc516053306"/>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96</w:t>
      </w:r>
      <w:r w:rsidR="0073595B">
        <w:rPr>
          <w:color w:val="000000"/>
        </w:rPr>
        <w:fldChar w:fldCharType="end"/>
      </w:r>
      <w:bookmarkEnd w:id="529"/>
      <w:r w:rsidRPr="00EA10D7">
        <w:rPr>
          <w:color w:val="000000"/>
        </w:rPr>
        <w:t xml:space="preserve">. </w:t>
      </w:r>
      <w:r w:rsidRPr="00EA10D7">
        <w:rPr>
          <w:i/>
          <w:color w:val="000000"/>
        </w:rPr>
        <w:t xml:space="preserve">Inshore sea temperatures within each intertidal seagrass habitat in the </w:t>
      </w:r>
      <w:r>
        <w:rPr>
          <w:i/>
          <w:color w:val="000000"/>
        </w:rPr>
        <w:t>Fitzroy</w:t>
      </w:r>
      <w:r w:rsidRPr="00EA10D7">
        <w:rPr>
          <w:i/>
          <w:color w:val="000000"/>
        </w:rPr>
        <w:t xml:space="preserve"> region, </w:t>
      </w:r>
      <w:r w:rsidR="0050222B">
        <w:rPr>
          <w:i/>
          <w:color w:val="000000"/>
        </w:rPr>
        <w:t>June</w:t>
      </w:r>
      <w:r w:rsidR="00F45DFA">
        <w:rPr>
          <w:i/>
          <w:color w:val="000000"/>
        </w:rPr>
        <w:t xml:space="preserve"> </w:t>
      </w:r>
      <w:r w:rsidR="00F45DFA" w:rsidRPr="004B6C75">
        <w:rPr>
          <w:i/>
        </w:rPr>
        <w:t>2007</w:t>
      </w:r>
      <w:r w:rsidRPr="004B6C75">
        <w:rPr>
          <w:i/>
        </w:rPr>
        <w:t xml:space="preserve"> - </w:t>
      </w:r>
      <w:r w:rsidR="0050222B" w:rsidRPr="004B6C75">
        <w:rPr>
          <w:i/>
        </w:rPr>
        <w:t>May</w:t>
      </w:r>
      <w:r w:rsidRPr="004B6C75">
        <w:rPr>
          <w:i/>
        </w:rPr>
        <w:t xml:space="preserve"> 201</w:t>
      </w:r>
      <w:r w:rsidR="004B6C75" w:rsidRPr="004B6C75">
        <w:rPr>
          <w:i/>
        </w:rPr>
        <w:t>7</w:t>
      </w:r>
      <w:bookmarkEnd w:id="530"/>
    </w:p>
    <w:p w14:paraId="3051474B" w14:textId="06290821" w:rsidR="00583F77" w:rsidRPr="00EA10D7" w:rsidRDefault="00583F77" w:rsidP="00C36ADD">
      <w:pPr>
        <w:rPr>
          <w:color w:val="000000"/>
        </w:rPr>
      </w:pPr>
      <w:r w:rsidRPr="004B6C75">
        <w:rPr>
          <w:i/>
        </w:rPr>
        <w:t xml:space="preserve">: a) number of days when temperature has exceeded 35°C, 38°C, 40°C and 43°C </w:t>
      </w:r>
      <w:r w:rsidRPr="00EA10D7">
        <w:rPr>
          <w:i/>
          <w:color w:val="000000"/>
        </w:rPr>
        <w:t xml:space="preserve">within each season (thresholds adapted from </w:t>
      </w:r>
      <w:hyperlink w:anchor="_ENREF_30" w:tooltip="Campbell, 2006 #2896" w:history="1">
        <w:r w:rsidR="00305FE7">
          <w:rPr>
            <w:i/>
            <w:color w:val="000000"/>
          </w:rPr>
          <w:fldChar w:fldCharType="begin"/>
        </w:r>
        <w:r w:rsidR="00305FE7">
          <w:rPr>
            <w:i/>
            <w:color w:val="000000"/>
          </w:rPr>
          <w:instrText xml:space="preserve"> ADDIN EN.CITE &lt;EndNote&gt;&lt;Cite&gt;&lt;Author&gt;Campbell&lt;/Author&gt;&lt;Year&gt;2006&lt;/Year&gt;&lt;RecNum&gt;2896&lt;/RecNum&gt;&lt;DisplayText&gt;Campbell&lt;style face="italic"&gt; et al.&lt;/style&gt; 2006&lt;/DisplayText&gt;&lt;record&gt;&lt;rec-number&gt;2896&lt;/rec-number&gt;&lt;foreign-keys&gt;&lt;key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305FE7">
          <w:rPr>
            <w:i/>
            <w:color w:val="000000"/>
          </w:rPr>
          <w:fldChar w:fldCharType="separate"/>
        </w:r>
        <w:r w:rsidR="00305FE7">
          <w:rPr>
            <w:i/>
            <w:noProof/>
            <w:color w:val="000000"/>
          </w:rPr>
          <w:t>Campbell et al. 2006</w:t>
        </w:r>
        <w:r w:rsidR="00305FE7">
          <w:rPr>
            <w:i/>
            <w:color w:val="000000"/>
          </w:rPr>
          <w:fldChar w:fldCharType="end"/>
        </w:r>
      </w:hyperlink>
      <w:r w:rsidRPr="00EA10D7">
        <w:rPr>
          <w:i/>
          <w:color w:val="000000"/>
        </w:rPr>
        <w:t>); b) deviations from 1</w:t>
      </w:r>
      <w:r>
        <w:rPr>
          <w:i/>
          <w:color w:val="000000"/>
        </w:rPr>
        <w:t>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Pr="00EA10D7">
        <w:rPr>
          <w:color w:val="000000"/>
        </w:rPr>
        <w:t xml:space="preserve"> </w:t>
      </w:r>
    </w:p>
    <w:p w14:paraId="3928D57F" w14:textId="77777777" w:rsidR="00FB58CF" w:rsidRDefault="00FF0A86" w:rsidP="00926892">
      <w:pPr>
        <w:pStyle w:val="Heading3"/>
        <w:numPr>
          <w:ilvl w:val="2"/>
          <w:numId w:val="9"/>
        </w:numPr>
        <w:rPr>
          <w:rFonts w:ascii="Arial" w:hAnsi="Arial" w:cs="Arial"/>
          <w:color w:val="000000"/>
        </w:rPr>
      </w:pPr>
      <w:bookmarkStart w:id="531" w:name="_Toc516053164"/>
      <w:r>
        <w:rPr>
          <w:rFonts w:ascii="Arial" w:hAnsi="Arial" w:cs="Arial"/>
          <w:color w:val="000000"/>
        </w:rPr>
        <w:t>Indicators of seagrass condition</w:t>
      </w:r>
      <w:bookmarkEnd w:id="531"/>
    </w:p>
    <w:p w14:paraId="2502FB2A" w14:textId="2C241C83" w:rsidR="00995B85" w:rsidRDefault="00995B85" w:rsidP="00C36ADD">
      <w:pPr>
        <w:rPr>
          <w:lang w:eastAsia="x-none"/>
        </w:rPr>
      </w:pPr>
      <w:r>
        <w:rPr>
          <w:lang w:eastAsia="x-none"/>
        </w:rPr>
        <w:t>Three</w:t>
      </w:r>
      <w:r w:rsidRPr="00995B85">
        <w:rPr>
          <w:lang w:eastAsia="x-none"/>
        </w:rPr>
        <w:t xml:space="preserve"> seagrass habitat types were assessed across the </w:t>
      </w:r>
      <w:r>
        <w:rPr>
          <w:lang w:eastAsia="x-none"/>
        </w:rPr>
        <w:t>Fitzroy</w:t>
      </w:r>
      <w:r w:rsidRPr="00995B85">
        <w:rPr>
          <w:lang w:eastAsia="x-none"/>
        </w:rPr>
        <w:t xml:space="preserve"> region in </w:t>
      </w:r>
      <w:r w:rsidR="008574EC">
        <w:rPr>
          <w:lang w:eastAsia="x-none"/>
        </w:rPr>
        <w:t>2016–17</w:t>
      </w:r>
      <w:r w:rsidRPr="00995B85">
        <w:rPr>
          <w:lang w:eastAsia="x-none"/>
        </w:rPr>
        <w:t xml:space="preserve">, with data from </w:t>
      </w:r>
      <w:r>
        <w:rPr>
          <w:lang w:eastAsia="x-none"/>
        </w:rPr>
        <w:t>6</w:t>
      </w:r>
      <w:r w:rsidRPr="00995B85">
        <w:rPr>
          <w:lang w:eastAsia="x-none"/>
        </w:rPr>
        <w:t xml:space="preserve"> sites (</w:t>
      </w:r>
      <w:r>
        <w:rPr>
          <w:lang w:eastAsia="x-none"/>
        </w:rPr>
        <w:fldChar w:fldCharType="begin"/>
      </w:r>
      <w:r>
        <w:rPr>
          <w:lang w:eastAsia="x-none"/>
        </w:rPr>
        <w:instrText xml:space="preserve"> REF _Ref473898487 \h </w:instrText>
      </w:r>
      <w:r>
        <w:rPr>
          <w:lang w:eastAsia="x-none"/>
        </w:rPr>
      </w:r>
      <w:r>
        <w:rPr>
          <w:lang w:eastAsia="x-none"/>
        </w:rPr>
        <w:fldChar w:fldCharType="separate"/>
      </w:r>
      <w:r w:rsidR="00F87DF9">
        <w:t xml:space="preserve">Table </w:t>
      </w:r>
      <w:r w:rsidR="00F87DF9">
        <w:rPr>
          <w:noProof/>
        </w:rPr>
        <w:t>30</w:t>
      </w:r>
      <w:r>
        <w:rPr>
          <w:lang w:eastAsia="x-none"/>
        </w:rPr>
        <w:fldChar w:fldCharType="end"/>
      </w:r>
      <w:r w:rsidRPr="00995B85">
        <w:rPr>
          <w:lang w:eastAsia="x-none"/>
        </w:rPr>
        <w:t>).</w:t>
      </w:r>
    </w:p>
    <w:p w14:paraId="37B9537A" w14:textId="22CA9236" w:rsidR="00995B85" w:rsidRPr="00064DB3" w:rsidRDefault="00995B85" w:rsidP="00C36ADD">
      <w:pPr>
        <w:rPr>
          <w:i/>
          <w:vanish/>
          <w:szCs w:val="22"/>
          <w:specVanish/>
        </w:rPr>
      </w:pPr>
      <w:bookmarkStart w:id="532" w:name="_Ref473898487"/>
      <w:bookmarkStart w:id="533" w:name="_Toc516053454"/>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30</w:t>
      </w:r>
      <w:r w:rsidR="00C506C7">
        <w:rPr>
          <w:noProof/>
        </w:rPr>
        <w:fldChar w:fldCharType="end"/>
      </w:r>
      <w:bookmarkEnd w:id="532"/>
      <w:r>
        <w:t xml:space="preserve">. </w:t>
      </w:r>
      <w:r w:rsidRPr="00995B85">
        <w:rPr>
          <w:i/>
        </w:rPr>
        <w:t>List of data sources of seagrass and environmental condition indicators for each seagrass habitat type in the Fitzroy NRM region.</w:t>
      </w:r>
      <w:bookmarkEnd w:id="533"/>
    </w:p>
    <w:p w14:paraId="343B3C0B" w14:textId="0ADE5A98" w:rsidR="00995B85" w:rsidRPr="00995B85" w:rsidRDefault="00995B85" w:rsidP="00C36ADD">
      <w:pPr>
        <w:pStyle w:val="Caption"/>
        <w:rPr>
          <w:i/>
          <w:color w:val="000000"/>
          <w:szCs w:val="22"/>
        </w:rPr>
      </w:pPr>
      <w:r w:rsidRPr="00995B85">
        <w:rPr>
          <w:i/>
        </w:rPr>
        <w:t xml:space="preserve">  For site details see </w:t>
      </w:r>
      <w:r>
        <w:rPr>
          <w:i/>
        </w:rPr>
        <w:fldChar w:fldCharType="begin"/>
      </w:r>
      <w:r>
        <w:rPr>
          <w:i/>
        </w:rPr>
        <w:instrText xml:space="preserve"> REF _Ref236539751 \h </w:instrText>
      </w:r>
      <w:r>
        <w:rPr>
          <w:i/>
        </w:rPr>
      </w:r>
      <w:r>
        <w:rPr>
          <w:i/>
        </w:rPr>
        <w:fldChar w:fldCharType="separate"/>
      </w:r>
      <w:r w:rsidR="00F87DF9" w:rsidRPr="00015190">
        <w:rPr>
          <w:color w:val="000000"/>
          <w:szCs w:val="22"/>
        </w:rPr>
        <w:t xml:space="preserve">Table </w:t>
      </w:r>
      <w:r w:rsidR="00F87DF9">
        <w:rPr>
          <w:noProof/>
          <w:color w:val="000000"/>
          <w:szCs w:val="22"/>
        </w:rPr>
        <w:t>3</w:t>
      </w:r>
      <w:r>
        <w:rPr>
          <w:i/>
        </w:rPr>
        <w:fldChar w:fldCharType="end"/>
      </w:r>
      <w:r w:rsidRPr="00995B85">
        <w:rPr>
          <w:i/>
        </w:rPr>
        <w:t xml:space="preserve"> and </w:t>
      </w:r>
      <w:r>
        <w:rPr>
          <w:i/>
        </w:rPr>
        <w:fldChar w:fldCharType="begin"/>
      </w:r>
      <w:r>
        <w:rPr>
          <w:i/>
        </w:rPr>
        <w:instrText xml:space="preserve"> REF _Ref461186562 \h </w:instrText>
      </w:r>
      <w:r>
        <w:rPr>
          <w:i/>
        </w:rPr>
      </w:r>
      <w:r>
        <w:rPr>
          <w:i/>
        </w:rPr>
        <w:fldChar w:fldCharType="separate"/>
      </w:r>
      <w:r w:rsidR="00F87DF9" w:rsidRPr="00015190">
        <w:rPr>
          <w:color w:val="000000"/>
          <w:szCs w:val="22"/>
        </w:rPr>
        <w:t xml:space="preserve">Table </w:t>
      </w:r>
      <w:r w:rsidR="00F87DF9">
        <w:rPr>
          <w:noProof/>
          <w:color w:val="000000"/>
          <w:szCs w:val="22"/>
        </w:rPr>
        <w:t>4</w:t>
      </w:r>
      <w:r>
        <w:rPr>
          <w:i/>
        </w:rPr>
        <w:fldChar w:fldCharType="end"/>
      </w:r>
      <w:r w:rsidRPr="00995B85">
        <w:rPr>
          <w:i/>
        </w:rPr>
        <w:t>.</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4"/>
        <w:gridCol w:w="674"/>
        <w:gridCol w:w="2804"/>
        <w:gridCol w:w="467"/>
        <w:gridCol w:w="467"/>
        <w:gridCol w:w="467"/>
        <w:gridCol w:w="467"/>
        <w:gridCol w:w="467"/>
        <w:gridCol w:w="467"/>
        <w:gridCol w:w="467"/>
        <w:gridCol w:w="467"/>
        <w:gridCol w:w="467"/>
      </w:tblGrid>
      <w:tr w:rsidR="00995B85" w:rsidRPr="00995B85" w14:paraId="6023584D" w14:textId="77777777" w:rsidTr="00995B85">
        <w:trPr>
          <w:cantSplit/>
          <w:trHeight w:val="1727"/>
          <w:jc w:val="center"/>
        </w:trPr>
        <w:tc>
          <w:tcPr>
            <w:tcW w:w="1714" w:type="dxa"/>
            <w:shd w:val="clear" w:color="auto" w:fill="BBE0E3"/>
            <w:vAlign w:val="center"/>
          </w:tcPr>
          <w:p w14:paraId="5F7B314F" w14:textId="77777777" w:rsidR="00995B85" w:rsidRPr="00995B85" w:rsidRDefault="00995B85" w:rsidP="00C36ADD">
            <w:pPr>
              <w:spacing w:before="0" w:after="0"/>
              <w:jc w:val="center"/>
              <w:rPr>
                <w:rFonts w:cs="Arial"/>
                <w:b/>
                <w:bCs/>
                <w:color w:val="000000"/>
                <w:sz w:val="20"/>
                <w:szCs w:val="20"/>
              </w:rPr>
            </w:pPr>
            <w:r w:rsidRPr="00995B85">
              <w:rPr>
                <w:rFonts w:cs="Arial"/>
                <w:b/>
                <w:bCs/>
                <w:color w:val="000000"/>
                <w:sz w:val="20"/>
                <w:szCs w:val="20"/>
              </w:rPr>
              <w:t>Habitat</w:t>
            </w:r>
          </w:p>
        </w:tc>
        <w:tc>
          <w:tcPr>
            <w:tcW w:w="3478" w:type="dxa"/>
            <w:gridSpan w:val="2"/>
            <w:shd w:val="clear" w:color="auto" w:fill="BBE0E3"/>
            <w:noWrap/>
            <w:vAlign w:val="center"/>
          </w:tcPr>
          <w:p w14:paraId="141F9033" w14:textId="77777777" w:rsidR="00995B85" w:rsidRPr="00995B85" w:rsidRDefault="00995B85" w:rsidP="00C36ADD">
            <w:pPr>
              <w:spacing w:before="0" w:after="0"/>
              <w:jc w:val="center"/>
              <w:rPr>
                <w:rFonts w:cs="Arial"/>
                <w:b/>
                <w:bCs/>
                <w:color w:val="000000"/>
                <w:sz w:val="20"/>
                <w:szCs w:val="20"/>
              </w:rPr>
            </w:pPr>
            <w:r w:rsidRPr="00995B85">
              <w:rPr>
                <w:rFonts w:cs="Arial"/>
                <w:b/>
                <w:bCs/>
                <w:color w:val="000000"/>
                <w:sz w:val="20"/>
                <w:szCs w:val="20"/>
              </w:rPr>
              <w:t>Site</w:t>
            </w:r>
          </w:p>
        </w:tc>
        <w:tc>
          <w:tcPr>
            <w:tcW w:w="467" w:type="dxa"/>
            <w:shd w:val="clear" w:color="auto" w:fill="BBE0E3"/>
            <w:textDirection w:val="btLr"/>
            <w:vAlign w:val="center"/>
          </w:tcPr>
          <w:p w14:paraId="19EBA89B"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abundance</w:t>
            </w:r>
          </w:p>
        </w:tc>
        <w:tc>
          <w:tcPr>
            <w:tcW w:w="467" w:type="dxa"/>
            <w:shd w:val="clear" w:color="auto" w:fill="BBE0E3"/>
            <w:textDirection w:val="btLr"/>
            <w:vAlign w:val="center"/>
          </w:tcPr>
          <w:p w14:paraId="00AFFF01"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 xml:space="preserve">composition </w:t>
            </w:r>
          </w:p>
        </w:tc>
        <w:tc>
          <w:tcPr>
            <w:tcW w:w="467" w:type="dxa"/>
            <w:shd w:val="clear" w:color="auto" w:fill="BBE0E3"/>
            <w:textDirection w:val="btLr"/>
            <w:vAlign w:val="center"/>
          </w:tcPr>
          <w:p w14:paraId="7AD681C8"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distribution</w:t>
            </w:r>
          </w:p>
        </w:tc>
        <w:tc>
          <w:tcPr>
            <w:tcW w:w="467" w:type="dxa"/>
            <w:shd w:val="clear" w:color="auto" w:fill="BBE0E3"/>
            <w:textDirection w:val="btLr"/>
            <w:vAlign w:val="center"/>
          </w:tcPr>
          <w:p w14:paraId="123DCD3F"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Reproductive effort</w:t>
            </w:r>
          </w:p>
        </w:tc>
        <w:tc>
          <w:tcPr>
            <w:tcW w:w="467" w:type="dxa"/>
            <w:shd w:val="clear" w:color="auto" w:fill="BBE0E3"/>
            <w:textDirection w:val="btLr"/>
            <w:vAlign w:val="center"/>
          </w:tcPr>
          <w:p w14:paraId="67F7A501"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seed banks</w:t>
            </w:r>
          </w:p>
        </w:tc>
        <w:tc>
          <w:tcPr>
            <w:tcW w:w="467" w:type="dxa"/>
            <w:shd w:val="clear" w:color="auto" w:fill="BBE0E3"/>
            <w:textDirection w:val="btLr"/>
            <w:vAlign w:val="center"/>
          </w:tcPr>
          <w:p w14:paraId="2281FD45"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Leaf tissue nutrients</w:t>
            </w:r>
          </w:p>
        </w:tc>
        <w:tc>
          <w:tcPr>
            <w:tcW w:w="467" w:type="dxa"/>
            <w:shd w:val="clear" w:color="auto" w:fill="BBE0E3"/>
            <w:textDirection w:val="btLr"/>
            <w:vAlign w:val="center"/>
          </w:tcPr>
          <w:p w14:paraId="6FDDF4BD"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Meadow sediments</w:t>
            </w:r>
          </w:p>
        </w:tc>
        <w:tc>
          <w:tcPr>
            <w:tcW w:w="467" w:type="dxa"/>
            <w:shd w:val="clear" w:color="auto" w:fill="BBE0E3"/>
            <w:textDirection w:val="btLr"/>
            <w:vAlign w:val="center"/>
          </w:tcPr>
          <w:p w14:paraId="3102EB1A"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Epiphytes</w:t>
            </w:r>
          </w:p>
        </w:tc>
        <w:tc>
          <w:tcPr>
            <w:tcW w:w="467" w:type="dxa"/>
            <w:shd w:val="clear" w:color="auto" w:fill="BBE0E3"/>
            <w:textDirection w:val="btLr"/>
          </w:tcPr>
          <w:p w14:paraId="58020269" w14:textId="77777777" w:rsidR="00995B85" w:rsidRPr="00995B85" w:rsidRDefault="00995B85" w:rsidP="00C36ADD">
            <w:pPr>
              <w:spacing w:before="0" w:after="0"/>
              <w:ind w:left="113" w:right="113"/>
              <w:rPr>
                <w:rFonts w:cs="Arial"/>
                <w:b/>
                <w:bCs/>
                <w:color w:val="000000"/>
                <w:sz w:val="20"/>
                <w:szCs w:val="20"/>
              </w:rPr>
            </w:pPr>
            <w:r w:rsidRPr="00995B85">
              <w:rPr>
                <w:rFonts w:cs="Arial"/>
                <w:b/>
                <w:bCs/>
                <w:color w:val="000000"/>
                <w:sz w:val="20"/>
                <w:szCs w:val="20"/>
              </w:rPr>
              <w:t>Macroalgae</w:t>
            </w:r>
          </w:p>
        </w:tc>
      </w:tr>
      <w:tr w:rsidR="00995B85" w:rsidRPr="00015190" w14:paraId="6E05E2B0" w14:textId="77777777" w:rsidTr="00995B85">
        <w:trPr>
          <w:trHeight w:val="170"/>
          <w:jc w:val="center"/>
        </w:trPr>
        <w:tc>
          <w:tcPr>
            <w:tcW w:w="1714" w:type="dxa"/>
            <w:shd w:val="clear" w:color="auto" w:fill="E7F3F4"/>
            <w:vAlign w:val="center"/>
          </w:tcPr>
          <w:p w14:paraId="46FF59DD" w14:textId="77777777" w:rsidR="00995B85" w:rsidRPr="00995B85" w:rsidRDefault="00995B85" w:rsidP="00C36ADD">
            <w:pPr>
              <w:spacing w:before="0" w:after="0"/>
              <w:jc w:val="center"/>
              <w:rPr>
                <w:color w:val="000000"/>
                <w:sz w:val="20"/>
                <w:szCs w:val="20"/>
              </w:rPr>
            </w:pPr>
            <w:r w:rsidRPr="00995B85">
              <w:rPr>
                <w:color w:val="000000"/>
                <w:sz w:val="20"/>
                <w:szCs w:val="20"/>
              </w:rPr>
              <w:t>estuary intertidal</w:t>
            </w:r>
          </w:p>
        </w:tc>
        <w:tc>
          <w:tcPr>
            <w:tcW w:w="674" w:type="dxa"/>
            <w:shd w:val="clear" w:color="auto" w:fill="E7F3F4"/>
            <w:noWrap/>
            <w:vAlign w:val="center"/>
          </w:tcPr>
          <w:p w14:paraId="4D274F99" w14:textId="77777777" w:rsidR="00995B85" w:rsidRPr="00995B85" w:rsidRDefault="00995B85" w:rsidP="00C36ADD">
            <w:pPr>
              <w:spacing w:before="0" w:after="0"/>
              <w:jc w:val="center"/>
              <w:rPr>
                <w:color w:val="000000"/>
                <w:sz w:val="20"/>
                <w:szCs w:val="20"/>
              </w:rPr>
            </w:pPr>
            <w:r w:rsidRPr="00995B85">
              <w:rPr>
                <w:color w:val="000000"/>
                <w:sz w:val="20"/>
                <w:szCs w:val="20"/>
              </w:rPr>
              <w:t>GH1</w:t>
            </w:r>
          </w:p>
        </w:tc>
        <w:tc>
          <w:tcPr>
            <w:tcW w:w="2804" w:type="dxa"/>
            <w:shd w:val="clear" w:color="auto" w:fill="E7F3F4"/>
            <w:noWrap/>
            <w:vAlign w:val="center"/>
          </w:tcPr>
          <w:p w14:paraId="78257207" w14:textId="77777777" w:rsidR="00995B85" w:rsidRPr="00995B85" w:rsidRDefault="00995B85" w:rsidP="00C36ADD">
            <w:pPr>
              <w:spacing w:before="0" w:after="0"/>
              <w:jc w:val="center"/>
              <w:rPr>
                <w:color w:val="000000"/>
                <w:sz w:val="20"/>
                <w:szCs w:val="20"/>
              </w:rPr>
            </w:pPr>
            <w:r w:rsidRPr="00995B85">
              <w:rPr>
                <w:color w:val="000000"/>
                <w:sz w:val="20"/>
                <w:szCs w:val="20"/>
              </w:rPr>
              <w:t>Gladstone Hbr</w:t>
            </w:r>
          </w:p>
        </w:tc>
        <w:tc>
          <w:tcPr>
            <w:tcW w:w="467" w:type="dxa"/>
            <w:shd w:val="clear" w:color="auto" w:fill="E7F3F4"/>
            <w:vAlign w:val="center"/>
          </w:tcPr>
          <w:p w14:paraId="4F946164"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A69141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C33A8BD"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4DD4F5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938F5F3"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9403A1A"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001D494"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1452981"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555F788"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r>
      <w:tr w:rsidR="00995B85" w:rsidRPr="00015190" w14:paraId="7BD7D1FB" w14:textId="77777777" w:rsidTr="00995B85">
        <w:trPr>
          <w:trHeight w:val="170"/>
          <w:jc w:val="center"/>
        </w:trPr>
        <w:tc>
          <w:tcPr>
            <w:tcW w:w="1714" w:type="dxa"/>
            <w:shd w:val="clear" w:color="auto" w:fill="E7F3F4"/>
            <w:vAlign w:val="center"/>
          </w:tcPr>
          <w:p w14:paraId="72D6624F" w14:textId="77777777" w:rsidR="00995B85" w:rsidRPr="00995B85" w:rsidRDefault="00995B85" w:rsidP="00C36ADD">
            <w:pPr>
              <w:spacing w:before="0" w:after="0"/>
              <w:jc w:val="center"/>
              <w:rPr>
                <w:color w:val="000000"/>
                <w:sz w:val="20"/>
                <w:szCs w:val="20"/>
              </w:rPr>
            </w:pPr>
          </w:p>
        </w:tc>
        <w:tc>
          <w:tcPr>
            <w:tcW w:w="674" w:type="dxa"/>
            <w:shd w:val="clear" w:color="auto" w:fill="E7F3F4"/>
            <w:noWrap/>
            <w:vAlign w:val="center"/>
          </w:tcPr>
          <w:p w14:paraId="258671F4" w14:textId="77777777" w:rsidR="00995B85" w:rsidRPr="00995B85" w:rsidRDefault="00995B85" w:rsidP="00C36ADD">
            <w:pPr>
              <w:spacing w:before="0" w:after="0"/>
              <w:jc w:val="center"/>
              <w:rPr>
                <w:color w:val="000000"/>
                <w:sz w:val="20"/>
                <w:szCs w:val="20"/>
              </w:rPr>
            </w:pPr>
            <w:r w:rsidRPr="00995B85">
              <w:rPr>
                <w:color w:val="000000"/>
                <w:sz w:val="20"/>
                <w:szCs w:val="20"/>
              </w:rPr>
              <w:t>GH2</w:t>
            </w:r>
          </w:p>
        </w:tc>
        <w:tc>
          <w:tcPr>
            <w:tcW w:w="2804" w:type="dxa"/>
            <w:shd w:val="clear" w:color="auto" w:fill="E7F3F4"/>
            <w:noWrap/>
            <w:vAlign w:val="center"/>
          </w:tcPr>
          <w:p w14:paraId="31CE5DDB" w14:textId="77777777" w:rsidR="00995B85" w:rsidRPr="00995B85" w:rsidRDefault="00995B85" w:rsidP="00C36ADD">
            <w:pPr>
              <w:spacing w:before="0" w:after="0"/>
              <w:jc w:val="center"/>
              <w:rPr>
                <w:i/>
                <w:color w:val="000000"/>
                <w:sz w:val="20"/>
                <w:szCs w:val="20"/>
              </w:rPr>
            </w:pPr>
            <w:r w:rsidRPr="00995B85">
              <w:rPr>
                <w:color w:val="000000"/>
                <w:sz w:val="20"/>
                <w:szCs w:val="20"/>
              </w:rPr>
              <w:t>Gladstone Hbr</w:t>
            </w:r>
          </w:p>
        </w:tc>
        <w:tc>
          <w:tcPr>
            <w:tcW w:w="467" w:type="dxa"/>
            <w:shd w:val="clear" w:color="auto" w:fill="E7F3F4"/>
            <w:vAlign w:val="center"/>
          </w:tcPr>
          <w:p w14:paraId="54F36795" w14:textId="77777777" w:rsidR="00995B85" w:rsidRPr="00F45F13" w:rsidRDefault="00995B85"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8D9B4D8"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2FB83A7" w14:textId="77777777" w:rsidR="00995B85" w:rsidRPr="00F45F13" w:rsidRDefault="00995B85"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35F69EEC" w14:textId="77777777" w:rsidR="00995B85" w:rsidRPr="00F45F13" w:rsidRDefault="00995B85" w:rsidP="00C36ADD">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13B83F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341CE4D"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9455AF"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BA80233"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769406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r>
      <w:tr w:rsidR="00995B85" w:rsidRPr="00015190" w14:paraId="23CAB9F3" w14:textId="77777777" w:rsidTr="00995B85">
        <w:trPr>
          <w:trHeight w:val="170"/>
          <w:jc w:val="center"/>
        </w:trPr>
        <w:tc>
          <w:tcPr>
            <w:tcW w:w="1714" w:type="dxa"/>
            <w:shd w:val="clear" w:color="auto" w:fill="F3F9FA"/>
            <w:vAlign w:val="center"/>
          </w:tcPr>
          <w:p w14:paraId="219F76FB" w14:textId="77777777" w:rsidR="00995B85" w:rsidRPr="00995B85" w:rsidRDefault="00995B85" w:rsidP="00C36ADD">
            <w:pPr>
              <w:spacing w:before="0" w:after="0"/>
              <w:jc w:val="center"/>
              <w:rPr>
                <w:color w:val="000000"/>
                <w:sz w:val="20"/>
                <w:szCs w:val="20"/>
              </w:rPr>
            </w:pPr>
            <w:r w:rsidRPr="00995B85">
              <w:rPr>
                <w:color w:val="000000"/>
                <w:sz w:val="20"/>
                <w:szCs w:val="20"/>
              </w:rPr>
              <w:t>coastal subtidal</w:t>
            </w:r>
          </w:p>
        </w:tc>
        <w:tc>
          <w:tcPr>
            <w:tcW w:w="674" w:type="dxa"/>
            <w:shd w:val="clear" w:color="auto" w:fill="F3F9FA"/>
            <w:noWrap/>
            <w:vAlign w:val="center"/>
          </w:tcPr>
          <w:p w14:paraId="7DA44B21" w14:textId="77777777" w:rsidR="00995B85" w:rsidRPr="00995B85" w:rsidRDefault="00995B85" w:rsidP="00C36ADD">
            <w:pPr>
              <w:spacing w:before="0" w:after="0"/>
              <w:jc w:val="center"/>
              <w:rPr>
                <w:color w:val="000000"/>
                <w:sz w:val="20"/>
                <w:szCs w:val="20"/>
              </w:rPr>
            </w:pPr>
            <w:r w:rsidRPr="00995B85">
              <w:rPr>
                <w:color w:val="000000"/>
                <w:sz w:val="20"/>
                <w:szCs w:val="20"/>
              </w:rPr>
              <w:t>RC1</w:t>
            </w:r>
          </w:p>
        </w:tc>
        <w:tc>
          <w:tcPr>
            <w:tcW w:w="2804" w:type="dxa"/>
            <w:shd w:val="clear" w:color="auto" w:fill="F3F9FA"/>
            <w:noWrap/>
            <w:vAlign w:val="center"/>
          </w:tcPr>
          <w:p w14:paraId="22E329ED" w14:textId="77777777" w:rsidR="00995B85" w:rsidRPr="00995B85" w:rsidRDefault="00995B85" w:rsidP="00C36ADD">
            <w:pPr>
              <w:spacing w:before="0" w:after="0"/>
              <w:jc w:val="center"/>
              <w:rPr>
                <w:color w:val="000000"/>
                <w:sz w:val="20"/>
                <w:szCs w:val="20"/>
              </w:rPr>
            </w:pPr>
            <w:r w:rsidRPr="00995B85">
              <w:rPr>
                <w:color w:val="000000"/>
                <w:sz w:val="20"/>
                <w:szCs w:val="20"/>
              </w:rPr>
              <w:t>Ross Creek (Shoalwater Bay)</w:t>
            </w:r>
          </w:p>
        </w:tc>
        <w:tc>
          <w:tcPr>
            <w:tcW w:w="467" w:type="dxa"/>
            <w:shd w:val="clear" w:color="auto" w:fill="F3F9FA"/>
            <w:vAlign w:val="center"/>
          </w:tcPr>
          <w:p w14:paraId="7FCC232A"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56DF9B1"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710E9D1"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EE6F40E"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D2DA41C"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AFDBD0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348D2B7"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BC879EB"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4F9F22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r>
      <w:tr w:rsidR="00995B85" w:rsidRPr="00015190" w14:paraId="685ED151" w14:textId="77777777" w:rsidTr="00995B85">
        <w:trPr>
          <w:trHeight w:val="170"/>
          <w:jc w:val="center"/>
        </w:trPr>
        <w:tc>
          <w:tcPr>
            <w:tcW w:w="1714" w:type="dxa"/>
            <w:shd w:val="clear" w:color="auto" w:fill="F3F9FA"/>
            <w:vAlign w:val="center"/>
          </w:tcPr>
          <w:p w14:paraId="334C7093" w14:textId="77777777" w:rsidR="00995B85" w:rsidRPr="00995B85" w:rsidRDefault="00995B85" w:rsidP="00C36ADD">
            <w:pPr>
              <w:spacing w:before="0" w:after="0"/>
              <w:jc w:val="center"/>
              <w:rPr>
                <w:color w:val="000000"/>
                <w:sz w:val="20"/>
                <w:szCs w:val="20"/>
              </w:rPr>
            </w:pPr>
          </w:p>
        </w:tc>
        <w:tc>
          <w:tcPr>
            <w:tcW w:w="674" w:type="dxa"/>
            <w:shd w:val="clear" w:color="auto" w:fill="F3F9FA"/>
            <w:noWrap/>
            <w:vAlign w:val="center"/>
          </w:tcPr>
          <w:p w14:paraId="16879451" w14:textId="77777777" w:rsidR="00995B85" w:rsidRPr="00995B85" w:rsidRDefault="00995B85" w:rsidP="00C36ADD">
            <w:pPr>
              <w:spacing w:before="0" w:after="0"/>
              <w:jc w:val="center"/>
              <w:rPr>
                <w:color w:val="000000"/>
                <w:sz w:val="20"/>
                <w:szCs w:val="20"/>
              </w:rPr>
            </w:pPr>
            <w:r w:rsidRPr="00995B85">
              <w:rPr>
                <w:color w:val="000000"/>
                <w:sz w:val="20"/>
                <w:szCs w:val="20"/>
              </w:rPr>
              <w:t>WH1</w:t>
            </w:r>
          </w:p>
        </w:tc>
        <w:tc>
          <w:tcPr>
            <w:tcW w:w="2804" w:type="dxa"/>
            <w:shd w:val="clear" w:color="auto" w:fill="F3F9FA"/>
            <w:noWrap/>
            <w:vAlign w:val="center"/>
          </w:tcPr>
          <w:p w14:paraId="6A51A3E4" w14:textId="77777777" w:rsidR="00995B85" w:rsidRPr="00995B85" w:rsidRDefault="00995B85" w:rsidP="00C36ADD">
            <w:pPr>
              <w:spacing w:before="0" w:after="0"/>
              <w:jc w:val="center"/>
              <w:rPr>
                <w:color w:val="000000"/>
                <w:sz w:val="20"/>
                <w:szCs w:val="20"/>
              </w:rPr>
            </w:pPr>
            <w:r w:rsidRPr="00995B85">
              <w:rPr>
                <w:color w:val="000000"/>
                <w:sz w:val="20"/>
                <w:szCs w:val="20"/>
              </w:rPr>
              <w:t>Wheelans Hut (Shoalwater Bay)</w:t>
            </w:r>
          </w:p>
        </w:tc>
        <w:tc>
          <w:tcPr>
            <w:tcW w:w="467" w:type="dxa"/>
            <w:shd w:val="clear" w:color="auto" w:fill="F3F9FA"/>
            <w:vAlign w:val="center"/>
          </w:tcPr>
          <w:p w14:paraId="5909521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59E5A20"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F4527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60BAA91"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89B5DA3"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B63EB57"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3483A20"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4EACF70"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F24F885"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r>
      <w:tr w:rsidR="00995B85" w:rsidRPr="00015190" w14:paraId="355914AD" w14:textId="77777777" w:rsidTr="00995B85">
        <w:trPr>
          <w:trHeight w:val="170"/>
          <w:jc w:val="center"/>
        </w:trPr>
        <w:tc>
          <w:tcPr>
            <w:tcW w:w="1714" w:type="dxa"/>
            <w:shd w:val="clear" w:color="auto" w:fill="E7F3F4"/>
            <w:vAlign w:val="center"/>
          </w:tcPr>
          <w:p w14:paraId="189109D0" w14:textId="77777777" w:rsidR="00995B85" w:rsidRPr="00995B85" w:rsidRDefault="00995B85" w:rsidP="00C36ADD">
            <w:pPr>
              <w:spacing w:before="0" w:after="0"/>
              <w:jc w:val="center"/>
              <w:rPr>
                <w:color w:val="000000"/>
                <w:sz w:val="20"/>
                <w:szCs w:val="20"/>
              </w:rPr>
            </w:pPr>
            <w:r w:rsidRPr="00995B85">
              <w:rPr>
                <w:color w:val="000000"/>
                <w:sz w:val="20"/>
                <w:szCs w:val="20"/>
              </w:rPr>
              <w:t>reef intertidal</w:t>
            </w:r>
          </w:p>
        </w:tc>
        <w:tc>
          <w:tcPr>
            <w:tcW w:w="674" w:type="dxa"/>
            <w:shd w:val="clear" w:color="auto" w:fill="E7F3F4"/>
            <w:noWrap/>
            <w:vAlign w:val="center"/>
          </w:tcPr>
          <w:p w14:paraId="0F322DEF" w14:textId="77777777" w:rsidR="00995B85" w:rsidRPr="00995B85" w:rsidRDefault="00995B85" w:rsidP="00C36ADD">
            <w:pPr>
              <w:spacing w:before="0" w:after="0"/>
              <w:jc w:val="center"/>
              <w:rPr>
                <w:color w:val="000000"/>
                <w:sz w:val="20"/>
                <w:szCs w:val="20"/>
              </w:rPr>
            </w:pPr>
            <w:r w:rsidRPr="00995B85">
              <w:rPr>
                <w:color w:val="000000"/>
                <w:sz w:val="20"/>
                <w:szCs w:val="20"/>
              </w:rPr>
              <w:t>GK1</w:t>
            </w:r>
          </w:p>
        </w:tc>
        <w:tc>
          <w:tcPr>
            <w:tcW w:w="2804" w:type="dxa"/>
            <w:shd w:val="clear" w:color="auto" w:fill="E7F3F4"/>
            <w:noWrap/>
            <w:vAlign w:val="bottom"/>
          </w:tcPr>
          <w:p w14:paraId="1318D43D" w14:textId="77777777" w:rsidR="00995B85" w:rsidRPr="00995B85" w:rsidRDefault="00995B85" w:rsidP="00C36ADD">
            <w:pPr>
              <w:spacing w:before="0" w:after="0"/>
              <w:jc w:val="center"/>
              <w:rPr>
                <w:color w:val="000000"/>
                <w:sz w:val="20"/>
                <w:szCs w:val="20"/>
              </w:rPr>
            </w:pPr>
            <w:r w:rsidRPr="00995B85">
              <w:rPr>
                <w:color w:val="000000"/>
                <w:sz w:val="20"/>
                <w:szCs w:val="20"/>
              </w:rPr>
              <w:t>Great Keppel Is.</w:t>
            </w:r>
          </w:p>
        </w:tc>
        <w:tc>
          <w:tcPr>
            <w:tcW w:w="467" w:type="dxa"/>
            <w:shd w:val="clear" w:color="auto" w:fill="E7F3F4"/>
            <w:vAlign w:val="center"/>
          </w:tcPr>
          <w:p w14:paraId="3A92D44B"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E71A90"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F2CD92"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EC529EA"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CE5C19D"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5416213"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85C5C08"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A434C50"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2D375BF"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r>
      <w:tr w:rsidR="00995B85" w:rsidRPr="00015190" w14:paraId="61950E9A" w14:textId="77777777" w:rsidTr="00995B85">
        <w:trPr>
          <w:trHeight w:val="170"/>
          <w:jc w:val="center"/>
        </w:trPr>
        <w:tc>
          <w:tcPr>
            <w:tcW w:w="1714" w:type="dxa"/>
            <w:shd w:val="clear" w:color="auto" w:fill="E7F3F4"/>
            <w:vAlign w:val="center"/>
          </w:tcPr>
          <w:p w14:paraId="357B0717" w14:textId="77777777" w:rsidR="00995B85" w:rsidRPr="00995B85" w:rsidRDefault="00995B85" w:rsidP="00C36ADD">
            <w:pPr>
              <w:spacing w:before="0" w:after="0"/>
              <w:jc w:val="center"/>
              <w:rPr>
                <w:color w:val="000000"/>
                <w:sz w:val="20"/>
                <w:szCs w:val="20"/>
              </w:rPr>
            </w:pPr>
          </w:p>
        </w:tc>
        <w:tc>
          <w:tcPr>
            <w:tcW w:w="674" w:type="dxa"/>
            <w:shd w:val="clear" w:color="auto" w:fill="E7F3F4"/>
            <w:noWrap/>
            <w:vAlign w:val="center"/>
          </w:tcPr>
          <w:p w14:paraId="4BCBD9D1" w14:textId="77777777" w:rsidR="00995B85" w:rsidRPr="00995B85" w:rsidRDefault="00995B85" w:rsidP="00C36ADD">
            <w:pPr>
              <w:spacing w:before="0" w:after="0"/>
              <w:jc w:val="center"/>
              <w:rPr>
                <w:color w:val="000000"/>
                <w:sz w:val="20"/>
                <w:szCs w:val="20"/>
              </w:rPr>
            </w:pPr>
            <w:r w:rsidRPr="00995B85">
              <w:rPr>
                <w:color w:val="000000"/>
                <w:sz w:val="20"/>
                <w:szCs w:val="20"/>
              </w:rPr>
              <w:t>GK2</w:t>
            </w:r>
          </w:p>
        </w:tc>
        <w:tc>
          <w:tcPr>
            <w:tcW w:w="2804" w:type="dxa"/>
            <w:shd w:val="clear" w:color="auto" w:fill="E7F3F4"/>
            <w:noWrap/>
            <w:vAlign w:val="center"/>
          </w:tcPr>
          <w:p w14:paraId="6670064F" w14:textId="77777777" w:rsidR="00995B85" w:rsidRPr="00995B85" w:rsidRDefault="00995B85" w:rsidP="00C36ADD">
            <w:pPr>
              <w:spacing w:before="0" w:after="0"/>
              <w:jc w:val="center"/>
              <w:rPr>
                <w:color w:val="000000"/>
                <w:sz w:val="20"/>
                <w:szCs w:val="20"/>
              </w:rPr>
            </w:pPr>
            <w:r w:rsidRPr="00995B85">
              <w:rPr>
                <w:color w:val="000000"/>
                <w:sz w:val="20"/>
                <w:szCs w:val="20"/>
              </w:rPr>
              <w:t>Great Keppel Is.</w:t>
            </w:r>
          </w:p>
        </w:tc>
        <w:tc>
          <w:tcPr>
            <w:tcW w:w="467" w:type="dxa"/>
            <w:shd w:val="clear" w:color="auto" w:fill="E7F3F4"/>
            <w:vAlign w:val="center"/>
          </w:tcPr>
          <w:p w14:paraId="72AEE74D"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AEC76AD"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918E83"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714EBE5"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8AA5B6E"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823704"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0858D29"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E854FA3"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B4CEFB7" w14:textId="77777777" w:rsidR="00995B85" w:rsidRDefault="00995B85" w:rsidP="00C36ADD">
            <w:pPr>
              <w:spacing w:before="0" w:after="0"/>
              <w:jc w:val="center"/>
              <w:rPr>
                <w:color w:val="000000"/>
                <w:sz w:val="14"/>
                <w:szCs w:val="14"/>
              </w:rPr>
            </w:pPr>
            <w:r w:rsidRPr="00F45F13">
              <w:rPr>
                <w:color w:val="000000"/>
                <w:sz w:val="16"/>
                <w:szCs w:val="16"/>
              </w:rPr>
              <w:sym w:font="Wingdings" w:char="F06E"/>
            </w:r>
          </w:p>
        </w:tc>
      </w:tr>
    </w:tbl>
    <w:bookmarkEnd w:id="520"/>
    <w:p w14:paraId="6E934D63" w14:textId="77777777" w:rsidR="00503E20" w:rsidRPr="004F2236" w:rsidRDefault="00503E20" w:rsidP="004F2236">
      <w:pPr>
        <w:pStyle w:val="Heading4"/>
        <w:numPr>
          <w:ilvl w:val="0"/>
          <w:numId w:val="0"/>
        </w:numPr>
        <w:rPr>
          <w:rFonts w:ascii="Arial" w:hAnsi="Arial" w:cs="Arial"/>
          <w:sz w:val="24"/>
          <w:szCs w:val="24"/>
        </w:rPr>
      </w:pPr>
      <w:r w:rsidRPr="004F2236">
        <w:rPr>
          <w:rFonts w:ascii="Arial" w:hAnsi="Arial" w:cs="Arial"/>
          <w:sz w:val="24"/>
          <w:szCs w:val="24"/>
        </w:rPr>
        <w:t>Seagrass abundance, composition and extent</w:t>
      </w:r>
    </w:p>
    <w:p w14:paraId="2FE4963C" w14:textId="2A6E61A8" w:rsidR="00447BD8" w:rsidRPr="00447BD8" w:rsidRDefault="007E1DF9" w:rsidP="00447BD8">
      <w:pPr>
        <w:rPr>
          <w:color w:val="000000" w:themeColor="text1"/>
        </w:rPr>
      </w:pPr>
      <w:r w:rsidRPr="00783626">
        <w:rPr>
          <w:color w:val="000000" w:themeColor="text1"/>
          <w:szCs w:val="22"/>
        </w:rPr>
        <w:t xml:space="preserve">The regional seagrass abundance score </w:t>
      </w:r>
      <w:r w:rsidR="00CE1DF4" w:rsidRPr="00783626">
        <w:rPr>
          <w:color w:val="000000" w:themeColor="text1"/>
          <w:szCs w:val="22"/>
        </w:rPr>
        <w:t xml:space="preserve">was </w:t>
      </w:r>
      <w:r w:rsidR="00783626" w:rsidRPr="00783626">
        <w:rPr>
          <w:b/>
          <w:color w:val="000000" w:themeColor="text1"/>
          <w:szCs w:val="22"/>
        </w:rPr>
        <w:t>poor</w:t>
      </w:r>
      <w:r w:rsidR="00783626" w:rsidRPr="00783626">
        <w:rPr>
          <w:color w:val="000000" w:themeColor="text1"/>
          <w:szCs w:val="22"/>
        </w:rPr>
        <w:t xml:space="preserve"> </w:t>
      </w:r>
      <w:r w:rsidR="008574EC">
        <w:rPr>
          <w:color w:val="000000" w:themeColor="text1"/>
          <w:szCs w:val="22"/>
        </w:rPr>
        <w:t>2016–17</w:t>
      </w:r>
      <w:r w:rsidRPr="00783626">
        <w:rPr>
          <w:color w:val="000000" w:themeColor="text1"/>
          <w:szCs w:val="22"/>
        </w:rPr>
        <w:t xml:space="preserve"> </w:t>
      </w:r>
      <w:r w:rsidR="00783626" w:rsidRPr="00783626">
        <w:rPr>
          <w:color w:val="000000" w:themeColor="text1"/>
          <w:szCs w:val="22"/>
        </w:rPr>
        <w:t xml:space="preserve">unchanged from previous years </w:t>
      </w:r>
      <w:r w:rsidRPr="00783626">
        <w:rPr>
          <w:color w:val="000000" w:themeColor="text1"/>
          <w:szCs w:val="22"/>
        </w:rPr>
        <w:t>(</w:t>
      </w:r>
      <w:r w:rsidR="00433675" w:rsidRPr="00783626">
        <w:rPr>
          <w:color w:val="000000" w:themeColor="text1"/>
          <w:szCs w:val="22"/>
        </w:rPr>
        <w:fldChar w:fldCharType="begin"/>
      </w:r>
      <w:r w:rsidR="00433675" w:rsidRPr="00783626">
        <w:rPr>
          <w:color w:val="000000" w:themeColor="text1"/>
          <w:szCs w:val="22"/>
        </w:rPr>
        <w:instrText xml:space="preserve"> REF _Ref442349493 \h </w:instrText>
      </w:r>
      <w:r w:rsidR="00433675" w:rsidRPr="00783626">
        <w:rPr>
          <w:color w:val="000000" w:themeColor="text1"/>
          <w:szCs w:val="22"/>
        </w:rPr>
      </w:r>
      <w:r w:rsidR="00433675" w:rsidRPr="00783626">
        <w:rPr>
          <w:color w:val="000000" w:themeColor="text1"/>
          <w:szCs w:val="22"/>
        </w:rPr>
        <w:fldChar w:fldCharType="separate"/>
      </w:r>
      <w:r w:rsidR="00F87DF9" w:rsidRPr="005C796F">
        <w:rPr>
          <w:color w:val="000000"/>
        </w:rPr>
        <w:t xml:space="preserve">Figure </w:t>
      </w:r>
      <w:r w:rsidR="00F87DF9">
        <w:rPr>
          <w:noProof/>
          <w:color w:val="000000"/>
        </w:rPr>
        <w:t>93</w:t>
      </w:r>
      <w:r w:rsidR="00433675" w:rsidRPr="00783626">
        <w:rPr>
          <w:color w:val="000000" w:themeColor="text1"/>
          <w:szCs w:val="22"/>
        </w:rPr>
        <w:fldChar w:fldCharType="end"/>
      </w:r>
      <w:r w:rsidRPr="00783626">
        <w:rPr>
          <w:color w:val="000000" w:themeColor="text1"/>
          <w:szCs w:val="22"/>
        </w:rPr>
        <w:t xml:space="preserve">). </w:t>
      </w:r>
      <w:r w:rsidR="00260C84" w:rsidRPr="00783626">
        <w:rPr>
          <w:color w:val="000000" w:themeColor="text1"/>
          <w:szCs w:val="22"/>
        </w:rPr>
        <w:t xml:space="preserve">Monitoring of habitats in the Fitzroy region has been reduced to once per year in the dry season since 2014. </w:t>
      </w:r>
      <w:r w:rsidRPr="00783626">
        <w:rPr>
          <w:color w:val="000000" w:themeColor="text1"/>
          <w:szCs w:val="22"/>
        </w:rPr>
        <w:t xml:space="preserve">Seagrass abundance </w:t>
      </w:r>
      <w:r w:rsidR="00783626" w:rsidRPr="00783626">
        <w:rPr>
          <w:color w:val="000000" w:themeColor="text1"/>
          <w:szCs w:val="22"/>
        </w:rPr>
        <w:t>reduced</w:t>
      </w:r>
      <w:r w:rsidR="00C60158" w:rsidRPr="00783626">
        <w:rPr>
          <w:color w:val="000000" w:themeColor="text1"/>
          <w:szCs w:val="22"/>
        </w:rPr>
        <w:t xml:space="preserve"> </w:t>
      </w:r>
      <w:r w:rsidR="00A43334" w:rsidRPr="00783626">
        <w:rPr>
          <w:color w:val="000000" w:themeColor="text1"/>
          <w:szCs w:val="22"/>
        </w:rPr>
        <w:t>in</w:t>
      </w:r>
      <w:r w:rsidRPr="00783626">
        <w:rPr>
          <w:color w:val="000000" w:themeColor="text1"/>
          <w:szCs w:val="22"/>
        </w:rPr>
        <w:t xml:space="preserve"> estuarine</w:t>
      </w:r>
      <w:r w:rsidR="00A43334" w:rsidRPr="00783626">
        <w:rPr>
          <w:color w:val="000000" w:themeColor="text1"/>
          <w:szCs w:val="22"/>
        </w:rPr>
        <w:t xml:space="preserve"> habitat</w:t>
      </w:r>
      <w:r w:rsidR="00783626" w:rsidRPr="00783626">
        <w:rPr>
          <w:color w:val="000000" w:themeColor="text1"/>
          <w:szCs w:val="22"/>
        </w:rPr>
        <w:t xml:space="preserve"> </w:t>
      </w:r>
      <w:r w:rsidR="003D7D5F">
        <w:rPr>
          <w:color w:val="000000" w:themeColor="text1"/>
          <w:szCs w:val="22"/>
        </w:rPr>
        <w:t xml:space="preserve">which appears to be </w:t>
      </w:r>
      <w:r w:rsidR="00783626" w:rsidRPr="00783626">
        <w:rPr>
          <w:color w:val="000000" w:themeColor="text1"/>
          <w:szCs w:val="22"/>
        </w:rPr>
        <w:t xml:space="preserve">due to the movement of </w:t>
      </w:r>
      <w:r w:rsidR="003D7D5F">
        <w:rPr>
          <w:color w:val="000000" w:themeColor="text1"/>
          <w:szCs w:val="22"/>
        </w:rPr>
        <w:t xml:space="preserve">fine </w:t>
      </w:r>
      <w:r w:rsidR="00783626" w:rsidRPr="00783626">
        <w:rPr>
          <w:color w:val="000000" w:themeColor="text1"/>
          <w:szCs w:val="22"/>
        </w:rPr>
        <w:t xml:space="preserve">mud through one of the sites in Gladstone Harbour, but the </w:t>
      </w:r>
      <w:r w:rsidR="003D7D5F">
        <w:rPr>
          <w:color w:val="000000" w:themeColor="text1"/>
          <w:szCs w:val="22"/>
        </w:rPr>
        <w:t>source of this fine mud</w:t>
      </w:r>
      <w:r w:rsidR="00783626" w:rsidRPr="00783626">
        <w:rPr>
          <w:color w:val="000000" w:themeColor="text1"/>
          <w:szCs w:val="22"/>
        </w:rPr>
        <w:t xml:space="preserve"> this is unknown</w:t>
      </w:r>
      <w:r w:rsidR="006C4D04">
        <w:rPr>
          <w:color w:val="000000" w:themeColor="text1"/>
          <w:szCs w:val="22"/>
        </w:rPr>
        <w:t xml:space="preserve"> (</w:t>
      </w:r>
      <w:r w:rsidR="006C4D04">
        <w:rPr>
          <w:color w:val="000000" w:themeColor="text1"/>
          <w:szCs w:val="22"/>
        </w:rPr>
        <w:fldChar w:fldCharType="begin"/>
      </w:r>
      <w:r w:rsidR="006C4D04">
        <w:rPr>
          <w:color w:val="000000" w:themeColor="text1"/>
          <w:szCs w:val="22"/>
        </w:rPr>
        <w:instrText xml:space="preserve"> REF _Ref179509292 \h </w:instrText>
      </w:r>
      <w:r w:rsidR="006C4D04">
        <w:rPr>
          <w:color w:val="000000" w:themeColor="text1"/>
          <w:szCs w:val="22"/>
        </w:rPr>
      </w:r>
      <w:r w:rsidR="006C4D04">
        <w:rPr>
          <w:color w:val="000000" w:themeColor="text1"/>
          <w:szCs w:val="22"/>
        </w:rPr>
        <w:fldChar w:fldCharType="separate"/>
      </w:r>
      <w:r w:rsidR="00F87DF9" w:rsidRPr="00064DB3">
        <w:t xml:space="preserve">Figure </w:t>
      </w:r>
      <w:r w:rsidR="00F87DF9">
        <w:rPr>
          <w:noProof/>
        </w:rPr>
        <w:t>97</w:t>
      </w:r>
      <w:r w:rsidR="006C4D04">
        <w:rPr>
          <w:color w:val="000000" w:themeColor="text1"/>
          <w:szCs w:val="22"/>
        </w:rPr>
        <w:fldChar w:fldCharType="end"/>
      </w:r>
      <w:r w:rsidR="006C4D04">
        <w:rPr>
          <w:color w:val="000000" w:themeColor="text1"/>
          <w:szCs w:val="22"/>
        </w:rPr>
        <w:t xml:space="preserve">, </w:t>
      </w:r>
      <w:r w:rsidR="006C4D04">
        <w:rPr>
          <w:color w:val="000000" w:themeColor="text1"/>
          <w:szCs w:val="22"/>
        </w:rPr>
        <w:fldChar w:fldCharType="begin"/>
      </w:r>
      <w:r w:rsidR="006C4D04">
        <w:rPr>
          <w:color w:val="000000" w:themeColor="text1"/>
          <w:szCs w:val="22"/>
        </w:rPr>
        <w:instrText xml:space="preserve"> REF _Ref442347820 \h </w:instrText>
      </w:r>
      <w:r w:rsidR="006C4D04">
        <w:rPr>
          <w:color w:val="000000" w:themeColor="text1"/>
          <w:szCs w:val="22"/>
        </w:rPr>
      </w:r>
      <w:r w:rsidR="006C4D04">
        <w:rPr>
          <w:color w:val="000000" w:themeColor="text1"/>
          <w:szCs w:val="22"/>
        </w:rPr>
        <w:fldChar w:fldCharType="separate"/>
      </w:r>
      <w:r w:rsidR="00F87DF9">
        <w:t xml:space="preserve">Figure </w:t>
      </w:r>
      <w:r w:rsidR="00F87DF9">
        <w:rPr>
          <w:noProof/>
        </w:rPr>
        <w:t>98</w:t>
      </w:r>
      <w:r w:rsidR="006C4D04">
        <w:rPr>
          <w:color w:val="000000" w:themeColor="text1"/>
          <w:szCs w:val="22"/>
        </w:rPr>
        <w:fldChar w:fldCharType="end"/>
      </w:r>
      <w:r w:rsidR="006C4D04">
        <w:rPr>
          <w:color w:val="000000" w:themeColor="text1"/>
          <w:szCs w:val="22"/>
        </w:rPr>
        <w:t xml:space="preserve">, </w:t>
      </w:r>
      <w:r w:rsidR="006C4D04">
        <w:rPr>
          <w:color w:val="000000" w:themeColor="text1"/>
          <w:szCs w:val="22"/>
        </w:rPr>
        <w:fldChar w:fldCharType="begin"/>
      </w:r>
      <w:r w:rsidR="006C4D04">
        <w:rPr>
          <w:color w:val="000000" w:themeColor="text1"/>
          <w:szCs w:val="22"/>
        </w:rPr>
        <w:instrText xml:space="preserve"> REF _Ref507770818 \h </w:instrText>
      </w:r>
      <w:r w:rsidR="006C4D04">
        <w:rPr>
          <w:color w:val="000000" w:themeColor="text1"/>
          <w:szCs w:val="22"/>
        </w:rPr>
      </w:r>
      <w:r w:rsidR="006C4D04">
        <w:rPr>
          <w:color w:val="000000" w:themeColor="text1"/>
          <w:szCs w:val="22"/>
        </w:rPr>
        <w:fldChar w:fldCharType="separate"/>
      </w:r>
      <w:r w:rsidR="00F87DF9">
        <w:t xml:space="preserve">Figure </w:t>
      </w:r>
      <w:r w:rsidR="00F87DF9">
        <w:rPr>
          <w:noProof/>
        </w:rPr>
        <w:t>99</w:t>
      </w:r>
      <w:r w:rsidR="006C4D04">
        <w:rPr>
          <w:color w:val="000000" w:themeColor="text1"/>
          <w:szCs w:val="22"/>
        </w:rPr>
        <w:fldChar w:fldCharType="end"/>
      </w:r>
      <w:r w:rsidR="006C4D04">
        <w:rPr>
          <w:color w:val="000000" w:themeColor="text1"/>
          <w:szCs w:val="22"/>
        </w:rPr>
        <w:t>)</w:t>
      </w:r>
      <w:r w:rsidR="00783626" w:rsidRPr="00783626">
        <w:rPr>
          <w:color w:val="000000" w:themeColor="text1"/>
          <w:szCs w:val="22"/>
        </w:rPr>
        <w:t xml:space="preserve">. </w:t>
      </w:r>
      <w:r w:rsidR="003D7D5F">
        <w:rPr>
          <w:color w:val="000000" w:themeColor="text1"/>
          <w:szCs w:val="22"/>
        </w:rPr>
        <w:t>In addition, the region was affected by above average river discharge, lower than average light levels and extremely high temperatures (mean temperature was &gt;2</w:t>
      </w:r>
      <w:r w:rsidR="003D7D5F">
        <w:rPr>
          <w:rFonts w:cs="Calibri"/>
          <w:color w:val="000000" w:themeColor="text1"/>
          <w:szCs w:val="22"/>
        </w:rPr>
        <w:t>°</w:t>
      </w:r>
      <w:r w:rsidR="003D7D5F">
        <w:rPr>
          <w:color w:val="000000" w:themeColor="text1"/>
          <w:szCs w:val="22"/>
        </w:rPr>
        <w:t xml:space="preserve">C above average for the region). The high temperatures are particularly stressful for </w:t>
      </w:r>
      <w:r w:rsidR="003D7D5F" w:rsidRPr="003D7D5F">
        <w:rPr>
          <w:i/>
          <w:color w:val="000000" w:themeColor="text1"/>
          <w:szCs w:val="22"/>
        </w:rPr>
        <w:t>Z. muelleri</w:t>
      </w:r>
      <w:r w:rsidR="003D7D5F">
        <w:rPr>
          <w:color w:val="000000" w:themeColor="text1"/>
          <w:szCs w:val="22"/>
        </w:rPr>
        <w:t xml:space="preserve"> communities as </w:t>
      </w:r>
      <w:r w:rsidR="006E40B2" w:rsidRPr="006E40B2">
        <w:rPr>
          <w:color w:val="000000" w:themeColor="text1"/>
          <w:szCs w:val="22"/>
        </w:rPr>
        <w:t>it</w:t>
      </w:r>
      <w:r w:rsidR="003D7D5F" w:rsidRPr="006E40B2">
        <w:rPr>
          <w:color w:val="000000" w:themeColor="text1"/>
          <w:szCs w:val="22"/>
        </w:rPr>
        <w:t xml:space="preserve"> </w:t>
      </w:r>
      <w:r w:rsidR="003D7D5F">
        <w:rPr>
          <w:color w:val="000000" w:themeColor="text1"/>
          <w:szCs w:val="22"/>
        </w:rPr>
        <w:t>has a thermal optima for overall net primary productivity of 24</w:t>
      </w:r>
      <w:r w:rsidR="003D7D5F">
        <w:rPr>
          <w:rFonts w:cs="Calibri"/>
          <w:color w:val="000000" w:themeColor="text1"/>
          <w:szCs w:val="22"/>
        </w:rPr>
        <w:t>°</w:t>
      </w:r>
      <w:r w:rsidR="003D7D5F">
        <w:rPr>
          <w:color w:val="000000" w:themeColor="text1"/>
          <w:szCs w:val="22"/>
        </w:rPr>
        <w:t xml:space="preserve">C </w:t>
      </w:r>
      <w:r w:rsidR="006E40B2">
        <w:rPr>
          <w:color w:val="000000" w:themeColor="text1"/>
          <w:szCs w:val="22"/>
        </w:rPr>
        <w:t xml:space="preserve"> and a</w:t>
      </w:r>
      <w:r w:rsidR="003D7D5F">
        <w:rPr>
          <w:color w:val="000000" w:themeColor="text1"/>
          <w:szCs w:val="22"/>
        </w:rPr>
        <w:t>bove 35</w:t>
      </w:r>
      <w:r w:rsidR="003D7D5F">
        <w:rPr>
          <w:rFonts w:cs="Calibri"/>
          <w:color w:val="000000" w:themeColor="text1"/>
          <w:szCs w:val="22"/>
        </w:rPr>
        <w:t>°</w:t>
      </w:r>
      <w:r w:rsidR="003D7D5F">
        <w:rPr>
          <w:color w:val="000000" w:themeColor="text1"/>
          <w:szCs w:val="22"/>
        </w:rPr>
        <w:t>C net productivity goes into deficit i.e. it loses energy</w:t>
      </w:r>
      <w:r w:rsidR="006E40B2">
        <w:rPr>
          <w:color w:val="000000" w:themeColor="text1"/>
          <w:szCs w:val="22"/>
        </w:rPr>
        <w:t xml:space="preserve"> (Collier et al 2017)</w:t>
      </w:r>
      <w:r w:rsidR="003D7D5F">
        <w:rPr>
          <w:color w:val="000000" w:themeColor="text1"/>
          <w:szCs w:val="22"/>
        </w:rPr>
        <w:t>. This is in stark contrast to other tropical species</w:t>
      </w:r>
      <w:r w:rsidR="006E40B2">
        <w:rPr>
          <w:color w:val="000000" w:themeColor="text1"/>
          <w:szCs w:val="22"/>
        </w:rPr>
        <w:t xml:space="preserve"> (</w:t>
      </w:r>
      <w:r w:rsidR="006E40B2" w:rsidRPr="006E40B2">
        <w:rPr>
          <w:i/>
          <w:color w:val="000000" w:themeColor="text1"/>
          <w:szCs w:val="22"/>
        </w:rPr>
        <w:t>H. uninervis</w:t>
      </w:r>
      <w:r w:rsidR="006E40B2">
        <w:rPr>
          <w:color w:val="000000" w:themeColor="text1"/>
          <w:szCs w:val="22"/>
        </w:rPr>
        <w:t xml:space="preserve"> and </w:t>
      </w:r>
      <w:r w:rsidR="006E40B2" w:rsidRPr="006E40B2">
        <w:rPr>
          <w:i/>
          <w:color w:val="000000" w:themeColor="text1"/>
          <w:szCs w:val="22"/>
        </w:rPr>
        <w:t>C. serrulata</w:t>
      </w:r>
      <w:r w:rsidR="006E40B2">
        <w:rPr>
          <w:color w:val="000000" w:themeColor="text1"/>
          <w:szCs w:val="22"/>
        </w:rPr>
        <w:t>)</w:t>
      </w:r>
      <w:r w:rsidR="00FA56EE">
        <w:rPr>
          <w:color w:val="000000" w:themeColor="text1"/>
          <w:szCs w:val="22"/>
        </w:rPr>
        <w:t xml:space="preserve">, </w:t>
      </w:r>
      <w:r w:rsidR="003D7D5F">
        <w:rPr>
          <w:color w:val="000000" w:themeColor="text1"/>
          <w:szCs w:val="22"/>
        </w:rPr>
        <w:t xml:space="preserve">which </w:t>
      </w:r>
      <w:r w:rsidR="00FA56EE">
        <w:rPr>
          <w:color w:val="000000" w:themeColor="text1"/>
          <w:szCs w:val="22"/>
        </w:rPr>
        <w:t>must exceed 40</w:t>
      </w:r>
      <w:r w:rsidR="00FA56EE">
        <w:rPr>
          <w:rFonts w:cs="Calibri"/>
          <w:color w:val="000000" w:themeColor="text1"/>
          <w:szCs w:val="22"/>
        </w:rPr>
        <w:t>°</w:t>
      </w:r>
      <w:r w:rsidR="00FA56EE">
        <w:rPr>
          <w:color w:val="000000" w:themeColor="text1"/>
          <w:szCs w:val="22"/>
        </w:rPr>
        <w:t>C for respiration rates and photoinhibition to cause the plants to lose energy</w:t>
      </w:r>
      <w:r w:rsidR="0075107B">
        <w:rPr>
          <w:color w:val="000000" w:themeColor="text1"/>
          <w:szCs w:val="22"/>
        </w:rPr>
        <w:t xml:space="preserve"> for pulsed exposure</w:t>
      </w:r>
      <w:r w:rsidR="006E40B2">
        <w:rPr>
          <w:color w:val="000000" w:themeColor="text1"/>
          <w:szCs w:val="22"/>
        </w:rPr>
        <w:t xml:space="preserve"> (Collier et al 2017)</w:t>
      </w:r>
      <w:r w:rsidR="00FA56EE">
        <w:rPr>
          <w:color w:val="000000" w:themeColor="text1"/>
          <w:szCs w:val="22"/>
        </w:rPr>
        <w:t xml:space="preserve">. </w:t>
      </w:r>
      <w:r w:rsidR="003D7D5F">
        <w:rPr>
          <w:color w:val="000000" w:themeColor="text1"/>
          <w:szCs w:val="22"/>
        </w:rPr>
        <w:t xml:space="preserve">In </w:t>
      </w:r>
      <w:r w:rsidR="008574EC">
        <w:rPr>
          <w:color w:val="000000" w:themeColor="text1"/>
          <w:szCs w:val="22"/>
        </w:rPr>
        <w:t>2016–17</w:t>
      </w:r>
      <w:r w:rsidR="003D7D5F">
        <w:rPr>
          <w:color w:val="000000" w:themeColor="text1"/>
          <w:szCs w:val="22"/>
        </w:rPr>
        <w:t xml:space="preserve"> water temperature exceeded 35</w:t>
      </w:r>
      <w:r w:rsidR="003D7D5F">
        <w:rPr>
          <w:rFonts w:cs="Calibri"/>
          <w:color w:val="000000" w:themeColor="text1"/>
          <w:szCs w:val="22"/>
        </w:rPr>
        <w:t>°</w:t>
      </w:r>
      <w:r w:rsidR="003D7D5F">
        <w:rPr>
          <w:color w:val="000000" w:themeColor="text1"/>
          <w:szCs w:val="22"/>
        </w:rPr>
        <w:t>C</w:t>
      </w:r>
      <w:r w:rsidR="00FA56EE">
        <w:rPr>
          <w:color w:val="000000" w:themeColor="text1"/>
          <w:szCs w:val="22"/>
        </w:rPr>
        <w:t xml:space="preserve"> on 70 days of the year</w:t>
      </w:r>
      <w:r w:rsidR="003D7D5F">
        <w:rPr>
          <w:color w:val="000000" w:themeColor="text1"/>
          <w:szCs w:val="22"/>
        </w:rPr>
        <w:t xml:space="preserve"> and this is likely to have placed a substantial stress on these </w:t>
      </w:r>
      <w:r w:rsidR="003D7D5F" w:rsidRPr="00FA56EE">
        <w:rPr>
          <w:i/>
          <w:color w:val="000000" w:themeColor="text1"/>
          <w:szCs w:val="22"/>
        </w:rPr>
        <w:t>Z. muelleri</w:t>
      </w:r>
      <w:r w:rsidR="003D7D5F">
        <w:rPr>
          <w:color w:val="000000" w:themeColor="text1"/>
          <w:szCs w:val="22"/>
        </w:rPr>
        <w:t xml:space="preserve"> dominated communities</w:t>
      </w:r>
      <w:r w:rsidR="00FD402D">
        <w:rPr>
          <w:color w:val="000000" w:themeColor="text1"/>
          <w:szCs w:val="22"/>
        </w:rPr>
        <w:t xml:space="preserve"> at Pelican banks in Gladstone Harbour</w:t>
      </w:r>
      <w:r w:rsidR="003D7D5F">
        <w:rPr>
          <w:color w:val="000000" w:themeColor="text1"/>
          <w:szCs w:val="22"/>
        </w:rPr>
        <w:t xml:space="preserve">. </w:t>
      </w:r>
      <w:r w:rsidR="00783626" w:rsidRPr="00783626">
        <w:rPr>
          <w:color w:val="000000" w:themeColor="text1"/>
          <w:szCs w:val="22"/>
        </w:rPr>
        <w:t>By contrast</w:t>
      </w:r>
      <w:r w:rsidR="00A43334" w:rsidRPr="00783626">
        <w:rPr>
          <w:color w:val="000000" w:themeColor="text1"/>
          <w:szCs w:val="22"/>
        </w:rPr>
        <w:t xml:space="preserve">, </w:t>
      </w:r>
      <w:r w:rsidR="00783626" w:rsidRPr="00783626">
        <w:rPr>
          <w:color w:val="000000" w:themeColor="text1"/>
          <w:szCs w:val="22"/>
        </w:rPr>
        <w:t>abu</w:t>
      </w:r>
      <w:r w:rsidR="00FA56EE">
        <w:rPr>
          <w:color w:val="000000" w:themeColor="text1"/>
          <w:szCs w:val="22"/>
        </w:rPr>
        <w:t>n</w:t>
      </w:r>
      <w:r w:rsidR="00783626" w:rsidRPr="00783626">
        <w:rPr>
          <w:color w:val="000000" w:themeColor="text1"/>
          <w:szCs w:val="22"/>
        </w:rPr>
        <w:t xml:space="preserve">dance has </w:t>
      </w:r>
      <w:r w:rsidR="00A43334" w:rsidRPr="00783626">
        <w:rPr>
          <w:color w:val="000000" w:themeColor="text1"/>
          <w:szCs w:val="22"/>
        </w:rPr>
        <w:t>increased in coastal habitat</w:t>
      </w:r>
      <w:r w:rsidR="00FA56EE">
        <w:rPr>
          <w:color w:val="000000" w:themeColor="text1"/>
          <w:szCs w:val="22"/>
        </w:rPr>
        <w:t xml:space="preserve"> of Shoalwater Bay, </w:t>
      </w:r>
      <w:r w:rsidR="00783626" w:rsidRPr="00783626">
        <w:rPr>
          <w:color w:val="000000" w:themeColor="text1"/>
          <w:szCs w:val="22"/>
        </w:rPr>
        <w:t xml:space="preserve">doubling in the previous two years </w:t>
      </w:r>
      <w:r w:rsidR="007A7879">
        <w:rPr>
          <w:color w:val="000000" w:themeColor="text1"/>
          <w:szCs w:val="22"/>
        </w:rPr>
        <w:t xml:space="preserve">and </w:t>
      </w:r>
      <w:r w:rsidR="007A7879" w:rsidRPr="007A7879">
        <w:rPr>
          <w:color w:val="000000" w:themeColor="text1"/>
          <w:szCs w:val="22"/>
        </w:rPr>
        <w:t xml:space="preserve">the greatest they have been since 2011, </w:t>
      </w:r>
      <w:r w:rsidR="00783626" w:rsidRPr="00783626">
        <w:rPr>
          <w:color w:val="000000" w:themeColor="text1"/>
          <w:szCs w:val="22"/>
        </w:rPr>
        <w:t xml:space="preserve">and remained stable in the </w:t>
      </w:r>
      <w:r w:rsidRPr="00783626">
        <w:rPr>
          <w:color w:val="000000" w:themeColor="text1"/>
          <w:szCs w:val="22"/>
        </w:rPr>
        <w:t>reef</w:t>
      </w:r>
      <w:r w:rsidR="00783626" w:rsidRPr="00783626">
        <w:rPr>
          <w:color w:val="000000" w:themeColor="text1"/>
          <w:szCs w:val="22"/>
        </w:rPr>
        <w:t xml:space="preserve"> habitat</w:t>
      </w:r>
      <w:r w:rsidRPr="00783626">
        <w:rPr>
          <w:color w:val="000000" w:themeColor="text1"/>
          <w:szCs w:val="22"/>
        </w:rPr>
        <w:t xml:space="preserve">. </w:t>
      </w:r>
      <w:r w:rsidR="00FD402D">
        <w:rPr>
          <w:color w:val="000000" w:themeColor="text1"/>
          <w:szCs w:val="22"/>
        </w:rPr>
        <w:t xml:space="preserve">These habitats are also comprised of the thermally tolerant </w:t>
      </w:r>
      <w:r w:rsidR="00FD402D" w:rsidRPr="00FD402D">
        <w:rPr>
          <w:i/>
          <w:color w:val="000000" w:themeColor="text1"/>
          <w:szCs w:val="22"/>
        </w:rPr>
        <w:t>H. uninervis</w:t>
      </w:r>
      <w:r w:rsidR="00FD402D">
        <w:rPr>
          <w:color w:val="000000" w:themeColor="text1"/>
          <w:szCs w:val="22"/>
        </w:rPr>
        <w:t xml:space="preserve">, which may even have benefitted from the above-average water temperature. </w:t>
      </w:r>
      <w:r w:rsidR="00447BD8" w:rsidRPr="00447BD8">
        <w:rPr>
          <w:color w:val="000000" w:themeColor="text1"/>
        </w:rPr>
        <w:t>Due to the large variability in trends among the habitats, there has been no significant change in sites combined within the region (</w:t>
      </w:r>
      <w:r w:rsidR="00447BD8" w:rsidRPr="00447BD8">
        <w:rPr>
          <w:color w:val="000000" w:themeColor="text1"/>
        </w:rPr>
        <w:fldChar w:fldCharType="begin"/>
      </w:r>
      <w:r w:rsidR="00447BD8" w:rsidRPr="00447BD8">
        <w:rPr>
          <w:color w:val="000000" w:themeColor="text1"/>
        </w:rPr>
        <w:instrText xml:space="preserve"> REF _Ref442347820 \h </w:instrText>
      </w:r>
      <w:r w:rsidR="00447BD8" w:rsidRPr="00447BD8">
        <w:rPr>
          <w:color w:val="000000" w:themeColor="text1"/>
        </w:rPr>
      </w:r>
      <w:r w:rsidR="00447BD8" w:rsidRPr="00447BD8">
        <w:rPr>
          <w:color w:val="000000" w:themeColor="text1"/>
        </w:rPr>
        <w:fldChar w:fldCharType="separate"/>
      </w:r>
      <w:r w:rsidR="00F87DF9">
        <w:t xml:space="preserve">Figure </w:t>
      </w:r>
      <w:r w:rsidR="00F87DF9">
        <w:rPr>
          <w:noProof/>
        </w:rPr>
        <w:t>98</w:t>
      </w:r>
      <w:r w:rsidR="00447BD8" w:rsidRPr="00447BD8">
        <w:rPr>
          <w:color w:val="000000" w:themeColor="text1"/>
        </w:rPr>
        <w:fldChar w:fldCharType="end"/>
      </w:r>
      <w:r w:rsidR="00447BD8" w:rsidRPr="00447BD8">
        <w:rPr>
          <w:color w:val="000000" w:themeColor="text1"/>
        </w:rPr>
        <w:t xml:space="preserve">). </w:t>
      </w:r>
    </w:p>
    <w:p w14:paraId="240CD085" w14:textId="6D81CC12" w:rsidR="007E1DF9" w:rsidRPr="00844AC3" w:rsidRDefault="007E1DF9" w:rsidP="00D7797C">
      <w:pPr>
        <w:rPr>
          <w:szCs w:val="22"/>
        </w:rPr>
      </w:pPr>
    </w:p>
    <w:p w14:paraId="1AA8340B" w14:textId="77777777" w:rsidR="007E1DF9" w:rsidRDefault="006D0E2B" w:rsidP="00271910">
      <w:pPr>
        <w:keepNext/>
        <w:widowControl w:val="0"/>
        <w:spacing w:after="0"/>
        <w:jc w:val="center"/>
        <w:rPr>
          <w:color w:val="000000"/>
          <w:szCs w:val="22"/>
        </w:rPr>
      </w:pPr>
      <w:r>
        <w:rPr>
          <w:noProof/>
          <w:color w:val="000000"/>
          <w:szCs w:val="22"/>
          <w:lang w:eastAsia="en-AU"/>
        </w:rPr>
        <w:drawing>
          <wp:inline distT="0" distB="0" distL="0" distR="0" wp14:anchorId="59271353" wp14:editId="7A471150">
            <wp:extent cx="4514400" cy="3291750"/>
            <wp:effectExtent l="0" t="0" r="635" b="4445"/>
            <wp:docPr id="10153" name="Picture 10153" descr="Set of three scatter plots with straight lines and markers showing seagrass abundance (% cover and standard error) at inshore intertidal habitats (replicate sites pooled) in the Fitzroy NRM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3" name="F_SG16.png"/>
                    <pic:cNvPicPr/>
                  </pic:nvPicPr>
                  <pic:blipFill>
                    <a:blip r:embed="rId135"/>
                    <a:stretch>
                      <a:fillRect/>
                    </a:stretch>
                  </pic:blipFill>
                  <pic:spPr>
                    <a:xfrm>
                      <a:off x="0" y="0"/>
                      <a:ext cx="4514400" cy="3291750"/>
                    </a:xfrm>
                    <a:prstGeom prst="rect">
                      <a:avLst/>
                    </a:prstGeom>
                  </pic:spPr>
                </pic:pic>
              </a:graphicData>
            </a:graphic>
          </wp:inline>
        </w:drawing>
      </w:r>
    </w:p>
    <w:p w14:paraId="41E1468A" w14:textId="3765407D" w:rsidR="00244FEE" w:rsidRPr="00783626" w:rsidRDefault="00B83745" w:rsidP="00244FEE">
      <w:pPr>
        <w:rPr>
          <w:i/>
          <w:vanish/>
          <w:color w:val="000000" w:themeColor="text1"/>
          <w:szCs w:val="22"/>
          <w:specVanish/>
        </w:rPr>
      </w:pPr>
      <w:bookmarkStart w:id="534" w:name="_Ref179509292"/>
      <w:bookmarkStart w:id="535" w:name="_Toc176158918"/>
      <w:bookmarkStart w:id="536" w:name="_Toc232846013"/>
      <w:bookmarkStart w:id="537" w:name="_Toc431493887"/>
      <w:bookmarkStart w:id="538" w:name="_Ref509323797"/>
      <w:bookmarkStart w:id="539" w:name="_Toc516053307"/>
      <w:r w:rsidRPr="00064DB3">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97</w:t>
      </w:r>
      <w:r w:rsidR="00C506C7">
        <w:rPr>
          <w:noProof/>
        </w:rPr>
        <w:fldChar w:fldCharType="end"/>
      </w:r>
      <w:bookmarkEnd w:id="534"/>
      <w:r w:rsidRPr="00064DB3">
        <w:t xml:space="preserve">. </w:t>
      </w:r>
      <w:bookmarkEnd w:id="535"/>
      <w:bookmarkEnd w:id="536"/>
      <w:r w:rsidRPr="00064DB3">
        <w:rPr>
          <w:i/>
        </w:rPr>
        <w:t>Changes in seagrass abundance (</w:t>
      </w:r>
      <w:r w:rsidR="0063478C">
        <w:rPr>
          <w:i/>
        </w:rPr>
        <w:t>per cent</w:t>
      </w:r>
      <w:r w:rsidRPr="00064DB3">
        <w:rPr>
          <w:i/>
        </w:rPr>
        <w:t xml:space="preserve"> cover ±</w:t>
      </w:r>
      <w:r w:rsidR="009C7692">
        <w:rPr>
          <w:i/>
        </w:rPr>
        <w:t xml:space="preserve"> SE</w:t>
      </w:r>
      <w:r w:rsidRPr="00064DB3">
        <w:rPr>
          <w:i/>
        </w:rPr>
        <w:t xml:space="preserve">) in </w:t>
      </w:r>
      <w:r w:rsidR="00244FEE" w:rsidRPr="00064DB3">
        <w:rPr>
          <w:i/>
        </w:rPr>
        <w:t xml:space="preserve">inshore intertidal habitats of the Fitzroy region, 2001 </w:t>
      </w:r>
      <w:r w:rsidR="00244FEE" w:rsidRPr="00783626">
        <w:rPr>
          <w:i/>
          <w:color w:val="000000" w:themeColor="text1"/>
        </w:rPr>
        <w:t>- 201</w:t>
      </w:r>
      <w:bookmarkEnd w:id="537"/>
      <w:r w:rsidR="00783626" w:rsidRPr="00783626">
        <w:rPr>
          <w:i/>
          <w:color w:val="000000" w:themeColor="text1"/>
        </w:rPr>
        <w:t>7</w:t>
      </w:r>
      <w:bookmarkEnd w:id="538"/>
      <w:bookmarkEnd w:id="539"/>
    </w:p>
    <w:p w14:paraId="7A5BECFA" w14:textId="7F382D6F" w:rsidR="00244FEE" w:rsidRDefault="00244FEE" w:rsidP="00244FEE">
      <w:pPr>
        <w:rPr>
          <w:i/>
        </w:rPr>
      </w:pPr>
      <w:r w:rsidRPr="00783626">
        <w:rPr>
          <w:i/>
          <w:color w:val="000000" w:themeColor="text1"/>
        </w:rPr>
        <w:t xml:space="preserve">: </w:t>
      </w:r>
      <w:r w:rsidR="00B83745" w:rsidRPr="00064DB3">
        <w:rPr>
          <w:i/>
        </w:rPr>
        <w:t xml:space="preserve">a) estuarine (Gladstone Harbour, b) coastal (Shoalwater Bay) and c) reef (Great Keppel Island). </w:t>
      </w:r>
    </w:p>
    <w:p w14:paraId="2933F16A" w14:textId="77777777" w:rsidR="000115D2" w:rsidRPr="00064DB3" w:rsidRDefault="000115D2" w:rsidP="00244FEE"/>
    <w:p w14:paraId="7D66DFA5" w14:textId="77777777" w:rsidR="00F520E9" w:rsidRDefault="00EB62A9" w:rsidP="00F520E9">
      <w:pPr>
        <w:keepNext/>
        <w:widowControl w:val="0"/>
        <w:spacing w:after="0"/>
        <w:jc w:val="center"/>
        <w:rPr>
          <w:color w:val="000000"/>
          <w:szCs w:val="22"/>
        </w:rPr>
      </w:pPr>
      <w:r>
        <w:rPr>
          <w:noProof/>
          <w:color w:val="000000"/>
          <w:szCs w:val="22"/>
          <w:lang w:eastAsia="en-AU"/>
        </w:rPr>
        <w:drawing>
          <wp:inline distT="0" distB="0" distL="0" distR="0" wp14:anchorId="3CD5D073" wp14:editId="7D4449CB">
            <wp:extent cx="4320000" cy="2766896"/>
            <wp:effectExtent l="0" t="0" r="4445" b="0"/>
            <wp:docPr id="10154" name="Picture 10154" descr="GAM plot showing long-term temporal trends in seagrass abundance for each location in the Fitzroy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4" name="F_cvr_GAM_Dec16.png"/>
                    <pic:cNvPicPr/>
                  </pic:nvPicPr>
                  <pic:blipFill>
                    <a:blip r:embed="rId136">
                      <a:extLst>
                        <a:ext uri="{28A0092B-C50C-407E-A947-70E740481C1C}">
                          <a14:useLocalDpi xmlns:a14="http://schemas.microsoft.com/office/drawing/2010/main" val="0"/>
                        </a:ext>
                      </a:extLst>
                    </a:blip>
                    <a:stretch>
                      <a:fillRect/>
                    </a:stretch>
                  </pic:blipFill>
                  <pic:spPr>
                    <a:xfrm>
                      <a:off x="0" y="0"/>
                      <a:ext cx="4320000" cy="2766896"/>
                    </a:xfrm>
                    <a:prstGeom prst="rect">
                      <a:avLst/>
                    </a:prstGeom>
                  </pic:spPr>
                </pic:pic>
              </a:graphicData>
            </a:graphic>
          </wp:inline>
        </w:drawing>
      </w:r>
    </w:p>
    <w:p w14:paraId="6E9EB8DF" w14:textId="19FDAB90" w:rsidR="002868E0" w:rsidRPr="002A027E" w:rsidRDefault="00F520E9" w:rsidP="002868E0">
      <w:pPr>
        <w:pStyle w:val="Caption"/>
        <w:rPr>
          <w:i/>
          <w:vanish/>
          <w:specVanish/>
        </w:rPr>
      </w:pPr>
      <w:bookmarkStart w:id="540" w:name="_Ref442347820"/>
      <w:bookmarkStart w:id="541" w:name="_Toc516053308"/>
      <w:r>
        <w:t xml:space="preserve">Figure </w:t>
      </w:r>
      <w:r w:rsidR="0073595B">
        <w:fldChar w:fldCharType="begin"/>
      </w:r>
      <w:r w:rsidR="0073595B">
        <w:instrText xml:space="preserve"> SEQ Figure \* ARABIC </w:instrText>
      </w:r>
      <w:r w:rsidR="0073595B">
        <w:fldChar w:fldCharType="separate"/>
      </w:r>
      <w:r w:rsidR="00F87DF9">
        <w:rPr>
          <w:noProof/>
        </w:rPr>
        <w:t>98</w:t>
      </w:r>
      <w:r w:rsidR="0073595B">
        <w:fldChar w:fldCharType="end"/>
      </w:r>
      <w:bookmarkEnd w:id="540"/>
      <w:r>
        <w:t xml:space="preserve">.  </w:t>
      </w:r>
      <w:r w:rsidR="002868E0" w:rsidRPr="002868E0">
        <w:rPr>
          <w:i/>
        </w:rPr>
        <w:t>Temporal</w:t>
      </w:r>
      <w:r w:rsidR="002868E0">
        <w:t xml:space="preserve"> </w:t>
      </w:r>
      <w:r w:rsidR="002868E0" w:rsidRPr="002E6AD0">
        <w:rPr>
          <w:i/>
        </w:rPr>
        <w:t xml:space="preserve">trends </w:t>
      </w:r>
      <w:r w:rsidR="002868E0">
        <w:rPr>
          <w:i/>
        </w:rPr>
        <w:t>in s</w:t>
      </w:r>
      <w:r w:rsidR="002868E0" w:rsidRPr="002E6AD0">
        <w:rPr>
          <w:i/>
        </w:rPr>
        <w:t xml:space="preserve">eagrass abundance </w:t>
      </w:r>
      <w:r w:rsidR="002868E0">
        <w:rPr>
          <w:i/>
        </w:rPr>
        <w:t xml:space="preserve">for each habitat </w:t>
      </w:r>
      <w:r w:rsidR="002868E0" w:rsidRPr="002E6AD0">
        <w:rPr>
          <w:i/>
        </w:rPr>
        <w:t>in the Fitzroy region</w:t>
      </w:r>
      <w:r w:rsidR="00C25BF0">
        <w:rPr>
          <w:i/>
        </w:rPr>
        <w:t>,</w:t>
      </w:r>
      <w:r w:rsidR="00C25BF0" w:rsidRPr="00C25BF0">
        <w:rPr>
          <w:i/>
        </w:rPr>
        <w:t xml:space="preserve"> </w:t>
      </w:r>
      <w:r w:rsidR="00C25BF0" w:rsidRPr="002A027E">
        <w:rPr>
          <w:i/>
        </w:rPr>
        <w:t xml:space="preserve">represented by a GAM plot </w:t>
      </w:r>
      <w:r w:rsidR="00F45DFA" w:rsidRPr="002A027E">
        <w:rPr>
          <w:i/>
        </w:rPr>
        <w:t>2001</w:t>
      </w:r>
      <w:r w:rsidR="00C25BF0" w:rsidRPr="002A027E">
        <w:rPr>
          <w:i/>
        </w:rPr>
        <w:t>-201</w:t>
      </w:r>
      <w:r w:rsidR="002A027E" w:rsidRPr="002A027E">
        <w:rPr>
          <w:i/>
        </w:rPr>
        <w:t>7</w:t>
      </w:r>
      <w:r w:rsidR="002868E0" w:rsidRPr="002A027E">
        <w:rPr>
          <w:i/>
        </w:rPr>
        <w:t>.</w:t>
      </w:r>
      <w:bookmarkEnd w:id="541"/>
      <w:r w:rsidR="002868E0" w:rsidRPr="002A027E">
        <w:rPr>
          <w:i/>
        </w:rPr>
        <w:t xml:space="preserve"> </w:t>
      </w:r>
    </w:p>
    <w:p w14:paraId="5A272DA2" w14:textId="2EB42E4D" w:rsidR="00F520E9" w:rsidRDefault="002868E0" w:rsidP="002868E0">
      <w:pPr>
        <w:rPr>
          <w:i/>
        </w:rPr>
      </w:pPr>
      <w:r w:rsidRPr="002A027E">
        <w:rPr>
          <w:i/>
          <w:lang w:val="en-GB"/>
        </w:rPr>
        <w:t xml:space="preserve"> </w:t>
      </w:r>
      <w:r w:rsidRPr="002A027E">
        <w:rPr>
          <w:i/>
        </w:rPr>
        <w:t xml:space="preserve"> Regional trend (all habitats pooled) represented by black </w:t>
      </w:r>
      <w:r w:rsidRPr="002E6AD0">
        <w:rPr>
          <w:i/>
        </w:rPr>
        <w:t xml:space="preserve">line with </w:t>
      </w:r>
      <w:r>
        <w:rPr>
          <w:i/>
        </w:rPr>
        <w:t>grey</w:t>
      </w:r>
      <w:r w:rsidRPr="002E6AD0">
        <w:rPr>
          <w:i/>
        </w:rPr>
        <w:t xml:space="preserve"> shaded areas defining 95</w:t>
      </w:r>
      <w:r w:rsidR="0063478C">
        <w:rPr>
          <w:i/>
        </w:rPr>
        <w:t xml:space="preserve"> per cent</w:t>
      </w:r>
      <w:r w:rsidRPr="002E6AD0">
        <w:rPr>
          <w:i/>
        </w:rPr>
        <w:t xml:space="preserve"> confidence intervals.</w:t>
      </w:r>
    </w:p>
    <w:p w14:paraId="2C0E8BFA" w14:textId="77777777" w:rsidR="00EB62A9" w:rsidRDefault="00EB62A9" w:rsidP="00EB62A9">
      <w:pPr>
        <w:keepNext/>
        <w:widowControl w:val="0"/>
        <w:spacing w:after="0"/>
        <w:jc w:val="center"/>
        <w:rPr>
          <w:noProof/>
          <w:color w:val="000000"/>
          <w:szCs w:val="22"/>
          <w:lang w:eastAsia="en-AU"/>
        </w:rPr>
      </w:pPr>
      <w:r>
        <w:rPr>
          <w:noProof/>
          <w:color w:val="000000"/>
          <w:szCs w:val="22"/>
          <w:lang w:eastAsia="en-AU"/>
        </w:rPr>
        <w:drawing>
          <wp:inline distT="0" distB="0" distL="0" distR="0" wp14:anchorId="3B94C514" wp14:editId="6B82A3DA">
            <wp:extent cx="4318613" cy="2084399"/>
            <wp:effectExtent l="0" t="0" r="6350" b="0"/>
            <wp:docPr id="10155" name="Picture 10155" descr="Panel of 3 Generalised Additive Model plots showing temporal trends in seagrass abundance for each habitat in the Fitzroy NRM region since 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 name="F_hab_cvr_GAM_Dec16.png"/>
                    <pic:cNvPicPr/>
                  </pic:nvPicPr>
                  <pic:blipFill>
                    <a:blip r:embed="rId137">
                      <a:extLst>
                        <a:ext uri="{28A0092B-C50C-407E-A947-70E740481C1C}">
                          <a14:useLocalDpi xmlns:a14="http://schemas.microsoft.com/office/drawing/2010/main" val="0"/>
                        </a:ext>
                      </a:extLst>
                    </a:blip>
                    <a:stretch>
                      <a:fillRect/>
                    </a:stretch>
                  </pic:blipFill>
                  <pic:spPr>
                    <a:xfrm>
                      <a:off x="0" y="0"/>
                      <a:ext cx="4318613" cy="2084399"/>
                    </a:xfrm>
                    <a:prstGeom prst="rect">
                      <a:avLst/>
                    </a:prstGeom>
                  </pic:spPr>
                </pic:pic>
              </a:graphicData>
            </a:graphic>
          </wp:inline>
        </w:drawing>
      </w:r>
    </w:p>
    <w:p w14:paraId="32ADAD02" w14:textId="22E245AD" w:rsidR="00064DB3" w:rsidRPr="002A027E" w:rsidRDefault="00EB62A9" w:rsidP="00064DB3">
      <w:pPr>
        <w:rPr>
          <w:i/>
          <w:vanish/>
          <w:specVanish/>
        </w:rPr>
      </w:pPr>
      <w:bookmarkStart w:id="542" w:name="_Ref507770818"/>
      <w:bookmarkStart w:id="543" w:name="_Toc51605330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99</w:t>
      </w:r>
      <w:r w:rsidR="00C506C7">
        <w:rPr>
          <w:noProof/>
        </w:rPr>
        <w:fldChar w:fldCharType="end"/>
      </w:r>
      <w:bookmarkEnd w:id="542"/>
      <w:r>
        <w:t xml:space="preserve">. </w:t>
      </w:r>
      <w:r w:rsidR="00064DB3" w:rsidRPr="00A009CE">
        <w:rPr>
          <w:i/>
        </w:rPr>
        <w:t xml:space="preserve">Temporal trends in seagrass abundance for </w:t>
      </w:r>
      <w:r w:rsidR="00064DB3">
        <w:rPr>
          <w:i/>
        </w:rPr>
        <w:t>seagrass habitat</w:t>
      </w:r>
      <w:r w:rsidR="00064DB3" w:rsidRPr="00A009CE">
        <w:rPr>
          <w:i/>
        </w:rPr>
        <w:t xml:space="preserve"> in the </w:t>
      </w:r>
      <w:r w:rsidR="00064DB3">
        <w:rPr>
          <w:i/>
        </w:rPr>
        <w:t xml:space="preserve">Fitzroy </w:t>
      </w:r>
      <w:r w:rsidR="00064DB3" w:rsidRPr="00A009CE">
        <w:rPr>
          <w:i/>
        </w:rPr>
        <w:t xml:space="preserve">region </w:t>
      </w:r>
      <w:r w:rsidR="00064DB3" w:rsidRPr="002A027E">
        <w:rPr>
          <w:i/>
        </w:rPr>
        <w:t>represented by a GAM plot, 2001-201</w:t>
      </w:r>
      <w:r w:rsidR="002A027E" w:rsidRPr="002A027E">
        <w:rPr>
          <w:i/>
        </w:rPr>
        <w:t>7</w:t>
      </w:r>
      <w:r w:rsidR="00064DB3" w:rsidRPr="002A027E">
        <w:rPr>
          <w:i/>
        </w:rPr>
        <w:t>.</w:t>
      </w:r>
      <w:bookmarkEnd w:id="543"/>
    </w:p>
    <w:p w14:paraId="451CAD6B" w14:textId="516114B7" w:rsidR="00EB62A9" w:rsidRDefault="00064DB3" w:rsidP="00064DB3">
      <w:pPr>
        <w:pStyle w:val="Caption"/>
        <w:rPr>
          <w:color w:val="000000"/>
          <w:szCs w:val="22"/>
        </w:rPr>
      </w:pPr>
      <w:r w:rsidRPr="002A027E">
        <w:rPr>
          <w:i/>
        </w:rPr>
        <w:t xml:space="preserve">  Trends (locations pooled) represented by black line 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and quadrat data displayed as grey circles</w:t>
      </w:r>
      <w:r w:rsidRPr="00A009CE">
        <w:rPr>
          <w:i/>
        </w:rPr>
        <w:t>.</w:t>
      </w:r>
    </w:p>
    <w:p w14:paraId="7835B32A" w14:textId="46EAD90F" w:rsidR="007E1DF9" w:rsidRPr="008311D2" w:rsidRDefault="007E1DF9" w:rsidP="00034AD4">
      <w:pPr>
        <w:rPr>
          <w:color w:val="000000" w:themeColor="text1"/>
          <w:szCs w:val="22"/>
        </w:rPr>
      </w:pPr>
      <w:r w:rsidRPr="008311D2">
        <w:rPr>
          <w:color w:val="000000" w:themeColor="text1"/>
          <w:szCs w:val="22"/>
        </w:rPr>
        <w:t>Coastal meadows in Shoalwater Bay (Ross Creek and Wheelans Hut) had an increased proportion of colonising species (</w:t>
      </w:r>
      <w:r w:rsidRPr="008311D2">
        <w:rPr>
          <w:i/>
          <w:color w:val="000000" w:themeColor="text1"/>
          <w:szCs w:val="22"/>
        </w:rPr>
        <w:t>H. ovalis</w:t>
      </w:r>
      <w:r w:rsidRPr="008311D2">
        <w:rPr>
          <w:color w:val="000000" w:themeColor="text1"/>
          <w:szCs w:val="22"/>
        </w:rPr>
        <w:t xml:space="preserve">) after 2011 but remained dominated (&gt;0.5) by the opportunistic species </w:t>
      </w:r>
      <w:r w:rsidRPr="008311D2">
        <w:rPr>
          <w:i/>
          <w:color w:val="000000" w:themeColor="text1"/>
          <w:szCs w:val="22"/>
        </w:rPr>
        <w:t>Z. muelleri</w:t>
      </w:r>
      <w:r w:rsidRPr="008311D2">
        <w:rPr>
          <w:color w:val="000000" w:themeColor="text1"/>
          <w:szCs w:val="22"/>
        </w:rPr>
        <w:t xml:space="preserve"> and </w:t>
      </w:r>
      <w:r w:rsidRPr="008311D2">
        <w:rPr>
          <w:i/>
          <w:color w:val="000000" w:themeColor="text1"/>
          <w:szCs w:val="22"/>
        </w:rPr>
        <w:t>H. uninervis</w:t>
      </w:r>
      <w:r w:rsidR="00433675" w:rsidRPr="008311D2">
        <w:rPr>
          <w:i/>
          <w:color w:val="000000" w:themeColor="text1"/>
          <w:szCs w:val="22"/>
        </w:rPr>
        <w:t xml:space="preserve"> </w:t>
      </w:r>
      <w:r w:rsidR="00433675" w:rsidRPr="008311D2">
        <w:rPr>
          <w:color w:val="000000" w:themeColor="text1"/>
          <w:szCs w:val="22"/>
        </w:rPr>
        <w:t>(</w:t>
      </w:r>
      <w:r w:rsidR="00433675" w:rsidRPr="008311D2">
        <w:rPr>
          <w:color w:val="000000" w:themeColor="text1"/>
          <w:szCs w:val="22"/>
        </w:rPr>
        <w:fldChar w:fldCharType="begin"/>
      </w:r>
      <w:r w:rsidR="00433675" w:rsidRPr="008311D2">
        <w:rPr>
          <w:color w:val="000000" w:themeColor="text1"/>
          <w:szCs w:val="22"/>
        </w:rPr>
        <w:instrText xml:space="preserve"> REF _Ref382209569 \h </w:instrText>
      </w:r>
      <w:r w:rsidR="00433675" w:rsidRPr="008311D2">
        <w:rPr>
          <w:color w:val="000000" w:themeColor="text1"/>
          <w:szCs w:val="22"/>
        </w:rPr>
      </w:r>
      <w:r w:rsidR="00433675" w:rsidRPr="008311D2">
        <w:rPr>
          <w:color w:val="000000" w:themeColor="text1"/>
          <w:szCs w:val="22"/>
        </w:rPr>
        <w:fldChar w:fldCharType="separate"/>
      </w:r>
      <w:r w:rsidR="00F87DF9" w:rsidRPr="006B4212">
        <w:rPr>
          <w:color w:val="000000"/>
        </w:rPr>
        <w:t xml:space="preserve">Figure </w:t>
      </w:r>
      <w:r w:rsidR="00F87DF9">
        <w:rPr>
          <w:noProof/>
          <w:color w:val="000000"/>
        </w:rPr>
        <w:t>100</w:t>
      </w:r>
      <w:r w:rsidR="00433675" w:rsidRPr="008311D2">
        <w:rPr>
          <w:color w:val="000000" w:themeColor="text1"/>
          <w:szCs w:val="22"/>
        </w:rPr>
        <w:fldChar w:fldCharType="end"/>
      </w:r>
      <w:r w:rsidR="00433675" w:rsidRPr="008311D2">
        <w:rPr>
          <w:color w:val="000000" w:themeColor="text1"/>
          <w:szCs w:val="22"/>
        </w:rPr>
        <w:t>)</w:t>
      </w:r>
      <w:r w:rsidR="00BF7E27" w:rsidRPr="008311D2">
        <w:rPr>
          <w:color w:val="000000" w:themeColor="text1"/>
          <w:szCs w:val="22"/>
        </w:rPr>
        <w:t xml:space="preserve">. In </w:t>
      </w:r>
      <w:r w:rsidR="008574EC">
        <w:rPr>
          <w:color w:val="000000" w:themeColor="text1"/>
          <w:szCs w:val="22"/>
        </w:rPr>
        <w:t>2016–17</w:t>
      </w:r>
      <w:r w:rsidRPr="008311D2">
        <w:rPr>
          <w:color w:val="000000" w:themeColor="text1"/>
          <w:szCs w:val="22"/>
        </w:rPr>
        <w:t xml:space="preserve">, the proportion of these opportunistic species </w:t>
      </w:r>
      <w:r w:rsidR="008311D2" w:rsidRPr="008311D2">
        <w:rPr>
          <w:color w:val="000000" w:themeColor="text1"/>
          <w:szCs w:val="22"/>
        </w:rPr>
        <w:t>were unchanged</w:t>
      </w:r>
      <w:r w:rsidRPr="008311D2">
        <w:rPr>
          <w:color w:val="000000" w:themeColor="text1"/>
          <w:szCs w:val="22"/>
        </w:rPr>
        <w:t>.</w:t>
      </w:r>
      <w:r w:rsidR="00BF7E27" w:rsidRPr="008311D2">
        <w:rPr>
          <w:color w:val="000000" w:themeColor="text1"/>
          <w:szCs w:val="22"/>
        </w:rPr>
        <w:t xml:space="preserve"> </w:t>
      </w:r>
      <w:r w:rsidR="008311D2" w:rsidRPr="008311D2">
        <w:rPr>
          <w:color w:val="000000" w:themeColor="text1"/>
          <w:szCs w:val="22"/>
        </w:rPr>
        <w:t>T</w:t>
      </w:r>
      <w:r w:rsidR="00BF7E27" w:rsidRPr="008311D2">
        <w:rPr>
          <w:color w:val="000000" w:themeColor="text1"/>
          <w:szCs w:val="22"/>
        </w:rPr>
        <w:t xml:space="preserve">here was an increase in colonising species at the reef </w:t>
      </w:r>
      <w:r w:rsidR="006A62D7" w:rsidRPr="008311D2">
        <w:rPr>
          <w:color w:val="000000" w:themeColor="text1"/>
          <w:szCs w:val="22"/>
        </w:rPr>
        <w:t>sites</w:t>
      </w:r>
      <w:r w:rsidR="008311D2" w:rsidRPr="008311D2">
        <w:rPr>
          <w:color w:val="000000" w:themeColor="text1"/>
          <w:szCs w:val="22"/>
        </w:rPr>
        <w:t xml:space="preserve"> and estuarine sites, but the estuarine sites </w:t>
      </w:r>
      <w:r w:rsidR="00BF7E27" w:rsidRPr="008311D2">
        <w:rPr>
          <w:color w:val="000000" w:themeColor="text1"/>
          <w:szCs w:val="22"/>
        </w:rPr>
        <w:t xml:space="preserve">(Gladstone Harbour) continued to be dominated by the opportunistic foundational species </w:t>
      </w:r>
      <w:r w:rsidR="00BF7E27" w:rsidRPr="008311D2">
        <w:rPr>
          <w:i/>
          <w:color w:val="000000" w:themeColor="text1"/>
          <w:szCs w:val="22"/>
        </w:rPr>
        <w:t>Zostera muelleri</w:t>
      </w:r>
      <w:r w:rsidR="00BF7E27" w:rsidRPr="008311D2">
        <w:rPr>
          <w:color w:val="000000" w:themeColor="text1"/>
          <w:szCs w:val="22"/>
        </w:rPr>
        <w:t xml:space="preserve"> in </w:t>
      </w:r>
      <w:r w:rsidR="008574EC">
        <w:rPr>
          <w:color w:val="000000" w:themeColor="text1"/>
          <w:szCs w:val="22"/>
        </w:rPr>
        <w:t>2016–17</w:t>
      </w:r>
      <w:r w:rsidR="00BF7E27" w:rsidRPr="008311D2">
        <w:rPr>
          <w:color w:val="000000" w:themeColor="text1"/>
          <w:szCs w:val="22"/>
        </w:rPr>
        <w:t>.</w:t>
      </w:r>
      <w:r w:rsidRPr="008311D2">
        <w:rPr>
          <w:color w:val="000000" w:themeColor="text1"/>
          <w:szCs w:val="22"/>
        </w:rPr>
        <w:t xml:space="preserve"> </w:t>
      </w:r>
    </w:p>
    <w:p w14:paraId="3F275588" w14:textId="77777777" w:rsidR="007E1DF9" w:rsidRDefault="00EB62A9" w:rsidP="00C91494">
      <w:pPr>
        <w:keepNext/>
        <w:widowControl w:val="0"/>
        <w:spacing w:after="0"/>
        <w:jc w:val="center"/>
        <w:rPr>
          <w:color w:val="000000"/>
          <w:szCs w:val="22"/>
        </w:rPr>
      </w:pPr>
      <w:r>
        <w:rPr>
          <w:noProof/>
          <w:color w:val="000000"/>
          <w:szCs w:val="22"/>
          <w:lang w:eastAsia="en-AU"/>
        </w:rPr>
        <w:drawing>
          <wp:inline distT="0" distB="0" distL="0" distR="0" wp14:anchorId="617968CA" wp14:editId="3BF341D7">
            <wp:extent cx="4976369" cy="1803600"/>
            <wp:effectExtent l="0" t="0" r="0" b="6350"/>
            <wp:docPr id="10156" name="Picture 10156" descr="Panel of three area plots showing proportion of seagrass abundance composed of species displaying colonising traits at inshore habitats in the Fitzroy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 name="F_colonising_2016.png"/>
                    <pic:cNvPicPr/>
                  </pic:nvPicPr>
                  <pic:blipFill>
                    <a:blip r:embed="rId138">
                      <a:extLst>
                        <a:ext uri="{28A0092B-C50C-407E-A947-70E740481C1C}">
                          <a14:useLocalDpi xmlns:a14="http://schemas.microsoft.com/office/drawing/2010/main" val="0"/>
                        </a:ext>
                      </a:extLst>
                    </a:blip>
                    <a:stretch>
                      <a:fillRect/>
                    </a:stretch>
                  </pic:blipFill>
                  <pic:spPr>
                    <a:xfrm>
                      <a:off x="0" y="0"/>
                      <a:ext cx="4976369" cy="1803600"/>
                    </a:xfrm>
                    <a:prstGeom prst="rect">
                      <a:avLst/>
                    </a:prstGeom>
                  </pic:spPr>
                </pic:pic>
              </a:graphicData>
            </a:graphic>
          </wp:inline>
        </w:drawing>
      </w:r>
    </w:p>
    <w:p w14:paraId="6309253C" w14:textId="5803C289" w:rsidR="00244FEE" w:rsidRPr="002A027E" w:rsidRDefault="008C4B1E" w:rsidP="00244FEE">
      <w:pPr>
        <w:rPr>
          <w:i/>
          <w:vanish/>
          <w:szCs w:val="22"/>
          <w:specVanish/>
        </w:rPr>
      </w:pPr>
      <w:bookmarkStart w:id="544" w:name="_Ref382209569"/>
      <w:bookmarkStart w:id="545" w:name="_Toc431493888"/>
      <w:bookmarkStart w:id="546" w:name="_Toc516053310"/>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100</w:t>
      </w:r>
      <w:r w:rsidR="0073595B">
        <w:rPr>
          <w:color w:val="000000"/>
        </w:rPr>
        <w:fldChar w:fldCharType="end"/>
      </w:r>
      <w:bookmarkEnd w:id="544"/>
      <w:r w:rsidRPr="006B4212">
        <w:rPr>
          <w:color w:val="000000"/>
        </w:rPr>
        <w:t xml:space="preserve">. </w:t>
      </w:r>
      <w:r w:rsidRPr="006B4212">
        <w:rPr>
          <w:i/>
          <w:color w:val="000000"/>
        </w:rPr>
        <w:t xml:space="preserve">Proportion of seagrass abundance composed of </w:t>
      </w:r>
      <w:r w:rsidR="007E1DF9">
        <w:rPr>
          <w:i/>
          <w:color w:val="000000"/>
        </w:rPr>
        <w:t>colonising</w:t>
      </w:r>
      <w:r w:rsidRPr="006B4212">
        <w:rPr>
          <w:i/>
          <w:color w:val="000000"/>
        </w:rPr>
        <w:t xml:space="preserve"> species</w:t>
      </w:r>
      <w:r w:rsidR="00244FEE" w:rsidRPr="006B4212">
        <w:rPr>
          <w:i/>
          <w:color w:val="000000"/>
        </w:rPr>
        <w:t xml:space="preserve"> in inshore intertidal </w:t>
      </w:r>
      <w:r w:rsidR="00244FEE" w:rsidRPr="002A027E">
        <w:rPr>
          <w:i/>
        </w:rPr>
        <w:t>habitats of the Fitzroy region, 2001 - 201</w:t>
      </w:r>
      <w:r w:rsidR="002A027E" w:rsidRPr="002A027E">
        <w:rPr>
          <w:i/>
        </w:rPr>
        <w:t>7</w:t>
      </w:r>
      <w:r w:rsidRPr="002A027E">
        <w:rPr>
          <w:i/>
        </w:rPr>
        <w:t>.</w:t>
      </w:r>
      <w:bookmarkEnd w:id="545"/>
      <w:bookmarkEnd w:id="546"/>
      <w:r w:rsidRPr="002A027E">
        <w:rPr>
          <w:i/>
        </w:rPr>
        <w:t xml:space="preserve"> </w:t>
      </w:r>
    </w:p>
    <w:p w14:paraId="70E65F09" w14:textId="3A95EF90" w:rsidR="00244FEE" w:rsidRPr="006B4212" w:rsidRDefault="008C4B1E" w:rsidP="00244FEE">
      <w:pPr>
        <w:rPr>
          <w:color w:val="000000"/>
        </w:rPr>
      </w:pPr>
      <w:r w:rsidRPr="002A027E">
        <w:rPr>
          <w:i/>
        </w:rPr>
        <w:t xml:space="preserve">Grey area represents </w:t>
      </w:r>
      <w:r w:rsidR="007F6948">
        <w:rPr>
          <w:i/>
        </w:rPr>
        <w:t>Great Barrier Reef</w:t>
      </w:r>
      <w:r w:rsidRPr="002A027E">
        <w:rPr>
          <w:i/>
        </w:rPr>
        <w:t xml:space="preserve"> long-term average proportion </w:t>
      </w:r>
      <w:r w:rsidRPr="006B4212">
        <w:rPr>
          <w:i/>
          <w:color w:val="000000"/>
        </w:rPr>
        <w:t xml:space="preserve">of </w:t>
      </w:r>
      <w:r w:rsidR="007E1DF9">
        <w:rPr>
          <w:i/>
          <w:color w:val="000000"/>
        </w:rPr>
        <w:t>colonising</w:t>
      </w:r>
      <w:r w:rsidR="007E1DF9" w:rsidRPr="006B4212">
        <w:rPr>
          <w:i/>
          <w:color w:val="000000"/>
        </w:rPr>
        <w:t xml:space="preserve"> </w:t>
      </w:r>
      <w:r w:rsidRPr="006B4212">
        <w:rPr>
          <w:i/>
          <w:color w:val="000000"/>
        </w:rPr>
        <w:t>species for each habitat type.</w:t>
      </w:r>
      <w:r w:rsidR="00244FEE" w:rsidRPr="006B4212">
        <w:rPr>
          <w:color w:val="000000"/>
        </w:rPr>
        <w:t xml:space="preserve"> </w:t>
      </w:r>
    </w:p>
    <w:p w14:paraId="50D8E038" w14:textId="6BEC47B0" w:rsidR="005132EF" w:rsidRPr="00792C0E" w:rsidRDefault="005132EF" w:rsidP="00034AD4">
      <w:pPr>
        <w:rPr>
          <w:color w:val="000000" w:themeColor="text1"/>
          <w:szCs w:val="22"/>
        </w:rPr>
      </w:pPr>
      <w:bookmarkStart w:id="547" w:name="_Toc176158946"/>
      <w:bookmarkStart w:id="548" w:name="_Ref211934301"/>
      <w:r w:rsidRPr="00792C0E">
        <w:rPr>
          <w:color w:val="000000" w:themeColor="text1"/>
          <w:szCs w:val="22"/>
        </w:rPr>
        <w:t xml:space="preserve">The </w:t>
      </w:r>
      <w:r w:rsidR="00C91494" w:rsidRPr="00792C0E">
        <w:rPr>
          <w:color w:val="000000" w:themeColor="text1"/>
          <w:szCs w:val="22"/>
        </w:rPr>
        <w:t xml:space="preserve">extent of the </w:t>
      </w:r>
      <w:r w:rsidRPr="00792C0E">
        <w:rPr>
          <w:color w:val="000000" w:themeColor="text1"/>
          <w:szCs w:val="22"/>
        </w:rPr>
        <w:t xml:space="preserve">coastal meadows </w:t>
      </w:r>
      <w:r w:rsidR="00C91494" w:rsidRPr="00792C0E">
        <w:rPr>
          <w:color w:val="000000" w:themeColor="text1"/>
          <w:szCs w:val="22"/>
        </w:rPr>
        <w:t xml:space="preserve">within monitoring sites </w:t>
      </w:r>
      <w:r w:rsidRPr="00792C0E">
        <w:rPr>
          <w:color w:val="000000" w:themeColor="text1"/>
          <w:szCs w:val="22"/>
        </w:rPr>
        <w:t>in Shoalwater Bay ha</w:t>
      </w:r>
      <w:r w:rsidR="00C91494" w:rsidRPr="00792C0E">
        <w:rPr>
          <w:color w:val="000000" w:themeColor="text1"/>
          <w:szCs w:val="22"/>
        </w:rPr>
        <w:t>s</w:t>
      </w:r>
      <w:r w:rsidRPr="00792C0E">
        <w:rPr>
          <w:color w:val="000000" w:themeColor="text1"/>
          <w:szCs w:val="22"/>
        </w:rPr>
        <w:t xml:space="preserve"> remained stable </w:t>
      </w:r>
      <w:r w:rsidR="00D56284" w:rsidRPr="00792C0E">
        <w:rPr>
          <w:color w:val="000000" w:themeColor="text1"/>
          <w:szCs w:val="22"/>
        </w:rPr>
        <w:t xml:space="preserve">at </w:t>
      </w:r>
      <w:r w:rsidR="00C91494" w:rsidRPr="008A5BB8">
        <w:rPr>
          <w:szCs w:val="22"/>
        </w:rPr>
        <w:t xml:space="preserve">the </w:t>
      </w:r>
      <w:r w:rsidR="00D56284" w:rsidRPr="008A5BB8">
        <w:rPr>
          <w:szCs w:val="22"/>
        </w:rPr>
        <w:t>maximum</w:t>
      </w:r>
      <w:r w:rsidRPr="008A5BB8">
        <w:rPr>
          <w:szCs w:val="22"/>
        </w:rPr>
        <w:t xml:space="preserve"> since monitoring </w:t>
      </w:r>
      <w:r w:rsidR="00C91494" w:rsidRPr="008A5BB8">
        <w:rPr>
          <w:szCs w:val="22"/>
        </w:rPr>
        <w:t>commenced in 2005</w:t>
      </w:r>
      <w:r w:rsidR="00212E8E" w:rsidRPr="008A5BB8">
        <w:rPr>
          <w:szCs w:val="22"/>
        </w:rPr>
        <w:t xml:space="preserve">. The </w:t>
      </w:r>
      <w:r w:rsidR="00C91494" w:rsidRPr="008A5BB8">
        <w:rPr>
          <w:szCs w:val="22"/>
        </w:rPr>
        <w:t xml:space="preserve">extent of the </w:t>
      </w:r>
      <w:r w:rsidR="00212E8E" w:rsidRPr="008A5BB8">
        <w:rPr>
          <w:szCs w:val="22"/>
        </w:rPr>
        <w:t>estuarine meadows ha</w:t>
      </w:r>
      <w:r w:rsidR="00C91494" w:rsidRPr="008A5BB8">
        <w:rPr>
          <w:szCs w:val="22"/>
        </w:rPr>
        <w:t>s</w:t>
      </w:r>
      <w:r w:rsidR="00212E8E" w:rsidRPr="008A5BB8">
        <w:rPr>
          <w:szCs w:val="22"/>
        </w:rPr>
        <w:t xml:space="preserve"> </w:t>
      </w:r>
      <w:r w:rsidR="008C171D" w:rsidRPr="008A5BB8">
        <w:rPr>
          <w:szCs w:val="22"/>
        </w:rPr>
        <w:t>remained</w:t>
      </w:r>
      <w:r w:rsidR="00212E8E" w:rsidRPr="008A5BB8">
        <w:rPr>
          <w:szCs w:val="22"/>
        </w:rPr>
        <w:t xml:space="preserve"> relatively stable over the past </w:t>
      </w:r>
      <w:r w:rsidR="00F520E9" w:rsidRPr="008A5BB8">
        <w:rPr>
          <w:szCs w:val="22"/>
        </w:rPr>
        <w:t>8</w:t>
      </w:r>
      <w:r w:rsidR="00212E8E" w:rsidRPr="008A5BB8">
        <w:rPr>
          <w:szCs w:val="22"/>
        </w:rPr>
        <w:t xml:space="preserve"> monitoring periods</w:t>
      </w:r>
      <w:r w:rsidRPr="008A5BB8">
        <w:rPr>
          <w:szCs w:val="22"/>
        </w:rPr>
        <w:t xml:space="preserve">, </w:t>
      </w:r>
      <w:r w:rsidR="00792C0E" w:rsidRPr="008A5BB8">
        <w:rPr>
          <w:szCs w:val="22"/>
        </w:rPr>
        <w:t>until 2016, when there was a large reduction in extent of one of the sites</w:t>
      </w:r>
      <w:r w:rsidR="00C91494" w:rsidRPr="008A5BB8">
        <w:rPr>
          <w:szCs w:val="22"/>
        </w:rPr>
        <w:t xml:space="preserve">. In late 2014, </w:t>
      </w:r>
      <w:r w:rsidRPr="008A5BB8">
        <w:rPr>
          <w:szCs w:val="22"/>
        </w:rPr>
        <w:t xml:space="preserve">the </w:t>
      </w:r>
      <w:r w:rsidR="00C91494" w:rsidRPr="008A5BB8">
        <w:rPr>
          <w:szCs w:val="22"/>
        </w:rPr>
        <w:t xml:space="preserve">extent of </w:t>
      </w:r>
      <w:r w:rsidRPr="008A5BB8">
        <w:rPr>
          <w:szCs w:val="22"/>
        </w:rPr>
        <w:t xml:space="preserve">the reef </w:t>
      </w:r>
      <w:r w:rsidR="00C91494" w:rsidRPr="008A5BB8">
        <w:rPr>
          <w:szCs w:val="22"/>
        </w:rPr>
        <w:t xml:space="preserve">meadows </w:t>
      </w:r>
      <w:r w:rsidRPr="008A5BB8">
        <w:rPr>
          <w:szCs w:val="22"/>
        </w:rPr>
        <w:t xml:space="preserve">(Great Keppel </w:t>
      </w:r>
      <w:r w:rsidRPr="00792C0E">
        <w:rPr>
          <w:color w:val="000000" w:themeColor="text1"/>
          <w:szCs w:val="22"/>
        </w:rPr>
        <w:t>Island)</w:t>
      </w:r>
      <w:r w:rsidR="00C91494" w:rsidRPr="00792C0E">
        <w:rPr>
          <w:color w:val="000000" w:themeColor="text1"/>
          <w:szCs w:val="22"/>
        </w:rPr>
        <w:t>,</w:t>
      </w:r>
      <w:r w:rsidRPr="00792C0E">
        <w:rPr>
          <w:color w:val="000000" w:themeColor="text1"/>
          <w:szCs w:val="22"/>
        </w:rPr>
        <w:t xml:space="preserve"> </w:t>
      </w:r>
      <w:r w:rsidR="00191427" w:rsidRPr="00792C0E">
        <w:rPr>
          <w:color w:val="000000" w:themeColor="text1"/>
          <w:szCs w:val="22"/>
        </w:rPr>
        <w:t>increas</w:t>
      </w:r>
      <w:r w:rsidR="00C91494" w:rsidRPr="00792C0E">
        <w:rPr>
          <w:color w:val="000000" w:themeColor="text1"/>
          <w:szCs w:val="22"/>
        </w:rPr>
        <w:t>ed to their most extensive in 4 years</w:t>
      </w:r>
      <w:r w:rsidR="00A5075B" w:rsidRPr="00792C0E">
        <w:rPr>
          <w:color w:val="000000" w:themeColor="text1"/>
          <w:szCs w:val="22"/>
        </w:rPr>
        <w:t xml:space="preserve">, </w:t>
      </w:r>
      <w:r w:rsidR="00792C0E" w:rsidRPr="00792C0E">
        <w:rPr>
          <w:color w:val="000000" w:themeColor="text1"/>
          <w:szCs w:val="22"/>
        </w:rPr>
        <w:t>but there was a large decline in the dry season in 2016 at both sites</w:t>
      </w:r>
      <w:r w:rsidR="00C91494" w:rsidRPr="00792C0E">
        <w:rPr>
          <w:color w:val="000000" w:themeColor="text1"/>
          <w:szCs w:val="22"/>
        </w:rPr>
        <w:t xml:space="preserve"> </w:t>
      </w:r>
      <w:r w:rsidRPr="00792C0E">
        <w:rPr>
          <w:color w:val="000000" w:themeColor="text1"/>
          <w:szCs w:val="22"/>
        </w:rPr>
        <w:t>(</w:t>
      </w:r>
      <w:r w:rsidR="008C171D" w:rsidRPr="00792C0E">
        <w:rPr>
          <w:color w:val="000000" w:themeColor="text1"/>
        </w:rPr>
        <w:fldChar w:fldCharType="begin"/>
      </w:r>
      <w:r w:rsidR="008C171D" w:rsidRPr="00792C0E">
        <w:rPr>
          <w:color w:val="000000" w:themeColor="text1"/>
        </w:rPr>
        <w:instrText xml:space="preserve"> REF _Ref179512152 \h  \* MERGEFORMAT </w:instrText>
      </w:r>
      <w:r w:rsidR="008C171D" w:rsidRPr="00792C0E">
        <w:rPr>
          <w:color w:val="000000" w:themeColor="text1"/>
        </w:rPr>
      </w:r>
      <w:r w:rsidR="008C171D" w:rsidRPr="00792C0E">
        <w:rPr>
          <w:color w:val="000000" w:themeColor="text1"/>
        </w:rPr>
        <w:fldChar w:fldCharType="separate"/>
      </w:r>
      <w:r w:rsidR="00F87DF9" w:rsidRPr="00F87DF9">
        <w:rPr>
          <w:color w:val="000000" w:themeColor="text1"/>
          <w:szCs w:val="22"/>
        </w:rPr>
        <w:t xml:space="preserve">Figure </w:t>
      </w:r>
      <w:r w:rsidR="00F87DF9" w:rsidRPr="00F87DF9">
        <w:rPr>
          <w:noProof/>
          <w:color w:val="000000" w:themeColor="text1"/>
          <w:szCs w:val="22"/>
        </w:rPr>
        <w:t>101</w:t>
      </w:r>
      <w:r w:rsidR="008C171D" w:rsidRPr="00792C0E">
        <w:rPr>
          <w:color w:val="000000" w:themeColor="text1"/>
        </w:rPr>
        <w:fldChar w:fldCharType="end"/>
      </w:r>
      <w:r w:rsidRPr="00792C0E">
        <w:rPr>
          <w:color w:val="000000" w:themeColor="text1"/>
          <w:szCs w:val="22"/>
        </w:rPr>
        <w:t>).</w:t>
      </w:r>
    </w:p>
    <w:p w14:paraId="2B1E993D" w14:textId="77777777" w:rsidR="007E1DF9" w:rsidRPr="007E1DF9" w:rsidRDefault="00EB62A9" w:rsidP="00C91494">
      <w:pPr>
        <w:keepNext/>
        <w:widowControl w:val="0"/>
        <w:spacing w:after="0"/>
        <w:jc w:val="center"/>
        <w:rPr>
          <w:szCs w:val="22"/>
        </w:rPr>
      </w:pPr>
      <w:r>
        <w:rPr>
          <w:noProof/>
          <w:szCs w:val="22"/>
          <w:lang w:eastAsia="en-AU"/>
        </w:rPr>
        <w:drawing>
          <wp:inline distT="0" distB="0" distL="0" distR="0" wp14:anchorId="269BD788" wp14:editId="68D7555D">
            <wp:extent cx="4320000" cy="1804256"/>
            <wp:effectExtent l="0" t="0" r="4445" b="5715"/>
            <wp:docPr id="10157" name="Picture 10157" descr="Line graph showing spatial extent of seagrass meadows within a 100m radius of monitoring sites for each habitat and monitoring period across the Fitzro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 name="F_extent_avg_2016.png"/>
                    <pic:cNvPicPr/>
                  </pic:nvPicPr>
                  <pic:blipFill>
                    <a:blip r:embed="rId139">
                      <a:extLst>
                        <a:ext uri="{28A0092B-C50C-407E-A947-70E740481C1C}">
                          <a14:useLocalDpi xmlns:a14="http://schemas.microsoft.com/office/drawing/2010/main" val="0"/>
                        </a:ext>
                      </a:extLst>
                    </a:blip>
                    <a:stretch>
                      <a:fillRect/>
                    </a:stretch>
                  </pic:blipFill>
                  <pic:spPr>
                    <a:xfrm>
                      <a:off x="0" y="0"/>
                      <a:ext cx="4320000" cy="1804256"/>
                    </a:xfrm>
                    <a:prstGeom prst="rect">
                      <a:avLst/>
                    </a:prstGeom>
                  </pic:spPr>
                </pic:pic>
              </a:graphicData>
            </a:graphic>
          </wp:inline>
        </w:drawing>
      </w:r>
    </w:p>
    <w:p w14:paraId="4FE98B48" w14:textId="12C17F3E" w:rsidR="008C4B1E" w:rsidRPr="002A027E" w:rsidRDefault="005132EF" w:rsidP="008C4B1E">
      <w:pPr>
        <w:rPr>
          <w:i/>
          <w:szCs w:val="22"/>
        </w:rPr>
      </w:pPr>
      <w:bookmarkStart w:id="549" w:name="_Ref179512152"/>
      <w:bookmarkStart w:id="550" w:name="_Toc176158920"/>
      <w:bookmarkStart w:id="551" w:name="_Toc232846022"/>
      <w:bookmarkStart w:id="552" w:name="_Toc431493889"/>
      <w:bookmarkStart w:id="553" w:name="_Toc516053311"/>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101</w:t>
      </w:r>
      <w:r w:rsidR="0073595B">
        <w:rPr>
          <w:color w:val="000000"/>
          <w:szCs w:val="22"/>
        </w:rPr>
        <w:fldChar w:fldCharType="end"/>
      </w:r>
      <w:bookmarkEnd w:id="549"/>
      <w:r w:rsidRPr="005373CC">
        <w:rPr>
          <w:color w:val="000000"/>
          <w:szCs w:val="22"/>
        </w:rPr>
        <w:t xml:space="preserve">. </w:t>
      </w:r>
      <w:bookmarkEnd w:id="550"/>
      <w:bookmarkEnd w:id="551"/>
      <w:r w:rsidR="008C4B1E" w:rsidRPr="005373CC">
        <w:rPr>
          <w:i/>
          <w:color w:val="000000"/>
          <w:szCs w:val="22"/>
        </w:rPr>
        <w:t xml:space="preserve">Change in spatial extent of seagrass meadows within monitoring sites for each </w:t>
      </w:r>
      <w:r w:rsidR="00244FEE" w:rsidRPr="005373CC">
        <w:rPr>
          <w:i/>
          <w:color w:val="000000"/>
          <w:szCs w:val="22"/>
        </w:rPr>
        <w:t xml:space="preserve">inshore </w:t>
      </w:r>
      <w:r w:rsidR="00244FEE" w:rsidRPr="002A027E">
        <w:rPr>
          <w:i/>
          <w:szCs w:val="22"/>
        </w:rPr>
        <w:t xml:space="preserve">intertidal </w:t>
      </w:r>
      <w:r w:rsidR="008C4B1E" w:rsidRPr="002A027E">
        <w:rPr>
          <w:i/>
          <w:szCs w:val="22"/>
        </w:rPr>
        <w:t xml:space="preserve">habitat across the </w:t>
      </w:r>
      <w:r w:rsidR="003126B8" w:rsidRPr="002A027E">
        <w:rPr>
          <w:i/>
          <w:szCs w:val="22"/>
        </w:rPr>
        <w:t xml:space="preserve">Fitzroy </w:t>
      </w:r>
      <w:r w:rsidR="008C4B1E" w:rsidRPr="002A027E">
        <w:rPr>
          <w:i/>
          <w:szCs w:val="22"/>
        </w:rPr>
        <w:t>NRM region</w:t>
      </w:r>
      <w:r w:rsidR="00244FEE" w:rsidRPr="002A027E">
        <w:rPr>
          <w:i/>
          <w:szCs w:val="22"/>
        </w:rPr>
        <w:t>, 2005 - 201</w:t>
      </w:r>
      <w:r w:rsidR="002A027E" w:rsidRPr="002A027E">
        <w:rPr>
          <w:i/>
          <w:szCs w:val="22"/>
        </w:rPr>
        <w:t>7</w:t>
      </w:r>
      <w:r w:rsidR="008C4B1E" w:rsidRPr="002A027E">
        <w:rPr>
          <w:i/>
          <w:szCs w:val="22"/>
        </w:rPr>
        <w:t>.</w:t>
      </w:r>
      <w:bookmarkEnd w:id="552"/>
      <w:bookmarkEnd w:id="553"/>
    </w:p>
    <w:p w14:paraId="4D9125FE" w14:textId="59B5D399" w:rsidR="005B1EEC" w:rsidRPr="00DB49D8" w:rsidRDefault="005B1EEC" w:rsidP="005B1EEC">
      <w:pPr>
        <w:rPr>
          <w:color w:val="000000" w:themeColor="text1"/>
        </w:rPr>
      </w:pPr>
      <w:bookmarkStart w:id="554" w:name="_Toc184102028"/>
      <w:bookmarkEnd w:id="547"/>
      <w:bookmarkEnd w:id="548"/>
      <w:r w:rsidRPr="002A545A">
        <w:rPr>
          <w:color w:val="000000" w:themeColor="text1"/>
          <w:lang w:val="en-GB" w:eastAsia="en-AU"/>
        </w:rPr>
        <w:t xml:space="preserve">Apart from the MMP, seagrass monitoring within the Fitzroy NRM region is also conducted </w:t>
      </w:r>
      <w:r w:rsidRPr="002A545A">
        <w:rPr>
          <w:color w:val="000000" w:themeColor="text1"/>
          <w:lang w:val="en-GB"/>
        </w:rPr>
        <w:t xml:space="preserve">in places where cumulative anthropogenic impacts to seagrass are highest </w:t>
      </w:r>
      <w:r w:rsidRPr="002A545A">
        <w:rPr>
          <w:color w:val="000000" w:themeColor="text1"/>
          <w:lang w:val="en-GB" w:eastAsia="en-AU"/>
        </w:rPr>
        <w:t xml:space="preserve">as part of the Queensland Ports Seagrass Monitoring Program (QPSMP). </w:t>
      </w:r>
      <w:r w:rsidRPr="002A545A">
        <w:rPr>
          <w:color w:val="000000" w:themeColor="text1"/>
          <w:szCs w:val="22"/>
          <w:lang w:val="en-GB" w:eastAsia="en-AU"/>
        </w:rPr>
        <w:t>Annual monitoring of 14 seagrass meadows within Gl</w:t>
      </w:r>
      <w:r w:rsidR="002A545A" w:rsidRPr="002A545A">
        <w:rPr>
          <w:color w:val="000000" w:themeColor="text1"/>
          <w:szCs w:val="22"/>
          <w:lang w:val="en-GB" w:eastAsia="en-AU"/>
        </w:rPr>
        <w:t>adstone Harbour in November 2016</w:t>
      </w:r>
      <w:r w:rsidRPr="002A545A">
        <w:rPr>
          <w:color w:val="000000" w:themeColor="text1"/>
          <w:szCs w:val="22"/>
          <w:lang w:val="en-GB" w:eastAsia="en-AU"/>
        </w:rPr>
        <w:t xml:space="preserve"> reported </w:t>
      </w:r>
      <w:r w:rsidRPr="002A545A">
        <w:rPr>
          <w:color w:val="000000" w:themeColor="text1"/>
        </w:rPr>
        <w:t xml:space="preserve">a </w:t>
      </w:r>
      <w:r w:rsidR="002A545A" w:rsidRPr="002A545A">
        <w:rPr>
          <w:color w:val="000000" w:themeColor="text1"/>
        </w:rPr>
        <w:t xml:space="preserve">significant </w:t>
      </w:r>
      <w:r w:rsidRPr="002A545A">
        <w:rPr>
          <w:color w:val="000000" w:themeColor="text1"/>
        </w:rPr>
        <w:t xml:space="preserve">decline in </w:t>
      </w:r>
      <w:r w:rsidR="002A545A" w:rsidRPr="002A545A">
        <w:rPr>
          <w:color w:val="000000" w:themeColor="text1"/>
        </w:rPr>
        <w:t>total seagrass area</w:t>
      </w:r>
      <w:r w:rsidR="002A545A">
        <w:rPr>
          <w:color w:val="000000" w:themeColor="text1"/>
        </w:rPr>
        <w:t>, but remained around the long-term average</w:t>
      </w:r>
      <w:r w:rsidR="006C4D04">
        <w:rPr>
          <w:color w:val="000000" w:themeColor="text1"/>
        </w:rPr>
        <w:t xml:space="preserve"> (</w:t>
      </w:r>
      <w:r w:rsidR="006C4D04">
        <w:rPr>
          <w:color w:val="000000" w:themeColor="text1"/>
        </w:rPr>
        <w:fldChar w:fldCharType="begin"/>
      </w:r>
      <w:r w:rsidR="006C4D04">
        <w:rPr>
          <w:color w:val="000000" w:themeColor="text1"/>
        </w:rPr>
        <w:instrText xml:space="preserve"> REF _Ref509323918 \h </w:instrText>
      </w:r>
      <w:r w:rsidR="006C4D04">
        <w:rPr>
          <w:color w:val="000000" w:themeColor="text1"/>
        </w:rPr>
      </w:r>
      <w:r w:rsidR="006C4D04">
        <w:rPr>
          <w:color w:val="000000" w:themeColor="text1"/>
        </w:rPr>
        <w:fldChar w:fldCharType="separate"/>
      </w:r>
      <w:r w:rsidR="00F87DF9">
        <w:t xml:space="preserve">Figure </w:t>
      </w:r>
      <w:r w:rsidR="00F87DF9">
        <w:rPr>
          <w:noProof/>
        </w:rPr>
        <w:t>102</w:t>
      </w:r>
      <w:r w:rsidR="006C4D04">
        <w:rPr>
          <w:color w:val="000000" w:themeColor="text1"/>
        </w:rPr>
        <w:fldChar w:fldCharType="end"/>
      </w:r>
      <w:r w:rsidR="006C4D04">
        <w:rPr>
          <w:color w:val="000000" w:themeColor="text1"/>
        </w:rPr>
        <w:t>)</w:t>
      </w:r>
      <w:r w:rsidR="002A545A" w:rsidRPr="002A545A">
        <w:rPr>
          <w:color w:val="000000" w:themeColor="text1"/>
        </w:rPr>
        <w:t xml:space="preserve">. </w:t>
      </w:r>
      <w:r w:rsidR="000352F0">
        <w:rPr>
          <w:color w:val="000000" w:themeColor="text1"/>
        </w:rPr>
        <w:t>In general, the meadows in the inner harbour and mid harbour of Gladtsone Harbour declined the most</w:t>
      </w:r>
      <w:r w:rsidR="006C4D04">
        <w:rPr>
          <w:color w:val="000000" w:themeColor="text1"/>
        </w:rPr>
        <w:t xml:space="preserve"> (Rasheed et al 2017)</w:t>
      </w:r>
      <w:r w:rsidR="000352F0">
        <w:rPr>
          <w:color w:val="000000" w:themeColor="text1"/>
        </w:rPr>
        <w:t xml:space="preserve">.  </w:t>
      </w:r>
      <w:r w:rsidR="000352F0" w:rsidRPr="00DB49D8">
        <w:rPr>
          <w:color w:val="000000" w:themeColor="text1"/>
        </w:rPr>
        <w:t xml:space="preserve">However, </w:t>
      </w:r>
      <w:r w:rsidRPr="00DB49D8">
        <w:rPr>
          <w:color w:val="000000" w:themeColor="text1"/>
        </w:rPr>
        <w:t xml:space="preserve">average meadow above-ground biomass (visually estimated using helicopter and boat-based free diving/grab) </w:t>
      </w:r>
      <w:r w:rsidR="000352F0" w:rsidRPr="00DB49D8">
        <w:rPr>
          <w:color w:val="000000" w:themeColor="text1"/>
        </w:rPr>
        <w:t xml:space="preserve">increased in most meadows and exceeding the long-term average in </w:t>
      </w:r>
      <w:r w:rsidR="00DB49D8" w:rsidRPr="00DB49D8">
        <w:rPr>
          <w:color w:val="000000" w:themeColor="text1"/>
        </w:rPr>
        <w:t xml:space="preserve">five out of 11 monitored meadows. </w:t>
      </w:r>
    </w:p>
    <w:p w14:paraId="546B5D22" w14:textId="25143C5C" w:rsidR="005B1EEC" w:rsidRPr="006E40B2" w:rsidRDefault="00D516EF" w:rsidP="005B1EEC">
      <w:pPr>
        <w:rPr>
          <w:color w:val="000000" w:themeColor="text1"/>
        </w:rPr>
      </w:pPr>
      <w:r>
        <w:rPr>
          <w:color w:val="000000" w:themeColor="text1"/>
          <w:szCs w:val="22"/>
          <w:lang w:val="en-US"/>
        </w:rPr>
        <w:t>Of greatest concern</w:t>
      </w:r>
      <w:r w:rsidRPr="00D516EF">
        <w:rPr>
          <w:color w:val="000000" w:themeColor="text1"/>
          <w:szCs w:val="22"/>
          <w:lang w:val="en-US"/>
        </w:rPr>
        <w:t xml:space="preserve"> were the trends in the large meadow at Pelican Banks, </w:t>
      </w:r>
      <w:r>
        <w:rPr>
          <w:color w:val="000000" w:themeColor="text1"/>
          <w:szCs w:val="22"/>
          <w:lang w:val="en-US"/>
        </w:rPr>
        <w:t>the trends of which are consistent with those observed in the</w:t>
      </w:r>
      <w:r w:rsidRPr="00D516EF">
        <w:rPr>
          <w:color w:val="000000" w:themeColor="text1"/>
          <w:szCs w:val="22"/>
          <w:lang w:val="en-US"/>
        </w:rPr>
        <w:t xml:space="preserve"> </w:t>
      </w:r>
      <w:r w:rsidR="005B1EEC" w:rsidRPr="00D516EF">
        <w:rPr>
          <w:color w:val="000000" w:themeColor="text1"/>
          <w:szCs w:val="22"/>
          <w:lang w:val="en-US"/>
        </w:rPr>
        <w:t xml:space="preserve">MMP monitoring sites GH1 and GH2 </w:t>
      </w:r>
      <w:r>
        <w:rPr>
          <w:color w:val="000000" w:themeColor="text1"/>
          <w:szCs w:val="22"/>
          <w:lang w:val="en-US"/>
        </w:rPr>
        <w:t xml:space="preserve">(which are also located in Pelican Banks). The Pelican </w:t>
      </w:r>
      <w:r w:rsidR="001320D2">
        <w:rPr>
          <w:color w:val="000000" w:themeColor="text1"/>
          <w:szCs w:val="22"/>
          <w:lang w:val="en-US"/>
        </w:rPr>
        <w:t>B</w:t>
      </w:r>
      <w:r>
        <w:rPr>
          <w:color w:val="000000" w:themeColor="text1"/>
          <w:szCs w:val="22"/>
          <w:lang w:val="en-US"/>
        </w:rPr>
        <w:t xml:space="preserve">anks meadow declined to its lowest area and </w:t>
      </w:r>
      <w:r w:rsidR="001320D2">
        <w:rPr>
          <w:color w:val="000000" w:themeColor="text1"/>
          <w:szCs w:val="22"/>
          <w:lang w:val="en-US"/>
        </w:rPr>
        <w:t xml:space="preserve">visually estimated </w:t>
      </w:r>
      <w:r>
        <w:rPr>
          <w:color w:val="000000" w:themeColor="text1"/>
          <w:szCs w:val="22"/>
          <w:lang w:val="en-US"/>
        </w:rPr>
        <w:t xml:space="preserve">biomass ever recorded, and there was an increase in the proportion of colonizing species. </w:t>
      </w:r>
      <w:r w:rsidR="005B1EEC" w:rsidRPr="006E40B2">
        <w:rPr>
          <w:color w:val="000000" w:themeColor="text1"/>
        </w:rPr>
        <w:t xml:space="preserve">Associated seed bank density and biannually (February and May) </w:t>
      </w:r>
      <w:r w:rsidR="006E40B2" w:rsidRPr="006E40B2">
        <w:rPr>
          <w:color w:val="000000" w:themeColor="text1"/>
        </w:rPr>
        <w:t>also reported a reduced proportion of seeds. The authors note that, a</w:t>
      </w:r>
      <w:r w:rsidR="005B1EEC" w:rsidRPr="006E40B2">
        <w:rPr>
          <w:color w:val="000000" w:themeColor="text1"/>
        </w:rPr>
        <w:t xml:space="preserve">lthough environmental conditions were generally favourable in the twelve months preceding the survey (e.g. below average rainfall and light levels well above threshold for maintenance and growth), </w:t>
      </w:r>
      <w:r w:rsidRPr="006E40B2">
        <w:rPr>
          <w:color w:val="000000" w:themeColor="text1"/>
        </w:rPr>
        <w:t xml:space="preserve">the decline in area and biomass may have been driven by a legacy of past conditions, including substantial floods in 2014 and 2015, and </w:t>
      </w:r>
      <w:r w:rsidR="003D7D5F" w:rsidRPr="006E40B2">
        <w:rPr>
          <w:color w:val="000000" w:themeColor="text1"/>
        </w:rPr>
        <w:t>high temperatures in 2015</w:t>
      </w:r>
      <w:r w:rsidR="006E40B2">
        <w:rPr>
          <w:color w:val="000000" w:themeColor="text1"/>
        </w:rPr>
        <w:t xml:space="preserve"> (NB. The </w:t>
      </w:r>
      <w:r w:rsidR="008574EC">
        <w:rPr>
          <w:color w:val="000000" w:themeColor="text1"/>
        </w:rPr>
        <w:t>2016–17</w:t>
      </w:r>
      <w:r w:rsidR="006E40B2">
        <w:rPr>
          <w:color w:val="000000" w:themeColor="text1"/>
        </w:rPr>
        <w:t xml:space="preserve"> heatwave in early 2017 was not </w:t>
      </w:r>
      <w:r w:rsidR="0075107B">
        <w:rPr>
          <w:color w:val="000000" w:themeColor="text1"/>
        </w:rPr>
        <w:t xml:space="preserve">included </w:t>
      </w:r>
      <w:r w:rsidR="006E40B2">
        <w:rPr>
          <w:color w:val="000000" w:themeColor="text1"/>
        </w:rPr>
        <w:t>in the monitoring period for this study)</w:t>
      </w:r>
      <w:r w:rsidR="003D7D5F" w:rsidRPr="006E40B2">
        <w:rPr>
          <w:color w:val="000000" w:themeColor="text1"/>
        </w:rPr>
        <w:t xml:space="preserve">. </w:t>
      </w:r>
      <w:r w:rsidR="006E40B2" w:rsidRPr="006E40B2">
        <w:rPr>
          <w:color w:val="000000" w:themeColor="text1"/>
        </w:rPr>
        <w:t xml:space="preserve">There is also a high level of herbivory in the region, but it is unknown whether this level has changed (Rasheed et al 2017). </w:t>
      </w:r>
    </w:p>
    <w:p w14:paraId="35E0D5B7" w14:textId="6525FB6A" w:rsidR="005B1EEC" w:rsidRPr="005B1EEC" w:rsidRDefault="002A545A" w:rsidP="005B1EEC">
      <w:pPr>
        <w:keepNext/>
        <w:widowControl w:val="0"/>
        <w:spacing w:after="0"/>
        <w:jc w:val="center"/>
        <w:rPr>
          <w:noProof/>
          <w:szCs w:val="22"/>
          <w:lang w:eastAsia="en-AU"/>
        </w:rPr>
      </w:pPr>
      <w:r w:rsidRPr="002A545A">
        <w:rPr>
          <w:noProof/>
          <w:szCs w:val="22"/>
          <w:lang w:eastAsia="en-AU"/>
        </w:rPr>
        <w:drawing>
          <wp:inline distT="0" distB="0" distL="0" distR="0" wp14:anchorId="7D2B0558" wp14:editId="4EA04BA2">
            <wp:extent cx="3312207" cy="2053809"/>
            <wp:effectExtent l="0" t="0" r="2540" b="3810"/>
            <wp:docPr id="556" name="Picture 556" descr="Bar chart showing change total extent of all monitoring meadows combined in Port Curtis from 2009 –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a:srcRect b="6549"/>
                    <a:stretch/>
                  </pic:blipFill>
                  <pic:spPr bwMode="auto">
                    <a:xfrm>
                      <a:off x="0" y="0"/>
                      <a:ext cx="3314525" cy="2055246"/>
                    </a:xfrm>
                    <a:prstGeom prst="rect">
                      <a:avLst/>
                    </a:prstGeom>
                    <a:ln>
                      <a:noFill/>
                    </a:ln>
                    <a:extLst>
                      <a:ext uri="{53640926-AAD7-44D8-BBD7-CCE9431645EC}">
                        <a14:shadowObscured xmlns:a14="http://schemas.microsoft.com/office/drawing/2010/main"/>
                      </a:ext>
                    </a:extLst>
                  </pic:spPr>
                </pic:pic>
              </a:graphicData>
            </a:graphic>
          </wp:inline>
        </w:drawing>
      </w:r>
    </w:p>
    <w:p w14:paraId="0D73AAB2" w14:textId="22AACACC" w:rsidR="005B1EEC" w:rsidRPr="00E55207" w:rsidRDefault="005B1EEC" w:rsidP="005B1EEC">
      <w:pPr>
        <w:keepLines/>
        <w:spacing w:before="0"/>
        <w:rPr>
          <w:i/>
          <w:vanish/>
          <w:specVanish/>
        </w:rPr>
      </w:pPr>
      <w:bookmarkStart w:id="555" w:name="_Ref509323918"/>
      <w:bookmarkStart w:id="556" w:name="_Toc516053312"/>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102</w:t>
      </w:r>
      <w:r w:rsidR="00C506C7">
        <w:rPr>
          <w:noProof/>
        </w:rPr>
        <w:fldChar w:fldCharType="end"/>
      </w:r>
      <w:bookmarkEnd w:id="555"/>
      <w:r>
        <w:t xml:space="preserve">. </w:t>
      </w:r>
      <w:r w:rsidRPr="00E55207">
        <w:rPr>
          <w:i/>
          <w:szCs w:val="22"/>
        </w:rPr>
        <w:t xml:space="preserve">Change total extent of all monitoring meadows combined in </w:t>
      </w:r>
      <w:r>
        <w:rPr>
          <w:i/>
          <w:szCs w:val="22"/>
        </w:rPr>
        <w:t>Port Curtis</w:t>
      </w:r>
      <w:r w:rsidRPr="00E55207">
        <w:rPr>
          <w:i/>
          <w:szCs w:val="22"/>
        </w:rPr>
        <w:t xml:space="preserve"> from </w:t>
      </w:r>
      <w:r>
        <w:rPr>
          <w:i/>
          <w:szCs w:val="22"/>
        </w:rPr>
        <w:t>2009</w:t>
      </w:r>
      <w:r w:rsidRPr="00E55207">
        <w:rPr>
          <w:i/>
          <w:szCs w:val="22"/>
        </w:rPr>
        <w:t xml:space="preserve"> – </w:t>
      </w:r>
      <w:r w:rsidR="002A545A" w:rsidRPr="002A545A">
        <w:rPr>
          <w:i/>
          <w:color w:val="000000" w:themeColor="text1"/>
          <w:szCs w:val="22"/>
        </w:rPr>
        <w:t>2016</w:t>
      </w:r>
      <w:r w:rsidRPr="002A545A">
        <w:rPr>
          <w:i/>
          <w:color w:val="000000" w:themeColor="text1"/>
          <w:szCs w:val="22"/>
        </w:rPr>
        <w:t xml:space="preserve"> </w:t>
      </w:r>
      <w:r w:rsidRPr="00E55207">
        <w:rPr>
          <w:i/>
          <w:szCs w:val="22"/>
        </w:rPr>
        <w:t>(from</w:t>
      </w:r>
      <w:r w:rsidR="002A545A">
        <w:rPr>
          <w:i/>
          <w:szCs w:val="22"/>
        </w:rPr>
        <w:t xml:space="preserve"> Rasheed et al 2017)</w:t>
      </w:r>
      <w:bookmarkEnd w:id="556"/>
    </w:p>
    <w:p w14:paraId="296820A5" w14:textId="77777777" w:rsidR="005B1EEC" w:rsidRDefault="005B1EEC" w:rsidP="005B1EEC">
      <w:pPr>
        <w:pStyle w:val="Caption"/>
      </w:pPr>
      <w:r w:rsidRPr="00E55207">
        <w:rPr>
          <w:i/>
          <w:szCs w:val="22"/>
        </w:rPr>
        <w:t>. Error bars are “R” reliability estimate for ha.</w:t>
      </w:r>
    </w:p>
    <w:p w14:paraId="4927A953" w14:textId="77777777"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reproductive status</w:t>
      </w:r>
      <w:bookmarkEnd w:id="554"/>
    </w:p>
    <w:p w14:paraId="1197C240" w14:textId="1F1632E5" w:rsidR="007E1DF9" w:rsidRPr="00297FAD" w:rsidRDefault="007E1DF9" w:rsidP="007E1DF9">
      <w:pPr>
        <w:rPr>
          <w:color w:val="000000" w:themeColor="text1"/>
          <w:szCs w:val="22"/>
          <w:lang w:eastAsia="en-AU"/>
        </w:rPr>
      </w:pPr>
      <w:r w:rsidRPr="007C3384">
        <w:rPr>
          <w:color w:val="000000" w:themeColor="text1"/>
          <w:szCs w:val="22"/>
          <w:lang w:eastAsia="en-AU"/>
        </w:rPr>
        <w:t xml:space="preserve">Reproductive effort </w:t>
      </w:r>
      <w:r w:rsidR="00F4037E" w:rsidRPr="007C3384">
        <w:rPr>
          <w:color w:val="000000" w:themeColor="text1"/>
          <w:szCs w:val="22"/>
          <w:lang w:eastAsia="en-AU"/>
        </w:rPr>
        <w:t xml:space="preserve">remains </w:t>
      </w:r>
      <w:r w:rsidR="00F4037E" w:rsidRPr="007C3384">
        <w:rPr>
          <w:b/>
          <w:color w:val="000000" w:themeColor="text1"/>
          <w:szCs w:val="22"/>
          <w:lang w:eastAsia="en-AU"/>
        </w:rPr>
        <w:t>very poor</w:t>
      </w:r>
      <w:r w:rsidR="00F4037E" w:rsidRPr="007C3384">
        <w:rPr>
          <w:color w:val="000000" w:themeColor="text1"/>
          <w:szCs w:val="22"/>
          <w:lang w:eastAsia="en-AU"/>
        </w:rPr>
        <w:t xml:space="preserve"> in the Fitzroy region, but reproductive effort has varied inconsistently among habitats. Reproductive effort </w:t>
      </w:r>
      <w:r w:rsidR="00297FAD" w:rsidRPr="007C3384">
        <w:rPr>
          <w:color w:val="000000" w:themeColor="text1"/>
          <w:szCs w:val="22"/>
          <w:lang w:eastAsia="en-AU"/>
        </w:rPr>
        <w:t xml:space="preserve">increased at </w:t>
      </w:r>
      <w:r w:rsidR="00710BBC" w:rsidRPr="007C3384">
        <w:rPr>
          <w:color w:val="000000" w:themeColor="text1"/>
          <w:szCs w:val="22"/>
          <w:lang w:eastAsia="en-AU"/>
        </w:rPr>
        <w:t>coastal</w:t>
      </w:r>
      <w:r w:rsidR="00297FAD" w:rsidRPr="007C3384">
        <w:rPr>
          <w:color w:val="000000" w:themeColor="text1"/>
          <w:szCs w:val="22"/>
          <w:lang w:eastAsia="en-AU"/>
        </w:rPr>
        <w:t xml:space="preserve"> sites in </w:t>
      </w:r>
      <w:r w:rsidR="008574EC">
        <w:rPr>
          <w:color w:val="000000" w:themeColor="text1"/>
          <w:szCs w:val="22"/>
          <w:lang w:eastAsia="en-AU"/>
        </w:rPr>
        <w:t>2016–17</w:t>
      </w:r>
      <w:r w:rsidR="00297FAD" w:rsidRPr="007C3384">
        <w:rPr>
          <w:color w:val="000000" w:themeColor="text1"/>
          <w:szCs w:val="22"/>
          <w:lang w:eastAsia="en-AU"/>
        </w:rPr>
        <w:t xml:space="preserve">, </w:t>
      </w:r>
      <w:r w:rsidR="00F4037E" w:rsidRPr="007C3384">
        <w:rPr>
          <w:color w:val="000000" w:themeColor="text1"/>
          <w:szCs w:val="22"/>
          <w:lang w:eastAsia="en-AU"/>
        </w:rPr>
        <w:t xml:space="preserve">but there was a concurrent reduction in the density of seeds in the seed bank. </w:t>
      </w:r>
      <w:r w:rsidR="00297FAD" w:rsidRPr="007C3384">
        <w:rPr>
          <w:color w:val="000000" w:themeColor="text1"/>
          <w:szCs w:val="22"/>
          <w:lang w:eastAsia="en-AU"/>
        </w:rPr>
        <w:t xml:space="preserve"> </w:t>
      </w:r>
      <w:r w:rsidR="00F4037E" w:rsidRPr="007C3384">
        <w:rPr>
          <w:color w:val="000000" w:themeColor="text1"/>
          <w:szCs w:val="22"/>
          <w:lang w:eastAsia="en-AU"/>
        </w:rPr>
        <w:t>At</w:t>
      </w:r>
      <w:r w:rsidR="00297FAD" w:rsidRPr="007C3384">
        <w:rPr>
          <w:color w:val="000000" w:themeColor="text1"/>
          <w:szCs w:val="22"/>
          <w:lang w:eastAsia="en-AU"/>
        </w:rPr>
        <w:t xml:space="preserve"> these sites, the reproductive score may underestimate the role of sexual reproduction and the seed bank. As such, seed banks are being considered for future inclusion in the report card metric. Reproductive effort has </w:t>
      </w:r>
      <w:r w:rsidRPr="007C3384">
        <w:rPr>
          <w:color w:val="000000" w:themeColor="text1"/>
          <w:szCs w:val="22"/>
          <w:lang w:eastAsia="en-AU"/>
        </w:rPr>
        <w:t>remained very lo</w:t>
      </w:r>
      <w:r w:rsidR="0039608D" w:rsidRPr="007C3384">
        <w:rPr>
          <w:color w:val="000000" w:themeColor="text1"/>
          <w:szCs w:val="22"/>
          <w:lang w:eastAsia="en-AU"/>
        </w:rPr>
        <w:t xml:space="preserve">w </w:t>
      </w:r>
      <w:r w:rsidR="007C0808" w:rsidRPr="007C3384">
        <w:rPr>
          <w:color w:val="000000" w:themeColor="text1"/>
          <w:szCs w:val="22"/>
          <w:lang w:eastAsia="en-AU"/>
        </w:rPr>
        <w:t xml:space="preserve">at </w:t>
      </w:r>
      <w:r w:rsidR="00F4037E" w:rsidRPr="007C3384">
        <w:rPr>
          <w:color w:val="000000" w:themeColor="text1"/>
          <w:szCs w:val="22"/>
          <w:lang w:eastAsia="en-AU"/>
        </w:rPr>
        <w:t>estuary</w:t>
      </w:r>
      <w:r w:rsidR="007C3384" w:rsidRPr="007C3384">
        <w:rPr>
          <w:color w:val="000000" w:themeColor="text1"/>
          <w:szCs w:val="22"/>
          <w:lang w:eastAsia="en-AU"/>
        </w:rPr>
        <w:t xml:space="preserve"> </w:t>
      </w:r>
      <w:r w:rsidR="007C0808" w:rsidRPr="007C3384">
        <w:rPr>
          <w:color w:val="000000" w:themeColor="text1"/>
          <w:szCs w:val="22"/>
          <w:lang w:eastAsia="en-AU"/>
        </w:rPr>
        <w:t>and reef sites</w:t>
      </w:r>
      <w:r w:rsidR="0039608D" w:rsidRPr="007C3384">
        <w:rPr>
          <w:color w:val="000000" w:themeColor="text1"/>
          <w:szCs w:val="22"/>
          <w:lang w:eastAsia="en-AU"/>
        </w:rPr>
        <w:t>, h</w:t>
      </w:r>
      <w:r w:rsidRPr="007C3384">
        <w:rPr>
          <w:color w:val="000000" w:themeColor="text1"/>
          <w:szCs w:val="22"/>
          <w:lang w:eastAsia="en-AU"/>
        </w:rPr>
        <w:t xml:space="preserve">owever, seed banks have </w:t>
      </w:r>
      <w:r w:rsidR="0039608D" w:rsidRPr="007C3384">
        <w:rPr>
          <w:color w:val="000000" w:themeColor="text1"/>
          <w:szCs w:val="22"/>
          <w:lang w:eastAsia="en-AU"/>
        </w:rPr>
        <w:t>persisted</w:t>
      </w:r>
      <w:r w:rsidRPr="007C3384">
        <w:rPr>
          <w:color w:val="000000" w:themeColor="text1"/>
          <w:szCs w:val="22"/>
          <w:lang w:eastAsia="en-AU"/>
        </w:rPr>
        <w:t xml:space="preserve"> in </w:t>
      </w:r>
      <w:r w:rsidR="00F4037E" w:rsidRPr="007C3384">
        <w:rPr>
          <w:color w:val="000000" w:themeColor="text1"/>
          <w:szCs w:val="22"/>
          <w:lang w:eastAsia="en-AU"/>
        </w:rPr>
        <w:t>estuarine</w:t>
      </w:r>
      <w:r w:rsidRPr="007C3384">
        <w:rPr>
          <w:color w:val="000000" w:themeColor="text1"/>
          <w:szCs w:val="22"/>
          <w:lang w:eastAsia="en-AU"/>
        </w:rPr>
        <w:t xml:space="preserve"> habitats</w:t>
      </w:r>
      <w:r w:rsidR="007C0808" w:rsidRPr="007C3384">
        <w:rPr>
          <w:color w:val="000000" w:themeColor="text1"/>
          <w:szCs w:val="22"/>
          <w:lang w:eastAsia="en-AU"/>
        </w:rPr>
        <w:t>, but not at reef sites</w:t>
      </w:r>
      <w:r w:rsidRPr="007C3384">
        <w:rPr>
          <w:color w:val="000000" w:themeColor="text1"/>
          <w:szCs w:val="22"/>
          <w:lang w:eastAsia="en-AU"/>
        </w:rPr>
        <w:t xml:space="preserve"> (</w:t>
      </w:r>
      <w:r w:rsidR="00993358" w:rsidRPr="007C3384">
        <w:rPr>
          <w:color w:val="000000" w:themeColor="text1"/>
          <w:szCs w:val="22"/>
          <w:lang w:eastAsia="en-AU"/>
        </w:rPr>
        <w:fldChar w:fldCharType="begin"/>
      </w:r>
      <w:r w:rsidR="00993358" w:rsidRPr="007C3384">
        <w:rPr>
          <w:color w:val="000000" w:themeColor="text1"/>
          <w:szCs w:val="22"/>
          <w:lang w:eastAsia="en-AU"/>
        </w:rPr>
        <w:instrText xml:space="preserve"> REF _Ref382209642 \h </w:instrText>
      </w:r>
      <w:r w:rsidR="00993358" w:rsidRPr="007C3384">
        <w:rPr>
          <w:color w:val="000000" w:themeColor="text1"/>
          <w:szCs w:val="22"/>
          <w:lang w:eastAsia="en-AU"/>
        </w:rPr>
      </w:r>
      <w:r w:rsidR="00993358" w:rsidRPr="007C3384">
        <w:rPr>
          <w:color w:val="000000" w:themeColor="text1"/>
          <w:szCs w:val="22"/>
          <w:lang w:eastAsia="en-AU"/>
        </w:rPr>
        <w:fldChar w:fldCharType="separate"/>
      </w:r>
      <w:r w:rsidR="00F87DF9" w:rsidRPr="000D2ADB">
        <w:rPr>
          <w:color w:val="000000"/>
          <w:szCs w:val="22"/>
        </w:rPr>
        <w:t xml:space="preserve">Figure </w:t>
      </w:r>
      <w:r w:rsidR="00F87DF9">
        <w:rPr>
          <w:noProof/>
          <w:color w:val="000000"/>
          <w:szCs w:val="22"/>
        </w:rPr>
        <w:t>103</w:t>
      </w:r>
      <w:r w:rsidR="00993358" w:rsidRPr="007C3384">
        <w:rPr>
          <w:color w:val="000000" w:themeColor="text1"/>
          <w:szCs w:val="22"/>
          <w:lang w:eastAsia="en-AU"/>
        </w:rPr>
        <w:fldChar w:fldCharType="end"/>
      </w:r>
      <w:r w:rsidRPr="007C3384">
        <w:rPr>
          <w:color w:val="000000" w:themeColor="text1"/>
          <w:szCs w:val="22"/>
          <w:lang w:eastAsia="en-AU"/>
        </w:rPr>
        <w:t xml:space="preserve">). </w:t>
      </w:r>
      <w:r w:rsidR="00297FAD" w:rsidRPr="007C3384">
        <w:rPr>
          <w:color w:val="000000" w:themeColor="text1"/>
          <w:szCs w:val="22"/>
          <w:lang w:eastAsia="en-AU"/>
        </w:rPr>
        <w:t xml:space="preserve">This limits the capacity of opportunistic species to expand in reef habitats, as well as the meadow capacity to recover following further disturbance. </w:t>
      </w:r>
    </w:p>
    <w:p w14:paraId="0603D6B6" w14:textId="77777777" w:rsidR="007E1DF9" w:rsidRPr="007E1DF9" w:rsidRDefault="00EB62A9" w:rsidP="004D6DEF">
      <w:pPr>
        <w:keepNext/>
        <w:widowControl w:val="0"/>
        <w:spacing w:after="0"/>
        <w:jc w:val="center"/>
        <w:rPr>
          <w:color w:val="000000"/>
          <w:szCs w:val="22"/>
          <w:lang w:eastAsia="en-AU"/>
        </w:rPr>
      </w:pPr>
      <w:r>
        <w:rPr>
          <w:noProof/>
          <w:color w:val="000000"/>
          <w:szCs w:val="22"/>
          <w:lang w:eastAsia="en-AU"/>
        </w:rPr>
        <w:drawing>
          <wp:inline distT="0" distB="0" distL="0" distR="0" wp14:anchorId="361B9428" wp14:editId="017E81F8">
            <wp:extent cx="5684755" cy="1409700"/>
            <wp:effectExtent l="0" t="0" r="0" b="0"/>
            <wp:docPr id="10158" name="Picture 10158" descr="Panel of three composite bar and scatter plot graphs showing seed banks (bars) and reproductive effort (dots) at inshore seagrass habitats in the Fitzroy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8" name="F_repro16.png"/>
                    <pic:cNvPicPr/>
                  </pic:nvPicPr>
                  <pic:blipFill>
                    <a:blip r:embed="rId141">
                      <a:extLst>
                        <a:ext uri="{28A0092B-C50C-407E-A947-70E740481C1C}">
                          <a14:useLocalDpi xmlns:a14="http://schemas.microsoft.com/office/drawing/2010/main" val="0"/>
                        </a:ext>
                      </a:extLst>
                    </a:blip>
                    <a:stretch>
                      <a:fillRect/>
                    </a:stretch>
                  </pic:blipFill>
                  <pic:spPr>
                    <a:xfrm>
                      <a:off x="0" y="0"/>
                      <a:ext cx="5684755" cy="1409700"/>
                    </a:xfrm>
                    <a:prstGeom prst="rect">
                      <a:avLst/>
                    </a:prstGeom>
                  </pic:spPr>
                </pic:pic>
              </a:graphicData>
            </a:graphic>
          </wp:inline>
        </w:drawing>
      </w:r>
    </w:p>
    <w:p w14:paraId="5C50C634" w14:textId="7BCF8267" w:rsidR="00244FEE" w:rsidRPr="002A027E" w:rsidRDefault="005132EF" w:rsidP="00244FEE">
      <w:pPr>
        <w:autoSpaceDE w:val="0"/>
        <w:autoSpaceDN w:val="0"/>
        <w:adjustRightInd w:val="0"/>
        <w:rPr>
          <w:i/>
          <w:vanish/>
          <w:szCs w:val="22"/>
          <w:specVanish/>
        </w:rPr>
      </w:pPr>
      <w:bookmarkStart w:id="557" w:name="_Ref382209642"/>
      <w:bookmarkStart w:id="558" w:name="_Toc431493890"/>
      <w:bookmarkStart w:id="559" w:name="_Toc516053313"/>
      <w:r w:rsidRPr="000D2ADB">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103</w:t>
      </w:r>
      <w:r w:rsidR="0073595B">
        <w:rPr>
          <w:color w:val="000000"/>
          <w:szCs w:val="22"/>
        </w:rPr>
        <w:fldChar w:fldCharType="end"/>
      </w:r>
      <w:bookmarkEnd w:id="557"/>
      <w:r w:rsidRPr="000D2ADB">
        <w:rPr>
          <w:color w:val="000000"/>
          <w:szCs w:val="22"/>
        </w:rPr>
        <w:t>.</w:t>
      </w:r>
      <w:r w:rsidRPr="000D2ADB">
        <w:rPr>
          <w:i/>
          <w:color w:val="000000"/>
          <w:szCs w:val="22"/>
        </w:rPr>
        <w:t xml:space="preserve"> </w:t>
      </w:r>
      <w:r w:rsidR="00244FEE" w:rsidRPr="000D2ADB">
        <w:rPr>
          <w:i/>
          <w:color w:val="000000"/>
          <w:szCs w:val="22"/>
        </w:rPr>
        <w:t xml:space="preserve">Seed bank and late dry season reproductive effort for inshore intertidal coastal, estuary </w:t>
      </w:r>
      <w:r w:rsidR="00244FEE" w:rsidRPr="002A027E">
        <w:rPr>
          <w:i/>
          <w:szCs w:val="22"/>
        </w:rPr>
        <w:t xml:space="preserve">and reef habitats in the </w:t>
      </w:r>
      <w:r w:rsidR="008C23B1" w:rsidRPr="002A027E">
        <w:rPr>
          <w:i/>
          <w:szCs w:val="22"/>
        </w:rPr>
        <w:t>Fitzroy</w:t>
      </w:r>
      <w:r w:rsidR="00244FEE" w:rsidRPr="002A027E">
        <w:rPr>
          <w:i/>
          <w:szCs w:val="22"/>
        </w:rPr>
        <w:t xml:space="preserve"> region, 200</w:t>
      </w:r>
      <w:r w:rsidR="00F45DFA" w:rsidRPr="002A027E">
        <w:rPr>
          <w:i/>
          <w:szCs w:val="22"/>
        </w:rPr>
        <w:t>5</w:t>
      </w:r>
      <w:r w:rsidR="00244FEE" w:rsidRPr="002A027E">
        <w:rPr>
          <w:i/>
          <w:szCs w:val="22"/>
        </w:rPr>
        <w:t xml:space="preserve"> - 201</w:t>
      </w:r>
      <w:r w:rsidR="002A027E" w:rsidRPr="002A027E">
        <w:rPr>
          <w:i/>
          <w:szCs w:val="22"/>
        </w:rPr>
        <w:t>7</w:t>
      </w:r>
      <w:r w:rsidR="00244FEE" w:rsidRPr="002A027E">
        <w:rPr>
          <w:i/>
          <w:szCs w:val="22"/>
        </w:rPr>
        <w:t>.</w:t>
      </w:r>
      <w:bookmarkEnd w:id="558"/>
      <w:bookmarkEnd w:id="559"/>
      <w:r w:rsidR="00244FEE" w:rsidRPr="002A027E">
        <w:rPr>
          <w:i/>
          <w:szCs w:val="22"/>
        </w:rPr>
        <w:t xml:space="preserve"> </w:t>
      </w:r>
    </w:p>
    <w:p w14:paraId="21D09AAD" w14:textId="77777777" w:rsidR="00BC4EC5" w:rsidRPr="00BC4EC5" w:rsidRDefault="00244FEE" w:rsidP="00BC5E5C">
      <w:pPr>
        <w:autoSpaceDE w:val="0"/>
        <w:autoSpaceDN w:val="0"/>
        <w:adjustRightInd w:val="0"/>
        <w:rPr>
          <w:color w:val="000000"/>
          <w:szCs w:val="22"/>
        </w:rPr>
      </w:pPr>
      <w:r w:rsidRPr="002A027E">
        <w:rPr>
          <w:i/>
          <w:szCs w:val="22"/>
        </w:rPr>
        <w:t>S</w:t>
      </w:r>
      <w:r w:rsidR="008C23B1" w:rsidRPr="002A027E">
        <w:rPr>
          <w:i/>
          <w:szCs w:val="22"/>
        </w:rPr>
        <w:t xml:space="preserve">eed bank presented as the total number of seeds </w:t>
      </w:r>
      <w:r w:rsidR="008C23B1" w:rsidRPr="000D2ADB">
        <w:rPr>
          <w:i/>
          <w:color w:val="000000"/>
          <w:szCs w:val="22"/>
        </w:rPr>
        <w:t>per m</w:t>
      </w:r>
      <w:r w:rsidR="008C23B1" w:rsidRPr="000D2ADB">
        <w:rPr>
          <w:i/>
          <w:color w:val="000000"/>
          <w:szCs w:val="22"/>
          <w:vertAlign w:val="superscript"/>
        </w:rPr>
        <w:t>2</w:t>
      </w:r>
      <w:r w:rsidR="008C23B1" w:rsidRPr="000D2ADB">
        <w:rPr>
          <w:i/>
          <w:color w:val="000000"/>
          <w:szCs w:val="22"/>
        </w:rPr>
        <w:t xml:space="preserve"> sediment surface and late dry season reproductive effort presented as the average number of reproductive structures per core (species and sites pooled).</w:t>
      </w:r>
      <w:r w:rsidRPr="000D2ADB">
        <w:rPr>
          <w:i/>
          <w:color w:val="000000"/>
          <w:szCs w:val="22"/>
        </w:rPr>
        <w:t xml:space="preserve"> </w:t>
      </w:r>
    </w:p>
    <w:p w14:paraId="5ACA93E5" w14:textId="75442C81" w:rsidR="00BC4EC5" w:rsidRPr="00BD0604" w:rsidRDefault="00FF0A86" w:rsidP="00926892">
      <w:pPr>
        <w:pStyle w:val="Heading3"/>
        <w:numPr>
          <w:ilvl w:val="2"/>
          <w:numId w:val="9"/>
        </w:numPr>
        <w:rPr>
          <w:rFonts w:ascii="Arial" w:hAnsi="Arial" w:cs="Arial"/>
          <w:color w:val="000000"/>
        </w:rPr>
      </w:pPr>
      <w:bookmarkStart w:id="560" w:name="_Toc516053165"/>
      <w:r>
        <w:rPr>
          <w:rFonts w:ascii="Arial" w:hAnsi="Arial" w:cs="Arial"/>
          <w:color w:val="000000"/>
        </w:rPr>
        <w:t>Indicators of environmental condition</w:t>
      </w:r>
      <w:bookmarkEnd w:id="560"/>
    </w:p>
    <w:p w14:paraId="2898A91C" w14:textId="77777777"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tissue nutrients</w:t>
      </w:r>
    </w:p>
    <w:p w14:paraId="039C66C0" w14:textId="37E55EAF" w:rsidR="007E1DF9" w:rsidRPr="00DD7173" w:rsidRDefault="00DD7173" w:rsidP="007E1DF9">
      <w:pPr>
        <w:autoSpaceDE w:val="0"/>
        <w:autoSpaceDN w:val="0"/>
        <w:adjustRightInd w:val="0"/>
        <w:rPr>
          <w:color w:val="000000" w:themeColor="text1"/>
          <w:szCs w:val="22"/>
        </w:rPr>
      </w:pPr>
      <w:r w:rsidRPr="00DD7173">
        <w:rPr>
          <w:rFonts w:cs="TimesNewRoman,Italic"/>
          <w:iCs/>
          <w:color w:val="000000" w:themeColor="text1"/>
          <w:szCs w:val="22"/>
        </w:rPr>
        <w:t xml:space="preserve">Seagrass leaf tissue C:N ratios increased in rating to </w:t>
      </w:r>
      <w:r w:rsidRPr="00DD7173">
        <w:rPr>
          <w:rFonts w:cs="TimesNewRoman,Italic"/>
          <w:b/>
          <w:iCs/>
          <w:color w:val="000000" w:themeColor="text1"/>
          <w:szCs w:val="22"/>
        </w:rPr>
        <w:t>moderate</w:t>
      </w:r>
      <w:r w:rsidRPr="00DD7173">
        <w:rPr>
          <w:rFonts w:cs="TimesNewRoman,Italic"/>
          <w:iCs/>
          <w:color w:val="000000" w:themeColor="text1"/>
          <w:szCs w:val="22"/>
        </w:rPr>
        <w:t xml:space="preserve"> in </w:t>
      </w:r>
      <w:r w:rsidR="008574EC">
        <w:rPr>
          <w:rFonts w:cs="TimesNewRoman,Italic"/>
          <w:iCs/>
          <w:color w:val="000000" w:themeColor="text1"/>
          <w:szCs w:val="22"/>
        </w:rPr>
        <w:t>2016–17</w:t>
      </w:r>
      <w:r w:rsidRPr="00DD7173">
        <w:rPr>
          <w:rFonts w:cs="TimesNewRoman,Italic"/>
          <w:iCs/>
          <w:color w:val="000000" w:themeColor="text1"/>
          <w:szCs w:val="22"/>
        </w:rPr>
        <w:t xml:space="preserve">. The largest increase in the C:N score occurred at the coastal sites, such that both coastal and estuarine sites had scores around 20 </w:t>
      </w:r>
      <w:r w:rsidR="007E1DF9" w:rsidRPr="00DD7173">
        <w:rPr>
          <w:rFonts w:cs="TimesNewRoman,Italic"/>
          <w:iCs/>
          <w:color w:val="000000" w:themeColor="text1"/>
          <w:szCs w:val="22"/>
        </w:rPr>
        <w:t>(</w:t>
      </w:r>
      <w:r w:rsidR="004D6DEF" w:rsidRPr="00DD7173">
        <w:rPr>
          <w:rFonts w:cs="TimesNewRoman,Italic"/>
          <w:iCs/>
          <w:color w:val="000000" w:themeColor="text1"/>
          <w:szCs w:val="22"/>
        </w:rPr>
        <w:fldChar w:fldCharType="begin"/>
      </w:r>
      <w:r w:rsidR="004D6DEF" w:rsidRPr="00DD7173">
        <w:rPr>
          <w:rFonts w:cs="TimesNewRoman,Italic"/>
          <w:iCs/>
          <w:color w:val="000000" w:themeColor="text1"/>
          <w:szCs w:val="22"/>
        </w:rPr>
        <w:instrText xml:space="preserve"> REF _Ref271133742 \h </w:instrText>
      </w:r>
      <w:r w:rsidR="004D6DEF" w:rsidRPr="00DD7173">
        <w:rPr>
          <w:rFonts w:cs="TimesNewRoman,Italic"/>
          <w:iCs/>
          <w:color w:val="000000" w:themeColor="text1"/>
          <w:szCs w:val="22"/>
        </w:rPr>
      </w:r>
      <w:r w:rsidR="004D6DEF" w:rsidRPr="00DD7173">
        <w:rPr>
          <w:rFonts w:cs="TimesNewRoman,Italic"/>
          <w:iCs/>
          <w:color w:val="000000" w:themeColor="text1"/>
          <w:szCs w:val="22"/>
        </w:rPr>
        <w:fldChar w:fldCharType="separate"/>
      </w:r>
      <w:r w:rsidR="00F87DF9" w:rsidRPr="004A52D2">
        <w:rPr>
          <w:color w:val="000000"/>
        </w:rPr>
        <w:t xml:space="preserve">Figure </w:t>
      </w:r>
      <w:r w:rsidR="00F87DF9">
        <w:rPr>
          <w:noProof/>
          <w:color w:val="000000"/>
        </w:rPr>
        <w:t>104</w:t>
      </w:r>
      <w:r w:rsidR="004D6DEF" w:rsidRPr="00DD7173">
        <w:rPr>
          <w:rFonts w:cs="TimesNewRoman,Italic"/>
          <w:iCs/>
          <w:color w:val="000000" w:themeColor="text1"/>
          <w:szCs w:val="22"/>
        </w:rPr>
        <w:fldChar w:fldCharType="end"/>
      </w:r>
      <w:r w:rsidR="007E1DF9" w:rsidRPr="00DD7173">
        <w:rPr>
          <w:rFonts w:cs="TimesNewRoman,Italic"/>
          <w:iCs/>
          <w:color w:val="000000" w:themeColor="text1"/>
          <w:szCs w:val="22"/>
        </w:rPr>
        <w:t xml:space="preserve">). </w:t>
      </w:r>
      <w:r w:rsidR="00D1365A" w:rsidRPr="00DD7173">
        <w:rPr>
          <w:rFonts w:cs="TimesNewRoman,Italic"/>
          <w:iCs/>
          <w:color w:val="000000" w:themeColor="text1"/>
          <w:szCs w:val="22"/>
        </w:rPr>
        <w:t xml:space="preserve">C:N </w:t>
      </w:r>
      <w:r w:rsidR="007E1DF9" w:rsidRPr="00DD7173">
        <w:rPr>
          <w:rFonts w:cs="TimesNewRoman,Italic"/>
          <w:iCs/>
          <w:color w:val="000000" w:themeColor="text1"/>
          <w:szCs w:val="22"/>
        </w:rPr>
        <w:t>below 20, is indicative</w:t>
      </w:r>
      <w:r w:rsidRPr="00DD7173">
        <w:rPr>
          <w:rFonts w:cs="TimesNewRoman,Italic"/>
          <w:iCs/>
          <w:color w:val="000000" w:themeColor="text1"/>
          <w:szCs w:val="22"/>
        </w:rPr>
        <w:t xml:space="preserve"> of a surplus in the uptake of nitrogen</w:t>
      </w:r>
      <w:r w:rsidR="007E1DF9" w:rsidRPr="00DD7173">
        <w:rPr>
          <w:rFonts w:cs="TimesNewRoman,Italic"/>
          <w:iCs/>
          <w:color w:val="000000" w:themeColor="text1"/>
          <w:szCs w:val="22"/>
        </w:rPr>
        <w:t>, relative to the uptake and incorporation of carbon</w:t>
      </w:r>
      <w:r w:rsidR="007F68E8" w:rsidRPr="00DD7173">
        <w:rPr>
          <w:rFonts w:cs="TimesNewRoman,Italic"/>
          <w:iCs/>
          <w:color w:val="000000" w:themeColor="text1"/>
          <w:szCs w:val="22"/>
        </w:rPr>
        <w:t>.</w:t>
      </w:r>
      <w:r w:rsidRPr="00DD7173">
        <w:rPr>
          <w:rFonts w:cs="TimesNewRoman,Italic"/>
          <w:iCs/>
          <w:color w:val="000000" w:themeColor="text1"/>
          <w:szCs w:val="22"/>
        </w:rPr>
        <w:t xml:space="preserve"> In a trend that parallels all other regions in the </w:t>
      </w:r>
      <w:r w:rsidR="007F6948">
        <w:rPr>
          <w:rFonts w:cs="TimesNewRoman,Italic"/>
          <w:iCs/>
          <w:color w:val="000000" w:themeColor="text1"/>
          <w:szCs w:val="22"/>
        </w:rPr>
        <w:t>Great Barrier Reef</w:t>
      </w:r>
      <w:r w:rsidRPr="00DD7173">
        <w:rPr>
          <w:rFonts w:cs="TimesNewRoman,Italic"/>
          <w:iCs/>
          <w:color w:val="000000" w:themeColor="text1"/>
          <w:szCs w:val="22"/>
        </w:rPr>
        <w:t xml:space="preserve">, there have also been reductions in the N:P ratios in </w:t>
      </w:r>
      <w:r w:rsidR="008574EC">
        <w:rPr>
          <w:rFonts w:cs="TimesNewRoman,Italic"/>
          <w:iCs/>
          <w:color w:val="000000" w:themeColor="text1"/>
          <w:szCs w:val="22"/>
        </w:rPr>
        <w:t>2016–17</w:t>
      </w:r>
      <w:r w:rsidRPr="00DD7173">
        <w:rPr>
          <w:rFonts w:cs="TimesNewRoman,Italic"/>
          <w:iCs/>
          <w:color w:val="000000" w:themeColor="text1"/>
          <w:szCs w:val="22"/>
        </w:rPr>
        <w:t>. Both increases in C:N and reductions in N:P (</w:t>
      </w:r>
      <w:r w:rsidRPr="00DD7173">
        <w:rPr>
          <w:rFonts w:cs="TimesNewRoman,Italic"/>
          <w:iCs/>
          <w:color w:val="000000" w:themeColor="text1"/>
          <w:szCs w:val="22"/>
        </w:rPr>
        <w:fldChar w:fldCharType="begin"/>
      </w:r>
      <w:r w:rsidRPr="00DD7173">
        <w:rPr>
          <w:rFonts w:cs="TimesNewRoman,Italic"/>
          <w:iCs/>
          <w:color w:val="000000" w:themeColor="text1"/>
          <w:szCs w:val="22"/>
        </w:rPr>
        <w:instrText xml:space="preserve"> REF _Ref236801280 \h </w:instrText>
      </w:r>
      <w:r w:rsidRPr="00DD7173">
        <w:rPr>
          <w:rFonts w:cs="TimesNewRoman,Italic"/>
          <w:iCs/>
          <w:color w:val="000000" w:themeColor="text1"/>
          <w:szCs w:val="22"/>
        </w:rPr>
      </w:r>
      <w:r w:rsidRPr="00DD7173">
        <w:rPr>
          <w:rFonts w:cs="TimesNewRoman,Italic"/>
          <w:iCs/>
          <w:color w:val="000000" w:themeColor="text1"/>
          <w:szCs w:val="22"/>
        </w:rPr>
        <w:fldChar w:fldCharType="separate"/>
      </w:r>
      <w:r w:rsidR="00F87DF9" w:rsidRPr="00372A66">
        <w:rPr>
          <w:color w:val="000000"/>
          <w:szCs w:val="22"/>
        </w:rPr>
        <w:t xml:space="preserve">Figure </w:t>
      </w:r>
      <w:r w:rsidR="00F87DF9">
        <w:rPr>
          <w:noProof/>
          <w:color w:val="000000"/>
          <w:szCs w:val="22"/>
        </w:rPr>
        <w:t>105</w:t>
      </w:r>
      <w:r w:rsidRPr="00DD7173">
        <w:rPr>
          <w:rFonts w:cs="TimesNewRoman,Italic"/>
          <w:iCs/>
          <w:color w:val="000000" w:themeColor="text1"/>
          <w:szCs w:val="22"/>
        </w:rPr>
        <w:fldChar w:fldCharType="end"/>
      </w:r>
      <w:r w:rsidRPr="00DD7173">
        <w:rPr>
          <w:rFonts w:cs="TimesNewRoman,Italic"/>
          <w:iCs/>
          <w:color w:val="000000" w:themeColor="text1"/>
          <w:szCs w:val="22"/>
        </w:rPr>
        <w:t>) demonstrate a reduction nitrogen availability relative to growth requirements.</w:t>
      </w:r>
      <w:r w:rsidR="007F68E8" w:rsidRPr="00DD7173">
        <w:rPr>
          <w:rFonts w:cs="TimesNewRoman,Italic"/>
          <w:iCs/>
          <w:color w:val="000000" w:themeColor="text1"/>
          <w:szCs w:val="22"/>
        </w:rPr>
        <w:t xml:space="preserve"> </w:t>
      </w:r>
    </w:p>
    <w:p w14:paraId="221E837B" w14:textId="77777777" w:rsidR="007E1DF9" w:rsidRPr="006C105D" w:rsidRDefault="00EB62A9" w:rsidP="004D6DEF">
      <w:pPr>
        <w:keepNext/>
        <w:widowControl w:val="0"/>
        <w:autoSpaceDE w:val="0"/>
        <w:autoSpaceDN w:val="0"/>
        <w:adjustRightInd w:val="0"/>
        <w:spacing w:after="0"/>
        <w:jc w:val="center"/>
        <w:rPr>
          <w:color w:val="000000"/>
          <w:szCs w:val="22"/>
        </w:rPr>
      </w:pPr>
      <w:r>
        <w:rPr>
          <w:noProof/>
          <w:color w:val="000000"/>
          <w:szCs w:val="22"/>
          <w:lang w:eastAsia="en-AU"/>
        </w:rPr>
        <w:drawing>
          <wp:inline distT="0" distB="0" distL="0" distR="0" wp14:anchorId="025EA9A2" wp14:editId="1558CE68">
            <wp:extent cx="4854481" cy="1494000"/>
            <wp:effectExtent l="0" t="0" r="3810" b="0"/>
            <wp:docPr id="10159" name="Picture 10159" descr="Panel of three scatter plots with straight lines and markers showing elemental ratios (atomic) of seagrass leaf tissue C:N for the foundation species in inshore seagrass habitats in the Fitzro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9" name="F_CN_yr_Dec16.png"/>
                    <pic:cNvPicPr/>
                  </pic:nvPicPr>
                  <pic:blipFill>
                    <a:blip r:embed="rId142">
                      <a:extLst>
                        <a:ext uri="{28A0092B-C50C-407E-A947-70E740481C1C}">
                          <a14:useLocalDpi xmlns:a14="http://schemas.microsoft.com/office/drawing/2010/main" val="0"/>
                        </a:ext>
                      </a:extLst>
                    </a:blip>
                    <a:stretch>
                      <a:fillRect/>
                    </a:stretch>
                  </pic:blipFill>
                  <pic:spPr>
                    <a:xfrm>
                      <a:off x="0" y="0"/>
                      <a:ext cx="4854481" cy="1494000"/>
                    </a:xfrm>
                    <a:prstGeom prst="rect">
                      <a:avLst/>
                    </a:prstGeom>
                  </pic:spPr>
                </pic:pic>
              </a:graphicData>
            </a:graphic>
          </wp:inline>
        </w:drawing>
      </w:r>
    </w:p>
    <w:p w14:paraId="07A6D436" w14:textId="082E8339" w:rsidR="005E3260" w:rsidRPr="002A027E" w:rsidRDefault="005132EF" w:rsidP="005E3260">
      <w:pPr>
        <w:rPr>
          <w:i/>
          <w:vanish/>
          <w:szCs w:val="22"/>
          <w:specVanish/>
        </w:rPr>
      </w:pPr>
      <w:bookmarkStart w:id="561" w:name="_Ref271133742"/>
      <w:bookmarkStart w:id="562" w:name="_Toc431493892"/>
      <w:bookmarkStart w:id="563" w:name="_Toc516053314"/>
      <w:r w:rsidRPr="004A52D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104</w:t>
      </w:r>
      <w:r w:rsidR="0073595B">
        <w:rPr>
          <w:color w:val="000000"/>
        </w:rPr>
        <w:fldChar w:fldCharType="end"/>
      </w:r>
      <w:bookmarkEnd w:id="561"/>
      <w:r w:rsidRPr="004A52D2">
        <w:rPr>
          <w:color w:val="000000"/>
        </w:rPr>
        <w:t xml:space="preserve">. </w:t>
      </w:r>
      <w:r w:rsidRPr="004A52D2">
        <w:rPr>
          <w:i/>
          <w:color w:val="000000"/>
          <w:lang w:eastAsia="en-AU"/>
        </w:rPr>
        <w:t xml:space="preserve">Elemental ratios (atomic) of seagrass leaf tissue C:N for </w:t>
      </w:r>
      <w:r w:rsidRPr="004A52D2">
        <w:rPr>
          <w:i/>
          <w:color w:val="000000"/>
        </w:rPr>
        <w:t xml:space="preserve">the foundation seagrass species </w:t>
      </w:r>
      <w:r w:rsidRPr="002A027E">
        <w:rPr>
          <w:i/>
        </w:rPr>
        <w:t xml:space="preserve">examined at </w:t>
      </w:r>
      <w:r w:rsidR="005E3260" w:rsidRPr="002A027E">
        <w:rPr>
          <w:i/>
        </w:rPr>
        <w:t xml:space="preserve">inshore intertidal </w:t>
      </w:r>
      <w:r w:rsidRPr="002A027E">
        <w:rPr>
          <w:i/>
        </w:rPr>
        <w:t>habitat</w:t>
      </w:r>
      <w:r w:rsidR="005E3260" w:rsidRPr="002A027E">
        <w:rPr>
          <w:i/>
        </w:rPr>
        <w:t>s</w:t>
      </w:r>
      <w:r w:rsidRPr="002A027E">
        <w:rPr>
          <w:i/>
        </w:rPr>
        <w:t xml:space="preserve"> in the Fitzroy region</w:t>
      </w:r>
      <w:r w:rsidR="005E3260" w:rsidRPr="002A027E">
        <w:rPr>
          <w:i/>
        </w:rPr>
        <w:t>, 2005 - 201</w:t>
      </w:r>
      <w:r w:rsidR="002A027E" w:rsidRPr="002A027E">
        <w:rPr>
          <w:i/>
        </w:rPr>
        <w:t>6</w:t>
      </w:r>
      <w:bookmarkEnd w:id="562"/>
      <w:bookmarkEnd w:id="563"/>
    </w:p>
    <w:p w14:paraId="2627DCE2" w14:textId="07EB3979" w:rsidR="005132EF" w:rsidRDefault="005132EF" w:rsidP="004D6DEF">
      <w:pPr>
        <w:rPr>
          <w:color w:val="000000"/>
          <w:szCs w:val="22"/>
        </w:rPr>
      </w:pPr>
      <w:r w:rsidRPr="002A027E">
        <w:rPr>
          <w:i/>
          <w:lang w:eastAsia="en-AU"/>
        </w:rPr>
        <w:t xml:space="preserve"> (species pooled) </w:t>
      </w:r>
      <w:r w:rsidRPr="002A027E">
        <w:rPr>
          <w:i/>
        </w:rPr>
        <w:t>(mean</w:t>
      </w:r>
      <w:r w:rsidRPr="002A027E">
        <w:rPr>
          <w:i/>
          <w:lang w:eastAsia="en-AU"/>
        </w:rPr>
        <w:t xml:space="preserve"> ± </w:t>
      </w:r>
      <w:r w:rsidR="009C7692">
        <w:rPr>
          <w:i/>
          <w:color w:val="000000"/>
          <w:lang w:eastAsia="en-AU"/>
        </w:rPr>
        <w:t>SE</w:t>
      </w:r>
      <w:r w:rsidRPr="004A52D2">
        <w:rPr>
          <w:i/>
          <w:color w:val="000000"/>
        </w:rPr>
        <w:t>)</w:t>
      </w:r>
      <w:r w:rsidRPr="004A52D2">
        <w:rPr>
          <w:i/>
          <w:color w:val="000000"/>
          <w:lang w:eastAsia="en-AU"/>
        </w:rPr>
        <w:t xml:space="preserve">. Horizontal shaded band on the C:N ratio panel represents the accepted </w:t>
      </w:r>
      <w:r w:rsidRPr="004A52D2">
        <w:rPr>
          <w:i/>
          <w:color w:val="000000"/>
        </w:rPr>
        <w:t xml:space="preserve">guideline </w:t>
      </w:r>
      <w:r w:rsidRPr="004A52D2">
        <w:rPr>
          <w:i/>
          <w:color w:val="000000"/>
          <w:lang w:eastAsia="en-AU"/>
        </w:rPr>
        <w:t xml:space="preserve">seagrass “Redfield” ratio </w:t>
      </w:r>
      <w:r w:rsidRPr="004A52D2">
        <w:rPr>
          <w:i/>
          <w:color w:val="000000"/>
        </w:rPr>
        <w:t xml:space="preserve">of 20:1 </w:t>
      </w:r>
      <w:r w:rsidR="00C63415" w:rsidRPr="004A52D2">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 </w:instrText>
      </w:r>
      <w:r w:rsidR="00521D93">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EN.CITE.DATA </w:instrText>
      </w:r>
      <w:r w:rsidR="00521D93">
        <w:rPr>
          <w:i/>
          <w:color w:val="000000"/>
        </w:rPr>
      </w:r>
      <w:r w:rsidR="00521D93">
        <w:rPr>
          <w:i/>
          <w:color w:val="000000"/>
        </w:rPr>
        <w:fldChar w:fldCharType="end"/>
      </w:r>
      <w:r w:rsidR="00644A84">
        <w:rPr>
          <w:i/>
          <w:color w:val="000000"/>
        </w:rPr>
      </w:r>
      <w:r w:rsidR="00644A84">
        <w:rPr>
          <w:i/>
          <w:color w:val="000000"/>
        </w:rPr>
        <w:fldChar w:fldCharType="separate"/>
      </w:r>
      <w:hyperlink w:anchor="_ENREF_2" w:tooltip="Abal, 1994 #7405" w:history="1">
        <w:r w:rsidR="00305FE7">
          <w:rPr>
            <w:i/>
            <w:noProof/>
            <w:color w:val="000000"/>
          </w:rPr>
          <w:t>Abal et al. 1994</w:t>
        </w:r>
      </w:hyperlink>
      <w:r w:rsidR="00521D93">
        <w:rPr>
          <w:i/>
          <w:noProof/>
          <w:color w:val="000000"/>
        </w:rPr>
        <w:t xml:space="preserve">; </w:t>
      </w:r>
      <w:hyperlink w:anchor="_ENREF_107" w:tooltip="Grice, 1996 #1346" w:history="1">
        <w:r w:rsidR="00305FE7">
          <w:rPr>
            <w:i/>
            <w:noProof/>
            <w:color w:val="000000"/>
          </w:rPr>
          <w:t>Grice et al. 1996</w:t>
        </w:r>
      </w:hyperlink>
      <w:r w:rsidR="00644A84">
        <w:rPr>
          <w:i/>
          <w:color w:val="000000"/>
        </w:rPr>
        <w:fldChar w:fldCharType="end"/>
      </w:r>
      <w:r w:rsidR="00C63415" w:rsidRPr="004A52D2">
        <w:rPr>
          <w:i/>
          <w:color w:val="000000"/>
        </w:rPr>
        <w:t>)</w:t>
      </w:r>
      <w:r w:rsidRPr="004A52D2">
        <w:rPr>
          <w:i/>
          <w:color w:val="000000"/>
          <w:lang w:eastAsia="en-AU"/>
        </w:rPr>
        <w:t xml:space="preserve">. C:N ratios below this line may </w:t>
      </w:r>
      <w:r w:rsidRPr="004A52D2">
        <w:rPr>
          <w:i/>
          <w:color w:val="000000"/>
        </w:rPr>
        <w:t>indicate reduced light availability</w:t>
      </w:r>
      <w:r w:rsidR="00005FEC" w:rsidRPr="004A52D2">
        <w:rPr>
          <w:i/>
          <w:color w:val="000000"/>
        </w:rPr>
        <w:t xml:space="preserve"> and/or N enrichment</w:t>
      </w:r>
      <w:r w:rsidRPr="004A52D2">
        <w:rPr>
          <w:i/>
          <w:color w:val="000000"/>
        </w:rPr>
        <w:t>.</w:t>
      </w:r>
      <w:r w:rsidR="00244FEE" w:rsidRPr="004A52D2">
        <w:rPr>
          <w:i/>
          <w:color w:val="000000"/>
        </w:rPr>
        <w:t xml:space="preserve"> </w:t>
      </w:r>
    </w:p>
    <w:p w14:paraId="62518598" w14:textId="77777777" w:rsidR="007E1DF9" w:rsidRPr="00372A66" w:rsidRDefault="00EB62A9" w:rsidP="004D6DEF">
      <w:pPr>
        <w:keepNext/>
        <w:widowControl w:val="0"/>
        <w:autoSpaceDE w:val="0"/>
        <w:autoSpaceDN w:val="0"/>
        <w:adjustRightInd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4C1A9B69" wp14:editId="579F66DC">
            <wp:extent cx="4860000" cy="2869983"/>
            <wp:effectExtent l="0" t="0" r="0" b="6985"/>
            <wp:docPr id="10160" name="Picture 10160" descr="Set of six scatter plots with straight lines and markers showing elemental ratios (atomic) of seagrass leaf tissue N:P and C:P for the foundation species in inshore seagrass habitats in the Fitzro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0" name="F_CNP_yr_Dec16.png"/>
                    <pic:cNvPicPr/>
                  </pic:nvPicPr>
                  <pic:blipFill>
                    <a:blip r:embed="rId143">
                      <a:extLst>
                        <a:ext uri="{28A0092B-C50C-407E-A947-70E740481C1C}">
                          <a14:useLocalDpi xmlns:a14="http://schemas.microsoft.com/office/drawing/2010/main" val="0"/>
                        </a:ext>
                      </a:extLst>
                    </a:blip>
                    <a:stretch>
                      <a:fillRect/>
                    </a:stretch>
                  </pic:blipFill>
                  <pic:spPr>
                    <a:xfrm>
                      <a:off x="0" y="0"/>
                      <a:ext cx="4860000" cy="2869983"/>
                    </a:xfrm>
                    <a:prstGeom prst="rect">
                      <a:avLst/>
                    </a:prstGeom>
                  </pic:spPr>
                </pic:pic>
              </a:graphicData>
            </a:graphic>
          </wp:inline>
        </w:drawing>
      </w:r>
    </w:p>
    <w:p w14:paraId="6C7EFA99" w14:textId="5C9EC2F6" w:rsidR="005E3260" w:rsidRPr="002A027E" w:rsidRDefault="005132EF" w:rsidP="005E3260">
      <w:pPr>
        <w:rPr>
          <w:i/>
          <w:iCs/>
          <w:vanish/>
          <w:szCs w:val="22"/>
          <w:lang w:eastAsia="en-AU"/>
          <w:specVanish/>
        </w:rPr>
      </w:pPr>
      <w:bookmarkStart w:id="564" w:name="_Ref236801280"/>
      <w:bookmarkStart w:id="565" w:name="_Toc431493893"/>
      <w:bookmarkStart w:id="566" w:name="_Toc516053315"/>
      <w:r w:rsidRPr="00372A6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105</w:t>
      </w:r>
      <w:r w:rsidR="0073595B">
        <w:rPr>
          <w:color w:val="000000"/>
          <w:szCs w:val="22"/>
        </w:rPr>
        <w:fldChar w:fldCharType="end"/>
      </w:r>
      <w:bookmarkEnd w:id="564"/>
      <w:r w:rsidRPr="00372A66">
        <w:rPr>
          <w:color w:val="000000"/>
          <w:szCs w:val="22"/>
        </w:rP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w:t>
      </w:r>
      <w:r w:rsidRPr="002A027E">
        <w:rPr>
          <w:i/>
          <w:iCs/>
          <w:szCs w:val="22"/>
        </w:rPr>
        <w:t xml:space="preserve">species </w:t>
      </w:r>
      <w:r w:rsidR="005E3260" w:rsidRPr="002A027E">
        <w:rPr>
          <w:i/>
        </w:rPr>
        <w:t>examined at inshore intertidal habitats in the Fitzroy region, 2005 - 201</w:t>
      </w:r>
      <w:r w:rsidR="002A027E" w:rsidRPr="002A027E">
        <w:rPr>
          <w:i/>
        </w:rPr>
        <w:t>6</w:t>
      </w:r>
      <w:bookmarkEnd w:id="565"/>
      <w:bookmarkEnd w:id="566"/>
    </w:p>
    <w:p w14:paraId="5E60AC60" w14:textId="383E31F1" w:rsidR="005E3260" w:rsidRDefault="005E3260" w:rsidP="00034AD4">
      <w:pPr>
        <w:rPr>
          <w:color w:val="000000"/>
          <w:szCs w:val="22"/>
          <w:lang w:val="en-GB"/>
        </w:rPr>
      </w:pPr>
      <w:r w:rsidRPr="002A027E">
        <w:rPr>
          <w:i/>
          <w:iCs/>
          <w:szCs w:val="22"/>
          <w:lang w:eastAsia="en-AU"/>
        </w:rPr>
        <w:t xml:space="preserve"> </w:t>
      </w:r>
      <w:r w:rsidR="005132EF" w:rsidRPr="002A027E">
        <w:rPr>
          <w:i/>
          <w:iCs/>
          <w:szCs w:val="22"/>
          <w:lang w:eastAsia="en-AU"/>
        </w:rPr>
        <w:t xml:space="preserve">(species pooled) </w:t>
      </w:r>
      <w:r w:rsidR="005132EF" w:rsidRPr="00372A66">
        <w:rPr>
          <w:i/>
          <w:iCs/>
          <w:color w:val="000000"/>
          <w:szCs w:val="22"/>
          <w:lang w:eastAsia="en-AU"/>
        </w:rPr>
        <w:t>(</w:t>
      </w:r>
      <w:r w:rsidR="005132EF" w:rsidRPr="00372A66">
        <w:rPr>
          <w:i/>
          <w:iCs/>
          <w:color w:val="000000"/>
          <w:szCs w:val="22"/>
        </w:rPr>
        <w:t>mean</w:t>
      </w:r>
      <w:r w:rsidR="005132EF" w:rsidRPr="00372A66">
        <w:rPr>
          <w:i/>
          <w:iCs/>
          <w:color w:val="000000"/>
          <w:szCs w:val="22"/>
          <w:lang w:eastAsia="en-AU"/>
        </w:rPr>
        <w:t xml:space="preserve"> ± </w:t>
      </w:r>
      <w:r w:rsidR="009C7692">
        <w:rPr>
          <w:i/>
          <w:iCs/>
          <w:color w:val="000000"/>
          <w:szCs w:val="22"/>
          <w:lang w:eastAsia="en-AU"/>
        </w:rPr>
        <w:t>SE</w:t>
      </w:r>
      <w:r w:rsidR="005132EF" w:rsidRPr="00372A66">
        <w:rPr>
          <w:i/>
          <w:iCs/>
          <w:color w:val="000000"/>
          <w:szCs w:val="22"/>
          <w:lang w:eastAsia="en-AU"/>
        </w:rPr>
        <w:t>).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372A66">
        <w:rPr>
          <w:color w:val="000000"/>
          <w:szCs w:val="22"/>
          <w:lang w:val="en-GB"/>
        </w:rPr>
        <w:t xml:space="preserve"> </w:t>
      </w:r>
    </w:p>
    <w:p w14:paraId="2477A552" w14:textId="4D160C8F" w:rsidR="008B0432" w:rsidRDefault="008B0432" w:rsidP="00034AD4">
      <w:pPr>
        <w:rPr>
          <w:color w:val="000000"/>
          <w:szCs w:val="22"/>
          <w:lang w:val="en-GB"/>
        </w:rPr>
      </w:pPr>
    </w:p>
    <w:p w14:paraId="7B221CD7" w14:textId="77777777" w:rsidR="008B0432" w:rsidRPr="001D05D4" w:rsidRDefault="008B0432" w:rsidP="008B0432">
      <w:pPr>
        <w:pStyle w:val="Heading4"/>
        <w:numPr>
          <w:ilvl w:val="0"/>
          <w:numId w:val="0"/>
        </w:numPr>
        <w:rPr>
          <w:rFonts w:ascii="Arial" w:hAnsi="Arial" w:cs="Arial"/>
          <w:sz w:val="24"/>
          <w:szCs w:val="24"/>
        </w:rPr>
      </w:pPr>
      <w:r>
        <w:rPr>
          <w:rFonts w:ascii="Arial" w:hAnsi="Arial" w:cs="Arial"/>
          <w:sz w:val="24"/>
          <w:szCs w:val="24"/>
        </w:rPr>
        <w:t>Seagrass meadow sediments</w:t>
      </w:r>
    </w:p>
    <w:p w14:paraId="66B94AFB" w14:textId="36EA85EA" w:rsidR="008B0432" w:rsidRPr="00720628" w:rsidRDefault="008B0432" w:rsidP="008B0432">
      <w:pPr>
        <w:rPr>
          <w:szCs w:val="22"/>
          <w:lang w:val="en-GB"/>
        </w:rPr>
      </w:pPr>
      <w:r w:rsidRPr="00720628">
        <w:rPr>
          <w:szCs w:val="22"/>
          <w:lang w:val="en-GB"/>
        </w:rPr>
        <w:t xml:space="preserve">In the Fitzroy region, the proportion of fine grains in meadow sediments decreases with distance from the coast/river mouths. Estuarine sediments were composed primarily of finer sediments, with the mud portion around the </w:t>
      </w:r>
      <w:r w:rsidR="007F6948">
        <w:rPr>
          <w:szCs w:val="22"/>
          <w:lang w:val="en-GB"/>
        </w:rPr>
        <w:t>Great Barrier Reef</w:t>
      </w:r>
      <w:r w:rsidRPr="00720628">
        <w:rPr>
          <w:szCs w:val="22"/>
          <w:lang w:val="en-GB"/>
        </w:rPr>
        <w:t xml:space="preserve"> long-term average, although one site (GH1) was much sandier in </w:t>
      </w:r>
      <w:r w:rsidR="008574EC">
        <w:rPr>
          <w:szCs w:val="22"/>
          <w:lang w:val="en-GB"/>
        </w:rPr>
        <w:t>2016–17</w:t>
      </w:r>
      <w:r w:rsidR="006053C2">
        <w:rPr>
          <w:szCs w:val="22"/>
          <w:lang w:val="en-GB"/>
        </w:rPr>
        <w:t xml:space="preserve"> (</w:t>
      </w:r>
      <w:r w:rsidR="006053C2">
        <w:rPr>
          <w:szCs w:val="22"/>
          <w:lang w:val="en-GB"/>
        </w:rPr>
        <w:fldChar w:fldCharType="begin"/>
      </w:r>
      <w:r w:rsidR="006053C2">
        <w:rPr>
          <w:szCs w:val="22"/>
          <w:lang w:val="en-GB"/>
        </w:rPr>
        <w:instrText xml:space="preserve"> REF _Ref511131821 \h </w:instrText>
      </w:r>
      <w:r w:rsidR="006053C2">
        <w:rPr>
          <w:szCs w:val="22"/>
          <w:lang w:val="en-GB"/>
        </w:rPr>
      </w:r>
      <w:r w:rsidR="006053C2">
        <w:rPr>
          <w:szCs w:val="22"/>
          <w:lang w:val="en-GB"/>
        </w:rPr>
        <w:fldChar w:fldCharType="separate"/>
      </w:r>
      <w:r w:rsidR="00F87DF9">
        <w:t xml:space="preserve">Figure </w:t>
      </w:r>
      <w:r w:rsidR="00F87DF9">
        <w:rPr>
          <w:noProof/>
        </w:rPr>
        <w:t>179</w:t>
      </w:r>
      <w:r w:rsidR="006053C2">
        <w:rPr>
          <w:szCs w:val="22"/>
          <w:lang w:val="en-GB"/>
        </w:rPr>
        <w:fldChar w:fldCharType="end"/>
      </w:r>
      <w:r w:rsidR="006053C2">
        <w:rPr>
          <w:szCs w:val="22"/>
          <w:lang w:val="en-GB"/>
        </w:rPr>
        <w:t>)</w:t>
      </w:r>
      <w:r w:rsidRPr="00720628">
        <w:rPr>
          <w:szCs w:val="22"/>
          <w:lang w:val="en-GB"/>
        </w:rPr>
        <w:t xml:space="preserve">. Coastal and reef habitat sediments were dominated by fine sand/sand, but the proportion of mud in coastal habitats decreased greatly in </w:t>
      </w:r>
      <w:r w:rsidR="008574EC">
        <w:rPr>
          <w:szCs w:val="22"/>
          <w:lang w:val="en-GB"/>
        </w:rPr>
        <w:t>2016–17</w:t>
      </w:r>
      <w:r w:rsidRPr="00720628">
        <w:rPr>
          <w:szCs w:val="22"/>
          <w:lang w:val="en-GB"/>
        </w:rPr>
        <w:t xml:space="preserve"> to below the </w:t>
      </w:r>
      <w:r w:rsidR="007F6948">
        <w:rPr>
          <w:szCs w:val="22"/>
          <w:lang w:val="en-GB"/>
        </w:rPr>
        <w:t>Great Barrier Reef</w:t>
      </w:r>
      <w:r w:rsidRPr="00720628">
        <w:rPr>
          <w:szCs w:val="22"/>
          <w:lang w:val="en-GB"/>
        </w:rPr>
        <w:t xml:space="preserve"> long-term average</w:t>
      </w:r>
      <w:r w:rsidR="006053C2">
        <w:rPr>
          <w:szCs w:val="22"/>
          <w:lang w:val="en-GB"/>
        </w:rPr>
        <w:t xml:space="preserve"> (</w:t>
      </w:r>
      <w:r w:rsidR="006053C2">
        <w:rPr>
          <w:szCs w:val="22"/>
          <w:lang w:val="en-GB"/>
        </w:rPr>
        <w:fldChar w:fldCharType="begin"/>
      </w:r>
      <w:r w:rsidR="006053C2">
        <w:rPr>
          <w:szCs w:val="22"/>
          <w:lang w:val="en-GB"/>
        </w:rPr>
        <w:instrText xml:space="preserve"> REF _Ref511131832 \h </w:instrText>
      </w:r>
      <w:r w:rsidR="006053C2">
        <w:rPr>
          <w:szCs w:val="22"/>
          <w:lang w:val="en-GB"/>
        </w:rPr>
      </w:r>
      <w:r w:rsidR="006053C2">
        <w:rPr>
          <w:szCs w:val="22"/>
          <w:lang w:val="en-GB"/>
        </w:rPr>
        <w:fldChar w:fldCharType="separate"/>
      </w:r>
      <w:r w:rsidR="00F87DF9">
        <w:t xml:space="preserve">Figure </w:t>
      </w:r>
      <w:r w:rsidR="00F87DF9">
        <w:rPr>
          <w:noProof/>
        </w:rPr>
        <w:t>180</w:t>
      </w:r>
      <w:r w:rsidR="006053C2">
        <w:rPr>
          <w:szCs w:val="22"/>
          <w:lang w:val="en-GB"/>
        </w:rPr>
        <w:fldChar w:fldCharType="end"/>
      </w:r>
      <w:r w:rsidR="006053C2">
        <w:rPr>
          <w:szCs w:val="22"/>
          <w:lang w:val="en-GB"/>
        </w:rPr>
        <w:t xml:space="preserve">, </w:t>
      </w:r>
      <w:r w:rsidR="006053C2">
        <w:rPr>
          <w:szCs w:val="22"/>
          <w:lang w:val="en-GB"/>
        </w:rPr>
        <w:fldChar w:fldCharType="begin"/>
      </w:r>
      <w:r w:rsidR="006053C2">
        <w:rPr>
          <w:szCs w:val="22"/>
          <w:lang w:val="en-GB"/>
        </w:rPr>
        <w:instrText xml:space="preserve"> REF _Ref511131835 \h </w:instrText>
      </w:r>
      <w:r w:rsidR="006053C2">
        <w:rPr>
          <w:szCs w:val="22"/>
          <w:lang w:val="en-GB"/>
        </w:rPr>
      </w:r>
      <w:r w:rsidR="006053C2">
        <w:rPr>
          <w:szCs w:val="22"/>
          <w:lang w:val="en-GB"/>
        </w:rPr>
        <w:fldChar w:fldCharType="separate"/>
      </w:r>
      <w:r w:rsidR="00F87DF9">
        <w:t xml:space="preserve">Figure </w:t>
      </w:r>
      <w:r w:rsidR="00F87DF9">
        <w:rPr>
          <w:noProof/>
        </w:rPr>
        <w:t>181</w:t>
      </w:r>
      <w:r w:rsidR="006053C2">
        <w:rPr>
          <w:szCs w:val="22"/>
          <w:lang w:val="en-GB"/>
        </w:rPr>
        <w:fldChar w:fldCharType="end"/>
      </w:r>
      <w:r w:rsidR="006053C2">
        <w:rPr>
          <w:szCs w:val="22"/>
          <w:lang w:val="en-GB"/>
        </w:rPr>
        <w:t>).</w:t>
      </w:r>
    </w:p>
    <w:p w14:paraId="7C2586E0" w14:textId="77777777" w:rsidR="008B0432" w:rsidRDefault="008B0432" w:rsidP="00034AD4">
      <w:pPr>
        <w:rPr>
          <w:color w:val="000000"/>
          <w:szCs w:val="22"/>
          <w:lang w:val="en-GB"/>
        </w:rPr>
      </w:pPr>
    </w:p>
    <w:p w14:paraId="6C5BDE02" w14:textId="77777777" w:rsidR="005132EF" w:rsidRPr="001D05D4" w:rsidRDefault="005132EF" w:rsidP="001D05D4">
      <w:pPr>
        <w:pStyle w:val="Heading4"/>
        <w:numPr>
          <w:ilvl w:val="0"/>
          <w:numId w:val="0"/>
        </w:numPr>
        <w:rPr>
          <w:rFonts w:ascii="Arial" w:hAnsi="Arial" w:cs="Arial"/>
          <w:sz w:val="24"/>
          <w:szCs w:val="24"/>
        </w:rPr>
      </w:pPr>
      <w:bookmarkStart w:id="567" w:name="_Toc232845932"/>
      <w:bookmarkStart w:id="568" w:name="_Toc184102031"/>
      <w:r w:rsidRPr="001D05D4">
        <w:rPr>
          <w:rFonts w:ascii="Arial" w:hAnsi="Arial" w:cs="Arial"/>
          <w:sz w:val="24"/>
          <w:szCs w:val="24"/>
        </w:rPr>
        <w:t>Epiphytes and Macroalgae</w:t>
      </w:r>
      <w:bookmarkEnd w:id="567"/>
      <w:bookmarkEnd w:id="568"/>
    </w:p>
    <w:p w14:paraId="1B60DC3A" w14:textId="154E8963" w:rsidR="005132EF" w:rsidRPr="00744B02" w:rsidRDefault="00D50307" w:rsidP="00034AD4">
      <w:pPr>
        <w:rPr>
          <w:color w:val="000000" w:themeColor="text1"/>
          <w:szCs w:val="22"/>
          <w:lang w:val="en-US"/>
        </w:rPr>
      </w:pPr>
      <w:r w:rsidRPr="00744B02">
        <w:rPr>
          <w:color w:val="000000" w:themeColor="text1"/>
          <w:szCs w:val="22"/>
          <w:lang w:val="en-US"/>
        </w:rPr>
        <w:t>E</w:t>
      </w:r>
      <w:r w:rsidR="005132EF" w:rsidRPr="00744B02">
        <w:rPr>
          <w:color w:val="000000" w:themeColor="text1"/>
          <w:szCs w:val="22"/>
          <w:lang w:val="en-US"/>
        </w:rPr>
        <w:t xml:space="preserve">piphyte cover </w:t>
      </w:r>
      <w:r w:rsidR="00744B02" w:rsidRPr="00744B02">
        <w:rPr>
          <w:color w:val="000000" w:themeColor="text1"/>
          <w:szCs w:val="22"/>
          <w:lang w:val="en-US"/>
        </w:rPr>
        <w:t xml:space="preserve">on the leaves of seagrass declined </w:t>
      </w:r>
      <w:r w:rsidR="0014545D" w:rsidRPr="00744B02">
        <w:rPr>
          <w:color w:val="000000" w:themeColor="text1"/>
          <w:szCs w:val="22"/>
          <w:lang w:val="en-GB"/>
        </w:rPr>
        <w:t xml:space="preserve">at </w:t>
      </w:r>
      <w:r w:rsidR="00744B02" w:rsidRPr="00744B02">
        <w:rPr>
          <w:color w:val="000000" w:themeColor="text1"/>
          <w:szCs w:val="22"/>
          <w:lang w:val="en-GB"/>
        </w:rPr>
        <w:t>estuary</w:t>
      </w:r>
      <w:r w:rsidR="00474779" w:rsidRPr="00744B02">
        <w:rPr>
          <w:color w:val="000000" w:themeColor="text1"/>
          <w:szCs w:val="22"/>
          <w:lang w:val="en-GB"/>
        </w:rPr>
        <w:t xml:space="preserve"> </w:t>
      </w:r>
      <w:r w:rsidR="0014545D" w:rsidRPr="00744B02">
        <w:rPr>
          <w:color w:val="000000" w:themeColor="text1"/>
          <w:szCs w:val="22"/>
          <w:lang w:val="en-GB"/>
        </w:rPr>
        <w:t>and</w:t>
      </w:r>
      <w:r w:rsidR="00474779" w:rsidRPr="00744B02">
        <w:rPr>
          <w:color w:val="000000" w:themeColor="text1"/>
          <w:szCs w:val="22"/>
          <w:lang w:val="en-GB"/>
        </w:rPr>
        <w:t xml:space="preserve"> reef</w:t>
      </w:r>
      <w:r w:rsidR="0014545D" w:rsidRPr="00744B02">
        <w:rPr>
          <w:color w:val="000000" w:themeColor="text1"/>
          <w:szCs w:val="22"/>
          <w:lang w:val="en-GB"/>
        </w:rPr>
        <w:t xml:space="preserve"> habitats</w:t>
      </w:r>
      <w:r w:rsidR="0014545D" w:rsidRPr="00744B02">
        <w:rPr>
          <w:color w:val="000000" w:themeColor="text1"/>
          <w:szCs w:val="22"/>
          <w:lang w:val="en-US"/>
        </w:rPr>
        <w:t xml:space="preserve"> </w:t>
      </w:r>
      <w:r w:rsidR="000F19E1" w:rsidRPr="00744B02">
        <w:rPr>
          <w:color w:val="000000" w:themeColor="text1"/>
          <w:szCs w:val="22"/>
          <w:lang w:val="en-US"/>
        </w:rPr>
        <w:t xml:space="preserve">in the late dry </w:t>
      </w:r>
      <w:r w:rsidR="00744B02" w:rsidRPr="00744B02">
        <w:rPr>
          <w:color w:val="000000" w:themeColor="text1"/>
          <w:szCs w:val="22"/>
          <w:lang w:val="en-US"/>
        </w:rPr>
        <w:t xml:space="preserve">compared to the previous reporting year, and </w:t>
      </w:r>
      <w:r w:rsidR="005132EF" w:rsidRPr="00744B02">
        <w:rPr>
          <w:color w:val="000000" w:themeColor="text1"/>
          <w:szCs w:val="22"/>
          <w:lang w:val="en-US"/>
        </w:rPr>
        <w:t xml:space="preserve">remained below the </w:t>
      </w:r>
      <w:r w:rsidR="007F6948">
        <w:rPr>
          <w:color w:val="000000" w:themeColor="text1"/>
          <w:szCs w:val="22"/>
          <w:lang w:val="en-GB"/>
        </w:rPr>
        <w:t>Great Barrier Reef</w:t>
      </w:r>
      <w:r w:rsidR="005132EF" w:rsidRPr="00744B02">
        <w:rPr>
          <w:color w:val="000000" w:themeColor="text1"/>
          <w:szCs w:val="22"/>
          <w:lang w:val="en-GB"/>
        </w:rPr>
        <w:t xml:space="preserve"> long-term average</w:t>
      </w:r>
      <w:r w:rsidRPr="00744B02">
        <w:rPr>
          <w:color w:val="000000" w:themeColor="text1"/>
          <w:szCs w:val="22"/>
          <w:lang w:val="en-GB"/>
        </w:rPr>
        <w:t xml:space="preserve"> </w:t>
      </w:r>
      <w:r w:rsidRPr="00744B02">
        <w:rPr>
          <w:color w:val="000000" w:themeColor="text1"/>
          <w:szCs w:val="22"/>
          <w:lang w:val="en-US"/>
        </w:rPr>
        <w:t xml:space="preserve">over the </w:t>
      </w:r>
      <w:r w:rsidR="008574EC">
        <w:rPr>
          <w:color w:val="000000" w:themeColor="text1"/>
          <w:szCs w:val="22"/>
          <w:lang w:val="en-US"/>
        </w:rPr>
        <w:t>2016–17</w:t>
      </w:r>
      <w:r w:rsidRPr="00744B02">
        <w:rPr>
          <w:color w:val="000000" w:themeColor="text1"/>
          <w:szCs w:val="22"/>
          <w:lang w:val="en-US"/>
        </w:rPr>
        <w:t xml:space="preserve"> monitoring period</w:t>
      </w:r>
      <w:r w:rsidR="00744B02" w:rsidRPr="00744B02">
        <w:rPr>
          <w:color w:val="000000" w:themeColor="text1"/>
          <w:szCs w:val="22"/>
          <w:lang w:val="en-US"/>
        </w:rPr>
        <w:t xml:space="preserve"> </w:t>
      </w:r>
      <w:r w:rsidR="005132EF" w:rsidRPr="00744B02">
        <w:rPr>
          <w:color w:val="000000" w:themeColor="text1"/>
          <w:szCs w:val="22"/>
          <w:lang w:val="en-US"/>
        </w:rPr>
        <w:t>(</w:t>
      </w:r>
      <w:r w:rsidR="00005FEC" w:rsidRPr="00744B02">
        <w:rPr>
          <w:color w:val="000000" w:themeColor="text1"/>
          <w:szCs w:val="22"/>
          <w:lang w:val="en-US"/>
        </w:rPr>
        <w:fldChar w:fldCharType="begin"/>
      </w:r>
      <w:r w:rsidR="00005FEC" w:rsidRPr="00744B02">
        <w:rPr>
          <w:color w:val="000000" w:themeColor="text1"/>
          <w:szCs w:val="22"/>
          <w:lang w:val="en-US"/>
        </w:rPr>
        <w:instrText xml:space="preserve"> REF _Ref382209856 \h </w:instrText>
      </w:r>
      <w:r w:rsidR="00015190" w:rsidRPr="00744B02">
        <w:rPr>
          <w:color w:val="000000" w:themeColor="text1"/>
          <w:szCs w:val="22"/>
          <w:lang w:val="en-US"/>
        </w:rPr>
        <w:instrText xml:space="preserve"> \* MERGEFORMAT </w:instrText>
      </w:r>
      <w:r w:rsidR="00005FEC" w:rsidRPr="00744B02">
        <w:rPr>
          <w:color w:val="000000" w:themeColor="text1"/>
          <w:szCs w:val="22"/>
          <w:lang w:val="en-US"/>
        </w:rPr>
      </w:r>
      <w:r w:rsidR="00005FEC" w:rsidRPr="00744B02">
        <w:rPr>
          <w:color w:val="000000" w:themeColor="text1"/>
          <w:szCs w:val="22"/>
          <w:lang w:val="en-US"/>
        </w:rPr>
        <w:fldChar w:fldCharType="separate"/>
      </w:r>
      <w:r w:rsidR="00F87DF9" w:rsidRPr="00F87DF9">
        <w:rPr>
          <w:color w:val="000000" w:themeColor="text1"/>
        </w:rPr>
        <w:t xml:space="preserve">Figure </w:t>
      </w:r>
      <w:r w:rsidR="00F87DF9" w:rsidRPr="00F87DF9">
        <w:rPr>
          <w:noProof/>
          <w:color w:val="000000" w:themeColor="text1"/>
        </w:rPr>
        <w:t>106</w:t>
      </w:r>
      <w:r w:rsidR="00005FEC" w:rsidRPr="00744B02">
        <w:rPr>
          <w:color w:val="000000" w:themeColor="text1"/>
          <w:szCs w:val="22"/>
          <w:lang w:val="en-US"/>
        </w:rPr>
        <w:fldChar w:fldCharType="end"/>
      </w:r>
      <w:r w:rsidR="00005FEC" w:rsidRPr="00744B02">
        <w:rPr>
          <w:color w:val="000000" w:themeColor="text1"/>
          <w:szCs w:val="22"/>
          <w:lang w:val="en-US"/>
        </w:rPr>
        <w:t xml:space="preserve">; Appendix </w:t>
      </w:r>
      <w:r w:rsidR="00347468" w:rsidRPr="00744B02">
        <w:rPr>
          <w:color w:val="000000" w:themeColor="text1"/>
          <w:szCs w:val="22"/>
          <w:lang w:val="en-US"/>
        </w:rPr>
        <w:t>4</w:t>
      </w:r>
      <w:r w:rsidR="00005FEC" w:rsidRPr="00744B02">
        <w:rPr>
          <w:color w:val="000000" w:themeColor="text1"/>
          <w:szCs w:val="22"/>
          <w:lang w:val="en-US"/>
        </w:rPr>
        <w:t xml:space="preserve">, </w:t>
      </w:r>
      <w:r w:rsidR="00005FEC" w:rsidRPr="00744B02">
        <w:rPr>
          <w:color w:val="000000" w:themeColor="text1"/>
          <w:szCs w:val="22"/>
          <w:lang w:val="en-US"/>
        </w:rPr>
        <w:fldChar w:fldCharType="begin"/>
      </w:r>
      <w:r w:rsidR="00005FEC" w:rsidRPr="00744B02">
        <w:rPr>
          <w:color w:val="000000" w:themeColor="text1"/>
          <w:szCs w:val="22"/>
          <w:lang w:val="en-US"/>
        </w:rPr>
        <w:instrText xml:space="preserve"> REF _Ref382209825 \h </w:instrText>
      </w:r>
      <w:r w:rsidR="00015190" w:rsidRPr="00744B02">
        <w:rPr>
          <w:color w:val="000000" w:themeColor="text1"/>
          <w:szCs w:val="22"/>
          <w:lang w:val="en-US"/>
        </w:rPr>
        <w:instrText xml:space="preserve"> \* MERGEFORMAT </w:instrText>
      </w:r>
      <w:r w:rsidR="00005FEC" w:rsidRPr="00744B02">
        <w:rPr>
          <w:color w:val="000000" w:themeColor="text1"/>
          <w:szCs w:val="22"/>
          <w:lang w:val="en-US"/>
        </w:rPr>
      </w:r>
      <w:r w:rsidR="00005FEC" w:rsidRPr="00744B02">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196</w:t>
      </w:r>
      <w:r w:rsidR="00005FEC" w:rsidRPr="00744B02">
        <w:rPr>
          <w:color w:val="000000" w:themeColor="text1"/>
          <w:szCs w:val="22"/>
          <w:lang w:val="en-US"/>
        </w:rPr>
        <w:fldChar w:fldCharType="end"/>
      </w:r>
      <w:r w:rsidR="00005FEC" w:rsidRPr="00744B02">
        <w:rPr>
          <w:color w:val="000000" w:themeColor="text1"/>
          <w:szCs w:val="22"/>
          <w:lang w:val="en-US"/>
        </w:rPr>
        <w:t>,</w:t>
      </w:r>
      <w:r w:rsidR="00474779" w:rsidRPr="00744B02">
        <w:rPr>
          <w:color w:val="000000" w:themeColor="text1"/>
          <w:szCs w:val="22"/>
          <w:lang w:val="en-US"/>
        </w:rPr>
        <w:t xml:space="preserve"> </w:t>
      </w:r>
      <w:r w:rsidR="00474779" w:rsidRPr="00744B02">
        <w:rPr>
          <w:color w:val="000000" w:themeColor="text1"/>
          <w:szCs w:val="22"/>
          <w:lang w:val="en-US"/>
        </w:rPr>
        <w:fldChar w:fldCharType="begin"/>
      </w:r>
      <w:r w:rsidR="00474779" w:rsidRPr="00744B02">
        <w:rPr>
          <w:color w:val="000000" w:themeColor="text1"/>
          <w:szCs w:val="22"/>
          <w:lang w:val="en-US"/>
        </w:rPr>
        <w:instrText xml:space="preserve"> REF _Ref382211537 \h  \* MERGEFORMAT </w:instrText>
      </w:r>
      <w:r w:rsidR="00474779" w:rsidRPr="00744B02">
        <w:rPr>
          <w:color w:val="000000" w:themeColor="text1"/>
          <w:szCs w:val="22"/>
          <w:lang w:val="en-US"/>
        </w:rPr>
      </w:r>
      <w:r w:rsidR="00474779" w:rsidRPr="00744B02">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198</w:t>
      </w:r>
      <w:r w:rsidR="00474779" w:rsidRPr="00744B02">
        <w:rPr>
          <w:color w:val="000000" w:themeColor="text1"/>
          <w:szCs w:val="22"/>
          <w:lang w:val="en-US"/>
        </w:rPr>
        <w:fldChar w:fldCharType="end"/>
      </w:r>
      <w:r w:rsidR="005132EF" w:rsidRPr="00744B02">
        <w:rPr>
          <w:color w:val="000000" w:themeColor="text1"/>
          <w:szCs w:val="22"/>
          <w:lang w:val="en-US"/>
        </w:rPr>
        <w:t>)</w:t>
      </w:r>
      <w:r w:rsidRPr="00744B02">
        <w:rPr>
          <w:color w:val="000000" w:themeColor="text1"/>
          <w:szCs w:val="22"/>
          <w:lang w:val="en-US"/>
        </w:rPr>
        <w:t xml:space="preserve">. </w:t>
      </w:r>
      <w:r w:rsidR="00744B02" w:rsidRPr="00744B02">
        <w:rPr>
          <w:color w:val="000000" w:themeColor="text1"/>
          <w:szCs w:val="22"/>
          <w:lang w:val="en-US"/>
        </w:rPr>
        <w:t xml:space="preserve">In coastal habitat the epiphyte coverage was unchanged </w:t>
      </w:r>
      <w:r w:rsidR="00005FEC" w:rsidRPr="00744B02">
        <w:rPr>
          <w:color w:val="000000" w:themeColor="text1"/>
          <w:szCs w:val="22"/>
          <w:lang w:val="en-US"/>
        </w:rPr>
        <w:t xml:space="preserve">(Appendix </w:t>
      </w:r>
      <w:r w:rsidR="00474779" w:rsidRPr="00744B02">
        <w:rPr>
          <w:color w:val="000000" w:themeColor="text1"/>
          <w:szCs w:val="22"/>
          <w:lang w:val="en-US"/>
        </w:rPr>
        <w:t>2</w:t>
      </w:r>
      <w:r w:rsidR="00005FEC" w:rsidRPr="00744B02">
        <w:rPr>
          <w:color w:val="000000" w:themeColor="text1"/>
          <w:szCs w:val="22"/>
          <w:lang w:val="en-US"/>
        </w:rPr>
        <w:t xml:space="preserve">, </w:t>
      </w:r>
      <w:r w:rsidR="00474779" w:rsidRPr="00744B02">
        <w:rPr>
          <w:color w:val="000000" w:themeColor="text1"/>
          <w:szCs w:val="22"/>
          <w:lang w:val="en-US"/>
        </w:rPr>
        <w:fldChar w:fldCharType="begin"/>
      </w:r>
      <w:r w:rsidR="00474779" w:rsidRPr="00744B02">
        <w:rPr>
          <w:color w:val="000000" w:themeColor="text1"/>
          <w:szCs w:val="22"/>
          <w:lang w:val="en-US"/>
        </w:rPr>
        <w:instrText xml:space="preserve"> REF _Ref382209827 \h  \* MERGEFORMAT </w:instrText>
      </w:r>
      <w:r w:rsidR="00474779" w:rsidRPr="00744B02">
        <w:rPr>
          <w:color w:val="000000" w:themeColor="text1"/>
          <w:szCs w:val="22"/>
          <w:lang w:val="en-US"/>
        </w:rPr>
      </w:r>
      <w:r w:rsidR="00474779" w:rsidRPr="00744B02">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197</w:t>
      </w:r>
      <w:r w:rsidR="00474779" w:rsidRPr="00744B02">
        <w:rPr>
          <w:color w:val="000000" w:themeColor="text1"/>
          <w:szCs w:val="22"/>
          <w:lang w:val="en-US"/>
        </w:rPr>
        <w:fldChar w:fldCharType="end"/>
      </w:r>
      <w:r w:rsidR="00005FEC" w:rsidRPr="00744B02">
        <w:rPr>
          <w:color w:val="000000" w:themeColor="text1"/>
          <w:szCs w:val="22"/>
          <w:lang w:val="en-US"/>
        </w:rPr>
        <w:t>)</w:t>
      </w:r>
      <w:r w:rsidR="00744B02" w:rsidRPr="00744B02">
        <w:rPr>
          <w:color w:val="000000" w:themeColor="text1"/>
          <w:szCs w:val="22"/>
          <w:lang w:val="en-US"/>
        </w:rPr>
        <w:t xml:space="preserve">. </w:t>
      </w:r>
      <w:r w:rsidR="00005FEC" w:rsidRPr="00744B02">
        <w:rPr>
          <w:color w:val="000000" w:themeColor="text1"/>
          <w:szCs w:val="22"/>
          <w:lang w:val="en-US"/>
        </w:rPr>
        <w:t xml:space="preserve">Macroalgae cover remained unchanged at </w:t>
      </w:r>
      <w:r w:rsidR="004563F0" w:rsidRPr="00744B02">
        <w:rPr>
          <w:color w:val="000000" w:themeColor="text1"/>
          <w:szCs w:val="22"/>
          <w:lang w:val="en-US"/>
        </w:rPr>
        <w:t xml:space="preserve">all habitats in the Fitzroy region </w:t>
      </w:r>
      <w:r w:rsidR="001C443C" w:rsidRPr="00744B02">
        <w:rPr>
          <w:color w:val="000000" w:themeColor="text1"/>
          <w:szCs w:val="22"/>
          <w:lang w:val="en-US"/>
        </w:rPr>
        <w:t>(</w:t>
      </w:r>
      <w:r w:rsidR="001C443C" w:rsidRPr="00744B02">
        <w:rPr>
          <w:color w:val="000000" w:themeColor="text1"/>
          <w:szCs w:val="22"/>
          <w:lang w:val="en-US"/>
        </w:rPr>
        <w:fldChar w:fldCharType="begin"/>
      </w:r>
      <w:r w:rsidR="001C443C" w:rsidRPr="00744B02">
        <w:rPr>
          <w:color w:val="000000" w:themeColor="text1"/>
          <w:szCs w:val="22"/>
          <w:lang w:val="en-US"/>
        </w:rPr>
        <w:instrText xml:space="preserve"> REF _Ref382209856 \h </w:instrText>
      </w:r>
      <w:r w:rsidR="00015190" w:rsidRPr="00744B02">
        <w:rPr>
          <w:color w:val="000000" w:themeColor="text1"/>
          <w:szCs w:val="22"/>
          <w:lang w:val="en-US"/>
        </w:rPr>
        <w:instrText xml:space="preserve"> \* MERGEFORMAT </w:instrText>
      </w:r>
      <w:r w:rsidR="001C443C" w:rsidRPr="00744B02">
        <w:rPr>
          <w:color w:val="000000" w:themeColor="text1"/>
          <w:szCs w:val="22"/>
          <w:lang w:val="en-US"/>
        </w:rPr>
      </w:r>
      <w:r w:rsidR="001C443C" w:rsidRPr="00744B02">
        <w:rPr>
          <w:color w:val="000000" w:themeColor="text1"/>
          <w:szCs w:val="22"/>
          <w:lang w:val="en-US"/>
        </w:rPr>
        <w:fldChar w:fldCharType="separate"/>
      </w:r>
      <w:r w:rsidR="00F87DF9" w:rsidRPr="00F87DF9">
        <w:rPr>
          <w:color w:val="000000" w:themeColor="text1"/>
        </w:rPr>
        <w:t xml:space="preserve">Figure </w:t>
      </w:r>
      <w:r w:rsidR="00F87DF9" w:rsidRPr="00F87DF9">
        <w:rPr>
          <w:noProof/>
          <w:color w:val="000000" w:themeColor="text1"/>
        </w:rPr>
        <w:t>106</w:t>
      </w:r>
      <w:r w:rsidR="001C443C" w:rsidRPr="00744B02">
        <w:rPr>
          <w:color w:val="000000" w:themeColor="text1"/>
          <w:szCs w:val="22"/>
          <w:lang w:val="en-US"/>
        </w:rPr>
        <w:fldChar w:fldCharType="end"/>
      </w:r>
      <w:r w:rsidR="00474779" w:rsidRPr="00744B02">
        <w:rPr>
          <w:color w:val="000000" w:themeColor="text1"/>
          <w:szCs w:val="22"/>
          <w:lang w:val="en-US"/>
        </w:rPr>
        <w:t xml:space="preserve">; Appendix </w:t>
      </w:r>
      <w:r w:rsidR="00347468" w:rsidRPr="00744B02">
        <w:rPr>
          <w:color w:val="000000" w:themeColor="text1"/>
          <w:szCs w:val="22"/>
          <w:lang w:val="en-US"/>
        </w:rPr>
        <w:t>4</w:t>
      </w:r>
      <w:r w:rsidR="00474779" w:rsidRPr="00744B02">
        <w:rPr>
          <w:color w:val="000000" w:themeColor="text1"/>
          <w:szCs w:val="22"/>
          <w:lang w:val="en-US"/>
        </w:rPr>
        <w:t xml:space="preserve">, </w:t>
      </w:r>
      <w:r w:rsidR="00474779" w:rsidRPr="00744B02">
        <w:rPr>
          <w:color w:val="000000" w:themeColor="text1"/>
          <w:szCs w:val="22"/>
          <w:lang w:val="en-US"/>
        </w:rPr>
        <w:fldChar w:fldCharType="begin"/>
      </w:r>
      <w:r w:rsidR="00474779" w:rsidRPr="00744B02">
        <w:rPr>
          <w:color w:val="000000" w:themeColor="text1"/>
          <w:szCs w:val="22"/>
          <w:lang w:val="en-US"/>
        </w:rPr>
        <w:instrText xml:space="preserve"> REF _Ref382211537 \h  \* MERGEFORMAT </w:instrText>
      </w:r>
      <w:r w:rsidR="00474779" w:rsidRPr="00744B02">
        <w:rPr>
          <w:color w:val="000000" w:themeColor="text1"/>
          <w:szCs w:val="22"/>
          <w:lang w:val="en-US"/>
        </w:rPr>
      </w:r>
      <w:r w:rsidR="00474779" w:rsidRPr="00744B02">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198</w:t>
      </w:r>
      <w:r w:rsidR="00474779" w:rsidRPr="00744B02">
        <w:rPr>
          <w:color w:val="000000" w:themeColor="text1"/>
          <w:szCs w:val="22"/>
          <w:lang w:val="en-US"/>
        </w:rPr>
        <w:fldChar w:fldCharType="end"/>
      </w:r>
      <w:r w:rsidR="001C443C" w:rsidRPr="00744B02">
        <w:rPr>
          <w:color w:val="000000" w:themeColor="text1"/>
          <w:szCs w:val="22"/>
          <w:lang w:val="en-US"/>
        </w:rPr>
        <w:t>).</w:t>
      </w:r>
    </w:p>
    <w:p w14:paraId="6DED6D51" w14:textId="77777777" w:rsidR="0045784E" w:rsidRPr="0095207B" w:rsidRDefault="00EB62A9" w:rsidP="003126B8">
      <w:pPr>
        <w:keepNext/>
        <w:jc w:val="center"/>
        <w:rPr>
          <w:color w:val="000000"/>
          <w:szCs w:val="22"/>
          <w:lang w:val="en-US"/>
        </w:rPr>
      </w:pPr>
      <w:bookmarkStart w:id="569" w:name="_Ref211934058"/>
      <w:bookmarkStart w:id="570" w:name="_Toc232846019"/>
      <w:r>
        <w:rPr>
          <w:noProof/>
          <w:color w:val="000000"/>
          <w:szCs w:val="22"/>
          <w:lang w:eastAsia="en-AU"/>
        </w:rPr>
        <w:drawing>
          <wp:inline distT="0" distB="0" distL="0" distR="0" wp14:anchorId="3FCB0D43" wp14:editId="0FB890BF">
            <wp:extent cx="5400000" cy="2929681"/>
            <wp:effectExtent l="0" t="0" r="0" b="4445"/>
            <wp:docPr id="10161" name="Picture 10161" descr="Set of six scatter plots with straight lines and markers showing long-term trend in mean epiphyte and macroalgae abundance (% cover) at each inshore seagrass habitats in the Fitzroy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1" name="F_epi_algae_change_2016.png"/>
                    <pic:cNvPicPr/>
                  </pic:nvPicPr>
                  <pic:blipFill>
                    <a:blip r:embed="rId144">
                      <a:extLst>
                        <a:ext uri="{28A0092B-C50C-407E-A947-70E740481C1C}">
                          <a14:useLocalDpi xmlns:a14="http://schemas.microsoft.com/office/drawing/2010/main" val="0"/>
                        </a:ext>
                      </a:extLst>
                    </a:blip>
                    <a:stretch>
                      <a:fillRect/>
                    </a:stretch>
                  </pic:blipFill>
                  <pic:spPr>
                    <a:xfrm>
                      <a:off x="0" y="0"/>
                      <a:ext cx="5400000" cy="2929681"/>
                    </a:xfrm>
                    <a:prstGeom prst="rect">
                      <a:avLst/>
                    </a:prstGeom>
                  </pic:spPr>
                </pic:pic>
              </a:graphicData>
            </a:graphic>
          </wp:inline>
        </w:drawing>
      </w:r>
    </w:p>
    <w:p w14:paraId="4887AADF" w14:textId="09112604" w:rsidR="005E3260" w:rsidRPr="00042CFA" w:rsidRDefault="005132EF" w:rsidP="005E3260">
      <w:pPr>
        <w:rPr>
          <w:i/>
          <w:vanish/>
          <w:szCs w:val="22"/>
          <w:specVanish/>
        </w:rPr>
      </w:pPr>
      <w:bookmarkStart w:id="571" w:name="_Ref382209856"/>
      <w:bookmarkStart w:id="572" w:name="_Toc431493894"/>
      <w:bookmarkStart w:id="573" w:name="_Toc516053316"/>
      <w:r w:rsidRPr="00042CFA">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106</w:t>
      </w:r>
      <w:r w:rsidR="00C506C7">
        <w:rPr>
          <w:noProof/>
        </w:rPr>
        <w:fldChar w:fldCharType="end"/>
      </w:r>
      <w:bookmarkEnd w:id="569"/>
      <w:bookmarkEnd w:id="571"/>
      <w:r w:rsidRPr="00042CFA">
        <w:t xml:space="preserve">. </w:t>
      </w:r>
      <w:bookmarkEnd w:id="570"/>
      <w:r w:rsidR="003126B8" w:rsidRPr="00042CFA">
        <w:rPr>
          <w:i/>
        </w:rPr>
        <w:t>Long-term trend in mean epiphyte and macroalgae abundance (</w:t>
      </w:r>
      <w:r w:rsidR="0063478C" w:rsidRPr="00042CFA">
        <w:rPr>
          <w:i/>
        </w:rPr>
        <w:t>per cent</w:t>
      </w:r>
      <w:r w:rsidR="003126B8" w:rsidRPr="00042CFA">
        <w:rPr>
          <w:i/>
        </w:rPr>
        <w:t xml:space="preserve"> cover) relative to the long-term average for each </w:t>
      </w:r>
      <w:r w:rsidR="005E3260" w:rsidRPr="00042CFA">
        <w:rPr>
          <w:i/>
        </w:rPr>
        <w:t xml:space="preserve">inshore intertidal </w:t>
      </w:r>
      <w:r w:rsidR="003126B8" w:rsidRPr="00042CFA">
        <w:rPr>
          <w:i/>
        </w:rPr>
        <w:t>seagrass habitat in the Fitzroy region</w:t>
      </w:r>
      <w:r w:rsidR="005E3260" w:rsidRPr="00042CFA">
        <w:rPr>
          <w:i/>
        </w:rPr>
        <w:t>, 2005 - 201</w:t>
      </w:r>
      <w:r w:rsidR="00042CFA" w:rsidRPr="00042CFA">
        <w:rPr>
          <w:i/>
        </w:rPr>
        <w:t>7</w:t>
      </w:r>
      <w:bookmarkEnd w:id="572"/>
      <w:bookmarkEnd w:id="573"/>
    </w:p>
    <w:p w14:paraId="17B2FCF7" w14:textId="77777777" w:rsidR="00C361E3" w:rsidRPr="00042CFA" w:rsidRDefault="005E3260" w:rsidP="00BC6384">
      <w:pPr>
        <w:rPr>
          <w:lang w:val="en-GB"/>
        </w:rPr>
      </w:pPr>
      <w:r w:rsidRPr="00042CFA">
        <w:rPr>
          <w:i/>
        </w:rPr>
        <w:t xml:space="preserve"> </w:t>
      </w:r>
      <w:r w:rsidR="003126B8" w:rsidRPr="00042CFA">
        <w:rPr>
          <w:i/>
        </w:rPr>
        <w:t xml:space="preserve">(sites pooled, ±SE). </w:t>
      </w:r>
    </w:p>
    <w:p w14:paraId="489F3BF0" w14:textId="103587F3" w:rsidR="00BC6384" w:rsidRPr="00BD0604" w:rsidRDefault="00BC6384" w:rsidP="00926892">
      <w:pPr>
        <w:pStyle w:val="Heading3"/>
        <w:numPr>
          <w:ilvl w:val="2"/>
          <w:numId w:val="9"/>
        </w:numPr>
        <w:rPr>
          <w:rFonts w:ascii="Arial" w:hAnsi="Arial" w:cs="Arial"/>
          <w:color w:val="000000"/>
        </w:rPr>
      </w:pPr>
      <w:bookmarkStart w:id="574" w:name="_Toc516053166"/>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574"/>
      <w:r w:rsidRPr="000C1668">
        <w:rPr>
          <w:rFonts w:ascii="Arial" w:hAnsi="Arial" w:cs="Arial"/>
          <w:color w:val="000000"/>
        </w:rPr>
        <w:t xml:space="preserve"> </w:t>
      </w:r>
    </w:p>
    <w:p w14:paraId="1FCB4679" w14:textId="00F95689" w:rsidR="00191427" w:rsidRPr="00AB6155" w:rsidRDefault="002F6647" w:rsidP="00191427">
      <w:pPr>
        <w:rPr>
          <w:color w:val="000000" w:themeColor="text1"/>
          <w:lang w:val="en-GB"/>
        </w:rPr>
      </w:pPr>
      <w:r w:rsidRPr="00AB6155">
        <w:rPr>
          <w:color w:val="000000" w:themeColor="text1"/>
          <w:lang w:val="en-GB"/>
        </w:rPr>
        <w:t xml:space="preserve">In the </w:t>
      </w:r>
      <w:r w:rsidR="008574EC">
        <w:rPr>
          <w:color w:val="000000" w:themeColor="text1"/>
          <w:lang w:val="en-GB"/>
        </w:rPr>
        <w:t>2016–17</w:t>
      </w:r>
      <w:r w:rsidR="00BC6384" w:rsidRPr="00AB6155">
        <w:rPr>
          <w:color w:val="000000" w:themeColor="text1"/>
          <w:lang w:val="en-GB"/>
        </w:rPr>
        <w:t xml:space="preserve"> monitoring period, the seagrass index </w:t>
      </w:r>
      <w:r w:rsidR="00AB6155" w:rsidRPr="00AB6155">
        <w:rPr>
          <w:color w:val="000000" w:themeColor="text1"/>
          <w:lang w:val="en-GB"/>
        </w:rPr>
        <w:t>increased slightly but remained poor</w:t>
      </w:r>
      <w:r w:rsidR="00BC6384" w:rsidRPr="00AB6155">
        <w:rPr>
          <w:color w:val="000000" w:themeColor="text1"/>
          <w:lang w:val="en-GB"/>
        </w:rPr>
        <w:t>.</w:t>
      </w:r>
      <w:r w:rsidR="00AB6155" w:rsidRPr="00AB6155">
        <w:rPr>
          <w:color w:val="000000" w:themeColor="text1"/>
          <w:lang w:val="en-GB"/>
        </w:rPr>
        <w:t xml:space="preserve"> Although there were large improvements in the abundance score at coastal sites, there was a decline in estiarine sites. While the tissue nutrients score improved in all habitats, the reproductive effort score was zero in all habitats and t</w:t>
      </w:r>
      <w:r w:rsidR="004C6C04" w:rsidRPr="00AB6155">
        <w:rPr>
          <w:color w:val="000000" w:themeColor="text1"/>
          <w:lang w:val="en-GB"/>
        </w:rPr>
        <w:t>hese meadows remain in a highly vulnerable state</w:t>
      </w:r>
      <w:r w:rsidR="002C5394" w:rsidRPr="00AB6155">
        <w:rPr>
          <w:color w:val="000000" w:themeColor="text1"/>
          <w:lang w:val="en-GB"/>
        </w:rPr>
        <w:t>.</w:t>
      </w:r>
    </w:p>
    <w:p w14:paraId="545B5318" w14:textId="0484C8B9" w:rsidR="00191427" w:rsidRPr="000F1DF9" w:rsidRDefault="00191427" w:rsidP="00191427">
      <w:pPr>
        <w:keepNext/>
        <w:widowControl w:val="0"/>
        <w:jc w:val="center"/>
        <w:rPr>
          <w:i/>
          <w:vanish/>
          <w:color w:val="000000"/>
          <w:szCs w:val="22"/>
          <w:specVanish/>
        </w:rPr>
      </w:pPr>
      <w:bookmarkStart w:id="575" w:name="_Toc516053455"/>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F87DF9">
        <w:rPr>
          <w:noProof/>
          <w:color w:val="000000"/>
        </w:rPr>
        <w:t>31</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Fitzroy </w:t>
      </w:r>
      <w:r w:rsidRPr="000F1DF9">
        <w:rPr>
          <w:i/>
          <w:color w:val="000000"/>
        </w:rPr>
        <w:t>region: Ju</w:t>
      </w:r>
      <w:r>
        <w:rPr>
          <w:i/>
          <w:color w:val="000000"/>
        </w:rPr>
        <w:t>ne</w:t>
      </w:r>
      <w:r w:rsidRPr="000F1DF9">
        <w:rPr>
          <w:i/>
          <w:color w:val="000000"/>
        </w:rPr>
        <w:t xml:space="preserve"> 2005 – May </w:t>
      </w:r>
      <w:r w:rsidRPr="00AB6155">
        <w:rPr>
          <w:i/>
          <w:color w:val="000000" w:themeColor="text1"/>
        </w:rPr>
        <w:t>201</w:t>
      </w:r>
      <w:r w:rsidR="00AB6155" w:rsidRPr="00AB6155">
        <w:rPr>
          <w:i/>
          <w:color w:val="000000" w:themeColor="text1"/>
        </w:rPr>
        <w:t>7</w:t>
      </w:r>
      <w:r w:rsidRPr="00AB6155">
        <w:rPr>
          <w:i/>
          <w:color w:val="000000" w:themeColor="text1"/>
        </w:rPr>
        <w:t>.</w:t>
      </w:r>
      <w:bookmarkEnd w:id="575"/>
      <w:r w:rsidRPr="00AB6155">
        <w:rPr>
          <w:i/>
          <w:color w:val="000000" w:themeColor="text1"/>
        </w:rPr>
        <w:t xml:space="preserve"> </w:t>
      </w:r>
    </w:p>
    <w:p w14:paraId="4E8F8FF7" w14:textId="77777777" w:rsidR="00191427" w:rsidRPr="00B00E71" w:rsidRDefault="00191427" w:rsidP="00191427">
      <w:pPr>
        <w:keepNext/>
        <w:widowControl w:val="0"/>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 very poor (0 - 20)</w:t>
      </w:r>
      <w:r w:rsidRPr="00E237C6">
        <w:rPr>
          <w:i/>
          <w:szCs w:val="22"/>
        </w:rPr>
        <w:t>.</w:t>
      </w:r>
      <w:r>
        <w:rPr>
          <w:i/>
          <w:szCs w:val="22"/>
        </w:rPr>
        <w:t xml:space="preserve"> NB: Scores are unitless.</w:t>
      </w:r>
    </w:p>
    <w:tbl>
      <w:tblPr>
        <w:tblW w:w="10057"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840"/>
        <w:gridCol w:w="620"/>
        <w:gridCol w:w="519"/>
        <w:gridCol w:w="620"/>
        <w:gridCol w:w="761"/>
        <w:gridCol w:w="761"/>
        <w:gridCol w:w="519"/>
        <w:gridCol w:w="519"/>
        <w:gridCol w:w="519"/>
        <w:gridCol w:w="519"/>
        <w:gridCol w:w="519"/>
        <w:gridCol w:w="519"/>
        <w:gridCol w:w="519"/>
      </w:tblGrid>
      <w:tr w:rsidR="00AB6155" w:rsidRPr="00EC364C" w14:paraId="0F4E45E6" w14:textId="77777777" w:rsidTr="005209EC">
        <w:trPr>
          <w:cantSplit/>
          <w:trHeight w:val="832"/>
          <w:jc w:val="center"/>
        </w:trPr>
        <w:tc>
          <w:tcPr>
            <w:tcW w:w="1303" w:type="dxa"/>
            <w:tcBorders>
              <w:top w:val="single" w:sz="4" w:space="0" w:color="000000"/>
              <w:bottom w:val="single" w:sz="4" w:space="0" w:color="000000"/>
            </w:tcBorders>
            <w:shd w:val="clear" w:color="auto" w:fill="auto"/>
            <w:vAlign w:val="center"/>
          </w:tcPr>
          <w:p w14:paraId="781198F2" w14:textId="77777777" w:rsidR="00AB6155" w:rsidRPr="00EC364C" w:rsidRDefault="00AB6155" w:rsidP="00DD3BAE">
            <w:pPr>
              <w:spacing w:before="0" w:after="0"/>
              <w:jc w:val="center"/>
              <w:rPr>
                <w:b/>
                <w:color w:val="000000"/>
                <w:sz w:val="20"/>
                <w:szCs w:val="20"/>
                <w:lang w:eastAsia="en-AU"/>
              </w:rPr>
            </w:pPr>
            <w:r>
              <w:rPr>
                <w:b/>
                <w:color w:val="000000"/>
                <w:sz w:val="20"/>
                <w:szCs w:val="20"/>
                <w:lang w:eastAsia="en-AU"/>
              </w:rPr>
              <w:t>Indicator</w:t>
            </w:r>
          </w:p>
        </w:tc>
        <w:tc>
          <w:tcPr>
            <w:tcW w:w="1840" w:type="dxa"/>
            <w:tcBorders>
              <w:top w:val="single" w:sz="4" w:space="0" w:color="000000"/>
              <w:bottom w:val="single" w:sz="4" w:space="0" w:color="000000"/>
            </w:tcBorders>
            <w:shd w:val="clear" w:color="auto" w:fill="auto"/>
            <w:noWrap/>
            <w:vAlign w:val="center"/>
          </w:tcPr>
          <w:p w14:paraId="562579A5" w14:textId="77777777" w:rsidR="00AB6155" w:rsidRPr="00EC364C" w:rsidRDefault="00AB6155" w:rsidP="00DD3BAE">
            <w:pPr>
              <w:spacing w:before="0" w:after="0"/>
              <w:jc w:val="center"/>
              <w:rPr>
                <w:b/>
                <w:color w:val="000000"/>
                <w:sz w:val="20"/>
                <w:szCs w:val="20"/>
                <w:lang w:eastAsia="en-AU"/>
              </w:rPr>
            </w:pPr>
            <w:r w:rsidRPr="00EC364C">
              <w:rPr>
                <w:b/>
                <w:color w:val="000000"/>
                <w:sz w:val="20"/>
                <w:szCs w:val="20"/>
                <w:lang w:eastAsia="en-AU"/>
              </w:rPr>
              <w:t>Habitat</w:t>
            </w:r>
          </w:p>
        </w:tc>
        <w:tc>
          <w:tcPr>
            <w:tcW w:w="620" w:type="dxa"/>
            <w:tcBorders>
              <w:top w:val="single" w:sz="4" w:space="0" w:color="000000"/>
              <w:bottom w:val="single" w:sz="4" w:space="0" w:color="000000"/>
            </w:tcBorders>
            <w:shd w:val="clear" w:color="auto" w:fill="auto"/>
            <w:textDirection w:val="btLr"/>
            <w:vAlign w:val="center"/>
          </w:tcPr>
          <w:p w14:paraId="76B880FC"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1F393FC8"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620" w:type="dxa"/>
            <w:tcBorders>
              <w:top w:val="single" w:sz="4" w:space="0" w:color="000000"/>
              <w:bottom w:val="single" w:sz="4" w:space="0" w:color="000000"/>
            </w:tcBorders>
            <w:shd w:val="clear" w:color="auto" w:fill="auto"/>
            <w:textDirection w:val="btLr"/>
            <w:vAlign w:val="center"/>
          </w:tcPr>
          <w:p w14:paraId="7250956C"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761" w:type="dxa"/>
            <w:tcBorders>
              <w:top w:val="single" w:sz="4" w:space="0" w:color="000000"/>
              <w:bottom w:val="single" w:sz="4" w:space="0" w:color="000000"/>
            </w:tcBorders>
            <w:shd w:val="clear" w:color="auto" w:fill="auto"/>
            <w:textDirection w:val="btLr"/>
            <w:vAlign w:val="center"/>
          </w:tcPr>
          <w:p w14:paraId="1881522A"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761" w:type="dxa"/>
            <w:tcBorders>
              <w:top w:val="single" w:sz="4" w:space="0" w:color="000000"/>
              <w:bottom w:val="single" w:sz="4" w:space="0" w:color="000000"/>
            </w:tcBorders>
            <w:shd w:val="clear" w:color="auto" w:fill="auto"/>
            <w:textDirection w:val="btLr"/>
            <w:vAlign w:val="center"/>
          </w:tcPr>
          <w:p w14:paraId="3439C789"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27A8A80A"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0C43563C"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519" w:type="dxa"/>
            <w:tcBorders>
              <w:top w:val="single" w:sz="4" w:space="0" w:color="000000"/>
              <w:bottom w:val="single" w:sz="4" w:space="0" w:color="000000"/>
            </w:tcBorders>
            <w:textDirection w:val="btLr"/>
            <w:vAlign w:val="center"/>
          </w:tcPr>
          <w:p w14:paraId="0E500408"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2012-13</w:t>
            </w:r>
          </w:p>
        </w:tc>
        <w:tc>
          <w:tcPr>
            <w:tcW w:w="519" w:type="dxa"/>
            <w:tcBorders>
              <w:top w:val="single" w:sz="4" w:space="0" w:color="000000"/>
              <w:bottom w:val="single" w:sz="4" w:space="0" w:color="000000"/>
            </w:tcBorders>
            <w:textDirection w:val="btLr"/>
            <w:vAlign w:val="center"/>
          </w:tcPr>
          <w:p w14:paraId="2EB75E48" w14:textId="77777777" w:rsidR="00AB6155" w:rsidRPr="00EC364C" w:rsidRDefault="00AB6155" w:rsidP="00DD3BAE">
            <w:pPr>
              <w:spacing w:before="0" w:after="0"/>
              <w:ind w:left="113" w:right="113"/>
              <w:rPr>
                <w:b/>
                <w:color w:val="000000"/>
                <w:sz w:val="16"/>
                <w:szCs w:val="16"/>
                <w:lang w:eastAsia="en-AU"/>
              </w:rPr>
            </w:pPr>
            <w:r w:rsidRPr="00EC364C">
              <w:rPr>
                <w:b/>
                <w:color w:val="000000"/>
                <w:sz w:val="16"/>
                <w:szCs w:val="16"/>
                <w:lang w:eastAsia="en-AU"/>
              </w:rPr>
              <w:t>2013-14</w:t>
            </w:r>
          </w:p>
        </w:tc>
        <w:tc>
          <w:tcPr>
            <w:tcW w:w="519" w:type="dxa"/>
            <w:tcBorders>
              <w:top w:val="single" w:sz="4" w:space="0" w:color="000000"/>
              <w:bottom w:val="single" w:sz="4" w:space="0" w:color="000000"/>
            </w:tcBorders>
            <w:textDirection w:val="btLr"/>
            <w:vAlign w:val="center"/>
          </w:tcPr>
          <w:p w14:paraId="4BA8AC8C" w14:textId="77777777" w:rsidR="00AB6155" w:rsidRPr="00EC364C" w:rsidRDefault="00AB6155" w:rsidP="00DD3BAE">
            <w:pPr>
              <w:spacing w:before="0" w:after="0"/>
              <w:ind w:left="113" w:right="113"/>
              <w:rPr>
                <w:b/>
                <w:color w:val="000000"/>
                <w:sz w:val="16"/>
                <w:szCs w:val="16"/>
                <w:lang w:eastAsia="en-AU"/>
              </w:rPr>
            </w:pPr>
            <w:r>
              <w:rPr>
                <w:b/>
                <w:color w:val="000000"/>
                <w:sz w:val="16"/>
                <w:szCs w:val="16"/>
                <w:lang w:eastAsia="en-AU"/>
              </w:rPr>
              <w:t>2014-15</w:t>
            </w:r>
          </w:p>
        </w:tc>
        <w:tc>
          <w:tcPr>
            <w:tcW w:w="519" w:type="dxa"/>
            <w:tcBorders>
              <w:top w:val="single" w:sz="4" w:space="0" w:color="000000"/>
              <w:bottom w:val="single" w:sz="4" w:space="0" w:color="000000"/>
            </w:tcBorders>
            <w:textDirection w:val="btLr"/>
          </w:tcPr>
          <w:p w14:paraId="20F06023" w14:textId="77777777" w:rsidR="00AB6155" w:rsidRDefault="00AB6155" w:rsidP="00DD3BAE">
            <w:pPr>
              <w:spacing w:before="0" w:after="0"/>
              <w:ind w:left="113" w:right="113"/>
              <w:rPr>
                <w:b/>
                <w:color w:val="000000"/>
                <w:sz w:val="16"/>
                <w:szCs w:val="16"/>
                <w:lang w:eastAsia="en-AU"/>
              </w:rPr>
            </w:pPr>
            <w:r>
              <w:rPr>
                <w:b/>
                <w:color w:val="000000"/>
                <w:sz w:val="16"/>
                <w:szCs w:val="16"/>
                <w:lang w:eastAsia="en-AU"/>
              </w:rPr>
              <w:t>2015-16</w:t>
            </w:r>
          </w:p>
        </w:tc>
        <w:tc>
          <w:tcPr>
            <w:tcW w:w="519" w:type="dxa"/>
            <w:tcBorders>
              <w:top w:val="single" w:sz="4" w:space="0" w:color="000000"/>
              <w:bottom w:val="single" w:sz="4" w:space="0" w:color="000000"/>
            </w:tcBorders>
            <w:shd w:val="clear" w:color="auto" w:fill="auto"/>
            <w:textDirection w:val="btLr"/>
          </w:tcPr>
          <w:p w14:paraId="40A4DA0F" w14:textId="787988C1" w:rsidR="00AB6155" w:rsidRDefault="008574EC" w:rsidP="00DD3BAE">
            <w:pPr>
              <w:spacing w:before="0" w:after="0"/>
              <w:ind w:left="113" w:right="113"/>
              <w:rPr>
                <w:b/>
                <w:color w:val="000000"/>
                <w:sz w:val="16"/>
                <w:szCs w:val="16"/>
                <w:lang w:eastAsia="en-AU"/>
              </w:rPr>
            </w:pPr>
            <w:r>
              <w:rPr>
                <w:b/>
                <w:color w:val="000000"/>
                <w:sz w:val="16"/>
                <w:szCs w:val="16"/>
                <w:lang w:eastAsia="en-AU"/>
              </w:rPr>
              <w:t>2016–17</w:t>
            </w:r>
          </w:p>
        </w:tc>
      </w:tr>
      <w:tr w:rsidR="00AB6155" w:rsidRPr="00EC364C" w14:paraId="6C5972D3" w14:textId="77777777" w:rsidTr="005209EC">
        <w:trPr>
          <w:trHeight w:val="312"/>
          <w:jc w:val="center"/>
        </w:trPr>
        <w:tc>
          <w:tcPr>
            <w:tcW w:w="1303" w:type="dxa"/>
            <w:vMerge w:val="restart"/>
            <w:tcBorders>
              <w:top w:val="single" w:sz="4" w:space="0" w:color="000000"/>
            </w:tcBorders>
            <w:shd w:val="clear" w:color="auto" w:fill="auto"/>
            <w:noWrap/>
            <w:vAlign w:val="center"/>
          </w:tcPr>
          <w:p w14:paraId="48DC30DE" w14:textId="77777777" w:rsidR="00AB6155" w:rsidRPr="00EC364C" w:rsidRDefault="00AB6155" w:rsidP="00DD3BAE">
            <w:pPr>
              <w:spacing w:before="0" w:after="0"/>
              <w:rPr>
                <w:color w:val="000000"/>
                <w:sz w:val="20"/>
                <w:szCs w:val="20"/>
                <w:lang w:eastAsia="en-AU"/>
              </w:rPr>
            </w:pPr>
            <w:r>
              <w:rPr>
                <w:color w:val="000000"/>
                <w:sz w:val="20"/>
                <w:szCs w:val="20"/>
                <w:lang w:eastAsia="en-AU"/>
              </w:rPr>
              <w:t>Abundance</w:t>
            </w:r>
          </w:p>
        </w:tc>
        <w:tc>
          <w:tcPr>
            <w:tcW w:w="1840" w:type="dxa"/>
            <w:tcBorders>
              <w:top w:val="single" w:sz="4" w:space="0" w:color="000000"/>
              <w:bottom w:val="single" w:sz="4" w:space="0" w:color="FFFFFF"/>
            </w:tcBorders>
            <w:shd w:val="clear" w:color="auto" w:fill="auto"/>
            <w:noWrap/>
            <w:vAlign w:val="center"/>
          </w:tcPr>
          <w:p w14:paraId="424B83D9"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estuarine intertidal</w:t>
            </w:r>
          </w:p>
        </w:tc>
        <w:tc>
          <w:tcPr>
            <w:tcW w:w="620" w:type="dxa"/>
            <w:tcBorders>
              <w:bottom w:val="single" w:sz="4" w:space="0" w:color="FFFFFF"/>
            </w:tcBorders>
            <w:shd w:val="clear" w:color="auto" w:fill="FFCC00"/>
            <w:noWrap/>
            <w:vAlign w:val="center"/>
          </w:tcPr>
          <w:p w14:paraId="660DF572"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noWrap/>
            <w:vAlign w:val="center"/>
          </w:tcPr>
          <w:p w14:paraId="408DF98B"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13</w:t>
            </w:r>
          </w:p>
        </w:tc>
        <w:tc>
          <w:tcPr>
            <w:tcW w:w="620" w:type="dxa"/>
            <w:tcBorders>
              <w:bottom w:val="single" w:sz="4" w:space="0" w:color="FFFFFF"/>
            </w:tcBorders>
            <w:shd w:val="clear" w:color="auto" w:fill="FFFF00"/>
            <w:noWrap/>
            <w:vAlign w:val="center"/>
          </w:tcPr>
          <w:p w14:paraId="21AB2F40"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44</w:t>
            </w:r>
          </w:p>
        </w:tc>
        <w:tc>
          <w:tcPr>
            <w:tcW w:w="761" w:type="dxa"/>
            <w:tcBorders>
              <w:bottom w:val="single" w:sz="4" w:space="0" w:color="FFFFFF"/>
            </w:tcBorders>
            <w:shd w:val="clear" w:color="auto" w:fill="FFCC00"/>
            <w:noWrap/>
            <w:vAlign w:val="center"/>
          </w:tcPr>
          <w:p w14:paraId="3F40775A"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FF00"/>
            <w:noWrap/>
            <w:vAlign w:val="center"/>
          </w:tcPr>
          <w:p w14:paraId="272F8E04"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42</w:t>
            </w:r>
          </w:p>
        </w:tc>
        <w:tc>
          <w:tcPr>
            <w:tcW w:w="519" w:type="dxa"/>
            <w:tcBorders>
              <w:bottom w:val="single" w:sz="4" w:space="0" w:color="FFFFFF"/>
            </w:tcBorders>
            <w:shd w:val="clear" w:color="auto" w:fill="FFCC00"/>
            <w:noWrap/>
            <w:vAlign w:val="center"/>
          </w:tcPr>
          <w:p w14:paraId="6667EC85"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34</w:t>
            </w:r>
          </w:p>
        </w:tc>
        <w:tc>
          <w:tcPr>
            <w:tcW w:w="519" w:type="dxa"/>
            <w:tcBorders>
              <w:bottom w:val="single" w:sz="4" w:space="0" w:color="FFFFFF"/>
            </w:tcBorders>
            <w:shd w:val="clear" w:color="auto" w:fill="FFFF00"/>
            <w:noWrap/>
            <w:vAlign w:val="center"/>
          </w:tcPr>
          <w:p w14:paraId="3BE98594"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47</w:t>
            </w:r>
          </w:p>
        </w:tc>
        <w:tc>
          <w:tcPr>
            <w:tcW w:w="519" w:type="dxa"/>
            <w:tcBorders>
              <w:bottom w:val="single" w:sz="4" w:space="0" w:color="FFFFFF"/>
            </w:tcBorders>
            <w:shd w:val="clear" w:color="auto" w:fill="FFFF00"/>
            <w:vAlign w:val="center"/>
          </w:tcPr>
          <w:p w14:paraId="08B661C0"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53</w:t>
            </w:r>
          </w:p>
        </w:tc>
        <w:tc>
          <w:tcPr>
            <w:tcW w:w="519" w:type="dxa"/>
            <w:tcBorders>
              <w:bottom w:val="single" w:sz="4" w:space="0" w:color="FFFFFF"/>
            </w:tcBorders>
            <w:shd w:val="clear" w:color="auto" w:fill="FFCC00"/>
            <w:vAlign w:val="center"/>
          </w:tcPr>
          <w:p w14:paraId="57D0B434"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34</w:t>
            </w:r>
          </w:p>
        </w:tc>
        <w:tc>
          <w:tcPr>
            <w:tcW w:w="519" w:type="dxa"/>
            <w:tcBorders>
              <w:bottom w:val="single" w:sz="4" w:space="0" w:color="FFFFFF"/>
            </w:tcBorders>
            <w:shd w:val="clear" w:color="auto" w:fill="FFCC00"/>
            <w:vAlign w:val="center"/>
          </w:tcPr>
          <w:p w14:paraId="7C9E043B" w14:textId="77777777" w:rsidR="00AB6155" w:rsidRPr="00056DBB" w:rsidRDefault="00AB6155" w:rsidP="00DD3BAE">
            <w:pPr>
              <w:spacing w:before="0" w:after="0"/>
              <w:jc w:val="center"/>
              <w:rPr>
                <w:b/>
                <w:color w:val="000000"/>
                <w:sz w:val="20"/>
                <w:szCs w:val="20"/>
                <w:lang w:eastAsia="en-AU"/>
              </w:rPr>
            </w:pPr>
            <w:r w:rsidRPr="00056DBB">
              <w:rPr>
                <w:sz w:val="20"/>
                <w:szCs w:val="20"/>
              </w:rPr>
              <w:t>25</w:t>
            </w:r>
          </w:p>
        </w:tc>
        <w:tc>
          <w:tcPr>
            <w:tcW w:w="519" w:type="dxa"/>
            <w:tcBorders>
              <w:bottom w:val="single" w:sz="4" w:space="0" w:color="FFFFFF"/>
            </w:tcBorders>
            <w:shd w:val="clear" w:color="auto" w:fill="FFCC00"/>
            <w:vAlign w:val="center"/>
          </w:tcPr>
          <w:p w14:paraId="5515475D" w14:textId="77777777" w:rsidR="00AB6155" w:rsidRPr="00056DBB" w:rsidRDefault="00AB6155" w:rsidP="00DD3BAE">
            <w:pPr>
              <w:spacing w:before="0" w:after="0"/>
              <w:jc w:val="center"/>
              <w:rPr>
                <w:sz w:val="20"/>
                <w:szCs w:val="20"/>
              </w:rPr>
            </w:pPr>
            <w:r>
              <w:rPr>
                <w:sz w:val="20"/>
                <w:szCs w:val="20"/>
              </w:rPr>
              <w:t>25</w:t>
            </w:r>
          </w:p>
        </w:tc>
        <w:tc>
          <w:tcPr>
            <w:tcW w:w="519" w:type="dxa"/>
            <w:tcBorders>
              <w:bottom w:val="single" w:sz="4" w:space="0" w:color="FFFFFF"/>
            </w:tcBorders>
            <w:shd w:val="clear" w:color="auto" w:fill="FF0000"/>
            <w:vAlign w:val="center"/>
          </w:tcPr>
          <w:p w14:paraId="2C5FA569" w14:textId="77777777" w:rsidR="00AB6155" w:rsidRPr="00273477" w:rsidRDefault="00AB6155" w:rsidP="00DD3BAE">
            <w:pPr>
              <w:spacing w:before="0" w:after="0"/>
              <w:jc w:val="center"/>
              <w:rPr>
                <w:sz w:val="20"/>
                <w:szCs w:val="20"/>
              </w:rPr>
            </w:pPr>
            <w:r w:rsidRPr="00273477">
              <w:rPr>
                <w:sz w:val="20"/>
                <w:szCs w:val="20"/>
              </w:rPr>
              <w:t>6</w:t>
            </w:r>
          </w:p>
        </w:tc>
      </w:tr>
      <w:tr w:rsidR="00AB6155" w:rsidRPr="00EC364C" w14:paraId="6F5594F3" w14:textId="77777777" w:rsidTr="005209EC">
        <w:trPr>
          <w:trHeight w:val="312"/>
          <w:jc w:val="center"/>
        </w:trPr>
        <w:tc>
          <w:tcPr>
            <w:tcW w:w="1303" w:type="dxa"/>
            <w:vMerge/>
            <w:shd w:val="clear" w:color="auto" w:fill="auto"/>
            <w:noWrap/>
            <w:vAlign w:val="center"/>
          </w:tcPr>
          <w:p w14:paraId="3E970602" w14:textId="77777777" w:rsidR="00AB6155" w:rsidRPr="00EC364C" w:rsidRDefault="00AB6155" w:rsidP="00DD3BAE">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14:paraId="42CE5038"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coastal intertidal</w:t>
            </w:r>
          </w:p>
        </w:tc>
        <w:tc>
          <w:tcPr>
            <w:tcW w:w="620" w:type="dxa"/>
            <w:tcBorders>
              <w:bottom w:val="single" w:sz="4" w:space="0" w:color="FFFFFF"/>
            </w:tcBorders>
            <w:shd w:val="clear" w:color="auto" w:fill="008000"/>
            <w:noWrap/>
            <w:vAlign w:val="center"/>
          </w:tcPr>
          <w:p w14:paraId="7FE857D8"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81</w:t>
            </w:r>
          </w:p>
        </w:tc>
        <w:tc>
          <w:tcPr>
            <w:tcW w:w="519" w:type="dxa"/>
            <w:tcBorders>
              <w:bottom w:val="single" w:sz="4" w:space="0" w:color="FFFFFF"/>
            </w:tcBorders>
            <w:shd w:val="clear" w:color="auto" w:fill="008000"/>
            <w:noWrap/>
            <w:vAlign w:val="center"/>
          </w:tcPr>
          <w:p w14:paraId="0F7F0211"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81</w:t>
            </w:r>
          </w:p>
        </w:tc>
        <w:tc>
          <w:tcPr>
            <w:tcW w:w="620" w:type="dxa"/>
            <w:tcBorders>
              <w:bottom w:val="single" w:sz="4" w:space="0" w:color="FFFFFF"/>
            </w:tcBorders>
            <w:shd w:val="clear" w:color="auto" w:fill="008000"/>
            <w:noWrap/>
            <w:vAlign w:val="center"/>
          </w:tcPr>
          <w:p w14:paraId="167EFEC0"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100</w:t>
            </w:r>
          </w:p>
        </w:tc>
        <w:tc>
          <w:tcPr>
            <w:tcW w:w="761" w:type="dxa"/>
            <w:tcBorders>
              <w:bottom w:val="single" w:sz="4" w:space="0" w:color="FFFFFF"/>
            </w:tcBorders>
            <w:shd w:val="clear" w:color="auto" w:fill="92D050"/>
            <w:noWrap/>
            <w:vAlign w:val="center"/>
          </w:tcPr>
          <w:p w14:paraId="20FFC48C"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75</w:t>
            </w:r>
          </w:p>
        </w:tc>
        <w:tc>
          <w:tcPr>
            <w:tcW w:w="761" w:type="dxa"/>
            <w:tcBorders>
              <w:bottom w:val="single" w:sz="4" w:space="0" w:color="FFFFFF"/>
            </w:tcBorders>
            <w:shd w:val="clear" w:color="auto" w:fill="008000"/>
            <w:noWrap/>
            <w:vAlign w:val="center"/>
          </w:tcPr>
          <w:p w14:paraId="0F23FC90"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81</w:t>
            </w:r>
          </w:p>
        </w:tc>
        <w:tc>
          <w:tcPr>
            <w:tcW w:w="519" w:type="dxa"/>
            <w:tcBorders>
              <w:bottom w:val="single" w:sz="4" w:space="0" w:color="FFFFFF"/>
            </w:tcBorders>
            <w:shd w:val="clear" w:color="auto" w:fill="FFCC00"/>
            <w:noWrap/>
            <w:vAlign w:val="center"/>
          </w:tcPr>
          <w:p w14:paraId="729CE1A6"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31</w:t>
            </w:r>
          </w:p>
        </w:tc>
        <w:tc>
          <w:tcPr>
            <w:tcW w:w="519" w:type="dxa"/>
            <w:tcBorders>
              <w:bottom w:val="single" w:sz="4" w:space="0" w:color="FFFFFF"/>
            </w:tcBorders>
            <w:shd w:val="clear" w:color="auto" w:fill="FFCC00"/>
            <w:noWrap/>
            <w:vAlign w:val="center"/>
          </w:tcPr>
          <w:p w14:paraId="07898622"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CC00"/>
            <w:vAlign w:val="center"/>
          </w:tcPr>
          <w:p w14:paraId="41EB7E53"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vAlign w:val="center"/>
          </w:tcPr>
          <w:p w14:paraId="025A03EF"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8</w:t>
            </w:r>
          </w:p>
        </w:tc>
        <w:tc>
          <w:tcPr>
            <w:tcW w:w="519" w:type="dxa"/>
            <w:tcBorders>
              <w:bottom w:val="single" w:sz="4" w:space="0" w:color="FFFFFF"/>
            </w:tcBorders>
            <w:shd w:val="clear" w:color="auto" w:fill="FFCC00"/>
            <w:vAlign w:val="center"/>
          </w:tcPr>
          <w:p w14:paraId="525589C4" w14:textId="77777777" w:rsidR="00AB6155" w:rsidRPr="00056DBB" w:rsidRDefault="00AB6155" w:rsidP="00DD3BAE">
            <w:pPr>
              <w:spacing w:before="0" w:after="0"/>
              <w:jc w:val="center"/>
              <w:rPr>
                <w:b/>
                <w:color w:val="000000"/>
                <w:sz w:val="20"/>
                <w:szCs w:val="20"/>
                <w:lang w:eastAsia="en-AU"/>
              </w:rPr>
            </w:pPr>
            <w:r w:rsidRPr="00056DBB">
              <w:rPr>
                <w:sz w:val="20"/>
                <w:szCs w:val="20"/>
              </w:rPr>
              <w:t>25</w:t>
            </w:r>
          </w:p>
        </w:tc>
        <w:tc>
          <w:tcPr>
            <w:tcW w:w="519" w:type="dxa"/>
            <w:tcBorders>
              <w:bottom w:val="single" w:sz="4" w:space="0" w:color="FFFFFF"/>
            </w:tcBorders>
            <w:shd w:val="clear" w:color="auto" w:fill="FFCC00"/>
            <w:vAlign w:val="center"/>
          </w:tcPr>
          <w:p w14:paraId="369308E9" w14:textId="77777777" w:rsidR="00AB6155" w:rsidRPr="00056DBB" w:rsidRDefault="00AB6155" w:rsidP="00DD3BAE">
            <w:pPr>
              <w:spacing w:before="0" w:after="0"/>
              <w:jc w:val="center"/>
              <w:rPr>
                <w:sz w:val="20"/>
                <w:szCs w:val="20"/>
              </w:rPr>
            </w:pPr>
            <w:r>
              <w:rPr>
                <w:sz w:val="20"/>
                <w:szCs w:val="20"/>
              </w:rPr>
              <w:t>38</w:t>
            </w:r>
          </w:p>
        </w:tc>
        <w:tc>
          <w:tcPr>
            <w:tcW w:w="519" w:type="dxa"/>
            <w:tcBorders>
              <w:bottom w:val="single" w:sz="4" w:space="0" w:color="FFFFFF"/>
            </w:tcBorders>
            <w:shd w:val="clear" w:color="auto" w:fill="92D050"/>
            <w:vAlign w:val="center"/>
          </w:tcPr>
          <w:p w14:paraId="41C9A1EB" w14:textId="77777777" w:rsidR="00AB6155" w:rsidRPr="00273477" w:rsidRDefault="00AB6155" w:rsidP="00DD3BAE">
            <w:pPr>
              <w:spacing w:before="0" w:after="0"/>
              <w:jc w:val="center"/>
              <w:rPr>
                <w:sz w:val="20"/>
                <w:szCs w:val="20"/>
              </w:rPr>
            </w:pPr>
            <w:r w:rsidRPr="00273477">
              <w:rPr>
                <w:sz w:val="20"/>
                <w:szCs w:val="20"/>
              </w:rPr>
              <w:t>63</w:t>
            </w:r>
          </w:p>
        </w:tc>
      </w:tr>
      <w:tr w:rsidR="00AB6155" w:rsidRPr="00EC364C" w14:paraId="03C166AD" w14:textId="77777777" w:rsidTr="005209EC">
        <w:trPr>
          <w:trHeight w:val="312"/>
          <w:jc w:val="center"/>
        </w:trPr>
        <w:tc>
          <w:tcPr>
            <w:tcW w:w="1303" w:type="dxa"/>
            <w:vMerge/>
            <w:tcBorders>
              <w:bottom w:val="single" w:sz="4" w:space="0" w:color="auto"/>
            </w:tcBorders>
            <w:shd w:val="clear" w:color="auto" w:fill="auto"/>
            <w:noWrap/>
            <w:vAlign w:val="center"/>
          </w:tcPr>
          <w:p w14:paraId="414033A6" w14:textId="77777777" w:rsidR="00AB6155" w:rsidRPr="00EC364C" w:rsidRDefault="00AB6155" w:rsidP="00DD3BAE">
            <w:pPr>
              <w:spacing w:before="0" w:after="0"/>
              <w:rPr>
                <w:color w:val="000000"/>
                <w:sz w:val="20"/>
                <w:szCs w:val="20"/>
                <w:lang w:eastAsia="en-AU"/>
              </w:rPr>
            </w:pPr>
          </w:p>
        </w:tc>
        <w:tc>
          <w:tcPr>
            <w:tcW w:w="1840" w:type="dxa"/>
            <w:tcBorders>
              <w:top w:val="single" w:sz="4" w:space="0" w:color="FFFFFF"/>
              <w:bottom w:val="single" w:sz="4" w:space="0" w:color="auto"/>
            </w:tcBorders>
            <w:shd w:val="clear" w:color="auto" w:fill="auto"/>
            <w:noWrap/>
            <w:vAlign w:val="center"/>
          </w:tcPr>
          <w:p w14:paraId="570A4D6E"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reef intertidal</w:t>
            </w:r>
          </w:p>
        </w:tc>
        <w:tc>
          <w:tcPr>
            <w:tcW w:w="620" w:type="dxa"/>
            <w:tcBorders>
              <w:top w:val="single" w:sz="4" w:space="0" w:color="FFFFFF"/>
              <w:bottom w:val="single" w:sz="4" w:space="0" w:color="FFFFFF" w:themeColor="background1"/>
            </w:tcBorders>
            <w:shd w:val="clear" w:color="auto" w:fill="auto"/>
            <w:noWrap/>
            <w:vAlign w:val="center"/>
          </w:tcPr>
          <w:p w14:paraId="414964E7" w14:textId="77777777" w:rsidR="00AB6155" w:rsidRPr="00EC364C" w:rsidRDefault="00AB6155" w:rsidP="00DD3BAE">
            <w:pPr>
              <w:spacing w:before="0" w:after="0"/>
              <w:jc w:val="center"/>
              <w:rPr>
                <w:color w:val="000000"/>
                <w:sz w:val="20"/>
                <w:szCs w:val="20"/>
                <w:lang w:eastAsia="en-AU"/>
              </w:rPr>
            </w:pPr>
          </w:p>
        </w:tc>
        <w:tc>
          <w:tcPr>
            <w:tcW w:w="519" w:type="dxa"/>
            <w:tcBorders>
              <w:top w:val="single" w:sz="4" w:space="0" w:color="FFFFFF"/>
              <w:bottom w:val="single" w:sz="4" w:space="0" w:color="FFFFFF" w:themeColor="background1"/>
            </w:tcBorders>
            <w:shd w:val="clear" w:color="auto" w:fill="auto"/>
            <w:noWrap/>
            <w:vAlign w:val="center"/>
          </w:tcPr>
          <w:p w14:paraId="37B0D9FF" w14:textId="77777777" w:rsidR="00AB6155" w:rsidRPr="00EC364C" w:rsidRDefault="00AB6155" w:rsidP="00DD3BAE">
            <w:pPr>
              <w:spacing w:before="0" w:after="0"/>
              <w:jc w:val="center"/>
              <w:rPr>
                <w:color w:val="000000"/>
                <w:sz w:val="20"/>
                <w:szCs w:val="20"/>
                <w:lang w:eastAsia="en-AU"/>
              </w:rPr>
            </w:pPr>
          </w:p>
        </w:tc>
        <w:tc>
          <w:tcPr>
            <w:tcW w:w="620" w:type="dxa"/>
            <w:tcBorders>
              <w:top w:val="single" w:sz="4" w:space="0" w:color="FFFFFF"/>
              <w:bottom w:val="single" w:sz="4" w:space="0" w:color="FFFFFF" w:themeColor="background1"/>
            </w:tcBorders>
            <w:shd w:val="clear" w:color="auto" w:fill="FF0000"/>
            <w:noWrap/>
            <w:vAlign w:val="center"/>
          </w:tcPr>
          <w:p w14:paraId="16A7CA94"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13</w:t>
            </w:r>
          </w:p>
        </w:tc>
        <w:tc>
          <w:tcPr>
            <w:tcW w:w="761" w:type="dxa"/>
            <w:tcBorders>
              <w:top w:val="single" w:sz="4" w:space="0" w:color="FFFFFF"/>
              <w:bottom w:val="single" w:sz="4" w:space="0" w:color="FFFFFF" w:themeColor="background1"/>
            </w:tcBorders>
            <w:shd w:val="clear" w:color="auto" w:fill="FF0000"/>
            <w:noWrap/>
            <w:vAlign w:val="center"/>
          </w:tcPr>
          <w:p w14:paraId="3E13596C"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6</w:t>
            </w:r>
          </w:p>
        </w:tc>
        <w:tc>
          <w:tcPr>
            <w:tcW w:w="761" w:type="dxa"/>
            <w:tcBorders>
              <w:top w:val="single" w:sz="4" w:space="0" w:color="FFFFFF"/>
              <w:bottom w:val="single" w:sz="4" w:space="0" w:color="FFFFFF" w:themeColor="background1"/>
            </w:tcBorders>
            <w:shd w:val="clear" w:color="auto" w:fill="FF0000"/>
            <w:noWrap/>
            <w:vAlign w:val="center"/>
          </w:tcPr>
          <w:p w14:paraId="075A4CEB"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bottom w:val="single" w:sz="4" w:space="0" w:color="FFFFFF" w:themeColor="background1"/>
            </w:tcBorders>
            <w:shd w:val="clear" w:color="auto" w:fill="FF0000"/>
            <w:noWrap/>
            <w:vAlign w:val="center"/>
          </w:tcPr>
          <w:p w14:paraId="2E458E31"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bottom w:val="single" w:sz="4" w:space="0" w:color="FFFFFF" w:themeColor="background1"/>
            </w:tcBorders>
            <w:shd w:val="clear" w:color="auto" w:fill="FF0000"/>
            <w:noWrap/>
            <w:vAlign w:val="center"/>
          </w:tcPr>
          <w:p w14:paraId="3D6CB7D5"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bottom w:val="single" w:sz="4" w:space="0" w:color="FFFFFF" w:themeColor="background1"/>
            </w:tcBorders>
            <w:shd w:val="clear" w:color="auto" w:fill="FF0000"/>
            <w:vAlign w:val="center"/>
          </w:tcPr>
          <w:p w14:paraId="0ED52B8B"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bottom w:val="single" w:sz="4" w:space="0" w:color="FFFFFF" w:themeColor="background1"/>
            </w:tcBorders>
            <w:shd w:val="clear" w:color="auto" w:fill="FF0000"/>
            <w:vAlign w:val="center"/>
          </w:tcPr>
          <w:p w14:paraId="22F419B6" w14:textId="77777777" w:rsidR="00AB6155" w:rsidRPr="00EC364C" w:rsidRDefault="00AB6155" w:rsidP="00DD3BAE">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bottom w:val="single" w:sz="4" w:space="0" w:color="FFFFFF" w:themeColor="background1"/>
            </w:tcBorders>
            <w:shd w:val="clear" w:color="auto" w:fill="FFCC00"/>
            <w:vAlign w:val="center"/>
          </w:tcPr>
          <w:p w14:paraId="098B2706" w14:textId="77777777" w:rsidR="00AB6155" w:rsidRPr="00056DBB" w:rsidRDefault="00AB6155" w:rsidP="00DD3BAE">
            <w:pPr>
              <w:spacing w:before="0" w:after="0"/>
              <w:jc w:val="center"/>
              <w:rPr>
                <w:b/>
                <w:color w:val="000000"/>
                <w:sz w:val="20"/>
                <w:szCs w:val="20"/>
                <w:lang w:eastAsia="en-AU"/>
              </w:rPr>
            </w:pPr>
            <w:r w:rsidRPr="00056DBB">
              <w:rPr>
                <w:sz w:val="20"/>
                <w:szCs w:val="20"/>
              </w:rPr>
              <w:t>25</w:t>
            </w:r>
          </w:p>
        </w:tc>
        <w:tc>
          <w:tcPr>
            <w:tcW w:w="519" w:type="dxa"/>
            <w:tcBorders>
              <w:top w:val="single" w:sz="4" w:space="0" w:color="FFFFFF"/>
              <w:bottom w:val="single" w:sz="4" w:space="0" w:color="FFFFFF" w:themeColor="background1"/>
            </w:tcBorders>
            <w:shd w:val="clear" w:color="auto" w:fill="FF0000"/>
            <w:vAlign w:val="center"/>
          </w:tcPr>
          <w:p w14:paraId="3A64C4BB" w14:textId="77777777" w:rsidR="00AB6155" w:rsidRPr="00056DBB" w:rsidRDefault="00AB6155" w:rsidP="00DD3BAE">
            <w:pPr>
              <w:spacing w:before="0" w:after="0"/>
              <w:jc w:val="center"/>
              <w:rPr>
                <w:sz w:val="20"/>
                <w:szCs w:val="20"/>
              </w:rPr>
            </w:pPr>
            <w:r>
              <w:rPr>
                <w:sz w:val="20"/>
                <w:szCs w:val="20"/>
              </w:rPr>
              <w:t>13</w:t>
            </w:r>
          </w:p>
        </w:tc>
        <w:tc>
          <w:tcPr>
            <w:tcW w:w="519" w:type="dxa"/>
            <w:tcBorders>
              <w:top w:val="single" w:sz="4" w:space="0" w:color="FFFFFF"/>
              <w:bottom w:val="single" w:sz="4" w:space="0" w:color="FFFFFF" w:themeColor="background1"/>
            </w:tcBorders>
            <w:shd w:val="clear" w:color="auto" w:fill="FF0000"/>
            <w:vAlign w:val="center"/>
          </w:tcPr>
          <w:p w14:paraId="46DC1293" w14:textId="77777777" w:rsidR="00AB6155" w:rsidRPr="00273477" w:rsidRDefault="00AB6155" w:rsidP="00DD3BAE">
            <w:pPr>
              <w:spacing w:before="0" w:after="0"/>
              <w:jc w:val="center"/>
              <w:rPr>
                <w:sz w:val="20"/>
                <w:szCs w:val="20"/>
              </w:rPr>
            </w:pPr>
            <w:r w:rsidRPr="00273477">
              <w:rPr>
                <w:sz w:val="20"/>
                <w:szCs w:val="20"/>
              </w:rPr>
              <w:t>13</w:t>
            </w:r>
          </w:p>
        </w:tc>
      </w:tr>
      <w:tr w:rsidR="00AB6155" w:rsidRPr="00EC364C" w14:paraId="46399C49" w14:textId="77777777" w:rsidTr="005209EC">
        <w:trPr>
          <w:trHeight w:val="312"/>
          <w:jc w:val="center"/>
        </w:trPr>
        <w:tc>
          <w:tcPr>
            <w:tcW w:w="1303" w:type="dxa"/>
            <w:vMerge w:val="restart"/>
            <w:tcBorders>
              <w:top w:val="single" w:sz="4" w:space="0" w:color="000000"/>
            </w:tcBorders>
            <w:shd w:val="clear" w:color="auto" w:fill="auto"/>
            <w:noWrap/>
            <w:vAlign w:val="center"/>
          </w:tcPr>
          <w:p w14:paraId="2D8CA316" w14:textId="77777777" w:rsidR="00AB6155" w:rsidRDefault="00AB6155" w:rsidP="00DD3BAE">
            <w:pPr>
              <w:spacing w:before="0" w:after="0"/>
              <w:rPr>
                <w:color w:val="000000"/>
                <w:sz w:val="20"/>
                <w:szCs w:val="20"/>
                <w:lang w:eastAsia="en-AU"/>
              </w:rPr>
            </w:pPr>
            <w:r>
              <w:rPr>
                <w:color w:val="000000"/>
                <w:sz w:val="20"/>
                <w:szCs w:val="20"/>
                <w:lang w:eastAsia="en-AU"/>
              </w:rPr>
              <w:t>Reproductive</w:t>
            </w:r>
          </w:p>
          <w:p w14:paraId="07594B3A" w14:textId="77777777" w:rsidR="00AB6155" w:rsidRPr="00EC364C" w:rsidRDefault="00AB6155" w:rsidP="00DD3BAE">
            <w:pPr>
              <w:spacing w:before="0" w:after="0"/>
              <w:rPr>
                <w:color w:val="000000"/>
                <w:sz w:val="20"/>
                <w:szCs w:val="20"/>
                <w:lang w:eastAsia="en-AU"/>
              </w:rPr>
            </w:pPr>
            <w:r>
              <w:rPr>
                <w:color w:val="000000"/>
                <w:sz w:val="20"/>
                <w:szCs w:val="20"/>
                <w:lang w:eastAsia="en-AU"/>
              </w:rPr>
              <w:t>effort</w:t>
            </w:r>
          </w:p>
        </w:tc>
        <w:tc>
          <w:tcPr>
            <w:tcW w:w="1840" w:type="dxa"/>
            <w:tcBorders>
              <w:top w:val="single" w:sz="4" w:space="0" w:color="000000"/>
              <w:bottom w:val="single" w:sz="4" w:space="0" w:color="FFFFFF"/>
            </w:tcBorders>
            <w:shd w:val="clear" w:color="auto" w:fill="auto"/>
            <w:noWrap/>
            <w:vAlign w:val="center"/>
          </w:tcPr>
          <w:p w14:paraId="07A7A772"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estuarine intertidal</w:t>
            </w:r>
          </w:p>
        </w:tc>
        <w:tc>
          <w:tcPr>
            <w:tcW w:w="620" w:type="dxa"/>
            <w:tcBorders>
              <w:bottom w:val="single" w:sz="4" w:space="0" w:color="FFFFFF"/>
            </w:tcBorders>
            <w:shd w:val="clear" w:color="auto" w:fill="008000"/>
            <w:noWrap/>
            <w:vAlign w:val="center"/>
          </w:tcPr>
          <w:p w14:paraId="45CF7CCE"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100</w:t>
            </w:r>
          </w:p>
        </w:tc>
        <w:tc>
          <w:tcPr>
            <w:tcW w:w="519" w:type="dxa"/>
            <w:tcBorders>
              <w:bottom w:val="single" w:sz="4" w:space="0" w:color="FFFFFF"/>
            </w:tcBorders>
            <w:shd w:val="clear" w:color="auto" w:fill="FF0000"/>
            <w:noWrap/>
            <w:vAlign w:val="center"/>
          </w:tcPr>
          <w:p w14:paraId="43F3D41C"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620" w:type="dxa"/>
            <w:tcBorders>
              <w:bottom w:val="single" w:sz="4" w:space="0" w:color="FFFFFF"/>
            </w:tcBorders>
            <w:shd w:val="clear" w:color="auto" w:fill="FFFF00"/>
            <w:noWrap/>
            <w:vAlign w:val="center"/>
          </w:tcPr>
          <w:p w14:paraId="7C1D17E0"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50</w:t>
            </w:r>
          </w:p>
        </w:tc>
        <w:tc>
          <w:tcPr>
            <w:tcW w:w="761" w:type="dxa"/>
            <w:tcBorders>
              <w:bottom w:val="single" w:sz="4" w:space="0" w:color="FFFFFF"/>
            </w:tcBorders>
            <w:shd w:val="clear" w:color="auto" w:fill="92D050"/>
            <w:noWrap/>
            <w:vAlign w:val="center"/>
          </w:tcPr>
          <w:p w14:paraId="0329E730"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63</w:t>
            </w:r>
          </w:p>
        </w:tc>
        <w:tc>
          <w:tcPr>
            <w:tcW w:w="761" w:type="dxa"/>
            <w:tcBorders>
              <w:bottom w:val="single" w:sz="4" w:space="0" w:color="FFFFFF"/>
            </w:tcBorders>
            <w:shd w:val="clear" w:color="auto" w:fill="FFCC00"/>
            <w:noWrap/>
            <w:vAlign w:val="center"/>
          </w:tcPr>
          <w:p w14:paraId="7996C4D2"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92D050"/>
            <w:noWrap/>
            <w:vAlign w:val="center"/>
          </w:tcPr>
          <w:p w14:paraId="2809A8D3"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75</w:t>
            </w:r>
          </w:p>
        </w:tc>
        <w:tc>
          <w:tcPr>
            <w:tcW w:w="519" w:type="dxa"/>
            <w:tcBorders>
              <w:bottom w:val="single" w:sz="4" w:space="0" w:color="FFFFFF"/>
            </w:tcBorders>
            <w:shd w:val="clear" w:color="auto" w:fill="FF0000"/>
            <w:noWrap/>
            <w:vAlign w:val="center"/>
          </w:tcPr>
          <w:p w14:paraId="159E6CDD"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13</w:t>
            </w:r>
          </w:p>
        </w:tc>
        <w:tc>
          <w:tcPr>
            <w:tcW w:w="519" w:type="dxa"/>
            <w:tcBorders>
              <w:bottom w:val="single" w:sz="4" w:space="0" w:color="FFFFFF"/>
            </w:tcBorders>
            <w:shd w:val="clear" w:color="auto" w:fill="FF0000"/>
            <w:vAlign w:val="center"/>
          </w:tcPr>
          <w:p w14:paraId="79C31553"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CC00"/>
            <w:vAlign w:val="center"/>
          </w:tcPr>
          <w:p w14:paraId="4C161673"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FF0000"/>
            <w:vAlign w:val="center"/>
          </w:tcPr>
          <w:p w14:paraId="06681904" w14:textId="77777777" w:rsidR="00AB6155" w:rsidRPr="005556A8" w:rsidRDefault="00AB6155" w:rsidP="00DD3BAE">
            <w:pPr>
              <w:spacing w:before="0" w:after="0"/>
              <w:jc w:val="center"/>
              <w:rPr>
                <w:color w:val="000000"/>
                <w:sz w:val="20"/>
                <w:szCs w:val="20"/>
                <w:lang w:eastAsia="en-AU"/>
              </w:rPr>
            </w:pPr>
            <w:r>
              <w:rPr>
                <w:color w:val="000000"/>
                <w:sz w:val="20"/>
                <w:szCs w:val="20"/>
              </w:rPr>
              <w:t>0</w:t>
            </w:r>
          </w:p>
        </w:tc>
        <w:tc>
          <w:tcPr>
            <w:tcW w:w="519" w:type="dxa"/>
            <w:tcBorders>
              <w:bottom w:val="single" w:sz="4" w:space="0" w:color="FFFFFF"/>
            </w:tcBorders>
            <w:shd w:val="clear" w:color="auto" w:fill="FF0000"/>
            <w:vAlign w:val="center"/>
          </w:tcPr>
          <w:p w14:paraId="62945CC2" w14:textId="77777777" w:rsidR="00AB6155" w:rsidRDefault="00AB6155" w:rsidP="00DD3BAE">
            <w:pPr>
              <w:spacing w:before="0" w:after="0"/>
              <w:jc w:val="center"/>
              <w:rPr>
                <w:color w:val="000000"/>
                <w:sz w:val="20"/>
                <w:szCs w:val="20"/>
              </w:rPr>
            </w:pPr>
            <w:r>
              <w:rPr>
                <w:color w:val="000000"/>
                <w:sz w:val="20"/>
                <w:szCs w:val="20"/>
              </w:rPr>
              <w:t>13</w:t>
            </w:r>
          </w:p>
        </w:tc>
        <w:tc>
          <w:tcPr>
            <w:tcW w:w="519" w:type="dxa"/>
            <w:tcBorders>
              <w:bottom w:val="single" w:sz="4" w:space="0" w:color="FFFFFF"/>
            </w:tcBorders>
            <w:shd w:val="clear" w:color="auto" w:fill="FF0000"/>
            <w:vAlign w:val="center"/>
          </w:tcPr>
          <w:p w14:paraId="70B7620E" w14:textId="77777777" w:rsidR="00AB6155" w:rsidRPr="00273477" w:rsidRDefault="00AB6155" w:rsidP="00DD3BAE">
            <w:pPr>
              <w:spacing w:before="0" w:after="0"/>
              <w:jc w:val="center"/>
              <w:rPr>
                <w:sz w:val="20"/>
                <w:szCs w:val="20"/>
              </w:rPr>
            </w:pPr>
            <w:r w:rsidRPr="00273477">
              <w:rPr>
                <w:sz w:val="20"/>
                <w:szCs w:val="20"/>
              </w:rPr>
              <w:t>0</w:t>
            </w:r>
          </w:p>
        </w:tc>
      </w:tr>
      <w:tr w:rsidR="00AB6155" w:rsidRPr="00EC364C" w14:paraId="5D9E1341" w14:textId="77777777" w:rsidTr="005209EC">
        <w:trPr>
          <w:trHeight w:val="312"/>
          <w:jc w:val="center"/>
        </w:trPr>
        <w:tc>
          <w:tcPr>
            <w:tcW w:w="1303" w:type="dxa"/>
            <w:vMerge/>
            <w:shd w:val="clear" w:color="auto" w:fill="auto"/>
            <w:noWrap/>
            <w:vAlign w:val="center"/>
          </w:tcPr>
          <w:p w14:paraId="2B2D7742" w14:textId="77777777" w:rsidR="00AB6155" w:rsidRPr="00EC364C" w:rsidRDefault="00AB6155" w:rsidP="00DD3BAE">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14:paraId="0A44F78C"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coastal intertidal</w:t>
            </w:r>
          </w:p>
        </w:tc>
        <w:tc>
          <w:tcPr>
            <w:tcW w:w="620" w:type="dxa"/>
            <w:shd w:val="clear" w:color="auto" w:fill="FFCC00"/>
            <w:noWrap/>
            <w:vAlign w:val="center"/>
          </w:tcPr>
          <w:p w14:paraId="12D95DCD"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38</w:t>
            </w:r>
          </w:p>
        </w:tc>
        <w:tc>
          <w:tcPr>
            <w:tcW w:w="519" w:type="dxa"/>
            <w:shd w:val="clear" w:color="auto" w:fill="FF0000"/>
            <w:noWrap/>
            <w:vAlign w:val="center"/>
          </w:tcPr>
          <w:p w14:paraId="37F02DD5"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13</w:t>
            </w:r>
          </w:p>
        </w:tc>
        <w:tc>
          <w:tcPr>
            <w:tcW w:w="620" w:type="dxa"/>
            <w:shd w:val="clear" w:color="auto" w:fill="FFFF00"/>
            <w:noWrap/>
            <w:vAlign w:val="center"/>
          </w:tcPr>
          <w:p w14:paraId="141B0C3D"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50</w:t>
            </w:r>
          </w:p>
        </w:tc>
        <w:tc>
          <w:tcPr>
            <w:tcW w:w="761" w:type="dxa"/>
            <w:shd w:val="clear" w:color="auto" w:fill="FFCC00"/>
            <w:noWrap/>
            <w:vAlign w:val="center"/>
          </w:tcPr>
          <w:p w14:paraId="6CB13B0D"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25</w:t>
            </w:r>
          </w:p>
        </w:tc>
        <w:tc>
          <w:tcPr>
            <w:tcW w:w="761" w:type="dxa"/>
            <w:shd w:val="clear" w:color="auto" w:fill="FFCC00"/>
            <w:noWrap/>
            <w:vAlign w:val="center"/>
          </w:tcPr>
          <w:p w14:paraId="66335915"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25</w:t>
            </w:r>
          </w:p>
        </w:tc>
        <w:tc>
          <w:tcPr>
            <w:tcW w:w="519" w:type="dxa"/>
            <w:shd w:val="clear" w:color="auto" w:fill="auto"/>
            <w:noWrap/>
            <w:vAlign w:val="center"/>
          </w:tcPr>
          <w:p w14:paraId="5AED621B" w14:textId="77777777" w:rsidR="00AB6155" w:rsidRPr="005556A8" w:rsidRDefault="00AB6155" w:rsidP="00DD3BAE">
            <w:pPr>
              <w:spacing w:before="0" w:after="0"/>
              <w:jc w:val="center"/>
              <w:rPr>
                <w:color w:val="000000"/>
                <w:sz w:val="20"/>
                <w:szCs w:val="20"/>
                <w:lang w:eastAsia="en-AU"/>
              </w:rPr>
            </w:pPr>
          </w:p>
        </w:tc>
        <w:tc>
          <w:tcPr>
            <w:tcW w:w="519" w:type="dxa"/>
            <w:shd w:val="clear" w:color="auto" w:fill="FF0000"/>
            <w:noWrap/>
            <w:vAlign w:val="center"/>
          </w:tcPr>
          <w:p w14:paraId="5FD979BA"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vAlign w:val="center"/>
          </w:tcPr>
          <w:p w14:paraId="351FBF32"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vAlign w:val="center"/>
          </w:tcPr>
          <w:p w14:paraId="1DF6A6DA"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vAlign w:val="center"/>
          </w:tcPr>
          <w:p w14:paraId="1A6BA9D4" w14:textId="77777777" w:rsidR="00AB6155" w:rsidRPr="005556A8" w:rsidRDefault="00AB6155" w:rsidP="00DD3BAE">
            <w:pPr>
              <w:spacing w:before="0" w:after="0"/>
              <w:jc w:val="center"/>
              <w:rPr>
                <w:color w:val="000000"/>
                <w:sz w:val="20"/>
                <w:szCs w:val="20"/>
                <w:lang w:eastAsia="en-AU"/>
              </w:rPr>
            </w:pPr>
            <w:r>
              <w:rPr>
                <w:color w:val="000000"/>
                <w:sz w:val="20"/>
                <w:szCs w:val="20"/>
              </w:rPr>
              <w:t>0</w:t>
            </w:r>
          </w:p>
        </w:tc>
        <w:tc>
          <w:tcPr>
            <w:tcW w:w="519" w:type="dxa"/>
            <w:shd w:val="clear" w:color="auto" w:fill="FF0000"/>
            <w:vAlign w:val="center"/>
          </w:tcPr>
          <w:p w14:paraId="2F5ED912" w14:textId="77777777" w:rsidR="00AB6155" w:rsidRDefault="00AB6155" w:rsidP="00DD3BAE">
            <w:pPr>
              <w:spacing w:before="0" w:after="0"/>
              <w:jc w:val="center"/>
              <w:rPr>
                <w:color w:val="000000"/>
                <w:sz w:val="20"/>
                <w:szCs w:val="20"/>
              </w:rPr>
            </w:pPr>
            <w:r>
              <w:rPr>
                <w:color w:val="000000"/>
                <w:sz w:val="20"/>
                <w:szCs w:val="20"/>
              </w:rPr>
              <w:t>0</w:t>
            </w:r>
          </w:p>
        </w:tc>
        <w:tc>
          <w:tcPr>
            <w:tcW w:w="519" w:type="dxa"/>
            <w:shd w:val="clear" w:color="auto" w:fill="FF0000"/>
            <w:vAlign w:val="center"/>
          </w:tcPr>
          <w:p w14:paraId="64BA6413" w14:textId="77777777" w:rsidR="00AB6155" w:rsidRPr="00273477" w:rsidRDefault="00AB6155" w:rsidP="00DD3BAE">
            <w:pPr>
              <w:spacing w:before="0" w:after="0"/>
              <w:jc w:val="center"/>
              <w:rPr>
                <w:sz w:val="20"/>
                <w:szCs w:val="20"/>
              </w:rPr>
            </w:pPr>
            <w:r w:rsidRPr="00273477">
              <w:rPr>
                <w:sz w:val="20"/>
                <w:szCs w:val="20"/>
              </w:rPr>
              <w:t>0</w:t>
            </w:r>
          </w:p>
        </w:tc>
      </w:tr>
      <w:tr w:rsidR="00AB6155" w:rsidRPr="00EC364C" w14:paraId="614E377F" w14:textId="77777777" w:rsidTr="005209EC">
        <w:trPr>
          <w:trHeight w:val="312"/>
          <w:jc w:val="center"/>
        </w:trPr>
        <w:tc>
          <w:tcPr>
            <w:tcW w:w="1303" w:type="dxa"/>
            <w:vMerge/>
            <w:tcBorders>
              <w:bottom w:val="single" w:sz="4" w:space="0" w:color="000000"/>
            </w:tcBorders>
            <w:shd w:val="clear" w:color="auto" w:fill="auto"/>
            <w:noWrap/>
            <w:vAlign w:val="center"/>
          </w:tcPr>
          <w:p w14:paraId="1455831A" w14:textId="77777777" w:rsidR="00AB6155" w:rsidRPr="00EC364C" w:rsidRDefault="00AB6155" w:rsidP="00DD3BAE">
            <w:pPr>
              <w:spacing w:before="0" w:after="0"/>
              <w:rPr>
                <w:color w:val="000000"/>
                <w:sz w:val="20"/>
                <w:szCs w:val="20"/>
                <w:lang w:eastAsia="en-AU"/>
              </w:rPr>
            </w:pPr>
          </w:p>
        </w:tc>
        <w:tc>
          <w:tcPr>
            <w:tcW w:w="1840" w:type="dxa"/>
            <w:tcBorders>
              <w:top w:val="single" w:sz="4" w:space="0" w:color="FFFFFF"/>
              <w:bottom w:val="single" w:sz="4" w:space="0" w:color="000000"/>
            </w:tcBorders>
            <w:shd w:val="clear" w:color="auto" w:fill="auto"/>
            <w:noWrap/>
            <w:vAlign w:val="center"/>
          </w:tcPr>
          <w:p w14:paraId="2F9331CC"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reef intertidal</w:t>
            </w:r>
          </w:p>
        </w:tc>
        <w:tc>
          <w:tcPr>
            <w:tcW w:w="620" w:type="dxa"/>
            <w:tcBorders>
              <w:top w:val="single" w:sz="4" w:space="0" w:color="FFFFFF"/>
              <w:bottom w:val="single" w:sz="4" w:space="0" w:color="FFFFFF"/>
            </w:tcBorders>
            <w:shd w:val="clear" w:color="auto" w:fill="auto"/>
            <w:noWrap/>
            <w:vAlign w:val="center"/>
          </w:tcPr>
          <w:p w14:paraId="3CEA1F2C" w14:textId="77777777" w:rsidR="00AB6155" w:rsidRPr="005556A8" w:rsidRDefault="00AB6155" w:rsidP="00DD3BAE">
            <w:pPr>
              <w:spacing w:before="0" w:after="0"/>
              <w:jc w:val="center"/>
              <w:rPr>
                <w:color w:val="000000"/>
                <w:sz w:val="20"/>
                <w:szCs w:val="20"/>
                <w:lang w:eastAsia="en-AU"/>
              </w:rPr>
            </w:pPr>
          </w:p>
        </w:tc>
        <w:tc>
          <w:tcPr>
            <w:tcW w:w="519" w:type="dxa"/>
            <w:tcBorders>
              <w:top w:val="single" w:sz="4" w:space="0" w:color="FFFFFF"/>
              <w:bottom w:val="single" w:sz="4" w:space="0" w:color="FFFFFF"/>
            </w:tcBorders>
            <w:shd w:val="clear" w:color="auto" w:fill="auto"/>
            <w:noWrap/>
            <w:vAlign w:val="center"/>
          </w:tcPr>
          <w:p w14:paraId="7CBAC06F" w14:textId="77777777" w:rsidR="00AB6155" w:rsidRPr="005556A8" w:rsidRDefault="00AB6155" w:rsidP="00DD3BAE">
            <w:pPr>
              <w:spacing w:before="0" w:after="0"/>
              <w:jc w:val="center"/>
              <w:rPr>
                <w:color w:val="000000"/>
                <w:sz w:val="20"/>
                <w:szCs w:val="20"/>
                <w:lang w:eastAsia="en-AU"/>
              </w:rPr>
            </w:pPr>
          </w:p>
        </w:tc>
        <w:tc>
          <w:tcPr>
            <w:tcW w:w="620" w:type="dxa"/>
            <w:tcBorders>
              <w:top w:val="single" w:sz="4" w:space="0" w:color="FFFFFF"/>
              <w:bottom w:val="single" w:sz="4" w:space="0" w:color="FFFFFF"/>
            </w:tcBorders>
            <w:shd w:val="clear" w:color="auto" w:fill="FF0000"/>
            <w:noWrap/>
            <w:vAlign w:val="center"/>
          </w:tcPr>
          <w:p w14:paraId="23756048"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0000"/>
            <w:noWrap/>
            <w:vAlign w:val="center"/>
          </w:tcPr>
          <w:p w14:paraId="68FB6AAB"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FF00"/>
            <w:noWrap/>
            <w:vAlign w:val="center"/>
          </w:tcPr>
          <w:p w14:paraId="10380B06"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bottom w:val="single" w:sz="4" w:space="0" w:color="FFFFFF"/>
            </w:tcBorders>
            <w:shd w:val="clear" w:color="auto" w:fill="92D050"/>
            <w:noWrap/>
            <w:vAlign w:val="center"/>
          </w:tcPr>
          <w:p w14:paraId="510BA40B"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63</w:t>
            </w:r>
          </w:p>
        </w:tc>
        <w:tc>
          <w:tcPr>
            <w:tcW w:w="519" w:type="dxa"/>
            <w:tcBorders>
              <w:top w:val="single" w:sz="4" w:space="0" w:color="FFFFFF"/>
              <w:bottom w:val="single" w:sz="4" w:space="0" w:color="FFFFFF"/>
            </w:tcBorders>
            <w:shd w:val="clear" w:color="auto" w:fill="FF0000"/>
            <w:noWrap/>
            <w:vAlign w:val="center"/>
          </w:tcPr>
          <w:p w14:paraId="46A1230C"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bottom w:val="single" w:sz="4" w:space="0" w:color="FFFFFF"/>
            </w:tcBorders>
            <w:shd w:val="clear" w:color="auto" w:fill="FF0000"/>
            <w:vAlign w:val="center"/>
          </w:tcPr>
          <w:p w14:paraId="2ECA502A"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bottom w:val="single" w:sz="4" w:space="0" w:color="FFFFFF"/>
            </w:tcBorders>
            <w:shd w:val="clear" w:color="auto" w:fill="FF0000"/>
            <w:vAlign w:val="center"/>
          </w:tcPr>
          <w:p w14:paraId="227215B4" w14:textId="77777777" w:rsidR="00AB6155" w:rsidRPr="005556A8" w:rsidRDefault="00AB6155" w:rsidP="00DD3BA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bottom w:val="single" w:sz="4" w:space="0" w:color="FFFFFF"/>
            </w:tcBorders>
            <w:shd w:val="clear" w:color="auto" w:fill="FF0000"/>
            <w:vAlign w:val="center"/>
          </w:tcPr>
          <w:p w14:paraId="0DB767F2" w14:textId="77777777" w:rsidR="00AB6155" w:rsidRPr="005556A8" w:rsidRDefault="00AB6155" w:rsidP="00DD3BAE">
            <w:pPr>
              <w:spacing w:before="0" w:after="0"/>
              <w:jc w:val="center"/>
              <w:rPr>
                <w:color w:val="000000"/>
                <w:sz w:val="20"/>
                <w:szCs w:val="20"/>
                <w:lang w:eastAsia="en-AU"/>
              </w:rPr>
            </w:pPr>
            <w:r>
              <w:rPr>
                <w:color w:val="000000"/>
                <w:sz w:val="20"/>
                <w:szCs w:val="20"/>
              </w:rPr>
              <w:t>0</w:t>
            </w:r>
          </w:p>
        </w:tc>
        <w:tc>
          <w:tcPr>
            <w:tcW w:w="519" w:type="dxa"/>
            <w:tcBorders>
              <w:top w:val="single" w:sz="4" w:space="0" w:color="FFFFFF"/>
              <w:bottom w:val="single" w:sz="4" w:space="0" w:color="FFFFFF"/>
            </w:tcBorders>
            <w:shd w:val="clear" w:color="auto" w:fill="FF0000"/>
            <w:vAlign w:val="center"/>
          </w:tcPr>
          <w:p w14:paraId="501B6250" w14:textId="77777777" w:rsidR="00AB6155" w:rsidRDefault="00AB6155" w:rsidP="00DD3BAE">
            <w:pPr>
              <w:spacing w:before="0" w:after="0"/>
              <w:jc w:val="center"/>
              <w:rPr>
                <w:color w:val="000000"/>
                <w:sz w:val="20"/>
                <w:szCs w:val="20"/>
              </w:rPr>
            </w:pPr>
            <w:r>
              <w:rPr>
                <w:color w:val="000000"/>
                <w:sz w:val="20"/>
                <w:szCs w:val="20"/>
              </w:rPr>
              <w:t>0</w:t>
            </w:r>
          </w:p>
        </w:tc>
        <w:tc>
          <w:tcPr>
            <w:tcW w:w="519" w:type="dxa"/>
            <w:tcBorders>
              <w:top w:val="single" w:sz="4" w:space="0" w:color="FFFFFF"/>
              <w:bottom w:val="single" w:sz="4" w:space="0" w:color="FFFFFF"/>
            </w:tcBorders>
            <w:shd w:val="clear" w:color="auto" w:fill="FF0000"/>
            <w:vAlign w:val="center"/>
          </w:tcPr>
          <w:p w14:paraId="45978821" w14:textId="77777777" w:rsidR="00AB6155" w:rsidRPr="00273477" w:rsidRDefault="00AB6155" w:rsidP="00DD3BAE">
            <w:pPr>
              <w:spacing w:before="0" w:after="0"/>
              <w:jc w:val="center"/>
              <w:rPr>
                <w:sz w:val="20"/>
                <w:szCs w:val="20"/>
              </w:rPr>
            </w:pPr>
            <w:r w:rsidRPr="00273477">
              <w:rPr>
                <w:sz w:val="20"/>
                <w:szCs w:val="20"/>
              </w:rPr>
              <w:t>0</w:t>
            </w:r>
          </w:p>
        </w:tc>
      </w:tr>
      <w:tr w:rsidR="00AB6155" w:rsidRPr="00EC364C" w14:paraId="408E1648" w14:textId="77777777" w:rsidTr="005209EC">
        <w:trPr>
          <w:trHeight w:val="312"/>
          <w:jc w:val="center"/>
        </w:trPr>
        <w:tc>
          <w:tcPr>
            <w:tcW w:w="1303" w:type="dxa"/>
            <w:vMerge w:val="restart"/>
            <w:tcBorders>
              <w:top w:val="single" w:sz="4" w:space="0" w:color="000000"/>
            </w:tcBorders>
            <w:shd w:val="clear" w:color="auto" w:fill="auto"/>
            <w:noWrap/>
            <w:vAlign w:val="center"/>
          </w:tcPr>
          <w:p w14:paraId="10B3F75B" w14:textId="77777777" w:rsidR="00AB6155" w:rsidRDefault="00AB6155" w:rsidP="00DD3BAE">
            <w:pPr>
              <w:spacing w:before="0" w:after="0"/>
              <w:rPr>
                <w:color w:val="000000"/>
                <w:sz w:val="20"/>
                <w:szCs w:val="20"/>
                <w:lang w:eastAsia="en-AU"/>
              </w:rPr>
            </w:pPr>
            <w:r>
              <w:rPr>
                <w:color w:val="000000"/>
                <w:sz w:val="20"/>
                <w:szCs w:val="20"/>
                <w:lang w:eastAsia="en-AU"/>
              </w:rPr>
              <w:t>Leaf tissue</w:t>
            </w:r>
          </w:p>
          <w:p w14:paraId="632506F8" w14:textId="77777777" w:rsidR="00AB6155" w:rsidRPr="00EC364C" w:rsidRDefault="00AB6155" w:rsidP="00DD3BAE">
            <w:pPr>
              <w:spacing w:before="0" w:after="0"/>
              <w:rPr>
                <w:color w:val="000000"/>
                <w:sz w:val="20"/>
                <w:szCs w:val="20"/>
                <w:lang w:eastAsia="en-AU"/>
              </w:rPr>
            </w:pPr>
            <w:r>
              <w:rPr>
                <w:color w:val="000000"/>
                <w:sz w:val="20"/>
                <w:szCs w:val="20"/>
                <w:lang w:eastAsia="en-AU"/>
              </w:rPr>
              <w:t>nutrients</w:t>
            </w:r>
          </w:p>
        </w:tc>
        <w:tc>
          <w:tcPr>
            <w:tcW w:w="1840" w:type="dxa"/>
            <w:tcBorders>
              <w:top w:val="single" w:sz="4" w:space="0" w:color="000000"/>
              <w:bottom w:val="single" w:sz="4" w:space="0" w:color="FFFFFF"/>
            </w:tcBorders>
            <w:shd w:val="clear" w:color="auto" w:fill="auto"/>
            <w:noWrap/>
            <w:vAlign w:val="center"/>
          </w:tcPr>
          <w:p w14:paraId="1E8938AE"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estuarine intertidal</w:t>
            </w:r>
          </w:p>
        </w:tc>
        <w:tc>
          <w:tcPr>
            <w:tcW w:w="620" w:type="dxa"/>
            <w:tcBorders>
              <w:bottom w:val="single" w:sz="4" w:space="0" w:color="FFFFFF"/>
            </w:tcBorders>
            <w:shd w:val="clear" w:color="auto" w:fill="auto"/>
            <w:noWrap/>
            <w:vAlign w:val="center"/>
          </w:tcPr>
          <w:p w14:paraId="115023DC" w14:textId="77777777" w:rsidR="00AB6155" w:rsidRPr="002D209A" w:rsidRDefault="00AB6155" w:rsidP="00DD3BAE">
            <w:pPr>
              <w:spacing w:before="0" w:after="0"/>
              <w:jc w:val="center"/>
              <w:rPr>
                <w:color w:val="000000"/>
                <w:sz w:val="20"/>
                <w:szCs w:val="20"/>
                <w:lang w:eastAsia="en-AU"/>
              </w:rPr>
            </w:pPr>
          </w:p>
        </w:tc>
        <w:tc>
          <w:tcPr>
            <w:tcW w:w="519" w:type="dxa"/>
            <w:tcBorders>
              <w:bottom w:val="single" w:sz="4" w:space="0" w:color="FFFFFF"/>
            </w:tcBorders>
            <w:shd w:val="clear" w:color="auto" w:fill="FFFF00"/>
            <w:noWrap/>
            <w:vAlign w:val="center"/>
          </w:tcPr>
          <w:p w14:paraId="4A7C6EAF"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58</w:t>
            </w:r>
          </w:p>
        </w:tc>
        <w:tc>
          <w:tcPr>
            <w:tcW w:w="620" w:type="dxa"/>
            <w:tcBorders>
              <w:bottom w:val="single" w:sz="4" w:space="0" w:color="FFFFFF"/>
            </w:tcBorders>
            <w:shd w:val="clear" w:color="auto" w:fill="FFFF00"/>
            <w:noWrap/>
            <w:vAlign w:val="center"/>
          </w:tcPr>
          <w:p w14:paraId="22AF1F85"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46</w:t>
            </w:r>
          </w:p>
        </w:tc>
        <w:tc>
          <w:tcPr>
            <w:tcW w:w="761" w:type="dxa"/>
            <w:tcBorders>
              <w:bottom w:val="single" w:sz="4" w:space="0" w:color="FFFFFF"/>
            </w:tcBorders>
            <w:shd w:val="clear" w:color="auto" w:fill="FFCC00"/>
            <w:noWrap/>
            <w:vAlign w:val="center"/>
          </w:tcPr>
          <w:p w14:paraId="3358F308"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37</w:t>
            </w:r>
          </w:p>
        </w:tc>
        <w:tc>
          <w:tcPr>
            <w:tcW w:w="761" w:type="dxa"/>
            <w:tcBorders>
              <w:bottom w:val="single" w:sz="4" w:space="0" w:color="FFFFFF"/>
            </w:tcBorders>
            <w:shd w:val="clear" w:color="auto" w:fill="92D050"/>
            <w:noWrap/>
            <w:vAlign w:val="center"/>
          </w:tcPr>
          <w:p w14:paraId="767038D8"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67</w:t>
            </w:r>
          </w:p>
        </w:tc>
        <w:tc>
          <w:tcPr>
            <w:tcW w:w="519" w:type="dxa"/>
            <w:tcBorders>
              <w:bottom w:val="single" w:sz="4" w:space="0" w:color="FFFFFF"/>
            </w:tcBorders>
            <w:shd w:val="clear" w:color="auto" w:fill="92D050"/>
            <w:noWrap/>
            <w:vAlign w:val="center"/>
          </w:tcPr>
          <w:p w14:paraId="4A41A67C"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66</w:t>
            </w:r>
          </w:p>
        </w:tc>
        <w:tc>
          <w:tcPr>
            <w:tcW w:w="519" w:type="dxa"/>
            <w:tcBorders>
              <w:bottom w:val="single" w:sz="4" w:space="0" w:color="FFFFFF"/>
            </w:tcBorders>
            <w:shd w:val="clear" w:color="auto" w:fill="008000"/>
            <w:noWrap/>
            <w:vAlign w:val="center"/>
          </w:tcPr>
          <w:p w14:paraId="539CD22A"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85</w:t>
            </w:r>
          </w:p>
        </w:tc>
        <w:tc>
          <w:tcPr>
            <w:tcW w:w="519" w:type="dxa"/>
            <w:tcBorders>
              <w:bottom w:val="single" w:sz="4" w:space="0" w:color="FFFFFF"/>
            </w:tcBorders>
            <w:shd w:val="clear" w:color="auto" w:fill="92D050"/>
            <w:vAlign w:val="center"/>
          </w:tcPr>
          <w:p w14:paraId="42377D69"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62</w:t>
            </w:r>
          </w:p>
        </w:tc>
        <w:tc>
          <w:tcPr>
            <w:tcW w:w="519" w:type="dxa"/>
            <w:tcBorders>
              <w:bottom w:val="single" w:sz="4" w:space="0" w:color="FFFFFF"/>
            </w:tcBorders>
            <w:shd w:val="clear" w:color="auto" w:fill="FFCC00"/>
            <w:vAlign w:val="center"/>
          </w:tcPr>
          <w:p w14:paraId="65D2EB0D"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33</w:t>
            </w:r>
          </w:p>
        </w:tc>
        <w:tc>
          <w:tcPr>
            <w:tcW w:w="519" w:type="dxa"/>
            <w:tcBorders>
              <w:bottom w:val="single" w:sz="4" w:space="0" w:color="FFFFFF"/>
            </w:tcBorders>
            <w:shd w:val="clear" w:color="auto" w:fill="FFFF00"/>
            <w:vAlign w:val="center"/>
          </w:tcPr>
          <w:p w14:paraId="67903D9E" w14:textId="77777777" w:rsidR="00AB6155" w:rsidRPr="002D209A" w:rsidRDefault="00AB6155" w:rsidP="00DD3BAE">
            <w:pPr>
              <w:spacing w:before="0" w:after="0"/>
              <w:jc w:val="center"/>
              <w:rPr>
                <w:color w:val="000000"/>
                <w:sz w:val="20"/>
                <w:szCs w:val="20"/>
                <w:lang w:eastAsia="en-AU"/>
              </w:rPr>
            </w:pPr>
            <w:r>
              <w:rPr>
                <w:color w:val="000000"/>
                <w:sz w:val="20"/>
                <w:szCs w:val="20"/>
              </w:rPr>
              <w:t>42</w:t>
            </w:r>
          </w:p>
        </w:tc>
        <w:tc>
          <w:tcPr>
            <w:tcW w:w="519" w:type="dxa"/>
            <w:tcBorders>
              <w:bottom w:val="single" w:sz="4" w:space="0" w:color="FFFFFF"/>
            </w:tcBorders>
            <w:shd w:val="clear" w:color="auto" w:fill="FFFF00"/>
            <w:vAlign w:val="center"/>
          </w:tcPr>
          <w:p w14:paraId="2398C5D2" w14:textId="77777777" w:rsidR="00AB6155" w:rsidRDefault="00AB6155" w:rsidP="00DD3BAE">
            <w:pPr>
              <w:spacing w:before="0" w:after="0"/>
              <w:jc w:val="center"/>
              <w:rPr>
                <w:color w:val="000000"/>
                <w:sz w:val="20"/>
                <w:szCs w:val="20"/>
              </w:rPr>
            </w:pPr>
            <w:r>
              <w:rPr>
                <w:color w:val="000000"/>
                <w:sz w:val="20"/>
                <w:szCs w:val="20"/>
              </w:rPr>
              <w:t>47</w:t>
            </w:r>
          </w:p>
        </w:tc>
        <w:tc>
          <w:tcPr>
            <w:tcW w:w="519" w:type="dxa"/>
            <w:tcBorders>
              <w:bottom w:val="single" w:sz="4" w:space="0" w:color="FFFFFF"/>
            </w:tcBorders>
            <w:shd w:val="clear" w:color="auto" w:fill="FFFF00"/>
            <w:vAlign w:val="center"/>
          </w:tcPr>
          <w:p w14:paraId="36E9C096" w14:textId="77777777" w:rsidR="00AB6155" w:rsidRPr="00273477" w:rsidRDefault="00AB6155" w:rsidP="00DD3BAE">
            <w:pPr>
              <w:spacing w:before="0" w:after="0"/>
              <w:jc w:val="center"/>
              <w:rPr>
                <w:sz w:val="20"/>
                <w:szCs w:val="20"/>
              </w:rPr>
            </w:pPr>
            <w:r w:rsidRPr="00273477">
              <w:rPr>
                <w:sz w:val="20"/>
                <w:szCs w:val="20"/>
              </w:rPr>
              <w:t>52</w:t>
            </w:r>
          </w:p>
        </w:tc>
      </w:tr>
      <w:tr w:rsidR="00AB6155" w:rsidRPr="00EC364C" w14:paraId="4E3D9150" w14:textId="77777777" w:rsidTr="005209EC">
        <w:trPr>
          <w:trHeight w:val="312"/>
          <w:jc w:val="center"/>
        </w:trPr>
        <w:tc>
          <w:tcPr>
            <w:tcW w:w="1303" w:type="dxa"/>
            <w:vMerge/>
            <w:shd w:val="clear" w:color="auto" w:fill="auto"/>
            <w:noWrap/>
            <w:vAlign w:val="center"/>
          </w:tcPr>
          <w:p w14:paraId="25F98F31" w14:textId="77777777" w:rsidR="00AB6155" w:rsidRPr="00EC364C" w:rsidRDefault="00AB6155" w:rsidP="00DD3BAE">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14:paraId="71F705C4"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coastal intertidal</w:t>
            </w:r>
          </w:p>
        </w:tc>
        <w:tc>
          <w:tcPr>
            <w:tcW w:w="620" w:type="dxa"/>
            <w:shd w:val="clear" w:color="auto" w:fill="92D050"/>
            <w:noWrap/>
            <w:vAlign w:val="center"/>
          </w:tcPr>
          <w:p w14:paraId="2CA52E89"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79</w:t>
            </w:r>
          </w:p>
        </w:tc>
        <w:tc>
          <w:tcPr>
            <w:tcW w:w="519" w:type="dxa"/>
            <w:shd w:val="clear" w:color="auto" w:fill="92D050"/>
            <w:noWrap/>
            <w:vAlign w:val="center"/>
          </w:tcPr>
          <w:p w14:paraId="57F6FAD6"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74</w:t>
            </w:r>
          </w:p>
        </w:tc>
        <w:tc>
          <w:tcPr>
            <w:tcW w:w="620" w:type="dxa"/>
            <w:shd w:val="clear" w:color="auto" w:fill="92D050"/>
            <w:noWrap/>
            <w:vAlign w:val="center"/>
          </w:tcPr>
          <w:p w14:paraId="3901BF01"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75</w:t>
            </w:r>
          </w:p>
        </w:tc>
        <w:tc>
          <w:tcPr>
            <w:tcW w:w="761" w:type="dxa"/>
            <w:shd w:val="clear" w:color="auto" w:fill="92D050"/>
            <w:noWrap/>
            <w:vAlign w:val="center"/>
          </w:tcPr>
          <w:p w14:paraId="13096C59"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65</w:t>
            </w:r>
          </w:p>
        </w:tc>
        <w:tc>
          <w:tcPr>
            <w:tcW w:w="761" w:type="dxa"/>
            <w:shd w:val="clear" w:color="auto" w:fill="92D050"/>
            <w:noWrap/>
            <w:vAlign w:val="center"/>
          </w:tcPr>
          <w:p w14:paraId="6B8E43C8"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69</w:t>
            </w:r>
          </w:p>
        </w:tc>
        <w:tc>
          <w:tcPr>
            <w:tcW w:w="519" w:type="dxa"/>
            <w:shd w:val="clear" w:color="auto" w:fill="FFFF00"/>
            <w:noWrap/>
            <w:vAlign w:val="center"/>
          </w:tcPr>
          <w:p w14:paraId="4BCB4B5D"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41</w:t>
            </w:r>
          </w:p>
        </w:tc>
        <w:tc>
          <w:tcPr>
            <w:tcW w:w="519" w:type="dxa"/>
            <w:shd w:val="clear" w:color="auto" w:fill="FFFF00"/>
            <w:noWrap/>
            <w:vAlign w:val="center"/>
          </w:tcPr>
          <w:p w14:paraId="5117046D"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46</w:t>
            </w:r>
          </w:p>
        </w:tc>
        <w:tc>
          <w:tcPr>
            <w:tcW w:w="519" w:type="dxa"/>
            <w:shd w:val="clear" w:color="auto" w:fill="FFFF00"/>
            <w:vAlign w:val="center"/>
          </w:tcPr>
          <w:p w14:paraId="7B11BB09"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41</w:t>
            </w:r>
          </w:p>
        </w:tc>
        <w:tc>
          <w:tcPr>
            <w:tcW w:w="519" w:type="dxa"/>
            <w:shd w:val="clear" w:color="auto" w:fill="92D050"/>
            <w:vAlign w:val="center"/>
          </w:tcPr>
          <w:p w14:paraId="7241489E"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67</w:t>
            </w:r>
          </w:p>
        </w:tc>
        <w:tc>
          <w:tcPr>
            <w:tcW w:w="519" w:type="dxa"/>
            <w:shd w:val="clear" w:color="auto" w:fill="FFCC00"/>
            <w:vAlign w:val="center"/>
          </w:tcPr>
          <w:p w14:paraId="4D8BDB72" w14:textId="77777777" w:rsidR="00AB6155" w:rsidRPr="002D209A" w:rsidRDefault="00AB6155" w:rsidP="00DD3BAE">
            <w:pPr>
              <w:spacing w:before="0" w:after="0"/>
              <w:jc w:val="center"/>
              <w:rPr>
                <w:color w:val="000000"/>
                <w:sz w:val="20"/>
                <w:szCs w:val="20"/>
                <w:lang w:eastAsia="en-AU"/>
              </w:rPr>
            </w:pPr>
            <w:r>
              <w:rPr>
                <w:color w:val="000000"/>
                <w:sz w:val="20"/>
                <w:szCs w:val="20"/>
              </w:rPr>
              <w:t>33</w:t>
            </w:r>
          </w:p>
        </w:tc>
        <w:tc>
          <w:tcPr>
            <w:tcW w:w="519" w:type="dxa"/>
            <w:shd w:val="clear" w:color="auto" w:fill="FFCC00"/>
            <w:vAlign w:val="center"/>
          </w:tcPr>
          <w:p w14:paraId="096E7C9C" w14:textId="77777777" w:rsidR="00AB6155" w:rsidRDefault="00AB6155" w:rsidP="00DD3BAE">
            <w:pPr>
              <w:spacing w:before="0" w:after="0"/>
              <w:jc w:val="center"/>
              <w:rPr>
                <w:color w:val="000000"/>
                <w:sz w:val="20"/>
                <w:szCs w:val="20"/>
              </w:rPr>
            </w:pPr>
            <w:r>
              <w:rPr>
                <w:color w:val="000000"/>
                <w:sz w:val="20"/>
                <w:szCs w:val="20"/>
              </w:rPr>
              <w:t>30</w:t>
            </w:r>
          </w:p>
        </w:tc>
        <w:tc>
          <w:tcPr>
            <w:tcW w:w="519" w:type="dxa"/>
            <w:shd w:val="clear" w:color="auto" w:fill="FFFF00"/>
            <w:vAlign w:val="center"/>
          </w:tcPr>
          <w:p w14:paraId="6EAF1821" w14:textId="77777777" w:rsidR="00AB6155" w:rsidRPr="00273477" w:rsidRDefault="00AB6155" w:rsidP="00DD3BAE">
            <w:pPr>
              <w:spacing w:before="0" w:after="0"/>
              <w:jc w:val="center"/>
              <w:rPr>
                <w:sz w:val="20"/>
                <w:szCs w:val="20"/>
              </w:rPr>
            </w:pPr>
            <w:r w:rsidRPr="00273477">
              <w:rPr>
                <w:sz w:val="20"/>
                <w:szCs w:val="20"/>
              </w:rPr>
              <w:t>44</w:t>
            </w:r>
          </w:p>
        </w:tc>
      </w:tr>
      <w:tr w:rsidR="00AB6155" w:rsidRPr="00EC364C" w14:paraId="3A596C9F" w14:textId="77777777" w:rsidTr="005209EC">
        <w:trPr>
          <w:trHeight w:val="312"/>
          <w:jc w:val="center"/>
        </w:trPr>
        <w:tc>
          <w:tcPr>
            <w:tcW w:w="1303" w:type="dxa"/>
            <w:vMerge/>
            <w:tcBorders>
              <w:bottom w:val="single" w:sz="4" w:space="0" w:color="000000"/>
            </w:tcBorders>
            <w:shd w:val="clear" w:color="auto" w:fill="auto"/>
            <w:noWrap/>
            <w:vAlign w:val="center"/>
          </w:tcPr>
          <w:p w14:paraId="2AFC967C" w14:textId="77777777" w:rsidR="00AB6155" w:rsidRPr="00EC364C" w:rsidRDefault="00AB6155" w:rsidP="00DD3BAE">
            <w:pPr>
              <w:spacing w:before="0" w:after="0"/>
              <w:rPr>
                <w:color w:val="000000"/>
                <w:sz w:val="20"/>
                <w:szCs w:val="20"/>
                <w:lang w:eastAsia="en-AU"/>
              </w:rPr>
            </w:pPr>
          </w:p>
        </w:tc>
        <w:tc>
          <w:tcPr>
            <w:tcW w:w="1840" w:type="dxa"/>
            <w:tcBorders>
              <w:top w:val="single" w:sz="4" w:space="0" w:color="FFFFFF"/>
              <w:bottom w:val="single" w:sz="4" w:space="0" w:color="000000"/>
            </w:tcBorders>
            <w:shd w:val="clear" w:color="auto" w:fill="auto"/>
            <w:noWrap/>
            <w:vAlign w:val="center"/>
          </w:tcPr>
          <w:p w14:paraId="3725E685" w14:textId="77777777" w:rsidR="00AB6155" w:rsidRPr="00EC364C" w:rsidRDefault="00AB6155" w:rsidP="00DD3BAE">
            <w:pPr>
              <w:spacing w:before="0" w:after="0"/>
              <w:rPr>
                <w:color w:val="000000"/>
                <w:sz w:val="20"/>
                <w:szCs w:val="20"/>
                <w:lang w:eastAsia="en-AU"/>
              </w:rPr>
            </w:pPr>
            <w:r w:rsidRPr="00EC364C">
              <w:rPr>
                <w:color w:val="000000"/>
                <w:sz w:val="20"/>
                <w:szCs w:val="20"/>
                <w:lang w:eastAsia="en-AU"/>
              </w:rPr>
              <w:t>reef intertidal</w:t>
            </w:r>
          </w:p>
        </w:tc>
        <w:tc>
          <w:tcPr>
            <w:tcW w:w="620" w:type="dxa"/>
            <w:tcBorders>
              <w:top w:val="single" w:sz="4" w:space="0" w:color="FFFFFF"/>
            </w:tcBorders>
            <w:shd w:val="clear" w:color="auto" w:fill="auto"/>
            <w:noWrap/>
            <w:vAlign w:val="center"/>
          </w:tcPr>
          <w:p w14:paraId="44093D21" w14:textId="77777777" w:rsidR="00AB6155" w:rsidRPr="002D209A" w:rsidRDefault="00AB6155" w:rsidP="00DD3BA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317AF966" w14:textId="77777777" w:rsidR="00AB6155" w:rsidRPr="002D209A" w:rsidRDefault="00AB6155" w:rsidP="00DD3BAE">
            <w:pPr>
              <w:spacing w:before="0" w:after="0"/>
              <w:jc w:val="center"/>
              <w:rPr>
                <w:color w:val="000000"/>
                <w:sz w:val="20"/>
                <w:szCs w:val="20"/>
                <w:lang w:eastAsia="en-AU"/>
              </w:rPr>
            </w:pPr>
          </w:p>
        </w:tc>
        <w:tc>
          <w:tcPr>
            <w:tcW w:w="620" w:type="dxa"/>
            <w:tcBorders>
              <w:top w:val="single" w:sz="4" w:space="0" w:color="FFFFFF"/>
            </w:tcBorders>
            <w:shd w:val="clear" w:color="auto" w:fill="FF0000"/>
            <w:noWrap/>
            <w:vAlign w:val="center"/>
          </w:tcPr>
          <w:p w14:paraId="55BE92CC"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20</w:t>
            </w:r>
          </w:p>
        </w:tc>
        <w:tc>
          <w:tcPr>
            <w:tcW w:w="761" w:type="dxa"/>
            <w:tcBorders>
              <w:top w:val="single" w:sz="4" w:space="0" w:color="FFFFFF"/>
            </w:tcBorders>
            <w:shd w:val="clear" w:color="auto" w:fill="FFCC00"/>
            <w:noWrap/>
            <w:vAlign w:val="center"/>
          </w:tcPr>
          <w:p w14:paraId="0B1286A9"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25</w:t>
            </w:r>
          </w:p>
        </w:tc>
        <w:tc>
          <w:tcPr>
            <w:tcW w:w="761" w:type="dxa"/>
            <w:tcBorders>
              <w:top w:val="single" w:sz="4" w:space="0" w:color="FFFFFF"/>
            </w:tcBorders>
            <w:shd w:val="clear" w:color="auto" w:fill="FFCC00"/>
            <w:noWrap/>
            <w:vAlign w:val="center"/>
          </w:tcPr>
          <w:p w14:paraId="60C4C01C"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34</w:t>
            </w:r>
          </w:p>
        </w:tc>
        <w:tc>
          <w:tcPr>
            <w:tcW w:w="519" w:type="dxa"/>
            <w:tcBorders>
              <w:top w:val="single" w:sz="4" w:space="0" w:color="FFFFFF"/>
            </w:tcBorders>
            <w:shd w:val="clear" w:color="auto" w:fill="FFCC00"/>
            <w:noWrap/>
            <w:vAlign w:val="center"/>
          </w:tcPr>
          <w:p w14:paraId="770ACD48"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23</w:t>
            </w:r>
          </w:p>
        </w:tc>
        <w:tc>
          <w:tcPr>
            <w:tcW w:w="519" w:type="dxa"/>
            <w:tcBorders>
              <w:top w:val="single" w:sz="4" w:space="0" w:color="FFFFFF"/>
            </w:tcBorders>
            <w:shd w:val="clear" w:color="auto" w:fill="FF0000"/>
            <w:noWrap/>
            <w:vAlign w:val="center"/>
          </w:tcPr>
          <w:p w14:paraId="74723E8F"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17</w:t>
            </w:r>
          </w:p>
        </w:tc>
        <w:tc>
          <w:tcPr>
            <w:tcW w:w="519" w:type="dxa"/>
            <w:tcBorders>
              <w:top w:val="single" w:sz="4" w:space="0" w:color="FFFFFF"/>
            </w:tcBorders>
            <w:shd w:val="clear" w:color="auto" w:fill="FFCC00"/>
            <w:vAlign w:val="center"/>
          </w:tcPr>
          <w:p w14:paraId="5DD6FA72"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21</w:t>
            </w:r>
          </w:p>
        </w:tc>
        <w:tc>
          <w:tcPr>
            <w:tcW w:w="519" w:type="dxa"/>
            <w:tcBorders>
              <w:top w:val="single" w:sz="4" w:space="0" w:color="FFFFFF"/>
            </w:tcBorders>
            <w:shd w:val="clear" w:color="auto" w:fill="FFFF00"/>
            <w:vAlign w:val="center"/>
          </w:tcPr>
          <w:p w14:paraId="1B52C30E" w14:textId="77777777" w:rsidR="00AB6155" w:rsidRPr="002D209A" w:rsidRDefault="00AB6155" w:rsidP="00DD3BAE">
            <w:pPr>
              <w:spacing w:before="0" w:after="0"/>
              <w:jc w:val="center"/>
              <w:rPr>
                <w:color w:val="000000"/>
                <w:sz w:val="20"/>
                <w:szCs w:val="20"/>
                <w:lang w:eastAsia="en-AU"/>
              </w:rPr>
            </w:pPr>
            <w:r w:rsidRPr="002D209A">
              <w:rPr>
                <w:color w:val="000000"/>
                <w:sz w:val="20"/>
                <w:szCs w:val="20"/>
                <w:lang w:eastAsia="en-AU"/>
              </w:rPr>
              <w:t>41</w:t>
            </w:r>
          </w:p>
        </w:tc>
        <w:tc>
          <w:tcPr>
            <w:tcW w:w="519" w:type="dxa"/>
            <w:tcBorders>
              <w:top w:val="single" w:sz="4" w:space="0" w:color="FFFFFF"/>
            </w:tcBorders>
            <w:shd w:val="clear" w:color="auto" w:fill="FFCC00"/>
            <w:vAlign w:val="center"/>
          </w:tcPr>
          <w:p w14:paraId="5111A92E" w14:textId="77777777" w:rsidR="00AB6155" w:rsidRPr="002D209A" w:rsidRDefault="00AB6155" w:rsidP="00DD3BAE">
            <w:pPr>
              <w:spacing w:before="0" w:after="0"/>
              <w:jc w:val="center"/>
              <w:rPr>
                <w:color w:val="000000"/>
                <w:sz w:val="20"/>
                <w:szCs w:val="20"/>
                <w:lang w:eastAsia="en-AU"/>
              </w:rPr>
            </w:pPr>
            <w:r>
              <w:rPr>
                <w:color w:val="000000"/>
                <w:sz w:val="20"/>
                <w:szCs w:val="20"/>
              </w:rPr>
              <w:t>31</w:t>
            </w:r>
          </w:p>
        </w:tc>
        <w:tc>
          <w:tcPr>
            <w:tcW w:w="519" w:type="dxa"/>
            <w:tcBorders>
              <w:top w:val="single" w:sz="4" w:space="0" w:color="FFFFFF"/>
            </w:tcBorders>
            <w:shd w:val="clear" w:color="auto" w:fill="FFCC00"/>
            <w:vAlign w:val="center"/>
          </w:tcPr>
          <w:p w14:paraId="2D943349" w14:textId="77777777" w:rsidR="00AB6155" w:rsidRDefault="00AB6155" w:rsidP="00DD3BAE">
            <w:pPr>
              <w:spacing w:before="0" w:after="0"/>
              <w:jc w:val="center"/>
              <w:rPr>
                <w:color w:val="000000"/>
                <w:sz w:val="20"/>
                <w:szCs w:val="20"/>
              </w:rPr>
            </w:pPr>
            <w:r>
              <w:rPr>
                <w:color w:val="000000"/>
                <w:sz w:val="20"/>
                <w:szCs w:val="20"/>
              </w:rPr>
              <w:t>31</w:t>
            </w:r>
          </w:p>
        </w:tc>
        <w:tc>
          <w:tcPr>
            <w:tcW w:w="519" w:type="dxa"/>
            <w:tcBorders>
              <w:top w:val="single" w:sz="4" w:space="0" w:color="FFFFFF"/>
            </w:tcBorders>
            <w:shd w:val="clear" w:color="auto" w:fill="FFCC00"/>
            <w:vAlign w:val="center"/>
          </w:tcPr>
          <w:p w14:paraId="29804EBD" w14:textId="77777777" w:rsidR="00AB6155" w:rsidRPr="00273477" w:rsidRDefault="00AB6155" w:rsidP="00DD3BAE">
            <w:pPr>
              <w:spacing w:before="0" w:after="0"/>
              <w:jc w:val="center"/>
              <w:rPr>
                <w:sz w:val="20"/>
                <w:szCs w:val="20"/>
              </w:rPr>
            </w:pPr>
            <w:r w:rsidRPr="00273477">
              <w:rPr>
                <w:sz w:val="20"/>
                <w:szCs w:val="20"/>
              </w:rPr>
              <w:t>35</w:t>
            </w:r>
          </w:p>
        </w:tc>
      </w:tr>
      <w:tr w:rsidR="00AB6155" w:rsidRPr="002D209A" w14:paraId="21266009" w14:textId="77777777" w:rsidTr="005209EC">
        <w:trPr>
          <w:trHeight w:val="312"/>
          <w:jc w:val="center"/>
        </w:trPr>
        <w:tc>
          <w:tcPr>
            <w:tcW w:w="3143" w:type="dxa"/>
            <w:gridSpan w:val="2"/>
            <w:tcBorders>
              <w:top w:val="single" w:sz="4" w:space="0" w:color="000000"/>
              <w:bottom w:val="single" w:sz="4" w:space="0" w:color="000000"/>
            </w:tcBorders>
            <w:shd w:val="clear" w:color="auto" w:fill="auto"/>
            <w:noWrap/>
            <w:vAlign w:val="center"/>
          </w:tcPr>
          <w:p w14:paraId="13A8DFF0" w14:textId="77777777" w:rsidR="00AB6155" w:rsidRPr="002D209A" w:rsidRDefault="00AB6155" w:rsidP="00DD3BAE">
            <w:pPr>
              <w:spacing w:before="0" w:after="0"/>
              <w:rPr>
                <w:b/>
                <w:color w:val="000000"/>
                <w:sz w:val="20"/>
                <w:szCs w:val="20"/>
                <w:lang w:eastAsia="en-AU"/>
              </w:rPr>
            </w:pPr>
            <w:r>
              <w:rPr>
                <w:b/>
                <w:color w:val="000000"/>
                <w:sz w:val="20"/>
                <w:szCs w:val="20"/>
                <w:lang w:eastAsia="en-AU"/>
              </w:rPr>
              <w:t>Seagrass Index</w:t>
            </w:r>
          </w:p>
        </w:tc>
        <w:tc>
          <w:tcPr>
            <w:tcW w:w="620" w:type="dxa"/>
            <w:tcBorders>
              <w:top w:val="single" w:sz="4" w:space="0" w:color="000000"/>
              <w:bottom w:val="single" w:sz="4" w:space="0" w:color="000000"/>
            </w:tcBorders>
            <w:shd w:val="clear" w:color="auto" w:fill="92D050"/>
            <w:noWrap/>
            <w:vAlign w:val="center"/>
          </w:tcPr>
          <w:p w14:paraId="50A3BB4D"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67</w:t>
            </w:r>
          </w:p>
        </w:tc>
        <w:tc>
          <w:tcPr>
            <w:tcW w:w="519" w:type="dxa"/>
            <w:tcBorders>
              <w:top w:val="single" w:sz="4" w:space="0" w:color="000000"/>
              <w:bottom w:val="single" w:sz="4" w:space="0" w:color="000000"/>
            </w:tcBorders>
            <w:shd w:val="clear" w:color="auto" w:fill="FFFF00"/>
            <w:noWrap/>
            <w:vAlign w:val="center"/>
          </w:tcPr>
          <w:p w14:paraId="34554CE5"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40</w:t>
            </w:r>
          </w:p>
        </w:tc>
        <w:tc>
          <w:tcPr>
            <w:tcW w:w="620" w:type="dxa"/>
            <w:tcBorders>
              <w:top w:val="single" w:sz="4" w:space="0" w:color="000000"/>
              <w:bottom w:val="single" w:sz="4" w:space="0" w:color="000000"/>
            </w:tcBorders>
            <w:shd w:val="clear" w:color="auto" w:fill="FFFF00"/>
            <w:noWrap/>
            <w:vAlign w:val="center"/>
          </w:tcPr>
          <w:p w14:paraId="4773B173"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44</w:t>
            </w:r>
          </w:p>
        </w:tc>
        <w:tc>
          <w:tcPr>
            <w:tcW w:w="761" w:type="dxa"/>
            <w:tcBorders>
              <w:top w:val="single" w:sz="4" w:space="0" w:color="000000"/>
              <w:bottom w:val="single" w:sz="4" w:space="0" w:color="000000"/>
            </w:tcBorders>
            <w:shd w:val="clear" w:color="auto" w:fill="FFCC00"/>
            <w:noWrap/>
            <w:vAlign w:val="center"/>
          </w:tcPr>
          <w:p w14:paraId="3C6B74D3"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36</w:t>
            </w:r>
          </w:p>
        </w:tc>
        <w:tc>
          <w:tcPr>
            <w:tcW w:w="761" w:type="dxa"/>
            <w:tcBorders>
              <w:top w:val="single" w:sz="4" w:space="0" w:color="000000"/>
              <w:bottom w:val="single" w:sz="4" w:space="0" w:color="000000"/>
            </w:tcBorders>
            <w:shd w:val="clear" w:color="auto" w:fill="FFFF00"/>
            <w:noWrap/>
            <w:vAlign w:val="center"/>
          </w:tcPr>
          <w:p w14:paraId="016D99A6"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45</w:t>
            </w:r>
          </w:p>
        </w:tc>
        <w:tc>
          <w:tcPr>
            <w:tcW w:w="519" w:type="dxa"/>
            <w:tcBorders>
              <w:top w:val="single" w:sz="4" w:space="0" w:color="000000"/>
              <w:bottom w:val="single" w:sz="4" w:space="0" w:color="000000"/>
            </w:tcBorders>
            <w:shd w:val="clear" w:color="auto" w:fill="FFFF00"/>
            <w:noWrap/>
            <w:vAlign w:val="center"/>
          </w:tcPr>
          <w:p w14:paraId="64AC245C"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47</w:t>
            </w:r>
          </w:p>
        </w:tc>
        <w:tc>
          <w:tcPr>
            <w:tcW w:w="519" w:type="dxa"/>
            <w:tcBorders>
              <w:top w:val="single" w:sz="4" w:space="0" w:color="000000"/>
              <w:bottom w:val="single" w:sz="4" w:space="0" w:color="000000"/>
            </w:tcBorders>
            <w:shd w:val="clear" w:color="auto" w:fill="FFCC00"/>
            <w:noWrap/>
            <w:vAlign w:val="center"/>
          </w:tcPr>
          <w:p w14:paraId="3AFBB9F6"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28</w:t>
            </w:r>
          </w:p>
        </w:tc>
        <w:tc>
          <w:tcPr>
            <w:tcW w:w="519" w:type="dxa"/>
            <w:tcBorders>
              <w:top w:val="single" w:sz="4" w:space="0" w:color="000000"/>
              <w:bottom w:val="single" w:sz="4" w:space="0" w:color="000000"/>
            </w:tcBorders>
            <w:shd w:val="clear" w:color="auto" w:fill="FFCC00"/>
            <w:vAlign w:val="center"/>
          </w:tcPr>
          <w:p w14:paraId="6619DDD1"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CC00"/>
            <w:vAlign w:val="center"/>
          </w:tcPr>
          <w:p w14:paraId="095F97C3"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26</w:t>
            </w:r>
          </w:p>
        </w:tc>
        <w:tc>
          <w:tcPr>
            <w:tcW w:w="519" w:type="dxa"/>
            <w:tcBorders>
              <w:top w:val="single" w:sz="4" w:space="0" w:color="000000"/>
              <w:bottom w:val="single" w:sz="4" w:space="0" w:color="000000"/>
            </w:tcBorders>
            <w:shd w:val="clear" w:color="auto" w:fill="FF0000"/>
            <w:vAlign w:val="center"/>
          </w:tcPr>
          <w:p w14:paraId="334DB87B" w14:textId="77777777" w:rsidR="00AB6155" w:rsidRPr="00423BA4" w:rsidRDefault="00AB6155" w:rsidP="00DD3BAE">
            <w:pPr>
              <w:spacing w:before="0" w:after="0"/>
              <w:jc w:val="center"/>
              <w:rPr>
                <w:b/>
                <w:color w:val="000000"/>
                <w:sz w:val="20"/>
                <w:szCs w:val="20"/>
                <w:lang w:eastAsia="en-AU"/>
              </w:rPr>
            </w:pPr>
            <w:r w:rsidRPr="006834BF">
              <w:rPr>
                <w:b/>
                <w:color w:val="000000"/>
                <w:sz w:val="20"/>
                <w:szCs w:val="20"/>
                <w:lang w:eastAsia="en-AU"/>
              </w:rPr>
              <w:t>20</w:t>
            </w:r>
          </w:p>
        </w:tc>
        <w:tc>
          <w:tcPr>
            <w:tcW w:w="519" w:type="dxa"/>
            <w:tcBorders>
              <w:top w:val="single" w:sz="4" w:space="0" w:color="000000"/>
              <w:bottom w:val="single" w:sz="4" w:space="0" w:color="000000"/>
            </w:tcBorders>
            <w:shd w:val="clear" w:color="auto" w:fill="FFCC00"/>
            <w:vAlign w:val="center"/>
          </w:tcPr>
          <w:p w14:paraId="47AB19B4" w14:textId="77777777" w:rsidR="00AB6155" w:rsidRPr="006834BF" w:rsidRDefault="00AB6155" w:rsidP="00DD3BAE">
            <w:pPr>
              <w:spacing w:before="0" w:after="0"/>
              <w:jc w:val="center"/>
              <w:rPr>
                <w:b/>
                <w:color w:val="000000"/>
                <w:sz w:val="20"/>
                <w:szCs w:val="20"/>
                <w:lang w:eastAsia="en-AU"/>
              </w:rPr>
            </w:pPr>
            <w:r>
              <w:rPr>
                <w:b/>
                <w:color w:val="000000"/>
                <w:sz w:val="20"/>
                <w:szCs w:val="20"/>
                <w:lang w:eastAsia="en-AU"/>
              </w:rPr>
              <w:t>22</w:t>
            </w:r>
          </w:p>
        </w:tc>
        <w:tc>
          <w:tcPr>
            <w:tcW w:w="519" w:type="dxa"/>
            <w:tcBorders>
              <w:top w:val="single" w:sz="4" w:space="0" w:color="000000"/>
              <w:bottom w:val="single" w:sz="4" w:space="0" w:color="000000"/>
            </w:tcBorders>
            <w:shd w:val="clear" w:color="auto" w:fill="FFCC00"/>
            <w:vAlign w:val="center"/>
          </w:tcPr>
          <w:p w14:paraId="0A05F220" w14:textId="77777777" w:rsidR="00AB6155" w:rsidRPr="00D01EBE" w:rsidRDefault="00AB6155" w:rsidP="00DD3BAE">
            <w:pPr>
              <w:spacing w:before="0" w:after="0"/>
              <w:jc w:val="center"/>
              <w:rPr>
                <w:b/>
                <w:sz w:val="20"/>
                <w:szCs w:val="20"/>
              </w:rPr>
            </w:pPr>
            <w:r w:rsidRPr="00D01EBE">
              <w:rPr>
                <w:b/>
                <w:sz w:val="20"/>
                <w:szCs w:val="20"/>
              </w:rPr>
              <w:t>24</w:t>
            </w:r>
          </w:p>
        </w:tc>
      </w:tr>
    </w:tbl>
    <w:p w14:paraId="18A7CB3A" w14:textId="77777777" w:rsidR="00BC6384" w:rsidRPr="00C859A2" w:rsidRDefault="00BC6384" w:rsidP="00034AD4">
      <w:pPr>
        <w:autoSpaceDE w:val="0"/>
        <w:autoSpaceDN w:val="0"/>
        <w:adjustRightInd w:val="0"/>
        <w:rPr>
          <w:color w:val="000000"/>
          <w:szCs w:val="22"/>
        </w:rPr>
      </w:pPr>
    </w:p>
    <w:p w14:paraId="782C3274" w14:textId="6002C5D3" w:rsidR="00AB6175" w:rsidRPr="001F473C" w:rsidRDefault="005132EF" w:rsidP="00926892">
      <w:pPr>
        <w:pStyle w:val="Heading2"/>
        <w:numPr>
          <w:ilvl w:val="1"/>
          <w:numId w:val="9"/>
        </w:numPr>
        <w:rPr>
          <w:rFonts w:ascii="Century Gothic" w:hAnsi="Century Gothic"/>
          <w:color w:val="000000"/>
        </w:rPr>
      </w:pPr>
      <w:r w:rsidRPr="00015190">
        <w:rPr>
          <w:color w:val="0000FF"/>
          <w:lang w:val="en-GB"/>
        </w:rPr>
        <w:br w:type="page"/>
      </w:r>
      <w:bookmarkStart w:id="576" w:name="_Toc170191656"/>
      <w:bookmarkStart w:id="577" w:name="_Toc175991091"/>
      <w:bookmarkStart w:id="578" w:name="_Toc232845936"/>
      <w:bookmarkStart w:id="579" w:name="_Toc184102037"/>
      <w:bookmarkStart w:id="580" w:name="_Toc431493783"/>
      <w:bookmarkStart w:id="581" w:name="_Toc516053167"/>
      <w:r w:rsidR="00AB6175" w:rsidRPr="001F473C">
        <w:rPr>
          <w:rFonts w:ascii="Century Gothic" w:hAnsi="Century Gothic"/>
          <w:color w:val="000000"/>
        </w:rPr>
        <w:t>Burnett Mary</w:t>
      </w:r>
      <w:bookmarkEnd w:id="576"/>
      <w:bookmarkEnd w:id="577"/>
      <w:bookmarkEnd w:id="578"/>
      <w:bookmarkEnd w:id="579"/>
      <w:bookmarkEnd w:id="580"/>
      <w:bookmarkEnd w:id="581"/>
    </w:p>
    <w:p w14:paraId="529889CB" w14:textId="74D1B05A" w:rsidR="005132EF" w:rsidRPr="00712221" w:rsidRDefault="008574EC" w:rsidP="00926892">
      <w:pPr>
        <w:pStyle w:val="Heading3"/>
        <w:numPr>
          <w:ilvl w:val="2"/>
          <w:numId w:val="9"/>
        </w:numPr>
        <w:rPr>
          <w:rFonts w:ascii="Arial" w:hAnsi="Arial" w:cs="Arial"/>
          <w:color w:val="000000"/>
        </w:rPr>
      </w:pPr>
      <w:bookmarkStart w:id="582" w:name="_Toc184102038"/>
      <w:bookmarkStart w:id="583" w:name="_Toc431493784"/>
      <w:bookmarkStart w:id="584" w:name="_Toc516053168"/>
      <w:r>
        <w:rPr>
          <w:rFonts w:ascii="Arial" w:hAnsi="Arial" w:cs="Arial"/>
          <w:color w:val="000000"/>
        </w:rPr>
        <w:t>2016–17</w:t>
      </w:r>
      <w:r w:rsidR="005132EF" w:rsidRPr="00712221">
        <w:rPr>
          <w:rFonts w:ascii="Arial" w:hAnsi="Arial" w:cs="Arial"/>
          <w:color w:val="000000"/>
        </w:rPr>
        <w:t xml:space="preserve"> </w:t>
      </w:r>
      <w:r w:rsidR="002F55F1">
        <w:rPr>
          <w:rFonts w:ascii="Arial" w:hAnsi="Arial" w:cs="Arial"/>
          <w:color w:val="000000"/>
        </w:rPr>
        <w:t>s</w:t>
      </w:r>
      <w:r w:rsidR="005132EF" w:rsidRPr="00712221">
        <w:rPr>
          <w:rFonts w:ascii="Arial" w:hAnsi="Arial" w:cs="Arial"/>
          <w:color w:val="000000"/>
        </w:rPr>
        <w:t>ummary</w:t>
      </w:r>
      <w:bookmarkEnd w:id="582"/>
      <w:bookmarkEnd w:id="583"/>
      <w:bookmarkEnd w:id="584"/>
    </w:p>
    <w:p w14:paraId="40EB221D" w14:textId="77777777" w:rsidR="006405E6" w:rsidRPr="00ED1AB4" w:rsidRDefault="006405E6" w:rsidP="006405E6">
      <w:pPr>
        <w:spacing w:after="0"/>
        <w:ind w:right="232"/>
        <w:rPr>
          <w:color w:val="000000" w:themeColor="text1"/>
          <w:szCs w:val="22"/>
        </w:rPr>
      </w:pPr>
      <w:bookmarkStart w:id="585" w:name="_Toc184102039"/>
      <w:bookmarkStart w:id="586" w:name="_Toc431493785"/>
      <w:r w:rsidRPr="00ED1AB4">
        <w:rPr>
          <w:color w:val="000000" w:themeColor="text1"/>
          <w:szCs w:val="22"/>
        </w:rPr>
        <w:t xml:space="preserve">Only intertidal estuarine and coastal seagrass meadows located in bays protected from SE winds and wave action were monitored in the Burnett Mary NRM region. The main ecological drivers in these environments are exposure to wind waves, elevated temperature, flood runoff and turbidity. Seagrasses are monitored at locations in the north and south of the Burnett Mary Region. Since monitoring was established, the meadows have come and gone on an irregular basis. </w:t>
      </w:r>
    </w:p>
    <w:p w14:paraId="1788858F" w14:textId="4F657FD1" w:rsidR="00B349B5" w:rsidRPr="00ED1AB4" w:rsidRDefault="00601547" w:rsidP="00B349B5">
      <w:pPr>
        <w:spacing w:after="0"/>
        <w:ind w:right="232"/>
        <w:rPr>
          <w:color w:val="000000" w:themeColor="text1"/>
          <w:szCs w:val="22"/>
        </w:rPr>
      </w:pPr>
      <w:r w:rsidRPr="00ED1AB4">
        <w:rPr>
          <w:color w:val="000000" w:themeColor="text1"/>
          <w:szCs w:val="22"/>
        </w:rPr>
        <w:t xml:space="preserve">Rainfall, </w:t>
      </w:r>
      <w:r w:rsidR="00C22B9F" w:rsidRPr="00ED1AB4">
        <w:rPr>
          <w:color w:val="000000" w:themeColor="text1"/>
          <w:szCs w:val="22"/>
        </w:rPr>
        <w:t xml:space="preserve">river discharge </w:t>
      </w:r>
      <w:r w:rsidRPr="00ED1AB4">
        <w:rPr>
          <w:color w:val="000000" w:themeColor="text1"/>
          <w:szCs w:val="22"/>
        </w:rPr>
        <w:t xml:space="preserve">and turbid water exposure </w:t>
      </w:r>
      <w:r w:rsidR="00C22B9F" w:rsidRPr="00ED1AB4">
        <w:rPr>
          <w:color w:val="000000" w:themeColor="text1"/>
          <w:szCs w:val="22"/>
        </w:rPr>
        <w:t xml:space="preserve">were </w:t>
      </w:r>
      <w:r w:rsidRPr="00ED1AB4">
        <w:rPr>
          <w:color w:val="000000" w:themeColor="text1"/>
          <w:szCs w:val="22"/>
        </w:rPr>
        <w:t>similar to the long-term average for the seagrass sites within the region</w:t>
      </w:r>
      <w:r w:rsidR="00B349B5" w:rsidRPr="00ED1AB4">
        <w:rPr>
          <w:color w:val="000000" w:themeColor="text1"/>
          <w:szCs w:val="22"/>
        </w:rPr>
        <w:t xml:space="preserve">. </w:t>
      </w:r>
      <w:r w:rsidRPr="00ED1AB4">
        <w:rPr>
          <w:color w:val="000000" w:themeColor="text1"/>
          <w:szCs w:val="22"/>
        </w:rPr>
        <w:t>D</w:t>
      </w:r>
      <w:r w:rsidR="00B349B5" w:rsidRPr="00ED1AB4">
        <w:rPr>
          <w:color w:val="000000" w:themeColor="text1"/>
          <w:szCs w:val="22"/>
        </w:rPr>
        <w:t>aily li</w:t>
      </w:r>
      <w:r w:rsidR="00C22B9F" w:rsidRPr="00ED1AB4">
        <w:rPr>
          <w:color w:val="000000" w:themeColor="text1"/>
          <w:szCs w:val="22"/>
        </w:rPr>
        <w:t xml:space="preserve">ght </w:t>
      </w:r>
      <w:r w:rsidRPr="00ED1AB4">
        <w:rPr>
          <w:color w:val="000000" w:themeColor="text1"/>
          <w:szCs w:val="22"/>
        </w:rPr>
        <w:t>reaching the seagrass canopy was lower than average</w:t>
      </w:r>
      <w:r w:rsidR="00C22B9F" w:rsidRPr="00ED1AB4">
        <w:rPr>
          <w:color w:val="000000" w:themeColor="text1"/>
          <w:szCs w:val="22"/>
        </w:rPr>
        <w:t xml:space="preserve"> in </w:t>
      </w:r>
      <w:r w:rsidR="008574EC">
        <w:rPr>
          <w:color w:val="000000" w:themeColor="text1"/>
          <w:szCs w:val="22"/>
        </w:rPr>
        <w:t>2016–17</w:t>
      </w:r>
      <w:r w:rsidR="00B349B5" w:rsidRPr="00ED1AB4">
        <w:rPr>
          <w:color w:val="000000" w:themeColor="text1"/>
          <w:szCs w:val="22"/>
        </w:rPr>
        <w:t xml:space="preserve"> </w:t>
      </w:r>
      <w:r w:rsidR="00ED1AB4" w:rsidRPr="00ED1AB4">
        <w:rPr>
          <w:color w:val="000000" w:themeColor="text1"/>
          <w:szCs w:val="22"/>
        </w:rPr>
        <w:t xml:space="preserve">due in part to a prolonged period of low light in 2016, but there was also </w:t>
      </w:r>
      <w:r w:rsidR="006C4D04">
        <w:rPr>
          <w:color w:val="000000" w:themeColor="text1"/>
          <w:szCs w:val="22"/>
        </w:rPr>
        <w:t xml:space="preserve">a period with no data recorded that </w:t>
      </w:r>
      <w:r w:rsidR="00ED1AB4" w:rsidRPr="00ED1AB4">
        <w:rPr>
          <w:color w:val="000000" w:themeColor="text1"/>
          <w:szCs w:val="22"/>
        </w:rPr>
        <w:t xml:space="preserve">may affected the regional average. </w:t>
      </w:r>
      <w:r w:rsidR="00B349B5" w:rsidRPr="00ED1AB4">
        <w:rPr>
          <w:color w:val="000000" w:themeColor="text1"/>
          <w:szCs w:val="22"/>
        </w:rPr>
        <w:t xml:space="preserve">Water temperatures were </w:t>
      </w:r>
      <w:r w:rsidR="00ED1AB4" w:rsidRPr="00ED1AB4">
        <w:rPr>
          <w:color w:val="000000" w:themeColor="text1"/>
          <w:szCs w:val="22"/>
        </w:rPr>
        <w:t xml:space="preserve">slightly </w:t>
      </w:r>
      <w:r w:rsidR="00B349B5" w:rsidRPr="00ED1AB4">
        <w:rPr>
          <w:color w:val="000000" w:themeColor="text1"/>
          <w:szCs w:val="22"/>
        </w:rPr>
        <w:t>above average</w:t>
      </w:r>
      <w:r w:rsidR="00ED1AB4" w:rsidRPr="00ED1AB4">
        <w:rPr>
          <w:color w:val="000000" w:themeColor="text1"/>
          <w:szCs w:val="22"/>
        </w:rPr>
        <w:t xml:space="preserve">; and there was the second highest number of </w:t>
      </w:r>
      <w:r w:rsidR="00C22B9F" w:rsidRPr="00ED1AB4">
        <w:rPr>
          <w:color w:val="000000" w:themeColor="text1"/>
          <w:szCs w:val="22"/>
        </w:rPr>
        <w:t xml:space="preserve">days exceeding 35°C </w:t>
      </w:r>
      <w:r w:rsidR="00ED1AB4" w:rsidRPr="00ED1AB4">
        <w:rPr>
          <w:color w:val="000000" w:themeColor="text1"/>
          <w:szCs w:val="22"/>
        </w:rPr>
        <w:t xml:space="preserve">recorded </w:t>
      </w:r>
      <w:r w:rsidR="00ED1AB4">
        <w:rPr>
          <w:color w:val="000000" w:themeColor="text1"/>
          <w:szCs w:val="22"/>
        </w:rPr>
        <w:t>during the year. However, the thermal an</w:t>
      </w:r>
      <w:r w:rsidR="00ED1AB4" w:rsidRPr="00ED1AB4">
        <w:rPr>
          <w:color w:val="000000" w:themeColor="text1"/>
          <w:szCs w:val="22"/>
        </w:rPr>
        <w:t xml:space="preserve">omaly was </w:t>
      </w:r>
      <w:r w:rsidR="00CC69FD">
        <w:rPr>
          <w:color w:val="000000" w:themeColor="text1"/>
          <w:szCs w:val="22"/>
        </w:rPr>
        <w:t>less extreme</w:t>
      </w:r>
      <w:r w:rsidR="00ED1AB4" w:rsidRPr="00ED1AB4">
        <w:rPr>
          <w:color w:val="000000" w:themeColor="text1"/>
          <w:szCs w:val="22"/>
        </w:rPr>
        <w:t xml:space="preserve"> than in other regions</w:t>
      </w:r>
      <w:r w:rsidR="00CC69FD">
        <w:rPr>
          <w:color w:val="000000" w:themeColor="text1"/>
          <w:szCs w:val="22"/>
        </w:rPr>
        <w:t xml:space="preserve"> (only 0.4</w:t>
      </w:r>
      <w:r w:rsidR="00CC69FD" w:rsidRPr="00ED1AB4">
        <w:rPr>
          <w:color w:val="000000" w:themeColor="text1"/>
          <w:szCs w:val="22"/>
        </w:rPr>
        <w:t>°C</w:t>
      </w:r>
      <w:r w:rsidR="00CC69FD">
        <w:rPr>
          <w:color w:val="000000" w:themeColor="text1"/>
          <w:szCs w:val="22"/>
        </w:rPr>
        <w:t xml:space="preserve"> above average)</w:t>
      </w:r>
      <w:r w:rsidR="00ED1AB4" w:rsidRPr="00ED1AB4">
        <w:rPr>
          <w:color w:val="000000" w:themeColor="text1"/>
          <w:szCs w:val="22"/>
        </w:rPr>
        <w:t xml:space="preserve">, but </w:t>
      </w:r>
      <w:r w:rsidR="00ED1AB4">
        <w:rPr>
          <w:color w:val="000000" w:themeColor="text1"/>
          <w:szCs w:val="22"/>
        </w:rPr>
        <w:t xml:space="preserve">this could none-the-less </w:t>
      </w:r>
      <w:r w:rsidR="00ED1AB4" w:rsidRPr="00ED1AB4">
        <w:rPr>
          <w:color w:val="000000" w:themeColor="text1"/>
          <w:szCs w:val="22"/>
        </w:rPr>
        <w:t xml:space="preserve">have a significant impact in these southern communities that are adapted to cooler temperatures. </w:t>
      </w:r>
    </w:p>
    <w:p w14:paraId="6B787C50" w14:textId="03E54DCB" w:rsidR="0059610E" w:rsidRPr="00C4117D" w:rsidRDefault="0059610E" w:rsidP="0059610E">
      <w:pPr>
        <w:spacing w:after="0"/>
        <w:ind w:right="232"/>
        <w:rPr>
          <w:szCs w:val="22"/>
        </w:rPr>
      </w:pPr>
      <w:r w:rsidRPr="00C62A11">
        <w:rPr>
          <w:color w:val="000000" w:themeColor="text1"/>
          <w:szCs w:val="22"/>
        </w:rPr>
        <w:t xml:space="preserve">Seagrass abundance </w:t>
      </w:r>
      <w:r w:rsidR="00C62A11">
        <w:rPr>
          <w:color w:val="000000" w:themeColor="text1"/>
          <w:szCs w:val="22"/>
        </w:rPr>
        <w:t>returned</w:t>
      </w:r>
      <w:r w:rsidR="00EB7AA3" w:rsidRPr="00C62A11">
        <w:rPr>
          <w:color w:val="000000" w:themeColor="text1"/>
          <w:szCs w:val="22"/>
        </w:rPr>
        <w:t xml:space="preserve"> to a </w:t>
      </w:r>
      <w:r w:rsidR="00EB7AA3" w:rsidRPr="00C62A11">
        <w:rPr>
          <w:b/>
          <w:color w:val="000000" w:themeColor="text1"/>
          <w:szCs w:val="22"/>
        </w:rPr>
        <w:t>poor</w:t>
      </w:r>
      <w:r w:rsidR="00EB7AA3" w:rsidRPr="00C62A11">
        <w:rPr>
          <w:color w:val="000000" w:themeColor="text1"/>
          <w:szCs w:val="22"/>
        </w:rPr>
        <w:t xml:space="preserve"> rating</w:t>
      </w:r>
      <w:r w:rsidR="003A3020" w:rsidRPr="00C62A11">
        <w:rPr>
          <w:color w:val="000000" w:themeColor="text1"/>
          <w:szCs w:val="22"/>
        </w:rPr>
        <w:t xml:space="preserve"> in </w:t>
      </w:r>
      <w:r w:rsidR="008574EC">
        <w:rPr>
          <w:color w:val="000000" w:themeColor="text1"/>
          <w:szCs w:val="22"/>
        </w:rPr>
        <w:t>2016–17</w:t>
      </w:r>
      <w:r w:rsidR="00EB7AA3" w:rsidRPr="00C62A11">
        <w:rPr>
          <w:color w:val="000000" w:themeColor="text1"/>
          <w:szCs w:val="22"/>
        </w:rPr>
        <w:t xml:space="preserve"> after reaching</w:t>
      </w:r>
      <w:r w:rsidR="003A3020" w:rsidRPr="00C62A11">
        <w:rPr>
          <w:color w:val="000000" w:themeColor="text1"/>
          <w:szCs w:val="22"/>
        </w:rPr>
        <w:t xml:space="preserve"> moderate </w:t>
      </w:r>
      <w:r w:rsidR="00EB7AA3" w:rsidRPr="00C62A11">
        <w:rPr>
          <w:color w:val="000000" w:themeColor="text1"/>
          <w:szCs w:val="22"/>
        </w:rPr>
        <w:t>in the previous monitoring period</w:t>
      </w:r>
      <w:r w:rsidR="00C62A11">
        <w:rPr>
          <w:color w:val="000000" w:themeColor="text1"/>
          <w:szCs w:val="22"/>
        </w:rPr>
        <w:t xml:space="preserve"> due to a reduction at Rodds Bay and Burrum Heads, whereas abundance increased at the estuarine Urangan site</w:t>
      </w:r>
      <w:r w:rsidR="00B349B5" w:rsidRPr="00C62A11">
        <w:rPr>
          <w:color w:val="000000" w:themeColor="text1"/>
          <w:szCs w:val="22"/>
        </w:rPr>
        <w:t>.</w:t>
      </w:r>
      <w:r w:rsidR="009912F6" w:rsidRPr="00C62A11">
        <w:rPr>
          <w:color w:val="000000" w:themeColor="text1"/>
          <w:szCs w:val="22"/>
        </w:rPr>
        <w:t xml:space="preserve"> The proportion of </w:t>
      </w:r>
      <w:r w:rsidR="000751EC" w:rsidRPr="00C62A11">
        <w:rPr>
          <w:color w:val="000000" w:themeColor="text1"/>
          <w:szCs w:val="22"/>
        </w:rPr>
        <w:t xml:space="preserve">seagrass species displaying </w:t>
      </w:r>
      <w:r w:rsidR="009912F6" w:rsidRPr="00C62A11">
        <w:rPr>
          <w:color w:val="000000" w:themeColor="text1"/>
          <w:szCs w:val="22"/>
        </w:rPr>
        <w:t xml:space="preserve">colonising </w:t>
      </w:r>
      <w:r w:rsidR="000751EC" w:rsidRPr="00C62A11">
        <w:rPr>
          <w:color w:val="000000" w:themeColor="text1"/>
          <w:szCs w:val="22"/>
        </w:rPr>
        <w:t>traits</w:t>
      </w:r>
      <w:r w:rsidR="009912F6" w:rsidRPr="00C62A11">
        <w:rPr>
          <w:color w:val="000000" w:themeColor="text1"/>
          <w:szCs w:val="22"/>
        </w:rPr>
        <w:t xml:space="preserve"> </w:t>
      </w:r>
      <w:r w:rsidR="00C62A11" w:rsidRPr="00C62A11">
        <w:rPr>
          <w:color w:val="000000" w:themeColor="text1"/>
          <w:szCs w:val="22"/>
        </w:rPr>
        <w:t>was relatively stable in both habitats</w:t>
      </w:r>
      <w:r w:rsidR="009912F6" w:rsidRPr="00C62A11">
        <w:rPr>
          <w:color w:val="000000" w:themeColor="text1"/>
          <w:szCs w:val="22"/>
        </w:rPr>
        <w:t xml:space="preserve">. </w:t>
      </w:r>
      <w:r w:rsidR="00C62A11" w:rsidRPr="00C62A11">
        <w:rPr>
          <w:color w:val="000000" w:themeColor="text1"/>
          <w:szCs w:val="22"/>
        </w:rPr>
        <w:t>The r</w:t>
      </w:r>
      <w:r w:rsidR="00AB7905" w:rsidRPr="00C62A11">
        <w:rPr>
          <w:color w:val="000000" w:themeColor="text1"/>
          <w:szCs w:val="22"/>
        </w:rPr>
        <w:t xml:space="preserve">eproductive effort </w:t>
      </w:r>
      <w:r w:rsidR="00C62A11" w:rsidRPr="00C62A11">
        <w:rPr>
          <w:color w:val="000000" w:themeColor="text1"/>
          <w:szCs w:val="22"/>
        </w:rPr>
        <w:t xml:space="preserve">score also decreased to a very </w:t>
      </w:r>
      <w:r w:rsidR="00C62A11" w:rsidRPr="00C4117D">
        <w:rPr>
          <w:szCs w:val="22"/>
        </w:rPr>
        <w:t xml:space="preserve">poor rating, due to reductions in effort at the estuarine site, and very low reproductive effort at the coastal site. Despite this, a moderate seedbank remains at the estuarine sites. </w:t>
      </w:r>
      <w:r w:rsidRPr="00C4117D">
        <w:rPr>
          <w:i/>
          <w:szCs w:val="22"/>
        </w:rPr>
        <w:t>Z</w:t>
      </w:r>
      <w:r w:rsidR="000751EC" w:rsidRPr="00C4117D">
        <w:rPr>
          <w:i/>
          <w:szCs w:val="22"/>
        </w:rPr>
        <w:t>.</w:t>
      </w:r>
      <w:r w:rsidRPr="00C4117D">
        <w:rPr>
          <w:i/>
          <w:szCs w:val="22"/>
        </w:rPr>
        <w:t xml:space="preserve"> muelleri</w:t>
      </w:r>
      <w:r w:rsidRPr="00C4117D">
        <w:rPr>
          <w:szCs w:val="22"/>
        </w:rPr>
        <w:t xml:space="preserve"> leaf tissue analysis in late 201</w:t>
      </w:r>
      <w:r w:rsidR="00C62A11" w:rsidRPr="00C4117D">
        <w:rPr>
          <w:szCs w:val="22"/>
        </w:rPr>
        <w:t>6</w:t>
      </w:r>
      <w:r w:rsidRPr="00C4117D">
        <w:rPr>
          <w:szCs w:val="22"/>
        </w:rPr>
        <w:t xml:space="preserve">, </w:t>
      </w:r>
      <w:r w:rsidR="00C62A11" w:rsidRPr="00C4117D">
        <w:rPr>
          <w:szCs w:val="22"/>
        </w:rPr>
        <w:t>sh</w:t>
      </w:r>
      <w:r w:rsidR="000D20CF" w:rsidRPr="00C4117D">
        <w:rPr>
          <w:szCs w:val="22"/>
        </w:rPr>
        <w:t>owed a reduction in C:N and C:P in estuarine habitat, due to a reduction at Urangan</w:t>
      </w:r>
      <w:r w:rsidR="004C7AE6" w:rsidRPr="00C4117D">
        <w:rPr>
          <w:szCs w:val="22"/>
        </w:rPr>
        <w:t xml:space="preserve"> which may have been affected by low light and/or elevated temperature</w:t>
      </w:r>
      <w:r w:rsidR="00C62A11" w:rsidRPr="00C4117D">
        <w:rPr>
          <w:szCs w:val="22"/>
        </w:rPr>
        <w:t xml:space="preserve">. </w:t>
      </w:r>
    </w:p>
    <w:p w14:paraId="08460034" w14:textId="0EE6288F" w:rsidR="0059610E" w:rsidRPr="004C7AE6" w:rsidRDefault="006405E6" w:rsidP="0059610E">
      <w:pPr>
        <w:spacing w:after="0"/>
        <w:ind w:right="232"/>
        <w:rPr>
          <w:color w:val="000000" w:themeColor="text1"/>
          <w:szCs w:val="22"/>
        </w:rPr>
      </w:pPr>
      <w:r w:rsidRPr="004C7AE6">
        <w:rPr>
          <w:color w:val="000000" w:themeColor="text1"/>
          <w:szCs w:val="22"/>
        </w:rPr>
        <w:t>In response to the e</w:t>
      </w:r>
      <w:r w:rsidR="00AB7905" w:rsidRPr="004C7AE6">
        <w:rPr>
          <w:color w:val="000000" w:themeColor="text1"/>
          <w:szCs w:val="22"/>
        </w:rPr>
        <w:t xml:space="preserve">nvironmental pressures over </w:t>
      </w:r>
      <w:r w:rsidR="008574EC">
        <w:rPr>
          <w:color w:val="000000" w:themeColor="text1"/>
          <w:szCs w:val="22"/>
        </w:rPr>
        <w:t>2016–17</w:t>
      </w:r>
      <w:r w:rsidRPr="004C7AE6">
        <w:rPr>
          <w:color w:val="000000" w:themeColor="text1"/>
          <w:szCs w:val="22"/>
        </w:rPr>
        <w:t xml:space="preserve">, </w:t>
      </w:r>
      <w:r w:rsidR="0059610E" w:rsidRPr="004C7AE6">
        <w:rPr>
          <w:color w:val="000000" w:themeColor="text1"/>
          <w:szCs w:val="22"/>
        </w:rPr>
        <w:t xml:space="preserve">the seagrass </w:t>
      </w:r>
      <w:r w:rsidR="00F7114B" w:rsidRPr="004C7AE6">
        <w:rPr>
          <w:color w:val="000000" w:themeColor="text1"/>
          <w:szCs w:val="22"/>
        </w:rPr>
        <w:t xml:space="preserve">state </w:t>
      </w:r>
      <w:r w:rsidR="0059610E" w:rsidRPr="004C7AE6">
        <w:rPr>
          <w:color w:val="000000" w:themeColor="text1"/>
          <w:szCs w:val="22"/>
        </w:rPr>
        <w:t xml:space="preserve">in the Burnett Mary region </w:t>
      </w:r>
      <w:r w:rsidR="000F147B">
        <w:rPr>
          <w:color w:val="000000" w:themeColor="text1"/>
          <w:szCs w:val="22"/>
        </w:rPr>
        <w:t>decreased</w:t>
      </w:r>
      <w:r w:rsidR="00D92824" w:rsidRPr="004C7AE6">
        <w:rPr>
          <w:color w:val="000000" w:themeColor="text1"/>
          <w:szCs w:val="22"/>
        </w:rPr>
        <w:t xml:space="preserve"> </w:t>
      </w:r>
      <w:r w:rsidR="001E1AF6" w:rsidRPr="004C7AE6">
        <w:rPr>
          <w:color w:val="000000" w:themeColor="text1"/>
          <w:szCs w:val="22"/>
        </w:rPr>
        <w:t xml:space="preserve">but remained </w:t>
      </w:r>
      <w:r w:rsidR="001E1AF6" w:rsidRPr="004C7AE6">
        <w:rPr>
          <w:b/>
          <w:color w:val="000000" w:themeColor="text1"/>
          <w:szCs w:val="22"/>
        </w:rPr>
        <w:t>poor</w:t>
      </w:r>
      <w:r w:rsidR="00D92824" w:rsidRPr="004C7AE6">
        <w:rPr>
          <w:color w:val="000000" w:themeColor="text1"/>
          <w:szCs w:val="22"/>
        </w:rPr>
        <w:t xml:space="preserve"> </w:t>
      </w:r>
      <w:r w:rsidR="0059610E" w:rsidRPr="004C7AE6">
        <w:rPr>
          <w:color w:val="000000" w:themeColor="text1"/>
          <w:szCs w:val="22"/>
        </w:rPr>
        <w:t>(</w:t>
      </w:r>
      <w:r w:rsidR="00F7114B" w:rsidRPr="004C7AE6">
        <w:rPr>
          <w:color w:val="000000" w:themeColor="text1"/>
          <w:szCs w:val="22"/>
        </w:rPr>
        <w:fldChar w:fldCharType="begin"/>
      </w:r>
      <w:r w:rsidR="00F7114B" w:rsidRPr="004C7AE6">
        <w:rPr>
          <w:color w:val="000000" w:themeColor="text1"/>
          <w:szCs w:val="22"/>
        </w:rPr>
        <w:instrText xml:space="preserve"> REF _Ref442377974 \h </w:instrText>
      </w:r>
      <w:r w:rsidR="00F7114B" w:rsidRPr="004C7AE6">
        <w:rPr>
          <w:color w:val="000000" w:themeColor="text1"/>
          <w:szCs w:val="22"/>
        </w:rPr>
      </w:r>
      <w:r w:rsidR="00F7114B" w:rsidRPr="004C7AE6">
        <w:rPr>
          <w:color w:val="000000" w:themeColor="text1"/>
          <w:szCs w:val="22"/>
        </w:rPr>
        <w:fldChar w:fldCharType="separate"/>
      </w:r>
      <w:r w:rsidR="00F87DF9" w:rsidRPr="0096368A">
        <w:rPr>
          <w:color w:val="000000"/>
        </w:rPr>
        <w:t xml:space="preserve">Figure </w:t>
      </w:r>
      <w:r w:rsidR="00F87DF9">
        <w:rPr>
          <w:noProof/>
          <w:color w:val="000000"/>
        </w:rPr>
        <w:t>107</w:t>
      </w:r>
      <w:r w:rsidR="00F7114B" w:rsidRPr="004C7AE6">
        <w:rPr>
          <w:color w:val="000000" w:themeColor="text1"/>
          <w:szCs w:val="22"/>
        </w:rPr>
        <w:fldChar w:fldCharType="end"/>
      </w:r>
      <w:r w:rsidR="0059610E" w:rsidRPr="004C7AE6">
        <w:rPr>
          <w:color w:val="000000" w:themeColor="text1"/>
          <w:szCs w:val="22"/>
        </w:rPr>
        <w:t xml:space="preserve">). </w:t>
      </w:r>
    </w:p>
    <w:p w14:paraId="0082772D" w14:textId="77777777" w:rsidR="00F7114B" w:rsidRPr="00326B1A" w:rsidRDefault="005B1EEC" w:rsidP="00C4117D">
      <w:pPr>
        <w:keepNext/>
        <w:widowControl w:val="0"/>
        <w:spacing w:after="0"/>
        <w:jc w:val="center"/>
        <w:rPr>
          <w:color w:val="000000"/>
          <w:szCs w:val="22"/>
        </w:rPr>
      </w:pPr>
      <w:r>
        <w:rPr>
          <w:noProof/>
          <w:color w:val="000000"/>
          <w:szCs w:val="22"/>
          <w:lang w:eastAsia="en-AU"/>
        </w:rPr>
        <w:drawing>
          <wp:inline distT="0" distB="0" distL="0" distR="0" wp14:anchorId="0C9004E0" wp14:editId="29F2B103">
            <wp:extent cx="4118011" cy="2314096"/>
            <wp:effectExtent l="0" t="0" r="0" b="0"/>
            <wp:docPr id="15" name="Picture 15" descr="Panel of four scatter plots with straight lines and markers showing report card of seagrass condition (indicators and index) for the Burnett Mar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NDEX_BM_2016.png"/>
                    <pic:cNvPicPr/>
                  </pic:nvPicPr>
                  <pic:blipFill>
                    <a:blip r:embed="rId145">
                      <a:extLst>
                        <a:ext uri="{28A0092B-C50C-407E-A947-70E740481C1C}">
                          <a14:useLocalDpi xmlns:a14="http://schemas.microsoft.com/office/drawing/2010/main" val="0"/>
                        </a:ext>
                      </a:extLst>
                    </a:blip>
                    <a:stretch>
                      <a:fillRect/>
                    </a:stretch>
                  </pic:blipFill>
                  <pic:spPr>
                    <a:xfrm>
                      <a:off x="0" y="0"/>
                      <a:ext cx="4118011" cy="2314096"/>
                    </a:xfrm>
                    <a:prstGeom prst="rect">
                      <a:avLst/>
                    </a:prstGeom>
                  </pic:spPr>
                </pic:pic>
              </a:graphicData>
            </a:graphic>
          </wp:inline>
        </w:drawing>
      </w:r>
    </w:p>
    <w:p w14:paraId="2822BA3D" w14:textId="66584113" w:rsidR="00F7114B" w:rsidRPr="0096368A" w:rsidRDefault="00F7114B" w:rsidP="00F7114B">
      <w:pPr>
        <w:rPr>
          <w:i/>
          <w:vanish/>
          <w:color w:val="000000"/>
          <w:specVanish/>
        </w:rPr>
      </w:pPr>
      <w:bookmarkStart w:id="587" w:name="_Ref442377974"/>
      <w:bookmarkStart w:id="588" w:name="_Toc431493900"/>
      <w:bookmarkStart w:id="589" w:name="_Toc516053317"/>
      <w:r w:rsidRPr="0096368A">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107</w:t>
      </w:r>
      <w:r>
        <w:rPr>
          <w:color w:val="000000"/>
        </w:rPr>
        <w:fldChar w:fldCharType="end"/>
      </w:r>
      <w:bookmarkEnd w:id="587"/>
      <w:r w:rsidRPr="0096368A">
        <w:rPr>
          <w:color w:val="000000"/>
        </w:rPr>
        <w:t xml:space="preserve">. </w:t>
      </w:r>
      <w:r w:rsidRPr="0096368A">
        <w:rPr>
          <w:i/>
          <w:color w:val="000000"/>
        </w:rPr>
        <w:t>Report card of seagrass status indicators and index for the Fitzroy region</w:t>
      </w:r>
      <w:bookmarkEnd w:id="588"/>
      <w:bookmarkEnd w:id="589"/>
    </w:p>
    <w:p w14:paraId="574F752D" w14:textId="2EAEB830" w:rsidR="00F7114B" w:rsidRDefault="00F7114B" w:rsidP="00F7114B">
      <w:pPr>
        <w:rPr>
          <w:i/>
          <w:szCs w:val="22"/>
        </w:rPr>
      </w:pPr>
      <w:r w:rsidRPr="0096368A">
        <w:rPr>
          <w:i/>
          <w:color w:val="000000"/>
          <w:szCs w:val="22"/>
        </w:rPr>
        <w:t xml:space="preserve"> (averages </w:t>
      </w:r>
      <w:r w:rsidRPr="00C41F18">
        <w:rPr>
          <w:i/>
          <w:szCs w:val="22"/>
        </w:rPr>
        <w:t xml:space="preserve">across habitats and sites). </w:t>
      </w:r>
      <w:r w:rsidR="00C41F18" w:rsidRPr="00C41F18">
        <w:rPr>
          <w:i/>
          <w:szCs w:val="22"/>
        </w:rPr>
        <w:t xml:space="preserve">Bold symbol = </w:t>
      </w:r>
      <w:r w:rsidR="008574EC">
        <w:rPr>
          <w:i/>
          <w:szCs w:val="22"/>
        </w:rPr>
        <w:t>2016–17</w:t>
      </w:r>
      <w:r w:rsidR="00C41F18" w:rsidRPr="00C41F18">
        <w:rPr>
          <w:i/>
          <w:szCs w:val="22"/>
        </w:rPr>
        <w:t xml:space="preserve"> monitoring period. </w:t>
      </w:r>
      <w:r w:rsidRPr="00C41F18">
        <w:rPr>
          <w:i/>
          <w:szCs w:val="22"/>
        </w:rPr>
        <w:t xml:space="preserve">Values are indexed scores </w:t>
      </w:r>
      <w:r w:rsidRPr="00E237C6">
        <w:rPr>
          <w:i/>
          <w:szCs w:val="22"/>
        </w:rPr>
        <w:t xml:space="preserve">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42BA31D2" w14:textId="77777777" w:rsidR="00C4117D" w:rsidRPr="000C1040" w:rsidRDefault="00F26775" w:rsidP="00C4117D">
      <w:pPr>
        <w:pStyle w:val="Heading3"/>
        <w:numPr>
          <w:ilvl w:val="2"/>
          <w:numId w:val="9"/>
        </w:numPr>
        <w:rPr>
          <w:rFonts w:ascii="Arial" w:hAnsi="Arial" w:cs="Arial"/>
          <w:color w:val="000000"/>
        </w:rPr>
      </w:pPr>
      <w:r>
        <w:rPr>
          <w:i/>
          <w:szCs w:val="22"/>
        </w:rPr>
        <w:br w:type="column"/>
      </w:r>
      <w:bookmarkStart w:id="590" w:name="_Toc516053169"/>
      <w:r w:rsidR="00C4117D" w:rsidRPr="000C1040">
        <w:rPr>
          <w:rFonts w:ascii="Arial" w:hAnsi="Arial" w:cs="Arial"/>
          <w:color w:val="000000"/>
        </w:rPr>
        <w:t>Climate and environmental pressures</w:t>
      </w:r>
      <w:bookmarkEnd w:id="590"/>
    </w:p>
    <w:p w14:paraId="5BDDC420" w14:textId="7FDCD2CA" w:rsidR="0059610E" w:rsidRPr="00314356" w:rsidRDefault="00593315" w:rsidP="00DD3BAE">
      <w:pPr>
        <w:rPr>
          <w:color w:val="000000" w:themeColor="text1"/>
        </w:rPr>
      </w:pPr>
      <w:bookmarkStart w:id="591" w:name="_Toc431493786"/>
      <w:bookmarkEnd w:id="585"/>
      <w:bookmarkEnd w:id="586"/>
      <w:r w:rsidRPr="004B74CD">
        <w:rPr>
          <w:color w:val="000000" w:themeColor="text1"/>
        </w:rPr>
        <w:t xml:space="preserve">Rainfall </w:t>
      </w:r>
      <w:r w:rsidR="004B74CD" w:rsidRPr="004B74CD">
        <w:rPr>
          <w:color w:val="000000" w:themeColor="text1"/>
        </w:rPr>
        <w:t xml:space="preserve">in the Burnett-Mary catchment was below average, but </w:t>
      </w:r>
      <w:r w:rsidRPr="004B74CD">
        <w:rPr>
          <w:color w:val="000000" w:themeColor="text1"/>
        </w:rPr>
        <w:t xml:space="preserve">river discharge </w:t>
      </w:r>
      <w:r w:rsidR="004B74CD" w:rsidRPr="004B74CD">
        <w:rPr>
          <w:color w:val="000000" w:themeColor="text1"/>
        </w:rPr>
        <w:t>was at around the average</w:t>
      </w:r>
      <w:r w:rsidRPr="004B74CD">
        <w:rPr>
          <w:color w:val="000000" w:themeColor="text1"/>
        </w:rPr>
        <w:t xml:space="preserve"> in </w:t>
      </w:r>
      <w:r w:rsidR="008574EC">
        <w:rPr>
          <w:color w:val="000000" w:themeColor="text1"/>
        </w:rPr>
        <w:t>2016–17</w:t>
      </w:r>
      <w:r w:rsidR="004B74CD" w:rsidRPr="004B74CD">
        <w:rPr>
          <w:color w:val="000000" w:themeColor="text1"/>
        </w:rPr>
        <w:t xml:space="preserve"> </w:t>
      </w:r>
      <w:r w:rsidR="000751EC" w:rsidRPr="004B74CD">
        <w:rPr>
          <w:color w:val="000000" w:themeColor="text1"/>
        </w:rPr>
        <w:t>(</w:t>
      </w:r>
      <w:r w:rsidR="000751EC" w:rsidRPr="004B74CD">
        <w:rPr>
          <w:color w:val="000000" w:themeColor="text1"/>
        </w:rPr>
        <w:fldChar w:fldCharType="begin"/>
      </w:r>
      <w:r w:rsidR="000751EC" w:rsidRPr="004B74CD">
        <w:rPr>
          <w:color w:val="000000" w:themeColor="text1"/>
        </w:rPr>
        <w:instrText xml:space="preserve"> REF _Ref461779122 \h </w:instrText>
      </w:r>
      <w:r w:rsidR="000751EC" w:rsidRPr="004B74CD">
        <w:rPr>
          <w:color w:val="000000" w:themeColor="text1"/>
        </w:rPr>
      </w:r>
      <w:r w:rsidR="000751EC" w:rsidRPr="004B74CD">
        <w:rPr>
          <w:color w:val="000000" w:themeColor="text1"/>
        </w:rPr>
        <w:fldChar w:fldCharType="separate"/>
      </w:r>
      <w:r w:rsidR="00F87DF9">
        <w:t xml:space="preserve">Table </w:t>
      </w:r>
      <w:r w:rsidR="00F87DF9">
        <w:rPr>
          <w:noProof/>
        </w:rPr>
        <w:t>32</w:t>
      </w:r>
      <w:r w:rsidR="000751EC" w:rsidRPr="004B74CD">
        <w:rPr>
          <w:color w:val="000000" w:themeColor="text1"/>
        </w:rPr>
        <w:fldChar w:fldCharType="end"/>
      </w:r>
      <w:r w:rsidR="004B74CD" w:rsidRPr="004B74CD">
        <w:rPr>
          <w:color w:val="000000" w:themeColor="text1"/>
        </w:rPr>
        <w:t xml:space="preserve">) due to discharge from all rivers in the region having above average discharge other than the Mary River. </w:t>
      </w:r>
      <w:r w:rsidR="0059610E" w:rsidRPr="00314356">
        <w:rPr>
          <w:color w:val="000000" w:themeColor="text1"/>
        </w:rPr>
        <w:t xml:space="preserve">Burnett Mary seagrass </w:t>
      </w:r>
      <w:r w:rsidR="0088434E" w:rsidRPr="00314356">
        <w:rPr>
          <w:color w:val="000000" w:themeColor="text1"/>
        </w:rPr>
        <w:t>meadows</w:t>
      </w:r>
      <w:r w:rsidR="0059610E" w:rsidRPr="00314356">
        <w:rPr>
          <w:color w:val="000000" w:themeColor="text1"/>
        </w:rPr>
        <w:t xml:space="preserve"> were exposed to almost exclusively primary water</w:t>
      </w:r>
      <w:r w:rsidR="009D5DBA" w:rsidRPr="00314356">
        <w:rPr>
          <w:color w:val="000000" w:themeColor="text1"/>
        </w:rPr>
        <w:t>,</w:t>
      </w:r>
      <w:r w:rsidR="0059610E" w:rsidRPr="00314356">
        <w:rPr>
          <w:color w:val="000000" w:themeColor="text1"/>
        </w:rPr>
        <w:t xml:space="preserve"> often of very high turbidity (class 1 or 2</w:t>
      </w:r>
      <w:r w:rsidR="00314356" w:rsidRPr="00314356">
        <w:rPr>
          <w:color w:val="000000" w:themeColor="text1"/>
        </w:rPr>
        <w:t xml:space="preserve"> for 50% of the wet season</w:t>
      </w:r>
      <w:r w:rsidR="0059610E" w:rsidRPr="00314356">
        <w:rPr>
          <w:color w:val="000000" w:themeColor="text1"/>
        </w:rPr>
        <w:t>,</w:t>
      </w:r>
      <w:r w:rsidR="00C4117D">
        <w:rPr>
          <w:color w:val="000000" w:themeColor="text1"/>
        </w:rPr>
        <w:fldChar w:fldCharType="begin"/>
      </w:r>
      <w:r w:rsidR="00C4117D">
        <w:rPr>
          <w:color w:val="000000" w:themeColor="text1"/>
        </w:rPr>
        <w:instrText xml:space="preserve"> REF _Ref511390392 \h </w:instrText>
      </w:r>
      <w:r w:rsidR="00C4117D">
        <w:rPr>
          <w:color w:val="000000" w:themeColor="text1"/>
        </w:rPr>
      </w:r>
      <w:r w:rsidR="00C4117D">
        <w:rPr>
          <w:color w:val="000000" w:themeColor="text1"/>
        </w:rPr>
        <w:fldChar w:fldCharType="separate"/>
      </w:r>
      <w:r w:rsidR="00F87DF9" w:rsidRPr="00844AC3">
        <w:t xml:space="preserve">Figure </w:t>
      </w:r>
      <w:r w:rsidR="00F87DF9">
        <w:rPr>
          <w:noProof/>
        </w:rPr>
        <w:t>108</w:t>
      </w:r>
      <w:r w:rsidR="00C4117D">
        <w:rPr>
          <w:color w:val="000000" w:themeColor="text1"/>
        </w:rPr>
        <w:fldChar w:fldCharType="end"/>
      </w:r>
      <w:r w:rsidR="00C4117D">
        <w:rPr>
          <w:color w:val="000000" w:themeColor="text1"/>
        </w:rPr>
        <w:t>,</w:t>
      </w:r>
      <w:r w:rsidR="000751EC" w:rsidRPr="00314356">
        <w:rPr>
          <w:color w:val="000000" w:themeColor="text1"/>
        </w:rPr>
        <w:t xml:space="preserve"> </w:t>
      </w:r>
      <w:r w:rsidR="0059610E" w:rsidRPr="00314356">
        <w:rPr>
          <w:color w:val="000000" w:themeColor="text1"/>
          <w:highlight w:val="yellow"/>
        </w:rPr>
        <w:fldChar w:fldCharType="begin"/>
      </w:r>
      <w:r w:rsidR="0059610E" w:rsidRPr="00314356">
        <w:rPr>
          <w:color w:val="000000" w:themeColor="text1"/>
        </w:rPr>
        <w:instrText xml:space="preserve"> REF _Ref314329818 \h </w:instrText>
      </w:r>
      <w:r w:rsidR="000751EC" w:rsidRPr="00314356">
        <w:rPr>
          <w:color w:val="000000" w:themeColor="text1"/>
          <w:highlight w:val="yellow"/>
        </w:rPr>
        <w:instrText xml:space="preserve"> \* MERGEFORMAT </w:instrText>
      </w:r>
      <w:r w:rsidR="0059610E" w:rsidRPr="00314356">
        <w:rPr>
          <w:color w:val="000000" w:themeColor="text1"/>
          <w:highlight w:val="yellow"/>
        </w:rPr>
      </w:r>
      <w:r w:rsidR="0059610E" w:rsidRPr="00314356">
        <w:rPr>
          <w:color w:val="000000" w:themeColor="text1"/>
          <w:highlight w:val="yellow"/>
        </w:rPr>
        <w:fldChar w:fldCharType="separate"/>
      </w:r>
      <w:r w:rsidR="00F87DF9" w:rsidRPr="00F87DF9">
        <w:rPr>
          <w:color w:val="000000" w:themeColor="text1"/>
        </w:rPr>
        <w:t xml:space="preserve">Table </w:t>
      </w:r>
      <w:r w:rsidR="00F87DF9" w:rsidRPr="00F87DF9">
        <w:rPr>
          <w:noProof/>
          <w:color w:val="000000" w:themeColor="text1"/>
        </w:rPr>
        <w:t>33</w:t>
      </w:r>
      <w:r w:rsidR="0059610E" w:rsidRPr="00314356">
        <w:rPr>
          <w:color w:val="000000" w:themeColor="text1"/>
          <w:highlight w:val="yellow"/>
        </w:rPr>
        <w:fldChar w:fldCharType="end"/>
      </w:r>
      <w:r w:rsidR="0059610E" w:rsidRPr="00314356">
        <w:rPr>
          <w:color w:val="000000" w:themeColor="text1"/>
        </w:rPr>
        <w:t>)</w:t>
      </w:r>
      <w:r w:rsidR="009D5DBA" w:rsidRPr="00314356">
        <w:rPr>
          <w:color w:val="000000" w:themeColor="text1"/>
        </w:rPr>
        <w:t>,</w:t>
      </w:r>
      <w:r w:rsidR="0059610E" w:rsidRPr="00314356">
        <w:rPr>
          <w:color w:val="000000" w:themeColor="text1"/>
        </w:rPr>
        <w:t xml:space="preserve"> fro</w:t>
      </w:r>
      <w:r w:rsidR="0088434E" w:rsidRPr="00314356">
        <w:rPr>
          <w:color w:val="000000" w:themeColor="text1"/>
        </w:rPr>
        <w:t xml:space="preserve">m </w:t>
      </w:r>
      <w:r w:rsidR="00314356" w:rsidRPr="00314356">
        <w:rPr>
          <w:color w:val="000000" w:themeColor="text1"/>
        </w:rPr>
        <w:t>December 2016 to April 2017</w:t>
      </w:r>
      <w:r w:rsidR="0059610E" w:rsidRPr="00314356">
        <w:rPr>
          <w:color w:val="000000" w:themeColor="text1"/>
        </w:rPr>
        <w:t xml:space="preserve">. </w:t>
      </w:r>
    </w:p>
    <w:p w14:paraId="65B9F14A" w14:textId="558F88EA" w:rsidR="0059610E" w:rsidRPr="00D92824" w:rsidRDefault="00D92824" w:rsidP="00DD3BAE">
      <w:pPr>
        <w:jc w:val="center"/>
        <w:rPr>
          <w:i/>
        </w:rPr>
      </w:pPr>
      <w:bookmarkStart w:id="592" w:name="_Ref461779122"/>
      <w:bookmarkStart w:id="593" w:name="_Ref344023725"/>
      <w:bookmarkStart w:id="594" w:name="_Toc516053456"/>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32</w:t>
      </w:r>
      <w:r w:rsidR="00C506C7">
        <w:rPr>
          <w:noProof/>
        </w:rPr>
        <w:fldChar w:fldCharType="end"/>
      </w:r>
      <w:bookmarkEnd w:id="592"/>
      <w:r w:rsidR="00C4117D">
        <w:t xml:space="preserve">. </w:t>
      </w:r>
      <w:r w:rsidR="0059610E" w:rsidRPr="00D92824">
        <w:rPr>
          <w:i/>
        </w:rPr>
        <w:t xml:space="preserve">Summary of environmental conditions at monitoring sites in the Burnett Mary in </w:t>
      </w:r>
      <w:r w:rsidR="008574EC">
        <w:rPr>
          <w:i/>
        </w:rPr>
        <w:t>2016–17</w:t>
      </w:r>
      <w:r w:rsidR="0059610E" w:rsidRPr="00D92824">
        <w:rPr>
          <w:i/>
        </w:rPr>
        <w:t xml:space="preserve"> compared to the long-term average (long-term range indicated for each data set).</w:t>
      </w:r>
      <w:bookmarkEnd w:id="593"/>
      <w:bookmarkEnd w:id="594"/>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59610E" w:rsidRPr="00D92824" w14:paraId="41B94157" w14:textId="77777777" w:rsidTr="00D92824">
        <w:trPr>
          <w:trHeight w:val="227"/>
          <w:jc w:val="center"/>
        </w:trPr>
        <w:tc>
          <w:tcPr>
            <w:tcW w:w="3652" w:type="dxa"/>
            <w:tcBorders>
              <w:top w:val="single" w:sz="4" w:space="0" w:color="auto"/>
              <w:bottom w:val="single" w:sz="4" w:space="0" w:color="auto"/>
            </w:tcBorders>
            <w:shd w:val="clear" w:color="auto" w:fill="BBE0E3"/>
          </w:tcPr>
          <w:p w14:paraId="296A92C7" w14:textId="77777777" w:rsidR="0059610E" w:rsidRPr="00D92824" w:rsidRDefault="0059610E" w:rsidP="00DD3BAE">
            <w:pPr>
              <w:spacing w:before="0" w:after="0"/>
              <w:rPr>
                <w:b/>
                <w:sz w:val="18"/>
                <w:szCs w:val="18"/>
              </w:rPr>
            </w:pPr>
          </w:p>
        </w:tc>
        <w:tc>
          <w:tcPr>
            <w:tcW w:w="2268" w:type="dxa"/>
            <w:tcBorders>
              <w:top w:val="single" w:sz="4" w:space="0" w:color="auto"/>
              <w:bottom w:val="single" w:sz="4" w:space="0" w:color="auto"/>
            </w:tcBorders>
            <w:shd w:val="clear" w:color="auto" w:fill="BBE0E3"/>
          </w:tcPr>
          <w:p w14:paraId="788DAF89" w14:textId="77777777" w:rsidR="0059610E" w:rsidRPr="00D92824" w:rsidRDefault="0059610E" w:rsidP="00DD3BAE">
            <w:pPr>
              <w:spacing w:before="0" w:after="0"/>
              <w:rPr>
                <w:b/>
                <w:sz w:val="18"/>
                <w:szCs w:val="18"/>
              </w:rPr>
            </w:pPr>
            <w:r w:rsidRPr="00D92824">
              <w:rPr>
                <w:b/>
                <w:sz w:val="18"/>
                <w:szCs w:val="18"/>
              </w:rPr>
              <w:t>Long-term average</w:t>
            </w:r>
          </w:p>
        </w:tc>
        <w:tc>
          <w:tcPr>
            <w:tcW w:w="1559" w:type="dxa"/>
            <w:tcBorders>
              <w:top w:val="single" w:sz="4" w:space="0" w:color="auto"/>
              <w:bottom w:val="single" w:sz="4" w:space="0" w:color="auto"/>
            </w:tcBorders>
            <w:shd w:val="clear" w:color="auto" w:fill="BBE0E3"/>
          </w:tcPr>
          <w:p w14:paraId="6E941367" w14:textId="7E846AD2" w:rsidR="0059610E" w:rsidRPr="00D92824" w:rsidRDefault="008574EC" w:rsidP="00DD3BAE">
            <w:pPr>
              <w:spacing w:before="0" w:after="0"/>
              <w:rPr>
                <w:b/>
                <w:sz w:val="18"/>
                <w:szCs w:val="18"/>
              </w:rPr>
            </w:pPr>
            <w:r>
              <w:rPr>
                <w:b/>
                <w:sz w:val="18"/>
                <w:szCs w:val="18"/>
              </w:rPr>
              <w:t>2016–17</w:t>
            </w:r>
          </w:p>
        </w:tc>
      </w:tr>
      <w:tr w:rsidR="0059610E" w14:paraId="0EC122A9" w14:textId="77777777" w:rsidTr="00D92824">
        <w:trPr>
          <w:trHeight w:val="227"/>
          <w:jc w:val="center"/>
        </w:trPr>
        <w:tc>
          <w:tcPr>
            <w:tcW w:w="3652" w:type="dxa"/>
            <w:shd w:val="clear" w:color="auto" w:fill="E7F3F4"/>
          </w:tcPr>
          <w:p w14:paraId="7B0C883C" w14:textId="0AE7FED4" w:rsidR="0059610E" w:rsidRPr="008D1B84" w:rsidRDefault="0059610E" w:rsidP="00DD3BAE">
            <w:pPr>
              <w:spacing w:before="0" w:after="0"/>
              <w:rPr>
                <w:sz w:val="18"/>
                <w:szCs w:val="18"/>
              </w:rPr>
            </w:pPr>
            <w:r w:rsidRPr="008D1B84">
              <w:rPr>
                <w:sz w:val="18"/>
                <w:szCs w:val="18"/>
              </w:rPr>
              <w:t>Rainfall</w:t>
            </w:r>
            <w:r w:rsidR="00C76195">
              <w:rPr>
                <w:sz w:val="18"/>
                <w:szCs w:val="18"/>
              </w:rPr>
              <w:t xml:space="preserve"> (1986-201</w:t>
            </w:r>
            <w:r w:rsidR="00F13469">
              <w:rPr>
                <w:sz w:val="18"/>
                <w:szCs w:val="18"/>
              </w:rPr>
              <w:t>7</w:t>
            </w:r>
            <w:r>
              <w:rPr>
                <w:sz w:val="18"/>
                <w:szCs w:val="18"/>
              </w:rPr>
              <w:t>)</w:t>
            </w:r>
          </w:p>
        </w:tc>
        <w:tc>
          <w:tcPr>
            <w:tcW w:w="2268" w:type="dxa"/>
            <w:shd w:val="clear" w:color="auto" w:fill="E7F3F4"/>
          </w:tcPr>
          <w:p w14:paraId="2AD359A3" w14:textId="64E742EF" w:rsidR="0059610E" w:rsidRPr="006F49AA" w:rsidRDefault="006F49AA" w:rsidP="00DD3BAE">
            <w:pPr>
              <w:spacing w:before="0" w:after="0"/>
              <w:rPr>
                <w:color w:val="000000" w:themeColor="text1"/>
                <w:sz w:val="18"/>
                <w:szCs w:val="18"/>
              </w:rPr>
            </w:pPr>
            <w:r w:rsidRPr="006F49AA">
              <w:rPr>
                <w:color w:val="000000" w:themeColor="text1"/>
                <w:sz w:val="18"/>
                <w:szCs w:val="18"/>
              </w:rPr>
              <w:t>3.3</w:t>
            </w:r>
            <w:r w:rsidR="0059610E" w:rsidRPr="006F49AA">
              <w:rPr>
                <w:color w:val="000000" w:themeColor="text1"/>
                <w:sz w:val="18"/>
                <w:szCs w:val="18"/>
              </w:rPr>
              <w:t xml:space="preserve"> mm</w:t>
            </w:r>
            <w:r w:rsidRPr="006F49AA">
              <w:rPr>
                <w:color w:val="000000" w:themeColor="text1"/>
                <w:sz w:val="18"/>
                <w:szCs w:val="18"/>
              </w:rPr>
              <w:t xml:space="preserve"> d</w:t>
            </w:r>
            <w:r w:rsidRPr="006F49AA">
              <w:rPr>
                <w:color w:val="000000" w:themeColor="text1"/>
                <w:sz w:val="18"/>
                <w:szCs w:val="18"/>
                <w:vertAlign w:val="superscript"/>
              </w:rPr>
              <w:t>-1</w:t>
            </w:r>
          </w:p>
        </w:tc>
        <w:tc>
          <w:tcPr>
            <w:tcW w:w="1559" w:type="dxa"/>
            <w:shd w:val="clear" w:color="auto" w:fill="E7F3F4"/>
          </w:tcPr>
          <w:p w14:paraId="0922952A" w14:textId="16FFA62A" w:rsidR="0059610E" w:rsidRPr="006F49AA" w:rsidRDefault="006F49AA" w:rsidP="00DD3BAE">
            <w:pPr>
              <w:spacing w:before="0" w:after="0"/>
              <w:rPr>
                <w:color w:val="000000" w:themeColor="text1"/>
                <w:sz w:val="18"/>
                <w:szCs w:val="18"/>
              </w:rPr>
            </w:pPr>
            <w:r w:rsidRPr="006F49AA">
              <w:rPr>
                <w:color w:val="000000" w:themeColor="text1"/>
                <w:sz w:val="18"/>
                <w:szCs w:val="18"/>
              </w:rPr>
              <w:t>3.0</w:t>
            </w:r>
            <w:r w:rsidR="0059610E" w:rsidRPr="006F49AA">
              <w:rPr>
                <w:color w:val="000000" w:themeColor="text1"/>
                <w:sz w:val="18"/>
                <w:szCs w:val="18"/>
              </w:rPr>
              <w:t xml:space="preserve"> mm</w:t>
            </w:r>
            <w:r w:rsidRPr="006F49AA">
              <w:rPr>
                <w:color w:val="000000" w:themeColor="text1"/>
                <w:sz w:val="18"/>
                <w:szCs w:val="18"/>
              </w:rPr>
              <w:t xml:space="preserve"> d</w:t>
            </w:r>
            <w:r w:rsidRPr="006F49AA">
              <w:rPr>
                <w:color w:val="000000" w:themeColor="text1"/>
                <w:sz w:val="18"/>
                <w:szCs w:val="18"/>
                <w:vertAlign w:val="superscript"/>
              </w:rPr>
              <w:t>-1</w:t>
            </w:r>
          </w:p>
        </w:tc>
      </w:tr>
      <w:tr w:rsidR="0059610E" w14:paraId="57C4AA92" w14:textId="77777777" w:rsidTr="00645107">
        <w:trPr>
          <w:trHeight w:val="259"/>
          <w:jc w:val="center"/>
        </w:trPr>
        <w:tc>
          <w:tcPr>
            <w:tcW w:w="3652" w:type="dxa"/>
            <w:shd w:val="clear" w:color="auto" w:fill="E7F3F4"/>
          </w:tcPr>
          <w:p w14:paraId="225B5BED" w14:textId="6EC3626C" w:rsidR="0059610E" w:rsidRDefault="0059610E" w:rsidP="00DD3BAE">
            <w:pPr>
              <w:spacing w:before="0" w:after="0"/>
              <w:rPr>
                <w:sz w:val="18"/>
                <w:szCs w:val="18"/>
              </w:rPr>
            </w:pPr>
            <w:r>
              <w:rPr>
                <w:sz w:val="18"/>
                <w:szCs w:val="18"/>
              </w:rPr>
              <w:t>River discharge (1970</w:t>
            </w:r>
            <w:r w:rsidR="00C76195">
              <w:rPr>
                <w:sz w:val="18"/>
                <w:szCs w:val="18"/>
              </w:rPr>
              <w:t>-201</w:t>
            </w:r>
            <w:r w:rsidR="00F13469">
              <w:rPr>
                <w:sz w:val="18"/>
                <w:szCs w:val="18"/>
              </w:rPr>
              <w:t>7</w:t>
            </w:r>
            <w:r w:rsidRPr="008D1B84">
              <w:rPr>
                <w:sz w:val="18"/>
                <w:szCs w:val="18"/>
              </w:rPr>
              <w:t>)</w:t>
            </w:r>
          </w:p>
        </w:tc>
        <w:tc>
          <w:tcPr>
            <w:tcW w:w="2268" w:type="dxa"/>
            <w:shd w:val="clear" w:color="auto" w:fill="E7F3F4"/>
          </w:tcPr>
          <w:p w14:paraId="25E26539" w14:textId="6BFC9666" w:rsidR="0059610E" w:rsidRPr="006F49AA" w:rsidRDefault="006F49AA" w:rsidP="00DD3BAE">
            <w:pPr>
              <w:spacing w:before="0" w:after="0"/>
              <w:rPr>
                <w:color w:val="000000" w:themeColor="text1"/>
                <w:sz w:val="18"/>
                <w:szCs w:val="18"/>
              </w:rPr>
            </w:pPr>
            <w:r w:rsidRPr="006F49AA">
              <w:rPr>
                <w:color w:val="000000" w:themeColor="text1"/>
                <w:sz w:val="18"/>
                <w:szCs w:val="18"/>
              </w:rPr>
              <w:t>1,462,017</w:t>
            </w:r>
            <w:r w:rsidR="0059610E" w:rsidRPr="006F49AA">
              <w:rPr>
                <w:color w:val="000000" w:themeColor="text1"/>
                <w:sz w:val="18"/>
                <w:szCs w:val="18"/>
              </w:rPr>
              <w:t xml:space="preserve"> L yr</w:t>
            </w:r>
            <w:r w:rsidR="0059610E" w:rsidRPr="006F49AA">
              <w:rPr>
                <w:color w:val="000000" w:themeColor="text1"/>
                <w:sz w:val="18"/>
                <w:szCs w:val="18"/>
                <w:vertAlign w:val="superscript"/>
              </w:rPr>
              <w:t>-1</w:t>
            </w:r>
          </w:p>
        </w:tc>
        <w:tc>
          <w:tcPr>
            <w:tcW w:w="1559" w:type="dxa"/>
            <w:shd w:val="clear" w:color="auto" w:fill="E7F3F4"/>
          </w:tcPr>
          <w:p w14:paraId="7951F22D" w14:textId="0D10737D" w:rsidR="0059610E" w:rsidRPr="006F49AA" w:rsidRDefault="006F49AA" w:rsidP="00DD3BAE">
            <w:pPr>
              <w:spacing w:before="0" w:after="0"/>
              <w:rPr>
                <w:color w:val="000000" w:themeColor="text1"/>
                <w:sz w:val="18"/>
                <w:szCs w:val="18"/>
              </w:rPr>
            </w:pPr>
            <w:r w:rsidRPr="006F49AA">
              <w:rPr>
                <w:color w:val="000000" w:themeColor="text1"/>
                <w:sz w:val="18"/>
                <w:szCs w:val="18"/>
              </w:rPr>
              <w:t>1,721,455</w:t>
            </w:r>
            <w:r w:rsidR="0059610E" w:rsidRPr="006F49AA">
              <w:rPr>
                <w:rFonts w:asciiTheme="majorHAnsi" w:hAnsiTheme="majorHAnsi"/>
                <w:color w:val="000000" w:themeColor="text1"/>
                <w:sz w:val="18"/>
                <w:szCs w:val="18"/>
              </w:rPr>
              <w:t xml:space="preserve"> </w:t>
            </w:r>
            <w:r w:rsidR="0059610E" w:rsidRPr="006F49AA">
              <w:rPr>
                <w:color w:val="000000" w:themeColor="text1"/>
                <w:sz w:val="18"/>
                <w:szCs w:val="18"/>
              </w:rPr>
              <w:t>L yr</w:t>
            </w:r>
            <w:r w:rsidR="0059610E" w:rsidRPr="006F49AA">
              <w:rPr>
                <w:color w:val="000000" w:themeColor="text1"/>
                <w:sz w:val="18"/>
                <w:szCs w:val="18"/>
                <w:vertAlign w:val="superscript"/>
              </w:rPr>
              <w:t>-1</w:t>
            </w:r>
          </w:p>
        </w:tc>
      </w:tr>
      <w:tr w:rsidR="0059610E" w:rsidRPr="00C4117D" w14:paraId="3161FC2E" w14:textId="77777777" w:rsidTr="00D92824">
        <w:trPr>
          <w:trHeight w:val="227"/>
          <w:jc w:val="center"/>
        </w:trPr>
        <w:tc>
          <w:tcPr>
            <w:tcW w:w="3652" w:type="dxa"/>
            <w:shd w:val="clear" w:color="auto" w:fill="E7F3F4"/>
          </w:tcPr>
          <w:p w14:paraId="2ED0978E" w14:textId="1DB033C5" w:rsidR="0059610E" w:rsidRPr="00C4117D" w:rsidRDefault="00F054D3" w:rsidP="00DD3BAE">
            <w:pPr>
              <w:spacing w:before="0" w:after="0"/>
              <w:rPr>
                <w:sz w:val="18"/>
                <w:szCs w:val="18"/>
              </w:rPr>
            </w:pPr>
            <w:r w:rsidRPr="00C4117D">
              <w:rPr>
                <w:sz w:val="18"/>
                <w:szCs w:val="18"/>
              </w:rPr>
              <w:t>Turbid water</w:t>
            </w:r>
            <w:r w:rsidR="00C76195" w:rsidRPr="00C4117D">
              <w:rPr>
                <w:sz w:val="18"/>
                <w:szCs w:val="18"/>
              </w:rPr>
              <w:t xml:space="preserve"> exposure (2006-201</w:t>
            </w:r>
            <w:r w:rsidR="00F13469" w:rsidRPr="00C4117D">
              <w:rPr>
                <w:sz w:val="18"/>
                <w:szCs w:val="18"/>
              </w:rPr>
              <w:t>7</w:t>
            </w:r>
            <w:r w:rsidR="0059610E" w:rsidRPr="00C4117D">
              <w:rPr>
                <w:sz w:val="18"/>
                <w:szCs w:val="18"/>
              </w:rPr>
              <w:t>)</w:t>
            </w:r>
          </w:p>
        </w:tc>
        <w:tc>
          <w:tcPr>
            <w:tcW w:w="2268" w:type="dxa"/>
            <w:shd w:val="clear" w:color="auto" w:fill="E7F3F4"/>
          </w:tcPr>
          <w:p w14:paraId="1352E760" w14:textId="0BE5E9D2" w:rsidR="0059610E" w:rsidRPr="00C4117D" w:rsidRDefault="00090006" w:rsidP="00DD3BAE">
            <w:pPr>
              <w:spacing w:before="0" w:after="0"/>
              <w:rPr>
                <w:sz w:val="18"/>
                <w:szCs w:val="18"/>
              </w:rPr>
            </w:pPr>
            <w:r w:rsidRPr="00C4117D">
              <w:rPr>
                <w:sz w:val="18"/>
                <w:szCs w:val="18"/>
              </w:rPr>
              <w:t>100 per cent</w:t>
            </w:r>
          </w:p>
        </w:tc>
        <w:tc>
          <w:tcPr>
            <w:tcW w:w="1559" w:type="dxa"/>
            <w:shd w:val="clear" w:color="auto" w:fill="E7F3F4"/>
          </w:tcPr>
          <w:p w14:paraId="6E82F79C" w14:textId="1BFC4AF1" w:rsidR="0059610E" w:rsidRPr="00C4117D" w:rsidRDefault="00C32556" w:rsidP="00DD3BAE">
            <w:pPr>
              <w:spacing w:before="0" w:after="0"/>
              <w:rPr>
                <w:sz w:val="18"/>
                <w:szCs w:val="18"/>
              </w:rPr>
            </w:pPr>
            <w:r w:rsidRPr="00C4117D">
              <w:rPr>
                <w:sz w:val="18"/>
                <w:szCs w:val="18"/>
              </w:rPr>
              <w:t>100</w:t>
            </w:r>
            <w:r w:rsidR="0063478C" w:rsidRPr="00C4117D">
              <w:rPr>
                <w:sz w:val="18"/>
                <w:szCs w:val="18"/>
              </w:rPr>
              <w:t xml:space="preserve"> per cent</w:t>
            </w:r>
          </w:p>
        </w:tc>
      </w:tr>
      <w:tr w:rsidR="00A76783" w:rsidRPr="00C4117D" w14:paraId="62E0537D" w14:textId="77777777" w:rsidTr="00D92824">
        <w:trPr>
          <w:trHeight w:val="227"/>
          <w:jc w:val="center"/>
        </w:trPr>
        <w:tc>
          <w:tcPr>
            <w:tcW w:w="3652" w:type="dxa"/>
            <w:shd w:val="clear" w:color="auto" w:fill="E7F3F4"/>
          </w:tcPr>
          <w:p w14:paraId="171448C1" w14:textId="326C7A0E" w:rsidR="0059610E" w:rsidRPr="00C4117D" w:rsidRDefault="0059610E" w:rsidP="00DD3BAE">
            <w:pPr>
              <w:spacing w:before="0" w:after="0"/>
              <w:rPr>
                <w:sz w:val="18"/>
                <w:szCs w:val="18"/>
              </w:rPr>
            </w:pPr>
            <w:r w:rsidRPr="00C4117D">
              <w:rPr>
                <w:sz w:val="18"/>
                <w:szCs w:val="18"/>
              </w:rPr>
              <w:t>D</w:t>
            </w:r>
            <w:r w:rsidR="00F13469" w:rsidRPr="00C4117D">
              <w:rPr>
                <w:sz w:val="18"/>
                <w:szCs w:val="18"/>
              </w:rPr>
              <w:t>aytime tidal exposure (1999-2017</w:t>
            </w:r>
            <w:r w:rsidRPr="00C4117D">
              <w:rPr>
                <w:sz w:val="18"/>
                <w:szCs w:val="18"/>
              </w:rPr>
              <w:t>)</w:t>
            </w:r>
          </w:p>
        </w:tc>
        <w:tc>
          <w:tcPr>
            <w:tcW w:w="2268" w:type="dxa"/>
            <w:shd w:val="clear" w:color="auto" w:fill="E7F3F4"/>
          </w:tcPr>
          <w:p w14:paraId="0037D801" w14:textId="1540CD17" w:rsidR="0059610E" w:rsidRPr="00C4117D" w:rsidRDefault="005813A5" w:rsidP="00DD3BAE">
            <w:pPr>
              <w:spacing w:before="0" w:after="0"/>
              <w:rPr>
                <w:sz w:val="18"/>
                <w:szCs w:val="18"/>
              </w:rPr>
            </w:pPr>
            <w:r w:rsidRPr="00C4117D">
              <w:rPr>
                <w:sz w:val="18"/>
                <w:szCs w:val="18"/>
              </w:rPr>
              <w:t>103 hr yr</w:t>
            </w:r>
            <w:r w:rsidRPr="00C4117D">
              <w:rPr>
                <w:sz w:val="18"/>
                <w:szCs w:val="18"/>
                <w:vertAlign w:val="superscript"/>
              </w:rPr>
              <w:t>-1</w:t>
            </w:r>
          </w:p>
        </w:tc>
        <w:tc>
          <w:tcPr>
            <w:tcW w:w="1559" w:type="dxa"/>
            <w:shd w:val="clear" w:color="auto" w:fill="E7F3F4"/>
          </w:tcPr>
          <w:p w14:paraId="79664134" w14:textId="6E470A90" w:rsidR="0059610E" w:rsidRPr="00C4117D" w:rsidRDefault="005813A5" w:rsidP="00DD3BAE">
            <w:pPr>
              <w:spacing w:before="0" w:after="0"/>
              <w:rPr>
                <w:sz w:val="18"/>
                <w:szCs w:val="18"/>
              </w:rPr>
            </w:pPr>
            <w:r w:rsidRPr="00C4117D">
              <w:rPr>
                <w:sz w:val="18"/>
                <w:szCs w:val="18"/>
              </w:rPr>
              <w:t>123 hr yr</w:t>
            </w:r>
            <w:r w:rsidRPr="00C4117D">
              <w:rPr>
                <w:sz w:val="18"/>
                <w:szCs w:val="18"/>
                <w:vertAlign w:val="superscript"/>
              </w:rPr>
              <w:t>-1</w:t>
            </w:r>
          </w:p>
        </w:tc>
      </w:tr>
      <w:tr w:rsidR="0059610E" w14:paraId="4CDFBEC0" w14:textId="77777777" w:rsidTr="00D92824">
        <w:trPr>
          <w:trHeight w:val="227"/>
          <w:jc w:val="center"/>
        </w:trPr>
        <w:tc>
          <w:tcPr>
            <w:tcW w:w="3652" w:type="dxa"/>
            <w:tcBorders>
              <w:bottom w:val="single" w:sz="4" w:space="0" w:color="auto"/>
            </w:tcBorders>
            <w:shd w:val="clear" w:color="auto" w:fill="E7F3F4"/>
          </w:tcPr>
          <w:p w14:paraId="52EFC457" w14:textId="5744523F" w:rsidR="0059610E" w:rsidRPr="008D1B84" w:rsidRDefault="0059610E" w:rsidP="00DD3BAE">
            <w:pPr>
              <w:spacing w:before="0" w:after="0"/>
              <w:rPr>
                <w:sz w:val="18"/>
                <w:szCs w:val="18"/>
              </w:rPr>
            </w:pPr>
            <w:r w:rsidRPr="008D1B84">
              <w:rPr>
                <w:sz w:val="18"/>
                <w:szCs w:val="18"/>
              </w:rPr>
              <w:t>Wind</w:t>
            </w:r>
            <w:r w:rsidR="00C76195">
              <w:rPr>
                <w:sz w:val="18"/>
                <w:szCs w:val="18"/>
              </w:rPr>
              <w:t xml:space="preserve"> (1998-201</w:t>
            </w:r>
            <w:r w:rsidR="00F13469">
              <w:rPr>
                <w:sz w:val="18"/>
                <w:szCs w:val="18"/>
              </w:rPr>
              <w:t>7</w:t>
            </w:r>
            <w:r>
              <w:rPr>
                <w:sz w:val="18"/>
                <w:szCs w:val="18"/>
              </w:rPr>
              <w:t>)</w:t>
            </w:r>
          </w:p>
        </w:tc>
        <w:tc>
          <w:tcPr>
            <w:tcW w:w="2268" w:type="dxa"/>
            <w:tcBorders>
              <w:bottom w:val="single" w:sz="4" w:space="0" w:color="auto"/>
            </w:tcBorders>
            <w:shd w:val="clear" w:color="auto" w:fill="E7F3F4"/>
          </w:tcPr>
          <w:p w14:paraId="534C26F4" w14:textId="129559F8" w:rsidR="0059610E" w:rsidRPr="00A860BC" w:rsidRDefault="00A860BC" w:rsidP="00DD3BAE">
            <w:pPr>
              <w:spacing w:before="0" w:after="0"/>
              <w:rPr>
                <w:color w:val="000000" w:themeColor="text1"/>
                <w:sz w:val="18"/>
                <w:szCs w:val="18"/>
              </w:rPr>
            </w:pPr>
            <w:r w:rsidRPr="00A860BC">
              <w:rPr>
                <w:color w:val="000000" w:themeColor="text1"/>
                <w:sz w:val="18"/>
                <w:szCs w:val="18"/>
              </w:rPr>
              <w:t>61</w:t>
            </w:r>
            <w:r w:rsidR="0059610E" w:rsidRPr="00A860BC">
              <w:rPr>
                <w:color w:val="000000" w:themeColor="text1"/>
                <w:sz w:val="18"/>
                <w:szCs w:val="18"/>
              </w:rPr>
              <w:t xml:space="preserve"> days yr</w:t>
            </w:r>
            <w:r w:rsidR="0059610E" w:rsidRPr="00A860BC">
              <w:rPr>
                <w:color w:val="000000" w:themeColor="text1"/>
                <w:sz w:val="18"/>
                <w:szCs w:val="18"/>
                <w:vertAlign w:val="superscript"/>
              </w:rPr>
              <w:t>-1</w:t>
            </w:r>
          </w:p>
        </w:tc>
        <w:tc>
          <w:tcPr>
            <w:tcW w:w="1559" w:type="dxa"/>
            <w:tcBorders>
              <w:bottom w:val="single" w:sz="4" w:space="0" w:color="auto"/>
            </w:tcBorders>
            <w:shd w:val="clear" w:color="auto" w:fill="E7F3F4"/>
          </w:tcPr>
          <w:p w14:paraId="2B7F4751" w14:textId="235F2437" w:rsidR="0059610E" w:rsidRPr="00A860BC" w:rsidRDefault="00A860BC" w:rsidP="00DD3BAE">
            <w:pPr>
              <w:spacing w:before="0" w:after="0"/>
              <w:rPr>
                <w:color w:val="000000" w:themeColor="text1"/>
                <w:sz w:val="18"/>
                <w:szCs w:val="18"/>
              </w:rPr>
            </w:pPr>
            <w:r w:rsidRPr="00A860BC">
              <w:rPr>
                <w:color w:val="000000" w:themeColor="text1"/>
                <w:sz w:val="18"/>
                <w:szCs w:val="18"/>
              </w:rPr>
              <w:t>63</w:t>
            </w:r>
            <w:r w:rsidR="0059610E" w:rsidRPr="00A860BC">
              <w:rPr>
                <w:color w:val="000000" w:themeColor="text1"/>
                <w:sz w:val="18"/>
                <w:szCs w:val="18"/>
              </w:rPr>
              <w:t xml:space="preserve"> days yr</w:t>
            </w:r>
            <w:r w:rsidR="0059610E" w:rsidRPr="00A860BC">
              <w:rPr>
                <w:color w:val="000000" w:themeColor="text1"/>
                <w:sz w:val="18"/>
                <w:szCs w:val="18"/>
                <w:vertAlign w:val="superscript"/>
              </w:rPr>
              <w:t>-1</w:t>
            </w:r>
          </w:p>
        </w:tc>
      </w:tr>
      <w:tr w:rsidR="00E7271C" w:rsidRPr="00E7271C" w14:paraId="2D4F526D" w14:textId="77777777" w:rsidTr="00D92824">
        <w:trPr>
          <w:trHeight w:val="227"/>
          <w:jc w:val="center"/>
        </w:trPr>
        <w:tc>
          <w:tcPr>
            <w:tcW w:w="3652" w:type="dxa"/>
            <w:shd w:val="clear" w:color="auto" w:fill="F3F9FA"/>
          </w:tcPr>
          <w:p w14:paraId="3EA59ACD" w14:textId="67EFACC3" w:rsidR="0059610E" w:rsidRPr="00E7271C" w:rsidRDefault="0059610E" w:rsidP="00DD3BAE">
            <w:pPr>
              <w:spacing w:before="0" w:after="0"/>
              <w:rPr>
                <w:sz w:val="18"/>
                <w:szCs w:val="18"/>
              </w:rPr>
            </w:pPr>
            <w:r w:rsidRPr="00E7271C">
              <w:rPr>
                <w:sz w:val="18"/>
                <w:szCs w:val="18"/>
              </w:rPr>
              <w:t>Within canopy temperature (2003</w:t>
            </w:r>
            <w:r w:rsidR="00C76195" w:rsidRPr="00E7271C">
              <w:rPr>
                <w:sz w:val="18"/>
                <w:szCs w:val="18"/>
              </w:rPr>
              <w:t>-201</w:t>
            </w:r>
            <w:r w:rsidR="00F13469">
              <w:rPr>
                <w:sz w:val="18"/>
                <w:szCs w:val="18"/>
              </w:rPr>
              <w:t>7</w:t>
            </w:r>
            <w:r w:rsidRPr="00E7271C">
              <w:rPr>
                <w:sz w:val="18"/>
                <w:szCs w:val="18"/>
              </w:rPr>
              <w:t>)</w:t>
            </w:r>
          </w:p>
        </w:tc>
        <w:tc>
          <w:tcPr>
            <w:tcW w:w="2268" w:type="dxa"/>
            <w:shd w:val="clear" w:color="auto" w:fill="F3F9FA"/>
          </w:tcPr>
          <w:p w14:paraId="72307626" w14:textId="2E10C0EA" w:rsidR="0059610E" w:rsidRPr="004B74CD" w:rsidRDefault="0059610E" w:rsidP="00DD3BAE">
            <w:pPr>
              <w:spacing w:before="0" w:after="0"/>
              <w:rPr>
                <w:color w:val="000000" w:themeColor="text1"/>
                <w:sz w:val="18"/>
                <w:szCs w:val="18"/>
              </w:rPr>
            </w:pPr>
            <w:r w:rsidRPr="004B74CD">
              <w:rPr>
                <w:color w:val="000000" w:themeColor="text1"/>
                <w:sz w:val="18"/>
                <w:szCs w:val="18"/>
              </w:rPr>
              <w:t>23.</w:t>
            </w:r>
            <w:r w:rsidR="004B74CD" w:rsidRPr="004B74CD">
              <w:rPr>
                <w:color w:val="000000" w:themeColor="text1"/>
                <w:sz w:val="18"/>
                <w:szCs w:val="18"/>
              </w:rPr>
              <w:t>4</w:t>
            </w:r>
            <w:r w:rsidRPr="004B74CD">
              <w:rPr>
                <w:color w:val="000000" w:themeColor="text1"/>
                <w:sz w:val="18"/>
                <w:szCs w:val="18"/>
              </w:rPr>
              <w:t xml:space="preserve">°C </w:t>
            </w:r>
            <w:r w:rsidRPr="004B74CD">
              <w:rPr>
                <w:i/>
                <w:color w:val="000000" w:themeColor="text1"/>
                <w:sz w:val="18"/>
                <w:szCs w:val="18"/>
              </w:rPr>
              <w:t>(</w:t>
            </w:r>
            <w:r w:rsidR="004B74CD" w:rsidRPr="004B74CD">
              <w:rPr>
                <w:i/>
                <w:color w:val="000000" w:themeColor="text1"/>
                <w:sz w:val="18"/>
                <w:szCs w:val="18"/>
              </w:rPr>
              <w:t>46.5</w:t>
            </w:r>
            <w:r w:rsidRPr="004B74CD">
              <w:rPr>
                <w:i/>
                <w:color w:val="000000" w:themeColor="text1"/>
                <w:sz w:val="18"/>
                <w:szCs w:val="18"/>
              </w:rPr>
              <w:t>°C)</w:t>
            </w:r>
          </w:p>
        </w:tc>
        <w:tc>
          <w:tcPr>
            <w:tcW w:w="1559" w:type="dxa"/>
            <w:shd w:val="clear" w:color="auto" w:fill="F3F9FA"/>
          </w:tcPr>
          <w:p w14:paraId="48317B2D" w14:textId="39C9B3AC" w:rsidR="0059610E" w:rsidRPr="004B74CD" w:rsidRDefault="0059610E" w:rsidP="00DD3BAE">
            <w:pPr>
              <w:spacing w:before="0" w:after="0"/>
              <w:rPr>
                <w:color w:val="000000" w:themeColor="text1"/>
                <w:sz w:val="18"/>
                <w:szCs w:val="18"/>
              </w:rPr>
            </w:pPr>
            <w:r w:rsidRPr="004B74CD">
              <w:rPr>
                <w:color w:val="000000" w:themeColor="text1"/>
                <w:sz w:val="18"/>
                <w:szCs w:val="18"/>
              </w:rPr>
              <w:t>23.</w:t>
            </w:r>
            <w:r w:rsidR="004B74CD" w:rsidRPr="004B74CD">
              <w:rPr>
                <w:color w:val="000000" w:themeColor="text1"/>
                <w:sz w:val="18"/>
                <w:szCs w:val="18"/>
              </w:rPr>
              <w:t>8</w:t>
            </w:r>
            <w:r w:rsidRPr="004B74CD">
              <w:rPr>
                <w:color w:val="000000" w:themeColor="text1"/>
                <w:sz w:val="18"/>
                <w:szCs w:val="18"/>
              </w:rPr>
              <w:t xml:space="preserve">°C </w:t>
            </w:r>
            <w:r w:rsidRPr="004B74CD">
              <w:rPr>
                <w:i/>
                <w:color w:val="000000" w:themeColor="text1"/>
                <w:sz w:val="18"/>
                <w:szCs w:val="18"/>
              </w:rPr>
              <w:t>(</w:t>
            </w:r>
            <w:r w:rsidR="004B74CD" w:rsidRPr="004B74CD">
              <w:rPr>
                <w:i/>
                <w:color w:val="000000" w:themeColor="text1"/>
                <w:sz w:val="18"/>
                <w:szCs w:val="18"/>
              </w:rPr>
              <w:t>39</w:t>
            </w:r>
            <w:r w:rsidR="00E7271C" w:rsidRPr="004B74CD">
              <w:rPr>
                <w:i/>
                <w:color w:val="000000" w:themeColor="text1"/>
                <w:sz w:val="18"/>
                <w:szCs w:val="18"/>
              </w:rPr>
              <w:t>.</w:t>
            </w:r>
            <w:r w:rsidR="004B74CD" w:rsidRPr="004B74CD">
              <w:rPr>
                <w:i/>
                <w:color w:val="000000" w:themeColor="text1"/>
                <w:sz w:val="18"/>
                <w:szCs w:val="18"/>
              </w:rPr>
              <w:t>8</w:t>
            </w:r>
            <w:r w:rsidRPr="004B74CD">
              <w:rPr>
                <w:i/>
                <w:color w:val="000000" w:themeColor="text1"/>
                <w:sz w:val="18"/>
                <w:szCs w:val="18"/>
              </w:rPr>
              <w:t>°C)</w:t>
            </w:r>
          </w:p>
        </w:tc>
      </w:tr>
      <w:tr w:rsidR="0059610E" w14:paraId="63EFEE3C" w14:textId="77777777" w:rsidTr="00D92824">
        <w:trPr>
          <w:trHeight w:val="227"/>
          <w:jc w:val="center"/>
        </w:trPr>
        <w:tc>
          <w:tcPr>
            <w:tcW w:w="3652" w:type="dxa"/>
            <w:shd w:val="clear" w:color="auto" w:fill="F3F9FA"/>
          </w:tcPr>
          <w:p w14:paraId="5719FAB6" w14:textId="1B61E292" w:rsidR="0059610E" w:rsidRPr="008D1B84" w:rsidRDefault="00C76195" w:rsidP="00DD3BAE">
            <w:pPr>
              <w:spacing w:before="0" w:after="0"/>
              <w:rPr>
                <w:sz w:val="18"/>
                <w:szCs w:val="18"/>
              </w:rPr>
            </w:pPr>
            <w:r>
              <w:rPr>
                <w:sz w:val="18"/>
                <w:szCs w:val="18"/>
              </w:rPr>
              <w:t>Within canopy light (2012-201</w:t>
            </w:r>
            <w:r w:rsidR="00F13469">
              <w:rPr>
                <w:sz w:val="18"/>
                <w:szCs w:val="18"/>
              </w:rPr>
              <w:t>7</w:t>
            </w:r>
            <w:r w:rsidR="0059610E" w:rsidRPr="008D1B84">
              <w:rPr>
                <w:sz w:val="18"/>
                <w:szCs w:val="18"/>
              </w:rPr>
              <w:t>)</w:t>
            </w:r>
          </w:p>
        </w:tc>
        <w:tc>
          <w:tcPr>
            <w:tcW w:w="2268" w:type="dxa"/>
            <w:shd w:val="clear" w:color="auto" w:fill="F3F9FA"/>
          </w:tcPr>
          <w:p w14:paraId="1AB3ED2A" w14:textId="482AC9E4" w:rsidR="0059610E" w:rsidRPr="00A860BC" w:rsidRDefault="00A860BC" w:rsidP="00DD3BAE">
            <w:pPr>
              <w:spacing w:before="0" w:after="0"/>
              <w:rPr>
                <w:color w:val="000000" w:themeColor="text1"/>
                <w:sz w:val="18"/>
                <w:szCs w:val="18"/>
              </w:rPr>
            </w:pPr>
            <w:r w:rsidRPr="00A860BC">
              <w:rPr>
                <w:color w:val="000000" w:themeColor="text1"/>
                <w:sz w:val="18"/>
                <w:szCs w:val="18"/>
              </w:rPr>
              <w:t>13.0</w:t>
            </w:r>
            <w:r w:rsidR="0059610E" w:rsidRPr="00A860BC">
              <w:rPr>
                <w:color w:val="000000" w:themeColor="text1"/>
                <w:sz w:val="18"/>
                <w:szCs w:val="18"/>
              </w:rPr>
              <w:t xml:space="preserve"> mol m</w:t>
            </w:r>
            <w:r w:rsidR="0059610E" w:rsidRPr="00A860BC">
              <w:rPr>
                <w:color w:val="000000" w:themeColor="text1"/>
                <w:sz w:val="18"/>
                <w:szCs w:val="18"/>
                <w:vertAlign w:val="superscript"/>
              </w:rPr>
              <w:t>-2</w:t>
            </w:r>
            <w:r w:rsidR="0059610E" w:rsidRPr="00A860BC">
              <w:rPr>
                <w:color w:val="000000" w:themeColor="text1"/>
                <w:sz w:val="18"/>
                <w:szCs w:val="18"/>
              </w:rPr>
              <w:t xml:space="preserve"> d</w:t>
            </w:r>
            <w:r w:rsidR="0059610E" w:rsidRPr="00A860BC">
              <w:rPr>
                <w:color w:val="000000" w:themeColor="text1"/>
                <w:sz w:val="18"/>
                <w:szCs w:val="18"/>
                <w:vertAlign w:val="superscript"/>
              </w:rPr>
              <w:t>-1</w:t>
            </w:r>
          </w:p>
        </w:tc>
        <w:tc>
          <w:tcPr>
            <w:tcW w:w="1559" w:type="dxa"/>
            <w:shd w:val="clear" w:color="auto" w:fill="F3F9FA"/>
          </w:tcPr>
          <w:p w14:paraId="039E1DF5" w14:textId="6740BDAB" w:rsidR="0059610E" w:rsidRPr="00A860BC" w:rsidRDefault="00A860BC" w:rsidP="00DD3BAE">
            <w:pPr>
              <w:spacing w:before="0" w:after="0"/>
              <w:rPr>
                <w:color w:val="000000" w:themeColor="text1"/>
                <w:sz w:val="18"/>
                <w:szCs w:val="18"/>
              </w:rPr>
            </w:pPr>
            <w:r w:rsidRPr="00A860BC">
              <w:rPr>
                <w:color w:val="000000" w:themeColor="text1"/>
                <w:sz w:val="18"/>
                <w:szCs w:val="18"/>
              </w:rPr>
              <w:t>10.8</w:t>
            </w:r>
            <w:r w:rsidR="0059610E" w:rsidRPr="00A860BC">
              <w:rPr>
                <w:color w:val="000000" w:themeColor="text1"/>
                <w:sz w:val="18"/>
                <w:szCs w:val="18"/>
              </w:rPr>
              <w:t xml:space="preserve"> mol m</w:t>
            </w:r>
            <w:r w:rsidR="0059610E" w:rsidRPr="00A860BC">
              <w:rPr>
                <w:color w:val="000000" w:themeColor="text1"/>
                <w:sz w:val="18"/>
                <w:szCs w:val="18"/>
                <w:vertAlign w:val="superscript"/>
              </w:rPr>
              <w:t>-2</w:t>
            </w:r>
            <w:r w:rsidR="0059610E" w:rsidRPr="00A860BC">
              <w:rPr>
                <w:color w:val="000000" w:themeColor="text1"/>
                <w:sz w:val="18"/>
                <w:szCs w:val="18"/>
              </w:rPr>
              <w:t xml:space="preserve"> d</w:t>
            </w:r>
            <w:r w:rsidR="0059610E" w:rsidRPr="00A860BC">
              <w:rPr>
                <w:color w:val="000000" w:themeColor="text1"/>
                <w:sz w:val="18"/>
                <w:szCs w:val="18"/>
                <w:vertAlign w:val="superscript"/>
              </w:rPr>
              <w:t>-1</w:t>
            </w:r>
          </w:p>
        </w:tc>
      </w:tr>
    </w:tbl>
    <w:p w14:paraId="3D36EF72" w14:textId="77777777" w:rsidR="00C4117D" w:rsidRDefault="00C4117D" w:rsidP="00DD3BAE">
      <w:pPr>
        <w:spacing w:before="0" w:after="0"/>
        <w:jc w:val="both"/>
        <w:rPr>
          <w:sz w:val="16"/>
          <w:szCs w:val="16"/>
        </w:rPr>
      </w:pPr>
    </w:p>
    <w:p w14:paraId="44FE4187" w14:textId="77777777" w:rsidR="00711815" w:rsidRPr="00015190" w:rsidRDefault="00711815" w:rsidP="00DD3BAE">
      <w:pPr>
        <w:keepNext/>
        <w:rPr>
          <w:i/>
          <w:vanish/>
          <w:color w:val="000000"/>
          <w:szCs w:val="22"/>
          <w:specVanish/>
        </w:rPr>
      </w:pPr>
      <w:bookmarkStart w:id="595" w:name="_Ref511390392"/>
      <w:bookmarkStart w:id="596" w:name="_Toc516053318"/>
      <w:r w:rsidRPr="00844AC3">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108</w:t>
      </w:r>
      <w:r w:rsidR="00C506C7">
        <w:rPr>
          <w:noProof/>
        </w:rPr>
        <w:fldChar w:fldCharType="end"/>
      </w:r>
      <w:bookmarkEnd w:id="595"/>
      <w:r w:rsidRPr="00844AC3">
        <w:t>.</w:t>
      </w:r>
      <w:r>
        <w:rPr>
          <w:i/>
        </w:rPr>
        <w:t xml:space="preserve"> </w:t>
      </w:r>
      <w:r w:rsidRPr="00844AC3">
        <w:rPr>
          <w:i/>
          <w:szCs w:val="22"/>
        </w:rPr>
        <w:t xml:space="preserve">Frequency of exposure to </w:t>
      </w:r>
      <w:r>
        <w:rPr>
          <w:i/>
        </w:rPr>
        <w:t>turbid</w:t>
      </w:r>
      <w:r w:rsidRPr="00FD0A74">
        <w:rPr>
          <w:i/>
        </w:rPr>
        <w:t xml:space="preserve"> water</w:t>
      </w:r>
      <w:r>
        <w:rPr>
          <w:i/>
        </w:rPr>
        <w:t xml:space="preserve"> (colour classes 1-5) </w:t>
      </w:r>
      <w:r w:rsidRPr="00844AC3">
        <w:rPr>
          <w:i/>
          <w:szCs w:val="22"/>
        </w:rPr>
        <w:t xml:space="preserve">in the Burnett Mary NRM, wet season (22 weeks from December </w:t>
      </w:r>
      <w:r w:rsidRPr="00756C7A">
        <w:rPr>
          <w:i/>
          <w:color w:val="000000" w:themeColor="text1"/>
          <w:szCs w:val="22"/>
        </w:rPr>
        <w:t xml:space="preserve">2016 – April 2017) </w:t>
      </w:r>
      <w:r w:rsidRPr="00844AC3">
        <w:rPr>
          <w:i/>
          <w:szCs w:val="22"/>
        </w:rPr>
        <w:t>composite.</w:t>
      </w:r>
      <w:bookmarkEnd w:id="596"/>
      <w:r w:rsidRPr="00844AC3">
        <w:rPr>
          <w:i/>
          <w:szCs w:val="22"/>
        </w:rPr>
        <w:t xml:space="preserve"> </w:t>
      </w:r>
    </w:p>
    <w:p w14:paraId="4890CFD1" w14:textId="4899214B" w:rsidR="00ED7313" w:rsidRDefault="00711815" w:rsidP="00DD3BAE">
      <w:pPr>
        <w:spacing w:before="0" w:after="0"/>
        <w:jc w:val="both"/>
        <w:rPr>
          <w:sz w:val="16"/>
          <w:szCs w:val="16"/>
        </w:rPr>
      </w:pPr>
      <w:r w:rsidRPr="00015190">
        <w:rPr>
          <w:i/>
          <w:color w:val="000000"/>
          <w:szCs w:val="22"/>
        </w:rPr>
        <w:t xml:space="preserve"> </w:t>
      </w:r>
      <w:r w:rsidRPr="00844AC3">
        <w:rPr>
          <w:i/>
          <w:szCs w:val="22"/>
        </w:rPr>
        <w:t xml:space="preserve">The frequency is calculated as the number of weeks out of 22 weeks that are exposed to primary or secondary water (colour classes 1 – 5). </w:t>
      </w:r>
      <w:r w:rsidRPr="00844AC3">
        <w:rPr>
          <w:i/>
        </w:rPr>
        <w:t>Each colour class category is described by mean water quality values for TSS, CDOM, chlorophyll a and K</w:t>
      </w:r>
      <w:r w:rsidRPr="00844AC3">
        <w:rPr>
          <w:i/>
          <w:vertAlign w:val="subscript"/>
        </w:rPr>
        <w:t>d</w:t>
      </w:r>
      <w:r w:rsidRPr="00844AC3">
        <w:rPr>
          <w:i/>
        </w:rPr>
        <w:t xml:space="preserve"> (PAR) </w:t>
      </w:r>
      <w:r w:rsidR="000B7516" w:rsidRPr="0041342B">
        <w:rPr>
          <w:i/>
        </w:rPr>
        <w:t>(</w:t>
      </w:r>
      <w:hyperlink w:anchor="_ENREF_82" w:tooltip="Devlin, 2015 #10405" w:history="1">
        <w:r w:rsidR="00305FE7" w:rsidRPr="0041342B">
          <w:rPr>
            <w:i/>
          </w:rPr>
          <w:fldChar w:fldCharType="begin"/>
        </w:r>
        <w:r w:rsidR="00305FE7">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305FE7" w:rsidRPr="0041342B">
          <w:rPr>
            <w:i/>
          </w:rPr>
          <w:fldChar w:fldCharType="separate"/>
        </w:r>
        <w:r w:rsidR="00305FE7">
          <w:rPr>
            <w:i/>
          </w:rPr>
          <w:t>Devlin et al. 2015</w:t>
        </w:r>
        <w:r w:rsidR="00305FE7" w:rsidRPr="0041342B">
          <w:rPr>
            <w:i/>
          </w:rPr>
          <w:fldChar w:fldCharType="end"/>
        </w:r>
      </w:hyperlink>
      <w:r w:rsidR="000B7516" w:rsidRPr="0041342B">
        <w:rPr>
          <w:i/>
        </w:rPr>
        <w:t>;</w:t>
      </w:r>
      <w:r w:rsidR="000B7516" w:rsidRPr="000B7516">
        <w:rPr>
          <w:i/>
        </w:rPr>
        <w:t xml:space="preserve"> </w:t>
      </w:r>
      <w:hyperlink w:anchor="_ENREF_233" w:tooltip="Waterhouse, 2018 #11521" w:history="1">
        <w:r w:rsidR="00305FE7">
          <w:rPr>
            <w:i/>
          </w:rPr>
          <w:fldChar w:fldCharType="begin"/>
        </w:r>
        <w:r w:rsidR="00305FE7">
          <w:rPr>
            <w:i/>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rPr>
          <w:fldChar w:fldCharType="separate"/>
        </w:r>
        <w:r w:rsidR="00305FE7">
          <w:rPr>
            <w:i/>
            <w:noProof/>
          </w:rPr>
          <w:t>Waterhouse et al. 2018</w:t>
        </w:r>
        <w:r w:rsidR="00305FE7">
          <w:rPr>
            <w:i/>
          </w:rPr>
          <w:fldChar w:fldCharType="end"/>
        </w:r>
      </w:hyperlink>
      <w:r w:rsidR="000B7516" w:rsidRPr="0041342B">
        <w:rPr>
          <w:i/>
        </w:rPr>
        <w:t>)</w:t>
      </w:r>
      <w:r w:rsidRPr="00844AC3">
        <w:rPr>
          <w:i/>
        </w:rPr>
        <w:t xml:space="preserve">. For site details, </w:t>
      </w:r>
      <w:r w:rsidR="00853640">
        <w:rPr>
          <w:noProof/>
          <w:color w:val="000000"/>
          <w:szCs w:val="22"/>
          <w:lang w:eastAsia="en-AU"/>
        </w:rPr>
        <w:drawing>
          <wp:anchor distT="0" distB="0" distL="114300" distR="114300" simplePos="0" relativeHeight="251655680" behindDoc="0" locked="0" layoutInCell="1" allowOverlap="1" wp14:anchorId="04ED56F1" wp14:editId="062FF1DA">
            <wp:simplePos x="0" y="0"/>
            <wp:positionH relativeFrom="column">
              <wp:posOffset>66675</wp:posOffset>
            </wp:positionH>
            <wp:positionV relativeFrom="paragraph">
              <wp:posOffset>67945</wp:posOffset>
            </wp:positionV>
            <wp:extent cx="2874645" cy="4123690"/>
            <wp:effectExtent l="0" t="0" r="1905" b="0"/>
            <wp:wrapSquare wrapText="right"/>
            <wp:docPr id="538" name="Picture 538" descr="Composite graph showing the location of each seagrass monitoring site and the frequency of exposure to plume water in the Burnett Mary NRM, wet season from December 2016 – April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 Mary sites_legend.png"/>
                    <pic:cNvPicPr/>
                  </pic:nvPicPr>
                  <pic:blipFill>
                    <a:blip r:embed="rId146"/>
                    <a:stretch>
                      <a:fillRect/>
                    </a:stretch>
                  </pic:blipFill>
                  <pic:spPr>
                    <a:xfrm>
                      <a:off x="0" y="0"/>
                      <a:ext cx="2874645" cy="4123690"/>
                    </a:xfrm>
                    <a:prstGeom prst="rect">
                      <a:avLst/>
                    </a:prstGeom>
                  </pic:spPr>
                </pic:pic>
              </a:graphicData>
            </a:graphic>
            <wp14:sizeRelH relativeFrom="margin">
              <wp14:pctWidth>0</wp14:pctWidth>
            </wp14:sizeRelH>
            <wp14:sizeRelV relativeFrom="margin">
              <wp14:pctHeight>0</wp14:pctHeight>
            </wp14:sizeRelV>
          </wp:anchor>
        </w:drawing>
      </w:r>
      <w:bookmarkStart w:id="597" w:name="_Ref461779178"/>
    </w:p>
    <w:bookmarkEnd w:id="597"/>
    <w:p w14:paraId="2715AF4A" w14:textId="776B9172" w:rsidR="0059610E" w:rsidRPr="00844AC3" w:rsidRDefault="00FF0A86" w:rsidP="00DD3BAE">
      <w:pPr>
        <w:spacing w:before="0" w:after="0"/>
        <w:rPr>
          <w:i/>
          <w:szCs w:val="22"/>
        </w:rPr>
      </w:pPr>
      <w:r w:rsidRPr="00844AC3">
        <w:rPr>
          <w:i/>
        </w:rPr>
        <w:t xml:space="preserve">see </w:t>
      </w:r>
      <w:r w:rsidR="00995B85" w:rsidRPr="00844AC3">
        <w:rPr>
          <w:i/>
        </w:rPr>
        <w:fldChar w:fldCharType="begin"/>
      </w:r>
      <w:r w:rsidR="00995B85" w:rsidRPr="00844AC3">
        <w:rPr>
          <w:i/>
        </w:rPr>
        <w:instrText xml:space="preserve"> REF _Ref473898769 \h </w:instrText>
      </w:r>
      <w:r w:rsidR="00844AC3" w:rsidRPr="00844AC3">
        <w:rPr>
          <w:i/>
        </w:rPr>
        <w:instrText xml:space="preserve"> \* MERGEFORMAT </w:instrText>
      </w:r>
      <w:r w:rsidR="00995B85" w:rsidRPr="00844AC3">
        <w:rPr>
          <w:i/>
        </w:rPr>
      </w:r>
      <w:r w:rsidR="00995B85" w:rsidRPr="00844AC3">
        <w:rPr>
          <w:i/>
        </w:rPr>
        <w:fldChar w:fldCharType="separate"/>
      </w:r>
      <w:r w:rsidR="00F87DF9" w:rsidRPr="00F87DF9">
        <w:rPr>
          <w:i/>
        </w:rPr>
        <w:t xml:space="preserve">Table </w:t>
      </w:r>
      <w:r w:rsidR="00F87DF9" w:rsidRPr="00F87DF9">
        <w:rPr>
          <w:i/>
          <w:noProof/>
        </w:rPr>
        <w:t>34</w:t>
      </w:r>
      <w:r w:rsidR="00995B85" w:rsidRPr="00844AC3">
        <w:rPr>
          <w:i/>
        </w:rPr>
        <w:fldChar w:fldCharType="end"/>
      </w:r>
      <w:r w:rsidRPr="00844AC3">
        <w:rPr>
          <w:i/>
        </w:rPr>
        <w:t>.</w:t>
      </w:r>
    </w:p>
    <w:p w14:paraId="6FBE4EE9" w14:textId="77777777" w:rsidR="00F9188C" w:rsidRDefault="00F9188C" w:rsidP="00DD3BAE">
      <w:pPr>
        <w:rPr>
          <w:color w:val="000000"/>
          <w:szCs w:val="22"/>
        </w:rPr>
      </w:pPr>
    </w:p>
    <w:p w14:paraId="2D663138" w14:textId="0CDBFF45" w:rsidR="00D92824" w:rsidRPr="00BE73F7" w:rsidRDefault="0059610E" w:rsidP="00DD3BAE">
      <w:pPr>
        <w:keepNext/>
        <w:rPr>
          <w:i/>
          <w:vanish/>
          <w:specVanish/>
        </w:rPr>
      </w:pPr>
      <w:bookmarkStart w:id="598" w:name="_Ref314329818"/>
      <w:bookmarkStart w:id="599" w:name="_Toc516053457"/>
      <w:r w:rsidRPr="00BE73F7">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33</w:t>
      </w:r>
      <w:r w:rsidR="00C506C7">
        <w:rPr>
          <w:noProof/>
        </w:rPr>
        <w:fldChar w:fldCharType="end"/>
      </w:r>
      <w:bookmarkEnd w:id="598"/>
      <w:r w:rsidRPr="00BE73F7">
        <w:rPr>
          <w:i/>
        </w:rPr>
        <w:t>. Water type at each location in the Burnett Mary NRM derived from MODIS true colour images</w:t>
      </w:r>
      <w:bookmarkEnd w:id="599"/>
    </w:p>
    <w:p w14:paraId="447AF215" w14:textId="6B67A759" w:rsidR="0059610E" w:rsidRDefault="0059610E" w:rsidP="00DD3BAE">
      <w:pPr>
        <w:keepNext/>
        <w:rPr>
          <w:i/>
        </w:rPr>
      </w:pPr>
      <w:r w:rsidRPr="00BE73F7">
        <w:rPr>
          <w:i/>
        </w:rPr>
        <w:t xml:space="preserve">as colour classes of turbid primary water (class 1 – 4, red/brown), nutrient/chlorophyll-enriched secondary water (class 5, green), and tertiary (some freshwater/CDOM influence) or no plume influence (class 6 and 7 respectively, blue), for 22 weeks from </w:t>
      </w:r>
      <w:r w:rsidRPr="00ED7313">
        <w:rPr>
          <w:i/>
          <w:color w:val="000000" w:themeColor="text1"/>
        </w:rPr>
        <w:t>December 201</w:t>
      </w:r>
      <w:r w:rsidR="00ED7313" w:rsidRPr="00ED7313">
        <w:rPr>
          <w:i/>
          <w:color w:val="000000" w:themeColor="text1"/>
        </w:rPr>
        <w:t>6</w:t>
      </w:r>
      <w:r w:rsidRPr="00ED7313">
        <w:rPr>
          <w:i/>
          <w:color w:val="000000" w:themeColor="text1"/>
        </w:rPr>
        <w:t xml:space="preserve"> – April 201</w:t>
      </w:r>
      <w:r w:rsidR="00ED7313" w:rsidRPr="00ED7313">
        <w:rPr>
          <w:i/>
          <w:color w:val="000000" w:themeColor="text1"/>
        </w:rPr>
        <w:t>7</w:t>
      </w:r>
      <w:r w:rsidRPr="00ED7313">
        <w:rPr>
          <w:i/>
          <w:color w:val="000000" w:themeColor="text1"/>
        </w:rPr>
        <w:t xml:space="preserve">. Also </w:t>
      </w:r>
      <w:r w:rsidRPr="00BE73F7">
        <w:rPr>
          <w:i/>
        </w:rPr>
        <w:t>shown, median wet season colour class (Med), frequency of primary water as f</w:t>
      </w:r>
      <w:r w:rsidRPr="00BE73F7">
        <w:rPr>
          <w:i/>
          <w:vertAlign w:val="subscript"/>
        </w:rPr>
        <w:t>(P)</w:t>
      </w:r>
      <w:r w:rsidRPr="00BE73F7">
        <w:rPr>
          <w:i/>
        </w:rPr>
        <w:t>, the frequency of secondary water as f</w:t>
      </w:r>
      <w:r w:rsidRPr="00BE73F7">
        <w:rPr>
          <w:i/>
          <w:vertAlign w:val="subscript"/>
        </w:rPr>
        <w:t>(S)</w:t>
      </w:r>
      <w:r w:rsidRPr="00BE73F7">
        <w:rPr>
          <w:i/>
        </w:rPr>
        <w:t>, and the frequency of primary or secondary as f</w:t>
      </w:r>
      <w:r w:rsidRPr="00BE73F7">
        <w:rPr>
          <w:i/>
          <w:vertAlign w:val="subscript"/>
        </w:rPr>
        <w:t>(P+S)</w:t>
      </w:r>
      <w:r w:rsidRPr="00BE73F7">
        <w:rPr>
          <w:i/>
        </w:rPr>
        <w:t>. *denotes dat</w:t>
      </w:r>
      <w:r w:rsidR="001A5B38" w:rsidRPr="00BE73F7">
        <w:rPr>
          <w:i/>
        </w:rPr>
        <w:t>a obtained from adjacent pixel.</w:t>
      </w:r>
    </w:p>
    <w:p w14:paraId="028BF314" w14:textId="77777777" w:rsidR="00C4117D" w:rsidRPr="00C4117D" w:rsidRDefault="00C4117D" w:rsidP="00DD3BAE">
      <w:pPr>
        <w:rPr>
          <w:color w:val="000000" w:themeColor="text1"/>
        </w:rPr>
      </w:pPr>
    </w:p>
    <w:tbl>
      <w:tblPr>
        <w:tblW w:w="10491" w:type="dxa"/>
        <w:tblInd w:w="-426" w:type="dxa"/>
        <w:tblBorders>
          <w:top w:val="nil"/>
          <w:left w:val="nil"/>
          <w:right w:val="nil"/>
        </w:tblBorders>
        <w:tblLayout w:type="fixed"/>
        <w:tblLook w:val="0000" w:firstRow="0" w:lastRow="0" w:firstColumn="0" w:lastColumn="0" w:noHBand="0" w:noVBand="0"/>
      </w:tblPr>
      <w:tblGrid>
        <w:gridCol w:w="811"/>
        <w:gridCol w:w="351"/>
        <w:gridCol w:w="351"/>
        <w:gridCol w:w="351"/>
        <w:gridCol w:w="351"/>
        <w:gridCol w:w="352"/>
        <w:gridCol w:w="352"/>
        <w:gridCol w:w="352"/>
        <w:gridCol w:w="352"/>
        <w:gridCol w:w="352"/>
        <w:gridCol w:w="377"/>
        <w:gridCol w:w="377"/>
        <w:gridCol w:w="377"/>
        <w:gridCol w:w="377"/>
        <w:gridCol w:w="377"/>
        <w:gridCol w:w="377"/>
        <w:gridCol w:w="377"/>
        <w:gridCol w:w="377"/>
        <w:gridCol w:w="377"/>
        <w:gridCol w:w="377"/>
        <w:gridCol w:w="377"/>
        <w:gridCol w:w="377"/>
        <w:gridCol w:w="377"/>
        <w:gridCol w:w="557"/>
        <w:gridCol w:w="491"/>
        <w:gridCol w:w="567"/>
      </w:tblGrid>
      <w:tr w:rsidR="00ED7313" w:rsidRPr="00ED7313" w14:paraId="64B5EC60" w14:textId="77777777" w:rsidTr="00ED7313">
        <w:tc>
          <w:tcPr>
            <w:tcW w:w="811" w:type="dxa"/>
            <w:tcBorders>
              <w:top w:val="single" w:sz="4" w:space="0" w:color="000000" w:themeColor="text1"/>
              <w:left w:val="nil"/>
              <w:bottom w:val="single" w:sz="4" w:space="0" w:color="000000" w:themeColor="text1"/>
            </w:tcBorders>
            <w:vAlign w:val="center"/>
          </w:tcPr>
          <w:p w14:paraId="2B12C96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Site</w:t>
            </w:r>
          </w:p>
        </w:tc>
        <w:tc>
          <w:tcPr>
            <w:tcW w:w="351" w:type="dxa"/>
            <w:tcBorders>
              <w:top w:val="single" w:sz="4" w:space="0" w:color="000000" w:themeColor="text1"/>
              <w:bottom w:val="single" w:sz="4" w:space="0" w:color="000000" w:themeColor="text1"/>
            </w:tcBorders>
            <w:vAlign w:val="center"/>
          </w:tcPr>
          <w:p w14:paraId="0AC4501B"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1" w:type="dxa"/>
            <w:tcBorders>
              <w:top w:val="single" w:sz="4" w:space="0" w:color="000000" w:themeColor="text1"/>
              <w:bottom w:val="single" w:sz="4" w:space="0" w:color="000000" w:themeColor="text1"/>
            </w:tcBorders>
            <w:vAlign w:val="center"/>
          </w:tcPr>
          <w:p w14:paraId="2841C25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1" w:type="dxa"/>
            <w:tcBorders>
              <w:top w:val="single" w:sz="4" w:space="0" w:color="000000" w:themeColor="text1"/>
              <w:bottom w:val="single" w:sz="4" w:space="0" w:color="000000" w:themeColor="text1"/>
            </w:tcBorders>
            <w:vAlign w:val="center"/>
          </w:tcPr>
          <w:p w14:paraId="7DC8AB9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1" w:type="dxa"/>
            <w:tcBorders>
              <w:top w:val="single" w:sz="4" w:space="0" w:color="000000" w:themeColor="text1"/>
              <w:bottom w:val="single" w:sz="4" w:space="0" w:color="000000" w:themeColor="text1"/>
            </w:tcBorders>
            <w:vAlign w:val="center"/>
          </w:tcPr>
          <w:p w14:paraId="166AA31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2" w:type="dxa"/>
            <w:tcBorders>
              <w:top w:val="single" w:sz="4" w:space="0" w:color="000000" w:themeColor="text1"/>
              <w:bottom w:val="single" w:sz="4" w:space="0" w:color="000000" w:themeColor="text1"/>
            </w:tcBorders>
            <w:vAlign w:val="center"/>
          </w:tcPr>
          <w:p w14:paraId="14001CF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52" w:type="dxa"/>
            <w:tcBorders>
              <w:top w:val="single" w:sz="4" w:space="0" w:color="000000" w:themeColor="text1"/>
              <w:bottom w:val="single" w:sz="4" w:space="0" w:color="000000" w:themeColor="text1"/>
            </w:tcBorders>
            <w:vAlign w:val="center"/>
          </w:tcPr>
          <w:p w14:paraId="63635D75"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6</w:t>
            </w:r>
          </w:p>
        </w:tc>
        <w:tc>
          <w:tcPr>
            <w:tcW w:w="352" w:type="dxa"/>
            <w:tcBorders>
              <w:top w:val="single" w:sz="4" w:space="0" w:color="000000" w:themeColor="text1"/>
              <w:bottom w:val="single" w:sz="4" w:space="0" w:color="000000" w:themeColor="text1"/>
            </w:tcBorders>
            <w:vAlign w:val="center"/>
          </w:tcPr>
          <w:p w14:paraId="760540C5"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7</w:t>
            </w:r>
          </w:p>
        </w:tc>
        <w:tc>
          <w:tcPr>
            <w:tcW w:w="352" w:type="dxa"/>
            <w:tcBorders>
              <w:top w:val="single" w:sz="4" w:space="0" w:color="000000" w:themeColor="text1"/>
              <w:bottom w:val="single" w:sz="4" w:space="0" w:color="000000" w:themeColor="text1"/>
            </w:tcBorders>
            <w:vAlign w:val="center"/>
          </w:tcPr>
          <w:p w14:paraId="4292BBA7"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8</w:t>
            </w:r>
          </w:p>
        </w:tc>
        <w:tc>
          <w:tcPr>
            <w:tcW w:w="352" w:type="dxa"/>
            <w:tcBorders>
              <w:top w:val="single" w:sz="4" w:space="0" w:color="000000" w:themeColor="text1"/>
              <w:bottom w:val="single" w:sz="4" w:space="0" w:color="000000" w:themeColor="text1"/>
            </w:tcBorders>
            <w:vAlign w:val="center"/>
          </w:tcPr>
          <w:p w14:paraId="1235D9B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9</w:t>
            </w:r>
          </w:p>
        </w:tc>
        <w:tc>
          <w:tcPr>
            <w:tcW w:w="377" w:type="dxa"/>
            <w:tcBorders>
              <w:top w:val="single" w:sz="4" w:space="0" w:color="000000" w:themeColor="text1"/>
              <w:bottom w:val="single" w:sz="4" w:space="0" w:color="000000" w:themeColor="text1"/>
            </w:tcBorders>
            <w:vAlign w:val="center"/>
          </w:tcPr>
          <w:p w14:paraId="36ED6E5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10</w:t>
            </w:r>
          </w:p>
        </w:tc>
        <w:tc>
          <w:tcPr>
            <w:tcW w:w="377" w:type="dxa"/>
            <w:tcBorders>
              <w:top w:val="single" w:sz="4" w:space="0" w:color="000000" w:themeColor="text1"/>
              <w:bottom w:val="single" w:sz="4" w:space="0" w:color="000000" w:themeColor="text1"/>
            </w:tcBorders>
            <w:vAlign w:val="center"/>
          </w:tcPr>
          <w:p w14:paraId="4DADB51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11</w:t>
            </w:r>
          </w:p>
        </w:tc>
        <w:tc>
          <w:tcPr>
            <w:tcW w:w="377" w:type="dxa"/>
            <w:tcBorders>
              <w:top w:val="single" w:sz="4" w:space="0" w:color="000000" w:themeColor="text1"/>
              <w:bottom w:val="single" w:sz="4" w:space="0" w:color="000000" w:themeColor="text1"/>
            </w:tcBorders>
            <w:vAlign w:val="center"/>
          </w:tcPr>
          <w:p w14:paraId="1C0874B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12</w:t>
            </w:r>
          </w:p>
        </w:tc>
        <w:tc>
          <w:tcPr>
            <w:tcW w:w="377" w:type="dxa"/>
            <w:tcBorders>
              <w:top w:val="single" w:sz="4" w:space="0" w:color="000000" w:themeColor="text1"/>
              <w:bottom w:val="single" w:sz="4" w:space="0" w:color="000000" w:themeColor="text1"/>
            </w:tcBorders>
            <w:vAlign w:val="center"/>
          </w:tcPr>
          <w:p w14:paraId="0B727004"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13</w:t>
            </w:r>
          </w:p>
        </w:tc>
        <w:tc>
          <w:tcPr>
            <w:tcW w:w="377" w:type="dxa"/>
            <w:tcBorders>
              <w:top w:val="single" w:sz="4" w:space="0" w:color="000000" w:themeColor="text1"/>
              <w:bottom w:val="single" w:sz="4" w:space="0" w:color="000000" w:themeColor="text1"/>
            </w:tcBorders>
            <w:vAlign w:val="center"/>
          </w:tcPr>
          <w:p w14:paraId="404013A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14</w:t>
            </w:r>
          </w:p>
        </w:tc>
        <w:tc>
          <w:tcPr>
            <w:tcW w:w="377" w:type="dxa"/>
            <w:tcBorders>
              <w:top w:val="single" w:sz="4" w:space="0" w:color="000000" w:themeColor="text1"/>
              <w:bottom w:val="single" w:sz="4" w:space="0" w:color="000000" w:themeColor="text1"/>
            </w:tcBorders>
            <w:vAlign w:val="center"/>
          </w:tcPr>
          <w:p w14:paraId="753E00F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15</w:t>
            </w:r>
          </w:p>
        </w:tc>
        <w:tc>
          <w:tcPr>
            <w:tcW w:w="377" w:type="dxa"/>
            <w:tcBorders>
              <w:top w:val="single" w:sz="4" w:space="0" w:color="000000" w:themeColor="text1"/>
              <w:bottom w:val="single" w:sz="4" w:space="0" w:color="000000" w:themeColor="text1"/>
            </w:tcBorders>
            <w:vAlign w:val="center"/>
          </w:tcPr>
          <w:p w14:paraId="66B72E9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16</w:t>
            </w:r>
          </w:p>
        </w:tc>
        <w:tc>
          <w:tcPr>
            <w:tcW w:w="377" w:type="dxa"/>
            <w:tcBorders>
              <w:top w:val="single" w:sz="4" w:space="0" w:color="000000" w:themeColor="text1"/>
              <w:bottom w:val="single" w:sz="4" w:space="0" w:color="000000" w:themeColor="text1"/>
            </w:tcBorders>
            <w:vAlign w:val="center"/>
          </w:tcPr>
          <w:p w14:paraId="1C8409B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17</w:t>
            </w:r>
          </w:p>
        </w:tc>
        <w:tc>
          <w:tcPr>
            <w:tcW w:w="377" w:type="dxa"/>
            <w:tcBorders>
              <w:top w:val="single" w:sz="4" w:space="0" w:color="000000" w:themeColor="text1"/>
              <w:bottom w:val="single" w:sz="4" w:space="0" w:color="000000" w:themeColor="text1"/>
            </w:tcBorders>
            <w:vAlign w:val="center"/>
          </w:tcPr>
          <w:p w14:paraId="107477D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18</w:t>
            </w:r>
          </w:p>
        </w:tc>
        <w:tc>
          <w:tcPr>
            <w:tcW w:w="377" w:type="dxa"/>
            <w:tcBorders>
              <w:top w:val="single" w:sz="4" w:space="0" w:color="000000" w:themeColor="text1"/>
              <w:bottom w:val="single" w:sz="4" w:space="0" w:color="000000" w:themeColor="text1"/>
            </w:tcBorders>
            <w:vAlign w:val="center"/>
          </w:tcPr>
          <w:p w14:paraId="5F2515F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19</w:t>
            </w:r>
          </w:p>
        </w:tc>
        <w:tc>
          <w:tcPr>
            <w:tcW w:w="377" w:type="dxa"/>
            <w:tcBorders>
              <w:top w:val="single" w:sz="4" w:space="0" w:color="000000" w:themeColor="text1"/>
              <w:bottom w:val="single" w:sz="4" w:space="0" w:color="000000" w:themeColor="text1"/>
            </w:tcBorders>
            <w:vAlign w:val="center"/>
          </w:tcPr>
          <w:p w14:paraId="2CC98A4A"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20</w:t>
            </w:r>
          </w:p>
        </w:tc>
        <w:tc>
          <w:tcPr>
            <w:tcW w:w="377" w:type="dxa"/>
            <w:tcBorders>
              <w:top w:val="single" w:sz="4" w:space="0" w:color="000000" w:themeColor="text1"/>
              <w:bottom w:val="single" w:sz="4" w:space="0" w:color="000000" w:themeColor="text1"/>
            </w:tcBorders>
            <w:vAlign w:val="center"/>
          </w:tcPr>
          <w:p w14:paraId="4ACB0AA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21</w:t>
            </w:r>
          </w:p>
        </w:tc>
        <w:tc>
          <w:tcPr>
            <w:tcW w:w="377" w:type="dxa"/>
            <w:tcBorders>
              <w:top w:val="single" w:sz="4" w:space="0" w:color="000000" w:themeColor="text1"/>
              <w:bottom w:val="single" w:sz="4" w:space="0" w:color="000000" w:themeColor="text1"/>
            </w:tcBorders>
            <w:vAlign w:val="center"/>
          </w:tcPr>
          <w:p w14:paraId="6A63A2D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22</w:t>
            </w:r>
          </w:p>
        </w:tc>
        <w:tc>
          <w:tcPr>
            <w:tcW w:w="557" w:type="dxa"/>
            <w:tcBorders>
              <w:top w:val="single" w:sz="4" w:space="0" w:color="000000" w:themeColor="text1"/>
              <w:bottom w:val="single" w:sz="4" w:space="0" w:color="000000" w:themeColor="text1"/>
            </w:tcBorders>
            <w:vAlign w:val="center"/>
          </w:tcPr>
          <w:p w14:paraId="0B6B28F1"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i/>
                <w:iCs/>
                <w:color w:val="000000"/>
                <w:sz w:val="14"/>
                <w:szCs w:val="14"/>
                <w:lang w:eastAsia="en-AU"/>
              </w:rPr>
              <w:t>f</w:t>
            </w:r>
            <w:r w:rsidRPr="00ED7313">
              <w:rPr>
                <w:rFonts w:ascii="Times" w:hAnsi="Times" w:cs="Times"/>
                <w:b/>
                <w:bCs/>
                <w:color w:val="000000"/>
                <w:sz w:val="14"/>
                <w:szCs w:val="14"/>
                <w:vertAlign w:val="subscript"/>
                <w:lang w:eastAsia="en-AU"/>
              </w:rPr>
              <w:t>(P)</w:t>
            </w:r>
          </w:p>
        </w:tc>
        <w:tc>
          <w:tcPr>
            <w:tcW w:w="491" w:type="dxa"/>
            <w:tcBorders>
              <w:top w:val="single" w:sz="4" w:space="0" w:color="000000" w:themeColor="text1"/>
              <w:bottom w:val="single" w:sz="4" w:space="0" w:color="000000" w:themeColor="text1"/>
            </w:tcBorders>
            <w:vAlign w:val="center"/>
          </w:tcPr>
          <w:p w14:paraId="290E4B51"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f</w:t>
            </w:r>
            <w:r w:rsidRPr="00ED7313">
              <w:rPr>
                <w:rFonts w:ascii="Times" w:hAnsi="Times" w:cs="Times"/>
                <w:b/>
                <w:bCs/>
                <w:color w:val="000000"/>
                <w:sz w:val="14"/>
                <w:szCs w:val="14"/>
                <w:vertAlign w:val="subscript"/>
                <w:lang w:eastAsia="en-AU"/>
              </w:rPr>
              <w:t>(S)</w:t>
            </w:r>
          </w:p>
        </w:tc>
        <w:tc>
          <w:tcPr>
            <w:tcW w:w="567" w:type="dxa"/>
            <w:tcBorders>
              <w:top w:val="single" w:sz="4" w:space="0" w:color="000000" w:themeColor="text1"/>
              <w:bottom w:val="single" w:sz="4" w:space="0" w:color="000000" w:themeColor="text1"/>
              <w:right w:val="nil"/>
            </w:tcBorders>
            <w:vAlign w:val="center"/>
          </w:tcPr>
          <w:p w14:paraId="246C2AE2"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f</w:t>
            </w:r>
            <w:r w:rsidRPr="00ED7313">
              <w:rPr>
                <w:rFonts w:ascii="Times" w:hAnsi="Times" w:cs="Times"/>
                <w:b/>
                <w:bCs/>
                <w:color w:val="000000"/>
                <w:sz w:val="14"/>
                <w:szCs w:val="14"/>
                <w:vertAlign w:val="subscript"/>
                <w:lang w:eastAsia="en-AU"/>
              </w:rPr>
              <w:t>(P+S)</w:t>
            </w:r>
          </w:p>
        </w:tc>
      </w:tr>
      <w:tr w:rsidR="00ED7313" w:rsidRPr="00ED7313" w14:paraId="5CC4BF27" w14:textId="77777777" w:rsidTr="00ED7313">
        <w:tblPrEx>
          <w:tblBorders>
            <w:top w:val="none" w:sz="0" w:space="0" w:color="auto"/>
          </w:tblBorders>
        </w:tblPrEx>
        <w:tc>
          <w:tcPr>
            <w:tcW w:w="811" w:type="dxa"/>
            <w:tcBorders>
              <w:top w:val="single" w:sz="4" w:space="0" w:color="000000" w:themeColor="text1"/>
              <w:right w:val="single" w:sz="8" w:space="0" w:color="FFFFFF" w:themeColor="background1"/>
            </w:tcBorders>
            <w:vAlign w:val="center"/>
          </w:tcPr>
          <w:p w14:paraId="323A1BA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RD1, RD2</w:t>
            </w:r>
          </w:p>
        </w:tc>
        <w:tc>
          <w:tcPr>
            <w:tcW w:w="351" w:type="dxa"/>
            <w:tcBorders>
              <w:top w:val="single" w:sz="4" w:space="0" w:color="000000" w:themeColor="text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7A42D9E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1"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1ADB09B"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1"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F5D0DBD"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1"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FE4E70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B7EAE9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5FC843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367FB2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71AFF94"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2"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1CBA6A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CC474D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7C3035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F650DE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2D25DA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B60E077"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E8FD94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0F8F141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vAlign w:val="center"/>
          </w:tcPr>
          <w:p w14:paraId="7F01AE8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E90A55D"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E24CF9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53D39A9"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4" w:space="0" w:color="000000" w:themeColor="text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08D9E5C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4" w:space="0" w:color="000000" w:themeColor="text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2A500364"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557" w:type="dxa"/>
            <w:tcBorders>
              <w:top w:val="single" w:sz="4" w:space="0" w:color="000000" w:themeColor="text1"/>
              <w:left w:val="single" w:sz="8" w:space="0" w:color="FFFFFF" w:themeColor="background1"/>
            </w:tcBorders>
            <w:vAlign w:val="center"/>
          </w:tcPr>
          <w:p w14:paraId="5A9EEAD8"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0.95</w:t>
            </w:r>
          </w:p>
        </w:tc>
        <w:tc>
          <w:tcPr>
            <w:tcW w:w="491" w:type="dxa"/>
            <w:tcBorders>
              <w:top w:val="single" w:sz="4" w:space="0" w:color="000000" w:themeColor="text1"/>
            </w:tcBorders>
            <w:vAlign w:val="center"/>
          </w:tcPr>
          <w:p w14:paraId="1DA4404E"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0.05</w:t>
            </w:r>
          </w:p>
        </w:tc>
        <w:tc>
          <w:tcPr>
            <w:tcW w:w="567" w:type="dxa"/>
            <w:tcBorders>
              <w:top w:val="single" w:sz="4" w:space="0" w:color="000000" w:themeColor="text1"/>
            </w:tcBorders>
            <w:vAlign w:val="center"/>
          </w:tcPr>
          <w:p w14:paraId="4143B006"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1.00</w:t>
            </w:r>
          </w:p>
        </w:tc>
      </w:tr>
      <w:tr w:rsidR="00ED7313" w:rsidRPr="00ED7313" w14:paraId="16D9577A" w14:textId="77777777" w:rsidTr="00ED7313">
        <w:tblPrEx>
          <w:tblBorders>
            <w:top w:val="none" w:sz="0" w:space="0" w:color="auto"/>
          </w:tblBorders>
        </w:tblPrEx>
        <w:tc>
          <w:tcPr>
            <w:tcW w:w="811" w:type="dxa"/>
            <w:tcBorders>
              <w:right w:val="single" w:sz="8" w:space="0" w:color="FFFFFF" w:themeColor="background1"/>
            </w:tcBorders>
            <w:vAlign w:val="center"/>
          </w:tcPr>
          <w:p w14:paraId="02E6275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BH1, BH2</w:t>
            </w:r>
          </w:p>
        </w:tc>
        <w:tc>
          <w:tcPr>
            <w:tcW w:w="351" w:type="dxa"/>
            <w:tcBorders>
              <w:top w:val="single" w:sz="6" w:space="0" w:color="FFFFFF" w:themeColor="background1"/>
              <w:left w:val="single" w:sz="8" w:space="0" w:color="FFFFFF" w:themeColor="background1"/>
              <w:bottom w:val="single" w:sz="6" w:space="0" w:color="FFFFFF" w:themeColor="background1"/>
              <w:right w:val="single" w:sz="6" w:space="0" w:color="FFFFFF" w:themeColor="background1"/>
            </w:tcBorders>
            <w:shd w:val="clear" w:color="auto" w:fill="B84410"/>
            <w:vAlign w:val="center"/>
          </w:tcPr>
          <w:p w14:paraId="5280FFB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9DEDCA9"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5C40D5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D3FD90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5575E45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26C6C989"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32E490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1B3D36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2"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AC2E68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2135C8D"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BD2894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76EA476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14C15079"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738EBBA"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DB81A2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BDBA5"/>
            <w:vAlign w:val="center"/>
          </w:tcPr>
          <w:p w14:paraId="5ACF62D7"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610FBFC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43DF25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4785D4E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7445AD0F"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84410"/>
            <w:vAlign w:val="center"/>
          </w:tcPr>
          <w:p w14:paraId="300CFE0E"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shd w:val="clear" w:color="auto" w:fill="B84410"/>
            <w:vAlign w:val="center"/>
          </w:tcPr>
          <w:p w14:paraId="7D7B1E3F"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557" w:type="dxa"/>
            <w:tcBorders>
              <w:left w:val="single" w:sz="8" w:space="0" w:color="FFFFFF" w:themeColor="background1"/>
            </w:tcBorders>
            <w:vAlign w:val="center"/>
          </w:tcPr>
          <w:p w14:paraId="77445BCE"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0.86</w:t>
            </w:r>
          </w:p>
        </w:tc>
        <w:tc>
          <w:tcPr>
            <w:tcW w:w="491" w:type="dxa"/>
            <w:vAlign w:val="center"/>
          </w:tcPr>
          <w:p w14:paraId="1482F708"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0.14</w:t>
            </w:r>
          </w:p>
        </w:tc>
        <w:tc>
          <w:tcPr>
            <w:tcW w:w="567" w:type="dxa"/>
            <w:vAlign w:val="center"/>
          </w:tcPr>
          <w:p w14:paraId="7F4BB7DB"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1.00</w:t>
            </w:r>
          </w:p>
        </w:tc>
      </w:tr>
      <w:tr w:rsidR="00ED7313" w:rsidRPr="00ED7313" w14:paraId="4756C6C2" w14:textId="77777777" w:rsidTr="00ED7313">
        <w:tblPrEx>
          <w:tblBorders>
            <w:top w:val="none" w:sz="0" w:space="0" w:color="auto"/>
          </w:tblBorders>
        </w:tblPrEx>
        <w:tc>
          <w:tcPr>
            <w:tcW w:w="811" w:type="dxa"/>
            <w:tcBorders>
              <w:bottom w:val="nil"/>
              <w:right w:val="single" w:sz="8" w:space="0" w:color="FFFFFF" w:themeColor="background1"/>
            </w:tcBorders>
            <w:vAlign w:val="center"/>
          </w:tcPr>
          <w:p w14:paraId="2AFDB42B"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BH3</w:t>
            </w:r>
          </w:p>
        </w:tc>
        <w:tc>
          <w:tcPr>
            <w:tcW w:w="351" w:type="dxa"/>
            <w:tcBorders>
              <w:top w:val="single" w:sz="6" w:space="0" w:color="FFFFFF" w:themeColor="background1"/>
              <w:left w:val="single" w:sz="8" w:space="0" w:color="FFFFFF" w:themeColor="background1"/>
              <w:bottom w:val="nil"/>
              <w:right w:val="single" w:sz="6" w:space="0" w:color="FFFFFF" w:themeColor="background1"/>
            </w:tcBorders>
            <w:shd w:val="clear" w:color="auto" w:fill="B84410"/>
            <w:vAlign w:val="center"/>
          </w:tcPr>
          <w:p w14:paraId="61F5AF15"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1"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94AB43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1"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1EF5D1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1"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6D247E4"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0C1CD33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8DEBEB7"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4474A0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5DEE9B7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52"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5CF30A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188A12EB"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04048735"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CC3BAD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3BE2D777"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0870CD85"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6A892042"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29A785FB"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vAlign w:val="center"/>
          </w:tcPr>
          <w:p w14:paraId="1ACBA74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11DD385F"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6EC8455D"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1419EB1D"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single" w:sz="6" w:space="0" w:color="FFFFFF" w:themeColor="background1"/>
              <w:left w:val="single" w:sz="6" w:space="0" w:color="FFFFFF" w:themeColor="background1"/>
              <w:bottom w:val="nil"/>
              <w:right w:val="single" w:sz="6" w:space="0" w:color="FFFFFF" w:themeColor="background1"/>
            </w:tcBorders>
            <w:shd w:val="clear" w:color="auto" w:fill="B84410"/>
            <w:vAlign w:val="center"/>
          </w:tcPr>
          <w:p w14:paraId="415D616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single" w:sz="6" w:space="0" w:color="FFFFFF" w:themeColor="background1"/>
              <w:left w:val="single" w:sz="6" w:space="0" w:color="FFFFFF" w:themeColor="background1"/>
              <w:bottom w:val="nil"/>
              <w:right w:val="single" w:sz="8" w:space="0" w:color="FFFFFF" w:themeColor="background1"/>
            </w:tcBorders>
            <w:shd w:val="clear" w:color="auto" w:fill="B84410"/>
            <w:vAlign w:val="center"/>
          </w:tcPr>
          <w:p w14:paraId="366F345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557" w:type="dxa"/>
            <w:tcBorders>
              <w:left w:val="single" w:sz="8" w:space="0" w:color="FFFFFF" w:themeColor="background1"/>
              <w:bottom w:val="nil"/>
            </w:tcBorders>
            <w:vAlign w:val="center"/>
          </w:tcPr>
          <w:p w14:paraId="6336D739"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1.00</w:t>
            </w:r>
          </w:p>
        </w:tc>
        <w:tc>
          <w:tcPr>
            <w:tcW w:w="491" w:type="dxa"/>
            <w:tcBorders>
              <w:bottom w:val="nil"/>
            </w:tcBorders>
            <w:vAlign w:val="center"/>
          </w:tcPr>
          <w:p w14:paraId="49EB90B4"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0.00</w:t>
            </w:r>
          </w:p>
        </w:tc>
        <w:tc>
          <w:tcPr>
            <w:tcW w:w="567" w:type="dxa"/>
            <w:tcBorders>
              <w:bottom w:val="nil"/>
            </w:tcBorders>
            <w:vAlign w:val="center"/>
          </w:tcPr>
          <w:p w14:paraId="6D1B31EA"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1.00</w:t>
            </w:r>
          </w:p>
        </w:tc>
      </w:tr>
      <w:tr w:rsidR="00ED7313" w:rsidRPr="00ED7313" w14:paraId="6881D235" w14:textId="77777777" w:rsidTr="00ED7313">
        <w:tc>
          <w:tcPr>
            <w:tcW w:w="811" w:type="dxa"/>
            <w:tcBorders>
              <w:top w:val="nil"/>
              <w:left w:val="nil"/>
              <w:bottom w:val="single" w:sz="4" w:space="0" w:color="000000" w:themeColor="text1"/>
              <w:right w:val="nil"/>
            </w:tcBorders>
            <w:vAlign w:val="center"/>
          </w:tcPr>
          <w:p w14:paraId="6713D7EA"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UG1, UG2</w:t>
            </w:r>
          </w:p>
        </w:tc>
        <w:tc>
          <w:tcPr>
            <w:tcW w:w="351" w:type="dxa"/>
            <w:tcBorders>
              <w:top w:val="nil"/>
              <w:left w:val="nil"/>
              <w:bottom w:val="single" w:sz="4" w:space="0" w:color="000000" w:themeColor="text1"/>
              <w:right w:val="nil"/>
            </w:tcBorders>
            <w:shd w:val="clear" w:color="auto" w:fill="B84410"/>
            <w:vAlign w:val="center"/>
          </w:tcPr>
          <w:p w14:paraId="7F4F2B3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1" w:type="dxa"/>
            <w:tcBorders>
              <w:top w:val="nil"/>
              <w:left w:val="nil"/>
              <w:bottom w:val="single" w:sz="4" w:space="0" w:color="000000" w:themeColor="text1"/>
              <w:right w:val="nil"/>
            </w:tcBorders>
            <w:shd w:val="clear" w:color="auto" w:fill="B84410"/>
            <w:vAlign w:val="center"/>
          </w:tcPr>
          <w:p w14:paraId="1B3A86F9"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1" w:type="dxa"/>
            <w:tcBorders>
              <w:top w:val="nil"/>
              <w:left w:val="nil"/>
              <w:bottom w:val="single" w:sz="4" w:space="0" w:color="000000" w:themeColor="text1"/>
              <w:right w:val="nil"/>
            </w:tcBorders>
            <w:shd w:val="clear" w:color="auto" w:fill="B84410"/>
            <w:vAlign w:val="center"/>
          </w:tcPr>
          <w:p w14:paraId="2F58C0C5"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1" w:type="dxa"/>
            <w:tcBorders>
              <w:top w:val="nil"/>
              <w:left w:val="nil"/>
              <w:bottom w:val="single" w:sz="4" w:space="0" w:color="000000" w:themeColor="text1"/>
              <w:right w:val="nil"/>
            </w:tcBorders>
            <w:shd w:val="clear" w:color="auto" w:fill="B84410"/>
            <w:vAlign w:val="center"/>
          </w:tcPr>
          <w:p w14:paraId="7AE815E3"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349C9AE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52" w:type="dxa"/>
            <w:tcBorders>
              <w:top w:val="nil"/>
              <w:left w:val="nil"/>
              <w:bottom w:val="single" w:sz="4" w:space="0" w:color="000000" w:themeColor="text1"/>
              <w:right w:val="nil"/>
            </w:tcBorders>
            <w:shd w:val="clear" w:color="auto" w:fill="B84410"/>
            <w:vAlign w:val="center"/>
          </w:tcPr>
          <w:p w14:paraId="76EE757D"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351E2EC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52" w:type="dxa"/>
            <w:tcBorders>
              <w:top w:val="nil"/>
              <w:left w:val="nil"/>
              <w:bottom w:val="single" w:sz="4" w:space="0" w:color="000000" w:themeColor="text1"/>
              <w:right w:val="nil"/>
            </w:tcBorders>
            <w:shd w:val="clear" w:color="auto" w:fill="B84410"/>
            <w:vAlign w:val="center"/>
          </w:tcPr>
          <w:p w14:paraId="61F45CC8"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52" w:type="dxa"/>
            <w:tcBorders>
              <w:top w:val="nil"/>
              <w:left w:val="nil"/>
              <w:bottom w:val="single" w:sz="4" w:space="0" w:color="000000" w:themeColor="text1"/>
              <w:right w:val="nil"/>
            </w:tcBorders>
            <w:shd w:val="clear" w:color="auto" w:fill="B84410"/>
            <w:vAlign w:val="center"/>
          </w:tcPr>
          <w:p w14:paraId="7698471C"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nil"/>
              <w:left w:val="nil"/>
              <w:bottom w:val="single" w:sz="4" w:space="0" w:color="000000" w:themeColor="text1"/>
              <w:right w:val="nil"/>
            </w:tcBorders>
            <w:shd w:val="clear" w:color="auto" w:fill="B84410"/>
            <w:vAlign w:val="center"/>
          </w:tcPr>
          <w:p w14:paraId="4AECF0F0"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377" w:type="dxa"/>
            <w:tcBorders>
              <w:top w:val="nil"/>
              <w:left w:val="nil"/>
              <w:bottom w:val="single" w:sz="4" w:space="0" w:color="000000" w:themeColor="text1"/>
              <w:right w:val="nil"/>
            </w:tcBorders>
            <w:shd w:val="clear" w:color="auto" w:fill="B84410"/>
            <w:vAlign w:val="center"/>
          </w:tcPr>
          <w:p w14:paraId="7EE3F31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09F1934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nil"/>
              <w:left w:val="nil"/>
              <w:bottom w:val="single" w:sz="4" w:space="0" w:color="000000" w:themeColor="text1"/>
              <w:right w:val="nil"/>
            </w:tcBorders>
            <w:shd w:val="clear" w:color="auto" w:fill="B84410"/>
            <w:vAlign w:val="center"/>
          </w:tcPr>
          <w:p w14:paraId="13AB96B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BDBA5"/>
            <w:vAlign w:val="center"/>
          </w:tcPr>
          <w:p w14:paraId="38C1730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77" w:type="dxa"/>
            <w:tcBorders>
              <w:top w:val="nil"/>
              <w:left w:val="nil"/>
              <w:bottom w:val="single" w:sz="4" w:space="0" w:color="000000" w:themeColor="text1"/>
              <w:right w:val="nil"/>
            </w:tcBorders>
            <w:shd w:val="clear" w:color="auto" w:fill="B84410"/>
            <w:vAlign w:val="center"/>
          </w:tcPr>
          <w:p w14:paraId="70667BC7"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BDBA5"/>
            <w:vAlign w:val="center"/>
          </w:tcPr>
          <w:p w14:paraId="26A76FE4"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5</w:t>
            </w:r>
          </w:p>
        </w:tc>
        <w:tc>
          <w:tcPr>
            <w:tcW w:w="377" w:type="dxa"/>
            <w:tcBorders>
              <w:top w:val="nil"/>
              <w:left w:val="nil"/>
              <w:bottom w:val="single" w:sz="4" w:space="0" w:color="000000" w:themeColor="text1"/>
              <w:right w:val="nil"/>
            </w:tcBorders>
            <w:shd w:val="clear" w:color="auto" w:fill="B84410"/>
            <w:vAlign w:val="center"/>
          </w:tcPr>
          <w:p w14:paraId="007C3534"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3811C849"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nil"/>
              <w:left w:val="nil"/>
              <w:bottom w:val="single" w:sz="4" w:space="0" w:color="000000" w:themeColor="text1"/>
              <w:right w:val="nil"/>
            </w:tcBorders>
            <w:shd w:val="clear" w:color="auto" w:fill="B84410"/>
            <w:vAlign w:val="center"/>
          </w:tcPr>
          <w:p w14:paraId="1D3D5B6F"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1</w:t>
            </w:r>
          </w:p>
        </w:tc>
        <w:tc>
          <w:tcPr>
            <w:tcW w:w="377" w:type="dxa"/>
            <w:tcBorders>
              <w:top w:val="nil"/>
              <w:left w:val="nil"/>
              <w:bottom w:val="single" w:sz="4" w:space="0" w:color="000000" w:themeColor="text1"/>
              <w:right w:val="nil"/>
            </w:tcBorders>
            <w:shd w:val="clear" w:color="auto" w:fill="B84410"/>
            <w:vAlign w:val="center"/>
          </w:tcPr>
          <w:p w14:paraId="55E97821"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4</w:t>
            </w:r>
          </w:p>
        </w:tc>
        <w:tc>
          <w:tcPr>
            <w:tcW w:w="377" w:type="dxa"/>
            <w:tcBorders>
              <w:top w:val="nil"/>
              <w:left w:val="nil"/>
              <w:bottom w:val="single" w:sz="4" w:space="0" w:color="000000" w:themeColor="text1"/>
              <w:right w:val="nil"/>
            </w:tcBorders>
            <w:shd w:val="clear" w:color="auto" w:fill="B84410"/>
            <w:vAlign w:val="center"/>
          </w:tcPr>
          <w:p w14:paraId="78B27CC6"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2</w:t>
            </w:r>
          </w:p>
        </w:tc>
        <w:tc>
          <w:tcPr>
            <w:tcW w:w="377" w:type="dxa"/>
            <w:tcBorders>
              <w:top w:val="nil"/>
              <w:left w:val="nil"/>
              <w:bottom w:val="single" w:sz="4" w:space="0" w:color="000000" w:themeColor="text1"/>
              <w:right w:val="nil"/>
            </w:tcBorders>
            <w:shd w:val="clear" w:color="auto" w:fill="B84410"/>
            <w:vAlign w:val="center"/>
          </w:tcPr>
          <w:p w14:paraId="7269C29F" w14:textId="77777777" w:rsidR="00ED7313" w:rsidRPr="00ED7313" w:rsidRDefault="00ED7313" w:rsidP="00DD3BAE">
            <w:pPr>
              <w:autoSpaceDE w:val="0"/>
              <w:autoSpaceDN w:val="0"/>
              <w:adjustRightInd w:val="0"/>
              <w:spacing w:before="40" w:after="40"/>
              <w:jc w:val="center"/>
              <w:rPr>
                <w:rFonts w:cs="Calibri"/>
                <w:color w:val="000000"/>
                <w:sz w:val="14"/>
                <w:szCs w:val="14"/>
                <w:lang w:eastAsia="en-AU"/>
              </w:rPr>
            </w:pPr>
            <w:r w:rsidRPr="00ED7313">
              <w:rPr>
                <w:rFonts w:cs="Calibri"/>
                <w:color w:val="000000"/>
                <w:sz w:val="14"/>
                <w:szCs w:val="14"/>
                <w:lang w:eastAsia="en-AU"/>
              </w:rPr>
              <w:t>3</w:t>
            </w:r>
          </w:p>
        </w:tc>
        <w:tc>
          <w:tcPr>
            <w:tcW w:w="557" w:type="dxa"/>
            <w:tcBorders>
              <w:top w:val="nil"/>
              <w:left w:val="nil"/>
              <w:bottom w:val="single" w:sz="4" w:space="0" w:color="000000" w:themeColor="text1"/>
              <w:right w:val="nil"/>
            </w:tcBorders>
            <w:vAlign w:val="center"/>
          </w:tcPr>
          <w:p w14:paraId="5E5C2FFE"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0.91</w:t>
            </w:r>
          </w:p>
        </w:tc>
        <w:tc>
          <w:tcPr>
            <w:tcW w:w="491" w:type="dxa"/>
            <w:tcBorders>
              <w:top w:val="nil"/>
              <w:left w:val="nil"/>
              <w:bottom w:val="single" w:sz="4" w:space="0" w:color="000000" w:themeColor="text1"/>
              <w:right w:val="nil"/>
            </w:tcBorders>
            <w:vAlign w:val="center"/>
          </w:tcPr>
          <w:p w14:paraId="11AA0236"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0.09</w:t>
            </w:r>
          </w:p>
        </w:tc>
        <w:tc>
          <w:tcPr>
            <w:tcW w:w="567" w:type="dxa"/>
            <w:tcBorders>
              <w:top w:val="nil"/>
              <w:left w:val="nil"/>
              <w:bottom w:val="single" w:sz="4" w:space="0" w:color="000000" w:themeColor="text1"/>
              <w:right w:val="nil"/>
            </w:tcBorders>
            <w:vAlign w:val="center"/>
          </w:tcPr>
          <w:p w14:paraId="42238A6A" w14:textId="77777777" w:rsidR="00ED7313" w:rsidRPr="00ED7313" w:rsidRDefault="00ED7313" w:rsidP="00DD3BAE">
            <w:pPr>
              <w:autoSpaceDE w:val="0"/>
              <w:autoSpaceDN w:val="0"/>
              <w:adjustRightInd w:val="0"/>
              <w:spacing w:before="40" w:after="40"/>
              <w:jc w:val="center"/>
              <w:rPr>
                <w:rFonts w:cs="Calibri"/>
                <w:b/>
                <w:bCs/>
                <w:color w:val="000000"/>
                <w:sz w:val="14"/>
                <w:szCs w:val="14"/>
                <w:lang w:eastAsia="en-AU"/>
              </w:rPr>
            </w:pPr>
            <w:r w:rsidRPr="00ED7313">
              <w:rPr>
                <w:rFonts w:cs="Calibri"/>
                <w:b/>
                <w:bCs/>
                <w:color w:val="000000"/>
                <w:sz w:val="14"/>
                <w:szCs w:val="14"/>
                <w:lang w:eastAsia="en-AU"/>
              </w:rPr>
              <w:t>1.00</w:t>
            </w:r>
          </w:p>
        </w:tc>
      </w:tr>
    </w:tbl>
    <w:p w14:paraId="0698EF7F" w14:textId="3902F71F" w:rsidR="00A860BC" w:rsidRPr="00F14CC5" w:rsidRDefault="00ED7313" w:rsidP="00DD3BAE">
      <w:pPr>
        <w:rPr>
          <w:color w:val="000000" w:themeColor="text1"/>
        </w:rPr>
      </w:pPr>
      <w:r>
        <w:rPr>
          <w:color w:val="000000" w:themeColor="text1"/>
        </w:rPr>
        <w:br w:type="column"/>
      </w:r>
      <w:r w:rsidR="00A860BC" w:rsidRPr="00F14CC5">
        <w:rPr>
          <w:color w:val="000000" w:themeColor="text1"/>
        </w:rPr>
        <w:t>Within canopy daily light (I</w:t>
      </w:r>
      <w:r w:rsidR="00A860BC" w:rsidRPr="00F14CC5">
        <w:rPr>
          <w:color w:val="000000" w:themeColor="text1"/>
          <w:vertAlign w:val="subscript"/>
        </w:rPr>
        <w:t>d</w:t>
      </w:r>
      <w:r w:rsidR="00A860BC" w:rsidRPr="00F14CC5">
        <w:rPr>
          <w:color w:val="000000" w:themeColor="text1"/>
        </w:rPr>
        <w:t xml:space="preserve">) in </w:t>
      </w:r>
      <w:r w:rsidR="008574EC">
        <w:rPr>
          <w:color w:val="000000" w:themeColor="text1"/>
        </w:rPr>
        <w:t>2016–17</w:t>
      </w:r>
      <w:r w:rsidR="00A860BC" w:rsidRPr="00F14CC5">
        <w:rPr>
          <w:color w:val="000000" w:themeColor="text1"/>
        </w:rPr>
        <w:t xml:space="preserve"> (10.8 mol m</w:t>
      </w:r>
      <w:r w:rsidR="00A860BC" w:rsidRPr="00F14CC5">
        <w:rPr>
          <w:color w:val="000000" w:themeColor="text1"/>
          <w:vertAlign w:val="superscript"/>
        </w:rPr>
        <w:t>-2</w:t>
      </w:r>
      <w:r w:rsidR="00A860BC" w:rsidRPr="00F14CC5">
        <w:rPr>
          <w:color w:val="000000" w:themeColor="text1"/>
        </w:rPr>
        <w:t xml:space="preserve"> s</w:t>
      </w:r>
      <w:r w:rsidR="00A860BC" w:rsidRPr="00F14CC5">
        <w:rPr>
          <w:color w:val="000000" w:themeColor="text1"/>
          <w:vertAlign w:val="superscript"/>
        </w:rPr>
        <w:t>-1</w:t>
      </w:r>
      <w:r w:rsidR="00A860BC" w:rsidRPr="00F14CC5">
        <w:rPr>
          <w:color w:val="000000" w:themeColor="text1"/>
        </w:rPr>
        <w:t>), was lower than the long-term average (13.0 mol m</w:t>
      </w:r>
      <w:r w:rsidR="00A860BC" w:rsidRPr="00F14CC5">
        <w:rPr>
          <w:color w:val="000000" w:themeColor="text1"/>
          <w:vertAlign w:val="superscript"/>
        </w:rPr>
        <w:t>-2</w:t>
      </w:r>
      <w:r w:rsidR="00A860BC" w:rsidRPr="00F14CC5">
        <w:rPr>
          <w:color w:val="000000" w:themeColor="text1"/>
        </w:rPr>
        <w:t xml:space="preserve"> s</w:t>
      </w:r>
      <w:r w:rsidR="00A860BC" w:rsidRPr="00F14CC5">
        <w:rPr>
          <w:color w:val="000000" w:themeColor="text1"/>
          <w:vertAlign w:val="superscript"/>
        </w:rPr>
        <w:t>-1</w:t>
      </w:r>
      <w:r w:rsidR="00A860BC" w:rsidRPr="00F14CC5">
        <w:rPr>
          <w:color w:val="000000" w:themeColor="text1"/>
        </w:rPr>
        <w:t>) for the region (</w:t>
      </w:r>
      <w:r w:rsidR="00A860BC" w:rsidRPr="00F14CC5">
        <w:rPr>
          <w:color w:val="000000" w:themeColor="text1"/>
        </w:rPr>
        <w:fldChar w:fldCharType="begin"/>
      </w:r>
      <w:r w:rsidR="00A860BC" w:rsidRPr="00F14CC5">
        <w:rPr>
          <w:color w:val="000000" w:themeColor="text1"/>
        </w:rPr>
        <w:instrText xml:space="preserve"> REF _Ref442348230 \h </w:instrText>
      </w:r>
      <w:r w:rsidR="00A860BC" w:rsidRPr="00F14CC5">
        <w:rPr>
          <w:color w:val="000000" w:themeColor="text1"/>
        </w:rPr>
      </w:r>
      <w:r w:rsidR="00A860BC" w:rsidRPr="00F14CC5">
        <w:rPr>
          <w:color w:val="000000" w:themeColor="text1"/>
        </w:rPr>
        <w:fldChar w:fldCharType="separate"/>
      </w:r>
      <w:r w:rsidR="00F87DF9" w:rsidRPr="0079090F">
        <w:t xml:space="preserve">Figure </w:t>
      </w:r>
      <w:r w:rsidR="00F87DF9">
        <w:rPr>
          <w:noProof/>
        </w:rPr>
        <w:t>95</w:t>
      </w:r>
      <w:r w:rsidR="00A860BC" w:rsidRPr="00F14CC5">
        <w:rPr>
          <w:color w:val="000000" w:themeColor="text1"/>
        </w:rPr>
        <w:fldChar w:fldCharType="end"/>
      </w:r>
      <w:r w:rsidR="00A860BC" w:rsidRPr="00F14CC5">
        <w:rPr>
          <w:color w:val="000000" w:themeColor="text1"/>
        </w:rPr>
        <w:t xml:space="preserve">, </w:t>
      </w:r>
      <w:r w:rsidR="00A860BC" w:rsidRPr="00F14CC5">
        <w:rPr>
          <w:color w:val="000000" w:themeColor="text1"/>
        </w:rPr>
        <w:fldChar w:fldCharType="begin"/>
      </w:r>
      <w:r w:rsidR="00A860BC" w:rsidRPr="00F14CC5">
        <w:rPr>
          <w:color w:val="000000" w:themeColor="text1"/>
        </w:rPr>
        <w:instrText xml:space="preserve"> REF _Ref461779122 \h </w:instrText>
      </w:r>
      <w:r w:rsidR="00A860BC" w:rsidRPr="00F14CC5">
        <w:rPr>
          <w:color w:val="000000" w:themeColor="text1"/>
        </w:rPr>
      </w:r>
      <w:r w:rsidR="00A860BC" w:rsidRPr="00F14CC5">
        <w:rPr>
          <w:color w:val="000000" w:themeColor="text1"/>
        </w:rPr>
        <w:fldChar w:fldCharType="separate"/>
      </w:r>
      <w:r w:rsidR="00F87DF9">
        <w:t xml:space="preserve">Table </w:t>
      </w:r>
      <w:r w:rsidR="00F87DF9">
        <w:rPr>
          <w:noProof/>
        </w:rPr>
        <w:t>32</w:t>
      </w:r>
      <w:r w:rsidR="00A860BC" w:rsidRPr="00F14CC5">
        <w:rPr>
          <w:color w:val="000000" w:themeColor="text1"/>
        </w:rPr>
        <w:fldChar w:fldCharType="end"/>
      </w:r>
      <w:r w:rsidR="00A860BC" w:rsidRPr="00F14CC5">
        <w:rPr>
          <w:color w:val="000000" w:themeColor="text1"/>
        </w:rPr>
        <w:t>). This was attributed to considerably reduced light levels late in the senescent season after TC Debbie brought heavy rainfall to the region. Despite this, the low light threshold (6 mol m</w:t>
      </w:r>
      <w:r w:rsidR="00A860BC" w:rsidRPr="00F14CC5">
        <w:rPr>
          <w:color w:val="000000" w:themeColor="text1"/>
          <w:vertAlign w:val="superscript"/>
        </w:rPr>
        <w:t>-2</w:t>
      </w:r>
      <w:r w:rsidR="00A860BC" w:rsidRPr="00F14CC5">
        <w:rPr>
          <w:color w:val="000000" w:themeColor="text1"/>
        </w:rPr>
        <w:t xml:space="preserve"> d</w:t>
      </w:r>
      <w:r w:rsidR="00A860BC" w:rsidRPr="00F14CC5">
        <w:rPr>
          <w:color w:val="000000" w:themeColor="text1"/>
          <w:vertAlign w:val="superscript"/>
        </w:rPr>
        <w:t>-1</w:t>
      </w:r>
      <w:r w:rsidR="00A860BC" w:rsidRPr="00F14CC5">
        <w:rPr>
          <w:color w:val="000000" w:themeColor="text1"/>
        </w:rPr>
        <w:t>) was exceeded</w:t>
      </w:r>
      <w:r w:rsidR="00A860BC">
        <w:rPr>
          <w:color w:val="000000" w:themeColor="text1"/>
        </w:rPr>
        <w:t xml:space="preserve"> less than the long-term average</w:t>
      </w:r>
      <w:r w:rsidR="00A860BC" w:rsidRPr="00F14CC5">
        <w:rPr>
          <w:color w:val="000000" w:themeColor="text1"/>
        </w:rPr>
        <w:t xml:space="preserve"> for the region indicating that light levels were sufficient to support growth throughout the year. </w:t>
      </w:r>
    </w:p>
    <w:p w14:paraId="432E8475" w14:textId="38C4E452" w:rsidR="0059610E" w:rsidRPr="0079090F" w:rsidRDefault="0079090F" w:rsidP="00DD3BAE">
      <w:pPr>
        <w:keepNext/>
        <w:widowControl w:val="0"/>
        <w:spacing w:after="0"/>
        <w:jc w:val="center"/>
        <w:rPr>
          <w:color w:val="000000"/>
          <w:szCs w:val="22"/>
        </w:rPr>
      </w:pPr>
      <w:r w:rsidRPr="0079090F">
        <w:rPr>
          <w:noProof/>
          <w:color w:val="000000"/>
          <w:szCs w:val="22"/>
          <w:lang w:eastAsia="en-AU"/>
        </w:rPr>
        <w:drawing>
          <wp:inline distT="0" distB="0" distL="0" distR="0" wp14:anchorId="7477FEE5" wp14:editId="452A0289">
            <wp:extent cx="5759450" cy="1882718"/>
            <wp:effectExtent l="0" t="0" r="0" b="3810"/>
            <wp:docPr id="54" name="Picture 54" descr="Plot of mean daily light (all sites pooled) with 28 day rolling average and Generalised Additive Model plot of temporal trends in daily light for each location in the Burnett Mary NRM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BM_Daily&amp;GAM.png"/>
                    <pic:cNvPicPr/>
                  </pic:nvPicPr>
                  <pic:blipFill>
                    <a:blip r:embed="rId147"/>
                    <a:stretch>
                      <a:fillRect/>
                    </a:stretch>
                  </pic:blipFill>
                  <pic:spPr>
                    <a:xfrm>
                      <a:off x="0" y="0"/>
                      <a:ext cx="5759450" cy="1882718"/>
                    </a:xfrm>
                    <a:prstGeom prst="rect">
                      <a:avLst/>
                    </a:prstGeom>
                  </pic:spPr>
                </pic:pic>
              </a:graphicData>
            </a:graphic>
          </wp:inline>
        </w:drawing>
      </w:r>
    </w:p>
    <w:p w14:paraId="6A9C45DB" w14:textId="1DBDD191" w:rsidR="001A5B38" w:rsidRPr="00C4117D" w:rsidRDefault="001A5B38" w:rsidP="00DD3BAE">
      <w:pPr>
        <w:rPr>
          <w:i/>
          <w:vanish/>
          <w:specVanish/>
        </w:rPr>
      </w:pPr>
      <w:bookmarkStart w:id="600" w:name="_Ref461779231"/>
      <w:bookmarkStart w:id="601" w:name="_Toc516053319"/>
      <w:r w:rsidRPr="00C4117D">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109</w:t>
      </w:r>
      <w:r w:rsidR="00C506C7">
        <w:rPr>
          <w:noProof/>
        </w:rPr>
        <w:fldChar w:fldCharType="end"/>
      </w:r>
      <w:bookmarkEnd w:id="600"/>
      <w:r w:rsidRPr="00C4117D">
        <w:t>.</w:t>
      </w:r>
      <w:r w:rsidR="00C4117D">
        <w:t xml:space="preserve"> </w:t>
      </w:r>
      <w:r w:rsidRPr="00C4117D">
        <w:rPr>
          <w:i/>
        </w:rPr>
        <w:t xml:space="preserve">Daily light at Burnett </w:t>
      </w:r>
      <w:r w:rsidR="0059610E" w:rsidRPr="00C4117D">
        <w:rPr>
          <w:i/>
        </w:rPr>
        <w:t xml:space="preserve">Mary </w:t>
      </w:r>
      <w:r w:rsidRPr="00C4117D">
        <w:rPr>
          <w:i/>
        </w:rPr>
        <w:t>locations</w:t>
      </w:r>
      <w:r w:rsidR="0059610E" w:rsidRPr="00C4117D">
        <w:rPr>
          <w:i/>
        </w:rPr>
        <w:t xml:space="preserve"> from 2010 to 201</w:t>
      </w:r>
      <w:r w:rsidR="00107F96" w:rsidRPr="00C4117D">
        <w:rPr>
          <w:i/>
        </w:rPr>
        <w:t>7</w:t>
      </w:r>
      <w:r w:rsidR="0059610E" w:rsidRPr="00C4117D">
        <w:rPr>
          <w:i/>
        </w:rPr>
        <w:t xml:space="preserve"> (</w:t>
      </w:r>
      <w:r w:rsidRPr="00C4117D">
        <w:rPr>
          <w:i/>
        </w:rPr>
        <w:t>left</w:t>
      </w:r>
      <w:r w:rsidR="0059610E" w:rsidRPr="00C4117D">
        <w:rPr>
          <w:i/>
        </w:rPr>
        <w:t xml:space="preserve">) </w:t>
      </w:r>
      <w:r w:rsidRPr="00C4117D">
        <w:rPr>
          <w:i/>
        </w:rPr>
        <w:t>and GAM plots (right)</w:t>
      </w:r>
      <w:bookmarkEnd w:id="601"/>
    </w:p>
    <w:p w14:paraId="0830DC19" w14:textId="2EC10B9C" w:rsidR="0059610E" w:rsidRPr="00C76195" w:rsidRDefault="001A5B38" w:rsidP="00DD3BAE">
      <w:pPr>
        <w:rPr>
          <w:i/>
        </w:rPr>
      </w:pPr>
      <w:r w:rsidRPr="00C4117D">
        <w:rPr>
          <w:i/>
        </w:rPr>
        <w:t xml:space="preserve"> </w:t>
      </w:r>
      <w:r w:rsidR="0059610E" w:rsidRPr="00C4117D">
        <w:rPr>
          <w:i/>
        </w:rPr>
        <w:t>with the black line showing mean trend for all sites (±95</w:t>
      </w:r>
      <w:r w:rsidR="0063478C" w:rsidRPr="00C4117D">
        <w:rPr>
          <w:i/>
        </w:rPr>
        <w:t xml:space="preserve"> per cent</w:t>
      </w:r>
      <w:r w:rsidR="0059610E" w:rsidRPr="00C4117D">
        <w:rPr>
          <w:i/>
        </w:rPr>
        <w:t xml:space="preserve"> confidence interval in grey shade) and coloured lines (with CI’s) showing the trend for each site. Results of statistical analysis (GAM) and </w:t>
      </w:r>
      <w:r w:rsidR="0059610E" w:rsidRPr="0079090F">
        <w:rPr>
          <w:i/>
        </w:rPr>
        <w:t>site-specific graphs (raw daily light data plus 28-d rolling average) are shown in Appendix 4.</w:t>
      </w:r>
    </w:p>
    <w:p w14:paraId="55785005" w14:textId="43C16277" w:rsidR="0059610E" w:rsidRPr="000768AB" w:rsidRDefault="0059610E" w:rsidP="00DD3BAE">
      <w:pPr>
        <w:widowControl w:val="0"/>
        <w:spacing w:before="0" w:after="0"/>
        <w:rPr>
          <w:szCs w:val="22"/>
        </w:rPr>
      </w:pPr>
      <w:r w:rsidRPr="004A4333">
        <w:rPr>
          <w:color w:val="000000" w:themeColor="text1"/>
        </w:rPr>
        <w:t>Burnett Mary, being the southern most NRM</w:t>
      </w:r>
      <w:r w:rsidR="004A4333" w:rsidRPr="004A4333">
        <w:rPr>
          <w:color w:val="000000" w:themeColor="text1"/>
        </w:rPr>
        <w:t xml:space="preserve">, </w:t>
      </w:r>
      <w:r w:rsidRPr="004A4333">
        <w:rPr>
          <w:color w:val="000000" w:themeColor="text1"/>
        </w:rPr>
        <w:t xml:space="preserve">inherently has cooler temperatures than the more northern regions. </w:t>
      </w:r>
      <w:r w:rsidR="0088434E" w:rsidRPr="004A4333">
        <w:rPr>
          <w:color w:val="000000" w:themeColor="text1"/>
        </w:rPr>
        <w:t>As a consequence</w:t>
      </w:r>
      <w:r w:rsidRPr="004A4333">
        <w:rPr>
          <w:color w:val="000000" w:themeColor="text1"/>
        </w:rPr>
        <w:t xml:space="preserve"> there </w:t>
      </w:r>
      <w:r w:rsidR="0088434E" w:rsidRPr="004A4333">
        <w:rPr>
          <w:color w:val="000000" w:themeColor="text1"/>
        </w:rPr>
        <w:t>we</w:t>
      </w:r>
      <w:r w:rsidRPr="004A4333">
        <w:rPr>
          <w:color w:val="000000" w:themeColor="text1"/>
        </w:rPr>
        <w:t xml:space="preserve">re fewer </w:t>
      </w:r>
      <w:r w:rsidR="0088434E" w:rsidRPr="004A4333">
        <w:rPr>
          <w:color w:val="000000" w:themeColor="text1"/>
        </w:rPr>
        <w:t>exceedances</w:t>
      </w:r>
      <w:r w:rsidRPr="004A4333">
        <w:rPr>
          <w:color w:val="000000" w:themeColor="text1"/>
        </w:rPr>
        <w:t xml:space="preserve"> of </w:t>
      </w:r>
      <w:r w:rsidR="007F6948">
        <w:rPr>
          <w:color w:val="000000" w:themeColor="text1"/>
        </w:rPr>
        <w:t>Great Barrier Reef</w:t>
      </w:r>
      <w:r w:rsidRPr="004A4333">
        <w:rPr>
          <w:color w:val="000000" w:themeColor="text1"/>
        </w:rPr>
        <w:t>-wide temperat</w:t>
      </w:r>
      <w:r w:rsidR="004A4333" w:rsidRPr="004A4333">
        <w:rPr>
          <w:color w:val="000000" w:themeColor="text1"/>
        </w:rPr>
        <w:t>ure thresholds with 19 days &gt;35°C</w:t>
      </w:r>
      <w:r w:rsidRPr="004A4333">
        <w:rPr>
          <w:color w:val="000000" w:themeColor="text1"/>
        </w:rPr>
        <w:t xml:space="preserve">. However, deviation from the region-specific baseline demonstrates that </w:t>
      </w:r>
      <w:r w:rsidR="008574EC">
        <w:rPr>
          <w:color w:val="000000" w:themeColor="text1"/>
        </w:rPr>
        <w:t>2016–17</w:t>
      </w:r>
      <w:r w:rsidRPr="004A4333">
        <w:rPr>
          <w:color w:val="000000" w:themeColor="text1"/>
        </w:rPr>
        <w:t xml:space="preserve"> was </w:t>
      </w:r>
      <w:r w:rsidR="000768AB" w:rsidRPr="004A4333">
        <w:rPr>
          <w:color w:val="000000" w:themeColor="text1"/>
        </w:rPr>
        <w:t xml:space="preserve">an </w:t>
      </w:r>
      <w:r w:rsidRPr="004A4333">
        <w:rPr>
          <w:color w:val="000000" w:themeColor="text1"/>
        </w:rPr>
        <w:t>above average year for water temperature, and was above the local baseline for most of the year (</w:t>
      </w:r>
      <w:r w:rsidR="0088434E" w:rsidRPr="004A4333">
        <w:rPr>
          <w:color w:val="000000" w:themeColor="text1"/>
        </w:rPr>
        <w:fldChar w:fldCharType="begin"/>
      </w:r>
      <w:r w:rsidR="0088434E" w:rsidRPr="004A4333">
        <w:rPr>
          <w:color w:val="000000" w:themeColor="text1"/>
        </w:rPr>
        <w:instrText xml:space="preserve"> REF _Ref442377832 \h </w:instrText>
      </w:r>
      <w:r w:rsidR="0088434E" w:rsidRPr="004A4333">
        <w:rPr>
          <w:color w:val="000000" w:themeColor="text1"/>
        </w:rPr>
      </w:r>
      <w:r w:rsidR="0088434E" w:rsidRPr="004A4333">
        <w:rPr>
          <w:color w:val="000000" w:themeColor="text1"/>
        </w:rPr>
        <w:fldChar w:fldCharType="separate"/>
      </w:r>
      <w:r w:rsidR="00F87DF9" w:rsidRPr="005A09F1">
        <w:t xml:space="preserve">Figure </w:t>
      </w:r>
      <w:r w:rsidR="00F87DF9">
        <w:rPr>
          <w:noProof/>
        </w:rPr>
        <w:t>110</w:t>
      </w:r>
      <w:r w:rsidR="0088434E" w:rsidRPr="004A4333">
        <w:rPr>
          <w:color w:val="000000" w:themeColor="text1"/>
        </w:rPr>
        <w:fldChar w:fldCharType="end"/>
      </w:r>
      <w:r w:rsidRPr="004A4333">
        <w:rPr>
          <w:color w:val="000000" w:themeColor="text1"/>
        </w:rPr>
        <w:t xml:space="preserve">). </w:t>
      </w:r>
    </w:p>
    <w:p w14:paraId="03A2BEB7" w14:textId="77777777" w:rsidR="0059610E" w:rsidRDefault="005B1EEC" w:rsidP="00DD3BAE">
      <w:pPr>
        <w:keepNext/>
        <w:widowControl w:val="0"/>
        <w:spacing w:after="0"/>
        <w:jc w:val="center"/>
        <w:rPr>
          <w:color w:val="000000"/>
          <w:szCs w:val="22"/>
        </w:rPr>
      </w:pPr>
      <w:r>
        <w:rPr>
          <w:noProof/>
          <w:color w:val="000000"/>
          <w:szCs w:val="22"/>
          <w:lang w:eastAsia="en-AU"/>
        </w:rPr>
        <w:drawing>
          <wp:inline distT="0" distB="0" distL="0" distR="0" wp14:anchorId="3E39388F" wp14:editId="39B63856">
            <wp:extent cx="4894579" cy="2613633"/>
            <wp:effectExtent l="0" t="0" r="1905" b="0"/>
            <wp:docPr id="18" name="Picture 18" descr="Panel of two bar graphs showing number of days when inshore within canopy sea temperature exceeded 35°C, 38°C, 40°C and 43°C within each season and deviations at intertidal seagrass habitats from 10-year mean weekly temperature records for intertidal seagrass habitats in the Burnett Mary NRM region from September 2005 to May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M_temperature_deviation_2016.png"/>
                    <pic:cNvPicPr/>
                  </pic:nvPicPr>
                  <pic:blipFill>
                    <a:blip r:embed="rId148">
                      <a:extLst>
                        <a:ext uri="{28A0092B-C50C-407E-A947-70E740481C1C}">
                          <a14:useLocalDpi xmlns:a14="http://schemas.microsoft.com/office/drawing/2010/main" val="0"/>
                        </a:ext>
                      </a:extLst>
                    </a:blip>
                    <a:stretch>
                      <a:fillRect/>
                    </a:stretch>
                  </pic:blipFill>
                  <pic:spPr>
                    <a:xfrm>
                      <a:off x="0" y="0"/>
                      <a:ext cx="4894579" cy="2613633"/>
                    </a:xfrm>
                    <a:prstGeom prst="rect">
                      <a:avLst/>
                    </a:prstGeom>
                  </pic:spPr>
                </pic:pic>
              </a:graphicData>
            </a:graphic>
          </wp:inline>
        </w:drawing>
      </w:r>
    </w:p>
    <w:p w14:paraId="157B1F5E" w14:textId="2D4DFE15" w:rsidR="0059610E" w:rsidRPr="00EA10D7" w:rsidRDefault="0059610E" w:rsidP="00DD3BAE">
      <w:pPr>
        <w:rPr>
          <w:i/>
          <w:vanish/>
          <w:color w:val="000000"/>
          <w:szCs w:val="22"/>
          <w:specVanish/>
        </w:rPr>
      </w:pPr>
      <w:bookmarkStart w:id="602" w:name="_Ref442377832"/>
      <w:bookmarkStart w:id="603" w:name="_Toc516053320"/>
      <w:r w:rsidRPr="005A09F1">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110</w:t>
      </w:r>
      <w:r w:rsidR="00C506C7">
        <w:rPr>
          <w:noProof/>
        </w:rPr>
        <w:fldChar w:fldCharType="end"/>
      </w:r>
      <w:bookmarkEnd w:id="602"/>
      <w:r w:rsidRPr="005A09F1">
        <w:t xml:space="preserve">. </w:t>
      </w:r>
      <w:r w:rsidRPr="005A09F1">
        <w:rPr>
          <w:i/>
        </w:rPr>
        <w:t xml:space="preserve">Inshore sea temperature monitoring September 2005 to </w:t>
      </w:r>
      <w:r w:rsidR="005A09F1" w:rsidRPr="005A09F1">
        <w:rPr>
          <w:i/>
        </w:rPr>
        <w:t>May</w:t>
      </w:r>
      <w:r w:rsidRPr="005A09F1">
        <w:rPr>
          <w:i/>
        </w:rPr>
        <w:t xml:space="preserve"> 201</w:t>
      </w:r>
      <w:r w:rsidR="005A09F1" w:rsidRPr="005A09F1">
        <w:rPr>
          <w:i/>
        </w:rPr>
        <w:t>7</w:t>
      </w:r>
      <w:r w:rsidRPr="005A09F1">
        <w:rPr>
          <w:i/>
        </w:rPr>
        <w:t xml:space="preserve"> for seagrass meadows </w:t>
      </w:r>
      <w:r w:rsidRPr="00EA10D7">
        <w:rPr>
          <w:i/>
          <w:color w:val="000000"/>
        </w:rPr>
        <w:t>in Burnett Mary NRM region</w:t>
      </w:r>
      <w:bookmarkEnd w:id="603"/>
    </w:p>
    <w:p w14:paraId="2F6F050F" w14:textId="77777777" w:rsidR="0059610E" w:rsidRDefault="0059610E" w:rsidP="00DD3BAE">
      <w:pPr>
        <w:rPr>
          <w:color w:val="000000"/>
          <w:szCs w:val="22"/>
        </w:rPr>
      </w:pPr>
      <w:r w:rsidRPr="00EA10D7">
        <w:rPr>
          <w:i/>
          <w:color w:val="000000"/>
        </w:rPr>
        <w:t xml:space="preserve">: a) number of days when temperature has exceeded 35°C, 38°C, 40°C and 43°C within each season (thresholds adapted from SJ Campbell et al., 2006); b) deviations from </w:t>
      </w:r>
      <w:r>
        <w:rPr>
          <w:i/>
          <w:color w:val="000000"/>
        </w:rPr>
        <w:t>10</w:t>
      </w:r>
      <w:r w:rsidRPr="00EA10D7">
        <w:rPr>
          <w:i/>
          <w:color w:val="000000"/>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w:t>
      </w:r>
    </w:p>
    <w:p w14:paraId="5121D4DC" w14:textId="1707D1CE" w:rsidR="00CD1A6D" w:rsidRDefault="00FF0A86" w:rsidP="00B20DDB">
      <w:pPr>
        <w:pStyle w:val="Heading3"/>
        <w:numPr>
          <w:ilvl w:val="2"/>
          <w:numId w:val="9"/>
        </w:numPr>
        <w:rPr>
          <w:rFonts w:ascii="Arial" w:hAnsi="Arial" w:cs="Arial"/>
          <w:color w:val="000000"/>
        </w:rPr>
      </w:pPr>
      <w:bookmarkStart w:id="604" w:name="_Toc516053170"/>
      <w:r>
        <w:rPr>
          <w:rFonts w:ascii="Arial" w:hAnsi="Arial" w:cs="Arial"/>
          <w:color w:val="000000"/>
        </w:rPr>
        <w:t>Indicators of seagrass condition</w:t>
      </w:r>
      <w:bookmarkEnd w:id="591"/>
      <w:bookmarkEnd w:id="604"/>
    </w:p>
    <w:p w14:paraId="35083C23" w14:textId="43229644" w:rsidR="00995B85" w:rsidRDefault="00995B85" w:rsidP="00DD3BAE">
      <w:pPr>
        <w:rPr>
          <w:lang w:eastAsia="x-none"/>
        </w:rPr>
      </w:pPr>
      <w:r>
        <w:rPr>
          <w:lang w:eastAsia="x-none"/>
        </w:rPr>
        <w:t>Two</w:t>
      </w:r>
      <w:r w:rsidRPr="00995B85">
        <w:rPr>
          <w:lang w:eastAsia="x-none"/>
        </w:rPr>
        <w:t xml:space="preserve"> seagrass habitat types were assessed across the </w:t>
      </w:r>
      <w:r>
        <w:rPr>
          <w:lang w:eastAsia="x-none"/>
        </w:rPr>
        <w:t>Burnett Mary</w:t>
      </w:r>
      <w:r w:rsidRPr="00995B85">
        <w:rPr>
          <w:lang w:eastAsia="x-none"/>
        </w:rPr>
        <w:t xml:space="preserve"> region in </w:t>
      </w:r>
      <w:r w:rsidR="008574EC">
        <w:rPr>
          <w:lang w:eastAsia="x-none"/>
        </w:rPr>
        <w:t>2016–17</w:t>
      </w:r>
      <w:r w:rsidRPr="00995B85">
        <w:rPr>
          <w:lang w:eastAsia="x-none"/>
        </w:rPr>
        <w:t xml:space="preserve">, with data from </w:t>
      </w:r>
      <w:r>
        <w:rPr>
          <w:lang w:eastAsia="x-none"/>
        </w:rPr>
        <w:t>6</w:t>
      </w:r>
      <w:r w:rsidRPr="00995B85">
        <w:rPr>
          <w:lang w:eastAsia="x-none"/>
        </w:rPr>
        <w:t xml:space="preserve"> sites (</w:t>
      </w:r>
      <w:r>
        <w:rPr>
          <w:lang w:eastAsia="x-none"/>
        </w:rPr>
        <w:fldChar w:fldCharType="begin"/>
      </w:r>
      <w:r>
        <w:rPr>
          <w:lang w:eastAsia="x-none"/>
        </w:rPr>
        <w:instrText xml:space="preserve"> REF _Ref473898769 \h </w:instrText>
      </w:r>
      <w:r>
        <w:rPr>
          <w:lang w:eastAsia="x-none"/>
        </w:rPr>
      </w:r>
      <w:r>
        <w:rPr>
          <w:lang w:eastAsia="x-none"/>
        </w:rPr>
        <w:fldChar w:fldCharType="separate"/>
      </w:r>
      <w:r w:rsidR="00F87DF9">
        <w:t xml:space="preserve">Table </w:t>
      </w:r>
      <w:r w:rsidR="00F87DF9">
        <w:rPr>
          <w:noProof/>
        </w:rPr>
        <w:t>34</w:t>
      </w:r>
      <w:r>
        <w:rPr>
          <w:lang w:eastAsia="x-none"/>
        </w:rPr>
        <w:fldChar w:fldCharType="end"/>
      </w:r>
      <w:r w:rsidRPr="00995B85">
        <w:rPr>
          <w:lang w:eastAsia="x-none"/>
        </w:rPr>
        <w:t>).</w:t>
      </w:r>
    </w:p>
    <w:p w14:paraId="14F59773" w14:textId="2DE1A34C" w:rsidR="00995B85" w:rsidRPr="00995B85" w:rsidRDefault="00995B85" w:rsidP="00DD3BAE">
      <w:pPr>
        <w:widowControl w:val="0"/>
        <w:spacing w:before="0"/>
        <w:rPr>
          <w:i/>
          <w:vanish/>
          <w:specVanish/>
        </w:rPr>
      </w:pPr>
      <w:bookmarkStart w:id="605" w:name="_Ref473898769"/>
      <w:bookmarkStart w:id="606" w:name="_Toc516053458"/>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34</w:t>
      </w:r>
      <w:r w:rsidR="00C506C7">
        <w:rPr>
          <w:noProof/>
        </w:rPr>
        <w:fldChar w:fldCharType="end"/>
      </w:r>
      <w:bookmarkEnd w:id="605"/>
      <w:r>
        <w:t xml:space="preserve">. </w:t>
      </w:r>
      <w:r w:rsidRPr="00995B85">
        <w:rPr>
          <w:i/>
        </w:rPr>
        <w:t>List of data sources of seagrass and environmental condition indicators for each seagrass habitat type in the Burnett Mary NRM region.</w:t>
      </w:r>
      <w:bookmarkEnd w:id="606"/>
      <w:r w:rsidRPr="00995B85">
        <w:rPr>
          <w:i/>
          <w:vanish/>
          <w:specVanish/>
        </w:rPr>
        <w:t xml:space="preserve"> </w:t>
      </w:r>
    </w:p>
    <w:p w14:paraId="699D2EFF" w14:textId="2F044C88" w:rsidR="00995B85" w:rsidRPr="00995B85" w:rsidRDefault="00995B85" w:rsidP="00DD3BAE">
      <w:pPr>
        <w:pStyle w:val="Caption"/>
        <w:rPr>
          <w:i/>
          <w:color w:val="000000"/>
          <w:szCs w:val="22"/>
        </w:rPr>
      </w:pPr>
      <w:r w:rsidRPr="00995B85">
        <w:rPr>
          <w:i/>
        </w:rPr>
        <w:t xml:space="preserve"> </w:t>
      </w:r>
      <w:r w:rsidR="00CA7806">
        <w:rPr>
          <w:i/>
          <w:color w:val="000000"/>
          <w:szCs w:val="22"/>
        </w:rPr>
        <w:t>*Seagrass-Watch.</w:t>
      </w:r>
      <w:r w:rsidR="00CA7806" w:rsidRPr="00995B85">
        <w:rPr>
          <w:i/>
        </w:rPr>
        <w:t xml:space="preserve"> </w:t>
      </w:r>
      <w:r w:rsidRPr="00995B85">
        <w:rPr>
          <w:i/>
        </w:rPr>
        <w:t xml:space="preserve">For site details see </w:t>
      </w:r>
      <w:r w:rsidRPr="00995B85">
        <w:rPr>
          <w:i/>
        </w:rPr>
        <w:fldChar w:fldCharType="begin"/>
      </w:r>
      <w:r w:rsidRPr="00995B85">
        <w:rPr>
          <w:i/>
        </w:rPr>
        <w:instrText xml:space="preserve"> REF _Ref236539751 \h </w:instrText>
      </w:r>
      <w:r>
        <w:rPr>
          <w:i/>
        </w:rPr>
        <w:instrText xml:space="preserve"> \* MERGEFORMAT </w:instrText>
      </w:r>
      <w:r w:rsidRPr="00995B85">
        <w:rPr>
          <w:i/>
        </w:rPr>
      </w:r>
      <w:r w:rsidRPr="00995B85">
        <w:rPr>
          <w:i/>
        </w:rPr>
        <w:fldChar w:fldCharType="separate"/>
      </w:r>
      <w:r w:rsidR="00F87DF9" w:rsidRPr="00F87DF9">
        <w:rPr>
          <w:i/>
          <w:color w:val="000000"/>
          <w:szCs w:val="22"/>
        </w:rPr>
        <w:t xml:space="preserve">Table </w:t>
      </w:r>
      <w:r w:rsidR="00F87DF9" w:rsidRPr="00F87DF9">
        <w:rPr>
          <w:i/>
          <w:noProof/>
          <w:color w:val="000000"/>
          <w:szCs w:val="22"/>
        </w:rPr>
        <w:t>3</w:t>
      </w:r>
      <w:r w:rsidRPr="00995B85">
        <w:rPr>
          <w:i/>
        </w:rPr>
        <w:fldChar w:fldCharType="end"/>
      </w:r>
      <w:r w:rsidRPr="00995B85">
        <w:rPr>
          <w:i/>
        </w:rPr>
        <w:t xml:space="preserve"> and </w:t>
      </w:r>
      <w:r w:rsidRPr="00995B85">
        <w:rPr>
          <w:i/>
        </w:rPr>
        <w:fldChar w:fldCharType="begin"/>
      </w:r>
      <w:r w:rsidRPr="00995B85">
        <w:rPr>
          <w:i/>
        </w:rPr>
        <w:instrText xml:space="preserve"> REF _Ref461186562 \h </w:instrText>
      </w:r>
      <w:r>
        <w:rPr>
          <w:i/>
        </w:rPr>
        <w:instrText xml:space="preserve"> \* MERGEFORMAT </w:instrText>
      </w:r>
      <w:r w:rsidRPr="00995B85">
        <w:rPr>
          <w:i/>
        </w:rPr>
      </w:r>
      <w:r w:rsidRPr="00995B85">
        <w:rPr>
          <w:i/>
        </w:rPr>
        <w:fldChar w:fldCharType="separate"/>
      </w:r>
      <w:r w:rsidR="00F87DF9" w:rsidRPr="00F87DF9">
        <w:rPr>
          <w:i/>
          <w:color w:val="000000"/>
          <w:szCs w:val="22"/>
        </w:rPr>
        <w:t xml:space="preserve">Table </w:t>
      </w:r>
      <w:r w:rsidR="00F87DF9" w:rsidRPr="00F87DF9">
        <w:rPr>
          <w:i/>
          <w:noProof/>
          <w:color w:val="000000"/>
          <w:szCs w:val="22"/>
        </w:rPr>
        <w:t>4</w:t>
      </w:r>
      <w:r w:rsidRPr="00995B85">
        <w:rPr>
          <w:i/>
        </w:rPr>
        <w:fldChar w:fldCharType="end"/>
      </w:r>
      <w:r w:rsidRPr="00995B85">
        <w:rPr>
          <w:i/>
        </w:rPr>
        <w:t>.</w:t>
      </w:r>
    </w:p>
    <w:tbl>
      <w:tblPr>
        <w:tblW w:w="7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4"/>
        <w:gridCol w:w="674"/>
        <w:gridCol w:w="1483"/>
        <w:gridCol w:w="467"/>
        <w:gridCol w:w="467"/>
        <w:gridCol w:w="467"/>
        <w:gridCol w:w="467"/>
        <w:gridCol w:w="467"/>
        <w:gridCol w:w="467"/>
        <w:gridCol w:w="467"/>
        <w:gridCol w:w="467"/>
      </w:tblGrid>
      <w:tr w:rsidR="00995B85" w:rsidRPr="00995B85" w14:paraId="39A149CF" w14:textId="77777777" w:rsidTr="00995B85">
        <w:trPr>
          <w:cantSplit/>
          <w:trHeight w:val="2375"/>
          <w:jc w:val="center"/>
        </w:trPr>
        <w:tc>
          <w:tcPr>
            <w:tcW w:w="1714" w:type="dxa"/>
            <w:shd w:val="clear" w:color="auto" w:fill="BBE0E3"/>
            <w:vAlign w:val="center"/>
          </w:tcPr>
          <w:p w14:paraId="4E20D04A" w14:textId="77777777" w:rsidR="00995B85" w:rsidRPr="00995B85" w:rsidRDefault="00995B85" w:rsidP="00DD3BAE">
            <w:pPr>
              <w:spacing w:before="0" w:after="0"/>
              <w:jc w:val="center"/>
              <w:rPr>
                <w:rFonts w:cs="Arial"/>
                <w:b/>
                <w:bCs/>
                <w:color w:val="000000"/>
                <w:sz w:val="20"/>
                <w:szCs w:val="20"/>
              </w:rPr>
            </w:pPr>
            <w:r w:rsidRPr="00995B85">
              <w:rPr>
                <w:rFonts w:cs="Arial"/>
                <w:b/>
                <w:bCs/>
                <w:color w:val="000000"/>
                <w:sz w:val="20"/>
                <w:szCs w:val="20"/>
              </w:rPr>
              <w:t>Habitat</w:t>
            </w:r>
          </w:p>
        </w:tc>
        <w:tc>
          <w:tcPr>
            <w:tcW w:w="2157" w:type="dxa"/>
            <w:gridSpan w:val="2"/>
            <w:shd w:val="clear" w:color="auto" w:fill="BBE0E3"/>
            <w:noWrap/>
            <w:vAlign w:val="center"/>
          </w:tcPr>
          <w:p w14:paraId="5BE3970D" w14:textId="77777777" w:rsidR="00995B85" w:rsidRPr="00995B85" w:rsidRDefault="00995B85" w:rsidP="00DD3BAE">
            <w:pPr>
              <w:spacing w:before="0" w:after="0"/>
              <w:jc w:val="center"/>
              <w:rPr>
                <w:rFonts w:cs="Arial"/>
                <w:b/>
                <w:bCs/>
                <w:color w:val="000000"/>
                <w:sz w:val="20"/>
                <w:szCs w:val="20"/>
              </w:rPr>
            </w:pPr>
            <w:r w:rsidRPr="00995B85">
              <w:rPr>
                <w:rFonts w:cs="Arial"/>
                <w:b/>
                <w:bCs/>
                <w:color w:val="000000"/>
                <w:sz w:val="20"/>
                <w:szCs w:val="20"/>
              </w:rPr>
              <w:t>Site</w:t>
            </w:r>
          </w:p>
        </w:tc>
        <w:tc>
          <w:tcPr>
            <w:tcW w:w="467" w:type="dxa"/>
            <w:shd w:val="clear" w:color="auto" w:fill="BBE0E3"/>
            <w:textDirection w:val="btLr"/>
            <w:vAlign w:val="center"/>
          </w:tcPr>
          <w:p w14:paraId="4526A457"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abundance</w:t>
            </w:r>
          </w:p>
        </w:tc>
        <w:tc>
          <w:tcPr>
            <w:tcW w:w="467" w:type="dxa"/>
            <w:shd w:val="clear" w:color="auto" w:fill="BBE0E3"/>
            <w:textDirection w:val="btLr"/>
            <w:vAlign w:val="center"/>
          </w:tcPr>
          <w:p w14:paraId="767B768B"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 xml:space="preserve">composition </w:t>
            </w:r>
          </w:p>
        </w:tc>
        <w:tc>
          <w:tcPr>
            <w:tcW w:w="467" w:type="dxa"/>
            <w:shd w:val="clear" w:color="auto" w:fill="BBE0E3"/>
            <w:textDirection w:val="btLr"/>
            <w:vAlign w:val="center"/>
          </w:tcPr>
          <w:p w14:paraId="797FA3A2"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distribution</w:t>
            </w:r>
          </w:p>
        </w:tc>
        <w:tc>
          <w:tcPr>
            <w:tcW w:w="467" w:type="dxa"/>
            <w:shd w:val="clear" w:color="auto" w:fill="BBE0E3"/>
            <w:textDirection w:val="btLr"/>
            <w:vAlign w:val="center"/>
          </w:tcPr>
          <w:p w14:paraId="30B588D8"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Reproductive effort</w:t>
            </w:r>
          </w:p>
        </w:tc>
        <w:tc>
          <w:tcPr>
            <w:tcW w:w="467" w:type="dxa"/>
            <w:shd w:val="clear" w:color="auto" w:fill="BBE0E3"/>
            <w:textDirection w:val="btLr"/>
            <w:vAlign w:val="center"/>
          </w:tcPr>
          <w:p w14:paraId="3F4F9E36"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seed banks</w:t>
            </w:r>
          </w:p>
        </w:tc>
        <w:tc>
          <w:tcPr>
            <w:tcW w:w="467" w:type="dxa"/>
            <w:shd w:val="clear" w:color="auto" w:fill="BBE0E3"/>
            <w:textDirection w:val="btLr"/>
            <w:vAlign w:val="center"/>
          </w:tcPr>
          <w:p w14:paraId="6C754BFD"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Leaf tissue nutrients</w:t>
            </w:r>
          </w:p>
        </w:tc>
        <w:tc>
          <w:tcPr>
            <w:tcW w:w="467" w:type="dxa"/>
            <w:shd w:val="clear" w:color="auto" w:fill="BBE0E3"/>
            <w:textDirection w:val="btLr"/>
            <w:vAlign w:val="center"/>
          </w:tcPr>
          <w:p w14:paraId="6AF128F6"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Meadow sediments</w:t>
            </w:r>
          </w:p>
        </w:tc>
        <w:tc>
          <w:tcPr>
            <w:tcW w:w="467" w:type="dxa"/>
            <w:shd w:val="clear" w:color="auto" w:fill="BBE0E3"/>
            <w:textDirection w:val="btLr"/>
            <w:vAlign w:val="center"/>
          </w:tcPr>
          <w:p w14:paraId="40BD4F8A" w14:textId="77777777" w:rsidR="00995B85" w:rsidRPr="00995B85" w:rsidRDefault="00995B85" w:rsidP="00DD3BAE">
            <w:pPr>
              <w:spacing w:before="0" w:after="0"/>
              <w:ind w:left="113" w:right="113"/>
              <w:rPr>
                <w:rFonts w:cs="Arial"/>
                <w:b/>
                <w:bCs/>
                <w:color w:val="000000"/>
                <w:sz w:val="20"/>
                <w:szCs w:val="20"/>
              </w:rPr>
            </w:pPr>
            <w:r w:rsidRPr="00995B85">
              <w:rPr>
                <w:rFonts w:cs="Arial"/>
                <w:b/>
                <w:bCs/>
                <w:color w:val="000000"/>
                <w:sz w:val="20"/>
                <w:szCs w:val="20"/>
              </w:rPr>
              <w:t>Epiphytes &amp; macroalgae</w:t>
            </w:r>
          </w:p>
        </w:tc>
      </w:tr>
      <w:tr w:rsidR="00995B85" w:rsidRPr="00015190" w14:paraId="340065BE" w14:textId="77777777" w:rsidTr="00995B85">
        <w:trPr>
          <w:trHeight w:val="170"/>
          <w:jc w:val="center"/>
        </w:trPr>
        <w:tc>
          <w:tcPr>
            <w:tcW w:w="1714" w:type="dxa"/>
            <w:vMerge w:val="restart"/>
            <w:shd w:val="clear" w:color="auto" w:fill="E7F3F4"/>
            <w:vAlign w:val="center"/>
          </w:tcPr>
          <w:p w14:paraId="7B995A85" w14:textId="77777777" w:rsidR="00995B85" w:rsidRPr="00995B85" w:rsidRDefault="00995B85" w:rsidP="00DD3BAE">
            <w:pPr>
              <w:spacing w:before="0" w:after="0"/>
              <w:jc w:val="center"/>
              <w:rPr>
                <w:color w:val="000000"/>
                <w:sz w:val="20"/>
                <w:szCs w:val="20"/>
              </w:rPr>
            </w:pPr>
            <w:r w:rsidRPr="00995B85">
              <w:rPr>
                <w:color w:val="000000"/>
                <w:sz w:val="20"/>
                <w:szCs w:val="20"/>
              </w:rPr>
              <w:t>estuary intertidal</w:t>
            </w:r>
          </w:p>
        </w:tc>
        <w:tc>
          <w:tcPr>
            <w:tcW w:w="674" w:type="dxa"/>
            <w:shd w:val="clear" w:color="auto" w:fill="E7F3F4"/>
            <w:noWrap/>
            <w:vAlign w:val="center"/>
          </w:tcPr>
          <w:p w14:paraId="453295BB" w14:textId="77777777" w:rsidR="00995B85" w:rsidRPr="00995B85" w:rsidRDefault="00995B85" w:rsidP="00DD3BAE">
            <w:pPr>
              <w:spacing w:before="0" w:after="0"/>
              <w:jc w:val="center"/>
              <w:rPr>
                <w:iCs/>
                <w:color w:val="000000"/>
                <w:sz w:val="20"/>
                <w:szCs w:val="20"/>
              </w:rPr>
            </w:pPr>
            <w:r w:rsidRPr="00995B85">
              <w:rPr>
                <w:iCs/>
                <w:color w:val="000000"/>
                <w:sz w:val="20"/>
                <w:szCs w:val="20"/>
              </w:rPr>
              <w:t>RD1</w:t>
            </w:r>
          </w:p>
        </w:tc>
        <w:tc>
          <w:tcPr>
            <w:tcW w:w="1483" w:type="dxa"/>
            <w:shd w:val="clear" w:color="auto" w:fill="E7F3F4"/>
            <w:noWrap/>
            <w:vAlign w:val="center"/>
          </w:tcPr>
          <w:p w14:paraId="40A6F2B0" w14:textId="77777777" w:rsidR="00995B85" w:rsidRPr="00995B85" w:rsidRDefault="00995B85" w:rsidP="00DD3BAE">
            <w:pPr>
              <w:spacing w:before="0" w:after="0"/>
              <w:jc w:val="center"/>
              <w:rPr>
                <w:color w:val="000000"/>
                <w:sz w:val="20"/>
                <w:szCs w:val="20"/>
              </w:rPr>
            </w:pPr>
            <w:r w:rsidRPr="00995B85">
              <w:rPr>
                <w:color w:val="000000"/>
                <w:sz w:val="20"/>
                <w:szCs w:val="20"/>
              </w:rPr>
              <w:t>Rodds Bay</w:t>
            </w:r>
          </w:p>
        </w:tc>
        <w:tc>
          <w:tcPr>
            <w:tcW w:w="467" w:type="dxa"/>
            <w:shd w:val="clear" w:color="auto" w:fill="E7F3F4"/>
            <w:vAlign w:val="center"/>
          </w:tcPr>
          <w:p w14:paraId="5FB915EA"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8A92E4"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132095A"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79D70FA"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E03F1E5"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863DE8A"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A5D5A2E"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596EE6"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r>
      <w:tr w:rsidR="00995B85" w:rsidRPr="00015190" w14:paraId="41EA5389" w14:textId="77777777" w:rsidTr="00995B85">
        <w:trPr>
          <w:trHeight w:val="170"/>
          <w:jc w:val="center"/>
        </w:trPr>
        <w:tc>
          <w:tcPr>
            <w:tcW w:w="1714" w:type="dxa"/>
            <w:vMerge/>
            <w:shd w:val="clear" w:color="auto" w:fill="E7F3F4"/>
            <w:vAlign w:val="center"/>
          </w:tcPr>
          <w:p w14:paraId="0E4BEAFD" w14:textId="77777777" w:rsidR="00995B85" w:rsidRPr="00995B85" w:rsidRDefault="00995B85" w:rsidP="00DD3BAE">
            <w:pPr>
              <w:spacing w:before="0" w:after="0"/>
              <w:jc w:val="center"/>
              <w:rPr>
                <w:color w:val="000000"/>
                <w:sz w:val="20"/>
                <w:szCs w:val="20"/>
              </w:rPr>
            </w:pPr>
          </w:p>
        </w:tc>
        <w:tc>
          <w:tcPr>
            <w:tcW w:w="674" w:type="dxa"/>
            <w:shd w:val="clear" w:color="auto" w:fill="E7F3F4"/>
            <w:noWrap/>
            <w:vAlign w:val="center"/>
          </w:tcPr>
          <w:p w14:paraId="1182B1E5" w14:textId="77777777" w:rsidR="00995B85" w:rsidRPr="00995B85" w:rsidRDefault="00995B85" w:rsidP="00DD3BAE">
            <w:pPr>
              <w:spacing w:before="0" w:after="0"/>
              <w:jc w:val="center"/>
              <w:rPr>
                <w:iCs/>
                <w:color w:val="000000"/>
                <w:sz w:val="20"/>
                <w:szCs w:val="20"/>
              </w:rPr>
            </w:pPr>
            <w:r w:rsidRPr="00995B85">
              <w:rPr>
                <w:iCs/>
                <w:color w:val="000000"/>
                <w:sz w:val="20"/>
                <w:szCs w:val="20"/>
              </w:rPr>
              <w:t>RD2</w:t>
            </w:r>
          </w:p>
        </w:tc>
        <w:tc>
          <w:tcPr>
            <w:tcW w:w="1483" w:type="dxa"/>
            <w:shd w:val="clear" w:color="auto" w:fill="E7F3F4"/>
            <w:noWrap/>
            <w:vAlign w:val="center"/>
          </w:tcPr>
          <w:p w14:paraId="5DEF6AB1" w14:textId="77777777" w:rsidR="00995B85" w:rsidRPr="00995B85" w:rsidRDefault="00995B85" w:rsidP="00DD3BAE">
            <w:pPr>
              <w:spacing w:before="0" w:after="0"/>
              <w:jc w:val="center"/>
              <w:rPr>
                <w:color w:val="000000"/>
                <w:sz w:val="20"/>
                <w:szCs w:val="20"/>
              </w:rPr>
            </w:pPr>
            <w:r w:rsidRPr="00995B85">
              <w:rPr>
                <w:color w:val="000000"/>
                <w:sz w:val="20"/>
                <w:szCs w:val="20"/>
              </w:rPr>
              <w:t>Rodds Bay</w:t>
            </w:r>
          </w:p>
        </w:tc>
        <w:tc>
          <w:tcPr>
            <w:tcW w:w="467" w:type="dxa"/>
            <w:shd w:val="clear" w:color="auto" w:fill="E7F3F4"/>
            <w:vAlign w:val="center"/>
          </w:tcPr>
          <w:p w14:paraId="44DCF399"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B7A129D"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290FAA"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34AC5B2"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768F2ECE"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E037950"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651E23C"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E60C820"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r>
      <w:tr w:rsidR="00995B85" w:rsidRPr="00015190" w14:paraId="65EEEC0B" w14:textId="77777777" w:rsidTr="00995B85">
        <w:trPr>
          <w:trHeight w:val="170"/>
          <w:jc w:val="center"/>
        </w:trPr>
        <w:tc>
          <w:tcPr>
            <w:tcW w:w="1714" w:type="dxa"/>
            <w:vMerge/>
            <w:shd w:val="clear" w:color="auto" w:fill="E7F3F4"/>
            <w:vAlign w:val="center"/>
          </w:tcPr>
          <w:p w14:paraId="5593756D" w14:textId="77777777" w:rsidR="00995B85" w:rsidRPr="00995B85" w:rsidRDefault="00995B85" w:rsidP="00DD3BAE">
            <w:pPr>
              <w:spacing w:before="0" w:after="0"/>
              <w:jc w:val="center"/>
              <w:rPr>
                <w:color w:val="000000"/>
                <w:sz w:val="20"/>
                <w:szCs w:val="20"/>
              </w:rPr>
            </w:pPr>
          </w:p>
        </w:tc>
        <w:tc>
          <w:tcPr>
            <w:tcW w:w="674" w:type="dxa"/>
            <w:shd w:val="clear" w:color="auto" w:fill="E7F3F4"/>
            <w:noWrap/>
            <w:vAlign w:val="center"/>
          </w:tcPr>
          <w:p w14:paraId="150CBB74" w14:textId="77777777" w:rsidR="00995B85" w:rsidRPr="00995B85" w:rsidRDefault="00995B85" w:rsidP="00DD3BAE">
            <w:pPr>
              <w:spacing w:before="0" w:after="0"/>
              <w:jc w:val="center"/>
              <w:rPr>
                <w:color w:val="000000"/>
                <w:sz w:val="20"/>
                <w:szCs w:val="20"/>
              </w:rPr>
            </w:pPr>
            <w:r w:rsidRPr="00995B85">
              <w:rPr>
                <w:color w:val="000000"/>
                <w:sz w:val="20"/>
                <w:szCs w:val="20"/>
              </w:rPr>
              <w:t>UG1</w:t>
            </w:r>
          </w:p>
        </w:tc>
        <w:tc>
          <w:tcPr>
            <w:tcW w:w="1483" w:type="dxa"/>
            <w:shd w:val="clear" w:color="auto" w:fill="E7F3F4"/>
            <w:noWrap/>
            <w:vAlign w:val="center"/>
          </w:tcPr>
          <w:p w14:paraId="2480175A" w14:textId="77777777" w:rsidR="00995B85" w:rsidRPr="00995B85" w:rsidRDefault="00995B85" w:rsidP="00DD3BAE">
            <w:pPr>
              <w:spacing w:before="0" w:after="0"/>
              <w:jc w:val="center"/>
              <w:rPr>
                <w:color w:val="000000"/>
                <w:sz w:val="20"/>
                <w:szCs w:val="20"/>
              </w:rPr>
            </w:pPr>
            <w:r w:rsidRPr="00995B85">
              <w:rPr>
                <w:color w:val="000000"/>
                <w:sz w:val="20"/>
                <w:szCs w:val="20"/>
              </w:rPr>
              <w:t>Urangan</w:t>
            </w:r>
          </w:p>
        </w:tc>
        <w:tc>
          <w:tcPr>
            <w:tcW w:w="467" w:type="dxa"/>
            <w:shd w:val="clear" w:color="auto" w:fill="E7F3F4"/>
            <w:vAlign w:val="center"/>
          </w:tcPr>
          <w:p w14:paraId="610C92BD"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3A663B98"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091560"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A85F7F1"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208599F7"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0706229"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2729909"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165B573"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r>
      <w:tr w:rsidR="00995B85" w:rsidRPr="00015190" w14:paraId="61D58D35" w14:textId="77777777" w:rsidTr="00995B85">
        <w:trPr>
          <w:trHeight w:val="170"/>
          <w:jc w:val="center"/>
        </w:trPr>
        <w:tc>
          <w:tcPr>
            <w:tcW w:w="1714" w:type="dxa"/>
            <w:vMerge/>
            <w:shd w:val="clear" w:color="auto" w:fill="E7F3F4"/>
            <w:vAlign w:val="center"/>
          </w:tcPr>
          <w:p w14:paraId="19E25829" w14:textId="77777777" w:rsidR="00995B85" w:rsidRPr="00995B85" w:rsidRDefault="00995B85" w:rsidP="00DD3BAE">
            <w:pPr>
              <w:spacing w:before="0" w:after="0"/>
              <w:jc w:val="center"/>
              <w:rPr>
                <w:color w:val="000000"/>
                <w:sz w:val="20"/>
                <w:szCs w:val="20"/>
              </w:rPr>
            </w:pPr>
          </w:p>
        </w:tc>
        <w:tc>
          <w:tcPr>
            <w:tcW w:w="674" w:type="dxa"/>
            <w:shd w:val="clear" w:color="auto" w:fill="E7F3F4"/>
            <w:noWrap/>
            <w:vAlign w:val="center"/>
          </w:tcPr>
          <w:p w14:paraId="1B5CE188" w14:textId="77777777" w:rsidR="00995B85" w:rsidRPr="00995B85" w:rsidRDefault="00995B85" w:rsidP="00DD3BAE">
            <w:pPr>
              <w:spacing w:before="0" w:after="0"/>
              <w:jc w:val="center"/>
              <w:rPr>
                <w:color w:val="000000"/>
                <w:sz w:val="20"/>
                <w:szCs w:val="20"/>
              </w:rPr>
            </w:pPr>
            <w:r w:rsidRPr="00995B85">
              <w:rPr>
                <w:color w:val="000000"/>
                <w:sz w:val="20"/>
                <w:szCs w:val="20"/>
              </w:rPr>
              <w:t>UG2</w:t>
            </w:r>
          </w:p>
        </w:tc>
        <w:tc>
          <w:tcPr>
            <w:tcW w:w="1483" w:type="dxa"/>
            <w:shd w:val="clear" w:color="auto" w:fill="E7F3F4"/>
            <w:noWrap/>
            <w:vAlign w:val="center"/>
          </w:tcPr>
          <w:p w14:paraId="5544E091" w14:textId="77777777" w:rsidR="00995B85" w:rsidRPr="00995B85" w:rsidRDefault="00995B85" w:rsidP="00DD3BAE">
            <w:pPr>
              <w:spacing w:before="0" w:after="0"/>
              <w:jc w:val="center"/>
              <w:rPr>
                <w:color w:val="000000"/>
                <w:sz w:val="20"/>
                <w:szCs w:val="20"/>
              </w:rPr>
            </w:pPr>
            <w:r w:rsidRPr="00995B85">
              <w:rPr>
                <w:color w:val="000000"/>
                <w:sz w:val="20"/>
                <w:szCs w:val="20"/>
              </w:rPr>
              <w:t>Urangan</w:t>
            </w:r>
          </w:p>
        </w:tc>
        <w:tc>
          <w:tcPr>
            <w:tcW w:w="467" w:type="dxa"/>
            <w:shd w:val="clear" w:color="auto" w:fill="E7F3F4"/>
            <w:vAlign w:val="center"/>
          </w:tcPr>
          <w:p w14:paraId="4E68036D"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75843E5"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0314CC1"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E5A7A87" w14:textId="77777777" w:rsidR="00995B85" w:rsidRPr="00F45F13" w:rsidRDefault="00995B85" w:rsidP="00DD3BAE">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01B74E5"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604597"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05A87E0"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1B63EF"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r>
      <w:tr w:rsidR="00995B85" w:rsidRPr="00015190" w14:paraId="73EE8834" w14:textId="77777777" w:rsidTr="00995B85">
        <w:trPr>
          <w:trHeight w:val="170"/>
          <w:jc w:val="center"/>
        </w:trPr>
        <w:tc>
          <w:tcPr>
            <w:tcW w:w="1714" w:type="dxa"/>
            <w:vMerge w:val="restart"/>
            <w:shd w:val="clear" w:color="auto" w:fill="F3F9FA"/>
            <w:vAlign w:val="center"/>
          </w:tcPr>
          <w:p w14:paraId="58970BBC" w14:textId="4296F00F" w:rsidR="00995B85" w:rsidRPr="00995B85" w:rsidRDefault="00995B85" w:rsidP="00DD3BAE">
            <w:pPr>
              <w:spacing w:before="0" w:after="0"/>
              <w:jc w:val="center"/>
              <w:rPr>
                <w:color w:val="000000"/>
                <w:sz w:val="20"/>
                <w:szCs w:val="20"/>
              </w:rPr>
            </w:pPr>
            <w:r w:rsidRPr="00995B85">
              <w:rPr>
                <w:color w:val="000000"/>
                <w:sz w:val="20"/>
                <w:szCs w:val="20"/>
              </w:rPr>
              <w:t xml:space="preserve">coastal </w:t>
            </w:r>
            <w:r w:rsidR="00FD58A8">
              <w:rPr>
                <w:color w:val="000000"/>
                <w:sz w:val="20"/>
                <w:szCs w:val="20"/>
              </w:rPr>
              <w:t>intertidal</w:t>
            </w:r>
          </w:p>
        </w:tc>
        <w:tc>
          <w:tcPr>
            <w:tcW w:w="674" w:type="dxa"/>
            <w:shd w:val="clear" w:color="auto" w:fill="F3F9FA"/>
            <w:noWrap/>
            <w:vAlign w:val="center"/>
          </w:tcPr>
          <w:p w14:paraId="35AA1133" w14:textId="4629B1BF" w:rsidR="00995B85" w:rsidRPr="00995B85" w:rsidRDefault="00995B85" w:rsidP="00DD3BAE">
            <w:pPr>
              <w:spacing w:before="0" w:after="0"/>
              <w:jc w:val="center"/>
              <w:rPr>
                <w:color w:val="000000"/>
                <w:sz w:val="20"/>
                <w:szCs w:val="20"/>
              </w:rPr>
            </w:pPr>
            <w:r w:rsidRPr="00995B85">
              <w:rPr>
                <w:color w:val="000000"/>
                <w:sz w:val="20"/>
                <w:szCs w:val="20"/>
              </w:rPr>
              <w:t>BH1</w:t>
            </w:r>
            <w:r w:rsidR="00CA7806">
              <w:rPr>
                <w:color w:val="000000"/>
                <w:sz w:val="20"/>
                <w:szCs w:val="20"/>
              </w:rPr>
              <w:t>*</w:t>
            </w:r>
          </w:p>
        </w:tc>
        <w:tc>
          <w:tcPr>
            <w:tcW w:w="1483" w:type="dxa"/>
            <w:shd w:val="clear" w:color="auto" w:fill="F3F9FA"/>
            <w:noWrap/>
            <w:vAlign w:val="center"/>
          </w:tcPr>
          <w:p w14:paraId="5862AC90" w14:textId="77777777" w:rsidR="00995B85" w:rsidRPr="00995B85" w:rsidRDefault="00995B85" w:rsidP="00DD3BAE">
            <w:pPr>
              <w:spacing w:before="0" w:after="0"/>
              <w:jc w:val="center"/>
              <w:rPr>
                <w:color w:val="000000"/>
                <w:sz w:val="20"/>
                <w:szCs w:val="20"/>
              </w:rPr>
            </w:pPr>
            <w:r w:rsidRPr="00995B85">
              <w:rPr>
                <w:color w:val="000000"/>
                <w:sz w:val="20"/>
                <w:szCs w:val="20"/>
              </w:rPr>
              <w:t>Burrum Heads</w:t>
            </w:r>
          </w:p>
        </w:tc>
        <w:tc>
          <w:tcPr>
            <w:tcW w:w="467" w:type="dxa"/>
            <w:shd w:val="clear" w:color="auto" w:fill="F3F9FA"/>
            <w:vAlign w:val="center"/>
          </w:tcPr>
          <w:p w14:paraId="5C8304C0"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95A1DEE"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13B07AF" w14:textId="77777777" w:rsidR="00995B85" w:rsidRDefault="00995B85" w:rsidP="00DD3BAE">
            <w:pPr>
              <w:spacing w:before="0" w:after="0"/>
              <w:jc w:val="center"/>
              <w:rPr>
                <w:color w:val="000000"/>
                <w:sz w:val="14"/>
                <w:szCs w:val="14"/>
              </w:rPr>
            </w:pPr>
          </w:p>
        </w:tc>
        <w:tc>
          <w:tcPr>
            <w:tcW w:w="467" w:type="dxa"/>
            <w:shd w:val="clear" w:color="auto" w:fill="F3F9FA"/>
            <w:vAlign w:val="center"/>
          </w:tcPr>
          <w:p w14:paraId="50A27E58" w14:textId="77777777" w:rsidR="00995B85" w:rsidRDefault="00995B85" w:rsidP="00DD3BAE">
            <w:pPr>
              <w:spacing w:before="0" w:after="0"/>
              <w:jc w:val="center"/>
              <w:rPr>
                <w:color w:val="000000"/>
                <w:sz w:val="14"/>
                <w:szCs w:val="14"/>
              </w:rPr>
            </w:pPr>
          </w:p>
        </w:tc>
        <w:tc>
          <w:tcPr>
            <w:tcW w:w="467" w:type="dxa"/>
            <w:shd w:val="clear" w:color="auto" w:fill="F3F9FA"/>
            <w:vAlign w:val="center"/>
          </w:tcPr>
          <w:p w14:paraId="04D5D189"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9D4325D" w14:textId="77777777" w:rsidR="00995B85" w:rsidRDefault="00995B85" w:rsidP="00DD3BAE">
            <w:pPr>
              <w:spacing w:before="0" w:after="0"/>
              <w:jc w:val="center"/>
              <w:rPr>
                <w:color w:val="000000"/>
                <w:sz w:val="14"/>
                <w:szCs w:val="14"/>
              </w:rPr>
            </w:pPr>
          </w:p>
        </w:tc>
        <w:tc>
          <w:tcPr>
            <w:tcW w:w="467" w:type="dxa"/>
            <w:shd w:val="clear" w:color="auto" w:fill="F3F9FA"/>
            <w:vAlign w:val="center"/>
          </w:tcPr>
          <w:p w14:paraId="7C9CD919"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8418094"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r>
      <w:tr w:rsidR="00995B85" w:rsidRPr="00015190" w14:paraId="0D115BDA" w14:textId="77777777" w:rsidTr="00995B85">
        <w:trPr>
          <w:trHeight w:val="170"/>
          <w:jc w:val="center"/>
        </w:trPr>
        <w:tc>
          <w:tcPr>
            <w:tcW w:w="1714" w:type="dxa"/>
            <w:vMerge/>
            <w:shd w:val="clear" w:color="auto" w:fill="F3F9FA"/>
            <w:vAlign w:val="center"/>
          </w:tcPr>
          <w:p w14:paraId="20EC15F3" w14:textId="77777777" w:rsidR="00995B85" w:rsidRPr="00995B85" w:rsidRDefault="00995B85" w:rsidP="00DD3BAE">
            <w:pPr>
              <w:spacing w:before="0" w:after="0"/>
              <w:jc w:val="center"/>
              <w:rPr>
                <w:color w:val="000000"/>
                <w:sz w:val="20"/>
                <w:szCs w:val="20"/>
              </w:rPr>
            </w:pPr>
          </w:p>
        </w:tc>
        <w:tc>
          <w:tcPr>
            <w:tcW w:w="674" w:type="dxa"/>
            <w:shd w:val="clear" w:color="auto" w:fill="F3F9FA"/>
            <w:noWrap/>
            <w:vAlign w:val="center"/>
          </w:tcPr>
          <w:p w14:paraId="1C12C3DA" w14:textId="4894B3F1" w:rsidR="00995B85" w:rsidRPr="00995B85" w:rsidRDefault="00995B85" w:rsidP="00DD3BAE">
            <w:pPr>
              <w:spacing w:before="0" w:after="0"/>
              <w:jc w:val="center"/>
              <w:rPr>
                <w:color w:val="000000"/>
                <w:sz w:val="20"/>
                <w:szCs w:val="20"/>
              </w:rPr>
            </w:pPr>
            <w:r w:rsidRPr="00995B85">
              <w:rPr>
                <w:color w:val="000000"/>
                <w:sz w:val="20"/>
                <w:szCs w:val="20"/>
              </w:rPr>
              <w:t>BH3</w:t>
            </w:r>
            <w:r w:rsidR="00CA7806">
              <w:rPr>
                <w:color w:val="000000"/>
                <w:sz w:val="20"/>
                <w:szCs w:val="20"/>
              </w:rPr>
              <w:t>*</w:t>
            </w:r>
          </w:p>
        </w:tc>
        <w:tc>
          <w:tcPr>
            <w:tcW w:w="1483" w:type="dxa"/>
            <w:shd w:val="clear" w:color="auto" w:fill="F3F9FA"/>
            <w:noWrap/>
            <w:vAlign w:val="center"/>
          </w:tcPr>
          <w:p w14:paraId="16F03AFE" w14:textId="77777777" w:rsidR="00995B85" w:rsidRPr="00995B85" w:rsidRDefault="00995B85" w:rsidP="00DD3BAE">
            <w:pPr>
              <w:spacing w:before="0" w:after="0"/>
              <w:jc w:val="center"/>
              <w:rPr>
                <w:color w:val="000000"/>
                <w:sz w:val="20"/>
                <w:szCs w:val="20"/>
              </w:rPr>
            </w:pPr>
            <w:r w:rsidRPr="00995B85">
              <w:rPr>
                <w:color w:val="000000"/>
                <w:sz w:val="20"/>
                <w:szCs w:val="20"/>
              </w:rPr>
              <w:t>Burrum Heads</w:t>
            </w:r>
          </w:p>
        </w:tc>
        <w:tc>
          <w:tcPr>
            <w:tcW w:w="467" w:type="dxa"/>
            <w:shd w:val="clear" w:color="auto" w:fill="F3F9FA"/>
            <w:vAlign w:val="center"/>
          </w:tcPr>
          <w:p w14:paraId="1913EFFA"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CEA0B29"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9BAE65C" w14:textId="77777777" w:rsidR="00995B85" w:rsidRDefault="00995B85" w:rsidP="00DD3BAE">
            <w:pPr>
              <w:spacing w:before="0" w:after="0"/>
              <w:jc w:val="center"/>
              <w:rPr>
                <w:color w:val="000000"/>
                <w:sz w:val="14"/>
                <w:szCs w:val="14"/>
              </w:rPr>
            </w:pPr>
          </w:p>
        </w:tc>
        <w:tc>
          <w:tcPr>
            <w:tcW w:w="467" w:type="dxa"/>
            <w:shd w:val="clear" w:color="auto" w:fill="F3F9FA"/>
            <w:vAlign w:val="center"/>
          </w:tcPr>
          <w:p w14:paraId="02240F53" w14:textId="77777777" w:rsidR="00995B85" w:rsidRDefault="00995B85" w:rsidP="00DD3BAE">
            <w:pPr>
              <w:spacing w:before="0" w:after="0"/>
              <w:jc w:val="center"/>
              <w:rPr>
                <w:color w:val="000000"/>
                <w:sz w:val="14"/>
                <w:szCs w:val="14"/>
              </w:rPr>
            </w:pPr>
          </w:p>
        </w:tc>
        <w:tc>
          <w:tcPr>
            <w:tcW w:w="467" w:type="dxa"/>
            <w:shd w:val="clear" w:color="auto" w:fill="F3F9FA"/>
            <w:vAlign w:val="center"/>
          </w:tcPr>
          <w:p w14:paraId="3C6C8399"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A015103" w14:textId="77777777" w:rsidR="00995B85" w:rsidRDefault="00995B85" w:rsidP="00DD3BAE">
            <w:pPr>
              <w:spacing w:before="0" w:after="0"/>
              <w:jc w:val="center"/>
              <w:rPr>
                <w:color w:val="000000"/>
                <w:sz w:val="14"/>
                <w:szCs w:val="14"/>
              </w:rPr>
            </w:pPr>
          </w:p>
        </w:tc>
        <w:tc>
          <w:tcPr>
            <w:tcW w:w="467" w:type="dxa"/>
            <w:shd w:val="clear" w:color="auto" w:fill="F3F9FA"/>
            <w:vAlign w:val="center"/>
          </w:tcPr>
          <w:p w14:paraId="0F8DB510"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A67D98A" w14:textId="77777777" w:rsidR="00995B85" w:rsidRDefault="00995B85" w:rsidP="00DD3BAE">
            <w:pPr>
              <w:spacing w:before="0" w:after="0"/>
              <w:jc w:val="center"/>
              <w:rPr>
                <w:color w:val="000000"/>
                <w:sz w:val="14"/>
                <w:szCs w:val="14"/>
              </w:rPr>
            </w:pPr>
            <w:r w:rsidRPr="00F45F13">
              <w:rPr>
                <w:color w:val="000000"/>
                <w:sz w:val="16"/>
                <w:szCs w:val="16"/>
              </w:rPr>
              <w:sym w:font="Wingdings" w:char="F06E"/>
            </w:r>
          </w:p>
        </w:tc>
      </w:tr>
    </w:tbl>
    <w:p w14:paraId="19EFCF8B" w14:textId="77777777" w:rsidR="00CD1A6D" w:rsidRPr="001D05D4" w:rsidRDefault="00CD1A6D" w:rsidP="001D05D4">
      <w:pPr>
        <w:pStyle w:val="Heading4"/>
        <w:numPr>
          <w:ilvl w:val="0"/>
          <w:numId w:val="0"/>
        </w:numPr>
        <w:rPr>
          <w:rFonts w:ascii="Arial" w:hAnsi="Arial" w:cs="Arial"/>
          <w:sz w:val="24"/>
          <w:szCs w:val="24"/>
        </w:rPr>
      </w:pPr>
      <w:r w:rsidRPr="001D05D4">
        <w:rPr>
          <w:rFonts w:ascii="Arial" w:hAnsi="Arial" w:cs="Arial"/>
          <w:sz w:val="24"/>
          <w:szCs w:val="24"/>
        </w:rPr>
        <w:t>Seagrass abundance, composition and extent</w:t>
      </w:r>
    </w:p>
    <w:p w14:paraId="1FF9D63F" w14:textId="06D3AED2" w:rsidR="0059610E" w:rsidRPr="00EF7400" w:rsidRDefault="0059610E" w:rsidP="00DD3BAE">
      <w:pPr>
        <w:rPr>
          <w:color w:val="000000" w:themeColor="text1"/>
          <w:szCs w:val="22"/>
        </w:rPr>
      </w:pPr>
      <w:r w:rsidRPr="00107F96">
        <w:rPr>
          <w:color w:val="000000" w:themeColor="text1"/>
          <w:szCs w:val="22"/>
        </w:rPr>
        <w:t xml:space="preserve">Only estuarine and coastal habitats are monitored in the Burnett Mary NRM region. Since monitoring was established, the estuarine meadows have come and gone on an irregular basis. </w:t>
      </w:r>
      <w:r w:rsidR="0088434E" w:rsidRPr="00107F96">
        <w:rPr>
          <w:color w:val="000000" w:themeColor="text1"/>
          <w:szCs w:val="22"/>
        </w:rPr>
        <w:t xml:space="preserve">Seagrass abundance </w:t>
      </w:r>
      <w:r w:rsidR="00F36620" w:rsidRPr="00107F96">
        <w:rPr>
          <w:color w:val="000000" w:themeColor="text1"/>
          <w:szCs w:val="22"/>
        </w:rPr>
        <w:t xml:space="preserve">at Urangan increased </w:t>
      </w:r>
      <w:r w:rsidR="0088434E" w:rsidRPr="00107F96">
        <w:rPr>
          <w:color w:val="000000" w:themeColor="text1"/>
          <w:szCs w:val="22"/>
        </w:rPr>
        <w:t xml:space="preserve">in </w:t>
      </w:r>
      <w:r w:rsidR="008574EC">
        <w:rPr>
          <w:color w:val="000000" w:themeColor="text1"/>
          <w:szCs w:val="22"/>
        </w:rPr>
        <w:t>2016–17</w:t>
      </w:r>
      <w:r w:rsidR="00107F96" w:rsidRPr="00107F96">
        <w:rPr>
          <w:color w:val="000000" w:themeColor="text1"/>
          <w:szCs w:val="22"/>
        </w:rPr>
        <w:t xml:space="preserve"> compared to the late wet abundance in the previous monitoring year. However, percent cover in</w:t>
      </w:r>
      <w:r w:rsidR="0077371D">
        <w:rPr>
          <w:color w:val="000000" w:themeColor="text1"/>
          <w:szCs w:val="22"/>
        </w:rPr>
        <w:t xml:space="preserve"> t</w:t>
      </w:r>
      <w:r w:rsidR="00107F96" w:rsidRPr="00107F96">
        <w:rPr>
          <w:color w:val="000000" w:themeColor="text1"/>
          <w:szCs w:val="22"/>
        </w:rPr>
        <w:t>he late dry was lower than it had been in the previous two late dry sampling periods</w:t>
      </w:r>
      <w:r w:rsidR="00107F96">
        <w:rPr>
          <w:color w:val="000000" w:themeColor="text1"/>
          <w:szCs w:val="22"/>
        </w:rPr>
        <w:t xml:space="preserve"> and well below the high abdundances observed in 2001 to 2005. Abundance declined in </w:t>
      </w:r>
      <w:r w:rsidR="008574EC">
        <w:rPr>
          <w:color w:val="000000" w:themeColor="text1"/>
          <w:szCs w:val="22"/>
        </w:rPr>
        <w:t>2016–17</w:t>
      </w:r>
      <w:r w:rsidR="00107F96">
        <w:rPr>
          <w:color w:val="000000" w:themeColor="text1"/>
          <w:szCs w:val="22"/>
        </w:rPr>
        <w:t xml:space="preserve"> at both the Burrum Heads and Rodds Bay monitoring sites. </w:t>
      </w:r>
      <w:r w:rsidR="00F36620" w:rsidRPr="00F13469">
        <w:rPr>
          <w:color w:val="0000FF"/>
          <w:szCs w:val="22"/>
        </w:rPr>
        <w:t xml:space="preserve"> </w:t>
      </w:r>
      <w:r w:rsidR="00F36620" w:rsidRPr="00107F96">
        <w:rPr>
          <w:color w:val="000000" w:themeColor="text1"/>
          <w:szCs w:val="22"/>
        </w:rPr>
        <w:t>On average, abu</w:t>
      </w:r>
      <w:r w:rsidR="0088434E" w:rsidRPr="00107F96">
        <w:rPr>
          <w:color w:val="000000" w:themeColor="text1"/>
          <w:szCs w:val="22"/>
        </w:rPr>
        <w:t xml:space="preserve">ndances </w:t>
      </w:r>
      <w:r w:rsidR="00107F96" w:rsidRPr="00107F96">
        <w:rPr>
          <w:color w:val="000000" w:themeColor="text1"/>
          <w:szCs w:val="22"/>
        </w:rPr>
        <w:t>decreased</w:t>
      </w:r>
      <w:r w:rsidR="00F36620" w:rsidRPr="00107F96">
        <w:rPr>
          <w:color w:val="000000" w:themeColor="text1"/>
          <w:szCs w:val="22"/>
        </w:rPr>
        <w:t xml:space="preserve"> to a </w:t>
      </w:r>
      <w:r w:rsidR="00107F96" w:rsidRPr="00107F96">
        <w:rPr>
          <w:b/>
          <w:color w:val="000000" w:themeColor="text1"/>
          <w:szCs w:val="22"/>
        </w:rPr>
        <w:t>low</w:t>
      </w:r>
      <w:r w:rsidR="00F36620" w:rsidRPr="00107F96">
        <w:rPr>
          <w:color w:val="000000" w:themeColor="text1"/>
          <w:szCs w:val="22"/>
        </w:rPr>
        <w:t xml:space="preserve"> rating </w:t>
      </w:r>
      <w:r w:rsidR="00107F96" w:rsidRPr="00107F96">
        <w:rPr>
          <w:color w:val="000000" w:themeColor="text1"/>
          <w:szCs w:val="22"/>
        </w:rPr>
        <w:t xml:space="preserve">after reaching moderate in the previous year </w:t>
      </w:r>
      <w:r w:rsidR="0088434E" w:rsidRPr="00107F96">
        <w:rPr>
          <w:color w:val="000000" w:themeColor="text1"/>
          <w:szCs w:val="22"/>
        </w:rPr>
        <w:t>(</w:t>
      </w:r>
      <w:r w:rsidR="0088434E" w:rsidRPr="00107F96">
        <w:rPr>
          <w:color w:val="000000" w:themeColor="text1"/>
          <w:szCs w:val="22"/>
        </w:rPr>
        <w:fldChar w:fldCharType="begin"/>
      </w:r>
      <w:r w:rsidR="0088434E" w:rsidRPr="00107F96">
        <w:rPr>
          <w:color w:val="000000" w:themeColor="text1"/>
          <w:szCs w:val="22"/>
        </w:rPr>
        <w:instrText xml:space="preserve"> REF _Ref442377974 \h </w:instrText>
      </w:r>
      <w:r w:rsidR="0088434E" w:rsidRPr="00107F96">
        <w:rPr>
          <w:color w:val="000000" w:themeColor="text1"/>
          <w:szCs w:val="22"/>
        </w:rPr>
      </w:r>
      <w:r w:rsidR="0088434E" w:rsidRPr="00107F96">
        <w:rPr>
          <w:color w:val="000000" w:themeColor="text1"/>
          <w:szCs w:val="22"/>
        </w:rPr>
        <w:fldChar w:fldCharType="separate"/>
      </w:r>
      <w:r w:rsidR="00F87DF9" w:rsidRPr="0096368A">
        <w:rPr>
          <w:color w:val="000000"/>
        </w:rPr>
        <w:t xml:space="preserve">Figure </w:t>
      </w:r>
      <w:r w:rsidR="00F87DF9">
        <w:rPr>
          <w:noProof/>
          <w:color w:val="000000"/>
        </w:rPr>
        <w:t>107</w:t>
      </w:r>
      <w:r w:rsidR="0088434E" w:rsidRPr="00107F96">
        <w:rPr>
          <w:color w:val="000000" w:themeColor="text1"/>
          <w:szCs w:val="22"/>
        </w:rPr>
        <w:fldChar w:fldCharType="end"/>
      </w:r>
      <w:r w:rsidR="0088434E" w:rsidRPr="00107F96">
        <w:rPr>
          <w:color w:val="000000" w:themeColor="text1"/>
          <w:szCs w:val="22"/>
        </w:rPr>
        <w:t xml:space="preserve">). </w:t>
      </w:r>
    </w:p>
    <w:p w14:paraId="4E9D050E" w14:textId="77777777" w:rsidR="0059610E" w:rsidRPr="00326B1A" w:rsidRDefault="005B1EEC" w:rsidP="00DD3BAE">
      <w:pPr>
        <w:keepNext/>
        <w:widowControl w:val="0"/>
        <w:spacing w:after="0"/>
        <w:jc w:val="center"/>
        <w:rPr>
          <w:color w:val="000000"/>
          <w:szCs w:val="22"/>
        </w:rPr>
      </w:pPr>
      <w:r>
        <w:rPr>
          <w:noProof/>
          <w:color w:val="000000"/>
          <w:szCs w:val="22"/>
          <w:lang w:eastAsia="en-AU"/>
        </w:rPr>
        <w:drawing>
          <wp:inline distT="0" distB="0" distL="0" distR="0" wp14:anchorId="6FC3EAAA" wp14:editId="3CAF63DC">
            <wp:extent cx="5016578" cy="3649010"/>
            <wp:effectExtent l="0" t="0" r="0" b="8890"/>
            <wp:docPr id="248" name="Picture 248" descr="Set of three scatter plots with straight lines and markers showing seagrass abundance (% cover and standard error) at inshore intertidal estuarine and coastal habitats (replicate sites pooled) in the Burnett Mary NRM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BM_SG16.png"/>
                    <pic:cNvPicPr/>
                  </pic:nvPicPr>
                  <pic:blipFill>
                    <a:blip r:embed="rId149"/>
                    <a:stretch>
                      <a:fillRect/>
                    </a:stretch>
                  </pic:blipFill>
                  <pic:spPr>
                    <a:xfrm>
                      <a:off x="0" y="0"/>
                      <a:ext cx="5016578" cy="3649010"/>
                    </a:xfrm>
                    <a:prstGeom prst="rect">
                      <a:avLst/>
                    </a:prstGeom>
                  </pic:spPr>
                </pic:pic>
              </a:graphicData>
            </a:graphic>
          </wp:inline>
        </w:drawing>
      </w:r>
    </w:p>
    <w:p w14:paraId="07DD7446" w14:textId="6A0C9F47" w:rsidR="00A93D8C" w:rsidRPr="00B0027A" w:rsidRDefault="005132EF" w:rsidP="00DD3BAE">
      <w:pPr>
        <w:widowControl w:val="0"/>
        <w:spacing w:before="0"/>
        <w:rPr>
          <w:i/>
        </w:rPr>
      </w:pPr>
      <w:bookmarkStart w:id="607" w:name="_Ref211951689"/>
      <w:bookmarkStart w:id="608" w:name="_Toc232846028"/>
      <w:bookmarkStart w:id="609" w:name="_Toc431493901"/>
      <w:bookmarkStart w:id="610" w:name="_Toc516053321"/>
      <w:r w:rsidRPr="00303763">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111</w:t>
      </w:r>
      <w:r w:rsidR="00C506C7">
        <w:rPr>
          <w:noProof/>
        </w:rPr>
        <w:fldChar w:fldCharType="end"/>
      </w:r>
      <w:bookmarkEnd w:id="607"/>
      <w:r w:rsidRPr="00303763">
        <w:t xml:space="preserve">. </w:t>
      </w:r>
      <w:bookmarkEnd w:id="608"/>
      <w:r w:rsidRPr="00A93D8C">
        <w:rPr>
          <w:i/>
        </w:rPr>
        <w:t>Changes in seagrass abundance (</w:t>
      </w:r>
      <w:r w:rsidR="0063478C">
        <w:rPr>
          <w:i/>
        </w:rPr>
        <w:t>per cent</w:t>
      </w:r>
      <w:r w:rsidRPr="00A93D8C">
        <w:rPr>
          <w:i/>
        </w:rPr>
        <w:t xml:space="preserve"> cover ±</w:t>
      </w:r>
      <w:r w:rsidR="009C7692">
        <w:rPr>
          <w:i/>
        </w:rPr>
        <w:t xml:space="preserve"> SE</w:t>
      </w:r>
      <w:r w:rsidRPr="00A93D8C">
        <w:rPr>
          <w:i/>
        </w:rPr>
        <w:t xml:space="preserve">) at estuarine </w:t>
      </w:r>
      <w:r w:rsidR="003E1D94">
        <w:rPr>
          <w:i/>
        </w:rPr>
        <w:t xml:space="preserve">and coastal </w:t>
      </w:r>
      <w:r w:rsidRPr="00B0027A">
        <w:rPr>
          <w:i/>
        </w:rPr>
        <w:t xml:space="preserve">meadows in Burnett Mary region from 1999 to </w:t>
      </w:r>
      <w:r w:rsidRPr="00107F96">
        <w:rPr>
          <w:i/>
          <w:color w:val="000000" w:themeColor="text1"/>
        </w:rPr>
        <w:t>201</w:t>
      </w:r>
      <w:r w:rsidR="00107F96" w:rsidRPr="00107F96">
        <w:rPr>
          <w:i/>
          <w:color w:val="000000" w:themeColor="text1"/>
        </w:rPr>
        <w:t>7</w:t>
      </w:r>
      <w:r w:rsidRPr="00107F96">
        <w:rPr>
          <w:i/>
          <w:color w:val="000000" w:themeColor="text1"/>
        </w:rPr>
        <w:t>.</w:t>
      </w:r>
      <w:bookmarkEnd w:id="609"/>
      <w:bookmarkEnd w:id="610"/>
      <w:r w:rsidR="00C73F73" w:rsidRPr="00B0027A">
        <w:rPr>
          <w:i/>
          <w:vanish/>
          <w:szCs w:val="22"/>
          <w:specVanish/>
        </w:rPr>
        <w:t xml:space="preserve"> </w:t>
      </w:r>
    </w:p>
    <w:p w14:paraId="55C25D4C" w14:textId="77777777" w:rsidR="001A5B38" w:rsidRDefault="001A5B38" w:rsidP="00DD3BAE">
      <w:pPr>
        <w:rPr>
          <w:szCs w:val="22"/>
        </w:rPr>
      </w:pPr>
    </w:p>
    <w:p w14:paraId="1C820B79" w14:textId="01E64F90" w:rsidR="00630574" w:rsidRPr="004C6F4B" w:rsidRDefault="00630574" w:rsidP="00DD3BAE">
      <w:pPr>
        <w:rPr>
          <w:color w:val="000000" w:themeColor="text1"/>
          <w:szCs w:val="22"/>
        </w:rPr>
      </w:pPr>
      <w:r w:rsidRPr="004C6F4B">
        <w:rPr>
          <w:color w:val="000000" w:themeColor="text1"/>
          <w:szCs w:val="22"/>
        </w:rPr>
        <w:t>An examination of the long term trends across the Burnett Mary NRM region suggests seagrass abundance (</w:t>
      </w:r>
      <w:r w:rsidR="0063478C" w:rsidRPr="004C6F4B">
        <w:rPr>
          <w:color w:val="000000" w:themeColor="text1"/>
          <w:szCs w:val="22"/>
        </w:rPr>
        <w:t>per cent</w:t>
      </w:r>
      <w:r w:rsidRPr="004C6F4B">
        <w:rPr>
          <w:color w:val="000000" w:themeColor="text1"/>
          <w:szCs w:val="22"/>
        </w:rPr>
        <w:t xml:space="preserve"> cover) has fluctuated greatly between years, but progressively decreased from 2004 to 2012</w:t>
      </w:r>
      <w:r w:rsidR="004C6F4B" w:rsidRPr="004C6F4B">
        <w:rPr>
          <w:color w:val="000000" w:themeColor="text1"/>
          <w:szCs w:val="22"/>
        </w:rPr>
        <w:t>. I</w:t>
      </w:r>
      <w:r w:rsidR="00F36620" w:rsidRPr="004C6F4B">
        <w:rPr>
          <w:color w:val="000000" w:themeColor="text1"/>
          <w:szCs w:val="22"/>
        </w:rPr>
        <w:t xml:space="preserve">ncreases </w:t>
      </w:r>
      <w:r w:rsidR="004C6F4B" w:rsidRPr="004C6F4B">
        <w:rPr>
          <w:color w:val="000000" w:themeColor="text1"/>
          <w:szCs w:val="22"/>
        </w:rPr>
        <w:t xml:space="preserve">since 2012 </w:t>
      </w:r>
      <w:r w:rsidR="00F36620" w:rsidRPr="004C6F4B">
        <w:rPr>
          <w:color w:val="000000" w:themeColor="text1"/>
          <w:szCs w:val="22"/>
        </w:rPr>
        <w:t>have placed the meadow</w:t>
      </w:r>
      <w:r w:rsidR="004C6F4B" w:rsidRPr="004C6F4B">
        <w:rPr>
          <w:color w:val="000000" w:themeColor="text1"/>
          <w:szCs w:val="22"/>
        </w:rPr>
        <w:t>s on a pathway towards recovery</w:t>
      </w:r>
      <w:r w:rsidR="0016512F">
        <w:rPr>
          <w:color w:val="000000" w:themeColor="text1"/>
          <w:szCs w:val="22"/>
        </w:rPr>
        <w:t xml:space="preserve">. This long-term trends suggest that the losses observed in </w:t>
      </w:r>
      <w:r w:rsidR="008574EC">
        <w:rPr>
          <w:color w:val="000000" w:themeColor="text1"/>
          <w:szCs w:val="22"/>
        </w:rPr>
        <w:t>2016–17</w:t>
      </w:r>
      <w:r w:rsidR="0016512F">
        <w:rPr>
          <w:color w:val="000000" w:themeColor="text1"/>
          <w:szCs w:val="22"/>
        </w:rPr>
        <w:t xml:space="preserve"> are not part of a declining trend, despite reduction in the abundance score</w:t>
      </w:r>
      <w:r w:rsidR="004C6F4B" w:rsidRPr="004C6F4B">
        <w:rPr>
          <w:color w:val="000000" w:themeColor="text1"/>
          <w:szCs w:val="22"/>
        </w:rPr>
        <w:t xml:space="preserve"> </w:t>
      </w:r>
      <w:r w:rsidRPr="004C6F4B">
        <w:rPr>
          <w:color w:val="000000" w:themeColor="text1"/>
          <w:szCs w:val="22"/>
        </w:rPr>
        <w:t>(</w:t>
      </w:r>
      <w:r w:rsidR="00C25BF0" w:rsidRPr="004C6F4B">
        <w:rPr>
          <w:color w:val="000000" w:themeColor="text1"/>
          <w:szCs w:val="22"/>
        </w:rPr>
        <w:fldChar w:fldCharType="begin"/>
      </w:r>
      <w:r w:rsidR="00C25BF0" w:rsidRPr="004C6F4B">
        <w:rPr>
          <w:color w:val="000000" w:themeColor="text1"/>
          <w:szCs w:val="22"/>
        </w:rPr>
        <w:instrText xml:space="preserve"> REF _Ref442449961 \h </w:instrText>
      </w:r>
      <w:r w:rsidR="00C25BF0" w:rsidRPr="004C6F4B">
        <w:rPr>
          <w:color w:val="000000" w:themeColor="text1"/>
          <w:szCs w:val="22"/>
        </w:rPr>
      </w:r>
      <w:r w:rsidR="00C25BF0" w:rsidRPr="004C6F4B">
        <w:rPr>
          <w:color w:val="000000" w:themeColor="text1"/>
          <w:szCs w:val="22"/>
        </w:rPr>
        <w:fldChar w:fldCharType="separate"/>
      </w:r>
      <w:r w:rsidR="00F87DF9">
        <w:t xml:space="preserve">Figure </w:t>
      </w:r>
      <w:r w:rsidR="00F87DF9">
        <w:rPr>
          <w:noProof/>
        </w:rPr>
        <w:t>112</w:t>
      </w:r>
      <w:r w:rsidR="00C25BF0" w:rsidRPr="004C6F4B">
        <w:rPr>
          <w:color w:val="000000" w:themeColor="text1"/>
          <w:szCs w:val="22"/>
        </w:rPr>
        <w:fldChar w:fldCharType="end"/>
      </w:r>
      <w:r w:rsidR="00C4117D">
        <w:rPr>
          <w:color w:val="000000" w:themeColor="text1"/>
          <w:szCs w:val="22"/>
        </w:rPr>
        <w:t xml:space="preserve">, </w:t>
      </w:r>
      <w:r w:rsidR="00C4117D">
        <w:rPr>
          <w:color w:val="000000" w:themeColor="text1"/>
          <w:szCs w:val="22"/>
        </w:rPr>
        <w:fldChar w:fldCharType="begin"/>
      </w:r>
      <w:r w:rsidR="00C4117D">
        <w:rPr>
          <w:color w:val="000000" w:themeColor="text1"/>
          <w:szCs w:val="22"/>
        </w:rPr>
        <w:instrText xml:space="preserve"> REF _Ref511390539 \h </w:instrText>
      </w:r>
      <w:r w:rsidR="00C4117D">
        <w:rPr>
          <w:color w:val="000000" w:themeColor="text1"/>
          <w:szCs w:val="22"/>
        </w:rPr>
      </w:r>
      <w:r w:rsidR="00C4117D">
        <w:rPr>
          <w:color w:val="000000" w:themeColor="text1"/>
          <w:szCs w:val="22"/>
        </w:rPr>
        <w:fldChar w:fldCharType="separate"/>
      </w:r>
      <w:r w:rsidR="00F87DF9">
        <w:t xml:space="preserve">Figure </w:t>
      </w:r>
      <w:r w:rsidR="00F87DF9">
        <w:rPr>
          <w:noProof/>
        </w:rPr>
        <w:t>113</w:t>
      </w:r>
      <w:r w:rsidR="00C4117D">
        <w:rPr>
          <w:color w:val="000000" w:themeColor="text1"/>
          <w:szCs w:val="22"/>
        </w:rPr>
        <w:fldChar w:fldCharType="end"/>
      </w:r>
      <w:r w:rsidRPr="004C6F4B">
        <w:rPr>
          <w:color w:val="000000" w:themeColor="text1"/>
          <w:szCs w:val="22"/>
        </w:rPr>
        <w:t>).</w:t>
      </w:r>
    </w:p>
    <w:p w14:paraId="43FED2C9" w14:textId="77777777" w:rsidR="001A5B38" w:rsidRDefault="005B1EEC" w:rsidP="00DD3BAE">
      <w:pPr>
        <w:keepNext/>
        <w:widowControl w:val="0"/>
        <w:spacing w:after="0"/>
        <w:jc w:val="center"/>
        <w:rPr>
          <w:szCs w:val="22"/>
        </w:rPr>
      </w:pPr>
      <w:r>
        <w:rPr>
          <w:noProof/>
          <w:szCs w:val="22"/>
          <w:lang w:eastAsia="en-AU"/>
        </w:rPr>
        <w:drawing>
          <wp:inline distT="0" distB="0" distL="0" distR="0" wp14:anchorId="242472AD" wp14:editId="2796F3E3">
            <wp:extent cx="3953767" cy="2419200"/>
            <wp:effectExtent l="0" t="0" r="8890" b="635"/>
            <wp:docPr id="518" name="Picture 518" descr="GAM plot showing long-term temporal trends in seagrass abundance for each location in the Burnett Mar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BM_cvr_GAM_Dec16.png"/>
                    <pic:cNvPicPr/>
                  </pic:nvPicPr>
                  <pic:blipFill>
                    <a:blip r:embed="rId150">
                      <a:extLst>
                        <a:ext uri="{28A0092B-C50C-407E-A947-70E740481C1C}">
                          <a14:useLocalDpi xmlns:a14="http://schemas.microsoft.com/office/drawing/2010/main" val="0"/>
                        </a:ext>
                      </a:extLst>
                    </a:blip>
                    <a:stretch>
                      <a:fillRect/>
                    </a:stretch>
                  </pic:blipFill>
                  <pic:spPr>
                    <a:xfrm>
                      <a:off x="0" y="0"/>
                      <a:ext cx="3953767" cy="2419200"/>
                    </a:xfrm>
                    <a:prstGeom prst="rect">
                      <a:avLst/>
                    </a:prstGeom>
                  </pic:spPr>
                </pic:pic>
              </a:graphicData>
            </a:graphic>
          </wp:inline>
        </w:drawing>
      </w:r>
    </w:p>
    <w:p w14:paraId="21E93AD8" w14:textId="244A7BE2" w:rsidR="00C25BF0" w:rsidRPr="005A09F1" w:rsidRDefault="001A5B38" w:rsidP="00DD3BAE">
      <w:pPr>
        <w:rPr>
          <w:i/>
          <w:vanish/>
          <w:specVanish/>
        </w:rPr>
      </w:pPr>
      <w:bookmarkStart w:id="611" w:name="_Ref442449961"/>
      <w:bookmarkStart w:id="612" w:name="_Toc516053322"/>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112</w:t>
      </w:r>
      <w:r w:rsidR="00C506C7">
        <w:rPr>
          <w:noProof/>
        </w:rPr>
        <w:fldChar w:fldCharType="end"/>
      </w:r>
      <w:bookmarkEnd w:id="611"/>
      <w:r>
        <w:t xml:space="preserve">.  </w:t>
      </w:r>
      <w:r w:rsidR="00C25BF0" w:rsidRPr="00C25BF0">
        <w:rPr>
          <w:i/>
        </w:rPr>
        <w:t xml:space="preserve">Temporal trends in seagrass abundance </w:t>
      </w:r>
      <w:r w:rsidR="00C25BF0" w:rsidRPr="001A5B38">
        <w:rPr>
          <w:i/>
        </w:rPr>
        <w:t xml:space="preserve">at estuarine locations in the Burnett May region, </w:t>
      </w:r>
      <w:r w:rsidR="00C25BF0" w:rsidRPr="005A09F1">
        <w:rPr>
          <w:i/>
        </w:rPr>
        <w:t>represented by a GAM plot 1999-201</w:t>
      </w:r>
      <w:r w:rsidR="005A09F1" w:rsidRPr="005A09F1">
        <w:rPr>
          <w:i/>
        </w:rPr>
        <w:t>7</w:t>
      </w:r>
      <w:r w:rsidR="00C25BF0" w:rsidRPr="005A09F1">
        <w:rPr>
          <w:i/>
        </w:rPr>
        <w:t>.</w:t>
      </w:r>
      <w:bookmarkEnd w:id="612"/>
    </w:p>
    <w:p w14:paraId="0B83316F" w14:textId="458C1809" w:rsidR="001A5B38" w:rsidRPr="001A5B38" w:rsidRDefault="00C25BF0" w:rsidP="00DD3BAE">
      <w:pPr>
        <w:rPr>
          <w:i/>
          <w:szCs w:val="22"/>
        </w:rPr>
      </w:pPr>
      <w:r w:rsidRPr="005A09F1">
        <w:rPr>
          <w:i/>
        </w:rPr>
        <w:t xml:space="preserve">  Regional trend (all habitats pooled) represented by black line </w:t>
      </w:r>
      <w:r w:rsidRPr="00C25BF0">
        <w:rPr>
          <w:i/>
        </w:rPr>
        <w:t>with grey shaded areas defining 95</w:t>
      </w:r>
      <w:r w:rsidR="0063478C">
        <w:rPr>
          <w:i/>
        </w:rPr>
        <w:t xml:space="preserve"> per cent</w:t>
      </w:r>
      <w:r w:rsidRPr="00C25BF0">
        <w:rPr>
          <w:i/>
        </w:rPr>
        <w:t xml:space="preserve"> confidence intervals.</w:t>
      </w:r>
    </w:p>
    <w:p w14:paraId="430C354F" w14:textId="2FC97D2B" w:rsidR="005B1EEC" w:rsidRDefault="00AD3F3A" w:rsidP="00DD3BAE">
      <w:pPr>
        <w:keepNext/>
        <w:widowControl w:val="0"/>
        <w:spacing w:after="0"/>
        <w:jc w:val="center"/>
        <w:rPr>
          <w:noProof/>
          <w:szCs w:val="22"/>
          <w:lang w:eastAsia="en-AU"/>
        </w:rPr>
      </w:pPr>
      <w:r>
        <w:rPr>
          <w:noProof/>
          <w:szCs w:val="22"/>
          <w:lang w:eastAsia="en-AU"/>
        </w:rPr>
        <w:drawing>
          <wp:inline distT="0" distB="0" distL="0" distR="0" wp14:anchorId="5FD3A3E6" wp14:editId="4EAB5174">
            <wp:extent cx="4317375" cy="2134799"/>
            <wp:effectExtent l="0" t="0" r="6985" b="0"/>
            <wp:docPr id="33" name="Picture 33" descr="Panel of 2 Generalised Additive Model plots showing temporal trends in seagrass abundance for each habitat in the Burnett Mary NRM region since 1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BM_cvr_GAM_Dec16.png"/>
                    <pic:cNvPicPr/>
                  </pic:nvPicPr>
                  <pic:blipFill>
                    <a:blip r:embed="rId151">
                      <a:extLst>
                        <a:ext uri="{28A0092B-C50C-407E-A947-70E740481C1C}">
                          <a14:useLocalDpi xmlns:a14="http://schemas.microsoft.com/office/drawing/2010/main" val="0"/>
                        </a:ext>
                      </a:extLst>
                    </a:blip>
                    <a:stretch>
                      <a:fillRect/>
                    </a:stretch>
                  </pic:blipFill>
                  <pic:spPr>
                    <a:xfrm>
                      <a:off x="0" y="0"/>
                      <a:ext cx="4317375" cy="2134799"/>
                    </a:xfrm>
                    <a:prstGeom prst="rect">
                      <a:avLst/>
                    </a:prstGeom>
                  </pic:spPr>
                </pic:pic>
              </a:graphicData>
            </a:graphic>
          </wp:inline>
        </w:drawing>
      </w:r>
    </w:p>
    <w:p w14:paraId="665BE384" w14:textId="472221E8" w:rsidR="00B0027A" w:rsidRPr="005A09F1" w:rsidRDefault="00B0027A" w:rsidP="00DD3BAE">
      <w:pPr>
        <w:rPr>
          <w:i/>
          <w:vanish/>
          <w:specVanish/>
        </w:rPr>
      </w:pPr>
      <w:bookmarkStart w:id="613" w:name="_Ref511390539"/>
      <w:bookmarkStart w:id="614" w:name="_Toc51605332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113</w:t>
      </w:r>
      <w:r w:rsidR="00C506C7">
        <w:rPr>
          <w:noProof/>
        </w:rPr>
        <w:fldChar w:fldCharType="end"/>
      </w:r>
      <w:bookmarkEnd w:id="613"/>
      <w:r>
        <w:t xml:space="preserve">. </w:t>
      </w:r>
      <w:r w:rsidRPr="00A009CE">
        <w:rPr>
          <w:i/>
        </w:rPr>
        <w:t xml:space="preserve">Temporal trends in seagrass abundance for </w:t>
      </w:r>
      <w:r>
        <w:rPr>
          <w:i/>
        </w:rPr>
        <w:t>seagrass habitat</w:t>
      </w:r>
      <w:r w:rsidRPr="00A009CE">
        <w:rPr>
          <w:i/>
        </w:rPr>
        <w:t xml:space="preserve"> in the </w:t>
      </w:r>
      <w:r>
        <w:rPr>
          <w:i/>
        </w:rPr>
        <w:t xml:space="preserve">Burnett Mary </w:t>
      </w:r>
      <w:r w:rsidRPr="00A009CE">
        <w:rPr>
          <w:i/>
        </w:rPr>
        <w:t xml:space="preserve">region </w:t>
      </w:r>
      <w:r w:rsidRPr="005A09F1">
        <w:rPr>
          <w:i/>
        </w:rPr>
        <w:t>represented by a GAM plot, 1998-201</w:t>
      </w:r>
      <w:r w:rsidR="005A09F1" w:rsidRPr="005A09F1">
        <w:rPr>
          <w:i/>
        </w:rPr>
        <w:t>7</w:t>
      </w:r>
      <w:r w:rsidRPr="005A09F1">
        <w:rPr>
          <w:i/>
        </w:rPr>
        <w:t>.</w:t>
      </w:r>
      <w:bookmarkEnd w:id="614"/>
    </w:p>
    <w:p w14:paraId="42B19D0D" w14:textId="2A82E005" w:rsidR="00B0027A" w:rsidRDefault="00B0027A" w:rsidP="00DD3BAE">
      <w:pPr>
        <w:pStyle w:val="Caption"/>
        <w:rPr>
          <w:szCs w:val="22"/>
        </w:rPr>
      </w:pPr>
      <w:r w:rsidRPr="005A09F1">
        <w:rPr>
          <w:i/>
        </w:rPr>
        <w:t xml:space="preserve">  Trends (locations pooled) represented by black line 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and quadrat data displayed as grey circles</w:t>
      </w:r>
      <w:r w:rsidRPr="00A009CE">
        <w:rPr>
          <w:i/>
        </w:rPr>
        <w:t>.</w:t>
      </w:r>
    </w:p>
    <w:p w14:paraId="4665E433" w14:textId="024A8057" w:rsidR="00161EB5" w:rsidRPr="00480FBF" w:rsidRDefault="00643022" w:rsidP="00DD3BAE">
      <w:pPr>
        <w:rPr>
          <w:rFonts w:cs="TimesNewRoman,Italic"/>
          <w:iCs/>
          <w:color w:val="000000" w:themeColor="text1"/>
          <w:szCs w:val="22"/>
        </w:rPr>
      </w:pPr>
      <w:r w:rsidRPr="00480FBF">
        <w:rPr>
          <w:color w:val="000000" w:themeColor="text1"/>
          <w:szCs w:val="22"/>
        </w:rPr>
        <w:t xml:space="preserve">The estuarine </w:t>
      </w:r>
      <w:r w:rsidR="00480FBF" w:rsidRPr="00480FBF">
        <w:rPr>
          <w:color w:val="000000" w:themeColor="text1"/>
          <w:szCs w:val="22"/>
        </w:rPr>
        <w:t xml:space="preserve">and coastal </w:t>
      </w:r>
      <w:r w:rsidRPr="00480FBF">
        <w:rPr>
          <w:color w:val="000000" w:themeColor="text1"/>
          <w:szCs w:val="22"/>
        </w:rPr>
        <w:t xml:space="preserve">seagrass habitats </w:t>
      </w:r>
      <w:r w:rsidR="00480FBF" w:rsidRPr="00480FBF">
        <w:rPr>
          <w:color w:val="000000" w:themeColor="text1"/>
          <w:szCs w:val="22"/>
        </w:rPr>
        <w:t>have been</w:t>
      </w:r>
      <w:r w:rsidRPr="00480FBF">
        <w:rPr>
          <w:color w:val="000000" w:themeColor="text1"/>
          <w:szCs w:val="22"/>
        </w:rPr>
        <w:t xml:space="preserve"> dominated by </w:t>
      </w:r>
      <w:r w:rsidRPr="00480FBF">
        <w:rPr>
          <w:i/>
          <w:color w:val="000000" w:themeColor="text1"/>
          <w:szCs w:val="22"/>
        </w:rPr>
        <w:t>Zostera muelleri</w:t>
      </w:r>
      <w:r w:rsidRPr="00480FBF">
        <w:rPr>
          <w:color w:val="000000" w:themeColor="text1"/>
          <w:szCs w:val="22"/>
        </w:rPr>
        <w:t xml:space="preserve"> with </w:t>
      </w:r>
      <w:r w:rsidR="00161EB5" w:rsidRPr="00480FBF">
        <w:rPr>
          <w:color w:val="000000" w:themeColor="text1"/>
          <w:szCs w:val="22"/>
        </w:rPr>
        <w:t>varying</w:t>
      </w:r>
      <w:r w:rsidRPr="00480FBF">
        <w:rPr>
          <w:color w:val="000000" w:themeColor="text1"/>
          <w:szCs w:val="22"/>
        </w:rPr>
        <w:t xml:space="preserve"> components of </w:t>
      </w:r>
      <w:r w:rsidR="00514E08" w:rsidRPr="00480FBF">
        <w:rPr>
          <w:i/>
          <w:color w:val="000000" w:themeColor="text1"/>
          <w:szCs w:val="22"/>
        </w:rPr>
        <w:t>Halophila</w:t>
      </w:r>
      <w:r w:rsidRPr="00480FBF">
        <w:rPr>
          <w:i/>
          <w:color w:val="000000" w:themeColor="text1"/>
          <w:szCs w:val="22"/>
        </w:rPr>
        <w:t xml:space="preserve"> ovalis</w:t>
      </w:r>
      <w:r w:rsidRPr="00480FBF">
        <w:rPr>
          <w:color w:val="000000" w:themeColor="text1"/>
          <w:szCs w:val="22"/>
        </w:rPr>
        <w:t xml:space="preserve"> (</w:t>
      </w:r>
      <w:r w:rsidR="00B47F5A" w:rsidRPr="00480FBF">
        <w:rPr>
          <w:color w:val="000000" w:themeColor="text1"/>
          <w:szCs w:val="22"/>
        </w:rPr>
        <w:fldChar w:fldCharType="begin"/>
      </w:r>
      <w:r w:rsidR="00B47F5A" w:rsidRPr="00480FBF">
        <w:rPr>
          <w:color w:val="000000" w:themeColor="text1"/>
          <w:szCs w:val="22"/>
        </w:rPr>
        <w:instrText xml:space="preserve"> REF _Ref442552303 \h </w:instrText>
      </w:r>
      <w:r w:rsidR="00B47F5A" w:rsidRPr="00480FBF">
        <w:rPr>
          <w:color w:val="000000" w:themeColor="text1"/>
          <w:szCs w:val="22"/>
        </w:rPr>
      </w:r>
      <w:r w:rsidR="00B47F5A" w:rsidRPr="00480FBF">
        <w:rPr>
          <w:color w:val="000000" w:themeColor="text1"/>
          <w:szCs w:val="22"/>
        </w:rPr>
        <w:fldChar w:fldCharType="separate"/>
      </w:r>
      <w:r w:rsidR="00F87DF9" w:rsidRPr="006B4212">
        <w:t xml:space="preserve">Figure </w:t>
      </w:r>
      <w:r w:rsidR="00F87DF9">
        <w:rPr>
          <w:noProof/>
        </w:rPr>
        <w:t>114</w:t>
      </w:r>
      <w:r w:rsidR="00B47F5A" w:rsidRPr="00480FBF">
        <w:rPr>
          <w:color w:val="000000" w:themeColor="text1"/>
          <w:szCs w:val="22"/>
        </w:rPr>
        <w:fldChar w:fldCharType="end"/>
      </w:r>
      <w:r w:rsidRPr="00480FBF">
        <w:rPr>
          <w:color w:val="000000" w:themeColor="text1"/>
          <w:szCs w:val="22"/>
        </w:rPr>
        <w:t>).</w:t>
      </w:r>
      <w:r w:rsidR="00161EB5" w:rsidRPr="00480FBF">
        <w:rPr>
          <w:color w:val="000000" w:themeColor="text1"/>
          <w:szCs w:val="22"/>
        </w:rPr>
        <w:t xml:space="preserve"> </w:t>
      </w:r>
      <w:r w:rsidR="00F36620" w:rsidRPr="00480FBF">
        <w:rPr>
          <w:rFonts w:cs="TimesNewRoman,Italic"/>
          <w:iCs/>
          <w:color w:val="000000" w:themeColor="text1"/>
          <w:szCs w:val="22"/>
        </w:rPr>
        <w:t xml:space="preserve">In </w:t>
      </w:r>
      <w:r w:rsidR="008574EC">
        <w:rPr>
          <w:rFonts w:cs="TimesNewRoman,Italic"/>
          <w:iCs/>
          <w:color w:val="000000" w:themeColor="text1"/>
          <w:szCs w:val="22"/>
        </w:rPr>
        <w:t>2016–17</w:t>
      </w:r>
      <w:r w:rsidR="00116D0F" w:rsidRPr="00480FBF">
        <w:rPr>
          <w:rFonts w:cs="TimesNewRoman,Italic"/>
          <w:iCs/>
          <w:color w:val="000000" w:themeColor="text1"/>
          <w:szCs w:val="22"/>
        </w:rPr>
        <w:t xml:space="preserve">, the proportion of colonising species </w:t>
      </w:r>
      <w:r w:rsidR="00480FBF" w:rsidRPr="00480FBF">
        <w:rPr>
          <w:rFonts w:cs="TimesNewRoman,Italic"/>
          <w:iCs/>
          <w:color w:val="000000" w:themeColor="text1"/>
          <w:szCs w:val="22"/>
        </w:rPr>
        <w:t>was relatively unchanged compared to the previous monitoring year, but it has been lower in recent years compared to 2011 when habitats were completely dominated by colonising species. I</w:t>
      </w:r>
      <w:r w:rsidR="00116D0F" w:rsidRPr="00480FBF">
        <w:rPr>
          <w:rFonts w:cs="TimesNewRoman,Italic"/>
          <w:iCs/>
          <w:color w:val="000000" w:themeColor="text1"/>
          <w:szCs w:val="22"/>
        </w:rPr>
        <w:t xml:space="preserve">n estuarine habitats </w:t>
      </w:r>
      <w:r w:rsidR="00480FBF" w:rsidRPr="00480FBF">
        <w:rPr>
          <w:rFonts w:cs="TimesNewRoman,Italic"/>
          <w:iCs/>
          <w:color w:val="000000" w:themeColor="text1"/>
          <w:szCs w:val="22"/>
        </w:rPr>
        <w:t xml:space="preserve">the proportion of colonising species was similar to the </w:t>
      </w:r>
      <w:r w:rsidR="007F6948">
        <w:rPr>
          <w:rFonts w:cs="TimesNewRoman,Italic"/>
          <w:iCs/>
          <w:color w:val="000000" w:themeColor="text1"/>
          <w:szCs w:val="22"/>
        </w:rPr>
        <w:t>Great Barrier Reef</w:t>
      </w:r>
      <w:r w:rsidR="00480FBF" w:rsidRPr="00480FBF">
        <w:rPr>
          <w:rFonts w:cs="TimesNewRoman,Italic"/>
          <w:iCs/>
          <w:color w:val="000000" w:themeColor="text1"/>
          <w:szCs w:val="22"/>
        </w:rPr>
        <w:t xml:space="preserve"> average, but coastal habitats had small proportion of colonising species. </w:t>
      </w:r>
      <w:r w:rsidR="00116D0F" w:rsidRPr="00480FBF">
        <w:rPr>
          <w:color w:val="000000" w:themeColor="text1"/>
          <w:szCs w:val="22"/>
          <w:lang w:val="en-GB"/>
        </w:rPr>
        <w:t xml:space="preserve">The reducing proportion of colonising species in the meadows suggests </w:t>
      </w:r>
      <w:r w:rsidR="00116D0F" w:rsidRPr="00480FBF">
        <w:rPr>
          <w:rFonts w:cs="TimesNewRoman,Italic"/>
          <w:iCs/>
          <w:color w:val="000000" w:themeColor="text1"/>
          <w:szCs w:val="22"/>
        </w:rPr>
        <w:t>greater ability to tolerate/resist major disturbances, particularly as the meadows improve abundance.</w:t>
      </w:r>
    </w:p>
    <w:p w14:paraId="4DF063D3" w14:textId="77777777" w:rsidR="003E1D94" w:rsidRPr="004705FC" w:rsidRDefault="005B1EEC" w:rsidP="00DD3BAE">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0EBC54E2" wp14:editId="37174A95">
            <wp:extent cx="4284352" cy="2242800"/>
            <wp:effectExtent l="0" t="0" r="1905" b="5715"/>
            <wp:docPr id="519" name="Picture 519" descr="Panel of two area plots showing proportion of seagrass abundance composed of species displaying colonising traits at inshore habitats in the Burnett Mary NRM region from 1998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 name="BM_colonising_2016.png"/>
                    <pic:cNvPicPr/>
                  </pic:nvPicPr>
                  <pic:blipFill>
                    <a:blip r:embed="rId152">
                      <a:extLst>
                        <a:ext uri="{28A0092B-C50C-407E-A947-70E740481C1C}">
                          <a14:useLocalDpi xmlns:a14="http://schemas.microsoft.com/office/drawing/2010/main" val="0"/>
                        </a:ext>
                      </a:extLst>
                    </a:blip>
                    <a:stretch>
                      <a:fillRect/>
                    </a:stretch>
                  </pic:blipFill>
                  <pic:spPr>
                    <a:xfrm>
                      <a:off x="0" y="0"/>
                      <a:ext cx="4284352" cy="2242800"/>
                    </a:xfrm>
                    <a:prstGeom prst="rect">
                      <a:avLst/>
                    </a:prstGeom>
                  </pic:spPr>
                </pic:pic>
              </a:graphicData>
            </a:graphic>
          </wp:inline>
        </w:drawing>
      </w:r>
    </w:p>
    <w:p w14:paraId="1A3273B1" w14:textId="00486FF3" w:rsidR="004705FC" w:rsidRPr="00DE2FE4" w:rsidRDefault="003126B8" w:rsidP="00DD3BAE">
      <w:pPr>
        <w:widowControl w:val="0"/>
        <w:spacing w:before="0"/>
        <w:rPr>
          <w:i/>
          <w:vanish/>
          <w:specVanish/>
        </w:rPr>
      </w:pPr>
      <w:bookmarkStart w:id="615" w:name="_Ref442552303"/>
      <w:bookmarkStart w:id="616" w:name="_Toc431493902"/>
      <w:bookmarkStart w:id="617" w:name="_Toc516053324"/>
      <w:r w:rsidRPr="006B421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114</w:t>
      </w:r>
      <w:r w:rsidR="00C506C7">
        <w:rPr>
          <w:noProof/>
        </w:rPr>
        <w:fldChar w:fldCharType="end"/>
      </w:r>
      <w:bookmarkEnd w:id="615"/>
      <w:r w:rsidRPr="006B4212">
        <w:t xml:space="preserve">. </w:t>
      </w:r>
      <w:r w:rsidRPr="004705FC">
        <w:rPr>
          <w:i/>
        </w:rPr>
        <w:t xml:space="preserve">Proportion of seagrass abundance composed of </w:t>
      </w:r>
      <w:r w:rsidR="003E1D94">
        <w:rPr>
          <w:i/>
        </w:rPr>
        <w:t>colonising</w:t>
      </w:r>
      <w:r w:rsidR="00A22D98" w:rsidRPr="004705FC">
        <w:rPr>
          <w:i/>
        </w:rPr>
        <w:t xml:space="preserve"> species</w:t>
      </w:r>
      <w:r w:rsidR="00116D0F">
        <w:rPr>
          <w:i/>
        </w:rPr>
        <w:t xml:space="preserve"> at</w:t>
      </w:r>
      <w:r w:rsidR="004807AA">
        <w:rPr>
          <w:i/>
        </w:rPr>
        <w:t>:</w:t>
      </w:r>
      <w:r w:rsidR="00116D0F">
        <w:rPr>
          <w:i/>
        </w:rPr>
        <w:t xml:space="preserve"> a. estuary and b. </w:t>
      </w:r>
      <w:r w:rsidR="00116D0F" w:rsidRPr="00DE2FE4">
        <w:rPr>
          <w:i/>
        </w:rPr>
        <w:t>coastal habitats in the Burnett Mary region, 1998-201</w:t>
      </w:r>
      <w:r w:rsidR="00DE2FE4" w:rsidRPr="00DE2FE4">
        <w:rPr>
          <w:i/>
        </w:rPr>
        <w:t>7</w:t>
      </w:r>
      <w:r w:rsidRPr="00DE2FE4">
        <w:rPr>
          <w:i/>
        </w:rPr>
        <w:t>.</w:t>
      </w:r>
      <w:bookmarkEnd w:id="616"/>
      <w:bookmarkEnd w:id="617"/>
      <w:r w:rsidR="00C73F73" w:rsidRPr="00DE2FE4">
        <w:rPr>
          <w:i/>
          <w:vanish/>
          <w:szCs w:val="22"/>
          <w:specVanish/>
        </w:rPr>
        <w:t xml:space="preserve"> </w:t>
      </w:r>
      <w:r w:rsidRPr="00DE2FE4">
        <w:rPr>
          <w:i/>
        </w:rPr>
        <w:t xml:space="preserve"> </w:t>
      </w:r>
    </w:p>
    <w:p w14:paraId="1C8CFF35" w14:textId="7F2A3A3B" w:rsidR="004705FC" w:rsidRPr="004705FC" w:rsidRDefault="003126B8" w:rsidP="00DD3BAE">
      <w:pPr>
        <w:widowControl w:val="0"/>
        <w:spacing w:before="0"/>
        <w:rPr>
          <w:i/>
        </w:rPr>
      </w:pPr>
      <w:r w:rsidRPr="00DE2FE4">
        <w:rPr>
          <w:i/>
        </w:rPr>
        <w:t xml:space="preserve">Grey area represents </w:t>
      </w:r>
      <w:r w:rsidR="007F6948">
        <w:rPr>
          <w:i/>
        </w:rPr>
        <w:t>Great Barrier Reef</w:t>
      </w:r>
      <w:r w:rsidRPr="00DE2FE4">
        <w:rPr>
          <w:i/>
        </w:rPr>
        <w:t xml:space="preserve"> long-term average </w:t>
      </w:r>
      <w:r w:rsidRPr="004705FC">
        <w:rPr>
          <w:i/>
        </w:rPr>
        <w:t xml:space="preserve">proportion of </w:t>
      </w:r>
      <w:r w:rsidR="003E1D94">
        <w:rPr>
          <w:i/>
        </w:rPr>
        <w:t>colonising</w:t>
      </w:r>
      <w:r w:rsidR="003E1D94" w:rsidRPr="004705FC">
        <w:rPr>
          <w:i/>
        </w:rPr>
        <w:t xml:space="preserve"> </w:t>
      </w:r>
      <w:r w:rsidR="00A22D98" w:rsidRPr="004705FC">
        <w:rPr>
          <w:i/>
        </w:rPr>
        <w:t xml:space="preserve">species </w:t>
      </w:r>
      <w:r w:rsidRPr="004705FC">
        <w:rPr>
          <w:i/>
        </w:rPr>
        <w:t>for each habitat type.</w:t>
      </w:r>
      <w:r w:rsidR="00C73F73" w:rsidRPr="004705FC">
        <w:rPr>
          <w:i/>
        </w:rPr>
        <w:t xml:space="preserve"> </w:t>
      </w:r>
    </w:p>
    <w:p w14:paraId="682746AE" w14:textId="4BE31E33" w:rsidR="005132EF" w:rsidRPr="00606DE8" w:rsidRDefault="00B47F5A" w:rsidP="00DD3BAE">
      <w:pPr>
        <w:rPr>
          <w:color w:val="000000" w:themeColor="text1"/>
          <w:szCs w:val="22"/>
          <w:lang w:val="en-GB"/>
        </w:rPr>
      </w:pPr>
      <w:r w:rsidRPr="00606DE8">
        <w:rPr>
          <w:color w:val="000000" w:themeColor="text1"/>
          <w:szCs w:val="22"/>
        </w:rPr>
        <w:t xml:space="preserve">Seagrass meadow edge mapping was conducted </w:t>
      </w:r>
      <w:r w:rsidR="00C035EE" w:rsidRPr="00606DE8">
        <w:rPr>
          <w:color w:val="000000" w:themeColor="text1"/>
          <w:szCs w:val="22"/>
        </w:rPr>
        <w:t>at</w:t>
      </w:r>
      <w:r w:rsidRPr="00606DE8">
        <w:rPr>
          <w:color w:val="000000" w:themeColor="text1"/>
          <w:szCs w:val="22"/>
        </w:rPr>
        <w:t xml:space="preserve"> all </w:t>
      </w:r>
      <w:r w:rsidR="00B50935" w:rsidRPr="00606DE8">
        <w:rPr>
          <w:color w:val="000000" w:themeColor="text1"/>
          <w:szCs w:val="22"/>
        </w:rPr>
        <w:t>monitoring sites in October 2016 and April 2017</w:t>
      </w:r>
      <w:r w:rsidRPr="00606DE8">
        <w:rPr>
          <w:color w:val="000000" w:themeColor="text1"/>
          <w:szCs w:val="22"/>
        </w:rPr>
        <w:t xml:space="preserve"> (Appendix 4) to determine if changes in abundance were a consequence of the meadow edges changing and to indicate if plants were allocating resources to colonisation (asexual reproduction)</w:t>
      </w:r>
      <w:r w:rsidR="005132EF" w:rsidRPr="00606DE8">
        <w:rPr>
          <w:color w:val="000000" w:themeColor="text1"/>
          <w:szCs w:val="22"/>
        </w:rPr>
        <w:t xml:space="preserve">. </w:t>
      </w:r>
      <w:r w:rsidR="005132EF" w:rsidRPr="00606DE8">
        <w:rPr>
          <w:color w:val="000000" w:themeColor="text1"/>
          <w:szCs w:val="22"/>
          <w:lang w:val="en-GB"/>
        </w:rPr>
        <w:t xml:space="preserve">Over the last 12 months </w:t>
      </w:r>
      <w:r w:rsidR="00C42AC4" w:rsidRPr="00606DE8">
        <w:rPr>
          <w:color w:val="000000" w:themeColor="text1"/>
          <w:szCs w:val="22"/>
          <w:lang w:val="en-GB"/>
        </w:rPr>
        <w:t xml:space="preserve">meadow extent has </w:t>
      </w:r>
      <w:r w:rsidR="00606DE8" w:rsidRPr="00606DE8">
        <w:rPr>
          <w:color w:val="000000" w:themeColor="text1"/>
          <w:szCs w:val="22"/>
          <w:lang w:val="en-GB"/>
        </w:rPr>
        <w:t xml:space="preserve">declined relative to </w:t>
      </w:r>
      <w:r w:rsidR="00606DE8">
        <w:rPr>
          <w:color w:val="000000" w:themeColor="text1"/>
          <w:szCs w:val="22"/>
          <w:lang w:val="en-GB"/>
        </w:rPr>
        <w:t>the previous two years</w:t>
      </w:r>
      <w:r w:rsidR="00C42AC4" w:rsidRPr="00606DE8">
        <w:rPr>
          <w:color w:val="000000" w:themeColor="text1"/>
          <w:szCs w:val="22"/>
          <w:lang w:val="en-GB"/>
        </w:rPr>
        <w:t xml:space="preserve"> </w:t>
      </w:r>
      <w:r w:rsidR="005132EF" w:rsidRPr="00606DE8">
        <w:rPr>
          <w:color w:val="000000" w:themeColor="text1"/>
          <w:szCs w:val="22"/>
          <w:lang w:val="en-GB"/>
        </w:rPr>
        <w:t>(</w:t>
      </w:r>
      <w:r w:rsidR="00BD6B65" w:rsidRPr="00606DE8">
        <w:rPr>
          <w:color w:val="000000" w:themeColor="text1"/>
          <w:szCs w:val="22"/>
          <w:lang w:val="en-GB"/>
        </w:rPr>
        <w:fldChar w:fldCharType="begin"/>
      </w:r>
      <w:r w:rsidR="00BD6B65" w:rsidRPr="00606DE8">
        <w:rPr>
          <w:color w:val="000000" w:themeColor="text1"/>
          <w:szCs w:val="22"/>
          <w:lang w:val="en-GB"/>
        </w:rPr>
        <w:instrText xml:space="preserve"> REF _Ref233166043 \h </w:instrText>
      </w:r>
      <w:r w:rsidR="00015190" w:rsidRPr="00606DE8">
        <w:rPr>
          <w:color w:val="000000" w:themeColor="text1"/>
          <w:szCs w:val="22"/>
          <w:lang w:val="en-GB"/>
        </w:rPr>
        <w:instrText xml:space="preserve"> \* MERGEFORMAT </w:instrText>
      </w:r>
      <w:r w:rsidR="00BD6B65" w:rsidRPr="00606DE8">
        <w:rPr>
          <w:color w:val="000000" w:themeColor="text1"/>
          <w:szCs w:val="22"/>
          <w:lang w:val="en-GB"/>
        </w:rPr>
      </w:r>
      <w:r w:rsidR="00BD6B65" w:rsidRPr="00606DE8">
        <w:rPr>
          <w:color w:val="000000" w:themeColor="text1"/>
          <w:szCs w:val="22"/>
          <w:lang w:val="en-GB"/>
        </w:rPr>
        <w:fldChar w:fldCharType="separate"/>
      </w:r>
      <w:r w:rsidR="00F87DF9" w:rsidRPr="00F87DF9">
        <w:rPr>
          <w:color w:val="000000" w:themeColor="text1"/>
          <w:szCs w:val="22"/>
          <w:lang w:val="en-US"/>
        </w:rPr>
        <w:t xml:space="preserve">Figure </w:t>
      </w:r>
      <w:r w:rsidR="00F87DF9" w:rsidRPr="00F87DF9">
        <w:rPr>
          <w:noProof/>
          <w:color w:val="000000" w:themeColor="text1"/>
          <w:szCs w:val="22"/>
          <w:lang w:val="en-US"/>
        </w:rPr>
        <w:t>115</w:t>
      </w:r>
      <w:r w:rsidR="00BD6B65" w:rsidRPr="00606DE8">
        <w:rPr>
          <w:color w:val="000000" w:themeColor="text1"/>
          <w:szCs w:val="22"/>
          <w:lang w:val="en-GB"/>
        </w:rPr>
        <w:fldChar w:fldCharType="end"/>
      </w:r>
      <w:r w:rsidR="005132EF" w:rsidRPr="00606DE8">
        <w:rPr>
          <w:color w:val="000000" w:themeColor="text1"/>
          <w:szCs w:val="22"/>
          <w:lang w:val="en-GB"/>
        </w:rPr>
        <w:t>)</w:t>
      </w:r>
      <w:r w:rsidR="00BC6014" w:rsidRPr="00606DE8">
        <w:rPr>
          <w:color w:val="000000" w:themeColor="text1"/>
          <w:szCs w:val="22"/>
          <w:lang w:val="en-GB"/>
        </w:rPr>
        <w:t>.</w:t>
      </w:r>
    </w:p>
    <w:p w14:paraId="45CF646A" w14:textId="77777777" w:rsidR="003E1D94" w:rsidRPr="00D924CD" w:rsidRDefault="003E1D94" w:rsidP="00DD3BAE">
      <w:pPr>
        <w:rPr>
          <w:szCs w:val="22"/>
          <w:lang w:val="en-GB"/>
        </w:rPr>
      </w:pPr>
    </w:p>
    <w:p w14:paraId="404C233B" w14:textId="77777777" w:rsidR="003E1D94" w:rsidRPr="003E1D94" w:rsidRDefault="005B1EEC" w:rsidP="00DD3BAE">
      <w:pPr>
        <w:keepNext/>
        <w:widowControl w:val="0"/>
        <w:spacing w:after="0"/>
        <w:jc w:val="center"/>
        <w:rPr>
          <w:szCs w:val="22"/>
          <w:lang w:val="en-GB"/>
        </w:rPr>
      </w:pPr>
      <w:r>
        <w:rPr>
          <w:noProof/>
          <w:szCs w:val="22"/>
          <w:lang w:eastAsia="en-AU"/>
        </w:rPr>
        <w:drawing>
          <wp:inline distT="0" distB="0" distL="0" distR="0" wp14:anchorId="2C6D00D4" wp14:editId="3C0AD52B">
            <wp:extent cx="4320000" cy="1804256"/>
            <wp:effectExtent l="0" t="0" r="4445" b="5715"/>
            <wp:docPr id="520" name="Picture 520" descr="Line graph showing spatial extent of seagrass meadows within a 100m radius of estuarine monitoring sites for each  monitoring period across the Burnett Mar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 name="BM_extent_avg_2016.png"/>
                    <pic:cNvPicPr/>
                  </pic:nvPicPr>
                  <pic:blipFill>
                    <a:blip r:embed="rId153">
                      <a:extLst>
                        <a:ext uri="{28A0092B-C50C-407E-A947-70E740481C1C}">
                          <a14:useLocalDpi xmlns:a14="http://schemas.microsoft.com/office/drawing/2010/main" val="0"/>
                        </a:ext>
                      </a:extLst>
                    </a:blip>
                    <a:stretch>
                      <a:fillRect/>
                    </a:stretch>
                  </pic:blipFill>
                  <pic:spPr>
                    <a:xfrm>
                      <a:off x="0" y="0"/>
                      <a:ext cx="4320000" cy="1804256"/>
                    </a:xfrm>
                    <a:prstGeom prst="rect">
                      <a:avLst/>
                    </a:prstGeom>
                  </pic:spPr>
                </pic:pic>
              </a:graphicData>
            </a:graphic>
          </wp:inline>
        </w:drawing>
      </w:r>
    </w:p>
    <w:p w14:paraId="43F0576A" w14:textId="74BD4A46" w:rsidR="003126B8" w:rsidRDefault="005132EF" w:rsidP="00DD3BAE">
      <w:pPr>
        <w:rPr>
          <w:i/>
          <w:color w:val="000000"/>
          <w:szCs w:val="22"/>
          <w:lang w:val="en-US"/>
        </w:rPr>
      </w:pPr>
      <w:bookmarkStart w:id="618" w:name="_Ref233166043"/>
      <w:bookmarkStart w:id="619" w:name="_Toc232846031"/>
      <w:bookmarkStart w:id="620" w:name="_Toc431493903"/>
      <w:bookmarkStart w:id="621" w:name="_Toc516053325"/>
      <w:r w:rsidRPr="005373CC">
        <w:rPr>
          <w:color w:val="000000"/>
          <w:szCs w:val="22"/>
          <w:lang w:val="en-US"/>
        </w:rPr>
        <w:t xml:space="preserve">Figure </w:t>
      </w:r>
      <w:r w:rsidR="0073595B">
        <w:rPr>
          <w:color w:val="000000"/>
          <w:szCs w:val="22"/>
          <w:lang w:val="en-US"/>
        </w:rPr>
        <w:fldChar w:fldCharType="begin"/>
      </w:r>
      <w:r w:rsidR="0073595B">
        <w:rPr>
          <w:color w:val="000000"/>
          <w:szCs w:val="22"/>
          <w:lang w:val="en-US"/>
        </w:rPr>
        <w:instrText xml:space="preserve"> SEQ Figure \* ARABIC </w:instrText>
      </w:r>
      <w:r w:rsidR="0073595B">
        <w:rPr>
          <w:color w:val="000000"/>
          <w:szCs w:val="22"/>
          <w:lang w:val="en-US"/>
        </w:rPr>
        <w:fldChar w:fldCharType="separate"/>
      </w:r>
      <w:r w:rsidR="00F87DF9">
        <w:rPr>
          <w:noProof/>
          <w:color w:val="000000"/>
          <w:szCs w:val="22"/>
          <w:lang w:val="en-US"/>
        </w:rPr>
        <w:t>115</w:t>
      </w:r>
      <w:r w:rsidR="0073595B">
        <w:rPr>
          <w:color w:val="000000"/>
          <w:szCs w:val="22"/>
          <w:lang w:val="en-US"/>
        </w:rPr>
        <w:fldChar w:fldCharType="end"/>
      </w:r>
      <w:bookmarkEnd w:id="618"/>
      <w:r w:rsidRPr="005373CC">
        <w:rPr>
          <w:color w:val="000000"/>
          <w:szCs w:val="22"/>
          <w:lang w:val="en-US"/>
        </w:rPr>
        <w:t xml:space="preserve">. </w:t>
      </w:r>
      <w:bookmarkEnd w:id="619"/>
      <w:r w:rsidR="003126B8" w:rsidRPr="005373CC">
        <w:rPr>
          <w:i/>
          <w:color w:val="000000"/>
          <w:szCs w:val="22"/>
          <w:lang w:val="en-US"/>
        </w:rPr>
        <w:t xml:space="preserve">Change in spatial extent of </w:t>
      </w:r>
      <w:r w:rsidR="00995B85">
        <w:rPr>
          <w:i/>
          <w:color w:val="000000"/>
          <w:szCs w:val="22"/>
          <w:lang w:val="en-US"/>
        </w:rPr>
        <w:t xml:space="preserve">estuary </w:t>
      </w:r>
      <w:r w:rsidR="003126B8" w:rsidRPr="005373CC">
        <w:rPr>
          <w:i/>
          <w:color w:val="000000"/>
          <w:szCs w:val="22"/>
          <w:lang w:val="en-US"/>
        </w:rPr>
        <w:t>seagrass meadows within monitoring sites for each habitat and monitoring period across the Burnett Mary NRM region.</w:t>
      </w:r>
      <w:bookmarkEnd w:id="620"/>
      <w:bookmarkEnd w:id="621"/>
    </w:p>
    <w:p w14:paraId="76565432" w14:textId="4F831686" w:rsidR="00E079FA" w:rsidRPr="00CF0E71" w:rsidRDefault="00CF0E71" w:rsidP="00DD3BAE">
      <w:pPr>
        <w:rPr>
          <w:color w:val="000000" w:themeColor="text1"/>
        </w:rPr>
      </w:pPr>
      <w:r>
        <w:rPr>
          <w:color w:val="000000" w:themeColor="text1"/>
          <w:lang w:val="en-GB" w:eastAsia="en-AU"/>
        </w:rPr>
        <w:t xml:space="preserve">These observed trends are consistent with those measured in complimentary monitoring prograns.  </w:t>
      </w:r>
      <w:r w:rsidR="00E079FA" w:rsidRPr="00DA1A8D">
        <w:rPr>
          <w:color w:val="000000" w:themeColor="text1"/>
          <w:lang w:val="en-GB" w:eastAsia="en-AU"/>
        </w:rPr>
        <w:t xml:space="preserve">Apart from the MMP, seagrass monitoring within the Burnett Mary NRM region is also conducted </w:t>
      </w:r>
      <w:r w:rsidR="00E079FA" w:rsidRPr="00DA1A8D">
        <w:rPr>
          <w:color w:val="000000" w:themeColor="text1"/>
          <w:lang w:val="en-GB"/>
        </w:rPr>
        <w:t xml:space="preserve">in the northern section where cumulative anthropogenic impacts to seagrass are highest </w:t>
      </w:r>
      <w:r w:rsidR="00E079FA" w:rsidRPr="00DA1A8D">
        <w:rPr>
          <w:color w:val="000000" w:themeColor="text1"/>
          <w:lang w:val="en-GB" w:eastAsia="en-AU"/>
        </w:rPr>
        <w:t xml:space="preserve">as part of the Queensland Ports Seagrass Monitoring Program (QPSMP). </w:t>
      </w:r>
      <w:r w:rsidR="00E079FA" w:rsidRPr="00DA1A8D">
        <w:rPr>
          <w:color w:val="000000" w:themeColor="text1"/>
          <w:szCs w:val="22"/>
          <w:lang w:val="en-GB" w:eastAsia="en-AU"/>
        </w:rPr>
        <w:t>Annual monitoring of 3 seagrass meadows within Rodds Bay is conducted as a reference (low impact) comparison to the Port Curtis (Gladstone Harbour) meadows</w:t>
      </w:r>
      <w:r w:rsidR="00E079FA" w:rsidRPr="00DA1A8D">
        <w:rPr>
          <w:color w:val="000000" w:themeColor="text1"/>
          <w:szCs w:val="22"/>
          <w:lang w:val="en-US"/>
        </w:rPr>
        <w:t xml:space="preserve"> for the </w:t>
      </w:r>
      <w:r w:rsidR="00E079FA" w:rsidRPr="00DA1A8D">
        <w:rPr>
          <w:rFonts w:cs="Calibri"/>
          <w:color w:val="000000" w:themeColor="text1"/>
          <w:sz w:val="21"/>
          <w:szCs w:val="21"/>
          <w:lang w:eastAsia="en-AU"/>
        </w:rPr>
        <w:t>Gladstone Ports Corporation Limited</w:t>
      </w:r>
      <w:r w:rsidR="00E079FA" w:rsidRPr="00DA1A8D">
        <w:rPr>
          <w:color w:val="000000" w:themeColor="text1"/>
          <w:szCs w:val="22"/>
          <w:lang w:val="en-GB" w:eastAsia="en-AU"/>
        </w:rPr>
        <w:t xml:space="preserve">. </w:t>
      </w:r>
      <w:r w:rsidR="00E079FA" w:rsidRPr="00DA1A8D">
        <w:rPr>
          <w:color w:val="000000" w:themeColor="text1"/>
          <w:szCs w:val="22"/>
          <w:lang w:val="en-US"/>
        </w:rPr>
        <w:t>The MMP monitoring sites RD1 and RD2 are located within two of the meadows monitored (meadows #96 and #104, respectively)</w:t>
      </w:r>
      <w:r w:rsidR="00E079FA" w:rsidRPr="00DA1A8D">
        <w:rPr>
          <w:color w:val="000000" w:themeColor="text1"/>
          <w:szCs w:val="22"/>
          <w:lang w:eastAsia="en-AU"/>
        </w:rPr>
        <w:t xml:space="preserve">. </w:t>
      </w:r>
      <w:r w:rsidR="00C4117D" w:rsidRPr="00DA1A8D">
        <w:rPr>
          <w:color w:val="000000" w:themeColor="text1"/>
          <w:lang w:val="en-GB" w:eastAsia="en-AU"/>
        </w:rPr>
        <w:t>QPSMP</w:t>
      </w:r>
      <w:r w:rsidR="00C4117D" w:rsidRPr="00CF0E71">
        <w:rPr>
          <w:color w:val="000000" w:themeColor="text1"/>
          <w:szCs w:val="22"/>
          <w:lang w:val="en-GB" w:eastAsia="en-AU"/>
        </w:rPr>
        <w:t xml:space="preserve"> </w:t>
      </w:r>
      <w:r w:rsidR="00C4117D">
        <w:rPr>
          <w:color w:val="000000" w:themeColor="text1"/>
          <w:szCs w:val="22"/>
          <w:lang w:val="en-GB" w:eastAsia="en-AU"/>
        </w:rPr>
        <w:t>m</w:t>
      </w:r>
      <w:r w:rsidR="007C6396" w:rsidRPr="00CF0E71">
        <w:rPr>
          <w:color w:val="000000" w:themeColor="text1"/>
          <w:szCs w:val="22"/>
          <w:lang w:val="en-GB" w:eastAsia="en-AU"/>
        </w:rPr>
        <w:t>onitoring in November 2016</w:t>
      </w:r>
      <w:r w:rsidR="00E079FA" w:rsidRPr="00CF0E71">
        <w:rPr>
          <w:color w:val="000000" w:themeColor="text1"/>
          <w:szCs w:val="22"/>
          <w:lang w:val="en-GB" w:eastAsia="en-AU"/>
        </w:rPr>
        <w:t xml:space="preserve"> reported a </w:t>
      </w:r>
      <w:r w:rsidR="00E079FA" w:rsidRPr="00CF0E71">
        <w:rPr>
          <w:color w:val="000000" w:themeColor="text1"/>
        </w:rPr>
        <w:t>significant</w:t>
      </w:r>
      <w:r w:rsidR="007C6396" w:rsidRPr="00CF0E71">
        <w:rPr>
          <w:color w:val="000000" w:themeColor="text1"/>
        </w:rPr>
        <w:t xml:space="preserve"> </w:t>
      </w:r>
      <w:r w:rsidRPr="00CF0E71">
        <w:rPr>
          <w:color w:val="000000" w:themeColor="text1"/>
          <w:szCs w:val="22"/>
          <w:lang w:val="en-GB" w:eastAsia="en-AU"/>
        </w:rPr>
        <w:t>(based on estimates of reliability/mapping precision)</w:t>
      </w:r>
      <w:r w:rsidR="00C90732">
        <w:rPr>
          <w:color w:val="000000" w:themeColor="text1"/>
          <w:szCs w:val="22"/>
          <w:lang w:val="en-GB" w:eastAsia="en-AU"/>
        </w:rPr>
        <w:t xml:space="preserve"> </w:t>
      </w:r>
      <w:r w:rsidR="007C6396" w:rsidRPr="00CF0E71">
        <w:rPr>
          <w:color w:val="000000" w:themeColor="text1"/>
        </w:rPr>
        <w:t>decline</w:t>
      </w:r>
      <w:r w:rsidR="00E079FA" w:rsidRPr="00CF0E71">
        <w:rPr>
          <w:color w:val="000000" w:themeColor="text1"/>
          <w:szCs w:val="22"/>
          <w:lang w:val="en-GB" w:eastAsia="en-AU"/>
        </w:rPr>
        <w:t xml:space="preserve"> </w:t>
      </w:r>
      <w:r w:rsidR="00E079FA" w:rsidRPr="00CF0E71">
        <w:rPr>
          <w:color w:val="000000" w:themeColor="text1"/>
        </w:rPr>
        <w:t xml:space="preserve">in area of </w:t>
      </w:r>
      <w:r w:rsidRPr="00CF0E71">
        <w:rPr>
          <w:color w:val="000000" w:themeColor="text1"/>
        </w:rPr>
        <w:t>both of the Rodds Bay meadows</w:t>
      </w:r>
      <w:r>
        <w:rPr>
          <w:color w:val="000000" w:themeColor="text1"/>
        </w:rPr>
        <w:t xml:space="preserve">. In addition, </w:t>
      </w:r>
      <w:r w:rsidR="00E079FA" w:rsidRPr="00CF0E71">
        <w:rPr>
          <w:color w:val="000000" w:themeColor="text1"/>
        </w:rPr>
        <w:t>average meadow above-ground biomass (visually estimated using helicopter and boat-based free diving/grab)</w:t>
      </w:r>
      <w:r w:rsidR="00C42AC4" w:rsidRPr="00CF0E71">
        <w:rPr>
          <w:color w:val="000000" w:themeColor="text1"/>
        </w:rPr>
        <w:t xml:space="preserve"> </w:t>
      </w:r>
      <w:r w:rsidR="00E079FA" w:rsidRPr="00CF0E71">
        <w:rPr>
          <w:color w:val="000000" w:themeColor="text1"/>
        </w:rPr>
        <w:t>remained well below the long term average</w:t>
      </w:r>
      <w:r w:rsidR="0077371D">
        <w:rPr>
          <w:color w:val="000000" w:themeColor="text1"/>
        </w:rPr>
        <w:t xml:space="preserve"> </w:t>
      </w:r>
      <w:r>
        <w:rPr>
          <w:color w:val="000000" w:themeColor="text1"/>
        </w:rPr>
        <w:t>(Rasheed et al 2017). This was consistent with trends observed at the nearby Port Curtis (Gladstone Harbour</w:t>
      </w:r>
      <w:r w:rsidRPr="00CF0E71">
        <w:rPr>
          <w:color w:val="000000" w:themeColor="text1"/>
        </w:rPr>
        <w:t>). T</w:t>
      </w:r>
      <w:r w:rsidR="00E079FA" w:rsidRPr="00CF0E71">
        <w:rPr>
          <w:color w:val="000000" w:themeColor="text1"/>
        </w:rPr>
        <w:t xml:space="preserve">he </w:t>
      </w:r>
      <w:r w:rsidRPr="00CF0E71">
        <w:rPr>
          <w:color w:val="000000" w:themeColor="text1"/>
        </w:rPr>
        <w:t>cause of the d</w:t>
      </w:r>
      <w:r>
        <w:rPr>
          <w:color w:val="000000" w:themeColor="text1"/>
        </w:rPr>
        <w:t xml:space="preserve">eclines were not clear, but </w:t>
      </w:r>
      <w:r w:rsidRPr="00CF0E71">
        <w:rPr>
          <w:color w:val="000000" w:themeColor="text1"/>
        </w:rPr>
        <w:t xml:space="preserve">disturbances from floods, cyclones and anthropogenic activities may have contributed. There are also high elevels of herbivory in the region (Rasheed et al 2017). </w:t>
      </w:r>
    </w:p>
    <w:p w14:paraId="68E9086F" w14:textId="77777777" w:rsidR="005132EF" w:rsidRPr="001D05D4" w:rsidRDefault="005132EF" w:rsidP="001D05D4">
      <w:pPr>
        <w:pStyle w:val="Heading4"/>
        <w:numPr>
          <w:ilvl w:val="0"/>
          <w:numId w:val="0"/>
        </w:numPr>
        <w:rPr>
          <w:rFonts w:ascii="Arial" w:hAnsi="Arial" w:cs="Arial"/>
          <w:sz w:val="24"/>
          <w:szCs w:val="24"/>
        </w:rPr>
      </w:pPr>
      <w:bookmarkStart w:id="622" w:name="_Toc184102042"/>
      <w:r w:rsidRPr="001D05D4">
        <w:rPr>
          <w:rFonts w:ascii="Arial" w:hAnsi="Arial" w:cs="Arial"/>
          <w:sz w:val="24"/>
          <w:szCs w:val="24"/>
        </w:rPr>
        <w:t>Seagrass reproductive status</w:t>
      </w:r>
      <w:bookmarkEnd w:id="622"/>
    </w:p>
    <w:p w14:paraId="4EF57758" w14:textId="7A4E6297" w:rsidR="003E1D94" w:rsidRPr="00097C1D" w:rsidRDefault="004F52AE" w:rsidP="00DD3BAE">
      <w:pPr>
        <w:autoSpaceDE w:val="0"/>
        <w:autoSpaceDN w:val="0"/>
        <w:adjustRightInd w:val="0"/>
        <w:rPr>
          <w:color w:val="000000" w:themeColor="text1"/>
          <w:szCs w:val="22"/>
          <w:lang w:val="en-GB"/>
        </w:rPr>
      </w:pPr>
      <w:r w:rsidRPr="00097C1D">
        <w:rPr>
          <w:color w:val="000000" w:themeColor="text1"/>
          <w:szCs w:val="22"/>
          <w:lang w:val="en-GB"/>
        </w:rPr>
        <w:t xml:space="preserve">Seagrass reproductive effort </w:t>
      </w:r>
      <w:r w:rsidR="00B04051" w:rsidRPr="00097C1D">
        <w:rPr>
          <w:color w:val="000000" w:themeColor="text1"/>
          <w:szCs w:val="22"/>
          <w:lang w:val="en-GB"/>
        </w:rPr>
        <w:t xml:space="preserve">had </w:t>
      </w:r>
      <w:r w:rsidRPr="00097C1D">
        <w:rPr>
          <w:color w:val="000000" w:themeColor="text1"/>
          <w:szCs w:val="22"/>
          <w:lang w:val="en-GB"/>
        </w:rPr>
        <w:t>increased to the second highest levels recorded</w:t>
      </w:r>
      <w:r w:rsidR="0076617E" w:rsidRPr="00097C1D">
        <w:rPr>
          <w:color w:val="000000" w:themeColor="text1"/>
          <w:szCs w:val="22"/>
          <w:lang w:val="en-GB"/>
        </w:rPr>
        <w:t xml:space="preserve"> in the </w:t>
      </w:r>
      <w:r w:rsidR="00B04051" w:rsidRPr="00097C1D">
        <w:rPr>
          <w:color w:val="000000" w:themeColor="text1"/>
          <w:szCs w:val="22"/>
          <w:lang w:val="en-GB"/>
        </w:rPr>
        <w:t>previous monitoring period</w:t>
      </w:r>
      <w:r w:rsidR="00097C1D" w:rsidRPr="00097C1D">
        <w:rPr>
          <w:color w:val="000000" w:themeColor="text1"/>
          <w:szCs w:val="22"/>
          <w:lang w:val="en-GB"/>
        </w:rPr>
        <w:t xml:space="preserve"> in estuarine habitat</w:t>
      </w:r>
      <w:r w:rsidR="00B04051" w:rsidRPr="00097C1D">
        <w:rPr>
          <w:color w:val="000000" w:themeColor="text1"/>
          <w:szCs w:val="22"/>
          <w:lang w:val="en-GB"/>
        </w:rPr>
        <w:t xml:space="preserve">, but in </w:t>
      </w:r>
      <w:r w:rsidR="008574EC">
        <w:rPr>
          <w:color w:val="000000" w:themeColor="text1"/>
          <w:szCs w:val="22"/>
          <w:lang w:val="en-GB"/>
        </w:rPr>
        <w:t>2016–17</w:t>
      </w:r>
      <w:r w:rsidR="00B04051" w:rsidRPr="00097C1D">
        <w:rPr>
          <w:color w:val="000000" w:themeColor="text1"/>
          <w:szCs w:val="22"/>
          <w:lang w:val="en-GB"/>
        </w:rPr>
        <w:t xml:space="preserve">, reproductive effort </w:t>
      </w:r>
      <w:r w:rsidR="00097C1D" w:rsidRPr="00097C1D">
        <w:rPr>
          <w:color w:val="000000" w:themeColor="text1"/>
          <w:szCs w:val="22"/>
          <w:lang w:val="en-GB"/>
        </w:rPr>
        <w:t xml:space="preserve">declined to </w:t>
      </w:r>
      <w:r w:rsidR="004529C1">
        <w:rPr>
          <w:color w:val="000000" w:themeColor="text1"/>
          <w:szCs w:val="22"/>
          <w:lang w:val="en-GB"/>
        </w:rPr>
        <w:t xml:space="preserve">almost </w:t>
      </w:r>
      <w:r w:rsidR="00097C1D" w:rsidRPr="00097C1D">
        <w:rPr>
          <w:color w:val="000000" w:themeColor="text1"/>
          <w:szCs w:val="22"/>
          <w:lang w:val="en-GB"/>
        </w:rPr>
        <w:t xml:space="preserve">zero. </w:t>
      </w:r>
      <w:r w:rsidR="0076617E" w:rsidRPr="00097C1D">
        <w:rPr>
          <w:i/>
          <w:color w:val="000000" w:themeColor="text1"/>
          <w:szCs w:val="22"/>
          <w:lang w:val="en-GB"/>
        </w:rPr>
        <w:t>Zostera muelleri</w:t>
      </w:r>
      <w:r w:rsidR="00DF544D" w:rsidRPr="00097C1D">
        <w:rPr>
          <w:color w:val="000000" w:themeColor="text1"/>
          <w:szCs w:val="22"/>
          <w:lang w:val="en-GB"/>
        </w:rPr>
        <w:t xml:space="preserve"> seed banks in Burnett Mary region </w:t>
      </w:r>
      <w:r w:rsidR="00941CA0">
        <w:rPr>
          <w:color w:val="000000" w:themeColor="text1"/>
          <w:szCs w:val="22"/>
          <w:lang w:val="en-GB"/>
        </w:rPr>
        <w:t xml:space="preserve">esdtuarine </w:t>
      </w:r>
      <w:r w:rsidR="00DF544D" w:rsidRPr="00097C1D">
        <w:rPr>
          <w:color w:val="000000" w:themeColor="text1"/>
          <w:szCs w:val="22"/>
          <w:lang w:val="en-GB"/>
        </w:rPr>
        <w:t xml:space="preserve">meadows </w:t>
      </w:r>
      <w:r w:rsidR="0076617E" w:rsidRPr="00097C1D">
        <w:rPr>
          <w:color w:val="000000" w:themeColor="text1"/>
          <w:szCs w:val="22"/>
          <w:lang w:val="en-GB"/>
        </w:rPr>
        <w:t xml:space="preserve">have remained relatively stable but </w:t>
      </w:r>
      <w:r w:rsidR="00097C1D" w:rsidRPr="00097C1D">
        <w:rPr>
          <w:color w:val="000000" w:themeColor="text1"/>
          <w:szCs w:val="22"/>
          <w:lang w:val="en-GB"/>
        </w:rPr>
        <w:t>are below the highest levels observed</w:t>
      </w:r>
      <w:r w:rsidR="004807AA" w:rsidRPr="00097C1D">
        <w:rPr>
          <w:color w:val="000000" w:themeColor="text1"/>
          <w:szCs w:val="22"/>
          <w:lang w:val="en-GB"/>
        </w:rPr>
        <w:t xml:space="preserve"> </w:t>
      </w:r>
      <w:r w:rsidR="00DF544D" w:rsidRPr="00097C1D">
        <w:rPr>
          <w:color w:val="000000" w:themeColor="text1"/>
          <w:szCs w:val="22"/>
          <w:lang w:val="en-GB"/>
        </w:rPr>
        <w:t>(</w:t>
      </w:r>
      <w:r w:rsidR="00272AAD" w:rsidRPr="00097C1D">
        <w:rPr>
          <w:color w:val="000000" w:themeColor="text1"/>
          <w:szCs w:val="22"/>
          <w:lang w:val="en-GB"/>
        </w:rPr>
        <w:fldChar w:fldCharType="begin"/>
      </w:r>
      <w:r w:rsidR="00272AAD" w:rsidRPr="00097C1D">
        <w:rPr>
          <w:color w:val="000000" w:themeColor="text1"/>
          <w:szCs w:val="22"/>
          <w:lang w:val="en-GB"/>
        </w:rPr>
        <w:instrText xml:space="preserve"> REF _Ref318458630 \h </w:instrText>
      </w:r>
      <w:r w:rsidR="00015190" w:rsidRPr="00097C1D">
        <w:rPr>
          <w:color w:val="000000" w:themeColor="text1"/>
          <w:szCs w:val="22"/>
          <w:lang w:val="en-GB"/>
        </w:rPr>
        <w:instrText xml:space="preserve"> \* MERGEFORMAT </w:instrText>
      </w:r>
      <w:r w:rsidR="00272AAD" w:rsidRPr="00097C1D">
        <w:rPr>
          <w:color w:val="000000" w:themeColor="text1"/>
          <w:szCs w:val="22"/>
          <w:lang w:val="en-GB"/>
        </w:rPr>
      </w:r>
      <w:r w:rsidR="00272AAD" w:rsidRPr="00097C1D">
        <w:rPr>
          <w:color w:val="000000" w:themeColor="text1"/>
          <w:szCs w:val="22"/>
          <w:lang w:val="en-GB"/>
        </w:rPr>
        <w:fldChar w:fldCharType="separate"/>
      </w:r>
      <w:r w:rsidR="00F87DF9" w:rsidRPr="00F87DF9">
        <w:rPr>
          <w:color w:val="000000" w:themeColor="text1"/>
          <w:szCs w:val="22"/>
        </w:rPr>
        <w:t xml:space="preserve">Figure </w:t>
      </w:r>
      <w:r w:rsidR="00F87DF9" w:rsidRPr="00F87DF9">
        <w:rPr>
          <w:noProof/>
          <w:color w:val="000000" w:themeColor="text1"/>
          <w:szCs w:val="22"/>
        </w:rPr>
        <w:t>116</w:t>
      </w:r>
      <w:r w:rsidR="00272AAD" w:rsidRPr="00097C1D">
        <w:rPr>
          <w:color w:val="000000" w:themeColor="text1"/>
          <w:szCs w:val="22"/>
          <w:lang w:val="en-GB"/>
        </w:rPr>
        <w:fldChar w:fldCharType="end"/>
      </w:r>
      <w:r w:rsidR="00DF544D" w:rsidRPr="00097C1D">
        <w:rPr>
          <w:color w:val="000000" w:themeColor="text1"/>
          <w:szCs w:val="22"/>
          <w:lang w:val="en-GB"/>
        </w:rPr>
        <w:t>)</w:t>
      </w:r>
      <w:r w:rsidR="00097C1D" w:rsidRPr="00097C1D">
        <w:rPr>
          <w:color w:val="000000" w:themeColor="text1"/>
          <w:szCs w:val="22"/>
          <w:lang w:val="en-GB"/>
        </w:rPr>
        <w:t xml:space="preserve">. </w:t>
      </w:r>
      <w:r w:rsidR="00DE6DCE">
        <w:rPr>
          <w:color w:val="000000" w:themeColor="text1"/>
          <w:szCs w:val="22"/>
          <w:lang w:val="en-GB"/>
        </w:rPr>
        <w:t xml:space="preserve">In </w:t>
      </w:r>
      <w:r w:rsidR="008574EC">
        <w:rPr>
          <w:color w:val="000000" w:themeColor="text1"/>
          <w:szCs w:val="22"/>
          <w:lang w:val="en-GB"/>
        </w:rPr>
        <w:t>2016–17</w:t>
      </w:r>
      <w:r w:rsidR="00DE6DCE">
        <w:rPr>
          <w:color w:val="000000" w:themeColor="text1"/>
          <w:szCs w:val="22"/>
          <w:lang w:val="en-GB"/>
        </w:rPr>
        <w:t>, the Burrum Heads coastal site</w:t>
      </w:r>
      <w:r w:rsidR="00941CA0">
        <w:rPr>
          <w:color w:val="000000" w:themeColor="text1"/>
          <w:szCs w:val="22"/>
          <w:lang w:val="en-GB"/>
        </w:rPr>
        <w:t xml:space="preserve"> had no seeds present but it is not known whether this has been typical in these meadows </w:t>
      </w:r>
      <w:r w:rsidR="00DE6DCE">
        <w:rPr>
          <w:color w:val="000000" w:themeColor="text1"/>
          <w:szCs w:val="22"/>
          <w:lang w:val="en-GB"/>
        </w:rPr>
        <w:t>in recent years because seed banks have not been assessed since 2008.</w:t>
      </w:r>
    </w:p>
    <w:p w14:paraId="39F04FD3" w14:textId="77777777" w:rsidR="003E1D94" w:rsidRPr="003E1D94" w:rsidRDefault="005B1EEC" w:rsidP="00DD3BAE">
      <w:pPr>
        <w:autoSpaceDE w:val="0"/>
        <w:autoSpaceDN w:val="0"/>
        <w:adjustRightInd w:val="0"/>
        <w:spacing w:before="0" w:after="0"/>
        <w:jc w:val="center"/>
        <w:rPr>
          <w:rFonts w:cs="TimesNewRoman,Italic"/>
          <w:iCs/>
          <w:szCs w:val="22"/>
        </w:rPr>
      </w:pPr>
      <w:r>
        <w:rPr>
          <w:rFonts w:cs="TimesNewRoman,Italic"/>
          <w:iCs/>
          <w:noProof/>
          <w:szCs w:val="22"/>
          <w:lang w:eastAsia="en-AU"/>
        </w:rPr>
        <w:drawing>
          <wp:inline distT="0" distB="0" distL="0" distR="0" wp14:anchorId="707556E1" wp14:editId="49441189">
            <wp:extent cx="4320000" cy="1490400"/>
            <wp:effectExtent l="0" t="0" r="4445" b="0"/>
            <wp:docPr id="521" name="Picture 521" descr="Panel of three composite bar and scatter plot graphs showing seed banks (bars) and reproductive effort (dots) at inshore estuarine habitats in the Burnett Mary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 name="BM_repro16.png"/>
                    <pic:cNvPicPr/>
                  </pic:nvPicPr>
                  <pic:blipFill>
                    <a:blip r:embed="rId154">
                      <a:extLst>
                        <a:ext uri="{28A0092B-C50C-407E-A947-70E740481C1C}">
                          <a14:useLocalDpi xmlns:a14="http://schemas.microsoft.com/office/drawing/2010/main" val="0"/>
                        </a:ext>
                      </a:extLst>
                    </a:blip>
                    <a:stretch>
                      <a:fillRect/>
                    </a:stretch>
                  </pic:blipFill>
                  <pic:spPr>
                    <a:xfrm>
                      <a:off x="0" y="0"/>
                      <a:ext cx="4320000" cy="1490400"/>
                    </a:xfrm>
                    <a:prstGeom prst="rect">
                      <a:avLst/>
                    </a:prstGeom>
                  </pic:spPr>
                </pic:pic>
              </a:graphicData>
            </a:graphic>
          </wp:inline>
        </w:drawing>
      </w:r>
    </w:p>
    <w:p w14:paraId="533317DC" w14:textId="74325F11" w:rsidR="00DE3A36" w:rsidRPr="00DE3A36" w:rsidRDefault="005132EF" w:rsidP="00DD3BAE">
      <w:pPr>
        <w:spacing w:before="0"/>
        <w:rPr>
          <w:i/>
          <w:vanish/>
          <w:color w:val="000000"/>
          <w:specVanish/>
        </w:rPr>
      </w:pPr>
      <w:bookmarkStart w:id="623" w:name="_Ref318458630"/>
      <w:bookmarkStart w:id="624" w:name="_Toc431493904"/>
      <w:bookmarkStart w:id="625" w:name="_Toc516053326"/>
      <w:r w:rsidRPr="000D2AD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116</w:t>
      </w:r>
      <w:r w:rsidR="00C506C7">
        <w:rPr>
          <w:noProof/>
        </w:rPr>
        <w:fldChar w:fldCharType="end"/>
      </w:r>
      <w:bookmarkEnd w:id="623"/>
      <w:r w:rsidRPr="000D2ADB">
        <w:t xml:space="preserve">. </w:t>
      </w:r>
      <w:r w:rsidR="008C23B1" w:rsidRPr="00DE3A36">
        <w:rPr>
          <w:i/>
        </w:rPr>
        <w:t>Burnett Mary estuary seed bank and reproductive effort</w:t>
      </w:r>
      <w:r w:rsidR="00C73F73" w:rsidRPr="00DE3A36">
        <w:rPr>
          <w:i/>
        </w:rPr>
        <w:t>.</w:t>
      </w:r>
      <w:bookmarkEnd w:id="624"/>
      <w:bookmarkEnd w:id="625"/>
      <w:r w:rsidR="00C73F73" w:rsidRPr="00DE3A36">
        <w:rPr>
          <w:i/>
          <w:vanish/>
          <w:szCs w:val="22"/>
          <w:specVanish/>
        </w:rPr>
        <w:t xml:space="preserve"> </w:t>
      </w:r>
      <w:r w:rsidR="00C73F73" w:rsidRPr="00DE3A36">
        <w:rPr>
          <w:i/>
        </w:rPr>
        <w:t xml:space="preserve"> </w:t>
      </w:r>
    </w:p>
    <w:p w14:paraId="6A273454" w14:textId="77777777" w:rsidR="004926CE" w:rsidRDefault="00C73F73" w:rsidP="00DD3BAE">
      <w:pPr>
        <w:spacing w:before="0"/>
      </w:pPr>
      <w:r w:rsidRPr="00DE3A36">
        <w:rPr>
          <w:i/>
        </w:rPr>
        <w:t>Seed bank presented as the total number of seeds per m</w:t>
      </w:r>
      <w:r w:rsidRPr="00DE3A36">
        <w:rPr>
          <w:i/>
          <w:vertAlign w:val="superscript"/>
        </w:rPr>
        <w:t>2</w:t>
      </w:r>
      <w:r w:rsidRPr="00DE3A36">
        <w:rPr>
          <w:i/>
        </w:rPr>
        <w:t xml:space="preserve"> sediment surface and reproductive effort</w:t>
      </w:r>
      <w:r w:rsidR="008C23B1" w:rsidRPr="00DE3A36">
        <w:rPr>
          <w:i/>
        </w:rPr>
        <w:t xml:space="preserve"> presented as the average number of reproductive structures per c</w:t>
      </w:r>
      <w:r w:rsidR="002C16F4" w:rsidRPr="00DE3A36">
        <w:rPr>
          <w:i/>
        </w:rPr>
        <w:t>ore (species and sites pooled)</w:t>
      </w:r>
      <w:r w:rsidR="008C23B1" w:rsidRPr="00DE3A36">
        <w:rPr>
          <w:i/>
        </w:rPr>
        <w:t>.</w:t>
      </w:r>
      <w:r w:rsidRPr="000D2ADB">
        <w:t xml:space="preserve"> </w:t>
      </w:r>
    </w:p>
    <w:p w14:paraId="50E76FF0" w14:textId="3375EC0A" w:rsidR="00BC4EC5" w:rsidRPr="00BD0604" w:rsidRDefault="00FF0A86" w:rsidP="00926892">
      <w:pPr>
        <w:pStyle w:val="Heading3"/>
        <w:numPr>
          <w:ilvl w:val="2"/>
          <w:numId w:val="9"/>
        </w:numPr>
        <w:rPr>
          <w:rFonts w:ascii="Arial" w:hAnsi="Arial" w:cs="Arial"/>
          <w:color w:val="000000"/>
        </w:rPr>
      </w:pPr>
      <w:bookmarkStart w:id="626" w:name="_Toc516053171"/>
      <w:r>
        <w:rPr>
          <w:rFonts w:ascii="Arial" w:hAnsi="Arial" w:cs="Arial"/>
          <w:color w:val="000000"/>
        </w:rPr>
        <w:t>Indicators of environmental condition</w:t>
      </w:r>
      <w:bookmarkEnd w:id="626"/>
    </w:p>
    <w:p w14:paraId="59BE1809" w14:textId="77777777"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tissue nutrients</w:t>
      </w:r>
    </w:p>
    <w:p w14:paraId="6CAD06E8" w14:textId="2C294579" w:rsidR="005132EF" w:rsidRPr="00151B38" w:rsidRDefault="005132EF" w:rsidP="00034AD4">
      <w:pPr>
        <w:rPr>
          <w:rFonts w:cs="TimesNewRoman,Italic"/>
          <w:iCs/>
          <w:color w:val="000000" w:themeColor="text1"/>
          <w:szCs w:val="22"/>
        </w:rPr>
      </w:pPr>
      <w:r w:rsidRPr="004529C1">
        <w:rPr>
          <w:rFonts w:cs="TimesNewRoman,Italic"/>
          <w:iCs/>
          <w:color w:val="000000" w:themeColor="text1"/>
          <w:szCs w:val="22"/>
        </w:rPr>
        <w:t>In 201</w:t>
      </w:r>
      <w:r w:rsidR="004529C1" w:rsidRPr="004529C1">
        <w:rPr>
          <w:rFonts w:cs="TimesNewRoman,Italic"/>
          <w:iCs/>
          <w:color w:val="000000" w:themeColor="text1"/>
          <w:szCs w:val="22"/>
        </w:rPr>
        <w:t>6</w:t>
      </w:r>
      <w:r w:rsidRPr="004529C1">
        <w:rPr>
          <w:rFonts w:cs="TimesNewRoman,Italic"/>
          <w:iCs/>
          <w:color w:val="000000" w:themeColor="text1"/>
          <w:szCs w:val="22"/>
        </w:rPr>
        <w:t xml:space="preserve">, </w:t>
      </w:r>
      <w:r w:rsidR="00B55FCB" w:rsidRPr="004529C1">
        <w:rPr>
          <w:i/>
          <w:color w:val="000000" w:themeColor="text1"/>
          <w:szCs w:val="22"/>
        </w:rPr>
        <w:t>Zostera muelleri</w:t>
      </w:r>
      <w:r w:rsidR="00B55FCB" w:rsidRPr="004529C1">
        <w:rPr>
          <w:color w:val="000000" w:themeColor="text1"/>
          <w:szCs w:val="22"/>
        </w:rPr>
        <w:t xml:space="preserve"> </w:t>
      </w:r>
      <w:r w:rsidR="00B55FCB" w:rsidRPr="004529C1">
        <w:rPr>
          <w:rFonts w:cs="TimesNewRoman,Italic"/>
          <w:iCs/>
          <w:color w:val="000000" w:themeColor="text1"/>
          <w:szCs w:val="22"/>
        </w:rPr>
        <w:t xml:space="preserve">leaf molar C:N ratios </w:t>
      </w:r>
      <w:r w:rsidR="004529C1" w:rsidRPr="004529C1">
        <w:rPr>
          <w:rFonts w:cs="TimesNewRoman,Italic"/>
          <w:iCs/>
          <w:color w:val="000000" w:themeColor="text1"/>
          <w:szCs w:val="22"/>
        </w:rPr>
        <w:t xml:space="preserve">were unchanged </w:t>
      </w:r>
      <w:r w:rsidR="004529C1">
        <w:rPr>
          <w:rFonts w:cs="TimesNewRoman,Italic"/>
          <w:iCs/>
          <w:color w:val="000000" w:themeColor="text1"/>
          <w:szCs w:val="22"/>
        </w:rPr>
        <w:t xml:space="preserve">at the estuary sites </w:t>
      </w:r>
      <w:r w:rsidR="004529C1" w:rsidRPr="004529C1">
        <w:rPr>
          <w:rFonts w:cs="TimesNewRoman,Italic"/>
          <w:iCs/>
          <w:color w:val="000000" w:themeColor="text1"/>
          <w:szCs w:val="22"/>
        </w:rPr>
        <w:t>compared to the previous two years</w:t>
      </w:r>
      <w:r w:rsidR="00EF7400" w:rsidRPr="004529C1">
        <w:rPr>
          <w:rFonts w:cs="TimesNewRoman,Italic"/>
          <w:iCs/>
          <w:color w:val="000000" w:themeColor="text1"/>
          <w:szCs w:val="22"/>
        </w:rPr>
        <w:t xml:space="preserve"> </w:t>
      </w:r>
      <w:r w:rsidR="00830213" w:rsidRPr="004529C1">
        <w:rPr>
          <w:rFonts w:cs="TimesNewRoman,Italic"/>
          <w:iCs/>
          <w:color w:val="000000" w:themeColor="text1"/>
          <w:szCs w:val="22"/>
        </w:rPr>
        <w:t>(</w:t>
      </w:r>
      <w:r w:rsidR="00830213" w:rsidRPr="004529C1">
        <w:rPr>
          <w:rFonts w:cs="TimesNewRoman,Italic"/>
          <w:iCs/>
          <w:color w:val="000000" w:themeColor="text1"/>
          <w:szCs w:val="22"/>
        </w:rPr>
        <w:fldChar w:fldCharType="begin"/>
      </w:r>
      <w:r w:rsidR="00830213" w:rsidRPr="004529C1">
        <w:rPr>
          <w:rFonts w:cs="TimesNewRoman,Italic"/>
          <w:iCs/>
          <w:color w:val="000000" w:themeColor="text1"/>
          <w:szCs w:val="22"/>
        </w:rPr>
        <w:instrText xml:space="preserve"> REF _Ref410308585 \h </w:instrText>
      </w:r>
      <w:r w:rsidR="003E1D94" w:rsidRPr="004529C1">
        <w:rPr>
          <w:rFonts w:cs="TimesNewRoman,Italic"/>
          <w:iCs/>
          <w:color w:val="000000" w:themeColor="text1"/>
          <w:szCs w:val="22"/>
        </w:rPr>
        <w:instrText xml:space="preserve"> \* MERGEFORMAT </w:instrText>
      </w:r>
      <w:r w:rsidR="00830213" w:rsidRPr="004529C1">
        <w:rPr>
          <w:rFonts w:cs="TimesNewRoman,Italic"/>
          <w:iCs/>
          <w:color w:val="000000" w:themeColor="text1"/>
          <w:szCs w:val="22"/>
        </w:rPr>
      </w:r>
      <w:r w:rsidR="00830213" w:rsidRPr="004529C1">
        <w:rPr>
          <w:rFonts w:cs="TimesNewRoman,Italic"/>
          <w:iCs/>
          <w:color w:val="000000" w:themeColor="text1"/>
          <w:szCs w:val="22"/>
        </w:rPr>
        <w:fldChar w:fldCharType="separate"/>
      </w:r>
      <w:r w:rsidR="00F87DF9" w:rsidRPr="00F87DF9">
        <w:rPr>
          <w:color w:val="000000" w:themeColor="text1"/>
        </w:rPr>
        <w:t xml:space="preserve">Figure </w:t>
      </w:r>
      <w:r w:rsidR="00F87DF9" w:rsidRPr="00F87DF9">
        <w:rPr>
          <w:noProof/>
          <w:color w:val="000000" w:themeColor="text1"/>
        </w:rPr>
        <w:t>117</w:t>
      </w:r>
      <w:r w:rsidR="00830213" w:rsidRPr="004529C1">
        <w:rPr>
          <w:rFonts w:cs="TimesNewRoman,Italic"/>
          <w:iCs/>
          <w:color w:val="000000" w:themeColor="text1"/>
          <w:szCs w:val="22"/>
        </w:rPr>
        <w:fldChar w:fldCharType="end"/>
      </w:r>
      <w:r w:rsidR="00830213" w:rsidRPr="004529C1">
        <w:rPr>
          <w:rFonts w:cs="TimesNewRoman,Italic"/>
          <w:iCs/>
          <w:color w:val="000000" w:themeColor="text1"/>
          <w:szCs w:val="22"/>
        </w:rPr>
        <w:t xml:space="preserve">); due to </w:t>
      </w:r>
      <w:r w:rsidR="004529C1" w:rsidRPr="004529C1">
        <w:rPr>
          <w:rFonts w:cs="TimesNewRoman,Italic"/>
          <w:iCs/>
          <w:color w:val="000000" w:themeColor="text1"/>
          <w:szCs w:val="22"/>
        </w:rPr>
        <w:t>a reduction at</w:t>
      </w:r>
      <w:r w:rsidR="00830213" w:rsidRPr="004529C1">
        <w:rPr>
          <w:rFonts w:cs="TimesNewRoman,Italic"/>
          <w:iCs/>
          <w:color w:val="000000" w:themeColor="text1"/>
          <w:szCs w:val="22"/>
        </w:rPr>
        <w:t xml:space="preserve"> Urangan</w:t>
      </w:r>
      <w:r w:rsidR="00704E70" w:rsidRPr="004529C1">
        <w:rPr>
          <w:rFonts w:cs="TimesNewRoman,Italic"/>
          <w:iCs/>
          <w:color w:val="000000" w:themeColor="text1"/>
          <w:szCs w:val="22"/>
        </w:rPr>
        <w:t xml:space="preserve"> </w:t>
      </w:r>
      <w:r w:rsidR="004529C1" w:rsidRPr="004529C1">
        <w:rPr>
          <w:rFonts w:cs="TimesNewRoman,Italic"/>
          <w:iCs/>
          <w:color w:val="000000" w:themeColor="text1"/>
          <w:szCs w:val="22"/>
        </w:rPr>
        <w:t>and an increase at Rodds Bay (</w:t>
      </w:r>
      <w:r w:rsidR="004529C1" w:rsidRPr="004529C1">
        <w:rPr>
          <w:rFonts w:cs="TimesNewRoman,Italic"/>
          <w:iCs/>
          <w:color w:val="000000" w:themeColor="text1"/>
          <w:szCs w:val="22"/>
        </w:rPr>
        <w:fldChar w:fldCharType="begin"/>
      </w:r>
      <w:r w:rsidR="004529C1" w:rsidRPr="004529C1">
        <w:rPr>
          <w:rFonts w:cs="TimesNewRoman,Italic"/>
          <w:iCs/>
          <w:color w:val="000000" w:themeColor="text1"/>
          <w:szCs w:val="22"/>
        </w:rPr>
        <w:instrText xml:space="preserve"> REF _Ref442529366 \h </w:instrText>
      </w:r>
      <w:r w:rsidR="004529C1" w:rsidRPr="004529C1">
        <w:rPr>
          <w:rFonts w:cs="TimesNewRoman,Italic"/>
          <w:iCs/>
          <w:color w:val="000000" w:themeColor="text1"/>
          <w:szCs w:val="22"/>
        </w:rPr>
      </w:r>
      <w:r w:rsidR="004529C1" w:rsidRPr="004529C1">
        <w:rPr>
          <w:rFonts w:cs="TimesNewRoman,Italic"/>
          <w:iCs/>
          <w:color w:val="000000" w:themeColor="text1"/>
          <w:szCs w:val="22"/>
        </w:rPr>
        <w:fldChar w:fldCharType="separate"/>
      </w:r>
      <w:r w:rsidR="00F87DF9">
        <w:rPr>
          <w:szCs w:val="22"/>
        </w:rPr>
        <w:t xml:space="preserve">Table </w:t>
      </w:r>
      <w:r w:rsidR="00F87DF9">
        <w:rPr>
          <w:noProof/>
          <w:szCs w:val="22"/>
        </w:rPr>
        <w:t>54</w:t>
      </w:r>
      <w:r w:rsidR="004529C1" w:rsidRPr="004529C1">
        <w:rPr>
          <w:rFonts w:cs="TimesNewRoman,Italic"/>
          <w:iCs/>
          <w:color w:val="000000" w:themeColor="text1"/>
          <w:szCs w:val="22"/>
        </w:rPr>
        <w:fldChar w:fldCharType="end"/>
      </w:r>
      <w:r w:rsidR="004529C1" w:rsidRPr="004529C1">
        <w:rPr>
          <w:rFonts w:cs="TimesNewRoman,Italic"/>
          <w:iCs/>
          <w:color w:val="000000" w:themeColor="text1"/>
          <w:szCs w:val="22"/>
        </w:rPr>
        <w:t>)</w:t>
      </w:r>
      <w:r w:rsidR="001E1D1D" w:rsidRPr="004529C1">
        <w:rPr>
          <w:rFonts w:cs="TimesNewRoman,Italic"/>
          <w:iCs/>
          <w:color w:val="000000" w:themeColor="text1"/>
          <w:szCs w:val="22"/>
        </w:rPr>
        <w:t xml:space="preserve">. </w:t>
      </w:r>
      <w:r w:rsidR="00DE6DCE">
        <w:rPr>
          <w:rFonts w:cs="TimesNewRoman,Italic"/>
          <w:iCs/>
          <w:color w:val="000000" w:themeColor="text1"/>
          <w:szCs w:val="22"/>
        </w:rPr>
        <w:t>The C:P ratio declined more substantially overall at estuarine sites, due to a large reduction at Urangan. The reduced C:N and C:P ratios could reflect lower than average light conditions at the site; in late 2016 there had been a prolonged period of low and deteriorating light levels, which subsequently improved</w:t>
      </w:r>
      <w:r w:rsidR="00B06494" w:rsidRPr="00B06494">
        <w:rPr>
          <w:rFonts w:cs="TimesNewRoman,Italic"/>
          <w:iCs/>
          <w:color w:val="000000" w:themeColor="text1"/>
          <w:szCs w:val="22"/>
        </w:rPr>
        <w:t xml:space="preserve"> </w:t>
      </w:r>
      <w:r w:rsidR="00B06494">
        <w:rPr>
          <w:rFonts w:cs="TimesNewRoman,Italic"/>
          <w:iCs/>
          <w:color w:val="000000" w:themeColor="text1"/>
          <w:szCs w:val="22"/>
        </w:rPr>
        <w:t>but the light data record is not continuous at the site (</w:t>
      </w:r>
      <w:r w:rsidR="00B06494">
        <w:rPr>
          <w:rFonts w:cs="TimesNewRoman,Italic"/>
          <w:iCs/>
          <w:color w:val="000000" w:themeColor="text1"/>
          <w:szCs w:val="22"/>
        </w:rPr>
        <w:fldChar w:fldCharType="begin"/>
      </w:r>
      <w:r w:rsidR="00B06494">
        <w:rPr>
          <w:rFonts w:cs="TimesNewRoman,Italic"/>
          <w:iCs/>
          <w:color w:val="000000" w:themeColor="text1"/>
          <w:szCs w:val="22"/>
        </w:rPr>
        <w:instrText xml:space="preserve"> REF _Ref410310520 \h </w:instrText>
      </w:r>
      <w:r w:rsidR="00B06494">
        <w:rPr>
          <w:rFonts w:cs="TimesNewRoman,Italic"/>
          <w:iCs/>
          <w:color w:val="000000" w:themeColor="text1"/>
          <w:szCs w:val="22"/>
        </w:rPr>
      </w:r>
      <w:r w:rsidR="00B06494">
        <w:rPr>
          <w:rFonts w:cs="TimesNewRoman,Italic"/>
          <w:iCs/>
          <w:color w:val="000000" w:themeColor="text1"/>
          <w:szCs w:val="22"/>
        </w:rPr>
        <w:fldChar w:fldCharType="separate"/>
      </w:r>
      <w:r w:rsidR="00F87DF9" w:rsidRPr="004C3A5D">
        <w:rPr>
          <w:color w:val="000000"/>
          <w:szCs w:val="22"/>
          <w:lang w:val="en-GB"/>
        </w:rPr>
        <w:t xml:space="preserve">Figure </w:t>
      </w:r>
      <w:r w:rsidR="00F87DF9">
        <w:rPr>
          <w:noProof/>
          <w:color w:val="000000"/>
          <w:szCs w:val="22"/>
          <w:lang w:val="en-GB"/>
        </w:rPr>
        <w:t>161</w:t>
      </w:r>
      <w:r w:rsidR="00B06494">
        <w:rPr>
          <w:rFonts w:cs="TimesNewRoman,Italic"/>
          <w:iCs/>
          <w:color w:val="000000" w:themeColor="text1"/>
          <w:szCs w:val="22"/>
        </w:rPr>
        <w:fldChar w:fldCharType="end"/>
      </w:r>
      <w:r w:rsidR="00B06494">
        <w:rPr>
          <w:rFonts w:cs="TimesNewRoman,Italic"/>
          <w:iCs/>
          <w:color w:val="000000" w:themeColor="text1"/>
          <w:szCs w:val="22"/>
        </w:rPr>
        <w:t>) making it difficult to assess trends</w:t>
      </w:r>
      <w:r w:rsidR="00DE6DCE">
        <w:rPr>
          <w:rFonts w:cs="TimesNewRoman,Italic"/>
          <w:iCs/>
          <w:color w:val="000000" w:themeColor="text1"/>
          <w:szCs w:val="22"/>
        </w:rPr>
        <w:t xml:space="preserve">. </w:t>
      </w:r>
      <w:r w:rsidR="000D20CF">
        <w:rPr>
          <w:rFonts w:cs="TimesNewRoman,Italic"/>
          <w:iCs/>
          <w:color w:val="000000" w:themeColor="text1"/>
          <w:szCs w:val="22"/>
        </w:rPr>
        <w:t xml:space="preserve">Although there was a small reduction in C:N at Urangan, it remained above 20 at that site, while the Rodds Bay site increased, but was only 15.8. </w:t>
      </w:r>
      <w:r w:rsidR="004529C1" w:rsidRPr="004529C1">
        <w:rPr>
          <w:rFonts w:cs="TimesNewRoman,Italic"/>
          <w:iCs/>
          <w:color w:val="000000" w:themeColor="text1"/>
          <w:szCs w:val="22"/>
        </w:rPr>
        <w:t xml:space="preserve">At the Burrum Heads coastal site, C:N was </w:t>
      </w:r>
      <w:r w:rsidR="000D20CF">
        <w:rPr>
          <w:rFonts w:cs="TimesNewRoman,Italic"/>
          <w:iCs/>
          <w:color w:val="000000" w:themeColor="text1"/>
          <w:szCs w:val="22"/>
        </w:rPr>
        <w:t xml:space="preserve">14.3, which was </w:t>
      </w:r>
      <w:r w:rsidR="004529C1" w:rsidRPr="004529C1">
        <w:rPr>
          <w:rFonts w:cs="TimesNewRoman,Italic"/>
          <w:iCs/>
          <w:color w:val="000000" w:themeColor="text1"/>
          <w:szCs w:val="22"/>
        </w:rPr>
        <w:t xml:space="preserve">the third lowest out of all sites measured in the </w:t>
      </w:r>
      <w:r w:rsidR="007F6948">
        <w:rPr>
          <w:rFonts w:cs="TimesNewRoman,Italic"/>
          <w:iCs/>
          <w:color w:val="000000" w:themeColor="text1"/>
          <w:szCs w:val="22"/>
        </w:rPr>
        <w:t>Great Barrier Reef</w:t>
      </w:r>
      <w:r w:rsidR="004529C1">
        <w:rPr>
          <w:rFonts w:cs="TimesNewRoman,Italic"/>
          <w:iCs/>
          <w:color w:val="000000" w:themeColor="text1"/>
          <w:szCs w:val="22"/>
        </w:rPr>
        <w:t>. There was also a very high tissue N content relative to phosphorus (P), suggesting a local source of nitrogen to this meadow. T</w:t>
      </w:r>
      <w:r w:rsidR="004529C1" w:rsidRPr="004529C1">
        <w:rPr>
          <w:rFonts w:cs="TimesNewRoman,Italic"/>
          <w:iCs/>
          <w:color w:val="000000" w:themeColor="text1"/>
          <w:szCs w:val="22"/>
        </w:rPr>
        <w:t>here have not been previous analyses from this site against which to assess the trend</w:t>
      </w:r>
      <w:r w:rsidR="004529C1">
        <w:rPr>
          <w:rFonts w:cs="TimesNewRoman,Italic"/>
          <w:iCs/>
          <w:color w:val="0000FF"/>
          <w:szCs w:val="22"/>
        </w:rPr>
        <w:t xml:space="preserve"> </w:t>
      </w:r>
      <w:r w:rsidR="00830213" w:rsidRPr="00C34E54">
        <w:rPr>
          <w:rFonts w:cs="TimesNewRoman,Italic"/>
          <w:iCs/>
          <w:color w:val="000000" w:themeColor="text1"/>
          <w:szCs w:val="22"/>
        </w:rPr>
        <w:t xml:space="preserve">(Appendix </w:t>
      </w:r>
      <w:r w:rsidR="009D5DBA" w:rsidRPr="00C34E54">
        <w:rPr>
          <w:rFonts w:cs="TimesNewRoman,Italic"/>
          <w:iCs/>
          <w:color w:val="000000" w:themeColor="text1"/>
          <w:szCs w:val="22"/>
        </w:rPr>
        <w:t>4</w:t>
      </w:r>
      <w:r w:rsidR="00830213" w:rsidRPr="00C34E54">
        <w:rPr>
          <w:rFonts w:cs="TimesNewRoman,Italic"/>
          <w:iCs/>
          <w:color w:val="000000" w:themeColor="text1"/>
          <w:szCs w:val="22"/>
        </w:rPr>
        <w:t xml:space="preserve">, </w:t>
      </w:r>
      <w:r w:rsidR="00830213" w:rsidRPr="00C34E54">
        <w:rPr>
          <w:rFonts w:cs="TimesNewRoman,Italic"/>
          <w:iCs/>
          <w:color w:val="000000" w:themeColor="text1"/>
          <w:szCs w:val="22"/>
        </w:rPr>
        <w:fldChar w:fldCharType="begin"/>
      </w:r>
      <w:r w:rsidR="00830213" w:rsidRPr="00C34E54">
        <w:rPr>
          <w:rFonts w:cs="TimesNewRoman,Italic"/>
          <w:iCs/>
          <w:color w:val="000000" w:themeColor="text1"/>
          <w:szCs w:val="22"/>
        </w:rPr>
        <w:instrText xml:space="preserve"> REF _Ref271135628 \h  \* MERGEFORMAT </w:instrText>
      </w:r>
      <w:r w:rsidR="00830213" w:rsidRPr="00C34E54">
        <w:rPr>
          <w:rFonts w:cs="TimesNewRoman,Italic"/>
          <w:iCs/>
          <w:color w:val="000000" w:themeColor="text1"/>
          <w:szCs w:val="22"/>
        </w:rPr>
      </w:r>
      <w:r w:rsidR="00830213" w:rsidRPr="00C34E54">
        <w:rPr>
          <w:rFonts w:cs="TimesNewRoman,Italic"/>
          <w:iCs/>
          <w:color w:val="000000" w:themeColor="text1"/>
          <w:szCs w:val="22"/>
        </w:rPr>
        <w:fldChar w:fldCharType="separate"/>
      </w:r>
      <w:r w:rsidR="00F87DF9" w:rsidRPr="00F87DF9">
        <w:rPr>
          <w:color w:val="000000" w:themeColor="text1"/>
          <w:szCs w:val="22"/>
        </w:rPr>
        <w:t xml:space="preserve">Figure </w:t>
      </w:r>
      <w:r w:rsidR="00F87DF9" w:rsidRPr="00F87DF9">
        <w:rPr>
          <w:noProof/>
          <w:color w:val="000000" w:themeColor="text1"/>
          <w:szCs w:val="22"/>
        </w:rPr>
        <w:t>214</w:t>
      </w:r>
      <w:r w:rsidR="00830213" w:rsidRPr="00C34E54">
        <w:rPr>
          <w:rFonts w:cs="TimesNewRoman,Italic"/>
          <w:iCs/>
          <w:color w:val="000000" w:themeColor="text1"/>
          <w:szCs w:val="22"/>
        </w:rPr>
        <w:fldChar w:fldCharType="end"/>
      </w:r>
      <w:r w:rsidR="00830213" w:rsidRPr="00C34E54">
        <w:rPr>
          <w:rFonts w:cs="TimesNewRoman,Italic"/>
          <w:iCs/>
          <w:color w:val="000000" w:themeColor="text1"/>
          <w:szCs w:val="22"/>
        </w:rPr>
        <w:t xml:space="preserve">). </w:t>
      </w:r>
    </w:p>
    <w:p w14:paraId="44EED2DD" w14:textId="77777777" w:rsidR="003E1D94" w:rsidRPr="003D30A6" w:rsidRDefault="005B1EEC" w:rsidP="00DE2FE4">
      <w:pPr>
        <w:jc w:val="center"/>
        <w:rPr>
          <w:rFonts w:cs="TimesNewRoman,Italic"/>
          <w:iCs/>
          <w:color w:val="000000"/>
          <w:szCs w:val="22"/>
        </w:rPr>
      </w:pPr>
      <w:r>
        <w:rPr>
          <w:rFonts w:cs="TimesNewRoman,Italic"/>
          <w:iCs/>
          <w:noProof/>
          <w:color w:val="000000"/>
          <w:szCs w:val="22"/>
          <w:lang w:eastAsia="en-AU"/>
        </w:rPr>
        <w:drawing>
          <wp:inline distT="0" distB="0" distL="0" distR="0" wp14:anchorId="006DB640" wp14:editId="13866BDE">
            <wp:extent cx="4320000" cy="1940400"/>
            <wp:effectExtent l="0" t="0" r="4445" b="3175"/>
            <wp:docPr id="522" name="Picture 522" descr="Panel of three scatter plots with straight lines and markers showing elemental ratios (atomic) of seagrass leaf tissue C:N, N:P and C:P for the foundation species in inshore estuarine habitats in the Burnett Mar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BM_CNP_Dec16.png"/>
                    <pic:cNvPicPr/>
                  </pic:nvPicPr>
                  <pic:blipFill>
                    <a:blip r:embed="rId155">
                      <a:extLst>
                        <a:ext uri="{28A0092B-C50C-407E-A947-70E740481C1C}">
                          <a14:useLocalDpi xmlns:a14="http://schemas.microsoft.com/office/drawing/2010/main" val="0"/>
                        </a:ext>
                      </a:extLst>
                    </a:blip>
                    <a:stretch>
                      <a:fillRect/>
                    </a:stretch>
                  </pic:blipFill>
                  <pic:spPr>
                    <a:xfrm>
                      <a:off x="0" y="0"/>
                      <a:ext cx="4320000" cy="1940400"/>
                    </a:xfrm>
                    <a:prstGeom prst="rect">
                      <a:avLst/>
                    </a:prstGeom>
                  </pic:spPr>
                </pic:pic>
              </a:graphicData>
            </a:graphic>
          </wp:inline>
        </w:drawing>
      </w:r>
    </w:p>
    <w:p w14:paraId="12DA2DE8" w14:textId="7F1CF049" w:rsidR="00262962" w:rsidRPr="004A52D2" w:rsidRDefault="00830213" w:rsidP="00262962">
      <w:pPr>
        <w:rPr>
          <w:i/>
          <w:vanish/>
          <w:color w:val="000000"/>
          <w:szCs w:val="22"/>
          <w:specVanish/>
        </w:rPr>
      </w:pPr>
      <w:bookmarkStart w:id="627" w:name="_Ref410308585"/>
      <w:bookmarkStart w:id="628" w:name="_Toc431493906"/>
      <w:bookmarkStart w:id="629" w:name="_Toc516053327"/>
      <w:r w:rsidRPr="00830213">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117</w:t>
      </w:r>
      <w:r w:rsidR="00C506C7">
        <w:rPr>
          <w:noProof/>
        </w:rPr>
        <w:fldChar w:fldCharType="end"/>
      </w:r>
      <w:bookmarkEnd w:id="627"/>
      <w:r>
        <w:t xml:space="preserve">. </w:t>
      </w:r>
      <w:bookmarkEnd w:id="628"/>
      <w:r w:rsidR="00262962" w:rsidRPr="004A52D2">
        <w:rPr>
          <w:i/>
          <w:color w:val="000000"/>
          <w:lang w:eastAsia="en-AU"/>
        </w:rPr>
        <w:t xml:space="preserve">Elemental ratios (atomic) of seagrass leaf tissue C:N for </w:t>
      </w:r>
      <w:r w:rsidR="00262962" w:rsidRPr="004A52D2">
        <w:rPr>
          <w:i/>
          <w:color w:val="000000"/>
        </w:rPr>
        <w:t xml:space="preserve">the foundation seagrass species examined at inshore intertidal habitats in the </w:t>
      </w:r>
      <w:r w:rsidR="00262962">
        <w:rPr>
          <w:i/>
          <w:color w:val="000000"/>
        </w:rPr>
        <w:t>Burnett Mary</w:t>
      </w:r>
      <w:r w:rsidR="00262962" w:rsidRPr="004A52D2">
        <w:rPr>
          <w:i/>
          <w:color w:val="000000"/>
        </w:rPr>
        <w:t xml:space="preserve"> region, 2005 - 201</w:t>
      </w:r>
      <w:r w:rsidR="00262962">
        <w:rPr>
          <w:i/>
          <w:color w:val="000000"/>
        </w:rPr>
        <w:t>6</w:t>
      </w:r>
      <w:bookmarkEnd w:id="629"/>
    </w:p>
    <w:p w14:paraId="6CEACE3E" w14:textId="4FE147C8" w:rsidR="00830213" w:rsidRPr="004807AA" w:rsidRDefault="00262962" w:rsidP="00262962">
      <w:pPr>
        <w:rPr>
          <w:rFonts w:cs="TimesNewRoman,Italic"/>
          <w:iCs/>
          <w:szCs w:val="22"/>
        </w:rPr>
      </w:pPr>
      <w:r w:rsidRPr="004A52D2">
        <w:rPr>
          <w:i/>
          <w:color w:val="000000"/>
          <w:lang w:eastAsia="en-AU"/>
        </w:rPr>
        <w:t xml:space="preserve"> (species pooled) </w:t>
      </w:r>
      <w:r w:rsidRPr="004A52D2">
        <w:rPr>
          <w:i/>
          <w:color w:val="000000"/>
        </w:rPr>
        <w:t>(mean</w:t>
      </w:r>
      <w:r w:rsidRPr="004A52D2">
        <w:rPr>
          <w:i/>
          <w:color w:val="000000"/>
          <w:lang w:eastAsia="en-AU"/>
        </w:rPr>
        <w:t xml:space="preserve"> ± </w:t>
      </w:r>
      <w:r w:rsidR="009C7692">
        <w:rPr>
          <w:i/>
          <w:color w:val="000000"/>
          <w:lang w:eastAsia="en-AU"/>
        </w:rPr>
        <w:t>SE</w:t>
      </w:r>
      <w:r w:rsidRPr="004A52D2">
        <w:rPr>
          <w:i/>
          <w:color w:val="000000"/>
        </w:rPr>
        <w:t>)</w:t>
      </w:r>
      <w:r w:rsidRPr="004A52D2">
        <w:rPr>
          <w:i/>
          <w:color w:val="000000"/>
          <w:lang w:eastAsia="en-AU"/>
        </w:rPr>
        <w:t xml:space="preserve">. Horizontal shaded band on the C:N ratio panel represents the accepted </w:t>
      </w:r>
      <w:r w:rsidRPr="004A52D2">
        <w:rPr>
          <w:i/>
          <w:color w:val="000000"/>
        </w:rPr>
        <w:t xml:space="preserve">guideline </w:t>
      </w:r>
      <w:r w:rsidRPr="004A52D2">
        <w:rPr>
          <w:i/>
          <w:color w:val="000000"/>
          <w:lang w:eastAsia="en-AU"/>
        </w:rPr>
        <w:t xml:space="preserve">seagrass “Redfield” ratio </w:t>
      </w:r>
      <w:r w:rsidRPr="004A52D2">
        <w:rPr>
          <w:i/>
          <w:color w:val="000000"/>
        </w:rPr>
        <w:t>of 20:1 (</w:t>
      </w:r>
      <w:r>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 </w:instrText>
      </w:r>
      <w:r w:rsidR="00521D93">
        <w:rPr>
          <w:i/>
          <w:color w:val="000000"/>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rPr>
          <w:i/>
          <w:color w:val="000000"/>
        </w:rPr>
        <w:instrText xml:space="preserve"> ADDIN EN.CITE.DATA </w:instrText>
      </w:r>
      <w:r w:rsidR="00521D93">
        <w:rPr>
          <w:i/>
          <w:color w:val="000000"/>
        </w:rPr>
      </w:r>
      <w:r w:rsidR="00521D93">
        <w:rPr>
          <w:i/>
          <w:color w:val="000000"/>
        </w:rPr>
        <w:fldChar w:fldCharType="end"/>
      </w:r>
      <w:r>
        <w:rPr>
          <w:i/>
          <w:color w:val="000000"/>
        </w:rPr>
      </w:r>
      <w:r>
        <w:rPr>
          <w:i/>
          <w:color w:val="000000"/>
        </w:rPr>
        <w:fldChar w:fldCharType="separate"/>
      </w:r>
      <w:hyperlink w:anchor="_ENREF_2" w:tooltip="Abal, 1994 #7405" w:history="1">
        <w:r w:rsidR="00305FE7">
          <w:rPr>
            <w:i/>
            <w:noProof/>
            <w:color w:val="000000"/>
          </w:rPr>
          <w:t>Abal et al. 1994</w:t>
        </w:r>
      </w:hyperlink>
      <w:r w:rsidR="00521D93">
        <w:rPr>
          <w:i/>
          <w:noProof/>
          <w:color w:val="000000"/>
        </w:rPr>
        <w:t xml:space="preserve">; </w:t>
      </w:r>
      <w:hyperlink w:anchor="_ENREF_107" w:tooltip="Grice, 1996 #1346" w:history="1">
        <w:r w:rsidR="00305FE7">
          <w:rPr>
            <w:i/>
            <w:noProof/>
            <w:color w:val="000000"/>
          </w:rPr>
          <w:t>Grice et al. 1996</w:t>
        </w:r>
      </w:hyperlink>
      <w:r>
        <w:rPr>
          <w:i/>
          <w:color w:val="000000"/>
        </w:rPr>
        <w:fldChar w:fldCharType="end"/>
      </w:r>
      <w:r w:rsidRPr="004A52D2">
        <w:rPr>
          <w:i/>
          <w:color w:val="000000"/>
        </w:rPr>
        <w:t>)</w:t>
      </w:r>
      <w:r w:rsidRPr="004A52D2">
        <w:rPr>
          <w:i/>
          <w:color w:val="000000"/>
          <w:lang w:eastAsia="en-AU"/>
        </w:rPr>
        <w:t xml:space="preserve">. C:N ratios below this line may </w:t>
      </w:r>
      <w:r w:rsidRPr="004A52D2">
        <w:rPr>
          <w:i/>
          <w:color w:val="000000"/>
        </w:rPr>
        <w:t>indicate reduced light availability and/or N enrichment.</w:t>
      </w:r>
    </w:p>
    <w:p w14:paraId="4EA1747E" w14:textId="77777777" w:rsidR="00BC4EC5" w:rsidRDefault="00BC4EC5" w:rsidP="00B55FCB">
      <w:pPr>
        <w:spacing w:before="0" w:after="0"/>
        <w:rPr>
          <w:szCs w:val="22"/>
        </w:rPr>
      </w:pPr>
    </w:p>
    <w:p w14:paraId="6F4FDD74" w14:textId="33234808" w:rsidR="00DE2FE4" w:rsidRDefault="00DE2FE4" w:rsidP="00DE2FE4">
      <w:pPr>
        <w:spacing w:before="0" w:after="0"/>
        <w:jc w:val="center"/>
        <w:rPr>
          <w:szCs w:val="22"/>
        </w:rPr>
      </w:pPr>
      <w:r>
        <w:rPr>
          <w:noProof/>
          <w:szCs w:val="22"/>
          <w:lang w:eastAsia="en-AU"/>
        </w:rPr>
        <w:drawing>
          <wp:inline distT="0" distB="0" distL="0" distR="0" wp14:anchorId="6B8F2E13" wp14:editId="39B19755">
            <wp:extent cx="4320000" cy="3686400"/>
            <wp:effectExtent l="0" t="0" r="4445" b="9525"/>
            <wp:docPr id="14" name="Picture 14" descr="Scatter plots with straight lines and markers showing change in atomic elemental ratios of seagrass leaf tissue nitrogen and phosphorus for the foundation seagrass species examined at inshore intertidal habitats in the Burnett Mary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M_CNP_yr_Dec17.png"/>
                    <pic:cNvPicPr/>
                  </pic:nvPicPr>
                  <pic:blipFill>
                    <a:blip r:embed="rId156">
                      <a:extLst>
                        <a:ext uri="{28A0092B-C50C-407E-A947-70E740481C1C}">
                          <a14:useLocalDpi xmlns:a14="http://schemas.microsoft.com/office/drawing/2010/main" val="0"/>
                        </a:ext>
                      </a:extLst>
                    </a:blip>
                    <a:stretch>
                      <a:fillRect/>
                    </a:stretch>
                  </pic:blipFill>
                  <pic:spPr>
                    <a:xfrm>
                      <a:off x="0" y="0"/>
                      <a:ext cx="4320000" cy="3686400"/>
                    </a:xfrm>
                    <a:prstGeom prst="rect">
                      <a:avLst/>
                    </a:prstGeom>
                  </pic:spPr>
                </pic:pic>
              </a:graphicData>
            </a:graphic>
          </wp:inline>
        </w:drawing>
      </w:r>
    </w:p>
    <w:p w14:paraId="5AAE5BE2" w14:textId="18A6F1BD" w:rsidR="00262962" w:rsidRPr="00372A66" w:rsidRDefault="00262962" w:rsidP="00262962">
      <w:pPr>
        <w:rPr>
          <w:i/>
          <w:iCs/>
          <w:vanish/>
          <w:color w:val="000000"/>
          <w:szCs w:val="22"/>
          <w:lang w:eastAsia="en-AU"/>
          <w:specVanish/>
        </w:rPr>
      </w:pPr>
      <w:bookmarkStart w:id="630" w:name="_Toc51605332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118</w:t>
      </w:r>
      <w:r w:rsidR="00C506C7">
        <w:rPr>
          <w:noProof/>
        </w:rPr>
        <w:fldChar w:fldCharType="end"/>
      </w:r>
      <w: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species </w:t>
      </w:r>
      <w:r w:rsidRPr="00372A66">
        <w:rPr>
          <w:i/>
          <w:color w:val="000000"/>
        </w:rPr>
        <w:t xml:space="preserve">examined at inshore intertidal habitats in the </w:t>
      </w:r>
      <w:r>
        <w:rPr>
          <w:i/>
          <w:color w:val="000000"/>
        </w:rPr>
        <w:t>Burnett Mary</w:t>
      </w:r>
      <w:r w:rsidRPr="00372A66">
        <w:rPr>
          <w:i/>
          <w:color w:val="000000"/>
        </w:rPr>
        <w:t xml:space="preserve"> region, 2005 - 201</w:t>
      </w:r>
      <w:r>
        <w:rPr>
          <w:i/>
          <w:color w:val="000000"/>
        </w:rPr>
        <w:t>6</w:t>
      </w:r>
      <w:bookmarkEnd w:id="630"/>
    </w:p>
    <w:p w14:paraId="0E35A18E" w14:textId="542E026E" w:rsidR="00DE2FE4" w:rsidRDefault="00262962" w:rsidP="00262962">
      <w:pPr>
        <w:pStyle w:val="Caption"/>
        <w:rPr>
          <w:szCs w:val="22"/>
        </w:rPr>
      </w:pPr>
      <w:r w:rsidRPr="00372A66">
        <w:rPr>
          <w:i/>
          <w:iCs/>
          <w:color w:val="000000"/>
          <w:szCs w:val="22"/>
          <w:lang w:eastAsia="en-AU"/>
        </w:rPr>
        <w:t xml:space="preserve"> (species pooled) (</w:t>
      </w:r>
      <w:r w:rsidRPr="00372A66">
        <w:rPr>
          <w:i/>
          <w:iCs/>
          <w:color w:val="000000"/>
          <w:szCs w:val="22"/>
        </w:rPr>
        <w:t>mean</w:t>
      </w:r>
      <w:r w:rsidRPr="00372A66">
        <w:rPr>
          <w:i/>
          <w:iCs/>
          <w:color w:val="000000"/>
          <w:szCs w:val="22"/>
          <w:lang w:eastAsia="en-AU"/>
        </w:rPr>
        <w:t xml:space="preserve"> ± </w:t>
      </w:r>
      <w:r w:rsidR="009C7692">
        <w:rPr>
          <w:i/>
          <w:iCs/>
          <w:color w:val="000000"/>
          <w:szCs w:val="22"/>
          <w:lang w:eastAsia="en-AU"/>
        </w:rPr>
        <w:t>SE</w:t>
      </w:r>
      <w:r w:rsidRPr="00372A66">
        <w:rPr>
          <w:i/>
          <w:iCs/>
          <w:color w:val="000000"/>
          <w:szCs w:val="22"/>
          <w:lang w:eastAsia="en-AU"/>
        </w:rPr>
        <w:t>).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p>
    <w:p w14:paraId="2A32379A" w14:textId="77777777" w:rsidR="00DE2FE4" w:rsidRDefault="00DE2FE4" w:rsidP="00262962">
      <w:pPr>
        <w:spacing w:before="0" w:after="0"/>
        <w:rPr>
          <w:szCs w:val="22"/>
        </w:rPr>
      </w:pPr>
    </w:p>
    <w:p w14:paraId="5106B6E0" w14:textId="77777777" w:rsidR="00262962" w:rsidRPr="004807AA" w:rsidRDefault="00262962" w:rsidP="00262962">
      <w:pPr>
        <w:pStyle w:val="Heading4"/>
        <w:numPr>
          <w:ilvl w:val="0"/>
          <w:numId w:val="0"/>
        </w:numPr>
        <w:rPr>
          <w:rFonts w:ascii="Arial" w:hAnsi="Arial" w:cs="Arial"/>
          <w:sz w:val="24"/>
          <w:szCs w:val="24"/>
        </w:rPr>
      </w:pPr>
      <w:r w:rsidRPr="004807AA">
        <w:rPr>
          <w:rFonts w:ascii="Arial" w:hAnsi="Arial" w:cs="Arial"/>
          <w:sz w:val="24"/>
          <w:szCs w:val="24"/>
        </w:rPr>
        <w:t>Seagrass meadow sediments</w:t>
      </w:r>
    </w:p>
    <w:p w14:paraId="09A29E46" w14:textId="2E403D32" w:rsidR="00262962" w:rsidRPr="00720628" w:rsidRDefault="00262962" w:rsidP="00DD3BAE">
      <w:pPr>
        <w:spacing w:before="0" w:after="0"/>
        <w:rPr>
          <w:szCs w:val="22"/>
        </w:rPr>
      </w:pPr>
      <w:r w:rsidRPr="00720628">
        <w:rPr>
          <w:szCs w:val="22"/>
        </w:rPr>
        <w:t xml:space="preserve">Sediments in the estuary seagrass habitats of the Burnett Mary region are dominated by mud, and in </w:t>
      </w:r>
      <w:r w:rsidR="008574EC">
        <w:rPr>
          <w:szCs w:val="22"/>
        </w:rPr>
        <w:t>2016–17</w:t>
      </w:r>
      <w:r w:rsidRPr="00720628">
        <w:rPr>
          <w:szCs w:val="22"/>
        </w:rPr>
        <w:t>, this has remained relatively stable, albeit with seasonal variability (</w:t>
      </w:r>
      <w:r>
        <w:rPr>
          <w:szCs w:val="22"/>
        </w:rPr>
        <w:fldChar w:fldCharType="begin"/>
      </w:r>
      <w:r>
        <w:rPr>
          <w:szCs w:val="22"/>
        </w:rPr>
        <w:instrText xml:space="preserve"> REF _Ref461779411 \h </w:instrText>
      </w:r>
      <w:r>
        <w:rPr>
          <w:szCs w:val="22"/>
        </w:rPr>
      </w:r>
      <w:r>
        <w:rPr>
          <w:szCs w:val="22"/>
        </w:rPr>
        <w:fldChar w:fldCharType="separate"/>
      </w:r>
      <w:r w:rsidR="00F87DF9">
        <w:t xml:space="preserve">Figure </w:t>
      </w:r>
      <w:r w:rsidR="00F87DF9">
        <w:rPr>
          <w:noProof/>
        </w:rPr>
        <w:t>182</w:t>
      </w:r>
      <w:r>
        <w:rPr>
          <w:szCs w:val="22"/>
        </w:rPr>
        <w:fldChar w:fldCharType="end"/>
      </w:r>
      <w:r w:rsidRPr="00720628">
        <w:rPr>
          <w:szCs w:val="22"/>
        </w:rPr>
        <w:t xml:space="preserve">). Coastal meadows in </w:t>
      </w:r>
      <w:r w:rsidR="008574EC">
        <w:rPr>
          <w:szCs w:val="22"/>
        </w:rPr>
        <w:t>2016–17</w:t>
      </w:r>
      <w:r w:rsidRPr="00720628">
        <w:rPr>
          <w:szCs w:val="22"/>
        </w:rPr>
        <w:t xml:space="preserve"> continued to be dominated by fine sand with little change from the previous year</w:t>
      </w:r>
      <w:r>
        <w:rPr>
          <w:szCs w:val="22"/>
        </w:rPr>
        <w:t xml:space="preserve"> (</w:t>
      </w:r>
      <w:r>
        <w:rPr>
          <w:szCs w:val="22"/>
        </w:rPr>
        <w:fldChar w:fldCharType="begin"/>
      </w:r>
      <w:r>
        <w:rPr>
          <w:szCs w:val="22"/>
        </w:rPr>
        <w:instrText xml:space="preserve"> REF _Ref511132115 \h </w:instrText>
      </w:r>
      <w:r>
        <w:rPr>
          <w:szCs w:val="22"/>
        </w:rPr>
      </w:r>
      <w:r>
        <w:rPr>
          <w:szCs w:val="22"/>
        </w:rPr>
        <w:fldChar w:fldCharType="separate"/>
      </w:r>
      <w:r w:rsidR="00F87DF9">
        <w:t xml:space="preserve">Figure </w:t>
      </w:r>
      <w:r w:rsidR="00F87DF9">
        <w:rPr>
          <w:noProof/>
        </w:rPr>
        <w:t>183</w:t>
      </w:r>
      <w:r>
        <w:rPr>
          <w:szCs w:val="22"/>
        </w:rPr>
        <w:fldChar w:fldCharType="end"/>
      </w:r>
      <w:r>
        <w:rPr>
          <w:szCs w:val="22"/>
        </w:rPr>
        <w:t>)</w:t>
      </w:r>
      <w:r w:rsidRPr="00720628">
        <w:rPr>
          <w:szCs w:val="22"/>
        </w:rPr>
        <w:t>.</w:t>
      </w:r>
    </w:p>
    <w:p w14:paraId="5F1B73E9" w14:textId="77777777" w:rsidR="00262962" w:rsidRPr="00262962" w:rsidRDefault="00262962" w:rsidP="00DD3BAE">
      <w:pPr>
        <w:rPr>
          <w:color w:val="000000" w:themeColor="text1"/>
          <w:szCs w:val="22"/>
          <w:lang w:val="en-US"/>
        </w:rPr>
      </w:pPr>
    </w:p>
    <w:p w14:paraId="5E939A04" w14:textId="77777777" w:rsidR="005132EF" w:rsidRPr="001D05D4" w:rsidRDefault="005132EF" w:rsidP="001D05D4">
      <w:pPr>
        <w:pStyle w:val="Heading4"/>
        <w:numPr>
          <w:ilvl w:val="0"/>
          <w:numId w:val="0"/>
        </w:numPr>
        <w:rPr>
          <w:rFonts w:ascii="Arial" w:hAnsi="Arial" w:cs="Arial"/>
          <w:sz w:val="24"/>
          <w:szCs w:val="24"/>
        </w:rPr>
      </w:pPr>
      <w:bookmarkStart w:id="631" w:name="_Toc232845938"/>
      <w:bookmarkStart w:id="632" w:name="_Toc184102045"/>
      <w:r w:rsidRPr="001D05D4">
        <w:rPr>
          <w:rFonts w:ascii="Arial" w:hAnsi="Arial" w:cs="Arial"/>
          <w:sz w:val="24"/>
          <w:szCs w:val="24"/>
        </w:rPr>
        <w:t>Epiphytes and macroalgae</w:t>
      </w:r>
      <w:bookmarkEnd w:id="631"/>
      <w:bookmarkEnd w:id="632"/>
    </w:p>
    <w:p w14:paraId="5F88734D" w14:textId="03B1D7FF" w:rsidR="00D473A4" w:rsidRPr="00601547" w:rsidRDefault="00D473A4" w:rsidP="00DD3BAE">
      <w:pPr>
        <w:rPr>
          <w:color w:val="000000" w:themeColor="text1"/>
          <w:szCs w:val="22"/>
          <w:lang w:val="en-US"/>
        </w:rPr>
      </w:pPr>
      <w:r w:rsidRPr="00601547">
        <w:rPr>
          <w:color w:val="000000" w:themeColor="text1"/>
          <w:szCs w:val="22"/>
          <w:lang w:val="en-US"/>
        </w:rPr>
        <w:t xml:space="preserve">Epiphyte cover on seagrass leaf blades was </w:t>
      </w:r>
      <w:r w:rsidR="00601547" w:rsidRPr="00601547">
        <w:rPr>
          <w:color w:val="000000" w:themeColor="text1"/>
          <w:szCs w:val="22"/>
          <w:lang w:val="en-US"/>
        </w:rPr>
        <w:t xml:space="preserve">similar </w:t>
      </w:r>
      <w:r w:rsidR="003E080E" w:rsidRPr="00601547">
        <w:rPr>
          <w:color w:val="000000" w:themeColor="text1"/>
          <w:szCs w:val="22"/>
          <w:lang w:val="en-US"/>
        </w:rPr>
        <w:t>in</w:t>
      </w:r>
      <w:r w:rsidR="004807AA" w:rsidRPr="00601547">
        <w:rPr>
          <w:color w:val="000000" w:themeColor="text1"/>
          <w:szCs w:val="22"/>
          <w:lang w:val="en-US"/>
        </w:rPr>
        <w:t xml:space="preserve"> the wet </w:t>
      </w:r>
      <w:r w:rsidR="00601547" w:rsidRPr="00601547">
        <w:rPr>
          <w:color w:val="000000" w:themeColor="text1"/>
          <w:szCs w:val="22"/>
          <w:lang w:val="en-US"/>
        </w:rPr>
        <w:t>and dry seasons, lower on average than the past 2 years, and was similar to</w:t>
      </w:r>
      <w:r w:rsidR="009C223B" w:rsidRPr="00601547">
        <w:rPr>
          <w:color w:val="000000" w:themeColor="text1"/>
          <w:szCs w:val="22"/>
          <w:lang w:val="en-US"/>
        </w:rPr>
        <w:t xml:space="preserve"> the </w:t>
      </w:r>
      <w:r w:rsidR="007F6948">
        <w:rPr>
          <w:color w:val="000000" w:themeColor="text1"/>
          <w:szCs w:val="22"/>
          <w:lang w:val="en-US"/>
        </w:rPr>
        <w:t>Great Barrier Reef</w:t>
      </w:r>
      <w:r w:rsidRPr="00601547">
        <w:rPr>
          <w:color w:val="000000" w:themeColor="text1"/>
          <w:szCs w:val="22"/>
          <w:lang w:val="en-US"/>
        </w:rPr>
        <w:t xml:space="preserve"> long-term average in </w:t>
      </w:r>
      <w:r w:rsidR="008574EC">
        <w:rPr>
          <w:color w:val="000000" w:themeColor="text1"/>
          <w:szCs w:val="22"/>
          <w:lang w:val="en-US"/>
        </w:rPr>
        <w:t>2016–17</w:t>
      </w:r>
      <w:r w:rsidRPr="00601547">
        <w:rPr>
          <w:color w:val="000000" w:themeColor="text1"/>
          <w:szCs w:val="22"/>
          <w:lang w:val="en-US"/>
        </w:rPr>
        <w:t xml:space="preserve"> (</w:t>
      </w:r>
      <w:r w:rsidR="00272AAD" w:rsidRPr="00601547">
        <w:rPr>
          <w:color w:val="000000" w:themeColor="text1"/>
          <w:szCs w:val="22"/>
          <w:lang w:val="en-US"/>
        </w:rPr>
        <w:fldChar w:fldCharType="begin"/>
      </w:r>
      <w:r w:rsidR="00272AAD" w:rsidRPr="00601547">
        <w:rPr>
          <w:color w:val="000000" w:themeColor="text1"/>
          <w:szCs w:val="22"/>
          <w:lang w:val="en-US"/>
        </w:rPr>
        <w:instrText xml:space="preserve"> REF _Ref211937738 \h </w:instrText>
      </w:r>
      <w:r w:rsidR="00015190" w:rsidRPr="00601547">
        <w:rPr>
          <w:color w:val="000000" w:themeColor="text1"/>
          <w:szCs w:val="22"/>
          <w:lang w:val="en-US"/>
        </w:rPr>
        <w:instrText xml:space="preserve"> \* MERGEFORMAT </w:instrText>
      </w:r>
      <w:r w:rsidR="00272AAD" w:rsidRPr="00601547">
        <w:rPr>
          <w:color w:val="000000" w:themeColor="text1"/>
          <w:szCs w:val="22"/>
          <w:lang w:val="en-US"/>
        </w:rPr>
      </w:r>
      <w:r w:rsidR="00272AAD" w:rsidRPr="00601547">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119</w:t>
      </w:r>
      <w:r w:rsidR="00272AAD" w:rsidRPr="00601547">
        <w:rPr>
          <w:color w:val="000000" w:themeColor="text1"/>
          <w:szCs w:val="22"/>
          <w:lang w:val="en-US"/>
        </w:rPr>
        <w:fldChar w:fldCharType="end"/>
      </w:r>
      <w:r w:rsidR="00272AAD" w:rsidRPr="00601547">
        <w:rPr>
          <w:color w:val="000000" w:themeColor="text1"/>
          <w:szCs w:val="22"/>
          <w:lang w:val="en-US"/>
        </w:rPr>
        <w:t xml:space="preserve">; Appendix </w:t>
      </w:r>
      <w:r w:rsidR="00B47F5A" w:rsidRPr="00601547">
        <w:rPr>
          <w:color w:val="000000" w:themeColor="text1"/>
          <w:szCs w:val="22"/>
          <w:lang w:val="en-US"/>
        </w:rPr>
        <w:t>4</w:t>
      </w:r>
      <w:r w:rsidR="00272AAD" w:rsidRPr="00601547">
        <w:rPr>
          <w:color w:val="000000" w:themeColor="text1"/>
          <w:szCs w:val="22"/>
          <w:lang w:val="en-US"/>
        </w:rPr>
        <w:t xml:space="preserve">, </w:t>
      </w:r>
      <w:r w:rsidR="00272AAD" w:rsidRPr="00601547">
        <w:rPr>
          <w:color w:val="000000" w:themeColor="text1"/>
          <w:szCs w:val="22"/>
          <w:lang w:val="en-US"/>
        </w:rPr>
        <w:fldChar w:fldCharType="begin"/>
      </w:r>
      <w:r w:rsidR="00272AAD" w:rsidRPr="00601547">
        <w:rPr>
          <w:color w:val="000000" w:themeColor="text1"/>
          <w:szCs w:val="22"/>
          <w:lang w:val="en-US"/>
        </w:rPr>
        <w:instrText xml:space="preserve"> REF _Ref382211537 \h </w:instrText>
      </w:r>
      <w:r w:rsidR="00015190" w:rsidRPr="00601547">
        <w:rPr>
          <w:color w:val="000000" w:themeColor="text1"/>
          <w:szCs w:val="22"/>
          <w:lang w:val="en-US"/>
        </w:rPr>
        <w:instrText xml:space="preserve"> \* MERGEFORMAT </w:instrText>
      </w:r>
      <w:r w:rsidR="00272AAD" w:rsidRPr="00601547">
        <w:rPr>
          <w:color w:val="000000" w:themeColor="text1"/>
          <w:szCs w:val="22"/>
          <w:lang w:val="en-US"/>
        </w:rPr>
      </w:r>
      <w:r w:rsidR="00272AAD" w:rsidRPr="00601547">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198</w:t>
      </w:r>
      <w:r w:rsidR="00272AAD" w:rsidRPr="00601547">
        <w:rPr>
          <w:color w:val="000000" w:themeColor="text1"/>
          <w:szCs w:val="22"/>
          <w:lang w:val="en-US"/>
        </w:rPr>
        <w:fldChar w:fldCharType="end"/>
      </w:r>
      <w:r w:rsidRPr="00601547">
        <w:rPr>
          <w:color w:val="000000" w:themeColor="text1"/>
          <w:szCs w:val="22"/>
          <w:lang w:val="en-US"/>
        </w:rPr>
        <w:t xml:space="preserve">). </w:t>
      </w:r>
      <w:r w:rsidR="004807AA" w:rsidRPr="00601547">
        <w:rPr>
          <w:color w:val="000000" w:themeColor="text1"/>
          <w:szCs w:val="22"/>
          <w:lang w:val="en-US"/>
        </w:rPr>
        <w:t>P</w:t>
      </w:r>
      <w:r w:rsidRPr="00601547">
        <w:rPr>
          <w:color w:val="000000" w:themeColor="text1"/>
          <w:szCs w:val="22"/>
          <w:lang w:val="en-US"/>
        </w:rPr>
        <w:t xml:space="preserve">ercentage cover of macroalgae </w:t>
      </w:r>
      <w:r w:rsidR="003D30A6" w:rsidRPr="00601547">
        <w:rPr>
          <w:color w:val="000000" w:themeColor="text1"/>
          <w:szCs w:val="22"/>
          <w:lang w:val="en-US"/>
        </w:rPr>
        <w:t xml:space="preserve">was </w:t>
      </w:r>
      <w:r w:rsidR="00601547" w:rsidRPr="00601547">
        <w:rPr>
          <w:color w:val="000000" w:themeColor="text1"/>
          <w:szCs w:val="22"/>
          <w:lang w:val="en-US"/>
        </w:rPr>
        <w:t xml:space="preserve">similar to the </w:t>
      </w:r>
      <w:r w:rsidR="007F6948">
        <w:rPr>
          <w:color w:val="000000" w:themeColor="text1"/>
          <w:szCs w:val="22"/>
          <w:lang w:val="en-US"/>
        </w:rPr>
        <w:t>Great Barrier Reef</w:t>
      </w:r>
      <w:r w:rsidR="00601547" w:rsidRPr="00601547">
        <w:rPr>
          <w:color w:val="000000" w:themeColor="text1"/>
          <w:szCs w:val="22"/>
          <w:lang w:val="en-US"/>
        </w:rPr>
        <w:t xml:space="preserve"> average in</w:t>
      </w:r>
      <w:r w:rsidR="00E83AD4" w:rsidRPr="00601547">
        <w:rPr>
          <w:color w:val="000000" w:themeColor="text1"/>
          <w:szCs w:val="22"/>
          <w:lang w:val="en-US"/>
        </w:rPr>
        <w:t xml:space="preserve"> </w:t>
      </w:r>
      <w:r w:rsidR="008574EC">
        <w:rPr>
          <w:color w:val="000000" w:themeColor="text1"/>
          <w:szCs w:val="22"/>
          <w:lang w:val="en-US"/>
        </w:rPr>
        <w:t>2016–17</w:t>
      </w:r>
      <w:r w:rsidR="003D30A6" w:rsidRPr="00601547">
        <w:rPr>
          <w:color w:val="000000" w:themeColor="text1"/>
          <w:szCs w:val="22"/>
          <w:lang w:val="en-US"/>
        </w:rPr>
        <w:t xml:space="preserve"> </w:t>
      </w:r>
      <w:r w:rsidR="00272AAD" w:rsidRPr="00601547">
        <w:rPr>
          <w:color w:val="000000" w:themeColor="text1"/>
          <w:szCs w:val="22"/>
          <w:lang w:val="en-US"/>
        </w:rPr>
        <w:t>(</w:t>
      </w:r>
      <w:r w:rsidR="00272AAD" w:rsidRPr="00601547">
        <w:rPr>
          <w:color w:val="000000" w:themeColor="text1"/>
          <w:szCs w:val="22"/>
          <w:lang w:val="en-US"/>
        </w:rPr>
        <w:fldChar w:fldCharType="begin"/>
      </w:r>
      <w:r w:rsidR="00272AAD" w:rsidRPr="00601547">
        <w:rPr>
          <w:color w:val="000000" w:themeColor="text1"/>
          <w:szCs w:val="22"/>
          <w:lang w:val="en-US"/>
        </w:rPr>
        <w:instrText xml:space="preserve"> REF _Ref211937738 \h </w:instrText>
      </w:r>
      <w:r w:rsidR="00015190" w:rsidRPr="00601547">
        <w:rPr>
          <w:color w:val="000000" w:themeColor="text1"/>
          <w:szCs w:val="22"/>
          <w:lang w:val="en-US"/>
        </w:rPr>
        <w:instrText xml:space="preserve"> \* MERGEFORMAT </w:instrText>
      </w:r>
      <w:r w:rsidR="00272AAD" w:rsidRPr="00601547">
        <w:rPr>
          <w:color w:val="000000" w:themeColor="text1"/>
          <w:szCs w:val="22"/>
          <w:lang w:val="en-US"/>
        </w:rPr>
      </w:r>
      <w:r w:rsidR="00272AAD" w:rsidRPr="00601547">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119</w:t>
      </w:r>
      <w:r w:rsidR="00272AAD" w:rsidRPr="00601547">
        <w:rPr>
          <w:color w:val="000000" w:themeColor="text1"/>
          <w:szCs w:val="22"/>
          <w:lang w:val="en-US"/>
        </w:rPr>
        <w:fldChar w:fldCharType="end"/>
      </w:r>
      <w:r w:rsidR="00272AAD" w:rsidRPr="00601547">
        <w:rPr>
          <w:color w:val="000000" w:themeColor="text1"/>
          <w:szCs w:val="22"/>
          <w:lang w:val="en-US"/>
        </w:rPr>
        <w:t xml:space="preserve">; Appendix </w:t>
      </w:r>
      <w:r w:rsidR="00B47F5A" w:rsidRPr="00601547">
        <w:rPr>
          <w:color w:val="000000" w:themeColor="text1"/>
          <w:szCs w:val="22"/>
          <w:lang w:val="en-US"/>
        </w:rPr>
        <w:t>4</w:t>
      </w:r>
      <w:r w:rsidR="00272AAD" w:rsidRPr="00601547">
        <w:rPr>
          <w:color w:val="000000" w:themeColor="text1"/>
          <w:szCs w:val="22"/>
          <w:lang w:val="en-US"/>
        </w:rPr>
        <w:t xml:space="preserve">, </w:t>
      </w:r>
      <w:r w:rsidR="00272AAD" w:rsidRPr="00601547">
        <w:rPr>
          <w:color w:val="000000" w:themeColor="text1"/>
          <w:szCs w:val="22"/>
          <w:lang w:val="en-US"/>
        </w:rPr>
        <w:fldChar w:fldCharType="begin"/>
      </w:r>
      <w:r w:rsidR="00272AAD" w:rsidRPr="00601547">
        <w:rPr>
          <w:color w:val="000000" w:themeColor="text1"/>
          <w:szCs w:val="22"/>
          <w:lang w:val="en-US"/>
        </w:rPr>
        <w:instrText xml:space="preserve"> REF _Ref382211537 \h </w:instrText>
      </w:r>
      <w:r w:rsidR="00015190" w:rsidRPr="00601547">
        <w:rPr>
          <w:color w:val="000000" w:themeColor="text1"/>
          <w:szCs w:val="22"/>
          <w:lang w:val="en-US"/>
        </w:rPr>
        <w:instrText xml:space="preserve"> \* MERGEFORMAT </w:instrText>
      </w:r>
      <w:r w:rsidR="00272AAD" w:rsidRPr="00601547">
        <w:rPr>
          <w:color w:val="000000" w:themeColor="text1"/>
          <w:szCs w:val="22"/>
          <w:lang w:val="en-US"/>
        </w:rPr>
      </w:r>
      <w:r w:rsidR="00272AAD" w:rsidRPr="00601547">
        <w:rPr>
          <w:color w:val="000000" w:themeColor="text1"/>
          <w:szCs w:val="22"/>
          <w:lang w:val="en-US"/>
        </w:rPr>
        <w:fldChar w:fldCharType="separate"/>
      </w:r>
      <w:r w:rsidR="00F87DF9" w:rsidRPr="00F87DF9">
        <w:rPr>
          <w:color w:val="000000" w:themeColor="text1"/>
          <w:szCs w:val="22"/>
        </w:rPr>
        <w:t xml:space="preserve">Figure </w:t>
      </w:r>
      <w:r w:rsidR="00F87DF9" w:rsidRPr="00F87DF9">
        <w:rPr>
          <w:noProof/>
          <w:color w:val="000000" w:themeColor="text1"/>
          <w:szCs w:val="22"/>
        </w:rPr>
        <w:t>198</w:t>
      </w:r>
      <w:r w:rsidR="00272AAD" w:rsidRPr="00601547">
        <w:rPr>
          <w:color w:val="000000" w:themeColor="text1"/>
          <w:szCs w:val="22"/>
          <w:lang w:val="en-US"/>
        </w:rPr>
        <w:fldChar w:fldCharType="end"/>
      </w:r>
      <w:r w:rsidR="00272AAD" w:rsidRPr="00601547">
        <w:rPr>
          <w:color w:val="000000" w:themeColor="text1"/>
          <w:szCs w:val="22"/>
          <w:lang w:val="en-US"/>
        </w:rPr>
        <w:t>)</w:t>
      </w:r>
      <w:r w:rsidRPr="00601547">
        <w:rPr>
          <w:color w:val="000000" w:themeColor="text1"/>
          <w:szCs w:val="22"/>
          <w:lang w:val="en-US"/>
        </w:rPr>
        <w:t>.</w:t>
      </w:r>
    </w:p>
    <w:p w14:paraId="2218CD51" w14:textId="77777777" w:rsidR="003E1D94" w:rsidRPr="008208B2" w:rsidRDefault="005B1EEC" w:rsidP="00DD3BAE">
      <w:pPr>
        <w:keepNext/>
        <w:widowControl w:val="0"/>
        <w:spacing w:after="0"/>
        <w:jc w:val="center"/>
        <w:rPr>
          <w:szCs w:val="22"/>
          <w:lang w:val="en-US"/>
        </w:rPr>
      </w:pPr>
      <w:r>
        <w:rPr>
          <w:noProof/>
          <w:szCs w:val="22"/>
          <w:lang w:eastAsia="en-AU"/>
        </w:rPr>
        <w:drawing>
          <wp:inline distT="0" distB="0" distL="0" distR="0" wp14:anchorId="616351DF" wp14:editId="383A01E2">
            <wp:extent cx="5759450" cy="1182357"/>
            <wp:effectExtent l="0" t="0" r="0" b="0"/>
            <wp:docPr id="525" name="Picture 525" descr="Panel of two scatter plots with straight lines and markers showing long-term trend in mean epiphyte and macroalgae abundance (% cover) at inshore estuarine habitats in the Burnett Mary NRM region, relative to the GBR long-term ave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BM_epi_algae_change_2016.png"/>
                    <pic:cNvPicPr/>
                  </pic:nvPicPr>
                  <pic:blipFill>
                    <a:blip r:embed="rId157">
                      <a:extLst>
                        <a:ext uri="{28A0092B-C50C-407E-A947-70E740481C1C}">
                          <a14:useLocalDpi xmlns:a14="http://schemas.microsoft.com/office/drawing/2010/main" val="0"/>
                        </a:ext>
                      </a:extLst>
                    </a:blip>
                    <a:stretch>
                      <a:fillRect/>
                    </a:stretch>
                  </pic:blipFill>
                  <pic:spPr>
                    <a:xfrm>
                      <a:off x="0" y="0"/>
                      <a:ext cx="5759450" cy="1182357"/>
                    </a:xfrm>
                    <a:prstGeom prst="rect">
                      <a:avLst/>
                    </a:prstGeom>
                  </pic:spPr>
                </pic:pic>
              </a:graphicData>
            </a:graphic>
          </wp:inline>
        </w:drawing>
      </w:r>
    </w:p>
    <w:p w14:paraId="2C8963FC" w14:textId="7DCD97CA" w:rsidR="00A0429A" w:rsidRPr="008208B2" w:rsidRDefault="005132EF" w:rsidP="00DD3BAE">
      <w:pPr>
        <w:rPr>
          <w:i/>
          <w:vanish/>
          <w:szCs w:val="22"/>
          <w:specVanish/>
        </w:rPr>
      </w:pPr>
      <w:bookmarkStart w:id="633" w:name="_Ref211937738"/>
      <w:bookmarkStart w:id="634" w:name="_Toc232846030"/>
      <w:bookmarkStart w:id="635" w:name="_Toc431493907"/>
      <w:bookmarkStart w:id="636" w:name="_Toc516053329"/>
      <w:r w:rsidRPr="008208B2">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119</w:t>
      </w:r>
      <w:r w:rsidR="00C506C7">
        <w:rPr>
          <w:noProof/>
        </w:rPr>
        <w:fldChar w:fldCharType="end"/>
      </w:r>
      <w:bookmarkEnd w:id="633"/>
      <w:r w:rsidRPr="008208B2">
        <w:t xml:space="preserve">. </w:t>
      </w:r>
      <w:bookmarkEnd w:id="634"/>
      <w:r w:rsidR="003126B8" w:rsidRPr="008208B2">
        <w:rPr>
          <w:i/>
        </w:rPr>
        <w:t>Long-term trend in mean epiphyte and macroalgae abundance (</w:t>
      </w:r>
      <w:r w:rsidR="0063478C">
        <w:rPr>
          <w:i/>
        </w:rPr>
        <w:t>per cent</w:t>
      </w:r>
      <w:r w:rsidR="003126B8" w:rsidRPr="008208B2">
        <w:rPr>
          <w:i/>
        </w:rPr>
        <w:t xml:space="preserve"> cover) relative to the long-term average for each seagrass habitat in the </w:t>
      </w:r>
      <w:r w:rsidR="001C18DD" w:rsidRPr="008208B2">
        <w:rPr>
          <w:i/>
        </w:rPr>
        <w:t xml:space="preserve">Burnett </w:t>
      </w:r>
      <w:r w:rsidR="00A0429A" w:rsidRPr="008208B2">
        <w:rPr>
          <w:i/>
        </w:rPr>
        <w:t>Mary</w:t>
      </w:r>
      <w:r w:rsidR="003126B8" w:rsidRPr="008208B2">
        <w:rPr>
          <w:i/>
        </w:rPr>
        <w:t xml:space="preserve"> NRM region</w:t>
      </w:r>
      <w:bookmarkEnd w:id="635"/>
      <w:bookmarkEnd w:id="636"/>
    </w:p>
    <w:p w14:paraId="2DCD7FEF" w14:textId="77777777" w:rsidR="00A0429A" w:rsidRPr="008208B2" w:rsidRDefault="00A0429A" w:rsidP="00DD3BAE">
      <w:pPr>
        <w:rPr>
          <w:i/>
        </w:rPr>
      </w:pPr>
      <w:r w:rsidRPr="008208B2">
        <w:rPr>
          <w:i/>
        </w:rPr>
        <w:t xml:space="preserve"> </w:t>
      </w:r>
      <w:r w:rsidR="003126B8" w:rsidRPr="008208B2">
        <w:rPr>
          <w:i/>
        </w:rPr>
        <w:t xml:space="preserve">(sites pooled, ±SE). </w:t>
      </w:r>
    </w:p>
    <w:p w14:paraId="1E913975" w14:textId="199E43F7" w:rsidR="00BC6384" w:rsidRPr="00BD0604" w:rsidRDefault="00BC6384" w:rsidP="00926892">
      <w:pPr>
        <w:pStyle w:val="Heading3"/>
        <w:numPr>
          <w:ilvl w:val="2"/>
          <w:numId w:val="9"/>
        </w:numPr>
        <w:rPr>
          <w:rFonts w:ascii="Arial" w:hAnsi="Arial" w:cs="Arial"/>
          <w:color w:val="000000"/>
        </w:rPr>
      </w:pPr>
      <w:bookmarkStart w:id="637" w:name="_Toc516053172"/>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637"/>
      <w:r w:rsidRPr="000C1668">
        <w:rPr>
          <w:rFonts w:ascii="Arial" w:hAnsi="Arial" w:cs="Arial"/>
          <w:color w:val="000000"/>
        </w:rPr>
        <w:t xml:space="preserve"> </w:t>
      </w:r>
    </w:p>
    <w:p w14:paraId="4455F22E" w14:textId="58B80B41" w:rsidR="00BC6384" w:rsidRPr="00F429DB" w:rsidRDefault="001A5B38" w:rsidP="00DD3BAE">
      <w:pPr>
        <w:rPr>
          <w:color w:val="000000" w:themeColor="text1"/>
          <w:lang w:val="en-GB"/>
        </w:rPr>
      </w:pPr>
      <w:r w:rsidRPr="00F429DB">
        <w:rPr>
          <w:color w:val="000000" w:themeColor="text1"/>
          <w:lang w:val="en-GB"/>
        </w:rPr>
        <w:t xml:space="preserve">Since reporting was established in 2005, the seagrass index score for the Burnett Mary has been poor or very poor. </w:t>
      </w:r>
      <w:r w:rsidR="00C42EBA" w:rsidRPr="00F429DB">
        <w:rPr>
          <w:color w:val="000000" w:themeColor="text1"/>
          <w:lang w:val="en-GB"/>
        </w:rPr>
        <w:t xml:space="preserve">In the </w:t>
      </w:r>
      <w:r w:rsidR="008574EC">
        <w:rPr>
          <w:color w:val="000000" w:themeColor="text1"/>
          <w:lang w:val="en-GB"/>
        </w:rPr>
        <w:t>2016–17</w:t>
      </w:r>
      <w:r w:rsidR="00BC6384" w:rsidRPr="00F429DB">
        <w:rPr>
          <w:color w:val="000000" w:themeColor="text1"/>
          <w:lang w:val="en-GB"/>
        </w:rPr>
        <w:t xml:space="preserve"> monitoring period, the seagrass index for </w:t>
      </w:r>
      <w:r w:rsidRPr="00F429DB">
        <w:rPr>
          <w:color w:val="000000" w:themeColor="text1"/>
          <w:lang w:val="en-GB"/>
        </w:rPr>
        <w:t>the Burnett Mary</w:t>
      </w:r>
      <w:r w:rsidR="00BC6384" w:rsidRPr="00F429DB">
        <w:rPr>
          <w:color w:val="000000" w:themeColor="text1"/>
          <w:lang w:val="en-GB"/>
        </w:rPr>
        <w:t xml:space="preserve"> region </w:t>
      </w:r>
      <w:r w:rsidR="0070748C" w:rsidRPr="00F429DB">
        <w:rPr>
          <w:color w:val="000000" w:themeColor="text1"/>
          <w:lang w:val="en-GB"/>
        </w:rPr>
        <w:t xml:space="preserve">stayed </w:t>
      </w:r>
      <w:r w:rsidR="0070748C" w:rsidRPr="00F429DB">
        <w:rPr>
          <w:b/>
          <w:color w:val="000000" w:themeColor="text1"/>
          <w:lang w:val="en-GB"/>
        </w:rPr>
        <w:t>poor</w:t>
      </w:r>
      <w:r w:rsidR="0070748C" w:rsidRPr="0070748C">
        <w:rPr>
          <w:color w:val="000000" w:themeColor="text1"/>
          <w:lang w:val="en-GB"/>
        </w:rPr>
        <w:t>,</w:t>
      </w:r>
      <w:r w:rsidR="0070748C" w:rsidRPr="00F429DB">
        <w:rPr>
          <w:color w:val="000000" w:themeColor="text1"/>
          <w:lang w:val="en-GB"/>
        </w:rPr>
        <w:t xml:space="preserve"> </w:t>
      </w:r>
      <w:r w:rsidR="0070748C">
        <w:rPr>
          <w:color w:val="000000" w:themeColor="text1"/>
          <w:lang w:val="en-GB"/>
        </w:rPr>
        <w:t xml:space="preserve">but </w:t>
      </w:r>
      <w:r w:rsidR="005209EC" w:rsidRPr="00F429DB">
        <w:rPr>
          <w:color w:val="000000" w:themeColor="text1"/>
          <w:lang w:val="en-GB"/>
        </w:rPr>
        <w:t xml:space="preserve">reduced following the highest since reported in the previous monitoring period. </w:t>
      </w:r>
      <w:r w:rsidR="00C42EBA" w:rsidRPr="00F429DB">
        <w:rPr>
          <w:color w:val="000000" w:themeColor="text1"/>
          <w:lang w:val="en-GB"/>
        </w:rPr>
        <w:t xml:space="preserve"> </w:t>
      </w:r>
      <w:r w:rsidR="00F429DB" w:rsidRPr="00F429DB">
        <w:rPr>
          <w:color w:val="000000" w:themeColor="text1"/>
          <w:lang w:val="en-GB"/>
        </w:rPr>
        <w:t>Declines occurred in all indicators and habitats, with the largest decline in reproductive effort, however, some seeds do remain</w:t>
      </w:r>
      <w:r w:rsidRPr="00F429DB">
        <w:rPr>
          <w:color w:val="000000" w:themeColor="text1"/>
          <w:lang w:val="en-GB"/>
        </w:rPr>
        <w:t>.</w:t>
      </w:r>
    </w:p>
    <w:p w14:paraId="30389CCA" w14:textId="77777777" w:rsidR="001A5B38" w:rsidRPr="00A80225" w:rsidRDefault="001A5B38" w:rsidP="00DD3BAE">
      <w:pPr>
        <w:rPr>
          <w:color w:val="000000"/>
          <w:lang w:val="en-GB"/>
        </w:rPr>
      </w:pPr>
    </w:p>
    <w:p w14:paraId="06E3AF34" w14:textId="76A80253" w:rsidR="001A5B38" w:rsidRPr="000F1DF9" w:rsidRDefault="001A5B38" w:rsidP="00DD3BAE">
      <w:pPr>
        <w:jc w:val="center"/>
        <w:rPr>
          <w:i/>
          <w:vanish/>
          <w:color w:val="000000"/>
          <w:szCs w:val="22"/>
          <w:specVanish/>
        </w:rPr>
      </w:pPr>
      <w:bookmarkStart w:id="638" w:name="_Toc516053459"/>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F87DF9">
        <w:rPr>
          <w:noProof/>
          <w:color w:val="000000"/>
        </w:rPr>
        <w:t>35</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Burnett Mary </w:t>
      </w:r>
      <w:r w:rsidRPr="000F1DF9">
        <w:rPr>
          <w:i/>
          <w:color w:val="000000"/>
        </w:rPr>
        <w:t>region</w:t>
      </w:r>
      <w:r w:rsidRPr="005209EC">
        <w:rPr>
          <w:i/>
          <w:color w:val="000000" w:themeColor="text1"/>
        </w:rPr>
        <w:t>: June 2005 – May 201</w:t>
      </w:r>
      <w:r w:rsidR="005209EC" w:rsidRPr="005209EC">
        <w:rPr>
          <w:i/>
          <w:color w:val="000000" w:themeColor="text1"/>
        </w:rPr>
        <w:t>7</w:t>
      </w:r>
      <w:r w:rsidRPr="005209EC">
        <w:rPr>
          <w:i/>
          <w:color w:val="000000" w:themeColor="text1"/>
        </w:rPr>
        <w:t>.</w:t>
      </w:r>
      <w:bookmarkEnd w:id="638"/>
      <w:r w:rsidRPr="005209EC">
        <w:rPr>
          <w:i/>
          <w:color w:val="000000" w:themeColor="text1"/>
        </w:rPr>
        <w:t xml:space="preserve"> </w:t>
      </w:r>
    </w:p>
    <w:p w14:paraId="67C50BBF" w14:textId="77777777" w:rsidR="001A5B38" w:rsidRPr="00B00E71" w:rsidRDefault="001A5B38" w:rsidP="00DD3BAE">
      <w:pPr>
        <w:jc w:val="center"/>
        <w:rPr>
          <w:color w:val="000000"/>
        </w:rPr>
      </w:pPr>
      <w:r w:rsidRPr="00E237C6">
        <w:rPr>
          <w:i/>
          <w:szCs w:val="22"/>
        </w:rPr>
        <w:t xml:space="preserve">Values are indexed scores scaled from 0-100; </w:t>
      </w:r>
      <w:r w:rsidR="00D844A1" w:rsidRPr="00E237C6">
        <w:rPr>
          <w:rFonts w:ascii="Arial" w:hAnsi="Arial" w:cs="Arial"/>
          <w:i/>
          <w:color w:val="008000"/>
          <w:szCs w:val="22"/>
        </w:rPr>
        <w:t>■</w:t>
      </w:r>
      <w:r w:rsidR="00D844A1" w:rsidRPr="00E237C6">
        <w:rPr>
          <w:rFonts w:cs="Arial"/>
          <w:i/>
          <w:color w:val="008000"/>
          <w:szCs w:val="22"/>
        </w:rPr>
        <w:t> </w:t>
      </w:r>
      <w:r w:rsidR="00D844A1" w:rsidRPr="00E237C6">
        <w:rPr>
          <w:i/>
          <w:szCs w:val="22"/>
        </w:rPr>
        <w:t>= very good (8</w:t>
      </w:r>
      <w:r w:rsidR="00D844A1">
        <w:rPr>
          <w:i/>
          <w:szCs w:val="22"/>
        </w:rPr>
        <w:t>1</w:t>
      </w:r>
      <w:r w:rsidR="00D844A1" w:rsidRPr="00E237C6">
        <w:rPr>
          <w:i/>
          <w:szCs w:val="22"/>
        </w:rPr>
        <w:t xml:space="preserve">-100), </w:t>
      </w:r>
      <w:r w:rsidR="00D844A1" w:rsidRPr="00E237C6">
        <w:rPr>
          <w:rFonts w:ascii="Arial" w:hAnsi="Arial" w:cs="Arial"/>
          <w:i/>
          <w:color w:val="92D050"/>
          <w:szCs w:val="22"/>
        </w:rPr>
        <w:t>■</w:t>
      </w:r>
      <w:r w:rsidR="00D844A1" w:rsidRPr="00E237C6">
        <w:rPr>
          <w:i/>
          <w:szCs w:val="22"/>
        </w:rPr>
        <w:t> = good (6</w:t>
      </w:r>
      <w:r w:rsidR="00D844A1">
        <w:rPr>
          <w:i/>
          <w:szCs w:val="22"/>
        </w:rPr>
        <w:t>1</w:t>
      </w:r>
      <w:r w:rsidR="00D844A1" w:rsidRPr="00E237C6">
        <w:rPr>
          <w:i/>
          <w:szCs w:val="22"/>
        </w:rPr>
        <w:t xml:space="preserve"> - 80), </w:t>
      </w:r>
      <w:r w:rsidR="00D844A1" w:rsidRPr="00E237C6">
        <w:rPr>
          <w:rFonts w:ascii="Arial" w:hAnsi="Arial" w:cs="Arial"/>
          <w:i/>
          <w:color w:val="FFFF00"/>
          <w:szCs w:val="22"/>
        </w:rPr>
        <w:t>■</w:t>
      </w:r>
      <w:r w:rsidR="00D844A1" w:rsidRPr="00E237C6">
        <w:rPr>
          <w:i/>
          <w:szCs w:val="22"/>
        </w:rPr>
        <w:t> = moderate (4</w:t>
      </w:r>
      <w:r w:rsidR="00D844A1">
        <w:rPr>
          <w:i/>
          <w:szCs w:val="22"/>
        </w:rPr>
        <w:t>1</w:t>
      </w:r>
      <w:r w:rsidR="00D844A1" w:rsidRPr="00E237C6">
        <w:rPr>
          <w:i/>
          <w:szCs w:val="22"/>
        </w:rPr>
        <w:t xml:space="preserve"> - 60), </w:t>
      </w:r>
      <w:r w:rsidR="00D844A1" w:rsidRPr="00E237C6">
        <w:rPr>
          <w:rFonts w:ascii="Arial" w:hAnsi="Arial" w:cs="Arial"/>
          <w:i/>
          <w:color w:val="FFC000"/>
          <w:szCs w:val="22"/>
        </w:rPr>
        <w:t>■</w:t>
      </w:r>
      <w:r w:rsidR="00D844A1" w:rsidRPr="00E237C6">
        <w:rPr>
          <w:i/>
          <w:szCs w:val="22"/>
        </w:rPr>
        <w:t> = poor (2</w:t>
      </w:r>
      <w:r w:rsidR="00D844A1">
        <w:rPr>
          <w:i/>
          <w:szCs w:val="22"/>
        </w:rPr>
        <w:t>1</w:t>
      </w:r>
      <w:r w:rsidR="00D844A1" w:rsidRPr="00E237C6">
        <w:rPr>
          <w:i/>
          <w:szCs w:val="22"/>
        </w:rPr>
        <w:t xml:space="preserve"> - 40), </w:t>
      </w:r>
      <w:r w:rsidR="00D844A1" w:rsidRPr="00E237C6">
        <w:rPr>
          <w:rFonts w:ascii="Arial" w:hAnsi="Arial" w:cs="Arial"/>
          <w:i/>
          <w:color w:val="FF0000"/>
          <w:szCs w:val="22"/>
        </w:rPr>
        <w:t>■</w:t>
      </w:r>
      <w:r w:rsidR="00D844A1">
        <w:rPr>
          <w:i/>
          <w:szCs w:val="22"/>
        </w:rPr>
        <w:t> = very poor (0 - 20)</w:t>
      </w:r>
      <w:r w:rsidRPr="00E237C6">
        <w:rPr>
          <w:i/>
          <w:szCs w:val="22"/>
        </w:rPr>
        <w:t>.</w:t>
      </w:r>
      <w:r>
        <w:rPr>
          <w:i/>
          <w:color w:val="000000"/>
        </w:rPr>
        <w:t xml:space="preserve"> </w:t>
      </w:r>
      <w:r>
        <w:rPr>
          <w:i/>
          <w:szCs w:val="22"/>
        </w:rPr>
        <w:t>NB: Scores are unitless.</w:t>
      </w:r>
    </w:p>
    <w:tbl>
      <w:tblPr>
        <w:tblW w:w="9060"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777"/>
        <w:gridCol w:w="519"/>
        <w:gridCol w:w="620"/>
        <w:gridCol w:w="519"/>
        <w:gridCol w:w="519"/>
        <w:gridCol w:w="519"/>
        <w:gridCol w:w="519"/>
        <w:gridCol w:w="519"/>
        <w:gridCol w:w="456"/>
        <w:gridCol w:w="457"/>
        <w:gridCol w:w="457"/>
        <w:gridCol w:w="457"/>
        <w:gridCol w:w="419"/>
      </w:tblGrid>
      <w:tr w:rsidR="005209EC" w:rsidRPr="00EC364C" w14:paraId="514AE92C" w14:textId="77777777" w:rsidTr="00D01EBE">
        <w:trPr>
          <w:cantSplit/>
          <w:trHeight w:val="858"/>
          <w:jc w:val="center"/>
        </w:trPr>
        <w:tc>
          <w:tcPr>
            <w:tcW w:w="1303" w:type="dxa"/>
            <w:tcBorders>
              <w:top w:val="single" w:sz="4" w:space="0" w:color="000000"/>
              <w:bottom w:val="single" w:sz="4" w:space="0" w:color="000000"/>
            </w:tcBorders>
            <w:shd w:val="clear" w:color="auto" w:fill="auto"/>
            <w:vAlign w:val="center"/>
          </w:tcPr>
          <w:p w14:paraId="26D001E7" w14:textId="77777777" w:rsidR="005209EC" w:rsidRPr="00EC364C" w:rsidRDefault="005209EC" w:rsidP="00DD3BAE">
            <w:pPr>
              <w:spacing w:before="0" w:after="0"/>
              <w:jc w:val="center"/>
              <w:rPr>
                <w:b/>
                <w:color w:val="000000"/>
                <w:sz w:val="20"/>
                <w:szCs w:val="20"/>
                <w:lang w:eastAsia="en-AU"/>
              </w:rPr>
            </w:pPr>
            <w:r>
              <w:rPr>
                <w:b/>
                <w:color w:val="000000"/>
                <w:sz w:val="20"/>
                <w:szCs w:val="20"/>
                <w:lang w:eastAsia="en-AU"/>
              </w:rPr>
              <w:t>Indicator</w:t>
            </w:r>
          </w:p>
        </w:tc>
        <w:tc>
          <w:tcPr>
            <w:tcW w:w="1777" w:type="dxa"/>
            <w:tcBorders>
              <w:top w:val="single" w:sz="4" w:space="0" w:color="000000"/>
              <w:bottom w:val="single" w:sz="4" w:space="0" w:color="000000"/>
            </w:tcBorders>
            <w:shd w:val="clear" w:color="auto" w:fill="auto"/>
            <w:noWrap/>
            <w:vAlign w:val="center"/>
          </w:tcPr>
          <w:p w14:paraId="14E5BFEE" w14:textId="77777777" w:rsidR="005209EC" w:rsidRPr="00EC364C" w:rsidRDefault="005209EC" w:rsidP="00DD3BAE">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4D00CC1A"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2005-06</w:t>
            </w:r>
          </w:p>
        </w:tc>
        <w:tc>
          <w:tcPr>
            <w:tcW w:w="620" w:type="dxa"/>
            <w:tcBorders>
              <w:top w:val="single" w:sz="4" w:space="0" w:color="000000"/>
              <w:bottom w:val="single" w:sz="4" w:space="0" w:color="000000"/>
            </w:tcBorders>
            <w:shd w:val="clear" w:color="auto" w:fill="auto"/>
            <w:textDirection w:val="btLr"/>
            <w:vAlign w:val="center"/>
          </w:tcPr>
          <w:p w14:paraId="32A2D597"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2006-07</w:t>
            </w:r>
          </w:p>
        </w:tc>
        <w:tc>
          <w:tcPr>
            <w:tcW w:w="519" w:type="dxa"/>
            <w:tcBorders>
              <w:top w:val="single" w:sz="4" w:space="0" w:color="000000"/>
              <w:bottom w:val="single" w:sz="4" w:space="0" w:color="000000"/>
            </w:tcBorders>
            <w:shd w:val="clear" w:color="auto" w:fill="auto"/>
            <w:textDirection w:val="btLr"/>
            <w:vAlign w:val="center"/>
          </w:tcPr>
          <w:p w14:paraId="2BE8DB06"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2007-08</w:t>
            </w:r>
          </w:p>
        </w:tc>
        <w:tc>
          <w:tcPr>
            <w:tcW w:w="519" w:type="dxa"/>
            <w:tcBorders>
              <w:top w:val="single" w:sz="4" w:space="0" w:color="000000"/>
              <w:bottom w:val="single" w:sz="4" w:space="0" w:color="000000"/>
            </w:tcBorders>
            <w:shd w:val="clear" w:color="auto" w:fill="auto"/>
            <w:textDirection w:val="btLr"/>
            <w:vAlign w:val="center"/>
          </w:tcPr>
          <w:p w14:paraId="1F272E81"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2008-09</w:t>
            </w:r>
          </w:p>
        </w:tc>
        <w:tc>
          <w:tcPr>
            <w:tcW w:w="519" w:type="dxa"/>
            <w:tcBorders>
              <w:top w:val="single" w:sz="4" w:space="0" w:color="000000"/>
              <w:bottom w:val="single" w:sz="4" w:space="0" w:color="000000"/>
            </w:tcBorders>
            <w:shd w:val="clear" w:color="auto" w:fill="auto"/>
            <w:textDirection w:val="btLr"/>
            <w:vAlign w:val="center"/>
          </w:tcPr>
          <w:p w14:paraId="3D2FBC9E"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2009-10</w:t>
            </w:r>
          </w:p>
        </w:tc>
        <w:tc>
          <w:tcPr>
            <w:tcW w:w="519" w:type="dxa"/>
            <w:tcBorders>
              <w:top w:val="single" w:sz="4" w:space="0" w:color="000000"/>
              <w:bottom w:val="single" w:sz="4" w:space="0" w:color="000000"/>
            </w:tcBorders>
            <w:shd w:val="clear" w:color="auto" w:fill="auto"/>
            <w:textDirection w:val="btLr"/>
            <w:vAlign w:val="center"/>
          </w:tcPr>
          <w:p w14:paraId="6B63C440"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2010-11</w:t>
            </w:r>
          </w:p>
        </w:tc>
        <w:tc>
          <w:tcPr>
            <w:tcW w:w="519" w:type="dxa"/>
            <w:tcBorders>
              <w:top w:val="single" w:sz="4" w:space="0" w:color="000000"/>
              <w:bottom w:val="single" w:sz="4" w:space="0" w:color="000000"/>
            </w:tcBorders>
            <w:shd w:val="clear" w:color="auto" w:fill="auto"/>
            <w:textDirection w:val="btLr"/>
            <w:vAlign w:val="center"/>
          </w:tcPr>
          <w:p w14:paraId="6D6CB6B2"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2011-12</w:t>
            </w:r>
          </w:p>
        </w:tc>
        <w:tc>
          <w:tcPr>
            <w:tcW w:w="456" w:type="dxa"/>
            <w:tcBorders>
              <w:top w:val="single" w:sz="4" w:space="0" w:color="000000"/>
              <w:bottom w:val="single" w:sz="4" w:space="0" w:color="000000"/>
            </w:tcBorders>
            <w:textDirection w:val="btLr"/>
            <w:vAlign w:val="center"/>
          </w:tcPr>
          <w:p w14:paraId="7EA9B6C8"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2012-13</w:t>
            </w:r>
          </w:p>
        </w:tc>
        <w:tc>
          <w:tcPr>
            <w:tcW w:w="457" w:type="dxa"/>
            <w:tcBorders>
              <w:top w:val="single" w:sz="4" w:space="0" w:color="000000"/>
              <w:bottom w:val="single" w:sz="4" w:space="0" w:color="000000"/>
            </w:tcBorders>
            <w:textDirection w:val="btLr"/>
            <w:vAlign w:val="center"/>
          </w:tcPr>
          <w:p w14:paraId="4FD61B0E"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2013-14</w:t>
            </w:r>
          </w:p>
        </w:tc>
        <w:tc>
          <w:tcPr>
            <w:tcW w:w="457" w:type="dxa"/>
            <w:tcBorders>
              <w:top w:val="single" w:sz="4" w:space="0" w:color="000000"/>
              <w:bottom w:val="single" w:sz="4" w:space="0" w:color="000000"/>
            </w:tcBorders>
            <w:textDirection w:val="btLr"/>
            <w:vAlign w:val="center"/>
          </w:tcPr>
          <w:p w14:paraId="63D8C06D" w14:textId="77777777" w:rsidR="005209EC" w:rsidRPr="00F549F2" w:rsidRDefault="005209EC" w:rsidP="00DD3BAE">
            <w:pPr>
              <w:spacing w:before="0" w:after="0"/>
              <w:ind w:left="113" w:right="113"/>
              <w:rPr>
                <w:b/>
                <w:color w:val="000000"/>
                <w:sz w:val="16"/>
                <w:szCs w:val="16"/>
                <w:lang w:eastAsia="en-AU"/>
              </w:rPr>
            </w:pPr>
            <w:r w:rsidRPr="00F549F2">
              <w:rPr>
                <w:b/>
                <w:color w:val="000000"/>
                <w:sz w:val="16"/>
                <w:szCs w:val="16"/>
                <w:lang w:eastAsia="en-AU"/>
              </w:rPr>
              <w:t>2014-15</w:t>
            </w:r>
          </w:p>
        </w:tc>
        <w:tc>
          <w:tcPr>
            <w:tcW w:w="457" w:type="dxa"/>
            <w:tcBorders>
              <w:top w:val="single" w:sz="4" w:space="0" w:color="000000"/>
              <w:bottom w:val="single" w:sz="4" w:space="0" w:color="000000"/>
            </w:tcBorders>
            <w:textDirection w:val="btLr"/>
          </w:tcPr>
          <w:p w14:paraId="0D5AF55C" w14:textId="77777777" w:rsidR="005209EC" w:rsidRPr="00F549F2" w:rsidRDefault="005209EC" w:rsidP="00DD3BAE">
            <w:pPr>
              <w:spacing w:before="0" w:after="0"/>
              <w:ind w:left="113" w:right="113"/>
              <w:rPr>
                <w:b/>
                <w:color w:val="000000"/>
                <w:sz w:val="16"/>
                <w:szCs w:val="16"/>
                <w:lang w:eastAsia="en-AU"/>
              </w:rPr>
            </w:pPr>
            <w:r>
              <w:rPr>
                <w:b/>
                <w:color w:val="000000"/>
                <w:sz w:val="16"/>
                <w:szCs w:val="16"/>
                <w:lang w:eastAsia="en-AU"/>
              </w:rPr>
              <w:t>2015-16</w:t>
            </w:r>
          </w:p>
        </w:tc>
        <w:tc>
          <w:tcPr>
            <w:tcW w:w="419" w:type="dxa"/>
            <w:tcBorders>
              <w:top w:val="single" w:sz="4" w:space="0" w:color="000000"/>
              <w:bottom w:val="single" w:sz="4" w:space="0" w:color="000000"/>
            </w:tcBorders>
            <w:shd w:val="clear" w:color="auto" w:fill="auto"/>
            <w:textDirection w:val="btLr"/>
          </w:tcPr>
          <w:p w14:paraId="75838324" w14:textId="2794B09B" w:rsidR="005209EC" w:rsidRDefault="008574EC" w:rsidP="00DD3BAE">
            <w:pPr>
              <w:spacing w:before="0" w:after="0"/>
              <w:ind w:left="113" w:right="113"/>
              <w:rPr>
                <w:b/>
                <w:color w:val="000000"/>
                <w:sz w:val="16"/>
                <w:szCs w:val="16"/>
                <w:lang w:eastAsia="en-AU"/>
              </w:rPr>
            </w:pPr>
            <w:r>
              <w:rPr>
                <w:b/>
                <w:color w:val="000000"/>
                <w:sz w:val="16"/>
                <w:szCs w:val="16"/>
                <w:lang w:eastAsia="en-AU"/>
              </w:rPr>
              <w:t>2016–17</w:t>
            </w:r>
          </w:p>
        </w:tc>
      </w:tr>
      <w:tr w:rsidR="005209EC" w:rsidRPr="00EC364C" w14:paraId="6CBC95D9" w14:textId="77777777" w:rsidTr="00D01EBE">
        <w:trPr>
          <w:trHeight w:val="312"/>
          <w:jc w:val="center"/>
        </w:trPr>
        <w:tc>
          <w:tcPr>
            <w:tcW w:w="1303" w:type="dxa"/>
            <w:vMerge w:val="restart"/>
            <w:tcBorders>
              <w:top w:val="single" w:sz="4" w:space="0" w:color="auto"/>
              <w:left w:val="nil"/>
              <w:right w:val="nil"/>
            </w:tcBorders>
            <w:shd w:val="clear" w:color="auto" w:fill="auto"/>
            <w:noWrap/>
            <w:vAlign w:val="center"/>
          </w:tcPr>
          <w:p w14:paraId="41E028CE" w14:textId="77777777" w:rsidR="005209EC" w:rsidRPr="00EC364C" w:rsidRDefault="005209EC" w:rsidP="00DD3BAE">
            <w:pPr>
              <w:spacing w:before="0" w:after="0"/>
              <w:rPr>
                <w:color w:val="000000"/>
                <w:sz w:val="20"/>
                <w:szCs w:val="20"/>
                <w:lang w:eastAsia="en-AU"/>
              </w:rPr>
            </w:pPr>
            <w:r>
              <w:rPr>
                <w:color w:val="000000"/>
                <w:sz w:val="20"/>
                <w:szCs w:val="20"/>
                <w:lang w:eastAsia="en-AU"/>
              </w:rPr>
              <w:t>Abundance</w:t>
            </w:r>
          </w:p>
        </w:tc>
        <w:tc>
          <w:tcPr>
            <w:tcW w:w="1777" w:type="dxa"/>
            <w:tcBorders>
              <w:top w:val="single" w:sz="4" w:space="0" w:color="auto"/>
              <w:left w:val="nil"/>
              <w:bottom w:val="nil"/>
              <w:right w:val="single" w:sz="4" w:space="0" w:color="FFFFFF" w:themeColor="background1"/>
            </w:tcBorders>
            <w:shd w:val="clear" w:color="auto" w:fill="auto"/>
            <w:noWrap/>
            <w:vAlign w:val="center"/>
          </w:tcPr>
          <w:p w14:paraId="4F8A4F49" w14:textId="77777777" w:rsidR="005209EC" w:rsidRPr="00EC364C" w:rsidRDefault="005209EC" w:rsidP="00DD3BAE">
            <w:pPr>
              <w:spacing w:before="0" w:after="0"/>
              <w:rPr>
                <w:color w:val="000000"/>
                <w:sz w:val="20"/>
                <w:szCs w:val="20"/>
                <w:lang w:eastAsia="en-AU"/>
              </w:rPr>
            </w:pPr>
            <w:r w:rsidRPr="00EC364C">
              <w:rPr>
                <w:color w:val="000000"/>
                <w:sz w:val="20"/>
                <w:szCs w:val="20"/>
                <w:lang w:eastAsia="en-AU"/>
              </w:rPr>
              <w:t>estuarine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0810854E"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21</w:t>
            </w: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7CD6B662"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541FBE85"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15</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60DCC3F7"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10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1056B7CB"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10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69D5B126"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4</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45F9E6CE"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5</w:t>
            </w:r>
          </w:p>
        </w:tc>
        <w:tc>
          <w:tcPr>
            <w:tcW w:w="4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1F184B2C"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5</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0208A4C4" w14:textId="77777777" w:rsidR="005209EC" w:rsidRPr="00EC364C" w:rsidRDefault="005209EC" w:rsidP="00DD3BAE">
            <w:pPr>
              <w:spacing w:before="0" w:after="0"/>
              <w:jc w:val="center"/>
              <w:rPr>
                <w:color w:val="000000"/>
                <w:sz w:val="20"/>
                <w:szCs w:val="20"/>
                <w:lang w:eastAsia="en-AU"/>
              </w:rPr>
            </w:pPr>
            <w:r w:rsidRPr="00EC364C">
              <w:rPr>
                <w:color w:val="000000"/>
                <w:sz w:val="20"/>
                <w:szCs w:val="20"/>
                <w:lang w:eastAsia="en-AU"/>
              </w:rPr>
              <w:t>10</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20A59526" w14:textId="77777777" w:rsidR="005209EC" w:rsidRPr="00D01EBE" w:rsidRDefault="005209EC" w:rsidP="00DD3BAE">
            <w:pPr>
              <w:spacing w:before="0" w:after="0"/>
              <w:jc w:val="center"/>
              <w:rPr>
                <w:color w:val="000000"/>
                <w:sz w:val="20"/>
                <w:szCs w:val="20"/>
                <w:lang w:eastAsia="en-AU"/>
              </w:rPr>
            </w:pPr>
            <w:r w:rsidRPr="00D01EBE">
              <w:rPr>
                <w:color w:val="000000"/>
                <w:sz w:val="20"/>
                <w:szCs w:val="20"/>
                <w:lang w:eastAsia="en-AU"/>
              </w:rPr>
              <w:t>26</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0B579127" w14:textId="77777777" w:rsidR="005209EC" w:rsidRPr="00D01EBE" w:rsidRDefault="005209EC" w:rsidP="00DD3BAE">
            <w:pPr>
              <w:spacing w:before="0" w:after="0"/>
              <w:jc w:val="center"/>
              <w:rPr>
                <w:color w:val="000000"/>
                <w:sz w:val="20"/>
                <w:szCs w:val="20"/>
                <w:lang w:eastAsia="en-AU"/>
              </w:rPr>
            </w:pPr>
            <w:r w:rsidRPr="00D01EBE">
              <w:rPr>
                <w:color w:val="000000"/>
                <w:sz w:val="20"/>
                <w:szCs w:val="20"/>
                <w:lang w:eastAsia="en-AU"/>
              </w:rPr>
              <w:t>34</w:t>
            </w:r>
          </w:p>
        </w:tc>
        <w:tc>
          <w:tcPr>
            <w:tcW w:w="4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39682E14" w14:textId="77777777" w:rsidR="005209EC" w:rsidRPr="00D01EBE" w:rsidRDefault="005209EC" w:rsidP="00DD3BAE">
            <w:pPr>
              <w:spacing w:before="0" w:after="0"/>
              <w:jc w:val="center"/>
              <w:rPr>
                <w:color w:val="000000"/>
                <w:sz w:val="20"/>
                <w:szCs w:val="20"/>
                <w:lang w:eastAsia="en-AU"/>
              </w:rPr>
            </w:pPr>
            <w:r w:rsidRPr="00D01EBE">
              <w:rPr>
                <w:color w:val="000000"/>
                <w:sz w:val="20"/>
                <w:szCs w:val="20"/>
                <w:lang w:eastAsia="en-AU"/>
              </w:rPr>
              <w:t>22</w:t>
            </w:r>
          </w:p>
        </w:tc>
      </w:tr>
      <w:tr w:rsidR="005209EC" w:rsidRPr="00EC364C" w14:paraId="4C15E69B" w14:textId="77777777" w:rsidTr="00D01EBE">
        <w:trPr>
          <w:trHeight w:val="312"/>
          <w:jc w:val="center"/>
        </w:trPr>
        <w:tc>
          <w:tcPr>
            <w:tcW w:w="1303" w:type="dxa"/>
            <w:vMerge/>
            <w:tcBorders>
              <w:bottom w:val="single" w:sz="4" w:space="0" w:color="FFFFFF" w:themeColor="background1"/>
            </w:tcBorders>
            <w:shd w:val="clear" w:color="auto" w:fill="auto"/>
            <w:noWrap/>
            <w:vAlign w:val="center"/>
          </w:tcPr>
          <w:p w14:paraId="19CD84D8" w14:textId="77777777" w:rsidR="005209EC" w:rsidRPr="00EC364C" w:rsidRDefault="005209EC" w:rsidP="00DD3BAE">
            <w:pPr>
              <w:spacing w:before="0" w:after="0"/>
              <w:rPr>
                <w:color w:val="000000"/>
                <w:sz w:val="20"/>
                <w:szCs w:val="20"/>
                <w:lang w:eastAsia="en-AU"/>
              </w:rPr>
            </w:pPr>
          </w:p>
        </w:tc>
        <w:tc>
          <w:tcPr>
            <w:tcW w:w="1777" w:type="dxa"/>
            <w:tcBorders>
              <w:top w:val="nil"/>
              <w:bottom w:val="single" w:sz="4" w:space="0" w:color="auto"/>
              <w:right w:val="single" w:sz="4" w:space="0" w:color="FFFFFF" w:themeColor="background1"/>
            </w:tcBorders>
            <w:shd w:val="clear" w:color="auto" w:fill="auto"/>
            <w:noWrap/>
            <w:vAlign w:val="center"/>
          </w:tcPr>
          <w:p w14:paraId="7C6E123B" w14:textId="77777777" w:rsidR="005209EC" w:rsidRPr="00EC364C" w:rsidRDefault="005209EC" w:rsidP="00DD3BAE">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5BE5161" w14:textId="77777777" w:rsidR="005209EC" w:rsidRPr="00EC364C" w:rsidRDefault="005209EC" w:rsidP="00DD3BAE">
            <w:pPr>
              <w:spacing w:before="0" w:after="0"/>
              <w:jc w:val="center"/>
              <w:rPr>
                <w:color w:val="000000"/>
                <w:sz w:val="20"/>
                <w:szCs w:val="20"/>
                <w:lang w:eastAsia="en-AU"/>
              </w:rPr>
            </w:pP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144B81A" w14:textId="77777777" w:rsidR="005209EC" w:rsidRPr="00EC364C" w:rsidRDefault="005209EC"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4578A53" w14:textId="77777777" w:rsidR="005209EC" w:rsidRPr="00EC364C" w:rsidRDefault="005209EC"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D625390" w14:textId="77777777" w:rsidR="005209EC" w:rsidRPr="00EC364C" w:rsidRDefault="005209EC"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02CAB1B" w14:textId="77777777" w:rsidR="005209EC" w:rsidRPr="00EC364C" w:rsidRDefault="005209EC"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CAD04F3" w14:textId="77777777" w:rsidR="005209EC" w:rsidRPr="00EC364C" w:rsidRDefault="005209EC"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4A3A575" w14:textId="77777777" w:rsidR="005209EC" w:rsidRPr="00EC364C" w:rsidRDefault="005209EC" w:rsidP="00DD3BAE">
            <w:pPr>
              <w:spacing w:before="0" w:after="0"/>
              <w:jc w:val="center"/>
              <w:rPr>
                <w:color w:val="000000"/>
                <w:sz w:val="20"/>
                <w:szCs w:val="20"/>
                <w:lang w:eastAsia="en-AU"/>
              </w:rPr>
            </w:pPr>
          </w:p>
        </w:tc>
        <w:tc>
          <w:tcPr>
            <w:tcW w:w="4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50F68C5" w14:textId="77777777" w:rsidR="005209EC" w:rsidRPr="00EC364C" w:rsidRDefault="005209EC" w:rsidP="00DD3BAE">
            <w:pPr>
              <w:spacing w:before="0" w:after="0"/>
              <w:jc w:val="center"/>
              <w:rPr>
                <w:color w:val="000000"/>
                <w:sz w:val="20"/>
                <w:szCs w:val="20"/>
                <w:lang w:eastAsia="en-AU"/>
              </w:rPr>
            </w:pP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6B3343A7" w14:textId="77777777" w:rsidR="005209EC" w:rsidRPr="00EC364C" w:rsidRDefault="005209EC" w:rsidP="00DD3BAE">
            <w:pPr>
              <w:spacing w:before="0" w:after="0"/>
              <w:jc w:val="center"/>
              <w:rPr>
                <w:color w:val="000000"/>
                <w:sz w:val="20"/>
                <w:szCs w:val="20"/>
                <w:lang w:eastAsia="en-AU"/>
              </w:rPr>
            </w:pP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28B741B3" w14:textId="77777777" w:rsidR="005209EC" w:rsidRPr="00056DBB" w:rsidRDefault="005209EC" w:rsidP="00DD3BAE">
            <w:pPr>
              <w:spacing w:before="0" w:after="0"/>
              <w:jc w:val="center"/>
              <w:rPr>
                <w:color w:val="000000"/>
                <w:sz w:val="20"/>
                <w:szCs w:val="20"/>
                <w:lang w:eastAsia="en-AU"/>
              </w:rPr>
            </w:pPr>
            <w:r w:rsidRPr="00D01EBE">
              <w:rPr>
                <w:color w:val="000000"/>
                <w:sz w:val="20"/>
                <w:szCs w:val="20"/>
                <w:lang w:eastAsia="en-AU"/>
              </w:rPr>
              <w:t>38</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19603663" w14:textId="77777777" w:rsidR="005209EC" w:rsidRPr="00D01EBE" w:rsidRDefault="005209EC" w:rsidP="00DD3BAE">
            <w:pPr>
              <w:spacing w:before="0" w:after="0"/>
              <w:jc w:val="center"/>
              <w:rPr>
                <w:color w:val="000000"/>
                <w:sz w:val="20"/>
                <w:szCs w:val="20"/>
                <w:lang w:eastAsia="en-AU"/>
              </w:rPr>
            </w:pPr>
            <w:r w:rsidRPr="00D01EBE">
              <w:rPr>
                <w:color w:val="000000"/>
                <w:sz w:val="20"/>
                <w:szCs w:val="20"/>
                <w:lang w:eastAsia="en-AU"/>
              </w:rPr>
              <w:t>69</w:t>
            </w:r>
          </w:p>
        </w:tc>
        <w:tc>
          <w:tcPr>
            <w:tcW w:w="4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vAlign w:val="center"/>
          </w:tcPr>
          <w:p w14:paraId="1B133CF3" w14:textId="77777777" w:rsidR="005209EC" w:rsidRPr="00D01EBE" w:rsidRDefault="005209EC" w:rsidP="00DD3BAE">
            <w:pPr>
              <w:spacing w:before="0" w:after="0"/>
              <w:jc w:val="center"/>
              <w:rPr>
                <w:color w:val="000000"/>
                <w:sz w:val="20"/>
                <w:szCs w:val="20"/>
                <w:lang w:eastAsia="en-AU"/>
              </w:rPr>
            </w:pPr>
            <w:r w:rsidRPr="00D01EBE">
              <w:rPr>
                <w:color w:val="000000"/>
                <w:sz w:val="20"/>
                <w:szCs w:val="20"/>
                <w:lang w:eastAsia="en-AU"/>
              </w:rPr>
              <w:t>44</w:t>
            </w:r>
          </w:p>
        </w:tc>
      </w:tr>
      <w:tr w:rsidR="00D01EBE" w:rsidRPr="00EC364C" w14:paraId="1D723AC5" w14:textId="77777777" w:rsidTr="00D01EBE">
        <w:trPr>
          <w:trHeight w:val="312"/>
          <w:jc w:val="center"/>
        </w:trPr>
        <w:tc>
          <w:tcPr>
            <w:tcW w:w="1303" w:type="dxa"/>
            <w:vMerge w:val="restart"/>
            <w:tcBorders>
              <w:top w:val="single" w:sz="4" w:space="0" w:color="000000"/>
              <w:right w:val="nil"/>
            </w:tcBorders>
            <w:shd w:val="clear" w:color="auto" w:fill="auto"/>
            <w:noWrap/>
            <w:vAlign w:val="center"/>
          </w:tcPr>
          <w:p w14:paraId="7F3CA837" w14:textId="77777777" w:rsidR="00D01EBE" w:rsidRDefault="00D01EBE" w:rsidP="00DD3BAE">
            <w:pPr>
              <w:spacing w:before="0" w:after="0"/>
              <w:rPr>
                <w:color w:val="000000"/>
                <w:sz w:val="20"/>
                <w:szCs w:val="20"/>
                <w:lang w:eastAsia="en-AU"/>
              </w:rPr>
            </w:pPr>
            <w:r>
              <w:rPr>
                <w:color w:val="000000"/>
                <w:sz w:val="20"/>
                <w:szCs w:val="20"/>
                <w:lang w:eastAsia="en-AU"/>
              </w:rPr>
              <w:t>Reproductive</w:t>
            </w:r>
          </w:p>
          <w:p w14:paraId="550E3300" w14:textId="77777777" w:rsidR="00D01EBE" w:rsidRPr="00EC364C" w:rsidRDefault="00D01EBE" w:rsidP="00DD3BAE">
            <w:pPr>
              <w:spacing w:before="0" w:after="0"/>
              <w:rPr>
                <w:color w:val="000000"/>
                <w:sz w:val="20"/>
                <w:szCs w:val="20"/>
                <w:lang w:eastAsia="en-AU"/>
              </w:rPr>
            </w:pPr>
            <w:r>
              <w:rPr>
                <w:color w:val="000000"/>
                <w:sz w:val="20"/>
                <w:szCs w:val="20"/>
                <w:lang w:eastAsia="en-AU"/>
              </w:rPr>
              <w:t>effort</w:t>
            </w:r>
          </w:p>
        </w:tc>
        <w:tc>
          <w:tcPr>
            <w:tcW w:w="1777" w:type="dxa"/>
            <w:tcBorders>
              <w:top w:val="single" w:sz="4" w:space="0" w:color="auto"/>
              <w:left w:val="nil"/>
              <w:bottom w:val="nil"/>
              <w:right w:val="single" w:sz="4" w:space="0" w:color="FFFFFF" w:themeColor="background1"/>
            </w:tcBorders>
            <w:shd w:val="clear" w:color="auto" w:fill="auto"/>
            <w:noWrap/>
            <w:vAlign w:val="center"/>
          </w:tcPr>
          <w:p w14:paraId="1CC76BEE" w14:textId="77777777" w:rsidR="00D01EBE" w:rsidRPr="00EC364C" w:rsidRDefault="00D01EBE" w:rsidP="00DD3BAE">
            <w:pPr>
              <w:spacing w:before="0" w:after="0"/>
              <w:rPr>
                <w:color w:val="000000"/>
                <w:sz w:val="20"/>
                <w:szCs w:val="20"/>
                <w:lang w:eastAsia="en-AU"/>
              </w:rPr>
            </w:pPr>
            <w:r w:rsidRPr="00EC364C">
              <w:rPr>
                <w:color w:val="000000"/>
                <w:sz w:val="20"/>
                <w:szCs w:val="20"/>
                <w:lang w:eastAsia="en-AU"/>
              </w:rPr>
              <w:t>estuarine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298456A4"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25</w:t>
            </w: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54FC8880"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770D75CE"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19</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14:paraId="5A6D61D6"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314F2E47"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17</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45AF23F9"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6B03DA8D"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0</w:t>
            </w:r>
          </w:p>
        </w:tc>
        <w:tc>
          <w:tcPr>
            <w:tcW w:w="4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0DE43DED"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0</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08285364" w14:textId="77777777" w:rsidR="00D01EBE" w:rsidRPr="005556A8" w:rsidRDefault="00D01EBE" w:rsidP="00DD3BAE">
            <w:pPr>
              <w:spacing w:before="0" w:after="0"/>
              <w:jc w:val="center"/>
              <w:rPr>
                <w:color w:val="000000"/>
                <w:sz w:val="20"/>
                <w:szCs w:val="20"/>
                <w:lang w:eastAsia="en-AU"/>
              </w:rPr>
            </w:pPr>
            <w:r w:rsidRPr="005556A8">
              <w:rPr>
                <w:color w:val="000000"/>
                <w:sz w:val="20"/>
                <w:szCs w:val="20"/>
                <w:lang w:eastAsia="en-AU"/>
              </w:rPr>
              <w:t>0</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0E13CFD7" w14:textId="77777777" w:rsidR="00D01EBE" w:rsidRPr="005556A8" w:rsidRDefault="00D01EBE" w:rsidP="00DD3BAE">
            <w:pPr>
              <w:spacing w:before="0" w:after="0"/>
              <w:jc w:val="center"/>
              <w:rPr>
                <w:color w:val="000000"/>
                <w:sz w:val="20"/>
                <w:szCs w:val="20"/>
                <w:lang w:eastAsia="en-AU"/>
              </w:rPr>
            </w:pPr>
            <w:r>
              <w:rPr>
                <w:color w:val="000000"/>
                <w:sz w:val="20"/>
                <w:szCs w:val="20"/>
                <w:lang w:eastAsia="en-AU"/>
              </w:rPr>
              <w:t>6</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29191A89" w14:textId="77777777" w:rsidR="00D01EBE" w:rsidRDefault="00D01EBE" w:rsidP="00DD3BAE">
            <w:pPr>
              <w:spacing w:before="0" w:after="0"/>
              <w:jc w:val="center"/>
              <w:rPr>
                <w:color w:val="000000"/>
                <w:sz w:val="20"/>
                <w:szCs w:val="20"/>
                <w:lang w:eastAsia="en-AU"/>
              </w:rPr>
            </w:pPr>
            <w:r>
              <w:rPr>
                <w:color w:val="000000"/>
                <w:sz w:val="20"/>
                <w:szCs w:val="20"/>
                <w:lang w:eastAsia="en-AU"/>
              </w:rPr>
              <w:t>25</w:t>
            </w:r>
          </w:p>
        </w:tc>
        <w:tc>
          <w:tcPr>
            <w:tcW w:w="4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431BD2C9" w14:textId="77777777" w:rsidR="00D01EBE" w:rsidRPr="00D01EBE" w:rsidRDefault="00D01EBE" w:rsidP="00DD3BAE">
            <w:pPr>
              <w:spacing w:before="0" w:after="0"/>
              <w:jc w:val="center"/>
              <w:rPr>
                <w:color w:val="000000"/>
                <w:sz w:val="20"/>
                <w:szCs w:val="20"/>
                <w:lang w:eastAsia="en-AU"/>
              </w:rPr>
            </w:pPr>
            <w:r w:rsidRPr="00D01EBE">
              <w:rPr>
                <w:color w:val="000000"/>
                <w:sz w:val="20"/>
                <w:szCs w:val="20"/>
                <w:lang w:eastAsia="en-AU"/>
              </w:rPr>
              <w:t>0</w:t>
            </w:r>
          </w:p>
        </w:tc>
      </w:tr>
      <w:tr w:rsidR="00D01EBE" w:rsidRPr="00EC364C" w14:paraId="2861A8DE" w14:textId="77777777" w:rsidTr="00D01EBE">
        <w:trPr>
          <w:trHeight w:val="312"/>
          <w:jc w:val="center"/>
        </w:trPr>
        <w:tc>
          <w:tcPr>
            <w:tcW w:w="1303" w:type="dxa"/>
            <w:vMerge/>
            <w:tcBorders>
              <w:bottom w:val="single" w:sz="4" w:space="0" w:color="000000"/>
            </w:tcBorders>
            <w:shd w:val="clear" w:color="auto" w:fill="auto"/>
            <w:noWrap/>
            <w:vAlign w:val="center"/>
          </w:tcPr>
          <w:p w14:paraId="31424F09" w14:textId="77777777" w:rsidR="00D01EBE" w:rsidRDefault="00D01EBE" w:rsidP="00DD3BAE">
            <w:pPr>
              <w:spacing w:before="0" w:after="0"/>
              <w:rPr>
                <w:color w:val="000000"/>
                <w:sz w:val="20"/>
                <w:szCs w:val="20"/>
                <w:lang w:eastAsia="en-AU"/>
              </w:rPr>
            </w:pPr>
          </w:p>
        </w:tc>
        <w:tc>
          <w:tcPr>
            <w:tcW w:w="1777" w:type="dxa"/>
            <w:tcBorders>
              <w:top w:val="nil"/>
              <w:bottom w:val="single" w:sz="4" w:space="0" w:color="auto"/>
              <w:right w:val="single" w:sz="4" w:space="0" w:color="FFFFFF" w:themeColor="background1"/>
            </w:tcBorders>
            <w:shd w:val="clear" w:color="auto" w:fill="auto"/>
            <w:noWrap/>
            <w:vAlign w:val="center"/>
          </w:tcPr>
          <w:p w14:paraId="57DEEBBA" w14:textId="693A73D0" w:rsidR="00D01EBE" w:rsidRPr="00EC364C" w:rsidRDefault="00D01EBE" w:rsidP="00DD3BAE">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E062826" w14:textId="77777777" w:rsidR="00D01EBE" w:rsidRPr="005556A8" w:rsidRDefault="00D01EBE" w:rsidP="00DD3BAE">
            <w:pPr>
              <w:spacing w:before="0" w:after="0"/>
              <w:jc w:val="center"/>
              <w:rPr>
                <w:color w:val="000000"/>
                <w:sz w:val="20"/>
                <w:szCs w:val="20"/>
                <w:lang w:eastAsia="en-AU"/>
              </w:rPr>
            </w:pP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D3EEAA8" w14:textId="77777777" w:rsidR="00D01EBE" w:rsidRPr="005556A8" w:rsidRDefault="00D01EBE"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1BD195B" w14:textId="77777777" w:rsidR="00D01EBE" w:rsidRPr="005556A8" w:rsidRDefault="00D01EBE"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E82884E" w14:textId="77777777" w:rsidR="00D01EBE" w:rsidRPr="005556A8" w:rsidRDefault="00D01EBE"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0B406C8" w14:textId="77777777" w:rsidR="00D01EBE" w:rsidRPr="005556A8" w:rsidRDefault="00D01EBE"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574F69B" w14:textId="77777777" w:rsidR="00D01EBE" w:rsidRPr="005556A8" w:rsidRDefault="00D01EBE" w:rsidP="00DD3BAE">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3256AE1" w14:textId="77777777" w:rsidR="00D01EBE" w:rsidRPr="005556A8" w:rsidRDefault="00D01EBE" w:rsidP="00DD3BAE">
            <w:pPr>
              <w:spacing w:before="0" w:after="0"/>
              <w:jc w:val="center"/>
              <w:rPr>
                <w:color w:val="000000"/>
                <w:sz w:val="20"/>
                <w:szCs w:val="20"/>
                <w:lang w:eastAsia="en-AU"/>
              </w:rPr>
            </w:pPr>
          </w:p>
        </w:tc>
        <w:tc>
          <w:tcPr>
            <w:tcW w:w="4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D821A06" w14:textId="77777777" w:rsidR="00D01EBE" w:rsidRPr="005556A8" w:rsidRDefault="00D01EBE" w:rsidP="00DD3BAE">
            <w:pPr>
              <w:spacing w:before="0" w:after="0"/>
              <w:jc w:val="center"/>
              <w:rPr>
                <w:color w:val="000000"/>
                <w:sz w:val="20"/>
                <w:szCs w:val="20"/>
                <w:lang w:eastAsia="en-AU"/>
              </w:rPr>
            </w:pP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32D1B50" w14:textId="77777777" w:rsidR="00D01EBE" w:rsidRPr="005556A8" w:rsidRDefault="00D01EBE" w:rsidP="00DD3BAE">
            <w:pPr>
              <w:spacing w:before="0" w:after="0"/>
              <w:jc w:val="center"/>
              <w:rPr>
                <w:color w:val="000000"/>
                <w:sz w:val="20"/>
                <w:szCs w:val="20"/>
                <w:lang w:eastAsia="en-AU"/>
              </w:rPr>
            </w:pP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47DC2AD" w14:textId="77777777" w:rsidR="00D01EBE" w:rsidRDefault="00D01EBE" w:rsidP="00DD3BAE">
            <w:pPr>
              <w:spacing w:before="0" w:after="0"/>
              <w:jc w:val="center"/>
              <w:rPr>
                <w:color w:val="000000"/>
                <w:sz w:val="20"/>
                <w:szCs w:val="20"/>
                <w:lang w:eastAsia="en-AU"/>
              </w:rPr>
            </w:pP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07A22F02" w14:textId="77777777" w:rsidR="00D01EBE" w:rsidRDefault="00D01EBE" w:rsidP="00DD3BAE">
            <w:pPr>
              <w:spacing w:before="0" w:after="0"/>
              <w:jc w:val="center"/>
              <w:rPr>
                <w:color w:val="000000"/>
                <w:sz w:val="20"/>
                <w:szCs w:val="20"/>
                <w:lang w:eastAsia="en-AU"/>
              </w:rPr>
            </w:pPr>
          </w:p>
        </w:tc>
        <w:tc>
          <w:tcPr>
            <w:tcW w:w="4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73F21021" w14:textId="34D7A29C" w:rsidR="00D01EBE" w:rsidRPr="00D01EBE" w:rsidRDefault="00D01EBE" w:rsidP="00DD3BAE">
            <w:pPr>
              <w:spacing w:before="0" w:after="0"/>
              <w:jc w:val="center"/>
              <w:rPr>
                <w:color w:val="000000"/>
                <w:sz w:val="20"/>
                <w:szCs w:val="20"/>
                <w:lang w:eastAsia="en-AU"/>
              </w:rPr>
            </w:pPr>
            <w:r>
              <w:rPr>
                <w:color w:val="000000"/>
                <w:sz w:val="20"/>
                <w:szCs w:val="20"/>
                <w:lang w:eastAsia="en-AU"/>
              </w:rPr>
              <w:t>0</w:t>
            </w:r>
          </w:p>
        </w:tc>
      </w:tr>
      <w:tr w:rsidR="00D01EBE" w:rsidRPr="00EC364C" w14:paraId="05F0554E" w14:textId="77777777" w:rsidTr="00D01EBE">
        <w:trPr>
          <w:trHeight w:val="312"/>
          <w:jc w:val="center"/>
        </w:trPr>
        <w:tc>
          <w:tcPr>
            <w:tcW w:w="1303" w:type="dxa"/>
            <w:vMerge w:val="restart"/>
            <w:tcBorders>
              <w:top w:val="single" w:sz="4" w:space="0" w:color="000000"/>
              <w:right w:val="nil"/>
            </w:tcBorders>
            <w:shd w:val="clear" w:color="auto" w:fill="auto"/>
            <w:noWrap/>
            <w:vAlign w:val="center"/>
          </w:tcPr>
          <w:p w14:paraId="42455190" w14:textId="77777777" w:rsidR="00D01EBE" w:rsidRDefault="00D01EBE" w:rsidP="00DD3BAE">
            <w:pPr>
              <w:spacing w:before="0" w:after="0"/>
              <w:rPr>
                <w:color w:val="000000"/>
                <w:sz w:val="20"/>
                <w:szCs w:val="20"/>
                <w:lang w:eastAsia="en-AU"/>
              </w:rPr>
            </w:pPr>
            <w:r>
              <w:rPr>
                <w:color w:val="000000"/>
                <w:sz w:val="20"/>
                <w:szCs w:val="20"/>
                <w:lang w:eastAsia="en-AU"/>
              </w:rPr>
              <w:t>Leaf tissue</w:t>
            </w:r>
          </w:p>
          <w:p w14:paraId="7856CB6A" w14:textId="77777777" w:rsidR="00D01EBE" w:rsidRPr="00EC364C" w:rsidRDefault="00D01EBE" w:rsidP="00DD3BAE">
            <w:pPr>
              <w:spacing w:before="0" w:after="0"/>
              <w:rPr>
                <w:color w:val="000000"/>
                <w:sz w:val="20"/>
                <w:szCs w:val="20"/>
                <w:lang w:eastAsia="en-AU"/>
              </w:rPr>
            </w:pPr>
            <w:r>
              <w:rPr>
                <w:color w:val="000000"/>
                <w:sz w:val="20"/>
                <w:szCs w:val="20"/>
                <w:lang w:eastAsia="en-AU"/>
              </w:rPr>
              <w:t>nutrients</w:t>
            </w:r>
          </w:p>
        </w:tc>
        <w:tc>
          <w:tcPr>
            <w:tcW w:w="1777" w:type="dxa"/>
            <w:tcBorders>
              <w:top w:val="single" w:sz="4" w:space="0" w:color="auto"/>
              <w:left w:val="nil"/>
              <w:bottom w:val="nil"/>
              <w:right w:val="single" w:sz="4" w:space="0" w:color="FFFFFF" w:themeColor="background1"/>
            </w:tcBorders>
            <w:shd w:val="clear" w:color="auto" w:fill="auto"/>
            <w:noWrap/>
            <w:vAlign w:val="center"/>
          </w:tcPr>
          <w:p w14:paraId="34C69400" w14:textId="77777777" w:rsidR="00D01EBE" w:rsidRPr="00EC364C" w:rsidRDefault="00D01EBE" w:rsidP="00DD3BAE">
            <w:pPr>
              <w:spacing w:before="0" w:after="0"/>
              <w:rPr>
                <w:color w:val="000000"/>
                <w:sz w:val="20"/>
                <w:szCs w:val="20"/>
                <w:lang w:eastAsia="en-AU"/>
              </w:rPr>
            </w:pPr>
            <w:r w:rsidRPr="00EC364C">
              <w:rPr>
                <w:color w:val="000000"/>
                <w:sz w:val="20"/>
                <w:szCs w:val="20"/>
                <w:lang w:eastAsia="en-AU"/>
              </w:rPr>
              <w:t>estuarine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41288C75"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63</w:t>
            </w: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8000"/>
            <w:noWrap/>
            <w:vAlign w:val="center"/>
          </w:tcPr>
          <w:p w14:paraId="4BA130C8"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100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01D93F0D"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39</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14:paraId="065499C3"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42</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14:paraId="769B7E9E"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48</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46556DBF"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30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14:paraId="56601AC4"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47</w:t>
            </w:r>
          </w:p>
        </w:tc>
        <w:tc>
          <w:tcPr>
            <w:tcW w:w="45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3FEFBE00"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30</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6B58D5F2" w14:textId="77777777" w:rsidR="00D01EBE" w:rsidRPr="002D209A" w:rsidRDefault="00D01EBE" w:rsidP="00DD3BAE">
            <w:pPr>
              <w:spacing w:before="0" w:after="0"/>
              <w:jc w:val="center"/>
              <w:rPr>
                <w:color w:val="000000"/>
                <w:sz w:val="20"/>
                <w:szCs w:val="20"/>
                <w:lang w:eastAsia="en-AU"/>
              </w:rPr>
            </w:pPr>
            <w:r w:rsidRPr="002D209A">
              <w:rPr>
                <w:color w:val="000000"/>
                <w:sz w:val="20"/>
                <w:szCs w:val="20"/>
                <w:lang w:eastAsia="en-AU"/>
              </w:rPr>
              <w:t>77</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4A149DD9" w14:textId="77777777" w:rsidR="00D01EBE" w:rsidRPr="002D209A" w:rsidRDefault="00D01EBE" w:rsidP="00DD3BAE">
            <w:pPr>
              <w:spacing w:before="0" w:after="0"/>
              <w:jc w:val="center"/>
              <w:rPr>
                <w:color w:val="000000"/>
                <w:sz w:val="20"/>
                <w:szCs w:val="20"/>
                <w:lang w:eastAsia="en-AU"/>
              </w:rPr>
            </w:pPr>
            <w:r>
              <w:rPr>
                <w:color w:val="000000"/>
                <w:sz w:val="20"/>
                <w:szCs w:val="20"/>
                <w:lang w:eastAsia="en-AU"/>
              </w:rPr>
              <w:t>40</w:t>
            </w:r>
          </w:p>
        </w:tc>
        <w:tc>
          <w:tcPr>
            <w:tcW w:w="45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vAlign w:val="center"/>
          </w:tcPr>
          <w:p w14:paraId="13F86E45" w14:textId="77777777" w:rsidR="00D01EBE" w:rsidRDefault="00D01EBE" w:rsidP="00DD3BAE">
            <w:pPr>
              <w:spacing w:before="0" w:after="0"/>
              <w:jc w:val="center"/>
              <w:rPr>
                <w:color w:val="000000"/>
                <w:sz w:val="20"/>
                <w:szCs w:val="20"/>
                <w:lang w:eastAsia="en-AU"/>
              </w:rPr>
            </w:pPr>
            <w:r>
              <w:rPr>
                <w:color w:val="000000"/>
                <w:sz w:val="20"/>
                <w:szCs w:val="20"/>
                <w:lang w:eastAsia="en-AU"/>
              </w:rPr>
              <w:t>50</w:t>
            </w:r>
          </w:p>
        </w:tc>
        <w:tc>
          <w:tcPr>
            <w:tcW w:w="4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vAlign w:val="center"/>
          </w:tcPr>
          <w:p w14:paraId="3CAAF7C7" w14:textId="77777777" w:rsidR="00D01EBE" w:rsidRPr="00D01EBE" w:rsidRDefault="00D01EBE" w:rsidP="00DD3BAE">
            <w:pPr>
              <w:spacing w:before="0" w:after="0"/>
              <w:jc w:val="center"/>
              <w:rPr>
                <w:color w:val="000000"/>
                <w:sz w:val="20"/>
                <w:szCs w:val="20"/>
                <w:lang w:eastAsia="en-AU"/>
              </w:rPr>
            </w:pPr>
            <w:r w:rsidRPr="00D01EBE">
              <w:rPr>
                <w:color w:val="000000"/>
                <w:sz w:val="20"/>
                <w:szCs w:val="20"/>
                <w:lang w:eastAsia="en-AU"/>
              </w:rPr>
              <w:t>45</w:t>
            </w:r>
          </w:p>
        </w:tc>
      </w:tr>
      <w:tr w:rsidR="00D01EBE" w:rsidRPr="00EC364C" w14:paraId="65921570" w14:textId="77777777" w:rsidTr="00D01EBE">
        <w:trPr>
          <w:trHeight w:val="312"/>
          <w:jc w:val="center"/>
        </w:trPr>
        <w:tc>
          <w:tcPr>
            <w:tcW w:w="1303" w:type="dxa"/>
            <w:vMerge/>
            <w:tcBorders>
              <w:bottom w:val="single" w:sz="4" w:space="0" w:color="000000"/>
            </w:tcBorders>
            <w:shd w:val="clear" w:color="auto" w:fill="auto"/>
            <w:noWrap/>
            <w:vAlign w:val="center"/>
          </w:tcPr>
          <w:p w14:paraId="73F86446" w14:textId="77777777" w:rsidR="00D01EBE" w:rsidRDefault="00D01EBE" w:rsidP="00DD3BAE">
            <w:pPr>
              <w:spacing w:before="0" w:after="0"/>
              <w:rPr>
                <w:color w:val="000000"/>
                <w:sz w:val="20"/>
                <w:szCs w:val="20"/>
                <w:lang w:eastAsia="en-AU"/>
              </w:rPr>
            </w:pPr>
          </w:p>
        </w:tc>
        <w:tc>
          <w:tcPr>
            <w:tcW w:w="1777" w:type="dxa"/>
            <w:tcBorders>
              <w:top w:val="nil"/>
              <w:bottom w:val="single" w:sz="4" w:space="0" w:color="000000"/>
            </w:tcBorders>
            <w:shd w:val="clear" w:color="auto" w:fill="auto"/>
            <w:noWrap/>
            <w:vAlign w:val="center"/>
          </w:tcPr>
          <w:p w14:paraId="1B2BBB88" w14:textId="5B353B70" w:rsidR="00D01EBE" w:rsidRPr="00EC364C" w:rsidRDefault="00D01EBE" w:rsidP="00DD3BAE">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themeColor="background1"/>
              <w:bottom w:val="single" w:sz="4" w:space="0" w:color="000000"/>
            </w:tcBorders>
            <w:shd w:val="clear" w:color="auto" w:fill="auto"/>
            <w:noWrap/>
            <w:vAlign w:val="center"/>
          </w:tcPr>
          <w:p w14:paraId="77C60BAC" w14:textId="77777777" w:rsidR="00D01EBE" w:rsidRPr="002D209A" w:rsidRDefault="00D01EBE" w:rsidP="00DD3BAE">
            <w:pPr>
              <w:spacing w:before="0" w:after="0"/>
              <w:jc w:val="center"/>
              <w:rPr>
                <w:color w:val="000000"/>
                <w:sz w:val="20"/>
                <w:szCs w:val="20"/>
                <w:lang w:eastAsia="en-AU"/>
              </w:rPr>
            </w:pPr>
          </w:p>
        </w:tc>
        <w:tc>
          <w:tcPr>
            <w:tcW w:w="620" w:type="dxa"/>
            <w:tcBorders>
              <w:top w:val="single" w:sz="4" w:space="0" w:color="FFFFFF" w:themeColor="background1"/>
              <w:bottom w:val="single" w:sz="4" w:space="0" w:color="000000"/>
            </w:tcBorders>
            <w:shd w:val="clear" w:color="auto" w:fill="auto"/>
            <w:noWrap/>
            <w:vAlign w:val="center"/>
          </w:tcPr>
          <w:p w14:paraId="03BAB954" w14:textId="77777777" w:rsidR="00D01EBE" w:rsidRPr="002D209A" w:rsidRDefault="00D01EBE" w:rsidP="00DD3BAE">
            <w:pPr>
              <w:spacing w:before="0" w:after="0"/>
              <w:jc w:val="center"/>
              <w:rPr>
                <w:color w:val="000000"/>
                <w:sz w:val="20"/>
                <w:szCs w:val="20"/>
                <w:lang w:eastAsia="en-AU"/>
              </w:rPr>
            </w:pPr>
          </w:p>
        </w:tc>
        <w:tc>
          <w:tcPr>
            <w:tcW w:w="519" w:type="dxa"/>
            <w:tcBorders>
              <w:top w:val="single" w:sz="4" w:space="0" w:color="FFFFFF" w:themeColor="background1"/>
              <w:bottom w:val="single" w:sz="4" w:space="0" w:color="000000"/>
            </w:tcBorders>
            <w:shd w:val="clear" w:color="auto" w:fill="auto"/>
            <w:noWrap/>
            <w:vAlign w:val="center"/>
          </w:tcPr>
          <w:p w14:paraId="2D647819" w14:textId="77777777" w:rsidR="00D01EBE" w:rsidRPr="002D209A" w:rsidRDefault="00D01EBE" w:rsidP="00DD3BAE">
            <w:pPr>
              <w:spacing w:before="0" w:after="0"/>
              <w:jc w:val="center"/>
              <w:rPr>
                <w:color w:val="000000"/>
                <w:sz w:val="20"/>
                <w:szCs w:val="20"/>
                <w:lang w:eastAsia="en-AU"/>
              </w:rPr>
            </w:pPr>
          </w:p>
        </w:tc>
        <w:tc>
          <w:tcPr>
            <w:tcW w:w="519" w:type="dxa"/>
            <w:tcBorders>
              <w:top w:val="single" w:sz="4" w:space="0" w:color="FFFFFF" w:themeColor="background1"/>
              <w:bottom w:val="single" w:sz="4" w:space="0" w:color="000000"/>
            </w:tcBorders>
            <w:shd w:val="clear" w:color="auto" w:fill="auto"/>
            <w:noWrap/>
            <w:vAlign w:val="center"/>
          </w:tcPr>
          <w:p w14:paraId="026033D9" w14:textId="77777777" w:rsidR="00D01EBE" w:rsidRPr="002D209A" w:rsidRDefault="00D01EBE" w:rsidP="00DD3BAE">
            <w:pPr>
              <w:spacing w:before="0" w:after="0"/>
              <w:jc w:val="center"/>
              <w:rPr>
                <w:color w:val="000000"/>
                <w:sz w:val="20"/>
                <w:szCs w:val="20"/>
                <w:lang w:eastAsia="en-AU"/>
              </w:rPr>
            </w:pPr>
          </w:p>
        </w:tc>
        <w:tc>
          <w:tcPr>
            <w:tcW w:w="519" w:type="dxa"/>
            <w:tcBorders>
              <w:top w:val="single" w:sz="4" w:space="0" w:color="FFFFFF" w:themeColor="background1"/>
              <w:bottom w:val="single" w:sz="4" w:space="0" w:color="000000"/>
            </w:tcBorders>
            <w:shd w:val="clear" w:color="auto" w:fill="auto"/>
            <w:noWrap/>
            <w:vAlign w:val="center"/>
          </w:tcPr>
          <w:p w14:paraId="3FB1BA5D" w14:textId="77777777" w:rsidR="00D01EBE" w:rsidRPr="002D209A" w:rsidRDefault="00D01EBE" w:rsidP="00DD3BAE">
            <w:pPr>
              <w:spacing w:before="0" w:after="0"/>
              <w:jc w:val="center"/>
              <w:rPr>
                <w:color w:val="000000"/>
                <w:sz w:val="20"/>
                <w:szCs w:val="20"/>
                <w:lang w:eastAsia="en-AU"/>
              </w:rPr>
            </w:pPr>
          </w:p>
        </w:tc>
        <w:tc>
          <w:tcPr>
            <w:tcW w:w="519" w:type="dxa"/>
            <w:tcBorders>
              <w:top w:val="single" w:sz="4" w:space="0" w:color="FFFFFF" w:themeColor="background1"/>
              <w:bottom w:val="single" w:sz="4" w:space="0" w:color="000000"/>
            </w:tcBorders>
            <w:shd w:val="clear" w:color="auto" w:fill="auto"/>
            <w:noWrap/>
            <w:vAlign w:val="center"/>
          </w:tcPr>
          <w:p w14:paraId="204753E9" w14:textId="77777777" w:rsidR="00D01EBE" w:rsidRPr="002D209A" w:rsidRDefault="00D01EBE" w:rsidP="00DD3BAE">
            <w:pPr>
              <w:spacing w:before="0" w:after="0"/>
              <w:jc w:val="center"/>
              <w:rPr>
                <w:color w:val="000000"/>
                <w:sz w:val="20"/>
                <w:szCs w:val="20"/>
                <w:lang w:eastAsia="en-AU"/>
              </w:rPr>
            </w:pPr>
          </w:p>
        </w:tc>
        <w:tc>
          <w:tcPr>
            <w:tcW w:w="519" w:type="dxa"/>
            <w:tcBorders>
              <w:top w:val="single" w:sz="4" w:space="0" w:color="FFFFFF" w:themeColor="background1"/>
              <w:bottom w:val="single" w:sz="4" w:space="0" w:color="000000"/>
            </w:tcBorders>
            <w:shd w:val="clear" w:color="auto" w:fill="auto"/>
            <w:noWrap/>
            <w:vAlign w:val="center"/>
          </w:tcPr>
          <w:p w14:paraId="6B6ADF1E" w14:textId="77777777" w:rsidR="00D01EBE" w:rsidRPr="002D209A" w:rsidRDefault="00D01EBE" w:rsidP="00DD3BAE">
            <w:pPr>
              <w:spacing w:before="0" w:after="0"/>
              <w:jc w:val="center"/>
              <w:rPr>
                <w:color w:val="000000"/>
                <w:sz w:val="20"/>
                <w:szCs w:val="20"/>
                <w:lang w:eastAsia="en-AU"/>
              </w:rPr>
            </w:pPr>
          </w:p>
        </w:tc>
        <w:tc>
          <w:tcPr>
            <w:tcW w:w="456" w:type="dxa"/>
            <w:tcBorders>
              <w:top w:val="single" w:sz="4" w:space="0" w:color="FFFFFF" w:themeColor="background1"/>
              <w:bottom w:val="single" w:sz="4" w:space="0" w:color="000000"/>
            </w:tcBorders>
            <w:shd w:val="clear" w:color="auto" w:fill="auto"/>
            <w:vAlign w:val="center"/>
          </w:tcPr>
          <w:p w14:paraId="7DFE7B0E" w14:textId="77777777" w:rsidR="00D01EBE" w:rsidRPr="002D209A" w:rsidRDefault="00D01EBE" w:rsidP="00DD3BAE">
            <w:pPr>
              <w:spacing w:before="0" w:after="0"/>
              <w:jc w:val="center"/>
              <w:rPr>
                <w:color w:val="000000"/>
                <w:sz w:val="20"/>
                <w:szCs w:val="20"/>
                <w:lang w:eastAsia="en-AU"/>
              </w:rPr>
            </w:pPr>
          </w:p>
        </w:tc>
        <w:tc>
          <w:tcPr>
            <w:tcW w:w="457" w:type="dxa"/>
            <w:tcBorders>
              <w:top w:val="single" w:sz="4" w:space="0" w:color="FFFFFF" w:themeColor="background1"/>
              <w:bottom w:val="single" w:sz="4" w:space="0" w:color="000000"/>
            </w:tcBorders>
            <w:shd w:val="clear" w:color="auto" w:fill="auto"/>
            <w:vAlign w:val="center"/>
          </w:tcPr>
          <w:p w14:paraId="26C3BD5A" w14:textId="77777777" w:rsidR="00D01EBE" w:rsidRPr="002D209A" w:rsidRDefault="00D01EBE" w:rsidP="00DD3BAE">
            <w:pPr>
              <w:spacing w:before="0" w:after="0"/>
              <w:jc w:val="center"/>
              <w:rPr>
                <w:color w:val="000000"/>
                <w:sz w:val="20"/>
                <w:szCs w:val="20"/>
                <w:lang w:eastAsia="en-AU"/>
              </w:rPr>
            </w:pPr>
          </w:p>
        </w:tc>
        <w:tc>
          <w:tcPr>
            <w:tcW w:w="457" w:type="dxa"/>
            <w:tcBorders>
              <w:top w:val="single" w:sz="4" w:space="0" w:color="FFFFFF" w:themeColor="background1"/>
              <w:bottom w:val="single" w:sz="4" w:space="0" w:color="000000"/>
            </w:tcBorders>
            <w:shd w:val="clear" w:color="auto" w:fill="auto"/>
            <w:vAlign w:val="center"/>
          </w:tcPr>
          <w:p w14:paraId="3E43E383" w14:textId="77777777" w:rsidR="00D01EBE" w:rsidRDefault="00D01EBE" w:rsidP="00DD3BAE">
            <w:pPr>
              <w:spacing w:before="0" w:after="0"/>
              <w:jc w:val="center"/>
              <w:rPr>
                <w:color w:val="000000"/>
                <w:sz w:val="20"/>
                <w:szCs w:val="20"/>
                <w:lang w:eastAsia="en-AU"/>
              </w:rPr>
            </w:pPr>
          </w:p>
        </w:tc>
        <w:tc>
          <w:tcPr>
            <w:tcW w:w="457" w:type="dxa"/>
            <w:tcBorders>
              <w:top w:val="single" w:sz="4" w:space="0" w:color="FFFFFF" w:themeColor="background1"/>
              <w:bottom w:val="single" w:sz="4" w:space="0" w:color="000000"/>
            </w:tcBorders>
            <w:shd w:val="clear" w:color="auto" w:fill="auto"/>
            <w:vAlign w:val="center"/>
          </w:tcPr>
          <w:p w14:paraId="4D7BECCF" w14:textId="77777777" w:rsidR="00D01EBE" w:rsidRDefault="00D01EBE" w:rsidP="00DD3BAE">
            <w:pPr>
              <w:spacing w:before="0" w:after="0"/>
              <w:jc w:val="center"/>
              <w:rPr>
                <w:color w:val="000000"/>
                <w:sz w:val="20"/>
                <w:szCs w:val="20"/>
                <w:lang w:eastAsia="en-AU"/>
              </w:rPr>
            </w:pPr>
          </w:p>
        </w:tc>
        <w:tc>
          <w:tcPr>
            <w:tcW w:w="419" w:type="dxa"/>
            <w:tcBorders>
              <w:top w:val="single" w:sz="4" w:space="0" w:color="FFFFFF" w:themeColor="background1"/>
              <w:bottom w:val="single" w:sz="4" w:space="0" w:color="000000"/>
            </w:tcBorders>
            <w:shd w:val="clear" w:color="auto" w:fill="FFCC00"/>
            <w:vAlign w:val="center"/>
          </w:tcPr>
          <w:p w14:paraId="2638A156" w14:textId="3DEFA094" w:rsidR="00D01EBE" w:rsidRPr="00D01EBE" w:rsidRDefault="00D01EBE" w:rsidP="00DD3BAE">
            <w:pPr>
              <w:spacing w:before="0" w:after="0"/>
              <w:jc w:val="center"/>
              <w:rPr>
                <w:color w:val="000000"/>
                <w:sz w:val="20"/>
                <w:szCs w:val="20"/>
                <w:lang w:eastAsia="en-AU"/>
              </w:rPr>
            </w:pPr>
            <w:r>
              <w:rPr>
                <w:color w:val="000000"/>
                <w:sz w:val="20"/>
                <w:szCs w:val="20"/>
                <w:lang w:eastAsia="en-AU"/>
              </w:rPr>
              <w:t>22</w:t>
            </w:r>
          </w:p>
        </w:tc>
      </w:tr>
      <w:tr w:rsidR="005209EC" w:rsidRPr="002D209A" w14:paraId="0C3DEFFF" w14:textId="77777777" w:rsidTr="00D01EBE">
        <w:trPr>
          <w:trHeight w:val="312"/>
          <w:jc w:val="center"/>
        </w:trPr>
        <w:tc>
          <w:tcPr>
            <w:tcW w:w="3080" w:type="dxa"/>
            <w:gridSpan w:val="2"/>
            <w:tcBorders>
              <w:top w:val="single" w:sz="4" w:space="0" w:color="000000"/>
              <w:bottom w:val="single" w:sz="4" w:space="0" w:color="000000"/>
            </w:tcBorders>
            <w:shd w:val="clear" w:color="auto" w:fill="auto"/>
            <w:noWrap/>
            <w:vAlign w:val="center"/>
          </w:tcPr>
          <w:p w14:paraId="700533CD" w14:textId="77777777" w:rsidR="005209EC" w:rsidRPr="002D209A" w:rsidRDefault="005209EC" w:rsidP="00DD3BAE">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FFCC00"/>
            <w:noWrap/>
            <w:vAlign w:val="center"/>
          </w:tcPr>
          <w:p w14:paraId="12A12E98"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36</w:t>
            </w:r>
          </w:p>
        </w:tc>
        <w:tc>
          <w:tcPr>
            <w:tcW w:w="620" w:type="dxa"/>
            <w:tcBorders>
              <w:top w:val="single" w:sz="4" w:space="0" w:color="000000"/>
              <w:bottom w:val="single" w:sz="4" w:space="0" w:color="000000"/>
            </w:tcBorders>
            <w:shd w:val="clear" w:color="auto" w:fill="FFCC00"/>
            <w:noWrap/>
            <w:vAlign w:val="center"/>
          </w:tcPr>
          <w:p w14:paraId="4C853F15"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33</w:t>
            </w:r>
          </w:p>
        </w:tc>
        <w:tc>
          <w:tcPr>
            <w:tcW w:w="519" w:type="dxa"/>
            <w:tcBorders>
              <w:top w:val="single" w:sz="4" w:space="0" w:color="000000"/>
              <w:bottom w:val="single" w:sz="4" w:space="0" w:color="000000"/>
            </w:tcBorders>
            <w:shd w:val="clear" w:color="auto" w:fill="FFCC00"/>
            <w:noWrap/>
            <w:vAlign w:val="center"/>
          </w:tcPr>
          <w:p w14:paraId="2ED1D582"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24</w:t>
            </w:r>
          </w:p>
        </w:tc>
        <w:tc>
          <w:tcPr>
            <w:tcW w:w="519" w:type="dxa"/>
            <w:tcBorders>
              <w:top w:val="single" w:sz="4" w:space="0" w:color="000000"/>
              <w:bottom w:val="single" w:sz="4" w:space="0" w:color="000000"/>
            </w:tcBorders>
            <w:shd w:val="clear" w:color="auto" w:fill="FFCC00"/>
            <w:noWrap/>
            <w:vAlign w:val="center"/>
          </w:tcPr>
          <w:p w14:paraId="42F89DA4"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34</w:t>
            </w:r>
          </w:p>
        </w:tc>
        <w:tc>
          <w:tcPr>
            <w:tcW w:w="519" w:type="dxa"/>
            <w:tcBorders>
              <w:top w:val="single" w:sz="4" w:space="0" w:color="000000"/>
              <w:bottom w:val="single" w:sz="4" w:space="0" w:color="000000"/>
            </w:tcBorders>
            <w:shd w:val="clear" w:color="auto" w:fill="FFCC00"/>
            <w:noWrap/>
            <w:vAlign w:val="center"/>
          </w:tcPr>
          <w:p w14:paraId="56C46602"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0000"/>
            <w:noWrap/>
            <w:vAlign w:val="center"/>
          </w:tcPr>
          <w:p w14:paraId="478A34DD"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11</w:t>
            </w:r>
          </w:p>
        </w:tc>
        <w:tc>
          <w:tcPr>
            <w:tcW w:w="519" w:type="dxa"/>
            <w:tcBorders>
              <w:top w:val="single" w:sz="4" w:space="0" w:color="000000"/>
              <w:bottom w:val="single" w:sz="4" w:space="0" w:color="000000"/>
            </w:tcBorders>
            <w:shd w:val="clear" w:color="auto" w:fill="FF0000"/>
            <w:noWrap/>
            <w:vAlign w:val="center"/>
          </w:tcPr>
          <w:p w14:paraId="1C1AEFD5"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18</w:t>
            </w:r>
          </w:p>
        </w:tc>
        <w:tc>
          <w:tcPr>
            <w:tcW w:w="456" w:type="dxa"/>
            <w:tcBorders>
              <w:top w:val="single" w:sz="4" w:space="0" w:color="000000"/>
              <w:bottom w:val="single" w:sz="4" w:space="0" w:color="000000"/>
            </w:tcBorders>
            <w:shd w:val="clear" w:color="auto" w:fill="FF0000"/>
            <w:vAlign w:val="center"/>
          </w:tcPr>
          <w:p w14:paraId="506F8749"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12</w:t>
            </w:r>
          </w:p>
        </w:tc>
        <w:tc>
          <w:tcPr>
            <w:tcW w:w="457" w:type="dxa"/>
            <w:tcBorders>
              <w:top w:val="single" w:sz="4" w:space="0" w:color="000000"/>
              <w:bottom w:val="single" w:sz="4" w:space="0" w:color="000000"/>
            </w:tcBorders>
            <w:shd w:val="clear" w:color="auto" w:fill="FFCC00"/>
            <w:vAlign w:val="center"/>
          </w:tcPr>
          <w:p w14:paraId="61A5CB3E"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29</w:t>
            </w:r>
          </w:p>
        </w:tc>
        <w:tc>
          <w:tcPr>
            <w:tcW w:w="457" w:type="dxa"/>
            <w:tcBorders>
              <w:top w:val="single" w:sz="4" w:space="0" w:color="000000"/>
              <w:bottom w:val="single" w:sz="4" w:space="0" w:color="000000"/>
            </w:tcBorders>
            <w:shd w:val="clear" w:color="auto" w:fill="FFCC00"/>
            <w:vAlign w:val="center"/>
          </w:tcPr>
          <w:p w14:paraId="3072ED8E" w14:textId="77777777" w:rsidR="005209EC" w:rsidRPr="00423BA4" w:rsidRDefault="005209EC" w:rsidP="00DD3BAE">
            <w:pPr>
              <w:spacing w:before="0" w:after="0"/>
              <w:jc w:val="center"/>
              <w:rPr>
                <w:b/>
                <w:color w:val="000000"/>
                <w:sz w:val="20"/>
                <w:szCs w:val="20"/>
                <w:lang w:eastAsia="en-AU"/>
              </w:rPr>
            </w:pPr>
            <w:r w:rsidRPr="006834BF">
              <w:rPr>
                <w:b/>
                <w:color w:val="000000"/>
                <w:sz w:val="20"/>
                <w:szCs w:val="20"/>
                <w:lang w:eastAsia="en-AU"/>
              </w:rPr>
              <w:t>25</w:t>
            </w:r>
          </w:p>
        </w:tc>
        <w:tc>
          <w:tcPr>
            <w:tcW w:w="457" w:type="dxa"/>
            <w:tcBorders>
              <w:top w:val="single" w:sz="4" w:space="0" w:color="000000"/>
              <w:bottom w:val="single" w:sz="4" w:space="0" w:color="000000"/>
            </w:tcBorders>
            <w:shd w:val="clear" w:color="auto" w:fill="FFCC00"/>
            <w:vAlign w:val="center"/>
          </w:tcPr>
          <w:p w14:paraId="441026DE" w14:textId="30C0DB03" w:rsidR="005209EC" w:rsidRPr="006834BF" w:rsidRDefault="00D01EBE" w:rsidP="00DD3BAE">
            <w:pPr>
              <w:spacing w:before="0" w:after="0"/>
              <w:jc w:val="center"/>
              <w:rPr>
                <w:b/>
                <w:color w:val="000000"/>
                <w:sz w:val="20"/>
                <w:szCs w:val="20"/>
                <w:lang w:eastAsia="en-AU"/>
              </w:rPr>
            </w:pPr>
            <w:r>
              <w:rPr>
                <w:b/>
                <w:color w:val="000000"/>
                <w:sz w:val="20"/>
                <w:szCs w:val="20"/>
                <w:lang w:eastAsia="en-AU"/>
              </w:rPr>
              <w:t>39</w:t>
            </w:r>
          </w:p>
        </w:tc>
        <w:tc>
          <w:tcPr>
            <w:tcW w:w="419" w:type="dxa"/>
            <w:tcBorders>
              <w:top w:val="single" w:sz="4" w:space="0" w:color="000000"/>
              <w:bottom w:val="single" w:sz="4" w:space="0" w:color="000000"/>
            </w:tcBorders>
            <w:shd w:val="clear" w:color="auto" w:fill="FFCC00"/>
            <w:vAlign w:val="center"/>
          </w:tcPr>
          <w:p w14:paraId="3AAFFB06" w14:textId="77777777" w:rsidR="005209EC" w:rsidRPr="00A6550B" w:rsidRDefault="005209EC" w:rsidP="00DD3BAE">
            <w:pPr>
              <w:spacing w:before="0" w:after="0"/>
              <w:jc w:val="center"/>
              <w:rPr>
                <w:b/>
                <w:sz w:val="20"/>
                <w:szCs w:val="20"/>
              </w:rPr>
            </w:pPr>
            <w:r w:rsidRPr="00A6550B">
              <w:rPr>
                <w:b/>
                <w:sz w:val="20"/>
                <w:szCs w:val="20"/>
              </w:rPr>
              <w:t>21</w:t>
            </w:r>
          </w:p>
        </w:tc>
      </w:tr>
    </w:tbl>
    <w:p w14:paraId="141996F7" w14:textId="15261518" w:rsidR="0034611B" w:rsidRDefault="0034611B" w:rsidP="00DD3BAE">
      <w:pPr>
        <w:spacing w:before="0" w:after="0"/>
        <w:rPr>
          <w:szCs w:val="22"/>
          <w:lang w:val="en-US"/>
        </w:rPr>
      </w:pPr>
    </w:p>
    <w:p w14:paraId="4BEB4B7C" w14:textId="1CBBA605" w:rsidR="00C13AAA" w:rsidRDefault="00C13AAA">
      <w:pPr>
        <w:spacing w:before="0" w:after="0"/>
        <w:rPr>
          <w:szCs w:val="22"/>
          <w:lang w:val="en-US"/>
        </w:rPr>
      </w:pPr>
      <w:r>
        <w:rPr>
          <w:szCs w:val="22"/>
          <w:lang w:val="en-US"/>
        </w:rPr>
        <w:br w:type="page"/>
      </w:r>
    </w:p>
    <w:p w14:paraId="5F61A191" w14:textId="35F2324F" w:rsidR="00C13AAA" w:rsidRPr="001F473C" w:rsidRDefault="00C13AAA" w:rsidP="00C13AAA">
      <w:pPr>
        <w:pStyle w:val="Heading1"/>
        <w:pageBreakBefore w:val="0"/>
        <w:numPr>
          <w:ilvl w:val="0"/>
          <w:numId w:val="9"/>
        </w:numPr>
        <w:rPr>
          <w:rFonts w:ascii="Century Gothic" w:hAnsi="Century Gothic"/>
          <w:color w:val="000000"/>
        </w:rPr>
      </w:pPr>
      <w:bookmarkStart w:id="639" w:name="_Toc431493788"/>
      <w:bookmarkStart w:id="640" w:name="_Toc516053173"/>
      <w:r w:rsidRPr="001F473C">
        <w:rPr>
          <w:rFonts w:ascii="Century Gothic" w:hAnsi="Century Gothic"/>
          <w:color w:val="000000"/>
        </w:rPr>
        <w:t>Conclusions</w:t>
      </w:r>
      <w:bookmarkEnd w:id="639"/>
      <w:bookmarkEnd w:id="640"/>
    </w:p>
    <w:p w14:paraId="108039FF" w14:textId="771CADCA" w:rsidR="00250AD6" w:rsidRPr="00250AD6" w:rsidRDefault="00250AD6" w:rsidP="00250AD6">
      <w:pPr>
        <w:autoSpaceDE w:val="0"/>
        <w:autoSpaceDN w:val="0"/>
        <w:adjustRightInd w:val="0"/>
        <w:rPr>
          <w:rFonts w:cs="TimesNewRoman"/>
          <w:color w:val="000000" w:themeColor="text1"/>
          <w:szCs w:val="22"/>
        </w:rPr>
      </w:pPr>
      <w:bookmarkStart w:id="641" w:name="_Ref354905017"/>
      <w:bookmarkStart w:id="642" w:name="_Toc170191672"/>
      <w:bookmarkStart w:id="643" w:name="_Toc175991100"/>
      <w:bookmarkStart w:id="644" w:name="_Toc176079593"/>
      <w:bookmarkStart w:id="645" w:name="_Toc232845951"/>
      <w:r w:rsidRPr="00250AD6">
        <w:rPr>
          <w:rFonts w:cs="TimesNewRoman"/>
          <w:szCs w:val="22"/>
        </w:rPr>
        <w:t xml:space="preserve">In </w:t>
      </w:r>
      <w:r w:rsidR="008574EC">
        <w:rPr>
          <w:rFonts w:cs="TimesNewRoman"/>
          <w:szCs w:val="22"/>
        </w:rPr>
        <w:t>2016–17</w:t>
      </w:r>
      <w:r w:rsidRPr="00250AD6">
        <w:rPr>
          <w:rFonts w:cs="TimesNewRoman"/>
          <w:szCs w:val="22"/>
        </w:rPr>
        <w:t xml:space="preserve">, the inshore seagrass of the </w:t>
      </w:r>
      <w:r w:rsidR="007F6948">
        <w:rPr>
          <w:rFonts w:cs="TimesNewRoman"/>
          <w:szCs w:val="22"/>
        </w:rPr>
        <w:t>Great Barrier Reef</w:t>
      </w:r>
      <w:r w:rsidRPr="00250AD6">
        <w:rPr>
          <w:rFonts w:cs="TimesNewRoman"/>
          <w:szCs w:val="22"/>
        </w:rPr>
        <w:t xml:space="preserve"> </w:t>
      </w:r>
      <w:r w:rsidRPr="00250AD6">
        <w:rPr>
          <w:rFonts w:cs="TimesNewRoman"/>
          <w:color w:val="000000" w:themeColor="text1"/>
          <w:szCs w:val="22"/>
        </w:rPr>
        <w:t xml:space="preserve">was rated in a </w:t>
      </w:r>
      <w:r w:rsidRPr="00250AD6">
        <w:rPr>
          <w:rFonts w:cs="TimesNewRoman"/>
          <w:b/>
          <w:color w:val="000000" w:themeColor="text1"/>
          <w:szCs w:val="22"/>
        </w:rPr>
        <w:t>poor</w:t>
      </w:r>
      <w:r w:rsidRPr="00250AD6">
        <w:rPr>
          <w:rFonts w:cs="TimesNewRoman"/>
          <w:color w:val="000000" w:themeColor="text1"/>
          <w:szCs w:val="22"/>
        </w:rPr>
        <w:t xml:space="preserve"> condition in all NRM regions, except the Burdekin region which was rated </w:t>
      </w:r>
      <w:r w:rsidRPr="00250AD6">
        <w:rPr>
          <w:rFonts w:cs="TimesNewRoman"/>
          <w:b/>
          <w:color w:val="000000" w:themeColor="text1"/>
          <w:szCs w:val="22"/>
        </w:rPr>
        <w:t>moderate</w:t>
      </w:r>
      <w:r w:rsidRPr="00250AD6">
        <w:rPr>
          <w:rFonts w:cs="TimesNewRoman"/>
          <w:color w:val="000000" w:themeColor="text1"/>
          <w:szCs w:val="22"/>
        </w:rPr>
        <w:t xml:space="preserve">. The </w:t>
      </w:r>
      <w:r w:rsidR="00EC56A0">
        <w:rPr>
          <w:rFonts w:cs="TimesNewRoman"/>
          <w:color w:val="000000" w:themeColor="text1"/>
          <w:szCs w:val="22"/>
        </w:rPr>
        <w:t xml:space="preserve">seagrass condition in the </w:t>
      </w:r>
      <w:r w:rsidRPr="00250AD6">
        <w:rPr>
          <w:rFonts w:cs="TimesNewRoman"/>
          <w:color w:val="000000" w:themeColor="text1"/>
          <w:szCs w:val="22"/>
        </w:rPr>
        <w:t>Fitzr</w:t>
      </w:r>
      <w:r w:rsidR="00EC56A0">
        <w:rPr>
          <w:rFonts w:cs="TimesNewRoman"/>
          <w:color w:val="000000" w:themeColor="text1"/>
          <w:szCs w:val="22"/>
        </w:rPr>
        <w:t>oy and southern Wet Tropics has</w:t>
      </w:r>
      <w:r w:rsidRPr="00250AD6">
        <w:rPr>
          <w:rFonts w:cs="TimesNewRoman"/>
          <w:color w:val="000000" w:themeColor="text1"/>
          <w:szCs w:val="22"/>
        </w:rPr>
        <w:t xml:space="preserve"> maintained low overall condition including abundance and reproduction</w:t>
      </w:r>
      <w:r w:rsidR="00EC56A0">
        <w:rPr>
          <w:rFonts w:cs="TimesNewRoman"/>
          <w:color w:val="000000" w:themeColor="text1"/>
          <w:szCs w:val="22"/>
        </w:rPr>
        <w:t>. Seagrass in these regions</w:t>
      </w:r>
      <w:r w:rsidRPr="00250AD6">
        <w:rPr>
          <w:rFonts w:cs="TimesNewRoman"/>
          <w:color w:val="000000" w:themeColor="text1"/>
          <w:szCs w:val="22"/>
        </w:rPr>
        <w:t xml:space="preserve"> </w:t>
      </w:r>
      <w:r w:rsidR="00EC56A0">
        <w:rPr>
          <w:rFonts w:cs="TimesNewRoman"/>
          <w:color w:val="000000" w:themeColor="text1"/>
          <w:szCs w:val="22"/>
        </w:rPr>
        <w:t>continue to be</w:t>
      </w:r>
      <w:r w:rsidRPr="00250AD6">
        <w:rPr>
          <w:rFonts w:cs="TimesNewRoman"/>
          <w:color w:val="000000" w:themeColor="text1"/>
          <w:szCs w:val="22"/>
        </w:rPr>
        <w:t xml:space="preserve"> highly vulnerable </w:t>
      </w:r>
      <w:r w:rsidR="00C34E54">
        <w:rPr>
          <w:rFonts w:cs="TimesNewRoman"/>
          <w:color w:val="000000" w:themeColor="text1"/>
          <w:szCs w:val="22"/>
        </w:rPr>
        <w:t>in some habitats</w:t>
      </w:r>
      <w:r w:rsidRPr="00250AD6">
        <w:rPr>
          <w:rFonts w:cs="TimesNewRoman"/>
          <w:color w:val="000000" w:themeColor="text1"/>
          <w:szCs w:val="22"/>
        </w:rPr>
        <w:t>.</w:t>
      </w:r>
      <w:r w:rsidR="00C34E54">
        <w:rPr>
          <w:rFonts w:cs="TimesNewRoman"/>
          <w:color w:val="000000" w:themeColor="text1"/>
          <w:szCs w:val="22"/>
        </w:rPr>
        <w:t xml:space="preserve"> These trends have also been observed </w:t>
      </w:r>
      <w:r w:rsidR="00601EDE">
        <w:rPr>
          <w:rFonts w:cs="TimesNewRoman"/>
          <w:color w:val="000000" w:themeColor="text1"/>
          <w:szCs w:val="22"/>
        </w:rPr>
        <w:t>in meadows assessed annually in the Queensland Ports Seagrass Monitoring program (QPSMP).</w:t>
      </w:r>
      <w:r w:rsidRPr="00250AD6">
        <w:rPr>
          <w:rFonts w:cs="TimesNewRoman"/>
          <w:color w:val="000000" w:themeColor="text1"/>
          <w:szCs w:val="22"/>
        </w:rPr>
        <w:t xml:space="preserve"> At a habitat level, the habitats in poorest condition were reef habitats: intertidal </w:t>
      </w:r>
      <w:r w:rsidR="0034784B">
        <w:rPr>
          <w:rFonts w:cs="TimesNewRoman"/>
          <w:color w:val="000000" w:themeColor="text1"/>
          <w:szCs w:val="22"/>
        </w:rPr>
        <w:t xml:space="preserve">and subtidal </w:t>
      </w:r>
      <w:r w:rsidR="00AB6A10">
        <w:rPr>
          <w:rFonts w:cs="TimesNewRoman"/>
          <w:color w:val="000000" w:themeColor="text1"/>
          <w:szCs w:val="22"/>
        </w:rPr>
        <w:t xml:space="preserve">reef </w:t>
      </w:r>
      <w:r w:rsidRPr="00250AD6">
        <w:rPr>
          <w:rFonts w:cs="TimesNewRoman"/>
          <w:color w:val="000000" w:themeColor="text1"/>
          <w:szCs w:val="22"/>
        </w:rPr>
        <w:t xml:space="preserve">habitats have consistently had very poor reproductive effort and low </w:t>
      </w:r>
      <w:r w:rsidR="0034784B">
        <w:rPr>
          <w:rFonts w:cs="TimesNewRoman"/>
          <w:color w:val="000000" w:themeColor="text1"/>
          <w:szCs w:val="22"/>
        </w:rPr>
        <w:t xml:space="preserve">or no </w:t>
      </w:r>
      <w:r w:rsidRPr="00250AD6">
        <w:rPr>
          <w:rFonts w:cs="TimesNewRoman"/>
          <w:color w:val="000000" w:themeColor="text1"/>
          <w:szCs w:val="22"/>
        </w:rPr>
        <w:t xml:space="preserve">seeds in the seed banks, while the subtidal </w:t>
      </w:r>
      <w:r w:rsidR="00AB6A10">
        <w:rPr>
          <w:rFonts w:cs="TimesNewRoman"/>
          <w:color w:val="000000" w:themeColor="text1"/>
          <w:szCs w:val="22"/>
        </w:rPr>
        <w:t xml:space="preserve">reef </w:t>
      </w:r>
      <w:r w:rsidRPr="00250AD6">
        <w:rPr>
          <w:rFonts w:cs="TimesNewRoman"/>
          <w:color w:val="000000" w:themeColor="text1"/>
          <w:szCs w:val="22"/>
        </w:rPr>
        <w:t>habitats have shown little sign of recovery in abundance following 2011 (except Magnetic Island in the Burdekin</w:t>
      </w:r>
      <w:r w:rsidR="00B420A2">
        <w:rPr>
          <w:rFonts w:cs="TimesNewRoman"/>
          <w:color w:val="000000" w:themeColor="text1"/>
          <w:szCs w:val="22"/>
        </w:rPr>
        <w:t xml:space="preserve"> NRM region</w:t>
      </w:r>
      <w:r w:rsidRPr="00250AD6">
        <w:rPr>
          <w:rFonts w:cs="TimesNewRoman"/>
          <w:color w:val="000000" w:themeColor="text1"/>
          <w:szCs w:val="22"/>
        </w:rPr>
        <w:t xml:space="preserve">). </w:t>
      </w:r>
    </w:p>
    <w:p w14:paraId="223D9C1E" w14:textId="2AF16B42" w:rsidR="00250AD6" w:rsidRPr="00250AD6" w:rsidRDefault="00250AD6" w:rsidP="00250AD6">
      <w:pPr>
        <w:autoSpaceDE w:val="0"/>
        <w:autoSpaceDN w:val="0"/>
        <w:adjustRightInd w:val="0"/>
        <w:rPr>
          <w:rFonts w:cs="TimesNewRoman"/>
          <w:color w:val="000000" w:themeColor="text1"/>
          <w:szCs w:val="22"/>
        </w:rPr>
      </w:pPr>
      <w:r w:rsidRPr="00250AD6">
        <w:rPr>
          <w:rFonts w:cs="TimesNewRoman"/>
          <w:color w:val="000000" w:themeColor="text1"/>
          <w:szCs w:val="22"/>
        </w:rPr>
        <w:t>The</w:t>
      </w:r>
      <w:r w:rsidR="00601EDE">
        <w:rPr>
          <w:rFonts w:cs="TimesNewRoman"/>
          <w:color w:val="000000" w:themeColor="text1"/>
          <w:szCs w:val="22"/>
        </w:rPr>
        <w:t xml:space="preserve"> only</w:t>
      </w:r>
      <w:r w:rsidRPr="00250AD6">
        <w:rPr>
          <w:rFonts w:cs="TimesNewRoman"/>
          <w:color w:val="000000" w:themeColor="text1"/>
          <w:szCs w:val="22"/>
        </w:rPr>
        <w:t xml:space="preserve"> indicator showing </w:t>
      </w:r>
      <w:r w:rsidR="00601EDE">
        <w:rPr>
          <w:rFonts w:cs="TimesNewRoman"/>
          <w:color w:val="000000" w:themeColor="text1"/>
          <w:szCs w:val="22"/>
        </w:rPr>
        <w:t xml:space="preserve">overall improvements </w:t>
      </w:r>
      <w:r w:rsidRPr="00250AD6">
        <w:rPr>
          <w:rFonts w:cs="TimesNewRoman"/>
          <w:color w:val="000000" w:themeColor="text1"/>
          <w:szCs w:val="22"/>
        </w:rPr>
        <w:t xml:space="preserve">in </w:t>
      </w:r>
      <w:r w:rsidR="008574EC">
        <w:rPr>
          <w:rFonts w:cs="TimesNewRoman"/>
          <w:color w:val="000000" w:themeColor="text1"/>
          <w:szCs w:val="22"/>
        </w:rPr>
        <w:t>2016–17</w:t>
      </w:r>
      <w:r w:rsidRPr="00250AD6">
        <w:rPr>
          <w:rFonts w:cs="TimesNewRoman"/>
          <w:color w:val="000000" w:themeColor="text1"/>
          <w:szCs w:val="22"/>
        </w:rPr>
        <w:t xml:space="preserve"> were seagrass leaf tissue nutrients which were in an improved state </w:t>
      </w:r>
      <w:r w:rsidR="00601EDE">
        <w:rPr>
          <w:rFonts w:cs="TimesNewRoman"/>
          <w:color w:val="000000" w:themeColor="text1"/>
          <w:szCs w:val="22"/>
        </w:rPr>
        <w:t>in Cape York, Burdekin and Fitzroy regions, and relatively stable in other regions</w:t>
      </w:r>
      <w:r w:rsidRPr="00250AD6">
        <w:rPr>
          <w:rFonts w:cs="TimesNewRoman"/>
          <w:color w:val="000000" w:themeColor="text1"/>
          <w:szCs w:val="22"/>
        </w:rPr>
        <w:t>. This probably reflects the multiple years of lower than average river discharge and lower nitrogen availability (</w:t>
      </w:r>
      <w:r w:rsidR="001661A5">
        <w:rPr>
          <w:rFonts w:cs="TimesNewRoman"/>
          <w:color w:val="000000" w:themeColor="text1"/>
          <w:szCs w:val="22"/>
          <w:highlight w:val="yellow"/>
        </w:rPr>
        <w:fldChar w:fldCharType="begin"/>
      </w:r>
      <w:r w:rsidR="001661A5">
        <w:rPr>
          <w:rFonts w:cs="TimesNewRoman"/>
          <w:color w:val="000000" w:themeColor="text1"/>
          <w:szCs w:val="22"/>
        </w:rPr>
        <w:instrText xml:space="preserve"> REF _Ref442465342 \h </w:instrText>
      </w:r>
      <w:r w:rsidR="001661A5">
        <w:rPr>
          <w:rFonts w:cs="TimesNewRoman"/>
          <w:color w:val="000000" w:themeColor="text1"/>
          <w:szCs w:val="22"/>
          <w:highlight w:val="yellow"/>
        </w:rPr>
      </w:r>
      <w:r w:rsidR="001661A5">
        <w:rPr>
          <w:rFonts w:cs="TimesNewRoman"/>
          <w:color w:val="000000" w:themeColor="text1"/>
          <w:szCs w:val="22"/>
          <w:highlight w:val="yellow"/>
        </w:rPr>
        <w:fldChar w:fldCharType="separate"/>
      </w:r>
      <w:r w:rsidR="00F87DF9">
        <w:t xml:space="preserve">Table </w:t>
      </w:r>
      <w:r w:rsidR="00F87DF9">
        <w:rPr>
          <w:noProof/>
        </w:rPr>
        <w:t>10</w:t>
      </w:r>
      <w:r w:rsidR="001661A5">
        <w:rPr>
          <w:rFonts w:cs="TimesNewRoman"/>
          <w:color w:val="000000" w:themeColor="text1"/>
          <w:szCs w:val="22"/>
          <w:highlight w:val="yellow"/>
        </w:rPr>
        <w:fldChar w:fldCharType="end"/>
      </w:r>
      <w:r w:rsidRPr="00250AD6">
        <w:rPr>
          <w:rFonts w:cs="TimesNewRoman"/>
          <w:color w:val="000000" w:themeColor="text1"/>
          <w:szCs w:val="22"/>
        </w:rPr>
        <w:t>). This also appears to correlate to reducing dissolved inorganic nutrients concentrations that have been recorded in the Wet Tropics and Burdekin regions (</w:t>
      </w:r>
      <w:r w:rsidRPr="001661A5">
        <w:rPr>
          <w:rFonts w:cs="TimesNewRoman"/>
          <w:color w:val="000000" w:themeColor="text1"/>
          <w:szCs w:val="22"/>
        </w:rPr>
        <w:t>Waterhouse et al 2018</w:t>
      </w:r>
      <w:r w:rsidRPr="00250AD6">
        <w:rPr>
          <w:rFonts w:cs="TimesNewRoman"/>
          <w:color w:val="000000" w:themeColor="text1"/>
          <w:szCs w:val="22"/>
        </w:rPr>
        <w:t xml:space="preserve">). Light levels and photosynthetic carbon uptake can also affect C:N ratios in seagrass leaves, but the recent improvements appear to reflect changes in nitrogen availability because light levels have not been considerably improved in </w:t>
      </w:r>
      <w:r w:rsidR="008574EC">
        <w:rPr>
          <w:rFonts w:cs="TimesNewRoman"/>
          <w:color w:val="000000" w:themeColor="text1"/>
          <w:szCs w:val="22"/>
        </w:rPr>
        <w:t>2016–17</w:t>
      </w:r>
      <w:r w:rsidRPr="00250AD6">
        <w:rPr>
          <w:rFonts w:cs="TimesNewRoman"/>
          <w:color w:val="000000" w:themeColor="text1"/>
          <w:szCs w:val="22"/>
        </w:rPr>
        <w:t xml:space="preserve"> or in previous years.</w:t>
      </w:r>
      <w:r w:rsidR="00601EDE">
        <w:rPr>
          <w:rFonts w:cs="TimesNewRoman"/>
          <w:color w:val="000000" w:themeColor="text1"/>
          <w:szCs w:val="22"/>
        </w:rPr>
        <w:t xml:space="preserve"> </w:t>
      </w:r>
    </w:p>
    <w:p w14:paraId="309AF262" w14:textId="19395F4A" w:rsidR="00250AD6" w:rsidRPr="00250AD6" w:rsidRDefault="00250AD6" w:rsidP="00250AD6">
      <w:pPr>
        <w:autoSpaceDE w:val="0"/>
        <w:autoSpaceDN w:val="0"/>
        <w:adjustRightInd w:val="0"/>
        <w:rPr>
          <w:rFonts w:cs="TimesNewRoman"/>
          <w:color w:val="000000" w:themeColor="text1"/>
          <w:szCs w:val="22"/>
        </w:rPr>
      </w:pPr>
      <w:r w:rsidRPr="00250AD6">
        <w:rPr>
          <w:rFonts w:cs="TimesNewRoman"/>
          <w:color w:val="000000" w:themeColor="text1"/>
          <w:szCs w:val="22"/>
        </w:rPr>
        <w:t xml:space="preserve">Influential climatic conditions in </w:t>
      </w:r>
      <w:r w:rsidR="008574EC">
        <w:rPr>
          <w:rFonts w:cs="TimesNewRoman"/>
          <w:color w:val="000000" w:themeColor="text1"/>
          <w:szCs w:val="22"/>
        </w:rPr>
        <w:t>2016–17</w:t>
      </w:r>
      <w:r w:rsidRPr="00250AD6">
        <w:rPr>
          <w:rFonts w:cs="TimesNewRoman"/>
          <w:color w:val="000000" w:themeColor="text1"/>
          <w:szCs w:val="22"/>
        </w:rPr>
        <w:t xml:space="preserve"> included </w:t>
      </w:r>
      <w:r w:rsidR="00444C95">
        <w:rPr>
          <w:rFonts w:cs="TimesNewRoman"/>
          <w:color w:val="000000" w:themeColor="text1"/>
          <w:szCs w:val="22"/>
        </w:rPr>
        <w:t>t</w:t>
      </w:r>
      <w:r w:rsidR="00444C95" w:rsidRPr="00250AD6">
        <w:rPr>
          <w:rFonts w:cs="TimesNewRoman"/>
          <w:color w:val="000000" w:themeColor="text1"/>
          <w:szCs w:val="22"/>
        </w:rPr>
        <w:t xml:space="preserve">ropical </w:t>
      </w:r>
      <w:r w:rsidR="00444C95">
        <w:rPr>
          <w:rFonts w:cs="TimesNewRoman"/>
          <w:color w:val="000000" w:themeColor="text1"/>
          <w:szCs w:val="22"/>
        </w:rPr>
        <w:t>c</w:t>
      </w:r>
      <w:r w:rsidR="00444C95" w:rsidRPr="00250AD6">
        <w:rPr>
          <w:rFonts w:cs="TimesNewRoman"/>
          <w:color w:val="000000" w:themeColor="text1"/>
          <w:szCs w:val="22"/>
        </w:rPr>
        <w:t xml:space="preserve">yclone </w:t>
      </w:r>
      <w:r w:rsidRPr="00250AD6">
        <w:rPr>
          <w:rFonts w:cs="TimesNewRoman"/>
          <w:color w:val="000000" w:themeColor="text1"/>
          <w:szCs w:val="22"/>
        </w:rPr>
        <w:t>Debbie (category 4), which crossed the coast near Airlie Beach in the Mackay Whitsunday</w:t>
      </w:r>
      <w:r w:rsidR="00673C0D">
        <w:rPr>
          <w:rFonts w:cs="TimesNewRoman"/>
          <w:color w:val="000000" w:themeColor="text1"/>
          <w:szCs w:val="22"/>
        </w:rPr>
        <w:t xml:space="preserve"> region</w:t>
      </w:r>
      <w:r w:rsidRPr="00250AD6">
        <w:rPr>
          <w:rFonts w:cs="TimesNewRoman"/>
          <w:color w:val="000000" w:themeColor="text1"/>
          <w:szCs w:val="22"/>
        </w:rPr>
        <w:t xml:space="preserve"> and tracked down the coast resulting in high rainfall and pulsed river discharge in the Mackay Whitsunday, Fitzroy and Burnett Mary regions. In other regions, rainfall, river discharge and exposure to ‘brown’ or ‘green’ turbid water was at or below average (indicating less turbid water). Despite this, within canopy daily light w</w:t>
      </w:r>
      <w:r w:rsidR="00673C0D">
        <w:rPr>
          <w:rFonts w:cs="TimesNewRoman"/>
          <w:color w:val="000000" w:themeColor="text1"/>
          <w:szCs w:val="22"/>
        </w:rPr>
        <w:t>ere</w:t>
      </w:r>
      <w:r w:rsidRPr="00250AD6">
        <w:rPr>
          <w:rFonts w:cs="TimesNewRoman"/>
          <w:color w:val="000000" w:themeColor="text1"/>
          <w:szCs w:val="22"/>
        </w:rPr>
        <w:t xml:space="preserve"> at or below the long-term averages (indicating more turbid water) for many sites and regions. The discrepancies between daily light and the other indicators, suggests that there are site-scale processes impacting benthic light that are not necessarily detected in the broad-scale analysis of water quality. </w:t>
      </w:r>
    </w:p>
    <w:p w14:paraId="43515804" w14:textId="2F7EB6C4" w:rsidR="00250AD6" w:rsidRPr="00D01EBE" w:rsidRDefault="00601EDE" w:rsidP="00250AD6">
      <w:pPr>
        <w:autoSpaceDE w:val="0"/>
        <w:autoSpaceDN w:val="0"/>
        <w:adjustRightInd w:val="0"/>
        <w:rPr>
          <w:rFonts w:cs="TimesNewRoman"/>
          <w:szCs w:val="22"/>
        </w:rPr>
      </w:pPr>
      <w:r w:rsidRPr="00601EDE">
        <w:rPr>
          <w:rFonts w:cs="TimesNewRoman"/>
          <w:color w:val="000000" w:themeColor="text1"/>
          <w:szCs w:val="22"/>
        </w:rPr>
        <w:t>I</w:t>
      </w:r>
      <w:r w:rsidR="00250AD6" w:rsidRPr="00601EDE">
        <w:rPr>
          <w:rFonts w:cs="TimesNewRoman"/>
          <w:color w:val="000000" w:themeColor="text1"/>
          <w:szCs w:val="22"/>
        </w:rPr>
        <w:t xml:space="preserve">n </w:t>
      </w:r>
      <w:r w:rsidR="008574EC">
        <w:rPr>
          <w:rFonts w:cs="TimesNewRoman"/>
          <w:color w:val="000000" w:themeColor="text1"/>
          <w:szCs w:val="22"/>
        </w:rPr>
        <w:t>2016–17</w:t>
      </w:r>
      <w:r w:rsidR="00250AD6" w:rsidRPr="00601EDE">
        <w:rPr>
          <w:rFonts w:cs="TimesNewRoman"/>
          <w:color w:val="000000" w:themeColor="text1"/>
          <w:szCs w:val="22"/>
        </w:rPr>
        <w:t xml:space="preserve"> there was a marine heatwave affecting the inshore seagrass meadows in all regions of the </w:t>
      </w:r>
      <w:r w:rsidR="007F6948">
        <w:rPr>
          <w:rFonts w:cs="TimesNewRoman"/>
          <w:color w:val="000000" w:themeColor="text1"/>
          <w:szCs w:val="22"/>
        </w:rPr>
        <w:t>Great Barrier Reef</w:t>
      </w:r>
      <w:r w:rsidR="00250AD6" w:rsidRPr="00601EDE">
        <w:rPr>
          <w:rFonts w:cs="TimesNewRoman"/>
          <w:color w:val="000000" w:themeColor="text1"/>
          <w:szCs w:val="22"/>
        </w:rPr>
        <w:t>, resulting in the largest number of high temperature days (&gt;35</w:t>
      </w:r>
      <w:r w:rsidR="00250AD6" w:rsidRPr="00601EDE">
        <w:rPr>
          <w:rFonts w:cs="Calibri"/>
          <w:color w:val="000000" w:themeColor="text1"/>
          <w:szCs w:val="22"/>
        </w:rPr>
        <w:t>°</w:t>
      </w:r>
      <w:r w:rsidR="00250AD6" w:rsidRPr="00601EDE">
        <w:rPr>
          <w:rFonts w:cs="TimesNewRoman"/>
          <w:color w:val="000000" w:themeColor="text1"/>
          <w:szCs w:val="22"/>
        </w:rPr>
        <w:t>C) on record in each region, except in the Burnett Mary, which had the second highest number of high temperature days. This is t</w:t>
      </w:r>
      <w:r w:rsidR="00970D64">
        <w:rPr>
          <w:rFonts w:cs="TimesNewRoman"/>
          <w:color w:val="000000" w:themeColor="text1"/>
          <w:szCs w:val="22"/>
        </w:rPr>
        <w:t>he second year in a row of heat</w:t>
      </w:r>
      <w:r w:rsidR="00250AD6" w:rsidRPr="00601EDE">
        <w:rPr>
          <w:rFonts w:cs="TimesNewRoman"/>
          <w:color w:val="000000" w:themeColor="text1"/>
          <w:szCs w:val="22"/>
        </w:rPr>
        <w:t xml:space="preserve">wave conditions to affect the </w:t>
      </w:r>
      <w:r w:rsidR="007F6948">
        <w:rPr>
          <w:rFonts w:cs="TimesNewRoman"/>
          <w:color w:val="000000" w:themeColor="text1"/>
          <w:szCs w:val="22"/>
        </w:rPr>
        <w:t>Great Barrier Reef</w:t>
      </w:r>
      <w:r w:rsidR="00250AD6" w:rsidRPr="00601EDE">
        <w:rPr>
          <w:rFonts w:cs="TimesNewRoman"/>
          <w:color w:val="000000" w:themeColor="text1"/>
          <w:szCs w:val="22"/>
        </w:rPr>
        <w:t>. In both years, there were only very few extreme high temperature days (&gt;40</w:t>
      </w:r>
      <w:r w:rsidR="00250AD6" w:rsidRPr="00601EDE">
        <w:rPr>
          <w:rFonts w:cs="Calibri"/>
          <w:color w:val="000000" w:themeColor="text1"/>
          <w:szCs w:val="22"/>
        </w:rPr>
        <w:t>°</w:t>
      </w:r>
      <w:r w:rsidR="00250AD6" w:rsidRPr="00601EDE">
        <w:rPr>
          <w:rFonts w:cs="TimesNewRoman"/>
          <w:color w:val="000000" w:themeColor="text1"/>
          <w:szCs w:val="22"/>
        </w:rPr>
        <w:t>C) and so direct temperature stress on photosystems was unlikely. The temperature thresholds reported (35</w:t>
      </w:r>
      <w:r w:rsidR="00250AD6" w:rsidRPr="00601EDE">
        <w:rPr>
          <w:rFonts w:cs="Calibri"/>
          <w:color w:val="000000" w:themeColor="text1"/>
          <w:szCs w:val="22"/>
        </w:rPr>
        <w:t>°</w:t>
      </w:r>
      <w:r w:rsidR="00250AD6" w:rsidRPr="00601EDE">
        <w:rPr>
          <w:rFonts w:cs="TimesNewRoman"/>
          <w:color w:val="000000" w:themeColor="text1"/>
          <w:szCs w:val="22"/>
        </w:rPr>
        <w:t>C, 38</w:t>
      </w:r>
      <w:r w:rsidR="00250AD6" w:rsidRPr="00601EDE">
        <w:rPr>
          <w:rFonts w:cs="Calibri"/>
          <w:color w:val="000000" w:themeColor="text1"/>
          <w:szCs w:val="22"/>
        </w:rPr>
        <w:t>°</w:t>
      </w:r>
      <w:r w:rsidR="00250AD6" w:rsidRPr="00601EDE">
        <w:rPr>
          <w:rFonts w:cs="TimesNewRoman"/>
          <w:color w:val="000000" w:themeColor="text1"/>
          <w:szCs w:val="22"/>
        </w:rPr>
        <w:t>C, 40</w:t>
      </w:r>
      <w:r w:rsidR="00250AD6" w:rsidRPr="00601EDE">
        <w:rPr>
          <w:rFonts w:cs="Calibri"/>
          <w:color w:val="000000" w:themeColor="text1"/>
          <w:szCs w:val="22"/>
        </w:rPr>
        <w:t>°</w:t>
      </w:r>
      <w:r w:rsidR="00250AD6" w:rsidRPr="00601EDE">
        <w:rPr>
          <w:rFonts w:cs="TimesNewRoman"/>
          <w:color w:val="000000" w:themeColor="text1"/>
          <w:szCs w:val="22"/>
        </w:rPr>
        <w:t>C, 43</w:t>
      </w:r>
      <w:r w:rsidR="00250AD6" w:rsidRPr="00601EDE">
        <w:rPr>
          <w:rFonts w:cs="Calibri"/>
          <w:color w:val="000000" w:themeColor="text1"/>
          <w:szCs w:val="22"/>
        </w:rPr>
        <w:t>°</w:t>
      </w:r>
      <w:r w:rsidR="00250AD6" w:rsidRPr="00601EDE">
        <w:rPr>
          <w:rFonts w:cs="TimesNewRoman"/>
          <w:color w:val="000000" w:themeColor="text1"/>
          <w:szCs w:val="22"/>
        </w:rPr>
        <w:t xml:space="preserve">C) are based on photoinhibition of photosystem II, and were tested and developed because these temperatures are reached in intertidal habitats </w:t>
      </w:r>
      <w:r w:rsidR="001661A5" w:rsidRPr="00601EDE">
        <w:rPr>
          <w:rFonts w:cs="TimesNewRoman"/>
          <w:color w:val="000000" w:themeColor="text1"/>
          <w:szCs w:val="22"/>
        </w:rPr>
        <w:t>(Campbel et al 2006a, Collier et al 2014b)</w:t>
      </w:r>
      <w:r w:rsidR="00250AD6" w:rsidRPr="00601EDE">
        <w:rPr>
          <w:rFonts w:cs="TimesNewRoman"/>
          <w:color w:val="000000" w:themeColor="text1"/>
          <w:szCs w:val="22"/>
        </w:rPr>
        <w:t>. These temperatures are not reached in subtidal</w:t>
      </w:r>
      <w:r w:rsidR="001661A5" w:rsidRPr="00601EDE">
        <w:rPr>
          <w:rFonts w:cs="TimesNewRoman"/>
          <w:color w:val="000000" w:themeColor="text1"/>
          <w:szCs w:val="22"/>
        </w:rPr>
        <w:t xml:space="preserve"> habitat</w:t>
      </w:r>
      <w:r w:rsidR="00673C0D">
        <w:rPr>
          <w:rFonts w:cs="TimesNewRoman"/>
          <w:color w:val="000000" w:themeColor="text1"/>
          <w:szCs w:val="22"/>
        </w:rPr>
        <w:t>s</w:t>
      </w:r>
      <w:r w:rsidR="001661A5" w:rsidRPr="00601EDE">
        <w:rPr>
          <w:rFonts w:cs="TimesNewRoman"/>
          <w:color w:val="000000" w:themeColor="text1"/>
          <w:szCs w:val="22"/>
        </w:rPr>
        <w:t xml:space="preserve"> where mixing prevents extreme temperature rise</w:t>
      </w:r>
      <w:r w:rsidR="00250AD6" w:rsidRPr="00601EDE">
        <w:rPr>
          <w:rFonts w:cs="TimesNewRoman"/>
          <w:color w:val="000000" w:themeColor="text1"/>
          <w:szCs w:val="22"/>
        </w:rPr>
        <w:t>. By contrast, intertidal habitats rarely expose (</w:t>
      </w:r>
      <w:r w:rsidR="00673C0D">
        <w:rPr>
          <w:rFonts w:cs="TimesNewRoman"/>
          <w:color w:val="000000" w:themeColor="text1"/>
          <w:szCs w:val="22"/>
        </w:rPr>
        <w:fldChar w:fldCharType="begin"/>
      </w:r>
      <w:r w:rsidR="00673C0D">
        <w:rPr>
          <w:rFonts w:cs="TimesNewRoman"/>
          <w:color w:val="000000" w:themeColor="text1"/>
          <w:szCs w:val="22"/>
        </w:rPr>
        <w:instrText xml:space="preserve"> REF _Ref409806677 \h </w:instrText>
      </w:r>
      <w:r w:rsidR="00673C0D">
        <w:rPr>
          <w:rFonts w:cs="TimesNewRoman"/>
          <w:color w:val="000000" w:themeColor="text1"/>
          <w:szCs w:val="22"/>
        </w:rPr>
      </w:r>
      <w:r w:rsidR="00673C0D">
        <w:rPr>
          <w:rFonts w:cs="TimesNewRoman"/>
          <w:color w:val="000000" w:themeColor="text1"/>
          <w:szCs w:val="22"/>
        </w:rPr>
        <w:fldChar w:fldCharType="separate"/>
      </w:r>
      <w:r w:rsidR="00F87DF9" w:rsidRPr="002816DF">
        <w:t xml:space="preserve">Table </w:t>
      </w:r>
      <w:r w:rsidR="00F87DF9">
        <w:rPr>
          <w:noProof/>
        </w:rPr>
        <w:t>51</w:t>
      </w:r>
      <w:r w:rsidR="00673C0D">
        <w:rPr>
          <w:rFonts w:cs="TimesNewRoman"/>
          <w:color w:val="000000" w:themeColor="text1"/>
          <w:szCs w:val="22"/>
        </w:rPr>
        <w:fldChar w:fldCharType="end"/>
      </w:r>
      <w:r w:rsidR="00250AD6" w:rsidRPr="00601EDE">
        <w:rPr>
          <w:rFonts w:cs="TimesNewRoman"/>
          <w:color w:val="000000" w:themeColor="text1"/>
          <w:szCs w:val="22"/>
        </w:rPr>
        <w:t>), but frequently have very low water levels when heat transfer and poor mixing leads to temperature extremes</w:t>
      </w:r>
      <w:r w:rsidR="001661A5" w:rsidRPr="00601EDE">
        <w:rPr>
          <w:rFonts w:cs="TimesNewRoman"/>
          <w:color w:val="000000" w:themeColor="text1"/>
          <w:szCs w:val="22"/>
        </w:rPr>
        <w:t xml:space="preserve"> of the surrounding water</w:t>
      </w:r>
      <w:r w:rsidR="00250AD6" w:rsidRPr="00601EDE">
        <w:rPr>
          <w:rFonts w:cs="TimesNewRoman"/>
          <w:color w:val="000000" w:themeColor="text1"/>
          <w:szCs w:val="22"/>
        </w:rPr>
        <w:t xml:space="preserve"> (</w:t>
      </w:r>
      <w:hyperlink w:anchor="_ENREF_5" w:tooltip="Anthony, 2007 #11467" w:history="1">
        <w:r w:rsidR="00305FE7">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&lt;EndNote&gt;&lt;Cite&gt;&lt;Author&gt;Anthony&lt;/Author&gt;&lt;Year&gt;2007&lt;/Year&gt;&lt;RecNum&gt;11467&lt;/RecNum&gt;&lt;DisplayText&gt;Anthony and Kerswell 2007&lt;/DisplayText&gt;&lt;record&gt;&lt;rec-number&gt;11467&lt;/rec-number&gt;&lt;foreign-keys&gt;&lt;key app="EN" db-id="0eve55x9y5vfd6e9dacxtew4eatve2dzds9a" timestamp="1523399997"&gt;11467&lt;/key&gt;&lt;/foreign-keys&gt;&lt;ref-type name="Journal Article"&gt;17&lt;/ref-type&gt;&lt;contributors&gt;&lt;authors&gt;&lt;author&gt;Anthony, KRN&lt;/author&gt;&lt;author&gt;Kerswell, AP&lt;/author&gt;&lt;/authors&gt;&lt;/contributors&gt;&lt;titles&gt;&lt;title&gt;Coral mortality following extreme low tides and high solar radiation&lt;/title&gt;&lt;secondary-title&gt;Marine Biology&lt;/secondary-title&gt;&lt;/titles&gt;&lt;periodical&gt;&lt;full-title&gt;Marine Biology&lt;/full-title&gt;&lt;/periodical&gt;&lt;pages&gt;1623-1631&lt;/pages&gt;&lt;volume&gt;151&lt;/volume&gt;&lt;dates&gt;&lt;year&gt;2007&lt;/year&gt;&lt;/dates&gt;&lt;urls&gt;&lt;/urls&gt;&lt;/record&gt;&lt;/Cite&gt;&lt;/EndNote&gt;</w:instrText>
        </w:r>
        <w:r w:rsidR="00305FE7">
          <w:rPr>
            <w:rFonts w:cs="TimesNewRoman"/>
            <w:color w:val="000000" w:themeColor="text1"/>
            <w:szCs w:val="22"/>
          </w:rPr>
          <w:fldChar w:fldCharType="separate"/>
        </w:r>
        <w:r w:rsidR="00305FE7">
          <w:rPr>
            <w:rFonts w:cs="TimesNewRoman"/>
            <w:noProof/>
            <w:color w:val="000000" w:themeColor="text1"/>
            <w:szCs w:val="22"/>
          </w:rPr>
          <w:t>Anthony and Kerswell 2007</w:t>
        </w:r>
        <w:r w:rsidR="00305FE7">
          <w:rPr>
            <w:rFonts w:cs="TimesNewRoman"/>
            <w:color w:val="000000" w:themeColor="text1"/>
            <w:szCs w:val="22"/>
          </w:rPr>
          <w:fldChar w:fldCharType="end"/>
        </w:r>
      </w:hyperlink>
      <w:r w:rsidR="00250AD6" w:rsidRPr="00601EDE">
        <w:rPr>
          <w:rFonts w:cs="TimesNewRoman"/>
          <w:color w:val="000000" w:themeColor="text1"/>
          <w:szCs w:val="22"/>
        </w:rPr>
        <w:t>). However, we now know that warm temperatures (&gt;30</w:t>
      </w:r>
      <w:r w:rsidR="00250AD6" w:rsidRPr="00601EDE">
        <w:rPr>
          <w:rFonts w:cs="Calibri"/>
          <w:color w:val="000000" w:themeColor="text1"/>
          <w:szCs w:val="22"/>
        </w:rPr>
        <w:t>°</w:t>
      </w:r>
      <w:r w:rsidR="00250AD6" w:rsidRPr="00601EDE">
        <w:rPr>
          <w:rFonts w:cs="TimesNewRoman"/>
          <w:color w:val="000000" w:themeColor="text1"/>
          <w:szCs w:val="22"/>
        </w:rPr>
        <w:t xml:space="preserve">C), while not impacting photosystem II, can place a respiratory burden on seagrasses, particularly more temperate-adapted seagrasses such as </w:t>
      </w:r>
      <w:r w:rsidR="00250AD6" w:rsidRPr="00601EDE">
        <w:rPr>
          <w:rFonts w:cs="TimesNewRoman"/>
          <w:i/>
          <w:color w:val="000000" w:themeColor="text1"/>
          <w:szCs w:val="22"/>
        </w:rPr>
        <w:t>Z.</w:t>
      </w:r>
      <w:r w:rsidR="00673C0D">
        <w:rPr>
          <w:rFonts w:cs="TimesNewRoman"/>
          <w:i/>
          <w:color w:val="000000" w:themeColor="text1"/>
          <w:szCs w:val="22"/>
        </w:rPr>
        <w:t> </w:t>
      </w:r>
      <w:r w:rsidR="00250AD6" w:rsidRPr="00601EDE">
        <w:rPr>
          <w:rFonts w:cs="TimesNewRoman"/>
          <w:i/>
          <w:color w:val="000000" w:themeColor="text1"/>
          <w:szCs w:val="22"/>
        </w:rPr>
        <w:t>muelleri</w:t>
      </w:r>
      <w:r w:rsidR="00250AD6" w:rsidRPr="00601EDE">
        <w:rPr>
          <w:rFonts w:cs="TimesNewRoman"/>
          <w:color w:val="000000" w:themeColor="text1"/>
          <w:szCs w:val="22"/>
        </w:rPr>
        <w:t xml:space="preserve"> (</w:t>
      </w:r>
      <w:r w:rsidR="00673C0D">
        <w:rPr>
          <w:rFonts w:cs="TimesNewRoman"/>
          <w:color w:val="000000" w:themeColor="text1"/>
          <w:szCs w:val="22"/>
        </w:rPr>
        <w:t xml:space="preserve">see </w:t>
      </w:r>
      <w:r w:rsidR="00250AD6" w:rsidRPr="00601EDE">
        <w:rPr>
          <w:rFonts w:cs="TimesNewRoman"/>
          <w:color w:val="000000" w:themeColor="text1"/>
          <w:szCs w:val="22"/>
        </w:rPr>
        <w:t>Case study 2; Adams</w:t>
      </w:r>
      <w:r w:rsidR="005B373F" w:rsidRPr="00601EDE">
        <w:rPr>
          <w:rFonts w:cs="TimesNewRoman"/>
          <w:color w:val="000000" w:themeColor="text1"/>
          <w:szCs w:val="22"/>
        </w:rPr>
        <w:t xml:space="preserve"> et al 2017, Collier et al </w:t>
      </w:r>
      <w:r>
        <w:rPr>
          <w:rFonts w:cs="TimesNewRoman"/>
          <w:color w:val="000000" w:themeColor="text1"/>
          <w:szCs w:val="22"/>
        </w:rPr>
        <w:t>2017</w:t>
      </w:r>
      <w:r w:rsidR="00250AD6" w:rsidRPr="00601EDE">
        <w:rPr>
          <w:rFonts w:cs="TimesNewRoman"/>
          <w:color w:val="000000" w:themeColor="text1"/>
          <w:szCs w:val="22"/>
        </w:rPr>
        <w:t xml:space="preserve">). </w:t>
      </w:r>
      <w:r>
        <w:rPr>
          <w:rFonts w:cs="TimesNewRoman"/>
          <w:color w:val="000000" w:themeColor="text1"/>
          <w:szCs w:val="22"/>
        </w:rPr>
        <w:t>Furthermore, above 35</w:t>
      </w:r>
      <w:r w:rsidRPr="00601EDE">
        <w:rPr>
          <w:rFonts w:cs="Calibri"/>
          <w:color w:val="000000" w:themeColor="text1"/>
          <w:szCs w:val="22"/>
        </w:rPr>
        <w:t>°</w:t>
      </w:r>
      <w:r w:rsidRPr="00601EDE">
        <w:rPr>
          <w:rFonts w:cs="TimesNewRoman"/>
          <w:color w:val="000000" w:themeColor="text1"/>
          <w:szCs w:val="22"/>
        </w:rPr>
        <w:t>C</w:t>
      </w:r>
      <w:r>
        <w:rPr>
          <w:rFonts w:cs="TimesNewRoman"/>
          <w:color w:val="000000" w:themeColor="text1"/>
          <w:szCs w:val="22"/>
        </w:rPr>
        <w:t xml:space="preserve"> the net productivity (photosynthesis – respiration) goes into deficit (i.e. they lose energy due to respiratory losses) (Collier et al 2017). </w:t>
      </w:r>
      <w:r w:rsidR="0034784B">
        <w:rPr>
          <w:rFonts w:cs="TimesNewRoman"/>
          <w:color w:val="000000" w:themeColor="text1"/>
          <w:szCs w:val="22"/>
        </w:rPr>
        <w:t>T</w:t>
      </w:r>
      <w:r w:rsidR="00250AD6" w:rsidRPr="00601EDE">
        <w:rPr>
          <w:rFonts w:cs="TimesNewRoman"/>
          <w:color w:val="000000" w:themeColor="text1"/>
          <w:szCs w:val="22"/>
        </w:rPr>
        <w:t xml:space="preserve">he combination of temperature and light stress compounds </w:t>
      </w:r>
      <w:r w:rsidR="0034784B">
        <w:rPr>
          <w:rFonts w:cs="TimesNewRoman"/>
          <w:color w:val="000000" w:themeColor="text1"/>
          <w:szCs w:val="22"/>
        </w:rPr>
        <w:t>both</w:t>
      </w:r>
      <w:r w:rsidR="00250AD6" w:rsidRPr="00601EDE">
        <w:rPr>
          <w:rFonts w:cs="TimesNewRoman"/>
          <w:color w:val="000000" w:themeColor="text1"/>
          <w:szCs w:val="22"/>
        </w:rPr>
        <w:t xml:space="preserve"> impact</w:t>
      </w:r>
      <w:r w:rsidR="0034784B">
        <w:rPr>
          <w:rFonts w:cs="TimesNewRoman"/>
          <w:color w:val="000000" w:themeColor="text1"/>
          <w:szCs w:val="22"/>
        </w:rPr>
        <w:t>s</w:t>
      </w:r>
      <w:r w:rsidR="00250AD6" w:rsidRPr="00601EDE">
        <w:rPr>
          <w:rFonts w:cs="TimesNewRoman"/>
          <w:color w:val="000000" w:themeColor="text1"/>
          <w:szCs w:val="22"/>
        </w:rPr>
        <w:t xml:space="preserve"> (Case study 1) and the lower than average light conditions in </w:t>
      </w:r>
      <w:r w:rsidR="008574EC">
        <w:rPr>
          <w:rFonts w:cs="TimesNewRoman"/>
          <w:color w:val="000000" w:themeColor="text1"/>
          <w:szCs w:val="22"/>
        </w:rPr>
        <w:t>2016–17</w:t>
      </w:r>
      <w:r w:rsidR="00250AD6" w:rsidRPr="00601EDE">
        <w:rPr>
          <w:rFonts w:cs="TimesNewRoman"/>
          <w:color w:val="000000" w:themeColor="text1"/>
          <w:szCs w:val="22"/>
        </w:rPr>
        <w:t>, combined with above-average temperatures may have created chronic stress conditions in some meadows of both intertidal and subtidal habitats and hampered recovery rates. We will explore inclusion of a lower temperature threshold (&gt;30</w:t>
      </w:r>
      <w:r w:rsidR="00250AD6" w:rsidRPr="00601EDE">
        <w:rPr>
          <w:rFonts w:cs="Calibri"/>
          <w:color w:val="000000" w:themeColor="text1"/>
          <w:szCs w:val="22"/>
        </w:rPr>
        <w:t>°</w:t>
      </w:r>
      <w:r w:rsidR="00250AD6" w:rsidRPr="00601EDE">
        <w:rPr>
          <w:rFonts w:cs="TimesNewRoman"/>
          <w:color w:val="000000" w:themeColor="text1"/>
          <w:szCs w:val="22"/>
        </w:rPr>
        <w:t xml:space="preserve">C) in future reports to account for this lower level chronic temperature </w:t>
      </w:r>
      <w:r w:rsidR="00250AD6" w:rsidRPr="00D01EBE">
        <w:rPr>
          <w:rFonts w:cs="TimesNewRoman"/>
          <w:szCs w:val="22"/>
        </w:rPr>
        <w:t xml:space="preserve">stress. In addition, we will explore an indicator of temperature stress that accounts for accumulated low level stress, analogous to degree heating weeks. </w:t>
      </w:r>
    </w:p>
    <w:p w14:paraId="22AA770F" w14:textId="05EB012C" w:rsidR="00250AD6" w:rsidRPr="00250AD6" w:rsidRDefault="00250AD6" w:rsidP="00250AD6">
      <w:pPr>
        <w:autoSpaceDE w:val="0"/>
        <w:autoSpaceDN w:val="0"/>
        <w:adjustRightInd w:val="0"/>
        <w:rPr>
          <w:rFonts w:cs="TimesNewRoman"/>
          <w:color w:val="000000" w:themeColor="text1"/>
          <w:szCs w:val="22"/>
        </w:rPr>
      </w:pPr>
      <w:r w:rsidRPr="00250AD6">
        <w:rPr>
          <w:rFonts w:cs="TimesNewRoman"/>
          <w:szCs w:val="22"/>
        </w:rPr>
        <w:t>T</w:t>
      </w:r>
      <w:r w:rsidRPr="00250AD6">
        <w:rPr>
          <w:szCs w:val="22"/>
        </w:rPr>
        <w:t xml:space="preserve">ropical seagrasses of the </w:t>
      </w:r>
      <w:r w:rsidR="007F6948">
        <w:rPr>
          <w:szCs w:val="22"/>
        </w:rPr>
        <w:t>Great Barrier Reef</w:t>
      </w:r>
      <w:r w:rsidRPr="00250AD6">
        <w:rPr>
          <w:szCs w:val="22"/>
        </w:rPr>
        <w:t xml:space="preserve"> are a mosaic of different habitat types with multiple seagrass species assemblages. </w:t>
      </w:r>
      <w:r w:rsidRPr="00250AD6">
        <w:rPr>
          <w:rFonts w:cs="TimesNewRoman"/>
          <w:color w:val="000000" w:themeColor="text1"/>
          <w:szCs w:val="22"/>
        </w:rPr>
        <w:t xml:space="preserve">The </w:t>
      </w:r>
      <w:r w:rsidR="007F6948">
        <w:rPr>
          <w:rFonts w:cs="TimesNewRoman"/>
          <w:color w:val="000000" w:themeColor="text1"/>
          <w:szCs w:val="22"/>
        </w:rPr>
        <w:t>Great Barrier Reef</w:t>
      </w:r>
      <w:r w:rsidRPr="00250AD6">
        <w:rPr>
          <w:rFonts w:cs="TimesNewRoman"/>
          <w:color w:val="000000" w:themeColor="text1"/>
          <w:szCs w:val="22"/>
        </w:rPr>
        <w:t xml:space="preserve"> occurs in a climate belt where variable rainfall patterns and cyclones, and increasingly in recent years - marine heatwaves - creates frequent disturbances moving up and down the 2,300km coastline creating complex and varied environmental conditions. Seagrass meadows exposed to these conditions </w:t>
      </w:r>
      <w:r w:rsidRPr="00250AD6">
        <w:rPr>
          <w:szCs w:val="22"/>
        </w:rPr>
        <w:t xml:space="preserve">are also dynamic, with large changes in abundance being seemingly typical for the </w:t>
      </w:r>
      <w:r w:rsidR="007F6948">
        <w:rPr>
          <w:szCs w:val="22"/>
        </w:rPr>
        <w:t>Great Barrier Reef</w:t>
      </w:r>
      <w:r w:rsidRPr="00250AD6">
        <w:rPr>
          <w:szCs w:val="22"/>
        </w:rPr>
        <w:t xml:space="preserve"> </w:t>
      </w:r>
      <w:r w:rsidRPr="00250AD6">
        <w:rPr>
          <w:rFonts w:cs="TimesNewRoman"/>
          <w:color w:val="000000" w:themeColor="text1"/>
          <w:szCs w:val="22"/>
        </w:rPr>
        <w:t xml:space="preserve">(e.g. </w:t>
      </w:r>
      <w:r w:rsidRPr="00250AD6">
        <w:rPr>
          <w:rFonts w:cs="TimesNewRoman"/>
          <w:color w:val="000000" w:themeColor="text1"/>
          <w:szCs w:val="22"/>
        </w:rPr>
        <w:fldChar w:fldCharType="begin">
          <w:fldData xml:space="preserve">PEVuZE5vdGU+PENpdGU+PEF1dGhvcj5CaXJjaDwvQXV0aG9yPjxZZWFyPjE5ODQ8L1llYXI+PFJl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</w:fldData>
        </w:fldChar>
      </w:r>
      <w:r w:rsidR="00521D93">
        <w:rPr>
          <w:rFonts w:cs="TimesNewRoman"/>
          <w:color w:val="000000" w:themeColor="text1"/>
          <w:szCs w:val="22"/>
        </w:rPr>
        <w:instrText xml:space="preserve"> ADDIN EN.CITE </w:instrText>
      </w:r>
      <w:r w:rsidR="00521D93">
        <w:rPr>
          <w:rFonts w:cs="TimesNewRoman"/>
          <w:color w:val="000000" w:themeColor="text1"/>
          <w:szCs w:val="22"/>
        </w:rPr>
        <w:fldChar w:fldCharType="begin">
          <w:fldData xml:space="preserve">PEVuZE5vdGU+PENpdGU+PEF1dGhvcj5CaXJjaDwvQXV0aG9yPjxZZWFyPjE5ODQ8L1llYXI+PFJl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</w:fldData>
        </w:fldChar>
      </w:r>
      <w:r w:rsidR="00521D93">
        <w:rPr>
          <w:rFonts w:cs="TimesNewRoman"/>
          <w:color w:val="000000" w:themeColor="text1"/>
          <w:szCs w:val="22"/>
        </w:rPr>
        <w:instrText xml:space="preserve"> ADDIN EN.CITE.DATA </w:instrText>
      </w:r>
      <w:r w:rsidR="00521D93">
        <w:rPr>
          <w:rFonts w:cs="TimesNewRoman"/>
          <w:color w:val="000000" w:themeColor="text1"/>
          <w:szCs w:val="22"/>
        </w:rPr>
      </w:r>
      <w:r w:rsidR="00521D93">
        <w:rPr>
          <w:rFonts w:cs="TimesNewRoman"/>
          <w:color w:val="000000" w:themeColor="text1"/>
          <w:szCs w:val="22"/>
        </w:rPr>
        <w:fldChar w:fldCharType="end"/>
      </w:r>
      <w:r w:rsidRPr="00250AD6">
        <w:rPr>
          <w:rFonts w:cs="TimesNewRoman"/>
          <w:color w:val="000000" w:themeColor="text1"/>
          <w:szCs w:val="22"/>
        </w:rPr>
      </w:r>
      <w:r w:rsidRPr="00250AD6">
        <w:rPr>
          <w:rFonts w:cs="TimesNewRoman"/>
          <w:color w:val="000000" w:themeColor="text1"/>
          <w:szCs w:val="22"/>
        </w:rPr>
        <w:fldChar w:fldCharType="separate"/>
      </w:r>
      <w:hyperlink w:anchor="_ENREF_13" w:tooltip="Birch, 1984 #177" w:history="1">
        <w:r w:rsidR="00305FE7">
          <w:rPr>
            <w:rFonts w:cs="TimesNewRoman"/>
            <w:noProof/>
            <w:color w:val="000000" w:themeColor="text1"/>
            <w:szCs w:val="22"/>
          </w:rPr>
          <w:t>Birch and Birch 1984</w:t>
        </w:r>
      </w:hyperlink>
      <w:r w:rsidR="00521D93">
        <w:rPr>
          <w:rFonts w:cs="TimesNewRoman"/>
          <w:noProof/>
          <w:color w:val="000000" w:themeColor="text1"/>
          <w:szCs w:val="22"/>
        </w:rPr>
        <w:t xml:space="preserve">; </w:t>
      </w:r>
      <w:hyperlink w:anchor="_ENREF_193" w:tooltip="Preen, 1995 #950" w:history="1">
        <w:r w:rsidR="00305FE7">
          <w:rPr>
            <w:rFonts w:cs="TimesNewRoman"/>
            <w:noProof/>
            <w:color w:val="000000" w:themeColor="text1"/>
            <w:szCs w:val="22"/>
          </w:rPr>
          <w:t>Preen</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1995</w:t>
        </w:r>
      </w:hyperlink>
      <w:r w:rsidR="00521D93">
        <w:rPr>
          <w:rFonts w:cs="TimesNewRoman"/>
          <w:noProof/>
          <w:color w:val="000000" w:themeColor="text1"/>
          <w:szCs w:val="22"/>
        </w:rPr>
        <w:t xml:space="preserve">; </w:t>
      </w:r>
      <w:hyperlink w:anchor="_ENREF_29" w:tooltip="Campbell, 2004 #2838" w:history="1">
        <w:r w:rsidR="00305FE7">
          <w:rPr>
            <w:rFonts w:cs="TimesNewRoman"/>
            <w:noProof/>
            <w:color w:val="000000" w:themeColor="text1"/>
            <w:szCs w:val="22"/>
          </w:rPr>
          <w:t>Campbell and McKenzie 2004</w:t>
        </w:r>
      </w:hyperlink>
      <w:r w:rsidR="00521D93">
        <w:rPr>
          <w:rFonts w:cs="TimesNewRoman"/>
          <w:noProof/>
          <w:color w:val="000000" w:themeColor="text1"/>
          <w:szCs w:val="22"/>
        </w:rPr>
        <w:t xml:space="preserve">; </w:t>
      </w:r>
      <w:hyperlink w:anchor="_ENREF_235" w:tooltip="Waycott, 2007 #9133" w:history="1">
        <w:r w:rsidR="00305FE7">
          <w:rPr>
            <w:rFonts w:cs="TimesNewRoman"/>
            <w:noProof/>
            <w:color w:val="000000" w:themeColor="text1"/>
            <w:szCs w:val="22"/>
          </w:rPr>
          <w:t>Waycott</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2007</w:t>
        </w:r>
      </w:hyperlink>
      <w:r w:rsidRPr="00250AD6">
        <w:rPr>
          <w:rFonts w:cs="TimesNewRoman"/>
          <w:color w:val="000000" w:themeColor="text1"/>
          <w:szCs w:val="22"/>
        </w:rPr>
        <w:fldChar w:fldCharType="end"/>
      </w:r>
      <w:r w:rsidRPr="00250AD6">
        <w:rPr>
          <w:rFonts w:cs="TimesNewRoman"/>
          <w:color w:val="000000" w:themeColor="text1"/>
          <w:szCs w:val="22"/>
        </w:rPr>
        <w:t xml:space="preserve">), </w:t>
      </w:r>
      <w:r w:rsidRPr="00250AD6">
        <w:rPr>
          <w:szCs w:val="22"/>
        </w:rPr>
        <w:t>but the timing and mechanisms that cause their dynamism (i.e. declines and subsequent recovery) are complex</w:t>
      </w:r>
      <w:r w:rsidRPr="00250AD6">
        <w:rPr>
          <w:color w:val="000000" w:themeColor="text1"/>
          <w:szCs w:val="22"/>
        </w:rPr>
        <w:t xml:space="preserve">. </w:t>
      </w:r>
    </w:p>
    <w:p w14:paraId="00A6399E" w14:textId="223BC6C4" w:rsidR="00250AD6" w:rsidRPr="00D01EBE" w:rsidRDefault="00250AD6" w:rsidP="00250AD6">
      <w:pPr>
        <w:autoSpaceDE w:val="0"/>
        <w:autoSpaceDN w:val="0"/>
        <w:adjustRightInd w:val="0"/>
        <w:rPr>
          <w:rFonts w:cs="TimesNewRoman"/>
          <w:szCs w:val="22"/>
        </w:rPr>
      </w:pPr>
      <w:r w:rsidRPr="00250AD6">
        <w:rPr>
          <w:rFonts w:cs="TimesNewRoman"/>
          <w:color w:val="000000" w:themeColor="text1"/>
          <w:szCs w:val="22"/>
        </w:rPr>
        <w:t xml:space="preserve">Declines in seagrass abundance occurring in 2006 and then from 2009 to 2012 (from Cooktown south) abated in late 2012 and seagrass state improved slightly; but remained poor in </w:t>
      </w:r>
      <w:r w:rsidR="008574EC">
        <w:rPr>
          <w:rFonts w:cs="TimesNewRoman"/>
          <w:color w:val="000000" w:themeColor="text1"/>
          <w:szCs w:val="22"/>
        </w:rPr>
        <w:t>2016–17</w:t>
      </w:r>
      <w:r w:rsidRPr="00250AD6">
        <w:rPr>
          <w:rFonts w:cs="TimesNewRoman"/>
          <w:color w:val="000000" w:themeColor="text1"/>
          <w:szCs w:val="22"/>
        </w:rPr>
        <w:t xml:space="preserve"> (</w:t>
      </w:r>
      <w:r w:rsidRPr="00250AD6">
        <w:rPr>
          <w:rFonts w:cs="TimesNewRoman"/>
          <w:color w:val="000000" w:themeColor="text1"/>
          <w:szCs w:val="22"/>
        </w:rPr>
        <w:fldChar w:fldCharType="begin"/>
      </w:r>
      <w:r w:rsidRPr="00250AD6">
        <w:rPr>
          <w:rFonts w:cs="TimesNewRoman"/>
          <w:color w:val="000000" w:themeColor="text1"/>
          <w:szCs w:val="22"/>
        </w:rPr>
        <w:instrText xml:space="preserve"> REF _Ref382211978 \h  \* MERGEFORMAT </w:instrText>
      </w:r>
      <w:r w:rsidRPr="00250AD6">
        <w:rPr>
          <w:rFonts w:cs="TimesNewRoman"/>
          <w:color w:val="000000" w:themeColor="text1"/>
          <w:szCs w:val="22"/>
        </w:rPr>
      </w:r>
      <w:r w:rsidRPr="00250AD6">
        <w:rPr>
          <w:rFonts w:cs="TimesNewRoman"/>
          <w:color w:val="000000" w:themeColor="text1"/>
          <w:szCs w:val="22"/>
        </w:rPr>
        <w:fldChar w:fldCharType="separate"/>
      </w:r>
      <w:r w:rsidR="00F87DF9" w:rsidRPr="00F87DF9">
        <w:rPr>
          <w:color w:val="000000" w:themeColor="text1"/>
          <w:szCs w:val="22"/>
        </w:rPr>
        <w:t xml:space="preserve">Figure </w:t>
      </w:r>
      <w:r w:rsidR="00F87DF9" w:rsidRPr="00F87DF9">
        <w:rPr>
          <w:noProof/>
          <w:color w:val="000000" w:themeColor="text1"/>
          <w:szCs w:val="22"/>
        </w:rPr>
        <w:t>120</w:t>
      </w:r>
      <w:r w:rsidRPr="00250AD6">
        <w:rPr>
          <w:rFonts w:cs="TimesNewRoman"/>
          <w:color w:val="000000" w:themeColor="text1"/>
          <w:szCs w:val="22"/>
        </w:rPr>
        <w:fldChar w:fldCharType="end"/>
      </w:r>
      <w:r w:rsidRPr="00250AD6">
        <w:rPr>
          <w:rFonts w:cs="TimesNewRoman"/>
          <w:color w:val="000000" w:themeColor="text1"/>
          <w:szCs w:val="22"/>
        </w:rPr>
        <w:t>). More specifically</w:t>
      </w:r>
      <w:r w:rsidRPr="00250AD6">
        <w:rPr>
          <w:color w:val="000000" w:themeColor="text1"/>
          <w:szCs w:val="22"/>
        </w:rPr>
        <w:t>, a</w:t>
      </w:r>
      <w:r w:rsidRPr="00250AD6">
        <w:rPr>
          <w:rFonts w:cs="TimesNewRoman"/>
          <w:color w:val="000000" w:themeColor="text1"/>
          <w:szCs w:val="22"/>
        </w:rPr>
        <w:t xml:space="preserve">lthough some locations in the Wet Tropics and Burdekin regions experienced declines in early 2006 as a consequence of TC Larry, most recovered within 1-2 years; with the exception of the coastal sites in southern Wet Tropics where recovery was protracted. In late 2008, locations in the northern Wet Tropics and Burdekin regions were in a moderate state of health with abundant seagrass and seed banks. In contrast, locations in the southern </w:t>
      </w:r>
      <w:r w:rsidR="007F6948">
        <w:rPr>
          <w:rFonts w:cs="TimesNewRoman"/>
          <w:color w:val="000000" w:themeColor="text1"/>
          <w:szCs w:val="22"/>
        </w:rPr>
        <w:t>Great Barrier Reef</w:t>
      </w:r>
      <w:r w:rsidRPr="00250AD6">
        <w:rPr>
          <w:rFonts w:cs="TimesNewRoman"/>
          <w:color w:val="000000" w:themeColor="text1"/>
          <w:szCs w:val="22"/>
        </w:rPr>
        <w:t xml:space="preserve"> in Mackay Whitsunday and Burnett Mary regions were in a poor state, with low abundance, reduced reproductive effort and small or absent seed banks. In 2009 with the onset of the La Niña, the decline in seagrass state steadily spread across the Burdekin region and to locations within the Fitzroy and Wet Tropics where discharges from large rivers and associated catchments occurred (</w:t>
      </w:r>
      <w:r w:rsidRPr="00250AD6">
        <w:rPr>
          <w:rFonts w:cs="TimesNewRoman"/>
          <w:color w:val="000000" w:themeColor="text1"/>
          <w:szCs w:val="22"/>
        </w:rPr>
        <w:fldChar w:fldCharType="begin"/>
      </w:r>
      <w:r w:rsidR="00521D93">
        <w:rPr>
          <w:rFonts w:cs="TimesNewRoman"/>
          <w:color w:val="000000" w:themeColor="text1"/>
          <w:szCs w:val="22"/>
        </w:rPr>
        <w:instrText xml:space="preserve"> ADDIN EN.CITE &lt;EndNote&gt;&lt;Cite&gt;&lt;Author&gt;McKenzie&lt;/Author&gt;&lt;Year&gt;2010&lt;/Year&gt;&lt;RecNum&gt;9605&lt;/RecNum&gt;&lt;DisplayText&gt;McKenzie&lt;style face="italic"&gt; et al.&lt;/style&gt; 2010b; McKenzie&lt;style face="italic"&gt; et al.&lt;/style&gt; 2012b&lt;/DisplayText&gt;&lt;record&gt;&lt;rec-number&gt;9605&lt;/rec-number&gt;&lt;foreign-keys&gt;&lt;key app="EN" db-id="0eve55x9y5vfd6e9dacxtew4eatve2dzds9a" timestamp="1388454830"&gt;9605&lt;/key&gt;&lt;/foreign-keys&gt;&lt;ref-type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Queensland&lt;/publisher&gt;&lt;urls&gt;&lt;/urls&gt;&lt;/record&gt;&lt;/Cite&gt;&lt;Cite&gt;&lt;Author&gt;McKenzie&lt;/Author&gt;&lt;Year&gt;2012&lt;/Year&gt;&lt;RecNum&gt;9287&lt;/RecNum&gt;&lt;record&gt;&lt;rec-number&gt;9287&lt;/rec-number&gt;&lt;foreign-keys&gt;&lt;key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Pr="00250AD6">
        <w:rPr>
          <w:rFonts w:cs="TimesNewRoman"/>
          <w:color w:val="000000" w:themeColor="text1"/>
          <w:szCs w:val="22"/>
        </w:rPr>
        <w:fldChar w:fldCharType="separate"/>
      </w:r>
      <w:hyperlink w:anchor="_ENREF_165" w:tooltip="McKenzie, 2010 #9605" w:history="1">
        <w:r w:rsidR="00305FE7">
          <w:rPr>
            <w:rFonts w:cs="TimesNewRoman"/>
            <w:noProof/>
            <w:color w:val="000000" w:themeColor="text1"/>
            <w:szCs w:val="22"/>
          </w:rPr>
          <w:t>McKenzie</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2010b</w:t>
        </w:r>
      </w:hyperlink>
      <w:r w:rsidR="00521D93">
        <w:rPr>
          <w:rFonts w:cs="TimesNewRoman"/>
          <w:noProof/>
          <w:color w:val="000000" w:themeColor="text1"/>
          <w:szCs w:val="22"/>
        </w:rPr>
        <w:t xml:space="preserve">; </w:t>
      </w:r>
      <w:hyperlink w:anchor="_ENREF_156" w:tooltip="McKenzie, 2012 #9287" w:history="1">
        <w:r w:rsidR="00305FE7">
          <w:rPr>
            <w:rFonts w:cs="TimesNewRoman"/>
            <w:noProof/>
            <w:color w:val="000000" w:themeColor="text1"/>
            <w:szCs w:val="22"/>
          </w:rPr>
          <w:t>McKenzie</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2012b</w:t>
        </w:r>
      </w:hyperlink>
      <w:r w:rsidRPr="00250AD6">
        <w:rPr>
          <w:rFonts w:cs="TimesNewRoman"/>
          <w:color w:val="000000" w:themeColor="text1"/>
          <w:szCs w:val="22"/>
        </w:rPr>
        <w:fldChar w:fldCharType="end"/>
      </w:r>
      <w:r w:rsidRPr="00250AD6">
        <w:rPr>
          <w:rFonts w:cs="TimesNewRoman"/>
          <w:color w:val="000000" w:themeColor="text1"/>
          <w:szCs w:val="22"/>
        </w:rPr>
        <w:t>). The only locations of better seagrass state were those with relatively little catchment input, such as Gladstone Harbour and Shoalwater Bay (Fitzroy region), Green Island (Wet Tropics), and Archer Point (Cape York) (</w:t>
      </w:r>
      <w:hyperlink w:anchor="_ENREF_156" w:tooltip="McKenzie, 2012 #9287" w:history="1">
        <w:r w:rsidR="00305FE7" w:rsidRPr="00250AD6">
          <w:rPr>
            <w:rFonts w:cs="TimesNewRoman"/>
            <w:color w:val="000000" w:themeColor="text1"/>
            <w:szCs w:val="22"/>
          </w:rPr>
          <w:fldChar w:fldCharType="begin"/>
        </w:r>
        <w:r w:rsidR="00305FE7">
          <w:rPr>
            <w:rFonts w:cs="TimesNewRoman"/>
            <w:color w:val="000000" w:themeColor="text1"/>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305FE7" w:rsidRPr="00250AD6">
          <w:rPr>
            <w:rFonts w:cs="TimesNewRoman"/>
            <w:color w:val="000000" w:themeColor="text1"/>
            <w:szCs w:val="22"/>
          </w:rPr>
          <w:fldChar w:fldCharType="separate"/>
        </w:r>
        <w:r w:rsidR="00305FE7">
          <w:rPr>
            <w:rFonts w:cs="TimesNewRoman"/>
            <w:noProof/>
            <w:color w:val="000000" w:themeColor="text1"/>
            <w:szCs w:val="22"/>
          </w:rPr>
          <w:t>McKenzie</w:t>
        </w:r>
        <w:r w:rsidR="00305FE7" w:rsidRPr="00521D93">
          <w:rPr>
            <w:rFonts w:cs="TimesNewRoman"/>
            <w:i/>
            <w:noProof/>
            <w:color w:val="000000" w:themeColor="text1"/>
            <w:szCs w:val="22"/>
          </w:rPr>
          <w:t xml:space="preserve"> et al.</w:t>
        </w:r>
        <w:r w:rsidR="00305FE7">
          <w:rPr>
            <w:rFonts w:cs="TimesNewRoman"/>
            <w:noProof/>
            <w:color w:val="000000" w:themeColor="text1"/>
            <w:szCs w:val="22"/>
          </w:rPr>
          <w:t xml:space="preserve"> 2012b</w:t>
        </w:r>
        <w:r w:rsidR="00305FE7" w:rsidRPr="00250AD6">
          <w:rPr>
            <w:rFonts w:cs="TimesNewRoman"/>
            <w:color w:val="000000" w:themeColor="text1"/>
            <w:szCs w:val="22"/>
          </w:rPr>
          <w:fldChar w:fldCharType="end"/>
        </w:r>
      </w:hyperlink>
      <w:r w:rsidRPr="00250AD6">
        <w:rPr>
          <w:rFonts w:cs="TimesNewRoman"/>
          <w:color w:val="000000" w:themeColor="text1"/>
          <w:szCs w:val="22"/>
        </w:rPr>
        <w:t xml:space="preserve">). By 2010, </w:t>
      </w:r>
      <w:r w:rsidRPr="00D01EBE">
        <w:rPr>
          <w:rFonts w:cs="TimesNewRoman"/>
          <w:szCs w:val="22"/>
        </w:rPr>
        <w:t xml:space="preserve">seagrasses of the </w:t>
      </w:r>
      <w:r w:rsidR="007F6948">
        <w:rPr>
          <w:rFonts w:cs="TimesNewRoman"/>
          <w:szCs w:val="22"/>
        </w:rPr>
        <w:t>Great Barrier Reef</w:t>
      </w:r>
      <w:r w:rsidRPr="00D01EBE">
        <w:rPr>
          <w:rFonts w:cs="TimesNewRoman"/>
          <w:szCs w:val="22"/>
        </w:rPr>
        <w:t xml:space="preserve"> were in a poor state with declining trajectories in seagrass abundance, reduced meadow extent, limited or absent seed production and increased epiphyte loads at most locations. These factors would have made the seagrass populations particularly vulnerable to large episodic disturbances, as demonstrated by the widespread and substantial losses documented after the floods and cyclones of early 2011. </w:t>
      </w:r>
    </w:p>
    <w:p w14:paraId="03FD1A99" w14:textId="744EE3D8" w:rsidR="00250AD6" w:rsidRPr="00250AD6" w:rsidRDefault="00250AD6" w:rsidP="00250AD6">
      <w:pPr>
        <w:autoSpaceDE w:val="0"/>
        <w:autoSpaceDN w:val="0"/>
        <w:adjustRightInd w:val="0"/>
        <w:rPr>
          <w:rFonts w:cs="TimesNewRoman"/>
          <w:szCs w:val="22"/>
        </w:rPr>
      </w:pPr>
      <w:r w:rsidRPr="00D01EBE">
        <w:rPr>
          <w:rFonts w:cs="TimesNewRoman"/>
          <w:szCs w:val="22"/>
        </w:rPr>
        <w:t xml:space="preserve">Following the extreme weather events of early 2011, seagrass habitats across the </w:t>
      </w:r>
      <w:r w:rsidR="007F6948">
        <w:rPr>
          <w:rFonts w:cs="TimesNewRoman"/>
          <w:szCs w:val="22"/>
        </w:rPr>
        <w:t>Great Barrier Reef</w:t>
      </w:r>
      <w:r w:rsidRPr="00D01EBE">
        <w:rPr>
          <w:rFonts w:cs="TimesNewRoman"/>
          <w:szCs w:val="22"/>
        </w:rPr>
        <w:t xml:space="preserve"> further </w:t>
      </w:r>
      <w:r w:rsidRPr="00250AD6">
        <w:rPr>
          <w:rFonts w:cs="TimesNewRoman"/>
          <w:color w:val="000000" w:themeColor="text1"/>
          <w:szCs w:val="22"/>
        </w:rPr>
        <w:t xml:space="preserve">declined, with severe losses reported from the Wet Tropics, Burdekin, Mackay Whitsunday and Burnett Mary regions. By 2011-12, the onset of seagrass recovery was observed across some regions, however a change had occurred in which colonising species dominated many habitats. The majority of meadows appeared to allocate resources to vegetative growth rather than reproduction, indicated by the lower reproductive effort and seed banks. In </w:t>
      </w:r>
      <w:r w:rsidR="008574EC">
        <w:rPr>
          <w:rFonts w:cs="TimesNewRoman"/>
          <w:color w:val="000000" w:themeColor="text1"/>
          <w:szCs w:val="22"/>
        </w:rPr>
        <w:t>2016–17</w:t>
      </w:r>
      <w:r w:rsidRPr="00250AD6">
        <w:rPr>
          <w:rFonts w:cs="TimesNewRoman"/>
          <w:color w:val="000000" w:themeColor="text1"/>
          <w:szCs w:val="22"/>
        </w:rPr>
        <w:t>, recovery has slowed or stalled across most of the regions. The Wet Tropics and Fitzroy regions have shown the most protracted recovery rates, though the causes for this differ between the regions. In t</w:t>
      </w:r>
      <w:r w:rsidRPr="00250AD6">
        <w:rPr>
          <w:rFonts w:cs="TimesNewRoman"/>
          <w:szCs w:val="22"/>
        </w:rPr>
        <w:t xml:space="preserve">he Fitzroy region declines up to early 2011 were more moderate than in other regions, but the estuarine intertidal and coastal intertidal habitats declined further in 2013-15, and recovery has since been slow except in coastal habitats. Abundance in the Wet Tropics declined in early 2011, and recovery has been delayed. In the southern Wet Tropics, it appears that sediment scouring caused by TC Yasi in 2011 altered bed elevation and substrate composition, however the growth substrate is not routinely measured. By contrast, slow recovery in the northern Wet Tropics reef sites (Low Isles intertidal and subtidal and Green Island subtidal) may be affected by water quality. </w:t>
      </w:r>
    </w:p>
    <w:p w14:paraId="1FF21BE7" w14:textId="77777777" w:rsidR="00250AD6" w:rsidRPr="00250AD6" w:rsidRDefault="00250AD6" w:rsidP="00250AD6">
      <w:pPr>
        <w:autoSpaceDE w:val="0"/>
        <w:autoSpaceDN w:val="0"/>
        <w:adjustRightInd w:val="0"/>
        <w:rPr>
          <w:rFonts w:cs="TimesNewRoman"/>
          <w:szCs w:val="22"/>
        </w:rPr>
      </w:pPr>
      <w:r w:rsidRPr="003E3E78">
        <w:rPr>
          <w:noProof/>
          <w:lang w:eastAsia="en-AU"/>
        </w:rPr>
        <w:drawing>
          <wp:inline distT="0" distB="0" distL="0" distR="0" wp14:anchorId="44CBCF31" wp14:editId="013477E3">
            <wp:extent cx="5759450" cy="3516437"/>
            <wp:effectExtent l="0" t="0" r="0" b="8255"/>
            <wp:docPr id="292" name="Picture 292" descr="Summary of GBR MMP inshore seagrass state illustrating abundance of foundation / colonising species, seed banks and reproductive effort over the life of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figure_2015.png"/>
                    <pic:cNvPicPr/>
                  </pic:nvPicPr>
                  <pic:blipFill>
                    <a:blip r:embed="rId158">
                      <a:extLst>
                        <a:ext uri="{28A0092B-C50C-407E-A947-70E740481C1C}">
                          <a14:useLocalDpi xmlns:a14="http://schemas.microsoft.com/office/drawing/2010/main" val="0"/>
                        </a:ext>
                      </a:extLst>
                    </a:blip>
                    <a:stretch>
                      <a:fillRect/>
                    </a:stretch>
                  </pic:blipFill>
                  <pic:spPr>
                    <a:xfrm>
                      <a:off x="0" y="0"/>
                      <a:ext cx="5759450" cy="3516437"/>
                    </a:xfrm>
                    <a:prstGeom prst="rect">
                      <a:avLst/>
                    </a:prstGeom>
                  </pic:spPr>
                </pic:pic>
              </a:graphicData>
            </a:graphic>
          </wp:inline>
        </w:drawing>
      </w:r>
    </w:p>
    <w:p w14:paraId="256C044A" w14:textId="1187DA9F" w:rsidR="00D90552" w:rsidRPr="00941B89" w:rsidRDefault="00250AD6" w:rsidP="00D90552">
      <w:pPr>
        <w:rPr>
          <w:i/>
          <w:iCs/>
          <w:vanish/>
          <w:szCs w:val="22"/>
          <w:lang w:eastAsia="en-AU"/>
          <w:specVanish/>
        </w:rPr>
      </w:pPr>
      <w:bookmarkStart w:id="646" w:name="_Ref382211978"/>
      <w:bookmarkStart w:id="647" w:name="_Toc516053330"/>
      <w:bookmarkStart w:id="648" w:name="_Toc431493912"/>
      <w:r w:rsidRPr="003E3E78">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120</w:t>
      </w:r>
      <w:r w:rsidR="00C506C7">
        <w:rPr>
          <w:noProof/>
        </w:rPr>
        <w:fldChar w:fldCharType="end"/>
      </w:r>
      <w:bookmarkEnd w:id="641"/>
      <w:bookmarkEnd w:id="646"/>
      <w:r w:rsidRPr="003E3E78">
        <w:t xml:space="preserve">. </w:t>
      </w:r>
      <w:r w:rsidRPr="00250AD6">
        <w:rPr>
          <w:i/>
        </w:rPr>
        <w:t xml:space="preserve">Summary of </w:t>
      </w:r>
      <w:r w:rsidR="007F6948">
        <w:rPr>
          <w:i/>
        </w:rPr>
        <w:t>Great Barrier Reef</w:t>
      </w:r>
      <w:r w:rsidRPr="00250AD6">
        <w:rPr>
          <w:i/>
        </w:rPr>
        <w:t xml:space="preserve"> MMP inshore seagrass state illustrating abundance of foundation / colonising species, seed banks and reproductive effort </w:t>
      </w:r>
      <w:r w:rsidRPr="00D01EBE">
        <w:rPr>
          <w:i/>
        </w:rPr>
        <w:t>from 2005 to 201</w:t>
      </w:r>
      <w:r w:rsidR="00D01EBE" w:rsidRPr="00D01EBE">
        <w:rPr>
          <w:i/>
        </w:rPr>
        <w:t>7</w:t>
      </w:r>
      <w:bookmarkEnd w:id="647"/>
    </w:p>
    <w:p w14:paraId="7C5673E3" w14:textId="74085AED" w:rsidR="00250AD6" w:rsidRDefault="00250AD6" w:rsidP="00D90552">
      <w:r w:rsidRPr="00250AD6">
        <w:rPr>
          <w:i/>
        </w:rPr>
        <w:t>.</w:t>
      </w:r>
      <w:bookmarkEnd w:id="648"/>
      <w:r w:rsidRPr="00250AD6">
        <w:rPr>
          <w:i/>
          <w:specVanish/>
        </w:rPr>
        <w:t xml:space="preserve"> * colonising species are represented by the genus Halophila, however, Zostera and Halodule can be both colonising and foundational species depending on meadow state. ^ not conducted in 2005.</w:t>
      </w:r>
      <w:r w:rsidRPr="003E3E78">
        <w:t xml:space="preserve"> </w:t>
      </w:r>
    </w:p>
    <w:p w14:paraId="4465C1DD" w14:textId="77777777" w:rsidR="00CB6CFF" w:rsidRPr="00330C26" w:rsidRDefault="00CB6CFF" w:rsidP="00D90552">
      <w:pPr>
        <w:rPr>
          <w:i/>
          <w:vanish/>
        </w:rPr>
      </w:pPr>
    </w:p>
    <w:p w14:paraId="1BA8D872" w14:textId="17B97994" w:rsidR="00250AD6" w:rsidRPr="00250AD6" w:rsidRDefault="00250AD6" w:rsidP="00250AD6">
      <w:pPr>
        <w:autoSpaceDE w:val="0"/>
        <w:autoSpaceDN w:val="0"/>
        <w:adjustRightInd w:val="0"/>
        <w:rPr>
          <w:color w:val="000000" w:themeColor="text1"/>
          <w:szCs w:val="22"/>
        </w:rPr>
      </w:pPr>
      <w:r w:rsidRPr="00250AD6">
        <w:rPr>
          <w:color w:val="000000" w:themeColor="text1"/>
          <w:szCs w:val="22"/>
        </w:rPr>
        <w:t xml:space="preserve">There was increasing evidence that water quality degradation within the seagrass meadows of the inshore </w:t>
      </w:r>
      <w:r w:rsidR="007F6948">
        <w:rPr>
          <w:color w:val="000000" w:themeColor="text1"/>
          <w:szCs w:val="22"/>
        </w:rPr>
        <w:t>Great Barrier Reef</w:t>
      </w:r>
      <w:r w:rsidRPr="00250AD6">
        <w:rPr>
          <w:color w:val="000000" w:themeColor="text1"/>
          <w:szCs w:val="22"/>
        </w:rPr>
        <w:t xml:space="preserve"> prior to the episodic disturbances of 2011 may have reduced their resilience. Light availability is one of the primary driving factors in seagrass growth and persistence (</w:t>
      </w:r>
      <w:hyperlink w:anchor="_ENREF_53" w:tooltip="Collier, 2009 #9285" w:history="1">
        <w:r w:rsidR="00305FE7" w:rsidRPr="00250AD6">
          <w:rPr>
            <w:color w:val="000000" w:themeColor="text1"/>
            <w:szCs w:val="22"/>
          </w:rPr>
          <w:fldChar w:fldCharType="begin"/>
        </w:r>
        <w:r w:rsidR="00305FE7" w:rsidRPr="00250AD6">
          <w:rPr>
            <w:color w:val="000000" w:themeColor="text1"/>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305FE7" w:rsidRPr="00250AD6">
          <w:rPr>
            <w:color w:val="000000" w:themeColor="text1"/>
            <w:szCs w:val="22"/>
          </w:rPr>
          <w:fldChar w:fldCharType="separate"/>
        </w:r>
        <w:r w:rsidR="00305FE7" w:rsidRPr="00250AD6">
          <w:rPr>
            <w:noProof/>
            <w:color w:val="000000" w:themeColor="text1"/>
            <w:szCs w:val="22"/>
          </w:rPr>
          <w:t>Collier and Waycott 2009</w:t>
        </w:r>
        <w:r w:rsidR="00305FE7" w:rsidRPr="00250AD6">
          <w:rPr>
            <w:color w:val="000000" w:themeColor="text1"/>
            <w:szCs w:val="22"/>
          </w:rPr>
          <w:fldChar w:fldCharType="end"/>
        </w:r>
      </w:hyperlink>
      <w:r w:rsidRPr="00250AD6">
        <w:rPr>
          <w:color w:val="000000" w:themeColor="text1"/>
          <w:szCs w:val="22"/>
        </w:rPr>
        <w:t xml:space="preserve">; </w:t>
      </w:r>
      <w:hyperlink w:anchor="_ENREF_19" w:tooltip="Brodie, 2013 #9501" w:history="1">
        <w:r w:rsidR="00305FE7" w:rsidRPr="00250AD6">
          <w:rPr>
            <w:color w:val="000000" w:themeColor="text1"/>
            <w:szCs w:val="22"/>
          </w:rPr>
          <w:fldChar w:fldCharType="begin"/>
        </w:r>
        <w:r w:rsidR="00305FE7">
          <w:rPr>
            <w:color w:val="000000" w:themeColor="text1"/>
            <w:szCs w:val="22"/>
          </w:rPr>
          <w:instrText xml:space="preserve"> ADDIN EN.CITE &lt;EndNote&gt;&lt;Cite&gt;&lt;Author&gt;Brodie&lt;/Author&gt;&lt;Year&gt;2013&lt;/Year&gt;&lt;RecNum&gt;9501&lt;/RecNum&gt;&lt;DisplayText&gt;Brodie&lt;style face="italic"&gt; et al.&lt;/style&gt; 2013&lt;/DisplayText&gt;&lt;record&gt;&lt;rec-number&gt;9501&lt;/rec-number&gt;&lt;foreign-keys&gt;&lt;key app="EN" db-id="0eve55x9y5vfd6e9dacxtew4eatve2dzds9a" timestamp="1375854876"&gt;9501&lt;/key&gt;&lt;/foreign-keys&gt;&lt;ref-type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305FE7" w:rsidRPr="00250AD6">
          <w:rPr>
            <w:color w:val="000000" w:themeColor="text1"/>
            <w:szCs w:val="22"/>
          </w:rPr>
          <w:fldChar w:fldCharType="separate"/>
        </w:r>
        <w:r w:rsidR="00305FE7">
          <w:rPr>
            <w:noProof/>
            <w:color w:val="000000" w:themeColor="text1"/>
            <w:szCs w:val="22"/>
          </w:rPr>
          <w:t>Brodie</w:t>
        </w:r>
        <w:r w:rsidR="00305FE7" w:rsidRPr="00521D93">
          <w:rPr>
            <w:i/>
            <w:noProof/>
            <w:color w:val="000000" w:themeColor="text1"/>
            <w:szCs w:val="22"/>
          </w:rPr>
          <w:t xml:space="preserve"> et al.</w:t>
        </w:r>
        <w:r w:rsidR="00305FE7">
          <w:rPr>
            <w:noProof/>
            <w:color w:val="000000" w:themeColor="text1"/>
            <w:szCs w:val="22"/>
          </w:rPr>
          <w:t xml:space="preserve"> 2013</w:t>
        </w:r>
        <w:r w:rsidR="00305FE7" w:rsidRPr="00250AD6">
          <w:rPr>
            <w:color w:val="000000" w:themeColor="text1"/>
            <w:szCs w:val="22"/>
          </w:rPr>
          <w:fldChar w:fldCharType="end"/>
        </w:r>
      </w:hyperlink>
      <w:r w:rsidRPr="00250AD6">
        <w:rPr>
          <w:color w:val="000000" w:themeColor="text1"/>
          <w:szCs w:val="22"/>
        </w:rPr>
        <w:t>;</w:t>
      </w:r>
      <w:hyperlink w:anchor="_ENREF_59" w:tooltip="Collier, 2012 #9368" w:history="1">
        <w:r w:rsidR="00305FE7" w:rsidRPr="00250AD6">
          <w:rPr>
            <w:color w:val="000000" w:themeColor="text1"/>
            <w:szCs w:val="22"/>
          </w:rPr>
          <w:fldChar w:fldCharType="begin"/>
        </w:r>
        <w:r w:rsidR="00305FE7">
          <w:rPr>
            <w:color w:val="000000" w:themeColor="text1"/>
            <w:szCs w:val="22"/>
          </w:rPr>
          <w:instrText xml:space="preserve"> ADDIN EN.CITE &lt;EndNote&gt;&lt;Cite&gt;&lt;Author&gt;Collier&lt;/Author&gt;&lt;Year&gt;2012&lt;/Year&gt;&lt;RecNum&gt;9368&lt;/RecNum&gt;&lt;DisplayText&gt;Collier&lt;style face="italic"&gt; et al.&lt;/style&gt; 2012c&lt;/DisplayText&gt;&lt;record&gt;&lt;rec-number&gt;9368&lt;/rec-number&gt;&lt;foreign-keys&gt;&lt;key app="EN" db-id="0eve55x9y5vfd6e9dacxtew4eatve2dzds9a" timestamp="1375052483"&gt;9368&lt;/key&gt;&lt;/foreign-keys&gt;&lt;ref-type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305FE7" w:rsidRPr="00250AD6">
          <w:rPr>
            <w:color w:val="000000" w:themeColor="text1"/>
            <w:szCs w:val="22"/>
          </w:rPr>
          <w:fldChar w:fldCharType="separate"/>
        </w:r>
        <w:r w:rsidR="00305FE7">
          <w:rPr>
            <w:noProof/>
            <w:color w:val="000000" w:themeColor="text1"/>
            <w:szCs w:val="22"/>
          </w:rPr>
          <w:t>Collier</w:t>
        </w:r>
        <w:r w:rsidR="00305FE7" w:rsidRPr="00521D93">
          <w:rPr>
            <w:i/>
            <w:noProof/>
            <w:color w:val="000000" w:themeColor="text1"/>
            <w:szCs w:val="22"/>
          </w:rPr>
          <w:t xml:space="preserve"> et al.</w:t>
        </w:r>
        <w:r w:rsidR="00305FE7">
          <w:rPr>
            <w:noProof/>
            <w:color w:val="000000" w:themeColor="text1"/>
            <w:szCs w:val="22"/>
          </w:rPr>
          <w:t xml:space="preserve"> 2012c</w:t>
        </w:r>
        <w:r w:rsidR="00305FE7" w:rsidRPr="00250AD6">
          <w:rPr>
            <w:color w:val="000000" w:themeColor="text1"/>
            <w:szCs w:val="22"/>
          </w:rPr>
          <w:fldChar w:fldCharType="end"/>
        </w:r>
      </w:hyperlink>
      <w:r w:rsidRPr="00250AD6">
        <w:rPr>
          <w:color w:val="000000" w:themeColor="text1"/>
          <w:szCs w:val="22"/>
        </w:rPr>
        <w:t>). Seagrasses can survive in highly turbid sites if restricted to shallow areas where light reaches the canopy around low tide (</w:t>
      </w:r>
      <w:hyperlink w:anchor="_ENREF_186" w:tooltip="Petrou, 2013 #9780" w:history="1">
        <w:r w:rsidR="00305FE7" w:rsidRPr="00250AD6">
          <w:rPr>
            <w:color w:val="000000" w:themeColor="text1"/>
            <w:szCs w:val="22"/>
          </w:rPr>
          <w:fldChar w:fldCharType="begin"/>
        </w:r>
        <w:r w:rsidR="00305FE7" w:rsidRPr="00250AD6">
          <w:rPr>
            <w:color w:val="000000" w:themeColor="text1"/>
            <w:szCs w:val="22"/>
          </w:rPr>
          <w:instrText xml:space="preserve"> ADDIN EN.CITE &lt;EndNote&gt;&lt;Cite&gt;&lt;Author&gt;Petrou&lt;/Author&gt;&lt;Year&gt;2013&lt;/Year&gt;&lt;RecNum&gt;9780&lt;/RecNum&gt;&lt;DisplayText&gt;Petrou&lt;style face="italic"&gt; et al.&lt;/style&gt; 2013&lt;/DisplayText&gt;&lt;record&gt;&lt;rec-number&gt;9780&lt;/rec-number&gt;&lt;foreign-keys&gt;&lt;key app="EN" db-id="0eve55x9y5vfd6e9dacxtew4eatve2dzds9a" timestamp="1394345478"&gt;9780&lt;/key&gt;&lt;/foreign-keys&gt;&lt;ref-type name="Journal Article"&gt;17&lt;/ref-type&gt;&lt;contributors&gt;&lt;authors&gt;&lt;author&gt;Petrou, K&lt;/author&gt;&lt;author&gt;Jimenez-Denness, I&lt;/author&gt;&lt;author&gt;Chartrand, K&lt;/author&gt;&lt;author&gt;McCormack, C&lt;/author&gt;&lt;author&gt;Rasheed, M&lt;/author&gt;&lt;author&gt;Ralph, PJ&lt;/author&gt;&lt;/authors&gt;&lt;/contributors&gt;&lt;titles&gt;&lt;title&gt;Seasonal heterogeneity in the photophysiological response to air exposure in two tropical intertidal seagrass species&lt;/title&gt;&lt;secondary-title&gt;Marine Ecology Progress Series&lt;/secondary-title&gt;&lt;/titles&gt;&lt;periodical&gt;&lt;full-title&gt;Marine Ecology Progress Series&lt;/full-title&gt;&lt;/periodical&gt;&lt;pages&gt;93-106&lt;/pages&gt;&lt;volume&gt;482&lt;/volume&gt;&lt;dates&gt;&lt;year&gt;2013&lt;/year&gt;&lt;pub-dates&gt;&lt;date&gt;May 22, 2013&lt;/date&gt;&lt;/pub-dates&gt;&lt;/dates&gt;&lt;urls&gt;&lt;related-urls&gt;&lt;url&gt;http://www.int-res.com/abstracts/meps/v482/p93-106/&lt;/url&gt;&lt;/related-urls&gt;&lt;/urls&gt;&lt;electronic-resource-num&gt;10.3354/meps10229&lt;/electronic-resource-num&gt;&lt;/record&gt;&lt;/Cite&gt;&lt;/EndNote&gt;</w:instrText>
        </w:r>
        <w:r w:rsidR="00305FE7" w:rsidRPr="00250AD6">
          <w:rPr>
            <w:color w:val="000000" w:themeColor="text1"/>
            <w:szCs w:val="22"/>
          </w:rPr>
          <w:fldChar w:fldCharType="separate"/>
        </w:r>
        <w:r w:rsidR="00305FE7" w:rsidRPr="00250AD6">
          <w:rPr>
            <w:noProof/>
            <w:color w:val="000000" w:themeColor="text1"/>
            <w:szCs w:val="22"/>
          </w:rPr>
          <w:t>Petrou</w:t>
        </w:r>
        <w:r w:rsidR="00305FE7" w:rsidRPr="00250AD6">
          <w:rPr>
            <w:i/>
            <w:noProof/>
            <w:color w:val="000000" w:themeColor="text1"/>
            <w:szCs w:val="22"/>
          </w:rPr>
          <w:t xml:space="preserve"> et al.</w:t>
        </w:r>
        <w:r w:rsidR="00305FE7" w:rsidRPr="00250AD6">
          <w:rPr>
            <w:noProof/>
            <w:color w:val="000000" w:themeColor="text1"/>
            <w:szCs w:val="22"/>
          </w:rPr>
          <w:t xml:space="preserve"> 2013</w:t>
        </w:r>
        <w:r w:rsidR="00305FE7" w:rsidRPr="00250AD6">
          <w:rPr>
            <w:color w:val="000000" w:themeColor="text1"/>
            <w:szCs w:val="22"/>
          </w:rPr>
          <w:fldChar w:fldCharType="end"/>
        </w:r>
      </w:hyperlink>
      <w:r w:rsidRPr="00250AD6">
        <w:rPr>
          <w:color w:val="000000" w:themeColor="text1"/>
          <w:szCs w:val="22"/>
        </w:rPr>
        <w:t xml:space="preserve">). Despite this, declines in abundance at intertidal habitats up to 2011 were also likely caused in part by low light levels (e.g. </w:t>
      </w:r>
      <w:hyperlink w:anchor="_ENREF_188" w:tooltip="Petus, 2014 #9847" w:history="1">
        <w:r w:rsidR="00305FE7" w:rsidRPr="00250AD6">
          <w:rPr>
            <w:color w:val="000000" w:themeColor="text1"/>
            <w:szCs w:val="22"/>
          </w:rPr>
          <w:fldChar w:fldCharType="begin"/>
        </w:r>
        <w:r w:rsidR="00305FE7">
          <w:rPr>
            <w:color w:val="000000" w:themeColor="text1"/>
            <w:szCs w:val="22"/>
          </w:rPr>
          <w:instrText xml:space="preserve"> ADDIN EN.CITE &lt;EndNote&gt;&lt;Cite&gt;&lt;Author&gt;Petus&lt;/Author&gt;&lt;Year&gt;2014&lt;/Year&gt;&lt;RecNum&gt;9847&lt;/RecNum&gt;&lt;DisplayText&gt;Petus&lt;style face="italic"&gt; et al.&lt;/style&gt; 2014b&lt;/DisplayText&gt;&lt;record&gt;&lt;rec-number&gt;9847&lt;/rec-number&gt;&lt;foreign-keys&gt;&lt;key app="EN" db-id="0eve55x9y5vfd6e9dacxtew4eatve2dzds9a" timestamp="1404296621"&gt;9847&lt;/key&gt;&lt;/foreign-keys&gt;&lt;ref-type name="Journal Article"&gt;17&lt;/ref-type&gt;&lt;contributors&gt;&lt;authors&gt;&lt;author&gt;Petus, Caroline&lt;/author&gt;&lt;author&gt;da Silva, Eduardo Teixeira&lt;/author&gt;&lt;author&gt;Devlin, Michelle&lt;/author&gt;&lt;author&gt;Wenger, Amelia S.&lt;/author&gt;&lt;author&gt;Álvarez-Romero, Jorge G.&lt;/author&gt;&lt;/authors&gt;&lt;/contributors&gt;&lt;titles&gt;&lt;title&gt;Using MODIS data for mapping of water types within river plumes in the Great Barrier Reef, Australia: Towards the production of river plume risk maps for reef and seagrass ecosystems&lt;/title&gt;&lt;secondary-title&gt;Journal of Environmental Management&lt;/secondary-title&gt;&lt;/titles&gt;&lt;periodical&gt;&lt;full-title&gt;Journal of Environmental Management&lt;/full-title&gt;&lt;/periodical&gt;&lt;pages&gt;163-177&lt;/pages&gt;&lt;volume&gt;137&lt;/volume&gt;&lt;number&gt;0&lt;/number&gt;&lt;keywords&gt;&lt;keyword&gt;Water quality&lt;/keyword&gt;&lt;keyword&gt;River plume&lt;/keyword&gt;&lt;keyword&gt;Water types&lt;/keyword&gt;&lt;keyword&gt;Risk maps&lt;/keyword&gt;&lt;keyword&gt;Ecological impact&lt;/keyword&gt;&lt;keyword&gt;Monitoring&lt;/keyword&gt;&lt;keyword&gt;Great Barrier Reef&lt;/keyword&gt;&lt;/keywords&gt;&lt;dates&gt;&lt;year&gt;2014&lt;/year&gt;&lt;/dates&gt;&lt;isbn&gt;0301-4797&lt;/isbn&gt;&lt;urls&gt;&lt;related-urls&gt;&lt;url&gt;http://www.sciencedirect.com/science/article/pii/S0301479714000851&lt;/url&gt;&lt;/related-urls&gt;&lt;/urls&gt;&lt;electronic-resource-num&gt;http://dx.doi.org/10.1016/j.jenvman.2013.11.050&lt;/electronic-resource-num&gt;&lt;/record&gt;&lt;/Cite&gt;&lt;/EndNote&gt;</w:instrText>
        </w:r>
        <w:r w:rsidR="00305FE7" w:rsidRPr="00250AD6">
          <w:rPr>
            <w:color w:val="000000" w:themeColor="text1"/>
            <w:szCs w:val="22"/>
          </w:rPr>
          <w:fldChar w:fldCharType="separate"/>
        </w:r>
        <w:r w:rsidR="00305FE7">
          <w:rPr>
            <w:noProof/>
            <w:color w:val="000000" w:themeColor="text1"/>
            <w:szCs w:val="22"/>
          </w:rPr>
          <w:t>Petus</w:t>
        </w:r>
        <w:r w:rsidR="00305FE7" w:rsidRPr="00610D5C">
          <w:rPr>
            <w:i/>
            <w:noProof/>
            <w:color w:val="000000" w:themeColor="text1"/>
            <w:szCs w:val="22"/>
          </w:rPr>
          <w:t xml:space="preserve"> et al.</w:t>
        </w:r>
        <w:r w:rsidR="00305FE7">
          <w:rPr>
            <w:noProof/>
            <w:color w:val="000000" w:themeColor="text1"/>
            <w:szCs w:val="22"/>
          </w:rPr>
          <w:t xml:space="preserve"> 2014b</w:t>
        </w:r>
        <w:r w:rsidR="00305FE7" w:rsidRPr="00250AD6">
          <w:rPr>
            <w:color w:val="000000" w:themeColor="text1"/>
            <w:szCs w:val="22"/>
          </w:rPr>
          <w:fldChar w:fldCharType="end"/>
        </w:r>
      </w:hyperlink>
      <w:r w:rsidRPr="00250AD6">
        <w:rPr>
          <w:color w:val="000000" w:themeColor="text1"/>
          <w:szCs w:val="22"/>
        </w:rPr>
        <w:t>). Low light impacts in intertidal habitats may result from infrequent low tide exposure occurring in summer months when water can be very turbid coincident with high water temperatures which drives faster rates of decline (</w:t>
      </w:r>
      <w:hyperlink w:anchor="_ENREF_54" w:tooltip="Collier, 2016 #10625" w:history="1">
        <w:r w:rsidR="00305FE7" w:rsidRPr="00250AD6">
          <w:rPr>
            <w:color w:val="000000" w:themeColor="text1"/>
            <w:szCs w:val="22"/>
          </w:rPr>
          <w:fldChar w:fldCharType="begin"/>
        </w:r>
        <w:r w:rsidR="00305FE7">
          <w:rPr>
            <w:color w:val="000000" w:themeColor="text1"/>
            <w:szCs w:val="22"/>
          </w:rPr>
          <w:instrText xml:space="preserve"> ADDIN EN.CITE &lt;EndNote&gt;&lt;Cite&gt;&lt;Author&gt;Collier&lt;/Author&gt;&lt;Year&gt;2016&lt;/Year&gt;&lt;RecNum&gt;10625&lt;/RecNum&gt;&lt;DisplayText&gt;Collier&lt;style face="italic"&gt; et al.&lt;/style&gt; 2016&lt;/DisplayText&gt;&lt;record&gt;&lt;rec-number&gt;10625&lt;/rec-number&gt;&lt;foreign-keys&gt;&lt;key app="EN" db-id="0eve55x9y5vfd6e9dacxtew4eatve2dzds9a" timestamp="1463028163"&gt;10625&lt;/key&gt;&lt;/foreign-keys&gt;&lt;ref-type name="Journal Article"&gt;17&lt;/ref-type&gt;&lt;contributors&gt;&lt;authors&gt;&lt;author&gt;Collier, C. J.&lt;/author&gt;&lt;author&gt;Adams, M. P.&lt;/author&gt;&lt;author&gt;Langlois, L.&lt;/author&gt;&lt;author&gt;Waycott, M.&lt;/author&gt;&lt;author&gt;O’Brien, K. R.&lt;/author&gt;&lt;author&gt;Maxwell, P. S.&lt;/author&gt;&lt;author&gt;McKenzie, L.&lt;/author&gt;&lt;/authors&gt;&lt;/contributors&gt;&lt;titles&gt;&lt;title&gt;Thresholds for morphological response to light reduction for four tropical seagrass species&lt;/title&gt;&lt;secondary-title&gt;Ecological Indicators&lt;/secondary-title&gt;&lt;/titles&gt;&lt;periodical&gt;&lt;full-title&gt;Ecological Indicators&lt;/full-title&gt;&lt;/periodical&gt;&lt;pages&gt;358-366&lt;/pages&gt;&lt;volume&gt;67&lt;/volume&gt;&lt;keywords&gt;&lt;keyword&gt;Great Barrier Reef&lt;/keyword&gt;&lt;keyword&gt;Water quality&lt;/keyword&gt;&lt;keyword&gt;Photosynthetic photon flux density (PPFD)&lt;/keyword&gt;&lt;keyword&gt;Light thresholds&lt;/keyword&gt;&lt;keyword&gt;Temperature&lt;/keyword&gt;&lt;/keywords&gt;&lt;dates&gt;&lt;year&gt;2016&lt;/year&gt;&lt;/dates&gt;&lt;isbn&gt;1470-160X&lt;/isbn&gt;&lt;urls&gt;&lt;related-urls&gt;&lt;url&gt;http://www.sciencedirect.com/science/article/pii/S1470160X16300711&lt;/url&gt;&lt;/related-urls&gt;&lt;/urls&gt;&lt;electronic-resource-num&gt;http://dx.doi.org/10.1016/j.ecolind.2016.02.050&lt;/electronic-resource-num&gt;&lt;/record&gt;&lt;/Cite&gt;&lt;/EndNote&gt;</w:instrText>
        </w:r>
        <w:r w:rsidR="00305FE7" w:rsidRPr="00250AD6">
          <w:rPr>
            <w:color w:val="000000" w:themeColor="text1"/>
            <w:szCs w:val="22"/>
          </w:rPr>
          <w:fldChar w:fldCharType="separate"/>
        </w:r>
        <w:r w:rsidR="00305FE7">
          <w:rPr>
            <w:noProof/>
            <w:color w:val="000000" w:themeColor="text1"/>
            <w:szCs w:val="22"/>
          </w:rPr>
          <w:t>Collier</w:t>
        </w:r>
        <w:r w:rsidR="00305FE7" w:rsidRPr="00521D93">
          <w:rPr>
            <w:i/>
            <w:noProof/>
            <w:color w:val="000000" w:themeColor="text1"/>
            <w:szCs w:val="22"/>
          </w:rPr>
          <w:t xml:space="preserve"> et al.</w:t>
        </w:r>
        <w:r w:rsidR="00305FE7">
          <w:rPr>
            <w:noProof/>
            <w:color w:val="000000" w:themeColor="text1"/>
            <w:szCs w:val="22"/>
          </w:rPr>
          <w:t xml:space="preserve"> 2016</w:t>
        </w:r>
        <w:r w:rsidR="00305FE7" w:rsidRPr="00250AD6">
          <w:rPr>
            <w:color w:val="000000" w:themeColor="text1"/>
            <w:szCs w:val="22"/>
          </w:rPr>
          <w:fldChar w:fldCharType="end"/>
        </w:r>
      </w:hyperlink>
      <w:r w:rsidRPr="00250AD6">
        <w:rPr>
          <w:color w:val="000000" w:themeColor="text1"/>
          <w:szCs w:val="22"/>
        </w:rPr>
        <w:t xml:space="preserve">). From 2009, reduced canopy light to low and limiting light levels was reported in seagrass meadows across the </w:t>
      </w:r>
      <w:r w:rsidR="007F6948">
        <w:rPr>
          <w:color w:val="000000" w:themeColor="text1"/>
          <w:szCs w:val="22"/>
        </w:rPr>
        <w:t>Great Barrier Reef</w:t>
      </w:r>
      <w:r w:rsidRPr="00250AD6">
        <w:rPr>
          <w:color w:val="000000" w:themeColor="text1"/>
          <w:szCs w:val="22"/>
        </w:rPr>
        <w:t>, and, coincident with this, nutrients (N and P) increased relative to plant requirements. However, these conditions in the years leading up to 2011 were extremely turbid and were correlated with seagrass decline (e.g. Petus et al 2014, Collier et al 2012c). Since then, there have been periods of low light and exceedance of light thresholds, but the low light levels have not been as extreme (as low light, or for as long). In addition, the meadows have been in recovery mode, and the biological processes of recovery appear to complicate the response to environmental stressors. This makes it more difficult to identify the effect of light levels using statistical approaches, given the range of other disturbances occurring (See Case study 2</w:t>
      </w:r>
      <w:r w:rsidR="00673C0D">
        <w:rPr>
          <w:color w:val="000000" w:themeColor="text1"/>
          <w:szCs w:val="22"/>
        </w:rPr>
        <w:t>,</w:t>
      </w:r>
      <w:r w:rsidRPr="00250AD6">
        <w:rPr>
          <w:color w:val="000000" w:themeColor="text1"/>
          <w:szCs w:val="22"/>
        </w:rPr>
        <w:t xml:space="preserve"> McKenzie et al 2017). </w:t>
      </w:r>
    </w:p>
    <w:p w14:paraId="6935AB6D" w14:textId="77777777" w:rsidR="00250AD6" w:rsidRPr="00250AD6" w:rsidRDefault="00250AD6" w:rsidP="00250AD6">
      <w:pPr>
        <w:autoSpaceDE w:val="0"/>
        <w:autoSpaceDN w:val="0"/>
        <w:adjustRightInd w:val="0"/>
        <w:rPr>
          <w:color w:val="000000" w:themeColor="text1"/>
          <w:szCs w:val="22"/>
        </w:rPr>
      </w:pPr>
    </w:p>
    <w:p w14:paraId="4AFE6D75" w14:textId="77777777" w:rsidR="00250AD6" w:rsidRPr="00250AD6" w:rsidRDefault="00250AD6" w:rsidP="00250AD6">
      <w:pPr>
        <w:autoSpaceDE w:val="0"/>
        <w:autoSpaceDN w:val="0"/>
        <w:adjustRightInd w:val="0"/>
        <w:rPr>
          <w:rFonts w:asciiTheme="majorHAnsi" w:hAnsiTheme="majorHAnsi" w:cs="TimesNewRoman"/>
          <w:b/>
          <w:i/>
          <w:color w:val="365F91"/>
          <w:sz w:val="24"/>
        </w:rPr>
      </w:pPr>
      <w:r w:rsidRPr="00250AD6">
        <w:rPr>
          <w:rFonts w:asciiTheme="majorHAnsi" w:hAnsiTheme="majorHAnsi" w:cs="TimesNewRoman"/>
          <w:b/>
          <w:i/>
          <w:color w:val="365F91"/>
          <w:sz w:val="24"/>
        </w:rPr>
        <w:t>Outlook</w:t>
      </w:r>
    </w:p>
    <w:p w14:paraId="66EC3E5E" w14:textId="70ED2C6E" w:rsidR="00FE4A6B" w:rsidRDefault="00250AD6" w:rsidP="00250AD6">
      <w:pPr>
        <w:autoSpaceDE w:val="0"/>
        <w:autoSpaceDN w:val="0"/>
        <w:adjustRightInd w:val="0"/>
        <w:rPr>
          <w:color w:val="000000" w:themeColor="text1"/>
          <w:szCs w:val="22"/>
        </w:rPr>
      </w:pPr>
      <w:bookmarkStart w:id="649" w:name="_Ref271623063"/>
      <w:bookmarkEnd w:id="642"/>
      <w:bookmarkEnd w:id="643"/>
      <w:bookmarkEnd w:id="644"/>
      <w:bookmarkEnd w:id="645"/>
      <w:r w:rsidRPr="00250AD6">
        <w:rPr>
          <w:color w:val="000000" w:themeColor="text1"/>
          <w:szCs w:val="22"/>
        </w:rPr>
        <w:t xml:space="preserve">While seagrass meadows of the </w:t>
      </w:r>
      <w:r w:rsidR="007F6948">
        <w:rPr>
          <w:color w:val="000000" w:themeColor="text1"/>
          <w:szCs w:val="22"/>
        </w:rPr>
        <w:t>Great Barrier Reef</w:t>
      </w:r>
      <w:r w:rsidRPr="00250AD6">
        <w:rPr>
          <w:color w:val="000000" w:themeColor="text1"/>
          <w:szCs w:val="22"/>
        </w:rPr>
        <w:t xml:space="preserve"> are inherently dynamic, poor recovery rates at many sites and poor resilience (e.g. seed density), suggest </w:t>
      </w:r>
      <w:r w:rsidR="0034784B">
        <w:rPr>
          <w:color w:val="000000" w:themeColor="text1"/>
          <w:szCs w:val="22"/>
        </w:rPr>
        <w:t>that</w:t>
      </w:r>
      <w:r w:rsidRPr="00250AD6">
        <w:rPr>
          <w:color w:val="000000" w:themeColor="text1"/>
          <w:szCs w:val="22"/>
        </w:rPr>
        <w:t xml:space="preserve"> capacity </w:t>
      </w:r>
      <w:r w:rsidR="001661A5">
        <w:rPr>
          <w:color w:val="000000" w:themeColor="text1"/>
          <w:szCs w:val="22"/>
        </w:rPr>
        <w:t xml:space="preserve">to recover from future impacts </w:t>
      </w:r>
      <w:r w:rsidR="0034784B">
        <w:rPr>
          <w:color w:val="000000" w:themeColor="text1"/>
          <w:szCs w:val="22"/>
        </w:rPr>
        <w:t>is compromised</w:t>
      </w:r>
      <w:r w:rsidRPr="00250AD6">
        <w:rPr>
          <w:color w:val="000000" w:themeColor="text1"/>
          <w:szCs w:val="22"/>
        </w:rPr>
        <w:t xml:space="preserve">. This, coupled with intensifying disturbances such as marine heatwaves, present a concerning outlook. Throughout the inshore </w:t>
      </w:r>
      <w:r w:rsidR="007F6948">
        <w:rPr>
          <w:color w:val="000000" w:themeColor="text1"/>
          <w:szCs w:val="22"/>
        </w:rPr>
        <w:t>Great Barrier Reef</w:t>
      </w:r>
      <w:r w:rsidRPr="00250AD6">
        <w:rPr>
          <w:color w:val="000000" w:themeColor="text1"/>
          <w:szCs w:val="22"/>
        </w:rPr>
        <w:t xml:space="preserve">, the rate of seagrass recovery since 2011 has been slower than expected in some locations and habitats compared to previous reports (e.g. Birch and Birch, 1984; Campbell and McKenzie 2004b), particularly at reef locations. </w:t>
      </w:r>
      <w:r w:rsidR="0034784B">
        <w:rPr>
          <w:color w:val="000000" w:themeColor="text1"/>
          <w:szCs w:val="22"/>
        </w:rPr>
        <w:t>L</w:t>
      </w:r>
      <w:r w:rsidRPr="00250AD6">
        <w:rPr>
          <w:color w:val="000000" w:themeColor="text1"/>
          <w:szCs w:val="22"/>
        </w:rPr>
        <w:t xml:space="preserve">ow </w:t>
      </w:r>
      <w:r w:rsidR="0034784B">
        <w:rPr>
          <w:color w:val="000000" w:themeColor="text1"/>
          <w:szCs w:val="22"/>
        </w:rPr>
        <w:t>reproductive effort may be a contributing factor</w:t>
      </w:r>
      <w:r w:rsidRPr="00250AD6">
        <w:rPr>
          <w:color w:val="000000" w:themeColor="text1"/>
          <w:szCs w:val="22"/>
        </w:rPr>
        <w:t>. At some of the reef sites reproductive structures are never observed for some species, while at others there is some reproductive effort but seed banks are not forming or persisting either because no seeds are being produced, or seeds are lost through other processes, such as predation (</w:t>
      </w:r>
      <w:hyperlink w:anchor="_ENREF_182" w:tooltip="Orth, 2006 #7350" w:history="1">
        <w:r w:rsidR="00305FE7">
          <w:rPr>
            <w:color w:val="000000" w:themeColor="text1"/>
            <w:szCs w:val="22"/>
          </w:rPr>
          <w:fldChar w:fldCharType="begin"/>
        </w:r>
        <w:r w:rsidR="00305FE7">
          <w:rPr>
            <w:color w:val="000000" w:themeColor="text1"/>
            <w:szCs w:val="22"/>
          </w:rPr>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 timestamp="0"&gt;7350&lt;/key&gt;&lt;/foreign-keys&gt;&lt;ref-type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305FE7">
          <w:rPr>
            <w:color w:val="000000" w:themeColor="text1"/>
            <w:szCs w:val="22"/>
          </w:rPr>
          <w:fldChar w:fldCharType="separate"/>
        </w:r>
        <w:r w:rsidR="00305FE7">
          <w:rPr>
            <w:noProof/>
            <w:color w:val="000000" w:themeColor="text1"/>
            <w:szCs w:val="22"/>
          </w:rPr>
          <w:t>Orth</w:t>
        </w:r>
        <w:r w:rsidR="00305FE7" w:rsidRPr="00610D5C">
          <w:rPr>
            <w:i/>
            <w:noProof/>
            <w:color w:val="000000" w:themeColor="text1"/>
            <w:szCs w:val="22"/>
          </w:rPr>
          <w:t xml:space="preserve"> et al.</w:t>
        </w:r>
        <w:r w:rsidR="00305FE7">
          <w:rPr>
            <w:noProof/>
            <w:color w:val="000000" w:themeColor="text1"/>
            <w:szCs w:val="22"/>
          </w:rPr>
          <w:t xml:space="preserve"> 2006</w:t>
        </w:r>
        <w:r w:rsidR="00305FE7">
          <w:rPr>
            <w:color w:val="000000" w:themeColor="text1"/>
            <w:szCs w:val="22"/>
          </w:rPr>
          <w:fldChar w:fldCharType="end"/>
        </w:r>
      </w:hyperlink>
      <w:r w:rsidRPr="00250AD6">
        <w:rPr>
          <w:color w:val="000000" w:themeColor="text1"/>
          <w:szCs w:val="22"/>
        </w:rPr>
        <w:t xml:space="preserve">). </w:t>
      </w:r>
      <w:r w:rsidR="00FE4A6B" w:rsidRPr="00250AD6">
        <w:rPr>
          <w:color w:val="000000" w:themeColor="text1"/>
          <w:szCs w:val="22"/>
        </w:rPr>
        <w:t xml:space="preserve">The presence of seeds is fundamental to building resilience at reef sites, as without them the meadows remain vulnerable to large disturbances and would need to rely on recruitment of propagules from other meadows. This </w:t>
      </w:r>
      <w:r w:rsidR="00FE4A6B">
        <w:rPr>
          <w:color w:val="000000" w:themeColor="text1"/>
          <w:szCs w:val="22"/>
        </w:rPr>
        <w:t xml:space="preserve">external </w:t>
      </w:r>
      <w:r w:rsidR="00FE4A6B" w:rsidRPr="00250AD6">
        <w:rPr>
          <w:color w:val="000000" w:themeColor="text1"/>
          <w:szCs w:val="22"/>
        </w:rPr>
        <w:t>recruitment process may operate at timescales ranging up to centuries or millennia depending on whether the propagules are reproductive or through clonal expansion (</w:t>
      </w:r>
      <w:hyperlink w:anchor="_ENREF_105" w:tooltip="Grech, 2016 #10760" w:history="1">
        <w:r w:rsidR="00305FE7" w:rsidRPr="00250AD6">
          <w:rPr>
            <w:color w:val="000000" w:themeColor="text1"/>
            <w:szCs w:val="22"/>
          </w:rPr>
          <w:fldChar w:fldCharType="begin"/>
        </w:r>
        <w:r w:rsidR="00305FE7" w:rsidRPr="00250AD6">
          <w:rPr>
            <w:color w:val="000000" w:themeColor="text1"/>
            <w:szCs w:val="22"/>
          </w:rPr>
          <w:instrText xml:space="preserve"> ADDIN EN.CITE &lt;EndNote&gt;&lt;Cite&gt;&lt;Author&gt;Grech&lt;/Author&gt;&lt;Year&gt;2016&lt;/Year&gt;&lt;RecNum&gt;10760&lt;/RecNum&gt;&lt;DisplayText&gt;Grech&lt;style face="italic"&gt; et al.&lt;/style&gt; 2016&lt;/DisplayText&gt;&lt;record&gt;&lt;rec-number&gt;10760&lt;/rec-number&gt;&lt;foreign-keys&gt;&lt;key app="EN" db-id="0eve55x9y5vfd6e9dacxtew4eatve2dzds9a" timestamp="1473804420"&gt;10760&lt;/key&gt;&lt;/foreign-keys&gt;&lt;ref-type name="Journal Article"&gt;17&lt;/ref-type&gt;&lt;contributors&gt;&lt;authors&gt;&lt;author&gt;Grech, Alana&lt;/author&gt;&lt;author&gt;Wolter, Jolan&lt;/author&gt;&lt;author&gt;Coles, Rob&lt;/author&gt;&lt;author&gt;McKenzie, Len&lt;/author&gt;&lt;author&gt;Rasheed, Michael&lt;/author&gt;&lt;author&gt;Thomas, Christopher&lt;/author&gt;&lt;author&gt;Waycott, Michelle&lt;/author&gt;&lt;author&gt;Hanert, Emmanuel&lt;/author&gt;&lt;/authors&gt;&lt;/contributors&gt;&lt;titles&gt;&lt;title&gt;Spatial patterns of seagrass dispersal and settlement&lt;/title&gt;&lt;secondary-title&gt;Diversity and Distributions&lt;/secondary-title&gt;&lt;/titles&gt;&lt;periodical&gt;&lt;full-title&gt;Diversity and Distributions&lt;/full-title&gt;&lt;/periodical&gt;&lt;pages&gt;n/a-n/a&lt;/pages&gt;&lt;keywords&gt;&lt;keyword&gt;dispersal&lt;/keyword&gt;&lt;keyword&gt;Great Barrier Reef&lt;/keyword&gt;&lt;keyword&gt;hydrodynamics&lt;/keyword&gt;&lt;keyword&gt;recovery&lt;/keyword&gt;&lt;keyword&gt;resilience&lt;/keyword&gt;&lt;keyword&gt;seagrass&lt;/keyword&gt;&lt;/keywords&gt;&lt;dates&gt;&lt;year&gt;2016&lt;/year&gt;&lt;/dates&gt;&lt;isbn&gt;1472-4642&lt;/isbn&gt;&lt;urls&gt;&lt;related-urls&gt;&lt;url&gt;http://dx.doi.org/10.1111/ddi.12479&lt;/url&gt;&lt;/related-urls&gt;&lt;/urls&gt;&lt;electronic-resource-num&gt;10.1111/ddi.12479&lt;/electronic-resource-num&gt;&lt;/record&gt;&lt;/Cite&gt;&lt;/EndNote&gt;</w:instrText>
        </w:r>
        <w:r w:rsidR="00305FE7" w:rsidRPr="00250AD6">
          <w:rPr>
            <w:color w:val="000000" w:themeColor="text1"/>
            <w:szCs w:val="22"/>
          </w:rPr>
          <w:fldChar w:fldCharType="separate"/>
        </w:r>
        <w:r w:rsidR="00305FE7" w:rsidRPr="00250AD6">
          <w:rPr>
            <w:noProof/>
            <w:color w:val="000000" w:themeColor="text1"/>
            <w:szCs w:val="22"/>
          </w:rPr>
          <w:t>Grech</w:t>
        </w:r>
        <w:r w:rsidR="00305FE7" w:rsidRPr="00250AD6">
          <w:rPr>
            <w:i/>
            <w:noProof/>
            <w:color w:val="000000" w:themeColor="text1"/>
            <w:szCs w:val="22"/>
          </w:rPr>
          <w:t xml:space="preserve"> et al.</w:t>
        </w:r>
        <w:r w:rsidR="00305FE7" w:rsidRPr="00250AD6">
          <w:rPr>
            <w:noProof/>
            <w:color w:val="000000" w:themeColor="text1"/>
            <w:szCs w:val="22"/>
          </w:rPr>
          <w:t xml:space="preserve"> 2016</w:t>
        </w:r>
        <w:r w:rsidR="00305FE7" w:rsidRPr="00250AD6">
          <w:rPr>
            <w:color w:val="000000" w:themeColor="text1"/>
            <w:szCs w:val="22"/>
          </w:rPr>
          <w:fldChar w:fldCharType="end"/>
        </w:r>
      </w:hyperlink>
      <w:r w:rsidR="00FE4A6B" w:rsidRPr="00250AD6">
        <w:rPr>
          <w:color w:val="000000" w:themeColor="text1"/>
          <w:szCs w:val="22"/>
        </w:rPr>
        <w:t xml:space="preserve">, </w:t>
      </w:r>
      <w:hyperlink w:anchor="_ENREF_172" w:tooltip="McMahon, 2014 #10411" w:history="1">
        <w:r w:rsidR="00305FE7">
          <w:rPr>
            <w:color w:val="000000" w:themeColor="text1"/>
            <w:szCs w:val="22"/>
          </w:rPr>
          <w:fldChar w:fldCharType="begin"/>
        </w:r>
        <w:r w:rsidR="00305FE7">
          <w:rPr>
            <w:color w:val="000000" w:themeColor="text1"/>
            <w:szCs w:val="22"/>
          </w:rPr>
          <w:instrText xml:space="preserve"> ADDIN EN.CITE &lt;EndNote&gt;&lt;Cite&gt;&lt;Author&gt;McMahon&lt;/Author&gt;&lt;Year&gt;2014&lt;/Year&gt;&lt;RecNum&gt;10411&lt;/RecNum&gt;&lt;DisplayText&gt;McMahon&lt;style face="italic"&gt; et al.&lt;/style&gt; 2014&lt;/DisplayText&gt;&lt;record&gt;&lt;rec-number&gt;10411&lt;/rec-number&gt;&lt;foreign-keys&gt;&lt;key app="EN" db-id="0eve55x9y5vfd6e9dacxtew4eatve2dzds9a" timestamp="1449181902"&gt;10411&lt;/key&gt;&lt;/foreign-keys&gt;&lt;ref-type name="Journal Article"&gt;17&lt;/ref-type&gt;&lt;contributors&gt;&lt;authors&gt;&lt;author&gt;McMahon, Kathryn&lt;/author&gt;&lt;author&gt;van Dijk, Kor-jent&lt;/author&gt;&lt;author&gt;Ruiz-Montoya, Leonardo&lt;/author&gt;&lt;author&gt;Kendrick, Gary A.&lt;/author&gt;&lt;author&gt;Krauss, Siegfried L.&lt;/author&gt;&lt;author&gt;Waycott, Michelle&lt;/author&gt;&lt;author&gt;Verduin, Jennifer&lt;/author&gt;&lt;author&gt;Lowe, Ryan&lt;/author&gt;&lt;author&gt;Statton, John&lt;/author&gt;&lt;author&gt;Brown, Eloise&lt;/author&gt;&lt;author&gt;Duarte, Carlos&lt;/author&gt;&lt;/authors&gt;&lt;/contributors&gt;&lt;titles&gt;&lt;title&gt;The movement ecology of seagrasses&lt;/title&gt;&lt;secondary-title&gt;Proceedings of the Royal Society of London B: Biological Sciences&lt;/secondary-title&gt;&lt;/titles&gt;&lt;periodical&gt;&lt;full-title&gt;Proceedings of the Royal Society of London B: Biological Sciences&lt;/full-title&gt;&lt;/periodical&gt;&lt;volume&gt;281&lt;/volume&gt;&lt;number&gt;1795&lt;/number&gt;&lt;dates&gt;&lt;year&gt;2014&lt;/year&gt;&lt;pub-dates&gt;&lt;date&gt;2014-11-22 00:00:00&lt;/date&gt;&lt;/pub-dates&gt;&lt;/dates&gt;&lt;urls&gt;&lt;related-urls&gt;&lt;url&gt;http://rspb.royalsocietypublishing.org/royprsb/281/1795/20140878.full.pdf&lt;/url&gt;&lt;/related-urls&gt;&lt;/urls&gt;&lt;electronic-resource-num&gt;10.1098/rspb.2014.0878&lt;/electronic-resource-num&gt;&lt;/record&gt;&lt;/Cite&gt;&lt;/EndNote&gt;</w:instrText>
        </w:r>
        <w:r w:rsidR="00305FE7">
          <w:rPr>
            <w:color w:val="000000" w:themeColor="text1"/>
            <w:szCs w:val="22"/>
          </w:rPr>
          <w:fldChar w:fldCharType="separate"/>
        </w:r>
        <w:r w:rsidR="00305FE7">
          <w:rPr>
            <w:noProof/>
            <w:color w:val="000000" w:themeColor="text1"/>
            <w:szCs w:val="22"/>
          </w:rPr>
          <w:t>McMahon</w:t>
        </w:r>
        <w:r w:rsidR="00305FE7" w:rsidRPr="00610D5C">
          <w:rPr>
            <w:i/>
            <w:noProof/>
            <w:color w:val="000000" w:themeColor="text1"/>
            <w:szCs w:val="22"/>
          </w:rPr>
          <w:t xml:space="preserve"> et al.</w:t>
        </w:r>
        <w:r w:rsidR="00305FE7">
          <w:rPr>
            <w:noProof/>
            <w:color w:val="000000" w:themeColor="text1"/>
            <w:szCs w:val="22"/>
          </w:rPr>
          <w:t xml:space="preserve"> 2014</w:t>
        </w:r>
        <w:r w:rsidR="00305FE7">
          <w:rPr>
            <w:color w:val="000000" w:themeColor="text1"/>
            <w:szCs w:val="22"/>
          </w:rPr>
          <w:fldChar w:fldCharType="end"/>
        </w:r>
      </w:hyperlink>
      <w:r w:rsidR="00FE4A6B" w:rsidRPr="00FA34C8">
        <w:rPr>
          <w:color w:val="000000" w:themeColor="text1"/>
          <w:szCs w:val="22"/>
        </w:rPr>
        <w:t>).</w:t>
      </w:r>
      <w:r w:rsidR="00FE4A6B" w:rsidRPr="00250AD6">
        <w:rPr>
          <w:color w:val="000000" w:themeColor="text1"/>
          <w:szCs w:val="22"/>
        </w:rPr>
        <w:t xml:space="preserve"> Absence of a seed bank at some sites and poor reproductive effort across the </w:t>
      </w:r>
      <w:r w:rsidR="007F6948">
        <w:rPr>
          <w:color w:val="000000" w:themeColor="text1"/>
          <w:szCs w:val="22"/>
        </w:rPr>
        <w:t>Great Barrier Reef</w:t>
      </w:r>
      <w:r w:rsidR="00FE4A6B" w:rsidRPr="00250AD6">
        <w:rPr>
          <w:color w:val="000000" w:themeColor="text1"/>
          <w:szCs w:val="22"/>
        </w:rPr>
        <w:t>, has left most of the MMP meadows vulnerable to further environmental perturbations</w:t>
      </w:r>
      <w:r w:rsidR="00FE4A6B">
        <w:rPr>
          <w:color w:val="000000" w:themeColor="text1"/>
          <w:szCs w:val="22"/>
        </w:rPr>
        <w:t>.</w:t>
      </w:r>
      <w:r w:rsidR="00FE4A6B" w:rsidRPr="00250AD6">
        <w:rPr>
          <w:color w:val="000000" w:themeColor="text1"/>
          <w:szCs w:val="22"/>
        </w:rPr>
        <w:t xml:space="preserve">  </w:t>
      </w:r>
    </w:p>
    <w:p w14:paraId="1DB9FAD2" w14:textId="591DA20D" w:rsidR="00250AD6" w:rsidRPr="00250AD6" w:rsidRDefault="0034784B" w:rsidP="00250AD6">
      <w:pPr>
        <w:autoSpaceDE w:val="0"/>
        <w:autoSpaceDN w:val="0"/>
        <w:adjustRightInd w:val="0"/>
        <w:rPr>
          <w:color w:val="000000" w:themeColor="text1"/>
          <w:szCs w:val="22"/>
        </w:rPr>
      </w:pPr>
      <w:r>
        <w:rPr>
          <w:color w:val="000000" w:themeColor="text1"/>
          <w:szCs w:val="22"/>
        </w:rPr>
        <w:t xml:space="preserve">The basis of poor reproductive effort should be investigated as a matter of priority. For example, are there technical reasons for the lack of flowers, fruits and seeds being found in reefal communities such as inadequate sampling or timing of collecting samples. Alternatively, are these communities unable to reproduce due to their effective population size being reduced to a critical threshold. This is known to have happened for </w:t>
      </w:r>
      <w:r w:rsidRPr="00FE4A6B">
        <w:rPr>
          <w:i/>
          <w:color w:val="000000" w:themeColor="text1"/>
          <w:szCs w:val="22"/>
        </w:rPr>
        <w:t>Cymodocea serrulata</w:t>
      </w:r>
      <w:r>
        <w:rPr>
          <w:color w:val="000000" w:themeColor="text1"/>
          <w:szCs w:val="22"/>
        </w:rPr>
        <w:t xml:space="preserve"> on Green Island where the meadows are made up of a single clone (and therefore a single sex as this species is dioecious) leading to their inability to set seed. If such factors are known, improved</w:t>
      </w:r>
      <w:r w:rsidRPr="00250AD6">
        <w:rPr>
          <w:color w:val="000000" w:themeColor="text1"/>
          <w:szCs w:val="22"/>
        </w:rPr>
        <w:t xml:space="preserve"> management strategies can </w:t>
      </w:r>
      <w:r>
        <w:rPr>
          <w:color w:val="000000" w:themeColor="text1"/>
          <w:szCs w:val="22"/>
        </w:rPr>
        <w:t xml:space="preserve">be developed to </w:t>
      </w:r>
      <w:r w:rsidRPr="00250AD6">
        <w:rPr>
          <w:color w:val="000000" w:themeColor="text1"/>
          <w:szCs w:val="22"/>
        </w:rPr>
        <w:t>accommodate processes that enhance seed bank formation (e.g. adjusting light or nutrient thresholds)</w:t>
      </w:r>
      <w:r w:rsidR="00FE4A6B">
        <w:rPr>
          <w:color w:val="000000" w:themeColor="text1"/>
          <w:szCs w:val="22"/>
        </w:rPr>
        <w:t>, or enhancement of resilience (e.g. introduction of new clones or seeds in the seed bank)</w:t>
      </w:r>
      <w:r w:rsidRPr="00250AD6">
        <w:rPr>
          <w:color w:val="000000" w:themeColor="text1"/>
          <w:szCs w:val="22"/>
        </w:rPr>
        <w:t>.</w:t>
      </w:r>
      <w:r>
        <w:rPr>
          <w:color w:val="000000" w:themeColor="text1"/>
          <w:szCs w:val="22"/>
        </w:rPr>
        <w:t xml:space="preserve"> </w:t>
      </w:r>
    </w:p>
    <w:p w14:paraId="02D8118D" w14:textId="6C26FD8A" w:rsidR="00250AD6" w:rsidRPr="00250AD6" w:rsidRDefault="00250AD6" w:rsidP="00250AD6">
      <w:pPr>
        <w:autoSpaceDE w:val="0"/>
        <w:autoSpaceDN w:val="0"/>
        <w:adjustRightInd w:val="0"/>
        <w:rPr>
          <w:color w:val="000000" w:themeColor="text1"/>
          <w:szCs w:val="22"/>
        </w:rPr>
      </w:pPr>
      <w:r w:rsidRPr="00250AD6">
        <w:rPr>
          <w:color w:val="000000" w:themeColor="text1"/>
          <w:szCs w:val="22"/>
        </w:rPr>
        <w:t xml:space="preserve">Recovery of seagrass meadows proceeding slower than expected might also be due to the frequent and repeated disturbances occurring over the past decade. The capacity of seagrass meadows to naturally recover requires environmental conditions that will enable patch expansion, sexual reproduction and seed bank formation. The environmental requirements for these recovery processes are not quantitatively described </w:t>
      </w:r>
      <w:r w:rsidR="00FE4A6B">
        <w:rPr>
          <w:color w:val="000000" w:themeColor="text1"/>
          <w:szCs w:val="22"/>
        </w:rPr>
        <w:t xml:space="preserve">(by contrast thresholds leading to loss, such as light thresholds have been quantified for a number of species) </w:t>
      </w:r>
      <w:r w:rsidRPr="00250AD6">
        <w:rPr>
          <w:color w:val="000000" w:themeColor="text1"/>
          <w:szCs w:val="22"/>
        </w:rPr>
        <w:t xml:space="preserve">and </w:t>
      </w:r>
      <w:r w:rsidR="002B6908">
        <w:rPr>
          <w:color w:val="000000" w:themeColor="text1"/>
          <w:szCs w:val="22"/>
        </w:rPr>
        <w:t>represent</w:t>
      </w:r>
      <w:r w:rsidR="002B6908" w:rsidRPr="00250AD6">
        <w:rPr>
          <w:color w:val="000000" w:themeColor="text1"/>
          <w:szCs w:val="22"/>
        </w:rPr>
        <w:t xml:space="preserve"> </w:t>
      </w:r>
      <w:r w:rsidRPr="00250AD6">
        <w:rPr>
          <w:color w:val="000000" w:themeColor="text1"/>
          <w:szCs w:val="22"/>
        </w:rPr>
        <w:t xml:space="preserve">a research priority so that </w:t>
      </w:r>
      <w:r w:rsidR="00FE4A6B">
        <w:rPr>
          <w:color w:val="000000" w:themeColor="text1"/>
          <w:szCs w:val="22"/>
        </w:rPr>
        <w:t>accurate</w:t>
      </w:r>
      <w:r w:rsidRPr="00250AD6">
        <w:rPr>
          <w:color w:val="000000" w:themeColor="text1"/>
          <w:szCs w:val="22"/>
        </w:rPr>
        <w:t xml:space="preserve"> recovery models can be developed</w:t>
      </w:r>
      <w:r w:rsidR="002B6908">
        <w:rPr>
          <w:color w:val="000000" w:themeColor="text1"/>
          <w:szCs w:val="22"/>
        </w:rPr>
        <w:t xml:space="preserve">. </w:t>
      </w:r>
      <w:r w:rsidRPr="00250AD6">
        <w:rPr>
          <w:color w:val="000000" w:themeColor="text1"/>
          <w:szCs w:val="22"/>
        </w:rPr>
        <w:t xml:space="preserve"> </w:t>
      </w:r>
      <w:r w:rsidR="002B6908">
        <w:rPr>
          <w:color w:val="000000" w:themeColor="text1"/>
          <w:szCs w:val="22"/>
        </w:rPr>
        <w:t>T</w:t>
      </w:r>
      <w:r w:rsidRPr="00250AD6">
        <w:rPr>
          <w:color w:val="000000" w:themeColor="text1"/>
          <w:szCs w:val="22"/>
        </w:rPr>
        <w:t xml:space="preserve">he high energy demands of </w:t>
      </w:r>
      <w:r w:rsidR="002B6908">
        <w:rPr>
          <w:color w:val="000000" w:themeColor="text1"/>
          <w:szCs w:val="22"/>
        </w:rPr>
        <w:t>seagrass meadow</w:t>
      </w:r>
      <w:r w:rsidR="002B6908" w:rsidRPr="00250AD6">
        <w:rPr>
          <w:color w:val="000000" w:themeColor="text1"/>
          <w:szCs w:val="22"/>
        </w:rPr>
        <w:t xml:space="preserve"> </w:t>
      </w:r>
      <w:r w:rsidRPr="00250AD6">
        <w:rPr>
          <w:color w:val="000000" w:themeColor="text1"/>
          <w:szCs w:val="22"/>
        </w:rPr>
        <w:t xml:space="preserve">recovery processes </w:t>
      </w:r>
      <w:r w:rsidR="002B6908">
        <w:rPr>
          <w:color w:val="000000" w:themeColor="text1"/>
          <w:szCs w:val="22"/>
        </w:rPr>
        <w:t>are</w:t>
      </w:r>
      <w:r w:rsidR="002B6908" w:rsidRPr="00250AD6">
        <w:rPr>
          <w:color w:val="000000" w:themeColor="text1"/>
          <w:szCs w:val="22"/>
        </w:rPr>
        <w:t xml:space="preserve"> </w:t>
      </w:r>
      <w:r w:rsidRPr="00250AD6">
        <w:rPr>
          <w:color w:val="000000" w:themeColor="text1"/>
          <w:szCs w:val="22"/>
        </w:rPr>
        <w:t>likely to require optimum conditions of light and nutrient availability and the absence of major physical disturbances such as cyclones</w:t>
      </w:r>
      <w:r w:rsidR="002B6908">
        <w:rPr>
          <w:color w:val="000000" w:themeColor="text1"/>
          <w:szCs w:val="22"/>
        </w:rPr>
        <w:t xml:space="preserve"> or even excessive sediment resuspension</w:t>
      </w:r>
      <w:r w:rsidRPr="00250AD6">
        <w:rPr>
          <w:color w:val="000000" w:themeColor="text1"/>
          <w:szCs w:val="22"/>
        </w:rPr>
        <w:t xml:space="preserve">. For example, the low and variable light availability across the </w:t>
      </w:r>
      <w:r w:rsidR="007F6948">
        <w:rPr>
          <w:color w:val="000000" w:themeColor="text1"/>
          <w:szCs w:val="22"/>
        </w:rPr>
        <w:t>Great Barrier Reef</w:t>
      </w:r>
      <w:r w:rsidRPr="00250AD6">
        <w:rPr>
          <w:color w:val="000000" w:themeColor="text1"/>
          <w:szCs w:val="22"/>
        </w:rPr>
        <w:t xml:space="preserve"> habitats in 2014-15 and </w:t>
      </w:r>
      <w:r w:rsidR="008574EC">
        <w:rPr>
          <w:color w:val="000000" w:themeColor="text1"/>
          <w:szCs w:val="22"/>
        </w:rPr>
        <w:t>2016–17</w:t>
      </w:r>
      <w:r w:rsidRPr="00250AD6">
        <w:rPr>
          <w:color w:val="000000" w:themeColor="text1"/>
          <w:szCs w:val="22"/>
        </w:rPr>
        <w:t xml:space="preserve"> may have slowed recovery, which in turn may reduce capacity to produce a viable seed banks in some locations (</w:t>
      </w:r>
      <w:hyperlink w:anchor="_ENREF_227" w:tooltip="van Katwijk, 2010 #9240" w:history="1">
        <w:r w:rsidR="00305FE7" w:rsidRPr="00250AD6">
          <w:rPr>
            <w:color w:val="000000" w:themeColor="text1"/>
            <w:szCs w:val="22"/>
          </w:rPr>
          <w:fldChar w:fldCharType="begin"/>
        </w:r>
        <w:r w:rsidR="00305FE7" w:rsidRPr="00250AD6">
          <w:rPr>
            <w:color w:val="000000" w:themeColor="text1"/>
            <w:szCs w:val="22"/>
          </w:rPr>
          <w:instrText xml:space="preserve"> ADDIN EN.CITE &lt;EndNote&gt;&lt;Cite&gt;&lt;Author&gt;van Katwijk&lt;/Author&gt;&lt;Year&gt;2010&lt;/Year&gt;&lt;RecNum&gt;9240&lt;/RecNum&gt;&lt;DisplayText&gt;van Katwijk&lt;style face="italic"&gt; et al.&lt;/style&gt; 2010&lt;/DisplayText&gt;&lt;record&gt;&lt;rec-number&gt;9240&lt;/rec-number&gt;&lt;foreign-keys&gt;&lt;key app="EN" db-id="0eve55x9y5vfd6e9dacxtew4eatve2dzds9a" timestamp="1375003730"&gt;9240&lt;/key&gt;&lt;/foreign-keys&gt;&lt;ref-type name="Journal Article"&gt;17&lt;/ref-type&gt;&lt;contributors&gt;&lt;authors&gt;&lt;author&gt;van Katwijk, M. M.&lt;/author&gt;&lt;author&gt;Bos, A. R.&lt;/author&gt;&lt;author&gt;Hermus, D. C. R.&lt;/author&gt;&lt;author&gt;Suykerbuyk, W.&lt;/author&gt;&lt;/authors&gt;&lt;/contributors&gt;&lt;titles&gt;&lt;title&gt;Sediment modification by seagrass beds: Muddification and sandification induced by plant cover and environmental conditions&lt;/title&gt;&lt;secondary-title&gt;Estuarine Coastal And Shelf Science&lt;/secondary-title&gt;&lt;/titles&gt;&lt;periodical&gt;&lt;full-title&gt;Estuarine Coastal And Shelf Science&lt;/full-title&gt;&lt;/periodical&gt;&lt;pages&gt;175-181&lt;/pages&gt;&lt;volume&gt;89&lt;/volume&gt;&lt;number&gt;2&lt;/number&gt;&lt;dates&gt;&lt;year&gt;2010&lt;/year&gt;&lt;pub-dates&gt;&lt;date&gt;Sep&lt;/date&gt;&lt;/pub-dates&gt;&lt;/dates&gt;&lt;isbn&gt;0272-7714&lt;/isbn&gt;&lt;accession-num&gt;WOS:000281501000006&lt;/accession-num&gt;&lt;urls&gt;&lt;related-urls&gt;&lt;url&gt;&amp;lt;Go to ISI&amp;gt;://WOS:000281501000006&lt;/url&gt;&lt;/related-urls&gt;&lt;/urls&gt;&lt;electronic-resource-num&gt;10.1016/j.ecss.2010.06.008&lt;/electronic-resource-num&gt;&lt;/record&gt;&lt;/Cite&gt;&lt;/EndNote&gt;</w:instrText>
        </w:r>
        <w:r w:rsidR="00305FE7" w:rsidRPr="00250AD6">
          <w:rPr>
            <w:color w:val="000000" w:themeColor="text1"/>
            <w:szCs w:val="22"/>
          </w:rPr>
          <w:fldChar w:fldCharType="separate"/>
        </w:r>
        <w:r w:rsidR="00305FE7" w:rsidRPr="00250AD6">
          <w:rPr>
            <w:noProof/>
            <w:color w:val="000000" w:themeColor="text1"/>
            <w:szCs w:val="22"/>
          </w:rPr>
          <w:t>van Katwijk</w:t>
        </w:r>
        <w:r w:rsidR="00305FE7" w:rsidRPr="00250AD6">
          <w:rPr>
            <w:i/>
            <w:noProof/>
            <w:color w:val="000000" w:themeColor="text1"/>
            <w:szCs w:val="22"/>
          </w:rPr>
          <w:t xml:space="preserve"> et al.</w:t>
        </w:r>
        <w:r w:rsidR="00305FE7" w:rsidRPr="00250AD6">
          <w:rPr>
            <w:noProof/>
            <w:color w:val="000000" w:themeColor="text1"/>
            <w:szCs w:val="22"/>
          </w:rPr>
          <w:t xml:space="preserve"> 2010</w:t>
        </w:r>
        <w:r w:rsidR="00305FE7" w:rsidRPr="00250AD6">
          <w:rPr>
            <w:color w:val="000000" w:themeColor="text1"/>
            <w:szCs w:val="22"/>
          </w:rPr>
          <w:fldChar w:fldCharType="end"/>
        </w:r>
      </w:hyperlink>
      <w:r w:rsidRPr="00250AD6">
        <w:rPr>
          <w:color w:val="000000" w:themeColor="text1"/>
          <w:szCs w:val="22"/>
        </w:rPr>
        <w:t xml:space="preserve">). </w:t>
      </w:r>
    </w:p>
    <w:p w14:paraId="3625F7BC" w14:textId="2ED97AF0" w:rsidR="00250AD6" w:rsidRPr="00250AD6" w:rsidRDefault="00250AD6" w:rsidP="00250AD6">
      <w:pPr>
        <w:autoSpaceDE w:val="0"/>
        <w:autoSpaceDN w:val="0"/>
        <w:adjustRightInd w:val="0"/>
        <w:rPr>
          <w:color w:val="000000" w:themeColor="text1"/>
          <w:szCs w:val="22"/>
          <w:lang w:val="en-US"/>
        </w:rPr>
      </w:pPr>
      <w:r w:rsidRPr="00250AD6">
        <w:rPr>
          <w:color w:val="000000" w:themeColor="text1"/>
          <w:szCs w:val="22"/>
          <w:lang w:val="en-US"/>
        </w:rPr>
        <w:t xml:space="preserve">The most promising </w:t>
      </w:r>
      <w:r w:rsidR="007F6948">
        <w:rPr>
          <w:color w:val="000000" w:themeColor="text1"/>
          <w:szCs w:val="22"/>
          <w:lang w:val="en-US"/>
        </w:rPr>
        <w:t>Great Barrier Reef</w:t>
      </w:r>
      <w:r w:rsidR="00737FBF">
        <w:rPr>
          <w:color w:val="000000" w:themeColor="text1"/>
          <w:szCs w:val="22"/>
          <w:lang w:val="en-US"/>
        </w:rPr>
        <w:t xml:space="preserve">-wide </w:t>
      </w:r>
      <w:r w:rsidRPr="00250AD6">
        <w:rPr>
          <w:color w:val="000000" w:themeColor="text1"/>
          <w:szCs w:val="22"/>
          <w:lang w:val="en-US"/>
        </w:rPr>
        <w:t xml:space="preserve">trend in inshore seagrass meadows has been the steady increase in the ratio of carbon to nitrogen (C:N) at most sites. </w:t>
      </w:r>
      <w:r w:rsidR="00FE4A6B">
        <w:rPr>
          <w:color w:val="000000" w:themeColor="text1"/>
          <w:szCs w:val="22"/>
          <w:lang w:val="en-US"/>
        </w:rPr>
        <w:t>This trend may provide an early</w:t>
      </w:r>
      <w:r w:rsidRPr="00250AD6">
        <w:rPr>
          <w:color w:val="000000" w:themeColor="text1"/>
          <w:szCs w:val="22"/>
          <w:lang w:val="en-US"/>
        </w:rPr>
        <w:t xml:space="preserve"> indication of future improvement in the condition of meadows. Continued strategic monitoring through programs such as the MMP, </w:t>
      </w:r>
      <w:r w:rsidR="0029531B">
        <w:rPr>
          <w:color w:val="000000" w:themeColor="text1"/>
          <w:szCs w:val="22"/>
          <w:lang w:val="en-US"/>
        </w:rPr>
        <w:t>as well as integration</w:t>
      </w:r>
      <w:r w:rsidRPr="00250AD6">
        <w:rPr>
          <w:color w:val="000000" w:themeColor="text1"/>
          <w:szCs w:val="22"/>
          <w:lang w:val="en-US"/>
        </w:rPr>
        <w:t xml:space="preserve"> with complementary monitoring programs through the RIMReP, will enable continued assessment of </w:t>
      </w:r>
      <w:r w:rsidR="00737FBF">
        <w:rPr>
          <w:color w:val="000000" w:themeColor="text1"/>
          <w:szCs w:val="22"/>
          <w:lang w:val="en-US"/>
        </w:rPr>
        <w:t>their trajectories</w:t>
      </w:r>
      <w:r w:rsidRPr="00250AD6">
        <w:rPr>
          <w:color w:val="000000" w:themeColor="text1"/>
          <w:szCs w:val="22"/>
          <w:lang w:val="en-US"/>
        </w:rPr>
        <w:t xml:space="preserve">. </w:t>
      </w:r>
    </w:p>
    <w:p w14:paraId="3E6950D6" w14:textId="5105715B" w:rsidR="002B6908" w:rsidRPr="00250AD6" w:rsidRDefault="00250AD6" w:rsidP="00250AD6">
      <w:pPr>
        <w:autoSpaceDE w:val="0"/>
        <w:autoSpaceDN w:val="0"/>
        <w:adjustRightInd w:val="0"/>
        <w:rPr>
          <w:color w:val="000000" w:themeColor="text1"/>
          <w:szCs w:val="22"/>
          <w:lang w:val="en-US"/>
        </w:rPr>
      </w:pPr>
      <w:r w:rsidRPr="00250AD6">
        <w:rPr>
          <w:color w:val="000000" w:themeColor="text1"/>
          <w:szCs w:val="22"/>
          <w:lang w:val="en-US"/>
        </w:rPr>
        <w:t>Increasingly we re</w:t>
      </w:r>
      <w:r w:rsidR="00737FBF">
        <w:rPr>
          <w:color w:val="000000" w:themeColor="text1"/>
          <w:szCs w:val="22"/>
          <w:lang w:val="en-US"/>
        </w:rPr>
        <w:t>cognize that active restoration</w:t>
      </w:r>
      <w:r w:rsidRPr="00250AD6">
        <w:rPr>
          <w:color w:val="000000" w:themeColor="text1"/>
          <w:szCs w:val="22"/>
          <w:lang w:val="en-US"/>
        </w:rPr>
        <w:t xml:space="preserve"> or enhancement of resilience may be required in the Great B</w:t>
      </w:r>
      <w:r w:rsidR="001661A5">
        <w:rPr>
          <w:color w:val="000000" w:themeColor="text1"/>
          <w:szCs w:val="22"/>
          <w:lang w:val="en-US"/>
        </w:rPr>
        <w:t>arrier Reef (</w:t>
      </w:r>
      <w:hyperlink w:anchor="_ENREF_228" w:tooltip="van Oppen, 2017 #11468" w:history="1">
        <w:r w:rsidR="00305FE7">
          <w:rPr>
            <w:color w:val="000000" w:themeColor="text1"/>
            <w:szCs w:val="22"/>
            <w:lang w:val="en-US"/>
          </w:rPr>
          <w:fldChar w:fldCharType="begin"/>
        </w:r>
        <w:r w:rsidR="00305FE7">
          <w:rPr>
            <w:color w:val="000000" w:themeColor="text1"/>
            <w:szCs w:val="22"/>
            <w:lang w:val="en-US"/>
          </w:rPr>
          <w:instrText xml:space="preserve"> ADDIN EN.CITE &lt;EndNote&gt;&lt;Cite&gt;&lt;Author&gt;van Oppen&lt;/Author&gt;&lt;Year&gt;2017&lt;/Year&gt;&lt;RecNum&gt;11468&lt;/RecNum&gt;&lt;DisplayText&gt;van Oppen&lt;style face="italic"&gt; et al.&lt;/style&gt; 2017&lt;/DisplayText&gt;&lt;record&gt;&lt;rec-number&gt;11468&lt;/rec-number&gt;&lt;foreign-keys&gt;&lt;key app="EN" db-id="0eve55x9y5vfd6e9dacxtew4eatve2dzds9a" timestamp="1523400267"&gt;11468&lt;/key&gt;&lt;/foreign-keys&gt;&lt;ref-type name="Journal Article"&gt;17&lt;/ref-type&gt;&lt;contributors&gt;&lt;authors&gt;&lt;author&gt;van Oppen, MJH&lt;/author&gt;&lt;author&gt;Gates, R. D. &lt;/author&gt;&lt;author&gt;Blackall, L. L. &lt;/author&gt;&lt;author&gt;Cantin, N. &lt;/author&gt;&lt;author&gt;Chakravarti, L. J. &lt;/author&gt;&lt;author&gt;Chan, W. Y. &lt;/author&gt;&lt;author&gt;Cormick, C&lt;/author&gt;&lt;author&gt;Crean, A. &lt;/author&gt;&lt;author&gt;Damjanovic, K. &lt;/author&gt;&lt;author&gt;Epstein, H. &lt;/author&gt;&lt;author&gt;Harrison, P. L. &lt;/author&gt;&lt;author&gt;Jones, T. A.&lt;/author&gt;&lt;author&gt;Miller, M. &lt;/author&gt;&lt;author&gt;Pears, R. J. &lt;/author&gt;&lt;author&gt;Peplow, L. M. &lt;/author&gt;&lt;author&gt;Raftos, D. A. &lt;/author&gt;&lt;author&gt;Schaffelke, B. &lt;/author&gt;&lt;author&gt;Stewart, K. &lt;/author&gt;&lt;author&gt;Torda, G. &lt;/author&gt;&lt;author&gt;Wachenfeld, D. &lt;/author&gt;&lt;author&gt;Weeks, A. R. &lt;/author&gt;&lt;author&gt;Putnam, H. M. &lt;/author&gt;&lt;/authors&gt;&lt;/contributors&gt;&lt;titles&gt;&lt;title&gt;Shifting paradigms in restoration of the world&amp;apos;s coral reefs.&lt;/title&gt;&lt;secondary-title&gt;Global Change Biology&lt;/secondary-title&gt;&lt;/titles&gt;&lt;periodical&gt;&lt;full-title&gt;Global Change Biology&lt;/full-title&gt;&lt;/periodical&gt;&lt;pages&gt;3437-3448&lt;/pages&gt;&lt;volume&gt;23&lt;/volume&gt;&lt;dates&gt;&lt;year&gt;2017&lt;/year&gt;&lt;/dates&gt;&lt;urls&gt;&lt;/urls&gt;&lt;/record&gt;&lt;/Cite&gt;&lt;/EndNote&gt;</w:instrText>
        </w:r>
        <w:r w:rsidR="00305FE7">
          <w:rPr>
            <w:color w:val="000000" w:themeColor="text1"/>
            <w:szCs w:val="22"/>
            <w:lang w:val="en-US"/>
          </w:rPr>
          <w:fldChar w:fldCharType="separate"/>
        </w:r>
        <w:r w:rsidR="00305FE7">
          <w:rPr>
            <w:noProof/>
            <w:color w:val="000000" w:themeColor="text1"/>
            <w:szCs w:val="22"/>
            <w:lang w:val="en-US"/>
          </w:rPr>
          <w:t>van Oppen</w:t>
        </w:r>
        <w:r w:rsidR="00305FE7" w:rsidRPr="00610D5C">
          <w:rPr>
            <w:i/>
            <w:noProof/>
            <w:color w:val="000000" w:themeColor="text1"/>
            <w:szCs w:val="22"/>
            <w:lang w:val="en-US"/>
          </w:rPr>
          <w:t xml:space="preserve"> et al.</w:t>
        </w:r>
        <w:r w:rsidR="00305FE7">
          <w:rPr>
            <w:noProof/>
            <w:color w:val="000000" w:themeColor="text1"/>
            <w:szCs w:val="22"/>
            <w:lang w:val="en-US"/>
          </w:rPr>
          <w:t xml:space="preserve"> 2017</w:t>
        </w:r>
        <w:r w:rsidR="00305FE7">
          <w:rPr>
            <w:color w:val="000000" w:themeColor="text1"/>
            <w:szCs w:val="22"/>
            <w:lang w:val="en-US"/>
          </w:rPr>
          <w:fldChar w:fldCharType="end"/>
        </w:r>
      </w:hyperlink>
      <w:r w:rsidR="001661A5">
        <w:rPr>
          <w:color w:val="000000" w:themeColor="text1"/>
          <w:szCs w:val="22"/>
          <w:lang w:val="en-US"/>
        </w:rPr>
        <w:t>)</w:t>
      </w:r>
      <w:r w:rsidRPr="00250AD6">
        <w:rPr>
          <w:color w:val="000000" w:themeColor="text1"/>
          <w:szCs w:val="22"/>
          <w:lang w:val="en-US"/>
        </w:rPr>
        <w:t xml:space="preserve">. </w:t>
      </w:r>
      <w:bookmarkEnd w:id="649"/>
      <w:r w:rsidRPr="00250AD6">
        <w:rPr>
          <w:color w:val="000000" w:themeColor="text1"/>
          <w:szCs w:val="22"/>
          <w:lang w:val="en-US"/>
        </w:rPr>
        <w:t xml:space="preserve">Implementing strategies to improve recovery and ultimately resilience of seagrass ecosystems across the </w:t>
      </w:r>
      <w:r w:rsidR="007F6948">
        <w:rPr>
          <w:color w:val="000000" w:themeColor="text1"/>
          <w:szCs w:val="22"/>
          <w:lang w:val="en-US"/>
        </w:rPr>
        <w:t>Great Barrier Reef</w:t>
      </w:r>
      <w:r w:rsidRPr="00250AD6">
        <w:rPr>
          <w:color w:val="000000" w:themeColor="text1"/>
          <w:szCs w:val="22"/>
          <w:lang w:val="en-US"/>
        </w:rPr>
        <w:t xml:space="preserve"> will need to account for rising temperatures and changing disturbance regimes to avert any future losses. The current focus of restoration is sharply on reef restoration, as reefs have suffered severe mo</w:t>
      </w:r>
      <w:r w:rsidR="00737FBF">
        <w:rPr>
          <w:color w:val="000000" w:themeColor="text1"/>
          <w:szCs w:val="22"/>
          <w:lang w:val="en-US"/>
        </w:rPr>
        <w:t>rtality from marine heatwaves</w:t>
      </w:r>
      <w:r w:rsidRPr="00250AD6">
        <w:rPr>
          <w:color w:val="000000" w:themeColor="text1"/>
          <w:szCs w:val="22"/>
          <w:lang w:val="en-US"/>
        </w:rPr>
        <w:t>. However, the poor signs of seagrass recovery, in combination with increasing numbers of seagrass restoration success stories from elsewhere</w:t>
      </w:r>
      <w:r w:rsidR="0080588E">
        <w:rPr>
          <w:color w:val="000000" w:themeColor="text1"/>
          <w:szCs w:val="22"/>
          <w:lang w:val="en-US"/>
        </w:rPr>
        <w:t xml:space="preserve"> in</w:t>
      </w:r>
      <w:r w:rsidR="006B3F64">
        <w:rPr>
          <w:color w:val="000000" w:themeColor="text1"/>
          <w:szCs w:val="22"/>
          <w:lang w:val="en-US"/>
        </w:rPr>
        <w:t>cluding</w:t>
      </w:r>
      <w:r w:rsidR="0080588E">
        <w:rPr>
          <w:color w:val="000000" w:themeColor="text1"/>
          <w:szCs w:val="22"/>
          <w:lang w:val="en-US"/>
        </w:rPr>
        <w:t xml:space="preserve"> </w:t>
      </w:r>
      <w:r w:rsidR="00271879">
        <w:rPr>
          <w:color w:val="000000" w:themeColor="text1"/>
          <w:szCs w:val="22"/>
          <w:lang w:val="en-US"/>
        </w:rPr>
        <w:t xml:space="preserve">examples from </w:t>
      </w:r>
      <w:r w:rsidR="0080588E">
        <w:rPr>
          <w:color w:val="000000" w:themeColor="text1"/>
          <w:szCs w:val="22"/>
          <w:lang w:val="en-US"/>
        </w:rPr>
        <w:t>Australia</w:t>
      </w:r>
      <w:r w:rsidRPr="00250AD6">
        <w:rPr>
          <w:color w:val="000000" w:themeColor="text1"/>
          <w:szCs w:val="22"/>
          <w:lang w:val="en-US"/>
        </w:rPr>
        <w:t xml:space="preserve"> (</w:t>
      </w:r>
      <w:r w:rsidR="006B3F64">
        <w:rPr>
          <w:color w:val="000000" w:themeColor="text1"/>
          <w:szCs w:val="22"/>
          <w:lang w:val="en-US"/>
        </w:rPr>
        <w:t xml:space="preserve">e.g. </w:t>
      </w:r>
      <w:r w:rsidR="00584AB3" w:rsidRPr="00584AB3">
        <w:rPr>
          <w:color w:val="000000" w:themeColor="text1"/>
          <w:szCs w:val="22"/>
          <w:lang w:val="en-US"/>
        </w:rPr>
        <w:t>http://seagrassrestoration.net/seed-based-restoration-1</w:t>
      </w:r>
      <w:r w:rsidRPr="00250AD6">
        <w:rPr>
          <w:color w:val="000000" w:themeColor="text1"/>
          <w:szCs w:val="22"/>
          <w:lang w:val="en-US"/>
        </w:rPr>
        <w:t xml:space="preserve">), indicates that restoration strategies to enhance resilience and promote recovery could be a viable option to enhance recovery rates in the </w:t>
      </w:r>
      <w:r w:rsidR="007F6948">
        <w:rPr>
          <w:color w:val="000000" w:themeColor="text1"/>
          <w:szCs w:val="22"/>
          <w:lang w:val="en-US"/>
        </w:rPr>
        <w:t>Great Barrier Reef</w:t>
      </w:r>
      <w:r w:rsidRPr="00250AD6">
        <w:rPr>
          <w:color w:val="000000" w:themeColor="text1"/>
          <w:szCs w:val="22"/>
          <w:lang w:val="en-US"/>
        </w:rPr>
        <w:t xml:space="preserve"> if trajectories do not improve. </w:t>
      </w:r>
      <w:r w:rsidR="00946CA8">
        <w:rPr>
          <w:color w:val="000000" w:themeColor="text1"/>
          <w:szCs w:val="22"/>
          <w:lang w:val="en-US"/>
        </w:rPr>
        <w:t xml:space="preserve">However, these restoration options have not yet been investigated and would require research and feasibility analysis. </w:t>
      </w:r>
    </w:p>
    <w:p w14:paraId="61E51CF6" w14:textId="3C526FF3" w:rsidR="00250AD6" w:rsidRPr="00250AD6" w:rsidRDefault="00250AD6" w:rsidP="00250AD6">
      <w:pPr>
        <w:pStyle w:val="ListParagraph"/>
        <w:numPr>
          <w:ilvl w:val="0"/>
          <w:numId w:val="9"/>
        </w:numPr>
        <w:rPr>
          <w:szCs w:val="22"/>
          <w:lang w:val="en-US"/>
        </w:rPr>
        <w:sectPr w:rsidR="00250AD6" w:rsidRPr="00250AD6" w:rsidSect="00250AD6">
          <w:pgSz w:w="11900" w:h="16840"/>
          <w:pgMar w:top="1440" w:right="1440" w:bottom="1440" w:left="1440" w:header="708" w:footer="708" w:gutter="0"/>
          <w:cols w:space="708"/>
          <w:docGrid w:linePitch="360"/>
        </w:sectPr>
      </w:pPr>
    </w:p>
    <w:p w14:paraId="7C12B87A" w14:textId="58DAA3AC" w:rsidR="00D90552" w:rsidRPr="00941B89" w:rsidRDefault="00250AD6" w:rsidP="00D90552">
      <w:pPr>
        <w:rPr>
          <w:i/>
          <w:iCs/>
          <w:vanish/>
          <w:szCs w:val="22"/>
          <w:lang w:eastAsia="en-AU"/>
          <w:specVanish/>
        </w:rPr>
      </w:pPr>
      <w:bookmarkStart w:id="650" w:name="_Toc516053331"/>
      <w:r w:rsidRPr="000F56D7">
        <w:rPr>
          <w:noProof/>
          <w:highlight w:val="yellow"/>
          <w:lang w:eastAsia="en-AU"/>
        </w:rPr>
        <w:drawing>
          <wp:anchor distT="0" distB="0" distL="114300" distR="114300" simplePos="0" relativeHeight="251666944" behindDoc="0" locked="0" layoutInCell="1" allowOverlap="1" wp14:anchorId="5E041477" wp14:editId="5D91F398">
            <wp:simplePos x="0" y="0"/>
            <wp:positionH relativeFrom="margin">
              <wp:posOffset>-635</wp:posOffset>
            </wp:positionH>
            <wp:positionV relativeFrom="paragraph">
              <wp:posOffset>121920</wp:posOffset>
            </wp:positionV>
            <wp:extent cx="8778240" cy="5181600"/>
            <wp:effectExtent l="0" t="0" r="0" b="0"/>
            <wp:wrapTopAndBottom/>
            <wp:docPr id="555" name="Picture 555" descr="Panel of maps showing trajectories of tropical cyclones affecting the Great Barrier Reef in 2016–17 and in previous years (2007 to 2016). " title="Trajectories of tropical cyclones affecting the Great Barrier Reef in 2016–17 and in previous years (2007 to 20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cyclones_06-17_v3_600ppi.jpg"/>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8778240" cy="5181600"/>
                    </a:xfrm>
                    <a:prstGeom prst="rect">
                      <a:avLst/>
                    </a:prstGeom>
                  </pic:spPr>
                </pic:pic>
              </a:graphicData>
            </a:graphic>
            <wp14:sizeRelH relativeFrom="page">
              <wp14:pctWidth>0</wp14:pctWidth>
            </wp14:sizeRelH>
            <wp14:sizeRelV relativeFrom="page">
              <wp14:pctHeight>0</wp14:pctHeight>
            </wp14:sizeRelV>
          </wp:anchor>
        </w:drawing>
      </w:r>
      <w:r>
        <w:t xml:space="preserve">Figure </w:t>
      </w:r>
      <w:r w:rsidR="00A72C13">
        <w:rPr>
          <w:noProof/>
        </w:rPr>
        <w:fldChar w:fldCharType="begin"/>
      </w:r>
      <w:r w:rsidR="00A72C13">
        <w:rPr>
          <w:noProof/>
        </w:rPr>
        <w:instrText xml:space="preserve"> SEQ Figure \* ARABIC </w:instrText>
      </w:r>
      <w:r w:rsidR="00A72C13">
        <w:rPr>
          <w:noProof/>
        </w:rPr>
        <w:fldChar w:fldCharType="separate"/>
      </w:r>
      <w:r w:rsidR="00F87DF9">
        <w:rPr>
          <w:noProof/>
        </w:rPr>
        <w:t>121</w:t>
      </w:r>
      <w:r w:rsidR="00A72C13">
        <w:rPr>
          <w:noProof/>
        </w:rPr>
        <w:fldChar w:fldCharType="end"/>
      </w:r>
      <w:r>
        <w:t>.</w:t>
      </w:r>
      <w:r w:rsidRPr="00250AD6">
        <w:rPr>
          <w:szCs w:val="22"/>
          <w:lang w:val="en-US"/>
        </w:rPr>
        <w:t xml:space="preserve"> </w:t>
      </w:r>
      <w:r w:rsidRPr="000B7516">
        <w:rPr>
          <w:i/>
          <w:szCs w:val="22"/>
          <w:lang w:val="en-US"/>
        </w:rPr>
        <w:t xml:space="preserve">Trajectories of tropical cyclones affecting the Great Barrier Reef in </w:t>
      </w:r>
      <w:r w:rsidR="008574EC">
        <w:rPr>
          <w:i/>
          <w:szCs w:val="22"/>
          <w:lang w:val="en-US"/>
        </w:rPr>
        <w:t>2016–17</w:t>
      </w:r>
      <w:r w:rsidRPr="000B7516">
        <w:rPr>
          <w:i/>
          <w:szCs w:val="22"/>
          <w:lang w:val="en-US"/>
        </w:rPr>
        <w:t xml:space="preserve"> and in previous years</w:t>
      </w:r>
      <w:bookmarkEnd w:id="650"/>
    </w:p>
    <w:p w14:paraId="57BAD48D" w14:textId="2B53F2F9" w:rsidR="00250AD6" w:rsidRDefault="00D90552" w:rsidP="00D90552">
      <w:pPr>
        <w:pStyle w:val="Caption"/>
        <w:rPr>
          <w:szCs w:val="22"/>
          <w:lang w:val="en-US"/>
        </w:rPr>
      </w:pPr>
      <w:r w:rsidRPr="00941B89">
        <w:rPr>
          <w:i/>
          <w:lang w:eastAsia="en-AU"/>
        </w:rPr>
        <w:t xml:space="preserve"> </w:t>
      </w:r>
      <w:r w:rsidR="00250AD6" w:rsidRPr="000B7516">
        <w:rPr>
          <w:i/>
          <w:szCs w:val="22"/>
          <w:lang w:val="en-US"/>
        </w:rPr>
        <w:t xml:space="preserve">(from </w:t>
      </w:r>
      <w:hyperlink w:anchor="_ENREF_233" w:tooltip="Waterhouse, 2018 #11521" w:history="1">
        <w:r w:rsidR="00305FE7">
          <w:rPr>
            <w:i/>
            <w:szCs w:val="22"/>
            <w:lang w:val="en-US"/>
          </w:rPr>
          <w:fldChar w:fldCharType="begin"/>
        </w:r>
        <w:r w:rsidR="00305FE7">
          <w:rPr>
            <w:i/>
            <w:szCs w:val="22"/>
            <w:lang w:val="en-US"/>
          </w:rPr>
          <w:instrText xml:space="preserve"> ADDIN EN.CITE &lt;EndNote&gt;&lt;Cite&gt;&lt;Author&gt;Waterhouse&lt;/Author&gt;&lt;Year&gt;2018&lt;/Year&gt;&lt;RecNum&gt;11521&lt;/RecNum&gt;&lt;DisplayText&gt;Waterhouse&lt;style face="italic"&gt; et al.&lt;/style&gt; 2018&lt;/DisplayText&gt;&lt;record&gt;&lt;rec-number&gt;11521&lt;/rec-number&gt;&lt;foreign-keys&gt;&lt;key app="EN" db-id="0eve55x9y5vfd6e9dacxtew4eatve2dzds9a" timestamp="1528243920"&gt;11521&lt;/key&gt;&lt;/foreign-keys&gt;&lt;ref-type name="Book"&gt;6&lt;/ref-type&gt;&lt;contributors&gt;&lt;authors&gt;&lt;author&gt;Waterhouse, J., &lt;/author&gt;&lt;author&gt;Lønborg, C&lt;/author&gt;&lt;author&gt;Logan, M&lt;/author&gt;&lt;author&gt;Petus, C&lt;/author&gt;&lt;author&gt;Tracey, D&lt;/author&gt;&lt;author&gt;Howley, C&lt;/author&gt;&lt;author&gt;Harper, E&lt;/author&gt;&lt;author&gt;Tonin, H&lt;/author&gt;&lt;author&gt;Skuza, M&lt;/author&gt;&lt;author&gt;Doyle, J&lt;/author&gt;&lt;author&gt;Costello, P&lt;/author&gt;&lt;author&gt;Davidson, J&lt;/author&gt;&lt;author&gt;Gunn, K&lt;/author&gt;&lt;author&gt;Wright, M&lt;/author&gt;&lt;author&gt;Zagorskis, I&lt;/author&gt;&lt;author&gt;Kroon. F&lt;/author&gt;&lt;/authors&gt;&lt;/contributors&gt;&lt;titles&gt;&lt;title&gt;Marine Monitoring Program: Annual Report for inshore water quality monitoring 2016-2017. Report for the Great Barrier Reef Marine Park Authority&lt;/title&gt;&lt;/titles&gt;&lt;dates&gt;&lt;year&gt;2018&lt;/year&gt;&lt;/dates&gt;&lt;pub-location&gt;Townsville&lt;/pub-location&gt;&lt;publisher&gt; Great Barrier Reef Marine Park Authority&lt;/publisher&gt;&lt;urls&gt;&lt;/urls&gt;&lt;/record&gt;&lt;/Cite&gt;&lt;/EndNote&gt;</w:instrText>
        </w:r>
        <w:r w:rsidR="00305FE7">
          <w:rPr>
            <w:i/>
            <w:szCs w:val="22"/>
            <w:lang w:val="en-US"/>
          </w:rPr>
          <w:fldChar w:fldCharType="separate"/>
        </w:r>
        <w:r w:rsidR="00305FE7">
          <w:rPr>
            <w:i/>
            <w:noProof/>
            <w:szCs w:val="22"/>
            <w:lang w:val="en-US"/>
          </w:rPr>
          <w:t>Waterhouse et al. 2018</w:t>
        </w:r>
        <w:r w:rsidR="00305FE7">
          <w:rPr>
            <w:i/>
            <w:szCs w:val="22"/>
            <w:lang w:val="en-US"/>
          </w:rPr>
          <w:fldChar w:fldCharType="end"/>
        </w:r>
      </w:hyperlink>
      <w:r w:rsidR="00250AD6" w:rsidRPr="000B7516">
        <w:rPr>
          <w:i/>
          <w:szCs w:val="22"/>
          <w:lang w:val="en-US"/>
        </w:rPr>
        <w:t>).</w:t>
      </w:r>
      <w:r w:rsidR="00250AD6" w:rsidRPr="00250AD6">
        <w:rPr>
          <w:szCs w:val="22"/>
          <w:lang w:val="en-US"/>
        </w:rPr>
        <w:t xml:space="preserve"> </w:t>
      </w:r>
    </w:p>
    <w:p w14:paraId="785F7FDE" w14:textId="77777777" w:rsidR="00250AD6" w:rsidRDefault="00250AD6" w:rsidP="00250AD6">
      <w:pPr>
        <w:pStyle w:val="ListParagraph"/>
        <w:numPr>
          <w:ilvl w:val="0"/>
          <w:numId w:val="9"/>
        </w:numPr>
        <w:spacing w:before="0" w:after="0"/>
        <w:rPr>
          <w:szCs w:val="22"/>
          <w:lang w:val="en-US"/>
        </w:rPr>
        <w:sectPr w:rsidR="00250AD6" w:rsidSect="00250AD6">
          <w:pgSz w:w="16838" w:h="11906" w:orient="landscape"/>
          <w:pgMar w:top="720" w:right="720" w:bottom="720" w:left="720" w:header="708" w:footer="708" w:gutter="0"/>
          <w:cols w:space="708"/>
          <w:docGrid w:linePitch="360"/>
        </w:sectPr>
      </w:pPr>
    </w:p>
    <w:p w14:paraId="5BD84336" w14:textId="77777777" w:rsidR="00CB0F9D" w:rsidRDefault="00CB0F9D" w:rsidP="00CB0F9D">
      <w:pPr>
        <w:rPr>
          <w:color w:val="000000"/>
        </w:rPr>
      </w:pPr>
    </w:p>
    <w:p w14:paraId="5FF857D5" w14:textId="77777777" w:rsidR="00837586" w:rsidRPr="007D69EC" w:rsidRDefault="00837586" w:rsidP="00837586">
      <w:pPr>
        <w:rPr>
          <w:b/>
          <w:sz w:val="28"/>
          <w:szCs w:val="28"/>
        </w:rPr>
      </w:pPr>
      <w:r w:rsidRPr="007D69EC">
        <w:rPr>
          <w:b/>
          <w:sz w:val="28"/>
          <w:szCs w:val="28"/>
        </w:rPr>
        <w:t>Case study</w:t>
      </w:r>
      <w:r>
        <w:rPr>
          <w:b/>
          <w:sz w:val="28"/>
          <w:szCs w:val="28"/>
        </w:rPr>
        <w:t xml:space="preserve"> #1</w:t>
      </w:r>
      <w:r w:rsidRPr="007D69EC">
        <w:rPr>
          <w:b/>
          <w:sz w:val="28"/>
          <w:szCs w:val="28"/>
        </w:rPr>
        <w:t>: Developing a model of energetic status for seagrass based on light and temperature, to predict future declines</w:t>
      </w:r>
    </w:p>
    <w:p w14:paraId="554E7EA3" w14:textId="77777777" w:rsidR="00837586" w:rsidRDefault="00837586" w:rsidP="00837586">
      <w:pPr>
        <w:rPr>
          <w:vertAlign w:val="superscript"/>
        </w:rPr>
      </w:pPr>
      <w:r w:rsidRPr="008847C3">
        <w:t>Matthew P. Adams</w:t>
      </w:r>
      <w:r w:rsidRPr="00CF7975">
        <w:rPr>
          <w:vertAlign w:val="superscript"/>
        </w:rPr>
        <w:t>1</w:t>
      </w:r>
      <w:r w:rsidRPr="008847C3">
        <w:t xml:space="preserve">, </w:t>
      </w:r>
      <w:r>
        <w:t>Edwin J. Y. Koh</w:t>
      </w:r>
      <w:r w:rsidRPr="00CF7975">
        <w:rPr>
          <w:vertAlign w:val="superscript"/>
        </w:rPr>
        <w:t>1</w:t>
      </w:r>
      <w:r>
        <w:t>, Maria P. Vilas</w:t>
      </w:r>
      <w:r w:rsidRPr="00CF7975">
        <w:rPr>
          <w:vertAlign w:val="superscript"/>
        </w:rPr>
        <w:t>1</w:t>
      </w:r>
      <w:r>
        <w:t xml:space="preserve">, </w:t>
      </w:r>
      <w:r w:rsidRPr="008847C3">
        <w:t>Catherine J. Collier</w:t>
      </w:r>
      <w:r w:rsidRPr="00CF7975">
        <w:rPr>
          <w:vertAlign w:val="superscript"/>
        </w:rPr>
        <w:t>2</w:t>
      </w:r>
      <w:r w:rsidRPr="008847C3">
        <w:t>, Len J. McKenzie</w:t>
      </w:r>
      <w:r w:rsidRPr="00CF7975">
        <w:rPr>
          <w:vertAlign w:val="superscript"/>
        </w:rPr>
        <w:t>2</w:t>
      </w:r>
      <w:r w:rsidRPr="008847C3">
        <w:t>, Kate R. O’Brien</w:t>
      </w:r>
      <w:r w:rsidRPr="00CF7975">
        <w:rPr>
          <w:vertAlign w:val="superscript"/>
        </w:rPr>
        <w:t>1</w:t>
      </w:r>
    </w:p>
    <w:p w14:paraId="3F5D2182" w14:textId="77777777" w:rsidR="00837586" w:rsidRDefault="00837586" w:rsidP="00837586">
      <w:r w:rsidRPr="00CF7975">
        <w:rPr>
          <w:vertAlign w:val="superscript"/>
        </w:rPr>
        <w:t>1</w:t>
      </w:r>
      <w:r>
        <w:t>School of Chemical Engineering, The University of Queensland, Brisbane, Australia</w:t>
      </w:r>
      <w:r>
        <w:br/>
      </w:r>
      <w:r w:rsidRPr="00CF7975">
        <w:rPr>
          <w:vertAlign w:val="superscript"/>
        </w:rPr>
        <w:t>2</w:t>
      </w:r>
      <w:r>
        <w:t>Centre for Tropical Water &amp; Aquatic Ecosystem Research (TropWATER), James Cook University, Cairns, Australia</w:t>
      </w:r>
    </w:p>
    <w:p w14:paraId="72DB6073" w14:textId="77777777" w:rsidR="00837586" w:rsidRPr="008847C3" w:rsidRDefault="00837586" w:rsidP="00837586"/>
    <w:p w14:paraId="65100F04" w14:textId="77777777" w:rsidR="00837586" w:rsidRPr="005E7B1E" w:rsidRDefault="00837586" w:rsidP="00837586">
      <w:pPr>
        <w:rPr>
          <w:b/>
        </w:rPr>
      </w:pPr>
      <w:r w:rsidRPr="005E7B1E">
        <w:rPr>
          <w:b/>
        </w:rPr>
        <w:t>Introduction</w:t>
      </w:r>
    </w:p>
    <w:p w14:paraId="341CF461" w14:textId="77777777" w:rsidR="00837586" w:rsidRDefault="00837586" w:rsidP="00837586">
      <w:r>
        <w:t>Seagrass growth and decline, in response to environmental factors such as light and temperature, is difficult to predict. Quantitative models based on plant carbon budgets are proposed as a useful tool to consider the cumulative impact of environmental stressors on plant survival (Poorter et al. 2013). Seagrass carbon budget can be expressed as a balance of photosynthesis, respiration and other carbon losses (Kaldy 2012). Whilst the balance of photosynthesis and respiration has been measured in a number of seagrass studies (e.g. Lee et al. 2007; Collier et al. 2017), the connection between seagrass carbon balance (physiology) and growth/decline (morphology) has not yet been established.</w:t>
      </w:r>
    </w:p>
    <w:p w14:paraId="55D8049B" w14:textId="77777777" w:rsidR="00837586" w:rsidRDefault="00837586" w:rsidP="00837586">
      <w:r>
        <w:t>The aim of this preliminary analysis is to integrate laboratory measurements of photosynthesis-irradiance relationships (a proxy for carbon balance), and the dependence of these relationships on temperature, with laboratory observations of changes in seagrass abundance in response to light and temperature, using a mathematical model. This analysis is used to answer the following three questions:</w:t>
      </w:r>
    </w:p>
    <w:p w14:paraId="5B358034" w14:textId="77777777" w:rsidR="00837586" w:rsidRDefault="00837586" w:rsidP="00837586">
      <w:pPr>
        <w:pStyle w:val="ListParagraph"/>
        <w:numPr>
          <w:ilvl w:val="0"/>
          <w:numId w:val="38"/>
        </w:numPr>
        <w:spacing w:before="0" w:after="160" w:line="259" w:lineRule="auto"/>
      </w:pPr>
      <w:r>
        <w:t>Can photosynthesis-irradiance curves be used to predict seagrass growth and decline?</w:t>
      </w:r>
    </w:p>
    <w:p w14:paraId="2E843930" w14:textId="77777777" w:rsidR="00837586" w:rsidRDefault="00837586" w:rsidP="00837586">
      <w:pPr>
        <w:pStyle w:val="ListParagraph"/>
        <w:numPr>
          <w:ilvl w:val="0"/>
          <w:numId w:val="38"/>
        </w:numPr>
        <w:spacing w:before="0" w:after="160" w:line="259" w:lineRule="auto"/>
      </w:pPr>
      <w:r>
        <w:t>How does the time until complete shoot density loss depend on cumulative stresses of light and temperature?</w:t>
      </w:r>
    </w:p>
    <w:p w14:paraId="2192A84D" w14:textId="77777777" w:rsidR="00837586" w:rsidRDefault="00837586" w:rsidP="00837586">
      <w:pPr>
        <w:pStyle w:val="ListParagraph"/>
        <w:numPr>
          <w:ilvl w:val="0"/>
          <w:numId w:val="38"/>
        </w:numPr>
        <w:spacing w:before="0" w:after="160" w:line="259" w:lineRule="auto"/>
      </w:pPr>
      <w:r>
        <w:t>What additional data is needed to parameterise a predictive model of seagrass growth and decline?</w:t>
      </w:r>
    </w:p>
    <w:p w14:paraId="124F5EDA" w14:textId="77777777" w:rsidR="00837586" w:rsidRDefault="00837586" w:rsidP="00837586"/>
    <w:p w14:paraId="09F6929D" w14:textId="77777777" w:rsidR="00837586" w:rsidRPr="005E7B1E" w:rsidRDefault="00837586" w:rsidP="00837586">
      <w:pPr>
        <w:rPr>
          <w:b/>
        </w:rPr>
      </w:pPr>
      <w:r w:rsidRPr="005E7B1E">
        <w:rPr>
          <w:b/>
        </w:rPr>
        <w:t>Methods</w:t>
      </w:r>
    </w:p>
    <w:p w14:paraId="5363341A" w14:textId="77777777" w:rsidR="00837586" w:rsidRDefault="00837586" w:rsidP="00837586">
      <w:r>
        <w:t xml:space="preserve">The analysis is conceptually similar to a previously published model of energetic status in corals (Anthony et al. 2009), applied to seagrass </w:t>
      </w:r>
      <w:r w:rsidRPr="00E44493">
        <w:t>data.</w:t>
      </w:r>
      <w:r w:rsidRPr="008D4745">
        <w:t xml:space="preserve"> </w:t>
      </w:r>
      <w:r>
        <w:t>Here</w:t>
      </w:r>
      <w:r w:rsidRPr="008D3A8B">
        <w:t>,</w:t>
      </w:r>
      <w:r w:rsidRPr="00E44493">
        <w:t xml:space="preserve"> energetic</w:t>
      </w:r>
      <w:r>
        <w:t xml:space="preserve"> status is hypothesised to predict seagrass decline as follows: instantaneous total carbon balance consists of photosynthesis, respiration and other carbon losses. A daily estimate of energetic status for seagrass, is calculated from the average carbon balance over the entire day-night cycle. If the energetic status is too low, then a reduction in shoot density of seagrass occurs, and this reduction proceeds at a rate proportional to the deficit in energetic status. The energetic status model is first calibrated to laboratory data and then used to generate predictions of seagrass responses to cumulative light and temperature stress.</w:t>
      </w:r>
    </w:p>
    <w:p w14:paraId="1FD2A396" w14:textId="77777777" w:rsidR="00837586" w:rsidRDefault="00837586" w:rsidP="00837586">
      <w:r>
        <w:t>The model developed here is a complement to the seagrass dynamic model (Baird et al. 2016a) used in the CSIRO Environmental Modelling Suite (EMS) that is used to predict hydrodynamics and biogeochemistry of the Great Barrier Reef (Baird et al. 2016b). These two models aim to accomplish different goals. The seagrass model in EMS aims to predict growth and decline in biomass of multiple species simultaneously, informed by as many biologically meaningful parameters (Adams et al. 2017) as possible. To accomplish this, growth of seagrass is assumed to depend physically on the number of photons hitting the seagrass leaves, the light absorbance properties of the seagrass leaves, and self-shading (Baird et al. 2016a). In contrast, the energetic status model reported here is based entirely on empirical data obtained from laboratory studies; so if only decline has been measured in the laboratory, the energetic status model can only predict decline. The aim of the energetic status model is to identify what can and cannot be predicted currently from laboratory data. Hence, it is hoped that the gaps in experimental research identified by the energetic status model will spark further laboratory investigations. In the future, if the data obtained from these additional laboratory studies is sufficiently comprehensive, this data could be incorporated in an updated energetic status model that could be directly compared with the seagrass model in EMS, to perform a robust validation of the physical assumptions underlying the seagrass model in EMS.</w:t>
      </w:r>
    </w:p>
    <w:p w14:paraId="6EDA78AC" w14:textId="77777777" w:rsidR="00837586" w:rsidRDefault="00837586" w:rsidP="00837586">
      <w:r>
        <w:t>To calibrate the energetic status model, laboratory data is obtained from Collier et al. (2016) and unpublished data. The unpublished data consists of net leaf productivity vs irradiance curves for three tropical seagrass species (</w:t>
      </w:r>
      <w:r w:rsidRPr="00A34860">
        <w:rPr>
          <w:i/>
        </w:rPr>
        <w:t>Cymodocea serrulata</w:t>
      </w:r>
      <w:r>
        <w:t xml:space="preserve">, </w:t>
      </w:r>
      <w:r w:rsidRPr="00A34860">
        <w:rPr>
          <w:i/>
        </w:rPr>
        <w:t>Halodule uninervis</w:t>
      </w:r>
      <w:r>
        <w:t xml:space="preserve">, and </w:t>
      </w:r>
      <w:r w:rsidRPr="00A34860">
        <w:rPr>
          <w:i/>
        </w:rPr>
        <w:t>Zostera muelleri</w:t>
      </w:r>
      <w:r>
        <w:t>) at temperatures ranging from 20</w:t>
      </w:r>
      <w:r>
        <w:sym w:font="Symbol" w:char="F0B0"/>
      </w:r>
      <w:r>
        <w:t>C to 35</w:t>
      </w:r>
      <w:r>
        <w:sym w:font="Symbol" w:char="F0B0"/>
      </w:r>
      <w:r>
        <w:t>C and is used to predict the balance of above-ground photosynthesis and respiration as a function of irradiance and temperature. The model is then calibrated to shoot density trajectories of seagrass for the three tropical species mentioned above (</w:t>
      </w:r>
      <w:r w:rsidRPr="00316A8C">
        <w:rPr>
          <w:i/>
        </w:rPr>
        <w:t>C. serrulata</w:t>
      </w:r>
      <w:r>
        <w:t xml:space="preserve">, </w:t>
      </w:r>
      <w:r w:rsidRPr="00316A8C">
        <w:rPr>
          <w:i/>
        </w:rPr>
        <w:t>H. uninervis</w:t>
      </w:r>
      <w:r>
        <w:t xml:space="preserve">, and </w:t>
      </w:r>
      <w:r w:rsidRPr="00316A8C">
        <w:rPr>
          <w:i/>
        </w:rPr>
        <w:t>Z. muelleri</w:t>
      </w:r>
      <w:r>
        <w:t>). These shoot density trajectories were measured in laboratory-conditions over a 14 week period for various light levels and two temperature levels, which correspond to mean daily temperatures of ~22.7</w:t>
      </w:r>
      <w:r>
        <w:sym w:font="Symbol" w:char="F0B0"/>
      </w:r>
      <w:r>
        <w:t>C and ~27.7</w:t>
      </w:r>
      <w:r>
        <w:sym w:font="Symbol" w:char="F0B0"/>
      </w:r>
      <w:r>
        <w:t>C (Collier et al. 2016).</w:t>
      </w:r>
    </w:p>
    <w:p w14:paraId="4E544DC1" w14:textId="77777777" w:rsidR="00837586" w:rsidRDefault="00837586" w:rsidP="00837586"/>
    <w:p w14:paraId="1337B4EA" w14:textId="77777777" w:rsidR="00837586" w:rsidRDefault="00837586" w:rsidP="00837586">
      <w:pPr>
        <w:rPr>
          <w:b/>
        </w:rPr>
      </w:pPr>
      <w:r w:rsidRPr="009E4242">
        <w:rPr>
          <w:b/>
        </w:rPr>
        <w:t>Results</w:t>
      </w:r>
    </w:p>
    <w:p w14:paraId="5B2439A4" w14:textId="77777777" w:rsidR="00837586" w:rsidRPr="005D5EF7" w:rsidRDefault="00837586" w:rsidP="00837586">
      <w:pPr>
        <w:rPr>
          <w:i/>
        </w:rPr>
      </w:pPr>
      <w:r w:rsidRPr="005D5EF7">
        <w:rPr>
          <w:i/>
        </w:rPr>
        <w:t>Model calibration to laboratory data</w:t>
      </w:r>
    </w:p>
    <w:p w14:paraId="17C4311B" w14:textId="77777777" w:rsidR="00837586" w:rsidRDefault="00837586" w:rsidP="00837586">
      <w:r>
        <w:t xml:space="preserve">Figures 1-3 shows the calibration of the seagrass energetic status model to the shoot density data for </w:t>
      </w:r>
      <w:r>
        <w:rPr>
          <w:i/>
        </w:rPr>
        <w:t xml:space="preserve">C. </w:t>
      </w:r>
      <w:r w:rsidRPr="00A34860">
        <w:rPr>
          <w:i/>
        </w:rPr>
        <w:t>serrulata</w:t>
      </w:r>
      <w:r>
        <w:t xml:space="preserve">, </w:t>
      </w:r>
      <w:r w:rsidRPr="00A34860">
        <w:rPr>
          <w:i/>
        </w:rPr>
        <w:t>H</w:t>
      </w:r>
      <w:r>
        <w:rPr>
          <w:i/>
        </w:rPr>
        <w:t>.</w:t>
      </w:r>
      <w:r w:rsidRPr="00A34860">
        <w:rPr>
          <w:i/>
        </w:rPr>
        <w:t xml:space="preserve"> uninervis</w:t>
      </w:r>
      <w:r>
        <w:t xml:space="preserve">, and </w:t>
      </w:r>
      <w:r w:rsidRPr="00A34860">
        <w:rPr>
          <w:i/>
        </w:rPr>
        <w:t>Z</w:t>
      </w:r>
      <w:r>
        <w:rPr>
          <w:i/>
        </w:rPr>
        <w:t>.</w:t>
      </w:r>
      <w:r w:rsidRPr="00A34860">
        <w:rPr>
          <w:i/>
        </w:rPr>
        <w:t xml:space="preserve"> muelleri</w:t>
      </w:r>
      <w:r>
        <w:t xml:space="preserve">, respectively. The model fits </w:t>
      </w:r>
      <w:r w:rsidRPr="00DF085C">
        <w:rPr>
          <w:i/>
        </w:rPr>
        <w:t>Z. muelleri</w:t>
      </w:r>
      <w:r>
        <w:t xml:space="preserve"> the best (R</w:t>
      </w:r>
      <w:r w:rsidRPr="00DF085C">
        <w:rPr>
          <w:vertAlign w:val="superscript"/>
        </w:rPr>
        <w:t>2</w:t>
      </w:r>
      <w:r>
        <w:t xml:space="preserve"> = 0.80), most likely because the change in shoot density vs time and light/temperature treatment was greater than for the other two species. From fitting the model to the data, non-respiratory carbon losses were predicted to generally increase with temperature, possibly up to two-fold between the two calibrated temperatures (~22.7</w:t>
      </w:r>
      <w:r>
        <w:sym w:font="Symbol" w:char="F0B0"/>
      </w:r>
      <w:r>
        <w:t>C and ~27.7</w:t>
      </w:r>
      <w:r>
        <w:sym w:font="Symbol" w:char="F0B0"/>
      </w:r>
      <w:r>
        <w:t>C). This indicates that the temperature-dependence of net leaf productivity vs irradiance is not sufficient to predict the dependence of seagrass shoot density changes on temperature, and that temperature-dependence of non-respiratory carbon losses possibly provides an important contribution to light deprivation-driven changes in seagrass morphology.</w:t>
      </w:r>
    </w:p>
    <w:p w14:paraId="5C9C9B32" w14:textId="77777777" w:rsidR="00837586" w:rsidRDefault="00837586" w:rsidP="00837586">
      <w:r>
        <w:rPr>
          <w:noProof/>
          <w:lang w:eastAsia="en-AU"/>
        </w:rPr>
        <w:drawing>
          <wp:inline distT="0" distB="0" distL="0" distR="0" wp14:anchorId="7635E763" wp14:editId="777DB556">
            <wp:extent cx="6120000" cy="4147200"/>
            <wp:effectExtent l="0" t="0" r="0" b="5715"/>
            <wp:docPr id="119" name="Picture 119" descr="Panel of six scatter plots with straight lines and markers showing calibration of the energetic status model for shoot density of the seagrass species Cymodocea serrulata versus time, for various light and temperature lev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_serrulata.png"/>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6120000" cy="4147200"/>
                    </a:xfrm>
                    <a:prstGeom prst="rect">
                      <a:avLst/>
                    </a:prstGeom>
                  </pic:spPr>
                </pic:pic>
              </a:graphicData>
            </a:graphic>
          </wp:inline>
        </w:drawing>
      </w:r>
      <w:r>
        <w:rPr>
          <w:b/>
        </w:rPr>
        <w:br/>
      </w:r>
      <w:r w:rsidRPr="007A706A">
        <w:rPr>
          <w:b/>
        </w:rPr>
        <w:t>Figure 1.</w:t>
      </w:r>
      <w:r>
        <w:t xml:space="preserve"> Calibration of the energetic status model (lines) to the data (dots with error bars) for shoot density of the seagrass species </w:t>
      </w:r>
      <w:r w:rsidRPr="00EC3D8F">
        <w:rPr>
          <w:i/>
        </w:rPr>
        <w:t>C. serrulata</w:t>
      </w:r>
      <w:r>
        <w:t xml:space="preserve"> vs time, for various light levels and two temperature levels (adjusted R</w:t>
      </w:r>
      <w:r w:rsidRPr="008E51BC">
        <w:rPr>
          <w:vertAlign w:val="superscript"/>
        </w:rPr>
        <w:t>2</w:t>
      </w:r>
      <w:r>
        <w:t xml:space="preserve"> = 0.59).</w:t>
      </w:r>
    </w:p>
    <w:p w14:paraId="7EFAA474" w14:textId="77777777" w:rsidR="00837586" w:rsidRDefault="00837586" w:rsidP="00837586"/>
    <w:p w14:paraId="7083E76E" w14:textId="77777777" w:rsidR="00837586" w:rsidRDefault="00837586" w:rsidP="00837586">
      <w:r>
        <w:rPr>
          <w:noProof/>
          <w:lang w:eastAsia="en-AU"/>
        </w:rPr>
        <w:drawing>
          <wp:inline distT="0" distB="0" distL="0" distR="0" wp14:anchorId="0798656A" wp14:editId="1DF302BC">
            <wp:extent cx="6120000" cy="4143600"/>
            <wp:effectExtent l="0" t="0" r="0" b="0"/>
            <wp:docPr id="2" name="Picture 2" descr="Panel of six scatter plots with straight lines and markers showing calibration of the energetic status model for shoot density of the seagrass species Halodule uninervis versus time, for various light and temperature lev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_uninervis.png"/>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6120000" cy="4143600"/>
                    </a:xfrm>
                    <a:prstGeom prst="rect">
                      <a:avLst/>
                    </a:prstGeom>
                  </pic:spPr>
                </pic:pic>
              </a:graphicData>
            </a:graphic>
          </wp:inline>
        </w:drawing>
      </w:r>
      <w:r>
        <w:rPr>
          <w:b/>
        </w:rPr>
        <w:br/>
        <w:t>Figure 2</w:t>
      </w:r>
      <w:r w:rsidRPr="007A706A">
        <w:rPr>
          <w:b/>
        </w:rPr>
        <w:t>.</w:t>
      </w:r>
      <w:r>
        <w:t xml:space="preserve"> Calibration of the energetic status model (lines) to the data (dots with error bars) for shoot density of the seagrass species </w:t>
      </w:r>
      <w:r>
        <w:rPr>
          <w:i/>
        </w:rPr>
        <w:t>H</w:t>
      </w:r>
      <w:r w:rsidRPr="00EC3D8F">
        <w:rPr>
          <w:i/>
        </w:rPr>
        <w:t xml:space="preserve">. </w:t>
      </w:r>
      <w:r>
        <w:rPr>
          <w:i/>
        </w:rPr>
        <w:t>uninervis</w:t>
      </w:r>
      <w:r>
        <w:t xml:space="preserve"> vs time, for various light levels and two temperature levels (adjusted R</w:t>
      </w:r>
      <w:r w:rsidRPr="008E51BC">
        <w:rPr>
          <w:vertAlign w:val="superscript"/>
        </w:rPr>
        <w:t>2</w:t>
      </w:r>
      <w:r>
        <w:t xml:space="preserve"> = 0.54).</w:t>
      </w:r>
    </w:p>
    <w:p w14:paraId="653B9FCC" w14:textId="77777777" w:rsidR="00837586" w:rsidRDefault="00837586" w:rsidP="001F6AA0">
      <w:pPr>
        <w:keepNext/>
        <w:widowControl w:val="0"/>
        <w:rPr>
          <w:b/>
        </w:rPr>
      </w:pPr>
      <w:r>
        <w:rPr>
          <w:noProof/>
          <w:lang w:eastAsia="en-AU"/>
        </w:rPr>
        <w:drawing>
          <wp:inline distT="0" distB="0" distL="0" distR="0" wp14:anchorId="05DFAF40" wp14:editId="0EBC9A3A">
            <wp:extent cx="6120000" cy="4060800"/>
            <wp:effectExtent l="0" t="0" r="0" b="0"/>
            <wp:docPr id="120" name="Picture 120" descr="Panel of six scatter plots with straight lines and markers showing calibration of the energetic status model for shoot density of the seagrass species Zostera muelleri versus time, for various light and temperature lev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Z_muelleri.pn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6120000" cy="4060800"/>
                    </a:xfrm>
                    <a:prstGeom prst="rect">
                      <a:avLst/>
                    </a:prstGeom>
                  </pic:spPr>
                </pic:pic>
              </a:graphicData>
            </a:graphic>
          </wp:inline>
        </w:drawing>
      </w:r>
    </w:p>
    <w:p w14:paraId="3B6E52D7" w14:textId="77777777" w:rsidR="00837586" w:rsidRDefault="00837586" w:rsidP="00837586">
      <w:r>
        <w:rPr>
          <w:b/>
        </w:rPr>
        <w:t>Figure 3</w:t>
      </w:r>
      <w:r w:rsidRPr="007A706A">
        <w:rPr>
          <w:b/>
        </w:rPr>
        <w:t>.</w:t>
      </w:r>
      <w:r>
        <w:t xml:space="preserve"> Calibration of the energetic status model (lines) to the data (dots with error bars) for shoot density of the seagrass species </w:t>
      </w:r>
      <w:r>
        <w:rPr>
          <w:i/>
        </w:rPr>
        <w:t>Z. muelleri</w:t>
      </w:r>
      <w:r>
        <w:t xml:space="preserve"> vs time, for various light levels and two temperature levels (adjusted R</w:t>
      </w:r>
      <w:r w:rsidRPr="008E51BC">
        <w:rPr>
          <w:vertAlign w:val="superscript"/>
        </w:rPr>
        <w:t>2</w:t>
      </w:r>
      <w:r>
        <w:t xml:space="preserve"> = 0.80).</w:t>
      </w:r>
    </w:p>
    <w:p w14:paraId="054C0FC6" w14:textId="77777777" w:rsidR="001F6AA0" w:rsidRDefault="001F6AA0" w:rsidP="001F6AA0">
      <w:pPr>
        <w:rPr>
          <w:i/>
        </w:rPr>
      </w:pPr>
    </w:p>
    <w:p w14:paraId="3265C53A" w14:textId="77777777" w:rsidR="001F6AA0" w:rsidRPr="002C2024" w:rsidRDefault="001F6AA0" w:rsidP="001F6AA0">
      <w:pPr>
        <w:rPr>
          <w:i/>
        </w:rPr>
      </w:pPr>
      <w:r w:rsidRPr="002C2024">
        <w:rPr>
          <w:i/>
        </w:rPr>
        <w:t>Model predictions of seagrass decline due to cumulative light and temperature stres</w:t>
      </w:r>
      <w:r>
        <w:rPr>
          <w:i/>
        </w:rPr>
        <w:t>s</w:t>
      </w:r>
    </w:p>
    <w:p w14:paraId="56150F78" w14:textId="77777777" w:rsidR="00837586" w:rsidRDefault="00837586" w:rsidP="00837586">
      <w:r w:rsidRPr="002C2024">
        <w:t xml:space="preserve">The </w:t>
      </w:r>
      <w:r>
        <w:t xml:space="preserve">energetic status </w:t>
      </w:r>
      <w:r w:rsidRPr="002C2024">
        <w:t>model can be used to predict time to complete</w:t>
      </w:r>
      <w:r>
        <w:t xml:space="preserve"> shoot</w:t>
      </w:r>
      <w:r w:rsidRPr="002C2024">
        <w:t xml:space="preserve"> loss for several light l</w:t>
      </w:r>
      <w:r w:rsidRPr="00B167A0">
        <w:t xml:space="preserve">evels and </w:t>
      </w:r>
      <w:r>
        <w:t xml:space="preserve">mean daily </w:t>
      </w:r>
      <w:r w:rsidRPr="00B167A0">
        <w:t>temperatures (Figure 4</w:t>
      </w:r>
      <w:r w:rsidRPr="002C2024">
        <w:t xml:space="preserve">). </w:t>
      </w:r>
      <w:r>
        <w:t>The energetic status model outputs shown in Figure 4 assume a day length of 12 hours, with cloudless days.</w:t>
      </w:r>
    </w:p>
    <w:p w14:paraId="00FF61EA" w14:textId="77777777" w:rsidR="00837586" w:rsidRPr="002C2024" w:rsidRDefault="00837586" w:rsidP="00837586">
      <w:r>
        <w:t>E</w:t>
      </w:r>
      <w:r w:rsidRPr="002C2024">
        <w:t>xponential curves</w:t>
      </w:r>
      <w:r>
        <w:t xml:space="preserve"> fitted</w:t>
      </w:r>
      <w:r w:rsidRPr="002C2024">
        <w:t xml:space="preserve"> to these model predictions yield high correlation (R</w:t>
      </w:r>
      <w:r w:rsidRPr="002C2024">
        <w:rPr>
          <w:vertAlign w:val="superscript"/>
        </w:rPr>
        <w:t>2</w:t>
      </w:r>
      <w:r w:rsidRPr="002C2024">
        <w:rPr>
          <w:rFonts w:cstheme="minorHAnsi"/>
        </w:rPr>
        <w:t>≥</w:t>
      </w:r>
      <w:r w:rsidRPr="002C2024">
        <w:t>0.98)</w:t>
      </w:r>
      <w:r>
        <w:t>. T</w:t>
      </w:r>
      <w:r w:rsidRPr="002C2024">
        <w:t>hus it is possible to write simple equations</w:t>
      </w:r>
      <w:r>
        <w:t xml:space="preserve"> t</w:t>
      </w:r>
      <w:r w:rsidRPr="002C2024">
        <w:rPr>
          <w:vertAlign w:val="subscript"/>
        </w:rPr>
        <w:t>loss</w:t>
      </w:r>
      <w:r>
        <w:t xml:space="preserve"> = t</w:t>
      </w:r>
      <w:r w:rsidRPr="002C2024">
        <w:rPr>
          <w:vertAlign w:val="subscript"/>
        </w:rPr>
        <w:t>0</w:t>
      </w:r>
      <w:r>
        <w:t xml:space="preserve"> exp(k I)</w:t>
      </w:r>
      <w:r w:rsidRPr="002C2024">
        <w:t xml:space="preserve"> </w:t>
      </w:r>
      <w:r>
        <w:t>that predict</w:t>
      </w:r>
      <w:r w:rsidRPr="002C2024">
        <w:t xml:space="preserve"> the time to complete</w:t>
      </w:r>
      <w:r>
        <w:t xml:space="preserve"> shoot</w:t>
      </w:r>
      <w:r w:rsidRPr="002C2024">
        <w:t xml:space="preserve"> los</w:t>
      </w:r>
      <w:r>
        <w:t>s for the three seagrass species assessed (Table 1) as an output of the energetic status model. In this equation, t</w:t>
      </w:r>
      <w:r w:rsidRPr="002C2024">
        <w:rPr>
          <w:vertAlign w:val="subscript"/>
        </w:rPr>
        <w:t>loss</w:t>
      </w:r>
      <w:r>
        <w:t xml:space="preserve"> is the number of days until complete shoot loss, t</w:t>
      </w:r>
      <w:r w:rsidRPr="002C2024">
        <w:rPr>
          <w:vertAlign w:val="subscript"/>
        </w:rPr>
        <w:t>0</w:t>
      </w:r>
      <w:r>
        <w:t xml:space="preserve"> is the number of days until complete shoot loss at zero light, k is a scaling factor with units of (mol m</w:t>
      </w:r>
      <w:r w:rsidRPr="002C2024">
        <w:rPr>
          <w:vertAlign w:val="superscript"/>
        </w:rPr>
        <w:t>-2</w:t>
      </w:r>
      <w:r>
        <w:t xml:space="preserve"> d</w:t>
      </w:r>
      <w:r w:rsidRPr="002C2024">
        <w:rPr>
          <w:vertAlign w:val="superscript"/>
        </w:rPr>
        <w:t>-1</w:t>
      </w:r>
      <w:r>
        <w:t>)</w:t>
      </w:r>
      <w:r w:rsidRPr="002C2024">
        <w:rPr>
          <w:vertAlign w:val="superscript"/>
        </w:rPr>
        <w:t>-1</w:t>
      </w:r>
      <w:r>
        <w:t>, and I is the daily PAR light dose (mol m</w:t>
      </w:r>
      <w:r w:rsidRPr="00406F42">
        <w:rPr>
          <w:vertAlign w:val="superscript"/>
        </w:rPr>
        <w:t>-2</w:t>
      </w:r>
      <w:r>
        <w:t xml:space="preserve"> d</w:t>
      </w:r>
      <w:r w:rsidRPr="00406F42">
        <w:rPr>
          <w:vertAlign w:val="superscript"/>
        </w:rPr>
        <w:t>-1</w:t>
      </w:r>
      <w:r w:rsidRPr="002C2024">
        <w:t>)</w:t>
      </w:r>
      <w:r>
        <w:t>. We emphasise that this equation, together with the parameters in Table 1, provides only a preliminary estimate of the time to complete shoot loss. Especially for light levels outside of those tested (e.g. I &gt; 3 mol m</w:t>
      </w:r>
      <w:r w:rsidRPr="002C2024">
        <w:rPr>
          <w:vertAlign w:val="superscript"/>
        </w:rPr>
        <w:t>-2</w:t>
      </w:r>
      <w:r>
        <w:t xml:space="preserve"> d</w:t>
      </w:r>
      <w:r w:rsidRPr="002C2024">
        <w:rPr>
          <w:vertAlign w:val="superscript"/>
        </w:rPr>
        <w:t>-1</w:t>
      </w:r>
      <w:r>
        <w:t xml:space="preserve"> for </w:t>
      </w:r>
      <w:r w:rsidRPr="002C2024">
        <w:rPr>
          <w:i/>
        </w:rPr>
        <w:t>C. serrulata</w:t>
      </w:r>
      <w:r>
        <w:t xml:space="preserve"> at a mean daily temperature of 22.7</w:t>
      </w:r>
      <w:r>
        <w:sym w:font="Symbol" w:char="F0B0"/>
      </w:r>
      <w:r>
        <w:t>C), these estimates should be used particularly cautiously.</w:t>
      </w:r>
    </w:p>
    <w:p w14:paraId="605BF006" w14:textId="77777777" w:rsidR="00837586" w:rsidRDefault="00837586" w:rsidP="001F6AA0">
      <w:pPr>
        <w:keepNext/>
        <w:widowControl w:val="0"/>
        <w:jc w:val="center"/>
        <w:rPr>
          <w:i/>
        </w:rPr>
      </w:pPr>
      <w:r>
        <w:rPr>
          <w:i/>
          <w:noProof/>
          <w:lang w:eastAsia="en-AU"/>
        </w:rPr>
        <w:drawing>
          <wp:inline distT="0" distB="0" distL="0" distR="0" wp14:anchorId="12F43B8A" wp14:editId="53D0F2AE">
            <wp:extent cx="3285502" cy="4770408"/>
            <wp:effectExtent l="0" t="0" r="0" b="0"/>
            <wp:docPr id="121" name="Picture 121" descr="Panel of three stacked scatter plots with straight lines and markers showing energetic status model predictions of the time to complete shoot loss and fitted exponential curves through these predictions, for three seagrass species, two temperatures, and up to eight light lev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ime_to_loss_predictions.png"/>
                    <pic:cNvPicPr/>
                  </pic:nvPicPr>
                  <pic:blipFill rotWithShape="1">
                    <a:blip r:embed="rId163">
                      <a:extLst>
                        <a:ext uri="{28A0092B-C50C-407E-A947-70E740481C1C}">
                          <a14:useLocalDpi xmlns:a14="http://schemas.microsoft.com/office/drawing/2010/main" val="0"/>
                        </a:ext>
                      </a:extLst>
                    </a:blip>
                    <a:srcRect/>
                    <a:stretch/>
                  </pic:blipFill>
                  <pic:spPr bwMode="auto">
                    <a:xfrm>
                      <a:off x="0" y="0"/>
                      <a:ext cx="3291492" cy="4779105"/>
                    </a:xfrm>
                    <a:prstGeom prst="rect">
                      <a:avLst/>
                    </a:prstGeom>
                    <a:ln>
                      <a:noFill/>
                    </a:ln>
                    <a:extLst>
                      <a:ext uri="{53640926-AAD7-44D8-BBD7-CCE9431645EC}">
                        <a14:shadowObscured xmlns:a14="http://schemas.microsoft.com/office/drawing/2010/main"/>
                      </a:ext>
                    </a:extLst>
                  </pic:spPr>
                </pic:pic>
              </a:graphicData>
            </a:graphic>
          </wp:inline>
        </w:drawing>
      </w:r>
    </w:p>
    <w:p w14:paraId="421401DA" w14:textId="77777777" w:rsidR="00837586" w:rsidRDefault="00837586" w:rsidP="00837586">
      <w:pPr>
        <w:contextualSpacing/>
      </w:pPr>
      <w:r w:rsidRPr="002C2024">
        <w:rPr>
          <w:b/>
        </w:rPr>
        <w:t>Figure 4.</w:t>
      </w:r>
      <w:r w:rsidRPr="002C2024">
        <w:t xml:space="preserve"> Energetic status model predictions of the time to complete shoot loss (closed circles) and fitted exponential curves through these predictions (lines), for three seagrass species, two temperatures, and up to eight light levels.</w:t>
      </w:r>
    </w:p>
    <w:p w14:paraId="1497EE2D" w14:textId="77777777" w:rsidR="00837586" w:rsidRDefault="00837586" w:rsidP="00837586">
      <w:pPr>
        <w:spacing w:after="0"/>
      </w:pPr>
    </w:p>
    <w:p w14:paraId="455F3E8B" w14:textId="77777777" w:rsidR="007B7E06" w:rsidRDefault="007B7E06" w:rsidP="00837586">
      <w:pPr>
        <w:spacing w:after="0"/>
      </w:pPr>
    </w:p>
    <w:p w14:paraId="2B9C71DE" w14:textId="77777777" w:rsidR="007B7E06" w:rsidRDefault="007B7E06" w:rsidP="00837586">
      <w:pPr>
        <w:spacing w:after="0"/>
      </w:pPr>
    </w:p>
    <w:p w14:paraId="5205E044" w14:textId="77777777" w:rsidR="001F6AA0" w:rsidRDefault="001F6AA0" w:rsidP="00837586">
      <w:pPr>
        <w:spacing w:after="0"/>
      </w:pPr>
    </w:p>
    <w:p w14:paraId="46797987" w14:textId="77777777" w:rsidR="001F6AA0" w:rsidRDefault="001F6AA0" w:rsidP="00837586">
      <w:pPr>
        <w:spacing w:after="0"/>
      </w:pPr>
    </w:p>
    <w:p w14:paraId="2BC91C81" w14:textId="0253BBF1" w:rsidR="007B7E06" w:rsidRPr="002C2024" w:rsidRDefault="001F6AA0" w:rsidP="001F6AA0">
      <w:r w:rsidRPr="002C2024">
        <w:rPr>
          <w:b/>
        </w:rPr>
        <w:t xml:space="preserve">Table 1. </w:t>
      </w:r>
      <w:r w:rsidRPr="002C2024">
        <w:t xml:space="preserve">Parameters of the exponential curves </w:t>
      </w:r>
      <w:r>
        <w:t>t</w:t>
      </w:r>
      <w:r w:rsidRPr="00B167A0">
        <w:rPr>
          <w:vertAlign w:val="subscript"/>
        </w:rPr>
        <w:t>loss</w:t>
      </w:r>
      <w:r w:rsidRPr="00B167A0">
        <w:t xml:space="preserve"> = </w:t>
      </w:r>
      <w:r>
        <w:t>t</w:t>
      </w:r>
      <w:r w:rsidRPr="00B167A0">
        <w:rPr>
          <w:vertAlign w:val="subscript"/>
        </w:rPr>
        <w:t>0</w:t>
      </w:r>
      <w:r w:rsidRPr="00B167A0">
        <w:t xml:space="preserve"> exp(k I) fitted to the energetic status model predictions </w:t>
      </w:r>
      <w:r w:rsidRPr="002C2024">
        <w:t xml:space="preserve">shown in Figure 4. These parameterised equations can be used to predict the time to complete </w:t>
      </w:r>
      <w:r>
        <w:t xml:space="preserve">shoot </w:t>
      </w:r>
      <w:r w:rsidRPr="002C2024">
        <w:t xml:space="preserve">loss for </w:t>
      </w:r>
      <w:r>
        <w:t>seagrass</w:t>
      </w:r>
      <w:r w:rsidRPr="00B167A0">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showing parameters of the exponential curves tfitted to the energetic status model predictions"/>
      </w:tblPr>
      <w:tblGrid>
        <w:gridCol w:w="1668"/>
        <w:gridCol w:w="2514"/>
        <w:gridCol w:w="2091"/>
        <w:gridCol w:w="2091"/>
        <w:gridCol w:w="2092"/>
      </w:tblGrid>
      <w:tr w:rsidR="00837586" w14:paraId="141E0426" w14:textId="77777777" w:rsidTr="00831DA4">
        <w:trPr>
          <w:tblHeader/>
        </w:trPr>
        <w:tc>
          <w:tcPr>
            <w:tcW w:w="1668" w:type="dxa"/>
            <w:tcBorders>
              <w:top w:val="single" w:sz="4" w:space="0" w:color="auto"/>
              <w:bottom w:val="single" w:sz="4" w:space="0" w:color="auto"/>
            </w:tcBorders>
          </w:tcPr>
          <w:p w14:paraId="2398EFFE" w14:textId="77777777" w:rsidR="00837586" w:rsidRPr="002C2024" w:rsidRDefault="00837586" w:rsidP="001F6AA0">
            <w:pPr>
              <w:spacing w:before="0" w:after="0"/>
              <w:jc w:val="center"/>
              <w:rPr>
                <w:b/>
              </w:rPr>
            </w:pPr>
            <w:r w:rsidRPr="002C2024">
              <w:rPr>
                <w:b/>
              </w:rPr>
              <w:t>Species</w:t>
            </w:r>
          </w:p>
        </w:tc>
        <w:tc>
          <w:tcPr>
            <w:tcW w:w="2514" w:type="dxa"/>
            <w:tcBorders>
              <w:top w:val="single" w:sz="4" w:space="0" w:color="auto"/>
              <w:bottom w:val="single" w:sz="4" w:space="0" w:color="auto"/>
            </w:tcBorders>
          </w:tcPr>
          <w:p w14:paraId="3D3BAD3A" w14:textId="77777777" w:rsidR="00837586" w:rsidRPr="002C2024" w:rsidRDefault="00837586" w:rsidP="001F6AA0">
            <w:pPr>
              <w:spacing w:before="0" w:after="0"/>
              <w:jc w:val="center"/>
              <w:rPr>
                <w:b/>
                <w:vertAlign w:val="subscript"/>
              </w:rPr>
            </w:pPr>
            <w:r>
              <w:rPr>
                <w:b/>
              </w:rPr>
              <w:t xml:space="preserve">Mean Daily </w:t>
            </w:r>
            <w:r w:rsidRPr="002C2024">
              <w:rPr>
                <w:b/>
              </w:rPr>
              <w:t>Temperature</w:t>
            </w:r>
          </w:p>
        </w:tc>
        <w:tc>
          <w:tcPr>
            <w:tcW w:w="2091" w:type="dxa"/>
            <w:tcBorders>
              <w:top w:val="single" w:sz="4" w:space="0" w:color="auto"/>
              <w:bottom w:val="single" w:sz="4" w:space="0" w:color="auto"/>
            </w:tcBorders>
          </w:tcPr>
          <w:p w14:paraId="35716EA0" w14:textId="77777777" w:rsidR="00837586" w:rsidRPr="002C2024" w:rsidRDefault="00837586" w:rsidP="001F6AA0">
            <w:pPr>
              <w:spacing w:before="0" w:after="0"/>
              <w:jc w:val="center"/>
              <w:rPr>
                <w:b/>
              </w:rPr>
            </w:pPr>
            <w:r>
              <w:rPr>
                <w:b/>
              </w:rPr>
              <w:t>t</w:t>
            </w:r>
            <w:r w:rsidRPr="002C2024">
              <w:rPr>
                <w:b/>
                <w:vertAlign w:val="subscript"/>
              </w:rPr>
              <w:t>0</w:t>
            </w:r>
          </w:p>
        </w:tc>
        <w:tc>
          <w:tcPr>
            <w:tcW w:w="2091" w:type="dxa"/>
            <w:tcBorders>
              <w:top w:val="single" w:sz="4" w:space="0" w:color="auto"/>
              <w:bottom w:val="single" w:sz="4" w:space="0" w:color="auto"/>
            </w:tcBorders>
          </w:tcPr>
          <w:p w14:paraId="5BADC0D2" w14:textId="77777777" w:rsidR="00837586" w:rsidRPr="002C2024" w:rsidRDefault="00837586" w:rsidP="001F6AA0">
            <w:pPr>
              <w:spacing w:before="0" w:after="0"/>
              <w:jc w:val="center"/>
              <w:rPr>
                <w:b/>
              </w:rPr>
            </w:pPr>
            <w:r w:rsidRPr="002C2024">
              <w:rPr>
                <w:b/>
              </w:rPr>
              <w:t>k</w:t>
            </w:r>
          </w:p>
        </w:tc>
        <w:tc>
          <w:tcPr>
            <w:tcW w:w="2092" w:type="dxa"/>
            <w:tcBorders>
              <w:top w:val="single" w:sz="4" w:space="0" w:color="auto"/>
              <w:bottom w:val="single" w:sz="4" w:space="0" w:color="auto"/>
            </w:tcBorders>
          </w:tcPr>
          <w:p w14:paraId="33CB2A2E" w14:textId="77777777" w:rsidR="00837586" w:rsidRPr="002C2024" w:rsidRDefault="00837586" w:rsidP="001F6AA0">
            <w:pPr>
              <w:spacing w:before="0" w:after="0"/>
              <w:jc w:val="center"/>
              <w:rPr>
                <w:b/>
              </w:rPr>
            </w:pPr>
            <w:r w:rsidRPr="002C2024">
              <w:rPr>
                <w:b/>
              </w:rPr>
              <w:t>R</w:t>
            </w:r>
            <w:r w:rsidRPr="002C2024">
              <w:rPr>
                <w:b/>
                <w:vertAlign w:val="superscript"/>
              </w:rPr>
              <w:t>2</w:t>
            </w:r>
          </w:p>
        </w:tc>
      </w:tr>
      <w:tr w:rsidR="00837586" w14:paraId="3C58AD94" w14:textId="77777777" w:rsidTr="001B6CCE">
        <w:tc>
          <w:tcPr>
            <w:tcW w:w="1668" w:type="dxa"/>
            <w:tcBorders>
              <w:top w:val="single" w:sz="4" w:space="0" w:color="auto"/>
            </w:tcBorders>
          </w:tcPr>
          <w:p w14:paraId="5E91ECAF" w14:textId="77777777" w:rsidR="00837586" w:rsidRDefault="00837586" w:rsidP="001F6AA0">
            <w:pPr>
              <w:spacing w:before="0" w:after="0"/>
              <w:jc w:val="center"/>
            </w:pPr>
            <w:r w:rsidRPr="00406F42">
              <w:rPr>
                <w:i/>
              </w:rPr>
              <w:t>C. serrulata</w:t>
            </w:r>
          </w:p>
        </w:tc>
        <w:tc>
          <w:tcPr>
            <w:tcW w:w="2514" w:type="dxa"/>
            <w:tcBorders>
              <w:top w:val="single" w:sz="4" w:space="0" w:color="auto"/>
            </w:tcBorders>
          </w:tcPr>
          <w:p w14:paraId="1F31EF56" w14:textId="77777777" w:rsidR="00837586" w:rsidRDefault="00837586" w:rsidP="001F6AA0">
            <w:pPr>
              <w:spacing w:before="0" w:after="0"/>
              <w:jc w:val="center"/>
            </w:pPr>
            <w:r>
              <w:t xml:space="preserve">22.7 </w:t>
            </w:r>
            <w:r w:rsidRPr="002761CE">
              <w:rPr>
                <w:rFonts w:cs="Times New Roman"/>
              </w:rPr>
              <w:sym w:font="Symbol" w:char="F0B0"/>
            </w:r>
            <w:r w:rsidRPr="002761CE">
              <w:rPr>
                <w:rFonts w:cs="Times New Roman"/>
              </w:rPr>
              <w:t>C</w:t>
            </w:r>
          </w:p>
        </w:tc>
        <w:tc>
          <w:tcPr>
            <w:tcW w:w="2091" w:type="dxa"/>
            <w:tcBorders>
              <w:top w:val="single" w:sz="4" w:space="0" w:color="auto"/>
            </w:tcBorders>
          </w:tcPr>
          <w:p w14:paraId="59B77016" w14:textId="77777777" w:rsidR="00837586" w:rsidRDefault="00837586" w:rsidP="001F6AA0">
            <w:pPr>
              <w:spacing w:before="0" w:after="0"/>
              <w:jc w:val="center"/>
            </w:pPr>
            <w:r>
              <w:t xml:space="preserve">109.3 </w:t>
            </w:r>
            <w:r>
              <w:rPr>
                <w:rFonts w:cs="Times New Roman"/>
              </w:rPr>
              <w:t>±</w:t>
            </w:r>
            <w:r>
              <w:t xml:space="preserve"> 1.7</w:t>
            </w:r>
          </w:p>
        </w:tc>
        <w:tc>
          <w:tcPr>
            <w:tcW w:w="2091" w:type="dxa"/>
            <w:tcBorders>
              <w:top w:val="single" w:sz="4" w:space="0" w:color="auto"/>
            </w:tcBorders>
          </w:tcPr>
          <w:p w14:paraId="6D53DE85" w14:textId="77777777" w:rsidR="00837586" w:rsidRDefault="00837586" w:rsidP="001F6AA0">
            <w:pPr>
              <w:spacing w:before="0" w:after="0"/>
              <w:jc w:val="center"/>
            </w:pPr>
            <w:r>
              <w:t xml:space="preserve">0.1604 </w:t>
            </w:r>
            <w:r>
              <w:rPr>
                <w:rFonts w:cs="Times New Roman"/>
              </w:rPr>
              <w:t>±</w:t>
            </w:r>
            <w:r>
              <w:t xml:space="preserve"> 0.0073</w:t>
            </w:r>
          </w:p>
        </w:tc>
        <w:tc>
          <w:tcPr>
            <w:tcW w:w="2092" w:type="dxa"/>
            <w:tcBorders>
              <w:top w:val="single" w:sz="4" w:space="0" w:color="auto"/>
            </w:tcBorders>
          </w:tcPr>
          <w:p w14:paraId="458C8F0D" w14:textId="77777777" w:rsidR="00837586" w:rsidRDefault="00837586" w:rsidP="001F6AA0">
            <w:pPr>
              <w:spacing w:before="0" w:after="0"/>
              <w:jc w:val="center"/>
            </w:pPr>
            <w:r>
              <w:t>1.00</w:t>
            </w:r>
          </w:p>
        </w:tc>
      </w:tr>
      <w:tr w:rsidR="00837586" w14:paraId="0E7E983E" w14:textId="77777777" w:rsidTr="001B6CCE">
        <w:tc>
          <w:tcPr>
            <w:tcW w:w="1668" w:type="dxa"/>
          </w:tcPr>
          <w:p w14:paraId="3107E806" w14:textId="77777777" w:rsidR="00837586" w:rsidRDefault="00837586" w:rsidP="001F6AA0">
            <w:pPr>
              <w:spacing w:before="0" w:after="0"/>
              <w:jc w:val="center"/>
            </w:pPr>
            <w:r w:rsidRPr="00406F42">
              <w:rPr>
                <w:i/>
              </w:rPr>
              <w:t>C. serrulata</w:t>
            </w:r>
          </w:p>
        </w:tc>
        <w:tc>
          <w:tcPr>
            <w:tcW w:w="2514" w:type="dxa"/>
          </w:tcPr>
          <w:p w14:paraId="175CFF2E" w14:textId="77777777" w:rsidR="00837586" w:rsidRDefault="00837586" w:rsidP="001F6AA0">
            <w:pPr>
              <w:spacing w:before="0" w:after="0"/>
              <w:jc w:val="center"/>
            </w:pPr>
            <w:r>
              <w:t xml:space="preserve">27.7 </w:t>
            </w:r>
            <w:r w:rsidRPr="002761CE">
              <w:rPr>
                <w:rFonts w:cs="Times New Roman"/>
              </w:rPr>
              <w:sym w:font="Symbol" w:char="F0B0"/>
            </w:r>
            <w:r w:rsidRPr="002761CE">
              <w:rPr>
                <w:rFonts w:cs="Times New Roman"/>
              </w:rPr>
              <w:t>C</w:t>
            </w:r>
          </w:p>
        </w:tc>
        <w:tc>
          <w:tcPr>
            <w:tcW w:w="2091" w:type="dxa"/>
          </w:tcPr>
          <w:p w14:paraId="65B648BF" w14:textId="77777777" w:rsidR="00837586" w:rsidRDefault="00837586" w:rsidP="001F6AA0">
            <w:pPr>
              <w:spacing w:before="0" w:after="0"/>
              <w:jc w:val="center"/>
            </w:pPr>
            <w:r>
              <w:t xml:space="preserve">80.9 </w:t>
            </w:r>
            <w:r>
              <w:rPr>
                <w:rFonts w:cs="Times New Roman"/>
              </w:rPr>
              <w:t>±</w:t>
            </w:r>
            <w:r>
              <w:t xml:space="preserve"> 2.8</w:t>
            </w:r>
          </w:p>
        </w:tc>
        <w:tc>
          <w:tcPr>
            <w:tcW w:w="2091" w:type="dxa"/>
          </w:tcPr>
          <w:p w14:paraId="1D11BAB4" w14:textId="77777777" w:rsidR="00837586" w:rsidRDefault="00837586" w:rsidP="001F6AA0">
            <w:pPr>
              <w:spacing w:before="0" w:after="0"/>
              <w:jc w:val="center"/>
            </w:pPr>
            <w:r>
              <w:t xml:space="preserve">0.1818 </w:t>
            </w:r>
            <w:r>
              <w:rPr>
                <w:rFonts w:cs="Times New Roman"/>
              </w:rPr>
              <w:t>±</w:t>
            </w:r>
            <w:r>
              <w:t xml:space="preserve"> 0.0091</w:t>
            </w:r>
          </w:p>
        </w:tc>
        <w:tc>
          <w:tcPr>
            <w:tcW w:w="2092" w:type="dxa"/>
          </w:tcPr>
          <w:p w14:paraId="4C3453C5" w14:textId="77777777" w:rsidR="00837586" w:rsidRDefault="00837586" w:rsidP="001F6AA0">
            <w:pPr>
              <w:spacing w:before="0" w:after="0"/>
              <w:jc w:val="center"/>
            </w:pPr>
            <w:r>
              <w:t>0.99</w:t>
            </w:r>
          </w:p>
        </w:tc>
      </w:tr>
      <w:tr w:rsidR="00837586" w14:paraId="614220F1" w14:textId="77777777" w:rsidTr="001B6CCE">
        <w:tc>
          <w:tcPr>
            <w:tcW w:w="1668" w:type="dxa"/>
          </w:tcPr>
          <w:p w14:paraId="29A336AD" w14:textId="77777777" w:rsidR="00837586" w:rsidRDefault="00837586" w:rsidP="001F6AA0">
            <w:pPr>
              <w:spacing w:before="0" w:after="0"/>
              <w:jc w:val="center"/>
            </w:pPr>
            <w:r w:rsidRPr="00406F42">
              <w:rPr>
                <w:i/>
              </w:rPr>
              <w:t>H. uninervis</w:t>
            </w:r>
          </w:p>
        </w:tc>
        <w:tc>
          <w:tcPr>
            <w:tcW w:w="2514" w:type="dxa"/>
          </w:tcPr>
          <w:p w14:paraId="75754E81" w14:textId="77777777" w:rsidR="00837586" w:rsidRDefault="00837586" w:rsidP="001F6AA0">
            <w:pPr>
              <w:spacing w:before="0" w:after="0"/>
              <w:jc w:val="center"/>
            </w:pPr>
            <w:r>
              <w:t xml:space="preserve">22.7 </w:t>
            </w:r>
            <w:r w:rsidRPr="002761CE">
              <w:rPr>
                <w:rFonts w:cs="Times New Roman"/>
              </w:rPr>
              <w:sym w:font="Symbol" w:char="F0B0"/>
            </w:r>
            <w:r w:rsidRPr="002761CE">
              <w:rPr>
                <w:rFonts w:cs="Times New Roman"/>
              </w:rPr>
              <w:t>C</w:t>
            </w:r>
          </w:p>
        </w:tc>
        <w:tc>
          <w:tcPr>
            <w:tcW w:w="2091" w:type="dxa"/>
          </w:tcPr>
          <w:p w14:paraId="3051ABE4" w14:textId="77777777" w:rsidR="00837586" w:rsidRDefault="00837586" w:rsidP="001F6AA0">
            <w:pPr>
              <w:spacing w:before="0" w:after="0"/>
              <w:jc w:val="center"/>
            </w:pPr>
            <w:r>
              <w:t xml:space="preserve">146 </w:t>
            </w:r>
            <w:r>
              <w:rPr>
                <w:rFonts w:cs="Times New Roman"/>
              </w:rPr>
              <w:t>±</w:t>
            </w:r>
            <w:r>
              <w:t xml:space="preserve"> 10</w:t>
            </w:r>
          </w:p>
        </w:tc>
        <w:tc>
          <w:tcPr>
            <w:tcW w:w="2091" w:type="dxa"/>
          </w:tcPr>
          <w:p w14:paraId="483C1B93" w14:textId="77777777" w:rsidR="00837586" w:rsidRDefault="00837586" w:rsidP="001F6AA0">
            <w:pPr>
              <w:spacing w:before="0" w:after="0"/>
              <w:jc w:val="center"/>
            </w:pPr>
            <w:r>
              <w:t xml:space="preserve">0.256 </w:t>
            </w:r>
            <w:r>
              <w:rPr>
                <w:rFonts w:cs="Times New Roman"/>
              </w:rPr>
              <w:t>±</w:t>
            </w:r>
            <w:r>
              <w:t xml:space="preserve"> 0.018</w:t>
            </w:r>
          </w:p>
        </w:tc>
        <w:tc>
          <w:tcPr>
            <w:tcW w:w="2092" w:type="dxa"/>
          </w:tcPr>
          <w:p w14:paraId="44FAB6C3" w14:textId="77777777" w:rsidR="00837586" w:rsidRDefault="00837586" w:rsidP="001F6AA0">
            <w:pPr>
              <w:spacing w:before="0" w:after="0"/>
              <w:jc w:val="center"/>
            </w:pPr>
            <w:r>
              <w:t>0.98</w:t>
            </w:r>
          </w:p>
        </w:tc>
      </w:tr>
      <w:tr w:rsidR="00837586" w14:paraId="6E3788CD" w14:textId="77777777" w:rsidTr="001B6CCE">
        <w:tc>
          <w:tcPr>
            <w:tcW w:w="1668" w:type="dxa"/>
          </w:tcPr>
          <w:p w14:paraId="40F6B00B" w14:textId="77777777" w:rsidR="00837586" w:rsidRDefault="00837586" w:rsidP="001F6AA0">
            <w:pPr>
              <w:spacing w:before="0" w:after="0"/>
              <w:jc w:val="center"/>
            </w:pPr>
            <w:r w:rsidRPr="00406F42">
              <w:rPr>
                <w:i/>
              </w:rPr>
              <w:t>H. uninervis</w:t>
            </w:r>
          </w:p>
        </w:tc>
        <w:tc>
          <w:tcPr>
            <w:tcW w:w="2514" w:type="dxa"/>
          </w:tcPr>
          <w:p w14:paraId="52CC5E73" w14:textId="77777777" w:rsidR="00837586" w:rsidRDefault="00837586" w:rsidP="001F6AA0">
            <w:pPr>
              <w:spacing w:before="0" w:after="0"/>
              <w:jc w:val="center"/>
            </w:pPr>
            <w:r>
              <w:t xml:space="preserve">27.7 </w:t>
            </w:r>
            <w:r w:rsidRPr="002761CE">
              <w:rPr>
                <w:rFonts w:cs="Times New Roman"/>
              </w:rPr>
              <w:sym w:font="Symbol" w:char="F0B0"/>
            </w:r>
            <w:r w:rsidRPr="002761CE">
              <w:rPr>
                <w:rFonts w:cs="Times New Roman"/>
              </w:rPr>
              <w:t>C</w:t>
            </w:r>
          </w:p>
        </w:tc>
        <w:tc>
          <w:tcPr>
            <w:tcW w:w="2091" w:type="dxa"/>
          </w:tcPr>
          <w:p w14:paraId="0550546C" w14:textId="77777777" w:rsidR="00837586" w:rsidRDefault="00837586" w:rsidP="001F6AA0">
            <w:pPr>
              <w:spacing w:before="0" w:after="0"/>
              <w:jc w:val="center"/>
            </w:pPr>
            <w:r>
              <w:t xml:space="preserve">68.7 </w:t>
            </w:r>
            <w:r>
              <w:rPr>
                <w:rFonts w:cs="Times New Roman"/>
              </w:rPr>
              <w:t>±</w:t>
            </w:r>
            <w:r>
              <w:t xml:space="preserve"> 4.1</w:t>
            </w:r>
          </w:p>
        </w:tc>
        <w:tc>
          <w:tcPr>
            <w:tcW w:w="2091" w:type="dxa"/>
          </w:tcPr>
          <w:p w14:paraId="75C36343" w14:textId="77777777" w:rsidR="00837586" w:rsidRDefault="00837586" w:rsidP="001F6AA0">
            <w:pPr>
              <w:spacing w:before="0" w:after="0"/>
              <w:jc w:val="center"/>
            </w:pPr>
            <w:r>
              <w:t xml:space="preserve">0.259 </w:t>
            </w:r>
            <w:r>
              <w:rPr>
                <w:rFonts w:cs="Times New Roman"/>
              </w:rPr>
              <w:t>±</w:t>
            </w:r>
            <w:r>
              <w:t xml:space="preserve"> 0.010</w:t>
            </w:r>
          </w:p>
        </w:tc>
        <w:tc>
          <w:tcPr>
            <w:tcW w:w="2092" w:type="dxa"/>
          </w:tcPr>
          <w:p w14:paraId="63C3EBBC" w14:textId="77777777" w:rsidR="00837586" w:rsidRDefault="00837586" w:rsidP="001F6AA0">
            <w:pPr>
              <w:spacing w:before="0" w:after="0"/>
              <w:jc w:val="center"/>
            </w:pPr>
            <w:r>
              <w:t>0.99</w:t>
            </w:r>
          </w:p>
        </w:tc>
      </w:tr>
      <w:tr w:rsidR="00837586" w14:paraId="24FB24B5" w14:textId="77777777" w:rsidTr="001B6CCE">
        <w:tc>
          <w:tcPr>
            <w:tcW w:w="1668" w:type="dxa"/>
          </w:tcPr>
          <w:p w14:paraId="638803D3" w14:textId="77777777" w:rsidR="00837586" w:rsidRPr="002C2024" w:rsidRDefault="00837586" w:rsidP="001F6AA0">
            <w:pPr>
              <w:spacing w:before="0" w:after="0"/>
              <w:jc w:val="center"/>
              <w:rPr>
                <w:i/>
              </w:rPr>
            </w:pPr>
            <w:r w:rsidRPr="002C2024">
              <w:rPr>
                <w:i/>
              </w:rPr>
              <w:t>Z. muelleri</w:t>
            </w:r>
          </w:p>
        </w:tc>
        <w:tc>
          <w:tcPr>
            <w:tcW w:w="2514" w:type="dxa"/>
          </w:tcPr>
          <w:p w14:paraId="7407B075" w14:textId="77777777" w:rsidR="00837586" w:rsidRDefault="00837586" w:rsidP="001F6AA0">
            <w:pPr>
              <w:spacing w:before="0" w:after="0"/>
              <w:jc w:val="center"/>
            </w:pPr>
            <w:r>
              <w:t xml:space="preserve">22.7 </w:t>
            </w:r>
            <w:r w:rsidRPr="002761CE">
              <w:rPr>
                <w:rFonts w:cs="Times New Roman"/>
              </w:rPr>
              <w:sym w:font="Symbol" w:char="F0B0"/>
            </w:r>
            <w:r w:rsidRPr="002761CE">
              <w:rPr>
                <w:rFonts w:cs="Times New Roman"/>
              </w:rPr>
              <w:t>C</w:t>
            </w:r>
          </w:p>
        </w:tc>
        <w:tc>
          <w:tcPr>
            <w:tcW w:w="2091" w:type="dxa"/>
          </w:tcPr>
          <w:p w14:paraId="66096D8A" w14:textId="77777777" w:rsidR="00837586" w:rsidRDefault="00837586" w:rsidP="001F6AA0">
            <w:pPr>
              <w:spacing w:before="0" w:after="0"/>
              <w:jc w:val="center"/>
            </w:pPr>
            <w:r>
              <w:t xml:space="preserve">48.5 </w:t>
            </w:r>
            <w:r>
              <w:rPr>
                <w:rFonts w:cs="Times New Roman"/>
              </w:rPr>
              <w:t>±</w:t>
            </w:r>
            <w:r>
              <w:t xml:space="preserve"> 6.2</w:t>
            </w:r>
          </w:p>
        </w:tc>
        <w:tc>
          <w:tcPr>
            <w:tcW w:w="2091" w:type="dxa"/>
          </w:tcPr>
          <w:p w14:paraId="12BC3CD9" w14:textId="77777777" w:rsidR="00837586" w:rsidRDefault="00837586" w:rsidP="001F6AA0">
            <w:pPr>
              <w:spacing w:before="0" w:after="0"/>
              <w:jc w:val="center"/>
            </w:pPr>
            <w:r>
              <w:t xml:space="preserve">0.437 </w:t>
            </w:r>
            <w:r>
              <w:rPr>
                <w:rFonts w:cs="Times New Roman"/>
              </w:rPr>
              <w:t>±</w:t>
            </w:r>
            <w:r>
              <w:t xml:space="preserve"> 0.051</w:t>
            </w:r>
          </w:p>
        </w:tc>
        <w:tc>
          <w:tcPr>
            <w:tcW w:w="2092" w:type="dxa"/>
          </w:tcPr>
          <w:p w14:paraId="5A771205" w14:textId="77777777" w:rsidR="00837586" w:rsidRDefault="00837586" w:rsidP="001F6AA0">
            <w:pPr>
              <w:spacing w:before="0" w:after="0"/>
              <w:jc w:val="center"/>
            </w:pPr>
            <w:r>
              <w:t>0.98</w:t>
            </w:r>
          </w:p>
        </w:tc>
      </w:tr>
      <w:tr w:rsidR="00837586" w14:paraId="76BC85D0" w14:textId="77777777" w:rsidTr="001B6CCE">
        <w:tc>
          <w:tcPr>
            <w:tcW w:w="1668" w:type="dxa"/>
          </w:tcPr>
          <w:p w14:paraId="51BBF3E4" w14:textId="77777777" w:rsidR="00837586" w:rsidRPr="002C2024" w:rsidRDefault="00837586" w:rsidP="001F6AA0">
            <w:pPr>
              <w:spacing w:before="0" w:after="0"/>
              <w:jc w:val="center"/>
              <w:rPr>
                <w:i/>
              </w:rPr>
            </w:pPr>
            <w:r w:rsidRPr="002C2024">
              <w:rPr>
                <w:i/>
              </w:rPr>
              <w:t>Z. muelleri</w:t>
            </w:r>
          </w:p>
        </w:tc>
        <w:tc>
          <w:tcPr>
            <w:tcW w:w="2514" w:type="dxa"/>
          </w:tcPr>
          <w:p w14:paraId="32885E40" w14:textId="77777777" w:rsidR="00837586" w:rsidRDefault="00837586" w:rsidP="001F6AA0">
            <w:pPr>
              <w:spacing w:before="0" w:after="0"/>
              <w:jc w:val="center"/>
            </w:pPr>
            <w:r>
              <w:t xml:space="preserve">27.7 </w:t>
            </w:r>
            <w:r w:rsidRPr="002761CE">
              <w:rPr>
                <w:rFonts w:cs="Times New Roman"/>
              </w:rPr>
              <w:sym w:font="Symbol" w:char="F0B0"/>
            </w:r>
            <w:r w:rsidRPr="002761CE">
              <w:rPr>
                <w:rFonts w:cs="Times New Roman"/>
              </w:rPr>
              <w:t>C</w:t>
            </w:r>
          </w:p>
        </w:tc>
        <w:tc>
          <w:tcPr>
            <w:tcW w:w="2091" w:type="dxa"/>
          </w:tcPr>
          <w:p w14:paraId="349490B9" w14:textId="77777777" w:rsidR="00837586" w:rsidRDefault="00837586" w:rsidP="001F6AA0">
            <w:pPr>
              <w:spacing w:before="0" w:after="0"/>
              <w:jc w:val="center"/>
            </w:pPr>
            <w:r>
              <w:t xml:space="preserve">28.1 </w:t>
            </w:r>
            <w:r>
              <w:rPr>
                <w:rFonts w:cs="Times New Roman"/>
              </w:rPr>
              <w:t>±</w:t>
            </w:r>
            <w:r>
              <w:t xml:space="preserve"> 2.4</w:t>
            </w:r>
          </w:p>
        </w:tc>
        <w:tc>
          <w:tcPr>
            <w:tcW w:w="2091" w:type="dxa"/>
          </w:tcPr>
          <w:p w14:paraId="4280CA05" w14:textId="77777777" w:rsidR="00837586" w:rsidRDefault="00837586" w:rsidP="001F6AA0">
            <w:pPr>
              <w:spacing w:before="0" w:after="0"/>
              <w:jc w:val="center"/>
            </w:pPr>
            <w:r>
              <w:t xml:space="preserve">0.267 </w:t>
            </w:r>
            <w:r>
              <w:rPr>
                <w:rFonts w:cs="Times New Roman"/>
              </w:rPr>
              <w:t>±</w:t>
            </w:r>
            <w:r>
              <w:t xml:space="preserve"> 0.022</w:t>
            </w:r>
          </w:p>
        </w:tc>
        <w:tc>
          <w:tcPr>
            <w:tcW w:w="2092" w:type="dxa"/>
          </w:tcPr>
          <w:p w14:paraId="61D30039" w14:textId="77777777" w:rsidR="00837586" w:rsidRDefault="00837586" w:rsidP="001F6AA0">
            <w:pPr>
              <w:keepNext/>
              <w:spacing w:before="0" w:after="0"/>
              <w:jc w:val="center"/>
            </w:pPr>
            <w:r>
              <w:t>0.98</w:t>
            </w:r>
          </w:p>
        </w:tc>
      </w:tr>
    </w:tbl>
    <w:p w14:paraId="3966671C" w14:textId="77777777" w:rsidR="00837586" w:rsidRPr="002C2024" w:rsidRDefault="00837586" w:rsidP="00837586">
      <w:pPr>
        <w:spacing w:after="0"/>
        <w:rPr>
          <w:i/>
          <w:sz w:val="12"/>
          <w:szCs w:val="12"/>
        </w:rPr>
      </w:pPr>
    </w:p>
    <w:p w14:paraId="7E2D6C1A" w14:textId="77777777" w:rsidR="00837586" w:rsidRPr="00D51B86" w:rsidRDefault="00837586" w:rsidP="00837586">
      <w:pPr>
        <w:rPr>
          <w:b/>
        </w:rPr>
      </w:pPr>
      <w:r>
        <w:rPr>
          <w:b/>
        </w:rPr>
        <w:t>Conclusio</w:t>
      </w:r>
      <w:r w:rsidRPr="00D51B86">
        <w:rPr>
          <w:b/>
        </w:rPr>
        <w:t>n</w:t>
      </w:r>
      <w:r>
        <w:rPr>
          <w:b/>
        </w:rPr>
        <w:t>s</w:t>
      </w:r>
    </w:p>
    <w:p w14:paraId="2F99149D" w14:textId="77777777" w:rsidR="00837586" w:rsidRDefault="00837586" w:rsidP="00837586">
      <w:r>
        <w:t>Based on the results of this analysis, the answer to the three questions posed in the Introduction are:</w:t>
      </w:r>
    </w:p>
    <w:p w14:paraId="1EB8858E" w14:textId="77777777" w:rsidR="00837586" w:rsidRDefault="00837586" w:rsidP="00837586">
      <w:pPr>
        <w:pStyle w:val="ListParagraph"/>
        <w:numPr>
          <w:ilvl w:val="0"/>
          <w:numId w:val="34"/>
        </w:numPr>
        <w:spacing w:before="0" w:after="160" w:line="259" w:lineRule="auto"/>
      </w:pPr>
      <w:r>
        <w:t>Photosynthesis-irradiance curves can potentially be used to predict seagrass growth and decline, if the growth and decline is temperature- and light-dependent. However, temperature-dependence of other carbon losses by seagrass may also need to be accounted for.</w:t>
      </w:r>
    </w:p>
    <w:p w14:paraId="27E86D1B" w14:textId="77777777" w:rsidR="00837586" w:rsidRDefault="00837586" w:rsidP="00837586">
      <w:pPr>
        <w:pStyle w:val="ListParagraph"/>
        <w:numPr>
          <w:ilvl w:val="0"/>
          <w:numId w:val="34"/>
        </w:numPr>
        <w:spacing w:before="0" w:after="160" w:line="259" w:lineRule="auto"/>
      </w:pPr>
      <w:r>
        <w:t>A preliminary estimate of the time to complete shoot loss for the three seagrass species tested, for several light and two temperature values, can be predicted used the equation t</w:t>
      </w:r>
      <w:r w:rsidRPr="00406F42">
        <w:rPr>
          <w:vertAlign w:val="subscript"/>
        </w:rPr>
        <w:t>loss</w:t>
      </w:r>
      <w:r w:rsidRPr="00406F42">
        <w:t xml:space="preserve"> = </w:t>
      </w:r>
      <w:r>
        <w:t>t</w:t>
      </w:r>
      <w:r w:rsidRPr="00406F42">
        <w:rPr>
          <w:vertAlign w:val="subscript"/>
        </w:rPr>
        <w:t>0</w:t>
      </w:r>
      <w:r w:rsidRPr="00406F42">
        <w:t xml:space="preserve"> exp(k I)</w:t>
      </w:r>
      <w:r>
        <w:t xml:space="preserve"> and the parameters shown in Table 1.</w:t>
      </w:r>
    </w:p>
    <w:p w14:paraId="1AAE7A74" w14:textId="77777777" w:rsidR="00837586" w:rsidRDefault="00837586" w:rsidP="00837586">
      <w:pPr>
        <w:pStyle w:val="ListParagraph"/>
        <w:numPr>
          <w:ilvl w:val="0"/>
          <w:numId w:val="34"/>
        </w:numPr>
        <w:spacing w:before="0" w:after="160" w:line="259" w:lineRule="auto"/>
      </w:pPr>
      <w:r>
        <w:t xml:space="preserve">Most experiments investigating seagrass responses to light, including the experiments used to calibrate the model presented here, focus on decline but rarely consider recovery (McMahon et al. 2011 is a notable field-based exception). Thus measurements of </w:t>
      </w:r>
      <w:r w:rsidRPr="007D67F0">
        <w:rPr>
          <w:i/>
        </w:rPr>
        <w:t>recovery</w:t>
      </w:r>
      <w:r>
        <w:t xml:space="preserve"> trajectories of seagrass shoot density and/or biomass are needed in order to parameterise a predictive model of seagrass growth and decline. </w:t>
      </w:r>
    </w:p>
    <w:p w14:paraId="329C7F38" w14:textId="77777777" w:rsidR="00837586" w:rsidRDefault="00837586" w:rsidP="00837586">
      <w:r>
        <w:t>Future laboratory experiments that investigate recovery trajectories for the three tropical seagrass species investigated here (</w:t>
      </w:r>
      <w:r>
        <w:rPr>
          <w:i/>
        </w:rPr>
        <w:t xml:space="preserve">C. </w:t>
      </w:r>
      <w:r w:rsidRPr="00A34860">
        <w:rPr>
          <w:i/>
        </w:rPr>
        <w:t>serrulata</w:t>
      </w:r>
      <w:r>
        <w:t xml:space="preserve">, </w:t>
      </w:r>
      <w:r w:rsidRPr="00A34860">
        <w:rPr>
          <w:i/>
        </w:rPr>
        <w:t>H</w:t>
      </w:r>
      <w:r>
        <w:rPr>
          <w:i/>
        </w:rPr>
        <w:t>.</w:t>
      </w:r>
      <w:r w:rsidRPr="00A34860">
        <w:rPr>
          <w:i/>
        </w:rPr>
        <w:t xml:space="preserve"> uninervis</w:t>
      </w:r>
      <w:r>
        <w:t xml:space="preserve">, and </w:t>
      </w:r>
      <w:r w:rsidRPr="00A34860">
        <w:rPr>
          <w:i/>
        </w:rPr>
        <w:t>Z</w:t>
      </w:r>
      <w:r>
        <w:rPr>
          <w:i/>
        </w:rPr>
        <w:t>.</w:t>
      </w:r>
      <w:r w:rsidRPr="00A34860">
        <w:rPr>
          <w:i/>
        </w:rPr>
        <w:t xml:space="preserve"> muelleri</w:t>
      </w:r>
      <w:r>
        <w:t>) may expand the capabilities of the presented model to predict growth trajectories, in addition to decline trajectories.</w:t>
      </w:r>
    </w:p>
    <w:p w14:paraId="38C96155" w14:textId="77777777" w:rsidR="00837586" w:rsidRDefault="00837586" w:rsidP="00837586"/>
    <w:p w14:paraId="20A7D97D" w14:textId="77777777" w:rsidR="00837586" w:rsidRPr="007D69EC" w:rsidRDefault="00837586" w:rsidP="00837586">
      <w:pPr>
        <w:rPr>
          <w:b/>
        </w:rPr>
      </w:pPr>
      <w:r w:rsidRPr="007D69EC">
        <w:rPr>
          <w:b/>
        </w:rPr>
        <w:t>References</w:t>
      </w:r>
    </w:p>
    <w:p w14:paraId="624F618E" w14:textId="77777777" w:rsidR="00837586" w:rsidRDefault="00837586" w:rsidP="00837586">
      <w:pPr>
        <w:ind w:left="567" w:hanging="567"/>
        <w:contextualSpacing/>
      </w:pPr>
      <w:r>
        <w:t xml:space="preserve">Adams, M. P., Collier. C. J., Uthicke, S., Ow, Y. X., Langlois, L., O’Brien, K. R. (2017): Model fit versus biological relevance: Evaluating photosynthesis-temperature models for three tropical seagrass species. </w:t>
      </w:r>
      <w:r w:rsidRPr="006F2065">
        <w:rPr>
          <w:i/>
        </w:rPr>
        <w:t>Scientific Reports</w:t>
      </w:r>
      <w:r>
        <w:t xml:space="preserve"> </w:t>
      </w:r>
      <w:r w:rsidRPr="006F2065">
        <w:rPr>
          <w:b/>
        </w:rPr>
        <w:t>7</w:t>
      </w:r>
      <w:r>
        <w:t>:39930.</w:t>
      </w:r>
    </w:p>
    <w:p w14:paraId="1A5E79ED" w14:textId="77777777" w:rsidR="00837586" w:rsidRDefault="00837586" w:rsidP="00837586">
      <w:pPr>
        <w:ind w:left="567" w:hanging="567"/>
        <w:contextualSpacing/>
      </w:pPr>
      <w:r>
        <w:t xml:space="preserve">Anthony, K. R. N., Hoogenboom, M. O., Maynard, J. A., Grottoli, A. G., Middlebrook, R. (2009): Energetics approach to predicting mortality risk from environmental stress: a case study of coral bleaching. </w:t>
      </w:r>
      <w:r w:rsidRPr="004F7872">
        <w:rPr>
          <w:i/>
        </w:rPr>
        <w:t>Functional Ecology</w:t>
      </w:r>
      <w:r>
        <w:t xml:space="preserve"> </w:t>
      </w:r>
      <w:r w:rsidRPr="004F7872">
        <w:rPr>
          <w:b/>
        </w:rPr>
        <w:t>23</w:t>
      </w:r>
      <w:r>
        <w:t>: 539-550.</w:t>
      </w:r>
    </w:p>
    <w:p w14:paraId="35783DCF" w14:textId="77777777" w:rsidR="00837586" w:rsidRDefault="00837586" w:rsidP="00837586">
      <w:pPr>
        <w:ind w:left="567" w:hanging="567"/>
        <w:contextualSpacing/>
        <w:rPr>
          <w:lang w:val="en-GB"/>
        </w:rPr>
      </w:pPr>
      <w:r>
        <w:rPr>
          <w:lang w:val="en-GB"/>
        </w:rPr>
        <w:t xml:space="preserve">Baird, M. E., Adams, M. P., Babcock, R. C., Oubelkheir, K., Mongin, M., Wild-Allen, K. A., Skerratt, J., Robson, B. J., Petrou, K., Ralph, P. J., O’Brien, K. R., Carter, A. B., Jarvis, J. C., Rasheed, M. A. (2016a): A biophysical representation of seagrass growth for application in a complex shallow-water biogeochemical model. </w:t>
      </w:r>
      <w:r w:rsidRPr="002C2024">
        <w:rPr>
          <w:i/>
          <w:lang w:val="en-GB"/>
        </w:rPr>
        <w:t>Ecological Modelling</w:t>
      </w:r>
      <w:r>
        <w:rPr>
          <w:lang w:val="en-GB"/>
        </w:rPr>
        <w:t xml:space="preserve"> </w:t>
      </w:r>
      <w:r w:rsidRPr="002C2024">
        <w:rPr>
          <w:b/>
          <w:lang w:val="en-GB"/>
        </w:rPr>
        <w:t>325</w:t>
      </w:r>
      <w:r>
        <w:rPr>
          <w:lang w:val="en-GB"/>
        </w:rPr>
        <w:t>: 13-27.</w:t>
      </w:r>
    </w:p>
    <w:p w14:paraId="60E7F754" w14:textId="77777777" w:rsidR="00837586" w:rsidRDefault="00837586" w:rsidP="00837586">
      <w:pPr>
        <w:ind w:left="567" w:hanging="567"/>
        <w:contextualSpacing/>
        <w:rPr>
          <w:lang w:val="en-GB"/>
        </w:rPr>
      </w:pPr>
      <w:r>
        <w:rPr>
          <w:lang w:val="en-GB"/>
        </w:rPr>
        <w:t xml:space="preserve">Baird, M. E., Cherukuru, N., Jones, E., Margvelashvili, N., Mongin, M., Oubelkheir, K., Ralph, P. J., Rizwi, F., Robson, B. J., Schroeder, T., Skerratt, J., Steven, A. D. L., Wild-Allen, K. A. (2016): Remote-sensing reflectance and true colour produced by a coupled hydrodynamic, optical, sediment, biogeochemical model of the Great Barrier Reef, Australia: Comparison with satellite data. </w:t>
      </w:r>
      <w:r w:rsidRPr="002C2024">
        <w:rPr>
          <w:i/>
          <w:lang w:val="en-GB"/>
        </w:rPr>
        <w:t>Environmental Modelling and Software</w:t>
      </w:r>
      <w:r>
        <w:rPr>
          <w:lang w:val="en-GB"/>
        </w:rPr>
        <w:t xml:space="preserve"> </w:t>
      </w:r>
      <w:r w:rsidRPr="002C2024">
        <w:rPr>
          <w:b/>
          <w:lang w:val="en-GB"/>
        </w:rPr>
        <w:t>78</w:t>
      </w:r>
      <w:r>
        <w:rPr>
          <w:lang w:val="en-GB"/>
        </w:rPr>
        <w:t>: 79-96.</w:t>
      </w:r>
    </w:p>
    <w:p w14:paraId="3E083625" w14:textId="77777777" w:rsidR="00837586" w:rsidRDefault="00837586" w:rsidP="00837586">
      <w:pPr>
        <w:ind w:left="567" w:hanging="567"/>
        <w:contextualSpacing/>
      </w:pPr>
      <w:r>
        <w:rPr>
          <w:lang w:val="en-GB"/>
        </w:rPr>
        <w:t xml:space="preserve">Collier, C. J., Adams, M. P., Langlois, L., Waycott, M., O’Brien, K. R., Maxwell, P. S., McKenzie, L. (2016): Thresholds for morphological response to light reduction for four tropical seagrass species. </w:t>
      </w:r>
      <w:r w:rsidRPr="004F7872">
        <w:rPr>
          <w:i/>
          <w:lang w:val="en-GB"/>
        </w:rPr>
        <w:t>Ecological Indicators</w:t>
      </w:r>
      <w:r>
        <w:rPr>
          <w:lang w:val="en-GB"/>
        </w:rPr>
        <w:t xml:space="preserve"> </w:t>
      </w:r>
      <w:r w:rsidRPr="004F7872">
        <w:rPr>
          <w:b/>
          <w:lang w:val="en-GB"/>
        </w:rPr>
        <w:t>67</w:t>
      </w:r>
      <w:r>
        <w:rPr>
          <w:lang w:val="en-GB"/>
        </w:rPr>
        <w:t>: 358-366.</w:t>
      </w:r>
    </w:p>
    <w:p w14:paraId="5C12011B" w14:textId="77777777" w:rsidR="00837586" w:rsidRDefault="00837586" w:rsidP="00837586">
      <w:pPr>
        <w:ind w:left="567" w:hanging="567"/>
        <w:contextualSpacing/>
      </w:pPr>
      <w:r>
        <w:t xml:space="preserve">Collier, C. J., Ow, Y. X., Langlois, L., Uthicke, S., Johansson, C. L., O’Brien, K. R., Hrebien, V., Adams, M. P. (2017): Optimum temperatures for net primary productivity of three tropical seagrass species. </w:t>
      </w:r>
      <w:r w:rsidRPr="004F7872">
        <w:rPr>
          <w:i/>
        </w:rPr>
        <w:t>Frontiers in Plant Science</w:t>
      </w:r>
      <w:r>
        <w:t xml:space="preserve"> </w:t>
      </w:r>
      <w:r w:rsidRPr="004F7872">
        <w:rPr>
          <w:b/>
        </w:rPr>
        <w:t>8</w:t>
      </w:r>
      <w:r>
        <w:t>:1446.</w:t>
      </w:r>
    </w:p>
    <w:p w14:paraId="39C15694" w14:textId="77777777" w:rsidR="00837586" w:rsidRDefault="00837586" w:rsidP="00837586">
      <w:pPr>
        <w:ind w:left="567" w:hanging="567"/>
        <w:contextualSpacing/>
      </w:pPr>
      <w:r>
        <w:t xml:space="preserve">Collier, C. J., Waycott, M., McKenzie, L. J. (2012): Light thresholds derived from seagrass loss in the coastal zone of the northern Great Barrier Reef, Australia. </w:t>
      </w:r>
      <w:r w:rsidRPr="00647EEA">
        <w:rPr>
          <w:i/>
        </w:rPr>
        <w:t>Ecological Indicators</w:t>
      </w:r>
      <w:r>
        <w:t xml:space="preserve"> </w:t>
      </w:r>
      <w:r w:rsidRPr="00647EEA">
        <w:rPr>
          <w:b/>
        </w:rPr>
        <w:t>23</w:t>
      </w:r>
      <w:r>
        <w:t>:211-219.</w:t>
      </w:r>
    </w:p>
    <w:p w14:paraId="49234993" w14:textId="77777777" w:rsidR="00837586" w:rsidRDefault="00837586" w:rsidP="00837586">
      <w:pPr>
        <w:ind w:left="567" w:hanging="567"/>
        <w:contextualSpacing/>
      </w:pPr>
      <w:r>
        <w:t xml:space="preserve">Kaldy, J. (2012): Influence of light, temperature and salinity on dissolved organic carbon exudation rates in </w:t>
      </w:r>
      <w:r w:rsidRPr="00A93D12">
        <w:rPr>
          <w:i/>
        </w:rPr>
        <w:t>Zostera marina</w:t>
      </w:r>
      <w:r>
        <w:t xml:space="preserve"> L. </w:t>
      </w:r>
      <w:r w:rsidRPr="004F7872">
        <w:rPr>
          <w:i/>
        </w:rPr>
        <w:t>Aquatic Biosystems</w:t>
      </w:r>
      <w:r>
        <w:t xml:space="preserve"> </w:t>
      </w:r>
      <w:r w:rsidRPr="004F7872">
        <w:rPr>
          <w:b/>
        </w:rPr>
        <w:t>8</w:t>
      </w:r>
      <w:r>
        <w:t>:19.</w:t>
      </w:r>
    </w:p>
    <w:p w14:paraId="69CA7620" w14:textId="77777777" w:rsidR="00837586" w:rsidRDefault="00837586" w:rsidP="00837586">
      <w:pPr>
        <w:ind w:left="567" w:hanging="567"/>
        <w:contextualSpacing/>
      </w:pPr>
      <w:r>
        <w:t xml:space="preserve">Lee, K.-S., Park, S. R., Kim, Y. K. (2007): Effects of irradiance, temperature, and nutrients on growth dynamics of seagrass: A review. </w:t>
      </w:r>
      <w:r w:rsidRPr="004F7872">
        <w:rPr>
          <w:i/>
        </w:rPr>
        <w:t>Journal of Experimental Marine Biology and Ecology</w:t>
      </w:r>
      <w:r>
        <w:t xml:space="preserve"> </w:t>
      </w:r>
      <w:r w:rsidRPr="004F7872">
        <w:rPr>
          <w:b/>
        </w:rPr>
        <w:t>350</w:t>
      </w:r>
      <w:r>
        <w:t>: 144-175.</w:t>
      </w:r>
    </w:p>
    <w:p w14:paraId="17228EC8" w14:textId="77777777" w:rsidR="00837586" w:rsidRDefault="00837586" w:rsidP="00837586">
      <w:pPr>
        <w:ind w:left="567" w:hanging="567"/>
        <w:contextualSpacing/>
      </w:pPr>
      <w:r>
        <w:t xml:space="preserve">McKenzie, L., Collier, C., Langlois, L., Yoshida, R., Smith, N., Waycott, M. (2016): </w:t>
      </w:r>
      <w:r w:rsidRPr="00251752">
        <w:rPr>
          <w:i/>
        </w:rPr>
        <w:t>Marine Monitoring Program. Annual Report for inshore seagrass monitoring: 2014 to 2015</w:t>
      </w:r>
      <w:r>
        <w:t>. Report for the Great Barrier Reef Marine Park Authority. TropWATER, James Cook University, Cairns (236pp.).</w:t>
      </w:r>
    </w:p>
    <w:p w14:paraId="23CC4A60" w14:textId="77777777" w:rsidR="00837586" w:rsidRDefault="00837586" w:rsidP="00837586">
      <w:pPr>
        <w:ind w:left="567" w:hanging="567"/>
        <w:contextualSpacing/>
      </w:pPr>
      <w:r>
        <w:t xml:space="preserve">McMahon, K., Lavery, P. S., Mulligan, M. (2011): Recovery from the impact of light reduction on the seagrass </w:t>
      </w:r>
      <w:r w:rsidRPr="009C79AE">
        <w:rPr>
          <w:i/>
        </w:rPr>
        <w:t>Amphibolis griffithii</w:t>
      </w:r>
      <w:r>
        <w:t xml:space="preserve">, insights for dredging management. </w:t>
      </w:r>
      <w:r w:rsidRPr="004F7872">
        <w:rPr>
          <w:i/>
        </w:rPr>
        <w:t>Marine Pollution Bulletin</w:t>
      </w:r>
      <w:r>
        <w:t xml:space="preserve"> </w:t>
      </w:r>
      <w:r w:rsidRPr="004F7872">
        <w:rPr>
          <w:b/>
        </w:rPr>
        <w:t>62</w:t>
      </w:r>
      <w:r>
        <w:t>: 270-283.</w:t>
      </w:r>
    </w:p>
    <w:p w14:paraId="6F4E15CC" w14:textId="77777777" w:rsidR="00837586" w:rsidRDefault="00837586" w:rsidP="00837586">
      <w:pPr>
        <w:ind w:left="567" w:hanging="567"/>
        <w:contextualSpacing/>
      </w:pPr>
      <w:r>
        <w:t xml:space="preserve">Poorter, H., Anten, N. P. R., Marcelis, L. F. M. (2013): Physiological mechanisms in plant growth models: do we need a supra-cellular systems biology approach? </w:t>
      </w:r>
      <w:r w:rsidRPr="004F7872">
        <w:rPr>
          <w:i/>
        </w:rPr>
        <w:t>Plant, Cell &amp; Environment</w:t>
      </w:r>
      <w:r>
        <w:t xml:space="preserve"> </w:t>
      </w:r>
      <w:r w:rsidRPr="004F7872">
        <w:rPr>
          <w:b/>
        </w:rPr>
        <w:t>36</w:t>
      </w:r>
      <w:r>
        <w:t>: 1673-1690.</w:t>
      </w:r>
    </w:p>
    <w:p w14:paraId="21A7138B" w14:textId="77777777" w:rsidR="00837586" w:rsidRDefault="00837586" w:rsidP="00837586">
      <w:pPr>
        <w:ind w:left="567" w:hanging="567"/>
        <w:sectPr w:rsidR="00837586" w:rsidSect="001B6CCE">
          <w:pgSz w:w="11906" w:h="16838"/>
          <w:pgMar w:top="720" w:right="720" w:bottom="720" w:left="720" w:header="708" w:footer="708" w:gutter="0"/>
          <w:cols w:space="708"/>
          <w:docGrid w:linePitch="360"/>
        </w:sectPr>
      </w:pPr>
    </w:p>
    <w:p w14:paraId="21A58CA5" w14:textId="77777777" w:rsidR="00837586" w:rsidRPr="007D69EC" w:rsidRDefault="00837586" w:rsidP="00837586">
      <w:pPr>
        <w:rPr>
          <w:b/>
          <w:sz w:val="28"/>
          <w:szCs w:val="28"/>
        </w:rPr>
      </w:pPr>
      <w:r w:rsidRPr="007D69EC">
        <w:rPr>
          <w:b/>
          <w:sz w:val="28"/>
          <w:szCs w:val="28"/>
        </w:rPr>
        <w:t>Case study</w:t>
      </w:r>
      <w:r>
        <w:rPr>
          <w:b/>
          <w:sz w:val="28"/>
          <w:szCs w:val="28"/>
        </w:rPr>
        <w:t xml:space="preserve"> #2</w:t>
      </w:r>
      <w:r w:rsidRPr="007D69EC">
        <w:rPr>
          <w:b/>
          <w:sz w:val="28"/>
          <w:szCs w:val="28"/>
        </w:rPr>
        <w:t xml:space="preserve">: </w:t>
      </w:r>
      <w:r>
        <w:rPr>
          <w:b/>
          <w:sz w:val="28"/>
          <w:szCs w:val="28"/>
        </w:rPr>
        <w:t>Evaluating temperature thresholds for risk of seagrass decline</w:t>
      </w:r>
    </w:p>
    <w:p w14:paraId="671164EA" w14:textId="77777777" w:rsidR="00837586" w:rsidRDefault="00837586" w:rsidP="00837586">
      <w:r w:rsidRPr="008847C3">
        <w:t>Matthew P. Adams</w:t>
      </w:r>
      <w:r w:rsidRPr="00CF7975">
        <w:rPr>
          <w:vertAlign w:val="superscript"/>
        </w:rPr>
        <w:t>1</w:t>
      </w:r>
      <w:r w:rsidRPr="008847C3">
        <w:t>, Catherine J. Collier</w:t>
      </w:r>
      <w:r w:rsidRPr="00CF7975">
        <w:rPr>
          <w:vertAlign w:val="superscript"/>
        </w:rPr>
        <w:t>2</w:t>
      </w:r>
      <w:r w:rsidRPr="008847C3">
        <w:t>, Len J. McKenzie</w:t>
      </w:r>
      <w:r w:rsidRPr="00CF7975">
        <w:rPr>
          <w:vertAlign w:val="superscript"/>
        </w:rPr>
        <w:t>2</w:t>
      </w:r>
      <w:r w:rsidRPr="008847C3">
        <w:t>, Kate R. O’Brien</w:t>
      </w:r>
      <w:r w:rsidRPr="00CF7975">
        <w:rPr>
          <w:vertAlign w:val="superscript"/>
        </w:rPr>
        <w:t>1</w:t>
      </w:r>
    </w:p>
    <w:p w14:paraId="21595015" w14:textId="77777777" w:rsidR="00837586" w:rsidRDefault="00837586" w:rsidP="00837586">
      <w:r w:rsidRPr="006137FE">
        <w:rPr>
          <w:vertAlign w:val="superscript"/>
        </w:rPr>
        <w:t>1</w:t>
      </w:r>
      <w:r>
        <w:t>School of Chemical Engineering, The University of Queensland, Brisbane, Australia</w:t>
      </w:r>
      <w:r>
        <w:br/>
      </w:r>
      <w:r w:rsidRPr="006137FE">
        <w:rPr>
          <w:vertAlign w:val="superscript"/>
        </w:rPr>
        <w:t>2</w:t>
      </w:r>
      <w:r>
        <w:t>Centre for Tropical Water &amp; Aquatic Ecosystem Research (TropWATER), James Cook University, Cairns, Australia</w:t>
      </w:r>
    </w:p>
    <w:p w14:paraId="7A61FEC1" w14:textId="77777777" w:rsidR="00837586" w:rsidRDefault="00837586" w:rsidP="00837586"/>
    <w:p w14:paraId="1C773D1C" w14:textId="77777777" w:rsidR="00837586" w:rsidRPr="00882146" w:rsidRDefault="00837586" w:rsidP="00837586">
      <w:pPr>
        <w:rPr>
          <w:b/>
        </w:rPr>
      </w:pPr>
      <w:r w:rsidRPr="00882146">
        <w:rPr>
          <w:b/>
        </w:rPr>
        <w:t>Introduction</w:t>
      </w:r>
    </w:p>
    <w:p w14:paraId="25700C8D" w14:textId="3EBF3AB5" w:rsidR="00837586" w:rsidRDefault="00837586" w:rsidP="00837586">
      <w:r>
        <w:t>Elevated temperatures represent an increasing threat to seagrass survival in the Great Barrier Reef (Collier et al. 2011). Even if light levels are sufficient for seagrass survival (reviewed in Collier et al. 2016), elevated temperatures can cause irreparable damage to seagrass (Campbell et al. 2006) and lead to complete mortality within days (Collier and Waycott 2014). Since elevated temperatures pose a threat to seagrass in the Great Barrier Reef, the MMP Annual Report for Inshore Seagrass Monitoring (e.g. McKenzie et al. 2016) reports the number of days each year that inshore seawater temperatures exceed 35</w:t>
      </w:r>
      <w:r>
        <w:sym w:font="Symbol" w:char="F0B0"/>
      </w:r>
      <w:r>
        <w:t>C, 38</w:t>
      </w:r>
      <w:r>
        <w:sym w:font="Symbol" w:char="F0B0"/>
      </w:r>
      <w:r>
        <w:t>C, 40</w:t>
      </w:r>
      <w:r>
        <w:sym w:font="Symbol" w:char="F0B0"/>
      </w:r>
      <w:r>
        <w:t>C and 43</w:t>
      </w:r>
      <w:r>
        <w:sym w:font="Symbol" w:char="F0B0"/>
      </w:r>
      <w:r>
        <w:t xml:space="preserve">C in each NRM region. These temperature thresholds are adapted from two studies (Campbell et al. 2006; Collier et al. 2014), each of which investigated seagrass photosynthetic yield and morphological responses at four temperature levels. More recently, optimum and maximum temperatures for </w:t>
      </w:r>
      <w:r w:rsidR="007F6948">
        <w:t>Great Barrier Reef</w:t>
      </w:r>
      <w:r>
        <w:t xml:space="preserve"> seagrasses have been calculated from measurements of their productivity at a wide range of temperatures (Adams et al. 2017; Collier et al. 2017).</w:t>
      </w:r>
    </w:p>
    <w:p w14:paraId="569E4B99" w14:textId="77777777" w:rsidR="00837586" w:rsidRPr="00882146" w:rsidRDefault="00837586" w:rsidP="00837586">
      <w:pPr>
        <w:rPr>
          <w:b/>
        </w:rPr>
      </w:pPr>
      <w:r w:rsidRPr="00882146">
        <w:rPr>
          <w:b/>
        </w:rPr>
        <w:t>Aim</w:t>
      </w:r>
      <w:r>
        <w:rPr>
          <w:b/>
        </w:rPr>
        <w:t xml:space="preserve"> and Results</w:t>
      </w:r>
    </w:p>
    <w:p w14:paraId="1CFB1F67" w14:textId="493BF890" w:rsidR="001F6AA0" w:rsidRPr="001F6AA0" w:rsidRDefault="00837586" w:rsidP="00837586">
      <w:r>
        <w:t xml:space="preserve">The purpose of this case study is to evaluate the temperature thresholds that are most relevant for assessing risk of seagrass decline in the </w:t>
      </w:r>
      <w:r w:rsidR="007F6948">
        <w:t>Great Barrier Reef</w:t>
      </w:r>
      <w:r>
        <w:t xml:space="preserve"> due to elevated temperatures, based on the most up-to-date research. The results are presented in Table 1 for five different temperature thresholds ranging from physiological measures on the left (e.g. photosynthetic yield) to morphological measures on the right (e.g. changes in leaf density).</w:t>
      </w:r>
    </w:p>
    <w:p w14:paraId="11C70646" w14:textId="1CBB78BE" w:rsidR="00837586" w:rsidRDefault="001F6AA0" w:rsidP="00837586">
      <w:r w:rsidRPr="00E01836">
        <w:rPr>
          <w:b/>
        </w:rPr>
        <w:t xml:space="preserve">Table 1. </w:t>
      </w:r>
      <w:r>
        <w:t xml:space="preserve">Summary of temperature thresholds published for </w:t>
      </w:r>
      <w:r w:rsidR="007F6948">
        <w:t>Great Barrier Reef</w:t>
      </w:r>
      <w:r>
        <w:t xml:space="preserve"> seagrasses. From left to right, temperature thresholds change from physiological to morphological. </w:t>
      </w:r>
      <w:r>
        <w:rPr>
          <w:vertAlign w:val="superscript"/>
        </w:rPr>
        <w:t>1</w:t>
      </w:r>
      <w:r>
        <w:t xml:space="preserve">Campbell et al. 2006; </w:t>
      </w:r>
      <w:r>
        <w:rPr>
          <w:vertAlign w:val="superscript"/>
        </w:rPr>
        <w:t>2</w:t>
      </w:r>
      <w:r>
        <w:t xml:space="preserve">Adams et al. 2017 (Table 4); </w:t>
      </w:r>
      <w:r>
        <w:rPr>
          <w:vertAlign w:val="superscript"/>
        </w:rPr>
        <w:t>3</w:t>
      </w:r>
      <w:r>
        <w:t xml:space="preserve">Collier et al. 2017 (Supplementary Table S1.2); </w:t>
      </w:r>
      <w:r>
        <w:rPr>
          <w:vertAlign w:val="superscript"/>
        </w:rPr>
        <w:t>4</w:t>
      </w:r>
      <w:r>
        <w:t xml:space="preserve">Collier et al. 2011 (Figure 4); </w:t>
      </w:r>
      <w:r w:rsidRPr="002E153D">
        <w:rPr>
          <w:vertAlign w:val="superscript"/>
        </w:rPr>
        <w:t>5</w:t>
      </w:r>
      <w:r>
        <w:t>Collier &amp; Waycott 2014 (Figure 3).</w:t>
      </w:r>
    </w:p>
    <w:tbl>
      <w:tblPr>
        <w:tblStyle w:val="TableGrid"/>
        <w:tblW w:w="0" w:type="auto"/>
        <w:tblLook w:val="04A0" w:firstRow="1" w:lastRow="0" w:firstColumn="1" w:lastColumn="0" w:noHBand="0" w:noVBand="1"/>
        <w:tblDescription w:val="Table showing results of five different temperature thresholds ranging from physiological measures to morphological measures"/>
      </w:tblPr>
      <w:tblGrid>
        <w:gridCol w:w="1502"/>
        <w:gridCol w:w="1791"/>
        <w:gridCol w:w="1630"/>
        <w:gridCol w:w="1404"/>
        <w:gridCol w:w="1331"/>
        <w:gridCol w:w="1402"/>
      </w:tblGrid>
      <w:tr w:rsidR="00837586" w:rsidRPr="001F6AA0" w14:paraId="27D77AA2" w14:textId="77777777" w:rsidTr="00831DA4">
        <w:trPr>
          <w:tblHeader/>
        </w:trPr>
        <w:tc>
          <w:tcPr>
            <w:tcW w:w="1973" w:type="dxa"/>
            <w:vAlign w:val="center"/>
          </w:tcPr>
          <w:p w14:paraId="1B486F2B" w14:textId="77777777" w:rsidR="00837586" w:rsidRPr="001F6AA0" w:rsidRDefault="00837586" w:rsidP="001F6AA0">
            <w:pPr>
              <w:spacing w:before="0" w:after="0"/>
              <w:rPr>
                <w:b/>
                <w:sz w:val="20"/>
                <w:szCs w:val="20"/>
              </w:rPr>
            </w:pPr>
            <w:r w:rsidRPr="001F6AA0">
              <w:rPr>
                <w:b/>
                <w:sz w:val="20"/>
                <w:szCs w:val="20"/>
              </w:rPr>
              <w:t>Species</w:t>
            </w:r>
          </w:p>
        </w:tc>
        <w:tc>
          <w:tcPr>
            <w:tcW w:w="2232" w:type="dxa"/>
          </w:tcPr>
          <w:p w14:paraId="44DD7FE4" w14:textId="77777777" w:rsidR="00837586" w:rsidRPr="001F6AA0" w:rsidRDefault="00837586" w:rsidP="001F6AA0">
            <w:pPr>
              <w:spacing w:before="0" w:after="0"/>
              <w:jc w:val="center"/>
              <w:rPr>
                <w:b/>
                <w:sz w:val="20"/>
                <w:szCs w:val="20"/>
              </w:rPr>
            </w:pPr>
            <w:r w:rsidRPr="001F6AA0">
              <w:rPr>
                <w:b/>
                <w:sz w:val="20"/>
                <w:szCs w:val="20"/>
              </w:rPr>
              <w:t>Maximum temperature for no detrimental effect on photosynthetic yield</w:t>
            </w:r>
            <w:r w:rsidRPr="001F6AA0">
              <w:rPr>
                <w:b/>
                <w:sz w:val="20"/>
                <w:szCs w:val="20"/>
                <w:vertAlign w:val="superscript"/>
              </w:rPr>
              <w:t>1</w:t>
            </w:r>
          </w:p>
        </w:tc>
        <w:tc>
          <w:tcPr>
            <w:tcW w:w="1744" w:type="dxa"/>
          </w:tcPr>
          <w:p w14:paraId="00801B4F" w14:textId="77777777" w:rsidR="00837586" w:rsidRPr="001F6AA0" w:rsidRDefault="00837586" w:rsidP="001F6AA0">
            <w:pPr>
              <w:spacing w:before="0" w:after="0"/>
              <w:jc w:val="center"/>
              <w:rPr>
                <w:b/>
                <w:sz w:val="20"/>
                <w:szCs w:val="20"/>
              </w:rPr>
            </w:pPr>
            <w:r w:rsidRPr="001F6AA0">
              <w:rPr>
                <w:b/>
                <w:sz w:val="20"/>
                <w:szCs w:val="20"/>
              </w:rPr>
              <w:t>Optimum temperature for photosynthesis</w:t>
            </w:r>
            <w:r w:rsidRPr="001F6AA0">
              <w:rPr>
                <w:b/>
                <w:sz w:val="20"/>
                <w:szCs w:val="20"/>
                <w:vertAlign w:val="superscript"/>
              </w:rPr>
              <w:t>2</w:t>
            </w:r>
          </w:p>
        </w:tc>
        <w:tc>
          <w:tcPr>
            <w:tcW w:w="1559" w:type="dxa"/>
          </w:tcPr>
          <w:p w14:paraId="4DA45222" w14:textId="77777777" w:rsidR="00837586" w:rsidRPr="001F6AA0" w:rsidRDefault="00837586" w:rsidP="001F6AA0">
            <w:pPr>
              <w:spacing w:before="0" w:after="0"/>
              <w:jc w:val="center"/>
              <w:rPr>
                <w:b/>
                <w:sz w:val="20"/>
                <w:szCs w:val="20"/>
              </w:rPr>
            </w:pPr>
            <w:r w:rsidRPr="001F6AA0">
              <w:rPr>
                <w:b/>
                <w:sz w:val="20"/>
                <w:szCs w:val="20"/>
              </w:rPr>
              <w:t>Optimum temperature for net productivity</w:t>
            </w:r>
            <w:r w:rsidRPr="001F6AA0">
              <w:rPr>
                <w:b/>
                <w:sz w:val="20"/>
                <w:szCs w:val="20"/>
                <w:vertAlign w:val="superscript"/>
              </w:rPr>
              <w:t>3</w:t>
            </w:r>
          </w:p>
        </w:tc>
        <w:tc>
          <w:tcPr>
            <w:tcW w:w="1410" w:type="dxa"/>
          </w:tcPr>
          <w:p w14:paraId="33EFB12E" w14:textId="77777777" w:rsidR="00837586" w:rsidRPr="001F6AA0" w:rsidRDefault="00837586" w:rsidP="001F6AA0">
            <w:pPr>
              <w:spacing w:before="0" w:after="0"/>
              <w:jc w:val="center"/>
              <w:rPr>
                <w:b/>
                <w:sz w:val="20"/>
                <w:szCs w:val="20"/>
              </w:rPr>
            </w:pPr>
            <w:r w:rsidRPr="001F6AA0">
              <w:rPr>
                <w:b/>
                <w:sz w:val="20"/>
                <w:szCs w:val="20"/>
              </w:rPr>
              <w:t>Optimum temperature for net shoot production</w:t>
            </w:r>
            <w:r w:rsidRPr="001F6AA0">
              <w:rPr>
                <w:b/>
                <w:sz w:val="20"/>
                <w:szCs w:val="20"/>
                <w:vertAlign w:val="superscript"/>
              </w:rPr>
              <w:t>4</w:t>
            </w:r>
          </w:p>
        </w:tc>
        <w:tc>
          <w:tcPr>
            <w:tcW w:w="1538" w:type="dxa"/>
          </w:tcPr>
          <w:p w14:paraId="0D6CF3F3" w14:textId="77777777" w:rsidR="00837586" w:rsidRPr="001F6AA0" w:rsidRDefault="00837586" w:rsidP="001F6AA0">
            <w:pPr>
              <w:spacing w:before="0" w:after="0"/>
              <w:jc w:val="center"/>
              <w:rPr>
                <w:b/>
                <w:sz w:val="20"/>
                <w:szCs w:val="20"/>
              </w:rPr>
            </w:pPr>
            <w:r w:rsidRPr="001F6AA0">
              <w:rPr>
                <w:b/>
                <w:sz w:val="20"/>
                <w:szCs w:val="20"/>
              </w:rPr>
              <w:t>Temperature which reduces seagrass leaf density</w:t>
            </w:r>
            <w:r w:rsidRPr="001F6AA0">
              <w:rPr>
                <w:b/>
                <w:sz w:val="20"/>
                <w:szCs w:val="20"/>
                <w:vertAlign w:val="superscript"/>
              </w:rPr>
              <w:t>5</w:t>
            </w:r>
          </w:p>
        </w:tc>
      </w:tr>
      <w:tr w:rsidR="00837586" w:rsidRPr="001F6AA0" w14:paraId="7E19FD99" w14:textId="77777777" w:rsidTr="001F6AA0">
        <w:tc>
          <w:tcPr>
            <w:tcW w:w="1973" w:type="dxa"/>
            <w:vAlign w:val="center"/>
          </w:tcPr>
          <w:p w14:paraId="10886C06" w14:textId="3D7B09FB" w:rsidR="00837586" w:rsidRPr="001F6AA0" w:rsidRDefault="00837586" w:rsidP="001F6AA0">
            <w:pPr>
              <w:spacing w:before="0" w:after="0"/>
              <w:rPr>
                <w:i/>
                <w:sz w:val="20"/>
                <w:szCs w:val="20"/>
              </w:rPr>
            </w:pPr>
            <w:r w:rsidRPr="001F6AA0">
              <w:rPr>
                <w:i/>
                <w:sz w:val="20"/>
                <w:szCs w:val="20"/>
              </w:rPr>
              <w:t>C</w:t>
            </w:r>
            <w:r w:rsidR="001F6AA0">
              <w:rPr>
                <w:i/>
                <w:sz w:val="20"/>
                <w:szCs w:val="20"/>
              </w:rPr>
              <w:t>.</w:t>
            </w:r>
            <w:r w:rsidRPr="001F6AA0">
              <w:rPr>
                <w:i/>
                <w:sz w:val="20"/>
                <w:szCs w:val="20"/>
              </w:rPr>
              <w:t xml:space="preserve"> rotundata</w:t>
            </w:r>
          </w:p>
        </w:tc>
        <w:tc>
          <w:tcPr>
            <w:tcW w:w="2232" w:type="dxa"/>
            <w:vAlign w:val="center"/>
          </w:tcPr>
          <w:p w14:paraId="5CA4ED7B" w14:textId="77777777" w:rsidR="00837586" w:rsidRPr="001F6AA0" w:rsidRDefault="00837586" w:rsidP="001F6AA0">
            <w:pPr>
              <w:spacing w:before="0" w:after="0"/>
              <w:jc w:val="center"/>
              <w:rPr>
                <w:sz w:val="20"/>
                <w:szCs w:val="20"/>
              </w:rPr>
            </w:pPr>
            <w:r w:rsidRPr="001F6AA0">
              <w:rPr>
                <w:sz w:val="20"/>
                <w:szCs w:val="20"/>
              </w:rPr>
              <w:t>40-45</w:t>
            </w:r>
            <w:r w:rsidRPr="001F6AA0">
              <w:rPr>
                <w:sz w:val="20"/>
                <w:szCs w:val="20"/>
              </w:rPr>
              <w:sym w:font="Symbol" w:char="F0B0"/>
            </w:r>
            <w:r w:rsidRPr="001F6AA0">
              <w:rPr>
                <w:sz w:val="20"/>
                <w:szCs w:val="20"/>
              </w:rPr>
              <w:t>C</w:t>
            </w:r>
          </w:p>
        </w:tc>
        <w:tc>
          <w:tcPr>
            <w:tcW w:w="1744" w:type="dxa"/>
            <w:vAlign w:val="center"/>
          </w:tcPr>
          <w:p w14:paraId="3E377694" w14:textId="77777777" w:rsidR="00837586" w:rsidRPr="001F6AA0" w:rsidRDefault="00837586" w:rsidP="001F6AA0">
            <w:pPr>
              <w:spacing w:before="0" w:after="0"/>
              <w:jc w:val="center"/>
              <w:rPr>
                <w:sz w:val="20"/>
                <w:szCs w:val="20"/>
              </w:rPr>
            </w:pPr>
          </w:p>
        </w:tc>
        <w:tc>
          <w:tcPr>
            <w:tcW w:w="1559" w:type="dxa"/>
            <w:vAlign w:val="center"/>
          </w:tcPr>
          <w:p w14:paraId="70CCDF02" w14:textId="77777777" w:rsidR="00837586" w:rsidRPr="001F6AA0" w:rsidRDefault="00837586" w:rsidP="001F6AA0">
            <w:pPr>
              <w:spacing w:before="0" w:after="0"/>
              <w:jc w:val="center"/>
              <w:rPr>
                <w:sz w:val="20"/>
                <w:szCs w:val="20"/>
              </w:rPr>
            </w:pPr>
          </w:p>
        </w:tc>
        <w:tc>
          <w:tcPr>
            <w:tcW w:w="1410" w:type="dxa"/>
            <w:vAlign w:val="center"/>
          </w:tcPr>
          <w:p w14:paraId="7E94485C" w14:textId="77777777" w:rsidR="00837586" w:rsidRPr="001F6AA0" w:rsidRDefault="00837586" w:rsidP="001F6AA0">
            <w:pPr>
              <w:spacing w:before="0" w:after="0"/>
              <w:jc w:val="center"/>
              <w:rPr>
                <w:sz w:val="20"/>
                <w:szCs w:val="20"/>
              </w:rPr>
            </w:pPr>
          </w:p>
        </w:tc>
        <w:tc>
          <w:tcPr>
            <w:tcW w:w="1538" w:type="dxa"/>
            <w:vAlign w:val="center"/>
          </w:tcPr>
          <w:p w14:paraId="19A8DC59"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r>
      <w:tr w:rsidR="00837586" w:rsidRPr="001F6AA0" w14:paraId="5296FE33" w14:textId="77777777" w:rsidTr="001F6AA0">
        <w:tc>
          <w:tcPr>
            <w:tcW w:w="1973" w:type="dxa"/>
            <w:vAlign w:val="center"/>
          </w:tcPr>
          <w:p w14:paraId="4622CA6C" w14:textId="0531AF2F" w:rsidR="00837586" w:rsidRPr="001F6AA0" w:rsidRDefault="00837586" w:rsidP="001F6AA0">
            <w:pPr>
              <w:spacing w:before="0" w:after="0"/>
              <w:rPr>
                <w:i/>
                <w:sz w:val="20"/>
                <w:szCs w:val="20"/>
              </w:rPr>
            </w:pPr>
            <w:r w:rsidRPr="001F6AA0">
              <w:rPr>
                <w:i/>
                <w:sz w:val="20"/>
                <w:szCs w:val="20"/>
              </w:rPr>
              <w:t>C</w:t>
            </w:r>
            <w:r w:rsidR="001F6AA0">
              <w:rPr>
                <w:i/>
                <w:sz w:val="20"/>
                <w:szCs w:val="20"/>
              </w:rPr>
              <w:t>.</w:t>
            </w:r>
            <w:r w:rsidRPr="001F6AA0">
              <w:rPr>
                <w:i/>
                <w:sz w:val="20"/>
                <w:szCs w:val="20"/>
              </w:rPr>
              <w:t xml:space="preserve"> serrulata</w:t>
            </w:r>
          </w:p>
        </w:tc>
        <w:tc>
          <w:tcPr>
            <w:tcW w:w="2232" w:type="dxa"/>
            <w:vAlign w:val="center"/>
          </w:tcPr>
          <w:p w14:paraId="3FBC642E" w14:textId="77777777" w:rsidR="00837586" w:rsidRPr="001F6AA0" w:rsidRDefault="00837586" w:rsidP="001F6AA0">
            <w:pPr>
              <w:spacing w:before="0" w:after="0"/>
              <w:jc w:val="center"/>
              <w:rPr>
                <w:sz w:val="20"/>
                <w:szCs w:val="20"/>
              </w:rPr>
            </w:pPr>
            <w:r w:rsidRPr="001F6AA0">
              <w:rPr>
                <w:sz w:val="20"/>
                <w:szCs w:val="20"/>
              </w:rPr>
              <w:t>40-45</w:t>
            </w:r>
            <w:r w:rsidRPr="001F6AA0">
              <w:rPr>
                <w:sz w:val="20"/>
                <w:szCs w:val="20"/>
              </w:rPr>
              <w:sym w:font="Symbol" w:char="F0B0"/>
            </w:r>
            <w:r w:rsidRPr="001F6AA0">
              <w:rPr>
                <w:sz w:val="20"/>
                <w:szCs w:val="20"/>
              </w:rPr>
              <w:t>C</w:t>
            </w:r>
          </w:p>
        </w:tc>
        <w:tc>
          <w:tcPr>
            <w:tcW w:w="1744" w:type="dxa"/>
            <w:vAlign w:val="center"/>
          </w:tcPr>
          <w:p w14:paraId="395C1579" w14:textId="77777777" w:rsidR="00837586" w:rsidRPr="001F6AA0" w:rsidRDefault="00837586" w:rsidP="001F6AA0">
            <w:pPr>
              <w:spacing w:before="0" w:after="0"/>
              <w:jc w:val="center"/>
              <w:rPr>
                <w:sz w:val="20"/>
                <w:szCs w:val="20"/>
              </w:rPr>
            </w:pPr>
            <w:r w:rsidRPr="001F6AA0">
              <w:rPr>
                <w:sz w:val="20"/>
                <w:szCs w:val="20"/>
              </w:rPr>
              <w:t>35-36</w:t>
            </w:r>
            <w:r w:rsidRPr="001F6AA0">
              <w:rPr>
                <w:sz w:val="20"/>
                <w:szCs w:val="20"/>
              </w:rPr>
              <w:sym w:font="Symbol" w:char="F0B0"/>
            </w:r>
            <w:r w:rsidRPr="001F6AA0">
              <w:rPr>
                <w:sz w:val="20"/>
                <w:szCs w:val="20"/>
              </w:rPr>
              <w:t>C</w:t>
            </w:r>
          </w:p>
        </w:tc>
        <w:tc>
          <w:tcPr>
            <w:tcW w:w="1559" w:type="dxa"/>
            <w:vAlign w:val="center"/>
          </w:tcPr>
          <w:p w14:paraId="1CB097DA" w14:textId="77777777" w:rsidR="00837586" w:rsidRPr="001F6AA0" w:rsidRDefault="00837586" w:rsidP="001F6AA0">
            <w:pPr>
              <w:spacing w:before="0" w:after="0"/>
              <w:jc w:val="center"/>
              <w:rPr>
                <w:sz w:val="20"/>
                <w:szCs w:val="20"/>
              </w:rPr>
            </w:pPr>
            <w:r w:rsidRPr="001F6AA0">
              <w:rPr>
                <w:sz w:val="20"/>
                <w:szCs w:val="20"/>
              </w:rPr>
              <w:t>34-36</w:t>
            </w:r>
            <w:r w:rsidRPr="001F6AA0">
              <w:rPr>
                <w:sz w:val="20"/>
                <w:szCs w:val="20"/>
              </w:rPr>
              <w:sym w:font="Symbol" w:char="F0B0"/>
            </w:r>
            <w:r w:rsidRPr="001F6AA0">
              <w:rPr>
                <w:sz w:val="20"/>
                <w:szCs w:val="20"/>
              </w:rPr>
              <w:t>C</w:t>
            </w:r>
          </w:p>
        </w:tc>
        <w:tc>
          <w:tcPr>
            <w:tcW w:w="1410" w:type="dxa"/>
            <w:vAlign w:val="center"/>
          </w:tcPr>
          <w:p w14:paraId="3DBE5851" w14:textId="77777777" w:rsidR="00837586" w:rsidRPr="001F6AA0" w:rsidRDefault="00837586" w:rsidP="001F6AA0">
            <w:pPr>
              <w:spacing w:before="0" w:after="0"/>
              <w:jc w:val="center"/>
              <w:rPr>
                <w:sz w:val="20"/>
                <w:szCs w:val="20"/>
              </w:rPr>
            </w:pPr>
          </w:p>
        </w:tc>
        <w:tc>
          <w:tcPr>
            <w:tcW w:w="1538" w:type="dxa"/>
            <w:vAlign w:val="center"/>
          </w:tcPr>
          <w:p w14:paraId="4A4EF843" w14:textId="77777777" w:rsidR="00837586" w:rsidRPr="001F6AA0" w:rsidRDefault="00837586" w:rsidP="001F6AA0">
            <w:pPr>
              <w:spacing w:before="0" w:after="0"/>
              <w:jc w:val="center"/>
              <w:rPr>
                <w:sz w:val="20"/>
                <w:szCs w:val="20"/>
              </w:rPr>
            </w:pPr>
          </w:p>
        </w:tc>
      </w:tr>
      <w:tr w:rsidR="00837586" w:rsidRPr="001F6AA0" w14:paraId="17CF2C0D" w14:textId="77777777" w:rsidTr="001F6AA0">
        <w:tc>
          <w:tcPr>
            <w:tcW w:w="1973" w:type="dxa"/>
            <w:vAlign w:val="center"/>
          </w:tcPr>
          <w:p w14:paraId="05A2DEE5" w14:textId="6190C22A" w:rsidR="00837586" w:rsidRPr="001F6AA0" w:rsidRDefault="00837586" w:rsidP="001F6AA0">
            <w:pPr>
              <w:spacing w:before="0" w:after="0"/>
              <w:rPr>
                <w:i/>
                <w:sz w:val="20"/>
                <w:szCs w:val="20"/>
              </w:rPr>
            </w:pPr>
            <w:r w:rsidRPr="001F6AA0">
              <w:rPr>
                <w:i/>
                <w:sz w:val="20"/>
                <w:szCs w:val="20"/>
              </w:rPr>
              <w:t>H</w:t>
            </w:r>
            <w:r w:rsidR="001F6AA0">
              <w:rPr>
                <w:i/>
                <w:sz w:val="20"/>
                <w:szCs w:val="20"/>
              </w:rPr>
              <w:t xml:space="preserve">. </w:t>
            </w:r>
            <w:r w:rsidRPr="001F6AA0">
              <w:rPr>
                <w:i/>
                <w:sz w:val="20"/>
                <w:szCs w:val="20"/>
              </w:rPr>
              <w:t>ovalis</w:t>
            </w:r>
          </w:p>
        </w:tc>
        <w:tc>
          <w:tcPr>
            <w:tcW w:w="2232" w:type="dxa"/>
            <w:vAlign w:val="center"/>
          </w:tcPr>
          <w:p w14:paraId="544DAE0A"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c>
          <w:tcPr>
            <w:tcW w:w="1744" w:type="dxa"/>
            <w:vAlign w:val="center"/>
          </w:tcPr>
          <w:p w14:paraId="431A8DF9" w14:textId="77777777" w:rsidR="00837586" w:rsidRPr="001F6AA0" w:rsidRDefault="00837586" w:rsidP="001F6AA0">
            <w:pPr>
              <w:spacing w:before="0" w:after="0"/>
              <w:jc w:val="center"/>
              <w:rPr>
                <w:sz w:val="20"/>
                <w:szCs w:val="20"/>
              </w:rPr>
            </w:pPr>
          </w:p>
        </w:tc>
        <w:tc>
          <w:tcPr>
            <w:tcW w:w="1559" w:type="dxa"/>
            <w:vAlign w:val="center"/>
          </w:tcPr>
          <w:p w14:paraId="6CC56937" w14:textId="77777777" w:rsidR="00837586" w:rsidRPr="001F6AA0" w:rsidRDefault="00837586" w:rsidP="001F6AA0">
            <w:pPr>
              <w:spacing w:before="0" w:after="0"/>
              <w:jc w:val="center"/>
              <w:rPr>
                <w:sz w:val="20"/>
                <w:szCs w:val="20"/>
              </w:rPr>
            </w:pPr>
          </w:p>
        </w:tc>
        <w:tc>
          <w:tcPr>
            <w:tcW w:w="1410" w:type="dxa"/>
            <w:vAlign w:val="center"/>
          </w:tcPr>
          <w:p w14:paraId="6C624210" w14:textId="77777777" w:rsidR="00837586" w:rsidRPr="001F6AA0" w:rsidRDefault="00837586" w:rsidP="001F6AA0">
            <w:pPr>
              <w:spacing w:before="0" w:after="0"/>
              <w:jc w:val="center"/>
              <w:rPr>
                <w:sz w:val="20"/>
                <w:szCs w:val="20"/>
              </w:rPr>
            </w:pPr>
          </w:p>
        </w:tc>
        <w:tc>
          <w:tcPr>
            <w:tcW w:w="1538" w:type="dxa"/>
            <w:vAlign w:val="center"/>
          </w:tcPr>
          <w:p w14:paraId="108D4CFC"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r>
      <w:tr w:rsidR="00837586" w:rsidRPr="001F6AA0" w14:paraId="10C64156" w14:textId="77777777" w:rsidTr="001F6AA0">
        <w:tc>
          <w:tcPr>
            <w:tcW w:w="1973" w:type="dxa"/>
            <w:vAlign w:val="center"/>
          </w:tcPr>
          <w:p w14:paraId="01D9B3A9" w14:textId="05C35F79" w:rsidR="00837586" w:rsidRPr="001F6AA0" w:rsidRDefault="00837586" w:rsidP="001F6AA0">
            <w:pPr>
              <w:spacing w:before="0" w:after="0"/>
              <w:rPr>
                <w:i/>
                <w:sz w:val="20"/>
                <w:szCs w:val="20"/>
              </w:rPr>
            </w:pPr>
            <w:r w:rsidRPr="001F6AA0">
              <w:rPr>
                <w:i/>
                <w:sz w:val="20"/>
                <w:szCs w:val="20"/>
              </w:rPr>
              <w:t>S</w:t>
            </w:r>
            <w:r w:rsidR="001F6AA0">
              <w:rPr>
                <w:i/>
                <w:sz w:val="20"/>
                <w:szCs w:val="20"/>
              </w:rPr>
              <w:t xml:space="preserve">. </w:t>
            </w:r>
            <w:r w:rsidRPr="001F6AA0">
              <w:rPr>
                <w:i/>
                <w:sz w:val="20"/>
                <w:szCs w:val="20"/>
              </w:rPr>
              <w:t>isoetifolium</w:t>
            </w:r>
          </w:p>
        </w:tc>
        <w:tc>
          <w:tcPr>
            <w:tcW w:w="2232" w:type="dxa"/>
            <w:vAlign w:val="center"/>
          </w:tcPr>
          <w:p w14:paraId="17CE1212"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c>
          <w:tcPr>
            <w:tcW w:w="1744" w:type="dxa"/>
            <w:vAlign w:val="center"/>
          </w:tcPr>
          <w:p w14:paraId="5797EE71" w14:textId="77777777" w:rsidR="00837586" w:rsidRPr="001F6AA0" w:rsidRDefault="00837586" w:rsidP="001F6AA0">
            <w:pPr>
              <w:spacing w:before="0" w:after="0"/>
              <w:jc w:val="center"/>
              <w:rPr>
                <w:sz w:val="20"/>
                <w:szCs w:val="20"/>
              </w:rPr>
            </w:pPr>
          </w:p>
        </w:tc>
        <w:tc>
          <w:tcPr>
            <w:tcW w:w="1559" w:type="dxa"/>
            <w:vAlign w:val="center"/>
          </w:tcPr>
          <w:p w14:paraId="7AA354D7" w14:textId="77777777" w:rsidR="00837586" w:rsidRPr="001F6AA0" w:rsidRDefault="00837586" w:rsidP="001F6AA0">
            <w:pPr>
              <w:spacing w:before="0" w:after="0"/>
              <w:jc w:val="center"/>
              <w:rPr>
                <w:sz w:val="20"/>
                <w:szCs w:val="20"/>
              </w:rPr>
            </w:pPr>
          </w:p>
        </w:tc>
        <w:tc>
          <w:tcPr>
            <w:tcW w:w="1410" w:type="dxa"/>
            <w:vAlign w:val="center"/>
          </w:tcPr>
          <w:p w14:paraId="66FABC9B" w14:textId="77777777" w:rsidR="00837586" w:rsidRPr="001F6AA0" w:rsidRDefault="00837586" w:rsidP="001F6AA0">
            <w:pPr>
              <w:spacing w:before="0" w:after="0"/>
              <w:jc w:val="center"/>
              <w:rPr>
                <w:sz w:val="20"/>
                <w:szCs w:val="20"/>
              </w:rPr>
            </w:pPr>
          </w:p>
        </w:tc>
        <w:tc>
          <w:tcPr>
            <w:tcW w:w="1538" w:type="dxa"/>
            <w:vAlign w:val="center"/>
          </w:tcPr>
          <w:p w14:paraId="3C2273EE" w14:textId="77777777" w:rsidR="00837586" w:rsidRPr="001F6AA0" w:rsidRDefault="00837586" w:rsidP="001F6AA0">
            <w:pPr>
              <w:spacing w:before="0" w:after="0"/>
              <w:jc w:val="center"/>
              <w:rPr>
                <w:sz w:val="20"/>
                <w:szCs w:val="20"/>
              </w:rPr>
            </w:pPr>
          </w:p>
        </w:tc>
      </w:tr>
      <w:tr w:rsidR="00837586" w:rsidRPr="001F6AA0" w14:paraId="67CF26D1" w14:textId="77777777" w:rsidTr="001F6AA0">
        <w:tc>
          <w:tcPr>
            <w:tcW w:w="1973" w:type="dxa"/>
            <w:vAlign w:val="center"/>
          </w:tcPr>
          <w:p w14:paraId="20C54BD9" w14:textId="2B75D933" w:rsidR="00837586" w:rsidRPr="001F6AA0" w:rsidRDefault="00837586" w:rsidP="001F6AA0">
            <w:pPr>
              <w:spacing w:before="0" w:after="0"/>
              <w:rPr>
                <w:i/>
                <w:sz w:val="20"/>
                <w:szCs w:val="20"/>
              </w:rPr>
            </w:pPr>
            <w:r w:rsidRPr="001F6AA0">
              <w:rPr>
                <w:i/>
                <w:sz w:val="20"/>
                <w:szCs w:val="20"/>
              </w:rPr>
              <w:t>T</w:t>
            </w:r>
            <w:r w:rsidR="001F6AA0">
              <w:rPr>
                <w:i/>
                <w:sz w:val="20"/>
                <w:szCs w:val="20"/>
              </w:rPr>
              <w:t xml:space="preserve">. </w:t>
            </w:r>
            <w:r w:rsidRPr="001F6AA0">
              <w:rPr>
                <w:i/>
                <w:sz w:val="20"/>
                <w:szCs w:val="20"/>
              </w:rPr>
              <w:t>hemprichii</w:t>
            </w:r>
          </w:p>
        </w:tc>
        <w:tc>
          <w:tcPr>
            <w:tcW w:w="2232" w:type="dxa"/>
            <w:vAlign w:val="center"/>
          </w:tcPr>
          <w:p w14:paraId="4BFB81DF" w14:textId="77777777" w:rsidR="00837586" w:rsidRPr="001F6AA0" w:rsidRDefault="00837586" w:rsidP="001F6AA0">
            <w:pPr>
              <w:spacing w:before="0" w:after="0"/>
              <w:jc w:val="center"/>
              <w:rPr>
                <w:sz w:val="20"/>
                <w:szCs w:val="20"/>
              </w:rPr>
            </w:pPr>
            <w:r w:rsidRPr="001F6AA0">
              <w:rPr>
                <w:sz w:val="20"/>
                <w:szCs w:val="20"/>
              </w:rPr>
              <w:t>40-45</w:t>
            </w:r>
            <w:r w:rsidRPr="001F6AA0">
              <w:rPr>
                <w:sz w:val="20"/>
                <w:szCs w:val="20"/>
              </w:rPr>
              <w:sym w:font="Symbol" w:char="F0B0"/>
            </w:r>
            <w:r w:rsidRPr="001F6AA0">
              <w:rPr>
                <w:sz w:val="20"/>
                <w:szCs w:val="20"/>
              </w:rPr>
              <w:t>C</w:t>
            </w:r>
          </w:p>
        </w:tc>
        <w:tc>
          <w:tcPr>
            <w:tcW w:w="1744" w:type="dxa"/>
            <w:vAlign w:val="center"/>
          </w:tcPr>
          <w:p w14:paraId="0AB23124" w14:textId="77777777" w:rsidR="00837586" w:rsidRPr="001F6AA0" w:rsidRDefault="00837586" w:rsidP="001F6AA0">
            <w:pPr>
              <w:spacing w:before="0" w:after="0"/>
              <w:jc w:val="center"/>
              <w:rPr>
                <w:sz w:val="20"/>
                <w:szCs w:val="20"/>
              </w:rPr>
            </w:pPr>
          </w:p>
        </w:tc>
        <w:tc>
          <w:tcPr>
            <w:tcW w:w="1559" w:type="dxa"/>
            <w:vAlign w:val="center"/>
          </w:tcPr>
          <w:p w14:paraId="7113DF7B" w14:textId="77777777" w:rsidR="00837586" w:rsidRPr="001F6AA0" w:rsidRDefault="00837586" w:rsidP="001F6AA0">
            <w:pPr>
              <w:spacing w:before="0" w:after="0"/>
              <w:jc w:val="center"/>
              <w:rPr>
                <w:sz w:val="20"/>
                <w:szCs w:val="20"/>
              </w:rPr>
            </w:pPr>
          </w:p>
        </w:tc>
        <w:tc>
          <w:tcPr>
            <w:tcW w:w="1410" w:type="dxa"/>
            <w:vAlign w:val="center"/>
          </w:tcPr>
          <w:p w14:paraId="227174BC" w14:textId="77777777" w:rsidR="00837586" w:rsidRPr="001F6AA0" w:rsidRDefault="00837586" w:rsidP="001F6AA0">
            <w:pPr>
              <w:spacing w:before="0" w:after="0"/>
              <w:jc w:val="center"/>
              <w:rPr>
                <w:sz w:val="20"/>
                <w:szCs w:val="20"/>
              </w:rPr>
            </w:pPr>
          </w:p>
        </w:tc>
        <w:tc>
          <w:tcPr>
            <w:tcW w:w="1538" w:type="dxa"/>
            <w:vAlign w:val="center"/>
          </w:tcPr>
          <w:p w14:paraId="75981E4B"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r>
      <w:tr w:rsidR="00837586" w:rsidRPr="001F6AA0" w14:paraId="201FF862" w14:textId="77777777" w:rsidTr="001F6AA0">
        <w:tc>
          <w:tcPr>
            <w:tcW w:w="1973" w:type="dxa"/>
            <w:vAlign w:val="center"/>
          </w:tcPr>
          <w:p w14:paraId="11111EA2" w14:textId="6139297B" w:rsidR="00837586" w:rsidRPr="001F6AA0" w:rsidRDefault="00837586" w:rsidP="001F6AA0">
            <w:pPr>
              <w:spacing w:before="0" w:after="0"/>
              <w:rPr>
                <w:i/>
                <w:sz w:val="20"/>
                <w:szCs w:val="20"/>
              </w:rPr>
            </w:pPr>
            <w:r w:rsidRPr="001F6AA0">
              <w:rPr>
                <w:i/>
                <w:sz w:val="20"/>
                <w:szCs w:val="20"/>
              </w:rPr>
              <w:t>H</w:t>
            </w:r>
            <w:r w:rsidR="001F6AA0">
              <w:rPr>
                <w:i/>
                <w:sz w:val="20"/>
                <w:szCs w:val="20"/>
              </w:rPr>
              <w:t xml:space="preserve">. </w:t>
            </w:r>
            <w:r w:rsidRPr="001F6AA0">
              <w:rPr>
                <w:i/>
                <w:sz w:val="20"/>
                <w:szCs w:val="20"/>
              </w:rPr>
              <w:t>uninervis</w:t>
            </w:r>
          </w:p>
        </w:tc>
        <w:tc>
          <w:tcPr>
            <w:tcW w:w="2232" w:type="dxa"/>
            <w:vAlign w:val="center"/>
          </w:tcPr>
          <w:p w14:paraId="58D0E63F" w14:textId="77777777" w:rsidR="00837586" w:rsidRPr="001F6AA0" w:rsidRDefault="00837586" w:rsidP="001F6AA0">
            <w:pPr>
              <w:spacing w:before="0" w:after="0"/>
              <w:jc w:val="center"/>
              <w:rPr>
                <w:sz w:val="20"/>
                <w:szCs w:val="20"/>
              </w:rPr>
            </w:pPr>
            <w:r w:rsidRPr="001F6AA0">
              <w:rPr>
                <w:sz w:val="20"/>
                <w:szCs w:val="20"/>
              </w:rPr>
              <w:t>40-45</w:t>
            </w:r>
            <w:r w:rsidRPr="001F6AA0">
              <w:rPr>
                <w:sz w:val="20"/>
                <w:szCs w:val="20"/>
              </w:rPr>
              <w:sym w:font="Symbol" w:char="F0B0"/>
            </w:r>
            <w:r w:rsidRPr="001F6AA0">
              <w:rPr>
                <w:sz w:val="20"/>
                <w:szCs w:val="20"/>
              </w:rPr>
              <w:t>C</w:t>
            </w:r>
          </w:p>
        </w:tc>
        <w:tc>
          <w:tcPr>
            <w:tcW w:w="1744" w:type="dxa"/>
            <w:vAlign w:val="center"/>
          </w:tcPr>
          <w:p w14:paraId="611DDDF8" w14:textId="77777777" w:rsidR="00837586" w:rsidRPr="001F6AA0" w:rsidRDefault="00837586" w:rsidP="001F6AA0">
            <w:pPr>
              <w:spacing w:before="0" w:after="0"/>
              <w:jc w:val="center"/>
              <w:rPr>
                <w:sz w:val="20"/>
                <w:szCs w:val="20"/>
              </w:rPr>
            </w:pPr>
            <w:r w:rsidRPr="001F6AA0">
              <w:rPr>
                <w:sz w:val="20"/>
                <w:szCs w:val="20"/>
              </w:rPr>
              <w:t>35-36</w:t>
            </w:r>
            <w:r w:rsidRPr="001F6AA0">
              <w:rPr>
                <w:sz w:val="20"/>
                <w:szCs w:val="20"/>
              </w:rPr>
              <w:sym w:font="Symbol" w:char="F0B0"/>
            </w:r>
            <w:r w:rsidRPr="001F6AA0">
              <w:rPr>
                <w:sz w:val="20"/>
                <w:szCs w:val="20"/>
              </w:rPr>
              <w:t>C</w:t>
            </w:r>
          </w:p>
        </w:tc>
        <w:tc>
          <w:tcPr>
            <w:tcW w:w="1559" w:type="dxa"/>
            <w:vAlign w:val="center"/>
          </w:tcPr>
          <w:p w14:paraId="51D96030" w14:textId="77777777" w:rsidR="00837586" w:rsidRPr="001F6AA0" w:rsidRDefault="00837586" w:rsidP="001F6AA0">
            <w:pPr>
              <w:spacing w:before="0" w:after="0"/>
              <w:jc w:val="center"/>
              <w:rPr>
                <w:sz w:val="20"/>
                <w:szCs w:val="20"/>
              </w:rPr>
            </w:pPr>
            <w:r w:rsidRPr="001F6AA0">
              <w:rPr>
                <w:sz w:val="20"/>
                <w:szCs w:val="20"/>
              </w:rPr>
              <w:t>33-35</w:t>
            </w:r>
            <w:r w:rsidRPr="001F6AA0">
              <w:rPr>
                <w:sz w:val="20"/>
                <w:szCs w:val="20"/>
              </w:rPr>
              <w:sym w:font="Symbol" w:char="F0B0"/>
            </w:r>
            <w:r w:rsidRPr="001F6AA0">
              <w:rPr>
                <w:sz w:val="20"/>
                <w:szCs w:val="20"/>
              </w:rPr>
              <w:t>C</w:t>
            </w:r>
          </w:p>
        </w:tc>
        <w:tc>
          <w:tcPr>
            <w:tcW w:w="1410" w:type="dxa"/>
            <w:vAlign w:val="center"/>
          </w:tcPr>
          <w:p w14:paraId="1B4BFD43" w14:textId="77777777" w:rsidR="00837586" w:rsidRPr="001F6AA0" w:rsidRDefault="00837586" w:rsidP="001F6AA0">
            <w:pPr>
              <w:spacing w:before="0" w:after="0"/>
              <w:jc w:val="center"/>
              <w:rPr>
                <w:sz w:val="20"/>
                <w:szCs w:val="20"/>
              </w:rPr>
            </w:pPr>
            <w:r w:rsidRPr="001F6AA0">
              <w:rPr>
                <w:sz w:val="20"/>
                <w:szCs w:val="20"/>
              </w:rPr>
              <w:t>&gt;30</w:t>
            </w:r>
            <w:r w:rsidRPr="001F6AA0">
              <w:rPr>
                <w:sz w:val="20"/>
                <w:szCs w:val="20"/>
              </w:rPr>
              <w:sym w:font="Symbol" w:char="F0B0"/>
            </w:r>
            <w:r w:rsidRPr="001F6AA0">
              <w:rPr>
                <w:sz w:val="20"/>
                <w:szCs w:val="20"/>
              </w:rPr>
              <w:t>C</w:t>
            </w:r>
          </w:p>
        </w:tc>
        <w:tc>
          <w:tcPr>
            <w:tcW w:w="1538" w:type="dxa"/>
            <w:vAlign w:val="center"/>
          </w:tcPr>
          <w:p w14:paraId="4D3FB56D"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r>
      <w:tr w:rsidR="00837586" w:rsidRPr="001F6AA0" w14:paraId="143F1072" w14:textId="77777777" w:rsidTr="001F6AA0">
        <w:tc>
          <w:tcPr>
            <w:tcW w:w="1973" w:type="dxa"/>
            <w:vAlign w:val="center"/>
          </w:tcPr>
          <w:p w14:paraId="05887CA8" w14:textId="6EBDE98C" w:rsidR="00837586" w:rsidRPr="001F6AA0" w:rsidRDefault="00837586" w:rsidP="001F6AA0">
            <w:pPr>
              <w:spacing w:before="0" w:after="0"/>
              <w:rPr>
                <w:i/>
                <w:sz w:val="20"/>
                <w:szCs w:val="20"/>
              </w:rPr>
            </w:pPr>
            <w:r w:rsidRPr="001F6AA0">
              <w:rPr>
                <w:i/>
                <w:sz w:val="20"/>
                <w:szCs w:val="20"/>
              </w:rPr>
              <w:t>Z</w:t>
            </w:r>
            <w:r w:rsidR="001F6AA0">
              <w:rPr>
                <w:i/>
                <w:sz w:val="20"/>
                <w:szCs w:val="20"/>
              </w:rPr>
              <w:t xml:space="preserve">. </w:t>
            </w:r>
            <w:r w:rsidRPr="001F6AA0">
              <w:rPr>
                <w:i/>
                <w:sz w:val="20"/>
                <w:szCs w:val="20"/>
              </w:rPr>
              <w:t>muelleri</w:t>
            </w:r>
          </w:p>
        </w:tc>
        <w:tc>
          <w:tcPr>
            <w:tcW w:w="2232" w:type="dxa"/>
            <w:vAlign w:val="center"/>
          </w:tcPr>
          <w:p w14:paraId="6022DD38" w14:textId="77777777" w:rsidR="00837586" w:rsidRPr="001F6AA0" w:rsidRDefault="00837586" w:rsidP="001F6AA0">
            <w:pPr>
              <w:spacing w:before="0" w:after="0"/>
              <w:jc w:val="center"/>
              <w:rPr>
                <w:sz w:val="20"/>
                <w:szCs w:val="20"/>
              </w:rPr>
            </w:pPr>
            <w:r w:rsidRPr="001F6AA0">
              <w:rPr>
                <w:sz w:val="20"/>
                <w:szCs w:val="20"/>
              </w:rPr>
              <w:t>35-40</w:t>
            </w:r>
            <w:r w:rsidRPr="001F6AA0">
              <w:rPr>
                <w:sz w:val="20"/>
                <w:szCs w:val="20"/>
              </w:rPr>
              <w:sym w:font="Symbol" w:char="F0B0"/>
            </w:r>
            <w:r w:rsidRPr="001F6AA0">
              <w:rPr>
                <w:sz w:val="20"/>
                <w:szCs w:val="20"/>
              </w:rPr>
              <w:t>C</w:t>
            </w:r>
          </w:p>
        </w:tc>
        <w:tc>
          <w:tcPr>
            <w:tcW w:w="1744" w:type="dxa"/>
            <w:vAlign w:val="center"/>
          </w:tcPr>
          <w:p w14:paraId="348DA348" w14:textId="77777777" w:rsidR="00837586" w:rsidRPr="001F6AA0" w:rsidRDefault="00837586" w:rsidP="001F6AA0">
            <w:pPr>
              <w:spacing w:before="0" w:after="0"/>
              <w:jc w:val="center"/>
              <w:rPr>
                <w:sz w:val="20"/>
                <w:szCs w:val="20"/>
              </w:rPr>
            </w:pPr>
            <w:r w:rsidRPr="001F6AA0">
              <w:rPr>
                <w:sz w:val="20"/>
                <w:szCs w:val="20"/>
              </w:rPr>
              <w:t>~31</w:t>
            </w:r>
            <w:r w:rsidRPr="001F6AA0">
              <w:rPr>
                <w:sz w:val="20"/>
                <w:szCs w:val="20"/>
              </w:rPr>
              <w:sym w:font="Symbol" w:char="F0B0"/>
            </w:r>
            <w:r w:rsidRPr="001F6AA0">
              <w:rPr>
                <w:sz w:val="20"/>
                <w:szCs w:val="20"/>
              </w:rPr>
              <w:t>C</w:t>
            </w:r>
          </w:p>
        </w:tc>
        <w:tc>
          <w:tcPr>
            <w:tcW w:w="1559" w:type="dxa"/>
            <w:vAlign w:val="center"/>
          </w:tcPr>
          <w:p w14:paraId="38BDD740" w14:textId="77777777" w:rsidR="00837586" w:rsidRPr="001F6AA0" w:rsidRDefault="00837586" w:rsidP="001F6AA0">
            <w:pPr>
              <w:spacing w:before="0" w:after="0"/>
              <w:jc w:val="center"/>
              <w:rPr>
                <w:sz w:val="20"/>
                <w:szCs w:val="20"/>
              </w:rPr>
            </w:pPr>
            <w:r w:rsidRPr="001F6AA0">
              <w:rPr>
                <w:sz w:val="20"/>
                <w:szCs w:val="20"/>
              </w:rPr>
              <w:t>20-30</w:t>
            </w:r>
            <w:r w:rsidRPr="001F6AA0">
              <w:rPr>
                <w:sz w:val="20"/>
                <w:szCs w:val="20"/>
              </w:rPr>
              <w:sym w:font="Symbol" w:char="F0B0"/>
            </w:r>
            <w:r w:rsidRPr="001F6AA0">
              <w:rPr>
                <w:sz w:val="20"/>
                <w:szCs w:val="20"/>
              </w:rPr>
              <w:t>C</w:t>
            </w:r>
          </w:p>
        </w:tc>
        <w:tc>
          <w:tcPr>
            <w:tcW w:w="1410" w:type="dxa"/>
            <w:vAlign w:val="center"/>
          </w:tcPr>
          <w:p w14:paraId="65F780C6" w14:textId="77777777" w:rsidR="00837586" w:rsidRPr="001F6AA0" w:rsidRDefault="00837586" w:rsidP="001F6AA0">
            <w:pPr>
              <w:spacing w:before="0" w:after="0"/>
              <w:jc w:val="center"/>
              <w:rPr>
                <w:sz w:val="20"/>
                <w:szCs w:val="20"/>
              </w:rPr>
            </w:pPr>
            <w:r w:rsidRPr="001F6AA0">
              <w:rPr>
                <w:sz w:val="20"/>
                <w:szCs w:val="20"/>
              </w:rPr>
              <w:t>&lt;33</w:t>
            </w:r>
            <w:r w:rsidRPr="001F6AA0">
              <w:rPr>
                <w:sz w:val="20"/>
                <w:szCs w:val="20"/>
              </w:rPr>
              <w:sym w:font="Symbol" w:char="F0B0"/>
            </w:r>
            <w:r w:rsidRPr="001F6AA0">
              <w:rPr>
                <w:sz w:val="20"/>
                <w:szCs w:val="20"/>
              </w:rPr>
              <w:t>C</w:t>
            </w:r>
          </w:p>
        </w:tc>
        <w:tc>
          <w:tcPr>
            <w:tcW w:w="1538" w:type="dxa"/>
            <w:vAlign w:val="center"/>
          </w:tcPr>
          <w:p w14:paraId="6314138E" w14:textId="77777777" w:rsidR="00837586" w:rsidRPr="001F6AA0" w:rsidRDefault="00837586" w:rsidP="001F6AA0">
            <w:pPr>
              <w:spacing w:before="0" w:after="0"/>
              <w:jc w:val="center"/>
              <w:rPr>
                <w:sz w:val="20"/>
                <w:szCs w:val="20"/>
              </w:rPr>
            </w:pPr>
          </w:p>
        </w:tc>
      </w:tr>
    </w:tbl>
    <w:p w14:paraId="5266A16E" w14:textId="7E4B2B28" w:rsidR="00837586" w:rsidRDefault="00837586" w:rsidP="00837586"/>
    <w:p w14:paraId="68BA136C" w14:textId="77777777" w:rsidR="00837586" w:rsidRPr="00882146" w:rsidRDefault="00837586" w:rsidP="00837586">
      <w:pPr>
        <w:rPr>
          <w:b/>
        </w:rPr>
      </w:pPr>
      <w:r w:rsidRPr="00882146">
        <w:rPr>
          <w:b/>
        </w:rPr>
        <w:t>Conclusions</w:t>
      </w:r>
    </w:p>
    <w:p w14:paraId="45880F2B" w14:textId="15F8A212" w:rsidR="00837586" w:rsidRDefault="00837586" w:rsidP="00837586">
      <w:r>
        <w:t>The main recommendation of this work is to include an additional threshold for a temperature of 30</w:t>
      </w:r>
      <w:r>
        <w:sym w:font="Symbol" w:char="F0B0"/>
      </w:r>
      <w:r>
        <w:t>C, since three of the five studies consulted in Table 1 suggest that temperatures below 33</w:t>
      </w:r>
      <w:r>
        <w:sym w:font="Symbol" w:char="F0B0"/>
      </w:r>
      <w:r>
        <w:t xml:space="preserve">C may induce thermal stress for </w:t>
      </w:r>
      <w:r w:rsidRPr="00C80BF4">
        <w:rPr>
          <w:i/>
        </w:rPr>
        <w:t>Zostera muelleri</w:t>
      </w:r>
      <w:r>
        <w:t xml:space="preserve">, a species found commonly in the </w:t>
      </w:r>
      <w:r w:rsidR="007F6948">
        <w:t>Great Barrier Reef</w:t>
      </w:r>
      <w:r>
        <w:t>, and 30</w:t>
      </w:r>
      <w:r>
        <w:sym w:font="Symbol" w:char="F0B0"/>
      </w:r>
      <w:r>
        <w:t>C is an upper limit on the optimum temperature for net productivity of this species (Collier et al. 2017). Temperatures above 40</w:t>
      </w:r>
      <w:r>
        <w:sym w:font="Symbol" w:char="F0B0"/>
      </w:r>
      <w:r>
        <w:t>C will likely lead to decline of all seagrass species investigated, whilst seawater temperatures above 35</w:t>
      </w:r>
      <w:r>
        <w:sym w:font="Symbol" w:char="F0B0"/>
      </w:r>
      <w:r>
        <w:t>C are sufficient to have negative impact on most of these species. The three thresholds of 30</w:t>
      </w:r>
      <w:r>
        <w:sym w:font="Symbol" w:char="F0B0"/>
      </w:r>
      <w:r>
        <w:t>C, 35</w:t>
      </w:r>
      <w:r>
        <w:sym w:font="Symbol" w:char="F0B0"/>
      </w:r>
      <w:r>
        <w:t>C and 40</w:t>
      </w:r>
      <w:r>
        <w:sym w:font="Symbol" w:char="F0B0"/>
      </w:r>
      <w:r>
        <w:t xml:space="preserve">C may be the most informative for evaluating the risk of seagrass decline due to elevated seawater temperatures in the </w:t>
      </w:r>
      <w:r w:rsidR="007F6948">
        <w:t>Great Barrier Reef</w:t>
      </w:r>
      <w:r>
        <w:t>.</w:t>
      </w:r>
    </w:p>
    <w:p w14:paraId="0FBAC4E8" w14:textId="77777777" w:rsidR="00837586" w:rsidRPr="00F3410B" w:rsidRDefault="00837586" w:rsidP="00837586">
      <w:pPr>
        <w:ind w:left="567" w:hanging="567"/>
        <w:rPr>
          <w:b/>
        </w:rPr>
      </w:pPr>
      <w:r w:rsidRPr="00F3410B">
        <w:rPr>
          <w:b/>
        </w:rPr>
        <w:t>References</w:t>
      </w:r>
    </w:p>
    <w:p w14:paraId="0B20BB6C" w14:textId="77777777" w:rsidR="00837586" w:rsidRDefault="00837586" w:rsidP="00837586">
      <w:pPr>
        <w:ind w:left="567" w:hanging="567"/>
        <w:contextualSpacing/>
      </w:pPr>
      <w:r>
        <w:t xml:space="preserve">Adams, M. P., Collier. C. J., Uthicke, S., Ow, Y. X., Langlois, L., O’Brien, K. R. (2017): Model fit versus biological relevance: Evaluating photosynthesis-temperature models for three tropical seagrass species. </w:t>
      </w:r>
      <w:r w:rsidRPr="006F2065">
        <w:rPr>
          <w:i/>
        </w:rPr>
        <w:t>Scientific Reports</w:t>
      </w:r>
      <w:r>
        <w:t xml:space="preserve"> </w:t>
      </w:r>
      <w:r w:rsidRPr="006F2065">
        <w:rPr>
          <w:b/>
        </w:rPr>
        <w:t>7</w:t>
      </w:r>
      <w:r>
        <w:t>:39930.</w:t>
      </w:r>
    </w:p>
    <w:p w14:paraId="01C2C820" w14:textId="77777777" w:rsidR="00837586" w:rsidRDefault="00837586" w:rsidP="00837586">
      <w:pPr>
        <w:ind w:left="567" w:hanging="567"/>
        <w:contextualSpacing/>
      </w:pPr>
      <w:r>
        <w:t xml:space="preserve">Campbell, S. J., McKenzie, L. J., Kerville, S. P. (2006): Photosynthetic responses of seven tropical seagrasses to elevated seawater temperature. </w:t>
      </w:r>
      <w:r w:rsidRPr="006F2065">
        <w:rPr>
          <w:i/>
        </w:rPr>
        <w:t>Journal of Experimental Marine Biology and Ecology</w:t>
      </w:r>
      <w:r>
        <w:t xml:space="preserve"> </w:t>
      </w:r>
      <w:r w:rsidRPr="006F2065">
        <w:rPr>
          <w:b/>
        </w:rPr>
        <w:t>330</w:t>
      </w:r>
      <w:r>
        <w:t>: 455-468.</w:t>
      </w:r>
    </w:p>
    <w:p w14:paraId="28841558" w14:textId="77777777" w:rsidR="00837586" w:rsidRDefault="00837586" w:rsidP="00837586">
      <w:pPr>
        <w:ind w:left="567" w:hanging="567"/>
        <w:contextualSpacing/>
      </w:pPr>
      <w:r>
        <w:t xml:space="preserve">Collier, C. J., Chartrand, K., Honchin, C., Fletcher, A., Rasheed, M. (2016): </w:t>
      </w:r>
      <w:r w:rsidRPr="00272125">
        <w:rPr>
          <w:i/>
        </w:rPr>
        <w:t>Light thresholds for seagrasses of the GBR: a synthesis and guiding document. Including knowledge gaps and future priorities.</w:t>
      </w:r>
      <w:r>
        <w:t xml:space="preserve"> Report to the National Environmental Science Programme. Reef and Rainforest Research Centre Limited, Cairns (41pp.).</w:t>
      </w:r>
    </w:p>
    <w:p w14:paraId="6E33A0C4" w14:textId="77777777" w:rsidR="00837586" w:rsidRDefault="00837586" w:rsidP="00837586">
      <w:pPr>
        <w:ind w:left="567" w:hanging="567"/>
        <w:contextualSpacing/>
      </w:pPr>
      <w:r>
        <w:t xml:space="preserve">Collier, C. J., Ow, Y. X., Langlois, L., Uthicke, S., Johansson, C. L., O’Brien, K. R., Hrebien, V., Adams, M. P. (2017): Optimum temperatures for net primary productivity of three tropical seagrass species. </w:t>
      </w:r>
      <w:r w:rsidRPr="006F2065">
        <w:rPr>
          <w:i/>
        </w:rPr>
        <w:t>Frontiers in Plant Science</w:t>
      </w:r>
      <w:r>
        <w:t xml:space="preserve"> </w:t>
      </w:r>
      <w:r w:rsidRPr="006F2065">
        <w:rPr>
          <w:b/>
        </w:rPr>
        <w:t>8</w:t>
      </w:r>
      <w:r>
        <w:t>:1446.</w:t>
      </w:r>
    </w:p>
    <w:p w14:paraId="4DAB8134" w14:textId="77777777" w:rsidR="00837586" w:rsidRDefault="00837586" w:rsidP="00837586">
      <w:pPr>
        <w:ind w:left="567" w:hanging="567"/>
        <w:contextualSpacing/>
      </w:pPr>
      <w:r>
        <w:t xml:space="preserve">Collier, C. J., Uthicke, S., Waycott, M. (2011): Thermal tolerance of two seagrass species at contrasting light levels: Implications for future distribution in the Great Barrier Reef. </w:t>
      </w:r>
      <w:r w:rsidRPr="0025485B">
        <w:rPr>
          <w:i/>
        </w:rPr>
        <w:t>Limnology and Oceanography</w:t>
      </w:r>
      <w:r>
        <w:t xml:space="preserve"> </w:t>
      </w:r>
      <w:r w:rsidRPr="0025485B">
        <w:rPr>
          <w:b/>
        </w:rPr>
        <w:t>56</w:t>
      </w:r>
      <w:r>
        <w:t>:2200-2210.</w:t>
      </w:r>
    </w:p>
    <w:p w14:paraId="4788876D" w14:textId="77777777" w:rsidR="00837586" w:rsidRDefault="00837586" w:rsidP="00837586">
      <w:pPr>
        <w:ind w:left="567" w:hanging="567"/>
        <w:contextualSpacing/>
      </w:pPr>
      <w:r>
        <w:t xml:space="preserve">Collier, C. J., Waycott, M. (2014): Temperature extremes reduce seagrass growth and induce mortality. Marine </w:t>
      </w:r>
      <w:r w:rsidRPr="00450694">
        <w:rPr>
          <w:i/>
        </w:rPr>
        <w:t>Pollution Bulletin</w:t>
      </w:r>
      <w:r>
        <w:t xml:space="preserve"> </w:t>
      </w:r>
      <w:r w:rsidRPr="00450694">
        <w:rPr>
          <w:b/>
        </w:rPr>
        <w:t>83</w:t>
      </w:r>
      <w:r>
        <w:t>:483-490.</w:t>
      </w:r>
    </w:p>
    <w:p w14:paraId="5BC02AC6" w14:textId="77777777" w:rsidR="00837586" w:rsidRDefault="00837586" w:rsidP="00837586">
      <w:pPr>
        <w:ind w:left="567" w:hanging="567"/>
        <w:contextualSpacing/>
      </w:pPr>
      <w:r>
        <w:t xml:space="preserve">McKenzie, L., Collier, C., Langlois, L., Yoshida, R., Smith, N., Waycott, M. (2016): </w:t>
      </w:r>
      <w:r w:rsidRPr="00251752">
        <w:rPr>
          <w:i/>
        </w:rPr>
        <w:t>Marine Monitoring Program. Annual Report for inshore seagrass monitoring: 2014 to 2015</w:t>
      </w:r>
      <w:r>
        <w:t>. Report for the Great Barrier Reef Marine Park Authority. TropWATER, James Cook University, Cairns (236pp.).</w:t>
      </w:r>
    </w:p>
    <w:p w14:paraId="4240AFF3" w14:textId="77777777" w:rsidR="009A0520" w:rsidRDefault="009A0520" w:rsidP="009A0520">
      <w:pPr>
        <w:spacing w:before="0" w:after="0"/>
        <w:rPr>
          <w:szCs w:val="22"/>
          <w:lang w:val="en-US"/>
        </w:rPr>
      </w:pPr>
      <w:r>
        <w:rPr>
          <w:szCs w:val="22"/>
          <w:lang w:val="en-US"/>
        </w:rPr>
        <w:br w:type="page"/>
      </w:r>
    </w:p>
    <w:p w14:paraId="46AADF35" w14:textId="77777777" w:rsidR="009A0520" w:rsidRPr="001F473C" w:rsidRDefault="009A0520" w:rsidP="003A22B1">
      <w:pPr>
        <w:pStyle w:val="Heading1"/>
        <w:pageBreakBefore w:val="0"/>
        <w:numPr>
          <w:ilvl w:val="0"/>
          <w:numId w:val="9"/>
        </w:numPr>
        <w:rPr>
          <w:rFonts w:ascii="Century Gothic" w:hAnsi="Century Gothic"/>
          <w:color w:val="000000"/>
        </w:rPr>
      </w:pPr>
      <w:bookmarkStart w:id="651" w:name="_Toc232845952"/>
      <w:bookmarkStart w:id="652" w:name="_Toc184102053"/>
      <w:bookmarkStart w:id="653" w:name="_Toc431493789"/>
      <w:bookmarkStart w:id="654" w:name="_Toc442706400"/>
      <w:bookmarkStart w:id="655" w:name="_Toc516053174"/>
      <w:bookmarkStart w:id="656" w:name="_Toc170191673"/>
      <w:bookmarkStart w:id="657" w:name="_Toc175991101"/>
      <w:r w:rsidRPr="001F473C">
        <w:rPr>
          <w:rFonts w:ascii="Century Gothic" w:hAnsi="Century Gothic"/>
          <w:color w:val="000000"/>
        </w:rPr>
        <w:t>References</w:t>
      </w:r>
      <w:bookmarkEnd w:id="651"/>
      <w:bookmarkEnd w:id="652"/>
      <w:bookmarkEnd w:id="653"/>
      <w:bookmarkEnd w:id="654"/>
      <w:bookmarkEnd w:id="655"/>
    </w:p>
    <w:bookmarkEnd w:id="656"/>
    <w:bookmarkEnd w:id="657"/>
    <w:p w14:paraId="1839A755" w14:textId="77777777" w:rsidR="00305FE7" w:rsidRPr="00305FE7" w:rsidRDefault="009A0520" w:rsidP="00305FE7">
      <w:pPr>
        <w:pStyle w:val="EndNoteBibliography"/>
        <w:spacing w:after="0"/>
        <w:ind w:left="720" w:hanging="720"/>
      </w:pPr>
      <w:r>
        <w:rPr>
          <w:lang w:val="x-none"/>
        </w:rPr>
        <w:fldChar w:fldCharType="begin"/>
      </w:r>
      <w:r>
        <w:rPr>
          <w:lang w:val="x-none"/>
        </w:rPr>
        <w:instrText xml:space="preserve"> ADDIN EN.REFLIST </w:instrText>
      </w:r>
      <w:r>
        <w:rPr>
          <w:lang w:val="x-none"/>
        </w:rPr>
        <w:fldChar w:fldCharType="separate"/>
      </w:r>
      <w:bookmarkStart w:id="658" w:name="_ENREF_1"/>
      <w:r w:rsidR="00305FE7" w:rsidRPr="00305FE7">
        <w:t xml:space="preserve">Abal, E.G., Dennison, W.C., and Greenfield, P.F. 2001, Managing the Brisbane River and Moreton Bay: An integrated research/management program to reduce impacts on an Australian estuary. </w:t>
      </w:r>
      <w:r w:rsidR="00305FE7" w:rsidRPr="00305FE7">
        <w:rPr>
          <w:i/>
        </w:rPr>
        <w:t>Water Science and Technology, 43</w:t>
      </w:r>
      <w:r w:rsidR="00305FE7" w:rsidRPr="00305FE7">
        <w:t xml:space="preserve">, 57-70. </w:t>
      </w:r>
      <w:bookmarkEnd w:id="658"/>
    </w:p>
    <w:p w14:paraId="6CA2193C" w14:textId="77777777" w:rsidR="00305FE7" w:rsidRPr="00305FE7" w:rsidRDefault="00305FE7" w:rsidP="00305FE7">
      <w:pPr>
        <w:pStyle w:val="EndNoteBibliography"/>
        <w:spacing w:after="0"/>
        <w:ind w:left="720" w:hanging="720"/>
      </w:pPr>
      <w:bookmarkStart w:id="659" w:name="_ENREF_2"/>
      <w:r w:rsidRPr="00305FE7">
        <w:t xml:space="preserve">Abal, E.G., Loneragan, N.R., Bowen, P., Perry, C.J., Udy, J.W., and Dennison, W.C. 1994, Physiological and morphological responses of the seagrass </w:t>
      </w:r>
      <w:r w:rsidRPr="00305FE7">
        <w:rPr>
          <w:i/>
        </w:rPr>
        <w:t>Zostera capricorni</w:t>
      </w:r>
      <w:r w:rsidRPr="00305FE7">
        <w:t xml:space="preserve"> Aschers. to light intensity. </w:t>
      </w:r>
      <w:r w:rsidRPr="00305FE7">
        <w:rPr>
          <w:i/>
        </w:rPr>
        <w:t>Journal of Experimental Marine Biology and Ecology, 178</w:t>
      </w:r>
      <w:r w:rsidRPr="00305FE7">
        <w:t xml:space="preserve">(1), 113-129. </w:t>
      </w:r>
      <w:bookmarkEnd w:id="659"/>
    </w:p>
    <w:p w14:paraId="1F05328E" w14:textId="77777777" w:rsidR="00305FE7" w:rsidRPr="00305FE7" w:rsidRDefault="00305FE7" w:rsidP="00305FE7">
      <w:pPr>
        <w:pStyle w:val="EndNoteBibliography"/>
        <w:spacing w:after="0"/>
        <w:ind w:left="720" w:hanging="720"/>
      </w:pPr>
      <w:bookmarkStart w:id="660" w:name="_ENREF_3"/>
      <w:r w:rsidRPr="00305FE7">
        <w:t xml:space="preserve">Angelini, C., Altieri, A.H., Silliman, B.R., and Bertness, M.D. 2011, Interactions among Foundation Species and their Consequences for Community Organization, Biodiversity, and Conservation. </w:t>
      </w:r>
      <w:r w:rsidRPr="00305FE7">
        <w:rPr>
          <w:i/>
        </w:rPr>
        <w:t>BioScience, 61</w:t>
      </w:r>
      <w:r w:rsidRPr="00305FE7">
        <w:t xml:space="preserve">(10), 782-789. </w:t>
      </w:r>
      <w:bookmarkEnd w:id="660"/>
    </w:p>
    <w:p w14:paraId="6A506F77" w14:textId="77777777" w:rsidR="00305FE7" w:rsidRPr="00305FE7" w:rsidRDefault="00305FE7" w:rsidP="00305FE7">
      <w:pPr>
        <w:pStyle w:val="EndNoteBibliography"/>
        <w:spacing w:after="0"/>
        <w:ind w:left="720" w:hanging="720"/>
      </w:pPr>
      <w:bookmarkStart w:id="661" w:name="_ENREF_4"/>
      <w:r w:rsidRPr="00305FE7">
        <w:t xml:space="preserve">Anon. (2013). </w:t>
      </w:r>
      <w:r w:rsidRPr="00305FE7">
        <w:rPr>
          <w:i/>
        </w:rPr>
        <w:t>Reef Water Quality Protection Plan 2013.Securing the health and resilience of the Great Barrier Reef World Heritage Area and adjacent catchments.</w:t>
      </w:r>
      <w:r w:rsidRPr="00305FE7">
        <w:t xml:space="preserve"> Brisbane: The State of Queensland. Reef Water Quality Protection Plan Secretariat.</w:t>
      </w:r>
      <w:bookmarkEnd w:id="661"/>
    </w:p>
    <w:p w14:paraId="5EFAE64A" w14:textId="77777777" w:rsidR="00305FE7" w:rsidRPr="00305FE7" w:rsidRDefault="00305FE7" w:rsidP="00305FE7">
      <w:pPr>
        <w:pStyle w:val="EndNoteBibliography"/>
        <w:spacing w:after="0"/>
        <w:ind w:left="720" w:hanging="720"/>
      </w:pPr>
      <w:bookmarkStart w:id="662" w:name="_ENREF_5"/>
      <w:r w:rsidRPr="00305FE7">
        <w:t xml:space="preserve">Anthony, K., and Kerswell, A. 2007, Coral mortality following extreme low tides and high solar radiation. </w:t>
      </w:r>
      <w:r w:rsidRPr="00305FE7">
        <w:rPr>
          <w:i/>
        </w:rPr>
        <w:t>Marine Biology, 151</w:t>
      </w:r>
      <w:r w:rsidRPr="00305FE7">
        <w:t xml:space="preserve">, 1623-1631. </w:t>
      </w:r>
      <w:bookmarkEnd w:id="662"/>
    </w:p>
    <w:p w14:paraId="5BF8CFA2" w14:textId="77777777" w:rsidR="00305FE7" w:rsidRPr="00305FE7" w:rsidRDefault="00305FE7" w:rsidP="00305FE7">
      <w:pPr>
        <w:pStyle w:val="EndNoteBibliography"/>
        <w:spacing w:after="0"/>
        <w:ind w:left="720" w:hanging="720"/>
      </w:pPr>
      <w:bookmarkStart w:id="663" w:name="_ENREF_6"/>
      <w:r w:rsidRPr="00305FE7">
        <w:t xml:space="preserve">Anthony, K.R.N., Ridd, P.V., Orpin, A.R., Larcombe, P., and Lough, J. 2004, Temporal variation in light availability in coastal benthic habitats: Effects of clouds, turbidity, and tides. </w:t>
      </w:r>
      <w:r w:rsidRPr="00305FE7">
        <w:rPr>
          <w:i/>
        </w:rPr>
        <w:t>Limnology and Oceanography, 49</w:t>
      </w:r>
      <w:r w:rsidRPr="00305FE7">
        <w:t xml:space="preserve">(6), 2201-2211. </w:t>
      </w:r>
      <w:bookmarkEnd w:id="663"/>
    </w:p>
    <w:p w14:paraId="5412ADA4" w14:textId="77777777" w:rsidR="00305FE7" w:rsidRPr="00305FE7" w:rsidRDefault="00305FE7" w:rsidP="00305FE7">
      <w:pPr>
        <w:pStyle w:val="EndNoteBibliography"/>
        <w:spacing w:after="0"/>
        <w:ind w:left="720" w:hanging="720"/>
      </w:pPr>
      <w:bookmarkStart w:id="664" w:name="_ENREF_7"/>
      <w:r w:rsidRPr="00305FE7">
        <w:t xml:space="preserve">ANZECC. 2000, Australian and New Zealand guidelines for fresh and marine water quality. </w:t>
      </w:r>
      <w:bookmarkEnd w:id="664"/>
    </w:p>
    <w:p w14:paraId="47F794CC" w14:textId="77777777" w:rsidR="00305FE7" w:rsidRPr="00305FE7" w:rsidRDefault="00305FE7" w:rsidP="00305FE7">
      <w:pPr>
        <w:pStyle w:val="EndNoteBibliography"/>
        <w:spacing w:after="0"/>
        <w:ind w:left="720" w:hanging="720"/>
      </w:pPr>
      <w:bookmarkStart w:id="665" w:name="_ENREF_8"/>
      <w:r w:rsidRPr="00305FE7">
        <w:t>Arthur, K., Boyle, M., and Limpus, C. 2008, Ontogenetic changes in diet and habitat use in green sea turtle (</w:t>
      </w:r>
      <w:r w:rsidRPr="00305FE7">
        <w:rPr>
          <w:i/>
        </w:rPr>
        <w:t>Chelonia mydas</w:t>
      </w:r>
      <w:r w:rsidRPr="00305FE7">
        <w:t xml:space="preserve">) life history. </w:t>
      </w:r>
      <w:r w:rsidRPr="00305FE7">
        <w:rPr>
          <w:i/>
        </w:rPr>
        <w:t>Marine Ecology Progress Series, 362</w:t>
      </w:r>
      <w:r w:rsidRPr="00305FE7">
        <w:t xml:space="preserve">, 303-311. </w:t>
      </w:r>
      <w:bookmarkEnd w:id="665"/>
    </w:p>
    <w:p w14:paraId="21AB6D03" w14:textId="77777777" w:rsidR="00305FE7" w:rsidRPr="00305FE7" w:rsidRDefault="00305FE7" w:rsidP="00305FE7">
      <w:pPr>
        <w:pStyle w:val="EndNoteBibliography"/>
        <w:spacing w:after="0"/>
        <w:ind w:left="720" w:hanging="720"/>
      </w:pPr>
      <w:bookmarkStart w:id="666" w:name="_ENREF_9"/>
      <w:r w:rsidRPr="00305FE7">
        <w:t xml:space="preserve">Atkinson, M.J., and Smith, S.V. 1983, C:N:P ratios of benthic marine plants. </w:t>
      </w:r>
      <w:r w:rsidRPr="00305FE7">
        <w:rPr>
          <w:i/>
        </w:rPr>
        <w:t>Limnology and Oceanography, 28</w:t>
      </w:r>
      <w:r w:rsidRPr="00305FE7">
        <w:t xml:space="preserve">(3), 568-574. </w:t>
      </w:r>
      <w:bookmarkEnd w:id="666"/>
    </w:p>
    <w:p w14:paraId="75720014" w14:textId="77777777" w:rsidR="00305FE7" w:rsidRPr="00305FE7" w:rsidRDefault="00305FE7" w:rsidP="00305FE7">
      <w:pPr>
        <w:pStyle w:val="EndNoteBibliography"/>
        <w:spacing w:after="0"/>
        <w:ind w:left="720" w:hanging="720"/>
      </w:pPr>
      <w:bookmarkStart w:id="667" w:name="_ENREF_10"/>
      <w:r w:rsidRPr="00305FE7">
        <w:t xml:space="preserve">Bainbridge, Z., Wolanski, E., Lewis, S., and Brodie, J. 2012, Fine sediment and nutrient dynamics related to particle size and floc formation in a Burdekin River flood plume, Australia. </w:t>
      </w:r>
      <w:r w:rsidRPr="00305FE7">
        <w:rPr>
          <w:i/>
        </w:rPr>
        <w:t>Marine Pollution Bulletin, 65</w:t>
      </w:r>
      <w:r w:rsidRPr="00305FE7">
        <w:t xml:space="preserve">, 236-248. </w:t>
      </w:r>
      <w:bookmarkEnd w:id="667"/>
    </w:p>
    <w:p w14:paraId="172B3837" w14:textId="7B131E26" w:rsidR="00305FE7" w:rsidRPr="00305FE7" w:rsidRDefault="00305FE7" w:rsidP="00305FE7">
      <w:pPr>
        <w:pStyle w:val="EndNoteBibliography"/>
        <w:spacing w:after="0"/>
        <w:ind w:left="720" w:hanging="720"/>
      </w:pPr>
      <w:bookmarkStart w:id="668" w:name="_ENREF_11"/>
      <w:r w:rsidRPr="00305FE7">
        <w:t xml:space="preserve">Balata, D., Bertocci, I., Piazzi, L., and Nesti, U. 2008, Comparison between epiphyte assemblages of leaves and rhizomes of the seagrass Posidonia oceanica subjected to different levels of anthropogenic eutrophication. </w:t>
      </w:r>
      <w:r w:rsidRPr="00305FE7">
        <w:rPr>
          <w:i/>
        </w:rPr>
        <w:t>Estuarine, Coastal and Shelf Science, 79</w:t>
      </w:r>
      <w:r w:rsidRPr="00305FE7">
        <w:t xml:space="preserve">(3), 533-540. doi: </w:t>
      </w:r>
      <w:hyperlink r:id="rId164" w:history="1">
        <w:r w:rsidRPr="00305FE7">
          <w:rPr>
            <w:rStyle w:val="Hyperlink"/>
          </w:rPr>
          <w:t>http://dx.doi.org/10.1016/j.ecss.2008.05.009</w:t>
        </w:r>
        <w:bookmarkEnd w:id="668"/>
      </w:hyperlink>
    </w:p>
    <w:p w14:paraId="6B7E9CF8" w14:textId="77777777" w:rsidR="00305FE7" w:rsidRPr="00305FE7" w:rsidRDefault="00305FE7" w:rsidP="00305FE7">
      <w:pPr>
        <w:pStyle w:val="EndNoteBibliography"/>
        <w:spacing w:after="0"/>
        <w:ind w:left="720" w:hanging="720"/>
      </w:pPr>
      <w:bookmarkStart w:id="669" w:name="_ENREF_12"/>
      <w:r w:rsidRPr="00305FE7">
        <w:t xml:space="preserve">Bernhardt, J.R., and Leslie, H.M. 2013, Resilience to climate change in coastal marine ecosystems. </w:t>
      </w:r>
      <w:r w:rsidRPr="00305FE7">
        <w:rPr>
          <w:i/>
        </w:rPr>
        <w:t>Annual Review of Marine Science, 5</w:t>
      </w:r>
      <w:r w:rsidRPr="00305FE7">
        <w:t xml:space="preserve">, 371-392. </w:t>
      </w:r>
      <w:bookmarkEnd w:id="669"/>
    </w:p>
    <w:p w14:paraId="1331026C" w14:textId="77777777" w:rsidR="00305FE7" w:rsidRPr="00305FE7" w:rsidRDefault="00305FE7" w:rsidP="00305FE7">
      <w:pPr>
        <w:pStyle w:val="EndNoteBibliography"/>
        <w:spacing w:after="0"/>
        <w:ind w:left="720" w:hanging="720"/>
      </w:pPr>
      <w:bookmarkStart w:id="670" w:name="_ENREF_13"/>
      <w:r w:rsidRPr="00305FE7">
        <w:t xml:space="preserve">Birch, W., and Birch, M. 1984, Succession and pattern of tropical intertidal seagrasses in Cockle Bay, Queensland, Australia: a decade of observations. </w:t>
      </w:r>
      <w:r w:rsidRPr="00305FE7">
        <w:rPr>
          <w:i/>
        </w:rPr>
        <w:t>Aquatic Botany, 19</w:t>
      </w:r>
      <w:r w:rsidRPr="00305FE7">
        <w:t xml:space="preserve">, 343-367. </w:t>
      </w:r>
      <w:bookmarkEnd w:id="670"/>
    </w:p>
    <w:p w14:paraId="7BB0E917" w14:textId="77777777" w:rsidR="00305FE7" w:rsidRPr="00305FE7" w:rsidRDefault="00305FE7" w:rsidP="00305FE7">
      <w:pPr>
        <w:pStyle w:val="EndNoteBibliography"/>
        <w:spacing w:after="0"/>
        <w:ind w:left="720" w:hanging="720"/>
      </w:pPr>
      <w:bookmarkStart w:id="671" w:name="_ENREF_14"/>
      <w:r w:rsidRPr="00305FE7">
        <w:t xml:space="preserve">Björk, M., Uka, J., Weil, A., and Beer, S. 1999, Photosynthetic tolerances to desiccation of tropical intertidal seagrasses. </w:t>
      </w:r>
      <w:r w:rsidRPr="00305FE7">
        <w:rPr>
          <w:i/>
        </w:rPr>
        <w:t>Marine Ecology Progress Series, 191</w:t>
      </w:r>
      <w:r w:rsidRPr="00305FE7">
        <w:t xml:space="preserve">, 121-126. </w:t>
      </w:r>
      <w:bookmarkEnd w:id="671"/>
    </w:p>
    <w:p w14:paraId="31F4FB28" w14:textId="77777777" w:rsidR="00305FE7" w:rsidRPr="00305FE7" w:rsidRDefault="00305FE7" w:rsidP="00305FE7">
      <w:pPr>
        <w:pStyle w:val="EndNoteBibliography"/>
        <w:spacing w:after="0"/>
        <w:ind w:left="720" w:hanging="720"/>
      </w:pPr>
      <w:bookmarkStart w:id="672" w:name="_ENREF_15"/>
      <w:r w:rsidRPr="00305FE7">
        <w:t xml:space="preserve">Borowitzka, M.A., Lavery, P.S., and van Keulen, M. (2006). Epiphytes of seagrasses. In WD Larkum, RJ Orth &amp; CM Duarte (Eds.), </w:t>
      </w:r>
      <w:r w:rsidRPr="00305FE7">
        <w:rPr>
          <w:i/>
        </w:rPr>
        <w:t>Seagrasses: Biology, Ecology and Conservation</w:t>
      </w:r>
      <w:r w:rsidRPr="00305FE7">
        <w:t>. Dordrecht: Springer.</w:t>
      </w:r>
      <w:bookmarkEnd w:id="672"/>
    </w:p>
    <w:p w14:paraId="72D15444" w14:textId="77777777" w:rsidR="00305FE7" w:rsidRPr="00305FE7" w:rsidRDefault="00305FE7" w:rsidP="00305FE7">
      <w:pPr>
        <w:pStyle w:val="EndNoteBibliography"/>
        <w:spacing w:after="0"/>
        <w:ind w:left="720" w:hanging="720"/>
      </w:pPr>
      <w:bookmarkStart w:id="673" w:name="_ENREF_16"/>
      <w:r w:rsidRPr="00305FE7">
        <w:t>Borum, J. 1985, Development of epiphytic communities on eelgrass (</w:t>
      </w:r>
      <w:r w:rsidRPr="00305FE7">
        <w:rPr>
          <w:i/>
        </w:rPr>
        <w:t>Zostra marina</w:t>
      </w:r>
      <w:r w:rsidRPr="00305FE7">
        <w:t xml:space="preserve">) along a nutrient gradient in a Danish estuary. </w:t>
      </w:r>
      <w:r w:rsidRPr="00305FE7">
        <w:rPr>
          <w:i/>
        </w:rPr>
        <w:t>Marine Biology, 87</w:t>
      </w:r>
      <w:r w:rsidRPr="00305FE7">
        <w:t xml:space="preserve">, 211–218. </w:t>
      </w:r>
      <w:bookmarkEnd w:id="673"/>
    </w:p>
    <w:p w14:paraId="4134D8CA" w14:textId="77777777" w:rsidR="00305FE7" w:rsidRPr="00305FE7" w:rsidRDefault="00305FE7" w:rsidP="00305FE7">
      <w:pPr>
        <w:pStyle w:val="EndNoteBibliography"/>
        <w:spacing w:after="0"/>
        <w:ind w:left="720" w:hanging="720"/>
      </w:pPr>
      <w:bookmarkStart w:id="674" w:name="_ENREF_17"/>
      <w:r w:rsidRPr="00305FE7">
        <w:t xml:space="preserve">Borum, J., Duarte, C.M., Krause-Jensen, D., and Greve, T.M. (2004). </w:t>
      </w:r>
      <w:r w:rsidRPr="00305FE7">
        <w:rPr>
          <w:i/>
        </w:rPr>
        <w:t>European seagrasses: an introduction to monitoring and management</w:t>
      </w:r>
      <w:r w:rsidRPr="00305FE7">
        <w:t>. Copenhagen: The M&amp;MS project.</w:t>
      </w:r>
      <w:bookmarkEnd w:id="674"/>
    </w:p>
    <w:p w14:paraId="3D12EA6D" w14:textId="77777777" w:rsidR="00305FE7" w:rsidRPr="00305FE7" w:rsidRDefault="00305FE7" w:rsidP="00305FE7">
      <w:pPr>
        <w:pStyle w:val="EndNoteBibliography"/>
        <w:spacing w:after="0"/>
        <w:ind w:left="720" w:hanging="720"/>
      </w:pPr>
      <w:bookmarkStart w:id="675" w:name="_ENREF_18"/>
      <w:r w:rsidRPr="00305FE7">
        <w:t xml:space="preserve">Brodie, J. (2004). </w:t>
      </w:r>
      <w:r w:rsidRPr="00305FE7">
        <w:rPr>
          <w:i/>
        </w:rPr>
        <w:t>Mackay Whitsunday Region: State of the Waterways Report 2004 ACTFR Report No. 02/03 for the Mackay Whitsunday Natural Resource Management Group</w:t>
      </w:r>
      <w:r w:rsidRPr="00305FE7">
        <w:t>. Yownsville: ACTFR, James Cook University.</w:t>
      </w:r>
      <w:bookmarkEnd w:id="675"/>
    </w:p>
    <w:p w14:paraId="0301B0C0" w14:textId="77777777" w:rsidR="00305FE7" w:rsidRPr="00305FE7" w:rsidRDefault="00305FE7" w:rsidP="00305FE7">
      <w:pPr>
        <w:pStyle w:val="EndNoteBibliography"/>
        <w:spacing w:after="0"/>
        <w:ind w:left="720" w:hanging="720"/>
      </w:pPr>
      <w:bookmarkStart w:id="676" w:name="_ENREF_19"/>
      <w:r w:rsidRPr="00305FE7">
        <w:t xml:space="preserve">Brodie, J., Waterhouse, J., Schaffelke, B., Johnson, J., Kroon, F., Thorburn, P., Rolfe, J., Lewis, S., Warne, M., Fabricius, K., McKenzie, L.J., and Devlin, M. (2013). </w:t>
      </w:r>
      <w:r w:rsidRPr="00305FE7">
        <w:rPr>
          <w:i/>
        </w:rPr>
        <w:t>Reef Water Quality Scientific Consensus Statement 2013</w:t>
      </w:r>
      <w:r w:rsidRPr="00305FE7">
        <w:t>. Brisbane: Department of the Premier and Cabinet, Queensland Government.</w:t>
      </w:r>
      <w:bookmarkEnd w:id="676"/>
    </w:p>
    <w:p w14:paraId="35824509" w14:textId="77777777" w:rsidR="00305FE7" w:rsidRPr="00305FE7" w:rsidRDefault="00305FE7" w:rsidP="00305FE7">
      <w:pPr>
        <w:pStyle w:val="EndNoteBibliography"/>
        <w:spacing w:after="0"/>
        <w:ind w:left="720" w:hanging="720"/>
      </w:pPr>
      <w:bookmarkStart w:id="677" w:name="_ENREF_20"/>
      <w:r w:rsidRPr="00305FE7">
        <w:t xml:space="preserve">Brodie, J.E., Kroon, F.J., Schaffelke, B., Wolanski, E.C., Lewis, S.E., Devlin, M.J., Bohnet, I.C., Bainbridge, Z.T., Waterhouse, J., and Davis, A.M. 2012, Terrestrial pollutant runoff to the Great Barrier Reef: An update of issues, priorities and management responses. </w:t>
      </w:r>
      <w:r w:rsidRPr="00305FE7">
        <w:rPr>
          <w:i/>
        </w:rPr>
        <w:t>Marine Pollution Bulletin, 65</w:t>
      </w:r>
      <w:r w:rsidRPr="00305FE7">
        <w:t xml:space="preserve">(4–9), 81-100. </w:t>
      </w:r>
      <w:bookmarkEnd w:id="677"/>
    </w:p>
    <w:p w14:paraId="34C2C654" w14:textId="77777777" w:rsidR="00305FE7" w:rsidRPr="00305FE7" w:rsidRDefault="00305FE7" w:rsidP="00305FE7">
      <w:pPr>
        <w:pStyle w:val="EndNoteBibliography"/>
        <w:spacing w:after="0"/>
        <w:ind w:left="720" w:hanging="720"/>
      </w:pPr>
      <w:bookmarkStart w:id="678" w:name="_ENREF_21"/>
      <w:r w:rsidRPr="00305FE7">
        <w:t xml:space="preserve">Bros, W.E., and Cowell, B.C. 1987, A technique for optimising sample size (replication). </w:t>
      </w:r>
      <w:r w:rsidRPr="00305FE7">
        <w:rPr>
          <w:i/>
        </w:rPr>
        <w:t>Journal of  Experimental Marine Biology and Ecology, 114</w:t>
      </w:r>
      <w:r w:rsidRPr="00305FE7">
        <w:t xml:space="preserve">, 63-71. </w:t>
      </w:r>
      <w:bookmarkEnd w:id="678"/>
    </w:p>
    <w:p w14:paraId="32E3F43B" w14:textId="77777777" w:rsidR="00305FE7" w:rsidRPr="00305FE7" w:rsidRDefault="00305FE7" w:rsidP="00305FE7">
      <w:pPr>
        <w:pStyle w:val="EndNoteBibliography"/>
        <w:spacing w:after="0"/>
        <w:ind w:left="720" w:hanging="720"/>
      </w:pPr>
      <w:bookmarkStart w:id="679" w:name="_ENREF_22"/>
      <w:r w:rsidRPr="00305FE7">
        <w:t xml:space="preserve">Burnett Mary Regional Group. (2005). </w:t>
      </w:r>
      <w:r w:rsidRPr="00305FE7">
        <w:rPr>
          <w:i/>
        </w:rPr>
        <w:t>Country to Coast – A Healthy Sustainable Future Volume 1a  Background Report</w:t>
      </w:r>
      <w:r w:rsidRPr="00305FE7">
        <w:t>. Bundaberg, Qld: Burnett Mary Regional Group.</w:t>
      </w:r>
      <w:bookmarkEnd w:id="679"/>
    </w:p>
    <w:p w14:paraId="752F5DAE" w14:textId="77777777" w:rsidR="00305FE7" w:rsidRPr="00305FE7" w:rsidRDefault="00305FE7" w:rsidP="00305FE7">
      <w:pPr>
        <w:pStyle w:val="EndNoteBibliography"/>
        <w:spacing w:after="0"/>
        <w:ind w:left="720" w:hanging="720"/>
      </w:pPr>
      <w:bookmarkStart w:id="680" w:name="_ENREF_23"/>
      <w:r w:rsidRPr="00305FE7">
        <w:t xml:space="preserve">Burnett Mary Regional Group. (2010). </w:t>
      </w:r>
      <w:r w:rsidRPr="00305FE7">
        <w:rPr>
          <w:i/>
        </w:rPr>
        <w:t>Burnett-Baffle Water Quality Improvement Plan</w:t>
      </w:r>
      <w:r w:rsidRPr="00305FE7">
        <w:t>. Bundaberg: Burnett Mary Regional Group.</w:t>
      </w:r>
      <w:bookmarkEnd w:id="680"/>
    </w:p>
    <w:p w14:paraId="65A70ADC" w14:textId="77777777" w:rsidR="00305FE7" w:rsidRPr="00305FE7" w:rsidRDefault="00305FE7" w:rsidP="00305FE7">
      <w:pPr>
        <w:pStyle w:val="EndNoteBibliography"/>
        <w:spacing w:after="0"/>
        <w:ind w:left="720" w:hanging="720"/>
      </w:pPr>
      <w:bookmarkStart w:id="681" w:name="_ENREF_24"/>
      <w:r w:rsidRPr="00305FE7">
        <w:t xml:space="preserve">Burnett Mary Regional Group. (2013). </w:t>
      </w:r>
      <w:r w:rsidRPr="00305FE7">
        <w:rPr>
          <w:i/>
        </w:rPr>
        <w:t>Wide Bay Burnett, Environment and Natural Resource Management Plan 2012-2031 - Regional targets to support the environment and sustainability framework of the Wide Bay Burnett Regional Plan</w:t>
      </w:r>
      <w:r w:rsidRPr="00305FE7">
        <w:t>. Bundaberg: Burnett Mary Regional Group.</w:t>
      </w:r>
      <w:bookmarkEnd w:id="681"/>
    </w:p>
    <w:p w14:paraId="532737BC" w14:textId="77777777" w:rsidR="00305FE7" w:rsidRPr="00305FE7" w:rsidRDefault="00305FE7" w:rsidP="00305FE7">
      <w:pPr>
        <w:pStyle w:val="EndNoteBibliography"/>
        <w:spacing w:after="0"/>
        <w:ind w:left="720" w:hanging="720"/>
      </w:pPr>
      <w:bookmarkStart w:id="682" w:name="_ENREF_25"/>
      <w:r w:rsidRPr="00305FE7">
        <w:t xml:space="preserve">Cabaço, S., Apostolaki, E.T., García-Marín, P., Gruber, R., Hernández, I., Martínez-Crego, B., Mascaró, O., Pérez, M., Prathep, A., Robinson, C., Romero, J., Schmidt, A.L., Short, F.T., van Tussenbroek, B.I., and Santos, R. 2013, Effects of nutrient enrichment on seagrass population dynamics: evidence and synthesis from the biomass–density relationships. </w:t>
      </w:r>
      <w:r w:rsidRPr="00305FE7">
        <w:rPr>
          <w:i/>
        </w:rPr>
        <w:t>Journal of Ecology, 101</w:t>
      </w:r>
      <w:r w:rsidRPr="00305FE7">
        <w:t>(6), 1552-1562. doi: 10.1111/1365-2745.12134</w:t>
      </w:r>
      <w:bookmarkEnd w:id="682"/>
    </w:p>
    <w:p w14:paraId="15BC106E" w14:textId="77777777" w:rsidR="00305FE7" w:rsidRPr="00305FE7" w:rsidRDefault="00305FE7" w:rsidP="00305FE7">
      <w:pPr>
        <w:pStyle w:val="EndNoteBibliography"/>
        <w:spacing w:after="0"/>
        <w:ind w:left="720" w:hanging="720"/>
      </w:pPr>
      <w:bookmarkStart w:id="683" w:name="_ENREF_26"/>
      <w:r w:rsidRPr="00305FE7">
        <w:t xml:space="preserve">Cabaço, S., and Santos, R. 2007, Effects of burial and erosion on the seagrass Zostera noltii. </w:t>
      </w:r>
      <w:r w:rsidRPr="00305FE7">
        <w:rPr>
          <w:i/>
        </w:rPr>
        <w:t>Journal of Experimental Marine Biology and Ecology, 340</w:t>
      </w:r>
      <w:r w:rsidRPr="00305FE7">
        <w:t xml:space="preserve">, 204-212. </w:t>
      </w:r>
      <w:bookmarkEnd w:id="683"/>
    </w:p>
    <w:p w14:paraId="54CB0729" w14:textId="77777777" w:rsidR="00305FE7" w:rsidRPr="00305FE7" w:rsidRDefault="00305FE7" w:rsidP="00305FE7">
      <w:pPr>
        <w:pStyle w:val="EndNoteBibliography"/>
        <w:spacing w:after="0"/>
        <w:ind w:left="720" w:hanging="720"/>
      </w:pPr>
      <w:bookmarkStart w:id="684" w:name="_ENREF_27"/>
      <w:r w:rsidRPr="00305FE7">
        <w:t xml:space="preserve">Cambridge, M.L., Chiffings, A.W., Brittan, C., Moore, L., and McComb, A.J. 1986, The loss of seagrass in Cockburn Sound, Western Australia. II. Possible causes of seagrass decline. </w:t>
      </w:r>
      <w:r w:rsidRPr="00305FE7">
        <w:rPr>
          <w:i/>
        </w:rPr>
        <w:t>Aquatic Botany, 24</w:t>
      </w:r>
      <w:r w:rsidRPr="00305FE7">
        <w:t xml:space="preserve">, 269-285. </w:t>
      </w:r>
      <w:bookmarkEnd w:id="684"/>
    </w:p>
    <w:p w14:paraId="76EBB9B6" w14:textId="77777777" w:rsidR="00305FE7" w:rsidRPr="00305FE7" w:rsidRDefault="00305FE7" w:rsidP="00305FE7">
      <w:pPr>
        <w:pStyle w:val="EndNoteBibliography"/>
        <w:spacing w:after="0"/>
        <w:ind w:left="720" w:hanging="720"/>
      </w:pPr>
      <w:bookmarkStart w:id="685" w:name="_ENREF_28"/>
      <w:r w:rsidRPr="00305FE7">
        <w:t xml:space="preserve">Campbell, S.J., and McKenzie, L.J. 2001, Seagrass and algal abundance in the Whitsundays region. Status Report. </w:t>
      </w:r>
      <w:bookmarkEnd w:id="685"/>
    </w:p>
    <w:p w14:paraId="5259C3E4" w14:textId="77777777" w:rsidR="00305FE7" w:rsidRPr="00305FE7" w:rsidRDefault="00305FE7" w:rsidP="00305FE7">
      <w:pPr>
        <w:pStyle w:val="EndNoteBibliography"/>
        <w:spacing w:after="0"/>
        <w:ind w:left="720" w:hanging="720"/>
      </w:pPr>
      <w:bookmarkStart w:id="686" w:name="_ENREF_29"/>
      <w:r w:rsidRPr="00305FE7">
        <w:t xml:space="preserve">Campbell, S.J., and McKenzie, L.J. 2004, Flood related loss and recovery of intertidal seagrass meadows in southern Queensland, Australia. </w:t>
      </w:r>
      <w:r w:rsidRPr="00305FE7">
        <w:rPr>
          <w:i/>
        </w:rPr>
        <w:t>Estuarine, Coastal and Shelf Science, 60</w:t>
      </w:r>
      <w:r w:rsidRPr="00305FE7">
        <w:t xml:space="preserve">(3), 477-490. </w:t>
      </w:r>
      <w:bookmarkEnd w:id="686"/>
    </w:p>
    <w:p w14:paraId="023AF84D" w14:textId="77777777" w:rsidR="00305FE7" w:rsidRPr="00305FE7" w:rsidRDefault="00305FE7" w:rsidP="00305FE7">
      <w:pPr>
        <w:pStyle w:val="EndNoteBibliography"/>
        <w:spacing w:after="0"/>
        <w:ind w:left="720" w:hanging="720"/>
      </w:pPr>
      <w:bookmarkStart w:id="687" w:name="_ENREF_30"/>
      <w:r w:rsidRPr="00305FE7">
        <w:t xml:space="preserve">Campbell, S.J., McKenzie, L.J., and Kerville, S.P. 2006, Photosynthetic responses of seven tropical seagrasses to elevated seawater temperature. </w:t>
      </w:r>
      <w:r w:rsidRPr="00305FE7">
        <w:rPr>
          <w:i/>
        </w:rPr>
        <w:t>Journal of Experimental Marine Biology and Ecology, 330</w:t>
      </w:r>
      <w:r w:rsidRPr="00305FE7">
        <w:t xml:space="preserve">, 455-468. </w:t>
      </w:r>
      <w:bookmarkEnd w:id="687"/>
    </w:p>
    <w:p w14:paraId="5E870121" w14:textId="77777777" w:rsidR="00305FE7" w:rsidRPr="00305FE7" w:rsidRDefault="00305FE7" w:rsidP="00305FE7">
      <w:pPr>
        <w:pStyle w:val="EndNoteBibliography"/>
        <w:spacing w:after="0"/>
        <w:ind w:left="720" w:hanging="720"/>
      </w:pPr>
      <w:bookmarkStart w:id="688" w:name="_ENREF_31"/>
      <w:r w:rsidRPr="00305FE7">
        <w:t xml:space="preserve">Campbell, S.J., Roder, C.A., McKenzie, L.J., and Lee Long, W.J. 2002, Seagrass resources in the Whitsunday region 1999 and 2000. </w:t>
      </w:r>
      <w:r w:rsidRPr="00305FE7">
        <w:rPr>
          <w:i/>
        </w:rPr>
        <w:t>DPI Information Series QI02043</w:t>
      </w:r>
      <w:r w:rsidRPr="00305FE7">
        <w:t xml:space="preserve">, 50. </w:t>
      </w:r>
      <w:bookmarkEnd w:id="688"/>
    </w:p>
    <w:p w14:paraId="0796FA2E" w14:textId="77777777" w:rsidR="00305FE7" w:rsidRPr="00305FE7" w:rsidRDefault="00305FE7" w:rsidP="00305FE7">
      <w:pPr>
        <w:pStyle w:val="EndNoteBibliography"/>
        <w:spacing w:after="0"/>
        <w:ind w:left="720" w:hanging="720"/>
      </w:pPr>
      <w:bookmarkStart w:id="689" w:name="_ENREF_32"/>
      <w:r w:rsidRPr="00305FE7">
        <w:t xml:space="preserve">Carruthers, T., Dennison, W., Longstaff, B., Waycott, M., Abal, E.G., McKenzie, L.J., and Lee Long, W. 2002, Seagrass habitats of north east Australia: models of key processes and controls. </w:t>
      </w:r>
      <w:r w:rsidRPr="00305FE7">
        <w:rPr>
          <w:i/>
        </w:rPr>
        <w:t>Bulletin of Marine Science, 71</w:t>
      </w:r>
      <w:r w:rsidRPr="00305FE7">
        <w:t xml:space="preserve">(3), 1153-1169. </w:t>
      </w:r>
      <w:bookmarkEnd w:id="689"/>
    </w:p>
    <w:p w14:paraId="1F431C9B" w14:textId="77777777" w:rsidR="00305FE7" w:rsidRPr="00305FE7" w:rsidRDefault="00305FE7" w:rsidP="00305FE7">
      <w:pPr>
        <w:pStyle w:val="EndNoteBibliography"/>
        <w:spacing w:after="0"/>
        <w:ind w:left="720" w:hanging="720"/>
      </w:pPr>
      <w:bookmarkStart w:id="690" w:name="_ENREF_33"/>
      <w:r w:rsidRPr="00305FE7">
        <w:t xml:space="preserve">Carter, A., Chartrand, K., and Rasheed, M. (2012). </w:t>
      </w:r>
      <w:r w:rsidRPr="00305FE7">
        <w:rPr>
          <w:i/>
        </w:rPr>
        <w:t>Critical marine habitats in high risk areas, Princess Charlotte Bay region - 2011 Atlas</w:t>
      </w:r>
      <w:r w:rsidRPr="00305FE7">
        <w:t>. Northern Fisheries Centre, Cairns: DAFF Publication.</w:t>
      </w:r>
      <w:bookmarkEnd w:id="690"/>
    </w:p>
    <w:p w14:paraId="13D86408" w14:textId="77777777" w:rsidR="00305FE7" w:rsidRPr="00305FE7" w:rsidRDefault="00305FE7" w:rsidP="00305FE7">
      <w:pPr>
        <w:pStyle w:val="EndNoteBibliography"/>
        <w:spacing w:after="0"/>
        <w:ind w:left="720" w:hanging="720"/>
      </w:pPr>
      <w:bookmarkStart w:id="691" w:name="_ENREF_34"/>
      <w:r w:rsidRPr="00305FE7">
        <w:t xml:space="preserve">Carter, A., and Rasheed, M. (2013). </w:t>
      </w:r>
      <w:r w:rsidRPr="00305FE7">
        <w:rPr>
          <w:i/>
        </w:rPr>
        <w:t xml:space="preserve">Critical marine habitats in high risk areas, Bathurst Bay region - 2012 Atlas. </w:t>
      </w:r>
      <w:r w:rsidRPr="00305FE7">
        <w:t>(Vol. Report No. 13/19). Cairns: JCU Publication, Centre for Tropical Water &amp; Aquatic Ecosystem Research.</w:t>
      </w:r>
      <w:bookmarkEnd w:id="691"/>
    </w:p>
    <w:p w14:paraId="20569074" w14:textId="77777777" w:rsidR="00305FE7" w:rsidRPr="00305FE7" w:rsidRDefault="00305FE7" w:rsidP="00305FE7">
      <w:pPr>
        <w:pStyle w:val="EndNoteBibliography"/>
        <w:spacing w:after="0"/>
        <w:ind w:left="720" w:hanging="720"/>
      </w:pPr>
      <w:bookmarkStart w:id="692" w:name="_ENREF_35"/>
      <w:r w:rsidRPr="00305FE7">
        <w:t xml:space="preserve">Carter, A.B., McKenna, S.A., Rasheed, M.A., McKenzie, L.J., and Coles, R.G. (2016). </w:t>
      </w:r>
      <w:r w:rsidRPr="00305FE7">
        <w:rPr>
          <w:i/>
        </w:rPr>
        <w:t>Seagrass mapping synthesis: A resource for coastal management in the Great Barrier Reef World Heritage Area. Report to the National Environmental Science Programme.</w:t>
      </w:r>
      <w:r w:rsidRPr="00305FE7">
        <w:t xml:space="preserve"> Cairns: Reef and Rainforest Research Centre Limited.</w:t>
      </w:r>
      <w:bookmarkEnd w:id="692"/>
    </w:p>
    <w:p w14:paraId="3A3E4D58" w14:textId="77777777" w:rsidR="00305FE7" w:rsidRPr="00305FE7" w:rsidRDefault="00305FE7" w:rsidP="00305FE7">
      <w:pPr>
        <w:pStyle w:val="EndNoteBibliography"/>
        <w:spacing w:after="0"/>
        <w:ind w:left="720" w:hanging="720"/>
      </w:pPr>
      <w:bookmarkStart w:id="693" w:name="_ENREF_36"/>
      <w:r w:rsidRPr="00305FE7">
        <w:t xml:space="preserve">Carter, A.B., and Rasheed, M.A. (2014). </w:t>
      </w:r>
      <w:r w:rsidRPr="00305FE7">
        <w:rPr>
          <w:i/>
        </w:rPr>
        <w:t>Critical marine habitats in high risk areas, South Warden Reef to Howick Group - 2013 Atlas. Centre for Tropical Water &amp; Aquatic Ecosystem Research Report no. 13/56</w:t>
      </w:r>
      <w:r w:rsidRPr="00305FE7">
        <w:t>. Cairns: James Cook University.</w:t>
      </w:r>
      <w:bookmarkEnd w:id="693"/>
    </w:p>
    <w:p w14:paraId="40D67E60" w14:textId="77777777" w:rsidR="00305FE7" w:rsidRPr="00305FE7" w:rsidRDefault="00305FE7" w:rsidP="00305FE7">
      <w:pPr>
        <w:pStyle w:val="EndNoteBibliography"/>
        <w:spacing w:after="0"/>
        <w:ind w:left="720" w:hanging="720"/>
      </w:pPr>
      <w:bookmarkStart w:id="694" w:name="_ENREF_37"/>
      <w:r w:rsidRPr="00305FE7">
        <w:t xml:space="preserve">Carter, A.B., and Rasheed, M.A. (2015). </w:t>
      </w:r>
      <w:r w:rsidRPr="00305FE7">
        <w:rPr>
          <w:i/>
        </w:rPr>
        <w:t>Critical marine habitats in high risk areas, Crescent Reef to Cape Flattery - 2014 Atlas. JCU Publication no. 15/13</w:t>
      </w:r>
      <w:r w:rsidRPr="00305FE7">
        <w:t>. Cairns: Centre for Tropical Water &amp; Aquatic Ecosystem Research.</w:t>
      </w:r>
      <w:bookmarkEnd w:id="694"/>
    </w:p>
    <w:p w14:paraId="3E4DFCE6" w14:textId="77777777" w:rsidR="00305FE7" w:rsidRPr="00305FE7" w:rsidRDefault="00305FE7" w:rsidP="00305FE7">
      <w:pPr>
        <w:pStyle w:val="EndNoteBibliography"/>
        <w:spacing w:after="0"/>
        <w:ind w:left="720" w:hanging="720"/>
      </w:pPr>
      <w:bookmarkStart w:id="695" w:name="_ENREF_38"/>
      <w:r w:rsidRPr="00305FE7">
        <w:t xml:space="preserve">Chartrand, K.M., Bryant, C.V., Carter, A.B., Ralph, P.J., and Rasheed, M.A. 2016, Light thresholds to prevent dredging impacts on the Great Barrier Reef seagrass, Zostera muelleri ssp. capricorni. [Original Research]. </w:t>
      </w:r>
      <w:r w:rsidRPr="00305FE7">
        <w:rPr>
          <w:i/>
        </w:rPr>
        <w:t>Frontiers in Marine Science, 3</w:t>
      </w:r>
      <w:r w:rsidRPr="00305FE7">
        <w:t>. doi: 10.3389/fmars.2016.00106</w:t>
      </w:r>
      <w:bookmarkEnd w:id="695"/>
    </w:p>
    <w:p w14:paraId="3B09FCB6" w14:textId="77777777" w:rsidR="00305FE7" w:rsidRPr="00305FE7" w:rsidRDefault="00305FE7" w:rsidP="00305FE7">
      <w:pPr>
        <w:pStyle w:val="EndNoteBibliography"/>
        <w:spacing w:after="0"/>
        <w:ind w:left="720" w:hanging="720"/>
      </w:pPr>
      <w:bookmarkStart w:id="696" w:name="_ENREF_39"/>
      <w:r w:rsidRPr="00305FE7">
        <w:t xml:space="preserve">Chartrand, K.M., Ralph, P.J., Petrou, K., and Rasheed, M.A. 2012, Development of a light-based seagrass management approach for the Gladstone Western basin dredging program. 126. </w:t>
      </w:r>
      <w:bookmarkEnd w:id="696"/>
    </w:p>
    <w:p w14:paraId="2C1C2950" w14:textId="77777777" w:rsidR="00305FE7" w:rsidRPr="00305FE7" w:rsidRDefault="00305FE7" w:rsidP="00305FE7">
      <w:pPr>
        <w:pStyle w:val="EndNoteBibliography"/>
        <w:spacing w:after="0"/>
        <w:ind w:left="720" w:hanging="720"/>
      </w:pPr>
      <w:bookmarkStart w:id="697" w:name="_ENREF_40"/>
      <w:r w:rsidRPr="00305FE7">
        <w:t xml:space="preserve">Christensen, S., Rodgers, C., and Fitzroy Basin Association, I. (2006). </w:t>
      </w:r>
      <w:r w:rsidRPr="00305FE7">
        <w:rPr>
          <w:i/>
        </w:rPr>
        <w:t xml:space="preserve">Central Queensland strategy for sustainability : 2004 and beyond. </w:t>
      </w:r>
      <w:r w:rsidRPr="00305FE7">
        <w:t>. Rockhampton, Qld: Fitzroy Basin Association.</w:t>
      </w:r>
      <w:bookmarkEnd w:id="697"/>
    </w:p>
    <w:p w14:paraId="17BC23C9" w14:textId="77777777" w:rsidR="00305FE7" w:rsidRPr="00305FE7" w:rsidRDefault="00305FE7" w:rsidP="00305FE7">
      <w:pPr>
        <w:pStyle w:val="EndNoteBibliography"/>
        <w:spacing w:after="0"/>
        <w:ind w:left="720" w:hanging="720"/>
      </w:pPr>
      <w:bookmarkStart w:id="698" w:name="_ENREF_41"/>
      <w:r w:rsidRPr="00305FE7">
        <w:t xml:space="preserve">Coles, R., McKenzie, L., Rasheed, M.A., Mellors, J., Taylor, H., Dew, K., McKenna, S., Sankey, T., Carter, A., and Grech, A. 2007, Status and trends of seagrass habitats in the Great Barrier Reef World Heritage Area. </w:t>
      </w:r>
      <w:r w:rsidRPr="00305FE7">
        <w:rPr>
          <w:i/>
        </w:rPr>
        <w:t>Unpublished report to the Marine and Tropical Sciences Research Facility</w:t>
      </w:r>
      <w:r w:rsidRPr="00305FE7">
        <w:t xml:space="preserve">, 122. </w:t>
      </w:r>
      <w:bookmarkEnd w:id="698"/>
    </w:p>
    <w:p w14:paraId="2F8D114B" w14:textId="77777777" w:rsidR="00305FE7" w:rsidRPr="00305FE7" w:rsidRDefault="00305FE7" w:rsidP="00305FE7">
      <w:pPr>
        <w:pStyle w:val="EndNoteBibliography"/>
        <w:spacing w:after="0"/>
        <w:ind w:left="720" w:hanging="720"/>
      </w:pPr>
      <w:bookmarkStart w:id="699" w:name="_ENREF_42"/>
      <w:r w:rsidRPr="00305FE7">
        <w:t xml:space="preserve">Coles, R., McKenzie, L.J., and Campbell, S. (2003). The seagrasses of Eastern Australia. In EP Green &amp; FT Short (Eds.), </w:t>
      </w:r>
      <w:r w:rsidRPr="00305FE7">
        <w:rPr>
          <w:i/>
        </w:rPr>
        <w:t>The World Atlas of Seagrasses: present status and future conservation.</w:t>
      </w:r>
      <w:r w:rsidRPr="00305FE7">
        <w:t xml:space="preserve"> (pp. 119-133). Los Angeles, USA: University of California Press.</w:t>
      </w:r>
      <w:bookmarkEnd w:id="699"/>
    </w:p>
    <w:p w14:paraId="112D6C6C" w14:textId="77777777" w:rsidR="00305FE7" w:rsidRPr="00305FE7" w:rsidRDefault="00305FE7" w:rsidP="00305FE7">
      <w:pPr>
        <w:pStyle w:val="EndNoteBibliography"/>
        <w:spacing w:after="0"/>
        <w:ind w:left="720" w:hanging="720"/>
      </w:pPr>
      <w:bookmarkStart w:id="700" w:name="_ENREF_43"/>
      <w:r w:rsidRPr="00305FE7">
        <w:t xml:space="preserve">Coles, R., McKenzie, L.J., De'ath, G., Roelofs, A., and Lee Long, W.J. 2009, Spatial distribution of deepwater seagrass in the inter-reef lagoon of the Great Barrier Reef World Heritage Area. </w:t>
      </w:r>
      <w:r w:rsidRPr="00305FE7">
        <w:rPr>
          <w:i/>
        </w:rPr>
        <w:t>Marine Ecology Progress Series, 392</w:t>
      </w:r>
      <w:r w:rsidRPr="00305FE7">
        <w:t>, 57-68. doi: 10.3354/meps08197</w:t>
      </w:r>
      <w:bookmarkEnd w:id="700"/>
    </w:p>
    <w:p w14:paraId="1D2FEC1B" w14:textId="77777777" w:rsidR="00305FE7" w:rsidRPr="00305FE7" w:rsidRDefault="00305FE7" w:rsidP="00305FE7">
      <w:pPr>
        <w:pStyle w:val="EndNoteBibliography"/>
        <w:spacing w:after="0"/>
        <w:ind w:left="720" w:hanging="720"/>
      </w:pPr>
      <w:bookmarkStart w:id="701" w:name="_ENREF_44"/>
      <w:r w:rsidRPr="00305FE7">
        <w:t xml:space="preserve">Coles, R.G., Lee Long, W.J., McKenzie, L.J., and Roder, C.A. (Eds.). (2002). </w:t>
      </w:r>
      <w:r w:rsidRPr="00305FE7">
        <w:rPr>
          <w:i/>
        </w:rPr>
        <w:t>Seagrass and Marine Resources in the Dugong Protection Areas of Upstart Bay, Newry Region, Sand Bay, Llewellyn Bay, Ince Bay and the Clairview Region, April/May 1999 and October 1999</w:t>
      </w:r>
      <w:r w:rsidRPr="00305FE7">
        <w:t>. Townsville: Great Barrier Reef Marine Park Authority.</w:t>
      </w:r>
      <w:bookmarkEnd w:id="701"/>
    </w:p>
    <w:p w14:paraId="526C51E0" w14:textId="77777777" w:rsidR="00305FE7" w:rsidRPr="00305FE7" w:rsidRDefault="00305FE7" w:rsidP="00305FE7">
      <w:pPr>
        <w:pStyle w:val="EndNoteBibliography"/>
        <w:spacing w:after="0"/>
        <w:ind w:left="720" w:hanging="720"/>
      </w:pPr>
      <w:bookmarkStart w:id="702" w:name="_ENREF_45"/>
      <w:r w:rsidRPr="00305FE7">
        <w:t xml:space="preserve">Coles, R.G., Lee Long, W.J., Squire, B.A., Squire, L.C., and Bibby, J.M. 1987, Distribution of seagrass and associated juvenile commercial penaeid prawns in North-Eastern Queensland waters. </w:t>
      </w:r>
      <w:r w:rsidRPr="00305FE7">
        <w:rPr>
          <w:i/>
        </w:rPr>
        <w:t>Australian Journal of Marine and Freshwater Research, 38</w:t>
      </w:r>
      <w:r w:rsidRPr="00305FE7">
        <w:t xml:space="preserve">(1), 103-119. </w:t>
      </w:r>
      <w:bookmarkEnd w:id="702"/>
    </w:p>
    <w:p w14:paraId="7F69E818" w14:textId="77777777" w:rsidR="00305FE7" w:rsidRPr="00305FE7" w:rsidRDefault="00305FE7" w:rsidP="00305FE7">
      <w:pPr>
        <w:pStyle w:val="EndNoteBibliography"/>
        <w:spacing w:after="0"/>
        <w:ind w:left="720" w:hanging="720"/>
      </w:pPr>
      <w:bookmarkStart w:id="703" w:name="_ENREF_46"/>
      <w:r w:rsidRPr="00305FE7">
        <w:t xml:space="preserve">Coles, R.G., Lee Long, W.J., and Squire, L.C. (1985). </w:t>
      </w:r>
      <w:r w:rsidRPr="00305FE7">
        <w:rPr>
          <w:i/>
        </w:rPr>
        <w:t>Seagrass beds and prawn nursery grounds between Cape York and Cairns</w:t>
      </w:r>
      <w:r w:rsidRPr="00305FE7">
        <w:t>. Brisbane: QDPI.</w:t>
      </w:r>
      <w:bookmarkEnd w:id="703"/>
    </w:p>
    <w:p w14:paraId="61D01A81" w14:textId="77777777" w:rsidR="00305FE7" w:rsidRPr="00305FE7" w:rsidRDefault="00305FE7" w:rsidP="00305FE7">
      <w:pPr>
        <w:pStyle w:val="EndNoteBibliography"/>
        <w:spacing w:after="0"/>
        <w:ind w:left="720" w:hanging="720"/>
      </w:pPr>
      <w:bookmarkStart w:id="704" w:name="_ENREF_47"/>
      <w:r w:rsidRPr="00305FE7">
        <w:t xml:space="preserve">Coles, R.G., Lee Long, W.J., Watson, R.A., and Derbyshire, K.J. 1993, Distribution of seagrasses, and their fish and penaeid prawn communities, in Cairns Harbour, a tropical estuary, northern Queensland, Australia. </w:t>
      </w:r>
      <w:r w:rsidRPr="00305FE7">
        <w:rPr>
          <w:i/>
        </w:rPr>
        <w:t>Australian Journal of Marine and Freshwater Research, 44</w:t>
      </w:r>
      <w:r w:rsidRPr="00305FE7">
        <w:t xml:space="preserve">, 193-210. </w:t>
      </w:r>
      <w:bookmarkEnd w:id="704"/>
    </w:p>
    <w:p w14:paraId="475D8B86" w14:textId="77777777" w:rsidR="00305FE7" w:rsidRPr="00305FE7" w:rsidRDefault="00305FE7" w:rsidP="00305FE7">
      <w:pPr>
        <w:pStyle w:val="EndNoteBibliography"/>
        <w:spacing w:after="0"/>
        <w:ind w:left="720" w:hanging="720"/>
      </w:pPr>
      <w:bookmarkStart w:id="705" w:name="_ENREF_48"/>
      <w:r w:rsidRPr="00305FE7">
        <w:t xml:space="preserve">Coles, R.G., McKenzie, L.J., Mellors, J.E., and Yoshida, R.L. 2001a, Validation and GIS of seagrass surveys between Cairns and Bowen – October/November 1987. CD Rom. </w:t>
      </w:r>
      <w:bookmarkEnd w:id="705"/>
    </w:p>
    <w:p w14:paraId="34B5B0D1" w14:textId="77777777" w:rsidR="00305FE7" w:rsidRPr="00305FE7" w:rsidRDefault="00305FE7" w:rsidP="00305FE7">
      <w:pPr>
        <w:pStyle w:val="EndNoteBibliography"/>
        <w:spacing w:after="0"/>
        <w:ind w:left="720" w:hanging="720"/>
      </w:pPr>
      <w:bookmarkStart w:id="706" w:name="_ENREF_49"/>
      <w:r w:rsidRPr="00305FE7">
        <w:t xml:space="preserve">Coles, R.G., McKenzie, L.J., and Yoshida, R.L. 2001b, Validation and GIS of seagrass surveys between Bowen and Water Park Point– March/April 1987. CD Rom. </w:t>
      </w:r>
      <w:bookmarkEnd w:id="706"/>
    </w:p>
    <w:p w14:paraId="5EBEB968" w14:textId="77777777" w:rsidR="00305FE7" w:rsidRPr="00305FE7" w:rsidRDefault="00305FE7" w:rsidP="00305FE7">
      <w:pPr>
        <w:pStyle w:val="EndNoteBibliography"/>
        <w:spacing w:after="0"/>
        <w:ind w:left="720" w:hanging="720"/>
      </w:pPr>
      <w:bookmarkStart w:id="707" w:name="_ENREF_50"/>
      <w:r w:rsidRPr="00305FE7">
        <w:t xml:space="preserve">Coles, R.G., McKenzie, L.J., and Yoshida, R.L. 2001c, Validation and GIS of seagrass surveys between Cape York and Cairns - November 1984. CD Rom. </w:t>
      </w:r>
      <w:bookmarkEnd w:id="707"/>
    </w:p>
    <w:p w14:paraId="745DE629" w14:textId="77777777" w:rsidR="00305FE7" w:rsidRPr="00305FE7" w:rsidRDefault="00305FE7" w:rsidP="00305FE7">
      <w:pPr>
        <w:pStyle w:val="EndNoteBibliography"/>
        <w:spacing w:after="0"/>
        <w:ind w:left="720" w:hanging="720"/>
      </w:pPr>
      <w:bookmarkStart w:id="708" w:name="_ENREF_51"/>
      <w:r w:rsidRPr="00305FE7">
        <w:t xml:space="preserve">Coles, R.G., McKenzie, L.J., and Yoshida, R.L. 2001d, Validation and GIS of seagrass surveys between Water Park Point and Hervey Bay – October/November 1988. CD Rom. </w:t>
      </w:r>
      <w:bookmarkEnd w:id="708"/>
    </w:p>
    <w:p w14:paraId="47E4B6A4" w14:textId="77777777" w:rsidR="00305FE7" w:rsidRPr="00305FE7" w:rsidRDefault="00305FE7" w:rsidP="00305FE7">
      <w:pPr>
        <w:pStyle w:val="EndNoteBibliography"/>
        <w:spacing w:after="0"/>
        <w:ind w:left="720" w:hanging="720"/>
      </w:pPr>
      <w:bookmarkStart w:id="709" w:name="_ENREF_52"/>
      <w:r w:rsidRPr="00305FE7">
        <w:t xml:space="preserve">Collier, C., Devlin, M., Langlois, L., Petus, C., McKenzie, L.J., Texeira da Silva, E., McMahon, K., Adams, M., O’Brien, K., Statton, J., and Waycott, M. (2014). </w:t>
      </w:r>
      <w:r w:rsidRPr="00305FE7">
        <w:rPr>
          <w:i/>
        </w:rPr>
        <w:t>Thresholds and indicators of declining water quality as tools for tropical seagrass management. Report to the National Environmental Research Program</w:t>
      </w:r>
      <w:r w:rsidRPr="00305FE7">
        <w:t>. Cairns: Reef and Rainforest Research Centre Limited.</w:t>
      </w:r>
      <w:bookmarkEnd w:id="709"/>
    </w:p>
    <w:p w14:paraId="4F061C89" w14:textId="77777777" w:rsidR="00305FE7" w:rsidRPr="00305FE7" w:rsidRDefault="00305FE7" w:rsidP="00305FE7">
      <w:pPr>
        <w:pStyle w:val="EndNoteBibliography"/>
        <w:spacing w:after="0"/>
        <w:ind w:left="720" w:hanging="720"/>
      </w:pPr>
      <w:bookmarkStart w:id="710" w:name="_ENREF_53"/>
      <w:r w:rsidRPr="00305FE7">
        <w:t xml:space="preserve">Collier, C., and Waycott, M. 2009, Drivers of change to seagrass distributions and communities on the Great Barrier Reef: Literature review and gaps analysis. </w:t>
      </w:r>
      <w:r w:rsidRPr="00305FE7">
        <w:rPr>
          <w:i/>
        </w:rPr>
        <w:t>Report to the Marine and Tropical Sciences Research Facility</w:t>
      </w:r>
      <w:r w:rsidRPr="00305FE7">
        <w:t xml:space="preserve">. </w:t>
      </w:r>
      <w:bookmarkEnd w:id="710"/>
    </w:p>
    <w:p w14:paraId="6D34DB96" w14:textId="172F8425" w:rsidR="00305FE7" w:rsidRPr="00305FE7" w:rsidRDefault="00305FE7" w:rsidP="00305FE7">
      <w:pPr>
        <w:pStyle w:val="EndNoteBibliography"/>
        <w:spacing w:after="0"/>
        <w:ind w:left="720" w:hanging="720"/>
      </w:pPr>
      <w:bookmarkStart w:id="711" w:name="_ENREF_54"/>
      <w:r w:rsidRPr="00305FE7">
        <w:t xml:space="preserve">Collier, C.J., Adams, M.P., Langlois, L., Waycott, M., O’Brien, K.R., Maxwell, P.S., and McKenzie, L. 2016, Thresholds for morphological response to light reduction for four tropical seagrass species. </w:t>
      </w:r>
      <w:r w:rsidRPr="00305FE7">
        <w:rPr>
          <w:i/>
        </w:rPr>
        <w:t>Ecological Indicators, 67</w:t>
      </w:r>
      <w:r w:rsidRPr="00305FE7">
        <w:t xml:space="preserve">, 358-366. doi: </w:t>
      </w:r>
      <w:hyperlink r:id="rId165" w:history="1">
        <w:r w:rsidRPr="00305FE7">
          <w:rPr>
            <w:rStyle w:val="Hyperlink"/>
          </w:rPr>
          <w:t>http://dx.doi.org/10.1016/j.ecolind.2016.02.050</w:t>
        </w:r>
        <w:bookmarkEnd w:id="711"/>
      </w:hyperlink>
    </w:p>
    <w:p w14:paraId="74FFDE9D" w14:textId="0B2AC940" w:rsidR="00305FE7" w:rsidRPr="00305FE7" w:rsidRDefault="00305FE7" w:rsidP="00305FE7">
      <w:pPr>
        <w:pStyle w:val="EndNoteBibliography"/>
        <w:spacing w:after="0"/>
        <w:ind w:left="720" w:hanging="720"/>
      </w:pPr>
      <w:bookmarkStart w:id="712" w:name="_ENREF_55"/>
      <w:r w:rsidRPr="00305FE7">
        <w:t xml:space="preserve">Collier, C.J., Lavery, P.S., Ralph, P.J., and Masini, R.J. 2009, Shade-induced response and recovery of the seagrass </w:t>
      </w:r>
      <w:r w:rsidRPr="00305FE7">
        <w:rPr>
          <w:i/>
        </w:rPr>
        <w:t>Posidonia sinuosa</w:t>
      </w:r>
      <w:r w:rsidRPr="00305FE7">
        <w:t xml:space="preserve">. </w:t>
      </w:r>
      <w:r w:rsidRPr="00305FE7">
        <w:rPr>
          <w:i/>
        </w:rPr>
        <w:t>Journal of Experimental Marine Biology and Ecology, 370</w:t>
      </w:r>
      <w:r w:rsidRPr="00305FE7">
        <w:t xml:space="preserve">(1–2), 89-103. doi: </w:t>
      </w:r>
      <w:hyperlink r:id="rId166" w:history="1">
        <w:r w:rsidRPr="00305FE7">
          <w:rPr>
            <w:rStyle w:val="Hyperlink"/>
          </w:rPr>
          <w:t>http://dx.doi.org/10.1016/j.jembe.2008.12.003</w:t>
        </w:r>
        <w:bookmarkEnd w:id="712"/>
      </w:hyperlink>
    </w:p>
    <w:p w14:paraId="68F78D3C" w14:textId="77777777" w:rsidR="00305FE7" w:rsidRPr="00305FE7" w:rsidRDefault="00305FE7" w:rsidP="00305FE7">
      <w:pPr>
        <w:pStyle w:val="EndNoteBibliography"/>
        <w:spacing w:after="0"/>
        <w:ind w:left="720" w:hanging="720"/>
      </w:pPr>
      <w:bookmarkStart w:id="713" w:name="_ENREF_56"/>
      <w:r w:rsidRPr="00305FE7">
        <w:t xml:space="preserve">Collier, C.J., Uthicke, S., and Waycott, M. 2011, Thermal tolerance of two seagrass species at contrasting light levels: Implications for future distribution in the Great Barrier Reef. </w:t>
      </w:r>
      <w:r w:rsidRPr="00305FE7">
        <w:rPr>
          <w:i/>
        </w:rPr>
        <w:t>Limnology &amp; Oceanography, 56</w:t>
      </w:r>
      <w:r w:rsidRPr="00305FE7">
        <w:t xml:space="preserve">(6), 2200-2210. </w:t>
      </w:r>
      <w:bookmarkEnd w:id="713"/>
    </w:p>
    <w:p w14:paraId="3A4BF3F3" w14:textId="77777777" w:rsidR="00305FE7" w:rsidRPr="00305FE7" w:rsidRDefault="00305FE7" w:rsidP="00305FE7">
      <w:pPr>
        <w:pStyle w:val="EndNoteBibliography"/>
        <w:spacing w:after="0"/>
        <w:ind w:left="720" w:hanging="720"/>
      </w:pPr>
      <w:bookmarkStart w:id="714" w:name="_ENREF_57"/>
      <w:r w:rsidRPr="00305FE7">
        <w:t xml:space="preserve">Collier, C.J., Waycott, M., and Giraldo-Ospina, A. 2012a, Responses of four Indo-West Pacific seagrass species to shading. </w:t>
      </w:r>
      <w:r w:rsidRPr="00305FE7">
        <w:rPr>
          <w:i/>
        </w:rPr>
        <w:t>Marine Pollution Bulletin, 65</w:t>
      </w:r>
      <w:r w:rsidRPr="00305FE7">
        <w:t xml:space="preserve">(4-9), 342-354. </w:t>
      </w:r>
      <w:bookmarkEnd w:id="714"/>
    </w:p>
    <w:p w14:paraId="50F12FBB" w14:textId="77777777" w:rsidR="00305FE7" w:rsidRPr="00305FE7" w:rsidRDefault="00305FE7" w:rsidP="00305FE7">
      <w:pPr>
        <w:pStyle w:val="EndNoteBibliography"/>
        <w:spacing w:after="0"/>
        <w:ind w:left="720" w:hanging="720"/>
      </w:pPr>
      <w:bookmarkStart w:id="715" w:name="_ENREF_58"/>
      <w:r w:rsidRPr="00305FE7">
        <w:t xml:space="preserve">Collier, C.J., Waycott, M., and McKenzie, L.J. 2012b, Light thresholds derived from seagrass loss in the coastal zone of the northern Great Barrier Reef, Australia. </w:t>
      </w:r>
      <w:r w:rsidRPr="00305FE7">
        <w:rPr>
          <w:i/>
        </w:rPr>
        <w:t>Ecological Indicators, 23</w:t>
      </w:r>
      <w:r w:rsidRPr="00305FE7">
        <w:t>(0), 211-219. doi: 10.1016/j.ecolind.2012.04.005</w:t>
      </w:r>
      <w:bookmarkEnd w:id="715"/>
    </w:p>
    <w:p w14:paraId="0AFABEC5" w14:textId="77777777" w:rsidR="00305FE7" w:rsidRPr="00305FE7" w:rsidRDefault="00305FE7" w:rsidP="00305FE7">
      <w:pPr>
        <w:pStyle w:val="EndNoteBibliography"/>
        <w:spacing w:after="0"/>
        <w:ind w:left="720" w:hanging="720"/>
      </w:pPr>
      <w:bookmarkStart w:id="716" w:name="_ENREF_59"/>
      <w:r w:rsidRPr="00305FE7">
        <w:t xml:space="preserve">Collier, C.J., Waycott, M., and Ospina, A.G. 2012c, Responses of four Indo-West Pacific seagrass species to shading. </w:t>
      </w:r>
      <w:r w:rsidRPr="00305FE7">
        <w:rPr>
          <w:i/>
        </w:rPr>
        <w:t>Marine Pollution Bulletin, 65</w:t>
      </w:r>
      <w:r w:rsidRPr="00305FE7">
        <w:t>(4-9), 342-354. doi: 10.1016/j.marpolbul.2011.06.017</w:t>
      </w:r>
      <w:bookmarkEnd w:id="716"/>
    </w:p>
    <w:p w14:paraId="3F591FA4" w14:textId="211EC023" w:rsidR="00305FE7" w:rsidRPr="00305FE7" w:rsidRDefault="00305FE7" w:rsidP="00305FE7">
      <w:pPr>
        <w:pStyle w:val="EndNoteBibliography"/>
        <w:spacing w:after="0"/>
        <w:ind w:left="720" w:hanging="720"/>
      </w:pPr>
      <w:bookmarkStart w:id="717" w:name="_ENREF_60"/>
      <w:r w:rsidRPr="00305FE7">
        <w:t xml:space="preserve">Commonwealth of Australia. (2013a). Burdekin Natural Resource Management region, </w:t>
      </w:r>
      <w:hyperlink r:id="rId167" w:history="1">
        <w:r w:rsidRPr="00305FE7">
          <w:rPr>
            <w:rStyle w:val="Hyperlink"/>
          </w:rPr>
          <w:t>http://www.nrm.gov.au/about/nrm/regions/qld-burd.html</w:t>
        </w:r>
      </w:hyperlink>
      <w:r w:rsidRPr="00305FE7">
        <w:t xml:space="preserve">  Retrieved 18 February 2014, from </w:t>
      </w:r>
      <w:hyperlink r:id="rId168" w:history="1">
        <w:r w:rsidRPr="00305FE7">
          <w:rPr>
            <w:rStyle w:val="Hyperlink"/>
          </w:rPr>
          <w:t>http://www.nrm.gov.au/about/nrm/regions/qld-burd.html</w:t>
        </w:r>
        <w:bookmarkEnd w:id="717"/>
      </w:hyperlink>
    </w:p>
    <w:p w14:paraId="549A07CC" w14:textId="5582B352" w:rsidR="00305FE7" w:rsidRPr="00305FE7" w:rsidRDefault="00305FE7" w:rsidP="00305FE7">
      <w:pPr>
        <w:pStyle w:val="EndNoteBibliography"/>
        <w:spacing w:after="0"/>
        <w:ind w:left="720" w:hanging="720"/>
      </w:pPr>
      <w:bookmarkStart w:id="718" w:name="_ENREF_61"/>
      <w:r w:rsidRPr="00305FE7">
        <w:t xml:space="preserve">Commonwealth of Australia. (2013b). Burnett Mary Natural Resource Management region, </w:t>
      </w:r>
      <w:hyperlink r:id="rId169" w:history="1">
        <w:r w:rsidRPr="00305FE7">
          <w:rPr>
            <w:rStyle w:val="Hyperlink"/>
          </w:rPr>
          <w:t>http://www.nrm.gov.au/about/nrm/regions/qld-bmar.html</w:t>
        </w:r>
      </w:hyperlink>
      <w:r w:rsidRPr="00305FE7">
        <w:t xml:space="preserve">  Retrieved 18 February 2014, from </w:t>
      </w:r>
      <w:hyperlink r:id="rId170" w:history="1">
        <w:r w:rsidRPr="00305FE7">
          <w:rPr>
            <w:rStyle w:val="Hyperlink"/>
          </w:rPr>
          <w:t>http://www.nrm.gov.au/about/nrm/regions/qld-fitz.html</w:t>
        </w:r>
        <w:bookmarkEnd w:id="718"/>
      </w:hyperlink>
    </w:p>
    <w:p w14:paraId="324EEB3D" w14:textId="3BC662DB" w:rsidR="00305FE7" w:rsidRPr="00305FE7" w:rsidRDefault="00305FE7" w:rsidP="00305FE7">
      <w:pPr>
        <w:pStyle w:val="EndNoteBibliography"/>
        <w:spacing w:after="0"/>
        <w:ind w:left="720" w:hanging="720"/>
      </w:pPr>
      <w:bookmarkStart w:id="719" w:name="_ENREF_62"/>
      <w:r w:rsidRPr="00305FE7">
        <w:t xml:space="preserve">Commonwealth of Australia. (2013c). Fitzroy Natural Resource Management region, </w:t>
      </w:r>
      <w:hyperlink r:id="rId171" w:history="1">
        <w:r w:rsidRPr="00305FE7">
          <w:rPr>
            <w:rStyle w:val="Hyperlink"/>
          </w:rPr>
          <w:t>http://www.nrm.gov.au/about/nrm/regions/qld-fitz.html</w:t>
        </w:r>
      </w:hyperlink>
      <w:r w:rsidRPr="00305FE7">
        <w:t xml:space="preserve">  Retrieved 18 February 2014, from </w:t>
      </w:r>
      <w:hyperlink r:id="rId172" w:history="1">
        <w:r w:rsidRPr="00305FE7">
          <w:rPr>
            <w:rStyle w:val="Hyperlink"/>
          </w:rPr>
          <w:t>http://www.nrm.gov.au/about/nrm/regions/qld-fitz.html</w:t>
        </w:r>
        <w:bookmarkEnd w:id="719"/>
      </w:hyperlink>
    </w:p>
    <w:p w14:paraId="740541A1" w14:textId="6BCCB421" w:rsidR="00305FE7" w:rsidRPr="00305FE7" w:rsidRDefault="00305FE7" w:rsidP="00305FE7">
      <w:pPr>
        <w:pStyle w:val="EndNoteBibliography"/>
        <w:spacing w:after="0"/>
        <w:ind w:left="720" w:hanging="720"/>
      </w:pPr>
      <w:bookmarkStart w:id="720" w:name="_ENREF_63"/>
      <w:r w:rsidRPr="00305FE7">
        <w:t xml:space="preserve">Commonwealth of Australia. (2013d). Mackay Whitsunday Natural Resource Management region, </w:t>
      </w:r>
      <w:hyperlink r:id="rId173" w:history="1">
        <w:r w:rsidRPr="00305FE7">
          <w:rPr>
            <w:rStyle w:val="Hyperlink"/>
          </w:rPr>
          <w:t>http://www.nrm.gov.au/about/nrm/regions/qld-mwhs.html</w:t>
        </w:r>
      </w:hyperlink>
      <w:r w:rsidRPr="00305FE7">
        <w:t xml:space="preserve">  Retrieved 18 February 2014, from </w:t>
      </w:r>
      <w:hyperlink r:id="rId174" w:history="1">
        <w:r w:rsidRPr="00305FE7">
          <w:rPr>
            <w:rStyle w:val="Hyperlink"/>
          </w:rPr>
          <w:t>http://www.nrm.gov.au/about/nrm/regions/qld-mwhs.html</w:t>
        </w:r>
        <w:bookmarkEnd w:id="720"/>
      </w:hyperlink>
    </w:p>
    <w:p w14:paraId="1369EB7F" w14:textId="16471086" w:rsidR="00305FE7" w:rsidRPr="00305FE7" w:rsidRDefault="00305FE7" w:rsidP="00305FE7">
      <w:pPr>
        <w:pStyle w:val="EndNoteBibliography"/>
        <w:spacing w:after="0"/>
        <w:ind w:left="720" w:hanging="720"/>
      </w:pPr>
      <w:bookmarkStart w:id="721" w:name="_ENREF_64"/>
      <w:r w:rsidRPr="00305FE7">
        <w:t xml:space="preserve">Commonwealth of Australia. (2013e). Wet Tropics Natural Resource Management region  Retrieved 18 February 2014, from </w:t>
      </w:r>
      <w:hyperlink r:id="rId175" w:history="1">
        <w:r w:rsidRPr="00305FE7">
          <w:rPr>
            <w:rStyle w:val="Hyperlink"/>
          </w:rPr>
          <w:t>http://www.nrm.gov.au/about/nrm/regions/qld-wetr.html</w:t>
        </w:r>
        <w:bookmarkEnd w:id="721"/>
      </w:hyperlink>
    </w:p>
    <w:p w14:paraId="2EAA7707" w14:textId="77777777" w:rsidR="00305FE7" w:rsidRPr="00305FE7" w:rsidRDefault="00305FE7" w:rsidP="00305FE7">
      <w:pPr>
        <w:pStyle w:val="EndNoteBibliography"/>
        <w:spacing w:after="0"/>
        <w:ind w:left="720" w:hanging="720"/>
      </w:pPr>
      <w:bookmarkStart w:id="722" w:name="_ENREF_65"/>
      <w:r w:rsidRPr="00305FE7">
        <w:t xml:space="preserve">Costanza, R., d'Arge, R., de Groot, R., Farber, S., Grasso, M., Hannon, B., Limburg, K., Naeem, S., O'Neil, R.V., Paruelo, J., Raskin, R.G., Sutton, P., and van der Belt, M. 1997, The Value of the world's ecosystem services and natural capital. </w:t>
      </w:r>
      <w:r w:rsidRPr="00305FE7">
        <w:rPr>
          <w:i/>
        </w:rPr>
        <w:t>Nature, 387</w:t>
      </w:r>
      <w:r w:rsidRPr="00305FE7">
        <w:t xml:space="preserve">(15), 253-260. </w:t>
      </w:r>
      <w:bookmarkEnd w:id="722"/>
    </w:p>
    <w:p w14:paraId="2C486508" w14:textId="77777777" w:rsidR="00305FE7" w:rsidRPr="00305FE7" w:rsidRDefault="00305FE7" w:rsidP="00305FE7">
      <w:pPr>
        <w:pStyle w:val="EndNoteBibliography"/>
        <w:spacing w:after="0"/>
        <w:ind w:left="720" w:hanging="720"/>
      </w:pPr>
      <w:bookmarkStart w:id="723" w:name="_ENREF_66"/>
      <w:r w:rsidRPr="00305FE7">
        <w:t xml:space="preserve">Costanzo, S.D. (2001). </w:t>
      </w:r>
      <w:r w:rsidRPr="00305FE7">
        <w:rPr>
          <w:i/>
        </w:rPr>
        <w:t>Development of indicators for assessing and monitoring nutrient influences in coastal waters.</w:t>
      </w:r>
      <w:r w:rsidRPr="00305FE7">
        <w:t xml:space="preserve"> PhD University of Queensland, Brisbane, Australia.   </w:t>
      </w:r>
      <w:bookmarkEnd w:id="723"/>
    </w:p>
    <w:p w14:paraId="12B9F082" w14:textId="77777777" w:rsidR="00305FE7" w:rsidRPr="00305FE7" w:rsidRDefault="00305FE7" w:rsidP="00305FE7">
      <w:pPr>
        <w:pStyle w:val="EndNoteBibliography"/>
        <w:spacing w:after="0"/>
        <w:ind w:left="720" w:hanging="720"/>
      </w:pPr>
      <w:bookmarkStart w:id="724" w:name="_ENREF_67"/>
      <w:r w:rsidRPr="00305FE7">
        <w:t xml:space="preserve">Costanzo, S.D., O'Donohue, M.J., Dennison, W.C., Loneragan, N.R., and Thomas, M. 2001, A new approach for detecting and mapping sewage impacts. </w:t>
      </w:r>
      <w:r w:rsidRPr="00305FE7">
        <w:rPr>
          <w:i/>
        </w:rPr>
        <w:t>Marine Pollution Bulletin, 42</w:t>
      </w:r>
      <w:r w:rsidRPr="00305FE7">
        <w:t xml:space="preserve">(2), 149-156. </w:t>
      </w:r>
      <w:bookmarkEnd w:id="724"/>
    </w:p>
    <w:p w14:paraId="14434C2E" w14:textId="77777777" w:rsidR="00305FE7" w:rsidRPr="00305FE7" w:rsidRDefault="00305FE7" w:rsidP="00305FE7">
      <w:pPr>
        <w:pStyle w:val="EndNoteBibliography"/>
        <w:spacing w:after="0"/>
        <w:ind w:left="720" w:hanging="720"/>
      </w:pPr>
      <w:bookmarkStart w:id="725" w:name="_ENREF_68"/>
      <w:r w:rsidRPr="00305FE7">
        <w:t xml:space="preserve">Cotter, G.F. (1995). </w:t>
      </w:r>
      <w:r w:rsidRPr="00305FE7">
        <w:rPr>
          <w:i/>
        </w:rPr>
        <w:t>A study of the pastoral industry of Cape York Peninsula. Cape York Peninsula Land Use Strategy (CYPLUS), Natural Resources Analysis Program.</w:t>
      </w:r>
      <w:r w:rsidRPr="00305FE7">
        <w:t xml:space="preserve"> Brisbane: Department of Primary Industries and Queensland Department of Lands.</w:t>
      </w:r>
      <w:bookmarkEnd w:id="725"/>
    </w:p>
    <w:p w14:paraId="00558DCB" w14:textId="77777777" w:rsidR="00305FE7" w:rsidRPr="00305FE7" w:rsidRDefault="00305FE7" w:rsidP="00305FE7">
      <w:pPr>
        <w:pStyle w:val="EndNoteBibliography"/>
        <w:spacing w:after="0"/>
        <w:ind w:left="720" w:hanging="720"/>
      </w:pPr>
      <w:bookmarkStart w:id="726" w:name="_ENREF_69"/>
      <w:r w:rsidRPr="00305FE7">
        <w:t xml:space="preserve">Cullen-Unsworth, L., and Unsworth, R. 2013, Seagrass Meadows, Ecosystem Services, and Sustainability. </w:t>
      </w:r>
      <w:r w:rsidRPr="00305FE7">
        <w:rPr>
          <w:i/>
        </w:rPr>
        <w:t>Environment: Science and Policy for Sustainable Development, 55</w:t>
      </w:r>
      <w:r w:rsidRPr="00305FE7">
        <w:t>(3), 14-28. doi: 10.1080/00139157.2013.785864</w:t>
      </w:r>
      <w:bookmarkEnd w:id="726"/>
    </w:p>
    <w:p w14:paraId="531B3C20" w14:textId="36CAAE19" w:rsidR="00305FE7" w:rsidRPr="00305FE7" w:rsidRDefault="00305FE7" w:rsidP="00305FE7">
      <w:pPr>
        <w:pStyle w:val="EndNoteBibliography"/>
        <w:spacing w:after="0"/>
        <w:ind w:left="720" w:hanging="720"/>
      </w:pPr>
      <w:bookmarkStart w:id="727" w:name="_ENREF_70"/>
      <w:r w:rsidRPr="00305FE7">
        <w:t xml:space="preserve">Cullen-Unsworth, L.C., Nordlund, L.M., Paddock, J., Baker, S., McKenzie, L.J., and Unsworth, R.K.F. 2014, Seagrass meadows globally as a coupled social–ecological system: Implications for human wellbeing. </w:t>
      </w:r>
      <w:r w:rsidRPr="00305FE7">
        <w:rPr>
          <w:i/>
        </w:rPr>
        <w:t>Marine Pollution Bulletin, 83</w:t>
      </w:r>
      <w:r w:rsidRPr="00305FE7">
        <w:t xml:space="preserve">(2), 387-397. doi: </w:t>
      </w:r>
      <w:hyperlink r:id="rId176" w:history="1">
        <w:r w:rsidRPr="00305FE7">
          <w:rPr>
            <w:rStyle w:val="Hyperlink"/>
          </w:rPr>
          <w:t>http://dx.doi.org/10.1016/j.marpolbul.2013.06.001</w:t>
        </w:r>
        <w:bookmarkEnd w:id="727"/>
      </w:hyperlink>
    </w:p>
    <w:p w14:paraId="54338539" w14:textId="77777777" w:rsidR="00305FE7" w:rsidRPr="00305FE7" w:rsidRDefault="00305FE7" w:rsidP="00305FE7">
      <w:pPr>
        <w:pStyle w:val="EndNoteBibliography"/>
        <w:spacing w:after="0"/>
        <w:ind w:left="720" w:hanging="720"/>
      </w:pPr>
      <w:bookmarkStart w:id="728" w:name="_ENREF_71"/>
      <w:r w:rsidRPr="00305FE7">
        <w:t xml:space="preserve">Davies, J.N., and Rasheed, M.A. (2016). </w:t>
      </w:r>
      <w:r w:rsidRPr="00305FE7">
        <w:rPr>
          <w:i/>
        </w:rPr>
        <w:t>Port of Townsville Annual Seagrass Monitoring: September 2015</w:t>
      </w:r>
      <w:r w:rsidRPr="00305FE7">
        <w:t>. Cairns: James Cook University Publication, Centre for Tropical Water &amp; Aquatic Ecosystem Research (TropWATER).</w:t>
      </w:r>
      <w:bookmarkEnd w:id="728"/>
    </w:p>
    <w:p w14:paraId="34C1E949" w14:textId="77777777" w:rsidR="00305FE7" w:rsidRPr="00305FE7" w:rsidRDefault="00305FE7" w:rsidP="00305FE7">
      <w:pPr>
        <w:pStyle w:val="EndNoteBibliography"/>
        <w:spacing w:after="0"/>
        <w:ind w:left="720" w:hanging="720"/>
      </w:pPr>
      <w:bookmarkStart w:id="729" w:name="_ENREF_72"/>
      <w:r w:rsidRPr="00305FE7">
        <w:t xml:space="preserve">De'ath, G., and Fabricius, K. 2010, Water quality as a regional driver of coral biodiversity and macroalgae on the Great Barrier Reef. </w:t>
      </w:r>
      <w:r w:rsidRPr="00305FE7">
        <w:rPr>
          <w:i/>
        </w:rPr>
        <w:t>Ecological Applications, 20</w:t>
      </w:r>
      <w:r w:rsidRPr="00305FE7">
        <w:t>(3), 840-850. doi: 10.1890/08-2023.1</w:t>
      </w:r>
      <w:bookmarkEnd w:id="729"/>
    </w:p>
    <w:p w14:paraId="67FCEE36" w14:textId="77777777" w:rsidR="00305FE7" w:rsidRPr="00305FE7" w:rsidRDefault="00305FE7" w:rsidP="00305FE7">
      <w:pPr>
        <w:pStyle w:val="EndNoteBibliography"/>
        <w:spacing w:after="0"/>
        <w:ind w:left="720" w:hanging="720"/>
      </w:pPr>
      <w:bookmarkStart w:id="730" w:name="_ENREF_73"/>
      <w:r w:rsidRPr="00305FE7">
        <w:t xml:space="preserve">De’ath, G. (2005). </w:t>
      </w:r>
      <w:r w:rsidRPr="00305FE7">
        <w:rPr>
          <w:i/>
        </w:rPr>
        <w:t>Water Quality Monitoring: From River to Reef</w:t>
      </w:r>
      <w:r w:rsidRPr="00305FE7">
        <w:t>. Townsville: AIMS.</w:t>
      </w:r>
      <w:bookmarkEnd w:id="730"/>
    </w:p>
    <w:p w14:paraId="08D9CC7E" w14:textId="77777777" w:rsidR="00305FE7" w:rsidRPr="00305FE7" w:rsidRDefault="00305FE7" w:rsidP="00305FE7">
      <w:pPr>
        <w:pStyle w:val="EndNoteBibliography"/>
        <w:spacing w:after="0"/>
        <w:ind w:left="720" w:hanging="720"/>
      </w:pPr>
      <w:bookmarkStart w:id="731" w:name="_ENREF_74"/>
      <w:r w:rsidRPr="00305FE7">
        <w:t xml:space="preserve">De’ath, G., Coles, R., McKenzie, L.J., and Pitcher, R. (2007). </w:t>
      </w:r>
      <w:r w:rsidRPr="00305FE7">
        <w:rPr>
          <w:i/>
        </w:rPr>
        <w:t xml:space="preserve">Spatial Distributions and temporal change in distributions of deep water seagrasses in the GRR region. QDPI&amp;F report to MTSRF </w:t>
      </w:r>
      <w:r w:rsidRPr="00305FE7">
        <w:t>Cairns: QDPIF.</w:t>
      </w:r>
      <w:bookmarkEnd w:id="731"/>
    </w:p>
    <w:p w14:paraId="441F68FC" w14:textId="77777777" w:rsidR="00305FE7" w:rsidRPr="00305FE7" w:rsidRDefault="00305FE7" w:rsidP="00305FE7">
      <w:pPr>
        <w:pStyle w:val="EndNoteBibliography"/>
        <w:spacing w:after="0"/>
        <w:ind w:left="720" w:hanging="720"/>
      </w:pPr>
      <w:bookmarkStart w:id="732" w:name="_ENREF_75"/>
      <w:r w:rsidRPr="00305FE7">
        <w:t xml:space="preserve">Dennison, W.C., and Abal, E.G. (1999). </w:t>
      </w:r>
      <w:r w:rsidRPr="00305FE7">
        <w:rPr>
          <w:i/>
        </w:rPr>
        <w:t>Moreton Bay Study: a scientific basis for the healthy waterways campaign</w:t>
      </w:r>
      <w:r w:rsidRPr="00305FE7">
        <w:t>. Brisbane: South East Queensland Regional Water Quality Management Team.</w:t>
      </w:r>
      <w:bookmarkEnd w:id="732"/>
    </w:p>
    <w:p w14:paraId="767F55DB" w14:textId="77777777" w:rsidR="00305FE7" w:rsidRPr="00305FE7" w:rsidRDefault="00305FE7" w:rsidP="00305FE7">
      <w:pPr>
        <w:pStyle w:val="EndNoteBibliography"/>
        <w:spacing w:after="0"/>
        <w:ind w:left="720" w:hanging="720"/>
      </w:pPr>
      <w:bookmarkStart w:id="733" w:name="_ENREF_76"/>
      <w:r w:rsidRPr="00305FE7">
        <w:t xml:space="preserve">Dennison, W.C., Longstaff, B.J., and O'Donohue, M.J. (1997). Seagrasses as Bio-indicators. In S Hillman &amp; S Raaymakers (Eds.), </w:t>
      </w:r>
      <w:r w:rsidRPr="00305FE7">
        <w:rPr>
          <w:i/>
        </w:rPr>
        <w:t>Karumba dredging 1996 - Environmental Monitoring Report. EcoPorts Monograph Series No.6</w:t>
      </w:r>
      <w:r w:rsidRPr="00305FE7">
        <w:t xml:space="preserve"> (pp. 255). Brisbane: Ports Corporation of Queensland.</w:t>
      </w:r>
      <w:bookmarkEnd w:id="733"/>
    </w:p>
    <w:p w14:paraId="269C6E2D" w14:textId="77777777" w:rsidR="00305FE7" w:rsidRPr="00305FE7" w:rsidRDefault="00305FE7" w:rsidP="00305FE7">
      <w:pPr>
        <w:pStyle w:val="EndNoteBibliography"/>
        <w:spacing w:after="0"/>
        <w:ind w:left="720" w:hanging="720"/>
      </w:pPr>
      <w:bookmarkStart w:id="734" w:name="_ENREF_77"/>
      <w:r w:rsidRPr="00305FE7">
        <w:t xml:space="preserve">Dennison, W.C., O'Donnohue, M.K., and Abal, E.G. (1995). </w:t>
      </w:r>
      <w:r w:rsidRPr="00305FE7">
        <w:rPr>
          <w:i/>
        </w:rPr>
        <w:t>An assessment of nutrient bioindicators using marine plants in the region of Pioneer Bay, Airlie Beach, Queensland. Dry season sampling, September 1995</w:t>
      </w:r>
      <w:r w:rsidRPr="00305FE7">
        <w:t>. Brisbane: Marine Botany Section, Department of Botany, University of Queensland.</w:t>
      </w:r>
      <w:bookmarkEnd w:id="734"/>
    </w:p>
    <w:p w14:paraId="7033DF82" w14:textId="77777777" w:rsidR="00305FE7" w:rsidRPr="00305FE7" w:rsidRDefault="00305FE7" w:rsidP="00305FE7">
      <w:pPr>
        <w:pStyle w:val="EndNoteBibliography"/>
        <w:spacing w:after="0"/>
        <w:ind w:left="720" w:hanging="720"/>
      </w:pPr>
      <w:bookmarkStart w:id="735" w:name="_ENREF_78"/>
      <w:r w:rsidRPr="00305FE7">
        <w:t xml:space="preserve">Department of Environment and Resource Management. (2009). </w:t>
      </w:r>
      <w:r w:rsidRPr="00305FE7">
        <w:rPr>
          <w:i/>
        </w:rPr>
        <w:t>Queensland Water Quality Guidelines, Version 3. ISBN 978-0-9806986-0-2</w:t>
      </w:r>
      <w:r w:rsidRPr="00305FE7">
        <w:t>. Brisbane: State of Queensland (Department of Environment and Resource Management).</w:t>
      </w:r>
      <w:bookmarkEnd w:id="735"/>
    </w:p>
    <w:p w14:paraId="2D69CCC9" w14:textId="7C449597" w:rsidR="00305FE7" w:rsidRPr="00305FE7" w:rsidRDefault="00305FE7" w:rsidP="00305FE7">
      <w:pPr>
        <w:pStyle w:val="EndNoteBibliography"/>
        <w:spacing w:after="0"/>
        <w:ind w:left="720" w:hanging="720"/>
      </w:pPr>
      <w:bookmarkStart w:id="736" w:name="_ENREF_79"/>
      <w:r w:rsidRPr="00305FE7">
        <w:t xml:space="preserve">Department of the Premier and Cabinet. (2014). Great Barrier Reef report card 2012 and 2013, Reef Water Quality Protection Plan, Scoring system.  Retrieved 14/11/2014, from </w:t>
      </w:r>
      <w:hyperlink r:id="rId177" w:history="1">
        <w:r w:rsidRPr="00305FE7">
          <w:rPr>
            <w:rStyle w:val="Hyperlink"/>
          </w:rPr>
          <w:t>http://www.reefplan.qld.gov.au/measuring-success/methods/scoring-system.aspx</w:t>
        </w:r>
        <w:bookmarkEnd w:id="736"/>
      </w:hyperlink>
    </w:p>
    <w:p w14:paraId="604F118F" w14:textId="77777777" w:rsidR="00305FE7" w:rsidRPr="00305FE7" w:rsidRDefault="00305FE7" w:rsidP="00305FE7">
      <w:pPr>
        <w:pStyle w:val="EndNoteBibliography"/>
        <w:spacing w:after="0"/>
        <w:ind w:left="720" w:hanging="720"/>
      </w:pPr>
      <w:bookmarkStart w:id="737" w:name="_ENREF_80"/>
      <w:r w:rsidRPr="00305FE7">
        <w:t xml:space="preserve">Derbyshire, K.J., Willoughby, S.R., McColl, A.L., and Hocroft, D.M. (1995). </w:t>
      </w:r>
      <w:r w:rsidRPr="00305FE7">
        <w:rPr>
          <w:i/>
        </w:rPr>
        <w:t>Small prawn habitat and recruitment study : final report to the Fisheries Research and Development Corporation and the Queensland Fisheries Management Authority</w:t>
      </w:r>
      <w:r w:rsidRPr="00305FE7">
        <w:t>. Cairns: Department of Primary Industries.</w:t>
      </w:r>
      <w:bookmarkEnd w:id="737"/>
    </w:p>
    <w:p w14:paraId="44EDC44A" w14:textId="77777777" w:rsidR="00305FE7" w:rsidRPr="00305FE7" w:rsidRDefault="00305FE7" w:rsidP="00305FE7">
      <w:pPr>
        <w:pStyle w:val="EndNoteBibliography"/>
        <w:spacing w:after="0"/>
        <w:ind w:left="720" w:hanging="720"/>
      </w:pPr>
      <w:bookmarkStart w:id="738" w:name="_ENREF_81"/>
      <w:r w:rsidRPr="00305FE7">
        <w:t xml:space="preserve">DeRose, R.C., Prosser, I.P., Wilkinson, L.J., Hughes, A.O., and Young, W.J. (2002). </w:t>
      </w:r>
      <w:r w:rsidRPr="00305FE7">
        <w:rPr>
          <w:i/>
        </w:rPr>
        <w:t>Regional Patterns of Erosion and Sediment and Nutrient Transport in the Mary River Catchment, Queensland. Technical Report 37/02, August 2002.</w:t>
      </w:r>
      <w:r w:rsidRPr="00305FE7">
        <w:t xml:space="preserve"> Canberra: CSIRO Land and Water.</w:t>
      </w:r>
      <w:bookmarkEnd w:id="738"/>
    </w:p>
    <w:p w14:paraId="6E6EA834" w14:textId="77777777" w:rsidR="00305FE7" w:rsidRPr="00305FE7" w:rsidRDefault="00305FE7" w:rsidP="00305FE7">
      <w:pPr>
        <w:pStyle w:val="EndNoteBibliography"/>
        <w:spacing w:after="0"/>
        <w:ind w:left="720" w:hanging="720"/>
      </w:pPr>
      <w:bookmarkStart w:id="739" w:name="_ENREF_82"/>
      <w:r w:rsidRPr="00305FE7">
        <w:t xml:space="preserve">Devlin, M., Petus, C., da Silva, E., Tracey, D., Wolff, N., Waterhouse, J., and Brodie, J. 2015, Water Quality and River Plume Monitoring in the Great Barrier Reef: An Overview of Methods Based on Ocean Colour Satellite Data. </w:t>
      </w:r>
      <w:r w:rsidRPr="00305FE7">
        <w:rPr>
          <w:i/>
        </w:rPr>
        <w:t>Remote Sensing, 7</w:t>
      </w:r>
      <w:r w:rsidRPr="00305FE7">
        <w:t xml:space="preserve">(10), 12909. </w:t>
      </w:r>
      <w:bookmarkEnd w:id="739"/>
    </w:p>
    <w:p w14:paraId="680E99C0" w14:textId="77777777" w:rsidR="00305FE7" w:rsidRPr="00305FE7" w:rsidRDefault="00305FE7" w:rsidP="00305FE7">
      <w:pPr>
        <w:pStyle w:val="EndNoteBibliography"/>
        <w:spacing w:after="0"/>
        <w:ind w:left="720" w:hanging="720"/>
      </w:pPr>
      <w:bookmarkStart w:id="740" w:name="_ENREF_83"/>
      <w:r w:rsidRPr="00305FE7">
        <w:t xml:space="preserve">Duarte, C., Borum, J., Short, F., and Walker, D. (2005). Seagrass Ecosystems: Their Global Status and Prospects. In N Polunin (Ed.), </w:t>
      </w:r>
      <w:r w:rsidRPr="00305FE7">
        <w:rPr>
          <w:i/>
        </w:rPr>
        <w:t>Aquatic Ecosystems: Trends and Global Prospects</w:t>
      </w:r>
      <w:r w:rsidRPr="00305FE7">
        <w:t>: Cambridge Univ. Press.</w:t>
      </w:r>
      <w:bookmarkEnd w:id="740"/>
    </w:p>
    <w:p w14:paraId="4C076B55" w14:textId="77777777" w:rsidR="00305FE7" w:rsidRPr="00305FE7" w:rsidRDefault="00305FE7" w:rsidP="00305FE7">
      <w:pPr>
        <w:pStyle w:val="EndNoteBibliography"/>
        <w:spacing w:after="0"/>
        <w:ind w:left="720" w:hanging="720"/>
      </w:pPr>
      <w:bookmarkStart w:id="741" w:name="_ENREF_84"/>
      <w:r w:rsidRPr="00305FE7">
        <w:t xml:space="preserve">Duarte, C.M. 1990, Seagrass nutrient content. </w:t>
      </w:r>
      <w:r w:rsidRPr="00305FE7">
        <w:rPr>
          <w:i/>
        </w:rPr>
        <w:t>Marine Ecology Progress Series, 67</w:t>
      </w:r>
      <w:r w:rsidRPr="00305FE7">
        <w:t xml:space="preserve">(1), 201-207. </w:t>
      </w:r>
      <w:bookmarkEnd w:id="741"/>
    </w:p>
    <w:p w14:paraId="249DFC39" w14:textId="77777777" w:rsidR="00305FE7" w:rsidRPr="00305FE7" w:rsidRDefault="00305FE7" w:rsidP="00305FE7">
      <w:pPr>
        <w:pStyle w:val="EndNoteBibliography"/>
        <w:spacing w:after="0"/>
        <w:ind w:left="720" w:hanging="720"/>
      </w:pPr>
      <w:bookmarkStart w:id="742" w:name="_ENREF_85"/>
      <w:r w:rsidRPr="00305FE7">
        <w:t xml:space="preserve">Duarte, C.M., and Krause-Jensen, D. 2017, Export from Seagrass Meadows Contributes to Marine Carbon Sequestration. [Review]. </w:t>
      </w:r>
      <w:r w:rsidRPr="00305FE7">
        <w:rPr>
          <w:i/>
        </w:rPr>
        <w:t>Frontiers in Marine Science, 4</w:t>
      </w:r>
      <w:r w:rsidRPr="00305FE7">
        <w:t>(13). doi: 10.3389/fmars.2017.00013</w:t>
      </w:r>
      <w:bookmarkEnd w:id="742"/>
    </w:p>
    <w:p w14:paraId="017D8E96" w14:textId="77777777" w:rsidR="00305FE7" w:rsidRPr="00305FE7" w:rsidRDefault="00305FE7" w:rsidP="00305FE7">
      <w:pPr>
        <w:pStyle w:val="EndNoteBibliography"/>
        <w:spacing w:after="0"/>
        <w:ind w:left="720" w:hanging="720"/>
      </w:pPr>
      <w:bookmarkStart w:id="743" w:name="_ENREF_86"/>
      <w:r w:rsidRPr="00305FE7">
        <w:t xml:space="preserve">Earth Tech. (2005). </w:t>
      </w:r>
      <w:r w:rsidRPr="00305FE7">
        <w:rPr>
          <w:i/>
        </w:rPr>
        <w:t>Cape York Peninsula Natural Resource Management Plan</w:t>
      </w:r>
      <w:r w:rsidRPr="00305FE7">
        <w:t>: Cape York Interim Advisory Group (February 2005).</w:t>
      </w:r>
      <w:bookmarkEnd w:id="743"/>
    </w:p>
    <w:p w14:paraId="7DEC7CA7" w14:textId="77777777" w:rsidR="00305FE7" w:rsidRPr="00305FE7" w:rsidRDefault="00305FE7" w:rsidP="00305FE7">
      <w:pPr>
        <w:pStyle w:val="EndNoteBibliography"/>
        <w:spacing w:after="0"/>
        <w:ind w:left="720" w:hanging="720"/>
      </w:pPr>
      <w:bookmarkStart w:id="744" w:name="_ENREF_87"/>
      <w:r w:rsidRPr="00305FE7">
        <w:t xml:space="preserve">EHMP. (2008). </w:t>
      </w:r>
      <w:r w:rsidRPr="00305FE7">
        <w:rPr>
          <w:i/>
        </w:rPr>
        <w:t>Ecosystem Health Monitoring Program 2006-07: Annual Technical Report</w:t>
      </w:r>
      <w:r w:rsidRPr="00305FE7">
        <w:t>. Brisbane: South East Queensland Healthy Waterways Partnership.</w:t>
      </w:r>
      <w:bookmarkEnd w:id="744"/>
    </w:p>
    <w:p w14:paraId="3CE6EC82" w14:textId="77777777" w:rsidR="00305FE7" w:rsidRPr="00305FE7" w:rsidRDefault="00305FE7" w:rsidP="00305FE7">
      <w:pPr>
        <w:pStyle w:val="EndNoteBibliography"/>
        <w:spacing w:after="0"/>
        <w:ind w:left="720" w:hanging="720"/>
      </w:pPr>
      <w:bookmarkStart w:id="745" w:name="_ENREF_88"/>
      <w:r w:rsidRPr="00305FE7">
        <w:t xml:space="preserve">Erftemeijer, P.L., and Herman, P.M. 1994, Seasonal changes in environmental variables, biomass, production and nutrient contents in two contrasting tropical intertidal seagrass beds in South Sulawesi, Indonesia. </w:t>
      </w:r>
      <w:r w:rsidRPr="00305FE7">
        <w:rPr>
          <w:i/>
        </w:rPr>
        <w:t>Oecologia, 99</w:t>
      </w:r>
      <w:r w:rsidRPr="00305FE7">
        <w:t xml:space="preserve">, 45-59. </w:t>
      </w:r>
      <w:bookmarkEnd w:id="745"/>
    </w:p>
    <w:p w14:paraId="09DE8CFF" w14:textId="77777777" w:rsidR="00305FE7" w:rsidRPr="00305FE7" w:rsidRDefault="00305FE7" w:rsidP="00305FE7">
      <w:pPr>
        <w:pStyle w:val="EndNoteBibliography"/>
        <w:spacing w:after="0"/>
        <w:ind w:left="720" w:hanging="720"/>
      </w:pPr>
      <w:bookmarkStart w:id="746" w:name="_ENREF_89"/>
      <w:r w:rsidRPr="00305FE7">
        <w:t xml:space="preserve">Erftemeijer, P.L.A., and Middelburg, J.J. 1993, Sediment-nutrient interactions in tropical seagrass beds - a comparison between a terrigenous and a carbonate sedimentary environment in South Sulawesi (Indonesia). </w:t>
      </w:r>
      <w:r w:rsidRPr="00305FE7">
        <w:rPr>
          <w:i/>
        </w:rPr>
        <w:t>Marine Ecology Progress Series, 102</w:t>
      </w:r>
      <w:r w:rsidRPr="00305FE7">
        <w:t xml:space="preserve">(1-2), 187-198. </w:t>
      </w:r>
      <w:bookmarkEnd w:id="746"/>
    </w:p>
    <w:p w14:paraId="0F245887" w14:textId="77777777" w:rsidR="00305FE7" w:rsidRPr="00305FE7" w:rsidRDefault="00305FE7" w:rsidP="00305FE7">
      <w:pPr>
        <w:pStyle w:val="EndNoteBibliography"/>
        <w:spacing w:after="0"/>
        <w:ind w:left="720" w:hanging="720"/>
      </w:pPr>
      <w:bookmarkStart w:id="747" w:name="_ENREF_90"/>
      <w:r w:rsidRPr="00305FE7">
        <w:t xml:space="preserve">Esslemont, G., Fentie, B., Negus, P., and Marsh, N. (2006). </w:t>
      </w:r>
      <w:r w:rsidRPr="00305FE7">
        <w:rPr>
          <w:i/>
        </w:rPr>
        <w:t>Burnett, Mary Regional Water Quality Summary. Water Quality State-Level Project, Brisbane</w:t>
      </w:r>
      <w:r w:rsidRPr="00305FE7">
        <w:t>.</w:t>
      </w:r>
      <w:bookmarkEnd w:id="747"/>
    </w:p>
    <w:p w14:paraId="6CFCD4C7" w14:textId="77777777" w:rsidR="00305FE7" w:rsidRPr="00305FE7" w:rsidRDefault="00305FE7" w:rsidP="00305FE7">
      <w:pPr>
        <w:pStyle w:val="EndNoteBibliography"/>
        <w:spacing w:after="0"/>
        <w:ind w:left="720" w:hanging="720"/>
      </w:pPr>
      <w:bookmarkStart w:id="748" w:name="_ENREF_91"/>
      <w:r w:rsidRPr="00305FE7">
        <w:t xml:space="preserve">Fabricius, K., De'Ath, G., Humphrey, C., Zagorskis, I., and Schaffelke, B. 2012, Intr-annual variation in turbidity in response to terrestrial runoff on near-shore coral reefs of the Great Barrier Reef. </w:t>
      </w:r>
      <w:r w:rsidRPr="00305FE7">
        <w:rPr>
          <w:i/>
        </w:rPr>
        <w:t>Estuarine, Coastal and Shelf Science, 3</w:t>
      </w:r>
      <w:r w:rsidRPr="00305FE7">
        <w:t xml:space="preserve">, 458-470. </w:t>
      </w:r>
      <w:bookmarkEnd w:id="748"/>
    </w:p>
    <w:p w14:paraId="16E251F5" w14:textId="77777777" w:rsidR="00305FE7" w:rsidRPr="00305FE7" w:rsidRDefault="00305FE7" w:rsidP="00305FE7">
      <w:pPr>
        <w:pStyle w:val="EndNoteBibliography"/>
        <w:spacing w:after="0"/>
        <w:ind w:left="720" w:hanging="720"/>
      </w:pPr>
      <w:bookmarkStart w:id="749" w:name="_ENREF_92"/>
      <w:r w:rsidRPr="00305FE7">
        <w:t xml:space="preserve">Folke, C., Carpenter, S., Walker, B., Scheffer, M., Elmqvist, T., Gunderson, L., and Holling, C.S. 2004, Regime shifts, resilience, and biodiversity in ecosystem management. </w:t>
      </w:r>
      <w:r w:rsidRPr="00305FE7">
        <w:rPr>
          <w:i/>
        </w:rPr>
        <w:t>Annual Review of Ecology, Evolution, and Systematics, 35</w:t>
      </w:r>
      <w:r w:rsidRPr="00305FE7">
        <w:t>(1), 557-581. doi: doi:10.1146/annurev.ecolsys.35.021103.105711</w:t>
      </w:r>
      <w:bookmarkEnd w:id="749"/>
    </w:p>
    <w:p w14:paraId="4D3C47A4" w14:textId="72BE528D" w:rsidR="00305FE7" w:rsidRPr="00305FE7" w:rsidRDefault="00305FE7" w:rsidP="00305FE7">
      <w:pPr>
        <w:pStyle w:val="EndNoteBibliography"/>
        <w:spacing w:after="0"/>
        <w:ind w:left="720" w:hanging="720"/>
      </w:pPr>
      <w:bookmarkStart w:id="750" w:name="_ENREF_93"/>
      <w:r w:rsidRPr="00305FE7">
        <w:t xml:space="preserve">Ford, G.I. (2004). Colosseum Inlet - Rodds Bay - QLD129. </w:t>
      </w:r>
      <w:r w:rsidRPr="00305FE7">
        <w:rPr>
          <w:i/>
        </w:rPr>
        <w:t>Directory of Important Wetlands in Australia - Information sheet</w:t>
      </w:r>
      <w:r w:rsidRPr="00305FE7">
        <w:t xml:space="preserve">, from </w:t>
      </w:r>
      <w:hyperlink r:id="rId178" w:history="1">
        <w:r w:rsidRPr="00305FE7">
          <w:rPr>
            <w:rStyle w:val="Hyperlink"/>
          </w:rPr>
          <w:t>http://www.environment.gov.au/node/25064</w:t>
        </w:r>
        <w:bookmarkEnd w:id="750"/>
      </w:hyperlink>
    </w:p>
    <w:p w14:paraId="45B4CB10" w14:textId="2F358C05" w:rsidR="00305FE7" w:rsidRPr="00305FE7" w:rsidRDefault="00305FE7" w:rsidP="00305FE7">
      <w:pPr>
        <w:pStyle w:val="EndNoteBibliography"/>
        <w:spacing w:after="0"/>
        <w:ind w:left="720" w:hanging="720"/>
      </w:pPr>
      <w:bookmarkStart w:id="751" w:name="_ENREF_94"/>
      <w:r w:rsidRPr="00305FE7">
        <w:t xml:space="preserve">Fourqurean, J.W., and Cai, Y. 2001, Arsenic and phosphorus in seagrass leaves from the Gulf of Mexico. </w:t>
      </w:r>
      <w:r w:rsidRPr="00305FE7">
        <w:rPr>
          <w:i/>
        </w:rPr>
        <w:t>Aquatic Botany, 71</w:t>
      </w:r>
      <w:r w:rsidRPr="00305FE7">
        <w:t xml:space="preserve">(4), 247-258. doi: </w:t>
      </w:r>
      <w:hyperlink r:id="rId179" w:history="1">
        <w:r w:rsidRPr="00305FE7">
          <w:rPr>
            <w:rStyle w:val="Hyperlink"/>
          </w:rPr>
          <w:t>http://dx.doi.org/10.1016/S0304-3770(01)00193-0</w:t>
        </w:r>
        <w:bookmarkEnd w:id="751"/>
      </w:hyperlink>
    </w:p>
    <w:p w14:paraId="6C35A3CC" w14:textId="77777777" w:rsidR="00305FE7" w:rsidRPr="00305FE7" w:rsidRDefault="00305FE7" w:rsidP="00305FE7">
      <w:pPr>
        <w:pStyle w:val="EndNoteBibliography"/>
        <w:spacing w:after="0"/>
        <w:ind w:left="720" w:hanging="720"/>
      </w:pPr>
      <w:bookmarkStart w:id="752" w:name="_ENREF_95"/>
      <w:r w:rsidRPr="00305FE7">
        <w:t xml:space="preserve">Fourqurean, J.W., Duarte, C.M., Kennedy, H., Marba, N., Holmer, M., Mateo, M.A., Apostolaki, E.T., Kendrick, G.A., Krause-Jensen, D., McGlathery, K.J., and Serrano, O. 2012, Seagrass ecosystems as a globally significant carbon stock. </w:t>
      </w:r>
      <w:r w:rsidRPr="00305FE7">
        <w:rPr>
          <w:i/>
        </w:rPr>
        <w:t>Nature Geoscience, 5</w:t>
      </w:r>
      <w:r w:rsidRPr="00305FE7">
        <w:t>(7), 505-509. doi: 10.1038/ngeo1477</w:t>
      </w:r>
      <w:bookmarkEnd w:id="752"/>
    </w:p>
    <w:p w14:paraId="4D9D65B4" w14:textId="77777777" w:rsidR="00305FE7" w:rsidRPr="00305FE7" w:rsidRDefault="00305FE7" w:rsidP="00305FE7">
      <w:pPr>
        <w:pStyle w:val="EndNoteBibliography"/>
        <w:spacing w:after="0"/>
        <w:ind w:left="720" w:hanging="720"/>
      </w:pPr>
      <w:bookmarkStart w:id="753" w:name="_ENREF_96"/>
      <w:r w:rsidRPr="00305FE7">
        <w:t xml:space="preserve">Fourqurean, J.W., Escorcia, S.P., Anderson, W.T., and Zieman, J.C. 2005, Spatial and seasonal variability in elemental content, delta C-13, and delta N-15 of Thalassia testudinum from South Florida and its implications for ecosystem studies. </w:t>
      </w:r>
      <w:r w:rsidRPr="00305FE7">
        <w:rPr>
          <w:i/>
        </w:rPr>
        <w:t>Estuaries, 28</w:t>
      </w:r>
      <w:r w:rsidRPr="00305FE7">
        <w:t xml:space="preserve">(3), 447-461. </w:t>
      </w:r>
      <w:bookmarkEnd w:id="753"/>
    </w:p>
    <w:p w14:paraId="26CA6E3A" w14:textId="77777777" w:rsidR="00305FE7" w:rsidRPr="00305FE7" w:rsidRDefault="00305FE7" w:rsidP="00305FE7">
      <w:pPr>
        <w:pStyle w:val="EndNoteBibliography"/>
        <w:spacing w:after="0"/>
        <w:ind w:left="720" w:hanging="720"/>
      </w:pPr>
      <w:bookmarkStart w:id="754" w:name="_ENREF_97"/>
      <w:r w:rsidRPr="00305FE7">
        <w:t>Fourqurean, J.W., Moore, T.O., Fry, B., and Hollibaugh, J.T. 1997a, Spatial and temporal variation in C:N:P Ratios, Delta</w:t>
      </w:r>
      <w:r w:rsidRPr="00305FE7">
        <w:rPr>
          <w:vertAlign w:val="superscript"/>
        </w:rPr>
        <w:t>15</w:t>
      </w:r>
      <w:r w:rsidRPr="00305FE7">
        <w:t>N and Delta</w:t>
      </w:r>
      <w:r w:rsidRPr="00305FE7">
        <w:rPr>
          <w:vertAlign w:val="superscript"/>
        </w:rPr>
        <w:t>13</w:t>
      </w:r>
      <w:r w:rsidRPr="00305FE7">
        <w:t xml:space="preserve">C of eelgrass </w:t>
      </w:r>
      <w:r w:rsidRPr="00305FE7">
        <w:rPr>
          <w:i/>
        </w:rPr>
        <w:t>Zostera marina</w:t>
      </w:r>
      <w:r w:rsidRPr="00305FE7">
        <w:t xml:space="preserve"> as indicators of ecosystem processes, Tomales Bay, California, USA. </w:t>
      </w:r>
      <w:r w:rsidRPr="00305FE7">
        <w:rPr>
          <w:i/>
        </w:rPr>
        <w:t>Marine Ecology Progress Series, 157</w:t>
      </w:r>
      <w:r w:rsidRPr="00305FE7">
        <w:t xml:space="preserve">, 147-157. </w:t>
      </w:r>
      <w:bookmarkEnd w:id="754"/>
    </w:p>
    <w:p w14:paraId="20F1F3EB" w14:textId="77777777" w:rsidR="00305FE7" w:rsidRPr="00305FE7" w:rsidRDefault="00305FE7" w:rsidP="00305FE7">
      <w:pPr>
        <w:pStyle w:val="EndNoteBibliography"/>
        <w:spacing w:after="0"/>
        <w:ind w:left="720" w:hanging="720"/>
      </w:pPr>
      <w:bookmarkStart w:id="755" w:name="_ENREF_98"/>
      <w:r w:rsidRPr="00305FE7">
        <w:t xml:space="preserve">Fourqurean, J.W., Moore, T.O., Fry, B., and Hollibaugh, J.T. 1997b, Spatial and temporal variation in C:N:P ratios, Î´15N, and Î´13C of eelgrass Zostera marina as indicators of ecosystem processes, Tomales Bay, California, USA. </w:t>
      </w:r>
      <w:r w:rsidRPr="00305FE7">
        <w:rPr>
          <w:i/>
        </w:rPr>
        <w:t>Marine Ecology Progress Series, 157</w:t>
      </w:r>
      <w:r w:rsidRPr="00305FE7">
        <w:t>, 147-157. doi: 10.3354/meps157147</w:t>
      </w:r>
      <w:bookmarkEnd w:id="755"/>
    </w:p>
    <w:p w14:paraId="29BAF7EC" w14:textId="77777777" w:rsidR="00305FE7" w:rsidRPr="00305FE7" w:rsidRDefault="00305FE7" w:rsidP="00305FE7">
      <w:pPr>
        <w:pStyle w:val="EndNoteBibliography"/>
        <w:spacing w:after="0"/>
        <w:ind w:left="720" w:hanging="720"/>
      </w:pPr>
      <w:bookmarkStart w:id="756" w:name="_ENREF_99"/>
      <w:r w:rsidRPr="00305FE7">
        <w:t xml:space="preserve">Fourqurean, J.W., Zieman, J.C., and Powell, G.V.N. 1992a, Phosphorus limitation of primary production in Florida Bay: Evidence from C:N:P ratios of the dominant seagrass </w:t>
      </w:r>
      <w:r w:rsidRPr="00305FE7">
        <w:rPr>
          <w:i/>
        </w:rPr>
        <w:t>Thalassia testudinum</w:t>
      </w:r>
      <w:r w:rsidRPr="00305FE7">
        <w:t xml:space="preserve">. </w:t>
      </w:r>
      <w:r w:rsidRPr="00305FE7">
        <w:rPr>
          <w:i/>
        </w:rPr>
        <w:t>Limnology &amp; Oceanography, 37</w:t>
      </w:r>
      <w:r w:rsidRPr="00305FE7">
        <w:t xml:space="preserve">(1), 162-171. </w:t>
      </w:r>
      <w:bookmarkEnd w:id="756"/>
    </w:p>
    <w:p w14:paraId="2A83D063" w14:textId="77777777" w:rsidR="00305FE7" w:rsidRPr="00305FE7" w:rsidRDefault="00305FE7" w:rsidP="00305FE7">
      <w:pPr>
        <w:pStyle w:val="EndNoteBibliography"/>
        <w:spacing w:after="0"/>
        <w:ind w:left="720" w:hanging="720"/>
      </w:pPr>
      <w:bookmarkStart w:id="757" w:name="_ENREF_100"/>
      <w:r w:rsidRPr="00305FE7">
        <w:t xml:space="preserve">Fourqurean, J.W., Zieman, J.C., and Powell, G.V.N. 1992b, Relationships between porewater nutrients and seagrasses in a subtropical carbonate environment. </w:t>
      </w:r>
      <w:r w:rsidRPr="00305FE7">
        <w:rPr>
          <w:i/>
        </w:rPr>
        <w:t>Marine Biology, 114</w:t>
      </w:r>
      <w:r w:rsidRPr="00305FE7">
        <w:t>(1), 57-65. doi: 10.1007/bf00350856</w:t>
      </w:r>
      <w:bookmarkEnd w:id="757"/>
    </w:p>
    <w:p w14:paraId="5E50221A" w14:textId="77777777" w:rsidR="00305FE7" w:rsidRPr="00305FE7" w:rsidRDefault="00305FE7" w:rsidP="00305FE7">
      <w:pPr>
        <w:pStyle w:val="EndNoteBibliography"/>
        <w:spacing w:after="0"/>
        <w:ind w:left="720" w:hanging="720"/>
      </w:pPr>
      <w:bookmarkStart w:id="758" w:name="_ENREF_101"/>
      <w:r w:rsidRPr="00305FE7">
        <w:t xml:space="preserve">Frankovich, T.A., and Fourqurean, J.W. 1997, Seagrass epiphyte loads along a nutrient availability gradient, Florida Bay, USA. </w:t>
      </w:r>
      <w:r w:rsidRPr="00305FE7">
        <w:rPr>
          <w:i/>
        </w:rPr>
        <w:t>Marine Ecology Progress Series, 159</w:t>
      </w:r>
      <w:r w:rsidRPr="00305FE7">
        <w:t xml:space="preserve">, 37-50. </w:t>
      </w:r>
      <w:bookmarkEnd w:id="758"/>
    </w:p>
    <w:p w14:paraId="48A6B98A" w14:textId="77777777" w:rsidR="00305FE7" w:rsidRPr="00305FE7" w:rsidRDefault="00305FE7" w:rsidP="00305FE7">
      <w:pPr>
        <w:pStyle w:val="EndNoteBibliography"/>
        <w:spacing w:after="0"/>
        <w:ind w:left="720" w:hanging="720"/>
      </w:pPr>
      <w:bookmarkStart w:id="759" w:name="_ENREF_102"/>
      <w:r w:rsidRPr="00305FE7">
        <w:t xml:space="preserve">Goldsworthy, P.M. (1994). Seagrasses. In L Benson, P Goldsworthy, R Butler &amp; J Oliver (Eds.), </w:t>
      </w:r>
      <w:r w:rsidRPr="00305FE7">
        <w:rPr>
          <w:i/>
        </w:rPr>
        <w:t>Townsville Port Authority Capital Dredging Works 1993: Environmental Monitoring Program</w:t>
      </w:r>
      <w:r w:rsidRPr="00305FE7">
        <w:t xml:space="preserve"> (pp. 89-115). Townsville: Townsville Port Authority.</w:t>
      </w:r>
      <w:bookmarkEnd w:id="759"/>
    </w:p>
    <w:p w14:paraId="29617759" w14:textId="77777777" w:rsidR="00305FE7" w:rsidRPr="00305FE7" w:rsidRDefault="00305FE7" w:rsidP="00305FE7">
      <w:pPr>
        <w:pStyle w:val="EndNoteBibliography"/>
        <w:spacing w:after="0"/>
        <w:ind w:left="720" w:hanging="720"/>
      </w:pPr>
      <w:bookmarkStart w:id="760" w:name="_ENREF_103"/>
      <w:r w:rsidRPr="00305FE7">
        <w:t xml:space="preserve">Great Barrier Reef Marine Park Authority. (2014). </w:t>
      </w:r>
      <w:r w:rsidRPr="00305FE7">
        <w:rPr>
          <w:i/>
        </w:rPr>
        <w:t>Great Barrier Reef Marine Park Authority Science Strategy and Information Needs 2014-2019</w:t>
      </w:r>
      <w:r w:rsidRPr="00305FE7">
        <w:t>. Townsville: Great Barrier Reef Marine Park Authority.</w:t>
      </w:r>
      <w:bookmarkEnd w:id="760"/>
    </w:p>
    <w:p w14:paraId="10A57958" w14:textId="77777777" w:rsidR="00305FE7" w:rsidRPr="00305FE7" w:rsidRDefault="00305FE7" w:rsidP="00305FE7">
      <w:pPr>
        <w:pStyle w:val="EndNoteBibliography"/>
        <w:spacing w:after="0"/>
        <w:ind w:left="720" w:hanging="720"/>
      </w:pPr>
      <w:bookmarkStart w:id="761" w:name="_ENREF_104"/>
      <w:r w:rsidRPr="00305FE7">
        <w:t xml:space="preserve">Grech, A., Coles, R.G., and March, H. 2011, A broad-scale assessment of the risk to coastal seagrasses from cumulative threats. </w:t>
      </w:r>
      <w:r w:rsidRPr="00305FE7">
        <w:rPr>
          <w:i/>
        </w:rPr>
        <w:t>Marine Policy, 35</w:t>
      </w:r>
      <w:r w:rsidRPr="00305FE7">
        <w:t xml:space="preserve">, 560-567. </w:t>
      </w:r>
      <w:bookmarkEnd w:id="761"/>
    </w:p>
    <w:p w14:paraId="7329FB04" w14:textId="77777777" w:rsidR="00305FE7" w:rsidRPr="00305FE7" w:rsidRDefault="00305FE7" w:rsidP="00305FE7">
      <w:pPr>
        <w:pStyle w:val="EndNoteBibliography"/>
        <w:spacing w:after="0"/>
        <w:ind w:left="720" w:hanging="720"/>
      </w:pPr>
      <w:bookmarkStart w:id="762" w:name="_ENREF_105"/>
      <w:r w:rsidRPr="00305FE7">
        <w:t xml:space="preserve">Grech, A., Wolter, J., Coles, R., McKenzie, L., Rasheed, M., Thomas, C., Waycott, M., and Hanert, E. 2016, Spatial patterns of seagrass dispersal and settlement. </w:t>
      </w:r>
      <w:r w:rsidRPr="00305FE7">
        <w:rPr>
          <w:i/>
        </w:rPr>
        <w:t>Diversity and Distributions</w:t>
      </w:r>
      <w:r w:rsidRPr="00305FE7">
        <w:t>, n/a-n/a. doi: 10.1111/ddi.12479</w:t>
      </w:r>
      <w:bookmarkEnd w:id="762"/>
    </w:p>
    <w:p w14:paraId="22A46BB2" w14:textId="77777777" w:rsidR="00305FE7" w:rsidRPr="00305FE7" w:rsidRDefault="00305FE7" w:rsidP="00305FE7">
      <w:pPr>
        <w:pStyle w:val="EndNoteBibliography"/>
        <w:spacing w:after="0"/>
        <w:ind w:left="720" w:hanging="720"/>
      </w:pPr>
      <w:bookmarkStart w:id="763" w:name="_ENREF_106"/>
      <w:r w:rsidRPr="00305FE7">
        <w:t xml:space="preserve">Green, E., and Short, F. (Eds.). (2003). </w:t>
      </w:r>
      <w:r w:rsidRPr="00305FE7">
        <w:rPr>
          <w:i/>
        </w:rPr>
        <w:t>World Atlas of Seagrasses</w:t>
      </w:r>
      <w:r w:rsidRPr="00305FE7">
        <w:t>. Berkeley. USA: University of California Press,.</w:t>
      </w:r>
      <w:bookmarkEnd w:id="763"/>
    </w:p>
    <w:p w14:paraId="0BDF100A" w14:textId="77777777" w:rsidR="00305FE7" w:rsidRPr="00305FE7" w:rsidRDefault="00305FE7" w:rsidP="00305FE7">
      <w:pPr>
        <w:pStyle w:val="EndNoteBibliography"/>
        <w:spacing w:after="0"/>
        <w:ind w:left="720" w:hanging="720"/>
      </w:pPr>
      <w:bookmarkStart w:id="764" w:name="_ENREF_107"/>
      <w:r w:rsidRPr="00305FE7">
        <w:t xml:space="preserve">Grice, A., Loneragan, N., and Dennison, W. 1996, Light intensity and the interactions between physiology, morphology and stable isotope ratios in five species of seagrass. </w:t>
      </w:r>
      <w:r w:rsidRPr="00305FE7">
        <w:rPr>
          <w:i/>
        </w:rPr>
        <w:t>Journal of Experimental Marine Biology and Ecology, 195</w:t>
      </w:r>
      <w:r w:rsidRPr="00305FE7">
        <w:t xml:space="preserve">, 91-110. </w:t>
      </w:r>
      <w:bookmarkEnd w:id="764"/>
    </w:p>
    <w:p w14:paraId="73689043" w14:textId="77777777" w:rsidR="00305FE7" w:rsidRPr="00305FE7" w:rsidRDefault="00305FE7" w:rsidP="00305FE7">
      <w:pPr>
        <w:pStyle w:val="EndNoteBibliography"/>
        <w:spacing w:after="0"/>
        <w:ind w:left="720" w:hanging="720"/>
      </w:pPr>
      <w:bookmarkStart w:id="765" w:name="_ENREF_108"/>
      <w:r w:rsidRPr="00305FE7">
        <w:t>Harrison, P.G. 1979, Reproductive strategies in intertidal populations of two co-occurring seagrasses (</w:t>
      </w:r>
      <w:r w:rsidRPr="00305FE7">
        <w:rPr>
          <w:i/>
        </w:rPr>
        <w:t>Zostera</w:t>
      </w:r>
      <w:r w:rsidRPr="00305FE7">
        <w:t xml:space="preserve"> spp.). </w:t>
      </w:r>
      <w:r w:rsidRPr="00305FE7">
        <w:rPr>
          <w:i/>
        </w:rPr>
        <w:t>Canadian Journal of Botany, 57</w:t>
      </w:r>
      <w:r w:rsidRPr="00305FE7">
        <w:t xml:space="preserve">, 2635-2638. </w:t>
      </w:r>
      <w:bookmarkEnd w:id="765"/>
    </w:p>
    <w:p w14:paraId="1B59EFC0" w14:textId="77777777" w:rsidR="00305FE7" w:rsidRPr="00305FE7" w:rsidRDefault="00305FE7" w:rsidP="00305FE7">
      <w:pPr>
        <w:pStyle w:val="EndNoteBibliography"/>
        <w:spacing w:after="0"/>
        <w:ind w:left="720" w:hanging="720"/>
      </w:pPr>
      <w:bookmarkStart w:id="766" w:name="_ENREF_109"/>
      <w:r w:rsidRPr="00305FE7">
        <w:t xml:space="preserve">Haynes, D., Müller, J., and Carter, S. 2000, Pesticide and Herbicide Residues in Sediments and Seagrasses from the Great Barrier Reef World Heritage Area and Queensland Coast. </w:t>
      </w:r>
      <w:r w:rsidRPr="00305FE7">
        <w:rPr>
          <w:i/>
        </w:rPr>
        <w:t>Marine Pollution Bulletin, 41</w:t>
      </w:r>
      <w:r w:rsidRPr="00305FE7">
        <w:t xml:space="preserve">(7-12), 279-287. </w:t>
      </w:r>
      <w:bookmarkEnd w:id="766"/>
    </w:p>
    <w:p w14:paraId="3A4AB3C2" w14:textId="77777777" w:rsidR="00305FE7" w:rsidRPr="00305FE7" w:rsidRDefault="00305FE7" w:rsidP="00305FE7">
      <w:pPr>
        <w:pStyle w:val="EndNoteBibliography"/>
        <w:spacing w:after="0"/>
        <w:ind w:left="720" w:hanging="720"/>
      </w:pPr>
      <w:bookmarkStart w:id="767" w:name="_ENREF_110"/>
      <w:r w:rsidRPr="00305FE7">
        <w:t xml:space="preserve">Heap, A.D., Murray, E., Ryan, D.A., Gallagher, J., Tobin, G., Creasey, J., and Dyall, A. 2015, Queensland Coastal Waterways Geomorphic Habitat Mapping, Version 2 (1:100 000 scale digital data). [northlimit=-10.6; southlimit=-28.2; westlimit=137.8; eastLimit=153.2; projection=WGS84]. </w:t>
      </w:r>
      <w:bookmarkEnd w:id="767"/>
    </w:p>
    <w:p w14:paraId="3291B024" w14:textId="77777777" w:rsidR="00305FE7" w:rsidRPr="00305FE7" w:rsidRDefault="00305FE7" w:rsidP="00305FE7">
      <w:pPr>
        <w:pStyle w:val="EndNoteBibliography"/>
        <w:spacing w:after="0"/>
        <w:ind w:left="720" w:hanging="720"/>
      </w:pPr>
      <w:bookmarkStart w:id="768" w:name="_ENREF_111"/>
      <w:r w:rsidRPr="00305FE7">
        <w:t xml:space="preserve">Heaton, T.H.E. 1986, Isotopic studies of nitrogen pollution in the hydrosphere and atmosphere: a review. </w:t>
      </w:r>
      <w:r w:rsidRPr="00305FE7">
        <w:rPr>
          <w:i/>
        </w:rPr>
        <w:t>Chemical Geology, 59</w:t>
      </w:r>
      <w:r w:rsidRPr="00305FE7">
        <w:t xml:space="preserve">, 87-102. </w:t>
      </w:r>
      <w:bookmarkEnd w:id="768"/>
    </w:p>
    <w:p w14:paraId="365561B4" w14:textId="77777777" w:rsidR="00305FE7" w:rsidRPr="00305FE7" w:rsidRDefault="00305FE7" w:rsidP="00305FE7">
      <w:pPr>
        <w:pStyle w:val="EndNoteBibliography"/>
        <w:spacing w:after="0"/>
        <w:ind w:left="720" w:hanging="720"/>
      </w:pPr>
      <w:bookmarkStart w:id="769" w:name="_ENREF_112"/>
      <w:r w:rsidRPr="00305FE7">
        <w:t xml:space="preserve">Heck, K.L., and Orth, R.J. (2006). Predation in seagrass beds. In WD Larkum, RJ Orth &amp; CM Duarte (Eds.), </w:t>
      </w:r>
      <w:r w:rsidRPr="00305FE7">
        <w:rPr>
          <w:i/>
        </w:rPr>
        <w:t>Seagrasses: Biology, Ecology and Conservation</w:t>
      </w:r>
      <w:r w:rsidRPr="00305FE7">
        <w:t>. Dordrecht: Springer.</w:t>
      </w:r>
      <w:bookmarkEnd w:id="769"/>
    </w:p>
    <w:p w14:paraId="6A28B2A9" w14:textId="77777777" w:rsidR="00305FE7" w:rsidRPr="00305FE7" w:rsidRDefault="00305FE7" w:rsidP="00305FE7">
      <w:pPr>
        <w:pStyle w:val="EndNoteBibliography"/>
        <w:spacing w:after="0"/>
        <w:ind w:left="720" w:hanging="720"/>
      </w:pPr>
      <w:bookmarkStart w:id="770" w:name="_ENREF_113"/>
      <w:r w:rsidRPr="00305FE7">
        <w:t xml:space="preserve">Heck, K.L., and Valentine, J.F. 2006, Plant-herbivore interactions in seagrass meadows. </w:t>
      </w:r>
      <w:r w:rsidRPr="00305FE7">
        <w:rPr>
          <w:i/>
        </w:rPr>
        <w:t>Journal of Experimental Marine Biology and Ecology, 330</w:t>
      </w:r>
      <w:r w:rsidRPr="00305FE7">
        <w:t xml:space="preserve">(1), 420-436. </w:t>
      </w:r>
      <w:bookmarkEnd w:id="770"/>
    </w:p>
    <w:p w14:paraId="1056EE2F" w14:textId="77777777" w:rsidR="00305FE7" w:rsidRPr="00305FE7" w:rsidRDefault="00305FE7" w:rsidP="00305FE7">
      <w:pPr>
        <w:pStyle w:val="EndNoteBibliography"/>
        <w:spacing w:after="0"/>
        <w:ind w:left="720" w:hanging="720"/>
        <w:rPr>
          <w:u w:val="single"/>
        </w:rPr>
      </w:pPr>
      <w:bookmarkStart w:id="771" w:name="_ENREF_114"/>
      <w:r w:rsidRPr="00305FE7">
        <w:t xml:space="preserve">Heck, K.L.J., Carruthers, T.J.B., Duarte, C.M., Hughes, A.R., Kendrick, G., Orth, R.J., and Williams, S.W. 2008, Trophic transfers from seagrass meadows subsidize diverse marine and terrestrial consumers. [review]. </w:t>
      </w:r>
      <w:r w:rsidRPr="00305FE7">
        <w:rPr>
          <w:i/>
        </w:rPr>
        <w:t>Ecosystems, 11</w:t>
      </w:r>
      <w:r w:rsidRPr="00305FE7">
        <w:t xml:space="preserve">(7), 1198-1210. doi: </w:t>
      </w:r>
      <w:r w:rsidRPr="00305FE7">
        <w:rPr>
          <w:u w:val="single"/>
        </w:rPr>
        <w:t>10.1007/s10021-008-9155-y</w:t>
      </w:r>
      <w:bookmarkEnd w:id="771"/>
    </w:p>
    <w:p w14:paraId="4423AF8F" w14:textId="77777777" w:rsidR="00305FE7" w:rsidRPr="00305FE7" w:rsidRDefault="00305FE7" w:rsidP="00305FE7">
      <w:pPr>
        <w:pStyle w:val="EndNoteBibliography"/>
        <w:spacing w:after="0"/>
        <w:ind w:left="720" w:hanging="720"/>
      </w:pPr>
      <w:bookmarkStart w:id="772" w:name="_ENREF_115"/>
      <w:r w:rsidRPr="00305FE7">
        <w:t xml:space="preserve">Heidelbaugh, W.S., and Nelson, W.G. 1996, A power analysis of methods for assessment of change in seagrass cover. </w:t>
      </w:r>
      <w:r w:rsidRPr="00305FE7">
        <w:rPr>
          <w:i/>
        </w:rPr>
        <w:t>Aquatic Botany, 53</w:t>
      </w:r>
      <w:r w:rsidRPr="00305FE7">
        <w:t xml:space="preserve">(3-4), 227-243. </w:t>
      </w:r>
      <w:bookmarkEnd w:id="772"/>
    </w:p>
    <w:p w14:paraId="76774804" w14:textId="77777777" w:rsidR="00305FE7" w:rsidRPr="00305FE7" w:rsidRDefault="00305FE7" w:rsidP="00305FE7">
      <w:pPr>
        <w:pStyle w:val="EndNoteBibliography"/>
        <w:spacing w:after="0"/>
        <w:ind w:left="720" w:hanging="720"/>
      </w:pPr>
      <w:bookmarkStart w:id="773" w:name="_ENREF_116"/>
      <w:r w:rsidRPr="00305FE7">
        <w:t xml:space="preserve">Hemminga, M.A., and Mateo, M.A. 1996, Stable carbon isotopes in seagrasses: variability in ratios and use in ecological studies. </w:t>
      </w:r>
      <w:r w:rsidRPr="00305FE7">
        <w:rPr>
          <w:i/>
        </w:rPr>
        <w:t>Marine Ecology Progress Series, 140</w:t>
      </w:r>
      <w:r w:rsidRPr="00305FE7">
        <w:t xml:space="preserve">, 285-298. </w:t>
      </w:r>
      <w:bookmarkEnd w:id="773"/>
    </w:p>
    <w:p w14:paraId="5109CE6F" w14:textId="77777777" w:rsidR="00305FE7" w:rsidRPr="00305FE7" w:rsidRDefault="00305FE7" w:rsidP="00305FE7">
      <w:pPr>
        <w:pStyle w:val="EndNoteBibliography"/>
        <w:spacing w:after="0"/>
        <w:ind w:left="720" w:hanging="720"/>
      </w:pPr>
      <w:bookmarkStart w:id="774" w:name="_ENREF_117"/>
      <w:r w:rsidRPr="00305FE7">
        <w:t xml:space="preserve">Holling, C.S. 1973, Resilience and stability of ecological systems. </w:t>
      </w:r>
      <w:r w:rsidRPr="00305FE7">
        <w:rPr>
          <w:i/>
        </w:rPr>
        <w:t>Annual Review of Ecology and Systematics, 4</w:t>
      </w:r>
      <w:r w:rsidRPr="00305FE7">
        <w:t xml:space="preserve">, 1-23. </w:t>
      </w:r>
      <w:bookmarkEnd w:id="774"/>
    </w:p>
    <w:p w14:paraId="131EB4BC" w14:textId="54F89961" w:rsidR="00305FE7" w:rsidRPr="00305FE7" w:rsidRDefault="00305FE7" w:rsidP="00305FE7">
      <w:pPr>
        <w:pStyle w:val="EndNoteBibliography"/>
        <w:spacing w:after="0"/>
        <w:ind w:left="720" w:hanging="720"/>
      </w:pPr>
      <w:bookmarkStart w:id="775" w:name="_ENREF_118"/>
      <w:r w:rsidRPr="00305FE7">
        <w:t xml:space="preserve">Hortle, K., and Person, R. 1990, Fauna of the Annan River System, far North Queensland, with reference to the Impact of Tin Mining. I. Fishes. </w:t>
      </w:r>
      <w:r w:rsidRPr="00305FE7">
        <w:rPr>
          <w:i/>
        </w:rPr>
        <w:t>Marine and Freshwater Research, 41</w:t>
      </w:r>
      <w:r w:rsidRPr="00305FE7">
        <w:t xml:space="preserve">(6), 677-694. doi: </w:t>
      </w:r>
      <w:hyperlink r:id="rId180" w:history="1">
        <w:r w:rsidRPr="00305FE7">
          <w:rPr>
            <w:rStyle w:val="Hyperlink"/>
          </w:rPr>
          <w:t>http://dx.doi.org/10.1071/MF9900677</w:t>
        </w:r>
        <w:bookmarkEnd w:id="775"/>
      </w:hyperlink>
    </w:p>
    <w:p w14:paraId="05842471" w14:textId="77777777" w:rsidR="00305FE7" w:rsidRPr="00305FE7" w:rsidRDefault="00305FE7" w:rsidP="00305FE7">
      <w:pPr>
        <w:pStyle w:val="EndNoteBibliography"/>
        <w:spacing w:after="0"/>
        <w:ind w:left="720" w:hanging="720"/>
      </w:pPr>
      <w:bookmarkStart w:id="776" w:name="_ENREF_119"/>
      <w:r w:rsidRPr="00305FE7">
        <w:t xml:space="preserve">Inglis, G.J. 1999, Variation in the recruitment behaviour of seagrass seeds: implications for population dynamics and resource management. </w:t>
      </w:r>
      <w:r w:rsidRPr="00305FE7">
        <w:rPr>
          <w:i/>
        </w:rPr>
        <w:t>Pacific Conservation Biology, 5</w:t>
      </w:r>
      <w:r w:rsidRPr="00305FE7">
        <w:t xml:space="preserve">, 251-259. </w:t>
      </w:r>
      <w:bookmarkEnd w:id="776"/>
    </w:p>
    <w:p w14:paraId="7EA17678" w14:textId="77777777" w:rsidR="00305FE7" w:rsidRPr="00305FE7" w:rsidRDefault="00305FE7" w:rsidP="00305FE7">
      <w:pPr>
        <w:pStyle w:val="EndNoteBibliography"/>
        <w:spacing w:after="0"/>
        <w:ind w:left="720" w:hanging="720"/>
      </w:pPr>
      <w:bookmarkStart w:id="777" w:name="_ENREF_120"/>
      <w:r w:rsidRPr="00305FE7">
        <w:t xml:space="preserve">Jacobs, S.W.L., Les, D.H., and Moody, M.L. 2006, New combinations in Australasian Zostera (Zosteraceae). </w:t>
      </w:r>
      <w:r w:rsidRPr="00305FE7">
        <w:rPr>
          <w:i/>
        </w:rPr>
        <w:t>Telopea, 11</w:t>
      </w:r>
      <w:r w:rsidRPr="00305FE7">
        <w:t xml:space="preserve">(2), 127-128. </w:t>
      </w:r>
      <w:bookmarkEnd w:id="777"/>
    </w:p>
    <w:p w14:paraId="733225E7" w14:textId="77777777" w:rsidR="00305FE7" w:rsidRPr="00305FE7" w:rsidRDefault="00305FE7" w:rsidP="00305FE7">
      <w:pPr>
        <w:pStyle w:val="EndNoteBibliography"/>
        <w:spacing w:after="0"/>
        <w:ind w:left="720" w:hanging="720"/>
      </w:pPr>
      <w:bookmarkStart w:id="778" w:name="_ENREF_121"/>
      <w:r w:rsidRPr="00305FE7">
        <w:t xml:space="preserve">Jones, A.B., O'Donohue, M.J., Udy, J., and Dennison, W.C. 2001, Assessing ecological impacts of shrimp and sewage effluent: Biological indicators with standard water quality analyses. </w:t>
      </w:r>
      <w:r w:rsidRPr="00305FE7">
        <w:rPr>
          <w:i/>
        </w:rPr>
        <w:t>Estuarine Coastal And Shelf Science, 52</w:t>
      </w:r>
      <w:r w:rsidRPr="00305FE7">
        <w:t xml:space="preserve">(1), 91-109. </w:t>
      </w:r>
      <w:bookmarkEnd w:id="778"/>
    </w:p>
    <w:p w14:paraId="26A2360F" w14:textId="37002A3F" w:rsidR="00305FE7" w:rsidRPr="00305FE7" w:rsidRDefault="00305FE7" w:rsidP="00305FE7">
      <w:pPr>
        <w:pStyle w:val="EndNoteBibliography"/>
        <w:spacing w:after="0"/>
        <w:ind w:left="720" w:hanging="720"/>
      </w:pPr>
      <w:bookmarkStart w:id="779" w:name="_ENREF_122"/>
      <w:r w:rsidRPr="00305FE7">
        <w:t xml:space="preserve">Kilminster, K., McMahon, K., Waycott, M., Kendrick, G.A., Scanes, P., McKenzie, L., O'Brien, K.R., Lyons, M., Ferguson, A., Maxwell, P., Glasby, T., and Udy, J. 2015, Unravelling complexity in seagrass systems for management: Australia as a microcosm. </w:t>
      </w:r>
      <w:r w:rsidRPr="00305FE7">
        <w:rPr>
          <w:i/>
        </w:rPr>
        <w:t>Science of The Total Environment, 534</w:t>
      </w:r>
      <w:r w:rsidRPr="00305FE7">
        <w:t xml:space="preserve">, 97-109. doi: </w:t>
      </w:r>
      <w:hyperlink r:id="rId181" w:history="1">
        <w:r w:rsidRPr="00305FE7">
          <w:rPr>
            <w:rStyle w:val="Hyperlink"/>
          </w:rPr>
          <w:t>http://dx.doi.org/10.1016/j.scitotenv.2015.04.061</w:t>
        </w:r>
        <w:bookmarkEnd w:id="779"/>
      </w:hyperlink>
    </w:p>
    <w:p w14:paraId="189895C6" w14:textId="77777777" w:rsidR="00305FE7" w:rsidRPr="00305FE7" w:rsidRDefault="00305FE7" w:rsidP="00305FE7">
      <w:pPr>
        <w:pStyle w:val="EndNoteBibliography"/>
        <w:spacing w:after="0"/>
        <w:ind w:left="720" w:hanging="720"/>
      </w:pPr>
      <w:bookmarkStart w:id="780" w:name="_ENREF_123"/>
      <w:r w:rsidRPr="00305FE7">
        <w:t xml:space="preserve">Koch, E.W. (2001). What can sediments tell us about seagrass habitats? In LJ McKenzie, S Campbell, C Roder, J Bité &amp; R Coles (Eds.), </w:t>
      </w:r>
      <w:r w:rsidRPr="00305FE7">
        <w:rPr>
          <w:i/>
        </w:rPr>
        <w:t>Local Eyes: Global Wise, Proceedings of the 1st International Seagrass-Watch volunteers Forum, Hervey Bay 12th-15th October 2001</w:t>
      </w:r>
      <w:r w:rsidRPr="00305FE7">
        <w:t xml:space="preserve"> (Vol. 1, pp. 59-62). Cairns: Marine Plant Ecology Group, DPI.</w:t>
      </w:r>
      <w:bookmarkEnd w:id="780"/>
    </w:p>
    <w:p w14:paraId="7663668A" w14:textId="77777777" w:rsidR="00305FE7" w:rsidRPr="00305FE7" w:rsidRDefault="00305FE7" w:rsidP="00305FE7">
      <w:pPr>
        <w:pStyle w:val="EndNoteBibliography"/>
        <w:spacing w:after="0"/>
        <w:ind w:left="720" w:hanging="720"/>
      </w:pPr>
      <w:bookmarkStart w:id="781" w:name="_ENREF_124"/>
      <w:r w:rsidRPr="00305FE7">
        <w:t xml:space="preserve">Kuhnert, P.M., Liu, Y., Henderson, B.L., Dambacher, J., Lawrence, E., and Kroon, F.J. (2014). </w:t>
      </w:r>
      <w:r w:rsidRPr="00305FE7">
        <w:rPr>
          <w:i/>
        </w:rPr>
        <w:t>Review of the Marine Monitoring Program (MMP), Final Report for the Great Barrier Reef Marine Park Authority (GBRMPA)</w:t>
      </w:r>
      <w:r w:rsidRPr="00305FE7">
        <w:t>. Adelaide: CSIRO.</w:t>
      </w:r>
      <w:bookmarkEnd w:id="781"/>
    </w:p>
    <w:p w14:paraId="1D57B54E" w14:textId="77777777" w:rsidR="00305FE7" w:rsidRPr="00305FE7" w:rsidRDefault="00305FE7" w:rsidP="00305FE7">
      <w:pPr>
        <w:pStyle w:val="EndNoteBibliography"/>
        <w:spacing w:after="0"/>
        <w:ind w:left="720" w:hanging="720"/>
      </w:pPr>
      <w:bookmarkStart w:id="782" w:name="_ENREF_125"/>
      <w:r w:rsidRPr="00305FE7">
        <w:t xml:space="preserve">Lajtha, K., and Marshall, J. (1994). Sources of variation in the stable isotope composition of plants. In K Lajtha &amp; R Michener (Eds.), </w:t>
      </w:r>
      <w:r w:rsidRPr="00305FE7">
        <w:rPr>
          <w:i/>
        </w:rPr>
        <w:t>Stable Isotopes in Ecology and Environmental Sciences</w:t>
      </w:r>
      <w:r w:rsidRPr="00305FE7">
        <w:t xml:space="preserve"> (pp. 1–21). Oxford: Blackwell Scientific Publications.</w:t>
      </w:r>
      <w:bookmarkEnd w:id="782"/>
    </w:p>
    <w:p w14:paraId="13FCBE52" w14:textId="77777777" w:rsidR="00305FE7" w:rsidRPr="00305FE7" w:rsidRDefault="00305FE7" w:rsidP="00305FE7">
      <w:pPr>
        <w:pStyle w:val="EndNoteBibliography"/>
        <w:spacing w:after="0"/>
        <w:ind w:left="720" w:hanging="720"/>
      </w:pPr>
      <w:bookmarkStart w:id="783" w:name="_ENREF_126"/>
      <w:r w:rsidRPr="00305FE7">
        <w:t xml:space="preserve">Lamb, J.B., van de Water, J.A.J.M., Bourne, D.G., Altier, C., Hein, M.Y., Fiorenza, E.A., Abu, N., Jompa, J., and Harvell, C.D. 2017, Seagrass ecosystems reduce exposure to bacterial pathogens of humans, fishes, and invertebrates. </w:t>
      </w:r>
      <w:r w:rsidRPr="00305FE7">
        <w:rPr>
          <w:i/>
        </w:rPr>
        <w:t>Science, 355</w:t>
      </w:r>
      <w:r w:rsidRPr="00305FE7">
        <w:t>(6326), 731-733. doi: 10.1126/science.aal1956</w:t>
      </w:r>
      <w:bookmarkEnd w:id="783"/>
    </w:p>
    <w:p w14:paraId="5EA0BF73" w14:textId="77777777" w:rsidR="00305FE7" w:rsidRPr="00305FE7" w:rsidRDefault="00305FE7" w:rsidP="00305FE7">
      <w:pPr>
        <w:pStyle w:val="EndNoteBibliography"/>
        <w:spacing w:after="0"/>
        <w:ind w:left="720" w:hanging="720"/>
      </w:pPr>
      <w:bookmarkStart w:id="784" w:name="_ENREF_127"/>
      <w:r w:rsidRPr="00305FE7">
        <w:t xml:space="preserve">Lanyon, J., Limpus, C.J., and Marsh, H. (1989). Dugongs and turtles: grazers in the seagrass system. In AWD Larkum, AJ McComb &amp; SA Shepherd (Eds.), </w:t>
      </w:r>
      <w:r w:rsidRPr="00305FE7">
        <w:rPr>
          <w:i/>
        </w:rPr>
        <w:t>Biology of Seagrasses: A treatise on the biology of seagrasses with special reference to the Australian region</w:t>
      </w:r>
      <w:r w:rsidRPr="00305FE7">
        <w:t xml:space="preserve"> (pp. 610-634). New York: Elsevier.</w:t>
      </w:r>
      <w:bookmarkEnd w:id="784"/>
    </w:p>
    <w:p w14:paraId="66C7F2CD" w14:textId="77777777" w:rsidR="00305FE7" w:rsidRPr="00305FE7" w:rsidRDefault="00305FE7" w:rsidP="00305FE7">
      <w:pPr>
        <w:pStyle w:val="EndNoteBibliography"/>
        <w:spacing w:after="0"/>
        <w:ind w:left="720" w:hanging="720"/>
      </w:pPr>
      <w:bookmarkStart w:id="785" w:name="_ENREF_128"/>
      <w:r w:rsidRPr="00305FE7">
        <w:t xml:space="preserve">Larcombe, P., Ridd, P.V., Prytz, A., and Wilson, B. 1995, Factors controlling suspended sediment on inner-shelf coral reefs, Townsville, Australia. </w:t>
      </w:r>
      <w:r w:rsidRPr="00305FE7">
        <w:rPr>
          <w:i/>
        </w:rPr>
        <w:t>Coral Reefs, 14</w:t>
      </w:r>
      <w:r w:rsidRPr="00305FE7">
        <w:t>(3), 163-171. doi: 10.1007/bf00367235</w:t>
      </w:r>
      <w:bookmarkEnd w:id="785"/>
    </w:p>
    <w:p w14:paraId="05271CDF" w14:textId="77777777" w:rsidR="00305FE7" w:rsidRPr="00305FE7" w:rsidRDefault="00305FE7" w:rsidP="00305FE7">
      <w:pPr>
        <w:pStyle w:val="EndNoteBibliography"/>
        <w:spacing w:after="0"/>
        <w:ind w:left="720" w:hanging="720"/>
      </w:pPr>
      <w:bookmarkStart w:id="786" w:name="_ENREF_129"/>
      <w:r w:rsidRPr="00305FE7">
        <w:t xml:space="preserve">Lavery, P.S., Mateo, M.-Á., Serrano, O., and Rozaimi, M. 2013, Variability in the Carbon Storage of Seagrass Habitats and Its Implications for Global Estimates of Blue Carbon Ecosystem Service. </w:t>
      </w:r>
      <w:r w:rsidRPr="00305FE7">
        <w:rPr>
          <w:i/>
        </w:rPr>
        <w:t>Plos One, 8</w:t>
      </w:r>
      <w:r w:rsidRPr="00305FE7">
        <w:t>(9), e73748. doi: 10.1371/journal.pone.0073748</w:t>
      </w:r>
      <w:bookmarkEnd w:id="786"/>
    </w:p>
    <w:p w14:paraId="43008F1F" w14:textId="77777777" w:rsidR="00305FE7" w:rsidRPr="00305FE7" w:rsidRDefault="00305FE7" w:rsidP="00305FE7">
      <w:pPr>
        <w:pStyle w:val="EndNoteBibliography"/>
        <w:spacing w:after="0"/>
        <w:ind w:left="720" w:hanging="720"/>
      </w:pPr>
      <w:bookmarkStart w:id="787" w:name="_ENREF_130"/>
      <w:r w:rsidRPr="00305FE7">
        <w:t xml:space="preserve">Lee Long, W.J., Coles, R.G., and McKenzie, L.J. (1996a). Deepwater seagrasses in northeastern Australia - how deep, how meaningful? In J Kuo, RC Phillips, DI Walker &amp; H Kirkman (Eds.), </w:t>
      </w:r>
      <w:r w:rsidRPr="00305FE7">
        <w:rPr>
          <w:i/>
        </w:rPr>
        <w:t>Seagrass Biology: Proceedings of an International Workshop, Rottnest Island, Western Australia 25-29 January, 1996</w:t>
      </w:r>
      <w:r w:rsidRPr="00305FE7">
        <w:t xml:space="preserve"> (pp. 41-50). Perth: Faculty of Sceinces, The University of Western Australia.</w:t>
      </w:r>
      <w:bookmarkEnd w:id="787"/>
    </w:p>
    <w:p w14:paraId="3D6636D8" w14:textId="77777777" w:rsidR="00305FE7" w:rsidRPr="00305FE7" w:rsidRDefault="00305FE7" w:rsidP="00305FE7">
      <w:pPr>
        <w:pStyle w:val="EndNoteBibliography"/>
        <w:spacing w:after="0"/>
        <w:ind w:left="720" w:hanging="720"/>
      </w:pPr>
      <w:bookmarkStart w:id="788" w:name="_ENREF_131"/>
      <w:r w:rsidRPr="00305FE7">
        <w:t xml:space="preserve">Lee Long, W.J., Coles, R.G., and McKenzie, L.J. 1999, Issues for Seagrass conservation management in Queensland. </w:t>
      </w:r>
      <w:r w:rsidRPr="00305FE7">
        <w:rPr>
          <w:i/>
        </w:rPr>
        <w:t>Pacific Conservation Biology, 5</w:t>
      </w:r>
      <w:r w:rsidRPr="00305FE7">
        <w:t xml:space="preserve">(4), 321-328. </w:t>
      </w:r>
      <w:bookmarkEnd w:id="788"/>
    </w:p>
    <w:p w14:paraId="6CFB95EE" w14:textId="77777777" w:rsidR="00305FE7" w:rsidRPr="00305FE7" w:rsidRDefault="00305FE7" w:rsidP="00305FE7">
      <w:pPr>
        <w:pStyle w:val="EndNoteBibliography"/>
        <w:spacing w:after="0"/>
        <w:ind w:left="720" w:hanging="720"/>
      </w:pPr>
      <w:bookmarkStart w:id="789" w:name="_ENREF_132"/>
      <w:r w:rsidRPr="00305FE7">
        <w:t xml:space="preserve">Lee Long, W.J., Coles, R.G., Miller, K.J., Vidler, K.P., and Derbyshire, K.J. (1992). </w:t>
      </w:r>
      <w:r w:rsidRPr="00305FE7">
        <w:rPr>
          <w:i/>
        </w:rPr>
        <w:t>Seagrass beds and juvenile prawn and fish nursery grounds: Water Park Point to Hervey Bay, Queensland</w:t>
      </w:r>
      <w:r w:rsidRPr="00305FE7">
        <w:t>. Brisbane: Queensland Department of Primary Industries.</w:t>
      </w:r>
      <w:bookmarkEnd w:id="789"/>
    </w:p>
    <w:p w14:paraId="4056D433" w14:textId="77777777" w:rsidR="00305FE7" w:rsidRPr="00305FE7" w:rsidRDefault="00305FE7" w:rsidP="00305FE7">
      <w:pPr>
        <w:pStyle w:val="EndNoteBibliography"/>
        <w:spacing w:after="0"/>
        <w:ind w:left="720" w:hanging="720"/>
      </w:pPr>
      <w:bookmarkStart w:id="790" w:name="_ENREF_133"/>
      <w:r w:rsidRPr="00305FE7">
        <w:t xml:space="preserve">Lee Long, W.J., McKenzie, L.J., and Coles, R.G. (1996b). </w:t>
      </w:r>
      <w:r w:rsidRPr="00305FE7">
        <w:rPr>
          <w:i/>
        </w:rPr>
        <w:t>Distribution of seagrasses in Shoalwater Bay, Queensland - September 1995</w:t>
      </w:r>
      <w:r w:rsidRPr="00305FE7">
        <w:t>. Cairns: QDPI: NFC.</w:t>
      </w:r>
      <w:bookmarkEnd w:id="790"/>
    </w:p>
    <w:p w14:paraId="12370B36" w14:textId="77777777" w:rsidR="00305FE7" w:rsidRPr="00305FE7" w:rsidRDefault="00305FE7" w:rsidP="00305FE7">
      <w:pPr>
        <w:pStyle w:val="EndNoteBibliography"/>
        <w:spacing w:after="0"/>
        <w:ind w:left="720" w:hanging="720"/>
      </w:pPr>
      <w:bookmarkStart w:id="791" w:name="_ENREF_134"/>
      <w:r w:rsidRPr="00305FE7">
        <w:t xml:space="preserve">Lee Long, W.J., McKenzie, L.J., and Coles, R.G. 1997, Seagrass Communities in the Shoalwater Bay Region, Queensland; Spring (September) 1995 &amp; Autumn (April) 1996. [Information Series]. </w:t>
      </w:r>
      <w:r w:rsidRPr="00305FE7">
        <w:rPr>
          <w:i/>
        </w:rPr>
        <w:t>Queensland Department of Primary Industries Information Series QI96042</w:t>
      </w:r>
      <w:r w:rsidRPr="00305FE7">
        <w:t xml:space="preserve">, 38. </w:t>
      </w:r>
      <w:bookmarkEnd w:id="791"/>
    </w:p>
    <w:p w14:paraId="27984B54" w14:textId="77777777" w:rsidR="00305FE7" w:rsidRPr="00305FE7" w:rsidRDefault="00305FE7" w:rsidP="00305FE7">
      <w:pPr>
        <w:pStyle w:val="EndNoteBibliography"/>
        <w:spacing w:after="0"/>
        <w:ind w:left="720" w:hanging="720"/>
      </w:pPr>
      <w:bookmarkStart w:id="792" w:name="_ENREF_135"/>
      <w:r w:rsidRPr="00305FE7">
        <w:t xml:space="preserve">Lee Long, W.J., McKenzie, L.J., Roelofs, A.J., Makey, L.J., Coles, R.G., and C.A., R. 1998, Baseline Survey of Hinchinbrook Region Seagrasses - October (Spring) 1996. Research publication No. 51. 26. </w:t>
      </w:r>
      <w:bookmarkEnd w:id="792"/>
    </w:p>
    <w:p w14:paraId="39330D50" w14:textId="77777777" w:rsidR="00305FE7" w:rsidRPr="00305FE7" w:rsidRDefault="00305FE7" w:rsidP="00305FE7">
      <w:pPr>
        <w:pStyle w:val="EndNoteBibliography"/>
        <w:spacing w:after="0"/>
        <w:ind w:left="720" w:hanging="720"/>
      </w:pPr>
      <w:bookmarkStart w:id="793" w:name="_ENREF_136"/>
      <w:r w:rsidRPr="00305FE7">
        <w:t xml:space="preserve">Lee Long, W.J., Mellors, J.E., and Coles, R.G. 1993, Seagrasses between Cape York and Hervey Bay, Queensland, Australia. </w:t>
      </w:r>
      <w:r w:rsidRPr="00305FE7">
        <w:rPr>
          <w:i/>
        </w:rPr>
        <w:t>Australian Journal of Marine and Freshwater Research, 44</w:t>
      </w:r>
      <w:r w:rsidRPr="00305FE7">
        <w:t xml:space="preserve">, 19-32. </w:t>
      </w:r>
      <w:bookmarkEnd w:id="793"/>
    </w:p>
    <w:p w14:paraId="6D31DEE9" w14:textId="77777777" w:rsidR="00305FE7" w:rsidRPr="00305FE7" w:rsidRDefault="00305FE7" w:rsidP="00305FE7">
      <w:pPr>
        <w:pStyle w:val="EndNoteBibliography"/>
        <w:spacing w:after="0"/>
        <w:ind w:left="720" w:hanging="720"/>
      </w:pPr>
      <w:bookmarkStart w:id="794" w:name="_ENREF_137"/>
      <w:r w:rsidRPr="00305FE7">
        <w:t xml:space="preserve">Limpus, C.J., Limpus, D.J., Arthur, K.E., and Parmenter, C.J. (2005). </w:t>
      </w:r>
      <w:r w:rsidRPr="00305FE7">
        <w:rPr>
          <w:i/>
        </w:rPr>
        <w:t xml:space="preserve">Monitoring Green Turtle Population Dynamics in Shoalwater Bay:2000 - 2004. GBRMPA Research Publication No 83 </w:t>
      </w:r>
      <w:r w:rsidRPr="00305FE7">
        <w:t>Townsville: Great Barrier Reef Marine Park Authority.</w:t>
      </w:r>
      <w:bookmarkEnd w:id="794"/>
    </w:p>
    <w:p w14:paraId="40F2C73D" w14:textId="77777777" w:rsidR="00305FE7" w:rsidRPr="00305FE7" w:rsidRDefault="00305FE7" w:rsidP="00305FE7">
      <w:pPr>
        <w:pStyle w:val="EndNoteBibliography"/>
        <w:spacing w:after="0"/>
        <w:ind w:left="720" w:hanging="720"/>
      </w:pPr>
      <w:bookmarkStart w:id="795" w:name="_ENREF_138"/>
      <w:r w:rsidRPr="00305FE7">
        <w:t xml:space="preserve">Lobb, K.F. (2006). </w:t>
      </w:r>
      <w:r w:rsidRPr="00305FE7">
        <w:rPr>
          <w:i/>
        </w:rPr>
        <w:t>Broad scale coastal nutrient assessment of the inshore Great Barrier Reef using carbon and nitrogen in marine plants and sediments.</w:t>
      </w:r>
      <w:r w:rsidRPr="00305FE7">
        <w:t xml:space="preserve"> Bachelor of Science with Honours, The University of Queensland, Brisbane.   </w:t>
      </w:r>
      <w:bookmarkEnd w:id="795"/>
    </w:p>
    <w:p w14:paraId="597C7078" w14:textId="25910917" w:rsidR="00305FE7" w:rsidRPr="00305FE7" w:rsidRDefault="00305FE7" w:rsidP="00305FE7">
      <w:pPr>
        <w:pStyle w:val="EndNoteBibliography"/>
        <w:spacing w:after="0"/>
        <w:ind w:left="720" w:hanging="720"/>
      </w:pPr>
      <w:bookmarkStart w:id="796" w:name="_ENREF_139"/>
      <w:r w:rsidRPr="00305FE7">
        <w:t xml:space="preserve">Mackay Whitsunday Natural Resource Management Group Inc. (2005). Mackay Whitsunday Natural Resource Management Plan. </w:t>
      </w:r>
      <w:hyperlink r:id="rId182" w:history="1">
        <w:r w:rsidRPr="00305FE7">
          <w:rPr>
            <w:rStyle w:val="Hyperlink"/>
          </w:rPr>
          <w:t>http://nrmonline.nrm.gov.au/catalog/mql:2229</w:t>
        </w:r>
      </w:hyperlink>
      <w:r w:rsidRPr="00305FE7">
        <w:t xml:space="preserve">  Retrieved 18 February 2014</w:t>
      </w:r>
      <w:bookmarkEnd w:id="796"/>
    </w:p>
    <w:p w14:paraId="78466DD9" w14:textId="77777777" w:rsidR="00305FE7" w:rsidRPr="00305FE7" w:rsidRDefault="00305FE7" w:rsidP="00305FE7">
      <w:pPr>
        <w:pStyle w:val="EndNoteBibliography"/>
        <w:spacing w:after="0"/>
        <w:ind w:left="720" w:hanging="720"/>
      </w:pPr>
      <w:bookmarkStart w:id="797" w:name="_ENREF_140"/>
      <w:r w:rsidRPr="00305FE7">
        <w:t xml:space="preserve">Macreadie, P.I., Serrano, O., Maher, D.T., Duarte, C.M., and Beardall, J. 2017, Addressing calcium carbonate cycling in blue carbon accounting. </w:t>
      </w:r>
      <w:r w:rsidRPr="00305FE7">
        <w:rPr>
          <w:i/>
        </w:rPr>
        <w:t>Limnology and Oceanography Letters, 2</w:t>
      </w:r>
      <w:r w:rsidRPr="00305FE7">
        <w:t>(6), 195-201. doi: doi:10.1002/lol2.10052</w:t>
      </w:r>
      <w:bookmarkEnd w:id="797"/>
    </w:p>
    <w:p w14:paraId="747E22F1" w14:textId="77777777" w:rsidR="00305FE7" w:rsidRPr="00305FE7" w:rsidRDefault="00305FE7" w:rsidP="00305FE7">
      <w:pPr>
        <w:pStyle w:val="EndNoteBibliography"/>
        <w:spacing w:after="0"/>
        <w:ind w:left="720" w:hanging="720"/>
      </w:pPr>
      <w:bookmarkStart w:id="798" w:name="_ENREF_141"/>
      <w:r w:rsidRPr="00305FE7">
        <w:t xml:space="preserve">Marsh, H., O'Shea, T.J., and Reynolds III, J. (2011). </w:t>
      </w:r>
      <w:r w:rsidRPr="00305FE7">
        <w:rPr>
          <w:i/>
        </w:rPr>
        <w:t>Ecology and conservation of the sirenia: dugongs and manatees</w:t>
      </w:r>
      <w:r w:rsidRPr="00305FE7">
        <w:t>. New York: Cambridge University Press.</w:t>
      </w:r>
      <w:bookmarkEnd w:id="798"/>
    </w:p>
    <w:p w14:paraId="38838F1B" w14:textId="77777777" w:rsidR="00305FE7" w:rsidRPr="00305FE7" w:rsidRDefault="00305FE7" w:rsidP="00305FE7">
      <w:pPr>
        <w:pStyle w:val="EndNoteBibliography"/>
        <w:spacing w:after="0"/>
        <w:ind w:left="720" w:hanging="720"/>
      </w:pPr>
      <w:bookmarkStart w:id="799" w:name="_ENREF_142"/>
      <w:r w:rsidRPr="00305FE7">
        <w:t xml:space="preserve">Marsh, H.D., and R, L.I. (2002). </w:t>
      </w:r>
      <w:r w:rsidRPr="00305FE7">
        <w:rPr>
          <w:i/>
        </w:rPr>
        <w:t>Dugong distribution and abundance in the northern Great Barrier Reef Marine Park - November 2000. Research Publication No 77</w:t>
      </w:r>
      <w:r w:rsidRPr="00305FE7">
        <w:t>. Townsville: Great Barrier Reef Marine Park Authority.</w:t>
      </w:r>
      <w:bookmarkEnd w:id="799"/>
    </w:p>
    <w:p w14:paraId="6BFF56FF" w14:textId="77777777" w:rsidR="00305FE7" w:rsidRPr="00305FE7" w:rsidRDefault="00305FE7" w:rsidP="00305FE7">
      <w:pPr>
        <w:pStyle w:val="EndNoteBibliography"/>
        <w:spacing w:after="0"/>
        <w:ind w:left="720" w:hanging="720"/>
      </w:pPr>
      <w:bookmarkStart w:id="800" w:name="_ENREF_143"/>
      <w:r w:rsidRPr="00305FE7">
        <w:t xml:space="preserve">Maxwell, W.G.H. (1968). </w:t>
      </w:r>
      <w:r w:rsidRPr="00305FE7">
        <w:rPr>
          <w:i/>
        </w:rPr>
        <w:t>Atlas of the Great Barrier Reef</w:t>
      </w:r>
      <w:r w:rsidRPr="00305FE7">
        <w:t>. Amsterdam: Elsevier Publishing Company.</w:t>
      </w:r>
      <w:bookmarkEnd w:id="800"/>
    </w:p>
    <w:p w14:paraId="1539007E" w14:textId="77777777" w:rsidR="00305FE7" w:rsidRPr="00305FE7" w:rsidRDefault="00305FE7" w:rsidP="00305FE7">
      <w:pPr>
        <w:pStyle w:val="EndNoteBibliography"/>
        <w:spacing w:after="0"/>
        <w:ind w:left="720" w:hanging="720"/>
      </w:pPr>
      <w:bookmarkStart w:id="801" w:name="_ENREF_144"/>
      <w:r w:rsidRPr="00305FE7">
        <w:t xml:space="preserve">McCulloch, M., Pailles, C., Moody, P., and Martin, C.E. 2003, Tracing the source of sediment and phosphorus into the Great Barrier Reef lagoon. </w:t>
      </w:r>
      <w:r w:rsidRPr="00305FE7">
        <w:rPr>
          <w:i/>
        </w:rPr>
        <w:t>Earth and Planetary Science Letters, 210</w:t>
      </w:r>
      <w:r w:rsidRPr="00305FE7">
        <w:t xml:space="preserve">, 249-258. </w:t>
      </w:r>
      <w:bookmarkEnd w:id="801"/>
    </w:p>
    <w:p w14:paraId="65CD3A24" w14:textId="77777777" w:rsidR="00305FE7" w:rsidRPr="00305FE7" w:rsidRDefault="00305FE7" w:rsidP="00305FE7">
      <w:pPr>
        <w:pStyle w:val="EndNoteBibliography"/>
        <w:spacing w:after="0"/>
        <w:ind w:left="720" w:hanging="720"/>
      </w:pPr>
      <w:bookmarkStart w:id="802" w:name="_ENREF_145"/>
      <w:r w:rsidRPr="00305FE7">
        <w:t xml:space="preserve">McKenna, S., Scott, E., and Rasheed, M. (2017 ). </w:t>
      </w:r>
      <w:r w:rsidRPr="00305FE7">
        <w:rPr>
          <w:i/>
        </w:rPr>
        <w:t>Port of Abbot Point long-term seagrass monitoring program: annual report 2015-16</w:t>
      </w:r>
      <w:r w:rsidRPr="00305FE7">
        <w:t>. Cairns: JCU Publication, centre for Tropical Water &amp; Aquatic Ecosystem Research.</w:t>
      </w:r>
      <w:bookmarkEnd w:id="802"/>
    </w:p>
    <w:p w14:paraId="6C958AF7" w14:textId="77777777" w:rsidR="00305FE7" w:rsidRPr="00305FE7" w:rsidRDefault="00305FE7" w:rsidP="00305FE7">
      <w:pPr>
        <w:pStyle w:val="EndNoteBibliography"/>
        <w:spacing w:after="0"/>
        <w:ind w:left="720" w:hanging="720"/>
      </w:pPr>
      <w:bookmarkStart w:id="803" w:name="_ENREF_146"/>
      <w:r w:rsidRPr="00305FE7">
        <w:t xml:space="preserve">McKenna, S., Sozou, A., Scott, E., and Rasheed, M. (2015). </w:t>
      </w:r>
      <w:r w:rsidRPr="00305FE7">
        <w:rPr>
          <w:i/>
        </w:rPr>
        <w:t>Port of Abbot Point Long-Term Seagrass Monitoring: Annual Report 2013-2014</w:t>
      </w:r>
      <w:r w:rsidRPr="00305FE7">
        <w:t>. Cairns: JCU Publication, Centre for Tropical Water &amp; Aquatic Ecosystem Research.</w:t>
      </w:r>
      <w:bookmarkEnd w:id="803"/>
    </w:p>
    <w:p w14:paraId="68E79446" w14:textId="77777777" w:rsidR="00305FE7" w:rsidRPr="00305FE7" w:rsidRDefault="00305FE7" w:rsidP="00305FE7">
      <w:pPr>
        <w:pStyle w:val="EndNoteBibliography"/>
        <w:spacing w:after="0"/>
        <w:ind w:left="720" w:hanging="720"/>
      </w:pPr>
      <w:bookmarkStart w:id="804" w:name="_ENREF_147"/>
      <w:r w:rsidRPr="00305FE7">
        <w:t xml:space="preserve">McKenna, S.A., and Rasheed, M. (2017 ). </w:t>
      </w:r>
      <w:r w:rsidRPr="00305FE7">
        <w:rPr>
          <w:i/>
        </w:rPr>
        <w:t>Annual seagrass monitoring in the Mackay-Hay Point Region 2016</w:t>
      </w:r>
      <w:r w:rsidRPr="00305FE7">
        <w:t>. Cains: Centre for Tropical Water &amp; Aquatic Ecosystem Research (TropWATER), James Cook University.</w:t>
      </w:r>
      <w:bookmarkEnd w:id="804"/>
    </w:p>
    <w:p w14:paraId="436B2522" w14:textId="77777777" w:rsidR="00305FE7" w:rsidRPr="00305FE7" w:rsidRDefault="00305FE7" w:rsidP="00305FE7">
      <w:pPr>
        <w:pStyle w:val="EndNoteBibliography"/>
        <w:spacing w:after="0"/>
        <w:ind w:left="720" w:hanging="720"/>
      </w:pPr>
      <w:bookmarkStart w:id="805" w:name="_ENREF_148"/>
      <w:r w:rsidRPr="00305FE7">
        <w:t xml:space="preserve">McKenzie, L.J. (2007). </w:t>
      </w:r>
      <w:r w:rsidRPr="00305FE7">
        <w:rPr>
          <w:i/>
        </w:rPr>
        <w:t>Relationships between seagrass communities and sediment properties along the Queensland coast. Progress report to the Marine and Tropical Sciences Research Facility</w:t>
      </w:r>
      <w:r w:rsidRPr="00305FE7">
        <w:t>. Cairns Reef and Rainforest Research Centre Ltd.</w:t>
      </w:r>
      <w:bookmarkEnd w:id="805"/>
    </w:p>
    <w:p w14:paraId="6DA22000" w14:textId="77777777" w:rsidR="00305FE7" w:rsidRPr="00305FE7" w:rsidRDefault="00305FE7" w:rsidP="00305FE7">
      <w:pPr>
        <w:pStyle w:val="EndNoteBibliography"/>
        <w:spacing w:after="0"/>
        <w:ind w:left="720" w:hanging="720"/>
      </w:pPr>
      <w:bookmarkStart w:id="806" w:name="_ENREF_149"/>
      <w:r w:rsidRPr="00305FE7">
        <w:t xml:space="preserve">McKenzie, L.J. (2008). </w:t>
      </w:r>
      <w:r w:rsidRPr="00305FE7">
        <w:rPr>
          <w:i/>
        </w:rPr>
        <w:t>Relationships between seagrass communities and epiphyte assemblages along the Queensland coast. Marine and Tropical Sciences Research Facility Milestone Report, Project 3.7.1c Progress Report #3, 11th June 2008</w:t>
      </w:r>
      <w:r w:rsidRPr="00305FE7">
        <w:t>. Cairns: RRRC.</w:t>
      </w:r>
      <w:bookmarkEnd w:id="806"/>
    </w:p>
    <w:p w14:paraId="616E3FE4" w14:textId="4248CE62" w:rsidR="00305FE7" w:rsidRPr="00305FE7" w:rsidRDefault="00305FE7" w:rsidP="00305FE7">
      <w:pPr>
        <w:pStyle w:val="EndNoteBibliography"/>
        <w:spacing w:after="0"/>
        <w:ind w:left="720" w:hanging="720"/>
      </w:pPr>
      <w:bookmarkStart w:id="807" w:name="_ENREF_150"/>
      <w:r w:rsidRPr="00305FE7">
        <w:t xml:space="preserve">McKenzie, L.J. (2009). Observing change in seagrass habitats of the GBR– Seagrass-Watch monitoring: Deriving seagrass abundance indicators for regional habitat guidelines,. In LJ McKenzie &amp; M Waycott (Eds.), </w:t>
      </w:r>
      <w:r w:rsidRPr="00305FE7">
        <w:rPr>
          <w:i/>
        </w:rPr>
        <w:t xml:space="preserve">Marine and Tropical Sciences Research Facility Milestone and Progress Report #3, 2008-2009 (ARP 3) Project 1.1.3 Report 3, 11th June 2000.  </w:t>
      </w:r>
      <w:hyperlink r:id="rId183" w:history="1">
        <w:r w:rsidRPr="00305FE7">
          <w:rPr>
            <w:rStyle w:val="Hyperlink"/>
            <w:i/>
          </w:rPr>
          <w:t>http://rrrc.org.au/wp-content/uploads/2014/06/113-QDPIF-McKenzie-L-2009-June-Milestone-Report.pdf</w:t>
        </w:r>
      </w:hyperlink>
      <w:r w:rsidRPr="00305FE7">
        <w:rPr>
          <w:i/>
        </w:rPr>
        <w:t xml:space="preserve"> accessed 23 February 2017.</w:t>
      </w:r>
      <w:r w:rsidRPr="00305FE7">
        <w:t xml:space="preserve"> (pp. 7-1). Cairns: RRRC.</w:t>
      </w:r>
      <w:bookmarkEnd w:id="807"/>
    </w:p>
    <w:p w14:paraId="1C52FF18" w14:textId="77777777" w:rsidR="00305FE7" w:rsidRPr="00305FE7" w:rsidRDefault="00305FE7" w:rsidP="00305FE7">
      <w:pPr>
        <w:pStyle w:val="EndNoteBibliography"/>
        <w:spacing w:after="0"/>
        <w:ind w:left="720" w:hanging="720"/>
      </w:pPr>
      <w:bookmarkStart w:id="808" w:name="_ENREF_151"/>
      <w:r w:rsidRPr="00305FE7">
        <w:t xml:space="preserve">McKenzie, L.J., and Campbell, S.J. (2002). </w:t>
      </w:r>
      <w:r w:rsidRPr="00305FE7">
        <w:rPr>
          <w:i/>
        </w:rPr>
        <w:t>Seagrass resources of the Booral Wetlands and the Great Sandy Strait: February/March 2002. DPI Information Series QI03016.</w:t>
      </w:r>
      <w:r w:rsidRPr="00305FE7">
        <w:t xml:space="preserve"> Cairns: The State of Queensland, Department of Primary Industries.</w:t>
      </w:r>
      <w:bookmarkEnd w:id="808"/>
    </w:p>
    <w:p w14:paraId="200B5EF5" w14:textId="77777777" w:rsidR="00305FE7" w:rsidRPr="00305FE7" w:rsidRDefault="00305FE7" w:rsidP="00305FE7">
      <w:pPr>
        <w:pStyle w:val="EndNoteBibliography"/>
        <w:spacing w:after="0"/>
        <w:ind w:left="720" w:hanging="720"/>
      </w:pPr>
      <w:bookmarkStart w:id="809" w:name="_ENREF_152"/>
      <w:r w:rsidRPr="00305FE7">
        <w:t xml:space="preserve">McKenzie, L.J., Campbell, S.J., and Roder, C.A. (2003). </w:t>
      </w:r>
      <w:r w:rsidRPr="00305FE7">
        <w:rPr>
          <w:i/>
        </w:rPr>
        <w:t>Seagrass-Watch: Manual for Mapping &amp; Monitoring Seagrass Resources</w:t>
      </w:r>
      <w:r w:rsidRPr="00305FE7">
        <w:t xml:space="preserve"> (2nd ed.). Cairns: QFS, NFC.</w:t>
      </w:r>
      <w:bookmarkEnd w:id="809"/>
    </w:p>
    <w:p w14:paraId="5B7DF1BD" w14:textId="77777777" w:rsidR="00305FE7" w:rsidRPr="00305FE7" w:rsidRDefault="00305FE7" w:rsidP="00305FE7">
      <w:pPr>
        <w:pStyle w:val="EndNoteBibliography"/>
        <w:spacing w:after="0"/>
        <w:ind w:left="720" w:hanging="720"/>
      </w:pPr>
      <w:bookmarkStart w:id="810" w:name="_ENREF_153"/>
      <w:r w:rsidRPr="00305FE7">
        <w:t xml:space="preserve">McKenzie, L.J., Collier, C., Langlois, L., Yoshida, R., Smith, N., and Waycott, M. (2015). </w:t>
      </w:r>
      <w:r w:rsidRPr="00305FE7">
        <w:rPr>
          <w:i/>
        </w:rPr>
        <w:t>Reef Rescue Marine Monitoring Program - Inshore Seagrass, Annual Report for the sampling period 1st June 2013 – 31st May 2014</w:t>
      </w:r>
      <w:r w:rsidRPr="00305FE7">
        <w:t>. Cairns: TropWATER, James Cook University.</w:t>
      </w:r>
      <w:bookmarkEnd w:id="810"/>
    </w:p>
    <w:p w14:paraId="05931E9C" w14:textId="77777777" w:rsidR="00305FE7" w:rsidRPr="00305FE7" w:rsidRDefault="00305FE7" w:rsidP="00305FE7">
      <w:pPr>
        <w:pStyle w:val="EndNoteBibliography"/>
        <w:spacing w:after="0"/>
        <w:ind w:left="720" w:hanging="720"/>
      </w:pPr>
      <w:bookmarkStart w:id="811" w:name="_ENREF_154"/>
      <w:r w:rsidRPr="00305FE7">
        <w:t xml:space="preserve">McKenzie, L.J., Collier, C., and Waycott, M. 2014a, Reef Rescue Marine Monitoring Program - Inshore Seagrass, Annual Report for the sampling period 1st July 2011 – 31st May 2012. 176. </w:t>
      </w:r>
      <w:bookmarkEnd w:id="811"/>
    </w:p>
    <w:p w14:paraId="5C9B1CAE" w14:textId="77777777" w:rsidR="00305FE7" w:rsidRPr="00305FE7" w:rsidRDefault="00305FE7" w:rsidP="00305FE7">
      <w:pPr>
        <w:pStyle w:val="EndNoteBibliography"/>
        <w:spacing w:after="0"/>
        <w:ind w:left="720" w:hanging="720"/>
      </w:pPr>
      <w:bookmarkStart w:id="812" w:name="_ENREF_155"/>
      <w:r w:rsidRPr="00305FE7">
        <w:t xml:space="preserve">McKenzie, L.J., Collier, C., Waycott, M., Unsworth, R., Yoshida, R., and Smith, N. (2012a). Monitoring inshore seagrasses of the GBR and responses to water quality. In D Yellowlees &amp; TP Hughes (Eds.), </w:t>
      </w:r>
      <w:r w:rsidRPr="00305FE7">
        <w:rPr>
          <w:i/>
        </w:rPr>
        <w:t>Proceedings of the 12th International Coral Reef Symposium, Cairns, Australia, 9-13 July 2012. Mini-Symposium 15b – Seagrasses and seagrass ecosystems</w:t>
      </w:r>
      <w:r w:rsidRPr="00305FE7">
        <w:t xml:space="preserve"> (pp. 5). Townsville, Queensland: James Cook University.</w:t>
      </w:r>
      <w:bookmarkEnd w:id="812"/>
    </w:p>
    <w:p w14:paraId="68E10FD0" w14:textId="77777777" w:rsidR="00305FE7" w:rsidRPr="00305FE7" w:rsidRDefault="00305FE7" w:rsidP="00305FE7">
      <w:pPr>
        <w:pStyle w:val="EndNoteBibliography"/>
        <w:spacing w:after="0"/>
        <w:ind w:left="720" w:hanging="720"/>
      </w:pPr>
      <w:bookmarkStart w:id="813" w:name="_ENREF_156"/>
      <w:r w:rsidRPr="00305FE7">
        <w:t xml:space="preserve">McKenzie, L.J., Collier, C.J., and Waycott, M. 2012b, Reef Rescue Marine Monitoring Program: Inshore seagrass, annual report for the sampling period 1st September 2010-31st May 2011. 230pp. </w:t>
      </w:r>
      <w:bookmarkEnd w:id="813"/>
    </w:p>
    <w:p w14:paraId="38E14813" w14:textId="77777777" w:rsidR="00305FE7" w:rsidRPr="00305FE7" w:rsidRDefault="00305FE7" w:rsidP="00305FE7">
      <w:pPr>
        <w:pStyle w:val="EndNoteBibliography"/>
        <w:spacing w:after="0"/>
        <w:ind w:left="720" w:hanging="720"/>
      </w:pPr>
      <w:bookmarkStart w:id="814" w:name="_ENREF_157"/>
      <w:r w:rsidRPr="00305FE7">
        <w:t xml:space="preserve">McKenzie, L.J., Finkbeiner, M.A., and Kirkman, H. (2001). Methods for mapping seagrass distribution. In FT Short &amp; RG Coles (Eds.), </w:t>
      </w:r>
      <w:r w:rsidRPr="00305FE7">
        <w:rPr>
          <w:i/>
        </w:rPr>
        <w:t>Global Seagrass Research Methods</w:t>
      </w:r>
      <w:r w:rsidRPr="00305FE7">
        <w:t xml:space="preserve"> (pp. 101-121). Amsterdam: Elsevier Science B.V.</w:t>
      </w:r>
      <w:bookmarkEnd w:id="814"/>
    </w:p>
    <w:p w14:paraId="6F4EE4A2" w14:textId="77777777" w:rsidR="00305FE7" w:rsidRPr="00305FE7" w:rsidRDefault="00305FE7" w:rsidP="00305FE7">
      <w:pPr>
        <w:pStyle w:val="EndNoteBibliography"/>
        <w:spacing w:after="0"/>
        <w:ind w:left="720" w:hanging="720"/>
      </w:pPr>
      <w:bookmarkStart w:id="815" w:name="_ENREF_158"/>
      <w:r w:rsidRPr="00305FE7">
        <w:t xml:space="preserve">McKenzie, L.J., Lee Long, W.J., Coles, R.G., and Roder, C.A. 2000a, Seagrass-Watch: Community based monitoring of seagrass resources. </w:t>
      </w:r>
      <w:r w:rsidRPr="00305FE7">
        <w:rPr>
          <w:i/>
        </w:rPr>
        <w:t>Biologia marina mediterranea, 7</w:t>
      </w:r>
      <w:r w:rsidRPr="00305FE7">
        <w:t xml:space="preserve">(2), 393-396. </w:t>
      </w:r>
      <w:bookmarkEnd w:id="815"/>
    </w:p>
    <w:p w14:paraId="6AAE8C5C" w14:textId="77777777" w:rsidR="00305FE7" w:rsidRPr="00305FE7" w:rsidRDefault="00305FE7" w:rsidP="00305FE7">
      <w:pPr>
        <w:pStyle w:val="EndNoteBibliography"/>
        <w:spacing w:after="0"/>
        <w:ind w:left="720" w:hanging="720"/>
      </w:pPr>
      <w:bookmarkStart w:id="816" w:name="_ENREF_159"/>
      <w:r w:rsidRPr="00305FE7">
        <w:t xml:space="preserve">McKenzie, L.J., Lee Long, W.J., Roelofs, A., Roder, C.A., and Coles, R. (1998). </w:t>
      </w:r>
      <w:r w:rsidRPr="00305FE7">
        <w:rPr>
          <w:i/>
        </w:rPr>
        <w:t>Port of Mourilyin seagrass monitoring - first four years. EcoPorts Monograph Serie No. 15.</w:t>
      </w:r>
      <w:r w:rsidRPr="00305FE7">
        <w:t xml:space="preserve"> Brisbane: Ports Corporation of Queensland.</w:t>
      </w:r>
      <w:bookmarkEnd w:id="816"/>
    </w:p>
    <w:p w14:paraId="7B209497" w14:textId="77777777" w:rsidR="00305FE7" w:rsidRPr="00305FE7" w:rsidRDefault="00305FE7" w:rsidP="00305FE7">
      <w:pPr>
        <w:pStyle w:val="EndNoteBibliography"/>
        <w:spacing w:after="0"/>
        <w:ind w:left="720" w:hanging="720"/>
      </w:pPr>
      <w:bookmarkStart w:id="817" w:name="_ENREF_160"/>
      <w:r w:rsidRPr="00305FE7">
        <w:t xml:space="preserve">McKenzie, L.J., Mellors, J., Waycott, M., Unsworth, R., and Collier, C. (2010a). Intertidal seagrass monitoring. In RRRC Ltd. (Ed.), </w:t>
      </w:r>
      <w:r w:rsidRPr="00305FE7">
        <w:rPr>
          <w:i/>
        </w:rPr>
        <w:t>Reef Rescue Marine Monitoring Program: Quality Assurance/Quality Control Methods and Procedures Manual. Report prepared for the Great Barrier Reef Marine Park Authority.</w:t>
      </w:r>
      <w:r w:rsidRPr="00305FE7">
        <w:t xml:space="preserve"> (pp. 42-56). Cairns: Reef &amp; Rainforest Research Centre Ltd.</w:t>
      </w:r>
      <w:bookmarkEnd w:id="817"/>
    </w:p>
    <w:p w14:paraId="743C853B" w14:textId="77777777" w:rsidR="00305FE7" w:rsidRPr="00305FE7" w:rsidRDefault="00305FE7" w:rsidP="00305FE7">
      <w:pPr>
        <w:pStyle w:val="EndNoteBibliography"/>
        <w:spacing w:after="0"/>
        <w:ind w:left="720" w:hanging="720"/>
      </w:pPr>
      <w:bookmarkStart w:id="818" w:name="_ENREF_161"/>
      <w:r w:rsidRPr="00305FE7">
        <w:t xml:space="preserve">McKenzie, L.J., Rasheed, M.A., Lee Long, W.J., and Coles, R.G. (1996). </w:t>
      </w:r>
      <w:r w:rsidRPr="00305FE7">
        <w:rPr>
          <w:i/>
        </w:rPr>
        <w:t>Port of Mourilyan Seagrass monitoring, Baseline Surveys - Summer (December) 1993 and Winter (July) 1994</w:t>
      </w:r>
      <w:r w:rsidRPr="00305FE7">
        <w:t>. Brisbane: PCQ.</w:t>
      </w:r>
      <w:bookmarkEnd w:id="818"/>
    </w:p>
    <w:p w14:paraId="50E1F197" w14:textId="77777777" w:rsidR="00305FE7" w:rsidRPr="00305FE7" w:rsidRDefault="00305FE7" w:rsidP="00305FE7">
      <w:pPr>
        <w:pStyle w:val="EndNoteBibliography"/>
        <w:spacing w:after="0"/>
        <w:ind w:left="720" w:hanging="720"/>
      </w:pPr>
      <w:bookmarkStart w:id="819" w:name="_ENREF_162"/>
      <w:r w:rsidRPr="00305FE7">
        <w:t xml:space="preserve">McKenzie, L.J., Roder, C.A., Roelofs, A.J., and Lee Long, W.J. 2000b, Post-flood monitoring of seagrasses in Hervey Bay and the Great Sandy Strait, 1999: Implications for dugong, turtle and fisheries management. [DPI Information Series]. </w:t>
      </w:r>
      <w:r w:rsidRPr="00305FE7">
        <w:rPr>
          <w:i/>
        </w:rPr>
        <w:t>Department of Primary Industries Information Series QI00059</w:t>
      </w:r>
      <w:r w:rsidRPr="00305FE7">
        <w:t xml:space="preserve">, 46. </w:t>
      </w:r>
      <w:bookmarkEnd w:id="819"/>
    </w:p>
    <w:p w14:paraId="046FD9FE" w14:textId="77777777" w:rsidR="00305FE7" w:rsidRPr="00305FE7" w:rsidRDefault="00305FE7" w:rsidP="00305FE7">
      <w:pPr>
        <w:pStyle w:val="EndNoteBibliography"/>
        <w:spacing w:after="0"/>
        <w:ind w:left="720" w:hanging="720"/>
      </w:pPr>
      <w:bookmarkStart w:id="820" w:name="_ENREF_163"/>
      <w:r w:rsidRPr="00305FE7">
        <w:t xml:space="preserve">McKenzie, L.J., Roder, C.A., and Yoshida, R.L. 2016, Seagrass and associated benthic community data derived from field surveys at Low Isles, Great Barrier Reef, conducted July-August, 1997. </w:t>
      </w:r>
      <w:r w:rsidRPr="00305FE7">
        <w:rPr>
          <w:i/>
        </w:rPr>
        <w:t>PANGAEA</w:t>
      </w:r>
      <w:r w:rsidRPr="00305FE7">
        <w:t>, doi:10.1594/PANGAEA.858945. doi: 10.1594/PANGAEA.858945</w:t>
      </w:r>
      <w:bookmarkEnd w:id="820"/>
    </w:p>
    <w:p w14:paraId="0365004C" w14:textId="77777777" w:rsidR="00305FE7" w:rsidRPr="00305FE7" w:rsidRDefault="00305FE7" w:rsidP="00305FE7">
      <w:pPr>
        <w:pStyle w:val="EndNoteBibliography"/>
        <w:spacing w:after="0"/>
        <w:ind w:left="720" w:hanging="720"/>
      </w:pPr>
      <w:bookmarkStart w:id="821" w:name="_ENREF_164"/>
      <w:r w:rsidRPr="00305FE7">
        <w:t>McKenzie, L.J., and Unsworth, R.K.F. (2009). [Reef Rescue Marine Monitoring Program: Intertidal Seagrass, Final Report 2008/2009].</w:t>
      </w:r>
      <w:bookmarkEnd w:id="821"/>
    </w:p>
    <w:p w14:paraId="6B7A6D76" w14:textId="77777777" w:rsidR="00305FE7" w:rsidRPr="00305FE7" w:rsidRDefault="00305FE7" w:rsidP="00305FE7">
      <w:pPr>
        <w:pStyle w:val="EndNoteBibliography"/>
        <w:spacing w:after="0"/>
        <w:ind w:left="720" w:hanging="720"/>
      </w:pPr>
      <w:bookmarkStart w:id="822" w:name="_ENREF_165"/>
      <w:r w:rsidRPr="00305FE7">
        <w:t xml:space="preserve">McKenzie, L.J., Unsworth, R.K.F., and Waycott, M. 2010b, Reef Rescue Marine Monitoring Program: Intertidal Seagrass, Annual Report for the sampling period 1st September 2009 – 31st May 2010. 136. </w:t>
      </w:r>
      <w:bookmarkEnd w:id="822"/>
    </w:p>
    <w:p w14:paraId="04341383" w14:textId="77777777" w:rsidR="00305FE7" w:rsidRPr="00305FE7" w:rsidRDefault="00305FE7" w:rsidP="00305FE7">
      <w:pPr>
        <w:pStyle w:val="EndNoteBibliography"/>
        <w:spacing w:after="0"/>
        <w:ind w:left="720" w:hanging="720"/>
      </w:pPr>
      <w:bookmarkStart w:id="823" w:name="_ENREF_166"/>
      <w:r w:rsidRPr="00305FE7">
        <w:t xml:space="preserve">McKenzie, L.J., Waycott, M., Unsworth, R., and Collier, C. (2014b). Inshore seagrass monitoring. In Great Barrier Reef Marine Park Authority (Ed.), </w:t>
      </w:r>
      <w:r w:rsidRPr="00305FE7">
        <w:rPr>
          <w:i/>
        </w:rPr>
        <w:t>Reef rescue marine monitoring program quality assurance and quality control manual. 2013/14</w:t>
      </w:r>
      <w:r w:rsidRPr="00305FE7">
        <w:t xml:space="preserve"> (pp. 75-90). Townsville: GBRMPA.</w:t>
      </w:r>
      <w:bookmarkEnd w:id="823"/>
    </w:p>
    <w:p w14:paraId="0F8186C0" w14:textId="77777777" w:rsidR="00305FE7" w:rsidRPr="00305FE7" w:rsidRDefault="00305FE7" w:rsidP="00305FE7">
      <w:pPr>
        <w:pStyle w:val="EndNoteBibliography"/>
        <w:spacing w:after="0"/>
        <w:ind w:left="720" w:hanging="720"/>
      </w:pPr>
      <w:bookmarkStart w:id="824" w:name="_ENREF_167"/>
      <w:r w:rsidRPr="00305FE7">
        <w:t xml:space="preserve">McKenzie, L.J., and Yoshida, R.L. (2008). </w:t>
      </w:r>
      <w:r w:rsidRPr="00305FE7">
        <w:rPr>
          <w:i/>
        </w:rPr>
        <w:t xml:space="preserve">Seagrass-Watch: Proceedings of a Workshop for Monitoring Seagrass Habitats in Hervey Bay and the Great Sandy Strait, Queensland. Urangan Community Centre, Hervey Bay Botanic Gardens, Hervey Bay, Queensland, 17th – 18th May 2008. </w:t>
      </w:r>
      <w:r w:rsidRPr="00305FE7">
        <w:t>. Cairns: Seagrass-Watch HQ.</w:t>
      </w:r>
      <w:bookmarkEnd w:id="824"/>
    </w:p>
    <w:p w14:paraId="4A1DF01A" w14:textId="77777777" w:rsidR="00305FE7" w:rsidRPr="00305FE7" w:rsidRDefault="00305FE7" w:rsidP="00305FE7">
      <w:pPr>
        <w:pStyle w:val="EndNoteBibliography"/>
        <w:spacing w:after="0"/>
        <w:ind w:left="720" w:hanging="720"/>
      </w:pPr>
      <w:bookmarkStart w:id="825" w:name="_ENREF_168"/>
      <w:r w:rsidRPr="00305FE7">
        <w:t xml:space="preserve">McKenzie, L.J., and Yoshida, R.L. (2012). </w:t>
      </w:r>
      <w:r w:rsidRPr="00305FE7">
        <w:rPr>
          <w:i/>
        </w:rPr>
        <w:t>Seagrass-Watch: Proceedings of a Workshop for Monitoring Seagrass Habitats in the Mackay Whitsunday Region, Queensland, Australia. QPWS Whitsunday Information Centre, Jubilee Pocket, Airlie Beach, 13-14 October 2012.</w:t>
      </w:r>
      <w:r w:rsidRPr="00305FE7">
        <w:t xml:space="preserve"> Cairns: Seagrass-Watch HQ.</w:t>
      </w:r>
      <w:bookmarkEnd w:id="825"/>
    </w:p>
    <w:p w14:paraId="7089BC19" w14:textId="77777777" w:rsidR="00305FE7" w:rsidRPr="00305FE7" w:rsidRDefault="00305FE7" w:rsidP="00305FE7">
      <w:pPr>
        <w:pStyle w:val="EndNoteBibliography"/>
        <w:spacing w:after="0"/>
        <w:ind w:left="720" w:hanging="720"/>
      </w:pPr>
      <w:bookmarkStart w:id="826" w:name="_ENREF_169"/>
      <w:r w:rsidRPr="00305FE7">
        <w:t xml:space="preserve">McKenzie, L.J., Yoshida, R.L., Grech, A., and Coles, R. (2010c). </w:t>
      </w:r>
      <w:r w:rsidRPr="00305FE7">
        <w:rPr>
          <w:i/>
        </w:rPr>
        <w:t>Queensland seagrasses. Status 2010 - Torres Strait and East Coast</w:t>
      </w:r>
      <w:r w:rsidRPr="00305FE7">
        <w:t>. Cairns: Fisheries Queensland (DEEDI).</w:t>
      </w:r>
      <w:bookmarkEnd w:id="826"/>
    </w:p>
    <w:p w14:paraId="3CAE5EE2" w14:textId="24A56B93" w:rsidR="00305FE7" w:rsidRPr="00305FE7" w:rsidRDefault="00305FE7" w:rsidP="00305FE7">
      <w:pPr>
        <w:pStyle w:val="EndNoteBibliography"/>
        <w:spacing w:after="0"/>
        <w:ind w:left="720" w:hanging="720"/>
      </w:pPr>
      <w:bookmarkStart w:id="827" w:name="_ENREF_170"/>
      <w:r w:rsidRPr="00305FE7">
        <w:t xml:space="preserve">McKenzie, L.J., Yoshida, R.L., Grech, A., and Coles, R. 2014c, Composite of coastal seagrass meadows in Queensland, Australia - November 1984 to June 2010. . </w:t>
      </w:r>
      <w:r w:rsidRPr="00305FE7">
        <w:rPr>
          <w:i/>
        </w:rPr>
        <w:t>PANGAEA</w:t>
      </w:r>
      <w:r w:rsidRPr="00305FE7">
        <w:t xml:space="preserve">, </w:t>
      </w:r>
      <w:hyperlink r:id="rId184" w:history="1">
        <w:r w:rsidRPr="00305FE7">
          <w:rPr>
            <w:rStyle w:val="Hyperlink"/>
          </w:rPr>
          <w:t>http://doi.pangaea.de/10.1594/PANGAEA.826368</w:t>
        </w:r>
      </w:hyperlink>
      <w:r w:rsidRPr="00305FE7">
        <w:t xml:space="preserve">. </w:t>
      </w:r>
      <w:bookmarkEnd w:id="827"/>
    </w:p>
    <w:p w14:paraId="6BF8EA9A" w14:textId="05FB2F9B" w:rsidR="00305FE7" w:rsidRPr="00305FE7" w:rsidRDefault="00305FE7" w:rsidP="00305FE7">
      <w:pPr>
        <w:pStyle w:val="EndNoteBibliography"/>
        <w:spacing w:after="0"/>
        <w:ind w:left="720" w:hanging="720"/>
      </w:pPr>
      <w:bookmarkStart w:id="828" w:name="_ENREF_171"/>
      <w:r w:rsidRPr="00305FE7">
        <w:t xml:space="preserve">McKenzie, L.J., Yoshida, R.L., and Unsworth, R.K.F. 2014d, Disturbance influences the invasion of a seagrass into an existing meadow. </w:t>
      </w:r>
      <w:r w:rsidRPr="00305FE7">
        <w:rPr>
          <w:i/>
        </w:rPr>
        <w:t>Marine Pollution Bulletin, 86</w:t>
      </w:r>
      <w:r w:rsidRPr="00305FE7">
        <w:t xml:space="preserve">(1–2), 186-196. doi: </w:t>
      </w:r>
      <w:hyperlink r:id="rId185" w:history="1">
        <w:r w:rsidRPr="00305FE7">
          <w:rPr>
            <w:rStyle w:val="Hyperlink"/>
          </w:rPr>
          <w:t>http://dx.doi.org/10.1016/j.marpolbul.2014.07.019</w:t>
        </w:r>
        <w:bookmarkEnd w:id="828"/>
      </w:hyperlink>
    </w:p>
    <w:p w14:paraId="0CE65797" w14:textId="77777777" w:rsidR="00305FE7" w:rsidRPr="00305FE7" w:rsidRDefault="00305FE7" w:rsidP="00305FE7">
      <w:pPr>
        <w:pStyle w:val="EndNoteBibliography"/>
        <w:spacing w:after="0"/>
        <w:ind w:left="720" w:hanging="720"/>
      </w:pPr>
      <w:bookmarkStart w:id="829" w:name="_ENREF_172"/>
      <w:r w:rsidRPr="00305FE7">
        <w:t xml:space="preserve">McMahon, K., van Dijk, K.-j., Ruiz-Montoya, L., Kendrick, G.A., Krauss, S.L., Waycott, M., Verduin, J., Lowe, R., Statton, J., Brown, E., and Duarte, C. 2014, The movement ecology of seagrasses. </w:t>
      </w:r>
      <w:r w:rsidRPr="00305FE7">
        <w:rPr>
          <w:i/>
        </w:rPr>
        <w:t>Proceedings of the Royal Society of London B: Biological Sciences, 281</w:t>
      </w:r>
      <w:r w:rsidRPr="00305FE7">
        <w:t>(1795). doi: 10.1098/rspb.2014.0878</w:t>
      </w:r>
      <w:bookmarkEnd w:id="829"/>
    </w:p>
    <w:p w14:paraId="4F736AEB" w14:textId="77777777" w:rsidR="00305FE7" w:rsidRPr="00305FE7" w:rsidRDefault="00305FE7" w:rsidP="00305FE7">
      <w:pPr>
        <w:pStyle w:val="EndNoteBibliography"/>
        <w:spacing w:after="0"/>
        <w:ind w:left="720" w:hanging="720"/>
      </w:pPr>
      <w:bookmarkStart w:id="830" w:name="_ENREF_173"/>
      <w:r w:rsidRPr="00305FE7">
        <w:t xml:space="preserve">McMahon, K.M., Bengston-Nash, S., Eaglesham, G.K., Mueller, J., Duke, N.C., and Winderlich, S. 2005, Herbicide contamination and the potential impact to seagrass meadows in Hervey Bay, Queensland, Australia. </w:t>
      </w:r>
      <w:r w:rsidRPr="00305FE7">
        <w:rPr>
          <w:i/>
        </w:rPr>
        <w:t>Marine Pollution Bulletin, 51</w:t>
      </w:r>
      <w:r w:rsidRPr="00305FE7">
        <w:t xml:space="preserve">, 325-334. </w:t>
      </w:r>
      <w:bookmarkEnd w:id="830"/>
    </w:p>
    <w:p w14:paraId="5D96898E" w14:textId="77777777" w:rsidR="00305FE7" w:rsidRPr="00305FE7" w:rsidRDefault="00305FE7" w:rsidP="00305FE7">
      <w:pPr>
        <w:pStyle w:val="EndNoteBibliography"/>
        <w:spacing w:after="0"/>
        <w:ind w:left="720" w:hanging="720"/>
      </w:pPr>
      <w:bookmarkStart w:id="831" w:name="_ENREF_174"/>
      <w:r w:rsidRPr="00305FE7">
        <w:t xml:space="preserve">Meager, J.J., and Limpus, C.J. 2012, Marine wildlife stranding and mortality database annual report 2011. III. Marine Turtle. </w:t>
      </w:r>
      <w:r w:rsidRPr="00305FE7">
        <w:rPr>
          <w:i/>
        </w:rPr>
        <w:t>Conservation Technical and Data Report, 2012</w:t>
      </w:r>
      <w:r w:rsidRPr="00305FE7">
        <w:t xml:space="preserve">(3), 1-46. </w:t>
      </w:r>
      <w:bookmarkEnd w:id="831"/>
    </w:p>
    <w:p w14:paraId="0FBE82E8" w14:textId="77777777" w:rsidR="00305FE7" w:rsidRPr="00305FE7" w:rsidRDefault="00305FE7" w:rsidP="00305FE7">
      <w:pPr>
        <w:pStyle w:val="EndNoteBibliography"/>
        <w:spacing w:after="0"/>
        <w:ind w:left="720" w:hanging="720"/>
      </w:pPr>
      <w:bookmarkStart w:id="832" w:name="_ENREF_175"/>
      <w:r w:rsidRPr="00305FE7">
        <w:t xml:space="preserve">Mellors, J., Waycott, M., and Marsh, H. 2005, Variation in biogeochemical parameters across intertidal seagrass meadows in the central Great Barrier Reef region. </w:t>
      </w:r>
      <w:r w:rsidRPr="00305FE7">
        <w:rPr>
          <w:i/>
        </w:rPr>
        <w:t>Marine Pollution Bulletin, 51</w:t>
      </w:r>
      <w:r w:rsidRPr="00305FE7">
        <w:t>(1-4), 335-342. doi: 10.1016/j.marpolbul.2004.10.046</w:t>
      </w:r>
      <w:bookmarkEnd w:id="832"/>
    </w:p>
    <w:p w14:paraId="52B831C6" w14:textId="77777777" w:rsidR="00305FE7" w:rsidRPr="00305FE7" w:rsidRDefault="00305FE7" w:rsidP="00305FE7">
      <w:pPr>
        <w:pStyle w:val="EndNoteBibliography"/>
        <w:spacing w:after="0"/>
        <w:ind w:left="720" w:hanging="720"/>
      </w:pPr>
      <w:bookmarkStart w:id="833" w:name="_ENREF_176"/>
      <w:r w:rsidRPr="00305FE7">
        <w:t xml:space="preserve">Mellors, J.E. (2003). </w:t>
      </w:r>
      <w:r w:rsidRPr="00305FE7">
        <w:rPr>
          <w:i/>
        </w:rPr>
        <w:t>Sediment and nutrient dynamics in coastal intertidal seagrass of north eastern tropical Australia. PhD Thesis.</w:t>
      </w:r>
      <w:r w:rsidRPr="00305FE7">
        <w:t xml:space="preserve"> School of Tropical Environment Studies and Geography: James Cook University, Townsville.</w:t>
      </w:r>
      <w:bookmarkEnd w:id="833"/>
    </w:p>
    <w:p w14:paraId="30191D67" w14:textId="13004731" w:rsidR="00305FE7" w:rsidRPr="00305FE7" w:rsidRDefault="00305FE7" w:rsidP="00305FE7">
      <w:pPr>
        <w:pStyle w:val="EndNoteBibliography"/>
        <w:spacing w:after="0"/>
        <w:ind w:left="720" w:hanging="720"/>
        <w:rPr>
          <w:i/>
        </w:rPr>
      </w:pPr>
      <w:bookmarkStart w:id="834" w:name="_ENREF_177"/>
      <w:r w:rsidRPr="00305FE7">
        <w:t xml:space="preserve">Monitoring River Health Initiative. (1994). </w:t>
      </w:r>
      <w:r w:rsidRPr="00305FE7">
        <w:rPr>
          <w:i/>
        </w:rPr>
        <w:t xml:space="preserve">River Bioassessment Manual, National River Processes and Management Program, Tasmania. </w:t>
      </w:r>
      <w:hyperlink r:id="rId186" w:history="1">
        <w:r w:rsidRPr="00305FE7">
          <w:rPr>
            <w:rStyle w:val="Hyperlink"/>
            <w:i/>
          </w:rPr>
          <w:t>http://www.environment.gov.au/water/publications/environmental/rivers/nrhp/bioassess.html</w:t>
        </w:r>
      </w:hyperlink>
      <w:r w:rsidRPr="00305FE7">
        <w:rPr>
          <w:i/>
        </w:rPr>
        <w:t>, accessed 10 February 2014.</w:t>
      </w:r>
      <w:bookmarkEnd w:id="834"/>
    </w:p>
    <w:p w14:paraId="6B895DDD" w14:textId="77777777" w:rsidR="00305FE7" w:rsidRPr="00305FE7" w:rsidRDefault="00305FE7" w:rsidP="00305FE7">
      <w:pPr>
        <w:pStyle w:val="EndNoteBibliography"/>
        <w:spacing w:after="0"/>
        <w:ind w:left="720" w:hanging="720"/>
      </w:pPr>
      <w:bookmarkStart w:id="835" w:name="_ENREF_178"/>
      <w:r w:rsidRPr="00305FE7">
        <w:t xml:space="preserve">Neckles, H., Koepfler, E., Haas, L., Wetzel, R., and Orth, R. 1994, Dynamics of epiphytic photoautotrophs and heterotrophs in </w:t>
      </w:r>
      <w:r w:rsidRPr="00305FE7">
        <w:rPr>
          <w:i/>
        </w:rPr>
        <w:t>Zostera marina</w:t>
      </w:r>
      <w:r w:rsidRPr="00305FE7">
        <w:t xml:space="preserve"> (eelgrass) microcosms: Responses to nutrient enrichment and grazing. </w:t>
      </w:r>
      <w:r w:rsidRPr="00305FE7">
        <w:rPr>
          <w:i/>
        </w:rPr>
        <w:t>Estuaries, 17</w:t>
      </w:r>
      <w:r w:rsidRPr="00305FE7">
        <w:t xml:space="preserve">, 597–605. </w:t>
      </w:r>
      <w:bookmarkEnd w:id="835"/>
    </w:p>
    <w:p w14:paraId="40A55FB1" w14:textId="212F0FD4" w:rsidR="00305FE7" w:rsidRPr="00305FE7" w:rsidRDefault="00305FE7" w:rsidP="00305FE7">
      <w:pPr>
        <w:pStyle w:val="EndNoteBibliography"/>
        <w:spacing w:after="0"/>
        <w:ind w:left="720" w:hanging="720"/>
      </w:pPr>
      <w:bookmarkStart w:id="836" w:name="_ENREF_179"/>
      <w:r w:rsidRPr="00305FE7">
        <w:t xml:space="preserve">Nelson, W.G. 2017, Development of an epiphyte indicator of nutrient enrichment: Threshold values for seagrass epiphyte load. </w:t>
      </w:r>
      <w:r w:rsidRPr="00305FE7">
        <w:rPr>
          <w:i/>
        </w:rPr>
        <w:t>Ecological Indicators, 74</w:t>
      </w:r>
      <w:r w:rsidRPr="00305FE7">
        <w:t xml:space="preserve">, 343-356. doi: </w:t>
      </w:r>
      <w:hyperlink r:id="rId187" w:history="1">
        <w:r w:rsidRPr="00305FE7">
          <w:rPr>
            <w:rStyle w:val="Hyperlink"/>
          </w:rPr>
          <w:t>http://dx.doi.org/10.1016/j.ecolind.2016.11.035</w:t>
        </w:r>
        <w:bookmarkEnd w:id="836"/>
      </w:hyperlink>
    </w:p>
    <w:p w14:paraId="08A68442" w14:textId="77777777" w:rsidR="00305FE7" w:rsidRPr="00305FE7" w:rsidRDefault="00305FE7" w:rsidP="00305FE7">
      <w:pPr>
        <w:pStyle w:val="EndNoteBibliography"/>
        <w:spacing w:after="0"/>
        <w:ind w:left="720" w:hanging="720"/>
      </w:pPr>
      <w:bookmarkStart w:id="837" w:name="_ENREF_180"/>
      <w:r w:rsidRPr="00305FE7">
        <w:t xml:space="preserve">O'Donohue, M.J., Moriarty, D.J.W., and Mac Rae, I.C. 1991, Nitrogen fixation in sediments and the rhizosphere of the seagrass </w:t>
      </w:r>
      <w:r w:rsidRPr="00305FE7">
        <w:rPr>
          <w:i/>
        </w:rPr>
        <w:t>Zostera capricorni</w:t>
      </w:r>
      <w:r w:rsidRPr="00305FE7">
        <w:t xml:space="preserve">. </w:t>
      </w:r>
      <w:r w:rsidRPr="00305FE7">
        <w:rPr>
          <w:i/>
        </w:rPr>
        <w:t>Microbial Ecology, 22</w:t>
      </w:r>
      <w:r w:rsidRPr="00305FE7">
        <w:t xml:space="preserve">(1), 53-64. </w:t>
      </w:r>
      <w:bookmarkEnd w:id="837"/>
    </w:p>
    <w:p w14:paraId="3ABCF35B" w14:textId="7608D677" w:rsidR="00305FE7" w:rsidRPr="00305FE7" w:rsidRDefault="00305FE7" w:rsidP="00305FE7">
      <w:pPr>
        <w:pStyle w:val="EndNoteBibliography"/>
        <w:spacing w:after="0"/>
        <w:ind w:left="720" w:hanging="720"/>
      </w:pPr>
      <w:bookmarkStart w:id="838" w:name="_ENREF_181"/>
      <w:r w:rsidRPr="00305FE7">
        <w:t xml:space="preserve">Orpin, A.R., Ridd, P.V., Thomas, S., Anthony, K.R.N., Marshall, P., and Oliver, J. 2004, Natural turbidity variability and weather forecasts in risk management of anthropogenic sediment discharge near sensitive environments. </w:t>
      </w:r>
      <w:r w:rsidRPr="00305FE7">
        <w:rPr>
          <w:i/>
        </w:rPr>
        <w:t>Marine Pollution Bulletin, 49</w:t>
      </w:r>
      <w:r w:rsidRPr="00305FE7">
        <w:t xml:space="preserve">(7–8), 602-612. doi: </w:t>
      </w:r>
      <w:hyperlink r:id="rId188" w:history="1">
        <w:r w:rsidRPr="00305FE7">
          <w:rPr>
            <w:rStyle w:val="Hyperlink"/>
          </w:rPr>
          <w:t>http://dx.doi.org/10.1016/j.marpolbul.2004.03.020</w:t>
        </w:r>
        <w:bookmarkEnd w:id="838"/>
      </w:hyperlink>
    </w:p>
    <w:p w14:paraId="6E112F4A" w14:textId="77777777" w:rsidR="00305FE7" w:rsidRPr="00305FE7" w:rsidRDefault="00305FE7" w:rsidP="00305FE7">
      <w:pPr>
        <w:pStyle w:val="EndNoteBibliography"/>
        <w:spacing w:after="0"/>
        <w:ind w:left="720" w:hanging="720"/>
      </w:pPr>
      <w:bookmarkStart w:id="839" w:name="_ENREF_182"/>
      <w:r w:rsidRPr="00305FE7">
        <w:t xml:space="preserve">Orth, R.J., Harwell, M.C., and Inglis, G.J. (2006). Ecology of seagrass seeds and dispersal strategies. In AWD Larkum, RJ Orth &amp; CM Duarte (Eds.), </w:t>
      </w:r>
      <w:r w:rsidRPr="00305FE7">
        <w:rPr>
          <w:i/>
        </w:rPr>
        <w:t>Seagrasses: Biology, Ecology and Conservation</w:t>
      </w:r>
      <w:r w:rsidRPr="00305FE7">
        <w:t xml:space="preserve"> (pp. 113-133). Dordrecht: Springer.</w:t>
      </w:r>
      <w:bookmarkEnd w:id="839"/>
    </w:p>
    <w:p w14:paraId="3201049A" w14:textId="77777777" w:rsidR="00305FE7" w:rsidRPr="00305FE7" w:rsidRDefault="00305FE7" w:rsidP="00305FE7">
      <w:pPr>
        <w:pStyle w:val="EndNoteBibliography"/>
        <w:spacing w:after="0"/>
        <w:ind w:left="720" w:hanging="720"/>
      </w:pPr>
      <w:bookmarkStart w:id="840" w:name="_ENREF_183"/>
      <w:r w:rsidRPr="00305FE7">
        <w:t xml:space="preserve">Orth, R.J., and Moore, K.A. 1983, Chesapaeke Bay: An unprecedented decline in submerged aquatic vegetation. </w:t>
      </w:r>
      <w:r w:rsidRPr="00305FE7">
        <w:rPr>
          <w:i/>
        </w:rPr>
        <w:t>Science, 222</w:t>
      </w:r>
      <w:r w:rsidRPr="00305FE7">
        <w:t xml:space="preserve">, 51-53. </w:t>
      </w:r>
      <w:bookmarkEnd w:id="840"/>
    </w:p>
    <w:p w14:paraId="75CF047C" w14:textId="77777777" w:rsidR="00305FE7" w:rsidRPr="00305FE7" w:rsidRDefault="00305FE7" w:rsidP="00305FE7">
      <w:pPr>
        <w:pStyle w:val="EndNoteBibliography"/>
        <w:spacing w:after="0"/>
        <w:ind w:left="720" w:hanging="720"/>
      </w:pPr>
      <w:bookmarkStart w:id="841" w:name="_ENREF_184"/>
      <w:r w:rsidRPr="00305FE7">
        <w:t xml:space="preserve">Owens, N.J.P. (1988). Natural Variations in 15N in the Marine Environment. In JHS Blaxter &amp; AJ Southward (Eds.), </w:t>
      </w:r>
      <w:r w:rsidRPr="00305FE7">
        <w:rPr>
          <w:i/>
        </w:rPr>
        <w:t>Advances in Marine Biology</w:t>
      </w:r>
      <w:r w:rsidRPr="00305FE7">
        <w:t xml:space="preserve"> (pp. 389-451): Academic Press.</w:t>
      </w:r>
      <w:bookmarkEnd w:id="841"/>
    </w:p>
    <w:p w14:paraId="745A2E61" w14:textId="77777777" w:rsidR="00305FE7" w:rsidRPr="00305FE7" w:rsidRDefault="00305FE7" w:rsidP="00305FE7">
      <w:pPr>
        <w:pStyle w:val="EndNoteBibliography"/>
        <w:spacing w:after="0"/>
        <w:ind w:left="720" w:hanging="720"/>
      </w:pPr>
      <w:bookmarkStart w:id="842" w:name="_ENREF_185"/>
      <w:r w:rsidRPr="00305FE7">
        <w:t xml:space="preserve">Peterson, B.J., and Fry, B. 1987, Stable Isotopes in Ecostystem Studies. </w:t>
      </w:r>
      <w:r w:rsidRPr="00305FE7">
        <w:rPr>
          <w:i/>
        </w:rPr>
        <w:t>Annual Reveiw of Ecological Systematics, 18</w:t>
      </w:r>
      <w:r w:rsidRPr="00305FE7">
        <w:t xml:space="preserve">, 293-320. </w:t>
      </w:r>
      <w:bookmarkEnd w:id="842"/>
    </w:p>
    <w:p w14:paraId="12133213" w14:textId="77777777" w:rsidR="00305FE7" w:rsidRPr="00305FE7" w:rsidRDefault="00305FE7" w:rsidP="00305FE7">
      <w:pPr>
        <w:pStyle w:val="EndNoteBibliography"/>
        <w:spacing w:after="0"/>
        <w:ind w:left="720" w:hanging="720"/>
      </w:pPr>
      <w:bookmarkStart w:id="843" w:name="_ENREF_186"/>
      <w:r w:rsidRPr="00305FE7">
        <w:t xml:space="preserve">Petrou, K., Jimenez-Denness, I., Chartrand, K., McCormack, C., Rasheed, M., and Ralph, P. 2013, Seasonal heterogeneity in the photophysiological response to air exposure in two tropical intertidal seagrass species. </w:t>
      </w:r>
      <w:r w:rsidRPr="00305FE7">
        <w:rPr>
          <w:i/>
        </w:rPr>
        <w:t>Marine Ecology Progress Series, 482</w:t>
      </w:r>
      <w:r w:rsidRPr="00305FE7">
        <w:t>, 93-106. doi: 10.3354/meps10229</w:t>
      </w:r>
      <w:bookmarkEnd w:id="843"/>
    </w:p>
    <w:p w14:paraId="1041CC4F" w14:textId="6475913C" w:rsidR="00305FE7" w:rsidRPr="00305FE7" w:rsidRDefault="00305FE7" w:rsidP="00305FE7">
      <w:pPr>
        <w:pStyle w:val="EndNoteBibliography"/>
        <w:spacing w:after="0"/>
        <w:ind w:left="720" w:hanging="720"/>
      </w:pPr>
      <w:bookmarkStart w:id="844" w:name="_ENREF_187"/>
      <w:r w:rsidRPr="00305FE7">
        <w:t xml:space="preserve">Petus, C., Collier, C., Devlin, M., Rasheed, M., and McKenna, S. 2014a, Using MODIS data for understanding changes in seagrass meadow health: A case study in the Great Barrier Reef (Australia). </w:t>
      </w:r>
      <w:r w:rsidRPr="00305FE7">
        <w:rPr>
          <w:i/>
        </w:rPr>
        <w:t>Marine Environmental Research, 98</w:t>
      </w:r>
      <w:r w:rsidRPr="00305FE7">
        <w:t xml:space="preserve">, 68-85. doi: </w:t>
      </w:r>
      <w:hyperlink r:id="rId189" w:history="1">
        <w:r w:rsidRPr="00305FE7">
          <w:rPr>
            <w:rStyle w:val="Hyperlink"/>
          </w:rPr>
          <w:t>http://dx.doi.org/10.1016/j.marenvres.2014.03.006</w:t>
        </w:r>
        <w:bookmarkEnd w:id="844"/>
      </w:hyperlink>
    </w:p>
    <w:p w14:paraId="3FFC8AC4" w14:textId="080AFB0C" w:rsidR="00305FE7" w:rsidRPr="00305FE7" w:rsidRDefault="00305FE7" w:rsidP="00305FE7">
      <w:pPr>
        <w:pStyle w:val="EndNoteBibliography"/>
        <w:spacing w:after="0"/>
        <w:ind w:left="720" w:hanging="720"/>
      </w:pPr>
      <w:bookmarkStart w:id="845" w:name="_ENREF_188"/>
      <w:r w:rsidRPr="00305FE7">
        <w:t xml:space="preserve">Petus, C., da Silva, E.T., Devlin, M., Wenger, A.S., and Álvarez-Romero, J.G. 2014b, Using MODIS data for mapping of water types within river plumes in the Great Barrier Reef, Australia: Towards the production of river plume risk maps for reef and seagrass ecosystems. </w:t>
      </w:r>
      <w:r w:rsidRPr="00305FE7">
        <w:rPr>
          <w:i/>
        </w:rPr>
        <w:t>Journal of Environmental Management, 137</w:t>
      </w:r>
      <w:r w:rsidRPr="00305FE7">
        <w:t xml:space="preserve">(0), 163-177. doi: </w:t>
      </w:r>
      <w:hyperlink r:id="rId190" w:history="1">
        <w:r w:rsidRPr="00305FE7">
          <w:rPr>
            <w:rStyle w:val="Hyperlink"/>
          </w:rPr>
          <w:t>http://dx.doi.org/10.1016/j.jenvman.2013.11.050</w:t>
        </w:r>
        <w:bookmarkEnd w:id="845"/>
      </w:hyperlink>
    </w:p>
    <w:p w14:paraId="6E242C31" w14:textId="77777777" w:rsidR="00305FE7" w:rsidRPr="00305FE7" w:rsidRDefault="00305FE7" w:rsidP="00305FE7">
      <w:pPr>
        <w:pStyle w:val="EndNoteBibliography"/>
        <w:spacing w:after="0"/>
        <w:ind w:left="720" w:hanging="720"/>
      </w:pPr>
      <w:bookmarkStart w:id="846" w:name="_ENREF_189"/>
      <w:r w:rsidRPr="00305FE7">
        <w:t xml:space="preserve">Petus, C., Devlin, M., Thompson, A., McKenzie, L., Teixeira da Silva, E., Collier, C., Tracey, D., and Martin, K. 2016, Estimating the Exposure of Coral Reefs and Seagrass Meadows to Land-Sourced Contaminants in River Flood Plumes of the Great Barrier Reef: Validating a Simple Satellite Risk Framework with Environmental Data. </w:t>
      </w:r>
      <w:r w:rsidRPr="00305FE7">
        <w:rPr>
          <w:i/>
        </w:rPr>
        <w:t>Remote Sensing, 8</w:t>
      </w:r>
      <w:r w:rsidRPr="00305FE7">
        <w:t xml:space="preserve">(3), 210. </w:t>
      </w:r>
      <w:bookmarkEnd w:id="846"/>
    </w:p>
    <w:p w14:paraId="5346E809" w14:textId="77777777" w:rsidR="00305FE7" w:rsidRPr="00305FE7" w:rsidRDefault="00305FE7" w:rsidP="00305FE7">
      <w:pPr>
        <w:pStyle w:val="EndNoteBibliography"/>
        <w:spacing w:after="0"/>
        <w:ind w:left="720" w:hanging="720"/>
      </w:pPr>
      <w:bookmarkStart w:id="847" w:name="_ENREF_190"/>
      <w:r w:rsidRPr="00305FE7">
        <w:t xml:space="preserve">Pitcher, R., Doherty, P., Arnold, P., Hooper, J., Gribble, N., Bartlett, C., Browne, M., Campbell, N., Cannard, T., Cappo, M., Carini, G., Chalmers, S., Cheers, S., Chetwynd, D., Colefax, A., Coles, R., Cook, S., Davie, P., De'ath, G., Devereux, D., Done, B., Donovan, T., Ehrke, B., Ellis, N., Ericson, G., Fellegara, I., Forcey, K., Furey, M., Gledhill, D., Gordon, S., Haywood, M., Jacobsen, I., Johnson, J., Jones, M., Kinninmoth, S., Kistle, S., Last, P., Leite, A., Marks, S., McLeod, I., Oczkowicz, S., Rose, C., Seabright, D., Sheils, J., Sherlock, M., Skelton, P., Smith, D., Smith, G., Speare, P., Stowar, M., Strickland, C., Sutcliffe, P., Van der Geest, C., Venables, B., Walsh, C., Wassenberg, T., Welna, A., and Yearsley, G. (2007). </w:t>
      </w:r>
      <w:r w:rsidRPr="00305FE7">
        <w:rPr>
          <w:i/>
        </w:rPr>
        <w:t>Seabed Biodiversity on the Continental Shelf of the Great Barrier Reef World Heritage Area. CRC Reef Research Task Final Report.</w:t>
      </w:r>
      <w:r w:rsidRPr="00305FE7">
        <w:t xml:space="preserve"> Brisbane: CSIRO.</w:t>
      </w:r>
      <w:bookmarkEnd w:id="847"/>
    </w:p>
    <w:p w14:paraId="0E60E79B" w14:textId="77777777" w:rsidR="00305FE7" w:rsidRPr="00305FE7" w:rsidRDefault="00305FE7" w:rsidP="00305FE7">
      <w:pPr>
        <w:pStyle w:val="EndNoteBibliography"/>
        <w:spacing w:after="0"/>
        <w:ind w:left="720" w:hanging="720"/>
      </w:pPr>
      <w:bookmarkStart w:id="848" w:name="_ENREF_191"/>
      <w:r w:rsidRPr="00305FE7">
        <w:t>Pollard, P.C., and Greenway, M. 1993, Photosynthetic characteristics of seagrasses (</w:t>
      </w:r>
      <w:r w:rsidRPr="00305FE7">
        <w:rPr>
          <w:i/>
        </w:rPr>
        <w:t>Cymodocea serrulata</w:t>
      </w:r>
      <w:r w:rsidRPr="00305FE7">
        <w:t xml:space="preserve">, </w:t>
      </w:r>
      <w:r w:rsidRPr="00305FE7">
        <w:rPr>
          <w:i/>
        </w:rPr>
        <w:t>Thalassia hemprichii</w:t>
      </w:r>
      <w:r w:rsidRPr="00305FE7">
        <w:t xml:space="preserve"> and </w:t>
      </w:r>
      <w:r w:rsidRPr="00305FE7">
        <w:rPr>
          <w:i/>
        </w:rPr>
        <w:t>Zostera capricorni</w:t>
      </w:r>
      <w:r w:rsidRPr="00305FE7">
        <w:t xml:space="preserve">) in a low-light environment, with a comparison of leaf-marking and lucunal-gas measurements of productivity. </w:t>
      </w:r>
      <w:r w:rsidRPr="00305FE7">
        <w:rPr>
          <w:i/>
        </w:rPr>
        <w:t>Australian Journal of Marine and Freshwater Research, 44</w:t>
      </w:r>
      <w:r w:rsidRPr="00305FE7">
        <w:t xml:space="preserve">, 127-140. </w:t>
      </w:r>
      <w:bookmarkEnd w:id="848"/>
    </w:p>
    <w:p w14:paraId="64559753" w14:textId="77777777" w:rsidR="00305FE7" w:rsidRPr="00305FE7" w:rsidRDefault="00305FE7" w:rsidP="00305FE7">
      <w:pPr>
        <w:pStyle w:val="EndNoteBibliography"/>
        <w:spacing w:after="0"/>
        <w:ind w:left="720" w:hanging="720"/>
      </w:pPr>
      <w:bookmarkStart w:id="849" w:name="_ENREF_192"/>
      <w:r w:rsidRPr="00305FE7">
        <w:t xml:space="preserve">Prange, J.A., and Duke, N.C. (2004). </w:t>
      </w:r>
      <w:r w:rsidRPr="00305FE7">
        <w:rPr>
          <w:i/>
        </w:rPr>
        <w:t>Burnett Mary Regional Assessment: Estuarine and Marine Water Quality and Wetland Habitats of the Burnett Mary Region. Report to Burnett Mary Regional Group for Natural Resource Management.</w:t>
      </w:r>
      <w:r w:rsidRPr="00305FE7">
        <w:t xml:space="preserve"> Brisbane: Centre for Marine Studies, The University of Queensland.</w:t>
      </w:r>
      <w:bookmarkEnd w:id="849"/>
    </w:p>
    <w:p w14:paraId="52870948" w14:textId="77777777" w:rsidR="00305FE7" w:rsidRPr="00305FE7" w:rsidRDefault="00305FE7" w:rsidP="00305FE7">
      <w:pPr>
        <w:pStyle w:val="EndNoteBibliography"/>
        <w:spacing w:after="0"/>
        <w:ind w:left="720" w:hanging="720"/>
      </w:pPr>
      <w:bookmarkStart w:id="850" w:name="_ENREF_193"/>
      <w:r w:rsidRPr="00305FE7">
        <w:t>Preen, A.R., Lee Long, W.J., and Coles, R.G. 1995, Flood and cyclone related loss, and partial recovery, of more than 1,000 km</w:t>
      </w:r>
      <w:r w:rsidRPr="00305FE7">
        <w:rPr>
          <w:vertAlign w:val="superscript"/>
        </w:rPr>
        <w:t>2</w:t>
      </w:r>
      <w:r w:rsidRPr="00305FE7">
        <w:t xml:space="preserve"> of seagrass in Hervey Bay, Queensland, Australia. </w:t>
      </w:r>
      <w:r w:rsidRPr="00305FE7">
        <w:rPr>
          <w:i/>
        </w:rPr>
        <w:t>Aquatic Botany, 52</w:t>
      </w:r>
      <w:r w:rsidRPr="00305FE7">
        <w:t xml:space="preserve">, 3-17. </w:t>
      </w:r>
      <w:bookmarkEnd w:id="850"/>
    </w:p>
    <w:p w14:paraId="016EA9E7" w14:textId="362A1A46" w:rsidR="00305FE7" w:rsidRPr="00305FE7" w:rsidRDefault="00305FE7" w:rsidP="00305FE7">
      <w:pPr>
        <w:pStyle w:val="EndNoteBibliography"/>
        <w:spacing w:after="0"/>
        <w:ind w:left="720" w:hanging="720"/>
      </w:pPr>
      <w:bookmarkStart w:id="851" w:name="_ENREF_194"/>
      <w:r w:rsidRPr="00305FE7">
        <w:t>R Core Team. (2014). R: A language and environment for statistical computing.</w:t>
      </w:r>
      <w:r w:rsidRPr="00305FE7">
        <w:rPr>
          <w:i/>
        </w:rPr>
        <w:t xml:space="preserve"> </w:t>
      </w:r>
      <w:r w:rsidRPr="00305FE7">
        <w:t xml:space="preserve">  Retrieved from </w:t>
      </w:r>
      <w:hyperlink r:id="rId191" w:history="1">
        <w:r w:rsidRPr="00305FE7">
          <w:rPr>
            <w:rStyle w:val="Hyperlink"/>
          </w:rPr>
          <w:t>http://www.R-project.org/</w:t>
        </w:r>
      </w:hyperlink>
      <w:r w:rsidRPr="00305FE7">
        <w:t xml:space="preserve">. </w:t>
      </w:r>
      <w:bookmarkEnd w:id="851"/>
    </w:p>
    <w:p w14:paraId="14B87A9D" w14:textId="77777777" w:rsidR="00305FE7" w:rsidRPr="00305FE7" w:rsidRDefault="00305FE7" w:rsidP="00305FE7">
      <w:pPr>
        <w:pStyle w:val="EndNoteBibliography"/>
        <w:spacing w:after="0"/>
        <w:ind w:left="720" w:hanging="720"/>
      </w:pPr>
      <w:bookmarkStart w:id="852" w:name="_ENREF_195"/>
      <w:r w:rsidRPr="00305FE7">
        <w:t xml:space="preserve">Ralph, P.J., and Gademann, R. (1999). Photosynthesis of the seagrass </w:t>
      </w:r>
      <w:r w:rsidRPr="00305FE7">
        <w:rPr>
          <w:i/>
        </w:rPr>
        <w:t>Posidonia australis</w:t>
      </w:r>
      <w:r w:rsidRPr="00305FE7">
        <w:t xml:space="preserve"> Hook. f and associated epiphytes, measured by </w:t>
      </w:r>
      <w:r w:rsidRPr="00305FE7">
        <w:rPr>
          <w:i/>
        </w:rPr>
        <w:t>in situ</w:t>
      </w:r>
      <w:r w:rsidRPr="00305FE7">
        <w:t xml:space="preserve"> fluorescence analysis. In D Walker &amp; F Wells (Eds.), </w:t>
      </w:r>
      <w:r w:rsidRPr="00305FE7">
        <w:rPr>
          <w:i/>
        </w:rPr>
        <w:t>The seagrass flora and fauna of Rottnest Island, Western Australia</w:t>
      </w:r>
      <w:r w:rsidRPr="00305FE7">
        <w:t xml:space="preserve"> (pp. 63–71). Perth: West Australian Museum.</w:t>
      </w:r>
      <w:bookmarkEnd w:id="852"/>
    </w:p>
    <w:p w14:paraId="5CB8DFF2" w14:textId="77777777" w:rsidR="00305FE7" w:rsidRPr="00305FE7" w:rsidRDefault="00305FE7" w:rsidP="00305FE7">
      <w:pPr>
        <w:pStyle w:val="EndNoteBibliography"/>
        <w:spacing w:after="0"/>
        <w:ind w:left="720" w:hanging="720"/>
      </w:pPr>
      <w:bookmarkStart w:id="853" w:name="_ENREF_196"/>
      <w:r w:rsidRPr="00305FE7">
        <w:t xml:space="preserve">Rasheed, M., Thomas, R., and McKenna, S. (2005a). </w:t>
      </w:r>
      <w:r w:rsidRPr="00305FE7">
        <w:rPr>
          <w:i/>
        </w:rPr>
        <w:t>Port of Abbot Point seagrass, algae and benthic macroinvertebrate community survey - March 2005. DPI&amp;F Information Series QI05044</w:t>
      </w:r>
      <w:r w:rsidRPr="00305FE7">
        <w:t>. Cairns: Primary Industries &amp; Fisheries, QLD Government.</w:t>
      </w:r>
      <w:bookmarkEnd w:id="853"/>
    </w:p>
    <w:p w14:paraId="690BBA62" w14:textId="77777777" w:rsidR="00305FE7" w:rsidRPr="00305FE7" w:rsidRDefault="00305FE7" w:rsidP="00305FE7">
      <w:pPr>
        <w:pStyle w:val="EndNoteBibliography"/>
        <w:spacing w:after="0"/>
        <w:ind w:left="720" w:hanging="720"/>
      </w:pPr>
      <w:bookmarkStart w:id="854" w:name="_ENREF_197"/>
      <w:r w:rsidRPr="00305FE7">
        <w:t xml:space="preserve">Rasheed, M., Thomas, R., Roelofs, A., and McKenna, S. (2005b). </w:t>
      </w:r>
      <w:r w:rsidRPr="00305FE7">
        <w:rPr>
          <w:i/>
        </w:rPr>
        <w:t>Critical marine habitats adjacent to the high risk Inner Shipping Route in the Shelburne, Margaret and Indian Bays Region, Far North Queensland, Australia - 2005 Atlas. QDPI&amp;F Information Series QI04048</w:t>
      </w:r>
      <w:r w:rsidRPr="00305FE7">
        <w:t>. Cairns: Northern Fisheries Centre.</w:t>
      </w:r>
      <w:bookmarkEnd w:id="854"/>
    </w:p>
    <w:p w14:paraId="17E1E74C" w14:textId="1D5F1546" w:rsidR="00305FE7" w:rsidRPr="00305FE7" w:rsidRDefault="00305FE7" w:rsidP="00305FE7">
      <w:pPr>
        <w:pStyle w:val="EndNoteBibliography"/>
        <w:spacing w:after="0"/>
        <w:ind w:left="720" w:hanging="720"/>
      </w:pPr>
      <w:bookmarkStart w:id="855" w:name="_ENREF_198"/>
      <w:r w:rsidRPr="00305FE7">
        <w:t xml:space="preserve">Rasheed, M.A., McKenna, S.A., Carter, A.B., and Coles, R.G. 2014, Contrasting recovery of shallow and deep water seagrass communities following climate associated losses in tropical north Queensland, Australia. </w:t>
      </w:r>
      <w:r w:rsidRPr="00305FE7">
        <w:rPr>
          <w:i/>
        </w:rPr>
        <w:t>Marine Pollution Bulletin, 83</w:t>
      </w:r>
      <w:r w:rsidRPr="00305FE7">
        <w:t xml:space="preserve">(2), 491-499. doi: </w:t>
      </w:r>
      <w:hyperlink r:id="rId192" w:history="1">
        <w:r w:rsidRPr="00305FE7">
          <w:rPr>
            <w:rStyle w:val="Hyperlink"/>
          </w:rPr>
          <w:t>http://dx.doi.org/10.1016/j.marpolbul.2014.02.013</w:t>
        </w:r>
        <w:bookmarkEnd w:id="855"/>
      </w:hyperlink>
    </w:p>
    <w:p w14:paraId="25CAA5F8" w14:textId="77777777" w:rsidR="00305FE7" w:rsidRPr="00305FE7" w:rsidRDefault="00305FE7" w:rsidP="00305FE7">
      <w:pPr>
        <w:pStyle w:val="EndNoteBibliography"/>
        <w:spacing w:after="0"/>
        <w:ind w:left="720" w:hanging="720"/>
      </w:pPr>
      <w:bookmarkStart w:id="856" w:name="_ENREF_199"/>
      <w:r w:rsidRPr="00305FE7">
        <w:t xml:space="preserve">Rasheed, M.A., Thomas, R., Roelofs, A.J., Neil, K.M., and Kerville, S.P. (2003). </w:t>
      </w:r>
      <w:r w:rsidRPr="00305FE7">
        <w:rPr>
          <w:i/>
        </w:rPr>
        <w:t>Port Curtis and Rodds Bay seagrass and benthic macro-invertebrate community baseline survey, November/December 2002. DPI Information Series QI03058</w:t>
      </w:r>
      <w:r w:rsidRPr="00305FE7">
        <w:t>. Cairns: DPI.</w:t>
      </w:r>
      <w:bookmarkEnd w:id="856"/>
    </w:p>
    <w:p w14:paraId="296FB987" w14:textId="77777777" w:rsidR="00305FE7" w:rsidRPr="00305FE7" w:rsidRDefault="00305FE7" w:rsidP="00305FE7">
      <w:pPr>
        <w:pStyle w:val="EndNoteBibliography"/>
        <w:spacing w:after="0"/>
        <w:ind w:left="720" w:hanging="720"/>
      </w:pPr>
      <w:bookmarkStart w:id="857" w:name="_ENREF_200"/>
      <w:r w:rsidRPr="00305FE7">
        <w:t>Read, M.A., and Limpus, C.J. 2002, The green turtle (</w:t>
      </w:r>
      <w:r w:rsidRPr="00305FE7">
        <w:rPr>
          <w:i/>
        </w:rPr>
        <w:t>Chelonia mydas</w:t>
      </w:r>
      <w:r w:rsidRPr="00305FE7">
        <w:t xml:space="preserve">) in Queensland: Feeding ecology of immature turtles in a temperate feeding area. </w:t>
      </w:r>
      <w:r w:rsidRPr="00305FE7">
        <w:rPr>
          <w:i/>
        </w:rPr>
        <w:t>Memoirs of the Queensland Museum - Nature, 48</w:t>
      </w:r>
      <w:r w:rsidRPr="00305FE7">
        <w:t xml:space="preserve">(1), 207-214. </w:t>
      </w:r>
      <w:bookmarkEnd w:id="857"/>
    </w:p>
    <w:p w14:paraId="097C7E58" w14:textId="77777777" w:rsidR="00305FE7" w:rsidRPr="00305FE7" w:rsidRDefault="00305FE7" w:rsidP="00305FE7">
      <w:pPr>
        <w:pStyle w:val="EndNoteBibliography"/>
        <w:spacing w:after="0"/>
        <w:ind w:left="720" w:hanging="720"/>
      </w:pPr>
      <w:bookmarkStart w:id="858" w:name="_ENREF_201"/>
      <w:r w:rsidRPr="00305FE7">
        <w:t xml:space="preserve">Reason, C., Sozou, A., York, P., and Rasheed, M. (2017). </w:t>
      </w:r>
      <w:r w:rsidRPr="00305FE7">
        <w:rPr>
          <w:i/>
        </w:rPr>
        <w:t>Seagrass habitat of Mourilyan Harbour: Annual Monitoring Report – 2016. TropWATER report 17/28</w:t>
      </w:r>
      <w:r w:rsidRPr="00305FE7">
        <w:t>. Cairns: JCU Publication, Centre for Tropical Water &amp; Aquatic Ecosystem Research.</w:t>
      </w:r>
      <w:bookmarkEnd w:id="858"/>
    </w:p>
    <w:p w14:paraId="27897CC5" w14:textId="77777777" w:rsidR="00305FE7" w:rsidRPr="00305FE7" w:rsidRDefault="00305FE7" w:rsidP="00305FE7">
      <w:pPr>
        <w:pStyle w:val="EndNoteBibliography"/>
        <w:spacing w:after="0"/>
        <w:ind w:left="720" w:hanging="720"/>
      </w:pPr>
      <w:bookmarkStart w:id="859" w:name="_ENREF_202"/>
      <w:r w:rsidRPr="00305FE7">
        <w:t xml:space="preserve">Redfield, A.C., Ketchum, B.H., and Richards, F.A. (Eds.). (1963). </w:t>
      </w:r>
      <w:r w:rsidRPr="00305FE7">
        <w:rPr>
          <w:i/>
        </w:rPr>
        <w:t>The influence of organisms on the composition of seawater</w:t>
      </w:r>
      <w:r w:rsidRPr="00305FE7">
        <w:t>. New York: Wiley Interscience.</w:t>
      </w:r>
      <w:bookmarkEnd w:id="859"/>
    </w:p>
    <w:p w14:paraId="03F5FC2C" w14:textId="77777777" w:rsidR="00305FE7" w:rsidRPr="00305FE7" w:rsidRDefault="00305FE7" w:rsidP="00305FE7">
      <w:pPr>
        <w:pStyle w:val="EndNoteBibliography"/>
        <w:spacing w:after="0"/>
        <w:ind w:left="720" w:hanging="720"/>
      </w:pPr>
      <w:bookmarkStart w:id="860" w:name="_ENREF_203"/>
      <w:r w:rsidRPr="00305FE7">
        <w:t xml:space="preserve">Reef Water Quality Protection Plan Secretariat. (2011). </w:t>
      </w:r>
      <w:r w:rsidRPr="00305FE7">
        <w:rPr>
          <w:i/>
        </w:rPr>
        <w:t>Great Barrier Reef, First Report Card, 2009 Baseline.</w:t>
      </w:r>
      <w:r w:rsidRPr="00305FE7">
        <w:t xml:space="preserve"> Brisbane, Australia: The State of Queensland (Department of the Premier and Cabinet),.</w:t>
      </w:r>
      <w:bookmarkEnd w:id="860"/>
    </w:p>
    <w:p w14:paraId="61A6B933" w14:textId="77777777" w:rsidR="00305FE7" w:rsidRPr="00305FE7" w:rsidRDefault="00305FE7" w:rsidP="00305FE7">
      <w:pPr>
        <w:pStyle w:val="EndNoteBibliography"/>
        <w:spacing w:after="0"/>
        <w:ind w:left="720" w:hanging="720"/>
      </w:pPr>
      <w:bookmarkStart w:id="861" w:name="_ENREF_204"/>
      <w:r w:rsidRPr="00305FE7">
        <w:t xml:space="preserve">Roff, G., Clark, T.R., Reymond, C.E., Zhao, J.-x., Feng, Y., McCook, L.J., Done, T.J., and Pandolfi, J.M. 2013, Palaeoecological evidence of a historical collapse of corals at Pelorus Island, inshore Great Barrier Reef, following European settlement. </w:t>
      </w:r>
      <w:r w:rsidRPr="00305FE7">
        <w:rPr>
          <w:i/>
        </w:rPr>
        <w:t>Proceedings of the Royal Society of London B: Biological Sciences, 280</w:t>
      </w:r>
      <w:r w:rsidRPr="00305FE7">
        <w:t>(1750). doi: 10.1098/rspb.2012.2100</w:t>
      </w:r>
      <w:bookmarkEnd w:id="861"/>
    </w:p>
    <w:p w14:paraId="466F26CD" w14:textId="77777777" w:rsidR="00305FE7" w:rsidRPr="00305FE7" w:rsidRDefault="00305FE7" w:rsidP="00305FE7">
      <w:pPr>
        <w:pStyle w:val="EndNoteBibliography"/>
        <w:spacing w:after="0"/>
        <w:ind w:left="720" w:hanging="720"/>
      </w:pPr>
      <w:bookmarkStart w:id="862" w:name="_ENREF_205"/>
      <w:r w:rsidRPr="00305FE7">
        <w:t xml:space="preserve">Sand-Jensen, K. 1977, Effects of epiphytes on eelgrass photsynthesis. </w:t>
      </w:r>
      <w:r w:rsidRPr="00305FE7">
        <w:rPr>
          <w:i/>
        </w:rPr>
        <w:t>Aquatic Botany, 3</w:t>
      </w:r>
      <w:r w:rsidRPr="00305FE7">
        <w:t xml:space="preserve">, 55-63. </w:t>
      </w:r>
      <w:bookmarkEnd w:id="862"/>
    </w:p>
    <w:p w14:paraId="75D0B951" w14:textId="77777777" w:rsidR="00305FE7" w:rsidRPr="00305FE7" w:rsidRDefault="00305FE7" w:rsidP="00305FE7">
      <w:pPr>
        <w:pStyle w:val="EndNoteBibliography"/>
        <w:spacing w:after="0"/>
        <w:ind w:left="720" w:hanging="720"/>
      </w:pPr>
      <w:bookmarkStart w:id="863" w:name="_ENREF_206"/>
      <w:r w:rsidRPr="00305FE7">
        <w:t xml:space="preserve">Saunders, M.I., Bayraktarov, E., Roelfsema, C.M., Leona, J.X., Samper-Villarreal, J., Phinn, S.R., Lovelock, C.E., and Mumby, P.J. 2015, Spatial and temporal variability of seagrass at Lizard Island, Great Barrier Reef. </w:t>
      </w:r>
      <w:r w:rsidRPr="00305FE7">
        <w:rPr>
          <w:i/>
        </w:rPr>
        <w:t>Botanica Marina, 58</w:t>
      </w:r>
      <w:r w:rsidRPr="00305FE7">
        <w:t xml:space="preserve">(1), 35–49. </w:t>
      </w:r>
      <w:bookmarkEnd w:id="863"/>
    </w:p>
    <w:p w14:paraId="56FB8A01" w14:textId="77777777" w:rsidR="00305FE7" w:rsidRPr="00305FE7" w:rsidRDefault="00305FE7" w:rsidP="00305FE7">
      <w:pPr>
        <w:pStyle w:val="EndNoteBibliography"/>
        <w:spacing w:after="0"/>
        <w:ind w:left="720" w:hanging="720"/>
      </w:pPr>
      <w:bookmarkStart w:id="864" w:name="_ENREF_207"/>
      <w:r w:rsidRPr="00305FE7">
        <w:t xml:space="preserve">Schaffelke, B., Anthony, K., Blake, J., Brodie, J., Collier, C., Devlin, M., Fabricius, K., Martin, K., McKenzie, L.J., Negri, A., Ronan, M., Thompson, A., and Warne, M. (2013). Marine and coastal ecosystem impacts </w:t>
      </w:r>
      <w:r w:rsidRPr="00305FE7">
        <w:rPr>
          <w:i/>
        </w:rPr>
        <w:t>Synthesis of evidence to support the Reef Water Quality Scientific Consensus Statement 2013</w:t>
      </w:r>
      <w:r w:rsidRPr="00305FE7">
        <w:t xml:space="preserve"> (pp. 47). Brisbane: Department of the Premier and Cabinet, Queensland Government.</w:t>
      </w:r>
      <w:bookmarkEnd w:id="864"/>
    </w:p>
    <w:p w14:paraId="5781A4C5" w14:textId="77777777" w:rsidR="00305FE7" w:rsidRPr="00305FE7" w:rsidRDefault="00305FE7" w:rsidP="00305FE7">
      <w:pPr>
        <w:pStyle w:val="EndNoteBibliography"/>
        <w:spacing w:after="0"/>
        <w:ind w:left="720" w:hanging="720"/>
      </w:pPr>
      <w:bookmarkStart w:id="865" w:name="_ENREF_208"/>
      <w:r w:rsidRPr="00305FE7">
        <w:t xml:space="preserve">Schaffelke, B., Mellors, J., and Duke, N.C. 2005, Water quality in the Great Barrier Reef region: responses of mangrove, seagrass and macroalgal communities. </w:t>
      </w:r>
      <w:r w:rsidRPr="00305FE7">
        <w:rPr>
          <w:i/>
        </w:rPr>
        <w:t>Marine Pollution Bulletin, 51</w:t>
      </w:r>
      <w:r w:rsidRPr="00305FE7">
        <w:t>(1-4), 279-296. doi: 10.1016/j.marpolbul.2004.10.025</w:t>
      </w:r>
      <w:bookmarkEnd w:id="865"/>
    </w:p>
    <w:p w14:paraId="3E5E6E20" w14:textId="77777777" w:rsidR="00305FE7" w:rsidRPr="00305FE7" w:rsidRDefault="00305FE7" w:rsidP="00305FE7">
      <w:pPr>
        <w:pStyle w:val="EndNoteBibliography"/>
        <w:spacing w:after="0"/>
        <w:ind w:left="720" w:hanging="720"/>
      </w:pPr>
      <w:bookmarkStart w:id="866" w:name="_ENREF_209"/>
      <w:r w:rsidRPr="00305FE7">
        <w:t xml:space="preserve">Scheltinga, D.M., and Heydon, L. (Eds.). (2005). </w:t>
      </w:r>
      <w:r w:rsidRPr="00305FE7">
        <w:rPr>
          <w:i/>
        </w:rPr>
        <w:t xml:space="preserve">Report on the Condition of Estuarine, Coastal and Marine Resources of the Burdekin Dry Tropics Region, Commissioned by the Burdekin Dry Tropics Board. </w:t>
      </w:r>
      <w:r w:rsidRPr="00305FE7">
        <w:t>. Townsville: Cooperative Research Centre for Coastal Zone, Estuary and Waterway Management.</w:t>
      </w:r>
      <w:bookmarkEnd w:id="866"/>
    </w:p>
    <w:p w14:paraId="1A36292F" w14:textId="77777777" w:rsidR="00305FE7" w:rsidRPr="00305FE7" w:rsidRDefault="00305FE7" w:rsidP="00305FE7">
      <w:pPr>
        <w:pStyle w:val="EndNoteBibliography"/>
        <w:spacing w:after="0"/>
        <w:ind w:left="720" w:hanging="720"/>
      </w:pPr>
      <w:bookmarkStart w:id="867" w:name="_ENREF_210"/>
      <w:r w:rsidRPr="00305FE7">
        <w:t>Schubert, P.R., Karez, R., Reusch, T.B.H., and Dierking, J. 2013, Isotopic signatures of eelgrass (</w:t>
      </w:r>
      <w:r w:rsidRPr="00305FE7">
        <w:rPr>
          <w:i/>
        </w:rPr>
        <w:t>Zostera marina</w:t>
      </w:r>
      <w:r w:rsidRPr="00305FE7">
        <w:t xml:space="preserve"> L.) as bioindicator of anthropogenic nutrient input in the western Baltic Sea. </w:t>
      </w:r>
      <w:r w:rsidRPr="00305FE7">
        <w:rPr>
          <w:i/>
        </w:rPr>
        <w:t>Marine Pollution Bulletin, 72</w:t>
      </w:r>
      <w:r w:rsidRPr="00305FE7">
        <w:t xml:space="preserve">, 64-70. </w:t>
      </w:r>
      <w:bookmarkEnd w:id="867"/>
    </w:p>
    <w:p w14:paraId="0ADC60E7" w14:textId="77777777" w:rsidR="00305FE7" w:rsidRPr="00305FE7" w:rsidRDefault="00305FE7" w:rsidP="00305FE7">
      <w:pPr>
        <w:pStyle w:val="EndNoteBibliography"/>
        <w:spacing w:after="0"/>
        <w:ind w:left="720" w:hanging="720"/>
      </w:pPr>
      <w:bookmarkStart w:id="868" w:name="_ENREF_211"/>
      <w:r w:rsidRPr="00305FE7">
        <w:t xml:space="preserve">Shelton, A.O. 2008, Skewed sex ratios, pollen limitation, and reproductive failure in the dioecious seagrass </w:t>
      </w:r>
      <w:r w:rsidRPr="00305FE7">
        <w:rPr>
          <w:i/>
        </w:rPr>
        <w:t>Phyllospadix</w:t>
      </w:r>
      <w:r w:rsidRPr="00305FE7">
        <w:t xml:space="preserve">. </w:t>
      </w:r>
      <w:r w:rsidRPr="00305FE7">
        <w:rPr>
          <w:i/>
        </w:rPr>
        <w:t>Ecology, 89</w:t>
      </w:r>
      <w:r w:rsidRPr="00305FE7">
        <w:t xml:space="preserve">, 3020-3029. </w:t>
      </w:r>
      <w:bookmarkEnd w:id="868"/>
    </w:p>
    <w:p w14:paraId="1AA83FC9" w14:textId="77777777" w:rsidR="00305FE7" w:rsidRPr="00305FE7" w:rsidRDefault="00305FE7" w:rsidP="00305FE7">
      <w:pPr>
        <w:pStyle w:val="EndNoteBibliography"/>
        <w:spacing w:after="0"/>
        <w:ind w:left="720" w:hanging="720"/>
      </w:pPr>
      <w:bookmarkStart w:id="869" w:name="_ENREF_212"/>
      <w:r w:rsidRPr="00305FE7">
        <w:t xml:space="preserve">Sheppard, J.K., Jones, R.E., Marsh, H., and Lawler, I.R. 2009, Effects of Tidal and Diel Cycles on Dugong Habitat Use. </w:t>
      </w:r>
      <w:r w:rsidRPr="00305FE7">
        <w:rPr>
          <w:i/>
        </w:rPr>
        <w:t>The Journal of Wildlife Management, 73</w:t>
      </w:r>
      <w:r w:rsidRPr="00305FE7">
        <w:t>(1), 45-59. doi: 10.2193/2007-468</w:t>
      </w:r>
      <w:bookmarkEnd w:id="869"/>
    </w:p>
    <w:p w14:paraId="67ED3B98" w14:textId="77777777" w:rsidR="00305FE7" w:rsidRPr="00305FE7" w:rsidRDefault="00305FE7" w:rsidP="00305FE7">
      <w:pPr>
        <w:pStyle w:val="EndNoteBibliography"/>
        <w:spacing w:after="0"/>
        <w:ind w:left="720" w:hanging="720"/>
      </w:pPr>
      <w:bookmarkStart w:id="870" w:name="_ENREF_213"/>
      <w:r w:rsidRPr="00305FE7">
        <w:t xml:space="preserve">Short, F.T., Dennison, W.C., and Capone, D.G. 1990, Phosphorus-limited growth of the tropical seagrass Syringodium filiforme in carbonate sediments. </w:t>
      </w:r>
      <w:r w:rsidRPr="00305FE7">
        <w:rPr>
          <w:i/>
        </w:rPr>
        <w:t>Marine Ecology Progress Series, 62</w:t>
      </w:r>
      <w:r w:rsidRPr="00305FE7">
        <w:t xml:space="preserve">(1-2), 169-174. </w:t>
      </w:r>
      <w:bookmarkEnd w:id="870"/>
    </w:p>
    <w:p w14:paraId="0B7ED782" w14:textId="77777777" w:rsidR="00305FE7" w:rsidRPr="00305FE7" w:rsidRDefault="00305FE7" w:rsidP="00305FE7">
      <w:pPr>
        <w:pStyle w:val="EndNoteBibliography"/>
        <w:spacing w:after="0"/>
        <w:ind w:left="720" w:hanging="720"/>
      </w:pPr>
      <w:bookmarkStart w:id="871" w:name="_ENREF_214"/>
      <w:r w:rsidRPr="00305FE7">
        <w:t xml:space="preserve">Silberstein, K., Chiffings, A.W., and McComb, A.J. 1986, The loss of seagrass in Cockburn Sound, Western Australia. III. The effect of epiphytes on productivity of {IPosidonia australis} Hook.F. </w:t>
      </w:r>
      <w:r w:rsidRPr="00305FE7">
        <w:rPr>
          <w:i/>
        </w:rPr>
        <w:t>Aquatic Botany, 24</w:t>
      </w:r>
      <w:r w:rsidRPr="00305FE7">
        <w:t xml:space="preserve">, 355-371. </w:t>
      </w:r>
      <w:bookmarkEnd w:id="871"/>
    </w:p>
    <w:p w14:paraId="215CAD63" w14:textId="77777777" w:rsidR="00305FE7" w:rsidRPr="00305FE7" w:rsidRDefault="00305FE7" w:rsidP="00305FE7">
      <w:pPr>
        <w:pStyle w:val="EndNoteBibliography"/>
        <w:spacing w:after="0"/>
        <w:ind w:left="720" w:hanging="720"/>
      </w:pPr>
      <w:bookmarkStart w:id="872" w:name="_ENREF_215"/>
      <w:r w:rsidRPr="00305FE7">
        <w:t xml:space="preserve">Stapel, J., Manuntun, R., and Hemminga, M.A. 1997, Biomass loss and nutrient redistribution in an Indonesian </w:t>
      </w:r>
      <w:r w:rsidRPr="00305FE7">
        <w:rPr>
          <w:i/>
        </w:rPr>
        <w:t>Thalassia hemprichii</w:t>
      </w:r>
      <w:r w:rsidRPr="00305FE7">
        <w:t xml:space="preserve"> seagrass bed following seasonal low tide exposure during daylight. </w:t>
      </w:r>
      <w:r w:rsidRPr="00305FE7">
        <w:rPr>
          <w:i/>
        </w:rPr>
        <w:t>Marine Ecology Progress Series, 148</w:t>
      </w:r>
      <w:r w:rsidRPr="00305FE7">
        <w:t xml:space="preserve">, 251-262. </w:t>
      </w:r>
      <w:bookmarkEnd w:id="872"/>
    </w:p>
    <w:p w14:paraId="3E0AB707" w14:textId="77777777" w:rsidR="00305FE7" w:rsidRPr="00305FE7" w:rsidRDefault="00305FE7" w:rsidP="00305FE7">
      <w:pPr>
        <w:pStyle w:val="EndNoteBibliography"/>
        <w:spacing w:after="0"/>
        <w:ind w:left="720" w:hanging="720"/>
      </w:pPr>
      <w:bookmarkStart w:id="873" w:name="_ENREF_216"/>
      <w:r w:rsidRPr="00305FE7">
        <w:t xml:space="preserve">Stieglitz, T. 2005, Submarine groundwater discharge into the near-shore zone of the Great Barrier Reef, Australia. </w:t>
      </w:r>
      <w:r w:rsidRPr="00305FE7">
        <w:rPr>
          <w:i/>
        </w:rPr>
        <w:t>Marine Pollution Bulletin, 51</w:t>
      </w:r>
      <w:r w:rsidRPr="00305FE7">
        <w:t xml:space="preserve">(1-4), 51-59. </w:t>
      </w:r>
      <w:bookmarkEnd w:id="873"/>
    </w:p>
    <w:p w14:paraId="5E892993" w14:textId="77777777" w:rsidR="00305FE7" w:rsidRPr="00305FE7" w:rsidRDefault="00305FE7" w:rsidP="00305FE7">
      <w:pPr>
        <w:pStyle w:val="EndNoteBibliography"/>
        <w:spacing w:after="0"/>
        <w:ind w:left="720" w:hanging="720"/>
      </w:pPr>
      <w:bookmarkStart w:id="874" w:name="_ENREF_217"/>
      <w:r w:rsidRPr="00305FE7">
        <w:t xml:space="preserve">Thorogood, J., and Boggon, T. (1999). </w:t>
      </w:r>
      <w:r w:rsidRPr="00305FE7">
        <w:rPr>
          <w:i/>
        </w:rPr>
        <w:t>Pioneer Bay environmental monitoring program. Fourth monitoring event, November 1999.</w:t>
      </w:r>
      <w:r w:rsidRPr="00305FE7">
        <w:t xml:space="preserve"> Wellington Point, Brisbane: FRC Coastal Resource &amp; Environmental.</w:t>
      </w:r>
      <w:bookmarkEnd w:id="874"/>
    </w:p>
    <w:p w14:paraId="34101444" w14:textId="77777777" w:rsidR="00305FE7" w:rsidRPr="00305FE7" w:rsidRDefault="00305FE7" w:rsidP="00305FE7">
      <w:pPr>
        <w:pStyle w:val="EndNoteBibliography"/>
        <w:spacing w:after="0"/>
        <w:ind w:left="720" w:hanging="720"/>
      </w:pPr>
      <w:bookmarkStart w:id="875" w:name="_ENREF_218"/>
      <w:r w:rsidRPr="00305FE7">
        <w:t>Tomasko, D.A., Dawes, C.J., and Hall, M.O. 1996, The effects of anthropogenic nutrient enrichment on turtle grass (</w:t>
      </w:r>
      <w:r w:rsidRPr="00305FE7">
        <w:rPr>
          <w:i/>
        </w:rPr>
        <w:t>Thalassia testudinum</w:t>
      </w:r>
      <w:r w:rsidRPr="00305FE7">
        <w:t xml:space="preserve">) in Sarasota Bay, Florida. </w:t>
      </w:r>
      <w:r w:rsidRPr="00305FE7">
        <w:rPr>
          <w:i/>
        </w:rPr>
        <w:t>Estuaries And Coasts, 19</w:t>
      </w:r>
      <w:r w:rsidRPr="00305FE7">
        <w:t xml:space="preserve">, 448–456. </w:t>
      </w:r>
      <w:bookmarkEnd w:id="875"/>
    </w:p>
    <w:p w14:paraId="26FEAF7A" w14:textId="77777777" w:rsidR="00305FE7" w:rsidRPr="00305FE7" w:rsidRDefault="00305FE7" w:rsidP="00305FE7">
      <w:pPr>
        <w:pStyle w:val="EndNoteBibliography"/>
        <w:spacing w:after="0"/>
        <w:ind w:left="720" w:hanging="720"/>
      </w:pPr>
      <w:bookmarkStart w:id="876" w:name="_ENREF_219"/>
      <w:r w:rsidRPr="00305FE7">
        <w:t xml:space="preserve">Tomasko, D.A., and Lapointe, B.E. 1991, Productivity and biomass of Thalassia Testudinum as related to the water column nutrient availability and epiphyte levels: Field observations and experimental studies. </w:t>
      </w:r>
      <w:r w:rsidRPr="00305FE7">
        <w:rPr>
          <w:i/>
        </w:rPr>
        <w:t>Marine Ecology Progress Series, 75</w:t>
      </w:r>
      <w:r w:rsidRPr="00305FE7">
        <w:t xml:space="preserve">, 9-17. </w:t>
      </w:r>
      <w:bookmarkEnd w:id="876"/>
    </w:p>
    <w:p w14:paraId="4834731D" w14:textId="77777777" w:rsidR="00305FE7" w:rsidRPr="00305FE7" w:rsidRDefault="00305FE7" w:rsidP="00305FE7">
      <w:pPr>
        <w:pStyle w:val="EndNoteBibliography"/>
        <w:spacing w:after="0"/>
        <w:ind w:left="720" w:hanging="720"/>
      </w:pPr>
      <w:bookmarkStart w:id="877" w:name="_ENREF_220"/>
      <w:r w:rsidRPr="00305FE7">
        <w:t xml:space="preserve">Touchette, B.W. 2000, Review of nitrogen and phosphorous metabolism in seagrasses. </w:t>
      </w:r>
      <w:r w:rsidRPr="00305FE7">
        <w:rPr>
          <w:i/>
        </w:rPr>
        <w:t>Journal of Experimental Marine Biology and Ecology, 250</w:t>
      </w:r>
      <w:r w:rsidRPr="00305FE7">
        <w:t xml:space="preserve">, 133-167. </w:t>
      </w:r>
      <w:bookmarkEnd w:id="877"/>
    </w:p>
    <w:p w14:paraId="0D968294" w14:textId="77777777" w:rsidR="00305FE7" w:rsidRPr="00305FE7" w:rsidRDefault="00305FE7" w:rsidP="00305FE7">
      <w:pPr>
        <w:pStyle w:val="EndNoteBibliography"/>
        <w:spacing w:after="0"/>
        <w:ind w:left="720" w:hanging="720"/>
      </w:pPr>
      <w:bookmarkStart w:id="878" w:name="_ENREF_221"/>
      <w:r w:rsidRPr="00305FE7">
        <w:t xml:space="preserve">Udy, J.W., and Dennison, W.C. 1997a, Growth and physiological responses of three Seagrass species to elevated sediment nutrients in Moreton Bay, Australia. </w:t>
      </w:r>
      <w:r w:rsidRPr="00305FE7">
        <w:rPr>
          <w:i/>
        </w:rPr>
        <w:t>Journal of Experimental Marine Biology and Ecology, 217</w:t>
      </w:r>
      <w:r w:rsidRPr="00305FE7">
        <w:t xml:space="preserve">(2), 253-277. </w:t>
      </w:r>
      <w:bookmarkEnd w:id="878"/>
    </w:p>
    <w:p w14:paraId="2151D026" w14:textId="6280D105" w:rsidR="00305FE7" w:rsidRPr="00305FE7" w:rsidRDefault="00305FE7" w:rsidP="00305FE7">
      <w:pPr>
        <w:pStyle w:val="EndNoteBibliography"/>
        <w:spacing w:after="0"/>
        <w:ind w:left="720" w:hanging="720"/>
      </w:pPr>
      <w:bookmarkStart w:id="879" w:name="_ENREF_222"/>
      <w:r w:rsidRPr="00305FE7">
        <w:t xml:space="preserve">Udy, J.W., and Dennison, W.C. 1997b, Physiological responses of seagrasses used to identify anthropogenic nutrient inputs. </w:t>
      </w:r>
      <w:r w:rsidRPr="00305FE7">
        <w:rPr>
          <w:i/>
        </w:rPr>
        <w:t>Marine and Freshwater Research, 48</w:t>
      </w:r>
      <w:r w:rsidRPr="00305FE7">
        <w:t xml:space="preserve">(7), 605-614. doi: </w:t>
      </w:r>
      <w:hyperlink r:id="rId193" w:history="1">
        <w:r w:rsidRPr="00305FE7">
          <w:rPr>
            <w:rStyle w:val="Hyperlink"/>
          </w:rPr>
          <w:t>http://dx.doi.org/10.1071/MF97001</w:t>
        </w:r>
        <w:bookmarkEnd w:id="879"/>
      </w:hyperlink>
    </w:p>
    <w:p w14:paraId="3E96DF3C" w14:textId="77777777" w:rsidR="00305FE7" w:rsidRPr="00305FE7" w:rsidRDefault="00305FE7" w:rsidP="00305FE7">
      <w:pPr>
        <w:pStyle w:val="EndNoteBibliography"/>
        <w:spacing w:after="0"/>
        <w:ind w:left="720" w:hanging="720"/>
      </w:pPr>
      <w:bookmarkStart w:id="880" w:name="_ENREF_223"/>
      <w:r w:rsidRPr="00305FE7">
        <w:t xml:space="preserve">Udy, J.W., Dennison, W.C., Lee Long, W.J., and McKenzie, L.J. 1999, Responses of seagrass to nutrients in the Great Barrier Reef, Australia. </w:t>
      </w:r>
      <w:r w:rsidRPr="00305FE7">
        <w:rPr>
          <w:i/>
        </w:rPr>
        <w:t>Marine Ecology Progress Series, 185</w:t>
      </w:r>
      <w:r w:rsidRPr="00305FE7">
        <w:t xml:space="preserve">, 257-271. </w:t>
      </w:r>
      <w:bookmarkEnd w:id="880"/>
    </w:p>
    <w:p w14:paraId="21EAA2C5" w14:textId="77777777" w:rsidR="00305FE7" w:rsidRPr="00305FE7" w:rsidRDefault="00305FE7" w:rsidP="00305FE7">
      <w:pPr>
        <w:pStyle w:val="EndNoteBibliography"/>
        <w:spacing w:after="0"/>
        <w:ind w:left="720" w:hanging="720"/>
      </w:pPr>
      <w:bookmarkStart w:id="881" w:name="_ENREF_224"/>
      <w:r w:rsidRPr="00305FE7">
        <w:t xml:space="preserve">Unsworth, R.K., Collier, C.J., Henderson, G.M., and McKenzie, L.J. 2012a, Tropical seagrass meadows modify seawater carbon chemistry: implications for coral reefs impacted by ocean acidification. </w:t>
      </w:r>
      <w:r w:rsidRPr="00305FE7">
        <w:rPr>
          <w:i/>
        </w:rPr>
        <w:t>Environmental Research Letters, 7</w:t>
      </w:r>
      <w:r w:rsidRPr="00305FE7">
        <w:t xml:space="preserve">(2), 024026. </w:t>
      </w:r>
      <w:bookmarkEnd w:id="881"/>
    </w:p>
    <w:p w14:paraId="02C62300" w14:textId="09CB1F9B" w:rsidR="00305FE7" w:rsidRPr="00305FE7" w:rsidRDefault="00305FE7" w:rsidP="00305FE7">
      <w:pPr>
        <w:pStyle w:val="EndNoteBibliography"/>
        <w:spacing w:after="0"/>
        <w:ind w:left="720" w:hanging="720"/>
      </w:pPr>
      <w:bookmarkStart w:id="882" w:name="_ENREF_225"/>
      <w:r w:rsidRPr="00305FE7">
        <w:t xml:space="preserve">Unsworth, R.K.F., Collier, C.J., Waycott, M., McKenzie, L.J., and Cullen-Unsworth, L.C. 2015, A framework for the resilience of seagrass ecosystems. </w:t>
      </w:r>
      <w:r w:rsidRPr="00305FE7">
        <w:rPr>
          <w:i/>
        </w:rPr>
        <w:t>Marine Pollution Bulletin, 100</w:t>
      </w:r>
      <w:r w:rsidRPr="00305FE7">
        <w:t xml:space="preserve">(1), 34-46. doi: </w:t>
      </w:r>
      <w:hyperlink r:id="rId194" w:history="1">
        <w:r w:rsidRPr="00305FE7">
          <w:rPr>
            <w:rStyle w:val="Hyperlink"/>
          </w:rPr>
          <w:t>http://dx.doi.org/10.1016/j.marpolbul.2015.08.016</w:t>
        </w:r>
        <w:bookmarkEnd w:id="882"/>
      </w:hyperlink>
    </w:p>
    <w:p w14:paraId="348AC408" w14:textId="77777777" w:rsidR="00305FE7" w:rsidRPr="00305FE7" w:rsidRDefault="00305FE7" w:rsidP="00305FE7">
      <w:pPr>
        <w:pStyle w:val="EndNoteBibliography"/>
        <w:spacing w:after="0"/>
        <w:ind w:left="720" w:hanging="720"/>
      </w:pPr>
      <w:bookmarkStart w:id="883" w:name="_ENREF_226"/>
      <w:r w:rsidRPr="00305FE7">
        <w:t xml:space="preserve">Unsworth, R.K.F., Rasheed, M.A., Chartrand, K.M., and Roelofs, A.J. 2012b, Solar radiation and tidal exposure as environmental drivers of </w:t>
      </w:r>
      <w:r w:rsidRPr="00305FE7">
        <w:rPr>
          <w:i/>
        </w:rPr>
        <w:t>Enhalus acoroides</w:t>
      </w:r>
      <w:r w:rsidRPr="00305FE7">
        <w:t xml:space="preserve"> dominated seagrass meadows. </w:t>
      </w:r>
      <w:r w:rsidRPr="00305FE7">
        <w:rPr>
          <w:i/>
        </w:rPr>
        <w:t>Plos One, 7</w:t>
      </w:r>
      <w:r w:rsidRPr="00305FE7">
        <w:t>(3). doi: 10.1371/journal.pone.0034133</w:t>
      </w:r>
      <w:bookmarkEnd w:id="883"/>
    </w:p>
    <w:p w14:paraId="4E66E835" w14:textId="77777777" w:rsidR="00305FE7" w:rsidRPr="00305FE7" w:rsidRDefault="00305FE7" w:rsidP="00305FE7">
      <w:pPr>
        <w:pStyle w:val="EndNoteBibliography"/>
        <w:spacing w:after="0"/>
        <w:ind w:left="720" w:hanging="720"/>
      </w:pPr>
      <w:bookmarkStart w:id="884" w:name="_ENREF_227"/>
      <w:r w:rsidRPr="00305FE7">
        <w:t xml:space="preserve">van Katwijk, M.M., Bos, A.R., Hermus, D.C.R., and Suykerbuyk, W. 2010, Sediment modification by seagrass beds: Muddification and sandification induced by plant cover and environmental conditions. </w:t>
      </w:r>
      <w:r w:rsidRPr="00305FE7">
        <w:rPr>
          <w:i/>
        </w:rPr>
        <w:t>Estuarine Coastal And Shelf Science, 89</w:t>
      </w:r>
      <w:r w:rsidRPr="00305FE7">
        <w:t>(2), 175-181. doi: 10.1016/j.ecss.2010.06.008</w:t>
      </w:r>
      <w:bookmarkEnd w:id="884"/>
    </w:p>
    <w:p w14:paraId="0383AB71" w14:textId="77777777" w:rsidR="00305FE7" w:rsidRPr="00305FE7" w:rsidRDefault="00305FE7" w:rsidP="00305FE7">
      <w:pPr>
        <w:pStyle w:val="EndNoteBibliography"/>
        <w:spacing w:after="0"/>
        <w:ind w:left="720" w:hanging="720"/>
      </w:pPr>
      <w:bookmarkStart w:id="885" w:name="_ENREF_228"/>
      <w:r w:rsidRPr="00305FE7">
        <w:t xml:space="preserve">van Oppen, M., Gates, R.D., Blackall, L.L., Cantin, N., Chakravarti, L.J., Chan, W.Y., Cormick, C., Crean, A., Damjanovic, K., Epstein, H., Harrison, P.L., Jones, T.A., Miller, M., Pears, R.J., Peplow, L.M., Raftos, D.A., Schaffelke, B., Stewart, K., Torda, G., Wachenfeld, D., Weeks, A.R., and Putnam, H.M. 2017, Shifting paradigms in restoration of the world's coral reefs. </w:t>
      </w:r>
      <w:r w:rsidRPr="00305FE7">
        <w:rPr>
          <w:i/>
        </w:rPr>
        <w:t>Global Change Biology, 23</w:t>
      </w:r>
      <w:r w:rsidRPr="00305FE7">
        <w:t xml:space="preserve">, 3437-3448. </w:t>
      </w:r>
      <w:bookmarkEnd w:id="885"/>
    </w:p>
    <w:p w14:paraId="1F9A197E" w14:textId="77777777" w:rsidR="00305FE7" w:rsidRPr="00305FE7" w:rsidRDefault="00305FE7" w:rsidP="00305FE7">
      <w:pPr>
        <w:pStyle w:val="EndNoteBibliography"/>
        <w:spacing w:after="0"/>
        <w:ind w:left="720" w:hanging="720"/>
      </w:pPr>
      <w:bookmarkStart w:id="886" w:name="_ENREF_229"/>
      <w:r w:rsidRPr="00305FE7">
        <w:t xml:space="preserve">Walker, D.I., and McComb, A.J. 1992, Seagrass degradation in Australian coastal waters. </w:t>
      </w:r>
      <w:r w:rsidRPr="00305FE7">
        <w:rPr>
          <w:i/>
        </w:rPr>
        <w:t>Marine Pollution Bulletin, 25</w:t>
      </w:r>
      <w:r w:rsidRPr="00305FE7">
        <w:t xml:space="preserve">, 191-195. </w:t>
      </w:r>
      <w:bookmarkEnd w:id="886"/>
    </w:p>
    <w:p w14:paraId="3D0144BB" w14:textId="77777777" w:rsidR="00305FE7" w:rsidRPr="00305FE7" w:rsidRDefault="00305FE7" w:rsidP="00305FE7">
      <w:pPr>
        <w:pStyle w:val="EndNoteBibliography"/>
        <w:spacing w:after="0"/>
        <w:ind w:left="720" w:hanging="720"/>
      </w:pPr>
      <w:bookmarkStart w:id="887" w:name="_ENREF_230"/>
      <w:r w:rsidRPr="00305FE7">
        <w:t xml:space="preserve">Walker, M., and Esslemont, G. (2008). </w:t>
      </w:r>
      <w:r w:rsidRPr="00305FE7">
        <w:rPr>
          <w:i/>
        </w:rPr>
        <w:t>Mary Water Quality Improvement Plan, Draft Version 1.2.</w:t>
      </w:r>
      <w:r w:rsidRPr="00305FE7">
        <w:t xml:space="preserve"> Bundaberg: Wide Bay Water Corporation and Burnett Mary Regional Group for Natural Resource Management.</w:t>
      </w:r>
      <w:bookmarkEnd w:id="887"/>
    </w:p>
    <w:p w14:paraId="5921F5C5" w14:textId="77777777" w:rsidR="00305FE7" w:rsidRPr="00305FE7" w:rsidRDefault="00305FE7" w:rsidP="00305FE7">
      <w:pPr>
        <w:pStyle w:val="EndNoteBibliography"/>
        <w:spacing w:after="0"/>
        <w:ind w:left="720" w:hanging="720"/>
      </w:pPr>
      <w:bookmarkStart w:id="888" w:name="_ENREF_231"/>
      <w:r w:rsidRPr="00305FE7">
        <w:t xml:space="preserve">Waterhouse, J., Brodie, J., Coppo, C., Tracey, D., da Silva, E., Howley, C., Petus, C., McKenzie, L., Lewis, S., McCloskey, G., and Higham, W. (2016). </w:t>
      </w:r>
      <w:r w:rsidRPr="00305FE7">
        <w:rPr>
          <w:i/>
        </w:rPr>
        <w:t xml:space="preserve">Assessment of the relative risk of water quality to ecosystems of the eastern Cape York NRM Region, Great Barrier Reef. A report to South Cape York Catchments. TropWATER Report 16/24, </w:t>
      </w:r>
      <w:r w:rsidRPr="00305FE7">
        <w:t>. Townsville, Australia.: TropWATER (JCU).</w:t>
      </w:r>
      <w:bookmarkEnd w:id="888"/>
    </w:p>
    <w:p w14:paraId="346E7045" w14:textId="77777777" w:rsidR="00305FE7" w:rsidRPr="00305FE7" w:rsidRDefault="00305FE7" w:rsidP="00305FE7">
      <w:pPr>
        <w:pStyle w:val="EndNoteBibliography"/>
        <w:spacing w:after="0"/>
        <w:ind w:left="720" w:hanging="720"/>
      </w:pPr>
      <w:bookmarkStart w:id="889" w:name="_ENREF_232"/>
      <w:r w:rsidRPr="00305FE7">
        <w:t xml:space="preserve">Waterhouse, J., Lønborg, C., Brinkman, R., Carreira, C., Costello, P., da Silva, E., Davidson, J., Gunn, K., Lewis, S., Logan, M., Petus, C., Schaffelke, B., Skuza, M., Tonin, H., Tracey, D., Wright, M., and Zagorskis, I. (2017). </w:t>
      </w:r>
      <w:r w:rsidRPr="00305FE7">
        <w:rPr>
          <w:i/>
        </w:rPr>
        <w:t>Marine Monitoring Program: Annual Report for inshore water quality monitoring, 2015-2016. Report for the Great Barrier Reef Marine Park Authority</w:t>
      </w:r>
      <w:r w:rsidRPr="00305FE7">
        <w:t>. Townsville: Australian Institute of Marine Science and JCU TropWATER.</w:t>
      </w:r>
      <w:bookmarkEnd w:id="889"/>
    </w:p>
    <w:p w14:paraId="2A3B1E4D" w14:textId="77777777" w:rsidR="00305FE7" w:rsidRPr="00305FE7" w:rsidRDefault="00305FE7" w:rsidP="00305FE7">
      <w:pPr>
        <w:pStyle w:val="EndNoteBibliography"/>
        <w:spacing w:after="0"/>
        <w:ind w:left="720" w:hanging="720"/>
      </w:pPr>
      <w:bookmarkStart w:id="890" w:name="_ENREF_233"/>
      <w:r w:rsidRPr="00305FE7">
        <w:t xml:space="preserve">Waterhouse, J., Lønborg, C., Logan, M., Petus, C., Tracey, D., Howley, C., Harper, E., Tonin, H., Skuza, M., Doyle, J., Costello, P., Davidson, J., Gunn, K., Wright, M., Zagorskis, I., and F, K. (2018). </w:t>
      </w:r>
      <w:r w:rsidRPr="00305FE7">
        <w:rPr>
          <w:i/>
        </w:rPr>
        <w:t>Marine Monitoring Program: Annual Report for inshore water quality monitoring 2016-2017. Report for the Great Barrier Reef Marine Park Authority</w:t>
      </w:r>
      <w:r w:rsidRPr="00305FE7">
        <w:t>. Townsville: Great Barrier Reef Marine Park Authority.</w:t>
      </w:r>
      <w:bookmarkEnd w:id="890"/>
    </w:p>
    <w:p w14:paraId="46F8CC8B" w14:textId="77777777" w:rsidR="00305FE7" w:rsidRPr="00305FE7" w:rsidRDefault="00305FE7" w:rsidP="00305FE7">
      <w:pPr>
        <w:pStyle w:val="EndNoteBibliography"/>
        <w:spacing w:after="0"/>
        <w:ind w:left="720" w:hanging="720"/>
      </w:pPr>
      <w:bookmarkStart w:id="891" w:name="_ENREF_234"/>
      <w:r w:rsidRPr="00305FE7">
        <w:t xml:space="preserve">Watson, R.A., Coles, R.G., and Lee Long, W.J. 1993, Simulation estimates of annual yield and landed value for commercial penaeid prawns from a tropical seagrass habitat, northern Queensland, Australia. </w:t>
      </w:r>
      <w:r w:rsidRPr="00305FE7">
        <w:rPr>
          <w:i/>
        </w:rPr>
        <w:t>Australian Journal of Marine and Freshwater Research, 44</w:t>
      </w:r>
      <w:r w:rsidRPr="00305FE7">
        <w:t xml:space="preserve">(1), 211-220. </w:t>
      </w:r>
      <w:bookmarkEnd w:id="891"/>
    </w:p>
    <w:p w14:paraId="638075FD" w14:textId="77777777" w:rsidR="00305FE7" w:rsidRPr="00305FE7" w:rsidRDefault="00305FE7" w:rsidP="00305FE7">
      <w:pPr>
        <w:pStyle w:val="EndNoteBibliography"/>
        <w:spacing w:after="0"/>
        <w:ind w:left="720" w:hanging="720"/>
      </w:pPr>
      <w:bookmarkStart w:id="892" w:name="_ENREF_235"/>
      <w:r w:rsidRPr="00305FE7">
        <w:t xml:space="preserve">Waycott, M., Collier, C., McMahon, K., Ralph, P.J., McKenzie, L.J., Udy, J.W., and Grech, A. (2007). Vulnerability of seagrasses in the Great Barrier Reef to climate change - Chapter 8: . In JE Johnson &amp; PA Marshall (Eds.), </w:t>
      </w:r>
      <w:r w:rsidRPr="00305FE7">
        <w:rPr>
          <w:i/>
        </w:rPr>
        <w:t>Climate Change and the Great Barrier Reef: A Vulnerability Assessment, Part II: Species and species groups</w:t>
      </w:r>
      <w:r w:rsidRPr="00305FE7">
        <w:t xml:space="preserve"> (pp. 193-236). Townsville: Great Barrier Reef Marine Park Authority     </w:t>
      </w:r>
      <w:bookmarkEnd w:id="892"/>
    </w:p>
    <w:p w14:paraId="3AF3F7D9" w14:textId="77777777" w:rsidR="00305FE7" w:rsidRPr="00305FE7" w:rsidRDefault="00305FE7" w:rsidP="00305FE7">
      <w:pPr>
        <w:pStyle w:val="EndNoteBibliography"/>
        <w:spacing w:after="0"/>
        <w:ind w:left="720" w:hanging="720"/>
      </w:pPr>
      <w:bookmarkStart w:id="893" w:name="_ENREF_236"/>
      <w:r w:rsidRPr="00305FE7">
        <w:t xml:space="preserve">Waycott, M., McKenzie, L.J., Mellors, J.E., Ellison, J.C., Sheaves, M.T., Collier, C., Schwarz, A.-M., Webb, A., Johnson, J., and Payri, C.E. (2011). Vulnerability of mangroves, seagrasses and intertidal flats in the tropical Pacific to climate change. In JD Bell, JE Johnson &amp; AJ Hobday (Eds.), </w:t>
      </w:r>
      <w:r w:rsidRPr="00305FE7">
        <w:rPr>
          <w:i/>
        </w:rPr>
        <w:t>Vulnerability of fisheries and aquaculture in the Pacific to climate change</w:t>
      </w:r>
      <w:r w:rsidRPr="00305FE7">
        <w:t xml:space="preserve"> (pp. 97-168). Noumea, New Caledonia: Secretariat of the Pacific Community.</w:t>
      </w:r>
      <w:bookmarkEnd w:id="893"/>
    </w:p>
    <w:p w14:paraId="671EA5E9" w14:textId="77777777" w:rsidR="00305FE7" w:rsidRPr="00305FE7" w:rsidRDefault="00305FE7" w:rsidP="00305FE7">
      <w:pPr>
        <w:pStyle w:val="EndNoteBibliography"/>
        <w:spacing w:after="0"/>
        <w:ind w:left="720" w:hanging="720"/>
      </w:pPr>
      <w:bookmarkStart w:id="894" w:name="_ENREF_237"/>
      <w:r w:rsidRPr="00305FE7">
        <w:t xml:space="preserve">Waycott, M., McMahon, K.M., Mellors, J.E., Calladine, A., and Kleine, D. (2004). </w:t>
      </w:r>
      <w:r w:rsidRPr="00305FE7">
        <w:rPr>
          <w:i/>
        </w:rPr>
        <w:t>A guide to tropical seagrasses of the Indo-West Pacific</w:t>
      </w:r>
      <w:r w:rsidRPr="00305FE7">
        <w:t>. Townsville: James Cook University.</w:t>
      </w:r>
      <w:bookmarkEnd w:id="894"/>
    </w:p>
    <w:p w14:paraId="6F6494C8" w14:textId="77777777" w:rsidR="00305FE7" w:rsidRPr="00305FE7" w:rsidRDefault="00305FE7" w:rsidP="00305FE7">
      <w:pPr>
        <w:pStyle w:val="EndNoteBibliography"/>
        <w:spacing w:after="0"/>
        <w:ind w:left="720" w:hanging="720"/>
      </w:pPr>
      <w:bookmarkStart w:id="895" w:name="_ENREF_238"/>
      <w:r w:rsidRPr="00305FE7">
        <w:t xml:space="preserve">Webster, I., and Ford, P. 2010, Delivery, deposition and redistribution of fine sediments within macrotidal Fitzroy Estuary/Keppel Bay: southern Great Barrier Reef, Australia. </w:t>
      </w:r>
      <w:r w:rsidRPr="00305FE7">
        <w:rPr>
          <w:i/>
        </w:rPr>
        <w:t>Continental Shelf Research, 30</w:t>
      </w:r>
      <w:r w:rsidRPr="00305FE7">
        <w:t xml:space="preserve">, 793–805. </w:t>
      </w:r>
      <w:bookmarkEnd w:id="895"/>
    </w:p>
    <w:p w14:paraId="2D29EFF4" w14:textId="77777777" w:rsidR="00305FE7" w:rsidRPr="00305FE7" w:rsidRDefault="00305FE7" w:rsidP="00305FE7">
      <w:pPr>
        <w:pStyle w:val="EndNoteBibliography"/>
        <w:spacing w:after="0"/>
        <w:ind w:left="720" w:hanging="720"/>
      </w:pPr>
      <w:bookmarkStart w:id="896" w:name="_ENREF_239"/>
      <w:r w:rsidRPr="00305FE7">
        <w:t xml:space="preserve">Wells, J.N., and Rasheed, M.A. (2017). </w:t>
      </w:r>
      <w:r w:rsidRPr="00305FE7">
        <w:rPr>
          <w:i/>
        </w:rPr>
        <w:t>Port of Townsville Annual Seagrass Monitoring and Baseline Survey: September - October 2016. TropWATER report 17/01</w:t>
      </w:r>
      <w:r w:rsidRPr="00305FE7">
        <w:t>. Cairns: James Cook University Publication, Centre for Tropical Water &amp; Aquatic Ecosystem Research (TropWATER).</w:t>
      </w:r>
      <w:bookmarkEnd w:id="896"/>
    </w:p>
    <w:p w14:paraId="533CF0A0" w14:textId="77777777" w:rsidR="00305FE7" w:rsidRPr="00305FE7" w:rsidRDefault="00305FE7" w:rsidP="00305FE7">
      <w:pPr>
        <w:pStyle w:val="EndNoteBibliography"/>
        <w:spacing w:after="0"/>
        <w:ind w:left="720" w:hanging="720"/>
      </w:pPr>
      <w:bookmarkStart w:id="897" w:name="_ENREF_240"/>
      <w:r w:rsidRPr="00305FE7">
        <w:t xml:space="preserve">Whinney, J. (2007). </w:t>
      </w:r>
      <w:r w:rsidRPr="00305FE7">
        <w:rPr>
          <w:i/>
        </w:rPr>
        <w:t>Physical conditions on marginal coral reefs.</w:t>
      </w:r>
      <w:r w:rsidRPr="00305FE7">
        <w:t xml:space="preserve"> PhD, James Cook University, Townsville.   </w:t>
      </w:r>
      <w:bookmarkEnd w:id="897"/>
    </w:p>
    <w:p w14:paraId="5A87A2E3" w14:textId="77777777" w:rsidR="00305FE7" w:rsidRPr="00305FE7" w:rsidRDefault="00305FE7" w:rsidP="00305FE7">
      <w:pPr>
        <w:pStyle w:val="EndNoteBibliography"/>
        <w:spacing w:after="0"/>
        <w:ind w:left="720" w:hanging="720"/>
      </w:pPr>
      <w:bookmarkStart w:id="898" w:name="_ENREF_241"/>
      <w:r w:rsidRPr="00305FE7">
        <w:t xml:space="preserve">Womersley, H. (Ed.). (1981). </w:t>
      </w:r>
      <w:r w:rsidRPr="00305FE7">
        <w:rPr>
          <w:i/>
        </w:rPr>
        <w:t>Marine Ecology and zonation of temperate coasts</w:t>
      </w:r>
      <w:r w:rsidRPr="00305FE7">
        <w:t>. Melbourne: Longman Chieshire.</w:t>
      </w:r>
      <w:bookmarkEnd w:id="898"/>
    </w:p>
    <w:p w14:paraId="7C65F9CB" w14:textId="77777777" w:rsidR="00305FE7" w:rsidRPr="00305FE7" w:rsidRDefault="00305FE7" w:rsidP="00305FE7">
      <w:pPr>
        <w:pStyle w:val="EndNoteBibliography"/>
        <w:spacing w:after="0"/>
        <w:ind w:left="720" w:hanging="720"/>
      </w:pPr>
      <w:bookmarkStart w:id="899" w:name="_ENREF_242"/>
      <w:r w:rsidRPr="00305FE7">
        <w:t xml:space="preserve">Wood, S. 2014, Mixed GAM Computation Vehicle with GCV/AIC/REML Smoothness Estimation, version 1.8-9. </w:t>
      </w:r>
      <w:r w:rsidRPr="00305FE7">
        <w:rPr>
          <w:i/>
        </w:rPr>
        <w:t>Comprehensive R Archive Network</w:t>
      </w:r>
      <w:r w:rsidRPr="00305FE7">
        <w:t xml:space="preserve">(cran.r-project.org), 10. </w:t>
      </w:r>
      <w:bookmarkEnd w:id="899"/>
    </w:p>
    <w:p w14:paraId="290C0D06" w14:textId="77777777" w:rsidR="00305FE7" w:rsidRPr="00305FE7" w:rsidRDefault="00305FE7" w:rsidP="00305FE7">
      <w:pPr>
        <w:pStyle w:val="EndNoteBibliography"/>
        <w:spacing w:after="0"/>
        <w:ind w:left="720" w:hanging="720"/>
      </w:pPr>
      <w:bookmarkStart w:id="900" w:name="_ENREF_243"/>
      <w:r w:rsidRPr="00305FE7">
        <w:t xml:space="preserve">Wood, S.N. (2006). </w:t>
      </w:r>
      <w:r w:rsidRPr="00305FE7">
        <w:rPr>
          <w:i/>
        </w:rPr>
        <w:t>Generalized Additive Models: An Introduction with R</w:t>
      </w:r>
      <w:r w:rsidRPr="00305FE7">
        <w:t>: Chapman &amp; Hall/CRC.</w:t>
      </w:r>
      <w:bookmarkEnd w:id="900"/>
    </w:p>
    <w:p w14:paraId="44CE0AFB" w14:textId="77777777" w:rsidR="00305FE7" w:rsidRPr="00305FE7" w:rsidRDefault="00305FE7" w:rsidP="00305FE7">
      <w:pPr>
        <w:pStyle w:val="EndNoteBibliography"/>
        <w:spacing w:after="0"/>
        <w:ind w:left="720" w:hanging="720"/>
      </w:pPr>
      <w:bookmarkStart w:id="901" w:name="_ENREF_244"/>
      <w:r w:rsidRPr="00305FE7">
        <w:t xml:space="preserve">York, P.H., and Rasheed, M. (2017). </w:t>
      </w:r>
      <w:r w:rsidRPr="00305FE7">
        <w:rPr>
          <w:i/>
        </w:rPr>
        <w:t>Seagrass habitat of Cairns Harbour and Trinity Inlet: Annual Monitoring Report 2016. TropWATER Publication 17/27</w:t>
      </w:r>
      <w:r w:rsidRPr="00305FE7">
        <w:t>. Cairns: Centre for Tropical Water &amp; Aquatic Ecosystem Research, James Cook University.</w:t>
      </w:r>
      <w:bookmarkEnd w:id="901"/>
    </w:p>
    <w:p w14:paraId="044319A6" w14:textId="0C2C3D15" w:rsidR="005D3CAE" w:rsidRDefault="00305FE7" w:rsidP="00145312">
      <w:pPr>
        <w:pStyle w:val="EndNoteBibliography"/>
        <w:ind w:left="720" w:hanging="720"/>
        <w:rPr>
          <w:color w:val="000000"/>
          <w:szCs w:val="22"/>
        </w:rPr>
      </w:pPr>
      <w:bookmarkStart w:id="902" w:name="_ENREF_245"/>
      <w:r w:rsidRPr="00305FE7">
        <w:t xml:space="preserve">York, P.H., Reason, C.L., Scott, E., Sankey, T., and Rasheed, M. (2016). </w:t>
      </w:r>
      <w:r w:rsidRPr="00305FE7">
        <w:rPr>
          <w:i/>
        </w:rPr>
        <w:t>Seagrass habitat of Cairns Harbour and Trinity Inlet: Annual Monitoring Report 2015</w:t>
      </w:r>
      <w:r w:rsidRPr="00305FE7">
        <w:t>. Cairns: Centre for Tropical Water &amp; Aquatic Ecosystem Research Publication, JCU.</w:t>
      </w:r>
      <w:bookmarkEnd w:id="902"/>
      <w:r w:rsidR="009A0520">
        <w:rPr>
          <w:lang w:val="x-none"/>
        </w:rPr>
        <w:fldChar w:fldCharType="end"/>
      </w:r>
    </w:p>
    <w:p w14:paraId="1D3BA15D" w14:textId="77777777" w:rsidR="004A36C2" w:rsidRDefault="004A36C2" w:rsidP="00B20DDB">
      <w:pPr>
        <w:ind w:left="540" w:hanging="540"/>
        <w:outlineLvl w:val="0"/>
        <w:rPr>
          <w:color w:val="000000"/>
          <w:szCs w:val="22"/>
        </w:rPr>
        <w:sectPr w:rsidR="004A36C2" w:rsidSect="00D10D59">
          <w:headerReference w:type="even" r:id="rId195"/>
          <w:headerReference w:type="default" r:id="rId196"/>
          <w:headerReference w:type="first" r:id="rId197"/>
          <w:footerReference w:type="first" r:id="rId198"/>
          <w:pgSz w:w="11906" w:h="16838"/>
          <w:pgMar w:top="1418" w:right="1418" w:bottom="1418" w:left="1418" w:header="709" w:footer="709" w:gutter="0"/>
          <w:cols w:space="708"/>
          <w:docGrid w:linePitch="360"/>
        </w:sectPr>
      </w:pPr>
    </w:p>
    <w:p w14:paraId="13AA3F22" w14:textId="77777777" w:rsidR="00F12624" w:rsidRDefault="00F12624" w:rsidP="00F12624"/>
    <w:p w14:paraId="0544C6BC" w14:textId="77777777" w:rsidR="00F12624" w:rsidRDefault="00F12624" w:rsidP="00F12624"/>
    <w:p w14:paraId="3A88C36F" w14:textId="77777777" w:rsidR="00F12624" w:rsidRDefault="00F12624" w:rsidP="00F12624"/>
    <w:p w14:paraId="2BBE4873" w14:textId="77777777" w:rsidR="00F12624" w:rsidRDefault="00F12624" w:rsidP="00F12624"/>
    <w:p w14:paraId="3DEE366C" w14:textId="77777777" w:rsidR="00F12624" w:rsidRDefault="00F12624" w:rsidP="00F12624"/>
    <w:p w14:paraId="76AAB47C" w14:textId="77777777" w:rsidR="00F12624" w:rsidRDefault="00F12624" w:rsidP="00F12624"/>
    <w:p w14:paraId="0DDADE6E" w14:textId="77777777" w:rsidR="00F12624" w:rsidRDefault="00F12624" w:rsidP="00F12624"/>
    <w:p w14:paraId="2093CC4C" w14:textId="77777777" w:rsidR="00F12624" w:rsidRDefault="00F12624" w:rsidP="00B20DDB">
      <w:pPr>
        <w:outlineLvl w:val="0"/>
      </w:pPr>
    </w:p>
    <w:p w14:paraId="61114B23" w14:textId="092202D8" w:rsidR="008A429D" w:rsidRPr="007D5A48" w:rsidRDefault="00035426" w:rsidP="00F12624">
      <w:pPr>
        <w:pStyle w:val="Heading1"/>
        <w:pageBreakBefore w:val="0"/>
        <w:ind w:left="431" w:hanging="431"/>
      </w:pPr>
      <w:bookmarkStart w:id="903" w:name="_Toc516053175"/>
      <w:r w:rsidRPr="007D5A48">
        <w:t>Background to the NRMs, including conceptual models</w:t>
      </w:r>
      <w:bookmarkEnd w:id="903"/>
    </w:p>
    <w:p w14:paraId="6F7C5B26" w14:textId="77777777" w:rsidR="008A429D" w:rsidRDefault="008A429D" w:rsidP="008A429D"/>
    <w:p w14:paraId="10C1AE0E" w14:textId="77777777" w:rsidR="00035426" w:rsidRDefault="00035426" w:rsidP="008A429D">
      <w:r w:rsidRPr="00035426">
        <w:t>Results and discussion of monitoring are presented firstly in a GBR general overview and then by the NRM regions identified in the GBR area. These discrete regions have been used for stratifying issues of land and catchment based resource management and used to report downstream impacts on the reef environment such as from the effect of water quality. There are 56 NRM regions identified in Australia, 15 are in Queensland and six are part of the coastal processes of the GBR. These regions are mostly based on catchments or bioregions using assessments from the National Land and Water Resources Audit. Regional plans have been developed for each of these setting out the means for identifying and achieving natural resource management targets and detailing catchment-wide activities addressing natural resource management issues including land and water management, biodiversity and agricultural practices. Seagrass habitat data forms part of these targets and activities.</w:t>
      </w:r>
    </w:p>
    <w:p w14:paraId="713EFC44" w14:textId="77777777" w:rsidR="008A429D" w:rsidRDefault="008A429D" w:rsidP="008A429D"/>
    <w:p w14:paraId="1860AADA" w14:textId="77777777" w:rsidR="00035426" w:rsidRDefault="00035426">
      <w:pPr>
        <w:spacing w:before="0" w:after="0"/>
      </w:pPr>
      <w:r>
        <w:br w:type="page"/>
      </w:r>
    </w:p>
    <w:p w14:paraId="4F872145" w14:textId="74CB7D6E" w:rsidR="00035426" w:rsidRPr="00BB52BF" w:rsidRDefault="00035426" w:rsidP="007D5A48">
      <w:pPr>
        <w:pStyle w:val="Heading2"/>
      </w:pPr>
      <w:bookmarkStart w:id="904" w:name="_Toc516053176"/>
      <w:r>
        <w:t>Cape York</w:t>
      </w:r>
      <w:bookmarkEnd w:id="904"/>
    </w:p>
    <w:p w14:paraId="0E143720" w14:textId="500DF770" w:rsidR="00035426" w:rsidRDefault="00035426" w:rsidP="00035426">
      <w:r>
        <w:t>Cape York Peninsula is the northernmost extremity of Australia. From its tip at Cape York it extends southward in Queensland for about 800 km, widening to its base, which spans 650 km from Cairns (east) to the Gilbert River (west). The largest rivers empty into the Gulf of Carpentaria on the west, however there are several significant catchments which empty into the GBR. Major catchments of the region include the Macmillian, Olive, Pascoe, Lockhart, Stewart, Normanby, Jeannie, and Annan Rivers (</w:t>
      </w:r>
      <w:r w:rsidR="00010926">
        <w:fldChar w:fldCharType="begin"/>
      </w:r>
      <w:r w:rsidR="00010926">
        <w:instrText xml:space="preserve"> REF _Ref442553657 \h </w:instrText>
      </w:r>
      <w:r w:rsidR="00010926">
        <w:fldChar w:fldCharType="separate"/>
      </w:r>
      <w:r w:rsidR="00F87DF9">
        <w:rPr>
          <w:color w:val="000000"/>
        </w:rPr>
        <w:t xml:space="preserve">Figure </w:t>
      </w:r>
      <w:r w:rsidR="00F87DF9">
        <w:rPr>
          <w:noProof/>
          <w:color w:val="000000"/>
        </w:rPr>
        <w:t>200</w:t>
      </w:r>
      <w:r w:rsidR="00010926">
        <w:fldChar w:fldCharType="end"/>
      </w:r>
      <w:r>
        <w:t xml:space="preserve">). </w:t>
      </w:r>
    </w:p>
    <w:p w14:paraId="38937F0C" w14:textId="1A99D1B9" w:rsidR="00035426" w:rsidRDefault="00035426" w:rsidP="00035426">
      <w:r>
        <w:t>The region has a monsoonal climate with distinct wet and dry seasons with mean annual rainfall ranging from 1715 mm (Starke region) to 2159 mm (Lockhart River airport). Most rain falls between December and April.  Mean daily air temperatures in the area range between 19.2 – 32.1°C. The prevailing winds are from the south east and persist throughout the year (</w:t>
      </w:r>
      <w:hyperlink w:anchor="_ENREF_86" w:tooltip="Earth Tech, 2005 #9645" w:history="1">
        <w:r w:rsidR="00305FE7">
          <w:fldChar w:fldCharType="begin"/>
        </w:r>
        <w:r w:rsidR="00305FE7">
          <w:instrText xml:space="preserve"> ADDIN EN.CITE &lt;EndNote&gt;&lt;Cite&gt;&lt;Author&gt;Earth Tech&lt;/Author&gt;&lt;Year&gt;2005&lt;/Year&gt;&lt;RecNum&gt;9645&lt;/RecNum&gt;&lt;DisplayText&gt;Earth Tech 2005&lt;/DisplayText&gt;&lt;record&gt;&lt;rec-number&gt;9645&lt;/rec-number&gt;&lt;foreign-keys&gt;&lt;key app="EN" db-id="0eve55x9y5vfd6e9dacxtew4eatve2dzds9a" timestamp="1390263692"&gt;9645&lt;/key&gt;&lt;/foreign-keys&gt;&lt;ref-type name="Book"&gt;6&lt;/ref-type&gt;&lt;contributors&gt;&lt;authors&gt;&lt;author&gt;Earth Tech,&lt;/author&gt;&lt;/authors&gt;&lt;/contributors&gt;&lt;titles&gt;&lt;title&gt;Cape York Peninsula Natural Resource Management Plan&lt;/title&gt;&lt;/titles&gt;&lt;pages&gt;241&lt;/pages&gt;&lt;dates&gt;&lt;year&gt;2005&lt;/year&gt;&lt;/dates&gt;&lt;publisher&gt;Cape York Interim Advisory Group (February 2005)&lt;/publisher&gt;&lt;urls&gt;&lt;/urls&gt;&lt;/record&gt;&lt;/Cite&gt;&lt;/EndNote&gt;</w:instrText>
        </w:r>
        <w:r w:rsidR="00305FE7">
          <w:fldChar w:fldCharType="separate"/>
        </w:r>
        <w:r w:rsidR="00305FE7">
          <w:rPr>
            <w:noProof/>
          </w:rPr>
          <w:t>Earth Tech 2005</w:t>
        </w:r>
        <w:r w:rsidR="00305FE7">
          <w:fldChar w:fldCharType="end"/>
        </w:r>
      </w:hyperlink>
      <w:r>
        <w:t>).</w:t>
      </w:r>
    </w:p>
    <w:p w14:paraId="0D7DC096" w14:textId="327C1338" w:rsidR="00035426" w:rsidRDefault="00035426" w:rsidP="00035426">
      <w:r>
        <w:t>Cape York Peninsula is an area of exceptional conservation value and has cultural value of great significance to both Indigenous and non-Indigenous communities. The majority of the land is relatively undeveloped, therefore water entering the GBR lagoon is perceived to be of a high quality. Cattle station leases occupy about 52</w:t>
      </w:r>
      <w:r w:rsidR="0063478C">
        <w:t xml:space="preserve"> per cent</w:t>
      </w:r>
      <w:r>
        <w:t xml:space="preserve"> of the total area, mostly located in central Cape York Peninsula but only around 33</w:t>
      </w:r>
      <w:r w:rsidR="0063478C">
        <w:t xml:space="preserve"> per cent</w:t>
      </w:r>
      <w:r>
        <w:t xml:space="preserve"> are active leases. Indigenous land comprises about 22</w:t>
      </w:r>
      <w:r w:rsidR="0063478C">
        <w:t xml:space="preserve"> per cent</w:t>
      </w:r>
      <w:r>
        <w:t xml:space="preserve">, with a significant area of the West coast being held under Native title and other areas being under native title claim. The remainder is mostly declared as National Park including joint management areas with local traditional owners or under other conservations tenures e.g. nature refuges, conservation areas, wildlife reserves. Mining, agriculture, and commercial and recreational fishing are the major economic activities. All these activities have the potential to expand in this region and with this expansion the risk of increased pollutants. </w:t>
      </w:r>
    </w:p>
    <w:p w14:paraId="2C51EA13" w14:textId="5E09606A" w:rsidR="00674430" w:rsidRDefault="00674430" w:rsidP="00674430">
      <w:r w:rsidRPr="00546CE1">
        <w:t xml:space="preserve">Extensive seagrass meadows are present in the </w:t>
      </w:r>
      <w:r>
        <w:t xml:space="preserve">GBRWHA </w:t>
      </w:r>
      <w:r w:rsidRPr="00546CE1">
        <w:t xml:space="preserve">waters </w:t>
      </w:r>
      <w:r>
        <w:t>of the Cape York NRM region</w:t>
      </w:r>
      <w:r w:rsidRPr="00546CE1">
        <w:t xml:space="preserve">. </w:t>
      </w:r>
      <w:r>
        <w:t xml:space="preserve">The seagrass </w:t>
      </w:r>
      <w:r>
        <w:rPr>
          <w:color w:val="000000"/>
        </w:rPr>
        <w:t xml:space="preserve">historical baseline for </w:t>
      </w:r>
      <w:r>
        <w:t xml:space="preserve">the region </w:t>
      </w:r>
      <w:r>
        <w:rPr>
          <w:color w:val="000000"/>
        </w:rPr>
        <w:t xml:space="preserve">was established in October-November 1984 </w:t>
      </w:r>
      <w:r>
        <w:t>(</w:t>
      </w:r>
      <w:hyperlink w:anchor="_ENREF_45" w:tooltip="Coles, 1987 #517" w:history="1">
        <w:r w:rsidR="00305FE7">
          <w:fldChar w:fldCharType="begin"/>
        </w:r>
        <w:r w:rsidR="00305FE7">
          <w:instrText xml:space="preserve"> ADDIN EN.CITE &lt;EndNote&gt;&lt;Cite&gt;&lt;Author&gt;Coles&lt;/Author&gt;&lt;Year&gt;1987&lt;/Year&gt;&lt;RecNum&gt;517&lt;/RecNum&gt;&lt;DisplayText&gt;Coles&lt;style face="italic"&gt; et al.&lt;/style&gt; 1987&lt;/DisplayText&gt;&lt;record&gt;&lt;rec-number&gt;517&lt;/rec-number&gt;&lt;foreign-keys&gt;&lt;key app="EN" db-id="0eve55x9y5vfd6e9dacxtew4eatve2dzds9a" timestamp="0"&gt;517&lt;/key&gt;&lt;/foreign-keys&gt;&lt;ref-type name="Journal Article"&gt;17&lt;/ref-type&gt;&lt;contributors&gt;&lt;authors&gt;&lt;author&gt;Coles, Robert G.&lt;/author&gt;&lt;author&gt;Lee Long, Warren J.&lt;/author&gt;&lt;author&gt;Squire, B. A.&lt;/author&gt;&lt;author&gt;Squire, L. C.&lt;/author&gt;&lt;author&gt;Bibby, J. M.&lt;/author&gt;&lt;/authors&gt;&lt;/contributors&gt;&lt;titles&gt;&lt;title&gt;Distribution of seagrass and associated juvenile commercial penaeid prawns in North-Eastern Queensland waters&lt;/title&gt;&lt;secondary-title&gt;Australian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Research&lt;/abbr-1&gt;&lt;/alt-periodical&gt;&lt;pages&gt;103-119&lt;/pages&gt;&lt;volume&gt;38&lt;/volume&gt;&lt;number&gt;1&lt;/number&gt;&lt;keywords&gt;&lt;keyword&gt;MCKENZIE 1996&lt;/keyword&gt;&lt;/keywords&gt;&lt;dates&gt;&lt;year&gt;1987&lt;/year&gt;&lt;/dates&gt;&lt;label&gt;493&lt;/label&gt;&lt;urls&gt;&lt;/urls&gt;&lt;custom1&gt;Annex&lt;/custom1&gt;&lt;/record&gt;&lt;/Cite&gt;&lt;/EndNote&gt;</w:instrText>
        </w:r>
        <w:r w:rsidR="00305FE7">
          <w:fldChar w:fldCharType="separate"/>
        </w:r>
        <w:r w:rsidR="00305FE7">
          <w:rPr>
            <w:noProof/>
          </w:rPr>
          <w:t>Coles</w:t>
        </w:r>
        <w:r w:rsidR="00305FE7" w:rsidRPr="00644A84">
          <w:rPr>
            <w:i/>
            <w:noProof/>
          </w:rPr>
          <w:t xml:space="preserve"> et al.</w:t>
        </w:r>
        <w:r w:rsidR="00305FE7">
          <w:rPr>
            <w:noProof/>
          </w:rPr>
          <w:t xml:space="preserve"> 1987</w:t>
        </w:r>
        <w:r w:rsidR="00305FE7">
          <w:fldChar w:fldCharType="end"/>
        </w:r>
      </w:hyperlink>
      <w:r>
        <w:t>)</w:t>
      </w:r>
      <w:r>
        <w:rPr>
          <w:color w:val="000000"/>
        </w:rPr>
        <w:t>, when the nearshore seagrasses (shallower than 15m depth) were mapped as part of a multi year mapping project for the entire Queensland coast (</w:t>
      </w:r>
      <w:hyperlink w:anchor="_ENREF_136" w:tooltip="Lee Long, 1993 #682" w:history="1">
        <w:r w:rsidR="00305FE7">
          <w:rPr>
            <w:color w:val="000000"/>
          </w:rPr>
          <w:fldChar w:fldCharType="begin"/>
        </w:r>
        <w:r w:rsidR="00305FE7">
          <w:rPr>
            <w:color w:val="000000"/>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305FE7">
          <w:rPr>
            <w:color w:val="000000"/>
          </w:rPr>
          <w:fldChar w:fldCharType="separate"/>
        </w:r>
        <w:r w:rsidR="00305FE7">
          <w:rPr>
            <w:noProof/>
            <w:color w:val="000000"/>
          </w:rPr>
          <w:t>Lee Long</w:t>
        </w:r>
        <w:r w:rsidR="00305FE7" w:rsidRPr="00521D93">
          <w:rPr>
            <w:i/>
            <w:noProof/>
            <w:color w:val="000000"/>
          </w:rPr>
          <w:t xml:space="preserve"> et al.</w:t>
        </w:r>
        <w:r w:rsidR="00305FE7">
          <w:rPr>
            <w:noProof/>
            <w:color w:val="000000"/>
          </w:rPr>
          <w:t xml:space="preserve"> 1993</w:t>
        </w:r>
        <w:r w:rsidR="00305FE7">
          <w:rPr>
            <w:color w:val="000000"/>
          </w:rPr>
          <w:fldChar w:fldCharType="end"/>
        </w:r>
      </w:hyperlink>
      <w:r>
        <w:rPr>
          <w:color w:val="000000"/>
        </w:rPr>
        <w:t xml:space="preserve">). </w:t>
      </w:r>
      <w:r w:rsidRPr="00546CE1">
        <w:t xml:space="preserve">Initial mapping results from the </w:t>
      </w:r>
      <w:r>
        <w:t>Cape York region</w:t>
      </w:r>
      <w:r w:rsidRPr="00546CE1">
        <w:t xml:space="preserve"> were first published in 1985</w:t>
      </w:r>
      <w:r>
        <w:t>, however</w:t>
      </w:r>
      <w:r w:rsidRPr="00F6046A">
        <w:t xml:space="preserve"> </w:t>
      </w:r>
      <w:r w:rsidRPr="00546CE1">
        <w:t>in 2001</w:t>
      </w:r>
      <w:r>
        <w:t xml:space="preserve">, this data </w:t>
      </w:r>
      <w:r w:rsidRPr="00546CE1">
        <w:t xml:space="preserve">was </w:t>
      </w:r>
      <w:r>
        <w:t xml:space="preserve">entered into a relational database, </w:t>
      </w:r>
      <w:r w:rsidRPr="00546CE1">
        <w:t xml:space="preserve">validated </w:t>
      </w:r>
      <w:r>
        <w:t xml:space="preserve">and migrated to </w:t>
      </w:r>
      <w:r w:rsidRPr="00546CE1">
        <w:t>GIS format (</w:t>
      </w:r>
      <w:hyperlink w:anchor="_ENREF_50" w:tooltip="Coles, 2001 #9759" w:history="1">
        <w:r w:rsidR="00305FE7">
          <w:fldChar w:fldCharType="begin"/>
        </w:r>
        <w:r w:rsidR="00305FE7">
          <w:instrText xml:space="preserve"> ADDIN EN.CITE &lt;EndNote&gt;&lt;Cite&gt;&lt;Author&gt;Coles&lt;/Author&gt;&lt;Year&gt;2001&lt;/Year&gt;&lt;RecNum&gt;9759&lt;/RecNum&gt;&lt;DisplayText&gt;Coles&lt;style face="italic"&gt; et al.&lt;/style&gt; 2001c&lt;/DisplayText&gt;&lt;record&gt;&lt;rec-number&gt;9759&lt;/rec-number&gt;&lt;foreign-keys&gt;&lt;key app="EN" db-id="0eve55x9y5vfd6e9dacxtew4eatve2dzds9a" timestamp="1394255786"&gt;9759&lt;/key&gt;&lt;/foreign-keys&gt;&lt;ref-type name="Report"&gt;27&lt;/ref-type&gt;&lt;contributors&gt;&lt;authors&gt;&lt;author&gt;Coles, R G&lt;/author&gt;&lt;author&gt;McKenzie, Len J&lt;/author&gt;&lt;author&gt;Yoshida, Rudi L&lt;/author&gt;&lt;/authors&gt;&lt;/contributors&gt;&lt;titles&gt;&lt;title&gt;Validation and GIS of seagrass surveys between Cape York and Cairns - November 1984&lt;/title&gt;&lt;/titles&gt;&lt;pages&gt;CD Rom.&lt;/pages&gt;&lt;dates&gt;&lt;year&gt;2001&lt;/year&gt;&lt;/dates&gt;&lt;pub-location&gt;Cairns&lt;/pub-location&gt;&lt;publisher&gt;DPI, QFS&lt;/publisher&gt;&lt;urls&gt;&lt;/urls&gt;&lt;/record&gt;&lt;/Cite&gt;&lt;/EndNote&gt;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2001c</w:t>
        </w:r>
        <w:r w:rsidR="00305FE7">
          <w:fldChar w:fldCharType="end"/>
        </w:r>
      </w:hyperlink>
      <w:r w:rsidRPr="00546CE1">
        <w:t>)</w:t>
      </w:r>
      <w:r>
        <w:t xml:space="preserve">. </w:t>
      </w:r>
      <w:r>
        <w:rPr>
          <w:color w:val="000000"/>
        </w:rPr>
        <w:t xml:space="preserve">To complement the nearshore mapping, the </w:t>
      </w:r>
      <w:r>
        <w:t xml:space="preserve">seagrass </w:t>
      </w:r>
      <w:r>
        <w:rPr>
          <w:color w:val="000000"/>
        </w:rPr>
        <w:t>historical baseline for deeper water (15m and deeper) seagrass meadows was established in November 1994 (south of Cape Weymouth) and November 1998 (north of Cape Weymouth) (</w:t>
      </w:r>
      <w:hyperlink w:anchor="_ENREF_43" w:tooltip="Coles, 2009 #9367" w:history="1">
        <w:r w:rsidR="00305FE7">
          <w:rPr>
            <w:color w:val="000000"/>
          </w:rPr>
          <w:fldChar w:fldCharType="begin"/>
        </w:r>
        <w:r w:rsidR="00305FE7">
          <w:rPr>
            <w:color w:val="000000"/>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305FE7">
          <w:rPr>
            <w:color w:val="000000"/>
          </w:rPr>
          <w:fldChar w:fldCharType="separate"/>
        </w:r>
        <w:r w:rsidR="00305FE7">
          <w:rPr>
            <w:noProof/>
            <w:color w:val="000000"/>
          </w:rPr>
          <w:t>Coles</w:t>
        </w:r>
        <w:r w:rsidR="00305FE7" w:rsidRPr="00521D93">
          <w:rPr>
            <w:i/>
            <w:noProof/>
            <w:color w:val="000000"/>
          </w:rPr>
          <w:t xml:space="preserve"> et al.</w:t>
        </w:r>
        <w:r w:rsidR="00305FE7">
          <w:rPr>
            <w:noProof/>
            <w:color w:val="000000"/>
          </w:rPr>
          <w:t xml:space="preserve"> 2009</w:t>
        </w:r>
        <w:r w:rsidR="00305FE7">
          <w:rPr>
            <w:color w:val="000000"/>
          </w:rPr>
          <w:fldChar w:fldCharType="end"/>
        </w:r>
      </w:hyperlink>
      <w:r>
        <w:rPr>
          <w:color w:val="000000"/>
        </w:rPr>
        <w:t>).</w:t>
      </w:r>
    </w:p>
    <w:p w14:paraId="5D8D9B7D" w14:textId="4DE595E5" w:rsidR="00674430" w:rsidRPr="00546CE1" w:rsidRDefault="00674430" w:rsidP="00674430">
      <w:r>
        <w:t xml:space="preserve">Since the historical baselines, there have been several </w:t>
      </w:r>
      <w:r w:rsidRPr="00546CE1">
        <w:t>issued focussed fine</w:t>
      </w:r>
      <w:r>
        <w:t>-</w:t>
      </w:r>
      <w:r w:rsidRPr="00546CE1">
        <w:t xml:space="preserve">scale mapping </w:t>
      </w:r>
      <w:r>
        <w:t xml:space="preserve">surveys and the establishment of monitoring sites for the MMP. </w:t>
      </w:r>
      <w:r w:rsidRPr="00546CE1">
        <w:t>Seagrass meadows have been found from intertidal regions to depths of 6</w:t>
      </w:r>
      <w:r>
        <w:t>1</w:t>
      </w:r>
      <w:r w:rsidRPr="00546CE1">
        <w:t xml:space="preserve">m near Lizard Island </w:t>
      </w:r>
      <w:r>
        <w:rPr>
          <w:color w:val="000000"/>
        </w:rPr>
        <w:t>(</w:t>
      </w:r>
      <w:hyperlink w:anchor="_ENREF_43" w:tooltip="Coles, 2009 #9367" w:history="1">
        <w:r w:rsidR="00305FE7">
          <w:rPr>
            <w:color w:val="000000"/>
          </w:rPr>
          <w:fldChar w:fldCharType="begin"/>
        </w:r>
        <w:r w:rsidR="00305FE7">
          <w:rPr>
            <w:color w:val="000000"/>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305FE7">
          <w:rPr>
            <w:color w:val="000000"/>
          </w:rPr>
          <w:fldChar w:fldCharType="separate"/>
        </w:r>
        <w:r w:rsidR="00305FE7">
          <w:rPr>
            <w:noProof/>
            <w:color w:val="000000"/>
          </w:rPr>
          <w:t>Coles</w:t>
        </w:r>
        <w:r w:rsidR="00305FE7" w:rsidRPr="00521D93">
          <w:rPr>
            <w:i/>
            <w:noProof/>
            <w:color w:val="000000"/>
          </w:rPr>
          <w:t xml:space="preserve"> et al.</w:t>
        </w:r>
        <w:r w:rsidR="00305FE7">
          <w:rPr>
            <w:noProof/>
            <w:color w:val="000000"/>
          </w:rPr>
          <w:t xml:space="preserve"> 2009</w:t>
        </w:r>
        <w:r w:rsidR="00305FE7">
          <w:rPr>
            <w:color w:val="000000"/>
          </w:rPr>
          <w:fldChar w:fldCharType="end"/>
        </w:r>
      </w:hyperlink>
      <w:r>
        <w:rPr>
          <w:color w:val="000000"/>
        </w:rPr>
        <w:t>)</w:t>
      </w:r>
      <w:r w:rsidRPr="00546CE1">
        <w:t xml:space="preserve">. </w:t>
      </w:r>
      <w:r w:rsidRPr="00C60941">
        <w:t>Approximately 1,887 km</w:t>
      </w:r>
      <w:r w:rsidRPr="00C60941">
        <w:rPr>
          <w:vertAlign w:val="superscript"/>
        </w:rPr>
        <w:t>2</w:t>
      </w:r>
      <w:r w:rsidRPr="00C60941">
        <w:t xml:space="preserve"> of seagrass meadows have been mapped in </w:t>
      </w:r>
      <w:r>
        <w:t xml:space="preserve">the </w:t>
      </w:r>
      <w:r w:rsidRPr="00C60941">
        <w:t xml:space="preserve">inshore waters </w:t>
      </w:r>
      <w:r>
        <w:t>of the Cape York region</w:t>
      </w:r>
      <w:r w:rsidRPr="00C60941">
        <w:t xml:space="preserve"> to 15m bMSL (</w:t>
      </w:r>
      <w:hyperlink w:anchor="_ENREF_169" w:tooltip="McKenzie, 2010 #9646" w:history="1">
        <w:r w:rsidR="00305FE7">
          <w:fldChar w:fldCharType="begin"/>
        </w:r>
        <w:r w:rsidR="00305FE7">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fldChar w:fldCharType="separate"/>
        </w:r>
        <w:r w:rsidR="00305FE7">
          <w:rPr>
            <w:noProof/>
          </w:rPr>
          <w:t>McKenzie</w:t>
        </w:r>
        <w:r w:rsidR="00305FE7" w:rsidRPr="00521D93">
          <w:rPr>
            <w:i/>
            <w:noProof/>
          </w:rPr>
          <w:t xml:space="preserve"> et al.</w:t>
        </w:r>
        <w:r w:rsidR="00305FE7">
          <w:rPr>
            <w:noProof/>
          </w:rPr>
          <w:t xml:space="preserve"> 2010c</w:t>
        </w:r>
        <w:r w:rsidR="00305FE7">
          <w:fldChar w:fldCharType="end"/>
        </w:r>
      </w:hyperlink>
      <w:r w:rsidRPr="00C60941">
        <w:t xml:space="preserve">; C. Howley, Unpublished data; </w:t>
      </w:r>
      <w:r w:rsidR="00644A84">
        <w:fldChar w:fldCharType="begin">
          <w:fldData xml:space="preserve">PEVuZE5vdGU+PENpdGU+PEF1dGhvcj5DYXJ0ZXI8L0F1dGhvcj48WWVhcj4yMDEyPC9ZZWFyPjxS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</w:fldData>
        </w:fldChar>
      </w:r>
      <w:r w:rsidR="00521D93">
        <w:instrText xml:space="preserve"> ADDIN EN.CITE </w:instrText>
      </w:r>
      <w:r w:rsidR="00521D93">
        <w:fldChar w:fldCharType="begin">
          <w:fldData xml:space="preserve">PEVuZE5vdGU+PENpdGU+PEF1dGhvcj5DYXJ0ZXI8L0F1dGhvcj48WWVhcj4yMDEyPC9ZZWFyPjxS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</w:fldData>
        </w:fldChar>
      </w:r>
      <w:r w:rsidR="00521D93">
        <w:instrText xml:space="preserve"> ADDIN EN.CITE.DATA </w:instrText>
      </w:r>
      <w:r w:rsidR="00521D93">
        <w:fldChar w:fldCharType="end"/>
      </w:r>
      <w:r w:rsidR="00644A84">
        <w:fldChar w:fldCharType="separate"/>
      </w:r>
      <w:hyperlink w:anchor="_ENREF_33" w:tooltip="Carter, 2012 #10292" w:history="1">
        <w:r w:rsidR="00305FE7">
          <w:rPr>
            <w:noProof/>
          </w:rPr>
          <w:t>Carter</w:t>
        </w:r>
        <w:r w:rsidR="00305FE7" w:rsidRPr="00521D93">
          <w:rPr>
            <w:i/>
            <w:noProof/>
          </w:rPr>
          <w:t xml:space="preserve"> et al.</w:t>
        </w:r>
        <w:r w:rsidR="00305FE7">
          <w:rPr>
            <w:noProof/>
          </w:rPr>
          <w:t xml:space="preserve"> 2012</w:t>
        </w:r>
      </w:hyperlink>
      <w:r w:rsidR="00521D93">
        <w:rPr>
          <w:noProof/>
        </w:rPr>
        <w:t xml:space="preserve">; </w:t>
      </w:r>
      <w:hyperlink w:anchor="_ENREF_34" w:tooltip="Carter, 2013 #10293" w:history="1">
        <w:r w:rsidR="00305FE7">
          <w:rPr>
            <w:noProof/>
          </w:rPr>
          <w:t>Carter and Rasheed 2013</w:t>
        </w:r>
      </w:hyperlink>
      <w:r w:rsidR="00521D93">
        <w:rPr>
          <w:noProof/>
        </w:rPr>
        <w:t xml:space="preserve">; </w:t>
      </w:r>
      <w:hyperlink w:anchor="_ENREF_36" w:tooltip="Carter, 2014 #10307" w:history="1">
        <w:r w:rsidR="00305FE7">
          <w:rPr>
            <w:noProof/>
          </w:rPr>
          <w:t>Carter and Rasheed 2014</w:t>
        </w:r>
      </w:hyperlink>
      <w:r w:rsidR="00521D93">
        <w:rPr>
          <w:noProof/>
        </w:rPr>
        <w:t xml:space="preserve">, </w:t>
      </w:r>
      <w:hyperlink w:anchor="_ENREF_37" w:tooltip="Carter, 2015 #10306" w:history="1">
        <w:r w:rsidR="00305FE7">
          <w:rPr>
            <w:noProof/>
          </w:rPr>
          <w:t>2015</w:t>
        </w:r>
      </w:hyperlink>
      <w:r w:rsidR="00521D93">
        <w:rPr>
          <w:noProof/>
        </w:rPr>
        <w:t xml:space="preserve">; </w:t>
      </w:r>
      <w:hyperlink w:anchor="_ENREF_206" w:tooltip="Saunders, 2015 #10291" w:history="1">
        <w:r w:rsidR="00305FE7">
          <w:rPr>
            <w:noProof/>
          </w:rPr>
          <w:t>Saunders</w:t>
        </w:r>
        <w:r w:rsidR="00305FE7" w:rsidRPr="00521D93">
          <w:rPr>
            <w:i/>
            <w:noProof/>
          </w:rPr>
          <w:t xml:space="preserve"> et al.</w:t>
        </w:r>
        <w:r w:rsidR="00305FE7">
          <w:rPr>
            <w:noProof/>
          </w:rPr>
          <w:t xml:space="preserve"> 2015</w:t>
        </w:r>
      </w:hyperlink>
      <w:r w:rsidR="00644A84">
        <w:fldChar w:fldCharType="end"/>
      </w:r>
      <w:r w:rsidRPr="00C60941">
        <w:t xml:space="preserve">) and </w:t>
      </w:r>
      <w:r>
        <w:t xml:space="preserve">an additional </w:t>
      </w:r>
      <w:r w:rsidRPr="00C60941">
        <w:t>10,878 km</w:t>
      </w:r>
      <w:r w:rsidRPr="00C60941">
        <w:rPr>
          <w:vertAlign w:val="superscript"/>
        </w:rPr>
        <w:t>2</w:t>
      </w:r>
      <w:r w:rsidRPr="00C60941">
        <w:t xml:space="preserve"> in offshore waters (&gt;15m depth)</w:t>
      </w:r>
      <w:r>
        <w:t xml:space="preserve"> (</w:t>
      </w:r>
      <w:hyperlink w:anchor="_ENREF_169" w:tooltip="McKenzie, 2010 #9646" w:history="1">
        <w:r w:rsidR="00305FE7">
          <w:fldChar w:fldCharType="begin"/>
        </w:r>
        <w:r w:rsidR="00305FE7">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fldChar w:fldCharType="separate"/>
        </w:r>
        <w:r w:rsidR="00305FE7">
          <w:rPr>
            <w:noProof/>
          </w:rPr>
          <w:t>McKenzie</w:t>
        </w:r>
        <w:r w:rsidR="00305FE7" w:rsidRPr="00521D93">
          <w:rPr>
            <w:i/>
            <w:noProof/>
          </w:rPr>
          <w:t xml:space="preserve"> et al.</w:t>
        </w:r>
        <w:r w:rsidR="00305FE7">
          <w:rPr>
            <w:noProof/>
          </w:rPr>
          <w:t xml:space="preserve"> 2010c</w:t>
        </w:r>
        <w:r w:rsidR="00305FE7">
          <w:fldChar w:fldCharType="end"/>
        </w:r>
      </w:hyperlink>
      <w:r>
        <w:t>)</w:t>
      </w:r>
      <w:r w:rsidRPr="00546CE1">
        <w:t>.  Approximately 60</w:t>
      </w:r>
      <w:r w:rsidR="0063478C">
        <w:t xml:space="preserve"> per cent</w:t>
      </w:r>
      <w:r w:rsidRPr="00546CE1">
        <w:t xml:space="preserve"> of the </w:t>
      </w:r>
      <w:r>
        <w:t xml:space="preserve">mapped </w:t>
      </w:r>
      <w:r w:rsidRPr="00546CE1">
        <w:t xml:space="preserve">seagrass </w:t>
      </w:r>
      <w:r>
        <w:t>area</w:t>
      </w:r>
      <w:r w:rsidRPr="00546CE1">
        <w:t xml:space="preserve"> in the shallow waters (&lt;15m) of the GBR</w:t>
      </w:r>
      <w:r>
        <w:t>WHA</w:t>
      </w:r>
      <w:r w:rsidRPr="00546CE1">
        <w:t xml:space="preserve"> occurs in the Cape York NRM (</w:t>
      </w:r>
      <w:hyperlink w:anchor="_ENREF_169" w:tooltip="McKenzie, 2010 #9646" w:history="1">
        <w:r w:rsidR="00305FE7">
          <w:fldChar w:fldCharType="begin"/>
        </w:r>
        <w:r w:rsidR="00305FE7">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fldChar w:fldCharType="separate"/>
        </w:r>
        <w:r w:rsidR="00305FE7">
          <w:rPr>
            <w:noProof/>
          </w:rPr>
          <w:t>McKenzie</w:t>
        </w:r>
        <w:r w:rsidR="00305FE7" w:rsidRPr="00521D93">
          <w:rPr>
            <w:i/>
            <w:noProof/>
          </w:rPr>
          <w:t xml:space="preserve"> et al.</w:t>
        </w:r>
        <w:r w:rsidR="00305FE7">
          <w:rPr>
            <w:noProof/>
          </w:rPr>
          <w:t xml:space="preserve"> 2010c</w:t>
        </w:r>
        <w:r w:rsidR="00305FE7">
          <w:fldChar w:fldCharType="end"/>
        </w:r>
      </w:hyperlink>
      <w:r w:rsidRPr="00546CE1">
        <w:t xml:space="preserve">). </w:t>
      </w:r>
      <w:r>
        <w:t>Seagrass meadows in the Cape York region</w:t>
      </w:r>
      <w:r w:rsidRPr="00546CE1">
        <w:t xml:space="preserve"> were characterized by high diversity and relatively small total biomass </w:t>
      </w:r>
      <w:r>
        <w:rPr>
          <w:color w:val="000000"/>
        </w:rPr>
        <w:t>(</w:t>
      </w:r>
      <w:hyperlink w:anchor="_ENREF_136" w:tooltip="Lee Long, 1993 #682" w:history="1">
        <w:r w:rsidR="00305FE7">
          <w:rPr>
            <w:color w:val="000000"/>
          </w:rPr>
          <w:fldChar w:fldCharType="begin"/>
        </w:r>
        <w:r w:rsidR="00305FE7">
          <w:rPr>
            <w:color w:val="000000"/>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305FE7">
          <w:rPr>
            <w:color w:val="000000"/>
          </w:rPr>
          <w:fldChar w:fldCharType="separate"/>
        </w:r>
        <w:r w:rsidR="00305FE7">
          <w:rPr>
            <w:noProof/>
            <w:color w:val="000000"/>
          </w:rPr>
          <w:t>Lee Long</w:t>
        </w:r>
        <w:r w:rsidR="00305FE7" w:rsidRPr="00521D93">
          <w:rPr>
            <w:i/>
            <w:noProof/>
            <w:color w:val="000000"/>
          </w:rPr>
          <w:t xml:space="preserve"> et al.</w:t>
        </w:r>
        <w:r w:rsidR="00305FE7">
          <w:rPr>
            <w:noProof/>
            <w:color w:val="000000"/>
          </w:rPr>
          <w:t xml:space="preserve"> 1993</w:t>
        </w:r>
        <w:r w:rsidR="00305FE7">
          <w:rPr>
            <w:color w:val="000000"/>
          </w:rPr>
          <w:fldChar w:fldCharType="end"/>
        </w:r>
      </w:hyperlink>
      <w:r>
        <w:rPr>
          <w:color w:val="000000"/>
        </w:rPr>
        <w:t xml:space="preserve">). </w:t>
      </w:r>
      <w:r w:rsidRPr="00546CE1">
        <w:t xml:space="preserve">Fifteen species of seagrass have been identified </w:t>
      </w:r>
      <w:r>
        <w:t>in the region</w:t>
      </w:r>
      <w:r w:rsidRPr="00546CE1">
        <w:t xml:space="preserve"> (</w:t>
      </w:r>
      <w:r w:rsidR="00644A84">
        <w:fldChar w:fldCharType="begin">
          <w:fldData xml:space="preserve">PEVuZE5vdGU+PENpdGU+PEF1dGhvcj5Db2xlczwvQXV0aG9yPjxZZWFyPjE5ODU8L1llYXI+PFJl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</w:fldData>
        </w:fldChar>
      </w:r>
      <w:r w:rsidR="00521D93">
        <w:instrText xml:space="preserve"> ADDIN EN.CITE </w:instrText>
      </w:r>
      <w:r w:rsidR="00521D93">
        <w:fldChar w:fldCharType="begin">
          <w:fldData xml:space="preserve">PEVuZE5vdGU+PENpdGU+PEF1dGhvcj5Db2xlczwvQXV0aG9yPjxZZWFyPjE5ODU8L1llYXI+PFJl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</w:fldData>
        </w:fldChar>
      </w:r>
      <w:r w:rsidR="00521D93">
        <w:instrText xml:space="preserve"> ADDIN EN.CITE.DATA </w:instrText>
      </w:r>
      <w:r w:rsidR="00521D93">
        <w:fldChar w:fldCharType="end"/>
      </w:r>
      <w:r w:rsidR="00644A84">
        <w:fldChar w:fldCharType="separate"/>
      </w:r>
      <w:hyperlink w:anchor="_ENREF_46" w:tooltip="Coles, 1985 #521" w:history="1">
        <w:r w:rsidR="00305FE7">
          <w:rPr>
            <w:noProof/>
          </w:rPr>
          <w:t>Coles</w:t>
        </w:r>
        <w:r w:rsidR="00305FE7" w:rsidRPr="00521D93">
          <w:rPr>
            <w:i/>
            <w:noProof/>
          </w:rPr>
          <w:t xml:space="preserve"> et al.</w:t>
        </w:r>
        <w:r w:rsidR="00305FE7">
          <w:rPr>
            <w:noProof/>
          </w:rPr>
          <w:t xml:space="preserve"> 1985</w:t>
        </w:r>
      </w:hyperlink>
      <w:r w:rsidR="00521D93">
        <w:rPr>
          <w:noProof/>
        </w:rPr>
        <w:t xml:space="preserve">; </w:t>
      </w:r>
      <w:hyperlink w:anchor="_ENREF_45" w:tooltip="Coles, 1987 #517" w:history="1">
        <w:r w:rsidR="00305FE7">
          <w:rPr>
            <w:noProof/>
          </w:rPr>
          <w:t>Coles</w:t>
        </w:r>
        <w:r w:rsidR="00305FE7" w:rsidRPr="00521D93">
          <w:rPr>
            <w:i/>
            <w:noProof/>
          </w:rPr>
          <w:t xml:space="preserve"> et al.</w:t>
        </w:r>
        <w:r w:rsidR="00305FE7">
          <w:rPr>
            <w:noProof/>
          </w:rPr>
          <w:t xml:space="preserve"> 1987</w:t>
        </w:r>
      </w:hyperlink>
      <w:r w:rsidR="00521D93">
        <w:rPr>
          <w:noProof/>
        </w:rPr>
        <w:t xml:space="preserve">; </w:t>
      </w:r>
      <w:hyperlink w:anchor="_ENREF_136" w:tooltip="Lee Long, 1993 #682" w:history="1">
        <w:r w:rsidR="00305FE7">
          <w:rPr>
            <w:noProof/>
          </w:rPr>
          <w:t>Lee Long</w:t>
        </w:r>
        <w:r w:rsidR="00305FE7" w:rsidRPr="00521D93">
          <w:rPr>
            <w:i/>
            <w:noProof/>
          </w:rPr>
          <w:t xml:space="preserve"> et al.</w:t>
        </w:r>
        <w:r w:rsidR="00305FE7">
          <w:rPr>
            <w:noProof/>
          </w:rPr>
          <w:t xml:space="preserve"> 1993</w:t>
        </w:r>
      </w:hyperlink>
      <w:r w:rsidR="00521D93">
        <w:rPr>
          <w:noProof/>
        </w:rPr>
        <w:t xml:space="preserve">; </w:t>
      </w:r>
      <w:hyperlink w:anchor="_ENREF_197" w:tooltip="Rasheed, 2005 #9647" w:history="1">
        <w:r w:rsidR="00305FE7">
          <w:rPr>
            <w:noProof/>
          </w:rPr>
          <w:t>Rasheed</w:t>
        </w:r>
        <w:r w:rsidR="00305FE7" w:rsidRPr="00521D93">
          <w:rPr>
            <w:i/>
            <w:noProof/>
          </w:rPr>
          <w:t xml:space="preserve"> et al.</w:t>
        </w:r>
        <w:r w:rsidR="00305FE7">
          <w:rPr>
            <w:noProof/>
          </w:rPr>
          <w:t xml:space="preserve"> 2005b</w:t>
        </w:r>
      </w:hyperlink>
      <w:r w:rsidR="00644A84">
        <w:fldChar w:fldCharType="end"/>
      </w:r>
      <w:r>
        <w:t>)</w:t>
      </w:r>
      <w:r w:rsidRPr="00546CE1">
        <w:t xml:space="preserve">: </w:t>
      </w:r>
      <w:r w:rsidRPr="00DA1B17">
        <w:rPr>
          <w:i/>
        </w:rPr>
        <w:t>Enhalus acoroides, Halodule pinifolia, Halodule uninervis, Halophila capricorni, Halophila decipiens, Halophila minor, Halophila ovalis, Halophila spinulosa, Halophila tricostata, Cymodocea rotundata, Cymodocea serrulata, Syringodium isoetifolium, Thalassia hemprichii, Thalassodendron ciliatum</w:t>
      </w:r>
      <w:r w:rsidRPr="00DA1B17">
        <w:t xml:space="preserve"> and </w:t>
      </w:r>
      <w:r w:rsidRPr="00DA1B17">
        <w:rPr>
          <w:i/>
        </w:rPr>
        <w:t>Zostera muelleri</w:t>
      </w:r>
      <w:r w:rsidRPr="00DA1B17">
        <w:t xml:space="preserve"> ssp. </w:t>
      </w:r>
      <w:r w:rsidRPr="00DA1B17">
        <w:rPr>
          <w:i/>
        </w:rPr>
        <w:t>capricorni</w:t>
      </w:r>
      <w:r w:rsidRPr="00DA1B17">
        <w:t>. Areas notable as</w:t>
      </w:r>
      <w:r w:rsidRPr="00546CE1">
        <w:t xml:space="preserve"> species rich include Barrow Point to Murdoch Point (12 species), Flinders Island and Princess Charlotte Bay (9 species), Weymouth Bay, Cape Direction, Murdoch Point - Lookout Point and Bedford Bay - Cedar Bay (8 species) and Escape River Margaret Bay, Bathurst Bay, Ninian River and Cape Flattery (7 species).</w:t>
      </w:r>
    </w:p>
    <w:p w14:paraId="1C92FA48" w14:textId="7771C013" w:rsidR="00E369D2" w:rsidRDefault="00674430" w:rsidP="00E369D2">
      <w:r w:rsidRPr="00217B0F">
        <w:rPr>
          <w:i/>
        </w:rPr>
        <w:t>Halodule uninervis</w:t>
      </w:r>
      <w:r w:rsidRPr="00546CE1">
        <w:t xml:space="preserve"> and </w:t>
      </w:r>
      <w:r w:rsidRPr="00217B0F">
        <w:rPr>
          <w:i/>
        </w:rPr>
        <w:t xml:space="preserve">Halophila ovalis </w:t>
      </w:r>
      <w:r w:rsidRPr="00546CE1">
        <w:t xml:space="preserve">are the most common species in coastal intertidal areas. </w:t>
      </w:r>
      <w:r w:rsidRPr="00217B0F">
        <w:rPr>
          <w:i/>
        </w:rPr>
        <w:t>Cymodocea serrulata</w:t>
      </w:r>
      <w:r w:rsidRPr="00546CE1">
        <w:t xml:space="preserve"> and </w:t>
      </w:r>
      <w:r w:rsidRPr="00217B0F">
        <w:rPr>
          <w:i/>
        </w:rPr>
        <w:t>Syringodium isoetifolium</w:t>
      </w:r>
      <w:r w:rsidRPr="00546CE1">
        <w:t xml:space="preserve"> are found in shallow subtidal areas that are sheltered from the south-east winds in a variety of habitats including estuaries and muddy bays and reef tops (</w:t>
      </w:r>
      <w:r w:rsidR="00644A84">
        <w:fldChar w:fldCharType="begin">
          <w:fldData xml:space="preserve">PEVuZE5vdGU+PENpdGU+PEF1dGhvcj5Db2xlczwvQXV0aG9yPjxZZWFyPjE5ODc8L1llYXI+PFJl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</w:fldData>
        </w:fldChar>
      </w:r>
      <w:r w:rsidR="00521D93">
        <w:instrText xml:space="preserve"> ADDIN EN.CITE </w:instrText>
      </w:r>
      <w:r w:rsidR="00521D93">
        <w:fldChar w:fldCharType="begin">
          <w:fldData xml:space="preserve">PEVuZE5vdGU+PENpdGU+PEF1dGhvcj5Db2xlczwvQXV0aG9yPjxZZWFyPjE5ODc8L1llYXI+PFJl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</w:fldData>
        </w:fldChar>
      </w:r>
      <w:r w:rsidR="00521D93">
        <w:instrText xml:space="preserve"> ADDIN EN.CITE.DATA </w:instrText>
      </w:r>
      <w:r w:rsidR="00521D93">
        <w:fldChar w:fldCharType="end"/>
      </w:r>
      <w:r w:rsidR="00644A84">
        <w:fldChar w:fldCharType="separate"/>
      </w:r>
      <w:hyperlink w:anchor="_ENREF_45" w:tooltip="Coles, 1987 #517" w:history="1">
        <w:r w:rsidR="00305FE7">
          <w:rPr>
            <w:noProof/>
          </w:rPr>
          <w:t>Coles</w:t>
        </w:r>
        <w:r w:rsidR="00305FE7" w:rsidRPr="00521D93">
          <w:rPr>
            <w:i/>
            <w:noProof/>
          </w:rPr>
          <w:t xml:space="preserve"> et al.</w:t>
        </w:r>
        <w:r w:rsidR="00305FE7">
          <w:rPr>
            <w:noProof/>
          </w:rPr>
          <w:t xml:space="preserve"> 1987</w:t>
        </w:r>
      </w:hyperlink>
      <w:r w:rsidR="00521D93">
        <w:rPr>
          <w:noProof/>
        </w:rPr>
        <w:t xml:space="preserve">; </w:t>
      </w:r>
      <w:hyperlink w:anchor="_ENREF_136" w:tooltip="Lee Long, 1993 #682" w:history="1">
        <w:r w:rsidR="00305FE7">
          <w:rPr>
            <w:noProof/>
          </w:rPr>
          <w:t>Lee Long</w:t>
        </w:r>
        <w:r w:rsidR="00305FE7" w:rsidRPr="00521D93">
          <w:rPr>
            <w:i/>
            <w:noProof/>
          </w:rPr>
          <w:t xml:space="preserve"> et al.</w:t>
        </w:r>
        <w:r w:rsidR="00305FE7">
          <w:rPr>
            <w:noProof/>
          </w:rPr>
          <w:t xml:space="preserve"> 1993</w:t>
        </w:r>
      </w:hyperlink>
      <w:r w:rsidR="00644A84">
        <w:fldChar w:fldCharType="end"/>
      </w:r>
      <w:r w:rsidRPr="00546CE1">
        <w:t xml:space="preserve">). Subtidal meadows of </w:t>
      </w:r>
      <w:r w:rsidRPr="00217B0F">
        <w:rPr>
          <w:i/>
        </w:rPr>
        <w:t>Halophila ovalis</w:t>
      </w:r>
      <w:r w:rsidRPr="00546CE1">
        <w:t xml:space="preserve"> and </w:t>
      </w:r>
      <w:r w:rsidRPr="00217B0F">
        <w:rPr>
          <w:i/>
        </w:rPr>
        <w:t>Halophila spinulosa</w:t>
      </w:r>
      <w:r w:rsidRPr="00546CE1">
        <w:t xml:space="preserve"> are also quite extensive (</w:t>
      </w:r>
      <w:hyperlink w:anchor="_ENREF_136" w:tooltip="Lee Long, 1993 #682" w:history="1">
        <w:r w:rsidR="00305FE7">
          <w:fldChar w:fldCharType="begin"/>
        </w:r>
        <w:r w:rsidR="00305FE7">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305FE7">
          <w:fldChar w:fldCharType="separate"/>
        </w:r>
        <w:r w:rsidR="00305FE7">
          <w:rPr>
            <w:noProof/>
          </w:rPr>
          <w:t>Lee Long</w:t>
        </w:r>
        <w:r w:rsidR="00305FE7" w:rsidRPr="00521D93">
          <w:rPr>
            <w:i/>
            <w:noProof/>
          </w:rPr>
          <w:t xml:space="preserve"> et al.</w:t>
        </w:r>
        <w:r w:rsidR="00305FE7">
          <w:rPr>
            <w:noProof/>
          </w:rPr>
          <w:t xml:space="preserve"> 1993</w:t>
        </w:r>
        <w:r w:rsidR="00305FE7">
          <w:fldChar w:fldCharType="end"/>
        </w:r>
      </w:hyperlink>
      <w:r w:rsidRPr="00546CE1">
        <w:t xml:space="preserve">). Species common on coral reef platforms include </w:t>
      </w:r>
      <w:r w:rsidRPr="00217B0F">
        <w:rPr>
          <w:i/>
        </w:rPr>
        <w:t>Thalassia hemprichii</w:t>
      </w:r>
      <w:r w:rsidRPr="00546CE1">
        <w:t xml:space="preserve"> and </w:t>
      </w:r>
      <w:r w:rsidRPr="00217B0F">
        <w:rPr>
          <w:i/>
        </w:rPr>
        <w:t>Cymodocea rotundata</w:t>
      </w:r>
      <w:r w:rsidRPr="00546CE1">
        <w:t>, generally around islands and on vegetated cays (</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644A84">
          <w:rPr>
            <w:i/>
            <w:noProof/>
          </w:rPr>
          <w:t xml:space="preserve"> et al.</w:t>
        </w:r>
        <w:r w:rsidR="00305FE7">
          <w:rPr>
            <w:noProof/>
          </w:rPr>
          <w:t xml:space="preserve"> 2007</w:t>
        </w:r>
        <w:r w:rsidR="00305FE7">
          <w:fldChar w:fldCharType="end"/>
        </w:r>
      </w:hyperlink>
      <w:r w:rsidRPr="00546CE1">
        <w:t xml:space="preserve">). </w:t>
      </w:r>
      <w:r w:rsidRPr="00217B0F">
        <w:rPr>
          <w:i/>
        </w:rPr>
        <w:t>Enhalus acoroides</w:t>
      </w:r>
      <w:r w:rsidRPr="00546CE1">
        <w:t xml:space="preserve"> is </w:t>
      </w:r>
      <w:r>
        <w:t>usually</w:t>
      </w:r>
      <w:r w:rsidRPr="00546CE1">
        <w:t xml:space="preserve"> found as small isolated patches in sheltered embayments (</w:t>
      </w:r>
      <w:r w:rsidR="00644A84">
        <w:fldChar w:fldCharType="begin"/>
      </w:r>
      <w:r w:rsidR="005B0C7C">
        <w:instrText xml:space="preserve"> ADDIN EN.CITE &lt;EndNote&gt;&lt;Cite&gt;&lt;Author&gt;Womersley&lt;/Author&gt;&lt;Year&gt;1981&lt;/Year&gt;&lt;RecNum&gt;10310&lt;/RecNum&gt;&lt;DisplayText&gt;Womersley 1981; Coles&lt;style face="italic"&gt; et al.&lt;/style&gt; 2003&lt;/DisplayText&gt;&lt;record&gt;&lt;rec-number&gt;10310&lt;/rec-number&gt;&lt;foreign-keys&gt;&lt;key app="EN" db-id="0eve55x9y5vfd6e9dacxtew4eatve2dzds9a" timestamp="1441436156"&gt;10310&lt;/key&gt;&lt;/foreign-keys&gt;&lt;ref-type name="Edited Book"&gt;28&lt;/ref-type&gt;&lt;contributors&gt;&lt;authors&gt;&lt;author&gt;Womersley, HBS&lt;/author&gt;&lt;/authors&gt;&lt;secondary-authors&gt;&lt;author&gt;Clayton, M&lt;/author&gt;&lt;author&gt;King, R&lt;/author&gt;&lt;/secondary-authors&gt;&lt;/contributors&gt;&lt;titles&gt;&lt;title&gt;Marine Ecology and zonation of temperate coasts&lt;/title&gt;&lt;secondary-title&gt;Marine Botany: An Australian Perspective&lt;/secondary-title&gt;&lt;/titles&gt;&lt;dates&gt;&lt;year&gt;1981&lt;/year&gt;&lt;/dates&gt;&lt;pub-location&gt;Melbourne&lt;/pub-location&gt;&lt;publisher&gt;Longman Chieshire&lt;/publisher&gt;&lt;urls&gt;&lt;/urls&gt;&lt;/record&gt;&lt;/Cite&gt;&lt;Cite&gt;&lt;Author&gt;Coles&lt;/Author&gt;&lt;Year&gt;2003&lt;/Year&gt;&lt;RecNum&gt;7281&lt;/RecNum&gt;&lt;record&gt;&lt;rec-number&gt;7281&lt;/rec-number&gt;&lt;foreign-keys&gt;&lt;key app="EN" db-id="0eve55x9y5vfd6e9dacxtew4eatve2dzds9a" timestamp="0"&gt;7281&lt;/key&gt;&lt;/foreign-keys&gt;&lt;ref-type name="Book Section"&gt;5&lt;/ref-type&gt;&lt;contributors&gt;&lt;authors&gt;&lt;author&gt;Coles, R&lt;/author&gt;&lt;author&gt;McKenzie, Len J&lt;/author&gt;&lt;author&gt;Campbell, S&lt;/author&gt;&lt;/authors&gt;&lt;secondary-authors&gt;&lt;author&gt;Green, E P&lt;/author&gt;&lt;author&gt;Short, F T&lt;/author&gt;&lt;/secondary-authors&gt;&lt;/contributors&gt;&lt;titles&gt;&lt;title&gt;The seagrasses of Eastern Australia&lt;/title&gt;&lt;secondary-title&gt;The World Atlas of Seagrasses: present status and future conservation.&lt;/secondary-title&gt;&lt;/titles&gt;&lt;pages&gt;119-133&lt;/pages&gt;&lt;section&gt;11&lt;/section&gt;&lt;dates&gt;&lt;year&gt;2003&lt;/year&gt;&lt;/dates&gt;&lt;pub-location&gt;Los Angeles, USA&lt;/pub-location&gt;&lt;publisher&gt;University of California Press&lt;/publisher&gt;&lt;isbn&gt;0-520-24047-2&lt;/isbn&gt;&lt;urls&gt;&lt;/urls&gt;&lt;/record&gt;&lt;/Cite&gt;&lt;/EndNote&gt;</w:instrText>
      </w:r>
      <w:r w:rsidR="00644A84">
        <w:fldChar w:fldCharType="separate"/>
      </w:r>
      <w:hyperlink w:anchor="_ENREF_241" w:tooltip="Womersley, 1981 #10310" w:history="1">
        <w:r w:rsidR="00305FE7">
          <w:rPr>
            <w:noProof/>
          </w:rPr>
          <w:t>Womersley 1981</w:t>
        </w:r>
      </w:hyperlink>
      <w:r w:rsidR="00644A84">
        <w:rPr>
          <w:noProof/>
        </w:rPr>
        <w:t xml:space="preserve">; </w:t>
      </w:r>
      <w:hyperlink w:anchor="_ENREF_42" w:tooltip="Coles, 2003 #7281" w:history="1">
        <w:r w:rsidR="00305FE7">
          <w:rPr>
            <w:noProof/>
          </w:rPr>
          <w:t>Coles</w:t>
        </w:r>
        <w:r w:rsidR="00305FE7" w:rsidRPr="00644A84">
          <w:rPr>
            <w:i/>
            <w:noProof/>
          </w:rPr>
          <w:t xml:space="preserve"> et al.</w:t>
        </w:r>
        <w:r w:rsidR="00305FE7">
          <w:rPr>
            <w:noProof/>
          </w:rPr>
          <w:t xml:space="preserve"> 2003</w:t>
        </w:r>
      </w:hyperlink>
      <w:r w:rsidR="00644A84">
        <w:fldChar w:fldCharType="end"/>
      </w:r>
      <w:r w:rsidRPr="00546CE1">
        <w:t>).  Sites that have been revisited since the broadscale surveys in the mid 1980s show that seagrasses generally occurred in similar areas but when surveyed at a finer scale were more extensive (</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rsidRPr="00546CE1">
        <w:t>).</w:t>
      </w:r>
      <w:r w:rsidR="00E369D2">
        <w:t xml:space="preserve"> </w:t>
      </w:r>
    </w:p>
    <w:p w14:paraId="4D9856E6" w14:textId="0134DA61" w:rsidR="00E369D2" w:rsidRDefault="00E369D2" w:rsidP="00E369D2">
      <w:r w:rsidRPr="00546CE1">
        <w:t xml:space="preserve">Seagrasses in </w:t>
      </w:r>
      <w:r>
        <w:t xml:space="preserve">the </w:t>
      </w:r>
      <w:r w:rsidRPr="00546CE1">
        <w:t>deep</w:t>
      </w:r>
      <w:r>
        <w:t>er</w:t>
      </w:r>
      <w:r w:rsidRPr="00546CE1">
        <w:t xml:space="preserve"> water</w:t>
      </w:r>
      <w:r>
        <w:t>s</w:t>
      </w:r>
      <w:r w:rsidRPr="00546CE1">
        <w:t xml:space="preserve"> (&gt;15m) have been </w:t>
      </w:r>
      <w:r>
        <w:t xml:space="preserve">assessed </w:t>
      </w:r>
      <w:r w:rsidRPr="00546CE1">
        <w:t>twice</w:t>
      </w:r>
      <w:r>
        <w:t>;</w:t>
      </w:r>
      <w:r w:rsidRPr="00546CE1">
        <w:t xml:space="preserve"> once between 1994 and 1999 (</w:t>
      </w:r>
      <w:hyperlink w:anchor="_ENREF_43" w:tooltip="Coles, 2009 #9367" w:history="1">
        <w:r w:rsidR="00305FE7">
          <w:fldChar w:fldCharType="begin"/>
        </w:r>
        <w:r w:rsidR="00305FE7">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2009</w:t>
        </w:r>
        <w:r w:rsidR="00305FE7">
          <w:fldChar w:fldCharType="end"/>
        </w:r>
      </w:hyperlink>
      <w:r w:rsidRPr="00546CE1">
        <w:t>) and again between 2003 and 2006 (</w:t>
      </w:r>
      <w:hyperlink w:anchor="_ENREF_190" w:tooltip="Pitcher, 2007 #9878" w:history="1">
        <w:r w:rsidR="00305FE7">
          <w:fldChar w:fldCharType="begin">
            <w:fldData xml:space="preserve">PEVuZE5vdGU+PENpdGU+PEF1dGhvcj5QaXRjaGVyPC9BdXRob3I+PFllYXI+MjAwNzwvWWVhcj48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</w:fldData>
          </w:fldChar>
        </w:r>
        <w:r w:rsidR="00305FE7">
          <w:instrText xml:space="preserve"> ADDIN EN.CITE </w:instrText>
        </w:r>
        <w:r w:rsidR="00305FE7">
          <w:fldChar w:fldCharType="begin">
            <w:fldData xml:space="preserve">PEVuZE5vdGU+PENpdGU+PEF1dGhvcj5QaXRjaGVyPC9BdXRob3I+PFllYXI+MjAwNzwvWWVhcj48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</w:fldData>
          </w:fldChar>
        </w:r>
        <w:r w:rsidR="00305FE7">
          <w:instrText xml:space="preserve"> ADDIN EN.CITE.DATA </w:instrText>
        </w:r>
        <w:r w:rsidR="00305FE7">
          <w:fldChar w:fldCharType="end"/>
        </w:r>
        <w:r w:rsidR="00305FE7">
          <w:fldChar w:fldCharType="separate"/>
        </w:r>
        <w:r w:rsidR="00305FE7">
          <w:rPr>
            <w:noProof/>
          </w:rPr>
          <w:t>Pitcher</w:t>
        </w:r>
        <w:r w:rsidR="00305FE7" w:rsidRPr="00644A84">
          <w:rPr>
            <w:i/>
            <w:noProof/>
          </w:rPr>
          <w:t xml:space="preserve"> et al.</w:t>
        </w:r>
        <w:r w:rsidR="00305FE7">
          <w:rPr>
            <w:noProof/>
          </w:rPr>
          <w:t xml:space="preserve"> 2007</w:t>
        </w:r>
        <w:r w:rsidR="00305FE7">
          <w:fldChar w:fldCharType="end"/>
        </w:r>
      </w:hyperlink>
      <w:r w:rsidRPr="00546CE1">
        <w:t>). The modelled distribution of seagrass species for both time periods shows spatial discontinuities in deep water seagrass meadows along the north-south axis with a low probability of seagrass being present north of Princess Charlotte Bay and extensive seagrass areas in the south of the region extending out from the coast in the Lizard Island region (</w:t>
      </w:r>
      <w:r w:rsidR="00644A84">
        <w:fldChar w:fldCharType="begin"/>
      </w:r>
      <w:r w:rsidR="00521D93">
        <w:instrText xml:space="preserve"> ADDIN EN.CITE &lt;EndNote&gt;&lt;Cite&gt;&lt;Author&gt;De’ath&lt;/Author&gt;&lt;Year&gt;2007&lt;/Year&gt;&lt;RecNum&gt;9879&lt;/RecNum&gt;&lt;DisplayText&gt;De’ath&lt;style face="italic"&gt; et al.&lt;/style&gt; 2007; Coles&lt;style face="italic"&gt; et al.&lt;/style&gt; 2009&lt;/DisplayText&gt;&lt;record&gt;&lt;rec-number&gt;9879&lt;/rec-number&gt;&lt;foreign-keys&gt;&lt;key app="EN" db-id="0eve55x9y5vfd6e9dacxtew4eatve2dzds9a" timestamp="1405632315"&gt;9879&lt;/key&gt;&lt;/foreign-keys&gt;&lt;ref-type name="Book"&gt;6&lt;/ref-type&gt;&lt;contributors&gt;&lt;authors&gt;&lt;author&gt;De’ath, G&lt;/author&gt;&lt;author&gt;Coles, R&lt;/author&gt;&lt;author&gt;McKenzie, Len J&lt;/author&gt;&lt;author&gt;Pitcher, R&lt;/author&gt;&lt;/authors&gt;&lt;/contributors&gt;&lt;titles&gt;&lt;title&gt;Spatial Distributions and temporal change in distributions of deep water seagrasses in the GRR region. QDPI&amp;amp;F report to MTSRF &lt;/title&gt;&lt;/titles&gt;&lt;section&gt;19&lt;/section&gt;&lt;dates&gt;&lt;year&gt;2007&lt;/year&gt;&lt;/dates&gt;&lt;pub-location&gt;Cairns&lt;/pub-location&gt;&lt;publisher&gt;QDPIF&lt;/publisher&gt;&lt;urls&gt;&lt;/urls&gt;&lt;/record&gt;&lt;/Cite&gt;&lt;Cite&gt;&lt;Author&gt;Coles&lt;/Author&gt;&lt;Year&gt;2009&lt;/Year&gt;&lt;RecNum&gt;9367&lt;/RecNum&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644A84">
        <w:fldChar w:fldCharType="separate"/>
      </w:r>
      <w:hyperlink w:anchor="_ENREF_74" w:tooltip="De’ath, 2007 #9879" w:history="1">
        <w:r w:rsidR="00305FE7">
          <w:rPr>
            <w:noProof/>
          </w:rPr>
          <w:t>De’ath</w:t>
        </w:r>
        <w:r w:rsidR="00305FE7" w:rsidRPr="00521D93">
          <w:rPr>
            <w:i/>
            <w:noProof/>
          </w:rPr>
          <w:t xml:space="preserve"> et al.</w:t>
        </w:r>
        <w:r w:rsidR="00305FE7">
          <w:rPr>
            <w:noProof/>
          </w:rPr>
          <w:t xml:space="preserve"> 2007</w:t>
        </w:r>
      </w:hyperlink>
      <w:r w:rsidR="00521D93">
        <w:rPr>
          <w:noProof/>
        </w:rPr>
        <w:t xml:space="preserve">; </w:t>
      </w:r>
      <w:hyperlink w:anchor="_ENREF_43" w:tooltip="Coles, 2009 #9367" w:history="1">
        <w:r w:rsidR="00305FE7">
          <w:rPr>
            <w:noProof/>
          </w:rPr>
          <w:t>Coles</w:t>
        </w:r>
        <w:r w:rsidR="00305FE7" w:rsidRPr="00521D93">
          <w:rPr>
            <w:i/>
            <w:noProof/>
          </w:rPr>
          <w:t xml:space="preserve"> et al.</w:t>
        </w:r>
        <w:r w:rsidR="00305FE7">
          <w:rPr>
            <w:noProof/>
          </w:rPr>
          <w:t xml:space="preserve"> 2009</w:t>
        </w:r>
      </w:hyperlink>
      <w:r w:rsidR="00644A84">
        <w:fldChar w:fldCharType="end"/>
      </w:r>
      <w:r w:rsidRPr="00546CE1">
        <w:t xml:space="preserve">). </w:t>
      </w:r>
      <w:r w:rsidRPr="00A902A7">
        <w:rPr>
          <w:i/>
        </w:rPr>
        <w:t>Halophila ovalis, Halophila spinulosa, Halophila tricostata, Halophila decipiens</w:t>
      </w:r>
      <w:r w:rsidRPr="00546CE1">
        <w:t xml:space="preserve"> and </w:t>
      </w:r>
      <w:r w:rsidRPr="00A902A7">
        <w:rPr>
          <w:i/>
        </w:rPr>
        <w:t>Halophila capricorni</w:t>
      </w:r>
      <w:r w:rsidRPr="00546CE1">
        <w:t xml:space="preserve"> dominated the meadows in both surveys. The distribution of deepwater seagrasses appears to be mainly influenced by water clarity and a combination of propagule dispersal, nutrient supply, and current stress.  </w:t>
      </w:r>
      <w:r>
        <w:t>Unfortunately monitoring in the deeper waters is beyond the scope of the MMP funds</w:t>
      </w:r>
      <w:r w:rsidR="003503F4">
        <w:t xml:space="preserve"> and o</w:t>
      </w:r>
      <w:r>
        <w:t xml:space="preserve">nly </w:t>
      </w:r>
      <w:r w:rsidR="003503F4">
        <w:t xml:space="preserve">intertidal </w:t>
      </w:r>
      <w:r>
        <w:t xml:space="preserve">reef and coastal seagrass habitats </w:t>
      </w:r>
      <w:r w:rsidR="003503F4">
        <w:t>are currently</w:t>
      </w:r>
      <w:r>
        <w:t xml:space="preserve"> monitored.</w:t>
      </w:r>
    </w:p>
    <w:p w14:paraId="684A9EFA" w14:textId="49910FA9" w:rsidR="00035426" w:rsidRDefault="00035426" w:rsidP="00035426">
      <w:r>
        <w:t>Reef habitats in the Cape York region support diverse seagrass assemblages. Approximately 3</w:t>
      </w:r>
      <w:r w:rsidR="0063478C">
        <w:t xml:space="preserve"> per cent</w:t>
      </w:r>
      <w:r>
        <w:t xml:space="preserve"> of all mapped seagrass meadows in the Cape York region are located on fringing-reefs </w:t>
      </w:r>
      <w:r w:rsidR="003503F4" w:rsidRPr="00546CE1">
        <w:t>(</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rsidR="003503F4" w:rsidRPr="00546CE1">
        <w:t>)</w:t>
      </w:r>
      <w:r>
        <w:t>. In these environments, physical disturbance from waves and swell and associated sediment movement primarily control seagrass growth (</w:t>
      </w:r>
      <w:r w:rsidR="00010926">
        <w:rPr>
          <w:color w:val="0000FF"/>
        </w:rPr>
        <w:fldChar w:fldCharType="begin"/>
      </w:r>
      <w:r w:rsidR="00010926">
        <w:instrText xml:space="preserve"> REF _Ref442553694 \h </w:instrText>
      </w:r>
      <w:r w:rsidR="00010926">
        <w:rPr>
          <w:color w:val="0000FF"/>
        </w:rPr>
      </w:r>
      <w:r w:rsidR="00010926">
        <w:rPr>
          <w:color w:val="0000FF"/>
        </w:rPr>
        <w:fldChar w:fldCharType="separate"/>
      </w:r>
      <w:r w:rsidR="00F87DF9">
        <w:rPr>
          <w:color w:val="000000"/>
        </w:rPr>
        <w:t xml:space="preserve">Figure </w:t>
      </w:r>
      <w:r w:rsidR="00F87DF9">
        <w:rPr>
          <w:noProof/>
          <w:color w:val="000000"/>
        </w:rPr>
        <w:t>122</w:t>
      </w:r>
      <w:r w:rsidR="00010926">
        <w:rPr>
          <w:color w:val="0000FF"/>
        </w:rPr>
        <w:fldChar w:fldCharType="end"/>
      </w:r>
      <w:r>
        <w:t>). Shallow unstable sediment, fluctuating temperature, and variable salinity also characterize these habitats. Sediment movement due to bioturbation and prevalent wave exposure creates an unstable environment where it is difficult for seagrass seedlings to establish or persist.</w:t>
      </w:r>
    </w:p>
    <w:p w14:paraId="11C1CC77" w14:textId="77777777" w:rsidR="00035426" w:rsidRDefault="00035426" w:rsidP="008A429D"/>
    <w:p w14:paraId="52CDBD6F"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32C6490C" wp14:editId="7BED2640">
            <wp:extent cx="5762625" cy="2191385"/>
            <wp:effectExtent l="0" t="0" r="9525" b="0"/>
            <wp:docPr id="10219" name="Picture 10219" descr="Conceptual diagram of seagrass meadow processes for reef habitats in the Cape York region showing major control is pulsed physical disturbance,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pe_York_NRM_reef"/>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14:paraId="39E91AC0" w14:textId="176B87D4" w:rsidR="00035426" w:rsidRDefault="00035426" w:rsidP="00035426">
      <w:pPr>
        <w:rPr>
          <w:i/>
          <w:vanish/>
          <w:color w:val="000000"/>
          <w:szCs w:val="22"/>
          <w:specVanish/>
        </w:rPr>
      </w:pPr>
      <w:bookmarkStart w:id="905" w:name="_Ref442553694"/>
      <w:bookmarkStart w:id="906" w:name="_Toc516053332"/>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122</w:t>
      </w:r>
      <w:r w:rsidR="0073595B">
        <w:rPr>
          <w:color w:val="000000"/>
        </w:rPr>
        <w:fldChar w:fldCharType="end"/>
      </w:r>
      <w:bookmarkEnd w:id="905"/>
      <w:r>
        <w:rPr>
          <w:color w:val="000000"/>
        </w:rPr>
        <w:t xml:space="preserve">. </w:t>
      </w:r>
      <w:r>
        <w:rPr>
          <w:i/>
          <w:color w:val="000000"/>
        </w:rPr>
        <w:t>Conceptual diagram of reef habitat in the Cape York region</w:t>
      </w:r>
      <w:bookmarkEnd w:id="906"/>
    </w:p>
    <w:p w14:paraId="3EB3FFE8" w14:textId="2A18E983" w:rsidR="00035426" w:rsidRDefault="00035426" w:rsidP="00035426">
      <w:pPr>
        <w:rPr>
          <w:color w:val="000000"/>
        </w:rPr>
      </w:pPr>
      <w:r>
        <w:rPr>
          <w:i/>
          <w:color w:val="000000"/>
        </w:rPr>
        <w:t xml:space="preserve"> – major control is pulsed physical disturbance, salinity and temperature extremes: general habitat and seagrass meadow processes (see </w:t>
      </w:r>
      <w:r w:rsidR="00010926">
        <w:rPr>
          <w:i/>
          <w:color w:val="000000"/>
        </w:rPr>
        <w:fldChar w:fldCharType="begin"/>
      </w:r>
      <w:r w:rsidR="00010926">
        <w:rPr>
          <w:i/>
          <w:color w:val="000000"/>
        </w:rPr>
        <w:instrText xml:space="preserve"> REF _Ref442553728 \h </w:instrText>
      </w:r>
      <w:r w:rsidR="00010926">
        <w:rPr>
          <w:i/>
          <w:color w:val="000000"/>
        </w:rPr>
      </w:r>
      <w:r w:rsidR="00010926">
        <w:rPr>
          <w:i/>
          <w:color w:val="000000"/>
        </w:rPr>
        <w:fldChar w:fldCharType="separate"/>
      </w:r>
      <w:r w:rsidR="00F87DF9">
        <w:rPr>
          <w:color w:val="000000"/>
          <w:szCs w:val="22"/>
        </w:rPr>
        <w:t xml:space="preserve">Figure </w:t>
      </w:r>
      <w:r w:rsidR="00F87DF9">
        <w:rPr>
          <w:noProof/>
          <w:color w:val="000000"/>
          <w:szCs w:val="22"/>
        </w:rPr>
        <w:t>136</w:t>
      </w:r>
      <w:r w:rsidR="00010926">
        <w:rPr>
          <w:i/>
          <w:color w:val="000000"/>
        </w:rPr>
        <w:fldChar w:fldCharType="end"/>
      </w:r>
      <w:r w:rsidR="00010926">
        <w:rPr>
          <w:i/>
          <w:color w:val="000000"/>
        </w:rPr>
        <w:t xml:space="preserve"> </w:t>
      </w:r>
      <w:r>
        <w:rPr>
          <w:i/>
          <w:color w:val="000000"/>
        </w:rPr>
        <w:t>for icon explanation).</w:t>
      </w:r>
      <w:r>
        <w:rPr>
          <w:color w:val="000000"/>
        </w:rPr>
        <w:t xml:space="preserve"> </w:t>
      </w:r>
    </w:p>
    <w:p w14:paraId="1A6D3E0D" w14:textId="77777777" w:rsidR="00035426" w:rsidRPr="00035426" w:rsidRDefault="00035426" w:rsidP="00035426"/>
    <w:p w14:paraId="6BF2393C" w14:textId="1CD59A99" w:rsidR="00035426" w:rsidRPr="00035426" w:rsidRDefault="00035426" w:rsidP="00035426">
      <w:r w:rsidRPr="00035426">
        <w:t xml:space="preserve">Seagrass meadows on inshore reef habitats were monitored at </w:t>
      </w:r>
      <w:r w:rsidRPr="003117E2">
        <w:rPr>
          <w:color w:val="0000FF"/>
        </w:rPr>
        <w:t xml:space="preserve">3 </w:t>
      </w:r>
      <w:r w:rsidRPr="00035426">
        <w:t>locations, from the north of the region (12.25°S), to the south (15.6°S) (</w:t>
      </w:r>
      <w:r w:rsidR="00010926">
        <w:rPr>
          <w:color w:val="0000FF"/>
        </w:rPr>
        <w:fldChar w:fldCharType="begin"/>
      </w:r>
      <w:r w:rsidR="00010926">
        <w:instrText xml:space="preserve"> REF _Ref236539751 \h </w:instrText>
      </w:r>
      <w:r w:rsidR="00010926">
        <w:rPr>
          <w:color w:val="0000FF"/>
        </w:rPr>
      </w:r>
      <w:r w:rsidR="00010926">
        <w:rPr>
          <w:color w:val="0000FF"/>
        </w:rPr>
        <w:fldChar w:fldCharType="separate"/>
      </w:r>
      <w:r w:rsidR="00F87DF9" w:rsidRPr="00015190">
        <w:rPr>
          <w:color w:val="000000"/>
          <w:szCs w:val="22"/>
        </w:rPr>
        <w:t xml:space="preserve">Table </w:t>
      </w:r>
      <w:r w:rsidR="00F87DF9">
        <w:rPr>
          <w:noProof/>
          <w:color w:val="000000"/>
          <w:szCs w:val="22"/>
        </w:rPr>
        <w:t>3</w:t>
      </w:r>
      <w:r w:rsidR="00010926">
        <w:rPr>
          <w:color w:val="0000FF"/>
        </w:rPr>
        <w:fldChar w:fldCharType="end"/>
      </w:r>
      <w:r w:rsidRPr="00035426">
        <w:t>).  The most southern location (Archer Point) includes a legacy site which has been monitored over the longest time period for the region. The sites at Archer Point were located in a sheltered section of bay adjacent to Archer Point, fringed by mangroves, approximately 15km south of Cooktown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F87DF9">
        <w:rPr>
          <w:color w:val="000000"/>
        </w:rPr>
        <w:t xml:space="preserve">Figure </w:t>
      </w:r>
      <w:r w:rsidR="00F87DF9">
        <w:rPr>
          <w:noProof/>
          <w:color w:val="000000"/>
        </w:rPr>
        <w:t>200</w:t>
      </w:r>
      <w:r w:rsidR="00010926">
        <w:rPr>
          <w:color w:val="0000FF"/>
        </w:rPr>
        <w:fldChar w:fldCharType="end"/>
      </w:r>
      <w:r w:rsidRPr="00035426">
        <w:t>). There are two major rivers within the immediate area: the Endeavour and the Annan River. The Endeavour River is the larger of the two river systems and has a catchment area of approximately 992 km</w:t>
      </w:r>
      <w:r w:rsidRPr="003503F4">
        <w:rPr>
          <w:vertAlign w:val="superscript"/>
        </w:rPr>
        <w:t>2</w:t>
      </w:r>
      <w:r w:rsidRPr="00035426">
        <w:t>. The Annan River is located approximately 5 km south of Cooktown and extends inland from Walker Bay. The Annan River catchment area is approximately 850 km</w:t>
      </w:r>
      <w:r w:rsidRPr="003503F4">
        <w:rPr>
          <w:vertAlign w:val="superscript"/>
        </w:rPr>
        <w:t>2</w:t>
      </w:r>
      <w:r w:rsidRPr="00035426">
        <w:t xml:space="preserve"> (</w:t>
      </w:r>
      <w:hyperlink w:anchor="_ENREF_118" w:tooltip="Hortle, 1990 #9672" w:history="1">
        <w:r w:rsidR="00305FE7">
          <w:fldChar w:fldCharType="begin"/>
        </w:r>
        <w:r w:rsidR="00305FE7">
          <w:instrText xml:space="preserve"> ADDIN EN.CITE &lt;EndNote&gt;&lt;Cite&gt;&lt;Author&gt;Hortle&lt;/Author&gt;&lt;Year&gt;1990&lt;/Year&gt;&lt;RecNum&gt;9672&lt;/RecNum&gt;&lt;DisplayText&gt;Hortle and Person 1990&lt;/DisplayText&gt;&lt;record&gt;&lt;rec-number&gt;9672&lt;/rec-number&gt;&lt;foreign-keys&gt;&lt;key app="EN" db-id="0eve55x9y5vfd6e9dacxtew4eatve2dzds9a" timestamp="1392363520"&gt;9672&lt;/key&gt;&lt;/foreign-keys&gt;&lt;ref-type name="Journal Article"&gt;17&lt;/ref-type&gt;&lt;contributors&gt;&lt;authors&gt;&lt;author&gt;Hortle, KG&lt;/author&gt;&lt;author&gt;Person, RG&lt;/author&gt;&lt;/authors&gt;&lt;/contributors&gt;&lt;titles&gt;&lt;title&gt;Fauna of the Annan River System, far North Queensland, with reference to the Impact of Tin Mining. I. Fishes&lt;/title&gt;&lt;secondary-title&gt;Marine and Freshwater Research&lt;/secondary-title&gt;&lt;/titles&gt;&lt;periodical&gt;&lt;full-title&gt;Marine and Freshwater Research&lt;/full-title&gt;&lt;/periodical&gt;&lt;pages&gt;677-694&lt;/pages&gt;&lt;volume&gt;41&lt;/volume&gt;&lt;number&gt;6&lt;/number&gt;&lt;dates&gt;&lt;year&gt;1990&lt;/year&gt;&lt;/dates&gt;&lt;urls&gt;&lt;related-urls&gt;&lt;url&gt;http://www.publish.csiro.au/paper/MF9900677&lt;/url&gt;&lt;/related-urls&gt;&lt;/urls&gt;&lt;electronic-resource-num&gt;http://dx.doi.org/10.1071/MF9900677&lt;/electronic-resource-num&gt;&lt;/record&gt;&lt;/Cite&gt;&lt;/EndNote&gt;</w:instrText>
        </w:r>
        <w:r w:rsidR="00305FE7">
          <w:fldChar w:fldCharType="separate"/>
        </w:r>
        <w:r w:rsidR="00305FE7">
          <w:rPr>
            <w:noProof/>
          </w:rPr>
          <w:t>Hortle and Person 1990</w:t>
        </w:r>
        <w:r w:rsidR="00305FE7">
          <w:fldChar w:fldCharType="end"/>
        </w:r>
      </w:hyperlink>
      <w:r w:rsidRPr="00035426">
        <w:t xml:space="preserve">). </w:t>
      </w:r>
    </w:p>
    <w:p w14:paraId="468A9BB2" w14:textId="386BC70C" w:rsidR="00035426" w:rsidRDefault="00035426" w:rsidP="00035426">
      <w:r w:rsidRPr="00035426">
        <w:t>The other two reef habitat locations were included for monitoring from early 2012: Stanley Island and Piper Reef. Stanley Island is within the Flinders Island group north of Bathurst Bay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F87DF9">
        <w:rPr>
          <w:color w:val="000000"/>
        </w:rPr>
        <w:t xml:space="preserve">Figure </w:t>
      </w:r>
      <w:r w:rsidR="00F87DF9">
        <w:rPr>
          <w:noProof/>
          <w:color w:val="000000"/>
        </w:rPr>
        <w:t>200</w:t>
      </w:r>
      <w:r w:rsidR="00010926">
        <w:rPr>
          <w:color w:val="0000FF"/>
        </w:rPr>
        <w:fldChar w:fldCharType="end"/>
      </w:r>
      <w:r w:rsidRPr="00035426">
        <w:t xml:space="preserve">). The site is a fringing reef site also fringed with mangroves. The islands are influenced by the Princess Charlotte Bay catchment which has four river systems, the Normanby, Marrett, Bizant and North Kennedy Rivers. Piper Reef is approximately 45km north west of Portland Roads, </w:t>
      </w:r>
      <w:r w:rsidR="003503F4">
        <w:t>15 km off the mainland coast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F87DF9">
        <w:rPr>
          <w:color w:val="000000"/>
        </w:rPr>
        <w:t xml:space="preserve">Figure </w:t>
      </w:r>
      <w:r w:rsidR="00F87DF9">
        <w:rPr>
          <w:noProof/>
          <w:color w:val="000000"/>
        </w:rPr>
        <w:t>200</w:t>
      </w:r>
      <w:r w:rsidR="00010926">
        <w:rPr>
          <w:color w:val="0000FF"/>
        </w:rPr>
        <w:fldChar w:fldCharType="end"/>
      </w:r>
      <w:r w:rsidRPr="00035426">
        <w:t xml:space="preserve">). It is influenced by coastal waters from the Olive and Pascoe Rivers along with the Temple Bay catchment. There are minor land use activities in these catchments with some small level housing on the Pascoe River at the Wattle Hills settlement. </w:t>
      </w:r>
    </w:p>
    <w:p w14:paraId="4E83E0E4" w14:textId="082027F7" w:rsidR="00035426" w:rsidRPr="00035426" w:rsidRDefault="00E369D2" w:rsidP="00035426">
      <w:r w:rsidRPr="00546CE1">
        <w:t xml:space="preserve">Most </w:t>
      </w:r>
      <w:r>
        <w:t xml:space="preserve">inshore </w:t>
      </w:r>
      <w:r w:rsidRPr="00546CE1">
        <w:t xml:space="preserve">seagrass meadows in the </w:t>
      </w:r>
      <w:r>
        <w:t xml:space="preserve">Cape York </w:t>
      </w:r>
      <w:r w:rsidRPr="00546CE1">
        <w:t>region are within coastal habitats. The majority of these meadows are in the shallow subtidal waters of large bays sheltered from the prevailing trade winds. These seagrass meadows are also highly productive and provide important nursery grounds for fisheries (</w:t>
      </w:r>
      <w:hyperlink w:anchor="_ENREF_45" w:tooltip="Coles, 1987 #517" w:history="1">
        <w:r w:rsidR="00305FE7">
          <w:fldChar w:fldCharType="begin"/>
        </w:r>
        <w:r w:rsidR="00305FE7">
          <w:instrText xml:space="preserve"> ADDIN EN.CITE &lt;EndNote&gt;&lt;Cite&gt;&lt;Author&gt;Coles&lt;/Author&gt;&lt;Year&gt;1987&lt;/Year&gt;&lt;RecNum&gt;517&lt;/RecNum&gt;&lt;DisplayText&gt;Coles&lt;style face="italic"&gt; et al.&lt;/style&gt; 1987&lt;/DisplayText&gt;&lt;record&gt;&lt;rec-number&gt;517&lt;/rec-number&gt;&lt;foreign-keys&gt;&lt;key app="EN" db-id="0eve55x9y5vfd6e9dacxtew4eatve2dzds9a" timestamp="0"&gt;517&lt;/key&gt;&lt;/foreign-keys&gt;&lt;ref-type name="Journal Article"&gt;17&lt;/ref-type&gt;&lt;contributors&gt;&lt;authors&gt;&lt;author&gt;Coles, Robert G.&lt;/author&gt;&lt;author&gt;Lee Long, Warren J.&lt;/author&gt;&lt;author&gt;Squire, B. A.&lt;/author&gt;&lt;author&gt;Squire, L. C.&lt;/author&gt;&lt;author&gt;Bibby, J. M.&lt;/author&gt;&lt;/authors&gt;&lt;/contributors&gt;&lt;titles&gt;&lt;title&gt;Distribution of seagrass and associated juvenile commercial penaeid prawns in North-Eastern Queensland waters&lt;/title&gt;&lt;secondary-title&gt;Australian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Research&lt;/abbr-1&gt;&lt;/alt-periodical&gt;&lt;pages&gt;103-119&lt;/pages&gt;&lt;volume&gt;38&lt;/volume&gt;&lt;number&gt;1&lt;/number&gt;&lt;keywords&gt;&lt;keyword&gt;MCKENZIE 1996&lt;/keyword&gt;&lt;/keywords&gt;&lt;dates&gt;&lt;year&gt;1987&lt;/year&gt;&lt;/dates&gt;&lt;label&gt;493&lt;/label&gt;&lt;urls&gt;&lt;/urls&gt;&lt;custom1&gt;Annex&lt;/custom1&gt;&lt;/record&gt;&lt;/Cite&gt;&lt;/EndNote&gt;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1987</w:t>
        </w:r>
        <w:r w:rsidR="00305FE7">
          <w:fldChar w:fldCharType="end"/>
        </w:r>
      </w:hyperlink>
      <w:r w:rsidRPr="00546CE1">
        <w:t>). The meadows are also of important to the large dugong population within the region (</w:t>
      </w:r>
      <w:hyperlink w:anchor="_ENREF_142" w:tooltip="Marsh, 2002 #9877" w:history="1">
        <w:r w:rsidR="00305FE7">
          <w:fldChar w:fldCharType="begin"/>
        </w:r>
        <w:r w:rsidR="00305FE7">
          <w:instrText xml:space="preserve"> ADDIN EN.CITE &lt;EndNote&gt;&lt;Cite&gt;&lt;Author&gt;Marsh&lt;/Author&gt;&lt;Year&gt;2002&lt;/Year&gt;&lt;RecNum&gt;9877&lt;/RecNum&gt;&lt;DisplayText&gt;Marsh and R 2002&lt;/DisplayText&gt;&lt;record&gt;&lt;rec-number&gt;9877&lt;/rec-number&gt;&lt;foreign-keys&gt;&lt;key app="EN" db-id="0eve55x9y5vfd6e9dacxtew4eatve2dzds9a" timestamp="1405631844"&gt;9877&lt;/key&gt;&lt;/foreign-keys&gt;&lt;ref-type name="Book"&gt;6&lt;/ref-type&gt;&lt;contributors&gt;&lt;authors&gt;&lt;author&gt;Marsh, Helene D&lt;/author&gt;&lt;author&gt;Lawler Ivan R&lt;/author&gt;&lt;/authors&gt;&lt;/contributors&gt;&lt;titles&gt;&lt;title&gt;Dugong distribution and abundance in the northern Great Barrier Reef Marine Park - November 2000. Research Publication No 77&lt;/title&gt;&lt;/titles&gt;&lt;section&gt;62&lt;/section&gt;&lt;dates&gt;&lt;year&gt;2002&lt;/year&gt;&lt;/dates&gt;&lt;pub-location&gt;Townsville&lt;/pub-location&gt;&lt;publisher&gt;Great Barrier Reef Marine Park Authority&lt;/publisher&gt;&lt;urls&gt;&lt;/urls&gt;&lt;/record&gt;&lt;/Cite&gt;&lt;/EndNote&gt;</w:instrText>
        </w:r>
        <w:r w:rsidR="00305FE7">
          <w:fldChar w:fldCharType="separate"/>
        </w:r>
        <w:r w:rsidR="00305FE7">
          <w:rPr>
            <w:noProof/>
          </w:rPr>
          <w:t>Marsh and R 2002</w:t>
        </w:r>
        <w:r w:rsidR="00305FE7">
          <w:fldChar w:fldCharType="end"/>
        </w:r>
      </w:hyperlink>
      <w:r w:rsidRPr="00546CE1">
        <w:t xml:space="preserve">). </w:t>
      </w:r>
      <w:r w:rsidRPr="00035426">
        <w:t>In early 2012, coastal seagrass habitat locations paired with the new reef habitat locations, were also included for monitoring, they included: Bathurst Head (paired with Stanley Island) and Shelburne Bay (paired with Piper Reef). The coastal seagrass meadows at Bathurst Head and Shelburne Bay are located on naturally dynamic sand banks.</w:t>
      </w:r>
      <w:r>
        <w:t xml:space="preserve"> </w:t>
      </w:r>
      <w:r w:rsidR="00035426" w:rsidRPr="00035426">
        <w:t xml:space="preserve">These meadows are dominated by </w:t>
      </w:r>
      <w:r w:rsidR="00035426" w:rsidRPr="00E369D2">
        <w:rPr>
          <w:i/>
        </w:rPr>
        <w:t>Halodule uninervis</w:t>
      </w:r>
      <w:r w:rsidR="00035426" w:rsidRPr="00035426">
        <w:t xml:space="preserve"> with some </w:t>
      </w:r>
      <w:r w:rsidR="00035426" w:rsidRPr="00E369D2">
        <w:rPr>
          <w:i/>
        </w:rPr>
        <w:t>Halophila ovalis</w:t>
      </w:r>
      <w:r w:rsidR="00035426" w:rsidRPr="00035426">
        <w:t xml:space="preserve"> and are often exposed to regular periods of disturbance from wave action and consequent sediment movement. A dominant influence to these coastal meadows is exposure to wind/wave disturbance and terrigenous runoff from seasonal rains </w:t>
      </w:r>
      <w:r w:rsidRPr="00546CE1">
        <w:t>(</w:t>
      </w:r>
      <w:hyperlink w:anchor="_ENREF_32" w:tooltip="Carruthers, 2002 #8021" w:history="1">
        <w:r w:rsidR="00305FE7">
          <w:fldChar w:fldCharType="begin"/>
        </w:r>
        <w:r w:rsidR="00305FE7">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305FE7">
          <w:fldChar w:fldCharType="separate"/>
        </w:r>
        <w:r w:rsidR="00305FE7">
          <w:rPr>
            <w:noProof/>
          </w:rPr>
          <w:t>Carruthers</w:t>
        </w:r>
        <w:r w:rsidR="00305FE7" w:rsidRPr="00521D93">
          <w:rPr>
            <w:i/>
            <w:noProof/>
          </w:rPr>
          <w:t xml:space="preserve"> et al.</w:t>
        </w:r>
        <w:r w:rsidR="00305FE7">
          <w:rPr>
            <w:noProof/>
          </w:rPr>
          <w:t xml:space="preserve"> 2002</w:t>
        </w:r>
        <w:r w:rsidR="00305FE7">
          <w:fldChar w:fldCharType="end"/>
        </w:r>
      </w:hyperlink>
      <w:r w:rsidRPr="00546CE1">
        <w:t>)</w:t>
      </w:r>
      <w:r w:rsidRPr="00035426">
        <w:t xml:space="preserve"> </w:t>
      </w:r>
      <w:r w:rsidR="00035426" w:rsidRPr="00035426">
        <w:t>(</w:t>
      </w:r>
      <w:r w:rsidR="00010926">
        <w:fldChar w:fldCharType="begin"/>
      </w:r>
      <w:r w:rsidR="00010926">
        <w:instrText xml:space="preserve"> REF _Ref442553884 \h </w:instrText>
      </w:r>
      <w:r w:rsidR="00010926">
        <w:fldChar w:fldCharType="separate"/>
      </w:r>
      <w:r w:rsidR="00F87DF9">
        <w:rPr>
          <w:color w:val="000000"/>
        </w:rPr>
        <w:t xml:space="preserve">Figure </w:t>
      </w:r>
      <w:r w:rsidR="00F87DF9">
        <w:rPr>
          <w:noProof/>
          <w:color w:val="000000"/>
        </w:rPr>
        <w:t>123</w:t>
      </w:r>
      <w:r w:rsidR="00010926">
        <w:fldChar w:fldCharType="end"/>
      </w:r>
      <w:r w:rsidR="00035426" w:rsidRPr="00035426">
        <w:t xml:space="preserve">). </w:t>
      </w:r>
    </w:p>
    <w:p w14:paraId="345773E1"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53E15DBC" wp14:editId="07D5D223">
            <wp:extent cx="5751195" cy="2179320"/>
            <wp:effectExtent l="0" t="0" r="1905" b="0"/>
            <wp:docPr id="10218" name="Picture 10218" descr="Conceptual diagram of seagrass meadow processes for coastal habitats in the Cape York region showing major control is pulsed physical disturbance,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pe_York_NRM_coast"/>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1A054B8B" w14:textId="4A6EF9AE" w:rsidR="00035426" w:rsidRDefault="00035426" w:rsidP="00035426">
      <w:pPr>
        <w:rPr>
          <w:i/>
          <w:vanish/>
          <w:color w:val="000000"/>
          <w:szCs w:val="22"/>
          <w:specVanish/>
        </w:rPr>
      </w:pPr>
      <w:bookmarkStart w:id="907" w:name="_Ref442553884"/>
      <w:bookmarkStart w:id="908" w:name="_Toc516053333"/>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123</w:t>
      </w:r>
      <w:r w:rsidR="0073595B">
        <w:rPr>
          <w:color w:val="000000"/>
        </w:rPr>
        <w:fldChar w:fldCharType="end"/>
      </w:r>
      <w:bookmarkEnd w:id="907"/>
      <w:r>
        <w:rPr>
          <w:color w:val="000000"/>
        </w:rPr>
        <w:t xml:space="preserve">. </w:t>
      </w:r>
      <w:r>
        <w:rPr>
          <w:i/>
          <w:color w:val="000000"/>
        </w:rPr>
        <w:t>Conceptual diagram of coastal habitat in the Cape York region</w:t>
      </w:r>
      <w:bookmarkEnd w:id="908"/>
    </w:p>
    <w:p w14:paraId="582FCDF0" w14:textId="14DE3C6A" w:rsidR="00035426" w:rsidRDefault="00035426" w:rsidP="00035426">
      <w:pPr>
        <w:rPr>
          <w:color w:val="000000"/>
        </w:rPr>
      </w:pPr>
      <w:r>
        <w:rPr>
          <w:i/>
          <w:color w:val="000000"/>
        </w:rPr>
        <w:t xml:space="preserve"> – major control is pulsed terrigenous runoff, salinity and temperature extremes: general habitat, seagrass meadow processes and threats/impacts (see </w:t>
      </w:r>
      <w:r w:rsidR="00010926">
        <w:fldChar w:fldCharType="begin"/>
      </w:r>
      <w:r w:rsidR="00010926">
        <w:rPr>
          <w:i/>
          <w:color w:val="000000"/>
        </w:rPr>
        <w:instrText xml:space="preserve"> REF _Ref442553728 \h </w:instrText>
      </w:r>
      <w:r w:rsidR="00010926">
        <w:fldChar w:fldCharType="separate"/>
      </w:r>
      <w:r w:rsidR="00F87DF9">
        <w:rPr>
          <w:color w:val="000000"/>
          <w:szCs w:val="22"/>
        </w:rPr>
        <w:t xml:space="preserve">Figure </w:t>
      </w:r>
      <w:r w:rsidR="00F87DF9">
        <w:rPr>
          <w:noProof/>
          <w:color w:val="000000"/>
          <w:szCs w:val="22"/>
        </w:rPr>
        <w:t>136</w:t>
      </w:r>
      <w:r w:rsidR="00010926">
        <w:fldChar w:fldCharType="end"/>
      </w:r>
      <w:r>
        <w:rPr>
          <w:i/>
          <w:color w:val="000000"/>
        </w:rPr>
        <w:t xml:space="preserve"> for icon explanation). </w:t>
      </w:r>
    </w:p>
    <w:p w14:paraId="3CFC641A" w14:textId="77777777" w:rsidR="00035426" w:rsidRPr="00035426" w:rsidRDefault="00035426" w:rsidP="00035426"/>
    <w:p w14:paraId="39991336" w14:textId="2EF82DDA" w:rsidR="00035426" w:rsidRDefault="00035426" w:rsidP="00035426">
      <w:r>
        <w:t>Bathurst Head is located just east of Combe Point in the Bathurst Bay area to the east of Princess Charlotte Bay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F87DF9">
        <w:rPr>
          <w:color w:val="000000"/>
        </w:rPr>
        <w:t xml:space="preserve">Figure </w:t>
      </w:r>
      <w:r w:rsidR="00F87DF9">
        <w:rPr>
          <w:noProof/>
          <w:color w:val="000000"/>
        </w:rPr>
        <w:t>200</w:t>
      </w:r>
      <w:r w:rsidR="00010926">
        <w:rPr>
          <w:color w:val="0000FF"/>
        </w:rPr>
        <w:fldChar w:fldCharType="end"/>
      </w:r>
      <w:r>
        <w:t>). It is a coastal location fringed by mangroves on the eastern edge of the bay. The sites are within 20km of the mouths of the Normanby and Margaret Rivers. The Normanby River is the fourth largest river system flowing into the Great Barrier Reef. The catchment area covers 24,228 km</w:t>
      </w:r>
      <w:r w:rsidRPr="00010926">
        <w:rPr>
          <w:vertAlign w:val="superscript"/>
        </w:rPr>
        <w:t>2</w:t>
      </w:r>
      <w:r>
        <w:t xml:space="preserve"> and consists of one of Queensland’s largest conservation areas, extensive cattle grazing country (75</w:t>
      </w:r>
      <w:r w:rsidR="0063478C">
        <w:t xml:space="preserve"> per cent</w:t>
      </w:r>
      <w:r>
        <w:t xml:space="preserve"> of the catchment), and rich agricultural land at Lakeland Downs (</w:t>
      </w:r>
      <w:hyperlink w:anchor="_ENREF_203" w:tooltip="Reef Water Quality Protection Plan Secretariat, 2011 #9673" w:history="1">
        <w:r w:rsidR="00305FE7">
          <w:fldChar w:fldCharType="begin"/>
        </w:r>
        <w:r w:rsidR="00305FE7">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 timestamp="1392365032"&gt;9673&lt;/key&gt;&lt;/foreign-keys&gt;&lt;ref-type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305FE7">
          <w:fldChar w:fldCharType="separate"/>
        </w:r>
        <w:r w:rsidR="00305FE7">
          <w:rPr>
            <w:noProof/>
          </w:rPr>
          <w:t>Reef Water Quality Protection Plan Secretariat 2011</w:t>
        </w:r>
        <w:r w:rsidR="00305FE7">
          <w:fldChar w:fldCharType="end"/>
        </w:r>
      </w:hyperlink>
      <w:r>
        <w:t>). Less than 5</w:t>
      </w:r>
      <w:r w:rsidR="0063478C">
        <w:t xml:space="preserve"> per cent</w:t>
      </w:r>
      <w:r>
        <w:t xml:space="preserve"> of the catchment has been cleared </w:t>
      </w:r>
      <w:hyperlink w:anchor="_ENREF_203" w:tooltip="Reef Water Quality Protection Plan Secretariat, 2011 #9673" w:history="1">
        <w:r w:rsidR="00305FE7">
          <w:fldChar w:fldCharType="begin"/>
        </w:r>
        <w:r w:rsidR="00305FE7">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 timestamp="1392365032"&gt;9673&lt;/key&gt;&lt;/foreign-keys&gt;&lt;ref-type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305FE7">
          <w:fldChar w:fldCharType="separate"/>
        </w:r>
        <w:r w:rsidR="00305FE7">
          <w:rPr>
            <w:noProof/>
          </w:rPr>
          <w:t>Reef Water Quality Protection Plan Secretariat 2011</w:t>
        </w:r>
        <w:r w:rsidR="00305FE7">
          <w:fldChar w:fldCharType="end"/>
        </w:r>
      </w:hyperlink>
      <w:r>
        <w:t>). Grazing densities are generally low on Cape York Peninsula (~1 beast/40 ha), however, the productive pastures in the Normanby catchment can have densities from ~1 beast/20 ha to &gt;1 beast/5 ha (</w:t>
      </w:r>
      <w:hyperlink w:anchor="_ENREF_68" w:tooltip="Cotter, 1995 #9671" w:history="1">
        <w:r w:rsidR="00305FE7">
          <w:fldChar w:fldCharType="begin"/>
        </w:r>
        <w:r w:rsidR="00305FE7">
          <w:instrText xml:space="preserve"> ADDIN EN.CITE &lt;EndNote&gt;&lt;Cite&gt;&lt;Author&gt;Cotter&lt;/Author&gt;&lt;Year&gt;1995&lt;/Year&gt;&lt;RecNum&gt;9671&lt;/RecNum&gt;&lt;DisplayText&gt;Cotter 1995&lt;/DisplayText&gt;&lt;record&gt;&lt;rec-number&gt;9671&lt;/rec-number&gt;&lt;foreign-keys&gt;&lt;key app="EN" db-id="0eve55x9y5vfd6e9dacxtew4eatve2dzds9a" timestamp="1392362676"&gt;9671&lt;/key&gt;&lt;/foreign-keys&gt;&lt;ref-type name="Book"&gt;6&lt;/ref-type&gt;&lt;contributors&gt;&lt;authors&gt;&lt;author&gt;Cotter, G F&lt;/author&gt;&lt;/authors&gt;&lt;/contributors&gt;&lt;titles&gt;&lt;title&gt;A study of the pastoral industry of Cape York Peninsula. Cape York Peninsula Land Use Strategy (CYPLUS), Natural Resources Analysis Program.&lt;/title&gt;&lt;/titles&gt;&lt;pages&gt;137&lt;/pages&gt;&lt;dates&gt;&lt;year&gt;1995&lt;/year&gt;&lt;/dates&gt;&lt;pub-location&gt;Brisbane&lt;/pub-location&gt;&lt;publisher&gt;Department of Primary Industries and Queensland Department of Lands&lt;/publisher&gt;&lt;urls&gt;&lt;/urls&gt;&lt;/record&gt;&lt;/Cite&gt;&lt;/EndNote&gt;</w:instrText>
        </w:r>
        <w:r w:rsidR="00305FE7">
          <w:fldChar w:fldCharType="separate"/>
        </w:r>
        <w:r w:rsidR="00305FE7">
          <w:rPr>
            <w:noProof/>
          </w:rPr>
          <w:t>Cotter 1995</w:t>
        </w:r>
        <w:r w:rsidR="00305FE7">
          <w:fldChar w:fldCharType="end"/>
        </w:r>
      </w:hyperlink>
      <w:r>
        <w:t>).</w:t>
      </w:r>
    </w:p>
    <w:p w14:paraId="4082C952" w14:textId="77777777" w:rsidR="00035426" w:rsidRDefault="00035426" w:rsidP="00035426">
      <w:r>
        <w:t>Shelburne Bay is located 112 km north of Lockhart River and 122 km southeast of Bamaga on the east coast of the GBR. The bay has a limited catchment with only Harmer Creek discharging directly into it, and the MacMillan River discharging into the adjacent Margaret Bay.  The catchment contains one of the least disturbed parabolic sand dunes areas in the world and is made up of seasonal wetlands and sand ridges. There are no current land use activities occurring in this catchment. The area is prone to extreme weather with the cyclone database stating that 47 cyclones have tracked within 200km of Shelburne Bay between 1906 and 2007. The monitoring site at Shelburne Bay is approximately 5 km west of the mouth of Harmer Creek mouth.</w:t>
      </w:r>
    </w:p>
    <w:p w14:paraId="74722C4C" w14:textId="77777777" w:rsidR="00E369D2" w:rsidRDefault="00E369D2" w:rsidP="00E369D2"/>
    <w:p w14:paraId="5B1A53D2" w14:textId="77777777" w:rsidR="00E369D2" w:rsidRDefault="00E369D2" w:rsidP="008A429D"/>
    <w:p w14:paraId="1C0E9501" w14:textId="77777777" w:rsidR="00E369D2" w:rsidRDefault="00E369D2" w:rsidP="008A429D"/>
    <w:p w14:paraId="7677088C" w14:textId="77777777" w:rsidR="00035426" w:rsidRDefault="00035426">
      <w:pPr>
        <w:spacing w:before="0" w:after="0"/>
      </w:pPr>
      <w:r>
        <w:br w:type="page"/>
      </w:r>
    </w:p>
    <w:p w14:paraId="4F8FE41C" w14:textId="39AF8FD9" w:rsidR="00035426" w:rsidRDefault="00035426" w:rsidP="007D5A48">
      <w:pPr>
        <w:pStyle w:val="Heading2"/>
      </w:pPr>
      <w:bookmarkStart w:id="909" w:name="_Toc516053177"/>
      <w:r>
        <w:t>Wet Tropics</w:t>
      </w:r>
      <w:bookmarkEnd w:id="909"/>
    </w:p>
    <w:p w14:paraId="5E2EECBF" w14:textId="3DAEE2FD" w:rsidR="00035426" w:rsidRDefault="00035426" w:rsidP="00035426">
      <w:r>
        <w:t>The Wet Tropics region covers 22,000 km</w:t>
      </w:r>
      <w:r w:rsidRPr="003503F4">
        <w:rPr>
          <w:vertAlign w:val="superscript"/>
        </w:rPr>
        <w:t>2</w:t>
      </w:r>
      <w:r>
        <w:t xml:space="preserve"> and land use practices include primary production such as cane and banana farming, dairying, beef, cropp</w:t>
      </w:r>
      <w:r w:rsidR="003503F4">
        <w:t>ing and tropical horticulture (</w:t>
      </w:r>
      <w:hyperlink w:anchor="_ENREF_64" w:tooltip="Commonwealth of Australia, 2013 #9677" w:history="1">
        <w:r w:rsidR="00305FE7">
          <w:fldChar w:fldCharType="begin"/>
        </w:r>
        <w:r w:rsidR="00305FE7">
          <w:instrText xml:space="preserve"> ADDIN EN.CITE &lt;EndNote&gt;&lt;Cite&gt;&lt;Author&gt;Commonwealth of Australia&lt;/Author&gt;&lt;Year&gt;2013&lt;/Year&gt;&lt;RecNum&gt;9677&lt;/RecNum&gt;&lt;DisplayText&gt;Commonwealth of Australia 2013e&lt;/DisplayText&gt;&lt;record&gt;&lt;rec-number&gt;9677&lt;/rec-number&gt;&lt;foreign-keys&gt;&lt;key app="EN" db-id="0eve55x9y5vfd6e9dacxtew4eatve2dzds9a" timestamp="1392618258"&gt;9677&lt;/key&gt;&lt;/foreign-keys&gt;&lt;ref-type name="Web Page"&gt;12&lt;/ref-type&gt;&lt;contributors&gt;&lt;authors&gt;&lt;author&gt;Commonwealth of Australia,&lt;/author&gt;&lt;/authors&gt;&lt;/contributors&gt;&lt;titles&gt;&lt;title&gt;Wet Tropics Natural Resource Management region&lt;/title&gt;&lt;/titles&gt;&lt;number&gt;18 February 2014&lt;/number&gt;&lt;dates&gt;&lt;year&gt;2013&lt;/year&gt;&lt;/dates&gt;&lt;urls&gt;&lt;related-urls&gt;&lt;url&gt;http://www.nrm.gov.au/about/nrm/regions/qld-wetr.html&lt;/url&gt;&lt;/related-urls&gt;&lt;/urls&gt;&lt;/record&gt;&lt;/Cite&gt;&lt;/EndNote&gt;</w:instrText>
        </w:r>
        <w:r w:rsidR="00305FE7">
          <w:fldChar w:fldCharType="separate"/>
        </w:r>
        <w:r w:rsidR="00305FE7">
          <w:rPr>
            <w:noProof/>
          </w:rPr>
          <w:t>Commonwealth of Australia 2013e</w:t>
        </w:r>
        <w:r w:rsidR="00305FE7">
          <w:fldChar w:fldCharType="end"/>
        </w:r>
      </w:hyperlink>
      <w:r>
        <w:t>). Approximately 6.5</w:t>
      </w:r>
      <w:r w:rsidR="0063478C">
        <w:t xml:space="preserve"> per cent</w:t>
      </w:r>
      <w:r>
        <w:t xml:space="preserve"> of the seagrass </w:t>
      </w:r>
      <w:r w:rsidR="003503F4">
        <w:t xml:space="preserve">area </w:t>
      </w:r>
      <w:r>
        <w:t xml:space="preserve">mapped in the shallow waters (&lt;15m) of the GBR occurs in the Wet Tropics </w:t>
      </w:r>
      <w:r w:rsidR="003503F4">
        <w:t>region</w:t>
      </w:r>
      <w:r>
        <w:t xml:space="preserve"> (</w:t>
      </w:r>
      <w:hyperlink w:anchor="_ENREF_169" w:tooltip="McKenzie, 2010 #9646" w:history="1">
        <w:r w:rsidR="00305FE7">
          <w:fldChar w:fldCharType="begin"/>
        </w:r>
        <w:r w:rsidR="00305FE7">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fldChar w:fldCharType="separate"/>
        </w:r>
        <w:r w:rsidR="00305FE7">
          <w:rPr>
            <w:noProof/>
          </w:rPr>
          <w:t>McKenzie</w:t>
        </w:r>
        <w:r w:rsidR="00305FE7" w:rsidRPr="00521D93">
          <w:rPr>
            <w:i/>
            <w:noProof/>
          </w:rPr>
          <w:t xml:space="preserve"> et al.</w:t>
        </w:r>
        <w:r w:rsidR="00305FE7">
          <w:rPr>
            <w:noProof/>
          </w:rPr>
          <w:t xml:space="preserve"> 2010c</w:t>
        </w:r>
        <w:r w:rsidR="00305FE7">
          <w:fldChar w:fldCharType="end"/>
        </w:r>
      </w:hyperlink>
      <w:r>
        <w:t>). The most extensive areas of seagrass in this region occur around Low Isles, Cairns Harbour, Green Island, Mourilyan Harbour and the Hinchinbrook Island area (between Dunk Island and Lucinda)</w:t>
      </w:r>
      <w:r w:rsidR="003503F4">
        <w:t xml:space="preserve"> (</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t>). Thirteen seagrass species have be</w:t>
      </w:r>
      <w:r w:rsidR="003503F4">
        <w:t>en recognised for this region (</w:t>
      </w:r>
      <w:hyperlink w:anchor="_ENREF_136" w:tooltip="Lee Long, 1993 #682" w:history="1">
        <w:r w:rsidR="00305FE7">
          <w:fldChar w:fldCharType="begin"/>
        </w:r>
        <w:r w:rsidR="00305FE7">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305FE7">
          <w:fldChar w:fldCharType="separate"/>
        </w:r>
        <w:r w:rsidR="00305FE7">
          <w:rPr>
            <w:noProof/>
          </w:rPr>
          <w:t>Lee Long</w:t>
        </w:r>
        <w:r w:rsidR="00305FE7" w:rsidRPr="00521D93">
          <w:rPr>
            <w:i/>
            <w:noProof/>
          </w:rPr>
          <w:t xml:space="preserve"> et al.</w:t>
        </w:r>
        <w:r w:rsidR="00305FE7">
          <w:rPr>
            <w:noProof/>
          </w:rPr>
          <w:t xml:space="preserve"> 1993</w:t>
        </w:r>
        <w:r w:rsidR="00305FE7">
          <w:fldChar w:fldCharType="end"/>
        </w:r>
      </w:hyperlink>
      <w:r>
        <w:t xml:space="preserve">). Nearshore seagrass meadows are situated on sand and mud banks and mostly dominated by </w:t>
      </w:r>
      <w:r w:rsidRPr="003503F4">
        <w:rPr>
          <w:i/>
        </w:rPr>
        <w:t>Halodule uninerv</w:t>
      </w:r>
      <w:r>
        <w:t xml:space="preserve">is with some </w:t>
      </w:r>
      <w:r w:rsidRPr="003503F4">
        <w:rPr>
          <w:i/>
        </w:rPr>
        <w:t>Halophila</w:t>
      </w:r>
      <w:r>
        <w:t xml:space="preserve"> in the northern and southern areas.  Intertidal meadows in Cairns Harbour and southern Hinchinbrook channel are dominated by </w:t>
      </w:r>
      <w:r w:rsidRPr="003503F4">
        <w:rPr>
          <w:i/>
        </w:rPr>
        <w:t>Zostera muelleri</w:t>
      </w:r>
      <w:r>
        <w:t xml:space="preserve">. Shallow subtidal coastal meadows consist of </w:t>
      </w:r>
      <w:r w:rsidRPr="003503F4">
        <w:rPr>
          <w:i/>
        </w:rPr>
        <w:t>Halodule uninervis</w:t>
      </w:r>
      <w:r>
        <w:t xml:space="preserve"> and </w:t>
      </w:r>
      <w:r w:rsidRPr="003503F4">
        <w:rPr>
          <w:i/>
        </w:rPr>
        <w:t>Halophila</w:t>
      </w:r>
      <w:r>
        <w:t xml:space="preserve"> communities mostly along sheltered coasts and harbours (e.g. Cairns Harbour and Mourilyan Harbour). </w:t>
      </w:r>
      <w:r w:rsidRPr="003503F4">
        <w:rPr>
          <w:i/>
        </w:rPr>
        <w:t>Cymodocea</w:t>
      </w:r>
      <w:r>
        <w:t xml:space="preserve"> spp., </w:t>
      </w:r>
      <w:r w:rsidRPr="003503F4">
        <w:rPr>
          <w:i/>
        </w:rPr>
        <w:t>Thalassia</w:t>
      </w:r>
      <w:r>
        <w:t xml:space="preserve"> and a suite of </w:t>
      </w:r>
      <w:r w:rsidRPr="003503F4">
        <w:rPr>
          <w:i/>
        </w:rPr>
        <w:t>Halophila</w:t>
      </w:r>
      <w:r>
        <w:t xml:space="preserve"> species tend to dominate island habitats in the region (e.g. Dunk Island and northern Hinchinbrook Island).  Only reef </w:t>
      </w:r>
      <w:r w:rsidR="003503F4">
        <w:t xml:space="preserve">(subtidal and intertidal) </w:t>
      </w:r>
      <w:r>
        <w:t>and coastal seagrass habitats are currently monitored</w:t>
      </w:r>
      <w:r w:rsidR="003503F4">
        <w:t xml:space="preserve"> in the Wet Tropics region</w:t>
      </w:r>
      <w:r>
        <w:t>.</w:t>
      </w:r>
    </w:p>
    <w:p w14:paraId="493D4EC7" w14:textId="46F4833B" w:rsidR="00035426" w:rsidRDefault="00035426" w:rsidP="00035426">
      <w:r>
        <w:t xml:space="preserve">Coastal seagrass habitats were monitored at Yule Point in the north and Lugger Bay in the south of the region. The seagrass meadows at Yule Point and Lugger Bay occur on shallow sand banks, protected by fringing reefs. Coastal seagrass meadows are dominated by </w:t>
      </w:r>
      <w:r w:rsidRPr="005543F9">
        <w:rPr>
          <w:i/>
        </w:rPr>
        <w:t>Halodule uninervis</w:t>
      </w:r>
      <w:r>
        <w:t xml:space="preserve"> with some </w:t>
      </w:r>
      <w:r w:rsidRPr="005543F9">
        <w:rPr>
          <w:i/>
        </w:rPr>
        <w:t>Halophila ovalis</w:t>
      </w:r>
      <w:r>
        <w:t xml:space="preserve"> and are often exposed to regular periods of disturbance from wave action and consequent sediment movement. The sediments in these habitats are relatively unstable restricting seagrass growth and distribution. A dominant influence of these meadows is terrigenous runoff from seasonal rains (</w:t>
      </w:r>
      <w:r w:rsidR="00A770E4">
        <w:rPr>
          <w:color w:val="0000FF"/>
        </w:rPr>
        <w:fldChar w:fldCharType="begin"/>
      </w:r>
      <w:r w:rsidR="00A770E4">
        <w:instrText xml:space="preserve"> REF _Ref442554035 \h </w:instrText>
      </w:r>
      <w:r w:rsidR="00A770E4">
        <w:rPr>
          <w:color w:val="0000FF"/>
        </w:rPr>
      </w:r>
      <w:r w:rsidR="00A770E4">
        <w:rPr>
          <w:color w:val="0000FF"/>
        </w:rPr>
        <w:fldChar w:fldCharType="separate"/>
      </w:r>
      <w:r w:rsidR="00F87DF9">
        <w:rPr>
          <w:color w:val="000000"/>
        </w:rPr>
        <w:t xml:space="preserve">Figure </w:t>
      </w:r>
      <w:r w:rsidR="00F87DF9">
        <w:rPr>
          <w:noProof/>
          <w:color w:val="000000"/>
        </w:rPr>
        <w:t>124</w:t>
      </w:r>
      <w:r w:rsidR="00A770E4">
        <w:rPr>
          <w:color w:val="0000FF"/>
        </w:rPr>
        <w:fldChar w:fldCharType="end"/>
      </w:r>
      <w:r>
        <w:t>). The Barron, Tully and Hull Rivers are a major source of pulsed sediment and nutrient input to these coastal meadows.</w:t>
      </w:r>
    </w:p>
    <w:p w14:paraId="5003F7A4"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30EB3E37" wp14:editId="4BBE91FB">
            <wp:extent cx="5751195" cy="2179320"/>
            <wp:effectExtent l="0" t="0" r="1905" b="0"/>
            <wp:docPr id="10217" name="Picture 10217" descr="Conceptual diagram of seagrass meadow processes for coastal habitats in the Wet Tropics region showing major control is pulsed terrigenous runoff,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Wet_Tropics_NRM_coast"/>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43403621" w14:textId="37B4F16D" w:rsidR="00035426" w:rsidRDefault="00035426" w:rsidP="00035426">
      <w:pPr>
        <w:rPr>
          <w:i/>
          <w:vanish/>
          <w:color w:val="000000"/>
          <w:szCs w:val="22"/>
          <w:specVanish/>
        </w:rPr>
      </w:pPr>
      <w:bookmarkStart w:id="910" w:name="_Ref442554035"/>
      <w:bookmarkStart w:id="911" w:name="_Toc516053334"/>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124</w:t>
      </w:r>
      <w:r w:rsidR="0073595B">
        <w:rPr>
          <w:color w:val="000000"/>
        </w:rPr>
        <w:fldChar w:fldCharType="end"/>
      </w:r>
      <w:bookmarkEnd w:id="910"/>
      <w:r>
        <w:rPr>
          <w:color w:val="000000"/>
        </w:rPr>
        <w:t xml:space="preserve">. </w:t>
      </w:r>
      <w:r>
        <w:rPr>
          <w:i/>
          <w:color w:val="000000"/>
        </w:rPr>
        <w:t>Conceptual diagram of coastal habitat (&lt;15m) in the Wet Tropics region</w:t>
      </w:r>
      <w:bookmarkEnd w:id="911"/>
    </w:p>
    <w:p w14:paraId="11696AE1" w14:textId="190BA54F" w:rsidR="00035426" w:rsidRDefault="00035426" w:rsidP="00035426">
      <w:pPr>
        <w:rPr>
          <w:color w:val="000000"/>
        </w:rPr>
      </w:pPr>
      <w:r>
        <w:rPr>
          <w:i/>
          <w:color w:val="000000"/>
        </w:rPr>
        <w:t xml:space="preserve"> – major control is pulsed terrigenous runoff, salinity and temperature extremes: general habitat, seagrass meadow processes and threats/impacts (see </w:t>
      </w:r>
      <w:r w:rsidR="00113EFF">
        <w:rPr>
          <w:color w:val="0000FF"/>
        </w:rPr>
        <w:fldChar w:fldCharType="begin"/>
      </w:r>
      <w:r w:rsidR="00113EFF">
        <w:rPr>
          <w:i/>
          <w:color w:val="000000"/>
        </w:rPr>
        <w:instrText xml:space="preserve"> REF _Ref442553728 \h </w:instrText>
      </w:r>
      <w:r w:rsidR="00113EFF">
        <w:rPr>
          <w:color w:val="0000FF"/>
        </w:rPr>
      </w:r>
      <w:r w:rsidR="00113EFF">
        <w:rPr>
          <w:color w:val="0000FF"/>
        </w:rPr>
        <w:fldChar w:fldCharType="separate"/>
      </w:r>
      <w:r w:rsidR="00F87DF9">
        <w:rPr>
          <w:color w:val="000000"/>
          <w:szCs w:val="22"/>
        </w:rPr>
        <w:t xml:space="preserve">Figure </w:t>
      </w:r>
      <w:r w:rsidR="00F87DF9">
        <w:rPr>
          <w:noProof/>
          <w:color w:val="000000"/>
          <w:szCs w:val="22"/>
        </w:rPr>
        <w:t>136</w:t>
      </w:r>
      <w:r w:rsidR="00113EFF">
        <w:rPr>
          <w:color w:val="0000FF"/>
        </w:rPr>
        <w:fldChar w:fldCharType="end"/>
      </w:r>
      <w:r>
        <w:rPr>
          <w:i/>
          <w:color w:val="000000"/>
        </w:rPr>
        <w:t xml:space="preserve"> for icon explanation). </w:t>
      </w:r>
    </w:p>
    <w:p w14:paraId="1435F9E1" w14:textId="7DC530C6" w:rsidR="00035426" w:rsidRDefault="00035426" w:rsidP="008A429D">
      <w:r w:rsidRPr="00035426">
        <w:t>Reef seagrass habitats were monitored at Low Isles, Green Island and Dunk Island. Low Isles is located in the north of the region and the monitoring sites were paired intertidal and subtidal (not replicated)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F87DF9">
        <w:rPr>
          <w:color w:val="000000"/>
        </w:rPr>
        <w:t xml:space="preserve">Figure </w:t>
      </w:r>
      <w:r w:rsidR="00F87DF9">
        <w:rPr>
          <w:noProof/>
          <w:color w:val="000000"/>
        </w:rPr>
        <w:t>201</w:t>
      </w:r>
      <w:r w:rsidR="00113EFF">
        <w:rPr>
          <w:color w:val="0000FF"/>
        </w:rPr>
        <w:fldChar w:fldCharType="end"/>
      </w:r>
      <w:r w:rsidRPr="00035426">
        <w:t xml:space="preserve">). Low Isles is an inshore reef located 15km south east of the Daintree River mouth. Low Isles refers to the two islets of Low Isles reef: Low Island (the cay) and Woody Island (predominantly </w:t>
      </w:r>
      <w:r w:rsidRPr="005543F9">
        <w:rPr>
          <w:i/>
        </w:rPr>
        <w:t>Rhizophora</w:t>
      </w:r>
      <w:r w:rsidRPr="00035426">
        <w:t xml:space="preserve"> forest).  The intertidal site was located near the northern edge of the reef platform between Low Island and Woody Island. This area is dominated by </w:t>
      </w:r>
      <w:r w:rsidRPr="005543F9">
        <w:rPr>
          <w:i/>
        </w:rPr>
        <w:t>Halodule uninervis</w:t>
      </w:r>
      <w:r w:rsidRPr="00035426">
        <w:t xml:space="preserve"> and </w:t>
      </w:r>
      <w:r w:rsidRPr="005543F9">
        <w:rPr>
          <w:i/>
        </w:rPr>
        <w:t>Halophila ovalis</w:t>
      </w:r>
      <w:r w:rsidRPr="00035426">
        <w:t xml:space="preserve">. The subtidal site was approximately 250 north of the intertidal site, in the eastern edge of the anchorage (Low Isles lagoon), and was dominated by </w:t>
      </w:r>
      <w:r w:rsidRPr="005543F9">
        <w:rPr>
          <w:i/>
        </w:rPr>
        <w:t>Halophila ovalis</w:t>
      </w:r>
      <w:r w:rsidRPr="00035426">
        <w:t xml:space="preserve"> and </w:t>
      </w:r>
      <w:r w:rsidRPr="005543F9">
        <w:rPr>
          <w:i/>
        </w:rPr>
        <w:t>Halodule uninervis</w:t>
      </w:r>
      <w:r w:rsidRPr="00035426">
        <w:t>.</w:t>
      </w:r>
    </w:p>
    <w:p w14:paraId="75BFF2CB"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68F32764" wp14:editId="533B2608">
            <wp:extent cx="5751195" cy="2191385"/>
            <wp:effectExtent l="0" t="0" r="1905" b="0"/>
            <wp:docPr id="10216" name="Picture 10216" descr="Conceptual diagram of seagrass meadow processes for reef habitats in the Wet Tropics region showing major control is nutrient limitation, temperature extremes, light and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Wet_Tropics_NRM_reef"/>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5751195" cy="2191385"/>
                    </a:xfrm>
                    <a:prstGeom prst="rect">
                      <a:avLst/>
                    </a:prstGeom>
                    <a:noFill/>
                    <a:ln>
                      <a:noFill/>
                    </a:ln>
                  </pic:spPr>
                </pic:pic>
              </a:graphicData>
            </a:graphic>
          </wp:inline>
        </w:drawing>
      </w:r>
    </w:p>
    <w:p w14:paraId="5FD24F94" w14:textId="07E5FD40" w:rsidR="00035426" w:rsidRDefault="00035426" w:rsidP="00035426">
      <w:pPr>
        <w:rPr>
          <w:i/>
          <w:vanish/>
          <w:color w:val="000000"/>
          <w:szCs w:val="22"/>
          <w:specVanish/>
        </w:rPr>
      </w:pPr>
      <w:bookmarkStart w:id="912" w:name="_Ref442554147"/>
      <w:bookmarkStart w:id="913" w:name="_Toc516053335"/>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125</w:t>
      </w:r>
      <w:r w:rsidR="0073595B">
        <w:rPr>
          <w:color w:val="000000"/>
        </w:rPr>
        <w:fldChar w:fldCharType="end"/>
      </w:r>
      <w:bookmarkEnd w:id="912"/>
      <w:r>
        <w:rPr>
          <w:color w:val="000000"/>
        </w:rPr>
        <w:t xml:space="preserve">. </w:t>
      </w:r>
      <w:r>
        <w:rPr>
          <w:i/>
          <w:color w:val="000000"/>
        </w:rPr>
        <w:t>Conceptual diagram of reef habitat (&lt;15m) in the Wet Tropics region</w:t>
      </w:r>
      <w:bookmarkEnd w:id="913"/>
    </w:p>
    <w:p w14:paraId="2243C818" w14:textId="2B7A7EA7" w:rsidR="00035426" w:rsidRDefault="00035426" w:rsidP="00035426">
      <w:pPr>
        <w:rPr>
          <w:color w:val="000000"/>
        </w:rPr>
      </w:pPr>
      <w:r>
        <w:rPr>
          <w:i/>
          <w:color w:val="000000"/>
        </w:rPr>
        <w:t xml:space="preserve"> – major control is nutrient limitation, temperature extremes, light and grazing: general habitat, seagrass meadow processes and threats/impacts (see </w:t>
      </w:r>
      <w:r w:rsidR="00113EFF">
        <w:rPr>
          <w:color w:val="0000FF"/>
        </w:rPr>
        <w:fldChar w:fldCharType="begin"/>
      </w:r>
      <w:r w:rsidR="00113EFF">
        <w:rPr>
          <w:i/>
          <w:color w:val="000000"/>
        </w:rPr>
        <w:instrText xml:space="preserve"> REF _Ref442553728 \h </w:instrText>
      </w:r>
      <w:r w:rsidR="00113EFF">
        <w:rPr>
          <w:color w:val="0000FF"/>
        </w:rPr>
      </w:r>
      <w:r w:rsidR="00113EFF">
        <w:rPr>
          <w:color w:val="0000FF"/>
        </w:rPr>
        <w:fldChar w:fldCharType="separate"/>
      </w:r>
      <w:r w:rsidR="00F87DF9">
        <w:rPr>
          <w:color w:val="000000"/>
          <w:szCs w:val="22"/>
        </w:rPr>
        <w:t xml:space="preserve">Figure </w:t>
      </w:r>
      <w:r w:rsidR="00F87DF9">
        <w:rPr>
          <w:noProof/>
          <w:color w:val="000000"/>
          <w:szCs w:val="22"/>
        </w:rPr>
        <w:t>136</w:t>
      </w:r>
      <w:r w:rsidR="00113EFF">
        <w:rPr>
          <w:color w:val="0000FF"/>
        </w:rPr>
        <w:fldChar w:fldCharType="end"/>
      </w:r>
      <w:r>
        <w:rPr>
          <w:i/>
          <w:color w:val="000000"/>
        </w:rPr>
        <w:t xml:space="preserve"> for icon explanation). </w:t>
      </w:r>
    </w:p>
    <w:p w14:paraId="1D6006B4" w14:textId="0B3DD680" w:rsidR="00035426" w:rsidRDefault="00035426" w:rsidP="00035426">
      <w:r>
        <w:t>Green Island is a mid shelf reef located 26km north east of Cairns and the Barron River mouth, in approximately the centre of the Wet Tropics region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F87DF9">
        <w:rPr>
          <w:color w:val="000000"/>
        </w:rPr>
        <w:t xml:space="preserve">Figure </w:t>
      </w:r>
      <w:r w:rsidR="00F87DF9">
        <w:rPr>
          <w:noProof/>
          <w:color w:val="000000"/>
        </w:rPr>
        <w:t>201</w:t>
      </w:r>
      <w:r w:rsidR="00113EFF">
        <w:rPr>
          <w:color w:val="0000FF"/>
        </w:rPr>
        <w:fldChar w:fldCharType="end"/>
      </w:r>
      <w:r>
        <w:t xml:space="preserve">). Monitoring at Green Island occurs on the large reef-platform and in the shallow lagoon to the south west and north west of the cay, respectively. The meadows are dominated by </w:t>
      </w:r>
      <w:r w:rsidRPr="005543F9">
        <w:rPr>
          <w:i/>
        </w:rPr>
        <w:t>Cymodocea rotundata</w:t>
      </w:r>
      <w:r>
        <w:t xml:space="preserve"> and </w:t>
      </w:r>
      <w:r w:rsidRPr="005543F9">
        <w:rPr>
          <w:i/>
        </w:rPr>
        <w:t>Thalassia hemprichii</w:t>
      </w:r>
      <w:r>
        <w:t xml:space="preserve"> with some </w:t>
      </w:r>
      <w:r w:rsidRPr="005543F9">
        <w:rPr>
          <w:i/>
        </w:rPr>
        <w:t>Halodule uninervis</w:t>
      </w:r>
      <w:r>
        <w:t xml:space="preserve"> and </w:t>
      </w:r>
      <w:r w:rsidRPr="005543F9">
        <w:rPr>
          <w:i/>
        </w:rPr>
        <w:t>Halophila ovalis</w:t>
      </w:r>
      <w:r>
        <w:t>. The seagrass meadows at Green Island have been the focus of research since the 1980's and monitoring includes a legacy site (GI1).</w:t>
      </w:r>
    </w:p>
    <w:p w14:paraId="07EDF3E5" w14:textId="50752DA6" w:rsidR="00035426" w:rsidRDefault="00035426" w:rsidP="00035426">
      <w:r>
        <w:t>Dunk Island is an inshore continental island located in the southern section of the region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F87DF9">
        <w:rPr>
          <w:color w:val="000000"/>
        </w:rPr>
        <w:t xml:space="preserve">Figure </w:t>
      </w:r>
      <w:r w:rsidR="00F87DF9">
        <w:rPr>
          <w:noProof/>
          <w:color w:val="000000"/>
        </w:rPr>
        <w:t>201</w:t>
      </w:r>
      <w:r w:rsidR="00113EFF">
        <w:rPr>
          <w:color w:val="0000FF"/>
        </w:rPr>
        <w:fldChar w:fldCharType="end"/>
      </w:r>
      <w:r>
        <w:t xml:space="preserve">). Intertidal monitoring sites are located on the sand spit between the main island and Kumboola Island. The subtidal site is located in the lee of the island, in front of the former Dunk Island resort. </w:t>
      </w:r>
    </w:p>
    <w:p w14:paraId="4EB25D20" w14:textId="6CBE492D" w:rsidR="00035426" w:rsidRDefault="00035426" w:rsidP="00035426">
      <w:r>
        <w:t>Shallow unstable sediment, fluctuating temperature, and variable salinity in shallow regions characterise reef habitats. Physical disturbance from waves and swell and associated sediment movement primary forcing factors which control seagrass growing in these habitats (</w:t>
      </w:r>
      <w:r w:rsidR="00113EFF">
        <w:rPr>
          <w:color w:val="0000FF"/>
        </w:rPr>
        <w:fldChar w:fldCharType="begin"/>
      </w:r>
      <w:r w:rsidR="00113EFF">
        <w:instrText xml:space="preserve"> REF _Ref442554147 \h </w:instrText>
      </w:r>
      <w:r w:rsidR="00113EFF">
        <w:rPr>
          <w:color w:val="0000FF"/>
        </w:rPr>
      </w:r>
      <w:r w:rsidR="00113EFF">
        <w:rPr>
          <w:color w:val="0000FF"/>
        </w:rPr>
        <w:fldChar w:fldCharType="separate"/>
      </w:r>
      <w:r w:rsidR="00F87DF9">
        <w:rPr>
          <w:color w:val="000000"/>
        </w:rPr>
        <w:t xml:space="preserve">Figure </w:t>
      </w:r>
      <w:r w:rsidR="00F87DF9">
        <w:rPr>
          <w:noProof/>
          <w:color w:val="000000"/>
        </w:rPr>
        <w:t>125</w:t>
      </w:r>
      <w:r w:rsidR="00113EFF">
        <w:rPr>
          <w:color w:val="0000FF"/>
        </w:rPr>
        <w:fldChar w:fldCharType="end"/>
      </w:r>
      <w:r>
        <w:t xml:space="preserve">). Reef seagrass habitats in the region are often adjacent to areas of high tourism use and boating activity with propeller and anchor scarring impacts. Globally, nutrient concentrations are generally low in reef habitats due to the coarse nature of the coral sand sediments. In these carbonate sediments the primary limiting nutrient for seagrass </w:t>
      </w:r>
      <w:r w:rsidR="005543F9">
        <w:t>growth is generally phosphate (</w:t>
      </w:r>
      <w:r w:rsidR="00644A84">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IHRpbWVzdGFtcD0iMCI+MTI4PC9rZXk+PC9mb3JlaWduLWtleXM+PHJlZi10eXBlIG5hbWU9Ikpv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eSBQcm9ncmVzcyBTZXJpZXM8L2Z1bGwtdGl0bGU+PC9wZXJpb2RpY2FsPjxwYWdlcz4xODctMTk4
PC9wYWdlcz48dm9sdW1lPjEwMjwvdm9sdW1lPjxudW1iZXI+MS0yPC9udW1iZXI+PGtleXdvcmRz
PjxrZXl3b3JkPldPUktTSE9QIC0gUEFDSUZJQyBSRUdJT04gU0VBR1JBU1NFUzwva2V5d29yZD48
L2tleXdvcmRzPjxkYXRlcz48eWVhcj4xOTkzPC95ZWFyPjwvZGF0ZXM+PGxhYmVsPjE2MzwvbGFi
ZWw+PHVybHM+PC91cmxzPjxjdXN0b20xPkFubmV4PC9jdXN0b20xPjwvcmVjb3JkPjwvQ2l0ZT48
L0VuZE5vdGU+
</w:fldData>
        </w:fldChar>
      </w:r>
      <w:r w:rsidR="005B0C7C">
        <w:instrText xml:space="preserve"> ADDIN EN.CITE </w:instrText>
      </w:r>
      <w:r w:rsidR="005B0C7C">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IHRpbWVzdGFtcD0iMCI+MTI4PC9rZXk+PC9mb3JlaWduLWtleXM+PHJlZi10eXBlIG5hbWU9Ikpv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eSBQcm9ncmVzcyBTZXJpZXM8L2Z1bGwtdGl0bGU+PC9wZXJpb2RpY2FsPjxwYWdlcz4xODctMTk4
PC9wYWdlcz48dm9sdW1lPjEwMjwvdm9sdW1lPjxudW1iZXI+MS0yPC9udW1iZXI+PGtleXdvcmRz
PjxrZXl3b3JkPldPUktTSE9QIC0gUEFDSUZJQyBSRUdJT04gU0VBR1JBU1NFUzwva2V5d29yZD48
L2tleXdvcmRzPjxkYXRlcz48eWVhcj4xOTkzPC95ZWFyPjwvZGF0ZXM+PGxhYmVsPjE2MzwvbGFi
ZWw+PHVybHM+PC91cmxzPjxjdXN0b20xPkFubmV4PC9jdXN0b20xPjwvcmVjb3JkPjwvQ2l0ZT48
L0VuZE5vdGU+
</w:fldData>
        </w:fldChar>
      </w:r>
      <w:r w:rsidR="005B0C7C">
        <w:instrText xml:space="preserve"> ADDIN EN.CITE.DATA </w:instrText>
      </w:r>
      <w:r w:rsidR="005B0C7C">
        <w:fldChar w:fldCharType="end"/>
      </w:r>
      <w:r w:rsidR="00644A84">
        <w:fldChar w:fldCharType="separate"/>
      </w:r>
      <w:hyperlink w:anchor="_ENREF_213" w:tooltip="Short, 1990 #128" w:history="1">
        <w:r w:rsidR="00305FE7">
          <w:rPr>
            <w:noProof/>
          </w:rPr>
          <w:t>Short</w:t>
        </w:r>
        <w:r w:rsidR="00305FE7" w:rsidRPr="00644A84">
          <w:rPr>
            <w:i/>
            <w:noProof/>
          </w:rPr>
          <w:t xml:space="preserve"> et al.</w:t>
        </w:r>
        <w:r w:rsidR="00305FE7">
          <w:rPr>
            <w:noProof/>
          </w:rPr>
          <w:t xml:space="preserve"> 1990</w:t>
        </w:r>
      </w:hyperlink>
      <w:r w:rsidR="00644A84">
        <w:rPr>
          <w:noProof/>
        </w:rPr>
        <w:t xml:space="preserve">; </w:t>
      </w:r>
      <w:hyperlink w:anchor="_ENREF_99" w:tooltip="Fourqurean, 1992 #9074" w:history="1">
        <w:r w:rsidR="00305FE7">
          <w:rPr>
            <w:noProof/>
          </w:rPr>
          <w:t>Fourqurean</w:t>
        </w:r>
        <w:r w:rsidR="00305FE7" w:rsidRPr="00644A84">
          <w:rPr>
            <w:i/>
            <w:noProof/>
          </w:rPr>
          <w:t xml:space="preserve"> et al.</w:t>
        </w:r>
        <w:r w:rsidR="00305FE7">
          <w:rPr>
            <w:noProof/>
          </w:rPr>
          <w:t xml:space="preserve"> 1992a</w:t>
        </w:r>
      </w:hyperlink>
      <w:r w:rsidR="00644A84">
        <w:rPr>
          <w:noProof/>
        </w:rPr>
        <w:t xml:space="preserve">; </w:t>
      </w:r>
      <w:hyperlink w:anchor="_ENREF_89" w:tooltip="Erftemeijer, 1993 #208" w:history="1">
        <w:r w:rsidR="00305FE7">
          <w:rPr>
            <w:noProof/>
          </w:rPr>
          <w:t>Erftemeijer and Middelburg 1993</w:t>
        </w:r>
      </w:hyperlink>
      <w:r w:rsidR="00644A84">
        <w:fldChar w:fldCharType="end"/>
      </w:r>
      <w:r>
        <w:t>). This is due to the sequestering of the phosphate by the calcium carbonate. In this region seagrass meadows inhabiting the near shore inner reefs and fringing reefs of coastal islands inhabit a mixture of terrigenous and carbonate sediments, such as Green Island. Seagrasses at this location in the 1990’s were</w:t>
      </w:r>
      <w:r w:rsidR="005543F9">
        <w:t xml:space="preserve"> shown to be nitrogen limited (</w:t>
      </w:r>
      <w:hyperlink w:anchor="_ENREF_223" w:tooltip="Udy, 1999 #2371" w:history="1">
        <w:r w:rsidR="00305FE7">
          <w:fldChar w:fldCharType="begin"/>
        </w:r>
        <w:r w:rsidR="00305FE7">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 timestamp="0"&gt;2371&lt;/key&gt;&lt;/foreign-keys&gt;&lt;ref-type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305FE7">
          <w:fldChar w:fldCharType="separate"/>
        </w:r>
        <w:r w:rsidR="00305FE7">
          <w:rPr>
            <w:noProof/>
          </w:rPr>
          <w:t>Udy</w:t>
        </w:r>
        <w:r w:rsidR="00305FE7" w:rsidRPr="00521D93">
          <w:rPr>
            <w:i/>
            <w:noProof/>
          </w:rPr>
          <w:t xml:space="preserve"> et al.</w:t>
        </w:r>
        <w:r w:rsidR="00305FE7">
          <w:rPr>
            <w:noProof/>
          </w:rPr>
          <w:t xml:space="preserve"> 1999</w:t>
        </w:r>
        <w:r w:rsidR="00305FE7">
          <w:fldChar w:fldCharType="end"/>
        </w:r>
      </w:hyperlink>
      <w:r>
        <w:t>).</w:t>
      </w:r>
    </w:p>
    <w:p w14:paraId="2BAB72A9" w14:textId="77777777" w:rsidR="00035426" w:rsidRDefault="00035426" w:rsidP="008A429D"/>
    <w:p w14:paraId="6B5A95A8" w14:textId="77777777" w:rsidR="00035426" w:rsidRDefault="00035426">
      <w:pPr>
        <w:spacing w:before="0" w:after="0"/>
      </w:pPr>
      <w:r>
        <w:br w:type="page"/>
      </w:r>
    </w:p>
    <w:p w14:paraId="0D2C4D30" w14:textId="2B5D7372" w:rsidR="00035426" w:rsidRPr="007D5A48" w:rsidRDefault="00035426" w:rsidP="007D5A48">
      <w:pPr>
        <w:pStyle w:val="Heading2"/>
      </w:pPr>
      <w:bookmarkStart w:id="914" w:name="_Toc516053178"/>
      <w:r w:rsidRPr="007D5A48">
        <w:t>Burdekin</w:t>
      </w:r>
      <w:bookmarkEnd w:id="914"/>
    </w:p>
    <w:p w14:paraId="7799E75A" w14:textId="25D34CF6" w:rsidR="00035426" w:rsidRDefault="00035426" w:rsidP="00035426">
      <w:r>
        <w:t xml:space="preserve">The Burdekin region, includes an aggregation of the Burdekin, Don, Haughton and Ross River catchments and several smaller coastal catchments, all of which empty into </w:t>
      </w:r>
      <w:r w:rsidR="00E6365C">
        <w:t>the Great Barrier Reef lagoon (</w:t>
      </w:r>
      <w:hyperlink w:anchor="_ENREF_60" w:tooltip="Commonwealth of Australia, 2013 #9678" w:history="1">
        <w:r w:rsidR="00305FE7">
          <w:fldChar w:fldCharType="begin"/>
        </w:r>
        <w:r w:rsidR="00305FE7">
          <w:instrText xml:space="preserve"> ADDIN EN.CITE &lt;EndNote&gt;&lt;Cite&gt;&lt;Author&gt;Commonwealth of Australia&lt;/Author&gt;&lt;Year&gt;2013&lt;/Year&gt;&lt;RecNum&gt;9678&lt;/RecNum&gt;&lt;DisplayText&gt;Commonwealth of Australia 2013a&lt;/DisplayText&gt;&lt;record&gt;&lt;rec-number&gt;9678&lt;/rec-number&gt;&lt;foreign-keys&gt;&lt;key app="EN" db-id="0eve55x9y5vfd6e9dacxtew4eatve2dzds9a" timestamp="1392676103"&gt;9678&lt;/key&gt;&lt;/foreign-keys&gt;&lt;ref-type name="Web Page"&gt;12&lt;/ref-type&gt;&lt;contributors&gt;&lt;authors&gt;&lt;author&gt;Commonwealth of Australia,&lt;/author&gt;&lt;/authors&gt;&lt;/contributors&gt;&lt;titles&gt;&lt;title&gt;Burdekin Natural Resource Management region, http://www.nrm.gov.au/about/nrm/regions/qld-burd.html&lt;/title&gt;&lt;/titles&gt;&lt;number&gt;18 February 2014&lt;/number&gt;&lt;dates&gt;&lt;year&gt;2013&lt;/year&gt;&lt;/dates&gt;&lt;urls&gt;&lt;related-urls&gt;&lt;url&gt;http://www.nrm.gov.au/about/nrm/regions/qld-burd.html&lt;/url&gt;&lt;/related-urls&gt;&lt;/urls&gt;&lt;/record&gt;&lt;/Cite&gt;&lt;/EndNote&gt;</w:instrText>
        </w:r>
        <w:r w:rsidR="00305FE7">
          <w:fldChar w:fldCharType="separate"/>
        </w:r>
        <w:r w:rsidR="00305FE7">
          <w:rPr>
            <w:noProof/>
          </w:rPr>
          <w:t>Commonwealth of Australia 2013a</w:t>
        </w:r>
        <w:r w:rsidR="00305FE7">
          <w:fldChar w:fldCharType="end"/>
        </w:r>
      </w:hyperlink>
      <w:r>
        <w:t>). Rainfall is lower than other regions within tropical Queensland with an annual average of approximately 1,150 mm from on average 91 rain days. There is, however, considerable year-to-year variation due to the sporadic nature of tropical lows and storms. Approximately 75</w:t>
      </w:r>
      <w:r w:rsidR="0063478C">
        <w:t xml:space="preserve"> per cent</w:t>
      </w:r>
      <w:r>
        <w:t xml:space="preserve"> of the average annual rainfall is rece</w:t>
      </w:r>
      <w:r w:rsidR="00E6365C">
        <w:t>ived during December to March (</w:t>
      </w:r>
      <w:hyperlink w:anchor="_ENREF_209" w:tooltip="Scheltinga, 2005 #9675" w:history="1">
        <w:r w:rsidR="00305FE7">
          <w:fldChar w:fldCharType="begin"/>
        </w:r>
        <w:r w:rsidR="00305FE7">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 timestamp="1392545875"&gt;9675&lt;/key&gt;&lt;/foreign-keys&gt;&lt;ref-type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305FE7">
          <w:fldChar w:fldCharType="separate"/>
        </w:r>
        <w:r w:rsidR="00305FE7">
          <w:rPr>
            <w:noProof/>
          </w:rPr>
          <w:t>Scheltinga and Heydon 2005</w:t>
        </w:r>
        <w:r w:rsidR="00305FE7">
          <w:fldChar w:fldCharType="end"/>
        </w:r>
      </w:hyperlink>
      <w:r>
        <w:t xml:space="preserve">). </w:t>
      </w:r>
    </w:p>
    <w:p w14:paraId="664D5B62" w14:textId="512B1E69" w:rsidR="00035426" w:rsidRDefault="00035426" w:rsidP="00035426">
      <w:r>
        <w:t>Approximately 18</w:t>
      </w:r>
      <w:r w:rsidR="0063478C">
        <w:t xml:space="preserve"> per cent</w:t>
      </w:r>
      <w:r>
        <w:t xml:space="preserve"> of the seagrass </w:t>
      </w:r>
      <w:r w:rsidR="00566193">
        <w:t xml:space="preserve">area </w:t>
      </w:r>
      <w:r>
        <w:t>mapped in the shallow waters (&lt;15m) of the GBR occurs in the Burdekin NRM region (</w:t>
      </w:r>
      <w:hyperlink w:anchor="_ENREF_169" w:tooltip="McKenzie, 2010 #9646" w:history="1">
        <w:r w:rsidR="00305FE7">
          <w:fldChar w:fldCharType="begin"/>
        </w:r>
        <w:r w:rsidR="00305FE7">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fldChar w:fldCharType="separate"/>
        </w:r>
        <w:r w:rsidR="00305FE7">
          <w:rPr>
            <w:noProof/>
          </w:rPr>
          <w:t>McKenzie</w:t>
        </w:r>
        <w:r w:rsidR="00305FE7" w:rsidRPr="00521D93">
          <w:rPr>
            <w:i/>
            <w:noProof/>
          </w:rPr>
          <w:t xml:space="preserve"> et al.</w:t>
        </w:r>
        <w:r w:rsidR="00305FE7">
          <w:rPr>
            <w:noProof/>
          </w:rPr>
          <w:t xml:space="preserve"> 2010c</w:t>
        </w:r>
        <w:r w:rsidR="00305FE7">
          <w:fldChar w:fldCharType="end"/>
        </w:r>
      </w:hyperlink>
      <w:r>
        <w:t>). Intertidal seagrasses and shallow subtidal seagrasses dominate in this region, the majority of whic</w:t>
      </w:r>
      <w:r w:rsidR="00E6365C">
        <w:t>h are within coastal habitats (</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rsidR="00566193">
        <w:t xml:space="preserve">). </w:t>
      </w:r>
      <w:r>
        <w:t xml:space="preserve">Extensive seagrass meadows occur in Upstart, Cleveland, and Bowling Green Bays and off Magnetic Island. Twelve species have </w:t>
      </w:r>
      <w:r w:rsidR="00566193">
        <w:t>been found within this region (</w:t>
      </w:r>
      <w:r w:rsidR="00644A84">
        <w:fldChar w:fldCharType="begin">
          <w:fldData xml:space="preserve">PEVuZE5vdGU+PENpdGU+PEF1dGhvcj5MZWUgTG9uZzwvQXV0aG9yPjxZZWFyPjE5OTM8L1llYXI+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=
</w:fldData>
        </w:fldChar>
      </w:r>
      <w:r w:rsidR="00521D93">
        <w:instrText xml:space="preserve"> ADDIN EN.CITE </w:instrText>
      </w:r>
      <w:r w:rsidR="00521D93">
        <w:fldChar w:fldCharType="begin">
          <w:fldData xml:space="preserve">PEVuZE5vdGU+PENpdGU+PEF1dGhvcj5MZWUgTG9uZzwvQXV0aG9yPjxZZWFyPjE5OTM8L1llYXI+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=
</w:fldData>
        </w:fldChar>
      </w:r>
      <w:r w:rsidR="00521D93">
        <w:instrText xml:space="preserve"> ADDIN EN.CITE.DATA </w:instrText>
      </w:r>
      <w:r w:rsidR="00521D93">
        <w:fldChar w:fldCharType="end"/>
      </w:r>
      <w:r w:rsidR="00644A84">
        <w:fldChar w:fldCharType="separate"/>
      </w:r>
      <w:hyperlink w:anchor="_ENREF_136" w:tooltip="Lee Long, 1993 #682" w:history="1">
        <w:r w:rsidR="00305FE7">
          <w:rPr>
            <w:noProof/>
          </w:rPr>
          <w:t>Lee Long</w:t>
        </w:r>
        <w:r w:rsidR="00305FE7" w:rsidRPr="00521D93">
          <w:rPr>
            <w:i/>
            <w:noProof/>
          </w:rPr>
          <w:t xml:space="preserve"> et al.</w:t>
        </w:r>
        <w:r w:rsidR="00305FE7">
          <w:rPr>
            <w:noProof/>
          </w:rPr>
          <w:t xml:space="preserve"> 1993</w:t>
        </w:r>
      </w:hyperlink>
      <w:r w:rsidR="00521D93">
        <w:rPr>
          <w:noProof/>
        </w:rPr>
        <w:t xml:space="preserve">; </w:t>
      </w:r>
      <w:hyperlink w:anchor="_ENREF_130" w:tooltip="Lee Long, 1996 #951" w:history="1">
        <w:r w:rsidR="00305FE7">
          <w:rPr>
            <w:noProof/>
          </w:rPr>
          <w:t>Lee Long</w:t>
        </w:r>
        <w:r w:rsidR="00305FE7" w:rsidRPr="00521D93">
          <w:rPr>
            <w:i/>
            <w:noProof/>
          </w:rPr>
          <w:t xml:space="preserve"> et al.</w:t>
        </w:r>
        <w:r w:rsidR="00305FE7">
          <w:rPr>
            <w:noProof/>
          </w:rPr>
          <w:t xml:space="preserve"> 1996a</w:t>
        </w:r>
      </w:hyperlink>
      <w:r w:rsidR="00644A84">
        <w:fldChar w:fldCharType="end"/>
      </w:r>
      <w:r>
        <w:t xml:space="preserve">). Deep water (&gt;15m) seagrasses occur in this region but are not as common or dense as </w:t>
      </w:r>
      <w:r w:rsidRPr="00113EFF">
        <w:t>occurs in regions further north (</w:t>
      </w:r>
      <w:hyperlink w:anchor="_ENREF_43" w:tooltip="Coles, 2009 #9367" w:history="1">
        <w:r w:rsidR="00305FE7">
          <w:fldChar w:fldCharType="begin"/>
        </w:r>
        <w:r w:rsidR="00305FE7">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2009</w:t>
        </w:r>
        <w:r w:rsidR="00305FE7">
          <w:fldChar w:fldCharType="end"/>
        </w:r>
      </w:hyperlink>
      <w:r w:rsidRPr="00113EFF">
        <w:t>).  Most fringing reefs associated with continental</w:t>
      </w:r>
      <w:r>
        <w:t xml:space="preserve"> islands support moderately dense mixed species meadows (especially </w:t>
      </w:r>
      <w:r w:rsidRPr="00566193">
        <w:rPr>
          <w:i/>
        </w:rPr>
        <w:t>Cymodocea serrulata</w:t>
      </w:r>
      <w:r>
        <w:t>), which are not restricted to the confines of fringing reefs, but are also found in sheltered bays at continental isl</w:t>
      </w:r>
      <w:r w:rsidR="00566193">
        <w:t>ands or coastal localities (</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t>).</w:t>
      </w:r>
    </w:p>
    <w:p w14:paraId="40B7A9D3" w14:textId="3BACFAE0" w:rsidR="00035426" w:rsidRDefault="00035426" w:rsidP="00035426">
      <w:r>
        <w:t xml:space="preserve">Major threats to seagrass meadows in the region include: coastal development (reclamation); changes to hydrology; water quality declines (particularly nutrient enrichment or increased turbidity); downstream effects from agricultural (including sugarcane, horticultural, beef), industrial (including </w:t>
      </w:r>
      <w:r w:rsidR="00566193">
        <w:t>refineries) and urban centres (</w:t>
      </w:r>
      <w:hyperlink w:anchor="_ENREF_209" w:tooltip="Scheltinga, 2005 #9675" w:history="1">
        <w:r w:rsidR="00305FE7">
          <w:fldChar w:fldCharType="begin"/>
        </w:r>
        <w:r w:rsidR="00305FE7">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 timestamp="1392545875"&gt;9675&lt;/key&gt;&lt;/foreign-keys&gt;&lt;ref-type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305FE7">
          <w:fldChar w:fldCharType="separate"/>
        </w:r>
        <w:r w:rsidR="00305FE7">
          <w:rPr>
            <w:noProof/>
          </w:rPr>
          <w:t>Scheltinga and Heydon 2005</w:t>
        </w:r>
        <w:r w:rsidR="00305FE7">
          <w:fldChar w:fldCharType="end"/>
        </w:r>
      </w:hyperlink>
      <w:r>
        <w:t xml:space="preserve">; (Haynes </w:t>
      </w:r>
      <w:r w:rsidRPr="009B09C9">
        <w:rPr>
          <w:i/>
        </w:rPr>
        <w:t>et al</w:t>
      </w:r>
      <w:r>
        <w:t>. 2001)). All four generalised seagrass habitats are present within the Burdekin region, and MMP monitoring occurs at coastal and reef seagrass habitat locations.</w:t>
      </w:r>
    </w:p>
    <w:p w14:paraId="60FADAB8" w14:textId="09E12BDF" w:rsidR="00035426" w:rsidRDefault="00035426" w:rsidP="00035426">
      <w:r>
        <w:t>The coastal monitoring sites are located on naturally dynamic shallow sand banks and are subject to sand waves and erosion blowouts moving through the meadows. The Townsville (Bushland Beach and Shelley Beach) area is a sediment deposition zone, so the meadow must also cope with incursions of sediment carried by long shore drift. The Bowling Green Bay (Jerona) location is adjacent to the mouth of Barratta Creek. Sediments within this habitat are mud and sand that have been delivered to the coast during the episodic peak flows of the creeks and rivers (notably the Burdekin) in this area. While episodic riverine delivery of freshwater nutrients and sediment is a medium time scale factor in structuring these coastal seagrass meadows, it is the wind induced turbidity of the costal zone that is likely to be a major short term driver (</w:t>
      </w:r>
      <w:r w:rsidR="00113EFF">
        <w:fldChar w:fldCharType="begin"/>
      </w:r>
      <w:r w:rsidR="00113EFF">
        <w:instrText xml:space="preserve"> REF _Ref442554248 \h </w:instrText>
      </w:r>
      <w:r w:rsidR="00113EFF">
        <w:fldChar w:fldCharType="separate"/>
      </w:r>
      <w:r w:rsidR="00F87DF9">
        <w:rPr>
          <w:color w:val="000000"/>
        </w:rPr>
        <w:t xml:space="preserve">Figure </w:t>
      </w:r>
      <w:r w:rsidR="00F87DF9">
        <w:rPr>
          <w:noProof/>
          <w:color w:val="000000"/>
        </w:rPr>
        <w:t>126</w:t>
      </w:r>
      <w:r w:rsidR="00113EFF">
        <w:fldChar w:fldCharType="end"/>
      </w:r>
      <w:r>
        <w:t>). In these shallow coastal areas waves generated by the prevailing SE trade winds are greater than the depth of water, maintaining elevated levels of suspended sediments, limiting the amount of light availability for photosynthesis during the trade season. Another significant feature in this region is the influence of ground water (</w:t>
      </w:r>
      <w:hyperlink w:anchor="_ENREF_216" w:tooltip="Stieglitz, 2005 #9754" w:history="1">
        <w:r w:rsidR="00305FE7">
          <w:fldChar w:fldCharType="begin"/>
        </w:r>
        <w:r w:rsidR="00305FE7">
          <w:instrText xml:space="preserve"> ADDIN EN.CITE &lt;EndNote&gt;&lt;Cite&gt;&lt;Author&gt;Stieglitz&lt;/Author&gt;&lt;Year&gt;2005&lt;/Year&gt;&lt;RecNum&gt;9754&lt;/RecNum&gt;&lt;DisplayText&gt;Stieglitz 2005&lt;/DisplayText&gt;&lt;record&gt;&lt;rec-number&gt;9754&lt;/rec-number&gt;&lt;foreign-keys&gt;&lt;key app="EN" db-id="0eve55x9y5vfd6e9dacxtew4eatve2dzds9a" timestamp="1393298147"&gt;9754&lt;/key&gt;&lt;/foreign-keys&gt;&lt;ref-type name="Journal Article"&gt;17&lt;/ref-type&gt;&lt;contributors&gt;&lt;authors&gt;&lt;author&gt;Stieglitz, T&lt;/author&gt;&lt;/authors&gt;&lt;/contributors&gt;&lt;titles&gt;&lt;title&gt;Submarine groundwater discharge into the near-shore zone of the Great Barrier Reef, Australia.&lt;/title&gt;&lt;secondary-title&gt;Marine Pollution Bulletin&lt;/secondary-title&gt;&lt;/titles&gt;&lt;periodical&gt;&lt;full-title&gt;Marine Pollution Bulletin&lt;/full-title&gt;&lt;/periodical&gt;&lt;pages&gt;51-59&lt;/pages&gt;&lt;volume&gt;51&lt;/volume&gt;&lt;number&gt;1-4&lt;/number&gt;&lt;dates&gt;&lt;year&gt;2005&lt;/year&gt;&lt;/dates&gt;&lt;urls&gt;&lt;/urls&gt;&lt;/record&gt;&lt;/Cite&gt;&lt;/EndNote&gt;</w:instrText>
        </w:r>
        <w:r w:rsidR="00305FE7">
          <w:fldChar w:fldCharType="separate"/>
        </w:r>
        <w:r w:rsidR="00305FE7">
          <w:rPr>
            <w:noProof/>
          </w:rPr>
          <w:t>Stieglitz 2005</w:t>
        </w:r>
        <w:r w:rsidR="00305FE7">
          <w:fldChar w:fldCharType="end"/>
        </w:r>
      </w:hyperlink>
      <w:r>
        <w:t>). The meadows are also frequented by dugongs and turtles as witnessed by abundant grazing trails and patches of cropping .</w:t>
      </w:r>
    </w:p>
    <w:p w14:paraId="12A5A13C"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F2EE0AB" wp14:editId="646DB8D7">
            <wp:extent cx="5751195" cy="2179320"/>
            <wp:effectExtent l="0" t="0" r="1905" b="0"/>
            <wp:docPr id="10215" name="Picture 10215" descr="Conceptual diagram of seagrass meadow processes for coastal habitats in the Burdekin region showing major control is wind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urdekin_NRM_coast"/>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77272CD9" w14:textId="6300D0F7" w:rsidR="00035426" w:rsidRDefault="00035426" w:rsidP="00035426">
      <w:pPr>
        <w:rPr>
          <w:i/>
          <w:vanish/>
          <w:color w:val="000000"/>
          <w:szCs w:val="22"/>
          <w:specVanish/>
        </w:rPr>
      </w:pPr>
      <w:bookmarkStart w:id="915" w:name="_Ref442554248"/>
      <w:bookmarkStart w:id="916" w:name="_Toc516053336"/>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126</w:t>
      </w:r>
      <w:r w:rsidR="0073595B">
        <w:rPr>
          <w:color w:val="000000"/>
        </w:rPr>
        <w:fldChar w:fldCharType="end"/>
      </w:r>
      <w:bookmarkEnd w:id="915"/>
      <w:r>
        <w:rPr>
          <w:color w:val="000000"/>
        </w:rPr>
        <w:t xml:space="preserve">. </w:t>
      </w:r>
      <w:r>
        <w:rPr>
          <w:i/>
          <w:color w:val="000000"/>
        </w:rPr>
        <w:t>Conceptual diagram of coastal habitat in the Burdekin region</w:t>
      </w:r>
      <w:bookmarkEnd w:id="916"/>
    </w:p>
    <w:p w14:paraId="34F0678F" w14:textId="221F8260" w:rsidR="00035426" w:rsidRDefault="00035426" w:rsidP="00035426">
      <w:pPr>
        <w:rPr>
          <w:color w:val="000000"/>
        </w:rPr>
      </w:pPr>
      <w:r>
        <w:rPr>
          <w:i/>
          <w:color w:val="000000"/>
        </w:rPr>
        <w:t xml:space="preserve"> - major control is wind and temperature extremes, general habitat, seagrass meadow processes and threats/impacts (see </w:t>
      </w:r>
      <w:r w:rsidR="00113EFF">
        <w:fldChar w:fldCharType="begin"/>
      </w:r>
      <w:r w:rsidR="00113EFF">
        <w:rPr>
          <w:i/>
          <w:color w:val="000000"/>
        </w:rPr>
        <w:instrText xml:space="preserve"> REF _Ref442553728 \h </w:instrText>
      </w:r>
      <w:r w:rsidR="00113EFF">
        <w:fldChar w:fldCharType="separate"/>
      </w:r>
      <w:r w:rsidR="00F87DF9">
        <w:rPr>
          <w:color w:val="000000"/>
          <w:szCs w:val="22"/>
        </w:rPr>
        <w:t xml:space="preserve">Figure </w:t>
      </w:r>
      <w:r w:rsidR="00F87DF9">
        <w:rPr>
          <w:noProof/>
          <w:color w:val="000000"/>
          <w:szCs w:val="22"/>
        </w:rPr>
        <w:t>136</w:t>
      </w:r>
      <w:r w:rsidR="00113EFF">
        <w:fldChar w:fldCharType="end"/>
      </w:r>
      <w:r>
        <w:rPr>
          <w:i/>
          <w:color w:val="000000"/>
        </w:rPr>
        <w:t xml:space="preserve"> for icon explanation). </w:t>
      </w:r>
    </w:p>
    <w:p w14:paraId="05C1B3FE" w14:textId="77777777" w:rsidR="00035426" w:rsidRDefault="00035426" w:rsidP="008A429D"/>
    <w:p w14:paraId="7322BEFC" w14:textId="130D6CB2" w:rsidR="00035426" w:rsidRDefault="00035426" w:rsidP="008A429D">
      <w:r w:rsidRPr="00035426">
        <w:t>The reef habitats are mainly represented by fringing reefs on the many continental islands within this area. Most fringing reefs have seagrass meadows growing on their shallow banks. Nutrient supply to these meadows is by terrestrial inputs via riverine discharge, re-suspension of sediments and groundwater supply (</w:t>
      </w:r>
      <w:r w:rsidR="00113EFF">
        <w:fldChar w:fldCharType="begin"/>
      </w:r>
      <w:r w:rsidR="00113EFF">
        <w:instrText xml:space="preserve"> REF _Ref442554285 \h </w:instrText>
      </w:r>
      <w:r w:rsidR="00113EFF">
        <w:fldChar w:fldCharType="separate"/>
      </w:r>
      <w:r w:rsidR="00F87DF9">
        <w:rPr>
          <w:color w:val="000000"/>
        </w:rPr>
        <w:t xml:space="preserve">Figure </w:t>
      </w:r>
      <w:r w:rsidR="00F87DF9">
        <w:rPr>
          <w:noProof/>
          <w:color w:val="000000"/>
        </w:rPr>
        <w:t>127</w:t>
      </w:r>
      <w:r w:rsidR="00113EFF">
        <w:fldChar w:fldCharType="end"/>
      </w:r>
      <w:r w:rsidRPr="00035426">
        <w:t xml:space="preserve">). The meadows are typically composed of zones of seagrasses: </w:t>
      </w:r>
      <w:r w:rsidRPr="00113EFF">
        <w:rPr>
          <w:i/>
        </w:rPr>
        <w:t xml:space="preserve">Cymodocea serrulata, Thalassia hemprichii </w:t>
      </w:r>
      <w:r w:rsidRPr="00035426">
        <w:t xml:space="preserve">and </w:t>
      </w:r>
      <w:r w:rsidRPr="00113EFF">
        <w:rPr>
          <w:i/>
        </w:rPr>
        <w:t>Halodule uninervis</w:t>
      </w:r>
      <w:r w:rsidRPr="00035426">
        <w:t xml:space="preserve"> (wide leaf) often occupy the lower littoral/subtidal area, blending with </w:t>
      </w:r>
      <w:r w:rsidRPr="00113EFF">
        <w:rPr>
          <w:i/>
        </w:rPr>
        <w:t>Halodule uninervis</w:t>
      </w:r>
      <w:r w:rsidRPr="00035426">
        <w:t xml:space="preserve"> (narrow leaved) and </w:t>
      </w:r>
      <w:r w:rsidRPr="00113EFF">
        <w:rPr>
          <w:i/>
        </w:rPr>
        <w:t>Halophila ovalis</w:t>
      </w:r>
      <w:r w:rsidRPr="00035426">
        <w:t xml:space="preserve"> in the upper intertidal zone. Phosphate is often the nutrient most limiting to reefal seagrasses (</w:t>
      </w:r>
      <w:r w:rsidR="00D821F1">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bC48L3N0eWxlPiAxOTkyYTwvRGlzcGxheVRleHQ+PHJlY29yZD48cmVjLW51bWJlcj4xMjg8L3Jl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=
</w:fldData>
        </w:fldChar>
      </w:r>
      <w:r w:rsidR="00521D93">
        <w:instrText xml:space="preserve"> ADDIN EN.CITE </w:instrText>
      </w:r>
      <w:r w:rsidR="00521D93">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bC48L3N0eWxlPiAxOTkyYTwvRGlzcGxheVRleHQ+PHJlY29yZD48cmVjLW51bWJlcj4xMjg8L3Jl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=
</w:fldData>
        </w:fldChar>
      </w:r>
      <w:r w:rsidR="00521D93">
        <w:instrText xml:space="preserve"> ADDIN EN.CITE.DATA </w:instrText>
      </w:r>
      <w:r w:rsidR="00521D93">
        <w:fldChar w:fldCharType="end"/>
      </w:r>
      <w:r w:rsidR="00D821F1">
        <w:fldChar w:fldCharType="separate"/>
      </w:r>
      <w:hyperlink w:anchor="_ENREF_213" w:tooltip="Short, 1990 #128" w:history="1">
        <w:r w:rsidR="00305FE7">
          <w:rPr>
            <w:noProof/>
          </w:rPr>
          <w:t>Short</w:t>
        </w:r>
        <w:r w:rsidR="00305FE7" w:rsidRPr="00521D93">
          <w:rPr>
            <w:i/>
            <w:noProof/>
          </w:rPr>
          <w:t xml:space="preserve"> et al.</w:t>
        </w:r>
        <w:r w:rsidR="00305FE7">
          <w:rPr>
            <w:noProof/>
          </w:rPr>
          <w:t xml:space="preserve"> 1990</w:t>
        </w:r>
      </w:hyperlink>
      <w:r w:rsidR="00521D93">
        <w:rPr>
          <w:noProof/>
        </w:rPr>
        <w:t xml:space="preserve">; </w:t>
      </w:r>
      <w:hyperlink w:anchor="_ENREF_99" w:tooltip="Fourqurean, 1992 #9074" w:history="1">
        <w:r w:rsidR="00305FE7">
          <w:rPr>
            <w:noProof/>
          </w:rPr>
          <w:t>Fourqurean</w:t>
        </w:r>
        <w:r w:rsidR="00305FE7" w:rsidRPr="00521D93">
          <w:rPr>
            <w:i/>
            <w:noProof/>
          </w:rPr>
          <w:t xml:space="preserve"> et al.</w:t>
        </w:r>
        <w:r w:rsidR="00305FE7">
          <w:rPr>
            <w:noProof/>
          </w:rPr>
          <w:t xml:space="preserve"> 1992a</w:t>
        </w:r>
      </w:hyperlink>
      <w:r w:rsidR="00D821F1">
        <w:fldChar w:fldCharType="end"/>
      </w:r>
      <w:r w:rsidRPr="00035426">
        <w:t>). Experimental studies on reef top seagrasses in this region however, have shown seagrasses to be nitrogen limited primarily with secondary phosphate limitation, once the plants have started to increase in biomass (</w:t>
      </w:r>
      <w:hyperlink w:anchor="_ENREF_176" w:tooltip="Mellors, 2003 #7086" w:history="1">
        <w:r w:rsidR="00305FE7">
          <w:fldChar w:fldCharType="begin"/>
        </w:r>
        <w:r w:rsidR="00305FE7">
          <w:instrText xml:space="preserve"> ADDIN EN.CITE &lt;EndNote&gt;&lt;Cite&gt;&lt;Author&gt;Mellors&lt;/Author&gt;&lt;Year&gt;2003&lt;/Year&gt;&lt;RecNum&gt;7086&lt;/RecNum&gt;&lt;DisplayText&gt;Mellors 2003&lt;/DisplayText&gt;&lt;record&gt;&lt;rec-number&gt;7086&lt;/rec-number&gt;&lt;foreign-keys&gt;&lt;key app="EN" db-id="0eve55x9y5vfd6e9dacxtew4eatve2dzds9a" timestamp="0"&gt;7086&lt;/key&gt;&lt;/foreign-keys&gt;&lt;ref-type name="Book"&gt;6&lt;/ref-type&gt;&lt;contributors&gt;&lt;authors&gt;&lt;author&gt;Mellors, J. E.&lt;/author&gt;&lt;/authors&gt;&lt;/contributors&gt;&lt;titles&gt;&lt;title&gt;Sediment and nutrient dynamics in coastal intertidal seagrass of north eastern tropical Australia. PhD Thesis.&lt;/title&gt;&lt;/titles&gt;&lt;pages&gt;284&lt;/pages&gt;&lt;dates&gt;&lt;year&gt;2003&lt;/year&gt;&lt;/dates&gt;&lt;pub-location&gt;School of Tropical Environment Studies and Geography&lt;/pub-location&gt;&lt;publisher&gt;James Cook University, Townsville&lt;/publisher&gt;&lt;urls&gt;&lt;/urls&gt;&lt;/record&gt;&lt;/Cite&gt;&lt;/EndNote&gt;</w:instrText>
        </w:r>
        <w:r w:rsidR="00305FE7">
          <w:fldChar w:fldCharType="separate"/>
        </w:r>
        <w:r w:rsidR="00305FE7">
          <w:rPr>
            <w:noProof/>
          </w:rPr>
          <w:t>Mellors 2003</w:t>
        </w:r>
        <w:r w:rsidR="00305FE7">
          <w:fldChar w:fldCharType="end"/>
        </w:r>
      </w:hyperlink>
      <w:r w:rsidRPr="00035426">
        <w:t>). In these fringing reef top environments fine sediments are easily resuspended by tidal and wind generated currents making light availability a driver of meadow structure.</w:t>
      </w:r>
    </w:p>
    <w:p w14:paraId="1705ADBB" w14:textId="77777777" w:rsidR="00035426" w:rsidRDefault="00035426" w:rsidP="008A429D"/>
    <w:p w14:paraId="4FE68CDD"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6058FD33" wp14:editId="50F67959">
            <wp:extent cx="5762625" cy="2191385"/>
            <wp:effectExtent l="0" t="0" r="9525" b="0"/>
            <wp:docPr id="10214" name="Picture 10214" descr="Conceptual diagram of seagrass meadow processes for reef habitats in the Burdekin region showing major control is nutrient supply (groundwater), light and she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urdekin_NRM_reef"/>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14:paraId="5AB6E163" w14:textId="2DAA6284" w:rsidR="00035426" w:rsidRDefault="00035426" w:rsidP="00035426">
      <w:pPr>
        <w:rPr>
          <w:i/>
          <w:vanish/>
          <w:color w:val="000000"/>
          <w:szCs w:val="22"/>
          <w:specVanish/>
        </w:rPr>
      </w:pPr>
      <w:bookmarkStart w:id="917" w:name="_Ref442554285"/>
      <w:bookmarkStart w:id="918" w:name="_Toc516053337"/>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127</w:t>
      </w:r>
      <w:r w:rsidR="0073595B">
        <w:rPr>
          <w:color w:val="000000"/>
        </w:rPr>
        <w:fldChar w:fldCharType="end"/>
      </w:r>
      <w:bookmarkEnd w:id="917"/>
      <w:r>
        <w:rPr>
          <w:color w:val="000000"/>
        </w:rPr>
        <w:t xml:space="preserve">. </w:t>
      </w:r>
      <w:r>
        <w:rPr>
          <w:i/>
          <w:color w:val="000000"/>
        </w:rPr>
        <w:t>Conceptual diagram of fringing reef habitat in the Burdekin region</w:t>
      </w:r>
      <w:bookmarkEnd w:id="918"/>
    </w:p>
    <w:p w14:paraId="34F16A68" w14:textId="523EF59D" w:rsidR="00035426" w:rsidRDefault="00035426" w:rsidP="00035426">
      <w:pPr>
        <w:rPr>
          <w:color w:val="000000"/>
        </w:rPr>
      </w:pPr>
      <w:r>
        <w:rPr>
          <w:i/>
          <w:color w:val="000000"/>
        </w:rPr>
        <w:t xml:space="preserve"> - major control is nutrient supply (groundwater), light and shelter: general habitat and seagrass meadow processes (see </w:t>
      </w:r>
      <w:r w:rsidR="00113EFF">
        <w:fldChar w:fldCharType="begin"/>
      </w:r>
      <w:r w:rsidR="00113EFF">
        <w:rPr>
          <w:i/>
          <w:color w:val="000000"/>
        </w:rPr>
        <w:instrText xml:space="preserve"> REF _Ref442553728 \h </w:instrText>
      </w:r>
      <w:r w:rsidR="00113EFF">
        <w:fldChar w:fldCharType="separate"/>
      </w:r>
      <w:r w:rsidR="00F87DF9">
        <w:rPr>
          <w:color w:val="000000"/>
          <w:szCs w:val="22"/>
        </w:rPr>
        <w:t xml:space="preserve">Figure </w:t>
      </w:r>
      <w:r w:rsidR="00F87DF9">
        <w:rPr>
          <w:noProof/>
          <w:color w:val="000000"/>
          <w:szCs w:val="22"/>
        </w:rPr>
        <w:t>136</w:t>
      </w:r>
      <w:r w:rsidR="00113EFF">
        <w:fldChar w:fldCharType="end"/>
      </w:r>
      <w:r>
        <w:rPr>
          <w:i/>
          <w:color w:val="000000"/>
        </w:rPr>
        <w:t xml:space="preserve"> for icon explanation). </w:t>
      </w:r>
    </w:p>
    <w:p w14:paraId="2C8BF0A6" w14:textId="77777777" w:rsidR="00035426" w:rsidRDefault="00035426" w:rsidP="008A429D"/>
    <w:p w14:paraId="0F9BD41E" w14:textId="77777777" w:rsidR="00035426" w:rsidRDefault="00035426">
      <w:pPr>
        <w:spacing w:before="0" w:after="0"/>
      </w:pPr>
      <w:r>
        <w:br w:type="page"/>
      </w:r>
    </w:p>
    <w:p w14:paraId="68254522" w14:textId="1C64C8A4" w:rsidR="00035426" w:rsidRDefault="00035426" w:rsidP="007D5A48">
      <w:pPr>
        <w:pStyle w:val="Heading2"/>
      </w:pPr>
      <w:bookmarkStart w:id="919" w:name="_Toc516053179"/>
      <w:r>
        <w:t>Mackay</w:t>
      </w:r>
      <w:r w:rsidR="00BF59CF">
        <w:t xml:space="preserve"> </w:t>
      </w:r>
      <w:r>
        <w:t>Whitsunday</w:t>
      </w:r>
      <w:bookmarkEnd w:id="919"/>
    </w:p>
    <w:p w14:paraId="78DA1911" w14:textId="24B90F78" w:rsidR="00035426" w:rsidRDefault="00035426" w:rsidP="00035426">
      <w:r>
        <w:t>The Mackay Whitsunday region comprises an area of almost 940,000 ha and extends from Bowen (Queens Beach) in the north to Clairview (Clairview Bluff) in the south and includes several large continental islands. The region includes the major population centres of Mackay, Proserpine, Airlie Beach and Sarina; encompassing the Proserpine, O’Connell, Pioneer and Plane Creek river systems (</w:t>
      </w:r>
      <w:hyperlink w:anchor="_ENREF_63" w:tooltip="Commonwealth of Australia, 2013 #9679" w:history="1">
        <w:r w:rsidR="00305FE7">
          <w:fldChar w:fldCharType="begin"/>
        </w:r>
        <w:r w:rsidR="00305FE7">
          <w:instrText xml:space="preserve"> ADDIN EN.CITE &lt;EndNote&gt;&lt;Cite&gt;&lt;Author&gt;Commonwealth of Australia&lt;/Author&gt;&lt;Year&gt;2013&lt;/Year&gt;&lt;RecNum&gt;9679&lt;/RecNum&gt;&lt;DisplayText&gt;Commonwealth of Australia 2013d&lt;/DisplayText&gt;&lt;record&gt;&lt;rec-number&gt;9679&lt;/rec-number&gt;&lt;foreign-keys&gt;&lt;key app="EN" db-id="0eve55x9y5vfd6e9dacxtew4eatve2dzds9a" timestamp="1392716479"&gt;9679&lt;/key&gt;&lt;/foreign-keys&gt;&lt;ref-type name="Web Page"&gt;12&lt;/ref-type&gt;&lt;contributors&gt;&lt;authors&gt;&lt;author&gt;Commonwealth of Australia,&lt;/author&gt;&lt;/authors&gt;&lt;/contributors&gt;&lt;titles&gt;&lt;title&gt;Mackay Whitsunday Natural Resource Management region, http://www.nrm.gov.au/about/nrm/regions/qld-mwhs.html&lt;/title&gt;&lt;/titles&gt;&lt;number&gt;18 February 2014&lt;/number&gt;&lt;dates&gt;&lt;year&gt;2013&lt;/year&gt;&lt;/dates&gt;&lt;urls&gt;&lt;related-urls&gt;&lt;url&gt;http://www.nrm.gov.au/about/nrm/regions/qld-mwhs.html&lt;/url&gt;&lt;/related-urls&gt;&lt;/urls&gt;&lt;/record&gt;&lt;/Cite&gt;&lt;/EndNote&gt;</w:instrText>
        </w:r>
        <w:r w:rsidR="00305FE7">
          <w:fldChar w:fldCharType="separate"/>
        </w:r>
        <w:r w:rsidR="00305FE7">
          <w:rPr>
            <w:noProof/>
          </w:rPr>
          <w:t>Commonwealth of Australia 2013d</w:t>
        </w:r>
        <w:r w:rsidR="00305FE7">
          <w:fldChar w:fldCharType="end"/>
        </w:r>
      </w:hyperlink>
      <w:r>
        <w:t xml:space="preserve">). </w:t>
      </w:r>
    </w:p>
    <w:p w14:paraId="62009AB5" w14:textId="4124B679" w:rsidR="00035426" w:rsidRDefault="00035426" w:rsidP="00035426">
      <w:r>
        <w:t>The Great Barrier Reef protects the coastline from predominantly south-easterly winds which often accompany a light south-easterly ocean swell (</w:t>
      </w:r>
      <w:hyperlink w:anchor="_ENREF_139" w:tooltip="Mackay Whitsunday Natural Resource Management Group Inc, 2005 #9680" w:history="1">
        <w:r w:rsidR="00305FE7">
          <w:fldChar w:fldCharType="begin"/>
        </w:r>
        <w:r w:rsidR="00305FE7">
          <w:instrText xml:space="preserve"> ADDIN EN.CITE &lt;EndNote&gt;&lt;Cite&gt;&lt;Author&gt;Mackay Whitsunday Natural Resource Management Group Inc&lt;/Author&gt;&lt;Year&gt;2005&lt;/Year&gt;&lt;RecNum&gt;9680&lt;/RecNum&gt;&lt;DisplayText&gt;Mackay Whitsunday Natural Resource Management Group Inc 2005&lt;/DisplayText&gt;&lt;record&gt;&lt;rec-number&gt;9680&lt;/rec-number&gt;&lt;foreign-keys&gt;&lt;key app="EN" db-id="0eve55x9y5vfd6e9dacxtew4eatve2dzds9a" timestamp="1392716645"&gt;9680&lt;/key&gt;&lt;/foreign-keys&gt;&lt;ref-type name="Web Page"&gt;12&lt;/ref-type&gt;&lt;contributors&gt;&lt;authors&gt;&lt;author&gt;Mackay Whitsunday Natural Resource Management Group Inc,&lt;/author&gt;&lt;/authors&gt;&lt;/contributors&gt;&lt;titles&gt;&lt;title&gt;Mackay Whitsunday Natural Resource Management Plan. http://nrmonline.nrm.gov.au/catalog/mql:2229&lt;/title&gt;&lt;/titles&gt;&lt;number&gt;18 February 2014&lt;/number&gt;&lt;dates&gt;&lt;year&gt;2005&lt;/year&gt;&lt;/dates&gt;&lt;urls&gt;&lt;/urls&gt;&lt;/record&gt;&lt;/Cite&gt;&lt;/EndNote&gt;</w:instrText>
        </w:r>
        <w:r w:rsidR="00305FE7">
          <w:fldChar w:fldCharType="separate"/>
        </w:r>
        <w:r w:rsidR="00305FE7">
          <w:rPr>
            <w:noProof/>
          </w:rPr>
          <w:t>Mackay Whitsunday Natural Resource Management Group Inc 2005</w:t>
        </w:r>
        <w:r w:rsidR="00305FE7">
          <w:fldChar w:fldCharType="end"/>
        </w:r>
      </w:hyperlink>
      <w:r>
        <w:t>). Coastal waters adjacent to the large rivers and mangrove-lined inlets are generally very turbid and shallow, with predominantly mud sediments. Tidal range in the south of the region is large, and in some places has the effect of creating extensive tidal banks. The region receive rainfall between 500-3000 mm annually, which falls mostly (~70</w:t>
      </w:r>
      <w:r w:rsidR="0063478C">
        <w:t xml:space="preserve"> per cent</w:t>
      </w:r>
      <w:r>
        <w:t>) from December to March. Average daily temperatures for Mackay range between 23 31°C in January and 11-22°C in July. The major land use of each catchment is livestock grazing, and crops such as sugar cane.</w:t>
      </w:r>
    </w:p>
    <w:p w14:paraId="4C3C0392" w14:textId="56A71147" w:rsidR="00035426" w:rsidRDefault="00035426" w:rsidP="00035426">
      <w:r>
        <w:t>Extensive seagrass meadows occur both on shallow banks and in nearshore subtidal areas in the region. Approximately 448 km</w:t>
      </w:r>
      <w:r w:rsidRPr="005F7997">
        <w:rPr>
          <w:vertAlign w:val="superscript"/>
        </w:rPr>
        <w:t>2</w:t>
      </w:r>
      <w:r>
        <w:t xml:space="preserve"> of seagrass habitat has been mapped in the Mackay Whitsunday region over the past 3 decades, with 154 km</w:t>
      </w:r>
      <w:r w:rsidRPr="005F7997">
        <w:rPr>
          <w:vertAlign w:val="superscript"/>
        </w:rPr>
        <w:t>2</w:t>
      </w:r>
      <w:r>
        <w:t xml:space="preserve"> in shallow waters and 293 km</w:t>
      </w:r>
      <w:r w:rsidRPr="005F7997">
        <w:rPr>
          <w:vertAlign w:val="superscript"/>
        </w:rPr>
        <w:t>2</w:t>
      </w:r>
      <w:r>
        <w:t xml:space="preserve"> in deeper (&gt;15m) waters (</w:t>
      </w:r>
      <w:hyperlink w:anchor="_ENREF_169" w:tooltip="McKenzie, 2010 #9646" w:history="1">
        <w:r w:rsidR="00305FE7">
          <w:fldChar w:fldCharType="begin"/>
        </w:r>
        <w:r w:rsidR="00305FE7">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fldChar w:fldCharType="separate"/>
        </w:r>
        <w:r w:rsidR="00305FE7">
          <w:rPr>
            <w:noProof/>
          </w:rPr>
          <w:t>McKenzie</w:t>
        </w:r>
        <w:r w:rsidR="00305FE7" w:rsidRPr="00521D93">
          <w:rPr>
            <w:i/>
            <w:noProof/>
          </w:rPr>
          <w:t xml:space="preserve"> et al.</w:t>
        </w:r>
        <w:r w:rsidR="00305FE7">
          <w:rPr>
            <w:noProof/>
          </w:rPr>
          <w:t xml:space="preserve"> 2010c</w:t>
        </w:r>
        <w:r w:rsidR="00305FE7">
          <w:fldChar w:fldCharType="end"/>
        </w:r>
      </w:hyperlink>
      <w:r>
        <w:t>). In 1999/2000, 5553 ±1182 hectares of seagrass was mapped from Midge Point in the south to Hydeaway Bay in the north (</w:t>
      </w:r>
      <w:hyperlink w:anchor="_ENREF_31" w:tooltip="Campbell, 2002 #9304" w:history="1">
        <w:r w:rsidR="00305FE7">
          <w:fldChar w:fldCharType="begin"/>
        </w:r>
        <w:r w:rsidR="00305FE7">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 timestamp="1375005084"&gt;9304&lt;/key&gt;&lt;/foreign-keys&gt;&lt;ref-type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305FE7">
          <w:fldChar w:fldCharType="separate"/>
        </w:r>
        <w:r w:rsidR="00305FE7">
          <w:rPr>
            <w:noProof/>
          </w:rPr>
          <w:t>Campbell</w:t>
        </w:r>
        <w:r w:rsidR="00305FE7" w:rsidRPr="00521D93">
          <w:rPr>
            <w:i/>
            <w:noProof/>
          </w:rPr>
          <w:t xml:space="preserve"> et al.</w:t>
        </w:r>
        <w:r w:rsidR="00305FE7">
          <w:rPr>
            <w:noProof/>
          </w:rPr>
          <w:t xml:space="preserve"> 2002</w:t>
        </w:r>
        <w:r w:rsidR="00305FE7">
          <w:fldChar w:fldCharType="end"/>
        </w:r>
      </w:hyperlink>
      <w:r>
        <w:t>). This represented a 40</w:t>
      </w:r>
      <w:r w:rsidR="0063478C">
        <w:t xml:space="preserve"> per cent</w:t>
      </w:r>
      <w:r>
        <w:t xml:space="preserve"> increase in overall seagrass habitat compared to the 1987 baseline, however losses had occurred at some localities. For a detailed description of seagrass meadows and habitats across the region (see </w:t>
      </w:r>
      <w:hyperlink w:anchor="_ENREF_168" w:tooltip="McKenzie, 2012 #9681" w:history="1">
        <w:r w:rsidR="00305FE7">
          <w:fldChar w:fldCharType="begin"/>
        </w:r>
        <w:r w:rsidR="00305FE7">
          <w:instrText xml:space="preserve"> ADDIN EN.CITE &lt;EndNote&gt;&lt;Cite&gt;&lt;Author&gt;McKenzie&lt;/Author&gt;&lt;Year&gt;2012&lt;/Year&gt;&lt;RecNum&gt;9681&lt;/RecNum&gt;&lt;DisplayText&gt;McKenzie and Yoshida 2012&lt;/DisplayText&gt;&lt;record&gt;&lt;rec-number&gt;9681&lt;/rec-number&gt;&lt;foreign-keys&gt;&lt;key app="EN" db-id="0eve55x9y5vfd6e9dacxtew4eatve2dzds9a" timestamp="1392717285"&gt;9681&lt;/key&gt;&lt;/foreign-keys&gt;&lt;ref-type name="Book"&gt;6&lt;/ref-type&gt;&lt;contributors&gt;&lt;authors&gt;&lt;author&gt;McKenzie, Len J&lt;/author&gt;&lt;author&gt;Yoshida, Rudi L&lt;/author&gt;&lt;/authors&gt;&lt;/contributors&gt;&lt;titles&gt;&lt;title&gt;Seagrass-Watch: Proceedings of a Workshop for Monitoring Seagrass Habitats in the Mackay Whitsunday Region, Queensland, Australia. QPWS Whitsunday Information Centre, Jubilee Pocket, Airlie Beach, 13-14 October 2012.&lt;/title&gt;&lt;/titles&gt;&lt;pages&gt;78&lt;/pages&gt;&lt;dates&gt;&lt;year&gt;2012&lt;/year&gt;&lt;/dates&gt;&lt;pub-location&gt;Cairns&lt;/pub-location&gt;&lt;publisher&gt;Seagrass-Watch HQ&lt;/publisher&gt;&lt;urls&gt;&lt;/urls&gt;&lt;/record&gt;&lt;/Cite&gt;&lt;/EndNote&gt;</w:instrText>
        </w:r>
        <w:r w:rsidR="00305FE7">
          <w:fldChar w:fldCharType="separate"/>
        </w:r>
        <w:r w:rsidR="00305FE7">
          <w:rPr>
            <w:noProof/>
          </w:rPr>
          <w:t>McKenzie and Yoshida 2012</w:t>
        </w:r>
        <w:r w:rsidR="00305FE7">
          <w:fldChar w:fldCharType="end"/>
        </w:r>
      </w:hyperlink>
      <w:r>
        <w:t>).</w:t>
      </w:r>
    </w:p>
    <w:p w14:paraId="3561CE82" w14:textId="32D7EDB1" w:rsidR="00035426" w:rsidRDefault="00035426" w:rsidP="00035426">
      <w:r>
        <w:t>Twelve species of seagrass have been recorded in the Mackay Whitsunday, representing 80</w:t>
      </w:r>
      <w:r w:rsidR="0063478C">
        <w:t xml:space="preserve"> per cent</w:t>
      </w:r>
      <w:r>
        <w:t xml:space="preserve"> of the known species found in Queensland waters (</w:t>
      </w:r>
      <w:hyperlink w:anchor="_ENREF_168" w:tooltip="McKenzie, 2012 #9681" w:history="1">
        <w:r w:rsidR="00305FE7">
          <w:fldChar w:fldCharType="begin"/>
        </w:r>
        <w:r w:rsidR="00305FE7">
          <w:instrText xml:space="preserve"> ADDIN EN.CITE &lt;EndNote&gt;&lt;Cite&gt;&lt;Author&gt;McKenzie&lt;/Author&gt;&lt;Year&gt;2012&lt;/Year&gt;&lt;RecNum&gt;9681&lt;/RecNum&gt;&lt;DisplayText&gt;McKenzie and Yoshida 2012&lt;/DisplayText&gt;&lt;record&gt;&lt;rec-number&gt;9681&lt;/rec-number&gt;&lt;foreign-keys&gt;&lt;key app="EN" db-id="0eve55x9y5vfd6e9dacxtew4eatve2dzds9a" timestamp="1392717285"&gt;9681&lt;/key&gt;&lt;/foreign-keys&gt;&lt;ref-type name="Book"&gt;6&lt;/ref-type&gt;&lt;contributors&gt;&lt;authors&gt;&lt;author&gt;McKenzie, Len J&lt;/author&gt;&lt;author&gt;Yoshida, Rudi L&lt;/author&gt;&lt;/authors&gt;&lt;/contributors&gt;&lt;titles&gt;&lt;title&gt;Seagrass-Watch: Proceedings of a Workshop for Monitoring Seagrass Habitats in the Mackay Whitsunday Region, Queensland, Australia. QPWS Whitsunday Information Centre, Jubilee Pocket, Airlie Beach, 13-14 October 2012.&lt;/title&gt;&lt;/titles&gt;&lt;pages&gt;78&lt;/pages&gt;&lt;dates&gt;&lt;year&gt;2012&lt;/year&gt;&lt;/dates&gt;&lt;pub-location&gt;Cairns&lt;/pub-location&gt;&lt;publisher&gt;Seagrass-Watch HQ&lt;/publisher&gt;&lt;urls&gt;&lt;/urls&gt;&lt;/record&gt;&lt;/Cite&gt;&lt;/EndNote&gt;</w:instrText>
        </w:r>
        <w:r w:rsidR="00305FE7">
          <w:fldChar w:fldCharType="separate"/>
        </w:r>
        <w:r w:rsidR="00305FE7">
          <w:rPr>
            <w:noProof/>
          </w:rPr>
          <w:t>McKenzie and Yoshida 2012</w:t>
        </w:r>
        <w:r w:rsidR="00305FE7">
          <w:fldChar w:fldCharType="end"/>
        </w:r>
      </w:hyperlink>
      <w:r>
        <w:t>). The wide range of physical habitats where seagrasses were found undoubtedly contributes to the high species diversity. Habitats include intertidal and subtidal areas of estuary, coastal fringing reef environments and deepwater environments. MMP sites are located on three of the generalised seagrass habitats represented in the region, including estuarine, coastal and reef.</w:t>
      </w:r>
    </w:p>
    <w:p w14:paraId="043C1C3C" w14:textId="6A570584" w:rsidR="00035426" w:rsidRDefault="00035426" w:rsidP="00035426">
      <w:r>
        <w:t>Estuarine seagrass habitats in the Mackay Whitsunday region tend to be intertidal on the large sand/mud banks of sheltered estuaries. Run-off through the catchments connected to these estuaries is variable, though the degrees of variability is moderate compared to the high variability of the Burdekin and the low variability of the Tully (</w:t>
      </w:r>
      <w:hyperlink w:anchor="_ENREF_18" w:tooltip="Brodie, 2004 #9682" w:history="1">
        <w:r w:rsidR="00305FE7">
          <w:fldChar w:fldCharType="begin"/>
        </w:r>
        <w:r w:rsidR="00305FE7">
          <w:instrText xml:space="preserve"> ADDIN EN.CITE &lt;EndNote&gt;&lt;Cite&gt;&lt;Author&gt;Brodie&lt;/Author&gt;&lt;Year&gt;2004&lt;/Year&gt;&lt;RecNum&gt;9682&lt;/RecNum&gt;&lt;DisplayText&gt;Brodie 2004&lt;/DisplayText&gt;&lt;record&gt;&lt;rec-number&gt;9682&lt;/rec-number&gt;&lt;foreign-keys&gt;&lt;key app="EN" db-id="0eve55x9y5vfd6e9dacxtew4eatve2dzds9a" timestamp="1392717450"&gt;9682&lt;/key&gt;&lt;/foreign-keys&gt;&lt;ref-type name="Book"&gt;6&lt;/ref-type&gt;&lt;contributors&gt;&lt;authors&gt;&lt;author&gt;Brodie, Jon&lt;/author&gt;&lt;/authors&gt;&lt;/contributors&gt;&lt;titles&gt;&lt;title&gt;Mackay Whitsunday Region: State of the Waterways Report 2004 ACTFR Report No. 02/03 for the Mackay Whitsunday Natural Resource Management Group&lt;/title&gt;&lt;/titles&gt;&lt;dates&gt;&lt;year&gt;2004&lt;/year&gt;&lt;/dates&gt;&lt;pub-location&gt;Yownsville&lt;/pub-location&gt;&lt;publisher&gt;ACTFR, James Cook University&lt;/publisher&gt;&lt;urls&gt;&lt;related-urls&gt;&lt;url&gt;http://wwwpublic.jcu.edu.au/idc/groups/public/documents/technical_report/jcudev_015439.pdf &lt;/url&gt;&lt;/related-urls&gt;&lt;/urls&gt;&lt;/record&gt;&lt;/Cite&gt;&lt;/EndNote&gt;</w:instrText>
        </w:r>
        <w:r w:rsidR="00305FE7">
          <w:fldChar w:fldCharType="separate"/>
        </w:r>
        <w:r w:rsidR="00305FE7">
          <w:rPr>
            <w:noProof/>
          </w:rPr>
          <w:t>Brodie 2004</w:t>
        </w:r>
        <w:r w:rsidR="00305FE7">
          <w:fldChar w:fldCharType="end"/>
        </w:r>
      </w:hyperlink>
      <w:r>
        <w:t>). Seagrass in this habitat must cope with extremes of flow, associated sediment and freshwater loads from December to April when 80</w:t>
      </w:r>
      <w:r w:rsidR="0063478C">
        <w:t xml:space="preserve"> per cent</w:t>
      </w:r>
      <w:r>
        <w:t xml:space="preserve"> of the annual discharge occurs (</w:t>
      </w:r>
      <w:r w:rsidR="005F7997">
        <w:fldChar w:fldCharType="begin"/>
      </w:r>
      <w:r w:rsidR="005F7997">
        <w:instrText xml:space="preserve"> REF _Ref442618978 \h </w:instrText>
      </w:r>
      <w:r w:rsidR="005F7997">
        <w:fldChar w:fldCharType="separate"/>
      </w:r>
      <w:r w:rsidR="00F87DF9">
        <w:rPr>
          <w:color w:val="000000"/>
        </w:rPr>
        <w:t xml:space="preserve">Figure </w:t>
      </w:r>
      <w:r w:rsidR="00F87DF9">
        <w:rPr>
          <w:noProof/>
          <w:color w:val="000000"/>
        </w:rPr>
        <w:t>128</w:t>
      </w:r>
      <w:r w:rsidR="005F7997">
        <w:fldChar w:fldCharType="end"/>
      </w:r>
      <w:r>
        <w:t>).</w:t>
      </w:r>
    </w:p>
    <w:p w14:paraId="1113D675" w14:textId="77777777" w:rsidR="00035426" w:rsidRDefault="00035426" w:rsidP="008A429D"/>
    <w:p w14:paraId="411703DF"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A9A33C9" wp14:editId="28C16170">
            <wp:extent cx="5751195" cy="2173605"/>
            <wp:effectExtent l="0" t="0" r="1905" b="0"/>
            <wp:docPr id="10213" name="Picture 10213" descr="Conceptual diagram of seagrass meadow processes for estuarine habitats in the Mackay Whitsunday region showing major control is pulsed terrigenous runoff,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kay_Whitsunday_NRM_estuary"/>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14:paraId="2AFC52C9" w14:textId="1E48AA55" w:rsidR="00035426" w:rsidRDefault="00035426" w:rsidP="00035426">
      <w:pPr>
        <w:rPr>
          <w:i/>
          <w:vanish/>
          <w:color w:val="000000"/>
          <w:szCs w:val="22"/>
          <w:specVanish/>
        </w:rPr>
      </w:pPr>
      <w:bookmarkStart w:id="920" w:name="_Ref442618978"/>
      <w:bookmarkStart w:id="921" w:name="_Toc516053338"/>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128</w:t>
      </w:r>
      <w:r w:rsidR="0073595B">
        <w:rPr>
          <w:color w:val="000000"/>
        </w:rPr>
        <w:fldChar w:fldCharType="end"/>
      </w:r>
      <w:bookmarkEnd w:id="920"/>
      <w:r>
        <w:rPr>
          <w:color w:val="000000"/>
        </w:rPr>
        <w:t xml:space="preserve">. </w:t>
      </w:r>
      <w:r>
        <w:rPr>
          <w:i/>
          <w:color w:val="000000"/>
        </w:rPr>
        <w:t>Conceptual diagram of estuary habitat in the Mackay Whitsunday region</w:t>
      </w:r>
      <w:bookmarkEnd w:id="921"/>
    </w:p>
    <w:p w14:paraId="2D00BB84" w14:textId="632097E6" w:rsidR="00035426" w:rsidRDefault="00035426" w:rsidP="00035426">
      <w:pPr>
        <w:rPr>
          <w:color w:val="000000"/>
        </w:rPr>
      </w:pPr>
      <w:r>
        <w:rPr>
          <w:i/>
          <w:color w:val="000000"/>
        </w:rPr>
        <w:t xml:space="preserve">: general habitat and seagrass meadow processes (see </w:t>
      </w:r>
      <w:r w:rsidR="005F7997">
        <w:fldChar w:fldCharType="begin"/>
      </w:r>
      <w:r w:rsidR="005F7997">
        <w:rPr>
          <w:i/>
          <w:color w:val="000000"/>
        </w:rPr>
        <w:instrText xml:space="preserve"> REF _Ref442553728 \h </w:instrText>
      </w:r>
      <w:r w:rsidR="005F7997">
        <w:fldChar w:fldCharType="separate"/>
      </w:r>
      <w:r w:rsidR="00F87DF9">
        <w:rPr>
          <w:color w:val="000000"/>
          <w:szCs w:val="22"/>
        </w:rPr>
        <w:t xml:space="preserve">Figure </w:t>
      </w:r>
      <w:r w:rsidR="00F87DF9">
        <w:rPr>
          <w:noProof/>
          <w:color w:val="000000"/>
          <w:szCs w:val="22"/>
        </w:rPr>
        <w:t>136</w:t>
      </w:r>
      <w:r w:rsidR="005F7997">
        <w:fldChar w:fldCharType="end"/>
      </w:r>
      <w:r>
        <w:rPr>
          <w:i/>
          <w:color w:val="000000"/>
        </w:rPr>
        <w:t xml:space="preserve"> for icon explanation).</w:t>
      </w:r>
      <w:r>
        <w:rPr>
          <w:color w:val="000000"/>
        </w:rPr>
        <w:t xml:space="preserve"> </w:t>
      </w:r>
    </w:p>
    <w:p w14:paraId="10269045" w14:textId="6276A019" w:rsidR="00035426" w:rsidRDefault="00035426" w:rsidP="008A429D">
      <w:r w:rsidRPr="00035426">
        <w:t>Coastal seagrass habitats are found in areas such as the leeward side of inshore continental islands and in north opening bays. These areas offer protection from the south-easterly trade winds. Potential</w:t>
      </w:r>
      <w:r w:rsidR="005E09B7">
        <w:t xml:space="preserve"> </w:t>
      </w:r>
      <w:r w:rsidRPr="00035426">
        <w:t xml:space="preserve"> impacts to these habitats are issues of water quality associated with urban, marina development and agricultural land use (</w:t>
      </w:r>
      <w:r w:rsidR="005F7997">
        <w:fldChar w:fldCharType="begin"/>
      </w:r>
      <w:r w:rsidR="005F7997">
        <w:instrText xml:space="preserve"> REF _Ref442619012 \h </w:instrText>
      </w:r>
      <w:r w:rsidR="005F7997">
        <w:fldChar w:fldCharType="separate"/>
      </w:r>
      <w:r w:rsidR="00F87DF9">
        <w:rPr>
          <w:color w:val="000000"/>
        </w:rPr>
        <w:t xml:space="preserve">Figure </w:t>
      </w:r>
      <w:r w:rsidR="00F87DF9">
        <w:rPr>
          <w:noProof/>
          <w:color w:val="000000"/>
        </w:rPr>
        <w:t>129</w:t>
      </w:r>
      <w:r w:rsidR="005F7997">
        <w:fldChar w:fldCharType="end"/>
      </w:r>
      <w:r w:rsidRPr="00035426">
        <w:t>). Monitoring sites of coastal seagrass habitat were located on the sand/mud flats adjacent to Cannonvale in southern Pioneer Bay.</w:t>
      </w:r>
    </w:p>
    <w:p w14:paraId="32796E53"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DC3E11A" wp14:editId="7E9F6CFF">
            <wp:extent cx="5751195" cy="2179320"/>
            <wp:effectExtent l="0" t="0" r="1905" b="0"/>
            <wp:docPr id="10212" name="Picture 10212" descr="Conceptual diagram of seagrass meadow processes for coastal habitats in the Mackay Whitsunday region showing major control is shelter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kay_Whitsunday_NRM_coast"/>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778A3606" w14:textId="35A9A45F" w:rsidR="00035426" w:rsidRDefault="00035426" w:rsidP="00035426">
      <w:pPr>
        <w:rPr>
          <w:i/>
          <w:vanish/>
          <w:color w:val="000000"/>
          <w:szCs w:val="22"/>
          <w:specVanish/>
        </w:rPr>
      </w:pPr>
      <w:bookmarkStart w:id="922" w:name="_Ref442619012"/>
      <w:bookmarkStart w:id="923" w:name="_Toc516053339"/>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129</w:t>
      </w:r>
      <w:r w:rsidR="0073595B">
        <w:rPr>
          <w:color w:val="000000"/>
        </w:rPr>
        <w:fldChar w:fldCharType="end"/>
      </w:r>
      <w:bookmarkEnd w:id="922"/>
      <w:r>
        <w:rPr>
          <w:color w:val="000000"/>
        </w:rPr>
        <w:t xml:space="preserve">. </w:t>
      </w:r>
      <w:r>
        <w:rPr>
          <w:i/>
          <w:color w:val="000000"/>
        </w:rPr>
        <w:t>Conceptual diagram of coastal habitat in the Mackay Whitsunday region</w:t>
      </w:r>
      <w:bookmarkEnd w:id="923"/>
    </w:p>
    <w:p w14:paraId="0C477626" w14:textId="4B2DFF7A" w:rsidR="00035426" w:rsidRDefault="00035426" w:rsidP="00035426">
      <w:pPr>
        <w:rPr>
          <w:color w:val="000000"/>
        </w:rPr>
      </w:pPr>
      <w:r>
        <w:rPr>
          <w:i/>
          <w:color w:val="000000"/>
        </w:rPr>
        <w:t xml:space="preserve"> – major control is shelter and temperature extremes: general habitat, seagrass meadow processes and threats/impacts (see </w:t>
      </w:r>
      <w:r w:rsidR="005F7997">
        <w:fldChar w:fldCharType="begin"/>
      </w:r>
      <w:r w:rsidR="005F7997">
        <w:rPr>
          <w:i/>
          <w:color w:val="000000"/>
        </w:rPr>
        <w:instrText xml:space="preserve"> REF _Ref442553728 \h </w:instrText>
      </w:r>
      <w:r w:rsidR="005F7997">
        <w:fldChar w:fldCharType="separate"/>
      </w:r>
      <w:r w:rsidR="00F87DF9">
        <w:rPr>
          <w:color w:val="000000"/>
          <w:szCs w:val="22"/>
        </w:rPr>
        <w:t xml:space="preserve">Figure </w:t>
      </w:r>
      <w:r w:rsidR="00F87DF9">
        <w:rPr>
          <w:noProof/>
          <w:color w:val="000000"/>
          <w:szCs w:val="22"/>
        </w:rPr>
        <w:t>136</w:t>
      </w:r>
      <w:r w:rsidR="005F7997">
        <w:fldChar w:fldCharType="end"/>
      </w:r>
      <w:r>
        <w:rPr>
          <w:i/>
          <w:color w:val="000000"/>
        </w:rPr>
        <w:t xml:space="preserve"> for icon explanation). </w:t>
      </w:r>
    </w:p>
    <w:p w14:paraId="2C8C4DEC" w14:textId="46DCA8A9" w:rsidR="00035426" w:rsidRDefault="00035426" w:rsidP="008A429D">
      <w:r w:rsidRPr="00035426">
        <w:t>Reef habitat seagrass meadows are found on the shallow fringing reefs adjacent to the mainlands or associated with the many islands in this region. The drivers of these habitats is exposure to waves and temperature extremes (</w:t>
      </w:r>
      <w:r w:rsidR="005F7997">
        <w:fldChar w:fldCharType="begin"/>
      </w:r>
      <w:r w:rsidR="005F7997">
        <w:instrText xml:space="preserve"> REF _Ref442619041 \h </w:instrText>
      </w:r>
      <w:r w:rsidR="005F7997">
        <w:fldChar w:fldCharType="separate"/>
      </w:r>
      <w:r w:rsidR="00F87DF9">
        <w:rPr>
          <w:color w:val="000000"/>
        </w:rPr>
        <w:t xml:space="preserve">Figure </w:t>
      </w:r>
      <w:r w:rsidR="00F87DF9">
        <w:rPr>
          <w:noProof/>
          <w:color w:val="000000"/>
        </w:rPr>
        <w:t>130</w:t>
      </w:r>
      <w:r w:rsidR="005F7997">
        <w:fldChar w:fldCharType="end"/>
      </w:r>
      <w:r w:rsidRPr="00035426">
        <w:t>). Major threats would be increased tourism activities including marina and coastal developments.</w:t>
      </w:r>
    </w:p>
    <w:p w14:paraId="1D962077"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45256893" wp14:editId="4729A5A5">
            <wp:extent cx="5762625" cy="2191385"/>
            <wp:effectExtent l="0" t="0" r="9525" b="0"/>
            <wp:docPr id="10211" name="Picture 10211" descr="Conceptual diagram of seagrass meadow processes for reef habitats in the Mackay Whitsunday region showing major control is light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kay_Whitsunday_NRM_reef"/>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14:paraId="236844E2" w14:textId="2D31D496" w:rsidR="00035426" w:rsidRDefault="00035426" w:rsidP="00035426">
      <w:pPr>
        <w:rPr>
          <w:i/>
          <w:vanish/>
          <w:color w:val="000000"/>
          <w:szCs w:val="22"/>
          <w:specVanish/>
        </w:rPr>
      </w:pPr>
      <w:bookmarkStart w:id="924" w:name="_Ref442619041"/>
      <w:bookmarkStart w:id="925" w:name="_Toc516053340"/>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130</w:t>
      </w:r>
      <w:r w:rsidR="0073595B">
        <w:rPr>
          <w:color w:val="000000"/>
        </w:rPr>
        <w:fldChar w:fldCharType="end"/>
      </w:r>
      <w:bookmarkEnd w:id="924"/>
      <w:r>
        <w:rPr>
          <w:color w:val="000000"/>
        </w:rPr>
        <w:t xml:space="preserve">. </w:t>
      </w:r>
      <w:r>
        <w:rPr>
          <w:i/>
          <w:color w:val="000000"/>
        </w:rPr>
        <w:t>Conceptual diagram of reef habitat in the Mackay Whitsunday region</w:t>
      </w:r>
      <w:bookmarkEnd w:id="925"/>
    </w:p>
    <w:p w14:paraId="722748CC" w14:textId="0BA06A09" w:rsidR="00035426" w:rsidRDefault="00035426" w:rsidP="00035426">
      <w:pPr>
        <w:rPr>
          <w:color w:val="000000"/>
        </w:rPr>
      </w:pPr>
      <w:r>
        <w:rPr>
          <w:i/>
          <w:color w:val="000000"/>
        </w:rPr>
        <w:t xml:space="preserve"> - major control is light and temperature extremes: general habitat, seagrass meadow processes and threats/impacts (see </w:t>
      </w:r>
      <w:r w:rsidR="005F7997">
        <w:fldChar w:fldCharType="begin"/>
      </w:r>
      <w:r w:rsidR="005F7997">
        <w:rPr>
          <w:i/>
          <w:color w:val="000000"/>
        </w:rPr>
        <w:instrText xml:space="preserve"> REF _Ref442553728 \h </w:instrText>
      </w:r>
      <w:r w:rsidR="005F7997">
        <w:fldChar w:fldCharType="separate"/>
      </w:r>
      <w:r w:rsidR="00F87DF9">
        <w:rPr>
          <w:color w:val="000000"/>
          <w:szCs w:val="22"/>
        </w:rPr>
        <w:t xml:space="preserve">Figure </w:t>
      </w:r>
      <w:r w:rsidR="00F87DF9">
        <w:rPr>
          <w:noProof/>
          <w:color w:val="000000"/>
          <w:szCs w:val="22"/>
        </w:rPr>
        <w:t>136</w:t>
      </w:r>
      <w:r w:rsidR="005F7997">
        <w:fldChar w:fldCharType="end"/>
      </w:r>
      <w:r>
        <w:rPr>
          <w:i/>
          <w:color w:val="000000"/>
        </w:rPr>
        <w:t xml:space="preserve"> for icon explanation). </w:t>
      </w:r>
    </w:p>
    <w:p w14:paraId="6820AAE0" w14:textId="77777777" w:rsidR="00035426" w:rsidRDefault="00035426" w:rsidP="008A429D"/>
    <w:p w14:paraId="48483B73" w14:textId="77777777" w:rsidR="00035426" w:rsidRDefault="00035426">
      <w:pPr>
        <w:spacing w:before="0" w:after="0"/>
      </w:pPr>
      <w:r>
        <w:br w:type="page"/>
      </w:r>
    </w:p>
    <w:p w14:paraId="161D9015" w14:textId="39DCBBAC" w:rsidR="00035426" w:rsidRDefault="00035426" w:rsidP="007D5A48">
      <w:pPr>
        <w:pStyle w:val="Heading2"/>
      </w:pPr>
      <w:bookmarkStart w:id="926" w:name="_Toc516053180"/>
      <w:r>
        <w:t>Fitzroy</w:t>
      </w:r>
      <w:bookmarkEnd w:id="926"/>
    </w:p>
    <w:p w14:paraId="072D3F4A" w14:textId="2404BBDF" w:rsidR="00035426" w:rsidRDefault="00035426" w:rsidP="00035426">
      <w:r>
        <w:t>The Fitzroy region covers an area of nearly 300,000 km</w:t>
      </w:r>
      <w:r w:rsidRPr="002016D1">
        <w:rPr>
          <w:vertAlign w:val="superscript"/>
        </w:rPr>
        <w:t>2</w:t>
      </w:r>
      <w:r>
        <w:t>. It extends from Nebo in the north to Wandoan in the south, and encompasses the major systems of the Fitzroy, Boyne, and Calliope rivers as well as the catchments of the smaller coastal streams of th</w:t>
      </w:r>
      <w:r w:rsidR="002016D1">
        <w:t>e Capricorn and Curtis Coasts (</w:t>
      </w:r>
      <w:hyperlink w:anchor="_ENREF_62" w:tooltip="Commonwealth of Australia, 2013 #9683" w:history="1">
        <w:r w:rsidR="00305FE7">
          <w:fldChar w:fldCharType="begin"/>
        </w:r>
        <w:r w:rsidR="00305FE7">
          <w:instrText xml:space="preserve"> ADDIN EN.CITE &lt;EndNote&gt;&lt;Cite&gt;&lt;Author&gt;Commonwealth of Australia&lt;/Author&gt;&lt;Year&gt;2013&lt;/Year&gt;&lt;RecNum&gt;9683&lt;/RecNum&gt;&lt;DisplayText&gt;Commonwealth of Australia 2013c&lt;/DisplayText&gt;&lt;record&gt;&lt;rec-number&gt;9683&lt;/rec-number&gt;&lt;foreign-keys&gt;&lt;key app="EN" db-id="0eve55x9y5vfd6e9dacxtew4eatve2dzds9a" timestamp="1392718350"&gt;9683&lt;/key&gt;&lt;/foreign-keys&gt;&lt;ref-type name="Web Page"&gt;12&lt;/ref-type&gt;&lt;contributors&gt;&lt;authors&gt;&lt;author&gt;Commonwealth of Australia,&lt;/author&gt;&lt;/authors&gt;&lt;/contributors&gt;&lt;titles&gt;&lt;title&gt;Fitzroy Natural Resource Management region, http://www.nrm.gov.au/about/nrm/regions/qld-fitz.html&lt;/title&gt;&lt;/titles&gt;&lt;number&gt;18 February 2014&lt;/number&gt;&lt;dates&gt;&lt;year&gt;2013&lt;/year&gt;&lt;/dates&gt;&lt;urls&gt;&lt;related-urls&gt;&lt;url&gt;http://www.nrm.gov.au/about/nrm/regions/qld-fitz.html&lt;/url&gt;&lt;/related-urls&gt;&lt;/urls&gt;&lt;/record&gt;&lt;/Cite&gt;&lt;/EndNote&gt;</w:instrText>
        </w:r>
        <w:r w:rsidR="00305FE7">
          <w:fldChar w:fldCharType="separate"/>
        </w:r>
        <w:r w:rsidR="00305FE7">
          <w:rPr>
            <w:noProof/>
          </w:rPr>
          <w:t>Commonwealth of Australia 2013c</w:t>
        </w:r>
        <w:r w:rsidR="00305FE7">
          <w:fldChar w:fldCharType="end"/>
        </w:r>
      </w:hyperlink>
      <w:r>
        <w:t>). The Fitzroy River is the largest river system running to the east coast of Australia. The Boyne and Calliope Rivers drain the southern part of the region, entering the GBR lagoon at Gladstone. The region covers ten percent of Queensland’s land area and is home to approximately 200,000 people. It is one of the richest areas in the state in terms of land, mineral and water resources and supports grazing, irrigated and dryland agriculture, mining, forestry and tourism land uses (</w:t>
      </w:r>
      <w:hyperlink w:anchor="_ENREF_40" w:tooltip="Christensen, 2006 #9684" w:history="1">
        <w:r w:rsidR="00305FE7">
          <w:fldChar w:fldCharType="begin"/>
        </w:r>
        <w:r w:rsidR="00305FE7">
          <w:instrText xml:space="preserve"> ADDIN EN.CITE &lt;EndNote&gt;&lt;Cite&gt;&lt;Author&gt;Christensen&lt;/Author&gt;&lt;Year&gt;2006&lt;/Year&gt;&lt;RecNum&gt;9684&lt;/RecNum&gt;&lt;DisplayText&gt;Christensen&lt;style face="italic"&gt; et al.&lt;/style&gt; 2006&lt;/DisplayText&gt;&lt;record&gt;&lt;rec-number&gt;9684&lt;/rec-number&gt;&lt;foreign-keys&gt;&lt;key app="EN" db-id="0eve55x9y5vfd6e9dacxtew4eatve2dzds9a" timestamp="1392718927"&gt;9684&lt;/key&gt;&lt;/foreign-keys&gt;&lt;ref-type name="Book"&gt;6&lt;/ref-type&gt;&lt;contributors&gt;&lt;authors&gt;&lt;author&gt;Christensen, Suzie&lt;/author&gt;&lt;author&gt;Rodgers, Claire&lt;/author&gt;&lt;author&gt;Fitzroy Basin Association, Inc&lt;/author&gt;&lt;/authors&gt;&lt;/contributors&gt;&lt;titles&gt;&lt;title&gt;Central Queensland strategy for sustainability : 2004 and beyond. &lt;/title&gt;&lt;/titles&gt;&lt;pages&gt; 238&lt;/pages&gt;&lt;dates&gt;&lt;year&gt;2006&lt;/year&gt;&lt;/dates&gt;&lt;pub-location&gt;Rockhampton, Qld&lt;/pub-location&gt;&lt;publisher&gt;Fitzroy Basin Association&lt;/publisher&gt;&lt;urls&gt;&lt;/urls&gt;&lt;/record&gt;&lt;/Cite&gt;&lt;/EndNote&gt;</w:instrText>
        </w:r>
        <w:r w:rsidR="00305FE7">
          <w:fldChar w:fldCharType="separate"/>
        </w:r>
        <w:r w:rsidR="00305FE7">
          <w:rPr>
            <w:noProof/>
          </w:rPr>
          <w:t>Christensen</w:t>
        </w:r>
        <w:r w:rsidR="00305FE7" w:rsidRPr="00ED4C4C">
          <w:rPr>
            <w:i/>
            <w:noProof/>
          </w:rPr>
          <w:t xml:space="preserve"> et al.</w:t>
        </w:r>
        <w:r w:rsidR="00305FE7">
          <w:rPr>
            <w:noProof/>
          </w:rPr>
          <w:t xml:space="preserve"> 2006</w:t>
        </w:r>
        <w:r w:rsidR="00305FE7">
          <w:fldChar w:fldCharType="end"/>
        </w:r>
      </w:hyperlink>
      <w:r>
        <w:t>). Agricultural production constitutes the largest land use in Central Queensland, with nearly 90</w:t>
      </w:r>
      <w:r w:rsidR="0063478C">
        <w:t xml:space="preserve"> per cent</w:t>
      </w:r>
      <w:r>
        <w:t xml:space="preserve"> of the land under agricultural production. Concomitant with this land use is concern of the quality of the water that is entering the GBR lagoon. </w:t>
      </w:r>
    </w:p>
    <w:p w14:paraId="6DE19C33" w14:textId="77777777" w:rsidR="00035426" w:rsidRDefault="00035426" w:rsidP="00035426">
      <w:r>
        <w:t xml:space="preserve">The Fitzroy region experiences a tropical to subtropical humid to semi arid climate. Annual median rainfall throughout the region is highly variable, ranging from about 800 mm to over 1000mm. Most rain falls in the summer, with many winters experiencing no rain at all. Because of the tropical influence on rainfall patterns, heavy storms can trigger flash flooding, and occasional cyclones wreak havoc. </w:t>
      </w:r>
    </w:p>
    <w:p w14:paraId="033231B7" w14:textId="0FE3F77D" w:rsidR="00035426" w:rsidRDefault="00035426" w:rsidP="00035426">
      <w:r>
        <w:t>The first broad scale survey of seagrass habitat in this region occurred in 1987, followed by more fine scale surveys of Shoalwater Bay (</w:t>
      </w:r>
      <w:hyperlink w:anchor="_ENREF_133" w:tooltip="Lee Long, 1996 #1102" w:history="1">
        <w:r w:rsidR="00305FE7">
          <w:fldChar w:fldCharType="begin"/>
        </w:r>
        <w:r w:rsidR="00305FE7">
          <w:instrText xml:space="preserve"> ADDIN EN.CITE &lt;EndNote&gt;&lt;Cite&gt;&lt;Author&gt;Lee Long&lt;/Author&gt;&lt;Year&gt;1996&lt;/Year&gt;&lt;RecNum&gt;1102&lt;/RecNum&gt;&lt;DisplayText&gt;Lee Long&lt;style face="italic"&gt; et al.&lt;/style&gt; 1996b&lt;/DisplayText&gt;&lt;record&gt;&lt;rec-number&gt;1102&lt;/rec-number&gt;&lt;foreign-keys&gt;&lt;key app="EN" db-id="0eve55x9y5vfd6e9dacxtew4eatve2dzds9a" timestamp="0"&gt;1102&lt;/key&gt;&lt;/foreign-keys&gt;&lt;ref-type name="Book"&gt;6&lt;/ref-type&gt;&lt;contributors&gt;&lt;authors&gt;&lt;author&gt;Lee Long, Warren J.&lt;/author&gt;&lt;author&gt;McKenzie, Leonard J.&lt;/author&gt;&lt;author&gt;Coles, Robert G.&lt;/author&gt;&lt;/authors&gt;&lt;/contributors&gt;&lt;titles&gt;&lt;title&gt;Distribution of seagrasses in Shoalwater Bay, Queensland - September 1995&lt;/title&gt;&lt;/titles&gt;&lt;pages&gt;24&lt;/pages&gt;&lt;keywords&gt;&lt;keyword&gt;SEAGRASS GRP BIBLIO&lt;/keyword&gt;&lt;/keywords&gt;&lt;dates&gt;&lt;year&gt;1996&lt;/year&gt;&lt;/dates&gt;&lt;pub-location&gt;Cairns&lt;/pub-location&gt;&lt;publisher&gt;QDPI: NFC&lt;/publisher&gt;&lt;label&gt;1183&lt;/label&gt;&lt;urls&gt;&lt;/urls&gt;&lt;custom1&gt;Annex&lt;/custom1&gt;&lt;/record&gt;&lt;/Cite&gt;&lt;/EndNote&gt;</w:instrText>
        </w:r>
        <w:r w:rsidR="00305FE7">
          <w:fldChar w:fldCharType="separate"/>
        </w:r>
        <w:r w:rsidR="00305FE7">
          <w:rPr>
            <w:noProof/>
          </w:rPr>
          <w:t>Lee Long</w:t>
        </w:r>
        <w:r w:rsidR="00305FE7" w:rsidRPr="00ED4C4C">
          <w:rPr>
            <w:i/>
            <w:noProof/>
          </w:rPr>
          <w:t xml:space="preserve"> et al.</w:t>
        </w:r>
        <w:r w:rsidR="00305FE7">
          <w:rPr>
            <w:noProof/>
          </w:rPr>
          <w:t xml:space="preserve"> 1996b</w:t>
        </w:r>
        <w:r w:rsidR="00305FE7">
          <w:fldChar w:fldCharType="end"/>
        </w:r>
      </w:hyperlink>
      <w:r>
        <w:t>), the Dugong Protection Areas of Llewellyn Bay, Ince Bay and the Clairview Region (</w:t>
      </w:r>
      <w:hyperlink w:anchor="_ENREF_44" w:tooltip="Coles, 2002 #9363" w:history="1">
        <w:r w:rsidR="00305FE7">
          <w:fldChar w:fldCharType="begin"/>
        </w:r>
        <w:r w:rsidR="00305FE7">
          <w:instrText xml:space="preserve"> ADDIN EN.CITE &lt;EndNote&gt;&lt;Cite&gt;&lt;Author&gt;Coles&lt;/Author&gt;&lt;Year&gt;2002&lt;/Year&gt;&lt;RecNum&gt;9363&lt;/RecNum&gt;&lt;DisplayText&gt;Coles&lt;style face="italic"&gt; et al.&lt;/style&gt; 2002&lt;/DisplayText&gt;&lt;record&gt;&lt;rec-number&gt;9363&lt;/rec-number&gt;&lt;foreign-keys&gt;&lt;key app="EN" db-id="0eve55x9y5vfd6e9dacxtew4eatve2dzds9a" timestamp="1375052481"&gt;9363&lt;/key&gt;&lt;/foreign-keys&gt;&lt;ref-type name="Edited Book"&gt;28&lt;/ref-type&gt;&lt;contributors&gt;&lt;authors&gt;&lt;author&gt;Coles, Robert G&lt;/author&gt;&lt;author&gt;Lee Long, Warren J&lt;/author&gt;&lt;author&gt;McKenzie, Len J&lt;/author&gt;&lt;author&gt;Roder, Chantal A&lt;/author&gt;&lt;/authors&gt;&lt;/contributors&gt;&lt;titles&gt;&lt;title&gt;Seagrass and Marine Resources in the Dugong Protection Areas of Upstart Bay, Newry Region, Sand Bay, Llewellyn Bay, Ince Bay and the Clairview Region, April/May 1999 and October 1999&lt;/title&gt;&lt;secondary-title&gt;Research Publication No 72&lt;/secondary-title&gt;&lt;/titles&gt;&lt;pages&gt;131&lt;/pages&gt;&lt;dates&gt;&lt;year&gt;2002&lt;/year&gt;&lt;/dates&gt;&lt;pub-location&gt;Townsville&lt;/pub-location&gt;&lt;publisher&gt;Great Barrier Reef Marine Park Authority&lt;/publisher&gt;&lt;isbn&gt;1876945087&lt;/isbn&gt;&lt;urls&gt;&lt;/urls&gt;&lt;/record&gt;&lt;/Cite&gt;&lt;/EndNote&gt;</w:instrText>
        </w:r>
        <w:r w:rsidR="00305FE7">
          <w:fldChar w:fldCharType="separate"/>
        </w:r>
        <w:r w:rsidR="00305FE7">
          <w:rPr>
            <w:noProof/>
          </w:rPr>
          <w:t>Coles</w:t>
        </w:r>
        <w:r w:rsidR="00305FE7" w:rsidRPr="00ED4C4C">
          <w:rPr>
            <w:i/>
            <w:noProof/>
          </w:rPr>
          <w:t xml:space="preserve"> et al.</w:t>
        </w:r>
        <w:r w:rsidR="00305FE7">
          <w:rPr>
            <w:noProof/>
          </w:rPr>
          <w:t xml:space="preserve"> 2002</w:t>
        </w:r>
        <w:r w:rsidR="00305FE7">
          <w:fldChar w:fldCharType="end"/>
        </w:r>
      </w:hyperlink>
      <w:r>
        <w:t>) and Port Curtis to Rodds Bay (</w:t>
      </w:r>
      <w:hyperlink w:anchor="_ENREF_199" w:tooltip="Rasheed, 2003 #9496" w:history="1">
        <w:r w:rsidR="00305FE7">
          <w:fldChar w:fldCharType="begin"/>
        </w:r>
        <w:r w:rsidR="00305FE7">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305FE7">
          <w:fldChar w:fldCharType="separate"/>
        </w:r>
        <w:r w:rsidR="00305FE7">
          <w:rPr>
            <w:noProof/>
          </w:rPr>
          <w:t>Rasheed</w:t>
        </w:r>
        <w:r w:rsidR="00305FE7" w:rsidRPr="00521D93">
          <w:rPr>
            <w:i/>
            <w:noProof/>
          </w:rPr>
          <w:t xml:space="preserve"> et al.</w:t>
        </w:r>
        <w:r w:rsidR="00305FE7">
          <w:rPr>
            <w:noProof/>
          </w:rPr>
          <w:t xml:space="preserve"> 2003</w:t>
        </w:r>
        <w:r w:rsidR="00305FE7">
          <w:fldChar w:fldCharType="end"/>
        </w:r>
      </w:hyperlink>
      <w:r>
        <w:t>). Ten species of seagrass have been recorded from this region ranging from the intertidal to a depth of 48m (</w:t>
      </w:r>
      <w:r w:rsidR="00ED4C4C">
        <w:fldChar w:fldCharType="begin"/>
      </w:r>
      <w:r w:rsidR="00521D93">
        <w:instrText xml:space="preserve"> ADDIN EN.CITE &lt;EndNote&gt;&lt;Cite&gt;&lt;Author&gt;McKenzie&lt;/Author&gt;&lt;Year&gt;2010&lt;/Year&gt;&lt;RecNum&gt;9646&lt;/RecNum&gt;&lt;DisplayText&gt;Coles&lt;style face="italic"&gt; et al.&lt;/style&gt; 2007; 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(DEEDI)&lt;/publisher&gt;&lt;urls&gt;&lt;/urls&gt;&lt;/record&gt;&lt;/Cite&gt;&lt;Cite&gt;&lt;Author&gt;Coles&lt;/Author&gt;&lt;Year&gt;2007&lt;/Year&gt;&lt;RecNum&gt;9281&lt;/RecNum&gt;&lt;record&gt;&lt;rec-number&gt;9281&lt;/rec-number&gt;&lt;foreign-keys&gt;&lt;key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D4C4C">
        <w:fldChar w:fldCharType="separate"/>
      </w:r>
      <w:hyperlink w:anchor="_ENREF_41" w:tooltip="Coles, 2007 #9281" w:history="1">
        <w:r w:rsidR="00305FE7">
          <w:rPr>
            <w:noProof/>
          </w:rPr>
          <w:t>Coles</w:t>
        </w:r>
        <w:r w:rsidR="00305FE7" w:rsidRPr="00521D93">
          <w:rPr>
            <w:i/>
            <w:noProof/>
          </w:rPr>
          <w:t xml:space="preserve"> et al.</w:t>
        </w:r>
        <w:r w:rsidR="00305FE7">
          <w:rPr>
            <w:noProof/>
          </w:rPr>
          <w:t xml:space="preserve"> 2007</w:t>
        </w:r>
      </w:hyperlink>
      <w:r w:rsidR="00521D93">
        <w:rPr>
          <w:noProof/>
        </w:rPr>
        <w:t xml:space="preserve">; </w:t>
      </w:r>
      <w:hyperlink w:anchor="_ENREF_169" w:tooltip="McKenzie, 2010 #9646" w:history="1">
        <w:r w:rsidR="00305FE7">
          <w:rPr>
            <w:noProof/>
          </w:rPr>
          <w:t>McKenzie</w:t>
        </w:r>
        <w:r w:rsidR="00305FE7" w:rsidRPr="00521D93">
          <w:rPr>
            <w:i/>
            <w:noProof/>
          </w:rPr>
          <w:t xml:space="preserve"> et al.</w:t>
        </w:r>
        <w:r w:rsidR="00305FE7">
          <w:rPr>
            <w:noProof/>
          </w:rPr>
          <w:t xml:space="preserve"> 2010c</w:t>
        </w:r>
      </w:hyperlink>
      <w:r w:rsidR="00ED4C4C">
        <w:fldChar w:fldCharType="end"/>
      </w:r>
      <w:r>
        <w:t xml:space="preserve">). The majority of seagrass in this region exist on large shallow banks flats. Expansive meadows exist on the coastal intertidal flats of Ince Bay, Clairview, Shoalwater Bay and Rodds Bay. </w:t>
      </w:r>
      <w:r w:rsidR="001E450E">
        <w:t xml:space="preserve"> </w:t>
      </w:r>
      <w:r>
        <w:t xml:space="preserve">The area of shallow subtidal coastal seagrass habitat in this region is small, as most of the coastline is exposed to south-east winds </w:t>
      </w:r>
      <w:r w:rsidR="002016D1">
        <w:t>(</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rsidR="002016D1">
        <w:t>).</w:t>
      </w:r>
      <w:r>
        <w:t xml:space="preserve"> A significant factor contributing to the lack of suitable coastal habitat is the scouring tidal currents and associated high water turbidity in this region which limits light penetration and therefore the depth to which seagrasses can grow. Deepwater seagrasses were generally not found in the central and northern parts of this region, apart from occasional sites i</w:t>
      </w:r>
      <w:r w:rsidR="002016D1">
        <w:t>n the lee of islands or reefs (</w:t>
      </w:r>
      <w:hyperlink w:anchor="_ENREF_43" w:tooltip="Coles, 2009 #9367" w:history="1">
        <w:r w:rsidR="00305FE7">
          <w:fldChar w:fldCharType="begin"/>
        </w:r>
        <w:r w:rsidR="00305FE7">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2009</w:t>
        </w:r>
        <w:r w:rsidR="00305FE7">
          <w:fldChar w:fldCharType="end"/>
        </w:r>
      </w:hyperlink>
      <w:r>
        <w:t xml:space="preserve">). </w:t>
      </w:r>
    </w:p>
    <w:p w14:paraId="37A9DD39" w14:textId="77777777" w:rsidR="001E450E" w:rsidRDefault="001E450E" w:rsidP="001E450E">
      <w:r>
        <w:t>MMP sites within this region are located in coastal, estuarine or fringing-reef seagrass habitats. Coastal sites are monitored in Shoalwater Bay and are located on the large shallow banks of the north western shores of Shoalwater Bay. The remoteness of this area (due to its zoning as a military exclusion zone) represents a near pristine environment, removed form anthropogenic influence. In contrast, the estuarine sites are located within Gladstone Harbour: a heavily industrialized port. Offshore reef sites are located at Monkey Beach, Great Keppel Island.</w:t>
      </w:r>
    </w:p>
    <w:p w14:paraId="0A989FD7" w14:textId="096FC4BA" w:rsidR="001E450E" w:rsidRDefault="001E450E" w:rsidP="001E450E">
      <w:r>
        <w:t>The Shoalwater Bay monitoring sites are located in a bay which is a continuation of a coastal meadow that is protected by headlands. A feature of the region is the large tidal amplitudes and consequent strong tidal currents (</w:t>
      </w:r>
      <w:r>
        <w:fldChar w:fldCharType="begin"/>
      </w:r>
      <w:r>
        <w:instrText xml:space="preserve"> REF _Ref442620648 \h </w:instrText>
      </w:r>
      <w:r>
        <w:fldChar w:fldCharType="separate"/>
      </w:r>
      <w:r w:rsidR="00F87DF9">
        <w:rPr>
          <w:color w:val="000000"/>
        </w:rPr>
        <w:t xml:space="preserve">Figure </w:t>
      </w:r>
      <w:r w:rsidR="00F87DF9">
        <w:rPr>
          <w:noProof/>
          <w:color w:val="000000"/>
        </w:rPr>
        <w:t>131</w:t>
      </w:r>
      <w:r>
        <w:fldChar w:fldCharType="end"/>
      </w:r>
      <w:r>
        <w:t>). As part of this tidal regime, large intertidal banks are formed which are left exposed for many hours. Pooling of water in the high intertidal, results in small isolated seagrass patches 1-2m above Mean Sea Level (MSL).</w:t>
      </w:r>
    </w:p>
    <w:p w14:paraId="1C38B434" w14:textId="77777777" w:rsidR="001E450E" w:rsidRDefault="001E450E" w:rsidP="001E450E"/>
    <w:p w14:paraId="4665F21A" w14:textId="77777777" w:rsidR="001E450E" w:rsidRPr="009E6BC4" w:rsidRDefault="001E450E" w:rsidP="001E450E">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23C48768" wp14:editId="458B59CD">
            <wp:extent cx="5751195" cy="2179320"/>
            <wp:effectExtent l="0" t="0" r="1905" b="0"/>
            <wp:docPr id="10209" name="Picture 10209" descr="Conceptual diagram of seagrass meadow processes for coastal habitats in the Fitzroy region showing major control is pulsed light,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tzroy_NRM_coast"/>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5005A6A9" w14:textId="74E17F23" w:rsidR="001E450E" w:rsidRDefault="001E450E" w:rsidP="001E450E">
      <w:pPr>
        <w:rPr>
          <w:i/>
          <w:vanish/>
          <w:color w:val="000000"/>
          <w:szCs w:val="22"/>
          <w:specVanish/>
        </w:rPr>
      </w:pPr>
      <w:bookmarkStart w:id="927" w:name="_Ref442620648"/>
      <w:bookmarkStart w:id="928" w:name="_Toc516053341"/>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131</w:t>
      </w:r>
      <w:r>
        <w:rPr>
          <w:color w:val="000000"/>
        </w:rPr>
        <w:fldChar w:fldCharType="end"/>
      </w:r>
      <w:bookmarkEnd w:id="927"/>
      <w:r>
        <w:rPr>
          <w:color w:val="000000"/>
        </w:rPr>
        <w:t xml:space="preserve">. </w:t>
      </w:r>
      <w:r>
        <w:rPr>
          <w:i/>
          <w:color w:val="000000"/>
        </w:rPr>
        <w:t>Conceptual diagram of coastal habitat in the Fitzroy region</w:t>
      </w:r>
      <w:bookmarkEnd w:id="928"/>
    </w:p>
    <w:p w14:paraId="03D78BB9" w14:textId="4FF70B85" w:rsidR="001E450E" w:rsidRDefault="001E450E" w:rsidP="001E450E">
      <w:pPr>
        <w:rPr>
          <w:color w:val="000000"/>
        </w:rPr>
      </w:pPr>
      <w:r>
        <w:rPr>
          <w:i/>
          <w:color w:val="000000"/>
        </w:rPr>
        <w:t xml:space="preserve"> – major control is pulsed light, salinity and temperature extremes: general habitat, seagrass meadow processes and threats/impacts (see </w:t>
      </w:r>
      <w:r>
        <w:fldChar w:fldCharType="begin"/>
      </w:r>
      <w:r>
        <w:rPr>
          <w:i/>
          <w:color w:val="000000"/>
        </w:rPr>
        <w:instrText xml:space="preserve"> REF _Ref442553728 \h </w:instrText>
      </w:r>
      <w:r>
        <w:fldChar w:fldCharType="separate"/>
      </w:r>
      <w:r w:rsidR="00F87DF9">
        <w:rPr>
          <w:color w:val="000000"/>
          <w:szCs w:val="22"/>
        </w:rPr>
        <w:t xml:space="preserve">Figure </w:t>
      </w:r>
      <w:r w:rsidR="00F87DF9">
        <w:rPr>
          <w:noProof/>
          <w:color w:val="000000"/>
          <w:szCs w:val="22"/>
        </w:rPr>
        <w:t>136</w:t>
      </w:r>
      <w:r>
        <w:fldChar w:fldCharType="end"/>
      </w:r>
      <w:r>
        <w:rPr>
          <w:i/>
          <w:color w:val="000000"/>
        </w:rPr>
        <w:t xml:space="preserve"> for icon explanation). </w:t>
      </w:r>
    </w:p>
    <w:p w14:paraId="7F17E203" w14:textId="05E6E6CC" w:rsidR="001E450E" w:rsidRDefault="001E450E" w:rsidP="001E450E">
      <w:r w:rsidRPr="002016D1">
        <w:t xml:space="preserve">Reef habitat seagrass meadows are found intertidally on the top of the fringing reefs associated with the </w:t>
      </w:r>
      <w:r>
        <w:t>Keppel Isles and Cannibal Island groups, however many of the reefs in the north of the region have not been surveyed</w:t>
      </w:r>
      <w:r w:rsidRPr="002016D1">
        <w:t xml:space="preserve">. The drivers of these habitats are exposure and desiccation (intertidal meadows) </w:t>
      </w:r>
      <w:r>
        <w:t xml:space="preserve">and light limitation associated with wind driven resuspension </w:t>
      </w:r>
      <w:r w:rsidRPr="002016D1">
        <w:t>(</w:t>
      </w:r>
      <w:r>
        <w:fldChar w:fldCharType="begin"/>
      </w:r>
      <w:r>
        <w:instrText xml:space="preserve"> REF _Ref442620404 \h </w:instrText>
      </w:r>
      <w:r>
        <w:fldChar w:fldCharType="separate"/>
      </w:r>
      <w:r w:rsidR="00F87DF9">
        <w:rPr>
          <w:color w:val="000000"/>
        </w:rPr>
        <w:t xml:space="preserve">Figure </w:t>
      </w:r>
      <w:r w:rsidR="00F87DF9">
        <w:rPr>
          <w:noProof/>
          <w:color w:val="000000"/>
        </w:rPr>
        <w:t>132</w:t>
      </w:r>
      <w:r>
        <w:fldChar w:fldCharType="end"/>
      </w:r>
      <w:r w:rsidRPr="002016D1">
        <w:t xml:space="preserve">). </w:t>
      </w:r>
    </w:p>
    <w:p w14:paraId="52469AEE" w14:textId="77777777" w:rsidR="001E450E" w:rsidRPr="009E6BC4" w:rsidRDefault="001E450E" w:rsidP="001E450E">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E00F015" wp14:editId="55070A9A">
            <wp:extent cx="5760000" cy="2188800"/>
            <wp:effectExtent l="0" t="0" r="0" b="2540"/>
            <wp:docPr id="10210" name="Picture 10210" descr="Conceptual diagram of seagrass meadow processes for reef habitats in the Fitzroy region showing major control is light and temperature extremes and benthic shear from tidal curr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Fitzroy_NRM_reef"/>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5760000" cy="2188800"/>
                    </a:xfrm>
                    <a:prstGeom prst="rect">
                      <a:avLst/>
                    </a:prstGeom>
                    <a:noFill/>
                    <a:ln>
                      <a:noFill/>
                    </a:ln>
                  </pic:spPr>
                </pic:pic>
              </a:graphicData>
            </a:graphic>
          </wp:inline>
        </w:drawing>
      </w:r>
    </w:p>
    <w:p w14:paraId="79B27074" w14:textId="23F07C41" w:rsidR="001E450E" w:rsidRDefault="001E450E" w:rsidP="001E450E">
      <w:pPr>
        <w:rPr>
          <w:i/>
          <w:vanish/>
          <w:color w:val="000000"/>
          <w:szCs w:val="22"/>
          <w:specVanish/>
        </w:rPr>
      </w:pPr>
      <w:bookmarkStart w:id="929" w:name="_Ref442620404"/>
      <w:bookmarkStart w:id="930" w:name="_Toc516053342"/>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F87DF9">
        <w:rPr>
          <w:noProof/>
          <w:color w:val="000000"/>
        </w:rPr>
        <w:t>132</w:t>
      </w:r>
      <w:r>
        <w:rPr>
          <w:color w:val="000000"/>
        </w:rPr>
        <w:fldChar w:fldCharType="end"/>
      </w:r>
      <w:bookmarkEnd w:id="929"/>
      <w:r>
        <w:rPr>
          <w:color w:val="000000"/>
        </w:rPr>
        <w:t xml:space="preserve">. </w:t>
      </w:r>
      <w:r>
        <w:rPr>
          <w:i/>
          <w:color w:val="000000"/>
        </w:rPr>
        <w:t>Conceptual diagram of reef habitat in the Fitzroy region</w:t>
      </w:r>
      <w:bookmarkEnd w:id="930"/>
    </w:p>
    <w:p w14:paraId="4D9103BB" w14:textId="27AA3FD7" w:rsidR="001E450E" w:rsidRDefault="001E450E" w:rsidP="001E450E">
      <w:pPr>
        <w:rPr>
          <w:color w:val="000000"/>
        </w:rPr>
      </w:pPr>
      <w:r>
        <w:rPr>
          <w:i/>
          <w:color w:val="000000"/>
        </w:rPr>
        <w:t xml:space="preserve"> - major control is light and temperature extremes and benthic shear from tidal currents: general habitat, seagrass meadow processes and threats/impacts (see </w:t>
      </w:r>
      <w:r>
        <w:fldChar w:fldCharType="begin"/>
      </w:r>
      <w:r>
        <w:rPr>
          <w:i/>
          <w:color w:val="000000"/>
        </w:rPr>
        <w:instrText xml:space="preserve"> REF _Ref442553728 \h </w:instrText>
      </w:r>
      <w:r>
        <w:fldChar w:fldCharType="separate"/>
      </w:r>
      <w:r w:rsidR="00F87DF9">
        <w:rPr>
          <w:color w:val="000000"/>
          <w:szCs w:val="22"/>
        </w:rPr>
        <w:t xml:space="preserve">Figure </w:t>
      </w:r>
      <w:r w:rsidR="00F87DF9">
        <w:rPr>
          <w:noProof/>
          <w:color w:val="000000"/>
          <w:szCs w:val="22"/>
        </w:rPr>
        <w:t>136</w:t>
      </w:r>
      <w:r>
        <w:fldChar w:fldCharType="end"/>
      </w:r>
      <w:r>
        <w:rPr>
          <w:i/>
          <w:color w:val="000000"/>
        </w:rPr>
        <w:t xml:space="preserve"> for icon explanation).</w:t>
      </w:r>
      <w:r>
        <w:rPr>
          <w:color w:val="000000"/>
        </w:rPr>
        <w:t xml:space="preserve"> </w:t>
      </w:r>
    </w:p>
    <w:p w14:paraId="4F4904DC" w14:textId="33FE4BAD" w:rsidR="00035426" w:rsidRDefault="00035426" w:rsidP="008A429D">
      <w:r w:rsidRPr="00035426">
        <w:t>Estuarine seagrass habitats in the southern Fitzroy region tend to be intertidal, on the large sand/mud banks in sheltered areas of the estuaries. Tidal amplitude is not as great as in the north and estuaries that are protected by coastal islands and headlands support meadows of seagrass. These habitats feature scouring, high turbidity and desiccation (linked to this large tide regime), and are the main drivers of distribution and composition of seagrass meadows in this area (</w:t>
      </w:r>
      <w:r w:rsidR="001E450E">
        <w:fldChar w:fldCharType="begin"/>
      </w:r>
      <w:r w:rsidR="001E450E">
        <w:instrText xml:space="preserve"> REF _Ref442620703 \h </w:instrText>
      </w:r>
      <w:r w:rsidR="001E450E">
        <w:fldChar w:fldCharType="separate"/>
      </w:r>
      <w:r w:rsidR="00F87DF9">
        <w:rPr>
          <w:color w:val="000000"/>
        </w:rPr>
        <w:t xml:space="preserve">Figure </w:t>
      </w:r>
      <w:r w:rsidR="00F87DF9">
        <w:rPr>
          <w:noProof/>
          <w:color w:val="000000"/>
        </w:rPr>
        <w:t>133</w:t>
      </w:r>
      <w:r w:rsidR="001E450E">
        <w:fldChar w:fldCharType="end"/>
      </w:r>
      <w:r w:rsidRPr="00035426">
        <w:t>). These southern estuary seagrasses (Gladstone, Port Curtis) are highly susceptible to impacts from local industry and inputs from the Calliope River. Port Curtis is highly industrial with the world’s largest alumina refinery, Australia’s largest aluminium smelter and Queensland’s biggest power station. In addition, Port Curtis contains Queensland’s largest multi-cargo port (Port of Gladstone) with 50 million tonnes of coal passing through the port annually.</w:t>
      </w:r>
    </w:p>
    <w:p w14:paraId="3F4C434A"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A2E9FE6" wp14:editId="39B8E7E3">
            <wp:extent cx="5751195" cy="2173605"/>
            <wp:effectExtent l="0" t="0" r="1905" b="0"/>
            <wp:docPr id="10208" name="Picture 10208" descr="Conceptual diagram of seagrass meadow processes for estuarine habitats in the Fitzroy region showing major control variable rainfall and tidal reg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tzroy_NRM_estuary"/>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14:paraId="6BBE3FC7" w14:textId="3C270D45" w:rsidR="00035426" w:rsidRDefault="00035426" w:rsidP="00035426">
      <w:pPr>
        <w:rPr>
          <w:i/>
          <w:vanish/>
          <w:color w:val="000000"/>
          <w:szCs w:val="22"/>
          <w:specVanish/>
        </w:rPr>
      </w:pPr>
      <w:bookmarkStart w:id="931" w:name="_Ref442620703"/>
      <w:bookmarkStart w:id="932" w:name="_Toc516053343"/>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133</w:t>
      </w:r>
      <w:r w:rsidR="0073595B">
        <w:rPr>
          <w:color w:val="000000"/>
        </w:rPr>
        <w:fldChar w:fldCharType="end"/>
      </w:r>
      <w:bookmarkEnd w:id="931"/>
      <w:r>
        <w:rPr>
          <w:color w:val="000000"/>
        </w:rPr>
        <w:t xml:space="preserve">. </w:t>
      </w:r>
      <w:r>
        <w:rPr>
          <w:i/>
          <w:color w:val="000000"/>
        </w:rPr>
        <w:t>Conceptual diagram of estuary habitat in the Fitzroy region</w:t>
      </w:r>
      <w:bookmarkEnd w:id="932"/>
    </w:p>
    <w:p w14:paraId="7CA1A396" w14:textId="77777777" w:rsidR="00035426" w:rsidRDefault="00035426" w:rsidP="00035426">
      <w:pPr>
        <w:rPr>
          <w:color w:val="000000"/>
        </w:rPr>
      </w:pPr>
      <w:r>
        <w:rPr>
          <w:i/>
          <w:color w:val="000000"/>
        </w:rPr>
        <w:t xml:space="preserve"> – major control variable rainfall and tidal regime: general habitat, seagrass meadow processes and threats/impacts (see Figure 2 for icon explanation). </w:t>
      </w:r>
    </w:p>
    <w:p w14:paraId="600D99B7" w14:textId="77777777" w:rsidR="00035426" w:rsidRDefault="00035426" w:rsidP="008A429D"/>
    <w:p w14:paraId="04CEF4CD" w14:textId="77777777" w:rsidR="00035426" w:rsidRDefault="00035426">
      <w:pPr>
        <w:spacing w:before="0" w:after="0"/>
      </w:pPr>
      <w:r>
        <w:br w:type="page"/>
      </w:r>
    </w:p>
    <w:p w14:paraId="1291FE7E" w14:textId="06A37CAB" w:rsidR="00035426" w:rsidRDefault="00035426" w:rsidP="007D5A48">
      <w:pPr>
        <w:pStyle w:val="Heading2"/>
      </w:pPr>
      <w:bookmarkStart w:id="933" w:name="_Toc516053181"/>
      <w:r>
        <w:t>Burnett</w:t>
      </w:r>
      <w:r w:rsidR="002F55F1">
        <w:t>–</w:t>
      </w:r>
      <w:r>
        <w:t>Mary</w:t>
      </w:r>
      <w:bookmarkEnd w:id="933"/>
    </w:p>
    <w:p w14:paraId="05DCED16" w14:textId="3C44143C" w:rsidR="00035426" w:rsidRDefault="00035426" w:rsidP="00035426">
      <w:r>
        <w:t>The Burnett Mary Region encompasses a land area of more than 56,000 km</w:t>
      </w:r>
      <w:r w:rsidRPr="00843009">
        <w:rPr>
          <w:vertAlign w:val="superscript"/>
        </w:rPr>
        <w:t>2</w:t>
      </w:r>
      <w:r>
        <w:t>, a marine area of almost 10,000 km</w:t>
      </w:r>
      <w:r w:rsidRPr="00843009">
        <w:rPr>
          <w:vertAlign w:val="superscript"/>
        </w:rPr>
        <w:t>2</w:t>
      </w:r>
      <w:r>
        <w:t xml:space="preserve"> and supports a population of over 200,000 people. The region is comprised of a number of catchments including the Baffle Creek, Kolan, Burnett, Burrum and Mary Rivers (</w:t>
      </w:r>
      <w:hyperlink w:anchor="_ENREF_61" w:tooltip="Commonwealth of Australia, 2013 #9692" w:history="1">
        <w:r w:rsidR="00305FE7">
          <w:fldChar w:fldCharType="begin"/>
        </w:r>
        <w:r w:rsidR="00305FE7">
          <w:instrText xml:space="preserve"> ADDIN EN.CITE &lt;EndNote&gt;&lt;Cite&gt;&lt;Author&gt;Commonwealth of Australia&lt;/Author&gt;&lt;Year&gt;2013&lt;/Year&gt;&lt;RecNum&gt;9692&lt;/RecNum&gt;&lt;DisplayText&gt;Commonwealth of Australia 2013b&lt;/DisplayText&gt;&lt;record&gt;&lt;rec-number&gt;9692&lt;/rec-number&gt;&lt;foreign-keys&gt;&lt;key app="EN" db-id="0eve55x9y5vfd6e9dacxtew4eatve2dzds9a" timestamp="1393018300"&gt;9692&lt;/key&gt;&lt;/foreign-keys&gt;&lt;ref-type name="Web Page"&gt;12&lt;/ref-type&gt;&lt;contributors&gt;&lt;authors&gt;&lt;author&gt;Commonwealth of Australia,&lt;/author&gt;&lt;/authors&gt;&lt;/contributors&gt;&lt;titles&gt;&lt;title&gt;Burnett Mary Natural Resource Management region, http://www.nrm.gov.au/about/nrm/regions/qld-bmar.html&lt;/title&gt;&lt;/titles&gt;&lt;number&gt;18 February 2014&lt;/number&gt;&lt;dates&gt;&lt;year&gt;2013&lt;/year&gt;&lt;/dates&gt;&lt;urls&gt;&lt;related-urls&gt;&lt;url&gt;http://www.nrm.gov.au/about/nrm/regions/qld-fitz.html&lt;/url&gt;&lt;/related-urls&gt;&lt;/urls&gt;&lt;/record&gt;&lt;/Cite&gt;&lt;/EndNote&gt;</w:instrText>
        </w:r>
        <w:r w:rsidR="00305FE7">
          <w:fldChar w:fldCharType="separate"/>
        </w:r>
        <w:r w:rsidR="00305FE7">
          <w:rPr>
            <w:noProof/>
          </w:rPr>
          <w:t>Commonwealth of Australia 2013b</w:t>
        </w:r>
        <w:r w:rsidR="00305FE7">
          <w:fldChar w:fldCharType="end"/>
        </w:r>
      </w:hyperlink>
      <w:r>
        <w:t>). Only the northern most catchment of the Burnett Mary region, the Baffle Basin, is within the GBR and includes the tidal mudflats and mangroves in Rodds Peninsula/Turkey Beach considered ‘near pristine’ (</w:t>
      </w:r>
      <w:hyperlink w:anchor="_ENREF_22" w:tooltip="Burnett Mary Regional Group, 2005 #9693" w:history="1">
        <w:r w:rsidR="00305FE7">
          <w:fldChar w:fldCharType="begin"/>
        </w:r>
        <w:r w:rsidR="00305FE7">
          <w:instrText xml:space="preserve"> ADDIN EN.CITE &lt;EndNote&gt;&lt;Cite&gt;&lt;Author&gt;Burnett Mary Regional Group&lt;/Author&gt;&lt;Year&gt;2005&lt;/Year&gt;&lt;RecNum&gt;9693&lt;/RecNum&gt;&lt;DisplayText&gt;Burnett Mary Regional Group 2005&lt;/DisplayText&gt;&lt;record&gt;&lt;rec-number&gt;9693&lt;/rec-number&gt;&lt;foreign-keys&gt;&lt;key app="EN" db-id="0eve55x9y5vfd6e9dacxtew4eatve2dzds9a" timestamp="1393033811"&gt;9693&lt;/key&gt;&lt;/foreign-keys&gt;&lt;ref-type name="Book"&gt;6&lt;/ref-type&gt;&lt;contributors&gt;&lt;authors&gt;&lt;author&gt;Burnett Mary Regional Group,&lt;/author&gt;&lt;/authors&gt;&lt;/contributors&gt;&lt;titles&gt;&lt;title&gt;Country to Coast – A Healthy Sustainable Future Volume 1a  Background Report&lt;/title&gt;&lt;/titles&gt;&lt;pages&gt;235&lt;/pages&gt;&lt;dates&gt;&lt;year&gt;2005&lt;/year&gt;&lt;/dates&gt;&lt;pub-location&gt;Bundaberg, Qld&lt;/pub-location&gt;&lt;publisher&gt;Burnett Mary Regional Group&lt;/publisher&gt;&lt;isbn&gt;http://www.bmrg.org.au/files/9413/9407/2541/Vol1aBackgroundReport06Feb05.pdf&lt;/isbn&gt;&lt;urls&gt;&lt;/urls&gt;&lt;/record&gt;&lt;/Cite&gt;&lt;/EndNote&gt;</w:instrText>
        </w:r>
        <w:r w:rsidR="00305FE7">
          <w:fldChar w:fldCharType="separate"/>
        </w:r>
        <w:r w:rsidR="00305FE7">
          <w:rPr>
            <w:noProof/>
          </w:rPr>
          <w:t>Burnett Mary Regional Group 2005</w:t>
        </w:r>
        <w:r w:rsidR="00305FE7">
          <w:fldChar w:fldCharType="end"/>
        </w:r>
      </w:hyperlink>
      <w:r>
        <w:t xml:space="preserve">). </w:t>
      </w:r>
    </w:p>
    <w:p w14:paraId="07801925" w14:textId="119D27C7" w:rsidR="00035426" w:rsidRDefault="00035426" w:rsidP="00035426">
      <w:r>
        <w:t>Principal land uses in the Burnett-Baffle area are beef cattle grazing (the largest though currently declining), small crop growers, forestry (including plantations), tourism and fishing (</w:t>
      </w:r>
      <w:hyperlink w:anchor="_ENREF_23" w:tooltip="Burnett Mary Regional Group, 2010 #9698" w:history="1">
        <w:r w:rsidR="00305FE7">
          <w:fldChar w:fldCharType="begin"/>
        </w:r>
        <w:r w:rsidR="00305FE7">
          <w:instrText xml:space="preserve"> ADDIN EN.CITE &lt;EndNote&gt;&lt;Cite&gt;&lt;Author&gt;Burnett Mary Regional Group&lt;/Author&gt;&lt;Year&gt;2010&lt;/Year&gt;&lt;RecNum&gt;9698&lt;/RecNum&gt;&lt;DisplayText&gt;Burnett Mary Regional Group 2010&lt;/DisplayText&gt;&lt;record&gt;&lt;rec-number&gt;9698&lt;/rec-number&gt;&lt;foreign-keys&gt;&lt;key app="EN" db-id="0eve55x9y5vfd6e9dacxtew4eatve2dzds9a" timestamp="1393036306"&gt;9698&lt;/key&gt;&lt;/foreign-keys&gt;&lt;ref-type name="Book"&gt;6&lt;/ref-type&gt;&lt;contributors&gt;&lt;authors&gt;&lt;author&gt;Burnett Mary Regional Group,&lt;/author&gt;&lt;/authors&gt;&lt;/contributors&gt;&lt;titles&gt;&lt;title&gt;Burnett-Baffle Water Quality Improvement Plan&lt;/title&gt;&lt;/titles&gt;&lt;pages&gt;54&lt;/pages&gt;&lt;dates&gt;&lt;year&gt;2010&lt;/year&gt;&lt;/dates&gt;&lt;pub-location&gt;Bundaberg&lt;/pub-location&gt;&lt;publisher&gt;Burnett Mary Regional Group&lt;/publisher&gt;&lt;urls&gt;&lt;/urls&gt;&lt;/record&gt;&lt;/Cite&gt;&lt;/EndNote&gt;</w:instrText>
        </w:r>
        <w:r w:rsidR="00305FE7">
          <w:fldChar w:fldCharType="separate"/>
        </w:r>
        <w:r w:rsidR="00305FE7">
          <w:rPr>
            <w:noProof/>
          </w:rPr>
          <w:t>Burnett Mary Regional Group 2010</w:t>
        </w:r>
        <w:r w:rsidR="00305FE7">
          <w:fldChar w:fldCharType="end"/>
        </w:r>
      </w:hyperlink>
      <w:r>
        <w:t>). Other significant land uses include conservation, rural and urban residential development (</w:t>
      </w:r>
      <w:hyperlink w:anchor="_ENREF_192" w:tooltip="Prange, 2004 #9697" w:history="1">
        <w:r w:rsidR="00305FE7">
          <w:fldChar w:fldCharType="begin"/>
        </w:r>
        <w:r w:rsidR="00305FE7">
          <w:instrText xml:space="preserve"> ADDIN EN.CITE &lt;EndNote&gt;&lt;Cite&gt;&lt;Author&gt;Prange&lt;/Author&gt;&lt;Year&gt;2004&lt;/Year&gt;&lt;RecNum&gt;9697&lt;/RecNum&gt;&lt;DisplayText&gt;Prange and Duke 2004&lt;/DisplayText&gt;&lt;record&gt;&lt;rec-number&gt;9697&lt;/rec-number&gt;&lt;foreign-keys&gt;&lt;key app="EN" db-id="0eve55x9y5vfd6e9dacxtew4eatve2dzds9a" timestamp="1393036115"&gt;9697&lt;/key&gt;&lt;/foreign-keys&gt;&lt;ref-type name="Book"&gt;6&lt;/ref-type&gt;&lt;contributors&gt;&lt;authors&gt;&lt;author&gt;Prange, J A&lt;/author&gt;&lt;author&gt;Duke, N C&lt;/author&gt;&lt;/authors&gt;&lt;/contributors&gt;&lt;titles&gt;&lt;title&gt;Burnett Mary Regional Assessment: Estuarine and Marine Water Quality and Wetland Habitats of the Burnett Mary Region. Report to Burnett Mary Regional Group for Natural Resource Management.&lt;/title&gt;&lt;/titles&gt;&lt;dates&gt;&lt;year&gt;2004&lt;/year&gt;&lt;/dates&gt;&lt;pub-location&gt;Brisbane&lt;/pub-location&gt;&lt;publisher&gt;Centre for Marine Studies, The University of Queensland&lt;/publisher&gt;&lt;urls&gt;&lt;/urls&gt;&lt;/record&gt;&lt;/Cite&gt;&lt;/EndNote&gt;</w:instrText>
        </w:r>
        <w:r w:rsidR="00305FE7">
          <w:fldChar w:fldCharType="separate"/>
        </w:r>
        <w:r w:rsidR="00305FE7">
          <w:rPr>
            <w:noProof/>
          </w:rPr>
          <w:t>Prange and Duke 2004</w:t>
        </w:r>
        <w:r w:rsidR="00305FE7">
          <w:fldChar w:fldCharType="end"/>
        </w:r>
      </w:hyperlink>
      <w:r>
        <w:t>). Located in the northern section of the region is Rodds Bay, where freshwater input is minor from seasonal flows in small catchments, and water quality generally good - little organic/inorganic pollution even though Rodds Harbour has elevated natural turbidity and minor increases in sediment loads from grazing and development (</w:t>
      </w:r>
      <w:hyperlink w:anchor="_ENREF_93" w:tooltip="Ford, 2004 #9699" w:history="1">
        <w:r w:rsidR="00305FE7">
          <w:fldChar w:fldCharType="begin"/>
        </w:r>
        <w:r w:rsidR="00305FE7">
          <w:instrText xml:space="preserve"> ADDIN EN.CITE &lt;EndNote&gt;&lt;Cite&gt;&lt;Author&gt;Ford&lt;/Author&gt;&lt;Year&gt;2004&lt;/Year&gt;&lt;RecNum&gt;9699&lt;/RecNum&gt;&lt;DisplayText&gt;Ford 2004&lt;/DisplayText&gt;&lt;record&gt;&lt;rec-number&gt;9699&lt;/rec-number&gt;&lt;foreign-keys&gt;&lt;key app="EN" db-id="0eve55x9y5vfd6e9dacxtew4eatve2dzds9a" timestamp="1393043033"&gt;9699&lt;/key&gt;&lt;/foreign-keys&gt;&lt;ref-type name="Web Page"&gt;12&lt;/ref-type&gt;&lt;contributors&gt;&lt;authors&gt;&lt;author&gt;Ford, G I&lt;/author&gt;&lt;/authors&gt;&lt;secondary-authors&gt;&lt;author&gt;Miller, G J&lt;/author&gt;&lt;author&gt;Worland, J L&lt;/author&gt;&lt;/secondary-authors&gt;&lt;/contributors&gt;&lt;titles&gt;&lt;title&gt;Colosseum Inlet - Rodds Bay - QLD129.&lt;/title&gt;&lt;secondary-title&gt;Directory of Important Wetlands in Australia - Information sheet&lt;/secondary-title&gt;&lt;/titles&gt;&lt;dates&gt;&lt;year&gt;2004&lt;/year&gt;&lt;/dates&gt;&lt;pub-location&gt;Canberra&lt;/pub-location&gt;&lt;publisher&gt;Department of Enivornment, Australian Government &lt;/publisher&gt;&lt;urls&gt;&lt;related-urls&gt;&lt;url&gt;http://www.environment.gov.au/node/25064&lt;/url&gt;&lt;/related-urls&gt;&lt;/urls&gt;&lt;/record&gt;&lt;/Cite&gt;&lt;/EndNote&gt;</w:instrText>
        </w:r>
        <w:r w:rsidR="00305FE7">
          <w:fldChar w:fldCharType="separate"/>
        </w:r>
        <w:r w:rsidR="00305FE7">
          <w:rPr>
            <w:noProof/>
          </w:rPr>
          <w:t>Ford 2004</w:t>
        </w:r>
        <w:r w:rsidR="00305FE7">
          <w:fldChar w:fldCharType="end"/>
        </w:r>
      </w:hyperlink>
      <w:r>
        <w:t>). The southern region includes the Mary River catchment (9181km²) and although outside the GBR Marine Park, is highly connected through oceanographic processes and plays a major driver of southern GBR ecosystems (</w:t>
      </w:r>
      <w:hyperlink w:anchor="_ENREF_24" w:tooltip="Burnett Mary Regional Group, 2013 #9696" w:history="1">
        <w:r w:rsidR="00305FE7">
          <w:fldChar w:fldCharType="begin"/>
        </w:r>
        <w:r w:rsidR="00305FE7">
          <w:instrText xml:space="preserve"> ADDIN EN.CITE &lt;EndNote&gt;&lt;Cite&gt;&lt;Author&gt;Burnett Mary Regional Group&lt;/Author&gt;&lt;Year&gt;2013&lt;/Year&gt;&lt;RecNum&gt;9696&lt;/RecNum&gt;&lt;DisplayText&gt;Burnett Mary Regional Group 2013&lt;/DisplayText&gt;&lt;record&gt;&lt;rec-number&gt;9696&lt;/rec-number&gt;&lt;foreign-keys&gt;&lt;key app="EN" db-id="0eve55x9y5vfd6e9dacxtew4eatve2dzds9a" timestamp="1393034853"&gt;9696&lt;/key&gt;&lt;/foreign-keys&gt;&lt;ref-type name="Book"&gt;6&lt;/ref-type&gt;&lt;contributors&gt;&lt;authors&gt;&lt;author&gt;Burnett Mary Regional Group,&lt;/author&gt;&lt;/authors&gt;&lt;/contributors&gt;&lt;titles&gt;&lt;title&gt;Wide Bay Burnett, Environment and Natural Resource Management Plan 2012-2031 - Regional targets to support the environment and sustainability framework of the Wide Bay Burnett Regional Plan&lt;/title&gt;&lt;/titles&gt;&lt;pages&gt;48&lt;/pages&gt;&lt;dates&gt;&lt;year&gt;2013&lt;/year&gt;&lt;/dates&gt;&lt;pub-location&gt;Bundaberg&lt;/pub-location&gt;&lt;publisher&gt;Burnett Mary Regional Group&lt;/publisher&gt;&lt;urls&gt;&lt;/urls&gt;&lt;/record&gt;&lt;/Cite&gt;&lt;/EndNote&gt;</w:instrText>
        </w:r>
        <w:r w:rsidR="00305FE7">
          <w:fldChar w:fldCharType="separate"/>
        </w:r>
        <w:r w:rsidR="00305FE7">
          <w:rPr>
            <w:noProof/>
          </w:rPr>
          <w:t>Burnett Mary Regional Group 2013</w:t>
        </w:r>
        <w:r w:rsidR="00305FE7">
          <w:fldChar w:fldCharType="end"/>
        </w:r>
      </w:hyperlink>
      <w:r>
        <w:t>). Grazing predominates and utilises 42</w:t>
      </w:r>
      <w:r w:rsidR="0063478C">
        <w:t xml:space="preserve"> per cent</w:t>
      </w:r>
      <w:r>
        <w:t xml:space="preserve"> of the land area of the Mary catchment. High rainfall areas to the south and east host the majority of residential development, horticulture, and intensive livestock. Forestry and nature conservation, each of which occupies 18</w:t>
      </w:r>
      <w:r w:rsidR="0063478C">
        <w:t xml:space="preserve"> per cent</w:t>
      </w:r>
      <w:r>
        <w:t xml:space="preserve"> of the catchment, are the second largest land uses, with intensive anthropogenic uses (residential, manufacturing, services, waste treatment, transport, and services) occupying 13</w:t>
      </w:r>
      <w:r w:rsidR="0063478C">
        <w:t xml:space="preserve"> per cent</w:t>
      </w:r>
      <w:r>
        <w:t xml:space="preserve"> of the catchment area (</w:t>
      </w:r>
      <w:hyperlink w:anchor="_ENREF_230" w:tooltip="Walker, 2008 #9695" w:history="1">
        <w:r w:rsidR="00305FE7">
          <w:fldChar w:fldCharType="begin"/>
        </w:r>
        <w:r w:rsidR="00305FE7">
          <w:instrText xml:space="preserve"> ADDIN EN.CITE &lt;EndNote&gt;&lt;Cite&gt;&lt;Author&gt;Walker&lt;/Author&gt;&lt;Year&gt;2008&lt;/Year&gt;&lt;RecNum&gt;9695&lt;/RecNum&gt;&lt;DisplayText&gt;Walker and Esslemont 2008&lt;/DisplayText&gt;&lt;record&gt;&lt;rec-number&gt;9695&lt;/rec-number&gt;&lt;foreign-keys&gt;&lt;key app="EN" db-id="0eve55x9y5vfd6e9dacxtew4eatve2dzds9a" timestamp="1393034181"&gt;9695&lt;/key&gt;&lt;/foreign-keys&gt;&lt;ref-type name="Book"&gt;6&lt;/ref-type&gt;&lt;contributors&gt;&lt;authors&gt;&lt;author&gt;Walker, M&lt;/author&gt;&lt;author&gt;Esslemont, G&lt;/author&gt;&lt;/authors&gt;&lt;/contributors&gt;&lt;titles&gt;&lt;title&gt;Mary Water Quality Improvement Plan, Draft Version 1.2.&lt;/title&gt;&lt;/titles&gt;&lt;pages&gt;123&lt;/pages&gt;&lt;dates&gt;&lt;year&gt;2008&lt;/year&gt;&lt;/dates&gt;&lt;pub-location&gt;Bundaberg&lt;/pub-location&gt;&lt;publisher&gt;Wide Bay Water Corporation and Burnett Mary Regional Group for Natural Resource Management&lt;/publisher&gt;&lt;urls&gt;&lt;/urls&gt;&lt;/record&gt;&lt;/Cite&gt;&lt;/EndNote&gt;</w:instrText>
        </w:r>
        <w:r w:rsidR="00305FE7">
          <w:fldChar w:fldCharType="separate"/>
        </w:r>
        <w:r w:rsidR="00305FE7">
          <w:rPr>
            <w:noProof/>
          </w:rPr>
          <w:t>Walker and Esslemont 2008</w:t>
        </w:r>
        <w:r w:rsidR="00305FE7">
          <w:fldChar w:fldCharType="end"/>
        </w:r>
      </w:hyperlink>
      <w:r>
        <w:t>). Sediment, total nitrogen and total phosphorus exports from the Mary catchment to the coastal receiving waters are estimated to be 455 kt.yr</w:t>
      </w:r>
      <w:r w:rsidRPr="00843009">
        <w:rPr>
          <w:vertAlign w:val="superscript"/>
        </w:rPr>
        <w:t>-1</w:t>
      </w:r>
      <w:r>
        <w:t>, 1.541 kt.yr</w:t>
      </w:r>
      <w:r w:rsidRPr="00843009">
        <w:rPr>
          <w:vertAlign w:val="superscript"/>
        </w:rPr>
        <w:t>-1</w:t>
      </w:r>
      <w:r>
        <w:t xml:space="preserve"> and 0.344 kt.yr</w:t>
      </w:r>
      <w:r w:rsidRPr="00843009">
        <w:rPr>
          <w:vertAlign w:val="superscript"/>
        </w:rPr>
        <w:t>-1</w:t>
      </w:r>
      <w:r>
        <w:t>, respectively (</w:t>
      </w:r>
      <w:hyperlink w:anchor="_ENREF_81" w:tooltip="DeRose, 2002 #9694" w:history="1">
        <w:r w:rsidR="00305FE7">
          <w:fldChar w:fldCharType="begin"/>
        </w:r>
        <w:r w:rsidR="00305FE7">
          <w:instrText xml:space="preserve"> ADDIN EN.CITE &lt;EndNote&gt;&lt;Cite&gt;&lt;Author&gt;DeRose&lt;/Author&gt;&lt;Year&gt;2002&lt;/Year&gt;&lt;RecNum&gt;9694&lt;/RecNum&gt;&lt;DisplayText&gt;DeRose&lt;style face="italic"&gt; et al.&lt;/style&gt; 2002&lt;/DisplayText&gt;&lt;record&gt;&lt;rec-number&gt;9694&lt;/rec-number&gt;&lt;foreign-keys&gt;&lt;key app="EN" db-id="0eve55x9y5vfd6e9dacxtew4eatve2dzds9a" timestamp="1393033897"&gt;9694&lt;/key&gt;&lt;/foreign-keys&gt;&lt;ref-type name="Book"&gt;6&lt;/ref-type&gt;&lt;contributors&gt;&lt;authors&gt;&lt;author&gt;DeRose, R C&lt;/author&gt;&lt;author&gt;Prosser, I P&lt;/author&gt;&lt;author&gt;Wilkinson, L J&lt;/author&gt;&lt;author&gt;Hughes, A O&lt;/author&gt;&lt;author&gt;Young, W J&lt;/author&gt;&lt;/authors&gt;&lt;/contributors&gt;&lt;titles&gt;&lt;title&gt;Regional Patterns of Erosion and Sediment and Nutrient Transport in the Mary River Catchment, Queensland. Technical Report 37/02, August 2002.&lt;/title&gt;&lt;/titles&gt;&lt;dates&gt;&lt;year&gt;2002&lt;/year&gt;&lt;/dates&gt;&lt;pub-location&gt;Canberra&lt;/pub-location&gt;&lt;publisher&gt;CSIRO Land and Water&lt;/publisher&gt;&lt;urls&gt;&lt;/urls&gt;&lt;/record&gt;&lt;/Cite&gt;&lt;/EndNote&gt;</w:instrText>
        </w:r>
        <w:r w:rsidR="00305FE7">
          <w:fldChar w:fldCharType="separate"/>
        </w:r>
        <w:r w:rsidR="00305FE7">
          <w:rPr>
            <w:noProof/>
          </w:rPr>
          <w:t>DeRose</w:t>
        </w:r>
        <w:r w:rsidR="00305FE7" w:rsidRPr="00ED4C4C">
          <w:rPr>
            <w:i/>
            <w:noProof/>
          </w:rPr>
          <w:t xml:space="preserve"> et al.</w:t>
        </w:r>
        <w:r w:rsidR="00305FE7">
          <w:rPr>
            <w:noProof/>
          </w:rPr>
          <w:t xml:space="preserve"> 2002</w:t>
        </w:r>
        <w:r w:rsidR="00305FE7">
          <w:fldChar w:fldCharType="end"/>
        </w:r>
      </w:hyperlink>
      <w:r>
        <w:t>). Since European settlement, relative erosion rates in some sections of the Western Mary have increased 2 to 7 fold, and 4 to more than 14 fold in the Upper Mary (</w:t>
      </w:r>
      <w:hyperlink w:anchor="_ENREF_90" w:tooltip="Esslemont, 2006 #9701" w:history="1">
        <w:r w:rsidR="00305FE7">
          <w:fldChar w:fldCharType="begin"/>
        </w:r>
        <w:r w:rsidR="00305FE7">
          <w:instrText xml:space="preserve"> ADDIN EN.CITE &lt;EndNote&gt;&lt;Cite&gt;&lt;Author&gt;Esslemont&lt;/Author&gt;&lt;Year&gt;2006&lt;/Year&gt;&lt;RecNum&gt;9701&lt;/RecNum&gt;&lt;DisplayText&gt;Esslemont&lt;style face="italic"&gt; et al.&lt;/style&gt; 2006&lt;/DisplayText&gt;&lt;record&gt;&lt;rec-number&gt;9701&lt;/rec-number&gt;&lt;foreign-keys&gt;&lt;key app="EN" db-id="0eve55x9y5vfd6e9dacxtew4eatve2dzds9a" timestamp="1393044758"&gt;9701&lt;/key&gt;&lt;/foreign-keys&gt;&lt;ref-type name="Book"&gt;6&lt;/ref-type&gt;&lt;contributors&gt;&lt;authors&gt;&lt;author&gt;Esslemont, G.&lt;/author&gt;&lt;author&gt;Fentie, B&lt;/author&gt;&lt;author&gt;Negus, P&lt;/author&gt;&lt;author&gt;Marsh, N&lt;/author&gt;&lt;/authors&gt;&lt;/contributors&gt;&lt;titles&gt;&lt;title&gt;Burnett, Mary Regional Water Quality Summary. Water Quality State-Level Project, Brisbane&lt;/title&gt;&lt;/titles&gt;&lt;dates&gt;&lt;year&gt;2006&lt;/year&gt;&lt;/dates&gt;&lt;urls&gt;&lt;/urls&gt;&lt;/record&gt;&lt;/Cite&gt;&lt;/EndNote&gt;</w:instrText>
        </w:r>
        <w:r w:rsidR="00305FE7">
          <w:fldChar w:fldCharType="separate"/>
        </w:r>
        <w:r w:rsidR="00305FE7">
          <w:rPr>
            <w:noProof/>
          </w:rPr>
          <w:t>Esslemont</w:t>
        </w:r>
        <w:r w:rsidR="00305FE7" w:rsidRPr="00ED4C4C">
          <w:rPr>
            <w:i/>
            <w:noProof/>
          </w:rPr>
          <w:t xml:space="preserve"> et al.</w:t>
        </w:r>
        <w:r w:rsidR="00305FE7">
          <w:rPr>
            <w:noProof/>
          </w:rPr>
          <w:t xml:space="preserve"> 2006</w:t>
        </w:r>
        <w:r w:rsidR="00305FE7">
          <w:fldChar w:fldCharType="end"/>
        </w:r>
      </w:hyperlink>
      <w:r>
        <w:t xml:space="preserve">). </w:t>
      </w:r>
    </w:p>
    <w:p w14:paraId="5851641A" w14:textId="46BBA870" w:rsidR="00035426" w:rsidRDefault="00035426" w:rsidP="00035426">
      <w:r>
        <w:t>Seagrass in the region were first broadly surveyed in 1988 (</w:t>
      </w:r>
      <w:hyperlink w:anchor="_ENREF_132" w:tooltip="Lee Long, 1992 #678" w:history="1">
        <w:r w:rsidR="00305FE7">
          <w:fldChar w:fldCharType="begin"/>
        </w:r>
        <w:r w:rsidR="00305FE7">
          <w:instrText xml:space="preserve"> ADDIN EN.CITE &lt;EndNote&gt;&lt;Cite&gt;&lt;Author&gt;Lee Long&lt;/Author&gt;&lt;Year&gt;1992&lt;/Year&gt;&lt;RecNum&gt;678&lt;/RecNum&gt;&lt;DisplayText&gt;Lee Long&lt;style face="italic"&gt; et al.&lt;/style&gt; 1992&lt;/DisplayText&gt;&lt;record&gt;&lt;rec-number&gt;678&lt;/rec-number&gt;&lt;foreign-keys&gt;&lt;key app="EN" db-id="0eve55x9y5vfd6e9dacxtew4eatve2dzds9a" timestamp="0"&gt;678&lt;/key&gt;&lt;/foreign-keys&gt;&lt;ref-type name="Book"&gt;6&lt;/ref-type&gt;&lt;contributors&gt;&lt;authors&gt;&lt;author&gt;Lee Long, Warren J.&lt;/author&gt;&lt;author&gt;Coles, Robert G.&lt;/author&gt;&lt;author&gt;Miller, K. J.&lt;/author&gt;&lt;author&gt;Vidler, K. P.&lt;/author&gt;&lt;author&gt;Derbyshire, Kurt J.&lt;/author&gt;&lt;/authors&gt;&lt;/contributors&gt;&lt;titles&gt;&lt;title&gt;Seagrass beds and juvenile prawn and fish nursery grounds: Water Park Point to Hervey Bay, Queensland&lt;/title&gt;&lt;secondary-title&gt;Queensland Department of Primary Industries Information Series&lt;/secondary-title&gt;&lt;/titles&gt;&lt;periodical&gt;&lt;full-title&gt;Queensland Department of Primary Industries Information Series&lt;/full-title&gt;&lt;/periodical&gt;&lt;pages&gt;39&lt;/pages&gt;&lt;dates&gt;&lt;year&gt;1992&lt;/year&gt;&lt;/dates&gt;&lt;pub-location&gt;Brisbane&lt;/pub-location&gt;&lt;publisher&gt;Queensland Department of Primary Industries&lt;/publisher&gt;&lt;label&gt;675&lt;/label&gt;&lt;urls&gt;&lt;/urls&gt;&lt;custom1&gt;Annex&lt;/custom1&gt;&lt;/record&gt;&lt;/Cite&gt;&lt;/EndNote&gt;</w:instrText>
        </w:r>
        <w:r w:rsidR="00305FE7">
          <w:fldChar w:fldCharType="separate"/>
        </w:r>
        <w:r w:rsidR="00305FE7">
          <w:rPr>
            <w:noProof/>
          </w:rPr>
          <w:t>Lee Long</w:t>
        </w:r>
        <w:r w:rsidR="00305FE7" w:rsidRPr="00ED4C4C">
          <w:rPr>
            <w:i/>
            <w:noProof/>
          </w:rPr>
          <w:t xml:space="preserve"> et al.</w:t>
        </w:r>
        <w:r w:rsidR="00305FE7">
          <w:rPr>
            <w:noProof/>
          </w:rPr>
          <w:t xml:space="preserve"> 1992</w:t>
        </w:r>
        <w:r w:rsidR="00305FE7">
          <w:fldChar w:fldCharType="end"/>
        </w:r>
      </w:hyperlink>
      <w:r>
        <w:t>) with the section north of Rodds Peninsula resurveyed at a finescale in 2002 (</w:t>
      </w:r>
      <w:hyperlink w:anchor="_ENREF_199" w:tooltip="Rasheed, 2003 #9496" w:history="1">
        <w:r w:rsidR="00305FE7">
          <w:fldChar w:fldCharType="begin"/>
        </w:r>
        <w:r w:rsidR="00305FE7">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305FE7">
          <w:fldChar w:fldCharType="separate"/>
        </w:r>
        <w:r w:rsidR="00305FE7">
          <w:rPr>
            <w:noProof/>
          </w:rPr>
          <w:t>Rasheed</w:t>
        </w:r>
        <w:r w:rsidR="00305FE7" w:rsidRPr="00521D93">
          <w:rPr>
            <w:i/>
            <w:noProof/>
          </w:rPr>
          <w:t xml:space="preserve"> et al.</w:t>
        </w:r>
        <w:r w:rsidR="00305FE7">
          <w:rPr>
            <w:noProof/>
          </w:rPr>
          <w:t xml:space="preserve"> 2003</w:t>
        </w:r>
        <w:r w:rsidR="00305FE7">
          <w:fldChar w:fldCharType="end"/>
        </w:r>
      </w:hyperlink>
      <w:r>
        <w:t>).  Seven seagrass species have been reported in the Burnett Mary NRM region (</w:t>
      </w:r>
      <w:hyperlink w:anchor="_ENREF_167" w:tooltip="McKenzie, 2008 #9700" w:history="1">
        <w:r w:rsidR="00305FE7">
          <w:fldChar w:fldCharType="begin"/>
        </w:r>
        <w:r w:rsidR="00305FE7">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 timestamp="1393044120"&gt;9700&lt;/key&gt;&lt;/foreign-keys&gt;&lt;ref-type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305FE7">
          <w:fldChar w:fldCharType="separate"/>
        </w:r>
        <w:r w:rsidR="00305FE7">
          <w:rPr>
            <w:noProof/>
          </w:rPr>
          <w:t>McKenzie and Yoshida 2008</w:t>
        </w:r>
        <w:r w:rsidR="00305FE7">
          <w:fldChar w:fldCharType="end"/>
        </w:r>
      </w:hyperlink>
      <w:r>
        <w:t>), five within the marine park boundary (</w:t>
      </w:r>
      <w:hyperlink w:anchor="_ENREF_41" w:tooltip="Coles, 2007 #9281" w:history="1">
        <w:r w:rsidR="00305FE7">
          <w:fldChar w:fldCharType="begin"/>
        </w:r>
        <w:r w:rsidR="00305FE7">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305FE7">
          <w:fldChar w:fldCharType="separate"/>
        </w:r>
        <w:r w:rsidR="00305FE7">
          <w:rPr>
            <w:noProof/>
          </w:rPr>
          <w:t>Coles</w:t>
        </w:r>
        <w:r w:rsidR="00305FE7" w:rsidRPr="00521D93">
          <w:rPr>
            <w:i/>
            <w:noProof/>
          </w:rPr>
          <w:t xml:space="preserve"> et al.</w:t>
        </w:r>
        <w:r w:rsidR="00305FE7">
          <w:rPr>
            <w:noProof/>
          </w:rPr>
          <w:t xml:space="preserve"> 2007</w:t>
        </w:r>
        <w:r w:rsidR="00305FE7">
          <w:fldChar w:fldCharType="end"/>
        </w:r>
      </w:hyperlink>
      <w:r>
        <w:t xml:space="preserve">). Meadows have been reported throughout the inlets protected from the south easterly winds and oceanic swell, and throughout Hervey Bay and the Great Sandy Strait. </w:t>
      </w:r>
      <w:r w:rsidR="00057C8D">
        <w:t xml:space="preserve">Very little </w:t>
      </w:r>
      <w:r>
        <w:t xml:space="preserve">seagrass has been mapped on the exposed coastline between Bustard Head to just north of Hervey Bay. Within the GBRWHA boundaries, the majority of seagrass meadows are within coastal and estuary habitats. South of the GBRWHA boundary in one of the largest single areas of seagrass resources on the eastern Australian seaboard </w:t>
      </w:r>
      <w:r w:rsidR="00057C8D">
        <w:t>(</w:t>
      </w:r>
      <w:hyperlink w:anchor="_ENREF_167" w:tooltip="McKenzie, 2008 #9700" w:history="1">
        <w:r w:rsidR="00305FE7">
          <w:fldChar w:fldCharType="begin"/>
        </w:r>
        <w:r w:rsidR="00305FE7">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 timestamp="1393044120"&gt;9700&lt;/key&gt;&lt;/foreign-keys&gt;&lt;ref-type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305FE7">
          <w:fldChar w:fldCharType="separate"/>
        </w:r>
        <w:r w:rsidR="00305FE7">
          <w:rPr>
            <w:noProof/>
          </w:rPr>
          <w:t>McKenzie and Yoshida 2008</w:t>
        </w:r>
        <w:r w:rsidR="00305FE7">
          <w:fldChar w:fldCharType="end"/>
        </w:r>
      </w:hyperlink>
      <w:r w:rsidR="00057C8D">
        <w:t>)</w:t>
      </w:r>
      <w:r>
        <w:t xml:space="preserve">. The southern marine area of the Burnett Mary NRM region includes large meadows in deepwater, coastal (including intertidal and shallow subtidal) and estuarine habitats </w:t>
      </w:r>
      <w:r w:rsidR="00057C8D">
        <w:t>(</w:t>
      </w:r>
      <w:hyperlink w:anchor="_ENREF_167" w:tooltip="McKenzie, 2008 #9700" w:history="1">
        <w:r w:rsidR="00305FE7">
          <w:fldChar w:fldCharType="begin"/>
        </w:r>
        <w:r w:rsidR="00305FE7">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 timestamp="1393044120"&gt;9700&lt;/key&gt;&lt;/foreign-keys&gt;&lt;ref-type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305FE7">
          <w:fldChar w:fldCharType="separate"/>
        </w:r>
        <w:r w:rsidR="00305FE7">
          <w:rPr>
            <w:noProof/>
          </w:rPr>
          <w:t>McKenzie and Yoshida 2008</w:t>
        </w:r>
        <w:r w:rsidR="00305FE7">
          <w:fldChar w:fldCharType="end"/>
        </w:r>
      </w:hyperlink>
      <w:r w:rsidR="00057C8D">
        <w:t>)</w:t>
      </w:r>
      <w:r>
        <w:t>.</w:t>
      </w:r>
    </w:p>
    <w:p w14:paraId="457A141C" w14:textId="77777777" w:rsidR="00035426" w:rsidRDefault="00035426" w:rsidP="00035426">
      <w:r>
        <w:t>Meadows in the north of the Burnett Mary region generally face low levels of anthropogenic threat, and monitoring sites are located within Rodd’s Bay. The only other location that is monitored within this region is in the south, at Urangan (Hervey Bay). This location is adjacent to the Urangan marina and in close proximity to the mouth of the Mary River.</w:t>
      </w:r>
    </w:p>
    <w:p w14:paraId="776247C4" w14:textId="173BB84B" w:rsidR="00035426" w:rsidRDefault="00035426" w:rsidP="00035426">
      <w:r>
        <w:t>Estuarine habitats occur in bays that are protected from the south easterly-winds and consequent wave action. The seagrasses in this area must survive pulsed events of terrestrial run-off, sediment turbidity and drops in salinity. Estuary seagrasses in the region are susceptible to temperature related threats and desiccation due to the majority being intertidal (</w:t>
      </w:r>
      <w:r w:rsidR="00057C8D">
        <w:fldChar w:fldCharType="begin"/>
      </w:r>
      <w:r w:rsidR="00057C8D">
        <w:instrText xml:space="preserve"> REF _Ref442621068 \h </w:instrText>
      </w:r>
      <w:r w:rsidR="00057C8D">
        <w:fldChar w:fldCharType="separate"/>
      </w:r>
      <w:r w:rsidR="00F87DF9">
        <w:rPr>
          <w:color w:val="000000"/>
        </w:rPr>
        <w:t xml:space="preserve">Figure </w:t>
      </w:r>
      <w:r w:rsidR="00F87DF9">
        <w:rPr>
          <w:noProof/>
          <w:color w:val="000000"/>
        </w:rPr>
        <w:t>134</w:t>
      </w:r>
      <w:r w:rsidR="00057C8D">
        <w:fldChar w:fldCharType="end"/>
      </w:r>
      <w:r>
        <w:t>).</w:t>
      </w:r>
    </w:p>
    <w:p w14:paraId="106822FE"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5A4C530" wp14:editId="1D2D6E20">
            <wp:extent cx="5751195" cy="2173605"/>
            <wp:effectExtent l="0" t="0" r="1905" b="0"/>
            <wp:docPr id="1" name="Picture 1" descr="Conceptual diagram of seagrass meadow processes for estuarine habitats in the Burnett Mary region showing major control is shelter from winds and physical disturb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urnett_Mary_estuary"/>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14:paraId="06131643" w14:textId="23753DE5" w:rsidR="00035426" w:rsidRDefault="00035426" w:rsidP="00035426">
      <w:pPr>
        <w:spacing w:before="0" w:after="0"/>
        <w:rPr>
          <w:i/>
          <w:vanish/>
          <w:color w:val="000000"/>
          <w:szCs w:val="22"/>
          <w:specVanish/>
        </w:rPr>
      </w:pPr>
      <w:bookmarkStart w:id="934" w:name="_Ref442621068"/>
      <w:bookmarkStart w:id="935" w:name="_Toc516053344"/>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134</w:t>
      </w:r>
      <w:r w:rsidR="0073595B">
        <w:rPr>
          <w:color w:val="000000"/>
        </w:rPr>
        <w:fldChar w:fldCharType="end"/>
      </w:r>
      <w:bookmarkEnd w:id="934"/>
      <w:r>
        <w:rPr>
          <w:color w:val="000000"/>
        </w:rPr>
        <w:t xml:space="preserve">. </w:t>
      </w:r>
      <w:r>
        <w:rPr>
          <w:i/>
          <w:color w:val="000000"/>
        </w:rPr>
        <w:t>Conceptual diagram of Estuary habitat in the GBR section of the Burnett Mary region</w:t>
      </w:r>
      <w:bookmarkEnd w:id="935"/>
    </w:p>
    <w:p w14:paraId="2549AD5B" w14:textId="5E9B3AB5" w:rsidR="00035426" w:rsidRDefault="00035426" w:rsidP="00035426">
      <w:pPr>
        <w:spacing w:before="0" w:after="0"/>
        <w:rPr>
          <w:color w:val="000000"/>
        </w:rPr>
      </w:pPr>
      <w:r>
        <w:rPr>
          <w:i/>
          <w:color w:val="000000"/>
        </w:rPr>
        <w:t xml:space="preserve"> – major control is shelter from winds and physical disturbance: general habitat and seagrass meadow processes (see </w:t>
      </w:r>
      <w:r w:rsidR="00057C8D">
        <w:fldChar w:fldCharType="begin"/>
      </w:r>
      <w:r w:rsidR="00057C8D">
        <w:rPr>
          <w:i/>
          <w:color w:val="000000"/>
        </w:rPr>
        <w:instrText xml:space="preserve"> REF _Ref442553728 \h </w:instrText>
      </w:r>
      <w:r w:rsidR="00057C8D">
        <w:fldChar w:fldCharType="separate"/>
      </w:r>
      <w:r w:rsidR="00F87DF9">
        <w:rPr>
          <w:color w:val="000000"/>
          <w:szCs w:val="22"/>
        </w:rPr>
        <w:t xml:space="preserve">Figure </w:t>
      </w:r>
      <w:r w:rsidR="00F87DF9">
        <w:rPr>
          <w:noProof/>
          <w:color w:val="000000"/>
          <w:szCs w:val="22"/>
        </w:rPr>
        <w:t>136</w:t>
      </w:r>
      <w:r w:rsidR="00057C8D">
        <w:fldChar w:fldCharType="end"/>
      </w:r>
      <w:r>
        <w:rPr>
          <w:i/>
          <w:color w:val="000000"/>
        </w:rPr>
        <w:t xml:space="preserve"> for icon explanation).</w:t>
      </w:r>
      <w:r>
        <w:rPr>
          <w:color w:val="000000"/>
        </w:rPr>
        <w:t xml:space="preserve"> </w:t>
      </w:r>
    </w:p>
    <w:p w14:paraId="168C4B8F" w14:textId="77777777" w:rsidR="00035426" w:rsidRDefault="00035426" w:rsidP="008A429D"/>
    <w:p w14:paraId="73BE332A" w14:textId="3623D9BB" w:rsidR="006F4537" w:rsidRDefault="006F4537" w:rsidP="008A429D">
      <w:r>
        <w:rPr>
          <w:noProof/>
          <w:lang w:eastAsia="en-AU"/>
        </w:rPr>
        <w:drawing>
          <wp:inline distT="0" distB="0" distL="0" distR="0" wp14:anchorId="1864AC15" wp14:editId="3CD14099">
            <wp:extent cx="5759450" cy="2184400"/>
            <wp:effectExtent l="0" t="0" r="0" b="6350"/>
            <wp:docPr id="52" name="Picture 52" descr="Conceptual diagram of Coastal habitat in the Burnett Mary region showing that major controls are shelter from winds / physical disturbance,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_Mary_coast.jpg"/>
                    <pic:cNvPicPr/>
                  </pic:nvPicPr>
                  <pic:blipFill>
                    <a:blip r:embed="rId212">
                      <a:extLst>
                        <a:ext uri="{28A0092B-C50C-407E-A947-70E740481C1C}">
                          <a14:useLocalDpi xmlns:a14="http://schemas.microsoft.com/office/drawing/2010/main" val="0"/>
                        </a:ext>
                      </a:extLst>
                    </a:blip>
                    <a:stretch>
                      <a:fillRect/>
                    </a:stretch>
                  </pic:blipFill>
                  <pic:spPr>
                    <a:xfrm>
                      <a:off x="0" y="0"/>
                      <a:ext cx="5759450" cy="2184400"/>
                    </a:xfrm>
                    <a:prstGeom prst="rect">
                      <a:avLst/>
                    </a:prstGeom>
                  </pic:spPr>
                </pic:pic>
              </a:graphicData>
            </a:graphic>
          </wp:inline>
        </w:drawing>
      </w:r>
    </w:p>
    <w:p w14:paraId="35EFEB5C" w14:textId="0177D337" w:rsidR="006F4537" w:rsidRDefault="006F4537" w:rsidP="006F4537">
      <w:pPr>
        <w:spacing w:before="0" w:after="0"/>
        <w:rPr>
          <w:i/>
          <w:vanish/>
          <w:color w:val="000000"/>
          <w:szCs w:val="22"/>
          <w:specVanish/>
        </w:rPr>
      </w:pPr>
      <w:bookmarkStart w:id="936" w:name="_Toc51605334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135</w:t>
      </w:r>
      <w:r w:rsidR="00C506C7">
        <w:rPr>
          <w:noProof/>
        </w:rPr>
        <w:fldChar w:fldCharType="end"/>
      </w:r>
      <w:r>
        <w:t xml:space="preserve">. </w:t>
      </w:r>
      <w:r>
        <w:rPr>
          <w:i/>
          <w:color w:val="000000"/>
        </w:rPr>
        <w:t>Conceptual diagram of Coastal habitat in the Burnett Mary region</w:t>
      </w:r>
      <w:bookmarkEnd w:id="936"/>
    </w:p>
    <w:p w14:paraId="5024E616" w14:textId="084FE28C" w:rsidR="006F4537" w:rsidRDefault="006F4537" w:rsidP="006F4537">
      <w:pPr>
        <w:spacing w:before="0" w:after="0"/>
        <w:rPr>
          <w:color w:val="000000"/>
        </w:rPr>
      </w:pPr>
      <w:r>
        <w:rPr>
          <w:i/>
          <w:color w:val="000000"/>
        </w:rPr>
        <w:t xml:space="preserve"> – major control is shelter from winds / physical disturbance, and temperature extremes: general habitat and seagrass meadow processes (see </w:t>
      </w:r>
      <w:r>
        <w:fldChar w:fldCharType="begin"/>
      </w:r>
      <w:r>
        <w:rPr>
          <w:i/>
          <w:color w:val="000000"/>
        </w:rPr>
        <w:instrText xml:space="preserve"> REF _Ref442553728 \h </w:instrText>
      </w:r>
      <w:r>
        <w:fldChar w:fldCharType="separate"/>
      </w:r>
      <w:r w:rsidR="00F87DF9">
        <w:rPr>
          <w:color w:val="000000"/>
          <w:szCs w:val="22"/>
        </w:rPr>
        <w:t xml:space="preserve">Figure </w:t>
      </w:r>
      <w:r w:rsidR="00F87DF9">
        <w:rPr>
          <w:noProof/>
          <w:color w:val="000000"/>
          <w:szCs w:val="22"/>
        </w:rPr>
        <w:t>136</w:t>
      </w:r>
      <w:r>
        <w:fldChar w:fldCharType="end"/>
      </w:r>
      <w:r>
        <w:rPr>
          <w:i/>
          <w:color w:val="000000"/>
        </w:rPr>
        <w:t xml:space="preserve"> for icon explanation).</w:t>
      </w:r>
      <w:r>
        <w:rPr>
          <w:color w:val="000000"/>
        </w:rPr>
        <w:t xml:space="preserve"> </w:t>
      </w:r>
    </w:p>
    <w:p w14:paraId="4813B78C" w14:textId="16E85795" w:rsidR="00035426" w:rsidRDefault="00035426" w:rsidP="006F4537">
      <w:pPr>
        <w:pStyle w:val="Caption"/>
      </w:pPr>
    </w:p>
    <w:p w14:paraId="1A25F78C" w14:textId="77777777" w:rsidR="006F4537" w:rsidRDefault="006F4537" w:rsidP="008A429D"/>
    <w:p w14:paraId="37755D1D" w14:textId="77777777" w:rsidR="00035426" w:rsidRDefault="00035426">
      <w:pPr>
        <w:spacing w:before="0" w:after="0"/>
      </w:pPr>
      <w:r>
        <w:br w:type="page"/>
      </w:r>
    </w:p>
    <w:p w14:paraId="2C81E08D"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72E67120" wp14:editId="0D8EDEFA">
            <wp:extent cx="5141595" cy="7550785"/>
            <wp:effectExtent l="0" t="0" r="1905" b="0"/>
            <wp:docPr id="4" name="Picture 4" descr="Key to symbols used for conceptual diagrams detailing drivers and pressures to sea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MP - symbol legend"/>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5141595" cy="7550785"/>
                    </a:xfrm>
                    <a:prstGeom prst="rect">
                      <a:avLst/>
                    </a:prstGeom>
                    <a:noFill/>
                    <a:ln>
                      <a:noFill/>
                    </a:ln>
                  </pic:spPr>
                </pic:pic>
              </a:graphicData>
            </a:graphic>
          </wp:inline>
        </w:drawing>
      </w:r>
    </w:p>
    <w:p w14:paraId="0D9051D9" w14:textId="2CAD8303" w:rsidR="00035426" w:rsidRDefault="00035426" w:rsidP="00035426">
      <w:pPr>
        <w:rPr>
          <w:i/>
          <w:color w:val="000000"/>
          <w:szCs w:val="22"/>
        </w:rPr>
      </w:pPr>
      <w:bookmarkStart w:id="937" w:name="_Ref442553728"/>
      <w:bookmarkStart w:id="938" w:name="_Toc516053346"/>
      <w:r>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136</w:t>
      </w:r>
      <w:r w:rsidR="0073595B">
        <w:rPr>
          <w:color w:val="000000"/>
          <w:szCs w:val="22"/>
        </w:rPr>
        <w:fldChar w:fldCharType="end"/>
      </w:r>
      <w:bookmarkEnd w:id="937"/>
      <w:r>
        <w:rPr>
          <w:color w:val="000000"/>
          <w:szCs w:val="22"/>
        </w:rPr>
        <w:t>.</w:t>
      </w:r>
      <w:r>
        <w:rPr>
          <w:i/>
          <w:color w:val="000000"/>
          <w:szCs w:val="22"/>
        </w:rPr>
        <w:t xml:space="preserve"> Key to symbols used for conceptual diagrams detailing </w:t>
      </w:r>
      <w:r w:rsidR="00057C8D">
        <w:rPr>
          <w:i/>
          <w:color w:val="000000"/>
          <w:szCs w:val="22"/>
        </w:rPr>
        <w:t>drivers and pressures</w:t>
      </w:r>
      <w:r>
        <w:rPr>
          <w:i/>
          <w:color w:val="000000"/>
          <w:szCs w:val="22"/>
        </w:rPr>
        <w:t xml:space="preserve"> to seagrasses.</w:t>
      </w:r>
      <w:bookmarkEnd w:id="938"/>
    </w:p>
    <w:p w14:paraId="74A0B663" w14:textId="77777777" w:rsidR="00035426" w:rsidRDefault="00035426" w:rsidP="008A429D"/>
    <w:p w14:paraId="5481FBE2" w14:textId="77777777" w:rsidR="00902825" w:rsidRDefault="00902825" w:rsidP="00EB7436"/>
    <w:p w14:paraId="19A8FA20" w14:textId="77777777" w:rsidR="00902825" w:rsidRDefault="00902825" w:rsidP="00EB7436"/>
    <w:p w14:paraId="02905C1F" w14:textId="77777777" w:rsidR="00F12624" w:rsidRDefault="00F12624" w:rsidP="00F12624"/>
    <w:p w14:paraId="772AB11A" w14:textId="77777777" w:rsidR="00F12624" w:rsidRDefault="00F12624" w:rsidP="00F12624"/>
    <w:p w14:paraId="3BD93A38" w14:textId="77777777" w:rsidR="00F12624" w:rsidRDefault="00F12624" w:rsidP="00F12624"/>
    <w:p w14:paraId="179B45FF" w14:textId="77777777" w:rsidR="00F12624" w:rsidRDefault="00F12624" w:rsidP="00F12624"/>
    <w:p w14:paraId="3AD8FE56" w14:textId="77777777" w:rsidR="00F12624" w:rsidRDefault="00F12624" w:rsidP="00F12624"/>
    <w:p w14:paraId="31A1F3A6" w14:textId="77777777" w:rsidR="00F12624" w:rsidRDefault="00F12624" w:rsidP="00F12624"/>
    <w:p w14:paraId="2D0CE8F1" w14:textId="77777777" w:rsidR="00F12624" w:rsidRDefault="00F12624" w:rsidP="00F12624"/>
    <w:p w14:paraId="635143E2" w14:textId="77777777" w:rsidR="00F12624" w:rsidRDefault="00F12624" w:rsidP="00F12624"/>
    <w:p w14:paraId="3FA6293E" w14:textId="2A896332" w:rsidR="00EB7436" w:rsidRPr="00902825" w:rsidRDefault="00EB7436" w:rsidP="00F12624">
      <w:pPr>
        <w:pStyle w:val="Heading1"/>
        <w:pageBreakBefore w:val="0"/>
        <w:ind w:left="431" w:hanging="431"/>
      </w:pPr>
      <w:bookmarkStart w:id="939" w:name="_Toc516053182"/>
      <w:r>
        <w:t>Material</w:t>
      </w:r>
      <w:r w:rsidR="00902825">
        <w:t>s</w:t>
      </w:r>
      <w:r>
        <w:t xml:space="preserve"> and </w:t>
      </w:r>
      <w:r w:rsidR="002F55F1">
        <w:t>m</w:t>
      </w:r>
      <w:r>
        <w:t>ethods</w:t>
      </w:r>
      <w:bookmarkEnd w:id="939"/>
    </w:p>
    <w:p w14:paraId="6488F7D4" w14:textId="77777777" w:rsidR="00EB7436" w:rsidRDefault="00EB7436" w:rsidP="00EB7436"/>
    <w:p w14:paraId="759864B7" w14:textId="77777777" w:rsidR="00035426" w:rsidRDefault="00035426" w:rsidP="008A429D"/>
    <w:p w14:paraId="725CC57A" w14:textId="77777777" w:rsidR="00EB7436" w:rsidRDefault="00EB7436" w:rsidP="008A429D"/>
    <w:p w14:paraId="6C10C30B" w14:textId="77777777" w:rsidR="00EB7436" w:rsidRDefault="00EB7436" w:rsidP="008A429D"/>
    <w:p w14:paraId="5A176239" w14:textId="77777777" w:rsidR="00EB7436" w:rsidRDefault="00EB7436" w:rsidP="008A429D"/>
    <w:p w14:paraId="4E200DD5" w14:textId="77777777" w:rsidR="00BC33E3" w:rsidRPr="008D6EF3" w:rsidRDefault="008A429D" w:rsidP="005752EE">
      <w:r>
        <w:rPr>
          <w:color w:val="000000"/>
          <w:szCs w:val="22"/>
        </w:rPr>
        <w:br w:type="page"/>
      </w:r>
    </w:p>
    <w:p w14:paraId="3EBF7826" w14:textId="201D30A4" w:rsidR="00F823E3" w:rsidRDefault="00F823E3" w:rsidP="00F823E3">
      <w:r>
        <w:t xml:space="preserve">The following section includes excerpts from McKenzie </w:t>
      </w:r>
      <w:r w:rsidRPr="00F823E3">
        <w:rPr>
          <w:i/>
        </w:rPr>
        <w:t>et al.</w:t>
      </w:r>
      <w:r>
        <w:t xml:space="preserve"> (</w:t>
      </w:r>
      <w:hyperlink w:anchor="_ENREF_166" w:tooltip="McKenzie, 2014 #10060" w:history="1">
        <w:r w:rsidR="00305FE7">
          <w:fldChar w:fldCharType="begin"/>
        </w:r>
        <w:r w:rsidR="00305FE7">
          <w:instrText xml:space="preserve"> ADDIN EN.CITE &lt;EndNote&gt;&lt;Cite ExcludeAuth="1"&gt;&lt;Year&gt;2014&lt;/Year&gt;&lt;RecNum&gt;10060&lt;/RecNum&gt;&lt;DisplayText&gt;2014b&lt;/DisplayText&gt;&lt;record&gt;&lt;rec-number&gt;10060&lt;/rec-number&gt;&lt;foreign-keys&gt;&lt;key app="EN" db-id="0eve55x9y5vfd6e9dacxtew4eatve2dzds9a" timestamp="1421111904"&gt;10060&lt;/key&gt;&lt;/foreign-keys&gt;&lt;ref-type name="Book Section"&gt;5&lt;/ref-type&gt;&lt;contributors&gt;&lt;authors&gt;&lt;author&gt;McKenzie, Len J&lt;/author&gt;&lt;author&gt;Waycott, Michelle &lt;/author&gt;&lt;author&gt;Unsworth, Richard &lt;/author&gt;&lt;author&gt;Collier, Catherine &lt;/author&gt;&lt;/authors&gt;&lt;secondary-authors&gt;&lt;author&gt;Great Barrier Reef Marine Park Authority,&lt;/author&gt;&lt;/secondary-authors&gt;&lt;/contributors&gt;&lt;titles&gt;&lt;title&gt;Inshore seagrass monitoring&lt;/title&gt;&lt;secondary-title&gt;Reef rescue marine monitoring program quality assurance and quality control manual. 2013/14&lt;/secondary-title&gt;&lt;/titles&gt;&lt;pages&gt;75-90&lt;/pages&gt;&lt;section&gt;7&lt;/section&gt;&lt;dates&gt;&lt;year&gt;2014&lt;/year&gt;&lt;/dates&gt;&lt;pub-location&gt;Townsville&lt;/pub-location&gt;&lt;publisher&gt;GBRMPA&lt;/publisher&gt;&lt;urls&gt;&lt;/urls&gt;&lt;/record&gt;&lt;/Cite&gt;&lt;/EndNote&gt;</w:instrText>
        </w:r>
        <w:r w:rsidR="00305FE7">
          <w:fldChar w:fldCharType="separate"/>
        </w:r>
        <w:r w:rsidR="00305FE7">
          <w:rPr>
            <w:noProof/>
          </w:rPr>
          <w:t>2014b</w:t>
        </w:r>
        <w:r w:rsidR="00305FE7">
          <w:fldChar w:fldCharType="end"/>
        </w:r>
      </w:hyperlink>
      <w:r>
        <w:t>).</w:t>
      </w:r>
    </w:p>
    <w:p w14:paraId="5271267D" w14:textId="08D73F7E" w:rsidR="005752EE" w:rsidRPr="005752EE" w:rsidRDefault="005752EE" w:rsidP="005752EE">
      <w:pPr>
        <w:pStyle w:val="Heading2"/>
      </w:pPr>
      <w:bookmarkStart w:id="940" w:name="_Toc261013310"/>
      <w:bookmarkStart w:id="941" w:name="_Toc294781728"/>
      <w:bookmarkStart w:id="942" w:name="_Toc321383794"/>
      <w:bookmarkStart w:id="943" w:name="_Toc387600766"/>
      <w:bookmarkStart w:id="944" w:name="_Ref511373518"/>
      <w:bookmarkStart w:id="945" w:name="_Toc516053183"/>
      <w:r w:rsidRPr="005752EE">
        <w:t>Sampling design</w:t>
      </w:r>
      <w:bookmarkEnd w:id="940"/>
      <w:bookmarkEnd w:id="941"/>
      <w:bookmarkEnd w:id="942"/>
      <w:bookmarkEnd w:id="943"/>
      <w:bookmarkEnd w:id="944"/>
      <w:bookmarkEnd w:id="945"/>
    </w:p>
    <w:p w14:paraId="59DE7DB3" w14:textId="4B797263" w:rsidR="005752EE" w:rsidRPr="00EB7436" w:rsidRDefault="005752EE" w:rsidP="005752EE">
      <w:pPr>
        <w:rPr>
          <w:rFonts w:cs="Segoe UI"/>
        </w:rPr>
      </w:pPr>
      <w:r w:rsidRPr="00EB7436">
        <w:rPr>
          <w:rFonts w:cs="Segoe UI"/>
        </w:rPr>
        <w:t>In late 2004 all data collected within the GBR region as part of existing monitoring programs were supplied to a Senior Statistician at AIMS for independent review (</w:t>
      </w:r>
      <w:hyperlink w:anchor="_ENREF_73" w:tooltip="De’ath, 2005 #9495" w:history="1">
        <w:r w:rsidR="00305FE7">
          <w:rPr>
            <w:rFonts w:cs="Segoe UI"/>
          </w:rPr>
          <w:fldChar w:fldCharType="begin"/>
        </w:r>
        <w:r w:rsidR="00305FE7">
          <w:rPr>
            <w:rFonts w:cs="Segoe UI"/>
          </w:rPr>
          <w:instrText xml:space="preserve"> ADDIN EN.CITE &lt;EndNote&gt;&lt;Cite&gt;&lt;Author&gt;De’ath&lt;/Author&gt;&lt;Year&gt;2005&lt;/Year&gt;&lt;RecNum&gt;9495&lt;/RecNum&gt;&lt;DisplayText&gt;De’ath 2005&lt;/DisplayText&gt;&lt;record&gt;&lt;rec-number&gt;9495&lt;/rec-number&gt;&lt;foreign-keys&gt;&lt;key app="EN" db-id="0eve55x9y5vfd6e9dacxtew4eatve2dzds9a" timestamp="1375843429"&gt;9495&lt;/key&gt;&lt;/foreign-keys&gt;&lt;ref-type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305FE7">
          <w:rPr>
            <w:rFonts w:cs="Segoe UI"/>
          </w:rPr>
          <w:fldChar w:fldCharType="separate"/>
        </w:r>
        <w:r w:rsidR="00305FE7">
          <w:rPr>
            <w:rFonts w:cs="Segoe UI"/>
            <w:noProof/>
          </w:rPr>
          <w:t>De’ath 2005</w:t>
        </w:r>
        <w:r w:rsidR="00305FE7">
          <w:rPr>
            <w:rFonts w:cs="Segoe UI"/>
          </w:rPr>
          <w:fldChar w:fldCharType="end"/>
        </w:r>
      </w:hyperlink>
      <w:r w:rsidRPr="00EB7436">
        <w:rPr>
          <w:rFonts w:cs="Segoe UI"/>
        </w:rPr>
        <w:t xml:space="preserve">) </w:t>
      </w:r>
      <w:r w:rsidR="008D092F">
        <w:rPr>
          <w:rFonts w:cs="Segoe UI"/>
        </w:rPr>
        <w:t xml:space="preserve">who </w:t>
      </w:r>
      <w:r w:rsidRPr="00EB7436">
        <w:rPr>
          <w:rFonts w:cs="Segoe UI"/>
        </w:rPr>
        <w:t xml:space="preserve">examined the available datasets to estimate expected performance with regard to detecting long-term changes (including estimates of precision for annual mean, differences in means and linear trends). Seagrass data included in the analyses was collected from 2000–2004 and across 63 sites in 29 locations from Cooktown to Hervey Bay. Results concluded that the existing spatial and temporal coverage of monitoring was providing valuable information about long-term trends and spatial differences, with changes in seagrass cover occurring at various spatial and temporal scales. The report recommended that the value of the monitoring would be greatly enhanced by adding more widely spread locations. Therefore additional meadows were added according to criteria listed in materials and methods. </w:t>
      </w:r>
    </w:p>
    <w:p w14:paraId="47891245" w14:textId="5059BB06" w:rsidR="005752EE" w:rsidRDefault="005752EE" w:rsidP="005752EE">
      <w:pPr>
        <w:rPr>
          <w:rFonts w:cs="Segoe UI"/>
        </w:rPr>
      </w:pPr>
      <w:r w:rsidRPr="00EB7436">
        <w:rPr>
          <w:rFonts w:cs="Segoe UI"/>
        </w:rPr>
        <w:t xml:space="preserve">The </w:t>
      </w:r>
      <w:r w:rsidR="001B05FD">
        <w:rPr>
          <w:rFonts w:cs="Segoe UI"/>
        </w:rPr>
        <w:t xml:space="preserve">final/current MMP </w:t>
      </w:r>
      <w:r w:rsidRPr="00EB7436">
        <w:rPr>
          <w:rFonts w:cs="Segoe UI"/>
        </w:rPr>
        <w:t>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w:t>
      </w:r>
      <w:r w:rsidR="008D092F">
        <w:rPr>
          <w:rFonts w:cs="Segoe UI"/>
        </w:rPr>
        <w:t>, intertidal and subtidal</w:t>
      </w:r>
      <w:r w:rsidRPr="00EB7436">
        <w:rPr>
          <w:rFonts w:cs="Segoe UI"/>
        </w:rPr>
        <w:t xml:space="preserve">) (Habitat(Region)). To account for spatial heterogeneity, two sites were selected within each location (Site[Habitat(Region)]). Subtidal sites were not replicated within locations. Within each site, finer scale variability is </w:t>
      </w:r>
      <w:r w:rsidR="008D092F">
        <w:rPr>
          <w:rFonts w:cs="Segoe UI"/>
        </w:rPr>
        <w:t>accounted for by using three 50 </w:t>
      </w:r>
      <w:r w:rsidRPr="00EB7436">
        <w:rPr>
          <w:rFonts w:cs="Segoe UI"/>
        </w:rPr>
        <w:t xml:space="preserve">m transects nested in each site. An intertidal site is defined as a </w:t>
      </w:r>
      <w:r w:rsidR="008D092F">
        <w:rPr>
          <w:rFonts w:cs="Segoe UI"/>
        </w:rPr>
        <w:t xml:space="preserve">5.5 hectare area and in the centre of each site a </w:t>
      </w:r>
      <w:r w:rsidRPr="00EB7436">
        <w:rPr>
          <w:rFonts w:cs="Segoe UI"/>
        </w:rPr>
        <w:t>50</w:t>
      </w:r>
      <w:r w:rsidR="008D092F">
        <w:rPr>
          <w:rFonts w:cs="Segoe UI"/>
        </w:rPr>
        <w:t> </w:t>
      </w:r>
      <w:r w:rsidRPr="00EB7436">
        <w:rPr>
          <w:rFonts w:cs="Segoe UI"/>
        </w:rPr>
        <w:t>mx50</w:t>
      </w:r>
      <w:r w:rsidR="008D092F">
        <w:rPr>
          <w:rFonts w:cs="Segoe UI"/>
        </w:rPr>
        <w:t> </w:t>
      </w:r>
      <w:r w:rsidRPr="00EB7436">
        <w:rPr>
          <w:rFonts w:cs="Segoe UI"/>
        </w:rPr>
        <w:t>m area</w:t>
      </w:r>
      <w:r w:rsidR="008D092F">
        <w:rPr>
          <w:rFonts w:cs="Segoe UI"/>
        </w:rPr>
        <w:t xml:space="preserve"> is examined using 33 quadrats (50 cm x 50 cm), placed every 5 m along each of the 50 m transects, placed 25 m apart</w:t>
      </w:r>
      <w:r w:rsidRPr="00EB7436">
        <w:rPr>
          <w:rFonts w:cs="Segoe UI"/>
        </w:rPr>
        <w:t>. The sampling strategy for subtidal sites was modified to sample along 50</w:t>
      </w:r>
      <w:r w:rsidR="008D092F">
        <w:rPr>
          <w:rFonts w:cs="Segoe UI"/>
        </w:rPr>
        <w:t> m transects 2-3 </w:t>
      </w:r>
      <w:r w:rsidRPr="00EB7436">
        <w:rPr>
          <w:rFonts w:cs="Segoe UI"/>
        </w:rPr>
        <w:t>m apart (aligned along the depth contour) due to logistical purposes of SCUBA diving in often poor visibility. At each site, monitoring is conducted during the late-</w:t>
      </w:r>
      <w:r w:rsidR="000945E8">
        <w:rPr>
          <w:rFonts w:cs="Segoe UI"/>
        </w:rPr>
        <w:t>wet</w:t>
      </w:r>
      <w:r w:rsidRPr="00EB7436">
        <w:rPr>
          <w:rFonts w:cs="Segoe UI"/>
        </w:rPr>
        <w:t xml:space="preserve"> (April) and late-dry (October) periods each year; additional sampling is conducted at more accessible locations in the dry (July) and </w:t>
      </w:r>
      <w:r w:rsidR="000945E8">
        <w:rPr>
          <w:rFonts w:cs="Segoe UI"/>
        </w:rPr>
        <w:t>wet</w:t>
      </w:r>
      <w:r w:rsidRPr="00EB7436">
        <w:rPr>
          <w:rFonts w:cs="Segoe UI"/>
        </w:rPr>
        <w:t xml:space="preserve"> (January).</w:t>
      </w:r>
    </w:p>
    <w:p w14:paraId="708EBD86" w14:textId="77777777" w:rsidR="005752EE" w:rsidRDefault="005752EE" w:rsidP="005752EE">
      <w:pPr>
        <w:rPr>
          <w:rFonts w:cs="Segoe UI"/>
        </w:rPr>
      </w:pPr>
    </w:p>
    <w:p w14:paraId="2F09C36E" w14:textId="77777777" w:rsidR="005752EE" w:rsidRDefault="005752EE" w:rsidP="005752EE">
      <w:pPr>
        <w:rPr>
          <w:rFonts w:cs="Segoe UI"/>
        </w:rPr>
      </w:pPr>
    </w:p>
    <w:p w14:paraId="249B0F48" w14:textId="77777777" w:rsidR="005752EE" w:rsidRDefault="005752EE" w:rsidP="005752EE">
      <w:pPr>
        <w:spacing w:before="0" w:after="0"/>
        <w:rPr>
          <w:rFonts w:cs="Segoe UI"/>
        </w:rPr>
        <w:sectPr w:rsidR="005752EE" w:rsidSect="00D10D59">
          <w:pgSz w:w="11906" w:h="16838"/>
          <w:pgMar w:top="1418" w:right="1418" w:bottom="1418" w:left="1418" w:header="709" w:footer="709" w:gutter="0"/>
          <w:cols w:space="720"/>
        </w:sectPr>
      </w:pPr>
    </w:p>
    <w:p w14:paraId="4E7E61C4" w14:textId="77777777" w:rsidR="00E50C95" w:rsidRPr="00A93D8C" w:rsidRDefault="004920D8" w:rsidP="00E50C95">
      <w:pPr>
        <w:spacing w:before="0"/>
        <w:rPr>
          <w:i/>
          <w:vanish/>
          <w:specVanish/>
        </w:rPr>
      </w:pPr>
      <w:bookmarkStart w:id="946" w:name="_Ref511373432"/>
      <w:bookmarkStart w:id="947" w:name="_Toc516053460"/>
      <w:r>
        <w:rPr>
          <w:color w:val="000000"/>
          <w:szCs w:val="22"/>
        </w:rPr>
        <w:t xml:space="preserve">Table </w:t>
      </w:r>
      <w:r>
        <w:fldChar w:fldCharType="begin"/>
      </w:r>
      <w:r>
        <w:rPr>
          <w:color w:val="000000"/>
          <w:szCs w:val="22"/>
        </w:rPr>
        <w:instrText xml:space="preserve"> SEQ Table \* ARABIC </w:instrText>
      </w:r>
      <w:r>
        <w:fldChar w:fldCharType="separate"/>
      </w:r>
      <w:r w:rsidR="00F87DF9">
        <w:rPr>
          <w:noProof/>
          <w:color w:val="000000"/>
          <w:szCs w:val="22"/>
        </w:rPr>
        <w:t>36</w:t>
      </w:r>
      <w:r>
        <w:fldChar w:fldCharType="end"/>
      </w:r>
      <w:bookmarkEnd w:id="946"/>
      <w:r>
        <w:rPr>
          <w:color w:val="000000"/>
          <w:szCs w:val="22"/>
        </w:rPr>
        <w:t xml:space="preserve">. </w:t>
      </w:r>
      <w:r>
        <w:rPr>
          <w:i/>
          <w:color w:val="000000"/>
          <w:szCs w:val="22"/>
        </w:rPr>
        <w:t>Samples collected at each MMP inshore monitoring site per parameter for each season</w:t>
      </w:r>
      <w:bookmarkEnd w:id="947"/>
    </w:p>
    <w:p w14:paraId="61639C3E" w14:textId="04FF46A7" w:rsidR="004920D8" w:rsidRPr="00460FB1" w:rsidRDefault="004920D8" w:rsidP="00DD3BAE">
      <w:pPr>
        <w:spacing w:before="0" w:after="0"/>
        <w:rPr>
          <w:i/>
          <w:color w:val="000000"/>
          <w:sz w:val="20"/>
        </w:rPr>
      </w:pPr>
      <w:r>
        <w:rPr>
          <w:i/>
          <w:color w:val="000000"/>
          <w:szCs w:val="22"/>
        </w:rPr>
        <w:t xml:space="preserve">. </w:t>
      </w:r>
      <w:r w:rsidRPr="00460FB1">
        <w:rPr>
          <w:i/>
          <w:color w:val="000000"/>
          <w:sz w:val="20"/>
        </w:rPr>
        <w:t xml:space="preserve">Activities include: SG = seagrass cover &amp; composition, SM=seed monitoring, TN=tissue nutrients, EM=edge mapping, RH=reproductive health, TL=temperature loggers, LL=light loggers, SH=sediment herbicides. ^=subtidal. </w:t>
      </w:r>
    </w:p>
    <w:tbl>
      <w:tblPr>
        <w:tblW w:w="13041" w:type="dxa"/>
        <w:jc w:val="center"/>
        <w:tblLayout w:type="fixed"/>
        <w:tblLook w:val="04A0" w:firstRow="1" w:lastRow="0" w:firstColumn="1" w:lastColumn="0" w:noHBand="0" w:noVBand="1"/>
      </w:tblPr>
      <w:tblGrid>
        <w:gridCol w:w="1148"/>
        <w:gridCol w:w="1294"/>
        <w:gridCol w:w="1299"/>
        <w:gridCol w:w="1307"/>
        <w:gridCol w:w="840"/>
        <w:gridCol w:w="555"/>
        <w:gridCol w:w="543"/>
        <w:gridCol w:w="540"/>
        <w:gridCol w:w="536"/>
        <w:gridCol w:w="540"/>
        <w:gridCol w:w="529"/>
        <w:gridCol w:w="559"/>
        <w:gridCol w:w="559"/>
        <w:gridCol w:w="559"/>
        <w:gridCol w:w="559"/>
        <w:gridCol w:w="559"/>
        <w:gridCol w:w="559"/>
        <w:gridCol w:w="546"/>
        <w:gridCol w:w="10"/>
      </w:tblGrid>
      <w:tr w:rsidR="004920D8" w14:paraId="7262D9A7" w14:textId="77777777" w:rsidTr="00D64955">
        <w:trPr>
          <w:cantSplit/>
          <w:trHeight w:val="251"/>
          <w:tblHeader/>
          <w:jc w:val="center"/>
        </w:trPr>
        <w:tc>
          <w:tcPr>
            <w:tcW w:w="1148" w:type="dxa"/>
            <w:vMerge w:val="restart"/>
            <w:tcBorders>
              <w:top w:val="single" w:sz="4" w:space="0" w:color="auto"/>
              <w:left w:val="nil"/>
              <w:bottom w:val="nil"/>
              <w:right w:val="nil"/>
            </w:tcBorders>
            <w:shd w:val="clear" w:color="auto" w:fill="BBE0E3"/>
            <w:noWrap/>
            <w:vAlign w:val="center"/>
            <w:hideMark/>
          </w:tcPr>
          <w:p w14:paraId="456DE4A1" w14:textId="77777777" w:rsidR="004920D8" w:rsidRDefault="004920D8" w:rsidP="00DD3BAE">
            <w:pPr>
              <w:spacing w:before="0" w:after="0"/>
              <w:jc w:val="center"/>
              <w:rPr>
                <w:b/>
                <w:bCs/>
                <w:color w:val="000000"/>
                <w:sz w:val="14"/>
                <w:szCs w:val="14"/>
              </w:rPr>
            </w:pPr>
            <w:r>
              <w:rPr>
                <w:b/>
                <w:bCs/>
                <w:color w:val="000000"/>
                <w:sz w:val="14"/>
                <w:szCs w:val="14"/>
              </w:rPr>
              <w:t>GBR region</w:t>
            </w:r>
          </w:p>
        </w:tc>
        <w:tc>
          <w:tcPr>
            <w:tcW w:w="1294" w:type="dxa"/>
            <w:vMerge w:val="restart"/>
            <w:tcBorders>
              <w:top w:val="single" w:sz="4" w:space="0" w:color="auto"/>
              <w:left w:val="nil"/>
              <w:bottom w:val="nil"/>
              <w:right w:val="nil"/>
            </w:tcBorders>
            <w:shd w:val="clear" w:color="auto" w:fill="BBE0E3"/>
            <w:noWrap/>
            <w:vAlign w:val="center"/>
            <w:hideMark/>
          </w:tcPr>
          <w:p w14:paraId="23E8DE70" w14:textId="77777777" w:rsidR="004920D8" w:rsidRDefault="004920D8" w:rsidP="00DD3BAE">
            <w:pPr>
              <w:spacing w:before="0" w:after="0"/>
              <w:jc w:val="center"/>
              <w:rPr>
                <w:b/>
                <w:bCs/>
                <w:color w:val="000000"/>
                <w:sz w:val="14"/>
                <w:szCs w:val="14"/>
              </w:rPr>
            </w:pPr>
            <w:r>
              <w:rPr>
                <w:b/>
                <w:bCs/>
                <w:color w:val="000000"/>
                <w:sz w:val="14"/>
                <w:szCs w:val="14"/>
              </w:rPr>
              <w:t>NRM region</w:t>
            </w:r>
          </w:p>
        </w:tc>
        <w:tc>
          <w:tcPr>
            <w:tcW w:w="1299" w:type="dxa"/>
            <w:vMerge w:val="restart"/>
            <w:tcBorders>
              <w:top w:val="single" w:sz="4" w:space="0" w:color="auto"/>
              <w:left w:val="nil"/>
              <w:bottom w:val="nil"/>
              <w:right w:val="nil"/>
            </w:tcBorders>
            <w:shd w:val="clear" w:color="auto" w:fill="BBE0E3"/>
            <w:vAlign w:val="center"/>
            <w:hideMark/>
          </w:tcPr>
          <w:p w14:paraId="37AA4262" w14:textId="77777777" w:rsidR="004920D8" w:rsidRDefault="004920D8" w:rsidP="00DD3BAE">
            <w:pPr>
              <w:spacing w:before="0" w:after="0"/>
              <w:jc w:val="center"/>
              <w:rPr>
                <w:b/>
                <w:bCs/>
                <w:color w:val="000000"/>
                <w:sz w:val="14"/>
                <w:szCs w:val="14"/>
              </w:rPr>
            </w:pPr>
            <w:r>
              <w:rPr>
                <w:b/>
                <w:bCs/>
                <w:color w:val="000000"/>
                <w:sz w:val="14"/>
                <w:szCs w:val="14"/>
              </w:rPr>
              <w:t>Basin</w:t>
            </w:r>
          </w:p>
        </w:tc>
        <w:tc>
          <w:tcPr>
            <w:tcW w:w="2147" w:type="dxa"/>
            <w:gridSpan w:val="2"/>
            <w:vMerge w:val="restart"/>
            <w:tcBorders>
              <w:top w:val="single" w:sz="4" w:space="0" w:color="auto"/>
              <w:left w:val="nil"/>
              <w:bottom w:val="nil"/>
              <w:right w:val="nil"/>
            </w:tcBorders>
            <w:shd w:val="clear" w:color="auto" w:fill="BBE0E3"/>
            <w:noWrap/>
            <w:vAlign w:val="center"/>
            <w:hideMark/>
          </w:tcPr>
          <w:p w14:paraId="19C17F52" w14:textId="77777777" w:rsidR="004920D8" w:rsidRDefault="004920D8" w:rsidP="00DD3BAE">
            <w:pPr>
              <w:spacing w:before="0" w:after="0"/>
              <w:jc w:val="center"/>
              <w:rPr>
                <w:b/>
                <w:bCs/>
                <w:color w:val="000000"/>
                <w:sz w:val="14"/>
                <w:szCs w:val="14"/>
              </w:rPr>
            </w:pPr>
            <w:r>
              <w:rPr>
                <w:b/>
                <w:bCs/>
                <w:color w:val="000000"/>
                <w:sz w:val="14"/>
                <w:szCs w:val="14"/>
              </w:rPr>
              <w:t>Monitoring location</w:t>
            </w:r>
          </w:p>
        </w:tc>
        <w:tc>
          <w:tcPr>
            <w:tcW w:w="3802" w:type="dxa"/>
            <w:gridSpan w:val="7"/>
            <w:tcBorders>
              <w:top w:val="single" w:sz="4" w:space="0" w:color="auto"/>
              <w:left w:val="nil"/>
              <w:bottom w:val="nil"/>
              <w:right w:val="single" w:sz="4" w:space="0" w:color="auto"/>
            </w:tcBorders>
            <w:shd w:val="clear" w:color="auto" w:fill="BBE0E3"/>
            <w:vAlign w:val="center"/>
            <w:hideMark/>
          </w:tcPr>
          <w:p w14:paraId="2F3E3ED6" w14:textId="77777777" w:rsidR="004920D8" w:rsidRDefault="004920D8" w:rsidP="00DD3BAE">
            <w:pPr>
              <w:spacing w:before="0" w:after="0"/>
              <w:jc w:val="center"/>
              <w:rPr>
                <w:b/>
                <w:bCs/>
                <w:color w:val="000000"/>
                <w:sz w:val="14"/>
                <w:szCs w:val="14"/>
              </w:rPr>
            </w:pPr>
            <w:r>
              <w:rPr>
                <w:b/>
                <w:bCs/>
                <w:color w:val="000000"/>
                <w:sz w:val="14"/>
                <w:szCs w:val="14"/>
              </w:rPr>
              <w:t>late dry Season (2016)</w:t>
            </w:r>
          </w:p>
        </w:tc>
        <w:tc>
          <w:tcPr>
            <w:tcW w:w="3351" w:type="dxa"/>
            <w:gridSpan w:val="7"/>
            <w:tcBorders>
              <w:top w:val="single" w:sz="4" w:space="0" w:color="auto"/>
              <w:left w:val="single" w:sz="4" w:space="0" w:color="auto"/>
              <w:bottom w:val="nil"/>
              <w:right w:val="nil"/>
            </w:tcBorders>
            <w:shd w:val="clear" w:color="auto" w:fill="BBE0E3"/>
            <w:vAlign w:val="center"/>
            <w:hideMark/>
          </w:tcPr>
          <w:p w14:paraId="01FD6D9D" w14:textId="77777777" w:rsidR="004920D8" w:rsidRDefault="004920D8" w:rsidP="00DD3BAE">
            <w:pPr>
              <w:spacing w:before="0" w:after="0"/>
              <w:jc w:val="center"/>
              <w:rPr>
                <w:b/>
                <w:bCs/>
                <w:color w:val="000000"/>
                <w:sz w:val="14"/>
                <w:szCs w:val="14"/>
              </w:rPr>
            </w:pPr>
            <w:r>
              <w:rPr>
                <w:b/>
                <w:bCs/>
                <w:color w:val="000000"/>
                <w:sz w:val="14"/>
                <w:szCs w:val="14"/>
              </w:rPr>
              <w:t>late wet Season (2017)</w:t>
            </w:r>
          </w:p>
        </w:tc>
      </w:tr>
      <w:tr w:rsidR="004920D8" w14:paraId="76592247" w14:textId="77777777" w:rsidTr="00D64955">
        <w:trPr>
          <w:gridAfter w:val="1"/>
          <w:wAfter w:w="10" w:type="dxa"/>
          <w:cantSplit/>
          <w:trHeight w:val="251"/>
          <w:jc w:val="center"/>
        </w:trPr>
        <w:tc>
          <w:tcPr>
            <w:tcW w:w="1148" w:type="dxa"/>
            <w:vMerge/>
            <w:tcBorders>
              <w:top w:val="single" w:sz="4" w:space="0" w:color="auto"/>
              <w:left w:val="nil"/>
              <w:bottom w:val="nil"/>
              <w:right w:val="nil"/>
            </w:tcBorders>
            <w:vAlign w:val="center"/>
            <w:hideMark/>
          </w:tcPr>
          <w:p w14:paraId="5544CFA9" w14:textId="77777777" w:rsidR="004920D8" w:rsidRDefault="004920D8" w:rsidP="00DD3BAE">
            <w:pPr>
              <w:spacing w:before="0" w:after="0"/>
              <w:rPr>
                <w:b/>
                <w:bCs/>
                <w:color w:val="000000"/>
                <w:sz w:val="14"/>
                <w:szCs w:val="14"/>
              </w:rPr>
            </w:pPr>
          </w:p>
        </w:tc>
        <w:tc>
          <w:tcPr>
            <w:tcW w:w="1294" w:type="dxa"/>
            <w:vMerge/>
            <w:tcBorders>
              <w:top w:val="single" w:sz="4" w:space="0" w:color="auto"/>
              <w:left w:val="nil"/>
              <w:bottom w:val="nil"/>
              <w:right w:val="nil"/>
            </w:tcBorders>
            <w:vAlign w:val="center"/>
            <w:hideMark/>
          </w:tcPr>
          <w:p w14:paraId="4BDF57D7" w14:textId="77777777" w:rsidR="004920D8" w:rsidRDefault="004920D8" w:rsidP="00DD3BAE">
            <w:pPr>
              <w:spacing w:before="0" w:after="0"/>
              <w:rPr>
                <w:b/>
                <w:bCs/>
                <w:color w:val="000000"/>
                <w:sz w:val="14"/>
                <w:szCs w:val="14"/>
              </w:rPr>
            </w:pPr>
          </w:p>
        </w:tc>
        <w:tc>
          <w:tcPr>
            <w:tcW w:w="1299" w:type="dxa"/>
            <w:vMerge/>
            <w:tcBorders>
              <w:top w:val="single" w:sz="4" w:space="0" w:color="auto"/>
              <w:left w:val="nil"/>
              <w:bottom w:val="nil"/>
              <w:right w:val="nil"/>
            </w:tcBorders>
            <w:vAlign w:val="center"/>
            <w:hideMark/>
          </w:tcPr>
          <w:p w14:paraId="5239BDF4" w14:textId="77777777" w:rsidR="004920D8" w:rsidRDefault="004920D8" w:rsidP="00DD3BAE">
            <w:pPr>
              <w:spacing w:before="0" w:after="0"/>
              <w:rPr>
                <w:b/>
                <w:bCs/>
                <w:color w:val="000000"/>
                <w:sz w:val="14"/>
                <w:szCs w:val="14"/>
              </w:rPr>
            </w:pPr>
          </w:p>
        </w:tc>
        <w:tc>
          <w:tcPr>
            <w:tcW w:w="2147" w:type="dxa"/>
            <w:gridSpan w:val="2"/>
            <w:vMerge/>
            <w:tcBorders>
              <w:top w:val="single" w:sz="4" w:space="0" w:color="auto"/>
              <w:left w:val="nil"/>
              <w:bottom w:val="nil"/>
              <w:right w:val="nil"/>
            </w:tcBorders>
            <w:vAlign w:val="center"/>
            <w:hideMark/>
          </w:tcPr>
          <w:p w14:paraId="0C39143B" w14:textId="77777777" w:rsidR="004920D8" w:rsidRDefault="004920D8" w:rsidP="00DD3BAE">
            <w:pPr>
              <w:spacing w:before="0" w:after="0"/>
              <w:rPr>
                <w:b/>
                <w:bCs/>
                <w:color w:val="000000"/>
                <w:sz w:val="14"/>
                <w:szCs w:val="14"/>
              </w:rPr>
            </w:pPr>
          </w:p>
        </w:tc>
        <w:tc>
          <w:tcPr>
            <w:tcW w:w="555" w:type="dxa"/>
            <w:tcBorders>
              <w:top w:val="single" w:sz="4" w:space="0" w:color="auto"/>
              <w:left w:val="nil"/>
              <w:bottom w:val="nil"/>
              <w:right w:val="nil"/>
            </w:tcBorders>
            <w:shd w:val="clear" w:color="auto" w:fill="BBE0E3"/>
            <w:vAlign w:val="center"/>
            <w:hideMark/>
          </w:tcPr>
          <w:p w14:paraId="04C9E611" w14:textId="77777777" w:rsidR="004920D8" w:rsidRDefault="004920D8" w:rsidP="00DD3BAE">
            <w:pPr>
              <w:spacing w:before="0" w:after="0"/>
              <w:jc w:val="center"/>
              <w:rPr>
                <w:b/>
                <w:bCs/>
                <w:color w:val="000000"/>
                <w:sz w:val="14"/>
                <w:szCs w:val="14"/>
              </w:rPr>
            </w:pPr>
            <w:r>
              <w:rPr>
                <w:b/>
                <w:color w:val="000000"/>
                <w:sz w:val="14"/>
                <w:szCs w:val="14"/>
              </w:rPr>
              <w:t>SG</w:t>
            </w:r>
          </w:p>
        </w:tc>
        <w:tc>
          <w:tcPr>
            <w:tcW w:w="543" w:type="dxa"/>
            <w:tcBorders>
              <w:top w:val="single" w:sz="4" w:space="0" w:color="auto"/>
              <w:left w:val="nil"/>
              <w:bottom w:val="nil"/>
              <w:right w:val="nil"/>
            </w:tcBorders>
            <w:shd w:val="clear" w:color="auto" w:fill="BBE0E3"/>
            <w:noWrap/>
            <w:vAlign w:val="center"/>
            <w:hideMark/>
          </w:tcPr>
          <w:p w14:paraId="508BCA5B" w14:textId="77777777" w:rsidR="004920D8" w:rsidRDefault="004920D8" w:rsidP="00DD3BAE">
            <w:pPr>
              <w:spacing w:before="0" w:after="0"/>
              <w:jc w:val="center"/>
              <w:rPr>
                <w:b/>
                <w:bCs/>
                <w:color w:val="000000"/>
                <w:sz w:val="14"/>
                <w:szCs w:val="14"/>
              </w:rPr>
            </w:pPr>
            <w:r>
              <w:rPr>
                <w:b/>
                <w:color w:val="000000"/>
                <w:sz w:val="14"/>
                <w:szCs w:val="14"/>
              </w:rPr>
              <w:t>SM</w:t>
            </w:r>
          </w:p>
        </w:tc>
        <w:tc>
          <w:tcPr>
            <w:tcW w:w="540" w:type="dxa"/>
            <w:tcBorders>
              <w:top w:val="single" w:sz="4" w:space="0" w:color="auto"/>
              <w:left w:val="nil"/>
              <w:bottom w:val="nil"/>
              <w:right w:val="nil"/>
            </w:tcBorders>
            <w:shd w:val="clear" w:color="auto" w:fill="BBE0E3"/>
            <w:noWrap/>
            <w:vAlign w:val="center"/>
            <w:hideMark/>
          </w:tcPr>
          <w:p w14:paraId="1DDED708" w14:textId="77777777" w:rsidR="004920D8" w:rsidRDefault="004920D8" w:rsidP="00DD3BAE">
            <w:pPr>
              <w:spacing w:before="0" w:after="0"/>
              <w:jc w:val="center"/>
              <w:rPr>
                <w:b/>
                <w:bCs/>
                <w:color w:val="000000"/>
                <w:sz w:val="14"/>
                <w:szCs w:val="14"/>
              </w:rPr>
            </w:pPr>
            <w:r>
              <w:rPr>
                <w:b/>
                <w:color w:val="000000"/>
                <w:sz w:val="14"/>
                <w:szCs w:val="14"/>
              </w:rPr>
              <w:t>TN</w:t>
            </w:r>
          </w:p>
        </w:tc>
        <w:tc>
          <w:tcPr>
            <w:tcW w:w="536" w:type="dxa"/>
            <w:tcBorders>
              <w:top w:val="single" w:sz="4" w:space="0" w:color="auto"/>
              <w:left w:val="nil"/>
              <w:bottom w:val="nil"/>
              <w:right w:val="nil"/>
            </w:tcBorders>
            <w:shd w:val="clear" w:color="auto" w:fill="BBE0E3"/>
            <w:vAlign w:val="center"/>
            <w:hideMark/>
          </w:tcPr>
          <w:p w14:paraId="08EC1CCF" w14:textId="77777777" w:rsidR="004920D8" w:rsidRDefault="004920D8" w:rsidP="00DD3BAE">
            <w:pPr>
              <w:spacing w:before="0" w:after="0"/>
              <w:jc w:val="center"/>
              <w:rPr>
                <w:b/>
                <w:bCs/>
                <w:color w:val="000000"/>
                <w:sz w:val="14"/>
                <w:szCs w:val="14"/>
              </w:rPr>
            </w:pPr>
            <w:r>
              <w:rPr>
                <w:b/>
                <w:color w:val="000000"/>
                <w:sz w:val="14"/>
                <w:szCs w:val="14"/>
              </w:rPr>
              <w:t>EM</w:t>
            </w:r>
          </w:p>
        </w:tc>
        <w:tc>
          <w:tcPr>
            <w:tcW w:w="540" w:type="dxa"/>
            <w:tcBorders>
              <w:top w:val="single" w:sz="4" w:space="0" w:color="auto"/>
              <w:left w:val="nil"/>
              <w:bottom w:val="nil"/>
              <w:right w:val="nil"/>
            </w:tcBorders>
            <w:shd w:val="clear" w:color="auto" w:fill="BBE0E3"/>
            <w:vAlign w:val="center"/>
            <w:hideMark/>
          </w:tcPr>
          <w:p w14:paraId="6519EEF0" w14:textId="77777777" w:rsidR="004920D8" w:rsidRDefault="004920D8" w:rsidP="00DD3BAE">
            <w:pPr>
              <w:spacing w:before="0" w:after="0"/>
              <w:jc w:val="center"/>
              <w:rPr>
                <w:b/>
                <w:bCs/>
                <w:color w:val="000000"/>
                <w:sz w:val="14"/>
                <w:szCs w:val="14"/>
              </w:rPr>
            </w:pPr>
            <w:r>
              <w:rPr>
                <w:b/>
                <w:color w:val="000000"/>
                <w:sz w:val="14"/>
                <w:szCs w:val="14"/>
              </w:rPr>
              <w:t>RH</w:t>
            </w:r>
          </w:p>
        </w:tc>
        <w:tc>
          <w:tcPr>
            <w:tcW w:w="529" w:type="dxa"/>
            <w:tcBorders>
              <w:top w:val="single" w:sz="4" w:space="0" w:color="auto"/>
              <w:left w:val="nil"/>
              <w:bottom w:val="nil"/>
              <w:right w:val="nil"/>
            </w:tcBorders>
            <w:shd w:val="clear" w:color="auto" w:fill="BBE0E3"/>
            <w:vAlign w:val="center"/>
            <w:hideMark/>
          </w:tcPr>
          <w:p w14:paraId="2EF060CE" w14:textId="77777777" w:rsidR="004920D8" w:rsidRDefault="004920D8" w:rsidP="00DD3BAE">
            <w:pPr>
              <w:spacing w:before="0" w:after="0"/>
              <w:jc w:val="center"/>
              <w:rPr>
                <w:b/>
                <w:bCs/>
                <w:color w:val="000000"/>
                <w:sz w:val="14"/>
                <w:szCs w:val="14"/>
              </w:rPr>
            </w:pPr>
            <w:r>
              <w:rPr>
                <w:b/>
                <w:color w:val="000000"/>
                <w:sz w:val="14"/>
                <w:szCs w:val="14"/>
              </w:rPr>
              <w:t>TL</w:t>
            </w:r>
          </w:p>
        </w:tc>
        <w:tc>
          <w:tcPr>
            <w:tcW w:w="559" w:type="dxa"/>
            <w:tcBorders>
              <w:top w:val="single" w:sz="4" w:space="0" w:color="auto"/>
              <w:left w:val="nil"/>
              <w:bottom w:val="nil"/>
              <w:right w:val="single" w:sz="4" w:space="0" w:color="auto"/>
            </w:tcBorders>
            <w:shd w:val="clear" w:color="auto" w:fill="BBE0E3"/>
            <w:vAlign w:val="center"/>
            <w:hideMark/>
          </w:tcPr>
          <w:p w14:paraId="56BE7CBA" w14:textId="77777777" w:rsidR="004920D8" w:rsidRDefault="004920D8" w:rsidP="00DD3BAE">
            <w:pPr>
              <w:spacing w:before="0" w:after="0"/>
              <w:jc w:val="center"/>
              <w:rPr>
                <w:b/>
                <w:bCs/>
                <w:color w:val="000000"/>
                <w:sz w:val="14"/>
                <w:szCs w:val="14"/>
              </w:rPr>
            </w:pPr>
            <w:r>
              <w:rPr>
                <w:b/>
                <w:color w:val="000000"/>
                <w:sz w:val="14"/>
                <w:szCs w:val="14"/>
              </w:rPr>
              <w:t>LL</w:t>
            </w:r>
          </w:p>
        </w:tc>
        <w:tc>
          <w:tcPr>
            <w:tcW w:w="559" w:type="dxa"/>
            <w:tcBorders>
              <w:top w:val="single" w:sz="4" w:space="0" w:color="auto"/>
              <w:left w:val="single" w:sz="4" w:space="0" w:color="auto"/>
              <w:bottom w:val="nil"/>
              <w:right w:val="nil"/>
            </w:tcBorders>
            <w:shd w:val="clear" w:color="auto" w:fill="BBE0E3"/>
            <w:vAlign w:val="center"/>
            <w:hideMark/>
          </w:tcPr>
          <w:p w14:paraId="64C3C6C2" w14:textId="77777777" w:rsidR="004920D8" w:rsidRDefault="004920D8" w:rsidP="00DD3BAE">
            <w:pPr>
              <w:spacing w:before="0" w:after="0"/>
              <w:jc w:val="center"/>
              <w:rPr>
                <w:b/>
                <w:bCs/>
                <w:color w:val="000000"/>
                <w:sz w:val="14"/>
                <w:szCs w:val="14"/>
              </w:rPr>
            </w:pPr>
            <w:r>
              <w:rPr>
                <w:b/>
                <w:color w:val="000000"/>
                <w:sz w:val="14"/>
                <w:szCs w:val="14"/>
              </w:rPr>
              <w:t>SG</w:t>
            </w:r>
          </w:p>
        </w:tc>
        <w:tc>
          <w:tcPr>
            <w:tcW w:w="559" w:type="dxa"/>
            <w:tcBorders>
              <w:top w:val="single" w:sz="4" w:space="0" w:color="auto"/>
              <w:left w:val="nil"/>
              <w:bottom w:val="nil"/>
              <w:right w:val="nil"/>
            </w:tcBorders>
            <w:shd w:val="clear" w:color="auto" w:fill="BBE0E3"/>
            <w:vAlign w:val="center"/>
            <w:hideMark/>
          </w:tcPr>
          <w:p w14:paraId="45ACDC7D" w14:textId="77777777" w:rsidR="004920D8" w:rsidRDefault="004920D8" w:rsidP="00DD3BAE">
            <w:pPr>
              <w:spacing w:before="0" w:after="0"/>
              <w:jc w:val="center"/>
              <w:rPr>
                <w:b/>
                <w:bCs/>
                <w:color w:val="000000"/>
                <w:sz w:val="14"/>
                <w:szCs w:val="14"/>
              </w:rPr>
            </w:pPr>
            <w:r>
              <w:rPr>
                <w:b/>
                <w:color w:val="000000"/>
                <w:sz w:val="14"/>
                <w:szCs w:val="14"/>
              </w:rPr>
              <w:t>SM</w:t>
            </w:r>
          </w:p>
        </w:tc>
        <w:tc>
          <w:tcPr>
            <w:tcW w:w="559" w:type="dxa"/>
            <w:tcBorders>
              <w:top w:val="single" w:sz="4" w:space="0" w:color="auto"/>
              <w:left w:val="nil"/>
              <w:bottom w:val="nil"/>
              <w:right w:val="nil"/>
            </w:tcBorders>
            <w:shd w:val="clear" w:color="auto" w:fill="BBE0E3"/>
            <w:vAlign w:val="center"/>
            <w:hideMark/>
          </w:tcPr>
          <w:p w14:paraId="1393835A" w14:textId="77777777" w:rsidR="004920D8" w:rsidRDefault="004920D8" w:rsidP="00DD3BAE">
            <w:pPr>
              <w:spacing w:before="0" w:after="0"/>
              <w:jc w:val="center"/>
              <w:rPr>
                <w:b/>
                <w:bCs/>
                <w:color w:val="000000"/>
                <w:sz w:val="14"/>
                <w:szCs w:val="14"/>
              </w:rPr>
            </w:pPr>
            <w:r>
              <w:rPr>
                <w:b/>
                <w:color w:val="000000"/>
                <w:sz w:val="14"/>
                <w:szCs w:val="14"/>
              </w:rPr>
              <w:t>EM</w:t>
            </w:r>
          </w:p>
        </w:tc>
        <w:tc>
          <w:tcPr>
            <w:tcW w:w="559" w:type="dxa"/>
            <w:tcBorders>
              <w:top w:val="single" w:sz="4" w:space="0" w:color="auto"/>
              <w:left w:val="nil"/>
              <w:bottom w:val="nil"/>
              <w:right w:val="nil"/>
            </w:tcBorders>
            <w:shd w:val="clear" w:color="auto" w:fill="BBE0E3"/>
            <w:vAlign w:val="center"/>
            <w:hideMark/>
          </w:tcPr>
          <w:p w14:paraId="1D22C24E" w14:textId="77777777" w:rsidR="004920D8" w:rsidRDefault="004920D8" w:rsidP="00DD3BAE">
            <w:pPr>
              <w:spacing w:before="0" w:after="0"/>
              <w:jc w:val="center"/>
              <w:rPr>
                <w:b/>
                <w:bCs/>
                <w:color w:val="000000"/>
                <w:sz w:val="14"/>
                <w:szCs w:val="14"/>
              </w:rPr>
            </w:pPr>
            <w:r>
              <w:rPr>
                <w:b/>
                <w:color w:val="000000"/>
                <w:sz w:val="14"/>
                <w:szCs w:val="14"/>
              </w:rPr>
              <w:t>RH</w:t>
            </w:r>
          </w:p>
        </w:tc>
        <w:tc>
          <w:tcPr>
            <w:tcW w:w="559" w:type="dxa"/>
            <w:tcBorders>
              <w:top w:val="single" w:sz="4" w:space="0" w:color="auto"/>
              <w:left w:val="nil"/>
              <w:bottom w:val="nil"/>
              <w:right w:val="nil"/>
            </w:tcBorders>
            <w:shd w:val="clear" w:color="auto" w:fill="BBE0E3"/>
            <w:vAlign w:val="center"/>
            <w:hideMark/>
          </w:tcPr>
          <w:p w14:paraId="5984DD10" w14:textId="77777777" w:rsidR="004920D8" w:rsidRDefault="004920D8" w:rsidP="00DD3BAE">
            <w:pPr>
              <w:spacing w:before="0" w:after="0"/>
              <w:jc w:val="center"/>
              <w:rPr>
                <w:b/>
                <w:bCs/>
                <w:color w:val="000000"/>
                <w:sz w:val="14"/>
                <w:szCs w:val="14"/>
              </w:rPr>
            </w:pPr>
            <w:r>
              <w:rPr>
                <w:b/>
                <w:color w:val="000000"/>
                <w:sz w:val="14"/>
                <w:szCs w:val="14"/>
              </w:rPr>
              <w:t>TL</w:t>
            </w:r>
          </w:p>
        </w:tc>
        <w:tc>
          <w:tcPr>
            <w:tcW w:w="546" w:type="dxa"/>
            <w:tcBorders>
              <w:top w:val="single" w:sz="4" w:space="0" w:color="auto"/>
              <w:left w:val="nil"/>
              <w:bottom w:val="nil"/>
              <w:right w:val="nil"/>
            </w:tcBorders>
            <w:shd w:val="clear" w:color="auto" w:fill="BBE0E3"/>
            <w:vAlign w:val="center"/>
            <w:hideMark/>
          </w:tcPr>
          <w:p w14:paraId="59218787" w14:textId="77777777" w:rsidR="004920D8" w:rsidRDefault="004920D8" w:rsidP="00DD3BAE">
            <w:pPr>
              <w:spacing w:before="0" w:after="0"/>
              <w:jc w:val="center"/>
              <w:rPr>
                <w:b/>
                <w:bCs/>
                <w:color w:val="000000"/>
                <w:sz w:val="14"/>
                <w:szCs w:val="14"/>
              </w:rPr>
            </w:pPr>
            <w:r>
              <w:rPr>
                <w:b/>
                <w:color w:val="000000"/>
                <w:sz w:val="14"/>
                <w:szCs w:val="14"/>
              </w:rPr>
              <w:t>LL</w:t>
            </w:r>
          </w:p>
        </w:tc>
      </w:tr>
      <w:tr w:rsidR="004920D8" w14:paraId="41A08F4E" w14:textId="77777777" w:rsidTr="00D64955">
        <w:trPr>
          <w:gridAfter w:val="1"/>
          <w:wAfter w:w="10" w:type="dxa"/>
          <w:cantSplit/>
          <w:trHeight w:val="170"/>
          <w:jc w:val="center"/>
        </w:trPr>
        <w:tc>
          <w:tcPr>
            <w:tcW w:w="1148" w:type="dxa"/>
            <w:vMerge w:val="restart"/>
            <w:tcBorders>
              <w:top w:val="single" w:sz="4" w:space="0" w:color="auto"/>
              <w:left w:val="nil"/>
              <w:bottom w:val="nil"/>
              <w:right w:val="nil"/>
            </w:tcBorders>
            <w:noWrap/>
            <w:vAlign w:val="center"/>
            <w:hideMark/>
          </w:tcPr>
          <w:p w14:paraId="5484EEA2" w14:textId="77777777" w:rsidR="004920D8" w:rsidRDefault="004920D8" w:rsidP="00DD3BAE">
            <w:pPr>
              <w:spacing w:before="0" w:after="0"/>
              <w:jc w:val="center"/>
              <w:rPr>
                <w:color w:val="000000"/>
                <w:sz w:val="14"/>
                <w:szCs w:val="14"/>
              </w:rPr>
            </w:pPr>
            <w:r>
              <w:rPr>
                <w:color w:val="000000"/>
                <w:sz w:val="14"/>
                <w:szCs w:val="14"/>
              </w:rPr>
              <w:t>Far Northern</w:t>
            </w:r>
          </w:p>
        </w:tc>
        <w:tc>
          <w:tcPr>
            <w:tcW w:w="1294" w:type="dxa"/>
            <w:vMerge w:val="restart"/>
            <w:tcBorders>
              <w:top w:val="single" w:sz="4" w:space="0" w:color="auto"/>
              <w:left w:val="nil"/>
              <w:bottom w:val="nil"/>
              <w:right w:val="nil"/>
            </w:tcBorders>
            <w:shd w:val="clear" w:color="auto" w:fill="E7F3F4"/>
            <w:noWrap/>
            <w:vAlign w:val="center"/>
            <w:hideMark/>
          </w:tcPr>
          <w:p w14:paraId="0AC3ABF9" w14:textId="77777777" w:rsidR="004920D8" w:rsidRDefault="004920D8" w:rsidP="00DD3BAE">
            <w:pPr>
              <w:spacing w:before="0" w:after="0"/>
              <w:jc w:val="center"/>
              <w:rPr>
                <w:color w:val="000000"/>
                <w:sz w:val="14"/>
                <w:szCs w:val="14"/>
              </w:rPr>
            </w:pPr>
            <w:r>
              <w:rPr>
                <w:color w:val="000000"/>
                <w:sz w:val="14"/>
                <w:szCs w:val="14"/>
              </w:rPr>
              <w:t>Cape York</w:t>
            </w:r>
          </w:p>
        </w:tc>
        <w:tc>
          <w:tcPr>
            <w:tcW w:w="1299" w:type="dxa"/>
            <w:vMerge w:val="restart"/>
            <w:tcBorders>
              <w:top w:val="single" w:sz="4" w:space="0" w:color="auto"/>
              <w:left w:val="nil"/>
              <w:bottom w:val="nil"/>
              <w:right w:val="nil"/>
            </w:tcBorders>
            <w:shd w:val="clear" w:color="auto" w:fill="E7F3F4"/>
            <w:vAlign w:val="center"/>
          </w:tcPr>
          <w:p w14:paraId="0FA9313F" w14:textId="77777777" w:rsidR="004920D8" w:rsidRDefault="004920D8" w:rsidP="00DD3BAE">
            <w:pPr>
              <w:spacing w:before="0" w:after="0"/>
              <w:jc w:val="center"/>
              <w:rPr>
                <w:color w:val="000000"/>
                <w:sz w:val="14"/>
                <w:szCs w:val="14"/>
              </w:rPr>
            </w:pPr>
            <w:r>
              <w:rPr>
                <w:color w:val="000000"/>
                <w:sz w:val="14"/>
                <w:szCs w:val="14"/>
              </w:rPr>
              <w:t>Jacky Jacky / Olive Pascoe</w:t>
            </w:r>
          </w:p>
        </w:tc>
        <w:tc>
          <w:tcPr>
            <w:tcW w:w="1307" w:type="dxa"/>
            <w:vMerge w:val="restart"/>
            <w:tcBorders>
              <w:top w:val="single" w:sz="4" w:space="0" w:color="auto"/>
              <w:left w:val="nil"/>
              <w:bottom w:val="nil"/>
              <w:right w:val="nil"/>
            </w:tcBorders>
            <w:shd w:val="clear" w:color="auto" w:fill="E7F3F4"/>
            <w:noWrap/>
            <w:vAlign w:val="center"/>
            <w:hideMark/>
          </w:tcPr>
          <w:p w14:paraId="68D303CB" w14:textId="77777777" w:rsidR="004920D8" w:rsidRDefault="004920D8" w:rsidP="00DD3BAE">
            <w:pPr>
              <w:spacing w:before="0" w:after="0"/>
              <w:jc w:val="center"/>
              <w:rPr>
                <w:color w:val="000000"/>
                <w:sz w:val="14"/>
                <w:szCs w:val="14"/>
              </w:rPr>
            </w:pPr>
            <w:r>
              <w:rPr>
                <w:color w:val="000000"/>
                <w:sz w:val="14"/>
                <w:szCs w:val="14"/>
              </w:rPr>
              <w:t>Shelburne Bay</w:t>
            </w:r>
          </w:p>
        </w:tc>
        <w:tc>
          <w:tcPr>
            <w:tcW w:w="840" w:type="dxa"/>
            <w:tcBorders>
              <w:top w:val="single" w:sz="4" w:space="0" w:color="auto"/>
              <w:left w:val="nil"/>
              <w:right w:val="nil"/>
            </w:tcBorders>
            <w:shd w:val="clear" w:color="auto" w:fill="E7F3F4"/>
            <w:noWrap/>
            <w:vAlign w:val="center"/>
            <w:hideMark/>
          </w:tcPr>
          <w:p w14:paraId="02456EA6" w14:textId="77777777" w:rsidR="004920D8" w:rsidRDefault="004920D8" w:rsidP="00DD3BAE">
            <w:pPr>
              <w:spacing w:before="0" w:after="0"/>
              <w:jc w:val="center"/>
              <w:rPr>
                <w:b/>
                <w:color w:val="000000"/>
                <w:sz w:val="14"/>
                <w:szCs w:val="14"/>
              </w:rPr>
            </w:pPr>
            <w:r>
              <w:rPr>
                <w:b/>
                <w:color w:val="000000"/>
                <w:sz w:val="14"/>
                <w:szCs w:val="14"/>
              </w:rPr>
              <w:t>SR1</w:t>
            </w:r>
          </w:p>
        </w:tc>
        <w:tc>
          <w:tcPr>
            <w:tcW w:w="555" w:type="dxa"/>
            <w:tcBorders>
              <w:top w:val="single" w:sz="4" w:space="0" w:color="auto"/>
              <w:left w:val="nil"/>
              <w:right w:val="nil"/>
            </w:tcBorders>
            <w:shd w:val="clear" w:color="auto" w:fill="E7F3F4"/>
            <w:vAlign w:val="center"/>
          </w:tcPr>
          <w:p w14:paraId="3CB278FF" w14:textId="77777777" w:rsidR="004920D8" w:rsidRDefault="004920D8" w:rsidP="00DD3BAE">
            <w:pPr>
              <w:spacing w:before="0" w:after="0"/>
              <w:jc w:val="center"/>
              <w:rPr>
                <w:color w:val="000000"/>
                <w:sz w:val="14"/>
                <w:szCs w:val="14"/>
              </w:rPr>
            </w:pPr>
          </w:p>
        </w:tc>
        <w:tc>
          <w:tcPr>
            <w:tcW w:w="543" w:type="dxa"/>
            <w:tcBorders>
              <w:top w:val="single" w:sz="4" w:space="0" w:color="auto"/>
              <w:left w:val="nil"/>
              <w:right w:val="nil"/>
            </w:tcBorders>
            <w:shd w:val="clear" w:color="auto" w:fill="E7F3F4"/>
            <w:noWrap/>
            <w:vAlign w:val="center"/>
          </w:tcPr>
          <w:p w14:paraId="25D8AC4D"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E7F3F4"/>
            <w:noWrap/>
            <w:vAlign w:val="center"/>
          </w:tcPr>
          <w:p w14:paraId="0456D267"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E7F3F4"/>
            <w:vAlign w:val="center"/>
          </w:tcPr>
          <w:p w14:paraId="11D27763"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E7F3F4"/>
            <w:vAlign w:val="center"/>
          </w:tcPr>
          <w:p w14:paraId="523ACCC2"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E7F3F4"/>
            <w:vAlign w:val="center"/>
          </w:tcPr>
          <w:p w14:paraId="34CE065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5ED72075"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7E052050"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25B587EA"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402BD062"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6BE6182A"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7539F7E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tcPr>
          <w:p w14:paraId="4BE8EB88" w14:textId="77777777" w:rsidR="004920D8" w:rsidRDefault="004920D8" w:rsidP="00DD3BAE">
            <w:pPr>
              <w:spacing w:before="0" w:after="0"/>
              <w:jc w:val="center"/>
              <w:rPr>
                <w:color w:val="000000"/>
                <w:sz w:val="14"/>
                <w:szCs w:val="14"/>
              </w:rPr>
            </w:pPr>
          </w:p>
        </w:tc>
      </w:tr>
      <w:tr w:rsidR="004920D8" w14:paraId="1F799A47"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47A68771"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5AA6C74D"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4B38B93A"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5A26C142" w14:textId="77777777" w:rsidR="004920D8" w:rsidRDefault="004920D8" w:rsidP="00DD3BAE">
            <w:pPr>
              <w:spacing w:before="0" w:after="0"/>
              <w:rPr>
                <w:color w:val="000000"/>
                <w:sz w:val="14"/>
                <w:szCs w:val="14"/>
              </w:rPr>
            </w:pPr>
          </w:p>
        </w:tc>
        <w:tc>
          <w:tcPr>
            <w:tcW w:w="840" w:type="dxa"/>
            <w:tcBorders>
              <w:left w:val="nil"/>
              <w:bottom w:val="nil"/>
            </w:tcBorders>
            <w:shd w:val="clear" w:color="auto" w:fill="E7F3F4"/>
            <w:noWrap/>
            <w:vAlign w:val="center"/>
            <w:hideMark/>
          </w:tcPr>
          <w:p w14:paraId="1BD0DCFE" w14:textId="77777777" w:rsidR="004920D8" w:rsidRDefault="004920D8" w:rsidP="00DD3BAE">
            <w:pPr>
              <w:spacing w:before="0" w:after="0"/>
              <w:jc w:val="center"/>
              <w:rPr>
                <w:b/>
                <w:color w:val="000000"/>
                <w:sz w:val="14"/>
                <w:szCs w:val="14"/>
              </w:rPr>
            </w:pPr>
            <w:r>
              <w:rPr>
                <w:b/>
                <w:color w:val="000000"/>
                <w:sz w:val="14"/>
                <w:szCs w:val="14"/>
              </w:rPr>
              <w:t>SR2</w:t>
            </w:r>
          </w:p>
        </w:tc>
        <w:tc>
          <w:tcPr>
            <w:tcW w:w="555" w:type="dxa"/>
            <w:tcBorders>
              <w:bottom w:val="nil"/>
            </w:tcBorders>
            <w:shd w:val="clear" w:color="auto" w:fill="E7F3F4"/>
            <w:vAlign w:val="center"/>
          </w:tcPr>
          <w:p w14:paraId="36BAB1D9" w14:textId="77777777" w:rsidR="004920D8" w:rsidRDefault="004920D8" w:rsidP="00DD3BAE">
            <w:pPr>
              <w:spacing w:before="0" w:after="0"/>
              <w:jc w:val="center"/>
              <w:rPr>
                <w:color w:val="000000"/>
                <w:sz w:val="14"/>
                <w:szCs w:val="14"/>
              </w:rPr>
            </w:pPr>
          </w:p>
        </w:tc>
        <w:tc>
          <w:tcPr>
            <w:tcW w:w="543" w:type="dxa"/>
            <w:tcBorders>
              <w:bottom w:val="nil"/>
            </w:tcBorders>
            <w:shd w:val="clear" w:color="auto" w:fill="E7F3F4"/>
            <w:noWrap/>
            <w:vAlign w:val="center"/>
          </w:tcPr>
          <w:p w14:paraId="3345A6CD"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E7F3F4"/>
            <w:noWrap/>
            <w:vAlign w:val="center"/>
          </w:tcPr>
          <w:p w14:paraId="121CDF91"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E7F3F4"/>
            <w:vAlign w:val="center"/>
          </w:tcPr>
          <w:p w14:paraId="78B97006"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E7F3F4"/>
            <w:vAlign w:val="center"/>
          </w:tcPr>
          <w:p w14:paraId="7D0B98C7"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E7F3F4"/>
            <w:vAlign w:val="center"/>
          </w:tcPr>
          <w:p w14:paraId="40F0FB3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tcPr>
          <w:p w14:paraId="77E2164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tcPr>
          <w:p w14:paraId="377D0BC4"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533928C2"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52DD6A0D"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133A4AD1"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3E55027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tcPr>
          <w:p w14:paraId="5E4BDD67"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21355829"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72051D0"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4DEF5EFF"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731C2C95"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E7F3F4"/>
            <w:noWrap/>
            <w:vAlign w:val="center"/>
            <w:hideMark/>
          </w:tcPr>
          <w:p w14:paraId="1AE74911" w14:textId="77777777" w:rsidR="004920D8" w:rsidRDefault="004920D8" w:rsidP="00DD3BAE">
            <w:pPr>
              <w:spacing w:before="0" w:after="0"/>
              <w:jc w:val="center"/>
              <w:rPr>
                <w:color w:val="000000"/>
                <w:sz w:val="14"/>
                <w:szCs w:val="14"/>
              </w:rPr>
            </w:pPr>
            <w:r>
              <w:rPr>
                <w:color w:val="000000"/>
                <w:sz w:val="14"/>
                <w:szCs w:val="14"/>
              </w:rPr>
              <w:t>Piper Reef</w:t>
            </w:r>
          </w:p>
        </w:tc>
        <w:tc>
          <w:tcPr>
            <w:tcW w:w="840" w:type="dxa"/>
            <w:tcBorders>
              <w:top w:val="single" w:sz="4" w:space="0" w:color="auto"/>
              <w:left w:val="nil"/>
              <w:right w:val="nil"/>
            </w:tcBorders>
            <w:shd w:val="clear" w:color="auto" w:fill="E7F3F4"/>
            <w:noWrap/>
            <w:vAlign w:val="center"/>
            <w:hideMark/>
          </w:tcPr>
          <w:p w14:paraId="35EACB3F" w14:textId="77777777" w:rsidR="004920D8" w:rsidRDefault="004920D8" w:rsidP="00DD3BAE">
            <w:pPr>
              <w:spacing w:before="0" w:after="0"/>
              <w:jc w:val="center"/>
              <w:rPr>
                <w:b/>
                <w:color w:val="000000"/>
                <w:sz w:val="14"/>
                <w:szCs w:val="14"/>
              </w:rPr>
            </w:pPr>
            <w:r>
              <w:rPr>
                <w:b/>
                <w:color w:val="000000"/>
                <w:sz w:val="14"/>
                <w:szCs w:val="14"/>
              </w:rPr>
              <w:t>FR1</w:t>
            </w:r>
          </w:p>
        </w:tc>
        <w:tc>
          <w:tcPr>
            <w:tcW w:w="555" w:type="dxa"/>
            <w:tcBorders>
              <w:top w:val="single" w:sz="4" w:space="0" w:color="auto"/>
              <w:left w:val="nil"/>
              <w:right w:val="nil"/>
            </w:tcBorders>
            <w:shd w:val="clear" w:color="auto" w:fill="E7F3F4"/>
            <w:vAlign w:val="center"/>
            <w:hideMark/>
          </w:tcPr>
          <w:p w14:paraId="0B8400F6"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6225A55F"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59461CB4"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71C8148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23C7A761"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3D6CFA4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18CB0915"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40282B7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60176C75"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7DA8BF9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4DCBAE38"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19E77F9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tcPr>
          <w:p w14:paraId="6115ED16" w14:textId="77777777" w:rsidR="004920D8" w:rsidRDefault="004920D8" w:rsidP="00DD3BAE">
            <w:pPr>
              <w:spacing w:before="0" w:after="0"/>
              <w:jc w:val="center"/>
              <w:rPr>
                <w:color w:val="000000"/>
                <w:sz w:val="14"/>
                <w:szCs w:val="14"/>
              </w:rPr>
            </w:pPr>
          </w:p>
        </w:tc>
      </w:tr>
      <w:tr w:rsidR="004920D8" w14:paraId="3FE8E441"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683D757"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5AE8F228"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359EC24C"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2690A851" w14:textId="77777777" w:rsidR="004920D8" w:rsidRDefault="004920D8" w:rsidP="00DD3BAE">
            <w:pPr>
              <w:spacing w:before="0" w:after="0"/>
              <w:rPr>
                <w:color w:val="000000"/>
                <w:sz w:val="14"/>
                <w:szCs w:val="14"/>
              </w:rPr>
            </w:pPr>
          </w:p>
        </w:tc>
        <w:tc>
          <w:tcPr>
            <w:tcW w:w="840" w:type="dxa"/>
            <w:tcBorders>
              <w:left w:val="nil"/>
              <w:bottom w:val="nil"/>
            </w:tcBorders>
            <w:shd w:val="clear" w:color="auto" w:fill="E7F3F4"/>
            <w:noWrap/>
            <w:vAlign w:val="center"/>
            <w:hideMark/>
          </w:tcPr>
          <w:p w14:paraId="1695E293" w14:textId="77777777" w:rsidR="004920D8" w:rsidRDefault="004920D8" w:rsidP="00DD3BAE">
            <w:pPr>
              <w:spacing w:before="0" w:after="0"/>
              <w:jc w:val="center"/>
              <w:rPr>
                <w:b/>
                <w:color w:val="000000"/>
                <w:sz w:val="14"/>
                <w:szCs w:val="14"/>
              </w:rPr>
            </w:pPr>
            <w:r>
              <w:rPr>
                <w:b/>
                <w:color w:val="000000"/>
                <w:sz w:val="14"/>
                <w:szCs w:val="14"/>
              </w:rPr>
              <w:t>FR2</w:t>
            </w:r>
          </w:p>
        </w:tc>
        <w:tc>
          <w:tcPr>
            <w:tcW w:w="555" w:type="dxa"/>
            <w:tcBorders>
              <w:bottom w:val="nil"/>
            </w:tcBorders>
            <w:shd w:val="clear" w:color="auto" w:fill="E7F3F4"/>
            <w:vAlign w:val="center"/>
          </w:tcPr>
          <w:p w14:paraId="0F21EF42"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tcPr>
          <w:p w14:paraId="23E45FE4"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tcPr>
          <w:p w14:paraId="0B3F680D"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tcPr>
          <w:p w14:paraId="1A87735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tcPr>
          <w:p w14:paraId="5961C346"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168D446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hideMark/>
          </w:tcPr>
          <w:p w14:paraId="4484D89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tcPr>
          <w:p w14:paraId="3775D7CC"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3EE476C4"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5DAD05E2"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51C79048"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6FF70A8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tcPr>
          <w:p w14:paraId="735C8861"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474F0E53"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6489648F"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tcPr>
          <w:p w14:paraId="05E39EB7"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right w:val="nil"/>
            </w:tcBorders>
            <w:shd w:val="clear" w:color="auto" w:fill="E7F3F4"/>
            <w:vAlign w:val="center"/>
          </w:tcPr>
          <w:p w14:paraId="084C8104" w14:textId="77777777" w:rsidR="004920D8" w:rsidRDefault="004920D8" w:rsidP="00DD3BAE">
            <w:pPr>
              <w:spacing w:before="0" w:after="0"/>
              <w:jc w:val="center"/>
              <w:rPr>
                <w:color w:val="000000"/>
                <w:sz w:val="14"/>
                <w:szCs w:val="14"/>
              </w:rPr>
            </w:pPr>
            <w:r>
              <w:rPr>
                <w:color w:val="000000"/>
                <w:sz w:val="14"/>
                <w:szCs w:val="14"/>
              </w:rPr>
              <w:t>Lockhart</w:t>
            </w:r>
          </w:p>
        </w:tc>
        <w:tc>
          <w:tcPr>
            <w:tcW w:w="1307" w:type="dxa"/>
            <w:tcBorders>
              <w:top w:val="single" w:sz="4" w:space="0" w:color="auto"/>
              <w:left w:val="nil"/>
              <w:right w:val="nil"/>
            </w:tcBorders>
            <w:shd w:val="clear" w:color="auto" w:fill="E7F3F4"/>
            <w:noWrap/>
            <w:vAlign w:val="center"/>
          </w:tcPr>
          <w:p w14:paraId="79FE2235" w14:textId="77777777" w:rsidR="004920D8" w:rsidRDefault="004920D8" w:rsidP="00DD3BAE">
            <w:pPr>
              <w:spacing w:before="0" w:after="0"/>
              <w:jc w:val="center"/>
              <w:rPr>
                <w:color w:val="000000"/>
                <w:sz w:val="14"/>
                <w:szCs w:val="14"/>
              </w:rPr>
            </w:pPr>
            <w:r>
              <w:rPr>
                <w:color w:val="000000"/>
                <w:sz w:val="14"/>
                <w:szCs w:val="14"/>
              </w:rPr>
              <w:t>Weymouth Bay</w:t>
            </w:r>
          </w:p>
        </w:tc>
        <w:tc>
          <w:tcPr>
            <w:tcW w:w="840" w:type="dxa"/>
            <w:tcBorders>
              <w:top w:val="single" w:sz="4" w:space="0" w:color="auto"/>
              <w:left w:val="nil"/>
              <w:right w:val="nil"/>
            </w:tcBorders>
            <w:shd w:val="clear" w:color="auto" w:fill="E7F3F4"/>
            <w:noWrap/>
            <w:vAlign w:val="center"/>
          </w:tcPr>
          <w:p w14:paraId="25734E75" w14:textId="77777777" w:rsidR="004920D8" w:rsidRDefault="004920D8" w:rsidP="00DD3BAE">
            <w:pPr>
              <w:spacing w:before="0" w:after="0"/>
              <w:jc w:val="center"/>
              <w:rPr>
                <w:b/>
                <w:color w:val="000000"/>
                <w:sz w:val="14"/>
                <w:szCs w:val="14"/>
              </w:rPr>
            </w:pPr>
            <w:r>
              <w:rPr>
                <w:b/>
                <w:color w:val="000000"/>
                <w:sz w:val="14"/>
                <w:szCs w:val="14"/>
              </w:rPr>
              <w:t>YY1</w:t>
            </w:r>
          </w:p>
        </w:tc>
        <w:tc>
          <w:tcPr>
            <w:tcW w:w="555" w:type="dxa"/>
            <w:tcBorders>
              <w:top w:val="single" w:sz="4" w:space="0" w:color="auto"/>
              <w:left w:val="nil"/>
              <w:right w:val="nil"/>
            </w:tcBorders>
            <w:shd w:val="clear" w:color="auto" w:fill="E7F3F4"/>
            <w:vAlign w:val="center"/>
          </w:tcPr>
          <w:p w14:paraId="53959414" w14:textId="77777777" w:rsidR="004920D8" w:rsidRDefault="004920D8" w:rsidP="00DD3BAE">
            <w:pPr>
              <w:spacing w:before="0" w:after="0"/>
              <w:jc w:val="center"/>
              <w:rPr>
                <w:color w:val="000000"/>
                <w:sz w:val="14"/>
                <w:szCs w:val="14"/>
              </w:rPr>
            </w:pPr>
          </w:p>
        </w:tc>
        <w:tc>
          <w:tcPr>
            <w:tcW w:w="543" w:type="dxa"/>
            <w:tcBorders>
              <w:top w:val="single" w:sz="4" w:space="0" w:color="auto"/>
              <w:left w:val="nil"/>
              <w:right w:val="nil"/>
            </w:tcBorders>
            <w:shd w:val="clear" w:color="auto" w:fill="E7F3F4"/>
            <w:noWrap/>
            <w:vAlign w:val="center"/>
          </w:tcPr>
          <w:p w14:paraId="2C5E983C"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E7F3F4"/>
            <w:noWrap/>
            <w:vAlign w:val="center"/>
          </w:tcPr>
          <w:p w14:paraId="44030EE3"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E7F3F4"/>
            <w:vAlign w:val="center"/>
          </w:tcPr>
          <w:p w14:paraId="445EF32E"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E7F3F4"/>
            <w:vAlign w:val="center"/>
          </w:tcPr>
          <w:p w14:paraId="09A407F4"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E7F3F4"/>
            <w:vAlign w:val="center"/>
          </w:tcPr>
          <w:p w14:paraId="74D1BFC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E7F3F4"/>
          </w:tcPr>
          <w:p w14:paraId="2DB63E15"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437885EB"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01B65D7E"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4C2D6B70"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057F782B"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0631B0E3" w14:textId="77777777" w:rsidR="004920D8" w:rsidRDefault="004920D8" w:rsidP="00DD3BAE">
            <w:pPr>
              <w:spacing w:before="0" w:after="0"/>
              <w:jc w:val="center"/>
              <w:rPr>
                <w:color w:val="000000"/>
                <w:sz w:val="14"/>
                <w:szCs w:val="14"/>
              </w:rPr>
            </w:pPr>
          </w:p>
        </w:tc>
        <w:tc>
          <w:tcPr>
            <w:tcW w:w="546" w:type="dxa"/>
            <w:tcBorders>
              <w:top w:val="single" w:sz="4" w:space="0" w:color="auto"/>
              <w:left w:val="nil"/>
              <w:right w:val="nil"/>
            </w:tcBorders>
            <w:shd w:val="clear" w:color="auto" w:fill="E7F3F4"/>
            <w:vAlign w:val="center"/>
          </w:tcPr>
          <w:p w14:paraId="3B5BAED6" w14:textId="77777777" w:rsidR="004920D8" w:rsidRDefault="004920D8" w:rsidP="00DD3BAE">
            <w:pPr>
              <w:spacing w:before="0" w:after="0"/>
              <w:jc w:val="center"/>
              <w:rPr>
                <w:color w:val="000000"/>
                <w:sz w:val="14"/>
                <w:szCs w:val="14"/>
              </w:rPr>
            </w:pPr>
          </w:p>
        </w:tc>
      </w:tr>
      <w:tr w:rsidR="004920D8" w14:paraId="535EE46E"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3EE5640A"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tcPr>
          <w:p w14:paraId="013B9DF7" w14:textId="77777777" w:rsidR="004920D8" w:rsidRDefault="004920D8" w:rsidP="00DD3BAE">
            <w:pPr>
              <w:spacing w:before="0" w:after="0"/>
              <w:rPr>
                <w:color w:val="000000"/>
                <w:sz w:val="14"/>
                <w:szCs w:val="14"/>
              </w:rPr>
            </w:pPr>
          </w:p>
        </w:tc>
        <w:tc>
          <w:tcPr>
            <w:tcW w:w="1299" w:type="dxa"/>
            <w:vMerge/>
            <w:tcBorders>
              <w:left w:val="nil"/>
              <w:right w:val="nil"/>
            </w:tcBorders>
            <w:shd w:val="clear" w:color="auto" w:fill="E7F3F4"/>
            <w:vAlign w:val="center"/>
          </w:tcPr>
          <w:p w14:paraId="6727C766" w14:textId="77777777" w:rsidR="004920D8" w:rsidRDefault="004920D8" w:rsidP="00DD3BAE">
            <w:pPr>
              <w:spacing w:before="0" w:after="0"/>
              <w:jc w:val="center"/>
              <w:rPr>
                <w:color w:val="000000"/>
                <w:sz w:val="14"/>
                <w:szCs w:val="14"/>
              </w:rPr>
            </w:pPr>
          </w:p>
        </w:tc>
        <w:tc>
          <w:tcPr>
            <w:tcW w:w="1307" w:type="dxa"/>
            <w:vMerge w:val="restart"/>
            <w:tcBorders>
              <w:top w:val="single" w:sz="4" w:space="0" w:color="auto"/>
              <w:left w:val="nil"/>
              <w:right w:val="nil"/>
            </w:tcBorders>
            <w:shd w:val="clear" w:color="auto" w:fill="E7F3F4"/>
            <w:noWrap/>
            <w:vAlign w:val="center"/>
          </w:tcPr>
          <w:p w14:paraId="7C197682" w14:textId="77777777" w:rsidR="004920D8" w:rsidRDefault="004920D8" w:rsidP="00DD3BAE">
            <w:pPr>
              <w:spacing w:before="0" w:after="0"/>
              <w:jc w:val="center"/>
              <w:rPr>
                <w:color w:val="000000"/>
                <w:sz w:val="14"/>
                <w:szCs w:val="14"/>
              </w:rPr>
            </w:pPr>
            <w:r>
              <w:rPr>
                <w:color w:val="000000"/>
                <w:sz w:val="14"/>
                <w:szCs w:val="14"/>
              </w:rPr>
              <w:t>Lloyd Bay</w:t>
            </w:r>
          </w:p>
        </w:tc>
        <w:tc>
          <w:tcPr>
            <w:tcW w:w="840" w:type="dxa"/>
            <w:tcBorders>
              <w:top w:val="single" w:sz="4" w:space="0" w:color="auto"/>
              <w:left w:val="nil"/>
              <w:right w:val="nil"/>
            </w:tcBorders>
            <w:shd w:val="clear" w:color="auto" w:fill="E7F3F4"/>
            <w:noWrap/>
            <w:vAlign w:val="center"/>
          </w:tcPr>
          <w:p w14:paraId="77E45874" w14:textId="77777777" w:rsidR="004920D8" w:rsidRDefault="004920D8" w:rsidP="00DD3BAE">
            <w:pPr>
              <w:spacing w:before="0" w:after="0"/>
              <w:jc w:val="center"/>
              <w:rPr>
                <w:b/>
                <w:color w:val="000000"/>
                <w:sz w:val="14"/>
                <w:szCs w:val="14"/>
              </w:rPr>
            </w:pPr>
            <w:r>
              <w:rPr>
                <w:b/>
                <w:color w:val="000000"/>
                <w:sz w:val="14"/>
                <w:szCs w:val="14"/>
              </w:rPr>
              <w:t>LR1^</w:t>
            </w:r>
          </w:p>
        </w:tc>
        <w:tc>
          <w:tcPr>
            <w:tcW w:w="555" w:type="dxa"/>
            <w:tcBorders>
              <w:top w:val="single" w:sz="4" w:space="0" w:color="auto"/>
              <w:left w:val="nil"/>
              <w:right w:val="nil"/>
            </w:tcBorders>
            <w:shd w:val="clear" w:color="auto" w:fill="E7F3F4"/>
            <w:vAlign w:val="center"/>
          </w:tcPr>
          <w:p w14:paraId="0E224478" w14:textId="77777777" w:rsidR="004920D8" w:rsidRDefault="004920D8" w:rsidP="00DD3BAE">
            <w:pPr>
              <w:spacing w:before="0" w:after="0"/>
              <w:jc w:val="center"/>
              <w:rPr>
                <w:color w:val="000000"/>
                <w:sz w:val="14"/>
                <w:szCs w:val="14"/>
              </w:rPr>
            </w:pPr>
            <w:r>
              <w:rPr>
                <w:color w:val="000000"/>
                <w:sz w:val="14"/>
                <w:szCs w:val="14"/>
              </w:rPr>
              <w:t>19</w:t>
            </w:r>
          </w:p>
        </w:tc>
        <w:tc>
          <w:tcPr>
            <w:tcW w:w="543" w:type="dxa"/>
            <w:tcBorders>
              <w:top w:val="single" w:sz="4" w:space="0" w:color="auto"/>
              <w:left w:val="nil"/>
              <w:right w:val="nil"/>
            </w:tcBorders>
            <w:shd w:val="clear" w:color="auto" w:fill="E7F3F4"/>
            <w:noWrap/>
            <w:vAlign w:val="center"/>
          </w:tcPr>
          <w:p w14:paraId="53A9597A"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E7F3F4"/>
            <w:noWrap/>
            <w:vAlign w:val="center"/>
          </w:tcPr>
          <w:p w14:paraId="22DA8BC4"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E7F3F4"/>
            <w:vAlign w:val="center"/>
          </w:tcPr>
          <w:p w14:paraId="3530AE01"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E7F3F4"/>
            <w:vAlign w:val="center"/>
          </w:tcPr>
          <w:p w14:paraId="27902100"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E7F3F4"/>
            <w:vAlign w:val="center"/>
          </w:tcPr>
          <w:p w14:paraId="5F4EBF29"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E7F3F4"/>
          </w:tcPr>
          <w:p w14:paraId="6B0870A4"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3DD6413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5F9165C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67FB3C7E"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2C4C918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1076D2A4" w14:textId="77777777" w:rsidR="004920D8" w:rsidRDefault="004920D8" w:rsidP="00DD3BAE">
            <w:pPr>
              <w:spacing w:before="0" w:after="0"/>
              <w:jc w:val="center"/>
              <w:rPr>
                <w:color w:val="000000"/>
                <w:sz w:val="14"/>
                <w:szCs w:val="14"/>
              </w:rPr>
            </w:pPr>
          </w:p>
        </w:tc>
        <w:tc>
          <w:tcPr>
            <w:tcW w:w="546" w:type="dxa"/>
            <w:tcBorders>
              <w:top w:val="single" w:sz="4" w:space="0" w:color="auto"/>
              <w:left w:val="nil"/>
              <w:right w:val="nil"/>
            </w:tcBorders>
            <w:shd w:val="clear" w:color="auto" w:fill="E7F3F4"/>
            <w:vAlign w:val="center"/>
          </w:tcPr>
          <w:p w14:paraId="397B89B6" w14:textId="77777777" w:rsidR="004920D8" w:rsidRDefault="004920D8" w:rsidP="00DD3BAE">
            <w:pPr>
              <w:spacing w:before="0" w:after="0"/>
              <w:jc w:val="center"/>
              <w:rPr>
                <w:color w:val="000000"/>
                <w:sz w:val="14"/>
                <w:szCs w:val="14"/>
              </w:rPr>
            </w:pPr>
          </w:p>
        </w:tc>
      </w:tr>
      <w:tr w:rsidR="004920D8" w14:paraId="25E0A724"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A6E3D94"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tcPr>
          <w:p w14:paraId="723D4D00" w14:textId="77777777" w:rsidR="004920D8" w:rsidRDefault="004920D8" w:rsidP="00DD3BAE">
            <w:pPr>
              <w:spacing w:before="0" w:after="0"/>
              <w:rPr>
                <w:color w:val="000000"/>
                <w:sz w:val="14"/>
                <w:szCs w:val="14"/>
              </w:rPr>
            </w:pPr>
          </w:p>
        </w:tc>
        <w:tc>
          <w:tcPr>
            <w:tcW w:w="1299" w:type="dxa"/>
            <w:vMerge/>
            <w:tcBorders>
              <w:left w:val="nil"/>
              <w:bottom w:val="nil"/>
              <w:right w:val="nil"/>
            </w:tcBorders>
            <w:shd w:val="clear" w:color="auto" w:fill="E7F3F4"/>
            <w:vAlign w:val="center"/>
          </w:tcPr>
          <w:p w14:paraId="34BFEB1E" w14:textId="77777777" w:rsidR="004920D8" w:rsidRDefault="004920D8" w:rsidP="00DD3BAE">
            <w:pPr>
              <w:spacing w:before="0" w:after="0"/>
              <w:jc w:val="center"/>
              <w:rPr>
                <w:color w:val="000000"/>
                <w:sz w:val="14"/>
                <w:szCs w:val="14"/>
              </w:rPr>
            </w:pPr>
          </w:p>
        </w:tc>
        <w:tc>
          <w:tcPr>
            <w:tcW w:w="1307" w:type="dxa"/>
            <w:vMerge/>
            <w:tcBorders>
              <w:left w:val="nil"/>
              <w:bottom w:val="nil"/>
              <w:right w:val="nil"/>
            </w:tcBorders>
            <w:shd w:val="clear" w:color="auto" w:fill="E7F3F4"/>
            <w:noWrap/>
            <w:vAlign w:val="center"/>
          </w:tcPr>
          <w:p w14:paraId="41ABA9F3" w14:textId="77777777" w:rsidR="004920D8" w:rsidRDefault="004920D8" w:rsidP="00DD3BAE">
            <w:pPr>
              <w:spacing w:before="0" w:after="0"/>
              <w:jc w:val="center"/>
              <w:rPr>
                <w:color w:val="000000"/>
                <w:sz w:val="14"/>
                <w:szCs w:val="14"/>
              </w:rPr>
            </w:pPr>
          </w:p>
        </w:tc>
        <w:tc>
          <w:tcPr>
            <w:tcW w:w="840" w:type="dxa"/>
            <w:tcBorders>
              <w:left w:val="nil"/>
              <w:bottom w:val="nil"/>
            </w:tcBorders>
            <w:shd w:val="clear" w:color="auto" w:fill="E7F3F4"/>
            <w:noWrap/>
            <w:vAlign w:val="center"/>
          </w:tcPr>
          <w:p w14:paraId="71A3B720" w14:textId="77777777" w:rsidR="004920D8" w:rsidRDefault="004920D8" w:rsidP="00DD3BAE">
            <w:pPr>
              <w:spacing w:before="0" w:after="0"/>
              <w:jc w:val="center"/>
              <w:rPr>
                <w:b/>
                <w:color w:val="000000"/>
                <w:sz w:val="14"/>
                <w:szCs w:val="14"/>
              </w:rPr>
            </w:pPr>
            <w:r>
              <w:rPr>
                <w:b/>
                <w:color w:val="000000"/>
                <w:sz w:val="14"/>
                <w:szCs w:val="14"/>
              </w:rPr>
              <w:t>LR2^</w:t>
            </w:r>
          </w:p>
        </w:tc>
        <w:tc>
          <w:tcPr>
            <w:tcW w:w="555" w:type="dxa"/>
            <w:tcBorders>
              <w:bottom w:val="nil"/>
            </w:tcBorders>
            <w:shd w:val="clear" w:color="auto" w:fill="E7F3F4"/>
            <w:vAlign w:val="center"/>
          </w:tcPr>
          <w:p w14:paraId="30B53D63" w14:textId="77777777" w:rsidR="004920D8" w:rsidRDefault="004920D8" w:rsidP="00DD3BAE">
            <w:pPr>
              <w:spacing w:before="0" w:after="0"/>
              <w:jc w:val="center"/>
              <w:rPr>
                <w:color w:val="000000"/>
                <w:sz w:val="14"/>
                <w:szCs w:val="14"/>
              </w:rPr>
            </w:pPr>
            <w:r>
              <w:rPr>
                <w:color w:val="000000"/>
                <w:sz w:val="14"/>
                <w:szCs w:val="14"/>
              </w:rPr>
              <w:t>10</w:t>
            </w:r>
          </w:p>
        </w:tc>
        <w:tc>
          <w:tcPr>
            <w:tcW w:w="543" w:type="dxa"/>
            <w:tcBorders>
              <w:bottom w:val="nil"/>
            </w:tcBorders>
            <w:shd w:val="clear" w:color="auto" w:fill="E7F3F4"/>
            <w:noWrap/>
            <w:vAlign w:val="center"/>
          </w:tcPr>
          <w:p w14:paraId="3400D50F"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E7F3F4"/>
            <w:noWrap/>
            <w:vAlign w:val="center"/>
          </w:tcPr>
          <w:p w14:paraId="1EFA6EFA"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E7F3F4"/>
            <w:vAlign w:val="center"/>
          </w:tcPr>
          <w:p w14:paraId="08802E16"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E7F3F4"/>
            <w:vAlign w:val="center"/>
          </w:tcPr>
          <w:p w14:paraId="3874BD7C"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E7F3F4"/>
            <w:vAlign w:val="center"/>
          </w:tcPr>
          <w:p w14:paraId="7196206D" w14:textId="77777777" w:rsidR="004920D8" w:rsidRDefault="004920D8" w:rsidP="00DD3BAE">
            <w:pPr>
              <w:spacing w:before="0" w:after="0"/>
              <w:jc w:val="center"/>
              <w:rPr>
                <w:color w:val="000000"/>
                <w:sz w:val="14"/>
                <w:szCs w:val="14"/>
              </w:rPr>
            </w:pPr>
          </w:p>
        </w:tc>
        <w:tc>
          <w:tcPr>
            <w:tcW w:w="559" w:type="dxa"/>
            <w:tcBorders>
              <w:bottom w:val="nil"/>
              <w:right w:val="single" w:sz="4" w:space="0" w:color="auto"/>
            </w:tcBorders>
            <w:shd w:val="clear" w:color="auto" w:fill="E7F3F4"/>
          </w:tcPr>
          <w:p w14:paraId="2766E265"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E7F3F4"/>
            <w:vAlign w:val="center"/>
          </w:tcPr>
          <w:p w14:paraId="31080CA4"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1CD9C227"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68FA0C16"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5BAE917D"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53105F05" w14:textId="77777777" w:rsidR="004920D8" w:rsidRDefault="004920D8" w:rsidP="00DD3BAE">
            <w:pPr>
              <w:spacing w:before="0" w:after="0"/>
              <w:jc w:val="center"/>
              <w:rPr>
                <w:color w:val="000000"/>
                <w:sz w:val="14"/>
                <w:szCs w:val="14"/>
              </w:rPr>
            </w:pPr>
          </w:p>
        </w:tc>
        <w:tc>
          <w:tcPr>
            <w:tcW w:w="546" w:type="dxa"/>
            <w:tcBorders>
              <w:bottom w:val="nil"/>
              <w:right w:val="nil"/>
            </w:tcBorders>
            <w:shd w:val="clear" w:color="auto" w:fill="E7F3F4"/>
            <w:vAlign w:val="center"/>
          </w:tcPr>
          <w:p w14:paraId="361A3143" w14:textId="77777777" w:rsidR="004920D8" w:rsidRDefault="004920D8" w:rsidP="00DD3BAE">
            <w:pPr>
              <w:spacing w:before="0" w:after="0"/>
              <w:jc w:val="center"/>
              <w:rPr>
                <w:color w:val="000000"/>
                <w:sz w:val="14"/>
                <w:szCs w:val="14"/>
              </w:rPr>
            </w:pPr>
          </w:p>
        </w:tc>
      </w:tr>
      <w:tr w:rsidR="004920D8" w14:paraId="10393D69"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678D4B7"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548532A4"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bottom w:val="nil"/>
              <w:right w:val="nil"/>
            </w:tcBorders>
            <w:shd w:val="clear" w:color="auto" w:fill="E7F3F4"/>
            <w:vAlign w:val="center"/>
            <w:hideMark/>
          </w:tcPr>
          <w:p w14:paraId="14F4A655" w14:textId="77777777" w:rsidR="004920D8" w:rsidRDefault="004920D8" w:rsidP="00DD3BAE">
            <w:pPr>
              <w:spacing w:before="0" w:after="0"/>
              <w:jc w:val="center"/>
              <w:rPr>
                <w:color w:val="000000"/>
                <w:sz w:val="14"/>
                <w:szCs w:val="14"/>
              </w:rPr>
            </w:pPr>
            <w:r>
              <w:rPr>
                <w:color w:val="000000"/>
                <w:sz w:val="14"/>
                <w:szCs w:val="14"/>
              </w:rPr>
              <w:t>Normanby / Jeanie</w:t>
            </w:r>
          </w:p>
        </w:tc>
        <w:tc>
          <w:tcPr>
            <w:tcW w:w="1307" w:type="dxa"/>
            <w:vMerge w:val="restart"/>
            <w:tcBorders>
              <w:top w:val="single" w:sz="4" w:space="0" w:color="auto"/>
              <w:left w:val="nil"/>
              <w:right w:val="nil"/>
            </w:tcBorders>
            <w:shd w:val="clear" w:color="auto" w:fill="E7F3F4"/>
            <w:noWrap/>
            <w:vAlign w:val="center"/>
            <w:hideMark/>
          </w:tcPr>
          <w:p w14:paraId="089DBBD0" w14:textId="77777777" w:rsidR="004920D8" w:rsidRDefault="004920D8" w:rsidP="00DD3BAE">
            <w:pPr>
              <w:spacing w:before="0" w:after="0"/>
              <w:jc w:val="center"/>
              <w:rPr>
                <w:color w:val="000000"/>
                <w:sz w:val="14"/>
                <w:szCs w:val="14"/>
              </w:rPr>
            </w:pPr>
            <w:r>
              <w:rPr>
                <w:color w:val="000000"/>
                <w:sz w:val="14"/>
                <w:szCs w:val="14"/>
              </w:rPr>
              <w:t>Flinders Group</w:t>
            </w:r>
          </w:p>
        </w:tc>
        <w:tc>
          <w:tcPr>
            <w:tcW w:w="840" w:type="dxa"/>
            <w:tcBorders>
              <w:top w:val="single" w:sz="4" w:space="0" w:color="auto"/>
              <w:left w:val="nil"/>
              <w:right w:val="nil"/>
            </w:tcBorders>
            <w:shd w:val="clear" w:color="auto" w:fill="E7F3F4"/>
            <w:noWrap/>
            <w:vAlign w:val="center"/>
            <w:hideMark/>
          </w:tcPr>
          <w:p w14:paraId="263ABF21" w14:textId="77777777" w:rsidR="004920D8" w:rsidRDefault="004920D8" w:rsidP="00DD3BAE">
            <w:pPr>
              <w:spacing w:before="0" w:after="0"/>
              <w:jc w:val="center"/>
              <w:rPr>
                <w:b/>
                <w:color w:val="000000"/>
                <w:sz w:val="14"/>
                <w:szCs w:val="14"/>
              </w:rPr>
            </w:pPr>
            <w:r>
              <w:rPr>
                <w:b/>
                <w:color w:val="000000"/>
                <w:sz w:val="14"/>
                <w:szCs w:val="14"/>
              </w:rPr>
              <w:t>ST1</w:t>
            </w:r>
          </w:p>
        </w:tc>
        <w:tc>
          <w:tcPr>
            <w:tcW w:w="555" w:type="dxa"/>
            <w:tcBorders>
              <w:top w:val="single" w:sz="4" w:space="0" w:color="auto"/>
              <w:left w:val="nil"/>
              <w:right w:val="nil"/>
            </w:tcBorders>
            <w:shd w:val="clear" w:color="auto" w:fill="E7F3F4"/>
            <w:vAlign w:val="center"/>
            <w:hideMark/>
          </w:tcPr>
          <w:p w14:paraId="36C3210B"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76D7647B"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4036B972"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0E75208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3E6CE9C0"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7350525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hideMark/>
          </w:tcPr>
          <w:p w14:paraId="6B750EB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E7F3F4"/>
            <w:vAlign w:val="center"/>
            <w:hideMark/>
          </w:tcPr>
          <w:p w14:paraId="04C2FE78"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47A8EFAD"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36FF8E86"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050B79E2"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244F865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hideMark/>
          </w:tcPr>
          <w:p w14:paraId="19E20DD4"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01E842F9"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7EF58BE1"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2D04336C"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1535734E" w14:textId="77777777" w:rsidR="004920D8" w:rsidRDefault="004920D8" w:rsidP="00DD3BAE">
            <w:pPr>
              <w:spacing w:before="0" w:after="0"/>
              <w:rPr>
                <w:color w:val="000000"/>
                <w:sz w:val="14"/>
                <w:szCs w:val="14"/>
              </w:rPr>
            </w:pPr>
          </w:p>
        </w:tc>
        <w:tc>
          <w:tcPr>
            <w:tcW w:w="1307" w:type="dxa"/>
            <w:vMerge/>
            <w:tcBorders>
              <w:left w:val="nil"/>
              <w:right w:val="nil"/>
            </w:tcBorders>
            <w:vAlign w:val="center"/>
            <w:hideMark/>
          </w:tcPr>
          <w:p w14:paraId="3E952C3C" w14:textId="77777777" w:rsidR="004920D8" w:rsidRDefault="004920D8" w:rsidP="00DD3BAE">
            <w:pPr>
              <w:spacing w:before="0" w:after="0"/>
              <w:rPr>
                <w:color w:val="000000"/>
                <w:sz w:val="14"/>
                <w:szCs w:val="14"/>
              </w:rPr>
            </w:pPr>
          </w:p>
        </w:tc>
        <w:tc>
          <w:tcPr>
            <w:tcW w:w="840" w:type="dxa"/>
            <w:tcBorders>
              <w:left w:val="nil"/>
              <w:bottom w:val="single" w:sz="4" w:space="0" w:color="auto"/>
            </w:tcBorders>
            <w:shd w:val="clear" w:color="auto" w:fill="E7F3F4"/>
            <w:noWrap/>
            <w:vAlign w:val="center"/>
            <w:hideMark/>
          </w:tcPr>
          <w:p w14:paraId="7BCEDCC6" w14:textId="77777777" w:rsidR="004920D8" w:rsidRDefault="004920D8" w:rsidP="00DD3BAE">
            <w:pPr>
              <w:spacing w:before="0" w:after="0"/>
              <w:jc w:val="center"/>
              <w:rPr>
                <w:b/>
                <w:color w:val="000000"/>
                <w:sz w:val="14"/>
                <w:szCs w:val="14"/>
              </w:rPr>
            </w:pPr>
            <w:r>
              <w:rPr>
                <w:b/>
                <w:color w:val="000000"/>
                <w:sz w:val="14"/>
                <w:szCs w:val="14"/>
              </w:rPr>
              <w:t>ST2</w:t>
            </w:r>
          </w:p>
        </w:tc>
        <w:tc>
          <w:tcPr>
            <w:tcW w:w="555" w:type="dxa"/>
            <w:tcBorders>
              <w:bottom w:val="single" w:sz="4" w:space="0" w:color="auto"/>
            </w:tcBorders>
            <w:shd w:val="clear" w:color="auto" w:fill="E7F3F4"/>
            <w:vAlign w:val="center"/>
            <w:hideMark/>
          </w:tcPr>
          <w:p w14:paraId="49F8961C"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single" w:sz="4" w:space="0" w:color="auto"/>
            </w:tcBorders>
            <w:shd w:val="clear" w:color="auto" w:fill="E7F3F4"/>
            <w:noWrap/>
            <w:vAlign w:val="center"/>
            <w:hideMark/>
          </w:tcPr>
          <w:p w14:paraId="60A38583"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single" w:sz="4" w:space="0" w:color="auto"/>
            </w:tcBorders>
            <w:shd w:val="clear" w:color="auto" w:fill="E7F3F4"/>
            <w:noWrap/>
            <w:vAlign w:val="center"/>
            <w:hideMark/>
          </w:tcPr>
          <w:p w14:paraId="7C45EE85"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single" w:sz="4" w:space="0" w:color="auto"/>
            </w:tcBorders>
            <w:shd w:val="clear" w:color="auto" w:fill="E7F3F4"/>
            <w:vAlign w:val="center"/>
            <w:hideMark/>
          </w:tcPr>
          <w:p w14:paraId="21DC4EC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single" w:sz="4" w:space="0" w:color="auto"/>
            </w:tcBorders>
            <w:shd w:val="clear" w:color="auto" w:fill="E7F3F4"/>
            <w:vAlign w:val="center"/>
            <w:hideMark/>
          </w:tcPr>
          <w:p w14:paraId="1BC7799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single" w:sz="4" w:space="0" w:color="auto"/>
            </w:tcBorders>
            <w:shd w:val="clear" w:color="auto" w:fill="E7F3F4"/>
            <w:vAlign w:val="center"/>
            <w:hideMark/>
          </w:tcPr>
          <w:p w14:paraId="4E8F95E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single" w:sz="4" w:space="0" w:color="auto"/>
              <w:right w:val="single" w:sz="4" w:space="0" w:color="auto"/>
            </w:tcBorders>
            <w:shd w:val="clear" w:color="auto" w:fill="E7F3F4"/>
          </w:tcPr>
          <w:p w14:paraId="7575A949" w14:textId="77777777" w:rsidR="004920D8" w:rsidRDefault="004920D8" w:rsidP="00DD3BAE">
            <w:pPr>
              <w:spacing w:before="0" w:after="0"/>
              <w:jc w:val="center"/>
              <w:rPr>
                <w:color w:val="000000"/>
                <w:sz w:val="14"/>
                <w:szCs w:val="14"/>
              </w:rPr>
            </w:pPr>
          </w:p>
        </w:tc>
        <w:tc>
          <w:tcPr>
            <w:tcW w:w="559" w:type="dxa"/>
            <w:tcBorders>
              <w:left w:val="single" w:sz="4" w:space="0" w:color="auto"/>
              <w:bottom w:val="single" w:sz="4" w:space="0" w:color="auto"/>
            </w:tcBorders>
            <w:shd w:val="clear" w:color="auto" w:fill="E7F3F4"/>
            <w:vAlign w:val="center"/>
            <w:hideMark/>
          </w:tcPr>
          <w:p w14:paraId="3DEC3979" w14:textId="77777777" w:rsidR="004920D8" w:rsidRDefault="004920D8" w:rsidP="00DD3BAE">
            <w:pPr>
              <w:spacing w:before="0" w:after="0"/>
              <w:jc w:val="center"/>
              <w:rPr>
                <w:color w:val="000000"/>
                <w:sz w:val="14"/>
                <w:szCs w:val="14"/>
              </w:rPr>
            </w:pPr>
          </w:p>
        </w:tc>
        <w:tc>
          <w:tcPr>
            <w:tcW w:w="559" w:type="dxa"/>
            <w:tcBorders>
              <w:bottom w:val="single" w:sz="4" w:space="0" w:color="auto"/>
            </w:tcBorders>
            <w:shd w:val="clear" w:color="auto" w:fill="E7F3F4"/>
            <w:vAlign w:val="center"/>
            <w:hideMark/>
          </w:tcPr>
          <w:p w14:paraId="2A65BCC9" w14:textId="77777777" w:rsidR="004920D8" w:rsidRDefault="004920D8" w:rsidP="00DD3BAE">
            <w:pPr>
              <w:spacing w:before="0" w:after="0"/>
              <w:jc w:val="center"/>
              <w:rPr>
                <w:color w:val="000000"/>
                <w:sz w:val="14"/>
                <w:szCs w:val="14"/>
              </w:rPr>
            </w:pPr>
          </w:p>
        </w:tc>
        <w:tc>
          <w:tcPr>
            <w:tcW w:w="559" w:type="dxa"/>
            <w:tcBorders>
              <w:bottom w:val="single" w:sz="4" w:space="0" w:color="auto"/>
            </w:tcBorders>
            <w:shd w:val="clear" w:color="auto" w:fill="E7F3F4"/>
            <w:vAlign w:val="center"/>
            <w:hideMark/>
          </w:tcPr>
          <w:p w14:paraId="1C083F17" w14:textId="77777777" w:rsidR="004920D8" w:rsidRDefault="004920D8" w:rsidP="00DD3BAE">
            <w:pPr>
              <w:spacing w:before="0" w:after="0"/>
              <w:jc w:val="center"/>
              <w:rPr>
                <w:color w:val="000000"/>
                <w:sz w:val="14"/>
                <w:szCs w:val="14"/>
              </w:rPr>
            </w:pPr>
          </w:p>
        </w:tc>
        <w:tc>
          <w:tcPr>
            <w:tcW w:w="559" w:type="dxa"/>
            <w:tcBorders>
              <w:bottom w:val="single" w:sz="4" w:space="0" w:color="auto"/>
            </w:tcBorders>
            <w:shd w:val="clear" w:color="auto" w:fill="E7F3F4"/>
            <w:vAlign w:val="center"/>
            <w:hideMark/>
          </w:tcPr>
          <w:p w14:paraId="0369278E" w14:textId="77777777" w:rsidR="004920D8" w:rsidRDefault="004920D8" w:rsidP="00DD3BAE">
            <w:pPr>
              <w:spacing w:before="0" w:after="0"/>
              <w:jc w:val="center"/>
              <w:rPr>
                <w:color w:val="000000"/>
                <w:sz w:val="14"/>
                <w:szCs w:val="14"/>
              </w:rPr>
            </w:pPr>
          </w:p>
        </w:tc>
        <w:tc>
          <w:tcPr>
            <w:tcW w:w="559" w:type="dxa"/>
            <w:tcBorders>
              <w:bottom w:val="single" w:sz="4" w:space="0" w:color="auto"/>
            </w:tcBorders>
            <w:shd w:val="clear" w:color="auto" w:fill="E7F3F4"/>
            <w:vAlign w:val="center"/>
            <w:hideMark/>
          </w:tcPr>
          <w:p w14:paraId="741F300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single" w:sz="4" w:space="0" w:color="auto"/>
              <w:right w:val="nil"/>
            </w:tcBorders>
            <w:shd w:val="clear" w:color="auto" w:fill="E7F3F4"/>
            <w:vAlign w:val="center"/>
          </w:tcPr>
          <w:p w14:paraId="6B825448" w14:textId="77777777" w:rsidR="004920D8" w:rsidRDefault="004920D8" w:rsidP="00DD3BAE">
            <w:pPr>
              <w:spacing w:before="0" w:after="0"/>
              <w:jc w:val="center"/>
              <w:rPr>
                <w:color w:val="000000"/>
                <w:sz w:val="14"/>
                <w:szCs w:val="14"/>
              </w:rPr>
            </w:pPr>
          </w:p>
        </w:tc>
      </w:tr>
      <w:tr w:rsidR="004920D8" w14:paraId="06EF7C4B"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465E04D3"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tcPr>
          <w:p w14:paraId="1FEBFF9A"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tcPr>
          <w:p w14:paraId="3BB98579" w14:textId="77777777" w:rsidR="004920D8" w:rsidRDefault="004920D8" w:rsidP="00DD3BAE">
            <w:pPr>
              <w:spacing w:before="0" w:after="0"/>
              <w:rPr>
                <w:color w:val="000000"/>
                <w:sz w:val="14"/>
                <w:szCs w:val="14"/>
              </w:rPr>
            </w:pPr>
          </w:p>
        </w:tc>
        <w:tc>
          <w:tcPr>
            <w:tcW w:w="1307" w:type="dxa"/>
            <w:vMerge/>
            <w:tcBorders>
              <w:left w:val="nil"/>
              <w:right w:val="nil"/>
            </w:tcBorders>
            <w:shd w:val="clear" w:color="auto" w:fill="E7F3F4"/>
            <w:noWrap/>
            <w:vAlign w:val="center"/>
          </w:tcPr>
          <w:p w14:paraId="57423438" w14:textId="77777777" w:rsidR="004920D8" w:rsidRDefault="004920D8" w:rsidP="00DD3BAE">
            <w:pPr>
              <w:spacing w:before="0" w:after="0"/>
              <w:jc w:val="center"/>
              <w:rPr>
                <w:color w:val="000000"/>
                <w:sz w:val="14"/>
                <w:szCs w:val="14"/>
              </w:rPr>
            </w:pPr>
          </w:p>
        </w:tc>
        <w:tc>
          <w:tcPr>
            <w:tcW w:w="840" w:type="dxa"/>
            <w:tcBorders>
              <w:top w:val="single" w:sz="4" w:space="0" w:color="auto"/>
              <w:left w:val="nil"/>
            </w:tcBorders>
            <w:shd w:val="clear" w:color="auto" w:fill="E7F3F4"/>
            <w:noWrap/>
            <w:vAlign w:val="center"/>
          </w:tcPr>
          <w:p w14:paraId="21DA2A34" w14:textId="77777777" w:rsidR="004920D8" w:rsidRDefault="004920D8" w:rsidP="00DD3BAE">
            <w:pPr>
              <w:spacing w:before="0" w:after="0"/>
              <w:jc w:val="center"/>
              <w:rPr>
                <w:b/>
                <w:color w:val="000000"/>
                <w:sz w:val="14"/>
                <w:szCs w:val="14"/>
              </w:rPr>
            </w:pPr>
            <w:r>
              <w:rPr>
                <w:b/>
                <w:color w:val="000000"/>
                <w:sz w:val="14"/>
                <w:szCs w:val="14"/>
              </w:rPr>
              <w:t>FG1^</w:t>
            </w:r>
          </w:p>
        </w:tc>
        <w:tc>
          <w:tcPr>
            <w:tcW w:w="555" w:type="dxa"/>
            <w:tcBorders>
              <w:top w:val="single" w:sz="4" w:space="0" w:color="auto"/>
            </w:tcBorders>
            <w:shd w:val="clear" w:color="auto" w:fill="E7F3F4"/>
            <w:vAlign w:val="center"/>
          </w:tcPr>
          <w:p w14:paraId="4991C8E8" w14:textId="77777777" w:rsidR="004920D8" w:rsidRDefault="004920D8" w:rsidP="00DD3BAE">
            <w:pPr>
              <w:spacing w:before="0" w:after="0"/>
              <w:jc w:val="center"/>
              <w:rPr>
                <w:color w:val="000000"/>
                <w:sz w:val="14"/>
                <w:szCs w:val="14"/>
              </w:rPr>
            </w:pPr>
            <w:r>
              <w:rPr>
                <w:color w:val="000000"/>
                <w:sz w:val="14"/>
                <w:szCs w:val="14"/>
              </w:rPr>
              <w:t>20</w:t>
            </w:r>
          </w:p>
        </w:tc>
        <w:tc>
          <w:tcPr>
            <w:tcW w:w="543" w:type="dxa"/>
            <w:tcBorders>
              <w:top w:val="single" w:sz="4" w:space="0" w:color="auto"/>
            </w:tcBorders>
            <w:shd w:val="clear" w:color="auto" w:fill="E7F3F4"/>
            <w:noWrap/>
            <w:vAlign w:val="center"/>
          </w:tcPr>
          <w:p w14:paraId="78D55913" w14:textId="77777777" w:rsidR="004920D8" w:rsidRDefault="004920D8" w:rsidP="00DD3BAE">
            <w:pPr>
              <w:spacing w:before="0" w:after="0"/>
              <w:jc w:val="center"/>
              <w:rPr>
                <w:color w:val="000000"/>
                <w:sz w:val="14"/>
                <w:szCs w:val="14"/>
              </w:rPr>
            </w:pPr>
          </w:p>
        </w:tc>
        <w:tc>
          <w:tcPr>
            <w:tcW w:w="540" w:type="dxa"/>
            <w:tcBorders>
              <w:top w:val="single" w:sz="4" w:space="0" w:color="auto"/>
            </w:tcBorders>
            <w:shd w:val="clear" w:color="auto" w:fill="E7F3F4"/>
            <w:noWrap/>
            <w:vAlign w:val="center"/>
          </w:tcPr>
          <w:p w14:paraId="2BC72437" w14:textId="77777777" w:rsidR="004920D8" w:rsidRDefault="004920D8" w:rsidP="00DD3BAE">
            <w:pPr>
              <w:spacing w:before="0" w:after="0"/>
              <w:jc w:val="center"/>
              <w:rPr>
                <w:color w:val="000000"/>
                <w:sz w:val="14"/>
                <w:szCs w:val="14"/>
              </w:rPr>
            </w:pPr>
          </w:p>
        </w:tc>
        <w:tc>
          <w:tcPr>
            <w:tcW w:w="536" w:type="dxa"/>
            <w:tcBorders>
              <w:top w:val="single" w:sz="4" w:space="0" w:color="auto"/>
            </w:tcBorders>
            <w:shd w:val="clear" w:color="auto" w:fill="E7F3F4"/>
            <w:vAlign w:val="center"/>
          </w:tcPr>
          <w:p w14:paraId="11C524A1" w14:textId="77777777" w:rsidR="004920D8" w:rsidRDefault="004920D8" w:rsidP="00DD3BAE">
            <w:pPr>
              <w:spacing w:before="0" w:after="0"/>
              <w:jc w:val="center"/>
              <w:rPr>
                <w:color w:val="000000"/>
                <w:sz w:val="14"/>
                <w:szCs w:val="14"/>
              </w:rPr>
            </w:pPr>
          </w:p>
        </w:tc>
        <w:tc>
          <w:tcPr>
            <w:tcW w:w="540" w:type="dxa"/>
            <w:tcBorders>
              <w:top w:val="single" w:sz="4" w:space="0" w:color="auto"/>
            </w:tcBorders>
            <w:shd w:val="clear" w:color="auto" w:fill="E7F3F4"/>
            <w:vAlign w:val="center"/>
          </w:tcPr>
          <w:p w14:paraId="531AF560" w14:textId="77777777" w:rsidR="004920D8" w:rsidRDefault="004920D8" w:rsidP="00DD3BAE">
            <w:pPr>
              <w:spacing w:before="0" w:after="0"/>
              <w:jc w:val="center"/>
              <w:rPr>
                <w:color w:val="000000"/>
                <w:sz w:val="14"/>
                <w:szCs w:val="14"/>
              </w:rPr>
            </w:pPr>
          </w:p>
        </w:tc>
        <w:tc>
          <w:tcPr>
            <w:tcW w:w="529" w:type="dxa"/>
            <w:tcBorders>
              <w:top w:val="single" w:sz="4" w:space="0" w:color="auto"/>
            </w:tcBorders>
            <w:shd w:val="clear" w:color="auto" w:fill="E7F3F4"/>
            <w:vAlign w:val="center"/>
          </w:tcPr>
          <w:p w14:paraId="4C444941" w14:textId="77777777" w:rsidR="004920D8" w:rsidRDefault="004920D8" w:rsidP="00DD3BAE">
            <w:pPr>
              <w:spacing w:before="0" w:after="0"/>
              <w:jc w:val="center"/>
              <w:rPr>
                <w:color w:val="000000"/>
                <w:sz w:val="14"/>
                <w:szCs w:val="14"/>
              </w:rPr>
            </w:pPr>
          </w:p>
        </w:tc>
        <w:tc>
          <w:tcPr>
            <w:tcW w:w="559" w:type="dxa"/>
            <w:tcBorders>
              <w:top w:val="single" w:sz="4" w:space="0" w:color="auto"/>
              <w:right w:val="single" w:sz="4" w:space="0" w:color="auto"/>
            </w:tcBorders>
            <w:shd w:val="clear" w:color="auto" w:fill="E7F3F4"/>
          </w:tcPr>
          <w:p w14:paraId="72BB133C"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tcBorders>
            <w:shd w:val="clear" w:color="auto" w:fill="E7F3F4"/>
            <w:vAlign w:val="center"/>
          </w:tcPr>
          <w:p w14:paraId="0DDDCFB9" w14:textId="77777777" w:rsidR="004920D8" w:rsidRDefault="004920D8" w:rsidP="00DD3BAE">
            <w:pPr>
              <w:spacing w:before="0" w:after="0"/>
              <w:jc w:val="center"/>
              <w:rPr>
                <w:color w:val="000000"/>
                <w:sz w:val="14"/>
                <w:szCs w:val="14"/>
              </w:rPr>
            </w:pPr>
          </w:p>
        </w:tc>
        <w:tc>
          <w:tcPr>
            <w:tcW w:w="559" w:type="dxa"/>
            <w:tcBorders>
              <w:top w:val="single" w:sz="4" w:space="0" w:color="auto"/>
            </w:tcBorders>
            <w:shd w:val="clear" w:color="auto" w:fill="E7F3F4"/>
            <w:vAlign w:val="center"/>
          </w:tcPr>
          <w:p w14:paraId="1176A77A" w14:textId="77777777" w:rsidR="004920D8" w:rsidRDefault="004920D8" w:rsidP="00DD3BAE">
            <w:pPr>
              <w:spacing w:before="0" w:after="0"/>
              <w:jc w:val="center"/>
              <w:rPr>
                <w:color w:val="000000"/>
                <w:sz w:val="14"/>
                <w:szCs w:val="14"/>
              </w:rPr>
            </w:pPr>
          </w:p>
        </w:tc>
        <w:tc>
          <w:tcPr>
            <w:tcW w:w="559" w:type="dxa"/>
            <w:tcBorders>
              <w:top w:val="single" w:sz="4" w:space="0" w:color="auto"/>
            </w:tcBorders>
            <w:shd w:val="clear" w:color="auto" w:fill="E7F3F4"/>
            <w:vAlign w:val="center"/>
          </w:tcPr>
          <w:p w14:paraId="1003C0CD" w14:textId="77777777" w:rsidR="004920D8" w:rsidRDefault="004920D8" w:rsidP="00DD3BAE">
            <w:pPr>
              <w:spacing w:before="0" w:after="0"/>
              <w:jc w:val="center"/>
              <w:rPr>
                <w:color w:val="000000"/>
                <w:sz w:val="14"/>
                <w:szCs w:val="14"/>
              </w:rPr>
            </w:pPr>
          </w:p>
        </w:tc>
        <w:tc>
          <w:tcPr>
            <w:tcW w:w="559" w:type="dxa"/>
            <w:tcBorders>
              <w:top w:val="single" w:sz="4" w:space="0" w:color="auto"/>
            </w:tcBorders>
            <w:shd w:val="clear" w:color="auto" w:fill="E7F3F4"/>
            <w:vAlign w:val="center"/>
          </w:tcPr>
          <w:p w14:paraId="7B0824E7" w14:textId="77777777" w:rsidR="004920D8" w:rsidRDefault="004920D8" w:rsidP="00DD3BAE">
            <w:pPr>
              <w:spacing w:before="0" w:after="0"/>
              <w:jc w:val="center"/>
              <w:rPr>
                <w:color w:val="000000"/>
                <w:sz w:val="14"/>
                <w:szCs w:val="14"/>
              </w:rPr>
            </w:pPr>
          </w:p>
        </w:tc>
        <w:tc>
          <w:tcPr>
            <w:tcW w:w="559" w:type="dxa"/>
            <w:tcBorders>
              <w:top w:val="single" w:sz="4" w:space="0" w:color="auto"/>
            </w:tcBorders>
            <w:shd w:val="clear" w:color="auto" w:fill="E7F3F4"/>
            <w:vAlign w:val="center"/>
          </w:tcPr>
          <w:p w14:paraId="027CA71C" w14:textId="77777777" w:rsidR="004920D8" w:rsidRDefault="004920D8" w:rsidP="00DD3BAE">
            <w:pPr>
              <w:spacing w:before="0" w:after="0"/>
              <w:jc w:val="center"/>
              <w:rPr>
                <w:color w:val="000000"/>
                <w:sz w:val="14"/>
                <w:szCs w:val="14"/>
              </w:rPr>
            </w:pPr>
          </w:p>
        </w:tc>
        <w:tc>
          <w:tcPr>
            <w:tcW w:w="546" w:type="dxa"/>
            <w:tcBorders>
              <w:top w:val="single" w:sz="4" w:space="0" w:color="auto"/>
              <w:right w:val="nil"/>
            </w:tcBorders>
            <w:shd w:val="clear" w:color="auto" w:fill="E7F3F4"/>
            <w:vAlign w:val="center"/>
          </w:tcPr>
          <w:p w14:paraId="032393F3" w14:textId="77777777" w:rsidR="004920D8" w:rsidRDefault="004920D8" w:rsidP="00DD3BAE">
            <w:pPr>
              <w:spacing w:before="0" w:after="0"/>
              <w:jc w:val="center"/>
              <w:rPr>
                <w:color w:val="000000"/>
                <w:sz w:val="14"/>
                <w:szCs w:val="14"/>
              </w:rPr>
            </w:pPr>
          </w:p>
        </w:tc>
      </w:tr>
      <w:tr w:rsidR="004920D8" w14:paraId="33C5842B"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2C7FF766"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tcPr>
          <w:p w14:paraId="4442D213"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tcPr>
          <w:p w14:paraId="5281F83F" w14:textId="77777777" w:rsidR="004920D8" w:rsidRDefault="004920D8" w:rsidP="00DD3BAE">
            <w:pPr>
              <w:spacing w:before="0" w:after="0"/>
              <w:rPr>
                <w:color w:val="000000"/>
                <w:sz w:val="14"/>
                <w:szCs w:val="14"/>
              </w:rPr>
            </w:pPr>
          </w:p>
        </w:tc>
        <w:tc>
          <w:tcPr>
            <w:tcW w:w="1307" w:type="dxa"/>
            <w:vMerge/>
            <w:tcBorders>
              <w:left w:val="nil"/>
              <w:bottom w:val="nil"/>
              <w:right w:val="nil"/>
            </w:tcBorders>
            <w:shd w:val="clear" w:color="auto" w:fill="E7F3F4"/>
            <w:noWrap/>
            <w:vAlign w:val="center"/>
          </w:tcPr>
          <w:p w14:paraId="5F1D5E74" w14:textId="77777777" w:rsidR="004920D8" w:rsidRDefault="004920D8" w:rsidP="00DD3BAE">
            <w:pPr>
              <w:spacing w:before="0" w:after="0"/>
              <w:jc w:val="center"/>
              <w:rPr>
                <w:color w:val="000000"/>
                <w:sz w:val="14"/>
                <w:szCs w:val="14"/>
              </w:rPr>
            </w:pPr>
          </w:p>
        </w:tc>
        <w:tc>
          <w:tcPr>
            <w:tcW w:w="840" w:type="dxa"/>
            <w:tcBorders>
              <w:left w:val="nil"/>
            </w:tcBorders>
            <w:shd w:val="clear" w:color="auto" w:fill="E7F3F4"/>
            <w:noWrap/>
            <w:vAlign w:val="center"/>
          </w:tcPr>
          <w:p w14:paraId="04BD729E" w14:textId="77777777" w:rsidR="004920D8" w:rsidRDefault="004920D8" w:rsidP="00DD3BAE">
            <w:pPr>
              <w:spacing w:before="0" w:after="0"/>
              <w:jc w:val="center"/>
              <w:rPr>
                <w:b/>
                <w:color w:val="000000"/>
                <w:sz w:val="14"/>
                <w:szCs w:val="14"/>
              </w:rPr>
            </w:pPr>
            <w:r>
              <w:rPr>
                <w:b/>
                <w:color w:val="000000"/>
                <w:sz w:val="14"/>
                <w:szCs w:val="14"/>
              </w:rPr>
              <w:t>FG2^</w:t>
            </w:r>
          </w:p>
        </w:tc>
        <w:tc>
          <w:tcPr>
            <w:tcW w:w="555" w:type="dxa"/>
            <w:shd w:val="clear" w:color="auto" w:fill="E7F3F4"/>
            <w:vAlign w:val="center"/>
          </w:tcPr>
          <w:p w14:paraId="72E2CF24" w14:textId="77777777" w:rsidR="004920D8" w:rsidRDefault="004920D8" w:rsidP="00DD3BAE">
            <w:pPr>
              <w:spacing w:before="0" w:after="0"/>
              <w:jc w:val="center"/>
              <w:rPr>
                <w:color w:val="000000"/>
                <w:sz w:val="14"/>
                <w:szCs w:val="14"/>
              </w:rPr>
            </w:pPr>
            <w:r>
              <w:rPr>
                <w:color w:val="000000"/>
                <w:sz w:val="14"/>
                <w:szCs w:val="14"/>
              </w:rPr>
              <w:t>23</w:t>
            </w:r>
          </w:p>
        </w:tc>
        <w:tc>
          <w:tcPr>
            <w:tcW w:w="543" w:type="dxa"/>
            <w:shd w:val="clear" w:color="auto" w:fill="E7F3F4"/>
            <w:noWrap/>
            <w:vAlign w:val="center"/>
          </w:tcPr>
          <w:p w14:paraId="02319DAE" w14:textId="77777777" w:rsidR="004920D8" w:rsidRDefault="004920D8" w:rsidP="00DD3BAE">
            <w:pPr>
              <w:spacing w:before="0" w:after="0"/>
              <w:jc w:val="center"/>
              <w:rPr>
                <w:color w:val="000000"/>
                <w:sz w:val="14"/>
                <w:szCs w:val="14"/>
              </w:rPr>
            </w:pPr>
          </w:p>
        </w:tc>
        <w:tc>
          <w:tcPr>
            <w:tcW w:w="540" w:type="dxa"/>
            <w:shd w:val="clear" w:color="auto" w:fill="E7F3F4"/>
            <w:noWrap/>
            <w:vAlign w:val="center"/>
          </w:tcPr>
          <w:p w14:paraId="447ACA97" w14:textId="77777777" w:rsidR="004920D8" w:rsidRDefault="004920D8" w:rsidP="00DD3BAE">
            <w:pPr>
              <w:spacing w:before="0" w:after="0"/>
              <w:jc w:val="center"/>
              <w:rPr>
                <w:color w:val="000000"/>
                <w:sz w:val="14"/>
                <w:szCs w:val="14"/>
              </w:rPr>
            </w:pPr>
          </w:p>
        </w:tc>
        <w:tc>
          <w:tcPr>
            <w:tcW w:w="536" w:type="dxa"/>
            <w:shd w:val="clear" w:color="auto" w:fill="E7F3F4"/>
            <w:vAlign w:val="center"/>
          </w:tcPr>
          <w:p w14:paraId="35BAED68" w14:textId="77777777" w:rsidR="004920D8" w:rsidRDefault="004920D8" w:rsidP="00DD3BAE">
            <w:pPr>
              <w:spacing w:before="0" w:after="0"/>
              <w:jc w:val="center"/>
              <w:rPr>
                <w:color w:val="000000"/>
                <w:sz w:val="14"/>
                <w:szCs w:val="14"/>
              </w:rPr>
            </w:pPr>
          </w:p>
        </w:tc>
        <w:tc>
          <w:tcPr>
            <w:tcW w:w="540" w:type="dxa"/>
            <w:shd w:val="clear" w:color="auto" w:fill="E7F3F4"/>
            <w:vAlign w:val="center"/>
          </w:tcPr>
          <w:p w14:paraId="5F32847F" w14:textId="77777777" w:rsidR="004920D8" w:rsidRDefault="004920D8" w:rsidP="00DD3BAE">
            <w:pPr>
              <w:spacing w:before="0" w:after="0"/>
              <w:jc w:val="center"/>
              <w:rPr>
                <w:color w:val="000000"/>
                <w:sz w:val="14"/>
                <w:szCs w:val="14"/>
              </w:rPr>
            </w:pPr>
          </w:p>
        </w:tc>
        <w:tc>
          <w:tcPr>
            <w:tcW w:w="529" w:type="dxa"/>
            <w:shd w:val="clear" w:color="auto" w:fill="E7F3F4"/>
            <w:vAlign w:val="center"/>
          </w:tcPr>
          <w:p w14:paraId="3011F48C" w14:textId="77777777" w:rsidR="004920D8" w:rsidRDefault="004920D8" w:rsidP="00DD3BAE">
            <w:pPr>
              <w:spacing w:before="0" w:after="0"/>
              <w:jc w:val="center"/>
              <w:rPr>
                <w:color w:val="000000"/>
                <w:sz w:val="14"/>
                <w:szCs w:val="14"/>
              </w:rPr>
            </w:pPr>
          </w:p>
        </w:tc>
        <w:tc>
          <w:tcPr>
            <w:tcW w:w="559" w:type="dxa"/>
            <w:tcBorders>
              <w:right w:val="single" w:sz="4" w:space="0" w:color="auto"/>
            </w:tcBorders>
            <w:shd w:val="clear" w:color="auto" w:fill="E7F3F4"/>
          </w:tcPr>
          <w:p w14:paraId="3BDF74BA" w14:textId="77777777" w:rsidR="004920D8" w:rsidRDefault="004920D8" w:rsidP="00DD3BAE">
            <w:pPr>
              <w:spacing w:before="0" w:after="0"/>
              <w:jc w:val="center"/>
              <w:rPr>
                <w:color w:val="000000"/>
                <w:sz w:val="14"/>
                <w:szCs w:val="14"/>
              </w:rPr>
            </w:pPr>
          </w:p>
        </w:tc>
        <w:tc>
          <w:tcPr>
            <w:tcW w:w="559" w:type="dxa"/>
            <w:tcBorders>
              <w:left w:val="single" w:sz="4" w:space="0" w:color="auto"/>
              <w:bottom w:val="single" w:sz="4" w:space="0" w:color="auto"/>
            </w:tcBorders>
            <w:shd w:val="clear" w:color="auto" w:fill="E7F3F4"/>
            <w:vAlign w:val="center"/>
          </w:tcPr>
          <w:p w14:paraId="068DE38F"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0C5F8C37"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4892D459"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43E94747"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67604CAD" w14:textId="77777777" w:rsidR="004920D8" w:rsidRDefault="004920D8" w:rsidP="00DD3BAE">
            <w:pPr>
              <w:spacing w:before="0" w:after="0"/>
              <w:jc w:val="center"/>
              <w:rPr>
                <w:color w:val="000000"/>
                <w:sz w:val="14"/>
                <w:szCs w:val="14"/>
              </w:rPr>
            </w:pPr>
          </w:p>
        </w:tc>
        <w:tc>
          <w:tcPr>
            <w:tcW w:w="546" w:type="dxa"/>
            <w:tcBorders>
              <w:right w:val="nil"/>
            </w:tcBorders>
            <w:shd w:val="clear" w:color="auto" w:fill="E7F3F4"/>
            <w:vAlign w:val="center"/>
          </w:tcPr>
          <w:p w14:paraId="746A7989" w14:textId="77777777" w:rsidR="004920D8" w:rsidRDefault="004920D8" w:rsidP="00DD3BAE">
            <w:pPr>
              <w:spacing w:before="0" w:after="0"/>
              <w:jc w:val="center"/>
              <w:rPr>
                <w:color w:val="000000"/>
                <w:sz w:val="14"/>
                <w:szCs w:val="14"/>
              </w:rPr>
            </w:pPr>
          </w:p>
        </w:tc>
      </w:tr>
      <w:tr w:rsidR="004920D8" w14:paraId="01C69C4C"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B6C21CA"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3E5916C1"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7ACAB1D1"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E7F3F4"/>
            <w:noWrap/>
            <w:vAlign w:val="center"/>
            <w:hideMark/>
          </w:tcPr>
          <w:p w14:paraId="4D14989C" w14:textId="77777777" w:rsidR="004920D8" w:rsidRDefault="004920D8" w:rsidP="00DD3BAE">
            <w:pPr>
              <w:spacing w:before="0" w:after="0"/>
              <w:jc w:val="center"/>
              <w:rPr>
                <w:color w:val="000000"/>
                <w:sz w:val="14"/>
                <w:szCs w:val="14"/>
              </w:rPr>
            </w:pPr>
            <w:r>
              <w:rPr>
                <w:color w:val="000000"/>
                <w:sz w:val="14"/>
                <w:szCs w:val="14"/>
              </w:rPr>
              <w:t>Bathurst Bay</w:t>
            </w:r>
          </w:p>
        </w:tc>
        <w:tc>
          <w:tcPr>
            <w:tcW w:w="840" w:type="dxa"/>
            <w:tcBorders>
              <w:top w:val="single" w:sz="4" w:space="0" w:color="auto"/>
              <w:left w:val="nil"/>
              <w:right w:val="nil"/>
            </w:tcBorders>
            <w:shd w:val="clear" w:color="auto" w:fill="E7F3F4"/>
            <w:noWrap/>
            <w:vAlign w:val="center"/>
            <w:hideMark/>
          </w:tcPr>
          <w:p w14:paraId="2A2F71EA" w14:textId="77777777" w:rsidR="004920D8" w:rsidRDefault="004920D8" w:rsidP="00DD3BAE">
            <w:pPr>
              <w:spacing w:before="0" w:after="0"/>
              <w:jc w:val="center"/>
              <w:rPr>
                <w:b/>
                <w:color w:val="000000"/>
                <w:sz w:val="14"/>
                <w:szCs w:val="14"/>
              </w:rPr>
            </w:pPr>
            <w:r>
              <w:rPr>
                <w:b/>
                <w:color w:val="000000"/>
                <w:sz w:val="14"/>
                <w:szCs w:val="14"/>
              </w:rPr>
              <w:t>BY1</w:t>
            </w:r>
          </w:p>
        </w:tc>
        <w:tc>
          <w:tcPr>
            <w:tcW w:w="555" w:type="dxa"/>
            <w:tcBorders>
              <w:top w:val="single" w:sz="4" w:space="0" w:color="auto"/>
              <w:left w:val="nil"/>
              <w:right w:val="nil"/>
            </w:tcBorders>
            <w:shd w:val="clear" w:color="auto" w:fill="E7F3F4"/>
            <w:vAlign w:val="center"/>
            <w:hideMark/>
          </w:tcPr>
          <w:p w14:paraId="7931DE4B"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0929DD9C"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26274E9D"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4CFFA59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067F7EED"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6434F60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5ECE6F22"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hideMark/>
          </w:tcPr>
          <w:p w14:paraId="308A6556"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485E62FE"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68088070"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2934448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55366C0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23DA1E3C" w14:textId="77777777" w:rsidR="004920D8" w:rsidRDefault="004920D8" w:rsidP="00DD3BAE">
            <w:pPr>
              <w:spacing w:before="0" w:after="0"/>
              <w:jc w:val="center"/>
              <w:rPr>
                <w:color w:val="000000"/>
                <w:sz w:val="14"/>
                <w:szCs w:val="14"/>
              </w:rPr>
            </w:pPr>
          </w:p>
        </w:tc>
      </w:tr>
      <w:tr w:rsidR="004920D8" w14:paraId="2E7AECE3"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B66C170"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7017B782"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58E7F48E"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559DCF04" w14:textId="77777777" w:rsidR="004920D8" w:rsidRDefault="004920D8" w:rsidP="00DD3BAE">
            <w:pPr>
              <w:spacing w:before="0" w:after="0"/>
              <w:rPr>
                <w:color w:val="000000"/>
                <w:sz w:val="14"/>
                <w:szCs w:val="14"/>
              </w:rPr>
            </w:pPr>
          </w:p>
        </w:tc>
        <w:tc>
          <w:tcPr>
            <w:tcW w:w="840" w:type="dxa"/>
            <w:tcBorders>
              <w:left w:val="nil"/>
              <w:bottom w:val="nil"/>
            </w:tcBorders>
            <w:shd w:val="clear" w:color="auto" w:fill="E7F3F4"/>
            <w:noWrap/>
            <w:vAlign w:val="center"/>
            <w:hideMark/>
          </w:tcPr>
          <w:p w14:paraId="221BA7B8" w14:textId="77777777" w:rsidR="004920D8" w:rsidRDefault="004920D8" w:rsidP="00DD3BAE">
            <w:pPr>
              <w:spacing w:before="0" w:after="0"/>
              <w:jc w:val="center"/>
              <w:rPr>
                <w:b/>
                <w:color w:val="000000"/>
                <w:sz w:val="14"/>
                <w:szCs w:val="14"/>
              </w:rPr>
            </w:pPr>
            <w:r>
              <w:rPr>
                <w:b/>
                <w:color w:val="000000"/>
                <w:sz w:val="14"/>
                <w:szCs w:val="14"/>
              </w:rPr>
              <w:t>BY2</w:t>
            </w:r>
          </w:p>
        </w:tc>
        <w:tc>
          <w:tcPr>
            <w:tcW w:w="555" w:type="dxa"/>
            <w:tcBorders>
              <w:bottom w:val="nil"/>
            </w:tcBorders>
            <w:shd w:val="clear" w:color="auto" w:fill="E7F3F4"/>
            <w:vAlign w:val="center"/>
            <w:hideMark/>
          </w:tcPr>
          <w:p w14:paraId="19FDFA77"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3F7E58AF"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6D1D06EA"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0D9F3AF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30A4F3D0"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432A383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hideMark/>
          </w:tcPr>
          <w:p w14:paraId="45BC9FE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hideMark/>
          </w:tcPr>
          <w:p w14:paraId="704E5027"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hideMark/>
          </w:tcPr>
          <w:p w14:paraId="0765EB12"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hideMark/>
          </w:tcPr>
          <w:p w14:paraId="6BF7D19A"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hideMark/>
          </w:tcPr>
          <w:p w14:paraId="1D30E667"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hideMark/>
          </w:tcPr>
          <w:p w14:paraId="7803AEC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4055967C"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544814BF"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CDE9223"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4199221B"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bottom w:val="nil"/>
              <w:right w:val="nil"/>
            </w:tcBorders>
            <w:shd w:val="clear" w:color="auto" w:fill="E7F3F4"/>
            <w:vAlign w:val="center"/>
            <w:hideMark/>
          </w:tcPr>
          <w:p w14:paraId="2ABE3409" w14:textId="77777777" w:rsidR="004920D8" w:rsidRDefault="004920D8" w:rsidP="00DD3BAE">
            <w:pPr>
              <w:spacing w:before="0" w:after="0"/>
              <w:jc w:val="center"/>
              <w:rPr>
                <w:color w:val="000000"/>
                <w:sz w:val="14"/>
                <w:szCs w:val="14"/>
              </w:rPr>
            </w:pPr>
            <w:r>
              <w:rPr>
                <w:color w:val="000000"/>
                <w:sz w:val="14"/>
                <w:szCs w:val="14"/>
              </w:rPr>
              <w:t>Endeavour</w:t>
            </w:r>
          </w:p>
        </w:tc>
        <w:tc>
          <w:tcPr>
            <w:tcW w:w="1307" w:type="dxa"/>
            <w:vMerge w:val="restart"/>
            <w:tcBorders>
              <w:top w:val="single" w:sz="4" w:space="0" w:color="auto"/>
              <w:left w:val="nil"/>
              <w:bottom w:val="nil"/>
              <w:right w:val="nil"/>
            </w:tcBorders>
            <w:shd w:val="clear" w:color="auto" w:fill="E7F3F4"/>
            <w:noWrap/>
            <w:vAlign w:val="center"/>
            <w:hideMark/>
          </w:tcPr>
          <w:p w14:paraId="5DDF0905" w14:textId="77777777" w:rsidR="004920D8" w:rsidRDefault="004920D8" w:rsidP="00DD3BAE">
            <w:pPr>
              <w:spacing w:before="0" w:after="0"/>
              <w:jc w:val="center"/>
              <w:rPr>
                <w:color w:val="000000"/>
                <w:sz w:val="14"/>
                <w:szCs w:val="14"/>
              </w:rPr>
            </w:pPr>
            <w:r>
              <w:rPr>
                <w:color w:val="000000"/>
                <w:sz w:val="14"/>
                <w:szCs w:val="14"/>
              </w:rPr>
              <w:t>Archer Point</w:t>
            </w:r>
          </w:p>
        </w:tc>
        <w:tc>
          <w:tcPr>
            <w:tcW w:w="840" w:type="dxa"/>
            <w:tcBorders>
              <w:top w:val="single" w:sz="4" w:space="0" w:color="auto"/>
              <w:left w:val="nil"/>
              <w:right w:val="nil"/>
            </w:tcBorders>
            <w:shd w:val="clear" w:color="auto" w:fill="E7F3F4"/>
            <w:noWrap/>
            <w:vAlign w:val="center"/>
            <w:hideMark/>
          </w:tcPr>
          <w:p w14:paraId="5069F728" w14:textId="77777777" w:rsidR="004920D8" w:rsidRDefault="004920D8" w:rsidP="00DD3BAE">
            <w:pPr>
              <w:spacing w:before="0" w:after="0"/>
              <w:jc w:val="center"/>
              <w:rPr>
                <w:b/>
                <w:color w:val="000000"/>
                <w:sz w:val="14"/>
                <w:szCs w:val="14"/>
              </w:rPr>
            </w:pPr>
            <w:r>
              <w:rPr>
                <w:b/>
                <w:color w:val="000000"/>
                <w:sz w:val="14"/>
                <w:szCs w:val="14"/>
              </w:rPr>
              <w:t>AP1</w:t>
            </w:r>
          </w:p>
        </w:tc>
        <w:tc>
          <w:tcPr>
            <w:tcW w:w="555" w:type="dxa"/>
            <w:tcBorders>
              <w:top w:val="single" w:sz="4" w:space="0" w:color="auto"/>
              <w:left w:val="nil"/>
              <w:right w:val="nil"/>
            </w:tcBorders>
            <w:shd w:val="clear" w:color="auto" w:fill="E7F3F4"/>
            <w:vAlign w:val="center"/>
            <w:hideMark/>
          </w:tcPr>
          <w:p w14:paraId="0C3B9A6B"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659FA906"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39244730"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3FCBC78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07B1ECF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4FDBB92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3B5B2B0B"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338F13F9"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12FDFC2B"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34BFC6C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3C38986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623A98E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7D08C3AF" w14:textId="77777777" w:rsidR="004920D8" w:rsidRDefault="004920D8" w:rsidP="00DD3BAE">
            <w:pPr>
              <w:spacing w:before="0" w:after="0"/>
              <w:jc w:val="center"/>
              <w:rPr>
                <w:color w:val="000000"/>
                <w:sz w:val="14"/>
                <w:szCs w:val="14"/>
                <w:highlight w:val="yellow"/>
              </w:rPr>
            </w:pPr>
          </w:p>
        </w:tc>
      </w:tr>
      <w:tr w:rsidR="004920D8" w14:paraId="5A0CC4BD"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C50CD1C"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72D99053"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1F82A263"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19C6888" w14:textId="77777777" w:rsidR="004920D8" w:rsidRDefault="004920D8" w:rsidP="00DD3BAE">
            <w:pPr>
              <w:spacing w:before="0" w:after="0"/>
              <w:rPr>
                <w:color w:val="000000"/>
                <w:sz w:val="14"/>
                <w:szCs w:val="14"/>
              </w:rPr>
            </w:pPr>
          </w:p>
        </w:tc>
        <w:tc>
          <w:tcPr>
            <w:tcW w:w="840" w:type="dxa"/>
            <w:shd w:val="clear" w:color="auto" w:fill="E7F3F4"/>
            <w:noWrap/>
            <w:vAlign w:val="center"/>
            <w:hideMark/>
          </w:tcPr>
          <w:p w14:paraId="18632EEE" w14:textId="77777777" w:rsidR="004920D8" w:rsidRDefault="004920D8" w:rsidP="00DD3BAE">
            <w:pPr>
              <w:spacing w:before="0" w:after="0"/>
              <w:jc w:val="center"/>
              <w:rPr>
                <w:b/>
                <w:color w:val="000000"/>
                <w:sz w:val="14"/>
                <w:szCs w:val="14"/>
              </w:rPr>
            </w:pPr>
            <w:r>
              <w:rPr>
                <w:b/>
                <w:color w:val="000000"/>
                <w:sz w:val="14"/>
                <w:szCs w:val="14"/>
              </w:rPr>
              <w:t>AP2</w:t>
            </w:r>
          </w:p>
        </w:tc>
        <w:tc>
          <w:tcPr>
            <w:tcW w:w="555" w:type="dxa"/>
            <w:shd w:val="clear" w:color="auto" w:fill="E7F3F4"/>
            <w:vAlign w:val="center"/>
            <w:hideMark/>
          </w:tcPr>
          <w:p w14:paraId="300C2E50" w14:textId="77777777" w:rsidR="004920D8" w:rsidRDefault="004920D8" w:rsidP="00DD3BAE">
            <w:pPr>
              <w:spacing w:before="0" w:after="0"/>
              <w:jc w:val="center"/>
              <w:rPr>
                <w:color w:val="000000"/>
                <w:sz w:val="14"/>
                <w:szCs w:val="14"/>
              </w:rPr>
            </w:pPr>
            <w:r>
              <w:rPr>
                <w:color w:val="000000"/>
                <w:sz w:val="14"/>
                <w:szCs w:val="14"/>
              </w:rPr>
              <w:t>33</w:t>
            </w:r>
          </w:p>
        </w:tc>
        <w:tc>
          <w:tcPr>
            <w:tcW w:w="543" w:type="dxa"/>
            <w:shd w:val="clear" w:color="auto" w:fill="E7F3F4"/>
            <w:vAlign w:val="center"/>
            <w:hideMark/>
          </w:tcPr>
          <w:p w14:paraId="5E598256" w14:textId="77777777" w:rsidR="004920D8" w:rsidRDefault="004920D8" w:rsidP="00DD3BAE">
            <w:pPr>
              <w:spacing w:before="0" w:after="0"/>
              <w:jc w:val="center"/>
              <w:rPr>
                <w:color w:val="000000"/>
                <w:sz w:val="14"/>
                <w:szCs w:val="14"/>
              </w:rPr>
            </w:pPr>
            <w:r>
              <w:rPr>
                <w:color w:val="000000"/>
                <w:sz w:val="14"/>
                <w:szCs w:val="14"/>
              </w:rPr>
              <w:t>30</w:t>
            </w:r>
          </w:p>
        </w:tc>
        <w:tc>
          <w:tcPr>
            <w:tcW w:w="540" w:type="dxa"/>
            <w:shd w:val="clear" w:color="auto" w:fill="E7F3F4"/>
            <w:vAlign w:val="center"/>
            <w:hideMark/>
          </w:tcPr>
          <w:p w14:paraId="2AE9FDD4" w14:textId="77777777" w:rsidR="004920D8" w:rsidRDefault="004920D8" w:rsidP="00DD3BAE">
            <w:pPr>
              <w:spacing w:before="0" w:after="0"/>
              <w:jc w:val="center"/>
              <w:rPr>
                <w:color w:val="000000"/>
                <w:sz w:val="14"/>
                <w:szCs w:val="14"/>
              </w:rPr>
            </w:pPr>
            <w:r>
              <w:rPr>
                <w:color w:val="000000"/>
                <w:sz w:val="14"/>
                <w:szCs w:val="14"/>
              </w:rPr>
              <w:t>3</w:t>
            </w:r>
          </w:p>
        </w:tc>
        <w:tc>
          <w:tcPr>
            <w:tcW w:w="536" w:type="dxa"/>
            <w:shd w:val="clear" w:color="auto" w:fill="E7F3F4"/>
            <w:vAlign w:val="center"/>
            <w:hideMark/>
          </w:tcPr>
          <w:p w14:paraId="6DBB66A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shd w:val="clear" w:color="auto" w:fill="E7F3F4"/>
            <w:vAlign w:val="center"/>
            <w:hideMark/>
          </w:tcPr>
          <w:p w14:paraId="495E4786" w14:textId="77777777" w:rsidR="004920D8" w:rsidRDefault="004920D8" w:rsidP="00DD3BAE">
            <w:pPr>
              <w:spacing w:before="0" w:after="0"/>
              <w:jc w:val="center"/>
              <w:rPr>
                <w:color w:val="000000"/>
                <w:sz w:val="14"/>
                <w:szCs w:val="14"/>
              </w:rPr>
            </w:pPr>
            <w:r>
              <w:rPr>
                <w:color w:val="000000"/>
                <w:sz w:val="14"/>
                <w:szCs w:val="14"/>
              </w:rPr>
              <w:t>15</w:t>
            </w:r>
          </w:p>
        </w:tc>
        <w:tc>
          <w:tcPr>
            <w:tcW w:w="529" w:type="dxa"/>
            <w:shd w:val="clear" w:color="auto" w:fill="E7F3F4"/>
            <w:vAlign w:val="center"/>
            <w:hideMark/>
          </w:tcPr>
          <w:p w14:paraId="40EAA95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bottom w:val="nil"/>
              <w:right w:val="single" w:sz="4" w:space="0" w:color="auto"/>
            </w:tcBorders>
            <w:shd w:val="clear" w:color="auto" w:fill="E7F3F4"/>
          </w:tcPr>
          <w:p w14:paraId="056F10E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single" w:sz="4" w:space="0" w:color="auto"/>
              <w:bottom w:val="nil"/>
            </w:tcBorders>
            <w:shd w:val="clear" w:color="auto" w:fill="E7F3F4"/>
            <w:vAlign w:val="center"/>
          </w:tcPr>
          <w:p w14:paraId="10E90EEB"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57EE1766"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64048F93" w14:textId="77777777" w:rsidR="004920D8" w:rsidRDefault="004920D8" w:rsidP="00DD3BAE">
            <w:pPr>
              <w:spacing w:before="0" w:after="0"/>
              <w:jc w:val="center"/>
              <w:rPr>
                <w:color w:val="000000"/>
                <w:sz w:val="14"/>
                <w:szCs w:val="14"/>
              </w:rPr>
            </w:pPr>
          </w:p>
        </w:tc>
        <w:tc>
          <w:tcPr>
            <w:tcW w:w="559" w:type="dxa"/>
            <w:shd w:val="clear" w:color="auto" w:fill="E7F3F4"/>
            <w:vAlign w:val="center"/>
          </w:tcPr>
          <w:p w14:paraId="1E04ED58" w14:textId="77777777" w:rsidR="004920D8" w:rsidRDefault="004920D8" w:rsidP="00DD3BAE">
            <w:pPr>
              <w:spacing w:before="0" w:after="0"/>
              <w:jc w:val="center"/>
              <w:rPr>
                <w:color w:val="000000"/>
                <w:sz w:val="14"/>
                <w:szCs w:val="14"/>
              </w:rPr>
            </w:pPr>
          </w:p>
        </w:tc>
        <w:tc>
          <w:tcPr>
            <w:tcW w:w="559" w:type="dxa"/>
            <w:shd w:val="clear" w:color="auto" w:fill="E7F3F4"/>
            <w:vAlign w:val="center"/>
            <w:hideMark/>
          </w:tcPr>
          <w:p w14:paraId="3E1214D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shd w:val="clear" w:color="auto" w:fill="E7F3F4"/>
            <w:vAlign w:val="center"/>
          </w:tcPr>
          <w:p w14:paraId="56B788ED" w14:textId="77777777" w:rsidR="004920D8" w:rsidRDefault="004920D8" w:rsidP="00DD3BAE">
            <w:pPr>
              <w:spacing w:before="0" w:after="0"/>
              <w:jc w:val="center"/>
              <w:rPr>
                <w:color w:val="000000"/>
                <w:sz w:val="14"/>
                <w:szCs w:val="14"/>
                <w:highlight w:val="yellow"/>
              </w:rPr>
            </w:pPr>
            <w:r>
              <w:rPr>
                <w:color w:val="000000"/>
                <w:sz w:val="14"/>
                <w:szCs w:val="14"/>
              </w:rPr>
              <w:sym w:font="Wingdings" w:char="F0FC"/>
            </w:r>
          </w:p>
        </w:tc>
      </w:tr>
      <w:tr w:rsidR="004920D8" w14:paraId="6B831B37" w14:textId="77777777" w:rsidTr="00D64955">
        <w:trPr>
          <w:gridAfter w:val="1"/>
          <w:wAfter w:w="10" w:type="dxa"/>
          <w:cantSplit/>
          <w:trHeight w:val="170"/>
          <w:jc w:val="center"/>
        </w:trPr>
        <w:tc>
          <w:tcPr>
            <w:tcW w:w="1148" w:type="dxa"/>
            <w:vMerge w:val="restart"/>
            <w:tcBorders>
              <w:top w:val="single" w:sz="4" w:space="0" w:color="auto"/>
              <w:left w:val="nil"/>
              <w:right w:val="nil"/>
            </w:tcBorders>
            <w:noWrap/>
            <w:vAlign w:val="center"/>
            <w:hideMark/>
          </w:tcPr>
          <w:p w14:paraId="36E45BEE" w14:textId="77777777" w:rsidR="004920D8" w:rsidRDefault="004920D8" w:rsidP="00DD3BAE">
            <w:pPr>
              <w:spacing w:before="0" w:after="0"/>
              <w:jc w:val="center"/>
              <w:rPr>
                <w:color w:val="000000"/>
                <w:sz w:val="14"/>
                <w:szCs w:val="14"/>
              </w:rPr>
            </w:pPr>
            <w:r>
              <w:rPr>
                <w:color w:val="000000"/>
                <w:sz w:val="14"/>
                <w:szCs w:val="14"/>
              </w:rPr>
              <w:t>Northern</w:t>
            </w:r>
          </w:p>
        </w:tc>
        <w:tc>
          <w:tcPr>
            <w:tcW w:w="1294" w:type="dxa"/>
            <w:vMerge w:val="restart"/>
            <w:tcBorders>
              <w:top w:val="single" w:sz="4" w:space="0" w:color="auto"/>
              <w:left w:val="nil"/>
              <w:right w:val="nil"/>
            </w:tcBorders>
            <w:shd w:val="clear" w:color="auto" w:fill="F3F9FA"/>
            <w:noWrap/>
            <w:vAlign w:val="center"/>
            <w:hideMark/>
          </w:tcPr>
          <w:p w14:paraId="71A7880F" w14:textId="77777777" w:rsidR="004920D8" w:rsidRDefault="004920D8" w:rsidP="00DD3BAE">
            <w:pPr>
              <w:spacing w:before="0" w:after="0"/>
              <w:jc w:val="center"/>
              <w:rPr>
                <w:color w:val="000000"/>
                <w:sz w:val="14"/>
                <w:szCs w:val="14"/>
              </w:rPr>
            </w:pPr>
            <w:r>
              <w:rPr>
                <w:color w:val="000000"/>
                <w:sz w:val="14"/>
                <w:szCs w:val="14"/>
              </w:rPr>
              <w:t>Wet Tropics</w:t>
            </w:r>
          </w:p>
        </w:tc>
        <w:tc>
          <w:tcPr>
            <w:tcW w:w="1299" w:type="dxa"/>
            <w:vMerge w:val="restart"/>
            <w:tcBorders>
              <w:top w:val="single" w:sz="4" w:space="0" w:color="auto"/>
              <w:left w:val="nil"/>
              <w:bottom w:val="nil"/>
              <w:right w:val="nil"/>
            </w:tcBorders>
            <w:shd w:val="clear" w:color="auto" w:fill="F3F9FA"/>
            <w:vAlign w:val="center"/>
            <w:hideMark/>
          </w:tcPr>
          <w:p w14:paraId="431B960B" w14:textId="77777777" w:rsidR="004920D8" w:rsidRDefault="004920D8" w:rsidP="00DD3BAE">
            <w:pPr>
              <w:spacing w:before="0" w:after="0"/>
              <w:jc w:val="center"/>
              <w:rPr>
                <w:color w:val="000000"/>
                <w:sz w:val="14"/>
                <w:szCs w:val="14"/>
              </w:rPr>
            </w:pPr>
            <w:r>
              <w:rPr>
                <w:color w:val="000000"/>
                <w:sz w:val="14"/>
                <w:szCs w:val="14"/>
              </w:rPr>
              <w:t>Daintree</w:t>
            </w:r>
          </w:p>
        </w:tc>
        <w:tc>
          <w:tcPr>
            <w:tcW w:w="1307" w:type="dxa"/>
            <w:vMerge w:val="restart"/>
            <w:tcBorders>
              <w:top w:val="single" w:sz="4" w:space="0" w:color="auto"/>
              <w:left w:val="nil"/>
              <w:bottom w:val="nil"/>
              <w:right w:val="nil"/>
            </w:tcBorders>
            <w:shd w:val="clear" w:color="auto" w:fill="F3F9FA"/>
            <w:noWrap/>
            <w:vAlign w:val="center"/>
            <w:hideMark/>
          </w:tcPr>
          <w:p w14:paraId="145801BC" w14:textId="77777777" w:rsidR="004920D8" w:rsidRDefault="004920D8" w:rsidP="00DD3BAE">
            <w:pPr>
              <w:spacing w:before="0" w:after="0"/>
              <w:jc w:val="center"/>
              <w:rPr>
                <w:color w:val="000000"/>
                <w:sz w:val="14"/>
                <w:szCs w:val="14"/>
              </w:rPr>
            </w:pPr>
            <w:r>
              <w:rPr>
                <w:color w:val="000000"/>
                <w:sz w:val="14"/>
                <w:szCs w:val="14"/>
              </w:rPr>
              <w:t>Low Isles</w:t>
            </w:r>
          </w:p>
        </w:tc>
        <w:tc>
          <w:tcPr>
            <w:tcW w:w="840" w:type="dxa"/>
            <w:tcBorders>
              <w:top w:val="single" w:sz="4" w:space="0" w:color="auto"/>
              <w:left w:val="nil"/>
              <w:right w:val="nil"/>
            </w:tcBorders>
            <w:shd w:val="clear" w:color="auto" w:fill="F3F9FA"/>
            <w:noWrap/>
            <w:vAlign w:val="center"/>
            <w:hideMark/>
          </w:tcPr>
          <w:p w14:paraId="0F4745B1" w14:textId="77777777" w:rsidR="004920D8" w:rsidRDefault="004920D8" w:rsidP="00DD3BAE">
            <w:pPr>
              <w:spacing w:before="0" w:after="0"/>
              <w:jc w:val="center"/>
              <w:rPr>
                <w:b/>
                <w:color w:val="000000"/>
                <w:sz w:val="14"/>
                <w:szCs w:val="14"/>
              </w:rPr>
            </w:pPr>
            <w:r>
              <w:rPr>
                <w:b/>
                <w:color w:val="000000"/>
                <w:sz w:val="14"/>
                <w:szCs w:val="14"/>
              </w:rPr>
              <w:t>LI1</w:t>
            </w:r>
          </w:p>
        </w:tc>
        <w:tc>
          <w:tcPr>
            <w:tcW w:w="555" w:type="dxa"/>
            <w:tcBorders>
              <w:top w:val="single" w:sz="4" w:space="0" w:color="auto"/>
              <w:left w:val="nil"/>
              <w:right w:val="nil"/>
            </w:tcBorders>
            <w:shd w:val="clear" w:color="auto" w:fill="F3F9FA"/>
            <w:vAlign w:val="center"/>
            <w:hideMark/>
          </w:tcPr>
          <w:p w14:paraId="3C495A36"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6516AB52"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31B76399"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6374B34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0F0DBA2E"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1CAC29F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hideMark/>
          </w:tcPr>
          <w:p w14:paraId="13D2A58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hideMark/>
          </w:tcPr>
          <w:p w14:paraId="1323DEE4"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622A9DED"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17F989C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5B277AB9"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149BE67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hideMark/>
          </w:tcPr>
          <w:p w14:paraId="3BE56C93"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3D6D3D3A" w14:textId="77777777" w:rsidTr="00D64955">
        <w:trPr>
          <w:gridAfter w:val="1"/>
          <w:wAfter w:w="10" w:type="dxa"/>
          <w:cantSplit/>
          <w:trHeight w:val="170"/>
          <w:jc w:val="center"/>
        </w:trPr>
        <w:tc>
          <w:tcPr>
            <w:tcW w:w="1148" w:type="dxa"/>
            <w:vMerge/>
            <w:tcBorders>
              <w:left w:val="nil"/>
              <w:right w:val="nil"/>
            </w:tcBorders>
            <w:vAlign w:val="center"/>
            <w:hideMark/>
          </w:tcPr>
          <w:p w14:paraId="1FB808B0"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72321D94"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07A5A836"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932D364"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2DE490E0" w14:textId="77777777" w:rsidR="004920D8" w:rsidRDefault="004920D8" w:rsidP="00DD3BAE">
            <w:pPr>
              <w:spacing w:before="0" w:after="0"/>
              <w:jc w:val="center"/>
              <w:rPr>
                <w:b/>
                <w:color w:val="000000"/>
                <w:sz w:val="14"/>
                <w:szCs w:val="14"/>
              </w:rPr>
            </w:pPr>
            <w:r>
              <w:rPr>
                <w:b/>
                <w:color w:val="000000"/>
                <w:sz w:val="14"/>
                <w:szCs w:val="14"/>
              </w:rPr>
              <w:t>LI2^</w:t>
            </w:r>
          </w:p>
        </w:tc>
        <w:tc>
          <w:tcPr>
            <w:tcW w:w="555" w:type="dxa"/>
            <w:tcBorders>
              <w:bottom w:val="nil"/>
            </w:tcBorders>
            <w:shd w:val="clear" w:color="auto" w:fill="F3F9FA"/>
            <w:vAlign w:val="center"/>
            <w:hideMark/>
          </w:tcPr>
          <w:p w14:paraId="3496AA6E"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3151BA0"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2BD17E8D"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hideMark/>
          </w:tcPr>
          <w:p w14:paraId="1EF0AE42"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1259D4F3"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hideMark/>
          </w:tcPr>
          <w:p w14:paraId="1B4B1FE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2C12DE0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6ADC3324"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1CA2D74E"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2E2A7C1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2EE847E4"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201ACA2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3EC8EE5D"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7590C1EE" w14:textId="77777777" w:rsidTr="00D64955">
        <w:trPr>
          <w:gridAfter w:val="1"/>
          <w:wAfter w:w="10" w:type="dxa"/>
          <w:cantSplit/>
          <w:trHeight w:val="170"/>
          <w:jc w:val="center"/>
        </w:trPr>
        <w:tc>
          <w:tcPr>
            <w:tcW w:w="1148" w:type="dxa"/>
            <w:vMerge/>
            <w:tcBorders>
              <w:left w:val="nil"/>
              <w:right w:val="nil"/>
            </w:tcBorders>
            <w:vAlign w:val="center"/>
            <w:hideMark/>
          </w:tcPr>
          <w:p w14:paraId="22D2B2F0"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08276500"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right w:val="nil"/>
            </w:tcBorders>
            <w:shd w:val="clear" w:color="auto" w:fill="F3F9FA"/>
            <w:vAlign w:val="center"/>
            <w:hideMark/>
          </w:tcPr>
          <w:p w14:paraId="6A5A733C" w14:textId="77777777" w:rsidR="004920D8" w:rsidRDefault="004920D8" w:rsidP="00DD3BAE">
            <w:pPr>
              <w:spacing w:before="0" w:after="0"/>
              <w:jc w:val="center"/>
              <w:rPr>
                <w:color w:val="000000"/>
                <w:sz w:val="14"/>
                <w:szCs w:val="14"/>
              </w:rPr>
            </w:pPr>
            <w:r>
              <w:rPr>
                <w:color w:val="000000"/>
                <w:sz w:val="14"/>
                <w:szCs w:val="14"/>
              </w:rPr>
              <w:t>Mossman / Barron / Mulgrave - Russell / Johnstone</w:t>
            </w:r>
          </w:p>
        </w:tc>
        <w:tc>
          <w:tcPr>
            <w:tcW w:w="1307" w:type="dxa"/>
            <w:vMerge w:val="restart"/>
            <w:tcBorders>
              <w:top w:val="single" w:sz="4" w:space="0" w:color="auto"/>
              <w:left w:val="nil"/>
              <w:bottom w:val="nil"/>
              <w:right w:val="nil"/>
            </w:tcBorders>
            <w:shd w:val="clear" w:color="auto" w:fill="F3F9FA"/>
            <w:noWrap/>
            <w:vAlign w:val="center"/>
            <w:hideMark/>
          </w:tcPr>
          <w:p w14:paraId="2B03B484" w14:textId="77777777" w:rsidR="004920D8" w:rsidRDefault="004920D8" w:rsidP="00DD3BAE">
            <w:pPr>
              <w:spacing w:before="0" w:after="0"/>
              <w:jc w:val="center"/>
              <w:rPr>
                <w:color w:val="000000"/>
                <w:sz w:val="14"/>
                <w:szCs w:val="14"/>
              </w:rPr>
            </w:pPr>
            <w:r>
              <w:rPr>
                <w:color w:val="000000"/>
                <w:sz w:val="14"/>
                <w:szCs w:val="14"/>
              </w:rPr>
              <w:t>Yule Point</w:t>
            </w:r>
          </w:p>
        </w:tc>
        <w:tc>
          <w:tcPr>
            <w:tcW w:w="840" w:type="dxa"/>
            <w:tcBorders>
              <w:top w:val="single" w:sz="4" w:space="0" w:color="auto"/>
              <w:left w:val="nil"/>
              <w:right w:val="nil"/>
            </w:tcBorders>
            <w:shd w:val="clear" w:color="auto" w:fill="F3F9FA"/>
            <w:noWrap/>
            <w:vAlign w:val="center"/>
            <w:hideMark/>
          </w:tcPr>
          <w:p w14:paraId="4830FF20" w14:textId="77777777" w:rsidR="004920D8" w:rsidRDefault="004920D8" w:rsidP="00DD3BAE">
            <w:pPr>
              <w:spacing w:before="0" w:after="0"/>
              <w:jc w:val="center"/>
              <w:rPr>
                <w:b/>
                <w:color w:val="000000"/>
                <w:sz w:val="14"/>
                <w:szCs w:val="14"/>
              </w:rPr>
            </w:pPr>
            <w:r>
              <w:rPr>
                <w:b/>
                <w:color w:val="000000"/>
                <w:sz w:val="14"/>
                <w:szCs w:val="14"/>
              </w:rPr>
              <w:t>YP1</w:t>
            </w:r>
          </w:p>
        </w:tc>
        <w:tc>
          <w:tcPr>
            <w:tcW w:w="555" w:type="dxa"/>
            <w:tcBorders>
              <w:top w:val="single" w:sz="4" w:space="0" w:color="auto"/>
              <w:left w:val="nil"/>
              <w:right w:val="nil"/>
            </w:tcBorders>
            <w:shd w:val="clear" w:color="auto" w:fill="F3F9FA"/>
            <w:vAlign w:val="center"/>
            <w:hideMark/>
          </w:tcPr>
          <w:p w14:paraId="1AB839EE"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289327FE"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30720E85"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22A3D69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026C2345"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0991BB5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36CC2DE8"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5209E414"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607FB6C5"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1E9385C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1C80C1F9"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129E1F4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57230557" w14:textId="77777777" w:rsidR="004920D8" w:rsidRDefault="004920D8" w:rsidP="00DD3BAE">
            <w:pPr>
              <w:spacing w:before="0" w:after="0"/>
              <w:jc w:val="center"/>
              <w:rPr>
                <w:color w:val="000000"/>
                <w:sz w:val="14"/>
                <w:szCs w:val="14"/>
              </w:rPr>
            </w:pPr>
          </w:p>
        </w:tc>
      </w:tr>
      <w:tr w:rsidR="004920D8" w14:paraId="7C5CF4E5" w14:textId="77777777" w:rsidTr="00D64955">
        <w:trPr>
          <w:gridAfter w:val="1"/>
          <w:wAfter w:w="10" w:type="dxa"/>
          <w:cantSplit/>
          <w:trHeight w:val="170"/>
          <w:jc w:val="center"/>
        </w:trPr>
        <w:tc>
          <w:tcPr>
            <w:tcW w:w="1148" w:type="dxa"/>
            <w:vMerge/>
            <w:tcBorders>
              <w:left w:val="nil"/>
              <w:right w:val="nil"/>
            </w:tcBorders>
            <w:vAlign w:val="center"/>
            <w:hideMark/>
          </w:tcPr>
          <w:p w14:paraId="4D6CB3CF"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5E3AD8D9"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129DF612" w14:textId="77777777" w:rsidR="004920D8" w:rsidRDefault="004920D8" w:rsidP="00DD3BAE">
            <w:pPr>
              <w:spacing w:before="0" w:after="0"/>
              <w:jc w:val="center"/>
              <w:rPr>
                <w:color w:val="000000"/>
                <w:sz w:val="14"/>
                <w:szCs w:val="14"/>
              </w:rPr>
            </w:pPr>
          </w:p>
        </w:tc>
        <w:tc>
          <w:tcPr>
            <w:tcW w:w="1307" w:type="dxa"/>
            <w:vMerge/>
            <w:tcBorders>
              <w:top w:val="single" w:sz="4" w:space="0" w:color="auto"/>
              <w:left w:val="nil"/>
              <w:bottom w:val="nil"/>
              <w:right w:val="nil"/>
            </w:tcBorders>
            <w:vAlign w:val="center"/>
            <w:hideMark/>
          </w:tcPr>
          <w:p w14:paraId="50F5BFF8"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7ED2661B" w14:textId="77777777" w:rsidR="004920D8" w:rsidRDefault="004920D8" w:rsidP="00DD3BAE">
            <w:pPr>
              <w:spacing w:before="0" w:after="0"/>
              <w:jc w:val="center"/>
              <w:rPr>
                <w:b/>
                <w:color w:val="000000"/>
                <w:sz w:val="14"/>
                <w:szCs w:val="14"/>
              </w:rPr>
            </w:pPr>
            <w:r>
              <w:rPr>
                <w:b/>
                <w:color w:val="000000"/>
                <w:sz w:val="14"/>
                <w:szCs w:val="14"/>
              </w:rPr>
              <w:t>YP2</w:t>
            </w:r>
          </w:p>
        </w:tc>
        <w:tc>
          <w:tcPr>
            <w:tcW w:w="555" w:type="dxa"/>
            <w:tcBorders>
              <w:bottom w:val="nil"/>
            </w:tcBorders>
            <w:shd w:val="clear" w:color="auto" w:fill="F3F9FA"/>
            <w:vAlign w:val="center"/>
            <w:hideMark/>
          </w:tcPr>
          <w:p w14:paraId="68A411EB"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795044CD"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176C63E9"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3441A9C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561BF43D"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0975AF0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02C8D52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6DA6B7D9"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2FE7E8E3"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6EDE09F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5731C0E4"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2AC1DB7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6A0C7E7A"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69F2F6F2" w14:textId="77777777" w:rsidTr="00D64955">
        <w:trPr>
          <w:gridAfter w:val="1"/>
          <w:wAfter w:w="10" w:type="dxa"/>
          <w:cantSplit/>
          <w:trHeight w:val="170"/>
          <w:jc w:val="center"/>
        </w:trPr>
        <w:tc>
          <w:tcPr>
            <w:tcW w:w="1148" w:type="dxa"/>
            <w:vMerge/>
            <w:tcBorders>
              <w:left w:val="nil"/>
              <w:right w:val="nil"/>
            </w:tcBorders>
            <w:vAlign w:val="center"/>
            <w:hideMark/>
          </w:tcPr>
          <w:p w14:paraId="152BE895"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50866B7A" w14:textId="77777777" w:rsidR="004920D8" w:rsidRDefault="004920D8" w:rsidP="00DD3BAE">
            <w:pPr>
              <w:spacing w:before="0" w:after="0"/>
              <w:rPr>
                <w:color w:val="000000"/>
                <w:sz w:val="14"/>
                <w:szCs w:val="14"/>
              </w:rPr>
            </w:pPr>
          </w:p>
        </w:tc>
        <w:tc>
          <w:tcPr>
            <w:tcW w:w="1299" w:type="dxa"/>
            <w:vMerge/>
            <w:tcBorders>
              <w:left w:val="nil"/>
              <w:right w:val="nil"/>
            </w:tcBorders>
            <w:shd w:val="clear" w:color="auto" w:fill="F3F9FA"/>
            <w:vAlign w:val="center"/>
            <w:hideMark/>
          </w:tcPr>
          <w:p w14:paraId="4FD60EDF" w14:textId="77777777" w:rsidR="004920D8" w:rsidRDefault="004920D8" w:rsidP="00DD3BAE">
            <w:pPr>
              <w:spacing w:before="0" w:after="0"/>
              <w:jc w:val="center"/>
              <w:rPr>
                <w:color w:val="000000"/>
                <w:sz w:val="14"/>
                <w:szCs w:val="14"/>
              </w:rPr>
            </w:pPr>
          </w:p>
        </w:tc>
        <w:tc>
          <w:tcPr>
            <w:tcW w:w="1307" w:type="dxa"/>
            <w:vMerge w:val="restart"/>
            <w:tcBorders>
              <w:top w:val="single" w:sz="4" w:space="0" w:color="auto"/>
              <w:left w:val="nil"/>
              <w:bottom w:val="nil"/>
              <w:right w:val="nil"/>
            </w:tcBorders>
            <w:shd w:val="clear" w:color="auto" w:fill="F3F9FA"/>
            <w:noWrap/>
            <w:vAlign w:val="center"/>
            <w:hideMark/>
          </w:tcPr>
          <w:p w14:paraId="62055BE6" w14:textId="77777777" w:rsidR="004920D8" w:rsidRDefault="004920D8" w:rsidP="00DD3BAE">
            <w:pPr>
              <w:spacing w:before="0" w:after="0"/>
              <w:jc w:val="center"/>
              <w:rPr>
                <w:i/>
                <w:iCs/>
                <w:color w:val="000000"/>
                <w:sz w:val="14"/>
                <w:szCs w:val="14"/>
              </w:rPr>
            </w:pPr>
            <w:r>
              <w:rPr>
                <w:color w:val="000000"/>
                <w:sz w:val="14"/>
                <w:szCs w:val="14"/>
              </w:rPr>
              <w:t>Green Island</w:t>
            </w:r>
          </w:p>
        </w:tc>
        <w:tc>
          <w:tcPr>
            <w:tcW w:w="840" w:type="dxa"/>
            <w:tcBorders>
              <w:top w:val="single" w:sz="4" w:space="0" w:color="auto"/>
              <w:left w:val="nil"/>
              <w:right w:val="nil"/>
            </w:tcBorders>
            <w:shd w:val="clear" w:color="auto" w:fill="F3F9FA"/>
            <w:noWrap/>
            <w:vAlign w:val="center"/>
            <w:hideMark/>
          </w:tcPr>
          <w:p w14:paraId="02A36D10" w14:textId="77777777" w:rsidR="004920D8" w:rsidRDefault="004920D8" w:rsidP="00DD3BAE">
            <w:pPr>
              <w:spacing w:before="0" w:after="0"/>
              <w:jc w:val="center"/>
              <w:rPr>
                <w:b/>
                <w:color w:val="000000"/>
                <w:sz w:val="14"/>
                <w:szCs w:val="14"/>
              </w:rPr>
            </w:pPr>
            <w:r>
              <w:rPr>
                <w:b/>
                <w:color w:val="000000"/>
                <w:sz w:val="14"/>
                <w:szCs w:val="14"/>
              </w:rPr>
              <w:t>GI1</w:t>
            </w:r>
          </w:p>
        </w:tc>
        <w:tc>
          <w:tcPr>
            <w:tcW w:w="555" w:type="dxa"/>
            <w:tcBorders>
              <w:top w:val="single" w:sz="4" w:space="0" w:color="auto"/>
              <w:left w:val="nil"/>
              <w:right w:val="nil"/>
            </w:tcBorders>
            <w:shd w:val="clear" w:color="auto" w:fill="F3F9FA"/>
            <w:vAlign w:val="center"/>
            <w:hideMark/>
          </w:tcPr>
          <w:p w14:paraId="529B9E82"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371CB4B3"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634D0ED7"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1E3F49D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7CFF8621"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71C98A7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hideMark/>
          </w:tcPr>
          <w:p w14:paraId="5BD1AF0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hideMark/>
          </w:tcPr>
          <w:p w14:paraId="16356C01"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1A7D1385"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4B628EC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1F0C9B13"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41A5EA8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hideMark/>
          </w:tcPr>
          <w:p w14:paraId="15228FCA"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13769554" w14:textId="77777777" w:rsidTr="00D64955">
        <w:trPr>
          <w:gridAfter w:val="1"/>
          <w:wAfter w:w="10" w:type="dxa"/>
          <w:cantSplit/>
          <w:trHeight w:val="170"/>
          <w:jc w:val="center"/>
        </w:trPr>
        <w:tc>
          <w:tcPr>
            <w:tcW w:w="1148" w:type="dxa"/>
            <w:vMerge/>
            <w:tcBorders>
              <w:left w:val="nil"/>
              <w:right w:val="nil"/>
            </w:tcBorders>
            <w:vAlign w:val="center"/>
            <w:hideMark/>
          </w:tcPr>
          <w:p w14:paraId="28F89575"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638A606D"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4EA214E8"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3B08E3EB" w14:textId="77777777" w:rsidR="004920D8" w:rsidRDefault="004920D8" w:rsidP="00DD3BAE">
            <w:pPr>
              <w:spacing w:before="0" w:after="0"/>
              <w:rPr>
                <w:i/>
                <w:iCs/>
                <w:color w:val="000000"/>
                <w:sz w:val="14"/>
                <w:szCs w:val="14"/>
              </w:rPr>
            </w:pPr>
          </w:p>
        </w:tc>
        <w:tc>
          <w:tcPr>
            <w:tcW w:w="840" w:type="dxa"/>
            <w:tcBorders>
              <w:left w:val="nil"/>
              <w:bottom w:val="nil"/>
            </w:tcBorders>
            <w:shd w:val="clear" w:color="auto" w:fill="F3F9FA"/>
            <w:noWrap/>
            <w:vAlign w:val="center"/>
            <w:hideMark/>
          </w:tcPr>
          <w:p w14:paraId="5F1C8DD4" w14:textId="77777777" w:rsidR="004920D8" w:rsidRDefault="004920D8" w:rsidP="00DD3BAE">
            <w:pPr>
              <w:spacing w:before="0" w:after="0"/>
              <w:jc w:val="center"/>
              <w:rPr>
                <w:b/>
                <w:color w:val="000000"/>
                <w:sz w:val="14"/>
                <w:szCs w:val="14"/>
              </w:rPr>
            </w:pPr>
            <w:r>
              <w:rPr>
                <w:b/>
                <w:color w:val="000000"/>
                <w:sz w:val="14"/>
                <w:szCs w:val="14"/>
              </w:rPr>
              <w:t>GI2</w:t>
            </w:r>
          </w:p>
        </w:tc>
        <w:tc>
          <w:tcPr>
            <w:tcW w:w="555" w:type="dxa"/>
            <w:tcBorders>
              <w:bottom w:val="nil"/>
            </w:tcBorders>
            <w:shd w:val="clear" w:color="auto" w:fill="F3F9FA"/>
            <w:vAlign w:val="center"/>
            <w:hideMark/>
          </w:tcPr>
          <w:p w14:paraId="6579E796"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0B66313"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400393DD"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644C557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5F7750FA"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7F6A811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33E7AD12"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hideMark/>
          </w:tcPr>
          <w:p w14:paraId="59E7514C"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1A26AE92"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5903E85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05F50828"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2446A30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44E800E1" w14:textId="77777777" w:rsidR="004920D8" w:rsidRDefault="004920D8" w:rsidP="00DD3BAE">
            <w:pPr>
              <w:spacing w:before="0" w:after="0"/>
              <w:jc w:val="center"/>
              <w:rPr>
                <w:color w:val="000000"/>
                <w:sz w:val="14"/>
                <w:szCs w:val="14"/>
              </w:rPr>
            </w:pPr>
          </w:p>
        </w:tc>
      </w:tr>
      <w:tr w:rsidR="004920D8" w14:paraId="67983196" w14:textId="77777777" w:rsidTr="00D64955">
        <w:trPr>
          <w:gridAfter w:val="1"/>
          <w:wAfter w:w="10" w:type="dxa"/>
          <w:cantSplit/>
          <w:trHeight w:val="170"/>
          <w:jc w:val="center"/>
        </w:trPr>
        <w:tc>
          <w:tcPr>
            <w:tcW w:w="1148" w:type="dxa"/>
            <w:vMerge/>
            <w:tcBorders>
              <w:left w:val="nil"/>
              <w:right w:val="nil"/>
            </w:tcBorders>
            <w:vAlign w:val="center"/>
            <w:hideMark/>
          </w:tcPr>
          <w:p w14:paraId="474B65F9"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3293CC9C" w14:textId="77777777" w:rsidR="004920D8" w:rsidRDefault="004920D8" w:rsidP="00DD3BAE">
            <w:pPr>
              <w:spacing w:before="0" w:after="0"/>
              <w:rPr>
                <w:color w:val="000000"/>
                <w:sz w:val="14"/>
                <w:szCs w:val="14"/>
              </w:rPr>
            </w:pPr>
          </w:p>
        </w:tc>
        <w:tc>
          <w:tcPr>
            <w:tcW w:w="1299" w:type="dxa"/>
            <w:vMerge/>
            <w:tcBorders>
              <w:left w:val="nil"/>
              <w:bottom w:val="nil"/>
              <w:right w:val="nil"/>
            </w:tcBorders>
            <w:vAlign w:val="center"/>
            <w:hideMark/>
          </w:tcPr>
          <w:p w14:paraId="6B1D5DA0"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609DC4F9" w14:textId="77777777" w:rsidR="004920D8" w:rsidRDefault="004920D8" w:rsidP="00DD3BAE">
            <w:pPr>
              <w:spacing w:before="0" w:after="0"/>
              <w:rPr>
                <w:i/>
                <w:iCs/>
                <w:color w:val="000000"/>
                <w:sz w:val="14"/>
                <w:szCs w:val="14"/>
              </w:rPr>
            </w:pPr>
          </w:p>
        </w:tc>
        <w:tc>
          <w:tcPr>
            <w:tcW w:w="840" w:type="dxa"/>
            <w:tcBorders>
              <w:left w:val="nil"/>
              <w:bottom w:val="nil"/>
            </w:tcBorders>
            <w:shd w:val="clear" w:color="auto" w:fill="F3F9FA"/>
            <w:noWrap/>
            <w:vAlign w:val="center"/>
            <w:hideMark/>
          </w:tcPr>
          <w:p w14:paraId="1F9A7C6B" w14:textId="77777777" w:rsidR="004920D8" w:rsidRDefault="004920D8" w:rsidP="00DD3BAE">
            <w:pPr>
              <w:spacing w:before="0" w:after="0"/>
              <w:jc w:val="center"/>
              <w:rPr>
                <w:b/>
                <w:color w:val="000000"/>
                <w:sz w:val="14"/>
                <w:szCs w:val="14"/>
              </w:rPr>
            </w:pPr>
            <w:r>
              <w:rPr>
                <w:b/>
                <w:color w:val="000000"/>
                <w:sz w:val="14"/>
                <w:szCs w:val="14"/>
              </w:rPr>
              <w:t>GI3^</w:t>
            </w:r>
          </w:p>
        </w:tc>
        <w:tc>
          <w:tcPr>
            <w:tcW w:w="555" w:type="dxa"/>
            <w:tcBorders>
              <w:bottom w:val="nil"/>
            </w:tcBorders>
            <w:shd w:val="clear" w:color="auto" w:fill="F3F9FA"/>
            <w:vAlign w:val="center"/>
            <w:hideMark/>
          </w:tcPr>
          <w:p w14:paraId="04A3E74C"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EECFA98"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0456649A"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015E111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10C221C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0295BBC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4550F43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4DB64919"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651F2C15"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77EAFFF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0D6A7482"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480467A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6C0A70D9"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246728A6" w14:textId="77777777" w:rsidTr="00D64955">
        <w:trPr>
          <w:gridAfter w:val="1"/>
          <w:wAfter w:w="10" w:type="dxa"/>
          <w:cantSplit/>
          <w:trHeight w:val="170"/>
          <w:jc w:val="center"/>
        </w:trPr>
        <w:tc>
          <w:tcPr>
            <w:tcW w:w="1148" w:type="dxa"/>
            <w:vMerge/>
            <w:tcBorders>
              <w:left w:val="nil"/>
              <w:right w:val="nil"/>
            </w:tcBorders>
            <w:vAlign w:val="center"/>
            <w:hideMark/>
          </w:tcPr>
          <w:p w14:paraId="54B331F7"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7990AED6"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right w:val="nil"/>
            </w:tcBorders>
            <w:shd w:val="clear" w:color="auto" w:fill="F3F9FA"/>
            <w:vAlign w:val="center"/>
            <w:hideMark/>
          </w:tcPr>
          <w:p w14:paraId="3E904D57" w14:textId="77777777" w:rsidR="004920D8" w:rsidRDefault="004920D8" w:rsidP="00DD3BAE">
            <w:pPr>
              <w:spacing w:before="0" w:after="0"/>
              <w:jc w:val="center"/>
              <w:rPr>
                <w:color w:val="000000"/>
                <w:sz w:val="14"/>
                <w:szCs w:val="14"/>
              </w:rPr>
            </w:pPr>
            <w:r>
              <w:rPr>
                <w:color w:val="000000"/>
                <w:sz w:val="14"/>
                <w:szCs w:val="14"/>
              </w:rPr>
              <w:t>Tully / Murray / Herbert</w:t>
            </w:r>
          </w:p>
        </w:tc>
        <w:tc>
          <w:tcPr>
            <w:tcW w:w="1307" w:type="dxa"/>
            <w:vMerge w:val="restart"/>
            <w:tcBorders>
              <w:top w:val="single" w:sz="4" w:space="0" w:color="auto"/>
              <w:left w:val="nil"/>
              <w:bottom w:val="nil"/>
              <w:right w:val="nil"/>
            </w:tcBorders>
            <w:shd w:val="clear" w:color="auto" w:fill="F3F9FA"/>
            <w:noWrap/>
            <w:vAlign w:val="center"/>
            <w:hideMark/>
          </w:tcPr>
          <w:p w14:paraId="40F3D75A" w14:textId="77777777" w:rsidR="004920D8" w:rsidRDefault="004920D8" w:rsidP="00DD3BAE">
            <w:pPr>
              <w:spacing w:before="0" w:after="0"/>
              <w:jc w:val="center"/>
              <w:rPr>
                <w:color w:val="000000"/>
                <w:sz w:val="14"/>
                <w:szCs w:val="14"/>
              </w:rPr>
            </w:pPr>
            <w:r>
              <w:rPr>
                <w:color w:val="000000"/>
                <w:sz w:val="14"/>
                <w:szCs w:val="14"/>
              </w:rPr>
              <w:t>Mission Beach</w:t>
            </w:r>
          </w:p>
        </w:tc>
        <w:tc>
          <w:tcPr>
            <w:tcW w:w="840" w:type="dxa"/>
            <w:tcBorders>
              <w:top w:val="single" w:sz="4" w:space="0" w:color="auto"/>
              <w:left w:val="nil"/>
              <w:right w:val="nil"/>
            </w:tcBorders>
            <w:shd w:val="clear" w:color="auto" w:fill="F3F9FA"/>
            <w:noWrap/>
            <w:vAlign w:val="center"/>
            <w:hideMark/>
          </w:tcPr>
          <w:p w14:paraId="65995BE1" w14:textId="77777777" w:rsidR="004920D8" w:rsidRDefault="004920D8" w:rsidP="00DD3BAE">
            <w:pPr>
              <w:spacing w:before="0" w:after="0"/>
              <w:jc w:val="center"/>
              <w:rPr>
                <w:b/>
                <w:color w:val="000000"/>
                <w:sz w:val="14"/>
                <w:szCs w:val="14"/>
              </w:rPr>
            </w:pPr>
            <w:r>
              <w:rPr>
                <w:b/>
                <w:color w:val="000000"/>
                <w:sz w:val="14"/>
                <w:szCs w:val="14"/>
              </w:rPr>
              <w:t>LB1</w:t>
            </w:r>
          </w:p>
        </w:tc>
        <w:tc>
          <w:tcPr>
            <w:tcW w:w="555" w:type="dxa"/>
            <w:tcBorders>
              <w:top w:val="single" w:sz="4" w:space="0" w:color="auto"/>
              <w:left w:val="nil"/>
              <w:right w:val="nil"/>
            </w:tcBorders>
            <w:shd w:val="clear" w:color="auto" w:fill="F3F9FA"/>
            <w:vAlign w:val="center"/>
            <w:hideMark/>
          </w:tcPr>
          <w:p w14:paraId="4766ABD1"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48DA4C0A"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79A3F0AC"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2154FCE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tcPr>
          <w:p w14:paraId="54772506"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hideMark/>
          </w:tcPr>
          <w:p w14:paraId="79D441B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5EEA61A6"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60B0F87E"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0039D5CA"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45CB5BF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tcPr>
          <w:p w14:paraId="25939AFA"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hideMark/>
          </w:tcPr>
          <w:p w14:paraId="2AAD29E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502E89BE" w14:textId="77777777" w:rsidR="004920D8" w:rsidRDefault="004920D8" w:rsidP="00DD3BAE">
            <w:pPr>
              <w:spacing w:before="0" w:after="0"/>
              <w:jc w:val="center"/>
              <w:rPr>
                <w:color w:val="000000"/>
                <w:sz w:val="14"/>
                <w:szCs w:val="14"/>
              </w:rPr>
            </w:pPr>
          </w:p>
        </w:tc>
      </w:tr>
      <w:tr w:rsidR="004920D8" w14:paraId="58E6D027" w14:textId="77777777" w:rsidTr="00D64955">
        <w:trPr>
          <w:gridAfter w:val="1"/>
          <w:wAfter w:w="10" w:type="dxa"/>
          <w:cantSplit/>
          <w:trHeight w:val="170"/>
          <w:jc w:val="center"/>
        </w:trPr>
        <w:tc>
          <w:tcPr>
            <w:tcW w:w="1148" w:type="dxa"/>
            <w:vMerge/>
            <w:tcBorders>
              <w:left w:val="nil"/>
              <w:right w:val="nil"/>
            </w:tcBorders>
            <w:vAlign w:val="center"/>
            <w:hideMark/>
          </w:tcPr>
          <w:p w14:paraId="248F2DFD"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23E419E7"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00C28857"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1F527C7"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7503E3A5" w14:textId="77777777" w:rsidR="004920D8" w:rsidRDefault="004920D8" w:rsidP="00DD3BAE">
            <w:pPr>
              <w:spacing w:before="0" w:after="0"/>
              <w:jc w:val="center"/>
              <w:rPr>
                <w:b/>
                <w:color w:val="000000"/>
                <w:sz w:val="14"/>
                <w:szCs w:val="14"/>
              </w:rPr>
            </w:pPr>
            <w:r>
              <w:rPr>
                <w:b/>
                <w:color w:val="000000"/>
                <w:sz w:val="14"/>
                <w:szCs w:val="14"/>
              </w:rPr>
              <w:t>LB2</w:t>
            </w:r>
          </w:p>
        </w:tc>
        <w:tc>
          <w:tcPr>
            <w:tcW w:w="555" w:type="dxa"/>
            <w:tcBorders>
              <w:bottom w:val="nil"/>
            </w:tcBorders>
            <w:shd w:val="clear" w:color="auto" w:fill="F3F9FA"/>
            <w:vAlign w:val="center"/>
            <w:hideMark/>
          </w:tcPr>
          <w:p w14:paraId="31411AE4"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29B170AD"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173C5A24"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hideMark/>
          </w:tcPr>
          <w:p w14:paraId="015AE0E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tcPr>
          <w:p w14:paraId="167214B9"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hideMark/>
          </w:tcPr>
          <w:p w14:paraId="3191AFC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3D11884D"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hideMark/>
          </w:tcPr>
          <w:p w14:paraId="64A6BEBC"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6BF022D6"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7675653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tcPr>
          <w:p w14:paraId="10B8404E"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hideMark/>
          </w:tcPr>
          <w:p w14:paraId="07879DA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78B87ED6" w14:textId="77777777" w:rsidR="004920D8" w:rsidRDefault="004920D8" w:rsidP="00DD3BAE">
            <w:pPr>
              <w:spacing w:before="0" w:after="0"/>
              <w:jc w:val="center"/>
              <w:rPr>
                <w:color w:val="000000"/>
                <w:sz w:val="14"/>
                <w:szCs w:val="14"/>
              </w:rPr>
            </w:pPr>
          </w:p>
        </w:tc>
      </w:tr>
      <w:tr w:rsidR="004920D8" w14:paraId="4E9ACFE0" w14:textId="77777777" w:rsidTr="00D64955">
        <w:trPr>
          <w:gridAfter w:val="1"/>
          <w:wAfter w:w="10" w:type="dxa"/>
          <w:cantSplit/>
          <w:trHeight w:val="170"/>
          <w:jc w:val="center"/>
        </w:trPr>
        <w:tc>
          <w:tcPr>
            <w:tcW w:w="1148" w:type="dxa"/>
            <w:vMerge/>
            <w:tcBorders>
              <w:left w:val="nil"/>
              <w:right w:val="nil"/>
            </w:tcBorders>
            <w:vAlign w:val="center"/>
            <w:hideMark/>
          </w:tcPr>
          <w:p w14:paraId="29CC3E1D"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1B779F20"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57205821"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F3F9FA"/>
            <w:noWrap/>
            <w:vAlign w:val="center"/>
            <w:hideMark/>
          </w:tcPr>
          <w:p w14:paraId="0EE1CB19" w14:textId="77777777" w:rsidR="004920D8" w:rsidRDefault="004920D8" w:rsidP="00DD3BAE">
            <w:pPr>
              <w:spacing w:before="0" w:after="0"/>
              <w:jc w:val="center"/>
              <w:rPr>
                <w:color w:val="000000"/>
                <w:sz w:val="14"/>
                <w:szCs w:val="14"/>
              </w:rPr>
            </w:pPr>
            <w:r>
              <w:rPr>
                <w:color w:val="000000"/>
                <w:sz w:val="14"/>
                <w:szCs w:val="14"/>
              </w:rPr>
              <w:t>Dunk Island</w:t>
            </w:r>
          </w:p>
        </w:tc>
        <w:tc>
          <w:tcPr>
            <w:tcW w:w="840" w:type="dxa"/>
            <w:tcBorders>
              <w:top w:val="single" w:sz="4" w:space="0" w:color="auto"/>
              <w:left w:val="nil"/>
              <w:right w:val="nil"/>
            </w:tcBorders>
            <w:shd w:val="clear" w:color="auto" w:fill="F3F9FA"/>
            <w:noWrap/>
            <w:vAlign w:val="center"/>
            <w:hideMark/>
          </w:tcPr>
          <w:p w14:paraId="07394126" w14:textId="77777777" w:rsidR="004920D8" w:rsidRDefault="004920D8" w:rsidP="00DD3BAE">
            <w:pPr>
              <w:spacing w:before="0" w:after="0"/>
              <w:jc w:val="center"/>
              <w:rPr>
                <w:b/>
                <w:color w:val="000000"/>
                <w:sz w:val="14"/>
                <w:szCs w:val="14"/>
              </w:rPr>
            </w:pPr>
            <w:r>
              <w:rPr>
                <w:b/>
                <w:color w:val="000000"/>
                <w:sz w:val="14"/>
                <w:szCs w:val="14"/>
              </w:rPr>
              <w:t>DI1</w:t>
            </w:r>
          </w:p>
        </w:tc>
        <w:tc>
          <w:tcPr>
            <w:tcW w:w="555" w:type="dxa"/>
            <w:tcBorders>
              <w:top w:val="single" w:sz="4" w:space="0" w:color="auto"/>
              <w:left w:val="nil"/>
              <w:right w:val="nil"/>
            </w:tcBorders>
            <w:shd w:val="clear" w:color="auto" w:fill="F3F9FA"/>
            <w:vAlign w:val="center"/>
            <w:hideMark/>
          </w:tcPr>
          <w:p w14:paraId="3A84F1B9"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193A1269"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63E11591"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4D054A3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5EFC36EE"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0CD42F5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4328DF24"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12054D4F"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70739262"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1CC3ACC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19C7BC17"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1E876C8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4C5AB33C" w14:textId="77777777" w:rsidR="004920D8" w:rsidRDefault="004920D8" w:rsidP="00DD3BAE">
            <w:pPr>
              <w:spacing w:before="0" w:after="0"/>
              <w:jc w:val="center"/>
              <w:rPr>
                <w:color w:val="000000"/>
                <w:sz w:val="14"/>
                <w:szCs w:val="14"/>
              </w:rPr>
            </w:pPr>
          </w:p>
        </w:tc>
      </w:tr>
      <w:tr w:rsidR="004920D8" w14:paraId="067BAB47" w14:textId="77777777" w:rsidTr="00D64955">
        <w:trPr>
          <w:gridAfter w:val="1"/>
          <w:wAfter w:w="10" w:type="dxa"/>
          <w:cantSplit/>
          <w:trHeight w:val="170"/>
          <w:jc w:val="center"/>
        </w:trPr>
        <w:tc>
          <w:tcPr>
            <w:tcW w:w="1148" w:type="dxa"/>
            <w:vMerge/>
            <w:tcBorders>
              <w:left w:val="nil"/>
              <w:right w:val="nil"/>
            </w:tcBorders>
            <w:vAlign w:val="center"/>
            <w:hideMark/>
          </w:tcPr>
          <w:p w14:paraId="24259E5E"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52393565"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77C234D6"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071EB14"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5D54497D" w14:textId="77777777" w:rsidR="004920D8" w:rsidRDefault="004920D8" w:rsidP="00DD3BAE">
            <w:pPr>
              <w:spacing w:before="0" w:after="0"/>
              <w:jc w:val="center"/>
              <w:rPr>
                <w:b/>
                <w:color w:val="000000"/>
                <w:sz w:val="14"/>
                <w:szCs w:val="14"/>
              </w:rPr>
            </w:pPr>
            <w:r>
              <w:rPr>
                <w:b/>
                <w:color w:val="000000"/>
                <w:sz w:val="14"/>
                <w:szCs w:val="14"/>
              </w:rPr>
              <w:t>DI2</w:t>
            </w:r>
          </w:p>
        </w:tc>
        <w:tc>
          <w:tcPr>
            <w:tcW w:w="555" w:type="dxa"/>
            <w:tcBorders>
              <w:bottom w:val="nil"/>
            </w:tcBorders>
            <w:shd w:val="clear" w:color="auto" w:fill="F3F9FA"/>
            <w:vAlign w:val="center"/>
            <w:hideMark/>
          </w:tcPr>
          <w:p w14:paraId="0594178E"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D585F94"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6257850F"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5298778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3E2F33AA"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33DDD9A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60F292E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54FBC36C"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5984F5F4"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5CDC64C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0E144ADE"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3B88EF2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0F4C8AF6"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4FD2927C" w14:textId="77777777" w:rsidTr="00D64955">
        <w:trPr>
          <w:gridAfter w:val="1"/>
          <w:wAfter w:w="10" w:type="dxa"/>
          <w:cantSplit/>
          <w:trHeight w:val="170"/>
          <w:jc w:val="center"/>
        </w:trPr>
        <w:tc>
          <w:tcPr>
            <w:tcW w:w="1148" w:type="dxa"/>
            <w:vMerge/>
            <w:tcBorders>
              <w:left w:val="nil"/>
              <w:right w:val="nil"/>
            </w:tcBorders>
            <w:vAlign w:val="center"/>
            <w:hideMark/>
          </w:tcPr>
          <w:p w14:paraId="51668734"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655DA982"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553CD557"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19D140C7"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0BAEC16D" w14:textId="77777777" w:rsidR="004920D8" w:rsidRDefault="004920D8" w:rsidP="00DD3BAE">
            <w:pPr>
              <w:spacing w:before="0" w:after="0"/>
              <w:jc w:val="center"/>
              <w:rPr>
                <w:b/>
                <w:color w:val="000000"/>
                <w:sz w:val="14"/>
                <w:szCs w:val="14"/>
              </w:rPr>
            </w:pPr>
            <w:r>
              <w:rPr>
                <w:b/>
                <w:color w:val="000000"/>
                <w:sz w:val="14"/>
                <w:szCs w:val="14"/>
              </w:rPr>
              <w:t>DI3^</w:t>
            </w:r>
          </w:p>
        </w:tc>
        <w:tc>
          <w:tcPr>
            <w:tcW w:w="555" w:type="dxa"/>
            <w:tcBorders>
              <w:bottom w:val="nil"/>
            </w:tcBorders>
            <w:shd w:val="clear" w:color="auto" w:fill="F3F9FA"/>
            <w:vAlign w:val="center"/>
            <w:hideMark/>
          </w:tcPr>
          <w:p w14:paraId="4A3F2FBD"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751747E3"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192DD4B1"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0E453C4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11264F8E"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05C6B34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32D9A46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6285FBC8"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4919101B"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618BBD9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48F52545"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7FA3929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413CAD56"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56D8B03B" w14:textId="77777777" w:rsidTr="00D64955">
        <w:trPr>
          <w:gridAfter w:val="1"/>
          <w:wAfter w:w="10" w:type="dxa"/>
          <w:cantSplit/>
          <w:trHeight w:val="170"/>
          <w:jc w:val="center"/>
        </w:trPr>
        <w:tc>
          <w:tcPr>
            <w:tcW w:w="1148" w:type="dxa"/>
            <w:vMerge/>
            <w:tcBorders>
              <w:left w:val="nil"/>
              <w:right w:val="nil"/>
            </w:tcBorders>
            <w:vAlign w:val="center"/>
          </w:tcPr>
          <w:p w14:paraId="5C4A7B82" w14:textId="77777777" w:rsidR="004920D8" w:rsidRDefault="004920D8" w:rsidP="00DD3BAE">
            <w:pPr>
              <w:spacing w:before="0" w:after="0"/>
              <w:rPr>
                <w:color w:val="000000"/>
                <w:sz w:val="14"/>
                <w:szCs w:val="14"/>
              </w:rPr>
            </w:pPr>
          </w:p>
        </w:tc>
        <w:tc>
          <w:tcPr>
            <w:tcW w:w="1294" w:type="dxa"/>
            <w:vMerge/>
            <w:tcBorders>
              <w:left w:val="nil"/>
              <w:right w:val="nil"/>
            </w:tcBorders>
            <w:vAlign w:val="center"/>
          </w:tcPr>
          <w:p w14:paraId="3071099D" w14:textId="77777777" w:rsidR="004920D8" w:rsidRDefault="004920D8" w:rsidP="00DD3BAE">
            <w:pPr>
              <w:spacing w:before="0" w:after="0"/>
              <w:rPr>
                <w:color w:val="000000"/>
                <w:sz w:val="14"/>
                <w:szCs w:val="14"/>
              </w:rPr>
            </w:pPr>
          </w:p>
        </w:tc>
        <w:tc>
          <w:tcPr>
            <w:tcW w:w="1299" w:type="dxa"/>
            <w:vMerge/>
            <w:tcBorders>
              <w:left w:val="nil"/>
              <w:right w:val="nil"/>
            </w:tcBorders>
            <w:vAlign w:val="center"/>
          </w:tcPr>
          <w:p w14:paraId="7B8A8846" w14:textId="77777777" w:rsidR="004920D8" w:rsidRDefault="004920D8" w:rsidP="00DD3BAE">
            <w:pPr>
              <w:spacing w:before="0" w:after="0"/>
              <w:rPr>
                <w:color w:val="000000"/>
                <w:sz w:val="14"/>
                <w:szCs w:val="14"/>
              </w:rPr>
            </w:pPr>
          </w:p>
        </w:tc>
        <w:tc>
          <w:tcPr>
            <w:tcW w:w="1307" w:type="dxa"/>
            <w:tcBorders>
              <w:top w:val="single" w:sz="4" w:space="0" w:color="auto"/>
              <w:left w:val="nil"/>
              <w:bottom w:val="nil"/>
              <w:right w:val="nil"/>
            </w:tcBorders>
            <w:shd w:val="clear" w:color="auto" w:fill="F3F9FA"/>
            <w:vAlign w:val="center"/>
          </w:tcPr>
          <w:p w14:paraId="0C9AE722" w14:textId="77777777" w:rsidR="004920D8" w:rsidRDefault="004920D8" w:rsidP="00DD3BAE">
            <w:pPr>
              <w:spacing w:before="0" w:after="0"/>
              <w:rPr>
                <w:color w:val="000000"/>
                <w:sz w:val="14"/>
                <w:szCs w:val="14"/>
              </w:rPr>
            </w:pPr>
            <w:r>
              <w:rPr>
                <w:color w:val="000000"/>
                <w:sz w:val="14"/>
                <w:szCs w:val="14"/>
              </w:rPr>
              <w:t>Rockingham Bay</w:t>
            </w:r>
          </w:p>
        </w:tc>
        <w:tc>
          <w:tcPr>
            <w:tcW w:w="840" w:type="dxa"/>
            <w:tcBorders>
              <w:top w:val="single" w:sz="4" w:space="0" w:color="auto"/>
              <w:left w:val="nil"/>
              <w:bottom w:val="nil"/>
              <w:right w:val="nil"/>
            </w:tcBorders>
            <w:shd w:val="clear" w:color="auto" w:fill="F3F9FA"/>
            <w:noWrap/>
            <w:vAlign w:val="center"/>
          </w:tcPr>
          <w:p w14:paraId="2DA1C703" w14:textId="77777777" w:rsidR="004920D8" w:rsidRDefault="004920D8" w:rsidP="00DD3BAE">
            <w:pPr>
              <w:spacing w:before="0" w:after="0"/>
              <w:jc w:val="center"/>
              <w:rPr>
                <w:b/>
                <w:color w:val="000000"/>
                <w:sz w:val="14"/>
                <w:szCs w:val="14"/>
              </w:rPr>
            </w:pPr>
            <w:r>
              <w:rPr>
                <w:b/>
                <w:color w:val="000000"/>
                <w:sz w:val="14"/>
                <w:szCs w:val="14"/>
              </w:rPr>
              <w:t>GO1</w:t>
            </w:r>
          </w:p>
        </w:tc>
        <w:tc>
          <w:tcPr>
            <w:tcW w:w="555" w:type="dxa"/>
            <w:tcBorders>
              <w:top w:val="single" w:sz="4" w:space="0" w:color="auto"/>
              <w:left w:val="nil"/>
              <w:bottom w:val="nil"/>
              <w:right w:val="nil"/>
            </w:tcBorders>
            <w:shd w:val="clear" w:color="auto" w:fill="F3F9FA"/>
            <w:vAlign w:val="center"/>
          </w:tcPr>
          <w:p w14:paraId="325C98C1" w14:textId="77777777" w:rsidR="004920D8" w:rsidRDefault="004920D8" w:rsidP="00DD3BAE">
            <w:pPr>
              <w:spacing w:before="0" w:after="0"/>
              <w:jc w:val="center"/>
              <w:rPr>
                <w:color w:val="000000"/>
                <w:sz w:val="14"/>
                <w:szCs w:val="14"/>
              </w:rPr>
            </w:pPr>
            <w:r>
              <w:rPr>
                <w:color w:val="000000"/>
                <w:sz w:val="14"/>
                <w:szCs w:val="14"/>
              </w:rPr>
              <w:t>11</w:t>
            </w:r>
          </w:p>
        </w:tc>
        <w:tc>
          <w:tcPr>
            <w:tcW w:w="543" w:type="dxa"/>
            <w:tcBorders>
              <w:top w:val="single" w:sz="4" w:space="0" w:color="auto"/>
              <w:left w:val="nil"/>
              <w:bottom w:val="nil"/>
              <w:right w:val="nil"/>
            </w:tcBorders>
            <w:shd w:val="clear" w:color="auto" w:fill="F3F9FA"/>
            <w:noWrap/>
            <w:vAlign w:val="center"/>
          </w:tcPr>
          <w:p w14:paraId="255CF5B6" w14:textId="77777777" w:rsidR="004920D8" w:rsidRDefault="004920D8" w:rsidP="00DD3BAE">
            <w:pPr>
              <w:spacing w:before="0" w:after="0"/>
              <w:jc w:val="center"/>
              <w:rPr>
                <w:color w:val="000000"/>
                <w:sz w:val="14"/>
                <w:szCs w:val="14"/>
              </w:rPr>
            </w:pPr>
          </w:p>
        </w:tc>
        <w:tc>
          <w:tcPr>
            <w:tcW w:w="540" w:type="dxa"/>
            <w:tcBorders>
              <w:top w:val="single" w:sz="4" w:space="0" w:color="auto"/>
              <w:left w:val="nil"/>
              <w:bottom w:val="nil"/>
              <w:right w:val="nil"/>
            </w:tcBorders>
            <w:shd w:val="clear" w:color="auto" w:fill="F3F9FA"/>
            <w:noWrap/>
            <w:vAlign w:val="center"/>
          </w:tcPr>
          <w:p w14:paraId="7A4B1989" w14:textId="77777777" w:rsidR="004920D8" w:rsidRDefault="004920D8" w:rsidP="00DD3BAE">
            <w:pPr>
              <w:spacing w:before="0" w:after="0"/>
              <w:jc w:val="center"/>
              <w:rPr>
                <w:color w:val="000000"/>
                <w:sz w:val="14"/>
                <w:szCs w:val="14"/>
              </w:rPr>
            </w:pPr>
          </w:p>
        </w:tc>
        <w:tc>
          <w:tcPr>
            <w:tcW w:w="536" w:type="dxa"/>
            <w:tcBorders>
              <w:top w:val="single" w:sz="4" w:space="0" w:color="auto"/>
              <w:left w:val="nil"/>
              <w:bottom w:val="nil"/>
              <w:right w:val="nil"/>
            </w:tcBorders>
            <w:shd w:val="clear" w:color="auto" w:fill="F3F9FA"/>
            <w:vAlign w:val="center"/>
          </w:tcPr>
          <w:p w14:paraId="2E1F957B" w14:textId="77777777" w:rsidR="004920D8" w:rsidRDefault="004920D8" w:rsidP="00DD3BAE">
            <w:pPr>
              <w:spacing w:before="0" w:after="0"/>
              <w:jc w:val="center"/>
              <w:rPr>
                <w:color w:val="000000"/>
                <w:sz w:val="14"/>
                <w:szCs w:val="14"/>
              </w:rPr>
            </w:pPr>
          </w:p>
        </w:tc>
        <w:tc>
          <w:tcPr>
            <w:tcW w:w="540" w:type="dxa"/>
            <w:tcBorders>
              <w:top w:val="single" w:sz="4" w:space="0" w:color="auto"/>
              <w:left w:val="nil"/>
              <w:bottom w:val="nil"/>
              <w:right w:val="nil"/>
            </w:tcBorders>
            <w:shd w:val="clear" w:color="auto" w:fill="F3F9FA"/>
            <w:vAlign w:val="center"/>
          </w:tcPr>
          <w:p w14:paraId="0CB65B24" w14:textId="77777777" w:rsidR="004920D8" w:rsidRDefault="004920D8" w:rsidP="00DD3BAE">
            <w:pPr>
              <w:spacing w:before="0" w:after="0"/>
              <w:jc w:val="center"/>
              <w:rPr>
                <w:color w:val="000000"/>
                <w:sz w:val="14"/>
                <w:szCs w:val="14"/>
              </w:rPr>
            </w:pPr>
          </w:p>
        </w:tc>
        <w:tc>
          <w:tcPr>
            <w:tcW w:w="529" w:type="dxa"/>
            <w:tcBorders>
              <w:top w:val="single" w:sz="4" w:space="0" w:color="auto"/>
              <w:left w:val="nil"/>
              <w:bottom w:val="nil"/>
              <w:right w:val="nil"/>
            </w:tcBorders>
            <w:shd w:val="clear" w:color="auto" w:fill="F3F9FA"/>
            <w:vAlign w:val="center"/>
          </w:tcPr>
          <w:p w14:paraId="4AD3242F"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single" w:sz="4" w:space="0" w:color="auto"/>
            </w:tcBorders>
            <w:shd w:val="clear" w:color="auto" w:fill="F3F9FA"/>
            <w:vAlign w:val="center"/>
          </w:tcPr>
          <w:p w14:paraId="211FEA14"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bottom w:val="nil"/>
              <w:right w:val="nil"/>
            </w:tcBorders>
            <w:shd w:val="clear" w:color="auto" w:fill="F3F9FA"/>
            <w:vAlign w:val="center"/>
          </w:tcPr>
          <w:p w14:paraId="6063D449"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70D3D83F"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0A1BE007"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6A6E18D3"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1CBB3DE8" w14:textId="77777777" w:rsidR="004920D8" w:rsidRDefault="004920D8" w:rsidP="00DD3BAE">
            <w:pPr>
              <w:spacing w:before="0" w:after="0"/>
              <w:jc w:val="center"/>
              <w:rPr>
                <w:color w:val="000000"/>
                <w:sz w:val="14"/>
                <w:szCs w:val="14"/>
              </w:rPr>
            </w:pPr>
          </w:p>
        </w:tc>
        <w:tc>
          <w:tcPr>
            <w:tcW w:w="546" w:type="dxa"/>
            <w:tcBorders>
              <w:top w:val="single" w:sz="4" w:space="0" w:color="auto"/>
              <w:left w:val="nil"/>
              <w:bottom w:val="nil"/>
              <w:right w:val="nil"/>
            </w:tcBorders>
            <w:shd w:val="clear" w:color="auto" w:fill="F3F9FA"/>
            <w:vAlign w:val="center"/>
          </w:tcPr>
          <w:p w14:paraId="5642AC4B" w14:textId="77777777" w:rsidR="004920D8" w:rsidRDefault="004920D8" w:rsidP="00DD3BAE">
            <w:pPr>
              <w:spacing w:before="0" w:after="0"/>
              <w:jc w:val="center"/>
              <w:rPr>
                <w:color w:val="000000"/>
                <w:sz w:val="14"/>
                <w:szCs w:val="14"/>
              </w:rPr>
            </w:pPr>
          </w:p>
        </w:tc>
      </w:tr>
      <w:tr w:rsidR="004920D8" w14:paraId="4808AC73" w14:textId="77777777" w:rsidTr="00D64955">
        <w:trPr>
          <w:gridAfter w:val="1"/>
          <w:wAfter w:w="10" w:type="dxa"/>
          <w:cantSplit/>
          <w:trHeight w:val="170"/>
          <w:jc w:val="center"/>
        </w:trPr>
        <w:tc>
          <w:tcPr>
            <w:tcW w:w="1148" w:type="dxa"/>
            <w:vMerge/>
            <w:tcBorders>
              <w:left w:val="nil"/>
              <w:right w:val="nil"/>
            </w:tcBorders>
            <w:vAlign w:val="center"/>
          </w:tcPr>
          <w:p w14:paraId="51EDB25B" w14:textId="77777777" w:rsidR="004920D8" w:rsidRDefault="004920D8" w:rsidP="00DD3BAE">
            <w:pPr>
              <w:spacing w:before="0" w:after="0"/>
              <w:rPr>
                <w:color w:val="000000"/>
                <w:sz w:val="14"/>
                <w:szCs w:val="14"/>
              </w:rPr>
            </w:pPr>
          </w:p>
        </w:tc>
        <w:tc>
          <w:tcPr>
            <w:tcW w:w="1294" w:type="dxa"/>
            <w:vMerge/>
            <w:tcBorders>
              <w:left w:val="nil"/>
              <w:right w:val="nil"/>
            </w:tcBorders>
            <w:vAlign w:val="center"/>
          </w:tcPr>
          <w:p w14:paraId="26E02E9E" w14:textId="77777777" w:rsidR="004920D8" w:rsidRDefault="004920D8" w:rsidP="00DD3BAE">
            <w:pPr>
              <w:spacing w:before="0" w:after="0"/>
              <w:rPr>
                <w:color w:val="000000"/>
                <w:sz w:val="14"/>
                <w:szCs w:val="14"/>
              </w:rPr>
            </w:pPr>
          </w:p>
        </w:tc>
        <w:tc>
          <w:tcPr>
            <w:tcW w:w="1299" w:type="dxa"/>
            <w:vMerge/>
            <w:tcBorders>
              <w:left w:val="nil"/>
              <w:right w:val="nil"/>
            </w:tcBorders>
            <w:vAlign w:val="center"/>
          </w:tcPr>
          <w:p w14:paraId="016929E9"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right w:val="nil"/>
            </w:tcBorders>
            <w:shd w:val="clear" w:color="auto" w:fill="F3F9FA"/>
            <w:vAlign w:val="center"/>
          </w:tcPr>
          <w:p w14:paraId="3A798033" w14:textId="77777777" w:rsidR="004920D8" w:rsidRDefault="004920D8" w:rsidP="00DD3BAE">
            <w:pPr>
              <w:spacing w:before="0" w:after="0"/>
              <w:rPr>
                <w:color w:val="000000"/>
                <w:sz w:val="14"/>
                <w:szCs w:val="14"/>
              </w:rPr>
            </w:pPr>
            <w:r>
              <w:rPr>
                <w:color w:val="000000"/>
                <w:sz w:val="14"/>
                <w:szCs w:val="14"/>
              </w:rPr>
              <w:t>Missionary Bay</w:t>
            </w:r>
          </w:p>
        </w:tc>
        <w:tc>
          <w:tcPr>
            <w:tcW w:w="840" w:type="dxa"/>
            <w:tcBorders>
              <w:top w:val="single" w:sz="4" w:space="0" w:color="auto"/>
              <w:left w:val="nil"/>
              <w:right w:val="nil"/>
            </w:tcBorders>
            <w:shd w:val="clear" w:color="auto" w:fill="F3F9FA"/>
            <w:noWrap/>
            <w:vAlign w:val="center"/>
          </w:tcPr>
          <w:p w14:paraId="6237F2FA" w14:textId="77777777" w:rsidR="004920D8" w:rsidRDefault="004920D8" w:rsidP="00DD3BAE">
            <w:pPr>
              <w:spacing w:before="0" w:after="0"/>
              <w:jc w:val="center"/>
              <w:rPr>
                <w:b/>
                <w:color w:val="000000"/>
                <w:sz w:val="14"/>
                <w:szCs w:val="14"/>
              </w:rPr>
            </w:pPr>
            <w:r>
              <w:rPr>
                <w:b/>
                <w:color w:val="000000"/>
                <w:sz w:val="14"/>
                <w:szCs w:val="14"/>
              </w:rPr>
              <w:t>MS1^</w:t>
            </w:r>
          </w:p>
        </w:tc>
        <w:tc>
          <w:tcPr>
            <w:tcW w:w="555" w:type="dxa"/>
            <w:tcBorders>
              <w:top w:val="single" w:sz="4" w:space="0" w:color="auto"/>
              <w:left w:val="nil"/>
              <w:right w:val="nil"/>
            </w:tcBorders>
            <w:shd w:val="clear" w:color="auto" w:fill="F3F9FA"/>
            <w:vAlign w:val="center"/>
          </w:tcPr>
          <w:p w14:paraId="17714CF2" w14:textId="77777777" w:rsidR="004920D8" w:rsidRDefault="004920D8" w:rsidP="00DD3BAE">
            <w:pPr>
              <w:spacing w:before="0" w:after="0"/>
              <w:jc w:val="center"/>
              <w:rPr>
                <w:color w:val="000000"/>
                <w:sz w:val="14"/>
                <w:szCs w:val="14"/>
              </w:rPr>
            </w:pPr>
          </w:p>
        </w:tc>
        <w:tc>
          <w:tcPr>
            <w:tcW w:w="543" w:type="dxa"/>
            <w:tcBorders>
              <w:top w:val="single" w:sz="4" w:space="0" w:color="auto"/>
              <w:left w:val="nil"/>
              <w:right w:val="nil"/>
            </w:tcBorders>
            <w:shd w:val="clear" w:color="auto" w:fill="F3F9FA"/>
            <w:noWrap/>
            <w:vAlign w:val="center"/>
          </w:tcPr>
          <w:p w14:paraId="70A19782"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noWrap/>
            <w:vAlign w:val="center"/>
          </w:tcPr>
          <w:p w14:paraId="023E4DE4"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2B3EDA74"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254F5795"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6FDFA586"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F3F9FA"/>
            <w:vAlign w:val="center"/>
          </w:tcPr>
          <w:p w14:paraId="71DE00EF"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6CD6C962"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6F8987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9FE8579"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4531DD2"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3ABB0DF" w14:textId="77777777" w:rsidR="004920D8" w:rsidRDefault="004920D8" w:rsidP="00DD3BAE">
            <w:pPr>
              <w:spacing w:before="0" w:after="0"/>
              <w:jc w:val="center"/>
              <w:rPr>
                <w:color w:val="000000"/>
                <w:sz w:val="14"/>
                <w:szCs w:val="14"/>
              </w:rPr>
            </w:pPr>
          </w:p>
        </w:tc>
        <w:tc>
          <w:tcPr>
            <w:tcW w:w="546" w:type="dxa"/>
            <w:tcBorders>
              <w:top w:val="single" w:sz="4" w:space="0" w:color="auto"/>
              <w:left w:val="nil"/>
              <w:right w:val="nil"/>
            </w:tcBorders>
            <w:shd w:val="clear" w:color="auto" w:fill="F3F9FA"/>
            <w:vAlign w:val="center"/>
          </w:tcPr>
          <w:p w14:paraId="6CAD1B99" w14:textId="77777777" w:rsidR="004920D8" w:rsidRDefault="004920D8" w:rsidP="00DD3BAE">
            <w:pPr>
              <w:spacing w:before="0" w:after="0"/>
              <w:jc w:val="center"/>
              <w:rPr>
                <w:color w:val="000000"/>
                <w:sz w:val="14"/>
                <w:szCs w:val="14"/>
              </w:rPr>
            </w:pPr>
          </w:p>
        </w:tc>
      </w:tr>
      <w:tr w:rsidR="004920D8" w14:paraId="18B81BFE" w14:textId="77777777" w:rsidTr="00D64955">
        <w:trPr>
          <w:gridAfter w:val="1"/>
          <w:wAfter w:w="10" w:type="dxa"/>
          <w:cantSplit/>
          <w:trHeight w:val="170"/>
          <w:jc w:val="center"/>
        </w:trPr>
        <w:tc>
          <w:tcPr>
            <w:tcW w:w="1148" w:type="dxa"/>
            <w:vMerge/>
            <w:tcBorders>
              <w:left w:val="nil"/>
              <w:bottom w:val="nil"/>
              <w:right w:val="nil"/>
            </w:tcBorders>
            <w:vAlign w:val="center"/>
          </w:tcPr>
          <w:p w14:paraId="0FCC98F6" w14:textId="77777777" w:rsidR="004920D8" w:rsidRDefault="004920D8" w:rsidP="00DD3BAE">
            <w:pPr>
              <w:spacing w:before="0" w:after="0"/>
              <w:rPr>
                <w:color w:val="000000"/>
                <w:sz w:val="14"/>
                <w:szCs w:val="14"/>
              </w:rPr>
            </w:pPr>
          </w:p>
        </w:tc>
        <w:tc>
          <w:tcPr>
            <w:tcW w:w="1294" w:type="dxa"/>
            <w:vMerge/>
            <w:tcBorders>
              <w:left w:val="nil"/>
              <w:bottom w:val="nil"/>
              <w:right w:val="nil"/>
            </w:tcBorders>
            <w:vAlign w:val="center"/>
          </w:tcPr>
          <w:p w14:paraId="3714DF66" w14:textId="77777777" w:rsidR="004920D8" w:rsidRDefault="004920D8" w:rsidP="00DD3BAE">
            <w:pPr>
              <w:spacing w:before="0" w:after="0"/>
              <w:rPr>
                <w:color w:val="000000"/>
                <w:sz w:val="14"/>
                <w:szCs w:val="14"/>
              </w:rPr>
            </w:pPr>
          </w:p>
        </w:tc>
        <w:tc>
          <w:tcPr>
            <w:tcW w:w="1299" w:type="dxa"/>
            <w:vMerge/>
            <w:tcBorders>
              <w:left w:val="nil"/>
              <w:bottom w:val="nil"/>
              <w:right w:val="nil"/>
            </w:tcBorders>
            <w:vAlign w:val="center"/>
          </w:tcPr>
          <w:p w14:paraId="36CB1137" w14:textId="77777777" w:rsidR="004920D8" w:rsidRDefault="004920D8" w:rsidP="00DD3BAE">
            <w:pPr>
              <w:spacing w:before="0" w:after="0"/>
              <w:rPr>
                <w:color w:val="000000"/>
                <w:sz w:val="14"/>
                <w:szCs w:val="14"/>
              </w:rPr>
            </w:pPr>
          </w:p>
        </w:tc>
        <w:tc>
          <w:tcPr>
            <w:tcW w:w="1307" w:type="dxa"/>
            <w:vMerge/>
            <w:tcBorders>
              <w:left w:val="nil"/>
              <w:bottom w:val="nil"/>
              <w:right w:val="nil"/>
            </w:tcBorders>
            <w:shd w:val="clear" w:color="auto" w:fill="F3F9FA"/>
            <w:vAlign w:val="center"/>
          </w:tcPr>
          <w:p w14:paraId="2760378F"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tcPr>
          <w:p w14:paraId="314034DA" w14:textId="77777777" w:rsidR="004920D8" w:rsidRDefault="004920D8" w:rsidP="00DD3BAE">
            <w:pPr>
              <w:spacing w:before="0" w:after="0"/>
              <w:jc w:val="center"/>
              <w:rPr>
                <w:b/>
                <w:color w:val="000000"/>
                <w:sz w:val="14"/>
                <w:szCs w:val="14"/>
              </w:rPr>
            </w:pPr>
            <w:r>
              <w:rPr>
                <w:b/>
                <w:color w:val="000000"/>
                <w:sz w:val="14"/>
                <w:szCs w:val="14"/>
              </w:rPr>
              <w:t>MS2^</w:t>
            </w:r>
          </w:p>
        </w:tc>
        <w:tc>
          <w:tcPr>
            <w:tcW w:w="555" w:type="dxa"/>
            <w:tcBorders>
              <w:bottom w:val="nil"/>
            </w:tcBorders>
            <w:shd w:val="clear" w:color="auto" w:fill="F3F9FA"/>
            <w:vAlign w:val="center"/>
          </w:tcPr>
          <w:p w14:paraId="0738691D" w14:textId="77777777" w:rsidR="004920D8" w:rsidRDefault="004920D8" w:rsidP="00DD3BAE">
            <w:pPr>
              <w:spacing w:before="0" w:after="0"/>
              <w:jc w:val="center"/>
              <w:rPr>
                <w:color w:val="000000"/>
                <w:sz w:val="14"/>
                <w:szCs w:val="14"/>
              </w:rPr>
            </w:pPr>
          </w:p>
        </w:tc>
        <w:tc>
          <w:tcPr>
            <w:tcW w:w="543" w:type="dxa"/>
            <w:tcBorders>
              <w:bottom w:val="nil"/>
            </w:tcBorders>
            <w:shd w:val="clear" w:color="auto" w:fill="F3F9FA"/>
            <w:noWrap/>
            <w:vAlign w:val="center"/>
          </w:tcPr>
          <w:p w14:paraId="1A252FD1"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noWrap/>
            <w:vAlign w:val="center"/>
          </w:tcPr>
          <w:p w14:paraId="1FA813D5"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tcPr>
          <w:p w14:paraId="0E0DA0FB"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3BE5856A"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tcPr>
          <w:p w14:paraId="6F3C113E" w14:textId="77777777" w:rsidR="004920D8" w:rsidRDefault="004920D8" w:rsidP="00DD3BAE">
            <w:pPr>
              <w:spacing w:before="0" w:after="0"/>
              <w:jc w:val="center"/>
              <w:rPr>
                <w:color w:val="000000"/>
                <w:sz w:val="14"/>
                <w:szCs w:val="14"/>
              </w:rPr>
            </w:pPr>
          </w:p>
        </w:tc>
        <w:tc>
          <w:tcPr>
            <w:tcW w:w="559" w:type="dxa"/>
            <w:tcBorders>
              <w:bottom w:val="nil"/>
              <w:right w:val="single" w:sz="4" w:space="0" w:color="auto"/>
            </w:tcBorders>
            <w:shd w:val="clear" w:color="auto" w:fill="F3F9FA"/>
            <w:vAlign w:val="center"/>
          </w:tcPr>
          <w:p w14:paraId="6E6E5A47"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1A8A3F38"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44A810B3"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7E957632"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46E44DD5"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3F8AACFC" w14:textId="77777777" w:rsidR="004920D8" w:rsidRDefault="004920D8" w:rsidP="00DD3BAE">
            <w:pPr>
              <w:spacing w:before="0" w:after="0"/>
              <w:jc w:val="center"/>
              <w:rPr>
                <w:color w:val="000000"/>
                <w:sz w:val="14"/>
                <w:szCs w:val="14"/>
              </w:rPr>
            </w:pPr>
          </w:p>
        </w:tc>
        <w:tc>
          <w:tcPr>
            <w:tcW w:w="546" w:type="dxa"/>
            <w:tcBorders>
              <w:bottom w:val="nil"/>
              <w:right w:val="nil"/>
            </w:tcBorders>
            <w:shd w:val="clear" w:color="auto" w:fill="F3F9FA"/>
            <w:vAlign w:val="center"/>
          </w:tcPr>
          <w:p w14:paraId="461B19C3" w14:textId="77777777" w:rsidR="004920D8" w:rsidRDefault="004920D8" w:rsidP="00DD3BAE">
            <w:pPr>
              <w:spacing w:before="0" w:after="0"/>
              <w:jc w:val="center"/>
              <w:rPr>
                <w:color w:val="000000"/>
                <w:sz w:val="14"/>
                <w:szCs w:val="14"/>
              </w:rPr>
            </w:pPr>
          </w:p>
        </w:tc>
      </w:tr>
      <w:tr w:rsidR="004920D8" w14:paraId="103B6EE7" w14:textId="77777777" w:rsidTr="00D64955">
        <w:trPr>
          <w:gridAfter w:val="1"/>
          <w:wAfter w:w="10" w:type="dxa"/>
          <w:cantSplit/>
          <w:trHeight w:val="170"/>
          <w:jc w:val="center"/>
        </w:trPr>
        <w:tc>
          <w:tcPr>
            <w:tcW w:w="1148" w:type="dxa"/>
            <w:vMerge w:val="restart"/>
            <w:tcBorders>
              <w:top w:val="single" w:sz="4" w:space="0" w:color="auto"/>
              <w:left w:val="nil"/>
              <w:bottom w:val="nil"/>
              <w:right w:val="nil"/>
            </w:tcBorders>
            <w:noWrap/>
            <w:vAlign w:val="center"/>
            <w:hideMark/>
          </w:tcPr>
          <w:p w14:paraId="6A16A40E" w14:textId="77777777" w:rsidR="004920D8" w:rsidRDefault="004920D8" w:rsidP="00DD3BAE">
            <w:pPr>
              <w:spacing w:before="0" w:after="0"/>
              <w:jc w:val="center"/>
              <w:rPr>
                <w:color w:val="000000"/>
                <w:sz w:val="14"/>
                <w:szCs w:val="14"/>
              </w:rPr>
            </w:pPr>
            <w:r>
              <w:rPr>
                <w:color w:val="000000"/>
                <w:sz w:val="14"/>
                <w:szCs w:val="14"/>
              </w:rPr>
              <w:t>Central</w:t>
            </w:r>
          </w:p>
        </w:tc>
        <w:tc>
          <w:tcPr>
            <w:tcW w:w="1294" w:type="dxa"/>
            <w:vMerge w:val="restart"/>
            <w:tcBorders>
              <w:top w:val="single" w:sz="4" w:space="0" w:color="auto"/>
              <w:left w:val="nil"/>
              <w:bottom w:val="single" w:sz="4" w:space="0" w:color="auto"/>
              <w:right w:val="nil"/>
            </w:tcBorders>
            <w:shd w:val="clear" w:color="auto" w:fill="E7F3F4"/>
            <w:noWrap/>
            <w:vAlign w:val="center"/>
            <w:hideMark/>
          </w:tcPr>
          <w:p w14:paraId="01A0A38D" w14:textId="77777777" w:rsidR="004920D8" w:rsidRDefault="004920D8" w:rsidP="00DD3BAE">
            <w:pPr>
              <w:spacing w:before="0" w:after="0"/>
              <w:jc w:val="center"/>
              <w:rPr>
                <w:color w:val="000000"/>
                <w:sz w:val="14"/>
                <w:szCs w:val="14"/>
              </w:rPr>
            </w:pPr>
            <w:r>
              <w:rPr>
                <w:color w:val="000000"/>
                <w:sz w:val="14"/>
                <w:szCs w:val="14"/>
              </w:rPr>
              <w:t>Burdekin</w:t>
            </w:r>
          </w:p>
        </w:tc>
        <w:tc>
          <w:tcPr>
            <w:tcW w:w="1299" w:type="dxa"/>
            <w:vMerge w:val="restart"/>
            <w:tcBorders>
              <w:top w:val="single" w:sz="4" w:space="0" w:color="auto"/>
              <w:left w:val="nil"/>
              <w:bottom w:val="nil"/>
              <w:right w:val="nil"/>
            </w:tcBorders>
            <w:shd w:val="clear" w:color="auto" w:fill="E7F3F4"/>
            <w:vAlign w:val="center"/>
            <w:hideMark/>
          </w:tcPr>
          <w:p w14:paraId="0AAF125F" w14:textId="77777777" w:rsidR="004920D8" w:rsidRDefault="004920D8" w:rsidP="00DD3BAE">
            <w:pPr>
              <w:spacing w:before="0" w:after="0"/>
              <w:jc w:val="center"/>
              <w:rPr>
                <w:color w:val="000000"/>
                <w:sz w:val="14"/>
                <w:szCs w:val="14"/>
              </w:rPr>
            </w:pPr>
            <w:r>
              <w:rPr>
                <w:color w:val="000000"/>
                <w:sz w:val="14"/>
                <w:szCs w:val="14"/>
              </w:rPr>
              <w:t>Ross / Burdekin</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79607830" w14:textId="77777777" w:rsidR="004920D8" w:rsidRDefault="004920D8" w:rsidP="00DD3BAE">
            <w:pPr>
              <w:spacing w:before="0" w:after="0"/>
              <w:jc w:val="center"/>
              <w:rPr>
                <w:i/>
                <w:iCs/>
                <w:color w:val="000000"/>
                <w:sz w:val="14"/>
                <w:szCs w:val="14"/>
              </w:rPr>
            </w:pPr>
            <w:r>
              <w:rPr>
                <w:color w:val="000000"/>
                <w:sz w:val="14"/>
                <w:szCs w:val="14"/>
              </w:rPr>
              <w:t>Magnetic Island</w:t>
            </w:r>
          </w:p>
        </w:tc>
        <w:tc>
          <w:tcPr>
            <w:tcW w:w="840" w:type="dxa"/>
            <w:tcBorders>
              <w:top w:val="single" w:sz="4" w:space="0" w:color="auto"/>
              <w:left w:val="nil"/>
              <w:right w:val="nil"/>
            </w:tcBorders>
            <w:shd w:val="clear" w:color="auto" w:fill="E7F3F4"/>
            <w:noWrap/>
            <w:vAlign w:val="center"/>
            <w:hideMark/>
          </w:tcPr>
          <w:p w14:paraId="04EFBF31" w14:textId="77777777" w:rsidR="004920D8" w:rsidRDefault="004920D8" w:rsidP="00DD3BAE">
            <w:pPr>
              <w:spacing w:before="0" w:after="0"/>
              <w:jc w:val="center"/>
              <w:rPr>
                <w:b/>
                <w:color w:val="000000"/>
                <w:sz w:val="14"/>
                <w:szCs w:val="14"/>
              </w:rPr>
            </w:pPr>
            <w:r>
              <w:rPr>
                <w:b/>
                <w:color w:val="000000"/>
                <w:sz w:val="14"/>
                <w:szCs w:val="14"/>
              </w:rPr>
              <w:t>MI1</w:t>
            </w:r>
          </w:p>
        </w:tc>
        <w:tc>
          <w:tcPr>
            <w:tcW w:w="555" w:type="dxa"/>
            <w:tcBorders>
              <w:top w:val="single" w:sz="4" w:space="0" w:color="auto"/>
              <w:left w:val="nil"/>
              <w:right w:val="nil"/>
            </w:tcBorders>
            <w:shd w:val="clear" w:color="auto" w:fill="E7F3F4"/>
            <w:vAlign w:val="center"/>
            <w:hideMark/>
          </w:tcPr>
          <w:p w14:paraId="7C866C53"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4BF6AED4"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519DCC76"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2DB9B5B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87D081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7FAB652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vAlign w:val="center"/>
          </w:tcPr>
          <w:p w14:paraId="6D54F929"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hideMark/>
          </w:tcPr>
          <w:p w14:paraId="6FE7924D"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21E49048"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587FDAD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3BFA7AC3"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134467D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424FF374" w14:textId="77777777" w:rsidR="004920D8" w:rsidRDefault="004920D8" w:rsidP="00DD3BAE">
            <w:pPr>
              <w:spacing w:before="0" w:after="0"/>
              <w:jc w:val="center"/>
              <w:rPr>
                <w:color w:val="000000"/>
                <w:sz w:val="14"/>
                <w:szCs w:val="14"/>
              </w:rPr>
            </w:pPr>
          </w:p>
        </w:tc>
      </w:tr>
      <w:tr w:rsidR="004920D8" w14:paraId="644435A8"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31A4B84"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32CFD840"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6AA7EC29"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471BC3BA" w14:textId="77777777" w:rsidR="004920D8" w:rsidRDefault="004920D8" w:rsidP="00DD3BAE">
            <w:pPr>
              <w:spacing w:before="0" w:after="0"/>
              <w:rPr>
                <w:i/>
                <w:iCs/>
                <w:color w:val="000000"/>
                <w:sz w:val="14"/>
                <w:szCs w:val="14"/>
              </w:rPr>
            </w:pPr>
          </w:p>
        </w:tc>
        <w:tc>
          <w:tcPr>
            <w:tcW w:w="840" w:type="dxa"/>
            <w:tcBorders>
              <w:left w:val="nil"/>
            </w:tcBorders>
            <w:shd w:val="clear" w:color="auto" w:fill="E7F3F4"/>
            <w:noWrap/>
            <w:vAlign w:val="center"/>
            <w:hideMark/>
          </w:tcPr>
          <w:p w14:paraId="0F308074" w14:textId="77777777" w:rsidR="004920D8" w:rsidRDefault="004920D8" w:rsidP="00DD3BAE">
            <w:pPr>
              <w:spacing w:before="0" w:after="0"/>
              <w:jc w:val="center"/>
              <w:rPr>
                <w:b/>
                <w:color w:val="000000"/>
                <w:sz w:val="14"/>
                <w:szCs w:val="14"/>
              </w:rPr>
            </w:pPr>
            <w:r>
              <w:rPr>
                <w:b/>
                <w:color w:val="000000"/>
                <w:sz w:val="14"/>
                <w:szCs w:val="14"/>
              </w:rPr>
              <w:t>MI2</w:t>
            </w:r>
          </w:p>
        </w:tc>
        <w:tc>
          <w:tcPr>
            <w:tcW w:w="555" w:type="dxa"/>
            <w:shd w:val="clear" w:color="auto" w:fill="E7F3F4"/>
            <w:vAlign w:val="center"/>
            <w:hideMark/>
          </w:tcPr>
          <w:p w14:paraId="52BC995D" w14:textId="77777777" w:rsidR="004920D8" w:rsidRDefault="004920D8" w:rsidP="00DD3BAE">
            <w:pPr>
              <w:spacing w:before="0" w:after="0"/>
              <w:jc w:val="center"/>
              <w:rPr>
                <w:color w:val="000000"/>
                <w:sz w:val="14"/>
                <w:szCs w:val="14"/>
              </w:rPr>
            </w:pPr>
            <w:r>
              <w:rPr>
                <w:color w:val="000000"/>
                <w:sz w:val="14"/>
                <w:szCs w:val="14"/>
              </w:rPr>
              <w:t>33</w:t>
            </w:r>
          </w:p>
        </w:tc>
        <w:tc>
          <w:tcPr>
            <w:tcW w:w="543" w:type="dxa"/>
            <w:shd w:val="clear" w:color="auto" w:fill="E7F3F4"/>
            <w:noWrap/>
            <w:vAlign w:val="center"/>
            <w:hideMark/>
          </w:tcPr>
          <w:p w14:paraId="2854599B" w14:textId="77777777" w:rsidR="004920D8" w:rsidRDefault="004920D8" w:rsidP="00DD3BAE">
            <w:pPr>
              <w:spacing w:before="0" w:after="0"/>
              <w:jc w:val="center"/>
              <w:rPr>
                <w:color w:val="000000"/>
                <w:sz w:val="14"/>
                <w:szCs w:val="14"/>
              </w:rPr>
            </w:pPr>
            <w:r>
              <w:rPr>
                <w:color w:val="000000"/>
                <w:sz w:val="14"/>
                <w:szCs w:val="14"/>
              </w:rPr>
              <w:t>30</w:t>
            </w:r>
          </w:p>
        </w:tc>
        <w:tc>
          <w:tcPr>
            <w:tcW w:w="540" w:type="dxa"/>
            <w:shd w:val="clear" w:color="auto" w:fill="E7F3F4"/>
            <w:noWrap/>
            <w:vAlign w:val="center"/>
            <w:hideMark/>
          </w:tcPr>
          <w:p w14:paraId="46FE5A76" w14:textId="77777777" w:rsidR="004920D8" w:rsidRDefault="004920D8" w:rsidP="00DD3BAE">
            <w:pPr>
              <w:spacing w:before="0" w:after="0"/>
              <w:jc w:val="center"/>
              <w:rPr>
                <w:color w:val="000000"/>
                <w:sz w:val="14"/>
                <w:szCs w:val="14"/>
              </w:rPr>
            </w:pPr>
            <w:r>
              <w:rPr>
                <w:color w:val="000000"/>
                <w:sz w:val="14"/>
                <w:szCs w:val="14"/>
              </w:rPr>
              <w:t>3</w:t>
            </w:r>
          </w:p>
        </w:tc>
        <w:tc>
          <w:tcPr>
            <w:tcW w:w="536" w:type="dxa"/>
            <w:shd w:val="clear" w:color="auto" w:fill="E7F3F4"/>
            <w:vAlign w:val="center"/>
            <w:hideMark/>
          </w:tcPr>
          <w:p w14:paraId="26E141D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shd w:val="clear" w:color="auto" w:fill="E7F3F4"/>
            <w:vAlign w:val="center"/>
            <w:hideMark/>
          </w:tcPr>
          <w:p w14:paraId="2AA71724" w14:textId="77777777" w:rsidR="004920D8" w:rsidRDefault="004920D8" w:rsidP="00DD3BAE">
            <w:pPr>
              <w:spacing w:before="0" w:after="0"/>
              <w:jc w:val="center"/>
              <w:rPr>
                <w:color w:val="000000"/>
                <w:sz w:val="14"/>
                <w:szCs w:val="14"/>
              </w:rPr>
            </w:pPr>
            <w:r>
              <w:rPr>
                <w:color w:val="000000"/>
                <w:sz w:val="14"/>
                <w:szCs w:val="14"/>
              </w:rPr>
              <w:t>15</w:t>
            </w:r>
          </w:p>
        </w:tc>
        <w:tc>
          <w:tcPr>
            <w:tcW w:w="529" w:type="dxa"/>
            <w:shd w:val="clear" w:color="auto" w:fill="E7F3F4"/>
            <w:vAlign w:val="center"/>
            <w:hideMark/>
          </w:tcPr>
          <w:p w14:paraId="672F919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right w:val="single" w:sz="4" w:space="0" w:color="auto"/>
            </w:tcBorders>
            <w:shd w:val="clear" w:color="auto" w:fill="E7F3F4"/>
            <w:vAlign w:val="center"/>
            <w:hideMark/>
          </w:tcPr>
          <w:p w14:paraId="26F18C6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tcBorders>
            <w:shd w:val="clear" w:color="auto" w:fill="E7F3F4"/>
            <w:vAlign w:val="center"/>
            <w:hideMark/>
          </w:tcPr>
          <w:p w14:paraId="1BA3FB86" w14:textId="77777777" w:rsidR="004920D8" w:rsidRDefault="004920D8" w:rsidP="00DD3BAE">
            <w:pPr>
              <w:spacing w:before="0" w:after="0"/>
              <w:jc w:val="center"/>
              <w:rPr>
                <w:color w:val="000000"/>
                <w:sz w:val="14"/>
                <w:szCs w:val="14"/>
              </w:rPr>
            </w:pPr>
            <w:r>
              <w:rPr>
                <w:color w:val="000000"/>
                <w:sz w:val="14"/>
                <w:szCs w:val="14"/>
              </w:rPr>
              <w:t>33</w:t>
            </w:r>
          </w:p>
        </w:tc>
        <w:tc>
          <w:tcPr>
            <w:tcW w:w="559" w:type="dxa"/>
            <w:shd w:val="clear" w:color="auto" w:fill="E7F3F4"/>
            <w:vAlign w:val="center"/>
            <w:hideMark/>
          </w:tcPr>
          <w:p w14:paraId="7CF50EAE" w14:textId="77777777" w:rsidR="004920D8" w:rsidRDefault="004920D8" w:rsidP="00DD3BAE">
            <w:pPr>
              <w:spacing w:before="0" w:after="0"/>
              <w:jc w:val="center"/>
              <w:rPr>
                <w:color w:val="000000"/>
                <w:sz w:val="14"/>
                <w:szCs w:val="14"/>
              </w:rPr>
            </w:pPr>
            <w:r>
              <w:rPr>
                <w:color w:val="000000"/>
                <w:sz w:val="14"/>
                <w:szCs w:val="14"/>
              </w:rPr>
              <w:t>30</w:t>
            </w:r>
          </w:p>
        </w:tc>
        <w:tc>
          <w:tcPr>
            <w:tcW w:w="559" w:type="dxa"/>
            <w:shd w:val="clear" w:color="auto" w:fill="E7F3F4"/>
            <w:vAlign w:val="center"/>
            <w:hideMark/>
          </w:tcPr>
          <w:p w14:paraId="6041229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shd w:val="clear" w:color="auto" w:fill="E7F3F4"/>
            <w:vAlign w:val="center"/>
            <w:hideMark/>
          </w:tcPr>
          <w:p w14:paraId="3DD904F3" w14:textId="77777777" w:rsidR="004920D8" w:rsidRDefault="004920D8" w:rsidP="00DD3BAE">
            <w:pPr>
              <w:spacing w:before="0" w:after="0"/>
              <w:jc w:val="center"/>
              <w:rPr>
                <w:color w:val="000000"/>
                <w:sz w:val="14"/>
                <w:szCs w:val="14"/>
              </w:rPr>
            </w:pPr>
            <w:r>
              <w:rPr>
                <w:color w:val="000000"/>
                <w:sz w:val="14"/>
                <w:szCs w:val="14"/>
              </w:rPr>
              <w:t>15</w:t>
            </w:r>
          </w:p>
        </w:tc>
        <w:tc>
          <w:tcPr>
            <w:tcW w:w="559" w:type="dxa"/>
            <w:shd w:val="clear" w:color="auto" w:fill="E7F3F4"/>
            <w:vAlign w:val="center"/>
            <w:hideMark/>
          </w:tcPr>
          <w:p w14:paraId="499FAF0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right w:val="nil"/>
            </w:tcBorders>
            <w:shd w:val="clear" w:color="auto" w:fill="E7F3F4"/>
            <w:vAlign w:val="center"/>
            <w:hideMark/>
          </w:tcPr>
          <w:p w14:paraId="0E0B5839"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1E49E965"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27CB5BA7"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3F87E58B"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5B7DD119"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04CB907D" w14:textId="77777777" w:rsidR="004920D8" w:rsidRDefault="004920D8" w:rsidP="00DD3BAE">
            <w:pPr>
              <w:spacing w:before="0" w:after="0"/>
              <w:rPr>
                <w:i/>
                <w:iCs/>
                <w:color w:val="000000"/>
                <w:sz w:val="14"/>
                <w:szCs w:val="14"/>
              </w:rPr>
            </w:pPr>
          </w:p>
        </w:tc>
        <w:tc>
          <w:tcPr>
            <w:tcW w:w="840" w:type="dxa"/>
            <w:tcBorders>
              <w:left w:val="nil"/>
              <w:bottom w:val="nil"/>
            </w:tcBorders>
            <w:shd w:val="clear" w:color="auto" w:fill="E7F3F4"/>
            <w:noWrap/>
            <w:vAlign w:val="center"/>
            <w:hideMark/>
          </w:tcPr>
          <w:p w14:paraId="1072CE2D" w14:textId="77777777" w:rsidR="004920D8" w:rsidRDefault="004920D8" w:rsidP="00DD3BAE">
            <w:pPr>
              <w:spacing w:before="0" w:after="0"/>
              <w:jc w:val="center"/>
              <w:rPr>
                <w:b/>
                <w:color w:val="000000"/>
                <w:sz w:val="14"/>
                <w:szCs w:val="14"/>
              </w:rPr>
            </w:pPr>
            <w:r>
              <w:rPr>
                <w:b/>
                <w:color w:val="000000"/>
                <w:sz w:val="14"/>
                <w:szCs w:val="14"/>
              </w:rPr>
              <w:t>MI3^</w:t>
            </w:r>
          </w:p>
        </w:tc>
        <w:tc>
          <w:tcPr>
            <w:tcW w:w="555" w:type="dxa"/>
            <w:tcBorders>
              <w:bottom w:val="nil"/>
            </w:tcBorders>
            <w:shd w:val="clear" w:color="auto" w:fill="E7F3F4"/>
            <w:vAlign w:val="center"/>
            <w:hideMark/>
          </w:tcPr>
          <w:p w14:paraId="1F5C41C2"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315365CD"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67753765"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16DB1A4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6E8CB21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26983BE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hideMark/>
          </w:tcPr>
          <w:p w14:paraId="393FAF6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hideMark/>
          </w:tcPr>
          <w:p w14:paraId="5B3957D0"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41EAAC64"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62E44C6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6B53B740"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05A9F60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64514ED3"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016A09EC"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48B7B05"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45FB328D"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50CF2CDB"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36F89B09" w14:textId="77777777" w:rsidR="004920D8" w:rsidRDefault="004920D8" w:rsidP="00DD3BAE">
            <w:pPr>
              <w:spacing w:before="0" w:after="0"/>
              <w:jc w:val="center"/>
              <w:rPr>
                <w:color w:val="000000"/>
                <w:sz w:val="14"/>
                <w:szCs w:val="14"/>
              </w:rPr>
            </w:pPr>
            <w:r>
              <w:rPr>
                <w:color w:val="000000"/>
                <w:sz w:val="14"/>
                <w:szCs w:val="14"/>
              </w:rPr>
              <w:t>Townsville</w:t>
            </w:r>
          </w:p>
        </w:tc>
        <w:tc>
          <w:tcPr>
            <w:tcW w:w="840" w:type="dxa"/>
            <w:tcBorders>
              <w:top w:val="single" w:sz="4" w:space="0" w:color="auto"/>
              <w:left w:val="nil"/>
              <w:right w:val="nil"/>
            </w:tcBorders>
            <w:shd w:val="clear" w:color="auto" w:fill="E7F3F4"/>
            <w:noWrap/>
            <w:vAlign w:val="center"/>
            <w:hideMark/>
          </w:tcPr>
          <w:p w14:paraId="7A607B10" w14:textId="77777777" w:rsidR="004920D8" w:rsidRDefault="004920D8" w:rsidP="00DD3BAE">
            <w:pPr>
              <w:spacing w:before="0" w:after="0"/>
              <w:jc w:val="center"/>
              <w:rPr>
                <w:b/>
                <w:color w:val="000000"/>
                <w:sz w:val="14"/>
                <w:szCs w:val="14"/>
              </w:rPr>
            </w:pPr>
            <w:r>
              <w:rPr>
                <w:b/>
                <w:color w:val="000000"/>
                <w:sz w:val="14"/>
                <w:szCs w:val="14"/>
              </w:rPr>
              <w:t>SB1</w:t>
            </w:r>
          </w:p>
        </w:tc>
        <w:tc>
          <w:tcPr>
            <w:tcW w:w="555" w:type="dxa"/>
            <w:tcBorders>
              <w:top w:val="single" w:sz="4" w:space="0" w:color="auto"/>
              <w:left w:val="nil"/>
              <w:right w:val="nil"/>
            </w:tcBorders>
            <w:shd w:val="clear" w:color="auto" w:fill="E7F3F4"/>
            <w:vAlign w:val="center"/>
            <w:hideMark/>
          </w:tcPr>
          <w:p w14:paraId="625E0A00"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4CB27F23"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76C43315"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5FE8B6D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7DBC67CB"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3FE6CE5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vAlign w:val="center"/>
          </w:tcPr>
          <w:p w14:paraId="148668D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E7F3F4"/>
            <w:vAlign w:val="center"/>
            <w:hideMark/>
          </w:tcPr>
          <w:p w14:paraId="0370273F"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009E3F08"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51E4D0A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522559BB"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7DF02FA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0261EA66"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23E52D9B"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5C0B656C"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tcPr>
          <w:p w14:paraId="3C3EC409"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tcPr>
          <w:p w14:paraId="4EF351E7"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shd w:val="clear" w:color="auto" w:fill="E7F3F4"/>
            <w:noWrap/>
            <w:vAlign w:val="center"/>
          </w:tcPr>
          <w:p w14:paraId="6799F371" w14:textId="77777777" w:rsidR="004920D8" w:rsidRDefault="004920D8" w:rsidP="00DD3BAE">
            <w:pPr>
              <w:spacing w:before="0" w:after="0"/>
              <w:jc w:val="center"/>
              <w:rPr>
                <w:color w:val="000000"/>
                <w:sz w:val="14"/>
                <w:szCs w:val="14"/>
              </w:rPr>
            </w:pPr>
          </w:p>
        </w:tc>
        <w:tc>
          <w:tcPr>
            <w:tcW w:w="840" w:type="dxa"/>
            <w:tcBorders>
              <w:left w:val="nil"/>
              <w:bottom w:val="nil"/>
            </w:tcBorders>
            <w:shd w:val="clear" w:color="auto" w:fill="E7F3F4"/>
            <w:noWrap/>
            <w:vAlign w:val="center"/>
          </w:tcPr>
          <w:p w14:paraId="181D1ECE" w14:textId="77777777" w:rsidR="004920D8" w:rsidRDefault="004920D8" w:rsidP="00DD3BAE">
            <w:pPr>
              <w:spacing w:before="0" w:after="0"/>
              <w:jc w:val="center"/>
              <w:rPr>
                <w:b/>
                <w:color w:val="000000"/>
                <w:sz w:val="14"/>
                <w:szCs w:val="14"/>
              </w:rPr>
            </w:pPr>
            <w:r>
              <w:rPr>
                <w:b/>
                <w:color w:val="000000"/>
                <w:sz w:val="14"/>
                <w:szCs w:val="14"/>
              </w:rPr>
              <w:t>SB2</w:t>
            </w:r>
          </w:p>
        </w:tc>
        <w:tc>
          <w:tcPr>
            <w:tcW w:w="555" w:type="dxa"/>
            <w:tcBorders>
              <w:bottom w:val="nil"/>
            </w:tcBorders>
            <w:shd w:val="clear" w:color="auto" w:fill="E7F3F4"/>
            <w:vAlign w:val="center"/>
          </w:tcPr>
          <w:p w14:paraId="303375C4"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tcPr>
          <w:p w14:paraId="4139AB22"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tcPr>
          <w:p w14:paraId="5C670367"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E7F3F4"/>
            <w:vAlign w:val="center"/>
          </w:tcPr>
          <w:p w14:paraId="76FA6E44"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E7F3F4"/>
            <w:vAlign w:val="center"/>
          </w:tcPr>
          <w:p w14:paraId="00651D78"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E7F3F4"/>
            <w:vAlign w:val="center"/>
          </w:tcPr>
          <w:p w14:paraId="4228345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tcPr>
          <w:p w14:paraId="1B6C22AE"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E7F3F4"/>
            <w:vAlign w:val="center"/>
          </w:tcPr>
          <w:p w14:paraId="1E7B3CDD"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tcPr>
          <w:p w14:paraId="78DAA0FB"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tcPr>
          <w:p w14:paraId="765EADF3"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29442B5B"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E7F3F4"/>
            <w:vAlign w:val="center"/>
          </w:tcPr>
          <w:p w14:paraId="3740011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tcPr>
          <w:p w14:paraId="2D760687" w14:textId="77777777" w:rsidR="004920D8" w:rsidRDefault="004920D8" w:rsidP="00DD3BAE">
            <w:pPr>
              <w:spacing w:before="0" w:after="0"/>
              <w:jc w:val="center"/>
              <w:rPr>
                <w:color w:val="000000"/>
                <w:sz w:val="14"/>
                <w:szCs w:val="14"/>
              </w:rPr>
            </w:pPr>
          </w:p>
        </w:tc>
      </w:tr>
      <w:tr w:rsidR="004920D8" w14:paraId="4F6B4EDB"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2A134E81"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41B7715F"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3585206E"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4F39EA69" w14:textId="77777777" w:rsidR="004920D8" w:rsidRDefault="004920D8" w:rsidP="00DD3BAE">
            <w:pPr>
              <w:spacing w:before="0" w:after="0"/>
              <w:rPr>
                <w:color w:val="000000"/>
                <w:sz w:val="14"/>
                <w:szCs w:val="14"/>
              </w:rPr>
            </w:pPr>
          </w:p>
        </w:tc>
        <w:tc>
          <w:tcPr>
            <w:tcW w:w="840" w:type="dxa"/>
            <w:tcBorders>
              <w:left w:val="nil"/>
              <w:bottom w:val="nil"/>
            </w:tcBorders>
            <w:shd w:val="clear" w:color="auto" w:fill="E7F3F4"/>
            <w:noWrap/>
            <w:vAlign w:val="center"/>
            <w:hideMark/>
          </w:tcPr>
          <w:p w14:paraId="7BE29ECC" w14:textId="77777777" w:rsidR="004920D8" w:rsidRDefault="004920D8" w:rsidP="00DD3BAE">
            <w:pPr>
              <w:spacing w:before="0" w:after="0"/>
              <w:jc w:val="center"/>
              <w:rPr>
                <w:b/>
                <w:color w:val="000000"/>
                <w:sz w:val="14"/>
                <w:szCs w:val="14"/>
              </w:rPr>
            </w:pPr>
            <w:r>
              <w:rPr>
                <w:b/>
                <w:color w:val="000000"/>
                <w:sz w:val="14"/>
                <w:szCs w:val="14"/>
              </w:rPr>
              <w:t>BB1</w:t>
            </w:r>
          </w:p>
        </w:tc>
        <w:tc>
          <w:tcPr>
            <w:tcW w:w="555" w:type="dxa"/>
            <w:tcBorders>
              <w:bottom w:val="nil"/>
            </w:tcBorders>
            <w:shd w:val="clear" w:color="auto" w:fill="E7F3F4"/>
            <w:vAlign w:val="center"/>
            <w:hideMark/>
          </w:tcPr>
          <w:p w14:paraId="3FF30473"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68FE91DB"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092E75D9"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566BBFE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7EADD1FD"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6D5DC54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hideMark/>
          </w:tcPr>
          <w:p w14:paraId="4166241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hideMark/>
          </w:tcPr>
          <w:p w14:paraId="0682499D"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4F4ED0AB"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1DA818A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54C65AB1"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58920F9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766D0525"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14DFF23B"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2BD0F7B"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0A07DF6B"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6B12B767"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E7F3F4"/>
            <w:noWrap/>
            <w:vAlign w:val="center"/>
            <w:hideMark/>
          </w:tcPr>
          <w:p w14:paraId="4812D8B6" w14:textId="77777777" w:rsidR="004920D8" w:rsidRDefault="004920D8" w:rsidP="00DD3BAE">
            <w:pPr>
              <w:spacing w:before="0" w:after="0"/>
              <w:jc w:val="center"/>
              <w:rPr>
                <w:color w:val="000000"/>
                <w:sz w:val="14"/>
                <w:szCs w:val="14"/>
              </w:rPr>
            </w:pPr>
            <w:r>
              <w:rPr>
                <w:color w:val="000000"/>
                <w:sz w:val="14"/>
                <w:szCs w:val="14"/>
              </w:rPr>
              <w:t>Bowling Green Bay</w:t>
            </w:r>
          </w:p>
        </w:tc>
        <w:tc>
          <w:tcPr>
            <w:tcW w:w="840" w:type="dxa"/>
            <w:tcBorders>
              <w:top w:val="single" w:sz="4" w:space="0" w:color="auto"/>
              <w:left w:val="nil"/>
              <w:right w:val="nil"/>
            </w:tcBorders>
            <w:shd w:val="clear" w:color="auto" w:fill="E7F3F4"/>
            <w:noWrap/>
            <w:vAlign w:val="center"/>
            <w:hideMark/>
          </w:tcPr>
          <w:p w14:paraId="1610A658" w14:textId="77777777" w:rsidR="004920D8" w:rsidRDefault="004920D8" w:rsidP="00DD3BAE">
            <w:pPr>
              <w:spacing w:before="0" w:after="0"/>
              <w:jc w:val="center"/>
              <w:rPr>
                <w:b/>
                <w:color w:val="000000"/>
                <w:sz w:val="14"/>
                <w:szCs w:val="14"/>
              </w:rPr>
            </w:pPr>
            <w:r>
              <w:rPr>
                <w:b/>
                <w:color w:val="000000"/>
                <w:sz w:val="14"/>
                <w:szCs w:val="14"/>
              </w:rPr>
              <w:t>JR1</w:t>
            </w:r>
          </w:p>
        </w:tc>
        <w:tc>
          <w:tcPr>
            <w:tcW w:w="555" w:type="dxa"/>
            <w:tcBorders>
              <w:top w:val="single" w:sz="4" w:space="0" w:color="auto"/>
              <w:left w:val="nil"/>
              <w:right w:val="nil"/>
            </w:tcBorders>
            <w:shd w:val="clear" w:color="auto" w:fill="E7F3F4"/>
            <w:vAlign w:val="center"/>
            <w:hideMark/>
          </w:tcPr>
          <w:p w14:paraId="17CA4AD9"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46A6283F"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6F62C250"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3AC5779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488BCEF"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4CC4ECB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vAlign w:val="center"/>
            <w:hideMark/>
          </w:tcPr>
          <w:p w14:paraId="39B95AA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E7F3F4"/>
            <w:vAlign w:val="center"/>
            <w:hideMark/>
          </w:tcPr>
          <w:p w14:paraId="16D6B6E5"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463331F4"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3510316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494465D5"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60036A4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hideMark/>
          </w:tcPr>
          <w:p w14:paraId="7E120893"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339525E1"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E5C7A9A"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6CD8567C"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427ACCA8"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C0A1B60" w14:textId="77777777" w:rsidR="004920D8" w:rsidRDefault="004920D8" w:rsidP="00DD3BAE">
            <w:pPr>
              <w:spacing w:before="0" w:after="0"/>
              <w:rPr>
                <w:color w:val="000000"/>
                <w:sz w:val="14"/>
                <w:szCs w:val="14"/>
              </w:rPr>
            </w:pPr>
          </w:p>
        </w:tc>
        <w:tc>
          <w:tcPr>
            <w:tcW w:w="840" w:type="dxa"/>
            <w:tcBorders>
              <w:left w:val="nil"/>
              <w:bottom w:val="nil"/>
            </w:tcBorders>
            <w:shd w:val="clear" w:color="auto" w:fill="E7F3F4"/>
            <w:noWrap/>
            <w:vAlign w:val="center"/>
            <w:hideMark/>
          </w:tcPr>
          <w:p w14:paraId="2AC9239E" w14:textId="77777777" w:rsidR="004920D8" w:rsidRDefault="004920D8" w:rsidP="00DD3BAE">
            <w:pPr>
              <w:spacing w:before="0" w:after="0"/>
              <w:jc w:val="center"/>
              <w:rPr>
                <w:b/>
                <w:color w:val="000000"/>
                <w:sz w:val="14"/>
                <w:szCs w:val="14"/>
              </w:rPr>
            </w:pPr>
            <w:r>
              <w:rPr>
                <w:b/>
                <w:color w:val="000000"/>
                <w:sz w:val="14"/>
                <w:szCs w:val="14"/>
              </w:rPr>
              <w:t>JR2</w:t>
            </w:r>
          </w:p>
        </w:tc>
        <w:tc>
          <w:tcPr>
            <w:tcW w:w="555" w:type="dxa"/>
            <w:tcBorders>
              <w:bottom w:val="nil"/>
            </w:tcBorders>
            <w:shd w:val="clear" w:color="auto" w:fill="E7F3F4"/>
            <w:vAlign w:val="center"/>
            <w:hideMark/>
          </w:tcPr>
          <w:p w14:paraId="0168340D"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15A18D6C"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71BB32A3"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35928AB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51E07B80"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2BEEC25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tcPr>
          <w:p w14:paraId="01A2E345"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E7F3F4"/>
            <w:vAlign w:val="center"/>
            <w:hideMark/>
          </w:tcPr>
          <w:p w14:paraId="60F5891C"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4699D61B"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16B7B46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2091CC03"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144C3FB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tcPr>
          <w:p w14:paraId="4C354B43" w14:textId="77777777" w:rsidR="004920D8" w:rsidRDefault="004920D8" w:rsidP="00DD3BAE">
            <w:pPr>
              <w:spacing w:before="0" w:after="0"/>
              <w:jc w:val="center"/>
              <w:rPr>
                <w:color w:val="000000"/>
                <w:sz w:val="14"/>
                <w:szCs w:val="14"/>
              </w:rPr>
            </w:pPr>
          </w:p>
        </w:tc>
      </w:tr>
      <w:tr w:rsidR="004920D8" w14:paraId="3F744B61"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BDAE8B9" w14:textId="77777777" w:rsidR="004920D8" w:rsidRDefault="004920D8" w:rsidP="00DD3BAE">
            <w:pPr>
              <w:spacing w:before="0" w:after="0"/>
              <w:rPr>
                <w:color w:val="000000"/>
                <w:sz w:val="14"/>
                <w:szCs w:val="14"/>
              </w:rPr>
            </w:pPr>
          </w:p>
        </w:tc>
        <w:tc>
          <w:tcPr>
            <w:tcW w:w="1294" w:type="dxa"/>
            <w:vMerge w:val="restart"/>
            <w:tcBorders>
              <w:top w:val="single" w:sz="4" w:space="0" w:color="auto"/>
              <w:left w:val="nil"/>
              <w:right w:val="nil"/>
            </w:tcBorders>
            <w:shd w:val="clear" w:color="auto" w:fill="F3F9FA"/>
            <w:noWrap/>
            <w:vAlign w:val="center"/>
          </w:tcPr>
          <w:p w14:paraId="181F060F" w14:textId="77777777" w:rsidR="004920D8" w:rsidRDefault="004920D8" w:rsidP="00DD3BAE">
            <w:pPr>
              <w:spacing w:before="0" w:after="0"/>
              <w:jc w:val="center"/>
              <w:rPr>
                <w:color w:val="000000"/>
                <w:sz w:val="14"/>
                <w:szCs w:val="14"/>
              </w:rPr>
            </w:pPr>
            <w:r>
              <w:rPr>
                <w:color w:val="000000"/>
                <w:sz w:val="14"/>
                <w:szCs w:val="14"/>
              </w:rPr>
              <w:t>Mackay</w:t>
            </w:r>
          </w:p>
          <w:p w14:paraId="793822DF" w14:textId="77777777" w:rsidR="004920D8" w:rsidRDefault="004920D8" w:rsidP="00DD3BAE">
            <w:pPr>
              <w:spacing w:before="0" w:after="0"/>
              <w:jc w:val="center"/>
              <w:rPr>
                <w:color w:val="000000"/>
                <w:sz w:val="14"/>
                <w:szCs w:val="14"/>
              </w:rPr>
            </w:pPr>
            <w:r>
              <w:rPr>
                <w:color w:val="000000"/>
                <w:sz w:val="14"/>
                <w:szCs w:val="14"/>
              </w:rPr>
              <w:t>Whitsunday</w:t>
            </w:r>
          </w:p>
        </w:tc>
        <w:tc>
          <w:tcPr>
            <w:tcW w:w="1299" w:type="dxa"/>
            <w:vMerge w:val="restart"/>
            <w:tcBorders>
              <w:top w:val="single" w:sz="4" w:space="0" w:color="auto"/>
              <w:left w:val="nil"/>
              <w:right w:val="nil"/>
            </w:tcBorders>
            <w:shd w:val="clear" w:color="auto" w:fill="F3F9FA"/>
            <w:vAlign w:val="center"/>
          </w:tcPr>
          <w:p w14:paraId="799EB267" w14:textId="77777777" w:rsidR="004920D8" w:rsidRDefault="004920D8" w:rsidP="00DD3BAE">
            <w:pPr>
              <w:spacing w:before="0" w:after="0"/>
              <w:jc w:val="center"/>
              <w:rPr>
                <w:color w:val="000000"/>
                <w:sz w:val="14"/>
                <w:szCs w:val="14"/>
              </w:rPr>
            </w:pPr>
            <w:r>
              <w:rPr>
                <w:color w:val="000000"/>
                <w:sz w:val="14"/>
                <w:szCs w:val="14"/>
              </w:rPr>
              <w:t>Don</w:t>
            </w:r>
          </w:p>
        </w:tc>
        <w:tc>
          <w:tcPr>
            <w:tcW w:w="1307" w:type="dxa"/>
            <w:vMerge w:val="restart"/>
            <w:tcBorders>
              <w:top w:val="single" w:sz="4" w:space="0" w:color="auto"/>
              <w:left w:val="nil"/>
              <w:right w:val="nil"/>
            </w:tcBorders>
            <w:shd w:val="clear" w:color="auto" w:fill="F3F9FA"/>
            <w:noWrap/>
            <w:vAlign w:val="center"/>
          </w:tcPr>
          <w:p w14:paraId="582F211D" w14:textId="77777777" w:rsidR="004920D8" w:rsidRDefault="004920D8" w:rsidP="00DD3BAE">
            <w:pPr>
              <w:spacing w:before="0" w:after="0"/>
              <w:jc w:val="center"/>
              <w:rPr>
                <w:color w:val="000000"/>
                <w:sz w:val="14"/>
                <w:szCs w:val="14"/>
              </w:rPr>
            </w:pPr>
            <w:r>
              <w:rPr>
                <w:color w:val="000000"/>
                <w:sz w:val="14"/>
                <w:szCs w:val="14"/>
              </w:rPr>
              <w:t>Shoal Bay</w:t>
            </w:r>
          </w:p>
        </w:tc>
        <w:tc>
          <w:tcPr>
            <w:tcW w:w="840" w:type="dxa"/>
            <w:tcBorders>
              <w:top w:val="single" w:sz="4" w:space="0" w:color="auto"/>
              <w:left w:val="nil"/>
              <w:right w:val="nil"/>
            </w:tcBorders>
            <w:shd w:val="clear" w:color="auto" w:fill="F3F9FA"/>
            <w:noWrap/>
            <w:vAlign w:val="center"/>
          </w:tcPr>
          <w:p w14:paraId="23162D94" w14:textId="77777777" w:rsidR="004920D8" w:rsidRDefault="004920D8" w:rsidP="00DD3BAE">
            <w:pPr>
              <w:spacing w:before="0" w:after="0"/>
              <w:jc w:val="center"/>
              <w:rPr>
                <w:b/>
                <w:color w:val="000000"/>
                <w:sz w:val="14"/>
                <w:szCs w:val="14"/>
              </w:rPr>
            </w:pPr>
            <w:r>
              <w:rPr>
                <w:b/>
                <w:color w:val="000000"/>
                <w:sz w:val="14"/>
                <w:szCs w:val="14"/>
              </w:rPr>
              <w:t>HB1</w:t>
            </w:r>
          </w:p>
        </w:tc>
        <w:tc>
          <w:tcPr>
            <w:tcW w:w="555" w:type="dxa"/>
            <w:tcBorders>
              <w:top w:val="single" w:sz="4" w:space="0" w:color="auto"/>
              <w:left w:val="nil"/>
              <w:right w:val="nil"/>
            </w:tcBorders>
            <w:shd w:val="clear" w:color="auto" w:fill="F3F9FA"/>
            <w:vAlign w:val="center"/>
          </w:tcPr>
          <w:p w14:paraId="24DF4AA7"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253FB1E0"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1797A39D"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2F6C6B38"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6D5A0B1F"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3269A4E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19E87A34"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06A4E487"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7EDFB507"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6730D144"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6D9042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E804B7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7ADB05A4" w14:textId="77777777" w:rsidR="004920D8" w:rsidRDefault="004920D8" w:rsidP="00DD3BAE">
            <w:pPr>
              <w:spacing w:before="0" w:after="0"/>
              <w:jc w:val="center"/>
              <w:rPr>
                <w:color w:val="000000"/>
                <w:sz w:val="14"/>
                <w:szCs w:val="14"/>
              </w:rPr>
            </w:pPr>
          </w:p>
        </w:tc>
      </w:tr>
      <w:tr w:rsidR="004920D8" w14:paraId="7E52D707"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6B7CAA2B" w14:textId="77777777" w:rsidR="004920D8" w:rsidRDefault="004920D8" w:rsidP="00DD3BAE">
            <w:pPr>
              <w:spacing w:before="0" w:after="0"/>
              <w:rPr>
                <w:color w:val="000000"/>
                <w:sz w:val="14"/>
                <w:szCs w:val="14"/>
              </w:rPr>
            </w:pPr>
          </w:p>
        </w:tc>
        <w:tc>
          <w:tcPr>
            <w:tcW w:w="1294" w:type="dxa"/>
            <w:vMerge/>
            <w:tcBorders>
              <w:left w:val="nil"/>
              <w:right w:val="nil"/>
            </w:tcBorders>
            <w:shd w:val="clear" w:color="auto" w:fill="F3F9FA"/>
            <w:noWrap/>
            <w:vAlign w:val="center"/>
          </w:tcPr>
          <w:p w14:paraId="28991CF9" w14:textId="77777777" w:rsidR="004920D8" w:rsidRDefault="004920D8" w:rsidP="00DD3BAE">
            <w:pPr>
              <w:spacing w:before="0" w:after="0"/>
              <w:jc w:val="center"/>
              <w:rPr>
                <w:color w:val="000000"/>
                <w:sz w:val="14"/>
                <w:szCs w:val="14"/>
              </w:rPr>
            </w:pPr>
          </w:p>
        </w:tc>
        <w:tc>
          <w:tcPr>
            <w:tcW w:w="1299" w:type="dxa"/>
            <w:vMerge/>
            <w:tcBorders>
              <w:left w:val="nil"/>
              <w:bottom w:val="nil"/>
              <w:right w:val="nil"/>
            </w:tcBorders>
            <w:shd w:val="clear" w:color="auto" w:fill="F3F9FA"/>
            <w:vAlign w:val="center"/>
          </w:tcPr>
          <w:p w14:paraId="14F93EEC" w14:textId="77777777" w:rsidR="004920D8" w:rsidRDefault="004920D8" w:rsidP="00DD3BAE">
            <w:pPr>
              <w:spacing w:before="0" w:after="0"/>
              <w:jc w:val="center"/>
              <w:rPr>
                <w:color w:val="000000"/>
                <w:sz w:val="14"/>
                <w:szCs w:val="14"/>
              </w:rPr>
            </w:pPr>
          </w:p>
        </w:tc>
        <w:tc>
          <w:tcPr>
            <w:tcW w:w="1307" w:type="dxa"/>
            <w:vMerge/>
            <w:tcBorders>
              <w:left w:val="nil"/>
              <w:bottom w:val="nil"/>
              <w:right w:val="nil"/>
            </w:tcBorders>
            <w:shd w:val="clear" w:color="auto" w:fill="F3F9FA"/>
            <w:noWrap/>
            <w:vAlign w:val="center"/>
          </w:tcPr>
          <w:p w14:paraId="38EF9BA2" w14:textId="77777777" w:rsidR="004920D8" w:rsidRDefault="004920D8" w:rsidP="00DD3BAE">
            <w:pPr>
              <w:spacing w:before="0" w:after="0"/>
              <w:jc w:val="center"/>
              <w:rPr>
                <w:color w:val="000000"/>
                <w:sz w:val="14"/>
                <w:szCs w:val="14"/>
              </w:rPr>
            </w:pPr>
          </w:p>
        </w:tc>
        <w:tc>
          <w:tcPr>
            <w:tcW w:w="840" w:type="dxa"/>
            <w:tcBorders>
              <w:left w:val="nil"/>
              <w:bottom w:val="nil"/>
            </w:tcBorders>
            <w:shd w:val="clear" w:color="auto" w:fill="F3F9FA"/>
            <w:noWrap/>
            <w:vAlign w:val="center"/>
          </w:tcPr>
          <w:p w14:paraId="5B325CA8" w14:textId="77777777" w:rsidR="004920D8" w:rsidRDefault="004920D8" w:rsidP="00DD3BAE">
            <w:pPr>
              <w:spacing w:before="0" w:after="0"/>
              <w:jc w:val="center"/>
              <w:rPr>
                <w:b/>
                <w:color w:val="000000"/>
                <w:sz w:val="14"/>
                <w:szCs w:val="14"/>
              </w:rPr>
            </w:pPr>
            <w:r>
              <w:rPr>
                <w:b/>
                <w:color w:val="000000"/>
                <w:sz w:val="14"/>
                <w:szCs w:val="14"/>
              </w:rPr>
              <w:t>HB2</w:t>
            </w:r>
          </w:p>
        </w:tc>
        <w:tc>
          <w:tcPr>
            <w:tcW w:w="555" w:type="dxa"/>
            <w:tcBorders>
              <w:bottom w:val="nil"/>
            </w:tcBorders>
            <w:shd w:val="clear" w:color="auto" w:fill="F3F9FA"/>
            <w:vAlign w:val="center"/>
          </w:tcPr>
          <w:p w14:paraId="36198BD3"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0D15DB9F"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1A971E8F"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tcPr>
          <w:p w14:paraId="327C057A"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5AEAF5A1"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tcPr>
          <w:p w14:paraId="02DE194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1D7D6376"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6E5D5A18"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0E562C5B"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1AF04640"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0EC3B8A7"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058FA96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73617F05" w14:textId="77777777" w:rsidR="004920D8" w:rsidRDefault="004920D8" w:rsidP="00DD3BAE">
            <w:pPr>
              <w:spacing w:before="0" w:after="0"/>
              <w:jc w:val="center"/>
              <w:rPr>
                <w:color w:val="000000"/>
                <w:sz w:val="14"/>
                <w:szCs w:val="14"/>
              </w:rPr>
            </w:pPr>
          </w:p>
        </w:tc>
      </w:tr>
      <w:tr w:rsidR="004920D8" w14:paraId="75B9F2AF"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4B101D41" w14:textId="77777777" w:rsidR="004920D8" w:rsidRDefault="004920D8" w:rsidP="00DD3BAE">
            <w:pPr>
              <w:spacing w:before="0" w:after="0"/>
              <w:rPr>
                <w:color w:val="000000"/>
                <w:sz w:val="14"/>
                <w:szCs w:val="14"/>
              </w:rPr>
            </w:pPr>
          </w:p>
        </w:tc>
        <w:tc>
          <w:tcPr>
            <w:tcW w:w="1294" w:type="dxa"/>
            <w:vMerge/>
            <w:tcBorders>
              <w:left w:val="nil"/>
              <w:right w:val="nil"/>
            </w:tcBorders>
            <w:shd w:val="clear" w:color="auto" w:fill="F3F9FA"/>
            <w:noWrap/>
            <w:vAlign w:val="center"/>
          </w:tcPr>
          <w:p w14:paraId="443F2E3D" w14:textId="77777777" w:rsidR="004920D8" w:rsidRDefault="004920D8" w:rsidP="00DD3BAE">
            <w:pPr>
              <w:spacing w:before="0" w:after="0"/>
              <w:jc w:val="center"/>
              <w:rPr>
                <w:color w:val="000000"/>
                <w:sz w:val="14"/>
                <w:szCs w:val="14"/>
              </w:rPr>
            </w:pPr>
          </w:p>
        </w:tc>
        <w:tc>
          <w:tcPr>
            <w:tcW w:w="1299" w:type="dxa"/>
            <w:vMerge w:val="restart"/>
            <w:tcBorders>
              <w:top w:val="single" w:sz="4" w:space="0" w:color="auto"/>
              <w:left w:val="nil"/>
              <w:right w:val="nil"/>
            </w:tcBorders>
            <w:shd w:val="clear" w:color="auto" w:fill="F3F9FA"/>
            <w:vAlign w:val="center"/>
          </w:tcPr>
          <w:p w14:paraId="46DDBC04" w14:textId="77777777" w:rsidR="004920D8" w:rsidRDefault="004920D8" w:rsidP="00DD3BAE">
            <w:pPr>
              <w:spacing w:before="0" w:after="0"/>
              <w:jc w:val="center"/>
              <w:rPr>
                <w:color w:val="000000"/>
                <w:sz w:val="14"/>
                <w:szCs w:val="14"/>
              </w:rPr>
            </w:pPr>
            <w:r>
              <w:rPr>
                <w:color w:val="000000"/>
                <w:sz w:val="14"/>
                <w:szCs w:val="14"/>
              </w:rPr>
              <w:t>Proserpine</w:t>
            </w:r>
          </w:p>
        </w:tc>
        <w:tc>
          <w:tcPr>
            <w:tcW w:w="1307" w:type="dxa"/>
            <w:vMerge w:val="restart"/>
            <w:tcBorders>
              <w:top w:val="single" w:sz="4" w:space="0" w:color="auto"/>
              <w:left w:val="nil"/>
              <w:right w:val="nil"/>
            </w:tcBorders>
            <w:shd w:val="clear" w:color="auto" w:fill="F3F9FA"/>
            <w:noWrap/>
            <w:vAlign w:val="center"/>
          </w:tcPr>
          <w:p w14:paraId="4382C7D6" w14:textId="77777777" w:rsidR="004920D8" w:rsidRDefault="004920D8" w:rsidP="00DD3BAE">
            <w:pPr>
              <w:spacing w:before="0" w:after="0"/>
              <w:jc w:val="center"/>
              <w:rPr>
                <w:color w:val="000000"/>
                <w:sz w:val="14"/>
                <w:szCs w:val="14"/>
              </w:rPr>
            </w:pPr>
            <w:r>
              <w:rPr>
                <w:color w:val="000000"/>
                <w:sz w:val="14"/>
                <w:szCs w:val="14"/>
              </w:rPr>
              <w:t>Pioneer Bay</w:t>
            </w:r>
          </w:p>
        </w:tc>
        <w:tc>
          <w:tcPr>
            <w:tcW w:w="840" w:type="dxa"/>
            <w:tcBorders>
              <w:top w:val="single" w:sz="4" w:space="0" w:color="auto"/>
              <w:left w:val="nil"/>
              <w:right w:val="nil"/>
            </w:tcBorders>
            <w:shd w:val="clear" w:color="auto" w:fill="F3F9FA"/>
            <w:noWrap/>
            <w:vAlign w:val="center"/>
          </w:tcPr>
          <w:p w14:paraId="0B39232E" w14:textId="77777777" w:rsidR="004920D8" w:rsidRDefault="004920D8" w:rsidP="00DD3BAE">
            <w:pPr>
              <w:spacing w:before="0" w:after="0"/>
              <w:jc w:val="center"/>
              <w:rPr>
                <w:b/>
                <w:color w:val="000000"/>
                <w:sz w:val="14"/>
                <w:szCs w:val="14"/>
              </w:rPr>
            </w:pPr>
            <w:r>
              <w:rPr>
                <w:b/>
                <w:color w:val="000000"/>
                <w:sz w:val="14"/>
                <w:szCs w:val="14"/>
              </w:rPr>
              <w:t>PI2</w:t>
            </w:r>
          </w:p>
        </w:tc>
        <w:tc>
          <w:tcPr>
            <w:tcW w:w="555" w:type="dxa"/>
            <w:tcBorders>
              <w:top w:val="single" w:sz="4" w:space="0" w:color="auto"/>
              <w:left w:val="nil"/>
              <w:right w:val="nil"/>
            </w:tcBorders>
            <w:shd w:val="clear" w:color="auto" w:fill="F3F9FA"/>
            <w:vAlign w:val="center"/>
          </w:tcPr>
          <w:p w14:paraId="2A07454C"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73FA472D"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63898FFE"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2F65ECD9"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743C180C"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40736EA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2769FFD3"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288809BC"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tcPr>
          <w:p w14:paraId="05EA4119"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tcPr>
          <w:p w14:paraId="06D020B8"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7983F501"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65B101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7E85FFF9" w14:textId="77777777" w:rsidR="004920D8" w:rsidRDefault="004920D8" w:rsidP="00DD3BAE">
            <w:pPr>
              <w:spacing w:before="0" w:after="0"/>
              <w:jc w:val="center"/>
              <w:rPr>
                <w:color w:val="000000"/>
                <w:sz w:val="14"/>
                <w:szCs w:val="14"/>
              </w:rPr>
            </w:pPr>
          </w:p>
        </w:tc>
      </w:tr>
      <w:tr w:rsidR="004920D8" w14:paraId="108519F7"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9A00DE5" w14:textId="77777777" w:rsidR="004920D8" w:rsidRDefault="004920D8" w:rsidP="00DD3BAE">
            <w:pPr>
              <w:spacing w:before="0" w:after="0"/>
              <w:rPr>
                <w:color w:val="000000"/>
                <w:sz w:val="14"/>
                <w:szCs w:val="14"/>
              </w:rPr>
            </w:pPr>
          </w:p>
        </w:tc>
        <w:tc>
          <w:tcPr>
            <w:tcW w:w="1294" w:type="dxa"/>
            <w:vMerge/>
            <w:tcBorders>
              <w:left w:val="nil"/>
              <w:right w:val="nil"/>
            </w:tcBorders>
            <w:shd w:val="clear" w:color="auto" w:fill="F3F9FA"/>
            <w:noWrap/>
            <w:vAlign w:val="center"/>
          </w:tcPr>
          <w:p w14:paraId="0C4200CE" w14:textId="77777777" w:rsidR="004920D8" w:rsidRDefault="004920D8" w:rsidP="00DD3BAE">
            <w:pPr>
              <w:spacing w:before="0" w:after="0"/>
              <w:jc w:val="center"/>
              <w:rPr>
                <w:color w:val="000000"/>
                <w:sz w:val="14"/>
                <w:szCs w:val="14"/>
              </w:rPr>
            </w:pPr>
          </w:p>
        </w:tc>
        <w:tc>
          <w:tcPr>
            <w:tcW w:w="1299" w:type="dxa"/>
            <w:vMerge/>
            <w:tcBorders>
              <w:left w:val="nil"/>
              <w:bottom w:val="nil"/>
              <w:right w:val="nil"/>
            </w:tcBorders>
            <w:shd w:val="clear" w:color="auto" w:fill="F3F9FA"/>
            <w:vAlign w:val="center"/>
          </w:tcPr>
          <w:p w14:paraId="5B25A6FE" w14:textId="77777777" w:rsidR="004920D8" w:rsidRDefault="004920D8" w:rsidP="00DD3BAE">
            <w:pPr>
              <w:spacing w:before="0" w:after="0"/>
              <w:jc w:val="center"/>
              <w:rPr>
                <w:color w:val="000000"/>
                <w:sz w:val="14"/>
                <w:szCs w:val="14"/>
              </w:rPr>
            </w:pPr>
          </w:p>
        </w:tc>
        <w:tc>
          <w:tcPr>
            <w:tcW w:w="1307" w:type="dxa"/>
            <w:vMerge/>
            <w:tcBorders>
              <w:left w:val="nil"/>
              <w:bottom w:val="nil"/>
              <w:right w:val="nil"/>
            </w:tcBorders>
            <w:shd w:val="clear" w:color="auto" w:fill="F3F9FA"/>
            <w:noWrap/>
            <w:vAlign w:val="center"/>
          </w:tcPr>
          <w:p w14:paraId="4E84350A" w14:textId="77777777" w:rsidR="004920D8" w:rsidRDefault="004920D8" w:rsidP="00DD3BAE">
            <w:pPr>
              <w:spacing w:before="0" w:after="0"/>
              <w:jc w:val="center"/>
              <w:rPr>
                <w:color w:val="000000"/>
                <w:sz w:val="14"/>
                <w:szCs w:val="14"/>
              </w:rPr>
            </w:pPr>
          </w:p>
        </w:tc>
        <w:tc>
          <w:tcPr>
            <w:tcW w:w="840" w:type="dxa"/>
            <w:tcBorders>
              <w:left w:val="nil"/>
              <w:bottom w:val="nil"/>
            </w:tcBorders>
            <w:shd w:val="clear" w:color="auto" w:fill="F3F9FA"/>
            <w:noWrap/>
            <w:vAlign w:val="center"/>
          </w:tcPr>
          <w:p w14:paraId="40F3A782" w14:textId="77777777" w:rsidR="004920D8" w:rsidRDefault="004920D8" w:rsidP="00DD3BAE">
            <w:pPr>
              <w:spacing w:before="0" w:after="0"/>
              <w:jc w:val="center"/>
              <w:rPr>
                <w:b/>
                <w:color w:val="000000"/>
                <w:sz w:val="14"/>
                <w:szCs w:val="14"/>
              </w:rPr>
            </w:pPr>
            <w:r>
              <w:rPr>
                <w:b/>
                <w:color w:val="000000"/>
                <w:sz w:val="14"/>
                <w:szCs w:val="14"/>
              </w:rPr>
              <w:t>PI3</w:t>
            </w:r>
          </w:p>
        </w:tc>
        <w:tc>
          <w:tcPr>
            <w:tcW w:w="555" w:type="dxa"/>
            <w:tcBorders>
              <w:bottom w:val="nil"/>
            </w:tcBorders>
            <w:shd w:val="clear" w:color="auto" w:fill="F3F9FA"/>
            <w:vAlign w:val="center"/>
          </w:tcPr>
          <w:p w14:paraId="5E6E0F20"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3F4723DA"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27374B3F"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tcPr>
          <w:p w14:paraId="0F4E7CB1"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51124CBE"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tcPr>
          <w:p w14:paraId="461708F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7CBEB8F3"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3BCA3358"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tcPr>
          <w:p w14:paraId="5720948E"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tcPr>
          <w:p w14:paraId="17EFE068"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6880C0EF"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2E7671C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10F7E126" w14:textId="77777777" w:rsidR="004920D8" w:rsidRDefault="004920D8" w:rsidP="00DD3BAE">
            <w:pPr>
              <w:spacing w:before="0" w:after="0"/>
              <w:jc w:val="center"/>
              <w:rPr>
                <w:color w:val="000000"/>
                <w:sz w:val="14"/>
                <w:szCs w:val="14"/>
              </w:rPr>
            </w:pPr>
          </w:p>
        </w:tc>
      </w:tr>
      <w:tr w:rsidR="004920D8" w14:paraId="085A4415"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D41E42F" w14:textId="77777777" w:rsidR="004920D8" w:rsidRDefault="004920D8" w:rsidP="00DD3BAE">
            <w:pPr>
              <w:spacing w:before="0" w:after="0"/>
              <w:rPr>
                <w:color w:val="000000"/>
                <w:sz w:val="14"/>
                <w:szCs w:val="14"/>
              </w:rPr>
            </w:pPr>
          </w:p>
        </w:tc>
        <w:tc>
          <w:tcPr>
            <w:tcW w:w="1294" w:type="dxa"/>
            <w:vMerge/>
            <w:tcBorders>
              <w:left w:val="nil"/>
              <w:right w:val="nil"/>
            </w:tcBorders>
            <w:shd w:val="clear" w:color="auto" w:fill="F3F9FA"/>
            <w:noWrap/>
            <w:vAlign w:val="center"/>
            <w:hideMark/>
          </w:tcPr>
          <w:p w14:paraId="43DBB58B" w14:textId="77777777" w:rsidR="004920D8" w:rsidRDefault="004920D8" w:rsidP="00DD3BAE">
            <w:pPr>
              <w:spacing w:before="0" w:after="0"/>
              <w:jc w:val="center"/>
              <w:rPr>
                <w:color w:val="000000"/>
                <w:sz w:val="14"/>
                <w:szCs w:val="14"/>
              </w:rPr>
            </w:pPr>
          </w:p>
        </w:tc>
        <w:tc>
          <w:tcPr>
            <w:tcW w:w="1299" w:type="dxa"/>
            <w:vMerge w:val="restart"/>
            <w:tcBorders>
              <w:top w:val="single" w:sz="4" w:space="0" w:color="auto"/>
              <w:left w:val="nil"/>
              <w:right w:val="nil"/>
            </w:tcBorders>
            <w:shd w:val="clear" w:color="auto" w:fill="F3F9FA"/>
            <w:vAlign w:val="center"/>
            <w:hideMark/>
          </w:tcPr>
          <w:p w14:paraId="5ED0607F" w14:textId="77777777" w:rsidR="004920D8" w:rsidRDefault="004920D8" w:rsidP="00DD3BAE">
            <w:pPr>
              <w:spacing w:before="0" w:after="0"/>
              <w:jc w:val="center"/>
              <w:rPr>
                <w:color w:val="000000"/>
                <w:sz w:val="14"/>
                <w:szCs w:val="14"/>
              </w:rPr>
            </w:pPr>
            <w:r>
              <w:rPr>
                <w:color w:val="000000"/>
                <w:sz w:val="14"/>
                <w:szCs w:val="14"/>
              </w:rPr>
              <w:t>Proserpine / O’Connell</w:t>
            </w:r>
          </w:p>
        </w:tc>
        <w:tc>
          <w:tcPr>
            <w:tcW w:w="1307" w:type="dxa"/>
            <w:vMerge w:val="restart"/>
            <w:tcBorders>
              <w:top w:val="single" w:sz="4" w:space="0" w:color="auto"/>
              <w:left w:val="nil"/>
              <w:bottom w:val="nil"/>
              <w:right w:val="nil"/>
            </w:tcBorders>
            <w:shd w:val="clear" w:color="auto" w:fill="F3F9FA"/>
            <w:noWrap/>
            <w:vAlign w:val="center"/>
            <w:hideMark/>
          </w:tcPr>
          <w:p w14:paraId="7B12E184" w14:textId="77777777" w:rsidR="004920D8" w:rsidRDefault="004920D8" w:rsidP="00DD3BAE">
            <w:pPr>
              <w:spacing w:before="0" w:after="0"/>
              <w:jc w:val="center"/>
              <w:rPr>
                <w:color w:val="000000"/>
                <w:sz w:val="14"/>
                <w:szCs w:val="14"/>
              </w:rPr>
            </w:pPr>
            <w:r>
              <w:rPr>
                <w:color w:val="000000"/>
                <w:sz w:val="14"/>
                <w:szCs w:val="14"/>
              </w:rPr>
              <w:t>Repulse Bay</w:t>
            </w:r>
          </w:p>
        </w:tc>
        <w:tc>
          <w:tcPr>
            <w:tcW w:w="840" w:type="dxa"/>
            <w:tcBorders>
              <w:top w:val="single" w:sz="4" w:space="0" w:color="auto"/>
              <w:left w:val="nil"/>
              <w:right w:val="nil"/>
            </w:tcBorders>
            <w:shd w:val="clear" w:color="auto" w:fill="F3F9FA"/>
            <w:noWrap/>
            <w:vAlign w:val="center"/>
          </w:tcPr>
          <w:p w14:paraId="1E628F0C" w14:textId="77777777" w:rsidR="004920D8" w:rsidRDefault="004920D8" w:rsidP="00DD3BAE">
            <w:pPr>
              <w:spacing w:before="0" w:after="0"/>
              <w:jc w:val="center"/>
              <w:rPr>
                <w:b/>
                <w:color w:val="000000"/>
                <w:sz w:val="14"/>
                <w:szCs w:val="14"/>
              </w:rPr>
            </w:pPr>
            <w:r>
              <w:rPr>
                <w:b/>
                <w:color w:val="000000"/>
                <w:sz w:val="14"/>
                <w:szCs w:val="14"/>
              </w:rPr>
              <w:t>MP2</w:t>
            </w:r>
          </w:p>
        </w:tc>
        <w:tc>
          <w:tcPr>
            <w:tcW w:w="555" w:type="dxa"/>
            <w:tcBorders>
              <w:top w:val="single" w:sz="4" w:space="0" w:color="auto"/>
              <w:left w:val="nil"/>
              <w:right w:val="nil"/>
            </w:tcBorders>
            <w:shd w:val="clear" w:color="auto" w:fill="F3F9FA"/>
            <w:vAlign w:val="center"/>
          </w:tcPr>
          <w:p w14:paraId="46169035"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6AA71AB7"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27B8DA0A"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tcPr>
          <w:p w14:paraId="7991794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tcPr>
          <w:p w14:paraId="5CE5F20E"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tcPr>
          <w:p w14:paraId="7C83E08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6A493B8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tcPr>
          <w:p w14:paraId="167ED6DC"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tcPr>
          <w:p w14:paraId="1B057DB5"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tcPr>
          <w:p w14:paraId="3CB43CA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tcPr>
          <w:p w14:paraId="6988B454"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tcPr>
          <w:p w14:paraId="3C7AE18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512B61F8"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669A5A7B" w14:textId="77777777" w:rsidTr="004920D8">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09F29D11"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3B805AEF"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462D60C9"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55E6D051" w14:textId="77777777" w:rsidR="004920D8" w:rsidRDefault="004920D8" w:rsidP="00DD3BAE">
            <w:pPr>
              <w:spacing w:before="0" w:after="0"/>
              <w:rPr>
                <w:color w:val="000000"/>
                <w:sz w:val="14"/>
                <w:szCs w:val="14"/>
              </w:rPr>
            </w:pPr>
          </w:p>
        </w:tc>
        <w:tc>
          <w:tcPr>
            <w:tcW w:w="840" w:type="dxa"/>
            <w:tcBorders>
              <w:left w:val="nil"/>
              <w:bottom w:val="single" w:sz="4" w:space="0" w:color="auto"/>
            </w:tcBorders>
            <w:shd w:val="clear" w:color="auto" w:fill="F3F9FA"/>
            <w:noWrap/>
            <w:vAlign w:val="center"/>
          </w:tcPr>
          <w:p w14:paraId="12D29057" w14:textId="77777777" w:rsidR="004920D8" w:rsidRDefault="004920D8" w:rsidP="00DD3BAE">
            <w:pPr>
              <w:spacing w:before="0" w:after="0"/>
              <w:jc w:val="center"/>
              <w:rPr>
                <w:b/>
                <w:color w:val="000000"/>
                <w:sz w:val="14"/>
                <w:szCs w:val="14"/>
              </w:rPr>
            </w:pPr>
            <w:r>
              <w:rPr>
                <w:b/>
                <w:color w:val="000000"/>
                <w:sz w:val="14"/>
                <w:szCs w:val="14"/>
              </w:rPr>
              <w:t>MP3</w:t>
            </w:r>
          </w:p>
        </w:tc>
        <w:tc>
          <w:tcPr>
            <w:tcW w:w="555" w:type="dxa"/>
            <w:tcBorders>
              <w:bottom w:val="single" w:sz="4" w:space="0" w:color="auto"/>
            </w:tcBorders>
            <w:shd w:val="clear" w:color="auto" w:fill="F3F9FA"/>
            <w:vAlign w:val="center"/>
          </w:tcPr>
          <w:p w14:paraId="32F81613"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single" w:sz="4" w:space="0" w:color="auto"/>
            </w:tcBorders>
            <w:shd w:val="clear" w:color="auto" w:fill="F3F9FA"/>
            <w:noWrap/>
            <w:vAlign w:val="center"/>
          </w:tcPr>
          <w:p w14:paraId="7273A0C7"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single" w:sz="4" w:space="0" w:color="auto"/>
            </w:tcBorders>
            <w:shd w:val="clear" w:color="auto" w:fill="F3F9FA"/>
            <w:noWrap/>
            <w:vAlign w:val="center"/>
          </w:tcPr>
          <w:p w14:paraId="58EBF63E"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single" w:sz="4" w:space="0" w:color="auto"/>
            </w:tcBorders>
            <w:shd w:val="clear" w:color="auto" w:fill="F3F9FA"/>
            <w:vAlign w:val="center"/>
          </w:tcPr>
          <w:p w14:paraId="6F527D6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single" w:sz="4" w:space="0" w:color="auto"/>
            </w:tcBorders>
            <w:shd w:val="clear" w:color="auto" w:fill="F3F9FA"/>
            <w:vAlign w:val="center"/>
          </w:tcPr>
          <w:p w14:paraId="4AA243FE"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single" w:sz="4" w:space="0" w:color="auto"/>
            </w:tcBorders>
            <w:shd w:val="clear" w:color="auto" w:fill="F3F9FA"/>
            <w:vAlign w:val="center"/>
          </w:tcPr>
          <w:p w14:paraId="4E17441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single" w:sz="4" w:space="0" w:color="auto"/>
              <w:right w:val="single" w:sz="4" w:space="0" w:color="auto"/>
            </w:tcBorders>
            <w:shd w:val="clear" w:color="auto" w:fill="F3F9FA"/>
            <w:vAlign w:val="center"/>
          </w:tcPr>
          <w:p w14:paraId="6D9CC208" w14:textId="77777777" w:rsidR="004920D8" w:rsidRDefault="004920D8" w:rsidP="00DD3BAE">
            <w:pPr>
              <w:spacing w:before="0" w:after="0"/>
              <w:jc w:val="center"/>
              <w:rPr>
                <w:color w:val="000000"/>
                <w:sz w:val="14"/>
                <w:szCs w:val="14"/>
              </w:rPr>
            </w:pPr>
          </w:p>
        </w:tc>
        <w:tc>
          <w:tcPr>
            <w:tcW w:w="559" w:type="dxa"/>
            <w:tcBorders>
              <w:left w:val="single" w:sz="4" w:space="0" w:color="auto"/>
              <w:bottom w:val="single" w:sz="4" w:space="0" w:color="auto"/>
            </w:tcBorders>
            <w:shd w:val="clear" w:color="auto" w:fill="F3F9FA"/>
            <w:vAlign w:val="center"/>
          </w:tcPr>
          <w:p w14:paraId="31CCA145"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single" w:sz="4" w:space="0" w:color="auto"/>
            </w:tcBorders>
            <w:shd w:val="clear" w:color="auto" w:fill="F3F9FA"/>
            <w:vAlign w:val="center"/>
          </w:tcPr>
          <w:p w14:paraId="1253B15B"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single" w:sz="4" w:space="0" w:color="auto"/>
            </w:tcBorders>
            <w:shd w:val="clear" w:color="auto" w:fill="F3F9FA"/>
            <w:vAlign w:val="center"/>
          </w:tcPr>
          <w:p w14:paraId="2FC7A90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single" w:sz="4" w:space="0" w:color="auto"/>
            </w:tcBorders>
            <w:shd w:val="clear" w:color="auto" w:fill="F3F9FA"/>
            <w:vAlign w:val="center"/>
          </w:tcPr>
          <w:p w14:paraId="19AB6701"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single" w:sz="4" w:space="0" w:color="auto"/>
            </w:tcBorders>
            <w:shd w:val="clear" w:color="auto" w:fill="F3F9FA"/>
            <w:vAlign w:val="center"/>
          </w:tcPr>
          <w:p w14:paraId="5F9B4A7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single" w:sz="4" w:space="0" w:color="auto"/>
              <w:right w:val="nil"/>
            </w:tcBorders>
            <w:shd w:val="clear" w:color="auto" w:fill="F3F9FA"/>
            <w:vAlign w:val="center"/>
          </w:tcPr>
          <w:p w14:paraId="63845413" w14:textId="77777777" w:rsidR="004920D8" w:rsidRDefault="004920D8" w:rsidP="00DD3BAE">
            <w:pPr>
              <w:spacing w:before="0" w:after="0"/>
              <w:jc w:val="center"/>
              <w:rPr>
                <w:color w:val="000000"/>
                <w:sz w:val="14"/>
                <w:szCs w:val="14"/>
              </w:rPr>
            </w:pPr>
          </w:p>
        </w:tc>
      </w:tr>
      <w:tr w:rsidR="004920D8" w14:paraId="1C4DF0C4"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4A8E0B02"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46491BE6"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7DC02E07"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F3F9FA"/>
            <w:noWrap/>
            <w:vAlign w:val="center"/>
            <w:hideMark/>
          </w:tcPr>
          <w:p w14:paraId="50B2BCD3" w14:textId="77777777" w:rsidR="004920D8" w:rsidRDefault="004920D8" w:rsidP="00DD3BAE">
            <w:pPr>
              <w:spacing w:before="0" w:after="0"/>
              <w:jc w:val="center"/>
              <w:rPr>
                <w:color w:val="000000"/>
                <w:sz w:val="14"/>
                <w:szCs w:val="14"/>
              </w:rPr>
            </w:pPr>
            <w:r>
              <w:rPr>
                <w:color w:val="000000"/>
                <w:sz w:val="14"/>
                <w:szCs w:val="14"/>
              </w:rPr>
              <w:t>Hamilton Is.</w:t>
            </w:r>
          </w:p>
        </w:tc>
        <w:tc>
          <w:tcPr>
            <w:tcW w:w="840" w:type="dxa"/>
            <w:tcBorders>
              <w:top w:val="single" w:sz="4" w:space="0" w:color="auto"/>
              <w:left w:val="nil"/>
              <w:right w:val="nil"/>
            </w:tcBorders>
            <w:shd w:val="clear" w:color="auto" w:fill="F3F9FA"/>
            <w:noWrap/>
            <w:vAlign w:val="center"/>
            <w:hideMark/>
          </w:tcPr>
          <w:p w14:paraId="7402D546" w14:textId="77777777" w:rsidR="004920D8" w:rsidRDefault="004920D8" w:rsidP="00DD3BAE">
            <w:pPr>
              <w:spacing w:before="0" w:after="0"/>
              <w:jc w:val="center"/>
              <w:rPr>
                <w:b/>
                <w:color w:val="000000"/>
                <w:sz w:val="14"/>
                <w:szCs w:val="14"/>
              </w:rPr>
            </w:pPr>
            <w:r>
              <w:rPr>
                <w:b/>
                <w:color w:val="000000"/>
                <w:sz w:val="14"/>
                <w:szCs w:val="14"/>
              </w:rPr>
              <w:t>HM1</w:t>
            </w:r>
          </w:p>
        </w:tc>
        <w:tc>
          <w:tcPr>
            <w:tcW w:w="555" w:type="dxa"/>
            <w:tcBorders>
              <w:top w:val="single" w:sz="4" w:space="0" w:color="auto"/>
              <w:left w:val="nil"/>
              <w:right w:val="nil"/>
            </w:tcBorders>
            <w:shd w:val="clear" w:color="auto" w:fill="F3F9FA"/>
            <w:vAlign w:val="center"/>
            <w:hideMark/>
          </w:tcPr>
          <w:p w14:paraId="2BBCCA7A"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04B08177"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02636F3A"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3BAEB20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37EF911B"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7C9E80E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67C37AA0"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51443732"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410668A8"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2DE9D9A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7F50000F"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3B1F2D3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36169B3B" w14:textId="77777777" w:rsidR="004920D8" w:rsidRDefault="004920D8" w:rsidP="00DD3BAE">
            <w:pPr>
              <w:spacing w:before="0" w:after="0"/>
              <w:jc w:val="center"/>
              <w:rPr>
                <w:color w:val="000000"/>
                <w:sz w:val="14"/>
                <w:szCs w:val="14"/>
              </w:rPr>
            </w:pPr>
          </w:p>
        </w:tc>
      </w:tr>
      <w:tr w:rsidR="004920D8" w14:paraId="44F8B99C"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751A49DE"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0C90D279" w14:textId="77777777" w:rsidR="004920D8" w:rsidRDefault="004920D8" w:rsidP="00DD3BAE">
            <w:pPr>
              <w:spacing w:before="0" w:after="0"/>
              <w:rPr>
                <w:color w:val="000000"/>
                <w:sz w:val="14"/>
                <w:szCs w:val="14"/>
              </w:rPr>
            </w:pPr>
          </w:p>
        </w:tc>
        <w:tc>
          <w:tcPr>
            <w:tcW w:w="1299" w:type="dxa"/>
            <w:vMerge/>
            <w:tcBorders>
              <w:left w:val="nil"/>
              <w:right w:val="nil"/>
            </w:tcBorders>
            <w:vAlign w:val="center"/>
            <w:hideMark/>
          </w:tcPr>
          <w:p w14:paraId="2AE71325"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DD64C34"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213657F6" w14:textId="77777777" w:rsidR="004920D8" w:rsidRDefault="004920D8" w:rsidP="00DD3BAE">
            <w:pPr>
              <w:spacing w:before="0" w:after="0"/>
              <w:jc w:val="center"/>
              <w:rPr>
                <w:b/>
                <w:color w:val="000000"/>
                <w:sz w:val="14"/>
                <w:szCs w:val="14"/>
              </w:rPr>
            </w:pPr>
            <w:r>
              <w:rPr>
                <w:b/>
                <w:color w:val="000000"/>
                <w:sz w:val="14"/>
                <w:szCs w:val="14"/>
              </w:rPr>
              <w:t>HM2</w:t>
            </w:r>
          </w:p>
        </w:tc>
        <w:tc>
          <w:tcPr>
            <w:tcW w:w="555" w:type="dxa"/>
            <w:tcBorders>
              <w:bottom w:val="nil"/>
            </w:tcBorders>
            <w:shd w:val="clear" w:color="auto" w:fill="F3F9FA"/>
            <w:vAlign w:val="center"/>
            <w:hideMark/>
          </w:tcPr>
          <w:p w14:paraId="3CD92F97"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730388AC"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699F2000"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189B810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20B1F25D"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65ABA72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0539A84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0FF90BA7"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6040BC10"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2E7BAD1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59AB5DA9"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1E34F93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714A284B"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3A1547D4"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14F572F6" w14:textId="77777777" w:rsidR="004920D8" w:rsidRDefault="004920D8" w:rsidP="00DD3BAE">
            <w:pPr>
              <w:spacing w:before="0" w:after="0"/>
              <w:rPr>
                <w:color w:val="000000"/>
                <w:sz w:val="14"/>
                <w:szCs w:val="14"/>
              </w:rPr>
            </w:pPr>
          </w:p>
        </w:tc>
        <w:tc>
          <w:tcPr>
            <w:tcW w:w="1294" w:type="dxa"/>
            <w:vMerge/>
            <w:tcBorders>
              <w:left w:val="nil"/>
              <w:right w:val="nil"/>
            </w:tcBorders>
            <w:vAlign w:val="center"/>
          </w:tcPr>
          <w:p w14:paraId="27480051" w14:textId="77777777" w:rsidR="004920D8" w:rsidRDefault="004920D8" w:rsidP="00DD3BAE">
            <w:pPr>
              <w:spacing w:before="0" w:after="0"/>
              <w:rPr>
                <w:color w:val="000000"/>
                <w:sz w:val="14"/>
                <w:szCs w:val="14"/>
              </w:rPr>
            </w:pPr>
          </w:p>
        </w:tc>
        <w:tc>
          <w:tcPr>
            <w:tcW w:w="1299" w:type="dxa"/>
            <w:vMerge/>
            <w:tcBorders>
              <w:left w:val="nil"/>
              <w:right w:val="nil"/>
            </w:tcBorders>
            <w:vAlign w:val="center"/>
          </w:tcPr>
          <w:p w14:paraId="1040D8B4"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right w:val="nil"/>
            </w:tcBorders>
            <w:shd w:val="clear" w:color="auto" w:fill="F3F9FA"/>
            <w:vAlign w:val="center"/>
          </w:tcPr>
          <w:p w14:paraId="22C62A7D" w14:textId="77777777" w:rsidR="004920D8" w:rsidRDefault="004920D8" w:rsidP="00DD3BAE">
            <w:pPr>
              <w:spacing w:before="0" w:after="0"/>
              <w:jc w:val="center"/>
              <w:rPr>
                <w:color w:val="000000"/>
                <w:sz w:val="14"/>
                <w:szCs w:val="14"/>
              </w:rPr>
            </w:pPr>
            <w:r>
              <w:rPr>
                <w:color w:val="000000"/>
                <w:sz w:val="14"/>
                <w:szCs w:val="14"/>
              </w:rPr>
              <w:t>Whitsunday Island</w:t>
            </w:r>
          </w:p>
        </w:tc>
        <w:tc>
          <w:tcPr>
            <w:tcW w:w="840" w:type="dxa"/>
            <w:tcBorders>
              <w:top w:val="single" w:sz="4" w:space="0" w:color="auto"/>
              <w:left w:val="nil"/>
              <w:right w:val="nil"/>
            </w:tcBorders>
            <w:shd w:val="clear" w:color="auto" w:fill="F3F9FA"/>
            <w:noWrap/>
            <w:vAlign w:val="center"/>
          </w:tcPr>
          <w:p w14:paraId="2758C09F" w14:textId="77777777" w:rsidR="004920D8" w:rsidRDefault="004920D8" w:rsidP="00DD3BAE">
            <w:pPr>
              <w:spacing w:before="0" w:after="0"/>
              <w:jc w:val="center"/>
              <w:rPr>
                <w:b/>
                <w:color w:val="000000"/>
                <w:sz w:val="14"/>
                <w:szCs w:val="14"/>
              </w:rPr>
            </w:pPr>
            <w:r>
              <w:rPr>
                <w:b/>
                <w:color w:val="000000"/>
                <w:sz w:val="14"/>
                <w:szCs w:val="14"/>
              </w:rPr>
              <w:t>TO1^</w:t>
            </w:r>
          </w:p>
        </w:tc>
        <w:tc>
          <w:tcPr>
            <w:tcW w:w="555" w:type="dxa"/>
            <w:tcBorders>
              <w:top w:val="single" w:sz="4" w:space="0" w:color="auto"/>
              <w:left w:val="nil"/>
              <w:right w:val="nil"/>
            </w:tcBorders>
            <w:shd w:val="clear" w:color="auto" w:fill="F3F9FA"/>
            <w:vAlign w:val="center"/>
          </w:tcPr>
          <w:p w14:paraId="12E26AFB" w14:textId="77777777" w:rsidR="004920D8" w:rsidRDefault="004920D8" w:rsidP="00DD3BAE">
            <w:pPr>
              <w:spacing w:before="0" w:after="0"/>
              <w:jc w:val="center"/>
              <w:rPr>
                <w:color w:val="000000"/>
                <w:sz w:val="14"/>
                <w:szCs w:val="14"/>
              </w:rPr>
            </w:pPr>
            <w:r>
              <w:rPr>
                <w:color w:val="000000"/>
                <w:sz w:val="14"/>
                <w:szCs w:val="14"/>
              </w:rPr>
              <w:t>22</w:t>
            </w:r>
          </w:p>
        </w:tc>
        <w:tc>
          <w:tcPr>
            <w:tcW w:w="543" w:type="dxa"/>
            <w:tcBorders>
              <w:top w:val="single" w:sz="4" w:space="0" w:color="auto"/>
              <w:left w:val="nil"/>
              <w:right w:val="nil"/>
            </w:tcBorders>
            <w:shd w:val="clear" w:color="auto" w:fill="F3F9FA"/>
            <w:noWrap/>
            <w:vAlign w:val="center"/>
          </w:tcPr>
          <w:p w14:paraId="132EE326"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noWrap/>
            <w:vAlign w:val="center"/>
          </w:tcPr>
          <w:p w14:paraId="08CCD29E"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34B8B883"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2D8B4D83"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54295ED9"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F3F9FA"/>
            <w:vAlign w:val="center"/>
          </w:tcPr>
          <w:p w14:paraId="522896E1"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7A310CBA"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46C2375A"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23D2543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6F641C9"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40469A81" w14:textId="77777777" w:rsidR="004920D8" w:rsidRDefault="004920D8" w:rsidP="00DD3BAE">
            <w:pPr>
              <w:spacing w:before="0" w:after="0"/>
              <w:jc w:val="center"/>
              <w:rPr>
                <w:color w:val="000000"/>
                <w:sz w:val="14"/>
                <w:szCs w:val="14"/>
              </w:rPr>
            </w:pPr>
          </w:p>
        </w:tc>
        <w:tc>
          <w:tcPr>
            <w:tcW w:w="546" w:type="dxa"/>
            <w:tcBorders>
              <w:top w:val="single" w:sz="4" w:space="0" w:color="auto"/>
              <w:left w:val="nil"/>
              <w:right w:val="nil"/>
            </w:tcBorders>
            <w:shd w:val="clear" w:color="auto" w:fill="F3F9FA"/>
            <w:vAlign w:val="center"/>
          </w:tcPr>
          <w:p w14:paraId="6FA22293" w14:textId="77777777" w:rsidR="004920D8" w:rsidRDefault="004920D8" w:rsidP="00DD3BAE">
            <w:pPr>
              <w:spacing w:before="0" w:after="0"/>
              <w:jc w:val="center"/>
              <w:rPr>
                <w:color w:val="000000"/>
                <w:sz w:val="14"/>
                <w:szCs w:val="14"/>
              </w:rPr>
            </w:pPr>
          </w:p>
        </w:tc>
      </w:tr>
      <w:tr w:rsidR="004920D8" w14:paraId="25783FAC"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5D71758B" w14:textId="77777777" w:rsidR="004920D8" w:rsidRDefault="004920D8" w:rsidP="00DD3BAE">
            <w:pPr>
              <w:spacing w:before="0" w:after="0"/>
              <w:rPr>
                <w:color w:val="000000"/>
                <w:sz w:val="14"/>
                <w:szCs w:val="14"/>
              </w:rPr>
            </w:pPr>
          </w:p>
        </w:tc>
        <w:tc>
          <w:tcPr>
            <w:tcW w:w="1294" w:type="dxa"/>
            <w:vMerge/>
            <w:tcBorders>
              <w:left w:val="nil"/>
              <w:right w:val="nil"/>
            </w:tcBorders>
            <w:vAlign w:val="center"/>
          </w:tcPr>
          <w:p w14:paraId="64B7340E" w14:textId="77777777" w:rsidR="004920D8" w:rsidRDefault="004920D8" w:rsidP="00DD3BAE">
            <w:pPr>
              <w:spacing w:before="0" w:after="0"/>
              <w:rPr>
                <w:color w:val="000000"/>
                <w:sz w:val="14"/>
                <w:szCs w:val="14"/>
              </w:rPr>
            </w:pPr>
          </w:p>
        </w:tc>
        <w:tc>
          <w:tcPr>
            <w:tcW w:w="1299" w:type="dxa"/>
            <w:vMerge/>
            <w:tcBorders>
              <w:left w:val="nil"/>
              <w:bottom w:val="nil"/>
              <w:right w:val="nil"/>
            </w:tcBorders>
            <w:vAlign w:val="center"/>
          </w:tcPr>
          <w:p w14:paraId="6354DFC4" w14:textId="77777777" w:rsidR="004920D8" w:rsidRDefault="004920D8" w:rsidP="00DD3BAE">
            <w:pPr>
              <w:spacing w:before="0" w:after="0"/>
              <w:rPr>
                <w:color w:val="000000"/>
                <w:sz w:val="14"/>
                <w:szCs w:val="14"/>
              </w:rPr>
            </w:pPr>
          </w:p>
        </w:tc>
        <w:tc>
          <w:tcPr>
            <w:tcW w:w="1307" w:type="dxa"/>
            <w:vMerge/>
            <w:tcBorders>
              <w:left w:val="nil"/>
              <w:bottom w:val="nil"/>
              <w:right w:val="nil"/>
            </w:tcBorders>
            <w:shd w:val="clear" w:color="auto" w:fill="F3F9FA"/>
            <w:vAlign w:val="center"/>
          </w:tcPr>
          <w:p w14:paraId="4A194482"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tcPr>
          <w:p w14:paraId="4666150E" w14:textId="77777777" w:rsidR="004920D8" w:rsidRDefault="004920D8" w:rsidP="00DD3BAE">
            <w:pPr>
              <w:spacing w:before="0" w:after="0"/>
              <w:jc w:val="center"/>
              <w:rPr>
                <w:b/>
                <w:color w:val="000000"/>
                <w:sz w:val="14"/>
                <w:szCs w:val="14"/>
              </w:rPr>
            </w:pPr>
            <w:r>
              <w:rPr>
                <w:b/>
                <w:color w:val="000000"/>
                <w:sz w:val="14"/>
                <w:szCs w:val="14"/>
              </w:rPr>
              <w:t>TO2^</w:t>
            </w:r>
          </w:p>
        </w:tc>
        <w:tc>
          <w:tcPr>
            <w:tcW w:w="555" w:type="dxa"/>
            <w:tcBorders>
              <w:bottom w:val="nil"/>
            </w:tcBorders>
            <w:shd w:val="clear" w:color="auto" w:fill="F3F9FA"/>
            <w:vAlign w:val="center"/>
          </w:tcPr>
          <w:p w14:paraId="55428E28" w14:textId="77777777" w:rsidR="004920D8" w:rsidRDefault="004920D8" w:rsidP="00DD3BAE">
            <w:pPr>
              <w:spacing w:before="0" w:after="0"/>
              <w:jc w:val="center"/>
              <w:rPr>
                <w:color w:val="000000"/>
                <w:sz w:val="14"/>
                <w:szCs w:val="14"/>
              </w:rPr>
            </w:pPr>
            <w:r>
              <w:rPr>
                <w:color w:val="000000"/>
                <w:sz w:val="14"/>
                <w:szCs w:val="14"/>
              </w:rPr>
              <w:t>20</w:t>
            </w:r>
          </w:p>
        </w:tc>
        <w:tc>
          <w:tcPr>
            <w:tcW w:w="543" w:type="dxa"/>
            <w:tcBorders>
              <w:bottom w:val="nil"/>
            </w:tcBorders>
            <w:shd w:val="clear" w:color="auto" w:fill="F3F9FA"/>
            <w:noWrap/>
            <w:vAlign w:val="center"/>
          </w:tcPr>
          <w:p w14:paraId="755466BA"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noWrap/>
            <w:vAlign w:val="center"/>
          </w:tcPr>
          <w:p w14:paraId="41F5D160"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tcPr>
          <w:p w14:paraId="0E6E279F"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32F2A6C6"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tcPr>
          <w:p w14:paraId="21F4D39F" w14:textId="77777777" w:rsidR="004920D8" w:rsidRDefault="004920D8" w:rsidP="00DD3BAE">
            <w:pPr>
              <w:spacing w:before="0" w:after="0"/>
              <w:jc w:val="center"/>
              <w:rPr>
                <w:color w:val="000000"/>
                <w:sz w:val="14"/>
                <w:szCs w:val="14"/>
              </w:rPr>
            </w:pPr>
          </w:p>
        </w:tc>
        <w:tc>
          <w:tcPr>
            <w:tcW w:w="559" w:type="dxa"/>
            <w:tcBorders>
              <w:bottom w:val="nil"/>
              <w:right w:val="single" w:sz="4" w:space="0" w:color="auto"/>
            </w:tcBorders>
            <w:shd w:val="clear" w:color="auto" w:fill="F3F9FA"/>
            <w:vAlign w:val="center"/>
          </w:tcPr>
          <w:p w14:paraId="48673E7F"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3BD56FC5"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062DA60C"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2047C6CB"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7CA22891"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73FB462C" w14:textId="77777777" w:rsidR="004920D8" w:rsidRDefault="004920D8" w:rsidP="00DD3BAE">
            <w:pPr>
              <w:spacing w:before="0" w:after="0"/>
              <w:jc w:val="center"/>
              <w:rPr>
                <w:color w:val="000000"/>
                <w:sz w:val="14"/>
                <w:szCs w:val="14"/>
              </w:rPr>
            </w:pPr>
          </w:p>
        </w:tc>
        <w:tc>
          <w:tcPr>
            <w:tcW w:w="546" w:type="dxa"/>
            <w:tcBorders>
              <w:bottom w:val="nil"/>
              <w:right w:val="nil"/>
            </w:tcBorders>
            <w:shd w:val="clear" w:color="auto" w:fill="F3F9FA"/>
            <w:vAlign w:val="center"/>
          </w:tcPr>
          <w:p w14:paraId="09BFFDCC" w14:textId="77777777" w:rsidR="004920D8" w:rsidRDefault="004920D8" w:rsidP="00DD3BAE">
            <w:pPr>
              <w:spacing w:before="0" w:after="0"/>
              <w:jc w:val="center"/>
              <w:rPr>
                <w:color w:val="000000"/>
                <w:sz w:val="14"/>
                <w:szCs w:val="14"/>
              </w:rPr>
            </w:pPr>
          </w:p>
        </w:tc>
      </w:tr>
      <w:tr w:rsidR="004920D8" w14:paraId="5A11D26B"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112F64AE" w14:textId="77777777" w:rsidR="004920D8" w:rsidRDefault="004920D8" w:rsidP="00DD3BAE">
            <w:pPr>
              <w:spacing w:before="0" w:after="0"/>
              <w:rPr>
                <w:color w:val="000000"/>
                <w:sz w:val="14"/>
                <w:szCs w:val="14"/>
              </w:rPr>
            </w:pPr>
          </w:p>
        </w:tc>
        <w:tc>
          <w:tcPr>
            <w:tcW w:w="1294" w:type="dxa"/>
            <w:vMerge/>
            <w:tcBorders>
              <w:left w:val="nil"/>
              <w:right w:val="nil"/>
            </w:tcBorders>
            <w:vAlign w:val="center"/>
          </w:tcPr>
          <w:p w14:paraId="62362DB7" w14:textId="77777777" w:rsidR="004920D8" w:rsidRDefault="004920D8" w:rsidP="00DD3BAE">
            <w:pPr>
              <w:spacing w:before="0" w:after="0"/>
              <w:rPr>
                <w:color w:val="000000"/>
                <w:sz w:val="14"/>
                <w:szCs w:val="14"/>
              </w:rPr>
            </w:pPr>
          </w:p>
        </w:tc>
        <w:tc>
          <w:tcPr>
            <w:tcW w:w="1299" w:type="dxa"/>
            <w:vMerge w:val="restart"/>
            <w:tcBorders>
              <w:left w:val="nil"/>
              <w:right w:val="nil"/>
            </w:tcBorders>
            <w:shd w:val="clear" w:color="auto" w:fill="F3F9FA"/>
            <w:vAlign w:val="center"/>
          </w:tcPr>
          <w:p w14:paraId="5384C2C2" w14:textId="77777777" w:rsidR="004920D8" w:rsidRDefault="004920D8" w:rsidP="00DD3BAE">
            <w:pPr>
              <w:spacing w:before="0" w:after="0"/>
              <w:jc w:val="center"/>
              <w:rPr>
                <w:color w:val="000000"/>
                <w:sz w:val="14"/>
                <w:szCs w:val="14"/>
              </w:rPr>
            </w:pPr>
            <w:r>
              <w:rPr>
                <w:color w:val="000000"/>
                <w:sz w:val="14"/>
                <w:szCs w:val="14"/>
              </w:rPr>
              <w:t>O’Connell</w:t>
            </w:r>
          </w:p>
        </w:tc>
        <w:tc>
          <w:tcPr>
            <w:tcW w:w="1307" w:type="dxa"/>
            <w:vMerge w:val="restart"/>
            <w:tcBorders>
              <w:left w:val="nil"/>
              <w:right w:val="nil"/>
            </w:tcBorders>
            <w:shd w:val="clear" w:color="auto" w:fill="F3F9FA"/>
            <w:vAlign w:val="center"/>
          </w:tcPr>
          <w:p w14:paraId="2730814B" w14:textId="77777777" w:rsidR="004920D8" w:rsidRDefault="004920D8" w:rsidP="00DD3BAE">
            <w:pPr>
              <w:spacing w:before="0" w:after="0"/>
              <w:jc w:val="center"/>
              <w:rPr>
                <w:color w:val="000000"/>
                <w:sz w:val="14"/>
                <w:szCs w:val="14"/>
              </w:rPr>
            </w:pPr>
            <w:r>
              <w:rPr>
                <w:color w:val="000000"/>
                <w:sz w:val="14"/>
                <w:szCs w:val="14"/>
              </w:rPr>
              <w:t>Newry Islands</w:t>
            </w:r>
          </w:p>
        </w:tc>
        <w:tc>
          <w:tcPr>
            <w:tcW w:w="840" w:type="dxa"/>
            <w:tcBorders>
              <w:top w:val="single" w:sz="4" w:space="0" w:color="auto"/>
              <w:left w:val="nil"/>
              <w:right w:val="nil"/>
            </w:tcBorders>
            <w:shd w:val="clear" w:color="auto" w:fill="F3F9FA"/>
            <w:noWrap/>
            <w:vAlign w:val="center"/>
          </w:tcPr>
          <w:p w14:paraId="0ADCD48B" w14:textId="77777777" w:rsidR="004920D8" w:rsidRDefault="004920D8" w:rsidP="00DD3BAE">
            <w:pPr>
              <w:spacing w:before="0" w:after="0"/>
              <w:jc w:val="center"/>
              <w:rPr>
                <w:b/>
                <w:color w:val="000000"/>
                <w:sz w:val="14"/>
                <w:szCs w:val="14"/>
              </w:rPr>
            </w:pPr>
            <w:r>
              <w:rPr>
                <w:b/>
                <w:color w:val="000000"/>
                <w:sz w:val="14"/>
                <w:szCs w:val="14"/>
              </w:rPr>
              <w:t>NB1^</w:t>
            </w:r>
          </w:p>
        </w:tc>
        <w:tc>
          <w:tcPr>
            <w:tcW w:w="555" w:type="dxa"/>
            <w:tcBorders>
              <w:top w:val="single" w:sz="4" w:space="0" w:color="auto"/>
              <w:left w:val="nil"/>
              <w:right w:val="nil"/>
            </w:tcBorders>
            <w:shd w:val="clear" w:color="auto" w:fill="F3F9FA"/>
            <w:vAlign w:val="center"/>
          </w:tcPr>
          <w:p w14:paraId="54D2981C" w14:textId="77777777" w:rsidR="004920D8" w:rsidRDefault="004920D8" w:rsidP="00DD3BAE">
            <w:pPr>
              <w:spacing w:before="0" w:after="0"/>
              <w:jc w:val="center"/>
              <w:rPr>
                <w:color w:val="000000"/>
                <w:sz w:val="14"/>
                <w:szCs w:val="14"/>
              </w:rPr>
            </w:pPr>
            <w:r>
              <w:rPr>
                <w:color w:val="000000"/>
                <w:sz w:val="14"/>
                <w:szCs w:val="14"/>
              </w:rPr>
              <w:t>22</w:t>
            </w:r>
          </w:p>
        </w:tc>
        <w:tc>
          <w:tcPr>
            <w:tcW w:w="543" w:type="dxa"/>
            <w:tcBorders>
              <w:top w:val="single" w:sz="4" w:space="0" w:color="auto"/>
              <w:left w:val="nil"/>
              <w:right w:val="nil"/>
            </w:tcBorders>
            <w:shd w:val="clear" w:color="auto" w:fill="F3F9FA"/>
            <w:noWrap/>
            <w:vAlign w:val="center"/>
          </w:tcPr>
          <w:p w14:paraId="2E224C2E"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noWrap/>
            <w:vAlign w:val="center"/>
          </w:tcPr>
          <w:p w14:paraId="74D14AAA" w14:textId="77777777" w:rsidR="004920D8" w:rsidRDefault="004920D8" w:rsidP="00DD3BAE">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1C2A4050"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1BF20DEA" w14:textId="77777777" w:rsidR="004920D8" w:rsidRDefault="004920D8" w:rsidP="00DD3BAE">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300C7D1C"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F3F9FA"/>
            <w:vAlign w:val="center"/>
          </w:tcPr>
          <w:p w14:paraId="6A28705D"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2C6B8DC8"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352AFE02"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4D5F7016"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615BE245"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1D044896" w14:textId="77777777" w:rsidR="004920D8" w:rsidRDefault="004920D8" w:rsidP="00DD3BAE">
            <w:pPr>
              <w:spacing w:before="0" w:after="0"/>
              <w:jc w:val="center"/>
              <w:rPr>
                <w:color w:val="000000"/>
                <w:sz w:val="14"/>
                <w:szCs w:val="14"/>
              </w:rPr>
            </w:pPr>
          </w:p>
        </w:tc>
        <w:tc>
          <w:tcPr>
            <w:tcW w:w="546" w:type="dxa"/>
            <w:tcBorders>
              <w:top w:val="single" w:sz="4" w:space="0" w:color="auto"/>
              <w:left w:val="nil"/>
              <w:right w:val="nil"/>
            </w:tcBorders>
            <w:shd w:val="clear" w:color="auto" w:fill="F3F9FA"/>
            <w:vAlign w:val="center"/>
          </w:tcPr>
          <w:p w14:paraId="48615BF6" w14:textId="77777777" w:rsidR="004920D8" w:rsidRDefault="004920D8" w:rsidP="00DD3BAE">
            <w:pPr>
              <w:spacing w:before="0" w:after="0"/>
              <w:jc w:val="center"/>
              <w:rPr>
                <w:color w:val="000000"/>
                <w:sz w:val="14"/>
                <w:szCs w:val="14"/>
              </w:rPr>
            </w:pPr>
          </w:p>
        </w:tc>
      </w:tr>
      <w:tr w:rsidR="004920D8" w14:paraId="7DEA7430"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8C23BD8" w14:textId="77777777" w:rsidR="004920D8" w:rsidRDefault="004920D8" w:rsidP="00DD3BAE">
            <w:pPr>
              <w:spacing w:before="0" w:after="0"/>
              <w:rPr>
                <w:color w:val="000000"/>
                <w:sz w:val="14"/>
                <w:szCs w:val="14"/>
              </w:rPr>
            </w:pPr>
          </w:p>
        </w:tc>
        <w:tc>
          <w:tcPr>
            <w:tcW w:w="1294" w:type="dxa"/>
            <w:vMerge/>
            <w:tcBorders>
              <w:left w:val="nil"/>
              <w:right w:val="nil"/>
            </w:tcBorders>
            <w:vAlign w:val="center"/>
          </w:tcPr>
          <w:p w14:paraId="4E7EB9AA" w14:textId="77777777" w:rsidR="004920D8" w:rsidRDefault="004920D8" w:rsidP="00DD3BAE">
            <w:pPr>
              <w:spacing w:before="0" w:after="0"/>
              <w:rPr>
                <w:color w:val="000000"/>
                <w:sz w:val="14"/>
                <w:szCs w:val="14"/>
              </w:rPr>
            </w:pPr>
          </w:p>
        </w:tc>
        <w:tc>
          <w:tcPr>
            <w:tcW w:w="1299" w:type="dxa"/>
            <w:vMerge/>
            <w:tcBorders>
              <w:left w:val="nil"/>
              <w:bottom w:val="nil"/>
              <w:right w:val="nil"/>
            </w:tcBorders>
            <w:shd w:val="clear" w:color="auto" w:fill="F3F9FA"/>
            <w:vAlign w:val="center"/>
          </w:tcPr>
          <w:p w14:paraId="6EA593AF" w14:textId="77777777" w:rsidR="004920D8" w:rsidRDefault="004920D8" w:rsidP="00DD3BAE">
            <w:pPr>
              <w:spacing w:before="0" w:after="0"/>
              <w:rPr>
                <w:color w:val="000000"/>
                <w:sz w:val="14"/>
                <w:szCs w:val="14"/>
              </w:rPr>
            </w:pPr>
          </w:p>
        </w:tc>
        <w:tc>
          <w:tcPr>
            <w:tcW w:w="1307" w:type="dxa"/>
            <w:vMerge/>
            <w:tcBorders>
              <w:left w:val="nil"/>
              <w:bottom w:val="nil"/>
              <w:right w:val="nil"/>
            </w:tcBorders>
            <w:shd w:val="clear" w:color="auto" w:fill="F3F9FA"/>
            <w:vAlign w:val="center"/>
          </w:tcPr>
          <w:p w14:paraId="611F941D" w14:textId="77777777" w:rsidR="004920D8" w:rsidRDefault="004920D8" w:rsidP="00DD3BAE">
            <w:pPr>
              <w:spacing w:before="0" w:after="0"/>
              <w:jc w:val="center"/>
              <w:rPr>
                <w:color w:val="000000"/>
                <w:sz w:val="14"/>
                <w:szCs w:val="14"/>
              </w:rPr>
            </w:pPr>
          </w:p>
        </w:tc>
        <w:tc>
          <w:tcPr>
            <w:tcW w:w="840" w:type="dxa"/>
            <w:tcBorders>
              <w:left w:val="nil"/>
              <w:bottom w:val="nil"/>
            </w:tcBorders>
            <w:shd w:val="clear" w:color="auto" w:fill="F3F9FA"/>
            <w:noWrap/>
            <w:vAlign w:val="center"/>
          </w:tcPr>
          <w:p w14:paraId="1381F9F9" w14:textId="77777777" w:rsidR="004920D8" w:rsidRDefault="004920D8" w:rsidP="00DD3BAE">
            <w:pPr>
              <w:spacing w:before="0" w:after="0"/>
              <w:jc w:val="center"/>
              <w:rPr>
                <w:b/>
                <w:color w:val="000000"/>
                <w:sz w:val="14"/>
                <w:szCs w:val="14"/>
              </w:rPr>
            </w:pPr>
            <w:r>
              <w:rPr>
                <w:b/>
                <w:color w:val="000000"/>
                <w:sz w:val="14"/>
                <w:szCs w:val="14"/>
              </w:rPr>
              <w:t>NB2^</w:t>
            </w:r>
          </w:p>
        </w:tc>
        <w:tc>
          <w:tcPr>
            <w:tcW w:w="555" w:type="dxa"/>
            <w:tcBorders>
              <w:bottom w:val="nil"/>
            </w:tcBorders>
            <w:shd w:val="clear" w:color="auto" w:fill="F3F9FA"/>
            <w:vAlign w:val="center"/>
          </w:tcPr>
          <w:p w14:paraId="7C5F8C56" w14:textId="77777777" w:rsidR="004920D8" w:rsidRDefault="004920D8" w:rsidP="00DD3BAE">
            <w:pPr>
              <w:spacing w:before="0" w:after="0"/>
              <w:jc w:val="center"/>
              <w:rPr>
                <w:color w:val="000000"/>
                <w:sz w:val="14"/>
                <w:szCs w:val="14"/>
              </w:rPr>
            </w:pPr>
            <w:r>
              <w:rPr>
                <w:color w:val="000000"/>
                <w:sz w:val="14"/>
                <w:szCs w:val="14"/>
              </w:rPr>
              <w:t>21</w:t>
            </w:r>
          </w:p>
        </w:tc>
        <w:tc>
          <w:tcPr>
            <w:tcW w:w="543" w:type="dxa"/>
            <w:tcBorders>
              <w:bottom w:val="nil"/>
            </w:tcBorders>
            <w:shd w:val="clear" w:color="auto" w:fill="F3F9FA"/>
            <w:noWrap/>
            <w:vAlign w:val="center"/>
          </w:tcPr>
          <w:p w14:paraId="7897B8FF"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noWrap/>
            <w:vAlign w:val="center"/>
          </w:tcPr>
          <w:p w14:paraId="6FA11548" w14:textId="77777777" w:rsidR="004920D8" w:rsidRDefault="004920D8" w:rsidP="00DD3BAE">
            <w:pPr>
              <w:spacing w:before="0" w:after="0"/>
              <w:jc w:val="center"/>
              <w:rPr>
                <w:color w:val="000000"/>
                <w:sz w:val="14"/>
                <w:szCs w:val="14"/>
              </w:rPr>
            </w:pPr>
          </w:p>
        </w:tc>
        <w:tc>
          <w:tcPr>
            <w:tcW w:w="536" w:type="dxa"/>
            <w:tcBorders>
              <w:bottom w:val="nil"/>
            </w:tcBorders>
            <w:shd w:val="clear" w:color="auto" w:fill="F3F9FA"/>
            <w:vAlign w:val="center"/>
          </w:tcPr>
          <w:p w14:paraId="11BA54BC"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3451613A" w14:textId="77777777" w:rsidR="004920D8" w:rsidRDefault="004920D8" w:rsidP="00DD3BAE">
            <w:pPr>
              <w:spacing w:before="0" w:after="0"/>
              <w:jc w:val="center"/>
              <w:rPr>
                <w:color w:val="000000"/>
                <w:sz w:val="14"/>
                <w:szCs w:val="14"/>
              </w:rPr>
            </w:pPr>
          </w:p>
        </w:tc>
        <w:tc>
          <w:tcPr>
            <w:tcW w:w="529" w:type="dxa"/>
            <w:tcBorders>
              <w:bottom w:val="nil"/>
            </w:tcBorders>
            <w:shd w:val="clear" w:color="auto" w:fill="F3F9FA"/>
            <w:vAlign w:val="center"/>
          </w:tcPr>
          <w:p w14:paraId="310BB900" w14:textId="77777777" w:rsidR="004920D8" w:rsidRDefault="004920D8" w:rsidP="00DD3BAE">
            <w:pPr>
              <w:spacing w:before="0" w:after="0"/>
              <w:jc w:val="center"/>
              <w:rPr>
                <w:color w:val="000000"/>
                <w:sz w:val="14"/>
                <w:szCs w:val="14"/>
              </w:rPr>
            </w:pPr>
          </w:p>
        </w:tc>
        <w:tc>
          <w:tcPr>
            <w:tcW w:w="559" w:type="dxa"/>
            <w:tcBorders>
              <w:bottom w:val="nil"/>
              <w:right w:val="single" w:sz="4" w:space="0" w:color="auto"/>
            </w:tcBorders>
            <w:shd w:val="clear" w:color="auto" w:fill="F3F9FA"/>
            <w:vAlign w:val="center"/>
          </w:tcPr>
          <w:p w14:paraId="29C5010E"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05C63794"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204ED2CD"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0AF9D87E"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2DF32155"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63527F43" w14:textId="77777777" w:rsidR="004920D8" w:rsidRDefault="004920D8" w:rsidP="00DD3BAE">
            <w:pPr>
              <w:spacing w:before="0" w:after="0"/>
              <w:jc w:val="center"/>
              <w:rPr>
                <w:color w:val="000000"/>
                <w:sz w:val="14"/>
                <w:szCs w:val="14"/>
              </w:rPr>
            </w:pPr>
          </w:p>
        </w:tc>
        <w:tc>
          <w:tcPr>
            <w:tcW w:w="546" w:type="dxa"/>
            <w:tcBorders>
              <w:bottom w:val="nil"/>
              <w:right w:val="nil"/>
            </w:tcBorders>
            <w:shd w:val="clear" w:color="auto" w:fill="F3F9FA"/>
            <w:vAlign w:val="center"/>
          </w:tcPr>
          <w:p w14:paraId="6EE90ED2" w14:textId="77777777" w:rsidR="004920D8" w:rsidRDefault="004920D8" w:rsidP="00DD3BAE">
            <w:pPr>
              <w:spacing w:before="0" w:after="0"/>
              <w:jc w:val="center"/>
              <w:rPr>
                <w:color w:val="000000"/>
                <w:sz w:val="14"/>
                <w:szCs w:val="14"/>
              </w:rPr>
            </w:pPr>
          </w:p>
        </w:tc>
      </w:tr>
      <w:tr w:rsidR="004920D8" w14:paraId="024952FF"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267856D7" w14:textId="77777777" w:rsidR="004920D8" w:rsidRDefault="004920D8" w:rsidP="00DD3BAE">
            <w:pPr>
              <w:spacing w:before="0" w:after="0"/>
              <w:rPr>
                <w:color w:val="000000"/>
                <w:sz w:val="14"/>
                <w:szCs w:val="14"/>
              </w:rPr>
            </w:pPr>
          </w:p>
        </w:tc>
        <w:tc>
          <w:tcPr>
            <w:tcW w:w="1294" w:type="dxa"/>
            <w:vMerge/>
            <w:tcBorders>
              <w:left w:val="nil"/>
              <w:right w:val="nil"/>
            </w:tcBorders>
            <w:vAlign w:val="center"/>
            <w:hideMark/>
          </w:tcPr>
          <w:p w14:paraId="71A84441"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bottom w:val="nil"/>
              <w:right w:val="nil"/>
            </w:tcBorders>
            <w:shd w:val="clear" w:color="auto" w:fill="F3F9FA"/>
            <w:vAlign w:val="center"/>
            <w:hideMark/>
          </w:tcPr>
          <w:p w14:paraId="5F4F5CC2" w14:textId="77777777" w:rsidR="004920D8" w:rsidRDefault="004920D8" w:rsidP="00DD3BAE">
            <w:pPr>
              <w:spacing w:before="0" w:after="0"/>
              <w:jc w:val="center"/>
              <w:rPr>
                <w:color w:val="000000"/>
                <w:sz w:val="14"/>
                <w:szCs w:val="14"/>
              </w:rPr>
            </w:pPr>
            <w:r>
              <w:rPr>
                <w:color w:val="000000"/>
                <w:sz w:val="14"/>
                <w:szCs w:val="14"/>
              </w:rPr>
              <w:t>Plane</w:t>
            </w:r>
          </w:p>
        </w:tc>
        <w:tc>
          <w:tcPr>
            <w:tcW w:w="1307" w:type="dxa"/>
            <w:vMerge w:val="restart"/>
            <w:tcBorders>
              <w:top w:val="single" w:sz="4" w:space="0" w:color="auto"/>
              <w:left w:val="nil"/>
              <w:bottom w:val="nil"/>
              <w:right w:val="nil"/>
            </w:tcBorders>
            <w:shd w:val="clear" w:color="auto" w:fill="F3F9FA"/>
            <w:noWrap/>
            <w:vAlign w:val="center"/>
            <w:hideMark/>
          </w:tcPr>
          <w:p w14:paraId="02A67518" w14:textId="77777777" w:rsidR="004920D8" w:rsidRDefault="004920D8" w:rsidP="00DD3BAE">
            <w:pPr>
              <w:spacing w:before="0" w:after="0"/>
              <w:jc w:val="center"/>
              <w:rPr>
                <w:color w:val="000000"/>
                <w:sz w:val="14"/>
                <w:szCs w:val="14"/>
              </w:rPr>
            </w:pPr>
            <w:r>
              <w:rPr>
                <w:color w:val="000000"/>
                <w:sz w:val="14"/>
                <w:szCs w:val="14"/>
              </w:rPr>
              <w:t>Sarina Inlet</w:t>
            </w:r>
          </w:p>
        </w:tc>
        <w:tc>
          <w:tcPr>
            <w:tcW w:w="840" w:type="dxa"/>
            <w:tcBorders>
              <w:top w:val="single" w:sz="4" w:space="0" w:color="auto"/>
              <w:left w:val="nil"/>
              <w:right w:val="nil"/>
            </w:tcBorders>
            <w:shd w:val="clear" w:color="auto" w:fill="F3F9FA"/>
            <w:noWrap/>
            <w:vAlign w:val="center"/>
            <w:hideMark/>
          </w:tcPr>
          <w:p w14:paraId="46E6BB70" w14:textId="77777777" w:rsidR="004920D8" w:rsidRDefault="004920D8" w:rsidP="00DD3BAE">
            <w:pPr>
              <w:spacing w:before="0" w:after="0"/>
              <w:jc w:val="center"/>
              <w:rPr>
                <w:b/>
                <w:color w:val="000000"/>
                <w:sz w:val="14"/>
                <w:szCs w:val="14"/>
              </w:rPr>
            </w:pPr>
            <w:r>
              <w:rPr>
                <w:b/>
                <w:color w:val="000000"/>
                <w:sz w:val="14"/>
                <w:szCs w:val="14"/>
              </w:rPr>
              <w:t>SI1</w:t>
            </w:r>
          </w:p>
        </w:tc>
        <w:tc>
          <w:tcPr>
            <w:tcW w:w="555" w:type="dxa"/>
            <w:tcBorders>
              <w:top w:val="single" w:sz="4" w:space="0" w:color="auto"/>
              <w:left w:val="nil"/>
              <w:right w:val="nil"/>
            </w:tcBorders>
            <w:shd w:val="clear" w:color="auto" w:fill="F3F9FA"/>
            <w:vAlign w:val="center"/>
            <w:hideMark/>
          </w:tcPr>
          <w:p w14:paraId="1CB1877E"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61A7A20C"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770085D1"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6A1A8C7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178CE1CB"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12BEF3A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hideMark/>
          </w:tcPr>
          <w:p w14:paraId="4296FFE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hideMark/>
          </w:tcPr>
          <w:p w14:paraId="35E40268"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073D202F"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4F085AB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0E8D7F7E"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6560CA2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hideMark/>
          </w:tcPr>
          <w:p w14:paraId="4D384203"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3DF5E9D0" w14:textId="77777777" w:rsidTr="00D64955">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201B54F" w14:textId="77777777" w:rsidR="004920D8" w:rsidRDefault="004920D8" w:rsidP="00DD3BAE">
            <w:pPr>
              <w:spacing w:before="0" w:after="0"/>
              <w:rPr>
                <w:color w:val="000000"/>
                <w:sz w:val="14"/>
                <w:szCs w:val="14"/>
              </w:rPr>
            </w:pPr>
          </w:p>
        </w:tc>
        <w:tc>
          <w:tcPr>
            <w:tcW w:w="1294" w:type="dxa"/>
            <w:vMerge/>
            <w:tcBorders>
              <w:left w:val="nil"/>
              <w:bottom w:val="single" w:sz="4" w:space="0" w:color="auto"/>
              <w:right w:val="nil"/>
            </w:tcBorders>
            <w:vAlign w:val="center"/>
            <w:hideMark/>
          </w:tcPr>
          <w:p w14:paraId="26958C24"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522E15E5"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D0AE3B5" w14:textId="77777777" w:rsidR="004920D8" w:rsidRDefault="004920D8" w:rsidP="00DD3BAE">
            <w:pPr>
              <w:spacing w:before="0" w:after="0"/>
              <w:rPr>
                <w:color w:val="000000"/>
                <w:sz w:val="14"/>
                <w:szCs w:val="14"/>
              </w:rPr>
            </w:pPr>
          </w:p>
        </w:tc>
        <w:tc>
          <w:tcPr>
            <w:tcW w:w="840" w:type="dxa"/>
            <w:tcBorders>
              <w:left w:val="nil"/>
              <w:bottom w:val="nil"/>
            </w:tcBorders>
            <w:shd w:val="clear" w:color="auto" w:fill="F3F9FA"/>
            <w:noWrap/>
            <w:vAlign w:val="center"/>
            <w:hideMark/>
          </w:tcPr>
          <w:p w14:paraId="35CE77B6" w14:textId="77777777" w:rsidR="004920D8" w:rsidRDefault="004920D8" w:rsidP="00DD3BAE">
            <w:pPr>
              <w:spacing w:before="0" w:after="0"/>
              <w:jc w:val="center"/>
              <w:rPr>
                <w:b/>
                <w:color w:val="000000"/>
                <w:sz w:val="14"/>
                <w:szCs w:val="14"/>
              </w:rPr>
            </w:pPr>
            <w:r>
              <w:rPr>
                <w:b/>
                <w:color w:val="000000"/>
                <w:sz w:val="14"/>
                <w:szCs w:val="14"/>
              </w:rPr>
              <w:t>SI2</w:t>
            </w:r>
          </w:p>
        </w:tc>
        <w:tc>
          <w:tcPr>
            <w:tcW w:w="555" w:type="dxa"/>
            <w:tcBorders>
              <w:bottom w:val="nil"/>
            </w:tcBorders>
            <w:shd w:val="clear" w:color="auto" w:fill="F3F9FA"/>
            <w:vAlign w:val="center"/>
            <w:hideMark/>
          </w:tcPr>
          <w:p w14:paraId="4CD35C9B"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639477D4"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51C5F1D5"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31DB4ED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456CA5D6"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7422D5C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776F7D91"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hideMark/>
          </w:tcPr>
          <w:p w14:paraId="0B311AE4"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75E15000"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5FC7128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731E88B3"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756F3C0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475FB6D5" w14:textId="77777777" w:rsidR="004920D8" w:rsidRDefault="004920D8" w:rsidP="00DD3BAE">
            <w:pPr>
              <w:spacing w:before="0" w:after="0"/>
              <w:jc w:val="center"/>
              <w:rPr>
                <w:color w:val="000000"/>
                <w:sz w:val="14"/>
                <w:szCs w:val="14"/>
              </w:rPr>
            </w:pPr>
          </w:p>
        </w:tc>
      </w:tr>
      <w:tr w:rsidR="004920D8" w14:paraId="36846995" w14:textId="77777777" w:rsidTr="00D64955">
        <w:trPr>
          <w:gridAfter w:val="1"/>
          <w:wAfter w:w="10" w:type="dxa"/>
          <w:cantSplit/>
          <w:trHeight w:val="170"/>
          <w:jc w:val="center"/>
        </w:trPr>
        <w:tc>
          <w:tcPr>
            <w:tcW w:w="1148" w:type="dxa"/>
            <w:vMerge w:val="restart"/>
            <w:tcBorders>
              <w:top w:val="single" w:sz="4" w:space="0" w:color="auto"/>
              <w:left w:val="nil"/>
              <w:bottom w:val="single" w:sz="4" w:space="0" w:color="auto"/>
              <w:right w:val="nil"/>
            </w:tcBorders>
            <w:noWrap/>
            <w:vAlign w:val="center"/>
            <w:hideMark/>
          </w:tcPr>
          <w:p w14:paraId="1E17A1A3" w14:textId="77777777" w:rsidR="004920D8" w:rsidRDefault="004920D8" w:rsidP="00DD3BAE">
            <w:pPr>
              <w:spacing w:before="0" w:after="0"/>
              <w:jc w:val="center"/>
              <w:rPr>
                <w:color w:val="000000"/>
                <w:sz w:val="14"/>
                <w:szCs w:val="14"/>
              </w:rPr>
            </w:pPr>
            <w:r>
              <w:rPr>
                <w:color w:val="000000"/>
                <w:sz w:val="14"/>
                <w:szCs w:val="14"/>
              </w:rPr>
              <w:t>Southern</w:t>
            </w:r>
          </w:p>
        </w:tc>
        <w:tc>
          <w:tcPr>
            <w:tcW w:w="1294" w:type="dxa"/>
            <w:vMerge w:val="restart"/>
            <w:tcBorders>
              <w:top w:val="single" w:sz="4" w:space="0" w:color="auto"/>
              <w:left w:val="nil"/>
              <w:bottom w:val="single" w:sz="4" w:space="0" w:color="auto"/>
              <w:right w:val="nil"/>
            </w:tcBorders>
            <w:shd w:val="clear" w:color="auto" w:fill="E7F3F4"/>
            <w:noWrap/>
            <w:vAlign w:val="center"/>
            <w:hideMark/>
          </w:tcPr>
          <w:p w14:paraId="0BA0B239" w14:textId="77777777" w:rsidR="004920D8" w:rsidRDefault="004920D8" w:rsidP="00DD3BAE">
            <w:pPr>
              <w:spacing w:before="0" w:after="0"/>
              <w:jc w:val="center"/>
              <w:rPr>
                <w:color w:val="000000"/>
                <w:sz w:val="14"/>
                <w:szCs w:val="14"/>
              </w:rPr>
            </w:pPr>
            <w:r>
              <w:rPr>
                <w:color w:val="000000"/>
                <w:sz w:val="14"/>
                <w:szCs w:val="14"/>
              </w:rPr>
              <w:t xml:space="preserve">Fitzroy </w:t>
            </w:r>
          </w:p>
        </w:tc>
        <w:tc>
          <w:tcPr>
            <w:tcW w:w="1299" w:type="dxa"/>
            <w:vMerge w:val="restart"/>
            <w:tcBorders>
              <w:top w:val="single" w:sz="4" w:space="0" w:color="auto"/>
              <w:left w:val="nil"/>
              <w:bottom w:val="single" w:sz="4" w:space="0" w:color="auto"/>
              <w:right w:val="nil"/>
            </w:tcBorders>
            <w:shd w:val="clear" w:color="auto" w:fill="E7F3F4"/>
            <w:vAlign w:val="center"/>
            <w:hideMark/>
          </w:tcPr>
          <w:p w14:paraId="2EE1FD8A" w14:textId="77777777" w:rsidR="004920D8" w:rsidRDefault="004920D8" w:rsidP="00DD3BAE">
            <w:pPr>
              <w:spacing w:before="0" w:after="0"/>
              <w:jc w:val="center"/>
              <w:rPr>
                <w:color w:val="000000"/>
                <w:sz w:val="14"/>
                <w:szCs w:val="14"/>
              </w:rPr>
            </w:pPr>
            <w:r>
              <w:rPr>
                <w:color w:val="000000"/>
                <w:sz w:val="14"/>
                <w:szCs w:val="14"/>
              </w:rPr>
              <w:t>Fitzroy</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2EC85FE4" w14:textId="77777777" w:rsidR="004920D8" w:rsidRDefault="004920D8" w:rsidP="00DD3BAE">
            <w:pPr>
              <w:spacing w:before="0" w:after="0"/>
              <w:jc w:val="center"/>
              <w:rPr>
                <w:color w:val="000000"/>
                <w:sz w:val="14"/>
                <w:szCs w:val="14"/>
              </w:rPr>
            </w:pPr>
            <w:r>
              <w:rPr>
                <w:color w:val="000000"/>
                <w:sz w:val="14"/>
                <w:szCs w:val="14"/>
              </w:rPr>
              <w:t>Shoalwater Bay</w:t>
            </w:r>
          </w:p>
        </w:tc>
        <w:tc>
          <w:tcPr>
            <w:tcW w:w="840" w:type="dxa"/>
            <w:tcBorders>
              <w:top w:val="single" w:sz="4" w:space="0" w:color="auto"/>
              <w:left w:val="nil"/>
              <w:bottom w:val="nil"/>
              <w:right w:val="nil"/>
            </w:tcBorders>
            <w:shd w:val="clear" w:color="auto" w:fill="E7F3F4"/>
            <w:noWrap/>
            <w:vAlign w:val="center"/>
            <w:hideMark/>
          </w:tcPr>
          <w:p w14:paraId="58136F9D" w14:textId="77777777" w:rsidR="004920D8" w:rsidRDefault="004920D8" w:rsidP="00DD3BAE">
            <w:pPr>
              <w:spacing w:before="0" w:after="0"/>
              <w:jc w:val="center"/>
              <w:rPr>
                <w:b/>
                <w:color w:val="000000"/>
                <w:sz w:val="14"/>
                <w:szCs w:val="14"/>
              </w:rPr>
            </w:pPr>
            <w:r>
              <w:rPr>
                <w:b/>
                <w:color w:val="000000"/>
                <w:sz w:val="14"/>
                <w:szCs w:val="14"/>
              </w:rPr>
              <w:t>RC1</w:t>
            </w:r>
          </w:p>
        </w:tc>
        <w:tc>
          <w:tcPr>
            <w:tcW w:w="555" w:type="dxa"/>
            <w:tcBorders>
              <w:top w:val="single" w:sz="4" w:space="0" w:color="auto"/>
              <w:left w:val="nil"/>
              <w:bottom w:val="nil"/>
              <w:right w:val="nil"/>
            </w:tcBorders>
            <w:shd w:val="clear" w:color="auto" w:fill="E7F3F4"/>
            <w:vAlign w:val="center"/>
            <w:hideMark/>
          </w:tcPr>
          <w:p w14:paraId="7CADC64E"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14:paraId="319D8A3C"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14:paraId="03CCE8DB"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14:paraId="670DD0D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14:paraId="18123D59"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14:paraId="0EC8465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34403F1E"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bottom w:val="nil"/>
              <w:right w:val="nil"/>
            </w:tcBorders>
            <w:shd w:val="clear" w:color="auto" w:fill="E7F3F4"/>
            <w:vAlign w:val="center"/>
          </w:tcPr>
          <w:p w14:paraId="1FC239DE"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7932B690"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2992A601"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79F73938"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14:paraId="1C5B16C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14:paraId="6D858677" w14:textId="77777777" w:rsidR="004920D8" w:rsidRDefault="004920D8" w:rsidP="00DD3BAE">
            <w:pPr>
              <w:spacing w:before="0" w:after="0"/>
              <w:jc w:val="center"/>
              <w:rPr>
                <w:color w:val="000000"/>
                <w:sz w:val="14"/>
                <w:szCs w:val="14"/>
              </w:rPr>
            </w:pPr>
          </w:p>
        </w:tc>
      </w:tr>
      <w:tr w:rsidR="004920D8" w14:paraId="4C4B4073"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10D357C4"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16DABD7E"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60A44298"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189BA76C" w14:textId="77777777" w:rsidR="004920D8" w:rsidRDefault="004920D8" w:rsidP="00DD3BAE">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14:paraId="2672AAC9" w14:textId="77777777" w:rsidR="004920D8" w:rsidRDefault="004920D8" w:rsidP="00DD3BAE">
            <w:pPr>
              <w:spacing w:before="0" w:after="0"/>
              <w:jc w:val="center"/>
              <w:rPr>
                <w:b/>
                <w:color w:val="000000"/>
                <w:sz w:val="14"/>
                <w:szCs w:val="14"/>
              </w:rPr>
            </w:pPr>
            <w:r>
              <w:rPr>
                <w:b/>
                <w:color w:val="000000"/>
                <w:sz w:val="14"/>
                <w:szCs w:val="14"/>
              </w:rPr>
              <w:t>WH1</w:t>
            </w:r>
          </w:p>
        </w:tc>
        <w:tc>
          <w:tcPr>
            <w:tcW w:w="555" w:type="dxa"/>
            <w:tcBorders>
              <w:top w:val="nil"/>
              <w:left w:val="nil"/>
              <w:bottom w:val="single" w:sz="4" w:space="0" w:color="auto"/>
              <w:right w:val="nil"/>
            </w:tcBorders>
            <w:shd w:val="clear" w:color="auto" w:fill="E7F3F4"/>
            <w:vAlign w:val="center"/>
            <w:hideMark/>
          </w:tcPr>
          <w:p w14:paraId="180E9E9D"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14:paraId="03E7AC5B"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hideMark/>
          </w:tcPr>
          <w:p w14:paraId="69CBBED3"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14:paraId="4864A57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14:paraId="582C363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14:paraId="3327FAF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E7F3F4"/>
            <w:vAlign w:val="center"/>
            <w:hideMark/>
          </w:tcPr>
          <w:p w14:paraId="1FD30D8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single" w:sz="4" w:space="0" w:color="auto"/>
              <w:bottom w:val="single" w:sz="4" w:space="0" w:color="auto"/>
              <w:right w:val="nil"/>
            </w:tcBorders>
            <w:shd w:val="clear" w:color="auto" w:fill="E7F3F4"/>
            <w:vAlign w:val="center"/>
          </w:tcPr>
          <w:p w14:paraId="7EB9BD70"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6A57F01"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06061306"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2146F7F"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hideMark/>
          </w:tcPr>
          <w:p w14:paraId="55063C51"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hideMark/>
          </w:tcPr>
          <w:p w14:paraId="6B44DFD1"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41AE8ADE"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7DF4486D"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1F8B76D5"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445A9F52" w14:textId="77777777" w:rsidR="004920D8" w:rsidRDefault="004920D8" w:rsidP="00DD3BAE">
            <w:pPr>
              <w:spacing w:before="0" w:after="0"/>
              <w:rPr>
                <w:color w:val="000000"/>
                <w:sz w:val="14"/>
                <w:szCs w:val="14"/>
              </w:rPr>
            </w:pP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639EF3BD" w14:textId="77777777" w:rsidR="004920D8" w:rsidRDefault="004920D8" w:rsidP="00DD3BAE">
            <w:pPr>
              <w:spacing w:before="0" w:after="0"/>
              <w:jc w:val="center"/>
              <w:rPr>
                <w:color w:val="000000"/>
                <w:sz w:val="14"/>
                <w:szCs w:val="14"/>
              </w:rPr>
            </w:pPr>
            <w:r>
              <w:rPr>
                <w:color w:val="000000"/>
                <w:sz w:val="14"/>
                <w:szCs w:val="14"/>
              </w:rPr>
              <w:t>Great Keppel Island</w:t>
            </w:r>
          </w:p>
        </w:tc>
        <w:tc>
          <w:tcPr>
            <w:tcW w:w="840" w:type="dxa"/>
            <w:tcBorders>
              <w:top w:val="single" w:sz="4" w:space="0" w:color="auto"/>
              <w:left w:val="nil"/>
              <w:bottom w:val="nil"/>
              <w:right w:val="nil"/>
            </w:tcBorders>
            <w:shd w:val="clear" w:color="auto" w:fill="E7F3F4"/>
            <w:noWrap/>
            <w:vAlign w:val="center"/>
            <w:hideMark/>
          </w:tcPr>
          <w:p w14:paraId="63F98987" w14:textId="77777777" w:rsidR="004920D8" w:rsidRDefault="004920D8" w:rsidP="00DD3BAE">
            <w:pPr>
              <w:spacing w:before="0" w:after="0"/>
              <w:jc w:val="center"/>
              <w:rPr>
                <w:b/>
                <w:color w:val="000000"/>
                <w:sz w:val="14"/>
                <w:szCs w:val="14"/>
              </w:rPr>
            </w:pPr>
            <w:r>
              <w:rPr>
                <w:b/>
                <w:color w:val="000000"/>
                <w:sz w:val="14"/>
                <w:szCs w:val="14"/>
              </w:rPr>
              <w:t>GK1</w:t>
            </w:r>
          </w:p>
        </w:tc>
        <w:tc>
          <w:tcPr>
            <w:tcW w:w="555" w:type="dxa"/>
            <w:tcBorders>
              <w:top w:val="single" w:sz="4" w:space="0" w:color="auto"/>
              <w:left w:val="nil"/>
              <w:bottom w:val="nil"/>
              <w:right w:val="nil"/>
            </w:tcBorders>
            <w:shd w:val="clear" w:color="auto" w:fill="E7F3F4"/>
            <w:vAlign w:val="center"/>
            <w:hideMark/>
          </w:tcPr>
          <w:p w14:paraId="771DE126" w14:textId="77777777" w:rsidR="004920D8" w:rsidRDefault="004920D8" w:rsidP="00DD3BAE">
            <w:pPr>
              <w:spacing w:before="0" w:after="0"/>
              <w:jc w:val="center"/>
              <w:rPr>
                <w:color w:val="000000"/>
                <w:sz w:val="14"/>
                <w:szCs w:val="14"/>
              </w:rPr>
            </w:pPr>
            <w:r>
              <w:rPr>
                <w:color w:val="000000"/>
                <w:sz w:val="14"/>
                <w:szCs w:val="14"/>
              </w:rPr>
              <w:t>33</w:t>
            </w:r>
          </w:p>
        </w:tc>
        <w:tc>
          <w:tcPr>
            <w:tcW w:w="543" w:type="dxa"/>
            <w:shd w:val="clear" w:color="auto" w:fill="E7F3F4"/>
            <w:noWrap/>
            <w:vAlign w:val="center"/>
            <w:hideMark/>
          </w:tcPr>
          <w:p w14:paraId="5053583A" w14:textId="77777777" w:rsidR="004920D8" w:rsidRDefault="004920D8" w:rsidP="00DD3BAE">
            <w:pPr>
              <w:spacing w:before="0" w:after="0"/>
              <w:jc w:val="center"/>
              <w:rPr>
                <w:color w:val="000000"/>
                <w:sz w:val="14"/>
                <w:szCs w:val="14"/>
              </w:rPr>
            </w:pPr>
            <w:r>
              <w:rPr>
                <w:color w:val="000000"/>
                <w:sz w:val="14"/>
                <w:szCs w:val="14"/>
              </w:rPr>
              <w:t>30</w:t>
            </w:r>
          </w:p>
        </w:tc>
        <w:tc>
          <w:tcPr>
            <w:tcW w:w="540" w:type="dxa"/>
            <w:shd w:val="clear" w:color="auto" w:fill="E7F3F4"/>
            <w:noWrap/>
            <w:vAlign w:val="center"/>
            <w:hideMark/>
          </w:tcPr>
          <w:p w14:paraId="286C98CA"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14:paraId="692E508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14:paraId="30D522E4"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14:paraId="7BA84D5B"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02AC95A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bottom w:val="nil"/>
              <w:right w:val="nil"/>
            </w:tcBorders>
            <w:shd w:val="clear" w:color="auto" w:fill="E7F3F4"/>
            <w:vAlign w:val="center"/>
          </w:tcPr>
          <w:p w14:paraId="31F69378"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5B842DF9"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78E48FF5"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7373966C"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14:paraId="345EA72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14:paraId="2E3EFE4D"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6ADCD6D6"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601237A5"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35ED9C58"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7793A8EB"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76C42E1D" w14:textId="77777777" w:rsidR="004920D8" w:rsidRDefault="004920D8" w:rsidP="00DD3BAE">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14:paraId="5F29FA5B" w14:textId="77777777" w:rsidR="004920D8" w:rsidRDefault="004920D8" w:rsidP="00DD3BAE">
            <w:pPr>
              <w:spacing w:before="0" w:after="0"/>
              <w:jc w:val="center"/>
              <w:rPr>
                <w:b/>
                <w:color w:val="000000"/>
                <w:sz w:val="14"/>
                <w:szCs w:val="14"/>
              </w:rPr>
            </w:pPr>
            <w:r>
              <w:rPr>
                <w:b/>
                <w:color w:val="000000"/>
                <w:sz w:val="14"/>
                <w:szCs w:val="14"/>
              </w:rPr>
              <w:t>GK2</w:t>
            </w:r>
          </w:p>
        </w:tc>
        <w:tc>
          <w:tcPr>
            <w:tcW w:w="555" w:type="dxa"/>
            <w:tcBorders>
              <w:top w:val="nil"/>
              <w:left w:val="nil"/>
              <w:bottom w:val="single" w:sz="4" w:space="0" w:color="auto"/>
              <w:right w:val="nil"/>
            </w:tcBorders>
            <w:shd w:val="clear" w:color="auto" w:fill="E7F3F4"/>
            <w:vAlign w:val="center"/>
            <w:hideMark/>
          </w:tcPr>
          <w:p w14:paraId="68765D95"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14:paraId="1FF105E2"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tcPr>
          <w:p w14:paraId="7C7B6007"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14:paraId="241FDDD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14:paraId="758E26CB"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14:paraId="69732198"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E7F3F4"/>
            <w:vAlign w:val="center"/>
          </w:tcPr>
          <w:p w14:paraId="00DCBB22" w14:textId="77777777" w:rsidR="004920D8" w:rsidRDefault="004920D8" w:rsidP="00DD3BAE">
            <w:pPr>
              <w:spacing w:before="0" w:after="0"/>
              <w:jc w:val="center"/>
              <w:rPr>
                <w:color w:val="000000"/>
                <w:sz w:val="14"/>
                <w:szCs w:val="14"/>
              </w:rPr>
            </w:pPr>
          </w:p>
        </w:tc>
        <w:tc>
          <w:tcPr>
            <w:tcW w:w="559" w:type="dxa"/>
            <w:tcBorders>
              <w:top w:val="nil"/>
              <w:left w:val="single" w:sz="4" w:space="0" w:color="auto"/>
              <w:bottom w:val="single" w:sz="4" w:space="0" w:color="auto"/>
              <w:right w:val="nil"/>
            </w:tcBorders>
            <w:shd w:val="clear" w:color="auto" w:fill="E7F3F4"/>
            <w:vAlign w:val="center"/>
          </w:tcPr>
          <w:p w14:paraId="2F03C4F2"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EA7373B"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2FFEA412"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56E90939"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hideMark/>
          </w:tcPr>
          <w:p w14:paraId="4513C2D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tcPr>
          <w:p w14:paraId="2227C5D2" w14:textId="77777777" w:rsidR="004920D8" w:rsidRDefault="004920D8" w:rsidP="00DD3BAE">
            <w:pPr>
              <w:spacing w:before="0" w:after="0"/>
              <w:jc w:val="center"/>
              <w:rPr>
                <w:color w:val="000000"/>
                <w:sz w:val="14"/>
                <w:szCs w:val="14"/>
              </w:rPr>
            </w:pPr>
          </w:p>
        </w:tc>
      </w:tr>
      <w:tr w:rsidR="004920D8" w14:paraId="1DE438CC"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352ACFDF"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467568DD"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bottom w:val="single" w:sz="4" w:space="0" w:color="auto"/>
              <w:right w:val="nil"/>
            </w:tcBorders>
            <w:shd w:val="clear" w:color="auto" w:fill="E7F3F4"/>
            <w:vAlign w:val="center"/>
            <w:hideMark/>
          </w:tcPr>
          <w:p w14:paraId="2144D1BC" w14:textId="77777777" w:rsidR="004920D8" w:rsidRDefault="004920D8" w:rsidP="00DD3BAE">
            <w:pPr>
              <w:spacing w:before="0" w:after="0"/>
              <w:jc w:val="center"/>
              <w:rPr>
                <w:color w:val="000000"/>
                <w:sz w:val="14"/>
                <w:szCs w:val="14"/>
              </w:rPr>
            </w:pPr>
            <w:r>
              <w:rPr>
                <w:color w:val="000000"/>
                <w:sz w:val="14"/>
                <w:szCs w:val="14"/>
              </w:rPr>
              <w:t>Boyne</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682EDEE7" w14:textId="77777777" w:rsidR="004920D8" w:rsidRDefault="004920D8" w:rsidP="00DD3BAE">
            <w:pPr>
              <w:spacing w:before="0" w:after="0"/>
              <w:jc w:val="center"/>
              <w:rPr>
                <w:color w:val="000000"/>
                <w:sz w:val="14"/>
                <w:szCs w:val="14"/>
              </w:rPr>
            </w:pPr>
            <w:r>
              <w:rPr>
                <w:color w:val="000000"/>
                <w:sz w:val="14"/>
                <w:szCs w:val="14"/>
              </w:rPr>
              <w:t>Gladstone Harbour</w:t>
            </w:r>
          </w:p>
        </w:tc>
        <w:tc>
          <w:tcPr>
            <w:tcW w:w="840" w:type="dxa"/>
            <w:tcBorders>
              <w:top w:val="single" w:sz="4" w:space="0" w:color="auto"/>
              <w:left w:val="nil"/>
              <w:bottom w:val="nil"/>
              <w:right w:val="nil"/>
            </w:tcBorders>
            <w:shd w:val="clear" w:color="auto" w:fill="E7F3F4"/>
            <w:noWrap/>
            <w:vAlign w:val="center"/>
            <w:hideMark/>
          </w:tcPr>
          <w:p w14:paraId="692A3A4D" w14:textId="77777777" w:rsidR="004920D8" w:rsidRDefault="004920D8" w:rsidP="00DD3BAE">
            <w:pPr>
              <w:spacing w:before="0" w:after="0"/>
              <w:jc w:val="center"/>
              <w:rPr>
                <w:b/>
                <w:color w:val="000000"/>
                <w:sz w:val="14"/>
                <w:szCs w:val="14"/>
              </w:rPr>
            </w:pPr>
            <w:r>
              <w:rPr>
                <w:b/>
                <w:color w:val="000000"/>
                <w:sz w:val="14"/>
                <w:szCs w:val="14"/>
              </w:rPr>
              <w:t>GH1</w:t>
            </w:r>
          </w:p>
        </w:tc>
        <w:tc>
          <w:tcPr>
            <w:tcW w:w="555" w:type="dxa"/>
            <w:tcBorders>
              <w:top w:val="single" w:sz="4" w:space="0" w:color="auto"/>
              <w:left w:val="nil"/>
              <w:bottom w:val="nil"/>
              <w:right w:val="nil"/>
            </w:tcBorders>
            <w:shd w:val="clear" w:color="auto" w:fill="E7F3F4"/>
            <w:vAlign w:val="center"/>
            <w:hideMark/>
          </w:tcPr>
          <w:p w14:paraId="140B9BE1"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14:paraId="1C67BC8A"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14:paraId="52B8BDA4"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14:paraId="14502FA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14:paraId="63418CF5"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14:paraId="64C98B0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22E7D806"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bottom w:val="nil"/>
              <w:right w:val="nil"/>
            </w:tcBorders>
            <w:shd w:val="clear" w:color="auto" w:fill="E7F3F4"/>
            <w:vAlign w:val="center"/>
          </w:tcPr>
          <w:p w14:paraId="33572C68"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324F5D89"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29C41CC0"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638FAC44"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14:paraId="19D0A79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14:paraId="74B9FB22"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08ECE187"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57639DE2"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23ACD4A6"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3866AD36"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560FC057" w14:textId="77777777" w:rsidR="004920D8" w:rsidRDefault="004920D8" w:rsidP="00DD3BAE">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14:paraId="3552ADA3" w14:textId="77777777" w:rsidR="004920D8" w:rsidRDefault="004920D8" w:rsidP="00DD3BAE">
            <w:pPr>
              <w:spacing w:before="0" w:after="0"/>
              <w:jc w:val="center"/>
              <w:rPr>
                <w:b/>
                <w:color w:val="000000"/>
                <w:sz w:val="14"/>
                <w:szCs w:val="14"/>
              </w:rPr>
            </w:pPr>
            <w:r>
              <w:rPr>
                <w:b/>
                <w:color w:val="000000"/>
                <w:sz w:val="14"/>
                <w:szCs w:val="14"/>
              </w:rPr>
              <w:t>GH2</w:t>
            </w:r>
          </w:p>
        </w:tc>
        <w:tc>
          <w:tcPr>
            <w:tcW w:w="555" w:type="dxa"/>
            <w:tcBorders>
              <w:top w:val="nil"/>
              <w:left w:val="nil"/>
              <w:bottom w:val="single" w:sz="4" w:space="0" w:color="auto"/>
              <w:right w:val="nil"/>
            </w:tcBorders>
            <w:shd w:val="clear" w:color="auto" w:fill="E7F3F4"/>
            <w:vAlign w:val="center"/>
            <w:hideMark/>
          </w:tcPr>
          <w:p w14:paraId="3FDC0C7F"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14:paraId="77D84C82"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hideMark/>
          </w:tcPr>
          <w:p w14:paraId="3FFC1867"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14:paraId="454106F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14:paraId="6AB488D1"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14:paraId="2AF1B363"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E7F3F4"/>
            <w:vAlign w:val="center"/>
          </w:tcPr>
          <w:p w14:paraId="157BA14D" w14:textId="77777777" w:rsidR="004920D8" w:rsidRDefault="004920D8" w:rsidP="00DD3BAE">
            <w:pPr>
              <w:spacing w:before="0" w:after="0"/>
              <w:jc w:val="center"/>
              <w:rPr>
                <w:color w:val="000000"/>
                <w:sz w:val="14"/>
                <w:szCs w:val="14"/>
              </w:rPr>
            </w:pPr>
          </w:p>
        </w:tc>
        <w:tc>
          <w:tcPr>
            <w:tcW w:w="559" w:type="dxa"/>
            <w:tcBorders>
              <w:top w:val="nil"/>
              <w:left w:val="single" w:sz="4" w:space="0" w:color="auto"/>
              <w:bottom w:val="single" w:sz="4" w:space="0" w:color="auto"/>
              <w:right w:val="nil"/>
            </w:tcBorders>
            <w:shd w:val="clear" w:color="auto" w:fill="E7F3F4"/>
            <w:vAlign w:val="center"/>
          </w:tcPr>
          <w:p w14:paraId="42E7D3A0"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52AE73FF"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09A4D36F"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134FFBFB"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7E82779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tcPr>
          <w:p w14:paraId="6E31D608" w14:textId="77777777" w:rsidR="004920D8" w:rsidRDefault="004920D8" w:rsidP="00DD3BAE">
            <w:pPr>
              <w:spacing w:before="0" w:after="0"/>
              <w:jc w:val="center"/>
              <w:rPr>
                <w:color w:val="000000"/>
                <w:sz w:val="14"/>
                <w:szCs w:val="14"/>
              </w:rPr>
            </w:pPr>
          </w:p>
        </w:tc>
      </w:tr>
      <w:tr w:rsidR="004920D8" w14:paraId="42EA943E"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0294ABD3" w14:textId="77777777" w:rsidR="004920D8" w:rsidRDefault="004920D8" w:rsidP="00DD3BAE">
            <w:pPr>
              <w:spacing w:before="0" w:after="0"/>
              <w:rPr>
                <w:color w:val="000000"/>
                <w:sz w:val="14"/>
                <w:szCs w:val="14"/>
              </w:rPr>
            </w:pPr>
          </w:p>
        </w:tc>
        <w:tc>
          <w:tcPr>
            <w:tcW w:w="1294" w:type="dxa"/>
            <w:vMerge w:val="restart"/>
            <w:tcBorders>
              <w:top w:val="single" w:sz="4" w:space="0" w:color="auto"/>
              <w:left w:val="nil"/>
              <w:bottom w:val="single" w:sz="4" w:space="0" w:color="auto"/>
              <w:right w:val="nil"/>
            </w:tcBorders>
            <w:shd w:val="clear" w:color="auto" w:fill="F3F9FA"/>
            <w:noWrap/>
            <w:vAlign w:val="center"/>
            <w:hideMark/>
          </w:tcPr>
          <w:p w14:paraId="1C905E79" w14:textId="77777777" w:rsidR="004920D8" w:rsidRDefault="004920D8" w:rsidP="00DD3BAE">
            <w:pPr>
              <w:spacing w:before="0" w:after="0"/>
              <w:jc w:val="center"/>
              <w:rPr>
                <w:color w:val="000000"/>
                <w:sz w:val="14"/>
                <w:szCs w:val="14"/>
              </w:rPr>
            </w:pPr>
            <w:r>
              <w:rPr>
                <w:color w:val="000000"/>
                <w:sz w:val="14"/>
                <w:szCs w:val="14"/>
              </w:rPr>
              <w:t>Burnett Mary</w:t>
            </w:r>
          </w:p>
        </w:tc>
        <w:tc>
          <w:tcPr>
            <w:tcW w:w="1299" w:type="dxa"/>
            <w:vMerge w:val="restart"/>
            <w:tcBorders>
              <w:top w:val="single" w:sz="4" w:space="0" w:color="auto"/>
              <w:left w:val="nil"/>
              <w:bottom w:val="single" w:sz="4" w:space="0" w:color="auto"/>
              <w:right w:val="nil"/>
            </w:tcBorders>
            <w:shd w:val="clear" w:color="auto" w:fill="F3F9FA"/>
            <w:vAlign w:val="center"/>
            <w:hideMark/>
          </w:tcPr>
          <w:p w14:paraId="698510DD" w14:textId="77777777" w:rsidR="004920D8" w:rsidRDefault="004920D8" w:rsidP="00DD3BAE">
            <w:pPr>
              <w:spacing w:before="0" w:after="0"/>
              <w:jc w:val="center"/>
              <w:rPr>
                <w:color w:val="000000"/>
                <w:sz w:val="14"/>
                <w:szCs w:val="14"/>
              </w:rPr>
            </w:pPr>
            <w:r>
              <w:rPr>
                <w:color w:val="000000"/>
                <w:sz w:val="14"/>
                <w:szCs w:val="14"/>
              </w:rPr>
              <w:t>Burnett</w:t>
            </w:r>
          </w:p>
        </w:tc>
        <w:tc>
          <w:tcPr>
            <w:tcW w:w="1307" w:type="dxa"/>
            <w:vMerge w:val="restart"/>
            <w:tcBorders>
              <w:top w:val="single" w:sz="4" w:space="0" w:color="auto"/>
              <w:left w:val="nil"/>
              <w:bottom w:val="single" w:sz="4" w:space="0" w:color="auto"/>
              <w:right w:val="nil"/>
            </w:tcBorders>
            <w:shd w:val="clear" w:color="auto" w:fill="F3F9FA"/>
            <w:noWrap/>
            <w:vAlign w:val="center"/>
            <w:hideMark/>
          </w:tcPr>
          <w:p w14:paraId="30E4D503" w14:textId="77777777" w:rsidR="004920D8" w:rsidRDefault="004920D8" w:rsidP="00DD3BAE">
            <w:pPr>
              <w:spacing w:before="0" w:after="0"/>
              <w:jc w:val="center"/>
              <w:rPr>
                <w:color w:val="000000"/>
                <w:sz w:val="14"/>
                <w:szCs w:val="14"/>
              </w:rPr>
            </w:pPr>
            <w:r>
              <w:rPr>
                <w:color w:val="000000"/>
                <w:sz w:val="14"/>
                <w:szCs w:val="14"/>
              </w:rPr>
              <w:t>Rodds Bay</w:t>
            </w:r>
          </w:p>
        </w:tc>
        <w:tc>
          <w:tcPr>
            <w:tcW w:w="840" w:type="dxa"/>
            <w:tcBorders>
              <w:top w:val="single" w:sz="4" w:space="0" w:color="auto"/>
              <w:left w:val="nil"/>
              <w:bottom w:val="nil"/>
              <w:right w:val="nil"/>
            </w:tcBorders>
            <w:shd w:val="clear" w:color="auto" w:fill="F3F9FA"/>
            <w:noWrap/>
            <w:vAlign w:val="center"/>
            <w:hideMark/>
          </w:tcPr>
          <w:p w14:paraId="55CCAF0D" w14:textId="77777777" w:rsidR="004920D8" w:rsidRDefault="004920D8" w:rsidP="00DD3BAE">
            <w:pPr>
              <w:spacing w:before="0" w:after="0"/>
              <w:jc w:val="center"/>
              <w:rPr>
                <w:b/>
                <w:color w:val="000000"/>
                <w:sz w:val="14"/>
                <w:szCs w:val="14"/>
              </w:rPr>
            </w:pPr>
            <w:r>
              <w:rPr>
                <w:b/>
                <w:color w:val="000000"/>
                <w:sz w:val="14"/>
                <w:szCs w:val="14"/>
              </w:rPr>
              <w:t>RD1</w:t>
            </w:r>
          </w:p>
        </w:tc>
        <w:tc>
          <w:tcPr>
            <w:tcW w:w="555" w:type="dxa"/>
            <w:tcBorders>
              <w:top w:val="single" w:sz="4" w:space="0" w:color="auto"/>
              <w:left w:val="nil"/>
              <w:bottom w:val="nil"/>
              <w:right w:val="nil"/>
            </w:tcBorders>
            <w:shd w:val="clear" w:color="auto" w:fill="F3F9FA"/>
            <w:vAlign w:val="center"/>
            <w:hideMark/>
          </w:tcPr>
          <w:p w14:paraId="28647332"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14:paraId="30A4071A"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tcPr>
          <w:p w14:paraId="1FB1444B"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14:paraId="6E95AE8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14:paraId="7F55ADEF"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14:paraId="14FEA6E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F3F9FA"/>
            <w:vAlign w:val="center"/>
          </w:tcPr>
          <w:p w14:paraId="0854E5B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bottom w:val="nil"/>
              <w:right w:val="nil"/>
            </w:tcBorders>
            <w:shd w:val="clear" w:color="auto" w:fill="F3F9FA"/>
            <w:vAlign w:val="center"/>
          </w:tcPr>
          <w:p w14:paraId="3BFDB7D5"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0F82471D"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13EEEA1F"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4F985EC8" w14:textId="77777777" w:rsidR="004920D8" w:rsidRDefault="004920D8" w:rsidP="00DD3BAE">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14:paraId="23790F5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14:paraId="764EAA5C" w14:textId="77777777" w:rsidR="004920D8" w:rsidRDefault="004920D8" w:rsidP="00DD3BAE">
            <w:pPr>
              <w:spacing w:before="0" w:after="0"/>
              <w:jc w:val="center"/>
              <w:rPr>
                <w:color w:val="000000"/>
                <w:sz w:val="14"/>
                <w:szCs w:val="14"/>
              </w:rPr>
            </w:pPr>
            <w:r>
              <w:rPr>
                <w:color w:val="000000"/>
                <w:sz w:val="14"/>
                <w:szCs w:val="14"/>
              </w:rPr>
              <w:sym w:font="Wingdings" w:char="F0FC"/>
            </w:r>
          </w:p>
        </w:tc>
      </w:tr>
      <w:tr w:rsidR="004920D8" w14:paraId="07F746F9"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3C45DC13"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5F189EAA"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4E8BD0D3"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64D70C29" w14:textId="77777777" w:rsidR="004920D8" w:rsidRDefault="004920D8" w:rsidP="00DD3BAE">
            <w:pPr>
              <w:spacing w:before="0" w:after="0"/>
              <w:rPr>
                <w:color w:val="000000"/>
                <w:sz w:val="14"/>
                <w:szCs w:val="14"/>
              </w:rPr>
            </w:pPr>
          </w:p>
        </w:tc>
        <w:tc>
          <w:tcPr>
            <w:tcW w:w="840" w:type="dxa"/>
            <w:tcBorders>
              <w:top w:val="nil"/>
              <w:left w:val="nil"/>
              <w:bottom w:val="single" w:sz="4" w:space="0" w:color="auto"/>
              <w:right w:val="nil"/>
            </w:tcBorders>
            <w:shd w:val="clear" w:color="auto" w:fill="F3F9FA"/>
            <w:noWrap/>
            <w:vAlign w:val="center"/>
            <w:hideMark/>
          </w:tcPr>
          <w:p w14:paraId="28FA751C" w14:textId="77777777" w:rsidR="004920D8" w:rsidRDefault="004920D8" w:rsidP="00DD3BAE">
            <w:pPr>
              <w:spacing w:before="0" w:after="0"/>
              <w:jc w:val="center"/>
              <w:rPr>
                <w:b/>
                <w:color w:val="000000"/>
                <w:sz w:val="14"/>
                <w:szCs w:val="14"/>
              </w:rPr>
            </w:pPr>
            <w:r>
              <w:rPr>
                <w:b/>
                <w:color w:val="000000"/>
                <w:sz w:val="14"/>
                <w:szCs w:val="14"/>
              </w:rPr>
              <w:t>RD2</w:t>
            </w:r>
          </w:p>
        </w:tc>
        <w:tc>
          <w:tcPr>
            <w:tcW w:w="555" w:type="dxa"/>
            <w:tcBorders>
              <w:top w:val="nil"/>
              <w:left w:val="nil"/>
              <w:bottom w:val="single" w:sz="4" w:space="0" w:color="auto"/>
              <w:right w:val="nil"/>
            </w:tcBorders>
            <w:shd w:val="clear" w:color="auto" w:fill="F3F9FA"/>
            <w:vAlign w:val="center"/>
            <w:hideMark/>
          </w:tcPr>
          <w:p w14:paraId="2B6B8273"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F3F9FA"/>
            <w:noWrap/>
            <w:vAlign w:val="center"/>
            <w:hideMark/>
          </w:tcPr>
          <w:p w14:paraId="56782FFF"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F3F9FA"/>
            <w:noWrap/>
            <w:vAlign w:val="center"/>
          </w:tcPr>
          <w:p w14:paraId="5BD628A5" w14:textId="77777777" w:rsidR="004920D8" w:rsidRDefault="004920D8" w:rsidP="00DD3BAE">
            <w:pPr>
              <w:spacing w:before="0" w:after="0"/>
              <w:jc w:val="center"/>
              <w:rPr>
                <w:color w:val="000000"/>
                <w:sz w:val="14"/>
                <w:szCs w:val="14"/>
              </w:rPr>
            </w:pPr>
          </w:p>
        </w:tc>
        <w:tc>
          <w:tcPr>
            <w:tcW w:w="536" w:type="dxa"/>
            <w:tcBorders>
              <w:top w:val="nil"/>
              <w:left w:val="nil"/>
              <w:bottom w:val="single" w:sz="4" w:space="0" w:color="auto"/>
              <w:right w:val="nil"/>
            </w:tcBorders>
            <w:shd w:val="clear" w:color="auto" w:fill="F3F9FA"/>
            <w:vAlign w:val="center"/>
            <w:hideMark/>
          </w:tcPr>
          <w:p w14:paraId="41E2281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F3F9FA"/>
            <w:vAlign w:val="center"/>
            <w:hideMark/>
          </w:tcPr>
          <w:p w14:paraId="1C28041F"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F3F9FA"/>
            <w:vAlign w:val="center"/>
            <w:hideMark/>
          </w:tcPr>
          <w:p w14:paraId="4632DAF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F3F9FA"/>
            <w:vAlign w:val="center"/>
          </w:tcPr>
          <w:p w14:paraId="280767C3" w14:textId="77777777" w:rsidR="004920D8" w:rsidRDefault="004920D8" w:rsidP="00DD3BAE">
            <w:pPr>
              <w:spacing w:before="0" w:after="0"/>
              <w:jc w:val="center"/>
              <w:rPr>
                <w:color w:val="000000"/>
                <w:sz w:val="14"/>
                <w:szCs w:val="14"/>
              </w:rPr>
            </w:pPr>
          </w:p>
        </w:tc>
        <w:tc>
          <w:tcPr>
            <w:tcW w:w="559" w:type="dxa"/>
            <w:tcBorders>
              <w:top w:val="nil"/>
              <w:left w:val="single" w:sz="4" w:space="0" w:color="auto"/>
              <w:bottom w:val="single" w:sz="4" w:space="0" w:color="auto"/>
              <w:right w:val="nil"/>
            </w:tcBorders>
            <w:shd w:val="clear" w:color="auto" w:fill="F3F9FA"/>
            <w:vAlign w:val="center"/>
          </w:tcPr>
          <w:p w14:paraId="3F246D7F"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tcPr>
          <w:p w14:paraId="738969D0"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tcPr>
          <w:p w14:paraId="79AD581B"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tcPr>
          <w:p w14:paraId="0A19F448" w14:textId="77777777" w:rsidR="004920D8" w:rsidRDefault="004920D8" w:rsidP="00DD3BAE">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hideMark/>
          </w:tcPr>
          <w:p w14:paraId="20BD13F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F3F9FA"/>
            <w:vAlign w:val="center"/>
          </w:tcPr>
          <w:p w14:paraId="10B4ED10" w14:textId="77777777" w:rsidR="004920D8" w:rsidRDefault="004920D8" w:rsidP="00DD3BAE">
            <w:pPr>
              <w:spacing w:before="0" w:after="0"/>
              <w:jc w:val="center"/>
              <w:rPr>
                <w:color w:val="000000"/>
                <w:sz w:val="14"/>
                <w:szCs w:val="14"/>
              </w:rPr>
            </w:pPr>
          </w:p>
        </w:tc>
      </w:tr>
      <w:tr w:rsidR="004920D8" w14:paraId="15A8D6FA"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tcPr>
          <w:p w14:paraId="346A6EDD"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tcPr>
          <w:p w14:paraId="722BD4CC"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right w:val="nil"/>
            </w:tcBorders>
            <w:shd w:val="clear" w:color="auto" w:fill="F3F9FA"/>
            <w:vAlign w:val="center"/>
          </w:tcPr>
          <w:p w14:paraId="168F7F03" w14:textId="77777777" w:rsidR="004920D8" w:rsidRDefault="004920D8" w:rsidP="00DD3BAE">
            <w:pPr>
              <w:spacing w:before="0" w:after="0"/>
              <w:jc w:val="center"/>
              <w:rPr>
                <w:color w:val="000000"/>
                <w:sz w:val="14"/>
                <w:szCs w:val="14"/>
              </w:rPr>
            </w:pPr>
            <w:r>
              <w:rPr>
                <w:color w:val="000000"/>
                <w:sz w:val="14"/>
                <w:szCs w:val="14"/>
              </w:rPr>
              <w:t>Burrum</w:t>
            </w:r>
          </w:p>
        </w:tc>
        <w:tc>
          <w:tcPr>
            <w:tcW w:w="1307" w:type="dxa"/>
            <w:vMerge w:val="restart"/>
            <w:tcBorders>
              <w:top w:val="single" w:sz="4" w:space="0" w:color="auto"/>
              <w:left w:val="nil"/>
              <w:right w:val="nil"/>
            </w:tcBorders>
            <w:shd w:val="clear" w:color="auto" w:fill="F3F9FA"/>
            <w:noWrap/>
            <w:vAlign w:val="center"/>
          </w:tcPr>
          <w:p w14:paraId="1A0854F5" w14:textId="77777777" w:rsidR="004920D8" w:rsidRDefault="004920D8" w:rsidP="00DD3BAE">
            <w:pPr>
              <w:spacing w:before="0" w:after="0"/>
              <w:jc w:val="center"/>
              <w:rPr>
                <w:color w:val="000000"/>
                <w:sz w:val="14"/>
                <w:szCs w:val="14"/>
              </w:rPr>
            </w:pPr>
            <w:r>
              <w:rPr>
                <w:color w:val="000000"/>
                <w:sz w:val="14"/>
                <w:szCs w:val="14"/>
              </w:rPr>
              <w:t>Burrum Heads</w:t>
            </w:r>
          </w:p>
        </w:tc>
        <w:tc>
          <w:tcPr>
            <w:tcW w:w="840" w:type="dxa"/>
            <w:tcBorders>
              <w:top w:val="single" w:sz="4" w:space="0" w:color="auto"/>
              <w:left w:val="nil"/>
              <w:right w:val="nil"/>
            </w:tcBorders>
            <w:shd w:val="clear" w:color="auto" w:fill="F3F9FA"/>
            <w:noWrap/>
            <w:vAlign w:val="center"/>
          </w:tcPr>
          <w:p w14:paraId="4CAFFDB1" w14:textId="77777777" w:rsidR="004920D8" w:rsidRDefault="004920D8" w:rsidP="00DD3BAE">
            <w:pPr>
              <w:spacing w:before="0" w:after="0"/>
              <w:jc w:val="center"/>
              <w:rPr>
                <w:b/>
                <w:color w:val="000000"/>
                <w:sz w:val="14"/>
                <w:szCs w:val="14"/>
              </w:rPr>
            </w:pPr>
            <w:r>
              <w:rPr>
                <w:b/>
                <w:color w:val="000000"/>
                <w:sz w:val="14"/>
                <w:szCs w:val="14"/>
              </w:rPr>
              <w:t>BH1</w:t>
            </w:r>
          </w:p>
        </w:tc>
        <w:tc>
          <w:tcPr>
            <w:tcW w:w="555" w:type="dxa"/>
            <w:tcBorders>
              <w:top w:val="single" w:sz="4" w:space="0" w:color="auto"/>
              <w:left w:val="nil"/>
              <w:right w:val="nil"/>
            </w:tcBorders>
            <w:shd w:val="clear" w:color="auto" w:fill="F3F9FA"/>
            <w:vAlign w:val="center"/>
          </w:tcPr>
          <w:p w14:paraId="16A43C1B"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35A29241"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38D1952A"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tcPr>
          <w:p w14:paraId="5B544605" w14:textId="77777777" w:rsidR="004920D8" w:rsidRDefault="004920D8" w:rsidP="00DD3BAE">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4B0F1EE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tcPr>
          <w:p w14:paraId="1E20A19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64E4D1E2"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3954C0BD"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tcPr>
          <w:p w14:paraId="0372F33F"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tcPr>
          <w:p w14:paraId="6BEA7088"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1BEBF789" w14:textId="77777777" w:rsidR="004920D8" w:rsidRDefault="004920D8" w:rsidP="00DD3BAE">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46840C6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52DD7A47" w14:textId="77777777" w:rsidR="004920D8" w:rsidRDefault="004920D8" w:rsidP="00DD3BAE">
            <w:pPr>
              <w:spacing w:before="0" w:after="0"/>
              <w:jc w:val="center"/>
              <w:rPr>
                <w:color w:val="000000"/>
                <w:sz w:val="14"/>
                <w:szCs w:val="14"/>
              </w:rPr>
            </w:pPr>
          </w:p>
        </w:tc>
      </w:tr>
      <w:tr w:rsidR="004920D8" w14:paraId="07BF1708"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tcPr>
          <w:p w14:paraId="094BFEDA"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tcPr>
          <w:p w14:paraId="437CB65B" w14:textId="77777777" w:rsidR="004920D8" w:rsidRDefault="004920D8" w:rsidP="00DD3BAE">
            <w:pPr>
              <w:spacing w:before="0" w:after="0"/>
              <w:rPr>
                <w:color w:val="000000"/>
                <w:sz w:val="14"/>
                <w:szCs w:val="14"/>
              </w:rPr>
            </w:pPr>
          </w:p>
        </w:tc>
        <w:tc>
          <w:tcPr>
            <w:tcW w:w="1299" w:type="dxa"/>
            <w:vMerge/>
            <w:tcBorders>
              <w:left w:val="nil"/>
              <w:bottom w:val="single" w:sz="4" w:space="0" w:color="auto"/>
              <w:right w:val="nil"/>
            </w:tcBorders>
            <w:shd w:val="clear" w:color="auto" w:fill="F3F9FA"/>
            <w:vAlign w:val="center"/>
          </w:tcPr>
          <w:p w14:paraId="226C8DA3" w14:textId="77777777" w:rsidR="004920D8" w:rsidRDefault="004920D8" w:rsidP="00DD3BAE">
            <w:pPr>
              <w:spacing w:before="0" w:after="0"/>
              <w:jc w:val="center"/>
              <w:rPr>
                <w:color w:val="000000"/>
                <w:sz w:val="14"/>
                <w:szCs w:val="14"/>
              </w:rPr>
            </w:pPr>
          </w:p>
        </w:tc>
        <w:tc>
          <w:tcPr>
            <w:tcW w:w="1307" w:type="dxa"/>
            <w:vMerge/>
            <w:tcBorders>
              <w:left w:val="nil"/>
              <w:bottom w:val="single" w:sz="4" w:space="0" w:color="auto"/>
              <w:right w:val="nil"/>
            </w:tcBorders>
            <w:shd w:val="clear" w:color="auto" w:fill="F3F9FA"/>
            <w:noWrap/>
            <w:vAlign w:val="center"/>
          </w:tcPr>
          <w:p w14:paraId="3982721E" w14:textId="77777777" w:rsidR="004920D8" w:rsidRDefault="004920D8" w:rsidP="00DD3BAE">
            <w:pPr>
              <w:spacing w:before="0" w:after="0"/>
              <w:jc w:val="center"/>
              <w:rPr>
                <w:color w:val="000000"/>
                <w:sz w:val="14"/>
                <w:szCs w:val="14"/>
              </w:rPr>
            </w:pPr>
          </w:p>
        </w:tc>
        <w:tc>
          <w:tcPr>
            <w:tcW w:w="840" w:type="dxa"/>
            <w:tcBorders>
              <w:left w:val="nil"/>
              <w:bottom w:val="nil"/>
            </w:tcBorders>
            <w:shd w:val="clear" w:color="auto" w:fill="F3F9FA"/>
            <w:noWrap/>
            <w:vAlign w:val="center"/>
          </w:tcPr>
          <w:p w14:paraId="5C60C2D0" w14:textId="77777777" w:rsidR="004920D8" w:rsidRDefault="004920D8" w:rsidP="00DD3BAE">
            <w:pPr>
              <w:spacing w:before="0" w:after="0"/>
              <w:jc w:val="center"/>
              <w:rPr>
                <w:b/>
                <w:color w:val="000000"/>
                <w:sz w:val="14"/>
                <w:szCs w:val="14"/>
              </w:rPr>
            </w:pPr>
            <w:r>
              <w:rPr>
                <w:b/>
                <w:color w:val="000000"/>
                <w:sz w:val="14"/>
                <w:szCs w:val="14"/>
              </w:rPr>
              <w:t>BH3</w:t>
            </w:r>
          </w:p>
        </w:tc>
        <w:tc>
          <w:tcPr>
            <w:tcW w:w="555" w:type="dxa"/>
            <w:tcBorders>
              <w:bottom w:val="nil"/>
            </w:tcBorders>
            <w:shd w:val="clear" w:color="auto" w:fill="F3F9FA"/>
            <w:vAlign w:val="center"/>
          </w:tcPr>
          <w:p w14:paraId="071E7E35"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37DC6629"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1D48017F"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tcPr>
          <w:p w14:paraId="6E6E2D5D" w14:textId="77777777" w:rsidR="004920D8" w:rsidRDefault="004920D8" w:rsidP="00DD3BAE">
            <w:pPr>
              <w:spacing w:before="0" w:after="0"/>
              <w:jc w:val="center"/>
              <w:rPr>
                <w:color w:val="000000"/>
                <w:sz w:val="14"/>
                <w:szCs w:val="14"/>
              </w:rPr>
            </w:pPr>
          </w:p>
        </w:tc>
        <w:tc>
          <w:tcPr>
            <w:tcW w:w="540" w:type="dxa"/>
            <w:tcBorders>
              <w:bottom w:val="nil"/>
            </w:tcBorders>
            <w:shd w:val="clear" w:color="auto" w:fill="F3F9FA"/>
            <w:vAlign w:val="center"/>
          </w:tcPr>
          <w:p w14:paraId="13CF4CE3"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tcPr>
          <w:p w14:paraId="12C55CEF"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388B06B4" w14:textId="77777777" w:rsidR="004920D8" w:rsidRDefault="004920D8" w:rsidP="00DD3BAE">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488D04FA"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tcPr>
          <w:p w14:paraId="6504BFA3"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tcPr>
          <w:p w14:paraId="0238C1BC"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566D03E4" w14:textId="77777777" w:rsidR="004920D8" w:rsidRDefault="004920D8" w:rsidP="00DD3BAE">
            <w:pPr>
              <w:spacing w:before="0" w:after="0"/>
              <w:jc w:val="center"/>
              <w:rPr>
                <w:color w:val="000000"/>
                <w:sz w:val="14"/>
                <w:szCs w:val="14"/>
              </w:rPr>
            </w:pPr>
          </w:p>
        </w:tc>
        <w:tc>
          <w:tcPr>
            <w:tcW w:w="559" w:type="dxa"/>
            <w:tcBorders>
              <w:bottom w:val="nil"/>
            </w:tcBorders>
            <w:shd w:val="clear" w:color="auto" w:fill="F3F9FA"/>
            <w:vAlign w:val="center"/>
          </w:tcPr>
          <w:p w14:paraId="2F3B1D52"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09E094F4" w14:textId="77777777" w:rsidR="004920D8" w:rsidRDefault="004920D8" w:rsidP="00DD3BAE">
            <w:pPr>
              <w:spacing w:before="0" w:after="0"/>
              <w:jc w:val="center"/>
              <w:rPr>
                <w:color w:val="000000"/>
                <w:sz w:val="14"/>
                <w:szCs w:val="14"/>
              </w:rPr>
            </w:pPr>
          </w:p>
        </w:tc>
      </w:tr>
      <w:tr w:rsidR="004920D8" w14:paraId="082707F8"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48E33ED6"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50EE62AB" w14:textId="77777777" w:rsidR="004920D8" w:rsidRDefault="004920D8" w:rsidP="00DD3BAE">
            <w:pPr>
              <w:spacing w:before="0" w:after="0"/>
              <w:rPr>
                <w:color w:val="000000"/>
                <w:sz w:val="14"/>
                <w:szCs w:val="14"/>
              </w:rPr>
            </w:pPr>
          </w:p>
        </w:tc>
        <w:tc>
          <w:tcPr>
            <w:tcW w:w="1299" w:type="dxa"/>
            <w:vMerge w:val="restart"/>
            <w:tcBorders>
              <w:top w:val="single" w:sz="4" w:space="0" w:color="auto"/>
              <w:left w:val="nil"/>
              <w:bottom w:val="single" w:sz="4" w:space="0" w:color="auto"/>
              <w:right w:val="nil"/>
            </w:tcBorders>
            <w:shd w:val="clear" w:color="auto" w:fill="F3F9FA"/>
            <w:vAlign w:val="center"/>
            <w:hideMark/>
          </w:tcPr>
          <w:p w14:paraId="644C2C89" w14:textId="77777777" w:rsidR="004920D8" w:rsidRDefault="004920D8" w:rsidP="00DD3BAE">
            <w:pPr>
              <w:spacing w:before="0" w:after="0"/>
              <w:jc w:val="center"/>
              <w:rPr>
                <w:color w:val="000000"/>
                <w:sz w:val="14"/>
                <w:szCs w:val="14"/>
              </w:rPr>
            </w:pPr>
            <w:r>
              <w:rPr>
                <w:color w:val="000000"/>
                <w:sz w:val="14"/>
                <w:szCs w:val="14"/>
              </w:rPr>
              <w:t>Mary</w:t>
            </w:r>
          </w:p>
        </w:tc>
        <w:tc>
          <w:tcPr>
            <w:tcW w:w="1307" w:type="dxa"/>
            <w:vMerge w:val="restart"/>
            <w:tcBorders>
              <w:top w:val="single" w:sz="4" w:space="0" w:color="auto"/>
              <w:left w:val="nil"/>
              <w:bottom w:val="single" w:sz="4" w:space="0" w:color="auto"/>
              <w:right w:val="nil"/>
            </w:tcBorders>
            <w:shd w:val="clear" w:color="auto" w:fill="F3F9FA"/>
            <w:noWrap/>
            <w:vAlign w:val="center"/>
            <w:hideMark/>
          </w:tcPr>
          <w:p w14:paraId="59556B9E" w14:textId="77777777" w:rsidR="004920D8" w:rsidRDefault="004920D8" w:rsidP="00DD3BAE">
            <w:pPr>
              <w:spacing w:before="0" w:after="0"/>
              <w:jc w:val="center"/>
              <w:rPr>
                <w:color w:val="000000"/>
                <w:sz w:val="14"/>
                <w:szCs w:val="14"/>
              </w:rPr>
            </w:pPr>
            <w:r>
              <w:rPr>
                <w:color w:val="000000"/>
                <w:sz w:val="14"/>
                <w:szCs w:val="14"/>
              </w:rPr>
              <w:t>Hervey Bay</w:t>
            </w:r>
          </w:p>
        </w:tc>
        <w:tc>
          <w:tcPr>
            <w:tcW w:w="840" w:type="dxa"/>
            <w:tcBorders>
              <w:top w:val="single" w:sz="4" w:space="0" w:color="auto"/>
              <w:left w:val="nil"/>
              <w:bottom w:val="nil"/>
              <w:right w:val="nil"/>
            </w:tcBorders>
            <w:shd w:val="clear" w:color="auto" w:fill="F3F9FA"/>
            <w:noWrap/>
            <w:vAlign w:val="center"/>
            <w:hideMark/>
          </w:tcPr>
          <w:p w14:paraId="3D0E8329" w14:textId="77777777" w:rsidR="004920D8" w:rsidRDefault="004920D8" w:rsidP="00DD3BAE">
            <w:pPr>
              <w:spacing w:before="0" w:after="0"/>
              <w:jc w:val="center"/>
              <w:rPr>
                <w:b/>
                <w:color w:val="000000"/>
                <w:sz w:val="14"/>
                <w:szCs w:val="14"/>
              </w:rPr>
            </w:pPr>
            <w:r>
              <w:rPr>
                <w:b/>
                <w:color w:val="000000"/>
                <w:sz w:val="14"/>
                <w:szCs w:val="14"/>
              </w:rPr>
              <w:t>UG1</w:t>
            </w:r>
          </w:p>
        </w:tc>
        <w:tc>
          <w:tcPr>
            <w:tcW w:w="555" w:type="dxa"/>
            <w:tcBorders>
              <w:top w:val="single" w:sz="4" w:space="0" w:color="auto"/>
              <w:left w:val="nil"/>
              <w:bottom w:val="nil"/>
              <w:right w:val="nil"/>
            </w:tcBorders>
            <w:shd w:val="clear" w:color="auto" w:fill="F3F9FA"/>
            <w:vAlign w:val="center"/>
            <w:hideMark/>
          </w:tcPr>
          <w:p w14:paraId="70CA91E9"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14:paraId="264C8591"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14:paraId="60ACD122"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14:paraId="60DFEDCD"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14:paraId="09B2B342"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14:paraId="2793A007"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F3F9FA"/>
            <w:vAlign w:val="center"/>
          </w:tcPr>
          <w:p w14:paraId="656EF718" w14:textId="77777777" w:rsidR="004920D8" w:rsidRDefault="004920D8" w:rsidP="00DD3BAE">
            <w:pPr>
              <w:spacing w:before="0" w:after="0"/>
              <w:jc w:val="center"/>
              <w:rPr>
                <w:color w:val="000000"/>
                <w:sz w:val="14"/>
                <w:szCs w:val="14"/>
              </w:rPr>
            </w:pPr>
          </w:p>
        </w:tc>
        <w:tc>
          <w:tcPr>
            <w:tcW w:w="559" w:type="dxa"/>
            <w:tcBorders>
              <w:top w:val="single" w:sz="4" w:space="0" w:color="auto"/>
              <w:left w:val="single" w:sz="4" w:space="0" w:color="auto"/>
              <w:bottom w:val="nil"/>
              <w:right w:val="nil"/>
            </w:tcBorders>
            <w:shd w:val="clear" w:color="auto" w:fill="F3F9FA"/>
            <w:vAlign w:val="center"/>
            <w:hideMark/>
          </w:tcPr>
          <w:p w14:paraId="6D0A49A7"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14:paraId="3EB88820"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14:paraId="484B0239"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14:paraId="00A1334E"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vAlign w:val="center"/>
            <w:hideMark/>
          </w:tcPr>
          <w:p w14:paraId="4339EEB5"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14:paraId="20877883" w14:textId="77777777" w:rsidR="004920D8" w:rsidRDefault="004920D8" w:rsidP="00DD3BAE">
            <w:pPr>
              <w:spacing w:before="0" w:after="0"/>
              <w:jc w:val="center"/>
              <w:rPr>
                <w:color w:val="000000"/>
                <w:sz w:val="14"/>
                <w:szCs w:val="14"/>
              </w:rPr>
            </w:pPr>
          </w:p>
        </w:tc>
      </w:tr>
      <w:tr w:rsidR="004920D8" w14:paraId="07D24400" w14:textId="77777777" w:rsidTr="00D64955">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5C69686B" w14:textId="77777777" w:rsidR="004920D8" w:rsidRDefault="004920D8" w:rsidP="00DD3BAE">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52D7BAF8" w14:textId="77777777" w:rsidR="004920D8" w:rsidRDefault="004920D8" w:rsidP="00DD3BAE">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392C9DBA" w14:textId="77777777" w:rsidR="004920D8" w:rsidRDefault="004920D8" w:rsidP="00DD3BAE">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7FABB60B" w14:textId="77777777" w:rsidR="004920D8" w:rsidRDefault="004920D8" w:rsidP="00DD3BAE">
            <w:pPr>
              <w:spacing w:before="0" w:after="0"/>
              <w:rPr>
                <w:color w:val="000000"/>
                <w:sz w:val="14"/>
                <w:szCs w:val="14"/>
              </w:rPr>
            </w:pPr>
          </w:p>
        </w:tc>
        <w:tc>
          <w:tcPr>
            <w:tcW w:w="840" w:type="dxa"/>
            <w:tcBorders>
              <w:top w:val="nil"/>
              <w:left w:val="nil"/>
              <w:bottom w:val="single" w:sz="4" w:space="0" w:color="auto"/>
              <w:right w:val="nil"/>
            </w:tcBorders>
            <w:shd w:val="clear" w:color="auto" w:fill="F3F9FA"/>
            <w:noWrap/>
            <w:vAlign w:val="center"/>
            <w:hideMark/>
          </w:tcPr>
          <w:p w14:paraId="7973BD27" w14:textId="77777777" w:rsidR="004920D8" w:rsidRDefault="004920D8" w:rsidP="00DD3BAE">
            <w:pPr>
              <w:spacing w:before="0" w:after="0"/>
              <w:jc w:val="center"/>
              <w:rPr>
                <w:b/>
                <w:color w:val="000000"/>
                <w:sz w:val="14"/>
                <w:szCs w:val="14"/>
              </w:rPr>
            </w:pPr>
            <w:r>
              <w:rPr>
                <w:b/>
                <w:color w:val="000000"/>
                <w:sz w:val="14"/>
                <w:szCs w:val="14"/>
              </w:rPr>
              <w:t>UG2</w:t>
            </w:r>
          </w:p>
        </w:tc>
        <w:tc>
          <w:tcPr>
            <w:tcW w:w="555" w:type="dxa"/>
            <w:tcBorders>
              <w:top w:val="nil"/>
              <w:left w:val="nil"/>
              <w:bottom w:val="single" w:sz="4" w:space="0" w:color="auto"/>
              <w:right w:val="nil"/>
            </w:tcBorders>
            <w:shd w:val="clear" w:color="auto" w:fill="F3F9FA"/>
            <w:vAlign w:val="center"/>
            <w:hideMark/>
          </w:tcPr>
          <w:p w14:paraId="682C766E" w14:textId="77777777" w:rsidR="004920D8" w:rsidRDefault="004920D8" w:rsidP="00DD3BAE">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F3F9FA"/>
            <w:noWrap/>
            <w:vAlign w:val="center"/>
            <w:hideMark/>
          </w:tcPr>
          <w:p w14:paraId="0CC83E25" w14:textId="77777777" w:rsidR="004920D8" w:rsidRDefault="004920D8" w:rsidP="00DD3BAE">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F3F9FA"/>
            <w:noWrap/>
            <w:vAlign w:val="center"/>
            <w:hideMark/>
          </w:tcPr>
          <w:p w14:paraId="7904BF4B" w14:textId="77777777" w:rsidR="004920D8" w:rsidRDefault="004920D8" w:rsidP="00DD3BAE">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F3F9FA"/>
            <w:vAlign w:val="center"/>
            <w:hideMark/>
          </w:tcPr>
          <w:p w14:paraId="462BA6BE"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F3F9FA"/>
            <w:vAlign w:val="center"/>
            <w:hideMark/>
          </w:tcPr>
          <w:p w14:paraId="13A8A2AA" w14:textId="77777777" w:rsidR="004920D8" w:rsidRDefault="004920D8" w:rsidP="00DD3BAE">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F3F9FA"/>
            <w:vAlign w:val="center"/>
            <w:hideMark/>
          </w:tcPr>
          <w:p w14:paraId="47750CDA"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F3F9FA"/>
            <w:vAlign w:val="center"/>
          </w:tcPr>
          <w:p w14:paraId="707AF0C4"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single" w:sz="4" w:space="0" w:color="auto"/>
              <w:bottom w:val="single" w:sz="4" w:space="0" w:color="auto"/>
              <w:right w:val="nil"/>
            </w:tcBorders>
            <w:shd w:val="clear" w:color="auto" w:fill="F3F9FA"/>
            <w:vAlign w:val="center"/>
            <w:hideMark/>
          </w:tcPr>
          <w:p w14:paraId="37738CC9" w14:textId="77777777" w:rsidR="004920D8" w:rsidRDefault="004920D8" w:rsidP="00DD3BAE">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F3F9FA"/>
            <w:vAlign w:val="center"/>
            <w:hideMark/>
          </w:tcPr>
          <w:p w14:paraId="66ECBEFA" w14:textId="77777777" w:rsidR="004920D8" w:rsidRDefault="004920D8" w:rsidP="00DD3BAE">
            <w:pPr>
              <w:spacing w:before="0" w:after="0"/>
              <w:jc w:val="center"/>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F3F9FA"/>
            <w:vAlign w:val="center"/>
            <w:hideMark/>
          </w:tcPr>
          <w:p w14:paraId="2367735C"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F3F9FA"/>
            <w:vAlign w:val="center"/>
            <w:hideMark/>
          </w:tcPr>
          <w:p w14:paraId="52C15189" w14:textId="77777777" w:rsidR="004920D8" w:rsidRDefault="004920D8" w:rsidP="00DD3BAE">
            <w:pPr>
              <w:spacing w:before="0" w:after="0"/>
              <w:jc w:val="center"/>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F3F9FA"/>
            <w:vAlign w:val="center"/>
            <w:hideMark/>
          </w:tcPr>
          <w:p w14:paraId="5D61C8B0" w14:textId="77777777" w:rsidR="004920D8" w:rsidRDefault="004920D8" w:rsidP="00DD3BAE">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F3F9FA"/>
            <w:vAlign w:val="center"/>
            <w:hideMark/>
          </w:tcPr>
          <w:p w14:paraId="0B5CF290" w14:textId="77777777" w:rsidR="004920D8" w:rsidRDefault="004920D8" w:rsidP="00DD3BAE">
            <w:pPr>
              <w:spacing w:before="0" w:after="0"/>
              <w:jc w:val="center"/>
              <w:rPr>
                <w:color w:val="000000"/>
                <w:sz w:val="14"/>
                <w:szCs w:val="14"/>
              </w:rPr>
            </w:pPr>
            <w:r>
              <w:rPr>
                <w:color w:val="000000"/>
                <w:sz w:val="14"/>
                <w:szCs w:val="14"/>
              </w:rPr>
              <w:sym w:font="Wingdings" w:char="F0FC"/>
            </w:r>
          </w:p>
        </w:tc>
      </w:tr>
    </w:tbl>
    <w:p w14:paraId="288764A1" w14:textId="77777777" w:rsidR="004920D8" w:rsidRDefault="004920D8" w:rsidP="00DD3BAE">
      <w:pPr>
        <w:spacing w:before="0" w:after="0"/>
        <w:rPr>
          <w:rFonts w:cs="Segoe UI"/>
        </w:rPr>
      </w:pPr>
    </w:p>
    <w:p w14:paraId="0DF36F93" w14:textId="7F8577CC" w:rsidR="004920D8" w:rsidRDefault="004920D8" w:rsidP="00DD3BAE">
      <w:pPr>
        <w:spacing w:before="0" w:after="0"/>
        <w:rPr>
          <w:rFonts w:cs="Segoe UI"/>
        </w:rPr>
      </w:pPr>
    </w:p>
    <w:p w14:paraId="3E51C106" w14:textId="77777777" w:rsidR="004920D8" w:rsidRDefault="004920D8" w:rsidP="00DD3BAE">
      <w:pPr>
        <w:spacing w:before="0" w:after="0"/>
        <w:rPr>
          <w:rFonts w:cs="Segoe UI"/>
        </w:rPr>
        <w:sectPr w:rsidR="004920D8" w:rsidSect="00D10D59">
          <w:pgSz w:w="16840" w:h="11900" w:orient="landscape"/>
          <w:pgMar w:top="1418" w:right="1134" w:bottom="1134" w:left="1134" w:header="709" w:footer="709" w:gutter="0"/>
          <w:cols w:space="720"/>
        </w:sectPr>
      </w:pPr>
    </w:p>
    <w:p w14:paraId="3B2E0415" w14:textId="1E77962B" w:rsidR="00EB7436" w:rsidRPr="005752EE" w:rsidRDefault="00EB7436" w:rsidP="005752EE">
      <w:pPr>
        <w:pStyle w:val="Heading2"/>
      </w:pPr>
      <w:bookmarkStart w:id="948" w:name="_Toc516053184"/>
      <w:r w:rsidRPr="005752EE">
        <w:t xml:space="preserve">Climate and </w:t>
      </w:r>
      <w:r w:rsidR="005752EE">
        <w:t>environmental pressure</w:t>
      </w:r>
      <w:r w:rsidR="00E150BC">
        <w:t>s</w:t>
      </w:r>
      <w:bookmarkEnd w:id="948"/>
    </w:p>
    <w:p w14:paraId="6F5F7C3B" w14:textId="4D602AF0" w:rsidR="00EB7436" w:rsidRPr="005752EE" w:rsidRDefault="00EB7436" w:rsidP="00B20DDB">
      <w:pPr>
        <w:pStyle w:val="Heading3"/>
        <w:rPr>
          <w:rFonts w:asciiTheme="minorHAnsi" w:hAnsiTheme="minorHAnsi"/>
          <w:sz w:val="24"/>
          <w:szCs w:val="24"/>
        </w:rPr>
      </w:pPr>
      <w:bookmarkStart w:id="949" w:name="_Toc461884920"/>
      <w:bookmarkStart w:id="950" w:name="_Toc462047386"/>
      <w:bookmarkStart w:id="951" w:name="_Toc516053185"/>
      <w:r w:rsidRPr="005752EE">
        <w:rPr>
          <w:rFonts w:asciiTheme="minorHAnsi" w:hAnsiTheme="minorHAnsi"/>
          <w:sz w:val="24"/>
          <w:szCs w:val="24"/>
        </w:rPr>
        <w:t>Tidal exposure</w:t>
      </w:r>
      <w:bookmarkEnd w:id="949"/>
      <w:bookmarkEnd w:id="950"/>
      <w:bookmarkEnd w:id="951"/>
    </w:p>
    <w:p w14:paraId="3D2DE523" w14:textId="70733BFB" w:rsidR="005752EE" w:rsidRDefault="00EB7436" w:rsidP="00EB7436">
      <w:pPr>
        <w:rPr>
          <w:color w:val="000000"/>
          <w:szCs w:val="22"/>
        </w:rPr>
      </w:pPr>
      <w:r w:rsidRPr="00EB7436">
        <w:rPr>
          <w:color w:val="000000"/>
          <w:szCs w:val="22"/>
        </w:rPr>
        <w:t>The majority of meadows monitored within the MMP are located in shallow turbid waters where the duration of emersion and exposure has been shown to be important environmental drivers of seagrass change (</w:t>
      </w:r>
      <w:hyperlink w:anchor="_ENREF_226" w:tooltip="Unsworth, 2012 #9397" w:history="1">
        <w:r w:rsidR="00305FE7">
          <w:rPr>
            <w:color w:val="000000"/>
            <w:szCs w:val="22"/>
          </w:rPr>
          <w:fldChar w:fldCharType="begin"/>
        </w:r>
        <w:r w:rsidR="00305FE7">
          <w:rPr>
            <w:color w:val="000000"/>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 timestamp="1375052485"&gt;9397&lt;/key&gt;&lt;/foreign-keys&gt;&lt;ref-type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305FE7">
          <w:rPr>
            <w:color w:val="000000"/>
            <w:szCs w:val="22"/>
          </w:rPr>
          <w:fldChar w:fldCharType="separate"/>
        </w:r>
        <w:r w:rsidR="00305FE7">
          <w:rPr>
            <w:noProof/>
            <w:color w:val="000000"/>
            <w:szCs w:val="22"/>
          </w:rPr>
          <w:t>Unsworth</w:t>
        </w:r>
        <w:r w:rsidR="00305FE7" w:rsidRPr="00ED4C4C">
          <w:rPr>
            <w:i/>
            <w:noProof/>
            <w:color w:val="000000"/>
            <w:szCs w:val="22"/>
          </w:rPr>
          <w:t xml:space="preserve"> et al.</w:t>
        </w:r>
        <w:r w:rsidR="00305FE7">
          <w:rPr>
            <w:noProof/>
            <w:color w:val="000000"/>
            <w:szCs w:val="22"/>
          </w:rPr>
          <w:t xml:space="preserve"> 2012b</w:t>
        </w:r>
        <w:r w:rsidR="00305FE7">
          <w:rPr>
            <w:color w:val="000000"/>
            <w:szCs w:val="22"/>
          </w:rPr>
          <w:fldChar w:fldCharType="end"/>
        </w:r>
      </w:hyperlink>
      <w:r w:rsidRPr="00EB7436">
        <w:rPr>
          <w:color w:val="000000"/>
          <w:szCs w:val="22"/>
        </w:rPr>
        <w:t>). In the inshore waters of the GBR, where turbidity is naturally high, seagrasses are often restricted exclusively to the intertidal zone, as the periods around and even during exposure may provide critical windows of sufficient light for positive net photosynthesis (</w:t>
      </w:r>
      <w:hyperlink w:anchor="_ENREF_191" w:tooltip="Pollard, 1993 #771" w:history="1">
        <w:r w:rsidR="00305FE7">
          <w:rPr>
            <w:color w:val="000000"/>
            <w:szCs w:val="22"/>
          </w:rPr>
          <w:fldChar w:fldCharType="begin"/>
        </w:r>
        <w:r w:rsidR="00305FE7">
          <w:rPr>
            <w:color w:val="000000"/>
            <w:szCs w:val="22"/>
          </w:rPr>
          <w:instrText xml:space="preserve"> ADDIN EN.CITE &lt;EndNote&gt;&lt;Cite&gt;&lt;Author&gt;Pollard&lt;/Author&gt;&lt;Year&gt;1993&lt;/Year&gt;&lt;RecNum&gt;771&lt;/RecNum&gt;&lt;DisplayText&gt;Pollard and Greenway 1993&lt;/DisplayText&gt;&lt;record&gt;&lt;rec-number&gt;771&lt;/rec-number&gt;&lt;foreign-keys&gt;&lt;key app="EN" db-id="0eve55x9y5vfd6e9dacxtew4eatve2dzds9a" timestamp="0"&gt;771&lt;/key&gt;&lt;/foreign-keys&gt;&lt;ref-type name="Journal Article"&gt;17&lt;/ref-type&gt;&lt;contributors&gt;&lt;authors&gt;&lt;author&gt;Pollard, Peter C.&lt;/author&gt;&lt;author&gt;Greenway, Margaret&lt;/author&gt;&lt;/authors&gt;&lt;/contributors&gt;&lt;titles&gt;&lt;title&gt;&lt;style face="normal" font="default" size="100%"&gt;Photosynthetic characteristics of seagrasses (&lt;/style&gt;&lt;style face="italic" font="default" size="100%"&gt;Cymodocea serrulata&lt;/style&gt;&lt;style face="normal" font="default" size="100%"&gt;, &lt;/style&gt;&lt;style face="italic" font="default" size="100%"&gt;Thalassia hemprichii&lt;/style&gt;&lt;style face="normal" font="default" size="100%"&gt; and &lt;/style&gt;&lt;style face="italic" font="default" size="100%"&gt;Zostera capricorni&lt;/style&gt;&lt;style face="normal" font="default" size="100%"&gt;) in a low-light environment, with a comparison of leaf-marking and lucunal-gas measurements of productivity&lt;/style&gt;&lt;/title&gt;&lt;secondary-title&gt;Australian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127-140&lt;/pages&gt;&lt;volume&gt;44&lt;/volume&gt;&lt;dates&gt;&lt;year&gt;1993&lt;/year&gt;&lt;/dates&gt;&lt;label&gt;795&lt;/label&gt;&lt;urls&gt;&lt;/urls&gt;&lt;custom1&gt;Annex&lt;/custom1&gt;&lt;/record&gt;&lt;/Cite&gt;&lt;/EndNote&gt;</w:instrText>
        </w:r>
        <w:r w:rsidR="00305FE7">
          <w:rPr>
            <w:color w:val="000000"/>
            <w:szCs w:val="22"/>
          </w:rPr>
          <w:fldChar w:fldCharType="separate"/>
        </w:r>
        <w:r w:rsidR="00305FE7">
          <w:rPr>
            <w:noProof/>
            <w:color w:val="000000"/>
            <w:szCs w:val="22"/>
          </w:rPr>
          <w:t>Pollard and Greenway 1993</w:t>
        </w:r>
        <w:r w:rsidR="00305FE7">
          <w:rPr>
            <w:color w:val="000000"/>
            <w:szCs w:val="22"/>
          </w:rPr>
          <w:fldChar w:fldCharType="end"/>
        </w:r>
      </w:hyperlink>
      <w:r w:rsidRPr="00EB7436">
        <w:rPr>
          <w:color w:val="000000"/>
          <w:szCs w:val="22"/>
        </w:rPr>
        <w:t>). However, during tidal exposure, these intertidal seagrasses are susceptible to high irradiance, potentially high UV-A and UV-B, thermal stress and desiccation (</w:t>
      </w:r>
      <w:r w:rsidR="00ED4C4C">
        <w:rPr>
          <w:color w:val="000000"/>
          <w:szCs w:val="22"/>
        </w:rPr>
        <w:fldChar w:fldCharType="begin">
          <w:fldData xml:space="preserve">PEVuZE5vdGU+PENpdGU+PEF1dGhvcj5FcmZ0ZW1laWplcjwvQXV0aG9yPjxZZWFyPjE5OTQ8L1ll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</w:fldData>
        </w:fldChar>
      </w:r>
      <w:r w:rsidR="00521D93">
        <w:rPr>
          <w:color w:val="000000"/>
          <w:szCs w:val="22"/>
        </w:rPr>
        <w:instrText xml:space="preserve"> ADDIN EN.CITE </w:instrText>
      </w:r>
      <w:r w:rsidR="00521D93">
        <w:rPr>
          <w:color w:val="000000"/>
          <w:szCs w:val="22"/>
        </w:rPr>
        <w:fldChar w:fldCharType="begin">
          <w:fldData xml:space="preserve">PEVuZE5vdGU+PENpdGU+PEF1dGhvcj5FcmZ0ZW1laWplcjwvQXV0aG9yPjxZZWFyPjE5OTQ8L1ll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</w:fldData>
        </w:fldChar>
      </w:r>
      <w:r w:rsidR="00521D93">
        <w:rPr>
          <w:color w:val="000000"/>
          <w:szCs w:val="22"/>
        </w:rPr>
        <w:instrText xml:space="preserve"> ADDIN EN.CITE.DATA </w:instrText>
      </w:r>
      <w:r w:rsidR="00521D93">
        <w:rPr>
          <w:color w:val="000000"/>
          <w:szCs w:val="22"/>
        </w:rPr>
      </w:r>
      <w:r w:rsidR="00521D93">
        <w:rPr>
          <w:color w:val="000000"/>
          <w:szCs w:val="22"/>
        </w:rPr>
        <w:fldChar w:fldCharType="end"/>
      </w:r>
      <w:r w:rsidR="00ED4C4C">
        <w:rPr>
          <w:color w:val="000000"/>
          <w:szCs w:val="22"/>
        </w:rPr>
      </w:r>
      <w:r w:rsidR="00ED4C4C">
        <w:rPr>
          <w:color w:val="000000"/>
          <w:szCs w:val="22"/>
        </w:rPr>
        <w:fldChar w:fldCharType="separate"/>
      </w:r>
      <w:hyperlink w:anchor="_ENREF_88" w:tooltip="Erftemeijer, 1994 #10077" w:history="1">
        <w:r w:rsidR="00305FE7">
          <w:rPr>
            <w:noProof/>
            <w:color w:val="000000"/>
            <w:szCs w:val="22"/>
          </w:rPr>
          <w:t>Erftemeijer and Herman 1994</w:t>
        </w:r>
      </w:hyperlink>
      <w:r w:rsidR="00521D93">
        <w:rPr>
          <w:noProof/>
          <w:color w:val="000000"/>
          <w:szCs w:val="22"/>
        </w:rPr>
        <w:t xml:space="preserve">; </w:t>
      </w:r>
      <w:hyperlink w:anchor="_ENREF_215" w:tooltip="Stapel, 1997 #7380" w:history="1">
        <w:r w:rsidR="00305FE7">
          <w:rPr>
            <w:noProof/>
            <w:color w:val="000000"/>
            <w:szCs w:val="22"/>
          </w:rPr>
          <w:t>Stapel</w:t>
        </w:r>
        <w:r w:rsidR="00305FE7" w:rsidRPr="00521D93">
          <w:rPr>
            <w:i/>
            <w:noProof/>
            <w:color w:val="000000"/>
            <w:szCs w:val="22"/>
          </w:rPr>
          <w:t xml:space="preserve"> et al.</w:t>
        </w:r>
        <w:r w:rsidR="00305FE7">
          <w:rPr>
            <w:noProof/>
            <w:color w:val="000000"/>
            <w:szCs w:val="22"/>
          </w:rPr>
          <w:t xml:space="preserve"> 1997</w:t>
        </w:r>
      </w:hyperlink>
      <w:r w:rsidR="00521D93">
        <w:rPr>
          <w:noProof/>
          <w:color w:val="000000"/>
          <w:szCs w:val="22"/>
        </w:rPr>
        <w:t xml:space="preserve">; </w:t>
      </w:r>
      <w:hyperlink w:anchor="_ENREF_14" w:tooltip="Björk, 1999 #9144" w:history="1">
        <w:r w:rsidR="00305FE7">
          <w:rPr>
            <w:noProof/>
            <w:color w:val="000000"/>
            <w:szCs w:val="22"/>
          </w:rPr>
          <w:t>Björk</w:t>
        </w:r>
        <w:r w:rsidR="00305FE7" w:rsidRPr="00521D93">
          <w:rPr>
            <w:i/>
            <w:noProof/>
            <w:color w:val="000000"/>
            <w:szCs w:val="22"/>
          </w:rPr>
          <w:t xml:space="preserve"> et al.</w:t>
        </w:r>
        <w:r w:rsidR="00305FE7">
          <w:rPr>
            <w:noProof/>
            <w:color w:val="000000"/>
            <w:szCs w:val="22"/>
          </w:rPr>
          <w:t xml:space="preserve"> 1999</w:t>
        </w:r>
      </w:hyperlink>
      <w:r w:rsidR="00521D93">
        <w:rPr>
          <w:noProof/>
          <w:color w:val="000000"/>
          <w:szCs w:val="22"/>
        </w:rPr>
        <w:t xml:space="preserve">; </w:t>
      </w:r>
      <w:hyperlink w:anchor="_ENREF_30" w:tooltip="Campbell, 2006 #2896" w:history="1">
        <w:r w:rsidR="00305FE7">
          <w:rPr>
            <w:noProof/>
            <w:color w:val="000000"/>
            <w:szCs w:val="22"/>
          </w:rPr>
          <w:t>Campbell</w:t>
        </w:r>
        <w:r w:rsidR="00305FE7" w:rsidRPr="00521D93">
          <w:rPr>
            <w:i/>
            <w:noProof/>
            <w:color w:val="000000"/>
            <w:szCs w:val="22"/>
          </w:rPr>
          <w:t xml:space="preserve"> et al.</w:t>
        </w:r>
        <w:r w:rsidR="00305FE7">
          <w:rPr>
            <w:noProof/>
            <w:color w:val="000000"/>
            <w:szCs w:val="22"/>
          </w:rPr>
          <w:t xml:space="preserve"> 2006</w:t>
        </w:r>
      </w:hyperlink>
      <w:r w:rsidR="00ED4C4C">
        <w:rPr>
          <w:color w:val="000000"/>
          <w:szCs w:val="22"/>
        </w:rPr>
        <w:fldChar w:fldCharType="end"/>
      </w:r>
      <w:r w:rsidRPr="00EB7436">
        <w:rPr>
          <w:color w:val="000000"/>
          <w:szCs w:val="22"/>
        </w:rPr>
        <w:t>). Research on upper intertidal Enhalus acoroides meadows in the northern Gulf of Carpentaria (Weipa), reported strong correlative evidence that long-term tidal cycles coinciding with daylight and high solar radiation are linked to this long-term variability and seagrass decline (</w:t>
      </w:r>
      <w:hyperlink w:anchor="_ENREF_226" w:tooltip="Unsworth, 2012 #9397" w:history="1">
        <w:r w:rsidR="00305FE7">
          <w:rPr>
            <w:color w:val="000000"/>
            <w:szCs w:val="22"/>
          </w:rPr>
          <w:fldChar w:fldCharType="begin"/>
        </w:r>
        <w:r w:rsidR="00305FE7">
          <w:rPr>
            <w:color w:val="000000"/>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 timestamp="1375052485"&gt;9397&lt;/key&gt;&lt;/foreign-keys&gt;&lt;ref-type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305FE7">
          <w:rPr>
            <w:color w:val="000000"/>
            <w:szCs w:val="22"/>
          </w:rPr>
          <w:fldChar w:fldCharType="separate"/>
        </w:r>
        <w:r w:rsidR="00305FE7">
          <w:rPr>
            <w:noProof/>
            <w:color w:val="000000"/>
            <w:szCs w:val="22"/>
          </w:rPr>
          <w:t>Unsworth</w:t>
        </w:r>
        <w:r w:rsidR="00305FE7" w:rsidRPr="00521D93">
          <w:rPr>
            <w:i/>
            <w:noProof/>
            <w:color w:val="000000"/>
            <w:szCs w:val="22"/>
          </w:rPr>
          <w:t xml:space="preserve"> et al.</w:t>
        </w:r>
        <w:r w:rsidR="00305FE7">
          <w:rPr>
            <w:noProof/>
            <w:color w:val="000000"/>
            <w:szCs w:val="22"/>
          </w:rPr>
          <w:t xml:space="preserve"> 2012b</w:t>
        </w:r>
        <w:r w:rsidR="00305FE7">
          <w:rPr>
            <w:color w:val="000000"/>
            <w:szCs w:val="22"/>
          </w:rPr>
          <w:fldChar w:fldCharType="end"/>
        </w:r>
      </w:hyperlink>
      <w:r w:rsidRPr="00EB7436">
        <w:rPr>
          <w:color w:val="000000"/>
          <w:szCs w:val="22"/>
        </w:rPr>
        <w:t>).</w:t>
      </w:r>
      <w:r w:rsidR="005752EE">
        <w:rPr>
          <w:color w:val="000000"/>
          <w:szCs w:val="22"/>
        </w:rPr>
        <w:t xml:space="preserve"> Actual tidal data was provided by Maritime Safety Queensland and exposure times calculated for each site based on measured height relative to the Lowest Astronomical Tide.</w:t>
      </w:r>
    </w:p>
    <w:p w14:paraId="24BC3361" w14:textId="0BDF4034" w:rsidR="00EB7436" w:rsidRPr="005752EE" w:rsidRDefault="00EB7436" w:rsidP="005752EE">
      <w:pPr>
        <w:pStyle w:val="Heading3"/>
        <w:rPr>
          <w:rFonts w:asciiTheme="minorHAnsi" w:hAnsiTheme="minorHAnsi"/>
          <w:sz w:val="24"/>
          <w:szCs w:val="24"/>
        </w:rPr>
      </w:pPr>
      <w:bookmarkStart w:id="952" w:name="_Toc461884921"/>
      <w:bookmarkStart w:id="953" w:name="_Toc462047387"/>
      <w:bookmarkStart w:id="954" w:name="_Ref511373619"/>
      <w:bookmarkStart w:id="955" w:name="_Toc516053186"/>
      <w:r w:rsidRPr="005752EE">
        <w:rPr>
          <w:rFonts w:asciiTheme="minorHAnsi" w:hAnsiTheme="minorHAnsi"/>
          <w:sz w:val="24"/>
          <w:szCs w:val="24"/>
        </w:rPr>
        <w:t>Light loggers</w:t>
      </w:r>
      <w:bookmarkEnd w:id="952"/>
      <w:bookmarkEnd w:id="953"/>
      <w:bookmarkEnd w:id="954"/>
      <w:bookmarkEnd w:id="955"/>
    </w:p>
    <w:p w14:paraId="630BC489" w14:textId="2FABC18D" w:rsidR="00EB7436" w:rsidRDefault="00EB7436" w:rsidP="00EB7436">
      <w:pPr>
        <w:rPr>
          <w:color w:val="000000"/>
          <w:szCs w:val="22"/>
        </w:rPr>
      </w:pPr>
      <w:r>
        <w:rPr>
          <w:color w:val="000000"/>
          <w:szCs w:val="22"/>
          <w:lang w:val="en-US"/>
        </w:rPr>
        <w:t>Submersible Odyssey</w:t>
      </w:r>
      <w:r>
        <w:rPr>
          <w:color w:val="000000"/>
          <w:szCs w:val="22"/>
          <w:vertAlign w:val="superscript"/>
          <w:lang w:val="en-US"/>
        </w:rPr>
        <w:t>™</w:t>
      </w:r>
      <w:r>
        <w:rPr>
          <w:color w:val="000000"/>
          <w:szCs w:val="22"/>
          <w:lang w:val="en-US"/>
        </w:rPr>
        <w:t xml:space="preserve"> </w:t>
      </w:r>
      <w:r>
        <w:rPr>
          <w:rFonts w:cs="Arial"/>
          <w:color w:val="000000"/>
          <w:szCs w:val="22"/>
        </w:rPr>
        <w:t>photosynthetic irradiance a</w:t>
      </w:r>
      <w:r>
        <w:rPr>
          <w:rFonts w:cs="Arial"/>
          <w:color w:val="000000"/>
          <w:szCs w:val="22"/>
          <w:lang w:val="en-US"/>
        </w:rPr>
        <w:t xml:space="preserve">utonomous loggers were </w:t>
      </w:r>
      <w:r>
        <w:rPr>
          <w:color w:val="000000"/>
          <w:szCs w:val="22"/>
          <w:lang w:val="en-US"/>
        </w:rPr>
        <w:t>attached to permanent station markers</w:t>
      </w:r>
      <w:r>
        <w:rPr>
          <w:rFonts w:cs="Arial"/>
          <w:color w:val="000000"/>
          <w:szCs w:val="22"/>
          <w:lang w:val="en-US"/>
        </w:rPr>
        <w:t xml:space="preserve"> at </w:t>
      </w:r>
      <w:r w:rsidRPr="002D259D">
        <w:rPr>
          <w:color w:val="000000"/>
          <w:szCs w:val="22"/>
        </w:rPr>
        <w:t>20 intertidal and 4 subtidal</w:t>
      </w:r>
      <w:r>
        <w:rPr>
          <w:color w:val="000000"/>
          <w:szCs w:val="22"/>
        </w:rPr>
        <w:t xml:space="preserve"> </w:t>
      </w:r>
      <w:r>
        <w:rPr>
          <w:rFonts w:cs="Arial"/>
          <w:color w:val="000000"/>
          <w:szCs w:val="22"/>
          <w:lang w:val="en-US"/>
        </w:rPr>
        <w:t>seagrass locations from the Cape York region to the Burnett Mary region</w:t>
      </w:r>
      <w:r w:rsidR="002D259D">
        <w:rPr>
          <w:rFonts w:cs="Arial"/>
          <w:color w:val="000000"/>
          <w:szCs w:val="22"/>
          <w:lang w:val="en-US"/>
        </w:rPr>
        <w:t xml:space="preserve">. </w:t>
      </w:r>
      <w:r>
        <w:rPr>
          <w:color w:val="000000"/>
          <w:szCs w:val="22"/>
          <w:lang w:val="en-US"/>
        </w:rPr>
        <w:t>Measurements were recorded by the logger every 15 - 30 minutes and are reported as total daily light (mol m</w:t>
      </w:r>
      <w:r>
        <w:rPr>
          <w:color w:val="000000"/>
          <w:szCs w:val="22"/>
          <w:vertAlign w:val="superscript"/>
          <w:lang w:val="en-US"/>
        </w:rPr>
        <w:t>-2</w:t>
      </w:r>
      <w:r>
        <w:rPr>
          <w:color w:val="000000"/>
          <w:szCs w:val="22"/>
          <w:lang w:val="en-US"/>
        </w:rPr>
        <w:t xml:space="preserve"> d</w:t>
      </w:r>
      <w:r>
        <w:rPr>
          <w:color w:val="000000"/>
          <w:szCs w:val="22"/>
          <w:vertAlign w:val="superscript"/>
          <w:lang w:val="en-US"/>
        </w:rPr>
        <w:t>-1</w:t>
      </w:r>
      <w:r>
        <w:rPr>
          <w:color w:val="000000"/>
          <w:szCs w:val="22"/>
          <w:lang w:val="en-US"/>
        </w:rPr>
        <w:t>). Automatic wiper brushes cleaned the optical surface of the sensor every 15 minutes to prevent marine organisms fouling.</w:t>
      </w:r>
    </w:p>
    <w:p w14:paraId="557FB3BB" w14:textId="402332B6" w:rsidR="00EB7436" w:rsidRDefault="00EB7436" w:rsidP="00EB7436">
      <w:pPr>
        <w:rPr>
          <w:color w:val="000000"/>
          <w:szCs w:val="22"/>
        </w:rPr>
      </w:pPr>
      <w:r>
        <w:rPr>
          <w:color w:val="000000"/>
          <w:szCs w:val="22"/>
        </w:rPr>
        <w:t>Data were patchy for a number of intertidal sites because visitation frequency was low (3- 6 months), which increases the risk of light logger or wiper unit failure and increases the gap in data if loggers do fail. Furthermore, there are some sites that are frequently accessed by the public and tampering is suspected in the disappearance of some loggers. For subtidal sites, and their associated intertidal sites (Picnic Bay, Dunk Island, Green Island and Low Isles, 8 sites in total), the logger replacement time was every 6 weeks so data gaps were reduced.</w:t>
      </w:r>
    </w:p>
    <w:p w14:paraId="1F1EDF5B" w14:textId="77777777" w:rsidR="00460ACB" w:rsidRPr="00BC33E3" w:rsidRDefault="00460ACB" w:rsidP="00DD3BAE">
      <w:pPr>
        <w:autoSpaceDE w:val="0"/>
        <w:autoSpaceDN w:val="0"/>
        <w:adjustRightInd w:val="0"/>
        <w:rPr>
          <w:rFonts w:cs="Segoe UI"/>
        </w:rPr>
      </w:pPr>
      <w:r w:rsidRPr="00BC33E3">
        <w:rPr>
          <w:rFonts w:cs="Segoe UI"/>
        </w:rPr>
        <w:t>Odyssey</w:t>
      </w:r>
      <w:r w:rsidRPr="00BC33E3">
        <w:rPr>
          <w:rFonts w:cs="Segoe UI"/>
          <w:vertAlign w:val="superscript"/>
        </w:rPr>
        <w:t>™</w:t>
      </w:r>
      <w:r w:rsidRPr="00BC33E3">
        <w:rPr>
          <w:rFonts w:cs="Segoe UI"/>
        </w:rPr>
        <w:t xml:space="preserve"> data loggers (Odyssey, Christchurch, New Zealand) record Photosynthetically Active Radiation (400-1100nm) and store data in an inbuilt memory which is retrieved every three to six months, depending on the site. Each logger has the following technical specifications: </w:t>
      </w:r>
    </w:p>
    <w:p w14:paraId="7E6B7867" w14:textId="77777777" w:rsidR="00460ACB" w:rsidRPr="00BC33E3" w:rsidRDefault="00460ACB" w:rsidP="00DD3BAE">
      <w:pPr>
        <w:numPr>
          <w:ilvl w:val="0"/>
          <w:numId w:val="4"/>
        </w:numPr>
        <w:tabs>
          <w:tab w:val="clear" w:pos="1401"/>
        </w:tabs>
        <w:spacing w:before="60" w:after="60"/>
        <w:ind w:left="709" w:hanging="227"/>
        <w:rPr>
          <w:rFonts w:cs="Segoe UI"/>
          <w:bCs/>
        </w:rPr>
      </w:pPr>
      <w:r w:rsidRPr="00BC33E3">
        <w:rPr>
          <w:rFonts w:cs="Segoe UI"/>
          <w:bCs/>
        </w:rPr>
        <w:t>Cosine corrected photosynthetic irradiance sensor 400-700 nm</w:t>
      </w:r>
    </w:p>
    <w:p w14:paraId="7BF6F928" w14:textId="77777777" w:rsidR="00460ACB" w:rsidRPr="00BC33E3" w:rsidRDefault="00460ACB" w:rsidP="00DD3BAE">
      <w:pPr>
        <w:numPr>
          <w:ilvl w:val="0"/>
          <w:numId w:val="4"/>
        </w:numPr>
        <w:tabs>
          <w:tab w:val="clear" w:pos="1401"/>
        </w:tabs>
        <w:spacing w:before="60" w:after="60"/>
        <w:ind w:left="709" w:hanging="227"/>
        <w:rPr>
          <w:rFonts w:cs="Segoe UI"/>
          <w:bCs/>
        </w:rPr>
      </w:pPr>
      <w:r w:rsidRPr="00BC33E3">
        <w:rPr>
          <w:rFonts w:cs="Segoe UI"/>
          <w:bCs/>
        </w:rPr>
        <w:t xml:space="preserve">Cosine corrected solar irradiance sensor 400-1100 nm </w:t>
      </w:r>
    </w:p>
    <w:p w14:paraId="4CC1698B" w14:textId="77777777" w:rsidR="00460ACB" w:rsidRPr="00BC33E3" w:rsidRDefault="00460ACB" w:rsidP="00DD3BAE">
      <w:pPr>
        <w:numPr>
          <w:ilvl w:val="0"/>
          <w:numId w:val="4"/>
        </w:numPr>
        <w:tabs>
          <w:tab w:val="clear" w:pos="1401"/>
        </w:tabs>
        <w:spacing w:before="60" w:after="60"/>
        <w:ind w:left="709" w:hanging="227"/>
        <w:rPr>
          <w:rFonts w:cs="Segoe UI"/>
          <w:bCs/>
        </w:rPr>
      </w:pPr>
      <w:r w:rsidRPr="00BC33E3">
        <w:rPr>
          <w:rFonts w:cs="Segoe UI"/>
          <w:bCs/>
        </w:rPr>
        <w:t>Integrated count output recorded by Odyssey data recorder</w:t>
      </w:r>
    </w:p>
    <w:p w14:paraId="32FAD6A2" w14:textId="77777777" w:rsidR="00460ACB" w:rsidRPr="00BC33E3" w:rsidRDefault="00460ACB" w:rsidP="00DD3BAE">
      <w:pPr>
        <w:numPr>
          <w:ilvl w:val="0"/>
          <w:numId w:val="4"/>
        </w:numPr>
        <w:tabs>
          <w:tab w:val="clear" w:pos="1401"/>
        </w:tabs>
        <w:spacing w:before="60" w:after="60"/>
        <w:ind w:left="709" w:hanging="227"/>
        <w:rPr>
          <w:rFonts w:cs="Segoe UI"/>
          <w:bCs/>
        </w:rPr>
      </w:pPr>
      <w:r w:rsidRPr="00BC33E3">
        <w:rPr>
          <w:rFonts w:cs="Segoe UI"/>
          <w:bCs/>
        </w:rPr>
        <w:t>User defined integration period</w:t>
      </w:r>
    </w:p>
    <w:p w14:paraId="5C08D639" w14:textId="77777777" w:rsidR="00460ACB" w:rsidRPr="00BC33E3" w:rsidRDefault="00460ACB" w:rsidP="00DD3BAE">
      <w:pPr>
        <w:numPr>
          <w:ilvl w:val="0"/>
          <w:numId w:val="4"/>
        </w:numPr>
        <w:tabs>
          <w:tab w:val="clear" w:pos="1401"/>
        </w:tabs>
        <w:spacing w:before="60" w:after="60"/>
        <w:ind w:left="709" w:hanging="227"/>
        <w:rPr>
          <w:rFonts w:cs="Segoe UI"/>
          <w:bCs/>
        </w:rPr>
      </w:pPr>
      <w:r w:rsidRPr="00BC33E3">
        <w:rPr>
          <w:rFonts w:cs="Segoe UI"/>
          <w:bCs/>
        </w:rPr>
        <w:t>Submersible to 20m water depth</w:t>
      </w:r>
    </w:p>
    <w:p w14:paraId="5A0F2C96" w14:textId="77777777" w:rsidR="00460ACB" w:rsidRPr="00BC33E3" w:rsidRDefault="00460ACB" w:rsidP="00DD3BAE">
      <w:pPr>
        <w:numPr>
          <w:ilvl w:val="0"/>
          <w:numId w:val="4"/>
        </w:numPr>
        <w:tabs>
          <w:tab w:val="clear" w:pos="1401"/>
        </w:tabs>
        <w:spacing w:before="60" w:after="60"/>
        <w:ind w:left="709" w:hanging="227"/>
        <w:rPr>
          <w:rFonts w:cs="Segoe UI"/>
          <w:bCs/>
        </w:rPr>
      </w:pPr>
      <w:r w:rsidRPr="00BC33E3">
        <w:rPr>
          <w:rFonts w:cs="Segoe UI"/>
          <w:bCs/>
        </w:rPr>
        <w:t>64k memory.</w:t>
      </w:r>
    </w:p>
    <w:p w14:paraId="132E5534" w14:textId="77777777" w:rsidR="00460ACB" w:rsidRPr="00BC33E3" w:rsidRDefault="00460ACB" w:rsidP="00DD3BAE">
      <w:pPr>
        <w:autoSpaceDE w:val="0"/>
        <w:autoSpaceDN w:val="0"/>
        <w:adjustRightInd w:val="0"/>
        <w:rPr>
          <w:rFonts w:cs="Segoe UI"/>
        </w:rPr>
      </w:pPr>
      <w:r w:rsidRPr="00BC33E3">
        <w:rPr>
          <w:rFonts w:cs="Segoe UI"/>
        </w:rPr>
        <w:t>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Where possible, additional light loggers are deployed at subtidal sites 80 cm from the sediment surface.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14:paraId="73877624" w14:textId="77777777" w:rsidR="00460ACB" w:rsidRPr="00BC33E3" w:rsidRDefault="00460ACB" w:rsidP="00460ACB">
      <w:pPr>
        <w:autoSpaceDE w:val="0"/>
        <w:autoSpaceDN w:val="0"/>
        <w:adjustRightInd w:val="0"/>
        <w:rPr>
          <w:rFonts w:cs="Segoe UI"/>
        </w:rPr>
      </w:pPr>
      <w:r w:rsidRPr="00BC33E3">
        <w:rPr>
          <w:rFonts w:cs="Segoe UI"/>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SCUBA (and replaced if fouled) every six weeks due to the increased fouling rates at permanently submerged sites. After collection, details of the logger number, field datasheet (with date and time) and logger are returned to JCU for downloading. </w:t>
      </w:r>
    </w:p>
    <w:p w14:paraId="2ECC4382" w14:textId="78966DF6" w:rsidR="00460ACB" w:rsidRPr="00BC33E3" w:rsidRDefault="00460ACB" w:rsidP="00460ACB">
      <w:pPr>
        <w:rPr>
          <w:rFonts w:cs="Segoe UI"/>
        </w:rPr>
      </w:pPr>
      <w:r w:rsidRPr="00BC33E3">
        <w:rPr>
          <w:rFonts w:cs="Segoe UI"/>
        </w:rPr>
        <w:t>Photographs of the light sensor and/or notes on the condition of the sensor are recorded at logger collection. If fouling is major (e.g. wiper failure), the data are truncated to included only that data before fouling began – usually one to two weeks. If fouling was minor (up to ~25</w:t>
      </w:r>
      <w:r w:rsidR="0063478C">
        <w:rPr>
          <w:rFonts w:cs="Segoe UI"/>
        </w:rPr>
        <w:t xml:space="preserve"> per cent</w:t>
      </w:r>
      <w:r w:rsidRPr="00BC33E3">
        <w:rPr>
          <w:rFonts w:cs="Segoe UI"/>
        </w:rPr>
        <w:t xml:space="preserve"> of the senor covered), back corrections to the data are made to allow for a linear rate of fouling (linear because with minor fouling it is assumed that the wiper was retarding algal growth rates, but not fully inhibiting them). </w:t>
      </w:r>
    </w:p>
    <w:p w14:paraId="6D469296" w14:textId="481CDA48" w:rsidR="00EB7436" w:rsidRDefault="00EB7436" w:rsidP="00EB7436">
      <w:pPr>
        <w:autoSpaceDE w:val="0"/>
        <w:autoSpaceDN w:val="0"/>
        <w:adjustRightInd w:val="0"/>
        <w:rPr>
          <w:color w:val="000000"/>
          <w:szCs w:val="22"/>
          <w:lang w:val="en-US"/>
        </w:rPr>
      </w:pPr>
      <w:r>
        <w:rPr>
          <w:color w:val="000000"/>
          <w:szCs w:val="22"/>
          <w:lang w:val="en-US"/>
        </w:rPr>
        <w:t>Loggers were calibrated against a certified reference Photosynthetically Active Radiation (PAR) sensor (LI-COR</w:t>
      </w:r>
      <w:r>
        <w:rPr>
          <w:color w:val="000000"/>
          <w:szCs w:val="22"/>
          <w:vertAlign w:val="superscript"/>
          <w:lang w:val="en-US"/>
        </w:rPr>
        <w:t>™</w:t>
      </w:r>
      <w:r>
        <w:rPr>
          <w:color w:val="000000"/>
          <w:szCs w:val="22"/>
          <w:lang w:val="en-US"/>
        </w:rPr>
        <w:t xml:space="preserve"> LI-192SB Underwater Quantum Sensor) using a stable light source (LiCor) enclosed in a casing that holds both the sensor and light source at a constant distance. Calibration is repeated after each deployment period of 6 weeks to 6 months. </w:t>
      </w:r>
      <w:r w:rsidR="00A44E5D">
        <w:rPr>
          <w:color w:val="000000"/>
          <w:szCs w:val="22"/>
          <w:lang w:val="en-US"/>
        </w:rPr>
        <w:t>When the loggers are immersed in water (i.e. most fo the deployment time), a multiplication of 1.33 is used to adjust for in-water changes in absorption by the sensor</w:t>
      </w:r>
      <w:r w:rsidR="005E1B41">
        <w:rPr>
          <w:color w:val="000000"/>
          <w:szCs w:val="22"/>
          <w:lang w:val="en-US"/>
        </w:rPr>
        <w:t>, as the calibration is conducted in the air</w:t>
      </w:r>
      <w:r w:rsidR="00A44E5D">
        <w:rPr>
          <w:color w:val="000000"/>
          <w:szCs w:val="22"/>
          <w:lang w:val="en-US"/>
        </w:rPr>
        <w:t xml:space="preserve">. This is not applied when the loggers emerge from the water (i.e. at low tide). </w:t>
      </w:r>
    </w:p>
    <w:p w14:paraId="477285D1" w14:textId="77777777" w:rsidR="00EB7436" w:rsidRDefault="00EB7436" w:rsidP="00EB7436">
      <w:pPr>
        <w:jc w:val="center"/>
        <w:rPr>
          <w:color w:val="000000"/>
          <w:szCs w:val="22"/>
          <w:lang w:val="en-US"/>
        </w:rPr>
      </w:pPr>
      <w:r>
        <w:rPr>
          <w:noProof/>
          <w:color w:val="000000"/>
          <w:lang w:eastAsia="en-AU"/>
        </w:rPr>
        <w:drawing>
          <wp:inline distT="0" distB="0" distL="0" distR="0" wp14:anchorId="3D0CC428" wp14:editId="2DCE1A3C">
            <wp:extent cx="1190625" cy="1788795"/>
            <wp:effectExtent l="0" t="0" r="9525" b="1905"/>
            <wp:docPr id="5" name="Picture 5" descr="Photograph of autonomous iBTag submersible temperature logger attached to permanent site marker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hotograph of autonomous iBTag submersible temperature logger attached to permanent site marker at Green Island"/>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190625" cy="1788795"/>
                    </a:xfrm>
                    <a:prstGeom prst="rect">
                      <a:avLst/>
                    </a:prstGeom>
                    <a:noFill/>
                    <a:ln>
                      <a:noFill/>
                    </a:ln>
                  </pic:spPr>
                </pic:pic>
              </a:graphicData>
            </a:graphic>
          </wp:inline>
        </w:drawing>
      </w:r>
      <w:r>
        <w:rPr>
          <w:noProof/>
          <w:color w:val="000000"/>
          <w:lang w:eastAsia="en-AU"/>
        </w:rPr>
        <w:t xml:space="preserve"> </w:t>
      </w:r>
      <w:r>
        <w:rPr>
          <w:noProof/>
          <w:color w:val="000000"/>
          <w:szCs w:val="22"/>
          <w:lang w:eastAsia="en-AU"/>
        </w:rPr>
        <w:drawing>
          <wp:inline distT="0" distB="0" distL="0" distR="0" wp14:anchorId="56D13242" wp14:editId="3281EC3D">
            <wp:extent cx="2703195" cy="1788795"/>
            <wp:effectExtent l="0" t="0" r="1905" b="1905"/>
            <wp:docPr id="13" name="Picture 13" descr="Photograph of submersible Odyssey™ photosynthetic irradiance autonomous logger deployed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Green_Is_22Apr13_032"/>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2703195" cy="1788795"/>
                    </a:xfrm>
                    <a:prstGeom prst="rect">
                      <a:avLst/>
                    </a:prstGeom>
                    <a:noFill/>
                    <a:ln>
                      <a:noFill/>
                    </a:ln>
                  </pic:spPr>
                </pic:pic>
              </a:graphicData>
            </a:graphic>
          </wp:inline>
        </w:drawing>
      </w:r>
    </w:p>
    <w:p w14:paraId="0F84908D" w14:textId="77777777" w:rsidR="00EB7436" w:rsidRDefault="00EB7436" w:rsidP="00EB7436">
      <w:pPr>
        <w:jc w:val="center"/>
        <w:rPr>
          <w:i/>
          <w:color w:val="000000"/>
          <w:szCs w:val="22"/>
        </w:rPr>
      </w:pPr>
      <w:r>
        <w:rPr>
          <w:i/>
          <w:color w:val="000000"/>
          <w:szCs w:val="22"/>
        </w:rPr>
        <w:t>Autonomous iBTag™ submersible temperature loggers and submersible Odyssey™ photosynthetic irradiance autonomous logger deployed at Green Island.</w:t>
      </w:r>
    </w:p>
    <w:p w14:paraId="6BAA1ABB" w14:textId="5E5EC2B1" w:rsidR="00EB7436" w:rsidRDefault="00EB7436" w:rsidP="00EB7436">
      <w:pPr>
        <w:rPr>
          <w:color w:val="000000"/>
          <w:szCs w:val="22"/>
        </w:rPr>
      </w:pPr>
      <w:r>
        <w:rPr>
          <w:color w:val="000000"/>
          <w:szCs w:val="22"/>
        </w:rPr>
        <w:t>Light data measured as instantaneous irradiance (µmol m</w:t>
      </w:r>
      <w:r>
        <w:rPr>
          <w:color w:val="000000"/>
          <w:szCs w:val="22"/>
          <w:vertAlign w:val="superscript"/>
        </w:rPr>
        <w:t>-2</w:t>
      </w:r>
      <w:r>
        <w:rPr>
          <w:color w:val="000000"/>
          <w:szCs w:val="22"/>
        </w:rPr>
        <w:t xml:space="preserve"> s</w:t>
      </w:r>
      <w:r>
        <w:rPr>
          <w:color w:val="000000"/>
          <w:szCs w:val="22"/>
          <w:vertAlign w:val="superscript"/>
        </w:rPr>
        <w:t>-1</w:t>
      </w:r>
      <w:r>
        <w:rPr>
          <w:color w:val="000000"/>
          <w:szCs w:val="22"/>
        </w:rPr>
        <w:t>) was converted to daily irradiance (I</w:t>
      </w:r>
      <w:r>
        <w:rPr>
          <w:color w:val="000000"/>
          <w:szCs w:val="22"/>
          <w:vertAlign w:val="subscript"/>
        </w:rPr>
        <w:t>d</w:t>
      </w:r>
      <w:r>
        <w:rPr>
          <w:color w:val="000000"/>
          <w:szCs w:val="22"/>
        </w:rPr>
        <w:t>, mol m</w:t>
      </w:r>
      <w:r>
        <w:rPr>
          <w:color w:val="000000"/>
          <w:szCs w:val="22"/>
          <w:vertAlign w:val="superscript"/>
        </w:rPr>
        <w:t>-2</w:t>
      </w:r>
      <w:r>
        <w:rPr>
          <w:color w:val="000000"/>
          <w:szCs w:val="22"/>
        </w:rPr>
        <w:t xml:space="preserve"> d</w:t>
      </w:r>
      <w:r>
        <w:rPr>
          <w:color w:val="000000"/>
          <w:szCs w:val="22"/>
          <w:vertAlign w:val="superscript"/>
        </w:rPr>
        <w:t>-1</w:t>
      </w:r>
      <w:r>
        <w:rPr>
          <w:color w:val="000000"/>
          <w:szCs w:val="22"/>
        </w:rPr>
        <w:t>). I</w:t>
      </w:r>
      <w:r>
        <w:rPr>
          <w:color w:val="000000"/>
          <w:szCs w:val="22"/>
          <w:vertAlign w:val="subscript"/>
        </w:rPr>
        <w:t>d</w:t>
      </w:r>
      <w:r>
        <w:rPr>
          <w:color w:val="000000"/>
          <w:szCs w:val="22"/>
        </w:rPr>
        <w:t xml:space="preserve"> is highly variable in shallow coastal systems, being affected by incoming irradiance, the tidal cycle as well as water quality (</w:t>
      </w:r>
      <w:hyperlink w:anchor="_ENREF_6" w:tooltip="Anthony, 2004 #7409" w:history="1">
        <w:r w:rsidR="00305FE7">
          <w:fldChar w:fldCharType="begin"/>
        </w:r>
        <w:r w:rsidR="00305FE7">
          <w:instrText xml:space="preserve"> ADDIN EN.CITE &lt;EndNote&gt;&lt;Cite&gt;&lt;Author&gt;Anthony&lt;/Author&gt;&lt;Year&gt;2004&lt;/Year&gt;&lt;RecNum&gt;7409&lt;/RecNum&gt;&lt;DisplayText&gt;Anthony&lt;style face="italic"&gt; et al.&lt;/style&gt; 2004&lt;/DisplayText&gt;&lt;record&gt;&lt;rec-number&gt;7409&lt;/rec-number&gt;&lt;foreign-keys&gt;&lt;key app="EN" db-id="0eve55x9y5vfd6e9dacxtew4eatve2dzds9a" timestamp="0"&gt;7409&lt;/key&gt;&lt;/foreign-keys&gt;&lt;ref-type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Oceanography&lt;/full-title&gt;&lt;/periodical&gt;&lt;pages&gt;2201-2211&lt;/pages&gt;&lt;volume&gt;49&lt;/volume&gt;&lt;number&gt;6&lt;/number&gt;&lt;dates&gt;&lt;year&gt;2004&lt;/year&gt;&lt;/dates&gt;&lt;urls&gt;&lt;/urls&gt;&lt;/record&gt;&lt;/Cite&gt;&lt;/EndNote&gt;</w:instrText>
        </w:r>
        <w:r w:rsidR="00305FE7">
          <w:fldChar w:fldCharType="separate"/>
        </w:r>
        <w:r w:rsidR="00305FE7">
          <w:rPr>
            <w:noProof/>
          </w:rPr>
          <w:t>Anthony</w:t>
        </w:r>
        <w:r w:rsidR="00305FE7" w:rsidRPr="00521D93">
          <w:rPr>
            <w:i/>
            <w:noProof/>
          </w:rPr>
          <w:t xml:space="preserve"> et al.</w:t>
        </w:r>
        <w:r w:rsidR="00305FE7">
          <w:rPr>
            <w:noProof/>
          </w:rPr>
          <w:t xml:space="preserve"> 2004</w:t>
        </w:r>
        <w:r w:rsidR="00305FE7">
          <w:fldChar w:fldCharType="end"/>
        </w:r>
      </w:hyperlink>
      <w:r>
        <w:rPr>
          <w:color w:val="000000"/>
          <w:szCs w:val="22"/>
        </w:rPr>
        <w:t>). This high variability makes it difficult to ascertain trends in data. To aid with the visual interpretation of trends, I</w:t>
      </w:r>
      <w:r>
        <w:rPr>
          <w:color w:val="000000"/>
          <w:szCs w:val="22"/>
          <w:vertAlign w:val="subscript"/>
        </w:rPr>
        <w:t>d</w:t>
      </w:r>
      <w:r>
        <w:rPr>
          <w:color w:val="000000"/>
          <w:szCs w:val="22"/>
        </w:rPr>
        <w:t xml:space="preserve"> was averaged over a 28-day period (complete tidal cycle). 28 days is also biologically meaningful, as it corresponds to the approximate duration over which leaves on a shoot are fully replaced by new leaves and it is the approximate time over which shoot density and biomass starts to decline following reductions in light (</w:t>
      </w:r>
      <w:hyperlink w:anchor="_ENREF_57" w:tooltip="Collier, 2012 #9308" w:history="1">
        <w:r w:rsidR="00305FE7">
          <w:fldChar w:fldCharType="begin"/>
        </w:r>
        <w:r w:rsidR="00305FE7">
          <w:instrText xml:space="preserve"> ADDIN EN.CITE &lt;EndNote&gt;&lt;Cite&gt;&lt;Author&gt;Collier&lt;/Author&gt;&lt;Year&gt;2012&lt;/Year&gt;&lt;RecNum&gt;9308&lt;/RecNum&gt;&lt;DisplayText&gt;Collier&lt;style face="italic"&gt; et al.&lt;/style&gt; 2012a&lt;/DisplayText&gt;&lt;record&gt;&lt;rec-number&gt;9308&lt;/rec-number&gt;&lt;foreign-keys&gt;&lt;key app="EN" db-id="0eve55x9y5vfd6e9dacxtew4eatve2dzds9a"&gt;9308&lt;/key&gt;&lt;/foreign-keys&gt;&lt;ref-type name="Journal Article"&gt;17&lt;/ref-type&gt;&lt;contributors&gt;&lt;authors&gt;&lt;author&gt;Collier, C.J.&lt;/author&gt;&lt;author&gt;Waycott, M&lt;/author&gt;&lt;author&gt;Giraldo-Ospina, A.&lt;/author&gt;&lt;/authors&gt;&lt;/contributors&gt;&lt;titles&gt;&lt;title&gt;Responses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Bulletin&lt;/full-title&gt;&lt;/periodical&gt;&lt;pages&gt;342-354&lt;/pages&gt;&lt;volume&gt;65&lt;/volume&gt;&lt;number&gt;4-9&lt;/number&gt;&lt;dates&gt;&lt;year&gt;2012&lt;/year&gt;&lt;/dates&gt;&lt;urls&gt;&lt;/urls&gt;&lt;/record&gt;&lt;/Cite&gt;&lt;/EndNote&gt;</w:instrText>
        </w:r>
        <w:r w:rsidR="00305FE7">
          <w:fldChar w:fldCharType="separate"/>
        </w:r>
        <w:r w:rsidR="00305FE7">
          <w:rPr>
            <w:noProof/>
          </w:rPr>
          <w:t>Collier</w:t>
        </w:r>
        <w:r w:rsidR="00305FE7" w:rsidRPr="00DD4F10">
          <w:rPr>
            <w:i/>
            <w:noProof/>
          </w:rPr>
          <w:t xml:space="preserve"> et al.</w:t>
        </w:r>
        <w:r w:rsidR="00305FE7">
          <w:rPr>
            <w:noProof/>
          </w:rPr>
          <w:t xml:space="preserve"> 2012a</w:t>
        </w:r>
        <w:r w:rsidR="00305FE7">
          <w:fldChar w:fldCharType="end"/>
        </w:r>
      </w:hyperlink>
      <w:r>
        <w:rPr>
          <w:color w:val="000000"/>
          <w:szCs w:val="22"/>
        </w:rPr>
        <w:t>). 28-day averaged I</w:t>
      </w:r>
      <w:r>
        <w:rPr>
          <w:color w:val="000000"/>
          <w:szCs w:val="22"/>
          <w:vertAlign w:val="subscript"/>
        </w:rPr>
        <w:t>d</w:t>
      </w:r>
      <w:r>
        <w:rPr>
          <w:color w:val="000000"/>
          <w:szCs w:val="22"/>
        </w:rPr>
        <w:t xml:space="preserve"> are presented graphically against draft thresholds with different values for northern and southern communities as the dominant species and habitat types vary from north to south. Thresholds applied in the northern GBR (5 mol m</w:t>
      </w:r>
      <w:r>
        <w:rPr>
          <w:color w:val="000000"/>
          <w:szCs w:val="22"/>
          <w:vertAlign w:val="superscript"/>
        </w:rPr>
        <w:t>-2</w:t>
      </w:r>
      <w:r>
        <w:rPr>
          <w:color w:val="000000"/>
          <w:szCs w:val="22"/>
        </w:rPr>
        <w:t xml:space="preserve"> s</w:t>
      </w:r>
      <w:r>
        <w:rPr>
          <w:color w:val="000000"/>
          <w:szCs w:val="22"/>
          <w:vertAlign w:val="superscript"/>
        </w:rPr>
        <w:t>-1</w:t>
      </w:r>
      <w:r>
        <w:rPr>
          <w:color w:val="000000"/>
          <w:szCs w:val="22"/>
        </w:rPr>
        <w:t xml:space="preserve">) were developed for </w:t>
      </w:r>
      <w:r>
        <w:rPr>
          <w:i/>
          <w:color w:val="000000"/>
          <w:szCs w:val="22"/>
        </w:rPr>
        <w:t>Halodule uninervis</w:t>
      </w:r>
      <w:r>
        <w:rPr>
          <w:color w:val="000000"/>
          <w:szCs w:val="22"/>
        </w:rPr>
        <w:t>-dominated communities during episodic seagrass loss (</w:t>
      </w:r>
      <w:hyperlink w:anchor="_ENREF_58" w:tooltip="Collier, 2012 #9288" w:history="1">
        <w:r w:rsidR="00305FE7">
          <w:fldChar w:fldCharType="begin"/>
        </w:r>
        <w:r w:rsidR="00305FE7">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fldChar w:fldCharType="separate"/>
        </w:r>
        <w:r w:rsidR="00305FE7">
          <w:rPr>
            <w:noProof/>
          </w:rPr>
          <w:t>Collier</w:t>
        </w:r>
        <w:r w:rsidR="00305FE7" w:rsidRPr="00521D93">
          <w:rPr>
            <w:i/>
            <w:noProof/>
          </w:rPr>
          <w:t xml:space="preserve"> et al.</w:t>
        </w:r>
        <w:r w:rsidR="00305FE7">
          <w:rPr>
            <w:noProof/>
          </w:rPr>
          <w:t xml:space="preserve"> 2012b</w:t>
        </w:r>
        <w:r w:rsidR="00305FE7">
          <w:fldChar w:fldCharType="end"/>
        </w:r>
      </w:hyperlink>
      <w:r>
        <w:rPr>
          <w:color w:val="000000"/>
          <w:szCs w:val="22"/>
        </w:rPr>
        <w:t xml:space="preserve">). The threshold applied to southern GBR communities </w:t>
      </w:r>
      <w:r w:rsidR="006E25BB">
        <w:rPr>
          <w:color w:val="000000"/>
          <w:szCs w:val="22"/>
        </w:rPr>
        <w:t>(6 mol m</w:t>
      </w:r>
      <w:r w:rsidR="006E25BB">
        <w:rPr>
          <w:color w:val="000000"/>
          <w:szCs w:val="22"/>
          <w:vertAlign w:val="superscript"/>
        </w:rPr>
        <w:t>-2</w:t>
      </w:r>
      <w:r w:rsidR="006E25BB">
        <w:rPr>
          <w:color w:val="000000"/>
          <w:szCs w:val="22"/>
        </w:rPr>
        <w:t xml:space="preserve"> s</w:t>
      </w:r>
      <w:r w:rsidR="006E25BB">
        <w:rPr>
          <w:color w:val="000000"/>
          <w:szCs w:val="22"/>
          <w:vertAlign w:val="superscript"/>
        </w:rPr>
        <w:t>-1</w:t>
      </w:r>
      <w:r w:rsidR="006E25BB">
        <w:rPr>
          <w:color w:val="000000"/>
          <w:szCs w:val="22"/>
        </w:rPr>
        <w:t xml:space="preserve">) </w:t>
      </w:r>
      <w:r>
        <w:rPr>
          <w:color w:val="000000"/>
          <w:szCs w:val="22"/>
        </w:rPr>
        <w:t xml:space="preserve">were developed for </w:t>
      </w:r>
      <w:r>
        <w:rPr>
          <w:i/>
          <w:color w:val="000000"/>
          <w:szCs w:val="22"/>
        </w:rPr>
        <w:t xml:space="preserve">Zostera muelleri </w:t>
      </w:r>
      <w:r>
        <w:rPr>
          <w:color w:val="000000"/>
          <w:szCs w:val="22"/>
        </w:rPr>
        <w:t>dominated communities over a 2-week rolling average using a range of experimental and monitoring approaches (</w:t>
      </w:r>
      <w:hyperlink w:anchor="_ENREF_39" w:tooltip="Chartrand, 2012 #9309" w:history="1">
        <w:r w:rsidR="00305FE7">
          <w:fldChar w:fldCharType="begin"/>
        </w:r>
        <w:r w:rsidR="00305FE7">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 timestamp="1375005085"&gt;9309&lt;/key&gt;&lt;/foreign-keys&gt;&lt;ref-type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305FE7">
          <w:fldChar w:fldCharType="separate"/>
        </w:r>
        <w:r w:rsidR="00305FE7">
          <w:rPr>
            <w:noProof/>
          </w:rPr>
          <w:t>Chartrand</w:t>
        </w:r>
        <w:r w:rsidR="00305FE7" w:rsidRPr="00644A84">
          <w:rPr>
            <w:i/>
            <w:noProof/>
          </w:rPr>
          <w:t xml:space="preserve"> et al.</w:t>
        </w:r>
        <w:r w:rsidR="00305FE7">
          <w:rPr>
            <w:noProof/>
          </w:rPr>
          <w:t xml:space="preserve"> 2012</w:t>
        </w:r>
        <w:r w:rsidR="00305FE7">
          <w:fldChar w:fldCharType="end"/>
        </w:r>
      </w:hyperlink>
      <w:r>
        <w:rPr>
          <w:color w:val="000000"/>
          <w:szCs w:val="22"/>
        </w:rPr>
        <w:t xml:space="preserve">).  These working thresholds describe light levels associated with short-term changes in seagrass abundance. </w:t>
      </w:r>
    </w:p>
    <w:p w14:paraId="2F93C1C2" w14:textId="77777777" w:rsidR="005752EE" w:rsidRPr="00BC33E3" w:rsidRDefault="005752EE" w:rsidP="005752EE">
      <w:pPr>
        <w:rPr>
          <w:rFonts w:cs="Segoe UI"/>
          <w:lang w:eastAsia="en-AU"/>
        </w:rPr>
      </w:pPr>
    </w:p>
    <w:p w14:paraId="527CFEFA" w14:textId="0B366A1D" w:rsidR="005752EE" w:rsidRPr="005752EE" w:rsidRDefault="005752EE" w:rsidP="005752EE">
      <w:pPr>
        <w:pStyle w:val="Heading3"/>
        <w:rPr>
          <w:rFonts w:asciiTheme="minorHAnsi" w:hAnsiTheme="minorHAnsi"/>
          <w:sz w:val="24"/>
          <w:szCs w:val="24"/>
        </w:rPr>
      </w:pPr>
      <w:bookmarkStart w:id="956" w:name="_Toc387600771"/>
      <w:bookmarkStart w:id="957" w:name="_Toc461884922"/>
      <w:bookmarkStart w:id="958" w:name="_Toc462047388"/>
      <w:bookmarkStart w:id="959" w:name="_Toc516053187"/>
      <w:r w:rsidRPr="005752EE">
        <w:rPr>
          <w:rFonts w:asciiTheme="minorHAnsi" w:hAnsiTheme="minorHAnsi"/>
          <w:sz w:val="24"/>
          <w:szCs w:val="24"/>
        </w:rPr>
        <w:t>Within seagrass canopy temperature loggers</w:t>
      </w:r>
      <w:bookmarkEnd w:id="956"/>
      <w:bookmarkEnd w:id="957"/>
      <w:bookmarkEnd w:id="958"/>
      <w:bookmarkEnd w:id="959"/>
    </w:p>
    <w:p w14:paraId="204E8BF2" w14:textId="1B5506CF" w:rsidR="005752EE" w:rsidRPr="00BC33E3" w:rsidRDefault="005752EE" w:rsidP="005752EE">
      <w:pPr>
        <w:rPr>
          <w:rFonts w:cs="Segoe UI"/>
        </w:rPr>
      </w:pPr>
      <w:r w:rsidRPr="00BC33E3">
        <w:rPr>
          <w:rFonts w:cs="Segoe UI"/>
        </w:rPr>
        <w:t>Autonomous iBTag</w:t>
      </w:r>
      <w:r w:rsidRPr="00BC33E3">
        <w:rPr>
          <w:rFonts w:cs="Segoe UI"/>
          <w:vertAlign w:val="superscript"/>
        </w:rPr>
        <w:t>™</w:t>
      </w:r>
      <w:r w:rsidRPr="00BC33E3">
        <w:rPr>
          <w:rFonts w:cs="Segoe UI"/>
        </w:rPr>
        <w:t xml:space="preserve"> submersible temperature loggers are deployed at all </w:t>
      </w:r>
      <w:r w:rsidRPr="00BC33E3">
        <w:rPr>
          <w:rFonts w:cs="Segoe UI"/>
          <w:bCs/>
        </w:rPr>
        <w:t xml:space="preserve">sites identified in </w:t>
      </w:r>
      <w:r w:rsidR="00F243AD">
        <w:rPr>
          <w:lang w:eastAsia="en-AU"/>
        </w:rPr>
        <w:t>deployed at all sites identified in Table 36.</w:t>
      </w:r>
      <w:r w:rsidRPr="00BC33E3">
        <w:rPr>
          <w:rFonts w:cs="Segoe UI"/>
          <w:bCs/>
        </w:rPr>
        <w:t xml:space="preserve"> The loggers record</w:t>
      </w:r>
      <w:r w:rsidRPr="00BC33E3">
        <w:rPr>
          <w:rFonts w:cs="Segoe UI"/>
        </w:rPr>
        <w:t xml:space="preserve"> temperature (degrees Celsius) within the seagrass canopy every 30 to 90 minutes (depending on duration of deployment and logger storage capacity) and store data in an inbuilt memory which is downloaded every three to six months, depending on the site. </w:t>
      </w:r>
    </w:p>
    <w:p w14:paraId="005B9590" w14:textId="77777777" w:rsidR="005752EE" w:rsidRPr="00BC33E3" w:rsidRDefault="005752EE" w:rsidP="005752EE">
      <w:pPr>
        <w:rPr>
          <w:rFonts w:cs="Segoe UI"/>
        </w:rPr>
      </w:pPr>
      <w:r w:rsidRPr="00BC33E3">
        <w:rPr>
          <w:rFonts w:cs="Segoe UI"/>
        </w:rPr>
        <w:t>iBCod 22L model of iBTag</w:t>
      </w:r>
      <w:r w:rsidRPr="00BC33E3">
        <w:rPr>
          <w:rFonts w:cs="Segoe UI"/>
          <w:vertAlign w:val="superscript"/>
        </w:rPr>
        <w:t>™</w:t>
      </w:r>
      <w:r w:rsidRPr="00BC33E3">
        <w:rPr>
          <w:rFonts w:cs="Segoe UI"/>
        </w:rPr>
        <w:t xml:space="preserve"> loggers are used as they can withstand prolonged immersion in salt water to a depth of 600 metres. It is reinforced with solid titanium plates and over molded in a tough polyurethane casing that can take a lot of rough handling. </w:t>
      </w:r>
    </w:p>
    <w:p w14:paraId="54857633" w14:textId="77777777" w:rsidR="005752EE" w:rsidRPr="00BC33E3" w:rsidRDefault="005752EE" w:rsidP="005752EE">
      <w:pPr>
        <w:rPr>
          <w:rFonts w:cs="Segoe UI"/>
        </w:rPr>
      </w:pPr>
      <w:r w:rsidRPr="00BC33E3">
        <w:rPr>
          <w:rFonts w:cs="Segoe UI"/>
        </w:rPr>
        <w:t>Main features of the iBCod 22L include:</w:t>
      </w:r>
    </w:p>
    <w:p w14:paraId="1F1467E9" w14:textId="77777777" w:rsidR="005752EE" w:rsidRPr="00BC33E3" w:rsidRDefault="005752EE" w:rsidP="005752EE">
      <w:pPr>
        <w:numPr>
          <w:ilvl w:val="0"/>
          <w:numId w:val="5"/>
        </w:numPr>
        <w:ind w:left="714" w:hanging="357"/>
        <w:rPr>
          <w:rFonts w:cs="Segoe UI"/>
        </w:rPr>
      </w:pPr>
      <w:r w:rsidRPr="00BC33E3">
        <w:rPr>
          <w:rFonts w:cs="Segoe UI"/>
        </w:rPr>
        <w:t>Operating temperature range: -40 to +85°C</w:t>
      </w:r>
    </w:p>
    <w:p w14:paraId="6CE30E4A" w14:textId="77777777" w:rsidR="005752EE" w:rsidRPr="00BC33E3" w:rsidRDefault="005752EE" w:rsidP="005752EE">
      <w:pPr>
        <w:numPr>
          <w:ilvl w:val="0"/>
          <w:numId w:val="5"/>
        </w:numPr>
        <w:ind w:left="714" w:hanging="357"/>
        <w:rPr>
          <w:rFonts w:cs="Segoe UI"/>
        </w:rPr>
      </w:pPr>
      <w:r w:rsidRPr="00BC33E3">
        <w:rPr>
          <w:rFonts w:cs="Segoe UI"/>
        </w:rPr>
        <w:t>Resolution of readings: 0.5°C or 0.0625°C</w:t>
      </w:r>
    </w:p>
    <w:p w14:paraId="5DA81302" w14:textId="77777777" w:rsidR="005752EE" w:rsidRPr="00BC33E3" w:rsidRDefault="005752EE" w:rsidP="005752EE">
      <w:pPr>
        <w:numPr>
          <w:ilvl w:val="0"/>
          <w:numId w:val="5"/>
        </w:numPr>
        <w:ind w:left="714" w:hanging="357"/>
        <w:rPr>
          <w:rFonts w:cs="Segoe UI"/>
        </w:rPr>
      </w:pPr>
      <w:r w:rsidRPr="00BC33E3">
        <w:rPr>
          <w:rFonts w:cs="Segoe UI"/>
        </w:rPr>
        <w:t>Accuracy: ±0.5°C from -10°C to +65°C</w:t>
      </w:r>
    </w:p>
    <w:p w14:paraId="13EE23BF" w14:textId="77777777" w:rsidR="005752EE" w:rsidRPr="00BC33E3" w:rsidRDefault="005752EE" w:rsidP="005752EE">
      <w:pPr>
        <w:numPr>
          <w:ilvl w:val="0"/>
          <w:numId w:val="5"/>
        </w:numPr>
        <w:ind w:left="714" w:hanging="357"/>
        <w:rPr>
          <w:rFonts w:cs="Segoe UI"/>
        </w:rPr>
      </w:pPr>
      <w:r w:rsidRPr="00BC33E3">
        <w:rPr>
          <w:rFonts w:cs="Segoe UI"/>
        </w:rPr>
        <w:t>Sampling Rate: 1 second to 273 hours</w:t>
      </w:r>
    </w:p>
    <w:p w14:paraId="31DE1F11" w14:textId="77777777" w:rsidR="005752EE" w:rsidRPr="00BC33E3" w:rsidRDefault="005752EE" w:rsidP="005752EE">
      <w:pPr>
        <w:numPr>
          <w:ilvl w:val="0"/>
          <w:numId w:val="5"/>
        </w:numPr>
        <w:ind w:left="714" w:hanging="357"/>
        <w:rPr>
          <w:rFonts w:cs="Segoe UI"/>
        </w:rPr>
      </w:pPr>
      <w:r w:rsidRPr="00BC33E3">
        <w:rPr>
          <w:rFonts w:cs="Segoe UI"/>
        </w:rPr>
        <w:t>Number of readings: 4,096 or 8,192 depending on configuration</w:t>
      </w:r>
    </w:p>
    <w:p w14:paraId="315AB05C" w14:textId="77777777" w:rsidR="005752EE" w:rsidRPr="00BC33E3" w:rsidRDefault="005752EE" w:rsidP="005752EE">
      <w:pPr>
        <w:numPr>
          <w:ilvl w:val="0"/>
          <w:numId w:val="5"/>
        </w:numPr>
        <w:ind w:left="714" w:hanging="357"/>
        <w:rPr>
          <w:rFonts w:cs="Segoe UI"/>
        </w:rPr>
      </w:pPr>
      <w:r w:rsidRPr="00BC33E3">
        <w:rPr>
          <w:rFonts w:cs="Segoe UI"/>
        </w:rPr>
        <w:t>Password protection, with separate passwords for read only and full access. </w:t>
      </w:r>
    </w:p>
    <w:p w14:paraId="7F2C8373" w14:textId="77777777" w:rsidR="005752EE" w:rsidRPr="00BC33E3" w:rsidRDefault="005752EE" w:rsidP="005752EE">
      <w:pPr>
        <w:rPr>
          <w:rFonts w:cs="Segoe UI"/>
        </w:rPr>
      </w:pPr>
      <w:r w:rsidRPr="00BC33E3">
        <w:rPr>
          <w:rFonts w:cs="Segoe UI"/>
        </w:rPr>
        <w:t>The large capacity of this logger allows the collection of 171 days of readings at 30 minute intervals.</w:t>
      </w:r>
    </w:p>
    <w:p w14:paraId="69BBBE4C" w14:textId="77777777" w:rsidR="005752EE" w:rsidRPr="00BC33E3" w:rsidRDefault="005752EE" w:rsidP="005752EE">
      <w:pPr>
        <w:rPr>
          <w:rFonts w:cs="Segoe UI"/>
        </w:rPr>
      </w:pPr>
      <w:r w:rsidRPr="00BC33E3">
        <w:rPr>
          <w:rFonts w:cs="Segoe UI"/>
        </w:rPr>
        <w:t>iBCod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14:paraId="62805C9F" w14:textId="77777777" w:rsidR="005752EE" w:rsidRPr="00BC33E3" w:rsidRDefault="005752EE" w:rsidP="005752EE">
      <w:pPr>
        <w:rPr>
          <w:rFonts w:cs="Segoe UI"/>
        </w:rPr>
      </w:pPr>
      <w:r w:rsidRPr="00BC33E3">
        <w:rPr>
          <w:rFonts w:cs="Segoe UI"/>
        </w:rPr>
        <w:t xml:space="preserve">Each logger has a unique serial number which is recorded within a central secure database. The logger number is recorded on the monitoring site datasheet with the time of deployment and collection. At each monitoring event (every three to six months) the iBTag™ temperature loggers are removed and replaced with a fresh logger (these are dispatched close to the monitoring visit). After collection, details of the logger number, field datasheet (with date and time) and logger are returned for downloading. </w:t>
      </w:r>
    </w:p>
    <w:p w14:paraId="716E38FE" w14:textId="77777777" w:rsidR="005752EE" w:rsidRDefault="005752EE" w:rsidP="005752EE">
      <w:pPr>
        <w:rPr>
          <w:rFonts w:cs="Segoe UI"/>
        </w:rPr>
      </w:pPr>
      <w:r w:rsidRPr="00BC33E3">
        <w:rPr>
          <w:rFonts w:cs="Segoe UI"/>
        </w:rPr>
        <w:t xml:space="preserve">Logger deployment and data retrieval is 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bookmarkStart w:id="960" w:name="_Toc261013311"/>
      <w:bookmarkStart w:id="961" w:name="_Toc294781729"/>
      <w:bookmarkStart w:id="962" w:name="_Toc321383795"/>
      <w:bookmarkStart w:id="963" w:name="_Toc387600767"/>
    </w:p>
    <w:p w14:paraId="2C8D646E" w14:textId="77777777" w:rsidR="00460ACB" w:rsidRPr="005752EE" w:rsidRDefault="00460ACB" w:rsidP="00460ACB">
      <w:pPr>
        <w:pStyle w:val="Heading2"/>
      </w:pPr>
      <w:bookmarkStart w:id="964" w:name="_Toc516053188"/>
      <w:r>
        <w:t>Seagrass status</w:t>
      </w:r>
      <w:bookmarkEnd w:id="964"/>
    </w:p>
    <w:p w14:paraId="4752A90D" w14:textId="77777777" w:rsidR="008D6EF3" w:rsidRPr="00460ACB" w:rsidRDefault="008D6EF3" w:rsidP="00460ACB">
      <w:pPr>
        <w:pStyle w:val="Heading3"/>
        <w:rPr>
          <w:rFonts w:asciiTheme="minorHAnsi" w:hAnsiTheme="minorHAnsi"/>
          <w:sz w:val="24"/>
          <w:szCs w:val="24"/>
        </w:rPr>
      </w:pPr>
      <w:bookmarkStart w:id="965" w:name="_Toc461884924"/>
      <w:bookmarkStart w:id="966" w:name="_Toc462047390"/>
      <w:bookmarkStart w:id="967" w:name="_Ref511374510"/>
      <w:bookmarkStart w:id="968" w:name="_Ref511374663"/>
      <w:bookmarkStart w:id="969" w:name="_Toc516053189"/>
      <w:r w:rsidRPr="00460ACB">
        <w:rPr>
          <w:rFonts w:asciiTheme="minorHAnsi" w:hAnsiTheme="minorHAnsi"/>
          <w:sz w:val="24"/>
          <w:szCs w:val="24"/>
        </w:rPr>
        <w:t>Field survey methods</w:t>
      </w:r>
      <w:bookmarkEnd w:id="965"/>
      <w:bookmarkEnd w:id="966"/>
      <w:bookmarkEnd w:id="967"/>
      <w:bookmarkEnd w:id="968"/>
      <w:bookmarkEnd w:id="969"/>
    </w:p>
    <w:bookmarkEnd w:id="960"/>
    <w:bookmarkEnd w:id="961"/>
    <w:bookmarkEnd w:id="962"/>
    <w:p w14:paraId="492C3070" w14:textId="0754A687" w:rsidR="00ED4C4C" w:rsidRPr="00460ACB" w:rsidRDefault="00ED4C4C" w:rsidP="00460ACB">
      <w:pPr>
        <w:pStyle w:val="Heading4"/>
        <w:numPr>
          <w:ilvl w:val="0"/>
          <w:numId w:val="0"/>
        </w:numPr>
        <w:rPr>
          <w:rFonts w:asciiTheme="majorHAnsi" w:hAnsiTheme="majorHAnsi"/>
          <w:sz w:val="24"/>
          <w:szCs w:val="24"/>
        </w:rPr>
      </w:pPr>
      <w:r w:rsidRPr="00460ACB">
        <w:rPr>
          <w:rFonts w:asciiTheme="majorHAnsi" w:hAnsiTheme="majorHAnsi"/>
          <w:sz w:val="24"/>
          <w:szCs w:val="24"/>
        </w:rPr>
        <w:t>Inshore seagrass meadow abundance, community structure and reproductive health</w:t>
      </w:r>
      <w:bookmarkEnd w:id="963"/>
    </w:p>
    <w:p w14:paraId="3F4B14ED"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Site marking</w:t>
      </w:r>
    </w:p>
    <w:p w14:paraId="3E6E9294" w14:textId="7385C8A6" w:rsidR="004A36C2" w:rsidRPr="00BC33E3" w:rsidRDefault="004A36C2" w:rsidP="004A36C2">
      <w:pPr>
        <w:rPr>
          <w:rFonts w:cs="Segoe UI"/>
        </w:rPr>
      </w:pPr>
      <w:r w:rsidRPr="00BC33E3">
        <w:rPr>
          <w:rFonts w:cs="Segoe UI"/>
        </w:rPr>
        <w:t>Each selected inshore seagrass site is permanently marked wit</w:t>
      </w:r>
      <w:r w:rsidR="007A6808">
        <w:rPr>
          <w:rFonts w:cs="Segoe UI"/>
        </w:rPr>
        <w:t>h plastic star pickets at the 0 </w:t>
      </w:r>
      <w:r w:rsidRPr="00BC33E3">
        <w:rPr>
          <w:rFonts w:cs="Segoe UI"/>
        </w:rPr>
        <w:t xml:space="preserve">m point of the centre transect. Labels identifying the sites and contact details for the program are attached to these pickets. Positions of 0 m and 50 m points for all three transects </w:t>
      </w:r>
      <w:r w:rsidR="007A6808">
        <w:rPr>
          <w:rFonts w:cs="Segoe UI"/>
        </w:rPr>
        <w:t>within</w:t>
      </w:r>
      <w:r w:rsidRPr="00BC33E3">
        <w:rPr>
          <w:rFonts w:cs="Segoe UI"/>
        </w:rPr>
        <w:t xml:space="preserve"> a site are also </w:t>
      </w:r>
      <w:r w:rsidR="007A6808">
        <w:rPr>
          <w:rFonts w:cs="Segoe UI"/>
        </w:rPr>
        <w:t>recorded</w:t>
      </w:r>
      <w:r w:rsidRPr="00BC33E3">
        <w:rPr>
          <w:rFonts w:cs="Segoe UI"/>
        </w:rPr>
        <w:t xml:space="preserve"> using GPS (accuracy ±3 m). This ensures that the same site is monitored each event.</w:t>
      </w:r>
    </w:p>
    <w:p w14:paraId="32FA005F" w14:textId="77777777" w:rsidR="004A36C2" w:rsidRPr="00BC33E3" w:rsidRDefault="004A36C2" w:rsidP="004A36C2">
      <w:pPr>
        <w:rPr>
          <w:rFonts w:cs="Segoe UI"/>
        </w:rPr>
      </w:pPr>
    </w:p>
    <w:p w14:paraId="3BED16BA" w14:textId="77777777" w:rsidR="004A36C2" w:rsidRDefault="001F4593" w:rsidP="004A36C2">
      <w:pPr>
        <w:keepNext/>
        <w:jc w:val="center"/>
        <w:rPr>
          <w:rFonts w:cs="Arial"/>
          <w:noProof/>
          <w:lang w:eastAsia="en-AU"/>
        </w:rPr>
      </w:pPr>
      <w:r w:rsidRPr="008E7A03">
        <w:rPr>
          <w:rFonts w:cs="Arial"/>
          <w:noProof/>
          <w:lang w:eastAsia="en-AU"/>
        </w:rPr>
        <w:drawing>
          <wp:inline distT="0" distB="0" distL="0" distR="0" wp14:anchorId="3D50A6F8" wp14:editId="5A224485">
            <wp:extent cx="3636645" cy="5401310"/>
            <wp:effectExtent l="0" t="0" r="1905" b="8890"/>
            <wp:docPr id="128" name="Picture 2048" descr="Inshore seagrass monitoring sites, along the Great Barrier Reef, for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3636645" cy="5401310"/>
                    </a:xfrm>
                    <a:prstGeom prst="rect">
                      <a:avLst/>
                    </a:prstGeom>
                    <a:noFill/>
                    <a:ln>
                      <a:noFill/>
                    </a:ln>
                  </pic:spPr>
                </pic:pic>
              </a:graphicData>
            </a:graphic>
          </wp:inline>
        </w:drawing>
      </w:r>
    </w:p>
    <w:p w14:paraId="118DABB9" w14:textId="2838A9E5" w:rsidR="00326B1A" w:rsidRPr="00326B1A" w:rsidRDefault="00326B1A" w:rsidP="00326B1A">
      <w:pPr>
        <w:rPr>
          <w:i/>
        </w:rPr>
      </w:pPr>
      <w:bookmarkStart w:id="970" w:name="_Toc431493914"/>
      <w:bookmarkStart w:id="971" w:name="_Toc51605334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137</w:t>
      </w:r>
      <w:r w:rsidR="00C506C7">
        <w:rPr>
          <w:noProof/>
        </w:rPr>
        <w:fldChar w:fldCharType="end"/>
      </w:r>
      <w:r>
        <w:t xml:space="preserve">. </w:t>
      </w:r>
      <w:r w:rsidRPr="00326B1A">
        <w:rPr>
          <w:i/>
        </w:rPr>
        <w:t>Inshore seagrass monitoring sites for the Reef Rescue Marine Monitoring Program</w:t>
      </w:r>
      <w:r>
        <w:rPr>
          <w:i/>
        </w:rPr>
        <w:t>.</w:t>
      </w:r>
      <w:bookmarkEnd w:id="970"/>
      <w:bookmarkEnd w:id="971"/>
    </w:p>
    <w:p w14:paraId="03019CFF"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cover and species composition</w:t>
      </w:r>
    </w:p>
    <w:p w14:paraId="6FF08C5F" w14:textId="20574B18" w:rsidR="004A36C2" w:rsidRPr="00BC33E3" w:rsidRDefault="004A36C2" w:rsidP="004A36C2">
      <w:pPr>
        <w:rPr>
          <w:rFonts w:cs="Segoe UI"/>
        </w:rPr>
      </w:pPr>
      <w:r w:rsidRPr="00BC33E3">
        <w:rPr>
          <w:rFonts w:cs="Segoe UI"/>
        </w:rPr>
        <w:t xml:space="preserve">Survey methodology follows </w:t>
      </w:r>
      <w:r w:rsidR="0016409B">
        <w:rPr>
          <w:rFonts w:cs="Segoe UI"/>
        </w:rPr>
        <w:t xml:space="preserve">globally </w:t>
      </w:r>
      <w:r w:rsidRPr="00BC33E3">
        <w:rPr>
          <w:rFonts w:cs="Segoe UI"/>
        </w:rPr>
        <w:t>standard methodolog</w:t>
      </w:r>
      <w:r w:rsidR="0016409B">
        <w:rPr>
          <w:rFonts w:cs="Segoe UI"/>
        </w:rPr>
        <w:t>ies, originally developed for the Seagrass-Watch program</w:t>
      </w:r>
      <w:r w:rsidRPr="00BC33E3">
        <w:rPr>
          <w:rFonts w:cs="Segoe UI"/>
        </w:rPr>
        <w:t xml:space="preserve"> (</w:t>
      </w:r>
      <w:hyperlink w:anchor="_ENREF_152" w:tooltip="McKenzie, 2003 #9457" w:history="1">
        <w:r w:rsidR="00305FE7">
          <w:rPr>
            <w:rFonts w:cs="Segoe UI"/>
          </w:rPr>
          <w:fldChar w:fldCharType="begin"/>
        </w:r>
        <w:r w:rsidR="00305FE7">
          <w:rPr>
            <w:rFonts w:cs="Segoe UI"/>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305FE7">
          <w:rPr>
            <w:rFonts w:cs="Segoe UI"/>
          </w:rPr>
          <w:fldChar w:fldCharType="separate"/>
        </w:r>
        <w:r w:rsidR="00305FE7">
          <w:rPr>
            <w:rFonts w:cs="Segoe UI"/>
            <w:noProof/>
          </w:rPr>
          <w:t>McKenzie</w:t>
        </w:r>
        <w:r w:rsidR="00305FE7" w:rsidRPr="00521D93">
          <w:rPr>
            <w:rFonts w:cs="Segoe UI"/>
            <w:i/>
            <w:noProof/>
          </w:rPr>
          <w:t xml:space="preserve"> et al.</w:t>
        </w:r>
        <w:r w:rsidR="00305FE7">
          <w:rPr>
            <w:rFonts w:cs="Segoe UI"/>
            <w:noProof/>
          </w:rPr>
          <w:t xml:space="preserve"> 2003</w:t>
        </w:r>
        <w:r w:rsidR="00305FE7">
          <w:rPr>
            <w:rFonts w:cs="Segoe UI"/>
          </w:rPr>
          <w:fldChar w:fldCharType="end"/>
        </w:r>
      </w:hyperlink>
      <w:r w:rsidRPr="00BC33E3">
        <w:rPr>
          <w:rFonts w:cs="Segoe UI"/>
        </w:rPr>
        <w:t>). A site is defined as an area within a relatively homogenous section of a representative seagrass community/meadow</w:t>
      </w:r>
      <w:r w:rsidR="0016409B">
        <w:rPr>
          <w:rFonts w:cs="Segoe UI"/>
        </w:rPr>
        <w:t xml:space="preserve"> (</w:t>
      </w:r>
      <w:hyperlink w:anchor="_ENREF_158" w:tooltip="McKenzie, 2000 #9604" w:history="1">
        <w:r w:rsidR="00305FE7">
          <w:rPr>
            <w:rFonts w:cs="Segoe UI"/>
          </w:rPr>
          <w:fldChar w:fldCharType="begin"/>
        </w:r>
        <w:r w:rsidR="00305FE7">
          <w:rPr>
            <w:rFonts w:cs="Segoe UI"/>
          </w:rPr>
          <w:instrText xml:space="preserve"> ADDIN EN.CITE &lt;EndNote&gt;&lt;Cite&gt;&lt;Author&gt;McKenzie&lt;/Author&gt;&lt;Year&gt;2000&lt;/Year&gt;&lt;RecNum&gt;9604&lt;/RecNum&gt;&lt;DisplayText&gt;McKenzie&lt;style face="italic"&gt; et al.&lt;/style&gt; 2000a&lt;/DisplayText&gt;&lt;record&gt;&lt;rec-number&gt;9604&lt;/rec-number&gt;&lt;foreign-keys&gt;&lt;key app="EN" db-id="0eve55x9y5vfd6e9dacxtew4eatve2dzds9a" timestamp="1388452972"&gt;9604&lt;/key&gt;&lt;/foreign-keys&gt;&lt;ref-type name="Journal Article"&gt;17&lt;/ref-type&gt;&lt;contributors&gt;&lt;authors&gt;&lt;author&gt;McKenzie, Len J&lt;/author&gt;&lt;author&gt;Lee Long, Warren J&lt;/author&gt;&lt;author&gt;Coles, Robert G&lt;/author&gt;&lt;author&gt;Roder, Chantal A&lt;/author&gt;&lt;/authors&gt;&lt;/contributors&gt;&lt;titles&gt;&lt;title&gt;Seagrass-Watch: Community based monitoring of seagrass resources&lt;/title&gt;&lt;secondary-title&gt;Biologia Marina Mediterranea&lt;/secondary-title&gt;&lt;/titles&gt;&lt;periodical&gt;&lt;full-title&gt;Biologia marina mediterranea&lt;/full-title&gt;&lt;/periodical&gt;&lt;pages&gt;393-396&lt;/pages&gt;&lt;volume&gt;7&lt;/volume&gt;&lt;number&gt;2&lt;/number&gt;&lt;dates&gt;&lt;year&gt;2000&lt;/year&gt;&lt;/dates&gt;&lt;urls&gt;&lt;/urls&gt;&lt;/record&gt;&lt;/Cite&gt;&lt;/EndNote&gt;</w:instrText>
        </w:r>
        <w:r w:rsidR="00305FE7">
          <w:rPr>
            <w:rFonts w:cs="Segoe UI"/>
          </w:rPr>
          <w:fldChar w:fldCharType="separate"/>
        </w:r>
        <w:r w:rsidR="00305FE7">
          <w:rPr>
            <w:rFonts w:cs="Segoe UI"/>
            <w:noProof/>
          </w:rPr>
          <w:t>McKenzie</w:t>
        </w:r>
        <w:r w:rsidR="00305FE7" w:rsidRPr="00644A84">
          <w:rPr>
            <w:rFonts w:cs="Segoe UI"/>
            <w:i/>
            <w:noProof/>
          </w:rPr>
          <w:t xml:space="preserve"> et al.</w:t>
        </w:r>
        <w:r w:rsidR="00305FE7">
          <w:rPr>
            <w:rFonts w:cs="Segoe UI"/>
            <w:noProof/>
          </w:rPr>
          <w:t xml:space="preserve"> 2000a</w:t>
        </w:r>
        <w:r w:rsidR="00305FE7">
          <w:rPr>
            <w:rFonts w:cs="Segoe UI"/>
          </w:rPr>
          <w:fldChar w:fldCharType="end"/>
        </w:r>
      </w:hyperlink>
      <w:r w:rsidR="0016409B">
        <w:rPr>
          <w:rFonts w:cs="Segoe UI"/>
        </w:rPr>
        <w:t>)</w:t>
      </w:r>
      <w:r w:rsidRPr="00BC33E3">
        <w:rPr>
          <w:rFonts w:cs="Segoe UI"/>
        </w:rPr>
        <w:t xml:space="preserve">. </w:t>
      </w:r>
    </w:p>
    <w:p w14:paraId="7A45F905" w14:textId="47C7F01D" w:rsidR="004A36C2" w:rsidRPr="00BC33E3" w:rsidRDefault="004A36C2" w:rsidP="004A36C2">
      <w:pPr>
        <w:rPr>
          <w:rFonts w:cs="Segoe UI"/>
        </w:rPr>
      </w:pPr>
      <w:r w:rsidRPr="00BC33E3">
        <w:rPr>
          <w:rFonts w:cs="Segoe UI"/>
        </w:rPr>
        <w:t xml:space="preserve">Monitoring at the </w:t>
      </w:r>
      <w:r w:rsidR="009B09C9" w:rsidRPr="009B09C9">
        <w:rPr>
          <w:rFonts w:cs="Segoe UI"/>
        </w:rPr>
        <w:t>42</w:t>
      </w:r>
      <w:r w:rsidRPr="009B09C9">
        <w:rPr>
          <w:rFonts w:cs="Segoe UI"/>
        </w:rPr>
        <w:t xml:space="preserve"> sites</w:t>
      </w:r>
      <w:r w:rsidRPr="00BC33E3">
        <w:rPr>
          <w:rFonts w:cs="Segoe UI"/>
        </w:rPr>
        <w:t xml:space="preserve"> identified for the MMP long-term inshore monitoring in late-</w:t>
      </w:r>
      <w:r w:rsidR="000945E8">
        <w:rPr>
          <w:rFonts w:cs="Segoe UI"/>
        </w:rPr>
        <w:t>wet</w:t>
      </w:r>
      <w:r w:rsidRPr="00BC33E3">
        <w:rPr>
          <w:rFonts w:cs="Segoe UI"/>
        </w:rPr>
        <w:t xml:space="preserve"> (April) and late</w:t>
      </w:r>
      <w:r w:rsidR="00475FC4">
        <w:rPr>
          <w:rFonts w:cs="Segoe UI"/>
        </w:rPr>
        <w:t xml:space="preserve"> </w:t>
      </w:r>
      <w:r w:rsidRPr="00BC33E3">
        <w:rPr>
          <w:rFonts w:cs="Segoe UI"/>
        </w:rPr>
        <w:t xml:space="preserve">dry season (October) of each year is conducted by qualified </w:t>
      </w:r>
      <w:r w:rsidRPr="00BC33E3">
        <w:rPr>
          <w:color w:val="000000"/>
        </w:rPr>
        <w:t xml:space="preserve">and trained </w:t>
      </w:r>
      <w:r w:rsidRPr="00BC33E3">
        <w:rPr>
          <w:rFonts w:cs="Segoe UI"/>
        </w:rPr>
        <w:t xml:space="preserve">scientists who have demonstrated competency in the </w:t>
      </w:r>
      <w:r w:rsidR="00ED4C4C">
        <w:rPr>
          <w:rFonts w:cs="Segoe UI"/>
        </w:rPr>
        <w:t>methods</w:t>
      </w:r>
      <w:r w:rsidRPr="0016409B">
        <w:rPr>
          <w:rFonts w:cs="Segoe UI"/>
        </w:rPr>
        <w:t>. Monitoring</w:t>
      </w:r>
      <w:r w:rsidRPr="00BC33E3">
        <w:rPr>
          <w:rFonts w:cs="Segoe UI"/>
        </w:rPr>
        <w:t xml:space="preserve"> conducted outside these periods is conducted by a trained scientist assisted by volunteers.</w:t>
      </w:r>
    </w:p>
    <w:p w14:paraId="696F23EF" w14:textId="36862393" w:rsidR="004A36C2" w:rsidRDefault="004A36C2" w:rsidP="004A36C2">
      <w:pPr>
        <w:rPr>
          <w:color w:val="000000"/>
          <w:szCs w:val="22"/>
        </w:rPr>
      </w:pPr>
      <w:r w:rsidRPr="00BC33E3">
        <w:rPr>
          <w:rFonts w:cs="Segoe UI"/>
        </w:rPr>
        <w:t xml:space="preserve">At each site, during each survey, observers record the percent seagrass cover within </w:t>
      </w:r>
      <w:r w:rsidR="004537A8">
        <w:rPr>
          <w:rFonts w:cs="Segoe UI"/>
        </w:rPr>
        <w:t>a</w:t>
      </w:r>
      <w:r w:rsidR="004537A8" w:rsidRPr="00BC33E3">
        <w:rPr>
          <w:rFonts w:cs="Segoe UI"/>
        </w:rPr>
        <w:t xml:space="preserve"> total of 33 quadrats </w:t>
      </w:r>
      <w:r w:rsidR="004537A8">
        <w:rPr>
          <w:rFonts w:cs="Segoe UI"/>
        </w:rPr>
        <w:t>(</w:t>
      </w:r>
      <w:r w:rsidRPr="00BC33E3">
        <w:rPr>
          <w:rFonts w:cs="Segoe UI"/>
        </w:rPr>
        <w:t xml:space="preserve">50 cm × 50 cm quadrat </w:t>
      </w:r>
      <w:r w:rsidR="004537A8">
        <w:rPr>
          <w:rFonts w:cs="Segoe UI"/>
        </w:rPr>
        <w:t xml:space="preserve">placed </w:t>
      </w:r>
      <w:r w:rsidRPr="00BC33E3">
        <w:rPr>
          <w:rFonts w:cs="Segoe UI"/>
        </w:rPr>
        <w:t>every 5 m along three 50m transects, 25m apart</w:t>
      </w:r>
      <w:r w:rsidR="004537A8">
        <w:rPr>
          <w:rFonts w:cs="Segoe UI"/>
        </w:rPr>
        <w:t>)</w:t>
      </w:r>
      <w:r w:rsidRPr="00BC33E3">
        <w:rPr>
          <w:rFonts w:cs="Segoe UI"/>
        </w:rPr>
        <w:t>.</w:t>
      </w:r>
      <w:r w:rsidR="00E34837" w:rsidRPr="00357C17">
        <w:rPr>
          <w:color w:val="000000"/>
          <w:szCs w:val="22"/>
        </w:rPr>
        <w:t xml:space="preserve"> Seagrass abundance </w:t>
      </w:r>
      <w:r w:rsidR="00E34837">
        <w:rPr>
          <w:color w:val="000000"/>
          <w:szCs w:val="22"/>
        </w:rPr>
        <w:t>(</w:t>
      </w:r>
      <w:r w:rsidR="0063478C">
        <w:rPr>
          <w:color w:val="000000"/>
          <w:szCs w:val="22"/>
        </w:rPr>
        <w:t>per cent</w:t>
      </w:r>
      <w:r w:rsidR="00E34837">
        <w:rPr>
          <w:color w:val="000000"/>
          <w:szCs w:val="22"/>
        </w:rPr>
        <w:t xml:space="preserve"> cover) </w:t>
      </w:r>
      <w:r w:rsidR="00E34837" w:rsidRPr="00357C17">
        <w:rPr>
          <w:color w:val="000000"/>
          <w:szCs w:val="22"/>
        </w:rPr>
        <w:t>was visually estimated as the fraction of the seabed (substrate) obscured by the seagrass species when submerged and viewed from above. This method was used because the technique has wider application and is very quick, requiring only minutes at each quadrat; yet it is robust and highly repeatable, thereby minimising among-observer differences. Quadrat per</w:t>
      </w:r>
      <w:r w:rsidR="007A6808">
        <w:rPr>
          <w:color w:val="000000"/>
          <w:szCs w:val="22"/>
        </w:rPr>
        <w:t xml:space="preserve"> </w:t>
      </w:r>
      <w:r w:rsidR="00E34837" w:rsidRPr="00357C17">
        <w:rPr>
          <w:color w:val="000000"/>
          <w:szCs w:val="22"/>
        </w:rPr>
        <w:t>cent cover measurements have also been found to be far more efficient in detecting differences in seagrass abundance than seagrass blade counts or measures of above- or below-ground biomass (</w:t>
      </w:r>
      <w:hyperlink w:anchor="_ENREF_115" w:tooltip="Heidelbaugh, 1996 #1343" w:history="1">
        <w:r w:rsidR="00305FE7">
          <w:rPr>
            <w:color w:val="000000"/>
            <w:szCs w:val="22"/>
          </w:rPr>
          <w:fldChar w:fldCharType="begin"/>
        </w:r>
        <w:r w:rsidR="00305FE7">
          <w:rPr>
            <w:color w:val="000000"/>
            <w:szCs w:val="22"/>
          </w:rPr>
          <w:instrText xml:space="preserve"> ADDIN EN.CITE &lt;EndNote&gt;&lt;Cite&gt;&lt;Author&gt;Heidelbaugh&lt;/Author&gt;&lt;Year&gt;1996&lt;/Year&gt;&lt;RecNum&gt;1343&lt;/RecNum&gt;&lt;DisplayText&gt;Heidelbaugh and Nelson 1996&lt;/DisplayText&gt;&lt;record&gt;&lt;rec-number&gt;1343&lt;/rec-number&gt;&lt;foreign-keys&gt;&lt;key app="EN" db-id="0eve55x9y5vfd6e9dacxtew4eatve2dzds9a" timestamp="0"&gt;1343&lt;/key&gt;&lt;/foreign-keys&gt;&lt;ref-type name="Journal Article"&gt;17&lt;/ref-type&gt;&lt;contributors&gt;&lt;authors&gt;&lt;author&gt;Heidelbaugh, W. S.&lt;/author&gt;&lt;author&gt;Nelson, W. G.&lt;/author&gt;&lt;/authors&gt;&lt;/contributors&gt;&lt;titles&gt;&lt;title&gt;A power analysis of methods for assessment of change in seagrass cover&lt;/title&gt;&lt;secondary-title&gt;Aquatic Botany&lt;/secondary-title&gt;&lt;alt-title&gt;Aquat. Bot.&lt;/alt-title&gt;&lt;/titles&gt;&lt;periodical&gt;&lt;full-title&gt;Aquatic Botany&lt;/full-title&gt;&lt;/periodical&gt;&lt;pages&gt;227-243&lt;/pages&gt;&lt;volume&gt;53&lt;/volume&gt;&lt;number&gt;3-4&lt;/number&gt;&lt;keywords&gt;&lt;keyword&gt;Seagrass, Halodule wrightii, Sampling design, Biomass, Percent Cover&lt;/keyword&gt;&lt;/keywords&gt;&lt;dates&gt;&lt;year&gt;1996&lt;/year&gt;&lt;/dates&gt;&lt;urls&gt;&lt;/urls&gt;&lt;custom1&gt;Annex. Len McKenzie Collection&lt;/custom1&gt;&lt;/record&gt;&lt;/Cite&gt;&lt;/EndNote&gt;</w:instrText>
        </w:r>
        <w:r w:rsidR="00305FE7">
          <w:rPr>
            <w:color w:val="000000"/>
            <w:szCs w:val="22"/>
          </w:rPr>
          <w:fldChar w:fldCharType="separate"/>
        </w:r>
        <w:r w:rsidR="00305FE7">
          <w:rPr>
            <w:noProof/>
            <w:color w:val="000000"/>
            <w:szCs w:val="22"/>
          </w:rPr>
          <w:t>Heidelbaugh and Nelson 1996</w:t>
        </w:r>
        <w:r w:rsidR="00305FE7">
          <w:rPr>
            <w:color w:val="000000"/>
            <w:szCs w:val="22"/>
          </w:rPr>
          <w:fldChar w:fldCharType="end"/>
        </w:r>
      </w:hyperlink>
      <w:r w:rsidR="00E34837" w:rsidRPr="00357C17">
        <w:rPr>
          <w:color w:val="000000"/>
          <w:szCs w:val="22"/>
        </w:rPr>
        <w:t>). To improve resolution and allow greater differentiation at very low percentage covers (e.g. &lt;3</w:t>
      </w:r>
      <w:r w:rsidR="0063478C">
        <w:rPr>
          <w:color w:val="000000"/>
          <w:szCs w:val="22"/>
        </w:rPr>
        <w:t xml:space="preserve"> per cent</w:t>
      </w:r>
      <w:r w:rsidR="00E34837" w:rsidRPr="00357C17">
        <w:rPr>
          <w:color w:val="000000"/>
          <w:szCs w:val="22"/>
        </w:rPr>
        <w:t xml:space="preserve">), shoot counts based on global species density maxima were used. For example: 1 pair of </w:t>
      </w:r>
      <w:r w:rsidR="00E34837" w:rsidRPr="00357C17">
        <w:rPr>
          <w:i/>
          <w:color w:val="000000"/>
          <w:szCs w:val="22"/>
        </w:rPr>
        <w:t>Halophila ovalis</w:t>
      </w:r>
      <w:r w:rsidR="00E34837" w:rsidRPr="00357C17">
        <w:rPr>
          <w:color w:val="000000"/>
          <w:szCs w:val="22"/>
        </w:rPr>
        <w:t xml:space="preserve"> leaves in a quadrat = 0.1</w:t>
      </w:r>
      <w:r w:rsidR="0063478C">
        <w:rPr>
          <w:color w:val="000000"/>
          <w:szCs w:val="22"/>
        </w:rPr>
        <w:t xml:space="preserve"> per cent</w:t>
      </w:r>
      <w:r w:rsidR="00E34837" w:rsidRPr="00357C17">
        <w:rPr>
          <w:color w:val="000000"/>
          <w:szCs w:val="22"/>
        </w:rPr>
        <w:t xml:space="preserve">; 1 shoot/ramet of </w:t>
      </w:r>
      <w:r w:rsidR="00E34837" w:rsidRPr="00357C17">
        <w:rPr>
          <w:i/>
          <w:color w:val="000000"/>
          <w:szCs w:val="22"/>
        </w:rPr>
        <w:t>Zostera</w:t>
      </w:r>
      <w:r w:rsidR="00E34837" w:rsidRPr="00357C17">
        <w:rPr>
          <w:color w:val="000000"/>
          <w:szCs w:val="22"/>
        </w:rPr>
        <w:t xml:space="preserve"> in a quadrat = 0.2</w:t>
      </w:r>
      <w:r w:rsidR="0063478C">
        <w:rPr>
          <w:color w:val="000000"/>
          <w:szCs w:val="22"/>
        </w:rPr>
        <w:t xml:space="preserve"> per cent</w:t>
      </w:r>
      <w:r w:rsidR="00E34837" w:rsidRPr="00357C17">
        <w:rPr>
          <w:color w:val="000000"/>
          <w:szCs w:val="22"/>
        </w:rPr>
        <w:t xml:space="preserve">. Additional information was collected at the quadrat level, although only included as narrative in this report, including: seagrass canopy height of the dominant strap leaved species; macrofaunal abundance; abundance of burrows, as an measure of bioturbation; presence of herbivory (e.g. dugong and sea turtle); a visual/tactile assessment of sediment composition (see </w:t>
      </w:r>
      <w:hyperlink w:anchor="_ENREF_148" w:tooltip="McKenzie, 2007 #9456" w:history="1">
        <w:r w:rsidR="00305FE7">
          <w:rPr>
            <w:color w:val="000000"/>
            <w:szCs w:val="22"/>
          </w:rPr>
          <w:fldChar w:fldCharType="begin"/>
        </w:r>
        <w:r w:rsidR="00305FE7">
          <w:rPr>
            <w:color w:val="000000"/>
            <w:szCs w:val="22"/>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 timestamp="1375602923"&gt;9456&lt;/key&gt;&lt;/foreign-keys&gt;&lt;ref-type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305FE7">
          <w:rPr>
            <w:color w:val="000000"/>
            <w:szCs w:val="22"/>
          </w:rPr>
          <w:fldChar w:fldCharType="separate"/>
        </w:r>
        <w:r w:rsidR="00305FE7">
          <w:rPr>
            <w:noProof/>
            <w:color w:val="000000"/>
            <w:szCs w:val="22"/>
          </w:rPr>
          <w:t>McKenzie 2007</w:t>
        </w:r>
        <w:r w:rsidR="00305FE7">
          <w:rPr>
            <w:color w:val="000000"/>
            <w:szCs w:val="22"/>
          </w:rPr>
          <w:fldChar w:fldCharType="end"/>
        </w:r>
      </w:hyperlink>
      <w:r w:rsidR="00E34837" w:rsidRPr="00357C17">
        <w:rPr>
          <w:color w:val="000000"/>
          <w:szCs w:val="22"/>
        </w:rPr>
        <w:t xml:space="preserve">); and observations on the presence of superficial sediment structures such as ripples and sand waves to provide evidence of physical processes in the area (see </w:t>
      </w:r>
      <w:hyperlink w:anchor="_ENREF_123" w:tooltip="Koch, 2001 #9773" w:history="1">
        <w:r w:rsidR="00305FE7">
          <w:rPr>
            <w:color w:val="000000"/>
            <w:szCs w:val="22"/>
          </w:rPr>
          <w:fldChar w:fldCharType="begin"/>
        </w:r>
        <w:r w:rsidR="00305FE7">
          <w:rPr>
            <w:color w:val="000000"/>
            <w:szCs w:val="22"/>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 timestamp="1394273197"&gt;9773&lt;/key&gt;&lt;/foreign-keys&gt;&lt;ref-type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00305FE7">
          <w:rPr>
            <w:color w:val="000000"/>
            <w:szCs w:val="22"/>
          </w:rPr>
          <w:fldChar w:fldCharType="separate"/>
        </w:r>
        <w:r w:rsidR="00305FE7">
          <w:rPr>
            <w:noProof/>
            <w:color w:val="000000"/>
            <w:szCs w:val="22"/>
          </w:rPr>
          <w:t>Koch 2001</w:t>
        </w:r>
        <w:r w:rsidR="00305FE7">
          <w:rPr>
            <w:color w:val="000000"/>
            <w:szCs w:val="22"/>
          </w:rPr>
          <w:fldChar w:fldCharType="end"/>
        </w:r>
      </w:hyperlink>
      <w:r w:rsidR="00E34837" w:rsidRPr="00357C17">
        <w:rPr>
          <w:color w:val="000000"/>
          <w:szCs w:val="22"/>
        </w:rPr>
        <w:t>).</w:t>
      </w:r>
    </w:p>
    <w:p w14:paraId="7E32F755" w14:textId="52AB0584" w:rsidR="00153FDD" w:rsidRPr="00F70D76" w:rsidRDefault="00153FDD" w:rsidP="00F137D5">
      <w:pPr>
        <w:rPr>
          <w:color w:val="000000"/>
          <w:szCs w:val="22"/>
        </w:rPr>
      </w:pPr>
      <w:r w:rsidRPr="00357C17">
        <w:rPr>
          <w:color w:val="000000"/>
          <w:szCs w:val="22"/>
        </w:rPr>
        <w:t xml:space="preserve">Seagrass species were identified as per Waycott </w:t>
      </w:r>
      <w:r w:rsidRPr="00357C17">
        <w:rPr>
          <w:i/>
          <w:color w:val="000000"/>
          <w:szCs w:val="22"/>
        </w:rPr>
        <w:t>et al.</w:t>
      </w:r>
      <w:r w:rsidRPr="00357C17">
        <w:rPr>
          <w:color w:val="000000"/>
          <w:szCs w:val="22"/>
        </w:rPr>
        <w:t xml:space="preserve"> (</w:t>
      </w:r>
      <w:hyperlink w:anchor="_ENREF_237" w:tooltip="Waycott, 2004 #8887" w:history="1">
        <w:r w:rsidR="00305FE7">
          <w:rPr>
            <w:color w:val="000000"/>
            <w:szCs w:val="22"/>
          </w:rPr>
          <w:fldChar w:fldCharType="begin"/>
        </w:r>
        <w:r w:rsidR="00305FE7">
          <w:rPr>
            <w:color w:val="000000"/>
            <w:szCs w:val="22"/>
          </w:rPr>
          <w:instrText xml:space="preserve"> ADDIN EN.CITE &lt;EndNote&gt;&lt;Cite ExcludeAuth="1"&gt;&lt;Year&gt;2004&lt;/Year&gt;&lt;RecNum&gt;8887&lt;/RecNum&gt;&lt;DisplayText&gt;2004&lt;/DisplayText&gt;&lt;record&gt;&lt;rec-number&gt;8887&lt;/rec-number&gt;&lt;foreign-keys&gt;&lt;key app="EN" db-id="0eve55x9y5vfd6e9dacxtew4eatve2dzds9a" timestamp="0"&gt;8887&lt;/key&gt;&lt;/foreign-keys&gt;&lt;ref-type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305FE7">
          <w:rPr>
            <w:color w:val="000000"/>
            <w:szCs w:val="22"/>
          </w:rPr>
          <w:fldChar w:fldCharType="separate"/>
        </w:r>
        <w:r w:rsidR="00305FE7">
          <w:rPr>
            <w:noProof/>
            <w:color w:val="000000"/>
            <w:szCs w:val="22"/>
          </w:rPr>
          <w:t>2004</w:t>
        </w:r>
        <w:r w:rsidR="00305FE7">
          <w:rPr>
            <w:color w:val="000000"/>
            <w:szCs w:val="22"/>
          </w:rPr>
          <w:fldChar w:fldCharType="end"/>
        </w:r>
      </w:hyperlink>
      <w:r w:rsidRPr="00357C17">
        <w:rPr>
          <w:color w:val="000000"/>
          <w:szCs w:val="22"/>
        </w:rPr>
        <w:t xml:space="preserve">). </w:t>
      </w:r>
      <w:r>
        <w:rPr>
          <w:color w:val="000000"/>
          <w:szCs w:val="22"/>
        </w:rPr>
        <w:t xml:space="preserve">Species were further classified into colonising, opportunistic or persistent </w:t>
      </w:r>
      <w:r w:rsidRPr="005B62F4">
        <w:rPr>
          <w:rFonts w:asciiTheme="minorHAnsi" w:hAnsiTheme="minorHAnsi"/>
          <w:color w:val="000000"/>
          <w:szCs w:val="22"/>
        </w:rPr>
        <w:t xml:space="preserve">as </w:t>
      </w:r>
      <w:r>
        <w:rPr>
          <w:rFonts w:asciiTheme="minorHAnsi" w:hAnsiTheme="minorHAnsi"/>
          <w:color w:val="000000"/>
          <w:szCs w:val="22"/>
        </w:rPr>
        <w:t xml:space="preserve">broadly </w:t>
      </w:r>
      <w:r w:rsidRPr="005B62F4">
        <w:rPr>
          <w:rFonts w:asciiTheme="minorHAnsi" w:hAnsiTheme="minorHAnsi"/>
          <w:color w:val="000000"/>
          <w:szCs w:val="22"/>
        </w:rPr>
        <w:t>defined by Kilminister (</w:t>
      </w:r>
      <w:hyperlink w:anchor="_ENREF_122" w:tooltip="Kilminster, 2015 #10294" w:history="1">
        <w:r w:rsidR="00305FE7">
          <w:rPr>
            <w:rFonts w:asciiTheme="minorHAnsi" w:hAnsiTheme="minorHAnsi"/>
            <w:color w:val="000000"/>
            <w:szCs w:val="22"/>
          </w:rPr>
          <w:fldChar w:fldCharType="begin"/>
        </w:r>
        <w:r w:rsidR="00305FE7">
          <w:rPr>
            <w:rFonts w:asciiTheme="minorHAnsi" w:hAnsiTheme="minorHAnsi"/>
            <w:color w:val="000000"/>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305FE7">
          <w:rPr>
            <w:rFonts w:asciiTheme="minorHAnsi" w:hAnsiTheme="minorHAnsi"/>
            <w:color w:val="000000"/>
            <w:szCs w:val="22"/>
          </w:rPr>
          <w:fldChar w:fldCharType="separate"/>
        </w:r>
        <w:r w:rsidR="00305FE7">
          <w:rPr>
            <w:rFonts w:asciiTheme="minorHAnsi" w:hAnsiTheme="minorHAnsi"/>
            <w:noProof/>
            <w:color w:val="000000"/>
            <w:szCs w:val="22"/>
          </w:rPr>
          <w:t>2015</w:t>
        </w:r>
        <w:r w:rsidR="00305FE7">
          <w:rPr>
            <w:rFonts w:asciiTheme="minorHAnsi" w:hAnsiTheme="minorHAnsi"/>
            <w:color w:val="000000"/>
            <w:szCs w:val="22"/>
          </w:rPr>
          <w:fldChar w:fldCharType="end"/>
        </w:r>
      </w:hyperlink>
      <w:r w:rsidRPr="005B62F4">
        <w:rPr>
          <w:rFonts w:asciiTheme="minorHAnsi" w:hAnsiTheme="minorHAnsi"/>
          <w:color w:val="000000"/>
          <w:szCs w:val="22"/>
        </w:rPr>
        <w:t>)</w:t>
      </w:r>
      <w:r>
        <w:rPr>
          <w:rFonts w:asciiTheme="minorHAnsi" w:hAnsiTheme="minorHAnsi"/>
          <w:color w:val="000000"/>
          <w:szCs w:val="22"/>
        </w:rPr>
        <w:t xml:space="preserve">. For species which display characteristics across the range of strategies (e.g. </w:t>
      </w:r>
      <w:r w:rsidRPr="00744C57">
        <w:rPr>
          <w:rFonts w:asciiTheme="minorHAnsi" w:hAnsiTheme="minorHAnsi"/>
          <w:i/>
          <w:color w:val="000000"/>
          <w:szCs w:val="22"/>
        </w:rPr>
        <w:t>Zostera</w:t>
      </w:r>
      <w:r>
        <w:rPr>
          <w:rFonts w:asciiTheme="minorHAnsi" w:hAnsiTheme="minorHAnsi"/>
          <w:color w:val="000000"/>
          <w:szCs w:val="22"/>
        </w:rPr>
        <w:t xml:space="preserve"> can be colonising or opportunistic) as a </w:t>
      </w:r>
      <w:r w:rsidRPr="00744C57">
        <w:rPr>
          <w:rFonts w:asciiTheme="minorHAnsi" w:hAnsiTheme="minorHAnsi"/>
          <w:color w:val="000000"/>
          <w:szCs w:val="22"/>
        </w:rPr>
        <w:t xml:space="preserve">consequence of community type, meadow status (e.g. </w:t>
      </w:r>
      <w:r w:rsidRPr="00744C57">
        <w:rPr>
          <w:color w:val="000000"/>
          <w:szCs w:val="22"/>
        </w:rPr>
        <w:t>expansion/recovery phase after loss), or the environment within which they persist (</w:t>
      </w:r>
      <w:hyperlink w:anchor="_ENREF_108" w:tooltip="Harrison, 1979 #3970" w:history="1">
        <w:r w:rsidR="00305FE7" w:rsidRPr="00744C57">
          <w:rPr>
            <w:color w:val="000000"/>
            <w:szCs w:val="22"/>
          </w:rPr>
          <w:fldChar w:fldCharType="begin"/>
        </w:r>
        <w:r w:rsidR="00305FE7">
          <w:rPr>
            <w:color w:val="000000"/>
            <w:szCs w:val="22"/>
          </w:rPr>
          <w:instrText xml:space="preserve"> ADDIN EN.CITE &lt;EndNote&gt;&lt;Cite&gt;&lt;Author&gt;Harrison&lt;/Author&gt;&lt;Year&gt;1979&lt;/Year&gt;&lt;RecNum&gt;3970&lt;/RecNum&gt;&lt;DisplayText&gt;Harrison 1979&lt;/DisplayText&gt;&lt;record&gt;&lt;rec-number&gt;3970&lt;/rec-number&gt;&lt;foreign-keys&gt;&lt;key app="EN" db-id="0eve55x9y5vfd6e9dacxtew4eatve2dzds9a" timestamp="0"&gt;3970&lt;/key&gt;&lt;/foreign-keys&gt;&lt;ref-type name="Journal Article"&gt;17&lt;/ref-type&gt;&lt;contributors&gt;&lt;authors&gt;&lt;author&gt;Harrison, Paul Garth&lt;/author&gt;&lt;/authors&gt;&lt;/contributors&gt;&lt;titles&gt;&lt;title&gt;&lt;style face="normal" font="default" size="100%"&gt;Reproductive strategies in intertidal populations of two co-occurring seagrasses (&lt;/style&gt;&lt;style face="italic" font="default" size="100%"&gt;Zostera&lt;/style&gt;&lt;style face="normal" font="default" size="100%"&gt; spp.)&lt;/style&gt;&lt;/title&gt;&lt;secondary-title&gt;Canadian Journal of Botany&lt;/secondary-title&gt;&lt;/titles&gt;&lt;periodical&gt;&lt;full-title&gt;Canadian Journal of Botany&lt;/full-title&gt;&lt;/periodical&gt;&lt;pages&gt;2635-2638&lt;/pages&gt;&lt;volume&gt;57&lt;/volume&gt;&lt;dates&gt;&lt;year&gt;1979&lt;/year&gt;&lt;/dates&gt;&lt;urls&gt;&lt;/urls&gt;&lt;custom1&gt;357&lt;/custom1&gt;&lt;custom2&gt;580.5p1&lt;/custom2&gt;&lt;/record&gt;&lt;/Cite&gt;&lt;/EndNote&gt;</w:instrText>
        </w:r>
        <w:r w:rsidR="00305FE7" w:rsidRPr="00744C57">
          <w:rPr>
            <w:color w:val="000000"/>
            <w:szCs w:val="22"/>
          </w:rPr>
          <w:fldChar w:fldCharType="separate"/>
        </w:r>
        <w:r w:rsidR="00305FE7" w:rsidRPr="00744C57">
          <w:rPr>
            <w:noProof/>
            <w:color w:val="000000"/>
            <w:szCs w:val="22"/>
          </w:rPr>
          <w:t>Harrison 1979</w:t>
        </w:r>
        <w:r w:rsidR="00305FE7" w:rsidRPr="00744C57">
          <w:rPr>
            <w:color w:val="000000"/>
            <w:szCs w:val="22"/>
          </w:rPr>
          <w:fldChar w:fldCharType="end"/>
        </w:r>
      </w:hyperlink>
      <w:r w:rsidRPr="00744C57">
        <w:rPr>
          <w:color w:val="000000"/>
          <w:szCs w:val="22"/>
        </w:rPr>
        <w:t>)</w:t>
      </w:r>
      <w:r w:rsidRPr="00744C57">
        <w:rPr>
          <w:rFonts w:asciiTheme="minorHAnsi" w:hAnsiTheme="minorHAnsi"/>
          <w:color w:val="000000"/>
          <w:szCs w:val="22"/>
        </w:rPr>
        <w:t xml:space="preserve">, classification was assisted by </w:t>
      </w:r>
      <w:r w:rsidRPr="00744C57">
        <w:rPr>
          <w:color w:val="000000"/>
          <w:szCs w:val="22"/>
        </w:rPr>
        <w:t>expert elucidation</w:t>
      </w:r>
      <w:r>
        <w:rPr>
          <w:color w:val="000000"/>
          <w:szCs w:val="22"/>
        </w:rPr>
        <w:t xml:space="preserve"> until such time as </w:t>
      </w:r>
      <w:r w:rsidRPr="00644A84">
        <w:rPr>
          <w:color w:val="000000"/>
          <w:szCs w:val="22"/>
        </w:rPr>
        <w:t xml:space="preserve">a rigorous </w:t>
      </w:r>
      <w:r w:rsidRPr="004F7213">
        <w:rPr>
          <w:color w:val="000000"/>
          <w:szCs w:val="22"/>
        </w:rPr>
        <w:t xml:space="preserve">traits-based </w:t>
      </w:r>
      <w:r>
        <w:rPr>
          <w:color w:val="000000"/>
          <w:szCs w:val="22"/>
        </w:rPr>
        <w:t>method can be developed</w:t>
      </w:r>
      <w:r w:rsidRPr="00744C57">
        <w:rPr>
          <w:color w:val="000000"/>
          <w:szCs w:val="22"/>
        </w:rPr>
        <w:t>. Opportunist</w:t>
      </w:r>
      <w:r>
        <w:rPr>
          <w:color w:val="000000"/>
          <w:szCs w:val="22"/>
        </w:rPr>
        <w:t>ic</w:t>
      </w:r>
      <w:r w:rsidRPr="00744C57">
        <w:rPr>
          <w:color w:val="000000"/>
          <w:szCs w:val="22"/>
        </w:rPr>
        <w:t xml:space="preserve"> species were classified as colonising </w:t>
      </w:r>
      <w:r w:rsidRPr="00744C57">
        <w:rPr>
          <w:color w:val="000000"/>
          <w:szCs w:val="22"/>
          <w:lang w:val="en-US"/>
        </w:rPr>
        <w:t xml:space="preserve">during </w:t>
      </w:r>
      <w:r w:rsidRPr="00F70D76">
        <w:rPr>
          <w:color w:val="000000"/>
          <w:szCs w:val="22"/>
        </w:rPr>
        <w:t>the period of time when meadows underwent major decline i.e. &gt;80</w:t>
      </w:r>
      <w:r w:rsidR="0063478C">
        <w:rPr>
          <w:color w:val="000000"/>
          <w:szCs w:val="22"/>
        </w:rPr>
        <w:t xml:space="preserve"> per cent</w:t>
      </w:r>
      <w:r w:rsidRPr="00F70D76">
        <w:rPr>
          <w:color w:val="000000"/>
          <w:szCs w:val="22"/>
        </w:rPr>
        <w:t xml:space="preserve"> loss of cover (or below </w:t>
      </w:r>
      <w:r>
        <w:rPr>
          <w:color w:val="000000"/>
          <w:szCs w:val="22"/>
        </w:rPr>
        <w:t xml:space="preserve">abundance </w:t>
      </w:r>
      <w:r w:rsidRPr="00F70D76">
        <w:rPr>
          <w:color w:val="000000"/>
          <w:szCs w:val="22"/>
        </w:rPr>
        <w:t>20</w:t>
      </w:r>
      <w:r w:rsidRPr="00744C57">
        <w:rPr>
          <w:color w:val="000000"/>
          <w:szCs w:val="22"/>
          <w:vertAlign w:val="superscript"/>
        </w:rPr>
        <w:t>th</w:t>
      </w:r>
      <w:r w:rsidR="00F137D5">
        <w:rPr>
          <w:color w:val="000000"/>
          <w:szCs w:val="22"/>
        </w:rPr>
        <w:t xml:space="preserve"> percentile).</w:t>
      </w:r>
    </w:p>
    <w:p w14:paraId="420ACFA7" w14:textId="77777777" w:rsidR="000168DB" w:rsidRDefault="000168DB" w:rsidP="00153FDD">
      <w:pPr>
        <w:spacing w:before="0" w:after="0"/>
        <w:rPr>
          <w:color w:val="000000"/>
          <w:szCs w:val="22"/>
        </w:rPr>
      </w:pPr>
      <w:r>
        <w:rPr>
          <w:color w:val="000000"/>
          <w:szCs w:val="22"/>
        </w:rPr>
        <w:t xml:space="preserve">The proportion of colonising species contributing to the total seagrass abundance is then calculated for each site for each monitoring event. </w:t>
      </w:r>
      <w:r w:rsidRPr="000168DB">
        <w:rPr>
          <w:color w:val="000000"/>
          <w:szCs w:val="22"/>
        </w:rPr>
        <w:t>To aid with the visual interpretation of trends</w:t>
      </w:r>
      <w:r>
        <w:rPr>
          <w:color w:val="000000"/>
          <w:szCs w:val="22"/>
        </w:rPr>
        <w:t xml:space="preserve">, the proportion of colonising species </w:t>
      </w:r>
      <w:r w:rsidRPr="000168DB">
        <w:rPr>
          <w:color w:val="000000"/>
          <w:szCs w:val="22"/>
        </w:rPr>
        <w:t xml:space="preserve">are presented graphically against </w:t>
      </w:r>
      <w:r>
        <w:rPr>
          <w:color w:val="000000"/>
          <w:szCs w:val="22"/>
        </w:rPr>
        <w:t>the long-term average proportion of colonist species contributing to the total seagrass abundance for each GBR habitat.</w:t>
      </w:r>
    </w:p>
    <w:p w14:paraId="33CD1754" w14:textId="77777777" w:rsidR="00153FDD" w:rsidRPr="00357C17" w:rsidRDefault="00153FDD" w:rsidP="00153FDD">
      <w:pPr>
        <w:spacing w:before="0" w:after="0"/>
        <w:rPr>
          <w:color w:val="000000"/>
          <w:szCs w:val="22"/>
        </w:rPr>
      </w:pPr>
    </w:p>
    <w:p w14:paraId="5E04CD4D" w14:textId="5517E852" w:rsidR="00153FDD" w:rsidRPr="00517276" w:rsidRDefault="00153FDD" w:rsidP="00153FDD">
      <w:pPr>
        <w:spacing w:before="0" w:after="0"/>
        <w:jc w:val="center"/>
        <w:rPr>
          <w:i/>
          <w:color w:val="000000"/>
          <w:szCs w:val="22"/>
        </w:rPr>
      </w:pPr>
      <w:bookmarkStart w:id="972" w:name="_Ref442528436"/>
      <w:bookmarkStart w:id="973" w:name="_Toc516053461"/>
      <w:r w:rsidRPr="00517276">
        <w:rPr>
          <w:color w:val="000000"/>
          <w:szCs w:val="22"/>
        </w:rPr>
        <w:t xml:space="preserve">Table </w:t>
      </w:r>
      <w:r w:rsidRPr="00517276">
        <w:rPr>
          <w:color w:val="000000"/>
          <w:szCs w:val="22"/>
        </w:rPr>
        <w:fldChar w:fldCharType="begin"/>
      </w:r>
      <w:r w:rsidRPr="00517276">
        <w:rPr>
          <w:color w:val="000000"/>
          <w:szCs w:val="22"/>
        </w:rPr>
        <w:instrText xml:space="preserve"> SEQ Table \* ARABIC </w:instrText>
      </w:r>
      <w:r w:rsidRPr="00517276">
        <w:rPr>
          <w:color w:val="000000"/>
          <w:szCs w:val="22"/>
        </w:rPr>
        <w:fldChar w:fldCharType="separate"/>
      </w:r>
      <w:r w:rsidR="00F87DF9">
        <w:rPr>
          <w:noProof/>
          <w:color w:val="000000"/>
          <w:szCs w:val="22"/>
        </w:rPr>
        <w:t>37</w:t>
      </w:r>
      <w:r w:rsidRPr="00517276">
        <w:rPr>
          <w:color w:val="000000"/>
          <w:szCs w:val="22"/>
        </w:rPr>
        <w:fldChar w:fldCharType="end"/>
      </w:r>
      <w:bookmarkEnd w:id="972"/>
      <w:r w:rsidRPr="00517276">
        <w:rPr>
          <w:color w:val="000000"/>
          <w:szCs w:val="22"/>
        </w:rPr>
        <w:t xml:space="preserve">. </w:t>
      </w:r>
      <w:r w:rsidRPr="00517276">
        <w:rPr>
          <w:i/>
          <w:color w:val="000000"/>
          <w:szCs w:val="22"/>
        </w:rPr>
        <w:t xml:space="preserve">Long-term average proportion (±SE) of </w:t>
      </w:r>
      <w:r>
        <w:rPr>
          <w:i/>
          <w:color w:val="000000"/>
          <w:szCs w:val="22"/>
        </w:rPr>
        <w:t>colonising</w:t>
      </w:r>
      <w:r w:rsidRPr="00517276">
        <w:rPr>
          <w:i/>
          <w:color w:val="000000"/>
          <w:szCs w:val="22"/>
        </w:rPr>
        <w:t xml:space="preserve"> species in each GBR seagrass habitat type.</w:t>
      </w:r>
      <w:bookmarkEnd w:id="973"/>
      <w:r w:rsidRPr="00517276">
        <w:rPr>
          <w:i/>
          <w:color w:val="000000"/>
          <w:szCs w:val="22"/>
        </w:rPr>
        <w:t xml:space="preserve"> </w:t>
      </w:r>
    </w:p>
    <w:tbl>
      <w:tblPr>
        <w:tblW w:w="5583" w:type="dxa"/>
        <w:jc w:val="center"/>
        <w:tblLook w:val="01E0" w:firstRow="1" w:lastRow="1" w:firstColumn="1" w:lastColumn="1" w:noHBand="0" w:noVBand="0"/>
      </w:tblPr>
      <w:tblGrid>
        <w:gridCol w:w="1826"/>
        <w:gridCol w:w="3757"/>
      </w:tblGrid>
      <w:tr w:rsidR="00153FDD" w:rsidRPr="00D830F8" w14:paraId="20E571BA" w14:textId="77777777" w:rsidTr="00EB19B4">
        <w:trPr>
          <w:jc w:val="center"/>
        </w:trPr>
        <w:tc>
          <w:tcPr>
            <w:tcW w:w="1826" w:type="dxa"/>
            <w:tcBorders>
              <w:top w:val="single" w:sz="4" w:space="0" w:color="auto"/>
              <w:bottom w:val="single" w:sz="4" w:space="0" w:color="auto"/>
            </w:tcBorders>
            <w:shd w:val="clear" w:color="auto" w:fill="BBE0E3"/>
            <w:vAlign w:val="center"/>
          </w:tcPr>
          <w:p w14:paraId="7944F05D" w14:textId="77777777" w:rsidR="00153FDD" w:rsidRPr="00D830F8" w:rsidRDefault="00153FDD" w:rsidP="00EB19B4">
            <w:pPr>
              <w:spacing w:before="0" w:after="0"/>
              <w:jc w:val="center"/>
              <w:rPr>
                <w:b/>
                <w:szCs w:val="22"/>
              </w:rPr>
            </w:pPr>
            <w:r w:rsidRPr="00D830F8">
              <w:rPr>
                <w:b/>
                <w:szCs w:val="22"/>
              </w:rPr>
              <w:t>Seagrass habitat</w:t>
            </w:r>
          </w:p>
        </w:tc>
        <w:tc>
          <w:tcPr>
            <w:tcW w:w="3757" w:type="dxa"/>
            <w:tcBorders>
              <w:top w:val="single" w:sz="4" w:space="0" w:color="auto"/>
              <w:bottom w:val="single" w:sz="4" w:space="0" w:color="auto"/>
            </w:tcBorders>
            <w:shd w:val="clear" w:color="auto" w:fill="BBE0E3"/>
            <w:vAlign w:val="center"/>
          </w:tcPr>
          <w:p w14:paraId="64C6277A" w14:textId="77777777" w:rsidR="00153FDD" w:rsidRPr="00D830F8" w:rsidRDefault="00153FDD" w:rsidP="00EB19B4">
            <w:pPr>
              <w:spacing w:before="0" w:after="0"/>
              <w:jc w:val="center"/>
              <w:rPr>
                <w:b/>
                <w:szCs w:val="22"/>
              </w:rPr>
            </w:pPr>
            <w:r w:rsidRPr="00D830F8">
              <w:rPr>
                <w:b/>
                <w:szCs w:val="22"/>
              </w:rPr>
              <w:t>average proportion colonist species</w:t>
            </w:r>
          </w:p>
        </w:tc>
      </w:tr>
      <w:tr w:rsidR="00153FDD" w:rsidRPr="00D830F8" w14:paraId="6D33A859" w14:textId="77777777" w:rsidTr="00EB19B4">
        <w:trPr>
          <w:jc w:val="center"/>
        </w:trPr>
        <w:tc>
          <w:tcPr>
            <w:tcW w:w="1826" w:type="dxa"/>
            <w:tcBorders>
              <w:top w:val="single" w:sz="4" w:space="0" w:color="auto"/>
            </w:tcBorders>
            <w:shd w:val="clear" w:color="auto" w:fill="E7F3F4"/>
          </w:tcPr>
          <w:p w14:paraId="1D48B075" w14:textId="77777777" w:rsidR="00153FDD" w:rsidRPr="00D830F8" w:rsidRDefault="00153FDD" w:rsidP="00EB19B4">
            <w:pPr>
              <w:spacing w:before="0" w:after="0"/>
              <w:rPr>
                <w:szCs w:val="22"/>
              </w:rPr>
            </w:pPr>
            <w:r w:rsidRPr="00D830F8">
              <w:rPr>
                <w:szCs w:val="22"/>
              </w:rPr>
              <w:t>estuary</w:t>
            </w:r>
          </w:p>
        </w:tc>
        <w:tc>
          <w:tcPr>
            <w:tcW w:w="3757" w:type="dxa"/>
            <w:tcBorders>
              <w:top w:val="single" w:sz="4" w:space="0" w:color="auto"/>
            </w:tcBorders>
            <w:shd w:val="clear" w:color="auto" w:fill="E7F3F4"/>
          </w:tcPr>
          <w:p w14:paraId="08A641B6" w14:textId="77777777" w:rsidR="00153FDD" w:rsidRPr="00D830F8" w:rsidRDefault="00153FDD" w:rsidP="00EB19B4">
            <w:pPr>
              <w:spacing w:before="0" w:after="0"/>
              <w:jc w:val="center"/>
              <w:rPr>
                <w:szCs w:val="22"/>
              </w:rPr>
            </w:pPr>
            <w:r w:rsidRPr="00D830F8">
              <w:rPr>
                <w:szCs w:val="22"/>
              </w:rPr>
              <w:t>0.47 ±0.047</w:t>
            </w:r>
          </w:p>
        </w:tc>
      </w:tr>
      <w:tr w:rsidR="00153FDD" w:rsidRPr="00D830F8" w14:paraId="12C70C93" w14:textId="77777777" w:rsidTr="00EB19B4">
        <w:trPr>
          <w:jc w:val="center"/>
        </w:trPr>
        <w:tc>
          <w:tcPr>
            <w:tcW w:w="1826" w:type="dxa"/>
            <w:shd w:val="clear" w:color="auto" w:fill="F3F9FA"/>
          </w:tcPr>
          <w:p w14:paraId="71CE583D" w14:textId="77777777" w:rsidR="00153FDD" w:rsidRPr="00D830F8" w:rsidRDefault="00153FDD" w:rsidP="00EB19B4">
            <w:pPr>
              <w:spacing w:before="0" w:after="0"/>
              <w:rPr>
                <w:szCs w:val="22"/>
              </w:rPr>
            </w:pPr>
            <w:r w:rsidRPr="00D830F8">
              <w:rPr>
                <w:szCs w:val="22"/>
              </w:rPr>
              <w:t>coast</w:t>
            </w:r>
          </w:p>
        </w:tc>
        <w:tc>
          <w:tcPr>
            <w:tcW w:w="3757" w:type="dxa"/>
            <w:shd w:val="clear" w:color="auto" w:fill="F3F9FA"/>
          </w:tcPr>
          <w:p w14:paraId="141C0A62" w14:textId="77777777" w:rsidR="00153FDD" w:rsidRPr="00D830F8" w:rsidRDefault="00153FDD" w:rsidP="00EB19B4">
            <w:pPr>
              <w:spacing w:before="0" w:after="0"/>
              <w:jc w:val="center"/>
              <w:rPr>
                <w:szCs w:val="22"/>
              </w:rPr>
            </w:pPr>
            <w:r w:rsidRPr="00D830F8">
              <w:rPr>
                <w:szCs w:val="22"/>
              </w:rPr>
              <w:t>0.34 ±0.045</w:t>
            </w:r>
          </w:p>
        </w:tc>
      </w:tr>
      <w:tr w:rsidR="00153FDD" w:rsidRPr="00D830F8" w14:paraId="19534958" w14:textId="77777777" w:rsidTr="00EB19B4">
        <w:trPr>
          <w:jc w:val="center"/>
        </w:trPr>
        <w:tc>
          <w:tcPr>
            <w:tcW w:w="1826" w:type="dxa"/>
            <w:shd w:val="clear" w:color="auto" w:fill="E7F3F4"/>
          </w:tcPr>
          <w:p w14:paraId="793A1500" w14:textId="77777777" w:rsidR="00153FDD" w:rsidRPr="00D830F8" w:rsidRDefault="00153FDD" w:rsidP="00EB19B4">
            <w:pPr>
              <w:spacing w:before="0" w:after="0"/>
              <w:rPr>
                <w:szCs w:val="22"/>
              </w:rPr>
            </w:pPr>
            <w:r w:rsidRPr="00D830F8">
              <w:rPr>
                <w:szCs w:val="22"/>
              </w:rPr>
              <w:t>reef - intertidal</w:t>
            </w:r>
          </w:p>
        </w:tc>
        <w:tc>
          <w:tcPr>
            <w:tcW w:w="3757" w:type="dxa"/>
            <w:shd w:val="clear" w:color="auto" w:fill="E7F3F4"/>
          </w:tcPr>
          <w:p w14:paraId="4444AAA5" w14:textId="77777777" w:rsidR="00153FDD" w:rsidRPr="00D830F8" w:rsidRDefault="00153FDD" w:rsidP="00EB19B4">
            <w:pPr>
              <w:spacing w:before="0" w:after="0"/>
              <w:jc w:val="center"/>
              <w:rPr>
                <w:szCs w:val="22"/>
              </w:rPr>
            </w:pPr>
            <w:r w:rsidRPr="00D830F8">
              <w:rPr>
                <w:szCs w:val="22"/>
              </w:rPr>
              <w:t>0.30 ±0.05</w:t>
            </w:r>
          </w:p>
        </w:tc>
      </w:tr>
      <w:tr w:rsidR="00153FDD" w:rsidRPr="00D830F8" w14:paraId="602E26D8" w14:textId="77777777" w:rsidTr="00EB19B4">
        <w:trPr>
          <w:jc w:val="center"/>
        </w:trPr>
        <w:tc>
          <w:tcPr>
            <w:tcW w:w="1826" w:type="dxa"/>
            <w:tcBorders>
              <w:bottom w:val="single" w:sz="4" w:space="0" w:color="auto"/>
            </w:tcBorders>
            <w:shd w:val="clear" w:color="auto" w:fill="F3F9FA"/>
          </w:tcPr>
          <w:p w14:paraId="2B3180CC" w14:textId="77777777" w:rsidR="00153FDD" w:rsidRPr="00D830F8" w:rsidRDefault="00153FDD" w:rsidP="00EB19B4">
            <w:pPr>
              <w:spacing w:before="0" w:after="0"/>
              <w:rPr>
                <w:szCs w:val="22"/>
              </w:rPr>
            </w:pPr>
            <w:r w:rsidRPr="00D830F8">
              <w:rPr>
                <w:szCs w:val="22"/>
              </w:rPr>
              <w:t>reef - subtidal</w:t>
            </w:r>
          </w:p>
        </w:tc>
        <w:tc>
          <w:tcPr>
            <w:tcW w:w="3757" w:type="dxa"/>
            <w:tcBorders>
              <w:bottom w:val="single" w:sz="4" w:space="0" w:color="auto"/>
            </w:tcBorders>
            <w:shd w:val="clear" w:color="auto" w:fill="F3F9FA"/>
          </w:tcPr>
          <w:p w14:paraId="2526E50F" w14:textId="77777777" w:rsidR="00153FDD" w:rsidRPr="00D830F8" w:rsidRDefault="00153FDD" w:rsidP="00EB19B4">
            <w:pPr>
              <w:spacing w:before="0" w:after="0"/>
              <w:jc w:val="center"/>
              <w:rPr>
                <w:szCs w:val="22"/>
              </w:rPr>
            </w:pPr>
            <w:r w:rsidRPr="00D830F8">
              <w:rPr>
                <w:szCs w:val="22"/>
              </w:rPr>
              <w:t>0.32 ±0.049</w:t>
            </w:r>
          </w:p>
        </w:tc>
      </w:tr>
    </w:tbl>
    <w:p w14:paraId="659527B9" w14:textId="77777777" w:rsidR="00153FDD" w:rsidRDefault="00153FDD" w:rsidP="004A36C2">
      <w:pPr>
        <w:rPr>
          <w:rFonts w:cs="Segoe UI"/>
        </w:rPr>
      </w:pPr>
    </w:p>
    <w:p w14:paraId="2621DCB2"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reproductive health</w:t>
      </w:r>
    </w:p>
    <w:p w14:paraId="7C1C4F22" w14:textId="373D006F" w:rsidR="004A36C2" w:rsidRPr="00BC33E3" w:rsidRDefault="004A36C2" w:rsidP="004A36C2">
      <w:pPr>
        <w:rPr>
          <w:rFonts w:cs="Segoe UI"/>
        </w:rPr>
      </w:pPr>
      <w:r w:rsidRPr="00BC33E3">
        <w:rPr>
          <w:rFonts w:cs="Segoe UI"/>
        </w:rPr>
        <w:t xml:space="preserve">An assessment of seagrass reproductive health at locations identified in </w:t>
      </w:r>
      <w:r w:rsidR="00144953">
        <w:rPr>
          <w:rFonts w:cs="Segoe UI"/>
          <w:highlight w:val="yellow"/>
        </w:rPr>
        <w:fldChar w:fldCharType="begin"/>
      </w:r>
      <w:r w:rsidR="00144953">
        <w:rPr>
          <w:rFonts w:cs="Segoe UI"/>
        </w:rPr>
        <w:instrText xml:space="preserve"> REF _Ref236539751 \h </w:instrText>
      </w:r>
      <w:r w:rsidR="00144953">
        <w:rPr>
          <w:rFonts w:cs="Segoe UI"/>
          <w:highlight w:val="yellow"/>
        </w:rPr>
      </w:r>
      <w:r w:rsidR="00144953">
        <w:rPr>
          <w:rFonts w:cs="Segoe UI"/>
          <w:highlight w:val="yellow"/>
        </w:rPr>
        <w:fldChar w:fldCharType="separate"/>
      </w:r>
      <w:r w:rsidR="00F87DF9" w:rsidRPr="00015190">
        <w:rPr>
          <w:color w:val="000000"/>
          <w:szCs w:val="22"/>
        </w:rPr>
        <w:t xml:space="preserve">Table </w:t>
      </w:r>
      <w:r w:rsidR="00F87DF9">
        <w:rPr>
          <w:noProof/>
          <w:color w:val="000000"/>
          <w:szCs w:val="22"/>
        </w:rPr>
        <w:t>3</w:t>
      </w:r>
      <w:r w:rsidR="00144953">
        <w:rPr>
          <w:rFonts w:cs="Segoe UI"/>
          <w:highlight w:val="yellow"/>
        </w:rPr>
        <w:fldChar w:fldCharType="end"/>
      </w:r>
      <w:r w:rsidR="00144953">
        <w:rPr>
          <w:rFonts w:cs="Segoe UI"/>
        </w:rPr>
        <w:t xml:space="preserve"> </w:t>
      </w:r>
      <w:r w:rsidRPr="00BC33E3">
        <w:rPr>
          <w:rFonts w:cs="Segoe UI"/>
        </w:rPr>
        <w:t xml:space="preserve">via flower </w:t>
      </w:r>
      <w:r w:rsidR="009A568D">
        <w:rPr>
          <w:rFonts w:cs="Segoe UI"/>
        </w:rPr>
        <w:t xml:space="preserve">and fruit </w:t>
      </w:r>
      <w:r w:rsidRPr="00BC33E3">
        <w:rPr>
          <w:rFonts w:cs="Segoe UI"/>
        </w:rPr>
        <w:t>production is conducted in late-dry season (October) of each year at each site. Additional collections are also conducted in late-</w:t>
      </w:r>
      <w:r w:rsidR="000945E8">
        <w:rPr>
          <w:rFonts w:cs="Segoe UI"/>
        </w:rPr>
        <w:t>wet</w:t>
      </w:r>
      <w:r w:rsidRPr="00BC33E3">
        <w:rPr>
          <w:rFonts w:cs="Segoe UI"/>
        </w:rPr>
        <w:t xml:space="preserve"> (April) where possible.</w:t>
      </w:r>
    </w:p>
    <w:p w14:paraId="6514CD93" w14:textId="2A6D5CD5" w:rsidR="004A36C2" w:rsidRPr="00BC33E3" w:rsidRDefault="004A36C2" w:rsidP="004A36C2">
      <w:pPr>
        <w:rPr>
          <w:rFonts w:cs="Segoe UI"/>
        </w:rPr>
      </w:pPr>
      <w:r w:rsidRPr="00BC33E3">
        <w:rPr>
          <w:rFonts w:cs="Segoe UI"/>
        </w:rPr>
        <w:t xml:space="preserve">In the field, 15 haphazardly placed cores (100mm diameter x 100mm depth) of seagrass are collected from </w:t>
      </w:r>
      <w:r w:rsidR="007A6808">
        <w:rPr>
          <w:rFonts w:cs="Segoe UI"/>
        </w:rPr>
        <w:t xml:space="preserve">within the 5.5 hectares site in </w:t>
      </w:r>
      <w:r w:rsidRPr="00BC33E3">
        <w:rPr>
          <w:rFonts w:cs="Segoe UI"/>
        </w:rPr>
        <w:t>an area adjacent</w:t>
      </w:r>
      <w:r w:rsidR="007A6808">
        <w:rPr>
          <w:rFonts w:cs="Segoe UI"/>
        </w:rPr>
        <w:t xml:space="preserve"> to the monitoring transects</w:t>
      </w:r>
      <w:r w:rsidRPr="00BC33E3">
        <w:rPr>
          <w:rFonts w:cs="Segoe UI"/>
        </w:rPr>
        <w:t>. All samples collected are given a unique sample code/identifier providing a custodial trail from the field sample to the analytical outcome.</w:t>
      </w:r>
    </w:p>
    <w:p w14:paraId="6A1F74EA" w14:textId="2A3D1F63" w:rsidR="00460ACB" w:rsidRPr="00BC33E3" w:rsidRDefault="004A36C2" w:rsidP="00FB5297">
      <w:pPr>
        <w:rPr>
          <w:rFonts w:cs="Segoe UI"/>
        </w:rPr>
      </w:pPr>
      <w:r w:rsidRPr="00BC33E3">
        <w:rPr>
          <w:rFonts w:cs="Segoe UI"/>
        </w:rPr>
        <w:t>Seeds banks and abundance of germinated seeds were sampled according to standard methods (</w:t>
      </w:r>
      <w:hyperlink w:anchor="_ENREF_152" w:tooltip="McKenzie, 2003 #9457" w:history="1">
        <w:r w:rsidR="00305FE7">
          <w:rPr>
            <w:rFonts w:cs="Segoe UI"/>
          </w:rPr>
          <w:fldChar w:fldCharType="begin"/>
        </w:r>
        <w:r w:rsidR="00305FE7">
          <w:rPr>
            <w:rFonts w:cs="Segoe UI"/>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305FE7">
          <w:rPr>
            <w:rFonts w:cs="Segoe UI"/>
          </w:rPr>
          <w:fldChar w:fldCharType="separate"/>
        </w:r>
        <w:r w:rsidR="00305FE7">
          <w:rPr>
            <w:rFonts w:cs="Segoe UI"/>
            <w:noProof/>
          </w:rPr>
          <w:t>McKenzie</w:t>
        </w:r>
        <w:r w:rsidR="00305FE7" w:rsidRPr="00521D93">
          <w:rPr>
            <w:rFonts w:cs="Segoe UI"/>
            <w:i/>
            <w:noProof/>
          </w:rPr>
          <w:t xml:space="preserve"> et al.</w:t>
        </w:r>
        <w:r w:rsidR="00305FE7">
          <w:rPr>
            <w:rFonts w:cs="Segoe UI"/>
            <w:noProof/>
          </w:rPr>
          <w:t xml:space="preserve"> 2003</w:t>
        </w:r>
        <w:r w:rsidR="00305FE7">
          <w:rPr>
            <w:rFonts w:cs="Segoe UI"/>
          </w:rPr>
          <w:fldChar w:fldCharType="end"/>
        </w:r>
      </w:hyperlink>
      <w:r w:rsidRPr="00BC33E3">
        <w:rPr>
          <w:rFonts w:cs="Segoe UI"/>
        </w:rPr>
        <w:t xml:space="preserve">) by sieving (2mm mesh) 30 cores (50mm diameter, 100mm depth) of sediment collected across </w:t>
      </w:r>
      <w:r w:rsidR="00FB5297">
        <w:rPr>
          <w:rFonts w:cs="Segoe UI"/>
        </w:rPr>
        <w:t xml:space="preserve">the central 50 m x 50 m area of </w:t>
      </w:r>
      <w:r w:rsidRPr="00BC33E3">
        <w:rPr>
          <w:rFonts w:cs="Segoe UI"/>
        </w:rPr>
        <w:t xml:space="preserve">each site and counting the seeds retained in each. </w:t>
      </w:r>
      <w:r w:rsidR="003C6E48">
        <w:rPr>
          <w:rFonts w:cs="Segoe UI"/>
        </w:rPr>
        <w:t xml:space="preserve">This mesh size will retain seeds of </w:t>
      </w:r>
      <w:r w:rsidR="003C6E48" w:rsidRPr="00645107">
        <w:rPr>
          <w:rFonts w:cs="Segoe UI"/>
          <w:i/>
        </w:rPr>
        <w:t>Halodule uninervis</w:t>
      </w:r>
      <w:r w:rsidR="003C6E48">
        <w:rPr>
          <w:rFonts w:cs="Segoe UI"/>
        </w:rPr>
        <w:t xml:space="preserve"> and </w:t>
      </w:r>
      <w:r w:rsidR="003C6E48" w:rsidRPr="00645107">
        <w:rPr>
          <w:rFonts w:cs="Segoe UI"/>
          <w:i/>
        </w:rPr>
        <w:t>Cymodocea</w:t>
      </w:r>
      <w:r w:rsidR="003C6E48">
        <w:rPr>
          <w:rFonts w:cs="Segoe UI"/>
        </w:rPr>
        <w:t xml:space="preserve"> spp. </w:t>
      </w:r>
      <w:r w:rsidRPr="00BC33E3">
        <w:rPr>
          <w:rFonts w:cs="Segoe UI"/>
        </w:rPr>
        <w:t xml:space="preserve">For </w:t>
      </w:r>
      <w:r w:rsidRPr="00BC33E3">
        <w:rPr>
          <w:rFonts w:cs="Segoe UI"/>
          <w:i/>
        </w:rPr>
        <w:t xml:space="preserve">Zostera muelleri </w:t>
      </w:r>
      <w:r w:rsidRPr="00BC33E3">
        <w:rPr>
          <w:rFonts w:cs="Segoe UI"/>
        </w:rPr>
        <w:t>subsp</w:t>
      </w:r>
      <w:r w:rsidRPr="00BC33E3">
        <w:rPr>
          <w:rFonts w:cs="Segoe UI"/>
          <w:i/>
        </w:rPr>
        <w:t>. capricorni</w:t>
      </w:r>
      <w:r w:rsidRPr="00BC33E3">
        <w:rPr>
          <w:rFonts w:cs="Segoe UI"/>
        </w:rPr>
        <w:t>, where the seeds are &lt;1mm diameter, intact cores (18) were collected and returned to the laboratory where they were washed through a 710µm sieve and seeds identified using a hand lens/microscope.</w:t>
      </w:r>
    </w:p>
    <w:p w14:paraId="53D52028" w14:textId="77777777" w:rsidR="004A36C2" w:rsidRPr="00460ACB" w:rsidRDefault="004A36C2" w:rsidP="00460ACB">
      <w:pPr>
        <w:pStyle w:val="Heading4"/>
        <w:numPr>
          <w:ilvl w:val="0"/>
          <w:numId w:val="0"/>
        </w:numPr>
        <w:rPr>
          <w:rFonts w:asciiTheme="majorHAnsi" w:hAnsiTheme="majorHAnsi"/>
          <w:sz w:val="24"/>
          <w:szCs w:val="24"/>
        </w:rPr>
      </w:pPr>
      <w:r w:rsidRPr="00460ACB">
        <w:rPr>
          <w:rFonts w:asciiTheme="majorHAnsi" w:hAnsiTheme="majorHAnsi"/>
          <w:sz w:val="24"/>
          <w:szCs w:val="24"/>
        </w:rPr>
        <w:t xml:space="preserve">Seagrass </w:t>
      </w:r>
      <w:r w:rsidR="00460ACB">
        <w:rPr>
          <w:rFonts w:asciiTheme="majorHAnsi" w:hAnsiTheme="majorHAnsi"/>
          <w:sz w:val="24"/>
          <w:szCs w:val="24"/>
        </w:rPr>
        <w:t xml:space="preserve">leaf </w:t>
      </w:r>
      <w:r w:rsidRPr="00460ACB">
        <w:rPr>
          <w:rFonts w:asciiTheme="majorHAnsi" w:hAnsiTheme="majorHAnsi"/>
          <w:sz w:val="24"/>
          <w:szCs w:val="24"/>
        </w:rPr>
        <w:t>tissue nutrients</w:t>
      </w:r>
    </w:p>
    <w:p w14:paraId="323F6EA1" w14:textId="062233A3" w:rsidR="00EB7436" w:rsidRPr="00EB7436" w:rsidRDefault="00EB7436" w:rsidP="00FB5297">
      <w:pPr>
        <w:rPr>
          <w:rFonts w:cs="Segoe UI"/>
        </w:rPr>
      </w:pPr>
      <w:r w:rsidRPr="00EB7436">
        <w:rPr>
          <w:rFonts w:cs="Segoe UI"/>
        </w:rPr>
        <w:t>In late dry season (October) 201</w:t>
      </w:r>
      <w:r w:rsidR="00FB5297">
        <w:rPr>
          <w:rFonts w:cs="Segoe UI"/>
        </w:rPr>
        <w:t>6</w:t>
      </w:r>
      <w:r w:rsidRPr="00EB7436">
        <w:rPr>
          <w:rFonts w:cs="Segoe UI"/>
        </w:rPr>
        <w:t>, foundational seagrass (opportunistic and persistent species that are dominant at the site) species leaf tissue nutrient samples were collected from each monitoring site (</w:t>
      </w:r>
      <w:r w:rsidR="00ED4C4C">
        <w:rPr>
          <w:rFonts w:cs="Segoe UI"/>
        </w:rPr>
        <w:fldChar w:fldCharType="begin"/>
      </w:r>
      <w:r w:rsidR="00ED4C4C">
        <w:rPr>
          <w:rFonts w:cs="Segoe UI"/>
        </w:rPr>
        <w:instrText xml:space="preserve"> REF _Ref236539751 \h </w:instrText>
      </w:r>
      <w:r w:rsidR="00ED4C4C">
        <w:rPr>
          <w:rFonts w:cs="Segoe UI"/>
        </w:rPr>
      </w:r>
      <w:r w:rsidR="00ED4C4C">
        <w:rPr>
          <w:rFonts w:cs="Segoe UI"/>
        </w:rPr>
        <w:fldChar w:fldCharType="separate"/>
      </w:r>
      <w:r w:rsidR="00F87DF9" w:rsidRPr="00015190">
        <w:rPr>
          <w:color w:val="000000"/>
          <w:szCs w:val="22"/>
        </w:rPr>
        <w:t xml:space="preserve">Table </w:t>
      </w:r>
      <w:r w:rsidR="00F87DF9">
        <w:rPr>
          <w:noProof/>
          <w:color w:val="000000"/>
          <w:szCs w:val="22"/>
        </w:rPr>
        <w:t>3</w:t>
      </w:r>
      <w:r w:rsidR="00ED4C4C">
        <w:rPr>
          <w:rFonts w:cs="Segoe UI"/>
        </w:rPr>
        <w:fldChar w:fldCharType="end"/>
      </w:r>
      <w:r w:rsidRPr="00EB7436">
        <w:rPr>
          <w:rFonts w:cs="Segoe UI"/>
        </w:rPr>
        <w:t>). For nutrient status comparisons, collections were recommended during the growth season (e.g. late dry when nutrient contents are at a minimum) (</w:t>
      </w:r>
      <w:hyperlink w:anchor="_ENREF_175" w:tooltip="Mellors, 2005 #3739" w:history="1">
        <w:r w:rsidR="00305FE7">
          <w:rPr>
            <w:rFonts w:cs="Segoe UI"/>
          </w:rPr>
          <w:fldChar w:fldCharType="begin"/>
        </w:r>
        <w:r w:rsidR="00305FE7">
          <w:rPr>
            <w:rFonts w:cs="Segoe UI"/>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 timestamp="0"&gt;3739&lt;/key&gt;&lt;/foreign-keys&gt;&lt;ref-type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305FE7">
          <w:rPr>
            <w:rFonts w:cs="Segoe UI"/>
          </w:rPr>
          <w:fldChar w:fldCharType="separate"/>
        </w:r>
        <w:r w:rsidR="00305FE7">
          <w:rPr>
            <w:rFonts w:cs="Segoe UI"/>
            <w:noProof/>
          </w:rPr>
          <w:t>Mellors</w:t>
        </w:r>
        <w:r w:rsidR="00305FE7" w:rsidRPr="00521D93">
          <w:rPr>
            <w:rFonts w:cs="Segoe UI"/>
            <w:i/>
            <w:noProof/>
          </w:rPr>
          <w:t xml:space="preserve"> et al.</w:t>
        </w:r>
        <w:r w:rsidR="00305FE7">
          <w:rPr>
            <w:rFonts w:cs="Segoe UI"/>
            <w:noProof/>
          </w:rPr>
          <w:t xml:space="preserve"> 2005</w:t>
        </w:r>
        <w:r w:rsidR="00305FE7">
          <w:rPr>
            <w:rFonts w:cs="Segoe UI"/>
          </w:rPr>
          <w:fldChar w:fldCharType="end"/>
        </w:r>
      </w:hyperlink>
      <w:r w:rsidRPr="00EB7436">
        <w:rPr>
          <w:rFonts w:cs="Segoe UI"/>
        </w:rPr>
        <w:t>) and at the same time of the year and at the same depth at the different localities (</w:t>
      </w:r>
      <w:hyperlink w:anchor="_ENREF_17" w:tooltip="Borum, 2004 #7829" w:history="1">
        <w:r w:rsidR="00305FE7">
          <w:rPr>
            <w:rFonts w:cs="Segoe UI"/>
          </w:rPr>
          <w:fldChar w:fldCharType="begin"/>
        </w:r>
        <w:r w:rsidR="00305FE7">
          <w:rPr>
            <w:rFonts w:cs="Segoe UI"/>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 timestamp="0"&gt;7829&lt;/key&gt;&lt;/foreign-keys&gt;&lt;ref-type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305FE7">
          <w:rPr>
            <w:rFonts w:cs="Segoe UI"/>
          </w:rPr>
          <w:fldChar w:fldCharType="separate"/>
        </w:r>
        <w:r w:rsidR="00305FE7">
          <w:rPr>
            <w:rFonts w:cs="Segoe UI"/>
            <w:noProof/>
          </w:rPr>
          <w:t>Borum</w:t>
        </w:r>
        <w:r w:rsidR="00305FE7" w:rsidRPr="00521D93">
          <w:rPr>
            <w:rFonts w:cs="Segoe UI"/>
            <w:i/>
            <w:noProof/>
          </w:rPr>
          <w:t xml:space="preserve"> et al.</w:t>
        </w:r>
        <w:r w:rsidR="00305FE7">
          <w:rPr>
            <w:rFonts w:cs="Segoe UI"/>
            <w:noProof/>
          </w:rPr>
          <w:t xml:space="preserve"> 2004</w:t>
        </w:r>
        <w:r w:rsidR="00305FE7">
          <w:rPr>
            <w:rFonts w:cs="Segoe UI"/>
          </w:rPr>
          <w:fldChar w:fldCharType="end"/>
        </w:r>
      </w:hyperlink>
      <w:r w:rsidRPr="00EB7436">
        <w:rPr>
          <w:rFonts w:cs="Segoe UI"/>
        </w:rPr>
        <w:t>). Shoots from three haphazardly placed 0.25m</w:t>
      </w:r>
      <w:r w:rsidRPr="00B229A4">
        <w:rPr>
          <w:rFonts w:cs="Segoe UI"/>
          <w:vertAlign w:val="superscript"/>
        </w:rPr>
        <w:t>2</w:t>
      </w:r>
      <w:r w:rsidRPr="00EB7436">
        <w:rPr>
          <w:rFonts w:cs="Segoe UI"/>
        </w:rPr>
        <w:t xml:space="preserve"> quadrats were collected from an </w:t>
      </w:r>
      <w:r w:rsidR="00FB5297">
        <w:rPr>
          <w:rFonts w:cs="Segoe UI"/>
        </w:rPr>
        <w:t>position</w:t>
      </w:r>
      <w:r w:rsidRPr="00EB7436">
        <w:rPr>
          <w:rFonts w:cs="Segoe UI"/>
        </w:rPr>
        <w:t xml:space="preserve"> adjacent to </w:t>
      </w:r>
      <w:r w:rsidR="00FB5297">
        <w:rPr>
          <w:rFonts w:cs="Segoe UI"/>
        </w:rPr>
        <w:t xml:space="preserve">the central 50 m x 50 m area </w:t>
      </w:r>
      <w:r w:rsidR="00FB5297" w:rsidRPr="00EB7436">
        <w:rPr>
          <w:rFonts w:cs="Segoe UI"/>
        </w:rPr>
        <w:t>(of similar cover and species composition)</w:t>
      </w:r>
      <w:r w:rsidR="00FB5297">
        <w:rPr>
          <w:rFonts w:cs="Segoe UI"/>
        </w:rPr>
        <w:t xml:space="preserve"> of each site</w:t>
      </w:r>
      <w:r w:rsidRPr="00EB7436">
        <w:rPr>
          <w:rFonts w:cs="Segoe UI"/>
        </w:rPr>
        <w:t xml:space="preserve">. Leaves were separated from the below ground material in the laboratory and epiphytic algae removed by gently scraping. Dried </w:t>
      </w:r>
      <w:r w:rsidR="00B75522">
        <w:rPr>
          <w:rFonts w:cs="Segoe UI"/>
        </w:rPr>
        <w:t xml:space="preserve">(60°C) </w:t>
      </w:r>
      <w:r w:rsidRPr="00EB7436">
        <w:rPr>
          <w:rFonts w:cs="Segoe UI"/>
        </w:rPr>
        <w:t>and milled samples were analysed according to (</w:t>
      </w:r>
      <w:hyperlink w:anchor="_ENREF_166" w:tooltip="McKenzie, 2014 #10060" w:history="1">
        <w:r w:rsidR="00305FE7">
          <w:rPr>
            <w:rFonts w:cs="Segoe UI"/>
          </w:rPr>
          <w:fldChar w:fldCharType="begin"/>
        </w:r>
        <w:r w:rsidR="00305FE7">
          <w:rPr>
            <w:rFonts w:cs="Segoe UI"/>
          </w:rPr>
          <w:instrText xml:space="preserve"> ADDIN EN.CITE &lt;EndNote&gt;&lt;Cite&gt;&lt;Author&gt;McKenzie&lt;/Author&gt;&lt;Year&gt;2014&lt;/Year&gt;&lt;RecNum&gt;10060&lt;/RecNum&gt;&lt;DisplayText&gt;McKenzie&lt;style face="italic"&gt; et al.&lt;/style&gt; 2014b&lt;/DisplayText&gt;&lt;record&gt;&lt;rec-number&gt;10060&lt;/rec-number&gt;&lt;foreign-keys&gt;&lt;key app="EN" db-id="0eve55x9y5vfd6e9dacxtew4eatve2dzds9a" timestamp="1421111904"&gt;10060&lt;/key&gt;&lt;/foreign-keys&gt;&lt;ref-type name="Book Section"&gt;5&lt;/ref-type&gt;&lt;contributors&gt;&lt;authors&gt;&lt;author&gt;McKenzie, Len J&lt;/author&gt;&lt;author&gt;Waycott, Michelle &lt;/author&gt;&lt;author&gt;Unsworth, Richard &lt;/author&gt;&lt;author&gt;Collier, Catherine &lt;/author&gt;&lt;/authors&gt;&lt;secondary-authors&gt;&lt;author&gt;Great Barrier Reef Marine Park Authority,&lt;/author&gt;&lt;/secondary-authors&gt;&lt;/contributors&gt;&lt;titles&gt;&lt;title&gt;Inshore seagrass monitoring&lt;/title&gt;&lt;secondary-title&gt;Reef rescue marine monitoring program quality assurance and quality control manual. 2013/14&lt;/secondary-title&gt;&lt;/titles&gt;&lt;pages&gt;75-90&lt;/pages&gt;&lt;section&gt;7&lt;/section&gt;&lt;dates&gt;&lt;year&gt;2014&lt;/year&gt;&lt;/dates&gt;&lt;pub-location&gt;Townsville&lt;/pub-location&gt;&lt;publisher&gt;GBRMPA&lt;/publisher&gt;&lt;urls&gt;&lt;/urls&gt;&lt;/record&gt;&lt;/Cite&gt;&lt;/EndNote&gt;</w:instrText>
        </w:r>
        <w:r w:rsidR="00305FE7">
          <w:rPr>
            <w:rFonts w:cs="Segoe UI"/>
          </w:rPr>
          <w:fldChar w:fldCharType="separate"/>
        </w:r>
        <w:r w:rsidR="00305FE7">
          <w:rPr>
            <w:rFonts w:cs="Segoe UI"/>
            <w:noProof/>
          </w:rPr>
          <w:t>McKenzie</w:t>
        </w:r>
        <w:r w:rsidR="00305FE7" w:rsidRPr="00521D93">
          <w:rPr>
            <w:rFonts w:cs="Segoe UI"/>
            <w:i/>
            <w:noProof/>
          </w:rPr>
          <w:t xml:space="preserve"> et al.</w:t>
        </w:r>
        <w:r w:rsidR="00305FE7">
          <w:rPr>
            <w:rFonts w:cs="Segoe UI"/>
            <w:noProof/>
          </w:rPr>
          <w:t xml:space="preserve"> 2014b</w:t>
        </w:r>
        <w:r w:rsidR="00305FE7">
          <w:rPr>
            <w:rFonts w:cs="Segoe UI"/>
          </w:rPr>
          <w:fldChar w:fldCharType="end"/>
        </w:r>
      </w:hyperlink>
      <w:r w:rsidRPr="00EB7436">
        <w:rPr>
          <w:rFonts w:cs="Segoe UI"/>
        </w:rPr>
        <w:t>). Elemental ratios (C:N:P) were calculated on a mole:mole b</w:t>
      </w:r>
      <w:r w:rsidR="008D142C">
        <w:rPr>
          <w:rFonts w:cs="Segoe UI"/>
        </w:rPr>
        <w:t>asis using atomic weights (i.e.</w:t>
      </w:r>
      <w:r w:rsidRPr="00EB7436">
        <w:rPr>
          <w:rFonts w:cs="Segoe UI"/>
        </w:rPr>
        <w:t xml:space="preserve"> C=12, N=14, P=31). </w:t>
      </w:r>
    </w:p>
    <w:p w14:paraId="4683F6FF" w14:textId="4A2F5AA0" w:rsidR="00EB7436" w:rsidRPr="00EB7436" w:rsidRDefault="00EB7436" w:rsidP="00EB7436">
      <w:pPr>
        <w:rPr>
          <w:rFonts w:cs="Segoe UI"/>
        </w:rPr>
      </w:pPr>
      <w:r w:rsidRPr="00EB7436">
        <w:rPr>
          <w:rFonts w:cs="Segoe UI"/>
        </w:rPr>
        <w:t>Analysis of tissue nutrient data was based upon the calculation of the atomic ratios of C:N:P. The ratios of the most common macronutrients required for plant growth has been used widely as an indicator of growth status, in phytoplankton cultures this known as the familiar “</w:t>
      </w:r>
      <w:r w:rsidRPr="0032359A">
        <w:rPr>
          <w:rFonts w:cs="Segoe UI"/>
          <w:i/>
        </w:rPr>
        <w:t>Redfield</w:t>
      </w:r>
      <w:r w:rsidRPr="00EB7436">
        <w:rPr>
          <w:rFonts w:cs="Segoe UI"/>
        </w:rPr>
        <w:t>” ratio of 106C:16N:P (</w:t>
      </w:r>
      <w:hyperlink w:anchor="_ENREF_202" w:tooltip="Redfield, 1963 #9486" w:history="1">
        <w:r w:rsidR="00305FE7">
          <w:rPr>
            <w:rFonts w:cs="Segoe UI"/>
          </w:rPr>
          <w:fldChar w:fldCharType="begin"/>
        </w:r>
        <w:r w:rsidR="00305FE7">
          <w:rPr>
            <w:rFonts w:cs="Segoe UI"/>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 timestamp="1375841880"&gt;9486&lt;/key&gt;&lt;/foreign-keys&gt;&lt;ref-type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305FE7">
          <w:rPr>
            <w:rFonts w:cs="Segoe UI"/>
          </w:rPr>
          <w:fldChar w:fldCharType="separate"/>
        </w:r>
        <w:r w:rsidR="00305FE7">
          <w:rPr>
            <w:rFonts w:cs="Segoe UI"/>
            <w:noProof/>
          </w:rPr>
          <w:t>Redfield</w:t>
        </w:r>
        <w:r w:rsidR="00305FE7" w:rsidRPr="00521D93">
          <w:rPr>
            <w:rFonts w:cs="Segoe UI"/>
            <w:i/>
            <w:noProof/>
          </w:rPr>
          <w:t xml:space="preserve"> et al.</w:t>
        </w:r>
        <w:r w:rsidR="00305FE7">
          <w:rPr>
            <w:rFonts w:cs="Segoe UI"/>
            <w:noProof/>
          </w:rPr>
          <w:t xml:space="preserve"> 1963</w:t>
        </w:r>
        <w:r w:rsidR="00305FE7">
          <w:rPr>
            <w:rFonts w:cs="Segoe UI"/>
          </w:rPr>
          <w:fldChar w:fldCharType="end"/>
        </w:r>
      </w:hyperlink>
      <w:r w:rsidRPr="00EB7436">
        <w:rPr>
          <w:rFonts w:cs="Segoe UI"/>
        </w:rPr>
        <w:t>). Seagrass and other benthic marine plants possess large quantities of structural carbon, resulting in ‘‘seagrass Redfield ratios’’ estimated to be between 550:30:1 (</w:t>
      </w:r>
      <w:hyperlink w:anchor="_ENREF_9" w:tooltip="Atkinson, 1983 #6292" w:history="1">
        <w:r w:rsidR="00305FE7">
          <w:rPr>
            <w:rFonts w:cs="Segoe UI"/>
          </w:rPr>
          <w:fldChar w:fldCharType="begin"/>
        </w:r>
        <w:r w:rsidR="00305FE7">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305FE7">
          <w:rPr>
            <w:rFonts w:cs="Segoe UI"/>
          </w:rPr>
          <w:fldChar w:fldCharType="separate"/>
        </w:r>
        <w:r w:rsidR="00305FE7">
          <w:rPr>
            <w:rFonts w:cs="Segoe UI"/>
            <w:noProof/>
          </w:rPr>
          <w:t>Atkinson and Smith 1983</w:t>
        </w:r>
        <w:r w:rsidR="00305FE7">
          <w:rPr>
            <w:rFonts w:cs="Segoe UI"/>
          </w:rPr>
          <w:fldChar w:fldCharType="end"/>
        </w:r>
      </w:hyperlink>
      <w:r w:rsidRPr="00EB7436">
        <w:rPr>
          <w:rFonts w:cs="Segoe UI"/>
        </w:rPr>
        <w:t>) and 474:24:1 (</w:t>
      </w:r>
      <w:hyperlink w:anchor="_ENREF_84" w:tooltip="Duarte, 1990 #1954" w:history="1">
        <w:r w:rsidR="00305FE7">
          <w:rPr>
            <w:rFonts w:cs="Segoe UI"/>
          </w:rPr>
          <w:fldChar w:fldCharType="begin"/>
        </w:r>
        <w:r w:rsidR="00305FE7">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Pr>
            <w:rFonts w:cs="Segoe UI"/>
          </w:rPr>
          <w:fldChar w:fldCharType="separate"/>
        </w:r>
        <w:r w:rsidR="00305FE7">
          <w:rPr>
            <w:rFonts w:cs="Segoe UI"/>
            <w:noProof/>
          </w:rPr>
          <w:t>Duarte 1990</w:t>
        </w:r>
        <w:r w:rsidR="00305FE7">
          <w:rPr>
            <w:rFonts w:cs="Segoe UI"/>
          </w:rPr>
          <w:fldChar w:fldCharType="end"/>
        </w:r>
      </w:hyperlink>
      <w:r w:rsidRPr="00EB7436">
        <w:rPr>
          <w:rFonts w:cs="Segoe UI"/>
        </w:rPr>
        <w:t xml:space="preserve">). The magnitude of these ratios and their temporal changes allow for a broad level understanding of the physical environment of seagrass meadows. Like phytoplankton, seagrasses growing in eutrophic waters have C:N:P ratios that reflect elevated nitrogen and phosphorus levels </w:t>
      </w:r>
      <w:r w:rsidR="0032359A" w:rsidRPr="00EB7436">
        <w:rPr>
          <w:rFonts w:cs="Segoe UI"/>
        </w:rPr>
        <w:t>(</w:t>
      </w:r>
      <w:hyperlink w:anchor="_ENREF_84" w:tooltip="Duarte, 1990 #1954" w:history="1">
        <w:r w:rsidR="00305FE7">
          <w:rPr>
            <w:rFonts w:cs="Segoe UI"/>
          </w:rPr>
          <w:fldChar w:fldCharType="begin"/>
        </w:r>
        <w:r w:rsidR="00305FE7">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Pr>
            <w:rFonts w:cs="Segoe UI"/>
          </w:rPr>
          <w:fldChar w:fldCharType="separate"/>
        </w:r>
        <w:r w:rsidR="00305FE7">
          <w:rPr>
            <w:rFonts w:cs="Segoe UI"/>
            <w:noProof/>
          </w:rPr>
          <w:t>Duarte 1990</w:t>
        </w:r>
        <w:r w:rsidR="00305FE7">
          <w:rPr>
            <w:rFonts w:cs="Segoe UI"/>
          </w:rPr>
          <w:fldChar w:fldCharType="end"/>
        </w:r>
      </w:hyperlink>
      <w:r w:rsidR="0032359A" w:rsidRPr="00EB7436">
        <w:rPr>
          <w:rFonts w:cs="Segoe UI"/>
        </w:rPr>
        <w:t>)</w:t>
      </w:r>
      <w:r w:rsidRPr="00EB7436">
        <w:rPr>
          <w:rFonts w:cs="Segoe UI"/>
        </w:rPr>
        <w:t xml:space="preserve">. Plants residing in nutrient poor waters show significantly lower N:P ratios than those from nutrient rich conditions </w:t>
      </w:r>
      <w:r w:rsidR="0032359A" w:rsidRPr="00EB7436">
        <w:rPr>
          <w:rFonts w:cs="Segoe UI"/>
        </w:rPr>
        <w:t>(</w:t>
      </w:r>
      <w:hyperlink w:anchor="_ENREF_9" w:tooltip="Atkinson, 1983 #6292" w:history="1">
        <w:r w:rsidR="00305FE7">
          <w:rPr>
            <w:rFonts w:cs="Segoe UI"/>
          </w:rPr>
          <w:fldChar w:fldCharType="begin"/>
        </w:r>
        <w:r w:rsidR="00305FE7">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305FE7">
          <w:rPr>
            <w:rFonts w:cs="Segoe UI"/>
          </w:rPr>
          <w:fldChar w:fldCharType="separate"/>
        </w:r>
        <w:r w:rsidR="00305FE7">
          <w:rPr>
            <w:rFonts w:cs="Segoe UI"/>
            <w:noProof/>
          </w:rPr>
          <w:t>Atkinson and Smith 1983</w:t>
        </w:r>
        <w:r w:rsidR="00305FE7">
          <w:rPr>
            <w:rFonts w:cs="Segoe UI"/>
          </w:rPr>
          <w:fldChar w:fldCharType="end"/>
        </w:r>
      </w:hyperlink>
      <w:r w:rsidR="0032359A" w:rsidRPr="00EB7436">
        <w:rPr>
          <w:rFonts w:cs="Segoe UI"/>
        </w:rPr>
        <w:t>)</w:t>
      </w:r>
      <w:r w:rsidRPr="00EB7436">
        <w:rPr>
          <w:rFonts w:cs="Segoe UI"/>
        </w:rPr>
        <w:t xml:space="preserve">. Comparing deviations in the ratios of carbon, nitrogen and phosphorous (C:N:P) retained within plant tissue has been used extensively as an alternative means of evaluating the nutrient status of coastal waters </w:t>
      </w:r>
      <w:r w:rsidR="0032359A" w:rsidRPr="00EB7436">
        <w:rPr>
          <w:rFonts w:cs="Segoe UI"/>
        </w:rPr>
        <w:t>(</w:t>
      </w:r>
      <w:hyperlink w:anchor="_ENREF_84" w:tooltip="Duarte, 1990 #1954" w:history="1">
        <w:r w:rsidR="00305FE7">
          <w:rPr>
            <w:rFonts w:cs="Segoe UI"/>
          </w:rPr>
          <w:fldChar w:fldCharType="begin"/>
        </w:r>
        <w:r w:rsidR="00305FE7">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305FE7">
          <w:rPr>
            <w:rFonts w:cs="Segoe UI"/>
          </w:rPr>
          <w:fldChar w:fldCharType="separate"/>
        </w:r>
        <w:r w:rsidR="00305FE7">
          <w:rPr>
            <w:rFonts w:cs="Segoe UI"/>
            <w:noProof/>
          </w:rPr>
          <w:t>Duarte 1990</w:t>
        </w:r>
        <w:r w:rsidR="00305FE7">
          <w:rPr>
            <w:rFonts w:cs="Segoe UI"/>
          </w:rPr>
          <w:fldChar w:fldCharType="end"/>
        </w:r>
      </w:hyperlink>
      <w:r w:rsidR="0032359A" w:rsidRPr="00EB7436">
        <w:rPr>
          <w:rFonts w:cs="Segoe UI"/>
        </w:rPr>
        <w:t>)</w:t>
      </w:r>
      <w:r w:rsidRPr="00EB7436">
        <w:rPr>
          <w:rFonts w:cs="Segoe UI"/>
        </w:rPr>
        <w:t xml:space="preserve">. </w:t>
      </w:r>
    </w:p>
    <w:p w14:paraId="4FA76CAD" w14:textId="0DF6B71F" w:rsidR="00EB7436" w:rsidRPr="00EB7436" w:rsidRDefault="00EB7436" w:rsidP="00EB7436">
      <w:pPr>
        <w:rPr>
          <w:rFonts w:cs="Segoe UI"/>
        </w:rPr>
      </w:pPr>
      <w:r w:rsidRPr="00EB7436">
        <w:rPr>
          <w:rFonts w:cs="Segoe UI"/>
        </w:rPr>
        <w:t>Changing C:N ratios have been found in a number of experiments and field surveys to be related to light levels, as leaves with an atomic C:N ratio of less than 20, may suggest reduced light availability when N is not in surplus (</w:t>
      </w:r>
      <w:r w:rsidR="008D6EF3">
        <w:rPr>
          <w:rFonts w:cs="Segoe UI"/>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eWxlPiAxOTk2OyBDYWJhw6dvIGFuZCBTYW50b3MgMjAwNzsgQ29sbGllcjxzdHlsZSBmYWNlPSJp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ZXM+MjA0LTIxMjwvcGFnZXM+PHZvbHVtZT4zNDA8L3ZvbHVtZT48ZGF0ZXM+PHllYXI+MjAwNzwv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</w:fldData>
        </w:fldChar>
      </w:r>
      <w:r w:rsidR="00521D93">
        <w:rPr>
          <w:rFonts w:cs="Segoe UI"/>
        </w:rPr>
        <w:instrText xml:space="preserve"> ADDIN EN.CITE </w:instrText>
      </w:r>
      <w:r w:rsidR="00521D93">
        <w:rPr>
          <w:rFonts w:cs="Segoe UI"/>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eWxlPiAxOTk2OyBDYWJhw6dvIGFuZCBTYW50b3MgMjAwNzsgQ29sbGllcjxzdHlsZSBmYWNlPSJp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ZXM+MjA0LTIxMjwvcGFnZXM+PHZvbHVtZT4zNDA8L3ZvbHVtZT48ZGF0ZXM+PHllYXI+MjAwNzwv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</w:fldData>
        </w:fldChar>
      </w:r>
      <w:r w:rsidR="00521D93">
        <w:rPr>
          <w:rFonts w:cs="Segoe UI"/>
        </w:rPr>
        <w:instrText xml:space="preserve"> ADDIN EN.CITE.DATA </w:instrText>
      </w:r>
      <w:r w:rsidR="00521D93">
        <w:rPr>
          <w:rFonts w:cs="Segoe UI"/>
        </w:rPr>
      </w:r>
      <w:r w:rsidR="00521D93">
        <w:rPr>
          <w:rFonts w:cs="Segoe UI"/>
        </w:rPr>
        <w:fldChar w:fldCharType="end"/>
      </w:r>
      <w:r w:rsidR="008D6EF3">
        <w:rPr>
          <w:rFonts w:cs="Segoe UI"/>
        </w:rPr>
      </w:r>
      <w:r w:rsidR="008D6EF3">
        <w:rPr>
          <w:rFonts w:cs="Segoe UI"/>
        </w:rPr>
        <w:fldChar w:fldCharType="separate"/>
      </w:r>
      <w:hyperlink w:anchor="_ENREF_2" w:tooltip="Abal, 1994 #7405" w:history="1">
        <w:r w:rsidR="00305FE7">
          <w:rPr>
            <w:rFonts w:cs="Segoe UI"/>
            <w:noProof/>
          </w:rPr>
          <w:t>Abal</w:t>
        </w:r>
        <w:r w:rsidR="00305FE7" w:rsidRPr="00521D93">
          <w:rPr>
            <w:rFonts w:cs="Segoe UI"/>
            <w:i/>
            <w:noProof/>
          </w:rPr>
          <w:t xml:space="preserve"> et al.</w:t>
        </w:r>
        <w:r w:rsidR="00305FE7">
          <w:rPr>
            <w:rFonts w:cs="Segoe UI"/>
            <w:noProof/>
          </w:rPr>
          <w:t xml:space="preserve"> 1994</w:t>
        </w:r>
      </w:hyperlink>
      <w:r w:rsidR="00521D93">
        <w:rPr>
          <w:rFonts w:cs="Segoe UI"/>
          <w:noProof/>
        </w:rPr>
        <w:t xml:space="preserve">; </w:t>
      </w:r>
      <w:hyperlink w:anchor="_ENREF_107" w:tooltip="Grice, 1996 #1346" w:history="1">
        <w:r w:rsidR="00305FE7">
          <w:rPr>
            <w:rFonts w:cs="Segoe UI"/>
            <w:noProof/>
          </w:rPr>
          <w:t>Grice</w:t>
        </w:r>
        <w:r w:rsidR="00305FE7" w:rsidRPr="00521D93">
          <w:rPr>
            <w:rFonts w:cs="Segoe UI"/>
            <w:i/>
            <w:noProof/>
          </w:rPr>
          <w:t xml:space="preserve"> et al.</w:t>
        </w:r>
        <w:r w:rsidR="00305FE7">
          <w:rPr>
            <w:rFonts w:cs="Segoe UI"/>
            <w:noProof/>
          </w:rPr>
          <w:t xml:space="preserve"> 1996</w:t>
        </w:r>
      </w:hyperlink>
      <w:r w:rsidR="00521D93">
        <w:rPr>
          <w:rFonts w:cs="Segoe UI"/>
          <w:noProof/>
        </w:rPr>
        <w:t xml:space="preserve">; </w:t>
      </w:r>
      <w:hyperlink w:anchor="_ENREF_26" w:tooltip="Cabaço, 2007 #9489" w:history="1">
        <w:r w:rsidR="00305FE7">
          <w:rPr>
            <w:rFonts w:cs="Segoe UI"/>
            <w:noProof/>
          </w:rPr>
          <w:t>Cabaço and Santos 2007</w:t>
        </w:r>
      </w:hyperlink>
      <w:r w:rsidR="00521D93">
        <w:rPr>
          <w:rFonts w:cs="Segoe UI"/>
          <w:noProof/>
        </w:rPr>
        <w:t xml:space="preserve">; </w:t>
      </w:r>
      <w:hyperlink w:anchor="_ENREF_55" w:tooltip="Collier, 2009 #9490" w:history="1">
        <w:r w:rsidR="00305FE7">
          <w:rPr>
            <w:rFonts w:cs="Segoe UI"/>
            <w:noProof/>
          </w:rPr>
          <w:t>Collier</w:t>
        </w:r>
        <w:r w:rsidR="00305FE7" w:rsidRPr="00521D93">
          <w:rPr>
            <w:rFonts w:cs="Segoe UI"/>
            <w:i/>
            <w:noProof/>
          </w:rPr>
          <w:t xml:space="preserve"> et al.</w:t>
        </w:r>
        <w:r w:rsidR="00305FE7">
          <w:rPr>
            <w:rFonts w:cs="Segoe UI"/>
            <w:noProof/>
          </w:rPr>
          <w:t xml:space="preserve"> 2009</w:t>
        </w:r>
      </w:hyperlink>
      <w:r w:rsidR="008D6EF3">
        <w:rPr>
          <w:rFonts w:cs="Segoe UI"/>
        </w:rPr>
        <w:fldChar w:fldCharType="end"/>
      </w:r>
      <w:r w:rsidRPr="00EB7436">
        <w:rPr>
          <w:rFonts w:cs="Segoe UI"/>
        </w:rPr>
        <w:t>). The ratio of N:P is also a useful indicator as it is a reflection of the “</w:t>
      </w:r>
      <w:r w:rsidRPr="0032359A">
        <w:rPr>
          <w:rFonts w:cs="Segoe UI"/>
          <w:i/>
        </w:rPr>
        <w:t>Redfield</w:t>
      </w:r>
      <w:r w:rsidRPr="00EB7436">
        <w:rPr>
          <w:rFonts w:cs="Segoe UI"/>
        </w:rPr>
        <w:t xml:space="preserve">” ratios </w:t>
      </w:r>
      <w:r w:rsidR="0032359A" w:rsidRPr="00EB7436">
        <w:rPr>
          <w:rFonts w:cs="Segoe UI"/>
        </w:rPr>
        <w:t>(</w:t>
      </w:r>
      <w:hyperlink w:anchor="_ENREF_202" w:tooltip="Redfield, 1963 #9486" w:history="1">
        <w:r w:rsidR="00305FE7">
          <w:rPr>
            <w:rFonts w:cs="Segoe UI"/>
          </w:rPr>
          <w:fldChar w:fldCharType="begin"/>
        </w:r>
        <w:r w:rsidR="00305FE7">
          <w:rPr>
            <w:rFonts w:cs="Segoe UI"/>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 timestamp="1375841880"&gt;9486&lt;/key&gt;&lt;/foreign-keys&gt;&lt;ref-type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305FE7">
          <w:rPr>
            <w:rFonts w:cs="Segoe UI"/>
          </w:rPr>
          <w:fldChar w:fldCharType="separate"/>
        </w:r>
        <w:r w:rsidR="00305FE7">
          <w:rPr>
            <w:rFonts w:cs="Segoe UI"/>
            <w:noProof/>
          </w:rPr>
          <w:t>Redfield</w:t>
        </w:r>
        <w:r w:rsidR="00305FE7" w:rsidRPr="00521D93">
          <w:rPr>
            <w:rFonts w:cs="Segoe UI"/>
            <w:i/>
            <w:noProof/>
          </w:rPr>
          <w:t xml:space="preserve"> et al.</w:t>
        </w:r>
        <w:r w:rsidR="00305FE7">
          <w:rPr>
            <w:rFonts w:cs="Segoe UI"/>
            <w:noProof/>
          </w:rPr>
          <w:t xml:space="preserve"> 1963</w:t>
        </w:r>
        <w:r w:rsidR="00305FE7">
          <w:rPr>
            <w:rFonts w:cs="Segoe UI"/>
          </w:rPr>
          <w:fldChar w:fldCharType="end"/>
        </w:r>
      </w:hyperlink>
      <w:r w:rsidR="0032359A" w:rsidRPr="00EB7436">
        <w:rPr>
          <w:rFonts w:cs="Segoe UI"/>
        </w:rPr>
        <w:t>)</w:t>
      </w:r>
      <w:r w:rsidRPr="00EB7436">
        <w:rPr>
          <w:rFonts w:cs="Segoe UI"/>
        </w:rPr>
        <w:t xml:space="preserve">, and seagrass with an atomic N:P ratio of 25 to 30 can be determined to be ‘replete’ (well supplied and balanced macronutrients for growth) </w:t>
      </w:r>
      <w:r w:rsidR="0032359A" w:rsidRPr="00EB7436">
        <w:rPr>
          <w:rFonts w:cs="Segoe UI"/>
        </w:rPr>
        <w:t>(</w:t>
      </w:r>
      <w:r w:rsidR="008D6EF3">
        <w:rPr>
          <w:rFonts w:cs="Segoe UI"/>
        </w:rPr>
        <w:fldChar w:fldCharType="begin">
          <w:fldData xml:space="preserve">PEVuZE5vdGU+PENpdGU+PEF1dGhvcj5BdGtpbnNvbjwvQXV0aG9yPjxZZWFyPjE5ODM8L1llYXI+
PFJlY051bT42MjkyPC9SZWNOdW0+PERpc3BsYXlUZXh0PkF0a2luc29uIGFuZCBTbWl0aCAxOTgz
OyBGb3VycXVyZWFuPHN0eWxlIGZhY2U9Iml0YWxpYyI+IGV0IGFsLjwvc3R5bGU+IDE5OTdhOyBG
b3VycXVyZWFuIGFuZCBDYWkgMjAwMTwvRGlzcGxheVRleHQ+PHJlY29yZD48cmVjLW51bWJlcj42
MjkyPC9yZWMtbnVtYmVyPjxmb3JlaWduLWtleXM+PGtleSBhcHA9IkVOIiBkYi1pZD0iMGV2ZTU1
eDl5NXZmZDZlOWRhY3h0ZXc0ZWF0dmUyZHpkczlhIiB0aW1lc3RhbXA9IjAiPjYyOTI8L2tleT48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ZGF0ZXM+PHVybHM+PC91cmxzPjwvcmVjb3JkPjwvQ2l0ZT48Q2l0ZT48QXV0aG9yPkZvdXJxdXJl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</w:fldData>
        </w:fldChar>
      </w:r>
      <w:r w:rsidR="00521D93">
        <w:rPr>
          <w:rFonts w:cs="Segoe UI"/>
        </w:rPr>
        <w:instrText xml:space="preserve"> ADDIN EN.CITE </w:instrText>
      </w:r>
      <w:r w:rsidR="00521D93">
        <w:rPr>
          <w:rFonts w:cs="Segoe UI"/>
        </w:rPr>
        <w:fldChar w:fldCharType="begin">
          <w:fldData xml:space="preserve">PEVuZE5vdGU+PENpdGU+PEF1dGhvcj5BdGtpbnNvbjwvQXV0aG9yPjxZZWFyPjE5ODM8L1llYXI+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</w:fldData>
        </w:fldChar>
      </w:r>
      <w:r w:rsidR="00521D93">
        <w:rPr>
          <w:rFonts w:cs="Segoe UI"/>
        </w:rPr>
        <w:instrText xml:space="preserve"> ADDIN EN.CITE.DATA </w:instrText>
      </w:r>
      <w:r w:rsidR="00521D93">
        <w:rPr>
          <w:rFonts w:cs="Segoe UI"/>
        </w:rPr>
      </w:r>
      <w:r w:rsidR="00521D93">
        <w:rPr>
          <w:rFonts w:cs="Segoe UI"/>
        </w:rPr>
        <w:fldChar w:fldCharType="end"/>
      </w:r>
      <w:r w:rsidR="008D6EF3">
        <w:rPr>
          <w:rFonts w:cs="Segoe UI"/>
        </w:rPr>
      </w:r>
      <w:r w:rsidR="008D6EF3">
        <w:rPr>
          <w:rFonts w:cs="Segoe UI"/>
        </w:rPr>
        <w:fldChar w:fldCharType="separate"/>
      </w:r>
      <w:hyperlink w:anchor="_ENREF_9" w:tooltip="Atkinson, 1983 #6292" w:history="1">
        <w:r w:rsidR="00305FE7">
          <w:rPr>
            <w:rFonts w:cs="Segoe UI"/>
            <w:noProof/>
          </w:rPr>
          <w:t>Atkinson and Smith 1983</w:t>
        </w:r>
      </w:hyperlink>
      <w:r w:rsidR="00521D93">
        <w:rPr>
          <w:rFonts w:cs="Segoe UI"/>
          <w:noProof/>
        </w:rPr>
        <w:t xml:space="preserve">; </w:t>
      </w:r>
      <w:hyperlink w:anchor="_ENREF_97" w:tooltip="Fourqurean, 1997 #5478" w:history="1">
        <w:r w:rsidR="00305FE7">
          <w:rPr>
            <w:rFonts w:cs="Segoe UI"/>
            <w:noProof/>
          </w:rPr>
          <w:t>Fourqurean</w:t>
        </w:r>
        <w:r w:rsidR="00305FE7" w:rsidRPr="00521D93">
          <w:rPr>
            <w:rFonts w:cs="Segoe UI"/>
            <w:i/>
            <w:noProof/>
          </w:rPr>
          <w:t xml:space="preserve"> et al.</w:t>
        </w:r>
        <w:r w:rsidR="00305FE7">
          <w:rPr>
            <w:rFonts w:cs="Segoe UI"/>
            <w:noProof/>
          </w:rPr>
          <w:t xml:space="preserve"> 1997a</w:t>
        </w:r>
      </w:hyperlink>
      <w:r w:rsidR="00521D93">
        <w:rPr>
          <w:rFonts w:cs="Segoe UI"/>
          <w:noProof/>
        </w:rPr>
        <w:t xml:space="preserve">; </w:t>
      </w:r>
      <w:hyperlink w:anchor="_ENREF_94" w:tooltip="Fourqurean, 2001 #9492" w:history="1">
        <w:r w:rsidR="00305FE7">
          <w:rPr>
            <w:rFonts w:cs="Segoe UI"/>
            <w:noProof/>
          </w:rPr>
          <w:t>Fourqurean and Cai 2001</w:t>
        </w:r>
      </w:hyperlink>
      <w:r w:rsidR="008D6EF3">
        <w:rPr>
          <w:rFonts w:cs="Segoe UI"/>
        </w:rPr>
        <w:fldChar w:fldCharType="end"/>
      </w:r>
      <w:r w:rsidRPr="00EB7436">
        <w:rPr>
          <w:rFonts w:cs="Segoe UI"/>
        </w:rPr>
        <w:t xml:space="preserve">). When N:P values are in excess of 30, this may indicate P-limitation and a ratio of less than 25 is considered to show N limitation </w:t>
      </w:r>
      <w:r w:rsidR="0032359A" w:rsidRPr="00EB7436">
        <w:rPr>
          <w:rFonts w:cs="Segoe UI"/>
        </w:rPr>
        <w:t>(</w:t>
      </w:r>
      <w:r w:rsidR="008D6EF3">
        <w:rPr>
          <w:rFonts w:cs="Segoe UI"/>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eWxlPiAxOTkyYjsgRm91cnF1cmVhbiBhbmQgQ2FpIDIwMDE8L0Rpc3BsYXlUZXh0PjxyZWNvcmQ+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</w:fldData>
        </w:fldChar>
      </w:r>
      <w:r w:rsidR="00521D93">
        <w:rPr>
          <w:rFonts w:cs="Segoe UI"/>
        </w:rPr>
        <w:instrText xml:space="preserve"> ADDIN EN.CITE </w:instrText>
      </w:r>
      <w:r w:rsidR="00521D93">
        <w:rPr>
          <w:rFonts w:cs="Segoe UI"/>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eWxlPiAxOTkyYjsgRm91cnF1cmVhbiBhbmQgQ2FpIDIwMDE8L0Rpc3BsYXlUZXh0PjxyZWNvcmQ+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</w:fldData>
        </w:fldChar>
      </w:r>
      <w:r w:rsidR="00521D93">
        <w:rPr>
          <w:rFonts w:cs="Segoe UI"/>
        </w:rPr>
        <w:instrText xml:space="preserve"> ADDIN EN.CITE.DATA </w:instrText>
      </w:r>
      <w:r w:rsidR="00521D93">
        <w:rPr>
          <w:rFonts w:cs="Segoe UI"/>
        </w:rPr>
      </w:r>
      <w:r w:rsidR="00521D93">
        <w:rPr>
          <w:rFonts w:cs="Segoe UI"/>
        </w:rPr>
        <w:fldChar w:fldCharType="end"/>
      </w:r>
      <w:r w:rsidR="008D6EF3">
        <w:rPr>
          <w:rFonts w:cs="Segoe UI"/>
        </w:rPr>
      </w:r>
      <w:r w:rsidR="008D6EF3">
        <w:rPr>
          <w:rFonts w:cs="Segoe UI"/>
        </w:rPr>
        <w:fldChar w:fldCharType="separate"/>
      </w:r>
      <w:hyperlink w:anchor="_ENREF_9" w:tooltip="Atkinson, 1983 #6292" w:history="1">
        <w:r w:rsidR="00305FE7">
          <w:rPr>
            <w:rFonts w:cs="Segoe UI"/>
            <w:noProof/>
          </w:rPr>
          <w:t>Atkinson and Smith 1983</w:t>
        </w:r>
      </w:hyperlink>
      <w:r w:rsidR="00521D93">
        <w:rPr>
          <w:rFonts w:cs="Segoe UI"/>
          <w:noProof/>
        </w:rPr>
        <w:t xml:space="preserve">; </w:t>
      </w:r>
      <w:hyperlink w:anchor="_ENREF_84" w:tooltip="Duarte, 1990 #1954" w:history="1">
        <w:r w:rsidR="00305FE7">
          <w:rPr>
            <w:rFonts w:cs="Segoe UI"/>
            <w:noProof/>
          </w:rPr>
          <w:t>Duarte 1990</w:t>
        </w:r>
      </w:hyperlink>
      <w:r w:rsidR="00521D93">
        <w:rPr>
          <w:rFonts w:cs="Segoe UI"/>
          <w:noProof/>
        </w:rPr>
        <w:t xml:space="preserve">; </w:t>
      </w:r>
      <w:hyperlink w:anchor="_ENREF_100" w:tooltip="Fourqurean, 1992 #9493" w:history="1">
        <w:r w:rsidR="00305FE7">
          <w:rPr>
            <w:rFonts w:cs="Segoe UI"/>
            <w:noProof/>
          </w:rPr>
          <w:t>Fourqurean</w:t>
        </w:r>
        <w:r w:rsidR="00305FE7" w:rsidRPr="00521D93">
          <w:rPr>
            <w:rFonts w:cs="Segoe UI"/>
            <w:i/>
            <w:noProof/>
          </w:rPr>
          <w:t xml:space="preserve"> et al.</w:t>
        </w:r>
        <w:r w:rsidR="00305FE7">
          <w:rPr>
            <w:rFonts w:cs="Segoe UI"/>
            <w:noProof/>
          </w:rPr>
          <w:t xml:space="preserve"> 1992b</w:t>
        </w:r>
      </w:hyperlink>
      <w:r w:rsidR="00521D93">
        <w:rPr>
          <w:rFonts w:cs="Segoe UI"/>
          <w:noProof/>
        </w:rPr>
        <w:t xml:space="preserve">; </w:t>
      </w:r>
      <w:hyperlink w:anchor="_ENREF_94" w:tooltip="Fourqurean, 2001 #9492" w:history="1">
        <w:r w:rsidR="00305FE7">
          <w:rPr>
            <w:rFonts w:cs="Segoe UI"/>
            <w:noProof/>
          </w:rPr>
          <w:t>Fourqurean and Cai 2001</w:t>
        </w:r>
      </w:hyperlink>
      <w:r w:rsidR="008D6EF3">
        <w:rPr>
          <w:rFonts w:cs="Segoe UI"/>
        </w:rPr>
        <w:fldChar w:fldCharType="end"/>
      </w:r>
      <w:r w:rsidRPr="00EB7436">
        <w:rPr>
          <w:rFonts w:cs="Segoe UI"/>
        </w:rPr>
        <w:t xml:space="preserve">). The median seagrass tissue ratios of C:P is approximately 500 </w:t>
      </w:r>
      <w:r w:rsidR="0032359A" w:rsidRPr="00EB7436">
        <w:rPr>
          <w:rFonts w:cs="Segoe UI"/>
        </w:rPr>
        <w:t>(</w:t>
      </w:r>
      <w:hyperlink w:anchor="_ENREF_9" w:tooltip="Atkinson, 1983 #6292" w:history="1">
        <w:r w:rsidR="00305FE7">
          <w:rPr>
            <w:rFonts w:cs="Segoe UI"/>
          </w:rPr>
          <w:fldChar w:fldCharType="begin"/>
        </w:r>
        <w:r w:rsidR="00305FE7">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305FE7">
          <w:rPr>
            <w:rFonts w:cs="Segoe UI"/>
          </w:rPr>
          <w:fldChar w:fldCharType="separate"/>
        </w:r>
        <w:r w:rsidR="00305FE7">
          <w:rPr>
            <w:rFonts w:cs="Segoe UI"/>
            <w:noProof/>
          </w:rPr>
          <w:t>Atkinson and Smith 1983</w:t>
        </w:r>
        <w:r w:rsidR="00305FE7">
          <w:rPr>
            <w:rFonts w:cs="Segoe UI"/>
          </w:rPr>
          <w:fldChar w:fldCharType="end"/>
        </w:r>
      </w:hyperlink>
      <w:r w:rsidRPr="00EB7436">
        <w:rPr>
          <w:rFonts w:cs="Segoe UI"/>
        </w:rPr>
        <w:t>), therefore deviation from this value is also likely to be indicative of some level of nutrient enriched or nutrient limited conditions. A combination of these ratios can indicate seagrass environments which are impacted by nutrient enrichment. Plant tissue which has a high N:P and low C:P indicates an environment of elevated (saturated) nitrogen.</w:t>
      </w:r>
    </w:p>
    <w:p w14:paraId="65011318" w14:textId="56FE8EA2" w:rsidR="00EB7436" w:rsidRPr="00EB7436" w:rsidRDefault="00EB7436" w:rsidP="00EB7436">
      <w:pPr>
        <w:rPr>
          <w:rFonts w:cs="Segoe UI"/>
        </w:rPr>
      </w:pPr>
      <w:r w:rsidRPr="00EB7436">
        <w:rPr>
          <w:rFonts w:cs="Segoe UI"/>
        </w:rPr>
        <w:t>Investigations of the differences in each individual tissue ratio within each of the species revealed that although tissue nutrient concentrations were extremely variable between locations and between years, by pooling species within habitat types trends were apparent (</w:t>
      </w:r>
      <w:hyperlink w:anchor="_ENREF_164" w:tooltip="McKenzie, 2009 #9494" w:history="1">
        <w:r w:rsidR="00305FE7">
          <w:rPr>
            <w:rFonts w:cs="Segoe UI"/>
          </w:rPr>
          <w:fldChar w:fldCharType="begin"/>
        </w:r>
        <w:r w:rsidR="00305FE7">
          <w:rPr>
            <w:rFonts w:cs="Segoe UI"/>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305FE7">
          <w:rPr>
            <w:rFonts w:cs="Segoe UI"/>
          </w:rPr>
          <w:fldChar w:fldCharType="separate"/>
        </w:r>
        <w:r w:rsidR="00305FE7">
          <w:rPr>
            <w:rFonts w:cs="Segoe UI"/>
            <w:noProof/>
          </w:rPr>
          <w:t>McKenzie and Unsworth 2009</w:t>
        </w:r>
        <w:r w:rsidR="00305FE7">
          <w:rPr>
            <w:rFonts w:cs="Segoe UI"/>
          </w:rPr>
          <w:fldChar w:fldCharType="end"/>
        </w:r>
      </w:hyperlink>
      <w:r w:rsidRPr="00EB7436">
        <w:rPr>
          <w:rFonts w:cs="Segoe UI"/>
        </w:rPr>
        <w:t xml:space="preserve">). As seagrass tissue nutrient ratios of the foundation species were generally not significantly different from each other at a site within each sampling period </w:t>
      </w:r>
      <w:r w:rsidR="0032359A" w:rsidRPr="00EB7436">
        <w:rPr>
          <w:rFonts w:cs="Segoe UI"/>
        </w:rPr>
        <w:t>(</w:t>
      </w:r>
      <w:hyperlink w:anchor="_ENREF_164" w:tooltip="McKenzie, 2009 #9494" w:history="1">
        <w:r w:rsidR="00305FE7">
          <w:rPr>
            <w:rFonts w:cs="Segoe UI"/>
          </w:rPr>
          <w:fldChar w:fldCharType="begin"/>
        </w:r>
        <w:r w:rsidR="00305FE7">
          <w:rPr>
            <w:rFonts w:cs="Segoe UI"/>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305FE7">
          <w:rPr>
            <w:rFonts w:cs="Segoe UI"/>
          </w:rPr>
          <w:fldChar w:fldCharType="separate"/>
        </w:r>
        <w:r w:rsidR="00305FE7">
          <w:rPr>
            <w:rFonts w:cs="Segoe UI"/>
            <w:noProof/>
          </w:rPr>
          <w:t>McKenzie and Unsworth 2009</w:t>
        </w:r>
        <w:r w:rsidR="00305FE7">
          <w:rPr>
            <w:rFonts w:cs="Segoe UI"/>
          </w:rPr>
          <w:fldChar w:fldCharType="end"/>
        </w:r>
      </w:hyperlink>
      <w:r w:rsidR="0032359A" w:rsidRPr="00EB7436">
        <w:rPr>
          <w:rFonts w:cs="Segoe UI"/>
        </w:rPr>
        <w:t>)</w:t>
      </w:r>
      <w:r w:rsidRPr="00EB7436">
        <w:rPr>
          <w:rFonts w:cs="Segoe UI"/>
        </w:rPr>
        <w:t xml:space="preserve">, the tissue nutrient ratios were pooled at the request of the GBRMPA to assist with interpretation of the findings. </w:t>
      </w:r>
    </w:p>
    <w:p w14:paraId="75466F49" w14:textId="657AFAD6" w:rsidR="004A36C2" w:rsidRDefault="00EB7436" w:rsidP="00EB7436">
      <w:pPr>
        <w:rPr>
          <w:rFonts w:cs="Segoe UI"/>
        </w:rPr>
      </w:pPr>
      <w:r w:rsidRPr="00EB7436">
        <w:rPr>
          <w:rFonts w:cs="Segoe UI"/>
        </w:rPr>
        <w:t>To identify the sources of the nitrogen and provide insight into the occurrence of carbon limitation associated with light limitation, leaf tissue were also analysed for nitrogen and carbon stable isotope ratios (δ</w:t>
      </w:r>
      <w:r w:rsidRPr="0032359A">
        <w:rPr>
          <w:rFonts w:cs="Segoe UI"/>
          <w:vertAlign w:val="superscript"/>
        </w:rPr>
        <w:t>15</w:t>
      </w:r>
      <w:r w:rsidRPr="00EB7436">
        <w:rPr>
          <w:rFonts w:cs="Segoe UI"/>
        </w:rPr>
        <w:t>N and δ</w:t>
      </w:r>
      <w:r w:rsidRPr="0032359A">
        <w:rPr>
          <w:rFonts w:cs="Segoe UI"/>
          <w:vertAlign w:val="superscript"/>
        </w:rPr>
        <w:t>13</w:t>
      </w:r>
      <w:r w:rsidRPr="00EB7436">
        <w:rPr>
          <w:rFonts w:cs="Segoe UI"/>
        </w:rPr>
        <w:t xml:space="preserve">C). There are two naturally occurring atomic forms of nitrogen (N). The common form that contains seven protons and seven neutrons is referred to as </w:t>
      </w:r>
      <w:r w:rsidRPr="0032359A">
        <w:rPr>
          <w:rFonts w:cs="Segoe UI"/>
          <w:vertAlign w:val="superscript"/>
        </w:rPr>
        <w:t>14</w:t>
      </w:r>
      <w:r w:rsidRPr="00EB7436">
        <w:rPr>
          <w:rFonts w:cs="Segoe UI"/>
        </w:rPr>
        <w:t xml:space="preserve">N, and a heavier form that contains an extra neutron is called </w:t>
      </w:r>
      <w:r w:rsidRPr="0032359A">
        <w:rPr>
          <w:rFonts w:cs="Segoe UI"/>
          <w:vertAlign w:val="superscript"/>
        </w:rPr>
        <w:t>15</w:t>
      </w:r>
      <w:r w:rsidRPr="00EB7436">
        <w:rPr>
          <w:rFonts w:cs="Segoe UI"/>
        </w:rPr>
        <w:t>N: with 0.3663</w:t>
      </w:r>
      <w:r w:rsidR="0063478C">
        <w:rPr>
          <w:rFonts w:cs="Segoe UI"/>
        </w:rPr>
        <w:t xml:space="preserve"> per cent</w:t>
      </w:r>
      <w:r w:rsidRPr="00EB7436">
        <w:rPr>
          <w:rFonts w:cs="Segoe UI"/>
        </w:rPr>
        <w:t xml:space="preserve"> of atmospheric N in the heavy form. Plants and animals assimilate both forms of nitrogen, and the ratio of </w:t>
      </w:r>
      <w:r w:rsidRPr="0032359A">
        <w:rPr>
          <w:rFonts w:cs="Segoe UI"/>
          <w:vertAlign w:val="superscript"/>
        </w:rPr>
        <w:t>14</w:t>
      </w:r>
      <w:r w:rsidRPr="00EB7436">
        <w:rPr>
          <w:rFonts w:cs="Segoe UI"/>
        </w:rPr>
        <w:t xml:space="preserve">N to </w:t>
      </w:r>
      <w:r w:rsidRPr="0032359A">
        <w:rPr>
          <w:rFonts w:cs="Segoe UI"/>
          <w:vertAlign w:val="superscript"/>
        </w:rPr>
        <w:t>15</w:t>
      </w:r>
      <w:r w:rsidRPr="00EB7436">
        <w:rPr>
          <w:rFonts w:cs="Segoe UI"/>
        </w:rPr>
        <w:t>N compared to an atmospheric standard (δ</w:t>
      </w:r>
      <w:r w:rsidRPr="0032359A">
        <w:rPr>
          <w:rFonts w:cs="Segoe UI"/>
          <w:vertAlign w:val="superscript"/>
        </w:rPr>
        <w:t>15</w:t>
      </w:r>
      <w:r w:rsidRPr="00EB7436">
        <w:rPr>
          <w:rFonts w:cs="Segoe UI"/>
        </w:rPr>
        <w:t>N) can be determined by analysis of tissue on a stable isotope mass spectrometer using the following equation:</w:t>
      </w:r>
    </w:p>
    <w:p w14:paraId="2A282F1E" w14:textId="77777777" w:rsidR="00EB7436" w:rsidRDefault="00EB7436" w:rsidP="00EB7436">
      <w:pPr>
        <w:jc w:val="center"/>
        <w:rPr>
          <w:color w:val="000000"/>
          <w:szCs w:val="22"/>
        </w:rPr>
      </w:pPr>
      <w:r>
        <w:rPr>
          <w:noProof/>
          <w:color w:val="000000"/>
          <w:position w:val="-36"/>
          <w:szCs w:val="22"/>
          <w:lang w:eastAsia="en-AU"/>
        </w:rPr>
        <w:drawing>
          <wp:inline distT="0" distB="0" distL="0" distR="0" wp14:anchorId="6FAB86A5" wp14:editId="22594A1A">
            <wp:extent cx="3813175" cy="511810"/>
            <wp:effectExtent l="0" t="0" r="0" b="2540"/>
            <wp:docPr id="25" name="Picture 25" descr="Equation to determine delta15N in seagrass leaf t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3813175" cy="511810"/>
                    </a:xfrm>
                    <a:prstGeom prst="rect">
                      <a:avLst/>
                    </a:prstGeom>
                    <a:noFill/>
                    <a:ln>
                      <a:noFill/>
                    </a:ln>
                  </pic:spPr>
                </pic:pic>
              </a:graphicData>
            </a:graphic>
          </wp:inline>
        </w:drawing>
      </w:r>
    </w:p>
    <w:p w14:paraId="62A46571" w14:textId="2888D3CD" w:rsidR="00EB7436" w:rsidRPr="00EB7436" w:rsidRDefault="00EB7436" w:rsidP="00EB7436">
      <w:pPr>
        <w:rPr>
          <w:rFonts w:cs="Segoe UI"/>
        </w:rPr>
      </w:pPr>
      <w:r w:rsidRPr="00EB7436">
        <w:rPr>
          <w:rFonts w:cs="Segoe UI"/>
        </w:rPr>
        <w:t>Seagrasses are passive indicators of δ</w:t>
      </w:r>
      <w:r w:rsidRPr="0032359A">
        <w:rPr>
          <w:rFonts w:cs="Segoe UI"/>
          <w:vertAlign w:val="superscript"/>
        </w:rPr>
        <w:t>15</w:t>
      </w:r>
      <w:r w:rsidRPr="00EB7436">
        <w:rPr>
          <w:rFonts w:cs="Segoe UI"/>
        </w:rPr>
        <w:t xml:space="preserve">N enrichment, as they integrated the signature of their environment over time throughout their growth cycle. The various sources of nitrogen pollution to coastal ecosystems often have distinguishable </w:t>
      </w:r>
      <w:r w:rsidRPr="0032359A">
        <w:rPr>
          <w:rFonts w:cs="Segoe UI"/>
          <w:vertAlign w:val="superscript"/>
        </w:rPr>
        <w:t>15</w:t>
      </w:r>
      <w:r w:rsidRPr="00EB7436">
        <w:rPr>
          <w:rFonts w:cs="Segoe UI"/>
        </w:rPr>
        <w:t>N/</w:t>
      </w:r>
      <w:r w:rsidRPr="0032359A">
        <w:rPr>
          <w:rFonts w:cs="Segoe UI"/>
          <w:vertAlign w:val="superscript"/>
        </w:rPr>
        <w:t>14</w:t>
      </w:r>
      <w:r w:rsidRPr="00EB7436">
        <w:rPr>
          <w:rFonts w:cs="Segoe UI"/>
        </w:rPr>
        <w:t>N ratios (</w:t>
      </w:r>
      <w:hyperlink w:anchor="_ENREF_111" w:tooltip="Heaton, 1986 #9763" w:history="1">
        <w:r w:rsidR="00305FE7">
          <w:rPr>
            <w:rFonts w:cs="Segoe UI"/>
          </w:rPr>
          <w:fldChar w:fldCharType="begin"/>
        </w:r>
        <w:r w:rsidR="00305FE7">
          <w:rPr>
            <w:rFonts w:cs="Segoe UI"/>
          </w:rPr>
          <w:instrText xml:space="preserve"> ADDIN EN.CITE &lt;EndNote&gt;&lt;Cite&gt;&lt;Author&gt;Heaton&lt;/Author&gt;&lt;Year&gt;1986&lt;/Year&gt;&lt;RecNum&gt;9763&lt;/RecNum&gt;&lt;DisplayText&gt;Heaton 1986&lt;/DisplayText&gt;&lt;record&gt;&lt;rec-number&gt;9763&lt;/rec-number&gt;&lt;foreign-keys&gt;&lt;key app="EN" db-id="0eve55x9y5vfd6e9dacxtew4eatve2dzds9a" timestamp="1394261293"&gt;9763&lt;/key&gt;&lt;/foreign-keys&gt;&lt;ref-type name="Journal Article"&gt;17&lt;/ref-type&gt;&lt;contributors&gt;&lt;authors&gt;&lt;author&gt;Heaton, T H E&lt;/author&gt;&lt;/authors&gt;&lt;/contributors&gt;&lt;titles&gt;&lt;title&gt;Isotopic studies of nitrogen pollution in the hydrosphere and atmosphere: a review&lt;/title&gt;&lt;secondary-title&gt;Chemical Geology&lt;/secondary-title&gt;&lt;/titles&gt;&lt;periodical&gt;&lt;full-title&gt;Chemical Geology&lt;/full-title&gt;&lt;/periodical&gt;&lt;pages&gt;87-102&lt;/pages&gt;&lt;volume&gt;59&lt;/volume&gt;&lt;dates&gt;&lt;year&gt;1986&lt;/year&gt;&lt;/dates&gt;&lt;urls&gt;&lt;/urls&gt;&lt;/record&gt;&lt;/Cite&gt;&lt;/EndNote&gt;</w:instrText>
        </w:r>
        <w:r w:rsidR="00305FE7">
          <w:rPr>
            <w:rFonts w:cs="Segoe UI"/>
          </w:rPr>
          <w:fldChar w:fldCharType="separate"/>
        </w:r>
        <w:r w:rsidR="00305FE7">
          <w:rPr>
            <w:rFonts w:cs="Segoe UI"/>
            <w:noProof/>
          </w:rPr>
          <w:t>Heaton 1986</w:t>
        </w:r>
        <w:r w:rsidR="00305FE7">
          <w:rPr>
            <w:rFonts w:cs="Segoe UI"/>
          </w:rPr>
          <w:fldChar w:fldCharType="end"/>
        </w:r>
      </w:hyperlink>
      <w:r w:rsidRPr="00EB7436">
        <w:rPr>
          <w:rFonts w:cs="Segoe UI"/>
        </w:rPr>
        <w:t>), and in regions subject to anthropogenic inputs of nitrogen, changes in the δ</w:t>
      </w:r>
      <w:r w:rsidRPr="005F7F6E">
        <w:rPr>
          <w:rFonts w:cs="Segoe UI"/>
          <w:vertAlign w:val="superscript"/>
        </w:rPr>
        <w:t>15</w:t>
      </w:r>
      <w:r w:rsidRPr="00EB7436">
        <w:rPr>
          <w:rFonts w:cs="Segoe UI"/>
        </w:rPr>
        <w:t>N signature can be used to identify the source and distribution of the nitrogen (</w:t>
      </w:r>
      <w:hyperlink w:anchor="_ENREF_66" w:tooltip="Costanzo, 2001 #9764" w:history="1">
        <w:r w:rsidR="00305FE7">
          <w:rPr>
            <w:rFonts w:cs="Segoe UI"/>
          </w:rPr>
          <w:fldChar w:fldCharType="begin"/>
        </w:r>
        <w:r w:rsidR="00305FE7">
          <w:rPr>
            <w:rFonts w:cs="Segoe UI"/>
          </w:rPr>
          <w:instrText xml:space="preserve"> ADDIN EN.CITE &lt;EndNote&gt;&lt;Cite&gt;&lt;Author&gt;Costanzo&lt;/Author&gt;&lt;Year&gt;2001&lt;/Year&gt;&lt;RecNum&gt;9764&lt;/RecNum&gt;&lt;DisplayText&gt;Costanzo 2001&lt;/DisplayText&gt;&lt;record&gt;&lt;rec-number&gt;9764&lt;/rec-number&gt;&lt;foreign-keys&gt;&lt;key app="EN" db-id="0eve55x9y5vfd6e9dacxtew4eatve2dzds9a" timestamp="1394261392"&gt;9764&lt;/key&gt;&lt;/foreign-keys&gt;&lt;ref-type name="Thesis"&gt;32&lt;/ref-type&gt;&lt;contributors&gt;&lt;authors&gt;&lt;author&gt;Costanzo, Simon D&lt;/author&gt;&lt;/authors&gt;&lt;/contributors&gt;&lt;titles&gt;&lt;title&gt;Development of indicators for assessing and monitoring nutrient influences in coastal waters&lt;/title&gt;&lt;/titles&gt;&lt;pages&gt;151&lt;/pages&gt;&lt;volume&gt;PhD &lt;/volume&gt;&lt;dates&gt;&lt;year&gt;2001&lt;/year&gt;&lt;/dates&gt;&lt;pub-location&gt;Brisbane, Australia&lt;/pub-location&gt;&lt;publisher&gt;University of Queensland&lt;/publisher&gt;&lt;urls&gt;&lt;/urls&gt;&lt;/record&gt;&lt;/Cite&gt;&lt;/EndNote&gt;</w:instrText>
        </w:r>
        <w:r w:rsidR="00305FE7">
          <w:rPr>
            <w:rFonts w:cs="Segoe UI"/>
          </w:rPr>
          <w:fldChar w:fldCharType="separate"/>
        </w:r>
        <w:r w:rsidR="00305FE7">
          <w:rPr>
            <w:rFonts w:cs="Segoe UI"/>
            <w:noProof/>
          </w:rPr>
          <w:t>Costanzo 2001</w:t>
        </w:r>
        <w:r w:rsidR="00305FE7">
          <w:rPr>
            <w:rFonts w:cs="Segoe UI"/>
          </w:rPr>
          <w:fldChar w:fldCharType="end"/>
        </w:r>
      </w:hyperlink>
      <w:r w:rsidRPr="00EB7436">
        <w:rPr>
          <w:rFonts w:cs="Segoe UI"/>
        </w:rPr>
        <w:t>). Nitrogen fertilizer, produced by industrial fixation of atmospheric nitrogen results in low to negative δ</w:t>
      </w:r>
      <w:r w:rsidRPr="005F7F6E">
        <w:rPr>
          <w:rFonts w:cs="Segoe UI"/>
          <w:vertAlign w:val="superscript"/>
        </w:rPr>
        <w:t>15</w:t>
      </w:r>
      <w:r w:rsidRPr="00EB7436">
        <w:rPr>
          <w:rFonts w:cs="Segoe UI"/>
        </w:rPr>
        <w:t>N signatures (i.e. δ</w:t>
      </w:r>
      <w:r w:rsidRPr="005F7F6E">
        <w:rPr>
          <w:rFonts w:cs="Segoe UI"/>
          <w:vertAlign w:val="superscript"/>
        </w:rPr>
        <w:t>15</w:t>
      </w:r>
      <w:r w:rsidRPr="00EB7436">
        <w:rPr>
          <w:rFonts w:cs="Segoe UI"/>
        </w:rPr>
        <w:t>N ~0 - 1‰) (</w:t>
      </w:r>
      <w:hyperlink w:anchor="_ENREF_221" w:tooltip="Udy, 1997 #5442" w:history="1">
        <w:r w:rsidR="00305FE7">
          <w:rPr>
            <w:rFonts w:cs="Segoe UI"/>
          </w:rPr>
          <w:fldChar w:fldCharType="begin"/>
        </w:r>
        <w:r w:rsidR="00305FE7">
          <w:rPr>
            <w:rFonts w:cs="Segoe UI"/>
          </w:rPr>
          <w:instrText xml:space="preserve"> ADDIN EN.CITE &lt;EndNote&gt;&lt;Cite&gt;&lt;Author&gt;Udy&lt;/Author&gt;&lt;Year&gt;1997&lt;/Year&gt;&lt;RecNum&gt;5442&lt;/RecNum&gt;&lt;DisplayText&gt;Udy and Dennison 1997a&lt;/DisplayText&gt;&lt;record&gt;&lt;rec-number&gt;5442&lt;/rec-number&gt;&lt;foreign-keys&gt;&lt;key app="EN" db-id="0eve55x9y5vfd6e9dacxtew4eatve2dzds9a" timestamp="0"&gt;5442&lt;/key&gt;&lt;/foreign-keys&gt;&lt;ref-type name="Journal Article"&gt;17&lt;/ref-type&gt;&lt;contributors&gt;&lt;authors&gt;&lt;author&gt;Udy, James W&lt;/author&gt;&lt;author&gt;Dennison, William C&lt;/author&gt;&lt;/authors&gt;&lt;/contributors&gt;&lt;titles&gt;&lt;title&gt;Growth and physiological responses of three Seagrass species to elevated sediment nutrients in Moreton Bay, Australia&lt;/title&gt;&lt;secondary-title&gt;Journal of Experimental Marine Biology and Ecology&lt;/secondary-title&gt;&lt;/titles&gt;&lt;periodical&gt;&lt;full-title&gt;Journal of Experimental Marine Biology and Ecology&lt;/full-title&gt;&lt;/periodical&gt;&lt;pages&gt;253-277&lt;/pages&gt;&lt;volume&gt;217&lt;/volume&gt;&lt;number&gt;2&lt;/number&gt;&lt;keywords&gt;&lt;keyword&gt;Seagrass&lt;/keyword&gt;&lt;keyword&gt;Nutrient&lt;/keyword&gt;&lt;keyword&gt;Nitrogen&lt;/keyword&gt;&lt;keyword&gt;Phosphorus&lt;/keyword&gt;&lt;keyword&gt;Amino acid.&lt;/keyword&gt;&lt;keyword&gt;Zostera-marina l&lt;/keyword&gt;&lt;keyword&gt;Halodule-wrightii aschers&lt;/keyword&gt;&lt;keyword&gt;Phosphorus limitation&lt;/keyword&gt;&lt;keyword&gt;Syringodium-filiforme&lt;/keyword&gt;&lt;keyword&gt;Thalassia-testudinum&lt;/keyword&gt;&lt;keyword&gt;Cymodocea-nodosa&lt;/keyword&gt;&lt;keyword&gt;Light-intensity&lt;/keyword&gt;&lt;keyword&gt;Chesapeake bay&lt;/keyword&gt;&lt;keyword&gt;Florida bay&lt;/keyword&gt;&lt;keyword&gt;L eelgrass.&lt;/keyword&gt;&lt;keyword&gt;Aquatic sciences.&lt;/keyword&gt;&lt;/keywords&gt;&lt;dates&gt;&lt;year&gt;1997&lt;/year&gt;&lt;/dates&gt;&lt;urls&gt;&lt;/urls&gt;&lt;custom1&gt;Reprint available from: Udy JW UNIV QUEENSLAND DEPT BOT ST LUCIA QLD 4072 AUSTRALIA&lt;/custom1&gt;&lt;/record&gt;&lt;/Cite&gt;&lt;/EndNote&gt;</w:instrText>
        </w:r>
        <w:r w:rsidR="00305FE7">
          <w:rPr>
            <w:rFonts w:cs="Segoe UI"/>
          </w:rPr>
          <w:fldChar w:fldCharType="separate"/>
        </w:r>
        <w:r w:rsidR="00305FE7">
          <w:rPr>
            <w:rFonts w:cs="Segoe UI"/>
            <w:noProof/>
          </w:rPr>
          <w:t>Udy and Dennison 1997a</w:t>
        </w:r>
        <w:r w:rsidR="00305FE7">
          <w:rPr>
            <w:rFonts w:cs="Segoe UI"/>
          </w:rPr>
          <w:fldChar w:fldCharType="end"/>
        </w:r>
      </w:hyperlink>
      <w:r w:rsidRPr="00EB7436">
        <w:rPr>
          <w:rFonts w:cs="Segoe UI"/>
        </w:rPr>
        <w:t xml:space="preserve">). In animal or sewage waste, nitrogen is excreted mainly in the form of urea, which favours conversion to ammonia and enables volatilization to the atmosphere. Resultant fractionation during this process leaves the remaining ammonium enriched in </w:t>
      </w:r>
      <w:r w:rsidRPr="005F7F6E">
        <w:rPr>
          <w:rFonts w:cs="Segoe UI"/>
          <w:vertAlign w:val="superscript"/>
        </w:rPr>
        <w:t>15</w:t>
      </w:r>
      <w:r w:rsidRPr="00EB7436">
        <w:rPr>
          <w:rFonts w:cs="Segoe UI"/>
        </w:rPr>
        <w:t>N. Further biological fractionation results in sewage nitrogen having a δ</w:t>
      </w:r>
      <w:r w:rsidRPr="005F7F6E">
        <w:rPr>
          <w:rFonts w:cs="Segoe UI"/>
          <w:vertAlign w:val="superscript"/>
        </w:rPr>
        <w:t>15</w:t>
      </w:r>
      <w:r w:rsidRPr="00EB7436">
        <w:rPr>
          <w:rFonts w:cs="Segoe UI"/>
        </w:rPr>
        <w:t>N signature greater than 9 or ~10‰ ((</w:t>
      </w:r>
      <w:r w:rsidR="008D6EF3">
        <w:rPr>
          <w:rFonts w:cs="Segoe UI"/>
        </w:rPr>
        <w:fldChar w:fldCharType="begin">
          <w:fldData xml:space="preserve">PEVuZE5vdGU+PENpdGU+PEF1dGhvcj5MYWp0aGE8L0F1dGhvcj48WWVhcj4xOTk0PC9ZZWFyPjxS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</w:fldData>
        </w:fldChar>
      </w:r>
      <w:r w:rsidR="00521D93">
        <w:rPr>
          <w:rFonts w:cs="Segoe UI"/>
        </w:rPr>
        <w:instrText xml:space="preserve"> ADDIN EN.CITE </w:instrText>
      </w:r>
      <w:r w:rsidR="00521D93">
        <w:rPr>
          <w:rFonts w:cs="Segoe UI"/>
        </w:rPr>
        <w:fldChar w:fldCharType="begin">
          <w:fldData xml:space="preserve">PEVuZE5vdGU+PENpdGU+PEF1dGhvcj5MYWp0aGE8L0F1dGhvcj48WWVhcj4xOTk0PC9ZZWFyPjxS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</w:fldData>
        </w:fldChar>
      </w:r>
      <w:r w:rsidR="00521D93">
        <w:rPr>
          <w:rFonts w:cs="Segoe UI"/>
        </w:rPr>
        <w:instrText xml:space="preserve"> ADDIN EN.CITE.DATA </w:instrText>
      </w:r>
      <w:r w:rsidR="00521D93">
        <w:rPr>
          <w:rFonts w:cs="Segoe UI"/>
        </w:rPr>
      </w:r>
      <w:r w:rsidR="00521D93">
        <w:rPr>
          <w:rFonts w:cs="Segoe UI"/>
        </w:rPr>
        <w:fldChar w:fldCharType="end"/>
      </w:r>
      <w:r w:rsidR="008D6EF3">
        <w:rPr>
          <w:rFonts w:cs="Segoe UI"/>
        </w:rPr>
      </w:r>
      <w:r w:rsidR="008D6EF3">
        <w:rPr>
          <w:rFonts w:cs="Segoe UI"/>
        </w:rPr>
        <w:fldChar w:fldCharType="separate"/>
      </w:r>
      <w:hyperlink w:anchor="_ENREF_125" w:tooltip="Lajtha, 1994 #9792" w:history="1">
        <w:r w:rsidR="00305FE7">
          <w:rPr>
            <w:rFonts w:cs="Segoe UI"/>
            <w:noProof/>
          </w:rPr>
          <w:t>Lajtha and Marshall 1994</w:t>
        </w:r>
      </w:hyperlink>
      <w:r w:rsidR="00521D93">
        <w:rPr>
          <w:rFonts w:cs="Segoe UI"/>
          <w:noProof/>
        </w:rPr>
        <w:t xml:space="preserve">; </w:t>
      </w:r>
      <w:hyperlink w:anchor="_ENREF_222" w:tooltip="Udy, 1997 #9791" w:history="1">
        <w:r w:rsidR="00305FE7">
          <w:rPr>
            <w:rFonts w:cs="Segoe UI"/>
            <w:noProof/>
          </w:rPr>
          <w:t>Udy and Dennison 1997b</w:t>
        </w:r>
      </w:hyperlink>
      <w:r w:rsidR="00521D93">
        <w:rPr>
          <w:rFonts w:cs="Segoe UI"/>
          <w:noProof/>
        </w:rPr>
        <w:t xml:space="preserve">; </w:t>
      </w:r>
      <w:hyperlink w:anchor="_ENREF_75" w:tooltip="Dennison, 1999 #6992" w:history="1">
        <w:r w:rsidR="00305FE7">
          <w:rPr>
            <w:rFonts w:cs="Segoe UI"/>
            <w:noProof/>
          </w:rPr>
          <w:t>Dennison and Abal 1999</w:t>
        </w:r>
      </w:hyperlink>
      <w:r w:rsidR="00521D93">
        <w:rPr>
          <w:rFonts w:cs="Segoe UI"/>
          <w:noProof/>
        </w:rPr>
        <w:t xml:space="preserve">; </w:t>
      </w:r>
      <w:hyperlink w:anchor="_ENREF_1" w:tooltip="Abal, 2001 #9765" w:history="1">
        <w:r w:rsidR="00305FE7">
          <w:rPr>
            <w:rFonts w:cs="Segoe UI"/>
            <w:noProof/>
          </w:rPr>
          <w:t>Abal</w:t>
        </w:r>
        <w:r w:rsidR="00305FE7" w:rsidRPr="00521D93">
          <w:rPr>
            <w:rFonts w:cs="Segoe UI"/>
            <w:i/>
            <w:noProof/>
          </w:rPr>
          <w:t xml:space="preserve"> et al.</w:t>
        </w:r>
        <w:r w:rsidR="00305FE7">
          <w:rPr>
            <w:rFonts w:cs="Segoe UI"/>
            <w:noProof/>
          </w:rPr>
          <w:t xml:space="preserve"> 2001</w:t>
        </w:r>
      </w:hyperlink>
      <w:r w:rsidR="00521D93">
        <w:rPr>
          <w:rFonts w:cs="Segoe UI"/>
          <w:noProof/>
        </w:rPr>
        <w:t xml:space="preserve">; </w:t>
      </w:r>
      <w:hyperlink w:anchor="_ENREF_67" w:tooltip="Costanzo, 2001 #2582" w:history="1">
        <w:r w:rsidR="00305FE7">
          <w:rPr>
            <w:rFonts w:cs="Segoe UI"/>
            <w:noProof/>
          </w:rPr>
          <w:t>Costanzo</w:t>
        </w:r>
        <w:r w:rsidR="00305FE7" w:rsidRPr="00521D93">
          <w:rPr>
            <w:rFonts w:cs="Segoe UI"/>
            <w:i/>
            <w:noProof/>
          </w:rPr>
          <w:t xml:space="preserve"> et al.</w:t>
        </w:r>
        <w:r w:rsidR="00305FE7">
          <w:rPr>
            <w:rFonts w:cs="Segoe UI"/>
            <w:noProof/>
          </w:rPr>
          <w:t xml:space="preserve"> 2001</w:t>
        </w:r>
      </w:hyperlink>
      <w:r w:rsidR="008D6EF3">
        <w:rPr>
          <w:rFonts w:cs="Segoe UI"/>
        </w:rPr>
        <w:fldChar w:fldCharType="end"/>
      </w:r>
      <w:r w:rsidRPr="00EB7436">
        <w:rPr>
          <w:rFonts w:cs="Segoe UI"/>
        </w:rPr>
        <w:t>). Septic and aquaculture discharge undergo less biological treatment and are likely to have a signature closer to that of raw waste (δ</w:t>
      </w:r>
      <w:r w:rsidRPr="005F7F6E">
        <w:rPr>
          <w:rFonts w:cs="Segoe UI"/>
          <w:vertAlign w:val="superscript"/>
        </w:rPr>
        <w:t>15</w:t>
      </w:r>
      <w:r w:rsidRPr="00EB7436">
        <w:rPr>
          <w:rFonts w:cs="Segoe UI"/>
        </w:rPr>
        <w:t>N ~5‰) (</w:t>
      </w:r>
      <w:hyperlink w:anchor="_ENREF_121" w:tooltip="Jones, 2001 #8336" w:history="1">
        <w:r w:rsidR="00305FE7">
          <w:rPr>
            <w:rFonts w:cs="Segoe UI"/>
          </w:rPr>
          <w:fldChar w:fldCharType="begin"/>
        </w:r>
        <w:r w:rsidR="00305FE7">
          <w:rPr>
            <w:rFonts w:cs="Segoe UI"/>
          </w:rPr>
          <w:instrText xml:space="preserve"> ADDIN EN.CITE &lt;EndNote&gt;&lt;Cite&gt;&lt;Author&gt;Jones&lt;/Author&gt;&lt;Year&gt;2001&lt;/Year&gt;&lt;RecNum&gt;8336&lt;/RecNum&gt;&lt;DisplayText&gt;Jones&lt;style face="italic"&gt; et al.&lt;/style&gt; 2001&lt;/DisplayText&gt;&lt;record&gt;&lt;rec-number&gt;8336&lt;/rec-number&gt;&lt;foreign-keys&gt;&lt;key app="EN" db-id="0eve55x9y5vfd6e9dacxtew4eatve2dzds9a" timestamp="0"&gt;8336&lt;/key&gt;&lt;/foreign-keys&gt;&lt;ref-type name="Journal Article"&gt;17&lt;/ref-type&gt;&lt;contributors&gt;&lt;authors&gt;&lt;author&gt;Jones, A. B.&lt;/author&gt;&lt;author&gt;O&amp;apos;Donohue, M. J.&lt;/author&gt;&lt;author&gt;Udy, J.&lt;/author&gt;&lt;author&gt;Dennison, W. C.&lt;/author&gt;&lt;/authors&gt;&lt;/contributors&gt;&lt;titles&gt;&lt;title&gt;Assessing ecological impacts of shrimp and sewage effluent: Biological indicators with standard water quality analyses&lt;/title&gt;&lt;secondary-title&gt;Estuarine Coastal and Shelf Science&lt;/secondary-title&gt;&lt;alt-title&gt;Estuar. Coast. Shelf Sci.&lt;/alt-title&gt;&lt;/titles&gt;&lt;periodical&gt;&lt;full-title&gt;Estuarine Coastal And Shelf Science&lt;/full-title&gt;&lt;/periodical&gt;&lt;pages&gt;91-109&lt;/pages&gt;&lt;volume&gt;52&lt;/volume&gt;&lt;number&gt;1&lt;/number&gt;&lt;keywords&gt;&lt;keyword&gt;aquaculture&lt;/keyword&gt;&lt;keyword&gt;shrimp effluent&lt;/keyword&gt;&lt;keyword&gt;sewage effluent&lt;/keyword&gt;&lt;keyword&gt;biological&lt;/keyword&gt;&lt;keyword&gt;indicators&lt;/keyword&gt;&lt;keyword&gt;stable isotopes&lt;/keyword&gt;&lt;keyword&gt;delta N-15&lt;/keyword&gt;&lt;keyword&gt;amino acid&lt;/keyword&gt;&lt;keyword&gt;composition&lt;/keyword&gt;&lt;keyword&gt;Moreton Bay Australia&lt;/keyword&gt;&lt;keyword&gt;GRACILARIA-PACIFICA RHODOPHYTA&lt;/keyword&gt;&lt;keyword&gt;AMINO-ACID LEVELS&lt;/keyword&gt;&lt;keyword&gt;ZOSTERA-&lt;/keyword&gt;&lt;keyword&gt;MARINA L&lt;/keyword&gt;&lt;keyword&gt;PHYSIOLOGICAL-RESPONSES&lt;/keyword&gt;&lt;keyword&gt;NUTRIENT AVAILABILITY&lt;/keyword&gt;&lt;keyword&gt;CYANIDIUM-CALDARIUM&lt;/keyword&gt;&lt;keyword&gt;ESTUARINE GRADIENT&lt;/keyword&gt;&lt;keyword&gt;EDULIS RHODOPHYTA&lt;/keyword&gt;&lt;keyword&gt;LIGHT-INTENSITY&lt;/keyword&gt;&lt;keyword&gt;NITROGEN UPTAKE&lt;/keyword&gt;&lt;/keywords&gt;&lt;dates&gt;&lt;year&gt;2001&lt;/year&gt;&lt;pub-dates&gt;&lt;date&gt;Jan&lt;/date&gt;&lt;/pub-dates&gt;&lt;/dates&gt;&lt;accession-num&gt;ISI:000167224800007&lt;/accession-num&gt;&lt;urls&gt;&lt;related-urls&gt;&lt;url&gt;&amp;lt;Go to ISI&amp;gt;://000167224800007&lt;/url&gt;&lt;/related-urls&gt;&lt;/urls&gt;&lt;/record&gt;&lt;/Cite&gt;&lt;/EndNote&gt;</w:instrText>
        </w:r>
        <w:r w:rsidR="00305FE7">
          <w:rPr>
            <w:rFonts w:cs="Segoe UI"/>
          </w:rPr>
          <w:fldChar w:fldCharType="separate"/>
        </w:r>
        <w:r w:rsidR="00305FE7">
          <w:rPr>
            <w:rFonts w:cs="Segoe UI"/>
            <w:noProof/>
          </w:rPr>
          <w:t>Jones</w:t>
        </w:r>
        <w:r w:rsidR="00305FE7" w:rsidRPr="008D6EF3">
          <w:rPr>
            <w:rFonts w:cs="Segoe UI"/>
            <w:i/>
            <w:noProof/>
          </w:rPr>
          <w:t xml:space="preserve"> et al.</w:t>
        </w:r>
        <w:r w:rsidR="00305FE7">
          <w:rPr>
            <w:rFonts w:cs="Segoe UI"/>
            <w:noProof/>
          </w:rPr>
          <w:t xml:space="preserve"> 2001</w:t>
        </w:r>
        <w:r w:rsidR="00305FE7">
          <w:rPr>
            <w:rFonts w:cs="Segoe UI"/>
          </w:rPr>
          <w:fldChar w:fldCharType="end"/>
        </w:r>
      </w:hyperlink>
      <w:r w:rsidRPr="00EB7436">
        <w:rPr>
          <w:rFonts w:cs="Segoe UI"/>
        </w:rPr>
        <w:t>).</w:t>
      </w:r>
    </w:p>
    <w:p w14:paraId="57D48E32" w14:textId="23AF6F4D" w:rsidR="00EB7436" w:rsidRDefault="00EB7436" w:rsidP="00EB7436">
      <w:pPr>
        <w:rPr>
          <w:rFonts w:cs="Segoe UI"/>
        </w:rPr>
      </w:pPr>
      <w:r w:rsidRPr="00EB7436">
        <w:rPr>
          <w:rFonts w:cs="Segoe UI"/>
        </w:rPr>
        <w:t xml:space="preserve">Similar to N, there are two naturally occurring atomic forms of carbon (C), </w:t>
      </w:r>
      <w:r w:rsidRPr="005F7F6E">
        <w:rPr>
          <w:rFonts w:cs="Segoe UI"/>
          <w:vertAlign w:val="superscript"/>
        </w:rPr>
        <w:t>13</w:t>
      </w:r>
      <w:r w:rsidRPr="00EB7436">
        <w:rPr>
          <w:rFonts w:cs="Segoe UI"/>
        </w:rPr>
        <w:t xml:space="preserve">C and </w:t>
      </w:r>
      <w:r w:rsidRPr="005F7F6E">
        <w:rPr>
          <w:rFonts w:cs="Segoe UI"/>
          <w:vertAlign w:val="superscript"/>
        </w:rPr>
        <w:t>12</w:t>
      </w:r>
      <w:r w:rsidRPr="00EB7436">
        <w:rPr>
          <w:rFonts w:cs="Segoe UI"/>
        </w:rPr>
        <w:t xml:space="preserve">C, which are taken up during photosynthesis where </w:t>
      </w:r>
      <w:r w:rsidRPr="005F7F6E">
        <w:rPr>
          <w:rFonts w:cs="Segoe UI"/>
          <w:vertAlign w:val="superscript"/>
        </w:rPr>
        <w:t>12</w:t>
      </w:r>
      <w:r w:rsidRPr="00EB7436">
        <w:rPr>
          <w:rFonts w:cs="Segoe UI"/>
        </w:rPr>
        <w:t>C is the more abundant of the two, accounting for 98.89</w:t>
      </w:r>
      <w:r w:rsidR="0063478C">
        <w:rPr>
          <w:rFonts w:cs="Segoe UI"/>
        </w:rPr>
        <w:t xml:space="preserve"> per cent</w:t>
      </w:r>
      <w:r w:rsidRPr="00EB7436">
        <w:rPr>
          <w:rFonts w:cs="Segoe UI"/>
        </w:rPr>
        <w:t xml:space="preserve"> of carbon. The ratio that </w:t>
      </w:r>
      <w:r w:rsidRPr="005F7F6E">
        <w:rPr>
          <w:rFonts w:cs="Segoe UI"/>
          <w:vertAlign w:val="superscript"/>
        </w:rPr>
        <w:t>13</w:t>
      </w:r>
      <w:r w:rsidRPr="00EB7436">
        <w:rPr>
          <w:rFonts w:cs="Segoe UI"/>
        </w:rPr>
        <w:t xml:space="preserve">C is taken up relative to </w:t>
      </w:r>
      <w:r w:rsidRPr="005F7F6E">
        <w:rPr>
          <w:rFonts w:cs="Segoe UI"/>
          <w:vertAlign w:val="superscript"/>
        </w:rPr>
        <w:t>12</w:t>
      </w:r>
      <w:r w:rsidRPr="00EB7436">
        <w:rPr>
          <w:rFonts w:cs="Segoe UI"/>
        </w:rPr>
        <w:t xml:space="preserve">C varies in time as a function of productivity, organic carbon burial and vegetation type. A measure of the ratio of stable isotopes </w:t>
      </w:r>
      <w:r w:rsidRPr="005F7F6E">
        <w:rPr>
          <w:rFonts w:cs="Segoe UI"/>
          <w:vertAlign w:val="superscript"/>
        </w:rPr>
        <w:t>13</w:t>
      </w:r>
      <w:r w:rsidRPr="00EB7436">
        <w:rPr>
          <w:rFonts w:cs="Segoe UI"/>
        </w:rPr>
        <w:t>C:</w:t>
      </w:r>
      <w:r w:rsidRPr="005F7F6E">
        <w:rPr>
          <w:rFonts w:cs="Segoe UI"/>
          <w:vertAlign w:val="superscript"/>
        </w:rPr>
        <w:t>12</w:t>
      </w:r>
      <w:r w:rsidRPr="00EB7436">
        <w:rPr>
          <w:rFonts w:cs="Segoe UI"/>
        </w:rPr>
        <w:t>C (i.e. δ</w:t>
      </w:r>
      <w:r w:rsidRPr="005F7F6E">
        <w:rPr>
          <w:rFonts w:cs="Segoe UI"/>
          <w:vertAlign w:val="superscript"/>
        </w:rPr>
        <w:t>13</w:t>
      </w:r>
      <w:r w:rsidRPr="00EB7436">
        <w:rPr>
          <w:rFonts w:cs="Segoe UI"/>
        </w:rPr>
        <w:t>C) is known as the isotopic signature, and reported in parts per thousand (per mil, ‰):</w:t>
      </w:r>
    </w:p>
    <w:p w14:paraId="105FEE75" w14:textId="77777777" w:rsidR="00EB7436" w:rsidRDefault="00EB7436" w:rsidP="00EB7436">
      <w:pPr>
        <w:jc w:val="center"/>
        <w:rPr>
          <w:color w:val="000000"/>
          <w:szCs w:val="22"/>
        </w:rPr>
      </w:pPr>
      <w:r>
        <w:rPr>
          <w:noProof/>
          <w:color w:val="000000"/>
          <w:position w:val="-38"/>
          <w:szCs w:val="22"/>
          <w:lang w:eastAsia="en-AU"/>
        </w:rPr>
        <w:drawing>
          <wp:inline distT="0" distB="0" distL="0" distR="0" wp14:anchorId="567C791F" wp14:editId="003F8484">
            <wp:extent cx="2179320" cy="540385"/>
            <wp:effectExtent l="0" t="0" r="0" b="0"/>
            <wp:docPr id="26" name="Picture 26" descr="Equation to determine delta13C in seagrass leaf t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2179320" cy="540385"/>
                    </a:xfrm>
                    <a:prstGeom prst="rect">
                      <a:avLst/>
                    </a:prstGeom>
                    <a:noFill/>
                    <a:ln>
                      <a:noFill/>
                    </a:ln>
                  </pic:spPr>
                </pic:pic>
              </a:graphicData>
            </a:graphic>
          </wp:inline>
        </w:drawing>
      </w:r>
    </w:p>
    <w:p w14:paraId="4B4BAD42" w14:textId="77777777" w:rsidR="00EB7436" w:rsidRPr="00EB7436" w:rsidRDefault="00EB7436" w:rsidP="00EB7436">
      <w:pPr>
        <w:rPr>
          <w:rFonts w:cs="Segoe UI"/>
        </w:rPr>
      </w:pPr>
      <w:r w:rsidRPr="00EB7436">
        <w:rPr>
          <w:rFonts w:cs="Segoe UI"/>
        </w:rPr>
        <w:tab/>
        <w:t>where the standard is an established reference material.</w:t>
      </w:r>
    </w:p>
    <w:p w14:paraId="3142A401" w14:textId="0C41641E" w:rsidR="00EB7436" w:rsidRPr="00EB7436" w:rsidRDefault="00EB7436" w:rsidP="00EB7436">
      <w:pPr>
        <w:rPr>
          <w:rFonts w:cs="Segoe UI"/>
        </w:rPr>
      </w:pPr>
      <w:r w:rsidRPr="00EB7436">
        <w:rPr>
          <w:rFonts w:cs="Segoe UI"/>
        </w:rPr>
        <w:t xml:space="preserve">Experimental work has confirmed that seagrasses from high light, high productivity environments demonstrate (less negative) isotopic enrichment: i.e. low </w:t>
      </w:r>
      <w:r w:rsidR="0063478C">
        <w:rPr>
          <w:rFonts w:cs="Segoe UI"/>
        </w:rPr>
        <w:t xml:space="preserve"> per cent</w:t>
      </w:r>
      <w:r w:rsidRPr="00EB7436">
        <w:rPr>
          <w:rFonts w:cs="Segoe UI"/>
        </w:rPr>
        <w:t xml:space="preserve">C, low C:N, in contrast, more negative </w:t>
      </w:r>
      <w:r w:rsidRPr="00B229A4">
        <w:rPr>
          <w:rFonts w:cs="Segoe UI"/>
        </w:rPr>
        <w:t>δ</w:t>
      </w:r>
      <w:r w:rsidRPr="00B229A4">
        <w:rPr>
          <w:rFonts w:cs="Segoe UI"/>
          <w:vertAlign w:val="superscript"/>
        </w:rPr>
        <w:t>13</w:t>
      </w:r>
      <w:r w:rsidRPr="00B229A4">
        <w:rPr>
          <w:rFonts w:cs="Segoe UI"/>
        </w:rPr>
        <w:t>C</w:t>
      </w:r>
      <w:r w:rsidRPr="00EB7436">
        <w:rPr>
          <w:rFonts w:cs="Segoe UI"/>
        </w:rPr>
        <w:t>, may indicate that light is limited (</w:t>
      </w:r>
      <w:r w:rsidR="008D6EF3">
        <w:rPr>
          <w:rFonts w:cs="Segoe UI"/>
        </w:rPr>
        <w:fldChar w:fldCharType="begin">
          <w:fldData xml:space="preserve">PEVuZE5vdGU+PENpdGU+PEF1dGhvcj5HcmljZTwvQXV0aG9yPjxZZWFyPjE5OTY8L1llYXI+PFJl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</w:fldData>
        </w:fldChar>
      </w:r>
      <w:r w:rsidR="00521D93">
        <w:rPr>
          <w:rFonts w:cs="Segoe UI"/>
        </w:rPr>
        <w:instrText xml:space="preserve"> ADDIN EN.CITE </w:instrText>
      </w:r>
      <w:r w:rsidR="00521D93">
        <w:rPr>
          <w:rFonts w:cs="Segoe UI"/>
        </w:rPr>
        <w:fldChar w:fldCharType="begin">
          <w:fldData xml:space="preserve">PEVuZE5vdGU+PENpdGU+PEF1dGhvcj5HcmljZTwvQXV0aG9yPjxZZWFyPjE5OTY8L1llYXI+PFJl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</w:fldData>
        </w:fldChar>
      </w:r>
      <w:r w:rsidR="00521D93">
        <w:rPr>
          <w:rFonts w:cs="Segoe UI"/>
        </w:rPr>
        <w:instrText xml:space="preserve"> ADDIN EN.CITE.DATA </w:instrText>
      </w:r>
      <w:r w:rsidR="00521D93">
        <w:rPr>
          <w:rFonts w:cs="Segoe UI"/>
        </w:rPr>
      </w:r>
      <w:r w:rsidR="00521D93">
        <w:rPr>
          <w:rFonts w:cs="Segoe UI"/>
        </w:rPr>
        <w:fldChar w:fldCharType="end"/>
      </w:r>
      <w:r w:rsidR="008D6EF3">
        <w:rPr>
          <w:rFonts w:cs="Segoe UI"/>
        </w:rPr>
      </w:r>
      <w:r w:rsidR="008D6EF3">
        <w:rPr>
          <w:rFonts w:cs="Segoe UI"/>
        </w:rPr>
        <w:fldChar w:fldCharType="separate"/>
      </w:r>
      <w:hyperlink w:anchor="_ENREF_107" w:tooltip="Grice, 1996 #1346" w:history="1">
        <w:r w:rsidR="00305FE7">
          <w:rPr>
            <w:rFonts w:cs="Segoe UI"/>
            <w:noProof/>
          </w:rPr>
          <w:t>Grice</w:t>
        </w:r>
        <w:r w:rsidR="00305FE7" w:rsidRPr="00521D93">
          <w:rPr>
            <w:rFonts w:cs="Segoe UI"/>
            <w:i/>
            <w:noProof/>
          </w:rPr>
          <w:t xml:space="preserve"> et al.</w:t>
        </w:r>
        <w:r w:rsidR="00305FE7">
          <w:rPr>
            <w:rFonts w:cs="Segoe UI"/>
            <w:noProof/>
          </w:rPr>
          <w:t xml:space="preserve"> 1996</w:t>
        </w:r>
      </w:hyperlink>
      <w:r w:rsidR="00521D93">
        <w:rPr>
          <w:rFonts w:cs="Segoe UI"/>
          <w:noProof/>
        </w:rPr>
        <w:t xml:space="preserve">; </w:t>
      </w:r>
      <w:hyperlink w:anchor="_ENREF_96" w:tooltip="Fourqurean, 2005 #7505" w:history="1">
        <w:r w:rsidR="00305FE7">
          <w:rPr>
            <w:rFonts w:cs="Segoe UI"/>
            <w:noProof/>
          </w:rPr>
          <w:t>Fourqurean</w:t>
        </w:r>
        <w:r w:rsidR="00305FE7" w:rsidRPr="00521D93">
          <w:rPr>
            <w:rFonts w:cs="Segoe UI"/>
            <w:i/>
            <w:noProof/>
          </w:rPr>
          <w:t xml:space="preserve"> et al.</w:t>
        </w:r>
        <w:r w:rsidR="00305FE7">
          <w:rPr>
            <w:rFonts w:cs="Segoe UI"/>
            <w:noProof/>
          </w:rPr>
          <w:t xml:space="preserve"> 2005</w:t>
        </w:r>
      </w:hyperlink>
      <w:r w:rsidR="008D6EF3">
        <w:rPr>
          <w:rFonts w:cs="Segoe UI"/>
        </w:rPr>
        <w:fldChar w:fldCharType="end"/>
      </w:r>
      <w:r w:rsidRPr="00EB7436">
        <w:rPr>
          <w:rFonts w:cs="Segoe UI"/>
        </w:rPr>
        <w:t>).</w:t>
      </w:r>
    </w:p>
    <w:p w14:paraId="649A8AD6" w14:textId="1A815C82" w:rsidR="00EB7436" w:rsidRDefault="00EB7436" w:rsidP="00EB7436">
      <w:pPr>
        <w:rPr>
          <w:rFonts w:cs="Segoe UI"/>
        </w:rPr>
      </w:pPr>
    </w:p>
    <w:p w14:paraId="17CD10BB" w14:textId="77777777" w:rsidR="00EB7436" w:rsidRPr="00460ACB" w:rsidRDefault="00EB7436" w:rsidP="00460ACB">
      <w:pPr>
        <w:pStyle w:val="Heading4"/>
        <w:numPr>
          <w:ilvl w:val="0"/>
          <w:numId w:val="0"/>
        </w:numPr>
        <w:rPr>
          <w:rFonts w:asciiTheme="majorHAnsi" w:hAnsiTheme="majorHAnsi"/>
          <w:sz w:val="24"/>
          <w:szCs w:val="24"/>
        </w:rPr>
      </w:pPr>
      <w:bookmarkStart w:id="974" w:name="_Toc431493741"/>
      <w:r w:rsidRPr="00460ACB">
        <w:rPr>
          <w:rFonts w:asciiTheme="majorHAnsi" w:hAnsiTheme="majorHAnsi"/>
          <w:sz w:val="24"/>
          <w:szCs w:val="24"/>
        </w:rPr>
        <w:t>Epiphyte and macroalgae abundance</w:t>
      </w:r>
      <w:bookmarkEnd w:id="974"/>
    </w:p>
    <w:p w14:paraId="3107995F" w14:textId="7D744658" w:rsidR="00EB7436" w:rsidRDefault="00EB7436" w:rsidP="00EB7436">
      <w:pPr>
        <w:spacing w:before="240"/>
        <w:rPr>
          <w:color w:val="000000"/>
          <w:szCs w:val="22"/>
        </w:rPr>
      </w:pPr>
      <w:r>
        <w:rPr>
          <w:color w:val="000000"/>
          <w:szCs w:val="22"/>
        </w:rPr>
        <w:t>Epiphyte and macroalgae cover were measured according to standard methods (</w:t>
      </w:r>
      <w:hyperlink w:anchor="_ENREF_160" w:tooltip="McKenzie, 2010 #9606" w:history="1">
        <w:r w:rsidR="00305FE7">
          <w:rPr>
            <w:color w:val="000000"/>
            <w:szCs w:val="22"/>
          </w:rPr>
          <w:fldChar w:fldCharType="begin"/>
        </w:r>
        <w:r w:rsidR="00305FE7">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 timestamp="1388454968"&gt;9606&lt;/key&gt;&lt;/foreign-keys&gt;&lt;ref-type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305FE7">
          <w:rPr>
            <w:color w:val="000000"/>
            <w:szCs w:val="22"/>
          </w:rPr>
          <w:fldChar w:fldCharType="separate"/>
        </w:r>
        <w:r w:rsidR="00305FE7">
          <w:rPr>
            <w:noProof/>
            <w:color w:val="000000"/>
            <w:szCs w:val="22"/>
          </w:rPr>
          <w:t>McKenzie</w:t>
        </w:r>
        <w:r w:rsidR="00305FE7" w:rsidRPr="00521D93">
          <w:rPr>
            <w:i/>
            <w:noProof/>
            <w:color w:val="000000"/>
            <w:szCs w:val="22"/>
          </w:rPr>
          <w:t xml:space="preserve"> et al.</w:t>
        </w:r>
        <w:r w:rsidR="00305FE7">
          <w:rPr>
            <w:noProof/>
            <w:color w:val="000000"/>
            <w:szCs w:val="22"/>
          </w:rPr>
          <w:t xml:space="preserve"> 2010a</w:t>
        </w:r>
        <w:r w:rsidR="00305FE7">
          <w:rPr>
            <w:color w:val="000000"/>
            <w:szCs w:val="22"/>
          </w:rPr>
          <w:fldChar w:fldCharType="end"/>
        </w:r>
      </w:hyperlink>
      <w:r>
        <w:rPr>
          <w:color w:val="000000"/>
          <w:szCs w:val="22"/>
        </w:rPr>
        <w:t>). The total percentage of leaf surface area (both sides, all species pooled) covered by epiphytes and percentage of quadrat area covered by macroalgae, were measured each monitoring event. Values were compared against the GBR long-term average (1999-2010) calculated for each habitat type.</w:t>
      </w:r>
    </w:p>
    <w:p w14:paraId="0B939746" w14:textId="4ABE0CCE" w:rsidR="00EB7436" w:rsidRDefault="00EB7436" w:rsidP="00EB7436">
      <w:pPr>
        <w:tabs>
          <w:tab w:val="left" w:pos="360"/>
        </w:tabs>
        <w:rPr>
          <w:color w:val="000000"/>
          <w:szCs w:val="22"/>
        </w:rPr>
      </w:pPr>
      <w:r>
        <w:rPr>
          <w:color w:val="000000"/>
          <w:szCs w:val="22"/>
        </w:rPr>
        <w:t>Increased epiphyte (the plants growing on the surfaces of slower-growing seagrass leaves (</w:t>
      </w:r>
      <w:hyperlink w:anchor="_ENREF_15" w:tooltip="Borowitzka, 2006 #7364" w:history="1">
        <w:r w:rsidR="00305FE7">
          <w:rPr>
            <w:color w:val="000000"/>
            <w:szCs w:val="22"/>
          </w:rPr>
          <w:fldChar w:fldCharType="begin"/>
        </w:r>
        <w:r w:rsidR="00305FE7">
          <w:rPr>
            <w:color w:val="000000"/>
            <w:szCs w:val="22"/>
          </w:rPr>
          <w:instrText xml:space="preserve"> ADDIN EN.CITE &lt;EndNote&gt;&lt;Cite&gt;&lt;Author&gt;Borowitzka&lt;/Author&gt;&lt;Year&gt;2006&lt;/Year&gt;&lt;RecNum&gt;7364&lt;/RecNum&gt;&lt;DisplayText&gt;Borowitzka&lt;style face="italic"&gt; et al.&lt;/style&gt; 2006&lt;/DisplayText&gt;&lt;record&gt;&lt;rec-number&gt;7364&lt;/rec-number&gt;&lt;foreign-keys&gt;&lt;key app="EN" db-id="0eve55x9y5vfd6e9dacxtew4eatve2dzds9a" timestamp="0"&gt;7364&lt;/key&gt;&lt;/foreign-keys&gt;&lt;ref-type name="Book Section"&gt;5&lt;/ref-type&gt;&lt;contributors&gt;&lt;authors&gt;&lt;author&gt;Borowitzka, M.A.&lt;/author&gt;&lt;author&gt;Lavery, P.S.&lt;/author&gt;&lt;author&gt;van Keulen, M.&lt;/author&gt;&lt;/authors&gt;&lt;secondary-authors&gt;&lt;author&gt;Larkum, W.D.&lt;/author&gt;&lt;author&gt;Orth, R.J.&lt;/author&gt;&lt;author&gt;Duarte, C.M.&lt;/author&gt;&lt;/secondary-authors&gt;&lt;/contributors&gt;&lt;titles&gt;&lt;title&gt;Epiphytes of seagrasses&lt;/title&gt;&lt;secondary-title&gt;Seagrasses: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1-4020-2942&lt;/isbn&gt;&lt;urls&gt;&lt;/urls&gt;&lt;/record&gt;&lt;/Cite&gt;&lt;/EndNote&gt;</w:instrText>
        </w:r>
        <w:r w:rsidR="00305FE7">
          <w:rPr>
            <w:color w:val="000000"/>
            <w:szCs w:val="22"/>
          </w:rPr>
          <w:fldChar w:fldCharType="separate"/>
        </w:r>
        <w:r w:rsidR="00305FE7">
          <w:rPr>
            <w:noProof/>
            <w:color w:val="000000"/>
            <w:szCs w:val="22"/>
          </w:rPr>
          <w:t>Borowitzka</w:t>
        </w:r>
        <w:r w:rsidR="00305FE7" w:rsidRPr="00644A84">
          <w:rPr>
            <w:i/>
            <w:noProof/>
            <w:color w:val="000000"/>
            <w:szCs w:val="22"/>
          </w:rPr>
          <w:t xml:space="preserve"> et al.</w:t>
        </w:r>
        <w:r w:rsidR="00305FE7">
          <w:rPr>
            <w:noProof/>
            <w:color w:val="000000"/>
            <w:szCs w:val="22"/>
          </w:rPr>
          <w:t xml:space="preserve"> 2006</w:t>
        </w:r>
        <w:r w:rsidR="00305FE7">
          <w:rPr>
            <w:color w:val="000000"/>
            <w:szCs w:val="22"/>
          </w:rPr>
          <w:fldChar w:fldCharType="end"/>
        </w:r>
      </w:hyperlink>
      <w:r>
        <w:rPr>
          <w:color w:val="000000"/>
          <w:szCs w:val="22"/>
        </w:rPr>
        <w:t>) loads may result in shading of seagrass leaves by up to 65</w:t>
      </w:r>
      <w:r w:rsidR="0063478C">
        <w:rPr>
          <w:color w:val="000000"/>
          <w:szCs w:val="22"/>
        </w:rPr>
        <w:t xml:space="preserve"> per cent</w:t>
      </w:r>
      <w:r>
        <w:rPr>
          <w:color w:val="000000"/>
          <w:szCs w:val="22"/>
        </w:rPr>
        <w:t>, reducing photosynthetic rate and leaf densities of the seagrasses (</w:t>
      </w:r>
      <w:r w:rsidR="00644A84">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emRzOWEiIHRpbWVzdGFtcD0iMCI+MTE2PC9rZXk+PC9mb3JlaWduLWtleXM+PHJlZi10eXBlIG5h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=
</w:fldData>
        </w:fldChar>
      </w:r>
      <w:r w:rsidR="005B0C7C">
        <w:rPr>
          <w:color w:val="000000"/>
          <w:szCs w:val="22"/>
        </w:rPr>
        <w:instrText xml:space="preserve"> ADDIN EN.CITE </w:instrText>
      </w:r>
      <w:r w:rsidR="005B0C7C">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emRzOWEiIHRpbWVzdGFtcD0iMCI+MTE2PC9rZXk+PC9mb3JlaWduLWtleXM+PHJlZi10eXBlIG5h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=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205" w:tooltip="Sand-Jensen, 1977 #116" w:history="1">
        <w:r w:rsidR="00305FE7">
          <w:rPr>
            <w:noProof/>
            <w:color w:val="000000"/>
            <w:szCs w:val="22"/>
          </w:rPr>
          <w:t>Sand-Jensen 1977</w:t>
        </w:r>
      </w:hyperlink>
      <w:r w:rsidR="00644A84">
        <w:rPr>
          <w:noProof/>
          <w:color w:val="000000"/>
          <w:szCs w:val="22"/>
        </w:rPr>
        <w:t xml:space="preserve">; </w:t>
      </w:r>
      <w:hyperlink w:anchor="_ENREF_219" w:tooltip="Tomasko, 1991 #1388" w:history="1">
        <w:r w:rsidR="00305FE7">
          <w:rPr>
            <w:noProof/>
            <w:color w:val="000000"/>
            <w:szCs w:val="22"/>
          </w:rPr>
          <w:t>Tomasko and Lapointe 1991</w:t>
        </w:r>
      </w:hyperlink>
      <w:r w:rsidR="00644A84">
        <w:rPr>
          <w:noProof/>
          <w:color w:val="000000"/>
          <w:szCs w:val="22"/>
        </w:rPr>
        <w:t xml:space="preserve">; </w:t>
      </w:r>
      <w:hyperlink w:anchor="_ENREF_229" w:tooltip="Walker, 1992 #305" w:history="1">
        <w:r w:rsidR="00305FE7">
          <w:rPr>
            <w:noProof/>
            <w:color w:val="000000"/>
            <w:szCs w:val="22"/>
          </w:rPr>
          <w:t>Walker and McComb 1992</w:t>
        </w:r>
      </w:hyperlink>
      <w:r w:rsidR="00644A84">
        <w:rPr>
          <w:noProof/>
          <w:color w:val="000000"/>
          <w:szCs w:val="22"/>
        </w:rPr>
        <w:t xml:space="preserve">; </w:t>
      </w:r>
      <w:hyperlink w:anchor="_ENREF_218" w:tooltip="Tomasko, 1996 #9740" w:history="1">
        <w:r w:rsidR="00305FE7">
          <w:rPr>
            <w:noProof/>
            <w:color w:val="000000"/>
            <w:szCs w:val="22"/>
          </w:rPr>
          <w:t>Tomasko</w:t>
        </w:r>
        <w:r w:rsidR="00305FE7" w:rsidRPr="00644A84">
          <w:rPr>
            <w:i/>
            <w:noProof/>
            <w:color w:val="000000"/>
            <w:szCs w:val="22"/>
          </w:rPr>
          <w:t xml:space="preserve"> et al.</w:t>
        </w:r>
        <w:r w:rsidR="00305FE7">
          <w:rPr>
            <w:noProof/>
            <w:color w:val="000000"/>
            <w:szCs w:val="22"/>
          </w:rPr>
          <w:t xml:space="preserve"> 1996</w:t>
        </w:r>
      </w:hyperlink>
      <w:r w:rsidR="00644A84">
        <w:rPr>
          <w:noProof/>
          <w:color w:val="000000"/>
          <w:szCs w:val="22"/>
        </w:rPr>
        <w:t xml:space="preserve">; </w:t>
      </w:r>
      <w:hyperlink w:anchor="_ENREF_101" w:tooltip="Frankovich, 1997 #5476" w:history="1">
        <w:r w:rsidR="00305FE7">
          <w:rPr>
            <w:noProof/>
            <w:color w:val="000000"/>
            <w:szCs w:val="22"/>
          </w:rPr>
          <w:t>Frankovich and Fourqurean 1997</w:t>
        </w:r>
      </w:hyperlink>
      <w:r w:rsidR="00644A84">
        <w:rPr>
          <w:noProof/>
          <w:color w:val="000000"/>
          <w:szCs w:val="22"/>
        </w:rPr>
        <w:t xml:space="preserve">; </w:t>
      </w:r>
      <w:hyperlink w:anchor="_ENREF_195" w:tooltip="Ralph, 1999 #9766" w:history="1">
        <w:r w:rsidR="00305FE7">
          <w:rPr>
            <w:noProof/>
            <w:color w:val="000000"/>
            <w:szCs w:val="22"/>
          </w:rPr>
          <w:t>Ralph and Gademann 1999</w:t>
        </w:r>
      </w:hyperlink>
      <w:r w:rsidR="00644A84">
        <w:rPr>
          <w:noProof/>
          <w:color w:val="000000"/>
          <w:szCs w:val="22"/>
        </w:rPr>
        <w:t xml:space="preserve">; </w:t>
      </w:r>
      <w:hyperlink w:anchor="_ENREF_220" w:tooltip="Touchette, 2000 #9751" w:history="1">
        <w:r w:rsidR="00305FE7">
          <w:rPr>
            <w:noProof/>
            <w:color w:val="000000"/>
            <w:szCs w:val="22"/>
          </w:rPr>
          <w:t>Touchette 2000</w:t>
        </w:r>
      </w:hyperlink>
      <w:r w:rsidR="00644A84">
        <w:rPr>
          <w:color w:val="000000"/>
          <w:szCs w:val="22"/>
        </w:rPr>
        <w:fldChar w:fldCharType="end"/>
      </w:r>
      <w:r>
        <w:rPr>
          <w:color w:val="000000"/>
          <w:szCs w:val="22"/>
        </w:rPr>
        <w:t xml:space="preserve">). In seagrass meadows, increases in the abundance of epiphytes are stimulated by nutrient loading (e.g. </w:t>
      </w:r>
      <w:r w:rsidR="00644A84">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NXg5eTV2ZmQ2ZTlkYWN4dGV3NGVhdHZlMmR6ZHM5YSIgdGltZXN0YW1wPSIxMzk0MjYyNzA3Ij45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</w:fldData>
        </w:fldChar>
      </w:r>
      <w:r w:rsidR="005B0C7C">
        <w:rPr>
          <w:color w:val="000000"/>
          <w:szCs w:val="22"/>
        </w:rPr>
        <w:instrText xml:space="preserve"> ADDIN EN.CITE </w:instrText>
      </w:r>
      <w:r w:rsidR="005B0C7C">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NXg5eTV2ZmQ2ZTlkYWN4dGV3NGVhdHZlMmR6ZHM5YSIgdGltZXN0YW1wPSIxMzk0MjYyNzA3Ij45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16" w:tooltip="Borum, 1985 #9767" w:history="1">
        <w:r w:rsidR="00305FE7">
          <w:rPr>
            <w:noProof/>
            <w:color w:val="000000"/>
            <w:szCs w:val="22"/>
          </w:rPr>
          <w:t>Borum 1985</w:t>
        </w:r>
      </w:hyperlink>
      <w:r w:rsidR="00644A84">
        <w:rPr>
          <w:noProof/>
          <w:color w:val="000000"/>
          <w:szCs w:val="22"/>
        </w:rPr>
        <w:t xml:space="preserve">; </w:t>
      </w:r>
      <w:hyperlink w:anchor="_ENREF_214" w:tooltip="Silberstein, 1986 #129" w:history="1">
        <w:r w:rsidR="00305FE7">
          <w:rPr>
            <w:noProof/>
            <w:color w:val="000000"/>
            <w:szCs w:val="22"/>
          </w:rPr>
          <w:t>Silberstein</w:t>
        </w:r>
        <w:r w:rsidR="00305FE7" w:rsidRPr="00644A84">
          <w:rPr>
            <w:i/>
            <w:noProof/>
            <w:color w:val="000000"/>
            <w:szCs w:val="22"/>
          </w:rPr>
          <w:t xml:space="preserve"> et al.</w:t>
        </w:r>
        <w:r w:rsidR="00305FE7">
          <w:rPr>
            <w:noProof/>
            <w:color w:val="000000"/>
            <w:szCs w:val="22"/>
          </w:rPr>
          <w:t xml:space="preserve"> 1986</w:t>
        </w:r>
      </w:hyperlink>
      <w:r w:rsidR="00644A84">
        <w:rPr>
          <w:noProof/>
          <w:color w:val="000000"/>
          <w:szCs w:val="22"/>
        </w:rPr>
        <w:t xml:space="preserve">; </w:t>
      </w:r>
      <w:hyperlink w:anchor="_ENREF_178" w:tooltip="Neckles, 1994 #9768" w:history="1">
        <w:r w:rsidR="00305FE7">
          <w:rPr>
            <w:noProof/>
            <w:color w:val="000000"/>
            <w:szCs w:val="22"/>
          </w:rPr>
          <w:t>Neckles</w:t>
        </w:r>
        <w:r w:rsidR="00305FE7" w:rsidRPr="00644A84">
          <w:rPr>
            <w:i/>
            <w:noProof/>
            <w:color w:val="000000"/>
            <w:szCs w:val="22"/>
          </w:rPr>
          <w:t xml:space="preserve"> et al.</w:t>
        </w:r>
        <w:r w:rsidR="00305FE7">
          <w:rPr>
            <w:noProof/>
            <w:color w:val="000000"/>
            <w:szCs w:val="22"/>
          </w:rPr>
          <w:t xml:space="preserve"> 1994</w:t>
        </w:r>
      </w:hyperlink>
      <w:r w:rsidR="00644A84">
        <w:rPr>
          <w:noProof/>
          <w:color w:val="000000"/>
          <w:szCs w:val="22"/>
        </w:rPr>
        <w:t xml:space="preserve">; </w:t>
      </w:r>
      <w:hyperlink w:anchor="_ENREF_11" w:tooltip="Balata, 2008 #9769" w:history="1">
        <w:r w:rsidR="00305FE7">
          <w:rPr>
            <w:noProof/>
            <w:color w:val="000000"/>
            <w:szCs w:val="22"/>
          </w:rPr>
          <w:t>Balata</w:t>
        </w:r>
        <w:r w:rsidR="00305FE7" w:rsidRPr="00644A84">
          <w:rPr>
            <w:i/>
            <w:noProof/>
            <w:color w:val="000000"/>
            <w:szCs w:val="22"/>
          </w:rPr>
          <w:t xml:space="preserve"> et al.</w:t>
        </w:r>
        <w:r w:rsidR="00305FE7">
          <w:rPr>
            <w:noProof/>
            <w:color w:val="000000"/>
            <w:szCs w:val="22"/>
          </w:rPr>
          <w:t xml:space="preserve"> 2008</w:t>
        </w:r>
      </w:hyperlink>
      <w:r w:rsidR="00644A84">
        <w:rPr>
          <w:color w:val="000000"/>
          <w:szCs w:val="22"/>
        </w:rPr>
        <w:fldChar w:fldCharType="end"/>
      </w:r>
      <w:r>
        <w:rPr>
          <w:color w:val="000000"/>
          <w:szCs w:val="22"/>
        </w:rPr>
        <w:t xml:space="preserve">) and these increases in abundance have been implicated as the cause for declines of seagrasses during eutrophication, because of the associated decrease in light reaching the seagrass blade (e.g. </w:t>
      </w:r>
      <w:r w:rsidR="00644A84">
        <w:rPr>
          <w:color w:val="000000"/>
          <w:szCs w:val="22"/>
        </w:rPr>
        <w:fldChar w:fldCharType="begin"/>
      </w:r>
      <w:r w:rsidR="005B0C7C">
        <w:rPr>
          <w:color w:val="000000"/>
          <w:szCs w:val="22"/>
        </w:rPr>
        <w:instrText xml:space="preserve"> ADDIN EN.CITE &lt;EndNote&gt;&lt;Cite&gt;&lt;Author&gt;Orth&lt;/Author&gt;&lt;Year&gt;1983&lt;/Year&gt;&lt;RecNum&gt;304&lt;/RecNum&gt;&lt;DisplayText&gt;Orth and Moore 1983; Cambridge&lt;style face="italic"&gt; et al.&lt;/style&gt; 1986&lt;/DisplayText&gt;&lt;record&gt;&lt;rec-number&gt;304&lt;/rec-number&gt;&lt;foreign-keys&gt;&lt;key app="EN" db-id="0eve55x9y5vfd6e9dacxtew4eatve2dzds9a" timestamp="0"&gt;304&lt;/key&gt;&lt;/foreign-keys&gt;&lt;ref-type name="Journal Article"&gt;17&lt;/ref-type&gt;&lt;contributors&gt;&lt;authors&gt;&lt;author&gt;Orth, Robert J.&lt;/author&gt;&lt;author&gt;Moore, Kenneth A.&lt;/author&gt;&lt;/authors&gt;&lt;/contributors&gt;&lt;titles&gt;&lt;title&gt;Chesapaeke Bay: An unprecedented decline in submerged aquatic vegetation&lt;/title&gt;&lt;secondary-title&gt;Science&lt;/secondary-title&gt;&lt;alt-title&gt;Science&lt;/alt-title&gt;&lt;/titles&gt;&lt;periodical&gt;&lt;full-title&gt;Science&lt;/full-title&gt;&lt;/periodical&gt;&lt;alt-periodical&gt;&lt;full-title&gt;Science&lt;/full-title&gt;&lt;/alt-periodical&gt;&lt;pages&gt;51-53&lt;/pages&gt;&lt;volume&gt;222&lt;/volume&gt;&lt;dates&gt;&lt;year&gt;1983&lt;/year&gt;&lt;/dates&gt;&lt;label&gt;266&lt;/label&gt;&lt;urls&gt;&lt;/urls&gt;&lt;custom1&gt;Annex&lt;/custom1&gt;&lt;/record&gt;&lt;/Cite&gt;&lt;Cite&gt;&lt;Author&gt;Cambridge&lt;/Author&gt;&lt;Year&gt;1986&lt;/Year&gt;&lt;RecNum&gt;64&lt;/RecNum&gt;&lt;record&gt;&lt;rec-number&gt;64&lt;/rec-number&gt;&lt;foreign-keys&gt;&lt;key app="EN" db-id="0eve55x9y5vfd6e9dacxtew4eatve2dzds9a" timestamp="0"&gt;64&lt;/key&gt;&lt;/foreign-keys&gt;&lt;ref-type name="Journal Article"&gt;17&lt;/ref-type&gt;&lt;contributors&gt;&lt;authors&gt;&lt;author&gt;Cambridge, M. L.&lt;/author&gt;&lt;author&gt;Chiffings, A. W.&lt;/author&gt;&lt;author&gt;Brittan, C.&lt;/author&gt;&lt;author&gt;Moore, L.&lt;/author&gt;&lt;author&gt;McComb, A. J.&lt;/author&gt;&lt;/authors&gt;&lt;/contributors&gt;&lt;titles&gt;&lt;title&gt;The loss of seagrass in Cockburn Sound, Western Australia. II. Possible causes of seagrass decline&lt;/title&gt;&lt;secondary-title&gt;Aquatic Botany&lt;/secondary-title&gt;&lt;alt-title&gt;Aquat. Bot.&lt;/alt-title&gt;&lt;/titles&gt;&lt;periodical&gt;&lt;full-title&gt;Aquatic Botany&lt;/full-title&gt;&lt;/periodical&gt;&lt;pages&gt;269-285&lt;/pages&gt;&lt;volume&gt;24&lt;/volume&gt;&lt;keywords&gt;&lt;keyword&gt;GIBIBLIO&lt;/keyword&gt;&lt;keyword&gt;SEAGRASS LOSS&lt;/keyword&gt;&lt;/keywords&gt;&lt;dates&gt;&lt;year&gt;1986&lt;/year&gt;&lt;/dates&gt;&lt;label&gt;9&lt;/label&gt;&lt;urls&gt;&lt;/urls&gt;&lt;custom1&gt;Annex&lt;/custom1&gt;&lt;/record&gt;&lt;/Cite&gt;&lt;/EndNote&gt;</w:instrText>
      </w:r>
      <w:r w:rsidR="00644A84">
        <w:rPr>
          <w:color w:val="000000"/>
          <w:szCs w:val="22"/>
        </w:rPr>
        <w:fldChar w:fldCharType="separate"/>
      </w:r>
      <w:hyperlink w:anchor="_ENREF_183" w:tooltip="Orth, 1983 #304" w:history="1">
        <w:r w:rsidR="00305FE7">
          <w:rPr>
            <w:noProof/>
            <w:color w:val="000000"/>
            <w:szCs w:val="22"/>
          </w:rPr>
          <w:t>Orth and Moore 1983</w:t>
        </w:r>
      </w:hyperlink>
      <w:r w:rsidR="00644A84">
        <w:rPr>
          <w:noProof/>
          <w:color w:val="000000"/>
          <w:szCs w:val="22"/>
        </w:rPr>
        <w:t xml:space="preserve">; </w:t>
      </w:r>
      <w:hyperlink w:anchor="_ENREF_27" w:tooltip="Cambridge, 1986 #64" w:history="1">
        <w:r w:rsidR="00305FE7">
          <w:rPr>
            <w:noProof/>
            <w:color w:val="000000"/>
            <w:szCs w:val="22"/>
          </w:rPr>
          <w:t>Cambridge</w:t>
        </w:r>
        <w:r w:rsidR="00305FE7" w:rsidRPr="00644A84">
          <w:rPr>
            <w:i/>
            <w:noProof/>
            <w:color w:val="000000"/>
            <w:szCs w:val="22"/>
          </w:rPr>
          <w:t xml:space="preserve"> et al.</w:t>
        </w:r>
        <w:r w:rsidR="00305FE7">
          <w:rPr>
            <w:noProof/>
            <w:color w:val="000000"/>
            <w:szCs w:val="22"/>
          </w:rPr>
          <w:t xml:space="preserve"> 1986</w:t>
        </w:r>
      </w:hyperlink>
      <w:r w:rsidR="00644A84">
        <w:rPr>
          <w:color w:val="000000"/>
          <w:szCs w:val="22"/>
        </w:rPr>
        <w:fldChar w:fldCharType="end"/>
      </w:r>
      <w:r>
        <w:rPr>
          <w:color w:val="000000"/>
          <w:szCs w:val="22"/>
        </w:rPr>
        <w:t>).</w:t>
      </w:r>
    </w:p>
    <w:p w14:paraId="381F1007" w14:textId="7B4CC337" w:rsidR="00EB7436" w:rsidRDefault="00EB7436" w:rsidP="00EB7436">
      <w:pPr>
        <w:spacing w:before="240"/>
        <w:rPr>
          <w:color w:val="000000"/>
          <w:szCs w:val="22"/>
        </w:rPr>
      </w:pPr>
      <w:r>
        <w:rPr>
          <w:color w:val="000000"/>
          <w:szCs w:val="22"/>
        </w:rPr>
        <w:t>Given the observed relationships between nutrient loading and the abundance of epiphytes observed in seagrass ecosystems from around the world, and the perceived threat to water quality owing to human population, the abundance of epiphytes in seagrass meadows may prove to be a valuable indicator for assessing both the current status and trends of the GBR seagrass meadows. However, preliminary analysis of the relationship between seagrass abundance and epiphyte cover collected by the RRMMP and MTSRF did not identify threshold levels beyond which loss of abundance occurred (</w:t>
      </w:r>
      <w:hyperlink w:anchor="_ENREF_149" w:tooltip="McKenzie, 2008 #9770" w:history="1">
        <w:r w:rsidR="00305FE7">
          <w:rPr>
            <w:color w:val="000000"/>
            <w:szCs w:val="22"/>
          </w:rPr>
          <w:fldChar w:fldCharType="begin"/>
        </w:r>
        <w:r w:rsidR="00305FE7">
          <w:rPr>
            <w:color w:val="000000"/>
            <w:szCs w:val="22"/>
          </w:rPr>
          <w:instrText xml:space="preserve"> ADDIN EN.CITE &lt;EndNote&gt;&lt;Cite&gt;&lt;Author&gt;McKenzie&lt;/Author&gt;&lt;Year&gt;2008&lt;/Year&gt;&lt;RecNum&gt;9770&lt;/RecNum&gt;&lt;DisplayText&gt;McKenzie 2008&lt;/DisplayText&gt;&lt;record&gt;&lt;rec-number&gt;9770&lt;/rec-number&gt;&lt;foreign-keys&gt;&lt;key app="EN" db-id="0eve55x9y5vfd6e9dacxtew4eatve2dzds9a" timestamp="1394264358"&gt;9770&lt;/key&gt;&lt;/foreign-keys&gt;&lt;ref-type name="Book"&gt;6&lt;/ref-type&gt;&lt;contributors&gt;&lt;authors&gt;&lt;author&gt;McKenzie, Len J&lt;/author&gt;&lt;/authors&gt;&lt;/contributors&gt;&lt;titles&gt;&lt;title&gt;Relationships between seagrass communities and epiphyte assemblages along the Queensland coast. Marine and Tropical Sciences Research Facility Milestone Report, Project 3.7.1c Progress Report #3, 11th June 2008&lt;/title&gt;&lt;/titles&gt;&lt;section&gt;5&lt;/section&gt;&lt;dates&gt;&lt;year&gt;2008&lt;/year&gt;&lt;/dates&gt;&lt;pub-location&gt;Cairns&lt;/pub-location&gt;&lt;publisher&gt;RRRC&lt;/publisher&gt;&lt;urls&gt;&lt;/urls&gt;&lt;/record&gt;&lt;/Cite&gt;&lt;/EndNote&gt;</w:instrText>
        </w:r>
        <w:r w:rsidR="00305FE7">
          <w:rPr>
            <w:color w:val="000000"/>
            <w:szCs w:val="22"/>
          </w:rPr>
          <w:fldChar w:fldCharType="separate"/>
        </w:r>
        <w:r w:rsidR="00305FE7">
          <w:rPr>
            <w:noProof/>
            <w:color w:val="000000"/>
            <w:szCs w:val="22"/>
          </w:rPr>
          <w:t>McKenzie 2008</w:t>
        </w:r>
        <w:r w:rsidR="00305FE7">
          <w:rPr>
            <w:color w:val="000000"/>
            <w:szCs w:val="22"/>
          </w:rPr>
          <w:fldChar w:fldCharType="end"/>
        </w:r>
      </w:hyperlink>
      <w:r>
        <w:rPr>
          <w:color w:val="000000"/>
          <w:szCs w:val="22"/>
        </w:rPr>
        <w:t>) suggesting further research and analysis.</w:t>
      </w:r>
    </w:p>
    <w:p w14:paraId="1AB6ADD8" w14:textId="77777777" w:rsidR="00460ACB" w:rsidRPr="00460ACB" w:rsidRDefault="00460ACB" w:rsidP="00460ACB">
      <w:pPr>
        <w:pStyle w:val="Heading4"/>
        <w:numPr>
          <w:ilvl w:val="0"/>
          <w:numId w:val="0"/>
        </w:numPr>
        <w:rPr>
          <w:rFonts w:asciiTheme="majorHAnsi" w:hAnsiTheme="majorHAnsi"/>
          <w:sz w:val="24"/>
          <w:szCs w:val="24"/>
        </w:rPr>
      </w:pPr>
      <w:bookmarkStart w:id="975" w:name="_Toc387600770"/>
      <w:r w:rsidRPr="00460ACB">
        <w:rPr>
          <w:rFonts w:asciiTheme="majorHAnsi" w:hAnsiTheme="majorHAnsi"/>
          <w:sz w:val="24"/>
          <w:szCs w:val="24"/>
        </w:rPr>
        <w:t>Inshore seagrass meadow boundary mapping</w:t>
      </w:r>
      <w:bookmarkEnd w:id="975"/>
    </w:p>
    <w:p w14:paraId="6D37EE04" w14:textId="036A93CC" w:rsidR="00460ACB" w:rsidRPr="00144953" w:rsidRDefault="00460ACB" w:rsidP="00460ACB">
      <w:pPr>
        <w:rPr>
          <w:rFonts w:cs="Segoe UI"/>
          <w:color w:val="000000"/>
        </w:rPr>
      </w:pPr>
      <w:r w:rsidRPr="00BC33E3">
        <w:rPr>
          <w:rFonts w:cs="Segoe UI"/>
        </w:rPr>
        <w:t>Mapping the edge of the seagrass meadow</w:t>
      </w:r>
      <w:r w:rsidR="00FB5297">
        <w:rPr>
          <w:rFonts w:cs="Segoe UI"/>
        </w:rPr>
        <w:t>/patches</w:t>
      </w:r>
      <w:r w:rsidRPr="00BC33E3">
        <w:rPr>
          <w:rFonts w:cs="Segoe UI"/>
        </w:rPr>
        <w:t xml:space="preserve"> within </w:t>
      </w:r>
      <w:r w:rsidR="00FB5297">
        <w:rPr>
          <w:rFonts w:cs="Segoe UI"/>
        </w:rPr>
        <w:t xml:space="preserve">each 5.5 hectare </w:t>
      </w:r>
      <w:r w:rsidRPr="00BC33E3">
        <w:rPr>
          <w:rFonts w:cs="Segoe UI"/>
        </w:rPr>
        <w:t xml:space="preserve">monitoring site is conducted in both the late dry (October) and late </w:t>
      </w:r>
      <w:r w:rsidR="000945E8">
        <w:rPr>
          <w:rFonts w:cs="Segoe UI"/>
        </w:rPr>
        <w:t>wet</w:t>
      </w:r>
      <w:r w:rsidRPr="00BC33E3">
        <w:rPr>
          <w:rFonts w:cs="Segoe UI"/>
        </w:rPr>
        <w:t xml:space="preserve"> (April) monitoring periods at all sites</w:t>
      </w:r>
      <w:r w:rsidRPr="00BC33E3">
        <w:rPr>
          <w:rFonts w:cs="Segoe UI"/>
          <w:bCs/>
        </w:rPr>
        <w:t xml:space="preserve"> identified in </w:t>
      </w:r>
      <w:r w:rsidRPr="00144953">
        <w:rPr>
          <w:rFonts w:cs="Segoe UI"/>
          <w:bCs/>
          <w:color w:val="000000"/>
        </w:rPr>
        <w:fldChar w:fldCharType="begin"/>
      </w:r>
      <w:r w:rsidRPr="00144953">
        <w:rPr>
          <w:rFonts w:cs="Segoe UI"/>
          <w:bCs/>
          <w:color w:val="000000"/>
        </w:rPr>
        <w:instrText xml:space="preserve"> REF _Ref236539751 \h  \* MERGEFORMAT </w:instrText>
      </w:r>
      <w:r w:rsidRPr="00144953">
        <w:rPr>
          <w:rFonts w:cs="Segoe UI"/>
          <w:bCs/>
          <w:color w:val="000000"/>
        </w:rPr>
      </w:r>
      <w:r w:rsidRPr="00144953">
        <w:rPr>
          <w:rFonts w:cs="Segoe UI"/>
          <w:bCs/>
          <w:color w:val="000000"/>
        </w:rPr>
        <w:fldChar w:fldCharType="separate"/>
      </w:r>
      <w:r w:rsidR="00F87DF9" w:rsidRPr="00015190">
        <w:rPr>
          <w:color w:val="000000"/>
          <w:szCs w:val="22"/>
        </w:rPr>
        <w:t xml:space="preserve">Table </w:t>
      </w:r>
      <w:r w:rsidR="00F87DF9">
        <w:rPr>
          <w:noProof/>
          <w:color w:val="000000"/>
          <w:szCs w:val="22"/>
        </w:rPr>
        <w:t>3</w:t>
      </w:r>
      <w:r w:rsidRPr="00144953">
        <w:rPr>
          <w:rFonts w:cs="Segoe UI"/>
          <w:bCs/>
          <w:color w:val="000000"/>
        </w:rPr>
        <w:fldChar w:fldCharType="end"/>
      </w:r>
      <w:r w:rsidRPr="00144953">
        <w:rPr>
          <w:rFonts w:cs="Segoe UI"/>
          <w:bCs/>
          <w:color w:val="000000"/>
        </w:rPr>
        <w:t xml:space="preserve">. </w:t>
      </w:r>
      <w:r w:rsidRPr="00144953">
        <w:rPr>
          <w:rFonts w:cs="Segoe UI"/>
          <w:color w:val="000000"/>
        </w:rPr>
        <w:t>Training and equipment (GPS) are provided to personnel involved in the edge mapping.</w:t>
      </w:r>
    </w:p>
    <w:p w14:paraId="15B2F249" w14:textId="2745DD04" w:rsidR="00460ACB" w:rsidRPr="00BC33E3" w:rsidRDefault="00460ACB" w:rsidP="00460ACB">
      <w:pPr>
        <w:rPr>
          <w:rFonts w:cs="Segoe UI"/>
        </w:rPr>
      </w:pPr>
      <w:r w:rsidRPr="00BC33E3">
        <w:rPr>
          <w:rFonts w:cs="Segoe UI"/>
        </w:rPr>
        <w:t>Mapping methodology follows standard methodology</w:t>
      </w:r>
      <w:r>
        <w:rPr>
          <w:rFonts w:cs="Segoe UI"/>
        </w:rPr>
        <w:t xml:space="preserve"> (</w:t>
      </w:r>
      <w:hyperlink w:anchor="_ENREF_157" w:tooltip="McKenzie, 2001 #3703" w:history="1">
        <w:r w:rsidR="00305FE7">
          <w:rPr>
            <w:rFonts w:cs="Segoe UI"/>
          </w:rPr>
          <w:fldChar w:fldCharType="begin"/>
        </w:r>
        <w:r w:rsidR="00305FE7">
          <w:rPr>
            <w:rFonts w:cs="Segoe UI"/>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 timestamp="0"&gt;3703&lt;/key&gt;&lt;/foreign-keys&gt;&lt;ref-type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related-urls&gt;&lt;url&gt;http://www.sciencedirect.com/science/article/pii/B9780444508911500062&lt;/url&gt;&lt;/related-urls&gt;&lt;/urls&gt;&lt;electronic-resource-num&gt;10.1016/B978-044450891-1/50006-2&lt;/electronic-resource-num&gt;&lt;/record&gt;&lt;/Cite&gt;&lt;/EndNote&gt;</w:instrText>
        </w:r>
        <w:r w:rsidR="00305FE7">
          <w:rPr>
            <w:rFonts w:cs="Segoe UI"/>
          </w:rPr>
          <w:fldChar w:fldCharType="separate"/>
        </w:r>
        <w:r w:rsidR="00305FE7">
          <w:rPr>
            <w:rFonts w:cs="Segoe UI"/>
            <w:noProof/>
          </w:rPr>
          <w:t>McKenzie</w:t>
        </w:r>
        <w:r w:rsidR="00305FE7" w:rsidRPr="00521D93">
          <w:rPr>
            <w:rFonts w:cs="Segoe UI"/>
            <w:i/>
            <w:noProof/>
          </w:rPr>
          <w:t xml:space="preserve"> et al.</w:t>
        </w:r>
        <w:r w:rsidR="00305FE7">
          <w:rPr>
            <w:rFonts w:cs="Segoe UI"/>
            <w:noProof/>
          </w:rPr>
          <w:t xml:space="preserve"> 2001</w:t>
        </w:r>
        <w:r w:rsidR="00305FE7">
          <w:rPr>
            <w:rFonts w:cs="Segoe UI"/>
          </w:rPr>
          <w:fldChar w:fldCharType="end"/>
        </w:r>
      </w:hyperlink>
      <w:r>
        <w:rPr>
          <w:rFonts w:cs="Segoe UI"/>
        </w:rPr>
        <w:t>)</w:t>
      </w:r>
      <w:r w:rsidRPr="00BC33E3">
        <w:rPr>
          <w:rFonts w:cs="Segoe UI"/>
        </w:rPr>
        <w:t xml:space="preserve">. </w:t>
      </w:r>
      <w:r w:rsidRPr="00BC33E3">
        <w:rPr>
          <w:rFonts w:cs="Segoe UI"/>
          <w:lang w:eastAsia="en-AU"/>
        </w:rPr>
        <w:t xml:space="preserve">Edges are recorded as tracks (1 second polling) or a series of waypoints in the field using a </w:t>
      </w:r>
      <w:r w:rsidRPr="00BC33E3">
        <w:rPr>
          <w:rFonts w:cs="Segoe UI"/>
        </w:rPr>
        <w:t xml:space="preserve">portable Global Positioning </w:t>
      </w:r>
      <w:r w:rsidRPr="00BC33E3">
        <w:rPr>
          <w:rFonts w:cs="Segoe UI"/>
          <w:lang w:eastAsia="en-AU"/>
        </w:rPr>
        <w:t>System receiver (</w:t>
      </w:r>
      <w:r w:rsidR="008D142C">
        <w:rPr>
          <w:rFonts w:cs="Segoe UI"/>
          <w:lang w:eastAsia="en-AU"/>
        </w:rPr>
        <w:t>e.g.</w:t>
      </w:r>
      <w:r w:rsidRPr="00BC33E3">
        <w:rPr>
          <w:rFonts w:cs="Segoe UI"/>
          <w:lang w:eastAsia="en-AU"/>
        </w:rPr>
        <w:t xml:space="preserve"> Garmin GPSmap</w:t>
      </w:r>
      <w:r w:rsidRPr="00BC33E3">
        <w:rPr>
          <w:rFonts w:cs="Segoe UI"/>
          <w:vertAlign w:val="superscript"/>
          <w:lang w:eastAsia="en-AU"/>
        </w:rPr>
        <w:sym w:font="Symbol" w:char="F0D2"/>
      </w:r>
      <w:r w:rsidRPr="00BC33E3">
        <w:rPr>
          <w:rFonts w:cs="Segoe UI"/>
          <w:lang w:eastAsia="en-AU"/>
        </w:rPr>
        <w:t xml:space="preserve"> 60CSx or 62s). </w:t>
      </w:r>
      <w:r w:rsidRPr="00BC33E3">
        <w:rPr>
          <w:rFonts w:cs="Segoe UI"/>
        </w:rPr>
        <w:t>Accuracy in the field is dependent on the portable GPS</w:t>
      </w:r>
      <w:r w:rsidRPr="00BC33E3">
        <w:rPr>
          <w:rFonts w:cs="Segoe UI"/>
          <w:lang w:eastAsia="en-AU"/>
        </w:rPr>
        <w:t xml:space="preserve"> receiver (</w:t>
      </w:r>
      <w:r w:rsidR="008D142C">
        <w:rPr>
          <w:rFonts w:cs="Segoe UI"/>
          <w:lang w:eastAsia="en-AU"/>
        </w:rPr>
        <w:t>e.g.</w:t>
      </w:r>
      <w:r w:rsidR="00FB5297">
        <w:rPr>
          <w:rFonts w:cs="Segoe UI"/>
          <w:lang w:eastAsia="en-AU"/>
        </w:rPr>
        <w:t xml:space="preserve"> </w:t>
      </w:r>
      <w:r w:rsidRPr="00BC33E3">
        <w:rPr>
          <w:rFonts w:cs="Segoe UI"/>
          <w:lang w:eastAsia="en-AU"/>
        </w:rPr>
        <w:t>Garmin GPSmap</w:t>
      </w:r>
      <w:r w:rsidRPr="00BC33E3">
        <w:rPr>
          <w:rFonts w:cs="Segoe UI"/>
          <w:vertAlign w:val="superscript"/>
          <w:lang w:eastAsia="en-AU"/>
        </w:rPr>
        <w:sym w:font="Symbol" w:char="F0D2"/>
      </w:r>
      <w:r w:rsidRPr="00BC33E3">
        <w:rPr>
          <w:rFonts w:cs="Segoe UI"/>
          <w:lang w:eastAsia="en-AU"/>
        </w:rPr>
        <w:t xml:space="preserve"> 60CSx is &lt;15m RMS95</w:t>
      </w:r>
      <w:r w:rsidR="0063478C">
        <w:rPr>
          <w:rFonts w:cs="Segoe UI"/>
          <w:lang w:eastAsia="en-AU"/>
        </w:rPr>
        <w:t xml:space="preserve"> per cent</w:t>
      </w:r>
      <w:r w:rsidRPr="00BC33E3">
        <w:rPr>
          <w:rFonts w:cs="Segoe UI"/>
          <w:lang w:eastAsia="en-AU"/>
        </w:rPr>
        <w:t xml:space="preserve"> (DGPS (USCG) accuracy: 3-5m, 95</w:t>
      </w:r>
      <w:r w:rsidR="0063478C">
        <w:rPr>
          <w:rFonts w:cs="Segoe UI"/>
          <w:lang w:eastAsia="en-AU"/>
        </w:rPr>
        <w:t xml:space="preserve"> per cent</w:t>
      </w:r>
      <w:r w:rsidRPr="00BC33E3">
        <w:rPr>
          <w:rFonts w:cs="Segoe UI"/>
          <w:lang w:eastAsia="en-AU"/>
        </w:rPr>
        <w:t xml:space="preserve"> typical) and how well the edge of the meadow is defined. Generally accuracy is within that of the GPS (i.e. 3 to 5 metres) and datum used is WGS84. Tracks and waypoints are downloaded from the GPS to portable computer using MapSource </w:t>
      </w:r>
      <w:r w:rsidRPr="00BC33E3">
        <w:rPr>
          <w:rFonts w:cs="Segoe UI"/>
        </w:rPr>
        <w:t>or BaseCamp</w:t>
      </w:r>
      <w:r w:rsidRPr="00BC33E3">
        <w:rPr>
          <w:rFonts w:cs="Arial"/>
          <w:lang w:eastAsia="en-AU"/>
        </w:rPr>
        <w:t xml:space="preserve"> </w:t>
      </w:r>
      <w:r w:rsidRPr="00BC33E3">
        <w:rPr>
          <w:rFonts w:cs="Segoe UI"/>
          <w:lang w:eastAsia="en-AU"/>
        </w:rPr>
        <w:t>software as soon as practicable (preferably on returning from the day’s activity) and exported as *.dxf files to ESRI</w:t>
      </w:r>
      <w:r w:rsidRPr="00BC33E3">
        <w:rPr>
          <w:rFonts w:cs="Segoe UI"/>
          <w:vertAlign w:val="superscript"/>
        </w:rPr>
        <w:sym w:font="Symbol" w:char="F0E2"/>
      </w:r>
      <w:r w:rsidRPr="00BC33E3">
        <w:rPr>
          <w:rFonts w:cs="Segoe UI"/>
          <w:lang w:eastAsia="en-AU"/>
        </w:rPr>
        <w:t xml:space="preserve"> ArcGIS™</w:t>
      </w:r>
      <w:r w:rsidRPr="00BC33E3">
        <w:rPr>
          <w:rFonts w:cs="Segoe UI"/>
        </w:rPr>
        <w:t>. Subtidal edge mapping data has yet to be plotted.</w:t>
      </w:r>
    </w:p>
    <w:p w14:paraId="0D05A47A" w14:textId="77777777" w:rsidR="00460ACB" w:rsidRPr="00BC33E3" w:rsidRDefault="00460ACB" w:rsidP="00460ACB">
      <w:pPr>
        <w:rPr>
          <w:rFonts w:cs="Segoe UI"/>
          <w:lang w:eastAsia="en-AU"/>
        </w:rPr>
      </w:pPr>
      <w:r w:rsidRPr="00BC33E3">
        <w:rPr>
          <w:rFonts w:cs="Segoe UI"/>
          <w:lang w:eastAsia="en-AU"/>
        </w:rPr>
        <w:t>Mapping is conducted by trained and experienced scientists using ESRI</w:t>
      </w:r>
      <w:r w:rsidRPr="00BC33E3">
        <w:rPr>
          <w:rFonts w:cs="Segoe UI"/>
          <w:vertAlign w:val="superscript"/>
        </w:rPr>
        <w:sym w:font="Symbol" w:char="F0E2"/>
      </w:r>
      <w:r w:rsidRPr="00BC33E3">
        <w:rPr>
          <w:rFonts w:cs="Segoe UI"/>
          <w:lang w:eastAsia="en-AU"/>
        </w:rPr>
        <w:t xml:space="preserve"> ArcMap™ </w:t>
      </w:r>
      <w:r w:rsidR="00B229A4">
        <w:rPr>
          <w:rFonts w:cs="Segoe UI"/>
          <w:lang w:eastAsia="en-AU"/>
        </w:rPr>
        <w:t>10</w:t>
      </w:r>
      <w:r w:rsidRPr="00BC33E3">
        <w:rPr>
          <w:rFonts w:cs="Segoe UI"/>
          <w:lang w:eastAsia="en-AU"/>
        </w:rPr>
        <w:t>.3 (Environmental Systems Research Institute</w:t>
      </w:r>
      <w:r w:rsidRPr="00BC33E3">
        <w:rPr>
          <w:rFonts w:cs="Arial"/>
          <w:lang w:eastAsia="en-AU"/>
        </w:rPr>
        <w:t xml:space="preserve">, </w:t>
      </w:r>
      <w:r w:rsidRPr="00BC33E3">
        <w:rPr>
          <w:rFonts w:cs="Segoe UI"/>
          <w:lang w:eastAsia="en-AU"/>
        </w:rPr>
        <w:t xml:space="preserve">ArcGIS™ Desktop </w:t>
      </w:r>
      <w:r w:rsidR="00B229A4">
        <w:rPr>
          <w:rFonts w:cs="Segoe UI"/>
          <w:lang w:eastAsia="en-AU"/>
        </w:rPr>
        <w:t>10</w:t>
      </w:r>
      <w:r w:rsidRPr="00BC33E3">
        <w:rPr>
          <w:rFonts w:cs="Segoe UI"/>
          <w:lang w:eastAsia="en-AU"/>
        </w:rPr>
        <w:t>.3).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14:paraId="2C839A83" w14:textId="77777777" w:rsidR="00460ACB" w:rsidRPr="00BC33E3" w:rsidRDefault="00460ACB" w:rsidP="00460ACB">
      <w:pPr>
        <w:rPr>
          <w:rFonts w:cs="Segoe UI"/>
          <w:lang w:eastAsia="en-AU"/>
        </w:rPr>
      </w:pPr>
      <w:r w:rsidRPr="00BC33E3">
        <w:rPr>
          <w:rFonts w:cs="Segoe UI"/>
          <w:lang w:eastAsia="en-AU"/>
        </w:rPr>
        <w:t xml:space="preserve">In certain cases seagrass meadows form very distinct edges that remain consistent over many growing seasons. However, in other cases the seagrass </w:t>
      </w:r>
      <w:r w:rsidRPr="00BC33E3">
        <w:rPr>
          <w:rFonts w:cs="Arial"/>
          <w:lang w:eastAsia="en-AU"/>
        </w:rPr>
        <w:t xml:space="preserve">landscape </w:t>
      </w:r>
      <w:r w:rsidRPr="00BC33E3">
        <w:rPr>
          <w:rFonts w:cs="Segoe UI"/>
          <w:lang w:eastAsia="en-AU"/>
        </w:rPr>
        <w:t xml:space="preserve">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with the distance of more than 3 metres </w:t>
      </w:r>
      <w:r w:rsidRPr="00BC33E3">
        <w:rPr>
          <w:rFonts w:cs="Arial"/>
          <w:lang w:eastAsia="en-AU"/>
        </w:rPr>
        <w:t>(i.e. accuracy of the GPS)</w:t>
      </w:r>
      <w:r w:rsidRPr="00BC33E3">
        <w:rPr>
          <w:rFonts w:cs="Segoe UI"/>
          <w:lang w:eastAsia="en-AU"/>
        </w:rPr>
        <w:t>. Final shapefiles are then overlayed with aerial photographs and base maps (AusLig</w:t>
      </w:r>
      <w:r w:rsidRPr="00BC33E3">
        <w:rPr>
          <w:rFonts w:cs="Segoe UI"/>
          <w:vertAlign w:val="superscript"/>
          <w:lang w:eastAsia="en-AU"/>
        </w:rPr>
        <w:t>™</w:t>
      </w:r>
      <w:r w:rsidRPr="00BC33E3">
        <w:rPr>
          <w:rFonts w:cs="Segoe UI"/>
          <w:lang w:eastAsia="en-AU"/>
        </w:rPr>
        <w:t xml:space="preserve">) to assist with illustration/presentation. </w:t>
      </w:r>
    </w:p>
    <w:p w14:paraId="4FCB6449" w14:textId="6C3BF22F" w:rsidR="00460ACB" w:rsidRPr="00BC33E3" w:rsidRDefault="00460ACB" w:rsidP="00460ACB">
      <w:pPr>
        <w:rPr>
          <w:rFonts w:cs="Segoe UI"/>
          <w:lang w:eastAsia="en-AU"/>
        </w:rPr>
      </w:pPr>
      <w:r w:rsidRPr="00BC33E3">
        <w:rPr>
          <w:rFonts w:cs="Segoe UI"/>
          <w:lang w:eastAsia="en-AU"/>
        </w:rPr>
        <w:t xml:space="preserve">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w:t>
      </w:r>
      <w:r>
        <w:rPr>
          <w:rFonts w:cs="Segoe UI"/>
          <w:lang w:eastAsia="en-AU"/>
        </w:rPr>
        <w:fldChar w:fldCharType="begin">
          <w:fldData xml:space="preserve">PEVuZE5vdGU+PENpdGU+PEF1dGhvcj5MZWUgTG9uZzwvQXV0aG9yPjxZZWFyPjE5OTc8L1llYXI+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</w:fldData>
        </w:fldChar>
      </w:r>
      <w:r w:rsidR="00521D93">
        <w:rPr>
          <w:rFonts w:cs="Segoe UI"/>
          <w:lang w:eastAsia="en-AU"/>
        </w:rPr>
        <w:instrText xml:space="preserve"> ADDIN EN.CITE </w:instrText>
      </w:r>
      <w:r w:rsidR="00521D93">
        <w:rPr>
          <w:rFonts w:cs="Segoe UI"/>
          <w:lang w:eastAsia="en-AU"/>
        </w:rPr>
        <w:fldChar w:fldCharType="begin">
          <w:fldData xml:space="preserve">PEVuZE5vdGU+PENpdGU+PEF1dGhvcj5MZWUgTG9uZzwvQXV0aG9yPjxZZWFyPjE5OTc8L1llYXI+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</w:fldData>
        </w:fldChar>
      </w:r>
      <w:r w:rsidR="00521D93">
        <w:rPr>
          <w:rFonts w:cs="Segoe UI"/>
          <w:lang w:eastAsia="en-AU"/>
        </w:rPr>
        <w:instrText xml:space="preserve"> ADDIN EN.CITE.DATA </w:instrText>
      </w:r>
      <w:r w:rsidR="00521D93">
        <w:rPr>
          <w:rFonts w:cs="Segoe UI"/>
          <w:lang w:eastAsia="en-AU"/>
        </w:rPr>
      </w:r>
      <w:r w:rsidR="00521D93">
        <w:rPr>
          <w:rFonts w:cs="Segoe UI"/>
          <w:lang w:eastAsia="en-AU"/>
        </w:rPr>
        <w:fldChar w:fldCharType="end"/>
      </w:r>
      <w:r>
        <w:rPr>
          <w:rFonts w:cs="Segoe UI"/>
          <w:lang w:eastAsia="en-AU"/>
        </w:rPr>
      </w:r>
      <w:r>
        <w:rPr>
          <w:rFonts w:cs="Segoe UI"/>
          <w:lang w:eastAsia="en-AU"/>
        </w:rPr>
        <w:fldChar w:fldCharType="separate"/>
      </w:r>
      <w:hyperlink w:anchor="_ENREF_161" w:tooltip="McKenzie, 1996 #946" w:history="1">
        <w:r w:rsidR="00305FE7">
          <w:rPr>
            <w:rFonts w:cs="Segoe UI"/>
            <w:noProof/>
            <w:lang w:eastAsia="en-AU"/>
          </w:rPr>
          <w:t>McKenzie</w:t>
        </w:r>
        <w:r w:rsidR="00305FE7" w:rsidRPr="00521D93">
          <w:rPr>
            <w:rFonts w:cs="Segoe UI"/>
            <w:i/>
            <w:noProof/>
            <w:lang w:eastAsia="en-AU"/>
          </w:rPr>
          <w:t xml:space="preserve"> et al.</w:t>
        </w:r>
        <w:r w:rsidR="00305FE7">
          <w:rPr>
            <w:rFonts w:cs="Segoe UI"/>
            <w:noProof/>
            <w:lang w:eastAsia="en-AU"/>
          </w:rPr>
          <w:t xml:space="preserve"> 1996</w:t>
        </w:r>
      </w:hyperlink>
      <w:r w:rsidR="00521D93">
        <w:rPr>
          <w:rFonts w:cs="Segoe UI"/>
          <w:noProof/>
          <w:lang w:eastAsia="en-AU"/>
        </w:rPr>
        <w:t xml:space="preserve">; </w:t>
      </w:r>
      <w:hyperlink w:anchor="_ENREF_134" w:tooltip="Lee Long, 1997 #5808" w:history="1">
        <w:r w:rsidR="00305FE7">
          <w:rPr>
            <w:rFonts w:cs="Segoe UI"/>
            <w:noProof/>
            <w:lang w:eastAsia="en-AU"/>
          </w:rPr>
          <w:t>Lee Long</w:t>
        </w:r>
        <w:r w:rsidR="00305FE7" w:rsidRPr="00521D93">
          <w:rPr>
            <w:rFonts w:cs="Segoe UI"/>
            <w:i/>
            <w:noProof/>
            <w:lang w:eastAsia="en-AU"/>
          </w:rPr>
          <w:t xml:space="preserve"> et al.</w:t>
        </w:r>
        <w:r w:rsidR="00305FE7">
          <w:rPr>
            <w:rFonts w:cs="Segoe UI"/>
            <w:noProof/>
            <w:lang w:eastAsia="en-AU"/>
          </w:rPr>
          <w:t xml:space="preserve"> 1997</w:t>
        </w:r>
      </w:hyperlink>
      <w:r w:rsidR="00521D93">
        <w:rPr>
          <w:rFonts w:cs="Segoe UI"/>
          <w:noProof/>
          <w:lang w:eastAsia="en-AU"/>
        </w:rPr>
        <w:t xml:space="preserve">; </w:t>
      </w:r>
      <w:hyperlink w:anchor="_ENREF_159" w:tooltip="McKenzie, 1998 #6844" w:history="1">
        <w:r w:rsidR="00305FE7">
          <w:rPr>
            <w:rFonts w:cs="Segoe UI"/>
            <w:noProof/>
            <w:lang w:eastAsia="en-AU"/>
          </w:rPr>
          <w:t>McKenzie</w:t>
        </w:r>
        <w:r w:rsidR="00305FE7" w:rsidRPr="00521D93">
          <w:rPr>
            <w:rFonts w:cs="Segoe UI"/>
            <w:i/>
            <w:noProof/>
            <w:lang w:eastAsia="en-AU"/>
          </w:rPr>
          <w:t xml:space="preserve"> et al.</w:t>
        </w:r>
        <w:r w:rsidR="00305FE7">
          <w:rPr>
            <w:rFonts w:cs="Segoe UI"/>
            <w:noProof/>
            <w:lang w:eastAsia="en-AU"/>
          </w:rPr>
          <w:t xml:space="preserve"> 1998</w:t>
        </w:r>
      </w:hyperlink>
      <w:r>
        <w:rPr>
          <w:rFonts w:cs="Segoe UI"/>
          <w:lang w:eastAsia="en-AU"/>
        </w:rPr>
        <w:fldChar w:fldCharType="end"/>
      </w:r>
      <w:r w:rsidRPr="00BC33E3">
        <w:rPr>
          <w:rFonts w:cs="Segoe UI"/>
          <w:lang w:eastAsia="en-AU"/>
        </w:rPr>
        <w:t>).</w:t>
      </w:r>
    </w:p>
    <w:p w14:paraId="48D33669" w14:textId="77777777" w:rsidR="005F7F6E" w:rsidRDefault="00460ACB" w:rsidP="00EB7436">
      <w:pPr>
        <w:rPr>
          <w:rFonts w:cs="Segoe UI"/>
          <w:bCs/>
        </w:rPr>
      </w:pPr>
      <w:r w:rsidRPr="00BC33E3">
        <w:rPr>
          <w:rFonts w:cs="Segoe UI"/>
          <w:lang w:eastAsia="en-AU"/>
        </w:rPr>
        <w:t xml:space="preserve">Mapping at subtidal sites has been altered to suit the low visibility conditions and the requirement to map by SCUBA. From the central picket (deployment location of light and turbidity loggers) straight lines </w:t>
      </w:r>
      <w:r>
        <w:rPr>
          <w:rFonts w:cs="Segoe UI"/>
          <w:lang w:eastAsia="en-AU"/>
        </w:rPr>
        <w:t xml:space="preserve">of 50m length </w:t>
      </w:r>
      <w:r w:rsidRPr="00BC33E3">
        <w:rPr>
          <w:rFonts w:cs="Segoe UI"/>
          <w:lang w:eastAsia="en-AU"/>
        </w:rPr>
        <w:t xml:space="preserve">are </w:t>
      </w:r>
      <w:r>
        <w:rPr>
          <w:rFonts w:cs="Segoe UI"/>
          <w:lang w:eastAsia="en-AU"/>
        </w:rPr>
        <w:t>swum</w:t>
      </w:r>
      <w:r w:rsidRPr="00BC33E3">
        <w:rPr>
          <w:rFonts w:cs="Segoe UI"/>
          <w:lang w:eastAsia="en-AU"/>
        </w:rPr>
        <w:t xml:space="preserve"> at an angle of 45 degrees </w:t>
      </w:r>
      <w:r>
        <w:rPr>
          <w:rFonts w:cs="Segoe UI"/>
          <w:lang w:eastAsia="en-AU"/>
        </w:rPr>
        <w:t xml:space="preserve">from each other. The locations where the edges of the seagrass meadows/patches intercept the line are recorded. </w:t>
      </w:r>
      <w:r w:rsidRPr="00BC33E3">
        <w:rPr>
          <w:rFonts w:cs="Segoe UI"/>
          <w:lang w:eastAsia="en-AU"/>
        </w:rPr>
        <w:t>A GPS is attached to a flotation device at the surface of the water and fastened to the SCUBA diver to record travelling distance and transect orientation. Eight lines at 45 degrees are performed, with the first following the orientation of the monitoring transects; the others are undertaken at 45 degree angles from the first.</w:t>
      </w:r>
    </w:p>
    <w:p w14:paraId="69DB3794" w14:textId="040E4F43" w:rsidR="004A36C2" w:rsidRPr="00460ACB" w:rsidRDefault="004A36C2" w:rsidP="00460ACB">
      <w:pPr>
        <w:pStyle w:val="Heading3"/>
        <w:rPr>
          <w:rFonts w:asciiTheme="minorHAnsi" w:hAnsiTheme="minorHAnsi"/>
          <w:sz w:val="24"/>
          <w:szCs w:val="24"/>
        </w:rPr>
      </w:pPr>
      <w:bookmarkStart w:id="976" w:name="_Toc335144666"/>
      <w:bookmarkStart w:id="977" w:name="_Ref387589130"/>
      <w:bookmarkStart w:id="978" w:name="_Toc387600768"/>
      <w:bookmarkStart w:id="979" w:name="_Toc461884925"/>
      <w:bookmarkStart w:id="980" w:name="_Toc462047391"/>
      <w:bookmarkStart w:id="981" w:name="_Toc516053190"/>
      <w:r w:rsidRPr="00460ACB">
        <w:rPr>
          <w:rFonts w:asciiTheme="minorHAnsi" w:hAnsiTheme="minorHAnsi"/>
          <w:sz w:val="24"/>
          <w:szCs w:val="24"/>
        </w:rPr>
        <w:t>Observer training</w:t>
      </w:r>
      <w:bookmarkEnd w:id="976"/>
      <w:bookmarkEnd w:id="977"/>
      <w:bookmarkEnd w:id="978"/>
      <w:bookmarkEnd w:id="979"/>
      <w:bookmarkEnd w:id="980"/>
      <w:bookmarkEnd w:id="981"/>
    </w:p>
    <w:p w14:paraId="19F01604" w14:textId="77777777" w:rsidR="004A36C2" w:rsidRPr="00BC33E3" w:rsidRDefault="004A36C2" w:rsidP="004A36C2">
      <w:pPr>
        <w:rPr>
          <w:rFonts w:cs="Segoe UI"/>
        </w:rPr>
      </w:pPr>
      <w:r w:rsidRPr="00BC33E3">
        <w:rPr>
          <w:rFonts w:cs="Segoe UI"/>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14:paraId="2A89447D" w14:textId="7938D674" w:rsidR="004A36C2" w:rsidRPr="00BC33E3" w:rsidRDefault="004A36C2" w:rsidP="004A36C2">
      <w:pPr>
        <w:rPr>
          <w:rFonts w:cs="Segoe UI"/>
        </w:rPr>
      </w:pPr>
      <w:r w:rsidRPr="00BC33E3">
        <w:rPr>
          <w:rFonts w:cs="Segoe UI"/>
        </w:rPr>
        <w:t>All observers have successfully completed at Level 1 Seagrass-Watch training course (seagrasswatch.org/training.html) and have demonstrated competency across 7 core units: achieved 80</w:t>
      </w:r>
      <w:r w:rsidR="0063478C">
        <w:rPr>
          <w:rFonts w:cs="Segoe UI"/>
        </w:rPr>
        <w:t xml:space="preserve"> per cent</w:t>
      </w:r>
      <w:r w:rsidRPr="00BC33E3">
        <w:rPr>
          <w:rFonts w:cs="Segoe UI"/>
        </w:rPr>
        <w:t xml:space="preserve">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14:paraId="6F152941" w14:textId="77777777" w:rsidR="004A36C2" w:rsidRPr="00BC33E3" w:rsidRDefault="004A36C2" w:rsidP="004A36C2">
      <w:pPr>
        <w:rPr>
          <w:rFonts w:cs="Segoe UI"/>
        </w:rPr>
      </w:pPr>
      <w:r w:rsidRPr="00BC33E3">
        <w:rPr>
          <w:rFonts w:cs="Segoe UI"/>
        </w:rPr>
        <w:t>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w:t>
      </w:r>
      <w:r w:rsidR="004537A8">
        <w:rPr>
          <w:rFonts w:cs="Segoe UI"/>
        </w:rPr>
        <w:t>every</w:t>
      </w:r>
      <w:r w:rsidRPr="00BC33E3">
        <w:rPr>
          <w:rFonts w:cs="Segoe UI"/>
        </w:rPr>
        <w:t xml:space="preserve"> quadrat</w:t>
      </w:r>
      <w:r w:rsidR="004537A8">
        <w:rPr>
          <w:rFonts w:cs="Segoe UI"/>
        </w:rPr>
        <w:t xml:space="preserve"> is </w:t>
      </w:r>
      <w:r w:rsidRPr="00BC33E3">
        <w:rPr>
          <w:rFonts w:cs="Segoe UI"/>
        </w:rPr>
        <w:t xml:space="preserve">photographed) for later identification and </w:t>
      </w:r>
      <w:r w:rsidR="004537A8">
        <w:rPr>
          <w:rFonts w:cs="Segoe UI"/>
        </w:rPr>
        <w:t>validation</w:t>
      </w:r>
      <w:r w:rsidRPr="00BC33E3">
        <w:rPr>
          <w:rFonts w:cs="Segoe UI"/>
        </w:rPr>
        <w:t>. Evidence of competency is securely filed on a secure server in Cairns at James Cook University</w:t>
      </w:r>
      <w:r w:rsidR="00036CBF">
        <w:rPr>
          <w:rFonts w:cs="Segoe UI"/>
        </w:rPr>
        <w:t>.</w:t>
      </w:r>
    </w:p>
    <w:p w14:paraId="3BECB0E3" w14:textId="48B9F422" w:rsidR="008D6EF3" w:rsidRPr="00460ACB" w:rsidRDefault="008D6EF3" w:rsidP="00460ACB">
      <w:pPr>
        <w:pStyle w:val="Heading3"/>
        <w:rPr>
          <w:rFonts w:asciiTheme="minorHAnsi" w:hAnsiTheme="minorHAnsi"/>
          <w:sz w:val="24"/>
          <w:szCs w:val="24"/>
        </w:rPr>
      </w:pPr>
      <w:bookmarkStart w:id="982" w:name="_Toc461884926"/>
      <w:bookmarkStart w:id="983" w:name="_Toc462047392"/>
      <w:bookmarkStart w:id="984" w:name="_Toc516053191"/>
      <w:r w:rsidRPr="00460ACB">
        <w:rPr>
          <w:rFonts w:asciiTheme="minorHAnsi" w:hAnsiTheme="minorHAnsi"/>
          <w:sz w:val="24"/>
          <w:szCs w:val="24"/>
        </w:rPr>
        <w:t>Laboratory analysis</w:t>
      </w:r>
      <w:bookmarkEnd w:id="982"/>
      <w:bookmarkEnd w:id="983"/>
      <w:bookmarkEnd w:id="984"/>
    </w:p>
    <w:p w14:paraId="024AC325" w14:textId="77777777" w:rsidR="004A36C2" w:rsidRPr="00460ACB" w:rsidRDefault="004A36C2" w:rsidP="00460ACB">
      <w:pPr>
        <w:pStyle w:val="Heading4"/>
        <w:numPr>
          <w:ilvl w:val="0"/>
          <w:numId w:val="0"/>
        </w:numPr>
        <w:rPr>
          <w:rFonts w:asciiTheme="majorHAnsi" w:hAnsiTheme="majorHAnsi"/>
          <w:sz w:val="24"/>
          <w:szCs w:val="24"/>
        </w:rPr>
      </w:pPr>
      <w:bookmarkStart w:id="985" w:name="_Toc387600769"/>
      <w:r w:rsidRPr="00460ACB">
        <w:rPr>
          <w:rFonts w:asciiTheme="majorHAnsi" w:hAnsiTheme="majorHAnsi"/>
          <w:sz w:val="24"/>
          <w:szCs w:val="24"/>
        </w:rPr>
        <w:t>Inshore seagrass meadow abundance, community structure and reproductive health</w:t>
      </w:r>
      <w:bookmarkEnd w:id="985"/>
    </w:p>
    <w:p w14:paraId="092D0B48"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reproductive health</w:t>
      </w:r>
    </w:p>
    <w:p w14:paraId="20167C69" w14:textId="1CF02D39" w:rsidR="004A36C2" w:rsidRPr="00BC33E3" w:rsidRDefault="004A36C2" w:rsidP="004A36C2">
      <w:pPr>
        <w:autoSpaceDE w:val="0"/>
        <w:autoSpaceDN w:val="0"/>
        <w:adjustRightInd w:val="0"/>
        <w:rPr>
          <w:rFonts w:cs="Segoe UI"/>
        </w:rPr>
      </w:pPr>
      <w:r w:rsidRPr="00BC33E3">
        <w:rPr>
          <w:rFonts w:cs="Segoe UI"/>
        </w:rPr>
        <w:t xml:space="preserve">In the laboratory, reproductive structures (spathes, fruit, female flower or male flowers; </w:t>
      </w:r>
      <w:r w:rsidR="00144953">
        <w:rPr>
          <w:rFonts w:cs="Segoe UI"/>
        </w:rPr>
        <w:fldChar w:fldCharType="begin"/>
      </w:r>
      <w:r w:rsidR="00144953">
        <w:rPr>
          <w:rFonts w:cs="Segoe UI"/>
        </w:rPr>
        <w:instrText xml:space="preserve"> REF _Ref410146772 \h </w:instrText>
      </w:r>
      <w:r w:rsidR="00144953">
        <w:rPr>
          <w:rFonts w:cs="Segoe UI"/>
        </w:rPr>
      </w:r>
      <w:r w:rsidR="00144953">
        <w:rPr>
          <w:rFonts w:cs="Segoe UI"/>
        </w:rPr>
        <w:fldChar w:fldCharType="separate"/>
      </w:r>
      <w:r w:rsidR="00F87DF9">
        <w:t xml:space="preserve">Figure </w:t>
      </w:r>
      <w:r w:rsidR="00F87DF9">
        <w:rPr>
          <w:noProof/>
        </w:rPr>
        <w:t>138</w:t>
      </w:r>
      <w:r w:rsidR="00144953">
        <w:rPr>
          <w:rFonts w:cs="Segoe UI"/>
        </w:rPr>
        <w:fldChar w:fldCharType="end"/>
      </w:r>
      <w:r w:rsidRPr="00BC33E3">
        <w:rPr>
          <w:rFonts w:cs="Segoe UI"/>
        </w:rPr>
        <w:t xml:space="preserve">) of plants from each core are identified and counted for each sample and species. If </w:t>
      </w:r>
      <w:r w:rsidRPr="00BC33E3">
        <w:rPr>
          <w:rFonts w:cs="Segoe UI"/>
          <w:i/>
        </w:rPr>
        <w:t>Halodule uninervis</w:t>
      </w:r>
      <w:r w:rsidRPr="00BC33E3">
        <w:rPr>
          <w:rFonts w:cs="Segoe UI"/>
        </w:rPr>
        <w:t xml:space="preserve"> seeds (brown green colour) are still attached to the rhizome, they are counted as fruits. Seed estimates are not recorded for </w:t>
      </w:r>
      <w:r w:rsidRPr="00BC33E3">
        <w:rPr>
          <w:rFonts w:cs="Segoe UI"/>
          <w:i/>
        </w:rPr>
        <w:t>Halophila ovalis</w:t>
      </w:r>
      <w:r w:rsidRPr="00BC33E3">
        <w:rPr>
          <w:rFonts w:cs="Segoe UI"/>
        </w:rPr>
        <w:t xml:space="preserve"> due to time constraints (if time is available post this first pass of the samples, fruits will be dissected and seeds counted). For </w:t>
      </w:r>
      <w:r w:rsidRPr="00BC33E3">
        <w:rPr>
          <w:rFonts w:cs="Segoe UI"/>
          <w:i/>
        </w:rPr>
        <w:t xml:space="preserve">Zostera muelleri </w:t>
      </w:r>
      <w:r w:rsidRPr="00BC33E3">
        <w:rPr>
          <w:rFonts w:cs="Segoe UI"/>
        </w:rPr>
        <w:t>subsp</w:t>
      </w:r>
      <w:r w:rsidRPr="00BC33E3">
        <w:rPr>
          <w:rFonts w:cs="Segoe UI"/>
          <w:i/>
        </w:rPr>
        <w:t>. capricorni</w:t>
      </w:r>
      <w:r w:rsidRPr="00BC33E3">
        <w:rPr>
          <w:rFonts w:cs="Segoe UI"/>
        </w:rPr>
        <w:t>, the number of spathes is recorded, male and female flowers and seeds counted during dissection, if there is time after the initial pass of the samples. Apical meristems are counted if possible, however</w:t>
      </w:r>
      <w:r w:rsidR="00B07FC2">
        <w:rPr>
          <w:rFonts w:cs="Segoe UI"/>
        </w:rPr>
        <w:t>,</w:t>
      </w:r>
      <w:r w:rsidRPr="00BC33E3">
        <w:rPr>
          <w:rFonts w:cs="Segoe UI"/>
        </w:rPr>
        <w:t xml:space="preserve">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w:t>
      </w:r>
      <w:r w:rsidR="0063478C">
        <w:rPr>
          <w:rFonts w:cs="Segoe UI"/>
        </w:rPr>
        <w:t xml:space="preserve"> per cent</w:t>
      </w:r>
      <w:r w:rsidRPr="00BC33E3">
        <w:rPr>
          <w:rFonts w:cs="Segoe UI"/>
        </w:rPr>
        <w:t xml:space="preserve"> of samples are cross-calibrated between technicians (preferable from another centre). All samples, including flowers and spathes and fruits/fruiting bodies are kept and re-frozen in the site bags for approximately 2 years for revalidation if required. Reproductive effort is calculated as the number of reproductive structures per core. </w:t>
      </w:r>
    </w:p>
    <w:p w14:paraId="19AF9BE8" w14:textId="77777777" w:rsidR="004A36C2" w:rsidRPr="00BC33E3" w:rsidRDefault="004A36C2" w:rsidP="004A36C2">
      <w:pPr>
        <w:autoSpaceDE w:val="0"/>
        <w:autoSpaceDN w:val="0"/>
        <w:adjustRightInd w:val="0"/>
        <w:rPr>
          <w:rFonts w:cs="Segoe UI"/>
        </w:rPr>
      </w:pPr>
    </w:p>
    <w:p w14:paraId="00FCE0B9" w14:textId="77777777" w:rsidR="004A36C2" w:rsidRPr="00B14AD9" w:rsidRDefault="001F4593" w:rsidP="004A36C2">
      <w:pPr>
        <w:keepNext/>
        <w:rPr>
          <w:rFonts w:cs="Arial"/>
        </w:rPr>
      </w:pPr>
      <w:r w:rsidRPr="008E7A03">
        <w:rPr>
          <w:rFonts w:cs="Arial"/>
          <w:noProof/>
          <w:lang w:eastAsia="en-AU"/>
        </w:rPr>
        <w:drawing>
          <wp:inline distT="0" distB="0" distL="0" distR="0" wp14:anchorId="1FCB5ECC" wp14:editId="58007D58">
            <wp:extent cx="5711825" cy="2186305"/>
            <wp:effectExtent l="19050" t="19050" r="22225" b="23495"/>
            <wp:docPr id="129" name="Picture 2049" descr="Form and size of reproductive structure of the three seagrasses collected: Halophila ovalis, Halodule uninervis and Zostera muelleri ssp. capricor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5711825" cy="2186305"/>
                    </a:xfrm>
                    <a:prstGeom prst="rect">
                      <a:avLst/>
                    </a:prstGeom>
                    <a:noFill/>
                    <a:ln w="9525" cmpd="sng">
                      <a:solidFill>
                        <a:srgbClr val="7F7F7F"/>
                      </a:solidFill>
                      <a:miter lim="800000"/>
                      <a:headEnd/>
                      <a:tailEnd/>
                    </a:ln>
                    <a:effectLst/>
                  </pic:spPr>
                </pic:pic>
              </a:graphicData>
            </a:graphic>
          </wp:inline>
        </w:drawing>
      </w:r>
    </w:p>
    <w:p w14:paraId="0045D557" w14:textId="353CBC49" w:rsidR="004A36C2" w:rsidRPr="009A568D" w:rsidRDefault="009A568D" w:rsidP="009A568D">
      <w:bookmarkStart w:id="986" w:name="_Ref410146772"/>
      <w:bookmarkStart w:id="987" w:name="_Toc431493915"/>
      <w:bookmarkStart w:id="988" w:name="_Toc51605334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138</w:t>
      </w:r>
      <w:r w:rsidR="00C506C7">
        <w:rPr>
          <w:noProof/>
        </w:rPr>
        <w:fldChar w:fldCharType="end"/>
      </w:r>
      <w:bookmarkEnd w:id="986"/>
      <w:r>
        <w:t xml:space="preserve">. </w:t>
      </w:r>
      <w:r w:rsidRPr="009A568D">
        <w:t xml:space="preserve">Form and size of reproductive structure of the seagrasses collected: </w:t>
      </w:r>
      <w:r w:rsidRPr="009A568D">
        <w:rPr>
          <w:i/>
        </w:rPr>
        <w:t>Halophila ovalis</w:t>
      </w:r>
      <w:r w:rsidRPr="009A568D">
        <w:t xml:space="preserve">, </w:t>
      </w:r>
      <w:r w:rsidRPr="009A568D">
        <w:rPr>
          <w:i/>
        </w:rPr>
        <w:t>Halodule uninervis</w:t>
      </w:r>
      <w:r w:rsidRPr="009A568D">
        <w:t xml:space="preserve"> and </w:t>
      </w:r>
      <w:r w:rsidRPr="009A568D">
        <w:rPr>
          <w:i/>
        </w:rPr>
        <w:t>Zostera muelleri</w:t>
      </w:r>
      <w:r w:rsidRPr="009A568D">
        <w:t xml:space="preserve"> subsp. </w:t>
      </w:r>
      <w:r w:rsidRPr="009A568D">
        <w:rPr>
          <w:i/>
        </w:rPr>
        <w:t>capricorni</w:t>
      </w:r>
      <w:bookmarkEnd w:id="987"/>
      <w:bookmarkEnd w:id="988"/>
    </w:p>
    <w:p w14:paraId="12162850" w14:textId="77777777" w:rsidR="009A568D" w:rsidRPr="00B14AD9" w:rsidRDefault="009A568D" w:rsidP="004A36C2">
      <w:pPr>
        <w:rPr>
          <w:rFonts w:cs="Arial"/>
        </w:rPr>
      </w:pPr>
    </w:p>
    <w:p w14:paraId="77154725" w14:textId="5EB82E3C"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 xml:space="preserve">Seagrass </w:t>
      </w:r>
      <w:r w:rsidR="00B75522">
        <w:rPr>
          <w:rFonts w:asciiTheme="majorHAnsi" w:hAnsiTheme="majorHAnsi" w:cs="Segoe UI"/>
          <w:b/>
          <w:i/>
          <w:color w:val="365F91"/>
        </w:rPr>
        <w:t xml:space="preserve">leaf </w:t>
      </w:r>
      <w:r w:rsidRPr="00460ACB">
        <w:rPr>
          <w:rFonts w:asciiTheme="majorHAnsi" w:hAnsiTheme="majorHAnsi" w:cs="Segoe UI"/>
          <w:b/>
          <w:i/>
          <w:color w:val="365F91"/>
        </w:rPr>
        <w:t>tissue nutrients</w:t>
      </w:r>
    </w:p>
    <w:p w14:paraId="06574A79" w14:textId="283B085C" w:rsidR="004A36C2" w:rsidRPr="00BC33E3" w:rsidRDefault="004A36C2" w:rsidP="004A36C2">
      <w:pPr>
        <w:rPr>
          <w:rFonts w:cs="Segoe UI"/>
        </w:rPr>
      </w:pPr>
      <w:r w:rsidRPr="00BC33E3">
        <w:rPr>
          <w:rFonts w:cs="Segoe UI"/>
        </w:rPr>
        <w:t>Leaves are separated in the laboratory into seagrass species</w:t>
      </w:r>
      <w:r w:rsidR="00FB5297">
        <w:rPr>
          <w:rFonts w:cs="Segoe UI"/>
        </w:rPr>
        <w:t>. Only the younger leaves of a shoot area retained</w:t>
      </w:r>
      <w:r w:rsidRPr="00BC33E3">
        <w:rPr>
          <w:rFonts w:cs="Segoe UI"/>
        </w:rPr>
        <w:t xml:space="preserve"> and epiphytic algae removed by gently scraping the leaf surface. Samples are oven dried at 60°C to weight constancy. Dried biomass samples of leaves are then homogenised by milling to fine powders prior to nutrient analyses and stored in sealed vials. </w:t>
      </w:r>
    </w:p>
    <w:p w14:paraId="5DD0AEBD" w14:textId="77777777" w:rsidR="004A36C2" w:rsidRPr="00BC33E3" w:rsidRDefault="004A36C2" w:rsidP="004A36C2">
      <w:pPr>
        <w:rPr>
          <w:rFonts w:cs="Segoe UI"/>
        </w:rPr>
      </w:pPr>
      <w:r w:rsidRPr="00BC33E3">
        <w:rPr>
          <w:rFonts w:cs="Segoe UI"/>
        </w:rPr>
        <w:t xml:space="preserve">The ground tissue samples are sent to Chemcentre (Western Australia) for analysis. The Chemcentre holds NATA accreditation for constituents of the environment including soil, sediments, waters and wastewaters. (Note that details of Chemcentre accreditation can be found at the NATA website: </w:t>
      </w:r>
      <w:hyperlink r:id="rId220" w:history="1">
        <w:r w:rsidR="00B229A4" w:rsidRPr="005E1875">
          <w:rPr>
            <w:rStyle w:val="Hyperlink"/>
            <w:rFonts w:cs="Segoe UI"/>
          </w:rPr>
          <w:t>www.nata.asn.au</w:t>
        </w:r>
      </w:hyperlink>
      <w:r w:rsidRPr="00BC33E3">
        <w:rPr>
          <w:rFonts w:cs="Segoe UI"/>
        </w:rPr>
        <w:t>). The NATA accreditation held by the ChemCentre includes a wide variety of QA/QC procedures covering the registration and identification of samples with unique codes and the regular calibration of all quantitative laboratory equipment required for the analysis. The ChemCentre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14:paraId="29CC7E00" w14:textId="62954C0C" w:rsidR="004A36C2" w:rsidRPr="00BC33E3" w:rsidRDefault="004A36C2" w:rsidP="004A36C2">
      <w:pPr>
        <w:rPr>
          <w:rFonts w:cs="Segoe UI"/>
        </w:rPr>
      </w:pPr>
      <w:r w:rsidRPr="00BC33E3">
        <w:rPr>
          <w:rFonts w:cs="Segoe UI"/>
        </w:rPr>
        <w:t>Nitrogen and phosphorus are extracted using a standardized selenium Kjeldahl digest and the concentrations determined with an automatic analyser using standard techniques at Chemcentre in Western Australia (a NATA certified laboratory). Percent C was determined using atomic absorption, also at Chemcentre. Elemental ratios (C:N:P) are then calculated on a mole:mole b</w:t>
      </w:r>
      <w:r w:rsidR="008D142C">
        <w:rPr>
          <w:rFonts w:cs="Segoe UI"/>
        </w:rPr>
        <w:t>asis using atomic weights (i.e.</w:t>
      </w:r>
      <w:r w:rsidRPr="00BC33E3">
        <w:rPr>
          <w:rFonts w:cs="Segoe UI"/>
        </w:rPr>
        <w:t xml:space="preserve"> C=12, N=14, P=31). Analysis of all seagrass tissue nutrient data is based upon the calculation of the atomic ratios of C:N:P.</w:t>
      </w:r>
    </w:p>
    <w:p w14:paraId="250A8AB6" w14:textId="77777777" w:rsidR="004A36C2" w:rsidRPr="00BC33E3" w:rsidRDefault="004A36C2" w:rsidP="004A36C2">
      <w:pPr>
        <w:rPr>
          <w:rFonts w:cs="Segoe UI"/>
        </w:rPr>
      </w:pPr>
      <w:r w:rsidRPr="00BC33E3">
        <w:rPr>
          <w:rFonts w:cs="Segoe UI"/>
        </w:rPr>
        <w:t>To determine percent carbon, dried and milled seagrass leaf tissue material is combusted at 1400°C in a controlled atmosphere (e.g. Leco). This converts all carbon containing compounds to carbon dioxide.  Water and oxygen is then removed from the system and the gaseous product is determined spectrophotometrically.</w:t>
      </w:r>
    </w:p>
    <w:p w14:paraId="20783140" w14:textId="77777777" w:rsidR="004A36C2" w:rsidRPr="00BC33E3" w:rsidRDefault="004A36C2" w:rsidP="004A36C2">
      <w:pPr>
        <w:rPr>
          <w:rFonts w:cs="Segoe UI"/>
          <w:szCs w:val="20"/>
        </w:rPr>
      </w:pPr>
      <w:r w:rsidRPr="00BC33E3">
        <w:rPr>
          <w:rFonts w:cs="Segoe UI"/>
        </w:rPr>
        <w:t>Total nitrogen and phosphorus content of dried and milled homogenous seagrass tissue material is determined by Chemcentre using a standardized selenium Kjeldahl digest. Samples are digested in a mixture of sulphuric acid, potassium sulphate and a copper sulphat</w:t>
      </w:r>
      <w:r w:rsidR="00B07FC2">
        <w:rPr>
          <w:rFonts w:cs="Segoe UI"/>
        </w:rPr>
        <w:t>e catalyst (cf. Kjeldahl).</w:t>
      </w:r>
      <w:r w:rsidRPr="00BC33E3">
        <w:rPr>
          <w:rFonts w:cs="Segoe UI"/>
        </w:rPr>
        <w:t xml:space="preserve"> This converts all forms of nitrogen to the ammonium form and all forms of phospho</w:t>
      </w:r>
      <w:r w:rsidR="00B07FC2">
        <w:rPr>
          <w:rFonts w:cs="Segoe UI"/>
        </w:rPr>
        <w:t>rus to the orthophosphate form.</w:t>
      </w:r>
      <w:r w:rsidRPr="00BC33E3">
        <w:rPr>
          <w:rFonts w:cs="Segoe UI"/>
        </w:rPr>
        <w:t xml:space="preserve"> The digest is diluted and any potentially interfering metals present are complexed with citrate and tartrate.</w:t>
      </w:r>
      <w:r w:rsidR="00B07FC2">
        <w:rPr>
          <w:rFonts w:cs="Segoe UI"/>
        </w:rPr>
        <w:t xml:space="preserve"> </w:t>
      </w:r>
      <w:r w:rsidRPr="00BC33E3">
        <w:rPr>
          <w:rFonts w:cs="Segoe UI"/>
        </w:rPr>
        <w:t>For the nitrogen determination an aliquot is taken and the ammonium ions are determined colorimetrically following reduction with hydrazine to the nitrate ion, followed by diazotisation of 1-naphthylenediamine and subsequent coupling with sulphanilamide. For total phosphorus an aliquot of the digest solution is diluted and the P determined as the phosphomolybdenum blue complex (modified Murphy and Riley</w:t>
      </w:r>
      <w:r w:rsidRPr="00BC33E3">
        <w:rPr>
          <w:rFonts w:cs="Segoe UI"/>
        </w:rPr>
        <w:fldChar w:fldCharType="begin"/>
      </w:r>
      <w:r w:rsidRPr="00BC33E3">
        <w:rPr>
          <w:rFonts w:cs="Segoe UI"/>
        </w:rPr>
        <w:instrText>ADDIN RW.CITE{{19446 Murphy, J. 1962}}</w:instrText>
      </w:r>
      <w:r w:rsidRPr="00BC33E3">
        <w:rPr>
          <w:rFonts w:cs="Segoe UI"/>
        </w:rPr>
        <w:fldChar w:fldCharType="separate"/>
      </w:r>
      <w:r w:rsidRPr="00BC33E3">
        <w:rPr>
          <w:rFonts w:cs="Segoe UI"/>
          <w:vertAlign w:val="superscript"/>
        </w:rPr>
        <w:t>117</w:t>
      </w:r>
      <w:r w:rsidRPr="00BC33E3">
        <w:rPr>
          <w:rFonts w:cs="Segoe UI"/>
        </w:rPr>
        <w:fldChar w:fldCharType="end"/>
      </w:r>
      <w:r w:rsidRPr="00BC33E3">
        <w:rPr>
          <w:rFonts w:cs="Segoe UI"/>
        </w:rPr>
        <w:t xml:space="preserve"> procedure).</w:t>
      </w:r>
    </w:p>
    <w:p w14:paraId="3E062284"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leaf isotopes</w:t>
      </w:r>
    </w:p>
    <w:p w14:paraId="0C66F99F" w14:textId="58BF1D69" w:rsidR="004A36C2" w:rsidRPr="00BC33E3" w:rsidRDefault="004A36C2" w:rsidP="004A36C2">
      <w:pPr>
        <w:rPr>
          <w:rFonts w:cs="Segoe UI"/>
        </w:rPr>
      </w:pPr>
      <w:r w:rsidRPr="00BC33E3">
        <w:rPr>
          <w:rFonts w:cs="Segoe UI"/>
        </w:rPr>
        <w:t>A subset of each ground tissue sample was sent to Natural Isotopes (Western Australia) for δ</w:t>
      </w:r>
      <w:r w:rsidRPr="00BC33E3">
        <w:rPr>
          <w:rFonts w:cs="Segoe UI"/>
          <w:vertAlign w:val="superscript"/>
        </w:rPr>
        <w:t>15</w:t>
      </w:r>
      <w:r w:rsidRPr="00BC33E3">
        <w:rPr>
          <w:rFonts w:cs="Segoe UI"/>
        </w:rPr>
        <w:t>N and δ</w:t>
      </w:r>
      <w:r w:rsidRPr="00BC33E3">
        <w:rPr>
          <w:rFonts w:cs="Segoe UI"/>
          <w:vertAlign w:val="superscript"/>
        </w:rPr>
        <w:t>13</w:t>
      </w:r>
      <w:r w:rsidRPr="00BC33E3">
        <w:rPr>
          <w:rFonts w:cs="Segoe UI"/>
        </w:rPr>
        <w:t>C analysis. The samples were weighed into tin capsules and combusted by elemental analyser (ANCA-SL, SerCon Limited, Crewe, United Kingdom) to N</w:t>
      </w:r>
      <w:r w:rsidRPr="00BC33E3">
        <w:rPr>
          <w:rFonts w:cs="Segoe UI"/>
          <w:vertAlign w:val="subscript"/>
        </w:rPr>
        <w:t>2</w:t>
      </w:r>
      <w:r w:rsidRPr="00BC33E3">
        <w:rPr>
          <w:rFonts w:cs="Segoe UI"/>
        </w:rPr>
        <w:t xml:space="preserve"> and CO</w:t>
      </w:r>
      <w:r w:rsidRPr="00BC33E3">
        <w:rPr>
          <w:rFonts w:cs="Segoe UI"/>
          <w:vertAlign w:val="subscript"/>
        </w:rPr>
        <w:t>2</w:t>
      </w:r>
      <w:r w:rsidRPr="00BC33E3">
        <w:rPr>
          <w:rFonts w:cs="Segoe UI"/>
        </w:rPr>
        <w:t>.  The N</w:t>
      </w:r>
      <w:r w:rsidRPr="00BC33E3">
        <w:rPr>
          <w:rFonts w:cs="Segoe UI"/>
          <w:vertAlign w:val="subscript"/>
        </w:rPr>
        <w:t>2</w:t>
      </w:r>
      <w:r w:rsidRPr="00BC33E3">
        <w:rPr>
          <w:rFonts w:cs="Segoe UI"/>
        </w:rPr>
        <w:t xml:space="preserve"> and CO</w:t>
      </w:r>
      <w:r w:rsidRPr="00BC33E3">
        <w:rPr>
          <w:rFonts w:cs="Segoe UI"/>
          <w:vertAlign w:val="subscript"/>
        </w:rPr>
        <w:t>2</w:t>
      </w:r>
      <w:r w:rsidRPr="00BC33E3">
        <w:rPr>
          <w:rFonts w:cs="Segoe UI"/>
        </w:rPr>
        <w:t xml:space="preserve"> was purified by gas chromatography and the nitrogen and carbon elemental composition and isotope ratios were determined by continuous flow isotope ratio mass spectrometry (20-22 IRMS, SerCon Limited, Crewe, United Kingdom).  Reference materials of know</w:t>
      </w:r>
      <w:r w:rsidR="00B75522">
        <w:rPr>
          <w:rFonts w:cs="Segoe UI"/>
        </w:rPr>
        <w:t>n</w:t>
      </w:r>
      <w:r w:rsidRPr="00BC33E3">
        <w:rPr>
          <w:rFonts w:cs="Segoe UI"/>
        </w:rPr>
        <w:t xml:space="preserve"> elemental composition and isotopic ratios were interspaced with the samples for calibration.</w:t>
      </w:r>
    </w:p>
    <w:p w14:paraId="6583102B" w14:textId="77777777" w:rsidR="004A36C2" w:rsidRPr="00BC33E3" w:rsidRDefault="004A36C2" w:rsidP="004A36C2">
      <w:pPr>
        <w:rPr>
          <w:rFonts w:cs="Segoe UI"/>
        </w:rPr>
      </w:pPr>
      <w:r w:rsidRPr="00BC33E3">
        <w:rPr>
          <w:rFonts w:cs="Segoe UI"/>
        </w:rPr>
        <w:t>Raw nitrogen and carbon elemental composition and isotope ratio data were corrected for instrument drift and blank contribution using Callisto software SerCon Limited, Crewe, United Kingdom).  A standard analysed at variable weights corrects for instrument linearity, IAEA-N-2 and IAEA-N-1 used to normalise the nitrogen isotope ratio, IAEA-CH-6 and IAEA-CH-7 to normalise the carbon isotope ratio, such that IAEA-N-2 (δ</w:t>
      </w:r>
      <w:r w:rsidRPr="00BC33E3">
        <w:rPr>
          <w:rFonts w:cs="Segoe UI"/>
          <w:vertAlign w:val="superscript"/>
        </w:rPr>
        <w:t>15</w:t>
      </w:r>
      <w:r w:rsidRPr="00BC33E3">
        <w:rPr>
          <w:rFonts w:cs="Segoe UI"/>
        </w:rPr>
        <w:t>N = 20.32‰), IAEA-N-1 (δ</w:t>
      </w:r>
      <w:r w:rsidRPr="00BC33E3">
        <w:rPr>
          <w:rFonts w:cs="Segoe UI"/>
          <w:vertAlign w:val="superscript"/>
        </w:rPr>
        <w:t>15</w:t>
      </w:r>
      <w:r w:rsidRPr="00BC33E3">
        <w:rPr>
          <w:rFonts w:cs="Segoe UI"/>
        </w:rPr>
        <w:t>N = 0.43‰), IAEA-CH-6 (δ</w:t>
      </w:r>
      <w:r w:rsidRPr="00BC33E3">
        <w:rPr>
          <w:rFonts w:cs="Segoe UI"/>
          <w:vertAlign w:val="superscript"/>
        </w:rPr>
        <w:t>13</w:t>
      </w:r>
      <w:r w:rsidRPr="00BC33E3">
        <w:rPr>
          <w:rFonts w:cs="Segoe UI"/>
        </w:rPr>
        <w:t>C = -10.45‰) and IAEA-CH-7 δ</w:t>
      </w:r>
      <w:r w:rsidRPr="00BC33E3">
        <w:rPr>
          <w:rFonts w:cs="Segoe UI"/>
          <w:vertAlign w:val="superscript"/>
        </w:rPr>
        <w:t>13</w:t>
      </w:r>
      <w:r w:rsidRPr="00BC33E3">
        <w:rPr>
          <w:rFonts w:cs="Segoe UI"/>
        </w:rPr>
        <w:t>C = -32.15‰).</w:t>
      </w:r>
    </w:p>
    <w:p w14:paraId="70101F6E" w14:textId="77777777" w:rsidR="004A36C2" w:rsidRDefault="004A36C2" w:rsidP="004A36C2">
      <w:pPr>
        <w:rPr>
          <w:rFonts w:cs="Segoe UI"/>
        </w:rPr>
      </w:pPr>
      <w:r w:rsidRPr="00BC33E3">
        <w:rPr>
          <w:rFonts w:cs="Segoe UI"/>
        </w:rPr>
        <w:t>Nitrogen isotope ratios were reported in parts per thousand (per mil) relative to N</w:t>
      </w:r>
      <w:r w:rsidRPr="00BC33E3">
        <w:rPr>
          <w:rFonts w:cs="Segoe UI"/>
          <w:vertAlign w:val="subscript"/>
        </w:rPr>
        <w:t>2</w:t>
      </w:r>
      <w:r w:rsidRPr="00BC33E3">
        <w:rPr>
          <w:rFonts w:cs="Segoe UI"/>
        </w:rPr>
        <w:t xml:space="preserve"> in air.  The nitrogen bearing internationally distributed isotope reference material N</w:t>
      </w:r>
      <w:r w:rsidRPr="00BC33E3">
        <w:rPr>
          <w:rFonts w:cs="Segoe UI"/>
          <w:vertAlign w:val="subscript"/>
        </w:rPr>
        <w:t>2</w:t>
      </w:r>
      <w:r w:rsidRPr="00BC33E3">
        <w:rPr>
          <w:rFonts w:cs="Segoe UI"/>
        </w:rPr>
        <w:t xml:space="preserve"> in air had a given value of 0‰ (exactly).  Carbon isotope ratios were reported in parts per thousand (per millilitre) relative to V-PDB.  The carbon bearing internationally distributed isotope reference materials NBS19 and L-SVEC, had a given value of +1.95‰ (exactly) and -46.6‰ (exactly). Compositional values were reported as percent nitrogen and percent carbon present in the sample analysed.</w:t>
      </w:r>
    </w:p>
    <w:p w14:paraId="3592A8B0" w14:textId="77777777" w:rsidR="008D6EF3" w:rsidRPr="00BC33E3" w:rsidRDefault="008D6EF3" w:rsidP="004A36C2">
      <w:pPr>
        <w:rPr>
          <w:rFonts w:cs="Segoe UI"/>
        </w:rPr>
      </w:pPr>
    </w:p>
    <w:p w14:paraId="565E26CD" w14:textId="77777777" w:rsidR="008D6EF3" w:rsidRPr="00BC33E3" w:rsidRDefault="008D6EF3" w:rsidP="004A36C2">
      <w:pPr>
        <w:autoSpaceDE w:val="0"/>
        <w:autoSpaceDN w:val="0"/>
        <w:adjustRightInd w:val="0"/>
        <w:rPr>
          <w:rFonts w:cs="Segoe UI"/>
        </w:rPr>
      </w:pPr>
    </w:p>
    <w:p w14:paraId="75036F85" w14:textId="77777777" w:rsidR="00842050" w:rsidRDefault="00842050" w:rsidP="004A36C2">
      <w:pPr>
        <w:spacing w:before="60" w:after="60"/>
        <w:rPr>
          <w:rFonts w:cs="Segoe UI"/>
        </w:rPr>
        <w:sectPr w:rsidR="00842050" w:rsidSect="00D10D59">
          <w:headerReference w:type="even" r:id="rId221"/>
          <w:headerReference w:type="default" r:id="rId222"/>
          <w:footerReference w:type="default" r:id="rId223"/>
          <w:headerReference w:type="first" r:id="rId224"/>
          <w:pgSz w:w="11906" w:h="16838"/>
          <w:pgMar w:top="1418" w:right="1418" w:bottom="1418" w:left="1418" w:header="709" w:footer="709" w:gutter="0"/>
          <w:cols w:space="708"/>
          <w:docGrid w:linePitch="360"/>
        </w:sectPr>
      </w:pPr>
    </w:p>
    <w:p w14:paraId="1FDA347C" w14:textId="77777777" w:rsidR="00F12624" w:rsidRDefault="00F12624" w:rsidP="00F12624"/>
    <w:p w14:paraId="111C3392" w14:textId="77777777" w:rsidR="00F12624" w:rsidRDefault="00F12624" w:rsidP="00F12624"/>
    <w:p w14:paraId="01F31633" w14:textId="77777777" w:rsidR="00F12624" w:rsidRDefault="00F12624" w:rsidP="00F12624"/>
    <w:p w14:paraId="65A751CE" w14:textId="77777777" w:rsidR="00F12624" w:rsidRDefault="00F12624" w:rsidP="00F12624"/>
    <w:p w14:paraId="5EFA3D47" w14:textId="77777777" w:rsidR="00F12624" w:rsidRDefault="00F12624" w:rsidP="00F12624"/>
    <w:p w14:paraId="410DBDC9" w14:textId="77777777" w:rsidR="00F12624" w:rsidRDefault="00F12624" w:rsidP="00F12624"/>
    <w:p w14:paraId="47369E90" w14:textId="77777777" w:rsidR="00F12624" w:rsidRDefault="00F12624" w:rsidP="00F12624"/>
    <w:p w14:paraId="156DCC49" w14:textId="77777777" w:rsidR="00F12624" w:rsidRDefault="00F12624" w:rsidP="00F12624"/>
    <w:p w14:paraId="3042DB6C" w14:textId="2D564A9A" w:rsidR="00842050" w:rsidRPr="00902825" w:rsidRDefault="00842050" w:rsidP="001A5B75">
      <w:pPr>
        <w:pStyle w:val="Heading1"/>
        <w:pageBreakBefore w:val="0"/>
        <w:numPr>
          <w:ilvl w:val="0"/>
          <w:numId w:val="17"/>
        </w:numPr>
      </w:pPr>
      <w:bookmarkStart w:id="989" w:name="_Ref511380752"/>
      <w:bookmarkStart w:id="990" w:name="_Toc516053192"/>
      <w:r>
        <w:t>Report card methods and calculations</w:t>
      </w:r>
      <w:bookmarkEnd w:id="989"/>
      <w:bookmarkEnd w:id="990"/>
    </w:p>
    <w:p w14:paraId="0FE87BFB" w14:textId="77777777" w:rsidR="00842050" w:rsidRDefault="00842050" w:rsidP="00842050"/>
    <w:p w14:paraId="64E8F312" w14:textId="77777777" w:rsidR="00842050" w:rsidRDefault="00842050" w:rsidP="00842050"/>
    <w:p w14:paraId="57C1DDCB" w14:textId="77777777" w:rsidR="00842050" w:rsidRDefault="00842050" w:rsidP="00842050"/>
    <w:p w14:paraId="43668FEF" w14:textId="77777777" w:rsidR="00842050" w:rsidRDefault="00842050" w:rsidP="00842050"/>
    <w:p w14:paraId="50AC9FD6" w14:textId="77777777" w:rsidR="00842050" w:rsidRDefault="00842050" w:rsidP="00842050"/>
    <w:p w14:paraId="097CB0AF" w14:textId="77777777" w:rsidR="000C731C" w:rsidRPr="00475FC4" w:rsidRDefault="00842050" w:rsidP="00842050">
      <w:pPr>
        <w:spacing w:before="60" w:after="60"/>
        <w:rPr>
          <w:rFonts w:cs="Segoe UI"/>
        </w:rPr>
      </w:pPr>
      <w:r>
        <w:rPr>
          <w:color w:val="000000"/>
          <w:szCs w:val="22"/>
        </w:rPr>
        <w:br w:type="page"/>
      </w:r>
    </w:p>
    <w:p w14:paraId="0F92D82F" w14:textId="37EF7173" w:rsidR="00FA17EB" w:rsidRPr="00F12624" w:rsidRDefault="00FA17EB" w:rsidP="00F12624">
      <w:pPr>
        <w:pStyle w:val="Heading2"/>
      </w:pPr>
      <w:bookmarkStart w:id="991" w:name="_Toc516053193"/>
      <w:r w:rsidRPr="00F12624">
        <w:t>Report card approach</w:t>
      </w:r>
      <w:bookmarkEnd w:id="991"/>
    </w:p>
    <w:p w14:paraId="0F7C35CE" w14:textId="77777777" w:rsidR="00842050" w:rsidRDefault="00842050" w:rsidP="00842050">
      <w:pPr>
        <w:rPr>
          <w:color w:val="000000"/>
          <w:szCs w:val="22"/>
        </w:rPr>
      </w:pPr>
      <w:r>
        <w:rPr>
          <w:color w:val="000000"/>
          <w:szCs w:val="22"/>
        </w:rPr>
        <w:t xml:space="preserve">Three indicators (presented as unitless scores) were </w:t>
      </w:r>
      <w:r>
        <w:rPr>
          <w:color w:val="000000"/>
          <w:szCs w:val="22"/>
          <w:lang w:val="en-US"/>
        </w:rPr>
        <w:t>selected by the GBRMPA, using advice from expert working groups and the Paddock to Reef Integration Team,</w:t>
      </w:r>
      <w:r>
        <w:rPr>
          <w:color w:val="000000"/>
          <w:szCs w:val="22"/>
        </w:rPr>
        <w:t xml:space="preserve"> for the seagrass report card: </w:t>
      </w:r>
    </w:p>
    <w:p w14:paraId="2B28D230" w14:textId="090E7D85" w:rsidR="00842050" w:rsidRDefault="00842050" w:rsidP="00036CBF">
      <w:pPr>
        <w:numPr>
          <w:ilvl w:val="0"/>
          <w:numId w:val="18"/>
        </w:numPr>
        <w:spacing w:before="0" w:after="0"/>
        <w:rPr>
          <w:color w:val="000000"/>
          <w:szCs w:val="22"/>
        </w:rPr>
      </w:pPr>
      <w:r>
        <w:rPr>
          <w:color w:val="000000"/>
          <w:szCs w:val="22"/>
        </w:rPr>
        <w:t>seagrass abundance (</w:t>
      </w:r>
      <w:r w:rsidR="007C05FE">
        <w:rPr>
          <w:color w:val="000000"/>
          <w:szCs w:val="22"/>
        </w:rPr>
        <w:t xml:space="preserve">per cent </w:t>
      </w:r>
      <w:r>
        <w:rPr>
          <w:color w:val="000000"/>
          <w:szCs w:val="22"/>
        </w:rPr>
        <w:t>cover)</w:t>
      </w:r>
    </w:p>
    <w:p w14:paraId="581457AC" w14:textId="77777777" w:rsidR="00842050" w:rsidRDefault="00842050" w:rsidP="00036CBF">
      <w:pPr>
        <w:numPr>
          <w:ilvl w:val="0"/>
          <w:numId w:val="18"/>
        </w:numPr>
        <w:spacing w:before="0" w:after="0"/>
        <w:rPr>
          <w:color w:val="000000"/>
          <w:szCs w:val="22"/>
        </w:rPr>
      </w:pPr>
      <w:r>
        <w:rPr>
          <w:color w:val="000000"/>
          <w:szCs w:val="22"/>
        </w:rPr>
        <w:t>reproductive effort</w:t>
      </w:r>
    </w:p>
    <w:p w14:paraId="1F745254" w14:textId="77777777" w:rsidR="00842050" w:rsidRDefault="00842050" w:rsidP="00036CBF">
      <w:pPr>
        <w:numPr>
          <w:ilvl w:val="0"/>
          <w:numId w:val="18"/>
        </w:numPr>
        <w:spacing w:before="0"/>
        <w:rPr>
          <w:color w:val="000000"/>
          <w:szCs w:val="22"/>
        </w:rPr>
      </w:pPr>
      <w:r>
        <w:rPr>
          <w:color w:val="000000"/>
          <w:szCs w:val="22"/>
        </w:rPr>
        <w:t>nutrient status (seagrass tissue C:N ratio)</w:t>
      </w:r>
    </w:p>
    <w:p w14:paraId="4C87291F" w14:textId="5C831E6F" w:rsidR="00842050" w:rsidRDefault="00842050" w:rsidP="00842050">
      <w:pPr>
        <w:rPr>
          <w:color w:val="000000"/>
        </w:rPr>
      </w:pPr>
      <w:r>
        <w:rPr>
          <w:color w:val="000000"/>
          <w:szCs w:val="22"/>
        </w:rPr>
        <w:t xml:space="preserve">The methods for calculation of scores was chosen by </w:t>
      </w:r>
      <w:r>
        <w:rPr>
          <w:color w:val="000000"/>
          <w:szCs w:val="22"/>
          <w:lang w:val="en-US"/>
        </w:rPr>
        <w:t>the P</w:t>
      </w:r>
      <w:r w:rsidR="007C05FE">
        <w:rPr>
          <w:color w:val="000000"/>
          <w:szCs w:val="22"/>
          <w:lang w:val="en-US"/>
        </w:rPr>
        <w:t>addock to Reef Integration Team</w:t>
      </w:r>
      <w:r>
        <w:rPr>
          <w:color w:val="000000"/>
          <w:szCs w:val="22"/>
          <w:lang w:val="en-US"/>
        </w:rPr>
        <w:t xml:space="preserve"> and </w:t>
      </w:r>
      <w:r>
        <w:rPr>
          <w:color w:val="000000"/>
          <w:szCs w:val="22"/>
        </w:rPr>
        <w:t xml:space="preserve">all report card scores are transformed to a five point scale from 0 to 100 </w:t>
      </w:r>
      <w:r>
        <w:rPr>
          <w:color w:val="000000"/>
          <w:szCs w:val="22"/>
          <w:lang w:val="en-US"/>
        </w:rPr>
        <w:t xml:space="preserve">as directed </w:t>
      </w:r>
      <w:r>
        <w:rPr>
          <w:color w:val="000000"/>
          <w:szCs w:val="22"/>
        </w:rPr>
        <w:t>to allow integration with other components of the Paddock to Reef report card (</w:t>
      </w:r>
      <w:hyperlink w:anchor="_ENREF_79" w:tooltip="Department of the Premier and Cabinet, 2014 #10062" w:history="1">
        <w:r w:rsidR="00305FE7">
          <w:fldChar w:fldCharType="begin"/>
        </w:r>
        <w:r w:rsidR="00305FE7">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305FE7">
          <w:fldChar w:fldCharType="separate"/>
        </w:r>
        <w:r w:rsidR="00305FE7">
          <w:rPr>
            <w:noProof/>
          </w:rPr>
          <w:t>Department of the Premier and Cabinet 2014</w:t>
        </w:r>
        <w:r w:rsidR="00305FE7">
          <w:fldChar w:fldCharType="end"/>
        </w:r>
      </w:hyperlink>
      <w:r>
        <w:rPr>
          <w:color w:val="000000"/>
          <w:szCs w:val="22"/>
        </w:rPr>
        <w:t xml:space="preserve">). </w:t>
      </w:r>
      <w:r>
        <w:rPr>
          <w:i/>
          <w:color w:val="000000"/>
          <w:szCs w:val="22"/>
        </w:rPr>
        <w:t>Please note that the scale from 0 to 100 is unitless and should not be interpreted as a proportion or ratio.</w:t>
      </w:r>
    </w:p>
    <w:p w14:paraId="78416479" w14:textId="301995CA" w:rsidR="00842050" w:rsidRPr="00842050" w:rsidRDefault="007C05FE" w:rsidP="00842050">
      <w:pPr>
        <w:spacing w:before="240"/>
        <w:rPr>
          <w:color w:val="000000"/>
          <w:szCs w:val="22"/>
        </w:rPr>
      </w:pPr>
      <w:r w:rsidRPr="00842050">
        <w:rPr>
          <w:color w:val="000000"/>
          <w:szCs w:val="22"/>
        </w:rPr>
        <w:t>Seagrass abundance (</w:t>
      </w:r>
      <w:r>
        <w:rPr>
          <w:color w:val="000000"/>
          <w:szCs w:val="22"/>
        </w:rPr>
        <w:t>per cent</w:t>
      </w:r>
      <w:r w:rsidRPr="00842050">
        <w:rPr>
          <w:color w:val="000000"/>
          <w:szCs w:val="22"/>
        </w:rPr>
        <w:t xml:space="preserve"> cover) is used to indicate the state of the seagrass to resist stressors, reproductive effort to indicate the potential for the seagrass to recover from loss, and the nutrient status to indicate the condition of the environment in which the seagrass are growing in recognition of seagrass</w:t>
      </w:r>
      <w:r w:rsidR="005E1B41">
        <w:rPr>
          <w:color w:val="000000"/>
          <w:szCs w:val="22"/>
        </w:rPr>
        <w:t xml:space="preserve"> </w:t>
      </w:r>
      <w:r w:rsidRPr="00842050">
        <w:rPr>
          <w:color w:val="000000"/>
          <w:szCs w:val="22"/>
        </w:rPr>
        <w:t>as a bioindicator of environmental (including water quality) health.</w:t>
      </w:r>
    </w:p>
    <w:p w14:paraId="7FB86A78" w14:textId="02EE5C24" w:rsidR="00FA17EB" w:rsidRPr="00F12624" w:rsidRDefault="00EC7975" w:rsidP="00F12624">
      <w:pPr>
        <w:pStyle w:val="Heading2"/>
      </w:pPr>
      <w:bookmarkStart w:id="992" w:name="_Ref511380813"/>
      <w:bookmarkStart w:id="993" w:name="_Toc516053194"/>
      <w:r w:rsidRPr="00F12624">
        <w:t>Seagrass a</w:t>
      </w:r>
      <w:r w:rsidR="00FA17EB" w:rsidRPr="00F12624">
        <w:t>bundance</w:t>
      </w:r>
      <w:bookmarkEnd w:id="992"/>
      <w:bookmarkEnd w:id="993"/>
      <w:r w:rsidRPr="00F12624">
        <w:t xml:space="preserve"> </w:t>
      </w:r>
    </w:p>
    <w:p w14:paraId="0F96F112" w14:textId="5CC5EDF3" w:rsidR="00842050" w:rsidRDefault="00842050" w:rsidP="00842050">
      <w:pPr>
        <w:spacing w:before="240"/>
        <w:rPr>
          <w:color w:val="000000"/>
          <w:szCs w:val="22"/>
        </w:rPr>
      </w:pPr>
      <w:r w:rsidRPr="00842050">
        <w:rPr>
          <w:color w:val="000000"/>
          <w:szCs w:val="22"/>
        </w:rPr>
        <w:t>The status of seagrass abundance (</w:t>
      </w:r>
      <w:r w:rsidR="0063478C">
        <w:rPr>
          <w:color w:val="000000"/>
          <w:szCs w:val="22"/>
        </w:rPr>
        <w:t>per cent</w:t>
      </w:r>
      <w:r w:rsidRPr="00842050">
        <w:rPr>
          <w:color w:val="000000"/>
          <w:szCs w:val="22"/>
        </w:rPr>
        <w:t xml:space="preserve"> cover) was determined using the seagrass abundance guidelines developed by McKenzie (2009). The seagrass abundance measure in the MMP is the average </w:t>
      </w:r>
      <w:r w:rsidR="0063478C">
        <w:rPr>
          <w:color w:val="000000"/>
          <w:szCs w:val="22"/>
        </w:rPr>
        <w:t>per cent</w:t>
      </w:r>
      <w:r w:rsidRPr="00842050">
        <w:rPr>
          <w:color w:val="000000"/>
          <w:szCs w:val="22"/>
        </w:rPr>
        <w:t xml:space="preserve"> cover of seagrass per monitoring site. Individual site and subregional (habitat type within each NRM region) seagrass abundance guidelines were developed based on </w:t>
      </w:r>
      <w:r w:rsidR="0063478C">
        <w:rPr>
          <w:color w:val="000000"/>
          <w:szCs w:val="22"/>
        </w:rPr>
        <w:t xml:space="preserve"> per cent</w:t>
      </w:r>
      <w:r w:rsidRPr="00842050">
        <w:rPr>
          <w:color w:val="000000"/>
          <w:szCs w:val="22"/>
        </w:rPr>
        <w:t xml:space="preserve"> cover data collected from individual sites and/or reference sites (</w:t>
      </w:r>
      <w:hyperlink w:anchor="_ENREF_150" w:tooltip="McKenzie, 2009 #9756" w:history="1">
        <w:r w:rsidR="00305FE7">
          <w:rPr>
            <w:color w:val="000000"/>
            <w:szCs w:val="22"/>
          </w:rPr>
          <w:fldChar w:fldCharType="begin"/>
        </w:r>
        <w:r w:rsidR="00305FE7">
          <w:rPr>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 timestamp="1393312309"&gt;9756&lt;/key&gt;&lt;/foreign-keys&gt;&lt;ref-type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http://rrrc.org.au/wp-content/uploads/2014/06/113-QDPIF-McKenzie-L-2009-June-Milestone-Report.pdf accessed 23 February 2017.&lt;/secondary-title&gt;&lt;/titles&gt;&lt;pages&gt;7-1&lt;/pages&gt;&lt;dates&gt;&lt;year&gt;2009&lt;/year&gt;&lt;/dates&gt;&lt;pub-location&gt;Cairns&lt;/pub-location&gt;&lt;publisher&gt;RRRC&lt;/publisher&gt;&lt;urls&gt;&lt;/urls&gt;&lt;/record&gt;&lt;/Cite&gt;&lt;/EndNote&gt;</w:instrText>
        </w:r>
        <w:r w:rsidR="00305FE7">
          <w:rPr>
            <w:color w:val="000000"/>
            <w:szCs w:val="22"/>
          </w:rPr>
          <w:fldChar w:fldCharType="separate"/>
        </w:r>
        <w:r w:rsidR="00305FE7">
          <w:rPr>
            <w:noProof/>
            <w:color w:val="000000"/>
            <w:szCs w:val="22"/>
          </w:rPr>
          <w:t>McKenzie 2009</w:t>
        </w:r>
        <w:r w:rsidR="00305FE7">
          <w:rPr>
            <w:color w:val="000000"/>
            <w:szCs w:val="22"/>
          </w:rPr>
          <w:fldChar w:fldCharType="end"/>
        </w:r>
      </w:hyperlink>
      <w:r w:rsidRPr="00842050">
        <w:rPr>
          <w:color w:val="000000"/>
          <w:szCs w:val="22"/>
        </w:rPr>
        <w:t>). Guidelines for individual sites were only applied if the conditions of the site aligned with reference site conditions.</w:t>
      </w:r>
    </w:p>
    <w:p w14:paraId="2CAAFC88" w14:textId="259FE5C1" w:rsidR="00EC7975" w:rsidRPr="00517276" w:rsidRDefault="00EC7975" w:rsidP="00842050">
      <w:pPr>
        <w:spacing w:before="240"/>
        <w:rPr>
          <w:color w:val="000000"/>
          <w:szCs w:val="22"/>
        </w:rPr>
      </w:pPr>
      <w:r w:rsidRPr="00517276">
        <w:rPr>
          <w:color w:val="000000"/>
          <w:szCs w:val="22"/>
        </w:rPr>
        <w:t>A reference site is a site whose condition is considered to be a suitable baseline or benchmark for assessment and management of sites in similar habitats. Ideally, seagrass meadows in near pristine condition with a long-term abundance database would have priority as reference sites. However, as near-pristine meadows are not available, sites which have received less intense impacts can justifiably be used. In such situations, reference sites are those where the condition of the site has been subject to minimal/limited disturbance for 3-5 years. The duration of 3-5 years is based on recovery from impact times (</w:t>
      </w:r>
      <w:hyperlink w:anchor="_ENREF_29" w:tooltip="Campbell, 2004 #2838" w:history="1">
        <w:r w:rsidR="00305FE7">
          <w:rPr>
            <w:color w:val="000000"/>
            <w:szCs w:val="22"/>
          </w:rPr>
          <w:fldChar w:fldCharType="begin"/>
        </w:r>
        <w:r w:rsidR="00305FE7">
          <w:rPr>
            <w:color w:val="000000"/>
            <w:szCs w:val="22"/>
          </w:rPr>
          <w:instrText xml:space="preserve"> ADDIN EN.CITE &lt;EndNote&gt;&lt;Cite&gt;&lt;Author&gt;Campbell&lt;/Author&gt;&lt;Year&gt;2004&lt;/Year&gt;&lt;RecNum&gt;2838&lt;/RecNum&gt;&lt;DisplayText&gt;Campbell and McKenzie 2004&lt;/DisplayText&gt;&lt;record&gt;&lt;rec-number&gt;2838&lt;/rec-number&gt;&lt;foreign-keys&gt;&lt;key app="EN" db-id="0eve55x9y5vfd6e9dacxtew4eatve2dzds9a" timestamp="0"&gt;2838&lt;/key&gt;&lt;/foreign-keys&gt;&lt;ref-type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305FE7">
          <w:rPr>
            <w:color w:val="000000"/>
            <w:szCs w:val="22"/>
          </w:rPr>
          <w:fldChar w:fldCharType="separate"/>
        </w:r>
        <w:r w:rsidR="00305FE7">
          <w:rPr>
            <w:noProof/>
            <w:color w:val="000000"/>
            <w:szCs w:val="22"/>
          </w:rPr>
          <w:t>Campbell and McKenzie 2004</w:t>
        </w:r>
        <w:r w:rsidR="00305FE7">
          <w:rPr>
            <w:color w:val="000000"/>
            <w:szCs w:val="22"/>
          </w:rPr>
          <w:fldChar w:fldCharType="end"/>
        </w:r>
      </w:hyperlink>
      <w:r w:rsidRPr="00517276">
        <w:rPr>
          <w:color w:val="000000"/>
          <w:szCs w:val="22"/>
        </w:rPr>
        <w:t xml:space="preserve">). </w:t>
      </w:r>
    </w:p>
    <w:p w14:paraId="36A6C1B4" w14:textId="79EA98BC" w:rsidR="00EC7975" w:rsidRPr="00517276" w:rsidRDefault="00036CBF" w:rsidP="00EC7975">
      <w:pPr>
        <w:spacing w:before="240"/>
        <w:rPr>
          <w:color w:val="000000"/>
          <w:szCs w:val="22"/>
        </w:rPr>
      </w:pPr>
      <w:r>
        <w:rPr>
          <w:color w:val="000000"/>
          <w:szCs w:val="22"/>
        </w:rPr>
        <w:t>There is n</w:t>
      </w:r>
      <w:r w:rsidR="00EC7975" w:rsidRPr="00517276">
        <w:rPr>
          <w:color w:val="000000"/>
          <w:szCs w:val="22"/>
        </w:rPr>
        <w:t xml:space="preserve">o </w:t>
      </w:r>
      <w:r>
        <w:rPr>
          <w:color w:val="000000"/>
          <w:szCs w:val="22"/>
        </w:rPr>
        <w:t>set/established</w:t>
      </w:r>
      <w:r w:rsidR="00EC7975" w:rsidRPr="00517276">
        <w:rPr>
          <w:color w:val="000000"/>
          <w:szCs w:val="22"/>
        </w:rPr>
        <w:t xml:space="preserve"> protocol for the selection of reference sites and the process is ultimately iterative. The criteria for defining a minimally/least disturbed seagrass reference site is based on </w:t>
      </w:r>
      <w:hyperlink w:anchor="_ENREF_177" w:tooltip="Monitoring River Health Initiative, 1994 #9713" w:history="1">
        <w:r w:rsidR="00305FE7">
          <w:rPr>
            <w:color w:val="000000"/>
            <w:szCs w:val="22"/>
          </w:rPr>
          <w:fldChar w:fldCharType="begin"/>
        </w:r>
        <w:r w:rsidR="00305FE7">
          <w:rPr>
            <w:color w:val="000000"/>
            <w:szCs w:val="22"/>
          </w:rPr>
          <w:instrText xml:space="preserve"> ADDIN EN.CITE &lt;EndNote&gt;&lt;Cite&gt;&lt;Author&gt;Monitoring River Health Initiative&lt;/Author&gt;&lt;Year&gt;1994&lt;/Year&gt;&lt;RecNum&gt;9713&lt;/RecNum&gt;&lt;DisplayText&gt;Monitoring River Health Initiative 1994&lt;/DisplayText&gt;&lt;record&gt;&lt;rec-number&gt;9713&lt;/rec-number&gt;&lt;foreign-keys&gt;&lt;key app="EN" db-id="0eve55x9y5vfd6e9dacxtew4eatve2dzds9a" timestamp="1393200377"&gt;9713&lt;/key&gt;&lt;/foreign-keys&gt;&lt;ref-type name="Book"&gt;6&lt;/ref-type&gt;&lt;contributors&gt;&lt;authors&gt;&lt;author&gt;Monitoring River Health Initiative,&lt;/author&gt;&lt;/authors&gt;&lt;/contributors&gt;&lt;titles&gt;&lt;title&gt;River Bioassessment Manual, National River Processes and Management Program, Tasmania. http://www.environment.gov.au/water/publications/environmental/rivers/nrhp/bioassess.html, accessed 10 February 2014.&lt;/title&gt;&lt;/titles&gt;&lt;pages&gt;44&lt;/pages&gt;&lt;dates&gt;&lt;year&gt;1994&lt;/year&gt;&lt;/dates&gt;&lt;urls&gt;&lt;/urls&gt;&lt;/record&gt;&lt;/Cite&gt;&lt;/EndNote&gt;</w:instrText>
        </w:r>
        <w:r w:rsidR="00305FE7">
          <w:rPr>
            <w:color w:val="000000"/>
            <w:szCs w:val="22"/>
          </w:rPr>
          <w:fldChar w:fldCharType="separate"/>
        </w:r>
        <w:r w:rsidR="00305FE7">
          <w:rPr>
            <w:noProof/>
            <w:color w:val="000000"/>
            <w:szCs w:val="22"/>
          </w:rPr>
          <w:t>Monitoring River Health Initiative 1994</w:t>
        </w:r>
        <w:r w:rsidR="00305FE7">
          <w:rPr>
            <w:color w:val="000000"/>
            <w:szCs w:val="22"/>
          </w:rPr>
          <w:fldChar w:fldCharType="end"/>
        </w:r>
      </w:hyperlink>
      <w:r w:rsidR="00EC7975" w:rsidRPr="00517276">
        <w:rPr>
          <w:color w:val="000000"/>
          <w:szCs w:val="22"/>
        </w:rPr>
        <w:t>) and includes some or all of the following:</w:t>
      </w:r>
    </w:p>
    <w:p w14:paraId="3661D721" w14:textId="77639881"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beyond 10km of a major river: as most suspended solids and particulate nutrients are deposited within a few kilometres of river mouths (</w:t>
      </w:r>
      <w:r w:rsidR="00644A84">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RU4iIGRiLWlkPSIwZXZlNTV4OXk1dmZkNmU5ZGFjeHRldzRlYXR2ZTJkemRzOWEiIHRpbWVzdGFt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</w:fldData>
        </w:fldChar>
      </w:r>
      <w:r w:rsidR="005B0C7C">
        <w:rPr>
          <w:color w:val="000000"/>
          <w:szCs w:val="22"/>
        </w:rPr>
        <w:instrText xml:space="preserve"> ADDIN EN.CITE </w:instrText>
      </w:r>
      <w:r w:rsidR="005B0C7C">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RU4iIGRiLWlkPSIwZXZlNTV4OXk1dmZkNmU5ZGFjeHRldzRlYXR2ZTJkemRzOWEiIHRpbWVzdGFt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144" w:tooltip="McCulloch, 2003 #9043" w:history="1">
        <w:r w:rsidR="00305FE7">
          <w:rPr>
            <w:noProof/>
            <w:color w:val="000000"/>
            <w:szCs w:val="22"/>
          </w:rPr>
          <w:t>McCulloch</w:t>
        </w:r>
        <w:r w:rsidR="00305FE7" w:rsidRPr="00644A84">
          <w:rPr>
            <w:i/>
            <w:noProof/>
            <w:color w:val="000000"/>
            <w:szCs w:val="22"/>
          </w:rPr>
          <w:t xml:space="preserve"> et al.</w:t>
        </w:r>
        <w:r w:rsidR="00305FE7">
          <w:rPr>
            <w:noProof/>
            <w:color w:val="000000"/>
            <w:szCs w:val="22"/>
          </w:rPr>
          <w:t xml:space="preserve"> 2003</w:t>
        </w:r>
      </w:hyperlink>
      <w:r w:rsidR="00644A84">
        <w:rPr>
          <w:noProof/>
          <w:color w:val="000000"/>
          <w:szCs w:val="22"/>
        </w:rPr>
        <w:t xml:space="preserve">; </w:t>
      </w:r>
      <w:hyperlink w:anchor="_ENREF_238" w:tooltip="Webster, 2010 #9775" w:history="1">
        <w:r w:rsidR="00305FE7">
          <w:rPr>
            <w:noProof/>
            <w:color w:val="000000"/>
            <w:szCs w:val="22"/>
          </w:rPr>
          <w:t>Webster and Ford 2010</w:t>
        </w:r>
      </w:hyperlink>
      <w:r w:rsidR="00644A84">
        <w:rPr>
          <w:noProof/>
          <w:color w:val="000000"/>
          <w:szCs w:val="22"/>
        </w:rPr>
        <w:t xml:space="preserve">; </w:t>
      </w:r>
      <w:hyperlink w:anchor="_ENREF_10" w:tooltip="Bainbridge, 2012 #9776" w:history="1">
        <w:r w:rsidR="00305FE7">
          <w:rPr>
            <w:noProof/>
            <w:color w:val="000000"/>
            <w:szCs w:val="22"/>
          </w:rPr>
          <w:t>Bainbridge</w:t>
        </w:r>
        <w:r w:rsidR="00305FE7" w:rsidRPr="00644A84">
          <w:rPr>
            <w:i/>
            <w:noProof/>
            <w:color w:val="000000"/>
            <w:szCs w:val="22"/>
          </w:rPr>
          <w:t xml:space="preserve"> et al.</w:t>
        </w:r>
        <w:r w:rsidR="00305FE7">
          <w:rPr>
            <w:noProof/>
            <w:color w:val="000000"/>
            <w:szCs w:val="22"/>
          </w:rPr>
          <w:t xml:space="preserve"> 2012</w:t>
        </w:r>
      </w:hyperlink>
      <w:r w:rsidR="00644A84">
        <w:rPr>
          <w:noProof/>
          <w:color w:val="000000"/>
          <w:szCs w:val="22"/>
        </w:rPr>
        <w:t xml:space="preserve">; </w:t>
      </w:r>
      <w:hyperlink w:anchor="_ENREF_20" w:tooltip="Brodie, 2012 #9319" w:history="1">
        <w:r w:rsidR="00305FE7">
          <w:rPr>
            <w:noProof/>
            <w:color w:val="000000"/>
            <w:szCs w:val="22"/>
          </w:rPr>
          <w:t>Brodie</w:t>
        </w:r>
        <w:r w:rsidR="00305FE7" w:rsidRPr="00644A84">
          <w:rPr>
            <w:i/>
            <w:noProof/>
            <w:color w:val="000000"/>
            <w:szCs w:val="22"/>
          </w:rPr>
          <w:t xml:space="preserve"> et al.</w:t>
        </w:r>
        <w:r w:rsidR="00305FE7">
          <w:rPr>
            <w:noProof/>
            <w:color w:val="000000"/>
            <w:szCs w:val="22"/>
          </w:rPr>
          <w:t xml:space="preserve"> 2012</w:t>
        </w:r>
      </w:hyperlink>
      <w:r w:rsidR="00644A84">
        <w:rPr>
          <w:color w:val="000000"/>
          <w:szCs w:val="22"/>
        </w:rPr>
        <w:fldChar w:fldCharType="end"/>
      </w:r>
      <w:r w:rsidRPr="00517276">
        <w:rPr>
          <w:color w:val="000000"/>
          <w:szCs w:val="22"/>
        </w:rPr>
        <w:t>).</w:t>
      </w:r>
    </w:p>
    <w:p w14:paraId="6286E46E"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no major urban area/development (&gt;5000 population) within 10km upstream (prevailing current)</w:t>
      </w:r>
    </w:p>
    <w:p w14:paraId="6BF628D3"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no significant point source wastewater discharge within the estuary</w:t>
      </w:r>
    </w:p>
    <w:p w14:paraId="5D8910D3"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 xml:space="preserve">has not been impacted by an event (anthropogenic or extreme climate) in the last 3-5 years </w:t>
      </w:r>
    </w:p>
    <w:p w14:paraId="6E575753" w14:textId="7F0DD014"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where the species composition is dominated by the foundation species expected for the habitats (</w:t>
      </w:r>
      <w:hyperlink w:anchor="_ENREF_32" w:tooltip="Carruthers, 2002 #8021" w:history="1">
        <w:r w:rsidR="00305FE7">
          <w:rPr>
            <w:color w:val="000000"/>
            <w:szCs w:val="22"/>
          </w:rPr>
          <w:fldChar w:fldCharType="begin"/>
        </w:r>
        <w:r w:rsidR="00305FE7">
          <w:rPr>
            <w:color w:val="000000"/>
            <w:szCs w:val="22"/>
          </w:rPr>
          <w:instrText xml:space="preserve"> ADDIN EN.CITE &lt;EndNote&gt;&lt;Cite&gt;&lt;Author&gt;Carruthers&lt;/Author&gt;&lt;Year&gt;2002&lt;/Year&gt;&lt;RecNum&gt;8021&lt;/RecNum&gt;&lt;DisplayText&gt;Carruthers&lt;style face="italic"&gt; et al.&lt;/style&gt; 2002&lt;/DisplayText&gt;&lt;record&gt;&lt;rec-number&gt;8021&lt;/rec-number&gt;&lt;foreign-keys&gt;&lt;key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305FE7">
          <w:rPr>
            <w:color w:val="000000"/>
            <w:szCs w:val="22"/>
          </w:rPr>
          <w:fldChar w:fldCharType="separate"/>
        </w:r>
        <w:r w:rsidR="00305FE7">
          <w:rPr>
            <w:noProof/>
            <w:color w:val="000000"/>
            <w:szCs w:val="22"/>
          </w:rPr>
          <w:t>Carruthers</w:t>
        </w:r>
        <w:r w:rsidR="00305FE7" w:rsidRPr="00521D93">
          <w:rPr>
            <w:i/>
            <w:noProof/>
            <w:color w:val="000000"/>
            <w:szCs w:val="22"/>
          </w:rPr>
          <w:t xml:space="preserve"> et al.</w:t>
        </w:r>
        <w:r w:rsidR="00305FE7">
          <w:rPr>
            <w:noProof/>
            <w:color w:val="000000"/>
            <w:szCs w:val="22"/>
          </w:rPr>
          <w:t xml:space="preserve"> 2002</w:t>
        </w:r>
        <w:r w:rsidR="00305FE7">
          <w:rPr>
            <w:color w:val="000000"/>
            <w:szCs w:val="22"/>
          </w:rPr>
          <w:fldChar w:fldCharType="end"/>
        </w:r>
      </w:hyperlink>
      <w:r w:rsidRPr="00517276">
        <w:rPr>
          <w:color w:val="000000"/>
          <w:szCs w:val="22"/>
        </w:rPr>
        <w:t xml:space="preserve">), and </w:t>
      </w:r>
    </w:p>
    <w:p w14:paraId="27BE01D7"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does not suggest the meadow is in recovery (i.e. dominated by early colonising).</w:t>
      </w:r>
    </w:p>
    <w:p w14:paraId="3F596428" w14:textId="6E72011D" w:rsidR="00EC7975" w:rsidRPr="00517276" w:rsidRDefault="00EC7975" w:rsidP="00EC7975">
      <w:pPr>
        <w:spacing w:before="240"/>
        <w:rPr>
          <w:color w:val="000000"/>
          <w:szCs w:val="22"/>
        </w:rPr>
      </w:pPr>
      <w:r w:rsidRPr="00517276">
        <w:rPr>
          <w:color w:val="000000"/>
          <w:szCs w:val="22"/>
        </w:rPr>
        <w:t>The 80</w:t>
      </w:r>
      <w:r w:rsidRPr="00517276">
        <w:rPr>
          <w:color w:val="000000"/>
          <w:szCs w:val="22"/>
          <w:vertAlign w:val="superscript"/>
        </w:rPr>
        <w:t>th</w:t>
      </w:r>
      <w:r w:rsidRPr="00517276">
        <w:rPr>
          <w:color w:val="000000"/>
          <w:szCs w:val="22"/>
        </w:rPr>
        <w:t>, 50</w:t>
      </w:r>
      <w:r w:rsidRPr="00517276">
        <w:rPr>
          <w:color w:val="000000"/>
          <w:szCs w:val="22"/>
          <w:vertAlign w:val="superscript"/>
        </w:rPr>
        <w:t>th</w:t>
      </w:r>
      <w:r w:rsidRPr="00517276">
        <w:rPr>
          <w:color w:val="000000"/>
          <w:szCs w:val="22"/>
        </w:rPr>
        <w:t xml:space="preserve"> and 20</w:t>
      </w:r>
      <w:r w:rsidRPr="00517276">
        <w:rPr>
          <w:color w:val="000000"/>
          <w:szCs w:val="22"/>
          <w:vertAlign w:val="superscript"/>
        </w:rPr>
        <w:t>th</w:t>
      </w:r>
      <w:r w:rsidRPr="00517276">
        <w:rPr>
          <w:color w:val="000000"/>
          <w:szCs w:val="22"/>
        </w:rPr>
        <w:t xml:space="preserve"> percentiles were used to define the guideline values as these are recommended for water quality guidelines (</w:t>
      </w:r>
      <w:hyperlink w:anchor="_ENREF_78" w:tooltip="Department of Environment and Resource Management, 2009 #9777" w:history="1">
        <w:r w:rsidR="00305FE7">
          <w:rPr>
            <w:color w:val="000000"/>
            <w:szCs w:val="22"/>
          </w:rPr>
          <w:fldChar w:fldCharType="begin"/>
        </w:r>
        <w:r w:rsidR="00305FE7">
          <w:rPr>
            <w:color w:val="000000"/>
            <w:szCs w:val="22"/>
          </w:rPr>
          <w:instrText xml:space="preserve"> ADDIN EN.CITE &lt;EndNote&gt;&lt;Cite&gt;&lt;Author&gt;Department of Environment and Resource Management&lt;/Author&gt;&lt;Year&gt;2009&lt;/Year&gt;&lt;RecNum&gt;9777&lt;/RecNum&gt;&lt;DisplayText&gt;Department of Environment and Resource Management 2009&lt;/DisplayText&gt;&lt;record&gt;&lt;rec-number&gt;9777&lt;/rec-number&gt;&lt;foreign-keys&gt;&lt;key app="EN" db-id="0eve55x9y5vfd6e9dacxtew4eatve2dzds9a" timestamp="1394312817"&gt;9777&lt;/key&gt;&lt;/foreign-keys&gt;&lt;ref-type name="Book"&gt;6&lt;/ref-type&gt;&lt;contributors&gt;&lt;authors&gt;&lt;author&gt;Department of Environment and Resource Management,&lt;/author&gt;&lt;/authors&gt;&lt;/contributors&gt;&lt;titles&gt;&lt;title&gt;Queensland Water Quality Guidelines, Version 3. ISBN 978-0-9806986-0-2&lt;/title&gt;&lt;/titles&gt;&lt;pages&gt;121&lt;/pages&gt;&lt;dates&gt;&lt;year&gt;2009&lt;/year&gt;&lt;/dates&gt;&lt;pub-location&gt;Brisbane&lt;/pub-location&gt;&lt;publisher&gt;State of Queensland (Department of Environment and Resource Management)&lt;/publisher&gt;&lt;urls&gt;&lt;/urls&gt;&lt;/record&gt;&lt;/Cite&gt;&lt;/EndNote&gt;</w:instrText>
        </w:r>
        <w:r w:rsidR="00305FE7">
          <w:rPr>
            <w:color w:val="000000"/>
            <w:szCs w:val="22"/>
          </w:rPr>
          <w:fldChar w:fldCharType="separate"/>
        </w:r>
        <w:r w:rsidR="00305FE7">
          <w:rPr>
            <w:noProof/>
            <w:color w:val="000000"/>
            <w:szCs w:val="22"/>
          </w:rPr>
          <w:t>Department of Environment and Resource Management 2009</w:t>
        </w:r>
        <w:r w:rsidR="00305FE7">
          <w:rPr>
            <w:color w:val="000000"/>
            <w:szCs w:val="22"/>
          </w:rPr>
          <w:fldChar w:fldCharType="end"/>
        </w:r>
      </w:hyperlink>
      <w:r w:rsidRPr="00517276">
        <w:rPr>
          <w:color w:val="000000"/>
          <w:szCs w:val="22"/>
        </w:rPr>
        <w:t xml:space="preserve">), and there is no evidence that this approach would not be appropriate for seagrass meadows in the GBR. </w:t>
      </w:r>
      <w:r w:rsidR="006845E9">
        <w:rPr>
          <w:color w:val="000000"/>
          <w:szCs w:val="22"/>
        </w:rPr>
        <w:t xml:space="preserve">At the request of the </w:t>
      </w:r>
      <w:r w:rsidR="006845E9" w:rsidRPr="00517276">
        <w:rPr>
          <w:color w:val="000000"/>
          <w:szCs w:val="22"/>
          <w:lang w:val="en-US"/>
        </w:rPr>
        <w:t>Paddock to Reef Integration Team</w:t>
      </w:r>
      <w:r w:rsidR="006845E9">
        <w:rPr>
          <w:color w:val="000000"/>
          <w:szCs w:val="22"/>
          <w:lang w:val="en-US"/>
        </w:rPr>
        <w:t>, the 80</w:t>
      </w:r>
      <w:r w:rsidR="006845E9" w:rsidRPr="006845E9">
        <w:rPr>
          <w:color w:val="000000"/>
          <w:szCs w:val="22"/>
          <w:vertAlign w:val="superscript"/>
          <w:lang w:val="en-US"/>
        </w:rPr>
        <w:t>th</w:t>
      </w:r>
      <w:r w:rsidR="006845E9">
        <w:rPr>
          <w:color w:val="000000"/>
          <w:szCs w:val="22"/>
          <w:lang w:val="en-US"/>
        </w:rPr>
        <w:t xml:space="preserve"> percentile was changed to 75</w:t>
      </w:r>
      <w:r w:rsidR="006845E9" w:rsidRPr="006845E9">
        <w:rPr>
          <w:color w:val="000000"/>
          <w:szCs w:val="22"/>
          <w:vertAlign w:val="superscript"/>
          <w:lang w:val="en-US"/>
        </w:rPr>
        <w:t>th</w:t>
      </w:r>
      <w:r w:rsidR="006845E9">
        <w:rPr>
          <w:color w:val="000000"/>
          <w:szCs w:val="22"/>
          <w:lang w:val="en-US"/>
        </w:rPr>
        <w:t xml:space="preserve"> to align with other </w:t>
      </w:r>
      <w:r w:rsidR="006845E9" w:rsidRPr="00517276">
        <w:rPr>
          <w:color w:val="000000"/>
          <w:szCs w:val="22"/>
          <w:lang w:val="en-US"/>
        </w:rPr>
        <w:t xml:space="preserve">Paddock to Reef </w:t>
      </w:r>
      <w:r w:rsidR="006845E9">
        <w:rPr>
          <w:color w:val="000000"/>
          <w:szCs w:val="22"/>
          <w:lang w:val="en-US"/>
        </w:rPr>
        <w:t>report card</w:t>
      </w:r>
      <w:r w:rsidR="006845E9" w:rsidRPr="006845E9">
        <w:rPr>
          <w:color w:val="000000"/>
          <w:szCs w:val="22"/>
          <w:lang w:val="en-US"/>
        </w:rPr>
        <w:t xml:space="preserve"> </w:t>
      </w:r>
      <w:r w:rsidR="006845E9">
        <w:rPr>
          <w:color w:val="000000"/>
          <w:szCs w:val="22"/>
          <w:lang w:val="en-US"/>
        </w:rPr>
        <w:t>components.</w:t>
      </w:r>
      <w:r w:rsidR="006845E9">
        <w:rPr>
          <w:color w:val="000000"/>
          <w:szCs w:val="22"/>
        </w:rPr>
        <w:t xml:space="preserve"> </w:t>
      </w:r>
      <w:r w:rsidRPr="00517276">
        <w:rPr>
          <w:color w:val="000000"/>
          <w:szCs w:val="22"/>
        </w:rPr>
        <w:t>By plotting the percentile estimates with increasing sample size, the reduction in error becomes apparent as it moves towards the true value (e.g.</w:t>
      </w:r>
      <w:r w:rsidR="006624EF">
        <w:rPr>
          <w:color w:val="000000"/>
          <w:szCs w:val="22"/>
        </w:rPr>
        <w:t xml:space="preserve"> </w:t>
      </w:r>
      <w:r w:rsidR="006624EF">
        <w:rPr>
          <w:color w:val="000000"/>
          <w:szCs w:val="22"/>
        </w:rPr>
        <w:fldChar w:fldCharType="begin"/>
      </w:r>
      <w:r w:rsidR="006624EF">
        <w:rPr>
          <w:color w:val="000000"/>
          <w:szCs w:val="22"/>
        </w:rPr>
        <w:instrText xml:space="preserve"> REF _Ref410560182 \h </w:instrText>
      </w:r>
      <w:r w:rsidR="006624EF">
        <w:rPr>
          <w:color w:val="000000"/>
          <w:szCs w:val="22"/>
        </w:rPr>
      </w:r>
      <w:r w:rsidR="006624EF">
        <w:rPr>
          <w:color w:val="000000"/>
          <w:szCs w:val="22"/>
        </w:rPr>
        <w:fldChar w:fldCharType="separate"/>
      </w:r>
      <w:r w:rsidR="00F87DF9" w:rsidRPr="00517276">
        <w:rPr>
          <w:color w:val="000000"/>
        </w:rPr>
        <w:t xml:space="preserve">Figure </w:t>
      </w:r>
      <w:r w:rsidR="00F87DF9">
        <w:rPr>
          <w:noProof/>
          <w:color w:val="000000"/>
        </w:rPr>
        <w:t>139</w:t>
      </w:r>
      <w:r w:rsidR="006624EF">
        <w:rPr>
          <w:color w:val="000000"/>
          <w:szCs w:val="22"/>
        </w:rPr>
        <w:fldChar w:fldCharType="end"/>
      </w:r>
      <w:r w:rsidRPr="00517276">
        <w:rPr>
          <w:color w:val="000000"/>
          <w:szCs w:val="22"/>
        </w:rPr>
        <w:t xml:space="preserve">). </w:t>
      </w:r>
    </w:p>
    <w:p w14:paraId="63641E35" w14:textId="178B1CEE" w:rsidR="00EC7975" w:rsidRPr="00517276" w:rsidRDefault="00EC7975" w:rsidP="00EC7975">
      <w:pPr>
        <w:spacing w:before="240"/>
        <w:rPr>
          <w:color w:val="000000"/>
          <w:szCs w:val="22"/>
        </w:rPr>
      </w:pPr>
      <w:r w:rsidRPr="00517276">
        <w:rPr>
          <w:color w:val="000000"/>
          <w:szCs w:val="22"/>
        </w:rPr>
        <w:t>Across the majority of reference sites, variance for the 50</w:t>
      </w:r>
      <w:r w:rsidRPr="00517276">
        <w:rPr>
          <w:color w:val="000000"/>
          <w:szCs w:val="22"/>
          <w:vertAlign w:val="superscript"/>
        </w:rPr>
        <w:t>th</w:t>
      </w:r>
      <w:r w:rsidRPr="00517276">
        <w:rPr>
          <w:color w:val="000000"/>
          <w:szCs w:val="22"/>
        </w:rPr>
        <w:t xml:space="preserve"> and 20</w:t>
      </w:r>
      <w:r w:rsidRPr="00517276">
        <w:rPr>
          <w:color w:val="000000"/>
          <w:szCs w:val="22"/>
          <w:vertAlign w:val="superscript"/>
        </w:rPr>
        <w:t>th</w:t>
      </w:r>
      <w:r w:rsidRPr="00517276">
        <w:rPr>
          <w:color w:val="000000"/>
          <w:szCs w:val="22"/>
        </w:rPr>
        <w:t xml:space="preserve"> percentiles was found to level off at around 15–20 samples (i.e. sampling events), suggesting this number of samples was sufficient to provide a reasonable estimate of the true percentile value.  This sample size is reasonably close to the </w:t>
      </w:r>
      <w:hyperlink w:anchor="_ENREF_7" w:tooltip="ANZECC, 2000 #7891" w:history="1">
        <w:r w:rsidR="00305FE7">
          <w:rPr>
            <w:color w:val="000000"/>
            <w:szCs w:val="22"/>
          </w:rPr>
          <w:fldChar w:fldCharType="begin"/>
        </w:r>
        <w:r w:rsidR="00305FE7">
          <w:rPr>
            <w:color w:val="000000"/>
            <w:szCs w:val="22"/>
          </w:rPr>
          <w:instrText xml:space="preserve"> ADDIN EN.CITE &lt;EndNote&gt;&lt;Cite&gt;&lt;Author&gt;ANZECC&lt;/Author&gt;&lt;Year&gt;2000&lt;/Year&gt;&lt;RecNum&gt;7891&lt;/RecNum&gt;&lt;DisplayText&gt;ANZECC 2000&lt;/DisplayText&gt;&lt;record&gt;&lt;rec-number&gt;7891&lt;/rec-number&gt;&lt;foreign-keys&gt;&lt;key app="EN" db-id="0eve55x9y5vfd6e9dacxtew4eatve2dzds9a" timestamp="0"&gt;7891&lt;/key&gt;&lt;/foreign-keys&gt;&lt;ref-type name="Report"&gt;27&lt;/ref-type&gt;&lt;contributors&gt;&lt;authors&gt;&lt;author&gt;ANZECC,&lt;/author&gt;&lt;/authors&gt;&lt;/contributors&gt;&lt;titles&gt;&lt;title&gt;Australian and New Zealand guidelines for fresh and marine water quality&lt;/title&gt;&lt;/titles&gt;&lt;dates&gt;&lt;year&gt;2000&lt;/year&gt;&lt;/dates&gt;&lt;pub-location&gt;Canberra&lt;/pub-location&gt;&lt;publisher&gt;Australian and New Zealand Environment and Conservation Council and Agriculture and Resource Management Council of Australia and New Zealand&lt;/publisher&gt;&lt;urls&gt;&lt;/urls&gt;&lt;/record&gt;&lt;/Cite&gt;&lt;/EndNote&gt;</w:instrText>
        </w:r>
        <w:r w:rsidR="00305FE7">
          <w:rPr>
            <w:color w:val="000000"/>
            <w:szCs w:val="22"/>
          </w:rPr>
          <w:fldChar w:fldCharType="separate"/>
        </w:r>
        <w:r w:rsidR="00305FE7">
          <w:rPr>
            <w:noProof/>
            <w:color w:val="000000"/>
            <w:szCs w:val="22"/>
          </w:rPr>
          <w:t>ANZECC 2000</w:t>
        </w:r>
        <w:r w:rsidR="00305FE7">
          <w:rPr>
            <w:color w:val="000000"/>
            <w:szCs w:val="22"/>
          </w:rPr>
          <w:fldChar w:fldCharType="end"/>
        </w:r>
      </w:hyperlink>
      <w:r w:rsidRPr="00517276">
        <w:rPr>
          <w:color w:val="000000"/>
          <w:szCs w:val="22"/>
        </w:rPr>
        <w:t xml:space="preserve"> Guidelines recommendation of 24 data values. </w:t>
      </w:r>
    </w:p>
    <w:p w14:paraId="12E7C2A1" w14:textId="77777777" w:rsidR="00EC7975" w:rsidRPr="00517276" w:rsidRDefault="00EC7975" w:rsidP="00EC7975">
      <w:pPr>
        <w:spacing w:before="240"/>
        <w:rPr>
          <w:color w:val="000000"/>
          <w:szCs w:val="22"/>
        </w:rPr>
      </w:pPr>
      <w:r w:rsidRPr="00517276">
        <w:rPr>
          <w:color w:val="000000"/>
          <w:szCs w:val="22"/>
        </w:rPr>
        <w:t xml:space="preserve">Nonlinear regressions (exponential rise to maximum, two parameter) were then fitted to percent cover percentile values at each number of sampling events using the following model: </w:t>
      </w:r>
    </w:p>
    <w:p w14:paraId="60225920" w14:textId="77777777" w:rsidR="00EC7975" w:rsidRPr="00517276" w:rsidRDefault="001F4593" w:rsidP="00EC7975">
      <w:pPr>
        <w:spacing w:before="240"/>
        <w:jc w:val="center"/>
        <w:rPr>
          <w:color w:val="000000"/>
          <w:szCs w:val="22"/>
        </w:rPr>
      </w:pPr>
      <w:r w:rsidRPr="00517276">
        <w:rPr>
          <w:noProof/>
          <w:color w:val="000000"/>
          <w:position w:val="-10"/>
          <w:szCs w:val="22"/>
          <w:lang w:eastAsia="en-AU"/>
        </w:rPr>
        <w:drawing>
          <wp:inline distT="0" distB="0" distL="0" distR="0" wp14:anchorId="25D57AE7" wp14:editId="09D8B2E8">
            <wp:extent cx="850900" cy="220980"/>
            <wp:effectExtent l="0" t="0" r="6350" b="7620"/>
            <wp:docPr id="130" name="Picture 130" descr="Model of nonlinear regressions (exponential rise to maximum, two parameter) fitted to percent cover percentile valu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850900" cy="220980"/>
                    </a:xfrm>
                    <a:prstGeom prst="rect">
                      <a:avLst/>
                    </a:prstGeom>
                    <a:noFill/>
                    <a:ln>
                      <a:noFill/>
                    </a:ln>
                  </pic:spPr>
                </pic:pic>
              </a:graphicData>
            </a:graphic>
          </wp:inline>
        </w:drawing>
      </w:r>
    </w:p>
    <w:p w14:paraId="20C21B23" w14:textId="71D24AFA" w:rsidR="00EC7975" w:rsidRPr="00517276" w:rsidRDefault="00EC7975" w:rsidP="00EC7975">
      <w:pPr>
        <w:spacing w:before="240"/>
        <w:rPr>
          <w:color w:val="000000"/>
          <w:szCs w:val="22"/>
        </w:rPr>
      </w:pPr>
      <w:r w:rsidRPr="00517276">
        <w:rPr>
          <w:color w:val="000000"/>
          <w:szCs w:val="22"/>
        </w:rPr>
        <w:t xml:space="preserve">where </w:t>
      </w:r>
      <w:r w:rsidRPr="00517276">
        <w:rPr>
          <w:i/>
          <w:color w:val="000000"/>
          <w:szCs w:val="22"/>
        </w:rPr>
        <w:t>y</w:t>
      </w:r>
      <w:r w:rsidRPr="00517276">
        <w:rPr>
          <w:color w:val="000000"/>
          <w:szCs w:val="22"/>
        </w:rPr>
        <w:t xml:space="preserve"> is the seagrass cover percentile at each number of sampling events (</w:t>
      </w:r>
      <w:r w:rsidRPr="00517276">
        <w:rPr>
          <w:i/>
          <w:color w:val="000000"/>
          <w:szCs w:val="22"/>
        </w:rPr>
        <w:t>x</w:t>
      </w:r>
      <w:r w:rsidRPr="00517276">
        <w:rPr>
          <w:color w:val="000000"/>
          <w:szCs w:val="22"/>
        </w:rPr>
        <w:t xml:space="preserve">), </w:t>
      </w:r>
      <w:r w:rsidRPr="00517276">
        <w:rPr>
          <w:i/>
          <w:color w:val="000000"/>
          <w:szCs w:val="22"/>
        </w:rPr>
        <w:t>a</w:t>
      </w:r>
      <w:r w:rsidRPr="00517276">
        <w:rPr>
          <w:color w:val="000000"/>
          <w:szCs w:val="22"/>
        </w:rPr>
        <w:t xml:space="preserve"> is the asymptotic average of the seagrass cover percentile, and </w:t>
      </w:r>
      <w:r w:rsidRPr="00517276">
        <w:rPr>
          <w:i/>
          <w:color w:val="000000"/>
          <w:szCs w:val="22"/>
        </w:rPr>
        <w:t>b</w:t>
      </w:r>
      <w:r w:rsidRPr="00517276">
        <w:rPr>
          <w:color w:val="000000"/>
          <w:szCs w:val="22"/>
        </w:rPr>
        <w:t xml:space="preserve"> is the rate coefficient that determines how quickly (or slowly</w:t>
      </w:r>
      <w:r w:rsidR="008D142C">
        <w:rPr>
          <w:color w:val="000000"/>
          <w:szCs w:val="22"/>
        </w:rPr>
        <w:t>) the maximum is attained (i.e.</w:t>
      </w:r>
      <w:r w:rsidRPr="00517276">
        <w:rPr>
          <w:color w:val="000000"/>
          <w:szCs w:val="22"/>
        </w:rPr>
        <w:t xml:space="preserve"> the slope). The asymptotic average was then used as the guideline value for each percentile (</w:t>
      </w:r>
      <w:r>
        <w:rPr>
          <w:color w:val="000000"/>
          <w:szCs w:val="22"/>
        </w:rPr>
        <w:fldChar w:fldCharType="begin"/>
      </w:r>
      <w:r>
        <w:rPr>
          <w:color w:val="000000"/>
          <w:szCs w:val="22"/>
        </w:rPr>
        <w:instrText xml:space="preserve"> REF _Ref340344284 \h </w:instrText>
      </w:r>
      <w:r>
        <w:rPr>
          <w:color w:val="000000"/>
          <w:szCs w:val="22"/>
        </w:rPr>
      </w:r>
      <w:r>
        <w:rPr>
          <w:color w:val="000000"/>
          <w:szCs w:val="22"/>
        </w:rPr>
        <w:fldChar w:fldCharType="separate"/>
      </w:r>
      <w:r w:rsidR="00F87DF9">
        <w:rPr>
          <w:color w:val="000000"/>
        </w:rPr>
        <w:t xml:space="preserve">Table </w:t>
      </w:r>
      <w:r w:rsidR="00F87DF9">
        <w:rPr>
          <w:noProof/>
          <w:color w:val="000000"/>
        </w:rPr>
        <w:t>38</w:t>
      </w:r>
      <w:r>
        <w:rPr>
          <w:color w:val="000000"/>
          <w:szCs w:val="22"/>
        </w:rPr>
        <w:fldChar w:fldCharType="end"/>
      </w:r>
      <w:r w:rsidRPr="00517276">
        <w:rPr>
          <w:color w:val="000000"/>
          <w:szCs w:val="22"/>
        </w:rPr>
        <w:t>).</w:t>
      </w:r>
    </w:p>
    <w:p w14:paraId="5197C084" w14:textId="77777777" w:rsidR="00EC7975" w:rsidRPr="00517276" w:rsidRDefault="001F4593" w:rsidP="00EC7975">
      <w:pPr>
        <w:jc w:val="center"/>
        <w:rPr>
          <w:color w:val="000000"/>
        </w:rPr>
      </w:pPr>
      <w:bookmarkStart w:id="994" w:name="_Ref316226853"/>
      <w:r w:rsidRPr="00517276">
        <w:rPr>
          <w:noProof/>
          <w:color w:val="000000"/>
          <w:lang w:eastAsia="en-AU"/>
        </w:rPr>
        <w:drawing>
          <wp:inline distT="0" distB="0" distL="0" distR="0" wp14:anchorId="59543097" wp14:editId="0DD9078C">
            <wp:extent cx="2773045" cy="2096770"/>
            <wp:effectExtent l="0" t="0" r="0" b="0"/>
            <wp:docPr id="131" name="Picture 131" descr="Figure showing relationship between sample size and the error in estimation of percentile values for seagrass abundance (% cover) in coastal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igure showing relationship between sample size and the error in estimation of percentile values for seagrass abundance (% cover) in coastal seagrass habitats in the Wet Tropics NRM."/>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2773045" cy="2096770"/>
                    </a:xfrm>
                    <a:prstGeom prst="rect">
                      <a:avLst/>
                    </a:prstGeom>
                    <a:noFill/>
                    <a:ln>
                      <a:noFill/>
                    </a:ln>
                  </pic:spPr>
                </pic:pic>
              </a:graphicData>
            </a:graphic>
          </wp:inline>
        </w:drawing>
      </w:r>
      <w:r w:rsidR="00EC7975" w:rsidRPr="00517276">
        <w:rPr>
          <w:color w:val="000000"/>
        </w:rPr>
        <w:t xml:space="preserve"> </w:t>
      </w:r>
      <w:r w:rsidRPr="00517276">
        <w:rPr>
          <w:noProof/>
          <w:color w:val="000000"/>
          <w:sz w:val="18"/>
          <w:szCs w:val="18"/>
          <w:lang w:eastAsia="en-AU"/>
        </w:rPr>
        <w:drawing>
          <wp:inline distT="0" distB="0" distL="0" distR="0" wp14:anchorId="5A032E8B" wp14:editId="471D7C89">
            <wp:extent cx="2768600" cy="2092325"/>
            <wp:effectExtent l="0" t="0" r="0" b="0"/>
            <wp:docPr id="132" name="Picture 132" descr="Figure showing relationship between sample size and the error in estimation of percentile values for seagrass abundance (% cover) in reef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igure showing relationship between sample size and the error in estimation of percentile values for seagrass abundance (% cover) in reef seagrass habitats in the Wet Tropics NRM."/>
                    <pic:cNvPicPr>
                      <a:picLocks noChangeAspect="1" noChangeArrowheads="1"/>
                    </pic:cNvPicPr>
                  </pic:nvPicPr>
                  <pic:blipFill>
                    <a:blip r:embed="rId227" cstate="print">
                      <a:extLst>
                        <a:ext uri="{28A0092B-C50C-407E-A947-70E740481C1C}">
                          <a14:useLocalDpi xmlns:a14="http://schemas.microsoft.com/office/drawing/2010/main" val="0"/>
                        </a:ext>
                      </a:extLst>
                    </a:blip>
                    <a:srcRect/>
                    <a:stretch>
                      <a:fillRect/>
                    </a:stretch>
                  </pic:blipFill>
                  <pic:spPr bwMode="auto">
                    <a:xfrm>
                      <a:off x="0" y="0"/>
                      <a:ext cx="2768600" cy="2092325"/>
                    </a:xfrm>
                    <a:prstGeom prst="rect">
                      <a:avLst/>
                    </a:prstGeom>
                    <a:noFill/>
                    <a:ln>
                      <a:noFill/>
                    </a:ln>
                  </pic:spPr>
                </pic:pic>
              </a:graphicData>
            </a:graphic>
          </wp:inline>
        </w:drawing>
      </w:r>
    </w:p>
    <w:p w14:paraId="45C167A3" w14:textId="4D3F5298" w:rsidR="00EC7975" w:rsidRPr="00517276" w:rsidRDefault="00EC7975" w:rsidP="00EC7975">
      <w:pPr>
        <w:rPr>
          <w:i/>
          <w:vanish/>
          <w:color w:val="000000"/>
          <w:szCs w:val="22"/>
          <w:specVanish/>
        </w:rPr>
      </w:pPr>
      <w:bookmarkStart w:id="995" w:name="_Ref410560182"/>
      <w:bookmarkStart w:id="996" w:name="_Toc431493916"/>
      <w:bookmarkStart w:id="997" w:name="_Toc516053349"/>
      <w:r w:rsidRPr="0051727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139</w:t>
      </w:r>
      <w:r w:rsidR="0073595B">
        <w:rPr>
          <w:color w:val="000000"/>
        </w:rPr>
        <w:fldChar w:fldCharType="end"/>
      </w:r>
      <w:bookmarkEnd w:id="994"/>
      <w:bookmarkEnd w:id="995"/>
      <w:r w:rsidRPr="00517276">
        <w:rPr>
          <w:color w:val="000000"/>
        </w:rPr>
        <w:t xml:space="preserve">. </w:t>
      </w:r>
      <w:r w:rsidRPr="00517276">
        <w:rPr>
          <w:i/>
          <w:color w:val="000000"/>
        </w:rPr>
        <w:t>Relationship between sample size and the error in estimation of percentile values for seagrass abundance (</w:t>
      </w:r>
      <w:r w:rsidR="0063478C">
        <w:rPr>
          <w:i/>
          <w:color w:val="000000"/>
        </w:rPr>
        <w:t xml:space="preserve"> per cent</w:t>
      </w:r>
      <w:r w:rsidRPr="00517276">
        <w:rPr>
          <w:i/>
          <w:color w:val="000000"/>
        </w:rPr>
        <w:t xml:space="preserve"> cover) in coastal and reef seagrass habitats in the Wet Tropics NRM.</w:t>
      </w:r>
      <w:bookmarkEnd w:id="996"/>
      <w:bookmarkEnd w:id="997"/>
      <w:r w:rsidRPr="00517276">
        <w:rPr>
          <w:i/>
          <w:color w:val="000000"/>
        </w:rPr>
        <w:t xml:space="preserve"> </w:t>
      </w:r>
    </w:p>
    <w:p w14:paraId="27B1B055" w14:textId="66E640AA" w:rsidR="00EC7975" w:rsidRPr="00517276" w:rsidRDefault="00EC7975" w:rsidP="00EC7975">
      <w:pPr>
        <w:rPr>
          <w:color w:val="000000"/>
        </w:rPr>
      </w:pPr>
      <w:r w:rsidRPr="00517276">
        <w:rPr>
          <w:i/>
          <w:color w:val="000000"/>
          <w:sz w:val="18"/>
          <w:szCs w:val="18"/>
        </w:rPr>
        <w:sym w:font="Wingdings 3" w:char="F071"/>
      </w:r>
      <w:r w:rsidRPr="00517276">
        <w:rPr>
          <w:i/>
          <w:color w:val="000000"/>
        </w:rPr>
        <w:t xml:space="preserve"> = 75</w:t>
      </w:r>
      <w:r w:rsidRPr="00DA2935">
        <w:rPr>
          <w:i/>
          <w:color w:val="000000"/>
          <w:vertAlign w:val="superscript"/>
        </w:rPr>
        <w:t>th</w:t>
      </w:r>
      <w:r w:rsidRPr="00517276">
        <w:rPr>
          <w:i/>
          <w:color w:val="000000"/>
        </w:rPr>
        <w:t xml:space="preserve"> percentile, ○ = 50</w:t>
      </w:r>
      <w:r w:rsidRPr="00DA2935">
        <w:rPr>
          <w:i/>
          <w:color w:val="000000"/>
          <w:vertAlign w:val="superscript"/>
        </w:rPr>
        <w:t>th</w:t>
      </w:r>
      <w:r w:rsidRPr="00517276">
        <w:rPr>
          <w:i/>
          <w:color w:val="000000"/>
        </w:rPr>
        <w:t xml:space="preserve"> percentile,● = 20</w:t>
      </w:r>
      <w:r w:rsidRPr="00DA2935">
        <w:rPr>
          <w:i/>
          <w:color w:val="000000"/>
          <w:vertAlign w:val="superscript"/>
        </w:rPr>
        <w:t>th</w:t>
      </w:r>
      <w:r w:rsidRPr="00517276">
        <w:rPr>
          <w:i/>
          <w:color w:val="000000"/>
        </w:rPr>
        <w:t xml:space="preserve"> percentile. </w:t>
      </w:r>
      <w:r w:rsidR="009C00A1">
        <w:rPr>
          <w:i/>
          <w:color w:val="000000"/>
        </w:rPr>
        <w:t>Horizontal</w:t>
      </w:r>
      <w:r w:rsidRPr="00517276">
        <w:rPr>
          <w:i/>
          <w:color w:val="000000"/>
        </w:rPr>
        <w:t xml:space="preserve"> lines are asymptotic averages for each percentile plot. </w:t>
      </w:r>
    </w:p>
    <w:p w14:paraId="66C677BB" w14:textId="77777777" w:rsidR="00EC7975" w:rsidRPr="00517276" w:rsidRDefault="00EC7975" w:rsidP="00EC7975">
      <w:pPr>
        <w:rPr>
          <w:color w:val="000000"/>
          <w:szCs w:val="22"/>
        </w:rPr>
      </w:pPr>
      <w:r w:rsidRPr="00517276">
        <w:rPr>
          <w:color w:val="000000"/>
          <w:szCs w:val="22"/>
        </w:rPr>
        <w:t>As sampling events occur every 3-6 months depending on the site, this is equivalent to 3-10 years of monitoring to establish percentile values. Based on the analyses, it was recommended that estimates of the 20</w:t>
      </w:r>
      <w:r w:rsidRPr="00517276">
        <w:rPr>
          <w:color w:val="000000"/>
          <w:szCs w:val="22"/>
          <w:vertAlign w:val="superscript"/>
        </w:rPr>
        <w:t>th</w:t>
      </w:r>
      <w:r w:rsidRPr="00517276">
        <w:rPr>
          <w:color w:val="000000"/>
          <w:szCs w:val="22"/>
        </w:rPr>
        <w:t xml:space="preserve"> percentile at a reference site should be based on a minimum of 18 samples collected over at least three years. For the 50</w:t>
      </w:r>
      <w:r w:rsidRPr="00517276">
        <w:rPr>
          <w:color w:val="000000"/>
          <w:szCs w:val="22"/>
          <w:vertAlign w:val="superscript"/>
        </w:rPr>
        <w:t>th</w:t>
      </w:r>
      <w:r w:rsidRPr="00517276">
        <w:rPr>
          <w:color w:val="000000"/>
          <w:szCs w:val="22"/>
        </w:rPr>
        <w:t xml:space="preserve"> percentile a smaller minimum number of samples (approximately 10–12) would be adequate but in most situations it would be necessary to collect sufficient data for the 20</w:t>
      </w:r>
      <w:r w:rsidRPr="00517276">
        <w:rPr>
          <w:color w:val="000000"/>
          <w:szCs w:val="22"/>
          <w:vertAlign w:val="superscript"/>
        </w:rPr>
        <w:t>th</w:t>
      </w:r>
      <w:r w:rsidRPr="00517276">
        <w:rPr>
          <w:color w:val="000000"/>
          <w:szCs w:val="22"/>
        </w:rPr>
        <w:t xml:space="preserve"> percentile anyway. For seagrass habitats with low variability, a more appropriate guideline was the 10</w:t>
      </w:r>
      <w:r w:rsidRPr="00517276">
        <w:rPr>
          <w:color w:val="000000"/>
          <w:szCs w:val="22"/>
          <w:vertAlign w:val="superscript"/>
        </w:rPr>
        <w:t>th</w:t>
      </w:r>
      <w:r w:rsidRPr="00517276">
        <w:rPr>
          <w:color w:val="000000"/>
          <w:szCs w:val="22"/>
        </w:rPr>
        <w:t xml:space="preserve"> percentile primarily the result of seasonal fluctuations (as nearly every seasonal low would fall below the 20</w:t>
      </w:r>
      <w:r w:rsidRPr="00517276">
        <w:rPr>
          <w:color w:val="000000"/>
          <w:szCs w:val="22"/>
          <w:vertAlign w:val="superscript"/>
        </w:rPr>
        <w:t>th</w:t>
      </w:r>
      <w:r w:rsidRPr="00517276">
        <w:rPr>
          <w:color w:val="000000"/>
          <w:szCs w:val="22"/>
        </w:rPr>
        <w:t xml:space="preserve"> percentile). Percentile variability was further reduced within a habitat type of each region by pooling at least two (preferably more) reference sites to derive guidelines. The subregional guideline is calculated from the mean of all reference sites within a habitat type within a region.</w:t>
      </w:r>
    </w:p>
    <w:p w14:paraId="66EC2C61" w14:textId="2CB8AD46" w:rsidR="00EC7975" w:rsidRPr="00517276" w:rsidRDefault="00EC7975" w:rsidP="00EC7975">
      <w:pPr>
        <w:rPr>
          <w:color w:val="000000"/>
          <w:szCs w:val="22"/>
        </w:rPr>
      </w:pPr>
      <w:r w:rsidRPr="00517276">
        <w:rPr>
          <w:color w:val="000000"/>
          <w:szCs w:val="22"/>
        </w:rPr>
        <w:t>Using the seagrass guidelines, seagrass state can be determined for each monitoring event at each site and allocated as good (median abundance at or above 50</w:t>
      </w:r>
      <w:r w:rsidRPr="00517276">
        <w:rPr>
          <w:color w:val="000000"/>
          <w:szCs w:val="22"/>
          <w:vertAlign w:val="superscript"/>
        </w:rPr>
        <w:t>th</w:t>
      </w:r>
      <w:r w:rsidRPr="00517276">
        <w:rPr>
          <w:color w:val="000000"/>
          <w:szCs w:val="22"/>
        </w:rPr>
        <w:t xml:space="preserve"> percentile), moderate (median abundance below 50</w:t>
      </w:r>
      <w:r w:rsidRPr="00517276">
        <w:rPr>
          <w:color w:val="000000"/>
          <w:szCs w:val="22"/>
          <w:vertAlign w:val="superscript"/>
        </w:rPr>
        <w:t>th</w:t>
      </w:r>
      <w:r w:rsidRPr="00517276">
        <w:rPr>
          <w:color w:val="000000"/>
          <w:szCs w:val="22"/>
        </w:rPr>
        <w:t xml:space="preserve"> percentile and at or above 20</w:t>
      </w:r>
      <w:r w:rsidRPr="00517276">
        <w:rPr>
          <w:color w:val="000000"/>
          <w:szCs w:val="22"/>
          <w:vertAlign w:val="superscript"/>
        </w:rPr>
        <w:t>th</w:t>
      </w:r>
      <w:r w:rsidRPr="00517276">
        <w:rPr>
          <w:color w:val="000000"/>
          <w:szCs w:val="22"/>
        </w:rPr>
        <w:t xml:space="preserve"> percentile), poor (median abundance below 20</w:t>
      </w:r>
      <w:r w:rsidRPr="00517276">
        <w:rPr>
          <w:color w:val="000000"/>
          <w:szCs w:val="22"/>
          <w:vertAlign w:val="superscript"/>
        </w:rPr>
        <w:t>th</w:t>
      </w:r>
      <w:r w:rsidRPr="00517276">
        <w:rPr>
          <w:color w:val="000000"/>
          <w:szCs w:val="22"/>
        </w:rPr>
        <w:t xml:space="preserve"> or 10</w:t>
      </w:r>
      <w:r w:rsidRPr="00517276">
        <w:rPr>
          <w:color w:val="000000"/>
          <w:szCs w:val="22"/>
          <w:vertAlign w:val="superscript"/>
        </w:rPr>
        <w:t>th</w:t>
      </w:r>
      <w:r w:rsidRPr="00517276">
        <w:rPr>
          <w:color w:val="000000"/>
          <w:szCs w:val="22"/>
        </w:rPr>
        <w:t xml:space="preserve"> percentile).  For example, when the median seagrass abundance for Yule Point is plotted against the 20</w:t>
      </w:r>
      <w:r w:rsidRPr="00517276">
        <w:rPr>
          <w:color w:val="000000"/>
          <w:szCs w:val="22"/>
          <w:vertAlign w:val="superscript"/>
        </w:rPr>
        <w:t>th</w:t>
      </w:r>
      <w:r w:rsidRPr="00517276">
        <w:rPr>
          <w:color w:val="000000"/>
          <w:szCs w:val="22"/>
        </w:rPr>
        <w:t xml:space="preserve"> and 50</w:t>
      </w:r>
      <w:r w:rsidRPr="00517276">
        <w:rPr>
          <w:color w:val="000000"/>
          <w:szCs w:val="22"/>
          <w:vertAlign w:val="superscript"/>
        </w:rPr>
        <w:t>th</w:t>
      </w:r>
      <w:r w:rsidRPr="00517276">
        <w:rPr>
          <w:color w:val="000000"/>
          <w:szCs w:val="22"/>
        </w:rPr>
        <w:t xml:space="preserve"> percentiles for coastal habitats in the Wet Tropics (</w:t>
      </w:r>
      <w:r w:rsidR="00144953">
        <w:rPr>
          <w:color w:val="000000"/>
          <w:szCs w:val="22"/>
        </w:rPr>
        <w:fldChar w:fldCharType="begin"/>
      </w:r>
      <w:r w:rsidR="00144953">
        <w:rPr>
          <w:color w:val="000000"/>
          <w:szCs w:val="22"/>
        </w:rPr>
        <w:instrText xml:space="preserve"> REF _Ref410146982 \h </w:instrText>
      </w:r>
      <w:r w:rsidR="00144953">
        <w:rPr>
          <w:color w:val="000000"/>
          <w:szCs w:val="22"/>
        </w:rPr>
      </w:r>
      <w:r w:rsidR="00144953">
        <w:rPr>
          <w:color w:val="000000"/>
          <w:szCs w:val="22"/>
        </w:rPr>
        <w:fldChar w:fldCharType="separate"/>
      </w:r>
      <w:r w:rsidR="00F87DF9" w:rsidRPr="00517276">
        <w:rPr>
          <w:color w:val="000000"/>
          <w:szCs w:val="22"/>
        </w:rPr>
        <w:t xml:space="preserve">Figure </w:t>
      </w:r>
      <w:r w:rsidR="00F87DF9">
        <w:rPr>
          <w:noProof/>
          <w:color w:val="000000"/>
          <w:szCs w:val="22"/>
        </w:rPr>
        <w:t>140</w:t>
      </w:r>
      <w:r w:rsidR="00144953">
        <w:rPr>
          <w:color w:val="000000"/>
          <w:szCs w:val="22"/>
        </w:rPr>
        <w:fldChar w:fldCharType="end"/>
      </w:r>
      <w:r w:rsidRPr="00517276">
        <w:rPr>
          <w:color w:val="000000"/>
          <w:szCs w:val="22"/>
        </w:rPr>
        <w:t>), it indicates that the meadows were in a poor condition in mid 2000, mid 2001 and mid 2006 (based on abundance).</w:t>
      </w:r>
    </w:p>
    <w:p w14:paraId="0D6F7137" w14:textId="77777777" w:rsidR="00EC7975" w:rsidRPr="00517276" w:rsidRDefault="001F4593" w:rsidP="00EC7975">
      <w:pPr>
        <w:jc w:val="center"/>
        <w:rPr>
          <w:color w:val="000000"/>
          <w:szCs w:val="22"/>
        </w:rPr>
      </w:pPr>
      <w:bookmarkStart w:id="998" w:name="_Ref316226955"/>
      <w:r w:rsidRPr="00517276">
        <w:rPr>
          <w:noProof/>
          <w:color w:val="000000"/>
          <w:lang w:eastAsia="en-AU"/>
        </w:rPr>
        <w:drawing>
          <wp:inline distT="0" distB="0" distL="0" distR="0" wp14:anchorId="513F7F24" wp14:editId="0BFD6D16">
            <wp:extent cx="2700000" cy="1641600"/>
            <wp:effectExtent l="0" t="0" r="5715" b="0"/>
            <wp:docPr id="133" name="Picture 133" descr="Figure showing median seagrass abundance (% cover) at Yule Point plotted against the 50th and 20th percentiles for coastal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Figure showing median seagrass abundance (% cover) at Yule Point plotted against the 50th and 20th percentiles for coastal seagrass habitat in the Wet Tropics"/>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r w:rsidR="005F7F6E">
        <w:rPr>
          <w:color w:val="000000"/>
          <w:szCs w:val="22"/>
        </w:rPr>
        <w:t xml:space="preserve"> </w:t>
      </w:r>
      <w:r w:rsidR="005F7F6E" w:rsidRPr="00517276">
        <w:rPr>
          <w:noProof/>
          <w:color w:val="000000"/>
          <w:lang w:eastAsia="en-AU"/>
        </w:rPr>
        <w:drawing>
          <wp:inline distT="0" distB="0" distL="0" distR="0" wp14:anchorId="144E92C7" wp14:editId="25618F19">
            <wp:extent cx="2700000" cy="1641600"/>
            <wp:effectExtent l="0" t="0" r="5715" b="0"/>
            <wp:docPr id="134" name="Picture 134" descr="Figure showing median seagrass abundance (% cover) at Green Island plotted against the 50th and 10th percentiles for intertidal reef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Figure showing median seagrass abundance (% cover) at Green Island plotted against the 50th and 10th percentiles for intertidal reef seagrass habitat in the Wet Tropics."/>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p>
    <w:p w14:paraId="0756F4A5" w14:textId="4FEAAB36" w:rsidR="00EC7975" w:rsidRPr="00517276" w:rsidRDefault="00EC7975" w:rsidP="00EC7975">
      <w:pPr>
        <w:rPr>
          <w:i/>
          <w:color w:val="000000"/>
          <w:szCs w:val="22"/>
        </w:rPr>
      </w:pPr>
      <w:bookmarkStart w:id="999" w:name="_Ref410146982"/>
      <w:bookmarkStart w:id="1000" w:name="_Toc431493917"/>
      <w:bookmarkStart w:id="1001" w:name="_Toc516053350"/>
      <w:r w:rsidRPr="0051727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140</w:t>
      </w:r>
      <w:r w:rsidR="0073595B">
        <w:rPr>
          <w:color w:val="000000"/>
          <w:szCs w:val="22"/>
        </w:rPr>
        <w:fldChar w:fldCharType="end"/>
      </w:r>
      <w:bookmarkEnd w:id="998"/>
      <w:bookmarkEnd w:id="999"/>
      <w:r w:rsidRPr="00517276">
        <w:rPr>
          <w:color w:val="000000"/>
          <w:szCs w:val="22"/>
        </w:rPr>
        <w:t>.</w:t>
      </w:r>
      <w:r w:rsidRPr="00517276">
        <w:rPr>
          <w:i/>
          <w:color w:val="000000"/>
          <w:szCs w:val="22"/>
        </w:rPr>
        <w:t xml:space="preserve"> Median seagrass abundance (</w:t>
      </w:r>
      <w:r w:rsidR="0063478C">
        <w:rPr>
          <w:i/>
          <w:color w:val="000000"/>
          <w:szCs w:val="22"/>
        </w:rPr>
        <w:t xml:space="preserve"> per cent</w:t>
      </w:r>
      <w:r w:rsidRPr="00517276">
        <w:rPr>
          <w:i/>
          <w:color w:val="000000"/>
          <w:szCs w:val="22"/>
        </w:rPr>
        <w:t xml:space="preserve"> cover) at Yule Point </w:t>
      </w:r>
      <w:r w:rsidR="005F7F6E">
        <w:rPr>
          <w:i/>
          <w:color w:val="000000"/>
          <w:szCs w:val="22"/>
        </w:rPr>
        <w:t xml:space="preserve">(left) and Green Island (right) </w:t>
      </w:r>
      <w:r w:rsidRPr="00517276">
        <w:rPr>
          <w:i/>
          <w:color w:val="000000"/>
          <w:szCs w:val="22"/>
        </w:rPr>
        <w:t>plotted against the 50</w:t>
      </w:r>
      <w:r w:rsidRPr="00517276">
        <w:rPr>
          <w:i/>
          <w:color w:val="000000"/>
          <w:szCs w:val="22"/>
          <w:vertAlign w:val="superscript"/>
        </w:rPr>
        <w:t>th</w:t>
      </w:r>
      <w:r w:rsidRPr="00517276">
        <w:rPr>
          <w:i/>
          <w:color w:val="000000"/>
          <w:szCs w:val="22"/>
        </w:rPr>
        <w:t xml:space="preserve"> and 20</w:t>
      </w:r>
      <w:r w:rsidRPr="00517276">
        <w:rPr>
          <w:i/>
          <w:color w:val="000000"/>
          <w:szCs w:val="22"/>
          <w:vertAlign w:val="superscript"/>
        </w:rPr>
        <w:t>th</w:t>
      </w:r>
      <w:r w:rsidRPr="00517276">
        <w:rPr>
          <w:i/>
          <w:color w:val="000000"/>
          <w:szCs w:val="22"/>
        </w:rPr>
        <w:t xml:space="preserve"> percentiles for coastal </w:t>
      </w:r>
      <w:r w:rsidR="005F7F6E">
        <w:rPr>
          <w:i/>
          <w:color w:val="000000"/>
          <w:szCs w:val="22"/>
        </w:rPr>
        <w:t xml:space="preserve">and </w:t>
      </w:r>
      <w:r w:rsidR="005F7F6E" w:rsidRPr="00517276">
        <w:rPr>
          <w:i/>
          <w:color w:val="000000"/>
          <w:szCs w:val="22"/>
        </w:rPr>
        <w:t xml:space="preserve">intertidal reef </w:t>
      </w:r>
      <w:r w:rsidRPr="00517276">
        <w:rPr>
          <w:i/>
          <w:color w:val="000000"/>
          <w:szCs w:val="22"/>
        </w:rPr>
        <w:t>seagrass habitat in the Wet Tropics.</w:t>
      </w:r>
      <w:bookmarkEnd w:id="1000"/>
      <w:bookmarkEnd w:id="1001"/>
    </w:p>
    <w:p w14:paraId="2DF4111E" w14:textId="77777777" w:rsidR="00EC7975" w:rsidRPr="00517276" w:rsidRDefault="00EC7975" w:rsidP="00EC7975">
      <w:pPr>
        <w:rPr>
          <w:color w:val="000000"/>
          <w:szCs w:val="22"/>
        </w:rPr>
      </w:pPr>
      <w:r w:rsidRPr="00517276">
        <w:rPr>
          <w:color w:val="000000"/>
          <w:szCs w:val="22"/>
        </w:rPr>
        <w:t>Similarly, when the median seagrass abundance for Green Island is plotted against the 20</w:t>
      </w:r>
      <w:r w:rsidRPr="00517276">
        <w:rPr>
          <w:color w:val="000000"/>
          <w:szCs w:val="22"/>
          <w:vertAlign w:val="superscript"/>
        </w:rPr>
        <w:t>th</w:t>
      </w:r>
      <w:r w:rsidRPr="00517276">
        <w:rPr>
          <w:color w:val="000000"/>
          <w:szCs w:val="22"/>
        </w:rPr>
        <w:t xml:space="preserve"> and 50</w:t>
      </w:r>
      <w:r w:rsidRPr="00517276">
        <w:rPr>
          <w:color w:val="000000"/>
          <w:szCs w:val="22"/>
          <w:vertAlign w:val="superscript"/>
        </w:rPr>
        <w:t>th</w:t>
      </w:r>
      <w:r w:rsidRPr="00517276">
        <w:rPr>
          <w:color w:val="000000"/>
          <w:szCs w:val="22"/>
        </w:rPr>
        <w:t xml:space="preserve"> percentiles for intertidal reef habitats in the Wet Tropics, it indicates that the meadows were in a poor condition in the middle of most years (based on abundance). However, the poor rating is most likely a consequence of seasonal lows in abundance. Therefore, in this instance, it was more appropriate to set the guideline at the 10</w:t>
      </w:r>
      <w:r w:rsidRPr="00517276">
        <w:rPr>
          <w:color w:val="000000"/>
          <w:szCs w:val="22"/>
          <w:vertAlign w:val="superscript"/>
        </w:rPr>
        <w:t>th</w:t>
      </w:r>
      <w:r w:rsidRPr="00517276">
        <w:rPr>
          <w:color w:val="000000"/>
          <w:szCs w:val="22"/>
        </w:rPr>
        <w:t xml:space="preserve"> rather than the 20</w:t>
      </w:r>
      <w:r w:rsidRPr="00517276">
        <w:rPr>
          <w:color w:val="000000"/>
          <w:szCs w:val="22"/>
          <w:vertAlign w:val="superscript"/>
        </w:rPr>
        <w:t>th</w:t>
      </w:r>
      <w:r w:rsidRPr="00517276">
        <w:rPr>
          <w:color w:val="000000"/>
          <w:szCs w:val="22"/>
        </w:rPr>
        <w:t xml:space="preserve"> percentile.</w:t>
      </w:r>
    </w:p>
    <w:p w14:paraId="07418810" w14:textId="0108B2EC" w:rsidR="00EC7975" w:rsidRPr="00517276" w:rsidRDefault="00EC7975" w:rsidP="00EC7975">
      <w:pPr>
        <w:spacing w:before="240"/>
        <w:rPr>
          <w:color w:val="000000"/>
          <w:szCs w:val="22"/>
        </w:rPr>
      </w:pPr>
      <w:r w:rsidRPr="00517276">
        <w:rPr>
          <w:color w:val="000000"/>
          <w:szCs w:val="22"/>
        </w:rPr>
        <w:t>Using this approach, subregional seagrass abundance guidelines (hereafter known as “the seagrass guidelines”) were developed for each seagrass habitat types where possible (</w:t>
      </w:r>
      <w:r w:rsidRPr="00517276">
        <w:rPr>
          <w:color w:val="000000"/>
          <w:szCs w:val="22"/>
        </w:rPr>
        <w:fldChar w:fldCharType="begin"/>
      </w:r>
      <w:r w:rsidRPr="00517276">
        <w:rPr>
          <w:color w:val="000000"/>
          <w:szCs w:val="22"/>
        </w:rPr>
        <w:instrText xml:space="preserve"> REF _Ref340344284 \h  \* MERGEFORMAT </w:instrText>
      </w:r>
      <w:r w:rsidRPr="00517276">
        <w:rPr>
          <w:color w:val="000000"/>
          <w:szCs w:val="22"/>
        </w:rPr>
      </w:r>
      <w:r w:rsidRPr="00517276">
        <w:rPr>
          <w:color w:val="000000"/>
          <w:szCs w:val="22"/>
        </w:rPr>
        <w:fldChar w:fldCharType="separate"/>
      </w:r>
      <w:r w:rsidR="00F87DF9">
        <w:rPr>
          <w:color w:val="000000"/>
        </w:rPr>
        <w:t xml:space="preserve">Table </w:t>
      </w:r>
      <w:r w:rsidR="00F87DF9">
        <w:rPr>
          <w:noProof/>
          <w:color w:val="000000"/>
        </w:rPr>
        <w:t>38</w:t>
      </w:r>
      <w:r w:rsidRPr="00517276">
        <w:rPr>
          <w:color w:val="000000"/>
          <w:szCs w:val="22"/>
        </w:rPr>
        <w:fldChar w:fldCharType="end"/>
      </w:r>
      <w:r w:rsidRPr="00517276">
        <w:rPr>
          <w:color w:val="000000"/>
          <w:szCs w:val="22"/>
        </w:rPr>
        <w:t xml:space="preserve">). If an individual site had 18 or more sampling events </w:t>
      </w:r>
      <w:r w:rsidR="008D142C">
        <w:rPr>
          <w:color w:val="000000"/>
          <w:szCs w:val="22"/>
        </w:rPr>
        <w:t>and no identified impacts (e.g.</w:t>
      </w:r>
      <w:r w:rsidRPr="00517276">
        <w:rPr>
          <w:color w:val="000000"/>
          <w:szCs w:val="22"/>
        </w:rPr>
        <w:t xml:space="preserve"> major loss from cyclone), an abundance guideline was determined at the site or location level rather than using the subregional guideline from the reference sites (i.e. as more guidelines are developed at the site level, they contribute to the subregional guideline).</w:t>
      </w:r>
    </w:p>
    <w:p w14:paraId="780D9152" w14:textId="0F9CCD16" w:rsidR="00842050" w:rsidRDefault="00842050" w:rsidP="00842050">
      <w:pPr>
        <w:spacing w:before="240"/>
        <w:rPr>
          <w:color w:val="000000"/>
          <w:szCs w:val="22"/>
        </w:rPr>
      </w:pPr>
      <w:r>
        <w:rPr>
          <w:color w:val="000000"/>
          <w:szCs w:val="22"/>
        </w:rPr>
        <w:t>After discussions with GBRMPA scientists and the Paddock to Reef integration team, the seagrass guidelines were further refined by allocating the additional categories of very good (median abundance at or above 75</w:t>
      </w:r>
      <w:r>
        <w:rPr>
          <w:color w:val="000000"/>
          <w:szCs w:val="22"/>
          <w:vertAlign w:val="superscript"/>
        </w:rPr>
        <w:t>th</w:t>
      </w:r>
      <w:r>
        <w:rPr>
          <w:color w:val="000000"/>
          <w:szCs w:val="22"/>
        </w:rPr>
        <w:t xml:space="preserve"> percentile), and very poor (median abundance below 20</w:t>
      </w:r>
      <w:r>
        <w:rPr>
          <w:color w:val="000000"/>
          <w:szCs w:val="22"/>
          <w:vertAlign w:val="superscript"/>
        </w:rPr>
        <w:t>th</w:t>
      </w:r>
      <w:r>
        <w:rPr>
          <w:color w:val="000000"/>
          <w:szCs w:val="22"/>
        </w:rPr>
        <w:t xml:space="preserve"> or 10</w:t>
      </w:r>
      <w:r>
        <w:rPr>
          <w:color w:val="000000"/>
          <w:szCs w:val="22"/>
          <w:vertAlign w:val="superscript"/>
        </w:rPr>
        <w:t>th</w:t>
      </w:r>
      <w:r>
        <w:rPr>
          <w:color w:val="000000"/>
          <w:szCs w:val="22"/>
        </w:rPr>
        <w:t xml:space="preserve"> percentile and declined by &gt;20</w:t>
      </w:r>
      <w:r w:rsidR="0063478C">
        <w:rPr>
          <w:color w:val="000000"/>
          <w:szCs w:val="22"/>
        </w:rPr>
        <w:t xml:space="preserve"> per cent</w:t>
      </w:r>
      <w:r>
        <w:rPr>
          <w:color w:val="000000"/>
          <w:szCs w:val="22"/>
        </w:rPr>
        <w:t xml:space="preserve"> since previous sampling event). Seagrass state was then rescaled to a five point scale from 0 to 100 to allow integration with other components of the Paddock to Reef report card (</w:t>
      </w:r>
      <w:hyperlink w:anchor="_ENREF_79" w:tooltip="Department of the Premier and Cabinet, 2014 #10062" w:history="1">
        <w:r w:rsidR="00305FE7">
          <w:fldChar w:fldCharType="begin"/>
        </w:r>
        <w:r w:rsidR="00305FE7">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305FE7">
          <w:fldChar w:fldCharType="separate"/>
        </w:r>
        <w:r w:rsidR="00305FE7">
          <w:rPr>
            <w:noProof/>
          </w:rPr>
          <w:t>Department of the Premier and Cabinet 2014</w:t>
        </w:r>
        <w:r w:rsidR="00305FE7">
          <w:fldChar w:fldCharType="end"/>
        </w:r>
      </w:hyperlink>
      <w:r>
        <w:rPr>
          <w:color w:val="000000"/>
          <w:szCs w:val="22"/>
        </w:rPr>
        <w:t>). Please note that the scale from 0 to 100 is unitless and should not be interpreted as a proportion or ratio.</w:t>
      </w:r>
    </w:p>
    <w:p w14:paraId="3B8CE9E1" w14:textId="77777777" w:rsidR="005F7F6E" w:rsidRDefault="005F7F6E">
      <w:pPr>
        <w:spacing w:before="0" w:after="0"/>
        <w:rPr>
          <w:color w:val="000000"/>
          <w:szCs w:val="22"/>
        </w:rPr>
      </w:pPr>
      <w:r>
        <w:rPr>
          <w:color w:val="000000"/>
          <w:szCs w:val="22"/>
        </w:rPr>
        <w:br w:type="page"/>
      </w:r>
    </w:p>
    <w:p w14:paraId="27F53694" w14:textId="35DE77C1" w:rsidR="00842050" w:rsidRDefault="00842050" w:rsidP="00BA2BCE">
      <w:pPr>
        <w:keepNext/>
        <w:spacing w:after="0"/>
        <w:ind w:left="142"/>
        <w:jc w:val="center"/>
        <w:rPr>
          <w:i/>
          <w:vanish/>
          <w:color w:val="000000"/>
          <w:szCs w:val="22"/>
          <w:specVanish/>
        </w:rPr>
      </w:pPr>
      <w:bookmarkStart w:id="1002" w:name="_Ref340344284"/>
      <w:bookmarkStart w:id="1003" w:name="_Toc431494020"/>
      <w:bookmarkStart w:id="1004" w:name="_Toc516053462"/>
      <w:bookmarkStart w:id="1005" w:name="_Toc431494021"/>
      <w:r>
        <w:rPr>
          <w:color w:val="000000"/>
        </w:rPr>
        <w:t xml:space="preserve">Table </w:t>
      </w:r>
      <w:r>
        <w:fldChar w:fldCharType="begin"/>
      </w:r>
      <w:r>
        <w:rPr>
          <w:color w:val="000000"/>
        </w:rPr>
        <w:instrText xml:space="preserve"> SEQ Table \* ARABIC </w:instrText>
      </w:r>
      <w:r>
        <w:fldChar w:fldCharType="separate"/>
      </w:r>
      <w:r w:rsidR="00F87DF9">
        <w:rPr>
          <w:noProof/>
          <w:color w:val="000000"/>
        </w:rPr>
        <w:t>38</w:t>
      </w:r>
      <w:r>
        <w:fldChar w:fldCharType="end"/>
      </w:r>
      <w:bookmarkEnd w:id="1002"/>
      <w:r>
        <w:rPr>
          <w:color w:val="000000"/>
        </w:rPr>
        <w:t xml:space="preserve">. </w:t>
      </w:r>
      <w:r>
        <w:rPr>
          <w:i/>
          <w:color w:val="000000"/>
        </w:rPr>
        <w:t>Seagrass percentage cover guidelines (“the seagrass guidelines”) for each site/location and the subregional guidelines (bold) for each NRM habitat.</w:t>
      </w:r>
      <w:bookmarkEnd w:id="1003"/>
      <w:bookmarkEnd w:id="1004"/>
      <w:r>
        <w:rPr>
          <w:i/>
          <w:color w:val="000000"/>
        </w:rPr>
        <w:t xml:space="preserve"> </w:t>
      </w:r>
    </w:p>
    <w:p w14:paraId="053B9D71" w14:textId="77777777" w:rsidR="00842050" w:rsidRDefault="00842050" w:rsidP="00BA2BCE">
      <w:pPr>
        <w:spacing w:before="240" w:after="0"/>
        <w:ind w:left="142"/>
        <w:rPr>
          <w:color w:val="000000"/>
        </w:rPr>
      </w:pPr>
      <w:r>
        <w:rPr>
          <w:i/>
          <w:color w:val="000000"/>
        </w:rPr>
        <w:t>Values in light grey not used. ^ denotes regional reference site, * from nearest adjacent region</w:t>
      </w:r>
      <w:r w:rsidR="00036CBF">
        <w:rPr>
          <w:i/>
          <w:color w:val="000000"/>
        </w:rPr>
        <w:t>. For site details, see Tables 3</w:t>
      </w:r>
      <w:r w:rsidR="00BA2BCE">
        <w:rPr>
          <w:i/>
          <w:color w:val="000000"/>
        </w:rPr>
        <w:t xml:space="preserve"> &amp; </w:t>
      </w:r>
      <w:r w:rsidR="00036CBF" w:rsidRPr="00036CBF">
        <w:rPr>
          <w:i/>
          <w:color w:val="000000"/>
        </w:rPr>
        <w:t>4.</w:t>
      </w:r>
    </w:p>
    <w:tbl>
      <w:tblPr>
        <w:tblpPr w:leftFromText="180" w:rightFromText="180" w:vertAnchor="text" w:horzAnchor="margin" w:tblpXSpec="center" w:tblpY="56"/>
        <w:tblW w:w="8838" w:type="dxa"/>
        <w:tblLook w:val="04A0" w:firstRow="1" w:lastRow="0" w:firstColumn="1" w:lastColumn="0" w:noHBand="0" w:noVBand="1"/>
      </w:tblPr>
      <w:tblGrid>
        <w:gridCol w:w="2071"/>
        <w:gridCol w:w="956"/>
        <w:gridCol w:w="2117"/>
        <w:gridCol w:w="923"/>
        <w:gridCol w:w="924"/>
        <w:gridCol w:w="923"/>
        <w:gridCol w:w="924"/>
      </w:tblGrid>
      <w:tr w:rsidR="006F4537" w:rsidRPr="006F4537" w14:paraId="33169F34" w14:textId="77777777" w:rsidTr="006F4537">
        <w:trPr>
          <w:trHeight w:val="260"/>
          <w:tblHeader/>
        </w:trPr>
        <w:tc>
          <w:tcPr>
            <w:tcW w:w="2071" w:type="dxa"/>
            <w:vMerge w:val="restart"/>
            <w:tcBorders>
              <w:top w:val="single" w:sz="4" w:space="0" w:color="auto"/>
              <w:left w:val="nil"/>
              <w:bottom w:val="single" w:sz="4" w:space="0" w:color="auto"/>
              <w:right w:val="nil"/>
            </w:tcBorders>
            <w:shd w:val="clear" w:color="auto" w:fill="BBE0E3"/>
            <w:noWrap/>
            <w:vAlign w:val="center"/>
            <w:hideMark/>
          </w:tcPr>
          <w:p w14:paraId="0B9AB34D"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NRM region</w:t>
            </w:r>
          </w:p>
        </w:tc>
        <w:tc>
          <w:tcPr>
            <w:tcW w:w="956" w:type="dxa"/>
            <w:vMerge w:val="restart"/>
            <w:tcBorders>
              <w:top w:val="single" w:sz="4" w:space="0" w:color="auto"/>
              <w:left w:val="nil"/>
              <w:bottom w:val="single" w:sz="4" w:space="0" w:color="auto"/>
              <w:right w:val="nil"/>
            </w:tcBorders>
            <w:shd w:val="clear" w:color="auto" w:fill="BBE0E3"/>
            <w:noWrap/>
            <w:vAlign w:val="center"/>
            <w:hideMark/>
          </w:tcPr>
          <w:p w14:paraId="48DD5741"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site/</w:t>
            </w:r>
          </w:p>
          <w:p w14:paraId="6E6940FC"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location</w:t>
            </w:r>
          </w:p>
        </w:tc>
        <w:tc>
          <w:tcPr>
            <w:tcW w:w="2117" w:type="dxa"/>
            <w:vMerge w:val="restart"/>
            <w:tcBorders>
              <w:top w:val="single" w:sz="4" w:space="0" w:color="auto"/>
              <w:left w:val="nil"/>
              <w:bottom w:val="single" w:sz="4" w:space="0" w:color="auto"/>
              <w:right w:val="nil"/>
            </w:tcBorders>
            <w:shd w:val="clear" w:color="auto" w:fill="BBE0E3"/>
            <w:noWrap/>
            <w:vAlign w:val="center"/>
            <w:hideMark/>
          </w:tcPr>
          <w:p w14:paraId="56EF04B9"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Habitat</w:t>
            </w:r>
          </w:p>
        </w:tc>
        <w:tc>
          <w:tcPr>
            <w:tcW w:w="3694" w:type="dxa"/>
            <w:gridSpan w:val="4"/>
            <w:tcBorders>
              <w:top w:val="single" w:sz="4" w:space="0" w:color="auto"/>
              <w:left w:val="nil"/>
              <w:bottom w:val="nil"/>
              <w:right w:val="nil"/>
            </w:tcBorders>
            <w:shd w:val="clear" w:color="auto" w:fill="BBE0E3"/>
            <w:noWrap/>
            <w:vAlign w:val="center"/>
            <w:hideMark/>
          </w:tcPr>
          <w:p w14:paraId="2A950CBE"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percentile guideline</w:t>
            </w:r>
          </w:p>
        </w:tc>
      </w:tr>
      <w:tr w:rsidR="006F4537" w:rsidRPr="006F4537" w14:paraId="63777109" w14:textId="77777777" w:rsidTr="006F4537">
        <w:trPr>
          <w:trHeight w:val="153"/>
          <w:tblHeader/>
        </w:trPr>
        <w:tc>
          <w:tcPr>
            <w:tcW w:w="0" w:type="auto"/>
            <w:vMerge/>
            <w:tcBorders>
              <w:top w:val="single" w:sz="4" w:space="0" w:color="auto"/>
              <w:left w:val="nil"/>
              <w:bottom w:val="single" w:sz="4" w:space="0" w:color="auto"/>
              <w:right w:val="nil"/>
            </w:tcBorders>
            <w:vAlign w:val="center"/>
            <w:hideMark/>
          </w:tcPr>
          <w:p w14:paraId="05E660FD" w14:textId="77777777" w:rsidR="006F4537" w:rsidRPr="006F4537" w:rsidRDefault="006F4537" w:rsidP="006F4537">
            <w:pPr>
              <w:spacing w:before="0" w:after="0"/>
              <w:contextualSpacing/>
              <w:rPr>
                <w:rFonts w:cs="Arial"/>
                <w:b/>
                <w:bCs/>
                <w:color w:val="000000"/>
                <w:sz w:val="18"/>
                <w:szCs w:val="18"/>
              </w:rPr>
            </w:pPr>
          </w:p>
        </w:tc>
        <w:tc>
          <w:tcPr>
            <w:tcW w:w="0" w:type="auto"/>
            <w:vMerge/>
            <w:tcBorders>
              <w:top w:val="single" w:sz="4" w:space="0" w:color="auto"/>
              <w:left w:val="nil"/>
              <w:bottom w:val="single" w:sz="4" w:space="0" w:color="auto"/>
              <w:right w:val="nil"/>
            </w:tcBorders>
            <w:vAlign w:val="center"/>
            <w:hideMark/>
          </w:tcPr>
          <w:p w14:paraId="72238E3E" w14:textId="77777777" w:rsidR="006F4537" w:rsidRPr="006F4537" w:rsidRDefault="006F4537" w:rsidP="006F4537">
            <w:pPr>
              <w:spacing w:before="0" w:after="0"/>
              <w:contextualSpacing/>
              <w:rPr>
                <w:rFonts w:cs="Arial"/>
                <w:b/>
                <w:bCs/>
                <w:color w:val="000000"/>
                <w:sz w:val="18"/>
                <w:szCs w:val="18"/>
              </w:rPr>
            </w:pPr>
          </w:p>
        </w:tc>
        <w:tc>
          <w:tcPr>
            <w:tcW w:w="0" w:type="auto"/>
            <w:vMerge/>
            <w:tcBorders>
              <w:top w:val="single" w:sz="4" w:space="0" w:color="auto"/>
              <w:left w:val="nil"/>
              <w:bottom w:val="single" w:sz="4" w:space="0" w:color="auto"/>
              <w:right w:val="nil"/>
            </w:tcBorders>
            <w:vAlign w:val="center"/>
            <w:hideMark/>
          </w:tcPr>
          <w:p w14:paraId="5914D38A" w14:textId="77777777" w:rsidR="006F4537" w:rsidRPr="006F4537" w:rsidRDefault="006F4537" w:rsidP="006F4537">
            <w:pPr>
              <w:spacing w:before="0" w:after="0"/>
              <w:contextualSpacing/>
              <w:rPr>
                <w:rFonts w:cs="Arial"/>
                <w:b/>
                <w:bCs/>
                <w:color w:val="000000"/>
                <w:sz w:val="18"/>
                <w:szCs w:val="18"/>
              </w:rPr>
            </w:pPr>
          </w:p>
        </w:tc>
        <w:tc>
          <w:tcPr>
            <w:tcW w:w="923" w:type="dxa"/>
            <w:tcBorders>
              <w:top w:val="nil"/>
              <w:left w:val="nil"/>
              <w:bottom w:val="single" w:sz="4" w:space="0" w:color="auto"/>
              <w:right w:val="nil"/>
            </w:tcBorders>
            <w:shd w:val="clear" w:color="auto" w:fill="BBE0E3"/>
            <w:noWrap/>
            <w:vAlign w:val="center"/>
            <w:hideMark/>
          </w:tcPr>
          <w:p w14:paraId="0F042815"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10</w:t>
            </w:r>
            <w:r w:rsidRPr="006F4537">
              <w:rPr>
                <w:rFonts w:cs="Arial"/>
                <w:b/>
                <w:bCs/>
                <w:color w:val="000000"/>
                <w:sz w:val="18"/>
                <w:szCs w:val="18"/>
                <w:vertAlign w:val="superscript"/>
              </w:rPr>
              <w:t>th</w:t>
            </w:r>
          </w:p>
        </w:tc>
        <w:tc>
          <w:tcPr>
            <w:tcW w:w="924" w:type="dxa"/>
            <w:tcBorders>
              <w:top w:val="nil"/>
              <w:left w:val="nil"/>
              <w:bottom w:val="single" w:sz="4" w:space="0" w:color="auto"/>
              <w:right w:val="nil"/>
            </w:tcBorders>
            <w:shd w:val="clear" w:color="auto" w:fill="BBE0E3"/>
            <w:noWrap/>
            <w:vAlign w:val="center"/>
            <w:hideMark/>
          </w:tcPr>
          <w:p w14:paraId="2D826407"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20</w:t>
            </w:r>
            <w:r w:rsidRPr="006F4537">
              <w:rPr>
                <w:rFonts w:cs="Arial"/>
                <w:b/>
                <w:bCs/>
                <w:color w:val="000000"/>
                <w:sz w:val="18"/>
                <w:szCs w:val="18"/>
                <w:vertAlign w:val="superscript"/>
              </w:rPr>
              <w:t>th</w:t>
            </w:r>
          </w:p>
        </w:tc>
        <w:tc>
          <w:tcPr>
            <w:tcW w:w="923" w:type="dxa"/>
            <w:tcBorders>
              <w:top w:val="nil"/>
              <w:left w:val="nil"/>
              <w:bottom w:val="single" w:sz="4" w:space="0" w:color="auto"/>
              <w:right w:val="nil"/>
            </w:tcBorders>
            <w:shd w:val="clear" w:color="auto" w:fill="BBE0E3"/>
            <w:noWrap/>
            <w:vAlign w:val="center"/>
            <w:hideMark/>
          </w:tcPr>
          <w:p w14:paraId="7E44356F"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50</w:t>
            </w:r>
            <w:r w:rsidRPr="006F4537">
              <w:rPr>
                <w:rFonts w:cs="Arial"/>
                <w:b/>
                <w:bCs/>
                <w:color w:val="000000"/>
                <w:sz w:val="18"/>
                <w:szCs w:val="18"/>
                <w:vertAlign w:val="superscript"/>
              </w:rPr>
              <w:t>th</w:t>
            </w:r>
          </w:p>
        </w:tc>
        <w:tc>
          <w:tcPr>
            <w:tcW w:w="924" w:type="dxa"/>
            <w:tcBorders>
              <w:top w:val="nil"/>
              <w:left w:val="nil"/>
              <w:bottom w:val="single" w:sz="4" w:space="0" w:color="auto"/>
              <w:right w:val="nil"/>
            </w:tcBorders>
            <w:shd w:val="clear" w:color="auto" w:fill="BBE0E3"/>
            <w:noWrap/>
            <w:vAlign w:val="center"/>
            <w:hideMark/>
          </w:tcPr>
          <w:p w14:paraId="19C2DBD0"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75</w:t>
            </w:r>
            <w:r w:rsidRPr="006F4537">
              <w:rPr>
                <w:rFonts w:cs="Arial"/>
                <w:b/>
                <w:bCs/>
                <w:color w:val="000000"/>
                <w:sz w:val="18"/>
                <w:szCs w:val="18"/>
                <w:vertAlign w:val="superscript"/>
              </w:rPr>
              <w:t>th</w:t>
            </w:r>
          </w:p>
        </w:tc>
      </w:tr>
      <w:tr w:rsidR="006F4537" w:rsidRPr="006F4537" w14:paraId="4F639388"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7838422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Cape York</w:t>
            </w:r>
          </w:p>
        </w:tc>
        <w:tc>
          <w:tcPr>
            <w:tcW w:w="956" w:type="dxa"/>
            <w:tcBorders>
              <w:top w:val="single" w:sz="4" w:space="0" w:color="auto"/>
              <w:left w:val="nil"/>
              <w:bottom w:val="nil"/>
              <w:right w:val="nil"/>
            </w:tcBorders>
            <w:shd w:val="clear" w:color="auto" w:fill="F3F9FA"/>
            <w:noWrap/>
            <w:vAlign w:val="bottom"/>
            <w:hideMark/>
          </w:tcPr>
          <w:p w14:paraId="214DE05B"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AP1^</w:t>
            </w:r>
          </w:p>
        </w:tc>
        <w:tc>
          <w:tcPr>
            <w:tcW w:w="2117" w:type="dxa"/>
            <w:tcBorders>
              <w:top w:val="single" w:sz="4" w:space="0" w:color="auto"/>
              <w:left w:val="nil"/>
              <w:bottom w:val="nil"/>
              <w:right w:val="nil"/>
            </w:tcBorders>
            <w:shd w:val="clear" w:color="auto" w:fill="F3F9FA"/>
            <w:noWrap/>
            <w:vAlign w:val="bottom"/>
            <w:hideMark/>
          </w:tcPr>
          <w:p w14:paraId="43A4B9F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tcBorders>
              <w:top w:val="single" w:sz="4" w:space="0" w:color="auto"/>
              <w:left w:val="nil"/>
              <w:bottom w:val="nil"/>
              <w:right w:val="nil"/>
            </w:tcBorders>
            <w:shd w:val="clear" w:color="auto" w:fill="F3F9FA"/>
            <w:noWrap/>
            <w:vAlign w:val="center"/>
            <w:hideMark/>
          </w:tcPr>
          <w:p w14:paraId="217FB17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11</w:t>
            </w:r>
          </w:p>
        </w:tc>
        <w:tc>
          <w:tcPr>
            <w:tcW w:w="924" w:type="dxa"/>
            <w:tcBorders>
              <w:top w:val="single" w:sz="4" w:space="0" w:color="auto"/>
              <w:left w:val="nil"/>
              <w:bottom w:val="nil"/>
              <w:right w:val="nil"/>
            </w:tcBorders>
            <w:shd w:val="clear" w:color="auto" w:fill="F3F9FA"/>
            <w:noWrap/>
            <w:vAlign w:val="center"/>
            <w:hideMark/>
          </w:tcPr>
          <w:p w14:paraId="3AC90A69"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16.8</w:t>
            </w:r>
          </w:p>
        </w:tc>
        <w:tc>
          <w:tcPr>
            <w:tcW w:w="923" w:type="dxa"/>
            <w:tcBorders>
              <w:top w:val="single" w:sz="4" w:space="0" w:color="auto"/>
              <w:left w:val="nil"/>
              <w:bottom w:val="nil"/>
              <w:right w:val="nil"/>
            </w:tcBorders>
            <w:shd w:val="clear" w:color="auto" w:fill="F3F9FA"/>
            <w:noWrap/>
            <w:vAlign w:val="center"/>
            <w:hideMark/>
          </w:tcPr>
          <w:p w14:paraId="4DA13D9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tcBorders>
              <w:top w:val="single" w:sz="4" w:space="0" w:color="auto"/>
              <w:left w:val="nil"/>
              <w:bottom w:val="nil"/>
              <w:right w:val="nil"/>
            </w:tcBorders>
            <w:shd w:val="clear" w:color="auto" w:fill="F3F9FA"/>
            <w:noWrap/>
            <w:vAlign w:val="center"/>
            <w:hideMark/>
          </w:tcPr>
          <w:p w14:paraId="3DC5268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20336007" w14:textId="77777777" w:rsidTr="006F4537">
        <w:trPr>
          <w:trHeight w:val="170"/>
        </w:trPr>
        <w:tc>
          <w:tcPr>
            <w:tcW w:w="2071" w:type="dxa"/>
            <w:shd w:val="clear" w:color="auto" w:fill="F3F9FA"/>
            <w:noWrap/>
            <w:vAlign w:val="bottom"/>
          </w:tcPr>
          <w:p w14:paraId="3A1FB2B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6D18801B"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AP2</w:t>
            </w:r>
          </w:p>
        </w:tc>
        <w:tc>
          <w:tcPr>
            <w:tcW w:w="2117" w:type="dxa"/>
            <w:shd w:val="clear" w:color="auto" w:fill="F3F9FA"/>
            <w:noWrap/>
            <w:vAlign w:val="bottom"/>
            <w:hideMark/>
          </w:tcPr>
          <w:p w14:paraId="5FF7734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30E8B8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11</w:t>
            </w:r>
          </w:p>
        </w:tc>
        <w:tc>
          <w:tcPr>
            <w:tcW w:w="924" w:type="dxa"/>
            <w:shd w:val="clear" w:color="auto" w:fill="F3F9FA"/>
            <w:noWrap/>
            <w:vAlign w:val="center"/>
          </w:tcPr>
          <w:p w14:paraId="500B122E"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hideMark/>
          </w:tcPr>
          <w:p w14:paraId="53C556A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5499829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6D3F83BA" w14:textId="77777777" w:rsidTr="006F4537">
        <w:trPr>
          <w:trHeight w:val="170"/>
        </w:trPr>
        <w:tc>
          <w:tcPr>
            <w:tcW w:w="2071" w:type="dxa"/>
            <w:shd w:val="clear" w:color="auto" w:fill="F3F9FA"/>
            <w:noWrap/>
            <w:vAlign w:val="bottom"/>
          </w:tcPr>
          <w:p w14:paraId="6DF7B479"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52D36E2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FR</w:t>
            </w:r>
          </w:p>
        </w:tc>
        <w:tc>
          <w:tcPr>
            <w:tcW w:w="2117" w:type="dxa"/>
            <w:shd w:val="clear" w:color="auto" w:fill="F3F9FA"/>
            <w:noWrap/>
            <w:vAlign w:val="bottom"/>
            <w:hideMark/>
          </w:tcPr>
          <w:p w14:paraId="1436CE07"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158AAAED"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03CC0B6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3" w:type="dxa"/>
            <w:shd w:val="clear" w:color="auto" w:fill="F3F9FA"/>
            <w:noWrap/>
            <w:vAlign w:val="center"/>
            <w:hideMark/>
          </w:tcPr>
          <w:p w14:paraId="45DE6F4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01607A4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2DED8C2C" w14:textId="77777777" w:rsidTr="006F4537">
        <w:trPr>
          <w:trHeight w:val="170"/>
        </w:trPr>
        <w:tc>
          <w:tcPr>
            <w:tcW w:w="2071" w:type="dxa"/>
            <w:shd w:val="clear" w:color="auto" w:fill="F3F9FA"/>
            <w:noWrap/>
            <w:vAlign w:val="bottom"/>
          </w:tcPr>
          <w:p w14:paraId="38AD6E88"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076354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ST</w:t>
            </w:r>
          </w:p>
        </w:tc>
        <w:tc>
          <w:tcPr>
            <w:tcW w:w="2117" w:type="dxa"/>
            <w:shd w:val="clear" w:color="auto" w:fill="F3F9FA"/>
            <w:noWrap/>
            <w:vAlign w:val="bottom"/>
            <w:hideMark/>
          </w:tcPr>
          <w:p w14:paraId="01E74894"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20D81070"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1BFB54C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3" w:type="dxa"/>
            <w:shd w:val="clear" w:color="auto" w:fill="F3F9FA"/>
            <w:noWrap/>
            <w:vAlign w:val="center"/>
            <w:hideMark/>
          </w:tcPr>
          <w:p w14:paraId="13F0611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07C8659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680157CA" w14:textId="77777777" w:rsidTr="006F4537">
        <w:trPr>
          <w:trHeight w:val="170"/>
        </w:trPr>
        <w:tc>
          <w:tcPr>
            <w:tcW w:w="2071" w:type="dxa"/>
            <w:shd w:val="clear" w:color="auto" w:fill="F3F9FA"/>
            <w:noWrap/>
            <w:vAlign w:val="bottom"/>
          </w:tcPr>
          <w:p w14:paraId="0D2750A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84EA46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YY</w:t>
            </w:r>
          </w:p>
        </w:tc>
        <w:tc>
          <w:tcPr>
            <w:tcW w:w="2117" w:type="dxa"/>
            <w:shd w:val="clear" w:color="auto" w:fill="F3F9FA"/>
            <w:noWrap/>
            <w:vAlign w:val="bottom"/>
            <w:hideMark/>
          </w:tcPr>
          <w:p w14:paraId="3C06266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52FB806D"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157AB4F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3" w:type="dxa"/>
            <w:shd w:val="clear" w:color="auto" w:fill="F3F9FA"/>
            <w:noWrap/>
            <w:vAlign w:val="center"/>
            <w:hideMark/>
          </w:tcPr>
          <w:p w14:paraId="1F7DE3C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3B9897B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081DA797" w14:textId="77777777" w:rsidTr="006F4537">
        <w:trPr>
          <w:trHeight w:val="170"/>
        </w:trPr>
        <w:tc>
          <w:tcPr>
            <w:tcW w:w="2071" w:type="dxa"/>
            <w:shd w:val="clear" w:color="auto" w:fill="E7F3F4"/>
            <w:noWrap/>
            <w:vAlign w:val="bottom"/>
          </w:tcPr>
          <w:p w14:paraId="1691DA72"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7475F6C4"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6C88B59C"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shd w:val="clear" w:color="auto" w:fill="E7F3F4"/>
            <w:noWrap/>
            <w:vAlign w:val="center"/>
            <w:hideMark/>
          </w:tcPr>
          <w:p w14:paraId="53AC1DF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11</w:t>
            </w:r>
          </w:p>
        </w:tc>
        <w:tc>
          <w:tcPr>
            <w:tcW w:w="924" w:type="dxa"/>
            <w:shd w:val="clear" w:color="auto" w:fill="E7F3F4"/>
            <w:noWrap/>
            <w:vAlign w:val="center"/>
            <w:hideMark/>
          </w:tcPr>
          <w:p w14:paraId="0D06E6D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16.8</w:t>
            </w:r>
          </w:p>
        </w:tc>
        <w:tc>
          <w:tcPr>
            <w:tcW w:w="923" w:type="dxa"/>
            <w:shd w:val="clear" w:color="auto" w:fill="E7F3F4"/>
            <w:noWrap/>
            <w:vAlign w:val="center"/>
            <w:hideMark/>
          </w:tcPr>
          <w:p w14:paraId="5CD2E34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18.9</w:t>
            </w:r>
          </w:p>
        </w:tc>
        <w:tc>
          <w:tcPr>
            <w:tcW w:w="924" w:type="dxa"/>
            <w:shd w:val="clear" w:color="auto" w:fill="E7F3F4"/>
            <w:noWrap/>
            <w:vAlign w:val="center"/>
            <w:hideMark/>
          </w:tcPr>
          <w:p w14:paraId="2167045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23.7</w:t>
            </w:r>
          </w:p>
        </w:tc>
      </w:tr>
      <w:tr w:rsidR="006F4537" w:rsidRPr="006F4537" w14:paraId="7BDB2BB0" w14:textId="77777777" w:rsidTr="006F4537">
        <w:trPr>
          <w:trHeight w:val="170"/>
        </w:trPr>
        <w:tc>
          <w:tcPr>
            <w:tcW w:w="2071" w:type="dxa"/>
            <w:shd w:val="clear" w:color="auto" w:fill="F3F9FA"/>
            <w:noWrap/>
            <w:vAlign w:val="bottom"/>
          </w:tcPr>
          <w:p w14:paraId="74B3119C"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4B79200"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SR*</w:t>
            </w:r>
          </w:p>
        </w:tc>
        <w:tc>
          <w:tcPr>
            <w:tcW w:w="2117" w:type="dxa"/>
            <w:shd w:val="clear" w:color="auto" w:fill="F3F9FA"/>
            <w:noWrap/>
            <w:vAlign w:val="bottom"/>
            <w:hideMark/>
          </w:tcPr>
          <w:p w14:paraId="6168B4EF"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08F211BD"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499F3C21"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6.6</w:t>
            </w:r>
          </w:p>
        </w:tc>
        <w:tc>
          <w:tcPr>
            <w:tcW w:w="923" w:type="dxa"/>
            <w:shd w:val="clear" w:color="auto" w:fill="F3F9FA"/>
            <w:noWrap/>
            <w:vAlign w:val="center"/>
            <w:hideMark/>
          </w:tcPr>
          <w:p w14:paraId="7CD287D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12.9</w:t>
            </w:r>
          </w:p>
        </w:tc>
        <w:tc>
          <w:tcPr>
            <w:tcW w:w="924" w:type="dxa"/>
            <w:shd w:val="clear" w:color="auto" w:fill="F3F9FA"/>
            <w:noWrap/>
            <w:vAlign w:val="center"/>
            <w:hideMark/>
          </w:tcPr>
          <w:p w14:paraId="33B32D3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14.8</w:t>
            </w:r>
          </w:p>
        </w:tc>
      </w:tr>
      <w:tr w:rsidR="006F4537" w:rsidRPr="006F4537" w14:paraId="21A5A448" w14:textId="77777777" w:rsidTr="006F4537">
        <w:trPr>
          <w:trHeight w:val="170"/>
        </w:trPr>
        <w:tc>
          <w:tcPr>
            <w:tcW w:w="2071" w:type="dxa"/>
            <w:shd w:val="clear" w:color="auto" w:fill="F3F9FA"/>
            <w:noWrap/>
            <w:vAlign w:val="bottom"/>
          </w:tcPr>
          <w:p w14:paraId="2227F76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24BC71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BY*</w:t>
            </w:r>
          </w:p>
        </w:tc>
        <w:tc>
          <w:tcPr>
            <w:tcW w:w="2117" w:type="dxa"/>
            <w:shd w:val="clear" w:color="auto" w:fill="F3F9FA"/>
            <w:noWrap/>
            <w:vAlign w:val="bottom"/>
            <w:hideMark/>
          </w:tcPr>
          <w:p w14:paraId="6020D966"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6741126B"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466C701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6.6</w:t>
            </w:r>
          </w:p>
        </w:tc>
        <w:tc>
          <w:tcPr>
            <w:tcW w:w="923" w:type="dxa"/>
            <w:shd w:val="clear" w:color="auto" w:fill="F3F9FA"/>
            <w:noWrap/>
            <w:vAlign w:val="center"/>
            <w:hideMark/>
          </w:tcPr>
          <w:p w14:paraId="4914ADF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12.9</w:t>
            </w:r>
          </w:p>
        </w:tc>
        <w:tc>
          <w:tcPr>
            <w:tcW w:w="924" w:type="dxa"/>
            <w:shd w:val="clear" w:color="auto" w:fill="F3F9FA"/>
            <w:noWrap/>
            <w:vAlign w:val="center"/>
            <w:hideMark/>
          </w:tcPr>
          <w:p w14:paraId="3962E2D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14.8</w:t>
            </w:r>
          </w:p>
        </w:tc>
      </w:tr>
      <w:tr w:rsidR="006F4537" w:rsidRPr="006F4537" w14:paraId="546F6541" w14:textId="77777777" w:rsidTr="006F4537">
        <w:trPr>
          <w:trHeight w:val="170"/>
        </w:trPr>
        <w:tc>
          <w:tcPr>
            <w:tcW w:w="2071" w:type="dxa"/>
            <w:tcBorders>
              <w:top w:val="nil"/>
              <w:left w:val="nil"/>
              <w:right w:val="nil"/>
            </w:tcBorders>
            <w:shd w:val="clear" w:color="auto" w:fill="E7F3F4"/>
            <w:noWrap/>
            <w:vAlign w:val="bottom"/>
            <w:hideMark/>
          </w:tcPr>
          <w:p w14:paraId="6A9C24E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right w:val="nil"/>
            </w:tcBorders>
            <w:shd w:val="clear" w:color="auto" w:fill="E7F3F4"/>
            <w:noWrap/>
            <w:vAlign w:val="bottom"/>
            <w:hideMark/>
          </w:tcPr>
          <w:p w14:paraId="0340044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right w:val="nil"/>
            </w:tcBorders>
            <w:shd w:val="clear" w:color="auto" w:fill="E7F3F4"/>
            <w:noWrap/>
            <w:vAlign w:val="bottom"/>
            <w:hideMark/>
          </w:tcPr>
          <w:p w14:paraId="49F14CF8"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r w:rsidRPr="006F4537">
              <w:rPr>
                <w:rFonts w:cs="Arial"/>
                <w:color w:val="000000"/>
                <w:sz w:val="18"/>
                <w:szCs w:val="18"/>
              </w:rPr>
              <w:t>*</w:t>
            </w:r>
          </w:p>
        </w:tc>
        <w:tc>
          <w:tcPr>
            <w:tcW w:w="923" w:type="dxa"/>
            <w:tcBorders>
              <w:top w:val="nil"/>
              <w:left w:val="nil"/>
              <w:right w:val="nil"/>
            </w:tcBorders>
            <w:shd w:val="clear" w:color="auto" w:fill="E7F3F4"/>
            <w:noWrap/>
            <w:vAlign w:val="center"/>
            <w:hideMark/>
          </w:tcPr>
          <w:p w14:paraId="4922A7E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5</w:t>
            </w:r>
          </w:p>
        </w:tc>
        <w:tc>
          <w:tcPr>
            <w:tcW w:w="924" w:type="dxa"/>
            <w:tcBorders>
              <w:top w:val="nil"/>
              <w:left w:val="nil"/>
              <w:right w:val="nil"/>
            </w:tcBorders>
            <w:shd w:val="clear" w:color="auto" w:fill="E7F3F4"/>
            <w:noWrap/>
            <w:vAlign w:val="center"/>
            <w:hideMark/>
          </w:tcPr>
          <w:p w14:paraId="518F2EC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tcBorders>
              <w:top w:val="nil"/>
              <w:left w:val="nil"/>
              <w:right w:val="nil"/>
            </w:tcBorders>
            <w:shd w:val="clear" w:color="auto" w:fill="E7F3F4"/>
            <w:noWrap/>
            <w:vAlign w:val="center"/>
            <w:hideMark/>
          </w:tcPr>
          <w:p w14:paraId="7D02E33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tcBorders>
              <w:top w:val="nil"/>
              <w:left w:val="nil"/>
              <w:right w:val="nil"/>
            </w:tcBorders>
            <w:shd w:val="clear" w:color="auto" w:fill="E7F3F4"/>
            <w:noWrap/>
            <w:vAlign w:val="center"/>
            <w:hideMark/>
          </w:tcPr>
          <w:p w14:paraId="72D4453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31F87116" w14:textId="77777777" w:rsidTr="006F4537">
        <w:trPr>
          <w:trHeight w:val="170"/>
        </w:trPr>
        <w:tc>
          <w:tcPr>
            <w:tcW w:w="2071" w:type="dxa"/>
            <w:shd w:val="clear" w:color="auto" w:fill="F3F9FA"/>
            <w:noWrap/>
            <w:vAlign w:val="bottom"/>
          </w:tcPr>
          <w:p w14:paraId="508C6393"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34D4ECFF"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LR</w:t>
            </w:r>
          </w:p>
        </w:tc>
        <w:tc>
          <w:tcPr>
            <w:tcW w:w="2117" w:type="dxa"/>
            <w:shd w:val="clear" w:color="auto" w:fill="F3F9FA"/>
            <w:noWrap/>
            <w:vAlign w:val="bottom"/>
          </w:tcPr>
          <w:p w14:paraId="6794D05F" w14:textId="77777777" w:rsidR="006F4537" w:rsidRPr="006F4537" w:rsidRDefault="006F4537" w:rsidP="006F4537">
            <w:pPr>
              <w:spacing w:before="0" w:after="0"/>
              <w:rPr>
                <w:rFonts w:cs="Arial"/>
                <w:bCs/>
                <w:iCs/>
                <w:color w:val="000000"/>
                <w:sz w:val="18"/>
                <w:szCs w:val="18"/>
              </w:rPr>
            </w:pPr>
            <w:r w:rsidRPr="006F4537">
              <w:rPr>
                <w:rFonts w:cs="Arial"/>
                <w:color w:val="000000"/>
                <w:sz w:val="18"/>
                <w:szCs w:val="18"/>
              </w:rPr>
              <w:t>coastal subtidal</w:t>
            </w:r>
          </w:p>
        </w:tc>
        <w:tc>
          <w:tcPr>
            <w:tcW w:w="923" w:type="dxa"/>
            <w:shd w:val="clear" w:color="auto" w:fill="F3F9FA"/>
            <w:noWrap/>
            <w:vAlign w:val="center"/>
          </w:tcPr>
          <w:p w14:paraId="530AAF44" w14:textId="77777777" w:rsidR="006F4537" w:rsidRPr="006F4537" w:rsidRDefault="006F4537" w:rsidP="006F4537">
            <w:pPr>
              <w:spacing w:before="0" w:after="0"/>
              <w:jc w:val="center"/>
              <w:rPr>
                <w:rFonts w:cs="Arial"/>
                <w:bCs/>
                <w:iCs/>
                <w:color w:val="000000"/>
                <w:sz w:val="18"/>
                <w:szCs w:val="18"/>
              </w:rPr>
            </w:pPr>
          </w:p>
        </w:tc>
        <w:tc>
          <w:tcPr>
            <w:tcW w:w="924" w:type="dxa"/>
            <w:shd w:val="clear" w:color="auto" w:fill="F3F9FA"/>
            <w:noWrap/>
            <w:vAlign w:val="center"/>
          </w:tcPr>
          <w:p w14:paraId="5BF2ACFA"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6.6</w:t>
            </w:r>
          </w:p>
        </w:tc>
        <w:tc>
          <w:tcPr>
            <w:tcW w:w="923" w:type="dxa"/>
            <w:shd w:val="clear" w:color="auto" w:fill="F3F9FA"/>
            <w:noWrap/>
            <w:vAlign w:val="center"/>
          </w:tcPr>
          <w:p w14:paraId="07E2D488"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12.9</w:t>
            </w:r>
          </w:p>
        </w:tc>
        <w:tc>
          <w:tcPr>
            <w:tcW w:w="924" w:type="dxa"/>
            <w:shd w:val="clear" w:color="auto" w:fill="F3F9FA"/>
            <w:noWrap/>
            <w:vAlign w:val="center"/>
          </w:tcPr>
          <w:p w14:paraId="2400137D"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14.8</w:t>
            </w:r>
          </w:p>
        </w:tc>
      </w:tr>
      <w:tr w:rsidR="006F4537" w:rsidRPr="006F4537" w14:paraId="485528CC" w14:textId="77777777" w:rsidTr="006F4537">
        <w:trPr>
          <w:trHeight w:val="170"/>
        </w:trPr>
        <w:tc>
          <w:tcPr>
            <w:tcW w:w="2071" w:type="dxa"/>
            <w:shd w:val="clear" w:color="auto" w:fill="E7F3F4"/>
            <w:noWrap/>
            <w:vAlign w:val="bottom"/>
          </w:tcPr>
          <w:p w14:paraId="23172832"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tcPr>
          <w:p w14:paraId="4A6DB96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tcPr>
          <w:p w14:paraId="6E6EFAA3"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subtidal</w:t>
            </w:r>
          </w:p>
        </w:tc>
        <w:tc>
          <w:tcPr>
            <w:tcW w:w="923" w:type="dxa"/>
            <w:shd w:val="clear" w:color="auto" w:fill="E7F3F4"/>
            <w:noWrap/>
            <w:vAlign w:val="center"/>
          </w:tcPr>
          <w:p w14:paraId="329224F8" w14:textId="77777777" w:rsidR="006F4537" w:rsidRPr="006F4537" w:rsidRDefault="006F4537" w:rsidP="006F4537">
            <w:pPr>
              <w:spacing w:before="0" w:after="0"/>
              <w:jc w:val="center"/>
              <w:rPr>
                <w:rFonts w:cs="Arial"/>
                <w:b/>
                <w:bCs/>
                <w:i/>
                <w:iCs/>
                <w:color w:val="000000"/>
                <w:sz w:val="18"/>
                <w:szCs w:val="18"/>
              </w:rPr>
            </w:pPr>
          </w:p>
        </w:tc>
        <w:tc>
          <w:tcPr>
            <w:tcW w:w="924" w:type="dxa"/>
            <w:shd w:val="clear" w:color="auto" w:fill="E7F3F4"/>
            <w:noWrap/>
            <w:vAlign w:val="center"/>
          </w:tcPr>
          <w:p w14:paraId="2BA10B3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shd w:val="clear" w:color="auto" w:fill="E7F3F4"/>
            <w:noWrap/>
            <w:vAlign w:val="center"/>
          </w:tcPr>
          <w:p w14:paraId="5C37537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shd w:val="clear" w:color="auto" w:fill="E7F3F4"/>
            <w:noWrap/>
            <w:vAlign w:val="center"/>
          </w:tcPr>
          <w:p w14:paraId="518A791D"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6E03BD9A"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060AFD1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Wet Tropics</w:t>
            </w:r>
          </w:p>
        </w:tc>
        <w:tc>
          <w:tcPr>
            <w:tcW w:w="956" w:type="dxa"/>
            <w:tcBorders>
              <w:top w:val="single" w:sz="4" w:space="0" w:color="auto"/>
              <w:left w:val="nil"/>
              <w:bottom w:val="nil"/>
              <w:right w:val="nil"/>
            </w:tcBorders>
            <w:shd w:val="clear" w:color="auto" w:fill="F3F9FA"/>
            <w:noWrap/>
            <w:vAlign w:val="bottom"/>
            <w:hideMark/>
          </w:tcPr>
          <w:p w14:paraId="6E9C332B"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LB</w:t>
            </w:r>
          </w:p>
        </w:tc>
        <w:tc>
          <w:tcPr>
            <w:tcW w:w="2117" w:type="dxa"/>
            <w:tcBorders>
              <w:top w:val="single" w:sz="4" w:space="0" w:color="auto"/>
              <w:left w:val="nil"/>
              <w:bottom w:val="nil"/>
              <w:right w:val="nil"/>
            </w:tcBorders>
            <w:shd w:val="clear" w:color="auto" w:fill="F3F9FA"/>
            <w:noWrap/>
            <w:vAlign w:val="bottom"/>
            <w:hideMark/>
          </w:tcPr>
          <w:p w14:paraId="7963F45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tcBorders>
              <w:top w:val="single" w:sz="4" w:space="0" w:color="auto"/>
              <w:left w:val="nil"/>
              <w:bottom w:val="nil"/>
              <w:right w:val="nil"/>
            </w:tcBorders>
            <w:shd w:val="clear" w:color="auto" w:fill="F3F9FA"/>
            <w:noWrap/>
            <w:vAlign w:val="center"/>
          </w:tcPr>
          <w:p w14:paraId="0AA1102A" w14:textId="77777777" w:rsidR="006F4537" w:rsidRPr="006F4537" w:rsidRDefault="006F4537" w:rsidP="006F4537">
            <w:pPr>
              <w:spacing w:before="0" w:after="0"/>
              <w:jc w:val="center"/>
              <w:rPr>
                <w:rFonts w:cs="Arial"/>
                <w:color w:val="000000"/>
                <w:sz w:val="18"/>
                <w:szCs w:val="18"/>
              </w:rPr>
            </w:pPr>
          </w:p>
        </w:tc>
        <w:tc>
          <w:tcPr>
            <w:tcW w:w="924" w:type="dxa"/>
            <w:tcBorders>
              <w:top w:val="single" w:sz="4" w:space="0" w:color="auto"/>
              <w:left w:val="nil"/>
              <w:bottom w:val="nil"/>
              <w:right w:val="nil"/>
            </w:tcBorders>
            <w:shd w:val="clear" w:color="auto" w:fill="F3F9FA"/>
            <w:noWrap/>
            <w:vAlign w:val="center"/>
            <w:hideMark/>
          </w:tcPr>
          <w:p w14:paraId="5FF5C00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6.6</w:t>
            </w:r>
          </w:p>
        </w:tc>
        <w:tc>
          <w:tcPr>
            <w:tcW w:w="923" w:type="dxa"/>
            <w:tcBorders>
              <w:top w:val="single" w:sz="4" w:space="0" w:color="auto"/>
              <w:left w:val="nil"/>
              <w:bottom w:val="nil"/>
              <w:right w:val="nil"/>
            </w:tcBorders>
            <w:shd w:val="clear" w:color="auto" w:fill="F3F9FA"/>
            <w:noWrap/>
            <w:vAlign w:val="center"/>
            <w:hideMark/>
          </w:tcPr>
          <w:p w14:paraId="71D56D5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12.9</w:t>
            </w:r>
          </w:p>
        </w:tc>
        <w:tc>
          <w:tcPr>
            <w:tcW w:w="924" w:type="dxa"/>
            <w:tcBorders>
              <w:top w:val="single" w:sz="4" w:space="0" w:color="auto"/>
              <w:left w:val="nil"/>
              <w:bottom w:val="nil"/>
              <w:right w:val="nil"/>
            </w:tcBorders>
            <w:shd w:val="clear" w:color="auto" w:fill="F3F9FA"/>
            <w:noWrap/>
            <w:vAlign w:val="center"/>
            <w:hideMark/>
          </w:tcPr>
          <w:p w14:paraId="23CF97E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14.8</w:t>
            </w:r>
          </w:p>
        </w:tc>
      </w:tr>
      <w:tr w:rsidR="006F4537" w:rsidRPr="006F4537" w14:paraId="64E26C01" w14:textId="77777777" w:rsidTr="006F4537">
        <w:trPr>
          <w:trHeight w:val="170"/>
        </w:trPr>
        <w:tc>
          <w:tcPr>
            <w:tcW w:w="2071" w:type="dxa"/>
            <w:shd w:val="clear" w:color="auto" w:fill="F3F9FA"/>
            <w:noWrap/>
            <w:vAlign w:val="bottom"/>
          </w:tcPr>
          <w:p w14:paraId="208DB5B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781994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YP1^</w:t>
            </w:r>
          </w:p>
        </w:tc>
        <w:tc>
          <w:tcPr>
            <w:tcW w:w="2117" w:type="dxa"/>
            <w:shd w:val="clear" w:color="auto" w:fill="F3F9FA"/>
            <w:noWrap/>
            <w:vAlign w:val="bottom"/>
            <w:hideMark/>
          </w:tcPr>
          <w:p w14:paraId="41E22A8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1C869945"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4.3</w:t>
            </w:r>
          </w:p>
        </w:tc>
        <w:tc>
          <w:tcPr>
            <w:tcW w:w="924" w:type="dxa"/>
            <w:shd w:val="clear" w:color="auto" w:fill="F3F9FA"/>
            <w:noWrap/>
            <w:vAlign w:val="center"/>
            <w:hideMark/>
          </w:tcPr>
          <w:p w14:paraId="72B2BB3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7</w:t>
            </w:r>
          </w:p>
        </w:tc>
        <w:tc>
          <w:tcPr>
            <w:tcW w:w="923" w:type="dxa"/>
            <w:shd w:val="clear" w:color="auto" w:fill="F3F9FA"/>
            <w:noWrap/>
            <w:vAlign w:val="center"/>
            <w:hideMark/>
          </w:tcPr>
          <w:p w14:paraId="4DC4197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w:t>
            </w:r>
          </w:p>
        </w:tc>
        <w:tc>
          <w:tcPr>
            <w:tcW w:w="924" w:type="dxa"/>
            <w:shd w:val="clear" w:color="auto" w:fill="F3F9FA"/>
            <w:noWrap/>
            <w:vAlign w:val="center"/>
            <w:hideMark/>
          </w:tcPr>
          <w:p w14:paraId="771111B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15.4</w:t>
            </w:r>
          </w:p>
        </w:tc>
      </w:tr>
      <w:tr w:rsidR="006F4537" w:rsidRPr="006F4537" w14:paraId="7B0AC5FC" w14:textId="77777777" w:rsidTr="006F4537">
        <w:trPr>
          <w:trHeight w:val="170"/>
        </w:trPr>
        <w:tc>
          <w:tcPr>
            <w:tcW w:w="2071" w:type="dxa"/>
            <w:shd w:val="clear" w:color="auto" w:fill="F3F9FA"/>
            <w:noWrap/>
            <w:vAlign w:val="bottom"/>
          </w:tcPr>
          <w:p w14:paraId="5D56553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54107D5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YP2^</w:t>
            </w:r>
          </w:p>
        </w:tc>
        <w:tc>
          <w:tcPr>
            <w:tcW w:w="2117" w:type="dxa"/>
            <w:shd w:val="clear" w:color="auto" w:fill="F3F9FA"/>
            <w:noWrap/>
            <w:vAlign w:val="bottom"/>
            <w:hideMark/>
          </w:tcPr>
          <w:p w14:paraId="17A65D3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6451AC56"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5.7</w:t>
            </w:r>
          </w:p>
        </w:tc>
        <w:tc>
          <w:tcPr>
            <w:tcW w:w="924" w:type="dxa"/>
            <w:shd w:val="clear" w:color="auto" w:fill="F3F9FA"/>
            <w:noWrap/>
            <w:vAlign w:val="center"/>
            <w:hideMark/>
          </w:tcPr>
          <w:p w14:paraId="2C4D5E6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6.2</w:t>
            </w:r>
          </w:p>
        </w:tc>
        <w:tc>
          <w:tcPr>
            <w:tcW w:w="923" w:type="dxa"/>
            <w:shd w:val="clear" w:color="auto" w:fill="F3F9FA"/>
            <w:noWrap/>
            <w:vAlign w:val="center"/>
            <w:hideMark/>
          </w:tcPr>
          <w:p w14:paraId="2F2B2BE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11.8</w:t>
            </w:r>
          </w:p>
        </w:tc>
        <w:tc>
          <w:tcPr>
            <w:tcW w:w="924" w:type="dxa"/>
            <w:shd w:val="clear" w:color="auto" w:fill="F3F9FA"/>
            <w:noWrap/>
            <w:vAlign w:val="center"/>
            <w:hideMark/>
          </w:tcPr>
          <w:p w14:paraId="263FDCE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14.2</w:t>
            </w:r>
          </w:p>
        </w:tc>
      </w:tr>
      <w:tr w:rsidR="006F4537" w:rsidRPr="006F4537" w14:paraId="7F02C289" w14:textId="77777777" w:rsidTr="006F4537">
        <w:trPr>
          <w:trHeight w:val="170"/>
        </w:trPr>
        <w:tc>
          <w:tcPr>
            <w:tcW w:w="2071" w:type="dxa"/>
            <w:shd w:val="clear" w:color="auto" w:fill="E7F3F4"/>
            <w:noWrap/>
            <w:vAlign w:val="bottom"/>
          </w:tcPr>
          <w:p w14:paraId="675A519A"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0EF960E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10085817"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2B2824B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5</w:t>
            </w:r>
          </w:p>
        </w:tc>
        <w:tc>
          <w:tcPr>
            <w:tcW w:w="924" w:type="dxa"/>
            <w:shd w:val="clear" w:color="auto" w:fill="E7F3F4"/>
            <w:noWrap/>
            <w:vAlign w:val="center"/>
            <w:hideMark/>
          </w:tcPr>
          <w:p w14:paraId="3E15BA27"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shd w:val="clear" w:color="auto" w:fill="E7F3F4"/>
            <w:noWrap/>
            <w:vAlign w:val="center"/>
            <w:hideMark/>
          </w:tcPr>
          <w:p w14:paraId="6293480D"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shd w:val="clear" w:color="auto" w:fill="E7F3F4"/>
            <w:noWrap/>
            <w:vAlign w:val="center"/>
            <w:hideMark/>
          </w:tcPr>
          <w:p w14:paraId="47400B6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289CDBFE" w14:textId="77777777" w:rsidTr="006F4537">
        <w:trPr>
          <w:trHeight w:val="170"/>
        </w:trPr>
        <w:tc>
          <w:tcPr>
            <w:tcW w:w="2071" w:type="dxa"/>
            <w:shd w:val="clear" w:color="auto" w:fill="F3F9FA"/>
            <w:noWrap/>
            <w:vAlign w:val="bottom"/>
          </w:tcPr>
          <w:p w14:paraId="27EE0A97"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7219104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MS</w:t>
            </w:r>
          </w:p>
        </w:tc>
        <w:tc>
          <w:tcPr>
            <w:tcW w:w="2117" w:type="dxa"/>
            <w:shd w:val="clear" w:color="auto" w:fill="F3F9FA"/>
            <w:noWrap/>
            <w:vAlign w:val="bottom"/>
          </w:tcPr>
          <w:p w14:paraId="46917FCE" w14:textId="77777777" w:rsidR="006F4537" w:rsidRPr="006F4537" w:rsidRDefault="006F4537" w:rsidP="006F4537">
            <w:pPr>
              <w:spacing w:before="0" w:after="0"/>
              <w:rPr>
                <w:rFonts w:cs="Arial"/>
                <w:bCs/>
                <w:iCs/>
                <w:color w:val="000000"/>
                <w:sz w:val="18"/>
                <w:szCs w:val="18"/>
              </w:rPr>
            </w:pPr>
            <w:r w:rsidRPr="006F4537">
              <w:rPr>
                <w:rFonts w:cs="Arial"/>
                <w:color w:val="000000"/>
                <w:sz w:val="18"/>
                <w:szCs w:val="18"/>
              </w:rPr>
              <w:t>coastal subtidal</w:t>
            </w:r>
          </w:p>
        </w:tc>
        <w:tc>
          <w:tcPr>
            <w:tcW w:w="923" w:type="dxa"/>
            <w:shd w:val="clear" w:color="auto" w:fill="F3F9FA"/>
            <w:noWrap/>
            <w:vAlign w:val="center"/>
          </w:tcPr>
          <w:p w14:paraId="56E0D4C8" w14:textId="77777777" w:rsidR="006F4537" w:rsidRPr="006F4537" w:rsidRDefault="006F4537" w:rsidP="006F4537">
            <w:pPr>
              <w:spacing w:before="0" w:after="0"/>
              <w:jc w:val="center"/>
              <w:rPr>
                <w:rFonts w:cs="Arial"/>
                <w:bCs/>
                <w:iCs/>
                <w:color w:val="000000"/>
                <w:sz w:val="18"/>
                <w:szCs w:val="18"/>
              </w:rPr>
            </w:pPr>
          </w:p>
        </w:tc>
        <w:tc>
          <w:tcPr>
            <w:tcW w:w="924" w:type="dxa"/>
            <w:shd w:val="clear" w:color="auto" w:fill="F3F9FA"/>
            <w:noWrap/>
            <w:vAlign w:val="center"/>
          </w:tcPr>
          <w:p w14:paraId="0A4FD96C"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6.6</w:t>
            </w:r>
          </w:p>
        </w:tc>
        <w:tc>
          <w:tcPr>
            <w:tcW w:w="923" w:type="dxa"/>
            <w:shd w:val="clear" w:color="auto" w:fill="F3F9FA"/>
            <w:noWrap/>
            <w:vAlign w:val="center"/>
          </w:tcPr>
          <w:p w14:paraId="3454B2C4"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12.9</w:t>
            </w:r>
          </w:p>
        </w:tc>
        <w:tc>
          <w:tcPr>
            <w:tcW w:w="924" w:type="dxa"/>
            <w:shd w:val="clear" w:color="auto" w:fill="F3F9FA"/>
            <w:noWrap/>
            <w:vAlign w:val="center"/>
          </w:tcPr>
          <w:p w14:paraId="305ADB53"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14.8</w:t>
            </w:r>
          </w:p>
        </w:tc>
      </w:tr>
      <w:tr w:rsidR="006F4537" w:rsidRPr="006F4537" w14:paraId="53E3C45B" w14:textId="77777777" w:rsidTr="006F4537">
        <w:trPr>
          <w:trHeight w:val="170"/>
        </w:trPr>
        <w:tc>
          <w:tcPr>
            <w:tcW w:w="2071" w:type="dxa"/>
            <w:shd w:val="clear" w:color="auto" w:fill="E7F3F4"/>
            <w:noWrap/>
            <w:vAlign w:val="bottom"/>
          </w:tcPr>
          <w:p w14:paraId="24B054C6"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tcPr>
          <w:p w14:paraId="1BB0FDE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tcPr>
          <w:p w14:paraId="700A70AB"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subtidal</w:t>
            </w:r>
          </w:p>
        </w:tc>
        <w:tc>
          <w:tcPr>
            <w:tcW w:w="923" w:type="dxa"/>
            <w:shd w:val="clear" w:color="auto" w:fill="E7F3F4"/>
            <w:noWrap/>
            <w:vAlign w:val="center"/>
          </w:tcPr>
          <w:p w14:paraId="5B914ED3" w14:textId="77777777" w:rsidR="006F4537" w:rsidRPr="006F4537" w:rsidRDefault="006F4537" w:rsidP="006F4537">
            <w:pPr>
              <w:spacing w:before="0" w:after="0"/>
              <w:jc w:val="center"/>
              <w:rPr>
                <w:rFonts w:cs="Arial"/>
                <w:b/>
                <w:bCs/>
                <w:i/>
                <w:iCs/>
                <w:color w:val="000000"/>
                <w:sz w:val="18"/>
                <w:szCs w:val="18"/>
              </w:rPr>
            </w:pPr>
          </w:p>
        </w:tc>
        <w:tc>
          <w:tcPr>
            <w:tcW w:w="924" w:type="dxa"/>
            <w:shd w:val="clear" w:color="auto" w:fill="E7F3F4"/>
            <w:noWrap/>
            <w:vAlign w:val="center"/>
          </w:tcPr>
          <w:p w14:paraId="7089D47C"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shd w:val="clear" w:color="auto" w:fill="E7F3F4"/>
            <w:noWrap/>
            <w:vAlign w:val="center"/>
          </w:tcPr>
          <w:p w14:paraId="72A97F1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shd w:val="clear" w:color="auto" w:fill="E7F3F4"/>
            <w:noWrap/>
            <w:vAlign w:val="center"/>
          </w:tcPr>
          <w:p w14:paraId="6B7DCB0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111721AB" w14:textId="77777777" w:rsidTr="006F4537">
        <w:trPr>
          <w:trHeight w:val="170"/>
        </w:trPr>
        <w:tc>
          <w:tcPr>
            <w:tcW w:w="2071" w:type="dxa"/>
            <w:shd w:val="clear" w:color="auto" w:fill="F3F9FA"/>
            <w:noWrap/>
            <w:vAlign w:val="bottom"/>
          </w:tcPr>
          <w:p w14:paraId="63F0C307"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676D9E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DI</w:t>
            </w:r>
          </w:p>
        </w:tc>
        <w:tc>
          <w:tcPr>
            <w:tcW w:w="2117" w:type="dxa"/>
            <w:shd w:val="clear" w:color="auto" w:fill="F3F9FA"/>
            <w:noWrap/>
            <w:vAlign w:val="bottom"/>
            <w:hideMark/>
          </w:tcPr>
          <w:p w14:paraId="3893590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07CA312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27.5</w:t>
            </w:r>
          </w:p>
        </w:tc>
        <w:tc>
          <w:tcPr>
            <w:tcW w:w="924" w:type="dxa"/>
            <w:shd w:val="clear" w:color="auto" w:fill="F3F9FA"/>
            <w:noWrap/>
            <w:vAlign w:val="center"/>
          </w:tcPr>
          <w:p w14:paraId="72CCDBC4"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hideMark/>
          </w:tcPr>
          <w:p w14:paraId="3817E14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37.7</w:t>
            </w:r>
          </w:p>
        </w:tc>
        <w:tc>
          <w:tcPr>
            <w:tcW w:w="924" w:type="dxa"/>
            <w:shd w:val="clear" w:color="auto" w:fill="F3F9FA"/>
            <w:noWrap/>
            <w:vAlign w:val="center"/>
            <w:hideMark/>
          </w:tcPr>
          <w:p w14:paraId="072AD417"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2F66F36B" w14:textId="77777777" w:rsidTr="006F4537">
        <w:trPr>
          <w:trHeight w:val="170"/>
        </w:trPr>
        <w:tc>
          <w:tcPr>
            <w:tcW w:w="2071" w:type="dxa"/>
            <w:shd w:val="clear" w:color="auto" w:fill="F3F9FA"/>
            <w:noWrap/>
            <w:vAlign w:val="bottom"/>
          </w:tcPr>
          <w:p w14:paraId="3F73502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5D69008"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GI1^</w:t>
            </w:r>
          </w:p>
        </w:tc>
        <w:tc>
          <w:tcPr>
            <w:tcW w:w="2117" w:type="dxa"/>
            <w:shd w:val="clear" w:color="auto" w:fill="F3F9FA"/>
            <w:noWrap/>
            <w:vAlign w:val="bottom"/>
            <w:hideMark/>
          </w:tcPr>
          <w:p w14:paraId="53604EA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0B6756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32.5</w:t>
            </w:r>
          </w:p>
        </w:tc>
        <w:tc>
          <w:tcPr>
            <w:tcW w:w="924" w:type="dxa"/>
            <w:shd w:val="clear" w:color="auto" w:fill="F3F9FA"/>
            <w:noWrap/>
            <w:vAlign w:val="center"/>
            <w:hideMark/>
          </w:tcPr>
          <w:p w14:paraId="62C19E64"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38.2</w:t>
            </w:r>
          </w:p>
        </w:tc>
        <w:tc>
          <w:tcPr>
            <w:tcW w:w="923" w:type="dxa"/>
            <w:shd w:val="clear" w:color="auto" w:fill="F3F9FA"/>
            <w:noWrap/>
            <w:vAlign w:val="center"/>
            <w:hideMark/>
          </w:tcPr>
          <w:p w14:paraId="38E65D3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42.7</w:t>
            </w:r>
          </w:p>
        </w:tc>
        <w:tc>
          <w:tcPr>
            <w:tcW w:w="924" w:type="dxa"/>
            <w:shd w:val="clear" w:color="auto" w:fill="F3F9FA"/>
            <w:noWrap/>
            <w:vAlign w:val="center"/>
            <w:hideMark/>
          </w:tcPr>
          <w:p w14:paraId="7892B64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45.5</w:t>
            </w:r>
          </w:p>
        </w:tc>
      </w:tr>
      <w:tr w:rsidR="006F4537" w:rsidRPr="006F4537" w14:paraId="3C2B1D2F" w14:textId="77777777" w:rsidTr="006F4537">
        <w:trPr>
          <w:trHeight w:val="170"/>
        </w:trPr>
        <w:tc>
          <w:tcPr>
            <w:tcW w:w="2071" w:type="dxa"/>
            <w:shd w:val="clear" w:color="auto" w:fill="F3F9FA"/>
            <w:noWrap/>
            <w:vAlign w:val="bottom"/>
          </w:tcPr>
          <w:p w14:paraId="1B9529D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473BC88"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GI2^</w:t>
            </w:r>
          </w:p>
        </w:tc>
        <w:tc>
          <w:tcPr>
            <w:tcW w:w="2117" w:type="dxa"/>
            <w:shd w:val="clear" w:color="auto" w:fill="F3F9FA"/>
            <w:noWrap/>
            <w:vAlign w:val="bottom"/>
            <w:hideMark/>
          </w:tcPr>
          <w:p w14:paraId="27147E8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5847DC8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22.5</w:t>
            </w:r>
          </w:p>
        </w:tc>
        <w:tc>
          <w:tcPr>
            <w:tcW w:w="924" w:type="dxa"/>
            <w:shd w:val="clear" w:color="auto" w:fill="F3F9FA"/>
            <w:noWrap/>
            <w:vAlign w:val="center"/>
            <w:hideMark/>
          </w:tcPr>
          <w:p w14:paraId="57E54505"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25.6</w:t>
            </w:r>
          </w:p>
        </w:tc>
        <w:tc>
          <w:tcPr>
            <w:tcW w:w="923" w:type="dxa"/>
            <w:shd w:val="clear" w:color="auto" w:fill="F3F9FA"/>
            <w:noWrap/>
            <w:vAlign w:val="center"/>
            <w:hideMark/>
          </w:tcPr>
          <w:p w14:paraId="1195C05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32.7</w:t>
            </w:r>
          </w:p>
        </w:tc>
        <w:tc>
          <w:tcPr>
            <w:tcW w:w="924" w:type="dxa"/>
            <w:shd w:val="clear" w:color="auto" w:fill="F3F9FA"/>
            <w:noWrap/>
            <w:vAlign w:val="center"/>
            <w:hideMark/>
          </w:tcPr>
          <w:p w14:paraId="38FF7B5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36.7</w:t>
            </w:r>
          </w:p>
        </w:tc>
      </w:tr>
      <w:tr w:rsidR="006F4537" w:rsidRPr="006F4537" w14:paraId="3F04865B" w14:textId="77777777" w:rsidTr="006F4537">
        <w:trPr>
          <w:trHeight w:val="170"/>
        </w:trPr>
        <w:tc>
          <w:tcPr>
            <w:tcW w:w="2071" w:type="dxa"/>
            <w:shd w:val="clear" w:color="auto" w:fill="F3F9FA"/>
            <w:noWrap/>
            <w:vAlign w:val="bottom"/>
          </w:tcPr>
          <w:p w14:paraId="5D0B5B7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7C15B7F"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LI1</w:t>
            </w:r>
          </w:p>
        </w:tc>
        <w:tc>
          <w:tcPr>
            <w:tcW w:w="2117" w:type="dxa"/>
            <w:shd w:val="clear" w:color="auto" w:fill="F3F9FA"/>
            <w:noWrap/>
            <w:vAlign w:val="bottom"/>
            <w:hideMark/>
          </w:tcPr>
          <w:p w14:paraId="6FDFDA7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79CE1F4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27.5</w:t>
            </w:r>
          </w:p>
        </w:tc>
        <w:tc>
          <w:tcPr>
            <w:tcW w:w="924" w:type="dxa"/>
            <w:shd w:val="clear" w:color="auto" w:fill="F3F9FA"/>
            <w:noWrap/>
            <w:vAlign w:val="center"/>
          </w:tcPr>
          <w:p w14:paraId="73933BF6"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hideMark/>
          </w:tcPr>
          <w:p w14:paraId="727043B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37.7</w:t>
            </w:r>
          </w:p>
        </w:tc>
        <w:tc>
          <w:tcPr>
            <w:tcW w:w="924" w:type="dxa"/>
            <w:shd w:val="clear" w:color="auto" w:fill="F3F9FA"/>
            <w:noWrap/>
            <w:vAlign w:val="center"/>
            <w:hideMark/>
          </w:tcPr>
          <w:p w14:paraId="57E31E0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649EF444" w14:textId="77777777" w:rsidTr="006F4537">
        <w:trPr>
          <w:trHeight w:val="170"/>
        </w:trPr>
        <w:tc>
          <w:tcPr>
            <w:tcW w:w="2071" w:type="dxa"/>
            <w:shd w:val="clear" w:color="auto" w:fill="F3F9FA"/>
            <w:noWrap/>
            <w:vAlign w:val="bottom"/>
          </w:tcPr>
          <w:p w14:paraId="2BA31C4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2B810472"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GO1</w:t>
            </w:r>
          </w:p>
        </w:tc>
        <w:tc>
          <w:tcPr>
            <w:tcW w:w="2117" w:type="dxa"/>
            <w:shd w:val="clear" w:color="auto" w:fill="F3F9FA"/>
            <w:noWrap/>
            <w:vAlign w:val="bottom"/>
          </w:tcPr>
          <w:p w14:paraId="0F9460C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4A51AA8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27.5</w:t>
            </w:r>
          </w:p>
        </w:tc>
        <w:tc>
          <w:tcPr>
            <w:tcW w:w="924" w:type="dxa"/>
            <w:shd w:val="clear" w:color="auto" w:fill="F3F9FA"/>
            <w:noWrap/>
            <w:vAlign w:val="center"/>
          </w:tcPr>
          <w:p w14:paraId="3A08D185"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tcPr>
          <w:p w14:paraId="7F5A9D2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37.7</w:t>
            </w:r>
          </w:p>
        </w:tc>
        <w:tc>
          <w:tcPr>
            <w:tcW w:w="924" w:type="dxa"/>
            <w:shd w:val="clear" w:color="auto" w:fill="F3F9FA"/>
            <w:noWrap/>
            <w:vAlign w:val="center"/>
          </w:tcPr>
          <w:p w14:paraId="524CBA9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5A602E39" w14:textId="77777777" w:rsidTr="006F4537">
        <w:trPr>
          <w:trHeight w:val="170"/>
        </w:trPr>
        <w:tc>
          <w:tcPr>
            <w:tcW w:w="2071" w:type="dxa"/>
            <w:shd w:val="clear" w:color="auto" w:fill="E7F3F4"/>
            <w:noWrap/>
            <w:vAlign w:val="bottom"/>
            <w:hideMark/>
          </w:tcPr>
          <w:p w14:paraId="410DC47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shd w:val="clear" w:color="auto" w:fill="E7F3F4"/>
            <w:noWrap/>
            <w:vAlign w:val="bottom"/>
            <w:hideMark/>
          </w:tcPr>
          <w:p w14:paraId="48381646"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2ABB68F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shd w:val="clear" w:color="auto" w:fill="E7F3F4"/>
            <w:noWrap/>
            <w:vAlign w:val="center"/>
            <w:hideMark/>
          </w:tcPr>
          <w:p w14:paraId="72B707B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27.5</w:t>
            </w:r>
          </w:p>
        </w:tc>
        <w:tc>
          <w:tcPr>
            <w:tcW w:w="924" w:type="dxa"/>
            <w:shd w:val="clear" w:color="auto" w:fill="E7F3F4"/>
            <w:noWrap/>
            <w:vAlign w:val="center"/>
            <w:hideMark/>
          </w:tcPr>
          <w:p w14:paraId="72B03A4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31.9</w:t>
            </w:r>
          </w:p>
        </w:tc>
        <w:tc>
          <w:tcPr>
            <w:tcW w:w="923" w:type="dxa"/>
            <w:shd w:val="clear" w:color="auto" w:fill="E7F3F4"/>
            <w:noWrap/>
            <w:vAlign w:val="center"/>
            <w:hideMark/>
          </w:tcPr>
          <w:p w14:paraId="6DB9334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37.7</w:t>
            </w:r>
          </w:p>
        </w:tc>
        <w:tc>
          <w:tcPr>
            <w:tcW w:w="924" w:type="dxa"/>
            <w:shd w:val="clear" w:color="auto" w:fill="E7F3F4"/>
            <w:noWrap/>
            <w:vAlign w:val="center"/>
            <w:hideMark/>
          </w:tcPr>
          <w:p w14:paraId="74F0F12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41</w:t>
            </w:r>
          </w:p>
        </w:tc>
      </w:tr>
      <w:tr w:rsidR="006F4537" w:rsidRPr="006F4537" w14:paraId="1934AEE5" w14:textId="77777777" w:rsidTr="006F4537">
        <w:trPr>
          <w:trHeight w:val="170"/>
        </w:trPr>
        <w:tc>
          <w:tcPr>
            <w:tcW w:w="2071" w:type="dxa"/>
            <w:shd w:val="clear" w:color="auto" w:fill="F3F9FA"/>
            <w:noWrap/>
            <w:vAlign w:val="bottom"/>
          </w:tcPr>
          <w:p w14:paraId="36DA1E71"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68CEB7C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DI3</w:t>
            </w:r>
          </w:p>
        </w:tc>
        <w:tc>
          <w:tcPr>
            <w:tcW w:w="2117" w:type="dxa"/>
            <w:shd w:val="clear" w:color="auto" w:fill="F3F9FA"/>
            <w:noWrap/>
            <w:vAlign w:val="bottom"/>
            <w:hideMark/>
          </w:tcPr>
          <w:p w14:paraId="5D6E431C"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6A116AE0"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22</w:t>
            </w:r>
          </w:p>
        </w:tc>
        <w:tc>
          <w:tcPr>
            <w:tcW w:w="924" w:type="dxa"/>
            <w:shd w:val="clear" w:color="auto" w:fill="F3F9FA"/>
            <w:noWrap/>
            <w:vAlign w:val="center"/>
            <w:hideMark/>
          </w:tcPr>
          <w:p w14:paraId="393E0E2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1CB2EFC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w:t>
            </w:r>
          </w:p>
        </w:tc>
        <w:tc>
          <w:tcPr>
            <w:tcW w:w="924" w:type="dxa"/>
            <w:shd w:val="clear" w:color="auto" w:fill="F3F9FA"/>
            <w:noWrap/>
            <w:vAlign w:val="center"/>
            <w:hideMark/>
          </w:tcPr>
          <w:p w14:paraId="17A467F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39.2</w:t>
            </w:r>
          </w:p>
        </w:tc>
      </w:tr>
      <w:tr w:rsidR="006F4537" w:rsidRPr="006F4537" w14:paraId="7CE65C43" w14:textId="77777777" w:rsidTr="006F4537">
        <w:trPr>
          <w:trHeight w:val="170"/>
        </w:trPr>
        <w:tc>
          <w:tcPr>
            <w:tcW w:w="2071" w:type="dxa"/>
            <w:shd w:val="clear" w:color="auto" w:fill="F3F9FA"/>
            <w:noWrap/>
            <w:vAlign w:val="bottom"/>
          </w:tcPr>
          <w:p w14:paraId="152643F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809F3C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GI3^</w:t>
            </w:r>
          </w:p>
        </w:tc>
        <w:tc>
          <w:tcPr>
            <w:tcW w:w="2117" w:type="dxa"/>
            <w:shd w:val="clear" w:color="auto" w:fill="F3F9FA"/>
            <w:noWrap/>
            <w:vAlign w:val="bottom"/>
            <w:hideMark/>
          </w:tcPr>
          <w:p w14:paraId="30D92694"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15A9D229"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22</w:t>
            </w:r>
          </w:p>
        </w:tc>
        <w:tc>
          <w:tcPr>
            <w:tcW w:w="924" w:type="dxa"/>
            <w:shd w:val="clear" w:color="auto" w:fill="F3F9FA"/>
            <w:noWrap/>
            <w:vAlign w:val="center"/>
            <w:hideMark/>
          </w:tcPr>
          <w:p w14:paraId="2EF032E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4FDEAB9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w:t>
            </w:r>
          </w:p>
        </w:tc>
        <w:tc>
          <w:tcPr>
            <w:tcW w:w="924" w:type="dxa"/>
            <w:shd w:val="clear" w:color="auto" w:fill="F3F9FA"/>
            <w:noWrap/>
            <w:vAlign w:val="center"/>
            <w:hideMark/>
          </w:tcPr>
          <w:p w14:paraId="2C6A164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39.2</w:t>
            </w:r>
          </w:p>
        </w:tc>
      </w:tr>
      <w:tr w:rsidR="006F4537" w:rsidRPr="006F4537" w14:paraId="05A4975A" w14:textId="77777777" w:rsidTr="006F4537">
        <w:trPr>
          <w:trHeight w:val="170"/>
        </w:trPr>
        <w:tc>
          <w:tcPr>
            <w:tcW w:w="2071" w:type="dxa"/>
            <w:shd w:val="clear" w:color="auto" w:fill="F3F9FA"/>
            <w:noWrap/>
            <w:vAlign w:val="bottom"/>
          </w:tcPr>
          <w:p w14:paraId="2C6E83CE"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6C34D4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LI2</w:t>
            </w:r>
          </w:p>
        </w:tc>
        <w:tc>
          <w:tcPr>
            <w:tcW w:w="2117" w:type="dxa"/>
            <w:shd w:val="clear" w:color="auto" w:fill="F3F9FA"/>
            <w:noWrap/>
            <w:vAlign w:val="bottom"/>
            <w:hideMark/>
          </w:tcPr>
          <w:p w14:paraId="2D7875A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01469835"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22</w:t>
            </w:r>
          </w:p>
        </w:tc>
        <w:tc>
          <w:tcPr>
            <w:tcW w:w="924" w:type="dxa"/>
            <w:shd w:val="clear" w:color="auto" w:fill="F3F9FA"/>
            <w:noWrap/>
            <w:vAlign w:val="center"/>
            <w:hideMark/>
          </w:tcPr>
          <w:p w14:paraId="0C49EB7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0ADC0A2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w:t>
            </w:r>
          </w:p>
        </w:tc>
        <w:tc>
          <w:tcPr>
            <w:tcW w:w="924" w:type="dxa"/>
            <w:shd w:val="clear" w:color="auto" w:fill="F3F9FA"/>
            <w:noWrap/>
            <w:vAlign w:val="center"/>
            <w:hideMark/>
          </w:tcPr>
          <w:p w14:paraId="367D72A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39.2</w:t>
            </w:r>
          </w:p>
        </w:tc>
      </w:tr>
      <w:tr w:rsidR="006F4537" w:rsidRPr="006F4537" w14:paraId="3F640085" w14:textId="77777777" w:rsidTr="006F4537">
        <w:trPr>
          <w:trHeight w:val="170"/>
        </w:trPr>
        <w:tc>
          <w:tcPr>
            <w:tcW w:w="2071" w:type="dxa"/>
            <w:tcBorders>
              <w:top w:val="nil"/>
              <w:left w:val="nil"/>
              <w:bottom w:val="single" w:sz="4" w:space="0" w:color="auto"/>
              <w:right w:val="nil"/>
            </w:tcBorders>
            <w:shd w:val="clear" w:color="auto" w:fill="E7F3F4"/>
            <w:noWrap/>
            <w:vAlign w:val="bottom"/>
            <w:hideMark/>
          </w:tcPr>
          <w:p w14:paraId="164EFA5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14:paraId="6EE5A5C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7B14BD05"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subtidal</w:t>
            </w:r>
          </w:p>
        </w:tc>
        <w:tc>
          <w:tcPr>
            <w:tcW w:w="923" w:type="dxa"/>
            <w:tcBorders>
              <w:top w:val="nil"/>
              <w:left w:val="nil"/>
              <w:bottom w:val="single" w:sz="4" w:space="0" w:color="auto"/>
              <w:right w:val="nil"/>
            </w:tcBorders>
            <w:shd w:val="clear" w:color="auto" w:fill="E7F3F4"/>
            <w:noWrap/>
            <w:vAlign w:val="center"/>
            <w:hideMark/>
          </w:tcPr>
          <w:p w14:paraId="65A455D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w:t>
            </w:r>
          </w:p>
        </w:tc>
        <w:tc>
          <w:tcPr>
            <w:tcW w:w="924" w:type="dxa"/>
            <w:tcBorders>
              <w:top w:val="nil"/>
              <w:left w:val="nil"/>
              <w:bottom w:val="single" w:sz="4" w:space="0" w:color="auto"/>
              <w:right w:val="nil"/>
            </w:tcBorders>
            <w:shd w:val="clear" w:color="auto" w:fill="E7F3F4"/>
            <w:noWrap/>
            <w:vAlign w:val="center"/>
            <w:hideMark/>
          </w:tcPr>
          <w:p w14:paraId="6C7DD7A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26</w:t>
            </w:r>
          </w:p>
        </w:tc>
        <w:tc>
          <w:tcPr>
            <w:tcW w:w="923" w:type="dxa"/>
            <w:tcBorders>
              <w:top w:val="nil"/>
              <w:left w:val="nil"/>
              <w:bottom w:val="single" w:sz="4" w:space="0" w:color="auto"/>
              <w:right w:val="nil"/>
            </w:tcBorders>
            <w:shd w:val="clear" w:color="auto" w:fill="E7F3F4"/>
            <w:noWrap/>
            <w:vAlign w:val="center"/>
            <w:hideMark/>
          </w:tcPr>
          <w:p w14:paraId="32C7AEA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33</w:t>
            </w:r>
          </w:p>
        </w:tc>
        <w:tc>
          <w:tcPr>
            <w:tcW w:w="924" w:type="dxa"/>
            <w:tcBorders>
              <w:top w:val="nil"/>
              <w:left w:val="nil"/>
              <w:bottom w:val="single" w:sz="4" w:space="0" w:color="auto"/>
              <w:right w:val="nil"/>
            </w:tcBorders>
            <w:shd w:val="clear" w:color="auto" w:fill="E7F3F4"/>
            <w:noWrap/>
            <w:vAlign w:val="center"/>
            <w:hideMark/>
          </w:tcPr>
          <w:p w14:paraId="318466A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39.2</w:t>
            </w:r>
          </w:p>
        </w:tc>
      </w:tr>
      <w:tr w:rsidR="006F4537" w:rsidRPr="006F4537" w14:paraId="7B61FE35"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7A74C9F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Burdekin</w:t>
            </w:r>
          </w:p>
        </w:tc>
        <w:tc>
          <w:tcPr>
            <w:tcW w:w="956" w:type="dxa"/>
            <w:tcBorders>
              <w:top w:val="single" w:sz="4" w:space="0" w:color="auto"/>
              <w:left w:val="nil"/>
              <w:bottom w:val="nil"/>
              <w:right w:val="nil"/>
            </w:tcBorders>
            <w:shd w:val="clear" w:color="auto" w:fill="F3F9FA"/>
            <w:noWrap/>
            <w:vAlign w:val="bottom"/>
            <w:hideMark/>
          </w:tcPr>
          <w:p w14:paraId="6D74751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BB1^</w:t>
            </w:r>
          </w:p>
        </w:tc>
        <w:tc>
          <w:tcPr>
            <w:tcW w:w="2117" w:type="dxa"/>
            <w:tcBorders>
              <w:top w:val="single" w:sz="4" w:space="0" w:color="auto"/>
              <w:left w:val="nil"/>
              <w:bottom w:val="nil"/>
              <w:right w:val="nil"/>
            </w:tcBorders>
            <w:shd w:val="clear" w:color="auto" w:fill="F3F9FA"/>
            <w:noWrap/>
            <w:vAlign w:val="bottom"/>
            <w:hideMark/>
          </w:tcPr>
          <w:p w14:paraId="27BD29A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tcBorders>
              <w:top w:val="single" w:sz="4" w:space="0" w:color="auto"/>
              <w:left w:val="nil"/>
              <w:bottom w:val="nil"/>
              <w:right w:val="nil"/>
            </w:tcBorders>
            <w:shd w:val="clear" w:color="auto" w:fill="F3F9FA"/>
            <w:noWrap/>
            <w:vAlign w:val="center"/>
            <w:hideMark/>
          </w:tcPr>
          <w:p w14:paraId="1EF3E953"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16.3</w:t>
            </w:r>
          </w:p>
        </w:tc>
        <w:tc>
          <w:tcPr>
            <w:tcW w:w="924" w:type="dxa"/>
            <w:tcBorders>
              <w:top w:val="single" w:sz="4" w:space="0" w:color="auto"/>
              <w:left w:val="nil"/>
              <w:bottom w:val="nil"/>
              <w:right w:val="nil"/>
            </w:tcBorders>
            <w:shd w:val="clear" w:color="auto" w:fill="F3F9FA"/>
            <w:noWrap/>
            <w:vAlign w:val="center"/>
            <w:hideMark/>
          </w:tcPr>
          <w:p w14:paraId="0E4AE01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21.4</w:t>
            </w:r>
          </w:p>
        </w:tc>
        <w:tc>
          <w:tcPr>
            <w:tcW w:w="923" w:type="dxa"/>
            <w:tcBorders>
              <w:top w:val="single" w:sz="4" w:space="0" w:color="auto"/>
              <w:left w:val="nil"/>
              <w:bottom w:val="nil"/>
              <w:right w:val="nil"/>
            </w:tcBorders>
            <w:shd w:val="clear" w:color="auto" w:fill="F3F9FA"/>
            <w:noWrap/>
            <w:vAlign w:val="center"/>
            <w:hideMark/>
          </w:tcPr>
          <w:p w14:paraId="698351A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25.4</w:t>
            </w:r>
          </w:p>
        </w:tc>
        <w:tc>
          <w:tcPr>
            <w:tcW w:w="924" w:type="dxa"/>
            <w:tcBorders>
              <w:top w:val="single" w:sz="4" w:space="0" w:color="auto"/>
              <w:left w:val="nil"/>
              <w:bottom w:val="nil"/>
              <w:right w:val="nil"/>
            </w:tcBorders>
            <w:shd w:val="clear" w:color="auto" w:fill="F3F9FA"/>
            <w:noWrap/>
            <w:vAlign w:val="center"/>
            <w:hideMark/>
          </w:tcPr>
          <w:p w14:paraId="6DE1680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35.2</w:t>
            </w:r>
          </w:p>
        </w:tc>
      </w:tr>
      <w:tr w:rsidR="006F4537" w:rsidRPr="006F4537" w14:paraId="1E4D7BCD" w14:textId="77777777" w:rsidTr="006F4537">
        <w:trPr>
          <w:trHeight w:val="170"/>
        </w:trPr>
        <w:tc>
          <w:tcPr>
            <w:tcW w:w="2071" w:type="dxa"/>
            <w:shd w:val="clear" w:color="auto" w:fill="F3F9FA"/>
            <w:noWrap/>
            <w:vAlign w:val="bottom"/>
          </w:tcPr>
          <w:p w14:paraId="796233B5"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7669BB8"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SB1^</w:t>
            </w:r>
          </w:p>
        </w:tc>
        <w:tc>
          <w:tcPr>
            <w:tcW w:w="2117" w:type="dxa"/>
            <w:shd w:val="clear" w:color="auto" w:fill="F3F9FA"/>
            <w:noWrap/>
            <w:vAlign w:val="bottom"/>
            <w:hideMark/>
          </w:tcPr>
          <w:p w14:paraId="4670AA26"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6B3C5882"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7.5</w:t>
            </w:r>
          </w:p>
        </w:tc>
        <w:tc>
          <w:tcPr>
            <w:tcW w:w="924" w:type="dxa"/>
            <w:shd w:val="clear" w:color="auto" w:fill="F3F9FA"/>
            <w:noWrap/>
            <w:vAlign w:val="center"/>
            <w:hideMark/>
          </w:tcPr>
          <w:p w14:paraId="051C51D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10</w:t>
            </w:r>
          </w:p>
        </w:tc>
        <w:tc>
          <w:tcPr>
            <w:tcW w:w="923" w:type="dxa"/>
            <w:shd w:val="clear" w:color="auto" w:fill="F3F9FA"/>
            <w:noWrap/>
            <w:vAlign w:val="center"/>
            <w:hideMark/>
          </w:tcPr>
          <w:p w14:paraId="2A7D4EA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4" w:type="dxa"/>
            <w:shd w:val="clear" w:color="auto" w:fill="F3F9FA"/>
            <w:noWrap/>
            <w:vAlign w:val="center"/>
            <w:hideMark/>
          </w:tcPr>
          <w:p w14:paraId="243EF51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w:t>
            </w:r>
          </w:p>
        </w:tc>
      </w:tr>
      <w:tr w:rsidR="006F4537" w:rsidRPr="006F4537" w14:paraId="4D9AA368" w14:textId="77777777" w:rsidTr="006F4537">
        <w:trPr>
          <w:trHeight w:val="170"/>
        </w:trPr>
        <w:tc>
          <w:tcPr>
            <w:tcW w:w="2071" w:type="dxa"/>
            <w:shd w:val="clear" w:color="auto" w:fill="F3F9FA"/>
            <w:noWrap/>
            <w:vAlign w:val="bottom"/>
          </w:tcPr>
          <w:p w14:paraId="1D93386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3E75B20"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SB2</w:t>
            </w:r>
          </w:p>
        </w:tc>
        <w:tc>
          <w:tcPr>
            <w:tcW w:w="2117" w:type="dxa"/>
            <w:shd w:val="clear" w:color="auto" w:fill="F3F9FA"/>
            <w:noWrap/>
            <w:vAlign w:val="bottom"/>
            <w:hideMark/>
          </w:tcPr>
          <w:p w14:paraId="4D9FABB2"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018ABA0A"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420FB41A" w14:textId="77777777" w:rsidR="006F4537" w:rsidRPr="006F4537" w:rsidRDefault="006F4537" w:rsidP="006F4537">
            <w:pPr>
              <w:spacing w:before="0" w:after="0"/>
              <w:jc w:val="center"/>
              <w:rPr>
                <w:rFonts w:cs="Arial"/>
                <w:bCs/>
                <w:i/>
                <w:iCs/>
                <w:color w:val="000000"/>
                <w:sz w:val="18"/>
                <w:szCs w:val="18"/>
              </w:rPr>
            </w:pPr>
            <w:r w:rsidRPr="006F4537">
              <w:rPr>
                <w:rFonts w:cs="Arial"/>
                <w:color w:val="000000"/>
                <w:sz w:val="18"/>
                <w:szCs w:val="18"/>
              </w:rPr>
              <w:t>10</w:t>
            </w:r>
          </w:p>
        </w:tc>
        <w:tc>
          <w:tcPr>
            <w:tcW w:w="923" w:type="dxa"/>
            <w:shd w:val="clear" w:color="auto" w:fill="F3F9FA"/>
            <w:noWrap/>
            <w:vAlign w:val="center"/>
            <w:hideMark/>
          </w:tcPr>
          <w:p w14:paraId="6F7D1233" w14:textId="77777777" w:rsidR="006F4537" w:rsidRPr="006F4537" w:rsidRDefault="006F4537" w:rsidP="006F4537">
            <w:pPr>
              <w:spacing w:before="0" w:after="0"/>
              <w:jc w:val="center"/>
              <w:rPr>
                <w:rFonts w:cs="Arial"/>
                <w:bCs/>
                <w:i/>
                <w:iCs/>
                <w:color w:val="000000"/>
                <w:sz w:val="18"/>
                <w:szCs w:val="18"/>
              </w:rPr>
            </w:pPr>
            <w:r w:rsidRPr="006F4537">
              <w:rPr>
                <w:rFonts w:cs="Arial"/>
                <w:color w:val="000000"/>
                <w:sz w:val="18"/>
                <w:szCs w:val="18"/>
              </w:rPr>
              <w:t>16.8</w:t>
            </w:r>
          </w:p>
        </w:tc>
        <w:tc>
          <w:tcPr>
            <w:tcW w:w="924" w:type="dxa"/>
            <w:shd w:val="clear" w:color="auto" w:fill="F3F9FA"/>
            <w:noWrap/>
            <w:vAlign w:val="center"/>
            <w:hideMark/>
          </w:tcPr>
          <w:p w14:paraId="2C302225" w14:textId="77777777" w:rsidR="006F4537" w:rsidRPr="006F4537" w:rsidRDefault="006F4537" w:rsidP="006F4537">
            <w:pPr>
              <w:spacing w:before="0" w:after="0"/>
              <w:jc w:val="center"/>
              <w:rPr>
                <w:rFonts w:cs="Arial"/>
                <w:bCs/>
                <w:i/>
                <w:iCs/>
                <w:color w:val="000000"/>
                <w:sz w:val="18"/>
                <w:szCs w:val="18"/>
              </w:rPr>
            </w:pPr>
            <w:r w:rsidRPr="006F4537">
              <w:rPr>
                <w:rFonts w:cs="Arial"/>
                <w:color w:val="000000"/>
                <w:sz w:val="18"/>
                <w:szCs w:val="18"/>
              </w:rPr>
              <w:t>22</w:t>
            </w:r>
          </w:p>
        </w:tc>
      </w:tr>
      <w:tr w:rsidR="006F4537" w:rsidRPr="006F4537" w14:paraId="2218341E" w14:textId="77777777" w:rsidTr="006F4537">
        <w:trPr>
          <w:trHeight w:val="170"/>
        </w:trPr>
        <w:tc>
          <w:tcPr>
            <w:tcW w:w="2071" w:type="dxa"/>
            <w:shd w:val="clear" w:color="auto" w:fill="F3F9FA"/>
            <w:noWrap/>
            <w:vAlign w:val="bottom"/>
          </w:tcPr>
          <w:p w14:paraId="407BAEF0"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63F30514"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JR</w:t>
            </w:r>
          </w:p>
        </w:tc>
        <w:tc>
          <w:tcPr>
            <w:tcW w:w="2117" w:type="dxa"/>
            <w:shd w:val="clear" w:color="auto" w:fill="F3F9FA"/>
            <w:noWrap/>
            <w:vAlign w:val="bottom"/>
            <w:hideMark/>
          </w:tcPr>
          <w:p w14:paraId="7D16AC93" w14:textId="77777777" w:rsidR="006F4537" w:rsidRPr="006F4537" w:rsidRDefault="006F4537" w:rsidP="006F4537">
            <w:pPr>
              <w:spacing w:before="0" w:after="0"/>
              <w:rPr>
                <w:rFonts w:cs="Arial"/>
                <w:b/>
                <w:bCs/>
                <w:i/>
                <w:iCs/>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69E77B36"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706EB18A" w14:textId="77777777" w:rsidR="006F4537" w:rsidRPr="006F4537" w:rsidRDefault="006F4537" w:rsidP="006F4537">
            <w:pPr>
              <w:spacing w:before="0" w:after="0"/>
              <w:jc w:val="center"/>
              <w:rPr>
                <w:rFonts w:cs="Arial"/>
                <w:bCs/>
                <w:i/>
                <w:iCs/>
                <w:color w:val="000000"/>
                <w:sz w:val="18"/>
                <w:szCs w:val="18"/>
              </w:rPr>
            </w:pPr>
            <w:r w:rsidRPr="006F4537">
              <w:rPr>
                <w:rFonts w:cs="Arial"/>
                <w:bCs/>
                <w:i/>
                <w:iCs/>
                <w:color w:val="000000"/>
                <w:sz w:val="18"/>
                <w:szCs w:val="18"/>
              </w:rPr>
              <w:t>15.7</w:t>
            </w:r>
          </w:p>
        </w:tc>
        <w:tc>
          <w:tcPr>
            <w:tcW w:w="923" w:type="dxa"/>
            <w:shd w:val="clear" w:color="auto" w:fill="F3F9FA"/>
            <w:noWrap/>
            <w:vAlign w:val="center"/>
            <w:hideMark/>
          </w:tcPr>
          <w:p w14:paraId="619DDCB0" w14:textId="77777777" w:rsidR="006F4537" w:rsidRPr="006F4537" w:rsidRDefault="006F4537" w:rsidP="006F4537">
            <w:pPr>
              <w:spacing w:before="0" w:after="0"/>
              <w:jc w:val="center"/>
              <w:rPr>
                <w:rFonts w:cs="Arial"/>
                <w:bCs/>
                <w:i/>
                <w:iCs/>
                <w:color w:val="000000"/>
                <w:sz w:val="18"/>
                <w:szCs w:val="18"/>
              </w:rPr>
            </w:pPr>
            <w:r w:rsidRPr="006F4537">
              <w:rPr>
                <w:rFonts w:cs="Arial"/>
                <w:bCs/>
                <w:i/>
                <w:iCs/>
                <w:color w:val="000000"/>
                <w:sz w:val="18"/>
                <w:szCs w:val="18"/>
              </w:rPr>
              <w:t>21.1</w:t>
            </w:r>
          </w:p>
        </w:tc>
        <w:tc>
          <w:tcPr>
            <w:tcW w:w="924" w:type="dxa"/>
            <w:shd w:val="clear" w:color="auto" w:fill="F3F9FA"/>
            <w:noWrap/>
            <w:vAlign w:val="center"/>
            <w:hideMark/>
          </w:tcPr>
          <w:p w14:paraId="002838D0" w14:textId="77777777" w:rsidR="006F4537" w:rsidRPr="006F4537" w:rsidRDefault="006F4537" w:rsidP="006F4537">
            <w:pPr>
              <w:spacing w:before="0" w:after="0"/>
              <w:jc w:val="center"/>
              <w:rPr>
                <w:rFonts w:cs="Arial"/>
                <w:bCs/>
                <w:i/>
                <w:iCs/>
                <w:color w:val="000000"/>
                <w:sz w:val="18"/>
                <w:szCs w:val="18"/>
              </w:rPr>
            </w:pPr>
            <w:r w:rsidRPr="006F4537">
              <w:rPr>
                <w:rFonts w:cs="Arial"/>
                <w:bCs/>
                <w:i/>
                <w:iCs/>
                <w:color w:val="000000"/>
                <w:sz w:val="18"/>
                <w:szCs w:val="18"/>
              </w:rPr>
              <w:t>28.6</w:t>
            </w:r>
          </w:p>
        </w:tc>
      </w:tr>
      <w:tr w:rsidR="006F4537" w:rsidRPr="006F4537" w14:paraId="4639C49F" w14:textId="77777777" w:rsidTr="006F4537">
        <w:trPr>
          <w:trHeight w:val="170"/>
        </w:trPr>
        <w:tc>
          <w:tcPr>
            <w:tcW w:w="2071" w:type="dxa"/>
            <w:shd w:val="clear" w:color="auto" w:fill="E7F3F4"/>
            <w:noWrap/>
            <w:vAlign w:val="bottom"/>
          </w:tcPr>
          <w:p w14:paraId="1594315A"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7136126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426BCE0F"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3CCCDF8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11.9</w:t>
            </w:r>
          </w:p>
        </w:tc>
        <w:tc>
          <w:tcPr>
            <w:tcW w:w="924" w:type="dxa"/>
            <w:shd w:val="clear" w:color="auto" w:fill="E7F3F4"/>
            <w:noWrap/>
            <w:vAlign w:val="center"/>
            <w:hideMark/>
          </w:tcPr>
          <w:p w14:paraId="1AA916B7"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15.7</w:t>
            </w:r>
          </w:p>
        </w:tc>
        <w:tc>
          <w:tcPr>
            <w:tcW w:w="923" w:type="dxa"/>
            <w:shd w:val="clear" w:color="auto" w:fill="E7F3F4"/>
            <w:noWrap/>
            <w:vAlign w:val="center"/>
            <w:hideMark/>
          </w:tcPr>
          <w:p w14:paraId="63D932EF"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21.1</w:t>
            </w:r>
          </w:p>
        </w:tc>
        <w:tc>
          <w:tcPr>
            <w:tcW w:w="924" w:type="dxa"/>
            <w:shd w:val="clear" w:color="auto" w:fill="E7F3F4"/>
            <w:noWrap/>
            <w:vAlign w:val="center"/>
            <w:hideMark/>
          </w:tcPr>
          <w:p w14:paraId="1E83ED78"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28.6</w:t>
            </w:r>
          </w:p>
        </w:tc>
      </w:tr>
      <w:tr w:rsidR="006F4537" w:rsidRPr="006F4537" w14:paraId="1CD6C652" w14:textId="77777777" w:rsidTr="006F4537">
        <w:trPr>
          <w:trHeight w:val="170"/>
        </w:trPr>
        <w:tc>
          <w:tcPr>
            <w:tcW w:w="2071" w:type="dxa"/>
            <w:shd w:val="clear" w:color="auto" w:fill="F3F9FA"/>
            <w:noWrap/>
            <w:vAlign w:val="bottom"/>
          </w:tcPr>
          <w:p w14:paraId="3138F229"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0AEE60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MI1^</w:t>
            </w:r>
          </w:p>
        </w:tc>
        <w:tc>
          <w:tcPr>
            <w:tcW w:w="2117" w:type="dxa"/>
            <w:shd w:val="clear" w:color="auto" w:fill="F3F9FA"/>
            <w:noWrap/>
            <w:vAlign w:val="bottom"/>
            <w:hideMark/>
          </w:tcPr>
          <w:p w14:paraId="00BBCAA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F59306B"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23</w:t>
            </w:r>
          </w:p>
        </w:tc>
        <w:tc>
          <w:tcPr>
            <w:tcW w:w="924" w:type="dxa"/>
            <w:shd w:val="clear" w:color="auto" w:fill="F3F9FA"/>
            <w:noWrap/>
            <w:vAlign w:val="center"/>
            <w:hideMark/>
          </w:tcPr>
          <w:p w14:paraId="5BA35FF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25A5B65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33.4</w:t>
            </w:r>
          </w:p>
        </w:tc>
        <w:tc>
          <w:tcPr>
            <w:tcW w:w="924" w:type="dxa"/>
            <w:shd w:val="clear" w:color="auto" w:fill="F3F9FA"/>
            <w:noWrap/>
            <w:vAlign w:val="center"/>
            <w:hideMark/>
          </w:tcPr>
          <w:p w14:paraId="6151DEA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w:t>
            </w:r>
          </w:p>
        </w:tc>
      </w:tr>
      <w:tr w:rsidR="006F4537" w:rsidRPr="006F4537" w14:paraId="517B94C0" w14:textId="77777777" w:rsidTr="006F4537">
        <w:trPr>
          <w:trHeight w:val="170"/>
        </w:trPr>
        <w:tc>
          <w:tcPr>
            <w:tcW w:w="2071" w:type="dxa"/>
            <w:shd w:val="clear" w:color="auto" w:fill="F3F9FA"/>
            <w:noWrap/>
            <w:vAlign w:val="bottom"/>
          </w:tcPr>
          <w:p w14:paraId="7682E69E"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6D62965"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MI2^</w:t>
            </w:r>
          </w:p>
        </w:tc>
        <w:tc>
          <w:tcPr>
            <w:tcW w:w="2117" w:type="dxa"/>
            <w:shd w:val="clear" w:color="auto" w:fill="F3F9FA"/>
            <w:noWrap/>
            <w:vAlign w:val="bottom"/>
            <w:hideMark/>
          </w:tcPr>
          <w:p w14:paraId="30FED40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B19875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21.3</w:t>
            </w:r>
          </w:p>
        </w:tc>
        <w:tc>
          <w:tcPr>
            <w:tcW w:w="924" w:type="dxa"/>
            <w:shd w:val="clear" w:color="auto" w:fill="F3F9FA"/>
            <w:noWrap/>
            <w:vAlign w:val="center"/>
            <w:hideMark/>
          </w:tcPr>
          <w:p w14:paraId="5D6A9456"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26.5</w:t>
            </w:r>
          </w:p>
        </w:tc>
        <w:tc>
          <w:tcPr>
            <w:tcW w:w="923" w:type="dxa"/>
            <w:shd w:val="clear" w:color="auto" w:fill="F3F9FA"/>
            <w:noWrap/>
            <w:vAlign w:val="center"/>
            <w:hideMark/>
          </w:tcPr>
          <w:p w14:paraId="5CC97EC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35.6</w:t>
            </w:r>
          </w:p>
        </w:tc>
        <w:tc>
          <w:tcPr>
            <w:tcW w:w="924" w:type="dxa"/>
            <w:shd w:val="clear" w:color="auto" w:fill="F3F9FA"/>
            <w:noWrap/>
            <w:vAlign w:val="center"/>
            <w:hideMark/>
          </w:tcPr>
          <w:p w14:paraId="3910B85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19106443" w14:textId="77777777" w:rsidTr="006F4537">
        <w:trPr>
          <w:trHeight w:val="170"/>
        </w:trPr>
        <w:tc>
          <w:tcPr>
            <w:tcW w:w="2071" w:type="dxa"/>
            <w:shd w:val="clear" w:color="auto" w:fill="E7F3F4"/>
            <w:noWrap/>
            <w:vAlign w:val="bottom"/>
            <w:hideMark/>
          </w:tcPr>
          <w:p w14:paraId="0D0672B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shd w:val="clear" w:color="auto" w:fill="E7F3F4"/>
            <w:noWrap/>
            <w:vAlign w:val="bottom"/>
            <w:hideMark/>
          </w:tcPr>
          <w:p w14:paraId="4B6C0F67"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0B97C75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shd w:val="clear" w:color="auto" w:fill="E7F3F4"/>
            <w:noWrap/>
            <w:vAlign w:val="center"/>
            <w:hideMark/>
          </w:tcPr>
          <w:p w14:paraId="58C76E8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22.2</w:t>
            </w:r>
          </w:p>
        </w:tc>
        <w:tc>
          <w:tcPr>
            <w:tcW w:w="924" w:type="dxa"/>
            <w:shd w:val="clear" w:color="auto" w:fill="E7F3F4"/>
            <w:noWrap/>
            <w:vAlign w:val="center"/>
            <w:hideMark/>
          </w:tcPr>
          <w:p w14:paraId="75E74E8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26.3</w:t>
            </w:r>
          </w:p>
        </w:tc>
        <w:tc>
          <w:tcPr>
            <w:tcW w:w="923" w:type="dxa"/>
            <w:shd w:val="clear" w:color="auto" w:fill="E7F3F4"/>
            <w:noWrap/>
            <w:vAlign w:val="center"/>
            <w:hideMark/>
          </w:tcPr>
          <w:p w14:paraId="45BBD6E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34.5</w:t>
            </w:r>
          </w:p>
        </w:tc>
        <w:tc>
          <w:tcPr>
            <w:tcW w:w="924" w:type="dxa"/>
            <w:shd w:val="clear" w:color="auto" w:fill="E7F3F4"/>
            <w:noWrap/>
            <w:vAlign w:val="center"/>
            <w:hideMark/>
          </w:tcPr>
          <w:p w14:paraId="5230113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39</w:t>
            </w:r>
          </w:p>
        </w:tc>
      </w:tr>
      <w:tr w:rsidR="006F4537" w:rsidRPr="006F4537" w14:paraId="676BFC66" w14:textId="77777777" w:rsidTr="006F4537">
        <w:trPr>
          <w:trHeight w:val="170"/>
        </w:trPr>
        <w:tc>
          <w:tcPr>
            <w:tcW w:w="2071" w:type="dxa"/>
            <w:shd w:val="clear" w:color="auto" w:fill="F3F9FA"/>
            <w:noWrap/>
            <w:vAlign w:val="bottom"/>
          </w:tcPr>
          <w:p w14:paraId="24E3218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88AF57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MI3^</w:t>
            </w:r>
          </w:p>
        </w:tc>
        <w:tc>
          <w:tcPr>
            <w:tcW w:w="2117" w:type="dxa"/>
            <w:shd w:val="clear" w:color="auto" w:fill="F3F9FA"/>
            <w:noWrap/>
            <w:vAlign w:val="bottom"/>
            <w:hideMark/>
          </w:tcPr>
          <w:p w14:paraId="45F6B403" w14:textId="77777777" w:rsidR="006F4537" w:rsidRPr="006F4537" w:rsidRDefault="006F4537" w:rsidP="006F4537">
            <w:pPr>
              <w:spacing w:before="0" w:after="0"/>
              <w:rPr>
                <w:rFonts w:cs="Arial"/>
                <w:b/>
                <w:bCs/>
                <w:i/>
                <w:iCs/>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2464A744"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18</w:t>
            </w:r>
          </w:p>
        </w:tc>
        <w:tc>
          <w:tcPr>
            <w:tcW w:w="924" w:type="dxa"/>
            <w:shd w:val="clear" w:color="auto" w:fill="F3F9FA"/>
            <w:noWrap/>
            <w:vAlign w:val="center"/>
            <w:hideMark/>
          </w:tcPr>
          <w:p w14:paraId="44719CD1"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22.5</w:t>
            </w:r>
          </w:p>
        </w:tc>
        <w:tc>
          <w:tcPr>
            <w:tcW w:w="923" w:type="dxa"/>
            <w:shd w:val="clear" w:color="auto" w:fill="F3F9FA"/>
            <w:noWrap/>
            <w:vAlign w:val="center"/>
            <w:hideMark/>
          </w:tcPr>
          <w:p w14:paraId="5599D1D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32.7</w:t>
            </w:r>
          </w:p>
        </w:tc>
        <w:tc>
          <w:tcPr>
            <w:tcW w:w="924" w:type="dxa"/>
            <w:shd w:val="clear" w:color="auto" w:fill="F3F9FA"/>
            <w:noWrap/>
            <w:vAlign w:val="center"/>
            <w:hideMark/>
          </w:tcPr>
          <w:p w14:paraId="0914361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36.7</w:t>
            </w:r>
          </w:p>
        </w:tc>
      </w:tr>
      <w:tr w:rsidR="006F4537" w:rsidRPr="006F4537" w14:paraId="20135EBF"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34BED269" w14:textId="77777777" w:rsidR="006F4537" w:rsidRPr="006F4537" w:rsidRDefault="006F4537" w:rsidP="006F4537">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14:paraId="179ADB9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2AE5FFD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subtidal</w:t>
            </w:r>
          </w:p>
        </w:tc>
        <w:tc>
          <w:tcPr>
            <w:tcW w:w="923" w:type="dxa"/>
            <w:tcBorders>
              <w:top w:val="nil"/>
              <w:left w:val="nil"/>
              <w:bottom w:val="single" w:sz="4" w:space="0" w:color="auto"/>
              <w:right w:val="nil"/>
            </w:tcBorders>
            <w:shd w:val="clear" w:color="auto" w:fill="E7F3F4"/>
            <w:noWrap/>
            <w:vAlign w:val="center"/>
            <w:hideMark/>
          </w:tcPr>
          <w:p w14:paraId="54950E2F"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w:t>
            </w:r>
          </w:p>
        </w:tc>
        <w:tc>
          <w:tcPr>
            <w:tcW w:w="924" w:type="dxa"/>
            <w:tcBorders>
              <w:top w:val="nil"/>
              <w:left w:val="nil"/>
              <w:bottom w:val="single" w:sz="4" w:space="0" w:color="auto"/>
              <w:right w:val="nil"/>
            </w:tcBorders>
            <w:shd w:val="clear" w:color="auto" w:fill="E7F3F4"/>
            <w:noWrap/>
            <w:vAlign w:val="center"/>
            <w:hideMark/>
          </w:tcPr>
          <w:p w14:paraId="754DFF8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22.5</w:t>
            </w:r>
          </w:p>
        </w:tc>
        <w:tc>
          <w:tcPr>
            <w:tcW w:w="923" w:type="dxa"/>
            <w:tcBorders>
              <w:top w:val="nil"/>
              <w:left w:val="nil"/>
              <w:bottom w:val="single" w:sz="4" w:space="0" w:color="auto"/>
              <w:right w:val="nil"/>
            </w:tcBorders>
            <w:shd w:val="clear" w:color="auto" w:fill="E7F3F4"/>
            <w:noWrap/>
            <w:vAlign w:val="center"/>
            <w:hideMark/>
          </w:tcPr>
          <w:p w14:paraId="4C51ECA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32.7</w:t>
            </w:r>
          </w:p>
        </w:tc>
        <w:tc>
          <w:tcPr>
            <w:tcW w:w="924" w:type="dxa"/>
            <w:tcBorders>
              <w:top w:val="nil"/>
              <w:left w:val="nil"/>
              <w:bottom w:val="single" w:sz="4" w:space="0" w:color="auto"/>
              <w:right w:val="nil"/>
            </w:tcBorders>
            <w:shd w:val="clear" w:color="auto" w:fill="E7F3F4"/>
            <w:noWrap/>
            <w:vAlign w:val="center"/>
            <w:hideMark/>
          </w:tcPr>
          <w:p w14:paraId="7DF0F5D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36.7</w:t>
            </w:r>
          </w:p>
        </w:tc>
      </w:tr>
      <w:tr w:rsidR="006F4537" w:rsidRPr="006F4537" w14:paraId="0E0E06D9"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2226769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Mackay Whitsunday</w:t>
            </w:r>
          </w:p>
        </w:tc>
        <w:tc>
          <w:tcPr>
            <w:tcW w:w="956" w:type="dxa"/>
            <w:tcBorders>
              <w:top w:val="single" w:sz="4" w:space="0" w:color="auto"/>
              <w:left w:val="nil"/>
              <w:bottom w:val="nil"/>
              <w:right w:val="nil"/>
            </w:tcBorders>
            <w:shd w:val="clear" w:color="auto" w:fill="F3F9FA"/>
            <w:noWrap/>
            <w:vAlign w:val="bottom"/>
            <w:hideMark/>
          </w:tcPr>
          <w:p w14:paraId="38A14BD6"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SI</w:t>
            </w:r>
          </w:p>
        </w:tc>
        <w:tc>
          <w:tcPr>
            <w:tcW w:w="2117" w:type="dxa"/>
            <w:tcBorders>
              <w:top w:val="single" w:sz="4" w:space="0" w:color="auto"/>
              <w:left w:val="nil"/>
              <w:bottom w:val="nil"/>
              <w:right w:val="nil"/>
            </w:tcBorders>
            <w:shd w:val="clear" w:color="auto" w:fill="F3F9FA"/>
            <w:noWrap/>
            <w:vAlign w:val="bottom"/>
            <w:hideMark/>
          </w:tcPr>
          <w:p w14:paraId="1EE732AD"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tcBorders>
              <w:top w:val="single" w:sz="4" w:space="0" w:color="auto"/>
              <w:left w:val="nil"/>
              <w:bottom w:val="nil"/>
              <w:right w:val="nil"/>
            </w:tcBorders>
            <w:shd w:val="clear" w:color="auto" w:fill="F3F9FA"/>
            <w:noWrap/>
            <w:vAlign w:val="center"/>
          </w:tcPr>
          <w:p w14:paraId="268FD9D6" w14:textId="77777777" w:rsidR="006F4537" w:rsidRPr="006F4537" w:rsidRDefault="006F4537" w:rsidP="006F4537">
            <w:pPr>
              <w:spacing w:before="0" w:after="0"/>
              <w:jc w:val="center"/>
              <w:rPr>
                <w:rFonts w:cs="Arial"/>
                <w:color w:val="000000"/>
                <w:sz w:val="18"/>
                <w:szCs w:val="18"/>
              </w:rPr>
            </w:pPr>
          </w:p>
        </w:tc>
        <w:tc>
          <w:tcPr>
            <w:tcW w:w="924" w:type="dxa"/>
            <w:tcBorders>
              <w:top w:val="single" w:sz="4" w:space="0" w:color="auto"/>
              <w:left w:val="nil"/>
              <w:bottom w:val="nil"/>
              <w:right w:val="nil"/>
            </w:tcBorders>
            <w:shd w:val="clear" w:color="auto" w:fill="F3F9FA"/>
            <w:noWrap/>
            <w:vAlign w:val="center"/>
            <w:hideMark/>
          </w:tcPr>
          <w:p w14:paraId="77A4A90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tcBorders>
              <w:top w:val="single" w:sz="4" w:space="0" w:color="auto"/>
              <w:left w:val="nil"/>
              <w:bottom w:val="nil"/>
              <w:right w:val="nil"/>
            </w:tcBorders>
            <w:shd w:val="clear" w:color="auto" w:fill="F3F9FA"/>
            <w:noWrap/>
            <w:vAlign w:val="center"/>
            <w:hideMark/>
          </w:tcPr>
          <w:p w14:paraId="02F64E6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tcBorders>
              <w:top w:val="single" w:sz="4" w:space="0" w:color="auto"/>
              <w:left w:val="nil"/>
              <w:bottom w:val="nil"/>
              <w:right w:val="nil"/>
            </w:tcBorders>
            <w:shd w:val="clear" w:color="auto" w:fill="F3F9FA"/>
            <w:noWrap/>
            <w:vAlign w:val="center"/>
            <w:hideMark/>
          </w:tcPr>
          <w:p w14:paraId="3E2AE13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1A2E89A9" w14:textId="77777777" w:rsidTr="006F4537">
        <w:trPr>
          <w:trHeight w:val="170"/>
        </w:trPr>
        <w:tc>
          <w:tcPr>
            <w:tcW w:w="2071" w:type="dxa"/>
            <w:shd w:val="clear" w:color="auto" w:fill="E7F3F4"/>
            <w:noWrap/>
            <w:vAlign w:val="bottom"/>
          </w:tcPr>
          <w:p w14:paraId="4B29687B"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0E9A12A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47C932BB"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estuarine intertidal</w:t>
            </w:r>
          </w:p>
        </w:tc>
        <w:tc>
          <w:tcPr>
            <w:tcW w:w="923" w:type="dxa"/>
            <w:shd w:val="clear" w:color="auto" w:fill="E7F3F4"/>
            <w:noWrap/>
            <w:vAlign w:val="center"/>
            <w:hideMark/>
          </w:tcPr>
          <w:p w14:paraId="0CAC0907"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10.8*</w:t>
            </w:r>
          </w:p>
        </w:tc>
        <w:tc>
          <w:tcPr>
            <w:tcW w:w="924" w:type="dxa"/>
            <w:shd w:val="clear" w:color="auto" w:fill="E7F3F4"/>
            <w:noWrap/>
            <w:vAlign w:val="center"/>
            <w:hideMark/>
          </w:tcPr>
          <w:p w14:paraId="3EE303E5"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18*</w:t>
            </w:r>
          </w:p>
        </w:tc>
        <w:tc>
          <w:tcPr>
            <w:tcW w:w="923" w:type="dxa"/>
            <w:shd w:val="clear" w:color="auto" w:fill="E7F3F4"/>
            <w:noWrap/>
            <w:vAlign w:val="center"/>
            <w:hideMark/>
          </w:tcPr>
          <w:p w14:paraId="2619446E"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34.1*</w:t>
            </w:r>
          </w:p>
        </w:tc>
        <w:tc>
          <w:tcPr>
            <w:tcW w:w="924" w:type="dxa"/>
            <w:shd w:val="clear" w:color="auto" w:fill="E7F3F4"/>
            <w:noWrap/>
            <w:vAlign w:val="center"/>
            <w:hideMark/>
          </w:tcPr>
          <w:p w14:paraId="3262FA71"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54*</w:t>
            </w:r>
          </w:p>
        </w:tc>
      </w:tr>
      <w:tr w:rsidR="006F4537" w:rsidRPr="006F4537" w14:paraId="49DAF82F" w14:textId="77777777" w:rsidTr="006F4537">
        <w:trPr>
          <w:trHeight w:val="170"/>
        </w:trPr>
        <w:tc>
          <w:tcPr>
            <w:tcW w:w="2071" w:type="dxa"/>
            <w:shd w:val="clear" w:color="auto" w:fill="F3F9FA"/>
            <w:noWrap/>
            <w:vAlign w:val="bottom"/>
          </w:tcPr>
          <w:p w14:paraId="0663CC40"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D9F5B0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PI2^</w:t>
            </w:r>
          </w:p>
        </w:tc>
        <w:tc>
          <w:tcPr>
            <w:tcW w:w="2117" w:type="dxa"/>
            <w:shd w:val="clear" w:color="auto" w:fill="F3F9FA"/>
            <w:noWrap/>
            <w:vAlign w:val="bottom"/>
            <w:hideMark/>
          </w:tcPr>
          <w:p w14:paraId="2574536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7AB0FFF7"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18.1</w:t>
            </w:r>
          </w:p>
        </w:tc>
        <w:tc>
          <w:tcPr>
            <w:tcW w:w="924" w:type="dxa"/>
            <w:shd w:val="clear" w:color="auto" w:fill="F3F9FA"/>
            <w:noWrap/>
            <w:vAlign w:val="center"/>
            <w:hideMark/>
          </w:tcPr>
          <w:p w14:paraId="7358AD9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18.7</w:t>
            </w:r>
          </w:p>
        </w:tc>
        <w:tc>
          <w:tcPr>
            <w:tcW w:w="923" w:type="dxa"/>
            <w:shd w:val="clear" w:color="auto" w:fill="F3F9FA"/>
            <w:noWrap/>
            <w:vAlign w:val="center"/>
            <w:hideMark/>
          </w:tcPr>
          <w:p w14:paraId="2C08C4F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25.1</w:t>
            </w:r>
          </w:p>
        </w:tc>
        <w:tc>
          <w:tcPr>
            <w:tcW w:w="924" w:type="dxa"/>
            <w:shd w:val="clear" w:color="auto" w:fill="F3F9FA"/>
            <w:noWrap/>
            <w:vAlign w:val="center"/>
            <w:hideMark/>
          </w:tcPr>
          <w:p w14:paraId="6779E1D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27.6</w:t>
            </w:r>
          </w:p>
        </w:tc>
      </w:tr>
      <w:tr w:rsidR="006F4537" w:rsidRPr="006F4537" w14:paraId="6E5112AE" w14:textId="77777777" w:rsidTr="006F4537">
        <w:trPr>
          <w:trHeight w:val="170"/>
        </w:trPr>
        <w:tc>
          <w:tcPr>
            <w:tcW w:w="2071" w:type="dxa"/>
            <w:shd w:val="clear" w:color="auto" w:fill="F3F9FA"/>
            <w:noWrap/>
            <w:vAlign w:val="bottom"/>
          </w:tcPr>
          <w:p w14:paraId="70700A8C"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5519725"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PI3^</w:t>
            </w:r>
          </w:p>
        </w:tc>
        <w:tc>
          <w:tcPr>
            <w:tcW w:w="2117" w:type="dxa"/>
            <w:shd w:val="clear" w:color="auto" w:fill="F3F9FA"/>
            <w:noWrap/>
            <w:vAlign w:val="bottom"/>
            <w:hideMark/>
          </w:tcPr>
          <w:p w14:paraId="76202AB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4B130113"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6.1</w:t>
            </w:r>
          </w:p>
        </w:tc>
        <w:tc>
          <w:tcPr>
            <w:tcW w:w="924" w:type="dxa"/>
            <w:shd w:val="clear" w:color="auto" w:fill="F3F9FA"/>
            <w:noWrap/>
            <w:vAlign w:val="center"/>
            <w:hideMark/>
          </w:tcPr>
          <w:p w14:paraId="331D0CE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7.6</w:t>
            </w:r>
          </w:p>
        </w:tc>
        <w:tc>
          <w:tcPr>
            <w:tcW w:w="923" w:type="dxa"/>
            <w:shd w:val="clear" w:color="auto" w:fill="F3F9FA"/>
            <w:noWrap/>
            <w:vAlign w:val="center"/>
            <w:hideMark/>
          </w:tcPr>
          <w:p w14:paraId="7C84829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13.1</w:t>
            </w:r>
          </w:p>
        </w:tc>
        <w:tc>
          <w:tcPr>
            <w:tcW w:w="924" w:type="dxa"/>
            <w:shd w:val="clear" w:color="auto" w:fill="F3F9FA"/>
            <w:noWrap/>
            <w:vAlign w:val="center"/>
            <w:hideMark/>
          </w:tcPr>
          <w:p w14:paraId="0293773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r>
      <w:tr w:rsidR="006F4537" w:rsidRPr="006F4537" w14:paraId="51B2CF1D" w14:textId="77777777" w:rsidTr="006F4537">
        <w:trPr>
          <w:trHeight w:val="170"/>
        </w:trPr>
        <w:tc>
          <w:tcPr>
            <w:tcW w:w="2071" w:type="dxa"/>
            <w:shd w:val="clear" w:color="auto" w:fill="F3F9FA"/>
            <w:noWrap/>
            <w:vAlign w:val="bottom"/>
          </w:tcPr>
          <w:p w14:paraId="374682A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70FA24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MP2</w:t>
            </w:r>
          </w:p>
        </w:tc>
        <w:tc>
          <w:tcPr>
            <w:tcW w:w="2117" w:type="dxa"/>
            <w:shd w:val="clear" w:color="auto" w:fill="F3F9FA"/>
            <w:noWrap/>
            <w:vAlign w:val="bottom"/>
            <w:hideMark/>
          </w:tcPr>
          <w:p w14:paraId="1DD1549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02A5D8D4"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hideMark/>
          </w:tcPr>
          <w:p w14:paraId="2F7BFF8E"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18.9</w:t>
            </w:r>
          </w:p>
        </w:tc>
        <w:tc>
          <w:tcPr>
            <w:tcW w:w="923" w:type="dxa"/>
            <w:shd w:val="clear" w:color="auto" w:fill="F3F9FA"/>
            <w:noWrap/>
            <w:vAlign w:val="bottom"/>
            <w:hideMark/>
          </w:tcPr>
          <w:p w14:paraId="4307A974"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22.8</w:t>
            </w:r>
          </w:p>
        </w:tc>
        <w:tc>
          <w:tcPr>
            <w:tcW w:w="924" w:type="dxa"/>
            <w:shd w:val="clear" w:color="auto" w:fill="F3F9FA"/>
            <w:noWrap/>
            <w:vAlign w:val="bottom"/>
            <w:hideMark/>
          </w:tcPr>
          <w:p w14:paraId="17FCA0D5"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25.4</w:t>
            </w:r>
          </w:p>
        </w:tc>
      </w:tr>
      <w:tr w:rsidR="006F4537" w:rsidRPr="006F4537" w14:paraId="265F5E49" w14:textId="77777777" w:rsidTr="006F4537">
        <w:trPr>
          <w:trHeight w:val="170"/>
        </w:trPr>
        <w:tc>
          <w:tcPr>
            <w:tcW w:w="2071" w:type="dxa"/>
            <w:shd w:val="clear" w:color="auto" w:fill="F3F9FA"/>
            <w:noWrap/>
            <w:vAlign w:val="bottom"/>
          </w:tcPr>
          <w:p w14:paraId="53C06D2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828D81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MP3</w:t>
            </w:r>
          </w:p>
        </w:tc>
        <w:tc>
          <w:tcPr>
            <w:tcW w:w="2117" w:type="dxa"/>
            <w:shd w:val="clear" w:color="auto" w:fill="F3F9FA"/>
            <w:noWrap/>
            <w:vAlign w:val="bottom"/>
            <w:hideMark/>
          </w:tcPr>
          <w:p w14:paraId="71F709E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2D42CB90"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hideMark/>
          </w:tcPr>
          <w:p w14:paraId="76883072"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17.9</w:t>
            </w:r>
          </w:p>
        </w:tc>
        <w:tc>
          <w:tcPr>
            <w:tcW w:w="923" w:type="dxa"/>
            <w:shd w:val="clear" w:color="auto" w:fill="F3F9FA"/>
            <w:noWrap/>
            <w:vAlign w:val="bottom"/>
            <w:hideMark/>
          </w:tcPr>
          <w:p w14:paraId="61B77D26"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20</w:t>
            </w:r>
          </w:p>
        </w:tc>
        <w:tc>
          <w:tcPr>
            <w:tcW w:w="924" w:type="dxa"/>
            <w:shd w:val="clear" w:color="auto" w:fill="F3F9FA"/>
            <w:noWrap/>
            <w:vAlign w:val="bottom"/>
            <w:hideMark/>
          </w:tcPr>
          <w:p w14:paraId="5748FEAF"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22.3</w:t>
            </w:r>
          </w:p>
        </w:tc>
      </w:tr>
      <w:tr w:rsidR="006F4537" w:rsidRPr="006F4537" w14:paraId="1EE3C8F3" w14:textId="77777777" w:rsidTr="006F4537">
        <w:trPr>
          <w:trHeight w:val="170"/>
        </w:trPr>
        <w:tc>
          <w:tcPr>
            <w:tcW w:w="2071" w:type="dxa"/>
            <w:shd w:val="clear" w:color="auto" w:fill="E7F3F4"/>
            <w:noWrap/>
            <w:vAlign w:val="bottom"/>
          </w:tcPr>
          <w:p w14:paraId="33B0E0C6"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23ABE5F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14A327D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523CA339"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12.1</w:t>
            </w:r>
          </w:p>
        </w:tc>
        <w:tc>
          <w:tcPr>
            <w:tcW w:w="924" w:type="dxa"/>
            <w:shd w:val="clear" w:color="auto" w:fill="E7F3F4"/>
            <w:noWrap/>
            <w:vAlign w:val="center"/>
            <w:hideMark/>
          </w:tcPr>
          <w:p w14:paraId="7B4E910E"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13.2</w:t>
            </w:r>
          </w:p>
        </w:tc>
        <w:tc>
          <w:tcPr>
            <w:tcW w:w="923" w:type="dxa"/>
            <w:shd w:val="clear" w:color="auto" w:fill="E7F3F4"/>
            <w:noWrap/>
            <w:vAlign w:val="center"/>
            <w:hideMark/>
          </w:tcPr>
          <w:p w14:paraId="101FADA4"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19.1</w:t>
            </w:r>
          </w:p>
        </w:tc>
        <w:tc>
          <w:tcPr>
            <w:tcW w:w="924" w:type="dxa"/>
            <w:shd w:val="clear" w:color="auto" w:fill="E7F3F4"/>
            <w:noWrap/>
            <w:vAlign w:val="center"/>
            <w:hideMark/>
          </w:tcPr>
          <w:p w14:paraId="2A55211B"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22.2</w:t>
            </w:r>
          </w:p>
        </w:tc>
      </w:tr>
      <w:tr w:rsidR="006F4537" w:rsidRPr="006F4537" w14:paraId="6A77688A" w14:textId="77777777" w:rsidTr="006F4537">
        <w:trPr>
          <w:trHeight w:val="170"/>
        </w:trPr>
        <w:tc>
          <w:tcPr>
            <w:tcW w:w="2071" w:type="dxa"/>
            <w:shd w:val="clear" w:color="auto" w:fill="F3F9FA"/>
            <w:noWrap/>
            <w:vAlign w:val="bottom"/>
          </w:tcPr>
          <w:p w14:paraId="23A0D85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6C982EB6"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NB</w:t>
            </w:r>
          </w:p>
        </w:tc>
        <w:tc>
          <w:tcPr>
            <w:tcW w:w="2117" w:type="dxa"/>
            <w:shd w:val="clear" w:color="auto" w:fill="F3F9FA"/>
            <w:noWrap/>
            <w:vAlign w:val="bottom"/>
          </w:tcPr>
          <w:p w14:paraId="2544E34C" w14:textId="77777777" w:rsidR="006F4537" w:rsidRPr="006F4537" w:rsidRDefault="006F4537" w:rsidP="006F4537">
            <w:pPr>
              <w:spacing w:before="0" w:after="0"/>
              <w:rPr>
                <w:rFonts w:cs="Arial"/>
                <w:bCs/>
                <w:iCs/>
                <w:color w:val="000000"/>
                <w:sz w:val="18"/>
                <w:szCs w:val="18"/>
              </w:rPr>
            </w:pPr>
            <w:r w:rsidRPr="006F4537">
              <w:rPr>
                <w:rFonts w:cs="Arial"/>
                <w:bCs/>
                <w:iCs/>
                <w:color w:val="000000"/>
                <w:sz w:val="18"/>
                <w:szCs w:val="18"/>
              </w:rPr>
              <w:t>coastal subtidal</w:t>
            </w:r>
          </w:p>
        </w:tc>
        <w:tc>
          <w:tcPr>
            <w:tcW w:w="923" w:type="dxa"/>
            <w:shd w:val="clear" w:color="auto" w:fill="F3F9FA"/>
            <w:noWrap/>
            <w:vAlign w:val="center"/>
          </w:tcPr>
          <w:p w14:paraId="5ED092BB"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tcPr>
          <w:p w14:paraId="0299EBA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13.2</w:t>
            </w:r>
          </w:p>
        </w:tc>
        <w:tc>
          <w:tcPr>
            <w:tcW w:w="923" w:type="dxa"/>
            <w:shd w:val="clear" w:color="auto" w:fill="F3F9FA"/>
            <w:noWrap/>
            <w:vAlign w:val="center"/>
          </w:tcPr>
          <w:p w14:paraId="65F1FF5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19.1</w:t>
            </w:r>
          </w:p>
        </w:tc>
        <w:tc>
          <w:tcPr>
            <w:tcW w:w="924" w:type="dxa"/>
            <w:shd w:val="clear" w:color="auto" w:fill="F3F9FA"/>
            <w:noWrap/>
            <w:vAlign w:val="center"/>
          </w:tcPr>
          <w:p w14:paraId="0FDE9E9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22.2</w:t>
            </w:r>
          </w:p>
        </w:tc>
      </w:tr>
      <w:tr w:rsidR="006F4537" w:rsidRPr="006F4537" w14:paraId="590FFA1D" w14:textId="77777777" w:rsidTr="006F4537">
        <w:trPr>
          <w:trHeight w:val="170"/>
        </w:trPr>
        <w:tc>
          <w:tcPr>
            <w:tcW w:w="2071" w:type="dxa"/>
            <w:shd w:val="clear" w:color="auto" w:fill="E7F3F4"/>
            <w:noWrap/>
            <w:vAlign w:val="bottom"/>
          </w:tcPr>
          <w:p w14:paraId="01F253DF"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tcPr>
          <w:p w14:paraId="48884E67"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tcPr>
          <w:p w14:paraId="3034AEB2"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subtidal</w:t>
            </w:r>
          </w:p>
        </w:tc>
        <w:tc>
          <w:tcPr>
            <w:tcW w:w="923" w:type="dxa"/>
            <w:shd w:val="clear" w:color="auto" w:fill="E7F3F4"/>
            <w:noWrap/>
            <w:vAlign w:val="center"/>
          </w:tcPr>
          <w:p w14:paraId="701EB502"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12.1</w:t>
            </w:r>
          </w:p>
        </w:tc>
        <w:tc>
          <w:tcPr>
            <w:tcW w:w="924" w:type="dxa"/>
            <w:shd w:val="clear" w:color="auto" w:fill="E7F3F4"/>
            <w:noWrap/>
            <w:vAlign w:val="center"/>
          </w:tcPr>
          <w:p w14:paraId="6512FF77"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13.2</w:t>
            </w:r>
          </w:p>
        </w:tc>
        <w:tc>
          <w:tcPr>
            <w:tcW w:w="923" w:type="dxa"/>
            <w:shd w:val="clear" w:color="auto" w:fill="E7F3F4"/>
            <w:noWrap/>
            <w:vAlign w:val="center"/>
          </w:tcPr>
          <w:p w14:paraId="24DF6E1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19.1</w:t>
            </w:r>
          </w:p>
        </w:tc>
        <w:tc>
          <w:tcPr>
            <w:tcW w:w="924" w:type="dxa"/>
            <w:shd w:val="clear" w:color="auto" w:fill="E7F3F4"/>
            <w:noWrap/>
            <w:vAlign w:val="center"/>
          </w:tcPr>
          <w:p w14:paraId="2A8F5DD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22.2</w:t>
            </w:r>
          </w:p>
        </w:tc>
      </w:tr>
      <w:tr w:rsidR="006F4537" w:rsidRPr="006F4537" w14:paraId="54D71284" w14:textId="77777777" w:rsidTr="006F4537">
        <w:trPr>
          <w:trHeight w:val="170"/>
        </w:trPr>
        <w:tc>
          <w:tcPr>
            <w:tcW w:w="2071" w:type="dxa"/>
            <w:shd w:val="clear" w:color="auto" w:fill="F3F9FA"/>
            <w:noWrap/>
            <w:vAlign w:val="bottom"/>
          </w:tcPr>
          <w:p w14:paraId="54FB11C9"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EE63166"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HB1^</w:t>
            </w:r>
          </w:p>
        </w:tc>
        <w:tc>
          <w:tcPr>
            <w:tcW w:w="2117" w:type="dxa"/>
            <w:shd w:val="clear" w:color="auto" w:fill="F3F9FA"/>
            <w:noWrap/>
            <w:vAlign w:val="bottom"/>
            <w:hideMark/>
          </w:tcPr>
          <w:p w14:paraId="2001E6A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03FB65C6"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bottom"/>
            <w:hideMark/>
          </w:tcPr>
          <w:p w14:paraId="5E7C181F" w14:textId="77777777" w:rsidR="006F4537" w:rsidRPr="006F4537" w:rsidRDefault="006F4537" w:rsidP="006F4537">
            <w:pPr>
              <w:spacing w:before="0" w:after="0"/>
              <w:jc w:val="center"/>
              <w:rPr>
                <w:rFonts w:cs="Arial"/>
                <w:color w:val="000000"/>
                <w:sz w:val="18"/>
                <w:szCs w:val="18"/>
              </w:rPr>
            </w:pPr>
            <w:r w:rsidRPr="006F4537">
              <w:rPr>
                <w:sz w:val="18"/>
                <w:szCs w:val="18"/>
              </w:rPr>
              <w:t>10.53</w:t>
            </w:r>
          </w:p>
        </w:tc>
        <w:tc>
          <w:tcPr>
            <w:tcW w:w="923" w:type="dxa"/>
            <w:shd w:val="clear" w:color="auto" w:fill="F3F9FA"/>
            <w:noWrap/>
            <w:vAlign w:val="bottom"/>
            <w:hideMark/>
          </w:tcPr>
          <w:p w14:paraId="59B64A22" w14:textId="77777777" w:rsidR="006F4537" w:rsidRPr="006F4537" w:rsidRDefault="006F4537" w:rsidP="006F4537">
            <w:pPr>
              <w:spacing w:before="0" w:after="0"/>
              <w:jc w:val="center"/>
              <w:rPr>
                <w:rFonts w:cs="Arial"/>
                <w:color w:val="000000"/>
                <w:sz w:val="18"/>
                <w:szCs w:val="18"/>
              </w:rPr>
            </w:pPr>
            <w:r w:rsidRPr="006F4537">
              <w:rPr>
                <w:sz w:val="18"/>
                <w:szCs w:val="18"/>
              </w:rPr>
              <w:t>12.9</w:t>
            </w:r>
          </w:p>
        </w:tc>
        <w:tc>
          <w:tcPr>
            <w:tcW w:w="924" w:type="dxa"/>
            <w:shd w:val="clear" w:color="auto" w:fill="F3F9FA"/>
            <w:noWrap/>
            <w:vAlign w:val="bottom"/>
            <w:hideMark/>
          </w:tcPr>
          <w:p w14:paraId="4146D145" w14:textId="77777777" w:rsidR="006F4537" w:rsidRPr="006F4537" w:rsidRDefault="006F4537" w:rsidP="006F4537">
            <w:pPr>
              <w:spacing w:before="0" w:after="0"/>
              <w:jc w:val="center"/>
              <w:rPr>
                <w:rFonts w:cs="Arial"/>
                <w:color w:val="000000"/>
                <w:sz w:val="18"/>
                <w:szCs w:val="18"/>
              </w:rPr>
            </w:pPr>
            <w:r w:rsidRPr="006F4537">
              <w:rPr>
                <w:sz w:val="18"/>
                <w:szCs w:val="18"/>
              </w:rPr>
              <w:t>14.2</w:t>
            </w:r>
          </w:p>
        </w:tc>
      </w:tr>
      <w:tr w:rsidR="006F4537" w:rsidRPr="006F4537" w14:paraId="510FE20F" w14:textId="77777777" w:rsidTr="006F4537">
        <w:trPr>
          <w:trHeight w:val="170"/>
        </w:trPr>
        <w:tc>
          <w:tcPr>
            <w:tcW w:w="2071" w:type="dxa"/>
            <w:shd w:val="clear" w:color="auto" w:fill="F3F9FA"/>
            <w:noWrap/>
            <w:vAlign w:val="bottom"/>
          </w:tcPr>
          <w:p w14:paraId="59EE329C"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21870A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HB2^</w:t>
            </w:r>
          </w:p>
        </w:tc>
        <w:tc>
          <w:tcPr>
            <w:tcW w:w="2117" w:type="dxa"/>
            <w:shd w:val="clear" w:color="auto" w:fill="F3F9FA"/>
            <w:noWrap/>
            <w:vAlign w:val="bottom"/>
            <w:hideMark/>
          </w:tcPr>
          <w:p w14:paraId="1EA6725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727C3104"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bottom"/>
            <w:hideMark/>
          </w:tcPr>
          <w:p w14:paraId="21714B02" w14:textId="77777777" w:rsidR="006F4537" w:rsidRPr="006F4537" w:rsidRDefault="006F4537" w:rsidP="006F4537">
            <w:pPr>
              <w:spacing w:before="0" w:after="0"/>
              <w:jc w:val="center"/>
              <w:rPr>
                <w:rFonts w:cs="Arial"/>
                <w:color w:val="000000"/>
                <w:sz w:val="18"/>
                <w:szCs w:val="18"/>
              </w:rPr>
            </w:pPr>
            <w:r w:rsidRPr="006F4537">
              <w:rPr>
                <w:sz w:val="18"/>
                <w:szCs w:val="18"/>
              </w:rPr>
              <w:t>7.95</w:t>
            </w:r>
          </w:p>
        </w:tc>
        <w:tc>
          <w:tcPr>
            <w:tcW w:w="923" w:type="dxa"/>
            <w:shd w:val="clear" w:color="auto" w:fill="F3F9FA"/>
            <w:noWrap/>
            <w:vAlign w:val="bottom"/>
            <w:hideMark/>
          </w:tcPr>
          <w:p w14:paraId="12575C6D" w14:textId="77777777" w:rsidR="006F4537" w:rsidRPr="006F4537" w:rsidRDefault="006F4537" w:rsidP="006F4537">
            <w:pPr>
              <w:spacing w:before="0" w:after="0"/>
              <w:jc w:val="center"/>
              <w:rPr>
                <w:rFonts w:cs="Arial"/>
                <w:color w:val="000000"/>
                <w:sz w:val="18"/>
                <w:szCs w:val="18"/>
              </w:rPr>
            </w:pPr>
            <w:r w:rsidRPr="006F4537">
              <w:rPr>
                <w:sz w:val="18"/>
                <w:szCs w:val="18"/>
              </w:rPr>
              <w:t>11.59</w:t>
            </w:r>
          </w:p>
        </w:tc>
        <w:tc>
          <w:tcPr>
            <w:tcW w:w="924" w:type="dxa"/>
            <w:shd w:val="clear" w:color="auto" w:fill="F3F9FA"/>
            <w:noWrap/>
            <w:vAlign w:val="bottom"/>
            <w:hideMark/>
          </w:tcPr>
          <w:p w14:paraId="3C818D20" w14:textId="77777777" w:rsidR="006F4537" w:rsidRPr="006F4537" w:rsidRDefault="006F4537" w:rsidP="006F4537">
            <w:pPr>
              <w:spacing w:before="0" w:after="0"/>
              <w:jc w:val="center"/>
              <w:rPr>
                <w:rFonts w:cs="Arial"/>
                <w:color w:val="000000"/>
                <w:sz w:val="18"/>
                <w:szCs w:val="18"/>
              </w:rPr>
            </w:pPr>
            <w:r w:rsidRPr="006F4537">
              <w:rPr>
                <w:sz w:val="18"/>
                <w:szCs w:val="18"/>
              </w:rPr>
              <w:t>13.4</w:t>
            </w:r>
          </w:p>
        </w:tc>
      </w:tr>
      <w:tr w:rsidR="006F4537" w:rsidRPr="006F4537" w14:paraId="1E842B90" w14:textId="77777777" w:rsidTr="006F4537">
        <w:trPr>
          <w:trHeight w:val="170"/>
        </w:trPr>
        <w:tc>
          <w:tcPr>
            <w:tcW w:w="2071" w:type="dxa"/>
            <w:shd w:val="clear" w:color="auto" w:fill="F3F9FA"/>
            <w:noWrap/>
            <w:vAlign w:val="bottom"/>
          </w:tcPr>
          <w:p w14:paraId="696046B1"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D84EE10"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HM</w:t>
            </w:r>
          </w:p>
        </w:tc>
        <w:tc>
          <w:tcPr>
            <w:tcW w:w="2117" w:type="dxa"/>
            <w:shd w:val="clear" w:color="auto" w:fill="F3F9FA"/>
            <w:noWrap/>
            <w:vAlign w:val="bottom"/>
            <w:hideMark/>
          </w:tcPr>
          <w:p w14:paraId="5FAD95A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21533090"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0F7AD8AF" w14:textId="77777777" w:rsidR="006F4537" w:rsidRPr="006F4537" w:rsidRDefault="006F4537" w:rsidP="006F4537">
            <w:pPr>
              <w:spacing w:before="0" w:after="0"/>
              <w:jc w:val="center"/>
              <w:rPr>
                <w:rFonts w:cs="Arial"/>
                <w:sz w:val="18"/>
                <w:szCs w:val="18"/>
              </w:rPr>
            </w:pPr>
            <w:r w:rsidRPr="006F4537">
              <w:rPr>
                <w:rFonts w:cs="Arial"/>
                <w:sz w:val="18"/>
                <w:szCs w:val="18"/>
              </w:rPr>
              <w:t>9.2</w:t>
            </w:r>
          </w:p>
        </w:tc>
        <w:tc>
          <w:tcPr>
            <w:tcW w:w="923" w:type="dxa"/>
            <w:shd w:val="clear" w:color="auto" w:fill="F3F9FA"/>
            <w:noWrap/>
            <w:vAlign w:val="center"/>
            <w:hideMark/>
          </w:tcPr>
          <w:p w14:paraId="76D77947" w14:textId="77777777" w:rsidR="006F4537" w:rsidRPr="006F4537" w:rsidRDefault="006F4537" w:rsidP="006F4537">
            <w:pPr>
              <w:spacing w:before="0" w:after="0"/>
              <w:jc w:val="center"/>
              <w:rPr>
                <w:rFonts w:cs="Arial"/>
                <w:sz w:val="18"/>
                <w:szCs w:val="18"/>
              </w:rPr>
            </w:pPr>
            <w:r w:rsidRPr="006F4537">
              <w:rPr>
                <w:rFonts w:cs="Arial"/>
                <w:sz w:val="18"/>
                <w:szCs w:val="18"/>
              </w:rPr>
              <w:t>12.2</w:t>
            </w:r>
          </w:p>
        </w:tc>
        <w:tc>
          <w:tcPr>
            <w:tcW w:w="924" w:type="dxa"/>
            <w:shd w:val="clear" w:color="auto" w:fill="F3F9FA"/>
            <w:noWrap/>
            <w:vAlign w:val="center"/>
            <w:hideMark/>
          </w:tcPr>
          <w:p w14:paraId="4354927A" w14:textId="77777777" w:rsidR="006F4537" w:rsidRPr="006F4537" w:rsidRDefault="006F4537" w:rsidP="006F4537">
            <w:pPr>
              <w:spacing w:before="0" w:after="0"/>
              <w:jc w:val="center"/>
              <w:rPr>
                <w:rFonts w:cs="Arial"/>
                <w:sz w:val="18"/>
                <w:szCs w:val="18"/>
              </w:rPr>
            </w:pPr>
            <w:r w:rsidRPr="006F4537">
              <w:rPr>
                <w:rFonts w:cs="Arial"/>
                <w:sz w:val="18"/>
                <w:szCs w:val="18"/>
              </w:rPr>
              <w:t>13.8</w:t>
            </w:r>
          </w:p>
        </w:tc>
      </w:tr>
      <w:tr w:rsidR="006F4537" w:rsidRPr="006F4537" w14:paraId="32C6F3D4" w14:textId="77777777" w:rsidTr="006F4537">
        <w:trPr>
          <w:trHeight w:val="170"/>
        </w:trPr>
        <w:tc>
          <w:tcPr>
            <w:tcW w:w="2071" w:type="dxa"/>
            <w:tcBorders>
              <w:top w:val="nil"/>
              <w:left w:val="nil"/>
              <w:right w:val="nil"/>
            </w:tcBorders>
            <w:shd w:val="clear" w:color="auto" w:fill="E7F3F4"/>
            <w:noWrap/>
            <w:vAlign w:val="bottom"/>
            <w:hideMark/>
          </w:tcPr>
          <w:p w14:paraId="4F87F39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right w:val="nil"/>
            </w:tcBorders>
            <w:shd w:val="clear" w:color="auto" w:fill="E7F3F4"/>
            <w:noWrap/>
            <w:vAlign w:val="bottom"/>
            <w:hideMark/>
          </w:tcPr>
          <w:p w14:paraId="2D992EF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right w:val="nil"/>
            </w:tcBorders>
            <w:shd w:val="clear" w:color="auto" w:fill="E7F3F4"/>
            <w:noWrap/>
            <w:vAlign w:val="bottom"/>
            <w:hideMark/>
          </w:tcPr>
          <w:p w14:paraId="68AA9EC7"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tcBorders>
              <w:top w:val="nil"/>
              <w:left w:val="nil"/>
              <w:right w:val="nil"/>
            </w:tcBorders>
            <w:shd w:val="clear" w:color="auto" w:fill="E7F3F4"/>
            <w:noWrap/>
            <w:vAlign w:val="center"/>
            <w:hideMark/>
          </w:tcPr>
          <w:p w14:paraId="749A2037" w14:textId="77777777" w:rsidR="006F4537" w:rsidRPr="006F4537" w:rsidRDefault="006F4537" w:rsidP="006F4537">
            <w:pPr>
              <w:spacing w:before="0" w:after="0"/>
              <w:jc w:val="center"/>
              <w:rPr>
                <w:rFonts w:cs="Arial"/>
                <w:b/>
                <w:bCs/>
                <w:i/>
                <w:iCs/>
                <w:color w:val="000000"/>
                <w:sz w:val="18"/>
                <w:szCs w:val="18"/>
              </w:rPr>
            </w:pPr>
          </w:p>
        </w:tc>
        <w:tc>
          <w:tcPr>
            <w:tcW w:w="924" w:type="dxa"/>
            <w:tcBorders>
              <w:top w:val="nil"/>
              <w:left w:val="nil"/>
              <w:right w:val="nil"/>
            </w:tcBorders>
            <w:shd w:val="clear" w:color="auto" w:fill="E7F3F4"/>
            <w:noWrap/>
            <w:vAlign w:val="center"/>
            <w:hideMark/>
          </w:tcPr>
          <w:p w14:paraId="57D2DBB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9.2</w:t>
            </w:r>
          </w:p>
        </w:tc>
        <w:tc>
          <w:tcPr>
            <w:tcW w:w="923" w:type="dxa"/>
            <w:tcBorders>
              <w:top w:val="nil"/>
              <w:left w:val="nil"/>
              <w:right w:val="nil"/>
            </w:tcBorders>
            <w:shd w:val="clear" w:color="auto" w:fill="E7F3F4"/>
            <w:noWrap/>
            <w:vAlign w:val="center"/>
            <w:hideMark/>
          </w:tcPr>
          <w:p w14:paraId="4F43A70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12.2</w:t>
            </w:r>
          </w:p>
        </w:tc>
        <w:tc>
          <w:tcPr>
            <w:tcW w:w="924" w:type="dxa"/>
            <w:tcBorders>
              <w:top w:val="nil"/>
              <w:left w:val="nil"/>
              <w:right w:val="nil"/>
            </w:tcBorders>
            <w:shd w:val="clear" w:color="auto" w:fill="E7F3F4"/>
            <w:noWrap/>
            <w:vAlign w:val="center"/>
            <w:hideMark/>
          </w:tcPr>
          <w:p w14:paraId="716B0C6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13.8</w:t>
            </w:r>
          </w:p>
        </w:tc>
      </w:tr>
      <w:tr w:rsidR="006F4537" w:rsidRPr="006F4537" w14:paraId="32BD6E99" w14:textId="77777777" w:rsidTr="006F4537">
        <w:trPr>
          <w:trHeight w:val="170"/>
        </w:trPr>
        <w:tc>
          <w:tcPr>
            <w:tcW w:w="2071" w:type="dxa"/>
            <w:tcBorders>
              <w:top w:val="nil"/>
              <w:left w:val="nil"/>
              <w:right w:val="nil"/>
            </w:tcBorders>
            <w:shd w:val="clear" w:color="auto" w:fill="F3F9FA"/>
            <w:noWrap/>
            <w:vAlign w:val="bottom"/>
          </w:tcPr>
          <w:p w14:paraId="1584D8F8" w14:textId="77777777" w:rsidR="006F4537" w:rsidRPr="006F4537" w:rsidRDefault="006F4537" w:rsidP="006F4537">
            <w:pPr>
              <w:spacing w:before="0" w:after="0"/>
              <w:rPr>
                <w:rFonts w:cs="Arial"/>
                <w:color w:val="000000"/>
                <w:sz w:val="18"/>
                <w:szCs w:val="18"/>
              </w:rPr>
            </w:pPr>
          </w:p>
        </w:tc>
        <w:tc>
          <w:tcPr>
            <w:tcW w:w="956" w:type="dxa"/>
            <w:tcBorders>
              <w:top w:val="nil"/>
              <w:left w:val="nil"/>
              <w:right w:val="nil"/>
            </w:tcBorders>
            <w:shd w:val="clear" w:color="auto" w:fill="F3F9FA"/>
            <w:noWrap/>
            <w:vAlign w:val="bottom"/>
          </w:tcPr>
          <w:p w14:paraId="24846A7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TO</w:t>
            </w:r>
          </w:p>
        </w:tc>
        <w:tc>
          <w:tcPr>
            <w:tcW w:w="2117" w:type="dxa"/>
            <w:tcBorders>
              <w:top w:val="nil"/>
              <w:left w:val="nil"/>
              <w:right w:val="nil"/>
            </w:tcBorders>
            <w:shd w:val="clear" w:color="auto" w:fill="F3F9FA"/>
            <w:noWrap/>
            <w:vAlign w:val="bottom"/>
          </w:tcPr>
          <w:p w14:paraId="06F58FA2" w14:textId="77777777" w:rsidR="006F4537" w:rsidRPr="006F4537" w:rsidRDefault="006F4537" w:rsidP="006F4537">
            <w:pPr>
              <w:spacing w:before="0" w:after="0"/>
              <w:rPr>
                <w:rFonts w:cs="Arial"/>
                <w:bCs/>
                <w:iCs/>
                <w:color w:val="000000"/>
                <w:sz w:val="18"/>
                <w:szCs w:val="18"/>
              </w:rPr>
            </w:pPr>
            <w:r w:rsidRPr="006F4537">
              <w:rPr>
                <w:rFonts w:cs="Arial"/>
                <w:bCs/>
                <w:iCs/>
                <w:color w:val="000000"/>
                <w:sz w:val="18"/>
                <w:szCs w:val="18"/>
              </w:rPr>
              <w:t>reef subtidal</w:t>
            </w:r>
          </w:p>
        </w:tc>
        <w:tc>
          <w:tcPr>
            <w:tcW w:w="923" w:type="dxa"/>
            <w:tcBorders>
              <w:top w:val="nil"/>
              <w:left w:val="nil"/>
              <w:right w:val="nil"/>
            </w:tcBorders>
            <w:shd w:val="clear" w:color="auto" w:fill="F3F9FA"/>
            <w:noWrap/>
            <w:vAlign w:val="center"/>
          </w:tcPr>
          <w:p w14:paraId="1593EE01" w14:textId="77777777" w:rsidR="006F4537" w:rsidRPr="006F4537" w:rsidRDefault="006F4537" w:rsidP="006F4537">
            <w:pPr>
              <w:spacing w:before="0" w:after="0"/>
              <w:jc w:val="center"/>
              <w:rPr>
                <w:rFonts w:cs="Arial"/>
                <w:bCs/>
                <w:iCs/>
                <w:color w:val="000000"/>
                <w:sz w:val="18"/>
                <w:szCs w:val="18"/>
              </w:rPr>
            </w:pPr>
          </w:p>
        </w:tc>
        <w:tc>
          <w:tcPr>
            <w:tcW w:w="924" w:type="dxa"/>
            <w:tcBorders>
              <w:top w:val="nil"/>
              <w:left w:val="nil"/>
              <w:right w:val="nil"/>
            </w:tcBorders>
            <w:shd w:val="clear" w:color="auto" w:fill="F3F9FA"/>
            <w:noWrap/>
            <w:vAlign w:val="center"/>
          </w:tcPr>
          <w:p w14:paraId="671E600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22.5</w:t>
            </w:r>
          </w:p>
        </w:tc>
        <w:tc>
          <w:tcPr>
            <w:tcW w:w="923" w:type="dxa"/>
            <w:tcBorders>
              <w:top w:val="nil"/>
              <w:left w:val="nil"/>
              <w:right w:val="nil"/>
            </w:tcBorders>
            <w:shd w:val="clear" w:color="auto" w:fill="F3F9FA"/>
            <w:noWrap/>
            <w:vAlign w:val="center"/>
          </w:tcPr>
          <w:p w14:paraId="1356A0D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32.7</w:t>
            </w:r>
          </w:p>
        </w:tc>
        <w:tc>
          <w:tcPr>
            <w:tcW w:w="924" w:type="dxa"/>
            <w:tcBorders>
              <w:top w:val="nil"/>
              <w:left w:val="nil"/>
              <w:right w:val="nil"/>
            </w:tcBorders>
            <w:shd w:val="clear" w:color="auto" w:fill="F3F9FA"/>
            <w:noWrap/>
            <w:vAlign w:val="center"/>
          </w:tcPr>
          <w:p w14:paraId="7D65501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36.7</w:t>
            </w:r>
          </w:p>
        </w:tc>
      </w:tr>
      <w:tr w:rsidR="006F4537" w:rsidRPr="006F4537" w14:paraId="4A3C7F08" w14:textId="77777777" w:rsidTr="006F4537">
        <w:trPr>
          <w:trHeight w:val="170"/>
        </w:trPr>
        <w:tc>
          <w:tcPr>
            <w:tcW w:w="2071" w:type="dxa"/>
            <w:tcBorders>
              <w:left w:val="nil"/>
              <w:bottom w:val="single" w:sz="4" w:space="0" w:color="auto"/>
              <w:right w:val="nil"/>
            </w:tcBorders>
            <w:shd w:val="clear" w:color="auto" w:fill="E7F3F4"/>
            <w:noWrap/>
            <w:vAlign w:val="bottom"/>
          </w:tcPr>
          <w:p w14:paraId="2848B5EE" w14:textId="77777777" w:rsidR="006F4537" w:rsidRPr="006F4537" w:rsidRDefault="006F4537" w:rsidP="006F4537">
            <w:pPr>
              <w:spacing w:before="0" w:after="0"/>
              <w:rPr>
                <w:rFonts w:cs="Arial"/>
                <w:color w:val="000000"/>
                <w:sz w:val="18"/>
                <w:szCs w:val="18"/>
              </w:rPr>
            </w:pPr>
          </w:p>
        </w:tc>
        <w:tc>
          <w:tcPr>
            <w:tcW w:w="956" w:type="dxa"/>
            <w:tcBorders>
              <w:left w:val="nil"/>
              <w:bottom w:val="single" w:sz="4" w:space="0" w:color="auto"/>
              <w:right w:val="nil"/>
            </w:tcBorders>
            <w:shd w:val="clear" w:color="auto" w:fill="E7F3F4"/>
            <w:noWrap/>
            <w:vAlign w:val="bottom"/>
          </w:tcPr>
          <w:p w14:paraId="087836D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left w:val="nil"/>
              <w:bottom w:val="single" w:sz="4" w:space="0" w:color="auto"/>
              <w:right w:val="nil"/>
            </w:tcBorders>
            <w:shd w:val="clear" w:color="auto" w:fill="E7F3F4"/>
            <w:noWrap/>
            <w:vAlign w:val="bottom"/>
          </w:tcPr>
          <w:p w14:paraId="06DCA59C"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subtidal*</w:t>
            </w:r>
          </w:p>
        </w:tc>
        <w:tc>
          <w:tcPr>
            <w:tcW w:w="923" w:type="dxa"/>
            <w:tcBorders>
              <w:left w:val="nil"/>
              <w:bottom w:val="single" w:sz="4" w:space="0" w:color="auto"/>
              <w:right w:val="nil"/>
            </w:tcBorders>
            <w:shd w:val="clear" w:color="auto" w:fill="E7F3F4"/>
            <w:noWrap/>
            <w:vAlign w:val="center"/>
          </w:tcPr>
          <w:p w14:paraId="59C9FA6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w:t>
            </w:r>
          </w:p>
        </w:tc>
        <w:tc>
          <w:tcPr>
            <w:tcW w:w="924" w:type="dxa"/>
            <w:tcBorders>
              <w:left w:val="nil"/>
              <w:bottom w:val="single" w:sz="4" w:space="0" w:color="auto"/>
              <w:right w:val="nil"/>
            </w:tcBorders>
            <w:shd w:val="clear" w:color="auto" w:fill="E7F3F4"/>
            <w:noWrap/>
            <w:vAlign w:val="center"/>
          </w:tcPr>
          <w:p w14:paraId="349946F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22.5*</w:t>
            </w:r>
          </w:p>
        </w:tc>
        <w:tc>
          <w:tcPr>
            <w:tcW w:w="923" w:type="dxa"/>
            <w:tcBorders>
              <w:left w:val="nil"/>
              <w:bottom w:val="single" w:sz="4" w:space="0" w:color="auto"/>
              <w:right w:val="nil"/>
            </w:tcBorders>
            <w:shd w:val="clear" w:color="auto" w:fill="E7F3F4"/>
            <w:noWrap/>
            <w:vAlign w:val="center"/>
          </w:tcPr>
          <w:p w14:paraId="77447F58"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32.7*</w:t>
            </w:r>
          </w:p>
        </w:tc>
        <w:tc>
          <w:tcPr>
            <w:tcW w:w="924" w:type="dxa"/>
            <w:tcBorders>
              <w:left w:val="nil"/>
              <w:bottom w:val="single" w:sz="4" w:space="0" w:color="auto"/>
              <w:right w:val="nil"/>
            </w:tcBorders>
            <w:shd w:val="clear" w:color="auto" w:fill="E7F3F4"/>
            <w:noWrap/>
            <w:vAlign w:val="center"/>
          </w:tcPr>
          <w:p w14:paraId="19D6385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36.7*</w:t>
            </w:r>
          </w:p>
        </w:tc>
      </w:tr>
      <w:tr w:rsidR="006F4537" w:rsidRPr="006F4537" w14:paraId="400804C3" w14:textId="77777777" w:rsidTr="006F4537">
        <w:trPr>
          <w:trHeight w:val="170"/>
        </w:trPr>
        <w:tc>
          <w:tcPr>
            <w:tcW w:w="2071" w:type="dxa"/>
            <w:shd w:val="clear" w:color="auto" w:fill="F3F9FA"/>
            <w:noWrap/>
            <w:vAlign w:val="bottom"/>
            <w:hideMark/>
          </w:tcPr>
          <w:p w14:paraId="0DE2217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Fitzroy</w:t>
            </w:r>
          </w:p>
        </w:tc>
        <w:tc>
          <w:tcPr>
            <w:tcW w:w="956" w:type="dxa"/>
            <w:shd w:val="clear" w:color="auto" w:fill="F3F9FA"/>
            <w:noWrap/>
            <w:vAlign w:val="bottom"/>
            <w:hideMark/>
          </w:tcPr>
          <w:p w14:paraId="37297CC3"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GH</w:t>
            </w:r>
          </w:p>
        </w:tc>
        <w:tc>
          <w:tcPr>
            <w:tcW w:w="2117" w:type="dxa"/>
            <w:shd w:val="clear" w:color="auto" w:fill="F3F9FA"/>
            <w:noWrap/>
            <w:vAlign w:val="bottom"/>
            <w:hideMark/>
          </w:tcPr>
          <w:p w14:paraId="4DA40BB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tcPr>
          <w:p w14:paraId="29628B9B"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44927327"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415881B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7B74846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7A4DD44A" w14:textId="77777777" w:rsidTr="006F4537">
        <w:trPr>
          <w:trHeight w:val="170"/>
        </w:trPr>
        <w:tc>
          <w:tcPr>
            <w:tcW w:w="2071" w:type="dxa"/>
            <w:shd w:val="clear" w:color="auto" w:fill="E7F3F4"/>
            <w:noWrap/>
            <w:vAlign w:val="bottom"/>
          </w:tcPr>
          <w:p w14:paraId="0EAB803D"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64635E0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531A2EE5"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estuarine intertidal</w:t>
            </w:r>
          </w:p>
        </w:tc>
        <w:tc>
          <w:tcPr>
            <w:tcW w:w="923" w:type="dxa"/>
            <w:shd w:val="clear" w:color="auto" w:fill="E7F3F4"/>
            <w:noWrap/>
            <w:vAlign w:val="center"/>
            <w:hideMark/>
          </w:tcPr>
          <w:p w14:paraId="2E85DB90"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10.8*</w:t>
            </w:r>
          </w:p>
        </w:tc>
        <w:tc>
          <w:tcPr>
            <w:tcW w:w="924" w:type="dxa"/>
            <w:shd w:val="clear" w:color="auto" w:fill="E7F3F4"/>
            <w:noWrap/>
            <w:vAlign w:val="center"/>
            <w:hideMark/>
          </w:tcPr>
          <w:p w14:paraId="6044EB04"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18*</w:t>
            </w:r>
          </w:p>
        </w:tc>
        <w:tc>
          <w:tcPr>
            <w:tcW w:w="923" w:type="dxa"/>
            <w:shd w:val="clear" w:color="auto" w:fill="E7F3F4"/>
            <w:noWrap/>
            <w:vAlign w:val="center"/>
            <w:hideMark/>
          </w:tcPr>
          <w:p w14:paraId="4EF8F223"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34.1*</w:t>
            </w:r>
          </w:p>
        </w:tc>
        <w:tc>
          <w:tcPr>
            <w:tcW w:w="924" w:type="dxa"/>
            <w:shd w:val="clear" w:color="auto" w:fill="E7F3F4"/>
            <w:noWrap/>
            <w:vAlign w:val="center"/>
            <w:hideMark/>
          </w:tcPr>
          <w:p w14:paraId="3F6E01F4"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54*</w:t>
            </w:r>
          </w:p>
        </w:tc>
      </w:tr>
      <w:tr w:rsidR="006F4537" w:rsidRPr="006F4537" w14:paraId="792A405C" w14:textId="77777777" w:rsidTr="006F4537">
        <w:trPr>
          <w:trHeight w:val="170"/>
        </w:trPr>
        <w:tc>
          <w:tcPr>
            <w:tcW w:w="2071" w:type="dxa"/>
            <w:shd w:val="clear" w:color="auto" w:fill="F3F9FA"/>
            <w:noWrap/>
            <w:vAlign w:val="bottom"/>
          </w:tcPr>
          <w:p w14:paraId="16D6153E"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DF9B6D4"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RC1^</w:t>
            </w:r>
          </w:p>
        </w:tc>
        <w:tc>
          <w:tcPr>
            <w:tcW w:w="2117" w:type="dxa"/>
            <w:shd w:val="clear" w:color="auto" w:fill="F3F9FA"/>
            <w:noWrap/>
            <w:vAlign w:val="bottom"/>
            <w:hideMark/>
          </w:tcPr>
          <w:p w14:paraId="5FE7AB8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55ACED1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18.6</w:t>
            </w:r>
          </w:p>
        </w:tc>
        <w:tc>
          <w:tcPr>
            <w:tcW w:w="924" w:type="dxa"/>
            <w:shd w:val="clear" w:color="auto" w:fill="F3F9FA"/>
            <w:noWrap/>
            <w:vAlign w:val="center"/>
            <w:hideMark/>
          </w:tcPr>
          <w:p w14:paraId="6610F714"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20.6</w:t>
            </w:r>
          </w:p>
        </w:tc>
        <w:tc>
          <w:tcPr>
            <w:tcW w:w="923" w:type="dxa"/>
            <w:shd w:val="clear" w:color="auto" w:fill="F3F9FA"/>
            <w:noWrap/>
            <w:vAlign w:val="center"/>
            <w:hideMark/>
          </w:tcPr>
          <w:p w14:paraId="33E3A50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24.4</w:t>
            </w:r>
          </w:p>
        </w:tc>
        <w:tc>
          <w:tcPr>
            <w:tcW w:w="924" w:type="dxa"/>
            <w:shd w:val="clear" w:color="auto" w:fill="F3F9FA"/>
            <w:noWrap/>
            <w:vAlign w:val="center"/>
            <w:hideMark/>
          </w:tcPr>
          <w:p w14:paraId="3F3F4441"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34.5</w:t>
            </w:r>
          </w:p>
        </w:tc>
      </w:tr>
      <w:tr w:rsidR="006F4537" w:rsidRPr="006F4537" w14:paraId="7B892D52" w14:textId="77777777" w:rsidTr="006F4537">
        <w:trPr>
          <w:trHeight w:val="170"/>
        </w:trPr>
        <w:tc>
          <w:tcPr>
            <w:tcW w:w="2071" w:type="dxa"/>
            <w:shd w:val="clear" w:color="auto" w:fill="F3F9FA"/>
            <w:noWrap/>
            <w:vAlign w:val="bottom"/>
          </w:tcPr>
          <w:p w14:paraId="64F405F3"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00953723"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WH1^</w:t>
            </w:r>
          </w:p>
        </w:tc>
        <w:tc>
          <w:tcPr>
            <w:tcW w:w="2117" w:type="dxa"/>
            <w:shd w:val="clear" w:color="auto" w:fill="F3F9FA"/>
            <w:noWrap/>
            <w:vAlign w:val="bottom"/>
            <w:hideMark/>
          </w:tcPr>
          <w:p w14:paraId="7770F6D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43BB11CA"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13.1</w:t>
            </w:r>
          </w:p>
        </w:tc>
        <w:tc>
          <w:tcPr>
            <w:tcW w:w="924" w:type="dxa"/>
            <w:shd w:val="clear" w:color="auto" w:fill="F3F9FA"/>
            <w:noWrap/>
            <w:vAlign w:val="center"/>
            <w:hideMark/>
          </w:tcPr>
          <w:p w14:paraId="7AA65CB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14.4</w:t>
            </w:r>
          </w:p>
        </w:tc>
        <w:tc>
          <w:tcPr>
            <w:tcW w:w="923" w:type="dxa"/>
            <w:shd w:val="clear" w:color="auto" w:fill="F3F9FA"/>
            <w:noWrap/>
            <w:vAlign w:val="center"/>
            <w:hideMark/>
          </w:tcPr>
          <w:p w14:paraId="5B3F5BE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18.8</w:t>
            </w:r>
          </w:p>
        </w:tc>
        <w:tc>
          <w:tcPr>
            <w:tcW w:w="924" w:type="dxa"/>
            <w:shd w:val="clear" w:color="auto" w:fill="F3F9FA"/>
            <w:noWrap/>
            <w:vAlign w:val="center"/>
            <w:hideMark/>
          </w:tcPr>
          <w:p w14:paraId="28B67A9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22.3</w:t>
            </w:r>
          </w:p>
        </w:tc>
      </w:tr>
      <w:tr w:rsidR="006F4537" w:rsidRPr="006F4537" w14:paraId="2B88248B" w14:textId="77777777" w:rsidTr="006F4537">
        <w:trPr>
          <w:trHeight w:val="170"/>
        </w:trPr>
        <w:tc>
          <w:tcPr>
            <w:tcW w:w="2071" w:type="dxa"/>
            <w:shd w:val="clear" w:color="auto" w:fill="E7F3F4"/>
            <w:noWrap/>
            <w:vAlign w:val="bottom"/>
          </w:tcPr>
          <w:p w14:paraId="589C8D69"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08E9E145"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0F73CBAB"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68590A0E"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15.85</w:t>
            </w:r>
          </w:p>
        </w:tc>
        <w:tc>
          <w:tcPr>
            <w:tcW w:w="924" w:type="dxa"/>
            <w:shd w:val="clear" w:color="auto" w:fill="E7F3F4"/>
            <w:noWrap/>
            <w:vAlign w:val="center"/>
            <w:hideMark/>
          </w:tcPr>
          <w:p w14:paraId="3AE397FF"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17.5</w:t>
            </w:r>
          </w:p>
        </w:tc>
        <w:tc>
          <w:tcPr>
            <w:tcW w:w="923" w:type="dxa"/>
            <w:shd w:val="clear" w:color="auto" w:fill="E7F3F4"/>
            <w:noWrap/>
            <w:vAlign w:val="center"/>
            <w:hideMark/>
          </w:tcPr>
          <w:p w14:paraId="484AF47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21.6</w:t>
            </w:r>
          </w:p>
        </w:tc>
        <w:tc>
          <w:tcPr>
            <w:tcW w:w="924" w:type="dxa"/>
            <w:shd w:val="clear" w:color="auto" w:fill="E7F3F4"/>
            <w:noWrap/>
            <w:vAlign w:val="center"/>
            <w:hideMark/>
          </w:tcPr>
          <w:p w14:paraId="7E91697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28.4</w:t>
            </w:r>
          </w:p>
        </w:tc>
      </w:tr>
      <w:tr w:rsidR="006F4537" w:rsidRPr="006F4537" w14:paraId="46F841C9" w14:textId="77777777" w:rsidTr="006F4537">
        <w:trPr>
          <w:trHeight w:val="170"/>
        </w:trPr>
        <w:tc>
          <w:tcPr>
            <w:tcW w:w="2071" w:type="dxa"/>
            <w:shd w:val="clear" w:color="auto" w:fill="F3F9FA"/>
            <w:noWrap/>
            <w:vAlign w:val="bottom"/>
          </w:tcPr>
          <w:p w14:paraId="20EEBD64"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01E47774"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GK</w:t>
            </w:r>
          </w:p>
        </w:tc>
        <w:tc>
          <w:tcPr>
            <w:tcW w:w="2117" w:type="dxa"/>
            <w:shd w:val="clear" w:color="auto" w:fill="F3F9FA"/>
            <w:noWrap/>
            <w:vAlign w:val="bottom"/>
            <w:hideMark/>
          </w:tcPr>
          <w:p w14:paraId="34C7539D"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5DDF89E6"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tcPr>
          <w:p w14:paraId="63BA218E" w14:textId="77777777" w:rsidR="006F4537" w:rsidRPr="006F4537" w:rsidRDefault="006F4537" w:rsidP="006F4537">
            <w:pPr>
              <w:spacing w:before="0" w:after="0"/>
              <w:jc w:val="center"/>
              <w:rPr>
                <w:rFonts w:cs="Arial"/>
                <w:sz w:val="18"/>
                <w:szCs w:val="18"/>
              </w:rPr>
            </w:pPr>
            <w:r w:rsidRPr="006F4537">
              <w:rPr>
                <w:rFonts w:cs="Arial"/>
                <w:sz w:val="18"/>
                <w:szCs w:val="18"/>
              </w:rPr>
              <w:t>9.2</w:t>
            </w:r>
          </w:p>
        </w:tc>
        <w:tc>
          <w:tcPr>
            <w:tcW w:w="923" w:type="dxa"/>
            <w:shd w:val="clear" w:color="auto" w:fill="F3F9FA"/>
            <w:noWrap/>
            <w:vAlign w:val="center"/>
            <w:hideMark/>
          </w:tcPr>
          <w:p w14:paraId="76A63F17" w14:textId="77777777" w:rsidR="006F4537" w:rsidRPr="006F4537" w:rsidRDefault="006F4537" w:rsidP="006F4537">
            <w:pPr>
              <w:spacing w:before="0" w:after="0"/>
              <w:jc w:val="center"/>
              <w:rPr>
                <w:rFonts w:cs="Arial"/>
                <w:sz w:val="18"/>
                <w:szCs w:val="18"/>
              </w:rPr>
            </w:pPr>
            <w:r w:rsidRPr="006F4537">
              <w:rPr>
                <w:rFonts w:cs="Arial"/>
                <w:sz w:val="18"/>
                <w:szCs w:val="18"/>
              </w:rPr>
              <w:t>12.2</w:t>
            </w:r>
          </w:p>
        </w:tc>
        <w:tc>
          <w:tcPr>
            <w:tcW w:w="924" w:type="dxa"/>
            <w:shd w:val="clear" w:color="auto" w:fill="F3F9FA"/>
            <w:noWrap/>
            <w:vAlign w:val="center"/>
            <w:hideMark/>
          </w:tcPr>
          <w:p w14:paraId="62CF54E2" w14:textId="77777777" w:rsidR="006F4537" w:rsidRPr="006F4537" w:rsidRDefault="006F4537" w:rsidP="006F4537">
            <w:pPr>
              <w:spacing w:before="0" w:after="0"/>
              <w:jc w:val="center"/>
              <w:rPr>
                <w:rFonts w:cs="Arial"/>
                <w:sz w:val="18"/>
                <w:szCs w:val="18"/>
              </w:rPr>
            </w:pPr>
            <w:r w:rsidRPr="006F4537">
              <w:rPr>
                <w:rFonts w:cs="Arial"/>
                <w:sz w:val="18"/>
                <w:szCs w:val="18"/>
              </w:rPr>
              <w:t>13.8</w:t>
            </w:r>
          </w:p>
        </w:tc>
      </w:tr>
      <w:tr w:rsidR="006F4537" w:rsidRPr="006F4537" w14:paraId="74D2D338" w14:textId="77777777" w:rsidTr="006F4537">
        <w:trPr>
          <w:trHeight w:val="170"/>
        </w:trPr>
        <w:tc>
          <w:tcPr>
            <w:tcW w:w="2071" w:type="dxa"/>
            <w:tcBorders>
              <w:top w:val="nil"/>
              <w:left w:val="nil"/>
              <w:bottom w:val="single" w:sz="4" w:space="0" w:color="auto"/>
              <w:right w:val="nil"/>
            </w:tcBorders>
            <w:shd w:val="clear" w:color="auto" w:fill="E7F3F4"/>
            <w:noWrap/>
            <w:vAlign w:val="bottom"/>
            <w:hideMark/>
          </w:tcPr>
          <w:p w14:paraId="3D00942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14:paraId="5A3FCD9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5CBE1F1F"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tcBorders>
              <w:top w:val="nil"/>
              <w:left w:val="nil"/>
              <w:bottom w:val="single" w:sz="4" w:space="0" w:color="auto"/>
              <w:right w:val="nil"/>
            </w:tcBorders>
            <w:shd w:val="clear" w:color="auto" w:fill="E7F3F4"/>
            <w:noWrap/>
            <w:vAlign w:val="center"/>
            <w:hideMark/>
          </w:tcPr>
          <w:p w14:paraId="04BCD43D" w14:textId="77777777" w:rsidR="006F4537" w:rsidRPr="006F4537" w:rsidRDefault="006F4537" w:rsidP="006F4537">
            <w:pPr>
              <w:spacing w:before="0" w:after="0"/>
              <w:jc w:val="center"/>
              <w:rPr>
                <w:rFonts w:cs="Arial"/>
                <w:b/>
                <w:bCs/>
                <w:i/>
                <w:iCs/>
                <w:color w:val="000000"/>
                <w:sz w:val="18"/>
                <w:szCs w:val="18"/>
              </w:rPr>
            </w:pPr>
          </w:p>
        </w:tc>
        <w:tc>
          <w:tcPr>
            <w:tcW w:w="924" w:type="dxa"/>
            <w:tcBorders>
              <w:top w:val="nil"/>
              <w:left w:val="nil"/>
              <w:bottom w:val="single" w:sz="4" w:space="0" w:color="auto"/>
              <w:right w:val="nil"/>
            </w:tcBorders>
            <w:shd w:val="clear" w:color="auto" w:fill="E7F3F4"/>
            <w:noWrap/>
            <w:vAlign w:val="center"/>
            <w:hideMark/>
          </w:tcPr>
          <w:p w14:paraId="5B26D1D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9.2*</w:t>
            </w:r>
          </w:p>
        </w:tc>
        <w:tc>
          <w:tcPr>
            <w:tcW w:w="923" w:type="dxa"/>
            <w:tcBorders>
              <w:top w:val="nil"/>
              <w:left w:val="nil"/>
              <w:bottom w:val="single" w:sz="4" w:space="0" w:color="auto"/>
              <w:right w:val="nil"/>
            </w:tcBorders>
            <w:shd w:val="clear" w:color="auto" w:fill="E7F3F4"/>
            <w:noWrap/>
            <w:vAlign w:val="center"/>
            <w:hideMark/>
          </w:tcPr>
          <w:p w14:paraId="7B4C3ED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12.2*</w:t>
            </w:r>
          </w:p>
        </w:tc>
        <w:tc>
          <w:tcPr>
            <w:tcW w:w="924" w:type="dxa"/>
            <w:tcBorders>
              <w:top w:val="nil"/>
              <w:left w:val="nil"/>
              <w:bottom w:val="single" w:sz="4" w:space="0" w:color="auto"/>
              <w:right w:val="nil"/>
            </w:tcBorders>
            <w:shd w:val="clear" w:color="auto" w:fill="E7F3F4"/>
            <w:noWrap/>
            <w:vAlign w:val="center"/>
            <w:hideMark/>
          </w:tcPr>
          <w:p w14:paraId="3713272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13.8*</w:t>
            </w:r>
          </w:p>
        </w:tc>
      </w:tr>
      <w:tr w:rsidR="006F4537" w:rsidRPr="006F4537" w14:paraId="44A01E59" w14:textId="77777777" w:rsidTr="006F4537">
        <w:trPr>
          <w:trHeight w:val="170"/>
        </w:trPr>
        <w:tc>
          <w:tcPr>
            <w:tcW w:w="2071" w:type="dxa"/>
            <w:shd w:val="clear" w:color="auto" w:fill="F3F9FA"/>
            <w:noWrap/>
            <w:vAlign w:val="bottom"/>
            <w:hideMark/>
          </w:tcPr>
          <w:p w14:paraId="56FDFE6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Burnett Mary</w:t>
            </w:r>
          </w:p>
        </w:tc>
        <w:tc>
          <w:tcPr>
            <w:tcW w:w="956" w:type="dxa"/>
            <w:shd w:val="clear" w:color="auto" w:fill="F3F9FA"/>
            <w:noWrap/>
            <w:vAlign w:val="bottom"/>
            <w:hideMark/>
          </w:tcPr>
          <w:p w14:paraId="6916C22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RD</w:t>
            </w:r>
          </w:p>
        </w:tc>
        <w:tc>
          <w:tcPr>
            <w:tcW w:w="2117" w:type="dxa"/>
            <w:shd w:val="clear" w:color="auto" w:fill="F3F9FA"/>
            <w:noWrap/>
            <w:vAlign w:val="bottom"/>
            <w:hideMark/>
          </w:tcPr>
          <w:p w14:paraId="292396E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tcPr>
          <w:p w14:paraId="556201D9"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2BEDD66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5E47B8F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00908DE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3804751C" w14:textId="77777777" w:rsidTr="006F4537">
        <w:trPr>
          <w:trHeight w:val="170"/>
        </w:trPr>
        <w:tc>
          <w:tcPr>
            <w:tcW w:w="2071" w:type="dxa"/>
            <w:shd w:val="clear" w:color="auto" w:fill="F3F9FA"/>
            <w:noWrap/>
            <w:vAlign w:val="bottom"/>
          </w:tcPr>
          <w:p w14:paraId="4DB910D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FC85C4D"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UG1^</w:t>
            </w:r>
          </w:p>
        </w:tc>
        <w:tc>
          <w:tcPr>
            <w:tcW w:w="2117" w:type="dxa"/>
            <w:shd w:val="clear" w:color="auto" w:fill="F3F9FA"/>
            <w:noWrap/>
            <w:vAlign w:val="bottom"/>
            <w:hideMark/>
          </w:tcPr>
          <w:p w14:paraId="5489DF65"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hideMark/>
          </w:tcPr>
          <w:p w14:paraId="484C1556"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10.8</w:t>
            </w:r>
          </w:p>
        </w:tc>
        <w:tc>
          <w:tcPr>
            <w:tcW w:w="924" w:type="dxa"/>
            <w:shd w:val="clear" w:color="auto" w:fill="F3F9FA"/>
            <w:noWrap/>
            <w:vAlign w:val="center"/>
            <w:hideMark/>
          </w:tcPr>
          <w:p w14:paraId="29DB507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5DA9F4D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5C22A44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615E5BA4" w14:textId="77777777" w:rsidTr="006F4537">
        <w:trPr>
          <w:trHeight w:val="170"/>
        </w:trPr>
        <w:tc>
          <w:tcPr>
            <w:tcW w:w="2071" w:type="dxa"/>
            <w:shd w:val="clear" w:color="auto" w:fill="F3F9FA"/>
            <w:noWrap/>
            <w:vAlign w:val="bottom"/>
          </w:tcPr>
          <w:p w14:paraId="1E0D73B0"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051BE97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UG2</w:t>
            </w:r>
          </w:p>
        </w:tc>
        <w:tc>
          <w:tcPr>
            <w:tcW w:w="2117" w:type="dxa"/>
            <w:shd w:val="clear" w:color="auto" w:fill="F3F9FA"/>
            <w:noWrap/>
            <w:vAlign w:val="bottom"/>
            <w:hideMark/>
          </w:tcPr>
          <w:p w14:paraId="1AD8AC3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tcPr>
          <w:p w14:paraId="05527021"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46A4486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277B5E6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42E1895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5A60CD58"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7BEE93A4" w14:textId="77777777" w:rsidR="006F4537" w:rsidRPr="006F4537" w:rsidRDefault="006F4537" w:rsidP="006F4537">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14:paraId="0AA2FE75"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2A0875FE"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estuarine intertidal</w:t>
            </w:r>
          </w:p>
        </w:tc>
        <w:tc>
          <w:tcPr>
            <w:tcW w:w="923" w:type="dxa"/>
            <w:tcBorders>
              <w:top w:val="nil"/>
              <w:left w:val="nil"/>
              <w:bottom w:val="single" w:sz="4" w:space="0" w:color="auto"/>
              <w:right w:val="nil"/>
            </w:tcBorders>
            <w:shd w:val="clear" w:color="auto" w:fill="E7F3F4"/>
            <w:noWrap/>
            <w:vAlign w:val="center"/>
            <w:hideMark/>
          </w:tcPr>
          <w:p w14:paraId="21A3608D"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10.8</w:t>
            </w:r>
          </w:p>
        </w:tc>
        <w:tc>
          <w:tcPr>
            <w:tcW w:w="924" w:type="dxa"/>
            <w:tcBorders>
              <w:top w:val="nil"/>
              <w:left w:val="nil"/>
              <w:bottom w:val="single" w:sz="4" w:space="0" w:color="auto"/>
              <w:right w:val="nil"/>
            </w:tcBorders>
            <w:shd w:val="clear" w:color="auto" w:fill="E7F3F4"/>
            <w:noWrap/>
            <w:vAlign w:val="center"/>
            <w:hideMark/>
          </w:tcPr>
          <w:p w14:paraId="13BBBB7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w:t>
            </w:r>
          </w:p>
        </w:tc>
        <w:tc>
          <w:tcPr>
            <w:tcW w:w="923" w:type="dxa"/>
            <w:tcBorders>
              <w:top w:val="nil"/>
              <w:left w:val="nil"/>
              <w:bottom w:val="single" w:sz="4" w:space="0" w:color="auto"/>
              <w:right w:val="nil"/>
            </w:tcBorders>
            <w:shd w:val="clear" w:color="auto" w:fill="E7F3F4"/>
            <w:noWrap/>
            <w:vAlign w:val="center"/>
            <w:hideMark/>
          </w:tcPr>
          <w:p w14:paraId="2412BD10"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34.1</w:t>
            </w:r>
          </w:p>
        </w:tc>
        <w:tc>
          <w:tcPr>
            <w:tcW w:w="924" w:type="dxa"/>
            <w:tcBorders>
              <w:top w:val="nil"/>
              <w:left w:val="nil"/>
              <w:bottom w:val="single" w:sz="4" w:space="0" w:color="auto"/>
              <w:right w:val="nil"/>
            </w:tcBorders>
            <w:shd w:val="clear" w:color="auto" w:fill="E7F3F4"/>
            <w:noWrap/>
            <w:vAlign w:val="center"/>
            <w:hideMark/>
          </w:tcPr>
          <w:p w14:paraId="7DEBCE9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54</w:t>
            </w:r>
          </w:p>
        </w:tc>
      </w:tr>
      <w:tr w:rsidR="006F4537" w:rsidRPr="006F4537" w14:paraId="291520C7" w14:textId="77777777" w:rsidTr="006F4537">
        <w:trPr>
          <w:trHeight w:val="170"/>
        </w:trPr>
        <w:tc>
          <w:tcPr>
            <w:tcW w:w="2071" w:type="dxa"/>
            <w:shd w:val="clear" w:color="auto" w:fill="F3F9FA"/>
            <w:noWrap/>
            <w:vAlign w:val="bottom"/>
          </w:tcPr>
          <w:p w14:paraId="4EB2910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373384D"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BH1^</w:t>
            </w:r>
          </w:p>
        </w:tc>
        <w:tc>
          <w:tcPr>
            <w:tcW w:w="2117" w:type="dxa"/>
            <w:shd w:val="clear" w:color="auto" w:fill="F3F9FA"/>
            <w:noWrap/>
            <w:vAlign w:val="bottom"/>
            <w:hideMark/>
          </w:tcPr>
          <w:p w14:paraId="6643ABA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4D1C082B"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hideMark/>
          </w:tcPr>
          <w:p w14:paraId="47723ACE" w14:textId="77777777" w:rsidR="006F4537" w:rsidRPr="006F4537" w:rsidRDefault="006F4537" w:rsidP="006F4537">
            <w:pPr>
              <w:spacing w:before="0" w:after="0"/>
              <w:jc w:val="center"/>
              <w:rPr>
                <w:rFonts w:cs="Arial"/>
                <w:color w:val="000000"/>
                <w:sz w:val="18"/>
                <w:szCs w:val="18"/>
              </w:rPr>
            </w:pPr>
            <w:r w:rsidRPr="006F4537">
              <w:rPr>
                <w:iCs/>
                <w:sz w:val="18"/>
                <w:szCs w:val="18"/>
              </w:rPr>
              <w:t>7.8</w:t>
            </w:r>
          </w:p>
        </w:tc>
        <w:tc>
          <w:tcPr>
            <w:tcW w:w="923" w:type="dxa"/>
            <w:shd w:val="clear" w:color="auto" w:fill="F3F9FA"/>
            <w:noWrap/>
            <w:vAlign w:val="bottom"/>
            <w:hideMark/>
          </w:tcPr>
          <w:p w14:paraId="0446BADE" w14:textId="77777777" w:rsidR="006F4537" w:rsidRPr="006F4537" w:rsidRDefault="006F4537" w:rsidP="006F4537">
            <w:pPr>
              <w:spacing w:before="0" w:after="0"/>
              <w:jc w:val="center"/>
              <w:rPr>
                <w:rFonts w:cs="Arial"/>
                <w:color w:val="000000"/>
                <w:sz w:val="18"/>
                <w:szCs w:val="18"/>
              </w:rPr>
            </w:pPr>
            <w:r w:rsidRPr="006F4537">
              <w:rPr>
                <w:iCs/>
                <w:sz w:val="18"/>
                <w:szCs w:val="18"/>
              </w:rPr>
              <w:t>11.9</w:t>
            </w:r>
          </w:p>
        </w:tc>
        <w:tc>
          <w:tcPr>
            <w:tcW w:w="924" w:type="dxa"/>
            <w:shd w:val="clear" w:color="auto" w:fill="F3F9FA"/>
            <w:noWrap/>
            <w:vAlign w:val="bottom"/>
            <w:hideMark/>
          </w:tcPr>
          <w:p w14:paraId="287B9BCF" w14:textId="77777777" w:rsidR="006F4537" w:rsidRPr="006F4537" w:rsidRDefault="006F4537" w:rsidP="006F4537">
            <w:pPr>
              <w:spacing w:before="0" w:after="0"/>
              <w:jc w:val="center"/>
              <w:rPr>
                <w:rFonts w:cs="Arial"/>
                <w:color w:val="000000"/>
                <w:sz w:val="18"/>
                <w:szCs w:val="18"/>
              </w:rPr>
            </w:pPr>
            <w:r w:rsidRPr="006F4537">
              <w:rPr>
                <w:iCs/>
                <w:sz w:val="18"/>
                <w:szCs w:val="18"/>
              </w:rPr>
              <w:t>21.6</w:t>
            </w:r>
          </w:p>
        </w:tc>
      </w:tr>
      <w:tr w:rsidR="006F4537" w:rsidRPr="006F4537" w14:paraId="02744680" w14:textId="77777777" w:rsidTr="006F4537">
        <w:trPr>
          <w:trHeight w:val="170"/>
        </w:trPr>
        <w:tc>
          <w:tcPr>
            <w:tcW w:w="2071" w:type="dxa"/>
            <w:shd w:val="clear" w:color="auto" w:fill="F3F9FA"/>
            <w:noWrap/>
            <w:vAlign w:val="bottom"/>
          </w:tcPr>
          <w:p w14:paraId="2A973E32"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0739DE15"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BH3</w:t>
            </w:r>
          </w:p>
        </w:tc>
        <w:tc>
          <w:tcPr>
            <w:tcW w:w="2117" w:type="dxa"/>
            <w:shd w:val="clear" w:color="auto" w:fill="F3F9FA"/>
            <w:noWrap/>
            <w:vAlign w:val="bottom"/>
          </w:tcPr>
          <w:p w14:paraId="52097DE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5130028D"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tcPr>
          <w:p w14:paraId="39DEA9D3" w14:textId="77777777" w:rsidR="006F4537" w:rsidRPr="006F4537" w:rsidRDefault="006F4537" w:rsidP="006F4537">
            <w:pPr>
              <w:spacing w:before="0" w:after="0"/>
              <w:jc w:val="center"/>
              <w:rPr>
                <w:rFonts w:cs="Arial"/>
                <w:color w:val="000000"/>
                <w:sz w:val="18"/>
                <w:szCs w:val="18"/>
              </w:rPr>
            </w:pPr>
            <w:r w:rsidRPr="006F4537">
              <w:rPr>
                <w:iCs/>
                <w:sz w:val="18"/>
                <w:szCs w:val="18"/>
              </w:rPr>
              <w:t>7.8</w:t>
            </w:r>
          </w:p>
        </w:tc>
        <w:tc>
          <w:tcPr>
            <w:tcW w:w="923" w:type="dxa"/>
            <w:shd w:val="clear" w:color="auto" w:fill="F3F9FA"/>
            <w:noWrap/>
            <w:vAlign w:val="bottom"/>
          </w:tcPr>
          <w:p w14:paraId="2E25CBE2" w14:textId="77777777" w:rsidR="006F4537" w:rsidRPr="006F4537" w:rsidRDefault="006F4537" w:rsidP="006F4537">
            <w:pPr>
              <w:spacing w:before="0" w:after="0"/>
              <w:jc w:val="center"/>
              <w:rPr>
                <w:rFonts w:cs="Arial"/>
                <w:color w:val="000000"/>
                <w:sz w:val="18"/>
                <w:szCs w:val="18"/>
              </w:rPr>
            </w:pPr>
            <w:r w:rsidRPr="006F4537">
              <w:rPr>
                <w:iCs/>
                <w:sz w:val="18"/>
                <w:szCs w:val="18"/>
              </w:rPr>
              <w:t>11.9</w:t>
            </w:r>
          </w:p>
        </w:tc>
        <w:tc>
          <w:tcPr>
            <w:tcW w:w="924" w:type="dxa"/>
            <w:shd w:val="clear" w:color="auto" w:fill="F3F9FA"/>
            <w:noWrap/>
            <w:vAlign w:val="bottom"/>
          </w:tcPr>
          <w:p w14:paraId="7B0B7AD5" w14:textId="77777777" w:rsidR="006F4537" w:rsidRPr="006F4537" w:rsidRDefault="006F4537" w:rsidP="006F4537">
            <w:pPr>
              <w:spacing w:before="0" w:after="0"/>
              <w:jc w:val="center"/>
              <w:rPr>
                <w:rFonts w:cs="Arial"/>
                <w:color w:val="000000"/>
                <w:sz w:val="18"/>
                <w:szCs w:val="18"/>
              </w:rPr>
            </w:pPr>
            <w:r w:rsidRPr="006F4537">
              <w:rPr>
                <w:iCs/>
                <w:sz w:val="18"/>
                <w:szCs w:val="18"/>
              </w:rPr>
              <w:t>21.6</w:t>
            </w:r>
          </w:p>
        </w:tc>
      </w:tr>
      <w:tr w:rsidR="006F4537" w:rsidRPr="006F4537" w14:paraId="184BFF72"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41C15F69" w14:textId="77777777" w:rsidR="006F4537" w:rsidRPr="006F4537" w:rsidRDefault="006F4537" w:rsidP="006F4537">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14:paraId="327620D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78D736A4"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tcBorders>
              <w:top w:val="nil"/>
              <w:left w:val="nil"/>
              <w:bottom w:val="single" w:sz="4" w:space="0" w:color="auto"/>
              <w:right w:val="nil"/>
            </w:tcBorders>
            <w:shd w:val="clear" w:color="auto" w:fill="E7F3F4"/>
            <w:noWrap/>
            <w:vAlign w:val="center"/>
          </w:tcPr>
          <w:p w14:paraId="73581D8C" w14:textId="77777777" w:rsidR="006F4537" w:rsidRPr="006F4537" w:rsidRDefault="006F4537" w:rsidP="006F4537">
            <w:pPr>
              <w:spacing w:before="0" w:after="0"/>
              <w:jc w:val="center"/>
              <w:rPr>
                <w:rFonts w:cs="Arial"/>
                <w:b/>
                <w:bCs/>
                <w:i/>
                <w:iCs/>
                <w:color w:val="000000"/>
                <w:sz w:val="18"/>
                <w:szCs w:val="18"/>
              </w:rPr>
            </w:pPr>
          </w:p>
        </w:tc>
        <w:tc>
          <w:tcPr>
            <w:tcW w:w="924" w:type="dxa"/>
            <w:tcBorders>
              <w:top w:val="nil"/>
              <w:left w:val="nil"/>
              <w:bottom w:val="single" w:sz="4" w:space="0" w:color="auto"/>
              <w:right w:val="nil"/>
            </w:tcBorders>
            <w:shd w:val="clear" w:color="auto" w:fill="E7F3F4"/>
            <w:noWrap/>
            <w:vAlign w:val="center"/>
            <w:hideMark/>
          </w:tcPr>
          <w:p w14:paraId="16727A5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7.8</w:t>
            </w:r>
          </w:p>
        </w:tc>
        <w:tc>
          <w:tcPr>
            <w:tcW w:w="923" w:type="dxa"/>
            <w:tcBorders>
              <w:top w:val="nil"/>
              <w:left w:val="nil"/>
              <w:bottom w:val="single" w:sz="4" w:space="0" w:color="auto"/>
              <w:right w:val="nil"/>
            </w:tcBorders>
            <w:shd w:val="clear" w:color="auto" w:fill="E7F3F4"/>
            <w:noWrap/>
            <w:vAlign w:val="center"/>
            <w:hideMark/>
          </w:tcPr>
          <w:p w14:paraId="40CB7C5F"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11.9</w:t>
            </w:r>
          </w:p>
        </w:tc>
        <w:tc>
          <w:tcPr>
            <w:tcW w:w="924" w:type="dxa"/>
            <w:tcBorders>
              <w:top w:val="nil"/>
              <w:left w:val="nil"/>
              <w:bottom w:val="single" w:sz="4" w:space="0" w:color="auto"/>
              <w:right w:val="nil"/>
            </w:tcBorders>
            <w:shd w:val="clear" w:color="auto" w:fill="E7F3F4"/>
            <w:noWrap/>
            <w:vAlign w:val="center"/>
            <w:hideMark/>
          </w:tcPr>
          <w:p w14:paraId="596F2785"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21.6</w:t>
            </w:r>
          </w:p>
        </w:tc>
      </w:tr>
    </w:tbl>
    <w:p w14:paraId="0FC06191" w14:textId="77777777" w:rsidR="00842050" w:rsidRDefault="00842050" w:rsidP="00842050">
      <w:pPr>
        <w:ind w:left="540" w:hanging="540"/>
        <w:rPr>
          <w:color w:val="000000"/>
        </w:rPr>
      </w:pPr>
    </w:p>
    <w:p w14:paraId="626BA707" w14:textId="4BA13DB2" w:rsidR="00842050" w:rsidRDefault="00842050" w:rsidP="00842050">
      <w:pPr>
        <w:jc w:val="center"/>
        <w:rPr>
          <w:i/>
          <w:vanish/>
          <w:color w:val="000000"/>
          <w:specVanish/>
        </w:rPr>
      </w:pPr>
      <w:bookmarkStart w:id="1006" w:name="_Ref515980069"/>
      <w:bookmarkStart w:id="1007" w:name="_Toc516053463"/>
      <w:r>
        <w:rPr>
          <w:color w:val="000000"/>
        </w:rPr>
        <w:t xml:space="preserve">Table </w:t>
      </w:r>
      <w:r>
        <w:fldChar w:fldCharType="begin"/>
      </w:r>
      <w:r>
        <w:rPr>
          <w:color w:val="000000"/>
        </w:rPr>
        <w:instrText xml:space="preserve"> SEQ Table \* ARABIC </w:instrText>
      </w:r>
      <w:r>
        <w:fldChar w:fldCharType="separate"/>
      </w:r>
      <w:r w:rsidR="00F87DF9">
        <w:rPr>
          <w:noProof/>
          <w:color w:val="000000"/>
        </w:rPr>
        <w:t>39</w:t>
      </w:r>
      <w:r>
        <w:fldChar w:fldCharType="end"/>
      </w:r>
      <w:bookmarkEnd w:id="1006"/>
      <w:r>
        <w:rPr>
          <w:color w:val="000000"/>
        </w:rPr>
        <w:t xml:space="preserve">. </w:t>
      </w:r>
      <w:r>
        <w:rPr>
          <w:rFonts w:cs="Arial"/>
          <w:i/>
          <w:color w:val="000000"/>
        </w:rPr>
        <w:t>Scoring threshold table to determine seagrass abundance status.</w:t>
      </w:r>
      <w:bookmarkEnd w:id="1005"/>
      <w:bookmarkEnd w:id="1007"/>
      <w:r>
        <w:rPr>
          <w:i/>
          <w:color w:val="000000"/>
        </w:rPr>
        <w:t xml:space="preserve"> </w:t>
      </w:r>
    </w:p>
    <w:p w14:paraId="56F3AFF4" w14:textId="51DAA49F" w:rsidR="00842050" w:rsidRDefault="00842050" w:rsidP="00842050">
      <w:pPr>
        <w:jc w:val="center"/>
        <w:rPr>
          <w:color w:val="000000"/>
        </w:rPr>
      </w:pPr>
      <w:r>
        <w:rPr>
          <w:i/>
          <w:color w:val="000000"/>
        </w:rPr>
        <w:t>low = 10</w:t>
      </w:r>
      <w:r>
        <w:rPr>
          <w:i/>
          <w:color w:val="000000"/>
          <w:vertAlign w:val="superscript"/>
        </w:rPr>
        <w:t>th</w:t>
      </w:r>
      <w:r>
        <w:rPr>
          <w:i/>
          <w:color w:val="000000"/>
        </w:rPr>
        <w:t xml:space="preserve"> or 20</w:t>
      </w:r>
      <w:r>
        <w:rPr>
          <w:i/>
          <w:color w:val="000000"/>
          <w:vertAlign w:val="superscript"/>
        </w:rPr>
        <w:t>th</w:t>
      </w:r>
      <w:r>
        <w:rPr>
          <w:i/>
          <w:color w:val="000000"/>
        </w:rPr>
        <w:t xml:space="preserve"> percentile guideline (</w:t>
      </w:r>
      <w:r>
        <w:fldChar w:fldCharType="begin"/>
      </w:r>
      <w:r>
        <w:rPr>
          <w:i/>
          <w:color w:val="000000"/>
        </w:rPr>
        <w:instrText xml:space="preserve"> REF _Ref340344284 \h  \* MERGEFORMAT </w:instrText>
      </w:r>
      <w:r>
        <w:fldChar w:fldCharType="separate"/>
      </w:r>
      <w:r w:rsidR="00F87DF9" w:rsidRPr="00F87DF9">
        <w:rPr>
          <w:i/>
        </w:rPr>
        <w:t xml:space="preserve">Table </w:t>
      </w:r>
      <w:r w:rsidR="00F87DF9" w:rsidRPr="00F87DF9">
        <w:rPr>
          <w:i/>
          <w:noProof/>
          <w:color w:val="000000"/>
        </w:rPr>
        <w:t>38</w:t>
      </w:r>
      <w:r>
        <w:fldChar w:fldCharType="end"/>
      </w:r>
      <w:r>
        <w:rPr>
          <w:i/>
          <w:color w:val="000000"/>
        </w:rPr>
        <w:t>). NB: scores are unitless.</w:t>
      </w:r>
    </w:p>
    <w:tbl>
      <w:tblPr>
        <w:tblW w:w="6750" w:type="dxa"/>
        <w:jc w:val="center"/>
        <w:tblLook w:val="04A0" w:firstRow="1" w:lastRow="0" w:firstColumn="1" w:lastColumn="0" w:noHBand="0" w:noVBand="1"/>
      </w:tblPr>
      <w:tblGrid>
        <w:gridCol w:w="1370"/>
        <w:gridCol w:w="2200"/>
        <w:gridCol w:w="1560"/>
        <w:gridCol w:w="1620"/>
      </w:tblGrid>
      <w:tr w:rsidR="00842050" w14:paraId="513426A2" w14:textId="77777777" w:rsidTr="0045762B">
        <w:trPr>
          <w:trHeight w:val="290"/>
          <w:jc w:val="center"/>
        </w:trPr>
        <w:tc>
          <w:tcPr>
            <w:tcW w:w="1370" w:type="dxa"/>
            <w:tcBorders>
              <w:top w:val="single" w:sz="4" w:space="0" w:color="auto"/>
              <w:left w:val="nil"/>
              <w:bottom w:val="single" w:sz="4" w:space="0" w:color="auto"/>
              <w:right w:val="nil"/>
            </w:tcBorders>
            <w:noWrap/>
            <w:vAlign w:val="bottom"/>
            <w:hideMark/>
          </w:tcPr>
          <w:p w14:paraId="5DB1F982" w14:textId="77777777" w:rsidR="00842050" w:rsidRDefault="00842050" w:rsidP="00805748">
            <w:pPr>
              <w:spacing w:before="0" w:after="0"/>
              <w:jc w:val="center"/>
              <w:rPr>
                <w:b/>
                <w:color w:val="000000"/>
                <w:lang w:val="en-US"/>
              </w:rPr>
            </w:pPr>
            <w:r>
              <w:rPr>
                <w:b/>
                <w:color w:val="000000"/>
                <w:szCs w:val="22"/>
                <w:lang w:val="en-US"/>
              </w:rPr>
              <w:t>description</w:t>
            </w:r>
          </w:p>
        </w:tc>
        <w:tc>
          <w:tcPr>
            <w:tcW w:w="2200" w:type="dxa"/>
            <w:tcBorders>
              <w:top w:val="single" w:sz="4" w:space="0" w:color="auto"/>
              <w:left w:val="nil"/>
              <w:bottom w:val="single" w:sz="4" w:space="0" w:color="auto"/>
              <w:right w:val="nil"/>
            </w:tcBorders>
            <w:noWrap/>
            <w:vAlign w:val="bottom"/>
            <w:hideMark/>
          </w:tcPr>
          <w:p w14:paraId="0FBDD037" w14:textId="77777777" w:rsidR="00842050" w:rsidRDefault="00842050" w:rsidP="00805748">
            <w:pPr>
              <w:spacing w:before="0" w:after="0"/>
              <w:jc w:val="center"/>
              <w:rPr>
                <w:b/>
                <w:color w:val="000000"/>
                <w:lang w:val="en-US"/>
              </w:rPr>
            </w:pPr>
            <w:r>
              <w:rPr>
                <w:b/>
                <w:color w:val="000000"/>
                <w:szCs w:val="22"/>
                <w:lang w:val="en-US"/>
              </w:rPr>
              <w:t>category</w:t>
            </w:r>
          </w:p>
        </w:tc>
        <w:tc>
          <w:tcPr>
            <w:tcW w:w="1560" w:type="dxa"/>
            <w:tcBorders>
              <w:top w:val="single" w:sz="4" w:space="0" w:color="auto"/>
              <w:left w:val="nil"/>
              <w:bottom w:val="single" w:sz="4" w:space="0" w:color="auto"/>
              <w:right w:val="nil"/>
            </w:tcBorders>
            <w:noWrap/>
            <w:vAlign w:val="bottom"/>
            <w:hideMark/>
          </w:tcPr>
          <w:p w14:paraId="7FE9753D" w14:textId="77777777" w:rsidR="00842050" w:rsidRDefault="00842050" w:rsidP="00805748">
            <w:pPr>
              <w:spacing w:before="0" w:after="0"/>
              <w:jc w:val="center"/>
              <w:rPr>
                <w:b/>
                <w:color w:val="000000"/>
                <w:lang w:val="en-US"/>
              </w:rPr>
            </w:pPr>
            <w:r>
              <w:rPr>
                <w:b/>
                <w:color w:val="000000"/>
                <w:szCs w:val="22"/>
                <w:lang w:val="en-US"/>
              </w:rPr>
              <w:t>score</w:t>
            </w:r>
          </w:p>
        </w:tc>
        <w:tc>
          <w:tcPr>
            <w:tcW w:w="1620" w:type="dxa"/>
            <w:tcBorders>
              <w:top w:val="single" w:sz="4" w:space="0" w:color="auto"/>
              <w:left w:val="nil"/>
              <w:bottom w:val="single" w:sz="4" w:space="0" w:color="auto"/>
              <w:right w:val="nil"/>
            </w:tcBorders>
            <w:noWrap/>
            <w:vAlign w:val="bottom"/>
            <w:hideMark/>
          </w:tcPr>
          <w:p w14:paraId="3A43AC42" w14:textId="77777777" w:rsidR="00842050" w:rsidRDefault="00842050" w:rsidP="00805748">
            <w:pPr>
              <w:spacing w:before="0" w:after="0"/>
              <w:jc w:val="center"/>
              <w:rPr>
                <w:b/>
                <w:color w:val="000000"/>
                <w:lang w:val="en-US"/>
              </w:rPr>
            </w:pPr>
            <w:r>
              <w:rPr>
                <w:b/>
                <w:color w:val="000000"/>
                <w:szCs w:val="22"/>
                <w:lang w:val="en-US"/>
              </w:rPr>
              <w:t>status</w:t>
            </w:r>
          </w:p>
        </w:tc>
      </w:tr>
      <w:tr w:rsidR="00842050" w14:paraId="5BF60F71" w14:textId="77777777" w:rsidTr="0045762B">
        <w:trPr>
          <w:trHeight w:val="290"/>
          <w:jc w:val="center"/>
        </w:trPr>
        <w:tc>
          <w:tcPr>
            <w:tcW w:w="1370" w:type="dxa"/>
            <w:noWrap/>
            <w:vAlign w:val="bottom"/>
            <w:hideMark/>
          </w:tcPr>
          <w:p w14:paraId="58BAF9B4" w14:textId="77777777" w:rsidR="00842050" w:rsidRDefault="00842050" w:rsidP="00805748">
            <w:pPr>
              <w:spacing w:before="0" w:after="0"/>
              <w:rPr>
                <w:i/>
                <w:iCs/>
                <w:color w:val="000000"/>
                <w:lang w:eastAsia="en-AU"/>
              </w:rPr>
            </w:pPr>
            <w:r>
              <w:rPr>
                <w:i/>
                <w:iCs/>
                <w:color w:val="000000"/>
                <w:szCs w:val="22"/>
                <w:lang w:eastAsia="en-AU"/>
              </w:rPr>
              <w:t>very good</w:t>
            </w:r>
          </w:p>
        </w:tc>
        <w:tc>
          <w:tcPr>
            <w:tcW w:w="2200" w:type="dxa"/>
            <w:noWrap/>
            <w:vAlign w:val="bottom"/>
            <w:hideMark/>
          </w:tcPr>
          <w:p w14:paraId="180A5AF7" w14:textId="77777777" w:rsidR="00842050" w:rsidRDefault="00842050" w:rsidP="00805748">
            <w:pPr>
              <w:spacing w:before="0" w:after="0"/>
              <w:jc w:val="center"/>
              <w:rPr>
                <w:color w:val="000000"/>
                <w:lang w:eastAsia="en-AU"/>
              </w:rPr>
            </w:pPr>
            <w:r>
              <w:rPr>
                <w:color w:val="000000"/>
                <w:szCs w:val="22"/>
                <w:lang w:eastAsia="en-AU"/>
              </w:rPr>
              <w:t>75-100</w:t>
            </w:r>
          </w:p>
        </w:tc>
        <w:tc>
          <w:tcPr>
            <w:tcW w:w="1560" w:type="dxa"/>
            <w:noWrap/>
            <w:vAlign w:val="bottom"/>
            <w:hideMark/>
          </w:tcPr>
          <w:p w14:paraId="605070C6" w14:textId="77777777" w:rsidR="00842050" w:rsidRDefault="00842050" w:rsidP="00805748">
            <w:pPr>
              <w:spacing w:before="0" w:after="0"/>
              <w:jc w:val="center"/>
              <w:rPr>
                <w:color w:val="000000"/>
                <w:lang w:eastAsia="en-AU"/>
              </w:rPr>
            </w:pPr>
            <w:r>
              <w:rPr>
                <w:color w:val="000000"/>
                <w:szCs w:val="22"/>
                <w:lang w:eastAsia="en-AU"/>
              </w:rPr>
              <w:t>100</w:t>
            </w:r>
          </w:p>
        </w:tc>
        <w:tc>
          <w:tcPr>
            <w:tcW w:w="1620" w:type="dxa"/>
            <w:shd w:val="clear" w:color="auto" w:fill="008000"/>
            <w:noWrap/>
            <w:vAlign w:val="bottom"/>
            <w:hideMark/>
          </w:tcPr>
          <w:p w14:paraId="09033ADE" w14:textId="77777777"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14:paraId="45B242DC" w14:textId="77777777" w:rsidTr="0045762B">
        <w:trPr>
          <w:trHeight w:val="290"/>
          <w:jc w:val="center"/>
        </w:trPr>
        <w:tc>
          <w:tcPr>
            <w:tcW w:w="1370" w:type="dxa"/>
            <w:noWrap/>
            <w:vAlign w:val="bottom"/>
            <w:hideMark/>
          </w:tcPr>
          <w:p w14:paraId="09BB561E" w14:textId="77777777" w:rsidR="00842050" w:rsidRDefault="00842050" w:rsidP="00805748">
            <w:pPr>
              <w:spacing w:before="0" w:after="0"/>
              <w:rPr>
                <w:i/>
                <w:iCs/>
                <w:color w:val="000000"/>
                <w:lang w:eastAsia="en-AU"/>
              </w:rPr>
            </w:pPr>
            <w:r>
              <w:rPr>
                <w:i/>
                <w:iCs/>
                <w:color w:val="000000"/>
                <w:szCs w:val="22"/>
                <w:lang w:eastAsia="en-AU"/>
              </w:rPr>
              <w:t>good</w:t>
            </w:r>
          </w:p>
        </w:tc>
        <w:tc>
          <w:tcPr>
            <w:tcW w:w="2200" w:type="dxa"/>
            <w:noWrap/>
            <w:vAlign w:val="bottom"/>
            <w:hideMark/>
          </w:tcPr>
          <w:p w14:paraId="72E37E3C" w14:textId="77777777" w:rsidR="00842050" w:rsidRDefault="00842050" w:rsidP="00805748">
            <w:pPr>
              <w:spacing w:before="0" w:after="0"/>
              <w:jc w:val="center"/>
              <w:rPr>
                <w:color w:val="000000"/>
                <w:lang w:eastAsia="en-AU"/>
              </w:rPr>
            </w:pPr>
            <w:r>
              <w:rPr>
                <w:color w:val="000000"/>
                <w:szCs w:val="22"/>
                <w:lang w:eastAsia="en-AU"/>
              </w:rPr>
              <w:t>50-75</w:t>
            </w:r>
          </w:p>
        </w:tc>
        <w:tc>
          <w:tcPr>
            <w:tcW w:w="1560" w:type="dxa"/>
            <w:noWrap/>
            <w:vAlign w:val="bottom"/>
            <w:hideMark/>
          </w:tcPr>
          <w:p w14:paraId="1C6EACA0" w14:textId="77777777" w:rsidR="00842050" w:rsidRDefault="00842050" w:rsidP="00805748">
            <w:pPr>
              <w:spacing w:before="0" w:after="0"/>
              <w:jc w:val="center"/>
              <w:rPr>
                <w:color w:val="000000"/>
                <w:lang w:eastAsia="en-AU"/>
              </w:rPr>
            </w:pPr>
            <w:r>
              <w:rPr>
                <w:color w:val="000000"/>
                <w:szCs w:val="22"/>
                <w:lang w:eastAsia="en-AU"/>
              </w:rPr>
              <w:t>75</w:t>
            </w:r>
          </w:p>
        </w:tc>
        <w:tc>
          <w:tcPr>
            <w:tcW w:w="1620" w:type="dxa"/>
            <w:shd w:val="clear" w:color="auto" w:fill="92D050"/>
            <w:noWrap/>
            <w:vAlign w:val="bottom"/>
            <w:hideMark/>
          </w:tcPr>
          <w:p w14:paraId="5CE12E18" w14:textId="77777777" w:rsidR="00842050" w:rsidRDefault="00842050" w:rsidP="00796FE8">
            <w:pPr>
              <w:spacing w:before="0" w:after="0"/>
              <w:jc w:val="center"/>
              <w:rPr>
                <w:color w:val="000000"/>
                <w:lang w:eastAsia="en-AU"/>
              </w:rPr>
            </w:pPr>
            <w:r>
              <w:rPr>
                <w:color w:val="000000"/>
                <w:szCs w:val="22"/>
                <w:lang w:eastAsia="en-AU"/>
              </w:rPr>
              <w:t>6</w:t>
            </w:r>
            <w:r w:rsidR="00796FE8">
              <w:rPr>
                <w:color w:val="000000"/>
                <w:szCs w:val="22"/>
                <w:lang w:eastAsia="en-AU"/>
              </w:rPr>
              <w:t>1</w:t>
            </w:r>
            <w:r>
              <w:rPr>
                <w:color w:val="000000"/>
                <w:szCs w:val="22"/>
                <w:lang w:eastAsia="en-AU"/>
              </w:rPr>
              <w:t xml:space="preserve"> - 80</w:t>
            </w:r>
          </w:p>
        </w:tc>
      </w:tr>
      <w:tr w:rsidR="00842050" w14:paraId="5D7C418D" w14:textId="77777777" w:rsidTr="0045762B">
        <w:trPr>
          <w:trHeight w:val="290"/>
          <w:jc w:val="center"/>
        </w:trPr>
        <w:tc>
          <w:tcPr>
            <w:tcW w:w="1370" w:type="dxa"/>
            <w:noWrap/>
            <w:vAlign w:val="bottom"/>
            <w:hideMark/>
          </w:tcPr>
          <w:p w14:paraId="62BBBA3A" w14:textId="77777777" w:rsidR="00842050" w:rsidRDefault="00842050" w:rsidP="00805748">
            <w:pPr>
              <w:spacing w:before="0" w:after="0"/>
              <w:rPr>
                <w:i/>
                <w:iCs/>
                <w:color w:val="000000"/>
                <w:lang w:eastAsia="en-AU"/>
              </w:rPr>
            </w:pPr>
            <w:r>
              <w:rPr>
                <w:i/>
                <w:iCs/>
                <w:color w:val="000000"/>
                <w:szCs w:val="22"/>
                <w:lang w:eastAsia="en-AU"/>
              </w:rPr>
              <w:t>moderate</w:t>
            </w:r>
          </w:p>
        </w:tc>
        <w:tc>
          <w:tcPr>
            <w:tcW w:w="2200" w:type="dxa"/>
            <w:noWrap/>
            <w:vAlign w:val="bottom"/>
            <w:hideMark/>
          </w:tcPr>
          <w:p w14:paraId="56E427C6" w14:textId="77777777" w:rsidR="00842050" w:rsidRDefault="00842050" w:rsidP="00805748">
            <w:pPr>
              <w:spacing w:before="0" w:after="0"/>
              <w:jc w:val="center"/>
              <w:rPr>
                <w:color w:val="000000"/>
                <w:lang w:eastAsia="en-AU"/>
              </w:rPr>
            </w:pPr>
            <w:r>
              <w:rPr>
                <w:color w:val="000000"/>
                <w:szCs w:val="22"/>
                <w:lang w:eastAsia="en-AU"/>
              </w:rPr>
              <w:t>low-50</w:t>
            </w:r>
          </w:p>
        </w:tc>
        <w:tc>
          <w:tcPr>
            <w:tcW w:w="1560" w:type="dxa"/>
            <w:noWrap/>
            <w:vAlign w:val="bottom"/>
            <w:hideMark/>
          </w:tcPr>
          <w:p w14:paraId="09D6B591" w14:textId="77777777" w:rsidR="00842050" w:rsidRDefault="00842050" w:rsidP="00805748">
            <w:pPr>
              <w:spacing w:before="0" w:after="0"/>
              <w:jc w:val="center"/>
              <w:rPr>
                <w:color w:val="000000"/>
                <w:lang w:eastAsia="en-AU"/>
              </w:rPr>
            </w:pPr>
            <w:r>
              <w:rPr>
                <w:color w:val="000000"/>
                <w:szCs w:val="22"/>
                <w:lang w:eastAsia="en-AU"/>
              </w:rPr>
              <w:t>50</w:t>
            </w:r>
          </w:p>
        </w:tc>
        <w:tc>
          <w:tcPr>
            <w:tcW w:w="1620" w:type="dxa"/>
            <w:shd w:val="clear" w:color="auto" w:fill="FFFF00"/>
            <w:noWrap/>
            <w:vAlign w:val="bottom"/>
            <w:hideMark/>
          </w:tcPr>
          <w:p w14:paraId="0D003EF7" w14:textId="77777777" w:rsidR="00842050" w:rsidRDefault="00842050" w:rsidP="00796FE8">
            <w:pPr>
              <w:spacing w:before="0" w:after="0"/>
              <w:jc w:val="center"/>
              <w:rPr>
                <w:color w:val="000000"/>
                <w:lang w:eastAsia="en-AU"/>
              </w:rPr>
            </w:pPr>
            <w:r>
              <w:rPr>
                <w:color w:val="000000"/>
                <w:szCs w:val="22"/>
                <w:lang w:eastAsia="en-AU"/>
              </w:rPr>
              <w:t>4</w:t>
            </w:r>
            <w:r w:rsidR="00796FE8">
              <w:rPr>
                <w:color w:val="000000"/>
                <w:szCs w:val="22"/>
                <w:lang w:eastAsia="en-AU"/>
              </w:rPr>
              <w:t xml:space="preserve">1 - </w:t>
            </w:r>
            <w:r>
              <w:rPr>
                <w:color w:val="000000"/>
                <w:szCs w:val="22"/>
                <w:lang w:eastAsia="en-AU"/>
              </w:rPr>
              <w:t>60</w:t>
            </w:r>
          </w:p>
        </w:tc>
      </w:tr>
      <w:tr w:rsidR="00842050" w14:paraId="1FF72BF2" w14:textId="77777777" w:rsidTr="0045762B">
        <w:trPr>
          <w:trHeight w:val="290"/>
          <w:jc w:val="center"/>
        </w:trPr>
        <w:tc>
          <w:tcPr>
            <w:tcW w:w="1370" w:type="dxa"/>
            <w:noWrap/>
            <w:vAlign w:val="bottom"/>
            <w:hideMark/>
          </w:tcPr>
          <w:p w14:paraId="02EBA46E" w14:textId="77777777" w:rsidR="00842050" w:rsidRDefault="00842050" w:rsidP="00805748">
            <w:pPr>
              <w:spacing w:before="0" w:after="0"/>
              <w:rPr>
                <w:i/>
                <w:iCs/>
                <w:color w:val="000000"/>
                <w:lang w:eastAsia="en-AU"/>
              </w:rPr>
            </w:pPr>
            <w:r>
              <w:rPr>
                <w:i/>
                <w:iCs/>
                <w:color w:val="000000"/>
                <w:szCs w:val="22"/>
                <w:lang w:eastAsia="en-AU"/>
              </w:rPr>
              <w:t>poor</w:t>
            </w:r>
          </w:p>
        </w:tc>
        <w:tc>
          <w:tcPr>
            <w:tcW w:w="2200" w:type="dxa"/>
            <w:noWrap/>
            <w:vAlign w:val="bottom"/>
            <w:hideMark/>
          </w:tcPr>
          <w:p w14:paraId="250FBA26" w14:textId="77777777" w:rsidR="00842050" w:rsidRDefault="00842050" w:rsidP="00805748">
            <w:pPr>
              <w:spacing w:before="0" w:after="0"/>
              <w:jc w:val="center"/>
              <w:rPr>
                <w:color w:val="000000"/>
                <w:lang w:eastAsia="en-AU"/>
              </w:rPr>
            </w:pPr>
            <w:r>
              <w:rPr>
                <w:color w:val="000000"/>
                <w:szCs w:val="22"/>
                <w:lang w:eastAsia="en-AU"/>
              </w:rPr>
              <w:t>&lt;low</w:t>
            </w:r>
          </w:p>
        </w:tc>
        <w:tc>
          <w:tcPr>
            <w:tcW w:w="1560" w:type="dxa"/>
            <w:noWrap/>
            <w:vAlign w:val="bottom"/>
            <w:hideMark/>
          </w:tcPr>
          <w:p w14:paraId="67650165" w14:textId="77777777" w:rsidR="00842050" w:rsidRDefault="00842050" w:rsidP="00805748">
            <w:pPr>
              <w:spacing w:before="0" w:after="0"/>
              <w:jc w:val="center"/>
              <w:rPr>
                <w:color w:val="000000"/>
                <w:lang w:eastAsia="en-AU"/>
              </w:rPr>
            </w:pPr>
            <w:r>
              <w:rPr>
                <w:color w:val="000000"/>
                <w:szCs w:val="22"/>
                <w:lang w:eastAsia="en-AU"/>
              </w:rPr>
              <w:t>25</w:t>
            </w:r>
          </w:p>
        </w:tc>
        <w:tc>
          <w:tcPr>
            <w:tcW w:w="1620" w:type="dxa"/>
            <w:shd w:val="clear" w:color="auto" w:fill="FFC000"/>
            <w:noWrap/>
            <w:vAlign w:val="bottom"/>
            <w:hideMark/>
          </w:tcPr>
          <w:p w14:paraId="28F37C60" w14:textId="77777777" w:rsidR="00842050" w:rsidRDefault="00842050" w:rsidP="00796FE8">
            <w:pPr>
              <w:spacing w:before="0" w:after="0"/>
              <w:jc w:val="center"/>
              <w:rPr>
                <w:color w:val="000000"/>
                <w:lang w:eastAsia="en-AU"/>
              </w:rPr>
            </w:pPr>
            <w:r>
              <w:rPr>
                <w:color w:val="000000"/>
                <w:szCs w:val="22"/>
                <w:lang w:eastAsia="en-AU"/>
              </w:rPr>
              <w:t>2</w:t>
            </w:r>
            <w:r w:rsidR="00796FE8">
              <w:rPr>
                <w:color w:val="000000"/>
                <w:szCs w:val="22"/>
                <w:lang w:eastAsia="en-AU"/>
              </w:rPr>
              <w:t>1</w:t>
            </w:r>
            <w:r>
              <w:rPr>
                <w:color w:val="000000"/>
                <w:szCs w:val="22"/>
                <w:lang w:eastAsia="en-AU"/>
              </w:rPr>
              <w:t xml:space="preserve"> - 40</w:t>
            </w:r>
          </w:p>
        </w:tc>
      </w:tr>
      <w:tr w:rsidR="00842050" w14:paraId="58AE4E59" w14:textId="77777777" w:rsidTr="0045762B">
        <w:trPr>
          <w:trHeight w:val="290"/>
          <w:jc w:val="center"/>
        </w:trPr>
        <w:tc>
          <w:tcPr>
            <w:tcW w:w="1370" w:type="dxa"/>
            <w:tcBorders>
              <w:top w:val="nil"/>
              <w:left w:val="nil"/>
              <w:bottom w:val="single" w:sz="4" w:space="0" w:color="auto"/>
              <w:right w:val="nil"/>
            </w:tcBorders>
            <w:noWrap/>
            <w:vAlign w:val="bottom"/>
            <w:hideMark/>
          </w:tcPr>
          <w:p w14:paraId="685D97D0" w14:textId="77777777" w:rsidR="00842050" w:rsidRDefault="00842050" w:rsidP="00805748">
            <w:pPr>
              <w:spacing w:before="0" w:after="0"/>
              <w:rPr>
                <w:i/>
                <w:iCs/>
                <w:color w:val="000000"/>
                <w:lang w:eastAsia="en-AU"/>
              </w:rPr>
            </w:pPr>
            <w:r>
              <w:rPr>
                <w:i/>
                <w:iCs/>
                <w:color w:val="000000"/>
                <w:szCs w:val="22"/>
                <w:lang w:eastAsia="en-AU"/>
              </w:rPr>
              <w:t>very poor</w:t>
            </w:r>
          </w:p>
        </w:tc>
        <w:tc>
          <w:tcPr>
            <w:tcW w:w="2200" w:type="dxa"/>
            <w:tcBorders>
              <w:top w:val="nil"/>
              <w:left w:val="nil"/>
              <w:bottom w:val="single" w:sz="4" w:space="0" w:color="auto"/>
              <w:right w:val="nil"/>
            </w:tcBorders>
            <w:noWrap/>
            <w:vAlign w:val="bottom"/>
            <w:hideMark/>
          </w:tcPr>
          <w:p w14:paraId="6995E98A" w14:textId="4C5A5728" w:rsidR="00842050" w:rsidRDefault="00842050" w:rsidP="00805748">
            <w:pPr>
              <w:spacing w:before="0" w:after="0"/>
              <w:jc w:val="center"/>
              <w:rPr>
                <w:color w:val="000000"/>
                <w:lang w:eastAsia="en-AU"/>
              </w:rPr>
            </w:pPr>
            <w:r>
              <w:rPr>
                <w:color w:val="000000"/>
                <w:szCs w:val="22"/>
                <w:lang w:eastAsia="en-AU"/>
              </w:rPr>
              <w:t>&lt;low by &gt;20</w:t>
            </w:r>
            <w:r w:rsidR="0063478C">
              <w:rPr>
                <w:color w:val="000000"/>
                <w:szCs w:val="22"/>
                <w:lang w:eastAsia="en-AU"/>
              </w:rPr>
              <w:t xml:space="preserve"> per cent</w:t>
            </w:r>
          </w:p>
        </w:tc>
        <w:tc>
          <w:tcPr>
            <w:tcW w:w="1560" w:type="dxa"/>
            <w:tcBorders>
              <w:top w:val="nil"/>
              <w:left w:val="nil"/>
              <w:bottom w:val="single" w:sz="4" w:space="0" w:color="auto"/>
              <w:right w:val="nil"/>
            </w:tcBorders>
            <w:noWrap/>
            <w:vAlign w:val="bottom"/>
            <w:hideMark/>
          </w:tcPr>
          <w:p w14:paraId="372D5150" w14:textId="77777777" w:rsidR="00842050" w:rsidRDefault="00842050" w:rsidP="00805748">
            <w:pPr>
              <w:spacing w:before="0" w:after="0"/>
              <w:jc w:val="center"/>
              <w:rPr>
                <w:color w:val="000000"/>
                <w:lang w:eastAsia="en-AU"/>
              </w:rPr>
            </w:pPr>
            <w:r>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hideMark/>
          </w:tcPr>
          <w:p w14:paraId="60953F67" w14:textId="77777777" w:rsidR="00842050" w:rsidRDefault="00842050" w:rsidP="00796FE8">
            <w:pPr>
              <w:spacing w:before="0" w:after="0"/>
              <w:jc w:val="center"/>
              <w:rPr>
                <w:color w:val="000000"/>
                <w:lang w:eastAsia="en-AU"/>
              </w:rPr>
            </w:pPr>
            <w:r>
              <w:rPr>
                <w:color w:val="000000"/>
                <w:szCs w:val="22"/>
                <w:lang w:eastAsia="en-AU"/>
              </w:rPr>
              <w:t>0 - 20</w:t>
            </w:r>
          </w:p>
        </w:tc>
      </w:tr>
    </w:tbl>
    <w:p w14:paraId="320096CE" w14:textId="77777777" w:rsidR="00842050" w:rsidRDefault="00842050" w:rsidP="00842050">
      <w:pPr>
        <w:ind w:left="540" w:hanging="540"/>
        <w:rPr>
          <w:color w:val="000000"/>
        </w:rPr>
      </w:pPr>
      <w:bookmarkStart w:id="1008" w:name="_Toc431493751"/>
    </w:p>
    <w:p w14:paraId="5BA63AF2" w14:textId="7E6E3E10" w:rsidR="00842050" w:rsidRDefault="00842050" w:rsidP="00842050">
      <w:pPr>
        <w:jc w:val="center"/>
        <w:rPr>
          <w:i/>
          <w:vanish/>
          <w:specVanish/>
        </w:rPr>
      </w:pPr>
      <w:bookmarkStart w:id="1009" w:name="_Toc516053464"/>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40</w:t>
      </w:r>
      <w:r w:rsidR="00C506C7">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Cape York NRM region habitat over the </w:t>
      </w:r>
      <w:r w:rsidR="008574EC">
        <w:rPr>
          <w:i/>
        </w:rPr>
        <w:t>2016–17</w:t>
      </w:r>
      <w:r>
        <w:rPr>
          <w:i/>
        </w:rPr>
        <w:t xml:space="preserve"> period.</w:t>
      </w:r>
      <w:bookmarkEnd w:id="1009"/>
    </w:p>
    <w:p w14:paraId="13303527" w14:textId="02DC0049" w:rsidR="00842050" w:rsidRDefault="00842050" w:rsidP="00842050">
      <w:pPr>
        <w:jc w:val="center"/>
        <w:rPr>
          <w:i/>
        </w:rPr>
      </w:pPr>
      <w:r>
        <w:rPr>
          <w:i/>
        </w:rPr>
        <w:t xml:space="preserve">Scores calculated as per </w:t>
      </w:r>
      <w:r w:rsidR="00FB280D" w:rsidRPr="00FB280D">
        <w:fldChar w:fldCharType="begin"/>
      </w:r>
      <w:r w:rsidR="00FB280D" w:rsidRPr="00FB280D">
        <w:instrText xml:space="preserve"> REF _Ref340344284 \h </w:instrText>
      </w:r>
      <w:r w:rsidR="00FB280D">
        <w:instrText xml:space="preserve"> \* MERGEFORMAT </w:instrText>
      </w:r>
      <w:r w:rsidR="00FB280D" w:rsidRPr="00FB280D">
        <w:fldChar w:fldCharType="separate"/>
      </w:r>
      <w:r w:rsidR="00F87DF9">
        <w:rPr>
          <w:color w:val="000000"/>
        </w:rPr>
        <w:t xml:space="preserve">Table </w:t>
      </w:r>
      <w:r w:rsidR="00F87DF9">
        <w:rPr>
          <w:noProof/>
          <w:color w:val="000000"/>
        </w:rPr>
        <w:t>38</w:t>
      </w:r>
      <w:r w:rsidR="00FB280D" w:rsidRPr="00FB280D">
        <w:fldChar w:fldCharType="end"/>
      </w:r>
      <w:r w:rsidR="00030955">
        <w:t xml:space="preserve"> and </w:t>
      </w:r>
      <w:r w:rsidR="00030955">
        <w:fldChar w:fldCharType="begin"/>
      </w:r>
      <w:r w:rsidR="00030955">
        <w:instrText xml:space="preserve"> REF _Ref515980069 \h </w:instrText>
      </w:r>
      <w:r w:rsidR="00030955">
        <w:fldChar w:fldCharType="separate"/>
      </w:r>
      <w:r w:rsidR="00F87DF9">
        <w:rPr>
          <w:color w:val="000000"/>
        </w:rPr>
        <w:t xml:space="preserve">Table </w:t>
      </w:r>
      <w:r w:rsidR="00F87DF9">
        <w:rPr>
          <w:noProof/>
          <w:color w:val="000000"/>
        </w:rPr>
        <w:t>39</w:t>
      </w:r>
      <w:r w:rsidR="00030955">
        <w:fldChar w:fldCharType="end"/>
      </w:r>
      <w:r>
        <w:rPr>
          <w:i/>
        </w:rPr>
        <w:t xml:space="preserve">. </w:t>
      </w:r>
      <w:r w:rsidR="00364140" w:rsidRPr="00BA2BCE">
        <w:rPr>
          <w:i/>
          <w:color w:val="000000"/>
        </w:rPr>
        <w:t>^</w:t>
      </w:r>
      <w:r w:rsidR="00364140">
        <w:rPr>
          <w:i/>
          <w:color w:val="000000"/>
        </w:rPr>
        <w:t xml:space="preserve">denotes </w:t>
      </w:r>
      <w:r w:rsidR="000303CC">
        <w:rPr>
          <w:i/>
          <w:color w:val="000000"/>
        </w:rPr>
        <w:t xml:space="preserve">QPWS drop-camera </w:t>
      </w:r>
      <w:r w:rsidR="00364140">
        <w:rPr>
          <w:i/>
          <w:color w:val="000000"/>
        </w:rPr>
        <w:t>site.</w:t>
      </w:r>
      <w:r w:rsidR="00364140">
        <w:rPr>
          <w:i/>
        </w:rPr>
        <w:t xml:space="preserve"> </w:t>
      </w:r>
      <w:r>
        <w:rPr>
          <w:i/>
        </w:rPr>
        <w:t>NB: scores do not have units.</w:t>
      </w:r>
      <w:r w:rsidR="00BA2BCE">
        <w:rPr>
          <w:i/>
        </w:rPr>
        <w:t xml:space="preserve"> </w:t>
      </w:r>
    </w:p>
    <w:tbl>
      <w:tblPr>
        <w:tblW w:w="9318" w:type="dxa"/>
        <w:jc w:val="center"/>
        <w:tblLook w:val="04A0" w:firstRow="1" w:lastRow="0" w:firstColumn="1" w:lastColumn="0" w:noHBand="0" w:noVBand="1"/>
      </w:tblPr>
      <w:tblGrid>
        <w:gridCol w:w="1388"/>
        <w:gridCol w:w="1230"/>
        <w:gridCol w:w="560"/>
        <w:gridCol w:w="951"/>
        <w:gridCol w:w="815"/>
        <w:gridCol w:w="823"/>
        <w:gridCol w:w="967"/>
        <w:gridCol w:w="967"/>
        <w:gridCol w:w="967"/>
        <w:gridCol w:w="650"/>
      </w:tblGrid>
      <w:tr w:rsidR="006F4537" w14:paraId="24E3F673" w14:textId="77777777" w:rsidTr="006F4537">
        <w:trPr>
          <w:trHeight w:val="276"/>
          <w:jc w:val="center"/>
        </w:trPr>
        <w:tc>
          <w:tcPr>
            <w:tcW w:w="1388" w:type="dxa"/>
            <w:tcBorders>
              <w:top w:val="single" w:sz="4" w:space="0" w:color="auto"/>
              <w:left w:val="nil"/>
              <w:bottom w:val="single" w:sz="4" w:space="0" w:color="auto"/>
              <w:right w:val="nil"/>
            </w:tcBorders>
            <w:shd w:val="clear" w:color="auto" w:fill="BBE0E3"/>
            <w:noWrap/>
            <w:vAlign w:val="center"/>
            <w:hideMark/>
          </w:tcPr>
          <w:p w14:paraId="6A599CF7" w14:textId="77777777" w:rsidR="006F4537" w:rsidRDefault="006F4537" w:rsidP="006F4537">
            <w:pPr>
              <w:spacing w:before="0" w:after="0"/>
              <w:jc w:val="center"/>
              <w:rPr>
                <w:b/>
                <w:color w:val="000000"/>
                <w:sz w:val="16"/>
                <w:szCs w:val="16"/>
              </w:rPr>
            </w:pPr>
            <w:r>
              <w:rPr>
                <w:b/>
                <w:color w:val="000000"/>
                <w:sz w:val="16"/>
                <w:szCs w:val="16"/>
              </w:rPr>
              <w:t>Habitat</w:t>
            </w:r>
          </w:p>
        </w:tc>
        <w:tc>
          <w:tcPr>
            <w:tcW w:w="1230" w:type="dxa"/>
            <w:tcBorders>
              <w:top w:val="single" w:sz="4" w:space="0" w:color="auto"/>
              <w:left w:val="nil"/>
              <w:bottom w:val="single" w:sz="4" w:space="0" w:color="auto"/>
              <w:right w:val="nil"/>
            </w:tcBorders>
            <w:shd w:val="clear" w:color="auto" w:fill="BBE0E3"/>
            <w:noWrap/>
            <w:vAlign w:val="center"/>
            <w:hideMark/>
          </w:tcPr>
          <w:p w14:paraId="0AE7AF43" w14:textId="77777777" w:rsidR="006F4537" w:rsidRDefault="006F4537" w:rsidP="006F4537">
            <w:pPr>
              <w:spacing w:before="0" w:after="0"/>
              <w:jc w:val="center"/>
              <w:rPr>
                <w:b/>
                <w:color w:val="000000"/>
                <w:sz w:val="16"/>
                <w:szCs w:val="16"/>
              </w:rPr>
            </w:pPr>
            <w:r>
              <w:rPr>
                <w:b/>
                <w:color w:val="000000"/>
                <w:sz w:val="16"/>
                <w:szCs w:val="16"/>
              </w:rPr>
              <w:t>Location</w:t>
            </w:r>
          </w:p>
        </w:tc>
        <w:tc>
          <w:tcPr>
            <w:tcW w:w="560" w:type="dxa"/>
            <w:tcBorders>
              <w:top w:val="single" w:sz="4" w:space="0" w:color="auto"/>
              <w:left w:val="nil"/>
              <w:bottom w:val="single" w:sz="4" w:space="0" w:color="auto"/>
              <w:right w:val="nil"/>
            </w:tcBorders>
            <w:shd w:val="clear" w:color="auto" w:fill="BBE0E3"/>
            <w:noWrap/>
            <w:vAlign w:val="center"/>
            <w:hideMark/>
          </w:tcPr>
          <w:p w14:paraId="753B56A8" w14:textId="77777777" w:rsidR="006F4537" w:rsidRDefault="006F4537" w:rsidP="006F4537">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00786984" w14:textId="77777777" w:rsidR="006F4537" w:rsidRDefault="006F4537" w:rsidP="006F4537">
            <w:pPr>
              <w:spacing w:before="0" w:after="0"/>
              <w:jc w:val="center"/>
              <w:rPr>
                <w:b/>
                <w:color w:val="000000"/>
                <w:sz w:val="16"/>
                <w:szCs w:val="16"/>
              </w:rPr>
            </w:pPr>
            <w:r>
              <w:rPr>
                <w:b/>
                <w:color w:val="000000"/>
                <w:sz w:val="16"/>
                <w:szCs w:val="16"/>
              </w:rPr>
              <w:t>Seasonal</w:t>
            </w:r>
          </w:p>
          <w:p w14:paraId="26749172"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60FC877F" w14:textId="77777777" w:rsidR="006F4537" w:rsidRDefault="006F4537" w:rsidP="006F4537">
            <w:pPr>
              <w:spacing w:before="0" w:after="0"/>
              <w:jc w:val="center"/>
              <w:rPr>
                <w:b/>
                <w:color w:val="000000"/>
                <w:sz w:val="16"/>
                <w:szCs w:val="16"/>
              </w:rPr>
            </w:pPr>
            <w:r>
              <w:rPr>
                <w:b/>
                <w:color w:val="000000"/>
                <w:sz w:val="16"/>
                <w:szCs w:val="16"/>
              </w:rPr>
              <w:t>mean</w:t>
            </w:r>
          </w:p>
          <w:p w14:paraId="52E70A9C" w14:textId="6DF67F0B" w:rsidR="006F4537" w:rsidRDefault="0063478C" w:rsidP="006F4537">
            <w:pPr>
              <w:spacing w:before="0" w:after="0"/>
              <w:jc w:val="center"/>
              <w:rPr>
                <w:b/>
                <w:color w:val="000000"/>
                <w:sz w:val="16"/>
                <w:szCs w:val="16"/>
              </w:rPr>
            </w:pPr>
            <w:r>
              <w:rPr>
                <w:b/>
                <w:color w:val="000000"/>
                <w:sz w:val="16"/>
                <w:szCs w:val="16"/>
              </w:rPr>
              <w:t>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048EE163" w14:textId="77777777" w:rsidR="006F4537" w:rsidRDefault="006F4537" w:rsidP="006F4537">
            <w:pPr>
              <w:spacing w:before="0" w:after="0"/>
              <w:jc w:val="center"/>
              <w:rPr>
                <w:b/>
                <w:color w:val="000000"/>
                <w:sz w:val="16"/>
                <w:szCs w:val="16"/>
              </w:rPr>
            </w:pPr>
            <w:r>
              <w:rPr>
                <w:b/>
                <w:color w:val="000000"/>
                <w:sz w:val="16"/>
                <w:szCs w:val="16"/>
              </w:rPr>
              <w:t>median</w:t>
            </w:r>
          </w:p>
          <w:p w14:paraId="786936DA" w14:textId="3EB2ABCA"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967" w:type="dxa"/>
            <w:tcBorders>
              <w:top w:val="single" w:sz="4" w:space="0" w:color="auto"/>
              <w:left w:val="nil"/>
              <w:bottom w:val="single" w:sz="4" w:space="0" w:color="auto"/>
              <w:right w:val="nil"/>
            </w:tcBorders>
            <w:shd w:val="clear" w:color="auto" w:fill="BBE0E3"/>
            <w:noWrap/>
            <w:vAlign w:val="center"/>
            <w:hideMark/>
          </w:tcPr>
          <w:p w14:paraId="776A499F" w14:textId="77777777" w:rsidR="006F4537" w:rsidRDefault="006F4537" w:rsidP="006F4537">
            <w:pPr>
              <w:spacing w:before="0" w:after="0"/>
              <w:jc w:val="center"/>
              <w:rPr>
                <w:b/>
                <w:color w:val="000000"/>
                <w:sz w:val="16"/>
                <w:szCs w:val="16"/>
              </w:rPr>
            </w:pPr>
            <w:r>
              <w:rPr>
                <w:b/>
                <w:color w:val="000000"/>
                <w:sz w:val="16"/>
                <w:szCs w:val="16"/>
              </w:rPr>
              <w:t>Low</w:t>
            </w:r>
          </w:p>
          <w:p w14:paraId="43973F57" w14:textId="77777777" w:rsidR="006F4537" w:rsidRDefault="006F4537" w:rsidP="006F4537">
            <w:pPr>
              <w:spacing w:before="0" w:after="0"/>
              <w:jc w:val="center"/>
              <w:rPr>
                <w:b/>
                <w:color w:val="000000"/>
                <w:sz w:val="16"/>
                <w:szCs w:val="16"/>
              </w:rPr>
            </w:pPr>
            <w:r>
              <w:rPr>
                <w:b/>
                <w:color w:val="000000"/>
                <w:sz w:val="16"/>
                <w:szCs w:val="16"/>
              </w:rPr>
              <w:t>percentile</w:t>
            </w:r>
          </w:p>
        </w:tc>
        <w:tc>
          <w:tcPr>
            <w:tcW w:w="967" w:type="dxa"/>
            <w:tcBorders>
              <w:top w:val="single" w:sz="4" w:space="0" w:color="auto"/>
              <w:left w:val="nil"/>
              <w:bottom w:val="single" w:sz="4" w:space="0" w:color="auto"/>
              <w:right w:val="nil"/>
            </w:tcBorders>
            <w:shd w:val="clear" w:color="auto" w:fill="BBE0E3"/>
            <w:noWrap/>
            <w:vAlign w:val="center"/>
            <w:hideMark/>
          </w:tcPr>
          <w:p w14:paraId="1C65B9B6" w14:textId="77777777" w:rsidR="006F4537" w:rsidRDefault="006F4537" w:rsidP="006F4537">
            <w:pPr>
              <w:spacing w:before="0" w:after="0"/>
              <w:jc w:val="center"/>
              <w:rPr>
                <w:b/>
                <w:color w:val="000000"/>
                <w:sz w:val="16"/>
                <w:szCs w:val="16"/>
              </w:rPr>
            </w:pPr>
            <w:r>
              <w:rPr>
                <w:b/>
                <w:color w:val="000000"/>
                <w:sz w:val="16"/>
                <w:szCs w:val="16"/>
              </w:rPr>
              <w:t>50</w:t>
            </w:r>
            <w:r>
              <w:rPr>
                <w:b/>
                <w:color w:val="000000"/>
                <w:sz w:val="16"/>
                <w:szCs w:val="16"/>
                <w:vertAlign w:val="superscript"/>
              </w:rPr>
              <w:t>th</w:t>
            </w:r>
          </w:p>
          <w:p w14:paraId="05922B13" w14:textId="77777777" w:rsidR="006F4537" w:rsidRDefault="006F4537" w:rsidP="006F4537">
            <w:pPr>
              <w:spacing w:before="0" w:after="0"/>
              <w:jc w:val="center"/>
              <w:rPr>
                <w:b/>
                <w:color w:val="000000"/>
                <w:sz w:val="16"/>
                <w:szCs w:val="16"/>
              </w:rPr>
            </w:pPr>
            <w:r>
              <w:rPr>
                <w:b/>
                <w:color w:val="000000"/>
                <w:sz w:val="16"/>
                <w:szCs w:val="16"/>
              </w:rPr>
              <w:t>percentile</w:t>
            </w:r>
          </w:p>
        </w:tc>
        <w:tc>
          <w:tcPr>
            <w:tcW w:w="967" w:type="dxa"/>
            <w:tcBorders>
              <w:top w:val="single" w:sz="4" w:space="0" w:color="auto"/>
              <w:left w:val="nil"/>
              <w:bottom w:val="single" w:sz="4" w:space="0" w:color="auto"/>
              <w:right w:val="nil"/>
            </w:tcBorders>
            <w:shd w:val="clear" w:color="auto" w:fill="BBE0E3"/>
            <w:noWrap/>
            <w:vAlign w:val="center"/>
            <w:hideMark/>
          </w:tcPr>
          <w:p w14:paraId="538B34F8" w14:textId="77777777" w:rsidR="006F4537" w:rsidRDefault="006F4537" w:rsidP="006F4537">
            <w:pPr>
              <w:spacing w:before="0" w:after="0"/>
              <w:jc w:val="center"/>
              <w:rPr>
                <w:b/>
                <w:color w:val="000000"/>
                <w:sz w:val="16"/>
                <w:szCs w:val="16"/>
              </w:rPr>
            </w:pPr>
            <w:r>
              <w:rPr>
                <w:b/>
                <w:color w:val="000000"/>
                <w:sz w:val="16"/>
                <w:szCs w:val="16"/>
              </w:rPr>
              <w:t>75</w:t>
            </w:r>
            <w:r>
              <w:rPr>
                <w:b/>
                <w:color w:val="000000"/>
                <w:sz w:val="16"/>
                <w:szCs w:val="16"/>
                <w:vertAlign w:val="superscript"/>
              </w:rPr>
              <w:t>th</w:t>
            </w:r>
          </w:p>
          <w:p w14:paraId="1E7BE95C" w14:textId="77777777" w:rsidR="006F4537" w:rsidRDefault="006F4537" w:rsidP="006F4537">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bottom"/>
            <w:hideMark/>
          </w:tcPr>
          <w:p w14:paraId="12B42B0B" w14:textId="77777777" w:rsidR="006F4537" w:rsidRDefault="006F4537" w:rsidP="006F4537">
            <w:pPr>
              <w:spacing w:before="0" w:after="0"/>
              <w:jc w:val="center"/>
              <w:rPr>
                <w:color w:val="000000"/>
                <w:sz w:val="16"/>
                <w:szCs w:val="16"/>
              </w:rPr>
            </w:pPr>
            <w:r>
              <w:rPr>
                <w:b/>
                <w:color w:val="000000"/>
                <w:sz w:val="16"/>
                <w:szCs w:val="16"/>
              </w:rPr>
              <w:t>score</w:t>
            </w:r>
          </w:p>
        </w:tc>
      </w:tr>
      <w:tr w:rsidR="004F6BF1" w:rsidRPr="00ED6417" w14:paraId="2F1DB425" w14:textId="77777777" w:rsidTr="006F4537">
        <w:trPr>
          <w:jc w:val="center"/>
        </w:trPr>
        <w:tc>
          <w:tcPr>
            <w:tcW w:w="1388" w:type="dxa"/>
            <w:tcBorders>
              <w:top w:val="single" w:sz="4" w:space="0" w:color="auto"/>
              <w:left w:val="nil"/>
              <w:right w:val="nil"/>
            </w:tcBorders>
            <w:noWrap/>
            <w:vAlign w:val="bottom"/>
            <w:hideMark/>
          </w:tcPr>
          <w:p w14:paraId="58726F1F" w14:textId="77777777" w:rsidR="004F6BF1" w:rsidRPr="00ED6417" w:rsidRDefault="004F6BF1" w:rsidP="004F6BF1">
            <w:pPr>
              <w:spacing w:before="0" w:after="0"/>
              <w:jc w:val="center"/>
              <w:rPr>
                <w:sz w:val="16"/>
                <w:szCs w:val="16"/>
              </w:rPr>
            </w:pPr>
            <w:r w:rsidRPr="00ED6417">
              <w:rPr>
                <w:sz w:val="16"/>
                <w:szCs w:val="16"/>
              </w:rPr>
              <w:t>coastal intertidal</w:t>
            </w:r>
          </w:p>
        </w:tc>
        <w:tc>
          <w:tcPr>
            <w:tcW w:w="1230" w:type="dxa"/>
            <w:tcBorders>
              <w:top w:val="single" w:sz="4" w:space="0" w:color="auto"/>
              <w:left w:val="nil"/>
              <w:right w:val="nil"/>
            </w:tcBorders>
            <w:shd w:val="clear" w:color="auto" w:fill="E7F3F4"/>
            <w:noWrap/>
            <w:vAlign w:val="bottom"/>
            <w:hideMark/>
          </w:tcPr>
          <w:p w14:paraId="391DCDD5" w14:textId="77777777" w:rsidR="004F6BF1" w:rsidRPr="00ED6417" w:rsidRDefault="004F6BF1" w:rsidP="004F6BF1">
            <w:pPr>
              <w:spacing w:before="0" w:after="0"/>
              <w:jc w:val="center"/>
              <w:rPr>
                <w:sz w:val="16"/>
                <w:szCs w:val="16"/>
              </w:rPr>
            </w:pPr>
            <w:r w:rsidRPr="00ED6417">
              <w:rPr>
                <w:sz w:val="16"/>
                <w:szCs w:val="16"/>
              </w:rPr>
              <w:t>Bathurst Bay</w:t>
            </w:r>
          </w:p>
        </w:tc>
        <w:tc>
          <w:tcPr>
            <w:tcW w:w="560" w:type="dxa"/>
            <w:tcBorders>
              <w:top w:val="single" w:sz="4" w:space="0" w:color="auto"/>
              <w:left w:val="nil"/>
              <w:right w:val="nil"/>
            </w:tcBorders>
            <w:shd w:val="clear" w:color="auto" w:fill="E7F3F4"/>
            <w:noWrap/>
            <w:vAlign w:val="bottom"/>
            <w:hideMark/>
          </w:tcPr>
          <w:p w14:paraId="476E287D" w14:textId="77777777" w:rsidR="004F6BF1" w:rsidRPr="00ED6417" w:rsidRDefault="004F6BF1" w:rsidP="004F6BF1">
            <w:pPr>
              <w:spacing w:before="0" w:after="0"/>
              <w:jc w:val="center"/>
              <w:rPr>
                <w:sz w:val="16"/>
                <w:szCs w:val="16"/>
              </w:rPr>
            </w:pPr>
            <w:r w:rsidRPr="00ED6417">
              <w:rPr>
                <w:sz w:val="16"/>
                <w:szCs w:val="16"/>
              </w:rPr>
              <w:t>BY1</w:t>
            </w:r>
          </w:p>
        </w:tc>
        <w:tc>
          <w:tcPr>
            <w:tcW w:w="951" w:type="dxa"/>
            <w:tcBorders>
              <w:top w:val="single" w:sz="4" w:space="0" w:color="auto"/>
              <w:left w:val="nil"/>
              <w:right w:val="nil"/>
            </w:tcBorders>
            <w:shd w:val="clear" w:color="auto" w:fill="E7F3F4"/>
            <w:noWrap/>
            <w:vAlign w:val="bottom"/>
            <w:hideMark/>
          </w:tcPr>
          <w:p w14:paraId="68142185" w14:textId="2BD6A3A0" w:rsidR="004F6BF1" w:rsidRPr="00ED6417" w:rsidRDefault="004F6BF1" w:rsidP="004F6BF1">
            <w:pPr>
              <w:spacing w:before="0" w:after="0"/>
              <w:jc w:val="center"/>
              <w:rPr>
                <w:sz w:val="16"/>
                <w:szCs w:val="16"/>
              </w:rPr>
            </w:pPr>
            <w:r w:rsidRPr="00ED6417">
              <w:rPr>
                <w:sz w:val="16"/>
                <w:szCs w:val="16"/>
              </w:rPr>
              <w:t>01-Oct-16</w:t>
            </w:r>
          </w:p>
        </w:tc>
        <w:tc>
          <w:tcPr>
            <w:tcW w:w="815" w:type="dxa"/>
            <w:tcBorders>
              <w:top w:val="single" w:sz="4" w:space="0" w:color="auto"/>
              <w:left w:val="nil"/>
              <w:right w:val="nil"/>
            </w:tcBorders>
            <w:shd w:val="clear" w:color="auto" w:fill="E7F3F4"/>
            <w:noWrap/>
            <w:vAlign w:val="bottom"/>
            <w:hideMark/>
          </w:tcPr>
          <w:p w14:paraId="6756CA8C" w14:textId="7D62B262" w:rsidR="004F6BF1" w:rsidRPr="00ED6417" w:rsidRDefault="004F6BF1" w:rsidP="004F6BF1">
            <w:pPr>
              <w:spacing w:before="0" w:after="0"/>
              <w:jc w:val="center"/>
              <w:rPr>
                <w:sz w:val="16"/>
                <w:szCs w:val="16"/>
              </w:rPr>
            </w:pPr>
            <w:r w:rsidRPr="00ED6417">
              <w:rPr>
                <w:sz w:val="16"/>
                <w:szCs w:val="16"/>
              </w:rPr>
              <w:t>27.6</w:t>
            </w:r>
          </w:p>
        </w:tc>
        <w:tc>
          <w:tcPr>
            <w:tcW w:w="823" w:type="dxa"/>
            <w:tcBorders>
              <w:top w:val="single" w:sz="4" w:space="0" w:color="auto"/>
              <w:left w:val="nil"/>
              <w:right w:val="nil"/>
            </w:tcBorders>
            <w:shd w:val="clear" w:color="auto" w:fill="E7F3F4"/>
            <w:noWrap/>
            <w:vAlign w:val="bottom"/>
            <w:hideMark/>
          </w:tcPr>
          <w:p w14:paraId="07A557E5" w14:textId="2B58E566" w:rsidR="004F6BF1" w:rsidRPr="00ED6417" w:rsidRDefault="004F6BF1" w:rsidP="004F6BF1">
            <w:pPr>
              <w:spacing w:before="0" w:after="0"/>
              <w:jc w:val="center"/>
              <w:rPr>
                <w:sz w:val="16"/>
                <w:szCs w:val="16"/>
              </w:rPr>
            </w:pPr>
            <w:r w:rsidRPr="00ED6417">
              <w:rPr>
                <w:sz w:val="16"/>
                <w:szCs w:val="16"/>
              </w:rPr>
              <w:t>30</w:t>
            </w:r>
          </w:p>
        </w:tc>
        <w:tc>
          <w:tcPr>
            <w:tcW w:w="967" w:type="dxa"/>
            <w:tcBorders>
              <w:top w:val="single" w:sz="4" w:space="0" w:color="auto"/>
              <w:left w:val="nil"/>
              <w:right w:val="nil"/>
            </w:tcBorders>
            <w:shd w:val="clear" w:color="auto" w:fill="E7F3F4"/>
            <w:noWrap/>
            <w:vAlign w:val="bottom"/>
            <w:hideMark/>
          </w:tcPr>
          <w:p w14:paraId="6D29A968" w14:textId="23FD44A3" w:rsidR="004F6BF1" w:rsidRPr="00ED6417" w:rsidRDefault="004F6BF1" w:rsidP="004F6BF1">
            <w:pPr>
              <w:spacing w:before="0" w:after="0"/>
              <w:jc w:val="center"/>
              <w:rPr>
                <w:sz w:val="16"/>
                <w:szCs w:val="16"/>
              </w:rPr>
            </w:pPr>
            <w:r w:rsidRPr="00ED6417">
              <w:rPr>
                <w:sz w:val="16"/>
                <w:szCs w:val="16"/>
              </w:rPr>
              <w:t>6.6</w:t>
            </w:r>
          </w:p>
        </w:tc>
        <w:tc>
          <w:tcPr>
            <w:tcW w:w="967" w:type="dxa"/>
            <w:tcBorders>
              <w:top w:val="single" w:sz="4" w:space="0" w:color="auto"/>
              <w:left w:val="nil"/>
              <w:right w:val="nil"/>
            </w:tcBorders>
            <w:shd w:val="clear" w:color="auto" w:fill="E7F3F4"/>
            <w:noWrap/>
            <w:vAlign w:val="bottom"/>
            <w:hideMark/>
          </w:tcPr>
          <w:p w14:paraId="7254E3FA" w14:textId="74BCED19" w:rsidR="004F6BF1" w:rsidRPr="00ED6417" w:rsidRDefault="004F6BF1" w:rsidP="004F6BF1">
            <w:pPr>
              <w:spacing w:before="0" w:after="0"/>
              <w:jc w:val="center"/>
              <w:rPr>
                <w:sz w:val="16"/>
                <w:szCs w:val="16"/>
              </w:rPr>
            </w:pPr>
            <w:r w:rsidRPr="00ED6417">
              <w:rPr>
                <w:sz w:val="16"/>
                <w:szCs w:val="16"/>
              </w:rPr>
              <w:t>12.9</w:t>
            </w:r>
          </w:p>
        </w:tc>
        <w:tc>
          <w:tcPr>
            <w:tcW w:w="967" w:type="dxa"/>
            <w:tcBorders>
              <w:top w:val="single" w:sz="4" w:space="0" w:color="auto"/>
              <w:left w:val="nil"/>
              <w:right w:val="nil"/>
            </w:tcBorders>
            <w:shd w:val="clear" w:color="auto" w:fill="E7F3F4"/>
            <w:noWrap/>
            <w:vAlign w:val="bottom"/>
            <w:hideMark/>
          </w:tcPr>
          <w:p w14:paraId="3DBAEEEC" w14:textId="60BCB260" w:rsidR="004F6BF1" w:rsidRPr="00ED6417" w:rsidRDefault="004F6BF1" w:rsidP="004F6BF1">
            <w:pPr>
              <w:spacing w:before="0" w:after="0"/>
              <w:jc w:val="center"/>
              <w:rPr>
                <w:sz w:val="16"/>
                <w:szCs w:val="16"/>
              </w:rPr>
            </w:pPr>
            <w:r w:rsidRPr="00ED6417">
              <w:rPr>
                <w:sz w:val="16"/>
                <w:szCs w:val="16"/>
              </w:rPr>
              <w:t>14.8</w:t>
            </w:r>
          </w:p>
        </w:tc>
        <w:tc>
          <w:tcPr>
            <w:tcW w:w="650" w:type="dxa"/>
            <w:tcBorders>
              <w:top w:val="single" w:sz="4" w:space="0" w:color="auto"/>
              <w:left w:val="nil"/>
              <w:right w:val="nil"/>
            </w:tcBorders>
            <w:shd w:val="clear" w:color="auto" w:fill="E7F3F4"/>
            <w:noWrap/>
            <w:vAlign w:val="bottom"/>
            <w:hideMark/>
          </w:tcPr>
          <w:p w14:paraId="476CAC60" w14:textId="10F6E71D" w:rsidR="004F6BF1" w:rsidRPr="00ED6417" w:rsidRDefault="004F6BF1" w:rsidP="004F6BF1">
            <w:pPr>
              <w:spacing w:before="0" w:after="0"/>
              <w:jc w:val="center"/>
              <w:rPr>
                <w:sz w:val="16"/>
                <w:szCs w:val="16"/>
              </w:rPr>
            </w:pPr>
            <w:r w:rsidRPr="00ED6417">
              <w:rPr>
                <w:sz w:val="16"/>
                <w:szCs w:val="16"/>
              </w:rPr>
              <w:t>100</w:t>
            </w:r>
          </w:p>
        </w:tc>
      </w:tr>
      <w:tr w:rsidR="00ED6417" w:rsidRPr="00ED6417" w14:paraId="157C3084" w14:textId="77777777" w:rsidTr="006F4537">
        <w:trPr>
          <w:jc w:val="center"/>
        </w:trPr>
        <w:tc>
          <w:tcPr>
            <w:tcW w:w="1388" w:type="dxa"/>
            <w:noWrap/>
            <w:vAlign w:val="bottom"/>
          </w:tcPr>
          <w:p w14:paraId="12DD270E" w14:textId="77777777" w:rsidR="00ED6417" w:rsidRPr="00ED6417" w:rsidRDefault="00ED6417" w:rsidP="00ED6417">
            <w:pPr>
              <w:spacing w:before="0" w:after="0"/>
              <w:jc w:val="center"/>
              <w:rPr>
                <w:sz w:val="16"/>
                <w:szCs w:val="16"/>
              </w:rPr>
            </w:pPr>
          </w:p>
        </w:tc>
        <w:tc>
          <w:tcPr>
            <w:tcW w:w="1230" w:type="dxa"/>
            <w:tcBorders>
              <w:top w:val="nil"/>
              <w:left w:val="nil"/>
              <w:bottom w:val="single" w:sz="4" w:space="0" w:color="auto"/>
              <w:right w:val="nil"/>
            </w:tcBorders>
            <w:shd w:val="clear" w:color="auto" w:fill="E7F3F4"/>
            <w:noWrap/>
            <w:vAlign w:val="bottom"/>
          </w:tcPr>
          <w:p w14:paraId="492FF2EA" w14:textId="77777777" w:rsidR="00ED6417" w:rsidRPr="00ED6417" w:rsidRDefault="00ED6417" w:rsidP="00ED6417">
            <w:pPr>
              <w:spacing w:before="0" w:after="0"/>
              <w:jc w:val="center"/>
              <w:rPr>
                <w:sz w:val="16"/>
                <w:szCs w:val="16"/>
              </w:rPr>
            </w:pPr>
          </w:p>
        </w:tc>
        <w:tc>
          <w:tcPr>
            <w:tcW w:w="560" w:type="dxa"/>
            <w:tcBorders>
              <w:top w:val="nil"/>
              <w:left w:val="nil"/>
              <w:bottom w:val="single" w:sz="4" w:space="0" w:color="auto"/>
              <w:right w:val="nil"/>
            </w:tcBorders>
            <w:shd w:val="clear" w:color="auto" w:fill="E7F3F4"/>
            <w:noWrap/>
            <w:vAlign w:val="bottom"/>
            <w:hideMark/>
          </w:tcPr>
          <w:p w14:paraId="4F86E900" w14:textId="77777777" w:rsidR="00ED6417" w:rsidRPr="00ED6417" w:rsidRDefault="00ED6417" w:rsidP="00ED6417">
            <w:pPr>
              <w:spacing w:before="0" w:after="0"/>
              <w:jc w:val="center"/>
              <w:rPr>
                <w:sz w:val="16"/>
                <w:szCs w:val="16"/>
              </w:rPr>
            </w:pPr>
            <w:r w:rsidRPr="00ED6417">
              <w:rPr>
                <w:sz w:val="16"/>
                <w:szCs w:val="16"/>
              </w:rPr>
              <w:t>BY2</w:t>
            </w:r>
          </w:p>
        </w:tc>
        <w:tc>
          <w:tcPr>
            <w:tcW w:w="951" w:type="dxa"/>
            <w:tcBorders>
              <w:top w:val="nil"/>
              <w:left w:val="nil"/>
              <w:bottom w:val="single" w:sz="4" w:space="0" w:color="auto"/>
              <w:right w:val="nil"/>
            </w:tcBorders>
            <w:shd w:val="clear" w:color="auto" w:fill="E7F3F4"/>
            <w:noWrap/>
            <w:vAlign w:val="bottom"/>
            <w:hideMark/>
          </w:tcPr>
          <w:p w14:paraId="05A597B8" w14:textId="19C0A94D" w:rsidR="00ED6417" w:rsidRPr="00ED6417" w:rsidRDefault="00ED6417" w:rsidP="00ED6417">
            <w:pPr>
              <w:spacing w:before="0" w:after="0"/>
              <w:jc w:val="center"/>
              <w:rPr>
                <w:sz w:val="16"/>
                <w:szCs w:val="16"/>
              </w:rPr>
            </w:pPr>
            <w:r w:rsidRPr="00ED6417">
              <w:rPr>
                <w:sz w:val="16"/>
                <w:szCs w:val="16"/>
              </w:rPr>
              <w:t>01-Oct-16</w:t>
            </w:r>
          </w:p>
        </w:tc>
        <w:tc>
          <w:tcPr>
            <w:tcW w:w="815" w:type="dxa"/>
            <w:tcBorders>
              <w:top w:val="nil"/>
              <w:left w:val="nil"/>
              <w:bottom w:val="single" w:sz="4" w:space="0" w:color="auto"/>
              <w:right w:val="nil"/>
            </w:tcBorders>
            <w:shd w:val="clear" w:color="auto" w:fill="E7F3F4"/>
            <w:noWrap/>
            <w:vAlign w:val="bottom"/>
            <w:hideMark/>
          </w:tcPr>
          <w:p w14:paraId="3CBA24D7" w14:textId="73FE5DED" w:rsidR="00ED6417" w:rsidRPr="00ED6417" w:rsidRDefault="00ED6417" w:rsidP="00ED6417">
            <w:pPr>
              <w:spacing w:before="0" w:after="0"/>
              <w:jc w:val="center"/>
              <w:rPr>
                <w:sz w:val="16"/>
                <w:szCs w:val="16"/>
              </w:rPr>
            </w:pPr>
            <w:r w:rsidRPr="00ED6417">
              <w:rPr>
                <w:sz w:val="16"/>
                <w:szCs w:val="16"/>
              </w:rPr>
              <w:t>24.9</w:t>
            </w:r>
          </w:p>
        </w:tc>
        <w:tc>
          <w:tcPr>
            <w:tcW w:w="823" w:type="dxa"/>
            <w:tcBorders>
              <w:top w:val="nil"/>
              <w:left w:val="nil"/>
              <w:bottom w:val="single" w:sz="4" w:space="0" w:color="auto"/>
              <w:right w:val="nil"/>
            </w:tcBorders>
            <w:shd w:val="clear" w:color="auto" w:fill="E7F3F4"/>
            <w:noWrap/>
            <w:vAlign w:val="bottom"/>
            <w:hideMark/>
          </w:tcPr>
          <w:p w14:paraId="4C243262" w14:textId="6E182715" w:rsidR="00ED6417" w:rsidRPr="00ED6417" w:rsidRDefault="00ED6417" w:rsidP="00ED6417">
            <w:pPr>
              <w:spacing w:before="0" w:after="0"/>
              <w:jc w:val="center"/>
              <w:rPr>
                <w:sz w:val="16"/>
                <w:szCs w:val="16"/>
              </w:rPr>
            </w:pPr>
            <w:r w:rsidRPr="00ED6417">
              <w:rPr>
                <w:sz w:val="16"/>
                <w:szCs w:val="16"/>
              </w:rPr>
              <w:t>24.5</w:t>
            </w:r>
          </w:p>
        </w:tc>
        <w:tc>
          <w:tcPr>
            <w:tcW w:w="967" w:type="dxa"/>
            <w:tcBorders>
              <w:top w:val="nil"/>
              <w:left w:val="nil"/>
              <w:bottom w:val="single" w:sz="4" w:space="0" w:color="auto"/>
              <w:right w:val="nil"/>
            </w:tcBorders>
            <w:shd w:val="clear" w:color="auto" w:fill="E7F3F4"/>
            <w:noWrap/>
            <w:vAlign w:val="bottom"/>
            <w:hideMark/>
          </w:tcPr>
          <w:p w14:paraId="23ADB11F" w14:textId="30F9E197" w:rsidR="00ED6417" w:rsidRPr="00ED6417" w:rsidRDefault="00ED6417" w:rsidP="00ED6417">
            <w:pPr>
              <w:spacing w:before="0" w:after="0"/>
              <w:jc w:val="center"/>
              <w:rPr>
                <w:sz w:val="16"/>
                <w:szCs w:val="16"/>
              </w:rPr>
            </w:pPr>
            <w:r w:rsidRPr="00ED6417">
              <w:rPr>
                <w:sz w:val="16"/>
                <w:szCs w:val="16"/>
              </w:rPr>
              <w:t>6.6</w:t>
            </w:r>
          </w:p>
        </w:tc>
        <w:tc>
          <w:tcPr>
            <w:tcW w:w="967" w:type="dxa"/>
            <w:tcBorders>
              <w:top w:val="nil"/>
              <w:left w:val="nil"/>
              <w:bottom w:val="single" w:sz="4" w:space="0" w:color="auto"/>
              <w:right w:val="nil"/>
            </w:tcBorders>
            <w:shd w:val="clear" w:color="auto" w:fill="E7F3F4"/>
            <w:noWrap/>
            <w:vAlign w:val="bottom"/>
            <w:hideMark/>
          </w:tcPr>
          <w:p w14:paraId="5970ABBB" w14:textId="06E336F5" w:rsidR="00ED6417" w:rsidRPr="00ED6417" w:rsidRDefault="00ED6417" w:rsidP="00ED6417">
            <w:pPr>
              <w:spacing w:before="0" w:after="0"/>
              <w:jc w:val="center"/>
              <w:rPr>
                <w:sz w:val="16"/>
                <w:szCs w:val="16"/>
              </w:rPr>
            </w:pPr>
            <w:r w:rsidRPr="00ED6417">
              <w:rPr>
                <w:sz w:val="16"/>
                <w:szCs w:val="16"/>
              </w:rPr>
              <w:t>12.9</w:t>
            </w:r>
          </w:p>
        </w:tc>
        <w:tc>
          <w:tcPr>
            <w:tcW w:w="967" w:type="dxa"/>
            <w:tcBorders>
              <w:top w:val="nil"/>
              <w:left w:val="nil"/>
              <w:bottom w:val="single" w:sz="4" w:space="0" w:color="auto"/>
              <w:right w:val="nil"/>
            </w:tcBorders>
            <w:shd w:val="clear" w:color="auto" w:fill="E7F3F4"/>
            <w:noWrap/>
            <w:vAlign w:val="bottom"/>
            <w:hideMark/>
          </w:tcPr>
          <w:p w14:paraId="52790AFC" w14:textId="40B68384" w:rsidR="00ED6417" w:rsidRPr="00ED6417" w:rsidRDefault="00ED6417" w:rsidP="00ED6417">
            <w:pPr>
              <w:spacing w:before="0" w:after="0"/>
              <w:jc w:val="center"/>
              <w:rPr>
                <w:sz w:val="16"/>
                <w:szCs w:val="16"/>
              </w:rPr>
            </w:pPr>
            <w:r w:rsidRPr="00ED6417">
              <w:rPr>
                <w:sz w:val="16"/>
                <w:szCs w:val="16"/>
              </w:rPr>
              <w:t>14.8</w:t>
            </w:r>
          </w:p>
        </w:tc>
        <w:tc>
          <w:tcPr>
            <w:tcW w:w="650" w:type="dxa"/>
            <w:tcBorders>
              <w:top w:val="nil"/>
              <w:left w:val="nil"/>
              <w:bottom w:val="single" w:sz="4" w:space="0" w:color="auto"/>
              <w:right w:val="nil"/>
            </w:tcBorders>
            <w:shd w:val="clear" w:color="auto" w:fill="E7F3F4"/>
            <w:noWrap/>
            <w:vAlign w:val="bottom"/>
            <w:hideMark/>
          </w:tcPr>
          <w:p w14:paraId="08A74E86" w14:textId="1654B36D" w:rsidR="00ED6417" w:rsidRPr="00ED6417" w:rsidRDefault="00ED6417" w:rsidP="00ED6417">
            <w:pPr>
              <w:spacing w:before="0" w:after="0"/>
              <w:jc w:val="center"/>
              <w:rPr>
                <w:sz w:val="16"/>
                <w:szCs w:val="16"/>
              </w:rPr>
            </w:pPr>
            <w:r w:rsidRPr="00ED6417">
              <w:rPr>
                <w:sz w:val="16"/>
                <w:szCs w:val="16"/>
              </w:rPr>
              <w:t>100</w:t>
            </w:r>
          </w:p>
        </w:tc>
      </w:tr>
      <w:tr w:rsidR="006F4537" w:rsidRPr="00ED6417" w14:paraId="59EE0A11" w14:textId="77777777" w:rsidTr="00ED6417">
        <w:trPr>
          <w:jc w:val="center"/>
        </w:trPr>
        <w:tc>
          <w:tcPr>
            <w:tcW w:w="1388" w:type="dxa"/>
            <w:noWrap/>
            <w:vAlign w:val="bottom"/>
          </w:tcPr>
          <w:p w14:paraId="585DF684" w14:textId="77777777" w:rsidR="006F4537" w:rsidRPr="00ED6417" w:rsidRDefault="006F4537" w:rsidP="006F4537">
            <w:pPr>
              <w:spacing w:before="0" w:after="0"/>
              <w:jc w:val="center"/>
              <w:rPr>
                <w:color w:val="000000"/>
                <w:sz w:val="16"/>
                <w:szCs w:val="16"/>
              </w:rPr>
            </w:pPr>
          </w:p>
        </w:tc>
        <w:tc>
          <w:tcPr>
            <w:tcW w:w="1230" w:type="dxa"/>
            <w:tcBorders>
              <w:top w:val="single" w:sz="4" w:space="0" w:color="auto"/>
              <w:left w:val="nil"/>
              <w:right w:val="nil"/>
            </w:tcBorders>
            <w:shd w:val="clear" w:color="auto" w:fill="F3F9FA"/>
            <w:noWrap/>
            <w:vAlign w:val="bottom"/>
            <w:hideMark/>
          </w:tcPr>
          <w:p w14:paraId="27C7197F" w14:textId="77777777" w:rsidR="006F4537" w:rsidRPr="00ED6417" w:rsidRDefault="006F4537" w:rsidP="006F4537">
            <w:pPr>
              <w:spacing w:before="0" w:after="0"/>
              <w:jc w:val="center"/>
              <w:rPr>
                <w:color w:val="000000"/>
                <w:sz w:val="16"/>
                <w:szCs w:val="16"/>
              </w:rPr>
            </w:pPr>
            <w:r w:rsidRPr="00ED6417">
              <w:rPr>
                <w:color w:val="000000"/>
                <w:sz w:val="16"/>
                <w:szCs w:val="16"/>
              </w:rPr>
              <w:t>Shelburne Bay</w:t>
            </w:r>
          </w:p>
        </w:tc>
        <w:tc>
          <w:tcPr>
            <w:tcW w:w="560" w:type="dxa"/>
            <w:tcBorders>
              <w:top w:val="single" w:sz="4" w:space="0" w:color="auto"/>
              <w:left w:val="nil"/>
              <w:right w:val="nil"/>
            </w:tcBorders>
            <w:shd w:val="clear" w:color="auto" w:fill="F3F9FA"/>
            <w:noWrap/>
            <w:vAlign w:val="bottom"/>
            <w:hideMark/>
          </w:tcPr>
          <w:p w14:paraId="1C29D410" w14:textId="77777777" w:rsidR="006F4537" w:rsidRPr="00ED6417" w:rsidRDefault="006F4537" w:rsidP="006F4537">
            <w:pPr>
              <w:spacing w:before="0" w:after="0"/>
              <w:jc w:val="center"/>
              <w:rPr>
                <w:sz w:val="16"/>
                <w:szCs w:val="16"/>
              </w:rPr>
            </w:pPr>
            <w:r w:rsidRPr="00ED6417">
              <w:rPr>
                <w:sz w:val="16"/>
                <w:szCs w:val="16"/>
              </w:rPr>
              <w:t>SR1</w:t>
            </w:r>
          </w:p>
        </w:tc>
        <w:tc>
          <w:tcPr>
            <w:tcW w:w="951" w:type="dxa"/>
            <w:tcBorders>
              <w:top w:val="single" w:sz="4" w:space="0" w:color="auto"/>
              <w:left w:val="nil"/>
              <w:right w:val="nil"/>
            </w:tcBorders>
            <w:shd w:val="clear" w:color="auto" w:fill="F3F9FA"/>
            <w:noWrap/>
            <w:vAlign w:val="bottom"/>
            <w:hideMark/>
          </w:tcPr>
          <w:p w14:paraId="0BB922C3" w14:textId="61154085" w:rsidR="006F4537" w:rsidRPr="00ED6417" w:rsidRDefault="006F4537" w:rsidP="00ED6417">
            <w:pPr>
              <w:spacing w:before="0" w:after="0"/>
              <w:jc w:val="center"/>
              <w:rPr>
                <w:sz w:val="16"/>
                <w:szCs w:val="16"/>
              </w:rPr>
            </w:pPr>
            <w:r w:rsidRPr="00ED6417">
              <w:rPr>
                <w:sz w:val="16"/>
                <w:szCs w:val="16"/>
              </w:rPr>
              <w:t>01-Oct-1</w:t>
            </w:r>
            <w:r w:rsidR="00ED6417" w:rsidRPr="00ED6417">
              <w:rPr>
                <w:sz w:val="16"/>
                <w:szCs w:val="16"/>
              </w:rPr>
              <w:t>6</w:t>
            </w:r>
          </w:p>
        </w:tc>
        <w:tc>
          <w:tcPr>
            <w:tcW w:w="815" w:type="dxa"/>
            <w:tcBorders>
              <w:top w:val="single" w:sz="4" w:space="0" w:color="auto"/>
              <w:left w:val="nil"/>
              <w:right w:val="nil"/>
            </w:tcBorders>
            <w:shd w:val="clear" w:color="auto" w:fill="F3F9FA"/>
            <w:noWrap/>
            <w:vAlign w:val="bottom"/>
          </w:tcPr>
          <w:p w14:paraId="5877481D" w14:textId="6F6BE655" w:rsidR="006F4537" w:rsidRPr="00ED6417" w:rsidRDefault="006F4537" w:rsidP="006F4537">
            <w:pPr>
              <w:spacing w:before="0" w:after="0"/>
              <w:jc w:val="center"/>
              <w:rPr>
                <w:sz w:val="16"/>
                <w:szCs w:val="16"/>
              </w:rPr>
            </w:pPr>
          </w:p>
        </w:tc>
        <w:tc>
          <w:tcPr>
            <w:tcW w:w="823" w:type="dxa"/>
            <w:tcBorders>
              <w:top w:val="single" w:sz="4" w:space="0" w:color="auto"/>
              <w:left w:val="nil"/>
              <w:right w:val="nil"/>
            </w:tcBorders>
            <w:shd w:val="clear" w:color="auto" w:fill="F3F9FA"/>
            <w:noWrap/>
            <w:vAlign w:val="bottom"/>
          </w:tcPr>
          <w:p w14:paraId="73165FFE" w14:textId="6FF39A1B" w:rsidR="006F4537" w:rsidRPr="00ED6417" w:rsidRDefault="006F4537" w:rsidP="006F4537">
            <w:pPr>
              <w:spacing w:before="0" w:after="0"/>
              <w:jc w:val="center"/>
              <w:rPr>
                <w:sz w:val="16"/>
                <w:szCs w:val="16"/>
              </w:rPr>
            </w:pPr>
          </w:p>
        </w:tc>
        <w:tc>
          <w:tcPr>
            <w:tcW w:w="967" w:type="dxa"/>
            <w:tcBorders>
              <w:top w:val="single" w:sz="4" w:space="0" w:color="auto"/>
              <w:left w:val="nil"/>
              <w:right w:val="nil"/>
            </w:tcBorders>
            <w:shd w:val="clear" w:color="auto" w:fill="F3F9FA"/>
            <w:noWrap/>
            <w:vAlign w:val="bottom"/>
          </w:tcPr>
          <w:p w14:paraId="3C6D7CD9" w14:textId="618CC1CC" w:rsidR="006F4537" w:rsidRPr="00ED6417" w:rsidRDefault="006F4537" w:rsidP="006F4537">
            <w:pPr>
              <w:spacing w:before="0" w:after="0"/>
              <w:jc w:val="center"/>
              <w:rPr>
                <w:sz w:val="16"/>
                <w:szCs w:val="16"/>
              </w:rPr>
            </w:pPr>
          </w:p>
        </w:tc>
        <w:tc>
          <w:tcPr>
            <w:tcW w:w="967" w:type="dxa"/>
            <w:tcBorders>
              <w:top w:val="single" w:sz="4" w:space="0" w:color="auto"/>
              <w:left w:val="nil"/>
              <w:right w:val="nil"/>
            </w:tcBorders>
            <w:shd w:val="clear" w:color="auto" w:fill="F3F9FA"/>
            <w:noWrap/>
            <w:vAlign w:val="bottom"/>
          </w:tcPr>
          <w:p w14:paraId="4F5B681F" w14:textId="1E5C9A00" w:rsidR="006F4537" w:rsidRPr="00ED6417" w:rsidRDefault="006F4537" w:rsidP="006F4537">
            <w:pPr>
              <w:spacing w:before="0" w:after="0"/>
              <w:jc w:val="center"/>
              <w:rPr>
                <w:sz w:val="16"/>
                <w:szCs w:val="16"/>
              </w:rPr>
            </w:pPr>
          </w:p>
        </w:tc>
        <w:tc>
          <w:tcPr>
            <w:tcW w:w="967" w:type="dxa"/>
            <w:tcBorders>
              <w:top w:val="single" w:sz="4" w:space="0" w:color="auto"/>
              <w:left w:val="nil"/>
              <w:right w:val="nil"/>
            </w:tcBorders>
            <w:shd w:val="clear" w:color="auto" w:fill="F3F9FA"/>
            <w:noWrap/>
            <w:vAlign w:val="bottom"/>
          </w:tcPr>
          <w:p w14:paraId="00B65E8F" w14:textId="4426C4E7" w:rsidR="006F4537" w:rsidRPr="00ED6417" w:rsidRDefault="006F4537" w:rsidP="006F4537">
            <w:pPr>
              <w:spacing w:before="0" w:after="0"/>
              <w:jc w:val="center"/>
              <w:rPr>
                <w:sz w:val="16"/>
                <w:szCs w:val="16"/>
              </w:rPr>
            </w:pPr>
          </w:p>
        </w:tc>
        <w:tc>
          <w:tcPr>
            <w:tcW w:w="650" w:type="dxa"/>
            <w:tcBorders>
              <w:top w:val="single" w:sz="4" w:space="0" w:color="auto"/>
              <w:left w:val="nil"/>
              <w:right w:val="nil"/>
            </w:tcBorders>
            <w:shd w:val="clear" w:color="auto" w:fill="F3F9FA"/>
            <w:noWrap/>
            <w:vAlign w:val="bottom"/>
          </w:tcPr>
          <w:p w14:paraId="6F5639A3" w14:textId="3E86603C" w:rsidR="006F4537" w:rsidRPr="00ED6417" w:rsidRDefault="006F4537" w:rsidP="006F4537">
            <w:pPr>
              <w:spacing w:before="0" w:after="0"/>
              <w:jc w:val="center"/>
              <w:rPr>
                <w:sz w:val="16"/>
                <w:szCs w:val="16"/>
              </w:rPr>
            </w:pPr>
          </w:p>
        </w:tc>
      </w:tr>
      <w:tr w:rsidR="006F4537" w:rsidRPr="00ED6417" w14:paraId="51B35F8E" w14:textId="77777777" w:rsidTr="00ED6417">
        <w:trPr>
          <w:jc w:val="center"/>
        </w:trPr>
        <w:tc>
          <w:tcPr>
            <w:tcW w:w="1388" w:type="dxa"/>
            <w:tcBorders>
              <w:top w:val="nil"/>
              <w:left w:val="nil"/>
              <w:bottom w:val="single" w:sz="4" w:space="0" w:color="auto"/>
              <w:right w:val="nil"/>
            </w:tcBorders>
            <w:noWrap/>
            <w:vAlign w:val="bottom"/>
          </w:tcPr>
          <w:p w14:paraId="1C050A1E" w14:textId="77777777" w:rsidR="006F4537" w:rsidRPr="00ED6417" w:rsidRDefault="006F4537" w:rsidP="006F4537">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F3F9FA"/>
            <w:noWrap/>
            <w:vAlign w:val="bottom"/>
          </w:tcPr>
          <w:p w14:paraId="0861CF82" w14:textId="77777777" w:rsidR="006F4537" w:rsidRPr="00ED6417" w:rsidRDefault="006F4537" w:rsidP="006F4537">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14:paraId="2B6260F4" w14:textId="77777777" w:rsidR="006F4537" w:rsidRPr="00ED6417" w:rsidRDefault="006F4537" w:rsidP="006F4537">
            <w:pPr>
              <w:spacing w:before="0" w:after="0"/>
              <w:jc w:val="center"/>
              <w:rPr>
                <w:sz w:val="16"/>
                <w:szCs w:val="16"/>
              </w:rPr>
            </w:pPr>
            <w:r w:rsidRPr="00ED6417">
              <w:rPr>
                <w:sz w:val="16"/>
                <w:szCs w:val="16"/>
              </w:rPr>
              <w:t>SR2</w:t>
            </w:r>
          </w:p>
        </w:tc>
        <w:tc>
          <w:tcPr>
            <w:tcW w:w="951" w:type="dxa"/>
            <w:tcBorders>
              <w:top w:val="nil"/>
              <w:left w:val="nil"/>
              <w:bottom w:val="single" w:sz="4" w:space="0" w:color="auto"/>
              <w:right w:val="nil"/>
            </w:tcBorders>
            <w:shd w:val="clear" w:color="auto" w:fill="F3F9FA"/>
            <w:noWrap/>
            <w:vAlign w:val="bottom"/>
            <w:hideMark/>
          </w:tcPr>
          <w:p w14:paraId="782E495A" w14:textId="02F2FAA6" w:rsidR="006F4537" w:rsidRPr="00ED6417" w:rsidRDefault="00ED6417" w:rsidP="006F4537">
            <w:pPr>
              <w:spacing w:before="0" w:after="0"/>
              <w:jc w:val="center"/>
              <w:rPr>
                <w:sz w:val="16"/>
                <w:szCs w:val="16"/>
              </w:rPr>
            </w:pPr>
            <w:r w:rsidRPr="00ED6417">
              <w:rPr>
                <w:sz w:val="16"/>
                <w:szCs w:val="16"/>
              </w:rPr>
              <w:t>01-Oct-16</w:t>
            </w:r>
          </w:p>
        </w:tc>
        <w:tc>
          <w:tcPr>
            <w:tcW w:w="815" w:type="dxa"/>
            <w:tcBorders>
              <w:top w:val="nil"/>
              <w:left w:val="nil"/>
              <w:bottom w:val="single" w:sz="4" w:space="0" w:color="auto"/>
              <w:right w:val="nil"/>
            </w:tcBorders>
            <w:shd w:val="clear" w:color="auto" w:fill="F3F9FA"/>
            <w:noWrap/>
            <w:vAlign w:val="bottom"/>
          </w:tcPr>
          <w:p w14:paraId="22C1044C" w14:textId="0A71FC39" w:rsidR="006F4537" w:rsidRPr="00ED6417" w:rsidRDefault="006F4537" w:rsidP="006F4537">
            <w:pPr>
              <w:spacing w:before="0" w:after="0"/>
              <w:jc w:val="center"/>
              <w:rPr>
                <w:sz w:val="16"/>
                <w:szCs w:val="16"/>
              </w:rPr>
            </w:pPr>
          </w:p>
        </w:tc>
        <w:tc>
          <w:tcPr>
            <w:tcW w:w="823" w:type="dxa"/>
            <w:tcBorders>
              <w:top w:val="nil"/>
              <w:left w:val="nil"/>
              <w:bottom w:val="single" w:sz="4" w:space="0" w:color="auto"/>
              <w:right w:val="nil"/>
            </w:tcBorders>
            <w:shd w:val="clear" w:color="auto" w:fill="F3F9FA"/>
            <w:noWrap/>
            <w:vAlign w:val="bottom"/>
          </w:tcPr>
          <w:p w14:paraId="61CEA229" w14:textId="679CEE61" w:rsidR="006F4537" w:rsidRPr="00ED6417" w:rsidRDefault="006F4537" w:rsidP="006F4537">
            <w:pPr>
              <w:spacing w:before="0" w:after="0"/>
              <w:jc w:val="center"/>
              <w:rPr>
                <w:sz w:val="16"/>
                <w:szCs w:val="16"/>
              </w:rPr>
            </w:pPr>
          </w:p>
        </w:tc>
        <w:tc>
          <w:tcPr>
            <w:tcW w:w="967" w:type="dxa"/>
            <w:tcBorders>
              <w:top w:val="nil"/>
              <w:left w:val="nil"/>
              <w:bottom w:val="single" w:sz="4" w:space="0" w:color="auto"/>
              <w:right w:val="nil"/>
            </w:tcBorders>
            <w:shd w:val="clear" w:color="auto" w:fill="F3F9FA"/>
            <w:noWrap/>
            <w:vAlign w:val="bottom"/>
          </w:tcPr>
          <w:p w14:paraId="4F2FF4D5" w14:textId="579AC5A3" w:rsidR="006F4537" w:rsidRPr="00ED6417" w:rsidRDefault="006F4537" w:rsidP="006F4537">
            <w:pPr>
              <w:spacing w:before="0" w:after="0"/>
              <w:jc w:val="center"/>
              <w:rPr>
                <w:sz w:val="16"/>
                <w:szCs w:val="16"/>
              </w:rPr>
            </w:pPr>
          </w:p>
        </w:tc>
        <w:tc>
          <w:tcPr>
            <w:tcW w:w="967" w:type="dxa"/>
            <w:tcBorders>
              <w:top w:val="nil"/>
              <w:left w:val="nil"/>
              <w:bottom w:val="single" w:sz="4" w:space="0" w:color="auto"/>
              <w:right w:val="nil"/>
            </w:tcBorders>
            <w:shd w:val="clear" w:color="auto" w:fill="F3F9FA"/>
            <w:noWrap/>
            <w:vAlign w:val="bottom"/>
          </w:tcPr>
          <w:p w14:paraId="7DD06578" w14:textId="3E4AD359" w:rsidR="006F4537" w:rsidRPr="00ED6417" w:rsidRDefault="006F4537" w:rsidP="006F4537">
            <w:pPr>
              <w:spacing w:before="0" w:after="0"/>
              <w:jc w:val="center"/>
              <w:rPr>
                <w:sz w:val="16"/>
                <w:szCs w:val="16"/>
              </w:rPr>
            </w:pPr>
          </w:p>
        </w:tc>
        <w:tc>
          <w:tcPr>
            <w:tcW w:w="967" w:type="dxa"/>
            <w:tcBorders>
              <w:top w:val="nil"/>
              <w:left w:val="nil"/>
              <w:bottom w:val="single" w:sz="4" w:space="0" w:color="auto"/>
              <w:right w:val="nil"/>
            </w:tcBorders>
            <w:shd w:val="clear" w:color="auto" w:fill="F3F9FA"/>
            <w:noWrap/>
            <w:vAlign w:val="bottom"/>
          </w:tcPr>
          <w:p w14:paraId="3ED1A17B" w14:textId="007C5EBB" w:rsidR="006F4537" w:rsidRPr="00ED6417" w:rsidRDefault="006F4537" w:rsidP="006F4537">
            <w:pPr>
              <w:spacing w:before="0" w:after="0"/>
              <w:jc w:val="center"/>
              <w:rPr>
                <w:sz w:val="16"/>
                <w:szCs w:val="16"/>
              </w:rPr>
            </w:pPr>
          </w:p>
        </w:tc>
        <w:tc>
          <w:tcPr>
            <w:tcW w:w="650" w:type="dxa"/>
            <w:tcBorders>
              <w:top w:val="nil"/>
              <w:left w:val="nil"/>
              <w:bottom w:val="single" w:sz="4" w:space="0" w:color="auto"/>
              <w:right w:val="nil"/>
            </w:tcBorders>
            <w:shd w:val="clear" w:color="auto" w:fill="F3F9FA"/>
            <w:noWrap/>
            <w:vAlign w:val="bottom"/>
          </w:tcPr>
          <w:p w14:paraId="0B2CD350" w14:textId="197033B5" w:rsidR="006F4537" w:rsidRPr="00ED6417" w:rsidRDefault="006F4537" w:rsidP="006F4537">
            <w:pPr>
              <w:spacing w:before="0" w:after="0"/>
              <w:jc w:val="center"/>
              <w:rPr>
                <w:sz w:val="16"/>
                <w:szCs w:val="16"/>
              </w:rPr>
            </w:pPr>
          </w:p>
        </w:tc>
      </w:tr>
      <w:tr w:rsidR="00ED6417" w:rsidRPr="00ED6417" w14:paraId="1850094E" w14:textId="77777777" w:rsidTr="006F4537">
        <w:trPr>
          <w:jc w:val="center"/>
        </w:trPr>
        <w:tc>
          <w:tcPr>
            <w:tcW w:w="1388" w:type="dxa"/>
            <w:tcBorders>
              <w:top w:val="single" w:sz="4" w:space="0" w:color="auto"/>
              <w:left w:val="nil"/>
              <w:right w:val="nil"/>
            </w:tcBorders>
            <w:noWrap/>
            <w:vAlign w:val="bottom"/>
          </w:tcPr>
          <w:p w14:paraId="6965ACF7" w14:textId="77777777" w:rsidR="00ED6417" w:rsidRPr="00ED6417" w:rsidRDefault="00ED6417" w:rsidP="00ED6417">
            <w:pPr>
              <w:spacing w:before="0" w:after="0"/>
              <w:jc w:val="center"/>
              <w:rPr>
                <w:color w:val="000000"/>
                <w:sz w:val="16"/>
                <w:szCs w:val="16"/>
              </w:rPr>
            </w:pPr>
            <w:r w:rsidRPr="00ED6417">
              <w:rPr>
                <w:color w:val="000000"/>
                <w:sz w:val="16"/>
                <w:szCs w:val="16"/>
              </w:rPr>
              <w:t>coastal subtidal</w:t>
            </w:r>
          </w:p>
        </w:tc>
        <w:tc>
          <w:tcPr>
            <w:tcW w:w="1230" w:type="dxa"/>
            <w:tcBorders>
              <w:top w:val="single" w:sz="4" w:space="0" w:color="auto"/>
              <w:left w:val="nil"/>
              <w:right w:val="nil"/>
            </w:tcBorders>
            <w:shd w:val="clear" w:color="auto" w:fill="E7F3F4"/>
            <w:noWrap/>
            <w:vAlign w:val="bottom"/>
          </w:tcPr>
          <w:p w14:paraId="7CA96C86" w14:textId="77777777" w:rsidR="00ED6417" w:rsidRPr="00ED6417" w:rsidRDefault="00ED6417" w:rsidP="00ED6417">
            <w:pPr>
              <w:spacing w:before="0" w:after="0"/>
              <w:jc w:val="center"/>
              <w:rPr>
                <w:color w:val="000000"/>
                <w:sz w:val="16"/>
                <w:szCs w:val="16"/>
              </w:rPr>
            </w:pPr>
            <w:r w:rsidRPr="00ED6417">
              <w:rPr>
                <w:color w:val="000000"/>
                <w:sz w:val="16"/>
                <w:szCs w:val="16"/>
              </w:rPr>
              <w:t>Lockhart River</w:t>
            </w:r>
          </w:p>
        </w:tc>
        <w:tc>
          <w:tcPr>
            <w:tcW w:w="560" w:type="dxa"/>
            <w:tcBorders>
              <w:top w:val="single" w:sz="4" w:space="0" w:color="auto"/>
              <w:left w:val="nil"/>
              <w:right w:val="nil"/>
            </w:tcBorders>
            <w:shd w:val="clear" w:color="auto" w:fill="E7F3F4"/>
            <w:noWrap/>
            <w:vAlign w:val="bottom"/>
          </w:tcPr>
          <w:p w14:paraId="0AB546FF" w14:textId="6F60A36B" w:rsidR="00ED6417" w:rsidRPr="00ED6417" w:rsidRDefault="00ED6417" w:rsidP="00ED6417">
            <w:pPr>
              <w:spacing w:before="0" w:after="0"/>
              <w:jc w:val="center"/>
              <w:rPr>
                <w:color w:val="000000"/>
                <w:sz w:val="16"/>
                <w:szCs w:val="16"/>
              </w:rPr>
            </w:pPr>
            <w:r w:rsidRPr="00ED6417">
              <w:rPr>
                <w:color w:val="000000"/>
                <w:sz w:val="16"/>
                <w:szCs w:val="16"/>
              </w:rPr>
              <w:t>LR1^</w:t>
            </w:r>
          </w:p>
        </w:tc>
        <w:tc>
          <w:tcPr>
            <w:tcW w:w="951" w:type="dxa"/>
            <w:tcBorders>
              <w:top w:val="single" w:sz="4" w:space="0" w:color="auto"/>
              <w:left w:val="nil"/>
              <w:right w:val="nil"/>
            </w:tcBorders>
            <w:shd w:val="clear" w:color="auto" w:fill="E7F3F4"/>
            <w:noWrap/>
            <w:vAlign w:val="bottom"/>
          </w:tcPr>
          <w:p w14:paraId="677150EB" w14:textId="558D0094" w:rsidR="00ED6417" w:rsidRPr="00ED6417" w:rsidRDefault="00ED6417" w:rsidP="00ED6417">
            <w:pPr>
              <w:spacing w:before="0" w:after="0"/>
              <w:jc w:val="center"/>
              <w:rPr>
                <w:sz w:val="16"/>
                <w:szCs w:val="16"/>
              </w:rPr>
            </w:pPr>
            <w:r w:rsidRPr="00ED6417">
              <w:rPr>
                <w:sz w:val="16"/>
                <w:szCs w:val="16"/>
              </w:rPr>
              <w:t>01-Oct-16</w:t>
            </w:r>
          </w:p>
        </w:tc>
        <w:tc>
          <w:tcPr>
            <w:tcW w:w="815" w:type="dxa"/>
            <w:tcBorders>
              <w:top w:val="single" w:sz="4" w:space="0" w:color="auto"/>
              <w:left w:val="nil"/>
              <w:right w:val="nil"/>
            </w:tcBorders>
            <w:shd w:val="clear" w:color="auto" w:fill="E7F3F4"/>
            <w:noWrap/>
            <w:vAlign w:val="bottom"/>
          </w:tcPr>
          <w:p w14:paraId="013A2EA0" w14:textId="54BCFAE1" w:rsidR="00ED6417" w:rsidRPr="00ED6417" w:rsidRDefault="00ED6417" w:rsidP="00ED6417">
            <w:pPr>
              <w:spacing w:before="0" w:after="0"/>
              <w:jc w:val="center"/>
              <w:rPr>
                <w:sz w:val="16"/>
                <w:szCs w:val="16"/>
              </w:rPr>
            </w:pPr>
            <w:r w:rsidRPr="00ED6417">
              <w:rPr>
                <w:sz w:val="16"/>
                <w:szCs w:val="16"/>
              </w:rPr>
              <w:t>1.1</w:t>
            </w:r>
          </w:p>
        </w:tc>
        <w:tc>
          <w:tcPr>
            <w:tcW w:w="823" w:type="dxa"/>
            <w:tcBorders>
              <w:top w:val="single" w:sz="4" w:space="0" w:color="auto"/>
              <w:left w:val="nil"/>
              <w:right w:val="nil"/>
            </w:tcBorders>
            <w:shd w:val="clear" w:color="auto" w:fill="E7F3F4"/>
            <w:noWrap/>
            <w:vAlign w:val="bottom"/>
          </w:tcPr>
          <w:p w14:paraId="301B6F24" w14:textId="7A9C72DF" w:rsidR="00ED6417" w:rsidRPr="00ED6417" w:rsidRDefault="00ED6417" w:rsidP="00ED6417">
            <w:pPr>
              <w:spacing w:before="0" w:after="0"/>
              <w:jc w:val="center"/>
              <w:rPr>
                <w:sz w:val="16"/>
                <w:szCs w:val="16"/>
              </w:rPr>
            </w:pPr>
            <w:r w:rsidRPr="00ED6417">
              <w:rPr>
                <w:color w:val="000000"/>
                <w:sz w:val="16"/>
                <w:szCs w:val="16"/>
              </w:rPr>
              <w:t>0.7</w:t>
            </w:r>
          </w:p>
        </w:tc>
        <w:tc>
          <w:tcPr>
            <w:tcW w:w="967" w:type="dxa"/>
            <w:tcBorders>
              <w:top w:val="single" w:sz="4" w:space="0" w:color="auto"/>
              <w:left w:val="nil"/>
              <w:right w:val="nil"/>
            </w:tcBorders>
            <w:shd w:val="clear" w:color="auto" w:fill="E7F3F4"/>
            <w:noWrap/>
            <w:vAlign w:val="bottom"/>
          </w:tcPr>
          <w:p w14:paraId="278388B4" w14:textId="2EA8D533" w:rsidR="00ED6417" w:rsidRPr="00ED6417" w:rsidRDefault="00ED6417" w:rsidP="00ED6417">
            <w:pPr>
              <w:spacing w:before="0" w:after="0"/>
              <w:jc w:val="center"/>
              <w:rPr>
                <w:sz w:val="16"/>
                <w:szCs w:val="16"/>
              </w:rPr>
            </w:pPr>
            <w:r w:rsidRPr="00ED6417">
              <w:rPr>
                <w:color w:val="000000"/>
                <w:sz w:val="16"/>
                <w:szCs w:val="16"/>
              </w:rPr>
              <w:t>6.6</w:t>
            </w:r>
          </w:p>
        </w:tc>
        <w:tc>
          <w:tcPr>
            <w:tcW w:w="967" w:type="dxa"/>
            <w:tcBorders>
              <w:top w:val="single" w:sz="4" w:space="0" w:color="auto"/>
              <w:left w:val="nil"/>
              <w:right w:val="nil"/>
            </w:tcBorders>
            <w:shd w:val="clear" w:color="auto" w:fill="E7F3F4"/>
            <w:noWrap/>
            <w:vAlign w:val="bottom"/>
          </w:tcPr>
          <w:p w14:paraId="7C203173" w14:textId="2BFA6E63" w:rsidR="00ED6417" w:rsidRPr="00ED6417" w:rsidRDefault="00ED6417" w:rsidP="00ED6417">
            <w:pPr>
              <w:spacing w:before="0" w:after="0"/>
              <w:jc w:val="center"/>
              <w:rPr>
                <w:sz w:val="16"/>
                <w:szCs w:val="16"/>
              </w:rPr>
            </w:pPr>
            <w:r w:rsidRPr="00ED6417">
              <w:rPr>
                <w:color w:val="000000"/>
                <w:sz w:val="16"/>
                <w:szCs w:val="16"/>
              </w:rPr>
              <w:t>12.9</w:t>
            </w:r>
          </w:p>
        </w:tc>
        <w:tc>
          <w:tcPr>
            <w:tcW w:w="967" w:type="dxa"/>
            <w:tcBorders>
              <w:top w:val="single" w:sz="4" w:space="0" w:color="auto"/>
              <w:left w:val="nil"/>
              <w:right w:val="nil"/>
            </w:tcBorders>
            <w:shd w:val="clear" w:color="auto" w:fill="E7F3F4"/>
            <w:noWrap/>
            <w:vAlign w:val="bottom"/>
          </w:tcPr>
          <w:p w14:paraId="7A15F8FB" w14:textId="0A55E0AE" w:rsidR="00ED6417" w:rsidRPr="00ED6417" w:rsidRDefault="00ED6417" w:rsidP="00ED6417">
            <w:pPr>
              <w:spacing w:before="0" w:after="0"/>
              <w:jc w:val="center"/>
              <w:rPr>
                <w:sz w:val="16"/>
                <w:szCs w:val="16"/>
              </w:rPr>
            </w:pPr>
            <w:r w:rsidRPr="00ED6417">
              <w:rPr>
                <w:color w:val="000000"/>
                <w:sz w:val="16"/>
                <w:szCs w:val="16"/>
              </w:rPr>
              <w:t>14.8</w:t>
            </w:r>
          </w:p>
        </w:tc>
        <w:tc>
          <w:tcPr>
            <w:tcW w:w="650" w:type="dxa"/>
            <w:tcBorders>
              <w:top w:val="single" w:sz="4" w:space="0" w:color="auto"/>
              <w:left w:val="nil"/>
              <w:right w:val="nil"/>
            </w:tcBorders>
            <w:shd w:val="clear" w:color="auto" w:fill="E7F3F4"/>
            <w:noWrap/>
            <w:vAlign w:val="bottom"/>
          </w:tcPr>
          <w:p w14:paraId="37FDA281" w14:textId="5CB8E7C1" w:rsidR="00ED6417" w:rsidRPr="00ED6417" w:rsidRDefault="00ED6417" w:rsidP="00ED6417">
            <w:pPr>
              <w:spacing w:before="0" w:after="0"/>
              <w:jc w:val="center"/>
              <w:rPr>
                <w:sz w:val="16"/>
                <w:szCs w:val="16"/>
              </w:rPr>
            </w:pPr>
            <w:r w:rsidRPr="00ED6417">
              <w:rPr>
                <w:sz w:val="16"/>
                <w:szCs w:val="16"/>
              </w:rPr>
              <w:t>25</w:t>
            </w:r>
          </w:p>
        </w:tc>
      </w:tr>
      <w:tr w:rsidR="00ED6417" w:rsidRPr="00ED6417" w14:paraId="1F3ABBE8" w14:textId="77777777" w:rsidTr="006F4537">
        <w:trPr>
          <w:jc w:val="center"/>
        </w:trPr>
        <w:tc>
          <w:tcPr>
            <w:tcW w:w="1388" w:type="dxa"/>
            <w:tcBorders>
              <w:left w:val="nil"/>
              <w:bottom w:val="single" w:sz="4" w:space="0" w:color="auto"/>
              <w:right w:val="nil"/>
            </w:tcBorders>
            <w:noWrap/>
            <w:vAlign w:val="bottom"/>
          </w:tcPr>
          <w:p w14:paraId="5181B207" w14:textId="77777777" w:rsidR="00ED6417" w:rsidRPr="00ED6417" w:rsidRDefault="00ED6417" w:rsidP="00ED6417">
            <w:pPr>
              <w:spacing w:before="0" w:after="0"/>
              <w:jc w:val="center"/>
              <w:rPr>
                <w:color w:val="000000"/>
                <w:sz w:val="16"/>
                <w:szCs w:val="16"/>
              </w:rPr>
            </w:pPr>
          </w:p>
        </w:tc>
        <w:tc>
          <w:tcPr>
            <w:tcW w:w="1230" w:type="dxa"/>
            <w:tcBorders>
              <w:left w:val="nil"/>
              <w:bottom w:val="single" w:sz="4" w:space="0" w:color="auto"/>
              <w:right w:val="nil"/>
            </w:tcBorders>
            <w:shd w:val="clear" w:color="auto" w:fill="E7F3F4"/>
            <w:noWrap/>
            <w:vAlign w:val="bottom"/>
          </w:tcPr>
          <w:p w14:paraId="77979553" w14:textId="77777777" w:rsidR="00ED6417" w:rsidRPr="00ED6417" w:rsidRDefault="00ED6417" w:rsidP="00ED6417">
            <w:pPr>
              <w:spacing w:before="0" w:after="0"/>
              <w:jc w:val="center"/>
              <w:rPr>
                <w:color w:val="000000"/>
                <w:sz w:val="16"/>
                <w:szCs w:val="16"/>
              </w:rPr>
            </w:pPr>
          </w:p>
        </w:tc>
        <w:tc>
          <w:tcPr>
            <w:tcW w:w="560" w:type="dxa"/>
            <w:tcBorders>
              <w:left w:val="nil"/>
              <w:bottom w:val="single" w:sz="4" w:space="0" w:color="auto"/>
              <w:right w:val="nil"/>
            </w:tcBorders>
            <w:shd w:val="clear" w:color="auto" w:fill="E7F3F4"/>
            <w:noWrap/>
            <w:vAlign w:val="bottom"/>
          </w:tcPr>
          <w:p w14:paraId="0D4888BE" w14:textId="696A3428" w:rsidR="00ED6417" w:rsidRPr="00ED6417" w:rsidRDefault="00ED6417" w:rsidP="00ED6417">
            <w:pPr>
              <w:spacing w:before="0" w:after="0"/>
              <w:jc w:val="center"/>
              <w:rPr>
                <w:color w:val="000000"/>
                <w:sz w:val="16"/>
                <w:szCs w:val="16"/>
              </w:rPr>
            </w:pPr>
            <w:r w:rsidRPr="00ED6417">
              <w:rPr>
                <w:color w:val="000000"/>
                <w:sz w:val="16"/>
                <w:szCs w:val="16"/>
              </w:rPr>
              <w:t>LR2^</w:t>
            </w:r>
          </w:p>
        </w:tc>
        <w:tc>
          <w:tcPr>
            <w:tcW w:w="951" w:type="dxa"/>
            <w:tcBorders>
              <w:left w:val="nil"/>
              <w:bottom w:val="single" w:sz="4" w:space="0" w:color="auto"/>
              <w:right w:val="nil"/>
            </w:tcBorders>
            <w:shd w:val="clear" w:color="auto" w:fill="E7F3F4"/>
            <w:noWrap/>
            <w:vAlign w:val="bottom"/>
          </w:tcPr>
          <w:p w14:paraId="32B2909B" w14:textId="6D5D8555" w:rsidR="00ED6417" w:rsidRPr="00ED6417" w:rsidRDefault="00ED6417" w:rsidP="00ED6417">
            <w:pPr>
              <w:spacing w:before="0" w:after="0"/>
              <w:jc w:val="center"/>
              <w:rPr>
                <w:color w:val="000000"/>
                <w:sz w:val="16"/>
                <w:szCs w:val="16"/>
              </w:rPr>
            </w:pPr>
            <w:r w:rsidRPr="00ED6417">
              <w:rPr>
                <w:sz w:val="16"/>
                <w:szCs w:val="16"/>
              </w:rPr>
              <w:t>01-Oct-16</w:t>
            </w:r>
          </w:p>
        </w:tc>
        <w:tc>
          <w:tcPr>
            <w:tcW w:w="815" w:type="dxa"/>
            <w:tcBorders>
              <w:left w:val="nil"/>
              <w:bottom w:val="single" w:sz="4" w:space="0" w:color="auto"/>
              <w:right w:val="nil"/>
            </w:tcBorders>
            <w:shd w:val="clear" w:color="auto" w:fill="E7F3F4"/>
            <w:noWrap/>
            <w:vAlign w:val="bottom"/>
          </w:tcPr>
          <w:p w14:paraId="07624AE7" w14:textId="59ACC043" w:rsidR="00ED6417" w:rsidRPr="00ED6417" w:rsidRDefault="00ED6417" w:rsidP="00ED6417">
            <w:pPr>
              <w:spacing w:before="0" w:after="0"/>
              <w:jc w:val="center"/>
              <w:rPr>
                <w:color w:val="000000"/>
                <w:sz w:val="16"/>
                <w:szCs w:val="16"/>
              </w:rPr>
            </w:pPr>
            <w:r w:rsidRPr="00ED6417">
              <w:rPr>
                <w:sz w:val="16"/>
                <w:szCs w:val="16"/>
              </w:rPr>
              <w:t>30.6</w:t>
            </w:r>
          </w:p>
        </w:tc>
        <w:tc>
          <w:tcPr>
            <w:tcW w:w="823" w:type="dxa"/>
            <w:tcBorders>
              <w:left w:val="nil"/>
              <w:bottom w:val="single" w:sz="4" w:space="0" w:color="auto"/>
              <w:right w:val="nil"/>
            </w:tcBorders>
            <w:shd w:val="clear" w:color="auto" w:fill="E7F3F4"/>
            <w:noWrap/>
            <w:vAlign w:val="bottom"/>
          </w:tcPr>
          <w:p w14:paraId="60E0230F" w14:textId="0D038ED7" w:rsidR="00ED6417" w:rsidRPr="00ED6417" w:rsidRDefault="00ED6417" w:rsidP="00ED6417">
            <w:pPr>
              <w:spacing w:before="0" w:after="0"/>
              <w:jc w:val="center"/>
              <w:rPr>
                <w:color w:val="000000"/>
                <w:sz w:val="16"/>
                <w:szCs w:val="16"/>
              </w:rPr>
            </w:pPr>
            <w:r w:rsidRPr="00ED6417">
              <w:rPr>
                <w:color w:val="000000"/>
                <w:sz w:val="16"/>
                <w:szCs w:val="16"/>
              </w:rPr>
              <w:t>28.5</w:t>
            </w:r>
          </w:p>
        </w:tc>
        <w:tc>
          <w:tcPr>
            <w:tcW w:w="967" w:type="dxa"/>
            <w:tcBorders>
              <w:left w:val="nil"/>
              <w:bottom w:val="single" w:sz="4" w:space="0" w:color="auto"/>
              <w:right w:val="nil"/>
            </w:tcBorders>
            <w:shd w:val="clear" w:color="auto" w:fill="E7F3F4"/>
            <w:noWrap/>
            <w:vAlign w:val="bottom"/>
          </w:tcPr>
          <w:p w14:paraId="11ADD78F" w14:textId="6F951BAF" w:rsidR="00ED6417" w:rsidRPr="00ED6417" w:rsidRDefault="00ED6417" w:rsidP="00ED6417">
            <w:pPr>
              <w:spacing w:before="0" w:after="0"/>
              <w:jc w:val="center"/>
              <w:rPr>
                <w:sz w:val="16"/>
                <w:szCs w:val="16"/>
              </w:rPr>
            </w:pPr>
            <w:r w:rsidRPr="00ED6417">
              <w:rPr>
                <w:color w:val="000000"/>
                <w:sz w:val="16"/>
                <w:szCs w:val="16"/>
              </w:rPr>
              <w:t>6.6</w:t>
            </w:r>
          </w:p>
        </w:tc>
        <w:tc>
          <w:tcPr>
            <w:tcW w:w="967" w:type="dxa"/>
            <w:tcBorders>
              <w:left w:val="nil"/>
              <w:bottom w:val="single" w:sz="4" w:space="0" w:color="auto"/>
              <w:right w:val="nil"/>
            </w:tcBorders>
            <w:shd w:val="clear" w:color="auto" w:fill="E7F3F4"/>
            <w:noWrap/>
            <w:vAlign w:val="bottom"/>
          </w:tcPr>
          <w:p w14:paraId="55334C02" w14:textId="215766AA" w:rsidR="00ED6417" w:rsidRPr="00ED6417" w:rsidRDefault="00ED6417" w:rsidP="00ED6417">
            <w:pPr>
              <w:spacing w:before="0" w:after="0"/>
              <w:jc w:val="center"/>
              <w:rPr>
                <w:sz w:val="16"/>
                <w:szCs w:val="16"/>
              </w:rPr>
            </w:pPr>
            <w:r w:rsidRPr="00ED6417">
              <w:rPr>
                <w:color w:val="000000"/>
                <w:sz w:val="16"/>
                <w:szCs w:val="16"/>
              </w:rPr>
              <w:t>12.9</w:t>
            </w:r>
          </w:p>
        </w:tc>
        <w:tc>
          <w:tcPr>
            <w:tcW w:w="967" w:type="dxa"/>
            <w:tcBorders>
              <w:left w:val="nil"/>
              <w:bottom w:val="single" w:sz="4" w:space="0" w:color="auto"/>
              <w:right w:val="nil"/>
            </w:tcBorders>
            <w:shd w:val="clear" w:color="auto" w:fill="E7F3F4"/>
            <w:noWrap/>
            <w:vAlign w:val="bottom"/>
          </w:tcPr>
          <w:p w14:paraId="2BF7D85F" w14:textId="73EAB7CC" w:rsidR="00ED6417" w:rsidRPr="00ED6417" w:rsidRDefault="00ED6417" w:rsidP="00ED6417">
            <w:pPr>
              <w:spacing w:before="0" w:after="0"/>
              <w:jc w:val="center"/>
              <w:rPr>
                <w:sz w:val="16"/>
                <w:szCs w:val="16"/>
              </w:rPr>
            </w:pPr>
            <w:r w:rsidRPr="00ED6417">
              <w:rPr>
                <w:color w:val="000000"/>
                <w:sz w:val="16"/>
                <w:szCs w:val="16"/>
              </w:rPr>
              <w:t>14.8</w:t>
            </w:r>
          </w:p>
        </w:tc>
        <w:tc>
          <w:tcPr>
            <w:tcW w:w="650" w:type="dxa"/>
            <w:tcBorders>
              <w:left w:val="nil"/>
              <w:bottom w:val="single" w:sz="4" w:space="0" w:color="auto"/>
              <w:right w:val="nil"/>
            </w:tcBorders>
            <w:shd w:val="clear" w:color="auto" w:fill="E7F3F4"/>
            <w:noWrap/>
            <w:vAlign w:val="bottom"/>
          </w:tcPr>
          <w:p w14:paraId="5E3480B6" w14:textId="463CF066" w:rsidR="00ED6417" w:rsidRPr="00ED6417" w:rsidRDefault="00ED6417" w:rsidP="00ED6417">
            <w:pPr>
              <w:spacing w:before="0" w:after="0"/>
              <w:jc w:val="center"/>
              <w:rPr>
                <w:color w:val="000000"/>
                <w:sz w:val="16"/>
                <w:szCs w:val="16"/>
              </w:rPr>
            </w:pPr>
            <w:r w:rsidRPr="00ED6417">
              <w:rPr>
                <w:sz w:val="16"/>
                <w:szCs w:val="16"/>
              </w:rPr>
              <w:t>100</w:t>
            </w:r>
          </w:p>
        </w:tc>
      </w:tr>
      <w:tr w:rsidR="00ED6417" w:rsidRPr="00ED6417" w14:paraId="23123907" w14:textId="77777777" w:rsidTr="00ED6417">
        <w:trPr>
          <w:jc w:val="center"/>
        </w:trPr>
        <w:tc>
          <w:tcPr>
            <w:tcW w:w="1388" w:type="dxa"/>
            <w:tcBorders>
              <w:top w:val="single" w:sz="4" w:space="0" w:color="auto"/>
              <w:left w:val="nil"/>
              <w:right w:val="nil"/>
            </w:tcBorders>
            <w:noWrap/>
            <w:vAlign w:val="bottom"/>
            <w:hideMark/>
          </w:tcPr>
          <w:p w14:paraId="2B477B70" w14:textId="77777777" w:rsidR="00ED6417" w:rsidRPr="00ED6417" w:rsidRDefault="00ED6417" w:rsidP="00ED6417">
            <w:pPr>
              <w:spacing w:before="0" w:after="0"/>
              <w:jc w:val="center"/>
              <w:rPr>
                <w:color w:val="000000"/>
                <w:sz w:val="16"/>
                <w:szCs w:val="16"/>
              </w:rPr>
            </w:pPr>
            <w:r w:rsidRPr="00ED6417">
              <w:rPr>
                <w:color w:val="000000"/>
                <w:sz w:val="16"/>
                <w:szCs w:val="16"/>
              </w:rPr>
              <w:t>reef intertidal</w:t>
            </w:r>
          </w:p>
        </w:tc>
        <w:tc>
          <w:tcPr>
            <w:tcW w:w="1230" w:type="dxa"/>
            <w:tcBorders>
              <w:top w:val="single" w:sz="4" w:space="0" w:color="auto"/>
              <w:left w:val="nil"/>
              <w:right w:val="nil"/>
            </w:tcBorders>
            <w:shd w:val="clear" w:color="auto" w:fill="F3F9FA"/>
            <w:noWrap/>
            <w:vAlign w:val="bottom"/>
            <w:hideMark/>
          </w:tcPr>
          <w:p w14:paraId="70574E74" w14:textId="77777777" w:rsidR="00ED6417" w:rsidRPr="00ED6417" w:rsidRDefault="00ED6417" w:rsidP="00ED6417">
            <w:pPr>
              <w:spacing w:before="0" w:after="0"/>
              <w:jc w:val="center"/>
              <w:rPr>
                <w:color w:val="000000"/>
                <w:sz w:val="16"/>
                <w:szCs w:val="16"/>
              </w:rPr>
            </w:pPr>
            <w:r w:rsidRPr="00ED6417">
              <w:rPr>
                <w:color w:val="000000"/>
                <w:sz w:val="16"/>
                <w:szCs w:val="16"/>
              </w:rPr>
              <w:t>Archer Point</w:t>
            </w:r>
          </w:p>
        </w:tc>
        <w:tc>
          <w:tcPr>
            <w:tcW w:w="560" w:type="dxa"/>
            <w:tcBorders>
              <w:top w:val="single" w:sz="4" w:space="0" w:color="auto"/>
              <w:left w:val="nil"/>
              <w:right w:val="nil"/>
            </w:tcBorders>
            <w:shd w:val="clear" w:color="auto" w:fill="F3F9FA"/>
            <w:noWrap/>
            <w:vAlign w:val="bottom"/>
            <w:hideMark/>
          </w:tcPr>
          <w:p w14:paraId="60699F04" w14:textId="77777777" w:rsidR="00ED6417" w:rsidRPr="00ED6417" w:rsidRDefault="00ED6417" w:rsidP="00ED6417">
            <w:pPr>
              <w:spacing w:before="0" w:after="0"/>
              <w:jc w:val="center"/>
              <w:rPr>
                <w:color w:val="000000"/>
                <w:sz w:val="16"/>
                <w:szCs w:val="16"/>
              </w:rPr>
            </w:pPr>
            <w:r w:rsidRPr="00ED6417">
              <w:rPr>
                <w:color w:val="000000"/>
                <w:sz w:val="16"/>
                <w:szCs w:val="16"/>
              </w:rPr>
              <w:t>AP1</w:t>
            </w:r>
          </w:p>
        </w:tc>
        <w:tc>
          <w:tcPr>
            <w:tcW w:w="951" w:type="dxa"/>
            <w:tcBorders>
              <w:top w:val="single" w:sz="4" w:space="0" w:color="auto"/>
              <w:left w:val="nil"/>
              <w:right w:val="nil"/>
            </w:tcBorders>
            <w:shd w:val="clear" w:color="auto" w:fill="F3F9FA"/>
            <w:noWrap/>
            <w:vAlign w:val="bottom"/>
            <w:hideMark/>
          </w:tcPr>
          <w:p w14:paraId="4F06456D" w14:textId="1217BC4A" w:rsidR="00ED6417" w:rsidRPr="00ED6417" w:rsidRDefault="00ED6417" w:rsidP="00ED6417">
            <w:pPr>
              <w:spacing w:before="0" w:after="0"/>
              <w:jc w:val="center"/>
              <w:rPr>
                <w:sz w:val="16"/>
                <w:szCs w:val="16"/>
              </w:rPr>
            </w:pPr>
            <w:r w:rsidRPr="00ED6417">
              <w:rPr>
                <w:sz w:val="16"/>
                <w:szCs w:val="16"/>
              </w:rPr>
              <w:t>01-Oct-16</w:t>
            </w:r>
          </w:p>
        </w:tc>
        <w:tc>
          <w:tcPr>
            <w:tcW w:w="815" w:type="dxa"/>
            <w:tcBorders>
              <w:top w:val="single" w:sz="4" w:space="0" w:color="auto"/>
              <w:left w:val="nil"/>
              <w:right w:val="nil"/>
            </w:tcBorders>
            <w:shd w:val="clear" w:color="auto" w:fill="F3F9FA"/>
            <w:noWrap/>
            <w:vAlign w:val="bottom"/>
            <w:hideMark/>
          </w:tcPr>
          <w:p w14:paraId="3EA252CB" w14:textId="17B3EE95" w:rsidR="00ED6417" w:rsidRPr="00ED6417" w:rsidRDefault="00ED6417" w:rsidP="00ED6417">
            <w:pPr>
              <w:spacing w:before="0" w:after="0"/>
              <w:jc w:val="center"/>
              <w:rPr>
                <w:sz w:val="16"/>
                <w:szCs w:val="16"/>
              </w:rPr>
            </w:pPr>
            <w:r w:rsidRPr="00ED6417">
              <w:rPr>
                <w:sz w:val="16"/>
                <w:szCs w:val="16"/>
              </w:rPr>
              <w:t>16.4</w:t>
            </w:r>
          </w:p>
        </w:tc>
        <w:tc>
          <w:tcPr>
            <w:tcW w:w="823" w:type="dxa"/>
            <w:tcBorders>
              <w:top w:val="single" w:sz="4" w:space="0" w:color="auto"/>
              <w:left w:val="nil"/>
              <w:right w:val="nil"/>
            </w:tcBorders>
            <w:shd w:val="clear" w:color="auto" w:fill="F3F9FA"/>
            <w:noWrap/>
            <w:vAlign w:val="bottom"/>
            <w:hideMark/>
          </w:tcPr>
          <w:p w14:paraId="744F1AAC" w14:textId="320E1083" w:rsidR="00ED6417" w:rsidRPr="00ED6417" w:rsidRDefault="00ED6417" w:rsidP="00ED6417">
            <w:pPr>
              <w:spacing w:before="0" w:after="0"/>
              <w:jc w:val="center"/>
              <w:rPr>
                <w:sz w:val="16"/>
                <w:szCs w:val="16"/>
              </w:rPr>
            </w:pPr>
            <w:r w:rsidRPr="00ED6417">
              <w:rPr>
                <w:sz w:val="16"/>
                <w:szCs w:val="16"/>
              </w:rPr>
              <w:t>15</w:t>
            </w:r>
          </w:p>
        </w:tc>
        <w:tc>
          <w:tcPr>
            <w:tcW w:w="967" w:type="dxa"/>
            <w:tcBorders>
              <w:top w:val="single" w:sz="4" w:space="0" w:color="auto"/>
              <w:left w:val="nil"/>
              <w:right w:val="nil"/>
            </w:tcBorders>
            <w:shd w:val="clear" w:color="auto" w:fill="F3F9FA"/>
            <w:noWrap/>
            <w:vAlign w:val="bottom"/>
            <w:hideMark/>
          </w:tcPr>
          <w:p w14:paraId="19BF2C07" w14:textId="654620CE" w:rsidR="00ED6417" w:rsidRPr="00ED6417" w:rsidRDefault="00ED6417" w:rsidP="00ED6417">
            <w:pPr>
              <w:spacing w:before="0" w:after="0"/>
              <w:jc w:val="center"/>
              <w:rPr>
                <w:sz w:val="16"/>
                <w:szCs w:val="16"/>
              </w:rPr>
            </w:pPr>
            <w:r w:rsidRPr="00ED6417">
              <w:rPr>
                <w:sz w:val="16"/>
                <w:szCs w:val="16"/>
              </w:rPr>
              <w:t>11</w:t>
            </w:r>
          </w:p>
        </w:tc>
        <w:tc>
          <w:tcPr>
            <w:tcW w:w="967" w:type="dxa"/>
            <w:tcBorders>
              <w:top w:val="single" w:sz="4" w:space="0" w:color="auto"/>
              <w:left w:val="nil"/>
              <w:right w:val="nil"/>
            </w:tcBorders>
            <w:shd w:val="clear" w:color="auto" w:fill="F3F9FA"/>
            <w:noWrap/>
            <w:vAlign w:val="bottom"/>
            <w:hideMark/>
          </w:tcPr>
          <w:p w14:paraId="5608BF77" w14:textId="2551C51E" w:rsidR="00ED6417" w:rsidRPr="00ED6417" w:rsidRDefault="00ED6417" w:rsidP="00ED6417">
            <w:pPr>
              <w:spacing w:before="0" w:after="0"/>
              <w:jc w:val="center"/>
              <w:rPr>
                <w:sz w:val="16"/>
                <w:szCs w:val="16"/>
              </w:rPr>
            </w:pPr>
            <w:r w:rsidRPr="00ED6417">
              <w:rPr>
                <w:sz w:val="16"/>
                <w:szCs w:val="16"/>
              </w:rPr>
              <w:t>18.9</w:t>
            </w:r>
          </w:p>
        </w:tc>
        <w:tc>
          <w:tcPr>
            <w:tcW w:w="967" w:type="dxa"/>
            <w:tcBorders>
              <w:top w:val="single" w:sz="4" w:space="0" w:color="auto"/>
              <w:left w:val="nil"/>
              <w:right w:val="nil"/>
            </w:tcBorders>
            <w:shd w:val="clear" w:color="auto" w:fill="F3F9FA"/>
            <w:noWrap/>
            <w:vAlign w:val="bottom"/>
            <w:hideMark/>
          </w:tcPr>
          <w:p w14:paraId="28A6178A" w14:textId="29E5CC70" w:rsidR="00ED6417" w:rsidRPr="00ED6417" w:rsidRDefault="00ED6417" w:rsidP="00ED6417">
            <w:pPr>
              <w:spacing w:before="0" w:after="0"/>
              <w:jc w:val="center"/>
              <w:rPr>
                <w:sz w:val="16"/>
                <w:szCs w:val="16"/>
              </w:rPr>
            </w:pPr>
            <w:r w:rsidRPr="00ED6417">
              <w:rPr>
                <w:sz w:val="16"/>
                <w:szCs w:val="16"/>
              </w:rPr>
              <w:t>23.7</w:t>
            </w:r>
          </w:p>
        </w:tc>
        <w:tc>
          <w:tcPr>
            <w:tcW w:w="650" w:type="dxa"/>
            <w:tcBorders>
              <w:top w:val="single" w:sz="4" w:space="0" w:color="auto"/>
              <w:left w:val="nil"/>
              <w:right w:val="nil"/>
            </w:tcBorders>
            <w:shd w:val="clear" w:color="auto" w:fill="F3F9FA"/>
            <w:noWrap/>
            <w:vAlign w:val="bottom"/>
            <w:hideMark/>
          </w:tcPr>
          <w:p w14:paraId="06E1E4C6" w14:textId="197BEF6E" w:rsidR="00ED6417" w:rsidRPr="00ED6417" w:rsidRDefault="00ED6417" w:rsidP="00ED6417">
            <w:pPr>
              <w:spacing w:before="0" w:after="0"/>
              <w:jc w:val="center"/>
              <w:rPr>
                <w:sz w:val="16"/>
                <w:szCs w:val="16"/>
              </w:rPr>
            </w:pPr>
            <w:r w:rsidRPr="00ED6417">
              <w:rPr>
                <w:sz w:val="16"/>
                <w:szCs w:val="16"/>
              </w:rPr>
              <w:t>50</w:t>
            </w:r>
          </w:p>
        </w:tc>
      </w:tr>
      <w:tr w:rsidR="00ED6417" w:rsidRPr="00ED6417" w14:paraId="7A8309B4" w14:textId="77777777" w:rsidTr="00ED6417">
        <w:trPr>
          <w:jc w:val="center"/>
        </w:trPr>
        <w:tc>
          <w:tcPr>
            <w:tcW w:w="1388" w:type="dxa"/>
            <w:tcBorders>
              <w:left w:val="nil"/>
              <w:right w:val="nil"/>
            </w:tcBorders>
            <w:noWrap/>
            <w:vAlign w:val="bottom"/>
          </w:tcPr>
          <w:p w14:paraId="0D2284C2" w14:textId="77777777" w:rsidR="00ED6417" w:rsidRPr="00ED6417" w:rsidRDefault="00ED6417" w:rsidP="00ED6417">
            <w:pPr>
              <w:spacing w:before="0" w:after="0"/>
              <w:jc w:val="center"/>
              <w:rPr>
                <w:color w:val="000000"/>
                <w:sz w:val="16"/>
                <w:szCs w:val="16"/>
              </w:rPr>
            </w:pPr>
          </w:p>
        </w:tc>
        <w:tc>
          <w:tcPr>
            <w:tcW w:w="1230" w:type="dxa"/>
            <w:tcBorders>
              <w:left w:val="nil"/>
              <w:bottom w:val="single" w:sz="4" w:space="0" w:color="auto"/>
              <w:right w:val="nil"/>
            </w:tcBorders>
            <w:shd w:val="clear" w:color="auto" w:fill="F3F9FA"/>
            <w:noWrap/>
            <w:vAlign w:val="bottom"/>
          </w:tcPr>
          <w:p w14:paraId="004BB756" w14:textId="77777777" w:rsidR="00ED6417" w:rsidRPr="00ED6417" w:rsidRDefault="00ED6417" w:rsidP="00ED6417">
            <w:pPr>
              <w:spacing w:before="0" w:after="0"/>
              <w:jc w:val="center"/>
              <w:rPr>
                <w:color w:val="000000"/>
                <w:sz w:val="16"/>
                <w:szCs w:val="16"/>
              </w:rPr>
            </w:pPr>
          </w:p>
        </w:tc>
        <w:tc>
          <w:tcPr>
            <w:tcW w:w="560" w:type="dxa"/>
            <w:tcBorders>
              <w:left w:val="nil"/>
              <w:bottom w:val="single" w:sz="4" w:space="0" w:color="auto"/>
              <w:right w:val="nil"/>
            </w:tcBorders>
            <w:shd w:val="clear" w:color="auto" w:fill="F3F9FA"/>
            <w:noWrap/>
            <w:vAlign w:val="bottom"/>
          </w:tcPr>
          <w:p w14:paraId="73C4FBD6" w14:textId="77777777" w:rsidR="00ED6417" w:rsidRPr="00ED6417" w:rsidRDefault="00ED6417" w:rsidP="00ED6417">
            <w:pPr>
              <w:spacing w:before="0" w:after="0"/>
              <w:jc w:val="center"/>
              <w:rPr>
                <w:color w:val="000000"/>
                <w:sz w:val="16"/>
                <w:szCs w:val="16"/>
              </w:rPr>
            </w:pPr>
            <w:r w:rsidRPr="00ED6417">
              <w:rPr>
                <w:color w:val="000000"/>
                <w:sz w:val="16"/>
                <w:szCs w:val="16"/>
              </w:rPr>
              <w:t>AP2</w:t>
            </w:r>
          </w:p>
        </w:tc>
        <w:tc>
          <w:tcPr>
            <w:tcW w:w="951" w:type="dxa"/>
            <w:tcBorders>
              <w:left w:val="nil"/>
              <w:bottom w:val="single" w:sz="4" w:space="0" w:color="auto"/>
              <w:right w:val="nil"/>
            </w:tcBorders>
            <w:shd w:val="clear" w:color="auto" w:fill="F3F9FA"/>
            <w:noWrap/>
            <w:vAlign w:val="bottom"/>
          </w:tcPr>
          <w:p w14:paraId="66FE3747" w14:textId="7B20A275" w:rsidR="00ED6417" w:rsidRPr="00ED6417" w:rsidRDefault="00ED6417" w:rsidP="00ED6417">
            <w:pPr>
              <w:spacing w:before="0" w:after="0"/>
              <w:jc w:val="center"/>
              <w:rPr>
                <w:sz w:val="16"/>
                <w:szCs w:val="16"/>
              </w:rPr>
            </w:pPr>
            <w:r w:rsidRPr="00ED6417">
              <w:rPr>
                <w:sz w:val="16"/>
                <w:szCs w:val="16"/>
              </w:rPr>
              <w:t>01-Oct-16</w:t>
            </w:r>
          </w:p>
        </w:tc>
        <w:tc>
          <w:tcPr>
            <w:tcW w:w="815" w:type="dxa"/>
            <w:tcBorders>
              <w:left w:val="nil"/>
              <w:bottom w:val="single" w:sz="4" w:space="0" w:color="auto"/>
              <w:right w:val="nil"/>
            </w:tcBorders>
            <w:shd w:val="clear" w:color="auto" w:fill="F3F9FA"/>
            <w:noWrap/>
            <w:vAlign w:val="bottom"/>
          </w:tcPr>
          <w:p w14:paraId="419B94A8" w14:textId="1B81DF3A" w:rsidR="00ED6417" w:rsidRPr="00ED6417" w:rsidRDefault="00ED6417" w:rsidP="00ED6417">
            <w:pPr>
              <w:spacing w:before="0" w:after="0"/>
              <w:jc w:val="center"/>
              <w:rPr>
                <w:sz w:val="16"/>
                <w:szCs w:val="16"/>
              </w:rPr>
            </w:pPr>
            <w:r w:rsidRPr="00ED6417">
              <w:rPr>
                <w:sz w:val="16"/>
                <w:szCs w:val="16"/>
              </w:rPr>
              <w:t>16.1</w:t>
            </w:r>
          </w:p>
        </w:tc>
        <w:tc>
          <w:tcPr>
            <w:tcW w:w="823" w:type="dxa"/>
            <w:tcBorders>
              <w:left w:val="nil"/>
              <w:bottom w:val="single" w:sz="4" w:space="0" w:color="auto"/>
              <w:right w:val="nil"/>
            </w:tcBorders>
            <w:shd w:val="clear" w:color="auto" w:fill="F3F9FA"/>
            <w:noWrap/>
            <w:vAlign w:val="bottom"/>
          </w:tcPr>
          <w:p w14:paraId="08A2C029" w14:textId="7A6B76C1" w:rsidR="00ED6417" w:rsidRPr="00ED6417" w:rsidRDefault="00ED6417" w:rsidP="00ED6417">
            <w:pPr>
              <w:spacing w:before="0" w:after="0"/>
              <w:jc w:val="center"/>
              <w:rPr>
                <w:sz w:val="16"/>
                <w:szCs w:val="16"/>
              </w:rPr>
            </w:pPr>
            <w:r w:rsidRPr="00ED6417">
              <w:rPr>
                <w:sz w:val="16"/>
                <w:szCs w:val="16"/>
              </w:rPr>
              <w:t>15</w:t>
            </w:r>
          </w:p>
        </w:tc>
        <w:tc>
          <w:tcPr>
            <w:tcW w:w="967" w:type="dxa"/>
            <w:tcBorders>
              <w:left w:val="nil"/>
              <w:bottom w:val="single" w:sz="4" w:space="0" w:color="auto"/>
              <w:right w:val="nil"/>
            </w:tcBorders>
            <w:shd w:val="clear" w:color="auto" w:fill="F3F9FA"/>
            <w:noWrap/>
            <w:vAlign w:val="bottom"/>
          </w:tcPr>
          <w:p w14:paraId="66B2912D" w14:textId="2D1382A1" w:rsidR="00ED6417" w:rsidRPr="00ED6417" w:rsidRDefault="00ED6417" w:rsidP="00ED6417">
            <w:pPr>
              <w:spacing w:before="0" w:after="0"/>
              <w:jc w:val="center"/>
              <w:rPr>
                <w:sz w:val="16"/>
                <w:szCs w:val="16"/>
              </w:rPr>
            </w:pPr>
            <w:r w:rsidRPr="00ED6417">
              <w:rPr>
                <w:sz w:val="16"/>
                <w:szCs w:val="16"/>
              </w:rPr>
              <w:t>11</w:t>
            </w:r>
          </w:p>
        </w:tc>
        <w:tc>
          <w:tcPr>
            <w:tcW w:w="967" w:type="dxa"/>
            <w:tcBorders>
              <w:left w:val="nil"/>
              <w:bottom w:val="single" w:sz="4" w:space="0" w:color="auto"/>
              <w:right w:val="nil"/>
            </w:tcBorders>
            <w:shd w:val="clear" w:color="auto" w:fill="F3F9FA"/>
            <w:noWrap/>
            <w:vAlign w:val="bottom"/>
          </w:tcPr>
          <w:p w14:paraId="6B785299" w14:textId="39B39CF2" w:rsidR="00ED6417" w:rsidRPr="00ED6417" w:rsidRDefault="00ED6417" w:rsidP="00ED6417">
            <w:pPr>
              <w:spacing w:before="0" w:after="0"/>
              <w:jc w:val="center"/>
              <w:rPr>
                <w:sz w:val="16"/>
                <w:szCs w:val="16"/>
              </w:rPr>
            </w:pPr>
            <w:r w:rsidRPr="00ED6417">
              <w:rPr>
                <w:sz w:val="16"/>
                <w:szCs w:val="16"/>
              </w:rPr>
              <w:t>18.9</w:t>
            </w:r>
          </w:p>
        </w:tc>
        <w:tc>
          <w:tcPr>
            <w:tcW w:w="967" w:type="dxa"/>
            <w:tcBorders>
              <w:left w:val="nil"/>
              <w:bottom w:val="single" w:sz="4" w:space="0" w:color="auto"/>
              <w:right w:val="nil"/>
            </w:tcBorders>
            <w:shd w:val="clear" w:color="auto" w:fill="F3F9FA"/>
            <w:noWrap/>
            <w:vAlign w:val="bottom"/>
          </w:tcPr>
          <w:p w14:paraId="02059CF7" w14:textId="0F8CC4CD" w:rsidR="00ED6417" w:rsidRPr="00ED6417" w:rsidRDefault="00ED6417" w:rsidP="00ED6417">
            <w:pPr>
              <w:spacing w:before="0" w:after="0"/>
              <w:jc w:val="center"/>
              <w:rPr>
                <w:sz w:val="16"/>
                <w:szCs w:val="16"/>
              </w:rPr>
            </w:pPr>
            <w:r w:rsidRPr="00ED6417">
              <w:rPr>
                <w:sz w:val="16"/>
                <w:szCs w:val="16"/>
              </w:rPr>
              <w:t>23.7</w:t>
            </w:r>
          </w:p>
        </w:tc>
        <w:tc>
          <w:tcPr>
            <w:tcW w:w="650" w:type="dxa"/>
            <w:tcBorders>
              <w:left w:val="nil"/>
              <w:bottom w:val="single" w:sz="4" w:space="0" w:color="auto"/>
              <w:right w:val="nil"/>
            </w:tcBorders>
            <w:shd w:val="clear" w:color="auto" w:fill="F3F9FA"/>
            <w:noWrap/>
            <w:vAlign w:val="bottom"/>
          </w:tcPr>
          <w:p w14:paraId="2C635A11" w14:textId="4B748F0B" w:rsidR="00ED6417" w:rsidRPr="00ED6417" w:rsidRDefault="00ED6417" w:rsidP="00ED6417">
            <w:pPr>
              <w:spacing w:before="0" w:after="0"/>
              <w:jc w:val="center"/>
              <w:rPr>
                <w:sz w:val="16"/>
                <w:szCs w:val="16"/>
              </w:rPr>
            </w:pPr>
            <w:r w:rsidRPr="00ED6417">
              <w:rPr>
                <w:sz w:val="16"/>
                <w:szCs w:val="16"/>
              </w:rPr>
              <w:t>50</w:t>
            </w:r>
          </w:p>
        </w:tc>
      </w:tr>
      <w:tr w:rsidR="00ED6417" w:rsidRPr="00ED6417" w14:paraId="41C1A937" w14:textId="77777777" w:rsidTr="00ED6417">
        <w:trPr>
          <w:jc w:val="center"/>
        </w:trPr>
        <w:tc>
          <w:tcPr>
            <w:tcW w:w="1388" w:type="dxa"/>
            <w:noWrap/>
            <w:vAlign w:val="bottom"/>
          </w:tcPr>
          <w:p w14:paraId="101832D5" w14:textId="77777777" w:rsidR="00ED6417" w:rsidRPr="00ED6417" w:rsidRDefault="00ED6417" w:rsidP="00ED6417">
            <w:pPr>
              <w:spacing w:before="0" w:after="0"/>
              <w:jc w:val="center"/>
              <w:rPr>
                <w:color w:val="000000"/>
                <w:sz w:val="16"/>
                <w:szCs w:val="16"/>
              </w:rPr>
            </w:pPr>
          </w:p>
        </w:tc>
        <w:tc>
          <w:tcPr>
            <w:tcW w:w="1230" w:type="dxa"/>
            <w:tcBorders>
              <w:top w:val="single" w:sz="4" w:space="0" w:color="auto"/>
              <w:left w:val="nil"/>
              <w:right w:val="nil"/>
            </w:tcBorders>
            <w:shd w:val="clear" w:color="auto" w:fill="E7F3F4"/>
            <w:noWrap/>
            <w:vAlign w:val="bottom"/>
            <w:hideMark/>
          </w:tcPr>
          <w:p w14:paraId="0B62D333" w14:textId="77777777" w:rsidR="00ED6417" w:rsidRPr="00ED6417" w:rsidRDefault="00ED6417" w:rsidP="00ED6417">
            <w:pPr>
              <w:spacing w:before="0" w:after="0"/>
              <w:jc w:val="center"/>
              <w:rPr>
                <w:color w:val="000000"/>
                <w:sz w:val="16"/>
                <w:szCs w:val="16"/>
              </w:rPr>
            </w:pPr>
            <w:r w:rsidRPr="00ED6417">
              <w:rPr>
                <w:color w:val="000000"/>
                <w:sz w:val="16"/>
                <w:szCs w:val="16"/>
              </w:rPr>
              <w:t>Piper Reef</w:t>
            </w:r>
          </w:p>
        </w:tc>
        <w:tc>
          <w:tcPr>
            <w:tcW w:w="560" w:type="dxa"/>
            <w:tcBorders>
              <w:top w:val="single" w:sz="4" w:space="0" w:color="auto"/>
              <w:left w:val="nil"/>
              <w:right w:val="nil"/>
            </w:tcBorders>
            <w:shd w:val="clear" w:color="auto" w:fill="E7F3F4"/>
            <w:noWrap/>
            <w:vAlign w:val="bottom"/>
            <w:hideMark/>
          </w:tcPr>
          <w:p w14:paraId="694CF962" w14:textId="77777777" w:rsidR="00ED6417" w:rsidRPr="00ED6417" w:rsidRDefault="00ED6417" w:rsidP="00ED6417">
            <w:pPr>
              <w:spacing w:before="0" w:after="0"/>
              <w:jc w:val="center"/>
              <w:rPr>
                <w:sz w:val="16"/>
                <w:szCs w:val="16"/>
              </w:rPr>
            </w:pPr>
            <w:r w:rsidRPr="00ED6417">
              <w:rPr>
                <w:sz w:val="16"/>
                <w:szCs w:val="16"/>
              </w:rPr>
              <w:t>FR1</w:t>
            </w:r>
          </w:p>
        </w:tc>
        <w:tc>
          <w:tcPr>
            <w:tcW w:w="951" w:type="dxa"/>
            <w:tcBorders>
              <w:top w:val="single" w:sz="4" w:space="0" w:color="auto"/>
              <w:left w:val="nil"/>
              <w:right w:val="nil"/>
            </w:tcBorders>
            <w:shd w:val="clear" w:color="auto" w:fill="E7F3F4"/>
            <w:noWrap/>
            <w:vAlign w:val="bottom"/>
            <w:hideMark/>
          </w:tcPr>
          <w:p w14:paraId="490804BC" w14:textId="5CDE8572" w:rsidR="00ED6417" w:rsidRPr="00ED6417" w:rsidRDefault="00ED6417" w:rsidP="00ED6417">
            <w:pPr>
              <w:spacing w:before="0" w:after="0"/>
              <w:jc w:val="center"/>
              <w:rPr>
                <w:sz w:val="16"/>
                <w:szCs w:val="16"/>
              </w:rPr>
            </w:pPr>
            <w:r w:rsidRPr="00ED6417">
              <w:rPr>
                <w:sz w:val="16"/>
                <w:szCs w:val="16"/>
              </w:rPr>
              <w:t>01-Oct-16</w:t>
            </w:r>
          </w:p>
        </w:tc>
        <w:tc>
          <w:tcPr>
            <w:tcW w:w="815" w:type="dxa"/>
            <w:tcBorders>
              <w:top w:val="single" w:sz="4" w:space="0" w:color="auto"/>
              <w:left w:val="nil"/>
              <w:right w:val="nil"/>
            </w:tcBorders>
            <w:shd w:val="clear" w:color="auto" w:fill="E7F3F4"/>
            <w:noWrap/>
            <w:vAlign w:val="bottom"/>
            <w:hideMark/>
          </w:tcPr>
          <w:p w14:paraId="53AA7BDC" w14:textId="66E8ECD6" w:rsidR="00ED6417" w:rsidRPr="00ED6417" w:rsidRDefault="00ED6417" w:rsidP="00ED6417">
            <w:pPr>
              <w:spacing w:before="0" w:after="0"/>
              <w:jc w:val="center"/>
              <w:rPr>
                <w:sz w:val="16"/>
                <w:szCs w:val="16"/>
              </w:rPr>
            </w:pPr>
            <w:r w:rsidRPr="00ED6417">
              <w:rPr>
                <w:sz w:val="16"/>
                <w:szCs w:val="16"/>
              </w:rPr>
              <w:t>11.0</w:t>
            </w:r>
          </w:p>
        </w:tc>
        <w:tc>
          <w:tcPr>
            <w:tcW w:w="823" w:type="dxa"/>
            <w:tcBorders>
              <w:top w:val="single" w:sz="4" w:space="0" w:color="auto"/>
              <w:left w:val="nil"/>
              <w:right w:val="nil"/>
            </w:tcBorders>
            <w:shd w:val="clear" w:color="auto" w:fill="E7F3F4"/>
            <w:noWrap/>
            <w:vAlign w:val="bottom"/>
            <w:hideMark/>
          </w:tcPr>
          <w:p w14:paraId="4E5E7F69" w14:textId="7EE0B4DD" w:rsidR="00ED6417" w:rsidRPr="00ED6417" w:rsidRDefault="00ED6417" w:rsidP="00ED6417">
            <w:pPr>
              <w:spacing w:before="0" w:after="0"/>
              <w:jc w:val="center"/>
              <w:rPr>
                <w:sz w:val="16"/>
                <w:szCs w:val="16"/>
              </w:rPr>
            </w:pPr>
            <w:r w:rsidRPr="00ED6417">
              <w:rPr>
                <w:sz w:val="16"/>
                <w:szCs w:val="16"/>
              </w:rPr>
              <w:t>11</w:t>
            </w:r>
          </w:p>
        </w:tc>
        <w:tc>
          <w:tcPr>
            <w:tcW w:w="967" w:type="dxa"/>
            <w:tcBorders>
              <w:top w:val="single" w:sz="4" w:space="0" w:color="auto"/>
              <w:left w:val="nil"/>
              <w:right w:val="nil"/>
            </w:tcBorders>
            <w:shd w:val="clear" w:color="auto" w:fill="E7F3F4"/>
            <w:noWrap/>
            <w:vAlign w:val="bottom"/>
            <w:hideMark/>
          </w:tcPr>
          <w:p w14:paraId="1A4ACCD8" w14:textId="21699563" w:rsidR="00ED6417" w:rsidRPr="00ED6417" w:rsidRDefault="00ED6417" w:rsidP="00ED6417">
            <w:pPr>
              <w:spacing w:before="0" w:after="0"/>
              <w:jc w:val="center"/>
              <w:rPr>
                <w:sz w:val="16"/>
                <w:szCs w:val="16"/>
              </w:rPr>
            </w:pPr>
            <w:r w:rsidRPr="00ED6417">
              <w:rPr>
                <w:sz w:val="16"/>
                <w:szCs w:val="16"/>
              </w:rPr>
              <w:t>16.8</w:t>
            </w:r>
          </w:p>
        </w:tc>
        <w:tc>
          <w:tcPr>
            <w:tcW w:w="967" w:type="dxa"/>
            <w:tcBorders>
              <w:top w:val="single" w:sz="4" w:space="0" w:color="auto"/>
              <w:left w:val="nil"/>
              <w:right w:val="nil"/>
            </w:tcBorders>
            <w:shd w:val="clear" w:color="auto" w:fill="E7F3F4"/>
            <w:noWrap/>
            <w:vAlign w:val="bottom"/>
            <w:hideMark/>
          </w:tcPr>
          <w:p w14:paraId="42A12AF3" w14:textId="644763A0" w:rsidR="00ED6417" w:rsidRPr="00ED6417" w:rsidRDefault="00ED6417" w:rsidP="00ED6417">
            <w:pPr>
              <w:spacing w:before="0" w:after="0"/>
              <w:jc w:val="center"/>
              <w:rPr>
                <w:sz w:val="16"/>
                <w:szCs w:val="16"/>
              </w:rPr>
            </w:pPr>
            <w:r w:rsidRPr="00ED6417">
              <w:rPr>
                <w:sz w:val="16"/>
                <w:szCs w:val="16"/>
              </w:rPr>
              <w:t>18.9</w:t>
            </w:r>
          </w:p>
        </w:tc>
        <w:tc>
          <w:tcPr>
            <w:tcW w:w="967" w:type="dxa"/>
            <w:tcBorders>
              <w:top w:val="single" w:sz="4" w:space="0" w:color="auto"/>
              <w:left w:val="nil"/>
              <w:right w:val="nil"/>
            </w:tcBorders>
            <w:shd w:val="clear" w:color="auto" w:fill="E7F3F4"/>
            <w:noWrap/>
            <w:vAlign w:val="bottom"/>
            <w:hideMark/>
          </w:tcPr>
          <w:p w14:paraId="3BF973C2" w14:textId="4049A663" w:rsidR="00ED6417" w:rsidRPr="00ED6417" w:rsidRDefault="00ED6417" w:rsidP="00ED6417">
            <w:pPr>
              <w:spacing w:before="0" w:after="0"/>
              <w:jc w:val="center"/>
              <w:rPr>
                <w:sz w:val="16"/>
                <w:szCs w:val="16"/>
              </w:rPr>
            </w:pPr>
            <w:r w:rsidRPr="00ED6417">
              <w:rPr>
                <w:sz w:val="16"/>
                <w:szCs w:val="16"/>
              </w:rPr>
              <w:t>23.7</w:t>
            </w:r>
          </w:p>
        </w:tc>
        <w:tc>
          <w:tcPr>
            <w:tcW w:w="650" w:type="dxa"/>
            <w:tcBorders>
              <w:top w:val="single" w:sz="4" w:space="0" w:color="auto"/>
              <w:left w:val="nil"/>
              <w:right w:val="nil"/>
            </w:tcBorders>
            <w:shd w:val="clear" w:color="auto" w:fill="E7F3F4"/>
            <w:noWrap/>
            <w:vAlign w:val="bottom"/>
            <w:hideMark/>
          </w:tcPr>
          <w:p w14:paraId="6BDABE41" w14:textId="452AE746" w:rsidR="00ED6417" w:rsidRPr="00ED6417" w:rsidRDefault="00ED6417" w:rsidP="00ED6417">
            <w:pPr>
              <w:spacing w:before="0" w:after="0"/>
              <w:jc w:val="center"/>
              <w:rPr>
                <w:sz w:val="16"/>
                <w:szCs w:val="16"/>
              </w:rPr>
            </w:pPr>
            <w:r w:rsidRPr="00ED6417">
              <w:rPr>
                <w:sz w:val="16"/>
                <w:szCs w:val="16"/>
              </w:rPr>
              <w:t>25</w:t>
            </w:r>
          </w:p>
        </w:tc>
      </w:tr>
      <w:tr w:rsidR="00ED6417" w:rsidRPr="00ED6417" w14:paraId="2EEBE56B" w14:textId="77777777" w:rsidTr="00ED6417">
        <w:trPr>
          <w:jc w:val="center"/>
        </w:trPr>
        <w:tc>
          <w:tcPr>
            <w:tcW w:w="1388" w:type="dxa"/>
            <w:noWrap/>
            <w:vAlign w:val="bottom"/>
          </w:tcPr>
          <w:p w14:paraId="32774FAC" w14:textId="77777777" w:rsidR="00ED6417" w:rsidRPr="00ED6417" w:rsidRDefault="00ED6417" w:rsidP="00ED6417">
            <w:pPr>
              <w:spacing w:before="0" w:after="0"/>
              <w:jc w:val="center"/>
              <w:rPr>
                <w:color w:val="000000"/>
                <w:sz w:val="16"/>
                <w:szCs w:val="16"/>
              </w:rPr>
            </w:pPr>
          </w:p>
        </w:tc>
        <w:tc>
          <w:tcPr>
            <w:tcW w:w="1230" w:type="dxa"/>
            <w:tcBorders>
              <w:left w:val="nil"/>
              <w:bottom w:val="single" w:sz="4" w:space="0" w:color="auto"/>
              <w:right w:val="nil"/>
            </w:tcBorders>
            <w:shd w:val="clear" w:color="auto" w:fill="E7F3F4"/>
            <w:noWrap/>
            <w:vAlign w:val="bottom"/>
          </w:tcPr>
          <w:p w14:paraId="2638464A" w14:textId="77777777" w:rsidR="00ED6417" w:rsidRPr="00ED6417" w:rsidRDefault="00ED6417" w:rsidP="00ED6417">
            <w:pPr>
              <w:spacing w:before="0" w:after="0"/>
              <w:jc w:val="center"/>
              <w:rPr>
                <w:color w:val="000000"/>
                <w:sz w:val="16"/>
                <w:szCs w:val="16"/>
              </w:rPr>
            </w:pPr>
          </w:p>
        </w:tc>
        <w:tc>
          <w:tcPr>
            <w:tcW w:w="560" w:type="dxa"/>
            <w:tcBorders>
              <w:left w:val="nil"/>
              <w:bottom w:val="single" w:sz="4" w:space="0" w:color="auto"/>
              <w:right w:val="nil"/>
            </w:tcBorders>
            <w:shd w:val="clear" w:color="auto" w:fill="E7F3F4"/>
            <w:noWrap/>
            <w:vAlign w:val="bottom"/>
          </w:tcPr>
          <w:p w14:paraId="57ED5654" w14:textId="2ACCF7D7" w:rsidR="00ED6417" w:rsidRPr="00ED6417" w:rsidRDefault="00ED6417" w:rsidP="00ED6417">
            <w:pPr>
              <w:spacing w:before="0" w:after="0"/>
              <w:jc w:val="center"/>
              <w:rPr>
                <w:sz w:val="16"/>
                <w:szCs w:val="16"/>
              </w:rPr>
            </w:pPr>
            <w:r w:rsidRPr="00ED6417">
              <w:rPr>
                <w:sz w:val="16"/>
                <w:szCs w:val="16"/>
              </w:rPr>
              <w:t>FR2</w:t>
            </w:r>
          </w:p>
        </w:tc>
        <w:tc>
          <w:tcPr>
            <w:tcW w:w="951" w:type="dxa"/>
            <w:tcBorders>
              <w:left w:val="nil"/>
              <w:bottom w:val="single" w:sz="4" w:space="0" w:color="auto"/>
              <w:right w:val="nil"/>
            </w:tcBorders>
            <w:shd w:val="clear" w:color="auto" w:fill="E7F3F4"/>
            <w:noWrap/>
            <w:vAlign w:val="bottom"/>
          </w:tcPr>
          <w:p w14:paraId="4715BF5D" w14:textId="3836314C" w:rsidR="00ED6417" w:rsidRPr="00ED6417" w:rsidRDefault="00ED6417" w:rsidP="00ED6417">
            <w:pPr>
              <w:spacing w:before="0" w:after="0"/>
              <w:jc w:val="center"/>
              <w:rPr>
                <w:sz w:val="16"/>
                <w:szCs w:val="16"/>
              </w:rPr>
            </w:pPr>
            <w:r w:rsidRPr="00ED6417">
              <w:rPr>
                <w:sz w:val="16"/>
                <w:szCs w:val="16"/>
              </w:rPr>
              <w:t>01-Oct-16</w:t>
            </w:r>
          </w:p>
        </w:tc>
        <w:tc>
          <w:tcPr>
            <w:tcW w:w="815" w:type="dxa"/>
            <w:tcBorders>
              <w:left w:val="nil"/>
              <w:bottom w:val="single" w:sz="4" w:space="0" w:color="auto"/>
              <w:right w:val="nil"/>
            </w:tcBorders>
            <w:shd w:val="clear" w:color="auto" w:fill="E7F3F4"/>
            <w:noWrap/>
            <w:vAlign w:val="bottom"/>
          </w:tcPr>
          <w:p w14:paraId="285B2D60" w14:textId="19F73C34" w:rsidR="00ED6417" w:rsidRPr="00ED6417" w:rsidRDefault="00ED6417" w:rsidP="00ED6417">
            <w:pPr>
              <w:spacing w:before="0" w:after="0"/>
              <w:jc w:val="center"/>
              <w:rPr>
                <w:sz w:val="16"/>
                <w:szCs w:val="16"/>
              </w:rPr>
            </w:pPr>
            <w:r w:rsidRPr="00ED6417">
              <w:rPr>
                <w:color w:val="000000"/>
                <w:sz w:val="16"/>
                <w:szCs w:val="16"/>
              </w:rPr>
              <w:t>13.8</w:t>
            </w:r>
          </w:p>
        </w:tc>
        <w:tc>
          <w:tcPr>
            <w:tcW w:w="823" w:type="dxa"/>
            <w:tcBorders>
              <w:left w:val="nil"/>
              <w:bottom w:val="single" w:sz="4" w:space="0" w:color="auto"/>
              <w:right w:val="nil"/>
            </w:tcBorders>
            <w:shd w:val="clear" w:color="auto" w:fill="E7F3F4"/>
            <w:noWrap/>
            <w:vAlign w:val="bottom"/>
          </w:tcPr>
          <w:p w14:paraId="4CE88681" w14:textId="3CCD4D37" w:rsidR="00ED6417" w:rsidRPr="00ED6417" w:rsidRDefault="00ED6417" w:rsidP="00ED6417">
            <w:pPr>
              <w:spacing w:before="0" w:after="0"/>
              <w:jc w:val="center"/>
              <w:rPr>
                <w:sz w:val="16"/>
                <w:szCs w:val="16"/>
              </w:rPr>
            </w:pPr>
            <w:r w:rsidRPr="00ED6417">
              <w:rPr>
                <w:color w:val="000000"/>
                <w:sz w:val="16"/>
                <w:szCs w:val="16"/>
              </w:rPr>
              <w:t>12</w:t>
            </w:r>
          </w:p>
        </w:tc>
        <w:tc>
          <w:tcPr>
            <w:tcW w:w="967" w:type="dxa"/>
            <w:tcBorders>
              <w:left w:val="nil"/>
              <w:bottom w:val="single" w:sz="4" w:space="0" w:color="auto"/>
              <w:right w:val="nil"/>
            </w:tcBorders>
            <w:shd w:val="clear" w:color="auto" w:fill="E7F3F4"/>
            <w:noWrap/>
            <w:vAlign w:val="bottom"/>
          </w:tcPr>
          <w:p w14:paraId="0F7CD969" w14:textId="2B1804E8" w:rsidR="00ED6417" w:rsidRPr="00ED6417" w:rsidRDefault="00ED6417" w:rsidP="00ED6417">
            <w:pPr>
              <w:spacing w:before="0" w:after="0"/>
              <w:jc w:val="center"/>
              <w:rPr>
                <w:sz w:val="16"/>
                <w:szCs w:val="16"/>
              </w:rPr>
            </w:pPr>
            <w:r w:rsidRPr="00ED6417">
              <w:rPr>
                <w:color w:val="000000"/>
                <w:sz w:val="16"/>
                <w:szCs w:val="16"/>
              </w:rPr>
              <w:t>16.8</w:t>
            </w:r>
          </w:p>
        </w:tc>
        <w:tc>
          <w:tcPr>
            <w:tcW w:w="967" w:type="dxa"/>
            <w:tcBorders>
              <w:left w:val="nil"/>
              <w:bottom w:val="single" w:sz="4" w:space="0" w:color="auto"/>
              <w:right w:val="nil"/>
            </w:tcBorders>
            <w:shd w:val="clear" w:color="auto" w:fill="E7F3F4"/>
            <w:noWrap/>
            <w:vAlign w:val="bottom"/>
          </w:tcPr>
          <w:p w14:paraId="43AD3CC1" w14:textId="53810E86" w:rsidR="00ED6417" w:rsidRPr="00ED6417" w:rsidRDefault="00ED6417" w:rsidP="00ED6417">
            <w:pPr>
              <w:spacing w:before="0" w:after="0"/>
              <w:jc w:val="center"/>
              <w:rPr>
                <w:sz w:val="16"/>
                <w:szCs w:val="16"/>
              </w:rPr>
            </w:pPr>
            <w:r w:rsidRPr="00ED6417">
              <w:rPr>
                <w:color w:val="000000"/>
                <w:sz w:val="16"/>
                <w:szCs w:val="16"/>
              </w:rPr>
              <w:t>18.9</w:t>
            </w:r>
          </w:p>
        </w:tc>
        <w:tc>
          <w:tcPr>
            <w:tcW w:w="967" w:type="dxa"/>
            <w:tcBorders>
              <w:left w:val="nil"/>
              <w:bottom w:val="single" w:sz="4" w:space="0" w:color="auto"/>
              <w:right w:val="nil"/>
            </w:tcBorders>
            <w:shd w:val="clear" w:color="auto" w:fill="E7F3F4"/>
            <w:noWrap/>
            <w:vAlign w:val="bottom"/>
          </w:tcPr>
          <w:p w14:paraId="68008703" w14:textId="19170725" w:rsidR="00ED6417" w:rsidRPr="00ED6417" w:rsidRDefault="00ED6417" w:rsidP="00ED6417">
            <w:pPr>
              <w:spacing w:before="0" w:after="0"/>
              <w:jc w:val="center"/>
              <w:rPr>
                <w:sz w:val="16"/>
                <w:szCs w:val="16"/>
              </w:rPr>
            </w:pPr>
            <w:r w:rsidRPr="00ED6417">
              <w:rPr>
                <w:color w:val="000000"/>
                <w:sz w:val="16"/>
                <w:szCs w:val="16"/>
              </w:rPr>
              <w:t>23.7</w:t>
            </w:r>
          </w:p>
        </w:tc>
        <w:tc>
          <w:tcPr>
            <w:tcW w:w="650" w:type="dxa"/>
            <w:tcBorders>
              <w:left w:val="nil"/>
              <w:bottom w:val="single" w:sz="4" w:space="0" w:color="auto"/>
              <w:right w:val="nil"/>
            </w:tcBorders>
            <w:shd w:val="clear" w:color="auto" w:fill="E7F3F4"/>
            <w:noWrap/>
            <w:vAlign w:val="bottom"/>
          </w:tcPr>
          <w:p w14:paraId="77486231" w14:textId="2379CF77" w:rsidR="00ED6417" w:rsidRPr="00ED6417" w:rsidRDefault="00ED6417" w:rsidP="00ED6417">
            <w:pPr>
              <w:spacing w:before="0" w:after="0"/>
              <w:jc w:val="center"/>
              <w:rPr>
                <w:sz w:val="16"/>
                <w:szCs w:val="16"/>
              </w:rPr>
            </w:pPr>
            <w:r w:rsidRPr="00ED6417">
              <w:rPr>
                <w:color w:val="000000"/>
                <w:sz w:val="16"/>
                <w:szCs w:val="16"/>
              </w:rPr>
              <w:t>25</w:t>
            </w:r>
          </w:p>
        </w:tc>
      </w:tr>
      <w:tr w:rsidR="00ED6417" w:rsidRPr="00ED6417" w14:paraId="6BD90FED" w14:textId="77777777" w:rsidTr="003252FD">
        <w:trPr>
          <w:jc w:val="center"/>
        </w:trPr>
        <w:tc>
          <w:tcPr>
            <w:tcW w:w="1388" w:type="dxa"/>
            <w:noWrap/>
            <w:vAlign w:val="bottom"/>
          </w:tcPr>
          <w:p w14:paraId="3D858882" w14:textId="77777777" w:rsidR="00ED6417" w:rsidRPr="00ED6417" w:rsidRDefault="00ED6417" w:rsidP="00ED6417">
            <w:pPr>
              <w:spacing w:before="0" w:after="0"/>
              <w:jc w:val="center"/>
              <w:rPr>
                <w:sz w:val="16"/>
                <w:szCs w:val="16"/>
              </w:rPr>
            </w:pPr>
          </w:p>
        </w:tc>
        <w:tc>
          <w:tcPr>
            <w:tcW w:w="1230" w:type="dxa"/>
            <w:tcBorders>
              <w:top w:val="single" w:sz="4" w:space="0" w:color="auto"/>
              <w:left w:val="nil"/>
              <w:right w:val="nil"/>
            </w:tcBorders>
            <w:shd w:val="clear" w:color="auto" w:fill="F3F9FA"/>
            <w:noWrap/>
            <w:vAlign w:val="bottom"/>
            <w:hideMark/>
          </w:tcPr>
          <w:p w14:paraId="46D2C1C9" w14:textId="77777777" w:rsidR="00ED6417" w:rsidRPr="00ED6417" w:rsidRDefault="00ED6417" w:rsidP="00ED6417">
            <w:pPr>
              <w:spacing w:before="0" w:after="0"/>
              <w:jc w:val="center"/>
              <w:rPr>
                <w:sz w:val="16"/>
                <w:szCs w:val="16"/>
              </w:rPr>
            </w:pPr>
            <w:r w:rsidRPr="00ED6417">
              <w:rPr>
                <w:sz w:val="16"/>
                <w:szCs w:val="16"/>
              </w:rPr>
              <w:t>Stanley Island</w:t>
            </w:r>
          </w:p>
        </w:tc>
        <w:tc>
          <w:tcPr>
            <w:tcW w:w="560" w:type="dxa"/>
            <w:tcBorders>
              <w:top w:val="single" w:sz="4" w:space="0" w:color="auto"/>
              <w:left w:val="nil"/>
              <w:right w:val="nil"/>
            </w:tcBorders>
            <w:shd w:val="clear" w:color="auto" w:fill="F3F9FA"/>
            <w:noWrap/>
            <w:vAlign w:val="bottom"/>
            <w:hideMark/>
          </w:tcPr>
          <w:p w14:paraId="1E611EB4" w14:textId="77777777" w:rsidR="00ED6417" w:rsidRPr="00ED6417" w:rsidRDefault="00ED6417" w:rsidP="00ED6417">
            <w:pPr>
              <w:spacing w:before="0" w:after="0"/>
              <w:jc w:val="center"/>
              <w:rPr>
                <w:sz w:val="16"/>
                <w:szCs w:val="16"/>
              </w:rPr>
            </w:pPr>
            <w:r w:rsidRPr="00ED6417">
              <w:rPr>
                <w:sz w:val="16"/>
                <w:szCs w:val="16"/>
              </w:rPr>
              <w:t>ST1</w:t>
            </w:r>
          </w:p>
        </w:tc>
        <w:tc>
          <w:tcPr>
            <w:tcW w:w="951" w:type="dxa"/>
            <w:tcBorders>
              <w:top w:val="single" w:sz="4" w:space="0" w:color="auto"/>
              <w:left w:val="nil"/>
              <w:right w:val="nil"/>
            </w:tcBorders>
            <w:shd w:val="clear" w:color="auto" w:fill="F3F9FA"/>
            <w:noWrap/>
            <w:vAlign w:val="bottom"/>
            <w:hideMark/>
          </w:tcPr>
          <w:p w14:paraId="0EE39B56" w14:textId="4FED355E" w:rsidR="00ED6417" w:rsidRPr="00ED6417" w:rsidRDefault="00ED6417" w:rsidP="00ED6417">
            <w:pPr>
              <w:spacing w:before="0" w:after="0"/>
              <w:jc w:val="center"/>
              <w:rPr>
                <w:sz w:val="16"/>
                <w:szCs w:val="16"/>
              </w:rPr>
            </w:pPr>
            <w:r w:rsidRPr="00ED6417">
              <w:rPr>
                <w:sz w:val="16"/>
                <w:szCs w:val="16"/>
              </w:rPr>
              <w:t>01-Oct-16</w:t>
            </w:r>
          </w:p>
        </w:tc>
        <w:tc>
          <w:tcPr>
            <w:tcW w:w="815" w:type="dxa"/>
            <w:tcBorders>
              <w:top w:val="single" w:sz="4" w:space="0" w:color="auto"/>
              <w:left w:val="nil"/>
              <w:right w:val="nil"/>
            </w:tcBorders>
            <w:shd w:val="clear" w:color="auto" w:fill="F3F9FA"/>
            <w:noWrap/>
            <w:vAlign w:val="bottom"/>
            <w:hideMark/>
          </w:tcPr>
          <w:p w14:paraId="4CCAF1B5" w14:textId="03179532" w:rsidR="00ED6417" w:rsidRPr="00ED6417" w:rsidRDefault="00ED6417" w:rsidP="00ED6417">
            <w:pPr>
              <w:spacing w:before="0" w:after="0"/>
              <w:jc w:val="center"/>
              <w:rPr>
                <w:sz w:val="16"/>
                <w:szCs w:val="16"/>
              </w:rPr>
            </w:pPr>
            <w:r w:rsidRPr="00ED6417">
              <w:rPr>
                <w:sz w:val="16"/>
                <w:szCs w:val="16"/>
              </w:rPr>
              <w:t>10.5</w:t>
            </w:r>
          </w:p>
        </w:tc>
        <w:tc>
          <w:tcPr>
            <w:tcW w:w="823" w:type="dxa"/>
            <w:tcBorders>
              <w:top w:val="single" w:sz="4" w:space="0" w:color="auto"/>
              <w:left w:val="nil"/>
              <w:right w:val="nil"/>
            </w:tcBorders>
            <w:shd w:val="clear" w:color="auto" w:fill="F3F9FA"/>
            <w:noWrap/>
            <w:vAlign w:val="bottom"/>
            <w:hideMark/>
          </w:tcPr>
          <w:p w14:paraId="20A780D3" w14:textId="746E166B" w:rsidR="00ED6417" w:rsidRPr="00ED6417" w:rsidRDefault="00ED6417" w:rsidP="00ED6417">
            <w:pPr>
              <w:spacing w:before="0" w:after="0"/>
              <w:jc w:val="center"/>
              <w:rPr>
                <w:sz w:val="16"/>
                <w:szCs w:val="16"/>
              </w:rPr>
            </w:pPr>
            <w:r w:rsidRPr="00ED6417">
              <w:rPr>
                <w:sz w:val="16"/>
                <w:szCs w:val="16"/>
              </w:rPr>
              <w:t>10</w:t>
            </w:r>
          </w:p>
        </w:tc>
        <w:tc>
          <w:tcPr>
            <w:tcW w:w="967" w:type="dxa"/>
            <w:tcBorders>
              <w:top w:val="single" w:sz="4" w:space="0" w:color="auto"/>
              <w:left w:val="nil"/>
              <w:right w:val="nil"/>
            </w:tcBorders>
            <w:shd w:val="clear" w:color="auto" w:fill="F3F9FA"/>
            <w:noWrap/>
            <w:vAlign w:val="bottom"/>
            <w:hideMark/>
          </w:tcPr>
          <w:p w14:paraId="5505F0D9" w14:textId="5E689808" w:rsidR="00ED6417" w:rsidRPr="00ED6417" w:rsidRDefault="00ED6417" w:rsidP="00ED6417">
            <w:pPr>
              <w:spacing w:before="0" w:after="0"/>
              <w:jc w:val="center"/>
              <w:rPr>
                <w:sz w:val="16"/>
                <w:szCs w:val="16"/>
              </w:rPr>
            </w:pPr>
            <w:r w:rsidRPr="00ED6417">
              <w:rPr>
                <w:sz w:val="16"/>
                <w:szCs w:val="16"/>
              </w:rPr>
              <w:t>16.8</w:t>
            </w:r>
          </w:p>
        </w:tc>
        <w:tc>
          <w:tcPr>
            <w:tcW w:w="967" w:type="dxa"/>
            <w:tcBorders>
              <w:top w:val="single" w:sz="4" w:space="0" w:color="auto"/>
              <w:left w:val="nil"/>
              <w:right w:val="nil"/>
            </w:tcBorders>
            <w:shd w:val="clear" w:color="auto" w:fill="F3F9FA"/>
            <w:noWrap/>
            <w:vAlign w:val="bottom"/>
            <w:hideMark/>
          </w:tcPr>
          <w:p w14:paraId="5FF598A3" w14:textId="458E431E" w:rsidR="00ED6417" w:rsidRPr="00ED6417" w:rsidRDefault="00ED6417" w:rsidP="00ED6417">
            <w:pPr>
              <w:spacing w:before="0" w:after="0"/>
              <w:jc w:val="center"/>
              <w:rPr>
                <w:sz w:val="16"/>
                <w:szCs w:val="16"/>
              </w:rPr>
            </w:pPr>
            <w:r w:rsidRPr="00ED6417">
              <w:rPr>
                <w:sz w:val="16"/>
                <w:szCs w:val="16"/>
              </w:rPr>
              <w:t>18.9</w:t>
            </w:r>
          </w:p>
        </w:tc>
        <w:tc>
          <w:tcPr>
            <w:tcW w:w="967" w:type="dxa"/>
            <w:tcBorders>
              <w:top w:val="single" w:sz="4" w:space="0" w:color="auto"/>
              <w:left w:val="nil"/>
              <w:right w:val="nil"/>
            </w:tcBorders>
            <w:shd w:val="clear" w:color="auto" w:fill="F3F9FA"/>
            <w:noWrap/>
            <w:vAlign w:val="bottom"/>
            <w:hideMark/>
          </w:tcPr>
          <w:p w14:paraId="6BED7CF4" w14:textId="26DD5E3F" w:rsidR="00ED6417" w:rsidRPr="00ED6417" w:rsidRDefault="00ED6417" w:rsidP="00ED6417">
            <w:pPr>
              <w:spacing w:before="0" w:after="0"/>
              <w:jc w:val="center"/>
              <w:rPr>
                <w:sz w:val="16"/>
                <w:szCs w:val="16"/>
              </w:rPr>
            </w:pPr>
            <w:r w:rsidRPr="00ED6417">
              <w:rPr>
                <w:sz w:val="16"/>
                <w:szCs w:val="16"/>
              </w:rPr>
              <w:t>23.7</w:t>
            </w:r>
          </w:p>
        </w:tc>
        <w:tc>
          <w:tcPr>
            <w:tcW w:w="650" w:type="dxa"/>
            <w:tcBorders>
              <w:top w:val="single" w:sz="4" w:space="0" w:color="auto"/>
              <w:left w:val="nil"/>
              <w:right w:val="nil"/>
            </w:tcBorders>
            <w:shd w:val="clear" w:color="auto" w:fill="F3F9FA"/>
            <w:noWrap/>
            <w:vAlign w:val="bottom"/>
            <w:hideMark/>
          </w:tcPr>
          <w:p w14:paraId="10DF9162" w14:textId="508D19A1" w:rsidR="00ED6417" w:rsidRPr="00ED6417" w:rsidRDefault="00ED6417" w:rsidP="00ED6417">
            <w:pPr>
              <w:spacing w:before="0" w:after="0"/>
              <w:jc w:val="center"/>
              <w:rPr>
                <w:sz w:val="16"/>
                <w:szCs w:val="16"/>
              </w:rPr>
            </w:pPr>
            <w:r w:rsidRPr="00ED6417">
              <w:rPr>
                <w:sz w:val="16"/>
                <w:szCs w:val="16"/>
              </w:rPr>
              <w:t>0</w:t>
            </w:r>
          </w:p>
        </w:tc>
      </w:tr>
      <w:tr w:rsidR="00ED6417" w:rsidRPr="00ED6417" w14:paraId="5C706342" w14:textId="77777777" w:rsidTr="003252FD">
        <w:trPr>
          <w:jc w:val="center"/>
        </w:trPr>
        <w:tc>
          <w:tcPr>
            <w:tcW w:w="1388" w:type="dxa"/>
            <w:tcBorders>
              <w:bottom w:val="single" w:sz="4" w:space="0" w:color="auto"/>
            </w:tcBorders>
            <w:noWrap/>
            <w:vAlign w:val="bottom"/>
          </w:tcPr>
          <w:p w14:paraId="28283459" w14:textId="77777777" w:rsidR="00ED6417" w:rsidRPr="00ED6417" w:rsidRDefault="00ED6417" w:rsidP="00ED6417">
            <w:pPr>
              <w:spacing w:before="0" w:after="0"/>
              <w:jc w:val="center"/>
              <w:rPr>
                <w:sz w:val="16"/>
                <w:szCs w:val="16"/>
              </w:rPr>
            </w:pPr>
          </w:p>
        </w:tc>
        <w:tc>
          <w:tcPr>
            <w:tcW w:w="1230" w:type="dxa"/>
            <w:tcBorders>
              <w:left w:val="nil"/>
              <w:bottom w:val="single" w:sz="4" w:space="0" w:color="auto"/>
              <w:right w:val="nil"/>
            </w:tcBorders>
            <w:shd w:val="clear" w:color="auto" w:fill="F3F9FA"/>
            <w:noWrap/>
            <w:vAlign w:val="bottom"/>
          </w:tcPr>
          <w:p w14:paraId="296D0F4D" w14:textId="77777777" w:rsidR="00ED6417" w:rsidRPr="00ED6417" w:rsidRDefault="00ED6417" w:rsidP="00ED6417">
            <w:pPr>
              <w:spacing w:before="0" w:after="0"/>
              <w:jc w:val="center"/>
              <w:rPr>
                <w:sz w:val="16"/>
                <w:szCs w:val="16"/>
              </w:rPr>
            </w:pPr>
          </w:p>
        </w:tc>
        <w:tc>
          <w:tcPr>
            <w:tcW w:w="560" w:type="dxa"/>
            <w:tcBorders>
              <w:left w:val="nil"/>
              <w:bottom w:val="single" w:sz="4" w:space="0" w:color="auto"/>
              <w:right w:val="nil"/>
            </w:tcBorders>
            <w:shd w:val="clear" w:color="auto" w:fill="F3F9FA"/>
            <w:noWrap/>
            <w:vAlign w:val="bottom"/>
            <w:hideMark/>
          </w:tcPr>
          <w:p w14:paraId="57F0D610" w14:textId="77777777" w:rsidR="00ED6417" w:rsidRPr="00ED6417" w:rsidRDefault="00ED6417" w:rsidP="00ED6417">
            <w:pPr>
              <w:spacing w:before="0" w:after="0"/>
              <w:jc w:val="center"/>
              <w:rPr>
                <w:sz w:val="16"/>
                <w:szCs w:val="16"/>
              </w:rPr>
            </w:pPr>
            <w:r w:rsidRPr="00ED6417">
              <w:rPr>
                <w:sz w:val="16"/>
                <w:szCs w:val="16"/>
              </w:rPr>
              <w:t>ST2</w:t>
            </w:r>
          </w:p>
        </w:tc>
        <w:tc>
          <w:tcPr>
            <w:tcW w:w="951" w:type="dxa"/>
            <w:tcBorders>
              <w:left w:val="nil"/>
              <w:bottom w:val="single" w:sz="4" w:space="0" w:color="auto"/>
              <w:right w:val="nil"/>
            </w:tcBorders>
            <w:shd w:val="clear" w:color="auto" w:fill="F3F9FA"/>
            <w:noWrap/>
            <w:vAlign w:val="bottom"/>
            <w:hideMark/>
          </w:tcPr>
          <w:p w14:paraId="4D50FC87" w14:textId="5E53FCE9" w:rsidR="00ED6417" w:rsidRPr="00ED6417" w:rsidRDefault="00ED6417" w:rsidP="00ED6417">
            <w:pPr>
              <w:spacing w:before="0" w:after="0"/>
              <w:jc w:val="center"/>
              <w:rPr>
                <w:sz w:val="16"/>
                <w:szCs w:val="16"/>
              </w:rPr>
            </w:pPr>
            <w:r w:rsidRPr="00ED6417">
              <w:rPr>
                <w:sz w:val="16"/>
                <w:szCs w:val="16"/>
              </w:rPr>
              <w:t>01-Oct-16</w:t>
            </w:r>
          </w:p>
        </w:tc>
        <w:tc>
          <w:tcPr>
            <w:tcW w:w="815" w:type="dxa"/>
            <w:tcBorders>
              <w:left w:val="nil"/>
              <w:bottom w:val="single" w:sz="4" w:space="0" w:color="auto"/>
              <w:right w:val="nil"/>
            </w:tcBorders>
            <w:shd w:val="clear" w:color="auto" w:fill="F3F9FA"/>
            <w:noWrap/>
            <w:vAlign w:val="bottom"/>
            <w:hideMark/>
          </w:tcPr>
          <w:p w14:paraId="36F4A348" w14:textId="356D05FD" w:rsidR="00ED6417" w:rsidRPr="00ED6417" w:rsidRDefault="00ED6417" w:rsidP="00ED6417">
            <w:pPr>
              <w:spacing w:before="0" w:after="0"/>
              <w:jc w:val="center"/>
              <w:rPr>
                <w:sz w:val="16"/>
                <w:szCs w:val="16"/>
              </w:rPr>
            </w:pPr>
            <w:r w:rsidRPr="00ED6417">
              <w:rPr>
                <w:sz w:val="16"/>
                <w:szCs w:val="16"/>
              </w:rPr>
              <w:t>9.8</w:t>
            </w:r>
          </w:p>
        </w:tc>
        <w:tc>
          <w:tcPr>
            <w:tcW w:w="823" w:type="dxa"/>
            <w:tcBorders>
              <w:left w:val="nil"/>
              <w:bottom w:val="single" w:sz="4" w:space="0" w:color="auto"/>
              <w:right w:val="nil"/>
            </w:tcBorders>
            <w:shd w:val="clear" w:color="auto" w:fill="F3F9FA"/>
            <w:noWrap/>
            <w:vAlign w:val="bottom"/>
            <w:hideMark/>
          </w:tcPr>
          <w:p w14:paraId="6228CBA2" w14:textId="30CD904D" w:rsidR="00ED6417" w:rsidRPr="00ED6417" w:rsidRDefault="00ED6417" w:rsidP="00ED6417">
            <w:pPr>
              <w:spacing w:before="0" w:after="0"/>
              <w:jc w:val="center"/>
              <w:rPr>
                <w:sz w:val="16"/>
                <w:szCs w:val="16"/>
              </w:rPr>
            </w:pPr>
            <w:r w:rsidRPr="00ED6417">
              <w:rPr>
                <w:sz w:val="16"/>
                <w:szCs w:val="16"/>
              </w:rPr>
              <w:t>10</w:t>
            </w:r>
          </w:p>
        </w:tc>
        <w:tc>
          <w:tcPr>
            <w:tcW w:w="967" w:type="dxa"/>
            <w:tcBorders>
              <w:left w:val="nil"/>
              <w:bottom w:val="single" w:sz="4" w:space="0" w:color="auto"/>
              <w:right w:val="nil"/>
            </w:tcBorders>
            <w:shd w:val="clear" w:color="auto" w:fill="F3F9FA"/>
            <w:noWrap/>
            <w:vAlign w:val="bottom"/>
            <w:hideMark/>
          </w:tcPr>
          <w:p w14:paraId="5218F4D2" w14:textId="150014CA" w:rsidR="00ED6417" w:rsidRPr="00ED6417" w:rsidRDefault="00ED6417" w:rsidP="00ED6417">
            <w:pPr>
              <w:spacing w:before="0" w:after="0"/>
              <w:jc w:val="center"/>
              <w:rPr>
                <w:sz w:val="16"/>
                <w:szCs w:val="16"/>
              </w:rPr>
            </w:pPr>
            <w:r w:rsidRPr="00ED6417">
              <w:rPr>
                <w:sz w:val="16"/>
                <w:szCs w:val="16"/>
              </w:rPr>
              <w:t>16.8</w:t>
            </w:r>
          </w:p>
        </w:tc>
        <w:tc>
          <w:tcPr>
            <w:tcW w:w="967" w:type="dxa"/>
            <w:tcBorders>
              <w:left w:val="nil"/>
              <w:bottom w:val="single" w:sz="4" w:space="0" w:color="auto"/>
              <w:right w:val="nil"/>
            </w:tcBorders>
            <w:shd w:val="clear" w:color="auto" w:fill="F3F9FA"/>
            <w:noWrap/>
            <w:vAlign w:val="bottom"/>
            <w:hideMark/>
          </w:tcPr>
          <w:p w14:paraId="2274F681" w14:textId="56AC24B5" w:rsidR="00ED6417" w:rsidRPr="00ED6417" w:rsidRDefault="00ED6417" w:rsidP="00ED6417">
            <w:pPr>
              <w:spacing w:before="0" w:after="0"/>
              <w:jc w:val="center"/>
              <w:rPr>
                <w:sz w:val="16"/>
                <w:szCs w:val="16"/>
              </w:rPr>
            </w:pPr>
            <w:r w:rsidRPr="00ED6417">
              <w:rPr>
                <w:sz w:val="16"/>
                <w:szCs w:val="16"/>
              </w:rPr>
              <w:t>18.9</w:t>
            </w:r>
          </w:p>
        </w:tc>
        <w:tc>
          <w:tcPr>
            <w:tcW w:w="967" w:type="dxa"/>
            <w:tcBorders>
              <w:left w:val="nil"/>
              <w:bottom w:val="single" w:sz="4" w:space="0" w:color="auto"/>
              <w:right w:val="nil"/>
            </w:tcBorders>
            <w:shd w:val="clear" w:color="auto" w:fill="F3F9FA"/>
            <w:noWrap/>
            <w:vAlign w:val="bottom"/>
            <w:hideMark/>
          </w:tcPr>
          <w:p w14:paraId="7C218103" w14:textId="698EB88A" w:rsidR="00ED6417" w:rsidRPr="00ED6417" w:rsidRDefault="00ED6417" w:rsidP="00ED6417">
            <w:pPr>
              <w:spacing w:before="0" w:after="0"/>
              <w:jc w:val="center"/>
              <w:rPr>
                <w:sz w:val="16"/>
                <w:szCs w:val="16"/>
              </w:rPr>
            </w:pPr>
            <w:r w:rsidRPr="00ED6417">
              <w:rPr>
                <w:sz w:val="16"/>
                <w:szCs w:val="16"/>
              </w:rPr>
              <w:t>23.7</w:t>
            </w:r>
          </w:p>
        </w:tc>
        <w:tc>
          <w:tcPr>
            <w:tcW w:w="650" w:type="dxa"/>
            <w:tcBorders>
              <w:left w:val="nil"/>
              <w:bottom w:val="single" w:sz="4" w:space="0" w:color="auto"/>
              <w:right w:val="nil"/>
            </w:tcBorders>
            <w:shd w:val="clear" w:color="auto" w:fill="F3F9FA"/>
            <w:noWrap/>
            <w:vAlign w:val="bottom"/>
            <w:hideMark/>
          </w:tcPr>
          <w:p w14:paraId="2C5F3B3D" w14:textId="7CAEA74F" w:rsidR="00ED6417" w:rsidRPr="00ED6417" w:rsidRDefault="00ED6417" w:rsidP="00ED6417">
            <w:pPr>
              <w:spacing w:before="0" w:after="0"/>
              <w:jc w:val="center"/>
              <w:rPr>
                <w:sz w:val="16"/>
                <w:szCs w:val="16"/>
              </w:rPr>
            </w:pPr>
            <w:r w:rsidRPr="00ED6417">
              <w:rPr>
                <w:sz w:val="16"/>
                <w:szCs w:val="16"/>
              </w:rPr>
              <w:t>25</w:t>
            </w:r>
          </w:p>
        </w:tc>
      </w:tr>
      <w:tr w:rsidR="003252FD" w:rsidRPr="00ED6417" w14:paraId="001D0E3F" w14:textId="77777777" w:rsidTr="003252FD">
        <w:trPr>
          <w:jc w:val="center"/>
        </w:trPr>
        <w:tc>
          <w:tcPr>
            <w:tcW w:w="1388" w:type="dxa"/>
            <w:tcBorders>
              <w:top w:val="single" w:sz="4" w:space="0" w:color="auto"/>
            </w:tcBorders>
            <w:noWrap/>
            <w:vAlign w:val="bottom"/>
          </w:tcPr>
          <w:p w14:paraId="35BE2A7B" w14:textId="4DF0C38E" w:rsidR="003252FD" w:rsidRPr="00ED6417" w:rsidRDefault="003252FD" w:rsidP="003252FD">
            <w:pPr>
              <w:spacing w:before="0" w:after="0"/>
              <w:jc w:val="center"/>
              <w:rPr>
                <w:sz w:val="16"/>
                <w:szCs w:val="16"/>
              </w:rPr>
            </w:pPr>
            <w:r>
              <w:rPr>
                <w:sz w:val="16"/>
                <w:szCs w:val="16"/>
              </w:rPr>
              <w:t>reef subtidal</w:t>
            </w:r>
          </w:p>
        </w:tc>
        <w:tc>
          <w:tcPr>
            <w:tcW w:w="1230" w:type="dxa"/>
            <w:tcBorders>
              <w:top w:val="single" w:sz="4" w:space="0" w:color="auto"/>
              <w:left w:val="nil"/>
              <w:right w:val="nil"/>
            </w:tcBorders>
            <w:shd w:val="clear" w:color="auto" w:fill="F3F9FA"/>
            <w:noWrap/>
            <w:vAlign w:val="bottom"/>
          </w:tcPr>
          <w:p w14:paraId="5B70802E" w14:textId="7D9A8450" w:rsidR="003252FD" w:rsidRPr="00ED6417" w:rsidRDefault="003252FD" w:rsidP="003252FD">
            <w:pPr>
              <w:spacing w:before="0" w:after="0"/>
              <w:jc w:val="center"/>
              <w:rPr>
                <w:sz w:val="16"/>
                <w:szCs w:val="16"/>
              </w:rPr>
            </w:pPr>
            <w:r w:rsidRPr="003252FD">
              <w:rPr>
                <w:sz w:val="16"/>
                <w:szCs w:val="16"/>
              </w:rPr>
              <w:t>Flinders Group</w:t>
            </w:r>
          </w:p>
        </w:tc>
        <w:tc>
          <w:tcPr>
            <w:tcW w:w="560" w:type="dxa"/>
            <w:tcBorders>
              <w:top w:val="single" w:sz="4" w:space="0" w:color="auto"/>
              <w:left w:val="nil"/>
              <w:right w:val="nil"/>
            </w:tcBorders>
            <w:shd w:val="clear" w:color="auto" w:fill="F3F9FA"/>
            <w:noWrap/>
            <w:vAlign w:val="bottom"/>
          </w:tcPr>
          <w:p w14:paraId="05F25A34" w14:textId="2913D977" w:rsidR="003252FD" w:rsidRPr="00ED6417" w:rsidRDefault="003252FD" w:rsidP="003252FD">
            <w:pPr>
              <w:spacing w:before="0" w:after="0"/>
              <w:jc w:val="center"/>
              <w:rPr>
                <w:sz w:val="16"/>
                <w:szCs w:val="16"/>
              </w:rPr>
            </w:pPr>
            <w:r>
              <w:rPr>
                <w:sz w:val="16"/>
                <w:szCs w:val="16"/>
              </w:rPr>
              <w:t>FG1</w:t>
            </w:r>
            <w:r w:rsidRPr="00ED6417">
              <w:rPr>
                <w:color w:val="000000"/>
                <w:sz w:val="16"/>
                <w:szCs w:val="16"/>
              </w:rPr>
              <w:t>^</w:t>
            </w:r>
          </w:p>
        </w:tc>
        <w:tc>
          <w:tcPr>
            <w:tcW w:w="951" w:type="dxa"/>
            <w:tcBorders>
              <w:top w:val="single" w:sz="4" w:space="0" w:color="auto"/>
              <w:left w:val="nil"/>
              <w:right w:val="nil"/>
            </w:tcBorders>
            <w:shd w:val="clear" w:color="auto" w:fill="F3F9FA"/>
            <w:noWrap/>
            <w:vAlign w:val="bottom"/>
          </w:tcPr>
          <w:p w14:paraId="3D7B292C" w14:textId="5541CC85" w:rsidR="003252FD" w:rsidRPr="00ED6417" w:rsidRDefault="003252FD" w:rsidP="003252FD">
            <w:pPr>
              <w:spacing w:before="0" w:after="0"/>
              <w:jc w:val="center"/>
              <w:rPr>
                <w:sz w:val="16"/>
                <w:szCs w:val="16"/>
              </w:rPr>
            </w:pPr>
            <w:r w:rsidRPr="00ED6417">
              <w:rPr>
                <w:sz w:val="16"/>
                <w:szCs w:val="16"/>
              </w:rPr>
              <w:t>01-Oct-16</w:t>
            </w:r>
          </w:p>
        </w:tc>
        <w:tc>
          <w:tcPr>
            <w:tcW w:w="815" w:type="dxa"/>
            <w:tcBorders>
              <w:top w:val="single" w:sz="4" w:space="0" w:color="auto"/>
              <w:left w:val="nil"/>
              <w:right w:val="nil"/>
            </w:tcBorders>
            <w:shd w:val="clear" w:color="auto" w:fill="F3F9FA"/>
            <w:noWrap/>
            <w:vAlign w:val="bottom"/>
          </w:tcPr>
          <w:p w14:paraId="38E7643C" w14:textId="28C51DBC" w:rsidR="003252FD" w:rsidRPr="003252FD" w:rsidRDefault="003252FD" w:rsidP="003252FD">
            <w:pPr>
              <w:spacing w:before="0" w:after="0"/>
              <w:jc w:val="center"/>
              <w:rPr>
                <w:sz w:val="16"/>
                <w:szCs w:val="16"/>
              </w:rPr>
            </w:pPr>
            <w:r w:rsidRPr="003252FD">
              <w:rPr>
                <w:sz w:val="16"/>
                <w:szCs w:val="16"/>
              </w:rPr>
              <w:t>1.6</w:t>
            </w:r>
          </w:p>
        </w:tc>
        <w:tc>
          <w:tcPr>
            <w:tcW w:w="823" w:type="dxa"/>
            <w:tcBorders>
              <w:top w:val="single" w:sz="4" w:space="0" w:color="auto"/>
              <w:left w:val="nil"/>
              <w:right w:val="nil"/>
            </w:tcBorders>
            <w:shd w:val="clear" w:color="auto" w:fill="F3F9FA"/>
            <w:noWrap/>
            <w:vAlign w:val="bottom"/>
          </w:tcPr>
          <w:p w14:paraId="1FFD372D" w14:textId="2D12767C" w:rsidR="003252FD" w:rsidRPr="003252FD" w:rsidRDefault="003252FD" w:rsidP="003252FD">
            <w:pPr>
              <w:spacing w:before="0" w:after="0"/>
              <w:jc w:val="center"/>
              <w:rPr>
                <w:sz w:val="16"/>
                <w:szCs w:val="16"/>
              </w:rPr>
            </w:pPr>
            <w:r w:rsidRPr="003252FD">
              <w:rPr>
                <w:color w:val="000000"/>
                <w:sz w:val="16"/>
                <w:szCs w:val="16"/>
              </w:rPr>
              <w:t>1.05</w:t>
            </w:r>
          </w:p>
        </w:tc>
        <w:tc>
          <w:tcPr>
            <w:tcW w:w="967" w:type="dxa"/>
            <w:tcBorders>
              <w:top w:val="single" w:sz="4" w:space="0" w:color="auto"/>
              <w:left w:val="nil"/>
              <w:right w:val="nil"/>
            </w:tcBorders>
            <w:shd w:val="clear" w:color="auto" w:fill="F3F9FA"/>
            <w:noWrap/>
            <w:vAlign w:val="bottom"/>
          </w:tcPr>
          <w:p w14:paraId="503A89F8" w14:textId="38584DF0" w:rsidR="003252FD" w:rsidRPr="003252FD" w:rsidRDefault="003252FD" w:rsidP="003252FD">
            <w:pPr>
              <w:spacing w:before="0" w:after="0"/>
              <w:jc w:val="center"/>
              <w:rPr>
                <w:sz w:val="16"/>
                <w:szCs w:val="16"/>
              </w:rPr>
            </w:pPr>
            <w:r w:rsidRPr="003252FD">
              <w:rPr>
                <w:sz w:val="16"/>
                <w:szCs w:val="16"/>
              </w:rPr>
              <w:t>26</w:t>
            </w:r>
          </w:p>
        </w:tc>
        <w:tc>
          <w:tcPr>
            <w:tcW w:w="967" w:type="dxa"/>
            <w:tcBorders>
              <w:top w:val="single" w:sz="4" w:space="0" w:color="auto"/>
              <w:left w:val="nil"/>
              <w:right w:val="nil"/>
            </w:tcBorders>
            <w:shd w:val="clear" w:color="auto" w:fill="F3F9FA"/>
            <w:noWrap/>
            <w:vAlign w:val="bottom"/>
          </w:tcPr>
          <w:p w14:paraId="70CBDA04" w14:textId="2EB2B054" w:rsidR="003252FD" w:rsidRPr="003252FD" w:rsidRDefault="003252FD" w:rsidP="003252FD">
            <w:pPr>
              <w:spacing w:before="0" w:after="0"/>
              <w:jc w:val="center"/>
              <w:rPr>
                <w:sz w:val="16"/>
                <w:szCs w:val="16"/>
              </w:rPr>
            </w:pPr>
            <w:r w:rsidRPr="003252FD">
              <w:rPr>
                <w:sz w:val="16"/>
                <w:szCs w:val="16"/>
              </w:rPr>
              <w:t>33</w:t>
            </w:r>
          </w:p>
        </w:tc>
        <w:tc>
          <w:tcPr>
            <w:tcW w:w="967" w:type="dxa"/>
            <w:tcBorders>
              <w:top w:val="single" w:sz="4" w:space="0" w:color="auto"/>
              <w:left w:val="nil"/>
              <w:right w:val="nil"/>
            </w:tcBorders>
            <w:shd w:val="clear" w:color="auto" w:fill="F3F9FA"/>
            <w:noWrap/>
            <w:vAlign w:val="bottom"/>
          </w:tcPr>
          <w:p w14:paraId="5777AD02" w14:textId="18234C94" w:rsidR="003252FD" w:rsidRPr="003252FD" w:rsidRDefault="003252FD" w:rsidP="003252FD">
            <w:pPr>
              <w:spacing w:before="0" w:after="0"/>
              <w:jc w:val="center"/>
              <w:rPr>
                <w:sz w:val="16"/>
                <w:szCs w:val="16"/>
              </w:rPr>
            </w:pPr>
            <w:r w:rsidRPr="003252FD">
              <w:rPr>
                <w:sz w:val="16"/>
                <w:szCs w:val="16"/>
              </w:rPr>
              <w:t>39.2</w:t>
            </w:r>
          </w:p>
        </w:tc>
        <w:tc>
          <w:tcPr>
            <w:tcW w:w="650" w:type="dxa"/>
            <w:tcBorders>
              <w:top w:val="single" w:sz="4" w:space="0" w:color="auto"/>
              <w:left w:val="nil"/>
              <w:right w:val="nil"/>
            </w:tcBorders>
            <w:shd w:val="clear" w:color="auto" w:fill="F3F9FA"/>
            <w:noWrap/>
            <w:vAlign w:val="bottom"/>
          </w:tcPr>
          <w:p w14:paraId="253512C0" w14:textId="1D3D76E0" w:rsidR="003252FD" w:rsidRPr="003252FD" w:rsidRDefault="003252FD" w:rsidP="003252FD">
            <w:pPr>
              <w:spacing w:before="0" w:after="0"/>
              <w:jc w:val="center"/>
              <w:rPr>
                <w:sz w:val="16"/>
                <w:szCs w:val="16"/>
              </w:rPr>
            </w:pPr>
            <w:r w:rsidRPr="003252FD">
              <w:rPr>
                <w:sz w:val="16"/>
                <w:szCs w:val="16"/>
              </w:rPr>
              <w:t>25</w:t>
            </w:r>
          </w:p>
        </w:tc>
      </w:tr>
      <w:tr w:rsidR="003252FD" w:rsidRPr="00ED6417" w14:paraId="1CD784D6" w14:textId="77777777" w:rsidTr="003252FD">
        <w:trPr>
          <w:jc w:val="center"/>
        </w:trPr>
        <w:tc>
          <w:tcPr>
            <w:tcW w:w="1388" w:type="dxa"/>
            <w:tcBorders>
              <w:bottom w:val="single" w:sz="4" w:space="0" w:color="auto"/>
            </w:tcBorders>
            <w:noWrap/>
            <w:vAlign w:val="bottom"/>
          </w:tcPr>
          <w:p w14:paraId="26F7ABBD" w14:textId="77777777" w:rsidR="003252FD" w:rsidRPr="00ED6417" w:rsidRDefault="003252FD" w:rsidP="003252FD">
            <w:pPr>
              <w:spacing w:before="0" w:after="0"/>
              <w:jc w:val="center"/>
              <w:rPr>
                <w:sz w:val="16"/>
                <w:szCs w:val="16"/>
              </w:rPr>
            </w:pPr>
          </w:p>
        </w:tc>
        <w:tc>
          <w:tcPr>
            <w:tcW w:w="1230" w:type="dxa"/>
            <w:tcBorders>
              <w:left w:val="nil"/>
              <w:bottom w:val="single" w:sz="4" w:space="0" w:color="auto"/>
              <w:right w:val="nil"/>
            </w:tcBorders>
            <w:shd w:val="clear" w:color="auto" w:fill="F3F9FA"/>
            <w:noWrap/>
            <w:vAlign w:val="bottom"/>
          </w:tcPr>
          <w:p w14:paraId="068439F9" w14:textId="77777777" w:rsidR="003252FD" w:rsidRPr="00ED6417" w:rsidRDefault="003252FD" w:rsidP="003252FD">
            <w:pPr>
              <w:spacing w:before="0" w:after="0"/>
              <w:jc w:val="center"/>
              <w:rPr>
                <w:sz w:val="16"/>
                <w:szCs w:val="16"/>
              </w:rPr>
            </w:pPr>
          </w:p>
        </w:tc>
        <w:tc>
          <w:tcPr>
            <w:tcW w:w="560" w:type="dxa"/>
            <w:tcBorders>
              <w:left w:val="nil"/>
              <w:bottom w:val="single" w:sz="4" w:space="0" w:color="auto"/>
              <w:right w:val="nil"/>
            </w:tcBorders>
            <w:shd w:val="clear" w:color="auto" w:fill="F3F9FA"/>
            <w:noWrap/>
            <w:vAlign w:val="bottom"/>
          </w:tcPr>
          <w:p w14:paraId="19B0A8F0" w14:textId="798A5FF3" w:rsidR="003252FD" w:rsidRPr="00ED6417" w:rsidRDefault="003252FD" w:rsidP="003252FD">
            <w:pPr>
              <w:spacing w:before="0" w:after="0"/>
              <w:jc w:val="center"/>
              <w:rPr>
                <w:sz w:val="16"/>
                <w:szCs w:val="16"/>
              </w:rPr>
            </w:pPr>
            <w:r>
              <w:rPr>
                <w:sz w:val="16"/>
                <w:szCs w:val="16"/>
              </w:rPr>
              <w:t>FG2</w:t>
            </w:r>
            <w:r w:rsidRPr="00ED6417">
              <w:rPr>
                <w:color w:val="000000"/>
                <w:sz w:val="16"/>
                <w:szCs w:val="16"/>
              </w:rPr>
              <w:t>^</w:t>
            </w:r>
          </w:p>
        </w:tc>
        <w:tc>
          <w:tcPr>
            <w:tcW w:w="951" w:type="dxa"/>
            <w:tcBorders>
              <w:left w:val="nil"/>
              <w:bottom w:val="single" w:sz="4" w:space="0" w:color="auto"/>
              <w:right w:val="nil"/>
            </w:tcBorders>
            <w:shd w:val="clear" w:color="auto" w:fill="F3F9FA"/>
            <w:noWrap/>
            <w:vAlign w:val="bottom"/>
          </w:tcPr>
          <w:p w14:paraId="294DC61C" w14:textId="584FF1A4" w:rsidR="003252FD" w:rsidRPr="00ED6417" w:rsidRDefault="003252FD" w:rsidP="003252FD">
            <w:pPr>
              <w:spacing w:before="0" w:after="0"/>
              <w:jc w:val="center"/>
              <w:rPr>
                <w:sz w:val="16"/>
                <w:szCs w:val="16"/>
              </w:rPr>
            </w:pPr>
            <w:r w:rsidRPr="00ED6417">
              <w:rPr>
                <w:sz w:val="16"/>
                <w:szCs w:val="16"/>
              </w:rPr>
              <w:t>01-Oct-16</w:t>
            </w:r>
          </w:p>
        </w:tc>
        <w:tc>
          <w:tcPr>
            <w:tcW w:w="815" w:type="dxa"/>
            <w:tcBorders>
              <w:left w:val="nil"/>
              <w:bottom w:val="single" w:sz="4" w:space="0" w:color="auto"/>
              <w:right w:val="nil"/>
            </w:tcBorders>
            <w:shd w:val="clear" w:color="auto" w:fill="F3F9FA"/>
            <w:noWrap/>
            <w:vAlign w:val="bottom"/>
          </w:tcPr>
          <w:p w14:paraId="27B5E3DF" w14:textId="5A063030" w:rsidR="003252FD" w:rsidRPr="003252FD" w:rsidRDefault="003252FD" w:rsidP="003252FD">
            <w:pPr>
              <w:spacing w:before="0" w:after="0"/>
              <w:jc w:val="center"/>
              <w:rPr>
                <w:sz w:val="16"/>
                <w:szCs w:val="16"/>
              </w:rPr>
            </w:pPr>
            <w:r w:rsidRPr="003252FD">
              <w:rPr>
                <w:sz w:val="16"/>
                <w:szCs w:val="16"/>
              </w:rPr>
              <w:t>0.3</w:t>
            </w:r>
          </w:p>
        </w:tc>
        <w:tc>
          <w:tcPr>
            <w:tcW w:w="823" w:type="dxa"/>
            <w:tcBorders>
              <w:left w:val="nil"/>
              <w:bottom w:val="single" w:sz="4" w:space="0" w:color="auto"/>
              <w:right w:val="nil"/>
            </w:tcBorders>
            <w:shd w:val="clear" w:color="auto" w:fill="F3F9FA"/>
            <w:noWrap/>
            <w:vAlign w:val="bottom"/>
          </w:tcPr>
          <w:p w14:paraId="07F3ACFB" w14:textId="3A737FD9" w:rsidR="003252FD" w:rsidRPr="003252FD" w:rsidRDefault="003252FD" w:rsidP="003252FD">
            <w:pPr>
              <w:spacing w:before="0" w:after="0"/>
              <w:jc w:val="center"/>
              <w:rPr>
                <w:sz w:val="16"/>
                <w:szCs w:val="16"/>
              </w:rPr>
            </w:pPr>
            <w:r w:rsidRPr="003252FD">
              <w:rPr>
                <w:color w:val="000000"/>
                <w:sz w:val="16"/>
                <w:szCs w:val="16"/>
              </w:rPr>
              <w:t>0.2</w:t>
            </w:r>
          </w:p>
        </w:tc>
        <w:tc>
          <w:tcPr>
            <w:tcW w:w="967" w:type="dxa"/>
            <w:tcBorders>
              <w:left w:val="nil"/>
              <w:bottom w:val="single" w:sz="4" w:space="0" w:color="auto"/>
              <w:right w:val="nil"/>
            </w:tcBorders>
            <w:shd w:val="clear" w:color="auto" w:fill="F3F9FA"/>
            <w:noWrap/>
            <w:vAlign w:val="bottom"/>
          </w:tcPr>
          <w:p w14:paraId="2A3FD58A" w14:textId="7BFC7C93" w:rsidR="003252FD" w:rsidRPr="003252FD" w:rsidRDefault="003252FD" w:rsidP="003252FD">
            <w:pPr>
              <w:spacing w:before="0" w:after="0"/>
              <w:jc w:val="center"/>
              <w:rPr>
                <w:sz w:val="16"/>
                <w:szCs w:val="16"/>
              </w:rPr>
            </w:pPr>
            <w:r w:rsidRPr="003252FD">
              <w:rPr>
                <w:sz w:val="16"/>
                <w:szCs w:val="16"/>
              </w:rPr>
              <w:t>26</w:t>
            </w:r>
          </w:p>
        </w:tc>
        <w:tc>
          <w:tcPr>
            <w:tcW w:w="967" w:type="dxa"/>
            <w:tcBorders>
              <w:left w:val="nil"/>
              <w:bottom w:val="single" w:sz="4" w:space="0" w:color="auto"/>
              <w:right w:val="nil"/>
            </w:tcBorders>
            <w:shd w:val="clear" w:color="auto" w:fill="F3F9FA"/>
            <w:noWrap/>
            <w:vAlign w:val="bottom"/>
          </w:tcPr>
          <w:p w14:paraId="6DEFE1BD" w14:textId="2043FDF4" w:rsidR="003252FD" w:rsidRPr="003252FD" w:rsidRDefault="003252FD" w:rsidP="003252FD">
            <w:pPr>
              <w:spacing w:before="0" w:after="0"/>
              <w:jc w:val="center"/>
              <w:rPr>
                <w:sz w:val="16"/>
                <w:szCs w:val="16"/>
              </w:rPr>
            </w:pPr>
            <w:r w:rsidRPr="003252FD">
              <w:rPr>
                <w:sz w:val="16"/>
                <w:szCs w:val="16"/>
              </w:rPr>
              <w:t>33</w:t>
            </w:r>
          </w:p>
        </w:tc>
        <w:tc>
          <w:tcPr>
            <w:tcW w:w="967" w:type="dxa"/>
            <w:tcBorders>
              <w:left w:val="nil"/>
              <w:bottom w:val="single" w:sz="4" w:space="0" w:color="auto"/>
              <w:right w:val="nil"/>
            </w:tcBorders>
            <w:shd w:val="clear" w:color="auto" w:fill="F3F9FA"/>
            <w:noWrap/>
            <w:vAlign w:val="bottom"/>
          </w:tcPr>
          <w:p w14:paraId="26B4069C" w14:textId="6B723881" w:rsidR="003252FD" w:rsidRPr="003252FD" w:rsidRDefault="003252FD" w:rsidP="003252FD">
            <w:pPr>
              <w:spacing w:before="0" w:after="0"/>
              <w:jc w:val="center"/>
              <w:rPr>
                <w:sz w:val="16"/>
                <w:szCs w:val="16"/>
              </w:rPr>
            </w:pPr>
            <w:r w:rsidRPr="003252FD">
              <w:rPr>
                <w:sz w:val="16"/>
                <w:szCs w:val="16"/>
              </w:rPr>
              <w:t>39.2</w:t>
            </w:r>
          </w:p>
        </w:tc>
        <w:tc>
          <w:tcPr>
            <w:tcW w:w="650" w:type="dxa"/>
            <w:tcBorders>
              <w:left w:val="nil"/>
              <w:bottom w:val="single" w:sz="4" w:space="0" w:color="auto"/>
              <w:right w:val="nil"/>
            </w:tcBorders>
            <w:shd w:val="clear" w:color="auto" w:fill="F3F9FA"/>
            <w:noWrap/>
            <w:vAlign w:val="bottom"/>
          </w:tcPr>
          <w:p w14:paraId="636E62F7" w14:textId="17EE95EA" w:rsidR="003252FD" w:rsidRPr="003252FD" w:rsidRDefault="003252FD" w:rsidP="003252FD">
            <w:pPr>
              <w:spacing w:before="0" w:after="0"/>
              <w:jc w:val="center"/>
              <w:rPr>
                <w:sz w:val="16"/>
                <w:szCs w:val="16"/>
              </w:rPr>
            </w:pPr>
            <w:r w:rsidRPr="003252FD">
              <w:rPr>
                <w:sz w:val="16"/>
                <w:szCs w:val="16"/>
              </w:rPr>
              <w:t>25</w:t>
            </w:r>
          </w:p>
        </w:tc>
      </w:tr>
      <w:tr w:rsidR="003252FD" w:rsidRPr="003030B3" w14:paraId="51ED6188" w14:textId="77777777" w:rsidTr="003252FD">
        <w:trPr>
          <w:jc w:val="center"/>
        </w:trPr>
        <w:tc>
          <w:tcPr>
            <w:tcW w:w="1388" w:type="dxa"/>
            <w:tcBorders>
              <w:top w:val="single" w:sz="4" w:space="0" w:color="auto"/>
              <w:left w:val="nil"/>
              <w:bottom w:val="single" w:sz="4" w:space="0" w:color="auto"/>
              <w:right w:val="nil"/>
            </w:tcBorders>
            <w:noWrap/>
            <w:vAlign w:val="bottom"/>
            <w:hideMark/>
          </w:tcPr>
          <w:p w14:paraId="5E9CBB7C" w14:textId="77777777" w:rsidR="003252FD" w:rsidRPr="003030B3" w:rsidRDefault="003252FD" w:rsidP="003252FD">
            <w:pPr>
              <w:spacing w:before="0" w:after="0"/>
              <w:jc w:val="center"/>
              <w:rPr>
                <w:b/>
                <w:sz w:val="16"/>
                <w:szCs w:val="16"/>
              </w:rPr>
            </w:pPr>
            <w:r w:rsidRPr="003030B3">
              <w:rPr>
                <w:b/>
                <w:sz w:val="16"/>
                <w:szCs w:val="16"/>
              </w:rPr>
              <w:t>NRM region</w:t>
            </w:r>
          </w:p>
        </w:tc>
        <w:tc>
          <w:tcPr>
            <w:tcW w:w="1230" w:type="dxa"/>
            <w:tcBorders>
              <w:top w:val="single" w:sz="4" w:space="0" w:color="auto"/>
              <w:left w:val="nil"/>
              <w:bottom w:val="single" w:sz="4" w:space="0" w:color="auto"/>
              <w:right w:val="nil"/>
            </w:tcBorders>
            <w:noWrap/>
            <w:vAlign w:val="bottom"/>
          </w:tcPr>
          <w:p w14:paraId="3DD15C17" w14:textId="77777777" w:rsidR="003252FD" w:rsidRPr="003030B3" w:rsidRDefault="003252FD" w:rsidP="003252FD">
            <w:pPr>
              <w:spacing w:before="0" w:after="0"/>
              <w:jc w:val="center"/>
              <w:rPr>
                <w:b/>
                <w:sz w:val="16"/>
                <w:szCs w:val="16"/>
              </w:rPr>
            </w:pPr>
          </w:p>
        </w:tc>
        <w:tc>
          <w:tcPr>
            <w:tcW w:w="560" w:type="dxa"/>
            <w:tcBorders>
              <w:top w:val="single" w:sz="4" w:space="0" w:color="auto"/>
              <w:left w:val="nil"/>
              <w:bottom w:val="single" w:sz="4" w:space="0" w:color="auto"/>
              <w:right w:val="nil"/>
            </w:tcBorders>
            <w:noWrap/>
            <w:vAlign w:val="bottom"/>
          </w:tcPr>
          <w:p w14:paraId="23C6A23E" w14:textId="77777777" w:rsidR="003252FD" w:rsidRPr="003030B3" w:rsidRDefault="003252FD" w:rsidP="003252FD">
            <w:pPr>
              <w:spacing w:before="0" w:after="0"/>
              <w:jc w:val="center"/>
              <w:rPr>
                <w:b/>
                <w:sz w:val="16"/>
                <w:szCs w:val="16"/>
              </w:rPr>
            </w:pPr>
          </w:p>
        </w:tc>
        <w:tc>
          <w:tcPr>
            <w:tcW w:w="951" w:type="dxa"/>
            <w:tcBorders>
              <w:top w:val="single" w:sz="4" w:space="0" w:color="auto"/>
              <w:left w:val="nil"/>
              <w:bottom w:val="single" w:sz="4" w:space="0" w:color="auto"/>
              <w:right w:val="nil"/>
            </w:tcBorders>
            <w:noWrap/>
            <w:vAlign w:val="bottom"/>
          </w:tcPr>
          <w:p w14:paraId="164AEDBB" w14:textId="77777777" w:rsidR="003252FD" w:rsidRPr="003030B3" w:rsidRDefault="003252FD" w:rsidP="003252FD">
            <w:pPr>
              <w:spacing w:before="0" w:after="0"/>
              <w:jc w:val="center"/>
              <w:rPr>
                <w:b/>
                <w:sz w:val="16"/>
                <w:szCs w:val="16"/>
              </w:rPr>
            </w:pPr>
          </w:p>
        </w:tc>
        <w:tc>
          <w:tcPr>
            <w:tcW w:w="815" w:type="dxa"/>
            <w:tcBorders>
              <w:top w:val="single" w:sz="4" w:space="0" w:color="auto"/>
              <w:left w:val="nil"/>
              <w:bottom w:val="single" w:sz="4" w:space="0" w:color="auto"/>
              <w:right w:val="nil"/>
            </w:tcBorders>
            <w:noWrap/>
            <w:vAlign w:val="bottom"/>
          </w:tcPr>
          <w:p w14:paraId="538EE42B" w14:textId="77777777" w:rsidR="003252FD" w:rsidRPr="003030B3" w:rsidRDefault="003252FD" w:rsidP="003252FD">
            <w:pPr>
              <w:spacing w:before="0" w:after="0"/>
              <w:jc w:val="center"/>
              <w:rPr>
                <w:b/>
                <w:sz w:val="16"/>
                <w:szCs w:val="16"/>
              </w:rPr>
            </w:pPr>
          </w:p>
        </w:tc>
        <w:tc>
          <w:tcPr>
            <w:tcW w:w="823" w:type="dxa"/>
            <w:tcBorders>
              <w:top w:val="single" w:sz="4" w:space="0" w:color="auto"/>
              <w:left w:val="nil"/>
              <w:bottom w:val="single" w:sz="4" w:space="0" w:color="auto"/>
              <w:right w:val="nil"/>
            </w:tcBorders>
            <w:noWrap/>
            <w:vAlign w:val="bottom"/>
          </w:tcPr>
          <w:p w14:paraId="2BD4192B" w14:textId="77777777" w:rsidR="003252FD" w:rsidRPr="003030B3" w:rsidRDefault="003252FD" w:rsidP="003252FD">
            <w:pPr>
              <w:spacing w:before="0" w:after="0"/>
              <w:jc w:val="center"/>
              <w:rPr>
                <w:b/>
                <w:sz w:val="16"/>
                <w:szCs w:val="16"/>
              </w:rPr>
            </w:pPr>
          </w:p>
        </w:tc>
        <w:tc>
          <w:tcPr>
            <w:tcW w:w="967" w:type="dxa"/>
            <w:tcBorders>
              <w:top w:val="single" w:sz="4" w:space="0" w:color="auto"/>
              <w:left w:val="nil"/>
              <w:bottom w:val="single" w:sz="4" w:space="0" w:color="auto"/>
              <w:right w:val="nil"/>
            </w:tcBorders>
            <w:noWrap/>
            <w:vAlign w:val="bottom"/>
          </w:tcPr>
          <w:p w14:paraId="02D64E68" w14:textId="77777777" w:rsidR="003252FD" w:rsidRPr="003030B3" w:rsidRDefault="003252FD" w:rsidP="003252FD">
            <w:pPr>
              <w:spacing w:before="0" w:after="0"/>
              <w:jc w:val="center"/>
              <w:rPr>
                <w:b/>
                <w:sz w:val="16"/>
                <w:szCs w:val="16"/>
              </w:rPr>
            </w:pPr>
          </w:p>
        </w:tc>
        <w:tc>
          <w:tcPr>
            <w:tcW w:w="967" w:type="dxa"/>
            <w:tcBorders>
              <w:top w:val="single" w:sz="4" w:space="0" w:color="auto"/>
              <w:left w:val="nil"/>
              <w:bottom w:val="single" w:sz="4" w:space="0" w:color="auto"/>
              <w:right w:val="nil"/>
            </w:tcBorders>
            <w:noWrap/>
            <w:vAlign w:val="bottom"/>
          </w:tcPr>
          <w:p w14:paraId="728A9FB4" w14:textId="77777777" w:rsidR="003252FD" w:rsidRPr="003030B3" w:rsidRDefault="003252FD" w:rsidP="003252FD">
            <w:pPr>
              <w:spacing w:before="0" w:after="0"/>
              <w:jc w:val="center"/>
              <w:rPr>
                <w:b/>
                <w:sz w:val="16"/>
                <w:szCs w:val="16"/>
              </w:rPr>
            </w:pPr>
          </w:p>
        </w:tc>
        <w:tc>
          <w:tcPr>
            <w:tcW w:w="967" w:type="dxa"/>
            <w:tcBorders>
              <w:top w:val="single" w:sz="4" w:space="0" w:color="auto"/>
              <w:left w:val="nil"/>
              <w:bottom w:val="single" w:sz="4" w:space="0" w:color="auto"/>
              <w:right w:val="nil"/>
            </w:tcBorders>
            <w:noWrap/>
            <w:vAlign w:val="bottom"/>
          </w:tcPr>
          <w:p w14:paraId="4B1DB7E0" w14:textId="77777777" w:rsidR="003252FD" w:rsidRPr="003030B3" w:rsidRDefault="003252FD" w:rsidP="003252FD">
            <w:pPr>
              <w:spacing w:before="0" w:after="0"/>
              <w:jc w:val="center"/>
              <w:rPr>
                <w:b/>
                <w:sz w:val="16"/>
                <w:szCs w:val="16"/>
              </w:rPr>
            </w:pPr>
          </w:p>
        </w:tc>
        <w:tc>
          <w:tcPr>
            <w:tcW w:w="650" w:type="dxa"/>
            <w:tcBorders>
              <w:top w:val="single" w:sz="4" w:space="0" w:color="auto"/>
              <w:left w:val="nil"/>
              <w:bottom w:val="single" w:sz="4" w:space="0" w:color="auto"/>
              <w:right w:val="nil"/>
            </w:tcBorders>
            <w:noWrap/>
            <w:vAlign w:val="bottom"/>
            <w:hideMark/>
          </w:tcPr>
          <w:p w14:paraId="4E23E3F7" w14:textId="6889F237" w:rsidR="003252FD" w:rsidRPr="003030B3" w:rsidRDefault="003252FD" w:rsidP="003252FD">
            <w:pPr>
              <w:spacing w:before="0" w:after="0"/>
              <w:jc w:val="center"/>
              <w:rPr>
                <w:b/>
                <w:sz w:val="16"/>
                <w:szCs w:val="16"/>
              </w:rPr>
            </w:pPr>
            <w:r>
              <w:rPr>
                <w:b/>
                <w:sz w:val="16"/>
                <w:szCs w:val="16"/>
              </w:rPr>
              <w:t>46</w:t>
            </w:r>
          </w:p>
        </w:tc>
      </w:tr>
    </w:tbl>
    <w:p w14:paraId="6D12A676" w14:textId="77777777" w:rsidR="00842050" w:rsidRDefault="00842050" w:rsidP="00842050">
      <w:pPr>
        <w:ind w:left="540" w:hanging="540"/>
        <w:rPr>
          <w:color w:val="000000"/>
        </w:rPr>
      </w:pPr>
    </w:p>
    <w:p w14:paraId="7F88FE91" w14:textId="77777777" w:rsidR="00842050" w:rsidRDefault="00842050" w:rsidP="00842050">
      <w:pPr>
        <w:spacing w:before="0" w:after="0"/>
        <w:rPr>
          <w:color w:val="000000"/>
          <w:szCs w:val="22"/>
        </w:rPr>
      </w:pPr>
      <w:r>
        <w:rPr>
          <w:color w:val="000000"/>
        </w:rPr>
        <w:br w:type="page"/>
      </w:r>
    </w:p>
    <w:p w14:paraId="459AEAB3" w14:textId="77777777" w:rsidR="00842050" w:rsidRDefault="00842050" w:rsidP="00842050">
      <w:pPr>
        <w:ind w:left="540" w:hanging="540"/>
        <w:rPr>
          <w:color w:val="000000"/>
        </w:rPr>
      </w:pPr>
    </w:p>
    <w:p w14:paraId="632AAFC4" w14:textId="664FEE7C" w:rsidR="007B1E97" w:rsidRPr="00517276" w:rsidRDefault="00842050" w:rsidP="007B1E97">
      <w:pPr>
        <w:jc w:val="center"/>
        <w:rPr>
          <w:i/>
          <w:vanish/>
          <w:color w:val="000000"/>
          <w:szCs w:val="22"/>
          <w:specVanish/>
        </w:rPr>
      </w:pPr>
      <w:bookmarkStart w:id="1010" w:name="_Toc516053465"/>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41</w:t>
      </w:r>
      <w:r w:rsidR="00C506C7">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Wet Tropics NRM region habitat over the </w:t>
      </w:r>
      <w:r w:rsidR="008574EC">
        <w:rPr>
          <w:i/>
        </w:rPr>
        <w:t>2016–17</w:t>
      </w:r>
      <w:r>
        <w:rPr>
          <w:i/>
        </w:rPr>
        <w:t xml:space="preserve"> period.</w:t>
      </w:r>
      <w:bookmarkEnd w:id="1010"/>
      <w:r w:rsidR="007B1E97" w:rsidRPr="007B1E97">
        <w:rPr>
          <w:i/>
          <w:vanish/>
          <w:color w:val="000000"/>
          <w:szCs w:val="22"/>
          <w:specVanish/>
        </w:rPr>
        <w:t xml:space="preserve"> </w:t>
      </w:r>
    </w:p>
    <w:p w14:paraId="77A5CAC4" w14:textId="049F2A7E"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F87DF9" w:rsidRPr="00F87DF9">
        <w:rPr>
          <w:i/>
          <w:color w:val="000000"/>
        </w:rPr>
        <w:t xml:space="preserve">Table </w:t>
      </w:r>
      <w:r w:rsidR="00F87DF9" w:rsidRPr="00F87DF9">
        <w:rPr>
          <w:i/>
          <w:noProof/>
          <w:color w:val="000000"/>
        </w:rPr>
        <w:t>38</w:t>
      </w:r>
      <w:r w:rsidR="00FB280D" w:rsidRPr="00FB280D">
        <w:rPr>
          <w:i/>
        </w:rPr>
        <w:fldChar w:fldCharType="end"/>
      </w:r>
      <w:r>
        <w:rPr>
          <w:i/>
        </w:rPr>
        <w:t xml:space="preserve">. </w:t>
      </w:r>
      <w:r w:rsidR="000303CC" w:rsidRPr="00BA2BCE">
        <w:rPr>
          <w:i/>
          <w:color w:val="000000"/>
        </w:rPr>
        <w:t>^</w:t>
      </w:r>
      <w:r w:rsidR="000303CC">
        <w:rPr>
          <w:i/>
          <w:color w:val="000000"/>
        </w:rPr>
        <w:t>denotes Seagrass-Watch or QPWS drop-camera site.</w:t>
      </w:r>
      <w:r w:rsidR="000303CC">
        <w:rPr>
          <w:i/>
        </w:rPr>
        <w:t xml:space="preserve"> </w:t>
      </w:r>
      <w:r>
        <w:rPr>
          <w:i/>
        </w:rPr>
        <w:t>NB: scores do not have units.</w:t>
      </w:r>
    </w:p>
    <w:tbl>
      <w:tblPr>
        <w:tblW w:w="8996" w:type="dxa"/>
        <w:jc w:val="center"/>
        <w:tblLook w:val="04A0" w:firstRow="1" w:lastRow="0" w:firstColumn="1" w:lastColumn="0" w:noHBand="0" w:noVBand="1"/>
      </w:tblPr>
      <w:tblGrid>
        <w:gridCol w:w="1388"/>
        <w:gridCol w:w="1117"/>
        <w:gridCol w:w="588"/>
        <w:gridCol w:w="951"/>
        <w:gridCol w:w="815"/>
        <w:gridCol w:w="823"/>
        <w:gridCol w:w="888"/>
        <w:gridCol w:w="888"/>
        <w:gridCol w:w="888"/>
        <w:gridCol w:w="650"/>
      </w:tblGrid>
      <w:tr w:rsidR="006F4537" w14:paraId="79B6D027" w14:textId="77777777" w:rsidTr="006F4537">
        <w:trPr>
          <w:jc w:val="center"/>
        </w:trPr>
        <w:tc>
          <w:tcPr>
            <w:tcW w:w="1388" w:type="dxa"/>
            <w:tcBorders>
              <w:top w:val="single" w:sz="4" w:space="0" w:color="auto"/>
              <w:left w:val="nil"/>
              <w:bottom w:val="single" w:sz="4" w:space="0" w:color="auto"/>
              <w:right w:val="nil"/>
            </w:tcBorders>
            <w:shd w:val="clear" w:color="auto" w:fill="BBE0E3"/>
            <w:noWrap/>
            <w:vAlign w:val="center"/>
            <w:hideMark/>
          </w:tcPr>
          <w:p w14:paraId="0306CF0C" w14:textId="77777777" w:rsidR="006F4537" w:rsidRDefault="006F4537" w:rsidP="006F4537">
            <w:pPr>
              <w:spacing w:before="0" w:after="0"/>
              <w:jc w:val="center"/>
              <w:rPr>
                <w:b/>
                <w:color w:val="000000"/>
                <w:sz w:val="16"/>
                <w:szCs w:val="16"/>
              </w:rPr>
            </w:pPr>
            <w:r>
              <w:rPr>
                <w:b/>
                <w:color w:val="000000"/>
                <w:sz w:val="16"/>
                <w:szCs w:val="16"/>
              </w:rPr>
              <w:t>Habitat</w:t>
            </w:r>
          </w:p>
        </w:tc>
        <w:tc>
          <w:tcPr>
            <w:tcW w:w="1117" w:type="dxa"/>
            <w:tcBorders>
              <w:top w:val="single" w:sz="4" w:space="0" w:color="auto"/>
              <w:left w:val="nil"/>
              <w:bottom w:val="single" w:sz="4" w:space="0" w:color="auto"/>
              <w:right w:val="nil"/>
            </w:tcBorders>
            <w:shd w:val="clear" w:color="auto" w:fill="BBE0E3"/>
            <w:noWrap/>
            <w:vAlign w:val="center"/>
            <w:hideMark/>
          </w:tcPr>
          <w:p w14:paraId="3741B216" w14:textId="77777777" w:rsidR="006F4537" w:rsidRDefault="006F4537" w:rsidP="006F4537">
            <w:pPr>
              <w:spacing w:before="0" w:after="0"/>
              <w:jc w:val="center"/>
              <w:rPr>
                <w:b/>
                <w:color w:val="000000"/>
                <w:sz w:val="16"/>
                <w:szCs w:val="16"/>
              </w:rPr>
            </w:pPr>
            <w:r>
              <w:rPr>
                <w:b/>
                <w:color w:val="000000"/>
                <w:sz w:val="16"/>
                <w:szCs w:val="16"/>
              </w:rPr>
              <w:t>Location</w:t>
            </w:r>
          </w:p>
        </w:tc>
        <w:tc>
          <w:tcPr>
            <w:tcW w:w="588" w:type="dxa"/>
            <w:tcBorders>
              <w:top w:val="single" w:sz="4" w:space="0" w:color="auto"/>
              <w:left w:val="nil"/>
              <w:bottom w:val="single" w:sz="4" w:space="0" w:color="auto"/>
              <w:right w:val="nil"/>
            </w:tcBorders>
            <w:shd w:val="clear" w:color="auto" w:fill="BBE0E3"/>
            <w:noWrap/>
            <w:vAlign w:val="center"/>
            <w:hideMark/>
          </w:tcPr>
          <w:p w14:paraId="6E59CEB5" w14:textId="77777777" w:rsidR="006F4537" w:rsidRDefault="006F4537" w:rsidP="006F4537">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065BE8FF" w14:textId="77777777" w:rsidR="006F4537" w:rsidRDefault="006F4537" w:rsidP="006F4537">
            <w:pPr>
              <w:spacing w:before="0" w:after="0"/>
              <w:jc w:val="center"/>
              <w:rPr>
                <w:b/>
                <w:color w:val="000000"/>
                <w:sz w:val="16"/>
                <w:szCs w:val="16"/>
              </w:rPr>
            </w:pPr>
            <w:r>
              <w:rPr>
                <w:b/>
                <w:color w:val="000000"/>
                <w:sz w:val="16"/>
                <w:szCs w:val="16"/>
              </w:rPr>
              <w:t>Seasonal</w:t>
            </w:r>
          </w:p>
          <w:p w14:paraId="0F06400D"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7DD3FC26" w14:textId="77777777" w:rsidR="006F4537" w:rsidRDefault="006F4537" w:rsidP="006F4537">
            <w:pPr>
              <w:spacing w:before="0" w:after="0"/>
              <w:jc w:val="center"/>
              <w:rPr>
                <w:b/>
                <w:color w:val="000000"/>
                <w:sz w:val="16"/>
                <w:szCs w:val="16"/>
              </w:rPr>
            </w:pPr>
            <w:r>
              <w:rPr>
                <w:b/>
                <w:color w:val="000000"/>
                <w:sz w:val="16"/>
                <w:szCs w:val="16"/>
              </w:rPr>
              <w:t>Mean</w:t>
            </w:r>
          </w:p>
          <w:p w14:paraId="487D3E4E" w14:textId="162ED5E9"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07CC23F6" w14:textId="77777777" w:rsidR="006F4537" w:rsidRDefault="006F4537" w:rsidP="006F4537">
            <w:pPr>
              <w:spacing w:before="0" w:after="0"/>
              <w:jc w:val="center"/>
              <w:rPr>
                <w:b/>
                <w:color w:val="000000"/>
                <w:sz w:val="16"/>
                <w:szCs w:val="16"/>
              </w:rPr>
            </w:pPr>
            <w:r>
              <w:rPr>
                <w:b/>
                <w:color w:val="000000"/>
                <w:sz w:val="16"/>
                <w:szCs w:val="16"/>
              </w:rPr>
              <w:t>Median</w:t>
            </w:r>
          </w:p>
          <w:p w14:paraId="3D8C3DE1" w14:textId="1DD10724"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482EAC57" w14:textId="77777777" w:rsidR="006F4537" w:rsidRDefault="006F4537" w:rsidP="006F4537">
            <w:pPr>
              <w:spacing w:before="0" w:after="0"/>
              <w:jc w:val="center"/>
              <w:rPr>
                <w:b/>
                <w:color w:val="000000"/>
                <w:sz w:val="16"/>
                <w:szCs w:val="16"/>
              </w:rPr>
            </w:pPr>
            <w:r>
              <w:rPr>
                <w:b/>
                <w:color w:val="000000"/>
                <w:sz w:val="16"/>
                <w:szCs w:val="16"/>
              </w:rPr>
              <w:t>Low</w:t>
            </w:r>
          </w:p>
          <w:p w14:paraId="41966A02"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426DB7DA" w14:textId="77777777" w:rsidR="006F4537" w:rsidRDefault="006F4537" w:rsidP="006F4537">
            <w:pPr>
              <w:spacing w:before="0" w:after="0"/>
              <w:jc w:val="center"/>
              <w:rPr>
                <w:b/>
                <w:color w:val="000000"/>
                <w:sz w:val="16"/>
                <w:szCs w:val="16"/>
              </w:rPr>
            </w:pPr>
            <w:r>
              <w:rPr>
                <w:b/>
                <w:color w:val="000000"/>
                <w:sz w:val="16"/>
                <w:szCs w:val="16"/>
              </w:rPr>
              <w:t>50th</w:t>
            </w:r>
          </w:p>
          <w:p w14:paraId="0632F9F8"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6CAC556A" w14:textId="77777777" w:rsidR="006F4537" w:rsidRDefault="006F4537" w:rsidP="006F4537">
            <w:pPr>
              <w:spacing w:before="0" w:after="0"/>
              <w:jc w:val="center"/>
              <w:rPr>
                <w:b/>
                <w:color w:val="000000"/>
                <w:sz w:val="16"/>
                <w:szCs w:val="16"/>
              </w:rPr>
            </w:pPr>
            <w:r>
              <w:rPr>
                <w:b/>
                <w:color w:val="000000"/>
                <w:sz w:val="16"/>
                <w:szCs w:val="16"/>
              </w:rPr>
              <w:t>75th</w:t>
            </w:r>
          </w:p>
          <w:p w14:paraId="2A55B7CC" w14:textId="77777777" w:rsidR="006F4537" w:rsidRDefault="006F4537" w:rsidP="006F4537">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bottom"/>
            <w:hideMark/>
          </w:tcPr>
          <w:p w14:paraId="3578E35A" w14:textId="77777777" w:rsidR="006F4537" w:rsidRDefault="006F4537" w:rsidP="006F4537">
            <w:pPr>
              <w:spacing w:before="0" w:after="0"/>
              <w:jc w:val="center"/>
              <w:rPr>
                <w:color w:val="000000"/>
                <w:sz w:val="16"/>
                <w:szCs w:val="16"/>
              </w:rPr>
            </w:pPr>
            <w:r>
              <w:rPr>
                <w:b/>
                <w:color w:val="000000"/>
                <w:sz w:val="16"/>
                <w:szCs w:val="16"/>
              </w:rPr>
              <w:t>score</w:t>
            </w:r>
          </w:p>
        </w:tc>
      </w:tr>
      <w:tr w:rsidR="00F917A8" w14:paraId="74246073" w14:textId="77777777" w:rsidTr="006F4537">
        <w:trPr>
          <w:jc w:val="center"/>
        </w:trPr>
        <w:tc>
          <w:tcPr>
            <w:tcW w:w="1388" w:type="dxa"/>
            <w:tcBorders>
              <w:top w:val="single" w:sz="4" w:space="0" w:color="auto"/>
              <w:left w:val="nil"/>
              <w:bottom w:val="nil"/>
              <w:right w:val="nil"/>
            </w:tcBorders>
            <w:noWrap/>
            <w:vAlign w:val="bottom"/>
            <w:hideMark/>
          </w:tcPr>
          <w:p w14:paraId="755C6DE9" w14:textId="77777777" w:rsidR="00F917A8" w:rsidRDefault="00F917A8" w:rsidP="00F917A8">
            <w:pPr>
              <w:spacing w:before="0" w:after="0"/>
              <w:rPr>
                <w:color w:val="000000"/>
                <w:sz w:val="16"/>
                <w:szCs w:val="16"/>
              </w:rPr>
            </w:pPr>
            <w:r>
              <w:rPr>
                <w:color w:val="000000"/>
                <w:sz w:val="16"/>
                <w:szCs w:val="16"/>
              </w:rPr>
              <w:t>coastal intertidal</w:t>
            </w:r>
          </w:p>
        </w:tc>
        <w:tc>
          <w:tcPr>
            <w:tcW w:w="1117" w:type="dxa"/>
            <w:tcBorders>
              <w:top w:val="single" w:sz="4" w:space="0" w:color="auto"/>
              <w:left w:val="nil"/>
              <w:bottom w:val="nil"/>
              <w:right w:val="nil"/>
            </w:tcBorders>
            <w:shd w:val="clear" w:color="auto" w:fill="E7F3F4"/>
            <w:noWrap/>
            <w:vAlign w:val="bottom"/>
            <w:hideMark/>
          </w:tcPr>
          <w:p w14:paraId="75F18CAF" w14:textId="77777777" w:rsidR="00F917A8" w:rsidRDefault="00F917A8" w:rsidP="00F917A8">
            <w:pPr>
              <w:spacing w:before="0" w:after="0"/>
              <w:jc w:val="center"/>
              <w:rPr>
                <w:color w:val="000000"/>
                <w:sz w:val="16"/>
                <w:szCs w:val="16"/>
              </w:rPr>
            </w:pPr>
            <w:r>
              <w:rPr>
                <w:color w:val="000000"/>
                <w:sz w:val="16"/>
                <w:szCs w:val="16"/>
              </w:rPr>
              <w:t>Lugger Bay</w:t>
            </w:r>
          </w:p>
        </w:tc>
        <w:tc>
          <w:tcPr>
            <w:tcW w:w="588" w:type="dxa"/>
            <w:tcBorders>
              <w:top w:val="single" w:sz="4" w:space="0" w:color="auto"/>
              <w:left w:val="nil"/>
              <w:bottom w:val="nil"/>
              <w:right w:val="nil"/>
            </w:tcBorders>
            <w:shd w:val="clear" w:color="auto" w:fill="E7F3F4"/>
            <w:noWrap/>
            <w:vAlign w:val="bottom"/>
            <w:hideMark/>
          </w:tcPr>
          <w:p w14:paraId="4EAF1E51" w14:textId="77777777" w:rsidR="00F917A8" w:rsidRDefault="00F917A8" w:rsidP="00F917A8">
            <w:pPr>
              <w:spacing w:before="0" w:after="0"/>
              <w:jc w:val="center"/>
              <w:rPr>
                <w:color w:val="000000"/>
                <w:sz w:val="16"/>
                <w:szCs w:val="16"/>
              </w:rPr>
            </w:pPr>
            <w:r>
              <w:rPr>
                <w:color w:val="000000"/>
                <w:sz w:val="16"/>
                <w:szCs w:val="16"/>
              </w:rPr>
              <w:t>LB1</w:t>
            </w:r>
          </w:p>
        </w:tc>
        <w:tc>
          <w:tcPr>
            <w:tcW w:w="951" w:type="dxa"/>
            <w:tcBorders>
              <w:top w:val="single" w:sz="4" w:space="0" w:color="auto"/>
              <w:left w:val="nil"/>
              <w:bottom w:val="nil"/>
              <w:right w:val="nil"/>
            </w:tcBorders>
            <w:shd w:val="clear" w:color="auto" w:fill="E7F3F4"/>
            <w:noWrap/>
            <w:vAlign w:val="bottom"/>
            <w:hideMark/>
          </w:tcPr>
          <w:p w14:paraId="2F2AF64C" w14:textId="06938CFC" w:rsidR="00F917A8" w:rsidRPr="00CE7AC9" w:rsidRDefault="00F917A8" w:rsidP="00F917A8">
            <w:pPr>
              <w:spacing w:before="0" w:after="0"/>
              <w:jc w:val="center"/>
              <w:rPr>
                <w:sz w:val="16"/>
                <w:szCs w:val="16"/>
              </w:rPr>
            </w:pPr>
            <w:r w:rsidRPr="00CE7AC9">
              <w:rPr>
                <w:sz w:val="16"/>
                <w:szCs w:val="16"/>
              </w:rPr>
              <w:t>01-Jul-1</w:t>
            </w:r>
            <w:r>
              <w:rPr>
                <w:sz w:val="16"/>
                <w:szCs w:val="16"/>
              </w:rPr>
              <w:t>6</w:t>
            </w:r>
          </w:p>
        </w:tc>
        <w:tc>
          <w:tcPr>
            <w:tcW w:w="815" w:type="dxa"/>
            <w:tcBorders>
              <w:top w:val="single" w:sz="4" w:space="0" w:color="auto"/>
              <w:left w:val="nil"/>
              <w:bottom w:val="nil"/>
              <w:right w:val="nil"/>
            </w:tcBorders>
            <w:shd w:val="clear" w:color="auto" w:fill="E7F3F4"/>
            <w:noWrap/>
            <w:vAlign w:val="bottom"/>
            <w:hideMark/>
          </w:tcPr>
          <w:p w14:paraId="1E379887" w14:textId="2D6AA9E2" w:rsidR="00F917A8" w:rsidRPr="00F917A8" w:rsidRDefault="00F917A8" w:rsidP="00F917A8">
            <w:pPr>
              <w:spacing w:before="0" w:after="0"/>
              <w:jc w:val="center"/>
              <w:rPr>
                <w:sz w:val="16"/>
                <w:szCs w:val="16"/>
              </w:rPr>
            </w:pPr>
            <w:r w:rsidRPr="00F917A8">
              <w:rPr>
                <w:sz w:val="16"/>
                <w:szCs w:val="16"/>
              </w:rPr>
              <w:t>0.0</w:t>
            </w:r>
          </w:p>
        </w:tc>
        <w:tc>
          <w:tcPr>
            <w:tcW w:w="823" w:type="dxa"/>
            <w:tcBorders>
              <w:top w:val="single" w:sz="4" w:space="0" w:color="auto"/>
              <w:left w:val="nil"/>
              <w:bottom w:val="nil"/>
              <w:right w:val="nil"/>
            </w:tcBorders>
            <w:shd w:val="clear" w:color="auto" w:fill="E7F3F4"/>
            <w:noWrap/>
            <w:vAlign w:val="bottom"/>
            <w:hideMark/>
          </w:tcPr>
          <w:p w14:paraId="55E3417E" w14:textId="68C8BBDE" w:rsidR="00F917A8" w:rsidRPr="00F917A8" w:rsidRDefault="00F917A8" w:rsidP="00F917A8">
            <w:pPr>
              <w:spacing w:before="0" w:after="0"/>
              <w:jc w:val="center"/>
              <w:rPr>
                <w:sz w:val="16"/>
                <w:szCs w:val="16"/>
              </w:rPr>
            </w:pPr>
            <w:r w:rsidRPr="00F917A8">
              <w:rPr>
                <w:sz w:val="16"/>
                <w:szCs w:val="16"/>
              </w:rPr>
              <w:t>0</w:t>
            </w:r>
          </w:p>
        </w:tc>
        <w:tc>
          <w:tcPr>
            <w:tcW w:w="888" w:type="dxa"/>
            <w:tcBorders>
              <w:top w:val="single" w:sz="4" w:space="0" w:color="auto"/>
              <w:left w:val="nil"/>
              <w:bottom w:val="nil"/>
              <w:right w:val="nil"/>
            </w:tcBorders>
            <w:shd w:val="clear" w:color="auto" w:fill="E7F3F4"/>
            <w:noWrap/>
            <w:vAlign w:val="bottom"/>
            <w:hideMark/>
          </w:tcPr>
          <w:p w14:paraId="0A545F6F" w14:textId="5306632A" w:rsidR="00F917A8" w:rsidRPr="00F917A8" w:rsidRDefault="00F917A8" w:rsidP="00F917A8">
            <w:pPr>
              <w:spacing w:before="0" w:after="0"/>
              <w:jc w:val="center"/>
              <w:rPr>
                <w:sz w:val="16"/>
                <w:szCs w:val="16"/>
              </w:rPr>
            </w:pPr>
            <w:r w:rsidRPr="00F917A8">
              <w:rPr>
                <w:sz w:val="16"/>
                <w:szCs w:val="16"/>
              </w:rPr>
              <w:t>6.6</w:t>
            </w:r>
          </w:p>
        </w:tc>
        <w:tc>
          <w:tcPr>
            <w:tcW w:w="888" w:type="dxa"/>
            <w:tcBorders>
              <w:top w:val="single" w:sz="4" w:space="0" w:color="auto"/>
              <w:left w:val="nil"/>
              <w:bottom w:val="nil"/>
              <w:right w:val="nil"/>
            </w:tcBorders>
            <w:shd w:val="clear" w:color="auto" w:fill="E7F3F4"/>
            <w:noWrap/>
            <w:vAlign w:val="bottom"/>
            <w:hideMark/>
          </w:tcPr>
          <w:p w14:paraId="61DDE4F0" w14:textId="0C86BDCB" w:rsidR="00F917A8" w:rsidRPr="00F917A8" w:rsidRDefault="00F917A8" w:rsidP="00F917A8">
            <w:pPr>
              <w:spacing w:before="0" w:after="0"/>
              <w:jc w:val="center"/>
              <w:rPr>
                <w:sz w:val="16"/>
                <w:szCs w:val="16"/>
              </w:rPr>
            </w:pPr>
            <w:r w:rsidRPr="00F917A8">
              <w:rPr>
                <w:sz w:val="16"/>
                <w:szCs w:val="16"/>
              </w:rPr>
              <w:t>12.9</w:t>
            </w:r>
          </w:p>
        </w:tc>
        <w:tc>
          <w:tcPr>
            <w:tcW w:w="888" w:type="dxa"/>
            <w:tcBorders>
              <w:top w:val="single" w:sz="4" w:space="0" w:color="auto"/>
              <w:left w:val="nil"/>
              <w:bottom w:val="nil"/>
              <w:right w:val="nil"/>
            </w:tcBorders>
            <w:shd w:val="clear" w:color="auto" w:fill="E7F3F4"/>
            <w:noWrap/>
            <w:vAlign w:val="bottom"/>
            <w:hideMark/>
          </w:tcPr>
          <w:p w14:paraId="18A4AD32" w14:textId="31CCCE78" w:rsidR="00F917A8" w:rsidRPr="00F917A8" w:rsidRDefault="00F917A8" w:rsidP="00F917A8">
            <w:pPr>
              <w:spacing w:before="0" w:after="0"/>
              <w:jc w:val="center"/>
              <w:rPr>
                <w:sz w:val="16"/>
                <w:szCs w:val="16"/>
              </w:rPr>
            </w:pPr>
            <w:r w:rsidRPr="00F917A8">
              <w:rPr>
                <w:sz w:val="16"/>
                <w:szCs w:val="16"/>
              </w:rPr>
              <w:t>14.8</w:t>
            </w:r>
          </w:p>
        </w:tc>
        <w:tc>
          <w:tcPr>
            <w:tcW w:w="650" w:type="dxa"/>
            <w:tcBorders>
              <w:top w:val="single" w:sz="4" w:space="0" w:color="auto"/>
              <w:left w:val="nil"/>
              <w:bottom w:val="nil"/>
              <w:right w:val="nil"/>
            </w:tcBorders>
            <w:shd w:val="clear" w:color="auto" w:fill="E7F3F4"/>
            <w:noWrap/>
            <w:vAlign w:val="bottom"/>
            <w:hideMark/>
          </w:tcPr>
          <w:p w14:paraId="0095211F" w14:textId="052F3CE7" w:rsidR="00F917A8" w:rsidRPr="00F917A8" w:rsidRDefault="00F917A8" w:rsidP="00F917A8">
            <w:pPr>
              <w:spacing w:before="0" w:after="0"/>
              <w:jc w:val="center"/>
              <w:rPr>
                <w:sz w:val="16"/>
                <w:szCs w:val="16"/>
              </w:rPr>
            </w:pPr>
            <w:r w:rsidRPr="00F917A8">
              <w:rPr>
                <w:sz w:val="16"/>
                <w:szCs w:val="16"/>
              </w:rPr>
              <w:t>0</w:t>
            </w:r>
          </w:p>
        </w:tc>
      </w:tr>
      <w:tr w:rsidR="00F917A8" w14:paraId="5D91199C" w14:textId="77777777" w:rsidTr="006F4537">
        <w:trPr>
          <w:jc w:val="center"/>
        </w:trPr>
        <w:tc>
          <w:tcPr>
            <w:tcW w:w="1388" w:type="dxa"/>
            <w:noWrap/>
            <w:vAlign w:val="bottom"/>
          </w:tcPr>
          <w:p w14:paraId="329512D7" w14:textId="77777777" w:rsidR="00F917A8" w:rsidRDefault="00F917A8" w:rsidP="00F917A8">
            <w:pPr>
              <w:spacing w:before="0" w:after="0"/>
              <w:rPr>
                <w:color w:val="000000"/>
                <w:sz w:val="16"/>
                <w:szCs w:val="16"/>
              </w:rPr>
            </w:pPr>
          </w:p>
        </w:tc>
        <w:tc>
          <w:tcPr>
            <w:tcW w:w="1117" w:type="dxa"/>
            <w:shd w:val="clear" w:color="auto" w:fill="E7F3F4"/>
            <w:noWrap/>
            <w:vAlign w:val="bottom"/>
          </w:tcPr>
          <w:p w14:paraId="1C00991A" w14:textId="77777777" w:rsidR="00F917A8" w:rsidRDefault="00F917A8" w:rsidP="00F917A8">
            <w:pPr>
              <w:spacing w:before="0" w:after="0"/>
              <w:jc w:val="center"/>
              <w:rPr>
                <w:color w:val="000000"/>
                <w:sz w:val="16"/>
                <w:szCs w:val="16"/>
              </w:rPr>
            </w:pPr>
          </w:p>
        </w:tc>
        <w:tc>
          <w:tcPr>
            <w:tcW w:w="588" w:type="dxa"/>
            <w:shd w:val="clear" w:color="auto" w:fill="E7F3F4"/>
            <w:noWrap/>
            <w:vAlign w:val="bottom"/>
            <w:hideMark/>
          </w:tcPr>
          <w:p w14:paraId="5DFE2980" w14:textId="77777777" w:rsidR="00F917A8" w:rsidRDefault="00F917A8" w:rsidP="00F917A8">
            <w:pPr>
              <w:spacing w:before="0" w:after="0"/>
              <w:jc w:val="center"/>
              <w:rPr>
                <w:color w:val="000000"/>
                <w:sz w:val="16"/>
                <w:szCs w:val="16"/>
              </w:rPr>
            </w:pPr>
            <w:r>
              <w:rPr>
                <w:color w:val="000000"/>
                <w:sz w:val="16"/>
                <w:szCs w:val="16"/>
              </w:rPr>
              <w:t>LB1</w:t>
            </w:r>
          </w:p>
        </w:tc>
        <w:tc>
          <w:tcPr>
            <w:tcW w:w="951" w:type="dxa"/>
            <w:shd w:val="clear" w:color="auto" w:fill="E7F3F4"/>
            <w:noWrap/>
            <w:vAlign w:val="bottom"/>
            <w:hideMark/>
          </w:tcPr>
          <w:p w14:paraId="7A8AF008" w14:textId="07FF6ACF" w:rsidR="00F917A8" w:rsidRPr="00CE7AC9" w:rsidRDefault="00F917A8" w:rsidP="00F917A8">
            <w:pPr>
              <w:spacing w:before="0" w:after="0"/>
              <w:jc w:val="center"/>
              <w:rPr>
                <w:sz w:val="16"/>
                <w:szCs w:val="16"/>
              </w:rPr>
            </w:pPr>
            <w:r>
              <w:rPr>
                <w:sz w:val="16"/>
                <w:szCs w:val="16"/>
              </w:rPr>
              <w:t>01-Oct-16</w:t>
            </w:r>
          </w:p>
        </w:tc>
        <w:tc>
          <w:tcPr>
            <w:tcW w:w="815" w:type="dxa"/>
            <w:shd w:val="clear" w:color="auto" w:fill="E7F3F4"/>
            <w:noWrap/>
            <w:vAlign w:val="bottom"/>
            <w:hideMark/>
          </w:tcPr>
          <w:p w14:paraId="3F276F9F" w14:textId="3583CB13" w:rsidR="00F917A8" w:rsidRPr="00F917A8" w:rsidRDefault="00F917A8" w:rsidP="00F917A8">
            <w:pPr>
              <w:spacing w:before="0" w:after="0"/>
              <w:jc w:val="center"/>
              <w:rPr>
                <w:sz w:val="16"/>
                <w:szCs w:val="16"/>
              </w:rPr>
            </w:pPr>
            <w:r w:rsidRPr="00F917A8">
              <w:rPr>
                <w:sz w:val="16"/>
                <w:szCs w:val="16"/>
              </w:rPr>
              <w:t>0.0</w:t>
            </w:r>
          </w:p>
        </w:tc>
        <w:tc>
          <w:tcPr>
            <w:tcW w:w="823" w:type="dxa"/>
            <w:shd w:val="clear" w:color="auto" w:fill="E7F3F4"/>
            <w:noWrap/>
            <w:vAlign w:val="bottom"/>
            <w:hideMark/>
          </w:tcPr>
          <w:p w14:paraId="66F2053F" w14:textId="070A8F78" w:rsidR="00F917A8" w:rsidRPr="00F917A8" w:rsidRDefault="00F917A8" w:rsidP="00F917A8">
            <w:pPr>
              <w:spacing w:before="0" w:after="0"/>
              <w:jc w:val="center"/>
              <w:rPr>
                <w:sz w:val="16"/>
                <w:szCs w:val="16"/>
              </w:rPr>
            </w:pPr>
            <w:r w:rsidRPr="00F917A8">
              <w:rPr>
                <w:sz w:val="16"/>
                <w:szCs w:val="16"/>
              </w:rPr>
              <w:t>0</w:t>
            </w:r>
          </w:p>
        </w:tc>
        <w:tc>
          <w:tcPr>
            <w:tcW w:w="888" w:type="dxa"/>
            <w:shd w:val="clear" w:color="auto" w:fill="E7F3F4"/>
            <w:noWrap/>
            <w:vAlign w:val="bottom"/>
            <w:hideMark/>
          </w:tcPr>
          <w:p w14:paraId="6DC01D99" w14:textId="086B0E70" w:rsidR="00F917A8" w:rsidRPr="00F917A8" w:rsidRDefault="00F917A8" w:rsidP="00F917A8">
            <w:pPr>
              <w:spacing w:before="0" w:after="0"/>
              <w:jc w:val="center"/>
              <w:rPr>
                <w:sz w:val="16"/>
                <w:szCs w:val="16"/>
              </w:rPr>
            </w:pPr>
            <w:r w:rsidRPr="00F917A8">
              <w:rPr>
                <w:sz w:val="16"/>
                <w:szCs w:val="16"/>
              </w:rPr>
              <w:t>6.6</w:t>
            </w:r>
          </w:p>
        </w:tc>
        <w:tc>
          <w:tcPr>
            <w:tcW w:w="888" w:type="dxa"/>
            <w:shd w:val="clear" w:color="auto" w:fill="E7F3F4"/>
            <w:noWrap/>
            <w:vAlign w:val="bottom"/>
            <w:hideMark/>
          </w:tcPr>
          <w:p w14:paraId="7E3C5D01" w14:textId="6BE8AEB0" w:rsidR="00F917A8" w:rsidRPr="00F917A8" w:rsidRDefault="00F917A8" w:rsidP="00F917A8">
            <w:pPr>
              <w:spacing w:before="0" w:after="0"/>
              <w:jc w:val="center"/>
              <w:rPr>
                <w:sz w:val="16"/>
                <w:szCs w:val="16"/>
              </w:rPr>
            </w:pPr>
            <w:r w:rsidRPr="00F917A8">
              <w:rPr>
                <w:sz w:val="16"/>
                <w:szCs w:val="16"/>
              </w:rPr>
              <w:t>12.9</w:t>
            </w:r>
          </w:p>
        </w:tc>
        <w:tc>
          <w:tcPr>
            <w:tcW w:w="888" w:type="dxa"/>
            <w:shd w:val="clear" w:color="auto" w:fill="E7F3F4"/>
            <w:noWrap/>
            <w:vAlign w:val="bottom"/>
            <w:hideMark/>
          </w:tcPr>
          <w:p w14:paraId="6CC8FB41" w14:textId="21851A55" w:rsidR="00F917A8" w:rsidRPr="00F917A8" w:rsidRDefault="00F917A8" w:rsidP="00F917A8">
            <w:pPr>
              <w:spacing w:before="0" w:after="0"/>
              <w:jc w:val="center"/>
              <w:rPr>
                <w:sz w:val="16"/>
                <w:szCs w:val="16"/>
              </w:rPr>
            </w:pPr>
            <w:r w:rsidRPr="00F917A8">
              <w:rPr>
                <w:sz w:val="16"/>
                <w:szCs w:val="16"/>
              </w:rPr>
              <w:t>14.8</w:t>
            </w:r>
          </w:p>
        </w:tc>
        <w:tc>
          <w:tcPr>
            <w:tcW w:w="650" w:type="dxa"/>
            <w:shd w:val="clear" w:color="auto" w:fill="E7F3F4"/>
            <w:noWrap/>
            <w:vAlign w:val="bottom"/>
            <w:hideMark/>
          </w:tcPr>
          <w:p w14:paraId="755BCB3F" w14:textId="3785D964" w:rsidR="00F917A8" w:rsidRPr="00F917A8" w:rsidRDefault="00F917A8" w:rsidP="00F917A8">
            <w:pPr>
              <w:spacing w:before="0" w:after="0"/>
              <w:jc w:val="center"/>
              <w:rPr>
                <w:sz w:val="16"/>
                <w:szCs w:val="16"/>
              </w:rPr>
            </w:pPr>
            <w:r w:rsidRPr="00F917A8">
              <w:rPr>
                <w:sz w:val="16"/>
                <w:szCs w:val="16"/>
              </w:rPr>
              <w:t>0</w:t>
            </w:r>
          </w:p>
        </w:tc>
      </w:tr>
      <w:tr w:rsidR="00F917A8" w14:paraId="26921981" w14:textId="77777777" w:rsidTr="006F4537">
        <w:trPr>
          <w:jc w:val="center"/>
        </w:trPr>
        <w:tc>
          <w:tcPr>
            <w:tcW w:w="1388" w:type="dxa"/>
            <w:noWrap/>
            <w:vAlign w:val="bottom"/>
          </w:tcPr>
          <w:p w14:paraId="22905AE7" w14:textId="77777777" w:rsidR="00F917A8" w:rsidRDefault="00F917A8" w:rsidP="00F917A8">
            <w:pPr>
              <w:spacing w:before="0" w:after="0"/>
              <w:rPr>
                <w:color w:val="000000"/>
                <w:sz w:val="16"/>
                <w:szCs w:val="16"/>
              </w:rPr>
            </w:pPr>
          </w:p>
        </w:tc>
        <w:tc>
          <w:tcPr>
            <w:tcW w:w="1117" w:type="dxa"/>
            <w:shd w:val="clear" w:color="auto" w:fill="E7F3F4"/>
            <w:noWrap/>
            <w:vAlign w:val="bottom"/>
          </w:tcPr>
          <w:p w14:paraId="16FC129B" w14:textId="77777777" w:rsidR="00F917A8" w:rsidRDefault="00F917A8" w:rsidP="00F917A8">
            <w:pPr>
              <w:spacing w:before="0" w:after="0"/>
              <w:jc w:val="center"/>
              <w:rPr>
                <w:color w:val="000000"/>
                <w:sz w:val="16"/>
                <w:szCs w:val="16"/>
              </w:rPr>
            </w:pPr>
          </w:p>
        </w:tc>
        <w:tc>
          <w:tcPr>
            <w:tcW w:w="588" w:type="dxa"/>
            <w:shd w:val="clear" w:color="auto" w:fill="E7F3F4"/>
            <w:noWrap/>
            <w:vAlign w:val="bottom"/>
            <w:hideMark/>
          </w:tcPr>
          <w:p w14:paraId="5F62911C" w14:textId="77777777" w:rsidR="00F917A8" w:rsidRDefault="00F917A8" w:rsidP="00F917A8">
            <w:pPr>
              <w:spacing w:before="0" w:after="0"/>
              <w:jc w:val="center"/>
              <w:rPr>
                <w:color w:val="000000"/>
                <w:sz w:val="16"/>
                <w:szCs w:val="16"/>
              </w:rPr>
            </w:pPr>
            <w:r>
              <w:rPr>
                <w:color w:val="000000"/>
                <w:sz w:val="16"/>
                <w:szCs w:val="16"/>
              </w:rPr>
              <w:t>LB1</w:t>
            </w:r>
          </w:p>
        </w:tc>
        <w:tc>
          <w:tcPr>
            <w:tcW w:w="951" w:type="dxa"/>
            <w:shd w:val="clear" w:color="auto" w:fill="E7F3F4"/>
            <w:noWrap/>
            <w:vAlign w:val="bottom"/>
            <w:hideMark/>
          </w:tcPr>
          <w:p w14:paraId="6365BFFA" w14:textId="68161A25" w:rsidR="00F917A8" w:rsidRPr="00CE7AC9" w:rsidRDefault="00F917A8" w:rsidP="00F917A8">
            <w:pPr>
              <w:spacing w:before="0" w:after="0"/>
              <w:jc w:val="center"/>
              <w:rPr>
                <w:sz w:val="16"/>
                <w:szCs w:val="16"/>
              </w:rPr>
            </w:pPr>
            <w:r>
              <w:rPr>
                <w:sz w:val="16"/>
                <w:szCs w:val="16"/>
              </w:rPr>
              <w:t>01-Apr-17</w:t>
            </w:r>
          </w:p>
        </w:tc>
        <w:tc>
          <w:tcPr>
            <w:tcW w:w="815" w:type="dxa"/>
            <w:shd w:val="clear" w:color="auto" w:fill="E7F3F4"/>
            <w:noWrap/>
            <w:vAlign w:val="bottom"/>
            <w:hideMark/>
          </w:tcPr>
          <w:p w14:paraId="5182CDBC" w14:textId="67C470D5" w:rsidR="00F917A8" w:rsidRPr="00F917A8" w:rsidRDefault="00F917A8" w:rsidP="00F917A8">
            <w:pPr>
              <w:spacing w:before="0" w:after="0"/>
              <w:jc w:val="center"/>
              <w:rPr>
                <w:sz w:val="16"/>
                <w:szCs w:val="16"/>
              </w:rPr>
            </w:pPr>
            <w:r w:rsidRPr="00F917A8">
              <w:rPr>
                <w:sz w:val="16"/>
                <w:szCs w:val="16"/>
              </w:rPr>
              <w:t>0.0</w:t>
            </w:r>
          </w:p>
        </w:tc>
        <w:tc>
          <w:tcPr>
            <w:tcW w:w="823" w:type="dxa"/>
            <w:shd w:val="clear" w:color="auto" w:fill="E7F3F4"/>
            <w:noWrap/>
            <w:vAlign w:val="bottom"/>
            <w:hideMark/>
          </w:tcPr>
          <w:p w14:paraId="221B7F10" w14:textId="324E76D1" w:rsidR="00F917A8" w:rsidRPr="00F917A8" w:rsidRDefault="00F917A8" w:rsidP="00F917A8">
            <w:pPr>
              <w:spacing w:before="0" w:after="0"/>
              <w:jc w:val="center"/>
              <w:rPr>
                <w:sz w:val="16"/>
                <w:szCs w:val="16"/>
              </w:rPr>
            </w:pPr>
            <w:r w:rsidRPr="00F917A8">
              <w:rPr>
                <w:sz w:val="16"/>
                <w:szCs w:val="16"/>
              </w:rPr>
              <w:t>0</w:t>
            </w:r>
          </w:p>
        </w:tc>
        <w:tc>
          <w:tcPr>
            <w:tcW w:w="888" w:type="dxa"/>
            <w:shd w:val="clear" w:color="auto" w:fill="E7F3F4"/>
            <w:noWrap/>
            <w:vAlign w:val="bottom"/>
            <w:hideMark/>
          </w:tcPr>
          <w:p w14:paraId="13E65385" w14:textId="7AF5280D" w:rsidR="00F917A8" w:rsidRPr="00F917A8" w:rsidRDefault="00F917A8" w:rsidP="00F917A8">
            <w:pPr>
              <w:spacing w:before="0" w:after="0"/>
              <w:jc w:val="center"/>
              <w:rPr>
                <w:sz w:val="16"/>
                <w:szCs w:val="16"/>
              </w:rPr>
            </w:pPr>
            <w:r w:rsidRPr="00F917A8">
              <w:rPr>
                <w:sz w:val="16"/>
                <w:szCs w:val="16"/>
              </w:rPr>
              <w:t>6.6</w:t>
            </w:r>
          </w:p>
        </w:tc>
        <w:tc>
          <w:tcPr>
            <w:tcW w:w="888" w:type="dxa"/>
            <w:shd w:val="clear" w:color="auto" w:fill="E7F3F4"/>
            <w:noWrap/>
            <w:vAlign w:val="bottom"/>
            <w:hideMark/>
          </w:tcPr>
          <w:p w14:paraId="061ECC78" w14:textId="06A5FDD5" w:rsidR="00F917A8" w:rsidRPr="00F917A8" w:rsidRDefault="00F917A8" w:rsidP="00F917A8">
            <w:pPr>
              <w:spacing w:before="0" w:after="0"/>
              <w:jc w:val="center"/>
              <w:rPr>
                <w:sz w:val="16"/>
                <w:szCs w:val="16"/>
              </w:rPr>
            </w:pPr>
            <w:r w:rsidRPr="00F917A8">
              <w:rPr>
                <w:sz w:val="16"/>
                <w:szCs w:val="16"/>
              </w:rPr>
              <w:t>12.9</w:t>
            </w:r>
          </w:p>
        </w:tc>
        <w:tc>
          <w:tcPr>
            <w:tcW w:w="888" w:type="dxa"/>
            <w:shd w:val="clear" w:color="auto" w:fill="E7F3F4"/>
            <w:noWrap/>
            <w:vAlign w:val="bottom"/>
            <w:hideMark/>
          </w:tcPr>
          <w:p w14:paraId="6696BF14" w14:textId="236EF1A7" w:rsidR="00F917A8" w:rsidRPr="00F917A8" w:rsidRDefault="00F917A8" w:rsidP="00F917A8">
            <w:pPr>
              <w:spacing w:before="0" w:after="0"/>
              <w:jc w:val="center"/>
              <w:rPr>
                <w:sz w:val="16"/>
                <w:szCs w:val="16"/>
              </w:rPr>
            </w:pPr>
            <w:r w:rsidRPr="00F917A8">
              <w:rPr>
                <w:sz w:val="16"/>
                <w:szCs w:val="16"/>
              </w:rPr>
              <w:t>14.8</w:t>
            </w:r>
          </w:p>
        </w:tc>
        <w:tc>
          <w:tcPr>
            <w:tcW w:w="650" w:type="dxa"/>
            <w:shd w:val="clear" w:color="auto" w:fill="E7F3F4"/>
            <w:noWrap/>
            <w:vAlign w:val="bottom"/>
            <w:hideMark/>
          </w:tcPr>
          <w:p w14:paraId="402D57E7" w14:textId="1BD837B1" w:rsidR="00F917A8" w:rsidRPr="00F917A8" w:rsidRDefault="00F917A8" w:rsidP="00F917A8">
            <w:pPr>
              <w:spacing w:before="0" w:after="0"/>
              <w:jc w:val="center"/>
              <w:rPr>
                <w:sz w:val="16"/>
                <w:szCs w:val="16"/>
              </w:rPr>
            </w:pPr>
            <w:r w:rsidRPr="00F917A8">
              <w:rPr>
                <w:sz w:val="16"/>
                <w:szCs w:val="16"/>
              </w:rPr>
              <w:t>0</w:t>
            </w:r>
          </w:p>
        </w:tc>
      </w:tr>
      <w:tr w:rsidR="00F917A8" w14:paraId="40ADA619" w14:textId="77777777" w:rsidTr="006F4537">
        <w:trPr>
          <w:jc w:val="center"/>
        </w:trPr>
        <w:tc>
          <w:tcPr>
            <w:tcW w:w="1388" w:type="dxa"/>
            <w:noWrap/>
            <w:vAlign w:val="bottom"/>
          </w:tcPr>
          <w:p w14:paraId="4DE92282" w14:textId="77777777" w:rsidR="00F917A8" w:rsidRDefault="00F917A8" w:rsidP="00F917A8">
            <w:pPr>
              <w:spacing w:before="0" w:after="0"/>
              <w:rPr>
                <w:color w:val="000000"/>
                <w:sz w:val="16"/>
                <w:szCs w:val="16"/>
              </w:rPr>
            </w:pPr>
          </w:p>
        </w:tc>
        <w:tc>
          <w:tcPr>
            <w:tcW w:w="1117" w:type="dxa"/>
            <w:shd w:val="clear" w:color="auto" w:fill="E7F3F4"/>
            <w:noWrap/>
            <w:vAlign w:val="bottom"/>
          </w:tcPr>
          <w:p w14:paraId="03DDBB5C" w14:textId="77777777" w:rsidR="00F917A8" w:rsidRDefault="00F917A8" w:rsidP="00F917A8">
            <w:pPr>
              <w:spacing w:before="0" w:after="0"/>
              <w:jc w:val="center"/>
              <w:rPr>
                <w:color w:val="000000"/>
                <w:sz w:val="16"/>
                <w:szCs w:val="16"/>
              </w:rPr>
            </w:pPr>
          </w:p>
        </w:tc>
        <w:tc>
          <w:tcPr>
            <w:tcW w:w="588" w:type="dxa"/>
            <w:shd w:val="clear" w:color="auto" w:fill="E7F3F4"/>
            <w:noWrap/>
            <w:vAlign w:val="bottom"/>
            <w:hideMark/>
          </w:tcPr>
          <w:p w14:paraId="6C695BA3" w14:textId="77777777" w:rsidR="00F917A8" w:rsidRDefault="00F917A8" w:rsidP="00F917A8">
            <w:pPr>
              <w:spacing w:before="0" w:after="0"/>
              <w:jc w:val="center"/>
              <w:rPr>
                <w:color w:val="000000"/>
                <w:sz w:val="16"/>
                <w:szCs w:val="16"/>
              </w:rPr>
            </w:pPr>
            <w:r>
              <w:rPr>
                <w:color w:val="000000"/>
                <w:sz w:val="16"/>
                <w:szCs w:val="16"/>
              </w:rPr>
              <w:t>LB2</w:t>
            </w:r>
          </w:p>
        </w:tc>
        <w:tc>
          <w:tcPr>
            <w:tcW w:w="951" w:type="dxa"/>
            <w:shd w:val="clear" w:color="auto" w:fill="E7F3F4"/>
            <w:noWrap/>
            <w:vAlign w:val="bottom"/>
            <w:hideMark/>
          </w:tcPr>
          <w:p w14:paraId="20ED644B" w14:textId="1EA69BEE" w:rsidR="00F917A8" w:rsidRPr="00CE7AC9" w:rsidRDefault="00F917A8" w:rsidP="00F917A8">
            <w:pPr>
              <w:spacing w:before="0" w:after="0"/>
              <w:jc w:val="center"/>
              <w:rPr>
                <w:sz w:val="16"/>
                <w:szCs w:val="16"/>
              </w:rPr>
            </w:pPr>
            <w:r>
              <w:rPr>
                <w:sz w:val="16"/>
                <w:szCs w:val="16"/>
              </w:rPr>
              <w:t>01-Jul-16</w:t>
            </w:r>
          </w:p>
        </w:tc>
        <w:tc>
          <w:tcPr>
            <w:tcW w:w="815" w:type="dxa"/>
            <w:shd w:val="clear" w:color="auto" w:fill="E7F3F4"/>
            <w:noWrap/>
            <w:vAlign w:val="bottom"/>
            <w:hideMark/>
          </w:tcPr>
          <w:p w14:paraId="4E2D5043" w14:textId="533E30F2" w:rsidR="00F917A8" w:rsidRPr="00F917A8" w:rsidRDefault="00F917A8" w:rsidP="00F917A8">
            <w:pPr>
              <w:spacing w:before="0" w:after="0"/>
              <w:jc w:val="center"/>
              <w:rPr>
                <w:sz w:val="16"/>
                <w:szCs w:val="16"/>
              </w:rPr>
            </w:pPr>
            <w:r w:rsidRPr="00F917A8">
              <w:rPr>
                <w:sz w:val="16"/>
                <w:szCs w:val="16"/>
              </w:rPr>
              <w:t>0.0</w:t>
            </w:r>
          </w:p>
        </w:tc>
        <w:tc>
          <w:tcPr>
            <w:tcW w:w="823" w:type="dxa"/>
            <w:shd w:val="clear" w:color="auto" w:fill="E7F3F4"/>
            <w:noWrap/>
            <w:vAlign w:val="bottom"/>
            <w:hideMark/>
          </w:tcPr>
          <w:p w14:paraId="3B6CEAF7" w14:textId="5ACF7F94" w:rsidR="00F917A8" w:rsidRPr="00F917A8" w:rsidRDefault="00F917A8" w:rsidP="00F917A8">
            <w:pPr>
              <w:spacing w:before="0" w:after="0"/>
              <w:jc w:val="center"/>
              <w:rPr>
                <w:sz w:val="16"/>
                <w:szCs w:val="16"/>
              </w:rPr>
            </w:pPr>
            <w:r w:rsidRPr="00F917A8">
              <w:rPr>
                <w:sz w:val="16"/>
                <w:szCs w:val="16"/>
              </w:rPr>
              <w:t>0</w:t>
            </w:r>
          </w:p>
        </w:tc>
        <w:tc>
          <w:tcPr>
            <w:tcW w:w="888" w:type="dxa"/>
            <w:shd w:val="clear" w:color="auto" w:fill="E7F3F4"/>
            <w:noWrap/>
            <w:vAlign w:val="bottom"/>
            <w:hideMark/>
          </w:tcPr>
          <w:p w14:paraId="5C7ECA4A" w14:textId="6A447A94" w:rsidR="00F917A8" w:rsidRPr="00F917A8" w:rsidRDefault="00F917A8" w:rsidP="00F917A8">
            <w:pPr>
              <w:spacing w:before="0" w:after="0"/>
              <w:jc w:val="center"/>
              <w:rPr>
                <w:sz w:val="16"/>
                <w:szCs w:val="16"/>
              </w:rPr>
            </w:pPr>
            <w:r w:rsidRPr="00F917A8">
              <w:rPr>
                <w:sz w:val="16"/>
                <w:szCs w:val="16"/>
              </w:rPr>
              <w:t>6.6</w:t>
            </w:r>
          </w:p>
        </w:tc>
        <w:tc>
          <w:tcPr>
            <w:tcW w:w="888" w:type="dxa"/>
            <w:shd w:val="clear" w:color="auto" w:fill="E7F3F4"/>
            <w:noWrap/>
            <w:vAlign w:val="bottom"/>
            <w:hideMark/>
          </w:tcPr>
          <w:p w14:paraId="07235A71" w14:textId="32C5270B" w:rsidR="00F917A8" w:rsidRPr="00F917A8" w:rsidRDefault="00F917A8" w:rsidP="00F917A8">
            <w:pPr>
              <w:spacing w:before="0" w:after="0"/>
              <w:jc w:val="center"/>
              <w:rPr>
                <w:sz w:val="16"/>
                <w:szCs w:val="16"/>
              </w:rPr>
            </w:pPr>
            <w:r w:rsidRPr="00F917A8">
              <w:rPr>
                <w:sz w:val="16"/>
                <w:szCs w:val="16"/>
              </w:rPr>
              <w:t>12.9</w:t>
            </w:r>
          </w:p>
        </w:tc>
        <w:tc>
          <w:tcPr>
            <w:tcW w:w="888" w:type="dxa"/>
            <w:shd w:val="clear" w:color="auto" w:fill="E7F3F4"/>
            <w:noWrap/>
            <w:vAlign w:val="bottom"/>
            <w:hideMark/>
          </w:tcPr>
          <w:p w14:paraId="7251678E" w14:textId="19186E78" w:rsidR="00F917A8" w:rsidRPr="00F917A8" w:rsidRDefault="00F917A8" w:rsidP="00F917A8">
            <w:pPr>
              <w:spacing w:before="0" w:after="0"/>
              <w:jc w:val="center"/>
              <w:rPr>
                <w:sz w:val="16"/>
                <w:szCs w:val="16"/>
              </w:rPr>
            </w:pPr>
            <w:r w:rsidRPr="00F917A8">
              <w:rPr>
                <w:sz w:val="16"/>
                <w:szCs w:val="16"/>
              </w:rPr>
              <w:t>14.8</w:t>
            </w:r>
          </w:p>
        </w:tc>
        <w:tc>
          <w:tcPr>
            <w:tcW w:w="650" w:type="dxa"/>
            <w:shd w:val="clear" w:color="auto" w:fill="E7F3F4"/>
            <w:noWrap/>
            <w:vAlign w:val="bottom"/>
            <w:hideMark/>
          </w:tcPr>
          <w:p w14:paraId="37FEAFDE" w14:textId="557ED396" w:rsidR="00F917A8" w:rsidRPr="00F917A8" w:rsidRDefault="00F917A8" w:rsidP="00F917A8">
            <w:pPr>
              <w:spacing w:before="0" w:after="0"/>
              <w:jc w:val="center"/>
              <w:rPr>
                <w:sz w:val="16"/>
                <w:szCs w:val="16"/>
              </w:rPr>
            </w:pPr>
            <w:r w:rsidRPr="00F917A8">
              <w:rPr>
                <w:sz w:val="16"/>
                <w:szCs w:val="16"/>
              </w:rPr>
              <w:t>0</w:t>
            </w:r>
          </w:p>
        </w:tc>
      </w:tr>
      <w:tr w:rsidR="00F917A8" w14:paraId="701A6958" w14:textId="77777777" w:rsidTr="006F4537">
        <w:trPr>
          <w:jc w:val="center"/>
        </w:trPr>
        <w:tc>
          <w:tcPr>
            <w:tcW w:w="1388" w:type="dxa"/>
            <w:noWrap/>
            <w:vAlign w:val="bottom"/>
          </w:tcPr>
          <w:p w14:paraId="60C9EDBD" w14:textId="77777777" w:rsidR="00F917A8" w:rsidRDefault="00F917A8" w:rsidP="00F917A8">
            <w:pPr>
              <w:spacing w:before="0" w:after="0"/>
              <w:rPr>
                <w:color w:val="000000"/>
                <w:sz w:val="16"/>
                <w:szCs w:val="16"/>
              </w:rPr>
            </w:pPr>
          </w:p>
        </w:tc>
        <w:tc>
          <w:tcPr>
            <w:tcW w:w="1117" w:type="dxa"/>
            <w:shd w:val="clear" w:color="auto" w:fill="E7F3F4"/>
            <w:noWrap/>
            <w:vAlign w:val="bottom"/>
          </w:tcPr>
          <w:p w14:paraId="3DB251A3" w14:textId="77777777" w:rsidR="00F917A8" w:rsidRDefault="00F917A8" w:rsidP="00F917A8">
            <w:pPr>
              <w:spacing w:before="0" w:after="0"/>
              <w:jc w:val="center"/>
              <w:rPr>
                <w:color w:val="000000"/>
                <w:sz w:val="16"/>
                <w:szCs w:val="16"/>
              </w:rPr>
            </w:pPr>
          </w:p>
        </w:tc>
        <w:tc>
          <w:tcPr>
            <w:tcW w:w="588" w:type="dxa"/>
            <w:shd w:val="clear" w:color="auto" w:fill="E7F3F4"/>
            <w:noWrap/>
            <w:vAlign w:val="bottom"/>
            <w:hideMark/>
          </w:tcPr>
          <w:p w14:paraId="7CF2BC38" w14:textId="77777777" w:rsidR="00F917A8" w:rsidRDefault="00F917A8" w:rsidP="00F917A8">
            <w:pPr>
              <w:spacing w:before="0" w:after="0"/>
              <w:jc w:val="center"/>
              <w:rPr>
                <w:color w:val="000000"/>
                <w:sz w:val="16"/>
                <w:szCs w:val="16"/>
              </w:rPr>
            </w:pPr>
            <w:r>
              <w:rPr>
                <w:color w:val="000000"/>
                <w:sz w:val="16"/>
                <w:szCs w:val="16"/>
              </w:rPr>
              <w:t>LB2</w:t>
            </w:r>
          </w:p>
        </w:tc>
        <w:tc>
          <w:tcPr>
            <w:tcW w:w="951" w:type="dxa"/>
            <w:shd w:val="clear" w:color="auto" w:fill="E7F3F4"/>
            <w:noWrap/>
            <w:vAlign w:val="bottom"/>
            <w:hideMark/>
          </w:tcPr>
          <w:p w14:paraId="072BA0AA" w14:textId="6383DA2E" w:rsidR="00F917A8" w:rsidRPr="00CE7AC9" w:rsidRDefault="00F917A8" w:rsidP="00F917A8">
            <w:pPr>
              <w:spacing w:before="0" w:after="0"/>
              <w:jc w:val="center"/>
              <w:rPr>
                <w:sz w:val="16"/>
                <w:szCs w:val="16"/>
              </w:rPr>
            </w:pPr>
            <w:r>
              <w:rPr>
                <w:sz w:val="16"/>
                <w:szCs w:val="16"/>
              </w:rPr>
              <w:t>01-Oct-16</w:t>
            </w:r>
          </w:p>
        </w:tc>
        <w:tc>
          <w:tcPr>
            <w:tcW w:w="815" w:type="dxa"/>
            <w:shd w:val="clear" w:color="auto" w:fill="E7F3F4"/>
            <w:noWrap/>
            <w:vAlign w:val="bottom"/>
            <w:hideMark/>
          </w:tcPr>
          <w:p w14:paraId="2FBF5806" w14:textId="6517F9AB" w:rsidR="00F917A8" w:rsidRPr="00F917A8" w:rsidRDefault="00F917A8" w:rsidP="00F917A8">
            <w:pPr>
              <w:spacing w:before="0" w:after="0"/>
              <w:jc w:val="center"/>
              <w:rPr>
                <w:sz w:val="16"/>
                <w:szCs w:val="16"/>
              </w:rPr>
            </w:pPr>
            <w:r w:rsidRPr="00F917A8">
              <w:rPr>
                <w:sz w:val="16"/>
                <w:szCs w:val="16"/>
              </w:rPr>
              <w:t>0.0</w:t>
            </w:r>
          </w:p>
        </w:tc>
        <w:tc>
          <w:tcPr>
            <w:tcW w:w="823" w:type="dxa"/>
            <w:shd w:val="clear" w:color="auto" w:fill="E7F3F4"/>
            <w:noWrap/>
            <w:vAlign w:val="bottom"/>
            <w:hideMark/>
          </w:tcPr>
          <w:p w14:paraId="5AA0B5D8" w14:textId="0C2FF259" w:rsidR="00F917A8" w:rsidRPr="00F917A8" w:rsidRDefault="00F917A8" w:rsidP="00F917A8">
            <w:pPr>
              <w:spacing w:before="0" w:after="0"/>
              <w:jc w:val="center"/>
              <w:rPr>
                <w:sz w:val="16"/>
                <w:szCs w:val="16"/>
              </w:rPr>
            </w:pPr>
            <w:r w:rsidRPr="00F917A8">
              <w:rPr>
                <w:sz w:val="16"/>
                <w:szCs w:val="16"/>
              </w:rPr>
              <w:t>0</w:t>
            </w:r>
          </w:p>
        </w:tc>
        <w:tc>
          <w:tcPr>
            <w:tcW w:w="888" w:type="dxa"/>
            <w:shd w:val="clear" w:color="auto" w:fill="E7F3F4"/>
            <w:noWrap/>
            <w:vAlign w:val="bottom"/>
            <w:hideMark/>
          </w:tcPr>
          <w:p w14:paraId="626D0D3D" w14:textId="5593E5E3" w:rsidR="00F917A8" w:rsidRPr="00F917A8" w:rsidRDefault="00F917A8" w:rsidP="00F917A8">
            <w:pPr>
              <w:spacing w:before="0" w:after="0"/>
              <w:jc w:val="center"/>
              <w:rPr>
                <w:sz w:val="16"/>
                <w:szCs w:val="16"/>
              </w:rPr>
            </w:pPr>
            <w:r w:rsidRPr="00F917A8">
              <w:rPr>
                <w:sz w:val="16"/>
                <w:szCs w:val="16"/>
              </w:rPr>
              <w:t>6.6</w:t>
            </w:r>
          </w:p>
        </w:tc>
        <w:tc>
          <w:tcPr>
            <w:tcW w:w="888" w:type="dxa"/>
            <w:shd w:val="clear" w:color="auto" w:fill="E7F3F4"/>
            <w:noWrap/>
            <w:vAlign w:val="bottom"/>
            <w:hideMark/>
          </w:tcPr>
          <w:p w14:paraId="0CA1BAF9" w14:textId="2FFD4A13" w:rsidR="00F917A8" w:rsidRPr="00F917A8" w:rsidRDefault="00F917A8" w:rsidP="00F917A8">
            <w:pPr>
              <w:spacing w:before="0" w:after="0"/>
              <w:jc w:val="center"/>
              <w:rPr>
                <w:sz w:val="16"/>
                <w:szCs w:val="16"/>
              </w:rPr>
            </w:pPr>
            <w:r w:rsidRPr="00F917A8">
              <w:rPr>
                <w:sz w:val="16"/>
                <w:szCs w:val="16"/>
              </w:rPr>
              <w:t>12.9</w:t>
            </w:r>
          </w:p>
        </w:tc>
        <w:tc>
          <w:tcPr>
            <w:tcW w:w="888" w:type="dxa"/>
            <w:shd w:val="clear" w:color="auto" w:fill="E7F3F4"/>
            <w:noWrap/>
            <w:vAlign w:val="bottom"/>
            <w:hideMark/>
          </w:tcPr>
          <w:p w14:paraId="338EA5D2" w14:textId="23E77B72" w:rsidR="00F917A8" w:rsidRPr="00F917A8" w:rsidRDefault="00F917A8" w:rsidP="00F917A8">
            <w:pPr>
              <w:spacing w:before="0" w:after="0"/>
              <w:jc w:val="center"/>
              <w:rPr>
                <w:sz w:val="16"/>
                <w:szCs w:val="16"/>
              </w:rPr>
            </w:pPr>
            <w:r w:rsidRPr="00F917A8">
              <w:rPr>
                <w:sz w:val="16"/>
                <w:szCs w:val="16"/>
              </w:rPr>
              <w:t>14.8</w:t>
            </w:r>
          </w:p>
        </w:tc>
        <w:tc>
          <w:tcPr>
            <w:tcW w:w="650" w:type="dxa"/>
            <w:shd w:val="clear" w:color="auto" w:fill="E7F3F4"/>
            <w:noWrap/>
            <w:vAlign w:val="bottom"/>
            <w:hideMark/>
          </w:tcPr>
          <w:p w14:paraId="027C2815" w14:textId="3D252D28" w:rsidR="00F917A8" w:rsidRPr="00F917A8" w:rsidRDefault="00F917A8" w:rsidP="00F917A8">
            <w:pPr>
              <w:spacing w:before="0" w:after="0"/>
              <w:jc w:val="center"/>
              <w:rPr>
                <w:sz w:val="16"/>
                <w:szCs w:val="16"/>
              </w:rPr>
            </w:pPr>
            <w:r w:rsidRPr="00F917A8">
              <w:rPr>
                <w:sz w:val="16"/>
                <w:szCs w:val="16"/>
              </w:rPr>
              <w:t>0</w:t>
            </w:r>
          </w:p>
        </w:tc>
      </w:tr>
      <w:tr w:rsidR="00F917A8" w14:paraId="13C3DF00" w14:textId="77777777" w:rsidTr="006F4537">
        <w:trPr>
          <w:jc w:val="center"/>
        </w:trPr>
        <w:tc>
          <w:tcPr>
            <w:tcW w:w="1388" w:type="dxa"/>
            <w:noWrap/>
            <w:vAlign w:val="bottom"/>
          </w:tcPr>
          <w:p w14:paraId="40484C42" w14:textId="77777777" w:rsidR="00F917A8" w:rsidRDefault="00F917A8" w:rsidP="00F917A8">
            <w:pPr>
              <w:spacing w:before="0" w:after="0"/>
              <w:rPr>
                <w:color w:val="000000"/>
                <w:sz w:val="16"/>
                <w:szCs w:val="16"/>
              </w:rPr>
            </w:pPr>
          </w:p>
        </w:tc>
        <w:tc>
          <w:tcPr>
            <w:tcW w:w="1117" w:type="dxa"/>
            <w:tcBorders>
              <w:top w:val="nil"/>
              <w:left w:val="nil"/>
              <w:bottom w:val="single" w:sz="4" w:space="0" w:color="auto"/>
              <w:right w:val="nil"/>
            </w:tcBorders>
            <w:shd w:val="clear" w:color="auto" w:fill="E7F3F4"/>
            <w:noWrap/>
            <w:vAlign w:val="bottom"/>
          </w:tcPr>
          <w:p w14:paraId="30A250FA" w14:textId="77777777" w:rsidR="00F917A8" w:rsidRDefault="00F917A8" w:rsidP="00F917A8">
            <w:pPr>
              <w:spacing w:before="0" w:after="0"/>
              <w:jc w:val="center"/>
              <w:rPr>
                <w:color w:val="000000"/>
                <w:sz w:val="16"/>
                <w:szCs w:val="16"/>
              </w:rPr>
            </w:pPr>
          </w:p>
        </w:tc>
        <w:tc>
          <w:tcPr>
            <w:tcW w:w="588" w:type="dxa"/>
            <w:tcBorders>
              <w:top w:val="nil"/>
              <w:left w:val="nil"/>
              <w:bottom w:val="single" w:sz="4" w:space="0" w:color="auto"/>
              <w:right w:val="nil"/>
            </w:tcBorders>
            <w:shd w:val="clear" w:color="auto" w:fill="E7F3F4"/>
            <w:noWrap/>
            <w:vAlign w:val="bottom"/>
            <w:hideMark/>
          </w:tcPr>
          <w:p w14:paraId="5E0947DB" w14:textId="77777777" w:rsidR="00F917A8" w:rsidRDefault="00F917A8" w:rsidP="00F917A8">
            <w:pPr>
              <w:spacing w:before="0" w:after="0"/>
              <w:jc w:val="center"/>
              <w:rPr>
                <w:color w:val="000000"/>
                <w:sz w:val="16"/>
                <w:szCs w:val="16"/>
              </w:rPr>
            </w:pPr>
            <w:r>
              <w:rPr>
                <w:color w:val="000000"/>
                <w:sz w:val="16"/>
                <w:szCs w:val="16"/>
              </w:rPr>
              <w:t>LB2</w:t>
            </w:r>
          </w:p>
        </w:tc>
        <w:tc>
          <w:tcPr>
            <w:tcW w:w="951" w:type="dxa"/>
            <w:tcBorders>
              <w:top w:val="nil"/>
              <w:left w:val="nil"/>
              <w:bottom w:val="single" w:sz="4" w:space="0" w:color="auto"/>
              <w:right w:val="nil"/>
            </w:tcBorders>
            <w:shd w:val="clear" w:color="auto" w:fill="E7F3F4"/>
            <w:noWrap/>
            <w:vAlign w:val="bottom"/>
            <w:hideMark/>
          </w:tcPr>
          <w:p w14:paraId="25168FE0" w14:textId="03137F34" w:rsidR="00F917A8" w:rsidRPr="00CE7AC9" w:rsidRDefault="00F917A8" w:rsidP="00F917A8">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hideMark/>
          </w:tcPr>
          <w:p w14:paraId="6D9A4CC1" w14:textId="40F1DA47" w:rsidR="00F917A8" w:rsidRPr="00F917A8" w:rsidRDefault="00F917A8" w:rsidP="00F917A8">
            <w:pPr>
              <w:spacing w:before="0" w:after="0"/>
              <w:jc w:val="center"/>
              <w:rPr>
                <w:sz w:val="16"/>
                <w:szCs w:val="16"/>
              </w:rPr>
            </w:pPr>
            <w:r w:rsidRPr="00F917A8">
              <w:rPr>
                <w:sz w:val="16"/>
                <w:szCs w:val="16"/>
              </w:rPr>
              <w:t>1.3</w:t>
            </w:r>
          </w:p>
        </w:tc>
        <w:tc>
          <w:tcPr>
            <w:tcW w:w="823" w:type="dxa"/>
            <w:tcBorders>
              <w:top w:val="nil"/>
              <w:left w:val="nil"/>
              <w:bottom w:val="single" w:sz="4" w:space="0" w:color="auto"/>
              <w:right w:val="nil"/>
            </w:tcBorders>
            <w:shd w:val="clear" w:color="auto" w:fill="E7F3F4"/>
            <w:noWrap/>
            <w:vAlign w:val="bottom"/>
            <w:hideMark/>
          </w:tcPr>
          <w:p w14:paraId="537F73C9" w14:textId="215F4809" w:rsidR="00F917A8" w:rsidRPr="00F917A8" w:rsidRDefault="00F917A8" w:rsidP="00F917A8">
            <w:pPr>
              <w:spacing w:before="0" w:after="0"/>
              <w:jc w:val="center"/>
              <w:rPr>
                <w:sz w:val="16"/>
                <w:szCs w:val="16"/>
              </w:rPr>
            </w:pPr>
            <w:r w:rsidRPr="00F917A8">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5B89C09B" w14:textId="4984AF3D" w:rsidR="00F917A8" w:rsidRPr="00F917A8" w:rsidRDefault="00F917A8" w:rsidP="00F917A8">
            <w:pPr>
              <w:spacing w:before="0" w:after="0"/>
              <w:jc w:val="center"/>
              <w:rPr>
                <w:sz w:val="16"/>
                <w:szCs w:val="16"/>
              </w:rPr>
            </w:pPr>
            <w:r w:rsidRPr="00F917A8">
              <w:rPr>
                <w:sz w:val="16"/>
                <w:szCs w:val="16"/>
              </w:rPr>
              <w:t>6.6</w:t>
            </w:r>
          </w:p>
        </w:tc>
        <w:tc>
          <w:tcPr>
            <w:tcW w:w="888" w:type="dxa"/>
            <w:tcBorders>
              <w:top w:val="nil"/>
              <w:left w:val="nil"/>
              <w:bottom w:val="single" w:sz="4" w:space="0" w:color="auto"/>
              <w:right w:val="nil"/>
            </w:tcBorders>
            <w:shd w:val="clear" w:color="auto" w:fill="E7F3F4"/>
            <w:noWrap/>
            <w:vAlign w:val="bottom"/>
            <w:hideMark/>
          </w:tcPr>
          <w:p w14:paraId="4EAEEB4D" w14:textId="76019474" w:rsidR="00F917A8" w:rsidRPr="00F917A8" w:rsidRDefault="00F917A8" w:rsidP="00F917A8">
            <w:pPr>
              <w:spacing w:before="0" w:after="0"/>
              <w:jc w:val="center"/>
              <w:rPr>
                <w:sz w:val="16"/>
                <w:szCs w:val="16"/>
              </w:rPr>
            </w:pPr>
            <w:r w:rsidRPr="00F917A8">
              <w:rPr>
                <w:sz w:val="16"/>
                <w:szCs w:val="16"/>
              </w:rPr>
              <w:t>12.9</w:t>
            </w:r>
          </w:p>
        </w:tc>
        <w:tc>
          <w:tcPr>
            <w:tcW w:w="888" w:type="dxa"/>
            <w:tcBorders>
              <w:top w:val="nil"/>
              <w:left w:val="nil"/>
              <w:bottom w:val="single" w:sz="4" w:space="0" w:color="auto"/>
              <w:right w:val="nil"/>
            </w:tcBorders>
            <w:shd w:val="clear" w:color="auto" w:fill="E7F3F4"/>
            <w:noWrap/>
            <w:vAlign w:val="bottom"/>
            <w:hideMark/>
          </w:tcPr>
          <w:p w14:paraId="2785BF84" w14:textId="3253E7B3" w:rsidR="00F917A8" w:rsidRPr="00F917A8" w:rsidRDefault="00F917A8" w:rsidP="00F917A8">
            <w:pPr>
              <w:spacing w:before="0" w:after="0"/>
              <w:jc w:val="center"/>
              <w:rPr>
                <w:sz w:val="16"/>
                <w:szCs w:val="16"/>
              </w:rPr>
            </w:pPr>
            <w:r w:rsidRPr="00F917A8">
              <w:rPr>
                <w:sz w:val="16"/>
                <w:szCs w:val="16"/>
              </w:rPr>
              <w:t>14.8</w:t>
            </w:r>
          </w:p>
        </w:tc>
        <w:tc>
          <w:tcPr>
            <w:tcW w:w="650" w:type="dxa"/>
            <w:tcBorders>
              <w:top w:val="nil"/>
              <w:left w:val="nil"/>
              <w:bottom w:val="single" w:sz="4" w:space="0" w:color="auto"/>
              <w:right w:val="nil"/>
            </w:tcBorders>
            <w:shd w:val="clear" w:color="auto" w:fill="E7F3F4"/>
            <w:noWrap/>
            <w:vAlign w:val="bottom"/>
            <w:hideMark/>
          </w:tcPr>
          <w:p w14:paraId="5110FCED" w14:textId="26AB3DF1" w:rsidR="00F917A8" w:rsidRPr="00F917A8" w:rsidRDefault="00F917A8" w:rsidP="00F917A8">
            <w:pPr>
              <w:spacing w:before="0" w:after="0"/>
              <w:jc w:val="center"/>
              <w:rPr>
                <w:sz w:val="16"/>
                <w:szCs w:val="16"/>
              </w:rPr>
            </w:pPr>
            <w:r w:rsidRPr="00F917A8">
              <w:rPr>
                <w:sz w:val="16"/>
                <w:szCs w:val="16"/>
              </w:rPr>
              <w:t>0</w:t>
            </w:r>
          </w:p>
        </w:tc>
      </w:tr>
      <w:tr w:rsidR="00F917A8" w14:paraId="742152DE" w14:textId="77777777" w:rsidTr="006F4537">
        <w:trPr>
          <w:jc w:val="center"/>
        </w:trPr>
        <w:tc>
          <w:tcPr>
            <w:tcW w:w="1388" w:type="dxa"/>
            <w:noWrap/>
            <w:vAlign w:val="bottom"/>
          </w:tcPr>
          <w:p w14:paraId="5C4EC0BD" w14:textId="77777777" w:rsidR="00F917A8" w:rsidRDefault="00F917A8" w:rsidP="00F917A8">
            <w:pPr>
              <w:spacing w:before="0" w:after="0"/>
              <w:rPr>
                <w:color w:val="000000"/>
                <w:sz w:val="16"/>
                <w:szCs w:val="16"/>
              </w:rPr>
            </w:pPr>
          </w:p>
        </w:tc>
        <w:tc>
          <w:tcPr>
            <w:tcW w:w="1117" w:type="dxa"/>
            <w:tcBorders>
              <w:top w:val="single" w:sz="4" w:space="0" w:color="auto"/>
              <w:left w:val="nil"/>
              <w:bottom w:val="nil"/>
              <w:right w:val="nil"/>
            </w:tcBorders>
            <w:shd w:val="clear" w:color="auto" w:fill="F3F9FA"/>
            <w:noWrap/>
            <w:vAlign w:val="bottom"/>
            <w:hideMark/>
          </w:tcPr>
          <w:p w14:paraId="54450646" w14:textId="77777777" w:rsidR="00F917A8" w:rsidRPr="00CE7AC9" w:rsidRDefault="00F917A8" w:rsidP="00F917A8">
            <w:pPr>
              <w:spacing w:before="0" w:after="0"/>
              <w:jc w:val="center"/>
              <w:rPr>
                <w:sz w:val="16"/>
                <w:szCs w:val="16"/>
              </w:rPr>
            </w:pPr>
            <w:r w:rsidRPr="00CE7AC9">
              <w:rPr>
                <w:sz w:val="16"/>
                <w:szCs w:val="16"/>
              </w:rPr>
              <w:t>Yule Point</w:t>
            </w:r>
          </w:p>
        </w:tc>
        <w:tc>
          <w:tcPr>
            <w:tcW w:w="588" w:type="dxa"/>
            <w:tcBorders>
              <w:top w:val="single" w:sz="4" w:space="0" w:color="auto"/>
              <w:left w:val="nil"/>
              <w:bottom w:val="nil"/>
              <w:right w:val="nil"/>
            </w:tcBorders>
            <w:shd w:val="clear" w:color="auto" w:fill="F3F9FA"/>
            <w:noWrap/>
            <w:vAlign w:val="bottom"/>
            <w:hideMark/>
          </w:tcPr>
          <w:p w14:paraId="770E8FAE" w14:textId="77777777" w:rsidR="00F917A8" w:rsidRPr="00CE7AC9" w:rsidRDefault="00F917A8" w:rsidP="00F917A8">
            <w:pPr>
              <w:spacing w:before="0" w:after="0"/>
              <w:jc w:val="center"/>
              <w:rPr>
                <w:sz w:val="16"/>
                <w:szCs w:val="16"/>
              </w:rPr>
            </w:pPr>
            <w:r w:rsidRPr="00CE7AC9">
              <w:rPr>
                <w:sz w:val="16"/>
                <w:szCs w:val="16"/>
              </w:rPr>
              <w:t>YP1</w:t>
            </w:r>
          </w:p>
        </w:tc>
        <w:tc>
          <w:tcPr>
            <w:tcW w:w="951" w:type="dxa"/>
            <w:tcBorders>
              <w:top w:val="single" w:sz="4" w:space="0" w:color="auto"/>
              <w:left w:val="nil"/>
              <w:bottom w:val="nil"/>
              <w:right w:val="nil"/>
            </w:tcBorders>
            <w:shd w:val="clear" w:color="auto" w:fill="F3F9FA"/>
            <w:noWrap/>
            <w:vAlign w:val="bottom"/>
            <w:hideMark/>
          </w:tcPr>
          <w:p w14:paraId="04AB07C4" w14:textId="17B38641" w:rsidR="00F917A8" w:rsidRPr="00CE7AC9" w:rsidRDefault="00F917A8" w:rsidP="00F917A8">
            <w:pPr>
              <w:spacing w:before="0" w:after="0"/>
              <w:jc w:val="center"/>
              <w:rPr>
                <w:sz w:val="16"/>
                <w:szCs w:val="16"/>
              </w:rPr>
            </w:pPr>
            <w:r>
              <w:rPr>
                <w:sz w:val="16"/>
                <w:szCs w:val="16"/>
              </w:rPr>
              <w:t>01-Jul-16</w:t>
            </w:r>
          </w:p>
        </w:tc>
        <w:tc>
          <w:tcPr>
            <w:tcW w:w="815" w:type="dxa"/>
            <w:tcBorders>
              <w:top w:val="single" w:sz="4" w:space="0" w:color="auto"/>
              <w:left w:val="nil"/>
              <w:bottom w:val="nil"/>
              <w:right w:val="nil"/>
            </w:tcBorders>
            <w:shd w:val="clear" w:color="auto" w:fill="F3F9FA"/>
            <w:noWrap/>
            <w:vAlign w:val="bottom"/>
          </w:tcPr>
          <w:p w14:paraId="30559FEE" w14:textId="7394FB5D" w:rsidR="00F917A8" w:rsidRPr="00F917A8" w:rsidRDefault="00F917A8" w:rsidP="00F917A8">
            <w:pPr>
              <w:spacing w:before="0" w:after="0"/>
              <w:jc w:val="center"/>
              <w:rPr>
                <w:sz w:val="16"/>
                <w:szCs w:val="16"/>
              </w:rPr>
            </w:pPr>
            <w:r w:rsidRPr="00F917A8">
              <w:rPr>
                <w:sz w:val="16"/>
                <w:szCs w:val="16"/>
              </w:rPr>
              <w:t>20.3</w:t>
            </w:r>
          </w:p>
        </w:tc>
        <w:tc>
          <w:tcPr>
            <w:tcW w:w="823" w:type="dxa"/>
            <w:tcBorders>
              <w:top w:val="single" w:sz="4" w:space="0" w:color="auto"/>
              <w:left w:val="nil"/>
              <w:bottom w:val="nil"/>
              <w:right w:val="nil"/>
            </w:tcBorders>
            <w:shd w:val="clear" w:color="auto" w:fill="F3F9FA"/>
            <w:noWrap/>
            <w:vAlign w:val="bottom"/>
          </w:tcPr>
          <w:p w14:paraId="5FE52A00" w14:textId="73A9D9A8" w:rsidR="00F917A8" w:rsidRPr="00F917A8" w:rsidRDefault="00F917A8" w:rsidP="00F917A8">
            <w:pPr>
              <w:spacing w:before="0" w:after="0"/>
              <w:jc w:val="center"/>
              <w:rPr>
                <w:sz w:val="16"/>
                <w:szCs w:val="16"/>
              </w:rPr>
            </w:pPr>
            <w:r w:rsidRPr="00F917A8">
              <w:rPr>
                <w:sz w:val="16"/>
                <w:szCs w:val="16"/>
              </w:rPr>
              <w:t>23</w:t>
            </w:r>
          </w:p>
        </w:tc>
        <w:tc>
          <w:tcPr>
            <w:tcW w:w="888" w:type="dxa"/>
            <w:tcBorders>
              <w:top w:val="single" w:sz="4" w:space="0" w:color="auto"/>
              <w:left w:val="nil"/>
              <w:bottom w:val="nil"/>
              <w:right w:val="nil"/>
            </w:tcBorders>
            <w:shd w:val="clear" w:color="auto" w:fill="F3F9FA"/>
            <w:noWrap/>
            <w:vAlign w:val="bottom"/>
            <w:hideMark/>
          </w:tcPr>
          <w:p w14:paraId="75893935" w14:textId="3ABD5CF6" w:rsidR="00F917A8" w:rsidRPr="00F917A8" w:rsidRDefault="00F917A8" w:rsidP="00F917A8">
            <w:pPr>
              <w:spacing w:before="0" w:after="0"/>
              <w:jc w:val="center"/>
              <w:rPr>
                <w:sz w:val="16"/>
                <w:szCs w:val="16"/>
              </w:rPr>
            </w:pPr>
            <w:r w:rsidRPr="00F917A8">
              <w:rPr>
                <w:sz w:val="16"/>
                <w:szCs w:val="16"/>
              </w:rPr>
              <w:t>7</w:t>
            </w:r>
          </w:p>
        </w:tc>
        <w:tc>
          <w:tcPr>
            <w:tcW w:w="888" w:type="dxa"/>
            <w:tcBorders>
              <w:top w:val="single" w:sz="4" w:space="0" w:color="auto"/>
              <w:left w:val="nil"/>
              <w:bottom w:val="nil"/>
              <w:right w:val="nil"/>
            </w:tcBorders>
            <w:shd w:val="clear" w:color="auto" w:fill="F3F9FA"/>
            <w:noWrap/>
            <w:vAlign w:val="bottom"/>
            <w:hideMark/>
          </w:tcPr>
          <w:p w14:paraId="2C64A615" w14:textId="6CE49A0D" w:rsidR="00F917A8" w:rsidRPr="00F917A8" w:rsidRDefault="00F917A8" w:rsidP="00F917A8">
            <w:pPr>
              <w:spacing w:before="0" w:after="0"/>
              <w:jc w:val="center"/>
              <w:rPr>
                <w:sz w:val="16"/>
                <w:szCs w:val="16"/>
              </w:rPr>
            </w:pPr>
            <w:r w:rsidRPr="00F917A8">
              <w:rPr>
                <w:sz w:val="16"/>
                <w:szCs w:val="16"/>
              </w:rPr>
              <w:t>14</w:t>
            </w:r>
          </w:p>
        </w:tc>
        <w:tc>
          <w:tcPr>
            <w:tcW w:w="888" w:type="dxa"/>
            <w:tcBorders>
              <w:top w:val="single" w:sz="4" w:space="0" w:color="auto"/>
              <w:left w:val="nil"/>
              <w:bottom w:val="nil"/>
              <w:right w:val="nil"/>
            </w:tcBorders>
            <w:shd w:val="clear" w:color="auto" w:fill="F3F9FA"/>
            <w:noWrap/>
            <w:vAlign w:val="bottom"/>
            <w:hideMark/>
          </w:tcPr>
          <w:p w14:paraId="2C4448D3" w14:textId="5346036F" w:rsidR="00F917A8" w:rsidRPr="00F917A8" w:rsidRDefault="00F917A8" w:rsidP="00F917A8">
            <w:pPr>
              <w:spacing w:before="0" w:after="0"/>
              <w:jc w:val="center"/>
              <w:rPr>
                <w:sz w:val="16"/>
                <w:szCs w:val="16"/>
              </w:rPr>
            </w:pPr>
            <w:r w:rsidRPr="00F917A8">
              <w:rPr>
                <w:sz w:val="16"/>
                <w:szCs w:val="16"/>
              </w:rPr>
              <w:t>15.4</w:t>
            </w:r>
          </w:p>
        </w:tc>
        <w:tc>
          <w:tcPr>
            <w:tcW w:w="650" w:type="dxa"/>
            <w:tcBorders>
              <w:top w:val="single" w:sz="4" w:space="0" w:color="auto"/>
              <w:left w:val="nil"/>
              <w:bottom w:val="nil"/>
              <w:right w:val="nil"/>
            </w:tcBorders>
            <w:shd w:val="clear" w:color="auto" w:fill="F3F9FA"/>
            <w:noWrap/>
            <w:vAlign w:val="bottom"/>
          </w:tcPr>
          <w:p w14:paraId="52AA8E48" w14:textId="22CB362B" w:rsidR="00F917A8" w:rsidRPr="00F917A8" w:rsidRDefault="00F917A8" w:rsidP="00F917A8">
            <w:pPr>
              <w:spacing w:before="0" w:after="0"/>
              <w:jc w:val="center"/>
              <w:rPr>
                <w:sz w:val="16"/>
                <w:szCs w:val="16"/>
              </w:rPr>
            </w:pPr>
            <w:r w:rsidRPr="00F917A8">
              <w:rPr>
                <w:sz w:val="16"/>
                <w:szCs w:val="16"/>
              </w:rPr>
              <w:t>100</w:t>
            </w:r>
          </w:p>
        </w:tc>
      </w:tr>
      <w:tr w:rsidR="00F917A8" w14:paraId="089CA78B" w14:textId="77777777" w:rsidTr="006F4537">
        <w:trPr>
          <w:jc w:val="center"/>
        </w:trPr>
        <w:tc>
          <w:tcPr>
            <w:tcW w:w="1388" w:type="dxa"/>
            <w:noWrap/>
            <w:vAlign w:val="bottom"/>
          </w:tcPr>
          <w:p w14:paraId="3D75125F" w14:textId="77777777" w:rsidR="00F917A8" w:rsidRDefault="00F917A8" w:rsidP="00F917A8">
            <w:pPr>
              <w:spacing w:before="0" w:after="0"/>
              <w:rPr>
                <w:color w:val="000000"/>
                <w:sz w:val="16"/>
                <w:szCs w:val="16"/>
              </w:rPr>
            </w:pPr>
          </w:p>
        </w:tc>
        <w:tc>
          <w:tcPr>
            <w:tcW w:w="1117" w:type="dxa"/>
            <w:shd w:val="clear" w:color="auto" w:fill="F3F9FA"/>
            <w:noWrap/>
            <w:vAlign w:val="bottom"/>
          </w:tcPr>
          <w:p w14:paraId="4F4EACCA" w14:textId="77777777" w:rsidR="00F917A8" w:rsidRPr="00CE7AC9" w:rsidRDefault="00F917A8" w:rsidP="00F917A8">
            <w:pPr>
              <w:spacing w:before="0" w:after="0"/>
              <w:jc w:val="center"/>
              <w:rPr>
                <w:sz w:val="16"/>
                <w:szCs w:val="16"/>
              </w:rPr>
            </w:pPr>
          </w:p>
        </w:tc>
        <w:tc>
          <w:tcPr>
            <w:tcW w:w="588" w:type="dxa"/>
            <w:shd w:val="clear" w:color="auto" w:fill="F3F9FA"/>
            <w:noWrap/>
            <w:vAlign w:val="bottom"/>
            <w:hideMark/>
          </w:tcPr>
          <w:p w14:paraId="184798E7" w14:textId="77777777" w:rsidR="00F917A8" w:rsidRPr="00CE7AC9" w:rsidRDefault="00F917A8" w:rsidP="00F917A8">
            <w:pPr>
              <w:spacing w:before="0" w:after="0"/>
              <w:jc w:val="center"/>
              <w:rPr>
                <w:sz w:val="16"/>
                <w:szCs w:val="16"/>
              </w:rPr>
            </w:pPr>
            <w:r w:rsidRPr="00CE7AC9">
              <w:rPr>
                <w:sz w:val="16"/>
                <w:szCs w:val="16"/>
              </w:rPr>
              <w:t>YP1</w:t>
            </w:r>
          </w:p>
        </w:tc>
        <w:tc>
          <w:tcPr>
            <w:tcW w:w="951" w:type="dxa"/>
            <w:shd w:val="clear" w:color="auto" w:fill="F3F9FA"/>
            <w:noWrap/>
            <w:vAlign w:val="bottom"/>
            <w:hideMark/>
          </w:tcPr>
          <w:p w14:paraId="0DC18F64" w14:textId="66EB0682" w:rsidR="00F917A8" w:rsidRPr="00CE7AC9" w:rsidRDefault="00F917A8" w:rsidP="00F917A8">
            <w:pPr>
              <w:spacing w:before="0" w:after="0"/>
              <w:jc w:val="center"/>
              <w:rPr>
                <w:sz w:val="16"/>
                <w:szCs w:val="16"/>
              </w:rPr>
            </w:pPr>
            <w:r>
              <w:rPr>
                <w:sz w:val="16"/>
                <w:szCs w:val="16"/>
              </w:rPr>
              <w:t>01-Oct-16</w:t>
            </w:r>
          </w:p>
        </w:tc>
        <w:tc>
          <w:tcPr>
            <w:tcW w:w="815" w:type="dxa"/>
            <w:shd w:val="clear" w:color="auto" w:fill="F3F9FA"/>
            <w:noWrap/>
            <w:vAlign w:val="bottom"/>
          </w:tcPr>
          <w:p w14:paraId="55A6AF04" w14:textId="6BB4BED4" w:rsidR="00F917A8" w:rsidRPr="00F917A8" w:rsidRDefault="00F917A8" w:rsidP="00F917A8">
            <w:pPr>
              <w:spacing w:before="0" w:after="0"/>
              <w:jc w:val="center"/>
              <w:rPr>
                <w:sz w:val="16"/>
                <w:szCs w:val="16"/>
              </w:rPr>
            </w:pPr>
            <w:r w:rsidRPr="00F917A8">
              <w:rPr>
                <w:sz w:val="16"/>
                <w:szCs w:val="16"/>
              </w:rPr>
              <w:t>17.9</w:t>
            </w:r>
          </w:p>
        </w:tc>
        <w:tc>
          <w:tcPr>
            <w:tcW w:w="823" w:type="dxa"/>
            <w:shd w:val="clear" w:color="auto" w:fill="F3F9FA"/>
            <w:noWrap/>
            <w:vAlign w:val="bottom"/>
          </w:tcPr>
          <w:p w14:paraId="7695156D" w14:textId="6056313A" w:rsidR="00F917A8" w:rsidRPr="00F917A8" w:rsidRDefault="00F917A8" w:rsidP="00F917A8">
            <w:pPr>
              <w:spacing w:before="0" w:after="0"/>
              <w:jc w:val="center"/>
              <w:rPr>
                <w:sz w:val="16"/>
                <w:szCs w:val="16"/>
              </w:rPr>
            </w:pPr>
            <w:r w:rsidRPr="00F917A8">
              <w:rPr>
                <w:sz w:val="16"/>
                <w:szCs w:val="16"/>
              </w:rPr>
              <w:t>15</w:t>
            </w:r>
          </w:p>
        </w:tc>
        <w:tc>
          <w:tcPr>
            <w:tcW w:w="888" w:type="dxa"/>
            <w:shd w:val="clear" w:color="auto" w:fill="F3F9FA"/>
            <w:noWrap/>
            <w:vAlign w:val="bottom"/>
            <w:hideMark/>
          </w:tcPr>
          <w:p w14:paraId="5063E2CB" w14:textId="7D26CB79" w:rsidR="00F917A8" w:rsidRPr="00F917A8" w:rsidRDefault="00F917A8" w:rsidP="00F917A8">
            <w:pPr>
              <w:spacing w:before="0" w:after="0"/>
              <w:jc w:val="center"/>
              <w:rPr>
                <w:sz w:val="16"/>
                <w:szCs w:val="16"/>
              </w:rPr>
            </w:pPr>
            <w:r w:rsidRPr="00F917A8">
              <w:rPr>
                <w:sz w:val="16"/>
                <w:szCs w:val="16"/>
              </w:rPr>
              <w:t>7</w:t>
            </w:r>
          </w:p>
        </w:tc>
        <w:tc>
          <w:tcPr>
            <w:tcW w:w="888" w:type="dxa"/>
            <w:shd w:val="clear" w:color="auto" w:fill="F3F9FA"/>
            <w:noWrap/>
            <w:vAlign w:val="bottom"/>
            <w:hideMark/>
          </w:tcPr>
          <w:p w14:paraId="23006AAD" w14:textId="6E4D2FE3" w:rsidR="00F917A8" w:rsidRPr="00F917A8" w:rsidRDefault="00F917A8" w:rsidP="00F917A8">
            <w:pPr>
              <w:spacing w:before="0" w:after="0"/>
              <w:jc w:val="center"/>
              <w:rPr>
                <w:sz w:val="16"/>
                <w:szCs w:val="16"/>
              </w:rPr>
            </w:pPr>
            <w:r w:rsidRPr="00F917A8">
              <w:rPr>
                <w:sz w:val="16"/>
                <w:szCs w:val="16"/>
              </w:rPr>
              <w:t>14</w:t>
            </w:r>
          </w:p>
        </w:tc>
        <w:tc>
          <w:tcPr>
            <w:tcW w:w="888" w:type="dxa"/>
            <w:shd w:val="clear" w:color="auto" w:fill="F3F9FA"/>
            <w:noWrap/>
            <w:vAlign w:val="bottom"/>
            <w:hideMark/>
          </w:tcPr>
          <w:p w14:paraId="62093C06" w14:textId="1A540D26" w:rsidR="00F917A8" w:rsidRPr="00F917A8" w:rsidRDefault="00F917A8" w:rsidP="00F917A8">
            <w:pPr>
              <w:spacing w:before="0" w:after="0"/>
              <w:jc w:val="center"/>
              <w:rPr>
                <w:sz w:val="16"/>
                <w:szCs w:val="16"/>
              </w:rPr>
            </w:pPr>
            <w:r w:rsidRPr="00F917A8">
              <w:rPr>
                <w:sz w:val="16"/>
                <w:szCs w:val="16"/>
              </w:rPr>
              <w:t>15.4</w:t>
            </w:r>
          </w:p>
        </w:tc>
        <w:tc>
          <w:tcPr>
            <w:tcW w:w="650" w:type="dxa"/>
            <w:shd w:val="clear" w:color="auto" w:fill="F3F9FA"/>
            <w:noWrap/>
            <w:vAlign w:val="bottom"/>
          </w:tcPr>
          <w:p w14:paraId="17508F78" w14:textId="18EE1B3C" w:rsidR="00F917A8" w:rsidRPr="00F917A8" w:rsidRDefault="00F917A8" w:rsidP="00F917A8">
            <w:pPr>
              <w:spacing w:before="0" w:after="0"/>
              <w:jc w:val="center"/>
              <w:rPr>
                <w:sz w:val="16"/>
                <w:szCs w:val="16"/>
              </w:rPr>
            </w:pPr>
            <w:r w:rsidRPr="00F917A8">
              <w:rPr>
                <w:sz w:val="16"/>
                <w:szCs w:val="16"/>
              </w:rPr>
              <w:t>75</w:t>
            </w:r>
          </w:p>
        </w:tc>
      </w:tr>
      <w:tr w:rsidR="00F917A8" w14:paraId="36C69E80" w14:textId="77777777" w:rsidTr="006F4537">
        <w:trPr>
          <w:jc w:val="center"/>
        </w:trPr>
        <w:tc>
          <w:tcPr>
            <w:tcW w:w="1388" w:type="dxa"/>
            <w:noWrap/>
            <w:vAlign w:val="bottom"/>
          </w:tcPr>
          <w:p w14:paraId="7CD434C4" w14:textId="77777777" w:rsidR="00F917A8" w:rsidRDefault="00F917A8" w:rsidP="00F917A8">
            <w:pPr>
              <w:spacing w:before="0" w:after="0"/>
              <w:rPr>
                <w:color w:val="000000"/>
                <w:sz w:val="16"/>
                <w:szCs w:val="16"/>
              </w:rPr>
            </w:pPr>
          </w:p>
        </w:tc>
        <w:tc>
          <w:tcPr>
            <w:tcW w:w="1117" w:type="dxa"/>
            <w:shd w:val="clear" w:color="auto" w:fill="F3F9FA"/>
            <w:noWrap/>
            <w:vAlign w:val="bottom"/>
          </w:tcPr>
          <w:p w14:paraId="73F94906" w14:textId="77777777" w:rsidR="00F917A8" w:rsidRPr="00CE7AC9" w:rsidRDefault="00F917A8" w:rsidP="00F917A8">
            <w:pPr>
              <w:spacing w:before="0" w:after="0"/>
              <w:jc w:val="center"/>
              <w:rPr>
                <w:sz w:val="16"/>
                <w:szCs w:val="16"/>
              </w:rPr>
            </w:pPr>
          </w:p>
        </w:tc>
        <w:tc>
          <w:tcPr>
            <w:tcW w:w="588" w:type="dxa"/>
            <w:shd w:val="clear" w:color="auto" w:fill="F3F9FA"/>
            <w:noWrap/>
            <w:vAlign w:val="bottom"/>
            <w:hideMark/>
          </w:tcPr>
          <w:p w14:paraId="3D7354C1" w14:textId="77777777" w:rsidR="00F917A8" w:rsidRPr="00CE7AC9" w:rsidRDefault="00F917A8" w:rsidP="00F917A8">
            <w:pPr>
              <w:spacing w:before="0" w:after="0"/>
              <w:jc w:val="center"/>
              <w:rPr>
                <w:sz w:val="16"/>
                <w:szCs w:val="16"/>
              </w:rPr>
            </w:pPr>
            <w:r w:rsidRPr="00CE7AC9">
              <w:rPr>
                <w:sz w:val="16"/>
                <w:szCs w:val="16"/>
              </w:rPr>
              <w:t>YP1</w:t>
            </w:r>
          </w:p>
        </w:tc>
        <w:tc>
          <w:tcPr>
            <w:tcW w:w="951" w:type="dxa"/>
            <w:shd w:val="clear" w:color="auto" w:fill="F3F9FA"/>
            <w:noWrap/>
            <w:vAlign w:val="bottom"/>
            <w:hideMark/>
          </w:tcPr>
          <w:p w14:paraId="0C874769" w14:textId="11980FDD" w:rsidR="00F917A8" w:rsidRPr="00CE7AC9" w:rsidRDefault="00F917A8" w:rsidP="00F917A8">
            <w:pPr>
              <w:spacing w:before="0" w:after="0"/>
              <w:jc w:val="center"/>
              <w:rPr>
                <w:sz w:val="16"/>
                <w:szCs w:val="16"/>
              </w:rPr>
            </w:pPr>
            <w:r>
              <w:rPr>
                <w:sz w:val="16"/>
                <w:szCs w:val="16"/>
              </w:rPr>
              <w:t>01-Jan-17</w:t>
            </w:r>
          </w:p>
        </w:tc>
        <w:tc>
          <w:tcPr>
            <w:tcW w:w="815" w:type="dxa"/>
            <w:shd w:val="clear" w:color="auto" w:fill="F3F9FA"/>
            <w:noWrap/>
            <w:vAlign w:val="bottom"/>
          </w:tcPr>
          <w:p w14:paraId="3CCB2BB6" w14:textId="2F0F0D59" w:rsidR="00F917A8" w:rsidRPr="00F917A8" w:rsidRDefault="00F917A8" w:rsidP="00F917A8">
            <w:pPr>
              <w:spacing w:before="0" w:after="0"/>
              <w:jc w:val="center"/>
              <w:rPr>
                <w:sz w:val="16"/>
                <w:szCs w:val="16"/>
              </w:rPr>
            </w:pPr>
            <w:r w:rsidRPr="00F917A8">
              <w:rPr>
                <w:sz w:val="16"/>
                <w:szCs w:val="16"/>
              </w:rPr>
              <w:t>32.2</w:t>
            </w:r>
          </w:p>
        </w:tc>
        <w:tc>
          <w:tcPr>
            <w:tcW w:w="823" w:type="dxa"/>
            <w:shd w:val="clear" w:color="auto" w:fill="F3F9FA"/>
            <w:noWrap/>
            <w:vAlign w:val="bottom"/>
          </w:tcPr>
          <w:p w14:paraId="5958B12B" w14:textId="18D93D65" w:rsidR="00F917A8" w:rsidRPr="00F917A8" w:rsidRDefault="00F917A8" w:rsidP="00F917A8">
            <w:pPr>
              <w:spacing w:before="0" w:after="0"/>
              <w:jc w:val="center"/>
              <w:rPr>
                <w:sz w:val="16"/>
                <w:szCs w:val="16"/>
              </w:rPr>
            </w:pPr>
            <w:r w:rsidRPr="00F917A8">
              <w:rPr>
                <w:sz w:val="16"/>
                <w:szCs w:val="16"/>
              </w:rPr>
              <w:t>34</w:t>
            </w:r>
          </w:p>
        </w:tc>
        <w:tc>
          <w:tcPr>
            <w:tcW w:w="888" w:type="dxa"/>
            <w:shd w:val="clear" w:color="auto" w:fill="F3F9FA"/>
            <w:noWrap/>
            <w:vAlign w:val="bottom"/>
            <w:hideMark/>
          </w:tcPr>
          <w:p w14:paraId="3A91A679" w14:textId="7DE42269" w:rsidR="00F917A8" w:rsidRPr="00F917A8" w:rsidRDefault="00F917A8" w:rsidP="00F917A8">
            <w:pPr>
              <w:spacing w:before="0" w:after="0"/>
              <w:jc w:val="center"/>
              <w:rPr>
                <w:sz w:val="16"/>
                <w:szCs w:val="16"/>
              </w:rPr>
            </w:pPr>
            <w:r w:rsidRPr="00F917A8">
              <w:rPr>
                <w:sz w:val="16"/>
                <w:szCs w:val="16"/>
              </w:rPr>
              <w:t>7</w:t>
            </w:r>
          </w:p>
        </w:tc>
        <w:tc>
          <w:tcPr>
            <w:tcW w:w="888" w:type="dxa"/>
            <w:shd w:val="clear" w:color="auto" w:fill="F3F9FA"/>
            <w:noWrap/>
            <w:vAlign w:val="bottom"/>
            <w:hideMark/>
          </w:tcPr>
          <w:p w14:paraId="00AC405C" w14:textId="5A523599" w:rsidR="00F917A8" w:rsidRPr="00F917A8" w:rsidRDefault="00F917A8" w:rsidP="00F917A8">
            <w:pPr>
              <w:spacing w:before="0" w:after="0"/>
              <w:jc w:val="center"/>
              <w:rPr>
                <w:sz w:val="16"/>
                <w:szCs w:val="16"/>
              </w:rPr>
            </w:pPr>
            <w:r w:rsidRPr="00F917A8">
              <w:rPr>
                <w:sz w:val="16"/>
                <w:szCs w:val="16"/>
              </w:rPr>
              <w:t>14</w:t>
            </w:r>
          </w:p>
        </w:tc>
        <w:tc>
          <w:tcPr>
            <w:tcW w:w="888" w:type="dxa"/>
            <w:shd w:val="clear" w:color="auto" w:fill="F3F9FA"/>
            <w:noWrap/>
            <w:vAlign w:val="bottom"/>
            <w:hideMark/>
          </w:tcPr>
          <w:p w14:paraId="6B2DB913" w14:textId="6DAC04E5" w:rsidR="00F917A8" w:rsidRPr="00F917A8" w:rsidRDefault="00F917A8" w:rsidP="00F917A8">
            <w:pPr>
              <w:spacing w:before="0" w:after="0"/>
              <w:jc w:val="center"/>
              <w:rPr>
                <w:sz w:val="16"/>
                <w:szCs w:val="16"/>
              </w:rPr>
            </w:pPr>
            <w:r w:rsidRPr="00F917A8">
              <w:rPr>
                <w:sz w:val="16"/>
                <w:szCs w:val="16"/>
              </w:rPr>
              <w:t>15.4</w:t>
            </w:r>
          </w:p>
        </w:tc>
        <w:tc>
          <w:tcPr>
            <w:tcW w:w="650" w:type="dxa"/>
            <w:shd w:val="clear" w:color="auto" w:fill="F3F9FA"/>
            <w:noWrap/>
            <w:vAlign w:val="bottom"/>
          </w:tcPr>
          <w:p w14:paraId="5421FBD3" w14:textId="165E7C00" w:rsidR="00F917A8" w:rsidRPr="00F917A8" w:rsidRDefault="00F917A8" w:rsidP="00F917A8">
            <w:pPr>
              <w:spacing w:before="0" w:after="0"/>
              <w:jc w:val="center"/>
              <w:rPr>
                <w:sz w:val="16"/>
                <w:szCs w:val="16"/>
              </w:rPr>
            </w:pPr>
            <w:r w:rsidRPr="00F917A8">
              <w:rPr>
                <w:sz w:val="16"/>
                <w:szCs w:val="16"/>
              </w:rPr>
              <w:t>100</w:t>
            </w:r>
          </w:p>
        </w:tc>
      </w:tr>
      <w:tr w:rsidR="00F917A8" w14:paraId="78444A49" w14:textId="77777777" w:rsidTr="006F4537">
        <w:trPr>
          <w:jc w:val="center"/>
        </w:trPr>
        <w:tc>
          <w:tcPr>
            <w:tcW w:w="1388" w:type="dxa"/>
            <w:noWrap/>
            <w:vAlign w:val="bottom"/>
          </w:tcPr>
          <w:p w14:paraId="7CBB6DF6" w14:textId="77777777" w:rsidR="00F917A8" w:rsidRDefault="00F917A8" w:rsidP="00F917A8">
            <w:pPr>
              <w:spacing w:before="0" w:after="0"/>
              <w:rPr>
                <w:color w:val="000000"/>
                <w:sz w:val="16"/>
                <w:szCs w:val="16"/>
              </w:rPr>
            </w:pPr>
          </w:p>
        </w:tc>
        <w:tc>
          <w:tcPr>
            <w:tcW w:w="1117" w:type="dxa"/>
            <w:shd w:val="clear" w:color="auto" w:fill="F3F9FA"/>
            <w:noWrap/>
            <w:vAlign w:val="bottom"/>
          </w:tcPr>
          <w:p w14:paraId="3D7671ED" w14:textId="77777777" w:rsidR="00F917A8" w:rsidRPr="00CE7AC9" w:rsidRDefault="00F917A8" w:rsidP="00F917A8">
            <w:pPr>
              <w:spacing w:before="0" w:after="0"/>
              <w:jc w:val="center"/>
              <w:rPr>
                <w:sz w:val="16"/>
                <w:szCs w:val="16"/>
              </w:rPr>
            </w:pPr>
          </w:p>
        </w:tc>
        <w:tc>
          <w:tcPr>
            <w:tcW w:w="588" w:type="dxa"/>
            <w:shd w:val="clear" w:color="auto" w:fill="F3F9FA"/>
            <w:noWrap/>
            <w:vAlign w:val="bottom"/>
            <w:hideMark/>
          </w:tcPr>
          <w:p w14:paraId="03FD58CF" w14:textId="77777777" w:rsidR="00F917A8" w:rsidRPr="00CE7AC9" w:rsidRDefault="00F917A8" w:rsidP="00F917A8">
            <w:pPr>
              <w:spacing w:before="0" w:after="0"/>
              <w:jc w:val="center"/>
              <w:rPr>
                <w:sz w:val="16"/>
                <w:szCs w:val="16"/>
              </w:rPr>
            </w:pPr>
            <w:r w:rsidRPr="00CE7AC9">
              <w:rPr>
                <w:sz w:val="16"/>
                <w:szCs w:val="16"/>
              </w:rPr>
              <w:t>YP1</w:t>
            </w:r>
          </w:p>
        </w:tc>
        <w:tc>
          <w:tcPr>
            <w:tcW w:w="951" w:type="dxa"/>
            <w:shd w:val="clear" w:color="auto" w:fill="F3F9FA"/>
            <w:noWrap/>
            <w:vAlign w:val="bottom"/>
            <w:hideMark/>
          </w:tcPr>
          <w:p w14:paraId="2944AA28" w14:textId="0DD2ACED" w:rsidR="00F917A8" w:rsidRPr="00CE7AC9" w:rsidRDefault="00F917A8" w:rsidP="00F917A8">
            <w:pPr>
              <w:spacing w:before="0" w:after="0"/>
              <w:jc w:val="center"/>
              <w:rPr>
                <w:sz w:val="16"/>
                <w:szCs w:val="16"/>
              </w:rPr>
            </w:pPr>
            <w:r>
              <w:rPr>
                <w:sz w:val="16"/>
                <w:szCs w:val="16"/>
              </w:rPr>
              <w:t>01-Apr-17</w:t>
            </w:r>
          </w:p>
        </w:tc>
        <w:tc>
          <w:tcPr>
            <w:tcW w:w="815" w:type="dxa"/>
            <w:shd w:val="clear" w:color="auto" w:fill="F3F9FA"/>
            <w:noWrap/>
            <w:vAlign w:val="bottom"/>
          </w:tcPr>
          <w:p w14:paraId="4A4099C5" w14:textId="25D30AF6" w:rsidR="00F917A8" w:rsidRPr="00F917A8" w:rsidRDefault="00F917A8" w:rsidP="00F917A8">
            <w:pPr>
              <w:spacing w:before="0" w:after="0"/>
              <w:jc w:val="center"/>
              <w:rPr>
                <w:sz w:val="16"/>
                <w:szCs w:val="16"/>
              </w:rPr>
            </w:pPr>
            <w:r w:rsidRPr="00F917A8">
              <w:rPr>
                <w:sz w:val="16"/>
                <w:szCs w:val="16"/>
              </w:rPr>
              <w:t>21.5</w:t>
            </w:r>
          </w:p>
        </w:tc>
        <w:tc>
          <w:tcPr>
            <w:tcW w:w="823" w:type="dxa"/>
            <w:shd w:val="clear" w:color="auto" w:fill="F3F9FA"/>
            <w:noWrap/>
            <w:vAlign w:val="bottom"/>
          </w:tcPr>
          <w:p w14:paraId="2B580138" w14:textId="52077315" w:rsidR="00F917A8" w:rsidRPr="00F917A8" w:rsidRDefault="00F917A8" w:rsidP="00F917A8">
            <w:pPr>
              <w:spacing w:before="0" w:after="0"/>
              <w:jc w:val="center"/>
              <w:rPr>
                <w:sz w:val="16"/>
                <w:szCs w:val="16"/>
              </w:rPr>
            </w:pPr>
            <w:r w:rsidRPr="00F917A8">
              <w:rPr>
                <w:sz w:val="16"/>
                <w:szCs w:val="16"/>
              </w:rPr>
              <w:t>23</w:t>
            </w:r>
          </w:p>
        </w:tc>
        <w:tc>
          <w:tcPr>
            <w:tcW w:w="888" w:type="dxa"/>
            <w:shd w:val="clear" w:color="auto" w:fill="F3F9FA"/>
            <w:noWrap/>
            <w:vAlign w:val="bottom"/>
            <w:hideMark/>
          </w:tcPr>
          <w:p w14:paraId="6A339556" w14:textId="07AD970F" w:rsidR="00F917A8" w:rsidRPr="00F917A8" w:rsidRDefault="00F917A8" w:rsidP="00F917A8">
            <w:pPr>
              <w:spacing w:before="0" w:after="0"/>
              <w:jc w:val="center"/>
              <w:rPr>
                <w:sz w:val="16"/>
                <w:szCs w:val="16"/>
              </w:rPr>
            </w:pPr>
            <w:r w:rsidRPr="00F917A8">
              <w:rPr>
                <w:sz w:val="16"/>
                <w:szCs w:val="16"/>
              </w:rPr>
              <w:t>7</w:t>
            </w:r>
          </w:p>
        </w:tc>
        <w:tc>
          <w:tcPr>
            <w:tcW w:w="888" w:type="dxa"/>
            <w:shd w:val="clear" w:color="auto" w:fill="F3F9FA"/>
            <w:noWrap/>
            <w:vAlign w:val="bottom"/>
            <w:hideMark/>
          </w:tcPr>
          <w:p w14:paraId="57F4F5D5" w14:textId="7FCCABB5" w:rsidR="00F917A8" w:rsidRPr="00F917A8" w:rsidRDefault="00F917A8" w:rsidP="00F917A8">
            <w:pPr>
              <w:spacing w:before="0" w:after="0"/>
              <w:jc w:val="center"/>
              <w:rPr>
                <w:sz w:val="16"/>
                <w:szCs w:val="16"/>
              </w:rPr>
            </w:pPr>
            <w:r w:rsidRPr="00F917A8">
              <w:rPr>
                <w:sz w:val="16"/>
                <w:szCs w:val="16"/>
              </w:rPr>
              <w:t>14</w:t>
            </w:r>
          </w:p>
        </w:tc>
        <w:tc>
          <w:tcPr>
            <w:tcW w:w="888" w:type="dxa"/>
            <w:shd w:val="clear" w:color="auto" w:fill="F3F9FA"/>
            <w:noWrap/>
            <w:vAlign w:val="bottom"/>
            <w:hideMark/>
          </w:tcPr>
          <w:p w14:paraId="6B87D44D" w14:textId="76038B31" w:rsidR="00F917A8" w:rsidRPr="00F917A8" w:rsidRDefault="00F917A8" w:rsidP="00F917A8">
            <w:pPr>
              <w:spacing w:before="0" w:after="0"/>
              <w:jc w:val="center"/>
              <w:rPr>
                <w:sz w:val="16"/>
                <w:szCs w:val="16"/>
              </w:rPr>
            </w:pPr>
            <w:r w:rsidRPr="00F917A8">
              <w:rPr>
                <w:sz w:val="16"/>
                <w:szCs w:val="16"/>
              </w:rPr>
              <w:t>15.4</w:t>
            </w:r>
          </w:p>
        </w:tc>
        <w:tc>
          <w:tcPr>
            <w:tcW w:w="650" w:type="dxa"/>
            <w:shd w:val="clear" w:color="auto" w:fill="F3F9FA"/>
            <w:noWrap/>
            <w:vAlign w:val="bottom"/>
          </w:tcPr>
          <w:p w14:paraId="54E88BB4" w14:textId="71D3F3F0" w:rsidR="00F917A8" w:rsidRPr="00F917A8" w:rsidRDefault="00F917A8" w:rsidP="00F917A8">
            <w:pPr>
              <w:spacing w:before="0" w:after="0"/>
              <w:jc w:val="center"/>
              <w:rPr>
                <w:sz w:val="16"/>
                <w:szCs w:val="16"/>
              </w:rPr>
            </w:pPr>
            <w:r w:rsidRPr="00F917A8">
              <w:rPr>
                <w:sz w:val="16"/>
                <w:szCs w:val="16"/>
              </w:rPr>
              <w:t>100</w:t>
            </w:r>
          </w:p>
        </w:tc>
      </w:tr>
      <w:tr w:rsidR="00F917A8" w14:paraId="4A5C6407" w14:textId="77777777" w:rsidTr="006F4537">
        <w:trPr>
          <w:jc w:val="center"/>
        </w:trPr>
        <w:tc>
          <w:tcPr>
            <w:tcW w:w="1388" w:type="dxa"/>
            <w:noWrap/>
            <w:vAlign w:val="bottom"/>
          </w:tcPr>
          <w:p w14:paraId="6EE2C0D0" w14:textId="77777777" w:rsidR="00F917A8" w:rsidRDefault="00F917A8" w:rsidP="00F917A8">
            <w:pPr>
              <w:spacing w:before="0" w:after="0"/>
              <w:rPr>
                <w:color w:val="000000"/>
                <w:sz w:val="16"/>
                <w:szCs w:val="16"/>
              </w:rPr>
            </w:pPr>
          </w:p>
        </w:tc>
        <w:tc>
          <w:tcPr>
            <w:tcW w:w="1117" w:type="dxa"/>
            <w:shd w:val="clear" w:color="auto" w:fill="F3F9FA"/>
            <w:noWrap/>
            <w:vAlign w:val="bottom"/>
          </w:tcPr>
          <w:p w14:paraId="0C0BD3CB" w14:textId="77777777" w:rsidR="00F917A8" w:rsidRPr="00CE7AC9" w:rsidRDefault="00F917A8" w:rsidP="00F917A8">
            <w:pPr>
              <w:spacing w:before="0" w:after="0"/>
              <w:jc w:val="center"/>
              <w:rPr>
                <w:sz w:val="16"/>
                <w:szCs w:val="16"/>
              </w:rPr>
            </w:pPr>
          </w:p>
        </w:tc>
        <w:tc>
          <w:tcPr>
            <w:tcW w:w="588" w:type="dxa"/>
            <w:shd w:val="clear" w:color="auto" w:fill="F3F9FA"/>
            <w:noWrap/>
            <w:vAlign w:val="bottom"/>
            <w:hideMark/>
          </w:tcPr>
          <w:p w14:paraId="3CC8B956" w14:textId="77777777" w:rsidR="00F917A8" w:rsidRPr="00CE7AC9" w:rsidRDefault="00F917A8" w:rsidP="00F917A8">
            <w:pPr>
              <w:spacing w:before="0" w:after="0"/>
              <w:jc w:val="center"/>
              <w:rPr>
                <w:sz w:val="16"/>
                <w:szCs w:val="16"/>
              </w:rPr>
            </w:pPr>
            <w:r w:rsidRPr="00CE7AC9">
              <w:rPr>
                <w:sz w:val="16"/>
                <w:szCs w:val="16"/>
              </w:rPr>
              <w:t>YP2</w:t>
            </w:r>
          </w:p>
        </w:tc>
        <w:tc>
          <w:tcPr>
            <w:tcW w:w="951" w:type="dxa"/>
            <w:shd w:val="clear" w:color="auto" w:fill="F3F9FA"/>
            <w:noWrap/>
            <w:vAlign w:val="bottom"/>
            <w:hideMark/>
          </w:tcPr>
          <w:p w14:paraId="7B7AE09F" w14:textId="5D6386FC" w:rsidR="00F917A8" w:rsidRPr="00CE7AC9" w:rsidRDefault="00F917A8" w:rsidP="00F917A8">
            <w:pPr>
              <w:spacing w:before="0" w:after="0"/>
              <w:jc w:val="center"/>
              <w:rPr>
                <w:sz w:val="16"/>
                <w:szCs w:val="16"/>
              </w:rPr>
            </w:pPr>
            <w:r>
              <w:rPr>
                <w:sz w:val="16"/>
                <w:szCs w:val="16"/>
              </w:rPr>
              <w:t>01-Jul-16</w:t>
            </w:r>
          </w:p>
        </w:tc>
        <w:tc>
          <w:tcPr>
            <w:tcW w:w="815" w:type="dxa"/>
            <w:shd w:val="clear" w:color="auto" w:fill="F3F9FA"/>
            <w:noWrap/>
            <w:vAlign w:val="bottom"/>
          </w:tcPr>
          <w:p w14:paraId="34081F6F" w14:textId="65E210BD" w:rsidR="00F917A8" w:rsidRPr="00F917A8" w:rsidRDefault="00F917A8" w:rsidP="00F917A8">
            <w:pPr>
              <w:spacing w:before="0" w:after="0"/>
              <w:jc w:val="center"/>
              <w:rPr>
                <w:sz w:val="16"/>
                <w:szCs w:val="16"/>
              </w:rPr>
            </w:pPr>
            <w:r w:rsidRPr="00F917A8">
              <w:rPr>
                <w:sz w:val="16"/>
                <w:szCs w:val="16"/>
              </w:rPr>
              <w:t>17.3</w:t>
            </w:r>
          </w:p>
        </w:tc>
        <w:tc>
          <w:tcPr>
            <w:tcW w:w="823" w:type="dxa"/>
            <w:shd w:val="clear" w:color="auto" w:fill="F3F9FA"/>
            <w:noWrap/>
            <w:vAlign w:val="bottom"/>
          </w:tcPr>
          <w:p w14:paraId="36AABFEA" w14:textId="6B5B7B9E" w:rsidR="00F917A8" w:rsidRPr="00F917A8" w:rsidRDefault="00F917A8" w:rsidP="00F917A8">
            <w:pPr>
              <w:spacing w:before="0" w:after="0"/>
              <w:jc w:val="center"/>
              <w:rPr>
                <w:sz w:val="16"/>
                <w:szCs w:val="16"/>
              </w:rPr>
            </w:pPr>
            <w:r w:rsidRPr="00F917A8">
              <w:rPr>
                <w:sz w:val="16"/>
                <w:szCs w:val="16"/>
              </w:rPr>
              <w:t>15</w:t>
            </w:r>
          </w:p>
        </w:tc>
        <w:tc>
          <w:tcPr>
            <w:tcW w:w="888" w:type="dxa"/>
            <w:shd w:val="clear" w:color="auto" w:fill="F3F9FA"/>
            <w:noWrap/>
            <w:vAlign w:val="bottom"/>
            <w:hideMark/>
          </w:tcPr>
          <w:p w14:paraId="4F913EA3" w14:textId="7E664420" w:rsidR="00F917A8" w:rsidRPr="00F917A8" w:rsidRDefault="00F917A8" w:rsidP="00F917A8">
            <w:pPr>
              <w:spacing w:before="0" w:after="0"/>
              <w:jc w:val="center"/>
              <w:rPr>
                <w:sz w:val="16"/>
                <w:szCs w:val="16"/>
              </w:rPr>
            </w:pPr>
            <w:r w:rsidRPr="00F917A8">
              <w:rPr>
                <w:color w:val="000000"/>
                <w:sz w:val="16"/>
                <w:szCs w:val="16"/>
              </w:rPr>
              <w:t>6.2</w:t>
            </w:r>
          </w:p>
        </w:tc>
        <w:tc>
          <w:tcPr>
            <w:tcW w:w="888" w:type="dxa"/>
            <w:shd w:val="clear" w:color="auto" w:fill="F3F9FA"/>
            <w:noWrap/>
            <w:vAlign w:val="bottom"/>
            <w:hideMark/>
          </w:tcPr>
          <w:p w14:paraId="121CC9C3" w14:textId="0FA3956C" w:rsidR="00F917A8" w:rsidRPr="00F917A8" w:rsidRDefault="00F917A8" w:rsidP="00F917A8">
            <w:pPr>
              <w:spacing w:before="0" w:after="0"/>
              <w:jc w:val="center"/>
              <w:rPr>
                <w:sz w:val="16"/>
                <w:szCs w:val="16"/>
              </w:rPr>
            </w:pPr>
            <w:r w:rsidRPr="00F917A8">
              <w:rPr>
                <w:color w:val="000000"/>
                <w:sz w:val="16"/>
                <w:szCs w:val="16"/>
              </w:rPr>
              <w:t>11.8</w:t>
            </w:r>
          </w:p>
        </w:tc>
        <w:tc>
          <w:tcPr>
            <w:tcW w:w="888" w:type="dxa"/>
            <w:shd w:val="clear" w:color="auto" w:fill="F3F9FA"/>
            <w:noWrap/>
            <w:vAlign w:val="bottom"/>
            <w:hideMark/>
          </w:tcPr>
          <w:p w14:paraId="7574E972" w14:textId="782FB16E" w:rsidR="00F917A8" w:rsidRPr="00F917A8" w:rsidRDefault="00F917A8" w:rsidP="00F917A8">
            <w:pPr>
              <w:spacing w:before="0" w:after="0"/>
              <w:jc w:val="center"/>
              <w:rPr>
                <w:sz w:val="16"/>
                <w:szCs w:val="16"/>
              </w:rPr>
            </w:pPr>
            <w:r w:rsidRPr="00F917A8">
              <w:rPr>
                <w:color w:val="000000"/>
                <w:sz w:val="16"/>
                <w:szCs w:val="16"/>
              </w:rPr>
              <w:t>14.2</w:t>
            </w:r>
          </w:p>
        </w:tc>
        <w:tc>
          <w:tcPr>
            <w:tcW w:w="650" w:type="dxa"/>
            <w:shd w:val="clear" w:color="auto" w:fill="F3F9FA"/>
            <w:noWrap/>
            <w:vAlign w:val="bottom"/>
          </w:tcPr>
          <w:p w14:paraId="212CAFAE" w14:textId="75089C2E" w:rsidR="00F917A8" w:rsidRPr="00F917A8" w:rsidRDefault="00F917A8" w:rsidP="00F917A8">
            <w:pPr>
              <w:spacing w:before="0" w:after="0"/>
              <w:jc w:val="center"/>
              <w:rPr>
                <w:sz w:val="16"/>
                <w:szCs w:val="16"/>
              </w:rPr>
            </w:pPr>
            <w:r w:rsidRPr="00F917A8">
              <w:rPr>
                <w:color w:val="000000"/>
                <w:sz w:val="16"/>
                <w:szCs w:val="16"/>
              </w:rPr>
              <w:t>100</w:t>
            </w:r>
          </w:p>
        </w:tc>
      </w:tr>
      <w:tr w:rsidR="00F917A8" w14:paraId="4DF79976" w14:textId="77777777" w:rsidTr="006F4537">
        <w:trPr>
          <w:jc w:val="center"/>
        </w:trPr>
        <w:tc>
          <w:tcPr>
            <w:tcW w:w="1388" w:type="dxa"/>
            <w:noWrap/>
            <w:vAlign w:val="bottom"/>
          </w:tcPr>
          <w:p w14:paraId="557634C3" w14:textId="77777777" w:rsidR="00F917A8" w:rsidRDefault="00F917A8" w:rsidP="00F917A8">
            <w:pPr>
              <w:spacing w:before="0" w:after="0"/>
              <w:rPr>
                <w:color w:val="000000"/>
                <w:sz w:val="16"/>
                <w:szCs w:val="16"/>
              </w:rPr>
            </w:pPr>
          </w:p>
        </w:tc>
        <w:tc>
          <w:tcPr>
            <w:tcW w:w="1117" w:type="dxa"/>
            <w:shd w:val="clear" w:color="auto" w:fill="F3F9FA"/>
            <w:noWrap/>
            <w:vAlign w:val="bottom"/>
          </w:tcPr>
          <w:p w14:paraId="32D2FCF9" w14:textId="77777777" w:rsidR="00F917A8" w:rsidRPr="00CE7AC9" w:rsidRDefault="00F917A8" w:rsidP="00F917A8">
            <w:pPr>
              <w:spacing w:before="0" w:after="0"/>
              <w:jc w:val="center"/>
              <w:rPr>
                <w:sz w:val="16"/>
                <w:szCs w:val="16"/>
              </w:rPr>
            </w:pPr>
          </w:p>
        </w:tc>
        <w:tc>
          <w:tcPr>
            <w:tcW w:w="588" w:type="dxa"/>
            <w:shd w:val="clear" w:color="auto" w:fill="F3F9FA"/>
            <w:noWrap/>
            <w:vAlign w:val="bottom"/>
            <w:hideMark/>
          </w:tcPr>
          <w:p w14:paraId="633FB805" w14:textId="77777777" w:rsidR="00F917A8" w:rsidRPr="00CE7AC9" w:rsidRDefault="00F917A8" w:rsidP="00F917A8">
            <w:pPr>
              <w:spacing w:before="0" w:after="0"/>
              <w:jc w:val="center"/>
              <w:rPr>
                <w:sz w:val="16"/>
                <w:szCs w:val="16"/>
              </w:rPr>
            </w:pPr>
            <w:r w:rsidRPr="00CE7AC9">
              <w:rPr>
                <w:sz w:val="16"/>
                <w:szCs w:val="16"/>
              </w:rPr>
              <w:t>YP2</w:t>
            </w:r>
          </w:p>
        </w:tc>
        <w:tc>
          <w:tcPr>
            <w:tcW w:w="951" w:type="dxa"/>
            <w:shd w:val="clear" w:color="auto" w:fill="F3F9FA"/>
            <w:noWrap/>
            <w:vAlign w:val="bottom"/>
            <w:hideMark/>
          </w:tcPr>
          <w:p w14:paraId="1E83704F" w14:textId="47B95CCF" w:rsidR="00F917A8" w:rsidRPr="00CE7AC9" w:rsidRDefault="00F917A8" w:rsidP="00F917A8">
            <w:pPr>
              <w:spacing w:before="0" w:after="0"/>
              <w:jc w:val="center"/>
              <w:rPr>
                <w:sz w:val="16"/>
                <w:szCs w:val="16"/>
              </w:rPr>
            </w:pPr>
            <w:r>
              <w:rPr>
                <w:sz w:val="16"/>
                <w:szCs w:val="16"/>
              </w:rPr>
              <w:t>01-Oct-16</w:t>
            </w:r>
          </w:p>
        </w:tc>
        <w:tc>
          <w:tcPr>
            <w:tcW w:w="815" w:type="dxa"/>
            <w:shd w:val="clear" w:color="auto" w:fill="F3F9FA"/>
            <w:noWrap/>
            <w:vAlign w:val="bottom"/>
          </w:tcPr>
          <w:p w14:paraId="33784E08" w14:textId="0702606A" w:rsidR="00F917A8" w:rsidRPr="00F917A8" w:rsidRDefault="00F917A8" w:rsidP="00F917A8">
            <w:pPr>
              <w:spacing w:before="0" w:after="0"/>
              <w:jc w:val="center"/>
              <w:rPr>
                <w:sz w:val="16"/>
                <w:szCs w:val="16"/>
              </w:rPr>
            </w:pPr>
            <w:r w:rsidRPr="00F917A8">
              <w:rPr>
                <w:sz w:val="16"/>
                <w:szCs w:val="16"/>
              </w:rPr>
              <w:t>17.5</w:t>
            </w:r>
          </w:p>
        </w:tc>
        <w:tc>
          <w:tcPr>
            <w:tcW w:w="823" w:type="dxa"/>
            <w:shd w:val="clear" w:color="auto" w:fill="F3F9FA"/>
            <w:noWrap/>
            <w:vAlign w:val="bottom"/>
          </w:tcPr>
          <w:p w14:paraId="29565FC0" w14:textId="1250CEAA" w:rsidR="00F917A8" w:rsidRPr="00F917A8" w:rsidRDefault="00F917A8" w:rsidP="00F917A8">
            <w:pPr>
              <w:spacing w:before="0" w:after="0"/>
              <w:jc w:val="center"/>
              <w:rPr>
                <w:sz w:val="16"/>
                <w:szCs w:val="16"/>
              </w:rPr>
            </w:pPr>
            <w:r w:rsidRPr="00F917A8">
              <w:rPr>
                <w:sz w:val="16"/>
                <w:szCs w:val="16"/>
              </w:rPr>
              <w:t>20</w:t>
            </w:r>
          </w:p>
        </w:tc>
        <w:tc>
          <w:tcPr>
            <w:tcW w:w="888" w:type="dxa"/>
            <w:shd w:val="clear" w:color="auto" w:fill="F3F9FA"/>
            <w:noWrap/>
            <w:vAlign w:val="bottom"/>
            <w:hideMark/>
          </w:tcPr>
          <w:p w14:paraId="71A4103B" w14:textId="5FD63EB3" w:rsidR="00F917A8" w:rsidRPr="00F917A8" w:rsidRDefault="00F917A8" w:rsidP="00F917A8">
            <w:pPr>
              <w:spacing w:before="0" w:after="0"/>
              <w:jc w:val="center"/>
              <w:rPr>
                <w:sz w:val="16"/>
                <w:szCs w:val="16"/>
              </w:rPr>
            </w:pPr>
            <w:r w:rsidRPr="00F917A8">
              <w:rPr>
                <w:color w:val="000000"/>
                <w:sz w:val="16"/>
                <w:szCs w:val="16"/>
              </w:rPr>
              <w:t>6.2</w:t>
            </w:r>
          </w:p>
        </w:tc>
        <w:tc>
          <w:tcPr>
            <w:tcW w:w="888" w:type="dxa"/>
            <w:shd w:val="clear" w:color="auto" w:fill="F3F9FA"/>
            <w:noWrap/>
            <w:vAlign w:val="bottom"/>
            <w:hideMark/>
          </w:tcPr>
          <w:p w14:paraId="3E0F8C36" w14:textId="0B35C824" w:rsidR="00F917A8" w:rsidRPr="00F917A8" w:rsidRDefault="00F917A8" w:rsidP="00F917A8">
            <w:pPr>
              <w:spacing w:before="0" w:after="0"/>
              <w:jc w:val="center"/>
              <w:rPr>
                <w:sz w:val="16"/>
                <w:szCs w:val="16"/>
              </w:rPr>
            </w:pPr>
            <w:r w:rsidRPr="00F917A8">
              <w:rPr>
                <w:color w:val="000000"/>
                <w:sz w:val="16"/>
                <w:szCs w:val="16"/>
              </w:rPr>
              <w:t>11.8</w:t>
            </w:r>
          </w:p>
        </w:tc>
        <w:tc>
          <w:tcPr>
            <w:tcW w:w="888" w:type="dxa"/>
            <w:shd w:val="clear" w:color="auto" w:fill="F3F9FA"/>
            <w:noWrap/>
            <w:vAlign w:val="bottom"/>
            <w:hideMark/>
          </w:tcPr>
          <w:p w14:paraId="7582D94B" w14:textId="59943FDA" w:rsidR="00F917A8" w:rsidRPr="00F917A8" w:rsidRDefault="00F917A8" w:rsidP="00F917A8">
            <w:pPr>
              <w:spacing w:before="0" w:after="0"/>
              <w:jc w:val="center"/>
              <w:rPr>
                <w:sz w:val="16"/>
                <w:szCs w:val="16"/>
              </w:rPr>
            </w:pPr>
            <w:r w:rsidRPr="00F917A8">
              <w:rPr>
                <w:color w:val="000000"/>
                <w:sz w:val="16"/>
                <w:szCs w:val="16"/>
              </w:rPr>
              <w:t>14.2</w:t>
            </w:r>
          </w:p>
        </w:tc>
        <w:tc>
          <w:tcPr>
            <w:tcW w:w="650" w:type="dxa"/>
            <w:shd w:val="clear" w:color="auto" w:fill="F3F9FA"/>
            <w:noWrap/>
            <w:vAlign w:val="bottom"/>
          </w:tcPr>
          <w:p w14:paraId="37D6FEBE" w14:textId="07ECF409" w:rsidR="00F917A8" w:rsidRPr="00F917A8" w:rsidRDefault="00F917A8" w:rsidP="00F917A8">
            <w:pPr>
              <w:spacing w:before="0" w:after="0"/>
              <w:jc w:val="center"/>
              <w:rPr>
                <w:sz w:val="16"/>
                <w:szCs w:val="16"/>
              </w:rPr>
            </w:pPr>
            <w:r w:rsidRPr="00F917A8">
              <w:rPr>
                <w:color w:val="000000"/>
                <w:sz w:val="16"/>
                <w:szCs w:val="16"/>
              </w:rPr>
              <w:t>100</w:t>
            </w:r>
          </w:p>
        </w:tc>
      </w:tr>
      <w:tr w:rsidR="00F917A8" w14:paraId="69A50CD4" w14:textId="77777777" w:rsidTr="006F4537">
        <w:trPr>
          <w:jc w:val="center"/>
        </w:trPr>
        <w:tc>
          <w:tcPr>
            <w:tcW w:w="1388" w:type="dxa"/>
            <w:noWrap/>
            <w:vAlign w:val="bottom"/>
          </w:tcPr>
          <w:p w14:paraId="2EC726EC" w14:textId="77777777" w:rsidR="00F917A8" w:rsidRDefault="00F917A8" w:rsidP="00F917A8">
            <w:pPr>
              <w:spacing w:before="0" w:after="0"/>
              <w:rPr>
                <w:color w:val="000000"/>
                <w:sz w:val="16"/>
                <w:szCs w:val="16"/>
              </w:rPr>
            </w:pPr>
          </w:p>
        </w:tc>
        <w:tc>
          <w:tcPr>
            <w:tcW w:w="1117" w:type="dxa"/>
            <w:shd w:val="clear" w:color="auto" w:fill="F3F9FA"/>
            <w:noWrap/>
            <w:vAlign w:val="bottom"/>
          </w:tcPr>
          <w:p w14:paraId="292D0A85" w14:textId="77777777" w:rsidR="00F917A8" w:rsidRPr="00CE7AC9" w:rsidRDefault="00F917A8" w:rsidP="00F917A8">
            <w:pPr>
              <w:spacing w:before="0" w:after="0"/>
              <w:jc w:val="center"/>
              <w:rPr>
                <w:sz w:val="16"/>
                <w:szCs w:val="16"/>
              </w:rPr>
            </w:pPr>
          </w:p>
        </w:tc>
        <w:tc>
          <w:tcPr>
            <w:tcW w:w="588" w:type="dxa"/>
            <w:shd w:val="clear" w:color="auto" w:fill="F3F9FA"/>
            <w:noWrap/>
            <w:vAlign w:val="bottom"/>
            <w:hideMark/>
          </w:tcPr>
          <w:p w14:paraId="3FF9618A" w14:textId="77777777" w:rsidR="00F917A8" w:rsidRPr="00CE7AC9" w:rsidRDefault="00F917A8" w:rsidP="00F917A8">
            <w:pPr>
              <w:spacing w:before="0" w:after="0"/>
              <w:jc w:val="center"/>
              <w:rPr>
                <w:sz w:val="16"/>
                <w:szCs w:val="16"/>
              </w:rPr>
            </w:pPr>
            <w:r w:rsidRPr="00CE7AC9">
              <w:rPr>
                <w:sz w:val="16"/>
                <w:szCs w:val="16"/>
              </w:rPr>
              <w:t>YP2</w:t>
            </w:r>
          </w:p>
        </w:tc>
        <w:tc>
          <w:tcPr>
            <w:tcW w:w="951" w:type="dxa"/>
            <w:shd w:val="clear" w:color="auto" w:fill="F3F9FA"/>
            <w:noWrap/>
            <w:vAlign w:val="bottom"/>
            <w:hideMark/>
          </w:tcPr>
          <w:p w14:paraId="5D1FC113" w14:textId="498ADBF2" w:rsidR="00F917A8" w:rsidRPr="00CE7AC9" w:rsidRDefault="00F917A8" w:rsidP="00F917A8">
            <w:pPr>
              <w:spacing w:before="0" w:after="0"/>
              <w:jc w:val="center"/>
              <w:rPr>
                <w:sz w:val="16"/>
                <w:szCs w:val="16"/>
              </w:rPr>
            </w:pPr>
            <w:r>
              <w:rPr>
                <w:sz w:val="16"/>
                <w:szCs w:val="16"/>
              </w:rPr>
              <w:t>01-Jan-17</w:t>
            </w:r>
          </w:p>
        </w:tc>
        <w:tc>
          <w:tcPr>
            <w:tcW w:w="815" w:type="dxa"/>
            <w:shd w:val="clear" w:color="auto" w:fill="F3F9FA"/>
            <w:noWrap/>
            <w:vAlign w:val="bottom"/>
          </w:tcPr>
          <w:p w14:paraId="263EDCDB" w14:textId="3C0A2C3D" w:rsidR="00F917A8" w:rsidRPr="00F917A8" w:rsidRDefault="00F917A8" w:rsidP="00F917A8">
            <w:pPr>
              <w:spacing w:before="0" w:after="0"/>
              <w:jc w:val="center"/>
              <w:rPr>
                <w:sz w:val="16"/>
                <w:szCs w:val="16"/>
              </w:rPr>
            </w:pPr>
            <w:r w:rsidRPr="00F917A8">
              <w:rPr>
                <w:sz w:val="16"/>
                <w:szCs w:val="16"/>
              </w:rPr>
              <w:t>28.3</w:t>
            </w:r>
          </w:p>
        </w:tc>
        <w:tc>
          <w:tcPr>
            <w:tcW w:w="823" w:type="dxa"/>
            <w:shd w:val="clear" w:color="auto" w:fill="F3F9FA"/>
            <w:noWrap/>
            <w:vAlign w:val="bottom"/>
          </w:tcPr>
          <w:p w14:paraId="54AB8710" w14:textId="2E7357FA" w:rsidR="00F917A8" w:rsidRPr="00F917A8" w:rsidRDefault="00F917A8" w:rsidP="00F917A8">
            <w:pPr>
              <w:spacing w:before="0" w:after="0"/>
              <w:jc w:val="center"/>
              <w:rPr>
                <w:sz w:val="16"/>
                <w:szCs w:val="16"/>
              </w:rPr>
            </w:pPr>
            <w:r w:rsidRPr="00F917A8">
              <w:rPr>
                <w:sz w:val="16"/>
                <w:szCs w:val="16"/>
              </w:rPr>
              <w:t>35</w:t>
            </w:r>
          </w:p>
        </w:tc>
        <w:tc>
          <w:tcPr>
            <w:tcW w:w="888" w:type="dxa"/>
            <w:shd w:val="clear" w:color="auto" w:fill="F3F9FA"/>
            <w:noWrap/>
            <w:vAlign w:val="bottom"/>
            <w:hideMark/>
          </w:tcPr>
          <w:p w14:paraId="536951EB" w14:textId="7C42CDA2" w:rsidR="00F917A8" w:rsidRPr="00F917A8" w:rsidRDefault="00F917A8" w:rsidP="00F917A8">
            <w:pPr>
              <w:spacing w:before="0" w:after="0"/>
              <w:jc w:val="center"/>
              <w:rPr>
                <w:sz w:val="16"/>
                <w:szCs w:val="16"/>
              </w:rPr>
            </w:pPr>
            <w:r w:rsidRPr="00F917A8">
              <w:rPr>
                <w:color w:val="000000"/>
                <w:sz w:val="16"/>
                <w:szCs w:val="16"/>
              </w:rPr>
              <w:t>6.2</w:t>
            </w:r>
          </w:p>
        </w:tc>
        <w:tc>
          <w:tcPr>
            <w:tcW w:w="888" w:type="dxa"/>
            <w:shd w:val="clear" w:color="auto" w:fill="F3F9FA"/>
            <w:noWrap/>
            <w:vAlign w:val="bottom"/>
            <w:hideMark/>
          </w:tcPr>
          <w:p w14:paraId="0A788DCC" w14:textId="5493AEF8" w:rsidR="00F917A8" w:rsidRPr="00F917A8" w:rsidRDefault="00F917A8" w:rsidP="00F917A8">
            <w:pPr>
              <w:spacing w:before="0" w:after="0"/>
              <w:jc w:val="center"/>
              <w:rPr>
                <w:sz w:val="16"/>
                <w:szCs w:val="16"/>
              </w:rPr>
            </w:pPr>
            <w:r w:rsidRPr="00F917A8">
              <w:rPr>
                <w:color w:val="000000"/>
                <w:sz w:val="16"/>
                <w:szCs w:val="16"/>
              </w:rPr>
              <w:t>11.8</w:t>
            </w:r>
          </w:p>
        </w:tc>
        <w:tc>
          <w:tcPr>
            <w:tcW w:w="888" w:type="dxa"/>
            <w:shd w:val="clear" w:color="auto" w:fill="F3F9FA"/>
            <w:noWrap/>
            <w:vAlign w:val="bottom"/>
            <w:hideMark/>
          </w:tcPr>
          <w:p w14:paraId="4DE49464" w14:textId="2DB54F47" w:rsidR="00F917A8" w:rsidRPr="00F917A8" w:rsidRDefault="00F917A8" w:rsidP="00F917A8">
            <w:pPr>
              <w:spacing w:before="0" w:after="0"/>
              <w:jc w:val="center"/>
              <w:rPr>
                <w:sz w:val="16"/>
                <w:szCs w:val="16"/>
              </w:rPr>
            </w:pPr>
            <w:r w:rsidRPr="00F917A8">
              <w:rPr>
                <w:color w:val="000000"/>
                <w:sz w:val="16"/>
                <w:szCs w:val="16"/>
              </w:rPr>
              <w:t>14.2</w:t>
            </w:r>
          </w:p>
        </w:tc>
        <w:tc>
          <w:tcPr>
            <w:tcW w:w="650" w:type="dxa"/>
            <w:shd w:val="clear" w:color="auto" w:fill="F3F9FA"/>
            <w:noWrap/>
            <w:vAlign w:val="bottom"/>
          </w:tcPr>
          <w:p w14:paraId="551D8C87" w14:textId="1C7F8455" w:rsidR="00F917A8" w:rsidRPr="00F917A8" w:rsidRDefault="00F917A8" w:rsidP="00F917A8">
            <w:pPr>
              <w:spacing w:before="0" w:after="0"/>
              <w:jc w:val="center"/>
              <w:rPr>
                <w:sz w:val="16"/>
                <w:szCs w:val="16"/>
              </w:rPr>
            </w:pPr>
            <w:r w:rsidRPr="00F917A8">
              <w:rPr>
                <w:color w:val="000000"/>
                <w:sz w:val="16"/>
                <w:szCs w:val="16"/>
              </w:rPr>
              <w:t>100</w:t>
            </w:r>
          </w:p>
        </w:tc>
      </w:tr>
      <w:tr w:rsidR="00F917A8" w14:paraId="0B1D055C" w14:textId="77777777" w:rsidTr="006F4537">
        <w:trPr>
          <w:jc w:val="center"/>
        </w:trPr>
        <w:tc>
          <w:tcPr>
            <w:tcW w:w="1388" w:type="dxa"/>
            <w:tcBorders>
              <w:top w:val="nil"/>
              <w:left w:val="nil"/>
              <w:bottom w:val="single" w:sz="4" w:space="0" w:color="auto"/>
              <w:right w:val="nil"/>
            </w:tcBorders>
            <w:noWrap/>
            <w:vAlign w:val="bottom"/>
          </w:tcPr>
          <w:p w14:paraId="7BEA0F88" w14:textId="77777777" w:rsidR="00F917A8" w:rsidRDefault="00F917A8" w:rsidP="00F917A8">
            <w:pPr>
              <w:spacing w:before="0" w:after="0"/>
              <w:rPr>
                <w:color w:val="000000"/>
                <w:sz w:val="16"/>
                <w:szCs w:val="16"/>
              </w:rPr>
            </w:pPr>
          </w:p>
        </w:tc>
        <w:tc>
          <w:tcPr>
            <w:tcW w:w="1117" w:type="dxa"/>
            <w:tcBorders>
              <w:top w:val="nil"/>
              <w:left w:val="nil"/>
              <w:bottom w:val="single" w:sz="4" w:space="0" w:color="auto"/>
              <w:right w:val="nil"/>
            </w:tcBorders>
            <w:shd w:val="clear" w:color="auto" w:fill="F3F9FA"/>
            <w:noWrap/>
            <w:vAlign w:val="bottom"/>
          </w:tcPr>
          <w:p w14:paraId="5D62D189" w14:textId="77777777" w:rsidR="00F917A8" w:rsidRPr="00CE7AC9" w:rsidRDefault="00F917A8" w:rsidP="00F917A8">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330D5BA6" w14:textId="77777777" w:rsidR="00F917A8" w:rsidRPr="00CE7AC9" w:rsidRDefault="00F917A8" w:rsidP="00F917A8">
            <w:pPr>
              <w:spacing w:before="0" w:after="0"/>
              <w:jc w:val="center"/>
              <w:rPr>
                <w:sz w:val="16"/>
                <w:szCs w:val="16"/>
              </w:rPr>
            </w:pPr>
            <w:r w:rsidRPr="00CE7AC9">
              <w:rPr>
                <w:sz w:val="16"/>
                <w:szCs w:val="16"/>
              </w:rPr>
              <w:t>YP2</w:t>
            </w:r>
          </w:p>
        </w:tc>
        <w:tc>
          <w:tcPr>
            <w:tcW w:w="951" w:type="dxa"/>
            <w:tcBorders>
              <w:top w:val="nil"/>
              <w:left w:val="nil"/>
              <w:bottom w:val="single" w:sz="4" w:space="0" w:color="auto"/>
              <w:right w:val="nil"/>
            </w:tcBorders>
            <w:shd w:val="clear" w:color="auto" w:fill="F3F9FA"/>
            <w:noWrap/>
            <w:vAlign w:val="bottom"/>
            <w:hideMark/>
          </w:tcPr>
          <w:p w14:paraId="2281B1D8" w14:textId="6B0A508B" w:rsidR="00F917A8" w:rsidRPr="00CE7AC9" w:rsidRDefault="00F917A8" w:rsidP="00F917A8">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F3F9FA"/>
            <w:noWrap/>
            <w:vAlign w:val="bottom"/>
          </w:tcPr>
          <w:p w14:paraId="64906A55" w14:textId="3B06632C" w:rsidR="00F917A8" w:rsidRPr="00F917A8" w:rsidRDefault="00F917A8" w:rsidP="00F917A8">
            <w:pPr>
              <w:spacing w:before="0" w:after="0"/>
              <w:jc w:val="center"/>
              <w:rPr>
                <w:sz w:val="16"/>
                <w:szCs w:val="16"/>
              </w:rPr>
            </w:pPr>
            <w:r w:rsidRPr="00F917A8">
              <w:rPr>
                <w:sz w:val="16"/>
                <w:szCs w:val="16"/>
              </w:rPr>
              <w:t>15.7</w:t>
            </w:r>
          </w:p>
        </w:tc>
        <w:tc>
          <w:tcPr>
            <w:tcW w:w="823" w:type="dxa"/>
            <w:tcBorders>
              <w:top w:val="nil"/>
              <w:left w:val="nil"/>
              <w:bottom w:val="single" w:sz="4" w:space="0" w:color="auto"/>
              <w:right w:val="nil"/>
            </w:tcBorders>
            <w:shd w:val="clear" w:color="auto" w:fill="F3F9FA"/>
            <w:noWrap/>
            <w:vAlign w:val="bottom"/>
          </w:tcPr>
          <w:p w14:paraId="134C27EE" w14:textId="3C7CC219" w:rsidR="00F917A8" w:rsidRPr="00F917A8" w:rsidRDefault="00F917A8" w:rsidP="00F917A8">
            <w:pPr>
              <w:spacing w:before="0" w:after="0"/>
              <w:jc w:val="center"/>
              <w:rPr>
                <w:sz w:val="16"/>
                <w:szCs w:val="16"/>
              </w:rPr>
            </w:pPr>
            <w:r w:rsidRPr="00F917A8">
              <w:rPr>
                <w:sz w:val="16"/>
                <w:szCs w:val="16"/>
              </w:rPr>
              <w:t>16</w:t>
            </w:r>
          </w:p>
        </w:tc>
        <w:tc>
          <w:tcPr>
            <w:tcW w:w="888" w:type="dxa"/>
            <w:tcBorders>
              <w:top w:val="nil"/>
              <w:left w:val="nil"/>
              <w:bottom w:val="single" w:sz="4" w:space="0" w:color="auto"/>
              <w:right w:val="nil"/>
            </w:tcBorders>
            <w:shd w:val="clear" w:color="auto" w:fill="F3F9FA"/>
            <w:noWrap/>
            <w:vAlign w:val="bottom"/>
            <w:hideMark/>
          </w:tcPr>
          <w:p w14:paraId="6BA4A243" w14:textId="3C29CE19" w:rsidR="00F917A8" w:rsidRPr="00F917A8" w:rsidRDefault="00F917A8" w:rsidP="00F917A8">
            <w:pPr>
              <w:spacing w:before="0" w:after="0"/>
              <w:jc w:val="center"/>
              <w:rPr>
                <w:sz w:val="16"/>
                <w:szCs w:val="16"/>
              </w:rPr>
            </w:pPr>
            <w:r w:rsidRPr="00F917A8">
              <w:rPr>
                <w:color w:val="000000"/>
                <w:sz w:val="16"/>
                <w:szCs w:val="16"/>
              </w:rPr>
              <w:t>6.2</w:t>
            </w:r>
          </w:p>
        </w:tc>
        <w:tc>
          <w:tcPr>
            <w:tcW w:w="888" w:type="dxa"/>
            <w:tcBorders>
              <w:top w:val="nil"/>
              <w:left w:val="nil"/>
              <w:bottom w:val="single" w:sz="4" w:space="0" w:color="auto"/>
              <w:right w:val="nil"/>
            </w:tcBorders>
            <w:shd w:val="clear" w:color="auto" w:fill="F3F9FA"/>
            <w:noWrap/>
            <w:vAlign w:val="bottom"/>
            <w:hideMark/>
          </w:tcPr>
          <w:p w14:paraId="25F1C526" w14:textId="33B2D9C5" w:rsidR="00F917A8" w:rsidRPr="00F917A8" w:rsidRDefault="00F917A8" w:rsidP="00F917A8">
            <w:pPr>
              <w:spacing w:before="0" w:after="0"/>
              <w:jc w:val="center"/>
              <w:rPr>
                <w:sz w:val="16"/>
                <w:szCs w:val="16"/>
              </w:rPr>
            </w:pPr>
            <w:r w:rsidRPr="00F917A8">
              <w:rPr>
                <w:color w:val="000000"/>
                <w:sz w:val="16"/>
                <w:szCs w:val="16"/>
              </w:rPr>
              <w:t>11.8</w:t>
            </w:r>
          </w:p>
        </w:tc>
        <w:tc>
          <w:tcPr>
            <w:tcW w:w="888" w:type="dxa"/>
            <w:tcBorders>
              <w:top w:val="nil"/>
              <w:left w:val="nil"/>
              <w:bottom w:val="single" w:sz="4" w:space="0" w:color="auto"/>
              <w:right w:val="nil"/>
            </w:tcBorders>
            <w:shd w:val="clear" w:color="auto" w:fill="F3F9FA"/>
            <w:noWrap/>
            <w:vAlign w:val="bottom"/>
            <w:hideMark/>
          </w:tcPr>
          <w:p w14:paraId="4725105B" w14:textId="4853F875" w:rsidR="00F917A8" w:rsidRPr="00F917A8" w:rsidRDefault="00F917A8" w:rsidP="00F917A8">
            <w:pPr>
              <w:spacing w:before="0" w:after="0"/>
              <w:jc w:val="center"/>
              <w:rPr>
                <w:sz w:val="16"/>
                <w:szCs w:val="16"/>
              </w:rPr>
            </w:pPr>
            <w:r w:rsidRPr="00F917A8">
              <w:rPr>
                <w:color w:val="000000"/>
                <w:sz w:val="16"/>
                <w:szCs w:val="16"/>
              </w:rPr>
              <w:t>14.2</w:t>
            </w:r>
          </w:p>
        </w:tc>
        <w:tc>
          <w:tcPr>
            <w:tcW w:w="650" w:type="dxa"/>
            <w:tcBorders>
              <w:top w:val="nil"/>
              <w:left w:val="nil"/>
              <w:bottom w:val="single" w:sz="4" w:space="0" w:color="auto"/>
              <w:right w:val="nil"/>
            </w:tcBorders>
            <w:shd w:val="clear" w:color="auto" w:fill="F3F9FA"/>
            <w:noWrap/>
            <w:vAlign w:val="bottom"/>
          </w:tcPr>
          <w:p w14:paraId="73F14CD2" w14:textId="49DD3ACF" w:rsidR="00F917A8" w:rsidRPr="00F917A8" w:rsidRDefault="00F917A8" w:rsidP="00F917A8">
            <w:pPr>
              <w:spacing w:before="0" w:after="0"/>
              <w:jc w:val="center"/>
              <w:rPr>
                <w:sz w:val="16"/>
                <w:szCs w:val="16"/>
              </w:rPr>
            </w:pPr>
            <w:r w:rsidRPr="00F917A8">
              <w:rPr>
                <w:color w:val="000000"/>
                <w:sz w:val="16"/>
                <w:szCs w:val="16"/>
              </w:rPr>
              <w:t>100</w:t>
            </w:r>
          </w:p>
        </w:tc>
      </w:tr>
      <w:tr w:rsidR="006F4537" w14:paraId="45E6F27B" w14:textId="77777777" w:rsidTr="006F4537">
        <w:trPr>
          <w:jc w:val="center"/>
        </w:trPr>
        <w:tc>
          <w:tcPr>
            <w:tcW w:w="1388" w:type="dxa"/>
            <w:tcBorders>
              <w:top w:val="single" w:sz="4" w:space="0" w:color="auto"/>
              <w:left w:val="nil"/>
              <w:bottom w:val="nil"/>
              <w:right w:val="nil"/>
            </w:tcBorders>
            <w:noWrap/>
            <w:vAlign w:val="bottom"/>
          </w:tcPr>
          <w:p w14:paraId="736351A4" w14:textId="77777777" w:rsidR="006F4537" w:rsidRDefault="006F4537" w:rsidP="006F4537">
            <w:pPr>
              <w:spacing w:before="0" w:after="0"/>
              <w:rPr>
                <w:color w:val="000000"/>
                <w:sz w:val="16"/>
                <w:szCs w:val="16"/>
              </w:rPr>
            </w:pPr>
            <w:r>
              <w:rPr>
                <w:color w:val="000000"/>
                <w:sz w:val="16"/>
                <w:szCs w:val="16"/>
              </w:rPr>
              <w:t>coastal subtidal</w:t>
            </w:r>
          </w:p>
        </w:tc>
        <w:tc>
          <w:tcPr>
            <w:tcW w:w="1117" w:type="dxa"/>
            <w:tcBorders>
              <w:top w:val="single" w:sz="4" w:space="0" w:color="auto"/>
              <w:left w:val="nil"/>
              <w:bottom w:val="nil"/>
              <w:right w:val="nil"/>
            </w:tcBorders>
            <w:shd w:val="clear" w:color="auto" w:fill="E7F3F4"/>
            <w:noWrap/>
            <w:vAlign w:val="bottom"/>
          </w:tcPr>
          <w:p w14:paraId="443FFBC3" w14:textId="77777777" w:rsidR="006F4537" w:rsidRDefault="006F4537" w:rsidP="006F4537">
            <w:pPr>
              <w:spacing w:before="0" w:after="0"/>
              <w:jc w:val="center"/>
              <w:rPr>
                <w:color w:val="000000"/>
                <w:sz w:val="16"/>
                <w:szCs w:val="16"/>
              </w:rPr>
            </w:pPr>
            <w:r>
              <w:rPr>
                <w:color w:val="000000"/>
                <w:sz w:val="16"/>
                <w:szCs w:val="16"/>
              </w:rPr>
              <w:t>Missionary</w:t>
            </w:r>
          </w:p>
        </w:tc>
        <w:tc>
          <w:tcPr>
            <w:tcW w:w="588" w:type="dxa"/>
            <w:tcBorders>
              <w:top w:val="single" w:sz="4" w:space="0" w:color="auto"/>
              <w:left w:val="nil"/>
              <w:bottom w:val="nil"/>
              <w:right w:val="nil"/>
            </w:tcBorders>
            <w:shd w:val="clear" w:color="auto" w:fill="E7F3F4"/>
            <w:noWrap/>
            <w:vAlign w:val="bottom"/>
          </w:tcPr>
          <w:p w14:paraId="65AA32FE" w14:textId="77777777" w:rsidR="006F4537" w:rsidRPr="00D511BB" w:rsidRDefault="006F4537" w:rsidP="006F4537">
            <w:pPr>
              <w:spacing w:before="0" w:after="0"/>
              <w:jc w:val="center"/>
              <w:rPr>
                <w:sz w:val="16"/>
                <w:szCs w:val="16"/>
              </w:rPr>
            </w:pPr>
            <w:r w:rsidRPr="00D511BB">
              <w:rPr>
                <w:sz w:val="16"/>
                <w:szCs w:val="16"/>
              </w:rPr>
              <w:t>MS1</w:t>
            </w:r>
            <w:r>
              <w:rPr>
                <w:sz w:val="16"/>
                <w:szCs w:val="16"/>
              </w:rPr>
              <w:t>^</w:t>
            </w:r>
          </w:p>
        </w:tc>
        <w:tc>
          <w:tcPr>
            <w:tcW w:w="951" w:type="dxa"/>
            <w:tcBorders>
              <w:top w:val="single" w:sz="4" w:space="0" w:color="auto"/>
              <w:left w:val="nil"/>
              <w:bottom w:val="nil"/>
              <w:right w:val="nil"/>
            </w:tcBorders>
            <w:shd w:val="clear" w:color="auto" w:fill="E7F3F4"/>
            <w:noWrap/>
            <w:vAlign w:val="bottom"/>
          </w:tcPr>
          <w:p w14:paraId="4D731B3B" w14:textId="537CFF80" w:rsidR="006F4537" w:rsidRPr="00D511BB" w:rsidRDefault="00F917A8" w:rsidP="006F4537">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E7F3F4"/>
            <w:noWrap/>
            <w:vAlign w:val="bottom"/>
          </w:tcPr>
          <w:p w14:paraId="53E881EC" w14:textId="5226E80F" w:rsidR="006F4537" w:rsidRPr="00D511BB" w:rsidRDefault="006F4537" w:rsidP="006F4537">
            <w:pPr>
              <w:spacing w:before="0" w:after="0"/>
              <w:jc w:val="center"/>
              <w:rPr>
                <w:sz w:val="16"/>
                <w:szCs w:val="16"/>
              </w:rPr>
            </w:pPr>
          </w:p>
        </w:tc>
        <w:tc>
          <w:tcPr>
            <w:tcW w:w="823" w:type="dxa"/>
            <w:tcBorders>
              <w:top w:val="single" w:sz="4" w:space="0" w:color="auto"/>
              <w:left w:val="nil"/>
              <w:bottom w:val="nil"/>
              <w:right w:val="nil"/>
            </w:tcBorders>
            <w:shd w:val="clear" w:color="auto" w:fill="E7F3F4"/>
            <w:noWrap/>
            <w:vAlign w:val="bottom"/>
          </w:tcPr>
          <w:p w14:paraId="19CD0C42" w14:textId="5B5E77CD" w:rsidR="006F4537" w:rsidRPr="00D511BB" w:rsidRDefault="006F4537" w:rsidP="006F4537">
            <w:pPr>
              <w:spacing w:before="0" w:after="0"/>
              <w:jc w:val="center"/>
              <w:rPr>
                <w:sz w:val="16"/>
                <w:szCs w:val="16"/>
              </w:rPr>
            </w:pPr>
          </w:p>
        </w:tc>
        <w:tc>
          <w:tcPr>
            <w:tcW w:w="888" w:type="dxa"/>
            <w:tcBorders>
              <w:top w:val="single" w:sz="4" w:space="0" w:color="auto"/>
              <w:left w:val="nil"/>
              <w:bottom w:val="nil"/>
              <w:right w:val="nil"/>
            </w:tcBorders>
            <w:shd w:val="clear" w:color="auto" w:fill="E7F3F4"/>
            <w:noWrap/>
            <w:vAlign w:val="bottom"/>
          </w:tcPr>
          <w:p w14:paraId="6A5C0B6D" w14:textId="1D081D73" w:rsidR="006F4537" w:rsidRPr="00D511BB" w:rsidRDefault="006F4537" w:rsidP="006F4537">
            <w:pPr>
              <w:spacing w:before="0" w:after="0"/>
              <w:jc w:val="center"/>
              <w:rPr>
                <w:sz w:val="16"/>
                <w:szCs w:val="16"/>
              </w:rPr>
            </w:pPr>
          </w:p>
        </w:tc>
        <w:tc>
          <w:tcPr>
            <w:tcW w:w="888" w:type="dxa"/>
            <w:tcBorders>
              <w:top w:val="single" w:sz="4" w:space="0" w:color="auto"/>
              <w:left w:val="nil"/>
              <w:bottom w:val="nil"/>
              <w:right w:val="nil"/>
            </w:tcBorders>
            <w:shd w:val="clear" w:color="auto" w:fill="E7F3F4"/>
            <w:noWrap/>
            <w:vAlign w:val="bottom"/>
          </w:tcPr>
          <w:p w14:paraId="682F516D" w14:textId="20EF727E" w:rsidR="006F4537" w:rsidRPr="00D511BB" w:rsidRDefault="006F4537" w:rsidP="006F4537">
            <w:pPr>
              <w:spacing w:before="0" w:after="0"/>
              <w:jc w:val="center"/>
              <w:rPr>
                <w:sz w:val="16"/>
                <w:szCs w:val="16"/>
              </w:rPr>
            </w:pPr>
          </w:p>
        </w:tc>
        <w:tc>
          <w:tcPr>
            <w:tcW w:w="888" w:type="dxa"/>
            <w:tcBorders>
              <w:top w:val="single" w:sz="4" w:space="0" w:color="auto"/>
              <w:left w:val="nil"/>
              <w:bottom w:val="nil"/>
              <w:right w:val="nil"/>
            </w:tcBorders>
            <w:shd w:val="clear" w:color="auto" w:fill="E7F3F4"/>
            <w:noWrap/>
            <w:vAlign w:val="bottom"/>
          </w:tcPr>
          <w:p w14:paraId="7A53B3F6" w14:textId="0F6B42D4" w:rsidR="006F4537" w:rsidRPr="00D511BB" w:rsidRDefault="006F4537" w:rsidP="006F4537">
            <w:pPr>
              <w:spacing w:before="0" w:after="0"/>
              <w:jc w:val="center"/>
              <w:rPr>
                <w:sz w:val="16"/>
                <w:szCs w:val="16"/>
              </w:rPr>
            </w:pPr>
          </w:p>
        </w:tc>
        <w:tc>
          <w:tcPr>
            <w:tcW w:w="650" w:type="dxa"/>
            <w:tcBorders>
              <w:top w:val="single" w:sz="4" w:space="0" w:color="auto"/>
              <w:left w:val="nil"/>
              <w:bottom w:val="nil"/>
              <w:right w:val="nil"/>
            </w:tcBorders>
            <w:shd w:val="clear" w:color="auto" w:fill="E7F3F4"/>
            <w:noWrap/>
            <w:vAlign w:val="bottom"/>
          </w:tcPr>
          <w:p w14:paraId="782BDDBF" w14:textId="51539AEC" w:rsidR="006F4537" w:rsidRPr="00D511BB" w:rsidRDefault="006F4537" w:rsidP="006F4537">
            <w:pPr>
              <w:spacing w:before="0" w:after="0"/>
              <w:jc w:val="center"/>
              <w:rPr>
                <w:sz w:val="16"/>
                <w:szCs w:val="16"/>
              </w:rPr>
            </w:pPr>
          </w:p>
        </w:tc>
      </w:tr>
      <w:tr w:rsidR="006F4537" w14:paraId="3CBC4946" w14:textId="77777777" w:rsidTr="006F4537">
        <w:trPr>
          <w:jc w:val="center"/>
        </w:trPr>
        <w:tc>
          <w:tcPr>
            <w:tcW w:w="1388" w:type="dxa"/>
            <w:tcBorders>
              <w:left w:val="nil"/>
              <w:bottom w:val="nil"/>
              <w:right w:val="nil"/>
            </w:tcBorders>
            <w:noWrap/>
            <w:vAlign w:val="bottom"/>
          </w:tcPr>
          <w:p w14:paraId="47F12988" w14:textId="77777777" w:rsidR="006F4537" w:rsidRDefault="006F4537" w:rsidP="006F4537">
            <w:pPr>
              <w:spacing w:before="0" w:after="0"/>
              <w:rPr>
                <w:color w:val="000000"/>
                <w:sz w:val="16"/>
                <w:szCs w:val="16"/>
              </w:rPr>
            </w:pPr>
          </w:p>
        </w:tc>
        <w:tc>
          <w:tcPr>
            <w:tcW w:w="1117" w:type="dxa"/>
            <w:tcBorders>
              <w:left w:val="nil"/>
              <w:bottom w:val="nil"/>
              <w:right w:val="nil"/>
            </w:tcBorders>
            <w:shd w:val="clear" w:color="auto" w:fill="E7F3F4"/>
            <w:noWrap/>
            <w:vAlign w:val="bottom"/>
          </w:tcPr>
          <w:p w14:paraId="09D31FE0" w14:textId="77777777" w:rsidR="006F4537" w:rsidRDefault="006F4537" w:rsidP="006F4537">
            <w:pPr>
              <w:spacing w:before="0" w:after="0"/>
              <w:jc w:val="center"/>
              <w:rPr>
                <w:color w:val="000000"/>
                <w:sz w:val="16"/>
                <w:szCs w:val="16"/>
              </w:rPr>
            </w:pPr>
            <w:r>
              <w:rPr>
                <w:color w:val="000000"/>
                <w:sz w:val="16"/>
                <w:szCs w:val="16"/>
              </w:rPr>
              <w:t>Bay</w:t>
            </w:r>
          </w:p>
        </w:tc>
        <w:tc>
          <w:tcPr>
            <w:tcW w:w="588" w:type="dxa"/>
            <w:tcBorders>
              <w:left w:val="nil"/>
              <w:bottom w:val="nil"/>
              <w:right w:val="nil"/>
            </w:tcBorders>
            <w:shd w:val="clear" w:color="auto" w:fill="E7F3F4"/>
            <w:noWrap/>
            <w:vAlign w:val="bottom"/>
          </w:tcPr>
          <w:p w14:paraId="037A8336" w14:textId="77777777" w:rsidR="006F4537" w:rsidRPr="00D511BB" w:rsidRDefault="006F4537" w:rsidP="006F4537">
            <w:pPr>
              <w:spacing w:before="0" w:after="0"/>
              <w:jc w:val="center"/>
              <w:rPr>
                <w:sz w:val="16"/>
                <w:szCs w:val="16"/>
              </w:rPr>
            </w:pPr>
            <w:r w:rsidRPr="00D511BB">
              <w:rPr>
                <w:sz w:val="16"/>
                <w:szCs w:val="16"/>
              </w:rPr>
              <w:t>MS2</w:t>
            </w:r>
            <w:r>
              <w:rPr>
                <w:sz w:val="16"/>
                <w:szCs w:val="16"/>
              </w:rPr>
              <w:t>^</w:t>
            </w:r>
          </w:p>
        </w:tc>
        <w:tc>
          <w:tcPr>
            <w:tcW w:w="951" w:type="dxa"/>
            <w:tcBorders>
              <w:left w:val="nil"/>
              <w:bottom w:val="nil"/>
              <w:right w:val="nil"/>
            </w:tcBorders>
            <w:shd w:val="clear" w:color="auto" w:fill="E7F3F4"/>
            <w:noWrap/>
            <w:vAlign w:val="bottom"/>
          </w:tcPr>
          <w:p w14:paraId="0E084FE4" w14:textId="4BECAA71" w:rsidR="006F4537" w:rsidRPr="00D511BB" w:rsidRDefault="00F917A8" w:rsidP="006F4537">
            <w:pPr>
              <w:spacing w:before="0" w:after="0"/>
              <w:jc w:val="center"/>
              <w:rPr>
                <w:sz w:val="16"/>
                <w:szCs w:val="16"/>
              </w:rPr>
            </w:pPr>
            <w:r>
              <w:rPr>
                <w:sz w:val="16"/>
                <w:szCs w:val="16"/>
              </w:rPr>
              <w:t>01-Oct-16</w:t>
            </w:r>
          </w:p>
        </w:tc>
        <w:tc>
          <w:tcPr>
            <w:tcW w:w="815" w:type="dxa"/>
            <w:tcBorders>
              <w:left w:val="nil"/>
              <w:bottom w:val="nil"/>
              <w:right w:val="nil"/>
            </w:tcBorders>
            <w:shd w:val="clear" w:color="auto" w:fill="E7F3F4"/>
            <w:noWrap/>
            <w:vAlign w:val="bottom"/>
          </w:tcPr>
          <w:p w14:paraId="6FED83D0" w14:textId="4A60847F" w:rsidR="006F4537" w:rsidRPr="00D511BB" w:rsidRDefault="006F4537" w:rsidP="006F4537">
            <w:pPr>
              <w:spacing w:before="0" w:after="0"/>
              <w:jc w:val="center"/>
              <w:rPr>
                <w:sz w:val="16"/>
                <w:szCs w:val="16"/>
              </w:rPr>
            </w:pPr>
          </w:p>
        </w:tc>
        <w:tc>
          <w:tcPr>
            <w:tcW w:w="823" w:type="dxa"/>
            <w:tcBorders>
              <w:left w:val="nil"/>
              <w:bottom w:val="nil"/>
              <w:right w:val="nil"/>
            </w:tcBorders>
            <w:shd w:val="clear" w:color="auto" w:fill="E7F3F4"/>
            <w:noWrap/>
            <w:vAlign w:val="bottom"/>
          </w:tcPr>
          <w:p w14:paraId="05E6C64A" w14:textId="3D0A2CAC" w:rsidR="006F4537" w:rsidRPr="00D511BB" w:rsidRDefault="006F4537" w:rsidP="006F4537">
            <w:pPr>
              <w:spacing w:before="0" w:after="0"/>
              <w:jc w:val="center"/>
              <w:rPr>
                <w:sz w:val="16"/>
                <w:szCs w:val="16"/>
              </w:rPr>
            </w:pPr>
          </w:p>
        </w:tc>
        <w:tc>
          <w:tcPr>
            <w:tcW w:w="888" w:type="dxa"/>
            <w:tcBorders>
              <w:left w:val="nil"/>
              <w:bottom w:val="nil"/>
              <w:right w:val="nil"/>
            </w:tcBorders>
            <w:shd w:val="clear" w:color="auto" w:fill="E7F3F4"/>
            <w:noWrap/>
            <w:vAlign w:val="bottom"/>
          </w:tcPr>
          <w:p w14:paraId="0151C4CD" w14:textId="5EE973BE" w:rsidR="006F4537" w:rsidRPr="00D511BB" w:rsidRDefault="006F4537" w:rsidP="006F4537">
            <w:pPr>
              <w:spacing w:before="0" w:after="0"/>
              <w:jc w:val="center"/>
              <w:rPr>
                <w:sz w:val="16"/>
                <w:szCs w:val="16"/>
              </w:rPr>
            </w:pPr>
          </w:p>
        </w:tc>
        <w:tc>
          <w:tcPr>
            <w:tcW w:w="888" w:type="dxa"/>
            <w:tcBorders>
              <w:left w:val="nil"/>
              <w:bottom w:val="nil"/>
              <w:right w:val="nil"/>
            </w:tcBorders>
            <w:shd w:val="clear" w:color="auto" w:fill="E7F3F4"/>
            <w:noWrap/>
            <w:vAlign w:val="bottom"/>
          </w:tcPr>
          <w:p w14:paraId="38F79DA0" w14:textId="53B1968D" w:rsidR="006F4537" w:rsidRPr="00D511BB" w:rsidRDefault="006F4537" w:rsidP="006F4537">
            <w:pPr>
              <w:spacing w:before="0" w:after="0"/>
              <w:jc w:val="center"/>
              <w:rPr>
                <w:sz w:val="16"/>
                <w:szCs w:val="16"/>
              </w:rPr>
            </w:pPr>
          </w:p>
        </w:tc>
        <w:tc>
          <w:tcPr>
            <w:tcW w:w="888" w:type="dxa"/>
            <w:tcBorders>
              <w:left w:val="nil"/>
              <w:bottom w:val="nil"/>
              <w:right w:val="nil"/>
            </w:tcBorders>
            <w:shd w:val="clear" w:color="auto" w:fill="E7F3F4"/>
            <w:noWrap/>
            <w:vAlign w:val="bottom"/>
          </w:tcPr>
          <w:p w14:paraId="0E66E2F6" w14:textId="02C17BA8" w:rsidR="006F4537" w:rsidRPr="00D511BB" w:rsidRDefault="006F4537" w:rsidP="006F4537">
            <w:pPr>
              <w:spacing w:before="0" w:after="0"/>
              <w:jc w:val="center"/>
              <w:rPr>
                <w:sz w:val="16"/>
                <w:szCs w:val="16"/>
              </w:rPr>
            </w:pPr>
          </w:p>
        </w:tc>
        <w:tc>
          <w:tcPr>
            <w:tcW w:w="650" w:type="dxa"/>
            <w:tcBorders>
              <w:left w:val="nil"/>
              <w:bottom w:val="nil"/>
              <w:right w:val="nil"/>
            </w:tcBorders>
            <w:shd w:val="clear" w:color="auto" w:fill="E7F3F4"/>
            <w:noWrap/>
            <w:vAlign w:val="bottom"/>
          </w:tcPr>
          <w:p w14:paraId="1C1DC286" w14:textId="39A17991" w:rsidR="006F4537" w:rsidRPr="00D511BB" w:rsidRDefault="006F4537" w:rsidP="006F4537">
            <w:pPr>
              <w:spacing w:before="0" w:after="0"/>
              <w:jc w:val="center"/>
              <w:rPr>
                <w:sz w:val="16"/>
                <w:szCs w:val="16"/>
              </w:rPr>
            </w:pPr>
          </w:p>
        </w:tc>
      </w:tr>
      <w:tr w:rsidR="00F12DBA" w:rsidRPr="00970B19" w14:paraId="54620E8E" w14:textId="77777777" w:rsidTr="006F4537">
        <w:trPr>
          <w:jc w:val="center"/>
        </w:trPr>
        <w:tc>
          <w:tcPr>
            <w:tcW w:w="1388" w:type="dxa"/>
            <w:tcBorders>
              <w:top w:val="single" w:sz="4" w:space="0" w:color="auto"/>
              <w:left w:val="nil"/>
              <w:bottom w:val="nil"/>
              <w:right w:val="nil"/>
            </w:tcBorders>
            <w:noWrap/>
            <w:vAlign w:val="bottom"/>
            <w:hideMark/>
          </w:tcPr>
          <w:p w14:paraId="1E53DDEB" w14:textId="77777777" w:rsidR="00F12DBA" w:rsidRPr="00970B19" w:rsidRDefault="00F12DBA" w:rsidP="00F12DBA">
            <w:pPr>
              <w:spacing w:before="0" w:after="0"/>
              <w:rPr>
                <w:sz w:val="16"/>
                <w:szCs w:val="16"/>
              </w:rPr>
            </w:pPr>
            <w:r w:rsidRPr="00970B19">
              <w:rPr>
                <w:sz w:val="16"/>
                <w:szCs w:val="16"/>
              </w:rPr>
              <w:t>reef intertidal</w:t>
            </w:r>
          </w:p>
        </w:tc>
        <w:tc>
          <w:tcPr>
            <w:tcW w:w="1117" w:type="dxa"/>
            <w:tcBorders>
              <w:top w:val="single" w:sz="4" w:space="0" w:color="auto"/>
              <w:left w:val="nil"/>
              <w:bottom w:val="nil"/>
              <w:right w:val="nil"/>
            </w:tcBorders>
            <w:shd w:val="clear" w:color="auto" w:fill="F3F9FA"/>
            <w:noWrap/>
            <w:vAlign w:val="bottom"/>
            <w:hideMark/>
          </w:tcPr>
          <w:p w14:paraId="127551E5" w14:textId="77777777" w:rsidR="00F12DBA" w:rsidRPr="00970B19" w:rsidRDefault="00F12DBA" w:rsidP="00F12DBA">
            <w:pPr>
              <w:spacing w:before="0" w:after="0"/>
              <w:jc w:val="center"/>
              <w:rPr>
                <w:sz w:val="16"/>
                <w:szCs w:val="16"/>
              </w:rPr>
            </w:pPr>
            <w:r w:rsidRPr="00970B19">
              <w:rPr>
                <w:sz w:val="16"/>
                <w:szCs w:val="16"/>
              </w:rPr>
              <w:t>Dunk Island</w:t>
            </w:r>
          </w:p>
        </w:tc>
        <w:tc>
          <w:tcPr>
            <w:tcW w:w="588" w:type="dxa"/>
            <w:tcBorders>
              <w:top w:val="single" w:sz="4" w:space="0" w:color="auto"/>
              <w:left w:val="nil"/>
              <w:bottom w:val="nil"/>
              <w:right w:val="nil"/>
            </w:tcBorders>
            <w:shd w:val="clear" w:color="auto" w:fill="F3F9FA"/>
            <w:noWrap/>
            <w:vAlign w:val="bottom"/>
            <w:hideMark/>
          </w:tcPr>
          <w:p w14:paraId="39D389A5" w14:textId="77777777" w:rsidR="00F12DBA" w:rsidRPr="00970B19" w:rsidRDefault="00F12DBA" w:rsidP="00F12DBA">
            <w:pPr>
              <w:spacing w:before="0" w:after="0"/>
              <w:jc w:val="center"/>
              <w:rPr>
                <w:sz w:val="16"/>
                <w:szCs w:val="16"/>
              </w:rPr>
            </w:pPr>
            <w:r w:rsidRPr="00970B19">
              <w:rPr>
                <w:sz w:val="16"/>
                <w:szCs w:val="16"/>
              </w:rPr>
              <w:t>DI1</w:t>
            </w:r>
          </w:p>
        </w:tc>
        <w:tc>
          <w:tcPr>
            <w:tcW w:w="951" w:type="dxa"/>
            <w:tcBorders>
              <w:top w:val="single" w:sz="4" w:space="0" w:color="auto"/>
              <w:left w:val="nil"/>
              <w:bottom w:val="nil"/>
              <w:right w:val="nil"/>
            </w:tcBorders>
            <w:shd w:val="clear" w:color="auto" w:fill="F3F9FA"/>
            <w:noWrap/>
            <w:vAlign w:val="bottom"/>
            <w:hideMark/>
          </w:tcPr>
          <w:p w14:paraId="0354556A" w14:textId="36CB5415" w:rsidR="00F12DBA" w:rsidRPr="00970B19" w:rsidRDefault="00F12DBA" w:rsidP="00F12DBA">
            <w:pPr>
              <w:spacing w:before="0" w:after="0"/>
              <w:jc w:val="center"/>
              <w:rPr>
                <w:sz w:val="16"/>
                <w:szCs w:val="16"/>
              </w:rPr>
            </w:pPr>
            <w:r>
              <w:rPr>
                <w:sz w:val="16"/>
                <w:szCs w:val="16"/>
              </w:rPr>
              <w:t>01-Jul-16</w:t>
            </w:r>
          </w:p>
        </w:tc>
        <w:tc>
          <w:tcPr>
            <w:tcW w:w="815" w:type="dxa"/>
            <w:tcBorders>
              <w:top w:val="single" w:sz="4" w:space="0" w:color="auto"/>
              <w:left w:val="nil"/>
              <w:bottom w:val="nil"/>
              <w:right w:val="nil"/>
            </w:tcBorders>
            <w:shd w:val="clear" w:color="auto" w:fill="F3F9FA"/>
            <w:noWrap/>
            <w:vAlign w:val="bottom"/>
            <w:hideMark/>
          </w:tcPr>
          <w:p w14:paraId="555D6826" w14:textId="648C1699" w:rsidR="00F12DBA" w:rsidRPr="00F12DBA" w:rsidRDefault="00F12DBA" w:rsidP="00F12DBA">
            <w:pPr>
              <w:spacing w:before="0" w:after="0"/>
              <w:jc w:val="center"/>
              <w:rPr>
                <w:sz w:val="16"/>
                <w:szCs w:val="16"/>
              </w:rPr>
            </w:pPr>
            <w:r w:rsidRPr="00F12DBA">
              <w:rPr>
                <w:sz w:val="16"/>
                <w:szCs w:val="16"/>
              </w:rPr>
              <w:t>2.2</w:t>
            </w:r>
          </w:p>
        </w:tc>
        <w:tc>
          <w:tcPr>
            <w:tcW w:w="823" w:type="dxa"/>
            <w:tcBorders>
              <w:top w:val="single" w:sz="4" w:space="0" w:color="auto"/>
              <w:left w:val="nil"/>
              <w:bottom w:val="nil"/>
              <w:right w:val="nil"/>
            </w:tcBorders>
            <w:shd w:val="clear" w:color="auto" w:fill="F3F9FA"/>
            <w:noWrap/>
            <w:vAlign w:val="bottom"/>
            <w:hideMark/>
          </w:tcPr>
          <w:p w14:paraId="7B714CD3" w14:textId="11629512" w:rsidR="00F12DBA" w:rsidRPr="00F12DBA" w:rsidRDefault="00F12DBA" w:rsidP="00F12DBA">
            <w:pPr>
              <w:spacing w:before="0" w:after="0"/>
              <w:jc w:val="center"/>
              <w:rPr>
                <w:sz w:val="16"/>
                <w:szCs w:val="16"/>
              </w:rPr>
            </w:pPr>
            <w:r w:rsidRPr="00F12DBA">
              <w:rPr>
                <w:sz w:val="16"/>
                <w:szCs w:val="16"/>
              </w:rPr>
              <w:t>0</w:t>
            </w:r>
          </w:p>
        </w:tc>
        <w:tc>
          <w:tcPr>
            <w:tcW w:w="888" w:type="dxa"/>
            <w:tcBorders>
              <w:top w:val="single" w:sz="4" w:space="0" w:color="auto"/>
              <w:left w:val="nil"/>
              <w:bottom w:val="nil"/>
              <w:right w:val="nil"/>
            </w:tcBorders>
            <w:shd w:val="clear" w:color="auto" w:fill="F3F9FA"/>
            <w:noWrap/>
            <w:vAlign w:val="bottom"/>
            <w:hideMark/>
          </w:tcPr>
          <w:p w14:paraId="449D3563" w14:textId="526533CC" w:rsidR="00F12DBA" w:rsidRPr="00F12DBA" w:rsidRDefault="00F12DBA" w:rsidP="00F12DBA">
            <w:pPr>
              <w:spacing w:before="0" w:after="0"/>
              <w:jc w:val="center"/>
              <w:rPr>
                <w:sz w:val="16"/>
                <w:szCs w:val="16"/>
              </w:rPr>
            </w:pPr>
            <w:r w:rsidRPr="00F12DBA">
              <w:rPr>
                <w:sz w:val="16"/>
                <w:szCs w:val="16"/>
              </w:rPr>
              <w:t>27.5</w:t>
            </w:r>
          </w:p>
        </w:tc>
        <w:tc>
          <w:tcPr>
            <w:tcW w:w="888" w:type="dxa"/>
            <w:tcBorders>
              <w:top w:val="single" w:sz="4" w:space="0" w:color="auto"/>
              <w:left w:val="nil"/>
              <w:bottom w:val="nil"/>
              <w:right w:val="nil"/>
            </w:tcBorders>
            <w:shd w:val="clear" w:color="auto" w:fill="F3F9FA"/>
            <w:noWrap/>
            <w:vAlign w:val="bottom"/>
            <w:hideMark/>
          </w:tcPr>
          <w:p w14:paraId="5E15DEAB" w14:textId="6145A254" w:rsidR="00F12DBA" w:rsidRPr="00F12DBA" w:rsidRDefault="00F12DBA" w:rsidP="00F12DBA">
            <w:pPr>
              <w:spacing w:before="0" w:after="0"/>
              <w:jc w:val="center"/>
              <w:rPr>
                <w:sz w:val="16"/>
                <w:szCs w:val="16"/>
              </w:rPr>
            </w:pPr>
            <w:r w:rsidRPr="00F12DBA">
              <w:rPr>
                <w:sz w:val="16"/>
                <w:szCs w:val="16"/>
              </w:rPr>
              <w:t>37.7</w:t>
            </w:r>
          </w:p>
        </w:tc>
        <w:tc>
          <w:tcPr>
            <w:tcW w:w="888" w:type="dxa"/>
            <w:tcBorders>
              <w:top w:val="single" w:sz="4" w:space="0" w:color="auto"/>
              <w:left w:val="nil"/>
              <w:bottom w:val="nil"/>
              <w:right w:val="nil"/>
            </w:tcBorders>
            <w:shd w:val="clear" w:color="auto" w:fill="F3F9FA"/>
            <w:noWrap/>
            <w:vAlign w:val="bottom"/>
            <w:hideMark/>
          </w:tcPr>
          <w:p w14:paraId="080C3FCF" w14:textId="60219806" w:rsidR="00F12DBA" w:rsidRPr="00F12DBA" w:rsidRDefault="00F12DBA" w:rsidP="00F12DBA">
            <w:pPr>
              <w:spacing w:before="0" w:after="0"/>
              <w:jc w:val="center"/>
              <w:rPr>
                <w:sz w:val="16"/>
                <w:szCs w:val="16"/>
              </w:rPr>
            </w:pPr>
            <w:r w:rsidRPr="00F12DBA">
              <w:rPr>
                <w:sz w:val="16"/>
                <w:szCs w:val="16"/>
              </w:rPr>
              <w:t>41</w:t>
            </w:r>
          </w:p>
        </w:tc>
        <w:tc>
          <w:tcPr>
            <w:tcW w:w="650" w:type="dxa"/>
            <w:tcBorders>
              <w:top w:val="single" w:sz="4" w:space="0" w:color="auto"/>
              <w:left w:val="nil"/>
              <w:bottom w:val="nil"/>
              <w:right w:val="nil"/>
            </w:tcBorders>
            <w:shd w:val="clear" w:color="auto" w:fill="F3F9FA"/>
            <w:noWrap/>
            <w:vAlign w:val="bottom"/>
            <w:hideMark/>
          </w:tcPr>
          <w:p w14:paraId="58F89B13" w14:textId="2980A55A" w:rsidR="00F12DBA" w:rsidRPr="00F12DBA" w:rsidRDefault="00F12DBA" w:rsidP="00F12DBA">
            <w:pPr>
              <w:spacing w:before="0" w:after="0"/>
              <w:jc w:val="center"/>
              <w:rPr>
                <w:sz w:val="16"/>
                <w:szCs w:val="16"/>
              </w:rPr>
            </w:pPr>
            <w:r w:rsidRPr="00F12DBA">
              <w:rPr>
                <w:sz w:val="16"/>
                <w:szCs w:val="16"/>
              </w:rPr>
              <w:t>0</w:t>
            </w:r>
          </w:p>
        </w:tc>
      </w:tr>
      <w:tr w:rsidR="00F12DBA" w:rsidRPr="00970B19" w14:paraId="0244A144" w14:textId="77777777" w:rsidTr="00B8016C">
        <w:trPr>
          <w:jc w:val="center"/>
        </w:trPr>
        <w:tc>
          <w:tcPr>
            <w:tcW w:w="1388" w:type="dxa"/>
            <w:noWrap/>
            <w:vAlign w:val="bottom"/>
          </w:tcPr>
          <w:p w14:paraId="02504053" w14:textId="77777777" w:rsidR="00F12DBA" w:rsidRPr="00970B19" w:rsidRDefault="00F12DBA" w:rsidP="00F12DBA">
            <w:pPr>
              <w:spacing w:before="0" w:after="0"/>
              <w:rPr>
                <w:sz w:val="16"/>
                <w:szCs w:val="16"/>
              </w:rPr>
            </w:pPr>
          </w:p>
        </w:tc>
        <w:tc>
          <w:tcPr>
            <w:tcW w:w="1117" w:type="dxa"/>
            <w:shd w:val="clear" w:color="auto" w:fill="F3F9FA"/>
            <w:noWrap/>
            <w:vAlign w:val="bottom"/>
          </w:tcPr>
          <w:p w14:paraId="5BC0728A" w14:textId="77777777" w:rsidR="00F12DBA" w:rsidRPr="00970B19" w:rsidRDefault="00F12DBA" w:rsidP="00F12DBA">
            <w:pPr>
              <w:spacing w:before="0" w:after="0"/>
              <w:jc w:val="center"/>
              <w:rPr>
                <w:sz w:val="16"/>
                <w:szCs w:val="16"/>
              </w:rPr>
            </w:pPr>
          </w:p>
        </w:tc>
        <w:tc>
          <w:tcPr>
            <w:tcW w:w="588" w:type="dxa"/>
            <w:shd w:val="clear" w:color="auto" w:fill="F3F9FA"/>
            <w:noWrap/>
            <w:vAlign w:val="bottom"/>
            <w:hideMark/>
          </w:tcPr>
          <w:p w14:paraId="00F6EF6E" w14:textId="77777777" w:rsidR="00F12DBA" w:rsidRPr="00970B19" w:rsidRDefault="00F12DBA" w:rsidP="00F12DBA">
            <w:pPr>
              <w:spacing w:before="0" w:after="0"/>
              <w:jc w:val="center"/>
              <w:rPr>
                <w:sz w:val="16"/>
                <w:szCs w:val="16"/>
              </w:rPr>
            </w:pPr>
            <w:r w:rsidRPr="00970B19">
              <w:rPr>
                <w:sz w:val="16"/>
                <w:szCs w:val="16"/>
              </w:rPr>
              <w:t>DI1</w:t>
            </w:r>
          </w:p>
        </w:tc>
        <w:tc>
          <w:tcPr>
            <w:tcW w:w="951" w:type="dxa"/>
            <w:shd w:val="clear" w:color="auto" w:fill="F3F9FA"/>
            <w:noWrap/>
            <w:vAlign w:val="bottom"/>
            <w:hideMark/>
          </w:tcPr>
          <w:p w14:paraId="1C4C0A88" w14:textId="1DA26D94" w:rsidR="00F12DBA" w:rsidRPr="00970B19" w:rsidRDefault="00F12DBA" w:rsidP="00F12DBA">
            <w:pPr>
              <w:spacing w:before="0" w:after="0"/>
              <w:jc w:val="center"/>
              <w:rPr>
                <w:sz w:val="16"/>
                <w:szCs w:val="16"/>
              </w:rPr>
            </w:pPr>
            <w:r>
              <w:rPr>
                <w:sz w:val="16"/>
                <w:szCs w:val="16"/>
              </w:rPr>
              <w:t>01-Oct-16</w:t>
            </w:r>
          </w:p>
        </w:tc>
        <w:tc>
          <w:tcPr>
            <w:tcW w:w="815" w:type="dxa"/>
            <w:shd w:val="clear" w:color="auto" w:fill="F3F9FA"/>
            <w:noWrap/>
            <w:vAlign w:val="bottom"/>
            <w:hideMark/>
          </w:tcPr>
          <w:p w14:paraId="2C3CC665" w14:textId="04B40231" w:rsidR="00F12DBA" w:rsidRPr="00F12DBA" w:rsidRDefault="00F12DBA" w:rsidP="00F12DBA">
            <w:pPr>
              <w:spacing w:before="0" w:after="0"/>
              <w:jc w:val="center"/>
              <w:rPr>
                <w:sz w:val="16"/>
                <w:szCs w:val="16"/>
              </w:rPr>
            </w:pPr>
            <w:r w:rsidRPr="00F12DBA">
              <w:rPr>
                <w:sz w:val="16"/>
                <w:szCs w:val="16"/>
              </w:rPr>
              <w:t>0.8</w:t>
            </w:r>
          </w:p>
        </w:tc>
        <w:tc>
          <w:tcPr>
            <w:tcW w:w="823" w:type="dxa"/>
            <w:shd w:val="clear" w:color="auto" w:fill="F3F9FA"/>
            <w:noWrap/>
            <w:vAlign w:val="bottom"/>
            <w:hideMark/>
          </w:tcPr>
          <w:p w14:paraId="3293DE81" w14:textId="7E109AA3" w:rsidR="00F12DBA" w:rsidRPr="00F12DBA" w:rsidRDefault="00F12DBA" w:rsidP="00F12DBA">
            <w:pPr>
              <w:spacing w:before="0" w:after="0"/>
              <w:jc w:val="center"/>
              <w:rPr>
                <w:sz w:val="16"/>
                <w:szCs w:val="16"/>
              </w:rPr>
            </w:pPr>
            <w:r w:rsidRPr="00F12DBA">
              <w:rPr>
                <w:sz w:val="16"/>
                <w:szCs w:val="16"/>
              </w:rPr>
              <w:t>0</w:t>
            </w:r>
          </w:p>
        </w:tc>
        <w:tc>
          <w:tcPr>
            <w:tcW w:w="888" w:type="dxa"/>
            <w:shd w:val="clear" w:color="auto" w:fill="F3F9FA"/>
            <w:noWrap/>
            <w:vAlign w:val="bottom"/>
            <w:hideMark/>
          </w:tcPr>
          <w:p w14:paraId="6DCBD9D5" w14:textId="2728AE6F" w:rsidR="00F12DBA" w:rsidRPr="00F12DBA" w:rsidRDefault="00F12DBA" w:rsidP="00F12DBA">
            <w:pPr>
              <w:spacing w:before="0" w:after="0"/>
              <w:jc w:val="center"/>
              <w:rPr>
                <w:sz w:val="16"/>
                <w:szCs w:val="16"/>
              </w:rPr>
            </w:pPr>
            <w:r w:rsidRPr="00F12DBA">
              <w:rPr>
                <w:sz w:val="16"/>
                <w:szCs w:val="16"/>
              </w:rPr>
              <w:t>27.5</w:t>
            </w:r>
          </w:p>
        </w:tc>
        <w:tc>
          <w:tcPr>
            <w:tcW w:w="888" w:type="dxa"/>
            <w:shd w:val="clear" w:color="auto" w:fill="F3F9FA"/>
            <w:noWrap/>
            <w:vAlign w:val="bottom"/>
            <w:hideMark/>
          </w:tcPr>
          <w:p w14:paraId="4070B634" w14:textId="699E6038" w:rsidR="00F12DBA" w:rsidRPr="00F12DBA" w:rsidRDefault="00F12DBA" w:rsidP="00F12DBA">
            <w:pPr>
              <w:spacing w:before="0" w:after="0"/>
              <w:jc w:val="center"/>
              <w:rPr>
                <w:sz w:val="16"/>
                <w:szCs w:val="16"/>
              </w:rPr>
            </w:pPr>
            <w:r w:rsidRPr="00F12DBA">
              <w:rPr>
                <w:sz w:val="16"/>
                <w:szCs w:val="16"/>
              </w:rPr>
              <w:t>37.7</w:t>
            </w:r>
          </w:p>
        </w:tc>
        <w:tc>
          <w:tcPr>
            <w:tcW w:w="888" w:type="dxa"/>
            <w:shd w:val="clear" w:color="auto" w:fill="F3F9FA"/>
            <w:noWrap/>
            <w:vAlign w:val="bottom"/>
            <w:hideMark/>
          </w:tcPr>
          <w:p w14:paraId="3F0AC7D3" w14:textId="1688BC99" w:rsidR="00F12DBA" w:rsidRPr="00F12DBA" w:rsidRDefault="00F12DBA" w:rsidP="00F12DBA">
            <w:pPr>
              <w:spacing w:before="0" w:after="0"/>
              <w:jc w:val="center"/>
              <w:rPr>
                <w:sz w:val="16"/>
                <w:szCs w:val="16"/>
              </w:rPr>
            </w:pPr>
            <w:r w:rsidRPr="00F12DBA">
              <w:rPr>
                <w:sz w:val="16"/>
                <w:szCs w:val="16"/>
              </w:rPr>
              <w:t>41</w:t>
            </w:r>
          </w:p>
        </w:tc>
        <w:tc>
          <w:tcPr>
            <w:tcW w:w="650" w:type="dxa"/>
            <w:shd w:val="clear" w:color="auto" w:fill="F3F9FA"/>
            <w:noWrap/>
            <w:vAlign w:val="bottom"/>
            <w:hideMark/>
          </w:tcPr>
          <w:p w14:paraId="1BA0C8D0" w14:textId="2AC8D635" w:rsidR="00F12DBA" w:rsidRPr="00F12DBA" w:rsidRDefault="00F12DBA" w:rsidP="00F12DBA">
            <w:pPr>
              <w:spacing w:before="0" w:after="0"/>
              <w:jc w:val="center"/>
              <w:rPr>
                <w:sz w:val="16"/>
                <w:szCs w:val="16"/>
              </w:rPr>
            </w:pPr>
            <w:r w:rsidRPr="00F12DBA">
              <w:rPr>
                <w:sz w:val="16"/>
                <w:szCs w:val="16"/>
              </w:rPr>
              <w:t>0</w:t>
            </w:r>
          </w:p>
        </w:tc>
      </w:tr>
      <w:tr w:rsidR="00F12DBA" w:rsidRPr="00970B19" w14:paraId="0557CE42" w14:textId="77777777" w:rsidTr="006F4537">
        <w:trPr>
          <w:jc w:val="center"/>
        </w:trPr>
        <w:tc>
          <w:tcPr>
            <w:tcW w:w="1388" w:type="dxa"/>
            <w:noWrap/>
            <w:vAlign w:val="bottom"/>
          </w:tcPr>
          <w:p w14:paraId="52243480" w14:textId="77777777" w:rsidR="00F12DBA" w:rsidRPr="00970B19" w:rsidRDefault="00F12DBA" w:rsidP="00F12DBA">
            <w:pPr>
              <w:spacing w:before="0" w:after="0"/>
              <w:rPr>
                <w:sz w:val="16"/>
                <w:szCs w:val="16"/>
              </w:rPr>
            </w:pPr>
          </w:p>
        </w:tc>
        <w:tc>
          <w:tcPr>
            <w:tcW w:w="1117" w:type="dxa"/>
            <w:shd w:val="clear" w:color="auto" w:fill="F3F9FA"/>
            <w:noWrap/>
            <w:vAlign w:val="bottom"/>
          </w:tcPr>
          <w:p w14:paraId="51FF02E4" w14:textId="77777777" w:rsidR="00F12DBA" w:rsidRPr="00970B19" w:rsidRDefault="00F12DBA" w:rsidP="00F12DBA">
            <w:pPr>
              <w:spacing w:before="0" w:after="0"/>
              <w:jc w:val="center"/>
              <w:rPr>
                <w:sz w:val="16"/>
                <w:szCs w:val="16"/>
              </w:rPr>
            </w:pPr>
          </w:p>
        </w:tc>
        <w:tc>
          <w:tcPr>
            <w:tcW w:w="588" w:type="dxa"/>
            <w:shd w:val="clear" w:color="auto" w:fill="F3F9FA"/>
            <w:noWrap/>
            <w:vAlign w:val="bottom"/>
          </w:tcPr>
          <w:p w14:paraId="3F1ED05A" w14:textId="06D36064" w:rsidR="00F12DBA" w:rsidRPr="00970B19" w:rsidRDefault="00F12DBA" w:rsidP="00F12DBA">
            <w:pPr>
              <w:spacing w:before="0" w:after="0"/>
              <w:jc w:val="center"/>
              <w:rPr>
                <w:sz w:val="16"/>
                <w:szCs w:val="16"/>
              </w:rPr>
            </w:pPr>
            <w:r w:rsidRPr="00970B19">
              <w:rPr>
                <w:sz w:val="16"/>
                <w:szCs w:val="16"/>
              </w:rPr>
              <w:t>DI1</w:t>
            </w:r>
          </w:p>
        </w:tc>
        <w:tc>
          <w:tcPr>
            <w:tcW w:w="951" w:type="dxa"/>
            <w:shd w:val="clear" w:color="auto" w:fill="F3F9FA"/>
            <w:noWrap/>
            <w:vAlign w:val="bottom"/>
          </w:tcPr>
          <w:p w14:paraId="1C2BD946" w14:textId="2A4FFE59" w:rsidR="00F12DBA" w:rsidRPr="00970B19" w:rsidRDefault="00F12DBA" w:rsidP="00F12DBA">
            <w:pPr>
              <w:spacing w:before="0" w:after="0"/>
              <w:jc w:val="center"/>
              <w:rPr>
                <w:sz w:val="16"/>
                <w:szCs w:val="16"/>
              </w:rPr>
            </w:pPr>
            <w:r>
              <w:rPr>
                <w:sz w:val="16"/>
                <w:szCs w:val="16"/>
              </w:rPr>
              <w:t>01-Apr-17</w:t>
            </w:r>
          </w:p>
        </w:tc>
        <w:tc>
          <w:tcPr>
            <w:tcW w:w="815" w:type="dxa"/>
            <w:shd w:val="clear" w:color="auto" w:fill="F3F9FA"/>
            <w:noWrap/>
            <w:vAlign w:val="bottom"/>
          </w:tcPr>
          <w:p w14:paraId="593B1E55" w14:textId="75CE73CF" w:rsidR="00F12DBA" w:rsidRPr="00F12DBA" w:rsidRDefault="00F12DBA" w:rsidP="00F12DBA">
            <w:pPr>
              <w:spacing w:before="0" w:after="0"/>
              <w:jc w:val="center"/>
              <w:rPr>
                <w:sz w:val="16"/>
                <w:szCs w:val="16"/>
              </w:rPr>
            </w:pPr>
            <w:r w:rsidRPr="00F12DBA">
              <w:rPr>
                <w:sz w:val="16"/>
                <w:szCs w:val="16"/>
              </w:rPr>
              <w:t>2.1</w:t>
            </w:r>
          </w:p>
        </w:tc>
        <w:tc>
          <w:tcPr>
            <w:tcW w:w="823" w:type="dxa"/>
            <w:shd w:val="clear" w:color="auto" w:fill="F3F9FA"/>
            <w:noWrap/>
            <w:vAlign w:val="bottom"/>
          </w:tcPr>
          <w:p w14:paraId="4C077CCB" w14:textId="0C3DD41F" w:rsidR="00F12DBA" w:rsidRPr="00F12DBA" w:rsidRDefault="00F12DBA" w:rsidP="00F12DBA">
            <w:pPr>
              <w:spacing w:before="0" w:after="0"/>
              <w:jc w:val="center"/>
              <w:rPr>
                <w:sz w:val="16"/>
                <w:szCs w:val="16"/>
              </w:rPr>
            </w:pPr>
            <w:r w:rsidRPr="00F12DBA">
              <w:rPr>
                <w:sz w:val="16"/>
                <w:szCs w:val="16"/>
              </w:rPr>
              <w:t>0</w:t>
            </w:r>
          </w:p>
        </w:tc>
        <w:tc>
          <w:tcPr>
            <w:tcW w:w="888" w:type="dxa"/>
            <w:shd w:val="clear" w:color="auto" w:fill="F3F9FA"/>
            <w:noWrap/>
            <w:vAlign w:val="bottom"/>
          </w:tcPr>
          <w:p w14:paraId="564B5063" w14:textId="3AFF6FEB" w:rsidR="00F12DBA" w:rsidRPr="00F12DBA" w:rsidRDefault="00F12DBA" w:rsidP="00F12DBA">
            <w:pPr>
              <w:spacing w:before="0" w:after="0"/>
              <w:jc w:val="center"/>
              <w:rPr>
                <w:sz w:val="16"/>
                <w:szCs w:val="16"/>
              </w:rPr>
            </w:pPr>
            <w:r w:rsidRPr="00F12DBA">
              <w:rPr>
                <w:sz w:val="16"/>
                <w:szCs w:val="16"/>
              </w:rPr>
              <w:t>27.5</w:t>
            </w:r>
          </w:p>
        </w:tc>
        <w:tc>
          <w:tcPr>
            <w:tcW w:w="888" w:type="dxa"/>
            <w:shd w:val="clear" w:color="auto" w:fill="F3F9FA"/>
            <w:noWrap/>
            <w:vAlign w:val="bottom"/>
          </w:tcPr>
          <w:p w14:paraId="2257BB3C" w14:textId="74756F39" w:rsidR="00F12DBA" w:rsidRPr="00F12DBA" w:rsidRDefault="00F12DBA" w:rsidP="00F12DBA">
            <w:pPr>
              <w:spacing w:before="0" w:after="0"/>
              <w:jc w:val="center"/>
              <w:rPr>
                <w:sz w:val="16"/>
                <w:szCs w:val="16"/>
              </w:rPr>
            </w:pPr>
            <w:r w:rsidRPr="00F12DBA">
              <w:rPr>
                <w:sz w:val="16"/>
                <w:szCs w:val="16"/>
              </w:rPr>
              <w:t>37.7</w:t>
            </w:r>
          </w:p>
        </w:tc>
        <w:tc>
          <w:tcPr>
            <w:tcW w:w="888" w:type="dxa"/>
            <w:shd w:val="clear" w:color="auto" w:fill="F3F9FA"/>
            <w:noWrap/>
            <w:vAlign w:val="bottom"/>
          </w:tcPr>
          <w:p w14:paraId="1AB6BB66" w14:textId="5838CA47" w:rsidR="00F12DBA" w:rsidRPr="00F12DBA" w:rsidRDefault="00F12DBA" w:rsidP="00F12DBA">
            <w:pPr>
              <w:spacing w:before="0" w:after="0"/>
              <w:jc w:val="center"/>
              <w:rPr>
                <w:sz w:val="16"/>
                <w:szCs w:val="16"/>
              </w:rPr>
            </w:pPr>
            <w:r w:rsidRPr="00F12DBA">
              <w:rPr>
                <w:sz w:val="16"/>
                <w:szCs w:val="16"/>
              </w:rPr>
              <w:t>41</w:t>
            </w:r>
          </w:p>
        </w:tc>
        <w:tc>
          <w:tcPr>
            <w:tcW w:w="650" w:type="dxa"/>
            <w:shd w:val="clear" w:color="auto" w:fill="F3F9FA"/>
            <w:noWrap/>
            <w:vAlign w:val="bottom"/>
          </w:tcPr>
          <w:p w14:paraId="6F400048" w14:textId="15B4E747" w:rsidR="00F12DBA" w:rsidRPr="00F12DBA" w:rsidRDefault="00F12DBA" w:rsidP="00F12DBA">
            <w:pPr>
              <w:spacing w:before="0" w:after="0"/>
              <w:jc w:val="center"/>
              <w:rPr>
                <w:sz w:val="16"/>
                <w:szCs w:val="16"/>
              </w:rPr>
            </w:pPr>
            <w:r w:rsidRPr="00F12DBA">
              <w:rPr>
                <w:sz w:val="16"/>
                <w:szCs w:val="16"/>
              </w:rPr>
              <w:t>0</w:t>
            </w:r>
          </w:p>
        </w:tc>
      </w:tr>
      <w:tr w:rsidR="00F12DBA" w:rsidRPr="00970B19" w14:paraId="2CB70427" w14:textId="77777777" w:rsidTr="006F4537">
        <w:trPr>
          <w:jc w:val="center"/>
        </w:trPr>
        <w:tc>
          <w:tcPr>
            <w:tcW w:w="1388" w:type="dxa"/>
            <w:noWrap/>
            <w:vAlign w:val="bottom"/>
          </w:tcPr>
          <w:p w14:paraId="14907672" w14:textId="77777777" w:rsidR="00F12DBA" w:rsidRPr="00970B19" w:rsidRDefault="00F12DBA" w:rsidP="00F12DBA">
            <w:pPr>
              <w:spacing w:before="0" w:after="0"/>
              <w:rPr>
                <w:sz w:val="16"/>
                <w:szCs w:val="16"/>
              </w:rPr>
            </w:pPr>
          </w:p>
        </w:tc>
        <w:tc>
          <w:tcPr>
            <w:tcW w:w="1117" w:type="dxa"/>
            <w:shd w:val="clear" w:color="auto" w:fill="F3F9FA"/>
            <w:noWrap/>
            <w:vAlign w:val="bottom"/>
          </w:tcPr>
          <w:p w14:paraId="051CBD4C" w14:textId="77777777" w:rsidR="00F12DBA" w:rsidRPr="00970B19" w:rsidRDefault="00F12DBA" w:rsidP="00F12DBA">
            <w:pPr>
              <w:spacing w:before="0" w:after="0"/>
              <w:jc w:val="center"/>
              <w:rPr>
                <w:sz w:val="16"/>
                <w:szCs w:val="16"/>
              </w:rPr>
            </w:pPr>
          </w:p>
        </w:tc>
        <w:tc>
          <w:tcPr>
            <w:tcW w:w="588" w:type="dxa"/>
            <w:shd w:val="clear" w:color="auto" w:fill="F3F9FA"/>
            <w:noWrap/>
            <w:vAlign w:val="bottom"/>
          </w:tcPr>
          <w:p w14:paraId="3A96C3D5" w14:textId="5A5C4E05" w:rsidR="00F12DBA" w:rsidRPr="00970B19" w:rsidRDefault="00F12DBA" w:rsidP="00F12DBA">
            <w:pPr>
              <w:spacing w:before="0" w:after="0"/>
              <w:jc w:val="center"/>
              <w:rPr>
                <w:sz w:val="16"/>
                <w:szCs w:val="16"/>
              </w:rPr>
            </w:pPr>
            <w:r w:rsidRPr="00970B19">
              <w:rPr>
                <w:sz w:val="16"/>
                <w:szCs w:val="16"/>
              </w:rPr>
              <w:t>DI2</w:t>
            </w:r>
          </w:p>
        </w:tc>
        <w:tc>
          <w:tcPr>
            <w:tcW w:w="951" w:type="dxa"/>
            <w:shd w:val="clear" w:color="auto" w:fill="F3F9FA"/>
            <w:noWrap/>
            <w:vAlign w:val="bottom"/>
          </w:tcPr>
          <w:p w14:paraId="44E39733" w14:textId="37E7C932" w:rsidR="00F12DBA" w:rsidRPr="00970B19" w:rsidRDefault="00F12DBA" w:rsidP="00F12DBA">
            <w:pPr>
              <w:spacing w:before="0" w:after="0"/>
              <w:jc w:val="center"/>
              <w:rPr>
                <w:sz w:val="16"/>
                <w:szCs w:val="16"/>
              </w:rPr>
            </w:pPr>
            <w:r>
              <w:rPr>
                <w:sz w:val="16"/>
                <w:szCs w:val="16"/>
              </w:rPr>
              <w:t>01-Jul-16</w:t>
            </w:r>
          </w:p>
        </w:tc>
        <w:tc>
          <w:tcPr>
            <w:tcW w:w="815" w:type="dxa"/>
            <w:shd w:val="clear" w:color="auto" w:fill="F3F9FA"/>
            <w:noWrap/>
            <w:vAlign w:val="bottom"/>
          </w:tcPr>
          <w:p w14:paraId="6A2C4AAE" w14:textId="58194E55" w:rsidR="00F12DBA" w:rsidRPr="00F12DBA" w:rsidRDefault="00F12DBA" w:rsidP="00F12DBA">
            <w:pPr>
              <w:spacing w:before="0" w:after="0"/>
              <w:jc w:val="center"/>
              <w:rPr>
                <w:sz w:val="16"/>
                <w:szCs w:val="16"/>
              </w:rPr>
            </w:pPr>
            <w:r w:rsidRPr="00F12DBA">
              <w:rPr>
                <w:sz w:val="16"/>
                <w:szCs w:val="16"/>
              </w:rPr>
              <w:t>2.0</w:t>
            </w:r>
          </w:p>
        </w:tc>
        <w:tc>
          <w:tcPr>
            <w:tcW w:w="823" w:type="dxa"/>
            <w:shd w:val="clear" w:color="auto" w:fill="F3F9FA"/>
            <w:noWrap/>
            <w:vAlign w:val="bottom"/>
          </w:tcPr>
          <w:p w14:paraId="4039D62B" w14:textId="5DDEEDEA" w:rsidR="00F12DBA" w:rsidRPr="00F12DBA" w:rsidRDefault="00F12DBA" w:rsidP="00F12DBA">
            <w:pPr>
              <w:spacing w:before="0" w:after="0"/>
              <w:jc w:val="center"/>
              <w:rPr>
                <w:sz w:val="16"/>
                <w:szCs w:val="16"/>
              </w:rPr>
            </w:pPr>
            <w:r w:rsidRPr="00F12DBA">
              <w:rPr>
                <w:sz w:val="16"/>
                <w:szCs w:val="16"/>
              </w:rPr>
              <w:t>0</w:t>
            </w:r>
          </w:p>
        </w:tc>
        <w:tc>
          <w:tcPr>
            <w:tcW w:w="888" w:type="dxa"/>
            <w:shd w:val="clear" w:color="auto" w:fill="F3F9FA"/>
            <w:noWrap/>
            <w:vAlign w:val="bottom"/>
          </w:tcPr>
          <w:p w14:paraId="05DA0B1D" w14:textId="4C5A1E72" w:rsidR="00F12DBA" w:rsidRPr="00F12DBA" w:rsidRDefault="00F12DBA" w:rsidP="00F12DBA">
            <w:pPr>
              <w:spacing w:before="0" w:after="0"/>
              <w:jc w:val="center"/>
              <w:rPr>
                <w:sz w:val="16"/>
                <w:szCs w:val="16"/>
              </w:rPr>
            </w:pPr>
            <w:r w:rsidRPr="00F12DBA">
              <w:rPr>
                <w:sz w:val="16"/>
                <w:szCs w:val="16"/>
              </w:rPr>
              <w:t>27.5</w:t>
            </w:r>
          </w:p>
        </w:tc>
        <w:tc>
          <w:tcPr>
            <w:tcW w:w="888" w:type="dxa"/>
            <w:shd w:val="clear" w:color="auto" w:fill="F3F9FA"/>
            <w:noWrap/>
            <w:vAlign w:val="bottom"/>
          </w:tcPr>
          <w:p w14:paraId="18E902B2" w14:textId="384EDF98" w:rsidR="00F12DBA" w:rsidRPr="00F12DBA" w:rsidRDefault="00F12DBA" w:rsidP="00F12DBA">
            <w:pPr>
              <w:spacing w:before="0" w:after="0"/>
              <w:jc w:val="center"/>
              <w:rPr>
                <w:sz w:val="16"/>
                <w:szCs w:val="16"/>
              </w:rPr>
            </w:pPr>
            <w:r w:rsidRPr="00F12DBA">
              <w:rPr>
                <w:sz w:val="16"/>
                <w:szCs w:val="16"/>
              </w:rPr>
              <w:t>37.7</w:t>
            </w:r>
          </w:p>
        </w:tc>
        <w:tc>
          <w:tcPr>
            <w:tcW w:w="888" w:type="dxa"/>
            <w:shd w:val="clear" w:color="auto" w:fill="F3F9FA"/>
            <w:noWrap/>
            <w:vAlign w:val="bottom"/>
          </w:tcPr>
          <w:p w14:paraId="3E19321E" w14:textId="44E49E70" w:rsidR="00F12DBA" w:rsidRPr="00F12DBA" w:rsidRDefault="00F12DBA" w:rsidP="00F12DBA">
            <w:pPr>
              <w:spacing w:before="0" w:after="0"/>
              <w:jc w:val="center"/>
              <w:rPr>
                <w:sz w:val="16"/>
                <w:szCs w:val="16"/>
              </w:rPr>
            </w:pPr>
            <w:r w:rsidRPr="00F12DBA">
              <w:rPr>
                <w:sz w:val="16"/>
                <w:szCs w:val="16"/>
              </w:rPr>
              <w:t>41</w:t>
            </w:r>
          </w:p>
        </w:tc>
        <w:tc>
          <w:tcPr>
            <w:tcW w:w="650" w:type="dxa"/>
            <w:shd w:val="clear" w:color="auto" w:fill="F3F9FA"/>
            <w:noWrap/>
            <w:vAlign w:val="bottom"/>
          </w:tcPr>
          <w:p w14:paraId="67A47F5D" w14:textId="119F0ED3" w:rsidR="00F12DBA" w:rsidRPr="00F12DBA" w:rsidRDefault="00F12DBA" w:rsidP="00F12DBA">
            <w:pPr>
              <w:spacing w:before="0" w:after="0"/>
              <w:jc w:val="center"/>
              <w:rPr>
                <w:sz w:val="16"/>
                <w:szCs w:val="16"/>
              </w:rPr>
            </w:pPr>
            <w:r w:rsidRPr="00F12DBA">
              <w:rPr>
                <w:sz w:val="16"/>
                <w:szCs w:val="16"/>
              </w:rPr>
              <w:t>0</w:t>
            </w:r>
          </w:p>
        </w:tc>
      </w:tr>
      <w:tr w:rsidR="00F12DBA" w:rsidRPr="00970B19" w14:paraId="6C0116F2" w14:textId="77777777" w:rsidTr="006F4537">
        <w:trPr>
          <w:jc w:val="center"/>
        </w:trPr>
        <w:tc>
          <w:tcPr>
            <w:tcW w:w="1388" w:type="dxa"/>
            <w:noWrap/>
            <w:vAlign w:val="bottom"/>
          </w:tcPr>
          <w:p w14:paraId="5A39D65B" w14:textId="77777777" w:rsidR="00F12DBA" w:rsidRPr="00970B19" w:rsidRDefault="00F12DBA" w:rsidP="00F12DBA">
            <w:pPr>
              <w:spacing w:before="0" w:after="0"/>
              <w:rPr>
                <w:sz w:val="16"/>
                <w:szCs w:val="16"/>
              </w:rPr>
            </w:pPr>
          </w:p>
        </w:tc>
        <w:tc>
          <w:tcPr>
            <w:tcW w:w="1117" w:type="dxa"/>
            <w:shd w:val="clear" w:color="auto" w:fill="F3F9FA"/>
            <w:noWrap/>
            <w:vAlign w:val="bottom"/>
          </w:tcPr>
          <w:p w14:paraId="77E15053" w14:textId="77777777" w:rsidR="00F12DBA" w:rsidRPr="00970B19" w:rsidRDefault="00F12DBA" w:rsidP="00F12DBA">
            <w:pPr>
              <w:spacing w:before="0" w:after="0"/>
              <w:jc w:val="center"/>
              <w:rPr>
                <w:sz w:val="16"/>
                <w:szCs w:val="16"/>
              </w:rPr>
            </w:pPr>
          </w:p>
        </w:tc>
        <w:tc>
          <w:tcPr>
            <w:tcW w:w="588" w:type="dxa"/>
            <w:shd w:val="clear" w:color="auto" w:fill="F3F9FA"/>
            <w:noWrap/>
            <w:vAlign w:val="bottom"/>
            <w:hideMark/>
          </w:tcPr>
          <w:p w14:paraId="19D3763E" w14:textId="77777777" w:rsidR="00F12DBA" w:rsidRPr="00970B19" w:rsidRDefault="00F12DBA" w:rsidP="00F12DBA">
            <w:pPr>
              <w:spacing w:before="0" w:after="0"/>
              <w:jc w:val="center"/>
              <w:rPr>
                <w:sz w:val="16"/>
                <w:szCs w:val="16"/>
              </w:rPr>
            </w:pPr>
            <w:r w:rsidRPr="00970B19">
              <w:rPr>
                <w:sz w:val="16"/>
                <w:szCs w:val="16"/>
              </w:rPr>
              <w:t>DI2</w:t>
            </w:r>
          </w:p>
        </w:tc>
        <w:tc>
          <w:tcPr>
            <w:tcW w:w="951" w:type="dxa"/>
            <w:shd w:val="clear" w:color="auto" w:fill="F3F9FA"/>
            <w:noWrap/>
            <w:vAlign w:val="bottom"/>
            <w:hideMark/>
          </w:tcPr>
          <w:p w14:paraId="606BE630" w14:textId="72589BBB" w:rsidR="00F12DBA" w:rsidRPr="00970B19" w:rsidRDefault="00F12DBA" w:rsidP="00F12DBA">
            <w:pPr>
              <w:spacing w:before="0" w:after="0"/>
              <w:jc w:val="center"/>
              <w:rPr>
                <w:sz w:val="16"/>
                <w:szCs w:val="16"/>
              </w:rPr>
            </w:pPr>
            <w:r>
              <w:rPr>
                <w:sz w:val="16"/>
                <w:szCs w:val="16"/>
              </w:rPr>
              <w:t>01-Oct-16</w:t>
            </w:r>
          </w:p>
        </w:tc>
        <w:tc>
          <w:tcPr>
            <w:tcW w:w="815" w:type="dxa"/>
            <w:shd w:val="clear" w:color="auto" w:fill="F3F9FA"/>
            <w:noWrap/>
            <w:vAlign w:val="bottom"/>
            <w:hideMark/>
          </w:tcPr>
          <w:p w14:paraId="266AAC16" w14:textId="43D1A8B0" w:rsidR="00F12DBA" w:rsidRPr="00F12DBA" w:rsidRDefault="00F12DBA" w:rsidP="00F12DBA">
            <w:pPr>
              <w:spacing w:before="0" w:after="0"/>
              <w:jc w:val="center"/>
              <w:rPr>
                <w:sz w:val="16"/>
                <w:szCs w:val="16"/>
              </w:rPr>
            </w:pPr>
            <w:r w:rsidRPr="00F12DBA">
              <w:rPr>
                <w:sz w:val="16"/>
                <w:szCs w:val="16"/>
              </w:rPr>
              <w:t>1.6</w:t>
            </w:r>
          </w:p>
        </w:tc>
        <w:tc>
          <w:tcPr>
            <w:tcW w:w="823" w:type="dxa"/>
            <w:shd w:val="clear" w:color="auto" w:fill="F3F9FA"/>
            <w:noWrap/>
            <w:vAlign w:val="bottom"/>
            <w:hideMark/>
          </w:tcPr>
          <w:p w14:paraId="65588A01" w14:textId="28BF40E9" w:rsidR="00F12DBA" w:rsidRPr="00F12DBA" w:rsidRDefault="00F12DBA" w:rsidP="00F12DBA">
            <w:pPr>
              <w:spacing w:before="0" w:after="0"/>
              <w:jc w:val="center"/>
              <w:rPr>
                <w:sz w:val="16"/>
                <w:szCs w:val="16"/>
              </w:rPr>
            </w:pPr>
            <w:r w:rsidRPr="00F12DBA">
              <w:rPr>
                <w:sz w:val="16"/>
                <w:szCs w:val="16"/>
              </w:rPr>
              <w:t>0</w:t>
            </w:r>
          </w:p>
        </w:tc>
        <w:tc>
          <w:tcPr>
            <w:tcW w:w="888" w:type="dxa"/>
            <w:shd w:val="clear" w:color="auto" w:fill="F3F9FA"/>
            <w:noWrap/>
            <w:vAlign w:val="bottom"/>
            <w:hideMark/>
          </w:tcPr>
          <w:p w14:paraId="10B3232E" w14:textId="003A9A68" w:rsidR="00F12DBA" w:rsidRPr="00F12DBA" w:rsidRDefault="00F12DBA" w:rsidP="00F12DBA">
            <w:pPr>
              <w:spacing w:before="0" w:after="0"/>
              <w:jc w:val="center"/>
              <w:rPr>
                <w:sz w:val="16"/>
                <w:szCs w:val="16"/>
              </w:rPr>
            </w:pPr>
            <w:r w:rsidRPr="00F12DBA">
              <w:rPr>
                <w:sz w:val="16"/>
                <w:szCs w:val="16"/>
              </w:rPr>
              <w:t>27.5</w:t>
            </w:r>
          </w:p>
        </w:tc>
        <w:tc>
          <w:tcPr>
            <w:tcW w:w="888" w:type="dxa"/>
            <w:shd w:val="clear" w:color="auto" w:fill="F3F9FA"/>
            <w:noWrap/>
            <w:vAlign w:val="bottom"/>
            <w:hideMark/>
          </w:tcPr>
          <w:p w14:paraId="435954E2" w14:textId="00AB705A" w:rsidR="00F12DBA" w:rsidRPr="00F12DBA" w:rsidRDefault="00F12DBA" w:rsidP="00F12DBA">
            <w:pPr>
              <w:spacing w:before="0" w:after="0"/>
              <w:jc w:val="center"/>
              <w:rPr>
                <w:sz w:val="16"/>
                <w:szCs w:val="16"/>
              </w:rPr>
            </w:pPr>
            <w:r w:rsidRPr="00F12DBA">
              <w:rPr>
                <w:sz w:val="16"/>
                <w:szCs w:val="16"/>
              </w:rPr>
              <w:t>37.7</w:t>
            </w:r>
          </w:p>
        </w:tc>
        <w:tc>
          <w:tcPr>
            <w:tcW w:w="888" w:type="dxa"/>
            <w:shd w:val="clear" w:color="auto" w:fill="F3F9FA"/>
            <w:noWrap/>
            <w:vAlign w:val="bottom"/>
            <w:hideMark/>
          </w:tcPr>
          <w:p w14:paraId="551A2C48" w14:textId="7C1F0AE4" w:rsidR="00F12DBA" w:rsidRPr="00F12DBA" w:rsidRDefault="00F12DBA" w:rsidP="00F12DBA">
            <w:pPr>
              <w:spacing w:before="0" w:after="0"/>
              <w:jc w:val="center"/>
              <w:rPr>
                <w:sz w:val="16"/>
                <w:szCs w:val="16"/>
              </w:rPr>
            </w:pPr>
            <w:r w:rsidRPr="00F12DBA">
              <w:rPr>
                <w:sz w:val="16"/>
                <w:szCs w:val="16"/>
              </w:rPr>
              <w:t>41</w:t>
            </w:r>
          </w:p>
        </w:tc>
        <w:tc>
          <w:tcPr>
            <w:tcW w:w="650" w:type="dxa"/>
            <w:shd w:val="clear" w:color="auto" w:fill="F3F9FA"/>
            <w:noWrap/>
            <w:vAlign w:val="bottom"/>
            <w:hideMark/>
          </w:tcPr>
          <w:p w14:paraId="68219940" w14:textId="4FB844A3" w:rsidR="00F12DBA" w:rsidRPr="00F12DBA" w:rsidRDefault="00F12DBA" w:rsidP="00F12DBA">
            <w:pPr>
              <w:spacing w:before="0" w:after="0"/>
              <w:jc w:val="center"/>
              <w:rPr>
                <w:sz w:val="16"/>
                <w:szCs w:val="16"/>
              </w:rPr>
            </w:pPr>
            <w:r w:rsidRPr="00F12DBA">
              <w:rPr>
                <w:sz w:val="16"/>
                <w:szCs w:val="16"/>
              </w:rPr>
              <w:t>0</w:t>
            </w:r>
          </w:p>
        </w:tc>
      </w:tr>
      <w:tr w:rsidR="00F12DBA" w:rsidRPr="00970B19" w14:paraId="5A548491" w14:textId="77777777" w:rsidTr="006F4537">
        <w:trPr>
          <w:jc w:val="center"/>
        </w:trPr>
        <w:tc>
          <w:tcPr>
            <w:tcW w:w="1388" w:type="dxa"/>
            <w:noWrap/>
            <w:vAlign w:val="bottom"/>
          </w:tcPr>
          <w:p w14:paraId="00DA34EF" w14:textId="77777777" w:rsidR="00F12DBA" w:rsidRPr="00970B19"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4E2D6168" w14:textId="77777777" w:rsidR="00F12DBA" w:rsidRPr="00970B19" w:rsidRDefault="00F12DBA" w:rsidP="00F12DBA">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3DFEAF8B" w14:textId="77777777" w:rsidR="00F12DBA" w:rsidRPr="00970B19" w:rsidRDefault="00F12DBA" w:rsidP="00F12DBA">
            <w:pPr>
              <w:spacing w:before="0" w:after="0"/>
              <w:jc w:val="center"/>
              <w:rPr>
                <w:sz w:val="16"/>
                <w:szCs w:val="16"/>
              </w:rPr>
            </w:pPr>
            <w:r w:rsidRPr="00970B19">
              <w:rPr>
                <w:sz w:val="16"/>
                <w:szCs w:val="16"/>
              </w:rPr>
              <w:t>DI2</w:t>
            </w:r>
          </w:p>
        </w:tc>
        <w:tc>
          <w:tcPr>
            <w:tcW w:w="951" w:type="dxa"/>
            <w:tcBorders>
              <w:top w:val="nil"/>
              <w:left w:val="nil"/>
              <w:bottom w:val="single" w:sz="4" w:space="0" w:color="auto"/>
              <w:right w:val="nil"/>
            </w:tcBorders>
            <w:shd w:val="clear" w:color="auto" w:fill="F3F9FA"/>
            <w:noWrap/>
            <w:vAlign w:val="bottom"/>
            <w:hideMark/>
          </w:tcPr>
          <w:p w14:paraId="6EA147DA" w14:textId="6479AD15" w:rsidR="00F12DBA" w:rsidRPr="00970B19" w:rsidRDefault="00F12DBA" w:rsidP="00F12DBA">
            <w:pPr>
              <w:spacing w:before="0" w:after="0"/>
              <w:jc w:val="center"/>
              <w:rPr>
                <w:sz w:val="16"/>
                <w:szCs w:val="16"/>
              </w:rPr>
            </w:pPr>
            <w:r w:rsidRPr="00970B19">
              <w:rPr>
                <w:sz w:val="16"/>
                <w:szCs w:val="16"/>
              </w:rPr>
              <w:t>0</w:t>
            </w:r>
            <w:r>
              <w:rPr>
                <w:sz w:val="16"/>
                <w:szCs w:val="16"/>
              </w:rPr>
              <w:t>1-Apr-17</w:t>
            </w:r>
          </w:p>
        </w:tc>
        <w:tc>
          <w:tcPr>
            <w:tcW w:w="815" w:type="dxa"/>
            <w:tcBorders>
              <w:top w:val="nil"/>
              <w:left w:val="nil"/>
              <w:bottom w:val="single" w:sz="4" w:space="0" w:color="auto"/>
              <w:right w:val="nil"/>
            </w:tcBorders>
            <w:shd w:val="clear" w:color="auto" w:fill="F3F9FA"/>
            <w:noWrap/>
            <w:vAlign w:val="bottom"/>
            <w:hideMark/>
          </w:tcPr>
          <w:p w14:paraId="3C4E66AA" w14:textId="5DD9FBB2" w:rsidR="00F12DBA" w:rsidRPr="00F12DBA" w:rsidRDefault="00F12DBA" w:rsidP="00F12DBA">
            <w:pPr>
              <w:spacing w:before="0" w:after="0"/>
              <w:jc w:val="center"/>
              <w:rPr>
                <w:sz w:val="16"/>
                <w:szCs w:val="16"/>
              </w:rPr>
            </w:pPr>
            <w:r w:rsidRPr="00F12DBA">
              <w:rPr>
                <w:sz w:val="16"/>
                <w:szCs w:val="16"/>
              </w:rPr>
              <w:t>3.6</w:t>
            </w:r>
          </w:p>
        </w:tc>
        <w:tc>
          <w:tcPr>
            <w:tcW w:w="823" w:type="dxa"/>
            <w:tcBorders>
              <w:top w:val="nil"/>
              <w:left w:val="nil"/>
              <w:bottom w:val="single" w:sz="4" w:space="0" w:color="auto"/>
              <w:right w:val="nil"/>
            </w:tcBorders>
            <w:shd w:val="clear" w:color="auto" w:fill="F3F9FA"/>
            <w:noWrap/>
            <w:vAlign w:val="bottom"/>
            <w:hideMark/>
          </w:tcPr>
          <w:p w14:paraId="26C553F6" w14:textId="3D4A3FB4" w:rsidR="00F12DBA" w:rsidRPr="00F12DBA" w:rsidRDefault="00F12DBA" w:rsidP="00F12DBA">
            <w:pPr>
              <w:spacing w:before="0" w:after="0"/>
              <w:jc w:val="center"/>
              <w:rPr>
                <w:sz w:val="16"/>
                <w:szCs w:val="16"/>
              </w:rPr>
            </w:pPr>
            <w:r w:rsidRPr="00F12DBA">
              <w:rPr>
                <w:sz w:val="16"/>
                <w:szCs w:val="16"/>
              </w:rPr>
              <w:t>0</w:t>
            </w:r>
          </w:p>
        </w:tc>
        <w:tc>
          <w:tcPr>
            <w:tcW w:w="888" w:type="dxa"/>
            <w:tcBorders>
              <w:top w:val="nil"/>
              <w:left w:val="nil"/>
              <w:bottom w:val="single" w:sz="4" w:space="0" w:color="auto"/>
              <w:right w:val="nil"/>
            </w:tcBorders>
            <w:shd w:val="clear" w:color="auto" w:fill="F3F9FA"/>
            <w:noWrap/>
            <w:vAlign w:val="bottom"/>
            <w:hideMark/>
          </w:tcPr>
          <w:p w14:paraId="7B32D3CA" w14:textId="521E0D92" w:rsidR="00F12DBA" w:rsidRPr="00F12DBA" w:rsidRDefault="00F12DBA" w:rsidP="00F12DBA">
            <w:pPr>
              <w:spacing w:before="0" w:after="0"/>
              <w:jc w:val="center"/>
              <w:rPr>
                <w:sz w:val="16"/>
                <w:szCs w:val="16"/>
              </w:rPr>
            </w:pPr>
            <w:r w:rsidRPr="00F12DBA">
              <w:rPr>
                <w:sz w:val="16"/>
                <w:szCs w:val="16"/>
              </w:rPr>
              <w:t>27.5</w:t>
            </w:r>
          </w:p>
        </w:tc>
        <w:tc>
          <w:tcPr>
            <w:tcW w:w="888" w:type="dxa"/>
            <w:tcBorders>
              <w:top w:val="nil"/>
              <w:left w:val="nil"/>
              <w:bottom w:val="single" w:sz="4" w:space="0" w:color="auto"/>
              <w:right w:val="nil"/>
            </w:tcBorders>
            <w:shd w:val="clear" w:color="auto" w:fill="F3F9FA"/>
            <w:noWrap/>
            <w:vAlign w:val="bottom"/>
            <w:hideMark/>
          </w:tcPr>
          <w:p w14:paraId="67F3DAE6" w14:textId="7CAA389C" w:rsidR="00F12DBA" w:rsidRPr="00F12DBA" w:rsidRDefault="00F12DBA" w:rsidP="00F12DBA">
            <w:pPr>
              <w:spacing w:before="0" w:after="0"/>
              <w:jc w:val="center"/>
              <w:rPr>
                <w:sz w:val="16"/>
                <w:szCs w:val="16"/>
              </w:rPr>
            </w:pPr>
            <w:r w:rsidRPr="00F12DBA">
              <w:rPr>
                <w:sz w:val="16"/>
                <w:szCs w:val="16"/>
              </w:rPr>
              <w:t>37.7</w:t>
            </w:r>
          </w:p>
        </w:tc>
        <w:tc>
          <w:tcPr>
            <w:tcW w:w="888" w:type="dxa"/>
            <w:tcBorders>
              <w:top w:val="nil"/>
              <w:left w:val="nil"/>
              <w:bottom w:val="single" w:sz="4" w:space="0" w:color="auto"/>
              <w:right w:val="nil"/>
            </w:tcBorders>
            <w:shd w:val="clear" w:color="auto" w:fill="F3F9FA"/>
            <w:noWrap/>
            <w:vAlign w:val="bottom"/>
            <w:hideMark/>
          </w:tcPr>
          <w:p w14:paraId="1121A6C3" w14:textId="33EAEC61" w:rsidR="00F12DBA" w:rsidRPr="00F12DBA" w:rsidRDefault="00F12DBA" w:rsidP="00F12DBA">
            <w:pPr>
              <w:spacing w:before="0" w:after="0"/>
              <w:jc w:val="center"/>
              <w:rPr>
                <w:sz w:val="16"/>
                <w:szCs w:val="16"/>
              </w:rPr>
            </w:pPr>
            <w:r w:rsidRPr="00F12DBA">
              <w:rPr>
                <w:sz w:val="16"/>
                <w:szCs w:val="16"/>
              </w:rPr>
              <w:t>41</w:t>
            </w:r>
          </w:p>
        </w:tc>
        <w:tc>
          <w:tcPr>
            <w:tcW w:w="650" w:type="dxa"/>
            <w:tcBorders>
              <w:top w:val="nil"/>
              <w:left w:val="nil"/>
              <w:bottom w:val="single" w:sz="4" w:space="0" w:color="auto"/>
              <w:right w:val="nil"/>
            </w:tcBorders>
            <w:shd w:val="clear" w:color="auto" w:fill="F3F9FA"/>
            <w:noWrap/>
            <w:vAlign w:val="bottom"/>
            <w:hideMark/>
          </w:tcPr>
          <w:p w14:paraId="53074E52" w14:textId="4BF3F8FB" w:rsidR="00F12DBA" w:rsidRPr="00F12DBA" w:rsidRDefault="00F12DBA" w:rsidP="00F12DBA">
            <w:pPr>
              <w:spacing w:before="0" w:after="0"/>
              <w:jc w:val="center"/>
              <w:rPr>
                <w:sz w:val="16"/>
                <w:szCs w:val="16"/>
              </w:rPr>
            </w:pPr>
            <w:r w:rsidRPr="00F12DBA">
              <w:rPr>
                <w:sz w:val="16"/>
                <w:szCs w:val="16"/>
              </w:rPr>
              <w:t>0</w:t>
            </w:r>
          </w:p>
        </w:tc>
      </w:tr>
      <w:tr w:rsidR="00F12DBA" w:rsidRPr="005D23BF" w14:paraId="51CBF09C" w14:textId="77777777" w:rsidTr="006F4537">
        <w:trPr>
          <w:jc w:val="center"/>
        </w:trPr>
        <w:tc>
          <w:tcPr>
            <w:tcW w:w="1388" w:type="dxa"/>
            <w:noWrap/>
            <w:vAlign w:val="bottom"/>
          </w:tcPr>
          <w:p w14:paraId="776E9447" w14:textId="77777777" w:rsidR="00F12DBA" w:rsidRPr="005D23BF" w:rsidRDefault="00F12DBA" w:rsidP="00F12DBA">
            <w:pPr>
              <w:spacing w:before="0" w:after="0"/>
              <w:rPr>
                <w:sz w:val="16"/>
                <w:szCs w:val="16"/>
              </w:rPr>
            </w:pPr>
          </w:p>
        </w:tc>
        <w:tc>
          <w:tcPr>
            <w:tcW w:w="1117" w:type="dxa"/>
            <w:tcBorders>
              <w:top w:val="single" w:sz="4" w:space="0" w:color="auto"/>
              <w:left w:val="nil"/>
              <w:bottom w:val="nil"/>
              <w:right w:val="nil"/>
            </w:tcBorders>
            <w:shd w:val="clear" w:color="auto" w:fill="E7F3F4"/>
            <w:noWrap/>
            <w:vAlign w:val="bottom"/>
            <w:hideMark/>
          </w:tcPr>
          <w:p w14:paraId="683B4D52" w14:textId="77777777" w:rsidR="00F12DBA" w:rsidRPr="005D23BF" w:rsidRDefault="00F12DBA" w:rsidP="00F12DBA">
            <w:pPr>
              <w:spacing w:before="0" w:after="0"/>
              <w:jc w:val="center"/>
              <w:rPr>
                <w:sz w:val="16"/>
                <w:szCs w:val="16"/>
              </w:rPr>
            </w:pPr>
            <w:r w:rsidRPr="005D23BF">
              <w:rPr>
                <w:sz w:val="16"/>
                <w:szCs w:val="16"/>
              </w:rPr>
              <w:t>Green Island</w:t>
            </w:r>
          </w:p>
        </w:tc>
        <w:tc>
          <w:tcPr>
            <w:tcW w:w="588" w:type="dxa"/>
            <w:tcBorders>
              <w:top w:val="single" w:sz="4" w:space="0" w:color="auto"/>
              <w:left w:val="nil"/>
              <w:bottom w:val="nil"/>
              <w:right w:val="nil"/>
            </w:tcBorders>
            <w:shd w:val="clear" w:color="auto" w:fill="E7F3F4"/>
            <w:noWrap/>
            <w:vAlign w:val="bottom"/>
            <w:hideMark/>
          </w:tcPr>
          <w:p w14:paraId="4612216C" w14:textId="77777777" w:rsidR="00F12DBA" w:rsidRPr="005D23BF" w:rsidRDefault="00F12DBA" w:rsidP="00F12DBA">
            <w:pPr>
              <w:spacing w:before="0" w:after="0"/>
              <w:jc w:val="center"/>
              <w:rPr>
                <w:sz w:val="16"/>
                <w:szCs w:val="16"/>
              </w:rPr>
            </w:pPr>
            <w:r w:rsidRPr="005D23BF">
              <w:rPr>
                <w:sz w:val="16"/>
                <w:szCs w:val="16"/>
              </w:rPr>
              <w:t>GI1</w:t>
            </w:r>
          </w:p>
        </w:tc>
        <w:tc>
          <w:tcPr>
            <w:tcW w:w="951" w:type="dxa"/>
            <w:tcBorders>
              <w:top w:val="single" w:sz="4" w:space="0" w:color="auto"/>
              <w:left w:val="nil"/>
              <w:bottom w:val="nil"/>
              <w:right w:val="nil"/>
            </w:tcBorders>
            <w:shd w:val="clear" w:color="auto" w:fill="E7F3F4"/>
            <w:noWrap/>
            <w:vAlign w:val="bottom"/>
            <w:hideMark/>
          </w:tcPr>
          <w:p w14:paraId="409915E2" w14:textId="6F51F409" w:rsidR="00F12DBA" w:rsidRPr="005D23BF" w:rsidRDefault="00F12DBA" w:rsidP="00F12DBA">
            <w:pPr>
              <w:spacing w:before="0" w:after="0"/>
              <w:jc w:val="center"/>
              <w:rPr>
                <w:sz w:val="16"/>
                <w:szCs w:val="16"/>
              </w:rPr>
            </w:pPr>
            <w:r>
              <w:rPr>
                <w:sz w:val="16"/>
                <w:szCs w:val="16"/>
              </w:rPr>
              <w:t>01-Jul-16</w:t>
            </w:r>
          </w:p>
        </w:tc>
        <w:tc>
          <w:tcPr>
            <w:tcW w:w="815" w:type="dxa"/>
            <w:tcBorders>
              <w:top w:val="single" w:sz="4" w:space="0" w:color="auto"/>
              <w:left w:val="nil"/>
              <w:bottom w:val="nil"/>
              <w:right w:val="nil"/>
            </w:tcBorders>
            <w:shd w:val="clear" w:color="auto" w:fill="E7F3F4"/>
            <w:noWrap/>
            <w:vAlign w:val="bottom"/>
          </w:tcPr>
          <w:p w14:paraId="4BE95D49" w14:textId="71FFB8E7" w:rsidR="00F12DBA" w:rsidRPr="00F12DBA" w:rsidRDefault="00F12DBA" w:rsidP="00F12DBA">
            <w:pPr>
              <w:spacing w:before="0" w:after="0"/>
              <w:jc w:val="center"/>
              <w:rPr>
                <w:sz w:val="16"/>
                <w:szCs w:val="16"/>
              </w:rPr>
            </w:pPr>
            <w:r w:rsidRPr="00F12DBA">
              <w:rPr>
                <w:sz w:val="16"/>
                <w:szCs w:val="16"/>
              </w:rPr>
              <w:t>39.6</w:t>
            </w:r>
          </w:p>
        </w:tc>
        <w:tc>
          <w:tcPr>
            <w:tcW w:w="823" w:type="dxa"/>
            <w:tcBorders>
              <w:top w:val="single" w:sz="4" w:space="0" w:color="auto"/>
              <w:left w:val="nil"/>
              <w:bottom w:val="nil"/>
              <w:right w:val="nil"/>
            </w:tcBorders>
            <w:shd w:val="clear" w:color="auto" w:fill="E7F3F4"/>
            <w:noWrap/>
            <w:vAlign w:val="bottom"/>
          </w:tcPr>
          <w:p w14:paraId="52AC9FB9" w14:textId="21A512AF" w:rsidR="00F12DBA" w:rsidRPr="00F12DBA" w:rsidRDefault="00F12DBA" w:rsidP="00F12DBA">
            <w:pPr>
              <w:spacing w:before="0" w:after="0"/>
              <w:jc w:val="center"/>
              <w:rPr>
                <w:sz w:val="16"/>
                <w:szCs w:val="16"/>
              </w:rPr>
            </w:pPr>
            <w:r w:rsidRPr="00F12DBA">
              <w:rPr>
                <w:sz w:val="16"/>
                <w:szCs w:val="16"/>
              </w:rPr>
              <w:t>40</w:t>
            </w:r>
          </w:p>
        </w:tc>
        <w:tc>
          <w:tcPr>
            <w:tcW w:w="888" w:type="dxa"/>
            <w:tcBorders>
              <w:top w:val="single" w:sz="4" w:space="0" w:color="auto"/>
              <w:left w:val="nil"/>
              <w:bottom w:val="nil"/>
              <w:right w:val="nil"/>
            </w:tcBorders>
            <w:shd w:val="clear" w:color="auto" w:fill="E7F3F4"/>
            <w:noWrap/>
            <w:vAlign w:val="bottom"/>
            <w:hideMark/>
          </w:tcPr>
          <w:p w14:paraId="43784CC1" w14:textId="77A4AF9D" w:rsidR="00F12DBA" w:rsidRPr="00F12DBA" w:rsidRDefault="00F12DBA" w:rsidP="00F12DBA">
            <w:pPr>
              <w:spacing w:before="0" w:after="0"/>
              <w:jc w:val="center"/>
              <w:rPr>
                <w:sz w:val="16"/>
                <w:szCs w:val="16"/>
              </w:rPr>
            </w:pPr>
            <w:r w:rsidRPr="00F12DBA">
              <w:rPr>
                <w:sz w:val="16"/>
                <w:szCs w:val="16"/>
              </w:rPr>
              <w:t>32.5</w:t>
            </w:r>
          </w:p>
        </w:tc>
        <w:tc>
          <w:tcPr>
            <w:tcW w:w="888" w:type="dxa"/>
            <w:tcBorders>
              <w:top w:val="single" w:sz="4" w:space="0" w:color="auto"/>
              <w:left w:val="nil"/>
              <w:bottom w:val="nil"/>
              <w:right w:val="nil"/>
            </w:tcBorders>
            <w:shd w:val="clear" w:color="auto" w:fill="E7F3F4"/>
            <w:noWrap/>
            <w:vAlign w:val="bottom"/>
            <w:hideMark/>
          </w:tcPr>
          <w:p w14:paraId="79256C11" w14:textId="7938EFAA" w:rsidR="00F12DBA" w:rsidRPr="00F12DBA" w:rsidRDefault="00F12DBA" w:rsidP="00F12DBA">
            <w:pPr>
              <w:spacing w:before="0" w:after="0"/>
              <w:jc w:val="center"/>
              <w:rPr>
                <w:sz w:val="16"/>
                <w:szCs w:val="16"/>
              </w:rPr>
            </w:pPr>
            <w:r w:rsidRPr="00F12DBA">
              <w:rPr>
                <w:sz w:val="16"/>
                <w:szCs w:val="16"/>
              </w:rPr>
              <w:t>42.7</w:t>
            </w:r>
          </w:p>
        </w:tc>
        <w:tc>
          <w:tcPr>
            <w:tcW w:w="888" w:type="dxa"/>
            <w:tcBorders>
              <w:top w:val="single" w:sz="4" w:space="0" w:color="auto"/>
              <w:left w:val="nil"/>
              <w:bottom w:val="nil"/>
              <w:right w:val="nil"/>
            </w:tcBorders>
            <w:shd w:val="clear" w:color="auto" w:fill="E7F3F4"/>
            <w:noWrap/>
            <w:vAlign w:val="bottom"/>
            <w:hideMark/>
          </w:tcPr>
          <w:p w14:paraId="2BAFADDB" w14:textId="331204AB" w:rsidR="00F12DBA" w:rsidRPr="00F12DBA" w:rsidRDefault="00F12DBA" w:rsidP="00F12DBA">
            <w:pPr>
              <w:spacing w:before="0" w:after="0"/>
              <w:jc w:val="center"/>
              <w:rPr>
                <w:sz w:val="16"/>
                <w:szCs w:val="16"/>
              </w:rPr>
            </w:pPr>
            <w:r w:rsidRPr="00F12DBA">
              <w:rPr>
                <w:sz w:val="16"/>
                <w:szCs w:val="16"/>
              </w:rPr>
              <w:t>45.5</w:t>
            </w:r>
          </w:p>
        </w:tc>
        <w:tc>
          <w:tcPr>
            <w:tcW w:w="650" w:type="dxa"/>
            <w:tcBorders>
              <w:top w:val="single" w:sz="4" w:space="0" w:color="auto"/>
              <w:left w:val="nil"/>
              <w:bottom w:val="nil"/>
              <w:right w:val="nil"/>
            </w:tcBorders>
            <w:shd w:val="clear" w:color="auto" w:fill="E7F3F4"/>
            <w:noWrap/>
            <w:vAlign w:val="bottom"/>
          </w:tcPr>
          <w:p w14:paraId="0DAD70C5" w14:textId="0D6F083F" w:rsidR="00F12DBA" w:rsidRPr="00F12DBA" w:rsidRDefault="00F12DBA" w:rsidP="00F12DBA">
            <w:pPr>
              <w:spacing w:before="0" w:after="0"/>
              <w:jc w:val="center"/>
              <w:rPr>
                <w:sz w:val="16"/>
                <w:szCs w:val="16"/>
              </w:rPr>
            </w:pPr>
            <w:r w:rsidRPr="00F12DBA">
              <w:rPr>
                <w:sz w:val="16"/>
                <w:szCs w:val="16"/>
              </w:rPr>
              <w:t>50</w:t>
            </w:r>
          </w:p>
        </w:tc>
      </w:tr>
      <w:tr w:rsidR="00F12DBA" w:rsidRPr="005D23BF" w14:paraId="44BEF7FC" w14:textId="77777777" w:rsidTr="006F4537">
        <w:trPr>
          <w:jc w:val="center"/>
        </w:trPr>
        <w:tc>
          <w:tcPr>
            <w:tcW w:w="1388" w:type="dxa"/>
            <w:noWrap/>
            <w:vAlign w:val="bottom"/>
          </w:tcPr>
          <w:p w14:paraId="17DA6F9C" w14:textId="77777777" w:rsidR="00F12DBA" w:rsidRPr="005D23BF" w:rsidRDefault="00F12DBA" w:rsidP="00F12DBA">
            <w:pPr>
              <w:spacing w:before="0" w:after="0"/>
              <w:rPr>
                <w:sz w:val="16"/>
                <w:szCs w:val="16"/>
              </w:rPr>
            </w:pPr>
          </w:p>
        </w:tc>
        <w:tc>
          <w:tcPr>
            <w:tcW w:w="1117" w:type="dxa"/>
            <w:shd w:val="clear" w:color="auto" w:fill="E7F3F4"/>
            <w:noWrap/>
            <w:vAlign w:val="bottom"/>
          </w:tcPr>
          <w:p w14:paraId="31F86C78" w14:textId="77777777" w:rsidR="00F12DBA" w:rsidRPr="005D23BF" w:rsidRDefault="00F12DBA" w:rsidP="00F12DBA">
            <w:pPr>
              <w:spacing w:before="0" w:after="0"/>
              <w:jc w:val="center"/>
              <w:rPr>
                <w:sz w:val="16"/>
                <w:szCs w:val="16"/>
              </w:rPr>
            </w:pPr>
          </w:p>
        </w:tc>
        <w:tc>
          <w:tcPr>
            <w:tcW w:w="588" w:type="dxa"/>
            <w:shd w:val="clear" w:color="auto" w:fill="E7F3F4"/>
            <w:noWrap/>
            <w:vAlign w:val="bottom"/>
            <w:hideMark/>
          </w:tcPr>
          <w:p w14:paraId="2266054C" w14:textId="77777777" w:rsidR="00F12DBA" w:rsidRPr="005D23BF" w:rsidRDefault="00F12DBA" w:rsidP="00F12DBA">
            <w:pPr>
              <w:spacing w:before="0" w:after="0"/>
              <w:jc w:val="center"/>
              <w:rPr>
                <w:sz w:val="16"/>
                <w:szCs w:val="16"/>
              </w:rPr>
            </w:pPr>
            <w:r w:rsidRPr="005D23BF">
              <w:rPr>
                <w:sz w:val="16"/>
                <w:szCs w:val="16"/>
              </w:rPr>
              <w:t>GI1</w:t>
            </w:r>
          </w:p>
        </w:tc>
        <w:tc>
          <w:tcPr>
            <w:tcW w:w="951" w:type="dxa"/>
            <w:shd w:val="clear" w:color="auto" w:fill="E7F3F4"/>
            <w:noWrap/>
            <w:vAlign w:val="bottom"/>
            <w:hideMark/>
          </w:tcPr>
          <w:p w14:paraId="3EE5F5F2" w14:textId="054CD99B" w:rsidR="00F12DBA" w:rsidRPr="005D23BF" w:rsidRDefault="00F12DBA" w:rsidP="00F12DBA">
            <w:pPr>
              <w:spacing w:before="0" w:after="0"/>
              <w:jc w:val="center"/>
              <w:rPr>
                <w:sz w:val="16"/>
                <w:szCs w:val="16"/>
              </w:rPr>
            </w:pPr>
            <w:r>
              <w:rPr>
                <w:sz w:val="16"/>
                <w:szCs w:val="16"/>
              </w:rPr>
              <w:t>01-Oct-16</w:t>
            </w:r>
          </w:p>
        </w:tc>
        <w:tc>
          <w:tcPr>
            <w:tcW w:w="815" w:type="dxa"/>
            <w:shd w:val="clear" w:color="auto" w:fill="E7F3F4"/>
            <w:noWrap/>
            <w:vAlign w:val="bottom"/>
          </w:tcPr>
          <w:p w14:paraId="17192DBE" w14:textId="370F0EEB" w:rsidR="00F12DBA" w:rsidRPr="00F12DBA" w:rsidRDefault="00F12DBA" w:rsidP="00F12DBA">
            <w:pPr>
              <w:spacing w:before="0" w:after="0"/>
              <w:jc w:val="center"/>
              <w:rPr>
                <w:sz w:val="16"/>
                <w:szCs w:val="16"/>
              </w:rPr>
            </w:pPr>
            <w:r w:rsidRPr="00F12DBA">
              <w:rPr>
                <w:sz w:val="16"/>
                <w:szCs w:val="16"/>
              </w:rPr>
              <w:t>46.0</w:t>
            </w:r>
          </w:p>
        </w:tc>
        <w:tc>
          <w:tcPr>
            <w:tcW w:w="823" w:type="dxa"/>
            <w:shd w:val="clear" w:color="auto" w:fill="E7F3F4"/>
            <w:noWrap/>
            <w:vAlign w:val="bottom"/>
          </w:tcPr>
          <w:p w14:paraId="3BFC89EC" w14:textId="654DB5E9" w:rsidR="00F12DBA" w:rsidRPr="00F12DBA" w:rsidRDefault="00F12DBA" w:rsidP="00F12DBA">
            <w:pPr>
              <w:spacing w:before="0" w:after="0"/>
              <w:jc w:val="center"/>
              <w:rPr>
                <w:sz w:val="16"/>
                <w:szCs w:val="16"/>
              </w:rPr>
            </w:pPr>
            <w:r w:rsidRPr="00F12DBA">
              <w:rPr>
                <w:sz w:val="16"/>
                <w:szCs w:val="16"/>
              </w:rPr>
              <w:t>43</w:t>
            </w:r>
          </w:p>
        </w:tc>
        <w:tc>
          <w:tcPr>
            <w:tcW w:w="888" w:type="dxa"/>
            <w:shd w:val="clear" w:color="auto" w:fill="E7F3F4"/>
            <w:noWrap/>
            <w:vAlign w:val="bottom"/>
            <w:hideMark/>
          </w:tcPr>
          <w:p w14:paraId="6243E98A" w14:textId="0B7CBAF0" w:rsidR="00F12DBA" w:rsidRPr="00F12DBA" w:rsidRDefault="00F12DBA" w:rsidP="00F12DBA">
            <w:pPr>
              <w:spacing w:before="0" w:after="0"/>
              <w:jc w:val="center"/>
              <w:rPr>
                <w:sz w:val="16"/>
                <w:szCs w:val="16"/>
              </w:rPr>
            </w:pPr>
            <w:r w:rsidRPr="00F12DBA">
              <w:rPr>
                <w:sz w:val="16"/>
                <w:szCs w:val="16"/>
              </w:rPr>
              <w:t>32.5</w:t>
            </w:r>
          </w:p>
        </w:tc>
        <w:tc>
          <w:tcPr>
            <w:tcW w:w="888" w:type="dxa"/>
            <w:shd w:val="clear" w:color="auto" w:fill="E7F3F4"/>
            <w:noWrap/>
            <w:vAlign w:val="bottom"/>
            <w:hideMark/>
          </w:tcPr>
          <w:p w14:paraId="626345EC" w14:textId="182FF653" w:rsidR="00F12DBA" w:rsidRPr="00F12DBA" w:rsidRDefault="00F12DBA" w:rsidP="00F12DBA">
            <w:pPr>
              <w:spacing w:before="0" w:after="0"/>
              <w:jc w:val="center"/>
              <w:rPr>
                <w:sz w:val="16"/>
                <w:szCs w:val="16"/>
              </w:rPr>
            </w:pPr>
            <w:r w:rsidRPr="00F12DBA">
              <w:rPr>
                <w:sz w:val="16"/>
                <w:szCs w:val="16"/>
              </w:rPr>
              <w:t>42.7</w:t>
            </w:r>
          </w:p>
        </w:tc>
        <w:tc>
          <w:tcPr>
            <w:tcW w:w="888" w:type="dxa"/>
            <w:shd w:val="clear" w:color="auto" w:fill="E7F3F4"/>
            <w:noWrap/>
            <w:vAlign w:val="bottom"/>
            <w:hideMark/>
          </w:tcPr>
          <w:p w14:paraId="157E5311" w14:textId="218D6ED5" w:rsidR="00F12DBA" w:rsidRPr="00F12DBA" w:rsidRDefault="00F12DBA" w:rsidP="00F12DBA">
            <w:pPr>
              <w:spacing w:before="0" w:after="0"/>
              <w:jc w:val="center"/>
              <w:rPr>
                <w:sz w:val="16"/>
                <w:szCs w:val="16"/>
              </w:rPr>
            </w:pPr>
            <w:r w:rsidRPr="00F12DBA">
              <w:rPr>
                <w:sz w:val="16"/>
                <w:szCs w:val="16"/>
              </w:rPr>
              <w:t>45.5</w:t>
            </w:r>
          </w:p>
        </w:tc>
        <w:tc>
          <w:tcPr>
            <w:tcW w:w="650" w:type="dxa"/>
            <w:shd w:val="clear" w:color="auto" w:fill="E7F3F4"/>
            <w:noWrap/>
            <w:vAlign w:val="bottom"/>
          </w:tcPr>
          <w:p w14:paraId="2A456EF8" w14:textId="6EDBF570" w:rsidR="00F12DBA" w:rsidRPr="00F12DBA" w:rsidRDefault="00F12DBA" w:rsidP="00F12DBA">
            <w:pPr>
              <w:spacing w:before="0" w:after="0"/>
              <w:jc w:val="center"/>
              <w:rPr>
                <w:sz w:val="16"/>
                <w:szCs w:val="16"/>
              </w:rPr>
            </w:pPr>
            <w:r w:rsidRPr="00F12DBA">
              <w:rPr>
                <w:sz w:val="16"/>
                <w:szCs w:val="16"/>
              </w:rPr>
              <w:t>75</w:t>
            </w:r>
          </w:p>
        </w:tc>
      </w:tr>
      <w:tr w:rsidR="00F12DBA" w:rsidRPr="005D23BF" w14:paraId="580FC350" w14:textId="77777777" w:rsidTr="006F4537">
        <w:trPr>
          <w:jc w:val="center"/>
        </w:trPr>
        <w:tc>
          <w:tcPr>
            <w:tcW w:w="1388" w:type="dxa"/>
            <w:noWrap/>
            <w:vAlign w:val="bottom"/>
          </w:tcPr>
          <w:p w14:paraId="6D3C5ADB" w14:textId="77777777" w:rsidR="00F12DBA" w:rsidRPr="005D23BF" w:rsidRDefault="00F12DBA" w:rsidP="00F12DBA">
            <w:pPr>
              <w:spacing w:before="0" w:after="0"/>
              <w:rPr>
                <w:sz w:val="16"/>
                <w:szCs w:val="16"/>
              </w:rPr>
            </w:pPr>
          </w:p>
        </w:tc>
        <w:tc>
          <w:tcPr>
            <w:tcW w:w="1117" w:type="dxa"/>
            <w:shd w:val="clear" w:color="auto" w:fill="E7F3F4"/>
            <w:noWrap/>
            <w:vAlign w:val="bottom"/>
          </w:tcPr>
          <w:p w14:paraId="3F767B5F" w14:textId="77777777" w:rsidR="00F12DBA" w:rsidRPr="005D23BF" w:rsidRDefault="00F12DBA" w:rsidP="00F12DBA">
            <w:pPr>
              <w:spacing w:before="0" w:after="0"/>
              <w:jc w:val="center"/>
              <w:rPr>
                <w:sz w:val="16"/>
                <w:szCs w:val="16"/>
              </w:rPr>
            </w:pPr>
          </w:p>
        </w:tc>
        <w:tc>
          <w:tcPr>
            <w:tcW w:w="588" w:type="dxa"/>
            <w:shd w:val="clear" w:color="auto" w:fill="E7F3F4"/>
            <w:noWrap/>
            <w:vAlign w:val="bottom"/>
            <w:hideMark/>
          </w:tcPr>
          <w:p w14:paraId="3F67B012" w14:textId="77777777" w:rsidR="00F12DBA" w:rsidRPr="005D23BF" w:rsidRDefault="00F12DBA" w:rsidP="00F12DBA">
            <w:pPr>
              <w:spacing w:before="0" w:after="0"/>
              <w:jc w:val="center"/>
              <w:rPr>
                <w:sz w:val="16"/>
                <w:szCs w:val="16"/>
              </w:rPr>
            </w:pPr>
            <w:r w:rsidRPr="005D23BF">
              <w:rPr>
                <w:sz w:val="16"/>
                <w:szCs w:val="16"/>
              </w:rPr>
              <w:t>GI1</w:t>
            </w:r>
          </w:p>
        </w:tc>
        <w:tc>
          <w:tcPr>
            <w:tcW w:w="951" w:type="dxa"/>
            <w:shd w:val="clear" w:color="auto" w:fill="E7F3F4"/>
            <w:noWrap/>
            <w:vAlign w:val="bottom"/>
            <w:hideMark/>
          </w:tcPr>
          <w:p w14:paraId="07DA8419" w14:textId="1698A5B9" w:rsidR="00F12DBA" w:rsidRPr="005D23BF" w:rsidRDefault="00F12DBA" w:rsidP="00F12DBA">
            <w:pPr>
              <w:spacing w:before="0" w:after="0"/>
              <w:jc w:val="center"/>
              <w:rPr>
                <w:sz w:val="16"/>
                <w:szCs w:val="16"/>
              </w:rPr>
            </w:pPr>
            <w:r>
              <w:rPr>
                <w:sz w:val="16"/>
                <w:szCs w:val="16"/>
              </w:rPr>
              <w:t>01-Jan-17</w:t>
            </w:r>
          </w:p>
        </w:tc>
        <w:tc>
          <w:tcPr>
            <w:tcW w:w="815" w:type="dxa"/>
            <w:shd w:val="clear" w:color="auto" w:fill="E7F3F4"/>
            <w:noWrap/>
            <w:vAlign w:val="bottom"/>
          </w:tcPr>
          <w:p w14:paraId="650A7996" w14:textId="1717861A" w:rsidR="00F12DBA" w:rsidRPr="00F12DBA" w:rsidRDefault="00F12DBA" w:rsidP="00F12DBA">
            <w:pPr>
              <w:spacing w:before="0" w:after="0"/>
              <w:jc w:val="center"/>
              <w:rPr>
                <w:sz w:val="16"/>
                <w:szCs w:val="16"/>
              </w:rPr>
            </w:pPr>
            <w:r w:rsidRPr="00F12DBA">
              <w:rPr>
                <w:sz w:val="16"/>
                <w:szCs w:val="16"/>
              </w:rPr>
              <w:t>47.1</w:t>
            </w:r>
          </w:p>
        </w:tc>
        <w:tc>
          <w:tcPr>
            <w:tcW w:w="823" w:type="dxa"/>
            <w:shd w:val="clear" w:color="auto" w:fill="E7F3F4"/>
            <w:noWrap/>
            <w:vAlign w:val="bottom"/>
          </w:tcPr>
          <w:p w14:paraId="5DE76CC5" w14:textId="6269A3AB" w:rsidR="00F12DBA" w:rsidRPr="00F12DBA" w:rsidRDefault="00F12DBA" w:rsidP="00F12DBA">
            <w:pPr>
              <w:spacing w:before="0" w:after="0"/>
              <w:jc w:val="center"/>
              <w:rPr>
                <w:sz w:val="16"/>
                <w:szCs w:val="16"/>
              </w:rPr>
            </w:pPr>
            <w:r w:rsidRPr="00F12DBA">
              <w:rPr>
                <w:sz w:val="16"/>
                <w:szCs w:val="16"/>
              </w:rPr>
              <w:t>46</w:t>
            </w:r>
          </w:p>
        </w:tc>
        <w:tc>
          <w:tcPr>
            <w:tcW w:w="888" w:type="dxa"/>
            <w:shd w:val="clear" w:color="auto" w:fill="E7F3F4"/>
            <w:noWrap/>
            <w:vAlign w:val="bottom"/>
            <w:hideMark/>
          </w:tcPr>
          <w:p w14:paraId="1244B662" w14:textId="10F0366F" w:rsidR="00F12DBA" w:rsidRPr="00F12DBA" w:rsidRDefault="00F12DBA" w:rsidP="00F12DBA">
            <w:pPr>
              <w:spacing w:before="0" w:after="0"/>
              <w:jc w:val="center"/>
              <w:rPr>
                <w:sz w:val="16"/>
                <w:szCs w:val="16"/>
              </w:rPr>
            </w:pPr>
            <w:r w:rsidRPr="00F12DBA">
              <w:rPr>
                <w:sz w:val="16"/>
                <w:szCs w:val="16"/>
              </w:rPr>
              <w:t>32.5</w:t>
            </w:r>
          </w:p>
        </w:tc>
        <w:tc>
          <w:tcPr>
            <w:tcW w:w="888" w:type="dxa"/>
            <w:shd w:val="clear" w:color="auto" w:fill="E7F3F4"/>
            <w:noWrap/>
            <w:vAlign w:val="bottom"/>
            <w:hideMark/>
          </w:tcPr>
          <w:p w14:paraId="711587E5" w14:textId="3F654013" w:rsidR="00F12DBA" w:rsidRPr="00F12DBA" w:rsidRDefault="00F12DBA" w:rsidP="00F12DBA">
            <w:pPr>
              <w:spacing w:before="0" w:after="0"/>
              <w:jc w:val="center"/>
              <w:rPr>
                <w:sz w:val="16"/>
                <w:szCs w:val="16"/>
              </w:rPr>
            </w:pPr>
            <w:r w:rsidRPr="00F12DBA">
              <w:rPr>
                <w:sz w:val="16"/>
                <w:szCs w:val="16"/>
              </w:rPr>
              <w:t>42.7</w:t>
            </w:r>
          </w:p>
        </w:tc>
        <w:tc>
          <w:tcPr>
            <w:tcW w:w="888" w:type="dxa"/>
            <w:shd w:val="clear" w:color="auto" w:fill="E7F3F4"/>
            <w:noWrap/>
            <w:vAlign w:val="bottom"/>
            <w:hideMark/>
          </w:tcPr>
          <w:p w14:paraId="620B422B" w14:textId="09EE815F" w:rsidR="00F12DBA" w:rsidRPr="00F12DBA" w:rsidRDefault="00F12DBA" w:rsidP="00F12DBA">
            <w:pPr>
              <w:spacing w:before="0" w:after="0"/>
              <w:jc w:val="center"/>
              <w:rPr>
                <w:sz w:val="16"/>
                <w:szCs w:val="16"/>
              </w:rPr>
            </w:pPr>
            <w:r w:rsidRPr="00F12DBA">
              <w:rPr>
                <w:sz w:val="16"/>
                <w:szCs w:val="16"/>
              </w:rPr>
              <w:t>45.5</w:t>
            </w:r>
          </w:p>
        </w:tc>
        <w:tc>
          <w:tcPr>
            <w:tcW w:w="650" w:type="dxa"/>
            <w:shd w:val="clear" w:color="auto" w:fill="E7F3F4"/>
            <w:noWrap/>
            <w:vAlign w:val="bottom"/>
          </w:tcPr>
          <w:p w14:paraId="64F64DB3" w14:textId="16ECB571" w:rsidR="00F12DBA" w:rsidRPr="00F12DBA" w:rsidRDefault="00F12DBA" w:rsidP="00F12DBA">
            <w:pPr>
              <w:spacing w:before="0" w:after="0"/>
              <w:jc w:val="center"/>
              <w:rPr>
                <w:sz w:val="16"/>
                <w:szCs w:val="16"/>
              </w:rPr>
            </w:pPr>
            <w:r w:rsidRPr="00F12DBA">
              <w:rPr>
                <w:sz w:val="16"/>
                <w:szCs w:val="16"/>
              </w:rPr>
              <w:t>100</w:t>
            </w:r>
          </w:p>
        </w:tc>
      </w:tr>
      <w:tr w:rsidR="00F12DBA" w:rsidRPr="005D23BF" w14:paraId="4806BB77" w14:textId="77777777" w:rsidTr="006F4537">
        <w:trPr>
          <w:jc w:val="center"/>
        </w:trPr>
        <w:tc>
          <w:tcPr>
            <w:tcW w:w="1388" w:type="dxa"/>
            <w:noWrap/>
            <w:vAlign w:val="bottom"/>
          </w:tcPr>
          <w:p w14:paraId="6FC4B47E" w14:textId="77777777" w:rsidR="00F12DBA" w:rsidRPr="005D23BF" w:rsidRDefault="00F12DBA" w:rsidP="00F12DBA">
            <w:pPr>
              <w:spacing w:before="0" w:after="0"/>
              <w:rPr>
                <w:sz w:val="16"/>
                <w:szCs w:val="16"/>
              </w:rPr>
            </w:pPr>
          </w:p>
        </w:tc>
        <w:tc>
          <w:tcPr>
            <w:tcW w:w="1117" w:type="dxa"/>
            <w:shd w:val="clear" w:color="auto" w:fill="E7F3F4"/>
            <w:noWrap/>
            <w:vAlign w:val="bottom"/>
          </w:tcPr>
          <w:p w14:paraId="684D3D35" w14:textId="77777777" w:rsidR="00F12DBA" w:rsidRPr="005D23BF" w:rsidRDefault="00F12DBA" w:rsidP="00F12DBA">
            <w:pPr>
              <w:spacing w:before="0" w:after="0"/>
              <w:jc w:val="center"/>
              <w:rPr>
                <w:sz w:val="16"/>
                <w:szCs w:val="16"/>
              </w:rPr>
            </w:pPr>
          </w:p>
        </w:tc>
        <w:tc>
          <w:tcPr>
            <w:tcW w:w="588" w:type="dxa"/>
            <w:shd w:val="clear" w:color="auto" w:fill="E7F3F4"/>
            <w:noWrap/>
            <w:vAlign w:val="bottom"/>
            <w:hideMark/>
          </w:tcPr>
          <w:p w14:paraId="7632089F" w14:textId="77777777" w:rsidR="00F12DBA" w:rsidRPr="005D23BF" w:rsidRDefault="00F12DBA" w:rsidP="00F12DBA">
            <w:pPr>
              <w:spacing w:before="0" w:after="0"/>
              <w:jc w:val="center"/>
              <w:rPr>
                <w:sz w:val="16"/>
                <w:szCs w:val="16"/>
              </w:rPr>
            </w:pPr>
            <w:r w:rsidRPr="005D23BF">
              <w:rPr>
                <w:sz w:val="16"/>
                <w:szCs w:val="16"/>
              </w:rPr>
              <w:t>GI1</w:t>
            </w:r>
          </w:p>
        </w:tc>
        <w:tc>
          <w:tcPr>
            <w:tcW w:w="951" w:type="dxa"/>
            <w:shd w:val="clear" w:color="auto" w:fill="E7F3F4"/>
            <w:noWrap/>
            <w:vAlign w:val="bottom"/>
            <w:hideMark/>
          </w:tcPr>
          <w:p w14:paraId="7881AAF4" w14:textId="06127706" w:rsidR="00F12DBA" w:rsidRPr="005D23BF" w:rsidRDefault="00F12DBA" w:rsidP="00F12DBA">
            <w:pPr>
              <w:spacing w:before="0" w:after="0"/>
              <w:jc w:val="center"/>
              <w:rPr>
                <w:sz w:val="16"/>
                <w:szCs w:val="16"/>
              </w:rPr>
            </w:pPr>
            <w:r>
              <w:rPr>
                <w:sz w:val="16"/>
                <w:szCs w:val="16"/>
              </w:rPr>
              <w:t>01-Apr-17</w:t>
            </w:r>
          </w:p>
        </w:tc>
        <w:tc>
          <w:tcPr>
            <w:tcW w:w="815" w:type="dxa"/>
            <w:shd w:val="clear" w:color="auto" w:fill="E7F3F4"/>
            <w:noWrap/>
            <w:vAlign w:val="bottom"/>
          </w:tcPr>
          <w:p w14:paraId="218841C3" w14:textId="2B099A13" w:rsidR="00F12DBA" w:rsidRPr="00F12DBA" w:rsidRDefault="00F12DBA" w:rsidP="00F12DBA">
            <w:pPr>
              <w:spacing w:before="0" w:after="0"/>
              <w:jc w:val="center"/>
              <w:rPr>
                <w:sz w:val="16"/>
                <w:szCs w:val="16"/>
              </w:rPr>
            </w:pPr>
            <w:r w:rsidRPr="00F12DBA">
              <w:rPr>
                <w:sz w:val="16"/>
                <w:szCs w:val="16"/>
              </w:rPr>
              <w:t>39.8</w:t>
            </w:r>
          </w:p>
        </w:tc>
        <w:tc>
          <w:tcPr>
            <w:tcW w:w="823" w:type="dxa"/>
            <w:shd w:val="clear" w:color="auto" w:fill="E7F3F4"/>
            <w:noWrap/>
            <w:vAlign w:val="bottom"/>
          </w:tcPr>
          <w:p w14:paraId="034F97B5" w14:textId="080F8688" w:rsidR="00F12DBA" w:rsidRPr="00F12DBA" w:rsidRDefault="00F12DBA" w:rsidP="00F12DBA">
            <w:pPr>
              <w:spacing w:before="0" w:after="0"/>
              <w:jc w:val="center"/>
              <w:rPr>
                <w:sz w:val="16"/>
                <w:szCs w:val="16"/>
              </w:rPr>
            </w:pPr>
            <w:r w:rsidRPr="00F12DBA">
              <w:rPr>
                <w:sz w:val="16"/>
                <w:szCs w:val="16"/>
              </w:rPr>
              <w:t>41</w:t>
            </w:r>
          </w:p>
        </w:tc>
        <w:tc>
          <w:tcPr>
            <w:tcW w:w="888" w:type="dxa"/>
            <w:shd w:val="clear" w:color="auto" w:fill="E7F3F4"/>
            <w:noWrap/>
            <w:vAlign w:val="bottom"/>
            <w:hideMark/>
          </w:tcPr>
          <w:p w14:paraId="1F7BA145" w14:textId="23B664DC" w:rsidR="00F12DBA" w:rsidRPr="00F12DBA" w:rsidRDefault="00F12DBA" w:rsidP="00F12DBA">
            <w:pPr>
              <w:spacing w:before="0" w:after="0"/>
              <w:jc w:val="center"/>
              <w:rPr>
                <w:sz w:val="16"/>
                <w:szCs w:val="16"/>
              </w:rPr>
            </w:pPr>
            <w:r w:rsidRPr="00F12DBA">
              <w:rPr>
                <w:sz w:val="16"/>
                <w:szCs w:val="16"/>
              </w:rPr>
              <w:t>32.5</w:t>
            </w:r>
          </w:p>
        </w:tc>
        <w:tc>
          <w:tcPr>
            <w:tcW w:w="888" w:type="dxa"/>
            <w:shd w:val="clear" w:color="auto" w:fill="E7F3F4"/>
            <w:noWrap/>
            <w:vAlign w:val="bottom"/>
            <w:hideMark/>
          </w:tcPr>
          <w:p w14:paraId="64E6957B" w14:textId="155381B9" w:rsidR="00F12DBA" w:rsidRPr="00F12DBA" w:rsidRDefault="00F12DBA" w:rsidP="00F12DBA">
            <w:pPr>
              <w:spacing w:before="0" w:after="0"/>
              <w:jc w:val="center"/>
              <w:rPr>
                <w:sz w:val="16"/>
                <w:szCs w:val="16"/>
              </w:rPr>
            </w:pPr>
            <w:r w:rsidRPr="00F12DBA">
              <w:rPr>
                <w:sz w:val="16"/>
                <w:szCs w:val="16"/>
              </w:rPr>
              <w:t>42.7</w:t>
            </w:r>
          </w:p>
        </w:tc>
        <w:tc>
          <w:tcPr>
            <w:tcW w:w="888" w:type="dxa"/>
            <w:shd w:val="clear" w:color="auto" w:fill="E7F3F4"/>
            <w:noWrap/>
            <w:vAlign w:val="bottom"/>
            <w:hideMark/>
          </w:tcPr>
          <w:p w14:paraId="7D01701D" w14:textId="1D8046AE" w:rsidR="00F12DBA" w:rsidRPr="00F12DBA" w:rsidRDefault="00F12DBA" w:rsidP="00F12DBA">
            <w:pPr>
              <w:spacing w:before="0" w:after="0"/>
              <w:jc w:val="center"/>
              <w:rPr>
                <w:sz w:val="16"/>
                <w:szCs w:val="16"/>
              </w:rPr>
            </w:pPr>
            <w:r w:rsidRPr="00F12DBA">
              <w:rPr>
                <w:sz w:val="16"/>
                <w:szCs w:val="16"/>
              </w:rPr>
              <w:t>45.5</w:t>
            </w:r>
          </w:p>
        </w:tc>
        <w:tc>
          <w:tcPr>
            <w:tcW w:w="650" w:type="dxa"/>
            <w:shd w:val="clear" w:color="auto" w:fill="E7F3F4"/>
            <w:noWrap/>
            <w:vAlign w:val="bottom"/>
          </w:tcPr>
          <w:p w14:paraId="3B36FFF9" w14:textId="513F9306" w:rsidR="00F12DBA" w:rsidRPr="00F12DBA" w:rsidRDefault="00F12DBA" w:rsidP="00F12DBA">
            <w:pPr>
              <w:spacing w:before="0" w:after="0"/>
              <w:jc w:val="center"/>
              <w:rPr>
                <w:sz w:val="16"/>
                <w:szCs w:val="16"/>
              </w:rPr>
            </w:pPr>
            <w:r w:rsidRPr="00F12DBA">
              <w:rPr>
                <w:sz w:val="16"/>
                <w:szCs w:val="16"/>
              </w:rPr>
              <w:t>50</w:t>
            </w:r>
          </w:p>
        </w:tc>
      </w:tr>
      <w:tr w:rsidR="00F12DBA" w:rsidRPr="005D23BF" w14:paraId="2DB949D4" w14:textId="77777777" w:rsidTr="006F4537">
        <w:trPr>
          <w:jc w:val="center"/>
        </w:trPr>
        <w:tc>
          <w:tcPr>
            <w:tcW w:w="1388" w:type="dxa"/>
            <w:noWrap/>
            <w:vAlign w:val="bottom"/>
          </w:tcPr>
          <w:p w14:paraId="45528D10" w14:textId="77777777" w:rsidR="00F12DBA" w:rsidRPr="005D23BF" w:rsidRDefault="00F12DBA" w:rsidP="00F12DBA">
            <w:pPr>
              <w:spacing w:before="0" w:after="0"/>
              <w:rPr>
                <w:sz w:val="16"/>
                <w:szCs w:val="16"/>
              </w:rPr>
            </w:pPr>
          </w:p>
        </w:tc>
        <w:tc>
          <w:tcPr>
            <w:tcW w:w="1117" w:type="dxa"/>
            <w:shd w:val="clear" w:color="auto" w:fill="E7F3F4"/>
            <w:noWrap/>
            <w:vAlign w:val="bottom"/>
          </w:tcPr>
          <w:p w14:paraId="0AFA6792" w14:textId="77777777" w:rsidR="00F12DBA" w:rsidRPr="005D23BF" w:rsidRDefault="00F12DBA" w:rsidP="00F12DBA">
            <w:pPr>
              <w:spacing w:before="0" w:after="0"/>
              <w:jc w:val="center"/>
              <w:rPr>
                <w:sz w:val="16"/>
                <w:szCs w:val="16"/>
              </w:rPr>
            </w:pPr>
          </w:p>
        </w:tc>
        <w:tc>
          <w:tcPr>
            <w:tcW w:w="588" w:type="dxa"/>
            <w:shd w:val="clear" w:color="auto" w:fill="E7F3F4"/>
            <w:noWrap/>
            <w:vAlign w:val="bottom"/>
            <w:hideMark/>
          </w:tcPr>
          <w:p w14:paraId="43640DD4" w14:textId="77777777" w:rsidR="00F12DBA" w:rsidRPr="005D23BF" w:rsidRDefault="00F12DBA" w:rsidP="00F12DBA">
            <w:pPr>
              <w:spacing w:before="0" w:after="0"/>
              <w:jc w:val="center"/>
              <w:rPr>
                <w:sz w:val="16"/>
                <w:szCs w:val="16"/>
              </w:rPr>
            </w:pPr>
            <w:r w:rsidRPr="005D23BF">
              <w:rPr>
                <w:sz w:val="16"/>
                <w:szCs w:val="16"/>
              </w:rPr>
              <w:t>GI2</w:t>
            </w:r>
          </w:p>
        </w:tc>
        <w:tc>
          <w:tcPr>
            <w:tcW w:w="951" w:type="dxa"/>
            <w:shd w:val="clear" w:color="auto" w:fill="E7F3F4"/>
            <w:noWrap/>
            <w:vAlign w:val="bottom"/>
            <w:hideMark/>
          </w:tcPr>
          <w:p w14:paraId="707343EC" w14:textId="217D95D8" w:rsidR="00F12DBA" w:rsidRPr="005D23BF" w:rsidRDefault="00F12DBA" w:rsidP="00F12DBA">
            <w:pPr>
              <w:spacing w:before="0" w:after="0"/>
              <w:jc w:val="center"/>
              <w:rPr>
                <w:sz w:val="16"/>
                <w:szCs w:val="16"/>
              </w:rPr>
            </w:pPr>
            <w:r>
              <w:rPr>
                <w:sz w:val="16"/>
                <w:szCs w:val="16"/>
              </w:rPr>
              <w:t>01-Jul-16</w:t>
            </w:r>
          </w:p>
        </w:tc>
        <w:tc>
          <w:tcPr>
            <w:tcW w:w="815" w:type="dxa"/>
            <w:shd w:val="clear" w:color="auto" w:fill="E7F3F4"/>
            <w:noWrap/>
            <w:vAlign w:val="bottom"/>
          </w:tcPr>
          <w:p w14:paraId="1101A0A2" w14:textId="60120717" w:rsidR="00F12DBA" w:rsidRPr="00F12DBA" w:rsidRDefault="00F12DBA" w:rsidP="00F12DBA">
            <w:pPr>
              <w:spacing w:before="0" w:after="0"/>
              <w:jc w:val="center"/>
              <w:rPr>
                <w:sz w:val="16"/>
                <w:szCs w:val="16"/>
              </w:rPr>
            </w:pPr>
            <w:r w:rsidRPr="00F12DBA">
              <w:rPr>
                <w:sz w:val="16"/>
                <w:szCs w:val="16"/>
              </w:rPr>
              <w:t>34.7</w:t>
            </w:r>
          </w:p>
        </w:tc>
        <w:tc>
          <w:tcPr>
            <w:tcW w:w="823" w:type="dxa"/>
            <w:shd w:val="clear" w:color="auto" w:fill="E7F3F4"/>
            <w:noWrap/>
            <w:vAlign w:val="bottom"/>
          </w:tcPr>
          <w:p w14:paraId="067C2FE9" w14:textId="562F3612" w:rsidR="00F12DBA" w:rsidRPr="00F12DBA" w:rsidRDefault="00F12DBA" w:rsidP="00F12DBA">
            <w:pPr>
              <w:spacing w:before="0" w:after="0"/>
              <w:jc w:val="center"/>
              <w:rPr>
                <w:sz w:val="16"/>
                <w:szCs w:val="16"/>
              </w:rPr>
            </w:pPr>
            <w:r w:rsidRPr="00F12DBA">
              <w:rPr>
                <w:sz w:val="16"/>
                <w:szCs w:val="16"/>
              </w:rPr>
              <w:t>34</w:t>
            </w:r>
          </w:p>
        </w:tc>
        <w:tc>
          <w:tcPr>
            <w:tcW w:w="888" w:type="dxa"/>
            <w:shd w:val="clear" w:color="auto" w:fill="E7F3F4"/>
            <w:noWrap/>
            <w:vAlign w:val="bottom"/>
            <w:hideMark/>
          </w:tcPr>
          <w:p w14:paraId="6546B4F1" w14:textId="0F64524F" w:rsidR="00F12DBA" w:rsidRPr="00F12DBA" w:rsidRDefault="00F12DBA" w:rsidP="00F12DBA">
            <w:pPr>
              <w:spacing w:before="0" w:after="0"/>
              <w:jc w:val="center"/>
              <w:rPr>
                <w:sz w:val="16"/>
                <w:szCs w:val="16"/>
              </w:rPr>
            </w:pPr>
            <w:r w:rsidRPr="00F12DBA">
              <w:rPr>
                <w:sz w:val="16"/>
                <w:szCs w:val="16"/>
              </w:rPr>
              <w:t>22.5</w:t>
            </w:r>
          </w:p>
        </w:tc>
        <w:tc>
          <w:tcPr>
            <w:tcW w:w="888" w:type="dxa"/>
            <w:shd w:val="clear" w:color="auto" w:fill="E7F3F4"/>
            <w:noWrap/>
            <w:vAlign w:val="bottom"/>
            <w:hideMark/>
          </w:tcPr>
          <w:p w14:paraId="64985D56" w14:textId="6CD0881E" w:rsidR="00F12DBA" w:rsidRPr="00F12DBA" w:rsidRDefault="00F12DBA" w:rsidP="00F12DBA">
            <w:pPr>
              <w:spacing w:before="0" w:after="0"/>
              <w:jc w:val="center"/>
              <w:rPr>
                <w:sz w:val="16"/>
                <w:szCs w:val="16"/>
              </w:rPr>
            </w:pPr>
            <w:r w:rsidRPr="00F12DBA">
              <w:rPr>
                <w:sz w:val="16"/>
                <w:szCs w:val="16"/>
              </w:rPr>
              <w:t>32.7</w:t>
            </w:r>
          </w:p>
        </w:tc>
        <w:tc>
          <w:tcPr>
            <w:tcW w:w="888" w:type="dxa"/>
            <w:shd w:val="clear" w:color="auto" w:fill="E7F3F4"/>
            <w:noWrap/>
            <w:vAlign w:val="bottom"/>
            <w:hideMark/>
          </w:tcPr>
          <w:p w14:paraId="444199A3" w14:textId="6603DB35" w:rsidR="00F12DBA" w:rsidRPr="00F12DBA" w:rsidRDefault="00F12DBA" w:rsidP="00F12DBA">
            <w:pPr>
              <w:spacing w:before="0" w:after="0"/>
              <w:jc w:val="center"/>
              <w:rPr>
                <w:sz w:val="16"/>
                <w:szCs w:val="16"/>
              </w:rPr>
            </w:pPr>
            <w:r w:rsidRPr="00F12DBA">
              <w:rPr>
                <w:sz w:val="16"/>
                <w:szCs w:val="16"/>
              </w:rPr>
              <w:t>36.7</w:t>
            </w:r>
          </w:p>
        </w:tc>
        <w:tc>
          <w:tcPr>
            <w:tcW w:w="650" w:type="dxa"/>
            <w:shd w:val="clear" w:color="auto" w:fill="E7F3F4"/>
            <w:noWrap/>
            <w:vAlign w:val="bottom"/>
          </w:tcPr>
          <w:p w14:paraId="23AFE38C" w14:textId="609563F2" w:rsidR="00F12DBA" w:rsidRPr="00F12DBA" w:rsidRDefault="00F12DBA" w:rsidP="00F12DBA">
            <w:pPr>
              <w:spacing w:before="0" w:after="0"/>
              <w:jc w:val="center"/>
              <w:rPr>
                <w:sz w:val="16"/>
                <w:szCs w:val="16"/>
              </w:rPr>
            </w:pPr>
            <w:r w:rsidRPr="00F12DBA">
              <w:rPr>
                <w:sz w:val="16"/>
                <w:szCs w:val="16"/>
              </w:rPr>
              <w:t>75</w:t>
            </w:r>
          </w:p>
        </w:tc>
      </w:tr>
      <w:tr w:rsidR="00F12DBA" w:rsidRPr="005D23BF" w14:paraId="60A55916" w14:textId="77777777" w:rsidTr="006F4537">
        <w:trPr>
          <w:jc w:val="center"/>
        </w:trPr>
        <w:tc>
          <w:tcPr>
            <w:tcW w:w="1388" w:type="dxa"/>
            <w:noWrap/>
            <w:vAlign w:val="bottom"/>
          </w:tcPr>
          <w:p w14:paraId="385206EF" w14:textId="77777777" w:rsidR="00F12DBA" w:rsidRPr="005D23BF" w:rsidRDefault="00F12DBA" w:rsidP="00F12DBA">
            <w:pPr>
              <w:spacing w:before="0" w:after="0"/>
              <w:rPr>
                <w:sz w:val="16"/>
                <w:szCs w:val="16"/>
              </w:rPr>
            </w:pPr>
          </w:p>
        </w:tc>
        <w:tc>
          <w:tcPr>
            <w:tcW w:w="1117" w:type="dxa"/>
            <w:shd w:val="clear" w:color="auto" w:fill="E7F3F4"/>
            <w:noWrap/>
            <w:vAlign w:val="bottom"/>
          </w:tcPr>
          <w:p w14:paraId="3DE0CC27" w14:textId="77777777" w:rsidR="00F12DBA" w:rsidRPr="005D23BF" w:rsidRDefault="00F12DBA" w:rsidP="00F12DBA">
            <w:pPr>
              <w:spacing w:before="0" w:after="0"/>
              <w:jc w:val="center"/>
              <w:rPr>
                <w:sz w:val="16"/>
                <w:szCs w:val="16"/>
              </w:rPr>
            </w:pPr>
          </w:p>
        </w:tc>
        <w:tc>
          <w:tcPr>
            <w:tcW w:w="588" w:type="dxa"/>
            <w:shd w:val="clear" w:color="auto" w:fill="E7F3F4"/>
            <w:noWrap/>
            <w:vAlign w:val="bottom"/>
            <w:hideMark/>
          </w:tcPr>
          <w:p w14:paraId="7404B906" w14:textId="77777777" w:rsidR="00F12DBA" w:rsidRPr="005D23BF" w:rsidRDefault="00F12DBA" w:rsidP="00F12DBA">
            <w:pPr>
              <w:spacing w:before="0" w:after="0"/>
              <w:jc w:val="center"/>
              <w:rPr>
                <w:sz w:val="16"/>
                <w:szCs w:val="16"/>
              </w:rPr>
            </w:pPr>
            <w:r w:rsidRPr="005D23BF">
              <w:rPr>
                <w:sz w:val="16"/>
                <w:szCs w:val="16"/>
              </w:rPr>
              <w:t>GI2</w:t>
            </w:r>
          </w:p>
        </w:tc>
        <w:tc>
          <w:tcPr>
            <w:tcW w:w="951" w:type="dxa"/>
            <w:shd w:val="clear" w:color="auto" w:fill="E7F3F4"/>
            <w:noWrap/>
            <w:vAlign w:val="bottom"/>
            <w:hideMark/>
          </w:tcPr>
          <w:p w14:paraId="743B189B" w14:textId="5DCA44DF" w:rsidR="00F12DBA" w:rsidRPr="005D23BF" w:rsidRDefault="00F12DBA" w:rsidP="00F12DBA">
            <w:pPr>
              <w:spacing w:before="0" w:after="0"/>
              <w:jc w:val="center"/>
              <w:rPr>
                <w:sz w:val="16"/>
                <w:szCs w:val="16"/>
              </w:rPr>
            </w:pPr>
            <w:r>
              <w:rPr>
                <w:sz w:val="16"/>
                <w:szCs w:val="16"/>
              </w:rPr>
              <w:t>01-Oct-16</w:t>
            </w:r>
          </w:p>
        </w:tc>
        <w:tc>
          <w:tcPr>
            <w:tcW w:w="815" w:type="dxa"/>
            <w:shd w:val="clear" w:color="auto" w:fill="E7F3F4"/>
            <w:noWrap/>
            <w:vAlign w:val="bottom"/>
          </w:tcPr>
          <w:p w14:paraId="1A2BF510" w14:textId="46A1F464" w:rsidR="00F12DBA" w:rsidRPr="00F12DBA" w:rsidRDefault="00F12DBA" w:rsidP="00F12DBA">
            <w:pPr>
              <w:spacing w:before="0" w:after="0"/>
              <w:jc w:val="center"/>
              <w:rPr>
                <w:sz w:val="16"/>
                <w:szCs w:val="16"/>
              </w:rPr>
            </w:pPr>
            <w:r w:rsidRPr="00F12DBA">
              <w:rPr>
                <w:sz w:val="16"/>
                <w:szCs w:val="16"/>
              </w:rPr>
              <w:t>36.8</w:t>
            </w:r>
          </w:p>
        </w:tc>
        <w:tc>
          <w:tcPr>
            <w:tcW w:w="823" w:type="dxa"/>
            <w:shd w:val="clear" w:color="auto" w:fill="E7F3F4"/>
            <w:noWrap/>
            <w:vAlign w:val="bottom"/>
          </w:tcPr>
          <w:p w14:paraId="236518F1" w14:textId="29E1628B" w:rsidR="00F12DBA" w:rsidRPr="00F12DBA" w:rsidRDefault="00F12DBA" w:rsidP="00F12DBA">
            <w:pPr>
              <w:spacing w:before="0" w:after="0"/>
              <w:jc w:val="center"/>
              <w:rPr>
                <w:sz w:val="16"/>
                <w:szCs w:val="16"/>
              </w:rPr>
            </w:pPr>
            <w:r w:rsidRPr="00F12DBA">
              <w:rPr>
                <w:sz w:val="16"/>
                <w:szCs w:val="16"/>
              </w:rPr>
              <w:t>37</w:t>
            </w:r>
          </w:p>
        </w:tc>
        <w:tc>
          <w:tcPr>
            <w:tcW w:w="888" w:type="dxa"/>
            <w:shd w:val="clear" w:color="auto" w:fill="E7F3F4"/>
            <w:noWrap/>
            <w:vAlign w:val="bottom"/>
            <w:hideMark/>
          </w:tcPr>
          <w:p w14:paraId="787A9CE1" w14:textId="5818A3D7" w:rsidR="00F12DBA" w:rsidRPr="00F12DBA" w:rsidRDefault="00F12DBA" w:rsidP="00F12DBA">
            <w:pPr>
              <w:spacing w:before="0" w:after="0"/>
              <w:jc w:val="center"/>
              <w:rPr>
                <w:sz w:val="16"/>
                <w:szCs w:val="16"/>
              </w:rPr>
            </w:pPr>
            <w:r w:rsidRPr="00F12DBA">
              <w:rPr>
                <w:sz w:val="16"/>
                <w:szCs w:val="16"/>
              </w:rPr>
              <w:t>22.5</w:t>
            </w:r>
          </w:p>
        </w:tc>
        <w:tc>
          <w:tcPr>
            <w:tcW w:w="888" w:type="dxa"/>
            <w:shd w:val="clear" w:color="auto" w:fill="E7F3F4"/>
            <w:noWrap/>
            <w:vAlign w:val="bottom"/>
            <w:hideMark/>
          </w:tcPr>
          <w:p w14:paraId="12E160F2" w14:textId="259F8840" w:rsidR="00F12DBA" w:rsidRPr="00F12DBA" w:rsidRDefault="00F12DBA" w:rsidP="00F12DBA">
            <w:pPr>
              <w:spacing w:before="0" w:after="0"/>
              <w:jc w:val="center"/>
              <w:rPr>
                <w:sz w:val="16"/>
                <w:szCs w:val="16"/>
              </w:rPr>
            </w:pPr>
            <w:r w:rsidRPr="00F12DBA">
              <w:rPr>
                <w:sz w:val="16"/>
                <w:szCs w:val="16"/>
              </w:rPr>
              <w:t>32.7</w:t>
            </w:r>
          </w:p>
        </w:tc>
        <w:tc>
          <w:tcPr>
            <w:tcW w:w="888" w:type="dxa"/>
            <w:shd w:val="clear" w:color="auto" w:fill="E7F3F4"/>
            <w:noWrap/>
            <w:vAlign w:val="bottom"/>
            <w:hideMark/>
          </w:tcPr>
          <w:p w14:paraId="6B50EB78" w14:textId="0C6B69C9" w:rsidR="00F12DBA" w:rsidRPr="00F12DBA" w:rsidRDefault="00F12DBA" w:rsidP="00F12DBA">
            <w:pPr>
              <w:spacing w:before="0" w:after="0"/>
              <w:jc w:val="center"/>
              <w:rPr>
                <w:sz w:val="16"/>
                <w:szCs w:val="16"/>
              </w:rPr>
            </w:pPr>
            <w:r w:rsidRPr="00F12DBA">
              <w:rPr>
                <w:sz w:val="16"/>
                <w:szCs w:val="16"/>
              </w:rPr>
              <w:t>36.7</w:t>
            </w:r>
          </w:p>
        </w:tc>
        <w:tc>
          <w:tcPr>
            <w:tcW w:w="650" w:type="dxa"/>
            <w:shd w:val="clear" w:color="auto" w:fill="E7F3F4"/>
            <w:noWrap/>
            <w:vAlign w:val="bottom"/>
          </w:tcPr>
          <w:p w14:paraId="1A664658" w14:textId="3B83347A" w:rsidR="00F12DBA" w:rsidRPr="00F12DBA" w:rsidRDefault="00F12DBA" w:rsidP="00F12DBA">
            <w:pPr>
              <w:spacing w:before="0" w:after="0"/>
              <w:jc w:val="center"/>
              <w:rPr>
                <w:sz w:val="16"/>
                <w:szCs w:val="16"/>
              </w:rPr>
            </w:pPr>
            <w:r w:rsidRPr="00F12DBA">
              <w:rPr>
                <w:sz w:val="16"/>
                <w:szCs w:val="16"/>
              </w:rPr>
              <w:t>100</w:t>
            </w:r>
          </w:p>
        </w:tc>
      </w:tr>
      <w:tr w:rsidR="00F12DBA" w:rsidRPr="005D23BF" w14:paraId="74DFD530" w14:textId="77777777" w:rsidTr="006F4537">
        <w:trPr>
          <w:jc w:val="center"/>
        </w:trPr>
        <w:tc>
          <w:tcPr>
            <w:tcW w:w="1388" w:type="dxa"/>
            <w:noWrap/>
            <w:vAlign w:val="bottom"/>
          </w:tcPr>
          <w:p w14:paraId="425786E5" w14:textId="77777777" w:rsidR="00F12DBA" w:rsidRPr="005D23BF" w:rsidRDefault="00F12DBA" w:rsidP="00F12DBA">
            <w:pPr>
              <w:spacing w:before="0" w:after="0"/>
              <w:rPr>
                <w:sz w:val="16"/>
                <w:szCs w:val="16"/>
              </w:rPr>
            </w:pPr>
          </w:p>
        </w:tc>
        <w:tc>
          <w:tcPr>
            <w:tcW w:w="1117" w:type="dxa"/>
            <w:shd w:val="clear" w:color="auto" w:fill="E7F3F4"/>
            <w:noWrap/>
            <w:vAlign w:val="bottom"/>
          </w:tcPr>
          <w:p w14:paraId="32DEDA3B" w14:textId="77777777" w:rsidR="00F12DBA" w:rsidRPr="005D23BF" w:rsidRDefault="00F12DBA" w:rsidP="00F12DBA">
            <w:pPr>
              <w:spacing w:before="0" w:after="0"/>
              <w:jc w:val="center"/>
              <w:rPr>
                <w:sz w:val="16"/>
                <w:szCs w:val="16"/>
              </w:rPr>
            </w:pPr>
          </w:p>
        </w:tc>
        <w:tc>
          <w:tcPr>
            <w:tcW w:w="588" w:type="dxa"/>
            <w:shd w:val="clear" w:color="auto" w:fill="E7F3F4"/>
            <w:noWrap/>
            <w:vAlign w:val="bottom"/>
            <w:hideMark/>
          </w:tcPr>
          <w:p w14:paraId="2A66D783" w14:textId="77777777" w:rsidR="00F12DBA" w:rsidRPr="005D23BF" w:rsidRDefault="00F12DBA" w:rsidP="00F12DBA">
            <w:pPr>
              <w:spacing w:before="0" w:after="0"/>
              <w:jc w:val="center"/>
              <w:rPr>
                <w:sz w:val="16"/>
                <w:szCs w:val="16"/>
              </w:rPr>
            </w:pPr>
            <w:r w:rsidRPr="005D23BF">
              <w:rPr>
                <w:sz w:val="16"/>
                <w:szCs w:val="16"/>
              </w:rPr>
              <w:t>GI2</w:t>
            </w:r>
          </w:p>
        </w:tc>
        <w:tc>
          <w:tcPr>
            <w:tcW w:w="951" w:type="dxa"/>
            <w:shd w:val="clear" w:color="auto" w:fill="E7F3F4"/>
            <w:noWrap/>
            <w:vAlign w:val="bottom"/>
            <w:hideMark/>
          </w:tcPr>
          <w:p w14:paraId="46667A68" w14:textId="0E598663" w:rsidR="00F12DBA" w:rsidRPr="005D23BF" w:rsidRDefault="00F12DBA" w:rsidP="00F12DBA">
            <w:pPr>
              <w:spacing w:before="0" w:after="0"/>
              <w:jc w:val="center"/>
              <w:rPr>
                <w:sz w:val="16"/>
                <w:szCs w:val="16"/>
              </w:rPr>
            </w:pPr>
            <w:r>
              <w:rPr>
                <w:sz w:val="16"/>
                <w:szCs w:val="16"/>
              </w:rPr>
              <w:t>01-Jan-17</w:t>
            </w:r>
          </w:p>
        </w:tc>
        <w:tc>
          <w:tcPr>
            <w:tcW w:w="815" w:type="dxa"/>
            <w:shd w:val="clear" w:color="auto" w:fill="E7F3F4"/>
            <w:noWrap/>
            <w:vAlign w:val="bottom"/>
          </w:tcPr>
          <w:p w14:paraId="6472BC00" w14:textId="78999BC5" w:rsidR="00F12DBA" w:rsidRPr="00F12DBA" w:rsidRDefault="00F12DBA" w:rsidP="00F12DBA">
            <w:pPr>
              <w:spacing w:before="0" w:after="0"/>
              <w:jc w:val="center"/>
              <w:rPr>
                <w:sz w:val="16"/>
                <w:szCs w:val="16"/>
              </w:rPr>
            </w:pPr>
            <w:r w:rsidRPr="00F12DBA">
              <w:rPr>
                <w:sz w:val="16"/>
                <w:szCs w:val="16"/>
              </w:rPr>
              <w:t>41.0</w:t>
            </w:r>
          </w:p>
        </w:tc>
        <w:tc>
          <w:tcPr>
            <w:tcW w:w="823" w:type="dxa"/>
            <w:shd w:val="clear" w:color="auto" w:fill="E7F3F4"/>
            <w:noWrap/>
            <w:vAlign w:val="bottom"/>
          </w:tcPr>
          <w:p w14:paraId="20A32C23" w14:textId="0492B045" w:rsidR="00F12DBA" w:rsidRPr="00F12DBA" w:rsidRDefault="00F12DBA" w:rsidP="00F12DBA">
            <w:pPr>
              <w:spacing w:before="0" w:after="0"/>
              <w:jc w:val="center"/>
              <w:rPr>
                <w:sz w:val="16"/>
                <w:szCs w:val="16"/>
              </w:rPr>
            </w:pPr>
            <w:r w:rsidRPr="00F12DBA">
              <w:rPr>
                <w:sz w:val="16"/>
                <w:szCs w:val="16"/>
              </w:rPr>
              <w:t>37</w:t>
            </w:r>
          </w:p>
        </w:tc>
        <w:tc>
          <w:tcPr>
            <w:tcW w:w="888" w:type="dxa"/>
            <w:shd w:val="clear" w:color="auto" w:fill="E7F3F4"/>
            <w:noWrap/>
            <w:vAlign w:val="bottom"/>
            <w:hideMark/>
          </w:tcPr>
          <w:p w14:paraId="2EE0EFEA" w14:textId="0EA2F47E" w:rsidR="00F12DBA" w:rsidRPr="00F12DBA" w:rsidRDefault="00F12DBA" w:rsidP="00F12DBA">
            <w:pPr>
              <w:spacing w:before="0" w:after="0"/>
              <w:jc w:val="center"/>
              <w:rPr>
                <w:sz w:val="16"/>
                <w:szCs w:val="16"/>
              </w:rPr>
            </w:pPr>
            <w:r w:rsidRPr="00F12DBA">
              <w:rPr>
                <w:sz w:val="16"/>
                <w:szCs w:val="16"/>
              </w:rPr>
              <w:t>22.5</w:t>
            </w:r>
          </w:p>
        </w:tc>
        <w:tc>
          <w:tcPr>
            <w:tcW w:w="888" w:type="dxa"/>
            <w:shd w:val="clear" w:color="auto" w:fill="E7F3F4"/>
            <w:noWrap/>
            <w:vAlign w:val="bottom"/>
            <w:hideMark/>
          </w:tcPr>
          <w:p w14:paraId="0660BC81" w14:textId="00B71BEA" w:rsidR="00F12DBA" w:rsidRPr="00F12DBA" w:rsidRDefault="00F12DBA" w:rsidP="00F12DBA">
            <w:pPr>
              <w:spacing w:before="0" w:after="0"/>
              <w:jc w:val="center"/>
              <w:rPr>
                <w:sz w:val="16"/>
                <w:szCs w:val="16"/>
              </w:rPr>
            </w:pPr>
            <w:r w:rsidRPr="00F12DBA">
              <w:rPr>
                <w:sz w:val="16"/>
                <w:szCs w:val="16"/>
              </w:rPr>
              <w:t>32.7</w:t>
            </w:r>
          </w:p>
        </w:tc>
        <w:tc>
          <w:tcPr>
            <w:tcW w:w="888" w:type="dxa"/>
            <w:shd w:val="clear" w:color="auto" w:fill="E7F3F4"/>
            <w:noWrap/>
            <w:vAlign w:val="bottom"/>
            <w:hideMark/>
          </w:tcPr>
          <w:p w14:paraId="482C41D5" w14:textId="74C0BF2D" w:rsidR="00F12DBA" w:rsidRPr="00F12DBA" w:rsidRDefault="00F12DBA" w:rsidP="00F12DBA">
            <w:pPr>
              <w:spacing w:before="0" w:after="0"/>
              <w:jc w:val="center"/>
              <w:rPr>
                <w:sz w:val="16"/>
                <w:szCs w:val="16"/>
              </w:rPr>
            </w:pPr>
            <w:r w:rsidRPr="00F12DBA">
              <w:rPr>
                <w:sz w:val="16"/>
                <w:szCs w:val="16"/>
              </w:rPr>
              <w:t>36.7</w:t>
            </w:r>
          </w:p>
        </w:tc>
        <w:tc>
          <w:tcPr>
            <w:tcW w:w="650" w:type="dxa"/>
            <w:shd w:val="clear" w:color="auto" w:fill="E7F3F4"/>
            <w:noWrap/>
            <w:vAlign w:val="bottom"/>
          </w:tcPr>
          <w:p w14:paraId="64E65F38" w14:textId="57A5EDD5" w:rsidR="00F12DBA" w:rsidRPr="00F12DBA" w:rsidRDefault="00F12DBA" w:rsidP="00F12DBA">
            <w:pPr>
              <w:spacing w:before="0" w:after="0"/>
              <w:jc w:val="center"/>
              <w:rPr>
                <w:sz w:val="16"/>
                <w:szCs w:val="16"/>
              </w:rPr>
            </w:pPr>
            <w:r w:rsidRPr="00F12DBA">
              <w:rPr>
                <w:sz w:val="16"/>
                <w:szCs w:val="16"/>
              </w:rPr>
              <w:t>100</w:t>
            </w:r>
          </w:p>
        </w:tc>
      </w:tr>
      <w:tr w:rsidR="00F12DBA" w:rsidRPr="005D23BF" w14:paraId="0EB5A868" w14:textId="77777777" w:rsidTr="006F4537">
        <w:trPr>
          <w:jc w:val="center"/>
        </w:trPr>
        <w:tc>
          <w:tcPr>
            <w:tcW w:w="1388" w:type="dxa"/>
            <w:noWrap/>
            <w:vAlign w:val="bottom"/>
          </w:tcPr>
          <w:p w14:paraId="4A027737" w14:textId="77777777" w:rsidR="00F12DBA" w:rsidRPr="005D23BF"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E7F3F4"/>
            <w:noWrap/>
            <w:vAlign w:val="bottom"/>
          </w:tcPr>
          <w:p w14:paraId="5BA45EA8" w14:textId="77777777" w:rsidR="00F12DBA" w:rsidRPr="005D23BF" w:rsidRDefault="00F12DBA" w:rsidP="00F12DBA">
            <w:pPr>
              <w:spacing w:before="0" w:after="0"/>
              <w:jc w:val="center"/>
              <w:rPr>
                <w:sz w:val="16"/>
                <w:szCs w:val="16"/>
              </w:rPr>
            </w:pPr>
          </w:p>
        </w:tc>
        <w:tc>
          <w:tcPr>
            <w:tcW w:w="588" w:type="dxa"/>
            <w:tcBorders>
              <w:top w:val="nil"/>
              <w:left w:val="nil"/>
              <w:bottom w:val="single" w:sz="4" w:space="0" w:color="auto"/>
              <w:right w:val="nil"/>
            </w:tcBorders>
            <w:shd w:val="clear" w:color="auto" w:fill="E7F3F4"/>
            <w:noWrap/>
            <w:vAlign w:val="bottom"/>
            <w:hideMark/>
          </w:tcPr>
          <w:p w14:paraId="4BD03F87" w14:textId="77777777" w:rsidR="00F12DBA" w:rsidRPr="005D23BF" w:rsidRDefault="00F12DBA" w:rsidP="00F12DBA">
            <w:pPr>
              <w:spacing w:before="0" w:after="0"/>
              <w:jc w:val="center"/>
              <w:rPr>
                <w:sz w:val="16"/>
                <w:szCs w:val="16"/>
              </w:rPr>
            </w:pPr>
            <w:r w:rsidRPr="005D23BF">
              <w:rPr>
                <w:sz w:val="16"/>
                <w:szCs w:val="16"/>
              </w:rPr>
              <w:t>GI2</w:t>
            </w:r>
          </w:p>
        </w:tc>
        <w:tc>
          <w:tcPr>
            <w:tcW w:w="951" w:type="dxa"/>
            <w:tcBorders>
              <w:top w:val="nil"/>
              <w:left w:val="nil"/>
              <w:bottom w:val="single" w:sz="4" w:space="0" w:color="auto"/>
              <w:right w:val="nil"/>
            </w:tcBorders>
            <w:shd w:val="clear" w:color="auto" w:fill="E7F3F4"/>
            <w:noWrap/>
            <w:vAlign w:val="bottom"/>
            <w:hideMark/>
          </w:tcPr>
          <w:p w14:paraId="0F21F87C" w14:textId="606D7E91" w:rsidR="00F12DBA" w:rsidRPr="005D23BF" w:rsidRDefault="00F12DBA" w:rsidP="00F12DBA">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tcPr>
          <w:p w14:paraId="254669BE" w14:textId="47719280" w:rsidR="00F12DBA" w:rsidRPr="00F12DBA" w:rsidRDefault="00F12DBA" w:rsidP="00F12DBA">
            <w:pPr>
              <w:spacing w:before="0" w:after="0"/>
              <w:jc w:val="center"/>
              <w:rPr>
                <w:sz w:val="16"/>
                <w:szCs w:val="16"/>
              </w:rPr>
            </w:pPr>
            <w:r w:rsidRPr="00F12DBA">
              <w:rPr>
                <w:sz w:val="16"/>
                <w:szCs w:val="16"/>
              </w:rPr>
              <w:t>29.9</w:t>
            </w:r>
          </w:p>
        </w:tc>
        <w:tc>
          <w:tcPr>
            <w:tcW w:w="823" w:type="dxa"/>
            <w:tcBorders>
              <w:top w:val="nil"/>
              <w:left w:val="nil"/>
              <w:bottom w:val="single" w:sz="4" w:space="0" w:color="auto"/>
              <w:right w:val="nil"/>
            </w:tcBorders>
            <w:shd w:val="clear" w:color="auto" w:fill="E7F3F4"/>
            <w:noWrap/>
            <w:vAlign w:val="bottom"/>
          </w:tcPr>
          <w:p w14:paraId="19535672" w14:textId="18CAE3C9" w:rsidR="00F12DBA" w:rsidRPr="00F12DBA" w:rsidRDefault="00F12DBA" w:rsidP="00F12DBA">
            <w:pPr>
              <w:spacing w:before="0" w:after="0"/>
              <w:jc w:val="center"/>
              <w:rPr>
                <w:sz w:val="16"/>
                <w:szCs w:val="16"/>
              </w:rPr>
            </w:pPr>
            <w:r w:rsidRPr="00F12DBA">
              <w:rPr>
                <w:sz w:val="16"/>
                <w:szCs w:val="16"/>
              </w:rPr>
              <w:t>33</w:t>
            </w:r>
          </w:p>
        </w:tc>
        <w:tc>
          <w:tcPr>
            <w:tcW w:w="888" w:type="dxa"/>
            <w:tcBorders>
              <w:top w:val="nil"/>
              <w:left w:val="nil"/>
              <w:bottom w:val="single" w:sz="4" w:space="0" w:color="auto"/>
              <w:right w:val="nil"/>
            </w:tcBorders>
            <w:shd w:val="clear" w:color="auto" w:fill="E7F3F4"/>
            <w:noWrap/>
            <w:vAlign w:val="bottom"/>
            <w:hideMark/>
          </w:tcPr>
          <w:p w14:paraId="2D2824A3" w14:textId="73B493AF" w:rsidR="00F12DBA" w:rsidRPr="00F12DBA" w:rsidRDefault="00F12DBA" w:rsidP="00F12DBA">
            <w:pPr>
              <w:spacing w:before="0" w:after="0"/>
              <w:jc w:val="center"/>
              <w:rPr>
                <w:sz w:val="16"/>
                <w:szCs w:val="16"/>
              </w:rPr>
            </w:pPr>
            <w:r w:rsidRPr="00F12DBA">
              <w:rPr>
                <w:sz w:val="16"/>
                <w:szCs w:val="16"/>
              </w:rPr>
              <w:t>22.5</w:t>
            </w:r>
          </w:p>
        </w:tc>
        <w:tc>
          <w:tcPr>
            <w:tcW w:w="888" w:type="dxa"/>
            <w:tcBorders>
              <w:top w:val="nil"/>
              <w:left w:val="nil"/>
              <w:bottom w:val="single" w:sz="4" w:space="0" w:color="auto"/>
              <w:right w:val="nil"/>
            </w:tcBorders>
            <w:shd w:val="clear" w:color="auto" w:fill="E7F3F4"/>
            <w:noWrap/>
            <w:vAlign w:val="bottom"/>
            <w:hideMark/>
          </w:tcPr>
          <w:p w14:paraId="78125728" w14:textId="1FBED499" w:rsidR="00F12DBA" w:rsidRPr="00F12DBA" w:rsidRDefault="00F12DBA" w:rsidP="00F12DBA">
            <w:pPr>
              <w:spacing w:before="0" w:after="0"/>
              <w:jc w:val="center"/>
              <w:rPr>
                <w:sz w:val="16"/>
                <w:szCs w:val="16"/>
              </w:rPr>
            </w:pPr>
            <w:r w:rsidRPr="00F12DBA">
              <w:rPr>
                <w:sz w:val="16"/>
                <w:szCs w:val="16"/>
              </w:rPr>
              <w:t>32.7</w:t>
            </w:r>
          </w:p>
        </w:tc>
        <w:tc>
          <w:tcPr>
            <w:tcW w:w="888" w:type="dxa"/>
            <w:tcBorders>
              <w:top w:val="nil"/>
              <w:left w:val="nil"/>
              <w:bottom w:val="single" w:sz="4" w:space="0" w:color="auto"/>
              <w:right w:val="nil"/>
            </w:tcBorders>
            <w:shd w:val="clear" w:color="auto" w:fill="E7F3F4"/>
            <w:noWrap/>
            <w:vAlign w:val="bottom"/>
            <w:hideMark/>
          </w:tcPr>
          <w:p w14:paraId="72A6807B" w14:textId="3BCC074B" w:rsidR="00F12DBA" w:rsidRPr="00F12DBA" w:rsidRDefault="00F12DBA" w:rsidP="00F12DBA">
            <w:pPr>
              <w:spacing w:before="0" w:after="0"/>
              <w:jc w:val="center"/>
              <w:rPr>
                <w:sz w:val="16"/>
                <w:szCs w:val="16"/>
              </w:rPr>
            </w:pPr>
            <w:r w:rsidRPr="00F12DBA">
              <w:rPr>
                <w:sz w:val="16"/>
                <w:szCs w:val="16"/>
              </w:rPr>
              <w:t>36.7</w:t>
            </w:r>
          </w:p>
        </w:tc>
        <w:tc>
          <w:tcPr>
            <w:tcW w:w="650" w:type="dxa"/>
            <w:tcBorders>
              <w:top w:val="nil"/>
              <w:left w:val="nil"/>
              <w:bottom w:val="single" w:sz="4" w:space="0" w:color="auto"/>
              <w:right w:val="nil"/>
            </w:tcBorders>
            <w:shd w:val="clear" w:color="auto" w:fill="E7F3F4"/>
            <w:noWrap/>
            <w:vAlign w:val="bottom"/>
          </w:tcPr>
          <w:p w14:paraId="789BDE8C" w14:textId="55406486" w:rsidR="00F12DBA" w:rsidRPr="00F12DBA" w:rsidRDefault="00F12DBA" w:rsidP="00F12DBA">
            <w:pPr>
              <w:spacing w:before="0" w:after="0"/>
              <w:jc w:val="center"/>
              <w:rPr>
                <w:sz w:val="16"/>
                <w:szCs w:val="16"/>
              </w:rPr>
            </w:pPr>
            <w:r w:rsidRPr="00F12DBA">
              <w:rPr>
                <w:sz w:val="16"/>
                <w:szCs w:val="16"/>
              </w:rPr>
              <w:t>75</w:t>
            </w:r>
          </w:p>
        </w:tc>
      </w:tr>
      <w:tr w:rsidR="00F12DBA" w:rsidRPr="00701A9E" w14:paraId="589A841A" w14:textId="77777777" w:rsidTr="006F4537">
        <w:trPr>
          <w:jc w:val="center"/>
        </w:trPr>
        <w:tc>
          <w:tcPr>
            <w:tcW w:w="1388" w:type="dxa"/>
            <w:noWrap/>
            <w:vAlign w:val="bottom"/>
          </w:tcPr>
          <w:p w14:paraId="6A0A67E2" w14:textId="77777777" w:rsidR="00F12DBA" w:rsidRPr="00701A9E" w:rsidRDefault="00F12DBA" w:rsidP="00F12DBA">
            <w:pPr>
              <w:spacing w:before="0" w:after="0"/>
              <w:rPr>
                <w:sz w:val="16"/>
                <w:szCs w:val="16"/>
              </w:rPr>
            </w:pPr>
          </w:p>
        </w:tc>
        <w:tc>
          <w:tcPr>
            <w:tcW w:w="1117" w:type="dxa"/>
            <w:tcBorders>
              <w:top w:val="single" w:sz="4" w:space="0" w:color="auto"/>
              <w:left w:val="nil"/>
              <w:bottom w:val="nil"/>
              <w:right w:val="nil"/>
            </w:tcBorders>
            <w:shd w:val="clear" w:color="auto" w:fill="F3F9FA"/>
            <w:noWrap/>
            <w:vAlign w:val="bottom"/>
            <w:hideMark/>
          </w:tcPr>
          <w:p w14:paraId="2C403B98" w14:textId="77777777" w:rsidR="00F12DBA" w:rsidRPr="00701A9E" w:rsidRDefault="00F12DBA" w:rsidP="00F12DBA">
            <w:pPr>
              <w:spacing w:before="0" w:after="0"/>
              <w:jc w:val="center"/>
              <w:rPr>
                <w:sz w:val="16"/>
                <w:szCs w:val="16"/>
              </w:rPr>
            </w:pPr>
            <w:r w:rsidRPr="00701A9E">
              <w:rPr>
                <w:sz w:val="16"/>
                <w:szCs w:val="16"/>
              </w:rPr>
              <w:t>Low Isles</w:t>
            </w:r>
          </w:p>
        </w:tc>
        <w:tc>
          <w:tcPr>
            <w:tcW w:w="588" w:type="dxa"/>
            <w:tcBorders>
              <w:top w:val="single" w:sz="4" w:space="0" w:color="auto"/>
              <w:left w:val="nil"/>
              <w:bottom w:val="nil"/>
              <w:right w:val="nil"/>
            </w:tcBorders>
            <w:shd w:val="clear" w:color="auto" w:fill="F3F9FA"/>
            <w:noWrap/>
            <w:vAlign w:val="bottom"/>
            <w:hideMark/>
          </w:tcPr>
          <w:p w14:paraId="373AFEAD" w14:textId="77777777" w:rsidR="00F12DBA" w:rsidRPr="00701A9E" w:rsidRDefault="00F12DBA" w:rsidP="00F12DBA">
            <w:pPr>
              <w:spacing w:before="0" w:after="0"/>
              <w:jc w:val="center"/>
              <w:rPr>
                <w:sz w:val="16"/>
                <w:szCs w:val="16"/>
              </w:rPr>
            </w:pPr>
            <w:r w:rsidRPr="00701A9E">
              <w:rPr>
                <w:sz w:val="16"/>
                <w:szCs w:val="16"/>
              </w:rPr>
              <w:t>LI1</w:t>
            </w:r>
          </w:p>
        </w:tc>
        <w:tc>
          <w:tcPr>
            <w:tcW w:w="951" w:type="dxa"/>
            <w:tcBorders>
              <w:top w:val="single" w:sz="4" w:space="0" w:color="auto"/>
              <w:left w:val="nil"/>
              <w:bottom w:val="nil"/>
              <w:right w:val="nil"/>
            </w:tcBorders>
            <w:shd w:val="clear" w:color="auto" w:fill="F3F9FA"/>
            <w:noWrap/>
            <w:vAlign w:val="bottom"/>
            <w:hideMark/>
          </w:tcPr>
          <w:p w14:paraId="6D48FF1F" w14:textId="64D78323" w:rsidR="00F12DBA" w:rsidRPr="00701A9E" w:rsidRDefault="00F12DBA" w:rsidP="00F12DBA">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F3F9FA"/>
            <w:noWrap/>
            <w:vAlign w:val="bottom"/>
          </w:tcPr>
          <w:p w14:paraId="24704505" w14:textId="21DD71CB" w:rsidR="00F12DBA" w:rsidRPr="00F12DBA" w:rsidRDefault="00F12DBA" w:rsidP="00F12DBA">
            <w:pPr>
              <w:spacing w:before="0" w:after="0"/>
              <w:jc w:val="center"/>
              <w:rPr>
                <w:sz w:val="16"/>
                <w:szCs w:val="16"/>
              </w:rPr>
            </w:pPr>
            <w:r w:rsidRPr="00F12DBA">
              <w:rPr>
                <w:sz w:val="16"/>
                <w:szCs w:val="16"/>
              </w:rPr>
              <w:t>1.2</w:t>
            </w:r>
          </w:p>
        </w:tc>
        <w:tc>
          <w:tcPr>
            <w:tcW w:w="823" w:type="dxa"/>
            <w:tcBorders>
              <w:top w:val="single" w:sz="4" w:space="0" w:color="auto"/>
              <w:left w:val="nil"/>
              <w:bottom w:val="nil"/>
              <w:right w:val="nil"/>
            </w:tcBorders>
            <w:shd w:val="clear" w:color="auto" w:fill="F3F9FA"/>
            <w:noWrap/>
            <w:vAlign w:val="bottom"/>
          </w:tcPr>
          <w:p w14:paraId="021494EE" w14:textId="433411EA" w:rsidR="00F12DBA" w:rsidRPr="00F12DBA" w:rsidRDefault="00F12DBA" w:rsidP="00F12DBA">
            <w:pPr>
              <w:spacing w:before="0" w:after="0"/>
              <w:jc w:val="center"/>
              <w:rPr>
                <w:sz w:val="16"/>
                <w:szCs w:val="16"/>
              </w:rPr>
            </w:pPr>
            <w:r w:rsidRPr="00F12DBA">
              <w:rPr>
                <w:sz w:val="16"/>
                <w:szCs w:val="16"/>
              </w:rPr>
              <w:t>0.5</w:t>
            </w:r>
          </w:p>
        </w:tc>
        <w:tc>
          <w:tcPr>
            <w:tcW w:w="888" w:type="dxa"/>
            <w:tcBorders>
              <w:top w:val="single" w:sz="4" w:space="0" w:color="auto"/>
              <w:left w:val="nil"/>
              <w:bottom w:val="nil"/>
              <w:right w:val="nil"/>
            </w:tcBorders>
            <w:shd w:val="clear" w:color="auto" w:fill="F3F9FA"/>
            <w:noWrap/>
            <w:vAlign w:val="bottom"/>
            <w:hideMark/>
          </w:tcPr>
          <w:p w14:paraId="6AA22635" w14:textId="798C4AD9" w:rsidR="00F12DBA" w:rsidRPr="00F12DBA" w:rsidRDefault="00F12DBA" w:rsidP="00F12DBA">
            <w:pPr>
              <w:spacing w:before="0" w:after="0"/>
              <w:jc w:val="center"/>
              <w:rPr>
                <w:sz w:val="16"/>
                <w:szCs w:val="16"/>
              </w:rPr>
            </w:pPr>
            <w:r w:rsidRPr="00F12DBA">
              <w:rPr>
                <w:sz w:val="16"/>
                <w:szCs w:val="16"/>
              </w:rPr>
              <w:t>27.5</w:t>
            </w:r>
          </w:p>
        </w:tc>
        <w:tc>
          <w:tcPr>
            <w:tcW w:w="888" w:type="dxa"/>
            <w:tcBorders>
              <w:top w:val="single" w:sz="4" w:space="0" w:color="auto"/>
              <w:left w:val="nil"/>
              <w:bottom w:val="nil"/>
              <w:right w:val="nil"/>
            </w:tcBorders>
            <w:shd w:val="clear" w:color="auto" w:fill="F3F9FA"/>
            <w:noWrap/>
            <w:vAlign w:val="bottom"/>
            <w:hideMark/>
          </w:tcPr>
          <w:p w14:paraId="69A09E7D" w14:textId="745CD32B" w:rsidR="00F12DBA" w:rsidRPr="00F12DBA" w:rsidRDefault="00F12DBA" w:rsidP="00F12DBA">
            <w:pPr>
              <w:spacing w:before="0" w:after="0"/>
              <w:jc w:val="center"/>
              <w:rPr>
                <w:sz w:val="16"/>
                <w:szCs w:val="16"/>
              </w:rPr>
            </w:pPr>
            <w:r w:rsidRPr="00F12DBA">
              <w:rPr>
                <w:sz w:val="16"/>
                <w:szCs w:val="16"/>
              </w:rPr>
              <w:t>37.7</w:t>
            </w:r>
          </w:p>
        </w:tc>
        <w:tc>
          <w:tcPr>
            <w:tcW w:w="888" w:type="dxa"/>
            <w:tcBorders>
              <w:top w:val="single" w:sz="4" w:space="0" w:color="auto"/>
              <w:left w:val="nil"/>
              <w:bottom w:val="nil"/>
              <w:right w:val="nil"/>
            </w:tcBorders>
            <w:shd w:val="clear" w:color="auto" w:fill="F3F9FA"/>
            <w:noWrap/>
            <w:vAlign w:val="bottom"/>
            <w:hideMark/>
          </w:tcPr>
          <w:p w14:paraId="51ED0D15" w14:textId="248E9521" w:rsidR="00F12DBA" w:rsidRPr="00F12DBA" w:rsidRDefault="00F12DBA" w:rsidP="00F12DBA">
            <w:pPr>
              <w:spacing w:before="0" w:after="0"/>
              <w:jc w:val="center"/>
              <w:rPr>
                <w:sz w:val="16"/>
                <w:szCs w:val="16"/>
              </w:rPr>
            </w:pPr>
            <w:r w:rsidRPr="00F12DBA">
              <w:rPr>
                <w:sz w:val="16"/>
                <w:szCs w:val="16"/>
              </w:rPr>
              <w:t>41</w:t>
            </w:r>
          </w:p>
        </w:tc>
        <w:tc>
          <w:tcPr>
            <w:tcW w:w="650" w:type="dxa"/>
            <w:tcBorders>
              <w:top w:val="single" w:sz="4" w:space="0" w:color="auto"/>
              <w:left w:val="nil"/>
              <w:bottom w:val="nil"/>
              <w:right w:val="nil"/>
            </w:tcBorders>
            <w:shd w:val="clear" w:color="auto" w:fill="F3F9FA"/>
            <w:noWrap/>
            <w:vAlign w:val="bottom"/>
          </w:tcPr>
          <w:p w14:paraId="0E1BB925" w14:textId="358E8BA6" w:rsidR="00F12DBA" w:rsidRPr="00F12DBA" w:rsidRDefault="00F12DBA" w:rsidP="00F12DBA">
            <w:pPr>
              <w:spacing w:before="0" w:after="0"/>
              <w:jc w:val="center"/>
              <w:rPr>
                <w:sz w:val="16"/>
                <w:szCs w:val="16"/>
              </w:rPr>
            </w:pPr>
            <w:r w:rsidRPr="00F12DBA">
              <w:rPr>
                <w:sz w:val="16"/>
                <w:szCs w:val="16"/>
              </w:rPr>
              <w:t>0</w:t>
            </w:r>
          </w:p>
        </w:tc>
      </w:tr>
      <w:tr w:rsidR="00F12DBA" w:rsidRPr="00701A9E" w14:paraId="5EC9A9A2" w14:textId="77777777" w:rsidTr="006F4537">
        <w:trPr>
          <w:jc w:val="center"/>
        </w:trPr>
        <w:tc>
          <w:tcPr>
            <w:tcW w:w="1388" w:type="dxa"/>
            <w:tcBorders>
              <w:top w:val="nil"/>
              <w:left w:val="nil"/>
              <w:right w:val="nil"/>
            </w:tcBorders>
            <w:noWrap/>
            <w:vAlign w:val="bottom"/>
          </w:tcPr>
          <w:p w14:paraId="473D4988" w14:textId="77777777" w:rsidR="00F12DBA" w:rsidRPr="00701A9E"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153AC8CA" w14:textId="77777777" w:rsidR="00F12DBA" w:rsidRPr="00701A9E" w:rsidRDefault="00F12DBA" w:rsidP="00F12DBA">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0B35B3D2" w14:textId="77777777" w:rsidR="00F12DBA" w:rsidRPr="00701A9E" w:rsidRDefault="00F12DBA" w:rsidP="00F12DBA">
            <w:pPr>
              <w:spacing w:before="0" w:after="0"/>
              <w:jc w:val="center"/>
              <w:rPr>
                <w:sz w:val="16"/>
                <w:szCs w:val="16"/>
              </w:rPr>
            </w:pPr>
            <w:r w:rsidRPr="00701A9E">
              <w:rPr>
                <w:sz w:val="16"/>
                <w:szCs w:val="16"/>
              </w:rPr>
              <w:t>LI1</w:t>
            </w:r>
          </w:p>
        </w:tc>
        <w:tc>
          <w:tcPr>
            <w:tcW w:w="951" w:type="dxa"/>
            <w:tcBorders>
              <w:top w:val="nil"/>
              <w:left w:val="nil"/>
              <w:bottom w:val="single" w:sz="4" w:space="0" w:color="auto"/>
              <w:right w:val="nil"/>
            </w:tcBorders>
            <w:shd w:val="clear" w:color="auto" w:fill="F3F9FA"/>
            <w:noWrap/>
            <w:vAlign w:val="bottom"/>
            <w:hideMark/>
          </w:tcPr>
          <w:p w14:paraId="264028E0" w14:textId="7ED46C06" w:rsidR="00F12DBA" w:rsidRPr="00701A9E" w:rsidRDefault="00F12DBA" w:rsidP="00F12DBA">
            <w:pPr>
              <w:spacing w:before="0" w:after="0"/>
              <w:jc w:val="center"/>
              <w:rPr>
                <w:sz w:val="16"/>
                <w:szCs w:val="16"/>
              </w:rPr>
            </w:pPr>
            <w:r>
              <w:rPr>
                <w:sz w:val="16"/>
                <w:szCs w:val="16"/>
              </w:rPr>
              <w:t>01-Jan-17</w:t>
            </w:r>
          </w:p>
        </w:tc>
        <w:tc>
          <w:tcPr>
            <w:tcW w:w="815" w:type="dxa"/>
            <w:tcBorders>
              <w:top w:val="nil"/>
              <w:left w:val="nil"/>
              <w:bottom w:val="single" w:sz="4" w:space="0" w:color="auto"/>
              <w:right w:val="nil"/>
            </w:tcBorders>
            <w:shd w:val="clear" w:color="auto" w:fill="F3F9FA"/>
            <w:noWrap/>
            <w:vAlign w:val="bottom"/>
          </w:tcPr>
          <w:p w14:paraId="066CEBF3" w14:textId="3E639EF7" w:rsidR="00F12DBA" w:rsidRPr="00F12DBA" w:rsidRDefault="00F12DBA" w:rsidP="00F12DBA">
            <w:pPr>
              <w:spacing w:before="0" w:after="0"/>
              <w:jc w:val="center"/>
              <w:rPr>
                <w:sz w:val="16"/>
                <w:szCs w:val="16"/>
              </w:rPr>
            </w:pPr>
            <w:r w:rsidRPr="00F12DBA">
              <w:rPr>
                <w:sz w:val="16"/>
                <w:szCs w:val="16"/>
              </w:rPr>
              <w:t>0.1</w:t>
            </w:r>
          </w:p>
        </w:tc>
        <w:tc>
          <w:tcPr>
            <w:tcW w:w="823" w:type="dxa"/>
            <w:tcBorders>
              <w:top w:val="nil"/>
              <w:left w:val="nil"/>
              <w:bottom w:val="single" w:sz="4" w:space="0" w:color="auto"/>
              <w:right w:val="nil"/>
            </w:tcBorders>
            <w:shd w:val="clear" w:color="auto" w:fill="F3F9FA"/>
            <w:noWrap/>
            <w:vAlign w:val="bottom"/>
          </w:tcPr>
          <w:p w14:paraId="1BA48333" w14:textId="4E60B8E6" w:rsidR="00F12DBA" w:rsidRPr="00F12DBA" w:rsidRDefault="00F12DBA" w:rsidP="00F12DBA">
            <w:pPr>
              <w:spacing w:before="0" w:after="0"/>
              <w:jc w:val="center"/>
              <w:rPr>
                <w:sz w:val="16"/>
                <w:szCs w:val="16"/>
              </w:rPr>
            </w:pPr>
            <w:r w:rsidRPr="00F12DBA">
              <w:rPr>
                <w:sz w:val="16"/>
                <w:szCs w:val="16"/>
              </w:rPr>
              <w:t>0</w:t>
            </w:r>
          </w:p>
        </w:tc>
        <w:tc>
          <w:tcPr>
            <w:tcW w:w="888" w:type="dxa"/>
            <w:tcBorders>
              <w:top w:val="nil"/>
              <w:left w:val="nil"/>
              <w:bottom w:val="single" w:sz="4" w:space="0" w:color="auto"/>
              <w:right w:val="nil"/>
            </w:tcBorders>
            <w:shd w:val="clear" w:color="auto" w:fill="F3F9FA"/>
            <w:noWrap/>
            <w:vAlign w:val="bottom"/>
            <w:hideMark/>
          </w:tcPr>
          <w:p w14:paraId="1149FEAB" w14:textId="3B3D57D0" w:rsidR="00F12DBA" w:rsidRPr="00F12DBA" w:rsidRDefault="00F12DBA" w:rsidP="00F12DBA">
            <w:pPr>
              <w:spacing w:before="0" w:after="0"/>
              <w:jc w:val="center"/>
              <w:rPr>
                <w:sz w:val="16"/>
                <w:szCs w:val="16"/>
              </w:rPr>
            </w:pPr>
            <w:r w:rsidRPr="00F12DBA">
              <w:rPr>
                <w:sz w:val="16"/>
                <w:szCs w:val="16"/>
              </w:rPr>
              <w:t>27.5</w:t>
            </w:r>
          </w:p>
        </w:tc>
        <w:tc>
          <w:tcPr>
            <w:tcW w:w="888" w:type="dxa"/>
            <w:tcBorders>
              <w:top w:val="nil"/>
              <w:left w:val="nil"/>
              <w:bottom w:val="single" w:sz="4" w:space="0" w:color="auto"/>
              <w:right w:val="nil"/>
            </w:tcBorders>
            <w:shd w:val="clear" w:color="auto" w:fill="F3F9FA"/>
            <w:noWrap/>
            <w:vAlign w:val="bottom"/>
            <w:hideMark/>
          </w:tcPr>
          <w:p w14:paraId="5EBB9001" w14:textId="368774C0" w:rsidR="00F12DBA" w:rsidRPr="00F12DBA" w:rsidRDefault="00F12DBA" w:rsidP="00F12DBA">
            <w:pPr>
              <w:spacing w:before="0" w:after="0"/>
              <w:jc w:val="center"/>
              <w:rPr>
                <w:sz w:val="16"/>
                <w:szCs w:val="16"/>
              </w:rPr>
            </w:pPr>
            <w:r w:rsidRPr="00F12DBA">
              <w:rPr>
                <w:sz w:val="16"/>
                <w:szCs w:val="16"/>
              </w:rPr>
              <w:t>37.7</w:t>
            </w:r>
          </w:p>
        </w:tc>
        <w:tc>
          <w:tcPr>
            <w:tcW w:w="888" w:type="dxa"/>
            <w:tcBorders>
              <w:top w:val="nil"/>
              <w:left w:val="nil"/>
              <w:bottom w:val="single" w:sz="4" w:space="0" w:color="auto"/>
              <w:right w:val="nil"/>
            </w:tcBorders>
            <w:shd w:val="clear" w:color="auto" w:fill="F3F9FA"/>
            <w:noWrap/>
            <w:vAlign w:val="bottom"/>
            <w:hideMark/>
          </w:tcPr>
          <w:p w14:paraId="5C9064CE" w14:textId="7FEC36CA" w:rsidR="00F12DBA" w:rsidRPr="00F12DBA" w:rsidRDefault="00F12DBA" w:rsidP="00F12DBA">
            <w:pPr>
              <w:spacing w:before="0" w:after="0"/>
              <w:jc w:val="center"/>
              <w:rPr>
                <w:sz w:val="16"/>
                <w:szCs w:val="16"/>
              </w:rPr>
            </w:pPr>
            <w:r w:rsidRPr="00F12DBA">
              <w:rPr>
                <w:sz w:val="16"/>
                <w:szCs w:val="16"/>
              </w:rPr>
              <w:t>41</w:t>
            </w:r>
          </w:p>
        </w:tc>
        <w:tc>
          <w:tcPr>
            <w:tcW w:w="650" w:type="dxa"/>
            <w:tcBorders>
              <w:top w:val="nil"/>
              <w:left w:val="nil"/>
              <w:bottom w:val="single" w:sz="4" w:space="0" w:color="auto"/>
              <w:right w:val="nil"/>
            </w:tcBorders>
            <w:shd w:val="clear" w:color="auto" w:fill="F3F9FA"/>
            <w:noWrap/>
            <w:vAlign w:val="bottom"/>
          </w:tcPr>
          <w:p w14:paraId="2A782900" w14:textId="020C5EA9" w:rsidR="00F12DBA" w:rsidRPr="00F12DBA" w:rsidRDefault="00F12DBA" w:rsidP="00F12DBA">
            <w:pPr>
              <w:spacing w:before="0" w:after="0"/>
              <w:jc w:val="center"/>
              <w:rPr>
                <w:sz w:val="16"/>
                <w:szCs w:val="16"/>
              </w:rPr>
            </w:pPr>
            <w:r w:rsidRPr="00F12DBA">
              <w:rPr>
                <w:sz w:val="16"/>
                <w:szCs w:val="16"/>
              </w:rPr>
              <w:t>0</w:t>
            </w:r>
          </w:p>
        </w:tc>
      </w:tr>
      <w:tr w:rsidR="00F12DBA" w:rsidRPr="00701A9E" w14:paraId="426E48A3" w14:textId="77777777" w:rsidTr="006F4537">
        <w:trPr>
          <w:jc w:val="center"/>
        </w:trPr>
        <w:tc>
          <w:tcPr>
            <w:tcW w:w="1388" w:type="dxa"/>
            <w:tcBorders>
              <w:top w:val="nil"/>
              <w:left w:val="nil"/>
              <w:bottom w:val="single" w:sz="4" w:space="0" w:color="auto"/>
              <w:right w:val="nil"/>
            </w:tcBorders>
            <w:noWrap/>
            <w:vAlign w:val="bottom"/>
          </w:tcPr>
          <w:p w14:paraId="797D9460" w14:textId="77777777" w:rsidR="00F12DBA" w:rsidRPr="00701A9E"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E7F3F4"/>
            <w:noWrap/>
            <w:vAlign w:val="bottom"/>
          </w:tcPr>
          <w:p w14:paraId="61B20F9F" w14:textId="77777777" w:rsidR="00F12DBA" w:rsidRPr="00701A9E" w:rsidRDefault="00F12DBA" w:rsidP="00F12DBA">
            <w:pPr>
              <w:spacing w:before="0" w:after="0"/>
              <w:jc w:val="center"/>
              <w:rPr>
                <w:sz w:val="16"/>
                <w:szCs w:val="16"/>
              </w:rPr>
            </w:pPr>
            <w:r>
              <w:rPr>
                <w:sz w:val="16"/>
                <w:szCs w:val="16"/>
              </w:rPr>
              <w:t>Goold Is</w:t>
            </w:r>
          </w:p>
        </w:tc>
        <w:tc>
          <w:tcPr>
            <w:tcW w:w="588" w:type="dxa"/>
            <w:tcBorders>
              <w:top w:val="nil"/>
              <w:left w:val="nil"/>
              <w:bottom w:val="single" w:sz="4" w:space="0" w:color="auto"/>
              <w:right w:val="nil"/>
            </w:tcBorders>
            <w:shd w:val="clear" w:color="auto" w:fill="E7F3F4"/>
            <w:noWrap/>
            <w:vAlign w:val="bottom"/>
          </w:tcPr>
          <w:p w14:paraId="070E446C" w14:textId="77777777" w:rsidR="00F12DBA" w:rsidRPr="00701A9E" w:rsidRDefault="00F12DBA" w:rsidP="00F12DBA">
            <w:pPr>
              <w:spacing w:before="0" w:after="0"/>
              <w:jc w:val="center"/>
              <w:rPr>
                <w:sz w:val="16"/>
                <w:szCs w:val="16"/>
              </w:rPr>
            </w:pPr>
            <w:r>
              <w:rPr>
                <w:sz w:val="16"/>
                <w:szCs w:val="16"/>
              </w:rPr>
              <w:t>GO1^</w:t>
            </w:r>
          </w:p>
        </w:tc>
        <w:tc>
          <w:tcPr>
            <w:tcW w:w="951" w:type="dxa"/>
            <w:tcBorders>
              <w:top w:val="nil"/>
              <w:left w:val="nil"/>
              <w:bottom w:val="single" w:sz="4" w:space="0" w:color="auto"/>
              <w:right w:val="nil"/>
            </w:tcBorders>
            <w:shd w:val="clear" w:color="auto" w:fill="E7F3F4"/>
            <w:noWrap/>
            <w:vAlign w:val="bottom"/>
          </w:tcPr>
          <w:p w14:paraId="496387CD" w14:textId="2B345511" w:rsidR="00F12DBA" w:rsidRPr="00701A9E" w:rsidRDefault="00F12DBA" w:rsidP="00F12DBA">
            <w:pPr>
              <w:spacing w:before="0" w:after="0"/>
              <w:jc w:val="center"/>
              <w:rPr>
                <w:sz w:val="16"/>
                <w:szCs w:val="16"/>
              </w:rPr>
            </w:pPr>
            <w:r w:rsidRPr="00CE7AC9">
              <w:rPr>
                <w:sz w:val="16"/>
                <w:szCs w:val="16"/>
              </w:rPr>
              <w:t>01-Oct-1</w:t>
            </w:r>
            <w:r>
              <w:rPr>
                <w:sz w:val="16"/>
                <w:szCs w:val="16"/>
              </w:rPr>
              <w:t>6</w:t>
            </w:r>
          </w:p>
        </w:tc>
        <w:tc>
          <w:tcPr>
            <w:tcW w:w="815" w:type="dxa"/>
            <w:tcBorders>
              <w:top w:val="nil"/>
              <w:left w:val="nil"/>
              <w:bottom w:val="single" w:sz="4" w:space="0" w:color="auto"/>
              <w:right w:val="nil"/>
            </w:tcBorders>
            <w:shd w:val="clear" w:color="auto" w:fill="E7F3F4"/>
            <w:noWrap/>
            <w:vAlign w:val="bottom"/>
          </w:tcPr>
          <w:p w14:paraId="0A5D8F87" w14:textId="0E0D75B4" w:rsidR="00F12DBA" w:rsidRPr="00F12DBA" w:rsidRDefault="00F12DBA" w:rsidP="00F12DBA">
            <w:pPr>
              <w:spacing w:before="0" w:after="0"/>
              <w:jc w:val="center"/>
              <w:rPr>
                <w:sz w:val="16"/>
                <w:szCs w:val="16"/>
              </w:rPr>
            </w:pPr>
            <w:r w:rsidRPr="00F12DBA">
              <w:rPr>
                <w:sz w:val="16"/>
                <w:szCs w:val="16"/>
              </w:rPr>
              <w:t>0.3</w:t>
            </w:r>
          </w:p>
        </w:tc>
        <w:tc>
          <w:tcPr>
            <w:tcW w:w="823" w:type="dxa"/>
            <w:tcBorders>
              <w:top w:val="nil"/>
              <w:left w:val="nil"/>
              <w:bottom w:val="single" w:sz="4" w:space="0" w:color="auto"/>
              <w:right w:val="nil"/>
            </w:tcBorders>
            <w:shd w:val="clear" w:color="auto" w:fill="E7F3F4"/>
            <w:noWrap/>
            <w:vAlign w:val="bottom"/>
          </w:tcPr>
          <w:p w14:paraId="4257EF88" w14:textId="22A38632" w:rsidR="00F12DBA" w:rsidRPr="00F12DBA" w:rsidRDefault="00F12DBA" w:rsidP="00F12DBA">
            <w:pPr>
              <w:spacing w:before="0" w:after="0"/>
              <w:jc w:val="center"/>
              <w:rPr>
                <w:sz w:val="16"/>
                <w:szCs w:val="16"/>
              </w:rPr>
            </w:pPr>
            <w:r w:rsidRPr="00F12DBA">
              <w:rPr>
                <w:sz w:val="16"/>
                <w:szCs w:val="16"/>
              </w:rPr>
              <w:t>0</w:t>
            </w:r>
          </w:p>
        </w:tc>
        <w:tc>
          <w:tcPr>
            <w:tcW w:w="888" w:type="dxa"/>
            <w:tcBorders>
              <w:top w:val="nil"/>
              <w:left w:val="nil"/>
              <w:bottom w:val="single" w:sz="4" w:space="0" w:color="auto"/>
              <w:right w:val="nil"/>
            </w:tcBorders>
            <w:shd w:val="clear" w:color="auto" w:fill="E7F3F4"/>
            <w:noWrap/>
            <w:vAlign w:val="bottom"/>
          </w:tcPr>
          <w:p w14:paraId="428D04CE" w14:textId="5BD6316A" w:rsidR="00F12DBA" w:rsidRPr="00F12DBA" w:rsidRDefault="00F12DBA" w:rsidP="00F12DBA">
            <w:pPr>
              <w:spacing w:before="0" w:after="0"/>
              <w:jc w:val="center"/>
              <w:rPr>
                <w:sz w:val="16"/>
                <w:szCs w:val="16"/>
              </w:rPr>
            </w:pPr>
            <w:r w:rsidRPr="00F12DBA">
              <w:rPr>
                <w:sz w:val="16"/>
                <w:szCs w:val="16"/>
              </w:rPr>
              <w:t>27.5</w:t>
            </w:r>
          </w:p>
        </w:tc>
        <w:tc>
          <w:tcPr>
            <w:tcW w:w="888" w:type="dxa"/>
            <w:tcBorders>
              <w:top w:val="nil"/>
              <w:left w:val="nil"/>
              <w:bottom w:val="single" w:sz="4" w:space="0" w:color="auto"/>
              <w:right w:val="nil"/>
            </w:tcBorders>
            <w:shd w:val="clear" w:color="auto" w:fill="E7F3F4"/>
            <w:noWrap/>
            <w:vAlign w:val="bottom"/>
          </w:tcPr>
          <w:p w14:paraId="36FE28DB" w14:textId="075B4F85" w:rsidR="00F12DBA" w:rsidRPr="00F12DBA" w:rsidRDefault="00F12DBA" w:rsidP="00F12DBA">
            <w:pPr>
              <w:spacing w:before="0" w:after="0"/>
              <w:jc w:val="center"/>
              <w:rPr>
                <w:sz w:val="16"/>
                <w:szCs w:val="16"/>
              </w:rPr>
            </w:pPr>
            <w:r w:rsidRPr="00F12DBA">
              <w:rPr>
                <w:sz w:val="16"/>
                <w:szCs w:val="16"/>
              </w:rPr>
              <w:t>37.7</w:t>
            </w:r>
          </w:p>
        </w:tc>
        <w:tc>
          <w:tcPr>
            <w:tcW w:w="888" w:type="dxa"/>
            <w:tcBorders>
              <w:top w:val="nil"/>
              <w:left w:val="nil"/>
              <w:bottom w:val="single" w:sz="4" w:space="0" w:color="auto"/>
              <w:right w:val="nil"/>
            </w:tcBorders>
            <w:shd w:val="clear" w:color="auto" w:fill="E7F3F4"/>
            <w:noWrap/>
            <w:vAlign w:val="bottom"/>
          </w:tcPr>
          <w:p w14:paraId="4F72211D" w14:textId="71C9E091" w:rsidR="00F12DBA" w:rsidRPr="00F12DBA" w:rsidRDefault="00F12DBA" w:rsidP="00F12DBA">
            <w:pPr>
              <w:spacing w:before="0" w:after="0"/>
              <w:jc w:val="center"/>
              <w:rPr>
                <w:sz w:val="16"/>
                <w:szCs w:val="16"/>
              </w:rPr>
            </w:pPr>
            <w:r w:rsidRPr="00F12DBA">
              <w:rPr>
                <w:sz w:val="16"/>
                <w:szCs w:val="16"/>
              </w:rPr>
              <w:t>41</w:t>
            </w:r>
          </w:p>
        </w:tc>
        <w:tc>
          <w:tcPr>
            <w:tcW w:w="650" w:type="dxa"/>
            <w:tcBorders>
              <w:top w:val="nil"/>
              <w:left w:val="nil"/>
              <w:bottom w:val="single" w:sz="4" w:space="0" w:color="auto"/>
              <w:right w:val="nil"/>
            </w:tcBorders>
            <w:shd w:val="clear" w:color="auto" w:fill="E7F3F4"/>
            <w:noWrap/>
            <w:vAlign w:val="bottom"/>
          </w:tcPr>
          <w:p w14:paraId="686D4148" w14:textId="1E940F25" w:rsidR="00F12DBA" w:rsidRPr="00F12DBA" w:rsidRDefault="00F12DBA" w:rsidP="00F12DBA">
            <w:pPr>
              <w:spacing w:before="0" w:after="0"/>
              <w:jc w:val="center"/>
              <w:rPr>
                <w:sz w:val="16"/>
                <w:szCs w:val="16"/>
              </w:rPr>
            </w:pPr>
            <w:r w:rsidRPr="00F12DBA">
              <w:rPr>
                <w:sz w:val="16"/>
                <w:szCs w:val="16"/>
              </w:rPr>
              <w:t>0</w:t>
            </w:r>
          </w:p>
        </w:tc>
      </w:tr>
      <w:tr w:rsidR="00F12DBA" w:rsidRPr="00970B19" w14:paraId="2FC31B92" w14:textId="77777777" w:rsidTr="006F4537">
        <w:trPr>
          <w:jc w:val="center"/>
        </w:trPr>
        <w:tc>
          <w:tcPr>
            <w:tcW w:w="1388" w:type="dxa"/>
            <w:tcBorders>
              <w:top w:val="single" w:sz="4" w:space="0" w:color="auto"/>
              <w:left w:val="nil"/>
              <w:bottom w:val="nil"/>
              <w:right w:val="nil"/>
            </w:tcBorders>
            <w:noWrap/>
            <w:vAlign w:val="bottom"/>
            <w:hideMark/>
          </w:tcPr>
          <w:p w14:paraId="1BE57B1F" w14:textId="77777777" w:rsidR="00F12DBA" w:rsidRPr="00970B19" w:rsidRDefault="00F12DBA" w:rsidP="00F12DBA">
            <w:pPr>
              <w:spacing w:before="0" w:after="0"/>
              <w:rPr>
                <w:sz w:val="16"/>
                <w:szCs w:val="16"/>
              </w:rPr>
            </w:pPr>
            <w:r w:rsidRPr="00970B19">
              <w:rPr>
                <w:sz w:val="16"/>
                <w:szCs w:val="16"/>
              </w:rPr>
              <w:t>reef subtidal</w:t>
            </w:r>
          </w:p>
        </w:tc>
        <w:tc>
          <w:tcPr>
            <w:tcW w:w="1117" w:type="dxa"/>
            <w:tcBorders>
              <w:top w:val="single" w:sz="4" w:space="0" w:color="auto"/>
              <w:left w:val="nil"/>
              <w:bottom w:val="nil"/>
              <w:right w:val="nil"/>
            </w:tcBorders>
            <w:shd w:val="clear" w:color="auto" w:fill="F3F9FA"/>
            <w:noWrap/>
            <w:vAlign w:val="bottom"/>
            <w:hideMark/>
          </w:tcPr>
          <w:p w14:paraId="4DB108F0" w14:textId="77777777" w:rsidR="00F12DBA" w:rsidRPr="00970B19" w:rsidRDefault="00F12DBA" w:rsidP="00F12DBA">
            <w:pPr>
              <w:spacing w:before="0" w:after="0"/>
              <w:jc w:val="center"/>
              <w:rPr>
                <w:sz w:val="16"/>
                <w:szCs w:val="16"/>
              </w:rPr>
            </w:pPr>
            <w:r w:rsidRPr="00970B19">
              <w:rPr>
                <w:sz w:val="16"/>
                <w:szCs w:val="16"/>
              </w:rPr>
              <w:t>Dunk Island</w:t>
            </w:r>
          </w:p>
        </w:tc>
        <w:tc>
          <w:tcPr>
            <w:tcW w:w="588" w:type="dxa"/>
            <w:tcBorders>
              <w:top w:val="single" w:sz="4" w:space="0" w:color="auto"/>
              <w:left w:val="nil"/>
              <w:bottom w:val="nil"/>
              <w:right w:val="nil"/>
            </w:tcBorders>
            <w:shd w:val="clear" w:color="auto" w:fill="F3F9FA"/>
            <w:noWrap/>
            <w:vAlign w:val="bottom"/>
            <w:hideMark/>
          </w:tcPr>
          <w:p w14:paraId="1BB0AD44" w14:textId="77777777" w:rsidR="00F12DBA" w:rsidRPr="00970B19" w:rsidRDefault="00F12DBA" w:rsidP="00F12DBA">
            <w:pPr>
              <w:spacing w:before="0" w:after="0"/>
              <w:jc w:val="center"/>
              <w:rPr>
                <w:sz w:val="16"/>
                <w:szCs w:val="16"/>
              </w:rPr>
            </w:pPr>
            <w:r w:rsidRPr="00970B19">
              <w:rPr>
                <w:sz w:val="16"/>
                <w:szCs w:val="16"/>
              </w:rPr>
              <w:t>DI3</w:t>
            </w:r>
          </w:p>
        </w:tc>
        <w:tc>
          <w:tcPr>
            <w:tcW w:w="951" w:type="dxa"/>
            <w:tcBorders>
              <w:top w:val="single" w:sz="4" w:space="0" w:color="auto"/>
              <w:left w:val="nil"/>
              <w:bottom w:val="nil"/>
              <w:right w:val="nil"/>
            </w:tcBorders>
            <w:shd w:val="clear" w:color="auto" w:fill="F3F9FA"/>
            <w:noWrap/>
            <w:vAlign w:val="bottom"/>
            <w:hideMark/>
          </w:tcPr>
          <w:p w14:paraId="63F3C784" w14:textId="03A20836" w:rsidR="00F12DBA" w:rsidRPr="00970B19" w:rsidRDefault="00F12DBA" w:rsidP="00F12DBA">
            <w:pPr>
              <w:spacing w:before="0" w:after="0"/>
              <w:jc w:val="center"/>
              <w:rPr>
                <w:sz w:val="16"/>
                <w:szCs w:val="16"/>
              </w:rPr>
            </w:pPr>
            <w:r>
              <w:rPr>
                <w:sz w:val="16"/>
                <w:szCs w:val="16"/>
              </w:rPr>
              <w:t>01-Jul-16</w:t>
            </w:r>
          </w:p>
        </w:tc>
        <w:tc>
          <w:tcPr>
            <w:tcW w:w="815" w:type="dxa"/>
            <w:tcBorders>
              <w:top w:val="single" w:sz="4" w:space="0" w:color="auto"/>
              <w:left w:val="nil"/>
              <w:bottom w:val="nil"/>
              <w:right w:val="nil"/>
            </w:tcBorders>
            <w:shd w:val="clear" w:color="auto" w:fill="F3F9FA"/>
            <w:noWrap/>
            <w:vAlign w:val="bottom"/>
            <w:hideMark/>
          </w:tcPr>
          <w:p w14:paraId="1A3A0D8A" w14:textId="1F68BC40" w:rsidR="00F12DBA" w:rsidRPr="00F12DBA" w:rsidRDefault="00F12DBA" w:rsidP="00F12DBA">
            <w:pPr>
              <w:spacing w:before="0" w:after="0"/>
              <w:jc w:val="center"/>
              <w:rPr>
                <w:sz w:val="16"/>
                <w:szCs w:val="16"/>
              </w:rPr>
            </w:pPr>
            <w:r w:rsidRPr="00F12DBA">
              <w:rPr>
                <w:sz w:val="16"/>
                <w:szCs w:val="16"/>
              </w:rPr>
              <w:t>1.2</w:t>
            </w:r>
          </w:p>
        </w:tc>
        <w:tc>
          <w:tcPr>
            <w:tcW w:w="823" w:type="dxa"/>
            <w:tcBorders>
              <w:top w:val="single" w:sz="4" w:space="0" w:color="auto"/>
              <w:left w:val="nil"/>
              <w:bottom w:val="nil"/>
              <w:right w:val="nil"/>
            </w:tcBorders>
            <w:shd w:val="clear" w:color="auto" w:fill="F3F9FA"/>
            <w:noWrap/>
            <w:vAlign w:val="bottom"/>
          </w:tcPr>
          <w:p w14:paraId="402620E7" w14:textId="05196325" w:rsidR="00F12DBA" w:rsidRPr="00F12DBA" w:rsidRDefault="00F12DBA" w:rsidP="00F12DBA">
            <w:pPr>
              <w:spacing w:before="0" w:after="0"/>
              <w:jc w:val="center"/>
              <w:rPr>
                <w:sz w:val="16"/>
                <w:szCs w:val="16"/>
              </w:rPr>
            </w:pPr>
            <w:r w:rsidRPr="00F12DBA">
              <w:rPr>
                <w:sz w:val="16"/>
                <w:szCs w:val="16"/>
              </w:rPr>
              <w:t>0.6</w:t>
            </w:r>
          </w:p>
        </w:tc>
        <w:tc>
          <w:tcPr>
            <w:tcW w:w="888" w:type="dxa"/>
            <w:tcBorders>
              <w:top w:val="single" w:sz="4" w:space="0" w:color="auto"/>
              <w:left w:val="nil"/>
              <w:bottom w:val="nil"/>
              <w:right w:val="nil"/>
            </w:tcBorders>
            <w:shd w:val="clear" w:color="auto" w:fill="F3F9FA"/>
            <w:noWrap/>
            <w:vAlign w:val="bottom"/>
            <w:hideMark/>
          </w:tcPr>
          <w:p w14:paraId="11C9197C" w14:textId="44185260" w:rsidR="00F12DBA" w:rsidRPr="00F12DBA" w:rsidRDefault="00F12DBA" w:rsidP="00F12DBA">
            <w:pPr>
              <w:spacing w:before="0" w:after="0"/>
              <w:jc w:val="center"/>
              <w:rPr>
                <w:sz w:val="16"/>
                <w:szCs w:val="16"/>
              </w:rPr>
            </w:pPr>
            <w:r w:rsidRPr="00F12DBA">
              <w:rPr>
                <w:sz w:val="16"/>
                <w:szCs w:val="16"/>
              </w:rPr>
              <w:t>26</w:t>
            </w:r>
          </w:p>
        </w:tc>
        <w:tc>
          <w:tcPr>
            <w:tcW w:w="888" w:type="dxa"/>
            <w:tcBorders>
              <w:top w:val="single" w:sz="4" w:space="0" w:color="auto"/>
              <w:left w:val="nil"/>
              <w:bottom w:val="nil"/>
              <w:right w:val="nil"/>
            </w:tcBorders>
            <w:shd w:val="clear" w:color="auto" w:fill="F3F9FA"/>
            <w:noWrap/>
            <w:vAlign w:val="bottom"/>
            <w:hideMark/>
          </w:tcPr>
          <w:p w14:paraId="6AE35C2C" w14:textId="1A7D364D" w:rsidR="00F12DBA" w:rsidRPr="00F12DBA" w:rsidRDefault="00F12DBA" w:rsidP="00F12DBA">
            <w:pPr>
              <w:spacing w:before="0" w:after="0"/>
              <w:jc w:val="center"/>
              <w:rPr>
                <w:sz w:val="16"/>
                <w:szCs w:val="16"/>
              </w:rPr>
            </w:pPr>
            <w:r w:rsidRPr="00F12DBA">
              <w:rPr>
                <w:sz w:val="16"/>
                <w:szCs w:val="16"/>
              </w:rPr>
              <w:t>33</w:t>
            </w:r>
          </w:p>
        </w:tc>
        <w:tc>
          <w:tcPr>
            <w:tcW w:w="888" w:type="dxa"/>
            <w:tcBorders>
              <w:top w:val="single" w:sz="4" w:space="0" w:color="auto"/>
              <w:left w:val="nil"/>
              <w:bottom w:val="nil"/>
              <w:right w:val="nil"/>
            </w:tcBorders>
            <w:shd w:val="clear" w:color="auto" w:fill="F3F9FA"/>
            <w:noWrap/>
            <w:vAlign w:val="bottom"/>
            <w:hideMark/>
          </w:tcPr>
          <w:p w14:paraId="2F53F1AE" w14:textId="12362751" w:rsidR="00F12DBA" w:rsidRPr="00F12DBA" w:rsidRDefault="00F12DBA" w:rsidP="00F12DBA">
            <w:pPr>
              <w:spacing w:before="0" w:after="0"/>
              <w:jc w:val="center"/>
              <w:rPr>
                <w:sz w:val="16"/>
                <w:szCs w:val="16"/>
              </w:rPr>
            </w:pPr>
            <w:r w:rsidRPr="00F12DBA">
              <w:rPr>
                <w:sz w:val="16"/>
                <w:szCs w:val="16"/>
              </w:rPr>
              <w:t>39.2</w:t>
            </w:r>
          </w:p>
        </w:tc>
        <w:tc>
          <w:tcPr>
            <w:tcW w:w="650" w:type="dxa"/>
            <w:tcBorders>
              <w:top w:val="single" w:sz="4" w:space="0" w:color="auto"/>
              <w:left w:val="nil"/>
              <w:bottom w:val="nil"/>
              <w:right w:val="nil"/>
            </w:tcBorders>
            <w:shd w:val="clear" w:color="auto" w:fill="F3F9FA"/>
            <w:noWrap/>
            <w:vAlign w:val="bottom"/>
          </w:tcPr>
          <w:p w14:paraId="426B770E" w14:textId="035A0BD1" w:rsidR="00F12DBA" w:rsidRPr="00F12DBA" w:rsidRDefault="00F12DBA" w:rsidP="00F12DBA">
            <w:pPr>
              <w:spacing w:before="0" w:after="0"/>
              <w:jc w:val="center"/>
              <w:rPr>
                <w:sz w:val="16"/>
                <w:szCs w:val="16"/>
              </w:rPr>
            </w:pPr>
            <w:r w:rsidRPr="00F12DBA">
              <w:rPr>
                <w:sz w:val="16"/>
                <w:szCs w:val="16"/>
              </w:rPr>
              <w:t>0</w:t>
            </w:r>
          </w:p>
        </w:tc>
      </w:tr>
      <w:tr w:rsidR="00F12DBA" w:rsidRPr="00970B19" w14:paraId="2CF83883" w14:textId="77777777" w:rsidTr="006F4537">
        <w:trPr>
          <w:jc w:val="center"/>
        </w:trPr>
        <w:tc>
          <w:tcPr>
            <w:tcW w:w="1388" w:type="dxa"/>
            <w:noWrap/>
            <w:vAlign w:val="bottom"/>
          </w:tcPr>
          <w:p w14:paraId="6B056E74" w14:textId="77777777" w:rsidR="00F12DBA" w:rsidRPr="00970B19" w:rsidRDefault="00F12DBA" w:rsidP="00F12DBA">
            <w:pPr>
              <w:spacing w:before="0" w:after="0"/>
              <w:rPr>
                <w:sz w:val="16"/>
                <w:szCs w:val="16"/>
              </w:rPr>
            </w:pPr>
          </w:p>
        </w:tc>
        <w:tc>
          <w:tcPr>
            <w:tcW w:w="1117" w:type="dxa"/>
            <w:shd w:val="clear" w:color="auto" w:fill="F3F9FA"/>
            <w:noWrap/>
            <w:vAlign w:val="bottom"/>
          </w:tcPr>
          <w:p w14:paraId="4A6B3DBE" w14:textId="77777777" w:rsidR="00F12DBA" w:rsidRPr="00970B19" w:rsidRDefault="00F12DBA" w:rsidP="00F12DBA">
            <w:pPr>
              <w:spacing w:before="0" w:after="0"/>
              <w:jc w:val="center"/>
              <w:rPr>
                <w:sz w:val="16"/>
                <w:szCs w:val="16"/>
              </w:rPr>
            </w:pPr>
          </w:p>
        </w:tc>
        <w:tc>
          <w:tcPr>
            <w:tcW w:w="588" w:type="dxa"/>
            <w:shd w:val="clear" w:color="auto" w:fill="F3F9FA"/>
            <w:noWrap/>
            <w:vAlign w:val="bottom"/>
            <w:hideMark/>
          </w:tcPr>
          <w:p w14:paraId="0F2C878E" w14:textId="77777777" w:rsidR="00F12DBA" w:rsidRPr="00970B19" w:rsidRDefault="00F12DBA" w:rsidP="00F12DBA">
            <w:pPr>
              <w:spacing w:before="0" w:after="0"/>
              <w:jc w:val="center"/>
              <w:rPr>
                <w:sz w:val="16"/>
                <w:szCs w:val="16"/>
              </w:rPr>
            </w:pPr>
            <w:r w:rsidRPr="00970B19">
              <w:rPr>
                <w:sz w:val="16"/>
                <w:szCs w:val="16"/>
              </w:rPr>
              <w:t>DI3</w:t>
            </w:r>
          </w:p>
        </w:tc>
        <w:tc>
          <w:tcPr>
            <w:tcW w:w="951" w:type="dxa"/>
            <w:shd w:val="clear" w:color="auto" w:fill="F3F9FA"/>
            <w:noWrap/>
            <w:vAlign w:val="bottom"/>
            <w:hideMark/>
          </w:tcPr>
          <w:p w14:paraId="3A590AC8" w14:textId="7C787383" w:rsidR="00F12DBA" w:rsidRPr="00970B19" w:rsidRDefault="00F12DBA" w:rsidP="00F12DBA">
            <w:pPr>
              <w:spacing w:before="0" w:after="0"/>
              <w:jc w:val="center"/>
              <w:rPr>
                <w:sz w:val="16"/>
                <w:szCs w:val="16"/>
              </w:rPr>
            </w:pPr>
            <w:r>
              <w:rPr>
                <w:sz w:val="16"/>
                <w:szCs w:val="16"/>
              </w:rPr>
              <w:t>01-Oct-16</w:t>
            </w:r>
          </w:p>
        </w:tc>
        <w:tc>
          <w:tcPr>
            <w:tcW w:w="815" w:type="dxa"/>
            <w:shd w:val="clear" w:color="auto" w:fill="F3F9FA"/>
            <w:noWrap/>
            <w:vAlign w:val="bottom"/>
          </w:tcPr>
          <w:p w14:paraId="04FF7D57" w14:textId="55A39E54" w:rsidR="00F12DBA" w:rsidRPr="00F12DBA" w:rsidRDefault="00F12DBA" w:rsidP="00F12DBA">
            <w:pPr>
              <w:spacing w:before="0" w:after="0"/>
              <w:jc w:val="center"/>
              <w:rPr>
                <w:sz w:val="16"/>
                <w:szCs w:val="16"/>
              </w:rPr>
            </w:pPr>
            <w:r w:rsidRPr="00F12DBA">
              <w:rPr>
                <w:sz w:val="16"/>
                <w:szCs w:val="16"/>
              </w:rPr>
              <w:t>0.6</w:t>
            </w:r>
          </w:p>
        </w:tc>
        <w:tc>
          <w:tcPr>
            <w:tcW w:w="823" w:type="dxa"/>
            <w:shd w:val="clear" w:color="auto" w:fill="F3F9FA"/>
            <w:noWrap/>
            <w:vAlign w:val="bottom"/>
          </w:tcPr>
          <w:p w14:paraId="58782E8C" w14:textId="258DED4D" w:rsidR="00F12DBA" w:rsidRPr="00F12DBA" w:rsidRDefault="00F12DBA" w:rsidP="00F12DBA">
            <w:pPr>
              <w:spacing w:before="0" w:after="0"/>
              <w:jc w:val="center"/>
              <w:rPr>
                <w:sz w:val="16"/>
                <w:szCs w:val="16"/>
              </w:rPr>
            </w:pPr>
            <w:r w:rsidRPr="00F12DBA">
              <w:rPr>
                <w:sz w:val="16"/>
                <w:szCs w:val="16"/>
              </w:rPr>
              <w:t>0.1</w:t>
            </w:r>
          </w:p>
        </w:tc>
        <w:tc>
          <w:tcPr>
            <w:tcW w:w="888" w:type="dxa"/>
            <w:shd w:val="clear" w:color="auto" w:fill="F3F9FA"/>
            <w:noWrap/>
            <w:vAlign w:val="bottom"/>
            <w:hideMark/>
          </w:tcPr>
          <w:p w14:paraId="159E96B1" w14:textId="261FB766" w:rsidR="00F12DBA" w:rsidRPr="00F12DBA" w:rsidRDefault="00F12DBA" w:rsidP="00F12DBA">
            <w:pPr>
              <w:spacing w:before="0" w:after="0"/>
              <w:jc w:val="center"/>
              <w:rPr>
                <w:sz w:val="16"/>
                <w:szCs w:val="16"/>
              </w:rPr>
            </w:pPr>
            <w:r w:rsidRPr="00F12DBA">
              <w:rPr>
                <w:sz w:val="16"/>
                <w:szCs w:val="16"/>
              </w:rPr>
              <w:t>26</w:t>
            </w:r>
          </w:p>
        </w:tc>
        <w:tc>
          <w:tcPr>
            <w:tcW w:w="888" w:type="dxa"/>
            <w:shd w:val="clear" w:color="auto" w:fill="F3F9FA"/>
            <w:noWrap/>
            <w:vAlign w:val="bottom"/>
            <w:hideMark/>
          </w:tcPr>
          <w:p w14:paraId="0007B203" w14:textId="7E9E4399" w:rsidR="00F12DBA" w:rsidRPr="00F12DBA" w:rsidRDefault="00F12DBA" w:rsidP="00F12DBA">
            <w:pPr>
              <w:spacing w:before="0" w:after="0"/>
              <w:jc w:val="center"/>
              <w:rPr>
                <w:sz w:val="16"/>
                <w:szCs w:val="16"/>
              </w:rPr>
            </w:pPr>
            <w:r w:rsidRPr="00F12DBA">
              <w:rPr>
                <w:sz w:val="16"/>
                <w:szCs w:val="16"/>
              </w:rPr>
              <w:t>33</w:t>
            </w:r>
          </w:p>
        </w:tc>
        <w:tc>
          <w:tcPr>
            <w:tcW w:w="888" w:type="dxa"/>
            <w:shd w:val="clear" w:color="auto" w:fill="F3F9FA"/>
            <w:noWrap/>
            <w:vAlign w:val="bottom"/>
            <w:hideMark/>
          </w:tcPr>
          <w:p w14:paraId="4244C8EC" w14:textId="0CC631D5" w:rsidR="00F12DBA" w:rsidRPr="00F12DBA" w:rsidRDefault="00F12DBA" w:rsidP="00F12DBA">
            <w:pPr>
              <w:spacing w:before="0" w:after="0"/>
              <w:jc w:val="center"/>
              <w:rPr>
                <w:sz w:val="16"/>
                <w:szCs w:val="16"/>
              </w:rPr>
            </w:pPr>
            <w:r w:rsidRPr="00F12DBA">
              <w:rPr>
                <w:sz w:val="16"/>
                <w:szCs w:val="16"/>
              </w:rPr>
              <w:t>39.2</w:t>
            </w:r>
          </w:p>
        </w:tc>
        <w:tc>
          <w:tcPr>
            <w:tcW w:w="650" w:type="dxa"/>
            <w:shd w:val="clear" w:color="auto" w:fill="F3F9FA"/>
            <w:noWrap/>
            <w:vAlign w:val="bottom"/>
          </w:tcPr>
          <w:p w14:paraId="63DCE98A" w14:textId="05D97D1E" w:rsidR="00F12DBA" w:rsidRPr="00F12DBA" w:rsidRDefault="00F12DBA" w:rsidP="00F12DBA">
            <w:pPr>
              <w:spacing w:before="0" w:after="0"/>
              <w:jc w:val="center"/>
              <w:rPr>
                <w:sz w:val="16"/>
                <w:szCs w:val="16"/>
              </w:rPr>
            </w:pPr>
            <w:r w:rsidRPr="00F12DBA">
              <w:rPr>
                <w:sz w:val="16"/>
                <w:szCs w:val="16"/>
              </w:rPr>
              <w:t>0</w:t>
            </w:r>
          </w:p>
        </w:tc>
      </w:tr>
      <w:tr w:rsidR="00F12DBA" w:rsidRPr="00970B19" w14:paraId="404BA933" w14:textId="77777777" w:rsidTr="006F4537">
        <w:trPr>
          <w:jc w:val="center"/>
        </w:trPr>
        <w:tc>
          <w:tcPr>
            <w:tcW w:w="1388" w:type="dxa"/>
            <w:noWrap/>
            <w:vAlign w:val="bottom"/>
          </w:tcPr>
          <w:p w14:paraId="499CCA36" w14:textId="77777777" w:rsidR="00F12DBA" w:rsidRPr="00970B19" w:rsidRDefault="00F12DBA" w:rsidP="00F12DBA">
            <w:pPr>
              <w:spacing w:before="0" w:after="0"/>
              <w:rPr>
                <w:sz w:val="16"/>
                <w:szCs w:val="16"/>
              </w:rPr>
            </w:pPr>
          </w:p>
        </w:tc>
        <w:tc>
          <w:tcPr>
            <w:tcW w:w="1117" w:type="dxa"/>
            <w:shd w:val="clear" w:color="auto" w:fill="F3F9FA"/>
            <w:noWrap/>
            <w:vAlign w:val="bottom"/>
          </w:tcPr>
          <w:p w14:paraId="1F06648B" w14:textId="77777777" w:rsidR="00F12DBA" w:rsidRPr="00970B19" w:rsidRDefault="00F12DBA" w:rsidP="00F12DBA">
            <w:pPr>
              <w:spacing w:before="0" w:after="0"/>
              <w:jc w:val="center"/>
              <w:rPr>
                <w:sz w:val="16"/>
                <w:szCs w:val="16"/>
              </w:rPr>
            </w:pPr>
          </w:p>
        </w:tc>
        <w:tc>
          <w:tcPr>
            <w:tcW w:w="588" w:type="dxa"/>
            <w:shd w:val="clear" w:color="auto" w:fill="F3F9FA"/>
            <w:noWrap/>
            <w:vAlign w:val="bottom"/>
            <w:hideMark/>
          </w:tcPr>
          <w:p w14:paraId="534BE3B0" w14:textId="77777777" w:rsidR="00F12DBA" w:rsidRPr="00970B19" w:rsidRDefault="00F12DBA" w:rsidP="00F12DBA">
            <w:pPr>
              <w:spacing w:before="0" w:after="0"/>
              <w:jc w:val="center"/>
              <w:rPr>
                <w:sz w:val="16"/>
                <w:szCs w:val="16"/>
              </w:rPr>
            </w:pPr>
            <w:r w:rsidRPr="00970B19">
              <w:rPr>
                <w:sz w:val="16"/>
                <w:szCs w:val="16"/>
              </w:rPr>
              <w:t>DI3</w:t>
            </w:r>
          </w:p>
        </w:tc>
        <w:tc>
          <w:tcPr>
            <w:tcW w:w="951" w:type="dxa"/>
            <w:shd w:val="clear" w:color="auto" w:fill="F3F9FA"/>
            <w:noWrap/>
            <w:vAlign w:val="bottom"/>
            <w:hideMark/>
          </w:tcPr>
          <w:p w14:paraId="216AC3CF" w14:textId="4367B9DB" w:rsidR="00F12DBA" w:rsidRPr="00970B19" w:rsidRDefault="00F12DBA" w:rsidP="00F12DBA">
            <w:pPr>
              <w:spacing w:before="0" w:after="0"/>
              <w:jc w:val="center"/>
              <w:rPr>
                <w:sz w:val="16"/>
                <w:szCs w:val="16"/>
              </w:rPr>
            </w:pPr>
            <w:r>
              <w:rPr>
                <w:sz w:val="16"/>
                <w:szCs w:val="16"/>
              </w:rPr>
              <w:t>01-Jan-17</w:t>
            </w:r>
          </w:p>
        </w:tc>
        <w:tc>
          <w:tcPr>
            <w:tcW w:w="815" w:type="dxa"/>
            <w:shd w:val="clear" w:color="auto" w:fill="F3F9FA"/>
            <w:noWrap/>
            <w:vAlign w:val="bottom"/>
          </w:tcPr>
          <w:p w14:paraId="17E6B31E" w14:textId="6ABB5912" w:rsidR="00F12DBA" w:rsidRPr="00F12DBA" w:rsidRDefault="00F12DBA" w:rsidP="00F12DBA">
            <w:pPr>
              <w:spacing w:before="0" w:after="0"/>
              <w:jc w:val="center"/>
              <w:rPr>
                <w:sz w:val="16"/>
                <w:szCs w:val="16"/>
              </w:rPr>
            </w:pPr>
            <w:r w:rsidRPr="00F12DBA">
              <w:rPr>
                <w:sz w:val="16"/>
                <w:szCs w:val="16"/>
              </w:rPr>
              <w:t>0.5</w:t>
            </w:r>
          </w:p>
        </w:tc>
        <w:tc>
          <w:tcPr>
            <w:tcW w:w="823" w:type="dxa"/>
            <w:shd w:val="clear" w:color="auto" w:fill="F3F9FA"/>
            <w:noWrap/>
            <w:vAlign w:val="bottom"/>
          </w:tcPr>
          <w:p w14:paraId="0872545A" w14:textId="44FDA4E6" w:rsidR="00F12DBA" w:rsidRPr="00F12DBA" w:rsidRDefault="00F12DBA" w:rsidP="00F12DBA">
            <w:pPr>
              <w:spacing w:before="0" w:after="0"/>
              <w:jc w:val="center"/>
              <w:rPr>
                <w:sz w:val="16"/>
                <w:szCs w:val="16"/>
              </w:rPr>
            </w:pPr>
            <w:r w:rsidRPr="00F12DBA">
              <w:rPr>
                <w:sz w:val="16"/>
                <w:szCs w:val="16"/>
              </w:rPr>
              <w:t>0</w:t>
            </w:r>
          </w:p>
        </w:tc>
        <w:tc>
          <w:tcPr>
            <w:tcW w:w="888" w:type="dxa"/>
            <w:shd w:val="clear" w:color="auto" w:fill="F3F9FA"/>
            <w:noWrap/>
            <w:vAlign w:val="bottom"/>
            <w:hideMark/>
          </w:tcPr>
          <w:p w14:paraId="251ABAFE" w14:textId="4BAE784D" w:rsidR="00F12DBA" w:rsidRPr="00F12DBA" w:rsidRDefault="00F12DBA" w:rsidP="00F12DBA">
            <w:pPr>
              <w:spacing w:before="0" w:after="0"/>
              <w:jc w:val="center"/>
              <w:rPr>
                <w:sz w:val="16"/>
                <w:szCs w:val="16"/>
              </w:rPr>
            </w:pPr>
            <w:r w:rsidRPr="00F12DBA">
              <w:rPr>
                <w:sz w:val="16"/>
                <w:szCs w:val="16"/>
              </w:rPr>
              <w:t>26</w:t>
            </w:r>
          </w:p>
        </w:tc>
        <w:tc>
          <w:tcPr>
            <w:tcW w:w="888" w:type="dxa"/>
            <w:shd w:val="clear" w:color="auto" w:fill="F3F9FA"/>
            <w:noWrap/>
            <w:vAlign w:val="bottom"/>
            <w:hideMark/>
          </w:tcPr>
          <w:p w14:paraId="0D8461E4" w14:textId="551A430D" w:rsidR="00F12DBA" w:rsidRPr="00F12DBA" w:rsidRDefault="00F12DBA" w:rsidP="00F12DBA">
            <w:pPr>
              <w:spacing w:before="0" w:after="0"/>
              <w:jc w:val="center"/>
              <w:rPr>
                <w:sz w:val="16"/>
                <w:szCs w:val="16"/>
              </w:rPr>
            </w:pPr>
            <w:r w:rsidRPr="00F12DBA">
              <w:rPr>
                <w:sz w:val="16"/>
                <w:szCs w:val="16"/>
              </w:rPr>
              <w:t>33</w:t>
            </w:r>
          </w:p>
        </w:tc>
        <w:tc>
          <w:tcPr>
            <w:tcW w:w="888" w:type="dxa"/>
            <w:shd w:val="clear" w:color="auto" w:fill="F3F9FA"/>
            <w:noWrap/>
            <w:vAlign w:val="bottom"/>
            <w:hideMark/>
          </w:tcPr>
          <w:p w14:paraId="2AAC2379" w14:textId="55F6C4EE" w:rsidR="00F12DBA" w:rsidRPr="00F12DBA" w:rsidRDefault="00F12DBA" w:rsidP="00F12DBA">
            <w:pPr>
              <w:spacing w:before="0" w:after="0"/>
              <w:jc w:val="center"/>
              <w:rPr>
                <w:sz w:val="16"/>
                <w:szCs w:val="16"/>
              </w:rPr>
            </w:pPr>
            <w:r w:rsidRPr="00F12DBA">
              <w:rPr>
                <w:sz w:val="16"/>
                <w:szCs w:val="16"/>
              </w:rPr>
              <w:t>39.2</w:t>
            </w:r>
          </w:p>
        </w:tc>
        <w:tc>
          <w:tcPr>
            <w:tcW w:w="650" w:type="dxa"/>
            <w:shd w:val="clear" w:color="auto" w:fill="F3F9FA"/>
            <w:noWrap/>
            <w:vAlign w:val="bottom"/>
          </w:tcPr>
          <w:p w14:paraId="28D9A2EA" w14:textId="18CFB321" w:rsidR="00F12DBA" w:rsidRPr="00F12DBA" w:rsidRDefault="00F12DBA" w:rsidP="00F12DBA">
            <w:pPr>
              <w:spacing w:before="0" w:after="0"/>
              <w:jc w:val="center"/>
              <w:rPr>
                <w:sz w:val="16"/>
                <w:szCs w:val="16"/>
              </w:rPr>
            </w:pPr>
            <w:r w:rsidRPr="00F12DBA">
              <w:rPr>
                <w:sz w:val="16"/>
                <w:szCs w:val="16"/>
              </w:rPr>
              <w:t>0</w:t>
            </w:r>
          </w:p>
        </w:tc>
      </w:tr>
      <w:tr w:rsidR="00F12DBA" w:rsidRPr="00970B19" w14:paraId="5DED0870" w14:textId="77777777" w:rsidTr="006F4537">
        <w:trPr>
          <w:jc w:val="center"/>
        </w:trPr>
        <w:tc>
          <w:tcPr>
            <w:tcW w:w="1388" w:type="dxa"/>
            <w:noWrap/>
            <w:vAlign w:val="bottom"/>
          </w:tcPr>
          <w:p w14:paraId="31A6DA3A" w14:textId="77777777" w:rsidR="00F12DBA" w:rsidRPr="00970B19"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690EAE99" w14:textId="77777777" w:rsidR="00F12DBA" w:rsidRPr="00970B19" w:rsidRDefault="00F12DBA" w:rsidP="00F12DBA">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734D0104" w14:textId="77777777" w:rsidR="00F12DBA" w:rsidRPr="00970B19" w:rsidRDefault="00F12DBA" w:rsidP="00F12DBA">
            <w:pPr>
              <w:spacing w:before="0" w:after="0"/>
              <w:jc w:val="center"/>
              <w:rPr>
                <w:sz w:val="16"/>
                <w:szCs w:val="16"/>
              </w:rPr>
            </w:pPr>
            <w:r w:rsidRPr="00970B19">
              <w:rPr>
                <w:sz w:val="16"/>
                <w:szCs w:val="16"/>
              </w:rPr>
              <w:t>DI3</w:t>
            </w:r>
          </w:p>
        </w:tc>
        <w:tc>
          <w:tcPr>
            <w:tcW w:w="951" w:type="dxa"/>
            <w:tcBorders>
              <w:top w:val="nil"/>
              <w:left w:val="nil"/>
              <w:bottom w:val="single" w:sz="4" w:space="0" w:color="auto"/>
              <w:right w:val="nil"/>
            </w:tcBorders>
            <w:shd w:val="clear" w:color="auto" w:fill="F3F9FA"/>
            <w:noWrap/>
            <w:vAlign w:val="bottom"/>
            <w:hideMark/>
          </w:tcPr>
          <w:p w14:paraId="6C2CE3B2" w14:textId="463D7BB4" w:rsidR="00F12DBA" w:rsidRPr="00970B19" w:rsidRDefault="00F12DBA" w:rsidP="00F12DBA">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F3F9FA"/>
            <w:noWrap/>
            <w:vAlign w:val="bottom"/>
          </w:tcPr>
          <w:p w14:paraId="11281D6D" w14:textId="717BFDA7" w:rsidR="00F12DBA" w:rsidRPr="00F12DBA" w:rsidRDefault="00F12DBA" w:rsidP="00F12DBA">
            <w:pPr>
              <w:spacing w:before="0" w:after="0"/>
              <w:jc w:val="center"/>
              <w:rPr>
                <w:sz w:val="16"/>
                <w:szCs w:val="16"/>
              </w:rPr>
            </w:pPr>
            <w:r w:rsidRPr="00F12DBA">
              <w:rPr>
                <w:sz w:val="16"/>
                <w:szCs w:val="16"/>
              </w:rPr>
              <w:t>0.3</w:t>
            </w:r>
          </w:p>
        </w:tc>
        <w:tc>
          <w:tcPr>
            <w:tcW w:w="823" w:type="dxa"/>
            <w:tcBorders>
              <w:top w:val="nil"/>
              <w:left w:val="nil"/>
              <w:bottom w:val="single" w:sz="4" w:space="0" w:color="auto"/>
              <w:right w:val="nil"/>
            </w:tcBorders>
            <w:shd w:val="clear" w:color="auto" w:fill="F3F9FA"/>
            <w:noWrap/>
            <w:vAlign w:val="bottom"/>
          </w:tcPr>
          <w:p w14:paraId="4AFD9884" w14:textId="04558C24" w:rsidR="00F12DBA" w:rsidRPr="00F12DBA" w:rsidRDefault="00F12DBA" w:rsidP="00F12DBA">
            <w:pPr>
              <w:spacing w:before="0" w:after="0"/>
              <w:jc w:val="center"/>
              <w:rPr>
                <w:sz w:val="16"/>
                <w:szCs w:val="16"/>
              </w:rPr>
            </w:pPr>
            <w:r w:rsidRPr="00F12DBA">
              <w:rPr>
                <w:sz w:val="16"/>
                <w:szCs w:val="16"/>
              </w:rPr>
              <w:t>0</w:t>
            </w:r>
          </w:p>
        </w:tc>
        <w:tc>
          <w:tcPr>
            <w:tcW w:w="888" w:type="dxa"/>
            <w:tcBorders>
              <w:top w:val="nil"/>
              <w:left w:val="nil"/>
              <w:bottom w:val="single" w:sz="4" w:space="0" w:color="auto"/>
              <w:right w:val="nil"/>
            </w:tcBorders>
            <w:shd w:val="clear" w:color="auto" w:fill="F3F9FA"/>
            <w:noWrap/>
            <w:vAlign w:val="bottom"/>
            <w:hideMark/>
          </w:tcPr>
          <w:p w14:paraId="7DD0E973" w14:textId="24BA5287" w:rsidR="00F12DBA" w:rsidRPr="00F12DBA" w:rsidRDefault="00F12DBA" w:rsidP="00F12DBA">
            <w:pPr>
              <w:spacing w:before="0" w:after="0"/>
              <w:jc w:val="center"/>
              <w:rPr>
                <w:sz w:val="16"/>
                <w:szCs w:val="16"/>
              </w:rPr>
            </w:pPr>
            <w:r w:rsidRPr="00F12DBA">
              <w:rPr>
                <w:sz w:val="16"/>
                <w:szCs w:val="16"/>
              </w:rPr>
              <w:t>26</w:t>
            </w:r>
          </w:p>
        </w:tc>
        <w:tc>
          <w:tcPr>
            <w:tcW w:w="888" w:type="dxa"/>
            <w:tcBorders>
              <w:top w:val="nil"/>
              <w:left w:val="nil"/>
              <w:bottom w:val="single" w:sz="4" w:space="0" w:color="auto"/>
              <w:right w:val="nil"/>
            </w:tcBorders>
            <w:shd w:val="clear" w:color="auto" w:fill="F3F9FA"/>
            <w:noWrap/>
            <w:vAlign w:val="bottom"/>
            <w:hideMark/>
          </w:tcPr>
          <w:p w14:paraId="5298D763" w14:textId="6CA9F333" w:rsidR="00F12DBA" w:rsidRPr="00F12DBA" w:rsidRDefault="00F12DBA" w:rsidP="00F12DBA">
            <w:pPr>
              <w:spacing w:before="0" w:after="0"/>
              <w:jc w:val="center"/>
              <w:rPr>
                <w:sz w:val="16"/>
                <w:szCs w:val="16"/>
              </w:rPr>
            </w:pPr>
            <w:r w:rsidRPr="00F12DBA">
              <w:rPr>
                <w:sz w:val="16"/>
                <w:szCs w:val="16"/>
              </w:rPr>
              <w:t>33</w:t>
            </w:r>
          </w:p>
        </w:tc>
        <w:tc>
          <w:tcPr>
            <w:tcW w:w="888" w:type="dxa"/>
            <w:tcBorders>
              <w:top w:val="nil"/>
              <w:left w:val="nil"/>
              <w:bottom w:val="single" w:sz="4" w:space="0" w:color="auto"/>
              <w:right w:val="nil"/>
            </w:tcBorders>
            <w:shd w:val="clear" w:color="auto" w:fill="F3F9FA"/>
            <w:noWrap/>
            <w:vAlign w:val="bottom"/>
            <w:hideMark/>
          </w:tcPr>
          <w:p w14:paraId="4C8BDF7C" w14:textId="18EB55DA" w:rsidR="00F12DBA" w:rsidRPr="00F12DBA" w:rsidRDefault="00F12DBA" w:rsidP="00F12DBA">
            <w:pPr>
              <w:spacing w:before="0" w:after="0"/>
              <w:jc w:val="center"/>
              <w:rPr>
                <w:sz w:val="16"/>
                <w:szCs w:val="16"/>
              </w:rPr>
            </w:pPr>
            <w:r w:rsidRPr="00F12DBA">
              <w:rPr>
                <w:sz w:val="16"/>
                <w:szCs w:val="16"/>
              </w:rPr>
              <w:t>39.2</w:t>
            </w:r>
          </w:p>
        </w:tc>
        <w:tc>
          <w:tcPr>
            <w:tcW w:w="650" w:type="dxa"/>
            <w:tcBorders>
              <w:top w:val="nil"/>
              <w:left w:val="nil"/>
              <w:bottom w:val="single" w:sz="4" w:space="0" w:color="auto"/>
              <w:right w:val="nil"/>
            </w:tcBorders>
            <w:shd w:val="clear" w:color="auto" w:fill="F3F9FA"/>
            <w:noWrap/>
            <w:vAlign w:val="bottom"/>
          </w:tcPr>
          <w:p w14:paraId="2D096ED1" w14:textId="738EF373" w:rsidR="00F12DBA" w:rsidRPr="00F12DBA" w:rsidRDefault="00F12DBA" w:rsidP="00F12DBA">
            <w:pPr>
              <w:spacing w:before="0" w:after="0"/>
              <w:jc w:val="center"/>
              <w:rPr>
                <w:sz w:val="16"/>
                <w:szCs w:val="16"/>
              </w:rPr>
            </w:pPr>
            <w:r w:rsidRPr="00F12DBA">
              <w:rPr>
                <w:sz w:val="16"/>
                <w:szCs w:val="16"/>
              </w:rPr>
              <w:t>0</w:t>
            </w:r>
          </w:p>
        </w:tc>
      </w:tr>
      <w:tr w:rsidR="00F12DBA" w:rsidRPr="00F70C0D" w14:paraId="4FE42371" w14:textId="77777777" w:rsidTr="006F4537">
        <w:trPr>
          <w:jc w:val="center"/>
        </w:trPr>
        <w:tc>
          <w:tcPr>
            <w:tcW w:w="1388" w:type="dxa"/>
            <w:noWrap/>
            <w:vAlign w:val="bottom"/>
          </w:tcPr>
          <w:p w14:paraId="69699996" w14:textId="77777777" w:rsidR="00F12DBA" w:rsidRPr="00F70C0D" w:rsidRDefault="00F12DBA" w:rsidP="00F12DBA">
            <w:pPr>
              <w:spacing w:before="0" w:after="0"/>
              <w:rPr>
                <w:sz w:val="16"/>
                <w:szCs w:val="16"/>
              </w:rPr>
            </w:pPr>
          </w:p>
        </w:tc>
        <w:tc>
          <w:tcPr>
            <w:tcW w:w="1117" w:type="dxa"/>
            <w:tcBorders>
              <w:top w:val="single" w:sz="4" w:space="0" w:color="auto"/>
              <w:left w:val="nil"/>
              <w:bottom w:val="nil"/>
              <w:right w:val="nil"/>
            </w:tcBorders>
            <w:shd w:val="clear" w:color="auto" w:fill="E7F3F4"/>
            <w:noWrap/>
            <w:vAlign w:val="bottom"/>
            <w:hideMark/>
          </w:tcPr>
          <w:p w14:paraId="1335F4B9" w14:textId="77777777" w:rsidR="00F12DBA" w:rsidRPr="00F70C0D" w:rsidRDefault="00F12DBA" w:rsidP="00F12DBA">
            <w:pPr>
              <w:spacing w:before="0" w:after="0"/>
              <w:jc w:val="center"/>
              <w:rPr>
                <w:sz w:val="16"/>
                <w:szCs w:val="16"/>
              </w:rPr>
            </w:pPr>
            <w:r w:rsidRPr="00F70C0D">
              <w:rPr>
                <w:sz w:val="16"/>
                <w:szCs w:val="16"/>
              </w:rPr>
              <w:t>Green Island</w:t>
            </w:r>
          </w:p>
        </w:tc>
        <w:tc>
          <w:tcPr>
            <w:tcW w:w="588" w:type="dxa"/>
            <w:tcBorders>
              <w:top w:val="single" w:sz="4" w:space="0" w:color="auto"/>
              <w:left w:val="nil"/>
              <w:bottom w:val="nil"/>
              <w:right w:val="nil"/>
            </w:tcBorders>
            <w:shd w:val="clear" w:color="auto" w:fill="E7F3F4"/>
            <w:noWrap/>
            <w:vAlign w:val="bottom"/>
            <w:hideMark/>
          </w:tcPr>
          <w:p w14:paraId="17FA1FE5" w14:textId="77777777" w:rsidR="00F12DBA" w:rsidRPr="00F70C0D" w:rsidRDefault="00F12DBA" w:rsidP="00F12DBA">
            <w:pPr>
              <w:spacing w:before="0" w:after="0"/>
              <w:jc w:val="center"/>
              <w:rPr>
                <w:sz w:val="16"/>
                <w:szCs w:val="16"/>
              </w:rPr>
            </w:pPr>
            <w:r w:rsidRPr="00F70C0D">
              <w:rPr>
                <w:sz w:val="16"/>
                <w:szCs w:val="16"/>
              </w:rPr>
              <w:t>GI3</w:t>
            </w:r>
          </w:p>
        </w:tc>
        <w:tc>
          <w:tcPr>
            <w:tcW w:w="951" w:type="dxa"/>
            <w:tcBorders>
              <w:top w:val="single" w:sz="4" w:space="0" w:color="auto"/>
              <w:left w:val="nil"/>
              <w:bottom w:val="nil"/>
              <w:right w:val="nil"/>
            </w:tcBorders>
            <w:shd w:val="clear" w:color="auto" w:fill="E7F3F4"/>
            <w:noWrap/>
            <w:vAlign w:val="bottom"/>
            <w:hideMark/>
          </w:tcPr>
          <w:p w14:paraId="71A660FD" w14:textId="712572F9" w:rsidR="00F12DBA" w:rsidRPr="00F70C0D" w:rsidRDefault="00F12DBA" w:rsidP="00F12DBA">
            <w:pPr>
              <w:spacing w:before="0" w:after="0"/>
              <w:jc w:val="center"/>
              <w:rPr>
                <w:sz w:val="16"/>
                <w:szCs w:val="16"/>
              </w:rPr>
            </w:pPr>
            <w:r>
              <w:rPr>
                <w:sz w:val="16"/>
                <w:szCs w:val="16"/>
              </w:rPr>
              <w:t>01-Jul-16</w:t>
            </w:r>
          </w:p>
        </w:tc>
        <w:tc>
          <w:tcPr>
            <w:tcW w:w="815" w:type="dxa"/>
            <w:tcBorders>
              <w:top w:val="single" w:sz="4" w:space="0" w:color="auto"/>
              <w:left w:val="nil"/>
              <w:bottom w:val="nil"/>
              <w:right w:val="nil"/>
            </w:tcBorders>
            <w:shd w:val="clear" w:color="auto" w:fill="E7F3F4"/>
            <w:noWrap/>
            <w:vAlign w:val="bottom"/>
          </w:tcPr>
          <w:p w14:paraId="16E3D115" w14:textId="10892A01" w:rsidR="00F12DBA" w:rsidRPr="00F12DBA" w:rsidRDefault="00F12DBA" w:rsidP="00F12DBA">
            <w:pPr>
              <w:spacing w:before="0" w:after="0"/>
              <w:jc w:val="center"/>
              <w:rPr>
                <w:sz w:val="16"/>
                <w:szCs w:val="16"/>
              </w:rPr>
            </w:pPr>
            <w:r w:rsidRPr="00F12DBA">
              <w:rPr>
                <w:sz w:val="16"/>
                <w:szCs w:val="16"/>
              </w:rPr>
              <w:t>14.9</w:t>
            </w:r>
          </w:p>
        </w:tc>
        <w:tc>
          <w:tcPr>
            <w:tcW w:w="823" w:type="dxa"/>
            <w:tcBorders>
              <w:top w:val="single" w:sz="4" w:space="0" w:color="auto"/>
              <w:left w:val="nil"/>
              <w:bottom w:val="nil"/>
              <w:right w:val="nil"/>
            </w:tcBorders>
            <w:shd w:val="clear" w:color="auto" w:fill="E7F3F4"/>
            <w:noWrap/>
            <w:vAlign w:val="bottom"/>
          </w:tcPr>
          <w:p w14:paraId="3CD8E02E" w14:textId="6CB9392A" w:rsidR="00F12DBA" w:rsidRPr="00F12DBA" w:rsidRDefault="00F12DBA" w:rsidP="00F12DBA">
            <w:pPr>
              <w:spacing w:before="0" w:after="0"/>
              <w:jc w:val="center"/>
              <w:rPr>
                <w:sz w:val="16"/>
                <w:szCs w:val="16"/>
              </w:rPr>
            </w:pPr>
            <w:r w:rsidRPr="00F12DBA">
              <w:rPr>
                <w:sz w:val="16"/>
                <w:szCs w:val="16"/>
              </w:rPr>
              <w:t>16</w:t>
            </w:r>
          </w:p>
        </w:tc>
        <w:tc>
          <w:tcPr>
            <w:tcW w:w="888" w:type="dxa"/>
            <w:tcBorders>
              <w:top w:val="single" w:sz="4" w:space="0" w:color="auto"/>
              <w:left w:val="nil"/>
              <w:bottom w:val="nil"/>
              <w:right w:val="nil"/>
            </w:tcBorders>
            <w:shd w:val="clear" w:color="auto" w:fill="E7F3F4"/>
            <w:noWrap/>
            <w:vAlign w:val="bottom"/>
            <w:hideMark/>
          </w:tcPr>
          <w:p w14:paraId="671D1E79" w14:textId="6DD1AE22" w:rsidR="00F12DBA" w:rsidRPr="00F12DBA" w:rsidRDefault="00F12DBA" w:rsidP="00F12DBA">
            <w:pPr>
              <w:spacing w:before="0" w:after="0"/>
              <w:jc w:val="center"/>
              <w:rPr>
                <w:sz w:val="16"/>
                <w:szCs w:val="16"/>
              </w:rPr>
            </w:pPr>
            <w:r w:rsidRPr="00F12DBA">
              <w:rPr>
                <w:sz w:val="16"/>
                <w:szCs w:val="16"/>
              </w:rPr>
              <w:t>26</w:t>
            </w:r>
          </w:p>
        </w:tc>
        <w:tc>
          <w:tcPr>
            <w:tcW w:w="888" w:type="dxa"/>
            <w:tcBorders>
              <w:top w:val="single" w:sz="4" w:space="0" w:color="auto"/>
              <w:left w:val="nil"/>
              <w:bottom w:val="nil"/>
              <w:right w:val="nil"/>
            </w:tcBorders>
            <w:shd w:val="clear" w:color="auto" w:fill="E7F3F4"/>
            <w:noWrap/>
            <w:vAlign w:val="bottom"/>
            <w:hideMark/>
          </w:tcPr>
          <w:p w14:paraId="6326F906" w14:textId="79429092" w:rsidR="00F12DBA" w:rsidRPr="00F12DBA" w:rsidRDefault="00F12DBA" w:rsidP="00F12DBA">
            <w:pPr>
              <w:spacing w:before="0" w:after="0"/>
              <w:jc w:val="center"/>
              <w:rPr>
                <w:sz w:val="16"/>
                <w:szCs w:val="16"/>
              </w:rPr>
            </w:pPr>
            <w:r w:rsidRPr="00F12DBA">
              <w:rPr>
                <w:sz w:val="16"/>
                <w:szCs w:val="16"/>
              </w:rPr>
              <w:t>33</w:t>
            </w:r>
          </w:p>
        </w:tc>
        <w:tc>
          <w:tcPr>
            <w:tcW w:w="888" w:type="dxa"/>
            <w:tcBorders>
              <w:top w:val="single" w:sz="4" w:space="0" w:color="auto"/>
              <w:left w:val="nil"/>
              <w:bottom w:val="nil"/>
              <w:right w:val="nil"/>
            </w:tcBorders>
            <w:shd w:val="clear" w:color="auto" w:fill="E7F3F4"/>
            <w:noWrap/>
            <w:vAlign w:val="bottom"/>
            <w:hideMark/>
          </w:tcPr>
          <w:p w14:paraId="692C38B0" w14:textId="69CFB67A" w:rsidR="00F12DBA" w:rsidRPr="00F12DBA" w:rsidRDefault="00F12DBA" w:rsidP="00F12DBA">
            <w:pPr>
              <w:spacing w:before="0" w:after="0"/>
              <w:jc w:val="center"/>
              <w:rPr>
                <w:sz w:val="16"/>
                <w:szCs w:val="16"/>
              </w:rPr>
            </w:pPr>
            <w:r w:rsidRPr="00F12DBA">
              <w:rPr>
                <w:sz w:val="16"/>
                <w:szCs w:val="16"/>
              </w:rPr>
              <w:t>39.2</w:t>
            </w:r>
          </w:p>
        </w:tc>
        <w:tc>
          <w:tcPr>
            <w:tcW w:w="650" w:type="dxa"/>
            <w:tcBorders>
              <w:top w:val="single" w:sz="4" w:space="0" w:color="auto"/>
              <w:left w:val="nil"/>
              <w:bottom w:val="nil"/>
              <w:right w:val="nil"/>
            </w:tcBorders>
            <w:shd w:val="clear" w:color="auto" w:fill="E7F3F4"/>
            <w:noWrap/>
            <w:vAlign w:val="bottom"/>
          </w:tcPr>
          <w:p w14:paraId="6087AC26" w14:textId="50B91ED4" w:rsidR="00F12DBA" w:rsidRPr="00F12DBA" w:rsidRDefault="00F12DBA" w:rsidP="00F12DBA">
            <w:pPr>
              <w:spacing w:before="0" w:after="0"/>
              <w:jc w:val="center"/>
              <w:rPr>
                <w:sz w:val="16"/>
                <w:szCs w:val="16"/>
              </w:rPr>
            </w:pPr>
            <w:r w:rsidRPr="00F12DBA">
              <w:rPr>
                <w:sz w:val="16"/>
                <w:szCs w:val="16"/>
              </w:rPr>
              <w:t>25</w:t>
            </w:r>
          </w:p>
        </w:tc>
      </w:tr>
      <w:tr w:rsidR="00F12DBA" w:rsidRPr="00F70C0D" w14:paraId="23C0B8D0" w14:textId="77777777" w:rsidTr="006F4537">
        <w:trPr>
          <w:jc w:val="center"/>
        </w:trPr>
        <w:tc>
          <w:tcPr>
            <w:tcW w:w="1388" w:type="dxa"/>
            <w:noWrap/>
            <w:vAlign w:val="bottom"/>
          </w:tcPr>
          <w:p w14:paraId="7E3086A1" w14:textId="77777777" w:rsidR="00F12DBA" w:rsidRPr="00F70C0D" w:rsidRDefault="00F12DBA" w:rsidP="00F12DBA">
            <w:pPr>
              <w:spacing w:before="0" w:after="0"/>
              <w:rPr>
                <w:sz w:val="16"/>
                <w:szCs w:val="16"/>
              </w:rPr>
            </w:pPr>
          </w:p>
        </w:tc>
        <w:tc>
          <w:tcPr>
            <w:tcW w:w="1117" w:type="dxa"/>
            <w:shd w:val="clear" w:color="auto" w:fill="E7F3F4"/>
            <w:noWrap/>
            <w:vAlign w:val="bottom"/>
          </w:tcPr>
          <w:p w14:paraId="26A9D3DD" w14:textId="77777777" w:rsidR="00F12DBA" w:rsidRPr="00F70C0D" w:rsidRDefault="00F12DBA" w:rsidP="00F12DBA">
            <w:pPr>
              <w:spacing w:before="0" w:after="0"/>
              <w:jc w:val="center"/>
              <w:rPr>
                <w:sz w:val="16"/>
                <w:szCs w:val="16"/>
              </w:rPr>
            </w:pPr>
          </w:p>
        </w:tc>
        <w:tc>
          <w:tcPr>
            <w:tcW w:w="588" w:type="dxa"/>
            <w:shd w:val="clear" w:color="auto" w:fill="E7F3F4"/>
            <w:noWrap/>
            <w:vAlign w:val="bottom"/>
            <w:hideMark/>
          </w:tcPr>
          <w:p w14:paraId="5C31850C" w14:textId="77777777" w:rsidR="00F12DBA" w:rsidRPr="00F70C0D" w:rsidRDefault="00F12DBA" w:rsidP="00F12DBA">
            <w:pPr>
              <w:spacing w:before="0" w:after="0"/>
              <w:jc w:val="center"/>
              <w:rPr>
                <w:sz w:val="16"/>
                <w:szCs w:val="16"/>
              </w:rPr>
            </w:pPr>
            <w:r w:rsidRPr="00F70C0D">
              <w:rPr>
                <w:sz w:val="16"/>
                <w:szCs w:val="16"/>
              </w:rPr>
              <w:t>GI3</w:t>
            </w:r>
          </w:p>
        </w:tc>
        <w:tc>
          <w:tcPr>
            <w:tcW w:w="951" w:type="dxa"/>
            <w:shd w:val="clear" w:color="auto" w:fill="E7F3F4"/>
            <w:noWrap/>
            <w:vAlign w:val="bottom"/>
            <w:hideMark/>
          </w:tcPr>
          <w:p w14:paraId="72CA0D4D" w14:textId="7E8A2F61" w:rsidR="00F12DBA" w:rsidRPr="00F70C0D" w:rsidRDefault="00F12DBA" w:rsidP="00F12DBA">
            <w:pPr>
              <w:spacing w:before="0" w:after="0"/>
              <w:jc w:val="center"/>
              <w:rPr>
                <w:sz w:val="16"/>
                <w:szCs w:val="16"/>
              </w:rPr>
            </w:pPr>
            <w:r>
              <w:rPr>
                <w:sz w:val="16"/>
                <w:szCs w:val="16"/>
              </w:rPr>
              <w:t>01-Oct-16</w:t>
            </w:r>
          </w:p>
        </w:tc>
        <w:tc>
          <w:tcPr>
            <w:tcW w:w="815" w:type="dxa"/>
            <w:shd w:val="clear" w:color="auto" w:fill="E7F3F4"/>
            <w:noWrap/>
            <w:vAlign w:val="bottom"/>
          </w:tcPr>
          <w:p w14:paraId="4C6D2B0C" w14:textId="068C8BCC" w:rsidR="00F12DBA" w:rsidRPr="00F12DBA" w:rsidRDefault="00F12DBA" w:rsidP="00F12DBA">
            <w:pPr>
              <w:spacing w:before="0" w:after="0"/>
              <w:jc w:val="center"/>
              <w:rPr>
                <w:sz w:val="16"/>
                <w:szCs w:val="16"/>
              </w:rPr>
            </w:pPr>
            <w:r w:rsidRPr="00F12DBA">
              <w:rPr>
                <w:sz w:val="16"/>
                <w:szCs w:val="16"/>
              </w:rPr>
              <w:t>10.5</w:t>
            </w:r>
          </w:p>
        </w:tc>
        <w:tc>
          <w:tcPr>
            <w:tcW w:w="823" w:type="dxa"/>
            <w:shd w:val="clear" w:color="auto" w:fill="E7F3F4"/>
            <w:noWrap/>
            <w:vAlign w:val="bottom"/>
          </w:tcPr>
          <w:p w14:paraId="131950BE" w14:textId="02761BA4" w:rsidR="00F12DBA" w:rsidRPr="00F12DBA" w:rsidRDefault="00F12DBA" w:rsidP="00F12DBA">
            <w:pPr>
              <w:spacing w:before="0" w:after="0"/>
              <w:jc w:val="center"/>
              <w:rPr>
                <w:sz w:val="16"/>
                <w:szCs w:val="16"/>
              </w:rPr>
            </w:pPr>
            <w:r w:rsidRPr="00F12DBA">
              <w:rPr>
                <w:sz w:val="16"/>
                <w:szCs w:val="16"/>
              </w:rPr>
              <w:t>9</w:t>
            </w:r>
          </w:p>
        </w:tc>
        <w:tc>
          <w:tcPr>
            <w:tcW w:w="888" w:type="dxa"/>
            <w:shd w:val="clear" w:color="auto" w:fill="E7F3F4"/>
            <w:noWrap/>
            <w:vAlign w:val="bottom"/>
            <w:hideMark/>
          </w:tcPr>
          <w:p w14:paraId="4D3B3348" w14:textId="471E39A1" w:rsidR="00F12DBA" w:rsidRPr="00F12DBA" w:rsidRDefault="00F12DBA" w:rsidP="00F12DBA">
            <w:pPr>
              <w:spacing w:before="0" w:after="0"/>
              <w:jc w:val="center"/>
              <w:rPr>
                <w:sz w:val="16"/>
                <w:szCs w:val="16"/>
              </w:rPr>
            </w:pPr>
            <w:r w:rsidRPr="00F12DBA">
              <w:rPr>
                <w:sz w:val="16"/>
                <w:szCs w:val="16"/>
              </w:rPr>
              <w:t>26</w:t>
            </w:r>
          </w:p>
        </w:tc>
        <w:tc>
          <w:tcPr>
            <w:tcW w:w="888" w:type="dxa"/>
            <w:shd w:val="clear" w:color="auto" w:fill="E7F3F4"/>
            <w:noWrap/>
            <w:vAlign w:val="bottom"/>
            <w:hideMark/>
          </w:tcPr>
          <w:p w14:paraId="732B3C13" w14:textId="22905DE2" w:rsidR="00F12DBA" w:rsidRPr="00F12DBA" w:rsidRDefault="00F12DBA" w:rsidP="00F12DBA">
            <w:pPr>
              <w:spacing w:before="0" w:after="0"/>
              <w:jc w:val="center"/>
              <w:rPr>
                <w:sz w:val="16"/>
                <w:szCs w:val="16"/>
              </w:rPr>
            </w:pPr>
            <w:r w:rsidRPr="00F12DBA">
              <w:rPr>
                <w:sz w:val="16"/>
                <w:szCs w:val="16"/>
              </w:rPr>
              <w:t>33</w:t>
            </w:r>
          </w:p>
        </w:tc>
        <w:tc>
          <w:tcPr>
            <w:tcW w:w="888" w:type="dxa"/>
            <w:shd w:val="clear" w:color="auto" w:fill="E7F3F4"/>
            <w:noWrap/>
            <w:vAlign w:val="bottom"/>
            <w:hideMark/>
          </w:tcPr>
          <w:p w14:paraId="5CACACD2" w14:textId="0486788A" w:rsidR="00F12DBA" w:rsidRPr="00F12DBA" w:rsidRDefault="00F12DBA" w:rsidP="00F12DBA">
            <w:pPr>
              <w:spacing w:before="0" w:after="0"/>
              <w:jc w:val="center"/>
              <w:rPr>
                <w:sz w:val="16"/>
                <w:szCs w:val="16"/>
              </w:rPr>
            </w:pPr>
            <w:r w:rsidRPr="00F12DBA">
              <w:rPr>
                <w:sz w:val="16"/>
                <w:szCs w:val="16"/>
              </w:rPr>
              <w:t>39.2</w:t>
            </w:r>
          </w:p>
        </w:tc>
        <w:tc>
          <w:tcPr>
            <w:tcW w:w="650" w:type="dxa"/>
            <w:shd w:val="clear" w:color="auto" w:fill="E7F3F4"/>
            <w:noWrap/>
            <w:vAlign w:val="bottom"/>
          </w:tcPr>
          <w:p w14:paraId="676EE128" w14:textId="453E79B5" w:rsidR="00F12DBA" w:rsidRPr="00F12DBA" w:rsidRDefault="00F12DBA" w:rsidP="00F12DBA">
            <w:pPr>
              <w:spacing w:before="0" w:after="0"/>
              <w:jc w:val="center"/>
              <w:rPr>
                <w:sz w:val="16"/>
                <w:szCs w:val="16"/>
              </w:rPr>
            </w:pPr>
            <w:r w:rsidRPr="00F12DBA">
              <w:rPr>
                <w:sz w:val="16"/>
                <w:szCs w:val="16"/>
              </w:rPr>
              <w:t>0</w:t>
            </w:r>
          </w:p>
        </w:tc>
      </w:tr>
      <w:tr w:rsidR="00F12DBA" w:rsidRPr="00F70C0D" w14:paraId="24639C09" w14:textId="77777777" w:rsidTr="006F4537">
        <w:trPr>
          <w:jc w:val="center"/>
        </w:trPr>
        <w:tc>
          <w:tcPr>
            <w:tcW w:w="1388" w:type="dxa"/>
            <w:noWrap/>
            <w:vAlign w:val="bottom"/>
          </w:tcPr>
          <w:p w14:paraId="4578C003" w14:textId="77777777" w:rsidR="00F12DBA" w:rsidRPr="00F70C0D"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E7F3F4"/>
            <w:noWrap/>
            <w:vAlign w:val="bottom"/>
          </w:tcPr>
          <w:p w14:paraId="446B159F" w14:textId="77777777" w:rsidR="00F12DBA" w:rsidRPr="00F70C0D" w:rsidRDefault="00F12DBA" w:rsidP="00F12DBA">
            <w:pPr>
              <w:spacing w:before="0" w:after="0"/>
              <w:jc w:val="center"/>
              <w:rPr>
                <w:sz w:val="16"/>
                <w:szCs w:val="16"/>
              </w:rPr>
            </w:pPr>
          </w:p>
        </w:tc>
        <w:tc>
          <w:tcPr>
            <w:tcW w:w="588" w:type="dxa"/>
            <w:tcBorders>
              <w:top w:val="nil"/>
              <w:left w:val="nil"/>
              <w:bottom w:val="single" w:sz="4" w:space="0" w:color="auto"/>
              <w:right w:val="nil"/>
            </w:tcBorders>
            <w:shd w:val="clear" w:color="auto" w:fill="E7F3F4"/>
            <w:noWrap/>
            <w:vAlign w:val="bottom"/>
            <w:hideMark/>
          </w:tcPr>
          <w:p w14:paraId="5B294921" w14:textId="77777777" w:rsidR="00F12DBA" w:rsidRPr="00F70C0D" w:rsidRDefault="00F12DBA" w:rsidP="00F12DBA">
            <w:pPr>
              <w:spacing w:before="0" w:after="0"/>
              <w:jc w:val="center"/>
              <w:rPr>
                <w:sz w:val="16"/>
                <w:szCs w:val="16"/>
              </w:rPr>
            </w:pPr>
            <w:r w:rsidRPr="00F70C0D">
              <w:rPr>
                <w:sz w:val="16"/>
                <w:szCs w:val="16"/>
              </w:rPr>
              <w:t>GI3</w:t>
            </w:r>
          </w:p>
        </w:tc>
        <w:tc>
          <w:tcPr>
            <w:tcW w:w="951" w:type="dxa"/>
            <w:tcBorders>
              <w:top w:val="nil"/>
              <w:left w:val="nil"/>
              <w:bottom w:val="single" w:sz="4" w:space="0" w:color="auto"/>
              <w:right w:val="nil"/>
            </w:tcBorders>
            <w:shd w:val="clear" w:color="auto" w:fill="E7F3F4"/>
            <w:noWrap/>
            <w:vAlign w:val="bottom"/>
            <w:hideMark/>
          </w:tcPr>
          <w:p w14:paraId="59E7650F" w14:textId="20E33BC2" w:rsidR="00F12DBA" w:rsidRPr="00F70C0D" w:rsidRDefault="00F12DBA" w:rsidP="00F12DBA">
            <w:pPr>
              <w:spacing w:before="0" w:after="0"/>
              <w:jc w:val="center"/>
              <w:rPr>
                <w:sz w:val="16"/>
                <w:szCs w:val="16"/>
              </w:rPr>
            </w:pPr>
            <w:r>
              <w:rPr>
                <w:sz w:val="16"/>
                <w:szCs w:val="16"/>
              </w:rPr>
              <w:t>01-Jan-17</w:t>
            </w:r>
          </w:p>
        </w:tc>
        <w:tc>
          <w:tcPr>
            <w:tcW w:w="815" w:type="dxa"/>
            <w:tcBorders>
              <w:top w:val="nil"/>
              <w:left w:val="nil"/>
              <w:bottom w:val="single" w:sz="4" w:space="0" w:color="auto"/>
              <w:right w:val="nil"/>
            </w:tcBorders>
            <w:shd w:val="clear" w:color="auto" w:fill="E7F3F4"/>
            <w:noWrap/>
            <w:vAlign w:val="bottom"/>
          </w:tcPr>
          <w:p w14:paraId="1D1CC3C6" w14:textId="050FDA54" w:rsidR="00F12DBA" w:rsidRPr="00F12DBA" w:rsidRDefault="00F12DBA" w:rsidP="00F12DBA">
            <w:pPr>
              <w:spacing w:before="0" w:after="0"/>
              <w:jc w:val="center"/>
              <w:rPr>
                <w:sz w:val="16"/>
                <w:szCs w:val="16"/>
              </w:rPr>
            </w:pPr>
            <w:r w:rsidRPr="00F12DBA">
              <w:rPr>
                <w:sz w:val="16"/>
                <w:szCs w:val="16"/>
              </w:rPr>
              <w:t>11.0</w:t>
            </w:r>
          </w:p>
        </w:tc>
        <w:tc>
          <w:tcPr>
            <w:tcW w:w="823" w:type="dxa"/>
            <w:tcBorders>
              <w:top w:val="nil"/>
              <w:left w:val="nil"/>
              <w:bottom w:val="single" w:sz="4" w:space="0" w:color="auto"/>
              <w:right w:val="nil"/>
            </w:tcBorders>
            <w:shd w:val="clear" w:color="auto" w:fill="E7F3F4"/>
            <w:noWrap/>
            <w:vAlign w:val="bottom"/>
          </w:tcPr>
          <w:p w14:paraId="738F35CE" w14:textId="0A48B22B" w:rsidR="00F12DBA" w:rsidRPr="00F12DBA" w:rsidRDefault="00F12DBA" w:rsidP="00F12DBA">
            <w:pPr>
              <w:spacing w:before="0" w:after="0"/>
              <w:jc w:val="center"/>
              <w:rPr>
                <w:sz w:val="16"/>
                <w:szCs w:val="16"/>
              </w:rPr>
            </w:pPr>
            <w:r w:rsidRPr="00F12DBA">
              <w:rPr>
                <w:sz w:val="16"/>
                <w:szCs w:val="16"/>
              </w:rPr>
              <w:t>10</w:t>
            </w:r>
          </w:p>
        </w:tc>
        <w:tc>
          <w:tcPr>
            <w:tcW w:w="888" w:type="dxa"/>
            <w:tcBorders>
              <w:top w:val="nil"/>
              <w:left w:val="nil"/>
              <w:bottom w:val="single" w:sz="4" w:space="0" w:color="auto"/>
              <w:right w:val="nil"/>
            </w:tcBorders>
            <w:shd w:val="clear" w:color="auto" w:fill="E7F3F4"/>
            <w:noWrap/>
            <w:vAlign w:val="bottom"/>
            <w:hideMark/>
          </w:tcPr>
          <w:p w14:paraId="5810067D" w14:textId="576DA7D2" w:rsidR="00F12DBA" w:rsidRPr="00F12DBA" w:rsidRDefault="00F12DBA" w:rsidP="00F12DBA">
            <w:pPr>
              <w:spacing w:before="0" w:after="0"/>
              <w:jc w:val="center"/>
              <w:rPr>
                <w:sz w:val="16"/>
                <w:szCs w:val="16"/>
              </w:rPr>
            </w:pPr>
            <w:r w:rsidRPr="00F12DBA">
              <w:rPr>
                <w:sz w:val="16"/>
                <w:szCs w:val="16"/>
              </w:rPr>
              <w:t>26</w:t>
            </w:r>
          </w:p>
        </w:tc>
        <w:tc>
          <w:tcPr>
            <w:tcW w:w="888" w:type="dxa"/>
            <w:tcBorders>
              <w:top w:val="nil"/>
              <w:left w:val="nil"/>
              <w:bottom w:val="single" w:sz="4" w:space="0" w:color="auto"/>
              <w:right w:val="nil"/>
            </w:tcBorders>
            <w:shd w:val="clear" w:color="auto" w:fill="E7F3F4"/>
            <w:noWrap/>
            <w:vAlign w:val="bottom"/>
            <w:hideMark/>
          </w:tcPr>
          <w:p w14:paraId="79D5BD67" w14:textId="3F7E7AE3" w:rsidR="00F12DBA" w:rsidRPr="00F12DBA" w:rsidRDefault="00F12DBA" w:rsidP="00F12DBA">
            <w:pPr>
              <w:spacing w:before="0" w:after="0"/>
              <w:jc w:val="center"/>
              <w:rPr>
                <w:sz w:val="16"/>
                <w:szCs w:val="16"/>
              </w:rPr>
            </w:pPr>
            <w:r w:rsidRPr="00F12DBA">
              <w:rPr>
                <w:sz w:val="16"/>
                <w:szCs w:val="16"/>
              </w:rPr>
              <w:t>33</w:t>
            </w:r>
          </w:p>
        </w:tc>
        <w:tc>
          <w:tcPr>
            <w:tcW w:w="888" w:type="dxa"/>
            <w:tcBorders>
              <w:top w:val="nil"/>
              <w:left w:val="nil"/>
              <w:bottom w:val="single" w:sz="4" w:space="0" w:color="auto"/>
              <w:right w:val="nil"/>
            </w:tcBorders>
            <w:shd w:val="clear" w:color="auto" w:fill="E7F3F4"/>
            <w:noWrap/>
            <w:vAlign w:val="bottom"/>
            <w:hideMark/>
          </w:tcPr>
          <w:p w14:paraId="17D00A03" w14:textId="2F537EF1" w:rsidR="00F12DBA" w:rsidRPr="00F12DBA" w:rsidRDefault="00F12DBA" w:rsidP="00F12DBA">
            <w:pPr>
              <w:spacing w:before="0" w:after="0"/>
              <w:jc w:val="center"/>
              <w:rPr>
                <w:sz w:val="16"/>
                <w:szCs w:val="16"/>
              </w:rPr>
            </w:pPr>
            <w:r w:rsidRPr="00F12DBA">
              <w:rPr>
                <w:sz w:val="16"/>
                <w:szCs w:val="16"/>
              </w:rPr>
              <w:t>39.2</w:t>
            </w:r>
          </w:p>
        </w:tc>
        <w:tc>
          <w:tcPr>
            <w:tcW w:w="650" w:type="dxa"/>
            <w:tcBorders>
              <w:top w:val="nil"/>
              <w:left w:val="nil"/>
              <w:bottom w:val="single" w:sz="4" w:space="0" w:color="auto"/>
              <w:right w:val="nil"/>
            </w:tcBorders>
            <w:shd w:val="clear" w:color="auto" w:fill="E7F3F4"/>
            <w:noWrap/>
            <w:vAlign w:val="bottom"/>
          </w:tcPr>
          <w:p w14:paraId="231CD6A7" w14:textId="0D9C8897" w:rsidR="00F12DBA" w:rsidRPr="00F12DBA" w:rsidRDefault="00F12DBA" w:rsidP="00F12DBA">
            <w:pPr>
              <w:spacing w:before="0" w:after="0"/>
              <w:jc w:val="center"/>
              <w:rPr>
                <w:sz w:val="16"/>
                <w:szCs w:val="16"/>
              </w:rPr>
            </w:pPr>
            <w:r w:rsidRPr="00F12DBA">
              <w:rPr>
                <w:sz w:val="16"/>
                <w:szCs w:val="16"/>
              </w:rPr>
              <w:t>25</w:t>
            </w:r>
          </w:p>
        </w:tc>
      </w:tr>
      <w:tr w:rsidR="00F12DBA" w:rsidRPr="00701A9E" w14:paraId="769086AB" w14:textId="77777777" w:rsidTr="006F4537">
        <w:trPr>
          <w:jc w:val="center"/>
        </w:trPr>
        <w:tc>
          <w:tcPr>
            <w:tcW w:w="1388" w:type="dxa"/>
            <w:noWrap/>
            <w:vAlign w:val="bottom"/>
          </w:tcPr>
          <w:p w14:paraId="1C65D72B" w14:textId="77777777" w:rsidR="00F12DBA" w:rsidRPr="00701A9E" w:rsidRDefault="00F12DBA" w:rsidP="00F12DBA">
            <w:pPr>
              <w:spacing w:before="0" w:after="0"/>
              <w:rPr>
                <w:sz w:val="16"/>
                <w:szCs w:val="16"/>
              </w:rPr>
            </w:pPr>
          </w:p>
        </w:tc>
        <w:tc>
          <w:tcPr>
            <w:tcW w:w="1117" w:type="dxa"/>
            <w:tcBorders>
              <w:top w:val="single" w:sz="4" w:space="0" w:color="auto"/>
              <w:left w:val="nil"/>
              <w:bottom w:val="nil"/>
              <w:right w:val="nil"/>
            </w:tcBorders>
            <w:shd w:val="clear" w:color="auto" w:fill="F3F9FA"/>
            <w:noWrap/>
            <w:vAlign w:val="bottom"/>
            <w:hideMark/>
          </w:tcPr>
          <w:p w14:paraId="09FC548E" w14:textId="77777777" w:rsidR="00F12DBA" w:rsidRPr="00701A9E" w:rsidRDefault="00F12DBA" w:rsidP="00F12DBA">
            <w:pPr>
              <w:spacing w:before="0" w:after="0"/>
              <w:jc w:val="center"/>
              <w:rPr>
                <w:sz w:val="16"/>
                <w:szCs w:val="16"/>
              </w:rPr>
            </w:pPr>
            <w:r w:rsidRPr="00701A9E">
              <w:rPr>
                <w:sz w:val="16"/>
                <w:szCs w:val="16"/>
              </w:rPr>
              <w:t>Low Isles</w:t>
            </w:r>
          </w:p>
        </w:tc>
        <w:tc>
          <w:tcPr>
            <w:tcW w:w="588" w:type="dxa"/>
            <w:tcBorders>
              <w:top w:val="single" w:sz="4" w:space="0" w:color="auto"/>
              <w:left w:val="nil"/>
              <w:bottom w:val="nil"/>
              <w:right w:val="nil"/>
            </w:tcBorders>
            <w:shd w:val="clear" w:color="auto" w:fill="F3F9FA"/>
            <w:noWrap/>
            <w:vAlign w:val="bottom"/>
            <w:hideMark/>
          </w:tcPr>
          <w:p w14:paraId="30448D73" w14:textId="77777777" w:rsidR="00F12DBA" w:rsidRPr="00701A9E" w:rsidRDefault="00F12DBA" w:rsidP="00F12DBA">
            <w:pPr>
              <w:spacing w:before="0" w:after="0"/>
              <w:jc w:val="center"/>
              <w:rPr>
                <w:sz w:val="16"/>
                <w:szCs w:val="16"/>
              </w:rPr>
            </w:pPr>
            <w:r w:rsidRPr="00701A9E">
              <w:rPr>
                <w:sz w:val="16"/>
                <w:szCs w:val="16"/>
              </w:rPr>
              <w:t>LI2</w:t>
            </w:r>
          </w:p>
        </w:tc>
        <w:tc>
          <w:tcPr>
            <w:tcW w:w="951" w:type="dxa"/>
            <w:tcBorders>
              <w:top w:val="single" w:sz="4" w:space="0" w:color="auto"/>
              <w:left w:val="nil"/>
              <w:bottom w:val="nil"/>
              <w:right w:val="nil"/>
            </w:tcBorders>
            <w:shd w:val="clear" w:color="auto" w:fill="F3F9FA"/>
            <w:noWrap/>
            <w:vAlign w:val="bottom"/>
            <w:hideMark/>
          </w:tcPr>
          <w:p w14:paraId="50F341A7" w14:textId="3EB4D8E0" w:rsidR="00F12DBA" w:rsidRPr="00701A9E" w:rsidRDefault="00F12DBA" w:rsidP="00F12DBA">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F3F9FA"/>
            <w:noWrap/>
            <w:vAlign w:val="bottom"/>
          </w:tcPr>
          <w:p w14:paraId="1F2A8B72" w14:textId="62186EBA" w:rsidR="00F12DBA" w:rsidRPr="00F12DBA" w:rsidRDefault="00F12DBA" w:rsidP="00F12DBA">
            <w:pPr>
              <w:spacing w:before="0" w:after="0"/>
              <w:jc w:val="center"/>
              <w:rPr>
                <w:sz w:val="16"/>
                <w:szCs w:val="16"/>
              </w:rPr>
            </w:pPr>
            <w:r w:rsidRPr="00F12DBA">
              <w:rPr>
                <w:sz w:val="16"/>
                <w:szCs w:val="16"/>
              </w:rPr>
              <w:t>0.1</w:t>
            </w:r>
          </w:p>
        </w:tc>
        <w:tc>
          <w:tcPr>
            <w:tcW w:w="823" w:type="dxa"/>
            <w:tcBorders>
              <w:top w:val="single" w:sz="4" w:space="0" w:color="auto"/>
              <w:left w:val="nil"/>
              <w:bottom w:val="nil"/>
              <w:right w:val="nil"/>
            </w:tcBorders>
            <w:shd w:val="clear" w:color="auto" w:fill="F3F9FA"/>
            <w:noWrap/>
            <w:vAlign w:val="bottom"/>
          </w:tcPr>
          <w:p w14:paraId="3E345DD8" w14:textId="28FAF031" w:rsidR="00F12DBA" w:rsidRPr="00F12DBA" w:rsidRDefault="00F12DBA" w:rsidP="00F12DBA">
            <w:pPr>
              <w:spacing w:before="0" w:after="0"/>
              <w:jc w:val="center"/>
              <w:rPr>
                <w:sz w:val="16"/>
                <w:szCs w:val="16"/>
              </w:rPr>
            </w:pPr>
            <w:r w:rsidRPr="00F12DBA">
              <w:rPr>
                <w:sz w:val="16"/>
                <w:szCs w:val="16"/>
              </w:rPr>
              <w:t>0</w:t>
            </w:r>
          </w:p>
        </w:tc>
        <w:tc>
          <w:tcPr>
            <w:tcW w:w="888" w:type="dxa"/>
            <w:tcBorders>
              <w:top w:val="single" w:sz="4" w:space="0" w:color="auto"/>
              <w:left w:val="nil"/>
              <w:bottom w:val="nil"/>
              <w:right w:val="nil"/>
            </w:tcBorders>
            <w:shd w:val="clear" w:color="auto" w:fill="F3F9FA"/>
            <w:noWrap/>
            <w:vAlign w:val="bottom"/>
            <w:hideMark/>
          </w:tcPr>
          <w:p w14:paraId="7A01019B" w14:textId="6EA77CE3" w:rsidR="00F12DBA" w:rsidRPr="00F12DBA" w:rsidRDefault="00F12DBA" w:rsidP="00F12DBA">
            <w:pPr>
              <w:spacing w:before="0" w:after="0"/>
              <w:jc w:val="center"/>
              <w:rPr>
                <w:sz w:val="16"/>
                <w:szCs w:val="16"/>
              </w:rPr>
            </w:pPr>
            <w:r w:rsidRPr="00F12DBA">
              <w:rPr>
                <w:sz w:val="16"/>
                <w:szCs w:val="16"/>
              </w:rPr>
              <w:t>26</w:t>
            </w:r>
          </w:p>
        </w:tc>
        <w:tc>
          <w:tcPr>
            <w:tcW w:w="888" w:type="dxa"/>
            <w:tcBorders>
              <w:top w:val="single" w:sz="4" w:space="0" w:color="auto"/>
              <w:left w:val="nil"/>
              <w:bottom w:val="nil"/>
              <w:right w:val="nil"/>
            </w:tcBorders>
            <w:shd w:val="clear" w:color="auto" w:fill="F3F9FA"/>
            <w:noWrap/>
            <w:vAlign w:val="bottom"/>
            <w:hideMark/>
          </w:tcPr>
          <w:p w14:paraId="13A784DB" w14:textId="028BBA1D" w:rsidR="00F12DBA" w:rsidRPr="00F12DBA" w:rsidRDefault="00F12DBA" w:rsidP="00F12DBA">
            <w:pPr>
              <w:spacing w:before="0" w:after="0"/>
              <w:jc w:val="center"/>
              <w:rPr>
                <w:sz w:val="16"/>
                <w:szCs w:val="16"/>
              </w:rPr>
            </w:pPr>
            <w:r w:rsidRPr="00F12DBA">
              <w:rPr>
                <w:sz w:val="16"/>
                <w:szCs w:val="16"/>
              </w:rPr>
              <w:t>33</w:t>
            </w:r>
          </w:p>
        </w:tc>
        <w:tc>
          <w:tcPr>
            <w:tcW w:w="888" w:type="dxa"/>
            <w:tcBorders>
              <w:top w:val="single" w:sz="4" w:space="0" w:color="auto"/>
              <w:left w:val="nil"/>
              <w:bottom w:val="nil"/>
              <w:right w:val="nil"/>
            </w:tcBorders>
            <w:shd w:val="clear" w:color="auto" w:fill="F3F9FA"/>
            <w:noWrap/>
            <w:vAlign w:val="bottom"/>
            <w:hideMark/>
          </w:tcPr>
          <w:p w14:paraId="1CA08E77" w14:textId="64785CFF" w:rsidR="00F12DBA" w:rsidRPr="00F12DBA" w:rsidRDefault="00F12DBA" w:rsidP="00F12DBA">
            <w:pPr>
              <w:spacing w:before="0" w:after="0"/>
              <w:jc w:val="center"/>
              <w:rPr>
                <w:sz w:val="16"/>
                <w:szCs w:val="16"/>
              </w:rPr>
            </w:pPr>
            <w:r w:rsidRPr="00F12DBA">
              <w:rPr>
                <w:sz w:val="16"/>
                <w:szCs w:val="16"/>
              </w:rPr>
              <w:t>39.2</w:t>
            </w:r>
          </w:p>
        </w:tc>
        <w:tc>
          <w:tcPr>
            <w:tcW w:w="650" w:type="dxa"/>
            <w:tcBorders>
              <w:top w:val="single" w:sz="4" w:space="0" w:color="auto"/>
              <w:left w:val="nil"/>
              <w:bottom w:val="nil"/>
              <w:right w:val="nil"/>
            </w:tcBorders>
            <w:shd w:val="clear" w:color="auto" w:fill="F3F9FA"/>
            <w:noWrap/>
            <w:vAlign w:val="bottom"/>
          </w:tcPr>
          <w:p w14:paraId="56863AF4" w14:textId="77B0F55D" w:rsidR="00F12DBA" w:rsidRPr="00F12DBA" w:rsidRDefault="00F12DBA" w:rsidP="00F12DBA">
            <w:pPr>
              <w:spacing w:before="0" w:after="0"/>
              <w:jc w:val="center"/>
              <w:rPr>
                <w:sz w:val="16"/>
                <w:szCs w:val="16"/>
              </w:rPr>
            </w:pPr>
            <w:r w:rsidRPr="00F12DBA">
              <w:rPr>
                <w:sz w:val="16"/>
                <w:szCs w:val="16"/>
              </w:rPr>
              <w:t>0</w:t>
            </w:r>
          </w:p>
        </w:tc>
      </w:tr>
      <w:tr w:rsidR="00F12DBA" w:rsidRPr="00701A9E" w14:paraId="173C9DD5" w14:textId="77777777" w:rsidTr="006F4537">
        <w:trPr>
          <w:jc w:val="center"/>
        </w:trPr>
        <w:tc>
          <w:tcPr>
            <w:tcW w:w="1388" w:type="dxa"/>
            <w:tcBorders>
              <w:top w:val="nil"/>
              <w:left w:val="nil"/>
              <w:bottom w:val="single" w:sz="4" w:space="0" w:color="auto"/>
              <w:right w:val="nil"/>
            </w:tcBorders>
            <w:noWrap/>
            <w:vAlign w:val="bottom"/>
          </w:tcPr>
          <w:p w14:paraId="488F8F21" w14:textId="77777777" w:rsidR="00F12DBA" w:rsidRPr="00701A9E" w:rsidRDefault="00F12DBA" w:rsidP="00F12DBA">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4672BCE1" w14:textId="77777777" w:rsidR="00F12DBA" w:rsidRPr="00701A9E" w:rsidRDefault="00F12DBA" w:rsidP="00F12DBA">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3AC4E00D" w14:textId="77777777" w:rsidR="00F12DBA" w:rsidRPr="00701A9E" w:rsidRDefault="00F12DBA" w:rsidP="00F12DBA">
            <w:pPr>
              <w:spacing w:before="0" w:after="0"/>
              <w:jc w:val="center"/>
              <w:rPr>
                <w:sz w:val="16"/>
                <w:szCs w:val="16"/>
              </w:rPr>
            </w:pPr>
            <w:r w:rsidRPr="00701A9E">
              <w:rPr>
                <w:sz w:val="16"/>
                <w:szCs w:val="16"/>
              </w:rPr>
              <w:t>LI2</w:t>
            </w:r>
          </w:p>
        </w:tc>
        <w:tc>
          <w:tcPr>
            <w:tcW w:w="951" w:type="dxa"/>
            <w:tcBorders>
              <w:top w:val="nil"/>
              <w:left w:val="nil"/>
              <w:bottom w:val="single" w:sz="4" w:space="0" w:color="auto"/>
              <w:right w:val="nil"/>
            </w:tcBorders>
            <w:shd w:val="clear" w:color="auto" w:fill="F3F9FA"/>
            <w:noWrap/>
            <w:vAlign w:val="bottom"/>
            <w:hideMark/>
          </w:tcPr>
          <w:p w14:paraId="2DD4242C" w14:textId="446F3BFE" w:rsidR="00F12DBA" w:rsidRPr="00701A9E" w:rsidRDefault="00F12DBA" w:rsidP="00F12DBA">
            <w:pPr>
              <w:spacing w:before="0" w:after="0"/>
              <w:jc w:val="center"/>
              <w:rPr>
                <w:sz w:val="16"/>
                <w:szCs w:val="16"/>
              </w:rPr>
            </w:pPr>
            <w:r>
              <w:rPr>
                <w:sz w:val="16"/>
                <w:szCs w:val="16"/>
              </w:rPr>
              <w:t>01-Jan-17</w:t>
            </w:r>
          </w:p>
        </w:tc>
        <w:tc>
          <w:tcPr>
            <w:tcW w:w="815" w:type="dxa"/>
            <w:tcBorders>
              <w:top w:val="nil"/>
              <w:left w:val="nil"/>
              <w:bottom w:val="single" w:sz="4" w:space="0" w:color="auto"/>
              <w:right w:val="nil"/>
            </w:tcBorders>
            <w:shd w:val="clear" w:color="auto" w:fill="F3F9FA"/>
            <w:noWrap/>
            <w:vAlign w:val="bottom"/>
          </w:tcPr>
          <w:p w14:paraId="3E7C7078" w14:textId="7EBA9124" w:rsidR="00F12DBA" w:rsidRPr="00F12DBA" w:rsidRDefault="00F12DBA" w:rsidP="00F12DBA">
            <w:pPr>
              <w:spacing w:before="0" w:after="0"/>
              <w:jc w:val="center"/>
              <w:rPr>
                <w:sz w:val="16"/>
                <w:szCs w:val="16"/>
              </w:rPr>
            </w:pPr>
            <w:r w:rsidRPr="00F12DBA">
              <w:rPr>
                <w:sz w:val="16"/>
                <w:szCs w:val="16"/>
              </w:rPr>
              <w:t>0.0</w:t>
            </w:r>
          </w:p>
        </w:tc>
        <w:tc>
          <w:tcPr>
            <w:tcW w:w="823" w:type="dxa"/>
            <w:tcBorders>
              <w:top w:val="nil"/>
              <w:left w:val="nil"/>
              <w:bottom w:val="single" w:sz="4" w:space="0" w:color="auto"/>
              <w:right w:val="nil"/>
            </w:tcBorders>
            <w:shd w:val="clear" w:color="auto" w:fill="F3F9FA"/>
            <w:noWrap/>
            <w:vAlign w:val="bottom"/>
          </w:tcPr>
          <w:p w14:paraId="46F3862F" w14:textId="1852F130" w:rsidR="00F12DBA" w:rsidRPr="00F12DBA" w:rsidRDefault="00F12DBA" w:rsidP="00F12DBA">
            <w:pPr>
              <w:spacing w:before="0" w:after="0"/>
              <w:jc w:val="center"/>
              <w:rPr>
                <w:sz w:val="16"/>
                <w:szCs w:val="16"/>
              </w:rPr>
            </w:pPr>
            <w:r w:rsidRPr="00F12DBA">
              <w:rPr>
                <w:sz w:val="16"/>
                <w:szCs w:val="16"/>
              </w:rPr>
              <w:t>0</w:t>
            </w:r>
          </w:p>
        </w:tc>
        <w:tc>
          <w:tcPr>
            <w:tcW w:w="888" w:type="dxa"/>
            <w:tcBorders>
              <w:top w:val="nil"/>
              <w:left w:val="nil"/>
              <w:bottom w:val="single" w:sz="4" w:space="0" w:color="auto"/>
              <w:right w:val="nil"/>
            </w:tcBorders>
            <w:shd w:val="clear" w:color="auto" w:fill="F3F9FA"/>
            <w:noWrap/>
            <w:vAlign w:val="bottom"/>
            <w:hideMark/>
          </w:tcPr>
          <w:p w14:paraId="076F83B5" w14:textId="08E39478" w:rsidR="00F12DBA" w:rsidRPr="00F12DBA" w:rsidRDefault="00F12DBA" w:rsidP="00F12DBA">
            <w:pPr>
              <w:spacing w:before="0" w:after="0"/>
              <w:jc w:val="center"/>
              <w:rPr>
                <w:sz w:val="16"/>
                <w:szCs w:val="16"/>
              </w:rPr>
            </w:pPr>
            <w:r w:rsidRPr="00F12DBA">
              <w:rPr>
                <w:sz w:val="16"/>
                <w:szCs w:val="16"/>
              </w:rPr>
              <w:t>26</w:t>
            </w:r>
          </w:p>
        </w:tc>
        <w:tc>
          <w:tcPr>
            <w:tcW w:w="888" w:type="dxa"/>
            <w:tcBorders>
              <w:top w:val="nil"/>
              <w:left w:val="nil"/>
              <w:bottom w:val="single" w:sz="4" w:space="0" w:color="auto"/>
              <w:right w:val="nil"/>
            </w:tcBorders>
            <w:shd w:val="clear" w:color="auto" w:fill="F3F9FA"/>
            <w:noWrap/>
            <w:vAlign w:val="bottom"/>
            <w:hideMark/>
          </w:tcPr>
          <w:p w14:paraId="5C1C66EE" w14:textId="6DEBADAA" w:rsidR="00F12DBA" w:rsidRPr="00F12DBA" w:rsidRDefault="00F12DBA" w:rsidP="00F12DBA">
            <w:pPr>
              <w:spacing w:before="0" w:after="0"/>
              <w:jc w:val="center"/>
              <w:rPr>
                <w:sz w:val="16"/>
                <w:szCs w:val="16"/>
              </w:rPr>
            </w:pPr>
            <w:r w:rsidRPr="00F12DBA">
              <w:rPr>
                <w:sz w:val="16"/>
                <w:szCs w:val="16"/>
              </w:rPr>
              <w:t>33</w:t>
            </w:r>
          </w:p>
        </w:tc>
        <w:tc>
          <w:tcPr>
            <w:tcW w:w="888" w:type="dxa"/>
            <w:tcBorders>
              <w:top w:val="nil"/>
              <w:left w:val="nil"/>
              <w:bottom w:val="single" w:sz="4" w:space="0" w:color="auto"/>
              <w:right w:val="nil"/>
            </w:tcBorders>
            <w:shd w:val="clear" w:color="auto" w:fill="F3F9FA"/>
            <w:noWrap/>
            <w:vAlign w:val="bottom"/>
            <w:hideMark/>
          </w:tcPr>
          <w:p w14:paraId="48A5B0CC" w14:textId="0E109741" w:rsidR="00F12DBA" w:rsidRPr="00F12DBA" w:rsidRDefault="00F12DBA" w:rsidP="00F12DBA">
            <w:pPr>
              <w:spacing w:before="0" w:after="0"/>
              <w:jc w:val="center"/>
              <w:rPr>
                <w:sz w:val="16"/>
                <w:szCs w:val="16"/>
              </w:rPr>
            </w:pPr>
            <w:r w:rsidRPr="00F12DBA">
              <w:rPr>
                <w:sz w:val="16"/>
                <w:szCs w:val="16"/>
              </w:rPr>
              <w:t>39.2</w:t>
            </w:r>
          </w:p>
        </w:tc>
        <w:tc>
          <w:tcPr>
            <w:tcW w:w="650" w:type="dxa"/>
            <w:tcBorders>
              <w:top w:val="nil"/>
              <w:left w:val="nil"/>
              <w:bottom w:val="single" w:sz="4" w:space="0" w:color="auto"/>
              <w:right w:val="nil"/>
            </w:tcBorders>
            <w:shd w:val="clear" w:color="auto" w:fill="F3F9FA"/>
            <w:noWrap/>
            <w:vAlign w:val="bottom"/>
          </w:tcPr>
          <w:p w14:paraId="177C5103" w14:textId="3900913A" w:rsidR="00F12DBA" w:rsidRPr="00F12DBA" w:rsidRDefault="00F12DBA" w:rsidP="00F12DBA">
            <w:pPr>
              <w:spacing w:before="0" w:after="0"/>
              <w:jc w:val="center"/>
              <w:rPr>
                <w:sz w:val="16"/>
                <w:szCs w:val="16"/>
              </w:rPr>
            </w:pPr>
            <w:r w:rsidRPr="00F12DBA">
              <w:rPr>
                <w:sz w:val="16"/>
                <w:szCs w:val="16"/>
              </w:rPr>
              <w:t>0</w:t>
            </w:r>
          </w:p>
        </w:tc>
      </w:tr>
      <w:tr w:rsidR="006F4537" w14:paraId="245B9EC7" w14:textId="77777777" w:rsidTr="006F4537">
        <w:trPr>
          <w:jc w:val="center"/>
        </w:trPr>
        <w:tc>
          <w:tcPr>
            <w:tcW w:w="1388" w:type="dxa"/>
            <w:tcBorders>
              <w:top w:val="single" w:sz="4" w:space="0" w:color="auto"/>
              <w:left w:val="nil"/>
              <w:bottom w:val="single" w:sz="4" w:space="0" w:color="auto"/>
              <w:right w:val="nil"/>
            </w:tcBorders>
            <w:noWrap/>
            <w:vAlign w:val="bottom"/>
            <w:hideMark/>
          </w:tcPr>
          <w:p w14:paraId="0B7FC1A2" w14:textId="77777777" w:rsidR="006F4537" w:rsidRDefault="006F4537" w:rsidP="006F4537">
            <w:pPr>
              <w:spacing w:before="0" w:after="0"/>
              <w:rPr>
                <w:b/>
                <w:color w:val="000000"/>
                <w:sz w:val="16"/>
                <w:szCs w:val="16"/>
              </w:rPr>
            </w:pPr>
            <w:r>
              <w:rPr>
                <w:b/>
                <w:color w:val="000000"/>
                <w:sz w:val="16"/>
                <w:szCs w:val="16"/>
              </w:rPr>
              <w:t>NRM region</w:t>
            </w:r>
          </w:p>
        </w:tc>
        <w:tc>
          <w:tcPr>
            <w:tcW w:w="1117" w:type="dxa"/>
            <w:tcBorders>
              <w:top w:val="single" w:sz="4" w:space="0" w:color="auto"/>
              <w:left w:val="nil"/>
              <w:bottom w:val="single" w:sz="4" w:space="0" w:color="auto"/>
              <w:right w:val="nil"/>
            </w:tcBorders>
            <w:noWrap/>
            <w:vAlign w:val="bottom"/>
          </w:tcPr>
          <w:p w14:paraId="3F3421BE" w14:textId="77777777" w:rsidR="006F4537" w:rsidRDefault="006F4537" w:rsidP="006F4537">
            <w:pPr>
              <w:spacing w:before="0" w:after="0"/>
              <w:jc w:val="center"/>
              <w:rPr>
                <w:b/>
                <w:color w:val="000000"/>
                <w:sz w:val="16"/>
                <w:szCs w:val="16"/>
              </w:rPr>
            </w:pPr>
          </w:p>
        </w:tc>
        <w:tc>
          <w:tcPr>
            <w:tcW w:w="588" w:type="dxa"/>
            <w:tcBorders>
              <w:top w:val="single" w:sz="4" w:space="0" w:color="auto"/>
              <w:left w:val="nil"/>
              <w:bottom w:val="single" w:sz="4" w:space="0" w:color="auto"/>
              <w:right w:val="nil"/>
            </w:tcBorders>
            <w:noWrap/>
            <w:vAlign w:val="bottom"/>
          </w:tcPr>
          <w:p w14:paraId="4DFF5136" w14:textId="77777777" w:rsidR="006F4537" w:rsidRDefault="006F4537" w:rsidP="006F4537">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14:paraId="56DB60A1" w14:textId="77777777" w:rsidR="006F4537" w:rsidRDefault="006F4537" w:rsidP="006F4537">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14:paraId="3916DC6D" w14:textId="77777777" w:rsidR="006F4537" w:rsidRDefault="006F4537" w:rsidP="006F4537">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14:paraId="3D131691"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205591C5"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0DC5E4EC"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7BEBE79B" w14:textId="77777777" w:rsidR="006F4537" w:rsidRDefault="006F4537" w:rsidP="006F4537">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14:paraId="24211627" w14:textId="11B6733C" w:rsidR="006F4537" w:rsidRPr="005A1633" w:rsidRDefault="006F4537" w:rsidP="00F12DBA">
            <w:pPr>
              <w:spacing w:before="0" w:after="0"/>
              <w:jc w:val="center"/>
              <w:rPr>
                <w:b/>
                <w:sz w:val="16"/>
                <w:szCs w:val="16"/>
              </w:rPr>
            </w:pPr>
            <w:r w:rsidRPr="005A1633">
              <w:rPr>
                <w:b/>
                <w:sz w:val="16"/>
                <w:szCs w:val="16"/>
              </w:rPr>
              <w:t>2</w:t>
            </w:r>
            <w:r w:rsidR="00F12DBA">
              <w:rPr>
                <w:b/>
                <w:sz w:val="16"/>
                <w:szCs w:val="16"/>
              </w:rPr>
              <w:t>8</w:t>
            </w:r>
          </w:p>
        </w:tc>
      </w:tr>
    </w:tbl>
    <w:p w14:paraId="51C536DB" w14:textId="69E6EC24" w:rsidR="00842050" w:rsidRDefault="006F4537" w:rsidP="00842050">
      <w:pPr>
        <w:jc w:val="center"/>
      </w:pPr>
      <w:r>
        <w:t>`</w:t>
      </w:r>
    </w:p>
    <w:p w14:paraId="15D656D0" w14:textId="77777777" w:rsidR="00842050" w:rsidRDefault="00842050" w:rsidP="00842050">
      <w:pPr>
        <w:spacing w:before="0" w:after="0"/>
        <w:rPr>
          <w:lang w:val="en-GB"/>
        </w:rPr>
      </w:pPr>
      <w:r>
        <w:rPr>
          <w:lang w:val="en-GB"/>
        </w:rPr>
        <w:br w:type="page"/>
      </w:r>
    </w:p>
    <w:p w14:paraId="0B9A8664" w14:textId="237D02DC" w:rsidR="007B1E97" w:rsidRPr="00517276" w:rsidRDefault="00842050" w:rsidP="007B1E97">
      <w:pPr>
        <w:jc w:val="center"/>
        <w:rPr>
          <w:i/>
          <w:vanish/>
          <w:color w:val="000000"/>
          <w:szCs w:val="22"/>
          <w:specVanish/>
        </w:rPr>
      </w:pPr>
      <w:bookmarkStart w:id="1011" w:name="_Toc516053466"/>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42</w:t>
      </w:r>
      <w:r w:rsidR="00C506C7">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Burdekin NRM region habitat over the </w:t>
      </w:r>
      <w:r w:rsidR="008574EC">
        <w:rPr>
          <w:i/>
        </w:rPr>
        <w:t>2016–17</w:t>
      </w:r>
      <w:r>
        <w:rPr>
          <w:i/>
        </w:rPr>
        <w:t xml:space="preserve"> period.</w:t>
      </w:r>
      <w:bookmarkEnd w:id="1011"/>
      <w:r w:rsidR="007B1E97" w:rsidRPr="007B1E97">
        <w:rPr>
          <w:i/>
          <w:vanish/>
          <w:color w:val="000000"/>
          <w:szCs w:val="22"/>
          <w:specVanish/>
        </w:rPr>
        <w:t xml:space="preserve"> </w:t>
      </w:r>
    </w:p>
    <w:p w14:paraId="42226EE3" w14:textId="50448CB3" w:rsidR="00842050" w:rsidRDefault="00842050" w:rsidP="00842050">
      <w:pPr>
        <w:jc w:val="center"/>
        <w:rPr>
          <w:color w:val="000000"/>
        </w:rPr>
      </w:pPr>
      <w:r>
        <w:rPr>
          <w:i/>
        </w:rPr>
        <w:t xml:space="preserve"> Scores calculated </w:t>
      </w:r>
      <w:r w:rsidRPr="00FB280D">
        <w:rPr>
          <w:i/>
        </w:rPr>
        <w:t xml:space="preserve">as per </w:t>
      </w:r>
      <w:r w:rsidR="00FB280D" w:rsidRPr="00FB280D">
        <w:rPr>
          <w:i/>
        </w:rPr>
        <w:fldChar w:fldCharType="begin"/>
      </w:r>
      <w:r w:rsidR="00FB280D" w:rsidRPr="00FB280D">
        <w:rPr>
          <w:i/>
        </w:rPr>
        <w:instrText xml:space="preserve"> REF _Ref340344284 \h  \* MERGEFORMAT </w:instrText>
      </w:r>
      <w:r w:rsidR="00FB280D" w:rsidRPr="00FB280D">
        <w:rPr>
          <w:i/>
        </w:rPr>
      </w:r>
      <w:r w:rsidR="00FB280D" w:rsidRPr="00FB280D">
        <w:rPr>
          <w:i/>
        </w:rPr>
        <w:fldChar w:fldCharType="separate"/>
      </w:r>
      <w:r w:rsidR="00F87DF9" w:rsidRPr="00F87DF9">
        <w:rPr>
          <w:i/>
          <w:color w:val="000000"/>
        </w:rPr>
        <w:t xml:space="preserve">Table </w:t>
      </w:r>
      <w:r w:rsidR="00F87DF9" w:rsidRPr="00F87DF9">
        <w:rPr>
          <w:i/>
          <w:noProof/>
          <w:color w:val="000000"/>
        </w:rPr>
        <w:t>38</w:t>
      </w:r>
      <w:r w:rsidR="00FB280D" w:rsidRPr="00FB280D">
        <w:rPr>
          <w:i/>
        </w:rPr>
        <w:fldChar w:fldCharType="end"/>
      </w:r>
      <w:r w:rsidRPr="00FB280D">
        <w:rPr>
          <w:i/>
        </w:rPr>
        <w:t>.</w:t>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r w:rsidR="00BA2BCE">
        <w:rPr>
          <w:i/>
        </w:rPr>
        <w:t xml:space="preserve"> </w:t>
      </w:r>
    </w:p>
    <w:tbl>
      <w:tblPr>
        <w:tblW w:w="9542" w:type="dxa"/>
        <w:jc w:val="center"/>
        <w:tblLook w:val="04A0" w:firstRow="1" w:lastRow="0" w:firstColumn="1" w:lastColumn="0" w:noHBand="0" w:noVBand="1"/>
      </w:tblPr>
      <w:tblGrid>
        <w:gridCol w:w="1388"/>
        <w:gridCol w:w="1523"/>
        <w:gridCol w:w="554"/>
        <w:gridCol w:w="951"/>
        <w:gridCol w:w="806"/>
        <w:gridCol w:w="808"/>
        <w:gridCol w:w="954"/>
        <w:gridCol w:w="954"/>
        <w:gridCol w:w="954"/>
        <w:gridCol w:w="650"/>
      </w:tblGrid>
      <w:tr w:rsidR="006F4537" w14:paraId="7FB4D56F" w14:textId="77777777" w:rsidTr="006F4537">
        <w:trPr>
          <w:trHeight w:val="276"/>
          <w:jc w:val="center"/>
        </w:trPr>
        <w:tc>
          <w:tcPr>
            <w:tcW w:w="1388" w:type="dxa"/>
            <w:tcBorders>
              <w:top w:val="single" w:sz="4" w:space="0" w:color="auto"/>
              <w:left w:val="nil"/>
              <w:bottom w:val="single" w:sz="4" w:space="0" w:color="auto"/>
              <w:right w:val="nil"/>
            </w:tcBorders>
            <w:shd w:val="clear" w:color="auto" w:fill="BBE0E3"/>
            <w:noWrap/>
            <w:vAlign w:val="center"/>
            <w:hideMark/>
          </w:tcPr>
          <w:p w14:paraId="6637B7C2" w14:textId="77777777" w:rsidR="006F4537" w:rsidRDefault="006F4537" w:rsidP="006F4537">
            <w:pPr>
              <w:spacing w:before="0" w:after="0"/>
              <w:jc w:val="center"/>
              <w:rPr>
                <w:b/>
                <w:color w:val="000000"/>
                <w:sz w:val="16"/>
                <w:szCs w:val="16"/>
              </w:rPr>
            </w:pPr>
            <w:r>
              <w:rPr>
                <w:b/>
                <w:color w:val="000000"/>
                <w:sz w:val="16"/>
                <w:szCs w:val="16"/>
              </w:rPr>
              <w:t>Habitat</w:t>
            </w:r>
          </w:p>
        </w:tc>
        <w:tc>
          <w:tcPr>
            <w:tcW w:w="1523" w:type="dxa"/>
            <w:tcBorders>
              <w:top w:val="single" w:sz="4" w:space="0" w:color="auto"/>
              <w:left w:val="nil"/>
              <w:bottom w:val="single" w:sz="4" w:space="0" w:color="auto"/>
              <w:right w:val="nil"/>
            </w:tcBorders>
            <w:shd w:val="clear" w:color="auto" w:fill="BBE0E3"/>
            <w:noWrap/>
            <w:vAlign w:val="center"/>
            <w:hideMark/>
          </w:tcPr>
          <w:p w14:paraId="0291715C" w14:textId="77777777" w:rsidR="006F4537" w:rsidRDefault="006F4537" w:rsidP="006F4537">
            <w:pPr>
              <w:spacing w:before="0" w:after="0"/>
              <w:jc w:val="center"/>
              <w:rPr>
                <w:b/>
                <w:color w:val="000000"/>
                <w:sz w:val="16"/>
                <w:szCs w:val="16"/>
              </w:rPr>
            </w:pPr>
            <w:r>
              <w:rPr>
                <w:b/>
                <w:color w:val="000000"/>
                <w:sz w:val="16"/>
                <w:szCs w:val="16"/>
              </w:rPr>
              <w:t>Location</w:t>
            </w:r>
          </w:p>
        </w:tc>
        <w:tc>
          <w:tcPr>
            <w:tcW w:w="554" w:type="dxa"/>
            <w:tcBorders>
              <w:top w:val="single" w:sz="4" w:space="0" w:color="auto"/>
              <w:left w:val="nil"/>
              <w:bottom w:val="single" w:sz="4" w:space="0" w:color="auto"/>
              <w:right w:val="nil"/>
            </w:tcBorders>
            <w:shd w:val="clear" w:color="auto" w:fill="BBE0E3"/>
            <w:noWrap/>
            <w:vAlign w:val="center"/>
            <w:hideMark/>
          </w:tcPr>
          <w:p w14:paraId="20B68EC5" w14:textId="77777777" w:rsidR="006F4537" w:rsidRDefault="006F4537" w:rsidP="006F4537">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168FE5D3" w14:textId="77777777" w:rsidR="006F4537" w:rsidRDefault="006F4537" w:rsidP="006F4537">
            <w:pPr>
              <w:spacing w:before="0" w:after="0"/>
              <w:jc w:val="center"/>
              <w:rPr>
                <w:b/>
                <w:color w:val="000000"/>
                <w:sz w:val="16"/>
                <w:szCs w:val="16"/>
              </w:rPr>
            </w:pPr>
            <w:r>
              <w:rPr>
                <w:b/>
                <w:color w:val="000000"/>
                <w:sz w:val="16"/>
                <w:szCs w:val="16"/>
              </w:rPr>
              <w:t>Seasonal</w:t>
            </w:r>
          </w:p>
          <w:p w14:paraId="29709A5C" w14:textId="77777777" w:rsidR="006F4537" w:rsidRDefault="006F4537" w:rsidP="006F4537">
            <w:pPr>
              <w:spacing w:before="0" w:after="0"/>
              <w:jc w:val="center"/>
              <w:rPr>
                <w:b/>
                <w:color w:val="000000"/>
                <w:sz w:val="16"/>
                <w:szCs w:val="16"/>
              </w:rPr>
            </w:pPr>
            <w:r>
              <w:rPr>
                <w:b/>
                <w:color w:val="000000"/>
                <w:sz w:val="16"/>
                <w:szCs w:val="16"/>
              </w:rPr>
              <w:t>date</w:t>
            </w:r>
          </w:p>
        </w:tc>
        <w:tc>
          <w:tcPr>
            <w:tcW w:w="806" w:type="dxa"/>
            <w:tcBorders>
              <w:top w:val="single" w:sz="4" w:space="0" w:color="auto"/>
              <w:left w:val="nil"/>
              <w:bottom w:val="single" w:sz="4" w:space="0" w:color="auto"/>
              <w:right w:val="nil"/>
            </w:tcBorders>
            <w:shd w:val="clear" w:color="auto" w:fill="BBE0E3"/>
            <w:noWrap/>
            <w:vAlign w:val="center"/>
            <w:hideMark/>
          </w:tcPr>
          <w:p w14:paraId="5FDE7291" w14:textId="77777777" w:rsidR="006F4537" w:rsidRDefault="006F4537" w:rsidP="006F4537">
            <w:pPr>
              <w:spacing w:before="0" w:after="0"/>
              <w:jc w:val="center"/>
              <w:rPr>
                <w:b/>
                <w:color w:val="000000"/>
                <w:sz w:val="16"/>
                <w:szCs w:val="16"/>
              </w:rPr>
            </w:pPr>
            <w:r>
              <w:rPr>
                <w:b/>
                <w:color w:val="000000"/>
                <w:sz w:val="16"/>
                <w:szCs w:val="16"/>
              </w:rPr>
              <w:t>Mean</w:t>
            </w:r>
          </w:p>
          <w:p w14:paraId="73DE18E3" w14:textId="15D60184"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08" w:type="dxa"/>
            <w:tcBorders>
              <w:top w:val="single" w:sz="4" w:space="0" w:color="auto"/>
              <w:left w:val="nil"/>
              <w:bottom w:val="single" w:sz="4" w:space="0" w:color="auto"/>
              <w:right w:val="nil"/>
            </w:tcBorders>
            <w:shd w:val="clear" w:color="auto" w:fill="BBE0E3"/>
            <w:noWrap/>
            <w:vAlign w:val="center"/>
            <w:hideMark/>
          </w:tcPr>
          <w:p w14:paraId="2A6DB21B" w14:textId="77777777" w:rsidR="006F4537" w:rsidRDefault="006F4537" w:rsidP="006F4537">
            <w:pPr>
              <w:spacing w:before="0" w:after="0"/>
              <w:jc w:val="center"/>
              <w:rPr>
                <w:b/>
                <w:color w:val="000000"/>
                <w:sz w:val="16"/>
                <w:szCs w:val="16"/>
              </w:rPr>
            </w:pPr>
            <w:r>
              <w:rPr>
                <w:b/>
                <w:color w:val="000000"/>
                <w:sz w:val="16"/>
                <w:szCs w:val="16"/>
              </w:rPr>
              <w:t>Median</w:t>
            </w:r>
          </w:p>
          <w:p w14:paraId="4D567007" w14:textId="4E04F4E7"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954" w:type="dxa"/>
            <w:tcBorders>
              <w:top w:val="single" w:sz="4" w:space="0" w:color="auto"/>
              <w:left w:val="nil"/>
              <w:bottom w:val="single" w:sz="4" w:space="0" w:color="auto"/>
              <w:right w:val="nil"/>
            </w:tcBorders>
            <w:shd w:val="clear" w:color="auto" w:fill="BBE0E3"/>
            <w:noWrap/>
            <w:vAlign w:val="center"/>
            <w:hideMark/>
          </w:tcPr>
          <w:p w14:paraId="08149B8E" w14:textId="77777777" w:rsidR="006F4537" w:rsidRDefault="006F4537" w:rsidP="006F4537">
            <w:pPr>
              <w:spacing w:before="0" w:after="0"/>
              <w:jc w:val="center"/>
              <w:rPr>
                <w:b/>
                <w:color w:val="000000"/>
                <w:sz w:val="16"/>
                <w:szCs w:val="16"/>
              </w:rPr>
            </w:pPr>
            <w:r>
              <w:rPr>
                <w:b/>
                <w:color w:val="000000"/>
                <w:sz w:val="16"/>
                <w:szCs w:val="16"/>
              </w:rPr>
              <w:t>Low</w:t>
            </w:r>
          </w:p>
          <w:p w14:paraId="19A0565A" w14:textId="77777777" w:rsidR="006F4537" w:rsidRDefault="006F4537" w:rsidP="006F4537">
            <w:pPr>
              <w:spacing w:before="0" w:after="0"/>
              <w:jc w:val="center"/>
              <w:rPr>
                <w:b/>
                <w:color w:val="000000"/>
                <w:sz w:val="16"/>
                <w:szCs w:val="16"/>
              </w:rPr>
            </w:pPr>
            <w:r>
              <w:rPr>
                <w:b/>
                <w:color w:val="000000"/>
                <w:sz w:val="16"/>
                <w:szCs w:val="16"/>
              </w:rPr>
              <w:t>percentile</w:t>
            </w:r>
          </w:p>
        </w:tc>
        <w:tc>
          <w:tcPr>
            <w:tcW w:w="954" w:type="dxa"/>
            <w:tcBorders>
              <w:top w:val="single" w:sz="4" w:space="0" w:color="auto"/>
              <w:left w:val="nil"/>
              <w:bottom w:val="single" w:sz="4" w:space="0" w:color="auto"/>
              <w:right w:val="nil"/>
            </w:tcBorders>
            <w:shd w:val="clear" w:color="auto" w:fill="BBE0E3"/>
            <w:noWrap/>
            <w:vAlign w:val="center"/>
            <w:hideMark/>
          </w:tcPr>
          <w:p w14:paraId="371D8447" w14:textId="77777777" w:rsidR="006F4537" w:rsidRDefault="006F4537" w:rsidP="006F4537">
            <w:pPr>
              <w:spacing w:before="0" w:after="0"/>
              <w:jc w:val="center"/>
              <w:rPr>
                <w:b/>
                <w:color w:val="000000"/>
                <w:sz w:val="16"/>
                <w:szCs w:val="16"/>
              </w:rPr>
            </w:pPr>
            <w:r>
              <w:rPr>
                <w:b/>
                <w:color w:val="000000"/>
                <w:sz w:val="16"/>
                <w:szCs w:val="16"/>
              </w:rPr>
              <w:t>50th</w:t>
            </w:r>
          </w:p>
          <w:p w14:paraId="02685982" w14:textId="77777777" w:rsidR="006F4537" w:rsidRDefault="006F4537" w:rsidP="006F4537">
            <w:pPr>
              <w:spacing w:before="0" w:after="0"/>
              <w:jc w:val="center"/>
              <w:rPr>
                <w:b/>
                <w:color w:val="000000"/>
                <w:sz w:val="16"/>
                <w:szCs w:val="16"/>
              </w:rPr>
            </w:pPr>
            <w:r>
              <w:rPr>
                <w:b/>
                <w:color w:val="000000"/>
                <w:sz w:val="16"/>
                <w:szCs w:val="16"/>
              </w:rPr>
              <w:t>percentile</w:t>
            </w:r>
          </w:p>
        </w:tc>
        <w:tc>
          <w:tcPr>
            <w:tcW w:w="954" w:type="dxa"/>
            <w:tcBorders>
              <w:top w:val="single" w:sz="4" w:space="0" w:color="auto"/>
              <w:left w:val="nil"/>
              <w:bottom w:val="single" w:sz="4" w:space="0" w:color="auto"/>
              <w:right w:val="nil"/>
            </w:tcBorders>
            <w:shd w:val="clear" w:color="auto" w:fill="BBE0E3"/>
            <w:noWrap/>
            <w:vAlign w:val="center"/>
            <w:hideMark/>
          </w:tcPr>
          <w:p w14:paraId="783E8F2A" w14:textId="77777777" w:rsidR="006F4537" w:rsidRDefault="006F4537" w:rsidP="006F4537">
            <w:pPr>
              <w:spacing w:before="0" w:after="0"/>
              <w:jc w:val="center"/>
              <w:rPr>
                <w:b/>
                <w:color w:val="000000"/>
                <w:sz w:val="16"/>
                <w:szCs w:val="16"/>
              </w:rPr>
            </w:pPr>
            <w:r>
              <w:rPr>
                <w:b/>
                <w:color w:val="000000"/>
                <w:sz w:val="16"/>
                <w:szCs w:val="16"/>
              </w:rPr>
              <w:t>75th</w:t>
            </w:r>
          </w:p>
          <w:p w14:paraId="13072E48" w14:textId="77777777" w:rsidR="006F4537" w:rsidRDefault="006F4537" w:rsidP="006F4537">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center"/>
            <w:hideMark/>
          </w:tcPr>
          <w:p w14:paraId="1587397B" w14:textId="77777777" w:rsidR="006F4537" w:rsidRDefault="006F4537" w:rsidP="006F4537">
            <w:pPr>
              <w:spacing w:before="0" w:after="0"/>
              <w:jc w:val="center"/>
              <w:rPr>
                <w:b/>
                <w:color w:val="000000"/>
                <w:sz w:val="16"/>
                <w:szCs w:val="16"/>
              </w:rPr>
            </w:pPr>
            <w:r>
              <w:rPr>
                <w:b/>
                <w:color w:val="000000"/>
                <w:sz w:val="16"/>
                <w:szCs w:val="16"/>
              </w:rPr>
              <w:t>score</w:t>
            </w:r>
          </w:p>
        </w:tc>
      </w:tr>
      <w:tr w:rsidR="00C01771" w14:paraId="4F992574" w14:textId="77777777" w:rsidTr="006F4537">
        <w:trPr>
          <w:jc w:val="center"/>
        </w:trPr>
        <w:tc>
          <w:tcPr>
            <w:tcW w:w="1388" w:type="dxa"/>
            <w:noWrap/>
            <w:vAlign w:val="bottom"/>
            <w:hideMark/>
          </w:tcPr>
          <w:p w14:paraId="576CF48A" w14:textId="77777777" w:rsidR="00C01771" w:rsidRDefault="00C01771" w:rsidP="00C01771">
            <w:pPr>
              <w:spacing w:before="0" w:after="0"/>
              <w:rPr>
                <w:color w:val="000000"/>
                <w:sz w:val="16"/>
                <w:szCs w:val="16"/>
              </w:rPr>
            </w:pPr>
            <w:r>
              <w:rPr>
                <w:color w:val="000000"/>
                <w:sz w:val="16"/>
                <w:szCs w:val="16"/>
              </w:rPr>
              <w:t>coastal intertidal</w:t>
            </w:r>
          </w:p>
        </w:tc>
        <w:tc>
          <w:tcPr>
            <w:tcW w:w="1523" w:type="dxa"/>
            <w:shd w:val="clear" w:color="auto" w:fill="F3F9FA"/>
            <w:noWrap/>
            <w:vAlign w:val="bottom"/>
            <w:hideMark/>
          </w:tcPr>
          <w:p w14:paraId="09EE3DA9" w14:textId="77777777" w:rsidR="00C01771" w:rsidRPr="0004488E" w:rsidRDefault="00C01771" w:rsidP="00C01771">
            <w:pPr>
              <w:spacing w:before="0" w:after="0"/>
              <w:jc w:val="center"/>
              <w:rPr>
                <w:sz w:val="16"/>
                <w:szCs w:val="16"/>
              </w:rPr>
            </w:pPr>
            <w:r w:rsidRPr="0004488E">
              <w:rPr>
                <w:sz w:val="16"/>
                <w:szCs w:val="16"/>
              </w:rPr>
              <w:t>Townsville</w:t>
            </w:r>
          </w:p>
        </w:tc>
        <w:tc>
          <w:tcPr>
            <w:tcW w:w="554" w:type="dxa"/>
            <w:shd w:val="clear" w:color="auto" w:fill="F3F9FA"/>
            <w:noWrap/>
            <w:vAlign w:val="bottom"/>
            <w:hideMark/>
          </w:tcPr>
          <w:p w14:paraId="13C0229C" w14:textId="77777777" w:rsidR="00C01771" w:rsidRPr="0004488E" w:rsidRDefault="00C01771" w:rsidP="00C01771">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4CFC8693" w14:textId="11022FDB" w:rsidR="00C01771" w:rsidRPr="0004488E" w:rsidRDefault="00C01771" w:rsidP="00C01771">
            <w:pPr>
              <w:spacing w:before="0" w:after="0"/>
              <w:jc w:val="center"/>
              <w:rPr>
                <w:sz w:val="16"/>
                <w:szCs w:val="16"/>
              </w:rPr>
            </w:pPr>
            <w:r>
              <w:rPr>
                <w:sz w:val="16"/>
                <w:szCs w:val="16"/>
              </w:rPr>
              <w:t>01-Jul-16</w:t>
            </w:r>
          </w:p>
        </w:tc>
        <w:tc>
          <w:tcPr>
            <w:tcW w:w="806" w:type="dxa"/>
            <w:shd w:val="clear" w:color="auto" w:fill="F3F9FA"/>
            <w:noWrap/>
            <w:vAlign w:val="bottom"/>
          </w:tcPr>
          <w:p w14:paraId="0EC38F52" w14:textId="593F47EA" w:rsidR="00C01771" w:rsidRPr="00C01771" w:rsidRDefault="00C01771" w:rsidP="00C01771">
            <w:pPr>
              <w:spacing w:before="0" w:after="0"/>
              <w:jc w:val="center"/>
              <w:rPr>
                <w:sz w:val="16"/>
                <w:szCs w:val="16"/>
              </w:rPr>
            </w:pPr>
            <w:r w:rsidRPr="00C01771">
              <w:rPr>
                <w:sz w:val="16"/>
                <w:szCs w:val="16"/>
              </w:rPr>
              <w:t>24.2</w:t>
            </w:r>
          </w:p>
        </w:tc>
        <w:tc>
          <w:tcPr>
            <w:tcW w:w="808" w:type="dxa"/>
            <w:shd w:val="clear" w:color="auto" w:fill="F3F9FA"/>
            <w:noWrap/>
            <w:vAlign w:val="bottom"/>
          </w:tcPr>
          <w:p w14:paraId="7F5DEF10" w14:textId="5BC1539F" w:rsidR="00C01771" w:rsidRPr="00C01771" w:rsidRDefault="00C01771" w:rsidP="00C01771">
            <w:pPr>
              <w:spacing w:before="0" w:after="0"/>
              <w:jc w:val="center"/>
              <w:rPr>
                <w:sz w:val="16"/>
                <w:szCs w:val="16"/>
              </w:rPr>
            </w:pPr>
            <w:r w:rsidRPr="00C01771">
              <w:rPr>
                <w:sz w:val="16"/>
                <w:szCs w:val="16"/>
              </w:rPr>
              <w:t>25</w:t>
            </w:r>
          </w:p>
        </w:tc>
        <w:tc>
          <w:tcPr>
            <w:tcW w:w="954" w:type="dxa"/>
            <w:shd w:val="clear" w:color="auto" w:fill="F3F9FA"/>
            <w:noWrap/>
            <w:vAlign w:val="bottom"/>
            <w:hideMark/>
          </w:tcPr>
          <w:p w14:paraId="51A93472" w14:textId="1F9CB6EC" w:rsidR="00C01771" w:rsidRPr="00C01771" w:rsidRDefault="00C01771" w:rsidP="00C01771">
            <w:pPr>
              <w:spacing w:before="0" w:after="0"/>
              <w:jc w:val="center"/>
              <w:rPr>
                <w:sz w:val="16"/>
                <w:szCs w:val="16"/>
              </w:rPr>
            </w:pPr>
            <w:r w:rsidRPr="00C01771">
              <w:rPr>
                <w:sz w:val="16"/>
                <w:szCs w:val="16"/>
              </w:rPr>
              <w:t>21.4</w:t>
            </w:r>
          </w:p>
        </w:tc>
        <w:tc>
          <w:tcPr>
            <w:tcW w:w="954" w:type="dxa"/>
            <w:shd w:val="clear" w:color="auto" w:fill="F3F9FA"/>
            <w:noWrap/>
            <w:vAlign w:val="bottom"/>
            <w:hideMark/>
          </w:tcPr>
          <w:p w14:paraId="634DC803" w14:textId="71878217" w:rsidR="00C01771" w:rsidRPr="00C01771" w:rsidRDefault="00C01771" w:rsidP="00C01771">
            <w:pPr>
              <w:spacing w:before="0" w:after="0"/>
              <w:jc w:val="center"/>
              <w:rPr>
                <w:sz w:val="16"/>
                <w:szCs w:val="16"/>
              </w:rPr>
            </w:pPr>
            <w:r w:rsidRPr="00C01771">
              <w:rPr>
                <w:sz w:val="16"/>
                <w:szCs w:val="16"/>
              </w:rPr>
              <w:t>25.4</w:t>
            </w:r>
          </w:p>
        </w:tc>
        <w:tc>
          <w:tcPr>
            <w:tcW w:w="954" w:type="dxa"/>
            <w:shd w:val="clear" w:color="auto" w:fill="F3F9FA"/>
            <w:noWrap/>
            <w:vAlign w:val="bottom"/>
            <w:hideMark/>
          </w:tcPr>
          <w:p w14:paraId="39FF09AF" w14:textId="0B6152FA" w:rsidR="00C01771" w:rsidRPr="00C01771" w:rsidRDefault="00C01771" w:rsidP="00C01771">
            <w:pPr>
              <w:spacing w:before="0" w:after="0"/>
              <w:jc w:val="center"/>
              <w:rPr>
                <w:sz w:val="16"/>
                <w:szCs w:val="16"/>
              </w:rPr>
            </w:pPr>
            <w:r w:rsidRPr="00C01771">
              <w:rPr>
                <w:sz w:val="16"/>
                <w:szCs w:val="16"/>
              </w:rPr>
              <w:t>35.2</w:t>
            </w:r>
          </w:p>
        </w:tc>
        <w:tc>
          <w:tcPr>
            <w:tcW w:w="650" w:type="dxa"/>
            <w:shd w:val="clear" w:color="auto" w:fill="F3F9FA"/>
            <w:noWrap/>
            <w:vAlign w:val="bottom"/>
          </w:tcPr>
          <w:p w14:paraId="08235C50" w14:textId="686C37A8" w:rsidR="00C01771" w:rsidRPr="00C01771" w:rsidRDefault="00C01771" w:rsidP="00C01771">
            <w:pPr>
              <w:spacing w:before="0" w:after="0"/>
              <w:jc w:val="center"/>
              <w:rPr>
                <w:sz w:val="16"/>
                <w:szCs w:val="16"/>
              </w:rPr>
            </w:pPr>
            <w:r w:rsidRPr="00C01771">
              <w:rPr>
                <w:sz w:val="16"/>
                <w:szCs w:val="16"/>
              </w:rPr>
              <w:t>50</w:t>
            </w:r>
          </w:p>
        </w:tc>
      </w:tr>
      <w:tr w:rsidR="00C01771" w14:paraId="4AE41E0D" w14:textId="77777777" w:rsidTr="006F4537">
        <w:trPr>
          <w:jc w:val="center"/>
        </w:trPr>
        <w:tc>
          <w:tcPr>
            <w:tcW w:w="1388" w:type="dxa"/>
            <w:noWrap/>
            <w:vAlign w:val="bottom"/>
          </w:tcPr>
          <w:p w14:paraId="413EBC6A"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1ECF1037" w14:textId="77777777" w:rsidR="00C01771" w:rsidRPr="0004488E" w:rsidRDefault="00C01771" w:rsidP="00C01771">
            <w:pPr>
              <w:spacing w:before="0" w:after="0"/>
              <w:jc w:val="center"/>
              <w:rPr>
                <w:sz w:val="16"/>
                <w:szCs w:val="16"/>
              </w:rPr>
            </w:pPr>
          </w:p>
        </w:tc>
        <w:tc>
          <w:tcPr>
            <w:tcW w:w="554" w:type="dxa"/>
            <w:shd w:val="clear" w:color="auto" w:fill="F3F9FA"/>
            <w:noWrap/>
            <w:vAlign w:val="bottom"/>
            <w:hideMark/>
          </w:tcPr>
          <w:p w14:paraId="08ADE26E" w14:textId="77777777" w:rsidR="00C01771" w:rsidRPr="0004488E" w:rsidRDefault="00C01771" w:rsidP="00C01771">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11D43E47" w14:textId="43F90BDD" w:rsidR="00C01771" w:rsidRPr="0004488E" w:rsidRDefault="00C01771" w:rsidP="00C01771">
            <w:pPr>
              <w:spacing w:before="0" w:after="0"/>
              <w:jc w:val="center"/>
              <w:rPr>
                <w:sz w:val="16"/>
                <w:szCs w:val="16"/>
              </w:rPr>
            </w:pPr>
            <w:r>
              <w:rPr>
                <w:sz w:val="16"/>
                <w:szCs w:val="16"/>
              </w:rPr>
              <w:t>01-Oct-16</w:t>
            </w:r>
          </w:p>
        </w:tc>
        <w:tc>
          <w:tcPr>
            <w:tcW w:w="806" w:type="dxa"/>
            <w:shd w:val="clear" w:color="auto" w:fill="F3F9FA"/>
            <w:noWrap/>
            <w:vAlign w:val="bottom"/>
          </w:tcPr>
          <w:p w14:paraId="1665D2A2" w14:textId="07CAD5CF" w:rsidR="00C01771" w:rsidRPr="00C01771" w:rsidRDefault="00C01771" w:rsidP="00C01771">
            <w:pPr>
              <w:spacing w:before="0" w:after="0"/>
              <w:jc w:val="center"/>
              <w:rPr>
                <w:sz w:val="16"/>
                <w:szCs w:val="16"/>
              </w:rPr>
            </w:pPr>
            <w:r w:rsidRPr="00C01771">
              <w:rPr>
                <w:sz w:val="16"/>
                <w:szCs w:val="16"/>
              </w:rPr>
              <w:t>28.9</w:t>
            </w:r>
          </w:p>
        </w:tc>
        <w:tc>
          <w:tcPr>
            <w:tcW w:w="808" w:type="dxa"/>
            <w:shd w:val="clear" w:color="auto" w:fill="F3F9FA"/>
            <w:noWrap/>
            <w:vAlign w:val="bottom"/>
          </w:tcPr>
          <w:p w14:paraId="5B4E441A" w14:textId="3E81E30A" w:rsidR="00C01771" w:rsidRPr="00C01771" w:rsidRDefault="00C01771" w:rsidP="00C01771">
            <w:pPr>
              <w:spacing w:before="0" w:after="0"/>
              <w:jc w:val="center"/>
              <w:rPr>
                <w:sz w:val="16"/>
                <w:szCs w:val="16"/>
              </w:rPr>
            </w:pPr>
            <w:r w:rsidRPr="00C01771">
              <w:rPr>
                <w:sz w:val="16"/>
                <w:szCs w:val="16"/>
              </w:rPr>
              <w:t>30</w:t>
            </w:r>
          </w:p>
        </w:tc>
        <w:tc>
          <w:tcPr>
            <w:tcW w:w="954" w:type="dxa"/>
            <w:shd w:val="clear" w:color="auto" w:fill="F3F9FA"/>
            <w:noWrap/>
            <w:vAlign w:val="bottom"/>
            <w:hideMark/>
          </w:tcPr>
          <w:p w14:paraId="64977C93" w14:textId="656B4BA5" w:rsidR="00C01771" w:rsidRPr="00C01771" w:rsidRDefault="00C01771" w:rsidP="00C01771">
            <w:pPr>
              <w:spacing w:before="0" w:after="0"/>
              <w:jc w:val="center"/>
              <w:rPr>
                <w:sz w:val="16"/>
                <w:szCs w:val="16"/>
              </w:rPr>
            </w:pPr>
            <w:r w:rsidRPr="00C01771">
              <w:rPr>
                <w:sz w:val="16"/>
                <w:szCs w:val="16"/>
              </w:rPr>
              <w:t>21.4</w:t>
            </w:r>
          </w:p>
        </w:tc>
        <w:tc>
          <w:tcPr>
            <w:tcW w:w="954" w:type="dxa"/>
            <w:shd w:val="clear" w:color="auto" w:fill="F3F9FA"/>
            <w:noWrap/>
            <w:vAlign w:val="bottom"/>
            <w:hideMark/>
          </w:tcPr>
          <w:p w14:paraId="2292F928" w14:textId="5BFA6964" w:rsidR="00C01771" w:rsidRPr="00C01771" w:rsidRDefault="00C01771" w:rsidP="00C01771">
            <w:pPr>
              <w:spacing w:before="0" w:after="0"/>
              <w:jc w:val="center"/>
              <w:rPr>
                <w:sz w:val="16"/>
                <w:szCs w:val="16"/>
              </w:rPr>
            </w:pPr>
            <w:r w:rsidRPr="00C01771">
              <w:rPr>
                <w:sz w:val="16"/>
                <w:szCs w:val="16"/>
              </w:rPr>
              <w:t>25.4</w:t>
            </w:r>
          </w:p>
        </w:tc>
        <w:tc>
          <w:tcPr>
            <w:tcW w:w="954" w:type="dxa"/>
            <w:shd w:val="clear" w:color="auto" w:fill="F3F9FA"/>
            <w:noWrap/>
            <w:vAlign w:val="bottom"/>
            <w:hideMark/>
          </w:tcPr>
          <w:p w14:paraId="7B6D40A1" w14:textId="05F29CD4" w:rsidR="00C01771" w:rsidRPr="00C01771" w:rsidRDefault="00C01771" w:rsidP="00C01771">
            <w:pPr>
              <w:spacing w:before="0" w:after="0"/>
              <w:jc w:val="center"/>
              <w:rPr>
                <w:sz w:val="16"/>
                <w:szCs w:val="16"/>
              </w:rPr>
            </w:pPr>
            <w:r w:rsidRPr="00C01771">
              <w:rPr>
                <w:sz w:val="16"/>
                <w:szCs w:val="16"/>
              </w:rPr>
              <w:t>35.2</w:t>
            </w:r>
          </w:p>
        </w:tc>
        <w:tc>
          <w:tcPr>
            <w:tcW w:w="650" w:type="dxa"/>
            <w:shd w:val="clear" w:color="auto" w:fill="F3F9FA"/>
            <w:noWrap/>
            <w:vAlign w:val="bottom"/>
          </w:tcPr>
          <w:p w14:paraId="29555D2C" w14:textId="41A5BD19" w:rsidR="00C01771" w:rsidRPr="00C01771" w:rsidRDefault="00C01771" w:rsidP="00C01771">
            <w:pPr>
              <w:spacing w:before="0" w:after="0"/>
              <w:jc w:val="center"/>
              <w:rPr>
                <w:sz w:val="16"/>
                <w:szCs w:val="16"/>
              </w:rPr>
            </w:pPr>
            <w:r w:rsidRPr="00C01771">
              <w:rPr>
                <w:sz w:val="16"/>
                <w:szCs w:val="16"/>
              </w:rPr>
              <w:t>75</w:t>
            </w:r>
          </w:p>
        </w:tc>
      </w:tr>
      <w:tr w:rsidR="00C01771" w14:paraId="528ACCC5" w14:textId="77777777" w:rsidTr="006F4537">
        <w:trPr>
          <w:jc w:val="center"/>
        </w:trPr>
        <w:tc>
          <w:tcPr>
            <w:tcW w:w="1388" w:type="dxa"/>
            <w:noWrap/>
            <w:vAlign w:val="bottom"/>
          </w:tcPr>
          <w:p w14:paraId="2C61B3FD"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3B42AD87" w14:textId="77777777" w:rsidR="00C01771" w:rsidRPr="0004488E" w:rsidRDefault="00C01771" w:rsidP="00C01771">
            <w:pPr>
              <w:spacing w:before="0" w:after="0"/>
              <w:jc w:val="center"/>
              <w:rPr>
                <w:sz w:val="16"/>
                <w:szCs w:val="16"/>
              </w:rPr>
            </w:pPr>
          </w:p>
        </w:tc>
        <w:tc>
          <w:tcPr>
            <w:tcW w:w="554" w:type="dxa"/>
            <w:shd w:val="clear" w:color="auto" w:fill="F3F9FA"/>
            <w:noWrap/>
            <w:vAlign w:val="bottom"/>
            <w:hideMark/>
          </w:tcPr>
          <w:p w14:paraId="0807EBDD" w14:textId="77777777" w:rsidR="00C01771" w:rsidRPr="0004488E" w:rsidRDefault="00C01771" w:rsidP="00C01771">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32F02C44" w14:textId="408A9DC9" w:rsidR="00C01771" w:rsidRPr="0004488E" w:rsidRDefault="00C01771" w:rsidP="00C01771">
            <w:pPr>
              <w:spacing w:before="0" w:after="0"/>
              <w:jc w:val="center"/>
              <w:rPr>
                <w:sz w:val="16"/>
                <w:szCs w:val="16"/>
              </w:rPr>
            </w:pPr>
            <w:r>
              <w:rPr>
                <w:sz w:val="16"/>
                <w:szCs w:val="16"/>
              </w:rPr>
              <w:t>01-Jan-17</w:t>
            </w:r>
          </w:p>
        </w:tc>
        <w:tc>
          <w:tcPr>
            <w:tcW w:w="806" w:type="dxa"/>
            <w:shd w:val="clear" w:color="auto" w:fill="F3F9FA"/>
            <w:noWrap/>
            <w:vAlign w:val="bottom"/>
          </w:tcPr>
          <w:p w14:paraId="42DF0245" w14:textId="53B67248" w:rsidR="00C01771" w:rsidRPr="00C01771" w:rsidRDefault="00C01771" w:rsidP="00C01771">
            <w:pPr>
              <w:spacing w:before="0" w:after="0"/>
              <w:jc w:val="center"/>
              <w:rPr>
                <w:sz w:val="16"/>
                <w:szCs w:val="16"/>
              </w:rPr>
            </w:pPr>
            <w:r w:rsidRPr="00C01771">
              <w:rPr>
                <w:sz w:val="16"/>
                <w:szCs w:val="16"/>
              </w:rPr>
              <w:t>38.5</w:t>
            </w:r>
          </w:p>
        </w:tc>
        <w:tc>
          <w:tcPr>
            <w:tcW w:w="808" w:type="dxa"/>
            <w:shd w:val="clear" w:color="auto" w:fill="F3F9FA"/>
            <w:noWrap/>
            <w:vAlign w:val="bottom"/>
          </w:tcPr>
          <w:p w14:paraId="0066FB8B" w14:textId="710E2E2A" w:rsidR="00C01771" w:rsidRPr="00C01771" w:rsidRDefault="00C01771" w:rsidP="00C01771">
            <w:pPr>
              <w:spacing w:before="0" w:after="0"/>
              <w:jc w:val="center"/>
              <w:rPr>
                <w:sz w:val="16"/>
                <w:szCs w:val="16"/>
              </w:rPr>
            </w:pPr>
            <w:r w:rsidRPr="00C01771">
              <w:rPr>
                <w:sz w:val="16"/>
                <w:szCs w:val="16"/>
              </w:rPr>
              <w:t>38</w:t>
            </w:r>
          </w:p>
        </w:tc>
        <w:tc>
          <w:tcPr>
            <w:tcW w:w="954" w:type="dxa"/>
            <w:shd w:val="clear" w:color="auto" w:fill="F3F9FA"/>
            <w:noWrap/>
            <w:vAlign w:val="bottom"/>
            <w:hideMark/>
          </w:tcPr>
          <w:p w14:paraId="09CCBB3F" w14:textId="5CDF17AA" w:rsidR="00C01771" w:rsidRPr="00C01771" w:rsidRDefault="00C01771" w:rsidP="00C01771">
            <w:pPr>
              <w:spacing w:before="0" w:after="0"/>
              <w:jc w:val="center"/>
              <w:rPr>
                <w:sz w:val="16"/>
                <w:szCs w:val="16"/>
              </w:rPr>
            </w:pPr>
            <w:r w:rsidRPr="00C01771">
              <w:rPr>
                <w:sz w:val="16"/>
                <w:szCs w:val="16"/>
              </w:rPr>
              <w:t>21.4</w:t>
            </w:r>
          </w:p>
        </w:tc>
        <w:tc>
          <w:tcPr>
            <w:tcW w:w="954" w:type="dxa"/>
            <w:shd w:val="clear" w:color="auto" w:fill="F3F9FA"/>
            <w:noWrap/>
            <w:vAlign w:val="bottom"/>
            <w:hideMark/>
          </w:tcPr>
          <w:p w14:paraId="0E3818C3" w14:textId="71D6461F" w:rsidR="00C01771" w:rsidRPr="00C01771" w:rsidRDefault="00C01771" w:rsidP="00C01771">
            <w:pPr>
              <w:spacing w:before="0" w:after="0"/>
              <w:jc w:val="center"/>
              <w:rPr>
                <w:sz w:val="16"/>
                <w:szCs w:val="16"/>
              </w:rPr>
            </w:pPr>
            <w:r w:rsidRPr="00C01771">
              <w:rPr>
                <w:sz w:val="16"/>
                <w:szCs w:val="16"/>
              </w:rPr>
              <w:t>25.4</w:t>
            </w:r>
          </w:p>
        </w:tc>
        <w:tc>
          <w:tcPr>
            <w:tcW w:w="954" w:type="dxa"/>
            <w:shd w:val="clear" w:color="auto" w:fill="F3F9FA"/>
            <w:noWrap/>
            <w:vAlign w:val="bottom"/>
            <w:hideMark/>
          </w:tcPr>
          <w:p w14:paraId="191AAD86" w14:textId="589DB442" w:rsidR="00C01771" w:rsidRPr="00C01771" w:rsidRDefault="00C01771" w:rsidP="00C01771">
            <w:pPr>
              <w:spacing w:before="0" w:after="0"/>
              <w:jc w:val="center"/>
              <w:rPr>
                <w:sz w:val="16"/>
                <w:szCs w:val="16"/>
              </w:rPr>
            </w:pPr>
            <w:r w:rsidRPr="00C01771">
              <w:rPr>
                <w:sz w:val="16"/>
                <w:szCs w:val="16"/>
              </w:rPr>
              <w:t>35.2</w:t>
            </w:r>
          </w:p>
        </w:tc>
        <w:tc>
          <w:tcPr>
            <w:tcW w:w="650" w:type="dxa"/>
            <w:shd w:val="clear" w:color="auto" w:fill="F3F9FA"/>
            <w:noWrap/>
            <w:vAlign w:val="bottom"/>
          </w:tcPr>
          <w:p w14:paraId="2F7FBD38" w14:textId="200242CC" w:rsidR="00C01771" w:rsidRPr="00C01771" w:rsidRDefault="00C01771" w:rsidP="00C01771">
            <w:pPr>
              <w:spacing w:before="0" w:after="0"/>
              <w:jc w:val="center"/>
              <w:rPr>
                <w:sz w:val="16"/>
                <w:szCs w:val="16"/>
              </w:rPr>
            </w:pPr>
            <w:r w:rsidRPr="00C01771">
              <w:rPr>
                <w:sz w:val="16"/>
                <w:szCs w:val="16"/>
              </w:rPr>
              <w:t>100</w:t>
            </w:r>
          </w:p>
        </w:tc>
      </w:tr>
      <w:tr w:rsidR="00C01771" w14:paraId="34DDD833" w14:textId="77777777" w:rsidTr="006F4537">
        <w:trPr>
          <w:jc w:val="center"/>
        </w:trPr>
        <w:tc>
          <w:tcPr>
            <w:tcW w:w="1388" w:type="dxa"/>
            <w:noWrap/>
            <w:vAlign w:val="bottom"/>
          </w:tcPr>
          <w:p w14:paraId="31DE8556"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40ADF55B" w14:textId="77777777" w:rsidR="00C01771" w:rsidRPr="0004488E" w:rsidRDefault="00C01771" w:rsidP="00C01771">
            <w:pPr>
              <w:spacing w:before="0" w:after="0"/>
              <w:jc w:val="center"/>
              <w:rPr>
                <w:sz w:val="16"/>
                <w:szCs w:val="16"/>
              </w:rPr>
            </w:pPr>
          </w:p>
        </w:tc>
        <w:tc>
          <w:tcPr>
            <w:tcW w:w="554" w:type="dxa"/>
            <w:shd w:val="clear" w:color="auto" w:fill="F3F9FA"/>
            <w:noWrap/>
            <w:vAlign w:val="bottom"/>
            <w:hideMark/>
          </w:tcPr>
          <w:p w14:paraId="6CAA77FA" w14:textId="77777777" w:rsidR="00C01771" w:rsidRPr="0004488E" w:rsidRDefault="00C01771" w:rsidP="00C01771">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62C99C71" w14:textId="002748CC" w:rsidR="00C01771" w:rsidRPr="0004488E" w:rsidRDefault="00C01771" w:rsidP="00C01771">
            <w:pPr>
              <w:spacing w:before="0" w:after="0"/>
              <w:jc w:val="center"/>
              <w:rPr>
                <w:sz w:val="16"/>
                <w:szCs w:val="16"/>
              </w:rPr>
            </w:pPr>
            <w:r>
              <w:rPr>
                <w:sz w:val="16"/>
                <w:szCs w:val="16"/>
              </w:rPr>
              <w:t>01-Apr-17</w:t>
            </w:r>
          </w:p>
        </w:tc>
        <w:tc>
          <w:tcPr>
            <w:tcW w:w="806" w:type="dxa"/>
            <w:shd w:val="clear" w:color="auto" w:fill="F3F9FA"/>
            <w:noWrap/>
            <w:vAlign w:val="bottom"/>
          </w:tcPr>
          <w:p w14:paraId="6B83872C" w14:textId="7547D93B" w:rsidR="00C01771" w:rsidRPr="00C01771" w:rsidRDefault="00C01771" w:rsidP="00C01771">
            <w:pPr>
              <w:spacing w:before="0" w:after="0"/>
              <w:jc w:val="center"/>
              <w:rPr>
                <w:sz w:val="16"/>
                <w:szCs w:val="16"/>
              </w:rPr>
            </w:pPr>
            <w:r w:rsidRPr="00C01771">
              <w:rPr>
                <w:sz w:val="16"/>
                <w:szCs w:val="16"/>
              </w:rPr>
              <w:t>40.2</w:t>
            </w:r>
          </w:p>
        </w:tc>
        <w:tc>
          <w:tcPr>
            <w:tcW w:w="808" w:type="dxa"/>
            <w:shd w:val="clear" w:color="auto" w:fill="F3F9FA"/>
            <w:noWrap/>
            <w:vAlign w:val="bottom"/>
          </w:tcPr>
          <w:p w14:paraId="2FE580F2" w14:textId="38B94E3C" w:rsidR="00C01771" w:rsidRPr="00C01771" w:rsidRDefault="00C01771" w:rsidP="00C01771">
            <w:pPr>
              <w:spacing w:before="0" w:after="0"/>
              <w:jc w:val="center"/>
              <w:rPr>
                <w:sz w:val="16"/>
                <w:szCs w:val="16"/>
              </w:rPr>
            </w:pPr>
            <w:r w:rsidRPr="00C01771">
              <w:rPr>
                <w:sz w:val="16"/>
                <w:szCs w:val="16"/>
              </w:rPr>
              <w:t>45</w:t>
            </w:r>
          </w:p>
        </w:tc>
        <w:tc>
          <w:tcPr>
            <w:tcW w:w="954" w:type="dxa"/>
            <w:shd w:val="clear" w:color="auto" w:fill="F3F9FA"/>
            <w:noWrap/>
            <w:vAlign w:val="bottom"/>
            <w:hideMark/>
          </w:tcPr>
          <w:p w14:paraId="12909537" w14:textId="3871CAA4" w:rsidR="00C01771" w:rsidRPr="00C01771" w:rsidRDefault="00C01771" w:rsidP="00C01771">
            <w:pPr>
              <w:spacing w:before="0" w:after="0"/>
              <w:jc w:val="center"/>
              <w:rPr>
                <w:sz w:val="16"/>
                <w:szCs w:val="16"/>
              </w:rPr>
            </w:pPr>
            <w:r w:rsidRPr="00C01771">
              <w:rPr>
                <w:sz w:val="16"/>
                <w:szCs w:val="16"/>
              </w:rPr>
              <w:t>21.4</w:t>
            </w:r>
          </w:p>
        </w:tc>
        <w:tc>
          <w:tcPr>
            <w:tcW w:w="954" w:type="dxa"/>
            <w:shd w:val="clear" w:color="auto" w:fill="F3F9FA"/>
            <w:noWrap/>
            <w:vAlign w:val="bottom"/>
            <w:hideMark/>
          </w:tcPr>
          <w:p w14:paraId="4FB91587" w14:textId="0CDC0A63" w:rsidR="00C01771" w:rsidRPr="00C01771" w:rsidRDefault="00C01771" w:rsidP="00C01771">
            <w:pPr>
              <w:spacing w:before="0" w:after="0"/>
              <w:jc w:val="center"/>
              <w:rPr>
                <w:sz w:val="16"/>
                <w:szCs w:val="16"/>
              </w:rPr>
            </w:pPr>
            <w:r w:rsidRPr="00C01771">
              <w:rPr>
                <w:sz w:val="16"/>
                <w:szCs w:val="16"/>
              </w:rPr>
              <w:t>25.4</w:t>
            </w:r>
          </w:p>
        </w:tc>
        <w:tc>
          <w:tcPr>
            <w:tcW w:w="954" w:type="dxa"/>
            <w:shd w:val="clear" w:color="auto" w:fill="F3F9FA"/>
            <w:noWrap/>
            <w:vAlign w:val="bottom"/>
            <w:hideMark/>
          </w:tcPr>
          <w:p w14:paraId="0A7BBEE1" w14:textId="0C470EFA" w:rsidR="00C01771" w:rsidRPr="00C01771" w:rsidRDefault="00C01771" w:rsidP="00C01771">
            <w:pPr>
              <w:spacing w:before="0" w:after="0"/>
              <w:jc w:val="center"/>
              <w:rPr>
                <w:sz w:val="16"/>
                <w:szCs w:val="16"/>
              </w:rPr>
            </w:pPr>
            <w:r w:rsidRPr="00C01771">
              <w:rPr>
                <w:sz w:val="16"/>
                <w:szCs w:val="16"/>
              </w:rPr>
              <w:t>35.2</w:t>
            </w:r>
          </w:p>
        </w:tc>
        <w:tc>
          <w:tcPr>
            <w:tcW w:w="650" w:type="dxa"/>
            <w:shd w:val="clear" w:color="auto" w:fill="F3F9FA"/>
            <w:noWrap/>
            <w:vAlign w:val="bottom"/>
          </w:tcPr>
          <w:p w14:paraId="48566141" w14:textId="7C7C14F2" w:rsidR="00C01771" w:rsidRPr="00C01771" w:rsidRDefault="00C01771" w:rsidP="00C01771">
            <w:pPr>
              <w:spacing w:before="0" w:after="0"/>
              <w:jc w:val="center"/>
              <w:rPr>
                <w:sz w:val="16"/>
                <w:szCs w:val="16"/>
              </w:rPr>
            </w:pPr>
            <w:r w:rsidRPr="00C01771">
              <w:rPr>
                <w:sz w:val="16"/>
                <w:szCs w:val="16"/>
              </w:rPr>
              <w:t>100</w:t>
            </w:r>
          </w:p>
        </w:tc>
      </w:tr>
      <w:tr w:rsidR="00C01771" w14:paraId="50F65CFA" w14:textId="77777777" w:rsidTr="006F4537">
        <w:trPr>
          <w:jc w:val="center"/>
        </w:trPr>
        <w:tc>
          <w:tcPr>
            <w:tcW w:w="1388" w:type="dxa"/>
            <w:noWrap/>
            <w:vAlign w:val="bottom"/>
          </w:tcPr>
          <w:p w14:paraId="3DBBF159"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6E26AE7C" w14:textId="77777777" w:rsidR="00C01771" w:rsidRPr="00E73A7E" w:rsidRDefault="00C01771" w:rsidP="00C01771">
            <w:pPr>
              <w:spacing w:before="0" w:after="0"/>
              <w:jc w:val="center"/>
              <w:rPr>
                <w:sz w:val="16"/>
                <w:szCs w:val="16"/>
              </w:rPr>
            </w:pPr>
          </w:p>
        </w:tc>
        <w:tc>
          <w:tcPr>
            <w:tcW w:w="554" w:type="dxa"/>
            <w:shd w:val="clear" w:color="auto" w:fill="F3F9FA"/>
            <w:noWrap/>
            <w:vAlign w:val="bottom"/>
            <w:hideMark/>
          </w:tcPr>
          <w:p w14:paraId="5D00AC01" w14:textId="77777777" w:rsidR="00C01771" w:rsidRPr="00E73A7E" w:rsidRDefault="00C01771" w:rsidP="00C01771">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7DD37DD9" w14:textId="3F6758F7" w:rsidR="00C01771" w:rsidRPr="00E73A7E" w:rsidRDefault="00C01771" w:rsidP="00C01771">
            <w:pPr>
              <w:spacing w:before="0" w:after="0"/>
              <w:jc w:val="center"/>
              <w:rPr>
                <w:sz w:val="16"/>
                <w:szCs w:val="16"/>
              </w:rPr>
            </w:pPr>
            <w:r>
              <w:rPr>
                <w:sz w:val="16"/>
                <w:szCs w:val="16"/>
              </w:rPr>
              <w:t>01-Jul-16</w:t>
            </w:r>
          </w:p>
        </w:tc>
        <w:tc>
          <w:tcPr>
            <w:tcW w:w="806" w:type="dxa"/>
            <w:shd w:val="clear" w:color="auto" w:fill="F3F9FA"/>
            <w:noWrap/>
            <w:vAlign w:val="bottom"/>
          </w:tcPr>
          <w:p w14:paraId="358FE5B8" w14:textId="0DC864A9" w:rsidR="00C01771" w:rsidRPr="00C01771" w:rsidRDefault="00C01771" w:rsidP="00C01771">
            <w:pPr>
              <w:spacing w:before="0" w:after="0"/>
              <w:jc w:val="center"/>
              <w:rPr>
                <w:sz w:val="16"/>
                <w:szCs w:val="16"/>
              </w:rPr>
            </w:pPr>
            <w:r w:rsidRPr="00C01771">
              <w:rPr>
                <w:sz w:val="16"/>
                <w:szCs w:val="16"/>
              </w:rPr>
              <w:t>4.8</w:t>
            </w:r>
          </w:p>
        </w:tc>
        <w:tc>
          <w:tcPr>
            <w:tcW w:w="808" w:type="dxa"/>
            <w:shd w:val="clear" w:color="auto" w:fill="F3F9FA"/>
            <w:noWrap/>
            <w:vAlign w:val="bottom"/>
          </w:tcPr>
          <w:p w14:paraId="6C6C8F4B" w14:textId="7E9F5C93" w:rsidR="00C01771" w:rsidRPr="00C01771" w:rsidRDefault="00C01771" w:rsidP="00C01771">
            <w:pPr>
              <w:spacing w:before="0" w:after="0"/>
              <w:jc w:val="center"/>
              <w:rPr>
                <w:sz w:val="16"/>
                <w:szCs w:val="16"/>
              </w:rPr>
            </w:pPr>
            <w:r w:rsidRPr="00C01771">
              <w:rPr>
                <w:sz w:val="16"/>
                <w:szCs w:val="16"/>
              </w:rPr>
              <w:t>2</w:t>
            </w:r>
          </w:p>
        </w:tc>
        <w:tc>
          <w:tcPr>
            <w:tcW w:w="954" w:type="dxa"/>
            <w:shd w:val="clear" w:color="auto" w:fill="F3F9FA"/>
            <w:noWrap/>
            <w:vAlign w:val="bottom"/>
            <w:hideMark/>
          </w:tcPr>
          <w:p w14:paraId="1BC22D14" w14:textId="5FA8166B" w:rsidR="00C01771" w:rsidRPr="00C01771" w:rsidRDefault="00C01771" w:rsidP="00C01771">
            <w:pPr>
              <w:spacing w:before="0" w:after="0"/>
              <w:jc w:val="center"/>
              <w:rPr>
                <w:sz w:val="16"/>
                <w:szCs w:val="16"/>
              </w:rPr>
            </w:pPr>
            <w:r w:rsidRPr="00C01771">
              <w:rPr>
                <w:sz w:val="16"/>
                <w:szCs w:val="16"/>
              </w:rPr>
              <w:t>10</w:t>
            </w:r>
          </w:p>
        </w:tc>
        <w:tc>
          <w:tcPr>
            <w:tcW w:w="954" w:type="dxa"/>
            <w:shd w:val="clear" w:color="auto" w:fill="F3F9FA"/>
            <w:noWrap/>
            <w:vAlign w:val="bottom"/>
            <w:hideMark/>
          </w:tcPr>
          <w:p w14:paraId="03482346" w14:textId="5B32DA3F" w:rsidR="00C01771" w:rsidRPr="00C01771" w:rsidRDefault="00C01771" w:rsidP="00C01771">
            <w:pPr>
              <w:spacing w:before="0" w:after="0"/>
              <w:jc w:val="center"/>
              <w:rPr>
                <w:sz w:val="16"/>
                <w:szCs w:val="16"/>
              </w:rPr>
            </w:pPr>
            <w:r w:rsidRPr="00C01771">
              <w:rPr>
                <w:sz w:val="16"/>
                <w:szCs w:val="16"/>
              </w:rPr>
              <w:t>16.8</w:t>
            </w:r>
          </w:p>
        </w:tc>
        <w:tc>
          <w:tcPr>
            <w:tcW w:w="954" w:type="dxa"/>
            <w:shd w:val="clear" w:color="auto" w:fill="F3F9FA"/>
            <w:noWrap/>
            <w:vAlign w:val="bottom"/>
            <w:hideMark/>
          </w:tcPr>
          <w:p w14:paraId="017DE117" w14:textId="0D47DB4E" w:rsidR="00C01771" w:rsidRPr="00C01771" w:rsidRDefault="00C01771" w:rsidP="00C01771">
            <w:pPr>
              <w:spacing w:before="0" w:after="0"/>
              <w:jc w:val="center"/>
              <w:rPr>
                <w:sz w:val="16"/>
                <w:szCs w:val="16"/>
              </w:rPr>
            </w:pPr>
            <w:r w:rsidRPr="00C01771">
              <w:rPr>
                <w:sz w:val="16"/>
                <w:szCs w:val="16"/>
              </w:rPr>
              <w:t>22</w:t>
            </w:r>
          </w:p>
        </w:tc>
        <w:tc>
          <w:tcPr>
            <w:tcW w:w="650" w:type="dxa"/>
            <w:shd w:val="clear" w:color="auto" w:fill="F3F9FA"/>
            <w:noWrap/>
            <w:vAlign w:val="bottom"/>
          </w:tcPr>
          <w:p w14:paraId="5530ECB9" w14:textId="72FEAE46" w:rsidR="00C01771" w:rsidRPr="00C01771" w:rsidRDefault="00C01771" w:rsidP="00C01771">
            <w:pPr>
              <w:spacing w:before="0" w:after="0"/>
              <w:jc w:val="center"/>
              <w:rPr>
                <w:sz w:val="16"/>
                <w:szCs w:val="16"/>
              </w:rPr>
            </w:pPr>
            <w:r w:rsidRPr="00C01771">
              <w:rPr>
                <w:sz w:val="16"/>
                <w:szCs w:val="16"/>
              </w:rPr>
              <w:t>0</w:t>
            </w:r>
          </w:p>
        </w:tc>
      </w:tr>
      <w:tr w:rsidR="00C01771" w14:paraId="5A7D4D63" w14:textId="77777777" w:rsidTr="006F4537">
        <w:trPr>
          <w:jc w:val="center"/>
        </w:trPr>
        <w:tc>
          <w:tcPr>
            <w:tcW w:w="1388" w:type="dxa"/>
            <w:noWrap/>
            <w:vAlign w:val="bottom"/>
          </w:tcPr>
          <w:p w14:paraId="1659BF82"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0C14AC28" w14:textId="77777777" w:rsidR="00C01771" w:rsidRPr="00E73A7E" w:rsidRDefault="00C01771" w:rsidP="00C01771">
            <w:pPr>
              <w:spacing w:before="0" w:after="0"/>
              <w:jc w:val="center"/>
              <w:rPr>
                <w:sz w:val="16"/>
                <w:szCs w:val="16"/>
              </w:rPr>
            </w:pPr>
          </w:p>
        </w:tc>
        <w:tc>
          <w:tcPr>
            <w:tcW w:w="554" w:type="dxa"/>
            <w:shd w:val="clear" w:color="auto" w:fill="F3F9FA"/>
            <w:noWrap/>
            <w:vAlign w:val="bottom"/>
            <w:hideMark/>
          </w:tcPr>
          <w:p w14:paraId="101D2A6A" w14:textId="77777777" w:rsidR="00C01771" w:rsidRPr="00E73A7E" w:rsidRDefault="00C01771" w:rsidP="00C01771">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49F0DA9B" w14:textId="1E49DDCD" w:rsidR="00C01771" w:rsidRPr="00E73A7E" w:rsidRDefault="00C01771" w:rsidP="00C01771">
            <w:pPr>
              <w:spacing w:before="0" w:after="0"/>
              <w:jc w:val="center"/>
              <w:rPr>
                <w:sz w:val="16"/>
                <w:szCs w:val="16"/>
              </w:rPr>
            </w:pPr>
            <w:r>
              <w:rPr>
                <w:sz w:val="16"/>
                <w:szCs w:val="16"/>
              </w:rPr>
              <w:t>01-Oct-16</w:t>
            </w:r>
          </w:p>
        </w:tc>
        <w:tc>
          <w:tcPr>
            <w:tcW w:w="806" w:type="dxa"/>
            <w:shd w:val="clear" w:color="auto" w:fill="F3F9FA"/>
            <w:noWrap/>
            <w:vAlign w:val="bottom"/>
          </w:tcPr>
          <w:p w14:paraId="37FF4BB1" w14:textId="0D60F0F3" w:rsidR="00C01771" w:rsidRPr="00C01771" w:rsidRDefault="00C01771" w:rsidP="00C01771">
            <w:pPr>
              <w:spacing w:before="0" w:after="0"/>
              <w:jc w:val="center"/>
              <w:rPr>
                <w:sz w:val="16"/>
                <w:szCs w:val="16"/>
              </w:rPr>
            </w:pPr>
            <w:r w:rsidRPr="00C01771">
              <w:rPr>
                <w:sz w:val="16"/>
                <w:szCs w:val="16"/>
              </w:rPr>
              <w:t>7.5</w:t>
            </w:r>
          </w:p>
        </w:tc>
        <w:tc>
          <w:tcPr>
            <w:tcW w:w="808" w:type="dxa"/>
            <w:shd w:val="clear" w:color="auto" w:fill="F3F9FA"/>
            <w:noWrap/>
            <w:vAlign w:val="bottom"/>
          </w:tcPr>
          <w:p w14:paraId="5807A7E8" w14:textId="6A36C44A" w:rsidR="00C01771" w:rsidRPr="00C01771" w:rsidRDefault="00C01771" w:rsidP="00C01771">
            <w:pPr>
              <w:spacing w:before="0" w:after="0"/>
              <w:jc w:val="center"/>
              <w:rPr>
                <w:sz w:val="16"/>
                <w:szCs w:val="16"/>
              </w:rPr>
            </w:pPr>
            <w:r w:rsidRPr="00C01771">
              <w:rPr>
                <w:sz w:val="16"/>
                <w:szCs w:val="16"/>
              </w:rPr>
              <w:t>5</w:t>
            </w:r>
          </w:p>
        </w:tc>
        <w:tc>
          <w:tcPr>
            <w:tcW w:w="954" w:type="dxa"/>
            <w:shd w:val="clear" w:color="auto" w:fill="F3F9FA"/>
            <w:noWrap/>
            <w:vAlign w:val="bottom"/>
            <w:hideMark/>
          </w:tcPr>
          <w:p w14:paraId="38C14A9F" w14:textId="13C9555E" w:rsidR="00C01771" w:rsidRPr="00C01771" w:rsidRDefault="00C01771" w:rsidP="00C01771">
            <w:pPr>
              <w:spacing w:before="0" w:after="0"/>
              <w:jc w:val="center"/>
              <w:rPr>
                <w:sz w:val="16"/>
                <w:szCs w:val="16"/>
              </w:rPr>
            </w:pPr>
            <w:r w:rsidRPr="00C01771">
              <w:rPr>
                <w:sz w:val="16"/>
                <w:szCs w:val="16"/>
              </w:rPr>
              <w:t>10</w:t>
            </w:r>
          </w:p>
        </w:tc>
        <w:tc>
          <w:tcPr>
            <w:tcW w:w="954" w:type="dxa"/>
            <w:shd w:val="clear" w:color="auto" w:fill="F3F9FA"/>
            <w:noWrap/>
            <w:vAlign w:val="bottom"/>
            <w:hideMark/>
          </w:tcPr>
          <w:p w14:paraId="6A587958" w14:textId="08730C4E" w:rsidR="00C01771" w:rsidRPr="00C01771" w:rsidRDefault="00C01771" w:rsidP="00C01771">
            <w:pPr>
              <w:spacing w:before="0" w:after="0"/>
              <w:jc w:val="center"/>
              <w:rPr>
                <w:sz w:val="16"/>
                <w:szCs w:val="16"/>
              </w:rPr>
            </w:pPr>
            <w:r w:rsidRPr="00C01771">
              <w:rPr>
                <w:sz w:val="16"/>
                <w:szCs w:val="16"/>
              </w:rPr>
              <w:t>16.8</w:t>
            </w:r>
          </w:p>
        </w:tc>
        <w:tc>
          <w:tcPr>
            <w:tcW w:w="954" w:type="dxa"/>
            <w:shd w:val="clear" w:color="auto" w:fill="F3F9FA"/>
            <w:noWrap/>
            <w:vAlign w:val="bottom"/>
            <w:hideMark/>
          </w:tcPr>
          <w:p w14:paraId="5F341F06" w14:textId="18DEB53F" w:rsidR="00C01771" w:rsidRPr="00C01771" w:rsidRDefault="00C01771" w:rsidP="00C01771">
            <w:pPr>
              <w:spacing w:before="0" w:after="0"/>
              <w:jc w:val="center"/>
              <w:rPr>
                <w:sz w:val="16"/>
                <w:szCs w:val="16"/>
              </w:rPr>
            </w:pPr>
            <w:r w:rsidRPr="00C01771">
              <w:rPr>
                <w:sz w:val="16"/>
                <w:szCs w:val="16"/>
              </w:rPr>
              <w:t>22</w:t>
            </w:r>
          </w:p>
        </w:tc>
        <w:tc>
          <w:tcPr>
            <w:tcW w:w="650" w:type="dxa"/>
            <w:shd w:val="clear" w:color="auto" w:fill="F3F9FA"/>
            <w:noWrap/>
            <w:vAlign w:val="bottom"/>
          </w:tcPr>
          <w:p w14:paraId="6D972542" w14:textId="38291BE6" w:rsidR="00C01771" w:rsidRPr="00C01771" w:rsidRDefault="00C01771" w:rsidP="00C01771">
            <w:pPr>
              <w:spacing w:before="0" w:after="0"/>
              <w:jc w:val="center"/>
              <w:rPr>
                <w:sz w:val="16"/>
                <w:szCs w:val="16"/>
              </w:rPr>
            </w:pPr>
            <w:r w:rsidRPr="00C01771">
              <w:rPr>
                <w:sz w:val="16"/>
                <w:szCs w:val="16"/>
              </w:rPr>
              <w:t>25</w:t>
            </w:r>
          </w:p>
        </w:tc>
      </w:tr>
      <w:tr w:rsidR="00C01771" w14:paraId="06C3FD03" w14:textId="77777777" w:rsidTr="006F4537">
        <w:trPr>
          <w:jc w:val="center"/>
        </w:trPr>
        <w:tc>
          <w:tcPr>
            <w:tcW w:w="1388" w:type="dxa"/>
            <w:noWrap/>
            <w:vAlign w:val="bottom"/>
          </w:tcPr>
          <w:p w14:paraId="140EA4E9"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10D93F3C" w14:textId="77777777" w:rsidR="00C01771" w:rsidRPr="00E73A7E" w:rsidRDefault="00C01771" w:rsidP="00C01771">
            <w:pPr>
              <w:spacing w:before="0" w:after="0"/>
              <w:jc w:val="center"/>
              <w:rPr>
                <w:sz w:val="16"/>
                <w:szCs w:val="16"/>
              </w:rPr>
            </w:pPr>
          </w:p>
        </w:tc>
        <w:tc>
          <w:tcPr>
            <w:tcW w:w="554" w:type="dxa"/>
            <w:shd w:val="clear" w:color="auto" w:fill="F3F9FA"/>
            <w:noWrap/>
            <w:vAlign w:val="bottom"/>
            <w:hideMark/>
          </w:tcPr>
          <w:p w14:paraId="795BAA4C" w14:textId="77777777" w:rsidR="00C01771" w:rsidRPr="00E73A7E" w:rsidRDefault="00C01771" w:rsidP="00C01771">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4CA12D14" w14:textId="211D07A3" w:rsidR="00C01771" w:rsidRPr="00E73A7E" w:rsidRDefault="00C01771" w:rsidP="00C01771">
            <w:pPr>
              <w:spacing w:before="0" w:after="0"/>
              <w:jc w:val="center"/>
              <w:rPr>
                <w:sz w:val="16"/>
                <w:szCs w:val="16"/>
              </w:rPr>
            </w:pPr>
            <w:r>
              <w:rPr>
                <w:sz w:val="16"/>
                <w:szCs w:val="16"/>
              </w:rPr>
              <w:t>01-Jan-17</w:t>
            </w:r>
          </w:p>
        </w:tc>
        <w:tc>
          <w:tcPr>
            <w:tcW w:w="806" w:type="dxa"/>
            <w:shd w:val="clear" w:color="auto" w:fill="F3F9FA"/>
            <w:noWrap/>
            <w:vAlign w:val="bottom"/>
          </w:tcPr>
          <w:p w14:paraId="5E4B41B0" w14:textId="168D7F9E" w:rsidR="00C01771" w:rsidRPr="00C01771" w:rsidRDefault="00C01771" w:rsidP="00C01771">
            <w:pPr>
              <w:spacing w:before="0" w:after="0"/>
              <w:jc w:val="center"/>
              <w:rPr>
                <w:sz w:val="16"/>
                <w:szCs w:val="16"/>
              </w:rPr>
            </w:pPr>
            <w:r w:rsidRPr="00C01771">
              <w:rPr>
                <w:sz w:val="16"/>
                <w:szCs w:val="16"/>
              </w:rPr>
              <w:t>19.5</w:t>
            </w:r>
          </w:p>
        </w:tc>
        <w:tc>
          <w:tcPr>
            <w:tcW w:w="808" w:type="dxa"/>
            <w:shd w:val="clear" w:color="auto" w:fill="F3F9FA"/>
            <w:noWrap/>
            <w:vAlign w:val="bottom"/>
          </w:tcPr>
          <w:p w14:paraId="0823EC96" w14:textId="4C6C83EF" w:rsidR="00C01771" w:rsidRPr="00C01771" w:rsidRDefault="00C01771" w:rsidP="00C01771">
            <w:pPr>
              <w:spacing w:before="0" w:after="0"/>
              <w:jc w:val="center"/>
              <w:rPr>
                <w:sz w:val="16"/>
                <w:szCs w:val="16"/>
              </w:rPr>
            </w:pPr>
            <w:r w:rsidRPr="00C01771">
              <w:rPr>
                <w:sz w:val="16"/>
                <w:szCs w:val="16"/>
              </w:rPr>
              <w:t>20</w:t>
            </w:r>
          </w:p>
        </w:tc>
        <w:tc>
          <w:tcPr>
            <w:tcW w:w="954" w:type="dxa"/>
            <w:shd w:val="clear" w:color="auto" w:fill="F3F9FA"/>
            <w:noWrap/>
            <w:vAlign w:val="bottom"/>
            <w:hideMark/>
          </w:tcPr>
          <w:p w14:paraId="6537DC54" w14:textId="0DC961A7" w:rsidR="00C01771" w:rsidRPr="00C01771" w:rsidRDefault="00C01771" w:rsidP="00C01771">
            <w:pPr>
              <w:spacing w:before="0" w:after="0"/>
              <w:jc w:val="center"/>
              <w:rPr>
                <w:sz w:val="16"/>
                <w:szCs w:val="16"/>
              </w:rPr>
            </w:pPr>
            <w:r w:rsidRPr="00C01771">
              <w:rPr>
                <w:sz w:val="16"/>
                <w:szCs w:val="16"/>
              </w:rPr>
              <w:t>10</w:t>
            </w:r>
          </w:p>
        </w:tc>
        <w:tc>
          <w:tcPr>
            <w:tcW w:w="954" w:type="dxa"/>
            <w:shd w:val="clear" w:color="auto" w:fill="F3F9FA"/>
            <w:noWrap/>
            <w:vAlign w:val="bottom"/>
            <w:hideMark/>
          </w:tcPr>
          <w:p w14:paraId="2B0C784E" w14:textId="6FC11C40" w:rsidR="00C01771" w:rsidRPr="00C01771" w:rsidRDefault="00C01771" w:rsidP="00C01771">
            <w:pPr>
              <w:spacing w:before="0" w:after="0"/>
              <w:jc w:val="center"/>
              <w:rPr>
                <w:sz w:val="16"/>
                <w:szCs w:val="16"/>
              </w:rPr>
            </w:pPr>
            <w:r w:rsidRPr="00C01771">
              <w:rPr>
                <w:sz w:val="16"/>
                <w:szCs w:val="16"/>
              </w:rPr>
              <w:t>16.8</w:t>
            </w:r>
          </w:p>
        </w:tc>
        <w:tc>
          <w:tcPr>
            <w:tcW w:w="954" w:type="dxa"/>
            <w:shd w:val="clear" w:color="auto" w:fill="F3F9FA"/>
            <w:noWrap/>
            <w:vAlign w:val="bottom"/>
            <w:hideMark/>
          </w:tcPr>
          <w:p w14:paraId="1870107F" w14:textId="7DBB07D5" w:rsidR="00C01771" w:rsidRPr="00C01771" w:rsidRDefault="00C01771" w:rsidP="00C01771">
            <w:pPr>
              <w:spacing w:before="0" w:after="0"/>
              <w:jc w:val="center"/>
              <w:rPr>
                <w:sz w:val="16"/>
                <w:szCs w:val="16"/>
              </w:rPr>
            </w:pPr>
            <w:r w:rsidRPr="00C01771">
              <w:rPr>
                <w:sz w:val="16"/>
                <w:szCs w:val="16"/>
              </w:rPr>
              <w:t>22</w:t>
            </w:r>
          </w:p>
        </w:tc>
        <w:tc>
          <w:tcPr>
            <w:tcW w:w="650" w:type="dxa"/>
            <w:shd w:val="clear" w:color="auto" w:fill="F3F9FA"/>
            <w:noWrap/>
            <w:vAlign w:val="bottom"/>
          </w:tcPr>
          <w:p w14:paraId="1E35888B" w14:textId="2C458DD6" w:rsidR="00C01771" w:rsidRPr="00C01771" w:rsidRDefault="00C01771" w:rsidP="00C01771">
            <w:pPr>
              <w:spacing w:before="0" w:after="0"/>
              <w:jc w:val="center"/>
              <w:rPr>
                <w:sz w:val="16"/>
                <w:szCs w:val="16"/>
              </w:rPr>
            </w:pPr>
            <w:r w:rsidRPr="00C01771">
              <w:rPr>
                <w:sz w:val="16"/>
                <w:szCs w:val="16"/>
              </w:rPr>
              <w:t>75</w:t>
            </w:r>
          </w:p>
        </w:tc>
      </w:tr>
      <w:tr w:rsidR="00C01771" w14:paraId="7557329E" w14:textId="77777777" w:rsidTr="006F4537">
        <w:trPr>
          <w:jc w:val="center"/>
        </w:trPr>
        <w:tc>
          <w:tcPr>
            <w:tcW w:w="1388" w:type="dxa"/>
            <w:noWrap/>
            <w:vAlign w:val="bottom"/>
          </w:tcPr>
          <w:p w14:paraId="27CE1EA1"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2979C55B" w14:textId="77777777" w:rsidR="00C01771" w:rsidRPr="00E73A7E" w:rsidRDefault="00C01771" w:rsidP="00C01771">
            <w:pPr>
              <w:spacing w:before="0" w:after="0"/>
              <w:jc w:val="center"/>
              <w:rPr>
                <w:sz w:val="16"/>
                <w:szCs w:val="16"/>
              </w:rPr>
            </w:pPr>
          </w:p>
        </w:tc>
        <w:tc>
          <w:tcPr>
            <w:tcW w:w="554" w:type="dxa"/>
            <w:shd w:val="clear" w:color="auto" w:fill="F3F9FA"/>
            <w:noWrap/>
            <w:vAlign w:val="bottom"/>
            <w:hideMark/>
          </w:tcPr>
          <w:p w14:paraId="3F94F6BF" w14:textId="77777777" w:rsidR="00C01771" w:rsidRPr="00E73A7E" w:rsidRDefault="00C01771" w:rsidP="00C01771">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50CACA30" w14:textId="25E88278" w:rsidR="00C01771" w:rsidRPr="00E73A7E" w:rsidRDefault="00C01771" w:rsidP="00C01771">
            <w:pPr>
              <w:spacing w:before="0" w:after="0"/>
              <w:jc w:val="center"/>
              <w:rPr>
                <w:sz w:val="16"/>
                <w:szCs w:val="16"/>
              </w:rPr>
            </w:pPr>
            <w:r>
              <w:rPr>
                <w:sz w:val="16"/>
                <w:szCs w:val="16"/>
              </w:rPr>
              <w:t>01-Apr-17</w:t>
            </w:r>
          </w:p>
        </w:tc>
        <w:tc>
          <w:tcPr>
            <w:tcW w:w="806" w:type="dxa"/>
            <w:shd w:val="clear" w:color="auto" w:fill="F3F9FA"/>
            <w:noWrap/>
            <w:vAlign w:val="bottom"/>
          </w:tcPr>
          <w:p w14:paraId="0EBB7440" w14:textId="73F15AF6" w:rsidR="00C01771" w:rsidRPr="00C01771" w:rsidRDefault="00C01771" w:rsidP="00C01771">
            <w:pPr>
              <w:spacing w:before="0" w:after="0"/>
              <w:jc w:val="center"/>
              <w:rPr>
                <w:sz w:val="16"/>
                <w:szCs w:val="16"/>
              </w:rPr>
            </w:pPr>
            <w:r w:rsidRPr="00C01771">
              <w:rPr>
                <w:sz w:val="16"/>
                <w:szCs w:val="16"/>
              </w:rPr>
              <w:t>20.0</w:t>
            </w:r>
          </w:p>
        </w:tc>
        <w:tc>
          <w:tcPr>
            <w:tcW w:w="808" w:type="dxa"/>
            <w:shd w:val="clear" w:color="auto" w:fill="F3F9FA"/>
            <w:noWrap/>
            <w:vAlign w:val="bottom"/>
          </w:tcPr>
          <w:p w14:paraId="48676270" w14:textId="40BD88B0" w:rsidR="00C01771" w:rsidRPr="00C01771" w:rsidRDefault="00C01771" w:rsidP="00C01771">
            <w:pPr>
              <w:spacing w:before="0" w:after="0"/>
              <w:jc w:val="center"/>
              <w:rPr>
                <w:sz w:val="16"/>
                <w:szCs w:val="16"/>
              </w:rPr>
            </w:pPr>
            <w:r w:rsidRPr="00C01771">
              <w:rPr>
                <w:sz w:val="16"/>
                <w:szCs w:val="16"/>
              </w:rPr>
              <w:t>28</w:t>
            </w:r>
          </w:p>
        </w:tc>
        <w:tc>
          <w:tcPr>
            <w:tcW w:w="954" w:type="dxa"/>
            <w:shd w:val="clear" w:color="auto" w:fill="F3F9FA"/>
            <w:noWrap/>
            <w:vAlign w:val="bottom"/>
            <w:hideMark/>
          </w:tcPr>
          <w:p w14:paraId="41383C74" w14:textId="01FBE4CB" w:rsidR="00C01771" w:rsidRPr="00C01771" w:rsidRDefault="00C01771" w:rsidP="00C01771">
            <w:pPr>
              <w:spacing w:before="0" w:after="0"/>
              <w:jc w:val="center"/>
              <w:rPr>
                <w:sz w:val="16"/>
                <w:szCs w:val="16"/>
              </w:rPr>
            </w:pPr>
            <w:r w:rsidRPr="00C01771">
              <w:rPr>
                <w:sz w:val="16"/>
                <w:szCs w:val="16"/>
              </w:rPr>
              <w:t>10</w:t>
            </w:r>
          </w:p>
        </w:tc>
        <w:tc>
          <w:tcPr>
            <w:tcW w:w="954" w:type="dxa"/>
            <w:shd w:val="clear" w:color="auto" w:fill="F3F9FA"/>
            <w:noWrap/>
            <w:vAlign w:val="bottom"/>
            <w:hideMark/>
          </w:tcPr>
          <w:p w14:paraId="2573F8D9" w14:textId="00FB1454" w:rsidR="00C01771" w:rsidRPr="00C01771" w:rsidRDefault="00C01771" w:rsidP="00C01771">
            <w:pPr>
              <w:spacing w:before="0" w:after="0"/>
              <w:jc w:val="center"/>
              <w:rPr>
                <w:sz w:val="16"/>
                <w:szCs w:val="16"/>
              </w:rPr>
            </w:pPr>
            <w:r w:rsidRPr="00C01771">
              <w:rPr>
                <w:sz w:val="16"/>
                <w:szCs w:val="16"/>
              </w:rPr>
              <w:t>16.8</w:t>
            </w:r>
          </w:p>
        </w:tc>
        <w:tc>
          <w:tcPr>
            <w:tcW w:w="954" w:type="dxa"/>
            <w:shd w:val="clear" w:color="auto" w:fill="F3F9FA"/>
            <w:noWrap/>
            <w:vAlign w:val="bottom"/>
            <w:hideMark/>
          </w:tcPr>
          <w:p w14:paraId="6D1E53FA" w14:textId="412AF173" w:rsidR="00C01771" w:rsidRPr="00C01771" w:rsidRDefault="00C01771" w:rsidP="00C01771">
            <w:pPr>
              <w:spacing w:before="0" w:after="0"/>
              <w:jc w:val="center"/>
              <w:rPr>
                <w:sz w:val="16"/>
                <w:szCs w:val="16"/>
              </w:rPr>
            </w:pPr>
            <w:r w:rsidRPr="00C01771">
              <w:rPr>
                <w:sz w:val="16"/>
                <w:szCs w:val="16"/>
              </w:rPr>
              <w:t>22</w:t>
            </w:r>
          </w:p>
        </w:tc>
        <w:tc>
          <w:tcPr>
            <w:tcW w:w="650" w:type="dxa"/>
            <w:shd w:val="clear" w:color="auto" w:fill="F3F9FA"/>
            <w:noWrap/>
            <w:vAlign w:val="bottom"/>
          </w:tcPr>
          <w:p w14:paraId="3F889209" w14:textId="19B4BA7F" w:rsidR="00C01771" w:rsidRPr="00C01771" w:rsidRDefault="00C01771" w:rsidP="00C01771">
            <w:pPr>
              <w:spacing w:before="0" w:after="0"/>
              <w:jc w:val="center"/>
              <w:rPr>
                <w:sz w:val="16"/>
                <w:szCs w:val="16"/>
              </w:rPr>
            </w:pPr>
            <w:r w:rsidRPr="00C01771">
              <w:rPr>
                <w:sz w:val="16"/>
                <w:szCs w:val="16"/>
              </w:rPr>
              <w:t>100</w:t>
            </w:r>
          </w:p>
        </w:tc>
      </w:tr>
      <w:tr w:rsidR="00C01771" w14:paraId="571A83FB" w14:textId="77777777" w:rsidTr="006F4537">
        <w:trPr>
          <w:jc w:val="center"/>
        </w:trPr>
        <w:tc>
          <w:tcPr>
            <w:tcW w:w="1388" w:type="dxa"/>
            <w:noWrap/>
            <w:vAlign w:val="bottom"/>
          </w:tcPr>
          <w:p w14:paraId="2D3DBEF3"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34D34B2B" w14:textId="77777777" w:rsidR="00C01771" w:rsidRPr="00EF157B" w:rsidRDefault="00C01771" w:rsidP="00C01771">
            <w:pPr>
              <w:spacing w:before="0" w:after="0"/>
              <w:jc w:val="center"/>
              <w:rPr>
                <w:sz w:val="16"/>
                <w:szCs w:val="16"/>
              </w:rPr>
            </w:pPr>
          </w:p>
        </w:tc>
        <w:tc>
          <w:tcPr>
            <w:tcW w:w="554" w:type="dxa"/>
            <w:shd w:val="clear" w:color="auto" w:fill="F3F9FA"/>
            <w:noWrap/>
            <w:vAlign w:val="bottom"/>
            <w:hideMark/>
          </w:tcPr>
          <w:p w14:paraId="28F770C3" w14:textId="77777777" w:rsidR="00C01771" w:rsidRPr="00EF157B" w:rsidRDefault="00C01771" w:rsidP="00C01771">
            <w:pPr>
              <w:spacing w:before="0" w:after="0"/>
              <w:jc w:val="center"/>
              <w:rPr>
                <w:sz w:val="16"/>
                <w:szCs w:val="16"/>
              </w:rPr>
            </w:pPr>
            <w:r w:rsidRPr="00EF157B">
              <w:rPr>
                <w:sz w:val="16"/>
                <w:szCs w:val="16"/>
              </w:rPr>
              <w:t>SB2^</w:t>
            </w:r>
          </w:p>
        </w:tc>
        <w:tc>
          <w:tcPr>
            <w:tcW w:w="951" w:type="dxa"/>
            <w:shd w:val="clear" w:color="auto" w:fill="F3F9FA"/>
            <w:noWrap/>
            <w:vAlign w:val="bottom"/>
            <w:hideMark/>
          </w:tcPr>
          <w:p w14:paraId="37ADAEE6" w14:textId="6EDF1061" w:rsidR="00C01771" w:rsidRPr="00EF157B" w:rsidRDefault="00C01771" w:rsidP="00C01771">
            <w:pPr>
              <w:spacing w:before="0" w:after="0"/>
              <w:jc w:val="center"/>
              <w:rPr>
                <w:sz w:val="16"/>
                <w:szCs w:val="16"/>
              </w:rPr>
            </w:pPr>
            <w:r>
              <w:rPr>
                <w:sz w:val="16"/>
                <w:szCs w:val="16"/>
              </w:rPr>
              <w:t>01-Jul-16</w:t>
            </w:r>
          </w:p>
        </w:tc>
        <w:tc>
          <w:tcPr>
            <w:tcW w:w="806" w:type="dxa"/>
            <w:shd w:val="clear" w:color="auto" w:fill="F3F9FA"/>
            <w:noWrap/>
            <w:vAlign w:val="bottom"/>
          </w:tcPr>
          <w:p w14:paraId="1D1B8107" w14:textId="0E9F6676" w:rsidR="00C01771" w:rsidRPr="00C01771" w:rsidRDefault="00C01771" w:rsidP="00C01771">
            <w:pPr>
              <w:spacing w:before="0" w:after="0"/>
              <w:jc w:val="center"/>
              <w:rPr>
                <w:sz w:val="16"/>
                <w:szCs w:val="16"/>
              </w:rPr>
            </w:pPr>
            <w:r w:rsidRPr="00C01771">
              <w:rPr>
                <w:sz w:val="16"/>
                <w:szCs w:val="16"/>
              </w:rPr>
              <w:t>16.8</w:t>
            </w:r>
          </w:p>
        </w:tc>
        <w:tc>
          <w:tcPr>
            <w:tcW w:w="808" w:type="dxa"/>
            <w:shd w:val="clear" w:color="auto" w:fill="F3F9FA"/>
            <w:noWrap/>
            <w:vAlign w:val="bottom"/>
          </w:tcPr>
          <w:p w14:paraId="4331AA5B" w14:textId="3916A94F" w:rsidR="00C01771" w:rsidRPr="00C01771" w:rsidRDefault="00C01771" w:rsidP="00C01771">
            <w:pPr>
              <w:spacing w:before="0" w:after="0"/>
              <w:jc w:val="center"/>
              <w:rPr>
                <w:sz w:val="16"/>
                <w:szCs w:val="16"/>
              </w:rPr>
            </w:pPr>
            <w:r w:rsidRPr="00C01771">
              <w:rPr>
                <w:sz w:val="16"/>
                <w:szCs w:val="16"/>
              </w:rPr>
              <w:t>19</w:t>
            </w:r>
          </w:p>
        </w:tc>
        <w:tc>
          <w:tcPr>
            <w:tcW w:w="954" w:type="dxa"/>
            <w:shd w:val="clear" w:color="auto" w:fill="F3F9FA"/>
            <w:noWrap/>
            <w:vAlign w:val="bottom"/>
            <w:hideMark/>
          </w:tcPr>
          <w:p w14:paraId="63614377" w14:textId="3FC0D837" w:rsidR="00C01771" w:rsidRPr="00C01771" w:rsidRDefault="00C01771" w:rsidP="00C01771">
            <w:pPr>
              <w:spacing w:before="0" w:after="0"/>
              <w:jc w:val="center"/>
              <w:rPr>
                <w:sz w:val="16"/>
                <w:szCs w:val="16"/>
              </w:rPr>
            </w:pPr>
            <w:r w:rsidRPr="00C01771">
              <w:rPr>
                <w:sz w:val="16"/>
                <w:szCs w:val="16"/>
              </w:rPr>
              <w:t>10</w:t>
            </w:r>
          </w:p>
        </w:tc>
        <w:tc>
          <w:tcPr>
            <w:tcW w:w="954" w:type="dxa"/>
            <w:shd w:val="clear" w:color="auto" w:fill="F3F9FA"/>
            <w:noWrap/>
            <w:vAlign w:val="bottom"/>
            <w:hideMark/>
          </w:tcPr>
          <w:p w14:paraId="25662757" w14:textId="25DCC299" w:rsidR="00C01771" w:rsidRPr="00C01771" w:rsidRDefault="00C01771" w:rsidP="00C01771">
            <w:pPr>
              <w:spacing w:before="0" w:after="0"/>
              <w:jc w:val="center"/>
              <w:rPr>
                <w:sz w:val="16"/>
                <w:szCs w:val="16"/>
              </w:rPr>
            </w:pPr>
            <w:r w:rsidRPr="00C01771">
              <w:rPr>
                <w:sz w:val="16"/>
                <w:szCs w:val="16"/>
              </w:rPr>
              <w:t>16.8</w:t>
            </w:r>
          </w:p>
        </w:tc>
        <w:tc>
          <w:tcPr>
            <w:tcW w:w="954" w:type="dxa"/>
            <w:shd w:val="clear" w:color="auto" w:fill="F3F9FA"/>
            <w:noWrap/>
            <w:vAlign w:val="bottom"/>
            <w:hideMark/>
          </w:tcPr>
          <w:p w14:paraId="5AFFF8CA" w14:textId="35E1EFB3" w:rsidR="00C01771" w:rsidRPr="00C01771" w:rsidRDefault="00C01771" w:rsidP="00C01771">
            <w:pPr>
              <w:spacing w:before="0" w:after="0"/>
              <w:jc w:val="center"/>
              <w:rPr>
                <w:sz w:val="16"/>
                <w:szCs w:val="16"/>
              </w:rPr>
            </w:pPr>
            <w:r w:rsidRPr="00C01771">
              <w:rPr>
                <w:sz w:val="16"/>
                <w:szCs w:val="16"/>
              </w:rPr>
              <w:t>22</w:t>
            </w:r>
          </w:p>
        </w:tc>
        <w:tc>
          <w:tcPr>
            <w:tcW w:w="650" w:type="dxa"/>
            <w:shd w:val="clear" w:color="auto" w:fill="F3F9FA"/>
            <w:noWrap/>
            <w:vAlign w:val="bottom"/>
          </w:tcPr>
          <w:p w14:paraId="28F84276" w14:textId="453444A5" w:rsidR="00C01771" w:rsidRPr="00C01771" w:rsidRDefault="00C01771" w:rsidP="00C01771">
            <w:pPr>
              <w:spacing w:before="0" w:after="0"/>
              <w:jc w:val="center"/>
              <w:rPr>
                <w:sz w:val="16"/>
                <w:szCs w:val="16"/>
              </w:rPr>
            </w:pPr>
            <w:r w:rsidRPr="00C01771">
              <w:rPr>
                <w:sz w:val="16"/>
                <w:szCs w:val="16"/>
              </w:rPr>
              <w:t>75</w:t>
            </w:r>
          </w:p>
        </w:tc>
      </w:tr>
      <w:tr w:rsidR="00C01771" w14:paraId="0B92DC32" w14:textId="77777777" w:rsidTr="006F4537">
        <w:trPr>
          <w:jc w:val="center"/>
        </w:trPr>
        <w:tc>
          <w:tcPr>
            <w:tcW w:w="1388" w:type="dxa"/>
            <w:noWrap/>
            <w:vAlign w:val="bottom"/>
          </w:tcPr>
          <w:p w14:paraId="2F46093B"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2CDCD621" w14:textId="77777777" w:rsidR="00C01771" w:rsidRPr="00EF157B" w:rsidRDefault="00C01771" w:rsidP="00C01771">
            <w:pPr>
              <w:spacing w:before="0" w:after="0"/>
              <w:jc w:val="center"/>
              <w:rPr>
                <w:sz w:val="16"/>
                <w:szCs w:val="16"/>
              </w:rPr>
            </w:pPr>
          </w:p>
        </w:tc>
        <w:tc>
          <w:tcPr>
            <w:tcW w:w="554" w:type="dxa"/>
            <w:shd w:val="clear" w:color="auto" w:fill="F3F9FA"/>
            <w:noWrap/>
            <w:vAlign w:val="bottom"/>
            <w:hideMark/>
          </w:tcPr>
          <w:p w14:paraId="2F0F8495" w14:textId="77777777" w:rsidR="00C01771" w:rsidRPr="00EF157B" w:rsidRDefault="00C01771" w:rsidP="00C01771">
            <w:pPr>
              <w:spacing w:before="0" w:after="0"/>
              <w:jc w:val="center"/>
              <w:rPr>
                <w:sz w:val="16"/>
                <w:szCs w:val="16"/>
              </w:rPr>
            </w:pPr>
            <w:r w:rsidRPr="00EF157B">
              <w:rPr>
                <w:sz w:val="16"/>
                <w:szCs w:val="16"/>
              </w:rPr>
              <w:t>SB2^</w:t>
            </w:r>
          </w:p>
        </w:tc>
        <w:tc>
          <w:tcPr>
            <w:tcW w:w="951" w:type="dxa"/>
            <w:shd w:val="clear" w:color="auto" w:fill="F3F9FA"/>
            <w:noWrap/>
            <w:vAlign w:val="bottom"/>
            <w:hideMark/>
          </w:tcPr>
          <w:p w14:paraId="015E24BF" w14:textId="32BEFFF5" w:rsidR="00C01771" w:rsidRPr="00EF157B" w:rsidRDefault="00C01771" w:rsidP="00C01771">
            <w:pPr>
              <w:spacing w:before="0" w:after="0"/>
              <w:jc w:val="center"/>
              <w:rPr>
                <w:sz w:val="16"/>
                <w:szCs w:val="16"/>
              </w:rPr>
            </w:pPr>
            <w:r>
              <w:rPr>
                <w:sz w:val="16"/>
                <w:szCs w:val="16"/>
              </w:rPr>
              <w:t>01-Oct-16</w:t>
            </w:r>
          </w:p>
        </w:tc>
        <w:tc>
          <w:tcPr>
            <w:tcW w:w="806" w:type="dxa"/>
            <w:shd w:val="clear" w:color="auto" w:fill="F3F9FA"/>
            <w:noWrap/>
            <w:vAlign w:val="bottom"/>
          </w:tcPr>
          <w:p w14:paraId="13B453FC" w14:textId="33BB3703" w:rsidR="00C01771" w:rsidRPr="00C01771" w:rsidRDefault="00C01771" w:rsidP="00C01771">
            <w:pPr>
              <w:spacing w:before="0" w:after="0"/>
              <w:jc w:val="center"/>
              <w:rPr>
                <w:sz w:val="16"/>
                <w:szCs w:val="16"/>
              </w:rPr>
            </w:pPr>
            <w:r w:rsidRPr="00C01771">
              <w:rPr>
                <w:sz w:val="16"/>
                <w:szCs w:val="16"/>
              </w:rPr>
              <w:t>23.3</w:t>
            </w:r>
          </w:p>
        </w:tc>
        <w:tc>
          <w:tcPr>
            <w:tcW w:w="808" w:type="dxa"/>
            <w:shd w:val="clear" w:color="auto" w:fill="F3F9FA"/>
            <w:noWrap/>
            <w:vAlign w:val="bottom"/>
          </w:tcPr>
          <w:p w14:paraId="08069E8D" w14:textId="435CDB5F" w:rsidR="00C01771" w:rsidRPr="00C01771" w:rsidRDefault="00C01771" w:rsidP="00C01771">
            <w:pPr>
              <w:spacing w:before="0" w:after="0"/>
              <w:jc w:val="center"/>
              <w:rPr>
                <w:sz w:val="16"/>
                <w:szCs w:val="16"/>
              </w:rPr>
            </w:pPr>
            <w:r w:rsidRPr="00C01771">
              <w:rPr>
                <w:sz w:val="16"/>
                <w:szCs w:val="16"/>
              </w:rPr>
              <w:t>28</w:t>
            </w:r>
          </w:p>
        </w:tc>
        <w:tc>
          <w:tcPr>
            <w:tcW w:w="954" w:type="dxa"/>
            <w:shd w:val="clear" w:color="auto" w:fill="F3F9FA"/>
            <w:noWrap/>
            <w:vAlign w:val="bottom"/>
            <w:hideMark/>
          </w:tcPr>
          <w:p w14:paraId="00FD4874" w14:textId="50FE618E" w:rsidR="00C01771" w:rsidRPr="00C01771" w:rsidRDefault="00C01771" w:rsidP="00C01771">
            <w:pPr>
              <w:spacing w:before="0" w:after="0"/>
              <w:jc w:val="center"/>
              <w:rPr>
                <w:sz w:val="16"/>
                <w:szCs w:val="16"/>
              </w:rPr>
            </w:pPr>
            <w:r w:rsidRPr="00C01771">
              <w:rPr>
                <w:sz w:val="16"/>
                <w:szCs w:val="16"/>
              </w:rPr>
              <w:t>10</w:t>
            </w:r>
          </w:p>
        </w:tc>
        <w:tc>
          <w:tcPr>
            <w:tcW w:w="954" w:type="dxa"/>
            <w:shd w:val="clear" w:color="auto" w:fill="F3F9FA"/>
            <w:noWrap/>
            <w:vAlign w:val="bottom"/>
            <w:hideMark/>
          </w:tcPr>
          <w:p w14:paraId="0FD12EF9" w14:textId="4E60EF02" w:rsidR="00C01771" w:rsidRPr="00C01771" w:rsidRDefault="00C01771" w:rsidP="00C01771">
            <w:pPr>
              <w:spacing w:before="0" w:after="0"/>
              <w:jc w:val="center"/>
              <w:rPr>
                <w:sz w:val="16"/>
                <w:szCs w:val="16"/>
              </w:rPr>
            </w:pPr>
            <w:r w:rsidRPr="00C01771">
              <w:rPr>
                <w:sz w:val="16"/>
                <w:szCs w:val="16"/>
              </w:rPr>
              <w:t>16.8</w:t>
            </w:r>
          </w:p>
        </w:tc>
        <w:tc>
          <w:tcPr>
            <w:tcW w:w="954" w:type="dxa"/>
            <w:shd w:val="clear" w:color="auto" w:fill="F3F9FA"/>
            <w:noWrap/>
            <w:vAlign w:val="bottom"/>
            <w:hideMark/>
          </w:tcPr>
          <w:p w14:paraId="6703B15A" w14:textId="4D418B2D" w:rsidR="00C01771" w:rsidRPr="00C01771" w:rsidRDefault="00C01771" w:rsidP="00C01771">
            <w:pPr>
              <w:spacing w:before="0" w:after="0"/>
              <w:jc w:val="center"/>
              <w:rPr>
                <w:sz w:val="16"/>
                <w:szCs w:val="16"/>
              </w:rPr>
            </w:pPr>
            <w:r w:rsidRPr="00C01771">
              <w:rPr>
                <w:sz w:val="16"/>
                <w:szCs w:val="16"/>
              </w:rPr>
              <w:t>22</w:t>
            </w:r>
          </w:p>
        </w:tc>
        <w:tc>
          <w:tcPr>
            <w:tcW w:w="650" w:type="dxa"/>
            <w:shd w:val="clear" w:color="auto" w:fill="F3F9FA"/>
            <w:noWrap/>
            <w:vAlign w:val="bottom"/>
          </w:tcPr>
          <w:p w14:paraId="13B7C1CF" w14:textId="1BBD53C4" w:rsidR="00C01771" w:rsidRPr="00C01771" w:rsidRDefault="00C01771" w:rsidP="00C01771">
            <w:pPr>
              <w:spacing w:before="0" w:after="0"/>
              <w:jc w:val="center"/>
              <w:rPr>
                <w:sz w:val="16"/>
                <w:szCs w:val="16"/>
              </w:rPr>
            </w:pPr>
            <w:r w:rsidRPr="00C01771">
              <w:rPr>
                <w:sz w:val="16"/>
                <w:szCs w:val="16"/>
              </w:rPr>
              <w:t>100</w:t>
            </w:r>
          </w:p>
        </w:tc>
      </w:tr>
      <w:tr w:rsidR="00C01771" w14:paraId="73CB1EF4" w14:textId="77777777" w:rsidTr="006F4537">
        <w:trPr>
          <w:jc w:val="center"/>
        </w:trPr>
        <w:tc>
          <w:tcPr>
            <w:tcW w:w="1388" w:type="dxa"/>
            <w:noWrap/>
            <w:vAlign w:val="bottom"/>
          </w:tcPr>
          <w:p w14:paraId="1C163445" w14:textId="77777777" w:rsidR="00C01771" w:rsidRDefault="00C01771" w:rsidP="00C01771">
            <w:pPr>
              <w:spacing w:before="0" w:after="0"/>
              <w:rPr>
                <w:color w:val="000000"/>
                <w:sz w:val="16"/>
                <w:szCs w:val="16"/>
              </w:rPr>
            </w:pPr>
          </w:p>
        </w:tc>
        <w:tc>
          <w:tcPr>
            <w:tcW w:w="1523" w:type="dxa"/>
            <w:tcBorders>
              <w:top w:val="nil"/>
              <w:left w:val="nil"/>
              <w:bottom w:val="single" w:sz="4" w:space="0" w:color="auto"/>
              <w:right w:val="nil"/>
            </w:tcBorders>
            <w:shd w:val="clear" w:color="auto" w:fill="F3F9FA"/>
            <w:noWrap/>
            <w:vAlign w:val="bottom"/>
          </w:tcPr>
          <w:p w14:paraId="1AE00732" w14:textId="77777777" w:rsidR="00C01771" w:rsidRPr="00EF157B" w:rsidRDefault="00C01771" w:rsidP="00C01771">
            <w:pPr>
              <w:spacing w:before="0" w:after="0"/>
              <w:jc w:val="center"/>
              <w:rPr>
                <w:sz w:val="16"/>
                <w:szCs w:val="16"/>
              </w:rPr>
            </w:pPr>
          </w:p>
        </w:tc>
        <w:tc>
          <w:tcPr>
            <w:tcW w:w="554" w:type="dxa"/>
            <w:tcBorders>
              <w:top w:val="nil"/>
              <w:left w:val="nil"/>
              <w:bottom w:val="single" w:sz="4" w:space="0" w:color="auto"/>
              <w:right w:val="nil"/>
            </w:tcBorders>
            <w:shd w:val="clear" w:color="auto" w:fill="F3F9FA"/>
            <w:noWrap/>
            <w:vAlign w:val="bottom"/>
            <w:hideMark/>
          </w:tcPr>
          <w:p w14:paraId="1F80D19F" w14:textId="77777777" w:rsidR="00C01771" w:rsidRPr="00EF157B" w:rsidRDefault="00C01771" w:rsidP="00C01771">
            <w:pPr>
              <w:spacing w:before="0" w:after="0"/>
              <w:jc w:val="center"/>
              <w:rPr>
                <w:sz w:val="16"/>
                <w:szCs w:val="16"/>
              </w:rPr>
            </w:pPr>
            <w:r w:rsidRPr="00EF157B">
              <w:rPr>
                <w:sz w:val="16"/>
                <w:szCs w:val="16"/>
              </w:rPr>
              <w:t>SB2^</w:t>
            </w:r>
          </w:p>
        </w:tc>
        <w:tc>
          <w:tcPr>
            <w:tcW w:w="951" w:type="dxa"/>
            <w:tcBorders>
              <w:top w:val="nil"/>
              <w:left w:val="nil"/>
              <w:bottom w:val="single" w:sz="4" w:space="0" w:color="auto"/>
              <w:right w:val="nil"/>
            </w:tcBorders>
            <w:shd w:val="clear" w:color="auto" w:fill="F3F9FA"/>
            <w:noWrap/>
            <w:vAlign w:val="bottom"/>
            <w:hideMark/>
          </w:tcPr>
          <w:p w14:paraId="2BF68D0A" w14:textId="73E16A77" w:rsidR="00C01771" w:rsidRPr="00EF157B" w:rsidRDefault="00C01771" w:rsidP="00C01771">
            <w:pPr>
              <w:spacing w:before="0" w:after="0"/>
              <w:jc w:val="center"/>
              <w:rPr>
                <w:sz w:val="16"/>
                <w:szCs w:val="16"/>
              </w:rPr>
            </w:pPr>
            <w:r w:rsidRPr="00EF157B">
              <w:rPr>
                <w:sz w:val="16"/>
                <w:szCs w:val="16"/>
              </w:rPr>
              <w:t>01-Ap</w:t>
            </w:r>
            <w:r>
              <w:rPr>
                <w:sz w:val="16"/>
                <w:szCs w:val="16"/>
              </w:rPr>
              <w:t>r-17</w:t>
            </w:r>
          </w:p>
        </w:tc>
        <w:tc>
          <w:tcPr>
            <w:tcW w:w="806" w:type="dxa"/>
            <w:tcBorders>
              <w:top w:val="nil"/>
              <w:left w:val="nil"/>
              <w:bottom w:val="single" w:sz="4" w:space="0" w:color="auto"/>
              <w:right w:val="nil"/>
            </w:tcBorders>
            <w:shd w:val="clear" w:color="auto" w:fill="F3F9FA"/>
            <w:noWrap/>
            <w:vAlign w:val="bottom"/>
          </w:tcPr>
          <w:p w14:paraId="2C8D8F07" w14:textId="354D3FC3" w:rsidR="00C01771" w:rsidRPr="00C01771" w:rsidRDefault="00C01771" w:rsidP="00C01771">
            <w:pPr>
              <w:spacing w:before="0" w:after="0"/>
              <w:jc w:val="center"/>
              <w:rPr>
                <w:sz w:val="16"/>
                <w:szCs w:val="16"/>
              </w:rPr>
            </w:pPr>
            <w:r w:rsidRPr="00C01771">
              <w:rPr>
                <w:sz w:val="16"/>
                <w:szCs w:val="16"/>
              </w:rPr>
              <w:t>26.9</w:t>
            </w:r>
          </w:p>
        </w:tc>
        <w:tc>
          <w:tcPr>
            <w:tcW w:w="808" w:type="dxa"/>
            <w:tcBorders>
              <w:top w:val="nil"/>
              <w:left w:val="nil"/>
              <w:bottom w:val="single" w:sz="4" w:space="0" w:color="auto"/>
              <w:right w:val="nil"/>
            </w:tcBorders>
            <w:shd w:val="clear" w:color="auto" w:fill="F3F9FA"/>
            <w:noWrap/>
            <w:vAlign w:val="bottom"/>
          </w:tcPr>
          <w:p w14:paraId="4DB4C394" w14:textId="162E94F6" w:rsidR="00C01771" w:rsidRPr="00C01771" w:rsidRDefault="00C01771" w:rsidP="00C01771">
            <w:pPr>
              <w:spacing w:before="0" w:after="0"/>
              <w:jc w:val="center"/>
              <w:rPr>
                <w:sz w:val="16"/>
                <w:szCs w:val="16"/>
              </w:rPr>
            </w:pPr>
            <w:r w:rsidRPr="00C01771">
              <w:rPr>
                <w:sz w:val="16"/>
                <w:szCs w:val="16"/>
              </w:rPr>
              <w:t>30</w:t>
            </w:r>
          </w:p>
        </w:tc>
        <w:tc>
          <w:tcPr>
            <w:tcW w:w="954" w:type="dxa"/>
            <w:tcBorders>
              <w:top w:val="nil"/>
              <w:left w:val="nil"/>
              <w:bottom w:val="single" w:sz="4" w:space="0" w:color="auto"/>
              <w:right w:val="nil"/>
            </w:tcBorders>
            <w:shd w:val="clear" w:color="auto" w:fill="F3F9FA"/>
            <w:noWrap/>
            <w:vAlign w:val="bottom"/>
            <w:hideMark/>
          </w:tcPr>
          <w:p w14:paraId="2ABFDBE9" w14:textId="11EEADF0" w:rsidR="00C01771" w:rsidRPr="00C01771" w:rsidRDefault="00C01771" w:rsidP="00C01771">
            <w:pPr>
              <w:spacing w:before="0" w:after="0"/>
              <w:jc w:val="center"/>
              <w:rPr>
                <w:sz w:val="16"/>
                <w:szCs w:val="16"/>
              </w:rPr>
            </w:pPr>
            <w:r w:rsidRPr="00C01771">
              <w:rPr>
                <w:sz w:val="16"/>
                <w:szCs w:val="16"/>
              </w:rPr>
              <w:t>10</w:t>
            </w:r>
          </w:p>
        </w:tc>
        <w:tc>
          <w:tcPr>
            <w:tcW w:w="954" w:type="dxa"/>
            <w:tcBorders>
              <w:top w:val="nil"/>
              <w:left w:val="nil"/>
              <w:bottom w:val="single" w:sz="4" w:space="0" w:color="auto"/>
              <w:right w:val="nil"/>
            </w:tcBorders>
            <w:shd w:val="clear" w:color="auto" w:fill="F3F9FA"/>
            <w:noWrap/>
            <w:vAlign w:val="bottom"/>
            <w:hideMark/>
          </w:tcPr>
          <w:p w14:paraId="1D6436A3" w14:textId="1137AD8E" w:rsidR="00C01771" w:rsidRPr="00C01771" w:rsidRDefault="00C01771" w:rsidP="00C01771">
            <w:pPr>
              <w:spacing w:before="0" w:after="0"/>
              <w:jc w:val="center"/>
              <w:rPr>
                <w:sz w:val="16"/>
                <w:szCs w:val="16"/>
              </w:rPr>
            </w:pPr>
            <w:r w:rsidRPr="00C01771">
              <w:rPr>
                <w:sz w:val="16"/>
                <w:szCs w:val="16"/>
              </w:rPr>
              <w:t>16.8</w:t>
            </w:r>
          </w:p>
        </w:tc>
        <w:tc>
          <w:tcPr>
            <w:tcW w:w="954" w:type="dxa"/>
            <w:tcBorders>
              <w:top w:val="nil"/>
              <w:left w:val="nil"/>
              <w:bottom w:val="single" w:sz="4" w:space="0" w:color="auto"/>
              <w:right w:val="nil"/>
            </w:tcBorders>
            <w:shd w:val="clear" w:color="auto" w:fill="F3F9FA"/>
            <w:noWrap/>
            <w:vAlign w:val="bottom"/>
            <w:hideMark/>
          </w:tcPr>
          <w:p w14:paraId="2890DF83" w14:textId="3566AC7C" w:rsidR="00C01771" w:rsidRPr="00C01771" w:rsidRDefault="00C01771" w:rsidP="00C01771">
            <w:pPr>
              <w:spacing w:before="0" w:after="0"/>
              <w:jc w:val="center"/>
              <w:rPr>
                <w:sz w:val="16"/>
                <w:szCs w:val="16"/>
              </w:rPr>
            </w:pPr>
            <w:r w:rsidRPr="00C01771">
              <w:rPr>
                <w:sz w:val="16"/>
                <w:szCs w:val="16"/>
              </w:rPr>
              <w:t>22</w:t>
            </w:r>
          </w:p>
        </w:tc>
        <w:tc>
          <w:tcPr>
            <w:tcW w:w="650" w:type="dxa"/>
            <w:tcBorders>
              <w:top w:val="nil"/>
              <w:left w:val="nil"/>
              <w:bottom w:val="single" w:sz="4" w:space="0" w:color="auto"/>
              <w:right w:val="nil"/>
            </w:tcBorders>
            <w:shd w:val="clear" w:color="auto" w:fill="F3F9FA"/>
            <w:noWrap/>
            <w:vAlign w:val="bottom"/>
          </w:tcPr>
          <w:p w14:paraId="58DB6554" w14:textId="2BCF376F" w:rsidR="00C01771" w:rsidRPr="00C01771" w:rsidRDefault="00C01771" w:rsidP="00C01771">
            <w:pPr>
              <w:spacing w:before="0" w:after="0"/>
              <w:jc w:val="center"/>
              <w:rPr>
                <w:sz w:val="16"/>
                <w:szCs w:val="16"/>
              </w:rPr>
            </w:pPr>
            <w:r w:rsidRPr="00C01771">
              <w:rPr>
                <w:sz w:val="16"/>
                <w:szCs w:val="16"/>
              </w:rPr>
              <w:t>100</w:t>
            </w:r>
          </w:p>
        </w:tc>
      </w:tr>
      <w:tr w:rsidR="00C01771" w14:paraId="7EBBB3FE" w14:textId="77777777" w:rsidTr="006F4537">
        <w:trPr>
          <w:jc w:val="center"/>
        </w:trPr>
        <w:tc>
          <w:tcPr>
            <w:tcW w:w="1388" w:type="dxa"/>
            <w:noWrap/>
            <w:vAlign w:val="bottom"/>
          </w:tcPr>
          <w:p w14:paraId="526F75DE" w14:textId="77777777" w:rsidR="00C01771" w:rsidRDefault="00C01771" w:rsidP="00C01771">
            <w:pPr>
              <w:spacing w:before="0" w:after="0"/>
              <w:rPr>
                <w:color w:val="000000"/>
                <w:sz w:val="16"/>
                <w:szCs w:val="16"/>
              </w:rPr>
            </w:pPr>
          </w:p>
        </w:tc>
        <w:tc>
          <w:tcPr>
            <w:tcW w:w="1523" w:type="dxa"/>
            <w:tcBorders>
              <w:top w:val="single" w:sz="4" w:space="0" w:color="auto"/>
              <w:left w:val="nil"/>
              <w:bottom w:val="nil"/>
              <w:right w:val="nil"/>
            </w:tcBorders>
            <w:shd w:val="clear" w:color="auto" w:fill="E7F3F4"/>
            <w:noWrap/>
            <w:vAlign w:val="bottom"/>
            <w:hideMark/>
          </w:tcPr>
          <w:p w14:paraId="1909AFD3" w14:textId="77777777" w:rsidR="00C01771" w:rsidRDefault="00C01771" w:rsidP="00C01771">
            <w:pPr>
              <w:spacing w:before="0" w:after="0"/>
              <w:jc w:val="center"/>
              <w:rPr>
                <w:color w:val="000000"/>
                <w:sz w:val="16"/>
                <w:szCs w:val="16"/>
              </w:rPr>
            </w:pPr>
            <w:r>
              <w:rPr>
                <w:color w:val="000000"/>
                <w:sz w:val="16"/>
                <w:szCs w:val="16"/>
              </w:rPr>
              <w:t>Bowling Green Bay</w:t>
            </w:r>
          </w:p>
        </w:tc>
        <w:tc>
          <w:tcPr>
            <w:tcW w:w="554" w:type="dxa"/>
            <w:tcBorders>
              <w:top w:val="single" w:sz="4" w:space="0" w:color="auto"/>
              <w:left w:val="nil"/>
              <w:bottom w:val="nil"/>
              <w:right w:val="nil"/>
            </w:tcBorders>
            <w:shd w:val="clear" w:color="auto" w:fill="E7F3F4"/>
            <w:noWrap/>
            <w:vAlign w:val="bottom"/>
            <w:hideMark/>
          </w:tcPr>
          <w:p w14:paraId="23AAF3E4" w14:textId="77777777" w:rsidR="00C01771" w:rsidRPr="009A1E67" w:rsidRDefault="00C01771" w:rsidP="00C01771">
            <w:pPr>
              <w:spacing w:before="0" w:after="0"/>
              <w:jc w:val="center"/>
              <w:rPr>
                <w:sz w:val="16"/>
                <w:szCs w:val="16"/>
              </w:rPr>
            </w:pPr>
            <w:r w:rsidRPr="009A1E67">
              <w:rPr>
                <w:sz w:val="16"/>
                <w:szCs w:val="16"/>
              </w:rPr>
              <w:t>JR1</w:t>
            </w:r>
          </w:p>
        </w:tc>
        <w:tc>
          <w:tcPr>
            <w:tcW w:w="951" w:type="dxa"/>
            <w:tcBorders>
              <w:top w:val="single" w:sz="4" w:space="0" w:color="auto"/>
              <w:left w:val="nil"/>
              <w:bottom w:val="nil"/>
              <w:right w:val="nil"/>
            </w:tcBorders>
            <w:shd w:val="clear" w:color="auto" w:fill="E7F3F4"/>
            <w:noWrap/>
            <w:vAlign w:val="bottom"/>
            <w:hideMark/>
          </w:tcPr>
          <w:p w14:paraId="705B3B2E" w14:textId="08D0092A" w:rsidR="00C01771" w:rsidRPr="009A1E67" w:rsidRDefault="00C01771" w:rsidP="00C01771">
            <w:pPr>
              <w:spacing w:before="0" w:after="0"/>
              <w:jc w:val="center"/>
              <w:rPr>
                <w:sz w:val="16"/>
                <w:szCs w:val="16"/>
              </w:rPr>
            </w:pPr>
            <w:r>
              <w:rPr>
                <w:sz w:val="16"/>
                <w:szCs w:val="16"/>
              </w:rPr>
              <w:t>01-Oct-16</w:t>
            </w:r>
          </w:p>
        </w:tc>
        <w:tc>
          <w:tcPr>
            <w:tcW w:w="806" w:type="dxa"/>
            <w:tcBorders>
              <w:top w:val="single" w:sz="4" w:space="0" w:color="auto"/>
              <w:left w:val="nil"/>
              <w:bottom w:val="nil"/>
              <w:right w:val="nil"/>
            </w:tcBorders>
            <w:shd w:val="clear" w:color="auto" w:fill="E7F3F4"/>
            <w:noWrap/>
            <w:vAlign w:val="bottom"/>
          </w:tcPr>
          <w:p w14:paraId="76FA4D3E" w14:textId="0441C2A7" w:rsidR="00C01771" w:rsidRPr="00C01771" w:rsidRDefault="00C01771" w:rsidP="00C01771">
            <w:pPr>
              <w:spacing w:before="0" w:after="0"/>
              <w:jc w:val="center"/>
              <w:rPr>
                <w:sz w:val="16"/>
                <w:szCs w:val="16"/>
              </w:rPr>
            </w:pPr>
            <w:r w:rsidRPr="00C01771">
              <w:rPr>
                <w:sz w:val="16"/>
                <w:szCs w:val="16"/>
              </w:rPr>
              <w:t>82.4</w:t>
            </w:r>
          </w:p>
        </w:tc>
        <w:tc>
          <w:tcPr>
            <w:tcW w:w="808" w:type="dxa"/>
            <w:tcBorders>
              <w:top w:val="single" w:sz="4" w:space="0" w:color="auto"/>
              <w:left w:val="nil"/>
              <w:bottom w:val="nil"/>
              <w:right w:val="nil"/>
            </w:tcBorders>
            <w:shd w:val="clear" w:color="auto" w:fill="E7F3F4"/>
            <w:noWrap/>
            <w:vAlign w:val="bottom"/>
          </w:tcPr>
          <w:p w14:paraId="7B723530" w14:textId="310DBA55" w:rsidR="00C01771" w:rsidRPr="00C01771" w:rsidRDefault="00C01771" w:rsidP="00C01771">
            <w:pPr>
              <w:spacing w:before="0" w:after="0"/>
              <w:jc w:val="center"/>
              <w:rPr>
                <w:sz w:val="16"/>
                <w:szCs w:val="16"/>
              </w:rPr>
            </w:pPr>
            <w:r w:rsidRPr="00C01771">
              <w:rPr>
                <w:sz w:val="16"/>
                <w:szCs w:val="16"/>
              </w:rPr>
              <w:t>85</w:t>
            </w:r>
          </w:p>
        </w:tc>
        <w:tc>
          <w:tcPr>
            <w:tcW w:w="954" w:type="dxa"/>
            <w:tcBorders>
              <w:top w:val="single" w:sz="4" w:space="0" w:color="auto"/>
              <w:left w:val="nil"/>
              <w:bottom w:val="nil"/>
              <w:right w:val="nil"/>
            </w:tcBorders>
            <w:shd w:val="clear" w:color="auto" w:fill="E7F3F4"/>
            <w:noWrap/>
            <w:vAlign w:val="bottom"/>
            <w:hideMark/>
          </w:tcPr>
          <w:p w14:paraId="676F6167" w14:textId="2B7210C9" w:rsidR="00C01771" w:rsidRPr="00C01771" w:rsidRDefault="00C01771" w:rsidP="00C01771">
            <w:pPr>
              <w:spacing w:before="0" w:after="0"/>
              <w:jc w:val="center"/>
              <w:rPr>
                <w:sz w:val="16"/>
                <w:szCs w:val="16"/>
              </w:rPr>
            </w:pPr>
            <w:r w:rsidRPr="00C01771">
              <w:rPr>
                <w:sz w:val="16"/>
                <w:szCs w:val="16"/>
              </w:rPr>
              <w:t>15.7</w:t>
            </w:r>
          </w:p>
        </w:tc>
        <w:tc>
          <w:tcPr>
            <w:tcW w:w="954" w:type="dxa"/>
            <w:tcBorders>
              <w:top w:val="single" w:sz="4" w:space="0" w:color="auto"/>
              <w:left w:val="nil"/>
              <w:bottom w:val="nil"/>
              <w:right w:val="nil"/>
            </w:tcBorders>
            <w:shd w:val="clear" w:color="auto" w:fill="E7F3F4"/>
            <w:noWrap/>
            <w:vAlign w:val="bottom"/>
            <w:hideMark/>
          </w:tcPr>
          <w:p w14:paraId="36F8AD12" w14:textId="1A4C5060" w:rsidR="00C01771" w:rsidRPr="00C01771" w:rsidRDefault="00C01771" w:rsidP="00C01771">
            <w:pPr>
              <w:spacing w:before="0" w:after="0"/>
              <w:jc w:val="center"/>
              <w:rPr>
                <w:sz w:val="16"/>
                <w:szCs w:val="16"/>
              </w:rPr>
            </w:pPr>
            <w:r w:rsidRPr="00C01771">
              <w:rPr>
                <w:sz w:val="16"/>
                <w:szCs w:val="16"/>
              </w:rPr>
              <w:t>21.1</w:t>
            </w:r>
          </w:p>
        </w:tc>
        <w:tc>
          <w:tcPr>
            <w:tcW w:w="954" w:type="dxa"/>
            <w:tcBorders>
              <w:top w:val="single" w:sz="4" w:space="0" w:color="auto"/>
              <w:left w:val="nil"/>
              <w:bottom w:val="nil"/>
              <w:right w:val="nil"/>
            </w:tcBorders>
            <w:shd w:val="clear" w:color="auto" w:fill="E7F3F4"/>
            <w:noWrap/>
            <w:vAlign w:val="bottom"/>
            <w:hideMark/>
          </w:tcPr>
          <w:p w14:paraId="7D1460A7" w14:textId="296077A4" w:rsidR="00C01771" w:rsidRPr="00C01771" w:rsidRDefault="00C01771" w:rsidP="00C01771">
            <w:pPr>
              <w:spacing w:before="0" w:after="0"/>
              <w:jc w:val="center"/>
              <w:rPr>
                <w:sz w:val="16"/>
                <w:szCs w:val="16"/>
              </w:rPr>
            </w:pPr>
            <w:r w:rsidRPr="00C01771">
              <w:rPr>
                <w:sz w:val="16"/>
                <w:szCs w:val="16"/>
              </w:rPr>
              <w:t>28.6</w:t>
            </w:r>
          </w:p>
        </w:tc>
        <w:tc>
          <w:tcPr>
            <w:tcW w:w="650" w:type="dxa"/>
            <w:tcBorders>
              <w:top w:val="single" w:sz="4" w:space="0" w:color="auto"/>
              <w:left w:val="nil"/>
              <w:bottom w:val="nil"/>
              <w:right w:val="nil"/>
            </w:tcBorders>
            <w:shd w:val="clear" w:color="auto" w:fill="E7F3F4"/>
            <w:noWrap/>
            <w:vAlign w:val="bottom"/>
          </w:tcPr>
          <w:p w14:paraId="11CCF410" w14:textId="008504B0" w:rsidR="00C01771" w:rsidRPr="00C01771" w:rsidRDefault="00C01771" w:rsidP="00C01771">
            <w:pPr>
              <w:spacing w:before="0" w:after="0"/>
              <w:jc w:val="center"/>
              <w:rPr>
                <w:sz w:val="16"/>
                <w:szCs w:val="16"/>
              </w:rPr>
            </w:pPr>
            <w:r w:rsidRPr="00C01771">
              <w:rPr>
                <w:sz w:val="16"/>
                <w:szCs w:val="16"/>
              </w:rPr>
              <w:t>100</w:t>
            </w:r>
          </w:p>
        </w:tc>
      </w:tr>
      <w:tr w:rsidR="00C01771" w14:paraId="25C5E8F8" w14:textId="77777777" w:rsidTr="006F4537">
        <w:trPr>
          <w:jc w:val="center"/>
        </w:trPr>
        <w:tc>
          <w:tcPr>
            <w:tcW w:w="1388" w:type="dxa"/>
            <w:noWrap/>
            <w:vAlign w:val="bottom"/>
          </w:tcPr>
          <w:p w14:paraId="01F52198" w14:textId="77777777" w:rsidR="00C01771" w:rsidRDefault="00C01771" w:rsidP="00C01771">
            <w:pPr>
              <w:spacing w:before="0" w:after="0"/>
              <w:rPr>
                <w:color w:val="000000"/>
                <w:sz w:val="16"/>
                <w:szCs w:val="16"/>
              </w:rPr>
            </w:pPr>
          </w:p>
        </w:tc>
        <w:tc>
          <w:tcPr>
            <w:tcW w:w="1523" w:type="dxa"/>
            <w:shd w:val="clear" w:color="auto" w:fill="E7F3F4"/>
            <w:noWrap/>
            <w:vAlign w:val="bottom"/>
          </w:tcPr>
          <w:p w14:paraId="34168389" w14:textId="77777777" w:rsidR="00C01771" w:rsidRDefault="00C01771" w:rsidP="00C01771">
            <w:pPr>
              <w:spacing w:before="0" w:after="0"/>
              <w:jc w:val="center"/>
              <w:rPr>
                <w:color w:val="000000"/>
                <w:sz w:val="16"/>
                <w:szCs w:val="16"/>
              </w:rPr>
            </w:pPr>
          </w:p>
        </w:tc>
        <w:tc>
          <w:tcPr>
            <w:tcW w:w="554" w:type="dxa"/>
            <w:shd w:val="clear" w:color="auto" w:fill="E7F3F4"/>
            <w:noWrap/>
            <w:vAlign w:val="bottom"/>
            <w:hideMark/>
          </w:tcPr>
          <w:p w14:paraId="5EC0E4E7" w14:textId="77777777" w:rsidR="00C01771" w:rsidRPr="009A1E67" w:rsidRDefault="00C01771" w:rsidP="00C01771">
            <w:pPr>
              <w:spacing w:before="0" w:after="0"/>
              <w:jc w:val="center"/>
              <w:rPr>
                <w:sz w:val="16"/>
                <w:szCs w:val="16"/>
              </w:rPr>
            </w:pPr>
            <w:r w:rsidRPr="009A1E67">
              <w:rPr>
                <w:sz w:val="16"/>
                <w:szCs w:val="16"/>
              </w:rPr>
              <w:t>JR1</w:t>
            </w:r>
          </w:p>
        </w:tc>
        <w:tc>
          <w:tcPr>
            <w:tcW w:w="951" w:type="dxa"/>
            <w:shd w:val="clear" w:color="auto" w:fill="E7F3F4"/>
            <w:noWrap/>
            <w:vAlign w:val="bottom"/>
            <w:hideMark/>
          </w:tcPr>
          <w:p w14:paraId="291A635C" w14:textId="7C5A8DFB" w:rsidR="00C01771" w:rsidRPr="009A1E67" w:rsidRDefault="00C01771" w:rsidP="00C01771">
            <w:pPr>
              <w:spacing w:before="0" w:after="0"/>
              <w:jc w:val="center"/>
              <w:rPr>
                <w:sz w:val="16"/>
                <w:szCs w:val="16"/>
              </w:rPr>
            </w:pPr>
            <w:r>
              <w:rPr>
                <w:sz w:val="16"/>
                <w:szCs w:val="16"/>
              </w:rPr>
              <w:t>01-Apr-17</w:t>
            </w:r>
          </w:p>
        </w:tc>
        <w:tc>
          <w:tcPr>
            <w:tcW w:w="806" w:type="dxa"/>
            <w:shd w:val="clear" w:color="auto" w:fill="E7F3F4"/>
            <w:noWrap/>
            <w:vAlign w:val="bottom"/>
          </w:tcPr>
          <w:p w14:paraId="74629A68" w14:textId="5F8A27E7" w:rsidR="00C01771" w:rsidRPr="00C01771" w:rsidRDefault="00C01771" w:rsidP="00C01771">
            <w:pPr>
              <w:spacing w:before="0" w:after="0"/>
              <w:jc w:val="center"/>
              <w:rPr>
                <w:sz w:val="16"/>
                <w:szCs w:val="16"/>
              </w:rPr>
            </w:pPr>
            <w:r w:rsidRPr="00C01771">
              <w:rPr>
                <w:sz w:val="16"/>
                <w:szCs w:val="16"/>
              </w:rPr>
              <w:t>40.1</w:t>
            </w:r>
          </w:p>
        </w:tc>
        <w:tc>
          <w:tcPr>
            <w:tcW w:w="808" w:type="dxa"/>
            <w:shd w:val="clear" w:color="auto" w:fill="E7F3F4"/>
            <w:noWrap/>
            <w:vAlign w:val="bottom"/>
          </w:tcPr>
          <w:p w14:paraId="05CA8DC2" w14:textId="220F515B" w:rsidR="00C01771" w:rsidRPr="00C01771" w:rsidRDefault="00C01771" w:rsidP="00C01771">
            <w:pPr>
              <w:spacing w:before="0" w:after="0"/>
              <w:jc w:val="center"/>
              <w:rPr>
                <w:sz w:val="16"/>
                <w:szCs w:val="16"/>
              </w:rPr>
            </w:pPr>
            <w:r w:rsidRPr="00C01771">
              <w:rPr>
                <w:sz w:val="16"/>
                <w:szCs w:val="16"/>
              </w:rPr>
              <w:t>40</w:t>
            </w:r>
          </w:p>
        </w:tc>
        <w:tc>
          <w:tcPr>
            <w:tcW w:w="954" w:type="dxa"/>
            <w:shd w:val="clear" w:color="auto" w:fill="E7F3F4"/>
            <w:noWrap/>
            <w:vAlign w:val="bottom"/>
            <w:hideMark/>
          </w:tcPr>
          <w:p w14:paraId="46ACF643" w14:textId="5C60815E" w:rsidR="00C01771" w:rsidRPr="00C01771" w:rsidRDefault="00C01771" w:rsidP="00C01771">
            <w:pPr>
              <w:spacing w:before="0" w:after="0"/>
              <w:jc w:val="center"/>
              <w:rPr>
                <w:sz w:val="16"/>
                <w:szCs w:val="16"/>
              </w:rPr>
            </w:pPr>
            <w:r w:rsidRPr="00C01771">
              <w:rPr>
                <w:sz w:val="16"/>
                <w:szCs w:val="16"/>
              </w:rPr>
              <w:t>15.7</w:t>
            </w:r>
          </w:p>
        </w:tc>
        <w:tc>
          <w:tcPr>
            <w:tcW w:w="954" w:type="dxa"/>
            <w:shd w:val="clear" w:color="auto" w:fill="E7F3F4"/>
            <w:noWrap/>
            <w:vAlign w:val="bottom"/>
            <w:hideMark/>
          </w:tcPr>
          <w:p w14:paraId="74703750" w14:textId="78D11F14" w:rsidR="00C01771" w:rsidRPr="00C01771" w:rsidRDefault="00C01771" w:rsidP="00C01771">
            <w:pPr>
              <w:spacing w:before="0" w:after="0"/>
              <w:jc w:val="center"/>
              <w:rPr>
                <w:sz w:val="16"/>
                <w:szCs w:val="16"/>
              </w:rPr>
            </w:pPr>
            <w:r w:rsidRPr="00C01771">
              <w:rPr>
                <w:sz w:val="16"/>
                <w:szCs w:val="16"/>
              </w:rPr>
              <w:t>21.1</w:t>
            </w:r>
          </w:p>
        </w:tc>
        <w:tc>
          <w:tcPr>
            <w:tcW w:w="954" w:type="dxa"/>
            <w:shd w:val="clear" w:color="auto" w:fill="E7F3F4"/>
            <w:noWrap/>
            <w:vAlign w:val="bottom"/>
            <w:hideMark/>
          </w:tcPr>
          <w:p w14:paraId="1006E323" w14:textId="321EB8DB" w:rsidR="00C01771" w:rsidRPr="00C01771" w:rsidRDefault="00C01771" w:rsidP="00C01771">
            <w:pPr>
              <w:spacing w:before="0" w:after="0"/>
              <w:jc w:val="center"/>
              <w:rPr>
                <w:sz w:val="16"/>
                <w:szCs w:val="16"/>
              </w:rPr>
            </w:pPr>
            <w:r w:rsidRPr="00C01771">
              <w:rPr>
                <w:sz w:val="16"/>
                <w:szCs w:val="16"/>
              </w:rPr>
              <w:t>28.6</w:t>
            </w:r>
          </w:p>
        </w:tc>
        <w:tc>
          <w:tcPr>
            <w:tcW w:w="650" w:type="dxa"/>
            <w:shd w:val="clear" w:color="auto" w:fill="E7F3F4"/>
            <w:noWrap/>
            <w:vAlign w:val="bottom"/>
          </w:tcPr>
          <w:p w14:paraId="73447EEB" w14:textId="12D7C88C" w:rsidR="00C01771" w:rsidRPr="00C01771" w:rsidRDefault="00C01771" w:rsidP="00C01771">
            <w:pPr>
              <w:spacing w:before="0" w:after="0"/>
              <w:jc w:val="center"/>
              <w:rPr>
                <w:sz w:val="16"/>
                <w:szCs w:val="16"/>
              </w:rPr>
            </w:pPr>
            <w:r w:rsidRPr="00C01771">
              <w:rPr>
                <w:sz w:val="16"/>
                <w:szCs w:val="16"/>
              </w:rPr>
              <w:t>100</w:t>
            </w:r>
          </w:p>
        </w:tc>
      </w:tr>
      <w:tr w:rsidR="00C01771" w14:paraId="67441859" w14:textId="77777777" w:rsidTr="006F4537">
        <w:trPr>
          <w:jc w:val="center"/>
        </w:trPr>
        <w:tc>
          <w:tcPr>
            <w:tcW w:w="1388" w:type="dxa"/>
            <w:noWrap/>
            <w:vAlign w:val="bottom"/>
          </w:tcPr>
          <w:p w14:paraId="348745A4" w14:textId="77777777" w:rsidR="00C01771" w:rsidRDefault="00C01771" w:rsidP="00C01771">
            <w:pPr>
              <w:spacing w:before="0" w:after="0"/>
              <w:rPr>
                <w:color w:val="000000"/>
                <w:sz w:val="16"/>
                <w:szCs w:val="16"/>
              </w:rPr>
            </w:pPr>
          </w:p>
        </w:tc>
        <w:tc>
          <w:tcPr>
            <w:tcW w:w="1523" w:type="dxa"/>
            <w:shd w:val="clear" w:color="auto" w:fill="E7F3F4"/>
            <w:noWrap/>
            <w:vAlign w:val="bottom"/>
          </w:tcPr>
          <w:p w14:paraId="44876C5C" w14:textId="77777777" w:rsidR="00C01771" w:rsidRPr="009A1E67" w:rsidRDefault="00C01771" w:rsidP="00C01771">
            <w:pPr>
              <w:spacing w:before="0" w:after="0"/>
              <w:jc w:val="center"/>
              <w:rPr>
                <w:sz w:val="16"/>
                <w:szCs w:val="16"/>
              </w:rPr>
            </w:pPr>
          </w:p>
        </w:tc>
        <w:tc>
          <w:tcPr>
            <w:tcW w:w="554" w:type="dxa"/>
            <w:shd w:val="clear" w:color="auto" w:fill="E7F3F4"/>
            <w:noWrap/>
            <w:vAlign w:val="bottom"/>
            <w:hideMark/>
          </w:tcPr>
          <w:p w14:paraId="1A54DFB7" w14:textId="77777777" w:rsidR="00C01771" w:rsidRPr="009A1E67" w:rsidRDefault="00C01771" w:rsidP="00C01771">
            <w:pPr>
              <w:spacing w:before="0" w:after="0"/>
              <w:jc w:val="center"/>
              <w:rPr>
                <w:sz w:val="16"/>
                <w:szCs w:val="16"/>
              </w:rPr>
            </w:pPr>
            <w:r w:rsidRPr="009A1E67">
              <w:rPr>
                <w:sz w:val="16"/>
                <w:szCs w:val="16"/>
              </w:rPr>
              <w:t>JR2</w:t>
            </w:r>
          </w:p>
        </w:tc>
        <w:tc>
          <w:tcPr>
            <w:tcW w:w="951" w:type="dxa"/>
            <w:shd w:val="clear" w:color="auto" w:fill="E7F3F4"/>
            <w:noWrap/>
            <w:vAlign w:val="bottom"/>
            <w:hideMark/>
          </w:tcPr>
          <w:p w14:paraId="45171E3C" w14:textId="3112594C" w:rsidR="00C01771" w:rsidRPr="009A1E67" w:rsidRDefault="00C01771" w:rsidP="00C01771">
            <w:pPr>
              <w:spacing w:before="0" w:after="0"/>
              <w:jc w:val="center"/>
              <w:rPr>
                <w:sz w:val="16"/>
                <w:szCs w:val="16"/>
              </w:rPr>
            </w:pPr>
            <w:r>
              <w:rPr>
                <w:sz w:val="16"/>
                <w:szCs w:val="16"/>
              </w:rPr>
              <w:t>01-Oct-16</w:t>
            </w:r>
          </w:p>
        </w:tc>
        <w:tc>
          <w:tcPr>
            <w:tcW w:w="806" w:type="dxa"/>
            <w:shd w:val="clear" w:color="auto" w:fill="E7F3F4"/>
            <w:noWrap/>
            <w:vAlign w:val="bottom"/>
          </w:tcPr>
          <w:p w14:paraId="22EFCAD3" w14:textId="4A51BAFD" w:rsidR="00C01771" w:rsidRPr="00C01771" w:rsidRDefault="00C01771" w:rsidP="00C01771">
            <w:pPr>
              <w:spacing w:before="0" w:after="0"/>
              <w:jc w:val="center"/>
              <w:rPr>
                <w:sz w:val="16"/>
                <w:szCs w:val="16"/>
              </w:rPr>
            </w:pPr>
            <w:r w:rsidRPr="00C01771">
              <w:rPr>
                <w:sz w:val="16"/>
                <w:szCs w:val="16"/>
              </w:rPr>
              <w:t>70.0</w:t>
            </w:r>
          </w:p>
        </w:tc>
        <w:tc>
          <w:tcPr>
            <w:tcW w:w="808" w:type="dxa"/>
            <w:shd w:val="clear" w:color="auto" w:fill="E7F3F4"/>
            <w:noWrap/>
            <w:vAlign w:val="bottom"/>
          </w:tcPr>
          <w:p w14:paraId="6444D120" w14:textId="7CB5F0A9" w:rsidR="00C01771" w:rsidRPr="00C01771" w:rsidRDefault="00C01771" w:rsidP="00C01771">
            <w:pPr>
              <w:spacing w:before="0" w:after="0"/>
              <w:jc w:val="center"/>
              <w:rPr>
                <w:sz w:val="16"/>
                <w:szCs w:val="16"/>
              </w:rPr>
            </w:pPr>
            <w:r w:rsidRPr="00C01771">
              <w:rPr>
                <w:sz w:val="16"/>
                <w:szCs w:val="16"/>
              </w:rPr>
              <w:t>65</w:t>
            </w:r>
          </w:p>
        </w:tc>
        <w:tc>
          <w:tcPr>
            <w:tcW w:w="954" w:type="dxa"/>
            <w:shd w:val="clear" w:color="auto" w:fill="E7F3F4"/>
            <w:noWrap/>
            <w:vAlign w:val="bottom"/>
            <w:hideMark/>
          </w:tcPr>
          <w:p w14:paraId="3F17959D" w14:textId="72CAB497" w:rsidR="00C01771" w:rsidRPr="00C01771" w:rsidRDefault="00C01771" w:rsidP="00C01771">
            <w:pPr>
              <w:spacing w:before="0" w:after="0"/>
              <w:jc w:val="center"/>
              <w:rPr>
                <w:sz w:val="16"/>
                <w:szCs w:val="16"/>
              </w:rPr>
            </w:pPr>
            <w:r w:rsidRPr="00C01771">
              <w:rPr>
                <w:sz w:val="16"/>
                <w:szCs w:val="16"/>
              </w:rPr>
              <w:t>15.7</w:t>
            </w:r>
          </w:p>
        </w:tc>
        <w:tc>
          <w:tcPr>
            <w:tcW w:w="954" w:type="dxa"/>
            <w:shd w:val="clear" w:color="auto" w:fill="E7F3F4"/>
            <w:noWrap/>
            <w:vAlign w:val="bottom"/>
            <w:hideMark/>
          </w:tcPr>
          <w:p w14:paraId="06D36B79" w14:textId="50F84FFA" w:rsidR="00C01771" w:rsidRPr="00C01771" w:rsidRDefault="00C01771" w:rsidP="00C01771">
            <w:pPr>
              <w:spacing w:before="0" w:after="0"/>
              <w:jc w:val="center"/>
              <w:rPr>
                <w:sz w:val="16"/>
                <w:szCs w:val="16"/>
              </w:rPr>
            </w:pPr>
            <w:r w:rsidRPr="00C01771">
              <w:rPr>
                <w:sz w:val="16"/>
                <w:szCs w:val="16"/>
              </w:rPr>
              <w:t>21.1</w:t>
            </w:r>
          </w:p>
        </w:tc>
        <w:tc>
          <w:tcPr>
            <w:tcW w:w="954" w:type="dxa"/>
            <w:shd w:val="clear" w:color="auto" w:fill="E7F3F4"/>
            <w:noWrap/>
            <w:vAlign w:val="bottom"/>
            <w:hideMark/>
          </w:tcPr>
          <w:p w14:paraId="77CEC6B6" w14:textId="4BB88F01" w:rsidR="00C01771" w:rsidRPr="00C01771" w:rsidRDefault="00C01771" w:rsidP="00C01771">
            <w:pPr>
              <w:spacing w:before="0" w:after="0"/>
              <w:jc w:val="center"/>
              <w:rPr>
                <w:sz w:val="16"/>
                <w:szCs w:val="16"/>
              </w:rPr>
            </w:pPr>
            <w:r w:rsidRPr="00C01771">
              <w:rPr>
                <w:sz w:val="16"/>
                <w:szCs w:val="16"/>
              </w:rPr>
              <w:t>28.6</w:t>
            </w:r>
          </w:p>
        </w:tc>
        <w:tc>
          <w:tcPr>
            <w:tcW w:w="650" w:type="dxa"/>
            <w:shd w:val="clear" w:color="auto" w:fill="E7F3F4"/>
            <w:noWrap/>
            <w:vAlign w:val="bottom"/>
          </w:tcPr>
          <w:p w14:paraId="52AA3871" w14:textId="4414FA61" w:rsidR="00C01771" w:rsidRPr="00C01771" w:rsidRDefault="00C01771" w:rsidP="00C01771">
            <w:pPr>
              <w:spacing w:before="0" w:after="0"/>
              <w:jc w:val="center"/>
              <w:rPr>
                <w:sz w:val="16"/>
                <w:szCs w:val="16"/>
              </w:rPr>
            </w:pPr>
            <w:r w:rsidRPr="00C01771">
              <w:rPr>
                <w:sz w:val="16"/>
                <w:szCs w:val="16"/>
              </w:rPr>
              <w:t>100</w:t>
            </w:r>
          </w:p>
        </w:tc>
      </w:tr>
      <w:tr w:rsidR="00C01771" w14:paraId="05F8D649" w14:textId="77777777" w:rsidTr="006F4537">
        <w:trPr>
          <w:jc w:val="center"/>
        </w:trPr>
        <w:tc>
          <w:tcPr>
            <w:tcW w:w="1388" w:type="dxa"/>
            <w:tcBorders>
              <w:top w:val="nil"/>
              <w:left w:val="nil"/>
              <w:bottom w:val="single" w:sz="4" w:space="0" w:color="auto"/>
              <w:right w:val="nil"/>
            </w:tcBorders>
            <w:noWrap/>
            <w:vAlign w:val="bottom"/>
          </w:tcPr>
          <w:p w14:paraId="3A66EB3E" w14:textId="77777777" w:rsidR="00C01771" w:rsidRDefault="00C01771" w:rsidP="00C01771">
            <w:pPr>
              <w:spacing w:before="0" w:after="0"/>
              <w:rPr>
                <w:color w:val="000000"/>
                <w:sz w:val="16"/>
                <w:szCs w:val="16"/>
              </w:rPr>
            </w:pPr>
          </w:p>
        </w:tc>
        <w:tc>
          <w:tcPr>
            <w:tcW w:w="1523" w:type="dxa"/>
            <w:tcBorders>
              <w:top w:val="nil"/>
              <w:left w:val="nil"/>
              <w:bottom w:val="single" w:sz="4" w:space="0" w:color="auto"/>
              <w:right w:val="nil"/>
            </w:tcBorders>
            <w:shd w:val="clear" w:color="auto" w:fill="E7F3F4"/>
            <w:noWrap/>
            <w:vAlign w:val="bottom"/>
          </w:tcPr>
          <w:p w14:paraId="195B8C5B" w14:textId="77777777" w:rsidR="00C01771" w:rsidRPr="009A1E67" w:rsidRDefault="00C01771" w:rsidP="00C01771">
            <w:pPr>
              <w:spacing w:before="0" w:after="0"/>
              <w:jc w:val="center"/>
              <w:rPr>
                <w:sz w:val="16"/>
                <w:szCs w:val="16"/>
              </w:rPr>
            </w:pPr>
          </w:p>
        </w:tc>
        <w:tc>
          <w:tcPr>
            <w:tcW w:w="554" w:type="dxa"/>
            <w:tcBorders>
              <w:top w:val="nil"/>
              <w:left w:val="nil"/>
              <w:bottom w:val="single" w:sz="4" w:space="0" w:color="auto"/>
              <w:right w:val="nil"/>
            </w:tcBorders>
            <w:shd w:val="clear" w:color="auto" w:fill="E7F3F4"/>
            <w:noWrap/>
            <w:vAlign w:val="bottom"/>
            <w:hideMark/>
          </w:tcPr>
          <w:p w14:paraId="682448F0" w14:textId="77777777" w:rsidR="00C01771" w:rsidRPr="009A1E67" w:rsidRDefault="00C01771" w:rsidP="00C01771">
            <w:pPr>
              <w:spacing w:before="0" w:after="0"/>
              <w:jc w:val="center"/>
              <w:rPr>
                <w:sz w:val="16"/>
                <w:szCs w:val="16"/>
              </w:rPr>
            </w:pPr>
            <w:r w:rsidRPr="009A1E67">
              <w:rPr>
                <w:sz w:val="16"/>
                <w:szCs w:val="16"/>
              </w:rPr>
              <w:t>JR2</w:t>
            </w:r>
          </w:p>
        </w:tc>
        <w:tc>
          <w:tcPr>
            <w:tcW w:w="951" w:type="dxa"/>
            <w:tcBorders>
              <w:top w:val="nil"/>
              <w:left w:val="nil"/>
              <w:bottom w:val="single" w:sz="4" w:space="0" w:color="auto"/>
              <w:right w:val="nil"/>
            </w:tcBorders>
            <w:shd w:val="clear" w:color="auto" w:fill="E7F3F4"/>
            <w:noWrap/>
            <w:vAlign w:val="bottom"/>
            <w:hideMark/>
          </w:tcPr>
          <w:p w14:paraId="530EFCC6" w14:textId="054540E5" w:rsidR="00C01771" w:rsidRPr="009A1E67" w:rsidRDefault="00C01771" w:rsidP="00C01771">
            <w:pPr>
              <w:spacing w:before="0" w:after="0"/>
              <w:jc w:val="center"/>
              <w:rPr>
                <w:sz w:val="16"/>
                <w:szCs w:val="16"/>
              </w:rPr>
            </w:pPr>
            <w:r>
              <w:rPr>
                <w:sz w:val="16"/>
                <w:szCs w:val="16"/>
              </w:rPr>
              <w:t>01-Apr-17</w:t>
            </w:r>
          </w:p>
        </w:tc>
        <w:tc>
          <w:tcPr>
            <w:tcW w:w="806" w:type="dxa"/>
            <w:tcBorders>
              <w:top w:val="nil"/>
              <w:left w:val="nil"/>
              <w:bottom w:val="single" w:sz="4" w:space="0" w:color="auto"/>
              <w:right w:val="nil"/>
            </w:tcBorders>
            <w:shd w:val="clear" w:color="auto" w:fill="E7F3F4"/>
            <w:noWrap/>
            <w:vAlign w:val="bottom"/>
          </w:tcPr>
          <w:p w14:paraId="01040CC1" w14:textId="7DD2F103" w:rsidR="00C01771" w:rsidRPr="00C01771" w:rsidRDefault="00C01771" w:rsidP="00C01771">
            <w:pPr>
              <w:spacing w:before="0" w:after="0"/>
              <w:jc w:val="center"/>
              <w:rPr>
                <w:sz w:val="16"/>
                <w:szCs w:val="16"/>
              </w:rPr>
            </w:pPr>
            <w:r w:rsidRPr="00C01771">
              <w:rPr>
                <w:sz w:val="16"/>
                <w:szCs w:val="16"/>
              </w:rPr>
              <w:t>36.3</w:t>
            </w:r>
          </w:p>
        </w:tc>
        <w:tc>
          <w:tcPr>
            <w:tcW w:w="808" w:type="dxa"/>
            <w:tcBorders>
              <w:top w:val="nil"/>
              <w:left w:val="nil"/>
              <w:bottom w:val="single" w:sz="4" w:space="0" w:color="auto"/>
              <w:right w:val="nil"/>
            </w:tcBorders>
            <w:shd w:val="clear" w:color="auto" w:fill="E7F3F4"/>
            <w:noWrap/>
            <w:vAlign w:val="bottom"/>
          </w:tcPr>
          <w:p w14:paraId="1369ECE8" w14:textId="42EC96C1" w:rsidR="00C01771" w:rsidRPr="00C01771" w:rsidRDefault="00C01771" w:rsidP="00C01771">
            <w:pPr>
              <w:spacing w:before="0" w:after="0"/>
              <w:jc w:val="center"/>
              <w:rPr>
                <w:sz w:val="16"/>
                <w:szCs w:val="16"/>
              </w:rPr>
            </w:pPr>
            <w:r w:rsidRPr="00C01771">
              <w:rPr>
                <w:sz w:val="16"/>
                <w:szCs w:val="16"/>
              </w:rPr>
              <w:t>37.5</w:t>
            </w:r>
          </w:p>
        </w:tc>
        <w:tc>
          <w:tcPr>
            <w:tcW w:w="954" w:type="dxa"/>
            <w:tcBorders>
              <w:top w:val="nil"/>
              <w:left w:val="nil"/>
              <w:bottom w:val="single" w:sz="4" w:space="0" w:color="auto"/>
              <w:right w:val="nil"/>
            </w:tcBorders>
            <w:shd w:val="clear" w:color="auto" w:fill="E7F3F4"/>
            <w:noWrap/>
            <w:vAlign w:val="bottom"/>
            <w:hideMark/>
          </w:tcPr>
          <w:p w14:paraId="61B23AE0" w14:textId="4AE572CA" w:rsidR="00C01771" w:rsidRPr="00C01771" w:rsidRDefault="00C01771" w:rsidP="00C01771">
            <w:pPr>
              <w:spacing w:before="0" w:after="0"/>
              <w:jc w:val="center"/>
              <w:rPr>
                <w:sz w:val="16"/>
                <w:szCs w:val="16"/>
              </w:rPr>
            </w:pPr>
            <w:r w:rsidRPr="00C01771">
              <w:rPr>
                <w:sz w:val="16"/>
                <w:szCs w:val="16"/>
              </w:rPr>
              <w:t>15.7</w:t>
            </w:r>
          </w:p>
        </w:tc>
        <w:tc>
          <w:tcPr>
            <w:tcW w:w="954" w:type="dxa"/>
            <w:tcBorders>
              <w:top w:val="nil"/>
              <w:left w:val="nil"/>
              <w:bottom w:val="single" w:sz="4" w:space="0" w:color="auto"/>
              <w:right w:val="nil"/>
            </w:tcBorders>
            <w:shd w:val="clear" w:color="auto" w:fill="E7F3F4"/>
            <w:noWrap/>
            <w:vAlign w:val="bottom"/>
            <w:hideMark/>
          </w:tcPr>
          <w:p w14:paraId="0D898A5E" w14:textId="2287776C" w:rsidR="00C01771" w:rsidRPr="00C01771" w:rsidRDefault="00C01771" w:rsidP="00C01771">
            <w:pPr>
              <w:spacing w:before="0" w:after="0"/>
              <w:jc w:val="center"/>
              <w:rPr>
                <w:sz w:val="16"/>
                <w:szCs w:val="16"/>
              </w:rPr>
            </w:pPr>
            <w:r w:rsidRPr="00C01771">
              <w:rPr>
                <w:sz w:val="16"/>
                <w:szCs w:val="16"/>
              </w:rPr>
              <w:t>21.1</w:t>
            </w:r>
          </w:p>
        </w:tc>
        <w:tc>
          <w:tcPr>
            <w:tcW w:w="954" w:type="dxa"/>
            <w:tcBorders>
              <w:top w:val="nil"/>
              <w:left w:val="nil"/>
              <w:bottom w:val="single" w:sz="4" w:space="0" w:color="auto"/>
              <w:right w:val="nil"/>
            </w:tcBorders>
            <w:shd w:val="clear" w:color="auto" w:fill="E7F3F4"/>
            <w:noWrap/>
            <w:vAlign w:val="bottom"/>
            <w:hideMark/>
          </w:tcPr>
          <w:p w14:paraId="708DF1FE" w14:textId="2A889154" w:rsidR="00C01771" w:rsidRPr="00C01771" w:rsidRDefault="00C01771" w:rsidP="00C01771">
            <w:pPr>
              <w:spacing w:before="0" w:after="0"/>
              <w:jc w:val="center"/>
              <w:rPr>
                <w:sz w:val="16"/>
                <w:szCs w:val="16"/>
              </w:rPr>
            </w:pPr>
            <w:r w:rsidRPr="00C01771">
              <w:rPr>
                <w:sz w:val="16"/>
                <w:szCs w:val="16"/>
              </w:rPr>
              <w:t>28.6</w:t>
            </w:r>
          </w:p>
        </w:tc>
        <w:tc>
          <w:tcPr>
            <w:tcW w:w="650" w:type="dxa"/>
            <w:tcBorders>
              <w:top w:val="nil"/>
              <w:left w:val="nil"/>
              <w:bottom w:val="single" w:sz="4" w:space="0" w:color="auto"/>
              <w:right w:val="nil"/>
            </w:tcBorders>
            <w:shd w:val="clear" w:color="auto" w:fill="E7F3F4"/>
            <w:noWrap/>
            <w:vAlign w:val="bottom"/>
          </w:tcPr>
          <w:p w14:paraId="10897FCF" w14:textId="1EBDFA93" w:rsidR="00C01771" w:rsidRPr="00C01771" w:rsidRDefault="00C01771" w:rsidP="00C01771">
            <w:pPr>
              <w:spacing w:before="0" w:after="0"/>
              <w:jc w:val="center"/>
              <w:rPr>
                <w:sz w:val="16"/>
                <w:szCs w:val="16"/>
              </w:rPr>
            </w:pPr>
            <w:r w:rsidRPr="00C01771">
              <w:rPr>
                <w:sz w:val="16"/>
                <w:szCs w:val="16"/>
              </w:rPr>
              <w:t>100</w:t>
            </w:r>
          </w:p>
        </w:tc>
      </w:tr>
      <w:tr w:rsidR="00C01771" w14:paraId="54FEBB96" w14:textId="77777777" w:rsidTr="006F4537">
        <w:trPr>
          <w:jc w:val="center"/>
        </w:trPr>
        <w:tc>
          <w:tcPr>
            <w:tcW w:w="1388" w:type="dxa"/>
            <w:tcBorders>
              <w:top w:val="single" w:sz="4" w:space="0" w:color="auto"/>
              <w:left w:val="nil"/>
              <w:bottom w:val="nil"/>
              <w:right w:val="nil"/>
            </w:tcBorders>
            <w:noWrap/>
            <w:vAlign w:val="bottom"/>
            <w:hideMark/>
          </w:tcPr>
          <w:p w14:paraId="364156D5" w14:textId="77777777" w:rsidR="00C01771" w:rsidRDefault="00C01771" w:rsidP="00C01771">
            <w:pPr>
              <w:spacing w:before="0" w:after="0"/>
              <w:rPr>
                <w:color w:val="000000"/>
                <w:sz w:val="16"/>
                <w:szCs w:val="16"/>
              </w:rPr>
            </w:pPr>
            <w:r>
              <w:rPr>
                <w:color w:val="000000"/>
                <w:sz w:val="16"/>
                <w:szCs w:val="16"/>
              </w:rPr>
              <w:t>reef intertidal</w:t>
            </w:r>
          </w:p>
        </w:tc>
        <w:tc>
          <w:tcPr>
            <w:tcW w:w="1523" w:type="dxa"/>
            <w:tcBorders>
              <w:top w:val="single" w:sz="4" w:space="0" w:color="auto"/>
              <w:left w:val="nil"/>
              <w:bottom w:val="nil"/>
              <w:right w:val="nil"/>
            </w:tcBorders>
            <w:shd w:val="clear" w:color="auto" w:fill="F3F9FA"/>
            <w:noWrap/>
            <w:vAlign w:val="bottom"/>
            <w:hideMark/>
          </w:tcPr>
          <w:p w14:paraId="03ACF895" w14:textId="77777777" w:rsidR="00C01771" w:rsidRDefault="00C01771" w:rsidP="00C01771">
            <w:pPr>
              <w:spacing w:before="0" w:after="0"/>
              <w:jc w:val="center"/>
              <w:rPr>
                <w:color w:val="000000"/>
                <w:sz w:val="16"/>
                <w:szCs w:val="16"/>
              </w:rPr>
            </w:pPr>
            <w:r>
              <w:rPr>
                <w:color w:val="000000"/>
                <w:sz w:val="16"/>
                <w:szCs w:val="16"/>
              </w:rPr>
              <w:t>Magnetic Island</w:t>
            </w:r>
          </w:p>
        </w:tc>
        <w:tc>
          <w:tcPr>
            <w:tcW w:w="554" w:type="dxa"/>
            <w:tcBorders>
              <w:top w:val="single" w:sz="4" w:space="0" w:color="auto"/>
              <w:left w:val="nil"/>
              <w:bottom w:val="nil"/>
              <w:right w:val="nil"/>
            </w:tcBorders>
            <w:shd w:val="clear" w:color="auto" w:fill="F3F9FA"/>
            <w:noWrap/>
            <w:vAlign w:val="bottom"/>
            <w:hideMark/>
          </w:tcPr>
          <w:p w14:paraId="1DC91F62" w14:textId="77777777" w:rsidR="00C01771" w:rsidRPr="00A301C7" w:rsidRDefault="00C01771" w:rsidP="00C01771">
            <w:pPr>
              <w:spacing w:before="0" w:after="0"/>
              <w:jc w:val="center"/>
              <w:rPr>
                <w:sz w:val="16"/>
                <w:szCs w:val="16"/>
              </w:rPr>
            </w:pPr>
            <w:r w:rsidRPr="00A301C7">
              <w:rPr>
                <w:sz w:val="16"/>
                <w:szCs w:val="16"/>
              </w:rPr>
              <w:t>MI1</w:t>
            </w:r>
          </w:p>
        </w:tc>
        <w:tc>
          <w:tcPr>
            <w:tcW w:w="951" w:type="dxa"/>
            <w:tcBorders>
              <w:top w:val="single" w:sz="4" w:space="0" w:color="auto"/>
              <w:left w:val="nil"/>
              <w:bottom w:val="nil"/>
              <w:right w:val="nil"/>
            </w:tcBorders>
            <w:shd w:val="clear" w:color="auto" w:fill="F3F9FA"/>
            <w:noWrap/>
            <w:vAlign w:val="bottom"/>
            <w:hideMark/>
          </w:tcPr>
          <w:p w14:paraId="47C5AF5E" w14:textId="2E2C9A9F" w:rsidR="00C01771" w:rsidRPr="00A301C7" w:rsidRDefault="00C01771" w:rsidP="00C01771">
            <w:pPr>
              <w:spacing w:before="0" w:after="0"/>
              <w:jc w:val="center"/>
              <w:rPr>
                <w:sz w:val="16"/>
                <w:szCs w:val="16"/>
              </w:rPr>
            </w:pPr>
            <w:r w:rsidRPr="00A301C7">
              <w:rPr>
                <w:sz w:val="16"/>
                <w:szCs w:val="16"/>
              </w:rPr>
              <w:t>0</w:t>
            </w:r>
            <w:r>
              <w:rPr>
                <w:sz w:val="16"/>
                <w:szCs w:val="16"/>
              </w:rPr>
              <w:t>1-Jul-16</w:t>
            </w:r>
          </w:p>
        </w:tc>
        <w:tc>
          <w:tcPr>
            <w:tcW w:w="806" w:type="dxa"/>
            <w:tcBorders>
              <w:top w:val="single" w:sz="4" w:space="0" w:color="auto"/>
              <w:left w:val="nil"/>
              <w:bottom w:val="nil"/>
              <w:right w:val="nil"/>
            </w:tcBorders>
            <w:shd w:val="clear" w:color="auto" w:fill="F3F9FA"/>
            <w:noWrap/>
            <w:vAlign w:val="bottom"/>
          </w:tcPr>
          <w:p w14:paraId="05E58EE8" w14:textId="6B43D446" w:rsidR="00C01771" w:rsidRPr="00C01771" w:rsidRDefault="00C01771" w:rsidP="00C01771">
            <w:pPr>
              <w:spacing w:before="0" w:after="0"/>
              <w:jc w:val="center"/>
              <w:rPr>
                <w:sz w:val="16"/>
                <w:szCs w:val="16"/>
              </w:rPr>
            </w:pPr>
            <w:r w:rsidRPr="00C01771">
              <w:rPr>
                <w:sz w:val="16"/>
                <w:szCs w:val="16"/>
              </w:rPr>
              <w:t>17.0</w:t>
            </w:r>
          </w:p>
        </w:tc>
        <w:tc>
          <w:tcPr>
            <w:tcW w:w="808" w:type="dxa"/>
            <w:tcBorders>
              <w:top w:val="single" w:sz="4" w:space="0" w:color="auto"/>
              <w:left w:val="nil"/>
              <w:bottom w:val="nil"/>
              <w:right w:val="nil"/>
            </w:tcBorders>
            <w:shd w:val="clear" w:color="auto" w:fill="F3F9FA"/>
            <w:noWrap/>
            <w:vAlign w:val="bottom"/>
          </w:tcPr>
          <w:p w14:paraId="52A80105" w14:textId="65BC2449" w:rsidR="00C01771" w:rsidRPr="00C01771" w:rsidRDefault="00C01771" w:rsidP="00C01771">
            <w:pPr>
              <w:spacing w:before="0" w:after="0"/>
              <w:jc w:val="center"/>
              <w:rPr>
                <w:sz w:val="16"/>
                <w:szCs w:val="16"/>
              </w:rPr>
            </w:pPr>
            <w:r w:rsidRPr="00C01771">
              <w:rPr>
                <w:sz w:val="16"/>
                <w:szCs w:val="16"/>
              </w:rPr>
              <w:t>20</w:t>
            </w:r>
          </w:p>
        </w:tc>
        <w:tc>
          <w:tcPr>
            <w:tcW w:w="954" w:type="dxa"/>
            <w:tcBorders>
              <w:top w:val="single" w:sz="4" w:space="0" w:color="auto"/>
              <w:left w:val="nil"/>
              <w:bottom w:val="nil"/>
              <w:right w:val="nil"/>
            </w:tcBorders>
            <w:shd w:val="clear" w:color="auto" w:fill="F3F9FA"/>
            <w:noWrap/>
            <w:vAlign w:val="bottom"/>
            <w:hideMark/>
          </w:tcPr>
          <w:p w14:paraId="123BF323" w14:textId="20D8C0A3" w:rsidR="00C01771" w:rsidRPr="00C01771" w:rsidRDefault="00C01771" w:rsidP="00C01771">
            <w:pPr>
              <w:spacing w:before="0" w:after="0"/>
              <w:jc w:val="center"/>
              <w:rPr>
                <w:sz w:val="16"/>
                <w:szCs w:val="16"/>
              </w:rPr>
            </w:pPr>
            <w:r w:rsidRPr="00C01771">
              <w:rPr>
                <w:sz w:val="16"/>
                <w:szCs w:val="16"/>
              </w:rPr>
              <w:t>26</w:t>
            </w:r>
          </w:p>
        </w:tc>
        <w:tc>
          <w:tcPr>
            <w:tcW w:w="954" w:type="dxa"/>
            <w:tcBorders>
              <w:top w:val="single" w:sz="4" w:space="0" w:color="auto"/>
              <w:left w:val="nil"/>
              <w:bottom w:val="nil"/>
              <w:right w:val="nil"/>
            </w:tcBorders>
            <w:shd w:val="clear" w:color="auto" w:fill="F3F9FA"/>
            <w:noWrap/>
            <w:vAlign w:val="bottom"/>
            <w:hideMark/>
          </w:tcPr>
          <w:p w14:paraId="20EB42C9" w14:textId="0A7AF62A" w:rsidR="00C01771" w:rsidRPr="00C01771" w:rsidRDefault="00C01771" w:rsidP="00C01771">
            <w:pPr>
              <w:spacing w:before="0" w:after="0"/>
              <w:jc w:val="center"/>
              <w:rPr>
                <w:sz w:val="16"/>
                <w:szCs w:val="16"/>
              </w:rPr>
            </w:pPr>
            <w:r w:rsidRPr="00C01771">
              <w:rPr>
                <w:sz w:val="16"/>
                <w:szCs w:val="16"/>
              </w:rPr>
              <w:t>33.4</w:t>
            </w:r>
          </w:p>
        </w:tc>
        <w:tc>
          <w:tcPr>
            <w:tcW w:w="954" w:type="dxa"/>
            <w:tcBorders>
              <w:top w:val="single" w:sz="4" w:space="0" w:color="auto"/>
              <w:left w:val="nil"/>
              <w:bottom w:val="nil"/>
              <w:right w:val="nil"/>
            </w:tcBorders>
            <w:shd w:val="clear" w:color="auto" w:fill="F3F9FA"/>
            <w:noWrap/>
            <w:vAlign w:val="bottom"/>
            <w:hideMark/>
          </w:tcPr>
          <w:p w14:paraId="7C6DCDEA" w14:textId="51B549E5" w:rsidR="00C01771" w:rsidRPr="00C01771" w:rsidRDefault="00C01771" w:rsidP="00C01771">
            <w:pPr>
              <w:spacing w:before="0" w:after="0"/>
              <w:jc w:val="center"/>
              <w:rPr>
                <w:sz w:val="16"/>
                <w:szCs w:val="16"/>
              </w:rPr>
            </w:pPr>
            <w:r w:rsidRPr="00C01771">
              <w:rPr>
                <w:sz w:val="16"/>
                <w:szCs w:val="16"/>
              </w:rPr>
              <w:t>37</w:t>
            </w:r>
          </w:p>
        </w:tc>
        <w:tc>
          <w:tcPr>
            <w:tcW w:w="650" w:type="dxa"/>
            <w:tcBorders>
              <w:top w:val="single" w:sz="4" w:space="0" w:color="auto"/>
              <w:left w:val="nil"/>
              <w:bottom w:val="nil"/>
              <w:right w:val="nil"/>
            </w:tcBorders>
            <w:shd w:val="clear" w:color="auto" w:fill="F3F9FA"/>
            <w:noWrap/>
            <w:vAlign w:val="bottom"/>
          </w:tcPr>
          <w:p w14:paraId="1B81935B" w14:textId="72CD9D8E" w:rsidR="00C01771" w:rsidRPr="00C01771" w:rsidRDefault="00C01771" w:rsidP="00C01771">
            <w:pPr>
              <w:spacing w:before="0" w:after="0"/>
              <w:jc w:val="center"/>
              <w:rPr>
                <w:sz w:val="16"/>
                <w:szCs w:val="16"/>
              </w:rPr>
            </w:pPr>
            <w:r w:rsidRPr="00C01771">
              <w:rPr>
                <w:sz w:val="16"/>
                <w:szCs w:val="16"/>
              </w:rPr>
              <w:t>0</w:t>
            </w:r>
          </w:p>
        </w:tc>
      </w:tr>
      <w:tr w:rsidR="00C01771" w14:paraId="354610E7" w14:textId="77777777" w:rsidTr="006F4537">
        <w:trPr>
          <w:jc w:val="center"/>
        </w:trPr>
        <w:tc>
          <w:tcPr>
            <w:tcW w:w="1388" w:type="dxa"/>
            <w:noWrap/>
            <w:vAlign w:val="bottom"/>
          </w:tcPr>
          <w:p w14:paraId="4B6F45CE"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06D5C149" w14:textId="77777777" w:rsidR="00C01771" w:rsidRDefault="00C01771" w:rsidP="00C01771">
            <w:pPr>
              <w:spacing w:before="0" w:after="0"/>
              <w:jc w:val="center"/>
              <w:rPr>
                <w:color w:val="000000"/>
                <w:sz w:val="16"/>
                <w:szCs w:val="16"/>
              </w:rPr>
            </w:pPr>
          </w:p>
        </w:tc>
        <w:tc>
          <w:tcPr>
            <w:tcW w:w="554" w:type="dxa"/>
            <w:shd w:val="clear" w:color="auto" w:fill="F3F9FA"/>
            <w:noWrap/>
            <w:vAlign w:val="bottom"/>
            <w:hideMark/>
          </w:tcPr>
          <w:p w14:paraId="5164D201" w14:textId="77777777" w:rsidR="00C01771" w:rsidRPr="00A301C7" w:rsidRDefault="00C01771" w:rsidP="00C01771">
            <w:pPr>
              <w:spacing w:before="0" w:after="0"/>
              <w:jc w:val="center"/>
              <w:rPr>
                <w:sz w:val="16"/>
                <w:szCs w:val="16"/>
              </w:rPr>
            </w:pPr>
            <w:r w:rsidRPr="00A301C7">
              <w:rPr>
                <w:sz w:val="16"/>
                <w:szCs w:val="16"/>
              </w:rPr>
              <w:t>MI1</w:t>
            </w:r>
          </w:p>
        </w:tc>
        <w:tc>
          <w:tcPr>
            <w:tcW w:w="951" w:type="dxa"/>
            <w:shd w:val="clear" w:color="auto" w:fill="F3F9FA"/>
            <w:noWrap/>
            <w:vAlign w:val="bottom"/>
            <w:hideMark/>
          </w:tcPr>
          <w:p w14:paraId="23D94AF4" w14:textId="7BC220CC" w:rsidR="00C01771" w:rsidRPr="00A301C7" w:rsidRDefault="00C01771" w:rsidP="00C01771">
            <w:pPr>
              <w:spacing w:before="0" w:after="0"/>
              <w:jc w:val="center"/>
              <w:rPr>
                <w:sz w:val="16"/>
                <w:szCs w:val="16"/>
              </w:rPr>
            </w:pPr>
            <w:r>
              <w:rPr>
                <w:sz w:val="16"/>
                <w:szCs w:val="16"/>
              </w:rPr>
              <w:t>01-Oct-16</w:t>
            </w:r>
          </w:p>
        </w:tc>
        <w:tc>
          <w:tcPr>
            <w:tcW w:w="806" w:type="dxa"/>
            <w:shd w:val="clear" w:color="auto" w:fill="F3F9FA"/>
            <w:noWrap/>
            <w:vAlign w:val="bottom"/>
          </w:tcPr>
          <w:p w14:paraId="621D3D44" w14:textId="1FBEAFED" w:rsidR="00C01771" w:rsidRPr="00C01771" w:rsidRDefault="00C01771" w:rsidP="00C01771">
            <w:pPr>
              <w:spacing w:before="0" w:after="0"/>
              <w:jc w:val="center"/>
              <w:rPr>
                <w:sz w:val="16"/>
                <w:szCs w:val="16"/>
              </w:rPr>
            </w:pPr>
            <w:r w:rsidRPr="00C01771">
              <w:rPr>
                <w:sz w:val="16"/>
                <w:szCs w:val="16"/>
              </w:rPr>
              <w:t>14.2</w:t>
            </w:r>
          </w:p>
        </w:tc>
        <w:tc>
          <w:tcPr>
            <w:tcW w:w="808" w:type="dxa"/>
            <w:shd w:val="clear" w:color="auto" w:fill="F3F9FA"/>
            <w:noWrap/>
            <w:vAlign w:val="bottom"/>
          </w:tcPr>
          <w:p w14:paraId="16C4569D" w14:textId="6B75BBA5" w:rsidR="00C01771" w:rsidRPr="00C01771" w:rsidRDefault="00C01771" w:rsidP="00C01771">
            <w:pPr>
              <w:spacing w:before="0" w:after="0"/>
              <w:jc w:val="center"/>
              <w:rPr>
                <w:sz w:val="16"/>
                <w:szCs w:val="16"/>
              </w:rPr>
            </w:pPr>
            <w:r w:rsidRPr="00C01771">
              <w:rPr>
                <w:sz w:val="16"/>
                <w:szCs w:val="16"/>
              </w:rPr>
              <w:t>15</w:t>
            </w:r>
          </w:p>
        </w:tc>
        <w:tc>
          <w:tcPr>
            <w:tcW w:w="954" w:type="dxa"/>
            <w:shd w:val="clear" w:color="auto" w:fill="F3F9FA"/>
            <w:noWrap/>
            <w:vAlign w:val="bottom"/>
            <w:hideMark/>
          </w:tcPr>
          <w:p w14:paraId="053B70A6" w14:textId="603B09B0" w:rsidR="00C01771" w:rsidRPr="00C01771" w:rsidRDefault="00C01771" w:rsidP="00C01771">
            <w:pPr>
              <w:spacing w:before="0" w:after="0"/>
              <w:jc w:val="center"/>
              <w:rPr>
                <w:sz w:val="16"/>
                <w:szCs w:val="16"/>
              </w:rPr>
            </w:pPr>
            <w:r w:rsidRPr="00C01771">
              <w:rPr>
                <w:sz w:val="16"/>
                <w:szCs w:val="16"/>
              </w:rPr>
              <w:t>26</w:t>
            </w:r>
          </w:p>
        </w:tc>
        <w:tc>
          <w:tcPr>
            <w:tcW w:w="954" w:type="dxa"/>
            <w:shd w:val="clear" w:color="auto" w:fill="F3F9FA"/>
            <w:noWrap/>
            <w:vAlign w:val="bottom"/>
            <w:hideMark/>
          </w:tcPr>
          <w:p w14:paraId="545D38D7" w14:textId="282CAF74" w:rsidR="00C01771" w:rsidRPr="00C01771" w:rsidRDefault="00C01771" w:rsidP="00C01771">
            <w:pPr>
              <w:spacing w:before="0" w:after="0"/>
              <w:jc w:val="center"/>
              <w:rPr>
                <w:sz w:val="16"/>
                <w:szCs w:val="16"/>
              </w:rPr>
            </w:pPr>
            <w:r w:rsidRPr="00C01771">
              <w:rPr>
                <w:sz w:val="16"/>
                <w:szCs w:val="16"/>
              </w:rPr>
              <w:t>33.4</w:t>
            </w:r>
          </w:p>
        </w:tc>
        <w:tc>
          <w:tcPr>
            <w:tcW w:w="954" w:type="dxa"/>
            <w:shd w:val="clear" w:color="auto" w:fill="F3F9FA"/>
            <w:noWrap/>
            <w:vAlign w:val="bottom"/>
            <w:hideMark/>
          </w:tcPr>
          <w:p w14:paraId="175A7436" w14:textId="0B07670F" w:rsidR="00C01771" w:rsidRPr="00C01771" w:rsidRDefault="00C01771" w:rsidP="00C01771">
            <w:pPr>
              <w:spacing w:before="0" w:after="0"/>
              <w:jc w:val="center"/>
              <w:rPr>
                <w:sz w:val="16"/>
                <w:szCs w:val="16"/>
              </w:rPr>
            </w:pPr>
            <w:r w:rsidRPr="00C01771">
              <w:rPr>
                <w:sz w:val="16"/>
                <w:szCs w:val="16"/>
              </w:rPr>
              <w:t>37</w:t>
            </w:r>
          </w:p>
        </w:tc>
        <w:tc>
          <w:tcPr>
            <w:tcW w:w="650" w:type="dxa"/>
            <w:shd w:val="clear" w:color="auto" w:fill="F3F9FA"/>
            <w:noWrap/>
            <w:vAlign w:val="bottom"/>
          </w:tcPr>
          <w:p w14:paraId="042908DF" w14:textId="1F540B0F" w:rsidR="00C01771" w:rsidRPr="00C01771" w:rsidRDefault="00C01771" w:rsidP="00C01771">
            <w:pPr>
              <w:spacing w:before="0" w:after="0"/>
              <w:jc w:val="center"/>
              <w:rPr>
                <w:sz w:val="16"/>
                <w:szCs w:val="16"/>
              </w:rPr>
            </w:pPr>
            <w:r w:rsidRPr="00C01771">
              <w:rPr>
                <w:sz w:val="16"/>
                <w:szCs w:val="16"/>
              </w:rPr>
              <w:t>0</w:t>
            </w:r>
          </w:p>
        </w:tc>
      </w:tr>
      <w:tr w:rsidR="00C01771" w14:paraId="41E52185" w14:textId="77777777" w:rsidTr="006F4537">
        <w:trPr>
          <w:jc w:val="center"/>
        </w:trPr>
        <w:tc>
          <w:tcPr>
            <w:tcW w:w="1388" w:type="dxa"/>
            <w:noWrap/>
            <w:vAlign w:val="bottom"/>
          </w:tcPr>
          <w:p w14:paraId="5C03491B"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05186CD3" w14:textId="77777777" w:rsidR="00C01771" w:rsidRDefault="00C01771" w:rsidP="00C01771">
            <w:pPr>
              <w:spacing w:before="0" w:after="0"/>
              <w:jc w:val="center"/>
              <w:rPr>
                <w:color w:val="000000"/>
                <w:sz w:val="16"/>
                <w:szCs w:val="16"/>
              </w:rPr>
            </w:pPr>
          </w:p>
        </w:tc>
        <w:tc>
          <w:tcPr>
            <w:tcW w:w="554" w:type="dxa"/>
            <w:shd w:val="clear" w:color="auto" w:fill="F3F9FA"/>
            <w:noWrap/>
            <w:vAlign w:val="bottom"/>
            <w:hideMark/>
          </w:tcPr>
          <w:p w14:paraId="1513903B" w14:textId="77777777" w:rsidR="00C01771" w:rsidRPr="00A301C7" w:rsidRDefault="00C01771" w:rsidP="00C01771">
            <w:pPr>
              <w:spacing w:before="0" w:after="0"/>
              <w:jc w:val="center"/>
              <w:rPr>
                <w:sz w:val="16"/>
                <w:szCs w:val="16"/>
              </w:rPr>
            </w:pPr>
            <w:r w:rsidRPr="00A301C7">
              <w:rPr>
                <w:sz w:val="16"/>
                <w:szCs w:val="16"/>
              </w:rPr>
              <w:t>MI1</w:t>
            </w:r>
          </w:p>
        </w:tc>
        <w:tc>
          <w:tcPr>
            <w:tcW w:w="951" w:type="dxa"/>
            <w:shd w:val="clear" w:color="auto" w:fill="F3F9FA"/>
            <w:noWrap/>
            <w:vAlign w:val="bottom"/>
            <w:hideMark/>
          </w:tcPr>
          <w:p w14:paraId="2A90D60A" w14:textId="4F142214" w:rsidR="00C01771" w:rsidRPr="00A301C7" w:rsidRDefault="00C01771" w:rsidP="00C01771">
            <w:pPr>
              <w:spacing w:before="0" w:after="0"/>
              <w:jc w:val="center"/>
              <w:rPr>
                <w:sz w:val="16"/>
                <w:szCs w:val="16"/>
              </w:rPr>
            </w:pPr>
            <w:r>
              <w:rPr>
                <w:sz w:val="16"/>
                <w:szCs w:val="16"/>
              </w:rPr>
              <w:t>01-Jan-17</w:t>
            </w:r>
          </w:p>
        </w:tc>
        <w:tc>
          <w:tcPr>
            <w:tcW w:w="806" w:type="dxa"/>
            <w:shd w:val="clear" w:color="auto" w:fill="F3F9FA"/>
            <w:noWrap/>
            <w:vAlign w:val="bottom"/>
          </w:tcPr>
          <w:p w14:paraId="117016BA" w14:textId="02C275F8" w:rsidR="00C01771" w:rsidRPr="00C01771" w:rsidRDefault="00C01771" w:rsidP="00C01771">
            <w:pPr>
              <w:spacing w:before="0" w:after="0"/>
              <w:jc w:val="center"/>
              <w:rPr>
                <w:sz w:val="16"/>
                <w:szCs w:val="16"/>
              </w:rPr>
            </w:pPr>
            <w:r w:rsidRPr="00C01771">
              <w:rPr>
                <w:sz w:val="16"/>
                <w:szCs w:val="16"/>
              </w:rPr>
              <w:t>19.7</w:t>
            </w:r>
          </w:p>
        </w:tc>
        <w:tc>
          <w:tcPr>
            <w:tcW w:w="808" w:type="dxa"/>
            <w:shd w:val="clear" w:color="auto" w:fill="F3F9FA"/>
            <w:noWrap/>
            <w:vAlign w:val="bottom"/>
          </w:tcPr>
          <w:p w14:paraId="14248FED" w14:textId="6B28012C" w:rsidR="00C01771" w:rsidRPr="00C01771" w:rsidRDefault="00C01771" w:rsidP="00C01771">
            <w:pPr>
              <w:spacing w:before="0" w:after="0"/>
              <w:jc w:val="center"/>
              <w:rPr>
                <w:sz w:val="16"/>
                <w:szCs w:val="16"/>
              </w:rPr>
            </w:pPr>
            <w:r w:rsidRPr="00C01771">
              <w:rPr>
                <w:sz w:val="16"/>
                <w:szCs w:val="16"/>
              </w:rPr>
              <w:t>18</w:t>
            </w:r>
          </w:p>
        </w:tc>
        <w:tc>
          <w:tcPr>
            <w:tcW w:w="954" w:type="dxa"/>
            <w:shd w:val="clear" w:color="auto" w:fill="F3F9FA"/>
            <w:noWrap/>
            <w:vAlign w:val="bottom"/>
            <w:hideMark/>
          </w:tcPr>
          <w:p w14:paraId="59B22CF8" w14:textId="44218199" w:rsidR="00C01771" w:rsidRPr="00C01771" w:rsidRDefault="00C01771" w:rsidP="00C01771">
            <w:pPr>
              <w:spacing w:before="0" w:after="0"/>
              <w:jc w:val="center"/>
              <w:rPr>
                <w:sz w:val="16"/>
                <w:szCs w:val="16"/>
              </w:rPr>
            </w:pPr>
            <w:r w:rsidRPr="00C01771">
              <w:rPr>
                <w:sz w:val="16"/>
                <w:szCs w:val="16"/>
              </w:rPr>
              <w:t>26</w:t>
            </w:r>
          </w:p>
        </w:tc>
        <w:tc>
          <w:tcPr>
            <w:tcW w:w="954" w:type="dxa"/>
            <w:shd w:val="clear" w:color="auto" w:fill="F3F9FA"/>
            <w:noWrap/>
            <w:vAlign w:val="bottom"/>
            <w:hideMark/>
          </w:tcPr>
          <w:p w14:paraId="237416F0" w14:textId="4054135B" w:rsidR="00C01771" w:rsidRPr="00C01771" w:rsidRDefault="00C01771" w:rsidP="00C01771">
            <w:pPr>
              <w:spacing w:before="0" w:after="0"/>
              <w:jc w:val="center"/>
              <w:rPr>
                <w:sz w:val="16"/>
                <w:szCs w:val="16"/>
              </w:rPr>
            </w:pPr>
            <w:r w:rsidRPr="00C01771">
              <w:rPr>
                <w:sz w:val="16"/>
                <w:szCs w:val="16"/>
              </w:rPr>
              <w:t>33.4</w:t>
            </w:r>
          </w:p>
        </w:tc>
        <w:tc>
          <w:tcPr>
            <w:tcW w:w="954" w:type="dxa"/>
            <w:shd w:val="clear" w:color="auto" w:fill="F3F9FA"/>
            <w:noWrap/>
            <w:vAlign w:val="bottom"/>
            <w:hideMark/>
          </w:tcPr>
          <w:p w14:paraId="37A0BDCB" w14:textId="21859425" w:rsidR="00C01771" w:rsidRPr="00C01771" w:rsidRDefault="00C01771" w:rsidP="00C01771">
            <w:pPr>
              <w:spacing w:before="0" w:after="0"/>
              <w:jc w:val="center"/>
              <w:rPr>
                <w:sz w:val="16"/>
                <w:szCs w:val="16"/>
              </w:rPr>
            </w:pPr>
            <w:r w:rsidRPr="00C01771">
              <w:rPr>
                <w:sz w:val="16"/>
                <w:szCs w:val="16"/>
              </w:rPr>
              <w:t>37</w:t>
            </w:r>
          </w:p>
        </w:tc>
        <w:tc>
          <w:tcPr>
            <w:tcW w:w="650" w:type="dxa"/>
            <w:shd w:val="clear" w:color="auto" w:fill="F3F9FA"/>
            <w:noWrap/>
            <w:vAlign w:val="bottom"/>
          </w:tcPr>
          <w:p w14:paraId="2C9DEEF6" w14:textId="05379FDF" w:rsidR="00C01771" w:rsidRPr="00C01771" w:rsidRDefault="00C01771" w:rsidP="00C01771">
            <w:pPr>
              <w:spacing w:before="0" w:after="0"/>
              <w:jc w:val="center"/>
              <w:rPr>
                <w:sz w:val="16"/>
                <w:szCs w:val="16"/>
              </w:rPr>
            </w:pPr>
            <w:r w:rsidRPr="00C01771">
              <w:rPr>
                <w:sz w:val="16"/>
                <w:szCs w:val="16"/>
              </w:rPr>
              <w:t>25</w:t>
            </w:r>
          </w:p>
        </w:tc>
      </w:tr>
      <w:tr w:rsidR="00C01771" w14:paraId="2AF76D85" w14:textId="77777777" w:rsidTr="006F4537">
        <w:trPr>
          <w:jc w:val="center"/>
        </w:trPr>
        <w:tc>
          <w:tcPr>
            <w:tcW w:w="1388" w:type="dxa"/>
            <w:noWrap/>
            <w:vAlign w:val="bottom"/>
          </w:tcPr>
          <w:p w14:paraId="0E43B01B" w14:textId="77777777" w:rsidR="00C01771" w:rsidRDefault="00C01771" w:rsidP="00C01771">
            <w:pPr>
              <w:spacing w:before="0" w:after="0"/>
              <w:rPr>
                <w:color w:val="000000"/>
                <w:sz w:val="16"/>
                <w:szCs w:val="16"/>
              </w:rPr>
            </w:pPr>
          </w:p>
        </w:tc>
        <w:tc>
          <w:tcPr>
            <w:tcW w:w="1523" w:type="dxa"/>
            <w:shd w:val="clear" w:color="auto" w:fill="F3F9FA"/>
            <w:noWrap/>
            <w:vAlign w:val="bottom"/>
          </w:tcPr>
          <w:p w14:paraId="55C7A58B" w14:textId="77777777" w:rsidR="00C01771" w:rsidRDefault="00C01771" w:rsidP="00C01771">
            <w:pPr>
              <w:spacing w:before="0" w:after="0"/>
              <w:jc w:val="center"/>
              <w:rPr>
                <w:color w:val="000000"/>
                <w:sz w:val="16"/>
                <w:szCs w:val="16"/>
              </w:rPr>
            </w:pPr>
          </w:p>
        </w:tc>
        <w:tc>
          <w:tcPr>
            <w:tcW w:w="554" w:type="dxa"/>
            <w:shd w:val="clear" w:color="auto" w:fill="F3F9FA"/>
            <w:noWrap/>
            <w:vAlign w:val="bottom"/>
            <w:hideMark/>
          </w:tcPr>
          <w:p w14:paraId="6726A600" w14:textId="77777777" w:rsidR="00C01771" w:rsidRPr="00A301C7" w:rsidRDefault="00C01771" w:rsidP="00C01771">
            <w:pPr>
              <w:spacing w:before="0" w:after="0"/>
              <w:jc w:val="center"/>
              <w:rPr>
                <w:sz w:val="16"/>
                <w:szCs w:val="16"/>
              </w:rPr>
            </w:pPr>
            <w:r w:rsidRPr="00A301C7">
              <w:rPr>
                <w:sz w:val="16"/>
                <w:szCs w:val="16"/>
              </w:rPr>
              <w:t>MI1</w:t>
            </w:r>
          </w:p>
        </w:tc>
        <w:tc>
          <w:tcPr>
            <w:tcW w:w="951" w:type="dxa"/>
            <w:shd w:val="clear" w:color="auto" w:fill="F3F9FA"/>
            <w:noWrap/>
            <w:vAlign w:val="bottom"/>
            <w:hideMark/>
          </w:tcPr>
          <w:p w14:paraId="50BB4C67" w14:textId="1A115A15" w:rsidR="00C01771" w:rsidRPr="00A301C7" w:rsidRDefault="00C01771" w:rsidP="00C01771">
            <w:pPr>
              <w:spacing w:before="0" w:after="0"/>
              <w:jc w:val="center"/>
              <w:rPr>
                <w:sz w:val="16"/>
                <w:szCs w:val="16"/>
              </w:rPr>
            </w:pPr>
            <w:r>
              <w:rPr>
                <w:sz w:val="16"/>
                <w:szCs w:val="16"/>
              </w:rPr>
              <w:t>01-Apr-17</w:t>
            </w:r>
          </w:p>
        </w:tc>
        <w:tc>
          <w:tcPr>
            <w:tcW w:w="806" w:type="dxa"/>
            <w:shd w:val="clear" w:color="auto" w:fill="F3F9FA"/>
            <w:noWrap/>
            <w:vAlign w:val="bottom"/>
          </w:tcPr>
          <w:p w14:paraId="3C6EF5AB" w14:textId="1C101958" w:rsidR="00C01771" w:rsidRPr="00C01771" w:rsidRDefault="00C01771" w:rsidP="00C01771">
            <w:pPr>
              <w:spacing w:before="0" w:after="0"/>
              <w:jc w:val="center"/>
              <w:rPr>
                <w:sz w:val="16"/>
                <w:szCs w:val="16"/>
              </w:rPr>
            </w:pPr>
            <w:r w:rsidRPr="00C01771">
              <w:rPr>
                <w:sz w:val="16"/>
                <w:szCs w:val="16"/>
              </w:rPr>
              <w:t>23.2</w:t>
            </w:r>
          </w:p>
        </w:tc>
        <w:tc>
          <w:tcPr>
            <w:tcW w:w="808" w:type="dxa"/>
            <w:shd w:val="clear" w:color="auto" w:fill="F3F9FA"/>
            <w:noWrap/>
            <w:vAlign w:val="bottom"/>
          </w:tcPr>
          <w:p w14:paraId="07D36A54" w14:textId="6121531D" w:rsidR="00C01771" w:rsidRPr="00C01771" w:rsidRDefault="00C01771" w:rsidP="00C01771">
            <w:pPr>
              <w:spacing w:before="0" w:after="0"/>
              <w:jc w:val="center"/>
              <w:rPr>
                <w:sz w:val="16"/>
                <w:szCs w:val="16"/>
              </w:rPr>
            </w:pPr>
            <w:r w:rsidRPr="00C01771">
              <w:rPr>
                <w:sz w:val="16"/>
                <w:szCs w:val="16"/>
              </w:rPr>
              <w:t>28</w:t>
            </w:r>
          </w:p>
        </w:tc>
        <w:tc>
          <w:tcPr>
            <w:tcW w:w="954" w:type="dxa"/>
            <w:shd w:val="clear" w:color="auto" w:fill="F3F9FA"/>
            <w:noWrap/>
            <w:vAlign w:val="bottom"/>
            <w:hideMark/>
          </w:tcPr>
          <w:p w14:paraId="54A2DDC0" w14:textId="4AE3AAC4" w:rsidR="00C01771" w:rsidRPr="00C01771" w:rsidRDefault="00C01771" w:rsidP="00C01771">
            <w:pPr>
              <w:spacing w:before="0" w:after="0"/>
              <w:jc w:val="center"/>
              <w:rPr>
                <w:sz w:val="16"/>
                <w:szCs w:val="16"/>
              </w:rPr>
            </w:pPr>
            <w:r w:rsidRPr="00C01771">
              <w:rPr>
                <w:sz w:val="16"/>
                <w:szCs w:val="16"/>
              </w:rPr>
              <w:t>26</w:t>
            </w:r>
          </w:p>
        </w:tc>
        <w:tc>
          <w:tcPr>
            <w:tcW w:w="954" w:type="dxa"/>
            <w:shd w:val="clear" w:color="auto" w:fill="F3F9FA"/>
            <w:noWrap/>
            <w:vAlign w:val="bottom"/>
            <w:hideMark/>
          </w:tcPr>
          <w:p w14:paraId="0721E24D" w14:textId="778A8ABB" w:rsidR="00C01771" w:rsidRPr="00C01771" w:rsidRDefault="00C01771" w:rsidP="00C01771">
            <w:pPr>
              <w:spacing w:before="0" w:after="0"/>
              <w:jc w:val="center"/>
              <w:rPr>
                <w:sz w:val="16"/>
                <w:szCs w:val="16"/>
              </w:rPr>
            </w:pPr>
            <w:r w:rsidRPr="00C01771">
              <w:rPr>
                <w:sz w:val="16"/>
                <w:szCs w:val="16"/>
              </w:rPr>
              <w:t>33.4</w:t>
            </w:r>
          </w:p>
        </w:tc>
        <w:tc>
          <w:tcPr>
            <w:tcW w:w="954" w:type="dxa"/>
            <w:shd w:val="clear" w:color="auto" w:fill="F3F9FA"/>
            <w:noWrap/>
            <w:vAlign w:val="bottom"/>
            <w:hideMark/>
          </w:tcPr>
          <w:p w14:paraId="39F34564" w14:textId="284966B0" w:rsidR="00C01771" w:rsidRPr="00C01771" w:rsidRDefault="00C01771" w:rsidP="00C01771">
            <w:pPr>
              <w:spacing w:before="0" w:after="0"/>
              <w:jc w:val="center"/>
              <w:rPr>
                <w:sz w:val="16"/>
                <w:szCs w:val="16"/>
              </w:rPr>
            </w:pPr>
            <w:r w:rsidRPr="00C01771">
              <w:rPr>
                <w:sz w:val="16"/>
                <w:szCs w:val="16"/>
              </w:rPr>
              <w:t>37</w:t>
            </w:r>
          </w:p>
        </w:tc>
        <w:tc>
          <w:tcPr>
            <w:tcW w:w="650" w:type="dxa"/>
            <w:shd w:val="clear" w:color="auto" w:fill="F3F9FA"/>
            <w:noWrap/>
            <w:vAlign w:val="bottom"/>
          </w:tcPr>
          <w:p w14:paraId="44B9E79E" w14:textId="36BB4FDF" w:rsidR="00C01771" w:rsidRPr="00C01771" w:rsidRDefault="00C01771" w:rsidP="00C01771">
            <w:pPr>
              <w:spacing w:before="0" w:after="0"/>
              <w:jc w:val="center"/>
              <w:rPr>
                <w:sz w:val="16"/>
                <w:szCs w:val="16"/>
              </w:rPr>
            </w:pPr>
            <w:r w:rsidRPr="00C01771">
              <w:rPr>
                <w:sz w:val="16"/>
                <w:szCs w:val="16"/>
              </w:rPr>
              <w:t>50</w:t>
            </w:r>
          </w:p>
        </w:tc>
      </w:tr>
      <w:tr w:rsidR="00C01771" w:rsidRPr="003E4172" w14:paraId="7D784A2D" w14:textId="77777777" w:rsidTr="006F4537">
        <w:trPr>
          <w:jc w:val="center"/>
        </w:trPr>
        <w:tc>
          <w:tcPr>
            <w:tcW w:w="1388" w:type="dxa"/>
            <w:noWrap/>
            <w:vAlign w:val="bottom"/>
          </w:tcPr>
          <w:p w14:paraId="713147FA" w14:textId="77777777" w:rsidR="00C01771" w:rsidRPr="003E4172" w:rsidRDefault="00C01771" w:rsidP="00C01771">
            <w:pPr>
              <w:spacing w:before="0" w:after="0"/>
              <w:rPr>
                <w:sz w:val="16"/>
                <w:szCs w:val="16"/>
              </w:rPr>
            </w:pPr>
          </w:p>
        </w:tc>
        <w:tc>
          <w:tcPr>
            <w:tcW w:w="1523" w:type="dxa"/>
            <w:shd w:val="clear" w:color="auto" w:fill="F3F9FA"/>
            <w:noWrap/>
            <w:vAlign w:val="bottom"/>
          </w:tcPr>
          <w:p w14:paraId="0AA338A9" w14:textId="77777777" w:rsidR="00C01771" w:rsidRPr="003E4172" w:rsidRDefault="00C01771" w:rsidP="00C01771">
            <w:pPr>
              <w:spacing w:before="0" w:after="0"/>
              <w:jc w:val="center"/>
              <w:rPr>
                <w:sz w:val="16"/>
                <w:szCs w:val="16"/>
              </w:rPr>
            </w:pPr>
          </w:p>
        </w:tc>
        <w:tc>
          <w:tcPr>
            <w:tcW w:w="554" w:type="dxa"/>
            <w:shd w:val="clear" w:color="auto" w:fill="F3F9FA"/>
            <w:noWrap/>
            <w:vAlign w:val="bottom"/>
            <w:hideMark/>
          </w:tcPr>
          <w:p w14:paraId="32C16205" w14:textId="77777777" w:rsidR="00C01771" w:rsidRPr="003E4172" w:rsidRDefault="00C01771" w:rsidP="00C01771">
            <w:pPr>
              <w:spacing w:before="0" w:after="0"/>
              <w:jc w:val="center"/>
              <w:rPr>
                <w:sz w:val="16"/>
                <w:szCs w:val="16"/>
              </w:rPr>
            </w:pPr>
            <w:r w:rsidRPr="003E4172">
              <w:rPr>
                <w:sz w:val="16"/>
                <w:szCs w:val="16"/>
              </w:rPr>
              <w:t>MI2</w:t>
            </w:r>
          </w:p>
        </w:tc>
        <w:tc>
          <w:tcPr>
            <w:tcW w:w="951" w:type="dxa"/>
            <w:shd w:val="clear" w:color="auto" w:fill="F3F9FA"/>
            <w:noWrap/>
            <w:vAlign w:val="bottom"/>
            <w:hideMark/>
          </w:tcPr>
          <w:p w14:paraId="3FDA1D41" w14:textId="36B00144" w:rsidR="00C01771" w:rsidRPr="003E4172" w:rsidRDefault="00C01771" w:rsidP="00C01771">
            <w:pPr>
              <w:spacing w:before="0" w:after="0"/>
              <w:jc w:val="center"/>
              <w:rPr>
                <w:sz w:val="16"/>
                <w:szCs w:val="16"/>
              </w:rPr>
            </w:pPr>
            <w:r>
              <w:rPr>
                <w:sz w:val="16"/>
                <w:szCs w:val="16"/>
              </w:rPr>
              <w:t>01-Jul-16</w:t>
            </w:r>
          </w:p>
        </w:tc>
        <w:tc>
          <w:tcPr>
            <w:tcW w:w="806" w:type="dxa"/>
            <w:shd w:val="clear" w:color="auto" w:fill="F3F9FA"/>
            <w:noWrap/>
            <w:vAlign w:val="bottom"/>
          </w:tcPr>
          <w:p w14:paraId="2DA10C5F" w14:textId="0AF9E912" w:rsidR="00C01771" w:rsidRPr="00C01771" w:rsidRDefault="00C01771" w:rsidP="00C01771">
            <w:pPr>
              <w:spacing w:before="0" w:after="0"/>
              <w:jc w:val="center"/>
              <w:rPr>
                <w:sz w:val="16"/>
                <w:szCs w:val="16"/>
              </w:rPr>
            </w:pPr>
            <w:r w:rsidRPr="00C01771">
              <w:rPr>
                <w:sz w:val="16"/>
                <w:szCs w:val="16"/>
              </w:rPr>
              <w:t>25.7</w:t>
            </w:r>
          </w:p>
        </w:tc>
        <w:tc>
          <w:tcPr>
            <w:tcW w:w="808" w:type="dxa"/>
            <w:shd w:val="clear" w:color="auto" w:fill="F3F9FA"/>
            <w:noWrap/>
            <w:vAlign w:val="bottom"/>
          </w:tcPr>
          <w:p w14:paraId="1664767A" w14:textId="309BB7E4" w:rsidR="00C01771" w:rsidRPr="00C01771" w:rsidRDefault="00C01771" w:rsidP="00C01771">
            <w:pPr>
              <w:spacing w:before="0" w:after="0"/>
              <w:jc w:val="center"/>
              <w:rPr>
                <w:sz w:val="16"/>
                <w:szCs w:val="16"/>
              </w:rPr>
            </w:pPr>
            <w:r w:rsidRPr="00C01771">
              <w:rPr>
                <w:sz w:val="16"/>
                <w:szCs w:val="16"/>
              </w:rPr>
              <w:t>28</w:t>
            </w:r>
          </w:p>
        </w:tc>
        <w:tc>
          <w:tcPr>
            <w:tcW w:w="954" w:type="dxa"/>
            <w:shd w:val="clear" w:color="auto" w:fill="F3F9FA"/>
            <w:noWrap/>
            <w:vAlign w:val="bottom"/>
            <w:hideMark/>
          </w:tcPr>
          <w:p w14:paraId="2721D142" w14:textId="1E47BF45" w:rsidR="00C01771" w:rsidRPr="00C01771" w:rsidRDefault="00C01771" w:rsidP="00C01771">
            <w:pPr>
              <w:spacing w:before="0" w:after="0"/>
              <w:jc w:val="center"/>
              <w:rPr>
                <w:sz w:val="16"/>
                <w:szCs w:val="16"/>
              </w:rPr>
            </w:pPr>
            <w:r w:rsidRPr="00C01771">
              <w:rPr>
                <w:sz w:val="16"/>
                <w:szCs w:val="16"/>
              </w:rPr>
              <w:t>21.3</w:t>
            </w:r>
          </w:p>
        </w:tc>
        <w:tc>
          <w:tcPr>
            <w:tcW w:w="954" w:type="dxa"/>
            <w:shd w:val="clear" w:color="auto" w:fill="F3F9FA"/>
            <w:noWrap/>
            <w:vAlign w:val="bottom"/>
            <w:hideMark/>
          </w:tcPr>
          <w:p w14:paraId="57658786" w14:textId="214AF185" w:rsidR="00C01771" w:rsidRPr="00C01771" w:rsidRDefault="00C01771" w:rsidP="00C01771">
            <w:pPr>
              <w:spacing w:before="0" w:after="0"/>
              <w:jc w:val="center"/>
              <w:rPr>
                <w:sz w:val="16"/>
                <w:szCs w:val="16"/>
              </w:rPr>
            </w:pPr>
            <w:r w:rsidRPr="00C01771">
              <w:rPr>
                <w:sz w:val="16"/>
                <w:szCs w:val="16"/>
              </w:rPr>
              <w:t>35.6</w:t>
            </w:r>
          </w:p>
        </w:tc>
        <w:tc>
          <w:tcPr>
            <w:tcW w:w="954" w:type="dxa"/>
            <w:shd w:val="clear" w:color="auto" w:fill="F3F9FA"/>
            <w:noWrap/>
            <w:vAlign w:val="bottom"/>
            <w:hideMark/>
          </w:tcPr>
          <w:p w14:paraId="6D0D0282" w14:textId="15148EE5" w:rsidR="00C01771" w:rsidRPr="00C01771" w:rsidRDefault="00C01771" w:rsidP="00C01771">
            <w:pPr>
              <w:spacing w:before="0" w:after="0"/>
              <w:jc w:val="center"/>
              <w:rPr>
                <w:sz w:val="16"/>
                <w:szCs w:val="16"/>
              </w:rPr>
            </w:pPr>
            <w:r w:rsidRPr="00C01771">
              <w:rPr>
                <w:sz w:val="16"/>
                <w:szCs w:val="16"/>
              </w:rPr>
              <w:t>41</w:t>
            </w:r>
          </w:p>
        </w:tc>
        <w:tc>
          <w:tcPr>
            <w:tcW w:w="650" w:type="dxa"/>
            <w:shd w:val="clear" w:color="auto" w:fill="F3F9FA"/>
            <w:noWrap/>
            <w:vAlign w:val="bottom"/>
          </w:tcPr>
          <w:p w14:paraId="27262579" w14:textId="231CB4AA" w:rsidR="00C01771" w:rsidRPr="00C01771" w:rsidRDefault="00C01771" w:rsidP="00C01771">
            <w:pPr>
              <w:spacing w:before="0" w:after="0"/>
              <w:jc w:val="center"/>
              <w:rPr>
                <w:sz w:val="16"/>
                <w:szCs w:val="16"/>
              </w:rPr>
            </w:pPr>
            <w:r w:rsidRPr="00C01771">
              <w:rPr>
                <w:sz w:val="16"/>
                <w:szCs w:val="16"/>
              </w:rPr>
              <w:t>50</w:t>
            </w:r>
          </w:p>
        </w:tc>
      </w:tr>
      <w:tr w:rsidR="00C01771" w:rsidRPr="003E4172" w14:paraId="6124C742" w14:textId="77777777" w:rsidTr="006F4537">
        <w:trPr>
          <w:jc w:val="center"/>
        </w:trPr>
        <w:tc>
          <w:tcPr>
            <w:tcW w:w="1388" w:type="dxa"/>
            <w:noWrap/>
            <w:vAlign w:val="bottom"/>
          </w:tcPr>
          <w:p w14:paraId="0AC29B89" w14:textId="77777777" w:rsidR="00C01771" w:rsidRPr="003E4172" w:rsidRDefault="00C01771" w:rsidP="00C01771">
            <w:pPr>
              <w:spacing w:before="0" w:after="0"/>
              <w:rPr>
                <w:sz w:val="16"/>
                <w:szCs w:val="16"/>
              </w:rPr>
            </w:pPr>
          </w:p>
        </w:tc>
        <w:tc>
          <w:tcPr>
            <w:tcW w:w="1523" w:type="dxa"/>
            <w:shd w:val="clear" w:color="auto" w:fill="F3F9FA"/>
            <w:noWrap/>
            <w:vAlign w:val="bottom"/>
          </w:tcPr>
          <w:p w14:paraId="66D57B8F" w14:textId="77777777" w:rsidR="00C01771" w:rsidRPr="003E4172" w:rsidRDefault="00C01771" w:rsidP="00C01771">
            <w:pPr>
              <w:spacing w:before="0" w:after="0"/>
              <w:jc w:val="center"/>
              <w:rPr>
                <w:sz w:val="16"/>
                <w:szCs w:val="16"/>
              </w:rPr>
            </w:pPr>
          </w:p>
        </w:tc>
        <w:tc>
          <w:tcPr>
            <w:tcW w:w="554" w:type="dxa"/>
            <w:shd w:val="clear" w:color="auto" w:fill="F3F9FA"/>
            <w:noWrap/>
            <w:vAlign w:val="bottom"/>
            <w:hideMark/>
          </w:tcPr>
          <w:p w14:paraId="26F1FDE9" w14:textId="77777777" w:rsidR="00C01771" w:rsidRPr="003E4172" w:rsidRDefault="00C01771" w:rsidP="00C01771">
            <w:pPr>
              <w:spacing w:before="0" w:after="0"/>
              <w:jc w:val="center"/>
              <w:rPr>
                <w:sz w:val="16"/>
                <w:szCs w:val="16"/>
              </w:rPr>
            </w:pPr>
            <w:r w:rsidRPr="003E4172">
              <w:rPr>
                <w:sz w:val="16"/>
                <w:szCs w:val="16"/>
              </w:rPr>
              <w:t>MI2</w:t>
            </w:r>
          </w:p>
        </w:tc>
        <w:tc>
          <w:tcPr>
            <w:tcW w:w="951" w:type="dxa"/>
            <w:shd w:val="clear" w:color="auto" w:fill="F3F9FA"/>
            <w:noWrap/>
            <w:vAlign w:val="bottom"/>
            <w:hideMark/>
          </w:tcPr>
          <w:p w14:paraId="2CA688C5" w14:textId="7DB3739F" w:rsidR="00C01771" w:rsidRPr="003E4172" w:rsidRDefault="00C01771" w:rsidP="00C01771">
            <w:pPr>
              <w:spacing w:before="0" w:after="0"/>
              <w:jc w:val="center"/>
              <w:rPr>
                <w:sz w:val="16"/>
                <w:szCs w:val="16"/>
              </w:rPr>
            </w:pPr>
            <w:r>
              <w:rPr>
                <w:sz w:val="16"/>
                <w:szCs w:val="16"/>
              </w:rPr>
              <w:t>01-Oct-16</w:t>
            </w:r>
          </w:p>
        </w:tc>
        <w:tc>
          <w:tcPr>
            <w:tcW w:w="806" w:type="dxa"/>
            <w:shd w:val="clear" w:color="auto" w:fill="F3F9FA"/>
            <w:noWrap/>
            <w:vAlign w:val="bottom"/>
          </w:tcPr>
          <w:p w14:paraId="0BD9BF18" w14:textId="337980AA" w:rsidR="00C01771" w:rsidRPr="00C01771" w:rsidRDefault="00C01771" w:rsidP="00C01771">
            <w:pPr>
              <w:spacing w:before="0" w:after="0"/>
              <w:jc w:val="center"/>
              <w:rPr>
                <w:sz w:val="16"/>
                <w:szCs w:val="16"/>
              </w:rPr>
            </w:pPr>
            <w:r w:rsidRPr="00C01771">
              <w:rPr>
                <w:sz w:val="16"/>
                <w:szCs w:val="16"/>
              </w:rPr>
              <w:t>25.5</w:t>
            </w:r>
          </w:p>
        </w:tc>
        <w:tc>
          <w:tcPr>
            <w:tcW w:w="808" w:type="dxa"/>
            <w:shd w:val="clear" w:color="auto" w:fill="F3F9FA"/>
            <w:noWrap/>
            <w:vAlign w:val="bottom"/>
          </w:tcPr>
          <w:p w14:paraId="3B84A0CF" w14:textId="45A94D5E" w:rsidR="00C01771" w:rsidRPr="00C01771" w:rsidRDefault="00C01771" w:rsidP="00C01771">
            <w:pPr>
              <w:spacing w:before="0" w:after="0"/>
              <w:jc w:val="center"/>
              <w:rPr>
                <w:sz w:val="16"/>
                <w:szCs w:val="16"/>
              </w:rPr>
            </w:pPr>
            <w:r w:rsidRPr="00C01771">
              <w:rPr>
                <w:sz w:val="16"/>
                <w:szCs w:val="16"/>
              </w:rPr>
              <w:t>25</w:t>
            </w:r>
          </w:p>
        </w:tc>
        <w:tc>
          <w:tcPr>
            <w:tcW w:w="954" w:type="dxa"/>
            <w:shd w:val="clear" w:color="auto" w:fill="F3F9FA"/>
            <w:noWrap/>
            <w:vAlign w:val="bottom"/>
            <w:hideMark/>
          </w:tcPr>
          <w:p w14:paraId="6A19FBAA" w14:textId="15A3AA70" w:rsidR="00C01771" w:rsidRPr="00C01771" w:rsidRDefault="00C01771" w:rsidP="00C01771">
            <w:pPr>
              <w:spacing w:before="0" w:after="0"/>
              <w:jc w:val="center"/>
              <w:rPr>
                <w:sz w:val="16"/>
                <w:szCs w:val="16"/>
              </w:rPr>
            </w:pPr>
            <w:r w:rsidRPr="00C01771">
              <w:rPr>
                <w:sz w:val="16"/>
                <w:szCs w:val="16"/>
              </w:rPr>
              <w:t>21.3</w:t>
            </w:r>
          </w:p>
        </w:tc>
        <w:tc>
          <w:tcPr>
            <w:tcW w:w="954" w:type="dxa"/>
            <w:shd w:val="clear" w:color="auto" w:fill="F3F9FA"/>
            <w:noWrap/>
            <w:vAlign w:val="bottom"/>
            <w:hideMark/>
          </w:tcPr>
          <w:p w14:paraId="01D89A21" w14:textId="011ED5CD" w:rsidR="00C01771" w:rsidRPr="00C01771" w:rsidRDefault="00C01771" w:rsidP="00C01771">
            <w:pPr>
              <w:spacing w:before="0" w:after="0"/>
              <w:jc w:val="center"/>
              <w:rPr>
                <w:sz w:val="16"/>
                <w:szCs w:val="16"/>
              </w:rPr>
            </w:pPr>
            <w:r w:rsidRPr="00C01771">
              <w:rPr>
                <w:sz w:val="16"/>
                <w:szCs w:val="16"/>
              </w:rPr>
              <w:t>35.6</w:t>
            </w:r>
          </w:p>
        </w:tc>
        <w:tc>
          <w:tcPr>
            <w:tcW w:w="954" w:type="dxa"/>
            <w:shd w:val="clear" w:color="auto" w:fill="F3F9FA"/>
            <w:noWrap/>
            <w:vAlign w:val="bottom"/>
            <w:hideMark/>
          </w:tcPr>
          <w:p w14:paraId="6D9D90A5" w14:textId="786C992F" w:rsidR="00C01771" w:rsidRPr="00C01771" w:rsidRDefault="00C01771" w:rsidP="00C01771">
            <w:pPr>
              <w:spacing w:before="0" w:after="0"/>
              <w:jc w:val="center"/>
              <w:rPr>
                <w:sz w:val="16"/>
                <w:szCs w:val="16"/>
              </w:rPr>
            </w:pPr>
            <w:r w:rsidRPr="00C01771">
              <w:rPr>
                <w:sz w:val="16"/>
                <w:szCs w:val="16"/>
              </w:rPr>
              <w:t>41</w:t>
            </w:r>
          </w:p>
        </w:tc>
        <w:tc>
          <w:tcPr>
            <w:tcW w:w="650" w:type="dxa"/>
            <w:shd w:val="clear" w:color="auto" w:fill="F3F9FA"/>
            <w:noWrap/>
            <w:vAlign w:val="bottom"/>
          </w:tcPr>
          <w:p w14:paraId="50C2EDAC" w14:textId="4BA0CC6C" w:rsidR="00C01771" w:rsidRPr="00C01771" w:rsidRDefault="00C01771" w:rsidP="00C01771">
            <w:pPr>
              <w:spacing w:before="0" w:after="0"/>
              <w:jc w:val="center"/>
              <w:rPr>
                <w:sz w:val="16"/>
                <w:szCs w:val="16"/>
              </w:rPr>
            </w:pPr>
            <w:r w:rsidRPr="00C01771">
              <w:rPr>
                <w:sz w:val="16"/>
                <w:szCs w:val="16"/>
              </w:rPr>
              <w:t>50</w:t>
            </w:r>
          </w:p>
        </w:tc>
      </w:tr>
      <w:tr w:rsidR="00C01771" w:rsidRPr="003E4172" w14:paraId="59BBEA83" w14:textId="77777777" w:rsidTr="006F4537">
        <w:trPr>
          <w:jc w:val="center"/>
        </w:trPr>
        <w:tc>
          <w:tcPr>
            <w:tcW w:w="1388" w:type="dxa"/>
            <w:tcBorders>
              <w:top w:val="nil"/>
              <w:left w:val="nil"/>
              <w:bottom w:val="single" w:sz="4" w:space="0" w:color="auto"/>
              <w:right w:val="nil"/>
            </w:tcBorders>
            <w:noWrap/>
            <w:vAlign w:val="bottom"/>
          </w:tcPr>
          <w:p w14:paraId="5AFD1EC5" w14:textId="77777777" w:rsidR="00C01771" w:rsidRPr="003E4172" w:rsidRDefault="00C01771" w:rsidP="00C01771">
            <w:pPr>
              <w:spacing w:before="0" w:after="0"/>
              <w:rPr>
                <w:sz w:val="16"/>
                <w:szCs w:val="16"/>
              </w:rPr>
            </w:pPr>
          </w:p>
        </w:tc>
        <w:tc>
          <w:tcPr>
            <w:tcW w:w="1523" w:type="dxa"/>
            <w:tcBorders>
              <w:top w:val="nil"/>
              <w:left w:val="nil"/>
              <w:bottom w:val="single" w:sz="4" w:space="0" w:color="auto"/>
              <w:right w:val="nil"/>
            </w:tcBorders>
            <w:shd w:val="clear" w:color="auto" w:fill="F3F9FA"/>
            <w:noWrap/>
            <w:vAlign w:val="bottom"/>
          </w:tcPr>
          <w:p w14:paraId="3B9245B5" w14:textId="77777777" w:rsidR="00C01771" w:rsidRPr="003E4172" w:rsidRDefault="00C01771" w:rsidP="00C01771">
            <w:pPr>
              <w:spacing w:before="0" w:after="0"/>
              <w:jc w:val="center"/>
              <w:rPr>
                <w:sz w:val="16"/>
                <w:szCs w:val="16"/>
              </w:rPr>
            </w:pPr>
          </w:p>
        </w:tc>
        <w:tc>
          <w:tcPr>
            <w:tcW w:w="554" w:type="dxa"/>
            <w:tcBorders>
              <w:top w:val="nil"/>
              <w:left w:val="nil"/>
              <w:bottom w:val="single" w:sz="4" w:space="0" w:color="auto"/>
              <w:right w:val="nil"/>
            </w:tcBorders>
            <w:shd w:val="clear" w:color="auto" w:fill="F3F9FA"/>
            <w:noWrap/>
            <w:vAlign w:val="bottom"/>
            <w:hideMark/>
          </w:tcPr>
          <w:p w14:paraId="7588F7EF" w14:textId="77777777" w:rsidR="00C01771" w:rsidRPr="003E4172" w:rsidRDefault="00C01771" w:rsidP="00C01771">
            <w:pPr>
              <w:spacing w:before="0" w:after="0"/>
              <w:jc w:val="center"/>
              <w:rPr>
                <w:sz w:val="16"/>
                <w:szCs w:val="16"/>
              </w:rPr>
            </w:pPr>
            <w:r w:rsidRPr="003E4172">
              <w:rPr>
                <w:sz w:val="16"/>
                <w:szCs w:val="16"/>
              </w:rPr>
              <w:t>MI2</w:t>
            </w:r>
          </w:p>
        </w:tc>
        <w:tc>
          <w:tcPr>
            <w:tcW w:w="951" w:type="dxa"/>
            <w:tcBorders>
              <w:top w:val="nil"/>
              <w:left w:val="nil"/>
              <w:bottom w:val="single" w:sz="4" w:space="0" w:color="auto"/>
              <w:right w:val="nil"/>
            </w:tcBorders>
            <w:shd w:val="clear" w:color="auto" w:fill="F3F9FA"/>
            <w:noWrap/>
            <w:vAlign w:val="bottom"/>
            <w:hideMark/>
          </w:tcPr>
          <w:p w14:paraId="229C7B18" w14:textId="69DBE59C" w:rsidR="00C01771" w:rsidRPr="003E4172" w:rsidRDefault="00C01771" w:rsidP="00C01771">
            <w:pPr>
              <w:spacing w:before="0" w:after="0"/>
              <w:jc w:val="center"/>
              <w:rPr>
                <w:sz w:val="16"/>
                <w:szCs w:val="16"/>
              </w:rPr>
            </w:pPr>
            <w:r>
              <w:rPr>
                <w:sz w:val="16"/>
                <w:szCs w:val="16"/>
              </w:rPr>
              <w:t>01-Apr-17</w:t>
            </w:r>
          </w:p>
        </w:tc>
        <w:tc>
          <w:tcPr>
            <w:tcW w:w="806" w:type="dxa"/>
            <w:tcBorders>
              <w:top w:val="nil"/>
              <w:left w:val="nil"/>
              <w:bottom w:val="single" w:sz="4" w:space="0" w:color="auto"/>
              <w:right w:val="nil"/>
            </w:tcBorders>
            <w:shd w:val="clear" w:color="auto" w:fill="F3F9FA"/>
            <w:noWrap/>
            <w:vAlign w:val="bottom"/>
          </w:tcPr>
          <w:p w14:paraId="682B1784" w14:textId="0ED126F5" w:rsidR="00C01771" w:rsidRPr="00C01771" w:rsidRDefault="00C01771" w:rsidP="00C01771">
            <w:pPr>
              <w:spacing w:before="0" w:after="0"/>
              <w:jc w:val="center"/>
              <w:rPr>
                <w:sz w:val="16"/>
                <w:szCs w:val="16"/>
              </w:rPr>
            </w:pPr>
            <w:r w:rsidRPr="00C01771">
              <w:rPr>
                <w:sz w:val="16"/>
                <w:szCs w:val="16"/>
              </w:rPr>
              <w:t>27.6</w:t>
            </w:r>
          </w:p>
        </w:tc>
        <w:tc>
          <w:tcPr>
            <w:tcW w:w="808" w:type="dxa"/>
            <w:tcBorders>
              <w:top w:val="nil"/>
              <w:left w:val="nil"/>
              <w:bottom w:val="single" w:sz="4" w:space="0" w:color="auto"/>
              <w:right w:val="nil"/>
            </w:tcBorders>
            <w:shd w:val="clear" w:color="auto" w:fill="F3F9FA"/>
            <w:noWrap/>
            <w:vAlign w:val="bottom"/>
          </w:tcPr>
          <w:p w14:paraId="58320DF3" w14:textId="39A2FADF" w:rsidR="00C01771" w:rsidRPr="00C01771" w:rsidRDefault="00C01771" w:rsidP="00C01771">
            <w:pPr>
              <w:spacing w:before="0" w:after="0"/>
              <w:jc w:val="center"/>
              <w:rPr>
                <w:sz w:val="16"/>
                <w:szCs w:val="16"/>
              </w:rPr>
            </w:pPr>
            <w:r w:rsidRPr="00C01771">
              <w:rPr>
                <w:sz w:val="16"/>
                <w:szCs w:val="16"/>
              </w:rPr>
              <w:t>30</w:t>
            </w:r>
          </w:p>
        </w:tc>
        <w:tc>
          <w:tcPr>
            <w:tcW w:w="954" w:type="dxa"/>
            <w:tcBorders>
              <w:top w:val="nil"/>
              <w:left w:val="nil"/>
              <w:bottom w:val="single" w:sz="4" w:space="0" w:color="auto"/>
              <w:right w:val="nil"/>
            </w:tcBorders>
            <w:shd w:val="clear" w:color="auto" w:fill="F3F9FA"/>
            <w:noWrap/>
            <w:vAlign w:val="bottom"/>
            <w:hideMark/>
          </w:tcPr>
          <w:p w14:paraId="134E0BCE" w14:textId="6FB6DC3B" w:rsidR="00C01771" w:rsidRPr="00C01771" w:rsidRDefault="00C01771" w:rsidP="00C01771">
            <w:pPr>
              <w:spacing w:before="0" w:after="0"/>
              <w:jc w:val="center"/>
              <w:rPr>
                <w:sz w:val="16"/>
                <w:szCs w:val="16"/>
              </w:rPr>
            </w:pPr>
            <w:r w:rsidRPr="00C01771">
              <w:rPr>
                <w:sz w:val="16"/>
                <w:szCs w:val="16"/>
              </w:rPr>
              <w:t>21.3</w:t>
            </w:r>
          </w:p>
        </w:tc>
        <w:tc>
          <w:tcPr>
            <w:tcW w:w="954" w:type="dxa"/>
            <w:tcBorders>
              <w:top w:val="nil"/>
              <w:left w:val="nil"/>
              <w:bottom w:val="single" w:sz="4" w:space="0" w:color="auto"/>
              <w:right w:val="nil"/>
            </w:tcBorders>
            <w:shd w:val="clear" w:color="auto" w:fill="F3F9FA"/>
            <w:noWrap/>
            <w:vAlign w:val="bottom"/>
            <w:hideMark/>
          </w:tcPr>
          <w:p w14:paraId="3427A039" w14:textId="0948299F" w:rsidR="00C01771" w:rsidRPr="00C01771" w:rsidRDefault="00C01771" w:rsidP="00C01771">
            <w:pPr>
              <w:spacing w:before="0" w:after="0"/>
              <w:jc w:val="center"/>
              <w:rPr>
                <w:sz w:val="16"/>
                <w:szCs w:val="16"/>
              </w:rPr>
            </w:pPr>
            <w:r w:rsidRPr="00C01771">
              <w:rPr>
                <w:sz w:val="16"/>
                <w:szCs w:val="16"/>
              </w:rPr>
              <w:t>35.6</w:t>
            </w:r>
          </w:p>
        </w:tc>
        <w:tc>
          <w:tcPr>
            <w:tcW w:w="954" w:type="dxa"/>
            <w:tcBorders>
              <w:top w:val="nil"/>
              <w:left w:val="nil"/>
              <w:bottom w:val="single" w:sz="4" w:space="0" w:color="auto"/>
              <w:right w:val="nil"/>
            </w:tcBorders>
            <w:shd w:val="clear" w:color="auto" w:fill="F3F9FA"/>
            <w:noWrap/>
            <w:vAlign w:val="bottom"/>
            <w:hideMark/>
          </w:tcPr>
          <w:p w14:paraId="6F3A81FF" w14:textId="0D2F30DB" w:rsidR="00C01771" w:rsidRPr="00C01771" w:rsidRDefault="00C01771" w:rsidP="00C01771">
            <w:pPr>
              <w:spacing w:before="0" w:after="0"/>
              <w:jc w:val="center"/>
              <w:rPr>
                <w:sz w:val="16"/>
                <w:szCs w:val="16"/>
              </w:rPr>
            </w:pPr>
            <w:r w:rsidRPr="00C01771">
              <w:rPr>
                <w:sz w:val="16"/>
                <w:szCs w:val="16"/>
              </w:rPr>
              <w:t>41</w:t>
            </w:r>
          </w:p>
        </w:tc>
        <w:tc>
          <w:tcPr>
            <w:tcW w:w="650" w:type="dxa"/>
            <w:tcBorders>
              <w:top w:val="nil"/>
              <w:left w:val="nil"/>
              <w:bottom w:val="single" w:sz="4" w:space="0" w:color="auto"/>
              <w:right w:val="nil"/>
            </w:tcBorders>
            <w:shd w:val="clear" w:color="auto" w:fill="F3F9FA"/>
            <w:noWrap/>
            <w:vAlign w:val="bottom"/>
          </w:tcPr>
          <w:p w14:paraId="329A04EE" w14:textId="403EE47F" w:rsidR="00C01771" w:rsidRPr="00C01771" w:rsidRDefault="00C01771" w:rsidP="00C01771">
            <w:pPr>
              <w:spacing w:before="0" w:after="0"/>
              <w:jc w:val="center"/>
              <w:rPr>
                <w:sz w:val="16"/>
                <w:szCs w:val="16"/>
              </w:rPr>
            </w:pPr>
            <w:r w:rsidRPr="00C01771">
              <w:rPr>
                <w:sz w:val="16"/>
                <w:szCs w:val="16"/>
              </w:rPr>
              <w:t>50</w:t>
            </w:r>
          </w:p>
        </w:tc>
      </w:tr>
      <w:tr w:rsidR="00C01771" w:rsidRPr="00E73A7E" w14:paraId="3FD82B1A" w14:textId="77777777" w:rsidTr="006F4537">
        <w:trPr>
          <w:jc w:val="center"/>
        </w:trPr>
        <w:tc>
          <w:tcPr>
            <w:tcW w:w="1388" w:type="dxa"/>
            <w:tcBorders>
              <w:top w:val="single" w:sz="4" w:space="0" w:color="auto"/>
              <w:left w:val="nil"/>
              <w:bottom w:val="nil"/>
              <w:right w:val="nil"/>
            </w:tcBorders>
            <w:noWrap/>
            <w:vAlign w:val="bottom"/>
            <w:hideMark/>
          </w:tcPr>
          <w:p w14:paraId="19208B71" w14:textId="77777777" w:rsidR="00C01771" w:rsidRPr="00E73A7E" w:rsidRDefault="00C01771" w:rsidP="00C01771">
            <w:pPr>
              <w:spacing w:before="0" w:after="0"/>
              <w:rPr>
                <w:sz w:val="16"/>
                <w:szCs w:val="16"/>
              </w:rPr>
            </w:pPr>
            <w:r w:rsidRPr="00E73A7E">
              <w:rPr>
                <w:sz w:val="16"/>
                <w:szCs w:val="16"/>
              </w:rPr>
              <w:t>reef subtidal</w:t>
            </w:r>
          </w:p>
        </w:tc>
        <w:tc>
          <w:tcPr>
            <w:tcW w:w="1523" w:type="dxa"/>
            <w:tcBorders>
              <w:top w:val="single" w:sz="4" w:space="0" w:color="auto"/>
              <w:left w:val="nil"/>
              <w:bottom w:val="nil"/>
              <w:right w:val="nil"/>
            </w:tcBorders>
            <w:shd w:val="clear" w:color="auto" w:fill="E7F3F4"/>
            <w:noWrap/>
            <w:vAlign w:val="bottom"/>
            <w:hideMark/>
          </w:tcPr>
          <w:p w14:paraId="10923E74" w14:textId="77777777" w:rsidR="00C01771" w:rsidRPr="00E73A7E" w:rsidRDefault="00C01771" w:rsidP="00C01771">
            <w:pPr>
              <w:spacing w:before="0" w:after="0"/>
              <w:jc w:val="center"/>
              <w:rPr>
                <w:sz w:val="16"/>
                <w:szCs w:val="16"/>
              </w:rPr>
            </w:pPr>
            <w:r w:rsidRPr="00E73A7E">
              <w:rPr>
                <w:sz w:val="16"/>
                <w:szCs w:val="16"/>
              </w:rPr>
              <w:t>Magnetic Island</w:t>
            </w:r>
          </w:p>
        </w:tc>
        <w:tc>
          <w:tcPr>
            <w:tcW w:w="554" w:type="dxa"/>
            <w:tcBorders>
              <w:top w:val="single" w:sz="4" w:space="0" w:color="auto"/>
              <w:left w:val="nil"/>
              <w:bottom w:val="nil"/>
              <w:right w:val="nil"/>
            </w:tcBorders>
            <w:shd w:val="clear" w:color="auto" w:fill="E7F3F4"/>
            <w:noWrap/>
            <w:vAlign w:val="bottom"/>
            <w:hideMark/>
          </w:tcPr>
          <w:p w14:paraId="557297CB" w14:textId="77777777" w:rsidR="00C01771" w:rsidRPr="00E73A7E" w:rsidRDefault="00C01771" w:rsidP="00C01771">
            <w:pPr>
              <w:spacing w:before="0" w:after="0"/>
              <w:jc w:val="center"/>
              <w:rPr>
                <w:sz w:val="16"/>
                <w:szCs w:val="16"/>
              </w:rPr>
            </w:pPr>
            <w:r w:rsidRPr="00E73A7E">
              <w:rPr>
                <w:sz w:val="16"/>
                <w:szCs w:val="16"/>
              </w:rPr>
              <w:t>MI3</w:t>
            </w:r>
          </w:p>
        </w:tc>
        <w:tc>
          <w:tcPr>
            <w:tcW w:w="951" w:type="dxa"/>
            <w:tcBorders>
              <w:top w:val="single" w:sz="4" w:space="0" w:color="auto"/>
              <w:left w:val="nil"/>
              <w:bottom w:val="nil"/>
              <w:right w:val="nil"/>
            </w:tcBorders>
            <w:shd w:val="clear" w:color="auto" w:fill="E7F3F4"/>
            <w:noWrap/>
            <w:vAlign w:val="bottom"/>
            <w:hideMark/>
          </w:tcPr>
          <w:p w14:paraId="283634AB" w14:textId="7FE911DF" w:rsidR="00C01771" w:rsidRPr="00E73A7E" w:rsidRDefault="00C01771" w:rsidP="00C01771">
            <w:pPr>
              <w:spacing w:before="0" w:after="0"/>
              <w:jc w:val="center"/>
              <w:rPr>
                <w:sz w:val="16"/>
                <w:szCs w:val="16"/>
              </w:rPr>
            </w:pPr>
            <w:r>
              <w:rPr>
                <w:sz w:val="16"/>
                <w:szCs w:val="16"/>
              </w:rPr>
              <w:t>01-Jul-16</w:t>
            </w:r>
          </w:p>
        </w:tc>
        <w:tc>
          <w:tcPr>
            <w:tcW w:w="806" w:type="dxa"/>
            <w:tcBorders>
              <w:top w:val="single" w:sz="4" w:space="0" w:color="auto"/>
              <w:left w:val="nil"/>
              <w:bottom w:val="nil"/>
              <w:right w:val="nil"/>
            </w:tcBorders>
            <w:shd w:val="clear" w:color="auto" w:fill="E7F3F4"/>
            <w:noWrap/>
            <w:vAlign w:val="bottom"/>
          </w:tcPr>
          <w:p w14:paraId="428F4981" w14:textId="69D0D72B" w:rsidR="00C01771" w:rsidRPr="00C01771" w:rsidRDefault="00C01771" w:rsidP="00C01771">
            <w:pPr>
              <w:spacing w:before="0" w:after="0"/>
              <w:jc w:val="center"/>
              <w:rPr>
                <w:sz w:val="16"/>
                <w:szCs w:val="16"/>
              </w:rPr>
            </w:pPr>
            <w:r w:rsidRPr="00C01771">
              <w:rPr>
                <w:sz w:val="16"/>
                <w:szCs w:val="16"/>
              </w:rPr>
              <w:t>33.0</w:t>
            </w:r>
          </w:p>
        </w:tc>
        <w:tc>
          <w:tcPr>
            <w:tcW w:w="808" w:type="dxa"/>
            <w:tcBorders>
              <w:top w:val="single" w:sz="4" w:space="0" w:color="auto"/>
              <w:left w:val="nil"/>
              <w:bottom w:val="nil"/>
              <w:right w:val="nil"/>
            </w:tcBorders>
            <w:shd w:val="clear" w:color="auto" w:fill="E7F3F4"/>
            <w:noWrap/>
            <w:vAlign w:val="bottom"/>
          </w:tcPr>
          <w:p w14:paraId="0E03BB59" w14:textId="7D46B3E5" w:rsidR="00C01771" w:rsidRPr="00C01771" w:rsidRDefault="00C01771" w:rsidP="00C01771">
            <w:pPr>
              <w:spacing w:before="0" w:after="0"/>
              <w:jc w:val="center"/>
              <w:rPr>
                <w:sz w:val="16"/>
                <w:szCs w:val="16"/>
              </w:rPr>
            </w:pPr>
            <w:r w:rsidRPr="00C01771">
              <w:rPr>
                <w:sz w:val="16"/>
                <w:szCs w:val="16"/>
              </w:rPr>
              <w:t>35</w:t>
            </w:r>
          </w:p>
        </w:tc>
        <w:tc>
          <w:tcPr>
            <w:tcW w:w="954" w:type="dxa"/>
            <w:tcBorders>
              <w:top w:val="single" w:sz="4" w:space="0" w:color="auto"/>
              <w:left w:val="nil"/>
              <w:bottom w:val="nil"/>
              <w:right w:val="nil"/>
            </w:tcBorders>
            <w:shd w:val="clear" w:color="auto" w:fill="E7F3F4"/>
            <w:noWrap/>
            <w:vAlign w:val="bottom"/>
            <w:hideMark/>
          </w:tcPr>
          <w:p w14:paraId="403704DF" w14:textId="1C2CF5C1" w:rsidR="00C01771" w:rsidRPr="00C01771" w:rsidRDefault="00C01771" w:rsidP="00C01771">
            <w:pPr>
              <w:spacing w:before="0" w:after="0"/>
              <w:jc w:val="center"/>
              <w:rPr>
                <w:sz w:val="16"/>
                <w:szCs w:val="16"/>
              </w:rPr>
            </w:pPr>
            <w:r w:rsidRPr="00C01771">
              <w:rPr>
                <w:sz w:val="16"/>
                <w:szCs w:val="16"/>
              </w:rPr>
              <w:t>22.5</w:t>
            </w:r>
          </w:p>
        </w:tc>
        <w:tc>
          <w:tcPr>
            <w:tcW w:w="954" w:type="dxa"/>
            <w:tcBorders>
              <w:top w:val="single" w:sz="4" w:space="0" w:color="auto"/>
              <w:left w:val="nil"/>
              <w:bottom w:val="nil"/>
              <w:right w:val="nil"/>
            </w:tcBorders>
            <w:shd w:val="clear" w:color="auto" w:fill="E7F3F4"/>
            <w:noWrap/>
            <w:vAlign w:val="bottom"/>
            <w:hideMark/>
          </w:tcPr>
          <w:p w14:paraId="19C2BA0D" w14:textId="417CB8DD" w:rsidR="00C01771" w:rsidRPr="00C01771" w:rsidRDefault="00C01771" w:rsidP="00C01771">
            <w:pPr>
              <w:spacing w:before="0" w:after="0"/>
              <w:jc w:val="center"/>
              <w:rPr>
                <w:sz w:val="16"/>
                <w:szCs w:val="16"/>
              </w:rPr>
            </w:pPr>
            <w:r w:rsidRPr="00C01771">
              <w:rPr>
                <w:sz w:val="16"/>
                <w:szCs w:val="16"/>
              </w:rPr>
              <w:t>32.7</w:t>
            </w:r>
          </w:p>
        </w:tc>
        <w:tc>
          <w:tcPr>
            <w:tcW w:w="954" w:type="dxa"/>
            <w:tcBorders>
              <w:top w:val="single" w:sz="4" w:space="0" w:color="auto"/>
              <w:left w:val="nil"/>
              <w:bottom w:val="nil"/>
              <w:right w:val="nil"/>
            </w:tcBorders>
            <w:shd w:val="clear" w:color="auto" w:fill="E7F3F4"/>
            <w:noWrap/>
            <w:vAlign w:val="bottom"/>
            <w:hideMark/>
          </w:tcPr>
          <w:p w14:paraId="5E6852CC" w14:textId="15CBFC9E" w:rsidR="00C01771" w:rsidRPr="00C01771" w:rsidRDefault="00C01771" w:rsidP="00C01771">
            <w:pPr>
              <w:spacing w:before="0" w:after="0"/>
              <w:jc w:val="center"/>
              <w:rPr>
                <w:sz w:val="16"/>
                <w:szCs w:val="16"/>
              </w:rPr>
            </w:pPr>
            <w:r w:rsidRPr="00C01771">
              <w:rPr>
                <w:sz w:val="16"/>
                <w:szCs w:val="16"/>
              </w:rPr>
              <w:t>36.7</w:t>
            </w:r>
          </w:p>
        </w:tc>
        <w:tc>
          <w:tcPr>
            <w:tcW w:w="650" w:type="dxa"/>
            <w:tcBorders>
              <w:top w:val="single" w:sz="4" w:space="0" w:color="auto"/>
              <w:left w:val="nil"/>
              <w:bottom w:val="nil"/>
              <w:right w:val="nil"/>
            </w:tcBorders>
            <w:shd w:val="clear" w:color="auto" w:fill="E7F3F4"/>
            <w:noWrap/>
            <w:vAlign w:val="bottom"/>
          </w:tcPr>
          <w:p w14:paraId="633D4049" w14:textId="189AB662" w:rsidR="00C01771" w:rsidRPr="00C01771" w:rsidRDefault="00C01771" w:rsidP="00C01771">
            <w:pPr>
              <w:spacing w:before="0" w:after="0"/>
              <w:jc w:val="center"/>
              <w:rPr>
                <w:sz w:val="16"/>
                <w:szCs w:val="16"/>
              </w:rPr>
            </w:pPr>
            <w:r w:rsidRPr="00C01771">
              <w:rPr>
                <w:sz w:val="16"/>
                <w:szCs w:val="16"/>
              </w:rPr>
              <w:t>75</w:t>
            </w:r>
          </w:p>
        </w:tc>
      </w:tr>
      <w:tr w:rsidR="00C01771" w:rsidRPr="00E73A7E" w14:paraId="2404764C" w14:textId="77777777" w:rsidTr="006F4537">
        <w:trPr>
          <w:jc w:val="center"/>
        </w:trPr>
        <w:tc>
          <w:tcPr>
            <w:tcW w:w="1388" w:type="dxa"/>
            <w:noWrap/>
            <w:vAlign w:val="bottom"/>
          </w:tcPr>
          <w:p w14:paraId="62FA6494" w14:textId="77777777" w:rsidR="00C01771" w:rsidRPr="00E73A7E" w:rsidRDefault="00C01771" w:rsidP="00C01771">
            <w:pPr>
              <w:spacing w:before="0" w:after="0"/>
              <w:rPr>
                <w:sz w:val="16"/>
                <w:szCs w:val="16"/>
              </w:rPr>
            </w:pPr>
          </w:p>
        </w:tc>
        <w:tc>
          <w:tcPr>
            <w:tcW w:w="1523" w:type="dxa"/>
            <w:shd w:val="clear" w:color="auto" w:fill="E7F3F4"/>
            <w:noWrap/>
            <w:vAlign w:val="bottom"/>
          </w:tcPr>
          <w:p w14:paraId="3AF15D54" w14:textId="77777777" w:rsidR="00C01771" w:rsidRPr="00E73A7E" w:rsidRDefault="00C01771" w:rsidP="00C01771">
            <w:pPr>
              <w:spacing w:before="0" w:after="0"/>
              <w:jc w:val="center"/>
              <w:rPr>
                <w:sz w:val="16"/>
                <w:szCs w:val="16"/>
              </w:rPr>
            </w:pPr>
          </w:p>
        </w:tc>
        <w:tc>
          <w:tcPr>
            <w:tcW w:w="554" w:type="dxa"/>
            <w:shd w:val="clear" w:color="auto" w:fill="E7F3F4"/>
            <w:noWrap/>
            <w:vAlign w:val="bottom"/>
            <w:hideMark/>
          </w:tcPr>
          <w:p w14:paraId="58963801" w14:textId="77777777" w:rsidR="00C01771" w:rsidRPr="00E73A7E" w:rsidRDefault="00C01771" w:rsidP="00C01771">
            <w:pPr>
              <w:spacing w:before="0" w:after="0"/>
              <w:jc w:val="center"/>
              <w:rPr>
                <w:sz w:val="16"/>
                <w:szCs w:val="16"/>
              </w:rPr>
            </w:pPr>
            <w:r w:rsidRPr="00E73A7E">
              <w:rPr>
                <w:sz w:val="16"/>
                <w:szCs w:val="16"/>
              </w:rPr>
              <w:t>MI3</w:t>
            </w:r>
          </w:p>
        </w:tc>
        <w:tc>
          <w:tcPr>
            <w:tcW w:w="951" w:type="dxa"/>
            <w:shd w:val="clear" w:color="auto" w:fill="E7F3F4"/>
            <w:noWrap/>
            <w:vAlign w:val="bottom"/>
            <w:hideMark/>
          </w:tcPr>
          <w:p w14:paraId="15EF6C10" w14:textId="0A852894" w:rsidR="00C01771" w:rsidRPr="00E73A7E" w:rsidRDefault="00C01771" w:rsidP="00C01771">
            <w:pPr>
              <w:spacing w:before="0" w:after="0"/>
              <w:jc w:val="center"/>
              <w:rPr>
                <w:sz w:val="16"/>
                <w:szCs w:val="16"/>
              </w:rPr>
            </w:pPr>
            <w:r>
              <w:rPr>
                <w:sz w:val="16"/>
                <w:szCs w:val="16"/>
              </w:rPr>
              <w:t>01-Oct-16</w:t>
            </w:r>
          </w:p>
        </w:tc>
        <w:tc>
          <w:tcPr>
            <w:tcW w:w="806" w:type="dxa"/>
            <w:shd w:val="clear" w:color="auto" w:fill="E7F3F4"/>
            <w:noWrap/>
            <w:vAlign w:val="bottom"/>
          </w:tcPr>
          <w:p w14:paraId="1D11524B" w14:textId="5D17D98F" w:rsidR="00C01771" w:rsidRPr="00C01771" w:rsidRDefault="00C01771" w:rsidP="00C01771">
            <w:pPr>
              <w:spacing w:before="0" w:after="0"/>
              <w:jc w:val="center"/>
              <w:rPr>
                <w:sz w:val="16"/>
                <w:szCs w:val="16"/>
              </w:rPr>
            </w:pPr>
            <w:r w:rsidRPr="00C01771">
              <w:rPr>
                <w:sz w:val="16"/>
                <w:szCs w:val="16"/>
              </w:rPr>
              <w:t>43.4</w:t>
            </w:r>
          </w:p>
        </w:tc>
        <w:tc>
          <w:tcPr>
            <w:tcW w:w="808" w:type="dxa"/>
            <w:shd w:val="clear" w:color="auto" w:fill="E7F3F4"/>
            <w:noWrap/>
            <w:vAlign w:val="bottom"/>
          </w:tcPr>
          <w:p w14:paraId="3C8ECEBA" w14:textId="29DD5A1E" w:rsidR="00C01771" w:rsidRPr="00C01771" w:rsidRDefault="00C01771" w:rsidP="00C01771">
            <w:pPr>
              <w:spacing w:before="0" w:after="0"/>
              <w:jc w:val="center"/>
              <w:rPr>
                <w:sz w:val="16"/>
                <w:szCs w:val="16"/>
              </w:rPr>
            </w:pPr>
            <w:r w:rsidRPr="00C01771">
              <w:rPr>
                <w:sz w:val="16"/>
                <w:szCs w:val="16"/>
              </w:rPr>
              <w:t>45</w:t>
            </w:r>
          </w:p>
        </w:tc>
        <w:tc>
          <w:tcPr>
            <w:tcW w:w="954" w:type="dxa"/>
            <w:shd w:val="clear" w:color="auto" w:fill="E7F3F4"/>
            <w:noWrap/>
            <w:vAlign w:val="bottom"/>
            <w:hideMark/>
          </w:tcPr>
          <w:p w14:paraId="4D9D9A59" w14:textId="6F45FA0F" w:rsidR="00C01771" w:rsidRPr="00C01771" w:rsidRDefault="00C01771" w:rsidP="00C01771">
            <w:pPr>
              <w:spacing w:before="0" w:after="0"/>
              <w:jc w:val="center"/>
              <w:rPr>
                <w:sz w:val="16"/>
                <w:szCs w:val="16"/>
              </w:rPr>
            </w:pPr>
            <w:r w:rsidRPr="00C01771">
              <w:rPr>
                <w:sz w:val="16"/>
                <w:szCs w:val="16"/>
              </w:rPr>
              <w:t>22.5</w:t>
            </w:r>
          </w:p>
        </w:tc>
        <w:tc>
          <w:tcPr>
            <w:tcW w:w="954" w:type="dxa"/>
            <w:shd w:val="clear" w:color="auto" w:fill="E7F3F4"/>
            <w:noWrap/>
            <w:vAlign w:val="bottom"/>
            <w:hideMark/>
          </w:tcPr>
          <w:p w14:paraId="32372DF0" w14:textId="404DC843" w:rsidR="00C01771" w:rsidRPr="00C01771" w:rsidRDefault="00C01771" w:rsidP="00C01771">
            <w:pPr>
              <w:spacing w:before="0" w:after="0"/>
              <w:jc w:val="center"/>
              <w:rPr>
                <w:sz w:val="16"/>
                <w:szCs w:val="16"/>
              </w:rPr>
            </w:pPr>
            <w:r w:rsidRPr="00C01771">
              <w:rPr>
                <w:sz w:val="16"/>
                <w:szCs w:val="16"/>
              </w:rPr>
              <w:t>32.7</w:t>
            </w:r>
          </w:p>
        </w:tc>
        <w:tc>
          <w:tcPr>
            <w:tcW w:w="954" w:type="dxa"/>
            <w:shd w:val="clear" w:color="auto" w:fill="E7F3F4"/>
            <w:noWrap/>
            <w:vAlign w:val="bottom"/>
            <w:hideMark/>
          </w:tcPr>
          <w:p w14:paraId="09EA0F5B" w14:textId="7747914A" w:rsidR="00C01771" w:rsidRPr="00C01771" w:rsidRDefault="00C01771" w:rsidP="00C01771">
            <w:pPr>
              <w:spacing w:before="0" w:after="0"/>
              <w:jc w:val="center"/>
              <w:rPr>
                <w:sz w:val="16"/>
                <w:szCs w:val="16"/>
              </w:rPr>
            </w:pPr>
            <w:r w:rsidRPr="00C01771">
              <w:rPr>
                <w:sz w:val="16"/>
                <w:szCs w:val="16"/>
              </w:rPr>
              <w:t>36.7</w:t>
            </w:r>
          </w:p>
        </w:tc>
        <w:tc>
          <w:tcPr>
            <w:tcW w:w="650" w:type="dxa"/>
            <w:shd w:val="clear" w:color="auto" w:fill="E7F3F4"/>
            <w:noWrap/>
            <w:vAlign w:val="bottom"/>
          </w:tcPr>
          <w:p w14:paraId="735BCE41" w14:textId="30871F1E" w:rsidR="00C01771" w:rsidRPr="00C01771" w:rsidRDefault="00C01771" w:rsidP="00C01771">
            <w:pPr>
              <w:spacing w:before="0" w:after="0"/>
              <w:jc w:val="center"/>
              <w:rPr>
                <w:sz w:val="16"/>
                <w:szCs w:val="16"/>
              </w:rPr>
            </w:pPr>
            <w:r w:rsidRPr="00C01771">
              <w:rPr>
                <w:sz w:val="16"/>
                <w:szCs w:val="16"/>
              </w:rPr>
              <w:t>100</w:t>
            </w:r>
          </w:p>
        </w:tc>
      </w:tr>
      <w:tr w:rsidR="00C01771" w:rsidRPr="00E73A7E" w14:paraId="0966356F" w14:textId="77777777" w:rsidTr="006F4537">
        <w:trPr>
          <w:jc w:val="center"/>
        </w:trPr>
        <w:tc>
          <w:tcPr>
            <w:tcW w:w="1388" w:type="dxa"/>
            <w:noWrap/>
            <w:vAlign w:val="bottom"/>
          </w:tcPr>
          <w:p w14:paraId="5A3AFDA0" w14:textId="77777777" w:rsidR="00C01771" w:rsidRPr="00E73A7E" w:rsidRDefault="00C01771" w:rsidP="00C01771">
            <w:pPr>
              <w:spacing w:before="0" w:after="0"/>
              <w:rPr>
                <w:sz w:val="16"/>
                <w:szCs w:val="16"/>
              </w:rPr>
            </w:pPr>
          </w:p>
        </w:tc>
        <w:tc>
          <w:tcPr>
            <w:tcW w:w="1523" w:type="dxa"/>
            <w:shd w:val="clear" w:color="auto" w:fill="E7F3F4"/>
            <w:noWrap/>
            <w:vAlign w:val="bottom"/>
          </w:tcPr>
          <w:p w14:paraId="2420CFEC" w14:textId="77777777" w:rsidR="00C01771" w:rsidRPr="00E73A7E" w:rsidRDefault="00C01771" w:rsidP="00C01771">
            <w:pPr>
              <w:spacing w:before="0" w:after="0"/>
              <w:jc w:val="center"/>
              <w:rPr>
                <w:sz w:val="16"/>
                <w:szCs w:val="16"/>
              </w:rPr>
            </w:pPr>
          </w:p>
        </w:tc>
        <w:tc>
          <w:tcPr>
            <w:tcW w:w="554" w:type="dxa"/>
            <w:shd w:val="clear" w:color="auto" w:fill="E7F3F4"/>
            <w:noWrap/>
            <w:vAlign w:val="bottom"/>
          </w:tcPr>
          <w:p w14:paraId="19D560AF" w14:textId="77777777" w:rsidR="00C01771" w:rsidRPr="00E73A7E" w:rsidRDefault="00C01771" w:rsidP="00C01771">
            <w:pPr>
              <w:spacing w:before="0" w:after="0"/>
              <w:jc w:val="center"/>
              <w:rPr>
                <w:sz w:val="16"/>
                <w:szCs w:val="16"/>
              </w:rPr>
            </w:pPr>
            <w:r w:rsidRPr="00E73A7E">
              <w:rPr>
                <w:sz w:val="16"/>
                <w:szCs w:val="16"/>
              </w:rPr>
              <w:t>MI3</w:t>
            </w:r>
          </w:p>
        </w:tc>
        <w:tc>
          <w:tcPr>
            <w:tcW w:w="951" w:type="dxa"/>
            <w:shd w:val="clear" w:color="auto" w:fill="E7F3F4"/>
            <w:noWrap/>
            <w:vAlign w:val="bottom"/>
          </w:tcPr>
          <w:p w14:paraId="29EAEC26" w14:textId="0FDA0311" w:rsidR="00C01771" w:rsidRPr="00E73A7E" w:rsidRDefault="00C01771" w:rsidP="00C01771">
            <w:pPr>
              <w:spacing w:before="0" w:after="0"/>
              <w:jc w:val="center"/>
              <w:rPr>
                <w:sz w:val="16"/>
                <w:szCs w:val="16"/>
              </w:rPr>
            </w:pPr>
            <w:r>
              <w:rPr>
                <w:sz w:val="16"/>
                <w:szCs w:val="16"/>
              </w:rPr>
              <w:t>01-Jan-17</w:t>
            </w:r>
          </w:p>
        </w:tc>
        <w:tc>
          <w:tcPr>
            <w:tcW w:w="806" w:type="dxa"/>
            <w:shd w:val="clear" w:color="auto" w:fill="E7F3F4"/>
            <w:noWrap/>
            <w:vAlign w:val="bottom"/>
          </w:tcPr>
          <w:p w14:paraId="347227BA" w14:textId="7DBA7346" w:rsidR="00C01771" w:rsidRPr="00C01771" w:rsidRDefault="00C01771" w:rsidP="00C01771">
            <w:pPr>
              <w:spacing w:before="0" w:after="0"/>
              <w:jc w:val="center"/>
              <w:rPr>
                <w:sz w:val="16"/>
                <w:szCs w:val="16"/>
              </w:rPr>
            </w:pPr>
            <w:r w:rsidRPr="00C01771">
              <w:rPr>
                <w:sz w:val="16"/>
                <w:szCs w:val="16"/>
              </w:rPr>
              <w:t>27.4</w:t>
            </w:r>
          </w:p>
        </w:tc>
        <w:tc>
          <w:tcPr>
            <w:tcW w:w="808" w:type="dxa"/>
            <w:shd w:val="clear" w:color="auto" w:fill="E7F3F4"/>
            <w:noWrap/>
            <w:vAlign w:val="bottom"/>
          </w:tcPr>
          <w:p w14:paraId="1A6ACDB5" w14:textId="17C68C5C" w:rsidR="00C01771" w:rsidRPr="00C01771" w:rsidRDefault="00C01771" w:rsidP="00C01771">
            <w:pPr>
              <w:spacing w:before="0" w:after="0"/>
              <w:jc w:val="center"/>
              <w:rPr>
                <w:sz w:val="16"/>
                <w:szCs w:val="16"/>
              </w:rPr>
            </w:pPr>
            <w:r w:rsidRPr="00C01771">
              <w:rPr>
                <w:sz w:val="16"/>
                <w:szCs w:val="16"/>
              </w:rPr>
              <w:t>30</w:t>
            </w:r>
          </w:p>
        </w:tc>
        <w:tc>
          <w:tcPr>
            <w:tcW w:w="954" w:type="dxa"/>
            <w:shd w:val="clear" w:color="auto" w:fill="E7F3F4"/>
            <w:noWrap/>
            <w:vAlign w:val="bottom"/>
          </w:tcPr>
          <w:p w14:paraId="0E626901" w14:textId="1A5314BE" w:rsidR="00C01771" w:rsidRPr="00C01771" w:rsidRDefault="00C01771" w:rsidP="00C01771">
            <w:pPr>
              <w:spacing w:before="0" w:after="0"/>
              <w:jc w:val="center"/>
              <w:rPr>
                <w:sz w:val="16"/>
                <w:szCs w:val="16"/>
              </w:rPr>
            </w:pPr>
            <w:r w:rsidRPr="00C01771">
              <w:rPr>
                <w:sz w:val="16"/>
                <w:szCs w:val="16"/>
              </w:rPr>
              <w:t>22.5</w:t>
            </w:r>
          </w:p>
        </w:tc>
        <w:tc>
          <w:tcPr>
            <w:tcW w:w="954" w:type="dxa"/>
            <w:shd w:val="clear" w:color="auto" w:fill="E7F3F4"/>
            <w:noWrap/>
            <w:vAlign w:val="bottom"/>
          </w:tcPr>
          <w:p w14:paraId="70631371" w14:textId="02CF6DD9" w:rsidR="00C01771" w:rsidRPr="00C01771" w:rsidRDefault="00C01771" w:rsidP="00C01771">
            <w:pPr>
              <w:spacing w:before="0" w:after="0"/>
              <w:jc w:val="center"/>
              <w:rPr>
                <w:sz w:val="16"/>
                <w:szCs w:val="16"/>
              </w:rPr>
            </w:pPr>
            <w:r w:rsidRPr="00C01771">
              <w:rPr>
                <w:sz w:val="16"/>
                <w:szCs w:val="16"/>
              </w:rPr>
              <w:t>32.7</w:t>
            </w:r>
          </w:p>
        </w:tc>
        <w:tc>
          <w:tcPr>
            <w:tcW w:w="954" w:type="dxa"/>
            <w:shd w:val="clear" w:color="auto" w:fill="E7F3F4"/>
            <w:noWrap/>
            <w:vAlign w:val="bottom"/>
          </w:tcPr>
          <w:p w14:paraId="23EDCC37" w14:textId="5C7C201F" w:rsidR="00C01771" w:rsidRPr="00C01771" w:rsidRDefault="00C01771" w:rsidP="00C01771">
            <w:pPr>
              <w:spacing w:before="0" w:after="0"/>
              <w:jc w:val="center"/>
              <w:rPr>
                <w:sz w:val="16"/>
                <w:szCs w:val="16"/>
              </w:rPr>
            </w:pPr>
            <w:r w:rsidRPr="00C01771">
              <w:rPr>
                <w:sz w:val="16"/>
                <w:szCs w:val="16"/>
              </w:rPr>
              <w:t>36.7</w:t>
            </w:r>
          </w:p>
        </w:tc>
        <w:tc>
          <w:tcPr>
            <w:tcW w:w="650" w:type="dxa"/>
            <w:shd w:val="clear" w:color="auto" w:fill="E7F3F4"/>
            <w:noWrap/>
            <w:vAlign w:val="bottom"/>
          </w:tcPr>
          <w:p w14:paraId="74C01EB0" w14:textId="2F48E158" w:rsidR="00C01771" w:rsidRPr="00C01771" w:rsidRDefault="00C01771" w:rsidP="00C01771">
            <w:pPr>
              <w:spacing w:before="0" w:after="0"/>
              <w:jc w:val="center"/>
              <w:rPr>
                <w:sz w:val="16"/>
                <w:szCs w:val="16"/>
              </w:rPr>
            </w:pPr>
            <w:r w:rsidRPr="00C01771">
              <w:rPr>
                <w:sz w:val="16"/>
                <w:szCs w:val="16"/>
              </w:rPr>
              <w:t>50</w:t>
            </w:r>
          </w:p>
        </w:tc>
      </w:tr>
      <w:tr w:rsidR="00C01771" w:rsidRPr="00E73A7E" w14:paraId="461BCCCE" w14:textId="77777777" w:rsidTr="006F4537">
        <w:trPr>
          <w:jc w:val="center"/>
        </w:trPr>
        <w:tc>
          <w:tcPr>
            <w:tcW w:w="1388" w:type="dxa"/>
            <w:noWrap/>
            <w:vAlign w:val="bottom"/>
          </w:tcPr>
          <w:p w14:paraId="311CA197" w14:textId="77777777" w:rsidR="00C01771" w:rsidRPr="00E73A7E" w:rsidRDefault="00C01771" w:rsidP="00C01771">
            <w:pPr>
              <w:spacing w:before="0" w:after="0"/>
              <w:rPr>
                <w:sz w:val="16"/>
                <w:szCs w:val="16"/>
              </w:rPr>
            </w:pPr>
          </w:p>
        </w:tc>
        <w:tc>
          <w:tcPr>
            <w:tcW w:w="1523" w:type="dxa"/>
            <w:shd w:val="clear" w:color="auto" w:fill="E7F3F4"/>
            <w:noWrap/>
            <w:vAlign w:val="bottom"/>
          </w:tcPr>
          <w:p w14:paraId="326FF586" w14:textId="77777777" w:rsidR="00C01771" w:rsidRPr="00E73A7E" w:rsidRDefault="00C01771" w:rsidP="00C01771">
            <w:pPr>
              <w:spacing w:before="0" w:after="0"/>
              <w:jc w:val="center"/>
              <w:rPr>
                <w:sz w:val="16"/>
                <w:szCs w:val="16"/>
              </w:rPr>
            </w:pPr>
          </w:p>
        </w:tc>
        <w:tc>
          <w:tcPr>
            <w:tcW w:w="554" w:type="dxa"/>
            <w:shd w:val="clear" w:color="auto" w:fill="E7F3F4"/>
            <w:noWrap/>
            <w:vAlign w:val="bottom"/>
            <w:hideMark/>
          </w:tcPr>
          <w:p w14:paraId="0C2ADD17" w14:textId="77777777" w:rsidR="00C01771" w:rsidRPr="00E73A7E" w:rsidRDefault="00C01771" w:rsidP="00C01771">
            <w:pPr>
              <w:spacing w:before="0" w:after="0"/>
              <w:jc w:val="center"/>
              <w:rPr>
                <w:sz w:val="16"/>
                <w:szCs w:val="16"/>
              </w:rPr>
            </w:pPr>
            <w:r w:rsidRPr="00E73A7E">
              <w:rPr>
                <w:sz w:val="16"/>
                <w:szCs w:val="16"/>
              </w:rPr>
              <w:t>MI3</w:t>
            </w:r>
          </w:p>
        </w:tc>
        <w:tc>
          <w:tcPr>
            <w:tcW w:w="951" w:type="dxa"/>
            <w:shd w:val="clear" w:color="auto" w:fill="E7F3F4"/>
            <w:noWrap/>
            <w:vAlign w:val="bottom"/>
            <w:hideMark/>
          </w:tcPr>
          <w:p w14:paraId="637072CD" w14:textId="5630B90E" w:rsidR="00C01771" w:rsidRPr="00E73A7E" w:rsidRDefault="00C01771" w:rsidP="00C01771">
            <w:pPr>
              <w:spacing w:before="0" w:after="0"/>
              <w:jc w:val="center"/>
              <w:rPr>
                <w:sz w:val="16"/>
                <w:szCs w:val="16"/>
              </w:rPr>
            </w:pPr>
            <w:r>
              <w:rPr>
                <w:sz w:val="16"/>
                <w:szCs w:val="16"/>
              </w:rPr>
              <w:t>01-Apr-17</w:t>
            </w:r>
          </w:p>
        </w:tc>
        <w:tc>
          <w:tcPr>
            <w:tcW w:w="806" w:type="dxa"/>
            <w:shd w:val="clear" w:color="auto" w:fill="E7F3F4"/>
            <w:noWrap/>
            <w:vAlign w:val="bottom"/>
          </w:tcPr>
          <w:p w14:paraId="6BF10C32" w14:textId="1D52B020" w:rsidR="00C01771" w:rsidRPr="00C01771" w:rsidRDefault="00C01771" w:rsidP="00C01771">
            <w:pPr>
              <w:spacing w:before="0" w:after="0"/>
              <w:jc w:val="center"/>
              <w:rPr>
                <w:sz w:val="16"/>
                <w:szCs w:val="16"/>
              </w:rPr>
            </w:pPr>
            <w:r w:rsidRPr="00C01771">
              <w:rPr>
                <w:sz w:val="16"/>
                <w:szCs w:val="16"/>
              </w:rPr>
              <w:t>30.6</w:t>
            </w:r>
          </w:p>
        </w:tc>
        <w:tc>
          <w:tcPr>
            <w:tcW w:w="808" w:type="dxa"/>
            <w:shd w:val="clear" w:color="auto" w:fill="E7F3F4"/>
            <w:noWrap/>
            <w:vAlign w:val="bottom"/>
          </w:tcPr>
          <w:p w14:paraId="196DBF52" w14:textId="6D0D9400" w:rsidR="00C01771" w:rsidRPr="00C01771" w:rsidRDefault="00C01771" w:rsidP="00C01771">
            <w:pPr>
              <w:spacing w:before="0" w:after="0"/>
              <w:jc w:val="center"/>
              <w:rPr>
                <w:sz w:val="16"/>
                <w:szCs w:val="16"/>
              </w:rPr>
            </w:pPr>
            <w:r w:rsidRPr="00C01771">
              <w:rPr>
                <w:sz w:val="16"/>
                <w:szCs w:val="16"/>
              </w:rPr>
              <w:t>32</w:t>
            </w:r>
          </w:p>
        </w:tc>
        <w:tc>
          <w:tcPr>
            <w:tcW w:w="954" w:type="dxa"/>
            <w:shd w:val="clear" w:color="auto" w:fill="E7F3F4"/>
            <w:noWrap/>
            <w:vAlign w:val="bottom"/>
            <w:hideMark/>
          </w:tcPr>
          <w:p w14:paraId="22516882" w14:textId="6C8A49C7" w:rsidR="00C01771" w:rsidRPr="00C01771" w:rsidRDefault="00C01771" w:rsidP="00C01771">
            <w:pPr>
              <w:spacing w:before="0" w:after="0"/>
              <w:jc w:val="center"/>
              <w:rPr>
                <w:sz w:val="16"/>
                <w:szCs w:val="16"/>
              </w:rPr>
            </w:pPr>
            <w:r w:rsidRPr="00C01771">
              <w:rPr>
                <w:sz w:val="16"/>
                <w:szCs w:val="16"/>
              </w:rPr>
              <w:t>22.5</w:t>
            </w:r>
          </w:p>
        </w:tc>
        <w:tc>
          <w:tcPr>
            <w:tcW w:w="954" w:type="dxa"/>
            <w:shd w:val="clear" w:color="auto" w:fill="E7F3F4"/>
            <w:noWrap/>
            <w:vAlign w:val="bottom"/>
            <w:hideMark/>
          </w:tcPr>
          <w:p w14:paraId="28231427" w14:textId="1BF3993B" w:rsidR="00C01771" w:rsidRPr="00C01771" w:rsidRDefault="00C01771" w:rsidP="00C01771">
            <w:pPr>
              <w:spacing w:before="0" w:after="0"/>
              <w:jc w:val="center"/>
              <w:rPr>
                <w:sz w:val="16"/>
                <w:szCs w:val="16"/>
              </w:rPr>
            </w:pPr>
            <w:r w:rsidRPr="00C01771">
              <w:rPr>
                <w:sz w:val="16"/>
                <w:szCs w:val="16"/>
              </w:rPr>
              <w:t>32.7</w:t>
            </w:r>
          </w:p>
        </w:tc>
        <w:tc>
          <w:tcPr>
            <w:tcW w:w="954" w:type="dxa"/>
            <w:shd w:val="clear" w:color="auto" w:fill="E7F3F4"/>
            <w:noWrap/>
            <w:vAlign w:val="bottom"/>
            <w:hideMark/>
          </w:tcPr>
          <w:p w14:paraId="64C8D63C" w14:textId="151EA62C" w:rsidR="00C01771" w:rsidRPr="00C01771" w:rsidRDefault="00C01771" w:rsidP="00C01771">
            <w:pPr>
              <w:spacing w:before="0" w:after="0"/>
              <w:jc w:val="center"/>
              <w:rPr>
                <w:sz w:val="16"/>
                <w:szCs w:val="16"/>
              </w:rPr>
            </w:pPr>
            <w:r w:rsidRPr="00C01771">
              <w:rPr>
                <w:sz w:val="16"/>
                <w:szCs w:val="16"/>
              </w:rPr>
              <w:t>36.7</w:t>
            </w:r>
          </w:p>
        </w:tc>
        <w:tc>
          <w:tcPr>
            <w:tcW w:w="650" w:type="dxa"/>
            <w:shd w:val="clear" w:color="auto" w:fill="E7F3F4"/>
            <w:noWrap/>
            <w:vAlign w:val="bottom"/>
          </w:tcPr>
          <w:p w14:paraId="07CFB33C" w14:textId="61CF2846" w:rsidR="00C01771" w:rsidRPr="00C01771" w:rsidRDefault="00C01771" w:rsidP="00C01771">
            <w:pPr>
              <w:spacing w:before="0" w:after="0"/>
              <w:jc w:val="center"/>
              <w:rPr>
                <w:sz w:val="16"/>
                <w:szCs w:val="16"/>
              </w:rPr>
            </w:pPr>
            <w:r w:rsidRPr="00C01771">
              <w:rPr>
                <w:sz w:val="16"/>
                <w:szCs w:val="16"/>
              </w:rPr>
              <w:t>50</w:t>
            </w:r>
          </w:p>
        </w:tc>
      </w:tr>
      <w:tr w:rsidR="006F4537" w14:paraId="5E76D079" w14:textId="77777777" w:rsidTr="006F4537">
        <w:trPr>
          <w:jc w:val="center"/>
        </w:trPr>
        <w:tc>
          <w:tcPr>
            <w:tcW w:w="1388" w:type="dxa"/>
            <w:tcBorders>
              <w:top w:val="single" w:sz="4" w:space="0" w:color="auto"/>
              <w:left w:val="nil"/>
              <w:bottom w:val="single" w:sz="4" w:space="0" w:color="auto"/>
              <w:right w:val="nil"/>
            </w:tcBorders>
            <w:noWrap/>
            <w:vAlign w:val="bottom"/>
            <w:hideMark/>
          </w:tcPr>
          <w:p w14:paraId="338CC3AB" w14:textId="77777777" w:rsidR="006F4537" w:rsidRDefault="006F4537" w:rsidP="006F4537">
            <w:pPr>
              <w:spacing w:before="0" w:after="0"/>
              <w:rPr>
                <w:b/>
                <w:color w:val="000000"/>
                <w:sz w:val="16"/>
                <w:szCs w:val="16"/>
              </w:rPr>
            </w:pPr>
            <w:r>
              <w:rPr>
                <w:b/>
                <w:color w:val="000000"/>
                <w:sz w:val="16"/>
                <w:szCs w:val="16"/>
              </w:rPr>
              <w:t>NRM region</w:t>
            </w:r>
          </w:p>
        </w:tc>
        <w:tc>
          <w:tcPr>
            <w:tcW w:w="1523" w:type="dxa"/>
            <w:tcBorders>
              <w:top w:val="single" w:sz="4" w:space="0" w:color="auto"/>
              <w:left w:val="nil"/>
              <w:bottom w:val="single" w:sz="4" w:space="0" w:color="auto"/>
              <w:right w:val="nil"/>
            </w:tcBorders>
            <w:noWrap/>
            <w:vAlign w:val="bottom"/>
          </w:tcPr>
          <w:p w14:paraId="3A3B3FE1" w14:textId="77777777" w:rsidR="006F4537" w:rsidRDefault="006F4537" w:rsidP="006F4537">
            <w:pPr>
              <w:spacing w:before="0" w:after="0"/>
              <w:jc w:val="center"/>
              <w:rPr>
                <w:b/>
                <w:color w:val="000000"/>
                <w:sz w:val="16"/>
                <w:szCs w:val="16"/>
              </w:rPr>
            </w:pPr>
          </w:p>
        </w:tc>
        <w:tc>
          <w:tcPr>
            <w:tcW w:w="554" w:type="dxa"/>
            <w:tcBorders>
              <w:top w:val="single" w:sz="4" w:space="0" w:color="auto"/>
              <w:left w:val="nil"/>
              <w:bottom w:val="single" w:sz="4" w:space="0" w:color="auto"/>
              <w:right w:val="nil"/>
            </w:tcBorders>
            <w:noWrap/>
            <w:vAlign w:val="bottom"/>
          </w:tcPr>
          <w:p w14:paraId="0E0E5C87" w14:textId="77777777" w:rsidR="006F4537" w:rsidRDefault="006F4537" w:rsidP="006F4537">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14:paraId="58006CF3" w14:textId="77777777" w:rsidR="006F4537" w:rsidRDefault="006F4537" w:rsidP="006F4537">
            <w:pPr>
              <w:spacing w:before="0" w:after="0"/>
              <w:jc w:val="center"/>
              <w:rPr>
                <w:b/>
                <w:color w:val="000000"/>
                <w:sz w:val="16"/>
                <w:szCs w:val="16"/>
              </w:rPr>
            </w:pPr>
          </w:p>
        </w:tc>
        <w:tc>
          <w:tcPr>
            <w:tcW w:w="806" w:type="dxa"/>
            <w:tcBorders>
              <w:top w:val="single" w:sz="4" w:space="0" w:color="auto"/>
              <w:left w:val="nil"/>
              <w:bottom w:val="single" w:sz="4" w:space="0" w:color="auto"/>
              <w:right w:val="nil"/>
            </w:tcBorders>
            <w:noWrap/>
            <w:vAlign w:val="bottom"/>
          </w:tcPr>
          <w:p w14:paraId="2360922D" w14:textId="77777777" w:rsidR="006F4537" w:rsidRDefault="006F4537" w:rsidP="006F4537">
            <w:pPr>
              <w:spacing w:before="0" w:after="0"/>
              <w:jc w:val="center"/>
              <w:rPr>
                <w:b/>
                <w:color w:val="000000"/>
                <w:sz w:val="16"/>
                <w:szCs w:val="16"/>
              </w:rPr>
            </w:pPr>
          </w:p>
        </w:tc>
        <w:tc>
          <w:tcPr>
            <w:tcW w:w="808" w:type="dxa"/>
            <w:tcBorders>
              <w:top w:val="single" w:sz="4" w:space="0" w:color="auto"/>
              <w:left w:val="nil"/>
              <w:bottom w:val="single" w:sz="4" w:space="0" w:color="auto"/>
              <w:right w:val="nil"/>
            </w:tcBorders>
            <w:noWrap/>
            <w:vAlign w:val="bottom"/>
          </w:tcPr>
          <w:p w14:paraId="4AD49167" w14:textId="77777777" w:rsidR="006F4537" w:rsidRDefault="006F4537" w:rsidP="006F4537">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14:paraId="57DAFA14" w14:textId="77777777" w:rsidR="006F4537" w:rsidRDefault="006F4537" w:rsidP="006F4537">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14:paraId="06B8AD0E" w14:textId="77777777" w:rsidR="006F4537" w:rsidRDefault="006F4537" w:rsidP="006F4537">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14:paraId="75D3B91D" w14:textId="77777777" w:rsidR="006F4537" w:rsidRDefault="006F4537" w:rsidP="006F4537">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14:paraId="5671953B" w14:textId="54C7D09A" w:rsidR="006F4537" w:rsidRPr="0070101B" w:rsidRDefault="00C01771" w:rsidP="006F4537">
            <w:pPr>
              <w:spacing w:before="0" w:after="0"/>
              <w:jc w:val="center"/>
              <w:rPr>
                <w:b/>
                <w:sz w:val="16"/>
                <w:szCs w:val="16"/>
              </w:rPr>
            </w:pPr>
            <w:r>
              <w:rPr>
                <w:b/>
                <w:sz w:val="16"/>
                <w:szCs w:val="16"/>
              </w:rPr>
              <w:t>7</w:t>
            </w:r>
            <w:r w:rsidR="006F4537" w:rsidRPr="0070101B">
              <w:rPr>
                <w:b/>
                <w:sz w:val="16"/>
                <w:szCs w:val="16"/>
              </w:rPr>
              <w:t>0</w:t>
            </w:r>
          </w:p>
        </w:tc>
      </w:tr>
    </w:tbl>
    <w:p w14:paraId="5806487A" w14:textId="77777777" w:rsidR="00842050" w:rsidRDefault="00842050" w:rsidP="00842050">
      <w:pPr>
        <w:ind w:left="540" w:hanging="540"/>
        <w:rPr>
          <w:color w:val="000000"/>
        </w:rPr>
      </w:pPr>
    </w:p>
    <w:p w14:paraId="04176523" w14:textId="0DE37669" w:rsidR="007B1E97" w:rsidRPr="00517276" w:rsidRDefault="00842050" w:rsidP="007B1E97">
      <w:pPr>
        <w:jc w:val="center"/>
        <w:rPr>
          <w:i/>
          <w:vanish/>
          <w:color w:val="000000"/>
          <w:szCs w:val="22"/>
          <w:specVanish/>
        </w:rPr>
      </w:pPr>
      <w:bookmarkStart w:id="1012" w:name="_Toc516053467"/>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43</w:t>
      </w:r>
      <w:r w:rsidR="00C506C7">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Mackay Whitsunday NRM region habitat over the </w:t>
      </w:r>
      <w:r w:rsidR="008574EC">
        <w:rPr>
          <w:i/>
        </w:rPr>
        <w:t>2016–17</w:t>
      </w:r>
      <w:r>
        <w:rPr>
          <w:i/>
        </w:rPr>
        <w:t xml:space="preserve"> period.</w:t>
      </w:r>
      <w:bookmarkEnd w:id="1012"/>
      <w:r w:rsidR="007B1E97" w:rsidRPr="007B1E97">
        <w:rPr>
          <w:i/>
          <w:vanish/>
          <w:color w:val="000000"/>
          <w:szCs w:val="22"/>
          <w:specVanish/>
        </w:rPr>
        <w:t xml:space="preserve"> </w:t>
      </w:r>
    </w:p>
    <w:p w14:paraId="108FAA03" w14:textId="3E9C9A15"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F87DF9" w:rsidRPr="00F87DF9">
        <w:rPr>
          <w:i/>
          <w:color w:val="000000"/>
        </w:rPr>
        <w:t xml:space="preserve">Table </w:t>
      </w:r>
      <w:r w:rsidR="00F87DF9" w:rsidRPr="00F87DF9">
        <w:rPr>
          <w:i/>
          <w:noProof/>
          <w:color w:val="000000"/>
        </w:rPr>
        <w:t>38</w:t>
      </w:r>
      <w:r w:rsidR="00FB280D" w:rsidRPr="00FB280D">
        <w:rPr>
          <w:i/>
        </w:rPr>
        <w:fldChar w:fldCharType="end"/>
      </w:r>
      <w:r>
        <w:rPr>
          <w:i/>
        </w:rPr>
        <w:t xml:space="preserve">. </w:t>
      </w:r>
      <w:r w:rsidR="00364140" w:rsidRPr="00BA2BCE">
        <w:rPr>
          <w:i/>
          <w:color w:val="000000"/>
        </w:rPr>
        <w:t>^</w:t>
      </w:r>
      <w:r w:rsidR="00364140">
        <w:rPr>
          <w:i/>
          <w:color w:val="000000"/>
        </w:rPr>
        <w:t xml:space="preserve">denotes Seagrass-Watch </w:t>
      </w:r>
      <w:r w:rsidR="00D04E18">
        <w:rPr>
          <w:i/>
          <w:color w:val="000000"/>
        </w:rPr>
        <w:t xml:space="preserve">or QPWS drop-camera </w:t>
      </w:r>
      <w:r w:rsidR="00364140">
        <w:rPr>
          <w:i/>
          <w:color w:val="000000"/>
        </w:rPr>
        <w:t>site.</w:t>
      </w:r>
      <w:r w:rsidR="00364140">
        <w:rPr>
          <w:i/>
        </w:rPr>
        <w:t xml:space="preserve"> </w:t>
      </w:r>
      <w:r>
        <w:rPr>
          <w:i/>
        </w:rPr>
        <w:t>NB: scores do not have units.</w:t>
      </w:r>
      <w:r w:rsidR="00BA2BCE">
        <w:rPr>
          <w:i/>
        </w:rPr>
        <w:t xml:space="preserve"> </w:t>
      </w:r>
    </w:p>
    <w:tbl>
      <w:tblPr>
        <w:tblW w:w="9515" w:type="dxa"/>
        <w:jc w:val="center"/>
        <w:tblLook w:val="04A0" w:firstRow="1" w:lastRow="0" w:firstColumn="1" w:lastColumn="0" w:noHBand="0" w:noVBand="1"/>
      </w:tblPr>
      <w:tblGrid>
        <w:gridCol w:w="1508"/>
        <w:gridCol w:w="1286"/>
        <w:gridCol w:w="603"/>
        <w:gridCol w:w="931"/>
        <w:gridCol w:w="815"/>
        <w:gridCol w:w="823"/>
        <w:gridCol w:w="888"/>
        <w:gridCol w:w="888"/>
        <w:gridCol w:w="888"/>
        <w:gridCol w:w="885"/>
      </w:tblGrid>
      <w:tr w:rsidR="006F4537" w14:paraId="71D0B89C" w14:textId="77777777" w:rsidTr="006F4537">
        <w:trPr>
          <w:jc w:val="center"/>
        </w:trPr>
        <w:tc>
          <w:tcPr>
            <w:tcW w:w="1508" w:type="dxa"/>
            <w:tcBorders>
              <w:top w:val="single" w:sz="4" w:space="0" w:color="auto"/>
              <w:left w:val="nil"/>
              <w:bottom w:val="single" w:sz="4" w:space="0" w:color="auto"/>
              <w:right w:val="nil"/>
            </w:tcBorders>
            <w:shd w:val="clear" w:color="auto" w:fill="BBE0E3"/>
            <w:noWrap/>
            <w:vAlign w:val="center"/>
            <w:hideMark/>
          </w:tcPr>
          <w:p w14:paraId="708FF465" w14:textId="77777777" w:rsidR="006F4537" w:rsidRDefault="006F4537" w:rsidP="006F4537">
            <w:pPr>
              <w:spacing w:before="0" w:after="0"/>
              <w:jc w:val="center"/>
              <w:rPr>
                <w:b/>
                <w:color w:val="000000"/>
                <w:sz w:val="16"/>
                <w:szCs w:val="16"/>
              </w:rPr>
            </w:pPr>
            <w:r>
              <w:rPr>
                <w:b/>
                <w:color w:val="000000"/>
                <w:sz w:val="16"/>
                <w:szCs w:val="16"/>
              </w:rPr>
              <w:t>Habitat</w:t>
            </w:r>
          </w:p>
        </w:tc>
        <w:tc>
          <w:tcPr>
            <w:tcW w:w="1286" w:type="dxa"/>
            <w:tcBorders>
              <w:top w:val="single" w:sz="4" w:space="0" w:color="auto"/>
              <w:left w:val="nil"/>
              <w:bottom w:val="single" w:sz="4" w:space="0" w:color="auto"/>
              <w:right w:val="nil"/>
            </w:tcBorders>
            <w:shd w:val="clear" w:color="auto" w:fill="BBE0E3"/>
            <w:noWrap/>
            <w:vAlign w:val="center"/>
            <w:hideMark/>
          </w:tcPr>
          <w:p w14:paraId="5D9FC89E" w14:textId="77777777" w:rsidR="006F4537" w:rsidRDefault="006F4537" w:rsidP="006F4537">
            <w:pPr>
              <w:spacing w:before="0" w:after="0"/>
              <w:jc w:val="center"/>
              <w:rPr>
                <w:b/>
                <w:color w:val="000000"/>
                <w:sz w:val="16"/>
                <w:szCs w:val="16"/>
              </w:rPr>
            </w:pPr>
            <w:r>
              <w:rPr>
                <w:b/>
                <w:color w:val="000000"/>
                <w:sz w:val="16"/>
                <w:szCs w:val="16"/>
              </w:rPr>
              <w:t>Location</w:t>
            </w:r>
          </w:p>
        </w:tc>
        <w:tc>
          <w:tcPr>
            <w:tcW w:w="603" w:type="dxa"/>
            <w:tcBorders>
              <w:top w:val="single" w:sz="4" w:space="0" w:color="auto"/>
              <w:left w:val="nil"/>
              <w:bottom w:val="single" w:sz="4" w:space="0" w:color="auto"/>
              <w:right w:val="nil"/>
            </w:tcBorders>
            <w:shd w:val="clear" w:color="auto" w:fill="BBE0E3"/>
            <w:noWrap/>
            <w:vAlign w:val="center"/>
            <w:hideMark/>
          </w:tcPr>
          <w:p w14:paraId="55E02DE3" w14:textId="77777777" w:rsidR="006F4537" w:rsidRDefault="006F4537" w:rsidP="006F4537">
            <w:pPr>
              <w:spacing w:before="0" w:after="0"/>
              <w:jc w:val="center"/>
              <w:rPr>
                <w:b/>
                <w:color w:val="000000"/>
                <w:sz w:val="16"/>
                <w:szCs w:val="16"/>
              </w:rPr>
            </w:pPr>
            <w:r>
              <w:rPr>
                <w:b/>
                <w:color w:val="000000"/>
                <w:sz w:val="16"/>
                <w:szCs w:val="16"/>
              </w:rPr>
              <w:t>Site</w:t>
            </w:r>
          </w:p>
        </w:tc>
        <w:tc>
          <w:tcPr>
            <w:tcW w:w="931" w:type="dxa"/>
            <w:tcBorders>
              <w:top w:val="single" w:sz="4" w:space="0" w:color="auto"/>
              <w:left w:val="nil"/>
              <w:bottom w:val="single" w:sz="4" w:space="0" w:color="auto"/>
              <w:right w:val="nil"/>
            </w:tcBorders>
            <w:shd w:val="clear" w:color="auto" w:fill="BBE0E3"/>
            <w:noWrap/>
            <w:vAlign w:val="center"/>
            <w:hideMark/>
          </w:tcPr>
          <w:p w14:paraId="144D4B2A" w14:textId="77777777" w:rsidR="006F4537" w:rsidRDefault="006F4537" w:rsidP="006F4537">
            <w:pPr>
              <w:spacing w:before="0" w:after="0"/>
              <w:jc w:val="center"/>
              <w:rPr>
                <w:b/>
                <w:color w:val="000000"/>
                <w:sz w:val="16"/>
                <w:szCs w:val="16"/>
              </w:rPr>
            </w:pPr>
            <w:r>
              <w:rPr>
                <w:b/>
                <w:color w:val="000000"/>
                <w:sz w:val="16"/>
                <w:szCs w:val="16"/>
              </w:rPr>
              <w:t>Seasonal</w:t>
            </w:r>
          </w:p>
          <w:p w14:paraId="74493ABC"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385F2C24" w14:textId="77777777" w:rsidR="006F4537" w:rsidRDefault="006F4537" w:rsidP="006F4537">
            <w:pPr>
              <w:spacing w:before="0" w:after="0"/>
              <w:jc w:val="center"/>
              <w:rPr>
                <w:b/>
                <w:color w:val="000000"/>
                <w:sz w:val="16"/>
                <w:szCs w:val="16"/>
              </w:rPr>
            </w:pPr>
            <w:r>
              <w:rPr>
                <w:b/>
                <w:color w:val="000000"/>
                <w:sz w:val="16"/>
                <w:szCs w:val="16"/>
              </w:rPr>
              <w:t>Mean</w:t>
            </w:r>
          </w:p>
          <w:p w14:paraId="362D45DC" w14:textId="7C02DFB1"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01DDC82A" w14:textId="77777777" w:rsidR="006F4537" w:rsidRDefault="006F4537" w:rsidP="006F4537">
            <w:pPr>
              <w:spacing w:before="0" w:after="0"/>
              <w:jc w:val="center"/>
              <w:rPr>
                <w:b/>
                <w:color w:val="000000"/>
                <w:sz w:val="16"/>
                <w:szCs w:val="16"/>
              </w:rPr>
            </w:pPr>
            <w:r>
              <w:rPr>
                <w:b/>
                <w:color w:val="000000"/>
                <w:sz w:val="16"/>
                <w:szCs w:val="16"/>
              </w:rPr>
              <w:t>Median</w:t>
            </w:r>
          </w:p>
          <w:p w14:paraId="3454B26C" w14:textId="154C72CE"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304DB7CC" w14:textId="77777777" w:rsidR="006F4537" w:rsidRDefault="006F4537" w:rsidP="006F4537">
            <w:pPr>
              <w:spacing w:before="0" w:after="0"/>
              <w:jc w:val="center"/>
              <w:rPr>
                <w:b/>
                <w:color w:val="000000"/>
                <w:sz w:val="16"/>
                <w:szCs w:val="16"/>
              </w:rPr>
            </w:pPr>
            <w:r>
              <w:rPr>
                <w:b/>
                <w:color w:val="000000"/>
                <w:sz w:val="16"/>
                <w:szCs w:val="16"/>
              </w:rPr>
              <w:t>Low</w:t>
            </w:r>
          </w:p>
          <w:p w14:paraId="3090E06E"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40FEB533" w14:textId="77777777" w:rsidR="006F4537" w:rsidRDefault="006F4537" w:rsidP="006F4537">
            <w:pPr>
              <w:spacing w:before="0" w:after="0"/>
              <w:jc w:val="center"/>
              <w:rPr>
                <w:b/>
                <w:color w:val="000000"/>
                <w:sz w:val="16"/>
                <w:szCs w:val="16"/>
              </w:rPr>
            </w:pPr>
            <w:r>
              <w:rPr>
                <w:b/>
                <w:color w:val="000000"/>
                <w:sz w:val="16"/>
                <w:szCs w:val="16"/>
              </w:rPr>
              <w:t>50th</w:t>
            </w:r>
          </w:p>
          <w:p w14:paraId="067A4C2F"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1CC954B5" w14:textId="77777777" w:rsidR="006F4537" w:rsidRDefault="006F4537" w:rsidP="006F4537">
            <w:pPr>
              <w:spacing w:before="0" w:after="0"/>
              <w:jc w:val="center"/>
              <w:rPr>
                <w:b/>
                <w:color w:val="000000"/>
                <w:sz w:val="16"/>
                <w:szCs w:val="16"/>
              </w:rPr>
            </w:pPr>
            <w:r>
              <w:rPr>
                <w:b/>
                <w:color w:val="000000"/>
                <w:sz w:val="16"/>
                <w:szCs w:val="16"/>
              </w:rPr>
              <w:t>75th</w:t>
            </w:r>
          </w:p>
          <w:p w14:paraId="72C36EFB" w14:textId="77777777" w:rsidR="006F4537" w:rsidRDefault="006F4537" w:rsidP="006F4537">
            <w:pPr>
              <w:spacing w:before="0" w:after="0"/>
              <w:jc w:val="center"/>
              <w:rPr>
                <w:b/>
                <w:color w:val="000000"/>
                <w:sz w:val="16"/>
                <w:szCs w:val="16"/>
              </w:rPr>
            </w:pPr>
            <w:r>
              <w:rPr>
                <w:b/>
                <w:color w:val="000000"/>
                <w:sz w:val="16"/>
                <w:szCs w:val="16"/>
              </w:rPr>
              <w:t>percentile</w:t>
            </w:r>
          </w:p>
        </w:tc>
        <w:tc>
          <w:tcPr>
            <w:tcW w:w="885" w:type="dxa"/>
            <w:tcBorders>
              <w:top w:val="single" w:sz="4" w:space="0" w:color="auto"/>
              <w:left w:val="nil"/>
              <w:bottom w:val="single" w:sz="4" w:space="0" w:color="auto"/>
              <w:right w:val="nil"/>
            </w:tcBorders>
            <w:shd w:val="clear" w:color="auto" w:fill="BBE0E3"/>
            <w:noWrap/>
            <w:vAlign w:val="center"/>
            <w:hideMark/>
          </w:tcPr>
          <w:p w14:paraId="4E857B1C" w14:textId="77777777" w:rsidR="006F4537" w:rsidRDefault="006F4537" w:rsidP="006F4537">
            <w:pPr>
              <w:spacing w:before="0" w:after="0"/>
              <w:jc w:val="center"/>
              <w:rPr>
                <w:b/>
                <w:color w:val="000000"/>
                <w:sz w:val="16"/>
                <w:szCs w:val="16"/>
              </w:rPr>
            </w:pPr>
            <w:r>
              <w:rPr>
                <w:b/>
                <w:color w:val="000000"/>
                <w:sz w:val="16"/>
                <w:szCs w:val="16"/>
              </w:rPr>
              <w:t>score</w:t>
            </w:r>
          </w:p>
        </w:tc>
      </w:tr>
      <w:tr w:rsidR="001D5EED" w14:paraId="1B979F6F" w14:textId="77777777" w:rsidTr="006F4537">
        <w:trPr>
          <w:jc w:val="center"/>
        </w:trPr>
        <w:tc>
          <w:tcPr>
            <w:tcW w:w="1508" w:type="dxa"/>
            <w:tcBorders>
              <w:top w:val="single" w:sz="4" w:space="0" w:color="auto"/>
              <w:left w:val="nil"/>
              <w:bottom w:val="nil"/>
              <w:right w:val="nil"/>
            </w:tcBorders>
            <w:noWrap/>
            <w:vAlign w:val="bottom"/>
            <w:hideMark/>
          </w:tcPr>
          <w:p w14:paraId="6F4737E6" w14:textId="77777777" w:rsidR="001D5EED" w:rsidRDefault="001D5EED" w:rsidP="001D5EED">
            <w:pPr>
              <w:spacing w:before="0" w:after="0"/>
              <w:rPr>
                <w:color w:val="000000"/>
                <w:sz w:val="16"/>
                <w:szCs w:val="16"/>
              </w:rPr>
            </w:pPr>
            <w:r>
              <w:rPr>
                <w:color w:val="000000"/>
                <w:sz w:val="16"/>
                <w:szCs w:val="16"/>
              </w:rPr>
              <w:t>estuarine intertidal</w:t>
            </w:r>
          </w:p>
        </w:tc>
        <w:tc>
          <w:tcPr>
            <w:tcW w:w="1286" w:type="dxa"/>
            <w:tcBorders>
              <w:top w:val="single" w:sz="4" w:space="0" w:color="auto"/>
              <w:left w:val="nil"/>
              <w:bottom w:val="nil"/>
              <w:right w:val="nil"/>
            </w:tcBorders>
            <w:shd w:val="clear" w:color="auto" w:fill="E7F3F4"/>
            <w:noWrap/>
            <w:vAlign w:val="bottom"/>
            <w:hideMark/>
          </w:tcPr>
          <w:p w14:paraId="1A385CBB" w14:textId="77777777" w:rsidR="001D5EED" w:rsidRDefault="001D5EED" w:rsidP="001D5EED">
            <w:pPr>
              <w:spacing w:before="0" w:after="0"/>
              <w:jc w:val="center"/>
              <w:rPr>
                <w:color w:val="000000"/>
                <w:sz w:val="16"/>
                <w:szCs w:val="16"/>
              </w:rPr>
            </w:pPr>
            <w:r>
              <w:rPr>
                <w:color w:val="000000"/>
                <w:sz w:val="16"/>
                <w:szCs w:val="16"/>
              </w:rPr>
              <w:t>Sarina Inlet</w:t>
            </w:r>
          </w:p>
        </w:tc>
        <w:tc>
          <w:tcPr>
            <w:tcW w:w="603" w:type="dxa"/>
            <w:tcBorders>
              <w:top w:val="single" w:sz="4" w:space="0" w:color="auto"/>
              <w:left w:val="nil"/>
              <w:bottom w:val="nil"/>
              <w:right w:val="nil"/>
            </w:tcBorders>
            <w:shd w:val="clear" w:color="auto" w:fill="E7F3F4"/>
            <w:noWrap/>
            <w:vAlign w:val="bottom"/>
            <w:hideMark/>
          </w:tcPr>
          <w:p w14:paraId="7F4A343E" w14:textId="77777777" w:rsidR="001D5EED" w:rsidRPr="00DC1E60" w:rsidRDefault="001D5EED" w:rsidP="001D5EED">
            <w:pPr>
              <w:spacing w:before="0" w:after="0"/>
              <w:jc w:val="center"/>
              <w:rPr>
                <w:sz w:val="16"/>
                <w:szCs w:val="16"/>
              </w:rPr>
            </w:pPr>
            <w:r w:rsidRPr="00DC1E60">
              <w:rPr>
                <w:sz w:val="16"/>
                <w:szCs w:val="16"/>
              </w:rPr>
              <w:t>SI1</w:t>
            </w:r>
          </w:p>
        </w:tc>
        <w:tc>
          <w:tcPr>
            <w:tcW w:w="931" w:type="dxa"/>
            <w:tcBorders>
              <w:top w:val="single" w:sz="4" w:space="0" w:color="auto"/>
              <w:left w:val="nil"/>
              <w:bottom w:val="nil"/>
              <w:right w:val="nil"/>
            </w:tcBorders>
            <w:shd w:val="clear" w:color="auto" w:fill="E7F3F4"/>
            <w:noWrap/>
            <w:vAlign w:val="bottom"/>
            <w:hideMark/>
          </w:tcPr>
          <w:p w14:paraId="5CC32535" w14:textId="4738802F" w:rsidR="001D5EED" w:rsidRPr="00DC1E60" w:rsidRDefault="001D5EED" w:rsidP="001D5EED">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E7F3F4"/>
            <w:noWrap/>
            <w:vAlign w:val="bottom"/>
          </w:tcPr>
          <w:p w14:paraId="457757AB" w14:textId="7D938B01" w:rsidR="001D5EED" w:rsidRPr="001D5EED" w:rsidRDefault="001D5EED" w:rsidP="001D5EED">
            <w:pPr>
              <w:spacing w:before="0" w:after="0"/>
              <w:jc w:val="center"/>
              <w:rPr>
                <w:sz w:val="16"/>
                <w:szCs w:val="16"/>
              </w:rPr>
            </w:pPr>
            <w:r w:rsidRPr="001D5EED">
              <w:rPr>
                <w:sz w:val="16"/>
                <w:szCs w:val="16"/>
              </w:rPr>
              <w:t>12.4</w:t>
            </w:r>
          </w:p>
        </w:tc>
        <w:tc>
          <w:tcPr>
            <w:tcW w:w="823" w:type="dxa"/>
            <w:tcBorders>
              <w:top w:val="single" w:sz="4" w:space="0" w:color="auto"/>
              <w:left w:val="nil"/>
              <w:bottom w:val="nil"/>
              <w:right w:val="nil"/>
            </w:tcBorders>
            <w:shd w:val="clear" w:color="auto" w:fill="E7F3F4"/>
            <w:noWrap/>
            <w:vAlign w:val="bottom"/>
          </w:tcPr>
          <w:p w14:paraId="0E6B06CD" w14:textId="1D5DC4ED" w:rsidR="001D5EED" w:rsidRPr="001D5EED" w:rsidRDefault="001D5EED" w:rsidP="001D5EED">
            <w:pPr>
              <w:spacing w:before="0" w:after="0"/>
              <w:jc w:val="center"/>
              <w:rPr>
                <w:sz w:val="16"/>
                <w:szCs w:val="16"/>
              </w:rPr>
            </w:pPr>
            <w:r w:rsidRPr="001D5EED">
              <w:rPr>
                <w:sz w:val="16"/>
                <w:szCs w:val="16"/>
              </w:rPr>
              <w:t>6</w:t>
            </w:r>
          </w:p>
        </w:tc>
        <w:tc>
          <w:tcPr>
            <w:tcW w:w="888" w:type="dxa"/>
            <w:tcBorders>
              <w:top w:val="single" w:sz="4" w:space="0" w:color="auto"/>
              <w:left w:val="nil"/>
              <w:bottom w:val="nil"/>
              <w:right w:val="nil"/>
            </w:tcBorders>
            <w:shd w:val="clear" w:color="auto" w:fill="E7F3F4"/>
            <w:noWrap/>
            <w:vAlign w:val="bottom"/>
            <w:hideMark/>
          </w:tcPr>
          <w:p w14:paraId="3AF0AB7B" w14:textId="2A70FD90" w:rsidR="001D5EED" w:rsidRPr="001D5EED" w:rsidRDefault="001D5EED" w:rsidP="001D5EED">
            <w:pPr>
              <w:spacing w:before="0" w:after="0"/>
              <w:jc w:val="center"/>
              <w:rPr>
                <w:sz w:val="16"/>
                <w:szCs w:val="16"/>
              </w:rPr>
            </w:pPr>
            <w:r w:rsidRPr="001D5EED">
              <w:rPr>
                <w:sz w:val="16"/>
                <w:szCs w:val="16"/>
              </w:rPr>
              <w:t>18</w:t>
            </w:r>
          </w:p>
        </w:tc>
        <w:tc>
          <w:tcPr>
            <w:tcW w:w="888" w:type="dxa"/>
            <w:tcBorders>
              <w:top w:val="single" w:sz="4" w:space="0" w:color="auto"/>
              <w:left w:val="nil"/>
              <w:bottom w:val="nil"/>
              <w:right w:val="nil"/>
            </w:tcBorders>
            <w:shd w:val="clear" w:color="auto" w:fill="E7F3F4"/>
            <w:noWrap/>
            <w:vAlign w:val="bottom"/>
            <w:hideMark/>
          </w:tcPr>
          <w:p w14:paraId="3DEF72B0" w14:textId="1337670B" w:rsidR="001D5EED" w:rsidRPr="001D5EED" w:rsidRDefault="001D5EED" w:rsidP="001D5EED">
            <w:pPr>
              <w:spacing w:before="0" w:after="0"/>
              <w:jc w:val="center"/>
              <w:rPr>
                <w:sz w:val="16"/>
                <w:szCs w:val="16"/>
              </w:rPr>
            </w:pPr>
            <w:r w:rsidRPr="001D5EED">
              <w:rPr>
                <w:sz w:val="16"/>
                <w:szCs w:val="16"/>
              </w:rPr>
              <w:t>34.1</w:t>
            </w:r>
          </w:p>
        </w:tc>
        <w:tc>
          <w:tcPr>
            <w:tcW w:w="888" w:type="dxa"/>
            <w:tcBorders>
              <w:top w:val="single" w:sz="4" w:space="0" w:color="auto"/>
              <w:left w:val="nil"/>
              <w:bottom w:val="nil"/>
              <w:right w:val="nil"/>
            </w:tcBorders>
            <w:shd w:val="clear" w:color="auto" w:fill="E7F3F4"/>
            <w:noWrap/>
            <w:vAlign w:val="bottom"/>
            <w:hideMark/>
          </w:tcPr>
          <w:p w14:paraId="260F9E15" w14:textId="660513EA" w:rsidR="001D5EED" w:rsidRPr="001D5EED" w:rsidRDefault="001D5EED" w:rsidP="001D5EED">
            <w:pPr>
              <w:spacing w:before="0" w:after="0"/>
              <w:jc w:val="center"/>
              <w:rPr>
                <w:sz w:val="16"/>
                <w:szCs w:val="16"/>
              </w:rPr>
            </w:pPr>
            <w:r w:rsidRPr="001D5EED">
              <w:rPr>
                <w:sz w:val="16"/>
                <w:szCs w:val="16"/>
              </w:rPr>
              <w:t>54</w:t>
            </w:r>
          </w:p>
        </w:tc>
        <w:tc>
          <w:tcPr>
            <w:tcW w:w="885" w:type="dxa"/>
            <w:tcBorders>
              <w:top w:val="single" w:sz="4" w:space="0" w:color="auto"/>
              <w:left w:val="nil"/>
              <w:bottom w:val="nil"/>
              <w:right w:val="nil"/>
            </w:tcBorders>
            <w:shd w:val="clear" w:color="auto" w:fill="E7F3F4"/>
            <w:noWrap/>
            <w:vAlign w:val="bottom"/>
            <w:hideMark/>
          </w:tcPr>
          <w:p w14:paraId="403064CB" w14:textId="1F70D6B4" w:rsidR="001D5EED" w:rsidRPr="001D5EED" w:rsidRDefault="001D5EED" w:rsidP="001D5EED">
            <w:pPr>
              <w:spacing w:before="0" w:after="0"/>
              <w:jc w:val="center"/>
              <w:rPr>
                <w:sz w:val="16"/>
                <w:szCs w:val="16"/>
              </w:rPr>
            </w:pPr>
            <w:r w:rsidRPr="001D5EED">
              <w:rPr>
                <w:sz w:val="16"/>
                <w:szCs w:val="16"/>
              </w:rPr>
              <w:t>25</w:t>
            </w:r>
          </w:p>
        </w:tc>
      </w:tr>
      <w:tr w:rsidR="001D5EED" w14:paraId="1813CEEF" w14:textId="77777777" w:rsidTr="006F4537">
        <w:trPr>
          <w:jc w:val="center"/>
        </w:trPr>
        <w:tc>
          <w:tcPr>
            <w:tcW w:w="1508" w:type="dxa"/>
            <w:noWrap/>
            <w:vAlign w:val="bottom"/>
          </w:tcPr>
          <w:p w14:paraId="22CC1714" w14:textId="77777777" w:rsidR="001D5EED" w:rsidRDefault="001D5EED" w:rsidP="001D5EED">
            <w:pPr>
              <w:spacing w:before="0" w:after="0"/>
              <w:rPr>
                <w:color w:val="000000"/>
                <w:sz w:val="16"/>
                <w:szCs w:val="16"/>
              </w:rPr>
            </w:pPr>
          </w:p>
        </w:tc>
        <w:tc>
          <w:tcPr>
            <w:tcW w:w="1286" w:type="dxa"/>
            <w:shd w:val="clear" w:color="auto" w:fill="E7F3F4"/>
            <w:noWrap/>
            <w:vAlign w:val="bottom"/>
          </w:tcPr>
          <w:p w14:paraId="0A9E251F" w14:textId="77777777" w:rsidR="001D5EED" w:rsidRDefault="001D5EED" w:rsidP="001D5EED">
            <w:pPr>
              <w:spacing w:before="0" w:after="0"/>
              <w:jc w:val="center"/>
              <w:rPr>
                <w:color w:val="000000"/>
                <w:sz w:val="16"/>
                <w:szCs w:val="16"/>
              </w:rPr>
            </w:pPr>
          </w:p>
        </w:tc>
        <w:tc>
          <w:tcPr>
            <w:tcW w:w="603" w:type="dxa"/>
            <w:shd w:val="clear" w:color="auto" w:fill="E7F3F4"/>
            <w:noWrap/>
            <w:vAlign w:val="bottom"/>
            <w:hideMark/>
          </w:tcPr>
          <w:p w14:paraId="7002DB58" w14:textId="77777777" w:rsidR="001D5EED" w:rsidRPr="00DC1E60" w:rsidRDefault="001D5EED" w:rsidP="001D5EED">
            <w:pPr>
              <w:spacing w:before="0" w:after="0"/>
              <w:jc w:val="center"/>
              <w:rPr>
                <w:sz w:val="16"/>
                <w:szCs w:val="16"/>
              </w:rPr>
            </w:pPr>
            <w:r w:rsidRPr="00DC1E60">
              <w:rPr>
                <w:sz w:val="16"/>
                <w:szCs w:val="16"/>
              </w:rPr>
              <w:t>SI1</w:t>
            </w:r>
          </w:p>
        </w:tc>
        <w:tc>
          <w:tcPr>
            <w:tcW w:w="931" w:type="dxa"/>
            <w:shd w:val="clear" w:color="auto" w:fill="E7F3F4"/>
            <w:noWrap/>
            <w:vAlign w:val="bottom"/>
            <w:hideMark/>
          </w:tcPr>
          <w:p w14:paraId="38A5AAF1" w14:textId="09AAB954" w:rsidR="001D5EED" w:rsidRPr="00DC1E60" w:rsidRDefault="001D5EED" w:rsidP="001D5EED">
            <w:pPr>
              <w:spacing w:before="0" w:after="0"/>
              <w:jc w:val="center"/>
              <w:rPr>
                <w:sz w:val="16"/>
                <w:szCs w:val="16"/>
              </w:rPr>
            </w:pPr>
            <w:r>
              <w:rPr>
                <w:sz w:val="16"/>
                <w:szCs w:val="16"/>
              </w:rPr>
              <w:t>01-Apr-17</w:t>
            </w:r>
          </w:p>
        </w:tc>
        <w:tc>
          <w:tcPr>
            <w:tcW w:w="815" w:type="dxa"/>
            <w:shd w:val="clear" w:color="auto" w:fill="E7F3F4"/>
            <w:noWrap/>
            <w:vAlign w:val="bottom"/>
          </w:tcPr>
          <w:p w14:paraId="469BAFA6" w14:textId="05C0C0C9" w:rsidR="001D5EED" w:rsidRPr="001D5EED" w:rsidRDefault="001D5EED" w:rsidP="001D5EED">
            <w:pPr>
              <w:spacing w:before="0" w:after="0"/>
              <w:jc w:val="center"/>
              <w:rPr>
                <w:sz w:val="16"/>
                <w:szCs w:val="16"/>
              </w:rPr>
            </w:pPr>
            <w:r w:rsidRPr="001D5EED">
              <w:rPr>
                <w:sz w:val="16"/>
                <w:szCs w:val="16"/>
              </w:rPr>
              <w:t>2.0</w:t>
            </w:r>
          </w:p>
        </w:tc>
        <w:tc>
          <w:tcPr>
            <w:tcW w:w="823" w:type="dxa"/>
            <w:shd w:val="clear" w:color="auto" w:fill="E7F3F4"/>
            <w:noWrap/>
            <w:vAlign w:val="bottom"/>
          </w:tcPr>
          <w:p w14:paraId="5DAE53D0" w14:textId="6974C6D6" w:rsidR="001D5EED" w:rsidRPr="001D5EED" w:rsidRDefault="001D5EED" w:rsidP="001D5EED">
            <w:pPr>
              <w:spacing w:before="0" w:after="0"/>
              <w:jc w:val="center"/>
              <w:rPr>
                <w:sz w:val="16"/>
                <w:szCs w:val="16"/>
              </w:rPr>
            </w:pPr>
            <w:r w:rsidRPr="001D5EED">
              <w:rPr>
                <w:sz w:val="16"/>
                <w:szCs w:val="16"/>
              </w:rPr>
              <w:t>0</w:t>
            </w:r>
          </w:p>
        </w:tc>
        <w:tc>
          <w:tcPr>
            <w:tcW w:w="888" w:type="dxa"/>
            <w:shd w:val="clear" w:color="auto" w:fill="E7F3F4"/>
            <w:noWrap/>
            <w:vAlign w:val="bottom"/>
            <w:hideMark/>
          </w:tcPr>
          <w:p w14:paraId="03D22A9B" w14:textId="67867D80" w:rsidR="001D5EED" w:rsidRPr="001D5EED" w:rsidRDefault="001D5EED" w:rsidP="001D5EED">
            <w:pPr>
              <w:spacing w:before="0" w:after="0"/>
              <w:jc w:val="center"/>
              <w:rPr>
                <w:sz w:val="16"/>
                <w:szCs w:val="16"/>
              </w:rPr>
            </w:pPr>
            <w:r w:rsidRPr="001D5EED">
              <w:rPr>
                <w:sz w:val="16"/>
                <w:szCs w:val="16"/>
              </w:rPr>
              <w:t>18</w:t>
            </w:r>
          </w:p>
        </w:tc>
        <w:tc>
          <w:tcPr>
            <w:tcW w:w="888" w:type="dxa"/>
            <w:shd w:val="clear" w:color="auto" w:fill="E7F3F4"/>
            <w:noWrap/>
            <w:vAlign w:val="bottom"/>
            <w:hideMark/>
          </w:tcPr>
          <w:p w14:paraId="30B94032" w14:textId="0D3563A0" w:rsidR="001D5EED" w:rsidRPr="001D5EED" w:rsidRDefault="001D5EED" w:rsidP="001D5EED">
            <w:pPr>
              <w:spacing w:before="0" w:after="0"/>
              <w:jc w:val="center"/>
              <w:rPr>
                <w:sz w:val="16"/>
                <w:szCs w:val="16"/>
              </w:rPr>
            </w:pPr>
            <w:r w:rsidRPr="001D5EED">
              <w:rPr>
                <w:sz w:val="16"/>
                <w:szCs w:val="16"/>
              </w:rPr>
              <w:t>34.1</w:t>
            </w:r>
          </w:p>
        </w:tc>
        <w:tc>
          <w:tcPr>
            <w:tcW w:w="888" w:type="dxa"/>
            <w:shd w:val="clear" w:color="auto" w:fill="E7F3F4"/>
            <w:noWrap/>
            <w:vAlign w:val="bottom"/>
            <w:hideMark/>
          </w:tcPr>
          <w:p w14:paraId="4DE0875E" w14:textId="0FD8B19A" w:rsidR="001D5EED" w:rsidRPr="001D5EED" w:rsidRDefault="001D5EED" w:rsidP="001D5EED">
            <w:pPr>
              <w:spacing w:before="0" w:after="0"/>
              <w:jc w:val="center"/>
              <w:rPr>
                <w:sz w:val="16"/>
                <w:szCs w:val="16"/>
              </w:rPr>
            </w:pPr>
            <w:r w:rsidRPr="001D5EED">
              <w:rPr>
                <w:sz w:val="16"/>
                <w:szCs w:val="16"/>
              </w:rPr>
              <w:t>54</w:t>
            </w:r>
          </w:p>
        </w:tc>
        <w:tc>
          <w:tcPr>
            <w:tcW w:w="885" w:type="dxa"/>
            <w:shd w:val="clear" w:color="auto" w:fill="E7F3F4"/>
            <w:noWrap/>
            <w:vAlign w:val="bottom"/>
            <w:hideMark/>
          </w:tcPr>
          <w:p w14:paraId="39B60CBF" w14:textId="43592F2E" w:rsidR="001D5EED" w:rsidRPr="001D5EED" w:rsidRDefault="001D5EED" w:rsidP="001D5EED">
            <w:pPr>
              <w:spacing w:before="0" w:after="0"/>
              <w:jc w:val="center"/>
              <w:rPr>
                <w:sz w:val="16"/>
                <w:szCs w:val="16"/>
              </w:rPr>
            </w:pPr>
            <w:r w:rsidRPr="001D5EED">
              <w:rPr>
                <w:sz w:val="16"/>
                <w:szCs w:val="16"/>
              </w:rPr>
              <w:t>0</w:t>
            </w:r>
          </w:p>
        </w:tc>
      </w:tr>
      <w:tr w:rsidR="001D5EED" w14:paraId="1B78A429" w14:textId="77777777" w:rsidTr="006F4537">
        <w:trPr>
          <w:jc w:val="center"/>
        </w:trPr>
        <w:tc>
          <w:tcPr>
            <w:tcW w:w="1508" w:type="dxa"/>
            <w:noWrap/>
            <w:vAlign w:val="bottom"/>
          </w:tcPr>
          <w:p w14:paraId="4AF66E9B" w14:textId="77777777" w:rsidR="001D5EED" w:rsidRDefault="001D5EED" w:rsidP="001D5EED">
            <w:pPr>
              <w:spacing w:before="0" w:after="0"/>
              <w:rPr>
                <w:color w:val="000000"/>
                <w:sz w:val="16"/>
                <w:szCs w:val="16"/>
              </w:rPr>
            </w:pPr>
          </w:p>
        </w:tc>
        <w:tc>
          <w:tcPr>
            <w:tcW w:w="1286" w:type="dxa"/>
            <w:shd w:val="clear" w:color="auto" w:fill="E7F3F4"/>
            <w:noWrap/>
            <w:vAlign w:val="bottom"/>
          </w:tcPr>
          <w:p w14:paraId="6AFE0A98" w14:textId="77777777" w:rsidR="001D5EED" w:rsidRDefault="001D5EED" w:rsidP="001D5EED">
            <w:pPr>
              <w:spacing w:before="0" w:after="0"/>
              <w:jc w:val="center"/>
              <w:rPr>
                <w:color w:val="000000"/>
                <w:sz w:val="16"/>
                <w:szCs w:val="16"/>
              </w:rPr>
            </w:pPr>
          </w:p>
        </w:tc>
        <w:tc>
          <w:tcPr>
            <w:tcW w:w="603" w:type="dxa"/>
            <w:shd w:val="clear" w:color="auto" w:fill="E7F3F4"/>
            <w:noWrap/>
            <w:vAlign w:val="bottom"/>
            <w:hideMark/>
          </w:tcPr>
          <w:p w14:paraId="2EE964B4" w14:textId="77777777" w:rsidR="001D5EED" w:rsidRPr="00DC1E60" w:rsidRDefault="001D5EED" w:rsidP="001D5EED">
            <w:pPr>
              <w:spacing w:before="0" w:after="0"/>
              <w:jc w:val="center"/>
              <w:rPr>
                <w:sz w:val="16"/>
                <w:szCs w:val="16"/>
              </w:rPr>
            </w:pPr>
            <w:r w:rsidRPr="00DC1E60">
              <w:rPr>
                <w:sz w:val="16"/>
                <w:szCs w:val="16"/>
              </w:rPr>
              <w:t>SI2</w:t>
            </w:r>
          </w:p>
        </w:tc>
        <w:tc>
          <w:tcPr>
            <w:tcW w:w="931" w:type="dxa"/>
            <w:shd w:val="clear" w:color="auto" w:fill="E7F3F4"/>
            <w:noWrap/>
            <w:vAlign w:val="bottom"/>
            <w:hideMark/>
          </w:tcPr>
          <w:p w14:paraId="4AC90E0E" w14:textId="5A912232" w:rsidR="001D5EED" w:rsidRPr="00DC1E60" w:rsidRDefault="001D5EED" w:rsidP="001D5EED">
            <w:pPr>
              <w:spacing w:before="0" w:after="0"/>
              <w:jc w:val="center"/>
              <w:rPr>
                <w:sz w:val="16"/>
                <w:szCs w:val="16"/>
              </w:rPr>
            </w:pPr>
            <w:r>
              <w:rPr>
                <w:sz w:val="16"/>
                <w:szCs w:val="16"/>
              </w:rPr>
              <w:t>01-Oct-16</w:t>
            </w:r>
          </w:p>
        </w:tc>
        <w:tc>
          <w:tcPr>
            <w:tcW w:w="815" w:type="dxa"/>
            <w:shd w:val="clear" w:color="auto" w:fill="E7F3F4"/>
            <w:noWrap/>
            <w:vAlign w:val="bottom"/>
          </w:tcPr>
          <w:p w14:paraId="1E2CFF90" w14:textId="28E4A3C7" w:rsidR="001D5EED" w:rsidRPr="001D5EED" w:rsidRDefault="001D5EED" w:rsidP="001D5EED">
            <w:pPr>
              <w:spacing w:before="0" w:after="0"/>
              <w:jc w:val="center"/>
              <w:rPr>
                <w:sz w:val="16"/>
                <w:szCs w:val="16"/>
              </w:rPr>
            </w:pPr>
            <w:r w:rsidRPr="001D5EED">
              <w:rPr>
                <w:sz w:val="16"/>
                <w:szCs w:val="16"/>
              </w:rPr>
              <w:t>10.6</w:t>
            </w:r>
          </w:p>
        </w:tc>
        <w:tc>
          <w:tcPr>
            <w:tcW w:w="823" w:type="dxa"/>
            <w:shd w:val="clear" w:color="auto" w:fill="E7F3F4"/>
            <w:noWrap/>
            <w:vAlign w:val="bottom"/>
          </w:tcPr>
          <w:p w14:paraId="3F54EDF0" w14:textId="4F6C1545" w:rsidR="001D5EED" w:rsidRPr="001D5EED" w:rsidRDefault="001D5EED" w:rsidP="001D5EED">
            <w:pPr>
              <w:spacing w:before="0" w:after="0"/>
              <w:jc w:val="center"/>
              <w:rPr>
                <w:sz w:val="16"/>
                <w:szCs w:val="16"/>
              </w:rPr>
            </w:pPr>
            <w:r w:rsidRPr="001D5EED">
              <w:rPr>
                <w:sz w:val="16"/>
                <w:szCs w:val="16"/>
              </w:rPr>
              <w:t>2.9</w:t>
            </w:r>
          </w:p>
        </w:tc>
        <w:tc>
          <w:tcPr>
            <w:tcW w:w="888" w:type="dxa"/>
            <w:shd w:val="clear" w:color="auto" w:fill="E7F3F4"/>
            <w:noWrap/>
            <w:vAlign w:val="bottom"/>
            <w:hideMark/>
          </w:tcPr>
          <w:p w14:paraId="3838D3A0" w14:textId="3852A959" w:rsidR="001D5EED" w:rsidRPr="001D5EED" w:rsidRDefault="001D5EED" w:rsidP="001D5EED">
            <w:pPr>
              <w:spacing w:before="0" w:after="0"/>
              <w:jc w:val="center"/>
              <w:rPr>
                <w:sz w:val="16"/>
                <w:szCs w:val="16"/>
              </w:rPr>
            </w:pPr>
            <w:r w:rsidRPr="001D5EED">
              <w:rPr>
                <w:sz w:val="16"/>
                <w:szCs w:val="16"/>
              </w:rPr>
              <w:t>18</w:t>
            </w:r>
          </w:p>
        </w:tc>
        <w:tc>
          <w:tcPr>
            <w:tcW w:w="888" w:type="dxa"/>
            <w:shd w:val="clear" w:color="auto" w:fill="E7F3F4"/>
            <w:noWrap/>
            <w:vAlign w:val="bottom"/>
            <w:hideMark/>
          </w:tcPr>
          <w:p w14:paraId="771B66E1" w14:textId="2BC4A8BF" w:rsidR="001D5EED" w:rsidRPr="001D5EED" w:rsidRDefault="001D5EED" w:rsidP="001D5EED">
            <w:pPr>
              <w:spacing w:before="0" w:after="0"/>
              <w:jc w:val="center"/>
              <w:rPr>
                <w:sz w:val="16"/>
                <w:szCs w:val="16"/>
              </w:rPr>
            </w:pPr>
            <w:r w:rsidRPr="001D5EED">
              <w:rPr>
                <w:sz w:val="16"/>
                <w:szCs w:val="16"/>
              </w:rPr>
              <w:t>34.1</w:t>
            </w:r>
          </w:p>
        </w:tc>
        <w:tc>
          <w:tcPr>
            <w:tcW w:w="888" w:type="dxa"/>
            <w:shd w:val="clear" w:color="auto" w:fill="E7F3F4"/>
            <w:noWrap/>
            <w:vAlign w:val="bottom"/>
            <w:hideMark/>
          </w:tcPr>
          <w:p w14:paraId="7146CA0F" w14:textId="0239B189" w:rsidR="001D5EED" w:rsidRPr="001D5EED" w:rsidRDefault="001D5EED" w:rsidP="001D5EED">
            <w:pPr>
              <w:spacing w:before="0" w:after="0"/>
              <w:jc w:val="center"/>
              <w:rPr>
                <w:sz w:val="16"/>
                <w:szCs w:val="16"/>
              </w:rPr>
            </w:pPr>
            <w:r w:rsidRPr="001D5EED">
              <w:rPr>
                <w:sz w:val="16"/>
                <w:szCs w:val="16"/>
              </w:rPr>
              <w:t>54</w:t>
            </w:r>
          </w:p>
        </w:tc>
        <w:tc>
          <w:tcPr>
            <w:tcW w:w="885" w:type="dxa"/>
            <w:shd w:val="clear" w:color="auto" w:fill="E7F3F4"/>
            <w:noWrap/>
            <w:vAlign w:val="bottom"/>
          </w:tcPr>
          <w:p w14:paraId="43C2991C" w14:textId="4CE073AB" w:rsidR="001D5EED" w:rsidRPr="001D5EED" w:rsidRDefault="001D5EED" w:rsidP="001D5EED">
            <w:pPr>
              <w:spacing w:before="0" w:after="0"/>
              <w:jc w:val="center"/>
              <w:rPr>
                <w:sz w:val="16"/>
                <w:szCs w:val="16"/>
              </w:rPr>
            </w:pPr>
            <w:r w:rsidRPr="001D5EED">
              <w:rPr>
                <w:sz w:val="16"/>
                <w:szCs w:val="16"/>
              </w:rPr>
              <w:t>25</w:t>
            </w:r>
          </w:p>
        </w:tc>
      </w:tr>
      <w:tr w:rsidR="001D5EED" w14:paraId="493B68BB" w14:textId="77777777" w:rsidTr="006F4537">
        <w:trPr>
          <w:jc w:val="center"/>
        </w:trPr>
        <w:tc>
          <w:tcPr>
            <w:tcW w:w="1508" w:type="dxa"/>
            <w:tcBorders>
              <w:top w:val="nil"/>
              <w:left w:val="nil"/>
              <w:bottom w:val="single" w:sz="4" w:space="0" w:color="auto"/>
              <w:right w:val="nil"/>
            </w:tcBorders>
            <w:noWrap/>
            <w:vAlign w:val="bottom"/>
          </w:tcPr>
          <w:p w14:paraId="7E3E7C54" w14:textId="77777777" w:rsidR="001D5EED" w:rsidRDefault="001D5EED" w:rsidP="001D5EED">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14:paraId="3E348EA3" w14:textId="77777777" w:rsidR="001D5EED" w:rsidRDefault="001D5EED" w:rsidP="001D5EED">
            <w:pPr>
              <w:spacing w:before="0" w:after="0"/>
              <w:jc w:val="center"/>
              <w:rPr>
                <w:color w:val="000000"/>
                <w:sz w:val="16"/>
                <w:szCs w:val="16"/>
              </w:rPr>
            </w:pPr>
          </w:p>
        </w:tc>
        <w:tc>
          <w:tcPr>
            <w:tcW w:w="603" w:type="dxa"/>
            <w:tcBorders>
              <w:top w:val="nil"/>
              <w:left w:val="nil"/>
              <w:bottom w:val="single" w:sz="4" w:space="0" w:color="auto"/>
              <w:right w:val="nil"/>
            </w:tcBorders>
            <w:shd w:val="clear" w:color="auto" w:fill="E7F3F4"/>
            <w:noWrap/>
            <w:vAlign w:val="bottom"/>
            <w:hideMark/>
          </w:tcPr>
          <w:p w14:paraId="0150E141" w14:textId="77777777" w:rsidR="001D5EED" w:rsidRPr="00DC1E60" w:rsidRDefault="001D5EED" w:rsidP="001D5EED">
            <w:pPr>
              <w:spacing w:before="0" w:after="0"/>
              <w:jc w:val="center"/>
              <w:rPr>
                <w:sz w:val="16"/>
                <w:szCs w:val="16"/>
              </w:rPr>
            </w:pPr>
            <w:r w:rsidRPr="00DC1E60">
              <w:rPr>
                <w:sz w:val="16"/>
                <w:szCs w:val="16"/>
              </w:rPr>
              <w:t>SI2</w:t>
            </w:r>
          </w:p>
        </w:tc>
        <w:tc>
          <w:tcPr>
            <w:tcW w:w="931" w:type="dxa"/>
            <w:tcBorders>
              <w:top w:val="nil"/>
              <w:left w:val="nil"/>
              <w:bottom w:val="single" w:sz="4" w:space="0" w:color="auto"/>
              <w:right w:val="nil"/>
            </w:tcBorders>
            <w:shd w:val="clear" w:color="auto" w:fill="E7F3F4"/>
            <w:noWrap/>
            <w:vAlign w:val="bottom"/>
            <w:hideMark/>
          </w:tcPr>
          <w:p w14:paraId="16DE2C85" w14:textId="1B236D46" w:rsidR="001D5EED" w:rsidRPr="00DC1E60" w:rsidRDefault="001D5EED" w:rsidP="001D5EED">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tcPr>
          <w:p w14:paraId="645E9CBE" w14:textId="0F900905" w:rsidR="001D5EED" w:rsidRPr="001D5EED" w:rsidRDefault="001D5EED" w:rsidP="001D5EED">
            <w:pPr>
              <w:spacing w:before="0" w:after="0"/>
              <w:jc w:val="center"/>
              <w:rPr>
                <w:sz w:val="16"/>
                <w:szCs w:val="16"/>
              </w:rPr>
            </w:pPr>
            <w:r w:rsidRPr="001D5EED">
              <w:rPr>
                <w:sz w:val="16"/>
                <w:szCs w:val="16"/>
              </w:rPr>
              <w:t>0.9</w:t>
            </w:r>
          </w:p>
        </w:tc>
        <w:tc>
          <w:tcPr>
            <w:tcW w:w="823" w:type="dxa"/>
            <w:tcBorders>
              <w:top w:val="nil"/>
              <w:left w:val="nil"/>
              <w:bottom w:val="single" w:sz="4" w:space="0" w:color="auto"/>
              <w:right w:val="nil"/>
            </w:tcBorders>
            <w:shd w:val="clear" w:color="auto" w:fill="E7F3F4"/>
            <w:noWrap/>
            <w:vAlign w:val="bottom"/>
          </w:tcPr>
          <w:p w14:paraId="1CB013BC" w14:textId="361ECC05" w:rsidR="001D5EED" w:rsidRPr="001D5EED" w:rsidRDefault="001D5EED" w:rsidP="001D5EED">
            <w:pPr>
              <w:spacing w:before="0" w:after="0"/>
              <w:jc w:val="center"/>
              <w:rPr>
                <w:sz w:val="16"/>
                <w:szCs w:val="16"/>
              </w:rPr>
            </w:pPr>
            <w:r w:rsidRPr="001D5EED">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29F1C1FB" w14:textId="608B973D" w:rsidR="001D5EED" w:rsidRPr="001D5EED" w:rsidRDefault="001D5EED" w:rsidP="001D5EED">
            <w:pPr>
              <w:spacing w:before="0" w:after="0"/>
              <w:jc w:val="center"/>
              <w:rPr>
                <w:sz w:val="16"/>
                <w:szCs w:val="16"/>
              </w:rPr>
            </w:pPr>
            <w:r w:rsidRPr="001D5EED">
              <w:rPr>
                <w:sz w:val="16"/>
                <w:szCs w:val="16"/>
              </w:rPr>
              <w:t>18</w:t>
            </w:r>
          </w:p>
        </w:tc>
        <w:tc>
          <w:tcPr>
            <w:tcW w:w="888" w:type="dxa"/>
            <w:tcBorders>
              <w:top w:val="nil"/>
              <w:left w:val="nil"/>
              <w:bottom w:val="single" w:sz="4" w:space="0" w:color="auto"/>
              <w:right w:val="nil"/>
            </w:tcBorders>
            <w:shd w:val="clear" w:color="auto" w:fill="E7F3F4"/>
            <w:noWrap/>
            <w:vAlign w:val="bottom"/>
            <w:hideMark/>
          </w:tcPr>
          <w:p w14:paraId="3AAB73E1" w14:textId="3DEC02FA" w:rsidR="001D5EED" w:rsidRPr="001D5EED" w:rsidRDefault="001D5EED" w:rsidP="001D5EED">
            <w:pPr>
              <w:spacing w:before="0" w:after="0"/>
              <w:jc w:val="center"/>
              <w:rPr>
                <w:sz w:val="16"/>
                <w:szCs w:val="16"/>
              </w:rPr>
            </w:pPr>
            <w:r w:rsidRPr="001D5EED">
              <w:rPr>
                <w:sz w:val="16"/>
                <w:szCs w:val="16"/>
              </w:rPr>
              <w:t>34.1</w:t>
            </w:r>
          </w:p>
        </w:tc>
        <w:tc>
          <w:tcPr>
            <w:tcW w:w="888" w:type="dxa"/>
            <w:tcBorders>
              <w:top w:val="nil"/>
              <w:left w:val="nil"/>
              <w:bottom w:val="single" w:sz="4" w:space="0" w:color="auto"/>
              <w:right w:val="nil"/>
            </w:tcBorders>
            <w:shd w:val="clear" w:color="auto" w:fill="E7F3F4"/>
            <w:noWrap/>
            <w:vAlign w:val="bottom"/>
            <w:hideMark/>
          </w:tcPr>
          <w:p w14:paraId="5E895355" w14:textId="5008F090" w:rsidR="001D5EED" w:rsidRPr="001D5EED" w:rsidRDefault="001D5EED" w:rsidP="001D5EED">
            <w:pPr>
              <w:spacing w:before="0" w:after="0"/>
              <w:jc w:val="center"/>
              <w:rPr>
                <w:sz w:val="16"/>
                <w:szCs w:val="16"/>
              </w:rPr>
            </w:pPr>
            <w:r w:rsidRPr="001D5EED">
              <w:rPr>
                <w:sz w:val="16"/>
                <w:szCs w:val="16"/>
              </w:rPr>
              <w:t>54</w:t>
            </w:r>
          </w:p>
        </w:tc>
        <w:tc>
          <w:tcPr>
            <w:tcW w:w="885" w:type="dxa"/>
            <w:tcBorders>
              <w:top w:val="nil"/>
              <w:left w:val="nil"/>
              <w:bottom w:val="single" w:sz="4" w:space="0" w:color="auto"/>
              <w:right w:val="nil"/>
            </w:tcBorders>
            <w:shd w:val="clear" w:color="auto" w:fill="E7F3F4"/>
            <w:noWrap/>
            <w:vAlign w:val="bottom"/>
          </w:tcPr>
          <w:p w14:paraId="554EC07D" w14:textId="14D1FC2F" w:rsidR="001D5EED" w:rsidRPr="001D5EED" w:rsidRDefault="001D5EED" w:rsidP="001D5EED">
            <w:pPr>
              <w:spacing w:before="0" w:after="0"/>
              <w:jc w:val="center"/>
              <w:rPr>
                <w:sz w:val="16"/>
                <w:szCs w:val="16"/>
              </w:rPr>
            </w:pPr>
            <w:r w:rsidRPr="001D5EED">
              <w:rPr>
                <w:sz w:val="16"/>
                <w:szCs w:val="16"/>
              </w:rPr>
              <w:t>0</w:t>
            </w:r>
          </w:p>
        </w:tc>
      </w:tr>
      <w:tr w:rsidR="001D5EED" w14:paraId="65365375" w14:textId="77777777" w:rsidTr="006F4537">
        <w:trPr>
          <w:jc w:val="center"/>
        </w:trPr>
        <w:tc>
          <w:tcPr>
            <w:tcW w:w="1508" w:type="dxa"/>
            <w:tcBorders>
              <w:top w:val="single" w:sz="4" w:space="0" w:color="auto"/>
              <w:left w:val="nil"/>
              <w:bottom w:val="nil"/>
              <w:right w:val="nil"/>
            </w:tcBorders>
            <w:noWrap/>
            <w:vAlign w:val="bottom"/>
            <w:hideMark/>
          </w:tcPr>
          <w:p w14:paraId="072DA84D" w14:textId="77777777" w:rsidR="001D5EED" w:rsidRDefault="001D5EED" w:rsidP="001D5EED">
            <w:pPr>
              <w:spacing w:before="0" w:after="0"/>
              <w:rPr>
                <w:color w:val="000000"/>
                <w:sz w:val="16"/>
                <w:szCs w:val="16"/>
              </w:rPr>
            </w:pPr>
            <w:r>
              <w:rPr>
                <w:color w:val="000000"/>
                <w:sz w:val="16"/>
                <w:szCs w:val="16"/>
              </w:rPr>
              <w:t>coastal intertidal</w:t>
            </w:r>
          </w:p>
        </w:tc>
        <w:tc>
          <w:tcPr>
            <w:tcW w:w="1286" w:type="dxa"/>
            <w:tcBorders>
              <w:top w:val="single" w:sz="4" w:space="0" w:color="auto"/>
              <w:left w:val="nil"/>
              <w:bottom w:val="nil"/>
              <w:right w:val="nil"/>
            </w:tcBorders>
            <w:shd w:val="clear" w:color="auto" w:fill="F3F9FA"/>
            <w:noWrap/>
            <w:vAlign w:val="bottom"/>
            <w:hideMark/>
          </w:tcPr>
          <w:p w14:paraId="7D9E47B1" w14:textId="77777777" w:rsidR="001D5EED" w:rsidRDefault="001D5EED" w:rsidP="001D5EED">
            <w:pPr>
              <w:spacing w:before="0" w:after="0"/>
              <w:jc w:val="center"/>
              <w:rPr>
                <w:color w:val="000000"/>
                <w:sz w:val="16"/>
                <w:szCs w:val="16"/>
              </w:rPr>
            </w:pPr>
            <w:r>
              <w:rPr>
                <w:color w:val="000000"/>
                <w:sz w:val="16"/>
                <w:szCs w:val="16"/>
              </w:rPr>
              <w:t>Midge Point</w:t>
            </w:r>
          </w:p>
        </w:tc>
        <w:tc>
          <w:tcPr>
            <w:tcW w:w="603" w:type="dxa"/>
            <w:tcBorders>
              <w:top w:val="single" w:sz="4" w:space="0" w:color="auto"/>
              <w:left w:val="nil"/>
              <w:bottom w:val="nil"/>
              <w:right w:val="nil"/>
            </w:tcBorders>
            <w:shd w:val="clear" w:color="auto" w:fill="F3F9FA"/>
            <w:noWrap/>
            <w:vAlign w:val="bottom"/>
            <w:hideMark/>
          </w:tcPr>
          <w:p w14:paraId="3C315A92" w14:textId="77777777" w:rsidR="001D5EED" w:rsidRPr="00E03514" w:rsidRDefault="001D5EED" w:rsidP="001D5EED">
            <w:pPr>
              <w:spacing w:before="0" w:after="0"/>
              <w:jc w:val="center"/>
              <w:rPr>
                <w:sz w:val="16"/>
                <w:szCs w:val="16"/>
              </w:rPr>
            </w:pPr>
            <w:r>
              <w:rPr>
                <w:sz w:val="16"/>
                <w:szCs w:val="16"/>
              </w:rPr>
              <w:t>MP2</w:t>
            </w:r>
          </w:p>
        </w:tc>
        <w:tc>
          <w:tcPr>
            <w:tcW w:w="931" w:type="dxa"/>
            <w:tcBorders>
              <w:top w:val="single" w:sz="4" w:space="0" w:color="auto"/>
              <w:left w:val="nil"/>
              <w:bottom w:val="nil"/>
              <w:right w:val="nil"/>
            </w:tcBorders>
            <w:shd w:val="clear" w:color="auto" w:fill="F3F9FA"/>
            <w:noWrap/>
            <w:vAlign w:val="bottom"/>
            <w:hideMark/>
          </w:tcPr>
          <w:p w14:paraId="4C6C63E3" w14:textId="473CC90E" w:rsidR="001D5EED" w:rsidRPr="00E03514" w:rsidRDefault="001D5EED" w:rsidP="001D5EED">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F3F9FA"/>
            <w:noWrap/>
            <w:vAlign w:val="bottom"/>
          </w:tcPr>
          <w:p w14:paraId="7540D4ED" w14:textId="70234D27" w:rsidR="001D5EED" w:rsidRPr="001D5EED" w:rsidRDefault="001D5EED" w:rsidP="001D5EED">
            <w:pPr>
              <w:spacing w:before="0" w:after="0"/>
              <w:jc w:val="center"/>
              <w:rPr>
                <w:sz w:val="16"/>
                <w:szCs w:val="16"/>
              </w:rPr>
            </w:pPr>
            <w:r w:rsidRPr="001D5EED">
              <w:rPr>
                <w:sz w:val="16"/>
                <w:szCs w:val="16"/>
              </w:rPr>
              <w:t>35.5</w:t>
            </w:r>
          </w:p>
        </w:tc>
        <w:tc>
          <w:tcPr>
            <w:tcW w:w="823" w:type="dxa"/>
            <w:tcBorders>
              <w:top w:val="single" w:sz="4" w:space="0" w:color="auto"/>
              <w:left w:val="nil"/>
              <w:bottom w:val="nil"/>
              <w:right w:val="nil"/>
            </w:tcBorders>
            <w:shd w:val="clear" w:color="auto" w:fill="F3F9FA"/>
            <w:noWrap/>
            <w:vAlign w:val="bottom"/>
          </w:tcPr>
          <w:p w14:paraId="533583A7" w14:textId="49973239" w:rsidR="001D5EED" w:rsidRPr="001D5EED" w:rsidRDefault="001D5EED" w:rsidP="001D5EED">
            <w:pPr>
              <w:spacing w:before="0" w:after="0"/>
              <w:jc w:val="center"/>
              <w:rPr>
                <w:sz w:val="16"/>
                <w:szCs w:val="16"/>
              </w:rPr>
            </w:pPr>
            <w:r w:rsidRPr="001D5EED">
              <w:rPr>
                <w:sz w:val="16"/>
                <w:szCs w:val="16"/>
              </w:rPr>
              <w:t>35</w:t>
            </w:r>
          </w:p>
        </w:tc>
        <w:tc>
          <w:tcPr>
            <w:tcW w:w="888" w:type="dxa"/>
            <w:tcBorders>
              <w:top w:val="single" w:sz="4" w:space="0" w:color="auto"/>
              <w:left w:val="nil"/>
              <w:bottom w:val="nil"/>
              <w:right w:val="nil"/>
            </w:tcBorders>
            <w:shd w:val="clear" w:color="auto" w:fill="F3F9FA"/>
            <w:noWrap/>
            <w:vAlign w:val="bottom"/>
            <w:hideMark/>
          </w:tcPr>
          <w:p w14:paraId="47088BBD" w14:textId="5678EA59" w:rsidR="001D5EED" w:rsidRPr="001D5EED" w:rsidRDefault="001D5EED" w:rsidP="001D5EED">
            <w:pPr>
              <w:spacing w:before="0" w:after="0"/>
              <w:jc w:val="center"/>
              <w:rPr>
                <w:sz w:val="16"/>
                <w:szCs w:val="16"/>
              </w:rPr>
            </w:pPr>
            <w:r w:rsidRPr="001D5EED">
              <w:rPr>
                <w:sz w:val="16"/>
                <w:szCs w:val="16"/>
              </w:rPr>
              <w:t>18.9</w:t>
            </w:r>
          </w:p>
        </w:tc>
        <w:tc>
          <w:tcPr>
            <w:tcW w:w="888" w:type="dxa"/>
            <w:tcBorders>
              <w:top w:val="single" w:sz="4" w:space="0" w:color="auto"/>
              <w:left w:val="nil"/>
              <w:bottom w:val="nil"/>
              <w:right w:val="nil"/>
            </w:tcBorders>
            <w:shd w:val="clear" w:color="auto" w:fill="F3F9FA"/>
            <w:noWrap/>
            <w:vAlign w:val="bottom"/>
            <w:hideMark/>
          </w:tcPr>
          <w:p w14:paraId="2DE5A4FB" w14:textId="15D5FA41" w:rsidR="001D5EED" w:rsidRPr="001D5EED" w:rsidRDefault="001D5EED" w:rsidP="001D5EED">
            <w:pPr>
              <w:spacing w:before="0" w:after="0"/>
              <w:jc w:val="center"/>
              <w:rPr>
                <w:sz w:val="16"/>
                <w:szCs w:val="16"/>
              </w:rPr>
            </w:pPr>
            <w:r w:rsidRPr="001D5EED">
              <w:rPr>
                <w:sz w:val="16"/>
                <w:szCs w:val="16"/>
              </w:rPr>
              <w:t>22.8</w:t>
            </w:r>
          </w:p>
        </w:tc>
        <w:tc>
          <w:tcPr>
            <w:tcW w:w="888" w:type="dxa"/>
            <w:tcBorders>
              <w:top w:val="single" w:sz="4" w:space="0" w:color="auto"/>
              <w:left w:val="nil"/>
              <w:bottom w:val="nil"/>
              <w:right w:val="nil"/>
            </w:tcBorders>
            <w:shd w:val="clear" w:color="auto" w:fill="F3F9FA"/>
            <w:noWrap/>
            <w:vAlign w:val="bottom"/>
            <w:hideMark/>
          </w:tcPr>
          <w:p w14:paraId="5DF70A6C" w14:textId="6E427BFD" w:rsidR="001D5EED" w:rsidRPr="001D5EED" w:rsidRDefault="001D5EED" w:rsidP="001D5EED">
            <w:pPr>
              <w:spacing w:before="0" w:after="0"/>
              <w:jc w:val="center"/>
              <w:rPr>
                <w:sz w:val="16"/>
                <w:szCs w:val="16"/>
              </w:rPr>
            </w:pPr>
            <w:r w:rsidRPr="001D5EED">
              <w:rPr>
                <w:sz w:val="16"/>
                <w:szCs w:val="16"/>
              </w:rPr>
              <w:t>25.4</w:t>
            </w:r>
          </w:p>
        </w:tc>
        <w:tc>
          <w:tcPr>
            <w:tcW w:w="885" w:type="dxa"/>
            <w:tcBorders>
              <w:top w:val="single" w:sz="4" w:space="0" w:color="auto"/>
              <w:left w:val="nil"/>
              <w:bottom w:val="nil"/>
              <w:right w:val="nil"/>
            </w:tcBorders>
            <w:shd w:val="clear" w:color="auto" w:fill="F3F9FA"/>
            <w:noWrap/>
            <w:vAlign w:val="bottom"/>
            <w:hideMark/>
          </w:tcPr>
          <w:p w14:paraId="6957B7E2" w14:textId="72BEB3C9" w:rsidR="001D5EED" w:rsidRPr="001D5EED" w:rsidRDefault="001D5EED" w:rsidP="001D5EED">
            <w:pPr>
              <w:spacing w:before="0" w:after="0"/>
              <w:jc w:val="center"/>
              <w:rPr>
                <w:sz w:val="16"/>
                <w:szCs w:val="16"/>
              </w:rPr>
            </w:pPr>
            <w:r w:rsidRPr="001D5EED">
              <w:rPr>
                <w:sz w:val="16"/>
                <w:szCs w:val="16"/>
              </w:rPr>
              <w:t>100</w:t>
            </w:r>
          </w:p>
        </w:tc>
      </w:tr>
      <w:tr w:rsidR="001D5EED" w14:paraId="0787F19A" w14:textId="77777777" w:rsidTr="006F4537">
        <w:trPr>
          <w:jc w:val="center"/>
        </w:trPr>
        <w:tc>
          <w:tcPr>
            <w:tcW w:w="1508" w:type="dxa"/>
            <w:noWrap/>
            <w:vAlign w:val="bottom"/>
          </w:tcPr>
          <w:p w14:paraId="702CA118" w14:textId="77777777" w:rsidR="001D5EED" w:rsidRDefault="001D5EED" w:rsidP="001D5EED">
            <w:pPr>
              <w:spacing w:before="0" w:after="0"/>
              <w:rPr>
                <w:color w:val="000000"/>
                <w:sz w:val="16"/>
                <w:szCs w:val="16"/>
              </w:rPr>
            </w:pPr>
          </w:p>
        </w:tc>
        <w:tc>
          <w:tcPr>
            <w:tcW w:w="1286" w:type="dxa"/>
            <w:shd w:val="clear" w:color="auto" w:fill="F3F9FA"/>
            <w:noWrap/>
            <w:vAlign w:val="bottom"/>
          </w:tcPr>
          <w:p w14:paraId="7B2CFDA4" w14:textId="77777777" w:rsidR="001D5EED" w:rsidRDefault="001D5EED" w:rsidP="001D5EED">
            <w:pPr>
              <w:spacing w:before="0" w:after="0"/>
              <w:jc w:val="center"/>
              <w:rPr>
                <w:color w:val="000000"/>
                <w:sz w:val="16"/>
                <w:szCs w:val="16"/>
              </w:rPr>
            </w:pPr>
          </w:p>
        </w:tc>
        <w:tc>
          <w:tcPr>
            <w:tcW w:w="603" w:type="dxa"/>
            <w:shd w:val="clear" w:color="auto" w:fill="F3F9FA"/>
            <w:noWrap/>
            <w:vAlign w:val="bottom"/>
            <w:hideMark/>
          </w:tcPr>
          <w:p w14:paraId="080B7A63" w14:textId="77777777" w:rsidR="001D5EED" w:rsidRPr="00E03514" w:rsidRDefault="001D5EED" w:rsidP="001D5EED">
            <w:pPr>
              <w:spacing w:before="0" w:after="0"/>
              <w:jc w:val="center"/>
              <w:rPr>
                <w:sz w:val="16"/>
                <w:szCs w:val="16"/>
              </w:rPr>
            </w:pPr>
            <w:r>
              <w:rPr>
                <w:sz w:val="16"/>
                <w:szCs w:val="16"/>
              </w:rPr>
              <w:t>MP2</w:t>
            </w:r>
          </w:p>
        </w:tc>
        <w:tc>
          <w:tcPr>
            <w:tcW w:w="931" w:type="dxa"/>
            <w:shd w:val="clear" w:color="auto" w:fill="F3F9FA"/>
            <w:noWrap/>
            <w:vAlign w:val="bottom"/>
            <w:hideMark/>
          </w:tcPr>
          <w:p w14:paraId="3B62DA8B" w14:textId="6BC35DA0" w:rsidR="001D5EED" w:rsidRPr="00E03514" w:rsidRDefault="001D5EED" w:rsidP="001D5EED">
            <w:pPr>
              <w:spacing w:before="0" w:after="0"/>
              <w:jc w:val="center"/>
              <w:rPr>
                <w:sz w:val="16"/>
                <w:szCs w:val="16"/>
              </w:rPr>
            </w:pPr>
            <w:r>
              <w:rPr>
                <w:sz w:val="16"/>
                <w:szCs w:val="16"/>
              </w:rPr>
              <w:t>01-Apr-17</w:t>
            </w:r>
          </w:p>
        </w:tc>
        <w:tc>
          <w:tcPr>
            <w:tcW w:w="815" w:type="dxa"/>
            <w:shd w:val="clear" w:color="auto" w:fill="F3F9FA"/>
            <w:noWrap/>
            <w:vAlign w:val="bottom"/>
          </w:tcPr>
          <w:p w14:paraId="5A66D146" w14:textId="4DFC18BC" w:rsidR="001D5EED" w:rsidRPr="001D5EED" w:rsidRDefault="001D5EED" w:rsidP="001D5EED">
            <w:pPr>
              <w:spacing w:before="0" w:after="0"/>
              <w:jc w:val="center"/>
              <w:rPr>
                <w:sz w:val="16"/>
                <w:szCs w:val="16"/>
              </w:rPr>
            </w:pPr>
            <w:r w:rsidRPr="001D5EED">
              <w:rPr>
                <w:sz w:val="16"/>
                <w:szCs w:val="16"/>
              </w:rPr>
              <w:t>21.8</w:t>
            </w:r>
          </w:p>
        </w:tc>
        <w:tc>
          <w:tcPr>
            <w:tcW w:w="823" w:type="dxa"/>
            <w:shd w:val="clear" w:color="auto" w:fill="F3F9FA"/>
            <w:noWrap/>
            <w:vAlign w:val="bottom"/>
          </w:tcPr>
          <w:p w14:paraId="35774EE9" w14:textId="5002BC35" w:rsidR="001D5EED" w:rsidRPr="001D5EED" w:rsidRDefault="001D5EED" w:rsidP="001D5EED">
            <w:pPr>
              <w:spacing w:before="0" w:after="0"/>
              <w:jc w:val="center"/>
              <w:rPr>
                <w:sz w:val="16"/>
                <w:szCs w:val="16"/>
              </w:rPr>
            </w:pPr>
            <w:r w:rsidRPr="001D5EED">
              <w:rPr>
                <w:sz w:val="16"/>
                <w:szCs w:val="16"/>
              </w:rPr>
              <w:t>23</w:t>
            </w:r>
          </w:p>
        </w:tc>
        <w:tc>
          <w:tcPr>
            <w:tcW w:w="888" w:type="dxa"/>
            <w:shd w:val="clear" w:color="auto" w:fill="F3F9FA"/>
            <w:noWrap/>
            <w:vAlign w:val="bottom"/>
            <w:hideMark/>
          </w:tcPr>
          <w:p w14:paraId="3D1B0A60" w14:textId="21AC3129" w:rsidR="001D5EED" w:rsidRPr="001D5EED" w:rsidRDefault="001D5EED" w:rsidP="001D5EED">
            <w:pPr>
              <w:spacing w:before="0" w:after="0"/>
              <w:jc w:val="center"/>
              <w:rPr>
                <w:sz w:val="16"/>
                <w:szCs w:val="16"/>
              </w:rPr>
            </w:pPr>
            <w:r w:rsidRPr="001D5EED">
              <w:rPr>
                <w:sz w:val="16"/>
                <w:szCs w:val="16"/>
              </w:rPr>
              <w:t>18.9</w:t>
            </w:r>
          </w:p>
        </w:tc>
        <w:tc>
          <w:tcPr>
            <w:tcW w:w="888" w:type="dxa"/>
            <w:shd w:val="clear" w:color="auto" w:fill="F3F9FA"/>
            <w:noWrap/>
            <w:vAlign w:val="bottom"/>
            <w:hideMark/>
          </w:tcPr>
          <w:p w14:paraId="5169D486" w14:textId="60C6EC9E" w:rsidR="001D5EED" w:rsidRPr="001D5EED" w:rsidRDefault="001D5EED" w:rsidP="001D5EED">
            <w:pPr>
              <w:spacing w:before="0" w:after="0"/>
              <w:jc w:val="center"/>
              <w:rPr>
                <w:sz w:val="16"/>
                <w:szCs w:val="16"/>
              </w:rPr>
            </w:pPr>
            <w:r w:rsidRPr="001D5EED">
              <w:rPr>
                <w:sz w:val="16"/>
                <w:szCs w:val="16"/>
              </w:rPr>
              <w:t>22.8</w:t>
            </w:r>
          </w:p>
        </w:tc>
        <w:tc>
          <w:tcPr>
            <w:tcW w:w="888" w:type="dxa"/>
            <w:shd w:val="clear" w:color="auto" w:fill="F3F9FA"/>
            <w:noWrap/>
            <w:vAlign w:val="bottom"/>
            <w:hideMark/>
          </w:tcPr>
          <w:p w14:paraId="640AF5BD" w14:textId="4FBC2DBD" w:rsidR="001D5EED" w:rsidRPr="001D5EED" w:rsidRDefault="001D5EED" w:rsidP="001D5EED">
            <w:pPr>
              <w:spacing w:before="0" w:after="0"/>
              <w:jc w:val="center"/>
              <w:rPr>
                <w:sz w:val="16"/>
                <w:szCs w:val="16"/>
              </w:rPr>
            </w:pPr>
            <w:r w:rsidRPr="001D5EED">
              <w:rPr>
                <w:sz w:val="16"/>
                <w:szCs w:val="16"/>
              </w:rPr>
              <w:t>25.4</w:t>
            </w:r>
          </w:p>
        </w:tc>
        <w:tc>
          <w:tcPr>
            <w:tcW w:w="885" w:type="dxa"/>
            <w:shd w:val="clear" w:color="auto" w:fill="F3F9FA"/>
            <w:noWrap/>
            <w:vAlign w:val="bottom"/>
            <w:hideMark/>
          </w:tcPr>
          <w:p w14:paraId="1382446E" w14:textId="2F170260" w:rsidR="001D5EED" w:rsidRPr="001D5EED" w:rsidRDefault="001D5EED" w:rsidP="001D5EED">
            <w:pPr>
              <w:spacing w:before="0" w:after="0"/>
              <w:jc w:val="center"/>
              <w:rPr>
                <w:sz w:val="16"/>
                <w:szCs w:val="16"/>
              </w:rPr>
            </w:pPr>
            <w:r w:rsidRPr="001D5EED">
              <w:rPr>
                <w:sz w:val="16"/>
                <w:szCs w:val="16"/>
              </w:rPr>
              <w:t>75</w:t>
            </w:r>
          </w:p>
        </w:tc>
      </w:tr>
      <w:tr w:rsidR="001D5EED" w14:paraId="37E9F84D" w14:textId="77777777" w:rsidTr="006F4537">
        <w:trPr>
          <w:jc w:val="center"/>
        </w:trPr>
        <w:tc>
          <w:tcPr>
            <w:tcW w:w="1508" w:type="dxa"/>
            <w:noWrap/>
            <w:vAlign w:val="bottom"/>
          </w:tcPr>
          <w:p w14:paraId="054C58EC" w14:textId="77777777" w:rsidR="001D5EED" w:rsidRDefault="001D5EED" w:rsidP="001D5EED">
            <w:pPr>
              <w:spacing w:before="0" w:after="0"/>
              <w:rPr>
                <w:color w:val="000000"/>
                <w:sz w:val="16"/>
                <w:szCs w:val="16"/>
              </w:rPr>
            </w:pPr>
          </w:p>
        </w:tc>
        <w:tc>
          <w:tcPr>
            <w:tcW w:w="1286" w:type="dxa"/>
            <w:shd w:val="clear" w:color="auto" w:fill="F3F9FA"/>
            <w:noWrap/>
            <w:vAlign w:val="bottom"/>
          </w:tcPr>
          <w:p w14:paraId="5CFBFD25" w14:textId="77777777" w:rsidR="001D5EED" w:rsidRDefault="001D5EED" w:rsidP="001D5EED">
            <w:pPr>
              <w:spacing w:before="0" w:after="0"/>
              <w:jc w:val="center"/>
              <w:rPr>
                <w:color w:val="000000"/>
                <w:sz w:val="16"/>
                <w:szCs w:val="16"/>
              </w:rPr>
            </w:pPr>
          </w:p>
        </w:tc>
        <w:tc>
          <w:tcPr>
            <w:tcW w:w="603" w:type="dxa"/>
            <w:shd w:val="clear" w:color="auto" w:fill="F3F9FA"/>
            <w:noWrap/>
            <w:vAlign w:val="bottom"/>
            <w:hideMark/>
          </w:tcPr>
          <w:p w14:paraId="4A2B631C" w14:textId="77777777" w:rsidR="001D5EED" w:rsidRPr="00E03514" w:rsidRDefault="001D5EED" w:rsidP="001D5EED">
            <w:pPr>
              <w:spacing w:before="0" w:after="0"/>
              <w:jc w:val="center"/>
              <w:rPr>
                <w:sz w:val="16"/>
                <w:szCs w:val="16"/>
              </w:rPr>
            </w:pPr>
            <w:r w:rsidRPr="00E03514">
              <w:rPr>
                <w:sz w:val="16"/>
                <w:szCs w:val="16"/>
              </w:rPr>
              <w:t>MP3</w:t>
            </w:r>
          </w:p>
        </w:tc>
        <w:tc>
          <w:tcPr>
            <w:tcW w:w="931" w:type="dxa"/>
            <w:shd w:val="clear" w:color="auto" w:fill="F3F9FA"/>
            <w:noWrap/>
            <w:vAlign w:val="bottom"/>
            <w:hideMark/>
          </w:tcPr>
          <w:p w14:paraId="7D860DDF" w14:textId="2F275C66" w:rsidR="001D5EED" w:rsidRPr="00E03514" w:rsidRDefault="001D5EED" w:rsidP="001D5EED">
            <w:pPr>
              <w:spacing w:before="0" w:after="0"/>
              <w:jc w:val="center"/>
              <w:rPr>
                <w:sz w:val="16"/>
                <w:szCs w:val="16"/>
              </w:rPr>
            </w:pPr>
            <w:r>
              <w:rPr>
                <w:sz w:val="16"/>
                <w:szCs w:val="16"/>
              </w:rPr>
              <w:t>01-Oct-16</w:t>
            </w:r>
          </w:p>
        </w:tc>
        <w:tc>
          <w:tcPr>
            <w:tcW w:w="815" w:type="dxa"/>
            <w:shd w:val="clear" w:color="auto" w:fill="F3F9FA"/>
            <w:noWrap/>
            <w:vAlign w:val="bottom"/>
          </w:tcPr>
          <w:p w14:paraId="1ACF2903" w14:textId="6E5537A2" w:rsidR="001D5EED" w:rsidRPr="001D5EED" w:rsidRDefault="001D5EED" w:rsidP="001D5EED">
            <w:pPr>
              <w:spacing w:before="0" w:after="0"/>
              <w:jc w:val="center"/>
              <w:rPr>
                <w:sz w:val="16"/>
                <w:szCs w:val="16"/>
              </w:rPr>
            </w:pPr>
            <w:r w:rsidRPr="001D5EED">
              <w:rPr>
                <w:sz w:val="16"/>
                <w:szCs w:val="16"/>
              </w:rPr>
              <w:t>27.8</w:t>
            </w:r>
          </w:p>
        </w:tc>
        <w:tc>
          <w:tcPr>
            <w:tcW w:w="823" w:type="dxa"/>
            <w:shd w:val="clear" w:color="auto" w:fill="F3F9FA"/>
            <w:noWrap/>
            <w:vAlign w:val="bottom"/>
          </w:tcPr>
          <w:p w14:paraId="18651B74" w14:textId="0F304835" w:rsidR="001D5EED" w:rsidRPr="001D5EED" w:rsidRDefault="001D5EED" w:rsidP="001D5EED">
            <w:pPr>
              <w:spacing w:before="0" w:after="0"/>
              <w:jc w:val="center"/>
              <w:rPr>
                <w:sz w:val="16"/>
                <w:szCs w:val="16"/>
              </w:rPr>
            </w:pPr>
            <w:r w:rsidRPr="001D5EED">
              <w:rPr>
                <w:sz w:val="16"/>
                <w:szCs w:val="16"/>
              </w:rPr>
              <w:t>31</w:t>
            </w:r>
          </w:p>
        </w:tc>
        <w:tc>
          <w:tcPr>
            <w:tcW w:w="888" w:type="dxa"/>
            <w:shd w:val="clear" w:color="auto" w:fill="F3F9FA"/>
            <w:noWrap/>
            <w:vAlign w:val="bottom"/>
            <w:hideMark/>
          </w:tcPr>
          <w:p w14:paraId="79DAEFED" w14:textId="4ACC2238" w:rsidR="001D5EED" w:rsidRPr="001D5EED" w:rsidRDefault="001D5EED" w:rsidP="001D5EED">
            <w:pPr>
              <w:spacing w:before="0" w:after="0"/>
              <w:jc w:val="center"/>
              <w:rPr>
                <w:sz w:val="16"/>
                <w:szCs w:val="16"/>
              </w:rPr>
            </w:pPr>
            <w:r w:rsidRPr="001D5EED">
              <w:rPr>
                <w:sz w:val="16"/>
                <w:szCs w:val="16"/>
              </w:rPr>
              <w:t>17.9</w:t>
            </w:r>
          </w:p>
        </w:tc>
        <w:tc>
          <w:tcPr>
            <w:tcW w:w="888" w:type="dxa"/>
            <w:shd w:val="clear" w:color="auto" w:fill="F3F9FA"/>
            <w:noWrap/>
            <w:vAlign w:val="bottom"/>
            <w:hideMark/>
          </w:tcPr>
          <w:p w14:paraId="5F335F8A" w14:textId="671AEC56" w:rsidR="001D5EED" w:rsidRPr="001D5EED" w:rsidRDefault="001D5EED" w:rsidP="001D5EED">
            <w:pPr>
              <w:spacing w:before="0" w:after="0"/>
              <w:jc w:val="center"/>
              <w:rPr>
                <w:sz w:val="16"/>
                <w:szCs w:val="16"/>
              </w:rPr>
            </w:pPr>
            <w:r w:rsidRPr="001D5EED">
              <w:rPr>
                <w:sz w:val="16"/>
                <w:szCs w:val="16"/>
              </w:rPr>
              <w:t>20</w:t>
            </w:r>
          </w:p>
        </w:tc>
        <w:tc>
          <w:tcPr>
            <w:tcW w:w="888" w:type="dxa"/>
            <w:shd w:val="clear" w:color="auto" w:fill="F3F9FA"/>
            <w:noWrap/>
            <w:vAlign w:val="bottom"/>
            <w:hideMark/>
          </w:tcPr>
          <w:p w14:paraId="50E5287E" w14:textId="339F49B3" w:rsidR="001D5EED" w:rsidRPr="001D5EED" w:rsidRDefault="001D5EED" w:rsidP="001D5EED">
            <w:pPr>
              <w:spacing w:before="0" w:after="0"/>
              <w:jc w:val="center"/>
              <w:rPr>
                <w:sz w:val="16"/>
                <w:szCs w:val="16"/>
              </w:rPr>
            </w:pPr>
            <w:r w:rsidRPr="001D5EED">
              <w:rPr>
                <w:sz w:val="16"/>
                <w:szCs w:val="16"/>
              </w:rPr>
              <w:t>22.3</w:t>
            </w:r>
          </w:p>
        </w:tc>
        <w:tc>
          <w:tcPr>
            <w:tcW w:w="885" w:type="dxa"/>
            <w:shd w:val="clear" w:color="auto" w:fill="F3F9FA"/>
            <w:noWrap/>
            <w:vAlign w:val="bottom"/>
            <w:hideMark/>
          </w:tcPr>
          <w:p w14:paraId="024F512E" w14:textId="7229596F" w:rsidR="001D5EED" w:rsidRPr="001D5EED" w:rsidRDefault="001D5EED" w:rsidP="001D5EED">
            <w:pPr>
              <w:spacing w:before="0" w:after="0"/>
              <w:jc w:val="center"/>
              <w:rPr>
                <w:sz w:val="16"/>
                <w:szCs w:val="16"/>
              </w:rPr>
            </w:pPr>
            <w:r w:rsidRPr="001D5EED">
              <w:rPr>
                <w:sz w:val="16"/>
                <w:szCs w:val="16"/>
              </w:rPr>
              <w:t>100</w:t>
            </w:r>
          </w:p>
        </w:tc>
      </w:tr>
      <w:tr w:rsidR="001D5EED" w14:paraId="6313D79F" w14:textId="77777777" w:rsidTr="006F4537">
        <w:trPr>
          <w:jc w:val="center"/>
        </w:trPr>
        <w:tc>
          <w:tcPr>
            <w:tcW w:w="1508" w:type="dxa"/>
            <w:noWrap/>
            <w:vAlign w:val="bottom"/>
          </w:tcPr>
          <w:p w14:paraId="25E76A5C" w14:textId="77777777" w:rsidR="001D5EED" w:rsidRDefault="001D5EED" w:rsidP="001D5EED">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14:paraId="39E8015F" w14:textId="77777777" w:rsidR="001D5EED" w:rsidRDefault="001D5EED" w:rsidP="001D5EED">
            <w:pPr>
              <w:spacing w:before="0" w:after="0"/>
              <w:jc w:val="center"/>
              <w:rPr>
                <w:color w:val="000000"/>
                <w:sz w:val="16"/>
                <w:szCs w:val="16"/>
              </w:rPr>
            </w:pPr>
          </w:p>
        </w:tc>
        <w:tc>
          <w:tcPr>
            <w:tcW w:w="603" w:type="dxa"/>
            <w:tcBorders>
              <w:top w:val="nil"/>
              <w:left w:val="nil"/>
              <w:bottom w:val="single" w:sz="4" w:space="0" w:color="auto"/>
              <w:right w:val="nil"/>
            </w:tcBorders>
            <w:shd w:val="clear" w:color="auto" w:fill="F3F9FA"/>
            <w:noWrap/>
            <w:vAlign w:val="bottom"/>
            <w:hideMark/>
          </w:tcPr>
          <w:p w14:paraId="14896AF6" w14:textId="77777777" w:rsidR="001D5EED" w:rsidRPr="00E03514" w:rsidRDefault="001D5EED" w:rsidP="001D5EED">
            <w:pPr>
              <w:spacing w:before="0" w:after="0"/>
              <w:jc w:val="center"/>
              <w:rPr>
                <w:sz w:val="16"/>
                <w:szCs w:val="16"/>
              </w:rPr>
            </w:pPr>
            <w:r w:rsidRPr="00E03514">
              <w:rPr>
                <w:sz w:val="16"/>
                <w:szCs w:val="16"/>
              </w:rPr>
              <w:t>MP3</w:t>
            </w:r>
          </w:p>
        </w:tc>
        <w:tc>
          <w:tcPr>
            <w:tcW w:w="931" w:type="dxa"/>
            <w:tcBorders>
              <w:top w:val="nil"/>
              <w:left w:val="nil"/>
              <w:bottom w:val="single" w:sz="4" w:space="0" w:color="auto"/>
              <w:right w:val="nil"/>
            </w:tcBorders>
            <w:shd w:val="clear" w:color="auto" w:fill="F3F9FA"/>
            <w:noWrap/>
            <w:vAlign w:val="bottom"/>
            <w:hideMark/>
          </w:tcPr>
          <w:p w14:paraId="76D923D9" w14:textId="59BF9EF1" w:rsidR="001D5EED" w:rsidRPr="00E03514" w:rsidRDefault="001D5EED" w:rsidP="001D5EED">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F3F9FA"/>
            <w:noWrap/>
            <w:vAlign w:val="bottom"/>
          </w:tcPr>
          <w:p w14:paraId="03413CCA" w14:textId="676B1DCD" w:rsidR="001D5EED" w:rsidRPr="001D5EED" w:rsidRDefault="001D5EED" w:rsidP="001D5EED">
            <w:pPr>
              <w:spacing w:before="0" w:after="0"/>
              <w:jc w:val="center"/>
              <w:rPr>
                <w:sz w:val="16"/>
                <w:szCs w:val="16"/>
              </w:rPr>
            </w:pPr>
            <w:r w:rsidRPr="001D5EED">
              <w:rPr>
                <w:sz w:val="16"/>
                <w:szCs w:val="16"/>
              </w:rPr>
              <w:t>10.7</w:t>
            </w:r>
          </w:p>
        </w:tc>
        <w:tc>
          <w:tcPr>
            <w:tcW w:w="823" w:type="dxa"/>
            <w:tcBorders>
              <w:top w:val="nil"/>
              <w:left w:val="nil"/>
              <w:bottom w:val="single" w:sz="4" w:space="0" w:color="auto"/>
              <w:right w:val="nil"/>
            </w:tcBorders>
            <w:shd w:val="clear" w:color="auto" w:fill="F3F9FA"/>
            <w:noWrap/>
            <w:vAlign w:val="bottom"/>
          </w:tcPr>
          <w:p w14:paraId="78C5B5B8" w14:textId="5DD929B0" w:rsidR="001D5EED" w:rsidRPr="001D5EED" w:rsidRDefault="001D5EED" w:rsidP="001D5EED">
            <w:pPr>
              <w:spacing w:before="0" w:after="0"/>
              <w:jc w:val="center"/>
              <w:rPr>
                <w:sz w:val="16"/>
                <w:szCs w:val="16"/>
              </w:rPr>
            </w:pPr>
            <w:r w:rsidRPr="001D5EED">
              <w:rPr>
                <w:sz w:val="16"/>
                <w:szCs w:val="16"/>
              </w:rPr>
              <w:t>12</w:t>
            </w:r>
          </w:p>
        </w:tc>
        <w:tc>
          <w:tcPr>
            <w:tcW w:w="888" w:type="dxa"/>
            <w:tcBorders>
              <w:top w:val="nil"/>
              <w:left w:val="nil"/>
              <w:bottom w:val="single" w:sz="4" w:space="0" w:color="auto"/>
              <w:right w:val="nil"/>
            </w:tcBorders>
            <w:shd w:val="clear" w:color="auto" w:fill="F3F9FA"/>
            <w:noWrap/>
            <w:vAlign w:val="bottom"/>
            <w:hideMark/>
          </w:tcPr>
          <w:p w14:paraId="53D957B8" w14:textId="6697D397" w:rsidR="001D5EED" w:rsidRPr="001D5EED" w:rsidRDefault="001D5EED" w:rsidP="001D5EED">
            <w:pPr>
              <w:spacing w:before="0" w:after="0"/>
              <w:jc w:val="center"/>
              <w:rPr>
                <w:sz w:val="16"/>
                <w:szCs w:val="16"/>
              </w:rPr>
            </w:pPr>
            <w:r w:rsidRPr="001D5EED">
              <w:rPr>
                <w:sz w:val="16"/>
                <w:szCs w:val="16"/>
              </w:rPr>
              <w:t>17.9</w:t>
            </w:r>
          </w:p>
        </w:tc>
        <w:tc>
          <w:tcPr>
            <w:tcW w:w="888" w:type="dxa"/>
            <w:tcBorders>
              <w:top w:val="nil"/>
              <w:left w:val="nil"/>
              <w:bottom w:val="single" w:sz="4" w:space="0" w:color="auto"/>
              <w:right w:val="nil"/>
            </w:tcBorders>
            <w:shd w:val="clear" w:color="auto" w:fill="F3F9FA"/>
            <w:noWrap/>
            <w:vAlign w:val="bottom"/>
            <w:hideMark/>
          </w:tcPr>
          <w:p w14:paraId="5407129F" w14:textId="4E786070" w:rsidR="001D5EED" w:rsidRPr="001D5EED" w:rsidRDefault="001D5EED" w:rsidP="001D5EED">
            <w:pPr>
              <w:spacing w:before="0" w:after="0"/>
              <w:jc w:val="center"/>
              <w:rPr>
                <w:sz w:val="16"/>
                <w:szCs w:val="16"/>
              </w:rPr>
            </w:pPr>
            <w:r w:rsidRPr="001D5EED">
              <w:rPr>
                <w:sz w:val="16"/>
                <w:szCs w:val="16"/>
              </w:rPr>
              <w:t>20</w:t>
            </w:r>
          </w:p>
        </w:tc>
        <w:tc>
          <w:tcPr>
            <w:tcW w:w="888" w:type="dxa"/>
            <w:tcBorders>
              <w:top w:val="nil"/>
              <w:left w:val="nil"/>
              <w:bottom w:val="single" w:sz="4" w:space="0" w:color="auto"/>
              <w:right w:val="nil"/>
            </w:tcBorders>
            <w:shd w:val="clear" w:color="auto" w:fill="F3F9FA"/>
            <w:noWrap/>
            <w:vAlign w:val="bottom"/>
            <w:hideMark/>
          </w:tcPr>
          <w:p w14:paraId="2E62435E" w14:textId="74491E40" w:rsidR="001D5EED" w:rsidRPr="001D5EED" w:rsidRDefault="001D5EED" w:rsidP="001D5EED">
            <w:pPr>
              <w:spacing w:before="0" w:after="0"/>
              <w:jc w:val="center"/>
              <w:rPr>
                <w:sz w:val="16"/>
                <w:szCs w:val="16"/>
              </w:rPr>
            </w:pPr>
            <w:r w:rsidRPr="001D5EED">
              <w:rPr>
                <w:sz w:val="16"/>
                <w:szCs w:val="16"/>
              </w:rPr>
              <w:t>22.3</w:t>
            </w:r>
          </w:p>
        </w:tc>
        <w:tc>
          <w:tcPr>
            <w:tcW w:w="885" w:type="dxa"/>
            <w:tcBorders>
              <w:top w:val="nil"/>
              <w:left w:val="nil"/>
              <w:bottom w:val="single" w:sz="4" w:space="0" w:color="auto"/>
              <w:right w:val="nil"/>
            </w:tcBorders>
            <w:shd w:val="clear" w:color="auto" w:fill="F3F9FA"/>
            <w:noWrap/>
            <w:vAlign w:val="bottom"/>
            <w:hideMark/>
          </w:tcPr>
          <w:p w14:paraId="0ABF2C51" w14:textId="74A53B68" w:rsidR="001D5EED" w:rsidRPr="001D5EED" w:rsidRDefault="001D5EED" w:rsidP="001D5EED">
            <w:pPr>
              <w:spacing w:before="0" w:after="0"/>
              <w:jc w:val="center"/>
              <w:rPr>
                <w:sz w:val="16"/>
                <w:szCs w:val="16"/>
              </w:rPr>
            </w:pPr>
            <w:r w:rsidRPr="001D5EED">
              <w:rPr>
                <w:sz w:val="16"/>
                <w:szCs w:val="16"/>
              </w:rPr>
              <w:t>25</w:t>
            </w:r>
          </w:p>
        </w:tc>
      </w:tr>
      <w:tr w:rsidR="001D5EED" w14:paraId="15F5C6BA" w14:textId="77777777" w:rsidTr="006F4537">
        <w:trPr>
          <w:jc w:val="center"/>
        </w:trPr>
        <w:tc>
          <w:tcPr>
            <w:tcW w:w="1508" w:type="dxa"/>
            <w:noWrap/>
            <w:vAlign w:val="bottom"/>
          </w:tcPr>
          <w:p w14:paraId="0B43D172" w14:textId="77777777" w:rsidR="001D5EED" w:rsidRDefault="001D5EED" w:rsidP="001D5EED">
            <w:pPr>
              <w:spacing w:before="0" w:after="0"/>
              <w:rPr>
                <w:color w:val="000000"/>
                <w:sz w:val="16"/>
                <w:szCs w:val="16"/>
              </w:rPr>
            </w:pPr>
          </w:p>
        </w:tc>
        <w:tc>
          <w:tcPr>
            <w:tcW w:w="1286" w:type="dxa"/>
            <w:tcBorders>
              <w:top w:val="single" w:sz="4" w:space="0" w:color="auto"/>
              <w:left w:val="nil"/>
              <w:bottom w:val="nil"/>
              <w:right w:val="nil"/>
            </w:tcBorders>
            <w:shd w:val="clear" w:color="auto" w:fill="E7F3F4"/>
            <w:noWrap/>
            <w:vAlign w:val="bottom"/>
            <w:hideMark/>
          </w:tcPr>
          <w:p w14:paraId="43C6BE5B" w14:textId="77777777" w:rsidR="001D5EED" w:rsidRDefault="001D5EED" w:rsidP="001D5EED">
            <w:pPr>
              <w:spacing w:before="0" w:after="0"/>
              <w:jc w:val="center"/>
              <w:rPr>
                <w:color w:val="000000"/>
                <w:sz w:val="16"/>
                <w:szCs w:val="16"/>
              </w:rPr>
            </w:pPr>
            <w:r>
              <w:rPr>
                <w:color w:val="000000"/>
                <w:sz w:val="16"/>
                <w:szCs w:val="16"/>
              </w:rPr>
              <w:t>Pioneer Bay</w:t>
            </w:r>
          </w:p>
        </w:tc>
        <w:tc>
          <w:tcPr>
            <w:tcW w:w="603" w:type="dxa"/>
            <w:tcBorders>
              <w:top w:val="single" w:sz="4" w:space="0" w:color="auto"/>
              <w:left w:val="nil"/>
              <w:bottom w:val="nil"/>
              <w:right w:val="nil"/>
            </w:tcBorders>
            <w:shd w:val="clear" w:color="auto" w:fill="E7F3F4"/>
            <w:noWrap/>
            <w:vAlign w:val="bottom"/>
            <w:hideMark/>
          </w:tcPr>
          <w:p w14:paraId="3A818EE3" w14:textId="77777777" w:rsidR="001D5EED" w:rsidRPr="00DC1E60" w:rsidRDefault="001D5EED" w:rsidP="001D5EED">
            <w:pPr>
              <w:spacing w:before="0" w:after="0"/>
              <w:jc w:val="center"/>
              <w:rPr>
                <w:sz w:val="16"/>
                <w:szCs w:val="16"/>
              </w:rPr>
            </w:pPr>
            <w:r w:rsidRPr="00DC1E60">
              <w:rPr>
                <w:sz w:val="16"/>
                <w:szCs w:val="16"/>
              </w:rPr>
              <w:t>PI2</w:t>
            </w:r>
            <w:r>
              <w:rPr>
                <w:sz w:val="16"/>
                <w:szCs w:val="16"/>
              </w:rPr>
              <w:t>^</w:t>
            </w:r>
          </w:p>
        </w:tc>
        <w:tc>
          <w:tcPr>
            <w:tcW w:w="931" w:type="dxa"/>
            <w:tcBorders>
              <w:top w:val="single" w:sz="4" w:space="0" w:color="auto"/>
              <w:left w:val="nil"/>
              <w:bottom w:val="nil"/>
              <w:right w:val="nil"/>
            </w:tcBorders>
            <w:shd w:val="clear" w:color="auto" w:fill="E7F3F4"/>
            <w:noWrap/>
            <w:vAlign w:val="bottom"/>
            <w:hideMark/>
          </w:tcPr>
          <w:p w14:paraId="17536E8A" w14:textId="6DF6DE5C" w:rsidR="001D5EED" w:rsidRPr="00DC1E60" w:rsidRDefault="001D5EED" w:rsidP="001D5EED">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E7F3F4"/>
            <w:noWrap/>
            <w:vAlign w:val="bottom"/>
          </w:tcPr>
          <w:p w14:paraId="76C44FF6" w14:textId="0436E8CB" w:rsidR="001D5EED" w:rsidRPr="001D5EED" w:rsidRDefault="001D5EED" w:rsidP="001D5EED">
            <w:pPr>
              <w:spacing w:before="0" w:after="0"/>
              <w:jc w:val="center"/>
              <w:rPr>
                <w:sz w:val="16"/>
                <w:szCs w:val="16"/>
              </w:rPr>
            </w:pPr>
            <w:r w:rsidRPr="001D5EED">
              <w:rPr>
                <w:sz w:val="16"/>
                <w:szCs w:val="16"/>
              </w:rPr>
              <w:t>17.8</w:t>
            </w:r>
          </w:p>
        </w:tc>
        <w:tc>
          <w:tcPr>
            <w:tcW w:w="823" w:type="dxa"/>
            <w:tcBorders>
              <w:top w:val="single" w:sz="4" w:space="0" w:color="auto"/>
              <w:left w:val="nil"/>
              <w:bottom w:val="nil"/>
              <w:right w:val="nil"/>
            </w:tcBorders>
            <w:shd w:val="clear" w:color="auto" w:fill="E7F3F4"/>
            <w:noWrap/>
            <w:vAlign w:val="bottom"/>
          </w:tcPr>
          <w:p w14:paraId="643C9A88" w14:textId="52A95143" w:rsidR="001D5EED" w:rsidRPr="001D5EED" w:rsidRDefault="001D5EED" w:rsidP="001D5EED">
            <w:pPr>
              <w:spacing w:before="0" w:after="0"/>
              <w:jc w:val="center"/>
              <w:rPr>
                <w:sz w:val="16"/>
                <w:szCs w:val="16"/>
              </w:rPr>
            </w:pPr>
            <w:r w:rsidRPr="001D5EED">
              <w:rPr>
                <w:sz w:val="16"/>
                <w:szCs w:val="16"/>
              </w:rPr>
              <w:t>15.5</w:t>
            </w:r>
          </w:p>
        </w:tc>
        <w:tc>
          <w:tcPr>
            <w:tcW w:w="888" w:type="dxa"/>
            <w:tcBorders>
              <w:top w:val="single" w:sz="4" w:space="0" w:color="auto"/>
              <w:left w:val="nil"/>
              <w:bottom w:val="nil"/>
              <w:right w:val="nil"/>
            </w:tcBorders>
            <w:shd w:val="clear" w:color="auto" w:fill="E7F3F4"/>
            <w:noWrap/>
            <w:vAlign w:val="bottom"/>
            <w:hideMark/>
          </w:tcPr>
          <w:p w14:paraId="04015184" w14:textId="32895A63" w:rsidR="001D5EED" w:rsidRPr="001D5EED" w:rsidRDefault="001D5EED" w:rsidP="001D5EED">
            <w:pPr>
              <w:spacing w:before="0" w:after="0"/>
              <w:jc w:val="center"/>
              <w:rPr>
                <w:sz w:val="16"/>
                <w:szCs w:val="16"/>
              </w:rPr>
            </w:pPr>
            <w:r w:rsidRPr="001D5EED">
              <w:rPr>
                <w:sz w:val="16"/>
                <w:szCs w:val="16"/>
              </w:rPr>
              <w:t>18.7</w:t>
            </w:r>
          </w:p>
        </w:tc>
        <w:tc>
          <w:tcPr>
            <w:tcW w:w="888" w:type="dxa"/>
            <w:tcBorders>
              <w:top w:val="single" w:sz="4" w:space="0" w:color="auto"/>
              <w:left w:val="nil"/>
              <w:bottom w:val="nil"/>
              <w:right w:val="nil"/>
            </w:tcBorders>
            <w:shd w:val="clear" w:color="auto" w:fill="E7F3F4"/>
            <w:noWrap/>
            <w:vAlign w:val="bottom"/>
            <w:hideMark/>
          </w:tcPr>
          <w:p w14:paraId="41A0DCF7" w14:textId="4B1F11C6" w:rsidR="001D5EED" w:rsidRPr="001D5EED" w:rsidRDefault="001D5EED" w:rsidP="001D5EED">
            <w:pPr>
              <w:spacing w:before="0" w:after="0"/>
              <w:jc w:val="center"/>
              <w:rPr>
                <w:sz w:val="16"/>
                <w:szCs w:val="16"/>
              </w:rPr>
            </w:pPr>
            <w:r w:rsidRPr="001D5EED">
              <w:rPr>
                <w:sz w:val="16"/>
                <w:szCs w:val="16"/>
              </w:rPr>
              <w:t>25.1</w:t>
            </w:r>
          </w:p>
        </w:tc>
        <w:tc>
          <w:tcPr>
            <w:tcW w:w="888" w:type="dxa"/>
            <w:tcBorders>
              <w:top w:val="single" w:sz="4" w:space="0" w:color="auto"/>
              <w:left w:val="nil"/>
              <w:bottom w:val="nil"/>
              <w:right w:val="nil"/>
            </w:tcBorders>
            <w:shd w:val="clear" w:color="auto" w:fill="E7F3F4"/>
            <w:noWrap/>
            <w:vAlign w:val="bottom"/>
            <w:hideMark/>
          </w:tcPr>
          <w:p w14:paraId="5349C96B" w14:textId="665CBDEE" w:rsidR="001D5EED" w:rsidRPr="001D5EED" w:rsidRDefault="001D5EED" w:rsidP="001D5EED">
            <w:pPr>
              <w:spacing w:before="0" w:after="0"/>
              <w:jc w:val="center"/>
              <w:rPr>
                <w:sz w:val="16"/>
                <w:szCs w:val="16"/>
              </w:rPr>
            </w:pPr>
            <w:r w:rsidRPr="001D5EED">
              <w:rPr>
                <w:sz w:val="16"/>
                <w:szCs w:val="16"/>
              </w:rPr>
              <w:t>27.6</w:t>
            </w:r>
          </w:p>
        </w:tc>
        <w:tc>
          <w:tcPr>
            <w:tcW w:w="885" w:type="dxa"/>
            <w:tcBorders>
              <w:top w:val="single" w:sz="4" w:space="0" w:color="auto"/>
              <w:left w:val="nil"/>
              <w:bottom w:val="nil"/>
              <w:right w:val="nil"/>
            </w:tcBorders>
            <w:shd w:val="clear" w:color="auto" w:fill="E7F3F4"/>
            <w:noWrap/>
            <w:vAlign w:val="bottom"/>
          </w:tcPr>
          <w:p w14:paraId="50C0F7F8" w14:textId="0C783FCF" w:rsidR="001D5EED" w:rsidRPr="001D5EED" w:rsidRDefault="001D5EED" w:rsidP="001D5EED">
            <w:pPr>
              <w:spacing w:before="0" w:after="0"/>
              <w:jc w:val="center"/>
              <w:rPr>
                <w:sz w:val="16"/>
                <w:szCs w:val="16"/>
              </w:rPr>
            </w:pPr>
            <w:r w:rsidRPr="001D5EED">
              <w:rPr>
                <w:sz w:val="16"/>
                <w:szCs w:val="16"/>
              </w:rPr>
              <w:t>25</w:t>
            </w:r>
          </w:p>
        </w:tc>
      </w:tr>
      <w:tr w:rsidR="001D5EED" w14:paraId="5AF28308" w14:textId="77777777" w:rsidTr="006F4537">
        <w:trPr>
          <w:jc w:val="center"/>
        </w:trPr>
        <w:tc>
          <w:tcPr>
            <w:tcW w:w="1508" w:type="dxa"/>
            <w:tcBorders>
              <w:top w:val="nil"/>
              <w:left w:val="nil"/>
              <w:bottom w:val="single" w:sz="4" w:space="0" w:color="auto"/>
              <w:right w:val="nil"/>
            </w:tcBorders>
            <w:noWrap/>
            <w:vAlign w:val="bottom"/>
          </w:tcPr>
          <w:p w14:paraId="2497D88D" w14:textId="77777777" w:rsidR="001D5EED" w:rsidRDefault="001D5EED" w:rsidP="001D5EED">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14:paraId="705B5B88" w14:textId="77777777" w:rsidR="001D5EED" w:rsidRDefault="001D5EED" w:rsidP="001D5EED">
            <w:pPr>
              <w:spacing w:before="0" w:after="0"/>
              <w:jc w:val="center"/>
              <w:rPr>
                <w:color w:val="000000"/>
                <w:sz w:val="16"/>
                <w:szCs w:val="16"/>
              </w:rPr>
            </w:pPr>
          </w:p>
        </w:tc>
        <w:tc>
          <w:tcPr>
            <w:tcW w:w="603" w:type="dxa"/>
            <w:tcBorders>
              <w:top w:val="nil"/>
              <w:left w:val="nil"/>
              <w:bottom w:val="single" w:sz="4" w:space="0" w:color="auto"/>
              <w:right w:val="nil"/>
            </w:tcBorders>
            <w:shd w:val="clear" w:color="auto" w:fill="E7F3F4"/>
            <w:noWrap/>
            <w:vAlign w:val="bottom"/>
            <w:hideMark/>
          </w:tcPr>
          <w:p w14:paraId="7BD36717" w14:textId="77777777" w:rsidR="001D5EED" w:rsidRDefault="001D5EED" w:rsidP="001D5EED">
            <w:pPr>
              <w:spacing w:before="0" w:after="0"/>
              <w:jc w:val="center"/>
              <w:rPr>
                <w:color w:val="000000"/>
                <w:sz w:val="16"/>
                <w:szCs w:val="16"/>
              </w:rPr>
            </w:pPr>
            <w:r>
              <w:rPr>
                <w:color w:val="000000"/>
                <w:sz w:val="16"/>
                <w:szCs w:val="16"/>
              </w:rPr>
              <w:t>PI3^</w:t>
            </w:r>
          </w:p>
        </w:tc>
        <w:tc>
          <w:tcPr>
            <w:tcW w:w="931" w:type="dxa"/>
            <w:tcBorders>
              <w:top w:val="nil"/>
              <w:left w:val="nil"/>
              <w:bottom w:val="single" w:sz="4" w:space="0" w:color="auto"/>
              <w:right w:val="nil"/>
            </w:tcBorders>
            <w:shd w:val="clear" w:color="auto" w:fill="E7F3F4"/>
            <w:noWrap/>
            <w:vAlign w:val="bottom"/>
            <w:hideMark/>
          </w:tcPr>
          <w:p w14:paraId="7826D2C4" w14:textId="2681B51E" w:rsidR="001D5EED" w:rsidRPr="00DC1E60" w:rsidRDefault="001D5EED" w:rsidP="001D5EED">
            <w:pPr>
              <w:spacing w:before="0" w:after="0"/>
              <w:jc w:val="center"/>
              <w:rPr>
                <w:sz w:val="16"/>
                <w:szCs w:val="16"/>
              </w:rPr>
            </w:pPr>
            <w:r>
              <w:rPr>
                <w:sz w:val="16"/>
                <w:szCs w:val="16"/>
              </w:rPr>
              <w:t>01-Oct-16</w:t>
            </w:r>
          </w:p>
        </w:tc>
        <w:tc>
          <w:tcPr>
            <w:tcW w:w="815" w:type="dxa"/>
            <w:tcBorders>
              <w:top w:val="nil"/>
              <w:left w:val="nil"/>
              <w:bottom w:val="single" w:sz="4" w:space="0" w:color="auto"/>
              <w:right w:val="nil"/>
            </w:tcBorders>
            <w:shd w:val="clear" w:color="auto" w:fill="E7F3F4"/>
            <w:noWrap/>
            <w:vAlign w:val="bottom"/>
          </w:tcPr>
          <w:p w14:paraId="04709B53" w14:textId="0D2AC4F6" w:rsidR="001D5EED" w:rsidRPr="001D5EED" w:rsidRDefault="001D5EED" w:rsidP="001D5EED">
            <w:pPr>
              <w:spacing w:before="0" w:after="0"/>
              <w:jc w:val="center"/>
              <w:rPr>
                <w:sz w:val="16"/>
                <w:szCs w:val="16"/>
              </w:rPr>
            </w:pPr>
            <w:r w:rsidRPr="001D5EED">
              <w:rPr>
                <w:sz w:val="16"/>
                <w:szCs w:val="16"/>
              </w:rPr>
              <w:t>13.8</w:t>
            </w:r>
          </w:p>
        </w:tc>
        <w:tc>
          <w:tcPr>
            <w:tcW w:w="823" w:type="dxa"/>
            <w:tcBorders>
              <w:top w:val="nil"/>
              <w:left w:val="nil"/>
              <w:bottom w:val="single" w:sz="4" w:space="0" w:color="auto"/>
              <w:right w:val="nil"/>
            </w:tcBorders>
            <w:shd w:val="clear" w:color="auto" w:fill="E7F3F4"/>
            <w:noWrap/>
            <w:vAlign w:val="bottom"/>
          </w:tcPr>
          <w:p w14:paraId="6F0364D7" w14:textId="0062BB47" w:rsidR="001D5EED" w:rsidRPr="001D5EED" w:rsidRDefault="001D5EED" w:rsidP="001D5EED">
            <w:pPr>
              <w:spacing w:before="0" w:after="0"/>
              <w:jc w:val="center"/>
              <w:rPr>
                <w:sz w:val="16"/>
                <w:szCs w:val="16"/>
              </w:rPr>
            </w:pPr>
            <w:r w:rsidRPr="001D5EED">
              <w:rPr>
                <w:sz w:val="16"/>
                <w:szCs w:val="16"/>
              </w:rPr>
              <w:t>16</w:t>
            </w:r>
          </w:p>
        </w:tc>
        <w:tc>
          <w:tcPr>
            <w:tcW w:w="888" w:type="dxa"/>
            <w:tcBorders>
              <w:top w:val="nil"/>
              <w:left w:val="nil"/>
              <w:bottom w:val="single" w:sz="4" w:space="0" w:color="auto"/>
              <w:right w:val="nil"/>
            </w:tcBorders>
            <w:shd w:val="clear" w:color="auto" w:fill="E7F3F4"/>
            <w:noWrap/>
            <w:vAlign w:val="bottom"/>
            <w:hideMark/>
          </w:tcPr>
          <w:p w14:paraId="704073F4" w14:textId="204ED3E6" w:rsidR="001D5EED" w:rsidRPr="001D5EED" w:rsidRDefault="001D5EED" w:rsidP="001D5EED">
            <w:pPr>
              <w:spacing w:before="0" w:after="0"/>
              <w:jc w:val="center"/>
              <w:rPr>
                <w:sz w:val="16"/>
                <w:szCs w:val="16"/>
              </w:rPr>
            </w:pPr>
            <w:r w:rsidRPr="001D5EED">
              <w:rPr>
                <w:sz w:val="16"/>
                <w:szCs w:val="16"/>
              </w:rPr>
              <w:t>7.6</w:t>
            </w:r>
          </w:p>
        </w:tc>
        <w:tc>
          <w:tcPr>
            <w:tcW w:w="888" w:type="dxa"/>
            <w:tcBorders>
              <w:top w:val="nil"/>
              <w:left w:val="nil"/>
              <w:bottom w:val="single" w:sz="4" w:space="0" w:color="auto"/>
              <w:right w:val="nil"/>
            </w:tcBorders>
            <w:shd w:val="clear" w:color="auto" w:fill="E7F3F4"/>
            <w:noWrap/>
            <w:vAlign w:val="bottom"/>
            <w:hideMark/>
          </w:tcPr>
          <w:p w14:paraId="73AD4E66" w14:textId="783D4E93" w:rsidR="001D5EED" w:rsidRPr="001D5EED" w:rsidRDefault="001D5EED" w:rsidP="001D5EED">
            <w:pPr>
              <w:spacing w:before="0" w:after="0"/>
              <w:jc w:val="center"/>
              <w:rPr>
                <w:sz w:val="16"/>
                <w:szCs w:val="16"/>
              </w:rPr>
            </w:pPr>
            <w:r w:rsidRPr="001D5EED">
              <w:rPr>
                <w:sz w:val="16"/>
                <w:szCs w:val="16"/>
              </w:rPr>
              <w:t>13.1</w:t>
            </w:r>
          </w:p>
        </w:tc>
        <w:tc>
          <w:tcPr>
            <w:tcW w:w="888" w:type="dxa"/>
            <w:tcBorders>
              <w:top w:val="nil"/>
              <w:left w:val="nil"/>
              <w:bottom w:val="single" w:sz="4" w:space="0" w:color="auto"/>
              <w:right w:val="nil"/>
            </w:tcBorders>
            <w:shd w:val="clear" w:color="auto" w:fill="E7F3F4"/>
            <w:noWrap/>
            <w:vAlign w:val="bottom"/>
            <w:hideMark/>
          </w:tcPr>
          <w:p w14:paraId="5AA59B82" w14:textId="068E95D6" w:rsidR="001D5EED" w:rsidRPr="001D5EED" w:rsidRDefault="001D5EED" w:rsidP="001D5EED">
            <w:pPr>
              <w:spacing w:before="0" w:after="0"/>
              <w:jc w:val="center"/>
              <w:rPr>
                <w:sz w:val="16"/>
                <w:szCs w:val="16"/>
              </w:rPr>
            </w:pPr>
            <w:r w:rsidRPr="001D5EED">
              <w:rPr>
                <w:sz w:val="16"/>
                <w:szCs w:val="16"/>
              </w:rPr>
              <w:t>16.8</w:t>
            </w:r>
          </w:p>
        </w:tc>
        <w:tc>
          <w:tcPr>
            <w:tcW w:w="885" w:type="dxa"/>
            <w:tcBorders>
              <w:top w:val="nil"/>
              <w:left w:val="nil"/>
              <w:bottom w:val="single" w:sz="4" w:space="0" w:color="auto"/>
              <w:right w:val="nil"/>
            </w:tcBorders>
            <w:shd w:val="clear" w:color="auto" w:fill="E7F3F4"/>
            <w:noWrap/>
            <w:vAlign w:val="bottom"/>
          </w:tcPr>
          <w:p w14:paraId="1E4BBF31" w14:textId="3379B04D" w:rsidR="001D5EED" w:rsidRPr="001D5EED" w:rsidRDefault="001D5EED" w:rsidP="001D5EED">
            <w:pPr>
              <w:spacing w:before="0" w:after="0"/>
              <w:jc w:val="center"/>
              <w:rPr>
                <w:sz w:val="16"/>
                <w:szCs w:val="16"/>
              </w:rPr>
            </w:pPr>
            <w:r w:rsidRPr="001D5EED">
              <w:rPr>
                <w:sz w:val="16"/>
                <w:szCs w:val="16"/>
              </w:rPr>
              <w:t>75</w:t>
            </w:r>
          </w:p>
        </w:tc>
      </w:tr>
      <w:tr w:rsidR="001D5EED" w14:paraId="6EEEB55D" w14:textId="77777777" w:rsidTr="006F4537">
        <w:trPr>
          <w:jc w:val="center"/>
        </w:trPr>
        <w:tc>
          <w:tcPr>
            <w:tcW w:w="1508" w:type="dxa"/>
            <w:tcBorders>
              <w:top w:val="single" w:sz="4" w:space="0" w:color="auto"/>
              <w:left w:val="nil"/>
              <w:right w:val="nil"/>
            </w:tcBorders>
            <w:noWrap/>
            <w:vAlign w:val="bottom"/>
          </w:tcPr>
          <w:p w14:paraId="2499A7A5" w14:textId="77777777" w:rsidR="001D5EED" w:rsidRDefault="001D5EED" w:rsidP="001D5EED">
            <w:pPr>
              <w:spacing w:before="0" w:after="0"/>
              <w:rPr>
                <w:color w:val="000000"/>
                <w:sz w:val="16"/>
                <w:szCs w:val="16"/>
              </w:rPr>
            </w:pPr>
            <w:r>
              <w:rPr>
                <w:color w:val="000000"/>
                <w:sz w:val="16"/>
                <w:szCs w:val="16"/>
              </w:rPr>
              <w:t>coastal subtidal</w:t>
            </w:r>
          </w:p>
        </w:tc>
        <w:tc>
          <w:tcPr>
            <w:tcW w:w="1286" w:type="dxa"/>
            <w:tcBorders>
              <w:top w:val="single" w:sz="4" w:space="0" w:color="auto"/>
              <w:left w:val="nil"/>
              <w:right w:val="nil"/>
            </w:tcBorders>
            <w:shd w:val="clear" w:color="auto" w:fill="F3F9FA"/>
            <w:noWrap/>
            <w:vAlign w:val="bottom"/>
          </w:tcPr>
          <w:p w14:paraId="35C12156" w14:textId="77777777" w:rsidR="001D5EED" w:rsidRPr="002B36F2" w:rsidRDefault="001D5EED" w:rsidP="001D5EED">
            <w:pPr>
              <w:spacing w:before="0" w:after="0"/>
              <w:jc w:val="center"/>
              <w:rPr>
                <w:sz w:val="16"/>
                <w:szCs w:val="16"/>
              </w:rPr>
            </w:pPr>
            <w:r w:rsidRPr="002B36F2">
              <w:rPr>
                <w:sz w:val="16"/>
                <w:szCs w:val="16"/>
              </w:rPr>
              <w:t>Newry Bay</w:t>
            </w:r>
          </w:p>
        </w:tc>
        <w:tc>
          <w:tcPr>
            <w:tcW w:w="603" w:type="dxa"/>
            <w:tcBorders>
              <w:top w:val="single" w:sz="4" w:space="0" w:color="auto"/>
              <w:left w:val="nil"/>
              <w:right w:val="nil"/>
            </w:tcBorders>
            <w:shd w:val="clear" w:color="auto" w:fill="F3F9FA"/>
            <w:noWrap/>
            <w:vAlign w:val="bottom"/>
          </w:tcPr>
          <w:p w14:paraId="4D28A327" w14:textId="77777777" w:rsidR="001D5EED" w:rsidRPr="002B36F2" w:rsidRDefault="001D5EED" w:rsidP="001D5EED">
            <w:pPr>
              <w:spacing w:before="0" w:after="0"/>
              <w:jc w:val="center"/>
              <w:rPr>
                <w:sz w:val="16"/>
                <w:szCs w:val="16"/>
              </w:rPr>
            </w:pPr>
            <w:r>
              <w:rPr>
                <w:sz w:val="16"/>
                <w:szCs w:val="16"/>
              </w:rPr>
              <w:t>NB1^</w:t>
            </w:r>
          </w:p>
        </w:tc>
        <w:tc>
          <w:tcPr>
            <w:tcW w:w="931" w:type="dxa"/>
            <w:tcBorders>
              <w:top w:val="single" w:sz="4" w:space="0" w:color="auto"/>
              <w:left w:val="nil"/>
              <w:right w:val="nil"/>
            </w:tcBorders>
            <w:shd w:val="clear" w:color="auto" w:fill="F3F9FA"/>
            <w:noWrap/>
            <w:vAlign w:val="bottom"/>
          </w:tcPr>
          <w:p w14:paraId="2B07F0E0" w14:textId="06720789" w:rsidR="001D5EED" w:rsidRPr="002B36F2" w:rsidRDefault="001D5EED" w:rsidP="001D5EED">
            <w:pPr>
              <w:spacing w:before="0" w:after="0"/>
              <w:jc w:val="center"/>
              <w:rPr>
                <w:sz w:val="16"/>
                <w:szCs w:val="16"/>
              </w:rPr>
            </w:pPr>
            <w:r>
              <w:rPr>
                <w:sz w:val="16"/>
                <w:szCs w:val="16"/>
              </w:rPr>
              <w:t>01-Oct-16</w:t>
            </w:r>
          </w:p>
        </w:tc>
        <w:tc>
          <w:tcPr>
            <w:tcW w:w="815" w:type="dxa"/>
            <w:tcBorders>
              <w:top w:val="single" w:sz="4" w:space="0" w:color="auto"/>
              <w:left w:val="nil"/>
              <w:right w:val="nil"/>
            </w:tcBorders>
            <w:shd w:val="clear" w:color="auto" w:fill="F3F9FA"/>
            <w:noWrap/>
            <w:vAlign w:val="bottom"/>
          </w:tcPr>
          <w:p w14:paraId="6AB095D1" w14:textId="52CC21D0" w:rsidR="001D5EED" w:rsidRPr="001D5EED" w:rsidRDefault="001D5EED" w:rsidP="001D5EED">
            <w:pPr>
              <w:spacing w:before="0" w:after="0"/>
              <w:jc w:val="center"/>
              <w:rPr>
                <w:sz w:val="16"/>
                <w:szCs w:val="16"/>
              </w:rPr>
            </w:pPr>
            <w:r w:rsidRPr="001D5EED">
              <w:rPr>
                <w:sz w:val="16"/>
                <w:szCs w:val="16"/>
              </w:rPr>
              <w:t>47.8</w:t>
            </w:r>
          </w:p>
        </w:tc>
        <w:tc>
          <w:tcPr>
            <w:tcW w:w="823" w:type="dxa"/>
            <w:tcBorders>
              <w:top w:val="single" w:sz="4" w:space="0" w:color="auto"/>
              <w:left w:val="nil"/>
              <w:right w:val="nil"/>
            </w:tcBorders>
            <w:shd w:val="clear" w:color="auto" w:fill="F3F9FA"/>
            <w:noWrap/>
            <w:vAlign w:val="bottom"/>
          </w:tcPr>
          <w:p w14:paraId="137067F8" w14:textId="5C43AF81" w:rsidR="001D5EED" w:rsidRPr="001D5EED" w:rsidRDefault="001D5EED" w:rsidP="001D5EED">
            <w:pPr>
              <w:spacing w:before="0" w:after="0"/>
              <w:jc w:val="center"/>
              <w:rPr>
                <w:sz w:val="16"/>
                <w:szCs w:val="16"/>
              </w:rPr>
            </w:pPr>
            <w:r w:rsidRPr="001D5EED">
              <w:rPr>
                <w:sz w:val="16"/>
                <w:szCs w:val="16"/>
              </w:rPr>
              <w:t>48.25</w:t>
            </w:r>
          </w:p>
        </w:tc>
        <w:tc>
          <w:tcPr>
            <w:tcW w:w="888" w:type="dxa"/>
            <w:tcBorders>
              <w:top w:val="single" w:sz="4" w:space="0" w:color="auto"/>
              <w:left w:val="nil"/>
              <w:right w:val="nil"/>
            </w:tcBorders>
            <w:shd w:val="clear" w:color="auto" w:fill="F3F9FA"/>
            <w:noWrap/>
            <w:vAlign w:val="bottom"/>
          </w:tcPr>
          <w:p w14:paraId="5A513DEE" w14:textId="3B8D33D1" w:rsidR="001D5EED" w:rsidRPr="001D5EED" w:rsidRDefault="001D5EED" w:rsidP="001D5EED">
            <w:pPr>
              <w:spacing w:before="0" w:after="0"/>
              <w:jc w:val="center"/>
              <w:rPr>
                <w:sz w:val="16"/>
                <w:szCs w:val="16"/>
              </w:rPr>
            </w:pPr>
            <w:r w:rsidRPr="001D5EED">
              <w:rPr>
                <w:sz w:val="16"/>
                <w:szCs w:val="16"/>
              </w:rPr>
              <w:t>13.2</w:t>
            </w:r>
          </w:p>
        </w:tc>
        <w:tc>
          <w:tcPr>
            <w:tcW w:w="888" w:type="dxa"/>
            <w:tcBorders>
              <w:top w:val="single" w:sz="4" w:space="0" w:color="auto"/>
              <w:left w:val="nil"/>
              <w:right w:val="nil"/>
            </w:tcBorders>
            <w:shd w:val="clear" w:color="auto" w:fill="F3F9FA"/>
            <w:noWrap/>
            <w:vAlign w:val="bottom"/>
          </w:tcPr>
          <w:p w14:paraId="79C1AD12" w14:textId="13C03609" w:rsidR="001D5EED" w:rsidRPr="001D5EED" w:rsidRDefault="001D5EED" w:rsidP="001D5EED">
            <w:pPr>
              <w:spacing w:before="0" w:after="0"/>
              <w:jc w:val="center"/>
              <w:rPr>
                <w:sz w:val="16"/>
                <w:szCs w:val="16"/>
              </w:rPr>
            </w:pPr>
            <w:r w:rsidRPr="001D5EED">
              <w:rPr>
                <w:sz w:val="16"/>
                <w:szCs w:val="16"/>
              </w:rPr>
              <w:t>19.1</w:t>
            </w:r>
          </w:p>
        </w:tc>
        <w:tc>
          <w:tcPr>
            <w:tcW w:w="888" w:type="dxa"/>
            <w:tcBorders>
              <w:top w:val="single" w:sz="4" w:space="0" w:color="auto"/>
              <w:left w:val="nil"/>
              <w:right w:val="nil"/>
            </w:tcBorders>
            <w:shd w:val="clear" w:color="auto" w:fill="F3F9FA"/>
            <w:noWrap/>
            <w:vAlign w:val="bottom"/>
          </w:tcPr>
          <w:p w14:paraId="16199509" w14:textId="3BF90ED9" w:rsidR="001D5EED" w:rsidRPr="001D5EED" w:rsidRDefault="001D5EED" w:rsidP="001D5EED">
            <w:pPr>
              <w:spacing w:before="0" w:after="0"/>
              <w:jc w:val="center"/>
              <w:rPr>
                <w:sz w:val="16"/>
                <w:szCs w:val="16"/>
              </w:rPr>
            </w:pPr>
            <w:r w:rsidRPr="001D5EED">
              <w:rPr>
                <w:sz w:val="16"/>
                <w:szCs w:val="16"/>
              </w:rPr>
              <w:t>22.2</w:t>
            </w:r>
          </w:p>
        </w:tc>
        <w:tc>
          <w:tcPr>
            <w:tcW w:w="885" w:type="dxa"/>
            <w:tcBorders>
              <w:top w:val="single" w:sz="4" w:space="0" w:color="auto"/>
              <w:left w:val="nil"/>
              <w:right w:val="nil"/>
            </w:tcBorders>
            <w:shd w:val="clear" w:color="auto" w:fill="F3F9FA"/>
            <w:noWrap/>
            <w:vAlign w:val="bottom"/>
          </w:tcPr>
          <w:p w14:paraId="6E7739BB" w14:textId="1DF3821C" w:rsidR="001D5EED" w:rsidRPr="001D5EED" w:rsidRDefault="001D5EED" w:rsidP="001D5EED">
            <w:pPr>
              <w:spacing w:before="0" w:after="0"/>
              <w:jc w:val="center"/>
              <w:rPr>
                <w:sz w:val="16"/>
                <w:szCs w:val="16"/>
              </w:rPr>
            </w:pPr>
            <w:r w:rsidRPr="001D5EED">
              <w:rPr>
                <w:sz w:val="16"/>
                <w:szCs w:val="16"/>
              </w:rPr>
              <w:t>100</w:t>
            </w:r>
          </w:p>
        </w:tc>
      </w:tr>
      <w:tr w:rsidR="001D5EED" w14:paraId="1B739BA5" w14:textId="77777777" w:rsidTr="006F4537">
        <w:trPr>
          <w:jc w:val="center"/>
        </w:trPr>
        <w:tc>
          <w:tcPr>
            <w:tcW w:w="1508" w:type="dxa"/>
            <w:tcBorders>
              <w:top w:val="nil"/>
              <w:left w:val="nil"/>
              <w:bottom w:val="single" w:sz="4" w:space="0" w:color="auto"/>
              <w:right w:val="nil"/>
            </w:tcBorders>
            <w:noWrap/>
            <w:vAlign w:val="bottom"/>
          </w:tcPr>
          <w:p w14:paraId="56B0A958" w14:textId="77777777" w:rsidR="001D5EED" w:rsidRDefault="001D5EED" w:rsidP="001D5EED">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14:paraId="525D78D9" w14:textId="77777777" w:rsidR="001D5EED" w:rsidRPr="002B36F2" w:rsidRDefault="001D5EED" w:rsidP="001D5EED">
            <w:pPr>
              <w:spacing w:before="0" w:after="0"/>
              <w:jc w:val="center"/>
              <w:rPr>
                <w:sz w:val="16"/>
                <w:szCs w:val="16"/>
              </w:rPr>
            </w:pPr>
          </w:p>
        </w:tc>
        <w:tc>
          <w:tcPr>
            <w:tcW w:w="603" w:type="dxa"/>
            <w:tcBorders>
              <w:top w:val="nil"/>
              <w:left w:val="nil"/>
              <w:bottom w:val="single" w:sz="4" w:space="0" w:color="auto"/>
              <w:right w:val="nil"/>
            </w:tcBorders>
            <w:shd w:val="clear" w:color="auto" w:fill="F3F9FA"/>
            <w:noWrap/>
            <w:vAlign w:val="bottom"/>
          </w:tcPr>
          <w:p w14:paraId="66F1FB8A" w14:textId="77777777" w:rsidR="001D5EED" w:rsidRPr="002B36F2" w:rsidRDefault="001D5EED" w:rsidP="001D5EED">
            <w:pPr>
              <w:spacing w:before="0" w:after="0"/>
              <w:jc w:val="center"/>
              <w:rPr>
                <w:sz w:val="16"/>
                <w:szCs w:val="16"/>
              </w:rPr>
            </w:pPr>
            <w:r>
              <w:rPr>
                <w:sz w:val="16"/>
                <w:szCs w:val="16"/>
              </w:rPr>
              <w:t>NB2^</w:t>
            </w:r>
          </w:p>
        </w:tc>
        <w:tc>
          <w:tcPr>
            <w:tcW w:w="931" w:type="dxa"/>
            <w:tcBorders>
              <w:top w:val="nil"/>
              <w:left w:val="nil"/>
              <w:bottom w:val="single" w:sz="4" w:space="0" w:color="auto"/>
              <w:right w:val="nil"/>
            </w:tcBorders>
            <w:shd w:val="clear" w:color="auto" w:fill="F3F9FA"/>
            <w:noWrap/>
            <w:vAlign w:val="bottom"/>
          </w:tcPr>
          <w:p w14:paraId="6C4BCDBF" w14:textId="5A726984" w:rsidR="001D5EED" w:rsidRPr="002B36F2" w:rsidRDefault="001D5EED" w:rsidP="001D5EED">
            <w:pPr>
              <w:spacing w:before="0" w:after="0"/>
              <w:jc w:val="center"/>
              <w:rPr>
                <w:sz w:val="16"/>
                <w:szCs w:val="16"/>
              </w:rPr>
            </w:pPr>
            <w:r>
              <w:rPr>
                <w:sz w:val="16"/>
                <w:szCs w:val="16"/>
              </w:rPr>
              <w:t>01-Oct-16</w:t>
            </w:r>
          </w:p>
        </w:tc>
        <w:tc>
          <w:tcPr>
            <w:tcW w:w="815" w:type="dxa"/>
            <w:tcBorders>
              <w:top w:val="nil"/>
              <w:left w:val="nil"/>
              <w:bottom w:val="single" w:sz="4" w:space="0" w:color="auto"/>
              <w:right w:val="nil"/>
            </w:tcBorders>
            <w:shd w:val="clear" w:color="auto" w:fill="F3F9FA"/>
            <w:noWrap/>
            <w:vAlign w:val="bottom"/>
          </w:tcPr>
          <w:p w14:paraId="332118D1" w14:textId="3B0A79A2" w:rsidR="001D5EED" w:rsidRPr="001D5EED" w:rsidRDefault="001D5EED" w:rsidP="001D5EED">
            <w:pPr>
              <w:spacing w:before="0" w:after="0"/>
              <w:jc w:val="center"/>
              <w:rPr>
                <w:sz w:val="16"/>
                <w:szCs w:val="16"/>
              </w:rPr>
            </w:pPr>
            <w:r w:rsidRPr="001D5EED">
              <w:rPr>
                <w:sz w:val="16"/>
                <w:szCs w:val="16"/>
              </w:rPr>
              <w:t>6.4</w:t>
            </w:r>
          </w:p>
        </w:tc>
        <w:tc>
          <w:tcPr>
            <w:tcW w:w="823" w:type="dxa"/>
            <w:tcBorders>
              <w:top w:val="nil"/>
              <w:left w:val="nil"/>
              <w:bottom w:val="single" w:sz="4" w:space="0" w:color="auto"/>
              <w:right w:val="nil"/>
            </w:tcBorders>
            <w:shd w:val="clear" w:color="auto" w:fill="F3F9FA"/>
            <w:noWrap/>
            <w:vAlign w:val="bottom"/>
          </w:tcPr>
          <w:p w14:paraId="17C1CA24" w14:textId="571D428B" w:rsidR="001D5EED" w:rsidRPr="001D5EED" w:rsidRDefault="001D5EED" w:rsidP="001D5EED">
            <w:pPr>
              <w:spacing w:before="0" w:after="0"/>
              <w:jc w:val="center"/>
              <w:rPr>
                <w:sz w:val="16"/>
                <w:szCs w:val="16"/>
              </w:rPr>
            </w:pPr>
            <w:r w:rsidRPr="001D5EED">
              <w:rPr>
                <w:sz w:val="16"/>
                <w:szCs w:val="16"/>
              </w:rPr>
              <w:t>0</w:t>
            </w:r>
          </w:p>
        </w:tc>
        <w:tc>
          <w:tcPr>
            <w:tcW w:w="888" w:type="dxa"/>
            <w:tcBorders>
              <w:top w:val="nil"/>
              <w:left w:val="nil"/>
              <w:bottom w:val="single" w:sz="4" w:space="0" w:color="auto"/>
              <w:right w:val="nil"/>
            </w:tcBorders>
            <w:shd w:val="clear" w:color="auto" w:fill="F3F9FA"/>
            <w:noWrap/>
            <w:vAlign w:val="bottom"/>
          </w:tcPr>
          <w:p w14:paraId="0074941C" w14:textId="3380C10E" w:rsidR="001D5EED" w:rsidRPr="001D5EED" w:rsidRDefault="001D5EED" w:rsidP="001D5EED">
            <w:pPr>
              <w:spacing w:before="0" w:after="0"/>
              <w:jc w:val="center"/>
              <w:rPr>
                <w:sz w:val="16"/>
                <w:szCs w:val="16"/>
              </w:rPr>
            </w:pPr>
            <w:r w:rsidRPr="001D5EED">
              <w:rPr>
                <w:sz w:val="16"/>
                <w:szCs w:val="16"/>
              </w:rPr>
              <w:t>13.2</w:t>
            </w:r>
          </w:p>
        </w:tc>
        <w:tc>
          <w:tcPr>
            <w:tcW w:w="888" w:type="dxa"/>
            <w:tcBorders>
              <w:top w:val="nil"/>
              <w:left w:val="nil"/>
              <w:bottom w:val="single" w:sz="4" w:space="0" w:color="auto"/>
              <w:right w:val="nil"/>
            </w:tcBorders>
            <w:shd w:val="clear" w:color="auto" w:fill="F3F9FA"/>
            <w:noWrap/>
            <w:vAlign w:val="bottom"/>
          </w:tcPr>
          <w:p w14:paraId="13629F29" w14:textId="21D1AECB" w:rsidR="001D5EED" w:rsidRPr="001D5EED" w:rsidRDefault="001D5EED" w:rsidP="001D5EED">
            <w:pPr>
              <w:spacing w:before="0" w:after="0"/>
              <w:jc w:val="center"/>
              <w:rPr>
                <w:sz w:val="16"/>
                <w:szCs w:val="16"/>
              </w:rPr>
            </w:pPr>
            <w:r w:rsidRPr="001D5EED">
              <w:rPr>
                <w:sz w:val="16"/>
                <w:szCs w:val="16"/>
              </w:rPr>
              <w:t>19.1</w:t>
            </w:r>
          </w:p>
        </w:tc>
        <w:tc>
          <w:tcPr>
            <w:tcW w:w="888" w:type="dxa"/>
            <w:tcBorders>
              <w:top w:val="nil"/>
              <w:left w:val="nil"/>
              <w:bottom w:val="single" w:sz="4" w:space="0" w:color="auto"/>
              <w:right w:val="nil"/>
            </w:tcBorders>
            <w:shd w:val="clear" w:color="auto" w:fill="F3F9FA"/>
            <w:noWrap/>
            <w:vAlign w:val="bottom"/>
          </w:tcPr>
          <w:p w14:paraId="4980A915" w14:textId="10B8979E" w:rsidR="001D5EED" w:rsidRPr="001D5EED" w:rsidRDefault="001D5EED" w:rsidP="001D5EED">
            <w:pPr>
              <w:spacing w:before="0" w:after="0"/>
              <w:jc w:val="center"/>
              <w:rPr>
                <w:sz w:val="16"/>
                <w:szCs w:val="16"/>
              </w:rPr>
            </w:pPr>
            <w:r w:rsidRPr="001D5EED">
              <w:rPr>
                <w:sz w:val="16"/>
                <w:szCs w:val="16"/>
              </w:rPr>
              <w:t>22.2</w:t>
            </w:r>
          </w:p>
        </w:tc>
        <w:tc>
          <w:tcPr>
            <w:tcW w:w="885" w:type="dxa"/>
            <w:tcBorders>
              <w:top w:val="nil"/>
              <w:left w:val="nil"/>
              <w:bottom w:val="single" w:sz="4" w:space="0" w:color="auto"/>
              <w:right w:val="nil"/>
            </w:tcBorders>
            <w:shd w:val="clear" w:color="auto" w:fill="F3F9FA"/>
            <w:noWrap/>
            <w:vAlign w:val="bottom"/>
          </w:tcPr>
          <w:p w14:paraId="67E37104" w14:textId="72A0E8EB" w:rsidR="001D5EED" w:rsidRPr="001D5EED" w:rsidRDefault="001D5EED" w:rsidP="001D5EED">
            <w:pPr>
              <w:spacing w:before="0" w:after="0"/>
              <w:jc w:val="center"/>
              <w:rPr>
                <w:sz w:val="16"/>
                <w:szCs w:val="16"/>
              </w:rPr>
            </w:pPr>
            <w:r w:rsidRPr="001D5EED">
              <w:rPr>
                <w:sz w:val="16"/>
                <w:szCs w:val="16"/>
              </w:rPr>
              <w:t>0</w:t>
            </w:r>
          </w:p>
        </w:tc>
      </w:tr>
      <w:tr w:rsidR="001D5EED" w14:paraId="4FBB6FFE" w14:textId="77777777" w:rsidTr="001D5EED">
        <w:trPr>
          <w:jc w:val="center"/>
        </w:trPr>
        <w:tc>
          <w:tcPr>
            <w:tcW w:w="1508" w:type="dxa"/>
            <w:tcBorders>
              <w:top w:val="single" w:sz="4" w:space="0" w:color="auto"/>
              <w:left w:val="nil"/>
              <w:right w:val="nil"/>
            </w:tcBorders>
            <w:noWrap/>
            <w:vAlign w:val="bottom"/>
            <w:hideMark/>
          </w:tcPr>
          <w:p w14:paraId="3D26BFB7" w14:textId="77777777" w:rsidR="001D5EED" w:rsidRDefault="001D5EED" w:rsidP="001D5EED">
            <w:pPr>
              <w:spacing w:before="0" w:after="0"/>
              <w:rPr>
                <w:color w:val="000000"/>
                <w:sz w:val="16"/>
                <w:szCs w:val="16"/>
              </w:rPr>
            </w:pPr>
            <w:r>
              <w:rPr>
                <w:color w:val="000000"/>
                <w:sz w:val="16"/>
                <w:szCs w:val="16"/>
              </w:rPr>
              <w:t>reef intertidal</w:t>
            </w:r>
          </w:p>
        </w:tc>
        <w:tc>
          <w:tcPr>
            <w:tcW w:w="1286" w:type="dxa"/>
            <w:tcBorders>
              <w:top w:val="single" w:sz="4" w:space="0" w:color="auto"/>
              <w:left w:val="nil"/>
              <w:right w:val="nil"/>
            </w:tcBorders>
            <w:shd w:val="clear" w:color="auto" w:fill="F3F9FA"/>
            <w:noWrap/>
            <w:vAlign w:val="bottom"/>
            <w:hideMark/>
          </w:tcPr>
          <w:p w14:paraId="1295A0DB" w14:textId="77777777" w:rsidR="001D5EED" w:rsidRPr="007D5825" w:rsidRDefault="001D5EED" w:rsidP="001D5EED">
            <w:pPr>
              <w:spacing w:before="0" w:after="0"/>
              <w:jc w:val="center"/>
              <w:rPr>
                <w:sz w:val="16"/>
                <w:szCs w:val="16"/>
              </w:rPr>
            </w:pPr>
            <w:r w:rsidRPr="007D5825">
              <w:rPr>
                <w:sz w:val="16"/>
                <w:szCs w:val="16"/>
              </w:rPr>
              <w:t>Hydeaway Bay</w:t>
            </w:r>
          </w:p>
        </w:tc>
        <w:tc>
          <w:tcPr>
            <w:tcW w:w="603" w:type="dxa"/>
            <w:tcBorders>
              <w:top w:val="single" w:sz="4" w:space="0" w:color="auto"/>
              <w:left w:val="nil"/>
              <w:right w:val="nil"/>
            </w:tcBorders>
            <w:shd w:val="clear" w:color="auto" w:fill="F3F9FA"/>
            <w:noWrap/>
            <w:vAlign w:val="bottom"/>
            <w:hideMark/>
          </w:tcPr>
          <w:p w14:paraId="1148AF14" w14:textId="77777777" w:rsidR="001D5EED" w:rsidRPr="007D5825" w:rsidRDefault="001D5EED" w:rsidP="001D5EED">
            <w:pPr>
              <w:spacing w:before="0" w:after="0"/>
              <w:jc w:val="center"/>
              <w:rPr>
                <w:sz w:val="16"/>
                <w:szCs w:val="16"/>
              </w:rPr>
            </w:pPr>
            <w:r w:rsidRPr="007D5825">
              <w:rPr>
                <w:sz w:val="16"/>
                <w:szCs w:val="16"/>
              </w:rPr>
              <w:t>HB1^</w:t>
            </w:r>
          </w:p>
        </w:tc>
        <w:tc>
          <w:tcPr>
            <w:tcW w:w="931" w:type="dxa"/>
            <w:tcBorders>
              <w:top w:val="single" w:sz="4" w:space="0" w:color="auto"/>
              <w:left w:val="nil"/>
              <w:right w:val="nil"/>
            </w:tcBorders>
            <w:shd w:val="clear" w:color="auto" w:fill="F3F9FA"/>
            <w:noWrap/>
            <w:vAlign w:val="bottom"/>
            <w:hideMark/>
          </w:tcPr>
          <w:p w14:paraId="2C714A9D" w14:textId="096BB3F3" w:rsidR="001D5EED" w:rsidRPr="007D5825" w:rsidRDefault="001D5EED" w:rsidP="001D5EED">
            <w:pPr>
              <w:spacing w:before="0" w:after="0"/>
              <w:jc w:val="center"/>
              <w:rPr>
                <w:sz w:val="16"/>
                <w:szCs w:val="16"/>
              </w:rPr>
            </w:pPr>
            <w:r w:rsidRPr="007D5825">
              <w:rPr>
                <w:sz w:val="16"/>
                <w:szCs w:val="16"/>
              </w:rPr>
              <w:t>01-</w:t>
            </w:r>
            <w:r>
              <w:rPr>
                <w:sz w:val="16"/>
                <w:szCs w:val="16"/>
              </w:rPr>
              <w:t>Jul</w:t>
            </w:r>
            <w:r w:rsidRPr="007D5825">
              <w:rPr>
                <w:sz w:val="16"/>
                <w:szCs w:val="16"/>
              </w:rPr>
              <w:t>-1</w:t>
            </w:r>
            <w:r>
              <w:rPr>
                <w:sz w:val="16"/>
                <w:szCs w:val="16"/>
              </w:rPr>
              <w:t>6</w:t>
            </w:r>
          </w:p>
        </w:tc>
        <w:tc>
          <w:tcPr>
            <w:tcW w:w="815" w:type="dxa"/>
            <w:tcBorders>
              <w:top w:val="single" w:sz="4" w:space="0" w:color="auto"/>
              <w:left w:val="nil"/>
              <w:right w:val="nil"/>
            </w:tcBorders>
            <w:shd w:val="clear" w:color="auto" w:fill="F3F9FA"/>
            <w:noWrap/>
            <w:vAlign w:val="bottom"/>
          </w:tcPr>
          <w:p w14:paraId="1148334B" w14:textId="1C8759B5" w:rsidR="001D5EED" w:rsidRPr="001D5EED" w:rsidRDefault="001D5EED" w:rsidP="001D5EED">
            <w:pPr>
              <w:spacing w:before="0" w:after="0"/>
              <w:jc w:val="center"/>
              <w:rPr>
                <w:sz w:val="16"/>
                <w:szCs w:val="16"/>
              </w:rPr>
            </w:pPr>
            <w:r w:rsidRPr="001D5EED">
              <w:rPr>
                <w:sz w:val="16"/>
                <w:szCs w:val="16"/>
              </w:rPr>
              <w:t>6.8</w:t>
            </w:r>
          </w:p>
        </w:tc>
        <w:tc>
          <w:tcPr>
            <w:tcW w:w="823" w:type="dxa"/>
            <w:tcBorders>
              <w:top w:val="single" w:sz="4" w:space="0" w:color="auto"/>
              <w:left w:val="nil"/>
              <w:right w:val="nil"/>
            </w:tcBorders>
            <w:shd w:val="clear" w:color="auto" w:fill="F3F9FA"/>
            <w:noWrap/>
            <w:vAlign w:val="bottom"/>
          </w:tcPr>
          <w:p w14:paraId="19E477F3" w14:textId="1DE179B3" w:rsidR="001D5EED" w:rsidRPr="001D5EED" w:rsidRDefault="001D5EED" w:rsidP="001D5EED">
            <w:pPr>
              <w:spacing w:before="0" w:after="0"/>
              <w:jc w:val="center"/>
              <w:rPr>
                <w:sz w:val="16"/>
                <w:szCs w:val="16"/>
              </w:rPr>
            </w:pPr>
            <w:r w:rsidRPr="001D5EED">
              <w:rPr>
                <w:sz w:val="16"/>
                <w:szCs w:val="16"/>
              </w:rPr>
              <w:t>5</w:t>
            </w:r>
          </w:p>
        </w:tc>
        <w:tc>
          <w:tcPr>
            <w:tcW w:w="888" w:type="dxa"/>
            <w:tcBorders>
              <w:top w:val="single" w:sz="4" w:space="0" w:color="auto"/>
              <w:left w:val="nil"/>
              <w:right w:val="nil"/>
            </w:tcBorders>
            <w:shd w:val="clear" w:color="auto" w:fill="F3F9FA"/>
            <w:noWrap/>
            <w:vAlign w:val="bottom"/>
            <w:hideMark/>
          </w:tcPr>
          <w:p w14:paraId="6CDA657D" w14:textId="0CDED175" w:rsidR="001D5EED" w:rsidRPr="001D5EED" w:rsidRDefault="001D5EED" w:rsidP="001D5EED">
            <w:pPr>
              <w:spacing w:before="0" w:after="0"/>
              <w:jc w:val="center"/>
              <w:rPr>
                <w:sz w:val="16"/>
                <w:szCs w:val="16"/>
              </w:rPr>
            </w:pPr>
            <w:r w:rsidRPr="001D5EED">
              <w:rPr>
                <w:sz w:val="16"/>
                <w:szCs w:val="16"/>
              </w:rPr>
              <w:t>10.53</w:t>
            </w:r>
          </w:p>
        </w:tc>
        <w:tc>
          <w:tcPr>
            <w:tcW w:w="888" w:type="dxa"/>
            <w:tcBorders>
              <w:top w:val="single" w:sz="4" w:space="0" w:color="auto"/>
              <w:left w:val="nil"/>
              <w:right w:val="nil"/>
            </w:tcBorders>
            <w:shd w:val="clear" w:color="auto" w:fill="F3F9FA"/>
            <w:noWrap/>
            <w:vAlign w:val="bottom"/>
            <w:hideMark/>
          </w:tcPr>
          <w:p w14:paraId="11745FCE" w14:textId="7C4BB58F" w:rsidR="001D5EED" w:rsidRPr="001D5EED" w:rsidRDefault="001D5EED" w:rsidP="001D5EED">
            <w:pPr>
              <w:spacing w:before="0" w:after="0"/>
              <w:jc w:val="center"/>
              <w:rPr>
                <w:sz w:val="16"/>
                <w:szCs w:val="16"/>
              </w:rPr>
            </w:pPr>
            <w:r w:rsidRPr="001D5EED">
              <w:rPr>
                <w:sz w:val="16"/>
                <w:szCs w:val="16"/>
              </w:rPr>
              <w:t>12.9</w:t>
            </w:r>
          </w:p>
        </w:tc>
        <w:tc>
          <w:tcPr>
            <w:tcW w:w="888" w:type="dxa"/>
            <w:tcBorders>
              <w:top w:val="single" w:sz="4" w:space="0" w:color="auto"/>
              <w:left w:val="nil"/>
              <w:right w:val="nil"/>
            </w:tcBorders>
            <w:shd w:val="clear" w:color="auto" w:fill="F3F9FA"/>
            <w:noWrap/>
            <w:vAlign w:val="bottom"/>
            <w:hideMark/>
          </w:tcPr>
          <w:p w14:paraId="388C0AD3" w14:textId="197C429C" w:rsidR="001D5EED" w:rsidRPr="001D5EED" w:rsidRDefault="001D5EED" w:rsidP="001D5EED">
            <w:pPr>
              <w:spacing w:before="0" w:after="0"/>
              <w:jc w:val="center"/>
              <w:rPr>
                <w:sz w:val="16"/>
                <w:szCs w:val="16"/>
              </w:rPr>
            </w:pPr>
            <w:r w:rsidRPr="001D5EED">
              <w:rPr>
                <w:sz w:val="16"/>
                <w:szCs w:val="16"/>
              </w:rPr>
              <w:t>14.2</w:t>
            </w:r>
          </w:p>
        </w:tc>
        <w:tc>
          <w:tcPr>
            <w:tcW w:w="885" w:type="dxa"/>
            <w:tcBorders>
              <w:top w:val="single" w:sz="4" w:space="0" w:color="auto"/>
              <w:left w:val="nil"/>
              <w:right w:val="nil"/>
            </w:tcBorders>
            <w:shd w:val="clear" w:color="auto" w:fill="F3F9FA"/>
            <w:noWrap/>
            <w:vAlign w:val="bottom"/>
          </w:tcPr>
          <w:p w14:paraId="6F8801D6" w14:textId="4EDA2033" w:rsidR="001D5EED" w:rsidRPr="001D5EED" w:rsidRDefault="001D5EED" w:rsidP="001D5EED">
            <w:pPr>
              <w:spacing w:before="0" w:after="0"/>
              <w:jc w:val="center"/>
              <w:rPr>
                <w:sz w:val="16"/>
                <w:szCs w:val="16"/>
              </w:rPr>
            </w:pPr>
            <w:r w:rsidRPr="001D5EED">
              <w:rPr>
                <w:sz w:val="16"/>
                <w:szCs w:val="16"/>
              </w:rPr>
              <w:t>25</w:t>
            </w:r>
          </w:p>
        </w:tc>
      </w:tr>
      <w:tr w:rsidR="001D5EED" w14:paraId="1544AE07" w14:textId="77777777" w:rsidTr="001D5EED">
        <w:trPr>
          <w:jc w:val="center"/>
        </w:trPr>
        <w:tc>
          <w:tcPr>
            <w:tcW w:w="1508" w:type="dxa"/>
            <w:tcBorders>
              <w:left w:val="nil"/>
              <w:bottom w:val="nil"/>
              <w:right w:val="nil"/>
            </w:tcBorders>
            <w:noWrap/>
            <w:vAlign w:val="bottom"/>
          </w:tcPr>
          <w:p w14:paraId="345FCEBF" w14:textId="77777777" w:rsidR="001D5EED" w:rsidRDefault="001D5EED" w:rsidP="001D5EED">
            <w:pPr>
              <w:spacing w:before="0" w:after="0"/>
              <w:rPr>
                <w:color w:val="000000"/>
                <w:sz w:val="16"/>
                <w:szCs w:val="16"/>
              </w:rPr>
            </w:pPr>
          </w:p>
        </w:tc>
        <w:tc>
          <w:tcPr>
            <w:tcW w:w="1286" w:type="dxa"/>
            <w:tcBorders>
              <w:left w:val="nil"/>
              <w:right w:val="nil"/>
            </w:tcBorders>
            <w:shd w:val="clear" w:color="auto" w:fill="F3F9FA"/>
            <w:noWrap/>
            <w:vAlign w:val="bottom"/>
          </w:tcPr>
          <w:p w14:paraId="5A8B379F" w14:textId="77777777" w:rsidR="001D5EED" w:rsidRPr="007D5825" w:rsidRDefault="001D5EED" w:rsidP="001D5EED">
            <w:pPr>
              <w:spacing w:before="0" w:after="0"/>
              <w:jc w:val="center"/>
              <w:rPr>
                <w:sz w:val="16"/>
                <w:szCs w:val="16"/>
              </w:rPr>
            </w:pPr>
          </w:p>
        </w:tc>
        <w:tc>
          <w:tcPr>
            <w:tcW w:w="603" w:type="dxa"/>
            <w:tcBorders>
              <w:left w:val="nil"/>
              <w:right w:val="nil"/>
            </w:tcBorders>
            <w:shd w:val="clear" w:color="auto" w:fill="F3F9FA"/>
            <w:noWrap/>
            <w:vAlign w:val="bottom"/>
          </w:tcPr>
          <w:p w14:paraId="29E1BE7B" w14:textId="56F95D6F" w:rsidR="001D5EED" w:rsidRPr="007D5825" w:rsidRDefault="001D5EED" w:rsidP="001D5EED">
            <w:pPr>
              <w:spacing w:before="0" w:after="0"/>
              <w:jc w:val="center"/>
              <w:rPr>
                <w:sz w:val="16"/>
                <w:szCs w:val="16"/>
              </w:rPr>
            </w:pPr>
            <w:r w:rsidRPr="007D5825">
              <w:rPr>
                <w:sz w:val="16"/>
                <w:szCs w:val="16"/>
              </w:rPr>
              <w:t>HB1^</w:t>
            </w:r>
          </w:p>
        </w:tc>
        <w:tc>
          <w:tcPr>
            <w:tcW w:w="931" w:type="dxa"/>
            <w:tcBorders>
              <w:left w:val="nil"/>
              <w:right w:val="nil"/>
            </w:tcBorders>
            <w:shd w:val="clear" w:color="auto" w:fill="F3F9FA"/>
            <w:noWrap/>
            <w:vAlign w:val="bottom"/>
          </w:tcPr>
          <w:p w14:paraId="545547DA" w14:textId="16B6B22B" w:rsidR="001D5EED" w:rsidRPr="007D5825" w:rsidRDefault="001D5EED" w:rsidP="001D5EED">
            <w:pPr>
              <w:spacing w:before="0" w:after="0"/>
              <w:jc w:val="center"/>
              <w:rPr>
                <w:sz w:val="16"/>
                <w:szCs w:val="16"/>
              </w:rPr>
            </w:pPr>
            <w:r>
              <w:rPr>
                <w:sz w:val="16"/>
                <w:szCs w:val="16"/>
              </w:rPr>
              <w:t>01-Oct-16</w:t>
            </w:r>
          </w:p>
        </w:tc>
        <w:tc>
          <w:tcPr>
            <w:tcW w:w="815" w:type="dxa"/>
            <w:tcBorders>
              <w:left w:val="nil"/>
              <w:right w:val="nil"/>
            </w:tcBorders>
            <w:shd w:val="clear" w:color="auto" w:fill="F3F9FA"/>
            <w:noWrap/>
            <w:vAlign w:val="bottom"/>
          </w:tcPr>
          <w:p w14:paraId="66B267DC" w14:textId="21123466" w:rsidR="001D5EED" w:rsidRPr="001D5EED" w:rsidRDefault="001D5EED" w:rsidP="001D5EED">
            <w:pPr>
              <w:spacing w:before="0" w:after="0"/>
              <w:jc w:val="center"/>
              <w:rPr>
                <w:sz w:val="16"/>
                <w:szCs w:val="16"/>
              </w:rPr>
            </w:pPr>
            <w:r w:rsidRPr="001D5EED">
              <w:rPr>
                <w:sz w:val="16"/>
                <w:szCs w:val="16"/>
              </w:rPr>
              <w:t>15.0</w:t>
            </w:r>
          </w:p>
        </w:tc>
        <w:tc>
          <w:tcPr>
            <w:tcW w:w="823" w:type="dxa"/>
            <w:tcBorders>
              <w:left w:val="nil"/>
              <w:right w:val="nil"/>
            </w:tcBorders>
            <w:shd w:val="clear" w:color="auto" w:fill="F3F9FA"/>
            <w:noWrap/>
            <w:vAlign w:val="bottom"/>
          </w:tcPr>
          <w:p w14:paraId="654751D0" w14:textId="5270E7CC" w:rsidR="001D5EED" w:rsidRPr="001D5EED" w:rsidRDefault="001D5EED" w:rsidP="001D5EED">
            <w:pPr>
              <w:spacing w:before="0" w:after="0"/>
              <w:jc w:val="center"/>
              <w:rPr>
                <w:sz w:val="16"/>
                <w:szCs w:val="16"/>
              </w:rPr>
            </w:pPr>
            <w:r w:rsidRPr="001D5EED">
              <w:rPr>
                <w:sz w:val="16"/>
                <w:szCs w:val="16"/>
              </w:rPr>
              <w:t>13.5</w:t>
            </w:r>
          </w:p>
        </w:tc>
        <w:tc>
          <w:tcPr>
            <w:tcW w:w="888" w:type="dxa"/>
            <w:tcBorders>
              <w:left w:val="nil"/>
              <w:right w:val="nil"/>
            </w:tcBorders>
            <w:shd w:val="clear" w:color="auto" w:fill="F3F9FA"/>
            <w:noWrap/>
            <w:vAlign w:val="bottom"/>
          </w:tcPr>
          <w:p w14:paraId="7C1A922B" w14:textId="50796688" w:rsidR="001D5EED" w:rsidRPr="001D5EED" w:rsidRDefault="001D5EED" w:rsidP="001D5EED">
            <w:pPr>
              <w:spacing w:before="0" w:after="0"/>
              <w:jc w:val="center"/>
              <w:rPr>
                <w:sz w:val="16"/>
                <w:szCs w:val="16"/>
              </w:rPr>
            </w:pPr>
            <w:r w:rsidRPr="001D5EED">
              <w:rPr>
                <w:sz w:val="16"/>
                <w:szCs w:val="16"/>
              </w:rPr>
              <w:t>10.53</w:t>
            </w:r>
          </w:p>
        </w:tc>
        <w:tc>
          <w:tcPr>
            <w:tcW w:w="888" w:type="dxa"/>
            <w:tcBorders>
              <w:left w:val="nil"/>
              <w:right w:val="nil"/>
            </w:tcBorders>
            <w:shd w:val="clear" w:color="auto" w:fill="F3F9FA"/>
            <w:noWrap/>
            <w:vAlign w:val="bottom"/>
          </w:tcPr>
          <w:p w14:paraId="22667442" w14:textId="5C5F5F0C" w:rsidR="001D5EED" w:rsidRPr="001D5EED" w:rsidRDefault="001D5EED" w:rsidP="001D5EED">
            <w:pPr>
              <w:spacing w:before="0" w:after="0"/>
              <w:jc w:val="center"/>
              <w:rPr>
                <w:sz w:val="16"/>
                <w:szCs w:val="16"/>
              </w:rPr>
            </w:pPr>
            <w:r w:rsidRPr="001D5EED">
              <w:rPr>
                <w:sz w:val="16"/>
                <w:szCs w:val="16"/>
              </w:rPr>
              <w:t>12.9</w:t>
            </w:r>
          </w:p>
        </w:tc>
        <w:tc>
          <w:tcPr>
            <w:tcW w:w="888" w:type="dxa"/>
            <w:tcBorders>
              <w:left w:val="nil"/>
              <w:right w:val="nil"/>
            </w:tcBorders>
            <w:shd w:val="clear" w:color="auto" w:fill="F3F9FA"/>
            <w:noWrap/>
            <w:vAlign w:val="bottom"/>
          </w:tcPr>
          <w:p w14:paraId="4F86CC89" w14:textId="51CE41ED" w:rsidR="001D5EED" w:rsidRPr="001D5EED" w:rsidRDefault="001D5EED" w:rsidP="001D5EED">
            <w:pPr>
              <w:spacing w:before="0" w:after="0"/>
              <w:jc w:val="center"/>
              <w:rPr>
                <w:sz w:val="16"/>
                <w:szCs w:val="16"/>
              </w:rPr>
            </w:pPr>
            <w:r w:rsidRPr="001D5EED">
              <w:rPr>
                <w:sz w:val="16"/>
                <w:szCs w:val="16"/>
              </w:rPr>
              <w:t>14.2</w:t>
            </w:r>
          </w:p>
        </w:tc>
        <w:tc>
          <w:tcPr>
            <w:tcW w:w="885" w:type="dxa"/>
            <w:tcBorders>
              <w:left w:val="nil"/>
              <w:right w:val="nil"/>
            </w:tcBorders>
            <w:shd w:val="clear" w:color="auto" w:fill="F3F9FA"/>
            <w:noWrap/>
            <w:vAlign w:val="bottom"/>
          </w:tcPr>
          <w:p w14:paraId="01618555" w14:textId="70C3F085" w:rsidR="001D5EED" w:rsidRPr="001D5EED" w:rsidRDefault="001D5EED" w:rsidP="001D5EED">
            <w:pPr>
              <w:spacing w:before="0" w:after="0"/>
              <w:jc w:val="center"/>
              <w:rPr>
                <w:sz w:val="16"/>
                <w:szCs w:val="16"/>
              </w:rPr>
            </w:pPr>
            <w:r w:rsidRPr="001D5EED">
              <w:rPr>
                <w:sz w:val="16"/>
                <w:szCs w:val="16"/>
              </w:rPr>
              <w:t>75</w:t>
            </w:r>
          </w:p>
        </w:tc>
      </w:tr>
      <w:tr w:rsidR="001D5EED" w14:paraId="1E936CAE" w14:textId="77777777" w:rsidTr="001D5EED">
        <w:trPr>
          <w:jc w:val="center"/>
        </w:trPr>
        <w:tc>
          <w:tcPr>
            <w:tcW w:w="1508" w:type="dxa"/>
            <w:tcBorders>
              <w:left w:val="nil"/>
              <w:bottom w:val="nil"/>
              <w:right w:val="nil"/>
            </w:tcBorders>
            <w:noWrap/>
            <w:vAlign w:val="bottom"/>
          </w:tcPr>
          <w:p w14:paraId="71ABF911" w14:textId="77777777" w:rsidR="001D5EED" w:rsidRDefault="001D5EED" w:rsidP="001D5EED">
            <w:pPr>
              <w:spacing w:before="0" w:after="0"/>
              <w:rPr>
                <w:color w:val="000000"/>
                <w:sz w:val="16"/>
                <w:szCs w:val="16"/>
              </w:rPr>
            </w:pPr>
          </w:p>
        </w:tc>
        <w:tc>
          <w:tcPr>
            <w:tcW w:w="1286" w:type="dxa"/>
            <w:tcBorders>
              <w:left w:val="nil"/>
              <w:right w:val="nil"/>
            </w:tcBorders>
            <w:shd w:val="clear" w:color="auto" w:fill="F3F9FA"/>
            <w:noWrap/>
            <w:vAlign w:val="bottom"/>
          </w:tcPr>
          <w:p w14:paraId="6D7EF264" w14:textId="77777777" w:rsidR="001D5EED" w:rsidRPr="007D5825" w:rsidRDefault="001D5EED" w:rsidP="001D5EED">
            <w:pPr>
              <w:spacing w:before="0" w:after="0"/>
              <w:jc w:val="center"/>
              <w:rPr>
                <w:sz w:val="16"/>
                <w:szCs w:val="16"/>
              </w:rPr>
            </w:pPr>
          </w:p>
        </w:tc>
        <w:tc>
          <w:tcPr>
            <w:tcW w:w="603" w:type="dxa"/>
            <w:tcBorders>
              <w:left w:val="nil"/>
              <w:right w:val="nil"/>
            </w:tcBorders>
            <w:shd w:val="clear" w:color="auto" w:fill="F3F9FA"/>
            <w:noWrap/>
            <w:vAlign w:val="bottom"/>
          </w:tcPr>
          <w:p w14:paraId="3A25D1DA" w14:textId="7046D124" w:rsidR="001D5EED" w:rsidRPr="007D5825" w:rsidRDefault="001D5EED" w:rsidP="001D5EED">
            <w:pPr>
              <w:spacing w:before="0" w:after="0"/>
              <w:jc w:val="center"/>
              <w:rPr>
                <w:sz w:val="16"/>
                <w:szCs w:val="16"/>
              </w:rPr>
            </w:pPr>
            <w:r w:rsidRPr="007D5825">
              <w:rPr>
                <w:sz w:val="16"/>
                <w:szCs w:val="16"/>
              </w:rPr>
              <w:t>HB2^</w:t>
            </w:r>
          </w:p>
        </w:tc>
        <w:tc>
          <w:tcPr>
            <w:tcW w:w="931" w:type="dxa"/>
            <w:tcBorders>
              <w:left w:val="nil"/>
              <w:right w:val="nil"/>
            </w:tcBorders>
            <w:shd w:val="clear" w:color="auto" w:fill="F3F9FA"/>
            <w:noWrap/>
            <w:vAlign w:val="bottom"/>
          </w:tcPr>
          <w:p w14:paraId="57F064D9" w14:textId="16770C99" w:rsidR="001D5EED" w:rsidRPr="007D5825" w:rsidRDefault="001D5EED" w:rsidP="001D5EED">
            <w:pPr>
              <w:spacing w:before="0" w:after="0"/>
              <w:jc w:val="center"/>
              <w:rPr>
                <w:sz w:val="16"/>
                <w:szCs w:val="16"/>
              </w:rPr>
            </w:pPr>
            <w:r w:rsidRPr="007D5825">
              <w:rPr>
                <w:sz w:val="16"/>
                <w:szCs w:val="16"/>
              </w:rPr>
              <w:t>01-</w:t>
            </w:r>
            <w:r>
              <w:rPr>
                <w:sz w:val="16"/>
                <w:szCs w:val="16"/>
              </w:rPr>
              <w:t>Jul</w:t>
            </w:r>
            <w:r w:rsidRPr="007D5825">
              <w:rPr>
                <w:sz w:val="16"/>
                <w:szCs w:val="16"/>
              </w:rPr>
              <w:t>-1</w:t>
            </w:r>
            <w:r>
              <w:rPr>
                <w:sz w:val="16"/>
                <w:szCs w:val="16"/>
              </w:rPr>
              <w:t>6</w:t>
            </w:r>
          </w:p>
        </w:tc>
        <w:tc>
          <w:tcPr>
            <w:tcW w:w="815" w:type="dxa"/>
            <w:tcBorders>
              <w:left w:val="nil"/>
              <w:right w:val="nil"/>
            </w:tcBorders>
            <w:shd w:val="clear" w:color="auto" w:fill="F3F9FA"/>
            <w:noWrap/>
            <w:vAlign w:val="bottom"/>
          </w:tcPr>
          <w:p w14:paraId="3C59ABB4" w14:textId="27EF0CD6" w:rsidR="001D5EED" w:rsidRPr="001D5EED" w:rsidRDefault="001D5EED" w:rsidP="001D5EED">
            <w:pPr>
              <w:spacing w:before="0" w:after="0"/>
              <w:jc w:val="center"/>
              <w:rPr>
                <w:sz w:val="16"/>
                <w:szCs w:val="16"/>
              </w:rPr>
            </w:pPr>
            <w:r w:rsidRPr="001D5EED">
              <w:rPr>
                <w:sz w:val="16"/>
                <w:szCs w:val="16"/>
              </w:rPr>
              <w:t>6.9</w:t>
            </w:r>
          </w:p>
        </w:tc>
        <w:tc>
          <w:tcPr>
            <w:tcW w:w="823" w:type="dxa"/>
            <w:tcBorders>
              <w:left w:val="nil"/>
              <w:right w:val="nil"/>
            </w:tcBorders>
            <w:shd w:val="clear" w:color="auto" w:fill="F3F9FA"/>
            <w:noWrap/>
            <w:vAlign w:val="bottom"/>
          </w:tcPr>
          <w:p w14:paraId="571CEE2F" w14:textId="18CC4496" w:rsidR="001D5EED" w:rsidRPr="001D5EED" w:rsidRDefault="001D5EED" w:rsidP="001D5EED">
            <w:pPr>
              <w:spacing w:before="0" w:after="0"/>
              <w:jc w:val="center"/>
              <w:rPr>
                <w:sz w:val="16"/>
                <w:szCs w:val="16"/>
              </w:rPr>
            </w:pPr>
            <w:r w:rsidRPr="001D5EED">
              <w:rPr>
                <w:sz w:val="16"/>
                <w:szCs w:val="16"/>
              </w:rPr>
              <w:t>7</w:t>
            </w:r>
          </w:p>
        </w:tc>
        <w:tc>
          <w:tcPr>
            <w:tcW w:w="888" w:type="dxa"/>
            <w:tcBorders>
              <w:left w:val="nil"/>
              <w:right w:val="nil"/>
            </w:tcBorders>
            <w:shd w:val="clear" w:color="auto" w:fill="F3F9FA"/>
            <w:noWrap/>
            <w:vAlign w:val="bottom"/>
          </w:tcPr>
          <w:p w14:paraId="0BEA5A18" w14:textId="6F6FF5F9" w:rsidR="001D5EED" w:rsidRPr="001D5EED" w:rsidRDefault="001D5EED" w:rsidP="001D5EED">
            <w:pPr>
              <w:spacing w:before="0" w:after="0"/>
              <w:jc w:val="center"/>
              <w:rPr>
                <w:sz w:val="16"/>
                <w:szCs w:val="16"/>
              </w:rPr>
            </w:pPr>
            <w:r w:rsidRPr="001D5EED">
              <w:rPr>
                <w:sz w:val="16"/>
                <w:szCs w:val="16"/>
              </w:rPr>
              <w:t>7.95</w:t>
            </w:r>
          </w:p>
        </w:tc>
        <w:tc>
          <w:tcPr>
            <w:tcW w:w="888" w:type="dxa"/>
            <w:tcBorders>
              <w:left w:val="nil"/>
              <w:right w:val="nil"/>
            </w:tcBorders>
            <w:shd w:val="clear" w:color="auto" w:fill="F3F9FA"/>
            <w:noWrap/>
            <w:vAlign w:val="bottom"/>
          </w:tcPr>
          <w:p w14:paraId="388EF61A" w14:textId="353C363D" w:rsidR="001D5EED" w:rsidRPr="001D5EED" w:rsidRDefault="001D5EED" w:rsidP="001D5EED">
            <w:pPr>
              <w:spacing w:before="0" w:after="0"/>
              <w:jc w:val="center"/>
              <w:rPr>
                <w:sz w:val="16"/>
                <w:szCs w:val="16"/>
              </w:rPr>
            </w:pPr>
            <w:r w:rsidRPr="001D5EED">
              <w:rPr>
                <w:sz w:val="16"/>
                <w:szCs w:val="16"/>
              </w:rPr>
              <w:t>11.59</w:t>
            </w:r>
          </w:p>
        </w:tc>
        <w:tc>
          <w:tcPr>
            <w:tcW w:w="888" w:type="dxa"/>
            <w:tcBorders>
              <w:left w:val="nil"/>
              <w:right w:val="nil"/>
            </w:tcBorders>
            <w:shd w:val="clear" w:color="auto" w:fill="F3F9FA"/>
            <w:noWrap/>
            <w:vAlign w:val="bottom"/>
          </w:tcPr>
          <w:p w14:paraId="5F8423CD" w14:textId="61F98179" w:rsidR="001D5EED" w:rsidRPr="001D5EED" w:rsidRDefault="001D5EED" w:rsidP="001D5EED">
            <w:pPr>
              <w:spacing w:before="0" w:after="0"/>
              <w:jc w:val="center"/>
              <w:rPr>
                <w:sz w:val="16"/>
                <w:szCs w:val="16"/>
              </w:rPr>
            </w:pPr>
            <w:r w:rsidRPr="001D5EED">
              <w:rPr>
                <w:sz w:val="16"/>
                <w:szCs w:val="16"/>
              </w:rPr>
              <w:t>13.4</w:t>
            </w:r>
          </w:p>
        </w:tc>
        <w:tc>
          <w:tcPr>
            <w:tcW w:w="885" w:type="dxa"/>
            <w:tcBorders>
              <w:left w:val="nil"/>
              <w:right w:val="nil"/>
            </w:tcBorders>
            <w:shd w:val="clear" w:color="auto" w:fill="F3F9FA"/>
            <w:noWrap/>
            <w:vAlign w:val="bottom"/>
          </w:tcPr>
          <w:p w14:paraId="6B5E5FF0" w14:textId="3BE8EB74" w:rsidR="001D5EED" w:rsidRPr="001D5EED" w:rsidRDefault="001D5EED" w:rsidP="001D5EED">
            <w:pPr>
              <w:spacing w:before="0" w:after="0"/>
              <w:jc w:val="center"/>
              <w:rPr>
                <w:sz w:val="16"/>
                <w:szCs w:val="16"/>
              </w:rPr>
            </w:pPr>
            <w:r w:rsidRPr="001D5EED">
              <w:rPr>
                <w:sz w:val="16"/>
                <w:szCs w:val="16"/>
              </w:rPr>
              <w:t>25</w:t>
            </w:r>
          </w:p>
        </w:tc>
      </w:tr>
      <w:tr w:rsidR="001D5EED" w14:paraId="0373FDC7" w14:textId="77777777" w:rsidTr="006F4537">
        <w:trPr>
          <w:jc w:val="center"/>
        </w:trPr>
        <w:tc>
          <w:tcPr>
            <w:tcW w:w="1508" w:type="dxa"/>
            <w:noWrap/>
            <w:vAlign w:val="bottom"/>
          </w:tcPr>
          <w:p w14:paraId="64C449D9" w14:textId="77777777" w:rsidR="001D5EED" w:rsidRDefault="001D5EED" w:rsidP="001D5EED">
            <w:pPr>
              <w:spacing w:before="0" w:after="0"/>
              <w:rPr>
                <w:color w:val="000000"/>
                <w:sz w:val="16"/>
                <w:szCs w:val="16"/>
              </w:rPr>
            </w:pPr>
          </w:p>
        </w:tc>
        <w:tc>
          <w:tcPr>
            <w:tcW w:w="1286" w:type="dxa"/>
            <w:tcBorders>
              <w:bottom w:val="single" w:sz="4" w:space="0" w:color="auto"/>
            </w:tcBorders>
            <w:shd w:val="clear" w:color="auto" w:fill="F3F9FA"/>
            <w:noWrap/>
            <w:vAlign w:val="bottom"/>
          </w:tcPr>
          <w:p w14:paraId="5951FD38" w14:textId="77777777" w:rsidR="001D5EED" w:rsidRPr="007D5825" w:rsidRDefault="001D5EED" w:rsidP="001D5EED">
            <w:pPr>
              <w:spacing w:before="0" w:after="0"/>
              <w:jc w:val="center"/>
              <w:rPr>
                <w:sz w:val="16"/>
                <w:szCs w:val="16"/>
              </w:rPr>
            </w:pPr>
          </w:p>
        </w:tc>
        <w:tc>
          <w:tcPr>
            <w:tcW w:w="603" w:type="dxa"/>
            <w:tcBorders>
              <w:bottom w:val="single" w:sz="4" w:space="0" w:color="auto"/>
            </w:tcBorders>
            <w:shd w:val="clear" w:color="auto" w:fill="F3F9FA"/>
            <w:noWrap/>
            <w:vAlign w:val="bottom"/>
            <w:hideMark/>
          </w:tcPr>
          <w:p w14:paraId="396C430F" w14:textId="77777777" w:rsidR="001D5EED" w:rsidRPr="007D5825" w:rsidRDefault="001D5EED" w:rsidP="001D5EED">
            <w:pPr>
              <w:spacing w:before="0" w:after="0"/>
              <w:jc w:val="center"/>
              <w:rPr>
                <w:sz w:val="16"/>
                <w:szCs w:val="16"/>
              </w:rPr>
            </w:pPr>
            <w:r w:rsidRPr="007D5825">
              <w:rPr>
                <w:sz w:val="16"/>
                <w:szCs w:val="16"/>
              </w:rPr>
              <w:t>HB2^</w:t>
            </w:r>
          </w:p>
        </w:tc>
        <w:tc>
          <w:tcPr>
            <w:tcW w:w="931" w:type="dxa"/>
            <w:tcBorders>
              <w:bottom w:val="single" w:sz="4" w:space="0" w:color="auto"/>
            </w:tcBorders>
            <w:shd w:val="clear" w:color="auto" w:fill="F3F9FA"/>
            <w:noWrap/>
            <w:vAlign w:val="bottom"/>
            <w:hideMark/>
          </w:tcPr>
          <w:p w14:paraId="095557A4" w14:textId="4FC30835" w:rsidR="001D5EED" w:rsidRPr="007D5825" w:rsidRDefault="001D5EED" w:rsidP="001D5EED">
            <w:pPr>
              <w:spacing w:before="0" w:after="0"/>
              <w:jc w:val="center"/>
              <w:rPr>
                <w:sz w:val="16"/>
                <w:szCs w:val="16"/>
              </w:rPr>
            </w:pPr>
            <w:r>
              <w:rPr>
                <w:sz w:val="16"/>
                <w:szCs w:val="16"/>
              </w:rPr>
              <w:t>01-Oct-16</w:t>
            </w:r>
          </w:p>
        </w:tc>
        <w:tc>
          <w:tcPr>
            <w:tcW w:w="815" w:type="dxa"/>
            <w:tcBorders>
              <w:bottom w:val="single" w:sz="4" w:space="0" w:color="auto"/>
            </w:tcBorders>
            <w:shd w:val="clear" w:color="auto" w:fill="F3F9FA"/>
            <w:noWrap/>
            <w:vAlign w:val="bottom"/>
          </w:tcPr>
          <w:p w14:paraId="2A0FE31B" w14:textId="46665FD2" w:rsidR="001D5EED" w:rsidRPr="001D5EED" w:rsidRDefault="001D5EED" w:rsidP="001D5EED">
            <w:pPr>
              <w:spacing w:before="0" w:after="0"/>
              <w:jc w:val="center"/>
              <w:rPr>
                <w:sz w:val="16"/>
                <w:szCs w:val="16"/>
              </w:rPr>
            </w:pPr>
            <w:r w:rsidRPr="001D5EED">
              <w:rPr>
                <w:sz w:val="16"/>
                <w:szCs w:val="16"/>
              </w:rPr>
              <w:t>11.9</w:t>
            </w:r>
          </w:p>
        </w:tc>
        <w:tc>
          <w:tcPr>
            <w:tcW w:w="823" w:type="dxa"/>
            <w:tcBorders>
              <w:bottom w:val="single" w:sz="4" w:space="0" w:color="auto"/>
            </w:tcBorders>
            <w:shd w:val="clear" w:color="auto" w:fill="F3F9FA"/>
            <w:noWrap/>
            <w:vAlign w:val="bottom"/>
          </w:tcPr>
          <w:p w14:paraId="3E8842F3" w14:textId="4A9E9BDE" w:rsidR="001D5EED" w:rsidRPr="001D5EED" w:rsidRDefault="001D5EED" w:rsidP="001D5EED">
            <w:pPr>
              <w:spacing w:before="0" w:after="0"/>
              <w:jc w:val="center"/>
              <w:rPr>
                <w:sz w:val="16"/>
                <w:szCs w:val="16"/>
              </w:rPr>
            </w:pPr>
            <w:r w:rsidRPr="001D5EED">
              <w:rPr>
                <w:sz w:val="16"/>
                <w:szCs w:val="16"/>
              </w:rPr>
              <w:t>13</w:t>
            </w:r>
          </w:p>
        </w:tc>
        <w:tc>
          <w:tcPr>
            <w:tcW w:w="888" w:type="dxa"/>
            <w:tcBorders>
              <w:bottom w:val="single" w:sz="4" w:space="0" w:color="auto"/>
            </w:tcBorders>
            <w:shd w:val="clear" w:color="auto" w:fill="F3F9FA"/>
            <w:noWrap/>
            <w:vAlign w:val="bottom"/>
            <w:hideMark/>
          </w:tcPr>
          <w:p w14:paraId="0C7D2A57" w14:textId="25797B09" w:rsidR="001D5EED" w:rsidRPr="001D5EED" w:rsidRDefault="001D5EED" w:rsidP="001D5EED">
            <w:pPr>
              <w:spacing w:before="0" w:after="0"/>
              <w:jc w:val="center"/>
              <w:rPr>
                <w:sz w:val="16"/>
                <w:szCs w:val="16"/>
              </w:rPr>
            </w:pPr>
            <w:r w:rsidRPr="001D5EED">
              <w:rPr>
                <w:sz w:val="16"/>
                <w:szCs w:val="16"/>
              </w:rPr>
              <w:t>7.95</w:t>
            </w:r>
          </w:p>
        </w:tc>
        <w:tc>
          <w:tcPr>
            <w:tcW w:w="888" w:type="dxa"/>
            <w:tcBorders>
              <w:bottom w:val="single" w:sz="4" w:space="0" w:color="auto"/>
            </w:tcBorders>
            <w:shd w:val="clear" w:color="auto" w:fill="F3F9FA"/>
            <w:noWrap/>
            <w:vAlign w:val="bottom"/>
            <w:hideMark/>
          </w:tcPr>
          <w:p w14:paraId="38CDF8B7" w14:textId="687B4631" w:rsidR="001D5EED" w:rsidRPr="001D5EED" w:rsidRDefault="001D5EED" w:rsidP="001D5EED">
            <w:pPr>
              <w:spacing w:before="0" w:after="0"/>
              <w:jc w:val="center"/>
              <w:rPr>
                <w:sz w:val="16"/>
                <w:szCs w:val="16"/>
              </w:rPr>
            </w:pPr>
            <w:r w:rsidRPr="001D5EED">
              <w:rPr>
                <w:sz w:val="16"/>
                <w:szCs w:val="16"/>
              </w:rPr>
              <w:t>11.59</w:t>
            </w:r>
          </w:p>
        </w:tc>
        <w:tc>
          <w:tcPr>
            <w:tcW w:w="888" w:type="dxa"/>
            <w:tcBorders>
              <w:bottom w:val="single" w:sz="4" w:space="0" w:color="auto"/>
            </w:tcBorders>
            <w:shd w:val="clear" w:color="auto" w:fill="F3F9FA"/>
            <w:noWrap/>
            <w:vAlign w:val="bottom"/>
            <w:hideMark/>
          </w:tcPr>
          <w:p w14:paraId="50CB454B" w14:textId="391EC6E2" w:rsidR="001D5EED" w:rsidRPr="001D5EED" w:rsidRDefault="001D5EED" w:rsidP="001D5EED">
            <w:pPr>
              <w:spacing w:before="0" w:after="0"/>
              <w:jc w:val="center"/>
              <w:rPr>
                <w:sz w:val="16"/>
                <w:szCs w:val="16"/>
              </w:rPr>
            </w:pPr>
            <w:r w:rsidRPr="001D5EED">
              <w:rPr>
                <w:sz w:val="16"/>
                <w:szCs w:val="16"/>
              </w:rPr>
              <w:t>13.4</w:t>
            </w:r>
          </w:p>
        </w:tc>
        <w:tc>
          <w:tcPr>
            <w:tcW w:w="885" w:type="dxa"/>
            <w:tcBorders>
              <w:bottom w:val="single" w:sz="4" w:space="0" w:color="auto"/>
            </w:tcBorders>
            <w:shd w:val="clear" w:color="auto" w:fill="F3F9FA"/>
            <w:noWrap/>
            <w:vAlign w:val="bottom"/>
          </w:tcPr>
          <w:p w14:paraId="212E2CA8" w14:textId="373D4E1E" w:rsidR="001D5EED" w:rsidRPr="001D5EED" w:rsidRDefault="001D5EED" w:rsidP="001D5EED">
            <w:pPr>
              <w:spacing w:before="0" w:after="0"/>
              <w:jc w:val="center"/>
              <w:rPr>
                <w:sz w:val="16"/>
                <w:szCs w:val="16"/>
              </w:rPr>
            </w:pPr>
            <w:r w:rsidRPr="001D5EED">
              <w:rPr>
                <w:sz w:val="16"/>
                <w:szCs w:val="16"/>
              </w:rPr>
              <w:t>75</w:t>
            </w:r>
          </w:p>
        </w:tc>
      </w:tr>
      <w:tr w:rsidR="001D5EED" w14:paraId="0490012A" w14:textId="77777777" w:rsidTr="006F4537">
        <w:trPr>
          <w:jc w:val="center"/>
        </w:trPr>
        <w:tc>
          <w:tcPr>
            <w:tcW w:w="1508" w:type="dxa"/>
            <w:noWrap/>
            <w:vAlign w:val="bottom"/>
          </w:tcPr>
          <w:p w14:paraId="13DB7F7B" w14:textId="77777777" w:rsidR="001D5EED" w:rsidRDefault="001D5EED" w:rsidP="001D5EED">
            <w:pPr>
              <w:spacing w:before="0" w:after="0"/>
              <w:rPr>
                <w:color w:val="000000"/>
                <w:sz w:val="16"/>
                <w:szCs w:val="16"/>
              </w:rPr>
            </w:pPr>
          </w:p>
        </w:tc>
        <w:tc>
          <w:tcPr>
            <w:tcW w:w="1286" w:type="dxa"/>
            <w:tcBorders>
              <w:top w:val="single" w:sz="4" w:space="0" w:color="auto"/>
            </w:tcBorders>
            <w:shd w:val="clear" w:color="auto" w:fill="E7F3F4"/>
            <w:noWrap/>
            <w:vAlign w:val="bottom"/>
          </w:tcPr>
          <w:p w14:paraId="66B65066" w14:textId="77777777" w:rsidR="001D5EED" w:rsidRPr="007D5825" w:rsidRDefault="001D5EED" w:rsidP="001D5EED">
            <w:pPr>
              <w:spacing w:before="0" w:after="0"/>
              <w:jc w:val="center"/>
              <w:rPr>
                <w:sz w:val="16"/>
                <w:szCs w:val="16"/>
              </w:rPr>
            </w:pPr>
            <w:r w:rsidRPr="007D5825">
              <w:rPr>
                <w:sz w:val="16"/>
                <w:szCs w:val="16"/>
              </w:rPr>
              <w:t>Hamilton Island</w:t>
            </w:r>
          </w:p>
        </w:tc>
        <w:tc>
          <w:tcPr>
            <w:tcW w:w="603" w:type="dxa"/>
            <w:tcBorders>
              <w:top w:val="single" w:sz="4" w:space="0" w:color="auto"/>
            </w:tcBorders>
            <w:shd w:val="clear" w:color="auto" w:fill="E7F3F4"/>
            <w:noWrap/>
            <w:vAlign w:val="bottom"/>
            <w:hideMark/>
          </w:tcPr>
          <w:p w14:paraId="7B37342A" w14:textId="77777777" w:rsidR="001D5EED" w:rsidRPr="007D5825" w:rsidRDefault="001D5EED" w:rsidP="001D5EED">
            <w:pPr>
              <w:spacing w:before="0" w:after="0"/>
              <w:jc w:val="center"/>
              <w:rPr>
                <w:sz w:val="16"/>
                <w:szCs w:val="16"/>
              </w:rPr>
            </w:pPr>
            <w:r w:rsidRPr="007D5825">
              <w:rPr>
                <w:sz w:val="16"/>
                <w:szCs w:val="16"/>
              </w:rPr>
              <w:t>HM1</w:t>
            </w:r>
          </w:p>
        </w:tc>
        <w:tc>
          <w:tcPr>
            <w:tcW w:w="931" w:type="dxa"/>
            <w:tcBorders>
              <w:top w:val="single" w:sz="4" w:space="0" w:color="auto"/>
            </w:tcBorders>
            <w:shd w:val="clear" w:color="auto" w:fill="E7F3F4"/>
            <w:noWrap/>
            <w:vAlign w:val="bottom"/>
            <w:hideMark/>
          </w:tcPr>
          <w:p w14:paraId="0FD92AAB" w14:textId="31F6A7D9" w:rsidR="001D5EED" w:rsidRPr="007D5825" w:rsidRDefault="001D5EED" w:rsidP="001D5EED">
            <w:pPr>
              <w:spacing w:before="0" w:after="0"/>
              <w:jc w:val="center"/>
              <w:rPr>
                <w:sz w:val="16"/>
                <w:szCs w:val="16"/>
              </w:rPr>
            </w:pPr>
            <w:r>
              <w:rPr>
                <w:sz w:val="16"/>
                <w:szCs w:val="16"/>
              </w:rPr>
              <w:t>01-Oct-16</w:t>
            </w:r>
          </w:p>
        </w:tc>
        <w:tc>
          <w:tcPr>
            <w:tcW w:w="815" w:type="dxa"/>
            <w:tcBorders>
              <w:top w:val="single" w:sz="4" w:space="0" w:color="auto"/>
            </w:tcBorders>
            <w:shd w:val="clear" w:color="auto" w:fill="E7F3F4"/>
            <w:noWrap/>
            <w:vAlign w:val="bottom"/>
          </w:tcPr>
          <w:p w14:paraId="19469BE5" w14:textId="3E791175" w:rsidR="001D5EED" w:rsidRPr="001D5EED" w:rsidRDefault="001D5EED" w:rsidP="001D5EED">
            <w:pPr>
              <w:spacing w:before="0" w:after="0"/>
              <w:jc w:val="center"/>
              <w:rPr>
                <w:sz w:val="16"/>
                <w:szCs w:val="16"/>
              </w:rPr>
            </w:pPr>
            <w:r w:rsidRPr="001D5EED">
              <w:rPr>
                <w:sz w:val="16"/>
                <w:szCs w:val="16"/>
              </w:rPr>
              <w:t>2.4</w:t>
            </w:r>
          </w:p>
        </w:tc>
        <w:tc>
          <w:tcPr>
            <w:tcW w:w="823" w:type="dxa"/>
            <w:tcBorders>
              <w:top w:val="single" w:sz="4" w:space="0" w:color="auto"/>
            </w:tcBorders>
            <w:shd w:val="clear" w:color="auto" w:fill="E7F3F4"/>
            <w:noWrap/>
            <w:vAlign w:val="bottom"/>
          </w:tcPr>
          <w:p w14:paraId="44D75564" w14:textId="12F22FAC" w:rsidR="001D5EED" w:rsidRPr="001D5EED" w:rsidRDefault="001D5EED" w:rsidP="001D5EED">
            <w:pPr>
              <w:spacing w:before="0" w:after="0"/>
              <w:jc w:val="center"/>
              <w:rPr>
                <w:sz w:val="16"/>
                <w:szCs w:val="16"/>
              </w:rPr>
            </w:pPr>
            <w:r w:rsidRPr="001D5EED">
              <w:rPr>
                <w:sz w:val="16"/>
                <w:szCs w:val="16"/>
              </w:rPr>
              <w:t>0</w:t>
            </w:r>
          </w:p>
        </w:tc>
        <w:tc>
          <w:tcPr>
            <w:tcW w:w="888" w:type="dxa"/>
            <w:tcBorders>
              <w:top w:val="single" w:sz="4" w:space="0" w:color="auto"/>
            </w:tcBorders>
            <w:shd w:val="clear" w:color="auto" w:fill="E7F3F4"/>
            <w:noWrap/>
            <w:vAlign w:val="bottom"/>
            <w:hideMark/>
          </w:tcPr>
          <w:p w14:paraId="13F3B5D2" w14:textId="6E824DF0" w:rsidR="001D5EED" w:rsidRPr="001D5EED" w:rsidRDefault="001D5EED" w:rsidP="001D5EED">
            <w:pPr>
              <w:spacing w:before="0" w:after="0"/>
              <w:jc w:val="center"/>
              <w:rPr>
                <w:sz w:val="16"/>
                <w:szCs w:val="16"/>
              </w:rPr>
            </w:pPr>
            <w:r w:rsidRPr="001D5EED">
              <w:rPr>
                <w:color w:val="000000"/>
                <w:sz w:val="16"/>
                <w:szCs w:val="16"/>
              </w:rPr>
              <w:t>9.2</w:t>
            </w:r>
          </w:p>
        </w:tc>
        <w:tc>
          <w:tcPr>
            <w:tcW w:w="888" w:type="dxa"/>
            <w:tcBorders>
              <w:top w:val="single" w:sz="4" w:space="0" w:color="auto"/>
            </w:tcBorders>
            <w:shd w:val="clear" w:color="auto" w:fill="E7F3F4"/>
            <w:noWrap/>
            <w:vAlign w:val="bottom"/>
            <w:hideMark/>
          </w:tcPr>
          <w:p w14:paraId="079300A0" w14:textId="29AE89F9" w:rsidR="001D5EED" w:rsidRPr="001D5EED" w:rsidRDefault="001D5EED" w:rsidP="001D5EED">
            <w:pPr>
              <w:spacing w:before="0" w:after="0"/>
              <w:jc w:val="center"/>
              <w:rPr>
                <w:sz w:val="16"/>
                <w:szCs w:val="16"/>
              </w:rPr>
            </w:pPr>
            <w:r w:rsidRPr="001D5EED">
              <w:rPr>
                <w:color w:val="000000"/>
                <w:sz w:val="16"/>
                <w:szCs w:val="16"/>
              </w:rPr>
              <w:t>12.2</w:t>
            </w:r>
          </w:p>
        </w:tc>
        <w:tc>
          <w:tcPr>
            <w:tcW w:w="888" w:type="dxa"/>
            <w:tcBorders>
              <w:top w:val="single" w:sz="4" w:space="0" w:color="auto"/>
            </w:tcBorders>
            <w:shd w:val="clear" w:color="auto" w:fill="E7F3F4"/>
            <w:noWrap/>
            <w:vAlign w:val="bottom"/>
            <w:hideMark/>
          </w:tcPr>
          <w:p w14:paraId="2D8BAA9B" w14:textId="3B09A4CA" w:rsidR="001D5EED" w:rsidRPr="001D5EED" w:rsidRDefault="001D5EED" w:rsidP="001D5EED">
            <w:pPr>
              <w:spacing w:before="0" w:after="0"/>
              <w:jc w:val="center"/>
              <w:rPr>
                <w:sz w:val="16"/>
                <w:szCs w:val="16"/>
              </w:rPr>
            </w:pPr>
            <w:r w:rsidRPr="001D5EED">
              <w:rPr>
                <w:color w:val="000000"/>
                <w:sz w:val="16"/>
                <w:szCs w:val="16"/>
              </w:rPr>
              <w:t>13.8</w:t>
            </w:r>
          </w:p>
        </w:tc>
        <w:tc>
          <w:tcPr>
            <w:tcW w:w="885" w:type="dxa"/>
            <w:tcBorders>
              <w:top w:val="single" w:sz="4" w:space="0" w:color="auto"/>
            </w:tcBorders>
            <w:shd w:val="clear" w:color="auto" w:fill="E7F3F4"/>
            <w:noWrap/>
            <w:vAlign w:val="bottom"/>
            <w:hideMark/>
          </w:tcPr>
          <w:p w14:paraId="621CC3CA" w14:textId="3580BD8F" w:rsidR="001D5EED" w:rsidRPr="001D5EED" w:rsidRDefault="001D5EED" w:rsidP="001D5EED">
            <w:pPr>
              <w:spacing w:before="0" w:after="0"/>
              <w:jc w:val="center"/>
              <w:rPr>
                <w:sz w:val="16"/>
                <w:szCs w:val="16"/>
              </w:rPr>
            </w:pPr>
            <w:r w:rsidRPr="001D5EED">
              <w:rPr>
                <w:sz w:val="16"/>
                <w:szCs w:val="16"/>
              </w:rPr>
              <w:t>0</w:t>
            </w:r>
          </w:p>
        </w:tc>
      </w:tr>
      <w:tr w:rsidR="001D5EED" w14:paraId="3ECBCC48" w14:textId="77777777" w:rsidTr="006F4537">
        <w:trPr>
          <w:jc w:val="center"/>
        </w:trPr>
        <w:tc>
          <w:tcPr>
            <w:tcW w:w="1508" w:type="dxa"/>
            <w:noWrap/>
            <w:vAlign w:val="bottom"/>
          </w:tcPr>
          <w:p w14:paraId="23896780" w14:textId="77777777" w:rsidR="001D5EED" w:rsidRDefault="001D5EED" w:rsidP="001D5EED">
            <w:pPr>
              <w:spacing w:before="0" w:after="0"/>
              <w:rPr>
                <w:color w:val="000000"/>
                <w:sz w:val="16"/>
                <w:szCs w:val="16"/>
              </w:rPr>
            </w:pPr>
          </w:p>
        </w:tc>
        <w:tc>
          <w:tcPr>
            <w:tcW w:w="1286" w:type="dxa"/>
            <w:shd w:val="clear" w:color="auto" w:fill="E7F3F4"/>
            <w:noWrap/>
            <w:vAlign w:val="bottom"/>
          </w:tcPr>
          <w:p w14:paraId="695458AA" w14:textId="77777777" w:rsidR="001D5EED" w:rsidRDefault="001D5EED" w:rsidP="001D5EED">
            <w:pPr>
              <w:spacing w:before="0" w:after="0"/>
              <w:jc w:val="center"/>
              <w:rPr>
                <w:color w:val="000000"/>
                <w:sz w:val="16"/>
                <w:szCs w:val="16"/>
              </w:rPr>
            </w:pPr>
          </w:p>
        </w:tc>
        <w:tc>
          <w:tcPr>
            <w:tcW w:w="603" w:type="dxa"/>
            <w:shd w:val="clear" w:color="auto" w:fill="E7F3F4"/>
            <w:noWrap/>
            <w:vAlign w:val="bottom"/>
            <w:hideMark/>
          </w:tcPr>
          <w:p w14:paraId="63DA5051" w14:textId="77777777" w:rsidR="001D5EED" w:rsidRDefault="001D5EED" w:rsidP="001D5EED">
            <w:pPr>
              <w:spacing w:before="0" w:after="0"/>
              <w:jc w:val="center"/>
              <w:rPr>
                <w:color w:val="000000"/>
                <w:sz w:val="16"/>
                <w:szCs w:val="16"/>
              </w:rPr>
            </w:pPr>
            <w:r>
              <w:rPr>
                <w:color w:val="000000"/>
                <w:sz w:val="16"/>
                <w:szCs w:val="16"/>
              </w:rPr>
              <w:t>HM1</w:t>
            </w:r>
          </w:p>
        </w:tc>
        <w:tc>
          <w:tcPr>
            <w:tcW w:w="931" w:type="dxa"/>
            <w:shd w:val="clear" w:color="auto" w:fill="E7F3F4"/>
            <w:noWrap/>
            <w:vAlign w:val="bottom"/>
            <w:hideMark/>
          </w:tcPr>
          <w:p w14:paraId="4948161B" w14:textId="1F98EA8D" w:rsidR="001D5EED" w:rsidRPr="002B36F2" w:rsidRDefault="001D5EED" w:rsidP="001D5EED">
            <w:pPr>
              <w:spacing w:before="0" w:after="0"/>
              <w:jc w:val="center"/>
              <w:rPr>
                <w:sz w:val="16"/>
                <w:szCs w:val="16"/>
              </w:rPr>
            </w:pPr>
            <w:r>
              <w:rPr>
                <w:sz w:val="16"/>
                <w:szCs w:val="16"/>
              </w:rPr>
              <w:t>01-Apr-17</w:t>
            </w:r>
          </w:p>
        </w:tc>
        <w:tc>
          <w:tcPr>
            <w:tcW w:w="815" w:type="dxa"/>
            <w:shd w:val="clear" w:color="auto" w:fill="E7F3F4"/>
            <w:noWrap/>
            <w:vAlign w:val="bottom"/>
          </w:tcPr>
          <w:p w14:paraId="6D84EC1D" w14:textId="1EAC3CB6" w:rsidR="001D5EED" w:rsidRPr="001D5EED" w:rsidRDefault="001D5EED" w:rsidP="001D5EED">
            <w:pPr>
              <w:spacing w:before="0" w:after="0"/>
              <w:jc w:val="center"/>
              <w:rPr>
                <w:sz w:val="16"/>
                <w:szCs w:val="16"/>
              </w:rPr>
            </w:pPr>
            <w:r w:rsidRPr="001D5EED">
              <w:rPr>
                <w:sz w:val="16"/>
                <w:szCs w:val="16"/>
              </w:rPr>
              <w:t>0.3</w:t>
            </w:r>
          </w:p>
        </w:tc>
        <w:tc>
          <w:tcPr>
            <w:tcW w:w="823" w:type="dxa"/>
            <w:shd w:val="clear" w:color="auto" w:fill="E7F3F4"/>
            <w:noWrap/>
            <w:vAlign w:val="bottom"/>
          </w:tcPr>
          <w:p w14:paraId="1F62FA5D" w14:textId="6B6ACFC4" w:rsidR="001D5EED" w:rsidRPr="001D5EED" w:rsidRDefault="001D5EED" w:rsidP="001D5EED">
            <w:pPr>
              <w:spacing w:before="0" w:after="0"/>
              <w:jc w:val="center"/>
              <w:rPr>
                <w:sz w:val="16"/>
                <w:szCs w:val="16"/>
              </w:rPr>
            </w:pPr>
            <w:r w:rsidRPr="001D5EED">
              <w:rPr>
                <w:sz w:val="16"/>
                <w:szCs w:val="16"/>
              </w:rPr>
              <w:t>0</w:t>
            </w:r>
          </w:p>
        </w:tc>
        <w:tc>
          <w:tcPr>
            <w:tcW w:w="888" w:type="dxa"/>
            <w:shd w:val="clear" w:color="auto" w:fill="E7F3F4"/>
            <w:noWrap/>
            <w:vAlign w:val="bottom"/>
            <w:hideMark/>
          </w:tcPr>
          <w:p w14:paraId="332B95EE" w14:textId="6234209A" w:rsidR="001D5EED" w:rsidRPr="001D5EED" w:rsidRDefault="001D5EED" w:rsidP="001D5EED">
            <w:pPr>
              <w:spacing w:before="0" w:after="0"/>
              <w:jc w:val="center"/>
              <w:rPr>
                <w:sz w:val="16"/>
                <w:szCs w:val="16"/>
              </w:rPr>
            </w:pPr>
            <w:r w:rsidRPr="001D5EED">
              <w:rPr>
                <w:color w:val="000000"/>
                <w:sz w:val="16"/>
                <w:szCs w:val="16"/>
              </w:rPr>
              <w:t>9.2</w:t>
            </w:r>
          </w:p>
        </w:tc>
        <w:tc>
          <w:tcPr>
            <w:tcW w:w="888" w:type="dxa"/>
            <w:shd w:val="clear" w:color="auto" w:fill="E7F3F4"/>
            <w:noWrap/>
            <w:vAlign w:val="bottom"/>
            <w:hideMark/>
          </w:tcPr>
          <w:p w14:paraId="2A23A4A1" w14:textId="44859796" w:rsidR="001D5EED" w:rsidRPr="001D5EED" w:rsidRDefault="001D5EED" w:rsidP="001D5EED">
            <w:pPr>
              <w:spacing w:before="0" w:after="0"/>
              <w:jc w:val="center"/>
              <w:rPr>
                <w:sz w:val="16"/>
                <w:szCs w:val="16"/>
              </w:rPr>
            </w:pPr>
            <w:r w:rsidRPr="001D5EED">
              <w:rPr>
                <w:color w:val="000000"/>
                <w:sz w:val="16"/>
                <w:szCs w:val="16"/>
              </w:rPr>
              <w:t>12.2</w:t>
            </w:r>
          </w:p>
        </w:tc>
        <w:tc>
          <w:tcPr>
            <w:tcW w:w="888" w:type="dxa"/>
            <w:shd w:val="clear" w:color="auto" w:fill="E7F3F4"/>
            <w:noWrap/>
            <w:vAlign w:val="bottom"/>
            <w:hideMark/>
          </w:tcPr>
          <w:p w14:paraId="346F6DCF" w14:textId="4B7AE4EA" w:rsidR="001D5EED" w:rsidRPr="001D5EED" w:rsidRDefault="001D5EED" w:rsidP="001D5EED">
            <w:pPr>
              <w:spacing w:before="0" w:after="0"/>
              <w:jc w:val="center"/>
              <w:rPr>
                <w:sz w:val="16"/>
                <w:szCs w:val="16"/>
              </w:rPr>
            </w:pPr>
            <w:r w:rsidRPr="001D5EED">
              <w:rPr>
                <w:color w:val="000000"/>
                <w:sz w:val="16"/>
                <w:szCs w:val="16"/>
              </w:rPr>
              <w:t>13.8</w:t>
            </w:r>
          </w:p>
        </w:tc>
        <w:tc>
          <w:tcPr>
            <w:tcW w:w="885" w:type="dxa"/>
            <w:shd w:val="clear" w:color="auto" w:fill="E7F3F4"/>
            <w:noWrap/>
            <w:vAlign w:val="bottom"/>
            <w:hideMark/>
          </w:tcPr>
          <w:p w14:paraId="31D47651" w14:textId="30E06AFD" w:rsidR="001D5EED" w:rsidRPr="001D5EED" w:rsidRDefault="001D5EED" w:rsidP="001D5EED">
            <w:pPr>
              <w:spacing w:before="0" w:after="0"/>
              <w:jc w:val="center"/>
              <w:rPr>
                <w:sz w:val="16"/>
                <w:szCs w:val="16"/>
              </w:rPr>
            </w:pPr>
            <w:r w:rsidRPr="001D5EED">
              <w:rPr>
                <w:sz w:val="16"/>
                <w:szCs w:val="16"/>
              </w:rPr>
              <w:t>0</w:t>
            </w:r>
          </w:p>
        </w:tc>
      </w:tr>
      <w:tr w:rsidR="001D5EED" w14:paraId="7D52A017" w14:textId="77777777" w:rsidTr="006F4537">
        <w:trPr>
          <w:jc w:val="center"/>
        </w:trPr>
        <w:tc>
          <w:tcPr>
            <w:tcW w:w="1508" w:type="dxa"/>
            <w:noWrap/>
            <w:vAlign w:val="bottom"/>
          </w:tcPr>
          <w:p w14:paraId="2B68AB3E" w14:textId="77777777" w:rsidR="001D5EED" w:rsidRDefault="001D5EED" w:rsidP="001D5EED">
            <w:pPr>
              <w:spacing w:before="0" w:after="0"/>
              <w:rPr>
                <w:color w:val="000000"/>
                <w:sz w:val="16"/>
                <w:szCs w:val="16"/>
              </w:rPr>
            </w:pPr>
          </w:p>
        </w:tc>
        <w:tc>
          <w:tcPr>
            <w:tcW w:w="1286" w:type="dxa"/>
            <w:shd w:val="clear" w:color="auto" w:fill="E7F3F4"/>
            <w:noWrap/>
            <w:vAlign w:val="bottom"/>
          </w:tcPr>
          <w:p w14:paraId="697E2F21" w14:textId="77777777" w:rsidR="001D5EED" w:rsidRPr="002B36F2" w:rsidRDefault="001D5EED" w:rsidP="001D5EED">
            <w:pPr>
              <w:spacing w:before="0" w:after="0"/>
              <w:jc w:val="center"/>
              <w:rPr>
                <w:sz w:val="16"/>
                <w:szCs w:val="16"/>
              </w:rPr>
            </w:pPr>
          </w:p>
        </w:tc>
        <w:tc>
          <w:tcPr>
            <w:tcW w:w="603" w:type="dxa"/>
            <w:shd w:val="clear" w:color="auto" w:fill="E7F3F4"/>
            <w:noWrap/>
            <w:vAlign w:val="bottom"/>
            <w:hideMark/>
          </w:tcPr>
          <w:p w14:paraId="28E2FB60" w14:textId="77777777" w:rsidR="001D5EED" w:rsidRPr="002B36F2" w:rsidRDefault="001D5EED" w:rsidP="001D5EED">
            <w:pPr>
              <w:spacing w:before="0" w:after="0"/>
              <w:jc w:val="center"/>
              <w:rPr>
                <w:sz w:val="16"/>
                <w:szCs w:val="16"/>
              </w:rPr>
            </w:pPr>
            <w:r w:rsidRPr="002B36F2">
              <w:rPr>
                <w:sz w:val="16"/>
                <w:szCs w:val="16"/>
              </w:rPr>
              <w:t>HM2</w:t>
            </w:r>
          </w:p>
        </w:tc>
        <w:tc>
          <w:tcPr>
            <w:tcW w:w="931" w:type="dxa"/>
            <w:shd w:val="clear" w:color="auto" w:fill="E7F3F4"/>
            <w:noWrap/>
            <w:vAlign w:val="bottom"/>
            <w:hideMark/>
          </w:tcPr>
          <w:p w14:paraId="26D26B6B" w14:textId="49B7D4CA" w:rsidR="001D5EED" w:rsidRPr="002B36F2" w:rsidRDefault="001D5EED" w:rsidP="001D5EED">
            <w:pPr>
              <w:spacing w:before="0" w:after="0"/>
              <w:jc w:val="center"/>
              <w:rPr>
                <w:sz w:val="16"/>
                <w:szCs w:val="16"/>
              </w:rPr>
            </w:pPr>
            <w:r>
              <w:rPr>
                <w:sz w:val="16"/>
                <w:szCs w:val="16"/>
              </w:rPr>
              <w:t>01-Oct-16</w:t>
            </w:r>
          </w:p>
        </w:tc>
        <w:tc>
          <w:tcPr>
            <w:tcW w:w="815" w:type="dxa"/>
            <w:shd w:val="clear" w:color="auto" w:fill="E7F3F4"/>
            <w:noWrap/>
            <w:vAlign w:val="bottom"/>
          </w:tcPr>
          <w:p w14:paraId="716F9DAB" w14:textId="2A1E6721" w:rsidR="001D5EED" w:rsidRPr="001D5EED" w:rsidRDefault="001D5EED" w:rsidP="001D5EED">
            <w:pPr>
              <w:spacing w:before="0" w:after="0"/>
              <w:jc w:val="center"/>
              <w:rPr>
                <w:sz w:val="16"/>
                <w:szCs w:val="16"/>
              </w:rPr>
            </w:pPr>
            <w:r w:rsidRPr="001D5EED">
              <w:rPr>
                <w:sz w:val="16"/>
                <w:szCs w:val="16"/>
              </w:rPr>
              <w:t>2.7</w:t>
            </w:r>
          </w:p>
        </w:tc>
        <w:tc>
          <w:tcPr>
            <w:tcW w:w="823" w:type="dxa"/>
            <w:shd w:val="clear" w:color="auto" w:fill="E7F3F4"/>
            <w:noWrap/>
            <w:vAlign w:val="bottom"/>
          </w:tcPr>
          <w:p w14:paraId="620092FE" w14:textId="7130BA60" w:rsidR="001D5EED" w:rsidRPr="001D5EED" w:rsidRDefault="001D5EED" w:rsidP="001D5EED">
            <w:pPr>
              <w:spacing w:before="0" w:after="0"/>
              <w:jc w:val="center"/>
              <w:rPr>
                <w:sz w:val="16"/>
                <w:szCs w:val="16"/>
              </w:rPr>
            </w:pPr>
            <w:r w:rsidRPr="001D5EED">
              <w:rPr>
                <w:sz w:val="16"/>
                <w:szCs w:val="16"/>
              </w:rPr>
              <w:t>0</w:t>
            </w:r>
          </w:p>
        </w:tc>
        <w:tc>
          <w:tcPr>
            <w:tcW w:w="888" w:type="dxa"/>
            <w:shd w:val="clear" w:color="auto" w:fill="E7F3F4"/>
            <w:noWrap/>
            <w:vAlign w:val="bottom"/>
            <w:hideMark/>
          </w:tcPr>
          <w:p w14:paraId="4B140D70" w14:textId="21AAE4A3" w:rsidR="001D5EED" w:rsidRPr="001D5EED" w:rsidRDefault="001D5EED" w:rsidP="001D5EED">
            <w:pPr>
              <w:spacing w:before="0" w:after="0"/>
              <w:jc w:val="center"/>
              <w:rPr>
                <w:sz w:val="16"/>
                <w:szCs w:val="16"/>
              </w:rPr>
            </w:pPr>
            <w:r w:rsidRPr="001D5EED">
              <w:rPr>
                <w:color w:val="000000"/>
                <w:sz w:val="16"/>
                <w:szCs w:val="16"/>
              </w:rPr>
              <w:t>9.2</w:t>
            </w:r>
          </w:p>
        </w:tc>
        <w:tc>
          <w:tcPr>
            <w:tcW w:w="888" w:type="dxa"/>
            <w:shd w:val="clear" w:color="auto" w:fill="E7F3F4"/>
            <w:noWrap/>
            <w:vAlign w:val="bottom"/>
            <w:hideMark/>
          </w:tcPr>
          <w:p w14:paraId="5B54627E" w14:textId="3393D18E" w:rsidR="001D5EED" w:rsidRPr="001D5EED" w:rsidRDefault="001D5EED" w:rsidP="001D5EED">
            <w:pPr>
              <w:spacing w:before="0" w:after="0"/>
              <w:jc w:val="center"/>
              <w:rPr>
                <w:sz w:val="16"/>
                <w:szCs w:val="16"/>
              </w:rPr>
            </w:pPr>
            <w:r w:rsidRPr="001D5EED">
              <w:rPr>
                <w:color w:val="000000"/>
                <w:sz w:val="16"/>
                <w:szCs w:val="16"/>
              </w:rPr>
              <w:t>12.2</w:t>
            </w:r>
          </w:p>
        </w:tc>
        <w:tc>
          <w:tcPr>
            <w:tcW w:w="888" w:type="dxa"/>
            <w:shd w:val="clear" w:color="auto" w:fill="E7F3F4"/>
            <w:noWrap/>
            <w:vAlign w:val="bottom"/>
            <w:hideMark/>
          </w:tcPr>
          <w:p w14:paraId="4F536FB0" w14:textId="155B0D91" w:rsidR="001D5EED" w:rsidRPr="001D5EED" w:rsidRDefault="001D5EED" w:rsidP="001D5EED">
            <w:pPr>
              <w:spacing w:before="0" w:after="0"/>
              <w:jc w:val="center"/>
              <w:rPr>
                <w:sz w:val="16"/>
                <w:szCs w:val="16"/>
              </w:rPr>
            </w:pPr>
            <w:r w:rsidRPr="001D5EED">
              <w:rPr>
                <w:color w:val="000000"/>
                <w:sz w:val="16"/>
                <w:szCs w:val="16"/>
              </w:rPr>
              <w:t>13.8</w:t>
            </w:r>
          </w:p>
        </w:tc>
        <w:tc>
          <w:tcPr>
            <w:tcW w:w="885" w:type="dxa"/>
            <w:shd w:val="clear" w:color="auto" w:fill="E7F3F4"/>
            <w:noWrap/>
            <w:vAlign w:val="bottom"/>
            <w:hideMark/>
          </w:tcPr>
          <w:p w14:paraId="4EF08CB3" w14:textId="4601322E" w:rsidR="001D5EED" w:rsidRPr="001D5EED" w:rsidRDefault="001D5EED" w:rsidP="001D5EED">
            <w:pPr>
              <w:spacing w:before="0" w:after="0"/>
              <w:jc w:val="center"/>
              <w:rPr>
                <w:sz w:val="16"/>
                <w:szCs w:val="16"/>
              </w:rPr>
            </w:pPr>
            <w:r w:rsidRPr="001D5EED">
              <w:rPr>
                <w:sz w:val="16"/>
                <w:szCs w:val="16"/>
              </w:rPr>
              <w:t>0</w:t>
            </w:r>
          </w:p>
        </w:tc>
      </w:tr>
      <w:tr w:rsidR="001D5EED" w14:paraId="21C1EDF2" w14:textId="77777777" w:rsidTr="006F4537">
        <w:trPr>
          <w:jc w:val="center"/>
        </w:trPr>
        <w:tc>
          <w:tcPr>
            <w:tcW w:w="1508" w:type="dxa"/>
            <w:tcBorders>
              <w:top w:val="nil"/>
              <w:left w:val="nil"/>
              <w:bottom w:val="single" w:sz="4" w:space="0" w:color="auto"/>
              <w:right w:val="nil"/>
            </w:tcBorders>
            <w:noWrap/>
            <w:vAlign w:val="bottom"/>
          </w:tcPr>
          <w:p w14:paraId="65D4963A" w14:textId="77777777" w:rsidR="001D5EED" w:rsidRDefault="001D5EED" w:rsidP="001D5EED">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14:paraId="27942349" w14:textId="77777777" w:rsidR="001D5EED" w:rsidRPr="002B36F2" w:rsidRDefault="001D5EED" w:rsidP="001D5EED">
            <w:pPr>
              <w:spacing w:before="0" w:after="0"/>
              <w:jc w:val="center"/>
              <w:rPr>
                <w:sz w:val="16"/>
                <w:szCs w:val="16"/>
              </w:rPr>
            </w:pPr>
          </w:p>
        </w:tc>
        <w:tc>
          <w:tcPr>
            <w:tcW w:w="603" w:type="dxa"/>
            <w:tcBorders>
              <w:top w:val="nil"/>
              <w:left w:val="nil"/>
              <w:bottom w:val="single" w:sz="4" w:space="0" w:color="auto"/>
              <w:right w:val="nil"/>
            </w:tcBorders>
            <w:shd w:val="clear" w:color="auto" w:fill="E7F3F4"/>
            <w:noWrap/>
            <w:vAlign w:val="bottom"/>
            <w:hideMark/>
          </w:tcPr>
          <w:p w14:paraId="791A76CA" w14:textId="77777777" w:rsidR="001D5EED" w:rsidRPr="002B36F2" w:rsidRDefault="001D5EED" w:rsidP="001D5EED">
            <w:pPr>
              <w:spacing w:before="0" w:after="0"/>
              <w:jc w:val="center"/>
              <w:rPr>
                <w:sz w:val="16"/>
                <w:szCs w:val="16"/>
              </w:rPr>
            </w:pPr>
            <w:r w:rsidRPr="002B36F2">
              <w:rPr>
                <w:sz w:val="16"/>
                <w:szCs w:val="16"/>
              </w:rPr>
              <w:t>HM2</w:t>
            </w:r>
          </w:p>
        </w:tc>
        <w:tc>
          <w:tcPr>
            <w:tcW w:w="931" w:type="dxa"/>
            <w:tcBorders>
              <w:top w:val="nil"/>
              <w:left w:val="nil"/>
              <w:bottom w:val="single" w:sz="4" w:space="0" w:color="auto"/>
              <w:right w:val="nil"/>
            </w:tcBorders>
            <w:shd w:val="clear" w:color="auto" w:fill="E7F3F4"/>
            <w:noWrap/>
            <w:vAlign w:val="bottom"/>
            <w:hideMark/>
          </w:tcPr>
          <w:p w14:paraId="074C2A55" w14:textId="245B7D15" w:rsidR="001D5EED" w:rsidRPr="002B36F2" w:rsidRDefault="001D5EED" w:rsidP="001D5EED">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tcPr>
          <w:p w14:paraId="1000B79A" w14:textId="07816DB5" w:rsidR="001D5EED" w:rsidRPr="001D5EED" w:rsidRDefault="001D5EED" w:rsidP="001D5EED">
            <w:pPr>
              <w:spacing w:before="0" w:after="0"/>
              <w:jc w:val="center"/>
              <w:rPr>
                <w:sz w:val="16"/>
                <w:szCs w:val="16"/>
              </w:rPr>
            </w:pPr>
            <w:r w:rsidRPr="001D5EED">
              <w:rPr>
                <w:sz w:val="16"/>
                <w:szCs w:val="16"/>
              </w:rPr>
              <w:t>0.0</w:t>
            </w:r>
          </w:p>
        </w:tc>
        <w:tc>
          <w:tcPr>
            <w:tcW w:w="823" w:type="dxa"/>
            <w:tcBorders>
              <w:top w:val="nil"/>
              <w:left w:val="nil"/>
              <w:bottom w:val="single" w:sz="4" w:space="0" w:color="auto"/>
              <w:right w:val="nil"/>
            </w:tcBorders>
            <w:shd w:val="clear" w:color="auto" w:fill="E7F3F4"/>
            <w:noWrap/>
            <w:vAlign w:val="bottom"/>
          </w:tcPr>
          <w:p w14:paraId="069055AE" w14:textId="2724E30A" w:rsidR="001D5EED" w:rsidRPr="001D5EED" w:rsidRDefault="001D5EED" w:rsidP="001D5EED">
            <w:pPr>
              <w:spacing w:before="0" w:after="0"/>
              <w:jc w:val="center"/>
              <w:rPr>
                <w:sz w:val="16"/>
                <w:szCs w:val="16"/>
              </w:rPr>
            </w:pPr>
            <w:r w:rsidRPr="001D5EED">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6A33B9AB" w14:textId="60E573FF" w:rsidR="001D5EED" w:rsidRPr="001D5EED" w:rsidRDefault="001D5EED" w:rsidP="001D5EED">
            <w:pPr>
              <w:spacing w:before="0" w:after="0"/>
              <w:jc w:val="center"/>
              <w:rPr>
                <w:sz w:val="16"/>
                <w:szCs w:val="16"/>
              </w:rPr>
            </w:pPr>
            <w:r w:rsidRPr="001D5EED">
              <w:rPr>
                <w:color w:val="000000"/>
                <w:sz w:val="16"/>
                <w:szCs w:val="16"/>
              </w:rPr>
              <w:t>9.2</w:t>
            </w:r>
          </w:p>
        </w:tc>
        <w:tc>
          <w:tcPr>
            <w:tcW w:w="888" w:type="dxa"/>
            <w:tcBorders>
              <w:top w:val="nil"/>
              <w:left w:val="nil"/>
              <w:bottom w:val="single" w:sz="4" w:space="0" w:color="auto"/>
              <w:right w:val="nil"/>
            </w:tcBorders>
            <w:shd w:val="clear" w:color="auto" w:fill="E7F3F4"/>
            <w:noWrap/>
            <w:vAlign w:val="bottom"/>
            <w:hideMark/>
          </w:tcPr>
          <w:p w14:paraId="5D66BD92" w14:textId="590BAA21" w:rsidR="001D5EED" w:rsidRPr="001D5EED" w:rsidRDefault="001D5EED" w:rsidP="001D5EED">
            <w:pPr>
              <w:spacing w:before="0" w:after="0"/>
              <w:jc w:val="center"/>
              <w:rPr>
                <w:sz w:val="16"/>
                <w:szCs w:val="16"/>
              </w:rPr>
            </w:pPr>
            <w:r w:rsidRPr="001D5EED">
              <w:rPr>
                <w:color w:val="000000"/>
                <w:sz w:val="16"/>
                <w:szCs w:val="16"/>
              </w:rPr>
              <w:t>12.2</w:t>
            </w:r>
          </w:p>
        </w:tc>
        <w:tc>
          <w:tcPr>
            <w:tcW w:w="888" w:type="dxa"/>
            <w:tcBorders>
              <w:top w:val="nil"/>
              <w:left w:val="nil"/>
              <w:bottom w:val="single" w:sz="4" w:space="0" w:color="auto"/>
              <w:right w:val="nil"/>
            </w:tcBorders>
            <w:shd w:val="clear" w:color="auto" w:fill="E7F3F4"/>
            <w:noWrap/>
            <w:vAlign w:val="bottom"/>
            <w:hideMark/>
          </w:tcPr>
          <w:p w14:paraId="49836BD2" w14:textId="713C1203" w:rsidR="001D5EED" w:rsidRPr="001D5EED" w:rsidRDefault="001D5EED" w:rsidP="001D5EED">
            <w:pPr>
              <w:spacing w:before="0" w:after="0"/>
              <w:jc w:val="center"/>
              <w:rPr>
                <w:sz w:val="16"/>
                <w:szCs w:val="16"/>
              </w:rPr>
            </w:pPr>
            <w:r w:rsidRPr="001D5EED">
              <w:rPr>
                <w:color w:val="000000"/>
                <w:sz w:val="16"/>
                <w:szCs w:val="16"/>
              </w:rPr>
              <w:t>13.8</w:t>
            </w:r>
          </w:p>
        </w:tc>
        <w:tc>
          <w:tcPr>
            <w:tcW w:w="885" w:type="dxa"/>
            <w:tcBorders>
              <w:top w:val="nil"/>
              <w:left w:val="nil"/>
              <w:bottom w:val="single" w:sz="4" w:space="0" w:color="auto"/>
              <w:right w:val="nil"/>
            </w:tcBorders>
            <w:shd w:val="clear" w:color="auto" w:fill="E7F3F4"/>
            <w:noWrap/>
            <w:vAlign w:val="bottom"/>
            <w:hideMark/>
          </w:tcPr>
          <w:p w14:paraId="51CC32B3" w14:textId="1D0DFD2B" w:rsidR="001D5EED" w:rsidRPr="001D5EED" w:rsidRDefault="001D5EED" w:rsidP="001D5EED">
            <w:pPr>
              <w:spacing w:before="0" w:after="0"/>
              <w:jc w:val="center"/>
              <w:rPr>
                <w:sz w:val="16"/>
                <w:szCs w:val="16"/>
              </w:rPr>
            </w:pPr>
            <w:r w:rsidRPr="001D5EED">
              <w:rPr>
                <w:sz w:val="16"/>
                <w:szCs w:val="16"/>
              </w:rPr>
              <w:t>0</w:t>
            </w:r>
          </w:p>
        </w:tc>
      </w:tr>
      <w:tr w:rsidR="001D5EED" w14:paraId="41932886" w14:textId="77777777" w:rsidTr="006F4537">
        <w:trPr>
          <w:jc w:val="center"/>
        </w:trPr>
        <w:tc>
          <w:tcPr>
            <w:tcW w:w="1508" w:type="dxa"/>
            <w:tcBorders>
              <w:top w:val="single" w:sz="4" w:space="0" w:color="auto"/>
              <w:left w:val="nil"/>
              <w:right w:val="nil"/>
            </w:tcBorders>
            <w:noWrap/>
            <w:vAlign w:val="bottom"/>
          </w:tcPr>
          <w:p w14:paraId="27D22C7D" w14:textId="77777777" w:rsidR="001D5EED" w:rsidRDefault="001D5EED" w:rsidP="001D5EED">
            <w:pPr>
              <w:spacing w:before="0" w:after="0"/>
              <w:rPr>
                <w:color w:val="000000"/>
                <w:sz w:val="16"/>
                <w:szCs w:val="16"/>
              </w:rPr>
            </w:pPr>
            <w:r>
              <w:rPr>
                <w:color w:val="000000"/>
                <w:sz w:val="16"/>
                <w:szCs w:val="16"/>
              </w:rPr>
              <w:t>reef subtidal</w:t>
            </w:r>
          </w:p>
        </w:tc>
        <w:tc>
          <w:tcPr>
            <w:tcW w:w="1286" w:type="dxa"/>
            <w:tcBorders>
              <w:top w:val="single" w:sz="4" w:space="0" w:color="auto"/>
              <w:left w:val="nil"/>
              <w:right w:val="nil"/>
            </w:tcBorders>
            <w:shd w:val="clear" w:color="auto" w:fill="F3F9FA"/>
            <w:noWrap/>
            <w:vAlign w:val="bottom"/>
          </w:tcPr>
          <w:p w14:paraId="45018D81" w14:textId="77777777" w:rsidR="001D5EED" w:rsidRPr="002B36F2" w:rsidRDefault="001D5EED" w:rsidP="001D5EED">
            <w:pPr>
              <w:spacing w:before="0" w:after="0"/>
              <w:jc w:val="center"/>
              <w:rPr>
                <w:sz w:val="16"/>
                <w:szCs w:val="16"/>
              </w:rPr>
            </w:pPr>
            <w:r w:rsidRPr="002B36F2">
              <w:rPr>
                <w:sz w:val="16"/>
                <w:szCs w:val="16"/>
              </w:rPr>
              <w:t>Tongue Bay</w:t>
            </w:r>
          </w:p>
        </w:tc>
        <w:tc>
          <w:tcPr>
            <w:tcW w:w="603" w:type="dxa"/>
            <w:tcBorders>
              <w:top w:val="single" w:sz="4" w:space="0" w:color="auto"/>
              <w:left w:val="nil"/>
              <w:right w:val="nil"/>
            </w:tcBorders>
            <w:shd w:val="clear" w:color="auto" w:fill="F3F9FA"/>
            <w:noWrap/>
            <w:vAlign w:val="bottom"/>
          </w:tcPr>
          <w:p w14:paraId="679E5C63" w14:textId="77777777" w:rsidR="001D5EED" w:rsidRPr="002B36F2" w:rsidRDefault="001D5EED" w:rsidP="001D5EED">
            <w:pPr>
              <w:spacing w:before="0" w:after="0"/>
              <w:jc w:val="center"/>
              <w:rPr>
                <w:sz w:val="16"/>
                <w:szCs w:val="16"/>
              </w:rPr>
            </w:pPr>
            <w:r>
              <w:rPr>
                <w:sz w:val="16"/>
                <w:szCs w:val="16"/>
              </w:rPr>
              <w:t>TO1^</w:t>
            </w:r>
          </w:p>
        </w:tc>
        <w:tc>
          <w:tcPr>
            <w:tcW w:w="931" w:type="dxa"/>
            <w:tcBorders>
              <w:top w:val="single" w:sz="4" w:space="0" w:color="auto"/>
              <w:left w:val="nil"/>
              <w:right w:val="nil"/>
            </w:tcBorders>
            <w:shd w:val="clear" w:color="auto" w:fill="F3F9FA"/>
            <w:noWrap/>
            <w:vAlign w:val="bottom"/>
          </w:tcPr>
          <w:p w14:paraId="414B2997" w14:textId="1F918C61" w:rsidR="001D5EED" w:rsidRPr="002B36F2" w:rsidRDefault="001D5EED" w:rsidP="001D5EED">
            <w:pPr>
              <w:spacing w:before="0" w:after="0"/>
              <w:jc w:val="center"/>
              <w:rPr>
                <w:sz w:val="16"/>
                <w:szCs w:val="16"/>
              </w:rPr>
            </w:pPr>
            <w:r>
              <w:rPr>
                <w:sz w:val="16"/>
                <w:szCs w:val="16"/>
              </w:rPr>
              <w:t>01-Oct-16</w:t>
            </w:r>
          </w:p>
        </w:tc>
        <w:tc>
          <w:tcPr>
            <w:tcW w:w="815" w:type="dxa"/>
            <w:tcBorders>
              <w:top w:val="single" w:sz="4" w:space="0" w:color="auto"/>
              <w:left w:val="nil"/>
              <w:right w:val="nil"/>
            </w:tcBorders>
            <w:shd w:val="clear" w:color="auto" w:fill="F3F9FA"/>
            <w:noWrap/>
            <w:vAlign w:val="bottom"/>
          </w:tcPr>
          <w:p w14:paraId="7B8767B5" w14:textId="5D2FDC85" w:rsidR="001D5EED" w:rsidRPr="001D5EED" w:rsidRDefault="001D5EED" w:rsidP="001D5EED">
            <w:pPr>
              <w:spacing w:before="0" w:after="0"/>
              <w:jc w:val="center"/>
              <w:rPr>
                <w:sz w:val="16"/>
                <w:szCs w:val="16"/>
              </w:rPr>
            </w:pPr>
            <w:r w:rsidRPr="001D5EED">
              <w:rPr>
                <w:sz w:val="16"/>
                <w:szCs w:val="16"/>
              </w:rPr>
              <w:t>15.1</w:t>
            </w:r>
          </w:p>
        </w:tc>
        <w:tc>
          <w:tcPr>
            <w:tcW w:w="823" w:type="dxa"/>
            <w:tcBorders>
              <w:top w:val="single" w:sz="4" w:space="0" w:color="auto"/>
              <w:left w:val="nil"/>
              <w:right w:val="nil"/>
            </w:tcBorders>
            <w:shd w:val="clear" w:color="auto" w:fill="F3F9FA"/>
            <w:noWrap/>
            <w:vAlign w:val="bottom"/>
          </w:tcPr>
          <w:p w14:paraId="14A29380" w14:textId="77213A68" w:rsidR="001D5EED" w:rsidRPr="001D5EED" w:rsidRDefault="001D5EED" w:rsidP="001D5EED">
            <w:pPr>
              <w:spacing w:before="0" w:after="0"/>
              <w:jc w:val="center"/>
              <w:rPr>
                <w:sz w:val="16"/>
                <w:szCs w:val="16"/>
              </w:rPr>
            </w:pPr>
            <w:r w:rsidRPr="001D5EED">
              <w:rPr>
                <w:sz w:val="16"/>
                <w:szCs w:val="16"/>
              </w:rPr>
              <w:t>12.5</w:t>
            </w:r>
          </w:p>
        </w:tc>
        <w:tc>
          <w:tcPr>
            <w:tcW w:w="888" w:type="dxa"/>
            <w:tcBorders>
              <w:top w:val="single" w:sz="4" w:space="0" w:color="auto"/>
              <w:left w:val="nil"/>
              <w:right w:val="nil"/>
            </w:tcBorders>
            <w:shd w:val="clear" w:color="auto" w:fill="F3F9FA"/>
            <w:noWrap/>
            <w:vAlign w:val="bottom"/>
          </w:tcPr>
          <w:p w14:paraId="3C015C02" w14:textId="0A6FF6BA" w:rsidR="001D5EED" w:rsidRPr="001D5EED" w:rsidRDefault="001D5EED" w:rsidP="001D5EED">
            <w:pPr>
              <w:spacing w:before="0" w:after="0"/>
              <w:jc w:val="center"/>
              <w:rPr>
                <w:sz w:val="16"/>
                <w:szCs w:val="16"/>
              </w:rPr>
            </w:pPr>
            <w:r w:rsidRPr="001D5EED">
              <w:rPr>
                <w:color w:val="000000"/>
                <w:sz w:val="16"/>
                <w:szCs w:val="16"/>
              </w:rPr>
              <w:t>22.5</w:t>
            </w:r>
          </w:p>
        </w:tc>
        <w:tc>
          <w:tcPr>
            <w:tcW w:w="888" w:type="dxa"/>
            <w:tcBorders>
              <w:top w:val="single" w:sz="4" w:space="0" w:color="auto"/>
              <w:left w:val="nil"/>
              <w:right w:val="nil"/>
            </w:tcBorders>
            <w:shd w:val="clear" w:color="auto" w:fill="F3F9FA"/>
            <w:noWrap/>
            <w:vAlign w:val="bottom"/>
          </w:tcPr>
          <w:p w14:paraId="1B338FA5" w14:textId="6468FC6A" w:rsidR="001D5EED" w:rsidRPr="001D5EED" w:rsidRDefault="001D5EED" w:rsidP="001D5EED">
            <w:pPr>
              <w:spacing w:before="0" w:after="0"/>
              <w:jc w:val="center"/>
              <w:rPr>
                <w:sz w:val="16"/>
                <w:szCs w:val="16"/>
              </w:rPr>
            </w:pPr>
            <w:r w:rsidRPr="001D5EED">
              <w:rPr>
                <w:color w:val="000000"/>
                <w:sz w:val="16"/>
                <w:szCs w:val="16"/>
              </w:rPr>
              <w:t>32.7</w:t>
            </w:r>
          </w:p>
        </w:tc>
        <w:tc>
          <w:tcPr>
            <w:tcW w:w="888" w:type="dxa"/>
            <w:tcBorders>
              <w:top w:val="single" w:sz="4" w:space="0" w:color="auto"/>
              <w:left w:val="nil"/>
              <w:right w:val="nil"/>
            </w:tcBorders>
            <w:shd w:val="clear" w:color="auto" w:fill="F3F9FA"/>
            <w:noWrap/>
            <w:vAlign w:val="bottom"/>
          </w:tcPr>
          <w:p w14:paraId="241A7B65" w14:textId="19CEB7C0" w:rsidR="001D5EED" w:rsidRPr="001D5EED" w:rsidRDefault="001D5EED" w:rsidP="001D5EED">
            <w:pPr>
              <w:spacing w:before="0" w:after="0"/>
              <w:jc w:val="center"/>
              <w:rPr>
                <w:sz w:val="16"/>
                <w:szCs w:val="16"/>
              </w:rPr>
            </w:pPr>
            <w:r w:rsidRPr="001D5EED">
              <w:rPr>
                <w:color w:val="000000"/>
                <w:sz w:val="16"/>
                <w:szCs w:val="16"/>
              </w:rPr>
              <w:t>36.7</w:t>
            </w:r>
          </w:p>
        </w:tc>
        <w:tc>
          <w:tcPr>
            <w:tcW w:w="885" w:type="dxa"/>
            <w:tcBorders>
              <w:top w:val="single" w:sz="4" w:space="0" w:color="auto"/>
              <w:left w:val="nil"/>
              <w:right w:val="nil"/>
            </w:tcBorders>
            <w:shd w:val="clear" w:color="auto" w:fill="F3F9FA"/>
            <w:noWrap/>
            <w:vAlign w:val="bottom"/>
          </w:tcPr>
          <w:p w14:paraId="26FC8BFD" w14:textId="0C03758C" w:rsidR="001D5EED" w:rsidRPr="001D5EED" w:rsidRDefault="001D5EED" w:rsidP="001D5EED">
            <w:pPr>
              <w:spacing w:before="0" w:after="0"/>
              <w:jc w:val="center"/>
              <w:rPr>
                <w:sz w:val="16"/>
                <w:szCs w:val="16"/>
              </w:rPr>
            </w:pPr>
            <w:r w:rsidRPr="001D5EED">
              <w:rPr>
                <w:sz w:val="16"/>
                <w:szCs w:val="16"/>
              </w:rPr>
              <w:t>25</w:t>
            </w:r>
          </w:p>
        </w:tc>
      </w:tr>
      <w:tr w:rsidR="001D5EED" w14:paraId="261F0C0F" w14:textId="77777777" w:rsidTr="006F4537">
        <w:trPr>
          <w:jc w:val="center"/>
        </w:trPr>
        <w:tc>
          <w:tcPr>
            <w:tcW w:w="1508" w:type="dxa"/>
            <w:tcBorders>
              <w:top w:val="nil"/>
              <w:left w:val="nil"/>
              <w:bottom w:val="single" w:sz="4" w:space="0" w:color="auto"/>
              <w:right w:val="nil"/>
            </w:tcBorders>
            <w:noWrap/>
            <w:vAlign w:val="bottom"/>
          </w:tcPr>
          <w:p w14:paraId="45867EB0" w14:textId="77777777" w:rsidR="001D5EED" w:rsidRDefault="001D5EED" w:rsidP="001D5EED">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14:paraId="53B6EFE4" w14:textId="77777777" w:rsidR="001D5EED" w:rsidRPr="002B36F2" w:rsidRDefault="001D5EED" w:rsidP="001D5EED">
            <w:pPr>
              <w:spacing w:before="0" w:after="0"/>
              <w:jc w:val="center"/>
              <w:rPr>
                <w:sz w:val="16"/>
                <w:szCs w:val="16"/>
              </w:rPr>
            </w:pPr>
          </w:p>
        </w:tc>
        <w:tc>
          <w:tcPr>
            <w:tcW w:w="603" w:type="dxa"/>
            <w:tcBorders>
              <w:top w:val="nil"/>
              <w:left w:val="nil"/>
              <w:bottom w:val="single" w:sz="4" w:space="0" w:color="auto"/>
              <w:right w:val="nil"/>
            </w:tcBorders>
            <w:shd w:val="clear" w:color="auto" w:fill="F3F9FA"/>
            <w:noWrap/>
            <w:vAlign w:val="bottom"/>
          </w:tcPr>
          <w:p w14:paraId="2C1DE262" w14:textId="77777777" w:rsidR="001D5EED" w:rsidRPr="002B36F2" w:rsidRDefault="001D5EED" w:rsidP="001D5EED">
            <w:pPr>
              <w:spacing w:before="0" w:after="0"/>
              <w:jc w:val="center"/>
              <w:rPr>
                <w:sz w:val="16"/>
                <w:szCs w:val="16"/>
              </w:rPr>
            </w:pPr>
            <w:r>
              <w:rPr>
                <w:sz w:val="16"/>
                <w:szCs w:val="16"/>
              </w:rPr>
              <w:t>TO2^</w:t>
            </w:r>
          </w:p>
        </w:tc>
        <w:tc>
          <w:tcPr>
            <w:tcW w:w="931" w:type="dxa"/>
            <w:tcBorders>
              <w:top w:val="nil"/>
              <w:left w:val="nil"/>
              <w:bottom w:val="single" w:sz="4" w:space="0" w:color="auto"/>
              <w:right w:val="nil"/>
            </w:tcBorders>
            <w:shd w:val="clear" w:color="auto" w:fill="F3F9FA"/>
            <w:noWrap/>
            <w:vAlign w:val="bottom"/>
          </w:tcPr>
          <w:p w14:paraId="11829A4D" w14:textId="32A03EBF" w:rsidR="001D5EED" w:rsidRPr="002B36F2" w:rsidRDefault="001D5EED" w:rsidP="001D5EED">
            <w:pPr>
              <w:spacing w:before="0" w:after="0"/>
              <w:jc w:val="center"/>
              <w:rPr>
                <w:sz w:val="16"/>
                <w:szCs w:val="16"/>
              </w:rPr>
            </w:pPr>
            <w:r>
              <w:rPr>
                <w:sz w:val="16"/>
                <w:szCs w:val="16"/>
              </w:rPr>
              <w:t>01-Oct-16</w:t>
            </w:r>
          </w:p>
        </w:tc>
        <w:tc>
          <w:tcPr>
            <w:tcW w:w="815" w:type="dxa"/>
            <w:tcBorders>
              <w:top w:val="nil"/>
              <w:left w:val="nil"/>
              <w:bottom w:val="single" w:sz="4" w:space="0" w:color="auto"/>
              <w:right w:val="nil"/>
            </w:tcBorders>
            <w:shd w:val="clear" w:color="auto" w:fill="F3F9FA"/>
            <w:noWrap/>
            <w:vAlign w:val="bottom"/>
          </w:tcPr>
          <w:p w14:paraId="5A664780" w14:textId="3B89FBB4" w:rsidR="001D5EED" w:rsidRPr="001D5EED" w:rsidRDefault="001D5EED" w:rsidP="001D5EED">
            <w:pPr>
              <w:spacing w:before="0" w:after="0"/>
              <w:jc w:val="center"/>
              <w:rPr>
                <w:sz w:val="16"/>
                <w:szCs w:val="16"/>
              </w:rPr>
            </w:pPr>
            <w:r w:rsidRPr="001D5EED">
              <w:rPr>
                <w:sz w:val="16"/>
                <w:szCs w:val="16"/>
              </w:rPr>
              <w:t>0.9</w:t>
            </w:r>
          </w:p>
        </w:tc>
        <w:tc>
          <w:tcPr>
            <w:tcW w:w="823" w:type="dxa"/>
            <w:tcBorders>
              <w:top w:val="nil"/>
              <w:left w:val="nil"/>
              <w:bottom w:val="single" w:sz="4" w:space="0" w:color="auto"/>
              <w:right w:val="nil"/>
            </w:tcBorders>
            <w:shd w:val="clear" w:color="auto" w:fill="F3F9FA"/>
            <w:noWrap/>
            <w:vAlign w:val="bottom"/>
          </w:tcPr>
          <w:p w14:paraId="20D1D6F0" w14:textId="41374921" w:rsidR="001D5EED" w:rsidRPr="001D5EED" w:rsidRDefault="001D5EED" w:rsidP="001D5EED">
            <w:pPr>
              <w:spacing w:before="0" w:after="0"/>
              <w:jc w:val="center"/>
              <w:rPr>
                <w:sz w:val="16"/>
                <w:szCs w:val="16"/>
              </w:rPr>
            </w:pPr>
            <w:r w:rsidRPr="001D5EED">
              <w:rPr>
                <w:sz w:val="16"/>
                <w:szCs w:val="16"/>
              </w:rPr>
              <w:t>0.75</w:t>
            </w:r>
          </w:p>
        </w:tc>
        <w:tc>
          <w:tcPr>
            <w:tcW w:w="888" w:type="dxa"/>
            <w:tcBorders>
              <w:top w:val="nil"/>
              <w:left w:val="nil"/>
              <w:bottom w:val="single" w:sz="4" w:space="0" w:color="auto"/>
              <w:right w:val="nil"/>
            </w:tcBorders>
            <w:shd w:val="clear" w:color="auto" w:fill="F3F9FA"/>
            <w:noWrap/>
            <w:vAlign w:val="bottom"/>
          </w:tcPr>
          <w:p w14:paraId="2D2F7C12" w14:textId="0E9A4324" w:rsidR="001D5EED" w:rsidRPr="001D5EED" w:rsidRDefault="001D5EED" w:rsidP="001D5EED">
            <w:pPr>
              <w:spacing w:before="0" w:after="0"/>
              <w:jc w:val="center"/>
              <w:rPr>
                <w:sz w:val="16"/>
                <w:szCs w:val="16"/>
              </w:rPr>
            </w:pPr>
            <w:r w:rsidRPr="001D5EED">
              <w:rPr>
                <w:color w:val="000000"/>
                <w:sz w:val="16"/>
                <w:szCs w:val="16"/>
              </w:rPr>
              <w:t>22.5</w:t>
            </w:r>
          </w:p>
        </w:tc>
        <w:tc>
          <w:tcPr>
            <w:tcW w:w="888" w:type="dxa"/>
            <w:tcBorders>
              <w:top w:val="nil"/>
              <w:left w:val="nil"/>
              <w:bottom w:val="single" w:sz="4" w:space="0" w:color="auto"/>
              <w:right w:val="nil"/>
            </w:tcBorders>
            <w:shd w:val="clear" w:color="auto" w:fill="F3F9FA"/>
            <w:noWrap/>
            <w:vAlign w:val="bottom"/>
          </w:tcPr>
          <w:p w14:paraId="11B791F0" w14:textId="7B6C8EA1" w:rsidR="001D5EED" w:rsidRPr="001D5EED" w:rsidRDefault="001D5EED" w:rsidP="001D5EED">
            <w:pPr>
              <w:spacing w:before="0" w:after="0"/>
              <w:jc w:val="center"/>
              <w:rPr>
                <w:sz w:val="16"/>
                <w:szCs w:val="16"/>
              </w:rPr>
            </w:pPr>
            <w:r w:rsidRPr="001D5EED">
              <w:rPr>
                <w:color w:val="000000"/>
                <w:sz w:val="16"/>
                <w:szCs w:val="16"/>
              </w:rPr>
              <w:t>32.7</w:t>
            </w:r>
          </w:p>
        </w:tc>
        <w:tc>
          <w:tcPr>
            <w:tcW w:w="888" w:type="dxa"/>
            <w:tcBorders>
              <w:top w:val="nil"/>
              <w:left w:val="nil"/>
              <w:bottom w:val="single" w:sz="4" w:space="0" w:color="auto"/>
              <w:right w:val="nil"/>
            </w:tcBorders>
            <w:shd w:val="clear" w:color="auto" w:fill="F3F9FA"/>
            <w:noWrap/>
            <w:vAlign w:val="bottom"/>
          </w:tcPr>
          <w:p w14:paraId="4A665E08" w14:textId="7AA90848" w:rsidR="001D5EED" w:rsidRPr="001D5EED" w:rsidRDefault="001D5EED" w:rsidP="001D5EED">
            <w:pPr>
              <w:spacing w:before="0" w:after="0"/>
              <w:jc w:val="center"/>
              <w:rPr>
                <w:sz w:val="16"/>
                <w:szCs w:val="16"/>
              </w:rPr>
            </w:pPr>
            <w:r w:rsidRPr="001D5EED">
              <w:rPr>
                <w:color w:val="000000"/>
                <w:sz w:val="16"/>
                <w:szCs w:val="16"/>
              </w:rPr>
              <w:t>36.7</w:t>
            </w:r>
          </w:p>
        </w:tc>
        <w:tc>
          <w:tcPr>
            <w:tcW w:w="885" w:type="dxa"/>
            <w:tcBorders>
              <w:top w:val="nil"/>
              <w:left w:val="nil"/>
              <w:bottom w:val="single" w:sz="4" w:space="0" w:color="auto"/>
              <w:right w:val="nil"/>
            </w:tcBorders>
            <w:shd w:val="clear" w:color="auto" w:fill="F3F9FA"/>
            <w:noWrap/>
            <w:vAlign w:val="bottom"/>
          </w:tcPr>
          <w:p w14:paraId="54323B70" w14:textId="0B886EB0" w:rsidR="001D5EED" w:rsidRPr="001D5EED" w:rsidRDefault="001D5EED" w:rsidP="001D5EED">
            <w:pPr>
              <w:spacing w:before="0" w:after="0"/>
              <w:jc w:val="center"/>
              <w:rPr>
                <w:sz w:val="16"/>
                <w:szCs w:val="16"/>
              </w:rPr>
            </w:pPr>
            <w:r w:rsidRPr="001D5EED">
              <w:rPr>
                <w:sz w:val="16"/>
                <w:szCs w:val="16"/>
              </w:rPr>
              <w:t>0</w:t>
            </w:r>
          </w:p>
        </w:tc>
      </w:tr>
      <w:tr w:rsidR="006F4537" w14:paraId="28EC2DA0" w14:textId="77777777" w:rsidTr="006F4537">
        <w:trPr>
          <w:jc w:val="center"/>
        </w:trPr>
        <w:tc>
          <w:tcPr>
            <w:tcW w:w="1508" w:type="dxa"/>
            <w:tcBorders>
              <w:top w:val="single" w:sz="4" w:space="0" w:color="auto"/>
              <w:left w:val="nil"/>
              <w:bottom w:val="single" w:sz="4" w:space="0" w:color="auto"/>
              <w:right w:val="nil"/>
            </w:tcBorders>
            <w:noWrap/>
            <w:vAlign w:val="bottom"/>
            <w:hideMark/>
          </w:tcPr>
          <w:p w14:paraId="101E6329" w14:textId="77777777" w:rsidR="006F4537" w:rsidRDefault="006F4537" w:rsidP="006F4537">
            <w:pPr>
              <w:spacing w:before="0" w:after="0"/>
              <w:rPr>
                <w:b/>
                <w:color w:val="000000"/>
                <w:sz w:val="16"/>
                <w:szCs w:val="16"/>
              </w:rPr>
            </w:pPr>
            <w:r>
              <w:rPr>
                <w:b/>
                <w:color w:val="000000"/>
                <w:sz w:val="16"/>
                <w:szCs w:val="16"/>
              </w:rPr>
              <w:t>NRM region</w:t>
            </w:r>
          </w:p>
        </w:tc>
        <w:tc>
          <w:tcPr>
            <w:tcW w:w="1286" w:type="dxa"/>
            <w:tcBorders>
              <w:top w:val="single" w:sz="4" w:space="0" w:color="auto"/>
              <w:left w:val="nil"/>
              <w:bottom w:val="single" w:sz="4" w:space="0" w:color="auto"/>
              <w:right w:val="nil"/>
            </w:tcBorders>
            <w:noWrap/>
            <w:vAlign w:val="bottom"/>
          </w:tcPr>
          <w:p w14:paraId="78CEC8D9" w14:textId="77777777" w:rsidR="006F4537" w:rsidRDefault="006F4537" w:rsidP="006F4537">
            <w:pPr>
              <w:spacing w:before="0" w:after="0"/>
              <w:jc w:val="center"/>
              <w:rPr>
                <w:b/>
                <w:color w:val="000000"/>
                <w:sz w:val="16"/>
                <w:szCs w:val="16"/>
              </w:rPr>
            </w:pPr>
          </w:p>
        </w:tc>
        <w:tc>
          <w:tcPr>
            <w:tcW w:w="603" w:type="dxa"/>
            <w:tcBorders>
              <w:top w:val="single" w:sz="4" w:space="0" w:color="auto"/>
              <w:left w:val="nil"/>
              <w:bottom w:val="single" w:sz="4" w:space="0" w:color="auto"/>
              <w:right w:val="nil"/>
            </w:tcBorders>
            <w:noWrap/>
            <w:vAlign w:val="bottom"/>
          </w:tcPr>
          <w:p w14:paraId="2FFC2C70" w14:textId="77777777" w:rsidR="006F4537" w:rsidRDefault="006F4537" w:rsidP="006F4537">
            <w:pPr>
              <w:spacing w:before="0" w:after="0"/>
              <w:jc w:val="center"/>
              <w:rPr>
                <w:b/>
                <w:color w:val="000000"/>
                <w:sz w:val="16"/>
                <w:szCs w:val="16"/>
              </w:rPr>
            </w:pPr>
          </w:p>
        </w:tc>
        <w:tc>
          <w:tcPr>
            <w:tcW w:w="931" w:type="dxa"/>
            <w:tcBorders>
              <w:top w:val="single" w:sz="4" w:space="0" w:color="auto"/>
              <w:left w:val="nil"/>
              <w:bottom w:val="single" w:sz="4" w:space="0" w:color="auto"/>
              <w:right w:val="nil"/>
            </w:tcBorders>
            <w:noWrap/>
            <w:vAlign w:val="bottom"/>
          </w:tcPr>
          <w:p w14:paraId="7841850C" w14:textId="77777777" w:rsidR="006F4537" w:rsidRDefault="006F4537" w:rsidP="006F4537">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14:paraId="049A1EB1" w14:textId="77777777" w:rsidR="006F4537" w:rsidRDefault="006F4537" w:rsidP="006F4537">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14:paraId="27980D0C"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0F39474D"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23710275"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4177FFCC" w14:textId="77777777" w:rsidR="006F4537" w:rsidRDefault="006F4537" w:rsidP="006F4537">
            <w:pPr>
              <w:spacing w:before="0" w:after="0"/>
              <w:jc w:val="center"/>
              <w:rPr>
                <w:b/>
                <w:color w:val="000000"/>
                <w:sz w:val="16"/>
                <w:szCs w:val="16"/>
              </w:rPr>
            </w:pPr>
          </w:p>
        </w:tc>
        <w:tc>
          <w:tcPr>
            <w:tcW w:w="885" w:type="dxa"/>
            <w:tcBorders>
              <w:top w:val="single" w:sz="4" w:space="0" w:color="auto"/>
              <w:left w:val="nil"/>
              <w:bottom w:val="single" w:sz="4" w:space="0" w:color="auto"/>
              <w:right w:val="nil"/>
            </w:tcBorders>
            <w:noWrap/>
            <w:vAlign w:val="bottom"/>
            <w:hideMark/>
          </w:tcPr>
          <w:p w14:paraId="339CFEEA" w14:textId="45A562E3" w:rsidR="006F4537" w:rsidRPr="00DC1E60" w:rsidRDefault="001D5EED" w:rsidP="006F4537">
            <w:pPr>
              <w:spacing w:before="0" w:after="0"/>
              <w:jc w:val="center"/>
              <w:rPr>
                <w:b/>
                <w:sz w:val="16"/>
                <w:szCs w:val="16"/>
              </w:rPr>
            </w:pPr>
            <w:r>
              <w:rPr>
                <w:b/>
                <w:sz w:val="16"/>
                <w:szCs w:val="16"/>
              </w:rPr>
              <w:t>36</w:t>
            </w:r>
          </w:p>
        </w:tc>
      </w:tr>
    </w:tbl>
    <w:p w14:paraId="4B060ABE" w14:textId="77777777" w:rsidR="00842050" w:rsidRDefault="00842050" w:rsidP="00842050">
      <w:pPr>
        <w:ind w:left="540" w:hanging="540"/>
        <w:rPr>
          <w:color w:val="000000"/>
        </w:rPr>
      </w:pPr>
    </w:p>
    <w:p w14:paraId="41D6FBAE" w14:textId="6A424E5E" w:rsidR="007B1E97" w:rsidRPr="00517276" w:rsidRDefault="00842050" w:rsidP="007B1E97">
      <w:pPr>
        <w:jc w:val="center"/>
        <w:rPr>
          <w:i/>
          <w:vanish/>
          <w:color w:val="000000"/>
          <w:szCs w:val="22"/>
          <w:specVanish/>
        </w:rPr>
      </w:pPr>
      <w:bookmarkStart w:id="1013" w:name="_Toc516053468"/>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44</w:t>
      </w:r>
      <w:r w:rsidR="00C506C7">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Fitzroy NRM region habitat over the </w:t>
      </w:r>
      <w:r w:rsidR="008574EC">
        <w:rPr>
          <w:i/>
        </w:rPr>
        <w:t>2016–17</w:t>
      </w:r>
      <w:r>
        <w:rPr>
          <w:i/>
        </w:rPr>
        <w:t xml:space="preserve"> period.</w:t>
      </w:r>
      <w:bookmarkEnd w:id="1013"/>
      <w:r w:rsidR="007B1E97" w:rsidRPr="007B1E97">
        <w:rPr>
          <w:i/>
          <w:vanish/>
          <w:color w:val="000000"/>
          <w:szCs w:val="22"/>
          <w:specVanish/>
        </w:rPr>
        <w:t xml:space="preserve"> </w:t>
      </w:r>
    </w:p>
    <w:p w14:paraId="6F822830" w14:textId="6390C498"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F87DF9" w:rsidRPr="00F87DF9">
        <w:rPr>
          <w:i/>
          <w:color w:val="000000"/>
        </w:rPr>
        <w:t xml:space="preserve">Table </w:t>
      </w:r>
      <w:r w:rsidR="00F87DF9" w:rsidRPr="00F87DF9">
        <w:rPr>
          <w:i/>
          <w:noProof/>
          <w:color w:val="000000"/>
        </w:rPr>
        <w:t>38</w:t>
      </w:r>
      <w:r w:rsidR="00FB280D" w:rsidRPr="00FB280D">
        <w:rPr>
          <w:i/>
        </w:rPr>
        <w:fldChar w:fldCharType="end"/>
      </w:r>
      <w:r>
        <w:rPr>
          <w:i/>
        </w:rPr>
        <w:t>. NB: scores do not have units.</w:t>
      </w:r>
    </w:p>
    <w:tbl>
      <w:tblPr>
        <w:tblW w:w="9697" w:type="dxa"/>
        <w:jc w:val="center"/>
        <w:tblLook w:val="04A0" w:firstRow="1" w:lastRow="0" w:firstColumn="1" w:lastColumn="0" w:noHBand="0" w:noVBand="1"/>
      </w:tblPr>
      <w:tblGrid>
        <w:gridCol w:w="1464"/>
        <w:gridCol w:w="1567"/>
        <w:gridCol w:w="595"/>
        <w:gridCol w:w="907"/>
        <w:gridCol w:w="815"/>
        <w:gridCol w:w="823"/>
        <w:gridCol w:w="888"/>
        <w:gridCol w:w="888"/>
        <w:gridCol w:w="888"/>
        <w:gridCol w:w="862"/>
      </w:tblGrid>
      <w:tr w:rsidR="006F4537" w14:paraId="46E65D97" w14:textId="77777777" w:rsidTr="006F4537">
        <w:trPr>
          <w:jc w:val="center"/>
        </w:trPr>
        <w:tc>
          <w:tcPr>
            <w:tcW w:w="1464" w:type="dxa"/>
            <w:tcBorders>
              <w:top w:val="single" w:sz="4" w:space="0" w:color="auto"/>
              <w:left w:val="nil"/>
              <w:bottom w:val="single" w:sz="4" w:space="0" w:color="auto"/>
              <w:right w:val="nil"/>
            </w:tcBorders>
            <w:shd w:val="clear" w:color="auto" w:fill="BBE0E3"/>
            <w:noWrap/>
            <w:vAlign w:val="center"/>
            <w:hideMark/>
          </w:tcPr>
          <w:p w14:paraId="2685760B" w14:textId="77777777" w:rsidR="006F4537" w:rsidRDefault="006F4537" w:rsidP="006F4537">
            <w:pPr>
              <w:spacing w:before="0" w:after="0"/>
              <w:jc w:val="center"/>
              <w:rPr>
                <w:b/>
                <w:color w:val="000000"/>
                <w:sz w:val="16"/>
                <w:szCs w:val="16"/>
              </w:rPr>
            </w:pPr>
            <w:r>
              <w:rPr>
                <w:b/>
                <w:color w:val="000000"/>
                <w:sz w:val="16"/>
                <w:szCs w:val="16"/>
              </w:rPr>
              <w:t>Habitat</w:t>
            </w:r>
          </w:p>
        </w:tc>
        <w:tc>
          <w:tcPr>
            <w:tcW w:w="1567" w:type="dxa"/>
            <w:tcBorders>
              <w:top w:val="single" w:sz="4" w:space="0" w:color="auto"/>
              <w:left w:val="nil"/>
              <w:bottom w:val="single" w:sz="4" w:space="0" w:color="auto"/>
              <w:right w:val="nil"/>
            </w:tcBorders>
            <w:shd w:val="clear" w:color="auto" w:fill="BBE0E3"/>
            <w:noWrap/>
            <w:vAlign w:val="center"/>
            <w:hideMark/>
          </w:tcPr>
          <w:p w14:paraId="690E3E70" w14:textId="77777777" w:rsidR="006F4537" w:rsidRDefault="006F4537" w:rsidP="006F4537">
            <w:pPr>
              <w:spacing w:before="0" w:after="0"/>
              <w:jc w:val="center"/>
              <w:rPr>
                <w:b/>
                <w:color w:val="000000"/>
                <w:sz w:val="16"/>
                <w:szCs w:val="16"/>
              </w:rPr>
            </w:pPr>
            <w:r>
              <w:rPr>
                <w:b/>
                <w:color w:val="000000"/>
                <w:sz w:val="16"/>
                <w:szCs w:val="16"/>
              </w:rPr>
              <w:t>Location</w:t>
            </w:r>
          </w:p>
        </w:tc>
        <w:tc>
          <w:tcPr>
            <w:tcW w:w="595" w:type="dxa"/>
            <w:tcBorders>
              <w:top w:val="single" w:sz="4" w:space="0" w:color="auto"/>
              <w:left w:val="nil"/>
              <w:bottom w:val="single" w:sz="4" w:space="0" w:color="auto"/>
              <w:right w:val="nil"/>
            </w:tcBorders>
            <w:shd w:val="clear" w:color="auto" w:fill="BBE0E3"/>
            <w:noWrap/>
            <w:vAlign w:val="center"/>
            <w:hideMark/>
          </w:tcPr>
          <w:p w14:paraId="627E429A" w14:textId="77777777" w:rsidR="006F4537" w:rsidRDefault="006F4537" w:rsidP="006F4537">
            <w:pPr>
              <w:spacing w:before="0" w:after="0"/>
              <w:jc w:val="center"/>
              <w:rPr>
                <w:b/>
                <w:color w:val="000000"/>
                <w:sz w:val="16"/>
                <w:szCs w:val="16"/>
              </w:rPr>
            </w:pPr>
            <w:r>
              <w:rPr>
                <w:b/>
                <w:color w:val="000000"/>
                <w:sz w:val="16"/>
                <w:szCs w:val="16"/>
              </w:rPr>
              <w:t>Site</w:t>
            </w:r>
          </w:p>
        </w:tc>
        <w:tc>
          <w:tcPr>
            <w:tcW w:w="907" w:type="dxa"/>
            <w:tcBorders>
              <w:top w:val="single" w:sz="4" w:space="0" w:color="auto"/>
              <w:left w:val="nil"/>
              <w:bottom w:val="single" w:sz="4" w:space="0" w:color="auto"/>
              <w:right w:val="nil"/>
            </w:tcBorders>
            <w:shd w:val="clear" w:color="auto" w:fill="BBE0E3"/>
            <w:noWrap/>
            <w:vAlign w:val="center"/>
            <w:hideMark/>
          </w:tcPr>
          <w:p w14:paraId="20CDE7B6" w14:textId="77777777" w:rsidR="006F4537" w:rsidRDefault="006F4537" w:rsidP="006F4537">
            <w:pPr>
              <w:spacing w:before="0" w:after="0"/>
              <w:jc w:val="center"/>
              <w:rPr>
                <w:b/>
                <w:color w:val="000000"/>
                <w:sz w:val="16"/>
                <w:szCs w:val="16"/>
              </w:rPr>
            </w:pPr>
            <w:r>
              <w:rPr>
                <w:b/>
                <w:color w:val="000000"/>
                <w:sz w:val="16"/>
                <w:szCs w:val="16"/>
              </w:rPr>
              <w:t>Seasonal</w:t>
            </w:r>
          </w:p>
          <w:p w14:paraId="163EFBD3"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094F84CE" w14:textId="77777777" w:rsidR="006F4537" w:rsidRDefault="006F4537" w:rsidP="006F4537">
            <w:pPr>
              <w:spacing w:before="0" w:after="0"/>
              <w:jc w:val="center"/>
              <w:rPr>
                <w:b/>
                <w:color w:val="000000"/>
                <w:sz w:val="16"/>
                <w:szCs w:val="16"/>
              </w:rPr>
            </w:pPr>
            <w:r>
              <w:rPr>
                <w:b/>
                <w:color w:val="000000"/>
                <w:sz w:val="16"/>
                <w:szCs w:val="16"/>
              </w:rPr>
              <w:t>Mean</w:t>
            </w:r>
          </w:p>
          <w:p w14:paraId="4AA67A53" w14:textId="27586B4A"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6FAF916D" w14:textId="77777777" w:rsidR="006F4537" w:rsidRDefault="006F4537" w:rsidP="006F4537">
            <w:pPr>
              <w:spacing w:before="0" w:after="0"/>
              <w:jc w:val="center"/>
              <w:rPr>
                <w:b/>
                <w:color w:val="000000"/>
                <w:sz w:val="16"/>
                <w:szCs w:val="16"/>
              </w:rPr>
            </w:pPr>
            <w:r>
              <w:rPr>
                <w:b/>
                <w:color w:val="000000"/>
                <w:sz w:val="16"/>
                <w:szCs w:val="16"/>
              </w:rPr>
              <w:t>Median</w:t>
            </w:r>
          </w:p>
          <w:p w14:paraId="3D6AE32E" w14:textId="0618C5AF"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489A3ACB" w14:textId="77777777" w:rsidR="006F4537" w:rsidRDefault="006F4537" w:rsidP="006F4537">
            <w:pPr>
              <w:spacing w:before="0" w:after="0"/>
              <w:jc w:val="center"/>
              <w:rPr>
                <w:b/>
                <w:color w:val="000000"/>
                <w:sz w:val="16"/>
                <w:szCs w:val="16"/>
              </w:rPr>
            </w:pPr>
            <w:r>
              <w:rPr>
                <w:b/>
                <w:color w:val="000000"/>
                <w:sz w:val="16"/>
                <w:szCs w:val="16"/>
              </w:rPr>
              <w:t>Low</w:t>
            </w:r>
          </w:p>
          <w:p w14:paraId="5FCE6AD7"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0CE5A5EE" w14:textId="77777777" w:rsidR="006F4537" w:rsidRDefault="006F4537" w:rsidP="006F4537">
            <w:pPr>
              <w:spacing w:before="0" w:after="0"/>
              <w:jc w:val="center"/>
              <w:rPr>
                <w:b/>
                <w:color w:val="000000"/>
                <w:sz w:val="16"/>
                <w:szCs w:val="16"/>
              </w:rPr>
            </w:pPr>
            <w:r>
              <w:rPr>
                <w:b/>
                <w:color w:val="000000"/>
                <w:sz w:val="16"/>
                <w:szCs w:val="16"/>
              </w:rPr>
              <w:t>50th</w:t>
            </w:r>
          </w:p>
          <w:p w14:paraId="611B5D8C"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71E0A5A3" w14:textId="77777777" w:rsidR="006F4537" w:rsidRDefault="006F4537" w:rsidP="006F4537">
            <w:pPr>
              <w:spacing w:before="0" w:after="0"/>
              <w:jc w:val="center"/>
              <w:rPr>
                <w:b/>
                <w:color w:val="000000"/>
                <w:sz w:val="16"/>
                <w:szCs w:val="16"/>
              </w:rPr>
            </w:pPr>
            <w:r>
              <w:rPr>
                <w:b/>
                <w:color w:val="000000"/>
                <w:sz w:val="16"/>
                <w:szCs w:val="16"/>
              </w:rPr>
              <w:t>75th</w:t>
            </w:r>
          </w:p>
          <w:p w14:paraId="523F5FFD" w14:textId="77777777" w:rsidR="006F4537" w:rsidRDefault="006F4537" w:rsidP="006F4537">
            <w:pPr>
              <w:spacing w:before="0" w:after="0"/>
              <w:jc w:val="center"/>
              <w:rPr>
                <w:b/>
                <w:color w:val="000000"/>
                <w:sz w:val="16"/>
                <w:szCs w:val="16"/>
              </w:rPr>
            </w:pPr>
            <w:r>
              <w:rPr>
                <w:b/>
                <w:color w:val="000000"/>
                <w:sz w:val="16"/>
                <w:szCs w:val="16"/>
              </w:rPr>
              <w:t>percentile</w:t>
            </w:r>
          </w:p>
        </w:tc>
        <w:tc>
          <w:tcPr>
            <w:tcW w:w="862" w:type="dxa"/>
            <w:tcBorders>
              <w:top w:val="single" w:sz="4" w:space="0" w:color="auto"/>
              <w:left w:val="nil"/>
              <w:bottom w:val="single" w:sz="4" w:space="0" w:color="auto"/>
              <w:right w:val="nil"/>
            </w:tcBorders>
            <w:shd w:val="clear" w:color="auto" w:fill="BBE0E3"/>
            <w:noWrap/>
            <w:vAlign w:val="center"/>
            <w:hideMark/>
          </w:tcPr>
          <w:p w14:paraId="64525DD3" w14:textId="77777777" w:rsidR="006F4537" w:rsidRDefault="006F4537" w:rsidP="006F4537">
            <w:pPr>
              <w:spacing w:before="0" w:after="0"/>
              <w:jc w:val="center"/>
              <w:rPr>
                <w:b/>
                <w:color w:val="000000"/>
                <w:sz w:val="16"/>
                <w:szCs w:val="16"/>
              </w:rPr>
            </w:pPr>
            <w:r>
              <w:rPr>
                <w:b/>
                <w:color w:val="000000"/>
                <w:sz w:val="16"/>
                <w:szCs w:val="16"/>
              </w:rPr>
              <w:t>score</w:t>
            </w:r>
          </w:p>
        </w:tc>
      </w:tr>
      <w:tr w:rsidR="00FF758C" w:rsidRPr="00C77EEA" w14:paraId="37B2B988" w14:textId="77777777" w:rsidTr="00FF758C">
        <w:trPr>
          <w:jc w:val="center"/>
        </w:trPr>
        <w:tc>
          <w:tcPr>
            <w:tcW w:w="1464" w:type="dxa"/>
            <w:tcBorders>
              <w:top w:val="single" w:sz="4" w:space="0" w:color="auto"/>
              <w:left w:val="nil"/>
              <w:right w:val="nil"/>
            </w:tcBorders>
            <w:noWrap/>
            <w:vAlign w:val="bottom"/>
            <w:hideMark/>
          </w:tcPr>
          <w:p w14:paraId="0EA13FF4" w14:textId="77777777" w:rsidR="00FF758C" w:rsidRPr="00C77EEA" w:rsidRDefault="00FF758C" w:rsidP="00FF758C">
            <w:pPr>
              <w:spacing w:before="0" w:after="0"/>
              <w:rPr>
                <w:sz w:val="16"/>
                <w:szCs w:val="16"/>
              </w:rPr>
            </w:pPr>
            <w:r w:rsidRPr="00C77EEA">
              <w:rPr>
                <w:sz w:val="16"/>
                <w:szCs w:val="16"/>
              </w:rPr>
              <w:t>estuarine intertidal</w:t>
            </w:r>
          </w:p>
        </w:tc>
        <w:tc>
          <w:tcPr>
            <w:tcW w:w="1567" w:type="dxa"/>
            <w:tcBorders>
              <w:top w:val="single" w:sz="4" w:space="0" w:color="auto"/>
              <w:left w:val="nil"/>
              <w:right w:val="nil"/>
            </w:tcBorders>
            <w:shd w:val="clear" w:color="auto" w:fill="E7F3F4"/>
            <w:noWrap/>
            <w:vAlign w:val="bottom"/>
            <w:hideMark/>
          </w:tcPr>
          <w:p w14:paraId="5B1F1BCD" w14:textId="77777777" w:rsidR="00FF758C" w:rsidRPr="00C77EEA" w:rsidRDefault="00FF758C" w:rsidP="00FF758C">
            <w:pPr>
              <w:spacing w:before="0" w:after="0"/>
              <w:jc w:val="center"/>
              <w:rPr>
                <w:sz w:val="16"/>
                <w:szCs w:val="16"/>
              </w:rPr>
            </w:pPr>
            <w:r w:rsidRPr="00C77EEA">
              <w:rPr>
                <w:sz w:val="16"/>
                <w:szCs w:val="16"/>
              </w:rPr>
              <w:t>Gladstone Harbour</w:t>
            </w:r>
          </w:p>
        </w:tc>
        <w:tc>
          <w:tcPr>
            <w:tcW w:w="595" w:type="dxa"/>
            <w:tcBorders>
              <w:top w:val="single" w:sz="4" w:space="0" w:color="auto"/>
              <w:left w:val="nil"/>
              <w:right w:val="nil"/>
            </w:tcBorders>
            <w:shd w:val="clear" w:color="auto" w:fill="E7F3F4"/>
            <w:noWrap/>
            <w:vAlign w:val="bottom"/>
            <w:hideMark/>
          </w:tcPr>
          <w:p w14:paraId="537A6F19" w14:textId="77777777" w:rsidR="00FF758C" w:rsidRPr="00C77EEA" w:rsidRDefault="00FF758C" w:rsidP="00FF758C">
            <w:pPr>
              <w:spacing w:before="0" w:after="0"/>
              <w:jc w:val="center"/>
              <w:rPr>
                <w:sz w:val="16"/>
                <w:szCs w:val="16"/>
              </w:rPr>
            </w:pPr>
            <w:r w:rsidRPr="00C77EEA">
              <w:rPr>
                <w:sz w:val="16"/>
                <w:szCs w:val="16"/>
              </w:rPr>
              <w:t>GH1</w:t>
            </w:r>
          </w:p>
        </w:tc>
        <w:tc>
          <w:tcPr>
            <w:tcW w:w="907" w:type="dxa"/>
            <w:tcBorders>
              <w:top w:val="single" w:sz="4" w:space="0" w:color="auto"/>
              <w:left w:val="nil"/>
              <w:right w:val="nil"/>
            </w:tcBorders>
            <w:shd w:val="clear" w:color="auto" w:fill="E7F3F4"/>
            <w:noWrap/>
            <w:vAlign w:val="bottom"/>
            <w:hideMark/>
          </w:tcPr>
          <w:p w14:paraId="1B04F3F1" w14:textId="0E2A171F" w:rsidR="00FF758C" w:rsidRPr="00C77EEA" w:rsidRDefault="00FF758C" w:rsidP="00FF758C">
            <w:pPr>
              <w:spacing w:before="0" w:after="0"/>
              <w:jc w:val="center"/>
              <w:rPr>
                <w:sz w:val="16"/>
                <w:szCs w:val="16"/>
              </w:rPr>
            </w:pPr>
            <w:r w:rsidRPr="00C77EEA">
              <w:rPr>
                <w:sz w:val="16"/>
                <w:szCs w:val="16"/>
              </w:rPr>
              <w:t>01-Oct-1</w:t>
            </w:r>
            <w:r>
              <w:rPr>
                <w:sz w:val="16"/>
                <w:szCs w:val="16"/>
              </w:rPr>
              <w:t>6</w:t>
            </w:r>
          </w:p>
        </w:tc>
        <w:tc>
          <w:tcPr>
            <w:tcW w:w="815" w:type="dxa"/>
            <w:tcBorders>
              <w:top w:val="single" w:sz="4" w:space="0" w:color="auto"/>
              <w:left w:val="nil"/>
              <w:right w:val="nil"/>
            </w:tcBorders>
            <w:shd w:val="clear" w:color="auto" w:fill="E7F3F4"/>
            <w:noWrap/>
            <w:vAlign w:val="bottom"/>
          </w:tcPr>
          <w:p w14:paraId="280F2092" w14:textId="0C883CAD" w:rsidR="00FF758C" w:rsidRPr="00FF758C" w:rsidRDefault="00FF758C" w:rsidP="00FF758C">
            <w:pPr>
              <w:spacing w:before="0" w:after="0"/>
              <w:jc w:val="center"/>
              <w:rPr>
                <w:sz w:val="16"/>
                <w:szCs w:val="16"/>
              </w:rPr>
            </w:pPr>
            <w:r w:rsidRPr="00FF758C">
              <w:rPr>
                <w:sz w:val="16"/>
                <w:szCs w:val="16"/>
              </w:rPr>
              <w:t>0.1</w:t>
            </w:r>
          </w:p>
        </w:tc>
        <w:tc>
          <w:tcPr>
            <w:tcW w:w="823" w:type="dxa"/>
            <w:tcBorders>
              <w:top w:val="single" w:sz="4" w:space="0" w:color="auto"/>
              <w:left w:val="nil"/>
              <w:right w:val="nil"/>
            </w:tcBorders>
            <w:shd w:val="clear" w:color="auto" w:fill="E7F3F4"/>
            <w:noWrap/>
            <w:vAlign w:val="bottom"/>
          </w:tcPr>
          <w:p w14:paraId="67614778" w14:textId="65831031" w:rsidR="00FF758C" w:rsidRPr="00FF758C" w:rsidRDefault="00FF758C" w:rsidP="00FF758C">
            <w:pPr>
              <w:spacing w:before="0" w:after="0"/>
              <w:jc w:val="center"/>
              <w:rPr>
                <w:sz w:val="16"/>
                <w:szCs w:val="16"/>
              </w:rPr>
            </w:pPr>
            <w:r w:rsidRPr="00FF758C">
              <w:rPr>
                <w:sz w:val="16"/>
                <w:szCs w:val="16"/>
              </w:rPr>
              <w:t>0</w:t>
            </w:r>
          </w:p>
        </w:tc>
        <w:tc>
          <w:tcPr>
            <w:tcW w:w="888" w:type="dxa"/>
            <w:tcBorders>
              <w:top w:val="single" w:sz="4" w:space="0" w:color="auto"/>
              <w:left w:val="nil"/>
              <w:right w:val="nil"/>
            </w:tcBorders>
            <w:shd w:val="clear" w:color="auto" w:fill="E7F3F4"/>
            <w:noWrap/>
            <w:vAlign w:val="bottom"/>
            <w:hideMark/>
          </w:tcPr>
          <w:p w14:paraId="19FFBCE8" w14:textId="587B769C" w:rsidR="00FF758C" w:rsidRPr="00FF758C" w:rsidRDefault="00FF758C" w:rsidP="00FF758C">
            <w:pPr>
              <w:spacing w:before="0" w:after="0"/>
              <w:jc w:val="center"/>
              <w:rPr>
                <w:sz w:val="16"/>
                <w:szCs w:val="16"/>
              </w:rPr>
            </w:pPr>
            <w:r w:rsidRPr="00FF758C">
              <w:rPr>
                <w:sz w:val="16"/>
                <w:szCs w:val="16"/>
              </w:rPr>
              <w:t>18</w:t>
            </w:r>
          </w:p>
        </w:tc>
        <w:tc>
          <w:tcPr>
            <w:tcW w:w="888" w:type="dxa"/>
            <w:tcBorders>
              <w:top w:val="single" w:sz="4" w:space="0" w:color="auto"/>
              <w:left w:val="nil"/>
              <w:right w:val="nil"/>
            </w:tcBorders>
            <w:shd w:val="clear" w:color="auto" w:fill="E7F3F4"/>
            <w:noWrap/>
            <w:vAlign w:val="bottom"/>
            <w:hideMark/>
          </w:tcPr>
          <w:p w14:paraId="02FEE2DB" w14:textId="02CA960E" w:rsidR="00FF758C" w:rsidRPr="00FF758C" w:rsidRDefault="00FF758C" w:rsidP="00FF758C">
            <w:pPr>
              <w:spacing w:before="0" w:after="0"/>
              <w:jc w:val="center"/>
              <w:rPr>
                <w:sz w:val="16"/>
                <w:szCs w:val="16"/>
              </w:rPr>
            </w:pPr>
            <w:r w:rsidRPr="00FF758C">
              <w:rPr>
                <w:sz w:val="16"/>
                <w:szCs w:val="16"/>
              </w:rPr>
              <w:t>34.1</w:t>
            </w:r>
          </w:p>
        </w:tc>
        <w:tc>
          <w:tcPr>
            <w:tcW w:w="888" w:type="dxa"/>
            <w:tcBorders>
              <w:top w:val="single" w:sz="4" w:space="0" w:color="auto"/>
              <w:left w:val="nil"/>
              <w:right w:val="nil"/>
            </w:tcBorders>
            <w:shd w:val="clear" w:color="auto" w:fill="E7F3F4"/>
            <w:noWrap/>
            <w:vAlign w:val="bottom"/>
            <w:hideMark/>
          </w:tcPr>
          <w:p w14:paraId="0751A57B" w14:textId="4FBA6F6A" w:rsidR="00FF758C" w:rsidRPr="00FF758C" w:rsidRDefault="00FF758C" w:rsidP="00FF758C">
            <w:pPr>
              <w:spacing w:before="0" w:after="0"/>
              <w:jc w:val="center"/>
              <w:rPr>
                <w:sz w:val="16"/>
                <w:szCs w:val="16"/>
              </w:rPr>
            </w:pPr>
            <w:r w:rsidRPr="00FF758C">
              <w:rPr>
                <w:sz w:val="16"/>
                <w:szCs w:val="16"/>
              </w:rPr>
              <w:t>54</w:t>
            </w:r>
          </w:p>
        </w:tc>
        <w:tc>
          <w:tcPr>
            <w:tcW w:w="862" w:type="dxa"/>
            <w:tcBorders>
              <w:top w:val="single" w:sz="4" w:space="0" w:color="auto"/>
              <w:left w:val="nil"/>
              <w:right w:val="nil"/>
            </w:tcBorders>
            <w:shd w:val="clear" w:color="auto" w:fill="E7F3F4"/>
            <w:noWrap/>
            <w:vAlign w:val="bottom"/>
            <w:hideMark/>
          </w:tcPr>
          <w:p w14:paraId="624622D2" w14:textId="47CC2F3C" w:rsidR="00FF758C" w:rsidRPr="00FF758C" w:rsidRDefault="00FF758C" w:rsidP="00FF758C">
            <w:pPr>
              <w:spacing w:before="0" w:after="0"/>
              <w:jc w:val="center"/>
              <w:rPr>
                <w:sz w:val="16"/>
                <w:szCs w:val="16"/>
              </w:rPr>
            </w:pPr>
            <w:r w:rsidRPr="00FF758C">
              <w:rPr>
                <w:sz w:val="16"/>
                <w:szCs w:val="16"/>
              </w:rPr>
              <w:t>0</w:t>
            </w:r>
          </w:p>
        </w:tc>
      </w:tr>
      <w:tr w:rsidR="00FF758C" w:rsidRPr="00C77EEA" w14:paraId="33DE4A67" w14:textId="77777777" w:rsidTr="00FF758C">
        <w:trPr>
          <w:jc w:val="center"/>
        </w:trPr>
        <w:tc>
          <w:tcPr>
            <w:tcW w:w="1464" w:type="dxa"/>
            <w:tcBorders>
              <w:left w:val="nil"/>
              <w:right w:val="nil"/>
            </w:tcBorders>
            <w:noWrap/>
            <w:vAlign w:val="bottom"/>
          </w:tcPr>
          <w:p w14:paraId="786E97DF" w14:textId="77777777" w:rsidR="00FF758C" w:rsidRPr="00C77EEA" w:rsidRDefault="00FF758C" w:rsidP="00FF758C">
            <w:pPr>
              <w:spacing w:before="0" w:after="0"/>
              <w:rPr>
                <w:sz w:val="16"/>
                <w:szCs w:val="16"/>
              </w:rPr>
            </w:pPr>
          </w:p>
        </w:tc>
        <w:tc>
          <w:tcPr>
            <w:tcW w:w="1567" w:type="dxa"/>
            <w:tcBorders>
              <w:left w:val="nil"/>
              <w:right w:val="nil"/>
            </w:tcBorders>
            <w:shd w:val="clear" w:color="auto" w:fill="E7F3F4"/>
            <w:noWrap/>
            <w:vAlign w:val="bottom"/>
          </w:tcPr>
          <w:p w14:paraId="45C54517" w14:textId="77777777" w:rsidR="00FF758C" w:rsidRPr="00C77EEA" w:rsidRDefault="00FF758C" w:rsidP="00FF758C">
            <w:pPr>
              <w:spacing w:before="0" w:after="0"/>
              <w:jc w:val="center"/>
              <w:rPr>
                <w:sz w:val="16"/>
                <w:szCs w:val="16"/>
              </w:rPr>
            </w:pPr>
          </w:p>
        </w:tc>
        <w:tc>
          <w:tcPr>
            <w:tcW w:w="595" w:type="dxa"/>
            <w:tcBorders>
              <w:left w:val="nil"/>
              <w:right w:val="nil"/>
            </w:tcBorders>
            <w:shd w:val="clear" w:color="auto" w:fill="E7F3F4"/>
            <w:noWrap/>
            <w:vAlign w:val="bottom"/>
          </w:tcPr>
          <w:p w14:paraId="3BF85F98" w14:textId="30131A8B" w:rsidR="00FF758C" w:rsidRPr="00C77EEA" w:rsidRDefault="00FF758C" w:rsidP="00FF758C">
            <w:pPr>
              <w:spacing w:before="0" w:after="0"/>
              <w:jc w:val="center"/>
              <w:rPr>
                <w:sz w:val="16"/>
                <w:szCs w:val="16"/>
              </w:rPr>
            </w:pPr>
            <w:r w:rsidRPr="00C77EEA">
              <w:rPr>
                <w:sz w:val="16"/>
                <w:szCs w:val="16"/>
              </w:rPr>
              <w:t>GH1</w:t>
            </w:r>
          </w:p>
        </w:tc>
        <w:tc>
          <w:tcPr>
            <w:tcW w:w="907" w:type="dxa"/>
            <w:tcBorders>
              <w:left w:val="nil"/>
              <w:right w:val="nil"/>
            </w:tcBorders>
            <w:shd w:val="clear" w:color="auto" w:fill="E7F3F4"/>
            <w:noWrap/>
            <w:vAlign w:val="bottom"/>
          </w:tcPr>
          <w:p w14:paraId="427814B3" w14:textId="7FC5A98B" w:rsidR="00FF758C" w:rsidRPr="00C77EEA" w:rsidRDefault="00FF758C" w:rsidP="00FF758C">
            <w:pPr>
              <w:spacing w:before="0" w:after="0"/>
              <w:jc w:val="center"/>
              <w:rPr>
                <w:sz w:val="16"/>
                <w:szCs w:val="16"/>
              </w:rPr>
            </w:pPr>
            <w:r>
              <w:rPr>
                <w:sz w:val="16"/>
                <w:szCs w:val="16"/>
              </w:rPr>
              <w:t>01-Apr-17</w:t>
            </w:r>
          </w:p>
        </w:tc>
        <w:tc>
          <w:tcPr>
            <w:tcW w:w="815" w:type="dxa"/>
            <w:tcBorders>
              <w:left w:val="nil"/>
              <w:right w:val="nil"/>
            </w:tcBorders>
            <w:shd w:val="clear" w:color="auto" w:fill="E7F3F4"/>
            <w:noWrap/>
            <w:vAlign w:val="bottom"/>
          </w:tcPr>
          <w:p w14:paraId="13BEDFA3" w14:textId="7F3CF2CD" w:rsidR="00FF758C" w:rsidRPr="00FF758C" w:rsidRDefault="00FF758C" w:rsidP="00FF758C">
            <w:pPr>
              <w:spacing w:before="0" w:after="0"/>
              <w:jc w:val="center"/>
              <w:rPr>
                <w:sz w:val="16"/>
                <w:szCs w:val="16"/>
              </w:rPr>
            </w:pPr>
            <w:r w:rsidRPr="00FF758C">
              <w:rPr>
                <w:sz w:val="16"/>
                <w:szCs w:val="16"/>
              </w:rPr>
              <w:t>0.1</w:t>
            </w:r>
          </w:p>
        </w:tc>
        <w:tc>
          <w:tcPr>
            <w:tcW w:w="823" w:type="dxa"/>
            <w:tcBorders>
              <w:left w:val="nil"/>
              <w:right w:val="nil"/>
            </w:tcBorders>
            <w:shd w:val="clear" w:color="auto" w:fill="E7F3F4"/>
            <w:noWrap/>
            <w:vAlign w:val="bottom"/>
          </w:tcPr>
          <w:p w14:paraId="1C962411" w14:textId="603B92CA" w:rsidR="00FF758C" w:rsidRPr="00FF758C" w:rsidRDefault="00FF758C" w:rsidP="00FF758C">
            <w:pPr>
              <w:spacing w:before="0" w:after="0"/>
              <w:jc w:val="center"/>
              <w:rPr>
                <w:sz w:val="16"/>
                <w:szCs w:val="16"/>
              </w:rPr>
            </w:pPr>
            <w:r w:rsidRPr="00FF758C">
              <w:rPr>
                <w:sz w:val="16"/>
                <w:szCs w:val="16"/>
              </w:rPr>
              <w:t>0</w:t>
            </w:r>
          </w:p>
        </w:tc>
        <w:tc>
          <w:tcPr>
            <w:tcW w:w="888" w:type="dxa"/>
            <w:tcBorders>
              <w:left w:val="nil"/>
              <w:right w:val="nil"/>
            </w:tcBorders>
            <w:shd w:val="clear" w:color="auto" w:fill="E7F3F4"/>
            <w:noWrap/>
            <w:vAlign w:val="bottom"/>
          </w:tcPr>
          <w:p w14:paraId="46F26E53" w14:textId="687B3402" w:rsidR="00FF758C" w:rsidRPr="00FF758C" w:rsidRDefault="00FF758C" w:rsidP="00FF758C">
            <w:pPr>
              <w:spacing w:before="0" w:after="0"/>
              <w:jc w:val="center"/>
              <w:rPr>
                <w:sz w:val="16"/>
                <w:szCs w:val="16"/>
              </w:rPr>
            </w:pPr>
            <w:r w:rsidRPr="00FF758C">
              <w:rPr>
                <w:sz w:val="16"/>
                <w:szCs w:val="16"/>
              </w:rPr>
              <w:t>18</w:t>
            </w:r>
          </w:p>
        </w:tc>
        <w:tc>
          <w:tcPr>
            <w:tcW w:w="888" w:type="dxa"/>
            <w:tcBorders>
              <w:left w:val="nil"/>
              <w:right w:val="nil"/>
            </w:tcBorders>
            <w:shd w:val="clear" w:color="auto" w:fill="E7F3F4"/>
            <w:noWrap/>
            <w:vAlign w:val="bottom"/>
          </w:tcPr>
          <w:p w14:paraId="5D7F514C" w14:textId="59872EC1" w:rsidR="00FF758C" w:rsidRPr="00FF758C" w:rsidRDefault="00FF758C" w:rsidP="00FF758C">
            <w:pPr>
              <w:spacing w:before="0" w:after="0"/>
              <w:jc w:val="center"/>
              <w:rPr>
                <w:sz w:val="16"/>
                <w:szCs w:val="16"/>
              </w:rPr>
            </w:pPr>
            <w:r w:rsidRPr="00FF758C">
              <w:rPr>
                <w:sz w:val="16"/>
                <w:szCs w:val="16"/>
              </w:rPr>
              <w:t>34.1</w:t>
            </w:r>
          </w:p>
        </w:tc>
        <w:tc>
          <w:tcPr>
            <w:tcW w:w="888" w:type="dxa"/>
            <w:tcBorders>
              <w:left w:val="nil"/>
              <w:right w:val="nil"/>
            </w:tcBorders>
            <w:shd w:val="clear" w:color="auto" w:fill="E7F3F4"/>
            <w:noWrap/>
            <w:vAlign w:val="bottom"/>
          </w:tcPr>
          <w:p w14:paraId="785EC711" w14:textId="32198FE2" w:rsidR="00FF758C" w:rsidRPr="00FF758C" w:rsidRDefault="00FF758C" w:rsidP="00FF758C">
            <w:pPr>
              <w:spacing w:before="0" w:after="0"/>
              <w:jc w:val="center"/>
              <w:rPr>
                <w:sz w:val="16"/>
                <w:szCs w:val="16"/>
              </w:rPr>
            </w:pPr>
            <w:r w:rsidRPr="00FF758C">
              <w:rPr>
                <w:sz w:val="16"/>
                <w:szCs w:val="16"/>
              </w:rPr>
              <w:t>54</w:t>
            </w:r>
          </w:p>
        </w:tc>
        <w:tc>
          <w:tcPr>
            <w:tcW w:w="862" w:type="dxa"/>
            <w:tcBorders>
              <w:left w:val="nil"/>
              <w:right w:val="nil"/>
            </w:tcBorders>
            <w:shd w:val="clear" w:color="auto" w:fill="E7F3F4"/>
            <w:noWrap/>
            <w:vAlign w:val="bottom"/>
          </w:tcPr>
          <w:p w14:paraId="6707DE0B" w14:textId="19B1AEEA" w:rsidR="00FF758C" w:rsidRPr="00FF758C" w:rsidRDefault="00FF758C" w:rsidP="00FF758C">
            <w:pPr>
              <w:spacing w:before="0" w:after="0"/>
              <w:jc w:val="center"/>
              <w:rPr>
                <w:sz w:val="16"/>
                <w:szCs w:val="16"/>
              </w:rPr>
            </w:pPr>
            <w:r w:rsidRPr="00FF758C">
              <w:rPr>
                <w:sz w:val="16"/>
                <w:szCs w:val="16"/>
              </w:rPr>
              <w:t>0</w:t>
            </w:r>
          </w:p>
        </w:tc>
      </w:tr>
      <w:tr w:rsidR="00FF758C" w:rsidRPr="00C77EEA" w14:paraId="7F1DCBFC" w14:textId="77777777" w:rsidTr="00FF758C">
        <w:trPr>
          <w:jc w:val="center"/>
        </w:trPr>
        <w:tc>
          <w:tcPr>
            <w:tcW w:w="1464" w:type="dxa"/>
            <w:tcBorders>
              <w:left w:val="nil"/>
              <w:bottom w:val="nil"/>
              <w:right w:val="nil"/>
            </w:tcBorders>
            <w:noWrap/>
            <w:vAlign w:val="bottom"/>
          </w:tcPr>
          <w:p w14:paraId="27CCFE40" w14:textId="77777777" w:rsidR="00FF758C" w:rsidRPr="00C77EEA" w:rsidRDefault="00FF758C" w:rsidP="00FF758C">
            <w:pPr>
              <w:spacing w:before="0" w:after="0"/>
              <w:rPr>
                <w:sz w:val="16"/>
                <w:szCs w:val="16"/>
              </w:rPr>
            </w:pPr>
          </w:p>
        </w:tc>
        <w:tc>
          <w:tcPr>
            <w:tcW w:w="1567" w:type="dxa"/>
            <w:tcBorders>
              <w:left w:val="nil"/>
              <w:bottom w:val="nil"/>
              <w:right w:val="nil"/>
            </w:tcBorders>
            <w:shd w:val="clear" w:color="auto" w:fill="E7F3F4"/>
            <w:noWrap/>
            <w:vAlign w:val="bottom"/>
          </w:tcPr>
          <w:p w14:paraId="7E42AAA6" w14:textId="77777777" w:rsidR="00FF758C" w:rsidRPr="00C77EEA" w:rsidRDefault="00FF758C" w:rsidP="00FF758C">
            <w:pPr>
              <w:spacing w:before="0" w:after="0"/>
              <w:jc w:val="center"/>
              <w:rPr>
                <w:sz w:val="16"/>
                <w:szCs w:val="16"/>
              </w:rPr>
            </w:pPr>
          </w:p>
        </w:tc>
        <w:tc>
          <w:tcPr>
            <w:tcW w:w="595" w:type="dxa"/>
            <w:tcBorders>
              <w:left w:val="nil"/>
              <w:bottom w:val="nil"/>
              <w:right w:val="nil"/>
            </w:tcBorders>
            <w:shd w:val="clear" w:color="auto" w:fill="E7F3F4"/>
            <w:noWrap/>
            <w:vAlign w:val="bottom"/>
          </w:tcPr>
          <w:p w14:paraId="5E99947E" w14:textId="0478185C" w:rsidR="00FF758C" w:rsidRPr="00C77EEA" w:rsidRDefault="00FF758C" w:rsidP="00FF758C">
            <w:pPr>
              <w:spacing w:before="0" w:after="0"/>
              <w:jc w:val="center"/>
              <w:rPr>
                <w:sz w:val="16"/>
                <w:szCs w:val="16"/>
              </w:rPr>
            </w:pPr>
            <w:r w:rsidRPr="00C77EEA">
              <w:rPr>
                <w:sz w:val="16"/>
                <w:szCs w:val="16"/>
              </w:rPr>
              <w:t>GH2</w:t>
            </w:r>
          </w:p>
        </w:tc>
        <w:tc>
          <w:tcPr>
            <w:tcW w:w="907" w:type="dxa"/>
            <w:tcBorders>
              <w:left w:val="nil"/>
              <w:bottom w:val="nil"/>
              <w:right w:val="nil"/>
            </w:tcBorders>
            <w:shd w:val="clear" w:color="auto" w:fill="E7F3F4"/>
            <w:noWrap/>
            <w:vAlign w:val="bottom"/>
          </w:tcPr>
          <w:p w14:paraId="44E29F15" w14:textId="0833CA9F" w:rsidR="00FF758C" w:rsidRPr="00C77EEA" w:rsidRDefault="00FF758C" w:rsidP="00FF758C">
            <w:pPr>
              <w:spacing w:before="0" w:after="0"/>
              <w:jc w:val="center"/>
              <w:rPr>
                <w:sz w:val="16"/>
                <w:szCs w:val="16"/>
              </w:rPr>
            </w:pPr>
            <w:r w:rsidRPr="00C77EEA">
              <w:rPr>
                <w:sz w:val="16"/>
                <w:szCs w:val="16"/>
              </w:rPr>
              <w:t>01-Oct-1</w:t>
            </w:r>
            <w:r>
              <w:rPr>
                <w:sz w:val="16"/>
                <w:szCs w:val="16"/>
              </w:rPr>
              <w:t>6</w:t>
            </w:r>
          </w:p>
        </w:tc>
        <w:tc>
          <w:tcPr>
            <w:tcW w:w="815" w:type="dxa"/>
            <w:tcBorders>
              <w:left w:val="nil"/>
              <w:bottom w:val="nil"/>
              <w:right w:val="nil"/>
            </w:tcBorders>
            <w:shd w:val="clear" w:color="auto" w:fill="E7F3F4"/>
            <w:noWrap/>
            <w:vAlign w:val="bottom"/>
          </w:tcPr>
          <w:p w14:paraId="44FDC564" w14:textId="50900A5E" w:rsidR="00FF758C" w:rsidRPr="00FF758C" w:rsidRDefault="00FF758C" w:rsidP="00FF758C">
            <w:pPr>
              <w:spacing w:before="0" w:after="0"/>
              <w:jc w:val="center"/>
              <w:rPr>
                <w:sz w:val="16"/>
                <w:szCs w:val="16"/>
              </w:rPr>
            </w:pPr>
            <w:r w:rsidRPr="00FF758C">
              <w:rPr>
                <w:sz w:val="16"/>
                <w:szCs w:val="16"/>
              </w:rPr>
              <w:t>12.1</w:t>
            </w:r>
          </w:p>
        </w:tc>
        <w:tc>
          <w:tcPr>
            <w:tcW w:w="823" w:type="dxa"/>
            <w:tcBorders>
              <w:left w:val="nil"/>
              <w:bottom w:val="nil"/>
              <w:right w:val="nil"/>
            </w:tcBorders>
            <w:shd w:val="clear" w:color="auto" w:fill="E7F3F4"/>
            <w:noWrap/>
            <w:vAlign w:val="bottom"/>
          </w:tcPr>
          <w:p w14:paraId="568A6239" w14:textId="40EA9D4D" w:rsidR="00FF758C" w:rsidRPr="00FF758C" w:rsidRDefault="00FF758C" w:rsidP="00FF758C">
            <w:pPr>
              <w:spacing w:before="0" w:after="0"/>
              <w:jc w:val="center"/>
              <w:rPr>
                <w:sz w:val="16"/>
                <w:szCs w:val="16"/>
              </w:rPr>
            </w:pPr>
            <w:r w:rsidRPr="00FF758C">
              <w:rPr>
                <w:sz w:val="16"/>
                <w:szCs w:val="16"/>
              </w:rPr>
              <w:t>15</w:t>
            </w:r>
          </w:p>
        </w:tc>
        <w:tc>
          <w:tcPr>
            <w:tcW w:w="888" w:type="dxa"/>
            <w:tcBorders>
              <w:left w:val="nil"/>
              <w:bottom w:val="nil"/>
              <w:right w:val="nil"/>
            </w:tcBorders>
            <w:shd w:val="clear" w:color="auto" w:fill="E7F3F4"/>
            <w:noWrap/>
            <w:vAlign w:val="bottom"/>
          </w:tcPr>
          <w:p w14:paraId="15E6F6D5" w14:textId="03A1750F" w:rsidR="00FF758C" w:rsidRPr="00FF758C" w:rsidRDefault="00FF758C" w:rsidP="00FF758C">
            <w:pPr>
              <w:spacing w:before="0" w:after="0"/>
              <w:jc w:val="center"/>
              <w:rPr>
                <w:sz w:val="16"/>
                <w:szCs w:val="16"/>
              </w:rPr>
            </w:pPr>
            <w:r w:rsidRPr="00FF758C">
              <w:rPr>
                <w:sz w:val="16"/>
                <w:szCs w:val="16"/>
              </w:rPr>
              <w:t>18</w:t>
            </w:r>
          </w:p>
        </w:tc>
        <w:tc>
          <w:tcPr>
            <w:tcW w:w="888" w:type="dxa"/>
            <w:tcBorders>
              <w:left w:val="nil"/>
              <w:bottom w:val="nil"/>
              <w:right w:val="nil"/>
            </w:tcBorders>
            <w:shd w:val="clear" w:color="auto" w:fill="E7F3F4"/>
            <w:noWrap/>
            <w:vAlign w:val="bottom"/>
          </w:tcPr>
          <w:p w14:paraId="5897FFDA" w14:textId="64146B02" w:rsidR="00FF758C" w:rsidRPr="00FF758C" w:rsidRDefault="00FF758C" w:rsidP="00FF758C">
            <w:pPr>
              <w:spacing w:before="0" w:after="0"/>
              <w:jc w:val="center"/>
              <w:rPr>
                <w:sz w:val="16"/>
                <w:szCs w:val="16"/>
              </w:rPr>
            </w:pPr>
            <w:r w:rsidRPr="00FF758C">
              <w:rPr>
                <w:sz w:val="16"/>
                <w:szCs w:val="16"/>
              </w:rPr>
              <w:t>34.1</w:t>
            </w:r>
          </w:p>
        </w:tc>
        <w:tc>
          <w:tcPr>
            <w:tcW w:w="888" w:type="dxa"/>
            <w:tcBorders>
              <w:left w:val="nil"/>
              <w:bottom w:val="nil"/>
              <w:right w:val="nil"/>
            </w:tcBorders>
            <w:shd w:val="clear" w:color="auto" w:fill="E7F3F4"/>
            <w:noWrap/>
            <w:vAlign w:val="bottom"/>
          </w:tcPr>
          <w:p w14:paraId="5A3F2A0E" w14:textId="7E5A0C28" w:rsidR="00FF758C" w:rsidRPr="00FF758C" w:rsidRDefault="00FF758C" w:rsidP="00FF758C">
            <w:pPr>
              <w:spacing w:before="0" w:after="0"/>
              <w:jc w:val="center"/>
              <w:rPr>
                <w:sz w:val="16"/>
                <w:szCs w:val="16"/>
              </w:rPr>
            </w:pPr>
            <w:r w:rsidRPr="00FF758C">
              <w:rPr>
                <w:sz w:val="16"/>
                <w:szCs w:val="16"/>
              </w:rPr>
              <w:t>54</w:t>
            </w:r>
          </w:p>
        </w:tc>
        <w:tc>
          <w:tcPr>
            <w:tcW w:w="862" w:type="dxa"/>
            <w:tcBorders>
              <w:left w:val="nil"/>
              <w:bottom w:val="nil"/>
              <w:right w:val="nil"/>
            </w:tcBorders>
            <w:shd w:val="clear" w:color="auto" w:fill="E7F3F4"/>
            <w:noWrap/>
            <w:vAlign w:val="bottom"/>
          </w:tcPr>
          <w:p w14:paraId="443D4F73" w14:textId="5F9151F7" w:rsidR="00FF758C" w:rsidRPr="00FF758C" w:rsidRDefault="00FF758C" w:rsidP="00FF758C">
            <w:pPr>
              <w:spacing w:before="0" w:after="0"/>
              <w:jc w:val="center"/>
              <w:rPr>
                <w:sz w:val="16"/>
                <w:szCs w:val="16"/>
              </w:rPr>
            </w:pPr>
            <w:r w:rsidRPr="00FF758C">
              <w:rPr>
                <w:sz w:val="16"/>
                <w:szCs w:val="16"/>
              </w:rPr>
              <w:t>25</w:t>
            </w:r>
          </w:p>
        </w:tc>
      </w:tr>
      <w:tr w:rsidR="00FF758C" w:rsidRPr="00C77EEA" w14:paraId="14914C0A" w14:textId="77777777" w:rsidTr="006F4537">
        <w:trPr>
          <w:jc w:val="center"/>
        </w:trPr>
        <w:tc>
          <w:tcPr>
            <w:tcW w:w="1464" w:type="dxa"/>
            <w:tcBorders>
              <w:top w:val="nil"/>
              <w:left w:val="nil"/>
              <w:bottom w:val="single" w:sz="4" w:space="0" w:color="auto"/>
              <w:right w:val="nil"/>
            </w:tcBorders>
            <w:noWrap/>
            <w:vAlign w:val="bottom"/>
          </w:tcPr>
          <w:p w14:paraId="5E846C7F" w14:textId="77777777" w:rsidR="00FF758C" w:rsidRPr="00C77EEA" w:rsidRDefault="00FF758C" w:rsidP="00FF758C">
            <w:pPr>
              <w:spacing w:before="0" w:after="0"/>
              <w:rPr>
                <w:sz w:val="16"/>
                <w:szCs w:val="16"/>
              </w:rPr>
            </w:pPr>
          </w:p>
        </w:tc>
        <w:tc>
          <w:tcPr>
            <w:tcW w:w="1567" w:type="dxa"/>
            <w:tcBorders>
              <w:top w:val="nil"/>
              <w:left w:val="nil"/>
              <w:bottom w:val="single" w:sz="4" w:space="0" w:color="auto"/>
              <w:right w:val="nil"/>
            </w:tcBorders>
            <w:shd w:val="clear" w:color="auto" w:fill="E7F3F4"/>
            <w:noWrap/>
            <w:vAlign w:val="bottom"/>
          </w:tcPr>
          <w:p w14:paraId="19433907" w14:textId="77777777" w:rsidR="00FF758C" w:rsidRPr="00C77EEA" w:rsidRDefault="00FF758C" w:rsidP="00FF758C">
            <w:pPr>
              <w:spacing w:before="0" w:after="0"/>
              <w:jc w:val="center"/>
              <w:rPr>
                <w:sz w:val="16"/>
                <w:szCs w:val="16"/>
              </w:rPr>
            </w:pPr>
          </w:p>
        </w:tc>
        <w:tc>
          <w:tcPr>
            <w:tcW w:w="595" w:type="dxa"/>
            <w:tcBorders>
              <w:top w:val="nil"/>
              <w:left w:val="nil"/>
              <w:bottom w:val="single" w:sz="4" w:space="0" w:color="auto"/>
              <w:right w:val="nil"/>
            </w:tcBorders>
            <w:shd w:val="clear" w:color="auto" w:fill="E7F3F4"/>
            <w:noWrap/>
            <w:vAlign w:val="bottom"/>
            <w:hideMark/>
          </w:tcPr>
          <w:p w14:paraId="42EF82CE" w14:textId="77777777" w:rsidR="00FF758C" w:rsidRPr="00C77EEA" w:rsidRDefault="00FF758C" w:rsidP="00FF758C">
            <w:pPr>
              <w:spacing w:before="0" w:after="0"/>
              <w:jc w:val="center"/>
              <w:rPr>
                <w:sz w:val="16"/>
                <w:szCs w:val="16"/>
              </w:rPr>
            </w:pPr>
            <w:r w:rsidRPr="00C77EEA">
              <w:rPr>
                <w:sz w:val="16"/>
                <w:szCs w:val="16"/>
              </w:rPr>
              <w:t>GH2</w:t>
            </w:r>
          </w:p>
        </w:tc>
        <w:tc>
          <w:tcPr>
            <w:tcW w:w="907" w:type="dxa"/>
            <w:tcBorders>
              <w:top w:val="nil"/>
              <w:left w:val="nil"/>
              <w:bottom w:val="single" w:sz="4" w:space="0" w:color="auto"/>
              <w:right w:val="nil"/>
            </w:tcBorders>
            <w:shd w:val="clear" w:color="auto" w:fill="E7F3F4"/>
            <w:noWrap/>
            <w:vAlign w:val="bottom"/>
            <w:hideMark/>
          </w:tcPr>
          <w:p w14:paraId="7979FAB0" w14:textId="44E329D5" w:rsidR="00FF758C" w:rsidRPr="00C77EEA" w:rsidRDefault="00FF758C" w:rsidP="00FF758C">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tcPr>
          <w:p w14:paraId="57933AAE" w14:textId="270CF105" w:rsidR="00FF758C" w:rsidRPr="00FF758C" w:rsidRDefault="00FF758C" w:rsidP="00FF758C">
            <w:pPr>
              <w:spacing w:before="0" w:after="0"/>
              <w:jc w:val="center"/>
              <w:rPr>
                <w:sz w:val="16"/>
                <w:szCs w:val="16"/>
              </w:rPr>
            </w:pPr>
            <w:r w:rsidRPr="00FF758C">
              <w:rPr>
                <w:sz w:val="16"/>
                <w:szCs w:val="16"/>
              </w:rPr>
              <w:t>12.4</w:t>
            </w:r>
          </w:p>
        </w:tc>
        <w:tc>
          <w:tcPr>
            <w:tcW w:w="823" w:type="dxa"/>
            <w:tcBorders>
              <w:top w:val="nil"/>
              <w:left w:val="nil"/>
              <w:bottom w:val="single" w:sz="4" w:space="0" w:color="auto"/>
              <w:right w:val="nil"/>
            </w:tcBorders>
            <w:shd w:val="clear" w:color="auto" w:fill="E7F3F4"/>
            <w:noWrap/>
            <w:vAlign w:val="bottom"/>
          </w:tcPr>
          <w:p w14:paraId="463F1215" w14:textId="7617386A" w:rsidR="00FF758C" w:rsidRPr="00FF758C" w:rsidRDefault="00FF758C" w:rsidP="00FF758C">
            <w:pPr>
              <w:spacing w:before="0" w:after="0"/>
              <w:jc w:val="center"/>
              <w:rPr>
                <w:sz w:val="16"/>
                <w:szCs w:val="16"/>
              </w:rPr>
            </w:pPr>
            <w:r w:rsidRPr="00FF758C">
              <w:rPr>
                <w:sz w:val="16"/>
                <w:szCs w:val="16"/>
              </w:rPr>
              <w:t>12</w:t>
            </w:r>
          </w:p>
        </w:tc>
        <w:tc>
          <w:tcPr>
            <w:tcW w:w="888" w:type="dxa"/>
            <w:tcBorders>
              <w:top w:val="nil"/>
              <w:left w:val="nil"/>
              <w:bottom w:val="single" w:sz="4" w:space="0" w:color="auto"/>
              <w:right w:val="nil"/>
            </w:tcBorders>
            <w:shd w:val="clear" w:color="auto" w:fill="E7F3F4"/>
            <w:noWrap/>
            <w:vAlign w:val="bottom"/>
            <w:hideMark/>
          </w:tcPr>
          <w:p w14:paraId="7CA5868B" w14:textId="5EBA586B" w:rsidR="00FF758C" w:rsidRPr="00FF758C" w:rsidRDefault="00FF758C" w:rsidP="00FF758C">
            <w:pPr>
              <w:spacing w:before="0" w:after="0"/>
              <w:jc w:val="center"/>
              <w:rPr>
                <w:sz w:val="16"/>
                <w:szCs w:val="16"/>
              </w:rPr>
            </w:pPr>
            <w:r w:rsidRPr="00FF758C">
              <w:rPr>
                <w:sz w:val="16"/>
                <w:szCs w:val="16"/>
              </w:rPr>
              <w:t>18</w:t>
            </w:r>
          </w:p>
        </w:tc>
        <w:tc>
          <w:tcPr>
            <w:tcW w:w="888" w:type="dxa"/>
            <w:tcBorders>
              <w:top w:val="nil"/>
              <w:left w:val="nil"/>
              <w:bottom w:val="single" w:sz="4" w:space="0" w:color="auto"/>
              <w:right w:val="nil"/>
            </w:tcBorders>
            <w:shd w:val="clear" w:color="auto" w:fill="E7F3F4"/>
            <w:noWrap/>
            <w:vAlign w:val="bottom"/>
            <w:hideMark/>
          </w:tcPr>
          <w:p w14:paraId="7527774E" w14:textId="5E5311EB" w:rsidR="00FF758C" w:rsidRPr="00FF758C" w:rsidRDefault="00FF758C" w:rsidP="00FF758C">
            <w:pPr>
              <w:spacing w:before="0" w:after="0"/>
              <w:jc w:val="center"/>
              <w:rPr>
                <w:sz w:val="16"/>
                <w:szCs w:val="16"/>
              </w:rPr>
            </w:pPr>
            <w:r w:rsidRPr="00FF758C">
              <w:rPr>
                <w:sz w:val="16"/>
                <w:szCs w:val="16"/>
              </w:rPr>
              <w:t>34.1</w:t>
            </w:r>
          </w:p>
        </w:tc>
        <w:tc>
          <w:tcPr>
            <w:tcW w:w="888" w:type="dxa"/>
            <w:tcBorders>
              <w:top w:val="nil"/>
              <w:left w:val="nil"/>
              <w:bottom w:val="single" w:sz="4" w:space="0" w:color="auto"/>
              <w:right w:val="nil"/>
            </w:tcBorders>
            <w:shd w:val="clear" w:color="auto" w:fill="E7F3F4"/>
            <w:noWrap/>
            <w:vAlign w:val="bottom"/>
            <w:hideMark/>
          </w:tcPr>
          <w:p w14:paraId="0618F26F" w14:textId="332F08C0" w:rsidR="00FF758C" w:rsidRPr="00FF758C" w:rsidRDefault="00FF758C" w:rsidP="00FF758C">
            <w:pPr>
              <w:spacing w:before="0" w:after="0"/>
              <w:jc w:val="center"/>
              <w:rPr>
                <w:sz w:val="16"/>
                <w:szCs w:val="16"/>
              </w:rPr>
            </w:pPr>
            <w:r w:rsidRPr="00FF758C">
              <w:rPr>
                <w:sz w:val="16"/>
                <w:szCs w:val="16"/>
              </w:rPr>
              <w:t>54</w:t>
            </w:r>
          </w:p>
        </w:tc>
        <w:tc>
          <w:tcPr>
            <w:tcW w:w="862" w:type="dxa"/>
            <w:tcBorders>
              <w:top w:val="nil"/>
              <w:left w:val="nil"/>
              <w:bottom w:val="single" w:sz="4" w:space="0" w:color="auto"/>
              <w:right w:val="nil"/>
            </w:tcBorders>
            <w:shd w:val="clear" w:color="auto" w:fill="E7F3F4"/>
            <w:noWrap/>
            <w:vAlign w:val="bottom"/>
            <w:hideMark/>
          </w:tcPr>
          <w:p w14:paraId="061952FC" w14:textId="078EFF15" w:rsidR="00FF758C" w:rsidRPr="00FF758C" w:rsidRDefault="00FF758C" w:rsidP="00FF758C">
            <w:pPr>
              <w:spacing w:before="0" w:after="0"/>
              <w:jc w:val="center"/>
              <w:rPr>
                <w:sz w:val="16"/>
                <w:szCs w:val="16"/>
              </w:rPr>
            </w:pPr>
            <w:r w:rsidRPr="00FF758C">
              <w:rPr>
                <w:sz w:val="16"/>
                <w:szCs w:val="16"/>
              </w:rPr>
              <w:t>0</w:t>
            </w:r>
          </w:p>
        </w:tc>
      </w:tr>
      <w:tr w:rsidR="00FF758C" w:rsidRPr="00C77EEA" w14:paraId="0B3576F4" w14:textId="77777777" w:rsidTr="006F4537">
        <w:trPr>
          <w:jc w:val="center"/>
        </w:trPr>
        <w:tc>
          <w:tcPr>
            <w:tcW w:w="1464" w:type="dxa"/>
            <w:tcBorders>
              <w:top w:val="single" w:sz="4" w:space="0" w:color="auto"/>
              <w:left w:val="nil"/>
              <w:bottom w:val="nil"/>
              <w:right w:val="nil"/>
            </w:tcBorders>
            <w:noWrap/>
            <w:vAlign w:val="bottom"/>
            <w:hideMark/>
          </w:tcPr>
          <w:p w14:paraId="251EE1D8" w14:textId="77777777" w:rsidR="00FF758C" w:rsidRPr="00C77EEA" w:rsidRDefault="00FF758C" w:rsidP="00FF758C">
            <w:pPr>
              <w:spacing w:before="0" w:after="0"/>
              <w:rPr>
                <w:sz w:val="16"/>
                <w:szCs w:val="16"/>
              </w:rPr>
            </w:pPr>
            <w:r w:rsidRPr="00C77EEA">
              <w:rPr>
                <w:sz w:val="16"/>
                <w:szCs w:val="16"/>
              </w:rPr>
              <w:t>coastal intertidal</w:t>
            </w:r>
          </w:p>
        </w:tc>
        <w:tc>
          <w:tcPr>
            <w:tcW w:w="1567" w:type="dxa"/>
            <w:tcBorders>
              <w:top w:val="single" w:sz="4" w:space="0" w:color="auto"/>
              <w:left w:val="nil"/>
              <w:bottom w:val="nil"/>
              <w:right w:val="nil"/>
            </w:tcBorders>
            <w:shd w:val="clear" w:color="auto" w:fill="F3F9FA"/>
            <w:noWrap/>
            <w:vAlign w:val="bottom"/>
            <w:hideMark/>
          </w:tcPr>
          <w:p w14:paraId="2CCAD684" w14:textId="77777777" w:rsidR="00FF758C" w:rsidRPr="00C77EEA" w:rsidRDefault="00FF758C" w:rsidP="00FF758C">
            <w:pPr>
              <w:spacing w:before="0" w:after="0"/>
              <w:jc w:val="center"/>
              <w:rPr>
                <w:sz w:val="16"/>
                <w:szCs w:val="16"/>
              </w:rPr>
            </w:pPr>
            <w:r w:rsidRPr="00C77EEA">
              <w:rPr>
                <w:sz w:val="16"/>
                <w:szCs w:val="16"/>
              </w:rPr>
              <w:t>Shoalwater Bay</w:t>
            </w:r>
          </w:p>
        </w:tc>
        <w:tc>
          <w:tcPr>
            <w:tcW w:w="595" w:type="dxa"/>
            <w:tcBorders>
              <w:top w:val="single" w:sz="4" w:space="0" w:color="auto"/>
              <w:left w:val="nil"/>
              <w:bottom w:val="nil"/>
              <w:right w:val="nil"/>
            </w:tcBorders>
            <w:shd w:val="clear" w:color="auto" w:fill="F3F9FA"/>
            <w:noWrap/>
            <w:vAlign w:val="bottom"/>
            <w:hideMark/>
          </w:tcPr>
          <w:p w14:paraId="7C943E85" w14:textId="77777777" w:rsidR="00FF758C" w:rsidRPr="00C77EEA" w:rsidRDefault="00FF758C" w:rsidP="00FF758C">
            <w:pPr>
              <w:spacing w:before="0" w:after="0"/>
              <w:jc w:val="center"/>
              <w:rPr>
                <w:sz w:val="16"/>
                <w:szCs w:val="16"/>
              </w:rPr>
            </w:pPr>
            <w:r w:rsidRPr="00C77EEA">
              <w:rPr>
                <w:sz w:val="16"/>
                <w:szCs w:val="16"/>
              </w:rPr>
              <w:t>RC1</w:t>
            </w:r>
          </w:p>
        </w:tc>
        <w:tc>
          <w:tcPr>
            <w:tcW w:w="907" w:type="dxa"/>
            <w:tcBorders>
              <w:top w:val="single" w:sz="4" w:space="0" w:color="auto"/>
              <w:left w:val="nil"/>
              <w:bottom w:val="nil"/>
              <w:right w:val="nil"/>
            </w:tcBorders>
            <w:shd w:val="clear" w:color="auto" w:fill="F3F9FA"/>
            <w:noWrap/>
            <w:vAlign w:val="bottom"/>
            <w:hideMark/>
          </w:tcPr>
          <w:p w14:paraId="5E2F79D6" w14:textId="4E4710C0" w:rsidR="00FF758C" w:rsidRPr="00C77EEA" w:rsidRDefault="00FF758C" w:rsidP="00FF758C">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F3F9FA"/>
            <w:noWrap/>
            <w:vAlign w:val="bottom"/>
          </w:tcPr>
          <w:p w14:paraId="5E61FACE" w14:textId="4DE0ACF2" w:rsidR="00FF758C" w:rsidRPr="00FF758C" w:rsidRDefault="00FF758C" w:rsidP="00FF758C">
            <w:pPr>
              <w:spacing w:before="0" w:after="0"/>
              <w:jc w:val="center"/>
              <w:rPr>
                <w:sz w:val="16"/>
                <w:szCs w:val="16"/>
              </w:rPr>
            </w:pPr>
            <w:r w:rsidRPr="00FF758C">
              <w:rPr>
                <w:sz w:val="16"/>
                <w:szCs w:val="16"/>
              </w:rPr>
              <w:t>24.2</w:t>
            </w:r>
          </w:p>
        </w:tc>
        <w:tc>
          <w:tcPr>
            <w:tcW w:w="823" w:type="dxa"/>
            <w:tcBorders>
              <w:top w:val="single" w:sz="4" w:space="0" w:color="auto"/>
              <w:left w:val="nil"/>
              <w:bottom w:val="nil"/>
              <w:right w:val="nil"/>
            </w:tcBorders>
            <w:shd w:val="clear" w:color="auto" w:fill="F3F9FA"/>
            <w:noWrap/>
            <w:vAlign w:val="bottom"/>
          </w:tcPr>
          <w:p w14:paraId="6FDF9889" w14:textId="1F6A4A83" w:rsidR="00FF758C" w:rsidRPr="00FF758C" w:rsidRDefault="00FF758C" w:rsidP="00FF758C">
            <w:pPr>
              <w:spacing w:before="0" w:after="0"/>
              <w:jc w:val="center"/>
              <w:rPr>
                <w:sz w:val="16"/>
                <w:szCs w:val="16"/>
              </w:rPr>
            </w:pPr>
            <w:r w:rsidRPr="00FF758C">
              <w:rPr>
                <w:sz w:val="16"/>
                <w:szCs w:val="16"/>
              </w:rPr>
              <w:t>22</w:t>
            </w:r>
          </w:p>
        </w:tc>
        <w:tc>
          <w:tcPr>
            <w:tcW w:w="888" w:type="dxa"/>
            <w:tcBorders>
              <w:top w:val="single" w:sz="4" w:space="0" w:color="auto"/>
              <w:left w:val="nil"/>
              <w:bottom w:val="nil"/>
              <w:right w:val="nil"/>
            </w:tcBorders>
            <w:shd w:val="clear" w:color="auto" w:fill="F3F9FA"/>
            <w:noWrap/>
            <w:vAlign w:val="bottom"/>
            <w:hideMark/>
          </w:tcPr>
          <w:p w14:paraId="6FEBA897" w14:textId="1C291159" w:rsidR="00FF758C" w:rsidRPr="00FF758C" w:rsidRDefault="00FF758C" w:rsidP="00FF758C">
            <w:pPr>
              <w:spacing w:before="0" w:after="0"/>
              <w:jc w:val="center"/>
              <w:rPr>
                <w:sz w:val="16"/>
                <w:szCs w:val="16"/>
              </w:rPr>
            </w:pPr>
            <w:r w:rsidRPr="00FF758C">
              <w:rPr>
                <w:sz w:val="16"/>
                <w:szCs w:val="16"/>
              </w:rPr>
              <w:t>17.3</w:t>
            </w:r>
          </w:p>
        </w:tc>
        <w:tc>
          <w:tcPr>
            <w:tcW w:w="888" w:type="dxa"/>
            <w:tcBorders>
              <w:top w:val="single" w:sz="4" w:space="0" w:color="auto"/>
              <w:left w:val="nil"/>
              <w:bottom w:val="nil"/>
              <w:right w:val="nil"/>
            </w:tcBorders>
            <w:shd w:val="clear" w:color="auto" w:fill="F3F9FA"/>
            <w:noWrap/>
            <w:vAlign w:val="bottom"/>
            <w:hideMark/>
          </w:tcPr>
          <w:p w14:paraId="3EAFAD8E" w14:textId="721DC2B1" w:rsidR="00FF758C" w:rsidRPr="00FF758C" w:rsidRDefault="00FF758C" w:rsidP="00FF758C">
            <w:pPr>
              <w:spacing w:before="0" w:after="0"/>
              <w:jc w:val="center"/>
              <w:rPr>
                <w:sz w:val="16"/>
                <w:szCs w:val="16"/>
              </w:rPr>
            </w:pPr>
            <w:r w:rsidRPr="00FF758C">
              <w:rPr>
                <w:sz w:val="16"/>
                <w:szCs w:val="16"/>
              </w:rPr>
              <w:t>21.8</w:t>
            </w:r>
          </w:p>
        </w:tc>
        <w:tc>
          <w:tcPr>
            <w:tcW w:w="888" w:type="dxa"/>
            <w:tcBorders>
              <w:top w:val="single" w:sz="4" w:space="0" w:color="auto"/>
              <w:left w:val="nil"/>
              <w:bottom w:val="nil"/>
              <w:right w:val="nil"/>
            </w:tcBorders>
            <w:shd w:val="clear" w:color="auto" w:fill="F3F9FA"/>
            <w:noWrap/>
            <w:vAlign w:val="bottom"/>
            <w:hideMark/>
          </w:tcPr>
          <w:p w14:paraId="74A1EE6F" w14:textId="22035423" w:rsidR="00FF758C" w:rsidRPr="00FF758C" w:rsidRDefault="00FF758C" w:rsidP="00FF758C">
            <w:pPr>
              <w:spacing w:before="0" w:after="0"/>
              <w:jc w:val="center"/>
              <w:rPr>
                <w:sz w:val="16"/>
                <w:szCs w:val="16"/>
              </w:rPr>
            </w:pPr>
            <w:r w:rsidRPr="00FF758C">
              <w:rPr>
                <w:sz w:val="16"/>
                <w:szCs w:val="16"/>
              </w:rPr>
              <w:t>34.5</w:t>
            </w:r>
          </w:p>
        </w:tc>
        <w:tc>
          <w:tcPr>
            <w:tcW w:w="862" w:type="dxa"/>
            <w:tcBorders>
              <w:top w:val="single" w:sz="4" w:space="0" w:color="auto"/>
              <w:left w:val="nil"/>
              <w:bottom w:val="nil"/>
              <w:right w:val="nil"/>
            </w:tcBorders>
            <w:shd w:val="clear" w:color="auto" w:fill="F3F9FA"/>
            <w:noWrap/>
            <w:vAlign w:val="bottom"/>
            <w:hideMark/>
          </w:tcPr>
          <w:p w14:paraId="03450DF7" w14:textId="700F0881" w:rsidR="00FF758C" w:rsidRPr="00FF758C" w:rsidRDefault="00FF758C" w:rsidP="00FF758C">
            <w:pPr>
              <w:spacing w:before="0" w:after="0"/>
              <w:jc w:val="center"/>
              <w:rPr>
                <w:sz w:val="16"/>
                <w:szCs w:val="16"/>
              </w:rPr>
            </w:pPr>
            <w:r w:rsidRPr="00FF758C">
              <w:rPr>
                <w:sz w:val="16"/>
                <w:szCs w:val="16"/>
              </w:rPr>
              <w:t>75</w:t>
            </w:r>
          </w:p>
        </w:tc>
      </w:tr>
      <w:tr w:rsidR="00FF758C" w:rsidRPr="00C77EEA" w14:paraId="78DFB99A" w14:textId="77777777" w:rsidTr="006F4537">
        <w:trPr>
          <w:jc w:val="center"/>
        </w:trPr>
        <w:tc>
          <w:tcPr>
            <w:tcW w:w="1464" w:type="dxa"/>
            <w:tcBorders>
              <w:top w:val="nil"/>
              <w:left w:val="nil"/>
              <w:bottom w:val="single" w:sz="4" w:space="0" w:color="auto"/>
              <w:right w:val="nil"/>
            </w:tcBorders>
            <w:noWrap/>
            <w:vAlign w:val="bottom"/>
          </w:tcPr>
          <w:p w14:paraId="1D21274B" w14:textId="77777777" w:rsidR="00FF758C" w:rsidRPr="00C77EEA" w:rsidRDefault="00FF758C" w:rsidP="00FF758C">
            <w:pPr>
              <w:spacing w:before="0" w:after="0"/>
              <w:rPr>
                <w:sz w:val="16"/>
                <w:szCs w:val="16"/>
              </w:rPr>
            </w:pPr>
          </w:p>
        </w:tc>
        <w:tc>
          <w:tcPr>
            <w:tcW w:w="1567" w:type="dxa"/>
            <w:tcBorders>
              <w:top w:val="nil"/>
              <w:left w:val="nil"/>
              <w:bottom w:val="single" w:sz="4" w:space="0" w:color="auto"/>
              <w:right w:val="nil"/>
            </w:tcBorders>
            <w:shd w:val="clear" w:color="auto" w:fill="F3F9FA"/>
            <w:noWrap/>
            <w:vAlign w:val="bottom"/>
          </w:tcPr>
          <w:p w14:paraId="1BED18A5" w14:textId="77777777" w:rsidR="00FF758C" w:rsidRPr="00C77EEA" w:rsidRDefault="00FF758C" w:rsidP="00FF758C">
            <w:pPr>
              <w:spacing w:before="0" w:after="0"/>
              <w:jc w:val="center"/>
              <w:rPr>
                <w:sz w:val="16"/>
                <w:szCs w:val="16"/>
              </w:rPr>
            </w:pPr>
          </w:p>
        </w:tc>
        <w:tc>
          <w:tcPr>
            <w:tcW w:w="595" w:type="dxa"/>
            <w:tcBorders>
              <w:top w:val="nil"/>
              <w:left w:val="nil"/>
              <w:bottom w:val="single" w:sz="4" w:space="0" w:color="auto"/>
              <w:right w:val="nil"/>
            </w:tcBorders>
            <w:shd w:val="clear" w:color="auto" w:fill="F3F9FA"/>
            <w:noWrap/>
            <w:vAlign w:val="bottom"/>
            <w:hideMark/>
          </w:tcPr>
          <w:p w14:paraId="71D72334" w14:textId="77777777" w:rsidR="00FF758C" w:rsidRPr="00C77EEA" w:rsidRDefault="00FF758C" w:rsidP="00FF758C">
            <w:pPr>
              <w:spacing w:before="0" w:after="0"/>
              <w:jc w:val="center"/>
              <w:rPr>
                <w:sz w:val="16"/>
                <w:szCs w:val="16"/>
              </w:rPr>
            </w:pPr>
            <w:r w:rsidRPr="00C77EEA">
              <w:rPr>
                <w:sz w:val="16"/>
                <w:szCs w:val="16"/>
              </w:rPr>
              <w:t>WH1</w:t>
            </w:r>
          </w:p>
        </w:tc>
        <w:tc>
          <w:tcPr>
            <w:tcW w:w="907" w:type="dxa"/>
            <w:tcBorders>
              <w:top w:val="nil"/>
              <w:left w:val="nil"/>
              <w:bottom w:val="single" w:sz="4" w:space="0" w:color="auto"/>
              <w:right w:val="nil"/>
            </w:tcBorders>
            <w:shd w:val="clear" w:color="auto" w:fill="F3F9FA"/>
            <w:noWrap/>
            <w:vAlign w:val="bottom"/>
            <w:hideMark/>
          </w:tcPr>
          <w:p w14:paraId="656E7F5B" w14:textId="44728DC0" w:rsidR="00FF758C" w:rsidRPr="00C77EEA" w:rsidRDefault="00FF758C" w:rsidP="00FF758C">
            <w:pPr>
              <w:spacing w:before="0" w:after="0"/>
              <w:jc w:val="center"/>
              <w:rPr>
                <w:sz w:val="16"/>
                <w:szCs w:val="16"/>
              </w:rPr>
            </w:pPr>
            <w:r>
              <w:rPr>
                <w:sz w:val="16"/>
                <w:szCs w:val="16"/>
              </w:rPr>
              <w:t>01-Oct-16</w:t>
            </w:r>
          </w:p>
        </w:tc>
        <w:tc>
          <w:tcPr>
            <w:tcW w:w="815" w:type="dxa"/>
            <w:tcBorders>
              <w:top w:val="nil"/>
              <w:left w:val="nil"/>
              <w:bottom w:val="single" w:sz="4" w:space="0" w:color="auto"/>
              <w:right w:val="nil"/>
            </w:tcBorders>
            <w:shd w:val="clear" w:color="auto" w:fill="F3F9FA"/>
            <w:noWrap/>
            <w:vAlign w:val="bottom"/>
          </w:tcPr>
          <w:p w14:paraId="5B18B912" w14:textId="61ECCC73" w:rsidR="00FF758C" w:rsidRPr="00FF758C" w:rsidRDefault="00FF758C" w:rsidP="00FF758C">
            <w:pPr>
              <w:spacing w:before="0" w:after="0"/>
              <w:jc w:val="center"/>
              <w:rPr>
                <w:sz w:val="16"/>
                <w:szCs w:val="16"/>
              </w:rPr>
            </w:pPr>
            <w:r w:rsidRPr="00FF758C">
              <w:rPr>
                <w:sz w:val="16"/>
                <w:szCs w:val="16"/>
              </w:rPr>
              <w:t>16.3</w:t>
            </w:r>
          </w:p>
        </w:tc>
        <w:tc>
          <w:tcPr>
            <w:tcW w:w="823" w:type="dxa"/>
            <w:tcBorders>
              <w:top w:val="nil"/>
              <w:left w:val="nil"/>
              <w:bottom w:val="single" w:sz="4" w:space="0" w:color="auto"/>
              <w:right w:val="nil"/>
            </w:tcBorders>
            <w:shd w:val="clear" w:color="auto" w:fill="F3F9FA"/>
            <w:noWrap/>
            <w:vAlign w:val="bottom"/>
          </w:tcPr>
          <w:p w14:paraId="5E80E0C6" w14:textId="59FC9AED" w:rsidR="00FF758C" w:rsidRPr="00FF758C" w:rsidRDefault="00FF758C" w:rsidP="00FF758C">
            <w:pPr>
              <w:spacing w:before="0" w:after="0"/>
              <w:jc w:val="center"/>
              <w:rPr>
                <w:sz w:val="16"/>
                <w:szCs w:val="16"/>
              </w:rPr>
            </w:pPr>
            <w:r w:rsidRPr="00FF758C">
              <w:rPr>
                <w:sz w:val="16"/>
                <w:szCs w:val="16"/>
              </w:rPr>
              <w:t>16.5</w:t>
            </w:r>
          </w:p>
        </w:tc>
        <w:tc>
          <w:tcPr>
            <w:tcW w:w="888" w:type="dxa"/>
            <w:tcBorders>
              <w:top w:val="nil"/>
              <w:left w:val="nil"/>
              <w:bottom w:val="single" w:sz="4" w:space="0" w:color="auto"/>
              <w:right w:val="nil"/>
            </w:tcBorders>
            <w:shd w:val="clear" w:color="auto" w:fill="F3F9FA"/>
            <w:noWrap/>
            <w:vAlign w:val="bottom"/>
            <w:hideMark/>
          </w:tcPr>
          <w:p w14:paraId="113BE1BA" w14:textId="358EB0BD" w:rsidR="00FF758C" w:rsidRPr="00FF758C" w:rsidRDefault="00FF758C" w:rsidP="00FF758C">
            <w:pPr>
              <w:spacing w:before="0" w:after="0"/>
              <w:jc w:val="center"/>
              <w:rPr>
                <w:sz w:val="16"/>
                <w:szCs w:val="16"/>
              </w:rPr>
            </w:pPr>
            <w:r w:rsidRPr="00FF758C">
              <w:rPr>
                <w:sz w:val="16"/>
                <w:szCs w:val="16"/>
              </w:rPr>
              <w:t>14.4</w:t>
            </w:r>
          </w:p>
        </w:tc>
        <w:tc>
          <w:tcPr>
            <w:tcW w:w="888" w:type="dxa"/>
            <w:tcBorders>
              <w:top w:val="nil"/>
              <w:left w:val="nil"/>
              <w:bottom w:val="single" w:sz="4" w:space="0" w:color="auto"/>
              <w:right w:val="nil"/>
            </w:tcBorders>
            <w:shd w:val="clear" w:color="auto" w:fill="F3F9FA"/>
            <w:noWrap/>
            <w:vAlign w:val="bottom"/>
            <w:hideMark/>
          </w:tcPr>
          <w:p w14:paraId="414F4F39" w14:textId="49253CBA" w:rsidR="00FF758C" w:rsidRPr="00FF758C" w:rsidRDefault="00FF758C" w:rsidP="00FF758C">
            <w:pPr>
              <w:spacing w:before="0" w:after="0"/>
              <w:jc w:val="center"/>
              <w:rPr>
                <w:sz w:val="16"/>
                <w:szCs w:val="16"/>
              </w:rPr>
            </w:pPr>
            <w:r w:rsidRPr="00FF758C">
              <w:rPr>
                <w:sz w:val="16"/>
                <w:szCs w:val="16"/>
              </w:rPr>
              <w:t>18.8</w:t>
            </w:r>
          </w:p>
        </w:tc>
        <w:tc>
          <w:tcPr>
            <w:tcW w:w="888" w:type="dxa"/>
            <w:tcBorders>
              <w:top w:val="nil"/>
              <w:left w:val="nil"/>
              <w:bottom w:val="single" w:sz="4" w:space="0" w:color="auto"/>
              <w:right w:val="nil"/>
            </w:tcBorders>
            <w:shd w:val="clear" w:color="auto" w:fill="F3F9FA"/>
            <w:noWrap/>
            <w:vAlign w:val="bottom"/>
            <w:hideMark/>
          </w:tcPr>
          <w:p w14:paraId="1A9F0F75" w14:textId="3264B026" w:rsidR="00FF758C" w:rsidRPr="00FF758C" w:rsidRDefault="00FF758C" w:rsidP="00FF758C">
            <w:pPr>
              <w:spacing w:before="0" w:after="0"/>
              <w:jc w:val="center"/>
              <w:rPr>
                <w:sz w:val="16"/>
                <w:szCs w:val="16"/>
              </w:rPr>
            </w:pPr>
            <w:r w:rsidRPr="00FF758C">
              <w:rPr>
                <w:sz w:val="16"/>
                <w:szCs w:val="16"/>
              </w:rPr>
              <w:t>22.3</w:t>
            </w:r>
          </w:p>
        </w:tc>
        <w:tc>
          <w:tcPr>
            <w:tcW w:w="862" w:type="dxa"/>
            <w:tcBorders>
              <w:top w:val="nil"/>
              <w:left w:val="nil"/>
              <w:bottom w:val="single" w:sz="4" w:space="0" w:color="auto"/>
              <w:right w:val="nil"/>
            </w:tcBorders>
            <w:shd w:val="clear" w:color="auto" w:fill="F3F9FA"/>
            <w:noWrap/>
            <w:vAlign w:val="bottom"/>
            <w:hideMark/>
          </w:tcPr>
          <w:p w14:paraId="6320B57F" w14:textId="64F5E37A" w:rsidR="00FF758C" w:rsidRPr="00FF758C" w:rsidRDefault="00FF758C" w:rsidP="00FF758C">
            <w:pPr>
              <w:spacing w:before="0" w:after="0"/>
              <w:jc w:val="center"/>
              <w:rPr>
                <w:sz w:val="16"/>
                <w:szCs w:val="16"/>
              </w:rPr>
            </w:pPr>
            <w:r w:rsidRPr="00FF758C">
              <w:rPr>
                <w:sz w:val="16"/>
                <w:szCs w:val="16"/>
              </w:rPr>
              <w:t>50</w:t>
            </w:r>
          </w:p>
        </w:tc>
      </w:tr>
      <w:tr w:rsidR="00FF758C" w:rsidRPr="00C77EEA" w14:paraId="11EBBD4D" w14:textId="77777777" w:rsidTr="006F4537">
        <w:trPr>
          <w:jc w:val="center"/>
        </w:trPr>
        <w:tc>
          <w:tcPr>
            <w:tcW w:w="1464" w:type="dxa"/>
            <w:tcBorders>
              <w:top w:val="single" w:sz="4" w:space="0" w:color="auto"/>
              <w:left w:val="nil"/>
              <w:bottom w:val="nil"/>
              <w:right w:val="nil"/>
            </w:tcBorders>
            <w:noWrap/>
            <w:vAlign w:val="bottom"/>
            <w:hideMark/>
          </w:tcPr>
          <w:p w14:paraId="39E03B70" w14:textId="77777777" w:rsidR="00FF758C" w:rsidRPr="00C77EEA" w:rsidRDefault="00FF758C" w:rsidP="00FF758C">
            <w:pPr>
              <w:spacing w:before="0" w:after="0"/>
              <w:rPr>
                <w:sz w:val="16"/>
                <w:szCs w:val="16"/>
              </w:rPr>
            </w:pPr>
            <w:r w:rsidRPr="00C77EEA">
              <w:rPr>
                <w:sz w:val="16"/>
                <w:szCs w:val="16"/>
              </w:rPr>
              <w:t>reef intertidal</w:t>
            </w:r>
          </w:p>
        </w:tc>
        <w:tc>
          <w:tcPr>
            <w:tcW w:w="1567" w:type="dxa"/>
            <w:tcBorders>
              <w:top w:val="single" w:sz="4" w:space="0" w:color="auto"/>
              <w:left w:val="nil"/>
              <w:bottom w:val="nil"/>
              <w:right w:val="nil"/>
            </w:tcBorders>
            <w:shd w:val="clear" w:color="auto" w:fill="E7F3F4"/>
            <w:noWrap/>
            <w:vAlign w:val="bottom"/>
            <w:hideMark/>
          </w:tcPr>
          <w:p w14:paraId="6A550024" w14:textId="77777777" w:rsidR="00FF758C" w:rsidRPr="00C77EEA" w:rsidRDefault="00FF758C" w:rsidP="00FF758C">
            <w:pPr>
              <w:spacing w:before="0" w:after="0"/>
              <w:jc w:val="center"/>
              <w:rPr>
                <w:sz w:val="16"/>
                <w:szCs w:val="16"/>
              </w:rPr>
            </w:pPr>
            <w:r w:rsidRPr="00C77EEA">
              <w:rPr>
                <w:sz w:val="16"/>
                <w:szCs w:val="16"/>
              </w:rPr>
              <w:t>Great Keppel Island</w:t>
            </w:r>
          </w:p>
        </w:tc>
        <w:tc>
          <w:tcPr>
            <w:tcW w:w="595" w:type="dxa"/>
            <w:tcBorders>
              <w:top w:val="single" w:sz="4" w:space="0" w:color="auto"/>
              <w:left w:val="nil"/>
              <w:bottom w:val="nil"/>
              <w:right w:val="nil"/>
            </w:tcBorders>
            <w:shd w:val="clear" w:color="auto" w:fill="E7F3F4"/>
            <w:noWrap/>
            <w:vAlign w:val="bottom"/>
            <w:hideMark/>
          </w:tcPr>
          <w:p w14:paraId="59F357B8" w14:textId="77777777" w:rsidR="00FF758C" w:rsidRPr="00C77EEA" w:rsidRDefault="00FF758C" w:rsidP="00FF758C">
            <w:pPr>
              <w:spacing w:before="0" w:after="0"/>
              <w:jc w:val="center"/>
              <w:rPr>
                <w:sz w:val="16"/>
                <w:szCs w:val="16"/>
              </w:rPr>
            </w:pPr>
            <w:r w:rsidRPr="00C77EEA">
              <w:rPr>
                <w:sz w:val="16"/>
                <w:szCs w:val="16"/>
              </w:rPr>
              <w:t>GK1</w:t>
            </w:r>
          </w:p>
        </w:tc>
        <w:tc>
          <w:tcPr>
            <w:tcW w:w="907" w:type="dxa"/>
            <w:tcBorders>
              <w:top w:val="single" w:sz="4" w:space="0" w:color="auto"/>
              <w:left w:val="nil"/>
              <w:bottom w:val="nil"/>
              <w:right w:val="nil"/>
            </w:tcBorders>
            <w:shd w:val="clear" w:color="auto" w:fill="E7F3F4"/>
            <w:noWrap/>
            <w:vAlign w:val="bottom"/>
            <w:hideMark/>
          </w:tcPr>
          <w:p w14:paraId="6779043C" w14:textId="524B851E" w:rsidR="00FF758C" w:rsidRPr="00C77EEA" w:rsidRDefault="00FF758C" w:rsidP="00FF758C">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E7F3F4"/>
            <w:noWrap/>
            <w:vAlign w:val="bottom"/>
          </w:tcPr>
          <w:p w14:paraId="28A45C32" w14:textId="273D9D50" w:rsidR="00FF758C" w:rsidRPr="00FF758C" w:rsidRDefault="00FF758C" w:rsidP="00FF758C">
            <w:pPr>
              <w:spacing w:before="0" w:after="0"/>
              <w:jc w:val="center"/>
              <w:rPr>
                <w:sz w:val="16"/>
                <w:szCs w:val="16"/>
              </w:rPr>
            </w:pPr>
            <w:r w:rsidRPr="00FF758C">
              <w:rPr>
                <w:sz w:val="16"/>
                <w:szCs w:val="16"/>
              </w:rPr>
              <w:t>0.3</w:t>
            </w:r>
          </w:p>
        </w:tc>
        <w:tc>
          <w:tcPr>
            <w:tcW w:w="823" w:type="dxa"/>
            <w:tcBorders>
              <w:top w:val="single" w:sz="4" w:space="0" w:color="auto"/>
              <w:left w:val="nil"/>
              <w:bottom w:val="nil"/>
              <w:right w:val="nil"/>
            </w:tcBorders>
            <w:shd w:val="clear" w:color="auto" w:fill="E7F3F4"/>
            <w:noWrap/>
            <w:vAlign w:val="bottom"/>
          </w:tcPr>
          <w:p w14:paraId="4471C14E" w14:textId="117EFB63" w:rsidR="00FF758C" w:rsidRPr="00FF758C" w:rsidRDefault="00FF758C" w:rsidP="00FF758C">
            <w:pPr>
              <w:spacing w:before="0" w:after="0"/>
              <w:jc w:val="center"/>
              <w:rPr>
                <w:sz w:val="16"/>
                <w:szCs w:val="16"/>
              </w:rPr>
            </w:pPr>
            <w:r w:rsidRPr="00FF758C">
              <w:rPr>
                <w:sz w:val="16"/>
                <w:szCs w:val="16"/>
              </w:rPr>
              <w:t>0</w:t>
            </w:r>
          </w:p>
        </w:tc>
        <w:tc>
          <w:tcPr>
            <w:tcW w:w="888" w:type="dxa"/>
            <w:tcBorders>
              <w:top w:val="single" w:sz="4" w:space="0" w:color="auto"/>
              <w:left w:val="nil"/>
              <w:bottom w:val="nil"/>
              <w:right w:val="nil"/>
            </w:tcBorders>
            <w:shd w:val="clear" w:color="auto" w:fill="E7F3F4"/>
            <w:noWrap/>
            <w:vAlign w:val="bottom"/>
            <w:hideMark/>
          </w:tcPr>
          <w:p w14:paraId="5B11B0B1" w14:textId="4D25DC54" w:rsidR="00FF758C" w:rsidRPr="00FF758C" w:rsidRDefault="00FF758C" w:rsidP="00FF758C">
            <w:pPr>
              <w:spacing w:before="0" w:after="0"/>
              <w:jc w:val="center"/>
              <w:rPr>
                <w:sz w:val="16"/>
                <w:szCs w:val="16"/>
              </w:rPr>
            </w:pPr>
            <w:r w:rsidRPr="00FF758C">
              <w:rPr>
                <w:color w:val="000000"/>
                <w:sz w:val="16"/>
                <w:szCs w:val="16"/>
              </w:rPr>
              <w:t>9.2</w:t>
            </w:r>
          </w:p>
        </w:tc>
        <w:tc>
          <w:tcPr>
            <w:tcW w:w="888" w:type="dxa"/>
            <w:tcBorders>
              <w:top w:val="single" w:sz="4" w:space="0" w:color="auto"/>
              <w:left w:val="nil"/>
              <w:bottom w:val="nil"/>
              <w:right w:val="nil"/>
            </w:tcBorders>
            <w:shd w:val="clear" w:color="auto" w:fill="E7F3F4"/>
            <w:noWrap/>
            <w:vAlign w:val="bottom"/>
            <w:hideMark/>
          </w:tcPr>
          <w:p w14:paraId="50B44A98" w14:textId="620A18A7" w:rsidR="00FF758C" w:rsidRPr="00FF758C" w:rsidRDefault="00FF758C" w:rsidP="00FF758C">
            <w:pPr>
              <w:spacing w:before="0" w:after="0"/>
              <w:jc w:val="center"/>
              <w:rPr>
                <w:sz w:val="16"/>
                <w:szCs w:val="16"/>
              </w:rPr>
            </w:pPr>
            <w:r w:rsidRPr="00FF758C">
              <w:rPr>
                <w:color w:val="000000"/>
                <w:sz w:val="16"/>
                <w:szCs w:val="16"/>
              </w:rPr>
              <w:t>12.2</w:t>
            </w:r>
          </w:p>
        </w:tc>
        <w:tc>
          <w:tcPr>
            <w:tcW w:w="888" w:type="dxa"/>
            <w:tcBorders>
              <w:top w:val="single" w:sz="4" w:space="0" w:color="auto"/>
              <w:left w:val="nil"/>
              <w:bottom w:val="nil"/>
              <w:right w:val="nil"/>
            </w:tcBorders>
            <w:shd w:val="clear" w:color="auto" w:fill="E7F3F4"/>
            <w:noWrap/>
            <w:vAlign w:val="bottom"/>
            <w:hideMark/>
          </w:tcPr>
          <w:p w14:paraId="2F9E9052" w14:textId="71BB2BDD" w:rsidR="00FF758C" w:rsidRPr="00FF758C" w:rsidRDefault="00FF758C" w:rsidP="00FF758C">
            <w:pPr>
              <w:spacing w:before="0" w:after="0"/>
              <w:jc w:val="center"/>
              <w:rPr>
                <w:sz w:val="16"/>
                <w:szCs w:val="16"/>
              </w:rPr>
            </w:pPr>
            <w:r w:rsidRPr="00FF758C">
              <w:rPr>
                <w:color w:val="000000"/>
                <w:sz w:val="16"/>
                <w:szCs w:val="16"/>
              </w:rPr>
              <w:t>13.8</w:t>
            </w:r>
          </w:p>
        </w:tc>
        <w:tc>
          <w:tcPr>
            <w:tcW w:w="862" w:type="dxa"/>
            <w:tcBorders>
              <w:top w:val="single" w:sz="4" w:space="0" w:color="auto"/>
              <w:left w:val="nil"/>
              <w:bottom w:val="nil"/>
              <w:right w:val="nil"/>
            </w:tcBorders>
            <w:shd w:val="clear" w:color="auto" w:fill="E7F3F4"/>
            <w:noWrap/>
            <w:vAlign w:val="bottom"/>
            <w:hideMark/>
          </w:tcPr>
          <w:p w14:paraId="7113713A" w14:textId="60D1EFB5" w:rsidR="00FF758C" w:rsidRPr="00FF758C" w:rsidRDefault="00FF758C" w:rsidP="00FF758C">
            <w:pPr>
              <w:spacing w:before="0" w:after="0"/>
              <w:jc w:val="center"/>
              <w:rPr>
                <w:sz w:val="16"/>
                <w:szCs w:val="16"/>
              </w:rPr>
            </w:pPr>
            <w:r w:rsidRPr="00FF758C">
              <w:rPr>
                <w:sz w:val="16"/>
                <w:szCs w:val="16"/>
              </w:rPr>
              <w:t>0</w:t>
            </w:r>
          </w:p>
        </w:tc>
      </w:tr>
      <w:tr w:rsidR="00FF758C" w:rsidRPr="00C77EEA" w14:paraId="4BCFB35E" w14:textId="77777777" w:rsidTr="006F4537">
        <w:trPr>
          <w:jc w:val="center"/>
        </w:trPr>
        <w:tc>
          <w:tcPr>
            <w:tcW w:w="1464" w:type="dxa"/>
            <w:tcBorders>
              <w:top w:val="nil"/>
              <w:left w:val="nil"/>
              <w:bottom w:val="single" w:sz="4" w:space="0" w:color="auto"/>
              <w:right w:val="nil"/>
            </w:tcBorders>
            <w:noWrap/>
            <w:vAlign w:val="bottom"/>
          </w:tcPr>
          <w:p w14:paraId="1BC9F6C9" w14:textId="77777777" w:rsidR="00FF758C" w:rsidRPr="00C77EEA" w:rsidRDefault="00FF758C" w:rsidP="00FF758C">
            <w:pPr>
              <w:spacing w:before="0" w:after="0"/>
              <w:rPr>
                <w:sz w:val="16"/>
                <w:szCs w:val="16"/>
              </w:rPr>
            </w:pPr>
          </w:p>
        </w:tc>
        <w:tc>
          <w:tcPr>
            <w:tcW w:w="1567" w:type="dxa"/>
            <w:tcBorders>
              <w:top w:val="nil"/>
              <w:left w:val="nil"/>
              <w:bottom w:val="single" w:sz="4" w:space="0" w:color="auto"/>
              <w:right w:val="nil"/>
            </w:tcBorders>
            <w:shd w:val="clear" w:color="auto" w:fill="E7F3F4"/>
            <w:noWrap/>
            <w:vAlign w:val="bottom"/>
          </w:tcPr>
          <w:p w14:paraId="2E0D3F42" w14:textId="77777777" w:rsidR="00FF758C" w:rsidRPr="00C77EEA" w:rsidRDefault="00FF758C" w:rsidP="00FF758C">
            <w:pPr>
              <w:spacing w:before="0" w:after="0"/>
              <w:jc w:val="center"/>
              <w:rPr>
                <w:sz w:val="16"/>
                <w:szCs w:val="16"/>
              </w:rPr>
            </w:pPr>
          </w:p>
        </w:tc>
        <w:tc>
          <w:tcPr>
            <w:tcW w:w="595" w:type="dxa"/>
            <w:tcBorders>
              <w:top w:val="nil"/>
              <w:left w:val="nil"/>
              <w:bottom w:val="single" w:sz="4" w:space="0" w:color="auto"/>
              <w:right w:val="nil"/>
            </w:tcBorders>
            <w:shd w:val="clear" w:color="auto" w:fill="E7F3F4"/>
            <w:noWrap/>
            <w:vAlign w:val="bottom"/>
            <w:hideMark/>
          </w:tcPr>
          <w:p w14:paraId="4D409055" w14:textId="77777777" w:rsidR="00FF758C" w:rsidRPr="00C77EEA" w:rsidRDefault="00FF758C" w:rsidP="00FF758C">
            <w:pPr>
              <w:spacing w:before="0" w:after="0"/>
              <w:jc w:val="center"/>
              <w:rPr>
                <w:sz w:val="16"/>
                <w:szCs w:val="16"/>
              </w:rPr>
            </w:pPr>
            <w:r w:rsidRPr="00C77EEA">
              <w:rPr>
                <w:sz w:val="16"/>
                <w:szCs w:val="16"/>
              </w:rPr>
              <w:t>GK2</w:t>
            </w:r>
          </w:p>
        </w:tc>
        <w:tc>
          <w:tcPr>
            <w:tcW w:w="907" w:type="dxa"/>
            <w:tcBorders>
              <w:top w:val="nil"/>
              <w:left w:val="nil"/>
              <w:bottom w:val="single" w:sz="4" w:space="0" w:color="auto"/>
              <w:right w:val="nil"/>
            </w:tcBorders>
            <w:shd w:val="clear" w:color="auto" w:fill="E7F3F4"/>
            <w:noWrap/>
            <w:vAlign w:val="bottom"/>
            <w:hideMark/>
          </w:tcPr>
          <w:p w14:paraId="40EDE00D" w14:textId="1E361B7F" w:rsidR="00FF758C" w:rsidRPr="00C77EEA" w:rsidRDefault="00FF758C" w:rsidP="00FF758C">
            <w:pPr>
              <w:spacing w:before="0" w:after="0"/>
              <w:jc w:val="center"/>
              <w:rPr>
                <w:sz w:val="16"/>
                <w:szCs w:val="16"/>
              </w:rPr>
            </w:pPr>
            <w:r>
              <w:rPr>
                <w:sz w:val="16"/>
                <w:szCs w:val="16"/>
              </w:rPr>
              <w:t>01-Oct-16</w:t>
            </w:r>
          </w:p>
        </w:tc>
        <w:tc>
          <w:tcPr>
            <w:tcW w:w="815" w:type="dxa"/>
            <w:tcBorders>
              <w:top w:val="nil"/>
              <w:left w:val="nil"/>
              <w:bottom w:val="single" w:sz="4" w:space="0" w:color="auto"/>
              <w:right w:val="nil"/>
            </w:tcBorders>
            <w:shd w:val="clear" w:color="auto" w:fill="E7F3F4"/>
            <w:noWrap/>
            <w:vAlign w:val="bottom"/>
            <w:hideMark/>
          </w:tcPr>
          <w:p w14:paraId="00B91E08" w14:textId="3DDAB2E1" w:rsidR="00FF758C" w:rsidRPr="00FF758C" w:rsidRDefault="00FF758C" w:rsidP="00FF758C">
            <w:pPr>
              <w:spacing w:before="0" w:after="0"/>
              <w:jc w:val="center"/>
              <w:rPr>
                <w:sz w:val="16"/>
                <w:szCs w:val="16"/>
              </w:rPr>
            </w:pPr>
            <w:r w:rsidRPr="00FF758C">
              <w:rPr>
                <w:sz w:val="16"/>
                <w:szCs w:val="16"/>
              </w:rPr>
              <w:t>3.6</w:t>
            </w:r>
          </w:p>
        </w:tc>
        <w:tc>
          <w:tcPr>
            <w:tcW w:w="823" w:type="dxa"/>
            <w:tcBorders>
              <w:top w:val="nil"/>
              <w:left w:val="nil"/>
              <w:bottom w:val="single" w:sz="4" w:space="0" w:color="auto"/>
              <w:right w:val="nil"/>
            </w:tcBorders>
            <w:shd w:val="clear" w:color="auto" w:fill="E7F3F4"/>
            <w:noWrap/>
            <w:vAlign w:val="bottom"/>
            <w:hideMark/>
          </w:tcPr>
          <w:p w14:paraId="58C1BB13" w14:textId="37323FC5" w:rsidR="00FF758C" w:rsidRPr="00FF758C" w:rsidRDefault="00FF758C" w:rsidP="00FF758C">
            <w:pPr>
              <w:spacing w:before="0" w:after="0"/>
              <w:jc w:val="center"/>
              <w:rPr>
                <w:sz w:val="16"/>
                <w:szCs w:val="16"/>
              </w:rPr>
            </w:pPr>
            <w:r w:rsidRPr="00FF758C">
              <w:rPr>
                <w:sz w:val="16"/>
                <w:szCs w:val="16"/>
              </w:rPr>
              <w:t>0.8</w:t>
            </w:r>
          </w:p>
        </w:tc>
        <w:tc>
          <w:tcPr>
            <w:tcW w:w="888" w:type="dxa"/>
            <w:tcBorders>
              <w:top w:val="nil"/>
              <w:left w:val="nil"/>
              <w:bottom w:val="single" w:sz="4" w:space="0" w:color="auto"/>
              <w:right w:val="nil"/>
            </w:tcBorders>
            <w:shd w:val="clear" w:color="auto" w:fill="E7F3F4"/>
            <w:noWrap/>
            <w:vAlign w:val="bottom"/>
            <w:hideMark/>
          </w:tcPr>
          <w:p w14:paraId="1B329B27" w14:textId="30050A52" w:rsidR="00FF758C" w:rsidRPr="00FF758C" w:rsidRDefault="00FF758C" w:rsidP="00FF758C">
            <w:pPr>
              <w:spacing w:before="0" w:after="0"/>
              <w:jc w:val="center"/>
              <w:rPr>
                <w:sz w:val="16"/>
                <w:szCs w:val="16"/>
              </w:rPr>
            </w:pPr>
            <w:r w:rsidRPr="00FF758C">
              <w:rPr>
                <w:color w:val="000000"/>
                <w:sz w:val="16"/>
                <w:szCs w:val="16"/>
              </w:rPr>
              <w:t>9.2</w:t>
            </w:r>
          </w:p>
        </w:tc>
        <w:tc>
          <w:tcPr>
            <w:tcW w:w="888" w:type="dxa"/>
            <w:tcBorders>
              <w:top w:val="nil"/>
              <w:left w:val="nil"/>
              <w:bottom w:val="single" w:sz="4" w:space="0" w:color="auto"/>
              <w:right w:val="nil"/>
            </w:tcBorders>
            <w:shd w:val="clear" w:color="auto" w:fill="E7F3F4"/>
            <w:noWrap/>
            <w:vAlign w:val="bottom"/>
            <w:hideMark/>
          </w:tcPr>
          <w:p w14:paraId="7F76DE89" w14:textId="106DC78F" w:rsidR="00FF758C" w:rsidRPr="00FF758C" w:rsidRDefault="00FF758C" w:rsidP="00FF758C">
            <w:pPr>
              <w:spacing w:before="0" w:after="0"/>
              <w:jc w:val="center"/>
              <w:rPr>
                <w:sz w:val="16"/>
                <w:szCs w:val="16"/>
              </w:rPr>
            </w:pPr>
            <w:r w:rsidRPr="00FF758C">
              <w:rPr>
                <w:color w:val="000000"/>
                <w:sz w:val="16"/>
                <w:szCs w:val="16"/>
              </w:rPr>
              <w:t>12.2</w:t>
            </w:r>
          </w:p>
        </w:tc>
        <w:tc>
          <w:tcPr>
            <w:tcW w:w="888" w:type="dxa"/>
            <w:tcBorders>
              <w:top w:val="nil"/>
              <w:left w:val="nil"/>
              <w:bottom w:val="single" w:sz="4" w:space="0" w:color="auto"/>
              <w:right w:val="nil"/>
            </w:tcBorders>
            <w:shd w:val="clear" w:color="auto" w:fill="E7F3F4"/>
            <w:noWrap/>
            <w:vAlign w:val="bottom"/>
            <w:hideMark/>
          </w:tcPr>
          <w:p w14:paraId="0E4436E4" w14:textId="763438D9" w:rsidR="00FF758C" w:rsidRPr="00FF758C" w:rsidRDefault="00FF758C" w:rsidP="00FF758C">
            <w:pPr>
              <w:spacing w:before="0" w:after="0"/>
              <w:jc w:val="center"/>
              <w:rPr>
                <w:sz w:val="16"/>
                <w:szCs w:val="16"/>
              </w:rPr>
            </w:pPr>
            <w:r w:rsidRPr="00FF758C">
              <w:rPr>
                <w:color w:val="000000"/>
                <w:sz w:val="16"/>
                <w:szCs w:val="16"/>
              </w:rPr>
              <w:t>13.8</w:t>
            </w:r>
          </w:p>
        </w:tc>
        <w:tc>
          <w:tcPr>
            <w:tcW w:w="862" w:type="dxa"/>
            <w:tcBorders>
              <w:top w:val="nil"/>
              <w:left w:val="nil"/>
              <w:bottom w:val="single" w:sz="4" w:space="0" w:color="auto"/>
              <w:right w:val="nil"/>
            </w:tcBorders>
            <w:shd w:val="clear" w:color="auto" w:fill="E7F3F4"/>
            <w:noWrap/>
            <w:vAlign w:val="bottom"/>
            <w:hideMark/>
          </w:tcPr>
          <w:p w14:paraId="69FA8BBD" w14:textId="5F43444F" w:rsidR="00FF758C" w:rsidRPr="00FF758C" w:rsidRDefault="00FF758C" w:rsidP="00FF758C">
            <w:pPr>
              <w:spacing w:before="0" w:after="0"/>
              <w:jc w:val="center"/>
              <w:rPr>
                <w:sz w:val="16"/>
                <w:szCs w:val="16"/>
              </w:rPr>
            </w:pPr>
            <w:r w:rsidRPr="00FF758C">
              <w:rPr>
                <w:sz w:val="16"/>
                <w:szCs w:val="16"/>
              </w:rPr>
              <w:t>25</w:t>
            </w:r>
          </w:p>
        </w:tc>
      </w:tr>
      <w:tr w:rsidR="006F4537" w:rsidRPr="00C77EEA" w14:paraId="01C7FA13" w14:textId="77777777" w:rsidTr="006F4537">
        <w:trPr>
          <w:jc w:val="center"/>
        </w:trPr>
        <w:tc>
          <w:tcPr>
            <w:tcW w:w="1464" w:type="dxa"/>
            <w:tcBorders>
              <w:top w:val="single" w:sz="4" w:space="0" w:color="auto"/>
              <w:left w:val="nil"/>
              <w:bottom w:val="single" w:sz="4" w:space="0" w:color="auto"/>
              <w:right w:val="nil"/>
            </w:tcBorders>
            <w:noWrap/>
            <w:vAlign w:val="bottom"/>
            <w:hideMark/>
          </w:tcPr>
          <w:p w14:paraId="7A20F197" w14:textId="77777777" w:rsidR="006F4537" w:rsidRPr="00C77EEA" w:rsidRDefault="006F4537" w:rsidP="006F4537">
            <w:pPr>
              <w:spacing w:before="0" w:after="0"/>
              <w:rPr>
                <w:sz w:val="16"/>
                <w:szCs w:val="16"/>
              </w:rPr>
            </w:pPr>
            <w:r w:rsidRPr="00C77EEA">
              <w:rPr>
                <w:sz w:val="16"/>
                <w:szCs w:val="16"/>
              </w:rPr>
              <w:t>NRM region</w:t>
            </w:r>
          </w:p>
        </w:tc>
        <w:tc>
          <w:tcPr>
            <w:tcW w:w="1567" w:type="dxa"/>
            <w:tcBorders>
              <w:top w:val="single" w:sz="4" w:space="0" w:color="auto"/>
              <w:left w:val="nil"/>
              <w:bottom w:val="single" w:sz="4" w:space="0" w:color="auto"/>
              <w:right w:val="nil"/>
            </w:tcBorders>
            <w:noWrap/>
            <w:vAlign w:val="bottom"/>
          </w:tcPr>
          <w:p w14:paraId="5CE122E4" w14:textId="77777777" w:rsidR="006F4537" w:rsidRPr="00C77EEA" w:rsidRDefault="006F4537" w:rsidP="006F4537">
            <w:pPr>
              <w:spacing w:before="0" w:after="0"/>
              <w:jc w:val="center"/>
              <w:rPr>
                <w:sz w:val="16"/>
                <w:szCs w:val="16"/>
              </w:rPr>
            </w:pPr>
          </w:p>
        </w:tc>
        <w:tc>
          <w:tcPr>
            <w:tcW w:w="595" w:type="dxa"/>
            <w:tcBorders>
              <w:top w:val="single" w:sz="4" w:space="0" w:color="auto"/>
              <w:left w:val="nil"/>
              <w:bottom w:val="single" w:sz="4" w:space="0" w:color="auto"/>
              <w:right w:val="nil"/>
            </w:tcBorders>
            <w:noWrap/>
            <w:vAlign w:val="bottom"/>
          </w:tcPr>
          <w:p w14:paraId="44047A64" w14:textId="77777777" w:rsidR="006F4537" w:rsidRPr="00C77EEA" w:rsidRDefault="006F4537" w:rsidP="006F4537">
            <w:pPr>
              <w:spacing w:before="0" w:after="0"/>
              <w:jc w:val="center"/>
              <w:rPr>
                <w:sz w:val="16"/>
                <w:szCs w:val="16"/>
              </w:rPr>
            </w:pPr>
          </w:p>
        </w:tc>
        <w:tc>
          <w:tcPr>
            <w:tcW w:w="907" w:type="dxa"/>
            <w:tcBorders>
              <w:top w:val="single" w:sz="4" w:space="0" w:color="auto"/>
              <w:left w:val="nil"/>
              <w:bottom w:val="single" w:sz="4" w:space="0" w:color="auto"/>
              <w:right w:val="nil"/>
            </w:tcBorders>
            <w:noWrap/>
            <w:vAlign w:val="bottom"/>
          </w:tcPr>
          <w:p w14:paraId="7AD827F0" w14:textId="77777777" w:rsidR="006F4537" w:rsidRPr="00C77EEA" w:rsidRDefault="006F4537" w:rsidP="00B20DDB">
            <w:pPr>
              <w:spacing w:before="0" w:after="0"/>
              <w:jc w:val="center"/>
              <w:outlineLvl w:val="0"/>
              <w:rPr>
                <w:sz w:val="16"/>
                <w:szCs w:val="16"/>
              </w:rPr>
            </w:pPr>
          </w:p>
        </w:tc>
        <w:tc>
          <w:tcPr>
            <w:tcW w:w="815" w:type="dxa"/>
            <w:tcBorders>
              <w:top w:val="single" w:sz="4" w:space="0" w:color="auto"/>
              <w:left w:val="nil"/>
              <w:bottom w:val="single" w:sz="4" w:space="0" w:color="auto"/>
              <w:right w:val="nil"/>
            </w:tcBorders>
            <w:noWrap/>
            <w:vAlign w:val="bottom"/>
          </w:tcPr>
          <w:p w14:paraId="51812BAE" w14:textId="77777777" w:rsidR="006F4537" w:rsidRPr="00C77EEA" w:rsidRDefault="006F4537" w:rsidP="006F4537">
            <w:pPr>
              <w:spacing w:before="0" w:after="0"/>
              <w:jc w:val="center"/>
              <w:rPr>
                <w:sz w:val="16"/>
                <w:szCs w:val="16"/>
              </w:rPr>
            </w:pPr>
          </w:p>
        </w:tc>
        <w:tc>
          <w:tcPr>
            <w:tcW w:w="823" w:type="dxa"/>
            <w:tcBorders>
              <w:top w:val="single" w:sz="4" w:space="0" w:color="auto"/>
              <w:left w:val="nil"/>
              <w:bottom w:val="single" w:sz="4" w:space="0" w:color="auto"/>
              <w:right w:val="nil"/>
            </w:tcBorders>
            <w:noWrap/>
            <w:vAlign w:val="bottom"/>
          </w:tcPr>
          <w:p w14:paraId="63759809" w14:textId="77777777" w:rsidR="006F4537" w:rsidRPr="00C77EEA" w:rsidRDefault="006F4537" w:rsidP="006F4537">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31568BB4" w14:textId="77777777" w:rsidR="006F4537" w:rsidRPr="00C77EEA" w:rsidRDefault="006F4537" w:rsidP="006F4537">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603A4A96" w14:textId="77777777" w:rsidR="006F4537" w:rsidRPr="00C77EEA" w:rsidRDefault="006F4537" w:rsidP="006F4537">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374C404C" w14:textId="77777777" w:rsidR="006F4537" w:rsidRPr="00C77EEA" w:rsidRDefault="006F4537" w:rsidP="006F4537">
            <w:pPr>
              <w:spacing w:before="0" w:after="0"/>
              <w:jc w:val="center"/>
              <w:rPr>
                <w:sz w:val="16"/>
                <w:szCs w:val="16"/>
              </w:rPr>
            </w:pPr>
          </w:p>
        </w:tc>
        <w:tc>
          <w:tcPr>
            <w:tcW w:w="862" w:type="dxa"/>
            <w:tcBorders>
              <w:top w:val="single" w:sz="4" w:space="0" w:color="auto"/>
              <w:left w:val="nil"/>
              <w:bottom w:val="single" w:sz="4" w:space="0" w:color="auto"/>
              <w:right w:val="nil"/>
            </w:tcBorders>
            <w:noWrap/>
            <w:vAlign w:val="bottom"/>
            <w:hideMark/>
          </w:tcPr>
          <w:p w14:paraId="034B7B5B" w14:textId="7DAEB9FC" w:rsidR="006F4537" w:rsidRPr="00C77EEA" w:rsidRDefault="006F4537" w:rsidP="00FF758C">
            <w:pPr>
              <w:spacing w:before="0" w:after="0"/>
              <w:jc w:val="center"/>
              <w:rPr>
                <w:b/>
                <w:sz w:val="16"/>
                <w:szCs w:val="16"/>
              </w:rPr>
            </w:pPr>
            <w:r w:rsidRPr="00C77EEA">
              <w:rPr>
                <w:b/>
                <w:sz w:val="16"/>
                <w:szCs w:val="16"/>
              </w:rPr>
              <w:t>2</w:t>
            </w:r>
            <w:r w:rsidR="00FF758C">
              <w:rPr>
                <w:b/>
                <w:sz w:val="16"/>
                <w:szCs w:val="16"/>
              </w:rPr>
              <w:t>7</w:t>
            </w:r>
          </w:p>
        </w:tc>
      </w:tr>
    </w:tbl>
    <w:p w14:paraId="3BA202A9" w14:textId="77777777" w:rsidR="00842050" w:rsidRDefault="00842050" w:rsidP="00842050">
      <w:pPr>
        <w:ind w:left="540" w:hanging="540"/>
        <w:rPr>
          <w:color w:val="000000"/>
        </w:rPr>
      </w:pPr>
    </w:p>
    <w:p w14:paraId="514CF372" w14:textId="0CC55D25" w:rsidR="007B1E97" w:rsidRPr="00517276" w:rsidRDefault="00842050" w:rsidP="007B1E97">
      <w:pPr>
        <w:jc w:val="center"/>
        <w:rPr>
          <w:i/>
          <w:vanish/>
          <w:color w:val="000000"/>
          <w:szCs w:val="22"/>
          <w:specVanish/>
        </w:rPr>
      </w:pPr>
      <w:bookmarkStart w:id="1014" w:name="_Toc516053469"/>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45</w:t>
      </w:r>
      <w:r w:rsidR="00C506C7">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Burnett Mary </w:t>
      </w:r>
      <w:r w:rsidR="00D04E18">
        <w:rPr>
          <w:i/>
        </w:rPr>
        <w:t xml:space="preserve">NRM region habitat over the </w:t>
      </w:r>
      <w:r w:rsidR="008574EC">
        <w:rPr>
          <w:i/>
        </w:rPr>
        <w:t>2016–17</w:t>
      </w:r>
      <w:r>
        <w:rPr>
          <w:i/>
        </w:rPr>
        <w:t xml:space="preserve"> period.</w:t>
      </w:r>
      <w:bookmarkEnd w:id="1014"/>
      <w:r w:rsidR="007B1E97" w:rsidRPr="007B1E97">
        <w:rPr>
          <w:i/>
          <w:vanish/>
          <w:color w:val="000000"/>
          <w:szCs w:val="22"/>
          <w:specVanish/>
        </w:rPr>
        <w:t xml:space="preserve"> </w:t>
      </w:r>
    </w:p>
    <w:p w14:paraId="10244564" w14:textId="0B3C88DB"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F87DF9" w:rsidRPr="00F87DF9">
        <w:rPr>
          <w:i/>
          <w:color w:val="000000"/>
        </w:rPr>
        <w:t xml:space="preserve">Table </w:t>
      </w:r>
      <w:r w:rsidR="00F87DF9" w:rsidRPr="00F87DF9">
        <w:rPr>
          <w:i/>
          <w:noProof/>
          <w:color w:val="000000"/>
        </w:rPr>
        <w:t>38</w:t>
      </w:r>
      <w:r w:rsidR="00FB280D" w:rsidRPr="00FB280D">
        <w:rPr>
          <w:i/>
        </w:rPr>
        <w:fldChar w:fldCharType="end"/>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p>
    <w:tbl>
      <w:tblPr>
        <w:tblW w:w="9156" w:type="dxa"/>
        <w:jc w:val="center"/>
        <w:tblLook w:val="04A0" w:firstRow="1" w:lastRow="0" w:firstColumn="1" w:lastColumn="0" w:noHBand="0" w:noVBand="1"/>
      </w:tblPr>
      <w:tblGrid>
        <w:gridCol w:w="1539"/>
        <w:gridCol w:w="1229"/>
        <w:gridCol w:w="564"/>
        <w:gridCol w:w="951"/>
        <w:gridCol w:w="815"/>
        <w:gridCol w:w="823"/>
        <w:gridCol w:w="888"/>
        <w:gridCol w:w="888"/>
        <w:gridCol w:w="888"/>
        <w:gridCol w:w="571"/>
      </w:tblGrid>
      <w:tr w:rsidR="00D04E18" w14:paraId="12C11FFE" w14:textId="77777777" w:rsidTr="0091359C">
        <w:trPr>
          <w:jc w:val="center"/>
        </w:trPr>
        <w:tc>
          <w:tcPr>
            <w:tcW w:w="1539" w:type="dxa"/>
            <w:tcBorders>
              <w:top w:val="single" w:sz="4" w:space="0" w:color="auto"/>
              <w:left w:val="nil"/>
              <w:bottom w:val="single" w:sz="4" w:space="0" w:color="auto"/>
              <w:right w:val="nil"/>
            </w:tcBorders>
            <w:shd w:val="clear" w:color="auto" w:fill="BBE0E3"/>
            <w:hideMark/>
          </w:tcPr>
          <w:p w14:paraId="0EE16934" w14:textId="77777777" w:rsidR="00D04E18" w:rsidRDefault="00D04E18" w:rsidP="0091359C">
            <w:pPr>
              <w:spacing w:before="0" w:after="0"/>
              <w:jc w:val="center"/>
              <w:rPr>
                <w:b/>
                <w:color w:val="000000"/>
                <w:sz w:val="16"/>
                <w:szCs w:val="16"/>
              </w:rPr>
            </w:pPr>
            <w:r>
              <w:rPr>
                <w:b/>
                <w:color w:val="000000"/>
                <w:sz w:val="16"/>
                <w:szCs w:val="16"/>
              </w:rPr>
              <w:t>Habitat</w:t>
            </w:r>
          </w:p>
        </w:tc>
        <w:tc>
          <w:tcPr>
            <w:tcW w:w="1229" w:type="dxa"/>
            <w:tcBorders>
              <w:top w:val="single" w:sz="4" w:space="0" w:color="auto"/>
              <w:left w:val="nil"/>
              <w:bottom w:val="single" w:sz="4" w:space="0" w:color="auto"/>
              <w:right w:val="nil"/>
            </w:tcBorders>
            <w:shd w:val="clear" w:color="auto" w:fill="BBE0E3"/>
            <w:noWrap/>
            <w:vAlign w:val="center"/>
            <w:hideMark/>
          </w:tcPr>
          <w:p w14:paraId="788D9D5E" w14:textId="77777777" w:rsidR="00D04E18" w:rsidRDefault="00D04E18" w:rsidP="0091359C">
            <w:pPr>
              <w:spacing w:before="0" w:after="0"/>
              <w:jc w:val="center"/>
              <w:rPr>
                <w:b/>
                <w:color w:val="000000"/>
                <w:sz w:val="16"/>
                <w:szCs w:val="16"/>
              </w:rPr>
            </w:pPr>
            <w:r>
              <w:rPr>
                <w:b/>
                <w:color w:val="000000"/>
                <w:sz w:val="16"/>
                <w:szCs w:val="16"/>
              </w:rPr>
              <w:t>Location</w:t>
            </w:r>
          </w:p>
        </w:tc>
        <w:tc>
          <w:tcPr>
            <w:tcW w:w="564" w:type="dxa"/>
            <w:tcBorders>
              <w:top w:val="single" w:sz="4" w:space="0" w:color="auto"/>
              <w:left w:val="nil"/>
              <w:bottom w:val="single" w:sz="4" w:space="0" w:color="auto"/>
              <w:right w:val="nil"/>
            </w:tcBorders>
            <w:shd w:val="clear" w:color="auto" w:fill="BBE0E3"/>
            <w:noWrap/>
            <w:vAlign w:val="center"/>
            <w:hideMark/>
          </w:tcPr>
          <w:p w14:paraId="6BDB292A" w14:textId="77777777" w:rsidR="00D04E18" w:rsidRDefault="00D04E18" w:rsidP="0091359C">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51C7206D" w14:textId="77777777" w:rsidR="00D04E18" w:rsidRDefault="00D04E18" w:rsidP="0091359C">
            <w:pPr>
              <w:spacing w:before="0" w:after="0"/>
              <w:jc w:val="center"/>
              <w:rPr>
                <w:b/>
                <w:color w:val="000000"/>
                <w:sz w:val="16"/>
                <w:szCs w:val="16"/>
              </w:rPr>
            </w:pPr>
            <w:r>
              <w:rPr>
                <w:b/>
                <w:color w:val="000000"/>
                <w:sz w:val="16"/>
                <w:szCs w:val="16"/>
              </w:rPr>
              <w:t>Seasonal</w:t>
            </w:r>
          </w:p>
          <w:p w14:paraId="5F33CC4A" w14:textId="77777777" w:rsidR="00D04E18" w:rsidRDefault="00D04E18" w:rsidP="0091359C">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613112CA" w14:textId="77777777" w:rsidR="00D04E18" w:rsidRDefault="00D04E18" w:rsidP="0091359C">
            <w:pPr>
              <w:spacing w:before="0" w:after="0"/>
              <w:jc w:val="center"/>
              <w:rPr>
                <w:b/>
                <w:color w:val="000000"/>
                <w:sz w:val="16"/>
                <w:szCs w:val="16"/>
              </w:rPr>
            </w:pPr>
            <w:r>
              <w:rPr>
                <w:b/>
                <w:color w:val="000000"/>
                <w:sz w:val="16"/>
                <w:szCs w:val="16"/>
              </w:rPr>
              <w:t>Mean</w:t>
            </w:r>
          </w:p>
          <w:p w14:paraId="32AABC68" w14:textId="4FD6CCC7" w:rsidR="00D04E18" w:rsidRDefault="0063478C" w:rsidP="0091359C">
            <w:pPr>
              <w:spacing w:before="0" w:after="0"/>
              <w:jc w:val="center"/>
              <w:rPr>
                <w:b/>
                <w:color w:val="000000"/>
                <w:sz w:val="16"/>
                <w:szCs w:val="16"/>
              </w:rPr>
            </w:pPr>
            <w:r>
              <w:rPr>
                <w:b/>
                <w:color w:val="000000"/>
                <w:sz w:val="16"/>
                <w:szCs w:val="16"/>
              </w:rPr>
              <w:t xml:space="preserve"> per cent</w:t>
            </w:r>
            <w:r w:rsidR="00D04E18">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5B0AA045" w14:textId="77777777" w:rsidR="00D04E18" w:rsidRDefault="00D04E18" w:rsidP="0091359C">
            <w:pPr>
              <w:spacing w:before="0" w:after="0"/>
              <w:jc w:val="center"/>
              <w:rPr>
                <w:b/>
                <w:color w:val="000000"/>
                <w:sz w:val="16"/>
                <w:szCs w:val="16"/>
              </w:rPr>
            </w:pPr>
            <w:r>
              <w:rPr>
                <w:b/>
                <w:color w:val="000000"/>
                <w:sz w:val="16"/>
                <w:szCs w:val="16"/>
              </w:rPr>
              <w:t>Median</w:t>
            </w:r>
          </w:p>
          <w:p w14:paraId="41B363A3" w14:textId="7E7AD71D" w:rsidR="00D04E18" w:rsidRDefault="0063478C" w:rsidP="0091359C">
            <w:pPr>
              <w:spacing w:before="0" w:after="0"/>
              <w:jc w:val="center"/>
              <w:rPr>
                <w:b/>
                <w:color w:val="000000"/>
                <w:sz w:val="16"/>
                <w:szCs w:val="16"/>
              </w:rPr>
            </w:pPr>
            <w:r>
              <w:rPr>
                <w:b/>
                <w:color w:val="000000"/>
                <w:sz w:val="16"/>
                <w:szCs w:val="16"/>
              </w:rPr>
              <w:t xml:space="preserve"> per cent</w:t>
            </w:r>
            <w:r w:rsidR="00D04E18">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1A0245A0" w14:textId="77777777" w:rsidR="00D04E18" w:rsidRDefault="00D04E18" w:rsidP="0091359C">
            <w:pPr>
              <w:spacing w:before="0" w:after="0"/>
              <w:jc w:val="center"/>
              <w:rPr>
                <w:b/>
                <w:color w:val="000000"/>
                <w:sz w:val="16"/>
                <w:szCs w:val="16"/>
              </w:rPr>
            </w:pPr>
            <w:r>
              <w:rPr>
                <w:b/>
                <w:color w:val="000000"/>
                <w:sz w:val="16"/>
                <w:szCs w:val="16"/>
              </w:rPr>
              <w:t>Low</w:t>
            </w:r>
          </w:p>
          <w:p w14:paraId="6435C3B2" w14:textId="77777777" w:rsidR="00D04E18" w:rsidRDefault="00D04E18" w:rsidP="0091359C">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7DA162D2" w14:textId="77777777" w:rsidR="00D04E18" w:rsidRDefault="00D04E18" w:rsidP="0091359C">
            <w:pPr>
              <w:spacing w:before="0" w:after="0"/>
              <w:jc w:val="center"/>
              <w:rPr>
                <w:b/>
                <w:color w:val="000000"/>
                <w:sz w:val="16"/>
                <w:szCs w:val="16"/>
              </w:rPr>
            </w:pPr>
            <w:r>
              <w:rPr>
                <w:b/>
                <w:color w:val="000000"/>
                <w:sz w:val="16"/>
                <w:szCs w:val="16"/>
              </w:rPr>
              <w:t>50th</w:t>
            </w:r>
          </w:p>
          <w:p w14:paraId="3359065B" w14:textId="77777777" w:rsidR="00D04E18" w:rsidRDefault="00D04E18" w:rsidP="0091359C">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79559278" w14:textId="77777777" w:rsidR="00D04E18" w:rsidRDefault="00D04E18" w:rsidP="0091359C">
            <w:pPr>
              <w:spacing w:before="0" w:after="0"/>
              <w:jc w:val="center"/>
              <w:rPr>
                <w:b/>
                <w:color w:val="000000"/>
                <w:sz w:val="16"/>
                <w:szCs w:val="16"/>
              </w:rPr>
            </w:pPr>
            <w:r>
              <w:rPr>
                <w:b/>
                <w:color w:val="000000"/>
                <w:sz w:val="16"/>
                <w:szCs w:val="16"/>
              </w:rPr>
              <w:t>75th</w:t>
            </w:r>
          </w:p>
          <w:p w14:paraId="62E0F563" w14:textId="77777777" w:rsidR="00D04E18" w:rsidRDefault="00D04E18" w:rsidP="0091359C">
            <w:pPr>
              <w:spacing w:before="0" w:after="0"/>
              <w:jc w:val="center"/>
              <w:rPr>
                <w:b/>
                <w:color w:val="000000"/>
                <w:sz w:val="16"/>
                <w:szCs w:val="16"/>
              </w:rPr>
            </w:pPr>
            <w:r>
              <w:rPr>
                <w:b/>
                <w:color w:val="000000"/>
                <w:sz w:val="16"/>
                <w:szCs w:val="16"/>
              </w:rPr>
              <w:t>percentile</w:t>
            </w:r>
          </w:p>
        </w:tc>
        <w:tc>
          <w:tcPr>
            <w:tcW w:w="571" w:type="dxa"/>
            <w:tcBorders>
              <w:top w:val="single" w:sz="4" w:space="0" w:color="auto"/>
              <w:left w:val="nil"/>
              <w:bottom w:val="single" w:sz="4" w:space="0" w:color="auto"/>
              <w:right w:val="nil"/>
            </w:tcBorders>
            <w:shd w:val="clear" w:color="auto" w:fill="BBE0E3"/>
            <w:noWrap/>
            <w:vAlign w:val="center"/>
            <w:hideMark/>
          </w:tcPr>
          <w:p w14:paraId="6B32B11A" w14:textId="77777777" w:rsidR="00D04E18" w:rsidRDefault="00D04E18" w:rsidP="0091359C">
            <w:pPr>
              <w:spacing w:before="0" w:after="0"/>
              <w:jc w:val="center"/>
              <w:rPr>
                <w:b/>
                <w:color w:val="000000"/>
                <w:sz w:val="16"/>
                <w:szCs w:val="16"/>
              </w:rPr>
            </w:pPr>
            <w:r>
              <w:rPr>
                <w:b/>
                <w:color w:val="000000"/>
                <w:sz w:val="16"/>
                <w:szCs w:val="16"/>
              </w:rPr>
              <w:t>score</w:t>
            </w:r>
          </w:p>
        </w:tc>
      </w:tr>
      <w:tr w:rsidR="003252FD" w:rsidRPr="00C77EEA" w14:paraId="0F736F55" w14:textId="77777777" w:rsidTr="003252FD">
        <w:trPr>
          <w:jc w:val="center"/>
        </w:trPr>
        <w:tc>
          <w:tcPr>
            <w:tcW w:w="1539" w:type="dxa"/>
            <w:tcBorders>
              <w:top w:val="single" w:sz="4" w:space="0" w:color="auto"/>
              <w:left w:val="nil"/>
              <w:right w:val="nil"/>
            </w:tcBorders>
            <w:hideMark/>
          </w:tcPr>
          <w:p w14:paraId="15F51C2E" w14:textId="77777777" w:rsidR="003252FD" w:rsidRPr="00C77EEA" w:rsidRDefault="003252FD" w:rsidP="003252FD">
            <w:pPr>
              <w:spacing w:before="0" w:after="0"/>
              <w:rPr>
                <w:sz w:val="16"/>
                <w:szCs w:val="16"/>
              </w:rPr>
            </w:pPr>
            <w:r w:rsidRPr="00C77EEA">
              <w:rPr>
                <w:sz w:val="16"/>
                <w:szCs w:val="16"/>
              </w:rPr>
              <w:t>estuarine intertidal</w:t>
            </w:r>
          </w:p>
        </w:tc>
        <w:tc>
          <w:tcPr>
            <w:tcW w:w="1229" w:type="dxa"/>
            <w:tcBorders>
              <w:top w:val="single" w:sz="4" w:space="0" w:color="auto"/>
              <w:left w:val="nil"/>
              <w:right w:val="nil"/>
            </w:tcBorders>
            <w:noWrap/>
            <w:vAlign w:val="bottom"/>
            <w:hideMark/>
          </w:tcPr>
          <w:p w14:paraId="7746E06E" w14:textId="77777777" w:rsidR="003252FD" w:rsidRPr="00C77EEA" w:rsidRDefault="003252FD" w:rsidP="003252FD">
            <w:pPr>
              <w:spacing w:before="0" w:after="0"/>
              <w:rPr>
                <w:sz w:val="16"/>
                <w:szCs w:val="16"/>
              </w:rPr>
            </w:pPr>
            <w:r w:rsidRPr="00C77EEA">
              <w:rPr>
                <w:sz w:val="16"/>
                <w:szCs w:val="16"/>
              </w:rPr>
              <w:t>Rodds Bay</w:t>
            </w:r>
          </w:p>
        </w:tc>
        <w:tc>
          <w:tcPr>
            <w:tcW w:w="564" w:type="dxa"/>
            <w:tcBorders>
              <w:top w:val="single" w:sz="4" w:space="0" w:color="auto"/>
              <w:left w:val="nil"/>
              <w:right w:val="nil"/>
            </w:tcBorders>
            <w:shd w:val="clear" w:color="auto" w:fill="E7F3F4"/>
            <w:noWrap/>
            <w:vAlign w:val="bottom"/>
            <w:hideMark/>
          </w:tcPr>
          <w:p w14:paraId="751CE65A" w14:textId="77777777" w:rsidR="003252FD" w:rsidRPr="00C77EEA" w:rsidRDefault="003252FD" w:rsidP="003252FD">
            <w:pPr>
              <w:spacing w:before="0" w:after="0"/>
              <w:jc w:val="center"/>
              <w:rPr>
                <w:sz w:val="16"/>
                <w:szCs w:val="16"/>
              </w:rPr>
            </w:pPr>
            <w:r w:rsidRPr="00C77EEA">
              <w:rPr>
                <w:sz w:val="16"/>
                <w:szCs w:val="16"/>
              </w:rPr>
              <w:t>RD1</w:t>
            </w:r>
          </w:p>
        </w:tc>
        <w:tc>
          <w:tcPr>
            <w:tcW w:w="951" w:type="dxa"/>
            <w:tcBorders>
              <w:top w:val="single" w:sz="4" w:space="0" w:color="auto"/>
              <w:left w:val="nil"/>
              <w:right w:val="nil"/>
            </w:tcBorders>
            <w:shd w:val="clear" w:color="auto" w:fill="E7F3F4"/>
            <w:noWrap/>
            <w:vAlign w:val="bottom"/>
            <w:hideMark/>
          </w:tcPr>
          <w:p w14:paraId="70BDF76A" w14:textId="6E137439" w:rsidR="003252FD" w:rsidRPr="00C77EEA" w:rsidRDefault="003252FD" w:rsidP="003252FD">
            <w:pPr>
              <w:spacing w:before="0" w:after="0"/>
              <w:jc w:val="center"/>
              <w:rPr>
                <w:sz w:val="16"/>
                <w:szCs w:val="16"/>
              </w:rPr>
            </w:pPr>
            <w:r w:rsidRPr="00C77EEA">
              <w:rPr>
                <w:sz w:val="16"/>
                <w:szCs w:val="16"/>
              </w:rPr>
              <w:t>01-Oct-1</w:t>
            </w:r>
            <w:r>
              <w:rPr>
                <w:sz w:val="16"/>
                <w:szCs w:val="16"/>
              </w:rPr>
              <w:t>6</w:t>
            </w:r>
          </w:p>
        </w:tc>
        <w:tc>
          <w:tcPr>
            <w:tcW w:w="815" w:type="dxa"/>
            <w:tcBorders>
              <w:top w:val="single" w:sz="4" w:space="0" w:color="auto"/>
              <w:left w:val="nil"/>
              <w:right w:val="nil"/>
            </w:tcBorders>
            <w:shd w:val="clear" w:color="auto" w:fill="E7F3F4"/>
            <w:noWrap/>
            <w:vAlign w:val="bottom"/>
          </w:tcPr>
          <w:p w14:paraId="42C98CED" w14:textId="332668AC" w:rsidR="003252FD" w:rsidRPr="003252FD" w:rsidRDefault="003252FD" w:rsidP="003252FD">
            <w:pPr>
              <w:spacing w:before="0" w:after="0"/>
              <w:jc w:val="center"/>
              <w:rPr>
                <w:sz w:val="16"/>
                <w:szCs w:val="16"/>
              </w:rPr>
            </w:pPr>
            <w:r w:rsidRPr="003252FD">
              <w:rPr>
                <w:sz w:val="16"/>
                <w:szCs w:val="16"/>
              </w:rPr>
              <w:t>2.8</w:t>
            </w:r>
          </w:p>
        </w:tc>
        <w:tc>
          <w:tcPr>
            <w:tcW w:w="823" w:type="dxa"/>
            <w:tcBorders>
              <w:top w:val="single" w:sz="4" w:space="0" w:color="auto"/>
              <w:left w:val="nil"/>
              <w:right w:val="nil"/>
            </w:tcBorders>
            <w:shd w:val="clear" w:color="auto" w:fill="E7F3F4"/>
            <w:noWrap/>
            <w:vAlign w:val="bottom"/>
          </w:tcPr>
          <w:p w14:paraId="49303DD5" w14:textId="4C810FFA" w:rsidR="003252FD" w:rsidRPr="003252FD" w:rsidRDefault="003252FD" w:rsidP="003252FD">
            <w:pPr>
              <w:spacing w:before="0" w:after="0"/>
              <w:jc w:val="center"/>
              <w:rPr>
                <w:sz w:val="16"/>
                <w:szCs w:val="16"/>
              </w:rPr>
            </w:pPr>
            <w:r w:rsidRPr="003252FD">
              <w:rPr>
                <w:sz w:val="16"/>
                <w:szCs w:val="16"/>
              </w:rPr>
              <w:t>1</w:t>
            </w:r>
          </w:p>
        </w:tc>
        <w:tc>
          <w:tcPr>
            <w:tcW w:w="888" w:type="dxa"/>
            <w:tcBorders>
              <w:top w:val="single" w:sz="4" w:space="0" w:color="auto"/>
              <w:left w:val="nil"/>
              <w:right w:val="nil"/>
            </w:tcBorders>
            <w:shd w:val="clear" w:color="auto" w:fill="E7F3F4"/>
            <w:noWrap/>
            <w:vAlign w:val="bottom"/>
            <w:hideMark/>
          </w:tcPr>
          <w:p w14:paraId="5AC0F722" w14:textId="7CDAB167" w:rsidR="003252FD" w:rsidRPr="003252FD" w:rsidRDefault="003252FD" w:rsidP="003252FD">
            <w:pPr>
              <w:spacing w:before="0" w:after="0"/>
              <w:jc w:val="center"/>
              <w:rPr>
                <w:sz w:val="16"/>
                <w:szCs w:val="16"/>
              </w:rPr>
            </w:pPr>
            <w:r w:rsidRPr="003252FD">
              <w:rPr>
                <w:sz w:val="16"/>
                <w:szCs w:val="16"/>
              </w:rPr>
              <w:t>18</w:t>
            </w:r>
          </w:p>
        </w:tc>
        <w:tc>
          <w:tcPr>
            <w:tcW w:w="888" w:type="dxa"/>
            <w:tcBorders>
              <w:top w:val="single" w:sz="4" w:space="0" w:color="auto"/>
              <w:left w:val="nil"/>
              <w:right w:val="nil"/>
            </w:tcBorders>
            <w:shd w:val="clear" w:color="auto" w:fill="E7F3F4"/>
            <w:noWrap/>
            <w:vAlign w:val="bottom"/>
            <w:hideMark/>
          </w:tcPr>
          <w:p w14:paraId="37D5BCA0" w14:textId="36AE6472" w:rsidR="003252FD" w:rsidRPr="003252FD" w:rsidRDefault="003252FD" w:rsidP="003252FD">
            <w:pPr>
              <w:spacing w:before="0" w:after="0"/>
              <w:jc w:val="center"/>
              <w:rPr>
                <w:sz w:val="16"/>
                <w:szCs w:val="16"/>
              </w:rPr>
            </w:pPr>
            <w:r w:rsidRPr="003252FD">
              <w:rPr>
                <w:sz w:val="16"/>
                <w:szCs w:val="16"/>
              </w:rPr>
              <w:t>34.1</w:t>
            </w:r>
          </w:p>
        </w:tc>
        <w:tc>
          <w:tcPr>
            <w:tcW w:w="888" w:type="dxa"/>
            <w:tcBorders>
              <w:top w:val="single" w:sz="4" w:space="0" w:color="auto"/>
              <w:left w:val="nil"/>
              <w:right w:val="nil"/>
            </w:tcBorders>
            <w:shd w:val="clear" w:color="auto" w:fill="E7F3F4"/>
            <w:noWrap/>
            <w:vAlign w:val="bottom"/>
            <w:hideMark/>
          </w:tcPr>
          <w:p w14:paraId="1DB227D5" w14:textId="2FEEF4C5" w:rsidR="003252FD" w:rsidRPr="003252FD" w:rsidRDefault="003252FD" w:rsidP="003252FD">
            <w:pPr>
              <w:spacing w:before="0" w:after="0"/>
              <w:jc w:val="center"/>
              <w:rPr>
                <w:sz w:val="16"/>
                <w:szCs w:val="16"/>
              </w:rPr>
            </w:pPr>
            <w:r w:rsidRPr="003252FD">
              <w:rPr>
                <w:sz w:val="16"/>
                <w:szCs w:val="16"/>
              </w:rPr>
              <w:t>54</w:t>
            </w:r>
          </w:p>
        </w:tc>
        <w:tc>
          <w:tcPr>
            <w:tcW w:w="571" w:type="dxa"/>
            <w:tcBorders>
              <w:top w:val="single" w:sz="4" w:space="0" w:color="auto"/>
              <w:left w:val="nil"/>
              <w:right w:val="nil"/>
            </w:tcBorders>
            <w:shd w:val="clear" w:color="auto" w:fill="E7F3F4"/>
            <w:noWrap/>
            <w:vAlign w:val="bottom"/>
            <w:hideMark/>
          </w:tcPr>
          <w:p w14:paraId="56AEEAD2" w14:textId="5C793D29" w:rsidR="003252FD" w:rsidRPr="003252FD" w:rsidRDefault="003252FD" w:rsidP="003252FD">
            <w:pPr>
              <w:spacing w:before="0" w:after="0"/>
              <w:jc w:val="center"/>
              <w:rPr>
                <w:sz w:val="16"/>
                <w:szCs w:val="16"/>
              </w:rPr>
            </w:pPr>
            <w:r w:rsidRPr="003252FD">
              <w:rPr>
                <w:sz w:val="16"/>
                <w:szCs w:val="16"/>
              </w:rPr>
              <w:t>0</w:t>
            </w:r>
          </w:p>
        </w:tc>
      </w:tr>
      <w:tr w:rsidR="003252FD" w:rsidRPr="00C77EEA" w14:paraId="2449E475" w14:textId="77777777" w:rsidTr="003252FD">
        <w:trPr>
          <w:jc w:val="center"/>
        </w:trPr>
        <w:tc>
          <w:tcPr>
            <w:tcW w:w="1539" w:type="dxa"/>
            <w:tcBorders>
              <w:left w:val="nil"/>
              <w:bottom w:val="nil"/>
              <w:right w:val="nil"/>
            </w:tcBorders>
          </w:tcPr>
          <w:p w14:paraId="06FCCC88" w14:textId="77777777" w:rsidR="003252FD" w:rsidRPr="00C77EEA" w:rsidRDefault="003252FD" w:rsidP="003252FD">
            <w:pPr>
              <w:spacing w:before="0" w:after="0"/>
              <w:rPr>
                <w:sz w:val="16"/>
                <w:szCs w:val="16"/>
              </w:rPr>
            </w:pPr>
          </w:p>
        </w:tc>
        <w:tc>
          <w:tcPr>
            <w:tcW w:w="1229" w:type="dxa"/>
            <w:tcBorders>
              <w:left w:val="nil"/>
              <w:bottom w:val="nil"/>
              <w:right w:val="nil"/>
            </w:tcBorders>
            <w:noWrap/>
            <w:vAlign w:val="bottom"/>
          </w:tcPr>
          <w:p w14:paraId="2B3F1ED3" w14:textId="77777777" w:rsidR="003252FD" w:rsidRPr="00C77EEA" w:rsidRDefault="003252FD" w:rsidP="003252FD">
            <w:pPr>
              <w:spacing w:before="0" w:after="0"/>
              <w:rPr>
                <w:sz w:val="16"/>
                <w:szCs w:val="16"/>
              </w:rPr>
            </w:pPr>
          </w:p>
        </w:tc>
        <w:tc>
          <w:tcPr>
            <w:tcW w:w="564" w:type="dxa"/>
            <w:tcBorders>
              <w:left w:val="nil"/>
              <w:bottom w:val="nil"/>
              <w:right w:val="nil"/>
            </w:tcBorders>
            <w:shd w:val="clear" w:color="auto" w:fill="E7F3F4"/>
            <w:noWrap/>
            <w:vAlign w:val="bottom"/>
          </w:tcPr>
          <w:p w14:paraId="2F8E5EF1" w14:textId="19BDBC8E" w:rsidR="003252FD" w:rsidRPr="00C77EEA" w:rsidRDefault="003252FD" w:rsidP="003252FD">
            <w:pPr>
              <w:spacing w:before="0" w:after="0"/>
              <w:jc w:val="center"/>
              <w:rPr>
                <w:sz w:val="16"/>
                <w:szCs w:val="16"/>
              </w:rPr>
            </w:pPr>
            <w:r w:rsidRPr="00C77EEA">
              <w:rPr>
                <w:sz w:val="16"/>
                <w:szCs w:val="16"/>
              </w:rPr>
              <w:t>RD1</w:t>
            </w:r>
          </w:p>
        </w:tc>
        <w:tc>
          <w:tcPr>
            <w:tcW w:w="951" w:type="dxa"/>
            <w:tcBorders>
              <w:left w:val="nil"/>
              <w:bottom w:val="nil"/>
              <w:right w:val="nil"/>
            </w:tcBorders>
            <w:shd w:val="clear" w:color="auto" w:fill="E7F3F4"/>
            <w:noWrap/>
            <w:vAlign w:val="bottom"/>
          </w:tcPr>
          <w:p w14:paraId="03DD18AC" w14:textId="7B5EA71D" w:rsidR="003252FD" w:rsidRPr="00C77EEA" w:rsidRDefault="003252FD" w:rsidP="003252FD">
            <w:pPr>
              <w:spacing w:before="0" w:after="0"/>
              <w:jc w:val="center"/>
              <w:rPr>
                <w:sz w:val="16"/>
                <w:szCs w:val="16"/>
              </w:rPr>
            </w:pPr>
            <w:r>
              <w:rPr>
                <w:sz w:val="16"/>
                <w:szCs w:val="16"/>
              </w:rPr>
              <w:t>01-Apr-17</w:t>
            </w:r>
          </w:p>
        </w:tc>
        <w:tc>
          <w:tcPr>
            <w:tcW w:w="815" w:type="dxa"/>
            <w:tcBorders>
              <w:left w:val="nil"/>
              <w:bottom w:val="nil"/>
              <w:right w:val="nil"/>
            </w:tcBorders>
            <w:shd w:val="clear" w:color="auto" w:fill="E7F3F4"/>
            <w:noWrap/>
            <w:vAlign w:val="bottom"/>
          </w:tcPr>
          <w:p w14:paraId="54083F26" w14:textId="322C2470" w:rsidR="003252FD" w:rsidRPr="003252FD" w:rsidRDefault="003252FD" w:rsidP="003252FD">
            <w:pPr>
              <w:spacing w:before="0" w:after="0"/>
              <w:jc w:val="center"/>
              <w:rPr>
                <w:sz w:val="16"/>
                <w:szCs w:val="16"/>
              </w:rPr>
            </w:pPr>
            <w:r w:rsidRPr="003252FD">
              <w:rPr>
                <w:sz w:val="16"/>
                <w:szCs w:val="16"/>
              </w:rPr>
              <w:t>0.1</w:t>
            </w:r>
          </w:p>
        </w:tc>
        <w:tc>
          <w:tcPr>
            <w:tcW w:w="823" w:type="dxa"/>
            <w:tcBorders>
              <w:left w:val="nil"/>
              <w:bottom w:val="nil"/>
              <w:right w:val="nil"/>
            </w:tcBorders>
            <w:shd w:val="clear" w:color="auto" w:fill="E7F3F4"/>
            <w:noWrap/>
            <w:vAlign w:val="bottom"/>
          </w:tcPr>
          <w:p w14:paraId="5B6B6547" w14:textId="627EAEA8" w:rsidR="003252FD" w:rsidRPr="003252FD" w:rsidRDefault="003252FD" w:rsidP="003252FD">
            <w:pPr>
              <w:spacing w:before="0" w:after="0"/>
              <w:jc w:val="center"/>
              <w:rPr>
                <w:sz w:val="16"/>
                <w:szCs w:val="16"/>
              </w:rPr>
            </w:pPr>
            <w:r w:rsidRPr="003252FD">
              <w:rPr>
                <w:sz w:val="16"/>
                <w:szCs w:val="16"/>
              </w:rPr>
              <w:t>0.1</w:t>
            </w:r>
          </w:p>
        </w:tc>
        <w:tc>
          <w:tcPr>
            <w:tcW w:w="888" w:type="dxa"/>
            <w:tcBorders>
              <w:left w:val="nil"/>
              <w:bottom w:val="nil"/>
              <w:right w:val="nil"/>
            </w:tcBorders>
            <w:shd w:val="clear" w:color="auto" w:fill="E7F3F4"/>
            <w:noWrap/>
            <w:vAlign w:val="bottom"/>
          </w:tcPr>
          <w:p w14:paraId="421931C7" w14:textId="30FF584C" w:rsidR="003252FD" w:rsidRPr="003252FD" w:rsidRDefault="003252FD" w:rsidP="003252FD">
            <w:pPr>
              <w:spacing w:before="0" w:after="0"/>
              <w:jc w:val="center"/>
              <w:rPr>
                <w:sz w:val="16"/>
                <w:szCs w:val="16"/>
              </w:rPr>
            </w:pPr>
            <w:r w:rsidRPr="003252FD">
              <w:rPr>
                <w:sz w:val="16"/>
                <w:szCs w:val="16"/>
              </w:rPr>
              <w:t>18</w:t>
            </w:r>
          </w:p>
        </w:tc>
        <w:tc>
          <w:tcPr>
            <w:tcW w:w="888" w:type="dxa"/>
            <w:tcBorders>
              <w:left w:val="nil"/>
              <w:bottom w:val="nil"/>
              <w:right w:val="nil"/>
            </w:tcBorders>
            <w:shd w:val="clear" w:color="auto" w:fill="E7F3F4"/>
            <w:noWrap/>
            <w:vAlign w:val="bottom"/>
          </w:tcPr>
          <w:p w14:paraId="5B978917" w14:textId="4EEB195A" w:rsidR="003252FD" w:rsidRPr="003252FD" w:rsidRDefault="003252FD" w:rsidP="003252FD">
            <w:pPr>
              <w:spacing w:before="0" w:after="0"/>
              <w:jc w:val="center"/>
              <w:rPr>
                <w:sz w:val="16"/>
                <w:szCs w:val="16"/>
              </w:rPr>
            </w:pPr>
            <w:r w:rsidRPr="003252FD">
              <w:rPr>
                <w:sz w:val="16"/>
                <w:szCs w:val="16"/>
              </w:rPr>
              <w:t>34.1</w:t>
            </w:r>
          </w:p>
        </w:tc>
        <w:tc>
          <w:tcPr>
            <w:tcW w:w="888" w:type="dxa"/>
            <w:tcBorders>
              <w:left w:val="nil"/>
              <w:bottom w:val="nil"/>
              <w:right w:val="nil"/>
            </w:tcBorders>
            <w:shd w:val="clear" w:color="auto" w:fill="E7F3F4"/>
            <w:noWrap/>
            <w:vAlign w:val="bottom"/>
          </w:tcPr>
          <w:p w14:paraId="5F73237A" w14:textId="2C385EF3" w:rsidR="003252FD" w:rsidRPr="003252FD" w:rsidRDefault="003252FD" w:rsidP="003252FD">
            <w:pPr>
              <w:spacing w:before="0" w:after="0"/>
              <w:jc w:val="center"/>
              <w:rPr>
                <w:sz w:val="16"/>
                <w:szCs w:val="16"/>
              </w:rPr>
            </w:pPr>
            <w:r w:rsidRPr="003252FD">
              <w:rPr>
                <w:sz w:val="16"/>
                <w:szCs w:val="16"/>
              </w:rPr>
              <w:t>54</w:t>
            </w:r>
          </w:p>
        </w:tc>
        <w:tc>
          <w:tcPr>
            <w:tcW w:w="571" w:type="dxa"/>
            <w:tcBorders>
              <w:left w:val="nil"/>
              <w:bottom w:val="nil"/>
              <w:right w:val="nil"/>
            </w:tcBorders>
            <w:shd w:val="clear" w:color="auto" w:fill="E7F3F4"/>
            <w:noWrap/>
            <w:vAlign w:val="bottom"/>
          </w:tcPr>
          <w:p w14:paraId="5F24DD47" w14:textId="099F4E2C" w:rsidR="003252FD" w:rsidRPr="003252FD" w:rsidRDefault="003252FD" w:rsidP="003252FD">
            <w:pPr>
              <w:spacing w:before="0" w:after="0"/>
              <w:jc w:val="center"/>
              <w:rPr>
                <w:sz w:val="16"/>
                <w:szCs w:val="16"/>
              </w:rPr>
            </w:pPr>
            <w:r w:rsidRPr="003252FD">
              <w:rPr>
                <w:sz w:val="16"/>
                <w:szCs w:val="16"/>
              </w:rPr>
              <w:t>0</w:t>
            </w:r>
          </w:p>
        </w:tc>
      </w:tr>
      <w:tr w:rsidR="003252FD" w:rsidRPr="00C77EEA" w14:paraId="34F480CF" w14:textId="77777777" w:rsidTr="003252FD">
        <w:trPr>
          <w:jc w:val="center"/>
        </w:trPr>
        <w:tc>
          <w:tcPr>
            <w:tcW w:w="1539" w:type="dxa"/>
            <w:tcBorders>
              <w:left w:val="nil"/>
              <w:bottom w:val="nil"/>
              <w:right w:val="nil"/>
            </w:tcBorders>
          </w:tcPr>
          <w:p w14:paraId="533FE63C" w14:textId="77777777" w:rsidR="003252FD" w:rsidRPr="00C77EEA" w:rsidRDefault="003252FD" w:rsidP="003252FD">
            <w:pPr>
              <w:spacing w:before="0" w:after="0"/>
              <w:rPr>
                <w:sz w:val="16"/>
                <w:szCs w:val="16"/>
              </w:rPr>
            </w:pPr>
          </w:p>
        </w:tc>
        <w:tc>
          <w:tcPr>
            <w:tcW w:w="1229" w:type="dxa"/>
            <w:tcBorders>
              <w:left w:val="nil"/>
              <w:bottom w:val="nil"/>
              <w:right w:val="nil"/>
            </w:tcBorders>
            <w:noWrap/>
            <w:vAlign w:val="bottom"/>
          </w:tcPr>
          <w:p w14:paraId="55707F69" w14:textId="77777777" w:rsidR="003252FD" w:rsidRPr="00C77EEA" w:rsidRDefault="003252FD" w:rsidP="003252FD">
            <w:pPr>
              <w:spacing w:before="0" w:after="0"/>
              <w:rPr>
                <w:sz w:val="16"/>
                <w:szCs w:val="16"/>
              </w:rPr>
            </w:pPr>
          </w:p>
        </w:tc>
        <w:tc>
          <w:tcPr>
            <w:tcW w:w="564" w:type="dxa"/>
            <w:tcBorders>
              <w:left w:val="nil"/>
              <w:bottom w:val="nil"/>
              <w:right w:val="nil"/>
            </w:tcBorders>
            <w:shd w:val="clear" w:color="auto" w:fill="E7F3F4"/>
            <w:noWrap/>
            <w:vAlign w:val="bottom"/>
          </w:tcPr>
          <w:p w14:paraId="57D4C366" w14:textId="569FD5BE" w:rsidR="003252FD" w:rsidRPr="00C77EEA" w:rsidRDefault="003252FD" w:rsidP="003252FD">
            <w:pPr>
              <w:spacing w:before="0" w:after="0"/>
              <w:jc w:val="center"/>
              <w:rPr>
                <w:sz w:val="16"/>
                <w:szCs w:val="16"/>
              </w:rPr>
            </w:pPr>
            <w:r w:rsidRPr="00C77EEA">
              <w:rPr>
                <w:sz w:val="16"/>
                <w:szCs w:val="16"/>
              </w:rPr>
              <w:t>RD2</w:t>
            </w:r>
          </w:p>
        </w:tc>
        <w:tc>
          <w:tcPr>
            <w:tcW w:w="951" w:type="dxa"/>
            <w:tcBorders>
              <w:left w:val="nil"/>
              <w:bottom w:val="nil"/>
              <w:right w:val="nil"/>
            </w:tcBorders>
            <w:shd w:val="clear" w:color="auto" w:fill="E7F3F4"/>
            <w:noWrap/>
            <w:vAlign w:val="bottom"/>
          </w:tcPr>
          <w:p w14:paraId="1858FB3F" w14:textId="367D61E8" w:rsidR="003252FD" w:rsidRPr="00C77EEA" w:rsidRDefault="003252FD" w:rsidP="003252FD">
            <w:pPr>
              <w:spacing w:before="0" w:after="0"/>
              <w:jc w:val="center"/>
              <w:rPr>
                <w:sz w:val="16"/>
                <w:szCs w:val="16"/>
              </w:rPr>
            </w:pPr>
            <w:r w:rsidRPr="00C77EEA">
              <w:rPr>
                <w:sz w:val="16"/>
                <w:szCs w:val="16"/>
              </w:rPr>
              <w:t>01-Oct-1</w:t>
            </w:r>
            <w:r>
              <w:rPr>
                <w:sz w:val="16"/>
                <w:szCs w:val="16"/>
              </w:rPr>
              <w:t>6</w:t>
            </w:r>
          </w:p>
        </w:tc>
        <w:tc>
          <w:tcPr>
            <w:tcW w:w="815" w:type="dxa"/>
            <w:tcBorders>
              <w:left w:val="nil"/>
              <w:bottom w:val="nil"/>
              <w:right w:val="nil"/>
            </w:tcBorders>
            <w:shd w:val="clear" w:color="auto" w:fill="E7F3F4"/>
            <w:noWrap/>
            <w:vAlign w:val="bottom"/>
          </w:tcPr>
          <w:p w14:paraId="28AB558A" w14:textId="3F86A2CF" w:rsidR="003252FD" w:rsidRPr="003252FD" w:rsidRDefault="003252FD" w:rsidP="003252FD">
            <w:pPr>
              <w:spacing w:before="0" w:after="0"/>
              <w:jc w:val="center"/>
              <w:rPr>
                <w:sz w:val="16"/>
                <w:szCs w:val="16"/>
              </w:rPr>
            </w:pPr>
            <w:r w:rsidRPr="003252FD">
              <w:rPr>
                <w:sz w:val="16"/>
                <w:szCs w:val="16"/>
              </w:rPr>
              <w:t>0.0</w:t>
            </w:r>
          </w:p>
        </w:tc>
        <w:tc>
          <w:tcPr>
            <w:tcW w:w="823" w:type="dxa"/>
            <w:tcBorders>
              <w:left w:val="nil"/>
              <w:bottom w:val="nil"/>
              <w:right w:val="nil"/>
            </w:tcBorders>
            <w:shd w:val="clear" w:color="auto" w:fill="E7F3F4"/>
            <w:noWrap/>
            <w:vAlign w:val="bottom"/>
          </w:tcPr>
          <w:p w14:paraId="4FFD44B5" w14:textId="2B20BB36" w:rsidR="003252FD" w:rsidRPr="003252FD" w:rsidRDefault="003252FD" w:rsidP="003252FD">
            <w:pPr>
              <w:spacing w:before="0" w:after="0"/>
              <w:jc w:val="center"/>
              <w:rPr>
                <w:sz w:val="16"/>
                <w:szCs w:val="16"/>
              </w:rPr>
            </w:pPr>
            <w:r w:rsidRPr="003252FD">
              <w:rPr>
                <w:sz w:val="16"/>
                <w:szCs w:val="16"/>
              </w:rPr>
              <w:t>0</w:t>
            </w:r>
          </w:p>
        </w:tc>
        <w:tc>
          <w:tcPr>
            <w:tcW w:w="888" w:type="dxa"/>
            <w:tcBorders>
              <w:left w:val="nil"/>
              <w:bottom w:val="nil"/>
              <w:right w:val="nil"/>
            </w:tcBorders>
            <w:shd w:val="clear" w:color="auto" w:fill="E7F3F4"/>
            <w:noWrap/>
            <w:vAlign w:val="bottom"/>
          </w:tcPr>
          <w:p w14:paraId="4241A8B9" w14:textId="21BAE28E" w:rsidR="003252FD" w:rsidRPr="003252FD" w:rsidRDefault="003252FD" w:rsidP="003252FD">
            <w:pPr>
              <w:spacing w:before="0" w:after="0"/>
              <w:jc w:val="center"/>
              <w:rPr>
                <w:sz w:val="16"/>
                <w:szCs w:val="16"/>
              </w:rPr>
            </w:pPr>
            <w:r w:rsidRPr="003252FD">
              <w:rPr>
                <w:sz w:val="16"/>
                <w:szCs w:val="16"/>
              </w:rPr>
              <w:t>18</w:t>
            </w:r>
          </w:p>
        </w:tc>
        <w:tc>
          <w:tcPr>
            <w:tcW w:w="888" w:type="dxa"/>
            <w:tcBorders>
              <w:left w:val="nil"/>
              <w:bottom w:val="nil"/>
              <w:right w:val="nil"/>
            </w:tcBorders>
            <w:shd w:val="clear" w:color="auto" w:fill="E7F3F4"/>
            <w:noWrap/>
            <w:vAlign w:val="bottom"/>
          </w:tcPr>
          <w:p w14:paraId="6BF29A4B" w14:textId="1992368F" w:rsidR="003252FD" w:rsidRPr="003252FD" w:rsidRDefault="003252FD" w:rsidP="003252FD">
            <w:pPr>
              <w:spacing w:before="0" w:after="0"/>
              <w:jc w:val="center"/>
              <w:rPr>
                <w:sz w:val="16"/>
                <w:szCs w:val="16"/>
              </w:rPr>
            </w:pPr>
            <w:r w:rsidRPr="003252FD">
              <w:rPr>
                <w:sz w:val="16"/>
                <w:szCs w:val="16"/>
              </w:rPr>
              <w:t>34.1</w:t>
            </w:r>
          </w:p>
        </w:tc>
        <w:tc>
          <w:tcPr>
            <w:tcW w:w="888" w:type="dxa"/>
            <w:tcBorders>
              <w:left w:val="nil"/>
              <w:bottom w:val="nil"/>
              <w:right w:val="nil"/>
            </w:tcBorders>
            <w:shd w:val="clear" w:color="auto" w:fill="E7F3F4"/>
            <w:noWrap/>
            <w:vAlign w:val="bottom"/>
          </w:tcPr>
          <w:p w14:paraId="55162E53" w14:textId="1943BEAE" w:rsidR="003252FD" w:rsidRPr="003252FD" w:rsidRDefault="003252FD" w:rsidP="003252FD">
            <w:pPr>
              <w:spacing w:before="0" w:after="0"/>
              <w:jc w:val="center"/>
              <w:rPr>
                <w:sz w:val="16"/>
                <w:szCs w:val="16"/>
              </w:rPr>
            </w:pPr>
            <w:r w:rsidRPr="003252FD">
              <w:rPr>
                <w:sz w:val="16"/>
                <w:szCs w:val="16"/>
              </w:rPr>
              <w:t>54</w:t>
            </w:r>
          </w:p>
        </w:tc>
        <w:tc>
          <w:tcPr>
            <w:tcW w:w="571" w:type="dxa"/>
            <w:tcBorders>
              <w:left w:val="nil"/>
              <w:bottom w:val="nil"/>
              <w:right w:val="nil"/>
            </w:tcBorders>
            <w:shd w:val="clear" w:color="auto" w:fill="E7F3F4"/>
            <w:noWrap/>
            <w:vAlign w:val="bottom"/>
          </w:tcPr>
          <w:p w14:paraId="4EFC0263" w14:textId="56F6CB90" w:rsidR="003252FD" w:rsidRPr="003252FD" w:rsidRDefault="003252FD" w:rsidP="003252FD">
            <w:pPr>
              <w:spacing w:before="0" w:after="0"/>
              <w:jc w:val="center"/>
              <w:rPr>
                <w:sz w:val="16"/>
                <w:szCs w:val="16"/>
              </w:rPr>
            </w:pPr>
            <w:r w:rsidRPr="003252FD">
              <w:rPr>
                <w:sz w:val="16"/>
                <w:szCs w:val="16"/>
              </w:rPr>
              <w:t>0</w:t>
            </w:r>
          </w:p>
        </w:tc>
      </w:tr>
      <w:tr w:rsidR="003252FD" w:rsidRPr="00C77EEA" w14:paraId="68416D49" w14:textId="77777777" w:rsidTr="0091359C">
        <w:trPr>
          <w:jc w:val="center"/>
        </w:trPr>
        <w:tc>
          <w:tcPr>
            <w:tcW w:w="1539" w:type="dxa"/>
          </w:tcPr>
          <w:p w14:paraId="5A82B8B7" w14:textId="77777777" w:rsidR="003252FD" w:rsidRPr="00C77EEA" w:rsidRDefault="003252FD" w:rsidP="003252FD">
            <w:pPr>
              <w:spacing w:before="0" w:after="0"/>
              <w:rPr>
                <w:sz w:val="16"/>
                <w:szCs w:val="16"/>
              </w:rPr>
            </w:pPr>
          </w:p>
        </w:tc>
        <w:tc>
          <w:tcPr>
            <w:tcW w:w="1229" w:type="dxa"/>
            <w:tcBorders>
              <w:top w:val="nil"/>
              <w:left w:val="nil"/>
              <w:bottom w:val="single" w:sz="4" w:space="0" w:color="auto"/>
              <w:right w:val="nil"/>
            </w:tcBorders>
            <w:noWrap/>
            <w:vAlign w:val="bottom"/>
          </w:tcPr>
          <w:p w14:paraId="63F51E18" w14:textId="77777777" w:rsidR="003252FD" w:rsidRPr="00C77EEA" w:rsidRDefault="003252FD" w:rsidP="003252FD">
            <w:pPr>
              <w:spacing w:before="0" w:after="0"/>
              <w:rPr>
                <w:sz w:val="16"/>
                <w:szCs w:val="16"/>
              </w:rPr>
            </w:pPr>
          </w:p>
        </w:tc>
        <w:tc>
          <w:tcPr>
            <w:tcW w:w="564" w:type="dxa"/>
            <w:tcBorders>
              <w:top w:val="nil"/>
              <w:left w:val="nil"/>
              <w:bottom w:val="single" w:sz="4" w:space="0" w:color="auto"/>
              <w:right w:val="nil"/>
            </w:tcBorders>
            <w:shd w:val="clear" w:color="auto" w:fill="E7F3F4"/>
            <w:noWrap/>
            <w:vAlign w:val="bottom"/>
            <w:hideMark/>
          </w:tcPr>
          <w:p w14:paraId="4D9061D9" w14:textId="77777777" w:rsidR="003252FD" w:rsidRPr="00C77EEA" w:rsidRDefault="003252FD" w:rsidP="003252FD">
            <w:pPr>
              <w:spacing w:before="0" w:after="0"/>
              <w:jc w:val="center"/>
              <w:rPr>
                <w:sz w:val="16"/>
                <w:szCs w:val="16"/>
              </w:rPr>
            </w:pPr>
            <w:r w:rsidRPr="00C77EEA">
              <w:rPr>
                <w:sz w:val="16"/>
                <w:szCs w:val="16"/>
              </w:rPr>
              <w:t>RD2</w:t>
            </w:r>
          </w:p>
        </w:tc>
        <w:tc>
          <w:tcPr>
            <w:tcW w:w="951" w:type="dxa"/>
            <w:tcBorders>
              <w:top w:val="nil"/>
              <w:left w:val="nil"/>
              <w:bottom w:val="single" w:sz="4" w:space="0" w:color="auto"/>
              <w:right w:val="nil"/>
            </w:tcBorders>
            <w:shd w:val="clear" w:color="auto" w:fill="E7F3F4"/>
            <w:noWrap/>
            <w:vAlign w:val="bottom"/>
            <w:hideMark/>
          </w:tcPr>
          <w:p w14:paraId="3706A796" w14:textId="41EC07F2" w:rsidR="003252FD" w:rsidRPr="00C77EEA" w:rsidRDefault="003252FD" w:rsidP="003252FD">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hideMark/>
          </w:tcPr>
          <w:p w14:paraId="1557F299" w14:textId="03E8FEB5" w:rsidR="003252FD" w:rsidRPr="003252FD" w:rsidRDefault="003252FD" w:rsidP="003252FD">
            <w:pPr>
              <w:spacing w:before="0" w:after="0"/>
              <w:jc w:val="center"/>
              <w:rPr>
                <w:sz w:val="16"/>
                <w:szCs w:val="16"/>
              </w:rPr>
            </w:pPr>
            <w:r w:rsidRPr="003252FD">
              <w:rPr>
                <w:sz w:val="16"/>
                <w:szCs w:val="16"/>
              </w:rPr>
              <w:t>0.0</w:t>
            </w:r>
          </w:p>
        </w:tc>
        <w:tc>
          <w:tcPr>
            <w:tcW w:w="823" w:type="dxa"/>
            <w:tcBorders>
              <w:top w:val="nil"/>
              <w:left w:val="nil"/>
              <w:bottom w:val="single" w:sz="4" w:space="0" w:color="auto"/>
              <w:right w:val="nil"/>
            </w:tcBorders>
            <w:shd w:val="clear" w:color="auto" w:fill="E7F3F4"/>
            <w:noWrap/>
            <w:vAlign w:val="bottom"/>
            <w:hideMark/>
          </w:tcPr>
          <w:p w14:paraId="6A028789" w14:textId="76BF9BD9" w:rsidR="003252FD" w:rsidRPr="003252FD" w:rsidRDefault="003252FD" w:rsidP="003252FD">
            <w:pPr>
              <w:spacing w:before="0" w:after="0"/>
              <w:jc w:val="center"/>
              <w:rPr>
                <w:sz w:val="16"/>
                <w:szCs w:val="16"/>
              </w:rPr>
            </w:pPr>
            <w:r w:rsidRPr="003252FD">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7E167632" w14:textId="1174C332" w:rsidR="003252FD" w:rsidRPr="003252FD" w:rsidRDefault="003252FD" w:rsidP="003252FD">
            <w:pPr>
              <w:spacing w:before="0" w:after="0"/>
              <w:jc w:val="center"/>
              <w:rPr>
                <w:sz w:val="16"/>
                <w:szCs w:val="16"/>
              </w:rPr>
            </w:pPr>
            <w:r w:rsidRPr="003252FD">
              <w:rPr>
                <w:sz w:val="16"/>
                <w:szCs w:val="16"/>
              </w:rPr>
              <w:t>18</w:t>
            </w:r>
          </w:p>
        </w:tc>
        <w:tc>
          <w:tcPr>
            <w:tcW w:w="888" w:type="dxa"/>
            <w:tcBorders>
              <w:top w:val="nil"/>
              <w:left w:val="nil"/>
              <w:bottom w:val="single" w:sz="4" w:space="0" w:color="auto"/>
              <w:right w:val="nil"/>
            </w:tcBorders>
            <w:shd w:val="clear" w:color="auto" w:fill="E7F3F4"/>
            <w:noWrap/>
            <w:vAlign w:val="bottom"/>
            <w:hideMark/>
          </w:tcPr>
          <w:p w14:paraId="3EC15DCA" w14:textId="55FAF209" w:rsidR="003252FD" w:rsidRPr="003252FD" w:rsidRDefault="003252FD" w:rsidP="003252FD">
            <w:pPr>
              <w:spacing w:before="0" w:after="0"/>
              <w:jc w:val="center"/>
              <w:rPr>
                <w:sz w:val="16"/>
                <w:szCs w:val="16"/>
              </w:rPr>
            </w:pPr>
            <w:r w:rsidRPr="003252FD">
              <w:rPr>
                <w:sz w:val="16"/>
                <w:szCs w:val="16"/>
              </w:rPr>
              <w:t>34.1</w:t>
            </w:r>
          </w:p>
        </w:tc>
        <w:tc>
          <w:tcPr>
            <w:tcW w:w="888" w:type="dxa"/>
            <w:tcBorders>
              <w:top w:val="nil"/>
              <w:left w:val="nil"/>
              <w:bottom w:val="single" w:sz="4" w:space="0" w:color="auto"/>
              <w:right w:val="nil"/>
            </w:tcBorders>
            <w:shd w:val="clear" w:color="auto" w:fill="E7F3F4"/>
            <w:noWrap/>
            <w:vAlign w:val="bottom"/>
            <w:hideMark/>
          </w:tcPr>
          <w:p w14:paraId="1B37F15E" w14:textId="5F46EF4D" w:rsidR="003252FD" w:rsidRPr="003252FD" w:rsidRDefault="003252FD" w:rsidP="003252FD">
            <w:pPr>
              <w:spacing w:before="0" w:after="0"/>
              <w:jc w:val="center"/>
              <w:rPr>
                <w:sz w:val="16"/>
                <w:szCs w:val="16"/>
              </w:rPr>
            </w:pPr>
            <w:r w:rsidRPr="003252FD">
              <w:rPr>
                <w:sz w:val="16"/>
                <w:szCs w:val="16"/>
              </w:rPr>
              <w:t>54</w:t>
            </w:r>
          </w:p>
        </w:tc>
        <w:tc>
          <w:tcPr>
            <w:tcW w:w="571" w:type="dxa"/>
            <w:tcBorders>
              <w:top w:val="nil"/>
              <w:left w:val="nil"/>
              <w:bottom w:val="single" w:sz="4" w:space="0" w:color="auto"/>
              <w:right w:val="nil"/>
            </w:tcBorders>
            <w:shd w:val="clear" w:color="auto" w:fill="E7F3F4"/>
            <w:noWrap/>
            <w:vAlign w:val="bottom"/>
            <w:hideMark/>
          </w:tcPr>
          <w:p w14:paraId="4C33549A" w14:textId="1009B94C" w:rsidR="003252FD" w:rsidRPr="003252FD" w:rsidRDefault="003252FD" w:rsidP="003252FD">
            <w:pPr>
              <w:spacing w:before="0" w:after="0"/>
              <w:jc w:val="center"/>
              <w:rPr>
                <w:sz w:val="16"/>
                <w:szCs w:val="16"/>
              </w:rPr>
            </w:pPr>
            <w:r w:rsidRPr="003252FD">
              <w:rPr>
                <w:sz w:val="16"/>
                <w:szCs w:val="16"/>
              </w:rPr>
              <w:t>0</w:t>
            </w:r>
          </w:p>
        </w:tc>
      </w:tr>
      <w:tr w:rsidR="003252FD" w:rsidRPr="00C77EEA" w14:paraId="0894946E" w14:textId="77777777" w:rsidTr="0091359C">
        <w:trPr>
          <w:jc w:val="center"/>
        </w:trPr>
        <w:tc>
          <w:tcPr>
            <w:tcW w:w="1539" w:type="dxa"/>
          </w:tcPr>
          <w:p w14:paraId="310A8574" w14:textId="77777777" w:rsidR="003252FD" w:rsidRPr="00C77EEA" w:rsidRDefault="003252FD" w:rsidP="003252FD">
            <w:pPr>
              <w:spacing w:before="0" w:after="0"/>
              <w:rPr>
                <w:sz w:val="16"/>
                <w:szCs w:val="16"/>
              </w:rPr>
            </w:pPr>
          </w:p>
        </w:tc>
        <w:tc>
          <w:tcPr>
            <w:tcW w:w="1229" w:type="dxa"/>
            <w:tcBorders>
              <w:top w:val="single" w:sz="4" w:space="0" w:color="auto"/>
              <w:left w:val="nil"/>
              <w:bottom w:val="nil"/>
              <w:right w:val="nil"/>
            </w:tcBorders>
            <w:noWrap/>
            <w:vAlign w:val="bottom"/>
            <w:hideMark/>
          </w:tcPr>
          <w:p w14:paraId="7BAE773F" w14:textId="77777777" w:rsidR="003252FD" w:rsidRPr="00C77EEA" w:rsidRDefault="003252FD" w:rsidP="003252FD">
            <w:pPr>
              <w:spacing w:before="0" w:after="0"/>
              <w:rPr>
                <w:sz w:val="16"/>
                <w:szCs w:val="16"/>
              </w:rPr>
            </w:pPr>
            <w:r w:rsidRPr="00C77EEA">
              <w:rPr>
                <w:sz w:val="16"/>
                <w:szCs w:val="16"/>
              </w:rPr>
              <w:t>Urangan</w:t>
            </w:r>
          </w:p>
        </w:tc>
        <w:tc>
          <w:tcPr>
            <w:tcW w:w="564" w:type="dxa"/>
            <w:tcBorders>
              <w:top w:val="single" w:sz="4" w:space="0" w:color="auto"/>
              <w:left w:val="nil"/>
              <w:bottom w:val="nil"/>
              <w:right w:val="nil"/>
            </w:tcBorders>
            <w:shd w:val="clear" w:color="auto" w:fill="F3F9FA"/>
            <w:noWrap/>
            <w:vAlign w:val="bottom"/>
            <w:hideMark/>
          </w:tcPr>
          <w:p w14:paraId="6F21B05B" w14:textId="77777777" w:rsidR="003252FD" w:rsidRPr="00C77EEA" w:rsidRDefault="003252FD" w:rsidP="003252FD">
            <w:pPr>
              <w:spacing w:before="0" w:after="0"/>
              <w:jc w:val="center"/>
              <w:rPr>
                <w:sz w:val="16"/>
                <w:szCs w:val="16"/>
              </w:rPr>
            </w:pPr>
            <w:r w:rsidRPr="00C77EEA">
              <w:rPr>
                <w:sz w:val="16"/>
                <w:szCs w:val="16"/>
              </w:rPr>
              <w:t>UG1</w:t>
            </w:r>
          </w:p>
        </w:tc>
        <w:tc>
          <w:tcPr>
            <w:tcW w:w="951" w:type="dxa"/>
            <w:tcBorders>
              <w:top w:val="single" w:sz="4" w:space="0" w:color="auto"/>
              <w:left w:val="nil"/>
              <w:bottom w:val="nil"/>
              <w:right w:val="nil"/>
            </w:tcBorders>
            <w:shd w:val="clear" w:color="auto" w:fill="F3F9FA"/>
            <w:noWrap/>
            <w:vAlign w:val="bottom"/>
            <w:hideMark/>
          </w:tcPr>
          <w:p w14:paraId="7A7798A7" w14:textId="0DA84E18" w:rsidR="003252FD" w:rsidRPr="00C77EEA" w:rsidRDefault="003252FD" w:rsidP="003252FD">
            <w:pPr>
              <w:spacing w:before="0" w:after="0"/>
              <w:jc w:val="center"/>
              <w:rPr>
                <w:sz w:val="16"/>
                <w:szCs w:val="16"/>
              </w:rPr>
            </w:pPr>
            <w:r w:rsidRPr="00C77EEA">
              <w:rPr>
                <w:sz w:val="16"/>
                <w:szCs w:val="16"/>
              </w:rPr>
              <w:t>01-Oct-1</w:t>
            </w:r>
            <w:r>
              <w:rPr>
                <w:sz w:val="16"/>
                <w:szCs w:val="16"/>
              </w:rPr>
              <w:t>6</w:t>
            </w:r>
          </w:p>
        </w:tc>
        <w:tc>
          <w:tcPr>
            <w:tcW w:w="815" w:type="dxa"/>
            <w:tcBorders>
              <w:top w:val="single" w:sz="4" w:space="0" w:color="auto"/>
              <w:left w:val="nil"/>
              <w:bottom w:val="nil"/>
              <w:right w:val="nil"/>
            </w:tcBorders>
            <w:shd w:val="clear" w:color="auto" w:fill="F3F9FA"/>
            <w:noWrap/>
            <w:vAlign w:val="bottom"/>
          </w:tcPr>
          <w:p w14:paraId="592839C6" w14:textId="4EE0B6B1" w:rsidR="003252FD" w:rsidRPr="003252FD" w:rsidRDefault="003252FD" w:rsidP="003252FD">
            <w:pPr>
              <w:spacing w:before="0" w:after="0"/>
              <w:jc w:val="center"/>
              <w:rPr>
                <w:sz w:val="16"/>
                <w:szCs w:val="16"/>
              </w:rPr>
            </w:pPr>
            <w:r w:rsidRPr="003252FD">
              <w:rPr>
                <w:sz w:val="16"/>
                <w:szCs w:val="16"/>
              </w:rPr>
              <w:t>17.2</w:t>
            </w:r>
          </w:p>
        </w:tc>
        <w:tc>
          <w:tcPr>
            <w:tcW w:w="823" w:type="dxa"/>
            <w:tcBorders>
              <w:top w:val="single" w:sz="4" w:space="0" w:color="auto"/>
              <w:left w:val="nil"/>
              <w:bottom w:val="nil"/>
              <w:right w:val="nil"/>
            </w:tcBorders>
            <w:shd w:val="clear" w:color="auto" w:fill="F3F9FA"/>
            <w:noWrap/>
            <w:vAlign w:val="bottom"/>
          </w:tcPr>
          <w:p w14:paraId="773D4B8D" w14:textId="6DC66FC2" w:rsidR="003252FD" w:rsidRPr="003252FD" w:rsidRDefault="003252FD" w:rsidP="003252FD">
            <w:pPr>
              <w:spacing w:before="0" w:after="0"/>
              <w:jc w:val="center"/>
              <w:rPr>
                <w:sz w:val="16"/>
                <w:szCs w:val="16"/>
              </w:rPr>
            </w:pPr>
            <w:r w:rsidRPr="003252FD">
              <w:rPr>
                <w:sz w:val="16"/>
                <w:szCs w:val="16"/>
              </w:rPr>
              <w:t>14</w:t>
            </w:r>
          </w:p>
        </w:tc>
        <w:tc>
          <w:tcPr>
            <w:tcW w:w="888" w:type="dxa"/>
            <w:tcBorders>
              <w:top w:val="single" w:sz="4" w:space="0" w:color="auto"/>
              <w:left w:val="nil"/>
              <w:bottom w:val="nil"/>
              <w:right w:val="nil"/>
            </w:tcBorders>
            <w:shd w:val="clear" w:color="auto" w:fill="F3F9FA"/>
            <w:noWrap/>
            <w:vAlign w:val="bottom"/>
            <w:hideMark/>
          </w:tcPr>
          <w:p w14:paraId="05884C46" w14:textId="3896C4A6" w:rsidR="003252FD" w:rsidRPr="003252FD" w:rsidRDefault="003252FD" w:rsidP="003252FD">
            <w:pPr>
              <w:spacing w:before="0" w:after="0"/>
              <w:jc w:val="center"/>
              <w:rPr>
                <w:sz w:val="16"/>
                <w:szCs w:val="16"/>
              </w:rPr>
            </w:pPr>
            <w:r w:rsidRPr="003252FD">
              <w:rPr>
                <w:sz w:val="16"/>
                <w:szCs w:val="16"/>
              </w:rPr>
              <w:t>18</w:t>
            </w:r>
          </w:p>
        </w:tc>
        <w:tc>
          <w:tcPr>
            <w:tcW w:w="888" w:type="dxa"/>
            <w:tcBorders>
              <w:top w:val="single" w:sz="4" w:space="0" w:color="auto"/>
              <w:left w:val="nil"/>
              <w:bottom w:val="nil"/>
              <w:right w:val="nil"/>
            </w:tcBorders>
            <w:shd w:val="clear" w:color="auto" w:fill="F3F9FA"/>
            <w:noWrap/>
            <w:vAlign w:val="bottom"/>
            <w:hideMark/>
          </w:tcPr>
          <w:p w14:paraId="58E2CA0F" w14:textId="078B74BE" w:rsidR="003252FD" w:rsidRPr="003252FD" w:rsidRDefault="003252FD" w:rsidP="003252FD">
            <w:pPr>
              <w:spacing w:before="0" w:after="0"/>
              <w:jc w:val="center"/>
              <w:rPr>
                <w:sz w:val="16"/>
                <w:szCs w:val="16"/>
              </w:rPr>
            </w:pPr>
            <w:r w:rsidRPr="003252FD">
              <w:rPr>
                <w:sz w:val="16"/>
                <w:szCs w:val="16"/>
              </w:rPr>
              <w:t>34.1</w:t>
            </w:r>
          </w:p>
        </w:tc>
        <w:tc>
          <w:tcPr>
            <w:tcW w:w="888" w:type="dxa"/>
            <w:tcBorders>
              <w:top w:val="single" w:sz="4" w:space="0" w:color="auto"/>
              <w:left w:val="nil"/>
              <w:bottom w:val="nil"/>
              <w:right w:val="nil"/>
            </w:tcBorders>
            <w:shd w:val="clear" w:color="auto" w:fill="F3F9FA"/>
            <w:noWrap/>
            <w:vAlign w:val="bottom"/>
            <w:hideMark/>
          </w:tcPr>
          <w:p w14:paraId="0F6E76DF" w14:textId="0246559C" w:rsidR="003252FD" w:rsidRPr="003252FD" w:rsidRDefault="003252FD" w:rsidP="003252FD">
            <w:pPr>
              <w:spacing w:before="0" w:after="0"/>
              <w:jc w:val="center"/>
              <w:rPr>
                <w:sz w:val="16"/>
                <w:szCs w:val="16"/>
              </w:rPr>
            </w:pPr>
            <w:r w:rsidRPr="003252FD">
              <w:rPr>
                <w:sz w:val="16"/>
                <w:szCs w:val="16"/>
              </w:rPr>
              <w:t>54</w:t>
            </w:r>
          </w:p>
        </w:tc>
        <w:tc>
          <w:tcPr>
            <w:tcW w:w="571" w:type="dxa"/>
            <w:tcBorders>
              <w:top w:val="single" w:sz="4" w:space="0" w:color="auto"/>
              <w:left w:val="nil"/>
              <w:bottom w:val="nil"/>
              <w:right w:val="nil"/>
            </w:tcBorders>
            <w:shd w:val="clear" w:color="auto" w:fill="F3F9FA"/>
            <w:noWrap/>
            <w:vAlign w:val="bottom"/>
            <w:hideMark/>
          </w:tcPr>
          <w:p w14:paraId="1BD2FF30" w14:textId="703FA595" w:rsidR="003252FD" w:rsidRPr="003252FD" w:rsidRDefault="003252FD" w:rsidP="003252FD">
            <w:pPr>
              <w:spacing w:before="0" w:after="0"/>
              <w:jc w:val="center"/>
              <w:rPr>
                <w:sz w:val="16"/>
                <w:szCs w:val="16"/>
              </w:rPr>
            </w:pPr>
            <w:r w:rsidRPr="003252FD">
              <w:rPr>
                <w:sz w:val="16"/>
                <w:szCs w:val="16"/>
              </w:rPr>
              <w:t>25</w:t>
            </w:r>
          </w:p>
        </w:tc>
      </w:tr>
      <w:tr w:rsidR="003252FD" w:rsidRPr="00C77EEA" w14:paraId="4BC80228" w14:textId="77777777" w:rsidTr="0091359C">
        <w:trPr>
          <w:jc w:val="center"/>
        </w:trPr>
        <w:tc>
          <w:tcPr>
            <w:tcW w:w="1539" w:type="dxa"/>
          </w:tcPr>
          <w:p w14:paraId="470EF815" w14:textId="77777777" w:rsidR="003252FD" w:rsidRPr="00C77EEA" w:rsidRDefault="003252FD" w:rsidP="003252FD">
            <w:pPr>
              <w:spacing w:before="0" w:after="0"/>
              <w:rPr>
                <w:sz w:val="16"/>
                <w:szCs w:val="16"/>
              </w:rPr>
            </w:pPr>
          </w:p>
        </w:tc>
        <w:tc>
          <w:tcPr>
            <w:tcW w:w="1229" w:type="dxa"/>
            <w:noWrap/>
            <w:vAlign w:val="bottom"/>
          </w:tcPr>
          <w:p w14:paraId="24501958" w14:textId="77777777" w:rsidR="003252FD" w:rsidRPr="00C77EEA" w:rsidRDefault="003252FD" w:rsidP="003252FD">
            <w:pPr>
              <w:spacing w:before="0" w:after="0"/>
              <w:rPr>
                <w:sz w:val="16"/>
                <w:szCs w:val="16"/>
              </w:rPr>
            </w:pPr>
          </w:p>
        </w:tc>
        <w:tc>
          <w:tcPr>
            <w:tcW w:w="564" w:type="dxa"/>
            <w:shd w:val="clear" w:color="auto" w:fill="F3F9FA"/>
            <w:noWrap/>
            <w:vAlign w:val="bottom"/>
            <w:hideMark/>
          </w:tcPr>
          <w:p w14:paraId="2FE90509" w14:textId="77777777" w:rsidR="003252FD" w:rsidRPr="00C77EEA" w:rsidRDefault="003252FD" w:rsidP="003252FD">
            <w:pPr>
              <w:spacing w:before="0" w:after="0"/>
              <w:jc w:val="center"/>
              <w:rPr>
                <w:sz w:val="16"/>
                <w:szCs w:val="16"/>
              </w:rPr>
            </w:pPr>
            <w:r w:rsidRPr="00C77EEA">
              <w:rPr>
                <w:sz w:val="16"/>
                <w:szCs w:val="16"/>
              </w:rPr>
              <w:t>UG1</w:t>
            </w:r>
          </w:p>
        </w:tc>
        <w:tc>
          <w:tcPr>
            <w:tcW w:w="951" w:type="dxa"/>
            <w:shd w:val="clear" w:color="auto" w:fill="F3F9FA"/>
            <w:noWrap/>
            <w:vAlign w:val="bottom"/>
            <w:hideMark/>
          </w:tcPr>
          <w:p w14:paraId="1972E95D" w14:textId="084266FF" w:rsidR="003252FD" w:rsidRPr="00C77EEA" w:rsidRDefault="003252FD" w:rsidP="003252FD">
            <w:pPr>
              <w:spacing w:before="0" w:after="0"/>
              <w:jc w:val="center"/>
              <w:rPr>
                <w:sz w:val="16"/>
                <w:szCs w:val="16"/>
              </w:rPr>
            </w:pPr>
            <w:r>
              <w:rPr>
                <w:sz w:val="16"/>
                <w:szCs w:val="16"/>
              </w:rPr>
              <w:t>01-Apr-17</w:t>
            </w:r>
          </w:p>
        </w:tc>
        <w:tc>
          <w:tcPr>
            <w:tcW w:w="815" w:type="dxa"/>
            <w:shd w:val="clear" w:color="auto" w:fill="F3F9FA"/>
            <w:noWrap/>
            <w:vAlign w:val="bottom"/>
          </w:tcPr>
          <w:p w14:paraId="686F4603" w14:textId="6FB1F9BA" w:rsidR="003252FD" w:rsidRPr="003252FD" w:rsidRDefault="003252FD" w:rsidP="003252FD">
            <w:pPr>
              <w:spacing w:before="0" w:after="0"/>
              <w:jc w:val="center"/>
              <w:rPr>
                <w:sz w:val="16"/>
                <w:szCs w:val="16"/>
              </w:rPr>
            </w:pPr>
            <w:r w:rsidRPr="003252FD">
              <w:rPr>
                <w:sz w:val="16"/>
                <w:szCs w:val="16"/>
              </w:rPr>
              <w:t>23.2</w:t>
            </w:r>
          </w:p>
        </w:tc>
        <w:tc>
          <w:tcPr>
            <w:tcW w:w="823" w:type="dxa"/>
            <w:shd w:val="clear" w:color="auto" w:fill="F3F9FA"/>
            <w:noWrap/>
            <w:vAlign w:val="bottom"/>
          </w:tcPr>
          <w:p w14:paraId="0FDDC7E5" w14:textId="69921788" w:rsidR="003252FD" w:rsidRPr="003252FD" w:rsidRDefault="003252FD" w:rsidP="003252FD">
            <w:pPr>
              <w:spacing w:before="0" w:after="0"/>
              <w:jc w:val="center"/>
              <w:rPr>
                <w:sz w:val="16"/>
                <w:szCs w:val="16"/>
              </w:rPr>
            </w:pPr>
            <w:r w:rsidRPr="003252FD">
              <w:rPr>
                <w:sz w:val="16"/>
                <w:szCs w:val="16"/>
              </w:rPr>
              <w:t>25</w:t>
            </w:r>
          </w:p>
        </w:tc>
        <w:tc>
          <w:tcPr>
            <w:tcW w:w="888" w:type="dxa"/>
            <w:shd w:val="clear" w:color="auto" w:fill="F3F9FA"/>
            <w:noWrap/>
            <w:vAlign w:val="bottom"/>
            <w:hideMark/>
          </w:tcPr>
          <w:p w14:paraId="4A4A57C2" w14:textId="51932744" w:rsidR="003252FD" w:rsidRPr="003252FD" w:rsidRDefault="003252FD" w:rsidP="003252FD">
            <w:pPr>
              <w:spacing w:before="0" w:after="0"/>
              <w:jc w:val="center"/>
              <w:rPr>
                <w:sz w:val="16"/>
                <w:szCs w:val="16"/>
              </w:rPr>
            </w:pPr>
            <w:r w:rsidRPr="003252FD">
              <w:rPr>
                <w:sz w:val="16"/>
                <w:szCs w:val="16"/>
              </w:rPr>
              <w:t>18</w:t>
            </w:r>
          </w:p>
        </w:tc>
        <w:tc>
          <w:tcPr>
            <w:tcW w:w="888" w:type="dxa"/>
            <w:shd w:val="clear" w:color="auto" w:fill="F3F9FA"/>
            <w:noWrap/>
            <w:vAlign w:val="bottom"/>
            <w:hideMark/>
          </w:tcPr>
          <w:p w14:paraId="211596D4" w14:textId="299E2CA8" w:rsidR="003252FD" w:rsidRPr="003252FD" w:rsidRDefault="003252FD" w:rsidP="003252FD">
            <w:pPr>
              <w:spacing w:before="0" w:after="0"/>
              <w:jc w:val="center"/>
              <w:rPr>
                <w:sz w:val="16"/>
                <w:szCs w:val="16"/>
              </w:rPr>
            </w:pPr>
            <w:r w:rsidRPr="003252FD">
              <w:rPr>
                <w:sz w:val="16"/>
                <w:szCs w:val="16"/>
              </w:rPr>
              <w:t>34.1</w:t>
            </w:r>
          </w:p>
        </w:tc>
        <w:tc>
          <w:tcPr>
            <w:tcW w:w="888" w:type="dxa"/>
            <w:shd w:val="clear" w:color="auto" w:fill="F3F9FA"/>
            <w:noWrap/>
            <w:vAlign w:val="bottom"/>
            <w:hideMark/>
          </w:tcPr>
          <w:p w14:paraId="54480554" w14:textId="645E18E1" w:rsidR="003252FD" w:rsidRPr="003252FD" w:rsidRDefault="003252FD" w:rsidP="003252FD">
            <w:pPr>
              <w:spacing w:before="0" w:after="0"/>
              <w:jc w:val="center"/>
              <w:rPr>
                <w:sz w:val="16"/>
                <w:szCs w:val="16"/>
              </w:rPr>
            </w:pPr>
            <w:r w:rsidRPr="003252FD">
              <w:rPr>
                <w:sz w:val="16"/>
                <w:szCs w:val="16"/>
              </w:rPr>
              <w:t>54</w:t>
            </w:r>
          </w:p>
        </w:tc>
        <w:tc>
          <w:tcPr>
            <w:tcW w:w="571" w:type="dxa"/>
            <w:shd w:val="clear" w:color="auto" w:fill="F3F9FA"/>
            <w:noWrap/>
            <w:vAlign w:val="bottom"/>
            <w:hideMark/>
          </w:tcPr>
          <w:p w14:paraId="6A0137D6" w14:textId="16DB2E83" w:rsidR="003252FD" w:rsidRPr="003252FD" w:rsidRDefault="003252FD" w:rsidP="003252FD">
            <w:pPr>
              <w:spacing w:before="0" w:after="0"/>
              <w:jc w:val="center"/>
              <w:rPr>
                <w:sz w:val="16"/>
                <w:szCs w:val="16"/>
              </w:rPr>
            </w:pPr>
            <w:r w:rsidRPr="003252FD">
              <w:rPr>
                <w:sz w:val="16"/>
                <w:szCs w:val="16"/>
              </w:rPr>
              <w:t>50</w:t>
            </w:r>
          </w:p>
        </w:tc>
      </w:tr>
      <w:tr w:rsidR="003252FD" w:rsidRPr="00C77EEA" w14:paraId="051AF237" w14:textId="77777777" w:rsidTr="0091359C">
        <w:trPr>
          <w:jc w:val="center"/>
        </w:trPr>
        <w:tc>
          <w:tcPr>
            <w:tcW w:w="1539" w:type="dxa"/>
          </w:tcPr>
          <w:p w14:paraId="53078435" w14:textId="77777777" w:rsidR="003252FD" w:rsidRPr="00C77EEA" w:rsidRDefault="003252FD" w:rsidP="003252FD">
            <w:pPr>
              <w:spacing w:before="0" w:after="0"/>
              <w:rPr>
                <w:sz w:val="16"/>
                <w:szCs w:val="16"/>
              </w:rPr>
            </w:pPr>
          </w:p>
        </w:tc>
        <w:tc>
          <w:tcPr>
            <w:tcW w:w="1229" w:type="dxa"/>
            <w:noWrap/>
            <w:vAlign w:val="bottom"/>
          </w:tcPr>
          <w:p w14:paraId="6267D0A0" w14:textId="77777777" w:rsidR="003252FD" w:rsidRPr="00C77EEA" w:rsidRDefault="003252FD" w:rsidP="003252FD">
            <w:pPr>
              <w:spacing w:before="0" w:after="0"/>
              <w:rPr>
                <w:sz w:val="16"/>
                <w:szCs w:val="16"/>
              </w:rPr>
            </w:pPr>
          </w:p>
        </w:tc>
        <w:tc>
          <w:tcPr>
            <w:tcW w:w="564" w:type="dxa"/>
            <w:shd w:val="clear" w:color="auto" w:fill="F3F9FA"/>
            <w:noWrap/>
            <w:vAlign w:val="bottom"/>
            <w:hideMark/>
          </w:tcPr>
          <w:p w14:paraId="43BB6F21" w14:textId="77777777" w:rsidR="003252FD" w:rsidRPr="00C77EEA" w:rsidRDefault="003252FD" w:rsidP="003252FD">
            <w:pPr>
              <w:spacing w:before="0" w:after="0"/>
              <w:jc w:val="center"/>
              <w:rPr>
                <w:sz w:val="16"/>
                <w:szCs w:val="16"/>
              </w:rPr>
            </w:pPr>
            <w:r w:rsidRPr="00C77EEA">
              <w:rPr>
                <w:sz w:val="16"/>
                <w:szCs w:val="16"/>
              </w:rPr>
              <w:t>UG2</w:t>
            </w:r>
          </w:p>
        </w:tc>
        <w:tc>
          <w:tcPr>
            <w:tcW w:w="951" w:type="dxa"/>
            <w:shd w:val="clear" w:color="auto" w:fill="F3F9FA"/>
            <w:noWrap/>
            <w:vAlign w:val="bottom"/>
            <w:hideMark/>
          </w:tcPr>
          <w:p w14:paraId="08A31923" w14:textId="4057F8B1" w:rsidR="003252FD" w:rsidRPr="00C77EEA" w:rsidRDefault="003252FD" w:rsidP="003252FD">
            <w:pPr>
              <w:spacing w:before="0" w:after="0"/>
              <w:jc w:val="center"/>
              <w:rPr>
                <w:sz w:val="16"/>
                <w:szCs w:val="16"/>
              </w:rPr>
            </w:pPr>
            <w:r>
              <w:rPr>
                <w:sz w:val="16"/>
                <w:szCs w:val="16"/>
              </w:rPr>
              <w:t>01-Oct-16</w:t>
            </w:r>
          </w:p>
        </w:tc>
        <w:tc>
          <w:tcPr>
            <w:tcW w:w="815" w:type="dxa"/>
            <w:shd w:val="clear" w:color="auto" w:fill="F3F9FA"/>
            <w:noWrap/>
            <w:vAlign w:val="bottom"/>
          </w:tcPr>
          <w:p w14:paraId="74080683" w14:textId="5895F00B" w:rsidR="003252FD" w:rsidRPr="003252FD" w:rsidRDefault="003252FD" w:rsidP="003252FD">
            <w:pPr>
              <w:spacing w:before="0" w:after="0"/>
              <w:jc w:val="center"/>
              <w:rPr>
                <w:sz w:val="16"/>
                <w:szCs w:val="16"/>
              </w:rPr>
            </w:pPr>
            <w:r w:rsidRPr="003252FD">
              <w:rPr>
                <w:sz w:val="16"/>
                <w:szCs w:val="16"/>
              </w:rPr>
              <w:t>22.5</w:t>
            </w:r>
          </w:p>
        </w:tc>
        <w:tc>
          <w:tcPr>
            <w:tcW w:w="823" w:type="dxa"/>
            <w:shd w:val="clear" w:color="auto" w:fill="F3F9FA"/>
            <w:noWrap/>
            <w:vAlign w:val="bottom"/>
          </w:tcPr>
          <w:p w14:paraId="72EED5A2" w14:textId="683F9EE0" w:rsidR="003252FD" w:rsidRPr="003252FD" w:rsidRDefault="003252FD" w:rsidP="003252FD">
            <w:pPr>
              <w:spacing w:before="0" w:after="0"/>
              <w:jc w:val="center"/>
              <w:rPr>
                <w:sz w:val="16"/>
                <w:szCs w:val="16"/>
              </w:rPr>
            </w:pPr>
            <w:r w:rsidRPr="003252FD">
              <w:rPr>
                <w:sz w:val="16"/>
                <w:szCs w:val="16"/>
              </w:rPr>
              <w:t>26</w:t>
            </w:r>
          </w:p>
        </w:tc>
        <w:tc>
          <w:tcPr>
            <w:tcW w:w="888" w:type="dxa"/>
            <w:shd w:val="clear" w:color="auto" w:fill="F3F9FA"/>
            <w:noWrap/>
            <w:vAlign w:val="bottom"/>
            <w:hideMark/>
          </w:tcPr>
          <w:p w14:paraId="4F86A668" w14:textId="14F0DFB0" w:rsidR="003252FD" w:rsidRPr="003252FD" w:rsidRDefault="003252FD" w:rsidP="003252FD">
            <w:pPr>
              <w:spacing w:before="0" w:after="0"/>
              <w:jc w:val="center"/>
              <w:rPr>
                <w:sz w:val="16"/>
                <w:szCs w:val="16"/>
              </w:rPr>
            </w:pPr>
            <w:r w:rsidRPr="003252FD">
              <w:rPr>
                <w:sz w:val="16"/>
                <w:szCs w:val="16"/>
              </w:rPr>
              <w:t>18</w:t>
            </w:r>
          </w:p>
        </w:tc>
        <w:tc>
          <w:tcPr>
            <w:tcW w:w="888" w:type="dxa"/>
            <w:shd w:val="clear" w:color="auto" w:fill="F3F9FA"/>
            <w:noWrap/>
            <w:vAlign w:val="bottom"/>
            <w:hideMark/>
          </w:tcPr>
          <w:p w14:paraId="7BAAB5AD" w14:textId="6B7B36D5" w:rsidR="003252FD" w:rsidRPr="003252FD" w:rsidRDefault="003252FD" w:rsidP="003252FD">
            <w:pPr>
              <w:spacing w:before="0" w:after="0"/>
              <w:jc w:val="center"/>
              <w:rPr>
                <w:sz w:val="16"/>
                <w:szCs w:val="16"/>
              </w:rPr>
            </w:pPr>
            <w:r w:rsidRPr="003252FD">
              <w:rPr>
                <w:sz w:val="16"/>
                <w:szCs w:val="16"/>
              </w:rPr>
              <w:t>34.1</w:t>
            </w:r>
          </w:p>
        </w:tc>
        <w:tc>
          <w:tcPr>
            <w:tcW w:w="888" w:type="dxa"/>
            <w:shd w:val="clear" w:color="auto" w:fill="F3F9FA"/>
            <w:noWrap/>
            <w:vAlign w:val="bottom"/>
            <w:hideMark/>
          </w:tcPr>
          <w:p w14:paraId="5F089C24" w14:textId="4922F430" w:rsidR="003252FD" w:rsidRPr="003252FD" w:rsidRDefault="003252FD" w:rsidP="003252FD">
            <w:pPr>
              <w:spacing w:before="0" w:after="0"/>
              <w:jc w:val="center"/>
              <w:rPr>
                <w:sz w:val="16"/>
                <w:szCs w:val="16"/>
              </w:rPr>
            </w:pPr>
            <w:r w:rsidRPr="003252FD">
              <w:rPr>
                <w:sz w:val="16"/>
                <w:szCs w:val="16"/>
              </w:rPr>
              <w:t>54</w:t>
            </w:r>
          </w:p>
        </w:tc>
        <w:tc>
          <w:tcPr>
            <w:tcW w:w="571" w:type="dxa"/>
            <w:shd w:val="clear" w:color="auto" w:fill="F3F9FA"/>
            <w:noWrap/>
            <w:vAlign w:val="bottom"/>
          </w:tcPr>
          <w:p w14:paraId="685AF94D" w14:textId="310D0EAC" w:rsidR="003252FD" w:rsidRPr="003252FD" w:rsidRDefault="003252FD" w:rsidP="003252FD">
            <w:pPr>
              <w:spacing w:before="0" w:after="0"/>
              <w:jc w:val="center"/>
              <w:rPr>
                <w:sz w:val="16"/>
                <w:szCs w:val="16"/>
              </w:rPr>
            </w:pPr>
            <w:r w:rsidRPr="003252FD">
              <w:rPr>
                <w:sz w:val="16"/>
                <w:szCs w:val="16"/>
              </w:rPr>
              <w:t>50</w:t>
            </w:r>
          </w:p>
        </w:tc>
      </w:tr>
      <w:tr w:rsidR="003252FD" w:rsidRPr="00C77EEA" w14:paraId="26EE07F8" w14:textId="77777777" w:rsidTr="0091359C">
        <w:trPr>
          <w:jc w:val="center"/>
        </w:trPr>
        <w:tc>
          <w:tcPr>
            <w:tcW w:w="1539" w:type="dxa"/>
            <w:tcBorders>
              <w:top w:val="nil"/>
              <w:left w:val="nil"/>
              <w:bottom w:val="single" w:sz="4" w:space="0" w:color="auto"/>
              <w:right w:val="nil"/>
            </w:tcBorders>
          </w:tcPr>
          <w:p w14:paraId="75CAE964" w14:textId="77777777" w:rsidR="003252FD" w:rsidRPr="00C77EEA" w:rsidRDefault="003252FD" w:rsidP="003252FD">
            <w:pPr>
              <w:spacing w:before="0" w:after="0"/>
              <w:rPr>
                <w:sz w:val="16"/>
                <w:szCs w:val="16"/>
              </w:rPr>
            </w:pPr>
          </w:p>
        </w:tc>
        <w:tc>
          <w:tcPr>
            <w:tcW w:w="1229" w:type="dxa"/>
            <w:tcBorders>
              <w:top w:val="nil"/>
              <w:left w:val="nil"/>
              <w:bottom w:val="single" w:sz="4" w:space="0" w:color="auto"/>
              <w:right w:val="nil"/>
            </w:tcBorders>
            <w:noWrap/>
            <w:vAlign w:val="bottom"/>
          </w:tcPr>
          <w:p w14:paraId="04689120" w14:textId="77777777" w:rsidR="003252FD" w:rsidRPr="00C77EEA" w:rsidRDefault="003252FD" w:rsidP="003252FD">
            <w:pPr>
              <w:spacing w:before="0" w:after="0"/>
              <w:rPr>
                <w:sz w:val="16"/>
                <w:szCs w:val="16"/>
              </w:rPr>
            </w:pPr>
          </w:p>
        </w:tc>
        <w:tc>
          <w:tcPr>
            <w:tcW w:w="564" w:type="dxa"/>
            <w:tcBorders>
              <w:top w:val="nil"/>
              <w:left w:val="nil"/>
              <w:bottom w:val="single" w:sz="4" w:space="0" w:color="auto"/>
              <w:right w:val="nil"/>
            </w:tcBorders>
            <w:shd w:val="clear" w:color="auto" w:fill="F3F9FA"/>
            <w:noWrap/>
            <w:vAlign w:val="bottom"/>
            <w:hideMark/>
          </w:tcPr>
          <w:p w14:paraId="3A942C67" w14:textId="77777777" w:rsidR="003252FD" w:rsidRPr="00C77EEA" w:rsidRDefault="003252FD" w:rsidP="003252FD">
            <w:pPr>
              <w:spacing w:before="0" w:after="0"/>
              <w:jc w:val="center"/>
              <w:rPr>
                <w:sz w:val="16"/>
                <w:szCs w:val="16"/>
              </w:rPr>
            </w:pPr>
            <w:r w:rsidRPr="00C77EEA">
              <w:rPr>
                <w:sz w:val="16"/>
                <w:szCs w:val="16"/>
              </w:rPr>
              <w:t>UG2</w:t>
            </w:r>
          </w:p>
        </w:tc>
        <w:tc>
          <w:tcPr>
            <w:tcW w:w="951" w:type="dxa"/>
            <w:tcBorders>
              <w:top w:val="nil"/>
              <w:left w:val="nil"/>
              <w:bottom w:val="single" w:sz="4" w:space="0" w:color="auto"/>
              <w:right w:val="nil"/>
            </w:tcBorders>
            <w:shd w:val="clear" w:color="auto" w:fill="F3F9FA"/>
            <w:noWrap/>
            <w:vAlign w:val="bottom"/>
            <w:hideMark/>
          </w:tcPr>
          <w:p w14:paraId="61783299" w14:textId="4D6B4A0A" w:rsidR="003252FD" w:rsidRPr="00C77EEA" w:rsidRDefault="003252FD" w:rsidP="003252FD">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F3F9FA"/>
            <w:noWrap/>
            <w:vAlign w:val="bottom"/>
          </w:tcPr>
          <w:p w14:paraId="5B3A06D9" w14:textId="4D4C1641" w:rsidR="003252FD" w:rsidRPr="003252FD" w:rsidRDefault="003252FD" w:rsidP="003252FD">
            <w:pPr>
              <w:spacing w:before="0" w:after="0"/>
              <w:jc w:val="center"/>
              <w:rPr>
                <w:sz w:val="16"/>
                <w:szCs w:val="16"/>
              </w:rPr>
            </w:pPr>
            <w:r w:rsidRPr="003252FD">
              <w:rPr>
                <w:sz w:val="16"/>
                <w:szCs w:val="16"/>
              </w:rPr>
              <w:t>26.5</w:t>
            </w:r>
          </w:p>
        </w:tc>
        <w:tc>
          <w:tcPr>
            <w:tcW w:w="823" w:type="dxa"/>
            <w:tcBorders>
              <w:top w:val="nil"/>
              <w:left w:val="nil"/>
              <w:bottom w:val="single" w:sz="4" w:space="0" w:color="auto"/>
              <w:right w:val="nil"/>
            </w:tcBorders>
            <w:shd w:val="clear" w:color="auto" w:fill="F3F9FA"/>
            <w:noWrap/>
            <w:vAlign w:val="bottom"/>
          </w:tcPr>
          <w:p w14:paraId="5C25A8EB" w14:textId="13F1D23B" w:rsidR="003252FD" w:rsidRPr="003252FD" w:rsidRDefault="003252FD" w:rsidP="003252FD">
            <w:pPr>
              <w:spacing w:before="0" w:after="0"/>
              <w:jc w:val="center"/>
              <w:rPr>
                <w:sz w:val="16"/>
                <w:szCs w:val="16"/>
              </w:rPr>
            </w:pPr>
            <w:r w:rsidRPr="003252FD">
              <w:rPr>
                <w:sz w:val="16"/>
                <w:szCs w:val="16"/>
              </w:rPr>
              <w:t>31</w:t>
            </w:r>
          </w:p>
        </w:tc>
        <w:tc>
          <w:tcPr>
            <w:tcW w:w="888" w:type="dxa"/>
            <w:tcBorders>
              <w:top w:val="nil"/>
              <w:left w:val="nil"/>
              <w:bottom w:val="single" w:sz="4" w:space="0" w:color="auto"/>
              <w:right w:val="nil"/>
            </w:tcBorders>
            <w:shd w:val="clear" w:color="auto" w:fill="F3F9FA"/>
            <w:noWrap/>
            <w:vAlign w:val="bottom"/>
            <w:hideMark/>
          </w:tcPr>
          <w:p w14:paraId="2BCE2367" w14:textId="0280CAAB" w:rsidR="003252FD" w:rsidRPr="003252FD" w:rsidRDefault="003252FD" w:rsidP="003252FD">
            <w:pPr>
              <w:spacing w:before="0" w:after="0"/>
              <w:jc w:val="center"/>
              <w:rPr>
                <w:sz w:val="16"/>
                <w:szCs w:val="16"/>
              </w:rPr>
            </w:pPr>
            <w:r w:rsidRPr="003252FD">
              <w:rPr>
                <w:sz w:val="16"/>
                <w:szCs w:val="16"/>
              </w:rPr>
              <w:t>18</w:t>
            </w:r>
          </w:p>
        </w:tc>
        <w:tc>
          <w:tcPr>
            <w:tcW w:w="888" w:type="dxa"/>
            <w:tcBorders>
              <w:top w:val="nil"/>
              <w:left w:val="nil"/>
              <w:bottom w:val="single" w:sz="4" w:space="0" w:color="auto"/>
              <w:right w:val="nil"/>
            </w:tcBorders>
            <w:shd w:val="clear" w:color="auto" w:fill="F3F9FA"/>
            <w:noWrap/>
            <w:vAlign w:val="bottom"/>
            <w:hideMark/>
          </w:tcPr>
          <w:p w14:paraId="1E30ECB4" w14:textId="683B5BEE" w:rsidR="003252FD" w:rsidRPr="003252FD" w:rsidRDefault="003252FD" w:rsidP="003252FD">
            <w:pPr>
              <w:spacing w:before="0" w:after="0"/>
              <w:jc w:val="center"/>
              <w:rPr>
                <w:sz w:val="16"/>
                <w:szCs w:val="16"/>
              </w:rPr>
            </w:pPr>
            <w:r w:rsidRPr="003252FD">
              <w:rPr>
                <w:sz w:val="16"/>
                <w:szCs w:val="16"/>
              </w:rPr>
              <w:t>34.1</w:t>
            </w:r>
          </w:p>
        </w:tc>
        <w:tc>
          <w:tcPr>
            <w:tcW w:w="888" w:type="dxa"/>
            <w:tcBorders>
              <w:top w:val="nil"/>
              <w:left w:val="nil"/>
              <w:bottom w:val="single" w:sz="4" w:space="0" w:color="auto"/>
              <w:right w:val="nil"/>
            </w:tcBorders>
            <w:shd w:val="clear" w:color="auto" w:fill="F3F9FA"/>
            <w:noWrap/>
            <w:vAlign w:val="bottom"/>
            <w:hideMark/>
          </w:tcPr>
          <w:p w14:paraId="55F57767" w14:textId="4069BC7E" w:rsidR="003252FD" w:rsidRPr="003252FD" w:rsidRDefault="003252FD" w:rsidP="003252FD">
            <w:pPr>
              <w:spacing w:before="0" w:after="0"/>
              <w:jc w:val="center"/>
              <w:rPr>
                <w:sz w:val="16"/>
                <w:szCs w:val="16"/>
              </w:rPr>
            </w:pPr>
            <w:r w:rsidRPr="003252FD">
              <w:rPr>
                <w:sz w:val="16"/>
                <w:szCs w:val="16"/>
              </w:rPr>
              <w:t>54</w:t>
            </w:r>
          </w:p>
        </w:tc>
        <w:tc>
          <w:tcPr>
            <w:tcW w:w="571" w:type="dxa"/>
            <w:tcBorders>
              <w:top w:val="nil"/>
              <w:left w:val="nil"/>
              <w:bottom w:val="single" w:sz="4" w:space="0" w:color="auto"/>
              <w:right w:val="nil"/>
            </w:tcBorders>
            <w:shd w:val="clear" w:color="auto" w:fill="F3F9FA"/>
            <w:noWrap/>
            <w:vAlign w:val="bottom"/>
          </w:tcPr>
          <w:p w14:paraId="44F2853B" w14:textId="13F5AFEC" w:rsidR="003252FD" w:rsidRPr="003252FD" w:rsidRDefault="003252FD" w:rsidP="003252FD">
            <w:pPr>
              <w:spacing w:before="0" w:after="0"/>
              <w:jc w:val="center"/>
              <w:rPr>
                <w:sz w:val="16"/>
                <w:szCs w:val="16"/>
              </w:rPr>
            </w:pPr>
            <w:r w:rsidRPr="003252FD">
              <w:rPr>
                <w:sz w:val="16"/>
                <w:szCs w:val="16"/>
              </w:rPr>
              <w:t>50</w:t>
            </w:r>
          </w:p>
        </w:tc>
      </w:tr>
      <w:tr w:rsidR="003252FD" w:rsidRPr="00D611F9" w14:paraId="6CF70C9A" w14:textId="77777777" w:rsidTr="0091359C">
        <w:trPr>
          <w:jc w:val="center"/>
        </w:trPr>
        <w:tc>
          <w:tcPr>
            <w:tcW w:w="1539" w:type="dxa"/>
            <w:tcBorders>
              <w:top w:val="single" w:sz="4" w:space="0" w:color="auto"/>
              <w:left w:val="nil"/>
              <w:bottom w:val="nil"/>
              <w:right w:val="nil"/>
            </w:tcBorders>
            <w:hideMark/>
          </w:tcPr>
          <w:p w14:paraId="14B47F47" w14:textId="77777777" w:rsidR="003252FD" w:rsidRPr="00D611F9" w:rsidRDefault="003252FD" w:rsidP="003252FD">
            <w:pPr>
              <w:spacing w:before="0" w:after="0"/>
              <w:rPr>
                <w:sz w:val="16"/>
                <w:szCs w:val="16"/>
              </w:rPr>
            </w:pPr>
            <w:r w:rsidRPr="00D611F9">
              <w:rPr>
                <w:sz w:val="16"/>
                <w:szCs w:val="16"/>
              </w:rPr>
              <w:t>coastal intertidal</w:t>
            </w:r>
          </w:p>
        </w:tc>
        <w:tc>
          <w:tcPr>
            <w:tcW w:w="1229" w:type="dxa"/>
            <w:tcBorders>
              <w:top w:val="single" w:sz="4" w:space="0" w:color="auto"/>
              <w:left w:val="nil"/>
              <w:bottom w:val="nil"/>
              <w:right w:val="nil"/>
            </w:tcBorders>
            <w:noWrap/>
            <w:vAlign w:val="bottom"/>
            <w:hideMark/>
          </w:tcPr>
          <w:p w14:paraId="6B837386" w14:textId="77777777" w:rsidR="003252FD" w:rsidRPr="00D611F9" w:rsidRDefault="003252FD" w:rsidP="003252FD">
            <w:pPr>
              <w:spacing w:before="0" w:after="0"/>
              <w:rPr>
                <w:sz w:val="16"/>
                <w:szCs w:val="16"/>
              </w:rPr>
            </w:pPr>
            <w:r w:rsidRPr="00D611F9">
              <w:rPr>
                <w:sz w:val="16"/>
                <w:szCs w:val="16"/>
              </w:rPr>
              <w:t>Burrum Heads</w:t>
            </w:r>
          </w:p>
        </w:tc>
        <w:tc>
          <w:tcPr>
            <w:tcW w:w="564" w:type="dxa"/>
            <w:tcBorders>
              <w:top w:val="single" w:sz="4" w:space="0" w:color="auto"/>
              <w:left w:val="nil"/>
              <w:bottom w:val="nil"/>
              <w:right w:val="nil"/>
            </w:tcBorders>
            <w:shd w:val="clear" w:color="auto" w:fill="E7F3F4"/>
            <w:noWrap/>
            <w:vAlign w:val="bottom"/>
            <w:hideMark/>
          </w:tcPr>
          <w:p w14:paraId="2CF3C661" w14:textId="77777777" w:rsidR="003252FD" w:rsidRPr="00D611F9" w:rsidRDefault="003252FD" w:rsidP="003252FD">
            <w:pPr>
              <w:spacing w:before="0" w:after="0"/>
              <w:jc w:val="center"/>
              <w:rPr>
                <w:sz w:val="16"/>
                <w:szCs w:val="16"/>
              </w:rPr>
            </w:pPr>
            <w:r w:rsidRPr="00D611F9">
              <w:rPr>
                <w:sz w:val="16"/>
                <w:szCs w:val="16"/>
              </w:rPr>
              <w:t>BH1</w:t>
            </w:r>
            <w:r>
              <w:rPr>
                <w:sz w:val="16"/>
                <w:szCs w:val="16"/>
              </w:rPr>
              <w:t>^</w:t>
            </w:r>
          </w:p>
        </w:tc>
        <w:tc>
          <w:tcPr>
            <w:tcW w:w="951" w:type="dxa"/>
            <w:tcBorders>
              <w:top w:val="single" w:sz="4" w:space="0" w:color="auto"/>
              <w:left w:val="nil"/>
              <w:bottom w:val="nil"/>
              <w:right w:val="nil"/>
            </w:tcBorders>
            <w:shd w:val="clear" w:color="auto" w:fill="E7F3F4"/>
            <w:noWrap/>
            <w:vAlign w:val="bottom"/>
          </w:tcPr>
          <w:p w14:paraId="1F0E43E4" w14:textId="55CD987F" w:rsidR="003252FD" w:rsidRPr="00C77EEA" w:rsidRDefault="003252FD" w:rsidP="003252FD">
            <w:pPr>
              <w:spacing w:before="0" w:after="0"/>
              <w:jc w:val="center"/>
              <w:rPr>
                <w:sz w:val="16"/>
                <w:szCs w:val="16"/>
              </w:rPr>
            </w:pPr>
            <w:r>
              <w:rPr>
                <w:sz w:val="16"/>
                <w:szCs w:val="16"/>
              </w:rPr>
              <w:t>01-Oct-16</w:t>
            </w:r>
          </w:p>
        </w:tc>
        <w:tc>
          <w:tcPr>
            <w:tcW w:w="815" w:type="dxa"/>
            <w:tcBorders>
              <w:top w:val="single" w:sz="4" w:space="0" w:color="auto"/>
              <w:left w:val="nil"/>
              <w:bottom w:val="nil"/>
              <w:right w:val="nil"/>
            </w:tcBorders>
            <w:shd w:val="clear" w:color="auto" w:fill="E7F3F4"/>
            <w:noWrap/>
            <w:vAlign w:val="bottom"/>
          </w:tcPr>
          <w:p w14:paraId="014F54B4" w14:textId="3493361A" w:rsidR="003252FD" w:rsidRPr="003252FD" w:rsidRDefault="003252FD" w:rsidP="003252FD">
            <w:pPr>
              <w:spacing w:before="0" w:after="0"/>
              <w:jc w:val="center"/>
              <w:rPr>
                <w:sz w:val="16"/>
                <w:szCs w:val="16"/>
              </w:rPr>
            </w:pPr>
            <w:r w:rsidRPr="003252FD">
              <w:rPr>
                <w:sz w:val="16"/>
                <w:szCs w:val="16"/>
              </w:rPr>
              <w:t>7.3</w:t>
            </w:r>
          </w:p>
        </w:tc>
        <w:tc>
          <w:tcPr>
            <w:tcW w:w="823" w:type="dxa"/>
            <w:tcBorders>
              <w:top w:val="single" w:sz="4" w:space="0" w:color="auto"/>
              <w:left w:val="nil"/>
              <w:bottom w:val="nil"/>
              <w:right w:val="nil"/>
            </w:tcBorders>
            <w:shd w:val="clear" w:color="auto" w:fill="E7F3F4"/>
            <w:noWrap/>
            <w:vAlign w:val="bottom"/>
          </w:tcPr>
          <w:p w14:paraId="5B712CD2" w14:textId="2C737145" w:rsidR="003252FD" w:rsidRPr="003252FD" w:rsidRDefault="003252FD" w:rsidP="003252FD">
            <w:pPr>
              <w:spacing w:before="0" w:after="0"/>
              <w:jc w:val="center"/>
              <w:rPr>
                <w:sz w:val="16"/>
                <w:szCs w:val="16"/>
              </w:rPr>
            </w:pPr>
            <w:r w:rsidRPr="003252FD">
              <w:rPr>
                <w:sz w:val="16"/>
                <w:szCs w:val="16"/>
              </w:rPr>
              <w:t>8</w:t>
            </w:r>
          </w:p>
        </w:tc>
        <w:tc>
          <w:tcPr>
            <w:tcW w:w="888" w:type="dxa"/>
            <w:tcBorders>
              <w:top w:val="single" w:sz="4" w:space="0" w:color="auto"/>
              <w:left w:val="nil"/>
              <w:bottom w:val="nil"/>
              <w:right w:val="nil"/>
            </w:tcBorders>
            <w:shd w:val="clear" w:color="auto" w:fill="E7F3F4"/>
            <w:noWrap/>
            <w:vAlign w:val="bottom"/>
            <w:hideMark/>
          </w:tcPr>
          <w:p w14:paraId="1FD14D4F" w14:textId="54035C7F" w:rsidR="003252FD" w:rsidRPr="003252FD" w:rsidRDefault="003252FD" w:rsidP="003252FD">
            <w:pPr>
              <w:spacing w:before="0" w:after="0"/>
              <w:jc w:val="center"/>
              <w:rPr>
                <w:sz w:val="16"/>
                <w:szCs w:val="16"/>
              </w:rPr>
            </w:pPr>
            <w:r w:rsidRPr="003252FD">
              <w:rPr>
                <w:sz w:val="16"/>
                <w:szCs w:val="16"/>
              </w:rPr>
              <w:t>7.8</w:t>
            </w:r>
          </w:p>
        </w:tc>
        <w:tc>
          <w:tcPr>
            <w:tcW w:w="888" w:type="dxa"/>
            <w:tcBorders>
              <w:top w:val="single" w:sz="4" w:space="0" w:color="auto"/>
              <w:left w:val="nil"/>
              <w:bottom w:val="nil"/>
              <w:right w:val="nil"/>
            </w:tcBorders>
            <w:shd w:val="clear" w:color="auto" w:fill="E7F3F4"/>
            <w:noWrap/>
            <w:vAlign w:val="bottom"/>
            <w:hideMark/>
          </w:tcPr>
          <w:p w14:paraId="3B8F868C" w14:textId="466EA4FC" w:rsidR="003252FD" w:rsidRPr="003252FD" w:rsidRDefault="003252FD" w:rsidP="003252FD">
            <w:pPr>
              <w:spacing w:before="0" w:after="0"/>
              <w:jc w:val="center"/>
              <w:rPr>
                <w:sz w:val="16"/>
                <w:szCs w:val="16"/>
              </w:rPr>
            </w:pPr>
            <w:r w:rsidRPr="003252FD">
              <w:rPr>
                <w:sz w:val="16"/>
                <w:szCs w:val="16"/>
              </w:rPr>
              <w:t>11.9</w:t>
            </w:r>
          </w:p>
        </w:tc>
        <w:tc>
          <w:tcPr>
            <w:tcW w:w="888" w:type="dxa"/>
            <w:tcBorders>
              <w:top w:val="single" w:sz="4" w:space="0" w:color="auto"/>
              <w:left w:val="nil"/>
              <w:bottom w:val="nil"/>
              <w:right w:val="nil"/>
            </w:tcBorders>
            <w:shd w:val="clear" w:color="auto" w:fill="E7F3F4"/>
            <w:noWrap/>
            <w:vAlign w:val="bottom"/>
            <w:hideMark/>
          </w:tcPr>
          <w:p w14:paraId="0C298134" w14:textId="571B9C02" w:rsidR="003252FD" w:rsidRPr="003252FD" w:rsidRDefault="003252FD" w:rsidP="003252FD">
            <w:pPr>
              <w:spacing w:before="0" w:after="0"/>
              <w:jc w:val="center"/>
              <w:rPr>
                <w:sz w:val="16"/>
                <w:szCs w:val="16"/>
              </w:rPr>
            </w:pPr>
            <w:r w:rsidRPr="003252FD">
              <w:rPr>
                <w:sz w:val="16"/>
                <w:szCs w:val="16"/>
              </w:rPr>
              <w:t>21.6</w:t>
            </w:r>
          </w:p>
        </w:tc>
        <w:tc>
          <w:tcPr>
            <w:tcW w:w="571" w:type="dxa"/>
            <w:tcBorders>
              <w:top w:val="single" w:sz="4" w:space="0" w:color="auto"/>
              <w:left w:val="nil"/>
              <w:bottom w:val="nil"/>
              <w:right w:val="nil"/>
            </w:tcBorders>
            <w:shd w:val="clear" w:color="auto" w:fill="E7F3F4"/>
            <w:noWrap/>
            <w:vAlign w:val="bottom"/>
          </w:tcPr>
          <w:p w14:paraId="2F4E6149" w14:textId="0E0AAEFB" w:rsidR="003252FD" w:rsidRPr="003252FD" w:rsidRDefault="003252FD" w:rsidP="003252FD">
            <w:pPr>
              <w:spacing w:before="0" w:after="0"/>
              <w:jc w:val="center"/>
              <w:rPr>
                <w:sz w:val="16"/>
                <w:szCs w:val="16"/>
              </w:rPr>
            </w:pPr>
            <w:r w:rsidRPr="003252FD">
              <w:rPr>
                <w:sz w:val="16"/>
                <w:szCs w:val="16"/>
              </w:rPr>
              <w:t>50</w:t>
            </w:r>
          </w:p>
        </w:tc>
      </w:tr>
      <w:tr w:rsidR="003252FD" w:rsidRPr="00D611F9" w14:paraId="3D191DBF" w14:textId="77777777" w:rsidTr="0091359C">
        <w:trPr>
          <w:jc w:val="center"/>
        </w:trPr>
        <w:tc>
          <w:tcPr>
            <w:tcW w:w="1539" w:type="dxa"/>
            <w:tcBorders>
              <w:left w:val="nil"/>
              <w:bottom w:val="nil"/>
              <w:right w:val="nil"/>
            </w:tcBorders>
          </w:tcPr>
          <w:p w14:paraId="5CAB5D0A" w14:textId="77777777" w:rsidR="003252FD" w:rsidRPr="00D611F9" w:rsidRDefault="003252FD" w:rsidP="003252FD">
            <w:pPr>
              <w:spacing w:before="0" w:after="0"/>
              <w:rPr>
                <w:sz w:val="16"/>
                <w:szCs w:val="16"/>
              </w:rPr>
            </w:pPr>
          </w:p>
        </w:tc>
        <w:tc>
          <w:tcPr>
            <w:tcW w:w="1229" w:type="dxa"/>
            <w:tcBorders>
              <w:left w:val="nil"/>
              <w:bottom w:val="nil"/>
              <w:right w:val="nil"/>
            </w:tcBorders>
            <w:noWrap/>
            <w:vAlign w:val="bottom"/>
          </w:tcPr>
          <w:p w14:paraId="351D3475" w14:textId="77777777" w:rsidR="003252FD" w:rsidRPr="00D611F9" w:rsidRDefault="003252FD" w:rsidP="003252FD">
            <w:pPr>
              <w:spacing w:before="0" w:after="0"/>
              <w:rPr>
                <w:sz w:val="16"/>
                <w:szCs w:val="16"/>
              </w:rPr>
            </w:pPr>
          </w:p>
        </w:tc>
        <w:tc>
          <w:tcPr>
            <w:tcW w:w="564" w:type="dxa"/>
            <w:tcBorders>
              <w:left w:val="nil"/>
              <w:bottom w:val="nil"/>
              <w:right w:val="nil"/>
            </w:tcBorders>
            <w:shd w:val="clear" w:color="auto" w:fill="E7F3F4"/>
            <w:noWrap/>
            <w:vAlign w:val="bottom"/>
          </w:tcPr>
          <w:p w14:paraId="3C722E97" w14:textId="77777777" w:rsidR="003252FD" w:rsidRPr="00D611F9" w:rsidRDefault="003252FD" w:rsidP="003252FD">
            <w:pPr>
              <w:spacing w:before="0" w:after="0"/>
              <w:jc w:val="center"/>
              <w:rPr>
                <w:sz w:val="16"/>
                <w:szCs w:val="16"/>
              </w:rPr>
            </w:pPr>
            <w:r w:rsidRPr="00D611F9">
              <w:rPr>
                <w:sz w:val="16"/>
                <w:szCs w:val="16"/>
              </w:rPr>
              <w:t>BH1</w:t>
            </w:r>
            <w:r>
              <w:rPr>
                <w:sz w:val="16"/>
                <w:szCs w:val="16"/>
              </w:rPr>
              <w:t>^</w:t>
            </w:r>
          </w:p>
        </w:tc>
        <w:tc>
          <w:tcPr>
            <w:tcW w:w="951" w:type="dxa"/>
            <w:tcBorders>
              <w:left w:val="nil"/>
              <w:bottom w:val="nil"/>
              <w:right w:val="nil"/>
            </w:tcBorders>
            <w:shd w:val="clear" w:color="auto" w:fill="E7F3F4"/>
            <w:noWrap/>
            <w:vAlign w:val="bottom"/>
          </w:tcPr>
          <w:p w14:paraId="037238A4" w14:textId="449CF1C8" w:rsidR="003252FD" w:rsidRPr="00C77EEA" w:rsidRDefault="003252FD" w:rsidP="003252FD">
            <w:pPr>
              <w:spacing w:before="0" w:after="0"/>
              <w:jc w:val="center"/>
              <w:rPr>
                <w:sz w:val="16"/>
                <w:szCs w:val="16"/>
              </w:rPr>
            </w:pPr>
            <w:r>
              <w:rPr>
                <w:sz w:val="16"/>
                <w:szCs w:val="16"/>
              </w:rPr>
              <w:t>01-Apr-17</w:t>
            </w:r>
          </w:p>
        </w:tc>
        <w:tc>
          <w:tcPr>
            <w:tcW w:w="815" w:type="dxa"/>
            <w:tcBorders>
              <w:left w:val="nil"/>
              <w:bottom w:val="nil"/>
              <w:right w:val="nil"/>
            </w:tcBorders>
            <w:shd w:val="clear" w:color="auto" w:fill="E7F3F4"/>
            <w:noWrap/>
            <w:vAlign w:val="bottom"/>
          </w:tcPr>
          <w:p w14:paraId="4FF3A0A0" w14:textId="2E5F7BFE" w:rsidR="003252FD" w:rsidRPr="003252FD" w:rsidRDefault="003252FD" w:rsidP="003252FD">
            <w:pPr>
              <w:spacing w:before="0" w:after="0"/>
              <w:jc w:val="center"/>
              <w:rPr>
                <w:sz w:val="16"/>
                <w:szCs w:val="16"/>
              </w:rPr>
            </w:pPr>
            <w:r w:rsidRPr="003252FD">
              <w:rPr>
                <w:sz w:val="16"/>
                <w:szCs w:val="16"/>
              </w:rPr>
              <w:t>6.5</w:t>
            </w:r>
          </w:p>
        </w:tc>
        <w:tc>
          <w:tcPr>
            <w:tcW w:w="823" w:type="dxa"/>
            <w:tcBorders>
              <w:left w:val="nil"/>
              <w:bottom w:val="nil"/>
              <w:right w:val="nil"/>
            </w:tcBorders>
            <w:shd w:val="clear" w:color="auto" w:fill="E7F3F4"/>
            <w:noWrap/>
            <w:vAlign w:val="bottom"/>
          </w:tcPr>
          <w:p w14:paraId="50660B0B" w14:textId="33A046E9" w:rsidR="003252FD" w:rsidRPr="003252FD" w:rsidRDefault="003252FD" w:rsidP="003252FD">
            <w:pPr>
              <w:spacing w:before="0" w:after="0"/>
              <w:jc w:val="center"/>
              <w:rPr>
                <w:sz w:val="16"/>
                <w:szCs w:val="16"/>
              </w:rPr>
            </w:pPr>
            <w:r w:rsidRPr="003252FD">
              <w:rPr>
                <w:sz w:val="16"/>
                <w:szCs w:val="16"/>
              </w:rPr>
              <w:t>6</w:t>
            </w:r>
          </w:p>
        </w:tc>
        <w:tc>
          <w:tcPr>
            <w:tcW w:w="888" w:type="dxa"/>
            <w:tcBorders>
              <w:left w:val="nil"/>
              <w:bottom w:val="nil"/>
              <w:right w:val="nil"/>
            </w:tcBorders>
            <w:shd w:val="clear" w:color="auto" w:fill="E7F3F4"/>
            <w:noWrap/>
            <w:vAlign w:val="bottom"/>
          </w:tcPr>
          <w:p w14:paraId="75C27491" w14:textId="28E5B2EB" w:rsidR="003252FD" w:rsidRPr="003252FD" w:rsidRDefault="003252FD" w:rsidP="003252FD">
            <w:pPr>
              <w:spacing w:before="0" w:after="0"/>
              <w:jc w:val="center"/>
              <w:rPr>
                <w:sz w:val="16"/>
                <w:szCs w:val="16"/>
              </w:rPr>
            </w:pPr>
            <w:r w:rsidRPr="003252FD">
              <w:rPr>
                <w:sz w:val="16"/>
                <w:szCs w:val="16"/>
              </w:rPr>
              <w:t>7.8</w:t>
            </w:r>
          </w:p>
        </w:tc>
        <w:tc>
          <w:tcPr>
            <w:tcW w:w="888" w:type="dxa"/>
            <w:tcBorders>
              <w:left w:val="nil"/>
              <w:bottom w:val="nil"/>
              <w:right w:val="nil"/>
            </w:tcBorders>
            <w:shd w:val="clear" w:color="auto" w:fill="E7F3F4"/>
            <w:noWrap/>
            <w:vAlign w:val="bottom"/>
          </w:tcPr>
          <w:p w14:paraId="3FFEDB22" w14:textId="1BC2C494" w:rsidR="003252FD" w:rsidRPr="003252FD" w:rsidRDefault="003252FD" w:rsidP="003252FD">
            <w:pPr>
              <w:spacing w:before="0" w:after="0"/>
              <w:jc w:val="center"/>
              <w:rPr>
                <w:sz w:val="16"/>
                <w:szCs w:val="16"/>
              </w:rPr>
            </w:pPr>
            <w:r w:rsidRPr="003252FD">
              <w:rPr>
                <w:sz w:val="16"/>
                <w:szCs w:val="16"/>
              </w:rPr>
              <w:t>11.9</w:t>
            </w:r>
          </w:p>
        </w:tc>
        <w:tc>
          <w:tcPr>
            <w:tcW w:w="888" w:type="dxa"/>
            <w:tcBorders>
              <w:left w:val="nil"/>
              <w:bottom w:val="nil"/>
              <w:right w:val="nil"/>
            </w:tcBorders>
            <w:shd w:val="clear" w:color="auto" w:fill="E7F3F4"/>
            <w:noWrap/>
            <w:vAlign w:val="bottom"/>
          </w:tcPr>
          <w:p w14:paraId="2F2975F4" w14:textId="77E45064" w:rsidR="003252FD" w:rsidRPr="003252FD" w:rsidRDefault="003252FD" w:rsidP="003252FD">
            <w:pPr>
              <w:spacing w:before="0" w:after="0"/>
              <w:jc w:val="center"/>
              <w:rPr>
                <w:sz w:val="16"/>
                <w:szCs w:val="16"/>
              </w:rPr>
            </w:pPr>
            <w:r w:rsidRPr="003252FD">
              <w:rPr>
                <w:sz w:val="16"/>
                <w:szCs w:val="16"/>
              </w:rPr>
              <w:t>21.6</w:t>
            </w:r>
          </w:p>
        </w:tc>
        <w:tc>
          <w:tcPr>
            <w:tcW w:w="571" w:type="dxa"/>
            <w:tcBorders>
              <w:left w:val="nil"/>
              <w:bottom w:val="nil"/>
              <w:right w:val="nil"/>
            </w:tcBorders>
            <w:shd w:val="clear" w:color="auto" w:fill="E7F3F4"/>
            <w:noWrap/>
            <w:vAlign w:val="bottom"/>
          </w:tcPr>
          <w:p w14:paraId="649ED9DF" w14:textId="794F19E2" w:rsidR="003252FD" w:rsidRPr="003252FD" w:rsidRDefault="003252FD" w:rsidP="003252FD">
            <w:pPr>
              <w:spacing w:before="0" w:after="0"/>
              <w:jc w:val="center"/>
              <w:rPr>
                <w:sz w:val="16"/>
                <w:szCs w:val="16"/>
              </w:rPr>
            </w:pPr>
            <w:r w:rsidRPr="003252FD">
              <w:rPr>
                <w:sz w:val="16"/>
                <w:szCs w:val="16"/>
              </w:rPr>
              <w:t>25</w:t>
            </w:r>
          </w:p>
        </w:tc>
      </w:tr>
      <w:tr w:rsidR="003252FD" w:rsidRPr="00D611F9" w14:paraId="589F79B9" w14:textId="77777777" w:rsidTr="0091359C">
        <w:trPr>
          <w:jc w:val="center"/>
        </w:trPr>
        <w:tc>
          <w:tcPr>
            <w:tcW w:w="1539" w:type="dxa"/>
            <w:tcBorders>
              <w:left w:val="nil"/>
              <w:right w:val="nil"/>
            </w:tcBorders>
          </w:tcPr>
          <w:p w14:paraId="07970B25" w14:textId="77777777" w:rsidR="003252FD" w:rsidRPr="00D611F9" w:rsidRDefault="003252FD" w:rsidP="003252FD">
            <w:pPr>
              <w:spacing w:before="0" w:after="0"/>
              <w:rPr>
                <w:sz w:val="16"/>
                <w:szCs w:val="16"/>
              </w:rPr>
            </w:pPr>
          </w:p>
        </w:tc>
        <w:tc>
          <w:tcPr>
            <w:tcW w:w="1229" w:type="dxa"/>
            <w:tcBorders>
              <w:left w:val="nil"/>
              <w:right w:val="nil"/>
            </w:tcBorders>
            <w:noWrap/>
            <w:vAlign w:val="bottom"/>
          </w:tcPr>
          <w:p w14:paraId="48934D5A" w14:textId="77777777" w:rsidR="003252FD" w:rsidRPr="00D611F9" w:rsidRDefault="003252FD" w:rsidP="003252FD">
            <w:pPr>
              <w:spacing w:before="0" w:after="0"/>
              <w:rPr>
                <w:sz w:val="16"/>
                <w:szCs w:val="16"/>
              </w:rPr>
            </w:pPr>
          </w:p>
        </w:tc>
        <w:tc>
          <w:tcPr>
            <w:tcW w:w="564" w:type="dxa"/>
            <w:tcBorders>
              <w:left w:val="nil"/>
              <w:right w:val="nil"/>
            </w:tcBorders>
            <w:shd w:val="clear" w:color="auto" w:fill="E7F3F4"/>
            <w:noWrap/>
            <w:vAlign w:val="bottom"/>
          </w:tcPr>
          <w:p w14:paraId="560B5767" w14:textId="77777777" w:rsidR="003252FD" w:rsidRPr="00D611F9" w:rsidRDefault="003252FD" w:rsidP="003252FD">
            <w:pPr>
              <w:spacing w:before="0" w:after="0"/>
              <w:jc w:val="center"/>
              <w:rPr>
                <w:sz w:val="16"/>
                <w:szCs w:val="16"/>
              </w:rPr>
            </w:pPr>
            <w:r>
              <w:rPr>
                <w:sz w:val="16"/>
                <w:szCs w:val="16"/>
              </w:rPr>
              <w:t>BH3^</w:t>
            </w:r>
          </w:p>
        </w:tc>
        <w:tc>
          <w:tcPr>
            <w:tcW w:w="951" w:type="dxa"/>
            <w:tcBorders>
              <w:left w:val="nil"/>
              <w:right w:val="nil"/>
            </w:tcBorders>
            <w:shd w:val="clear" w:color="auto" w:fill="E7F3F4"/>
            <w:noWrap/>
            <w:vAlign w:val="bottom"/>
          </w:tcPr>
          <w:p w14:paraId="0C24DEDE" w14:textId="5F28F204" w:rsidR="003252FD" w:rsidRPr="00C77EEA" w:rsidRDefault="003252FD" w:rsidP="003252FD">
            <w:pPr>
              <w:spacing w:before="0" w:after="0"/>
              <w:jc w:val="center"/>
              <w:rPr>
                <w:sz w:val="16"/>
                <w:szCs w:val="16"/>
              </w:rPr>
            </w:pPr>
            <w:r>
              <w:rPr>
                <w:sz w:val="16"/>
                <w:szCs w:val="16"/>
              </w:rPr>
              <w:t>01-Oct-16</w:t>
            </w:r>
          </w:p>
        </w:tc>
        <w:tc>
          <w:tcPr>
            <w:tcW w:w="815" w:type="dxa"/>
            <w:tcBorders>
              <w:left w:val="nil"/>
              <w:right w:val="nil"/>
            </w:tcBorders>
            <w:shd w:val="clear" w:color="auto" w:fill="E7F3F4"/>
            <w:noWrap/>
            <w:vAlign w:val="bottom"/>
          </w:tcPr>
          <w:p w14:paraId="7D8692F5" w14:textId="3905074B" w:rsidR="003252FD" w:rsidRPr="003252FD" w:rsidRDefault="003252FD" w:rsidP="003252FD">
            <w:pPr>
              <w:spacing w:before="0" w:after="0"/>
              <w:jc w:val="center"/>
              <w:rPr>
                <w:sz w:val="16"/>
                <w:szCs w:val="16"/>
              </w:rPr>
            </w:pPr>
            <w:r w:rsidRPr="003252FD">
              <w:rPr>
                <w:sz w:val="16"/>
                <w:szCs w:val="16"/>
              </w:rPr>
              <w:t>11.6</w:t>
            </w:r>
          </w:p>
        </w:tc>
        <w:tc>
          <w:tcPr>
            <w:tcW w:w="823" w:type="dxa"/>
            <w:tcBorders>
              <w:left w:val="nil"/>
              <w:right w:val="nil"/>
            </w:tcBorders>
            <w:shd w:val="clear" w:color="auto" w:fill="E7F3F4"/>
            <w:noWrap/>
            <w:vAlign w:val="bottom"/>
          </w:tcPr>
          <w:p w14:paraId="2EC0B691" w14:textId="36C8C0A9" w:rsidR="003252FD" w:rsidRPr="003252FD" w:rsidRDefault="003252FD" w:rsidP="003252FD">
            <w:pPr>
              <w:spacing w:before="0" w:after="0"/>
              <w:jc w:val="center"/>
              <w:rPr>
                <w:sz w:val="16"/>
                <w:szCs w:val="16"/>
              </w:rPr>
            </w:pPr>
            <w:r w:rsidRPr="003252FD">
              <w:rPr>
                <w:sz w:val="16"/>
                <w:szCs w:val="16"/>
              </w:rPr>
              <w:t>12</w:t>
            </w:r>
          </w:p>
        </w:tc>
        <w:tc>
          <w:tcPr>
            <w:tcW w:w="888" w:type="dxa"/>
            <w:tcBorders>
              <w:left w:val="nil"/>
              <w:right w:val="nil"/>
            </w:tcBorders>
            <w:shd w:val="clear" w:color="auto" w:fill="E7F3F4"/>
            <w:noWrap/>
            <w:vAlign w:val="bottom"/>
          </w:tcPr>
          <w:p w14:paraId="3228B25E" w14:textId="1C3D45C1" w:rsidR="003252FD" w:rsidRPr="003252FD" w:rsidRDefault="003252FD" w:rsidP="003252FD">
            <w:pPr>
              <w:spacing w:before="0" w:after="0"/>
              <w:jc w:val="center"/>
              <w:rPr>
                <w:sz w:val="16"/>
                <w:szCs w:val="16"/>
              </w:rPr>
            </w:pPr>
            <w:r w:rsidRPr="003252FD">
              <w:rPr>
                <w:sz w:val="16"/>
                <w:szCs w:val="16"/>
              </w:rPr>
              <w:t>7.8</w:t>
            </w:r>
          </w:p>
        </w:tc>
        <w:tc>
          <w:tcPr>
            <w:tcW w:w="888" w:type="dxa"/>
            <w:tcBorders>
              <w:left w:val="nil"/>
              <w:right w:val="nil"/>
            </w:tcBorders>
            <w:shd w:val="clear" w:color="auto" w:fill="E7F3F4"/>
            <w:noWrap/>
            <w:vAlign w:val="bottom"/>
          </w:tcPr>
          <w:p w14:paraId="5E4F83E2" w14:textId="0E1E5209" w:rsidR="003252FD" w:rsidRPr="003252FD" w:rsidRDefault="003252FD" w:rsidP="003252FD">
            <w:pPr>
              <w:spacing w:before="0" w:after="0"/>
              <w:jc w:val="center"/>
              <w:rPr>
                <w:sz w:val="16"/>
                <w:szCs w:val="16"/>
              </w:rPr>
            </w:pPr>
            <w:r w:rsidRPr="003252FD">
              <w:rPr>
                <w:sz w:val="16"/>
                <w:szCs w:val="16"/>
              </w:rPr>
              <w:t>11.9</w:t>
            </w:r>
          </w:p>
        </w:tc>
        <w:tc>
          <w:tcPr>
            <w:tcW w:w="888" w:type="dxa"/>
            <w:tcBorders>
              <w:left w:val="nil"/>
              <w:right w:val="nil"/>
            </w:tcBorders>
            <w:shd w:val="clear" w:color="auto" w:fill="E7F3F4"/>
            <w:noWrap/>
            <w:vAlign w:val="bottom"/>
          </w:tcPr>
          <w:p w14:paraId="2B8356BC" w14:textId="29B50276" w:rsidR="003252FD" w:rsidRPr="003252FD" w:rsidRDefault="003252FD" w:rsidP="003252FD">
            <w:pPr>
              <w:spacing w:before="0" w:after="0"/>
              <w:jc w:val="center"/>
              <w:rPr>
                <w:sz w:val="16"/>
                <w:szCs w:val="16"/>
              </w:rPr>
            </w:pPr>
            <w:r w:rsidRPr="003252FD">
              <w:rPr>
                <w:sz w:val="16"/>
                <w:szCs w:val="16"/>
              </w:rPr>
              <w:t>21.6</w:t>
            </w:r>
          </w:p>
        </w:tc>
        <w:tc>
          <w:tcPr>
            <w:tcW w:w="571" w:type="dxa"/>
            <w:tcBorders>
              <w:left w:val="nil"/>
              <w:right w:val="nil"/>
            </w:tcBorders>
            <w:shd w:val="clear" w:color="auto" w:fill="E7F3F4"/>
            <w:noWrap/>
            <w:vAlign w:val="bottom"/>
          </w:tcPr>
          <w:p w14:paraId="68A337C5" w14:textId="57DDA6EA" w:rsidR="003252FD" w:rsidRPr="003252FD" w:rsidRDefault="003252FD" w:rsidP="003252FD">
            <w:pPr>
              <w:spacing w:before="0" w:after="0"/>
              <w:jc w:val="center"/>
              <w:rPr>
                <w:sz w:val="16"/>
                <w:szCs w:val="16"/>
              </w:rPr>
            </w:pPr>
            <w:r w:rsidRPr="003252FD">
              <w:rPr>
                <w:sz w:val="16"/>
                <w:szCs w:val="16"/>
              </w:rPr>
              <w:t>75</w:t>
            </w:r>
          </w:p>
        </w:tc>
      </w:tr>
      <w:tr w:rsidR="003252FD" w:rsidRPr="00D611F9" w14:paraId="330648CD" w14:textId="77777777" w:rsidTr="0091359C">
        <w:trPr>
          <w:jc w:val="center"/>
        </w:trPr>
        <w:tc>
          <w:tcPr>
            <w:tcW w:w="1539" w:type="dxa"/>
            <w:tcBorders>
              <w:top w:val="nil"/>
              <w:left w:val="nil"/>
              <w:bottom w:val="single" w:sz="4" w:space="0" w:color="auto"/>
              <w:right w:val="nil"/>
            </w:tcBorders>
          </w:tcPr>
          <w:p w14:paraId="790DA364" w14:textId="77777777" w:rsidR="003252FD" w:rsidRPr="00D611F9" w:rsidRDefault="003252FD" w:rsidP="003252FD">
            <w:pPr>
              <w:spacing w:before="0" w:after="0"/>
              <w:rPr>
                <w:sz w:val="16"/>
                <w:szCs w:val="16"/>
              </w:rPr>
            </w:pPr>
          </w:p>
        </w:tc>
        <w:tc>
          <w:tcPr>
            <w:tcW w:w="1229" w:type="dxa"/>
            <w:tcBorders>
              <w:top w:val="nil"/>
              <w:left w:val="nil"/>
              <w:bottom w:val="single" w:sz="4" w:space="0" w:color="auto"/>
              <w:right w:val="nil"/>
            </w:tcBorders>
            <w:noWrap/>
            <w:vAlign w:val="bottom"/>
          </w:tcPr>
          <w:p w14:paraId="1B4236D4" w14:textId="77777777" w:rsidR="003252FD" w:rsidRPr="00D611F9" w:rsidRDefault="003252FD" w:rsidP="003252FD">
            <w:pPr>
              <w:spacing w:before="0" w:after="0"/>
              <w:rPr>
                <w:sz w:val="16"/>
                <w:szCs w:val="16"/>
              </w:rPr>
            </w:pPr>
          </w:p>
        </w:tc>
        <w:tc>
          <w:tcPr>
            <w:tcW w:w="564" w:type="dxa"/>
            <w:tcBorders>
              <w:top w:val="nil"/>
              <w:left w:val="nil"/>
              <w:bottom w:val="single" w:sz="4" w:space="0" w:color="auto"/>
              <w:right w:val="nil"/>
            </w:tcBorders>
            <w:shd w:val="clear" w:color="auto" w:fill="E7F3F4"/>
            <w:noWrap/>
            <w:vAlign w:val="bottom"/>
            <w:hideMark/>
          </w:tcPr>
          <w:p w14:paraId="563E3476" w14:textId="77777777" w:rsidR="003252FD" w:rsidRPr="00D611F9" w:rsidRDefault="003252FD" w:rsidP="003252FD">
            <w:pPr>
              <w:spacing w:before="0" w:after="0"/>
              <w:jc w:val="center"/>
              <w:rPr>
                <w:sz w:val="16"/>
                <w:szCs w:val="16"/>
              </w:rPr>
            </w:pPr>
            <w:r>
              <w:rPr>
                <w:sz w:val="16"/>
                <w:szCs w:val="16"/>
              </w:rPr>
              <w:t>BH3^</w:t>
            </w:r>
          </w:p>
        </w:tc>
        <w:tc>
          <w:tcPr>
            <w:tcW w:w="951" w:type="dxa"/>
            <w:tcBorders>
              <w:top w:val="nil"/>
              <w:left w:val="nil"/>
              <w:bottom w:val="single" w:sz="4" w:space="0" w:color="auto"/>
              <w:right w:val="nil"/>
            </w:tcBorders>
            <w:shd w:val="clear" w:color="auto" w:fill="E7F3F4"/>
            <w:noWrap/>
            <w:vAlign w:val="bottom"/>
          </w:tcPr>
          <w:p w14:paraId="2B6F7DB7" w14:textId="7157EFD3" w:rsidR="003252FD" w:rsidRPr="00C77EEA" w:rsidRDefault="003252FD" w:rsidP="003252FD">
            <w:pPr>
              <w:spacing w:before="0" w:after="0"/>
              <w:jc w:val="center"/>
              <w:rPr>
                <w:sz w:val="16"/>
                <w:szCs w:val="16"/>
              </w:rPr>
            </w:pPr>
            <w:r>
              <w:rPr>
                <w:sz w:val="16"/>
                <w:szCs w:val="16"/>
              </w:rPr>
              <w:t>01-Apr-17</w:t>
            </w:r>
          </w:p>
        </w:tc>
        <w:tc>
          <w:tcPr>
            <w:tcW w:w="815" w:type="dxa"/>
            <w:tcBorders>
              <w:top w:val="nil"/>
              <w:left w:val="nil"/>
              <w:bottom w:val="single" w:sz="4" w:space="0" w:color="auto"/>
              <w:right w:val="nil"/>
            </w:tcBorders>
            <w:shd w:val="clear" w:color="auto" w:fill="E7F3F4"/>
            <w:noWrap/>
            <w:vAlign w:val="bottom"/>
          </w:tcPr>
          <w:p w14:paraId="6F36B011" w14:textId="1536D3DE" w:rsidR="003252FD" w:rsidRPr="003252FD" w:rsidRDefault="003252FD" w:rsidP="003252FD">
            <w:pPr>
              <w:spacing w:before="0" w:after="0"/>
              <w:jc w:val="center"/>
              <w:rPr>
                <w:sz w:val="16"/>
                <w:szCs w:val="16"/>
              </w:rPr>
            </w:pPr>
            <w:r w:rsidRPr="003252FD">
              <w:rPr>
                <w:sz w:val="16"/>
                <w:szCs w:val="16"/>
              </w:rPr>
              <w:t>5.0</w:t>
            </w:r>
          </w:p>
        </w:tc>
        <w:tc>
          <w:tcPr>
            <w:tcW w:w="823" w:type="dxa"/>
            <w:tcBorders>
              <w:top w:val="nil"/>
              <w:left w:val="nil"/>
              <w:bottom w:val="single" w:sz="4" w:space="0" w:color="auto"/>
              <w:right w:val="nil"/>
            </w:tcBorders>
            <w:shd w:val="clear" w:color="auto" w:fill="E7F3F4"/>
            <w:noWrap/>
            <w:vAlign w:val="bottom"/>
          </w:tcPr>
          <w:p w14:paraId="200D6D2B" w14:textId="5B98699B" w:rsidR="003252FD" w:rsidRPr="003252FD" w:rsidRDefault="003252FD" w:rsidP="003252FD">
            <w:pPr>
              <w:spacing w:before="0" w:after="0"/>
              <w:jc w:val="center"/>
              <w:rPr>
                <w:sz w:val="16"/>
                <w:szCs w:val="16"/>
              </w:rPr>
            </w:pPr>
            <w:r w:rsidRPr="003252FD">
              <w:rPr>
                <w:sz w:val="16"/>
                <w:szCs w:val="16"/>
              </w:rPr>
              <w:t>5</w:t>
            </w:r>
          </w:p>
        </w:tc>
        <w:tc>
          <w:tcPr>
            <w:tcW w:w="888" w:type="dxa"/>
            <w:tcBorders>
              <w:top w:val="nil"/>
              <w:left w:val="nil"/>
              <w:bottom w:val="single" w:sz="4" w:space="0" w:color="auto"/>
              <w:right w:val="nil"/>
            </w:tcBorders>
            <w:shd w:val="clear" w:color="auto" w:fill="E7F3F4"/>
            <w:noWrap/>
            <w:vAlign w:val="bottom"/>
            <w:hideMark/>
          </w:tcPr>
          <w:p w14:paraId="3E21E12A" w14:textId="1D82885F" w:rsidR="003252FD" w:rsidRPr="003252FD" w:rsidRDefault="003252FD" w:rsidP="003252FD">
            <w:pPr>
              <w:spacing w:before="0" w:after="0"/>
              <w:jc w:val="center"/>
              <w:rPr>
                <w:sz w:val="16"/>
                <w:szCs w:val="16"/>
              </w:rPr>
            </w:pPr>
            <w:r w:rsidRPr="003252FD">
              <w:rPr>
                <w:sz w:val="16"/>
                <w:szCs w:val="16"/>
              </w:rPr>
              <w:t>7.8</w:t>
            </w:r>
          </w:p>
        </w:tc>
        <w:tc>
          <w:tcPr>
            <w:tcW w:w="888" w:type="dxa"/>
            <w:tcBorders>
              <w:top w:val="nil"/>
              <w:left w:val="nil"/>
              <w:bottom w:val="single" w:sz="4" w:space="0" w:color="auto"/>
              <w:right w:val="nil"/>
            </w:tcBorders>
            <w:shd w:val="clear" w:color="auto" w:fill="E7F3F4"/>
            <w:noWrap/>
            <w:vAlign w:val="bottom"/>
            <w:hideMark/>
          </w:tcPr>
          <w:p w14:paraId="34C7DA3B" w14:textId="7582A045" w:rsidR="003252FD" w:rsidRPr="003252FD" w:rsidRDefault="003252FD" w:rsidP="003252FD">
            <w:pPr>
              <w:spacing w:before="0" w:after="0"/>
              <w:jc w:val="center"/>
              <w:rPr>
                <w:sz w:val="16"/>
                <w:szCs w:val="16"/>
              </w:rPr>
            </w:pPr>
            <w:r w:rsidRPr="003252FD">
              <w:rPr>
                <w:sz w:val="16"/>
                <w:szCs w:val="16"/>
              </w:rPr>
              <w:t>11.9</w:t>
            </w:r>
          </w:p>
        </w:tc>
        <w:tc>
          <w:tcPr>
            <w:tcW w:w="888" w:type="dxa"/>
            <w:tcBorders>
              <w:top w:val="nil"/>
              <w:left w:val="nil"/>
              <w:bottom w:val="single" w:sz="4" w:space="0" w:color="auto"/>
              <w:right w:val="nil"/>
            </w:tcBorders>
            <w:shd w:val="clear" w:color="auto" w:fill="E7F3F4"/>
            <w:noWrap/>
            <w:vAlign w:val="bottom"/>
            <w:hideMark/>
          </w:tcPr>
          <w:p w14:paraId="720BD855" w14:textId="7C667CB5" w:rsidR="003252FD" w:rsidRPr="003252FD" w:rsidRDefault="003252FD" w:rsidP="003252FD">
            <w:pPr>
              <w:spacing w:before="0" w:after="0"/>
              <w:jc w:val="center"/>
              <w:rPr>
                <w:sz w:val="16"/>
                <w:szCs w:val="16"/>
              </w:rPr>
            </w:pPr>
            <w:r w:rsidRPr="003252FD">
              <w:rPr>
                <w:sz w:val="16"/>
                <w:szCs w:val="16"/>
              </w:rPr>
              <w:t>21.6</w:t>
            </w:r>
          </w:p>
        </w:tc>
        <w:tc>
          <w:tcPr>
            <w:tcW w:w="571" w:type="dxa"/>
            <w:tcBorders>
              <w:top w:val="nil"/>
              <w:left w:val="nil"/>
              <w:bottom w:val="single" w:sz="4" w:space="0" w:color="auto"/>
              <w:right w:val="nil"/>
            </w:tcBorders>
            <w:shd w:val="clear" w:color="auto" w:fill="E7F3F4"/>
            <w:noWrap/>
            <w:vAlign w:val="bottom"/>
          </w:tcPr>
          <w:p w14:paraId="4B7718FC" w14:textId="4531A0E5" w:rsidR="003252FD" w:rsidRPr="003252FD" w:rsidRDefault="003252FD" w:rsidP="003252FD">
            <w:pPr>
              <w:spacing w:before="0" w:after="0"/>
              <w:jc w:val="center"/>
              <w:rPr>
                <w:sz w:val="16"/>
                <w:szCs w:val="16"/>
              </w:rPr>
            </w:pPr>
            <w:r w:rsidRPr="003252FD">
              <w:rPr>
                <w:sz w:val="16"/>
                <w:szCs w:val="16"/>
              </w:rPr>
              <w:t>25</w:t>
            </w:r>
          </w:p>
        </w:tc>
      </w:tr>
      <w:tr w:rsidR="00D04E18" w:rsidRPr="00D611F9" w14:paraId="0B5EE06A" w14:textId="77777777" w:rsidTr="0091359C">
        <w:trPr>
          <w:jc w:val="center"/>
        </w:trPr>
        <w:tc>
          <w:tcPr>
            <w:tcW w:w="1539" w:type="dxa"/>
            <w:tcBorders>
              <w:top w:val="single" w:sz="4" w:space="0" w:color="auto"/>
              <w:left w:val="nil"/>
              <w:bottom w:val="single" w:sz="4" w:space="0" w:color="auto"/>
              <w:right w:val="nil"/>
            </w:tcBorders>
            <w:hideMark/>
          </w:tcPr>
          <w:p w14:paraId="13239E5E" w14:textId="77777777" w:rsidR="00D04E18" w:rsidRPr="00D611F9" w:rsidRDefault="00D04E18" w:rsidP="0091359C">
            <w:pPr>
              <w:spacing w:before="0" w:after="0"/>
              <w:rPr>
                <w:sz w:val="16"/>
                <w:szCs w:val="16"/>
              </w:rPr>
            </w:pPr>
            <w:r w:rsidRPr="00D611F9">
              <w:rPr>
                <w:sz w:val="16"/>
                <w:szCs w:val="16"/>
              </w:rPr>
              <w:t>NRM region</w:t>
            </w:r>
          </w:p>
        </w:tc>
        <w:tc>
          <w:tcPr>
            <w:tcW w:w="1793" w:type="dxa"/>
            <w:gridSpan w:val="2"/>
            <w:tcBorders>
              <w:top w:val="single" w:sz="4" w:space="0" w:color="auto"/>
              <w:left w:val="nil"/>
              <w:bottom w:val="single" w:sz="4" w:space="0" w:color="auto"/>
              <w:right w:val="nil"/>
            </w:tcBorders>
            <w:noWrap/>
            <w:vAlign w:val="bottom"/>
          </w:tcPr>
          <w:p w14:paraId="587F30F9" w14:textId="77777777" w:rsidR="00D04E18" w:rsidRPr="00D611F9" w:rsidRDefault="00D04E18" w:rsidP="0091359C">
            <w:pPr>
              <w:spacing w:before="0" w:after="0"/>
              <w:rPr>
                <w:sz w:val="16"/>
                <w:szCs w:val="16"/>
              </w:rPr>
            </w:pPr>
          </w:p>
        </w:tc>
        <w:tc>
          <w:tcPr>
            <w:tcW w:w="951" w:type="dxa"/>
            <w:tcBorders>
              <w:top w:val="single" w:sz="4" w:space="0" w:color="auto"/>
              <w:left w:val="nil"/>
              <w:bottom w:val="single" w:sz="4" w:space="0" w:color="auto"/>
              <w:right w:val="nil"/>
            </w:tcBorders>
            <w:noWrap/>
            <w:vAlign w:val="bottom"/>
          </w:tcPr>
          <w:p w14:paraId="22869C79" w14:textId="77777777" w:rsidR="00D04E18" w:rsidRPr="00D611F9" w:rsidRDefault="00D04E18" w:rsidP="0091359C">
            <w:pPr>
              <w:spacing w:before="0" w:after="0"/>
              <w:jc w:val="center"/>
              <w:rPr>
                <w:sz w:val="16"/>
                <w:szCs w:val="16"/>
              </w:rPr>
            </w:pPr>
          </w:p>
        </w:tc>
        <w:tc>
          <w:tcPr>
            <w:tcW w:w="815" w:type="dxa"/>
            <w:tcBorders>
              <w:top w:val="single" w:sz="4" w:space="0" w:color="auto"/>
              <w:left w:val="nil"/>
              <w:bottom w:val="single" w:sz="4" w:space="0" w:color="auto"/>
              <w:right w:val="nil"/>
            </w:tcBorders>
            <w:noWrap/>
            <w:vAlign w:val="bottom"/>
          </w:tcPr>
          <w:p w14:paraId="212D8388" w14:textId="77777777" w:rsidR="00D04E18" w:rsidRPr="00D611F9" w:rsidRDefault="00D04E18" w:rsidP="0091359C">
            <w:pPr>
              <w:spacing w:before="0" w:after="0"/>
              <w:jc w:val="center"/>
              <w:rPr>
                <w:sz w:val="16"/>
                <w:szCs w:val="16"/>
              </w:rPr>
            </w:pPr>
          </w:p>
        </w:tc>
        <w:tc>
          <w:tcPr>
            <w:tcW w:w="823" w:type="dxa"/>
            <w:tcBorders>
              <w:top w:val="single" w:sz="4" w:space="0" w:color="auto"/>
              <w:left w:val="nil"/>
              <w:bottom w:val="single" w:sz="4" w:space="0" w:color="auto"/>
              <w:right w:val="nil"/>
            </w:tcBorders>
            <w:noWrap/>
            <w:vAlign w:val="bottom"/>
          </w:tcPr>
          <w:p w14:paraId="6A1BCD5F" w14:textId="77777777" w:rsidR="00D04E18" w:rsidRPr="00D611F9" w:rsidRDefault="00D04E18" w:rsidP="0091359C">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47A2B4F7" w14:textId="77777777" w:rsidR="00D04E18" w:rsidRPr="00D611F9" w:rsidRDefault="00D04E18" w:rsidP="0091359C">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48054072" w14:textId="77777777" w:rsidR="00D04E18" w:rsidRPr="00D611F9" w:rsidRDefault="00D04E18" w:rsidP="0091359C">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0C8631A7" w14:textId="77777777" w:rsidR="00D04E18" w:rsidRPr="00D611F9" w:rsidRDefault="00D04E18" w:rsidP="0091359C">
            <w:pPr>
              <w:spacing w:before="0" w:after="0"/>
              <w:jc w:val="center"/>
              <w:rPr>
                <w:sz w:val="16"/>
                <w:szCs w:val="16"/>
              </w:rPr>
            </w:pPr>
          </w:p>
        </w:tc>
        <w:tc>
          <w:tcPr>
            <w:tcW w:w="571" w:type="dxa"/>
            <w:tcBorders>
              <w:top w:val="single" w:sz="4" w:space="0" w:color="auto"/>
              <w:left w:val="nil"/>
              <w:bottom w:val="single" w:sz="4" w:space="0" w:color="auto"/>
              <w:right w:val="nil"/>
            </w:tcBorders>
            <w:noWrap/>
            <w:vAlign w:val="bottom"/>
            <w:hideMark/>
          </w:tcPr>
          <w:p w14:paraId="132B9E26" w14:textId="63FA5230" w:rsidR="00D04E18" w:rsidRPr="00D611F9" w:rsidRDefault="003252FD" w:rsidP="0091359C">
            <w:pPr>
              <w:spacing w:before="0" w:after="0"/>
              <w:jc w:val="center"/>
              <w:rPr>
                <w:b/>
                <w:sz w:val="16"/>
                <w:szCs w:val="16"/>
              </w:rPr>
            </w:pPr>
            <w:r>
              <w:rPr>
                <w:b/>
                <w:sz w:val="16"/>
                <w:szCs w:val="16"/>
              </w:rPr>
              <w:t>29</w:t>
            </w:r>
          </w:p>
        </w:tc>
      </w:tr>
    </w:tbl>
    <w:p w14:paraId="3679742A" w14:textId="77777777" w:rsidR="00842050" w:rsidRDefault="00842050" w:rsidP="00842050">
      <w:pPr>
        <w:ind w:left="540" w:hanging="540"/>
        <w:rPr>
          <w:color w:val="000000"/>
        </w:rPr>
      </w:pPr>
    </w:p>
    <w:p w14:paraId="6C6A3FCE" w14:textId="77777777" w:rsidR="00842050" w:rsidRDefault="00842050" w:rsidP="00842050">
      <w:pPr>
        <w:spacing w:before="0" w:after="0"/>
        <w:rPr>
          <w:color w:val="000000"/>
          <w:szCs w:val="22"/>
        </w:rPr>
      </w:pPr>
      <w:r>
        <w:rPr>
          <w:color w:val="000000"/>
        </w:rPr>
        <w:br w:type="page"/>
      </w:r>
    </w:p>
    <w:p w14:paraId="431EA5CA" w14:textId="77777777" w:rsidR="00842050" w:rsidRPr="00F12624" w:rsidRDefault="00842050" w:rsidP="00F12624">
      <w:pPr>
        <w:pStyle w:val="Heading2"/>
      </w:pPr>
      <w:bookmarkStart w:id="1015" w:name="_Toc516053195"/>
      <w:r w:rsidRPr="00F12624">
        <w:t>Seagrass reproductive effort</w:t>
      </w:r>
      <w:bookmarkEnd w:id="1015"/>
    </w:p>
    <w:bookmarkEnd w:id="1008"/>
    <w:p w14:paraId="09CB1C37" w14:textId="4B24E752" w:rsidR="00842050" w:rsidRDefault="00842050" w:rsidP="00842050">
      <w:pPr>
        <w:rPr>
          <w:color w:val="000000"/>
          <w:szCs w:val="22"/>
        </w:rPr>
      </w:pPr>
      <w:r>
        <w:rPr>
          <w:color w:val="000000"/>
          <w:szCs w:val="22"/>
        </w:rPr>
        <w:t xml:space="preserve">The reproductive effort </w:t>
      </w:r>
      <w:r w:rsidR="00030955">
        <w:rPr>
          <w:color w:val="000000"/>
          <w:szCs w:val="22"/>
        </w:rPr>
        <w:t xml:space="preserve">is the number of reproductive structures </w:t>
      </w:r>
      <w:r w:rsidR="00FD59DB">
        <w:rPr>
          <w:color w:val="000000"/>
          <w:szCs w:val="22"/>
        </w:rPr>
        <w:t xml:space="preserve">(inflorescence, fruit, spathe, seed) </w:t>
      </w:r>
      <w:r w:rsidR="00030955">
        <w:rPr>
          <w:color w:val="000000"/>
          <w:szCs w:val="22"/>
        </w:rPr>
        <w:t xml:space="preserve">per core and </w:t>
      </w:r>
      <w:r>
        <w:rPr>
          <w:color w:val="000000"/>
          <w:szCs w:val="22"/>
        </w:rPr>
        <w:t>provides an indication of the capacity of seagrasses to recover from the loss of an area of seagrass through</w:t>
      </w:r>
      <w:r w:rsidR="00030955">
        <w:rPr>
          <w:color w:val="000000"/>
          <w:szCs w:val="22"/>
        </w:rPr>
        <w:t xml:space="preserve"> the recruitment of new plants at each site </w:t>
      </w:r>
      <w:r>
        <w:rPr>
          <w:noProof/>
          <w:color w:val="000000"/>
          <w:szCs w:val="22"/>
        </w:rPr>
        <w:t>(</w:t>
      </w:r>
      <w:hyperlink w:anchor="_ENREF_53" w:tooltip="Collier, 2009 #9285" w:history="1">
        <w:r w:rsidR="00305FE7">
          <w:fldChar w:fldCharType="begin"/>
        </w:r>
        <w:r w:rsidR="00305FE7">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305FE7">
          <w:fldChar w:fldCharType="separate"/>
        </w:r>
        <w:r w:rsidR="00305FE7">
          <w:rPr>
            <w:noProof/>
          </w:rPr>
          <w:t>Collier and Waycott 2009</w:t>
        </w:r>
        <w:r w:rsidR="00305FE7">
          <w:fldChar w:fldCharType="end"/>
        </w:r>
      </w:hyperlink>
      <w:r>
        <w:rPr>
          <w:noProof/>
          <w:color w:val="000000"/>
          <w:szCs w:val="22"/>
        </w:rPr>
        <w:t>)</w:t>
      </w:r>
      <w:r>
        <w:rPr>
          <w:color w:val="000000"/>
          <w:szCs w:val="22"/>
        </w:rPr>
        <w:t xml:space="preserve">. Given the high diversity of seagrass species that occur in the GBR coastal zone </w:t>
      </w:r>
      <w:r>
        <w:rPr>
          <w:noProof/>
          <w:color w:val="000000"/>
          <w:szCs w:val="22"/>
        </w:rPr>
        <w:t>(</w:t>
      </w:r>
      <w:hyperlink w:anchor="_ENREF_235" w:tooltip="Waycott, 2007 #9133" w:history="1">
        <w:r w:rsidR="00305FE7">
          <w:fldChar w:fldCharType="begin"/>
        </w:r>
        <w:r w:rsidR="00305FE7">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305FE7">
          <w:fldChar w:fldCharType="separate"/>
        </w:r>
        <w:r w:rsidR="00305FE7">
          <w:rPr>
            <w:noProof/>
          </w:rPr>
          <w:t>Waycott</w:t>
        </w:r>
        <w:r w:rsidR="00305FE7" w:rsidRPr="00521D93">
          <w:rPr>
            <w:i/>
            <w:noProof/>
          </w:rPr>
          <w:t xml:space="preserve"> et al.</w:t>
        </w:r>
        <w:r w:rsidR="00305FE7">
          <w:rPr>
            <w:noProof/>
          </w:rPr>
          <w:t xml:space="preserve"> 2007</w:t>
        </w:r>
        <w:r w:rsidR="00305FE7">
          <w:fldChar w:fldCharType="end"/>
        </w:r>
      </w:hyperlink>
      <w:r>
        <w:rPr>
          <w:noProof/>
          <w:color w:val="000000"/>
          <w:szCs w:val="22"/>
        </w:rPr>
        <w:t>)</w:t>
      </w:r>
      <w:r>
        <w:rPr>
          <w:color w:val="000000"/>
          <w:szCs w:val="22"/>
        </w:rPr>
        <w:t xml:space="preserve">, their variability in production of reproductive structures </w:t>
      </w:r>
      <w:r>
        <w:rPr>
          <w:noProof/>
          <w:color w:val="000000"/>
          <w:szCs w:val="22"/>
        </w:rPr>
        <w:t xml:space="preserve">(e.g. </w:t>
      </w:r>
      <w:hyperlink w:anchor="_ENREF_182" w:tooltip="Orth, 2006 #7350" w:history="1">
        <w:r w:rsidR="00305FE7">
          <w:fldChar w:fldCharType="begin"/>
        </w:r>
        <w:r w:rsidR="00305FE7">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 timestamp="0"&gt;7350&lt;/key&gt;&lt;/foreign-keys&gt;&lt;ref-type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305FE7">
          <w:fldChar w:fldCharType="separate"/>
        </w:r>
        <w:r w:rsidR="00305FE7">
          <w:rPr>
            <w:noProof/>
          </w:rPr>
          <w:t>Orth</w:t>
        </w:r>
        <w:r w:rsidR="00305FE7" w:rsidRPr="00521D93">
          <w:rPr>
            <w:i/>
            <w:noProof/>
          </w:rPr>
          <w:t xml:space="preserve"> et al.</w:t>
        </w:r>
        <w:r w:rsidR="00305FE7">
          <w:rPr>
            <w:noProof/>
          </w:rPr>
          <w:t xml:space="preserve"> 2006</w:t>
        </w:r>
        <w:r w:rsidR="00305FE7">
          <w:fldChar w:fldCharType="end"/>
        </w:r>
      </w:hyperlink>
      <w:r>
        <w:rPr>
          <w:noProof/>
          <w:color w:val="000000"/>
          <w:szCs w:val="22"/>
        </w:rPr>
        <w:t>)</w:t>
      </w:r>
      <w:r>
        <w:rPr>
          <w:color w:val="000000"/>
          <w:szCs w:val="22"/>
        </w:rPr>
        <w:t xml:space="preserve">, a metric that incorporates all available information on the production of flowers and fruits per unit area is the most useful. </w:t>
      </w:r>
    </w:p>
    <w:p w14:paraId="500617B0" w14:textId="2912BE05" w:rsidR="00842050" w:rsidRDefault="00842050" w:rsidP="00842050">
      <w:pPr>
        <w:rPr>
          <w:color w:val="000000"/>
          <w:szCs w:val="22"/>
        </w:rPr>
      </w:pPr>
      <w:r>
        <w:rPr>
          <w:color w:val="000000"/>
          <w:szCs w:val="22"/>
        </w:rPr>
        <w:t xml:space="preserve">The production of seeds also reflects a simple measure of the capacity of a seagrass meadow to recover following large scale impacts </w:t>
      </w:r>
      <w:r>
        <w:rPr>
          <w:noProof/>
          <w:color w:val="000000"/>
          <w:szCs w:val="22"/>
        </w:rPr>
        <w:t>(</w:t>
      </w:r>
      <w:hyperlink w:anchor="_ENREF_53" w:tooltip="Collier, 2009 #9285" w:history="1">
        <w:r w:rsidR="00305FE7">
          <w:fldChar w:fldCharType="begin"/>
        </w:r>
        <w:r w:rsidR="00305FE7">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305FE7">
          <w:fldChar w:fldCharType="separate"/>
        </w:r>
        <w:r w:rsidR="00305FE7">
          <w:rPr>
            <w:noProof/>
          </w:rPr>
          <w:t>Collier and Waycott 2009</w:t>
        </w:r>
        <w:r w:rsidR="00305FE7">
          <w:fldChar w:fldCharType="end"/>
        </w:r>
      </w:hyperlink>
      <w:r>
        <w:rPr>
          <w:noProof/>
          <w:color w:val="000000"/>
          <w:szCs w:val="22"/>
        </w:rPr>
        <w:t>)</w:t>
      </w:r>
      <w:r>
        <w:rPr>
          <w:color w:val="000000"/>
          <w:szCs w:val="22"/>
        </w:rPr>
        <w:t xml:space="preserve">. As it is well recognized that coastal seagrasses are prone to small scale disturbances that cause local losses </w:t>
      </w:r>
      <w:r>
        <w:rPr>
          <w:noProof/>
          <w:color w:val="000000"/>
          <w:szCs w:val="22"/>
        </w:rPr>
        <w:t>(</w:t>
      </w:r>
      <w:hyperlink w:anchor="_ENREF_53" w:tooltip="Collier, 2009 #9285" w:history="1">
        <w:r w:rsidR="00305FE7">
          <w:fldChar w:fldCharType="begin"/>
        </w:r>
        <w:r w:rsidR="00305FE7">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305FE7">
          <w:fldChar w:fldCharType="separate"/>
        </w:r>
        <w:r w:rsidR="00305FE7">
          <w:rPr>
            <w:noProof/>
          </w:rPr>
          <w:t>Collier and Waycott 2009</w:t>
        </w:r>
        <w:r w:rsidR="00305FE7">
          <w:fldChar w:fldCharType="end"/>
        </w:r>
      </w:hyperlink>
      <w:r>
        <w:rPr>
          <w:noProof/>
          <w:color w:val="000000"/>
          <w:szCs w:val="22"/>
        </w:rPr>
        <w:t>)</w:t>
      </w:r>
      <w:r>
        <w:rPr>
          <w:color w:val="000000"/>
          <w:szCs w:val="22"/>
        </w:rPr>
        <w:t xml:space="preserve"> and then recover in relatively short periods of time, the need for a local seed source is considerable. In the GBR, the production of seeds comes in numerous forms and seed banks examined at MMP sites are limited to foundational seagrass species (seeds &gt;0.5mm diameter). At this time, seed banks have not been included in the metric for reproductive effort, but methods for future incorporation are currently being explored.</w:t>
      </w:r>
    </w:p>
    <w:p w14:paraId="14C78D23" w14:textId="01207812" w:rsidR="00842050" w:rsidRDefault="00842050" w:rsidP="00842050">
      <w:pPr>
        <w:spacing w:before="240"/>
        <w:rPr>
          <w:color w:val="000000"/>
          <w:szCs w:val="22"/>
        </w:rPr>
      </w:pPr>
      <w:r>
        <w:rPr>
          <w:color w:val="000000"/>
          <w:szCs w:val="22"/>
        </w:rPr>
        <w:t>Using the annual mean of all species pooled in the late dry and comparing with the long-term (2005-2010) average for GBR habitat (coastal intertidal = 8.22±0.71, estuarine intertidal = 5.07±0.41, reef intertidal = 1.32±0.14), the reproductive effort was scored as the number of reproductive structures per core and the overall status determined (</w:t>
      </w:r>
      <w:r>
        <w:fldChar w:fldCharType="begin"/>
      </w:r>
      <w:r>
        <w:rPr>
          <w:color w:val="000000"/>
        </w:rPr>
        <w:instrText xml:space="preserve"> REF _Ref271192830 \h  \* MERGEFORMAT </w:instrText>
      </w:r>
      <w:r>
        <w:fldChar w:fldCharType="separate"/>
      </w:r>
      <w:r w:rsidR="00F87DF9" w:rsidRPr="00015190">
        <w:rPr>
          <w:color w:val="000000"/>
          <w:szCs w:val="22"/>
        </w:rPr>
        <w:t xml:space="preserve">Table </w:t>
      </w:r>
      <w:r w:rsidR="00F87DF9">
        <w:rPr>
          <w:noProof/>
          <w:color w:val="000000"/>
          <w:szCs w:val="22"/>
        </w:rPr>
        <w:t>6</w:t>
      </w:r>
      <w:r>
        <w:fldChar w:fldCharType="end"/>
      </w:r>
      <w:r>
        <w:rPr>
          <w:color w:val="000000"/>
          <w:szCs w:val="22"/>
        </w:rPr>
        <w:t>) as the ratio of the average number observed divided by the long term average.</w:t>
      </w:r>
    </w:p>
    <w:p w14:paraId="467E3528" w14:textId="77777777" w:rsidR="00842050" w:rsidRDefault="00842050" w:rsidP="00842050">
      <w:pPr>
        <w:spacing w:before="240"/>
        <w:rPr>
          <w:color w:val="000000"/>
          <w:szCs w:val="22"/>
        </w:rPr>
      </w:pPr>
    </w:p>
    <w:p w14:paraId="72CA1745" w14:textId="2C44BF43" w:rsidR="00842050" w:rsidRDefault="00842050" w:rsidP="00842050">
      <w:pPr>
        <w:keepNext/>
        <w:jc w:val="center"/>
        <w:rPr>
          <w:color w:val="000000"/>
          <w:szCs w:val="22"/>
        </w:rPr>
      </w:pPr>
      <w:bookmarkStart w:id="1016" w:name="_Toc431494022"/>
      <w:bookmarkStart w:id="1017" w:name="_Toc516053470"/>
      <w:r>
        <w:rPr>
          <w:color w:val="000000"/>
          <w:szCs w:val="22"/>
        </w:rPr>
        <w:t xml:space="preserve">Table </w:t>
      </w:r>
      <w:r>
        <w:fldChar w:fldCharType="begin"/>
      </w:r>
      <w:r>
        <w:rPr>
          <w:color w:val="000000"/>
          <w:szCs w:val="22"/>
        </w:rPr>
        <w:instrText xml:space="preserve"> SEQ Table \* ARABIC </w:instrText>
      </w:r>
      <w:r>
        <w:fldChar w:fldCharType="separate"/>
      </w:r>
      <w:r w:rsidR="00F87DF9">
        <w:rPr>
          <w:noProof/>
          <w:color w:val="000000"/>
          <w:szCs w:val="22"/>
        </w:rPr>
        <w:t>46</w:t>
      </w:r>
      <w:r>
        <w:fldChar w:fldCharType="end"/>
      </w:r>
      <w:r>
        <w:rPr>
          <w:color w:val="000000"/>
          <w:szCs w:val="22"/>
        </w:rPr>
        <w:t xml:space="preserve">. </w:t>
      </w:r>
      <w:r>
        <w:rPr>
          <w:rFonts w:cs="Arial"/>
          <w:i/>
          <w:color w:val="000000"/>
          <w:szCs w:val="22"/>
        </w:rPr>
        <w:t xml:space="preserve">Scores for </w:t>
      </w:r>
      <w:r>
        <w:rPr>
          <w:i/>
          <w:iCs/>
          <w:color w:val="000000"/>
          <w:szCs w:val="22"/>
          <w:lang w:eastAsia="en-AU"/>
        </w:rPr>
        <w:t xml:space="preserve">late dry </w:t>
      </w:r>
      <w:r>
        <w:rPr>
          <w:rFonts w:cs="Arial"/>
          <w:i/>
          <w:color w:val="000000"/>
          <w:szCs w:val="22"/>
        </w:rPr>
        <w:t xml:space="preserve">monitoring period reproductive effort average against long-term (2005-2010) GBR habitat average. </w:t>
      </w:r>
      <w:r>
        <w:rPr>
          <w:i/>
          <w:color w:val="000000"/>
        </w:rPr>
        <w:t>NB: scores are unitless.</w:t>
      </w:r>
      <w:bookmarkEnd w:id="1016"/>
      <w:bookmarkEnd w:id="1017"/>
    </w:p>
    <w:tbl>
      <w:tblPr>
        <w:tblW w:w="8279" w:type="dxa"/>
        <w:jc w:val="center"/>
        <w:tblLook w:val="04A0" w:firstRow="1" w:lastRow="0" w:firstColumn="1" w:lastColumn="0" w:noHBand="0" w:noVBand="1"/>
      </w:tblPr>
      <w:tblGrid>
        <w:gridCol w:w="1337"/>
        <w:gridCol w:w="2953"/>
        <w:gridCol w:w="766"/>
        <w:gridCol w:w="805"/>
        <w:gridCol w:w="1368"/>
        <w:gridCol w:w="1050"/>
      </w:tblGrid>
      <w:tr w:rsidR="00842050" w14:paraId="46E08F58" w14:textId="77777777" w:rsidTr="00805748">
        <w:trPr>
          <w:trHeight w:val="290"/>
          <w:jc w:val="center"/>
        </w:trPr>
        <w:tc>
          <w:tcPr>
            <w:tcW w:w="1337" w:type="dxa"/>
            <w:tcBorders>
              <w:top w:val="single" w:sz="4" w:space="0" w:color="auto"/>
              <w:left w:val="nil"/>
              <w:bottom w:val="single" w:sz="4" w:space="0" w:color="auto"/>
              <w:right w:val="nil"/>
            </w:tcBorders>
            <w:vAlign w:val="center"/>
            <w:hideMark/>
          </w:tcPr>
          <w:p w14:paraId="4DEBA6CE" w14:textId="77777777" w:rsidR="00842050" w:rsidRDefault="00842050" w:rsidP="00805748">
            <w:pPr>
              <w:keepNext/>
              <w:spacing w:before="0" w:after="0"/>
              <w:jc w:val="center"/>
              <w:rPr>
                <w:b/>
                <w:i/>
                <w:iCs/>
                <w:color w:val="000000"/>
                <w:lang w:val="en-US"/>
              </w:rPr>
            </w:pPr>
            <w:r>
              <w:rPr>
                <w:b/>
                <w:i/>
                <w:iCs/>
                <w:color w:val="000000"/>
                <w:szCs w:val="22"/>
                <w:lang w:val="en-US"/>
              </w:rPr>
              <w:t>description</w:t>
            </w:r>
          </w:p>
        </w:tc>
        <w:tc>
          <w:tcPr>
            <w:tcW w:w="2953" w:type="dxa"/>
            <w:tcBorders>
              <w:top w:val="single" w:sz="4" w:space="0" w:color="auto"/>
              <w:left w:val="nil"/>
              <w:bottom w:val="single" w:sz="4" w:space="0" w:color="auto"/>
              <w:right w:val="nil"/>
            </w:tcBorders>
            <w:noWrap/>
            <w:vAlign w:val="center"/>
            <w:hideMark/>
          </w:tcPr>
          <w:p w14:paraId="646B06AC" w14:textId="77777777" w:rsidR="00842050" w:rsidRDefault="00842050" w:rsidP="00805748">
            <w:pPr>
              <w:keepNext/>
              <w:spacing w:before="0" w:after="0"/>
              <w:jc w:val="center"/>
              <w:rPr>
                <w:b/>
                <w:i/>
                <w:iCs/>
                <w:color w:val="000000"/>
                <w:lang w:val="en-US"/>
              </w:rPr>
            </w:pPr>
            <w:r>
              <w:rPr>
                <w:b/>
                <w:i/>
                <w:iCs/>
                <w:color w:val="000000"/>
                <w:szCs w:val="22"/>
                <w:lang w:val="en-US"/>
              </w:rPr>
              <w:t>Reproductive Effort</w:t>
            </w:r>
          </w:p>
          <w:p w14:paraId="78EBEC84" w14:textId="77777777" w:rsidR="00842050" w:rsidRDefault="00842050" w:rsidP="00805748">
            <w:pPr>
              <w:keepNext/>
              <w:spacing w:before="0" w:after="0"/>
              <w:jc w:val="center"/>
              <w:rPr>
                <w:b/>
                <w:i/>
                <w:iCs/>
                <w:color w:val="000000"/>
                <w:lang w:val="en-US"/>
              </w:rPr>
            </w:pPr>
            <w:r>
              <w:rPr>
                <w:b/>
                <w:i/>
                <w:iCs/>
                <w:color w:val="000000"/>
                <w:szCs w:val="22"/>
                <w:lang w:val="en-US"/>
              </w:rPr>
              <w:t>monitoring period / long-term</w:t>
            </w:r>
          </w:p>
        </w:tc>
        <w:tc>
          <w:tcPr>
            <w:tcW w:w="766" w:type="dxa"/>
            <w:tcBorders>
              <w:top w:val="single" w:sz="4" w:space="0" w:color="auto"/>
              <w:left w:val="nil"/>
              <w:bottom w:val="single" w:sz="4" w:space="0" w:color="auto"/>
              <w:right w:val="nil"/>
            </w:tcBorders>
            <w:vAlign w:val="center"/>
            <w:hideMark/>
          </w:tcPr>
          <w:p w14:paraId="0DDD83B6" w14:textId="77777777" w:rsidR="00842050" w:rsidRDefault="00842050" w:rsidP="00805748">
            <w:pPr>
              <w:keepNext/>
              <w:spacing w:before="0" w:after="0"/>
              <w:jc w:val="center"/>
              <w:rPr>
                <w:b/>
                <w:i/>
                <w:iCs/>
                <w:color w:val="000000"/>
                <w:lang w:val="en-US"/>
              </w:rPr>
            </w:pPr>
            <w:r>
              <w:rPr>
                <w:b/>
                <w:i/>
                <w:iCs/>
                <w:color w:val="000000"/>
                <w:szCs w:val="22"/>
                <w:lang w:val="en-US"/>
              </w:rPr>
              <w:t>ratio</w:t>
            </w:r>
          </w:p>
        </w:tc>
        <w:tc>
          <w:tcPr>
            <w:tcW w:w="805" w:type="dxa"/>
            <w:tcBorders>
              <w:top w:val="single" w:sz="4" w:space="0" w:color="auto"/>
              <w:left w:val="nil"/>
              <w:bottom w:val="single" w:sz="4" w:space="0" w:color="auto"/>
              <w:right w:val="nil"/>
            </w:tcBorders>
            <w:noWrap/>
            <w:vAlign w:val="center"/>
            <w:hideMark/>
          </w:tcPr>
          <w:p w14:paraId="0612850F" w14:textId="77777777" w:rsidR="00842050" w:rsidRDefault="00842050" w:rsidP="00805748">
            <w:pPr>
              <w:keepNext/>
              <w:spacing w:before="0" w:after="0"/>
              <w:jc w:val="center"/>
              <w:rPr>
                <w:b/>
                <w:i/>
                <w:iCs/>
                <w:color w:val="000000"/>
                <w:lang w:val="en-US"/>
              </w:rPr>
            </w:pPr>
            <w:r>
              <w:rPr>
                <w:b/>
                <w:i/>
                <w:iCs/>
                <w:color w:val="000000"/>
                <w:szCs w:val="22"/>
                <w:lang w:val="en-US"/>
              </w:rPr>
              <w:t>score</w:t>
            </w:r>
          </w:p>
        </w:tc>
        <w:tc>
          <w:tcPr>
            <w:tcW w:w="1368" w:type="dxa"/>
            <w:tcBorders>
              <w:top w:val="single" w:sz="4" w:space="0" w:color="auto"/>
              <w:left w:val="nil"/>
              <w:bottom w:val="single" w:sz="4" w:space="0" w:color="auto"/>
              <w:right w:val="nil"/>
            </w:tcBorders>
            <w:noWrap/>
            <w:vAlign w:val="center"/>
            <w:hideMark/>
          </w:tcPr>
          <w:p w14:paraId="0F873CCF" w14:textId="77777777" w:rsidR="00842050" w:rsidRDefault="00842050" w:rsidP="00805748">
            <w:pPr>
              <w:keepNext/>
              <w:spacing w:before="0" w:after="0"/>
              <w:jc w:val="center"/>
              <w:rPr>
                <w:b/>
                <w:i/>
                <w:iCs/>
                <w:color w:val="000000"/>
                <w:lang w:val="en-US"/>
              </w:rPr>
            </w:pPr>
            <w:r>
              <w:rPr>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hideMark/>
          </w:tcPr>
          <w:p w14:paraId="5234990E" w14:textId="77777777" w:rsidR="00842050" w:rsidRDefault="00842050" w:rsidP="00805748">
            <w:pPr>
              <w:keepNext/>
              <w:spacing w:before="0" w:after="0"/>
              <w:jc w:val="center"/>
              <w:rPr>
                <w:b/>
                <w:i/>
                <w:iCs/>
                <w:color w:val="000000"/>
                <w:lang w:val="en-US"/>
              </w:rPr>
            </w:pPr>
            <w:r>
              <w:rPr>
                <w:b/>
                <w:i/>
                <w:iCs/>
                <w:color w:val="000000"/>
                <w:szCs w:val="22"/>
                <w:lang w:val="en-US"/>
              </w:rPr>
              <w:t>status</w:t>
            </w:r>
          </w:p>
        </w:tc>
      </w:tr>
      <w:tr w:rsidR="00842050" w14:paraId="6A29A683" w14:textId="77777777" w:rsidTr="00805748">
        <w:trPr>
          <w:trHeight w:val="290"/>
          <w:jc w:val="center"/>
        </w:trPr>
        <w:tc>
          <w:tcPr>
            <w:tcW w:w="1337" w:type="dxa"/>
            <w:vAlign w:val="bottom"/>
            <w:hideMark/>
          </w:tcPr>
          <w:p w14:paraId="2FE7F3F8" w14:textId="77777777" w:rsidR="00842050" w:rsidRDefault="00842050" w:rsidP="00805748">
            <w:pPr>
              <w:spacing w:before="0" w:after="0"/>
              <w:rPr>
                <w:i/>
                <w:iCs/>
                <w:color w:val="000000"/>
                <w:lang w:eastAsia="en-AU"/>
              </w:rPr>
            </w:pPr>
            <w:r>
              <w:rPr>
                <w:i/>
                <w:iCs/>
                <w:color w:val="000000"/>
                <w:szCs w:val="22"/>
                <w:lang w:eastAsia="en-AU"/>
              </w:rPr>
              <w:t>very good</w:t>
            </w:r>
          </w:p>
        </w:tc>
        <w:tc>
          <w:tcPr>
            <w:tcW w:w="2953" w:type="dxa"/>
            <w:noWrap/>
            <w:vAlign w:val="bottom"/>
            <w:hideMark/>
          </w:tcPr>
          <w:p w14:paraId="70873221" w14:textId="77777777" w:rsidR="00842050" w:rsidRDefault="00842050" w:rsidP="00805748">
            <w:pPr>
              <w:spacing w:before="0" w:after="0"/>
              <w:jc w:val="center"/>
              <w:rPr>
                <w:color w:val="000000"/>
                <w:lang w:eastAsia="en-AU"/>
              </w:rPr>
            </w:pPr>
            <w:r>
              <w:rPr>
                <w:color w:val="000000"/>
                <w:szCs w:val="22"/>
                <w:lang w:eastAsia="en-AU"/>
              </w:rPr>
              <w:t>≥4</w:t>
            </w:r>
          </w:p>
        </w:tc>
        <w:tc>
          <w:tcPr>
            <w:tcW w:w="766" w:type="dxa"/>
            <w:vAlign w:val="bottom"/>
            <w:hideMark/>
          </w:tcPr>
          <w:p w14:paraId="0D9B0F4E" w14:textId="77777777" w:rsidR="00842050" w:rsidRDefault="00842050" w:rsidP="00805748">
            <w:pPr>
              <w:spacing w:before="0" w:after="0"/>
              <w:jc w:val="center"/>
              <w:rPr>
                <w:color w:val="000000"/>
                <w:lang w:eastAsia="en-AU"/>
              </w:rPr>
            </w:pPr>
            <w:r>
              <w:rPr>
                <w:color w:val="000000"/>
                <w:szCs w:val="22"/>
                <w:lang w:eastAsia="en-AU"/>
              </w:rPr>
              <w:t>4.0</w:t>
            </w:r>
          </w:p>
        </w:tc>
        <w:tc>
          <w:tcPr>
            <w:tcW w:w="805" w:type="dxa"/>
            <w:noWrap/>
            <w:vAlign w:val="bottom"/>
            <w:hideMark/>
          </w:tcPr>
          <w:p w14:paraId="10A6EBCB" w14:textId="77777777" w:rsidR="00842050" w:rsidRDefault="00842050" w:rsidP="00805748">
            <w:pPr>
              <w:spacing w:before="0" w:after="0"/>
              <w:jc w:val="center"/>
              <w:rPr>
                <w:color w:val="000000"/>
                <w:lang w:eastAsia="en-AU"/>
              </w:rPr>
            </w:pPr>
            <w:r>
              <w:rPr>
                <w:color w:val="000000"/>
                <w:szCs w:val="22"/>
                <w:lang w:eastAsia="en-AU"/>
              </w:rPr>
              <w:t>4</w:t>
            </w:r>
          </w:p>
        </w:tc>
        <w:tc>
          <w:tcPr>
            <w:tcW w:w="1368" w:type="dxa"/>
            <w:noWrap/>
            <w:vAlign w:val="bottom"/>
            <w:hideMark/>
          </w:tcPr>
          <w:p w14:paraId="6EB09705" w14:textId="77777777" w:rsidR="00842050" w:rsidRDefault="00842050" w:rsidP="00805748">
            <w:pPr>
              <w:spacing w:before="0" w:after="0"/>
              <w:jc w:val="center"/>
              <w:rPr>
                <w:color w:val="000000"/>
                <w:lang w:eastAsia="en-AU"/>
              </w:rPr>
            </w:pPr>
            <w:r>
              <w:rPr>
                <w:color w:val="000000"/>
                <w:szCs w:val="22"/>
                <w:lang w:eastAsia="en-AU"/>
              </w:rPr>
              <w:t>100</w:t>
            </w:r>
          </w:p>
        </w:tc>
        <w:tc>
          <w:tcPr>
            <w:tcW w:w="1050" w:type="dxa"/>
            <w:shd w:val="clear" w:color="auto" w:fill="008000"/>
            <w:noWrap/>
            <w:vAlign w:val="bottom"/>
            <w:hideMark/>
          </w:tcPr>
          <w:p w14:paraId="079E9793" w14:textId="77777777"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14:paraId="75B1DCDD" w14:textId="77777777" w:rsidTr="00805748">
        <w:trPr>
          <w:trHeight w:val="290"/>
          <w:jc w:val="center"/>
        </w:trPr>
        <w:tc>
          <w:tcPr>
            <w:tcW w:w="1337" w:type="dxa"/>
            <w:vAlign w:val="bottom"/>
            <w:hideMark/>
          </w:tcPr>
          <w:p w14:paraId="5AE5CDB3" w14:textId="77777777" w:rsidR="00842050" w:rsidRDefault="00842050" w:rsidP="00805748">
            <w:pPr>
              <w:spacing w:before="0" w:after="0"/>
              <w:rPr>
                <w:i/>
                <w:iCs/>
                <w:color w:val="000000"/>
                <w:lang w:eastAsia="en-AU"/>
              </w:rPr>
            </w:pPr>
            <w:r>
              <w:rPr>
                <w:i/>
                <w:iCs/>
                <w:color w:val="000000"/>
                <w:szCs w:val="22"/>
                <w:lang w:eastAsia="en-AU"/>
              </w:rPr>
              <w:t>good</w:t>
            </w:r>
          </w:p>
        </w:tc>
        <w:tc>
          <w:tcPr>
            <w:tcW w:w="2953" w:type="dxa"/>
            <w:noWrap/>
            <w:vAlign w:val="bottom"/>
            <w:hideMark/>
          </w:tcPr>
          <w:p w14:paraId="3D112B43" w14:textId="77777777" w:rsidR="00842050" w:rsidRDefault="00842050" w:rsidP="00805748">
            <w:pPr>
              <w:spacing w:before="0" w:after="0"/>
              <w:jc w:val="center"/>
              <w:rPr>
                <w:color w:val="000000"/>
                <w:lang w:eastAsia="en-AU"/>
              </w:rPr>
            </w:pPr>
            <w:r>
              <w:rPr>
                <w:color w:val="000000"/>
                <w:szCs w:val="22"/>
                <w:lang w:eastAsia="en-AU"/>
              </w:rPr>
              <w:t>2 to &lt;4</w:t>
            </w:r>
          </w:p>
        </w:tc>
        <w:tc>
          <w:tcPr>
            <w:tcW w:w="766" w:type="dxa"/>
            <w:vAlign w:val="bottom"/>
            <w:hideMark/>
          </w:tcPr>
          <w:p w14:paraId="56B57E02" w14:textId="77777777" w:rsidR="00842050" w:rsidRDefault="00842050" w:rsidP="00805748">
            <w:pPr>
              <w:spacing w:before="0" w:after="0"/>
              <w:jc w:val="center"/>
              <w:rPr>
                <w:color w:val="000000"/>
                <w:lang w:eastAsia="en-AU"/>
              </w:rPr>
            </w:pPr>
            <w:r>
              <w:rPr>
                <w:color w:val="000000"/>
                <w:szCs w:val="22"/>
                <w:lang w:eastAsia="en-AU"/>
              </w:rPr>
              <w:t>2.0</w:t>
            </w:r>
          </w:p>
        </w:tc>
        <w:tc>
          <w:tcPr>
            <w:tcW w:w="805" w:type="dxa"/>
            <w:noWrap/>
            <w:vAlign w:val="bottom"/>
            <w:hideMark/>
          </w:tcPr>
          <w:p w14:paraId="0BAFF64F" w14:textId="77777777" w:rsidR="00842050" w:rsidRDefault="00842050" w:rsidP="00805748">
            <w:pPr>
              <w:spacing w:before="0" w:after="0"/>
              <w:jc w:val="center"/>
              <w:rPr>
                <w:color w:val="000000"/>
                <w:lang w:eastAsia="en-AU"/>
              </w:rPr>
            </w:pPr>
            <w:r>
              <w:rPr>
                <w:color w:val="000000"/>
                <w:szCs w:val="22"/>
                <w:lang w:eastAsia="en-AU"/>
              </w:rPr>
              <w:t>3</w:t>
            </w:r>
          </w:p>
        </w:tc>
        <w:tc>
          <w:tcPr>
            <w:tcW w:w="1368" w:type="dxa"/>
            <w:noWrap/>
            <w:vAlign w:val="bottom"/>
            <w:hideMark/>
          </w:tcPr>
          <w:p w14:paraId="7888F788" w14:textId="77777777" w:rsidR="00842050" w:rsidRDefault="00842050" w:rsidP="00805748">
            <w:pPr>
              <w:spacing w:before="0" w:after="0"/>
              <w:jc w:val="center"/>
              <w:rPr>
                <w:color w:val="000000"/>
                <w:lang w:eastAsia="en-AU"/>
              </w:rPr>
            </w:pPr>
            <w:r>
              <w:rPr>
                <w:color w:val="000000"/>
                <w:szCs w:val="22"/>
                <w:lang w:eastAsia="en-AU"/>
              </w:rPr>
              <w:t>75</w:t>
            </w:r>
          </w:p>
        </w:tc>
        <w:tc>
          <w:tcPr>
            <w:tcW w:w="1050" w:type="dxa"/>
            <w:shd w:val="clear" w:color="auto" w:fill="92D050"/>
            <w:noWrap/>
            <w:vAlign w:val="bottom"/>
            <w:hideMark/>
          </w:tcPr>
          <w:p w14:paraId="398D1D82" w14:textId="77777777" w:rsidR="00842050" w:rsidRDefault="00796FE8" w:rsidP="00805748">
            <w:pPr>
              <w:spacing w:before="0" w:after="0"/>
              <w:jc w:val="center"/>
              <w:rPr>
                <w:color w:val="000000"/>
                <w:lang w:eastAsia="en-AU"/>
              </w:rPr>
            </w:pPr>
            <w:r>
              <w:rPr>
                <w:color w:val="000000"/>
                <w:szCs w:val="22"/>
                <w:lang w:eastAsia="en-AU"/>
              </w:rPr>
              <w:t xml:space="preserve">61 - </w:t>
            </w:r>
            <w:r w:rsidR="00842050">
              <w:rPr>
                <w:color w:val="000000"/>
                <w:szCs w:val="22"/>
                <w:lang w:eastAsia="en-AU"/>
              </w:rPr>
              <w:t>80</w:t>
            </w:r>
          </w:p>
        </w:tc>
      </w:tr>
      <w:tr w:rsidR="00842050" w14:paraId="06605AD9" w14:textId="77777777" w:rsidTr="00805748">
        <w:trPr>
          <w:trHeight w:val="290"/>
          <w:jc w:val="center"/>
        </w:trPr>
        <w:tc>
          <w:tcPr>
            <w:tcW w:w="1337" w:type="dxa"/>
            <w:vAlign w:val="bottom"/>
            <w:hideMark/>
          </w:tcPr>
          <w:p w14:paraId="437305EB" w14:textId="77777777" w:rsidR="00842050" w:rsidRDefault="00842050" w:rsidP="00805748">
            <w:pPr>
              <w:spacing w:before="0" w:after="0"/>
              <w:rPr>
                <w:i/>
                <w:iCs/>
                <w:color w:val="000000"/>
                <w:lang w:eastAsia="en-AU"/>
              </w:rPr>
            </w:pPr>
            <w:r>
              <w:rPr>
                <w:i/>
                <w:iCs/>
                <w:color w:val="000000"/>
                <w:szCs w:val="22"/>
                <w:lang w:eastAsia="en-AU"/>
              </w:rPr>
              <w:t>moderate</w:t>
            </w:r>
          </w:p>
        </w:tc>
        <w:tc>
          <w:tcPr>
            <w:tcW w:w="2953" w:type="dxa"/>
            <w:noWrap/>
            <w:vAlign w:val="bottom"/>
            <w:hideMark/>
          </w:tcPr>
          <w:p w14:paraId="2EB6D71F" w14:textId="77777777" w:rsidR="00842050" w:rsidRDefault="00842050" w:rsidP="00805748">
            <w:pPr>
              <w:spacing w:before="0" w:after="0"/>
              <w:jc w:val="center"/>
              <w:rPr>
                <w:color w:val="000000"/>
                <w:lang w:eastAsia="en-AU"/>
              </w:rPr>
            </w:pPr>
            <w:r>
              <w:rPr>
                <w:color w:val="000000"/>
                <w:szCs w:val="22"/>
                <w:lang w:eastAsia="en-AU"/>
              </w:rPr>
              <w:t>1 to &lt;2</w:t>
            </w:r>
          </w:p>
        </w:tc>
        <w:tc>
          <w:tcPr>
            <w:tcW w:w="766" w:type="dxa"/>
            <w:vAlign w:val="bottom"/>
            <w:hideMark/>
          </w:tcPr>
          <w:p w14:paraId="3767966E" w14:textId="77777777" w:rsidR="00842050" w:rsidRDefault="00842050" w:rsidP="00805748">
            <w:pPr>
              <w:spacing w:before="0" w:after="0"/>
              <w:jc w:val="center"/>
              <w:rPr>
                <w:color w:val="000000"/>
                <w:lang w:eastAsia="en-AU"/>
              </w:rPr>
            </w:pPr>
            <w:r>
              <w:rPr>
                <w:color w:val="000000"/>
                <w:szCs w:val="22"/>
                <w:lang w:eastAsia="en-AU"/>
              </w:rPr>
              <w:t>1.0</w:t>
            </w:r>
          </w:p>
        </w:tc>
        <w:tc>
          <w:tcPr>
            <w:tcW w:w="805" w:type="dxa"/>
            <w:noWrap/>
            <w:vAlign w:val="bottom"/>
            <w:hideMark/>
          </w:tcPr>
          <w:p w14:paraId="1C02CF75" w14:textId="77777777" w:rsidR="00842050" w:rsidRDefault="00842050" w:rsidP="00805748">
            <w:pPr>
              <w:spacing w:before="0" w:after="0"/>
              <w:jc w:val="center"/>
              <w:rPr>
                <w:color w:val="000000"/>
                <w:lang w:eastAsia="en-AU"/>
              </w:rPr>
            </w:pPr>
            <w:r>
              <w:rPr>
                <w:color w:val="000000"/>
                <w:szCs w:val="22"/>
                <w:lang w:eastAsia="en-AU"/>
              </w:rPr>
              <w:t>2</w:t>
            </w:r>
          </w:p>
        </w:tc>
        <w:tc>
          <w:tcPr>
            <w:tcW w:w="1368" w:type="dxa"/>
            <w:noWrap/>
            <w:vAlign w:val="bottom"/>
            <w:hideMark/>
          </w:tcPr>
          <w:p w14:paraId="32DD78A6" w14:textId="77777777" w:rsidR="00842050" w:rsidRDefault="00842050" w:rsidP="00805748">
            <w:pPr>
              <w:spacing w:before="0" w:after="0"/>
              <w:jc w:val="center"/>
              <w:rPr>
                <w:color w:val="000000"/>
                <w:lang w:eastAsia="en-AU"/>
              </w:rPr>
            </w:pPr>
            <w:r>
              <w:rPr>
                <w:color w:val="000000"/>
                <w:szCs w:val="22"/>
                <w:lang w:eastAsia="en-AU"/>
              </w:rPr>
              <w:t>50</w:t>
            </w:r>
          </w:p>
        </w:tc>
        <w:tc>
          <w:tcPr>
            <w:tcW w:w="1050" w:type="dxa"/>
            <w:shd w:val="clear" w:color="auto" w:fill="FFFF00"/>
            <w:noWrap/>
            <w:vAlign w:val="bottom"/>
            <w:hideMark/>
          </w:tcPr>
          <w:p w14:paraId="756A342B" w14:textId="77777777" w:rsidR="00842050" w:rsidRDefault="00796FE8" w:rsidP="00805748">
            <w:pPr>
              <w:spacing w:before="0" w:after="0"/>
              <w:jc w:val="center"/>
              <w:rPr>
                <w:color w:val="000000"/>
                <w:lang w:eastAsia="en-AU"/>
              </w:rPr>
            </w:pPr>
            <w:r>
              <w:rPr>
                <w:color w:val="000000"/>
                <w:szCs w:val="22"/>
                <w:lang w:eastAsia="en-AU"/>
              </w:rPr>
              <w:t xml:space="preserve">41 - </w:t>
            </w:r>
            <w:r w:rsidR="00842050">
              <w:rPr>
                <w:color w:val="000000"/>
                <w:szCs w:val="22"/>
                <w:lang w:eastAsia="en-AU"/>
              </w:rPr>
              <w:t>60</w:t>
            </w:r>
          </w:p>
        </w:tc>
      </w:tr>
      <w:tr w:rsidR="00842050" w14:paraId="6D636726" w14:textId="77777777" w:rsidTr="00805748">
        <w:trPr>
          <w:trHeight w:val="290"/>
          <w:jc w:val="center"/>
        </w:trPr>
        <w:tc>
          <w:tcPr>
            <w:tcW w:w="1337" w:type="dxa"/>
            <w:vAlign w:val="bottom"/>
            <w:hideMark/>
          </w:tcPr>
          <w:p w14:paraId="3989E8CF" w14:textId="77777777" w:rsidR="00842050" w:rsidRDefault="00842050" w:rsidP="00805748">
            <w:pPr>
              <w:spacing w:before="0" w:after="0"/>
              <w:rPr>
                <w:i/>
                <w:iCs/>
                <w:color w:val="000000"/>
                <w:lang w:eastAsia="en-AU"/>
              </w:rPr>
            </w:pPr>
            <w:r>
              <w:rPr>
                <w:i/>
                <w:iCs/>
                <w:color w:val="000000"/>
                <w:szCs w:val="22"/>
                <w:lang w:eastAsia="en-AU"/>
              </w:rPr>
              <w:t>poor</w:t>
            </w:r>
          </w:p>
        </w:tc>
        <w:tc>
          <w:tcPr>
            <w:tcW w:w="2953" w:type="dxa"/>
            <w:noWrap/>
            <w:vAlign w:val="bottom"/>
            <w:hideMark/>
          </w:tcPr>
          <w:p w14:paraId="7AB52CF4" w14:textId="77777777" w:rsidR="00842050" w:rsidRDefault="00842050" w:rsidP="00805748">
            <w:pPr>
              <w:spacing w:before="0" w:after="0"/>
              <w:jc w:val="center"/>
              <w:rPr>
                <w:color w:val="000000"/>
                <w:lang w:eastAsia="en-AU"/>
              </w:rPr>
            </w:pPr>
            <w:r>
              <w:rPr>
                <w:color w:val="000000"/>
                <w:szCs w:val="22"/>
                <w:lang w:eastAsia="en-AU"/>
              </w:rPr>
              <w:t>0.5 to &lt;1</w:t>
            </w:r>
          </w:p>
        </w:tc>
        <w:tc>
          <w:tcPr>
            <w:tcW w:w="766" w:type="dxa"/>
            <w:vAlign w:val="bottom"/>
            <w:hideMark/>
          </w:tcPr>
          <w:p w14:paraId="138A9217" w14:textId="77777777" w:rsidR="00842050" w:rsidRDefault="00842050" w:rsidP="00805748">
            <w:pPr>
              <w:spacing w:before="0" w:after="0"/>
              <w:jc w:val="center"/>
              <w:rPr>
                <w:color w:val="000000"/>
                <w:lang w:eastAsia="en-AU"/>
              </w:rPr>
            </w:pPr>
            <w:r>
              <w:rPr>
                <w:color w:val="000000"/>
                <w:szCs w:val="22"/>
                <w:lang w:eastAsia="en-AU"/>
              </w:rPr>
              <w:t>0.5</w:t>
            </w:r>
          </w:p>
        </w:tc>
        <w:tc>
          <w:tcPr>
            <w:tcW w:w="805" w:type="dxa"/>
            <w:noWrap/>
            <w:vAlign w:val="bottom"/>
            <w:hideMark/>
          </w:tcPr>
          <w:p w14:paraId="4613432A" w14:textId="77777777" w:rsidR="00842050" w:rsidRDefault="00842050" w:rsidP="00805748">
            <w:pPr>
              <w:spacing w:before="0" w:after="0"/>
              <w:jc w:val="center"/>
              <w:rPr>
                <w:color w:val="000000"/>
                <w:lang w:eastAsia="en-AU"/>
              </w:rPr>
            </w:pPr>
            <w:r>
              <w:rPr>
                <w:color w:val="000000"/>
                <w:szCs w:val="22"/>
                <w:lang w:eastAsia="en-AU"/>
              </w:rPr>
              <w:t>1</w:t>
            </w:r>
          </w:p>
        </w:tc>
        <w:tc>
          <w:tcPr>
            <w:tcW w:w="1368" w:type="dxa"/>
            <w:noWrap/>
            <w:vAlign w:val="bottom"/>
            <w:hideMark/>
          </w:tcPr>
          <w:p w14:paraId="6C046EAF" w14:textId="77777777" w:rsidR="00842050" w:rsidRDefault="00842050" w:rsidP="00805748">
            <w:pPr>
              <w:spacing w:before="0" w:after="0"/>
              <w:jc w:val="center"/>
              <w:rPr>
                <w:color w:val="000000"/>
                <w:lang w:eastAsia="en-AU"/>
              </w:rPr>
            </w:pPr>
            <w:r>
              <w:rPr>
                <w:color w:val="000000"/>
                <w:szCs w:val="22"/>
                <w:lang w:eastAsia="en-AU"/>
              </w:rPr>
              <w:t>25</w:t>
            </w:r>
          </w:p>
        </w:tc>
        <w:tc>
          <w:tcPr>
            <w:tcW w:w="1050" w:type="dxa"/>
            <w:shd w:val="clear" w:color="auto" w:fill="FFC000"/>
            <w:noWrap/>
            <w:vAlign w:val="bottom"/>
            <w:hideMark/>
          </w:tcPr>
          <w:p w14:paraId="011713E8" w14:textId="77777777" w:rsidR="00842050" w:rsidRDefault="00796FE8" w:rsidP="00796FE8">
            <w:pPr>
              <w:spacing w:before="0" w:after="0"/>
              <w:jc w:val="center"/>
              <w:rPr>
                <w:color w:val="000000"/>
                <w:lang w:eastAsia="en-AU"/>
              </w:rPr>
            </w:pPr>
            <w:r>
              <w:rPr>
                <w:color w:val="000000"/>
                <w:szCs w:val="22"/>
                <w:lang w:eastAsia="en-AU"/>
              </w:rPr>
              <w:t>21</w:t>
            </w:r>
            <w:r w:rsidR="00842050">
              <w:rPr>
                <w:color w:val="000000"/>
                <w:szCs w:val="22"/>
                <w:lang w:eastAsia="en-AU"/>
              </w:rPr>
              <w:t xml:space="preserve"> - 40</w:t>
            </w:r>
          </w:p>
        </w:tc>
      </w:tr>
      <w:tr w:rsidR="00842050" w14:paraId="54B4B860" w14:textId="77777777" w:rsidTr="00805748">
        <w:trPr>
          <w:trHeight w:val="290"/>
          <w:jc w:val="center"/>
        </w:trPr>
        <w:tc>
          <w:tcPr>
            <w:tcW w:w="1337" w:type="dxa"/>
            <w:tcBorders>
              <w:top w:val="nil"/>
              <w:left w:val="nil"/>
              <w:bottom w:val="single" w:sz="4" w:space="0" w:color="auto"/>
              <w:right w:val="nil"/>
            </w:tcBorders>
            <w:vAlign w:val="bottom"/>
            <w:hideMark/>
          </w:tcPr>
          <w:p w14:paraId="1978FBAB" w14:textId="77777777" w:rsidR="00842050" w:rsidRDefault="00842050" w:rsidP="00805748">
            <w:pPr>
              <w:spacing w:before="0" w:after="0"/>
              <w:rPr>
                <w:i/>
                <w:iCs/>
                <w:color w:val="000000"/>
                <w:lang w:eastAsia="en-AU"/>
              </w:rPr>
            </w:pPr>
            <w:r>
              <w:rPr>
                <w:i/>
                <w:iCs/>
                <w:color w:val="000000"/>
                <w:szCs w:val="22"/>
                <w:lang w:eastAsia="en-AU"/>
              </w:rPr>
              <w:t>very poor</w:t>
            </w:r>
          </w:p>
        </w:tc>
        <w:tc>
          <w:tcPr>
            <w:tcW w:w="2953" w:type="dxa"/>
            <w:tcBorders>
              <w:top w:val="nil"/>
              <w:left w:val="nil"/>
              <w:bottom w:val="single" w:sz="4" w:space="0" w:color="auto"/>
              <w:right w:val="nil"/>
            </w:tcBorders>
            <w:noWrap/>
            <w:vAlign w:val="bottom"/>
            <w:hideMark/>
          </w:tcPr>
          <w:p w14:paraId="515B8C7D" w14:textId="77777777" w:rsidR="00842050" w:rsidRDefault="00842050" w:rsidP="00805748">
            <w:pPr>
              <w:spacing w:before="0" w:after="0"/>
              <w:jc w:val="center"/>
              <w:rPr>
                <w:color w:val="000000"/>
                <w:lang w:eastAsia="en-AU"/>
              </w:rPr>
            </w:pPr>
            <w:r>
              <w:rPr>
                <w:color w:val="000000"/>
                <w:szCs w:val="22"/>
                <w:lang w:eastAsia="en-AU"/>
              </w:rPr>
              <w:t>&lt;0.5</w:t>
            </w:r>
          </w:p>
        </w:tc>
        <w:tc>
          <w:tcPr>
            <w:tcW w:w="766" w:type="dxa"/>
            <w:tcBorders>
              <w:top w:val="nil"/>
              <w:left w:val="nil"/>
              <w:bottom w:val="single" w:sz="4" w:space="0" w:color="auto"/>
              <w:right w:val="nil"/>
            </w:tcBorders>
            <w:vAlign w:val="bottom"/>
            <w:hideMark/>
          </w:tcPr>
          <w:p w14:paraId="4029682F" w14:textId="77777777" w:rsidR="00842050" w:rsidRDefault="00842050" w:rsidP="00805748">
            <w:pPr>
              <w:spacing w:before="0" w:after="0"/>
              <w:jc w:val="center"/>
              <w:rPr>
                <w:color w:val="000000"/>
                <w:lang w:eastAsia="en-AU"/>
              </w:rPr>
            </w:pPr>
            <w:r>
              <w:rPr>
                <w:color w:val="000000"/>
                <w:szCs w:val="22"/>
                <w:lang w:eastAsia="en-AU"/>
              </w:rPr>
              <w:t>0.0</w:t>
            </w:r>
          </w:p>
        </w:tc>
        <w:tc>
          <w:tcPr>
            <w:tcW w:w="805" w:type="dxa"/>
            <w:tcBorders>
              <w:top w:val="nil"/>
              <w:left w:val="nil"/>
              <w:bottom w:val="single" w:sz="4" w:space="0" w:color="auto"/>
              <w:right w:val="nil"/>
            </w:tcBorders>
            <w:noWrap/>
            <w:vAlign w:val="bottom"/>
            <w:hideMark/>
          </w:tcPr>
          <w:p w14:paraId="0F8EA593" w14:textId="77777777" w:rsidR="00842050" w:rsidRDefault="00842050" w:rsidP="00805748">
            <w:pPr>
              <w:spacing w:before="0" w:after="0"/>
              <w:jc w:val="center"/>
              <w:rPr>
                <w:color w:val="000000"/>
                <w:lang w:eastAsia="en-AU"/>
              </w:rPr>
            </w:pPr>
            <w:r>
              <w:rPr>
                <w:color w:val="000000"/>
                <w:szCs w:val="22"/>
                <w:lang w:eastAsia="en-AU"/>
              </w:rPr>
              <w:t>0</w:t>
            </w:r>
          </w:p>
        </w:tc>
        <w:tc>
          <w:tcPr>
            <w:tcW w:w="1368" w:type="dxa"/>
            <w:tcBorders>
              <w:top w:val="nil"/>
              <w:left w:val="nil"/>
              <w:bottom w:val="single" w:sz="4" w:space="0" w:color="auto"/>
              <w:right w:val="nil"/>
            </w:tcBorders>
            <w:noWrap/>
            <w:vAlign w:val="bottom"/>
            <w:hideMark/>
          </w:tcPr>
          <w:p w14:paraId="6E72AB5A" w14:textId="77777777" w:rsidR="00842050" w:rsidRDefault="00842050" w:rsidP="00805748">
            <w:pPr>
              <w:spacing w:before="0" w:after="0"/>
              <w:jc w:val="center"/>
              <w:rPr>
                <w:color w:val="000000"/>
                <w:lang w:eastAsia="en-AU"/>
              </w:rPr>
            </w:pPr>
            <w:r>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hideMark/>
          </w:tcPr>
          <w:p w14:paraId="40248951" w14:textId="77777777" w:rsidR="00842050" w:rsidRDefault="00842050" w:rsidP="00796FE8">
            <w:pPr>
              <w:spacing w:before="0" w:after="0"/>
              <w:jc w:val="center"/>
              <w:rPr>
                <w:color w:val="000000"/>
                <w:lang w:eastAsia="en-AU"/>
              </w:rPr>
            </w:pPr>
            <w:r>
              <w:rPr>
                <w:color w:val="000000"/>
                <w:szCs w:val="22"/>
                <w:lang w:eastAsia="en-AU"/>
              </w:rPr>
              <w:t>0 - 20</w:t>
            </w:r>
          </w:p>
        </w:tc>
      </w:tr>
    </w:tbl>
    <w:p w14:paraId="34120D72" w14:textId="77777777" w:rsidR="00842050" w:rsidRDefault="00842050" w:rsidP="00842050">
      <w:pPr>
        <w:jc w:val="center"/>
      </w:pPr>
      <w:bookmarkStart w:id="1018" w:name="_Toc431493752"/>
    </w:p>
    <w:p w14:paraId="339AAEB3" w14:textId="77777777" w:rsidR="00842050" w:rsidRDefault="00842050" w:rsidP="00842050">
      <w:pPr>
        <w:spacing w:before="0" w:after="0"/>
        <w:rPr>
          <w:lang w:val="en-GB"/>
        </w:rPr>
      </w:pPr>
      <w:r>
        <w:rPr>
          <w:lang w:val="en-GB"/>
        </w:rPr>
        <w:br w:type="page"/>
      </w:r>
    </w:p>
    <w:p w14:paraId="502CCC2A" w14:textId="77777777" w:rsidR="00842050" w:rsidRPr="00ED0EDA" w:rsidRDefault="00842050" w:rsidP="00842050">
      <w:pPr>
        <w:rPr>
          <w:lang w:val="en-GB"/>
        </w:rPr>
      </w:pPr>
    </w:p>
    <w:p w14:paraId="1A1CA15F" w14:textId="6423B766" w:rsidR="00E50C95" w:rsidRPr="00A93D8C" w:rsidRDefault="00842050" w:rsidP="00E50C95">
      <w:pPr>
        <w:spacing w:before="0"/>
        <w:jc w:val="center"/>
        <w:rPr>
          <w:i/>
          <w:vanish/>
          <w:specVanish/>
        </w:rPr>
      </w:pPr>
      <w:bookmarkStart w:id="1019" w:name="_Ref511381423"/>
      <w:bookmarkStart w:id="1020" w:name="_Toc516053471"/>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47</w:t>
      </w:r>
      <w:r w:rsidR="00C506C7">
        <w:rPr>
          <w:noProof/>
        </w:rPr>
        <w:fldChar w:fldCharType="end"/>
      </w:r>
      <w:bookmarkEnd w:id="1019"/>
      <w:r>
        <w:t xml:space="preserve">. </w:t>
      </w:r>
      <w:r w:rsidR="00595693">
        <w:rPr>
          <w:i/>
        </w:rPr>
        <w:t>A</w:t>
      </w:r>
      <w:r>
        <w:rPr>
          <w:i/>
        </w:rPr>
        <w:t>verage seagrass reproductive effort (</w:t>
      </w:r>
      <w:r w:rsidR="00A75D90">
        <w:rPr>
          <w:i/>
        </w:rPr>
        <w:t>number of reproductive structures per core, RE</w:t>
      </w:r>
      <w:r>
        <w:rPr>
          <w:i/>
        </w:rPr>
        <w:t xml:space="preserve"> ±</w:t>
      </w:r>
      <w:r w:rsidR="009C7692">
        <w:rPr>
          <w:i/>
        </w:rPr>
        <w:t xml:space="preserve"> SE</w:t>
      </w:r>
      <w:r>
        <w:rPr>
          <w:i/>
        </w:rPr>
        <w:t>) and report card scores for each monitoring site (species pooled) within each NRM region habitat</w:t>
      </w:r>
      <w:r w:rsidR="005B7AB7">
        <w:rPr>
          <w:i/>
        </w:rPr>
        <w:t xml:space="preserve">, </w:t>
      </w:r>
      <w:bookmarkEnd w:id="1020"/>
      <w:r w:rsidR="008574EC">
        <w:rPr>
          <w:i/>
        </w:rPr>
        <w:t>2016–17</w:t>
      </w:r>
    </w:p>
    <w:p w14:paraId="42824792" w14:textId="5C7A1F74" w:rsidR="002702CB" w:rsidRPr="00A75D90" w:rsidRDefault="00842050" w:rsidP="00E50C95">
      <w:pPr>
        <w:jc w:val="center"/>
        <w:rPr>
          <w:i/>
          <w:vanish/>
          <w:color w:val="000000"/>
          <w:szCs w:val="22"/>
        </w:rPr>
      </w:pPr>
      <w:r>
        <w:rPr>
          <w:i/>
        </w:rPr>
        <w:t xml:space="preserve">. Scores calculated as </w:t>
      </w:r>
      <w:r w:rsidRPr="00E50C95">
        <w:rPr>
          <w:i/>
        </w:rPr>
        <w:t xml:space="preserve">per </w:t>
      </w:r>
      <w:r w:rsidRPr="00E50C95">
        <w:fldChar w:fldCharType="begin"/>
      </w:r>
      <w:r w:rsidRPr="00E50C95">
        <w:rPr>
          <w:i/>
        </w:rPr>
        <w:instrText xml:space="preserve"> REF _Ref271192830 \h  \* MERGEFORMAT </w:instrText>
      </w:r>
      <w:r w:rsidRPr="00E50C95">
        <w:fldChar w:fldCharType="separate"/>
      </w:r>
      <w:r w:rsidR="00F87DF9" w:rsidRPr="00F87DF9">
        <w:rPr>
          <w:bCs/>
          <w:i/>
          <w:lang w:val="en-US"/>
        </w:rPr>
        <w:t>Table 6</w:t>
      </w:r>
      <w:r w:rsidRPr="00E50C95">
        <w:fldChar w:fldCharType="end"/>
      </w:r>
      <w:r>
        <w:rPr>
          <w:i/>
        </w:rPr>
        <w:t>. NB: scores do not have units.</w:t>
      </w:r>
    </w:p>
    <w:tbl>
      <w:tblPr>
        <w:tblW w:w="9234" w:type="dxa"/>
        <w:jc w:val="center"/>
        <w:tblLook w:val="04A0" w:firstRow="1" w:lastRow="0" w:firstColumn="1" w:lastColumn="0" w:noHBand="0" w:noVBand="1"/>
      </w:tblPr>
      <w:tblGrid>
        <w:gridCol w:w="1616"/>
        <w:gridCol w:w="1543"/>
        <w:gridCol w:w="960"/>
        <w:gridCol w:w="1300"/>
        <w:gridCol w:w="1407"/>
        <w:gridCol w:w="811"/>
        <w:gridCol w:w="650"/>
        <w:gridCol w:w="947"/>
      </w:tblGrid>
      <w:tr w:rsidR="002702CB" w14:paraId="79643C13" w14:textId="10B2ED26" w:rsidTr="002702CB">
        <w:trPr>
          <w:jc w:val="center"/>
        </w:trPr>
        <w:tc>
          <w:tcPr>
            <w:tcW w:w="1616" w:type="dxa"/>
            <w:tcBorders>
              <w:top w:val="single" w:sz="4" w:space="0" w:color="auto"/>
              <w:left w:val="nil"/>
              <w:bottom w:val="single" w:sz="4" w:space="0" w:color="auto"/>
              <w:right w:val="nil"/>
            </w:tcBorders>
            <w:shd w:val="clear" w:color="auto" w:fill="BBE0E3"/>
            <w:noWrap/>
            <w:vAlign w:val="center"/>
            <w:hideMark/>
          </w:tcPr>
          <w:p w14:paraId="1B0079AB"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NRM region</w:t>
            </w:r>
          </w:p>
        </w:tc>
        <w:tc>
          <w:tcPr>
            <w:tcW w:w="1543" w:type="dxa"/>
            <w:tcBorders>
              <w:top w:val="single" w:sz="4" w:space="0" w:color="auto"/>
              <w:left w:val="nil"/>
              <w:bottom w:val="single" w:sz="4" w:space="0" w:color="auto"/>
              <w:right w:val="nil"/>
            </w:tcBorders>
            <w:shd w:val="clear" w:color="auto" w:fill="BBE0E3"/>
            <w:noWrap/>
            <w:vAlign w:val="center"/>
            <w:hideMark/>
          </w:tcPr>
          <w:p w14:paraId="7C484F7D"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habitat</w:t>
            </w:r>
          </w:p>
        </w:tc>
        <w:tc>
          <w:tcPr>
            <w:tcW w:w="960" w:type="dxa"/>
            <w:tcBorders>
              <w:top w:val="single" w:sz="4" w:space="0" w:color="auto"/>
              <w:left w:val="nil"/>
              <w:bottom w:val="single" w:sz="4" w:space="0" w:color="auto"/>
              <w:right w:val="nil"/>
            </w:tcBorders>
            <w:shd w:val="clear" w:color="auto" w:fill="BBE0E3"/>
            <w:noWrap/>
            <w:vAlign w:val="center"/>
            <w:hideMark/>
          </w:tcPr>
          <w:p w14:paraId="7D1E5B5A"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site</w:t>
            </w:r>
          </w:p>
        </w:tc>
        <w:tc>
          <w:tcPr>
            <w:tcW w:w="1300" w:type="dxa"/>
            <w:tcBorders>
              <w:top w:val="single" w:sz="4" w:space="0" w:color="auto"/>
              <w:left w:val="nil"/>
              <w:bottom w:val="single" w:sz="4" w:space="0" w:color="auto"/>
              <w:right w:val="nil"/>
            </w:tcBorders>
            <w:shd w:val="clear" w:color="auto" w:fill="BBE0E3"/>
            <w:noWrap/>
            <w:vAlign w:val="center"/>
            <w:hideMark/>
          </w:tcPr>
          <w:p w14:paraId="10A39019"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RE ±SE</w:t>
            </w:r>
          </w:p>
        </w:tc>
        <w:tc>
          <w:tcPr>
            <w:tcW w:w="1407" w:type="dxa"/>
            <w:tcBorders>
              <w:top w:val="single" w:sz="4" w:space="0" w:color="auto"/>
              <w:left w:val="nil"/>
              <w:bottom w:val="single" w:sz="4" w:space="0" w:color="auto"/>
              <w:right w:val="nil"/>
            </w:tcBorders>
            <w:shd w:val="clear" w:color="auto" w:fill="BBE0E3"/>
            <w:vAlign w:val="center"/>
            <w:hideMark/>
          </w:tcPr>
          <w:p w14:paraId="6DDBC10F"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GBR RE (2005-10)</w:t>
            </w:r>
          </w:p>
        </w:tc>
        <w:tc>
          <w:tcPr>
            <w:tcW w:w="811" w:type="dxa"/>
            <w:tcBorders>
              <w:top w:val="single" w:sz="4" w:space="0" w:color="auto"/>
              <w:left w:val="nil"/>
              <w:bottom w:val="single" w:sz="4" w:space="0" w:color="auto"/>
              <w:right w:val="nil"/>
            </w:tcBorders>
            <w:shd w:val="clear" w:color="auto" w:fill="BBE0E3"/>
            <w:vAlign w:val="center"/>
            <w:hideMark/>
          </w:tcPr>
          <w:p w14:paraId="228A3C36"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ratio</w:t>
            </w:r>
          </w:p>
        </w:tc>
        <w:tc>
          <w:tcPr>
            <w:tcW w:w="650" w:type="dxa"/>
            <w:tcBorders>
              <w:top w:val="single" w:sz="4" w:space="0" w:color="auto"/>
              <w:left w:val="nil"/>
              <w:bottom w:val="single" w:sz="4" w:space="0" w:color="auto"/>
              <w:right w:val="nil"/>
            </w:tcBorders>
            <w:shd w:val="clear" w:color="auto" w:fill="BBE0E3"/>
            <w:noWrap/>
            <w:vAlign w:val="center"/>
            <w:hideMark/>
          </w:tcPr>
          <w:p w14:paraId="2C349C7D" w14:textId="77777777" w:rsidR="002702CB" w:rsidRPr="002668F0" w:rsidRDefault="002702CB" w:rsidP="00DD3BAE">
            <w:pPr>
              <w:spacing w:before="0" w:after="0"/>
              <w:contextualSpacing/>
              <w:jc w:val="center"/>
              <w:rPr>
                <w:b/>
                <w:color w:val="000000"/>
                <w:sz w:val="16"/>
                <w:szCs w:val="16"/>
              </w:rPr>
            </w:pPr>
            <w:r w:rsidRPr="002668F0">
              <w:rPr>
                <w:b/>
                <w:color w:val="000000"/>
                <w:sz w:val="16"/>
                <w:szCs w:val="16"/>
              </w:rPr>
              <w:t>score</w:t>
            </w:r>
          </w:p>
        </w:tc>
        <w:tc>
          <w:tcPr>
            <w:tcW w:w="947" w:type="dxa"/>
            <w:tcBorders>
              <w:top w:val="single" w:sz="4" w:space="0" w:color="auto"/>
              <w:left w:val="nil"/>
              <w:bottom w:val="single" w:sz="4" w:space="0" w:color="auto"/>
              <w:right w:val="nil"/>
            </w:tcBorders>
            <w:shd w:val="clear" w:color="auto" w:fill="BBE0E3"/>
          </w:tcPr>
          <w:p w14:paraId="3B407F54" w14:textId="7E368B11" w:rsidR="002702CB" w:rsidRPr="002668F0" w:rsidRDefault="002702CB" w:rsidP="00DD3BAE">
            <w:pPr>
              <w:spacing w:before="0" w:after="0"/>
              <w:contextualSpacing/>
              <w:jc w:val="center"/>
              <w:rPr>
                <w:b/>
                <w:color w:val="000000"/>
                <w:sz w:val="16"/>
                <w:szCs w:val="16"/>
              </w:rPr>
            </w:pPr>
            <w:r>
              <w:rPr>
                <w:b/>
                <w:color w:val="000000"/>
                <w:sz w:val="16"/>
                <w:szCs w:val="16"/>
              </w:rPr>
              <w:t>habitat score</w:t>
            </w:r>
          </w:p>
        </w:tc>
      </w:tr>
      <w:tr w:rsidR="00034B88" w:rsidRPr="00C717AF" w14:paraId="280637BF" w14:textId="3461A005" w:rsidTr="00034B88">
        <w:trPr>
          <w:jc w:val="center"/>
        </w:trPr>
        <w:tc>
          <w:tcPr>
            <w:tcW w:w="1616" w:type="dxa"/>
            <w:tcBorders>
              <w:top w:val="single" w:sz="4" w:space="0" w:color="auto"/>
              <w:left w:val="nil"/>
              <w:bottom w:val="nil"/>
              <w:right w:val="nil"/>
            </w:tcBorders>
            <w:noWrap/>
            <w:vAlign w:val="bottom"/>
            <w:hideMark/>
          </w:tcPr>
          <w:p w14:paraId="1561AED9" w14:textId="77777777" w:rsidR="00034B88" w:rsidRPr="00C717AF" w:rsidRDefault="00034B88" w:rsidP="00DD3BAE">
            <w:pPr>
              <w:spacing w:before="0" w:after="0" w:line="180" w:lineRule="exact"/>
              <w:jc w:val="center"/>
              <w:rPr>
                <w:sz w:val="16"/>
                <w:szCs w:val="16"/>
              </w:rPr>
            </w:pPr>
            <w:r w:rsidRPr="00C717AF">
              <w:rPr>
                <w:sz w:val="16"/>
                <w:szCs w:val="16"/>
              </w:rPr>
              <w:t>Cape York</w:t>
            </w:r>
          </w:p>
        </w:tc>
        <w:tc>
          <w:tcPr>
            <w:tcW w:w="1543" w:type="dxa"/>
            <w:tcBorders>
              <w:top w:val="single" w:sz="4" w:space="0" w:color="auto"/>
              <w:left w:val="nil"/>
              <w:bottom w:val="nil"/>
              <w:right w:val="nil"/>
            </w:tcBorders>
            <w:shd w:val="clear" w:color="auto" w:fill="E7F3F4"/>
            <w:noWrap/>
            <w:vAlign w:val="bottom"/>
            <w:hideMark/>
          </w:tcPr>
          <w:p w14:paraId="5F7D7DBE" w14:textId="77777777" w:rsidR="00034B88" w:rsidRPr="00C717AF" w:rsidRDefault="00034B88" w:rsidP="00DD3BAE">
            <w:pPr>
              <w:spacing w:before="0" w:after="0" w:line="180" w:lineRule="exact"/>
              <w:jc w:val="center"/>
              <w:rPr>
                <w:sz w:val="16"/>
                <w:szCs w:val="16"/>
              </w:rPr>
            </w:pPr>
            <w:r w:rsidRPr="00C717AF">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6C4DC3BA" w14:textId="77777777" w:rsidR="00034B88" w:rsidRPr="00C717AF" w:rsidRDefault="00034B88" w:rsidP="00DD3BAE">
            <w:pPr>
              <w:spacing w:before="0" w:after="0" w:line="180" w:lineRule="exact"/>
              <w:jc w:val="center"/>
              <w:rPr>
                <w:sz w:val="16"/>
                <w:szCs w:val="16"/>
              </w:rPr>
            </w:pPr>
            <w:r w:rsidRPr="00C717AF">
              <w:rPr>
                <w:sz w:val="16"/>
                <w:szCs w:val="16"/>
              </w:rPr>
              <w:t>BY1</w:t>
            </w:r>
          </w:p>
        </w:tc>
        <w:tc>
          <w:tcPr>
            <w:tcW w:w="1300" w:type="dxa"/>
            <w:tcBorders>
              <w:top w:val="single" w:sz="4" w:space="0" w:color="auto"/>
              <w:left w:val="nil"/>
              <w:bottom w:val="nil"/>
              <w:right w:val="nil"/>
            </w:tcBorders>
            <w:shd w:val="clear" w:color="auto" w:fill="E7F3F4"/>
            <w:noWrap/>
            <w:vAlign w:val="center"/>
            <w:hideMark/>
          </w:tcPr>
          <w:p w14:paraId="7E5AB160" w14:textId="77777777" w:rsidR="00034B88" w:rsidRPr="002668F0" w:rsidRDefault="00034B88" w:rsidP="00DD3BAE">
            <w:pPr>
              <w:spacing w:before="0" w:after="0"/>
              <w:jc w:val="center"/>
              <w:rPr>
                <w:color w:val="000000"/>
                <w:sz w:val="16"/>
                <w:szCs w:val="16"/>
              </w:rPr>
            </w:pPr>
            <w:r w:rsidRPr="002668F0">
              <w:rPr>
                <w:color w:val="000000"/>
                <w:sz w:val="16"/>
                <w:szCs w:val="16"/>
              </w:rPr>
              <w:t>6.13 ±1.61</w:t>
            </w:r>
          </w:p>
        </w:tc>
        <w:tc>
          <w:tcPr>
            <w:tcW w:w="1407" w:type="dxa"/>
            <w:tcBorders>
              <w:top w:val="single" w:sz="4" w:space="0" w:color="auto"/>
              <w:left w:val="nil"/>
              <w:bottom w:val="nil"/>
              <w:right w:val="nil"/>
            </w:tcBorders>
            <w:shd w:val="clear" w:color="auto" w:fill="E7F3F4"/>
            <w:vAlign w:val="center"/>
            <w:hideMark/>
          </w:tcPr>
          <w:p w14:paraId="7853A4FC"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tcBorders>
              <w:top w:val="single" w:sz="4" w:space="0" w:color="auto"/>
              <w:left w:val="nil"/>
              <w:bottom w:val="nil"/>
              <w:right w:val="nil"/>
            </w:tcBorders>
            <w:shd w:val="clear" w:color="auto" w:fill="E7F3F4"/>
            <w:vAlign w:val="center"/>
            <w:hideMark/>
          </w:tcPr>
          <w:p w14:paraId="3BED5427" w14:textId="77777777" w:rsidR="00034B88" w:rsidRPr="002668F0" w:rsidRDefault="00034B88" w:rsidP="00DD3BAE">
            <w:pPr>
              <w:spacing w:before="0" w:after="0"/>
              <w:jc w:val="center"/>
              <w:rPr>
                <w:color w:val="000000"/>
                <w:sz w:val="16"/>
                <w:szCs w:val="16"/>
              </w:rPr>
            </w:pPr>
            <w:r w:rsidRPr="002668F0">
              <w:rPr>
                <w:color w:val="000000"/>
                <w:sz w:val="16"/>
                <w:szCs w:val="16"/>
              </w:rPr>
              <w:t>0.75</w:t>
            </w:r>
          </w:p>
        </w:tc>
        <w:tc>
          <w:tcPr>
            <w:tcW w:w="650" w:type="dxa"/>
            <w:tcBorders>
              <w:top w:val="single" w:sz="4" w:space="0" w:color="auto"/>
              <w:left w:val="nil"/>
              <w:bottom w:val="nil"/>
              <w:right w:val="nil"/>
            </w:tcBorders>
            <w:shd w:val="clear" w:color="auto" w:fill="E7F3F4"/>
            <w:noWrap/>
            <w:vAlign w:val="center"/>
            <w:hideMark/>
          </w:tcPr>
          <w:p w14:paraId="1AC238B5" w14:textId="77777777" w:rsidR="00034B88" w:rsidRPr="002668F0" w:rsidRDefault="00034B88" w:rsidP="00DD3BAE">
            <w:pPr>
              <w:spacing w:before="0" w:after="0"/>
              <w:jc w:val="center"/>
              <w:rPr>
                <w:color w:val="000000"/>
                <w:sz w:val="16"/>
                <w:szCs w:val="16"/>
              </w:rPr>
            </w:pPr>
            <w:r w:rsidRPr="002668F0">
              <w:rPr>
                <w:color w:val="000000"/>
                <w:sz w:val="16"/>
                <w:szCs w:val="16"/>
              </w:rPr>
              <w:t>25</w:t>
            </w:r>
          </w:p>
        </w:tc>
        <w:tc>
          <w:tcPr>
            <w:tcW w:w="947" w:type="dxa"/>
            <w:vMerge w:val="restart"/>
            <w:tcBorders>
              <w:top w:val="single" w:sz="4" w:space="0" w:color="auto"/>
              <w:left w:val="nil"/>
              <w:right w:val="nil"/>
            </w:tcBorders>
            <w:shd w:val="clear" w:color="auto" w:fill="E7F3F4"/>
            <w:vAlign w:val="center"/>
          </w:tcPr>
          <w:p w14:paraId="2044A5E0" w14:textId="7ED282C6" w:rsidR="00034B88" w:rsidRPr="002668F0" w:rsidRDefault="00034B88" w:rsidP="00DD3BAE">
            <w:pPr>
              <w:spacing w:before="0" w:after="0"/>
              <w:jc w:val="center"/>
              <w:rPr>
                <w:color w:val="000000"/>
                <w:sz w:val="16"/>
                <w:szCs w:val="16"/>
              </w:rPr>
            </w:pPr>
            <w:r>
              <w:rPr>
                <w:color w:val="000000"/>
                <w:sz w:val="16"/>
                <w:szCs w:val="16"/>
              </w:rPr>
              <w:t>13</w:t>
            </w:r>
          </w:p>
        </w:tc>
      </w:tr>
      <w:tr w:rsidR="00034B88" w:rsidRPr="00C717AF" w14:paraId="661B452C" w14:textId="049C55D9" w:rsidTr="002702CB">
        <w:trPr>
          <w:jc w:val="center"/>
        </w:trPr>
        <w:tc>
          <w:tcPr>
            <w:tcW w:w="1616" w:type="dxa"/>
            <w:noWrap/>
            <w:vAlign w:val="bottom"/>
          </w:tcPr>
          <w:p w14:paraId="11955283" w14:textId="77777777" w:rsidR="00034B88" w:rsidRPr="00C717AF" w:rsidRDefault="00034B88" w:rsidP="00DD3BAE">
            <w:pPr>
              <w:spacing w:before="0" w:after="0" w:line="180" w:lineRule="exact"/>
              <w:jc w:val="center"/>
              <w:rPr>
                <w:sz w:val="16"/>
                <w:szCs w:val="16"/>
              </w:rPr>
            </w:pPr>
          </w:p>
        </w:tc>
        <w:tc>
          <w:tcPr>
            <w:tcW w:w="1543" w:type="dxa"/>
            <w:shd w:val="clear" w:color="auto" w:fill="E7F3F4"/>
            <w:noWrap/>
            <w:vAlign w:val="bottom"/>
          </w:tcPr>
          <w:p w14:paraId="288B20F1" w14:textId="77777777" w:rsidR="00034B88" w:rsidRPr="00C717AF" w:rsidRDefault="00034B88" w:rsidP="00DD3BAE">
            <w:pPr>
              <w:spacing w:before="0" w:after="0" w:line="180" w:lineRule="exact"/>
              <w:jc w:val="center"/>
              <w:rPr>
                <w:sz w:val="16"/>
                <w:szCs w:val="16"/>
              </w:rPr>
            </w:pPr>
          </w:p>
        </w:tc>
        <w:tc>
          <w:tcPr>
            <w:tcW w:w="960" w:type="dxa"/>
            <w:shd w:val="clear" w:color="auto" w:fill="E7F3F4"/>
            <w:noWrap/>
            <w:vAlign w:val="bottom"/>
            <w:hideMark/>
          </w:tcPr>
          <w:p w14:paraId="7C7B7D9C" w14:textId="77777777" w:rsidR="00034B88" w:rsidRPr="00C717AF" w:rsidRDefault="00034B88" w:rsidP="00DD3BAE">
            <w:pPr>
              <w:spacing w:before="0" w:after="0" w:line="180" w:lineRule="exact"/>
              <w:jc w:val="center"/>
              <w:rPr>
                <w:sz w:val="16"/>
                <w:szCs w:val="16"/>
              </w:rPr>
            </w:pPr>
            <w:r w:rsidRPr="00C717AF">
              <w:rPr>
                <w:sz w:val="16"/>
                <w:szCs w:val="16"/>
              </w:rPr>
              <w:t>BY2</w:t>
            </w:r>
          </w:p>
        </w:tc>
        <w:tc>
          <w:tcPr>
            <w:tcW w:w="1300" w:type="dxa"/>
            <w:shd w:val="clear" w:color="auto" w:fill="E7F3F4"/>
            <w:noWrap/>
            <w:vAlign w:val="center"/>
            <w:hideMark/>
          </w:tcPr>
          <w:p w14:paraId="288ED57D" w14:textId="77777777" w:rsidR="00034B88" w:rsidRPr="002668F0" w:rsidRDefault="00034B88" w:rsidP="00DD3BAE">
            <w:pPr>
              <w:spacing w:before="0" w:after="0"/>
              <w:jc w:val="center"/>
              <w:rPr>
                <w:color w:val="000000"/>
                <w:sz w:val="16"/>
                <w:szCs w:val="16"/>
              </w:rPr>
            </w:pPr>
            <w:r w:rsidRPr="002668F0">
              <w:rPr>
                <w:color w:val="000000"/>
                <w:sz w:val="16"/>
                <w:szCs w:val="16"/>
              </w:rPr>
              <w:t>2.80 ±1.58</w:t>
            </w:r>
          </w:p>
        </w:tc>
        <w:tc>
          <w:tcPr>
            <w:tcW w:w="1407" w:type="dxa"/>
            <w:shd w:val="clear" w:color="auto" w:fill="E7F3F4"/>
            <w:vAlign w:val="center"/>
            <w:hideMark/>
          </w:tcPr>
          <w:p w14:paraId="0AA0F428"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E7F3F4"/>
            <w:vAlign w:val="center"/>
            <w:hideMark/>
          </w:tcPr>
          <w:p w14:paraId="5BC34A8B" w14:textId="77777777" w:rsidR="00034B88" w:rsidRPr="002668F0" w:rsidRDefault="00034B88" w:rsidP="00DD3BAE">
            <w:pPr>
              <w:spacing w:before="0" w:after="0"/>
              <w:jc w:val="center"/>
              <w:rPr>
                <w:color w:val="000000"/>
                <w:sz w:val="16"/>
                <w:szCs w:val="16"/>
              </w:rPr>
            </w:pPr>
            <w:r w:rsidRPr="002668F0">
              <w:rPr>
                <w:color w:val="000000"/>
                <w:sz w:val="16"/>
                <w:szCs w:val="16"/>
              </w:rPr>
              <w:t>0.34</w:t>
            </w:r>
          </w:p>
        </w:tc>
        <w:tc>
          <w:tcPr>
            <w:tcW w:w="650" w:type="dxa"/>
            <w:shd w:val="clear" w:color="auto" w:fill="E7F3F4"/>
            <w:noWrap/>
            <w:vAlign w:val="center"/>
            <w:hideMark/>
          </w:tcPr>
          <w:p w14:paraId="6E0F902F"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E7F3F4"/>
          </w:tcPr>
          <w:p w14:paraId="7C9626A4" w14:textId="77777777" w:rsidR="00034B88" w:rsidRPr="002668F0" w:rsidRDefault="00034B88" w:rsidP="00DD3BAE">
            <w:pPr>
              <w:spacing w:before="0" w:after="0"/>
              <w:jc w:val="center"/>
              <w:rPr>
                <w:color w:val="000000"/>
                <w:sz w:val="16"/>
                <w:szCs w:val="16"/>
              </w:rPr>
            </w:pPr>
          </w:p>
        </w:tc>
      </w:tr>
      <w:tr w:rsidR="00034B88" w:rsidRPr="00C717AF" w14:paraId="7BE545B7" w14:textId="2755665A" w:rsidTr="002702CB">
        <w:trPr>
          <w:jc w:val="center"/>
        </w:trPr>
        <w:tc>
          <w:tcPr>
            <w:tcW w:w="1616" w:type="dxa"/>
            <w:noWrap/>
            <w:vAlign w:val="bottom"/>
          </w:tcPr>
          <w:p w14:paraId="3F398A9E" w14:textId="77777777" w:rsidR="00034B88" w:rsidRPr="00C717AF" w:rsidRDefault="00034B88" w:rsidP="00DD3BAE">
            <w:pPr>
              <w:spacing w:before="0" w:after="0" w:line="180" w:lineRule="exact"/>
              <w:jc w:val="center"/>
              <w:rPr>
                <w:sz w:val="16"/>
                <w:szCs w:val="16"/>
              </w:rPr>
            </w:pPr>
          </w:p>
        </w:tc>
        <w:tc>
          <w:tcPr>
            <w:tcW w:w="1543" w:type="dxa"/>
            <w:shd w:val="clear" w:color="auto" w:fill="E7F3F4"/>
            <w:noWrap/>
            <w:vAlign w:val="bottom"/>
          </w:tcPr>
          <w:p w14:paraId="1D879CE0" w14:textId="77777777" w:rsidR="00034B88" w:rsidRPr="00C717AF" w:rsidRDefault="00034B88" w:rsidP="00DD3BAE">
            <w:pPr>
              <w:spacing w:before="0" w:after="0" w:line="180" w:lineRule="exact"/>
              <w:jc w:val="center"/>
              <w:rPr>
                <w:sz w:val="16"/>
                <w:szCs w:val="16"/>
              </w:rPr>
            </w:pPr>
          </w:p>
        </w:tc>
        <w:tc>
          <w:tcPr>
            <w:tcW w:w="960" w:type="dxa"/>
            <w:shd w:val="clear" w:color="auto" w:fill="E7F3F4"/>
            <w:noWrap/>
            <w:hideMark/>
          </w:tcPr>
          <w:p w14:paraId="769A102B" w14:textId="77777777" w:rsidR="00034B88" w:rsidRPr="00C717AF" w:rsidRDefault="00034B88" w:rsidP="00DD3BAE">
            <w:pPr>
              <w:spacing w:before="0" w:after="0" w:line="180" w:lineRule="exact"/>
              <w:jc w:val="center"/>
              <w:rPr>
                <w:sz w:val="16"/>
                <w:szCs w:val="16"/>
              </w:rPr>
            </w:pPr>
            <w:r w:rsidRPr="00C717AF">
              <w:rPr>
                <w:sz w:val="16"/>
                <w:szCs w:val="16"/>
              </w:rPr>
              <w:t>SR1</w:t>
            </w:r>
          </w:p>
        </w:tc>
        <w:tc>
          <w:tcPr>
            <w:tcW w:w="1300" w:type="dxa"/>
            <w:shd w:val="clear" w:color="auto" w:fill="E7F3F4"/>
            <w:noWrap/>
          </w:tcPr>
          <w:p w14:paraId="0F6B36D0" w14:textId="77777777" w:rsidR="00034B88" w:rsidRPr="00C717AF" w:rsidRDefault="00034B88" w:rsidP="00DD3BAE">
            <w:pPr>
              <w:spacing w:before="0" w:after="0" w:line="180" w:lineRule="exact"/>
              <w:jc w:val="center"/>
              <w:rPr>
                <w:sz w:val="16"/>
                <w:szCs w:val="16"/>
              </w:rPr>
            </w:pPr>
          </w:p>
        </w:tc>
        <w:tc>
          <w:tcPr>
            <w:tcW w:w="1407" w:type="dxa"/>
            <w:shd w:val="clear" w:color="auto" w:fill="E7F3F4"/>
            <w:hideMark/>
          </w:tcPr>
          <w:p w14:paraId="1F228056" w14:textId="77777777" w:rsidR="00034B88" w:rsidRPr="00C717AF" w:rsidRDefault="00034B88" w:rsidP="00DD3BAE">
            <w:pPr>
              <w:spacing w:before="0" w:after="0" w:line="180" w:lineRule="exact"/>
              <w:jc w:val="center"/>
              <w:rPr>
                <w:sz w:val="16"/>
                <w:szCs w:val="16"/>
              </w:rPr>
            </w:pPr>
            <w:r w:rsidRPr="00C717AF">
              <w:rPr>
                <w:sz w:val="16"/>
                <w:szCs w:val="16"/>
              </w:rPr>
              <w:t>8.22</w:t>
            </w:r>
          </w:p>
        </w:tc>
        <w:tc>
          <w:tcPr>
            <w:tcW w:w="811" w:type="dxa"/>
            <w:shd w:val="clear" w:color="auto" w:fill="E7F3F4"/>
          </w:tcPr>
          <w:p w14:paraId="09A2349E" w14:textId="77777777" w:rsidR="00034B88" w:rsidRPr="005B7AB7" w:rsidRDefault="00034B88" w:rsidP="00DD3BAE">
            <w:pPr>
              <w:spacing w:before="0" w:after="0" w:line="180" w:lineRule="exact"/>
              <w:jc w:val="center"/>
              <w:rPr>
                <w:sz w:val="16"/>
                <w:szCs w:val="16"/>
                <w:highlight w:val="yellow"/>
              </w:rPr>
            </w:pPr>
          </w:p>
        </w:tc>
        <w:tc>
          <w:tcPr>
            <w:tcW w:w="650" w:type="dxa"/>
            <w:shd w:val="clear" w:color="auto" w:fill="E7F3F4"/>
            <w:noWrap/>
          </w:tcPr>
          <w:p w14:paraId="2EC94EEA" w14:textId="77777777" w:rsidR="00034B88" w:rsidRPr="005B7AB7" w:rsidRDefault="00034B88" w:rsidP="00DD3BAE">
            <w:pPr>
              <w:spacing w:before="0" w:after="0" w:line="180" w:lineRule="exact"/>
              <w:jc w:val="center"/>
              <w:rPr>
                <w:sz w:val="16"/>
                <w:szCs w:val="16"/>
                <w:highlight w:val="yellow"/>
              </w:rPr>
            </w:pPr>
          </w:p>
        </w:tc>
        <w:tc>
          <w:tcPr>
            <w:tcW w:w="947" w:type="dxa"/>
            <w:vMerge/>
            <w:shd w:val="clear" w:color="auto" w:fill="E7F3F4"/>
          </w:tcPr>
          <w:p w14:paraId="12445F71" w14:textId="77777777" w:rsidR="00034B88" w:rsidRPr="005B7AB7" w:rsidRDefault="00034B88" w:rsidP="00DD3BAE">
            <w:pPr>
              <w:spacing w:before="0" w:after="0" w:line="180" w:lineRule="exact"/>
              <w:jc w:val="center"/>
              <w:rPr>
                <w:sz w:val="16"/>
                <w:szCs w:val="16"/>
                <w:highlight w:val="yellow"/>
              </w:rPr>
            </w:pPr>
          </w:p>
        </w:tc>
      </w:tr>
      <w:tr w:rsidR="00034B88" w:rsidRPr="00C717AF" w14:paraId="547833B0" w14:textId="640E363C" w:rsidTr="002702CB">
        <w:trPr>
          <w:jc w:val="center"/>
        </w:trPr>
        <w:tc>
          <w:tcPr>
            <w:tcW w:w="1616" w:type="dxa"/>
            <w:noWrap/>
            <w:vAlign w:val="bottom"/>
          </w:tcPr>
          <w:p w14:paraId="25B06E1A" w14:textId="77777777" w:rsidR="00034B88" w:rsidRPr="00C717AF" w:rsidRDefault="00034B88" w:rsidP="00DD3BAE">
            <w:pPr>
              <w:spacing w:before="0" w:after="0" w:line="180" w:lineRule="exact"/>
              <w:jc w:val="center"/>
              <w:rPr>
                <w:sz w:val="16"/>
                <w:szCs w:val="16"/>
              </w:rPr>
            </w:pPr>
          </w:p>
        </w:tc>
        <w:tc>
          <w:tcPr>
            <w:tcW w:w="1543" w:type="dxa"/>
            <w:shd w:val="clear" w:color="auto" w:fill="E7F3F4"/>
            <w:noWrap/>
            <w:vAlign w:val="bottom"/>
          </w:tcPr>
          <w:p w14:paraId="7C7C8F38" w14:textId="77777777" w:rsidR="00034B88" w:rsidRPr="00C717AF" w:rsidRDefault="00034B88" w:rsidP="00DD3BAE">
            <w:pPr>
              <w:spacing w:before="0" w:after="0" w:line="180" w:lineRule="exact"/>
              <w:jc w:val="center"/>
              <w:rPr>
                <w:sz w:val="16"/>
                <w:szCs w:val="16"/>
              </w:rPr>
            </w:pPr>
          </w:p>
        </w:tc>
        <w:tc>
          <w:tcPr>
            <w:tcW w:w="960" w:type="dxa"/>
            <w:shd w:val="clear" w:color="auto" w:fill="E7F3F4"/>
            <w:noWrap/>
            <w:hideMark/>
          </w:tcPr>
          <w:p w14:paraId="518F44E3" w14:textId="77777777" w:rsidR="00034B88" w:rsidRPr="00C717AF" w:rsidRDefault="00034B88" w:rsidP="00DD3BAE">
            <w:pPr>
              <w:spacing w:before="0" w:after="0" w:line="180" w:lineRule="exact"/>
              <w:jc w:val="center"/>
              <w:rPr>
                <w:sz w:val="16"/>
                <w:szCs w:val="16"/>
              </w:rPr>
            </w:pPr>
            <w:r w:rsidRPr="00C717AF">
              <w:rPr>
                <w:sz w:val="16"/>
                <w:szCs w:val="16"/>
              </w:rPr>
              <w:t>SR2</w:t>
            </w:r>
          </w:p>
        </w:tc>
        <w:tc>
          <w:tcPr>
            <w:tcW w:w="1300" w:type="dxa"/>
            <w:shd w:val="clear" w:color="auto" w:fill="E7F3F4"/>
            <w:noWrap/>
          </w:tcPr>
          <w:p w14:paraId="0052A7E3" w14:textId="77777777" w:rsidR="00034B88" w:rsidRPr="00C717AF" w:rsidRDefault="00034B88" w:rsidP="00DD3BAE">
            <w:pPr>
              <w:spacing w:before="0" w:after="0" w:line="180" w:lineRule="exact"/>
              <w:jc w:val="center"/>
              <w:rPr>
                <w:sz w:val="16"/>
                <w:szCs w:val="16"/>
              </w:rPr>
            </w:pPr>
          </w:p>
        </w:tc>
        <w:tc>
          <w:tcPr>
            <w:tcW w:w="1407" w:type="dxa"/>
            <w:shd w:val="clear" w:color="auto" w:fill="E7F3F4"/>
            <w:hideMark/>
          </w:tcPr>
          <w:p w14:paraId="7DFF66C2" w14:textId="77777777" w:rsidR="00034B88" w:rsidRPr="00C717AF" w:rsidRDefault="00034B88" w:rsidP="00DD3BAE">
            <w:pPr>
              <w:spacing w:before="0" w:after="0" w:line="180" w:lineRule="exact"/>
              <w:jc w:val="center"/>
              <w:rPr>
                <w:sz w:val="16"/>
                <w:szCs w:val="16"/>
              </w:rPr>
            </w:pPr>
            <w:r w:rsidRPr="00C717AF">
              <w:rPr>
                <w:sz w:val="16"/>
                <w:szCs w:val="16"/>
              </w:rPr>
              <w:t>8.22</w:t>
            </w:r>
          </w:p>
        </w:tc>
        <w:tc>
          <w:tcPr>
            <w:tcW w:w="811" w:type="dxa"/>
            <w:shd w:val="clear" w:color="auto" w:fill="E7F3F4"/>
          </w:tcPr>
          <w:p w14:paraId="4A1622A1" w14:textId="77777777" w:rsidR="00034B88" w:rsidRPr="005B7AB7" w:rsidRDefault="00034B88" w:rsidP="00DD3BAE">
            <w:pPr>
              <w:spacing w:before="0" w:after="0" w:line="180" w:lineRule="exact"/>
              <w:jc w:val="center"/>
              <w:rPr>
                <w:sz w:val="16"/>
                <w:szCs w:val="16"/>
                <w:highlight w:val="yellow"/>
              </w:rPr>
            </w:pPr>
          </w:p>
        </w:tc>
        <w:tc>
          <w:tcPr>
            <w:tcW w:w="650" w:type="dxa"/>
            <w:shd w:val="clear" w:color="auto" w:fill="E7F3F4"/>
            <w:noWrap/>
          </w:tcPr>
          <w:p w14:paraId="4E3B4FFB" w14:textId="77777777" w:rsidR="00034B88" w:rsidRPr="005B7AB7" w:rsidRDefault="00034B88" w:rsidP="00DD3BAE">
            <w:pPr>
              <w:spacing w:before="0" w:after="0" w:line="180" w:lineRule="exact"/>
              <w:jc w:val="center"/>
              <w:rPr>
                <w:sz w:val="16"/>
                <w:szCs w:val="16"/>
                <w:highlight w:val="yellow"/>
              </w:rPr>
            </w:pPr>
          </w:p>
        </w:tc>
        <w:tc>
          <w:tcPr>
            <w:tcW w:w="947" w:type="dxa"/>
            <w:vMerge/>
            <w:shd w:val="clear" w:color="auto" w:fill="E7F3F4"/>
          </w:tcPr>
          <w:p w14:paraId="104380E1" w14:textId="77777777" w:rsidR="00034B88" w:rsidRPr="005B7AB7" w:rsidRDefault="00034B88" w:rsidP="00DD3BAE">
            <w:pPr>
              <w:spacing w:before="0" w:after="0" w:line="180" w:lineRule="exact"/>
              <w:jc w:val="center"/>
              <w:rPr>
                <w:sz w:val="16"/>
                <w:szCs w:val="16"/>
                <w:highlight w:val="yellow"/>
              </w:rPr>
            </w:pPr>
          </w:p>
        </w:tc>
      </w:tr>
      <w:tr w:rsidR="00034B88" w:rsidRPr="00CD09C4" w14:paraId="257A5273" w14:textId="6375DE32" w:rsidTr="00034B88">
        <w:trPr>
          <w:jc w:val="center"/>
        </w:trPr>
        <w:tc>
          <w:tcPr>
            <w:tcW w:w="1616" w:type="dxa"/>
            <w:noWrap/>
            <w:vAlign w:val="bottom"/>
          </w:tcPr>
          <w:p w14:paraId="004272F0" w14:textId="77777777" w:rsidR="00034B88" w:rsidRPr="00CD09C4"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10401318" w14:textId="77777777" w:rsidR="00034B88" w:rsidRPr="00CD09C4" w:rsidRDefault="00034B88" w:rsidP="00DD3BAE">
            <w:pPr>
              <w:spacing w:before="0" w:after="0" w:line="180" w:lineRule="exact"/>
              <w:jc w:val="center"/>
              <w:rPr>
                <w:sz w:val="16"/>
                <w:szCs w:val="16"/>
              </w:rPr>
            </w:pPr>
            <w:r w:rsidRPr="00CD09C4">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05293227" w14:textId="77777777" w:rsidR="00034B88" w:rsidRPr="00CD09C4" w:rsidRDefault="00034B88" w:rsidP="00DD3BAE">
            <w:pPr>
              <w:spacing w:before="0" w:after="0" w:line="180" w:lineRule="exact"/>
              <w:jc w:val="center"/>
              <w:rPr>
                <w:sz w:val="16"/>
                <w:szCs w:val="16"/>
              </w:rPr>
            </w:pPr>
            <w:r w:rsidRPr="00CD09C4">
              <w:rPr>
                <w:sz w:val="16"/>
                <w:szCs w:val="16"/>
              </w:rPr>
              <w:t>AP1</w:t>
            </w:r>
          </w:p>
        </w:tc>
        <w:tc>
          <w:tcPr>
            <w:tcW w:w="1300" w:type="dxa"/>
            <w:tcBorders>
              <w:top w:val="single" w:sz="4" w:space="0" w:color="auto"/>
              <w:left w:val="nil"/>
              <w:bottom w:val="nil"/>
              <w:right w:val="nil"/>
            </w:tcBorders>
            <w:shd w:val="clear" w:color="auto" w:fill="F3F9FA"/>
            <w:noWrap/>
            <w:vAlign w:val="center"/>
            <w:hideMark/>
          </w:tcPr>
          <w:p w14:paraId="1875A704" w14:textId="77777777" w:rsidR="00034B88" w:rsidRPr="002668F0" w:rsidRDefault="00034B88" w:rsidP="00DD3BAE">
            <w:pPr>
              <w:spacing w:before="0" w:after="0"/>
              <w:jc w:val="center"/>
              <w:rPr>
                <w:color w:val="000000"/>
                <w:sz w:val="16"/>
                <w:szCs w:val="16"/>
              </w:rPr>
            </w:pPr>
            <w:r w:rsidRPr="002668F0">
              <w:rPr>
                <w:color w:val="000000"/>
                <w:sz w:val="16"/>
                <w:szCs w:val="16"/>
              </w:rPr>
              <w:t>0.73 ±0.37</w:t>
            </w:r>
          </w:p>
        </w:tc>
        <w:tc>
          <w:tcPr>
            <w:tcW w:w="1407" w:type="dxa"/>
            <w:tcBorders>
              <w:top w:val="single" w:sz="4" w:space="0" w:color="auto"/>
              <w:left w:val="nil"/>
              <w:bottom w:val="nil"/>
              <w:right w:val="nil"/>
            </w:tcBorders>
            <w:shd w:val="clear" w:color="auto" w:fill="F3F9FA"/>
            <w:vAlign w:val="center"/>
            <w:hideMark/>
          </w:tcPr>
          <w:p w14:paraId="74950DDC"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tcBorders>
              <w:top w:val="single" w:sz="4" w:space="0" w:color="auto"/>
              <w:left w:val="nil"/>
              <w:bottom w:val="nil"/>
              <w:right w:val="nil"/>
            </w:tcBorders>
            <w:shd w:val="clear" w:color="auto" w:fill="F3F9FA"/>
            <w:vAlign w:val="center"/>
            <w:hideMark/>
          </w:tcPr>
          <w:p w14:paraId="1541B947" w14:textId="77777777" w:rsidR="00034B88" w:rsidRPr="002668F0" w:rsidRDefault="00034B88" w:rsidP="00DD3BAE">
            <w:pPr>
              <w:spacing w:before="0" w:after="0"/>
              <w:jc w:val="center"/>
              <w:rPr>
                <w:color w:val="000000"/>
                <w:sz w:val="16"/>
                <w:szCs w:val="16"/>
              </w:rPr>
            </w:pPr>
            <w:r w:rsidRPr="002668F0">
              <w:rPr>
                <w:color w:val="000000"/>
                <w:sz w:val="16"/>
                <w:szCs w:val="16"/>
              </w:rPr>
              <w:t>0.56</w:t>
            </w:r>
          </w:p>
        </w:tc>
        <w:tc>
          <w:tcPr>
            <w:tcW w:w="650" w:type="dxa"/>
            <w:tcBorders>
              <w:top w:val="single" w:sz="4" w:space="0" w:color="auto"/>
              <w:left w:val="nil"/>
              <w:bottom w:val="nil"/>
              <w:right w:val="nil"/>
            </w:tcBorders>
            <w:shd w:val="clear" w:color="auto" w:fill="F3F9FA"/>
            <w:noWrap/>
            <w:vAlign w:val="center"/>
            <w:hideMark/>
          </w:tcPr>
          <w:p w14:paraId="156D8454" w14:textId="77777777" w:rsidR="00034B88" w:rsidRPr="002668F0" w:rsidRDefault="00034B88" w:rsidP="00DD3BAE">
            <w:pPr>
              <w:spacing w:before="0" w:after="0"/>
              <w:jc w:val="center"/>
              <w:rPr>
                <w:color w:val="000000"/>
                <w:sz w:val="16"/>
                <w:szCs w:val="16"/>
              </w:rPr>
            </w:pPr>
            <w:r w:rsidRPr="002668F0">
              <w:rPr>
                <w:color w:val="000000"/>
                <w:sz w:val="16"/>
                <w:szCs w:val="16"/>
              </w:rPr>
              <w:t>25</w:t>
            </w:r>
          </w:p>
        </w:tc>
        <w:tc>
          <w:tcPr>
            <w:tcW w:w="947" w:type="dxa"/>
            <w:vMerge w:val="restart"/>
            <w:tcBorders>
              <w:top w:val="single" w:sz="4" w:space="0" w:color="auto"/>
              <w:left w:val="nil"/>
              <w:right w:val="nil"/>
            </w:tcBorders>
            <w:shd w:val="clear" w:color="auto" w:fill="F3F9FA"/>
            <w:vAlign w:val="center"/>
          </w:tcPr>
          <w:p w14:paraId="3BDA1F46" w14:textId="3D9AC935" w:rsidR="00034B88" w:rsidRPr="002668F0" w:rsidRDefault="00034B88" w:rsidP="00DD3BAE">
            <w:pPr>
              <w:spacing w:before="0" w:after="0"/>
              <w:jc w:val="center"/>
              <w:rPr>
                <w:color w:val="000000"/>
                <w:sz w:val="16"/>
                <w:szCs w:val="16"/>
              </w:rPr>
            </w:pPr>
            <w:r>
              <w:rPr>
                <w:color w:val="000000"/>
                <w:sz w:val="16"/>
                <w:szCs w:val="16"/>
              </w:rPr>
              <w:t>8</w:t>
            </w:r>
          </w:p>
        </w:tc>
      </w:tr>
      <w:tr w:rsidR="00034B88" w:rsidRPr="00CD09C4" w14:paraId="6E991FF9" w14:textId="39EE849D" w:rsidTr="002702CB">
        <w:trPr>
          <w:jc w:val="center"/>
        </w:trPr>
        <w:tc>
          <w:tcPr>
            <w:tcW w:w="1616" w:type="dxa"/>
            <w:noWrap/>
            <w:vAlign w:val="bottom"/>
          </w:tcPr>
          <w:p w14:paraId="60B9C7A3" w14:textId="77777777" w:rsidR="00034B88" w:rsidRPr="00CD09C4" w:rsidRDefault="00034B88" w:rsidP="00DD3BAE">
            <w:pPr>
              <w:spacing w:before="0" w:after="0" w:line="180" w:lineRule="exact"/>
              <w:jc w:val="center"/>
              <w:rPr>
                <w:sz w:val="16"/>
                <w:szCs w:val="16"/>
              </w:rPr>
            </w:pPr>
          </w:p>
        </w:tc>
        <w:tc>
          <w:tcPr>
            <w:tcW w:w="1543" w:type="dxa"/>
            <w:shd w:val="clear" w:color="auto" w:fill="F3F9FA"/>
            <w:noWrap/>
            <w:vAlign w:val="bottom"/>
          </w:tcPr>
          <w:p w14:paraId="522CAB74" w14:textId="77777777" w:rsidR="00034B88" w:rsidRPr="00CD09C4" w:rsidRDefault="00034B88" w:rsidP="00DD3BAE">
            <w:pPr>
              <w:spacing w:before="0" w:after="0" w:line="180" w:lineRule="exact"/>
              <w:jc w:val="center"/>
              <w:rPr>
                <w:sz w:val="16"/>
                <w:szCs w:val="16"/>
              </w:rPr>
            </w:pPr>
          </w:p>
        </w:tc>
        <w:tc>
          <w:tcPr>
            <w:tcW w:w="960" w:type="dxa"/>
            <w:shd w:val="clear" w:color="auto" w:fill="F3F9FA"/>
            <w:noWrap/>
            <w:vAlign w:val="bottom"/>
            <w:hideMark/>
          </w:tcPr>
          <w:p w14:paraId="16BA68EB" w14:textId="77777777" w:rsidR="00034B88" w:rsidRPr="00CD09C4" w:rsidRDefault="00034B88" w:rsidP="00DD3BAE">
            <w:pPr>
              <w:spacing w:before="0" w:after="0" w:line="180" w:lineRule="exact"/>
              <w:jc w:val="center"/>
              <w:rPr>
                <w:sz w:val="16"/>
                <w:szCs w:val="16"/>
              </w:rPr>
            </w:pPr>
            <w:r w:rsidRPr="00CD09C4">
              <w:rPr>
                <w:sz w:val="16"/>
                <w:szCs w:val="16"/>
              </w:rPr>
              <w:t>AP2</w:t>
            </w:r>
          </w:p>
        </w:tc>
        <w:tc>
          <w:tcPr>
            <w:tcW w:w="1300" w:type="dxa"/>
            <w:shd w:val="clear" w:color="auto" w:fill="F3F9FA"/>
            <w:noWrap/>
            <w:vAlign w:val="center"/>
            <w:hideMark/>
          </w:tcPr>
          <w:p w14:paraId="0857C8CE" w14:textId="77777777" w:rsidR="00034B88" w:rsidRPr="002668F0" w:rsidRDefault="00034B88" w:rsidP="00DD3BAE">
            <w:pPr>
              <w:spacing w:before="0" w:after="0"/>
              <w:jc w:val="center"/>
              <w:rPr>
                <w:color w:val="000000"/>
                <w:sz w:val="16"/>
                <w:szCs w:val="16"/>
              </w:rPr>
            </w:pPr>
            <w:r w:rsidRPr="002668F0">
              <w:rPr>
                <w:color w:val="000000"/>
                <w:sz w:val="16"/>
                <w:szCs w:val="16"/>
              </w:rPr>
              <w:t>0.73 ±0.41</w:t>
            </w:r>
          </w:p>
        </w:tc>
        <w:tc>
          <w:tcPr>
            <w:tcW w:w="1407" w:type="dxa"/>
            <w:shd w:val="clear" w:color="auto" w:fill="F3F9FA"/>
            <w:vAlign w:val="center"/>
            <w:hideMark/>
          </w:tcPr>
          <w:p w14:paraId="2ABF3A9D"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05386039" w14:textId="77777777" w:rsidR="00034B88" w:rsidRPr="002668F0" w:rsidRDefault="00034B88" w:rsidP="00DD3BAE">
            <w:pPr>
              <w:spacing w:before="0" w:after="0"/>
              <w:jc w:val="center"/>
              <w:rPr>
                <w:color w:val="000000"/>
                <w:sz w:val="16"/>
                <w:szCs w:val="16"/>
              </w:rPr>
            </w:pPr>
            <w:r w:rsidRPr="002668F0">
              <w:rPr>
                <w:color w:val="000000"/>
                <w:sz w:val="16"/>
                <w:szCs w:val="16"/>
              </w:rPr>
              <w:t>0.56</w:t>
            </w:r>
          </w:p>
        </w:tc>
        <w:tc>
          <w:tcPr>
            <w:tcW w:w="650" w:type="dxa"/>
            <w:shd w:val="clear" w:color="auto" w:fill="F3F9FA"/>
            <w:noWrap/>
            <w:vAlign w:val="center"/>
            <w:hideMark/>
          </w:tcPr>
          <w:p w14:paraId="5ED00D3F" w14:textId="77777777" w:rsidR="00034B88" w:rsidRPr="002668F0" w:rsidRDefault="00034B88" w:rsidP="00DD3BAE">
            <w:pPr>
              <w:spacing w:before="0" w:after="0"/>
              <w:jc w:val="center"/>
              <w:rPr>
                <w:color w:val="000000"/>
                <w:sz w:val="16"/>
                <w:szCs w:val="16"/>
              </w:rPr>
            </w:pPr>
            <w:r w:rsidRPr="002668F0">
              <w:rPr>
                <w:color w:val="000000"/>
                <w:sz w:val="16"/>
                <w:szCs w:val="16"/>
              </w:rPr>
              <w:t>25</w:t>
            </w:r>
          </w:p>
        </w:tc>
        <w:tc>
          <w:tcPr>
            <w:tcW w:w="947" w:type="dxa"/>
            <w:vMerge/>
            <w:shd w:val="clear" w:color="auto" w:fill="F3F9FA"/>
          </w:tcPr>
          <w:p w14:paraId="0E62601E" w14:textId="77777777" w:rsidR="00034B88" w:rsidRPr="002668F0" w:rsidRDefault="00034B88" w:rsidP="00DD3BAE">
            <w:pPr>
              <w:spacing w:before="0" w:after="0"/>
              <w:jc w:val="center"/>
              <w:rPr>
                <w:color w:val="000000"/>
                <w:sz w:val="16"/>
                <w:szCs w:val="16"/>
              </w:rPr>
            </w:pPr>
          </w:p>
        </w:tc>
      </w:tr>
      <w:tr w:rsidR="00034B88" w:rsidRPr="00CD09C4" w14:paraId="2EC6B8DB" w14:textId="6F0E13A5" w:rsidTr="002702CB">
        <w:trPr>
          <w:jc w:val="center"/>
        </w:trPr>
        <w:tc>
          <w:tcPr>
            <w:tcW w:w="1616" w:type="dxa"/>
            <w:noWrap/>
            <w:vAlign w:val="bottom"/>
          </w:tcPr>
          <w:p w14:paraId="036C777E" w14:textId="77777777" w:rsidR="00034B88" w:rsidRPr="00CD09C4" w:rsidRDefault="00034B88" w:rsidP="00DD3BAE">
            <w:pPr>
              <w:spacing w:before="0" w:after="0" w:line="180" w:lineRule="exact"/>
              <w:jc w:val="center"/>
              <w:rPr>
                <w:sz w:val="16"/>
                <w:szCs w:val="16"/>
              </w:rPr>
            </w:pPr>
          </w:p>
        </w:tc>
        <w:tc>
          <w:tcPr>
            <w:tcW w:w="1543" w:type="dxa"/>
            <w:shd w:val="clear" w:color="auto" w:fill="F3F9FA"/>
            <w:noWrap/>
            <w:vAlign w:val="bottom"/>
          </w:tcPr>
          <w:p w14:paraId="7330BCC4" w14:textId="77777777" w:rsidR="00034B88" w:rsidRPr="00CD09C4" w:rsidRDefault="00034B88" w:rsidP="00DD3BAE">
            <w:pPr>
              <w:spacing w:before="0" w:after="0" w:line="180" w:lineRule="exact"/>
              <w:jc w:val="center"/>
              <w:rPr>
                <w:sz w:val="16"/>
                <w:szCs w:val="16"/>
              </w:rPr>
            </w:pPr>
          </w:p>
        </w:tc>
        <w:tc>
          <w:tcPr>
            <w:tcW w:w="960" w:type="dxa"/>
            <w:shd w:val="clear" w:color="auto" w:fill="F3F9FA"/>
            <w:noWrap/>
            <w:vAlign w:val="bottom"/>
            <w:hideMark/>
          </w:tcPr>
          <w:p w14:paraId="2FC69A8C" w14:textId="77777777" w:rsidR="00034B88" w:rsidRPr="00CD09C4" w:rsidRDefault="00034B88" w:rsidP="00DD3BAE">
            <w:pPr>
              <w:spacing w:before="0" w:after="0" w:line="180" w:lineRule="exact"/>
              <w:jc w:val="center"/>
              <w:rPr>
                <w:sz w:val="16"/>
                <w:szCs w:val="16"/>
              </w:rPr>
            </w:pPr>
            <w:r w:rsidRPr="00CD09C4">
              <w:rPr>
                <w:sz w:val="16"/>
                <w:szCs w:val="16"/>
              </w:rPr>
              <w:t>FR1</w:t>
            </w:r>
          </w:p>
        </w:tc>
        <w:tc>
          <w:tcPr>
            <w:tcW w:w="1300" w:type="dxa"/>
            <w:shd w:val="clear" w:color="auto" w:fill="F3F9FA"/>
            <w:noWrap/>
            <w:vAlign w:val="center"/>
            <w:hideMark/>
          </w:tcPr>
          <w:p w14:paraId="7123C3B3"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shd w:val="clear" w:color="auto" w:fill="F3F9FA"/>
            <w:vAlign w:val="center"/>
            <w:hideMark/>
          </w:tcPr>
          <w:p w14:paraId="041797E0"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182A2AF1"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shd w:val="clear" w:color="auto" w:fill="F3F9FA"/>
            <w:noWrap/>
            <w:vAlign w:val="center"/>
            <w:hideMark/>
          </w:tcPr>
          <w:p w14:paraId="24BE2CBB"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0A149C5A" w14:textId="77777777" w:rsidR="00034B88" w:rsidRPr="002668F0" w:rsidRDefault="00034B88" w:rsidP="00DD3BAE">
            <w:pPr>
              <w:spacing w:before="0" w:after="0"/>
              <w:jc w:val="center"/>
              <w:rPr>
                <w:color w:val="000000"/>
                <w:sz w:val="16"/>
                <w:szCs w:val="16"/>
              </w:rPr>
            </w:pPr>
          </w:p>
        </w:tc>
      </w:tr>
      <w:tr w:rsidR="00034B88" w:rsidRPr="00CD09C4" w14:paraId="38876CE6" w14:textId="53BEE277" w:rsidTr="002702CB">
        <w:trPr>
          <w:jc w:val="center"/>
        </w:trPr>
        <w:tc>
          <w:tcPr>
            <w:tcW w:w="1616" w:type="dxa"/>
            <w:noWrap/>
            <w:vAlign w:val="bottom"/>
          </w:tcPr>
          <w:p w14:paraId="18AE88DF" w14:textId="77777777" w:rsidR="00034B88" w:rsidRPr="00CD09C4" w:rsidRDefault="00034B88" w:rsidP="00DD3BAE">
            <w:pPr>
              <w:spacing w:before="0" w:after="0" w:line="180" w:lineRule="exact"/>
              <w:jc w:val="center"/>
              <w:rPr>
                <w:sz w:val="16"/>
                <w:szCs w:val="16"/>
              </w:rPr>
            </w:pPr>
          </w:p>
        </w:tc>
        <w:tc>
          <w:tcPr>
            <w:tcW w:w="1543" w:type="dxa"/>
            <w:shd w:val="clear" w:color="auto" w:fill="F3F9FA"/>
            <w:noWrap/>
            <w:vAlign w:val="bottom"/>
          </w:tcPr>
          <w:p w14:paraId="7AC58848" w14:textId="77777777" w:rsidR="00034B88" w:rsidRPr="00CD09C4" w:rsidRDefault="00034B88" w:rsidP="00DD3BAE">
            <w:pPr>
              <w:spacing w:before="0" w:after="0" w:line="180" w:lineRule="exact"/>
              <w:jc w:val="center"/>
              <w:rPr>
                <w:sz w:val="16"/>
                <w:szCs w:val="16"/>
              </w:rPr>
            </w:pPr>
          </w:p>
        </w:tc>
        <w:tc>
          <w:tcPr>
            <w:tcW w:w="960" w:type="dxa"/>
            <w:shd w:val="clear" w:color="auto" w:fill="F3F9FA"/>
            <w:noWrap/>
            <w:vAlign w:val="bottom"/>
          </w:tcPr>
          <w:p w14:paraId="070A37FB" w14:textId="77777777" w:rsidR="00034B88" w:rsidRPr="00CD09C4" w:rsidRDefault="00034B88" w:rsidP="00DD3BAE">
            <w:pPr>
              <w:spacing w:before="0" w:after="0" w:line="180" w:lineRule="exact"/>
              <w:jc w:val="center"/>
              <w:rPr>
                <w:sz w:val="16"/>
                <w:szCs w:val="16"/>
              </w:rPr>
            </w:pPr>
            <w:r>
              <w:rPr>
                <w:sz w:val="16"/>
                <w:szCs w:val="16"/>
              </w:rPr>
              <w:t>FR2</w:t>
            </w:r>
          </w:p>
        </w:tc>
        <w:tc>
          <w:tcPr>
            <w:tcW w:w="1300" w:type="dxa"/>
            <w:shd w:val="clear" w:color="auto" w:fill="F3F9FA"/>
            <w:noWrap/>
            <w:vAlign w:val="center"/>
          </w:tcPr>
          <w:p w14:paraId="2E125B8C"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shd w:val="clear" w:color="auto" w:fill="F3F9FA"/>
            <w:vAlign w:val="center"/>
          </w:tcPr>
          <w:p w14:paraId="114EC8A7"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tcPr>
          <w:p w14:paraId="16746A64"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shd w:val="clear" w:color="auto" w:fill="F3F9FA"/>
            <w:noWrap/>
            <w:vAlign w:val="center"/>
          </w:tcPr>
          <w:p w14:paraId="0B2228E4"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5D02CACB" w14:textId="77777777" w:rsidR="00034B88" w:rsidRPr="002668F0" w:rsidRDefault="00034B88" w:rsidP="00DD3BAE">
            <w:pPr>
              <w:spacing w:before="0" w:after="0"/>
              <w:jc w:val="center"/>
              <w:rPr>
                <w:color w:val="000000"/>
                <w:sz w:val="16"/>
                <w:szCs w:val="16"/>
              </w:rPr>
            </w:pPr>
          </w:p>
        </w:tc>
      </w:tr>
      <w:tr w:rsidR="00034B88" w:rsidRPr="00C259CD" w14:paraId="1C90E9B1" w14:textId="4F2AA63C" w:rsidTr="002702CB">
        <w:trPr>
          <w:jc w:val="center"/>
        </w:trPr>
        <w:tc>
          <w:tcPr>
            <w:tcW w:w="1616" w:type="dxa"/>
            <w:noWrap/>
            <w:vAlign w:val="bottom"/>
          </w:tcPr>
          <w:p w14:paraId="3E6984A1" w14:textId="77777777" w:rsidR="00034B88" w:rsidRPr="00C259CD" w:rsidRDefault="00034B88" w:rsidP="00DD3BAE">
            <w:pPr>
              <w:spacing w:before="0" w:after="0" w:line="180" w:lineRule="exact"/>
              <w:jc w:val="center"/>
              <w:rPr>
                <w:sz w:val="16"/>
                <w:szCs w:val="16"/>
              </w:rPr>
            </w:pPr>
          </w:p>
        </w:tc>
        <w:tc>
          <w:tcPr>
            <w:tcW w:w="1543" w:type="dxa"/>
            <w:shd w:val="clear" w:color="auto" w:fill="F3F9FA"/>
            <w:noWrap/>
            <w:vAlign w:val="bottom"/>
          </w:tcPr>
          <w:p w14:paraId="7111DC7E" w14:textId="77777777" w:rsidR="00034B88" w:rsidRPr="00C259CD" w:rsidRDefault="00034B88" w:rsidP="00DD3BAE">
            <w:pPr>
              <w:spacing w:before="0" w:after="0" w:line="180" w:lineRule="exact"/>
              <w:jc w:val="center"/>
              <w:rPr>
                <w:sz w:val="16"/>
                <w:szCs w:val="16"/>
              </w:rPr>
            </w:pPr>
          </w:p>
        </w:tc>
        <w:tc>
          <w:tcPr>
            <w:tcW w:w="960" w:type="dxa"/>
            <w:shd w:val="clear" w:color="auto" w:fill="F3F9FA"/>
            <w:noWrap/>
            <w:vAlign w:val="bottom"/>
            <w:hideMark/>
          </w:tcPr>
          <w:p w14:paraId="5544BCF7" w14:textId="77777777" w:rsidR="00034B88" w:rsidRPr="00C259CD" w:rsidRDefault="00034B88" w:rsidP="00DD3BAE">
            <w:pPr>
              <w:spacing w:before="0" w:after="0" w:line="180" w:lineRule="exact"/>
              <w:jc w:val="center"/>
              <w:rPr>
                <w:sz w:val="16"/>
                <w:szCs w:val="16"/>
              </w:rPr>
            </w:pPr>
            <w:r w:rsidRPr="00C259CD">
              <w:rPr>
                <w:sz w:val="16"/>
                <w:szCs w:val="16"/>
              </w:rPr>
              <w:t>ST1</w:t>
            </w:r>
          </w:p>
        </w:tc>
        <w:tc>
          <w:tcPr>
            <w:tcW w:w="1300" w:type="dxa"/>
            <w:shd w:val="clear" w:color="auto" w:fill="F3F9FA"/>
            <w:noWrap/>
            <w:vAlign w:val="center"/>
            <w:hideMark/>
          </w:tcPr>
          <w:p w14:paraId="49123ED9"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shd w:val="clear" w:color="auto" w:fill="F3F9FA"/>
            <w:vAlign w:val="center"/>
            <w:hideMark/>
          </w:tcPr>
          <w:p w14:paraId="5C01F2FB"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51D37374"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shd w:val="clear" w:color="auto" w:fill="F3F9FA"/>
            <w:noWrap/>
            <w:vAlign w:val="center"/>
            <w:hideMark/>
          </w:tcPr>
          <w:p w14:paraId="3801150A"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3238397E" w14:textId="77777777" w:rsidR="00034B88" w:rsidRPr="002668F0" w:rsidRDefault="00034B88" w:rsidP="00DD3BAE">
            <w:pPr>
              <w:spacing w:before="0" w:after="0"/>
              <w:jc w:val="center"/>
              <w:rPr>
                <w:color w:val="000000"/>
                <w:sz w:val="16"/>
                <w:szCs w:val="16"/>
              </w:rPr>
            </w:pPr>
          </w:p>
        </w:tc>
      </w:tr>
      <w:tr w:rsidR="00034B88" w:rsidRPr="00C259CD" w14:paraId="6ABC92B6" w14:textId="32026D9E" w:rsidTr="002702CB">
        <w:trPr>
          <w:jc w:val="center"/>
        </w:trPr>
        <w:tc>
          <w:tcPr>
            <w:tcW w:w="1616" w:type="dxa"/>
            <w:noWrap/>
            <w:vAlign w:val="bottom"/>
          </w:tcPr>
          <w:p w14:paraId="7E61E298" w14:textId="77777777" w:rsidR="00034B88" w:rsidRPr="00C259CD" w:rsidRDefault="00034B88" w:rsidP="00DD3BAE">
            <w:pPr>
              <w:spacing w:before="0" w:after="0" w:line="180" w:lineRule="exact"/>
              <w:jc w:val="center"/>
              <w:rPr>
                <w:sz w:val="16"/>
                <w:szCs w:val="16"/>
              </w:rPr>
            </w:pPr>
          </w:p>
        </w:tc>
        <w:tc>
          <w:tcPr>
            <w:tcW w:w="1543" w:type="dxa"/>
            <w:shd w:val="clear" w:color="auto" w:fill="F3F9FA"/>
            <w:noWrap/>
            <w:vAlign w:val="bottom"/>
          </w:tcPr>
          <w:p w14:paraId="0C3EE35F" w14:textId="77777777" w:rsidR="00034B88" w:rsidRPr="00C259CD" w:rsidRDefault="00034B88" w:rsidP="00DD3BAE">
            <w:pPr>
              <w:spacing w:before="0" w:after="0" w:line="180" w:lineRule="exact"/>
              <w:jc w:val="center"/>
              <w:rPr>
                <w:sz w:val="16"/>
                <w:szCs w:val="16"/>
              </w:rPr>
            </w:pPr>
          </w:p>
        </w:tc>
        <w:tc>
          <w:tcPr>
            <w:tcW w:w="960" w:type="dxa"/>
            <w:shd w:val="clear" w:color="auto" w:fill="F3F9FA"/>
            <w:noWrap/>
            <w:vAlign w:val="bottom"/>
            <w:hideMark/>
          </w:tcPr>
          <w:p w14:paraId="63A57A9E" w14:textId="77777777" w:rsidR="00034B88" w:rsidRPr="00C259CD" w:rsidRDefault="00034B88" w:rsidP="00DD3BAE">
            <w:pPr>
              <w:spacing w:before="0" w:after="0" w:line="180" w:lineRule="exact"/>
              <w:jc w:val="center"/>
              <w:rPr>
                <w:sz w:val="16"/>
                <w:szCs w:val="16"/>
              </w:rPr>
            </w:pPr>
            <w:r w:rsidRPr="00C259CD">
              <w:rPr>
                <w:sz w:val="16"/>
                <w:szCs w:val="16"/>
              </w:rPr>
              <w:t>ST2</w:t>
            </w:r>
          </w:p>
        </w:tc>
        <w:tc>
          <w:tcPr>
            <w:tcW w:w="1300" w:type="dxa"/>
            <w:shd w:val="clear" w:color="auto" w:fill="F3F9FA"/>
            <w:noWrap/>
            <w:vAlign w:val="center"/>
            <w:hideMark/>
          </w:tcPr>
          <w:p w14:paraId="5E5DE7B2" w14:textId="77777777" w:rsidR="00034B88" w:rsidRPr="002668F0" w:rsidRDefault="00034B88" w:rsidP="00DD3BAE">
            <w:pPr>
              <w:spacing w:before="0" w:after="0"/>
              <w:jc w:val="center"/>
              <w:rPr>
                <w:color w:val="000000"/>
                <w:sz w:val="16"/>
                <w:szCs w:val="16"/>
              </w:rPr>
            </w:pPr>
            <w:r w:rsidRPr="002668F0">
              <w:rPr>
                <w:color w:val="000000"/>
                <w:sz w:val="16"/>
                <w:szCs w:val="16"/>
              </w:rPr>
              <w:t>0.07 ±0.07</w:t>
            </w:r>
          </w:p>
        </w:tc>
        <w:tc>
          <w:tcPr>
            <w:tcW w:w="1407" w:type="dxa"/>
            <w:shd w:val="clear" w:color="auto" w:fill="F3F9FA"/>
            <w:vAlign w:val="center"/>
            <w:hideMark/>
          </w:tcPr>
          <w:p w14:paraId="538E91DF"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1F7EFBAB" w14:textId="77777777" w:rsidR="00034B88" w:rsidRPr="002668F0" w:rsidRDefault="00034B88" w:rsidP="00DD3BAE">
            <w:pPr>
              <w:spacing w:before="0" w:after="0"/>
              <w:jc w:val="center"/>
              <w:rPr>
                <w:color w:val="000000"/>
                <w:sz w:val="16"/>
                <w:szCs w:val="16"/>
              </w:rPr>
            </w:pPr>
            <w:r w:rsidRPr="002668F0">
              <w:rPr>
                <w:color w:val="000000"/>
                <w:sz w:val="16"/>
                <w:szCs w:val="16"/>
              </w:rPr>
              <w:t>0.05</w:t>
            </w:r>
          </w:p>
        </w:tc>
        <w:tc>
          <w:tcPr>
            <w:tcW w:w="650" w:type="dxa"/>
            <w:shd w:val="clear" w:color="auto" w:fill="F3F9FA"/>
            <w:noWrap/>
            <w:vAlign w:val="center"/>
            <w:hideMark/>
          </w:tcPr>
          <w:p w14:paraId="658998EC"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22340DE2" w14:textId="77777777" w:rsidR="00034B88" w:rsidRPr="002668F0" w:rsidRDefault="00034B88" w:rsidP="00DD3BAE">
            <w:pPr>
              <w:spacing w:before="0" w:after="0"/>
              <w:jc w:val="center"/>
              <w:rPr>
                <w:color w:val="000000"/>
                <w:sz w:val="16"/>
                <w:szCs w:val="16"/>
              </w:rPr>
            </w:pPr>
          </w:p>
        </w:tc>
      </w:tr>
      <w:tr w:rsidR="002702CB" w:rsidRPr="00C717AF" w14:paraId="7413861F" w14:textId="009FC31E" w:rsidTr="002702CB">
        <w:trPr>
          <w:jc w:val="center"/>
        </w:trPr>
        <w:tc>
          <w:tcPr>
            <w:tcW w:w="1616" w:type="dxa"/>
            <w:tcBorders>
              <w:top w:val="nil"/>
              <w:left w:val="nil"/>
              <w:bottom w:val="single" w:sz="4" w:space="0" w:color="auto"/>
              <w:right w:val="nil"/>
            </w:tcBorders>
            <w:noWrap/>
            <w:vAlign w:val="bottom"/>
          </w:tcPr>
          <w:p w14:paraId="149EB26C" w14:textId="77777777" w:rsidR="002702CB" w:rsidRPr="00C717AF" w:rsidRDefault="002702CB" w:rsidP="00DD3BAE">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272FA703" w14:textId="0555C17C" w:rsidR="002702CB" w:rsidRPr="00BE543E" w:rsidRDefault="002702CB" w:rsidP="00DD3BAE">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6A26E665" w14:textId="77777777" w:rsidR="002702CB" w:rsidRPr="00BE543E" w:rsidRDefault="002702CB" w:rsidP="00DD3BAE">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71619564" w14:textId="77777777" w:rsidR="002702CB" w:rsidRPr="00BE543E" w:rsidRDefault="002702CB" w:rsidP="00DD3BAE">
            <w:pPr>
              <w:spacing w:before="0" w:after="0" w:line="180" w:lineRule="exact"/>
              <w:jc w:val="center"/>
              <w:rPr>
                <w:sz w:val="16"/>
                <w:szCs w:val="16"/>
              </w:rPr>
            </w:pPr>
          </w:p>
        </w:tc>
        <w:tc>
          <w:tcPr>
            <w:tcW w:w="1407" w:type="dxa"/>
            <w:tcBorders>
              <w:top w:val="single" w:sz="4" w:space="0" w:color="auto"/>
              <w:left w:val="nil"/>
              <w:bottom w:val="single" w:sz="4" w:space="0" w:color="auto"/>
              <w:right w:val="nil"/>
            </w:tcBorders>
            <w:vAlign w:val="bottom"/>
          </w:tcPr>
          <w:p w14:paraId="47AD2253" w14:textId="77777777" w:rsidR="002702CB" w:rsidRPr="00BE543E" w:rsidRDefault="002702CB" w:rsidP="00DD3BAE">
            <w:pPr>
              <w:spacing w:before="0" w:after="0" w:line="180" w:lineRule="exact"/>
              <w:jc w:val="center"/>
              <w:rPr>
                <w:sz w:val="16"/>
                <w:szCs w:val="16"/>
              </w:rPr>
            </w:pPr>
          </w:p>
        </w:tc>
        <w:tc>
          <w:tcPr>
            <w:tcW w:w="811" w:type="dxa"/>
            <w:tcBorders>
              <w:top w:val="single" w:sz="4" w:space="0" w:color="auto"/>
              <w:left w:val="nil"/>
              <w:bottom w:val="single" w:sz="4" w:space="0" w:color="auto"/>
              <w:right w:val="nil"/>
            </w:tcBorders>
            <w:vAlign w:val="bottom"/>
          </w:tcPr>
          <w:p w14:paraId="580AB3E0" w14:textId="77777777" w:rsidR="002702CB" w:rsidRPr="00BE543E" w:rsidRDefault="002702CB" w:rsidP="00DD3BAE">
            <w:pPr>
              <w:spacing w:before="0" w:after="0" w:line="180" w:lineRule="exact"/>
              <w:jc w:val="center"/>
              <w:rPr>
                <w:sz w:val="16"/>
                <w:szCs w:val="16"/>
              </w:rPr>
            </w:pPr>
          </w:p>
        </w:tc>
        <w:tc>
          <w:tcPr>
            <w:tcW w:w="650" w:type="dxa"/>
            <w:tcBorders>
              <w:top w:val="single" w:sz="4" w:space="0" w:color="auto"/>
              <w:left w:val="nil"/>
              <w:bottom w:val="single" w:sz="4" w:space="0" w:color="auto"/>
              <w:right w:val="nil"/>
            </w:tcBorders>
            <w:noWrap/>
            <w:vAlign w:val="bottom"/>
            <w:hideMark/>
          </w:tcPr>
          <w:p w14:paraId="2DA37D88" w14:textId="77777777" w:rsidR="002702CB" w:rsidRPr="00BE543E" w:rsidRDefault="002702CB" w:rsidP="00DD3BAE">
            <w:pPr>
              <w:spacing w:before="0" w:after="0" w:line="180" w:lineRule="exact"/>
              <w:jc w:val="center"/>
              <w:rPr>
                <w:b/>
                <w:sz w:val="16"/>
                <w:szCs w:val="16"/>
              </w:rPr>
            </w:pPr>
            <w:r w:rsidRPr="00BE543E">
              <w:rPr>
                <w:b/>
                <w:sz w:val="16"/>
                <w:szCs w:val="16"/>
              </w:rPr>
              <w:t>10</w:t>
            </w:r>
          </w:p>
        </w:tc>
        <w:tc>
          <w:tcPr>
            <w:tcW w:w="947" w:type="dxa"/>
            <w:tcBorders>
              <w:top w:val="single" w:sz="4" w:space="0" w:color="auto"/>
              <w:left w:val="nil"/>
              <w:bottom w:val="single" w:sz="4" w:space="0" w:color="auto"/>
              <w:right w:val="nil"/>
            </w:tcBorders>
          </w:tcPr>
          <w:p w14:paraId="0C0D0E19" w14:textId="77777777" w:rsidR="002702CB" w:rsidRPr="00BE543E" w:rsidRDefault="002702CB" w:rsidP="00DD3BAE">
            <w:pPr>
              <w:spacing w:before="0" w:after="0" w:line="180" w:lineRule="exact"/>
              <w:jc w:val="center"/>
              <w:rPr>
                <w:b/>
                <w:sz w:val="16"/>
                <w:szCs w:val="16"/>
              </w:rPr>
            </w:pPr>
          </w:p>
        </w:tc>
      </w:tr>
      <w:tr w:rsidR="00034B88" w:rsidRPr="00471952" w14:paraId="7A005D51" w14:textId="6BE29166" w:rsidTr="00034B88">
        <w:trPr>
          <w:jc w:val="center"/>
        </w:trPr>
        <w:tc>
          <w:tcPr>
            <w:tcW w:w="1616" w:type="dxa"/>
            <w:tcBorders>
              <w:top w:val="single" w:sz="4" w:space="0" w:color="auto"/>
              <w:left w:val="nil"/>
              <w:bottom w:val="nil"/>
              <w:right w:val="nil"/>
            </w:tcBorders>
            <w:noWrap/>
            <w:vAlign w:val="bottom"/>
            <w:hideMark/>
          </w:tcPr>
          <w:p w14:paraId="2C0D4A8D" w14:textId="77777777" w:rsidR="00034B88" w:rsidRPr="00471952" w:rsidRDefault="00034B88" w:rsidP="00DD3BAE">
            <w:pPr>
              <w:spacing w:before="0" w:after="0" w:line="180" w:lineRule="exact"/>
              <w:jc w:val="center"/>
              <w:rPr>
                <w:sz w:val="16"/>
                <w:szCs w:val="16"/>
              </w:rPr>
            </w:pPr>
            <w:r w:rsidRPr="00471952">
              <w:rPr>
                <w:sz w:val="16"/>
                <w:szCs w:val="16"/>
              </w:rPr>
              <w:t>Wet Tropics</w:t>
            </w:r>
          </w:p>
        </w:tc>
        <w:tc>
          <w:tcPr>
            <w:tcW w:w="1543" w:type="dxa"/>
            <w:tcBorders>
              <w:top w:val="single" w:sz="4" w:space="0" w:color="auto"/>
              <w:left w:val="nil"/>
              <w:bottom w:val="nil"/>
              <w:right w:val="nil"/>
            </w:tcBorders>
            <w:shd w:val="clear" w:color="auto" w:fill="E7F3F4"/>
            <w:noWrap/>
            <w:vAlign w:val="bottom"/>
            <w:hideMark/>
          </w:tcPr>
          <w:p w14:paraId="14F1BD4C" w14:textId="77777777" w:rsidR="00034B88" w:rsidRPr="00471952" w:rsidRDefault="00034B88" w:rsidP="00DD3BAE">
            <w:pPr>
              <w:spacing w:before="0" w:after="0" w:line="180" w:lineRule="exact"/>
              <w:jc w:val="center"/>
              <w:rPr>
                <w:sz w:val="16"/>
                <w:szCs w:val="16"/>
              </w:rPr>
            </w:pPr>
            <w:r w:rsidRPr="00471952">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18F7B752" w14:textId="77777777" w:rsidR="00034B88" w:rsidRPr="00471952" w:rsidRDefault="00034B88" w:rsidP="00DD3BAE">
            <w:pPr>
              <w:spacing w:before="0" w:after="0" w:line="180" w:lineRule="exact"/>
              <w:jc w:val="center"/>
              <w:rPr>
                <w:sz w:val="16"/>
                <w:szCs w:val="16"/>
              </w:rPr>
            </w:pPr>
            <w:r w:rsidRPr="00471952">
              <w:rPr>
                <w:sz w:val="16"/>
                <w:szCs w:val="16"/>
              </w:rPr>
              <w:t>LB1</w:t>
            </w:r>
          </w:p>
        </w:tc>
        <w:tc>
          <w:tcPr>
            <w:tcW w:w="1300" w:type="dxa"/>
            <w:tcBorders>
              <w:top w:val="single" w:sz="4" w:space="0" w:color="auto"/>
              <w:left w:val="nil"/>
              <w:bottom w:val="nil"/>
              <w:right w:val="nil"/>
            </w:tcBorders>
            <w:shd w:val="clear" w:color="auto" w:fill="E7F3F4"/>
            <w:noWrap/>
            <w:vAlign w:val="center"/>
            <w:hideMark/>
          </w:tcPr>
          <w:p w14:paraId="72408CCB" w14:textId="77777777" w:rsidR="00034B88" w:rsidRPr="002668F0" w:rsidRDefault="00034B88" w:rsidP="00DD3BAE">
            <w:pPr>
              <w:spacing w:before="0" w:after="0"/>
              <w:jc w:val="center"/>
              <w:rPr>
                <w:rFonts w:ascii="Times New Roman" w:hAnsi="Times New Roman"/>
                <w:sz w:val="16"/>
                <w:szCs w:val="16"/>
              </w:rPr>
            </w:pPr>
          </w:p>
        </w:tc>
        <w:tc>
          <w:tcPr>
            <w:tcW w:w="1407" w:type="dxa"/>
            <w:tcBorders>
              <w:top w:val="single" w:sz="4" w:space="0" w:color="auto"/>
              <w:left w:val="nil"/>
              <w:bottom w:val="nil"/>
              <w:right w:val="nil"/>
            </w:tcBorders>
            <w:shd w:val="clear" w:color="auto" w:fill="E7F3F4"/>
            <w:vAlign w:val="center"/>
            <w:hideMark/>
          </w:tcPr>
          <w:p w14:paraId="316636F1"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tcBorders>
              <w:top w:val="single" w:sz="4" w:space="0" w:color="auto"/>
              <w:left w:val="nil"/>
              <w:bottom w:val="nil"/>
              <w:right w:val="nil"/>
            </w:tcBorders>
            <w:shd w:val="clear" w:color="auto" w:fill="E7F3F4"/>
            <w:vAlign w:val="center"/>
            <w:hideMark/>
          </w:tcPr>
          <w:p w14:paraId="3956844F" w14:textId="77777777" w:rsidR="00034B88" w:rsidRPr="002668F0" w:rsidRDefault="00034B88" w:rsidP="00DD3BAE">
            <w:pPr>
              <w:spacing w:before="0" w:after="0"/>
              <w:jc w:val="center"/>
              <w:rPr>
                <w:color w:val="000000"/>
                <w:sz w:val="16"/>
                <w:szCs w:val="16"/>
              </w:rPr>
            </w:pPr>
          </w:p>
        </w:tc>
        <w:tc>
          <w:tcPr>
            <w:tcW w:w="650" w:type="dxa"/>
            <w:tcBorders>
              <w:top w:val="single" w:sz="4" w:space="0" w:color="auto"/>
              <w:left w:val="nil"/>
              <w:bottom w:val="nil"/>
              <w:right w:val="nil"/>
            </w:tcBorders>
            <w:shd w:val="clear" w:color="auto" w:fill="E7F3F4"/>
            <w:noWrap/>
            <w:vAlign w:val="center"/>
            <w:hideMark/>
          </w:tcPr>
          <w:p w14:paraId="471E8C7C" w14:textId="77777777" w:rsidR="00034B88" w:rsidRPr="002668F0" w:rsidRDefault="00034B88" w:rsidP="00DD3BAE">
            <w:pPr>
              <w:spacing w:before="0" w:after="0"/>
              <w:jc w:val="center"/>
              <w:rPr>
                <w:sz w:val="16"/>
                <w:szCs w:val="16"/>
              </w:rPr>
            </w:pPr>
          </w:p>
        </w:tc>
        <w:tc>
          <w:tcPr>
            <w:tcW w:w="947" w:type="dxa"/>
            <w:vMerge w:val="restart"/>
            <w:tcBorders>
              <w:top w:val="single" w:sz="4" w:space="0" w:color="auto"/>
              <w:left w:val="nil"/>
              <w:right w:val="nil"/>
            </w:tcBorders>
            <w:shd w:val="clear" w:color="auto" w:fill="E7F3F4"/>
            <w:vAlign w:val="center"/>
          </w:tcPr>
          <w:p w14:paraId="6DF0E3DC" w14:textId="2FEFF144" w:rsidR="00034B88" w:rsidRPr="002668F0" w:rsidRDefault="00034B88" w:rsidP="00DD3BAE">
            <w:pPr>
              <w:spacing w:before="0" w:after="0"/>
              <w:jc w:val="center"/>
              <w:rPr>
                <w:sz w:val="16"/>
                <w:szCs w:val="16"/>
              </w:rPr>
            </w:pPr>
            <w:r>
              <w:rPr>
                <w:sz w:val="16"/>
                <w:szCs w:val="16"/>
              </w:rPr>
              <w:t>0</w:t>
            </w:r>
          </w:p>
        </w:tc>
      </w:tr>
      <w:tr w:rsidR="00034B88" w:rsidRPr="00471952" w14:paraId="25981AC4" w14:textId="4D62636F" w:rsidTr="002702CB">
        <w:trPr>
          <w:jc w:val="center"/>
        </w:trPr>
        <w:tc>
          <w:tcPr>
            <w:tcW w:w="1616" w:type="dxa"/>
            <w:noWrap/>
            <w:vAlign w:val="bottom"/>
          </w:tcPr>
          <w:p w14:paraId="7B08D852" w14:textId="77777777" w:rsidR="00034B88" w:rsidRPr="00471952" w:rsidRDefault="00034B88" w:rsidP="00DD3BAE">
            <w:pPr>
              <w:spacing w:before="0" w:after="0" w:line="180" w:lineRule="exact"/>
              <w:jc w:val="center"/>
              <w:rPr>
                <w:sz w:val="16"/>
                <w:szCs w:val="16"/>
              </w:rPr>
            </w:pPr>
          </w:p>
        </w:tc>
        <w:tc>
          <w:tcPr>
            <w:tcW w:w="1543" w:type="dxa"/>
            <w:shd w:val="clear" w:color="auto" w:fill="E7F3F4"/>
            <w:noWrap/>
            <w:vAlign w:val="bottom"/>
          </w:tcPr>
          <w:p w14:paraId="1D5FB136" w14:textId="77777777" w:rsidR="00034B88" w:rsidRPr="00471952" w:rsidRDefault="00034B88" w:rsidP="00DD3BAE">
            <w:pPr>
              <w:spacing w:before="0" w:after="0" w:line="180" w:lineRule="exact"/>
              <w:jc w:val="center"/>
              <w:rPr>
                <w:sz w:val="16"/>
                <w:szCs w:val="16"/>
              </w:rPr>
            </w:pPr>
          </w:p>
        </w:tc>
        <w:tc>
          <w:tcPr>
            <w:tcW w:w="960" w:type="dxa"/>
            <w:shd w:val="clear" w:color="auto" w:fill="E7F3F4"/>
            <w:noWrap/>
            <w:vAlign w:val="bottom"/>
            <w:hideMark/>
          </w:tcPr>
          <w:p w14:paraId="7B1E1BFC" w14:textId="77777777" w:rsidR="00034B88" w:rsidRPr="00471952" w:rsidRDefault="00034B88" w:rsidP="00DD3BAE">
            <w:pPr>
              <w:spacing w:before="0" w:after="0" w:line="180" w:lineRule="exact"/>
              <w:jc w:val="center"/>
              <w:rPr>
                <w:sz w:val="16"/>
                <w:szCs w:val="16"/>
              </w:rPr>
            </w:pPr>
            <w:r w:rsidRPr="00471952">
              <w:rPr>
                <w:sz w:val="16"/>
                <w:szCs w:val="16"/>
              </w:rPr>
              <w:t>LB2</w:t>
            </w:r>
          </w:p>
        </w:tc>
        <w:tc>
          <w:tcPr>
            <w:tcW w:w="1300" w:type="dxa"/>
            <w:shd w:val="clear" w:color="auto" w:fill="E7F3F4"/>
            <w:noWrap/>
            <w:vAlign w:val="center"/>
            <w:hideMark/>
          </w:tcPr>
          <w:p w14:paraId="4D249BAA" w14:textId="77777777" w:rsidR="00034B88" w:rsidRPr="002668F0" w:rsidRDefault="00034B88" w:rsidP="00DD3BAE">
            <w:pPr>
              <w:spacing w:before="0" w:after="0"/>
              <w:jc w:val="center"/>
              <w:rPr>
                <w:sz w:val="16"/>
                <w:szCs w:val="16"/>
              </w:rPr>
            </w:pPr>
          </w:p>
        </w:tc>
        <w:tc>
          <w:tcPr>
            <w:tcW w:w="1407" w:type="dxa"/>
            <w:shd w:val="clear" w:color="auto" w:fill="E7F3F4"/>
            <w:vAlign w:val="center"/>
            <w:hideMark/>
          </w:tcPr>
          <w:p w14:paraId="1074B22F"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E7F3F4"/>
            <w:vAlign w:val="center"/>
            <w:hideMark/>
          </w:tcPr>
          <w:p w14:paraId="67E47E5A" w14:textId="77777777" w:rsidR="00034B88" w:rsidRPr="002668F0" w:rsidRDefault="00034B88" w:rsidP="00DD3BAE">
            <w:pPr>
              <w:spacing w:before="0" w:after="0"/>
              <w:jc w:val="center"/>
              <w:rPr>
                <w:color w:val="000000"/>
                <w:sz w:val="16"/>
                <w:szCs w:val="16"/>
              </w:rPr>
            </w:pPr>
          </w:p>
        </w:tc>
        <w:tc>
          <w:tcPr>
            <w:tcW w:w="650" w:type="dxa"/>
            <w:shd w:val="clear" w:color="auto" w:fill="E7F3F4"/>
            <w:noWrap/>
            <w:vAlign w:val="center"/>
            <w:hideMark/>
          </w:tcPr>
          <w:p w14:paraId="43D03543" w14:textId="77777777" w:rsidR="00034B88" w:rsidRPr="002668F0" w:rsidRDefault="00034B88" w:rsidP="00DD3BAE">
            <w:pPr>
              <w:spacing w:before="0" w:after="0"/>
              <w:jc w:val="center"/>
              <w:rPr>
                <w:sz w:val="16"/>
                <w:szCs w:val="16"/>
              </w:rPr>
            </w:pPr>
          </w:p>
        </w:tc>
        <w:tc>
          <w:tcPr>
            <w:tcW w:w="947" w:type="dxa"/>
            <w:vMerge/>
            <w:shd w:val="clear" w:color="auto" w:fill="E7F3F4"/>
          </w:tcPr>
          <w:p w14:paraId="528D848C" w14:textId="77777777" w:rsidR="00034B88" w:rsidRPr="002668F0" w:rsidRDefault="00034B88" w:rsidP="00DD3BAE">
            <w:pPr>
              <w:spacing w:before="0" w:after="0"/>
              <w:jc w:val="center"/>
              <w:rPr>
                <w:sz w:val="16"/>
                <w:szCs w:val="16"/>
              </w:rPr>
            </w:pPr>
          </w:p>
        </w:tc>
      </w:tr>
      <w:tr w:rsidR="00034B88" w:rsidRPr="00471952" w14:paraId="2ED9C1EB" w14:textId="1A22C5EE" w:rsidTr="002702CB">
        <w:trPr>
          <w:jc w:val="center"/>
        </w:trPr>
        <w:tc>
          <w:tcPr>
            <w:tcW w:w="1616" w:type="dxa"/>
            <w:noWrap/>
            <w:vAlign w:val="bottom"/>
          </w:tcPr>
          <w:p w14:paraId="5747995C" w14:textId="77777777" w:rsidR="00034B88" w:rsidRPr="00471952" w:rsidRDefault="00034B88" w:rsidP="00DD3BAE">
            <w:pPr>
              <w:spacing w:before="0" w:after="0" w:line="180" w:lineRule="exact"/>
              <w:jc w:val="center"/>
              <w:rPr>
                <w:sz w:val="16"/>
                <w:szCs w:val="16"/>
              </w:rPr>
            </w:pPr>
          </w:p>
        </w:tc>
        <w:tc>
          <w:tcPr>
            <w:tcW w:w="1543" w:type="dxa"/>
            <w:shd w:val="clear" w:color="auto" w:fill="E7F3F4"/>
            <w:noWrap/>
            <w:vAlign w:val="bottom"/>
          </w:tcPr>
          <w:p w14:paraId="70D33530" w14:textId="77777777" w:rsidR="00034B88" w:rsidRPr="00471952" w:rsidRDefault="00034B88" w:rsidP="00DD3BAE">
            <w:pPr>
              <w:spacing w:before="0" w:after="0" w:line="180" w:lineRule="exact"/>
              <w:jc w:val="center"/>
              <w:rPr>
                <w:sz w:val="16"/>
                <w:szCs w:val="16"/>
              </w:rPr>
            </w:pPr>
          </w:p>
        </w:tc>
        <w:tc>
          <w:tcPr>
            <w:tcW w:w="960" w:type="dxa"/>
            <w:shd w:val="clear" w:color="auto" w:fill="E7F3F4"/>
            <w:noWrap/>
            <w:vAlign w:val="bottom"/>
            <w:hideMark/>
          </w:tcPr>
          <w:p w14:paraId="71AC5950" w14:textId="77777777" w:rsidR="00034B88" w:rsidRPr="00471952" w:rsidRDefault="00034B88" w:rsidP="00DD3BAE">
            <w:pPr>
              <w:spacing w:before="0" w:after="0" w:line="180" w:lineRule="exact"/>
              <w:jc w:val="center"/>
              <w:rPr>
                <w:sz w:val="16"/>
                <w:szCs w:val="16"/>
              </w:rPr>
            </w:pPr>
            <w:r w:rsidRPr="00471952">
              <w:rPr>
                <w:sz w:val="16"/>
                <w:szCs w:val="16"/>
              </w:rPr>
              <w:t>YP1</w:t>
            </w:r>
          </w:p>
        </w:tc>
        <w:tc>
          <w:tcPr>
            <w:tcW w:w="1300" w:type="dxa"/>
            <w:shd w:val="clear" w:color="auto" w:fill="E7F3F4"/>
            <w:noWrap/>
            <w:vAlign w:val="center"/>
            <w:hideMark/>
          </w:tcPr>
          <w:p w14:paraId="7BEB3B09" w14:textId="77777777" w:rsidR="00034B88" w:rsidRPr="002668F0" w:rsidRDefault="00034B88" w:rsidP="00DD3BAE">
            <w:pPr>
              <w:spacing w:before="0" w:after="0"/>
              <w:jc w:val="center"/>
              <w:rPr>
                <w:color w:val="000000"/>
                <w:sz w:val="16"/>
                <w:szCs w:val="16"/>
              </w:rPr>
            </w:pPr>
            <w:r w:rsidRPr="002668F0">
              <w:rPr>
                <w:color w:val="000000"/>
                <w:sz w:val="16"/>
                <w:szCs w:val="16"/>
              </w:rPr>
              <w:t>1.67 ±0.61</w:t>
            </w:r>
          </w:p>
        </w:tc>
        <w:tc>
          <w:tcPr>
            <w:tcW w:w="1407" w:type="dxa"/>
            <w:shd w:val="clear" w:color="auto" w:fill="E7F3F4"/>
            <w:vAlign w:val="center"/>
            <w:hideMark/>
          </w:tcPr>
          <w:p w14:paraId="0A44B48B"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E7F3F4"/>
            <w:vAlign w:val="center"/>
            <w:hideMark/>
          </w:tcPr>
          <w:p w14:paraId="08CEFE1C" w14:textId="77777777" w:rsidR="00034B88" w:rsidRPr="002668F0" w:rsidRDefault="00034B88" w:rsidP="00DD3BAE">
            <w:pPr>
              <w:spacing w:before="0" w:after="0"/>
              <w:jc w:val="center"/>
              <w:rPr>
                <w:color w:val="000000"/>
                <w:sz w:val="16"/>
                <w:szCs w:val="16"/>
              </w:rPr>
            </w:pPr>
            <w:r w:rsidRPr="002668F0">
              <w:rPr>
                <w:color w:val="000000"/>
                <w:sz w:val="16"/>
                <w:szCs w:val="16"/>
              </w:rPr>
              <w:t>0.2</w:t>
            </w:r>
          </w:p>
        </w:tc>
        <w:tc>
          <w:tcPr>
            <w:tcW w:w="650" w:type="dxa"/>
            <w:shd w:val="clear" w:color="auto" w:fill="E7F3F4"/>
            <w:noWrap/>
            <w:vAlign w:val="center"/>
            <w:hideMark/>
          </w:tcPr>
          <w:p w14:paraId="07F721D6"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E7F3F4"/>
          </w:tcPr>
          <w:p w14:paraId="430FF17C" w14:textId="77777777" w:rsidR="00034B88" w:rsidRPr="002668F0" w:rsidRDefault="00034B88" w:rsidP="00DD3BAE">
            <w:pPr>
              <w:spacing w:before="0" w:after="0"/>
              <w:jc w:val="center"/>
              <w:rPr>
                <w:color w:val="000000"/>
                <w:sz w:val="16"/>
                <w:szCs w:val="16"/>
              </w:rPr>
            </w:pPr>
          </w:p>
        </w:tc>
      </w:tr>
      <w:tr w:rsidR="00034B88" w:rsidRPr="00471952" w14:paraId="5547D55B" w14:textId="55AFFA76" w:rsidTr="002702CB">
        <w:trPr>
          <w:jc w:val="center"/>
        </w:trPr>
        <w:tc>
          <w:tcPr>
            <w:tcW w:w="1616" w:type="dxa"/>
            <w:noWrap/>
            <w:vAlign w:val="bottom"/>
          </w:tcPr>
          <w:p w14:paraId="72F13088" w14:textId="77777777" w:rsidR="00034B88" w:rsidRPr="00471952" w:rsidRDefault="00034B88" w:rsidP="00DD3BAE">
            <w:pPr>
              <w:spacing w:before="0" w:after="0" w:line="180" w:lineRule="exact"/>
              <w:jc w:val="center"/>
              <w:rPr>
                <w:sz w:val="16"/>
                <w:szCs w:val="16"/>
              </w:rPr>
            </w:pPr>
          </w:p>
        </w:tc>
        <w:tc>
          <w:tcPr>
            <w:tcW w:w="1543" w:type="dxa"/>
            <w:shd w:val="clear" w:color="auto" w:fill="E7F3F4"/>
            <w:noWrap/>
            <w:vAlign w:val="bottom"/>
          </w:tcPr>
          <w:p w14:paraId="29DFBB48" w14:textId="77777777" w:rsidR="00034B88" w:rsidRPr="00471952" w:rsidRDefault="00034B88" w:rsidP="00DD3BAE">
            <w:pPr>
              <w:spacing w:before="0" w:after="0" w:line="180" w:lineRule="exact"/>
              <w:jc w:val="center"/>
              <w:rPr>
                <w:sz w:val="16"/>
                <w:szCs w:val="16"/>
              </w:rPr>
            </w:pPr>
          </w:p>
        </w:tc>
        <w:tc>
          <w:tcPr>
            <w:tcW w:w="960" w:type="dxa"/>
            <w:shd w:val="clear" w:color="auto" w:fill="E7F3F4"/>
            <w:noWrap/>
            <w:vAlign w:val="bottom"/>
            <w:hideMark/>
          </w:tcPr>
          <w:p w14:paraId="072085F6" w14:textId="77777777" w:rsidR="00034B88" w:rsidRPr="00471952" w:rsidRDefault="00034B88" w:rsidP="00DD3BAE">
            <w:pPr>
              <w:spacing w:before="0" w:after="0" w:line="180" w:lineRule="exact"/>
              <w:jc w:val="center"/>
              <w:rPr>
                <w:sz w:val="16"/>
                <w:szCs w:val="16"/>
              </w:rPr>
            </w:pPr>
            <w:r w:rsidRPr="00471952">
              <w:rPr>
                <w:sz w:val="16"/>
                <w:szCs w:val="16"/>
              </w:rPr>
              <w:t>YP2</w:t>
            </w:r>
          </w:p>
        </w:tc>
        <w:tc>
          <w:tcPr>
            <w:tcW w:w="1300" w:type="dxa"/>
            <w:shd w:val="clear" w:color="auto" w:fill="E7F3F4"/>
            <w:noWrap/>
            <w:vAlign w:val="center"/>
            <w:hideMark/>
          </w:tcPr>
          <w:p w14:paraId="05BFE8D1" w14:textId="77777777" w:rsidR="00034B88" w:rsidRPr="002668F0" w:rsidRDefault="00034B88" w:rsidP="00DD3BAE">
            <w:pPr>
              <w:spacing w:before="0" w:after="0"/>
              <w:jc w:val="center"/>
              <w:rPr>
                <w:color w:val="000000"/>
                <w:sz w:val="16"/>
                <w:szCs w:val="16"/>
              </w:rPr>
            </w:pPr>
            <w:r w:rsidRPr="002668F0">
              <w:rPr>
                <w:color w:val="000000"/>
                <w:sz w:val="16"/>
                <w:szCs w:val="16"/>
              </w:rPr>
              <w:t>2.87 ±1.30</w:t>
            </w:r>
          </w:p>
        </w:tc>
        <w:tc>
          <w:tcPr>
            <w:tcW w:w="1407" w:type="dxa"/>
            <w:shd w:val="clear" w:color="auto" w:fill="E7F3F4"/>
            <w:vAlign w:val="center"/>
            <w:hideMark/>
          </w:tcPr>
          <w:p w14:paraId="2E53411D"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E7F3F4"/>
            <w:vAlign w:val="center"/>
            <w:hideMark/>
          </w:tcPr>
          <w:p w14:paraId="4AF5CF4D" w14:textId="77777777" w:rsidR="00034B88" w:rsidRPr="002668F0" w:rsidRDefault="00034B88" w:rsidP="00DD3BAE">
            <w:pPr>
              <w:spacing w:before="0" w:after="0"/>
              <w:jc w:val="center"/>
              <w:rPr>
                <w:color w:val="000000"/>
                <w:sz w:val="16"/>
                <w:szCs w:val="16"/>
              </w:rPr>
            </w:pPr>
            <w:r w:rsidRPr="002668F0">
              <w:rPr>
                <w:color w:val="000000"/>
                <w:sz w:val="16"/>
                <w:szCs w:val="16"/>
              </w:rPr>
              <w:t>0.35</w:t>
            </w:r>
          </w:p>
        </w:tc>
        <w:tc>
          <w:tcPr>
            <w:tcW w:w="650" w:type="dxa"/>
            <w:shd w:val="clear" w:color="auto" w:fill="E7F3F4"/>
            <w:noWrap/>
            <w:vAlign w:val="center"/>
            <w:hideMark/>
          </w:tcPr>
          <w:p w14:paraId="531E87AD"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E7F3F4"/>
          </w:tcPr>
          <w:p w14:paraId="5B286798" w14:textId="77777777" w:rsidR="00034B88" w:rsidRPr="002668F0" w:rsidRDefault="00034B88" w:rsidP="00DD3BAE">
            <w:pPr>
              <w:spacing w:before="0" w:after="0"/>
              <w:jc w:val="center"/>
              <w:rPr>
                <w:color w:val="000000"/>
                <w:sz w:val="16"/>
                <w:szCs w:val="16"/>
              </w:rPr>
            </w:pPr>
          </w:p>
        </w:tc>
      </w:tr>
      <w:tr w:rsidR="00034B88" w:rsidRPr="00471952" w14:paraId="17B8CFFE" w14:textId="1B494C04" w:rsidTr="00034B88">
        <w:trPr>
          <w:jc w:val="center"/>
        </w:trPr>
        <w:tc>
          <w:tcPr>
            <w:tcW w:w="1616" w:type="dxa"/>
            <w:noWrap/>
            <w:vAlign w:val="bottom"/>
          </w:tcPr>
          <w:p w14:paraId="4D9EAB1C" w14:textId="77777777" w:rsidR="00034B88" w:rsidRPr="00471952"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5B173CB1" w14:textId="77777777" w:rsidR="00034B88" w:rsidRPr="00471952" w:rsidRDefault="00034B88" w:rsidP="00DD3BAE">
            <w:pPr>
              <w:spacing w:before="0" w:after="0" w:line="180" w:lineRule="exact"/>
              <w:jc w:val="center"/>
              <w:rPr>
                <w:sz w:val="16"/>
                <w:szCs w:val="16"/>
              </w:rPr>
            </w:pPr>
            <w:r w:rsidRPr="00471952">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2580453E" w14:textId="77777777" w:rsidR="00034B88" w:rsidRPr="00471952" w:rsidRDefault="00034B88" w:rsidP="00DD3BAE">
            <w:pPr>
              <w:spacing w:before="0" w:after="0" w:line="180" w:lineRule="exact"/>
              <w:jc w:val="center"/>
              <w:rPr>
                <w:sz w:val="16"/>
                <w:szCs w:val="16"/>
              </w:rPr>
            </w:pPr>
            <w:r w:rsidRPr="00471952">
              <w:rPr>
                <w:sz w:val="16"/>
                <w:szCs w:val="16"/>
              </w:rPr>
              <w:t>DI1</w:t>
            </w:r>
          </w:p>
        </w:tc>
        <w:tc>
          <w:tcPr>
            <w:tcW w:w="1300" w:type="dxa"/>
            <w:tcBorders>
              <w:top w:val="single" w:sz="4" w:space="0" w:color="auto"/>
              <w:left w:val="nil"/>
              <w:bottom w:val="nil"/>
              <w:right w:val="nil"/>
            </w:tcBorders>
            <w:shd w:val="clear" w:color="auto" w:fill="F3F9FA"/>
            <w:noWrap/>
            <w:vAlign w:val="center"/>
            <w:hideMark/>
          </w:tcPr>
          <w:p w14:paraId="44ED276D"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tcBorders>
              <w:top w:val="single" w:sz="4" w:space="0" w:color="auto"/>
              <w:left w:val="nil"/>
              <w:bottom w:val="nil"/>
              <w:right w:val="nil"/>
            </w:tcBorders>
            <w:shd w:val="clear" w:color="auto" w:fill="F3F9FA"/>
            <w:vAlign w:val="center"/>
            <w:hideMark/>
          </w:tcPr>
          <w:p w14:paraId="590E5A83"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tcBorders>
              <w:top w:val="single" w:sz="4" w:space="0" w:color="auto"/>
              <w:left w:val="nil"/>
              <w:bottom w:val="nil"/>
              <w:right w:val="nil"/>
            </w:tcBorders>
            <w:shd w:val="clear" w:color="auto" w:fill="F3F9FA"/>
            <w:vAlign w:val="center"/>
            <w:hideMark/>
          </w:tcPr>
          <w:p w14:paraId="16B32C3C"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tcBorders>
              <w:top w:val="single" w:sz="4" w:space="0" w:color="auto"/>
              <w:left w:val="nil"/>
              <w:bottom w:val="nil"/>
              <w:right w:val="nil"/>
            </w:tcBorders>
            <w:shd w:val="clear" w:color="auto" w:fill="F3F9FA"/>
            <w:noWrap/>
            <w:vAlign w:val="center"/>
            <w:hideMark/>
          </w:tcPr>
          <w:p w14:paraId="72B4A8B3"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val="restart"/>
            <w:tcBorders>
              <w:top w:val="single" w:sz="4" w:space="0" w:color="auto"/>
              <w:left w:val="nil"/>
              <w:right w:val="nil"/>
            </w:tcBorders>
            <w:shd w:val="clear" w:color="auto" w:fill="F3F9FA"/>
            <w:vAlign w:val="center"/>
          </w:tcPr>
          <w:p w14:paraId="65F5E2EF" w14:textId="26003971" w:rsidR="00034B88" w:rsidRPr="002668F0" w:rsidRDefault="00034B88" w:rsidP="00DD3BAE">
            <w:pPr>
              <w:spacing w:before="0" w:after="0"/>
              <w:jc w:val="center"/>
              <w:rPr>
                <w:color w:val="000000"/>
                <w:sz w:val="16"/>
                <w:szCs w:val="16"/>
              </w:rPr>
            </w:pPr>
            <w:r>
              <w:rPr>
                <w:color w:val="000000"/>
                <w:sz w:val="16"/>
                <w:szCs w:val="16"/>
              </w:rPr>
              <w:t>5</w:t>
            </w:r>
          </w:p>
        </w:tc>
      </w:tr>
      <w:tr w:rsidR="00034B88" w:rsidRPr="00471952" w14:paraId="336A73C8" w14:textId="250FD9FB" w:rsidTr="002702CB">
        <w:trPr>
          <w:jc w:val="center"/>
        </w:trPr>
        <w:tc>
          <w:tcPr>
            <w:tcW w:w="1616" w:type="dxa"/>
            <w:noWrap/>
            <w:vAlign w:val="bottom"/>
          </w:tcPr>
          <w:p w14:paraId="28100B95" w14:textId="77777777" w:rsidR="00034B88" w:rsidRPr="00471952" w:rsidRDefault="00034B88" w:rsidP="00DD3BAE">
            <w:pPr>
              <w:spacing w:before="0" w:after="0" w:line="180" w:lineRule="exact"/>
              <w:jc w:val="center"/>
              <w:rPr>
                <w:sz w:val="16"/>
                <w:szCs w:val="16"/>
              </w:rPr>
            </w:pPr>
          </w:p>
        </w:tc>
        <w:tc>
          <w:tcPr>
            <w:tcW w:w="1543" w:type="dxa"/>
            <w:shd w:val="clear" w:color="auto" w:fill="F3F9FA"/>
            <w:noWrap/>
            <w:vAlign w:val="bottom"/>
          </w:tcPr>
          <w:p w14:paraId="0A991179" w14:textId="77777777" w:rsidR="00034B88" w:rsidRPr="00471952" w:rsidRDefault="00034B88" w:rsidP="00DD3BAE">
            <w:pPr>
              <w:spacing w:before="0" w:after="0" w:line="180" w:lineRule="exact"/>
              <w:jc w:val="center"/>
              <w:rPr>
                <w:sz w:val="16"/>
                <w:szCs w:val="16"/>
              </w:rPr>
            </w:pPr>
          </w:p>
        </w:tc>
        <w:tc>
          <w:tcPr>
            <w:tcW w:w="960" w:type="dxa"/>
            <w:shd w:val="clear" w:color="auto" w:fill="F3F9FA"/>
            <w:noWrap/>
            <w:vAlign w:val="bottom"/>
            <w:hideMark/>
          </w:tcPr>
          <w:p w14:paraId="2D40073B" w14:textId="77777777" w:rsidR="00034B88" w:rsidRPr="00471952" w:rsidRDefault="00034B88" w:rsidP="00DD3BAE">
            <w:pPr>
              <w:spacing w:before="0" w:after="0" w:line="180" w:lineRule="exact"/>
              <w:jc w:val="center"/>
              <w:rPr>
                <w:sz w:val="16"/>
                <w:szCs w:val="16"/>
              </w:rPr>
            </w:pPr>
            <w:r w:rsidRPr="00471952">
              <w:rPr>
                <w:sz w:val="16"/>
                <w:szCs w:val="16"/>
              </w:rPr>
              <w:t>DI2</w:t>
            </w:r>
          </w:p>
        </w:tc>
        <w:tc>
          <w:tcPr>
            <w:tcW w:w="1300" w:type="dxa"/>
            <w:shd w:val="clear" w:color="auto" w:fill="F3F9FA"/>
            <w:noWrap/>
            <w:vAlign w:val="center"/>
            <w:hideMark/>
          </w:tcPr>
          <w:p w14:paraId="0C6225B9" w14:textId="77777777" w:rsidR="00034B88" w:rsidRPr="002668F0" w:rsidRDefault="00034B88" w:rsidP="00DD3BAE">
            <w:pPr>
              <w:spacing w:before="0" w:after="0"/>
              <w:jc w:val="center"/>
              <w:rPr>
                <w:color w:val="000000"/>
                <w:sz w:val="16"/>
                <w:szCs w:val="16"/>
              </w:rPr>
            </w:pPr>
            <w:r w:rsidRPr="002668F0">
              <w:rPr>
                <w:color w:val="000000"/>
                <w:sz w:val="16"/>
                <w:szCs w:val="16"/>
              </w:rPr>
              <w:t>0.87 ±0.47</w:t>
            </w:r>
          </w:p>
        </w:tc>
        <w:tc>
          <w:tcPr>
            <w:tcW w:w="1407" w:type="dxa"/>
            <w:shd w:val="clear" w:color="auto" w:fill="F3F9FA"/>
            <w:vAlign w:val="center"/>
            <w:hideMark/>
          </w:tcPr>
          <w:p w14:paraId="2C4DE208"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42E50CBF" w14:textId="77777777" w:rsidR="00034B88" w:rsidRPr="002668F0" w:rsidRDefault="00034B88" w:rsidP="00DD3BAE">
            <w:pPr>
              <w:spacing w:before="0" w:after="0"/>
              <w:jc w:val="center"/>
              <w:rPr>
                <w:color w:val="000000"/>
                <w:sz w:val="16"/>
                <w:szCs w:val="16"/>
              </w:rPr>
            </w:pPr>
            <w:r w:rsidRPr="002668F0">
              <w:rPr>
                <w:color w:val="000000"/>
                <w:sz w:val="16"/>
                <w:szCs w:val="16"/>
              </w:rPr>
              <w:t>0.66</w:t>
            </w:r>
          </w:p>
        </w:tc>
        <w:tc>
          <w:tcPr>
            <w:tcW w:w="650" w:type="dxa"/>
            <w:shd w:val="clear" w:color="auto" w:fill="F3F9FA"/>
            <w:noWrap/>
            <w:vAlign w:val="center"/>
            <w:hideMark/>
          </w:tcPr>
          <w:p w14:paraId="6826CBEF" w14:textId="77777777" w:rsidR="00034B88" w:rsidRPr="002668F0" w:rsidRDefault="00034B88" w:rsidP="00DD3BAE">
            <w:pPr>
              <w:spacing w:before="0" w:after="0"/>
              <w:jc w:val="center"/>
              <w:rPr>
                <w:color w:val="000000"/>
                <w:sz w:val="16"/>
                <w:szCs w:val="16"/>
              </w:rPr>
            </w:pPr>
            <w:r w:rsidRPr="002668F0">
              <w:rPr>
                <w:color w:val="000000"/>
                <w:sz w:val="16"/>
                <w:szCs w:val="16"/>
              </w:rPr>
              <w:t>25</w:t>
            </w:r>
          </w:p>
        </w:tc>
        <w:tc>
          <w:tcPr>
            <w:tcW w:w="947" w:type="dxa"/>
            <w:vMerge/>
            <w:shd w:val="clear" w:color="auto" w:fill="F3F9FA"/>
          </w:tcPr>
          <w:p w14:paraId="6C2A4A99" w14:textId="77777777" w:rsidR="00034B88" w:rsidRPr="002668F0" w:rsidRDefault="00034B88" w:rsidP="00DD3BAE">
            <w:pPr>
              <w:spacing w:before="0" w:after="0"/>
              <w:jc w:val="center"/>
              <w:rPr>
                <w:color w:val="000000"/>
                <w:sz w:val="16"/>
                <w:szCs w:val="16"/>
              </w:rPr>
            </w:pPr>
          </w:p>
        </w:tc>
      </w:tr>
      <w:tr w:rsidR="00034B88" w:rsidRPr="00471952" w14:paraId="3835D71F" w14:textId="2D7CB64F" w:rsidTr="002702CB">
        <w:trPr>
          <w:jc w:val="center"/>
        </w:trPr>
        <w:tc>
          <w:tcPr>
            <w:tcW w:w="1616" w:type="dxa"/>
            <w:noWrap/>
            <w:vAlign w:val="bottom"/>
          </w:tcPr>
          <w:p w14:paraId="15E87EF9" w14:textId="77777777" w:rsidR="00034B88" w:rsidRPr="00471952" w:rsidRDefault="00034B88" w:rsidP="00DD3BAE">
            <w:pPr>
              <w:spacing w:before="0" w:after="0" w:line="180" w:lineRule="exact"/>
              <w:jc w:val="center"/>
              <w:rPr>
                <w:sz w:val="16"/>
                <w:szCs w:val="16"/>
              </w:rPr>
            </w:pPr>
          </w:p>
        </w:tc>
        <w:tc>
          <w:tcPr>
            <w:tcW w:w="1543" w:type="dxa"/>
            <w:shd w:val="clear" w:color="auto" w:fill="F3F9FA"/>
            <w:noWrap/>
            <w:vAlign w:val="bottom"/>
          </w:tcPr>
          <w:p w14:paraId="135BDC98" w14:textId="77777777" w:rsidR="00034B88" w:rsidRPr="00471952" w:rsidRDefault="00034B88" w:rsidP="00DD3BAE">
            <w:pPr>
              <w:spacing w:before="0" w:after="0" w:line="180" w:lineRule="exact"/>
              <w:jc w:val="center"/>
              <w:rPr>
                <w:sz w:val="16"/>
                <w:szCs w:val="16"/>
              </w:rPr>
            </w:pPr>
          </w:p>
        </w:tc>
        <w:tc>
          <w:tcPr>
            <w:tcW w:w="960" w:type="dxa"/>
            <w:shd w:val="clear" w:color="auto" w:fill="F3F9FA"/>
            <w:noWrap/>
            <w:vAlign w:val="bottom"/>
            <w:hideMark/>
          </w:tcPr>
          <w:p w14:paraId="462A674B" w14:textId="77777777" w:rsidR="00034B88" w:rsidRPr="00471952" w:rsidRDefault="00034B88" w:rsidP="00DD3BAE">
            <w:pPr>
              <w:spacing w:before="0" w:after="0" w:line="180" w:lineRule="exact"/>
              <w:jc w:val="center"/>
              <w:rPr>
                <w:sz w:val="16"/>
                <w:szCs w:val="16"/>
              </w:rPr>
            </w:pPr>
            <w:r w:rsidRPr="00471952">
              <w:rPr>
                <w:sz w:val="16"/>
                <w:szCs w:val="16"/>
              </w:rPr>
              <w:t>GI1</w:t>
            </w:r>
          </w:p>
        </w:tc>
        <w:tc>
          <w:tcPr>
            <w:tcW w:w="1300" w:type="dxa"/>
            <w:shd w:val="clear" w:color="auto" w:fill="F3F9FA"/>
            <w:noWrap/>
            <w:vAlign w:val="center"/>
            <w:hideMark/>
          </w:tcPr>
          <w:p w14:paraId="63C98B4D" w14:textId="77777777" w:rsidR="00034B88" w:rsidRPr="002668F0" w:rsidRDefault="00034B88" w:rsidP="00DD3BAE">
            <w:pPr>
              <w:spacing w:before="0" w:after="0"/>
              <w:jc w:val="center"/>
              <w:rPr>
                <w:color w:val="000000"/>
                <w:sz w:val="16"/>
                <w:szCs w:val="16"/>
              </w:rPr>
            </w:pPr>
            <w:r w:rsidRPr="002668F0">
              <w:rPr>
                <w:color w:val="000000"/>
                <w:sz w:val="16"/>
                <w:szCs w:val="16"/>
              </w:rPr>
              <w:t>0.07 ±0.07</w:t>
            </w:r>
          </w:p>
        </w:tc>
        <w:tc>
          <w:tcPr>
            <w:tcW w:w="1407" w:type="dxa"/>
            <w:shd w:val="clear" w:color="auto" w:fill="F3F9FA"/>
            <w:vAlign w:val="center"/>
            <w:hideMark/>
          </w:tcPr>
          <w:p w14:paraId="45F1E7C2"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6C54CEB2" w14:textId="77777777" w:rsidR="00034B88" w:rsidRPr="002668F0" w:rsidRDefault="00034B88" w:rsidP="00DD3BAE">
            <w:pPr>
              <w:spacing w:before="0" w:after="0"/>
              <w:jc w:val="center"/>
              <w:rPr>
                <w:color w:val="000000"/>
                <w:sz w:val="16"/>
                <w:szCs w:val="16"/>
              </w:rPr>
            </w:pPr>
            <w:r w:rsidRPr="002668F0">
              <w:rPr>
                <w:color w:val="000000"/>
                <w:sz w:val="16"/>
                <w:szCs w:val="16"/>
              </w:rPr>
              <w:t>0.05</w:t>
            </w:r>
          </w:p>
        </w:tc>
        <w:tc>
          <w:tcPr>
            <w:tcW w:w="650" w:type="dxa"/>
            <w:shd w:val="clear" w:color="auto" w:fill="F3F9FA"/>
            <w:noWrap/>
            <w:vAlign w:val="center"/>
            <w:hideMark/>
          </w:tcPr>
          <w:p w14:paraId="0C8A7EF9"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246ACFBD" w14:textId="77777777" w:rsidR="00034B88" w:rsidRPr="002668F0" w:rsidRDefault="00034B88" w:rsidP="00DD3BAE">
            <w:pPr>
              <w:spacing w:before="0" w:after="0"/>
              <w:jc w:val="center"/>
              <w:rPr>
                <w:color w:val="000000"/>
                <w:sz w:val="16"/>
                <w:szCs w:val="16"/>
              </w:rPr>
            </w:pPr>
          </w:p>
        </w:tc>
      </w:tr>
      <w:tr w:rsidR="00034B88" w:rsidRPr="00471952" w14:paraId="0F356827" w14:textId="30B053BD" w:rsidTr="002702CB">
        <w:trPr>
          <w:jc w:val="center"/>
        </w:trPr>
        <w:tc>
          <w:tcPr>
            <w:tcW w:w="1616" w:type="dxa"/>
            <w:noWrap/>
            <w:vAlign w:val="bottom"/>
          </w:tcPr>
          <w:p w14:paraId="048A90BD" w14:textId="77777777" w:rsidR="00034B88" w:rsidRPr="00471952" w:rsidRDefault="00034B88" w:rsidP="00DD3BAE">
            <w:pPr>
              <w:spacing w:before="0" w:after="0" w:line="180" w:lineRule="exact"/>
              <w:jc w:val="center"/>
              <w:rPr>
                <w:sz w:val="16"/>
                <w:szCs w:val="16"/>
              </w:rPr>
            </w:pPr>
          </w:p>
        </w:tc>
        <w:tc>
          <w:tcPr>
            <w:tcW w:w="1543" w:type="dxa"/>
            <w:shd w:val="clear" w:color="auto" w:fill="F3F9FA"/>
            <w:noWrap/>
            <w:vAlign w:val="bottom"/>
          </w:tcPr>
          <w:p w14:paraId="52DF5948" w14:textId="77777777" w:rsidR="00034B88" w:rsidRPr="00471952" w:rsidRDefault="00034B88" w:rsidP="00DD3BAE">
            <w:pPr>
              <w:spacing w:before="0" w:after="0" w:line="180" w:lineRule="exact"/>
              <w:jc w:val="center"/>
              <w:rPr>
                <w:sz w:val="16"/>
                <w:szCs w:val="16"/>
              </w:rPr>
            </w:pPr>
          </w:p>
        </w:tc>
        <w:tc>
          <w:tcPr>
            <w:tcW w:w="960" w:type="dxa"/>
            <w:shd w:val="clear" w:color="auto" w:fill="F3F9FA"/>
            <w:noWrap/>
            <w:vAlign w:val="bottom"/>
            <w:hideMark/>
          </w:tcPr>
          <w:p w14:paraId="5D7108F4" w14:textId="77777777" w:rsidR="00034B88" w:rsidRPr="00471952" w:rsidRDefault="00034B88" w:rsidP="00DD3BAE">
            <w:pPr>
              <w:spacing w:before="0" w:after="0" w:line="180" w:lineRule="exact"/>
              <w:jc w:val="center"/>
              <w:rPr>
                <w:sz w:val="16"/>
                <w:szCs w:val="16"/>
              </w:rPr>
            </w:pPr>
            <w:r w:rsidRPr="00471952">
              <w:rPr>
                <w:sz w:val="16"/>
                <w:szCs w:val="16"/>
              </w:rPr>
              <w:t>GI2</w:t>
            </w:r>
          </w:p>
        </w:tc>
        <w:tc>
          <w:tcPr>
            <w:tcW w:w="1300" w:type="dxa"/>
            <w:shd w:val="clear" w:color="auto" w:fill="F3F9FA"/>
            <w:noWrap/>
            <w:vAlign w:val="center"/>
            <w:hideMark/>
          </w:tcPr>
          <w:p w14:paraId="547164C3" w14:textId="77777777" w:rsidR="00034B88" w:rsidRPr="002668F0" w:rsidRDefault="00034B88" w:rsidP="00DD3BAE">
            <w:pPr>
              <w:spacing w:before="0" w:after="0"/>
              <w:jc w:val="center"/>
              <w:rPr>
                <w:color w:val="000000"/>
                <w:sz w:val="16"/>
                <w:szCs w:val="16"/>
              </w:rPr>
            </w:pPr>
            <w:r w:rsidRPr="002668F0">
              <w:rPr>
                <w:color w:val="000000"/>
                <w:sz w:val="16"/>
                <w:szCs w:val="16"/>
              </w:rPr>
              <w:t>0.13 ±0.09</w:t>
            </w:r>
          </w:p>
        </w:tc>
        <w:tc>
          <w:tcPr>
            <w:tcW w:w="1407" w:type="dxa"/>
            <w:shd w:val="clear" w:color="auto" w:fill="F3F9FA"/>
            <w:vAlign w:val="center"/>
            <w:hideMark/>
          </w:tcPr>
          <w:p w14:paraId="1D336ACD"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58950BC5" w14:textId="77777777" w:rsidR="00034B88" w:rsidRPr="002668F0" w:rsidRDefault="00034B88" w:rsidP="00DD3BAE">
            <w:pPr>
              <w:spacing w:before="0" w:after="0"/>
              <w:jc w:val="center"/>
              <w:rPr>
                <w:color w:val="000000"/>
                <w:sz w:val="16"/>
                <w:szCs w:val="16"/>
              </w:rPr>
            </w:pPr>
            <w:r w:rsidRPr="002668F0">
              <w:rPr>
                <w:color w:val="000000"/>
                <w:sz w:val="16"/>
                <w:szCs w:val="16"/>
              </w:rPr>
              <w:t>0.1</w:t>
            </w:r>
          </w:p>
        </w:tc>
        <w:tc>
          <w:tcPr>
            <w:tcW w:w="650" w:type="dxa"/>
            <w:shd w:val="clear" w:color="auto" w:fill="F3F9FA"/>
            <w:noWrap/>
            <w:vAlign w:val="center"/>
            <w:hideMark/>
          </w:tcPr>
          <w:p w14:paraId="68F1617A"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77893779" w14:textId="77777777" w:rsidR="00034B88" w:rsidRPr="002668F0" w:rsidRDefault="00034B88" w:rsidP="00DD3BAE">
            <w:pPr>
              <w:spacing w:before="0" w:after="0"/>
              <w:jc w:val="center"/>
              <w:rPr>
                <w:color w:val="000000"/>
                <w:sz w:val="16"/>
                <w:szCs w:val="16"/>
              </w:rPr>
            </w:pPr>
          </w:p>
        </w:tc>
      </w:tr>
      <w:tr w:rsidR="00034B88" w:rsidRPr="00471952" w14:paraId="5B3FC0BB" w14:textId="6622178A" w:rsidTr="002702CB">
        <w:trPr>
          <w:jc w:val="center"/>
        </w:trPr>
        <w:tc>
          <w:tcPr>
            <w:tcW w:w="1616" w:type="dxa"/>
            <w:noWrap/>
            <w:vAlign w:val="bottom"/>
          </w:tcPr>
          <w:p w14:paraId="0EE96A0D" w14:textId="77777777" w:rsidR="00034B88" w:rsidRPr="00471952" w:rsidRDefault="00034B88" w:rsidP="00DD3BAE">
            <w:pPr>
              <w:spacing w:before="0" w:after="0" w:line="180" w:lineRule="exact"/>
              <w:jc w:val="center"/>
              <w:rPr>
                <w:sz w:val="16"/>
                <w:szCs w:val="16"/>
              </w:rPr>
            </w:pPr>
          </w:p>
        </w:tc>
        <w:tc>
          <w:tcPr>
            <w:tcW w:w="1543" w:type="dxa"/>
            <w:shd w:val="clear" w:color="auto" w:fill="F3F9FA"/>
            <w:noWrap/>
            <w:vAlign w:val="bottom"/>
          </w:tcPr>
          <w:p w14:paraId="2B962BF2" w14:textId="77777777" w:rsidR="00034B88" w:rsidRPr="00471952" w:rsidRDefault="00034B88" w:rsidP="00DD3BAE">
            <w:pPr>
              <w:spacing w:before="0" w:after="0" w:line="180" w:lineRule="exact"/>
              <w:jc w:val="center"/>
              <w:rPr>
                <w:sz w:val="16"/>
                <w:szCs w:val="16"/>
              </w:rPr>
            </w:pPr>
          </w:p>
        </w:tc>
        <w:tc>
          <w:tcPr>
            <w:tcW w:w="960" w:type="dxa"/>
            <w:shd w:val="clear" w:color="auto" w:fill="F3F9FA"/>
            <w:noWrap/>
            <w:vAlign w:val="bottom"/>
            <w:hideMark/>
          </w:tcPr>
          <w:p w14:paraId="3B20B7BC" w14:textId="77777777" w:rsidR="00034B88" w:rsidRPr="00471952" w:rsidRDefault="00034B88" w:rsidP="00DD3BAE">
            <w:pPr>
              <w:spacing w:before="0" w:after="0" w:line="180" w:lineRule="exact"/>
              <w:jc w:val="center"/>
              <w:rPr>
                <w:sz w:val="16"/>
                <w:szCs w:val="16"/>
              </w:rPr>
            </w:pPr>
            <w:r w:rsidRPr="00471952">
              <w:rPr>
                <w:sz w:val="16"/>
                <w:szCs w:val="16"/>
              </w:rPr>
              <w:t>LI1</w:t>
            </w:r>
          </w:p>
        </w:tc>
        <w:tc>
          <w:tcPr>
            <w:tcW w:w="1300" w:type="dxa"/>
            <w:shd w:val="clear" w:color="auto" w:fill="F3F9FA"/>
            <w:noWrap/>
            <w:vAlign w:val="center"/>
            <w:hideMark/>
          </w:tcPr>
          <w:p w14:paraId="71357273"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shd w:val="clear" w:color="auto" w:fill="F3F9FA"/>
            <w:vAlign w:val="center"/>
            <w:hideMark/>
          </w:tcPr>
          <w:p w14:paraId="2A7486BC"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F3F9FA"/>
            <w:vAlign w:val="center"/>
            <w:hideMark/>
          </w:tcPr>
          <w:p w14:paraId="5361B5EF"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shd w:val="clear" w:color="auto" w:fill="F3F9FA"/>
            <w:noWrap/>
            <w:vAlign w:val="center"/>
            <w:hideMark/>
          </w:tcPr>
          <w:p w14:paraId="668D7148"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44EDE944" w14:textId="77777777" w:rsidR="00034B88" w:rsidRPr="002668F0" w:rsidRDefault="00034B88" w:rsidP="00DD3BAE">
            <w:pPr>
              <w:spacing w:before="0" w:after="0"/>
              <w:jc w:val="center"/>
              <w:rPr>
                <w:color w:val="000000"/>
                <w:sz w:val="16"/>
                <w:szCs w:val="16"/>
              </w:rPr>
            </w:pPr>
          </w:p>
        </w:tc>
      </w:tr>
      <w:tr w:rsidR="00034B88" w:rsidRPr="00471952" w14:paraId="7592EA65" w14:textId="5C6A8392" w:rsidTr="00034B88">
        <w:trPr>
          <w:jc w:val="center"/>
        </w:trPr>
        <w:tc>
          <w:tcPr>
            <w:tcW w:w="1616" w:type="dxa"/>
            <w:noWrap/>
            <w:vAlign w:val="bottom"/>
          </w:tcPr>
          <w:p w14:paraId="303F4235" w14:textId="77777777" w:rsidR="00034B88" w:rsidRPr="00471952"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05DBB6EF" w14:textId="77777777" w:rsidR="00034B88" w:rsidRPr="00471952" w:rsidRDefault="00034B88" w:rsidP="00DD3BAE">
            <w:pPr>
              <w:spacing w:before="0" w:after="0" w:line="180" w:lineRule="exact"/>
              <w:jc w:val="center"/>
              <w:rPr>
                <w:sz w:val="16"/>
                <w:szCs w:val="16"/>
              </w:rPr>
            </w:pPr>
            <w:r w:rsidRPr="00471952">
              <w:rPr>
                <w:sz w:val="16"/>
                <w:szCs w:val="16"/>
              </w:rPr>
              <w:t>reef subtidal</w:t>
            </w:r>
          </w:p>
        </w:tc>
        <w:tc>
          <w:tcPr>
            <w:tcW w:w="960" w:type="dxa"/>
            <w:tcBorders>
              <w:top w:val="single" w:sz="4" w:space="0" w:color="auto"/>
              <w:left w:val="nil"/>
              <w:bottom w:val="nil"/>
              <w:right w:val="nil"/>
            </w:tcBorders>
            <w:shd w:val="clear" w:color="auto" w:fill="E7F3F4"/>
            <w:noWrap/>
            <w:vAlign w:val="bottom"/>
            <w:hideMark/>
          </w:tcPr>
          <w:p w14:paraId="5905B3D5" w14:textId="77777777" w:rsidR="00034B88" w:rsidRPr="00471952" w:rsidRDefault="00034B88" w:rsidP="00DD3BAE">
            <w:pPr>
              <w:spacing w:before="0" w:after="0" w:line="180" w:lineRule="exact"/>
              <w:jc w:val="center"/>
              <w:rPr>
                <w:sz w:val="16"/>
                <w:szCs w:val="16"/>
              </w:rPr>
            </w:pPr>
            <w:r w:rsidRPr="00471952">
              <w:rPr>
                <w:sz w:val="16"/>
                <w:szCs w:val="16"/>
              </w:rPr>
              <w:t>DI3</w:t>
            </w:r>
          </w:p>
        </w:tc>
        <w:tc>
          <w:tcPr>
            <w:tcW w:w="1300" w:type="dxa"/>
            <w:tcBorders>
              <w:top w:val="single" w:sz="4" w:space="0" w:color="auto"/>
              <w:left w:val="nil"/>
              <w:bottom w:val="nil"/>
              <w:right w:val="nil"/>
            </w:tcBorders>
            <w:shd w:val="clear" w:color="auto" w:fill="E7F3F4"/>
            <w:noWrap/>
            <w:vAlign w:val="center"/>
            <w:hideMark/>
          </w:tcPr>
          <w:p w14:paraId="4AD0D762"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tcBorders>
              <w:top w:val="single" w:sz="4" w:space="0" w:color="auto"/>
              <w:left w:val="nil"/>
              <w:bottom w:val="nil"/>
              <w:right w:val="nil"/>
            </w:tcBorders>
            <w:shd w:val="clear" w:color="auto" w:fill="E7F3F4"/>
            <w:vAlign w:val="center"/>
            <w:hideMark/>
          </w:tcPr>
          <w:p w14:paraId="48E39EBF" w14:textId="77777777" w:rsidR="00034B88" w:rsidRPr="002668F0" w:rsidRDefault="00034B88" w:rsidP="00DD3BAE">
            <w:pPr>
              <w:spacing w:before="0" w:after="0"/>
              <w:jc w:val="center"/>
              <w:rPr>
                <w:color w:val="000000"/>
                <w:sz w:val="16"/>
                <w:szCs w:val="16"/>
              </w:rPr>
            </w:pPr>
            <w:r w:rsidRPr="002668F0">
              <w:rPr>
                <w:color w:val="000000"/>
                <w:sz w:val="16"/>
                <w:szCs w:val="16"/>
              </w:rPr>
              <w:t>0.24</w:t>
            </w:r>
          </w:p>
        </w:tc>
        <w:tc>
          <w:tcPr>
            <w:tcW w:w="811" w:type="dxa"/>
            <w:tcBorders>
              <w:top w:val="single" w:sz="4" w:space="0" w:color="auto"/>
              <w:left w:val="nil"/>
              <w:bottom w:val="nil"/>
              <w:right w:val="nil"/>
            </w:tcBorders>
            <w:shd w:val="clear" w:color="auto" w:fill="E7F3F4"/>
            <w:vAlign w:val="center"/>
            <w:hideMark/>
          </w:tcPr>
          <w:p w14:paraId="5F4DDE8D"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tcBorders>
              <w:top w:val="single" w:sz="4" w:space="0" w:color="auto"/>
              <w:left w:val="nil"/>
              <w:bottom w:val="nil"/>
              <w:right w:val="nil"/>
            </w:tcBorders>
            <w:shd w:val="clear" w:color="auto" w:fill="E7F3F4"/>
            <w:noWrap/>
            <w:vAlign w:val="center"/>
            <w:hideMark/>
          </w:tcPr>
          <w:p w14:paraId="495FA6E8"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val="restart"/>
            <w:tcBorders>
              <w:top w:val="single" w:sz="4" w:space="0" w:color="auto"/>
              <w:left w:val="nil"/>
              <w:right w:val="nil"/>
            </w:tcBorders>
            <w:shd w:val="clear" w:color="auto" w:fill="E7F3F4"/>
            <w:vAlign w:val="center"/>
          </w:tcPr>
          <w:p w14:paraId="7D4655EC" w14:textId="5F5991AD" w:rsidR="00034B88" w:rsidRPr="002668F0" w:rsidRDefault="00034B88" w:rsidP="00DD3BAE">
            <w:pPr>
              <w:spacing w:before="0" w:after="0"/>
              <w:jc w:val="center"/>
              <w:rPr>
                <w:color w:val="000000"/>
                <w:sz w:val="16"/>
                <w:szCs w:val="16"/>
              </w:rPr>
            </w:pPr>
            <w:r>
              <w:rPr>
                <w:color w:val="000000"/>
                <w:sz w:val="16"/>
                <w:szCs w:val="16"/>
              </w:rPr>
              <w:t>0</w:t>
            </w:r>
          </w:p>
        </w:tc>
      </w:tr>
      <w:tr w:rsidR="00034B88" w:rsidRPr="00471952" w14:paraId="06731556" w14:textId="0E5B2F6E" w:rsidTr="002702CB">
        <w:trPr>
          <w:jc w:val="center"/>
        </w:trPr>
        <w:tc>
          <w:tcPr>
            <w:tcW w:w="1616" w:type="dxa"/>
            <w:noWrap/>
            <w:vAlign w:val="bottom"/>
          </w:tcPr>
          <w:p w14:paraId="203715E9" w14:textId="77777777" w:rsidR="00034B88" w:rsidRPr="00471952" w:rsidRDefault="00034B88" w:rsidP="00DD3BAE">
            <w:pPr>
              <w:spacing w:before="0" w:after="0" w:line="180" w:lineRule="exact"/>
              <w:jc w:val="center"/>
              <w:rPr>
                <w:sz w:val="16"/>
                <w:szCs w:val="16"/>
              </w:rPr>
            </w:pPr>
          </w:p>
        </w:tc>
        <w:tc>
          <w:tcPr>
            <w:tcW w:w="1543" w:type="dxa"/>
            <w:shd w:val="clear" w:color="auto" w:fill="E7F3F4"/>
            <w:noWrap/>
            <w:vAlign w:val="bottom"/>
          </w:tcPr>
          <w:p w14:paraId="7C5050CD" w14:textId="77777777" w:rsidR="00034B88" w:rsidRPr="00471952" w:rsidRDefault="00034B88" w:rsidP="00DD3BAE">
            <w:pPr>
              <w:spacing w:before="0" w:after="0" w:line="180" w:lineRule="exact"/>
              <w:jc w:val="center"/>
              <w:rPr>
                <w:sz w:val="16"/>
                <w:szCs w:val="16"/>
              </w:rPr>
            </w:pPr>
          </w:p>
        </w:tc>
        <w:tc>
          <w:tcPr>
            <w:tcW w:w="960" w:type="dxa"/>
            <w:shd w:val="clear" w:color="auto" w:fill="E7F3F4"/>
            <w:noWrap/>
            <w:vAlign w:val="bottom"/>
            <w:hideMark/>
          </w:tcPr>
          <w:p w14:paraId="3038BB6A" w14:textId="77777777" w:rsidR="00034B88" w:rsidRPr="00471952" w:rsidRDefault="00034B88" w:rsidP="00DD3BAE">
            <w:pPr>
              <w:spacing w:before="0" w:after="0" w:line="180" w:lineRule="exact"/>
              <w:jc w:val="center"/>
              <w:rPr>
                <w:sz w:val="16"/>
                <w:szCs w:val="16"/>
              </w:rPr>
            </w:pPr>
            <w:r w:rsidRPr="00471952">
              <w:rPr>
                <w:sz w:val="16"/>
                <w:szCs w:val="16"/>
              </w:rPr>
              <w:t>GI3</w:t>
            </w:r>
          </w:p>
        </w:tc>
        <w:tc>
          <w:tcPr>
            <w:tcW w:w="1300" w:type="dxa"/>
            <w:shd w:val="clear" w:color="auto" w:fill="E7F3F4"/>
            <w:noWrap/>
            <w:vAlign w:val="center"/>
            <w:hideMark/>
          </w:tcPr>
          <w:p w14:paraId="0B7A9D90"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shd w:val="clear" w:color="auto" w:fill="E7F3F4"/>
            <w:vAlign w:val="center"/>
            <w:hideMark/>
          </w:tcPr>
          <w:p w14:paraId="79FB5ECC" w14:textId="77777777" w:rsidR="00034B88" w:rsidRPr="002668F0" w:rsidRDefault="00034B88" w:rsidP="00DD3BAE">
            <w:pPr>
              <w:spacing w:before="0" w:after="0"/>
              <w:jc w:val="center"/>
              <w:rPr>
                <w:color w:val="000000"/>
                <w:sz w:val="16"/>
                <w:szCs w:val="16"/>
              </w:rPr>
            </w:pPr>
            <w:r w:rsidRPr="002668F0">
              <w:rPr>
                <w:color w:val="000000"/>
                <w:sz w:val="16"/>
                <w:szCs w:val="16"/>
              </w:rPr>
              <w:t>0.24</w:t>
            </w:r>
          </w:p>
        </w:tc>
        <w:tc>
          <w:tcPr>
            <w:tcW w:w="811" w:type="dxa"/>
            <w:shd w:val="clear" w:color="auto" w:fill="E7F3F4"/>
            <w:vAlign w:val="center"/>
            <w:hideMark/>
          </w:tcPr>
          <w:p w14:paraId="3B70AEDF"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shd w:val="clear" w:color="auto" w:fill="E7F3F4"/>
            <w:noWrap/>
            <w:vAlign w:val="center"/>
            <w:hideMark/>
          </w:tcPr>
          <w:p w14:paraId="6CF1771A"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E7F3F4"/>
          </w:tcPr>
          <w:p w14:paraId="5B3749A1" w14:textId="77777777" w:rsidR="00034B88" w:rsidRPr="002668F0" w:rsidRDefault="00034B88" w:rsidP="00DD3BAE">
            <w:pPr>
              <w:spacing w:before="0" w:after="0"/>
              <w:jc w:val="center"/>
              <w:rPr>
                <w:color w:val="000000"/>
                <w:sz w:val="16"/>
                <w:szCs w:val="16"/>
              </w:rPr>
            </w:pPr>
          </w:p>
        </w:tc>
      </w:tr>
      <w:tr w:rsidR="00034B88" w:rsidRPr="00471952" w14:paraId="3B89A8DF" w14:textId="731087F1" w:rsidTr="002702CB">
        <w:trPr>
          <w:jc w:val="center"/>
        </w:trPr>
        <w:tc>
          <w:tcPr>
            <w:tcW w:w="1616" w:type="dxa"/>
            <w:noWrap/>
            <w:vAlign w:val="bottom"/>
          </w:tcPr>
          <w:p w14:paraId="08064582" w14:textId="77777777" w:rsidR="00034B88" w:rsidRPr="00471952" w:rsidRDefault="00034B88" w:rsidP="00DD3BAE">
            <w:pPr>
              <w:spacing w:before="0" w:after="0" w:line="180" w:lineRule="exact"/>
              <w:jc w:val="center"/>
              <w:rPr>
                <w:sz w:val="16"/>
                <w:szCs w:val="16"/>
              </w:rPr>
            </w:pPr>
          </w:p>
        </w:tc>
        <w:tc>
          <w:tcPr>
            <w:tcW w:w="1543" w:type="dxa"/>
            <w:shd w:val="clear" w:color="auto" w:fill="E7F3F4"/>
            <w:noWrap/>
            <w:vAlign w:val="bottom"/>
          </w:tcPr>
          <w:p w14:paraId="73A547B8" w14:textId="77777777" w:rsidR="00034B88" w:rsidRPr="00471952" w:rsidRDefault="00034B88" w:rsidP="00DD3BAE">
            <w:pPr>
              <w:spacing w:before="0" w:after="0" w:line="180" w:lineRule="exact"/>
              <w:jc w:val="center"/>
              <w:rPr>
                <w:sz w:val="16"/>
                <w:szCs w:val="16"/>
              </w:rPr>
            </w:pPr>
          </w:p>
        </w:tc>
        <w:tc>
          <w:tcPr>
            <w:tcW w:w="960" w:type="dxa"/>
            <w:shd w:val="clear" w:color="auto" w:fill="E7F3F4"/>
            <w:noWrap/>
            <w:vAlign w:val="bottom"/>
            <w:hideMark/>
          </w:tcPr>
          <w:p w14:paraId="26BD403A" w14:textId="77777777" w:rsidR="00034B88" w:rsidRPr="00471952" w:rsidRDefault="00034B88" w:rsidP="00DD3BAE">
            <w:pPr>
              <w:spacing w:before="0" w:after="0" w:line="180" w:lineRule="exact"/>
              <w:jc w:val="center"/>
              <w:rPr>
                <w:sz w:val="16"/>
                <w:szCs w:val="16"/>
              </w:rPr>
            </w:pPr>
            <w:r w:rsidRPr="00471952">
              <w:rPr>
                <w:sz w:val="16"/>
                <w:szCs w:val="16"/>
              </w:rPr>
              <w:t>LI2</w:t>
            </w:r>
          </w:p>
        </w:tc>
        <w:tc>
          <w:tcPr>
            <w:tcW w:w="1300" w:type="dxa"/>
            <w:shd w:val="clear" w:color="auto" w:fill="E7F3F4"/>
            <w:noWrap/>
            <w:vAlign w:val="center"/>
            <w:hideMark/>
          </w:tcPr>
          <w:p w14:paraId="4555B794"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1407" w:type="dxa"/>
            <w:shd w:val="clear" w:color="auto" w:fill="E7F3F4"/>
            <w:vAlign w:val="center"/>
            <w:hideMark/>
          </w:tcPr>
          <w:p w14:paraId="04707FB0" w14:textId="77777777" w:rsidR="00034B88" w:rsidRPr="002668F0" w:rsidRDefault="00034B88" w:rsidP="00DD3BAE">
            <w:pPr>
              <w:spacing w:before="0" w:after="0"/>
              <w:jc w:val="center"/>
              <w:rPr>
                <w:color w:val="000000"/>
                <w:sz w:val="16"/>
                <w:szCs w:val="16"/>
              </w:rPr>
            </w:pPr>
            <w:r w:rsidRPr="002668F0">
              <w:rPr>
                <w:color w:val="000000"/>
                <w:sz w:val="16"/>
                <w:szCs w:val="16"/>
              </w:rPr>
              <w:t>0.24</w:t>
            </w:r>
          </w:p>
        </w:tc>
        <w:tc>
          <w:tcPr>
            <w:tcW w:w="811" w:type="dxa"/>
            <w:shd w:val="clear" w:color="auto" w:fill="E7F3F4"/>
            <w:vAlign w:val="center"/>
            <w:hideMark/>
          </w:tcPr>
          <w:p w14:paraId="6ADF2B06"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650" w:type="dxa"/>
            <w:shd w:val="clear" w:color="auto" w:fill="E7F3F4"/>
            <w:noWrap/>
            <w:vAlign w:val="center"/>
            <w:hideMark/>
          </w:tcPr>
          <w:p w14:paraId="0E8265D7"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E7F3F4"/>
          </w:tcPr>
          <w:p w14:paraId="5C3C1C50" w14:textId="77777777" w:rsidR="00034B88" w:rsidRPr="002668F0" w:rsidRDefault="00034B88" w:rsidP="00DD3BAE">
            <w:pPr>
              <w:spacing w:before="0" w:after="0"/>
              <w:jc w:val="center"/>
              <w:rPr>
                <w:color w:val="000000"/>
                <w:sz w:val="16"/>
                <w:szCs w:val="16"/>
              </w:rPr>
            </w:pPr>
          </w:p>
        </w:tc>
      </w:tr>
      <w:tr w:rsidR="002702CB" w:rsidRPr="00471952" w14:paraId="64AEC0C8" w14:textId="110E379B" w:rsidTr="002702CB">
        <w:trPr>
          <w:jc w:val="center"/>
        </w:trPr>
        <w:tc>
          <w:tcPr>
            <w:tcW w:w="1616" w:type="dxa"/>
            <w:tcBorders>
              <w:top w:val="nil"/>
              <w:left w:val="nil"/>
              <w:bottom w:val="single" w:sz="4" w:space="0" w:color="auto"/>
              <w:right w:val="nil"/>
            </w:tcBorders>
            <w:noWrap/>
            <w:vAlign w:val="bottom"/>
          </w:tcPr>
          <w:p w14:paraId="453E3F79" w14:textId="77777777" w:rsidR="002702CB" w:rsidRPr="00471952" w:rsidRDefault="002702CB" w:rsidP="00DD3BAE">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0015D7D5" w14:textId="70795EE5" w:rsidR="002702CB" w:rsidRPr="00BE543E" w:rsidRDefault="002702CB" w:rsidP="00DD3BAE">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6105B5CF" w14:textId="77777777" w:rsidR="002702CB" w:rsidRPr="00BE543E" w:rsidRDefault="002702CB" w:rsidP="00DD3BAE">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331C9F37" w14:textId="77777777" w:rsidR="002702CB" w:rsidRPr="00BE543E" w:rsidRDefault="002702CB" w:rsidP="00DD3BAE">
            <w:pPr>
              <w:spacing w:before="0" w:after="0" w:line="180" w:lineRule="exact"/>
              <w:jc w:val="center"/>
              <w:rPr>
                <w:sz w:val="16"/>
                <w:szCs w:val="16"/>
              </w:rPr>
            </w:pPr>
          </w:p>
        </w:tc>
        <w:tc>
          <w:tcPr>
            <w:tcW w:w="1407" w:type="dxa"/>
            <w:tcBorders>
              <w:top w:val="single" w:sz="4" w:space="0" w:color="auto"/>
              <w:left w:val="nil"/>
              <w:bottom w:val="single" w:sz="4" w:space="0" w:color="auto"/>
              <w:right w:val="nil"/>
            </w:tcBorders>
            <w:vAlign w:val="bottom"/>
          </w:tcPr>
          <w:p w14:paraId="6C14E05D" w14:textId="77777777" w:rsidR="002702CB" w:rsidRPr="00BE543E" w:rsidRDefault="002702CB" w:rsidP="00DD3BAE">
            <w:pPr>
              <w:spacing w:before="0" w:after="0" w:line="180" w:lineRule="exact"/>
              <w:jc w:val="center"/>
              <w:rPr>
                <w:sz w:val="16"/>
                <w:szCs w:val="16"/>
              </w:rPr>
            </w:pPr>
          </w:p>
        </w:tc>
        <w:tc>
          <w:tcPr>
            <w:tcW w:w="811" w:type="dxa"/>
            <w:tcBorders>
              <w:top w:val="single" w:sz="4" w:space="0" w:color="auto"/>
              <w:left w:val="nil"/>
              <w:bottom w:val="single" w:sz="4" w:space="0" w:color="auto"/>
              <w:right w:val="nil"/>
            </w:tcBorders>
            <w:vAlign w:val="bottom"/>
          </w:tcPr>
          <w:p w14:paraId="77F03263" w14:textId="77777777" w:rsidR="002702CB" w:rsidRPr="00BE543E" w:rsidRDefault="002702CB" w:rsidP="00DD3BAE">
            <w:pPr>
              <w:spacing w:before="0" w:after="0" w:line="180" w:lineRule="exact"/>
              <w:jc w:val="center"/>
              <w:rPr>
                <w:sz w:val="16"/>
                <w:szCs w:val="16"/>
              </w:rPr>
            </w:pPr>
          </w:p>
        </w:tc>
        <w:tc>
          <w:tcPr>
            <w:tcW w:w="650" w:type="dxa"/>
            <w:tcBorders>
              <w:top w:val="single" w:sz="4" w:space="0" w:color="auto"/>
              <w:left w:val="nil"/>
              <w:bottom w:val="single" w:sz="4" w:space="0" w:color="auto"/>
              <w:right w:val="nil"/>
            </w:tcBorders>
            <w:noWrap/>
            <w:vAlign w:val="bottom"/>
            <w:hideMark/>
          </w:tcPr>
          <w:p w14:paraId="54CA01AA" w14:textId="77777777" w:rsidR="002702CB" w:rsidRPr="00BE543E" w:rsidRDefault="002702CB" w:rsidP="00DD3BAE">
            <w:pPr>
              <w:spacing w:before="0" w:after="0" w:line="180" w:lineRule="exact"/>
              <w:jc w:val="center"/>
              <w:rPr>
                <w:b/>
                <w:sz w:val="16"/>
                <w:szCs w:val="16"/>
              </w:rPr>
            </w:pPr>
            <w:r w:rsidRPr="00BE543E">
              <w:rPr>
                <w:b/>
                <w:sz w:val="16"/>
                <w:szCs w:val="16"/>
              </w:rPr>
              <w:t>2</w:t>
            </w:r>
          </w:p>
        </w:tc>
        <w:tc>
          <w:tcPr>
            <w:tcW w:w="947" w:type="dxa"/>
            <w:tcBorders>
              <w:top w:val="single" w:sz="4" w:space="0" w:color="auto"/>
              <w:left w:val="nil"/>
              <w:bottom w:val="single" w:sz="4" w:space="0" w:color="auto"/>
              <w:right w:val="nil"/>
            </w:tcBorders>
          </w:tcPr>
          <w:p w14:paraId="6977E436" w14:textId="77777777" w:rsidR="002702CB" w:rsidRPr="00BE543E" w:rsidRDefault="002702CB" w:rsidP="00DD3BAE">
            <w:pPr>
              <w:spacing w:before="0" w:after="0" w:line="180" w:lineRule="exact"/>
              <w:jc w:val="center"/>
              <w:rPr>
                <w:b/>
                <w:sz w:val="16"/>
                <w:szCs w:val="16"/>
              </w:rPr>
            </w:pPr>
          </w:p>
        </w:tc>
      </w:tr>
      <w:tr w:rsidR="00034B88" w:rsidRPr="00BD7D10" w14:paraId="7C08A4E8" w14:textId="377AE095" w:rsidTr="00034B88">
        <w:trPr>
          <w:jc w:val="center"/>
        </w:trPr>
        <w:tc>
          <w:tcPr>
            <w:tcW w:w="1616" w:type="dxa"/>
            <w:tcBorders>
              <w:top w:val="single" w:sz="4" w:space="0" w:color="auto"/>
              <w:left w:val="nil"/>
              <w:bottom w:val="nil"/>
              <w:right w:val="nil"/>
            </w:tcBorders>
            <w:noWrap/>
            <w:vAlign w:val="bottom"/>
            <w:hideMark/>
          </w:tcPr>
          <w:p w14:paraId="1F269352" w14:textId="77777777" w:rsidR="00034B88" w:rsidRPr="00BD7D10" w:rsidRDefault="00034B88" w:rsidP="00DD3BAE">
            <w:pPr>
              <w:spacing w:before="0" w:after="0" w:line="180" w:lineRule="exact"/>
              <w:jc w:val="center"/>
              <w:rPr>
                <w:sz w:val="16"/>
                <w:szCs w:val="16"/>
              </w:rPr>
            </w:pPr>
            <w:r w:rsidRPr="00BD7D10">
              <w:rPr>
                <w:sz w:val="16"/>
                <w:szCs w:val="16"/>
              </w:rPr>
              <w:t>Burdekin</w:t>
            </w:r>
          </w:p>
        </w:tc>
        <w:tc>
          <w:tcPr>
            <w:tcW w:w="1543" w:type="dxa"/>
            <w:tcBorders>
              <w:top w:val="single" w:sz="4" w:space="0" w:color="auto"/>
              <w:left w:val="nil"/>
              <w:bottom w:val="nil"/>
              <w:right w:val="nil"/>
            </w:tcBorders>
            <w:shd w:val="clear" w:color="auto" w:fill="F3F9FA"/>
            <w:noWrap/>
            <w:vAlign w:val="bottom"/>
            <w:hideMark/>
          </w:tcPr>
          <w:p w14:paraId="25EE8263" w14:textId="77777777" w:rsidR="00034B88" w:rsidRPr="00BD7D10" w:rsidRDefault="00034B88" w:rsidP="00DD3BAE">
            <w:pPr>
              <w:spacing w:before="0" w:after="0" w:line="180" w:lineRule="exact"/>
              <w:jc w:val="center"/>
              <w:rPr>
                <w:sz w:val="16"/>
                <w:szCs w:val="16"/>
              </w:rPr>
            </w:pPr>
            <w:r w:rsidRPr="00BD7D10">
              <w:rPr>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14:paraId="4A0CE263" w14:textId="77777777" w:rsidR="00034B88" w:rsidRPr="00BD7D10" w:rsidRDefault="00034B88" w:rsidP="00DD3BAE">
            <w:pPr>
              <w:spacing w:before="0" w:after="0" w:line="180" w:lineRule="exact"/>
              <w:jc w:val="center"/>
              <w:rPr>
                <w:sz w:val="16"/>
                <w:szCs w:val="16"/>
              </w:rPr>
            </w:pPr>
            <w:r w:rsidRPr="00BD7D10">
              <w:rPr>
                <w:sz w:val="16"/>
                <w:szCs w:val="16"/>
              </w:rPr>
              <w:t>BB1</w:t>
            </w:r>
          </w:p>
        </w:tc>
        <w:tc>
          <w:tcPr>
            <w:tcW w:w="1300" w:type="dxa"/>
            <w:tcBorders>
              <w:top w:val="single" w:sz="4" w:space="0" w:color="auto"/>
              <w:left w:val="nil"/>
              <w:bottom w:val="nil"/>
              <w:right w:val="nil"/>
            </w:tcBorders>
            <w:shd w:val="clear" w:color="auto" w:fill="F3F9FA"/>
            <w:noWrap/>
            <w:vAlign w:val="center"/>
            <w:hideMark/>
          </w:tcPr>
          <w:p w14:paraId="6B55C24F" w14:textId="77777777" w:rsidR="00034B88" w:rsidRPr="002668F0" w:rsidRDefault="00034B88" w:rsidP="00DD3BAE">
            <w:pPr>
              <w:spacing w:before="0" w:after="0"/>
              <w:jc w:val="center"/>
              <w:rPr>
                <w:color w:val="000000"/>
                <w:sz w:val="16"/>
                <w:szCs w:val="16"/>
              </w:rPr>
            </w:pPr>
            <w:r w:rsidRPr="002668F0">
              <w:rPr>
                <w:color w:val="000000"/>
                <w:sz w:val="16"/>
                <w:szCs w:val="16"/>
              </w:rPr>
              <w:t>15.00 ±2.11</w:t>
            </w:r>
          </w:p>
        </w:tc>
        <w:tc>
          <w:tcPr>
            <w:tcW w:w="1407" w:type="dxa"/>
            <w:tcBorders>
              <w:top w:val="single" w:sz="4" w:space="0" w:color="auto"/>
              <w:left w:val="nil"/>
              <w:bottom w:val="nil"/>
              <w:right w:val="nil"/>
            </w:tcBorders>
            <w:shd w:val="clear" w:color="auto" w:fill="F3F9FA"/>
            <w:vAlign w:val="center"/>
            <w:hideMark/>
          </w:tcPr>
          <w:p w14:paraId="540C4271"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tcBorders>
              <w:top w:val="single" w:sz="4" w:space="0" w:color="auto"/>
              <w:left w:val="nil"/>
              <w:bottom w:val="nil"/>
              <w:right w:val="nil"/>
            </w:tcBorders>
            <w:shd w:val="clear" w:color="auto" w:fill="F3F9FA"/>
            <w:vAlign w:val="center"/>
            <w:hideMark/>
          </w:tcPr>
          <w:p w14:paraId="755DB8B2" w14:textId="77777777" w:rsidR="00034B88" w:rsidRPr="002668F0" w:rsidRDefault="00034B88" w:rsidP="00DD3BAE">
            <w:pPr>
              <w:spacing w:before="0" w:after="0"/>
              <w:jc w:val="center"/>
              <w:rPr>
                <w:color w:val="000000"/>
                <w:sz w:val="16"/>
                <w:szCs w:val="16"/>
              </w:rPr>
            </w:pPr>
            <w:r w:rsidRPr="002668F0">
              <w:rPr>
                <w:color w:val="000000"/>
                <w:sz w:val="16"/>
                <w:szCs w:val="16"/>
              </w:rPr>
              <w:t>1.82</w:t>
            </w:r>
          </w:p>
        </w:tc>
        <w:tc>
          <w:tcPr>
            <w:tcW w:w="650" w:type="dxa"/>
            <w:tcBorders>
              <w:top w:val="single" w:sz="4" w:space="0" w:color="auto"/>
              <w:left w:val="nil"/>
              <w:bottom w:val="nil"/>
              <w:right w:val="nil"/>
            </w:tcBorders>
            <w:shd w:val="clear" w:color="auto" w:fill="F3F9FA"/>
            <w:noWrap/>
            <w:vAlign w:val="center"/>
            <w:hideMark/>
          </w:tcPr>
          <w:p w14:paraId="27838817" w14:textId="77777777" w:rsidR="00034B88" w:rsidRPr="002668F0" w:rsidRDefault="00034B88" w:rsidP="00DD3BAE">
            <w:pPr>
              <w:spacing w:before="0" w:after="0"/>
              <w:jc w:val="center"/>
              <w:rPr>
                <w:color w:val="000000"/>
                <w:sz w:val="16"/>
                <w:szCs w:val="16"/>
              </w:rPr>
            </w:pPr>
            <w:r w:rsidRPr="002668F0">
              <w:rPr>
                <w:color w:val="000000"/>
                <w:sz w:val="16"/>
                <w:szCs w:val="16"/>
              </w:rPr>
              <w:t>50</w:t>
            </w:r>
          </w:p>
        </w:tc>
        <w:tc>
          <w:tcPr>
            <w:tcW w:w="947" w:type="dxa"/>
            <w:vMerge w:val="restart"/>
            <w:tcBorders>
              <w:top w:val="single" w:sz="4" w:space="0" w:color="auto"/>
              <w:left w:val="nil"/>
              <w:right w:val="nil"/>
            </w:tcBorders>
            <w:shd w:val="clear" w:color="auto" w:fill="F3F9FA"/>
            <w:vAlign w:val="center"/>
          </w:tcPr>
          <w:p w14:paraId="00067C5D" w14:textId="00B8DE9F" w:rsidR="00034B88" w:rsidRPr="002668F0" w:rsidRDefault="00034B88" w:rsidP="00DD3BAE">
            <w:pPr>
              <w:spacing w:before="0" w:after="0"/>
              <w:jc w:val="center"/>
              <w:rPr>
                <w:color w:val="000000"/>
                <w:sz w:val="16"/>
                <w:szCs w:val="16"/>
              </w:rPr>
            </w:pPr>
            <w:r>
              <w:rPr>
                <w:color w:val="000000"/>
                <w:sz w:val="16"/>
                <w:szCs w:val="16"/>
              </w:rPr>
              <w:t>13</w:t>
            </w:r>
          </w:p>
        </w:tc>
      </w:tr>
      <w:tr w:rsidR="00034B88" w:rsidRPr="00BD7D10" w14:paraId="4F78EC54" w14:textId="13DDB329" w:rsidTr="002702CB">
        <w:trPr>
          <w:jc w:val="center"/>
        </w:trPr>
        <w:tc>
          <w:tcPr>
            <w:tcW w:w="1616" w:type="dxa"/>
            <w:noWrap/>
            <w:vAlign w:val="bottom"/>
          </w:tcPr>
          <w:p w14:paraId="72AB4E37" w14:textId="77777777" w:rsidR="00034B88" w:rsidRPr="00BD7D10" w:rsidRDefault="00034B88" w:rsidP="00DD3BAE">
            <w:pPr>
              <w:spacing w:before="0" w:after="0" w:line="180" w:lineRule="exact"/>
              <w:jc w:val="center"/>
              <w:rPr>
                <w:sz w:val="16"/>
                <w:szCs w:val="16"/>
              </w:rPr>
            </w:pPr>
          </w:p>
        </w:tc>
        <w:tc>
          <w:tcPr>
            <w:tcW w:w="1543" w:type="dxa"/>
            <w:shd w:val="clear" w:color="auto" w:fill="F3F9FA"/>
            <w:noWrap/>
            <w:vAlign w:val="bottom"/>
          </w:tcPr>
          <w:p w14:paraId="30E49096" w14:textId="77777777" w:rsidR="00034B88" w:rsidRPr="00BD7D10" w:rsidRDefault="00034B88" w:rsidP="00DD3BAE">
            <w:pPr>
              <w:spacing w:before="0" w:after="0" w:line="180" w:lineRule="exact"/>
              <w:jc w:val="center"/>
              <w:rPr>
                <w:sz w:val="16"/>
                <w:szCs w:val="16"/>
              </w:rPr>
            </w:pPr>
          </w:p>
        </w:tc>
        <w:tc>
          <w:tcPr>
            <w:tcW w:w="960" w:type="dxa"/>
            <w:shd w:val="clear" w:color="auto" w:fill="F3F9FA"/>
            <w:noWrap/>
            <w:vAlign w:val="bottom"/>
            <w:hideMark/>
          </w:tcPr>
          <w:p w14:paraId="4B8BA707" w14:textId="77777777" w:rsidR="00034B88" w:rsidRPr="00BD7D10" w:rsidRDefault="00034B88" w:rsidP="00DD3BAE">
            <w:pPr>
              <w:spacing w:before="0" w:after="0" w:line="180" w:lineRule="exact"/>
              <w:jc w:val="center"/>
              <w:rPr>
                <w:sz w:val="16"/>
                <w:szCs w:val="16"/>
              </w:rPr>
            </w:pPr>
            <w:r w:rsidRPr="00BD7D10">
              <w:rPr>
                <w:sz w:val="16"/>
                <w:szCs w:val="16"/>
              </w:rPr>
              <w:t>SB1</w:t>
            </w:r>
          </w:p>
        </w:tc>
        <w:tc>
          <w:tcPr>
            <w:tcW w:w="1300" w:type="dxa"/>
            <w:shd w:val="clear" w:color="auto" w:fill="F3F9FA"/>
            <w:noWrap/>
            <w:vAlign w:val="center"/>
            <w:hideMark/>
          </w:tcPr>
          <w:p w14:paraId="47939DE5" w14:textId="77777777" w:rsidR="00034B88" w:rsidRPr="002668F0" w:rsidRDefault="00034B88" w:rsidP="00DD3BAE">
            <w:pPr>
              <w:spacing w:before="0" w:after="0"/>
              <w:jc w:val="center"/>
              <w:rPr>
                <w:color w:val="000000"/>
                <w:sz w:val="16"/>
                <w:szCs w:val="16"/>
              </w:rPr>
            </w:pPr>
            <w:r w:rsidRPr="002668F0">
              <w:rPr>
                <w:color w:val="000000"/>
                <w:sz w:val="16"/>
                <w:szCs w:val="16"/>
              </w:rPr>
              <w:t>1.60 ±0.79</w:t>
            </w:r>
          </w:p>
        </w:tc>
        <w:tc>
          <w:tcPr>
            <w:tcW w:w="1407" w:type="dxa"/>
            <w:shd w:val="clear" w:color="auto" w:fill="F3F9FA"/>
            <w:vAlign w:val="center"/>
            <w:hideMark/>
          </w:tcPr>
          <w:p w14:paraId="051D38AE"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F3F9FA"/>
            <w:vAlign w:val="center"/>
            <w:hideMark/>
          </w:tcPr>
          <w:p w14:paraId="4D14208F" w14:textId="77777777" w:rsidR="00034B88" w:rsidRPr="002668F0" w:rsidRDefault="00034B88" w:rsidP="00DD3BAE">
            <w:pPr>
              <w:spacing w:before="0" w:after="0"/>
              <w:jc w:val="center"/>
              <w:rPr>
                <w:color w:val="000000"/>
                <w:sz w:val="16"/>
                <w:szCs w:val="16"/>
              </w:rPr>
            </w:pPr>
            <w:r w:rsidRPr="002668F0">
              <w:rPr>
                <w:color w:val="000000"/>
                <w:sz w:val="16"/>
                <w:szCs w:val="16"/>
              </w:rPr>
              <w:t>0.19</w:t>
            </w:r>
          </w:p>
        </w:tc>
        <w:tc>
          <w:tcPr>
            <w:tcW w:w="650" w:type="dxa"/>
            <w:shd w:val="clear" w:color="auto" w:fill="F3F9FA"/>
            <w:noWrap/>
            <w:vAlign w:val="center"/>
            <w:hideMark/>
          </w:tcPr>
          <w:p w14:paraId="1831F461"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3B2EE84A" w14:textId="77777777" w:rsidR="00034B88" w:rsidRPr="002668F0" w:rsidRDefault="00034B88" w:rsidP="00DD3BAE">
            <w:pPr>
              <w:spacing w:before="0" w:after="0"/>
              <w:jc w:val="center"/>
              <w:rPr>
                <w:color w:val="000000"/>
                <w:sz w:val="16"/>
                <w:szCs w:val="16"/>
              </w:rPr>
            </w:pPr>
          </w:p>
        </w:tc>
      </w:tr>
      <w:tr w:rsidR="00034B88" w:rsidRPr="00BD7D10" w14:paraId="7629798B" w14:textId="11922F74" w:rsidTr="002702CB">
        <w:trPr>
          <w:jc w:val="center"/>
        </w:trPr>
        <w:tc>
          <w:tcPr>
            <w:tcW w:w="1616" w:type="dxa"/>
            <w:noWrap/>
            <w:vAlign w:val="bottom"/>
          </w:tcPr>
          <w:p w14:paraId="6D0F2A1B" w14:textId="77777777" w:rsidR="00034B88" w:rsidRPr="00BD7D10" w:rsidRDefault="00034B88" w:rsidP="00DD3BAE">
            <w:pPr>
              <w:spacing w:before="0" w:after="0" w:line="180" w:lineRule="exact"/>
              <w:jc w:val="center"/>
              <w:rPr>
                <w:sz w:val="16"/>
                <w:szCs w:val="16"/>
              </w:rPr>
            </w:pPr>
          </w:p>
        </w:tc>
        <w:tc>
          <w:tcPr>
            <w:tcW w:w="1543" w:type="dxa"/>
            <w:shd w:val="clear" w:color="auto" w:fill="F3F9FA"/>
            <w:noWrap/>
            <w:vAlign w:val="bottom"/>
          </w:tcPr>
          <w:p w14:paraId="79CF349B" w14:textId="77777777" w:rsidR="00034B88" w:rsidRPr="00BD7D10" w:rsidRDefault="00034B88" w:rsidP="00DD3BAE">
            <w:pPr>
              <w:spacing w:before="0" w:after="0" w:line="180" w:lineRule="exact"/>
              <w:jc w:val="center"/>
              <w:rPr>
                <w:sz w:val="16"/>
                <w:szCs w:val="16"/>
              </w:rPr>
            </w:pPr>
          </w:p>
        </w:tc>
        <w:tc>
          <w:tcPr>
            <w:tcW w:w="960" w:type="dxa"/>
            <w:shd w:val="clear" w:color="auto" w:fill="F3F9FA"/>
            <w:noWrap/>
            <w:vAlign w:val="bottom"/>
            <w:hideMark/>
          </w:tcPr>
          <w:p w14:paraId="1D22269B" w14:textId="77777777" w:rsidR="00034B88" w:rsidRPr="00BD7D10" w:rsidRDefault="00034B88" w:rsidP="00DD3BAE">
            <w:pPr>
              <w:spacing w:before="0" w:after="0" w:line="180" w:lineRule="exact"/>
              <w:jc w:val="center"/>
              <w:rPr>
                <w:sz w:val="16"/>
                <w:szCs w:val="16"/>
              </w:rPr>
            </w:pPr>
            <w:r w:rsidRPr="00BD7D10">
              <w:rPr>
                <w:sz w:val="16"/>
                <w:szCs w:val="16"/>
              </w:rPr>
              <w:t>JR1</w:t>
            </w:r>
          </w:p>
        </w:tc>
        <w:tc>
          <w:tcPr>
            <w:tcW w:w="1300" w:type="dxa"/>
            <w:shd w:val="clear" w:color="auto" w:fill="F3F9FA"/>
            <w:noWrap/>
            <w:vAlign w:val="center"/>
            <w:hideMark/>
          </w:tcPr>
          <w:p w14:paraId="422FCB5F" w14:textId="77777777" w:rsidR="00034B88" w:rsidRPr="002668F0" w:rsidRDefault="00034B88" w:rsidP="00DD3BAE">
            <w:pPr>
              <w:spacing w:before="0" w:after="0"/>
              <w:jc w:val="center"/>
              <w:rPr>
                <w:color w:val="000000"/>
                <w:sz w:val="16"/>
                <w:szCs w:val="16"/>
              </w:rPr>
            </w:pPr>
            <w:r w:rsidRPr="002668F0">
              <w:rPr>
                <w:color w:val="000000"/>
                <w:sz w:val="16"/>
                <w:szCs w:val="16"/>
              </w:rPr>
              <w:t>1.00 ±0.68</w:t>
            </w:r>
          </w:p>
        </w:tc>
        <w:tc>
          <w:tcPr>
            <w:tcW w:w="1407" w:type="dxa"/>
            <w:shd w:val="clear" w:color="auto" w:fill="F3F9FA"/>
            <w:vAlign w:val="center"/>
            <w:hideMark/>
          </w:tcPr>
          <w:p w14:paraId="3E99C4CB"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F3F9FA"/>
            <w:vAlign w:val="center"/>
            <w:hideMark/>
          </w:tcPr>
          <w:p w14:paraId="2C1F6BF3" w14:textId="77777777" w:rsidR="00034B88" w:rsidRPr="002668F0" w:rsidRDefault="00034B88" w:rsidP="00DD3BAE">
            <w:pPr>
              <w:spacing w:before="0" w:after="0"/>
              <w:jc w:val="center"/>
              <w:rPr>
                <w:color w:val="000000"/>
                <w:sz w:val="16"/>
                <w:szCs w:val="16"/>
              </w:rPr>
            </w:pPr>
            <w:r w:rsidRPr="002668F0">
              <w:rPr>
                <w:color w:val="000000"/>
                <w:sz w:val="16"/>
                <w:szCs w:val="16"/>
              </w:rPr>
              <w:t>0.12</w:t>
            </w:r>
          </w:p>
        </w:tc>
        <w:tc>
          <w:tcPr>
            <w:tcW w:w="650" w:type="dxa"/>
            <w:shd w:val="clear" w:color="auto" w:fill="F3F9FA"/>
            <w:noWrap/>
            <w:vAlign w:val="center"/>
            <w:hideMark/>
          </w:tcPr>
          <w:p w14:paraId="4C7D18B3"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30332ADE" w14:textId="77777777" w:rsidR="00034B88" w:rsidRPr="002668F0" w:rsidRDefault="00034B88" w:rsidP="00DD3BAE">
            <w:pPr>
              <w:spacing w:before="0" w:after="0"/>
              <w:jc w:val="center"/>
              <w:rPr>
                <w:color w:val="000000"/>
                <w:sz w:val="16"/>
                <w:szCs w:val="16"/>
              </w:rPr>
            </w:pPr>
          </w:p>
        </w:tc>
      </w:tr>
      <w:tr w:rsidR="00034B88" w:rsidRPr="00BD7D10" w14:paraId="58ADC48D" w14:textId="36004331" w:rsidTr="002702CB">
        <w:trPr>
          <w:jc w:val="center"/>
        </w:trPr>
        <w:tc>
          <w:tcPr>
            <w:tcW w:w="1616" w:type="dxa"/>
            <w:noWrap/>
            <w:vAlign w:val="bottom"/>
          </w:tcPr>
          <w:p w14:paraId="3028C6A1" w14:textId="77777777" w:rsidR="00034B88" w:rsidRPr="00BD7D10" w:rsidRDefault="00034B88" w:rsidP="00DD3BAE">
            <w:pPr>
              <w:spacing w:before="0" w:after="0" w:line="180" w:lineRule="exact"/>
              <w:jc w:val="center"/>
              <w:rPr>
                <w:sz w:val="16"/>
                <w:szCs w:val="16"/>
              </w:rPr>
            </w:pPr>
          </w:p>
        </w:tc>
        <w:tc>
          <w:tcPr>
            <w:tcW w:w="1543" w:type="dxa"/>
            <w:shd w:val="clear" w:color="auto" w:fill="F3F9FA"/>
            <w:noWrap/>
            <w:vAlign w:val="bottom"/>
          </w:tcPr>
          <w:p w14:paraId="2758CF27" w14:textId="77777777" w:rsidR="00034B88" w:rsidRPr="00BD7D10" w:rsidRDefault="00034B88" w:rsidP="00DD3BAE">
            <w:pPr>
              <w:spacing w:before="0" w:after="0" w:line="180" w:lineRule="exact"/>
              <w:jc w:val="center"/>
              <w:rPr>
                <w:sz w:val="16"/>
                <w:szCs w:val="16"/>
              </w:rPr>
            </w:pPr>
          </w:p>
        </w:tc>
        <w:tc>
          <w:tcPr>
            <w:tcW w:w="960" w:type="dxa"/>
            <w:shd w:val="clear" w:color="auto" w:fill="F3F9FA"/>
            <w:noWrap/>
            <w:vAlign w:val="bottom"/>
            <w:hideMark/>
          </w:tcPr>
          <w:p w14:paraId="150FDBA5" w14:textId="77777777" w:rsidR="00034B88" w:rsidRPr="00BD7D10" w:rsidRDefault="00034B88" w:rsidP="00DD3BAE">
            <w:pPr>
              <w:spacing w:before="0" w:after="0" w:line="180" w:lineRule="exact"/>
              <w:jc w:val="center"/>
              <w:rPr>
                <w:sz w:val="16"/>
                <w:szCs w:val="16"/>
              </w:rPr>
            </w:pPr>
            <w:r w:rsidRPr="00BD7D10">
              <w:rPr>
                <w:sz w:val="16"/>
                <w:szCs w:val="16"/>
              </w:rPr>
              <w:t>JR2</w:t>
            </w:r>
          </w:p>
        </w:tc>
        <w:tc>
          <w:tcPr>
            <w:tcW w:w="1300" w:type="dxa"/>
            <w:shd w:val="clear" w:color="auto" w:fill="F3F9FA"/>
            <w:noWrap/>
            <w:vAlign w:val="center"/>
            <w:hideMark/>
          </w:tcPr>
          <w:p w14:paraId="1C69FF91" w14:textId="77777777" w:rsidR="00034B88" w:rsidRPr="002668F0" w:rsidRDefault="00034B88" w:rsidP="00DD3BAE">
            <w:pPr>
              <w:spacing w:before="0" w:after="0"/>
              <w:jc w:val="center"/>
              <w:rPr>
                <w:color w:val="000000"/>
                <w:sz w:val="16"/>
                <w:szCs w:val="16"/>
              </w:rPr>
            </w:pPr>
            <w:r w:rsidRPr="002668F0">
              <w:rPr>
                <w:color w:val="000000"/>
                <w:sz w:val="16"/>
                <w:szCs w:val="16"/>
              </w:rPr>
              <w:t>1.60 ±0.87</w:t>
            </w:r>
          </w:p>
        </w:tc>
        <w:tc>
          <w:tcPr>
            <w:tcW w:w="1407" w:type="dxa"/>
            <w:shd w:val="clear" w:color="auto" w:fill="F3F9FA"/>
            <w:vAlign w:val="center"/>
            <w:hideMark/>
          </w:tcPr>
          <w:p w14:paraId="297E211D" w14:textId="77777777" w:rsidR="00034B88" w:rsidRPr="002668F0" w:rsidRDefault="00034B88" w:rsidP="00DD3BAE">
            <w:pPr>
              <w:spacing w:before="0" w:after="0"/>
              <w:jc w:val="center"/>
              <w:rPr>
                <w:color w:val="000000"/>
                <w:sz w:val="16"/>
                <w:szCs w:val="16"/>
              </w:rPr>
            </w:pPr>
            <w:r w:rsidRPr="002668F0">
              <w:rPr>
                <w:color w:val="000000"/>
                <w:sz w:val="16"/>
                <w:szCs w:val="16"/>
              </w:rPr>
              <w:t>8.22</w:t>
            </w:r>
          </w:p>
        </w:tc>
        <w:tc>
          <w:tcPr>
            <w:tcW w:w="811" w:type="dxa"/>
            <w:shd w:val="clear" w:color="auto" w:fill="F3F9FA"/>
            <w:vAlign w:val="center"/>
            <w:hideMark/>
          </w:tcPr>
          <w:p w14:paraId="66C91B4B" w14:textId="77777777" w:rsidR="00034B88" w:rsidRPr="002668F0" w:rsidRDefault="00034B88" w:rsidP="00DD3BAE">
            <w:pPr>
              <w:spacing w:before="0" w:after="0"/>
              <w:jc w:val="center"/>
              <w:rPr>
                <w:color w:val="000000"/>
                <w:sz w:val="16"/>
                <w:szCs w:val="16"/>
              </w:rPr>
            </w:pPr>
            <w:r w:rsidRPr="002668F0">
              <w:rPr>
                <w:color w:val="000000"/>
                <w:sz w:val="16"/>
                <w:szCs w:val="16"/>
              </w:rPr>
              <w:t>0.19</w:t>
            </w:r>
          </w:p>
        </w:tc>
        <w:tc>
          <w:tcPr>
            <w:tcW w:w="650" w:type="dxa"/>
            <w:shd w:val="clear" w:color="auto" w:fill="F3F9FA"/>
            <w:noWrap/>
            <w:vAlign w:val="center"/>
            <w:hideMark/>
          </w:tcPr>
          <w:p w14:paraId="4C28EA35"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431E7FA6" w14:textId="77777777" w:rsidR="00034B88" w:rsidRPr="002668F0" w:rsidRDefault="00034B88" w:rsidP="00DD3BAE">
            <w:pPr>
              <w:spacing w:before="0" w:after="0"/>
              <w:jc w:val="center"/>
              <w:rPr>
                <w:color w:val="000000"/>
                <w:sz w:val="16"/>
                <w:szCs w:val="16"/>
              </w:rPr>
            </w:pPr>
          </w:p>
        </w:tc>
      </w:tr>
      <w:tr w:rsidR="00034B88" w:rsidRPr="00BD7D10" w14:paraId="5CA0A8C5" w14:textId="43EC6E79" w:rsidTr="00034B88">
        <w:trPr>
          <w:jc w:val="center"/>
        </w:trPr>
        <w:tc>
          <w:tcPr>
            <w:tcW w:w="1616" w:type="dxa"/>
            <w:noWrap/>
            <w:vAlign w:val="bottom"/>
          </w:tcPr>
          <w:p w14:paraId="2EE8AB33" w14:textId="77777777" w:rsidR="00034B88" w:rsidRPr="00BD7D10"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2EFC8EFB" w14:textId="77777777" w:rsidR="00034B88" w:rsidRPr="00BD7D10" w:rsidRDefault="00034B88" w:rsidP="00DD3BAE">
            <w:pPr>
              <w:spacing w:before="0" w:after="0" w:line="180" w:lineRule="exact"/>
              <w:jc w:val="center"/>
              <w:rPr>
                <w:sz w:val="16"/>
                <w:szCs w:val="16"/>
              </w:rPr>
            </w:pPr>
            <w:r w:rsidRPr="00BD7D10">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2A0609A7" w14:textId="77777777" w:rsidR="00034B88" w:rsidRPr="00BD7D10" w:rsidRDefault="00034B88" w:rsidP="00DD3BAE">
            <w:pPr>
              <w:spacing w:before="0" w:after="0" w:line="180" w:lineRule="exact"/>
              <w:jc w:val="center"/>
              <w:rPr>
                <w:sz w:val="16"/>
                <w:szCs w:val="16"/>
              </w:rPr>
            </w:pPr>
            <w:r w:rsidRPr="00BD7D10">
              <w:rPr>
                <w:sz w:val="16"/>
                <w:szCs w:val="16"/>
              </w:rPr>
              <w:t>MI1</w:t>
            </w:r>
          </w:p>
        </w:tc>
        <w:tc>
          <w:tcPr>
            <w:tcW w:w="1300" w:type="dxa"/>
            <w:tcBorders>
              <w:top w:val="single" w:sz="4" w:space="0" w:color="auto"/>
              <w:left w:val="nil"/>
              <w:bottom w:val="nil"/>
              <w:right w:val="nil"/>
            </w:tcBorders>
            <w:shd w:val="clear" w:color="auto" w:fill="E7F3F4"/>
            <w:noWrap/>
            <w:vAlign w:val="center"/>
            <w:hideMark/>
          </w:tcPr>
          <w:p w14:paraId="44AD16AC" w14:textId="77777777" w:rsidR="00034B88" w:rsidRPr="002668F0" w:rsidRDefault="00034B88" w:rsidP="00DD3BAE">
            <w:pPr>
              <w:spacing w:before="0" w:after="0"/>
              <w:jc w:val="center"/>
              <w:rPr>
                <w:color w:val="000000"/>
                <w:sz w:val="16"/>
                <w:szCs w:val="16"/>
              </w:rPr>
            </w:pPr>
            <w:r w:rsidRPr="002668F0">
              <w:rPr>
                <w:color w:val="000000"/>
                <w:sz w:val="16"/>
                <w:szCs w:val="16"/>
              </w:rPr>
              <w:t>0.53 ±0.19</w:t>
            </w:r>
          </w:p>
        </w:tc>
        <w:tc>
          <w:tcPr>
            <w:tcW w:w="1407" w:type="dxa"/>
            <w:tcBorders>
              <w:top w:val="single" w:sz="4" w:space="0" w:color="auto"/>
              <w:left w:val="nil"/>
              <w:bottom w:val="nil"/>
              <w:right w:val="nil"/>
            </w:tcBorders>
            <w:shd w:val="clear" w:color="auto" w:fill="E7F3F4"/>
            <w:vAlign w:val="center"/>
            <w:hideMark/>
          </w:tcPr>
          <w:p w14:paraId="3F4B9781"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tcBorders>
              <w:top w:val="single" w:sz="4" w:space="0" w:color="auto"/>
              <w:left w:val="nil"/>
              <w:bottom w:val="nil"/>
              <w:right w:val="nil"/>
            </w:tcBorders>
            <w:shd w:val="clear" w:color="auto" w:fill="E7F3F4"/>
            <w:vAlign w:val="center"/>
            <w:hideMark/>
          </w:tcPr>
          <w:p w14:paraId="52001398" w14:textId="77777777" w:rsidR="00034B88" w:rsidRPr="002668F0" w:rsidRDefault="00034B88" w:rsidP="00DD3BAE">
            <w:pPr>
              <w:spacing w:before="0" w:after="0"/>
              <w:jc w:val="center"/>
              <w:rPr>
                <w:color w:val="000000"/>
                <w:sz w:val="16"/>
                <w:szCs w:val="16"/>
              </w:rPr>
            </w:pPr>
            <w:r w:rsidRPr="002668F0">
              <w:rPr>
                <w:color w:val="000000"/>
                <w:sz w:val="16"/>
                <w:szCs w:val="16"/>
              </w:rPr>
              <w:t>0.4</w:t>
            </w:r>
          </w:p>
        </w:tc>
        <w:tc>
          <w:tcPr>
            <w:tcW w:w="650" w:type="dxa"/>
            <w:tcBorders>
              <w:top w:val="single" w:sz="4" w:space="0" w:color="auto"/>
              <w:left w:val="nil"/>
              <w:bottom w:val="nil"/>
              <w:right w:val="nil"/>
            </w:tcBorders>
            <w:shd w:val="clear" w:color="auto" w:fill="E7F3F4"/>
            <w:noWrap/>
            <w:vAlign w:val="center"/>
            <w:hideMark/>
          </w:tcPr>
          <w:p w14:paraId="67FC7EFD"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val="restart"/>
            <w:tcBorders>
              <w:top w:val="single" w:sz="4" w:space="0" w:color="auto"/>
              <w:left w:val="nil"/>
              <w:right w:val="nil"/>
            </w:tcBorders>
            <w:shd w:val="clear" w:color="auto" w:fill="E7F3F4"/>
            <w:vAlign w:val="center"/>
          </w:tcPr>
          <w:p w14:paraId="6056E44F" w14:textId="7FFC8ED1" w:rsidR="00034B88" w:rsidRPr="002668F0" w:rsidRDefault="00034B88" w:rsidP="00DD3BAE">
            <w:pPr>
              <w:spacing w:before="0" w:after="0"/>
              <w:jc w:val="center"/>
              <w:rPr>
                <w:color w:val="000000"/>
                <w:sz w:val="16"/>
                <w:szCs w:val="16"/>
              </w:rPr>
            </w:pPr>
            <w:r>
              <w:rPr>
                <w:color w:val="000000"/>
                <w:sz w:val="16"/>
                <w:szCs w:val="16"/>
              </w:rPr>
              <w:t>0</w:t>
            </w:r>
          </w:p>
        </w:tc>
      </w:tr>
      <w:tr w:rsidR="00034B88" w:rsidRPr="00BD7D10" w14:paraId="3DCAC528" w14:textId="00818810" w:rsidTr="002702CB">
        <w:trPr>
          <w:jc w:val="center"/>
        </w:trPr>
        <w:tc>
          <w:tcPr>
            <w:tcW w:w="1616" w:type="dxa"/>
            <w:noWrap/>
            <w:vAlign w:val="bottom"/>
          </w:tcPr>
          <w:p w14:paraId="1A7766E2" w14:textId="77777777" w:rsidR="00034B88" w:rsidRPr="00BD7D10" w:rsidRDefault="00034B88" w:rsidP="00DD3BAE">
            <w:pPr>
              <w:spacing w:before="0" w:after="0" w:line="180" w:lineRule="exact"/>
              <w:jc w:val="center"/>
              <w:rPr>
                <w:sz w:val="16"/>
                <w:szCs w:val="16"/>
              </w:rPr>
            </w:pPr>
          </w:p>
        </w:tc>
        <w:tc>
          <w:tcPr>
            <w:tcW w:w="1543" w:type="dxa"/>
            <w:shd w:val="clear" w:color="auto" w:fill="E7F3F4"/>
            <w:noWrap/>
            <w:vAlign w:val="bottom"/>
          </w:tcPr>
          <w:p w14:paraId="71B2B35B" w14:textId="77777777" w:rsidR="00034B88" w:rsidRPr="00BD7D10" w:rsidRDefault="00034B88" w:rsidP="00DD3BAE">
            <w:pPr>
              <w:spacing w:before="0" w:after="0" w:line="180" w:lineRule="exact"/>
              <w:jc w:val="center"/>
              <w:rPr>
                <w:sz w:val="16"/>
                <w:szCs w:val="16"/>
              </w:rPr>
            </w:pPr>
          </w:p>
        </w:tc>
        <w:tc>
          <w:tcPr>
            <w:tcW w:w="960" w:type="dxa"/>
            <w:shd w:val="clear" w:color="auto" w:fill="E7F3F4"/>
            <w:noWrap/>
            <w:vAlign w:val="bottom"/>
            <w:hideMark/>
          </w:tcPr>
          <w:p w14:paraId="6F97A04B" w14:textId="77777777" w:rsidR="00034B88" w:rsidRPr="00BD7D10" w:rsidRDefault="00034B88" w:rsidP="00DD3BAE">
            <w:pPr>
              <w:spacing w:before="0" w:after="0" w:line="180" w:lineRule="exact"/>
              <w:jc w:val="center"/>
              <w:rPr>
                <w:sz w:val="16"/>
                <w:szCs w:val="16"/>
              </w:rPr>
            </w:pPr>
            <w:r w:rsidRPr="00BD7D10">
              <w:rPr>
                <w:sz w:val="16"/>
                <w:szCs w:val="16"/>
              </w:rPr>
              <w:t>MI2</w:t>
            </w:r>
          </w:p>
        </w:tc>
        <w:tc>
          <w:tcPr>
            <w:tcW w:w="1300" w:type="dxa"/>
            <w:shd w:val="clear" w:color="auto" w:fill="E7F3F4"/>
            <w:noWrap/>
            <w:vAlign w:val="center"/>
            <w:hideMark/>
          </w:tcPr>
          <w:p w14:paraId="26ED4F5D" w14:textId="77777777" w:rsidR="00034B88" w:rsidRPr="002668F0" w:rsidRDefault="00034B88" w:rsidP="00DD3BAE">
            <w:pPr>
              <w:spacing w:before="0" w:after="0"/>
              <w:jc w:val="center"/>
              <w:rPr>
                <w:color w:val="000000"/>
                <w:sz w:val="16"/>
                <w:szCs w:val="16"/>
              </w:rPr>
            </w:pPr>
            <w:r w:rsidRPr="002668F0">
              <w:rPr>
                <w:color w:val="000000"/>
                <w:sz w:val="16"/>
                <w:szCs w:val="16"/>
              </w:rPr>
              <w:t>0.27 ±0.15</w:t>
            </w:r>
          </w:p>
        </w:tc>
        <w:tc>
          <w:tcPr>
            <w:tcW w:w="1407" w:type="dxa"/>
            <w:shd w:val="clear" w:color="auto" w:fill="E7F3F4"/>
            <w:vAlign w:val="center"/>
            <w:hideMark/>
          </w:tcPr>
          <w:p w14:paraId="790A6ED6" w14:textId="77777777" w:rsidR="00034B88" w:rsidRPr="002668F0" w:rsidRDefault="00034B88" w:rsidP="00DD3BAE">
            <w:pPr>
              <w:spacing w:before="0" w:after="0"/>
              <w:jc w:val="center"/>
              <w:rPr>
                <w:color w:val="000000"/>
                <w:sz w:val="16"/>
                <w:szCs w:val="16"/>
              </w:rPr>
            </w:pPr>
            <w:r w:rsidRPr="002668F0">
              <w:rPr>
                <w:color w:val="000000"/>
                <w:sz w:val="16"/>
                <w:szCs w:val="16"/>
              </w:rPr>
              <w:t>1.32</w:t>
            </w:r>
          </w:p>
        </w:tc>
        <w:tc>
          <w:tcPr>
            <w:tcW w:w="811" w:type="dxa"/>
            <w:shd w:val="clear" w:color="auto" w:fill="E7F3F4"/>
            <w:vAlign w:val="center"/>
            <w:hideMark/>
          </w:tcPr>
          <w:p w14:paraId="204AEF98" w14:textId="77777777" w:rsidR="00034B88" w:rsidRPr="002668F0" w:rsidRDefault="00034B88" w:rsidP="00DD3BAE">
            <w:pPr>
              <w:spacing w:before="0" w:after="0"/>
              <w:jc w:val="center"/>
              <w:rPr>
                <w:color w:val="000000"/>
                <w:sz w:val="16"/>
                <w:szCs w:val="16"/>
              </w:rPr>
            </w:pPr>
            <w:r w:rsidRPr="002668F0">
              <w:rPr>
                <w:color w:val="000000"/>
                <w:sz w:val="16"/>
                <w:szCs w:val="16"/>
              </w:rPr>
              <w:t>0.2</w:t>
            </w:r>
          </w:p>
        </w:tc>
        <w:tc>
          <w:tcPr>
            <w:tcW w:w="650" w:type="dxa"/>
            <w:shd w:val="clear" w:color="auto" w:fill="E7F3F4"/>
            <w:noWrap/>
            <w:vAlign w:val="center"/>
            <w:hideMark/>
          </w:tcPr>
          <w:p w14:paraId="75D66AC4"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E7F3F4"/>
          </w:tcPr>
          <w:p w14:paraId="044D8DBB" w14:textId="77777777" w:rsidR="00034B88" w:rsidRPr="002668F0" w:rsidRDefault="00034B88" w:rsidP="00DD3BAE">
            <w:pPr>
              <w:spacing w:before="0" w:after="0"/>
              <w:jc w:val="center"/>
              <w:rPr>
                <w:color w:val="000000"/>
                <w:sz w:val="16"/>
                <w:szCs w:val="16"/>
              </w:rPr>
            </w:pPr>
          </w:p>
        </w:tc>
      </w:tr>
      <w:tr w:rsidR="002702CB" w:rsidRPr="00BD7D10" w14:paraId="08A2EAB3" w14:textId="25E5A1D9" w:rsidTr="002702CB">
        <w:trPr>
          <w:jc w:val="center"/>
        </w:trPr>
        <w:tc>
          <w:tcPr>
            <w:tcW w:w="1616" w:type="dxa"/>
            <w:noWrap/>
            <w:vAlign w:val="bottom"/>
          </w:tcPr>
          <w:p w14:paraId="5FEC13BA" w14:textId="77777777" w:rsidR="002702CB" w:rsidRPr="00BD7D10" w:rsidRDefault="002702CB"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7EBDBC47" w14:textId="77777777" w:rsidR="002702CB" w:rsidRPr="00BD7D10" w:rsidRDefault="002702CB" w:rsidP="00DD3BAE">
            <w:pPr>
              <w:spacing w:before="0" w:after="0" w:line="180" w:lineRule="exact"/>
              <w:jc w:val="center"/>
              <w:rPr>
                <w:sz w:val="16"/>
                <w:szCs w:val="16"/>
              </w:rPr>
            </w:pPr>
            <w:r w:rsidRPr="00BD7D10">
              <w:rPr>
                <w:sz w:val="16"/>
                <w:szCs w:val="16"/>
              </w:rPr>
              <w:t>reef subtidal</w:t>
            </w:r>
          </w:p>
        </w:tc>
        <w:tc>
          <w:tcPr>
            <w:tcW w:w="960" w:type="dxa"/>
            <w:tcBorders>
              <w:top w:val="single" w:sz="4" w:space="0" w:color="auto"/>
              <w:left w:val="nil"/>
              <w:bottom w:val="nil"/>
              <w:right w:val="nil"/>
            </w:tcBorders>
            <w:shd w:val="clear" w:color="auto" w:fill="F3F9FA"/>
            <w:noWrap/>
            <w:vAlign w:val="bottom"/>
            <w:hideMark/>
          </w:tcPr>
          <w:p w14:paraId="4FECFDB5" w14:textId="77777777" w:rsidR="002702CB" w:rsidRPr="00BD7D10" w:rsidRDefault="002702CB" w:rsidP="00DD3BAE">
            <w:pPr>
              <w:spacing w:before="0" w:after="0" w:line="180" w:lineRule="exact"/>
              <w:jc w:val="center"/>
              <w:rPr>
                <w:sz w:val="16"/>
                <w:szCs w:val="16"/>
              </w:rPr>
            </w:pPr>
            <w:r w:rsidRPr="00BD7D10">
              <w:rPr>
                <w:sz w:val="16"/>
                <w:szCs w:val="16"/>
              </w:rPr>
              <w:t>MI3</w:t>
            </w:r>
          </w:p>
        </w:tc>
        <w:tc>
          <w:tcPr>
            <w:tcW w:w="1300" w:type="dxa"/>
            <w:tcBorders>
              <w:top w:val="single" w:sz="4" w:space="0" w:color="auto"/>
              <w:left w:val="nil"/>
              <w:bottom w:val="nil"/>
              <w:right w:val="nil"/>
            </w:tcBorders>
            <w:shd w:val="clear" w:color="auto" w:fill="F3F9FA"/>
            <w:noWrap/>
            <w:vAlign w:val="bottom"/>
            <w:hideMark/>
          </w:tcPr>
          <w:p w14:paraId="51CDE3CB" w14:textId="77777777" w:rsidR="002702CB" w:rsidRPr="002668F0" w:rsidRDefault="002702CB" w:rsidP="00DD3BAE">
            <w:pPr>
              <w:spacing w:before="0" w:after="0"/>
              <w:rPr>
                <w:color w:val="000000"/>
                <w:sz w:val="16"/>
                <w:szCs w:val="16"/>
              </w:rPr>
            </w:pPr>
            <w:r w:rsidRPr="002668F0">
              <w:rPr>
                <w:color w:val="000000"/>
                <w:sz w:val="16"/>
                <w:szCs w:val="16"/>
              </w:rPr>
              <w:t>2.67 ±0.89</w:t>
            </w:r>
          </w:p>
        </w:tc>
        <w:tc>
          <w:tcPr>
            <w:tcW w:w="1407" w:type="dxa"/>
            <w:tcBorders>
              <w:top w:val="single" w:sz="4" w:space="0" w:color="auto"/>
              <w:left w:val="nil"/>
              <w:bottom w:val="nil"/>
              <w:right w:val="nil"/>
            </w:tcBorders>
            <w:shd w:val="clear" w:color="auto" w:fill="F3F9FA"/>
            <w:vAlign w:val="center"/>
            <w:hideMark/>
          </w:tcPr>
          <w:p w14:paraId="62A8B0D2" w14:textId="77777777" w:rsidR="002702CB" w:rsidRPr="002668F0" w:rsidRDefault="002702CB" w:rsidP="00DD3BAE">
            <w:pPr>
              <w:spacing w:before="0" w:after="0"/>
              <w:jc w:val="center"/>
              <w:rPr>
                <w:color w:val="000000"/>
                <w:sz w:val="16"/>
                <w:szCs w:val="16"/>
              </w:rPr>
            </w:pPr>
            <w:r w:rsidRPr="002668F0">
              <w:rPr>
                <w:color w:val="000000"/>
                <w:sz w:val="16"/>
                <w:szCs w:val="16"/>
              </w:rPr>
              <w:t>0.24</w:t>
            </w:r>
          </w:p>
        </w:tc>
        <w:tc>
          <w:tcPr>
            <w:tcW w:w="811" w:type="dxa"/>
            <w:tcBorders>
              <w:top w:val="single" w:sz="4" w:space="0" w:color="auto"/>
              <w:left w:val="nil"/>
              <w:bottom w:val="nil"/>
              <w:right w:val="nil"/>
            </w:tcBorders>
            <w:shd w:val="clear" w:color="auto" w:fill="F3F9FA"/>
            <w:vAlign w:val="center"/>
            <w:hideMark/>
          </w:tcPr>
          <w:p w14:paraId="7C944C77" w14:textId="77777777" w:rsidR="002702CB" w:rsidRPr="002668F0" w:rsidRDefault="002702CB" w:rsidP="00DD3BAE">
            <w:pPr>
              <w:spacing w:before="0" w:after="0"/>
              <w:jc w:val="center"/>
              <w:rPr>
                <w:color w:val="000000"/>
                <w:sz w:val="16"/>
                <w:szCs w:val="16"/>
              </w:rPr>
            </w:pPr>
            <w:r w:rsidRPr="002668F0">
              <w:rPr>
                <w:color w:val="000000"/>
                <w:sz w:val="16"/>
                <w:szCs w:val="16"/>
              </w:rPr>
              <w:t>11.11</w:t>
            </w:r>
          </w:p>
        </w:tc>
        <w:tc>
          <w:tcPr>
            <w:tcW w:w="650" w:type="dxa"/>
            <w:tcBorders>
              <w:top w:val="single" w:sz="4" w:space="0" w:color="auto"/>
              <w:left w:val="nil"/>
              <w:bottom w:val="nil"/>
              <w:right w:val="nil"/>
            </w:tcBorders>
            <w:shd w:val="clear" w:color="auto" w:fill="F3F9FA"/>
            <w:noWrap/>
            <w:vAlign w:val="center"/>
            <w:hideMark/>
          </w:tcPr>
          <w:p w14:paraId="60466BD0" w14:textId="77777777" w:rsidR="002702CB" w:rsidRPr="002668F0" w:rsidRDefault="002702CB" w:rsidP="00DD3BAE">
            <w:pPr>
              <w:spacing w:before="0" w:after="0"/>
              <w:jc w:val="center"/>
              <w:rPr>
                <w:color w:val="000000"/>
                <w:sz w:val="16"/>
                <w:szCs w:val="16"/>
              </w:rPr>
            </w:pPr>
            <w:r w:rsidRPr="002668F0">
              <w:rPr>
                <w:color w:val="000000"/>
                <w:sz w:val="16"/>
                <w:szCs w:val="16"/>
              </w:rPr>
              <w:t>100</w:t>
            </w:r>
          </w:p>
        </w:tc>
        <w:tc>
          <w:tcPr>
            <w:tcW w:w="947" w:type="dxa"/>
            <w:tcBorders>
              <w:top w:val="single" w:sz="4" w:space="0" w:color="auto"/>
              <w:left w:val="nil"/>
              <w:bottom w:val="nil"/>
              <w:right w:val="nil"/>
            </w:tcBorders>
            <w:shd w:val="clear" w:color="auto" w:fill="F3F9FA"/>
          </w:tcPr>
          <w:p w14:paraId="757ED6F3" w14:textId="627966E1" w:rsidR="002702CB" w:rsidRPr="002668F0" w:rsidRDefault="002702CB" w:rsidP="00DD3BAE">
            <w:pPr>
              <w:spacing w:before="0" w:after="0"/>
              <w:jc w:val="center"/>
              <w:rPr>
                <w:color w:val="000000"/>
                <w:sz w:val="16"/>
                <w:szCs w:val="16"/>
              </w:rPr>
            </w:pPr>
            <w:r>
              <w:rPr>
                <w:color w:val="000000"/>
                <w:sz w:val="16"/>
                <w:szCs w:val="16"/>
              </w:rPr>
              <w:t>100</w:t>
            </w:r>
          </w:p>
        </w:tc>
      </w:tr>
      <w:tr w:rsidR="002702CB" w:rsidRPr="00BD7D10" w14:paraId="49F57596" w14:textId="0C45090F" w:rsidTr="002702CB">
        <w:trPr>
          <w:jc w:val="center"/>
        </w:trPr>
        <w:tc>
          <w:tcPr>
            <w:tcW w:w="1616" w:type="dxa"/>
            <w:tcBorders>
              <w:top w:val="nil"/>
              <w:left w:val="nil"/>
              <w:bottom w:val="single" w:sz="4" w:space="0" w:color="auto"/>
              <w:right w:val="nil"/>
            </w:tcBorders>
            <w:noWrap/>
            <w:vAlign w:val="bottom"/>
          </w:tcPr>
          <w:p w14:paraId="382FD534" w14:textId="77777777" w:rsidR="002702CB" w:rsidRPr="00BD7D10" w:rsidRDefault="002702CB" w:rsidP="00DD3BAE">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1E130CA0" w14:textId="1D35DA77" w:rsidR="002702CB" w:rsidRPr="00BE543E" w:rsidRDefault="002702CB" w:rsidP="00DD3BAE">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5BD81CB5" w14:textId="77777777" w:rsidR="002702CB" w:rsidRPr="00BE543E" w:rsidRDefault="002702CB" w:rsidP="00DD3BAE">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0CD229A4" w14:textId="77777777" w:rsidR="002702CB" w:rsidRPr="00BE543E" w:rsidRDefault="002702CB" w:rsidP="00DD3BAE">
            <w:pPr>
              <w:spacing w:before="0" w:after="0" w:line="180" w:lineRule="exact"/>
              <w:jc w:val="center"/>
              <w:rPr>
                <w:sz w:val="16"/>
                <w:szCs w:val="16"/>
              </w:rPr>
            </w:pPr>
          </w:p>
        </w:tc>
        <w:tc>
          <w:tcPr>
            <w:tcW w:w="1407" w:type="dxa"/>
            <w:tcBorders>
              <w:top w:val="single" w:sz="4" w:space="0" w:color="auto"/>
              <w:left w:val="nil"/>
              <w:bottom w:val="single" w:sz="4" w:space="0" w:color="auto"/>
              <w:right w:val="nil"/>
            </w:tcBorders>
            <w:vAlign w:val="bottom"/>
          </w:tcPr>
          <w:p w14:paraId="759442E7" w14:textId="77777777" w:rsidR="002702CB" w:rsidRPr="00BE543E" w:rsidRDefault="002702CB" w:rsidP="00DD3BAE">
            <w:pPr>
              <w:spacing w:before="0" w:after="0" w:line="180" w:lineRule="exact"/>
              <w:jc w:val="center"/>
              <w:rPr>
                <w:sz w:val="16"/>
                <w:szCs w:val="16"/>
              </w:rPr>
            </w:pPr>
          </w:p>
        </w:tc>
        <w:tc>
          <w:tcPr>
            <w:tcW w:w="811" w:type="dxa"/>
            <w:tcBorders>
              <w:top w:val="single" w:sz="4" w:space="0" w:color="auto"/>
              <w:left w:val="nil"/>
              <w:bottom w:val="single" w:sz="4" w:space="0" w:color="auto"/>
              <w:right w:val="nil"/>
            </w:tcBorders>
            <w:vAlign w:val="bottom"/>
          </w:tcPr>
          <w:p w14:paraId="53D79F50" w14:textId="77777777" w:rsidR="002702CB" w:rsidRPr="00BE543E" w:rsidRDefault="002702CB" w:rsidP="00DD3BAE">
            <w:pPr>
              <w:spacing w:before="0" w:after="0" w:line="180" w:lineRule="exact"/>
              <w:jc w:val="center"/>
              <w:rPr>
                <w:sz w:val="16"/>
                <w:szCs w:val="16"/>
              </w:rPr>
            </w:pPr>
          </w:p>
        </w:tc>
        <w:tc>
          <w:tcPr>
            <w:tcW w:w="650" w:type="dxa"/>
            <w:tcBorders>
              <w:top w:val="single" w:sz="4" w:space="0" w:color="auto"/>
              <w:left w:val="nil"/>
              <w:bottom w:val="single" w:sz="4" w:space="0" w:color="auto"/>
              <w:right w:val="nil"/>
            </w:tcBorders>
            <w:noWrap/>
            <w:vAlign w:val="bottom"/>
            <w:hideMark/>
          </w:tcPr>
          <w:p w14:paraId="1207A299" w14:textId="77777777" w:rsidR="002702CB" w:rsidRPr="00BE543E" w:rsidRDefault="002702CB" w:rsidP="00DD3BAE">
            <w:pPr>
              <w:spacing w:before="0" w:after="0" w:line="180" w:lineRule="exact"/>
              <w:jc w:val="center"/>
              <w:rPr>
                <w:b/>
                <w:sz w:val="16"/>
                <w:szCs w:val="16"/>
              </w:rPr>
            </w:pPr>
            <w:r w:rsidRPr="00BE543E">
              <w:rPr>
                <w:b/>
                <w:sz w:val="16"/>
                <w:szCs w:val="16"/>
              </w:rPr>
              <w:t>38</w:t>
            </w:r>
          </w:p>
        </w:tc>
        <w:tc>
          <w:tcPr>
            <w:tcW w:w="947" w:type="dxa"/>
            <w:tcBorders>
              <w:top w:val="single" w:sz="4" w:space="0" w:color="auto"/>
              <w:left w:val="nil"/>
              <w:bottom w:val="single" w:sz="4" w:space="0" w:color="auto"/>
              <w:right w:val="nil"/>
            </w:tcBorders>
          </w:tcPr>
          <w:p w14:paraId="4F7943C3" w14:textId="77777777" w:rsidR="002702CB" w:rsidRPr="00BE543E" w:rsidRDefault="002702CB" w:rsidP="00DD3BAE">
            <w:pPr>
              <w:spacing w:before="0" w:after="0" w:line="180" w:lineRule="exact"/>
              <w:jc w:val="center"/>
              <w:rPr>
                <w:b/>
                <w:sz w:val="16"/>
                <w:szCs w:val="16"/>
              </w:rPr>
            </w:pPr>
          </w:p>
        </w:tc>
      </w:tr>
      <w:tr w:rsidR="00034B88" w:rsidRPr="00406ECA" w14:paraId="37FB499E" w14:textId="7A297C55" w:rsidTr="00034B88">
        <w:trPr>
          <w:jc w:val="center"/>
        </w:trPr>
        <w:tc>
          <w:tcPr>
            <w:tcW w:w="1616" w:type="dxa"/>
            <w:noWrap/>
            <w:vAlign w:val="bottom"/>
            <w:hideMark/>
          </w:tcPr>
          <w:p w14:paraId="68ACE98F" w14:textId="77777777" w:rsidR="00034B88" w:rsidRPr="00406ECA" w:rsidRDefault="00034B88" w:rsidP="00DD3BAE">
            <w:pPr>
              <w:spacing w:before="0" w:after="0" w:line="180" w:lineRule="exact"/>
              <w:jc w:val="center"/>
              <w:rPr>
                <w:sz w:val="16"/>
                <w:szCs w:val="16"/>
              </w:rPr>
            </w:pPr>
            <w:r w:rsidRPr="00406ECA">
              <w:rPr>
                <w:sz w:val="16"/>
                <w:szCs w:val="16"/>
              </w:rPr>
              <w:t>Mackay Whitsunday</w:t>
            </w:r>
          </w:p>
        </w:tc>
        <w:tc>
          <w:tcPr>
            <w:tcW w:w="1543" w:type="dxa"/>
            <w:tcBorders>
              <w:top w:val="single" w:sz="4" w:space="0" w:color="auto"/>
              <w:left w:val="nil"/>
              <w:bottom w:val="nil"/>
              <w:right w:val="nil"/>
            </w:tcBorders>
            <w:shd w:val="clear" w:color="auto" w:fill="E7F3F4"/>
            <w:noWrap/>
            <w:vAlign w:val="bottom"/>
            <w:hideMark/>
          </w:tcPr>
          <w:p w14:paraId="4C890CA2" w14:textId="77777777" w:rsidR="00034B88" w:rsidRPr="00406ECA" w:rsidRDefault="00034B88" w:rsidP="00DD3BAE">
            <w:pPr>
              <w:spacing w:before="0" w:after="0" w:line="180" w:lineRule="exact"/>
              <w:jc w:val="center"/>
              <w:rPr>
                <w:sz w:val="16"/>
                <w:szCs w:val="16"/>
              </w:rPr>
            </w:pPr>
            <w:r w:rsidRPr="00406ECA">
              <w:rPr>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14:paraId="40B67C17" w14:textId="77777777" w:rsidR="00034B88" w:rsidRPr="00406ECA" w:rsidRDefault="00034B88" w:rsidP="00DD3BAE">
            <w:pPr>
              <w:spacing w:before="0" w:after="0" w:line="180" w:lineRule="exact"/>
              <w:jc w:val="center"/>
              <w:rPr>
                <w:sz w:val="16"/>
                <w:szCs w:val="16"/>
              </w:rPr>
            </w:pPr>
            <w:r w:rsidRPr="00406ECA">
              <w:rPr>
                <w:sz w:val="16"/>
                <w:szCs w:val="16"/>
              </w:rPr>
              <w:t>SI1</w:t>
            </w:r>
          </w:p>
        </w:tc>
        <w:tc>
          <w:tcPr>
            <w:tcW w:w="1300" w:type="dxa"/>
            <w:tcBorders>
              <w:top w:val="single" w:sz="4" w:space="0" w:color="auto"/>
              <w:left w:val="nil"/>
              <w:bottom w:val="nil"/>
              <w:right w:val="nil"/>
            </w:tcBorders>
            <w:shd w:val="clear" w:color="auto" w:fill="E7F3F4"/>
            <w:noWrap/>
            <w:vAlign w:val="center"/>
            <w:hideMark/>
          </w:tcPr>
          <w:p w14:paraId="33C36502" w14:textId="77777777" w:rsidR="00034B88" w:rsidRPr="002668F0" w:rsidRDefault="00034B88" w:rsidP="00DD3BAE">
            <w:pPr>
              <w:spacing w:before="0" w:after="0"/>
              <w:jc w:val="center"/>
              <w:rPr>
                <w:color w:val="000000"/>
                <w:sz w:val="16"/>
                <w:szCs w:val="16"/>
              </w:rPr>
            </w:pPr>
            <w:r w:rsidRPr="002668F0">
              <w:rPr>
                <w:color w:val="000000"/>
                <w:sz w:val="16"/>
                <w:szCs w:val="16"/>
              </w:rPr>
              <w:t>12.47 ±3.39</w:t>
            </w:r>
          </w:p>
        </w:tc>
        <w:tc>
          <w:tcPr>
            <w:tcW w:w="1407" w:type="dxa"/>
            <w:tcBorders>
              <w:top w:val="single" w:sz="4" w:space="0" w:color="auto"/>
              <w:left w:val="nil"/>
              <w:bottom w:val="nil"/>
              <w:right w:val="nil"/>
            </w:tcBorders>
            <w:shd w:val="clear" w:color="auto" w:fill="E7F3F4"/>
            <w:vAlign w:val="center"/>
            <w:hideMark/>
          </w:tcPr>
          <w:p w14:paraId="6A06D1B8" w14:textId="77777777" w:rsidR="00034B88" w:rsidRPr="002668F0" w:rsidRDefault="00034B88" w:rsidP="00DD3BAE">
            <w:pPr>
              <w:spacing w:before="0" w:after="0"/>
              <w:jc w:val="center"/>
              <w:rPr>
                <w:color w:val="000000"/>
                <w:sz w:val="16"/>
                <w:szCs w:val="16"/>
              </w:rPr>
            </w:pPr>
            <w:r w:rsidRPr="002668F0">
              <w:rPr>
                <w:color w:val="000000"/>
                <w:sz w:val="16"/>
                <w:szCs w:val="16"/>
              </w:rPr>
              <w:t>5.07</w:t>
            </w:r>
          </w:p>
        </w:tc>
        <w:tc>
          <w:tcPr>
            <w:tcW w:w="811" w:type="dxa"/>
            <w:tcBorders>
              <w:top w:val="single" w:sz="4" w:space="0" w:color="auto"/>
              <w:left w:val="nil"/>
              <w:bottom w:val="nil"/>
              <w:right w:val="nil"/>
            </w:tcBorders>
            <w:shd w:val="clear" w:color="auto" w:fill="E7F3F4"/>
            <w:vAlign w:val="center"/>
            <w:hideMark/>
          </w:tcPr>
          <w:p w14:paraId="22A87170" w14:textId="77777777" w:rsidR="00034B88" w:rsidRPr="002668F0" w:rsidRDefault="00034B88" w:rsidP="00DD3BAE">
            <w:pPr>
              <w:spacing w:before="0" w:after="0"/>
              <w:jc w:val="center"/>
              <w:rPr>
                <w:color w:val="000000"/>
                <w:sz w:val="16"/>
                <w:szCs w:val="16"/>
              </w:rPr>
            </w:pPr>
            <w:r w:rsidRPr="002668F0">
              <w:rPr>
                <w:color w:val="000000"/>
                <w:sz w:val="16"/>
                <w:szCs w:val="16"/>
              </w:rPr>
              <w:t>2.46</w:t>
            </w:r>
          </w:p>
        </w:tc>
        <w:tc>
          <w:tcPr>
            <w:tcW w:w="650" w:type="dxa"/>
            <w:tcBorders>
              <w:top w:val="single" w:sz="4" w:space="0" w:color="auto"/>
              <w:left w:val="nil"/>
              <w:bottom w:val="nil"/>
              <w:right w:val="nil"/>
            </w:tcBorders>
            <w:shd w:val="clear" w:color="auto" w:fill="E7F3F4"/>
            <w:noWrap/>
            <w:vAlign w:val="center"/>
            <w:hideMark/>
          </w:tcPr>
          <w:p w14:paraId="33149740" w14:textId="77777777" w:rsidR="00034B88" w:rsidRPr="002668F0" w:rsidRDefault="00034B88" w:rsidP="00DD3BAE">
            <w:pPr>
              <w:spacing w:before="0" w:after="0"/>
              <w:jc w:val="center"/>
              <w:rPr>
                <w:color w:val="000000"/>
                <w:sz w:val="16"/>
                <w:szCs w:val="16"/>
              </w:rPr>
            </w:pPr>
            <w:r w:rsidRPr="002668F0">
              <w:rPr>
                <w:color w:val="000000"/>
                <w:sz w:val="16"/>
                <w:szCs w:val="16"/>
              </w:rPr>
              <w:t>75</w:t>
            </w:r>
          </w:p>
        </w:tc>
        <w:tc>
          <w:tcPr>
            <w:tcW w:w="947" w:type="dxa"/>
            <w:vMerge w:val="restart"/>
            <w:tcBorders>
              <w:top w:val="single" w:sz="4" w:space="0" w:color="auto"/>
              <w:left w:val="nil"/>
              <w:right w:val="nil"/>
            </w:tcBorders>
            <w:shd w:val="clear" w:color="auto" w:fill="E7F3F4"/>
            <w:vAlign w:val="center"/>
          </w:tcPr>
          <w:p w14:paraId="2493C9AF" w14:textId="3F1E692B" w:rsidR="00034B88" w:rsidRPr="002668F0" w:rsidRDefault="00034B88" w:rsidP="00DD3BAE">
            <w:pPr>
              <w:spacing w:before="0" w:after="0"/>
              <w:jc w:val="center"/>
              <w:rPr>
                <w:color w:val="000000"/>
                <w:sz w:val="16"/>
                <w:szCs w:val="16"/>
              </w:rPr>
            </w:pPr>
            <w:r>
              <w:rPr>
                <w:color w:val="000000"/>
                <w:sz w:val="16"/>
                <w:szCs w:val="16"/>
              </w:rPr>
              <w:t>75</w:t>
            </w:r>
          </w:p>
        </w:tc>
      </w:tr>
      <w:tr w:rsidR="00034B88" w:rsidRPr="00BE543E" w14:paraId="444E6790" w14:textId="54ACFB57" w:rsidTr="002702CB">
        <w:trPr>
          <w:jc w:val="center"/>
        </w:trPr>
        <w:tc>
          <w:tcPr>
            <w:tcW w:w="1616" w:type="dxa"/>
            <w:noWrap/>
            <w:vAlign w:val="bottom"/>
          </w:tcPr>
          <w:p w14:paraId="3E44044C" w14:textId="77777777" w:rsidR="00034B88" w:rsidRPr="00406ECA" w:rsidRDefault="00034B88" w:rsidP="00DD3BAE">
            <w:pPr>
              <w:spacing w:before="0" w:after="0" w:line="180" w:lineRule="exact"/>
              <w:jc w:val="center"/>
              <w:rPr>
                <w:sz w:val="16"/>
                <w:szCs w:val="16"/>
              </w:rPr>
            </w:pPr>
          </w:p>
        </w:tc>
        <w:tc>
          <w:tcPr>
            <w:tcW w:w="1543" w:type="dxa"/>
            <w:shd w:val="clear" w:color="auto" w:fill="E7F3F4"/>
            <w:noWrap/>
            <w:vAlign w:val="bottom"/>
          </w:tcPr>
          <w:p w14:paraId="52659F8A" w14:textId="77777777" w:rsidR="00034B88" w:rsidRPr="00406ECA" w:rsidRDefault="00034B88" w:rsidP="00DD3BAE">
            <w:pPr>
              <w:spacing w:before="0" w:after="0" w:line="180" w:lineRule="exact"/>
              <w:jc w:val="center"/>
              <w:rPr>
                <w:sz w:val="16"/>
                <w:szCs w:val="16"/>
              </w:rPr>
            </w:pPr>
          </w:p>
        </w:tc>
        <w:tc>
          <w:tcPr>
            <w:tcW w:w="960" w:type="dxa"/>
            <w:shd w:val="clear" w:color="auto" w:fill="E7F3F4"/>
            <w:noWrap/>
            <w:vAlign w:val="bottom"/>
            <w:hideMark/>
          </w:tcPr>
          <w:p w14:paraId="1FA6595C" w14:textId="77777777" w:rsidR="00034B88" w:rsidRPr="00BE543E" w:rsidRDefault="00034B88" w:rsidP="00DD3BAE">
            <w:pPr>
              <w:spacing w:before="0" w:after="0" w:line="180" w:lineRule="exact"/>
              <w:jc w:val="center"/>
              <w:rPr>
                <w:sz w:val="16"/>
                <w:szCs w:val="16"/>
              </w:rPr>
            </w:pPr>
            <w:r w:rsidRPr="00BE543E">
              <w:rPr>
                <w:sz w:val="16"/>
                <w:szCs w:val="16"/>
              </w:rPr>
              <w:t>SI2</w:t>
            </w:r>
          </w:p>
        </w:tc>
        <w:tc>
          <w:tcPr>
            <w:tcW w:w="1300" w:type="dxa"/>
            <w:shd w:val="clear" w:color="auto" w:fill="E7F3F4"/>
            <w:noWrap/>
            <w:vAlign w:val="center"/>
            <w:hideMark/>
          </w:tcPr>
          <w:p w14:paraId="4BBEEB4C" w14:textId="77777777" w:rsidR="00034B88" w:rsidRPr="00BE543E" w:rsidRDefault="00034B88" w:rsidP="00DD3BAE">
            <w:pPr>
              <w:spacing w:before="0" w:after="0"/>
              <w:jc w:val="center"/>
              <w:rPr>
                <w:color w:val="000000"/>
                <w:sz w:val="16"/>
                <w:szCs w:val="16"/>
              </w:rPr>
            </w:pPr>
            <w:r w:rsidRPr="00BE543E">
              <w:rPr>
                <w:color w:val="000000"/>
                <w:sz w:val="16"/>
                <w:szCs w:val="16"/>
              </w:rPr>
              <w:t>15.27 ±3.67</w:t>
            </w:r>
          </w:p>
        </w:tc>
        <w:tc>
          <w:tcPr>
            <w:tcW w:w="1407" w:type="dxa"/>
            <w:shd w:val="clear" w:color="auto" w:fill="E7F3F4"/>
            <w:vAlign w:val="center"/>
            <w:hideMark/>
          </w:tcPr>
          <w:p w14:paraId="7655AA62" w14:textId="77777777" w:rsidR="00034B88" w:rsidRPr="00BE543E" w:rsidRDefault="00034B88" w:rsidP="00DD3BAE">
            <w:pPr>
              <w:spacing w:before="0" w:after="0"/>
              <w:jc w:val="center"/>
              <w:rPr>
                <w:color w:val="000000"/>
                <w:sz w:val="16"/>
                <w:szCs w:val="16"/>
              </w:rPr>
            </w:pPr>
            <w:r w:rsidRPr="00BE543E">
              <w:rPr>
                <w:color w:val="000000"/>
                <w:sz w:val="16"/>
                <w:szCs w:val="16"/>
              </w:rPr>
              <w:t>5.07</w:t>
            </w:r>
          </w:p>
        </w:tc>
        <w:tc>
          <w:tcPr>
            <w:tcW w:w="811" w:type="dxa"/>
            <w:shd w:val="clear" w:color="auto" w:fill="E7F3F4"/>
            <w:vAlign w:val="center"/>
            <w:hideMark/>
          </w:tcPr>
          <w:p w14:paraId="4F766165" w14:textId="77777777" w:rsidR="00034B88" w:rsidRPr="00BE543E" w:rsidRDefault="00034B88" w:rsidP="00DD3BAE">
            <w:pPr>
              <w:spacing w:before="0" w:after="0"/>
              <w:jc w:val="center"/>
              <w:rPr>
                <w:color w:val="000000"/>
                <w:sz w:val="16"/>
                <w:szCs w:val="16"/>
              </w:rPr>
            </w:pPr>
            <w:r w:rsidRPr="00BE543E">
              <w:rPr>
                <w:color w:val="000000"/>
                <w:sz w:val="16"/>
                <w:szCs w:val="16"/>
              </w:rPr>
              <w:t>3.01</w:t>
            </w:r>
          </w:p>
        </w:tc>
        <w:tc>
          <w:tcPr>
            <w:tcW w:w="650" w:type="dxa"/>
            <w:shd w:val="clear" w:color="auto" w:fill="E7F3F4"/>
            <w:noWrap/>
            <w:vAlign w:val="center"/>
            <w:hideMark/>
          </w:tcPr>
          <w:p w14:paraId="0B8339D5" w14:textId="77777777" w:rsidR="00034B88" w:rsidRPr="00BE543E" w:rsidRDefault="00034B88" w:rsidP="00DD3BAE">
            <w:pPr>
              <w:spacing w:before="0" w:after="0"/>
              <w:jc w:val="center"/>
              <w:rPr>
                <w:color w:val="000000"/>
                <w:sz w:val="16"/>
                <w:szCs w:val="16"/>
              </w:rPr>
            </w:pPr>
            <w:r w:rsidRPr="00BE543E">
              <w:rPr>
                <w:color w:val="000000"/>
                <w:sz w:val="16"/>
                <w:szCs w:val="16"/>
              </w:rPr>
              <w:t>75</w:t>
            </w:r>
          </w:p>
        </w:tc>
        <w:tc>
          <w:tcPr>
            <w:tcW w:w="947" w:type="dxa"/>
            <w:vMerge/>
            <w:shd w:val="clear" w:color="auto" w:fill="E7F3F4"/>
          </w:tcPr>
          <w:p w14:paraId="0B331E5D" w14:textId="77777777" w:rsidR="00034B88" w:rsidRPr="00BE543E" w:rsidRDefault="00034B88" w:rsidP="00DD3BAE">
            <w:pPr>
              <w:spacing w:before="0" w:after="0"/>
              <w:jc w:val="center"/>
              <w:rPr>
                <w:color w:val="000000"/>
                <w:sz w:val="16"/>
                <w:szCs w:val="16"/>
              </w:rPr>
            </w:pPr>
          </w:p>
        </w:tc>
      </w:tr>
      <w:tr w:rsidR="00034B88" w:rsidRPr="00BE543E" w14:paraId="76818DAE" w14:textId="0CF17812" w:rsidTr="00034B88">
        <w:trPr>
          <w:jc w:val="center"/>
        </w:trPr>
        <w:tc>
          <w:tcPr>
            <w:tcW w:w="1616" w:type="dxa"/>
            <w:noWrap/>
            <w:vAlign w:val="bottom"/>
          </w:tcPr>
          <w:p w14:paraId="6B05A28C" w14:textId="77777777" w:rsidR="00034B88" w:rsidRPr="00BE543E"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5239C16E" w14:textId="77777777" w:rsidR="00034B88" w:rsidRPr="00BE543E" w:rsidRDefault="00034B88" w:rsidP="00DD3BAE">
            <w:pPr>
              <w:spacing w:before="0" w:after="0" w:line="180" w:lineRule="exact"/>
              <w:jc w:val="center"/>
              <w:rPr>
                <w:sz w:val="16"/>
                <w:szCs w:val="16"/>
              </w:rPr>
            </w:pPr>
            <w:r w:rsidRPr="00BE543E">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0CBE7A72" w14:textId="77777777" w:rsidR="00034B88" w:rsidRPr="00BE543E" w:rsidRDefault="00034B88" w:rsidP="00DD3BAE">
            <w:pPr>
              <w:spacing w:before="0" w:after="0" w:line="180" w:lineRule="exact"/>
              <w:jc w:val="center"/>
              <w:rPr>
                <w:sz w:val="16"/>
                <w:szCs w:val="16"/>
              </w:rPr>
            </w:pPr>
            <w:r w:rsidRPr="00BE543E">
              <w:rPr>
                <w:sz w:val="16"/>
                <w:szCs w:val="16"/>
              </w:rPr>
              <w:t>MP2</w:t>
            </w:r>
          </w:p>
        </w:tc>
        <w:tc>
          <w:tcPr>
            <w:tcW w:w="1300" w:type="dxa"/>
            <w:tcBorders>
              <w:top w:val="single" w:sz="4" w:space="0" w:color="auto"/>
              <w:left w:val="nil"/>
              <w:bottom w:val="nil"/>
              <w:right w:val="nil"/>
            </w:tcBorders>
            <w:shd w:val="clear" w:color="auto" w:fill="E7F3F4"/>
            <w:noWrap/>
            <w:vAlign w:val="center"/>
            <w:hideMark/>
          </w:tcPr>
          <w:p w14:paraId="026C26F5" w14:textId="77777777" w:rsidR="00034B88" w:rsidRPr="00BE543E" w:rsidRDefault="00034B88" w:rsidP="00DD3BAE">
            <w:pPr>
              <w:spacing w:before="0" w:after="0"/>
              <w:jc w:val="center"/>
              <w:rPr>
                <w:color w:val="000000"/>
                <w:sz w:val="16"/>
                <w:szCs w:val="16"/>
              </w:rPr>
            </w:pPr>
            <w:r w:rsidRPr="00BE543E">
              <w:rPr>
                <w:color w:val="000000"/>
                <w:sz w:val="16"/>
                <w:szCs w:val="16"/>
              </w:rPr>
              <w:t>8.53 ±1.65</w:t>
            </w:r>
          </w:p>
        </w:tc>
        <w:tc>
          <w:tcPr>
            <w:tcW w:w="1407" w:type="dxa"/>
            <w:tcBorders>
              <w:top w:val="single" w:sz="4" w:space="0" w:color="auto"/>
              <w:left w:val="nil"/>
              <w:bottom w:val="nil"/>
              <w:right w:val="nil"/>
            </w:tcBorders>
            <w:shd w:val="clear" w:color="auto" w:fill="E7F3F4"/>
            <w:vAlign w:val="center"/>
            <w:hideMark/>
          </w:tcPr>
          <w:p w14:paraId="0A1F39AF" w14:textId="77777777" w:rsidR="00034B88" w:rsidRPr="00BE543E" w:rsidRDefault="00034B88" w:rsidP="00DD3BAE">
            <w:pPr>
              <w:spacing w:before="0" w:after="0"/>
              <w:jc w:val="center"/>
              <w:rPr>
                <w:color w:val="000000"/>
                <w:sz w:val="16"/>
                <w:szCs w:val="16"/>
              </w:rPr>
            </w:pPr>
            <w:r w:rsidRPr="00BE543E">
              <w:rPr>
                <w:color w:val="000000"/>
                <w:sz w:val="16"/>
                <w:szCs w:val="16"/>
              </w:rPr>
              <w:t>8.22</w:t>
            </w:r>
          </w:p>
        </w:tc>
        <w:tc>
          <w:tcPr>
            <w:tcW w:w="811" w:type="dxa"/>
            <w:tcBorders>
              <w:top w:val="single" w:sz="4" w:space="0" w:color="auto"/>
              <w:left w:val="nil"/>
              <w:bottom w:val="nil"/>
              <w:right w:val="nil"/>
            </w:tcBorders>
            <w:shd w:val="clear" w:color="auto" w:fill="E7F3F4"/>
            <w:vAlign w:val="center"/>
            <w:hideMark/>
          </w:tcPr>
          <w:p w14:paraId="6AF49649" w14:textId="77777777" w:rsidR="00034B88" w:rsidRPr="00BE543E" w:rsidRDefault="00034B88" w:rsidP="00DD3BAE">
            <w:pPr>
              <w:spacing w:before="0" w:after="0"/>
              <w:jc w:val="center"/>
              <w:rPr>
                <w:color w:val="000000"/>
                <w:sz w:val="16"/>
                <w:szCs w:val="16"/>
              </w:rPr>
            </w:pPr>
            <w:r w:rsidRPr="00BE543E">
              <w:rPr>
                <w:color w:val="000000"/>
                <w:sz w:val="16"/>
                <w:szCs w:val="16"/>
              </w:rPr>
              <w:t>1.04</w:t>
            </w:r>
          </w:p>
        </w:tc>
        <w:tc>
          <w:tcPr>
            <w:tcW w:w="650" w:type="dxa"/>
            <w:tcBorders>
              <w:top w:val="single" w:sz="4" w:space="0" w:color="auto"/>
              <w:left w:val="nil"/>
              <w:bottom w:val="nil"/>
              <w:right w:val="nil"/>
            </w:tcBorders>
            <w:shd w:val="clear" w:color="auto" w:fill="E7F3F4"/>
            <w:noWrap/>
            <w:vAlign w:val="center"/>
            <w:hideMark/>
          </w:tcPr>
          <w:p w14:paraId="443669B1" w14:textId="77777777" w:rsidR="00034B88" w:rsidRPr="00BE543E" w:rsidRDefault="00034B88" w:rsidP="00DD3BAE">
            <w:pPr>
              <w:spacing w:before="0" w:after="0"/>
              <w:jc w:val="center"/>
              <w:rPr>
                <w:color w:val="000000"/>
                <w:sz w:val="16"/>
                <w:szCs w:val="16"/>
              </w:rPr>
            </w:pPr>
            <w:r w:rsidRPr="00BE543E">
              <w:rPr>
                <w:color w:val="000000"/>
                <w:sz w:val="16"/>
                <w:szCs w:val="16"/>
              </w:rPr>
              <w:t>50</w:t>
            </w:r>
          </w:p>
        </w:tc>
        <w:tc>
          <w:tcPr>
            <w:tcW w:w="947" w:type="dxa"/>
            <w:vMerge w:val="restart"/>
            <w:tcBorders>
              <w:top w:val="single" w:sz="4" w:space="0" w:color="auto"/>
              <w:left w:val="nil"/>
              <w:right w:val="nil"/>
            </w:tcBorders>
            <w:shd w:val="clear" w:color="auto" w:fill="E7F3F4"/>
            <w:vAlign w:val="center"/>
          </w:tcPr>
          <w:p w14:paraId="2697FF71" w14:textId="7053B77B" w:rsidR="00034B88" w:rsidRPr="00BE543E" w:rsidRDefault="00034B88" w:rsidP="00DD3BAE">
            <w:pPr>
              <w:spacing w:before="0" w:after="0"/>
              <w:jc w:val="center"/>
              <w:rPr>
                <w:color w:val="000000"/>
                <w:sz w:val="16"/>
                <w:szCs w:val="16"/>
              </w:rPr>
            </w:pPr>
            <w:r>
              <w:rPr>
                <w:color w:val="000000"/>
                <w:sz w:val="16"/>
                <w:szCs w:val="16"/>
              </w:rPr>
              <w:t>25</w:t>
            </w:r>
          </w:p>
        </w:tc>
      </w:tr>
      <w:tr w:rsidR="00034B88" w:rsidRPr="00BE543E" w14:paraId="3CB83505" w14:textId="302F4EAB" w:rsidTr="002702CB">
        <w:trPr>
          <w:jc w:val="center"/>
        </w:trPr>
        <w:tc>
          <w:tcPr>
            <w:tcW w:w="1616" w:type="dxa"/>
            <w:noWrap/>
            <w:vAlign w:val="bottom"/>
          </w:tcPr>
          <w:p w14:paraId="63253901" w14:textId="77777777" w:rsidR="00034B88" w:rsidRPr="00BE543E" w:rsidRDefault="00034B88" w:rsidP="00DD3BAE">
            <w:pPr>
              <w:spacing w:before="0" w:after="0" w:line="180" w:lineRule="exact"/>
              <w:jc w:val="center"/>
              <w:rPr>
                <w:sz w:val="16"/>
                <w:szCs w:val="16"/>
              </w:rPr>
            </w:pPr>
          </w:p>
        </w:tc>
        <w:tc>
          <w:tcPr>
            <w:tcW w:w="1543" w:type="dxa"/>
            <w:shd w:val="clear" w:color="auto" w:fill="E7F3F4"/>
            <w:noWrap/>
            <w:vAlign w:val="bottom"/>
          </w:tcPr>
          <w:p w14:paraId="2608D1AD" w14:textId="77777777" w:rsidR="00034B88" w:rsidRPr="00BE543E" w:rsidRDefault="00034B88" w:rsidP="00DD3BAE">
            <w:pPr>
              <w:spacing w:before="0" w:after="0" w:line="180" w:lineRule="exact"/>
              <w:jc w:val="center"/>
              <w:rPr>
                <w:sz w:val="16"/>
                <w:szCs w:val="16"/>
              </w:rPr>
            </w:pPr>
          </w:p>
        </w:tc>
        <w:tc>
          <w:tcPr>
            <w:tcW w:w="960" w:type="dxa"/>
            <w:shd w:val="clear" w:color="auto" w:fill="E7F3F4"/>
            <w:noWrap/>
            <w:vAlign w:val="bottom"/>
            <w:hideMark/>
          </w:tcPr>
          <w:p w14:paraId="3B60AC6B" w14:textId="77777777" w:rsidR="00034B88" w:rsidRPr="00BE543E" w:rsidRDefault="00034B88" w:rsidP="00DD3BAE">
            <w:pPr>
              <w:spacing w:before="0" w:after="0" w:line="180" w:lineRule="exact"/>
              <w:jc w:val="center"/>
              <w:rPr>
                <w:sz w:val="16"/>
                <w:szCs w:val="16"/>
              </w:rPr>
            </w:pPr>
            <w:r w:rsidRPr="00BE543E">
              <w:rPr>
                <w:sz w:val="16"/>
                <w:szCs w:val="16"/>
              </w:rPr>
              <w:t>MP3</w:t>
            </w:r>
          </w:p>
        </w:tc>
        <w:tc>
          <w:tcPr>
            <w:tcW w:w="1300" w:type="dxa"/>
            <w:shd w:val="clear" w:color="auto" w:fill="E7F3F4"/>
            <w:noWrap/>
            <w:vAlign w:val="center"/>
            <w:hideMark/>
          </w:tcPr>
          <w:p w14:paraId="06C36528" w14:textId="77777777" w:rsidR="00034B88" w:rsidRPr="00BE543E" w:rsidRDefault="00034B88" w:rsidP="00DD3BAE">
            <w:pPr>
              <w:spacing w:before="0" w:after="0"/>
              <w:jc w:val="center"/>
              <w:rPr>
                <w:color w:val="000000"/>
                <w:sz w:val="16"/>
                <w:szCs w:val="16"/>
              </w:rPr>
            </w:pPr>
            <w:r w:rsidRPr="00BE543E">
              <w:rPr>
                <w:color w:val="000000"/>
                <w:sz w:val="16"/>
                <w:szCs w:val="16"/>
              </w:rPr>
              <w:t>2.73 ±1.08</w:t>
            </w:r>
          </w:p>
        </w:tc>
        <w:tc>
          <w:tcPr>
            <w:tcW w:w="1407" w:type="dxa"/>
            <w:shd w:val="clear" w:color="auto" w:fill="E7F3F4"/>
            <w:vAlign w:val="center"/>
            <w:hideMark/>
          </w:tcPr>
          <w:p w14:paraId="110C72AC" w14:textId="77777777" w:rsidR="00034B88" w:rsidRPr="00BE543E" w:rsidRDefault="00034B88" w:rsidP="00DD3BAE">
            <w:pPr>
              <w:spacing w:before="0" w:after="0"/>
              <w:jc w:val="center"/>
              <w:rPr>
                <w:color w:val="000000"/>
                <w:sz w:val="16"/>
                <w:szCs w:val="16"/>
              </w:rPr>
            </w:pPr>
            <w:r w:rsidRPr="00BE543E">
              <w:rPr>
                <w:color w:val="000000"/>
                <w:sz w:val="16"/>
                <w:szCs w:val="16"/>
              </w:rPr>
              <w:t>8.22</w:t>
            </w:r>
          </w:p>
        </w:tc>
        <w:tc>
          <w:tcPr>
            <w:tcW w:w="811" w:type="dxa"/>
            <w:shd w:val="clear" w:color="auto" w:fill="E7F3F4"/>
            <w:vAlign w:val="center"/>
            <w:hideMark/>
          </w:tcPr>
          <w:p w14:paraId="2597DA5F" w14:textId="77777777" w:rsidR="00034B88" w:rsidRPr="00BE543E" w:rsidRDefault="00034B88" w:rsidP="00DD3BAE">
            <w:pPr>
              <w:spacing w:before="0" w:after="0"/>
              <w:jc w:val="center"/>
              <w:rPr>
                <w:color w:val="000000"/>
                <w:sz w:val="16"/>
                <w:szCs w:val="16"/>
              </w:rPr>
            </w:pPr>
            <w:r w:rsidRPr="00BE543E">
              <w:rPr>
                <w:color w:val="000000"/>
                <w:sz w:val="16"/>
                <w:szCs w:val="16"/>
              </w:rPr>
              <w:t>0.33</w:t>
            </w:r>
          </w:p>
        </w:tc>
        <w:tc>
          <w:tcPr>
            <w:tcW w:w="650" w:type="dxa"/>
            <w:shd w:val="clear" w:color="auto" w:fill="E7F3F4"/>
            <w:noWrap/>
            <w:vAlign w:val="center"/>
            <w:hideMark/>
          </w:tcPr>
          <w:p w14:paraId="4DA13698"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shd w:val="clear" w:color="auto" w:fill="E7F3F4"/>
          </w:tcPr>
          <w:p w14:paraId="21E9CDF0" w14:textId="77777777" w:rsidR="00034B88" w:rsidRPr="00BE543E" w:rsidRDefault="00034B88" w:rsidP="00DD3BAE">
            <w:pPr>
              <w:spacing w:before="0" w:after="0"/>
              <w:jc w:val="center"/>
              <w:rPr>
                <w:color w:val="000000"/>
                <w:sz w:val="16"/>
                <w:szCs w:val="16"/>
              </w:rPr>
            </w:pPr>
          </w:p>
        </w:tc>
      </w:tr>
      <w:tr w:rsidR="00034B88" w:rsidRPr="00BE543E" w14:paraId="4F2373FD" w14:textId="40EC05EE" w:rsidTr="00034B88">
        <w:trPr>
          <w:jc w:val="center"/>
        </w:trPr>
        <w:tc>
          <w:tcPr>
            <w:tcW w:w="1616" w:type="dxa"/>
            <w:noWrap/>
            <w:vAlign w:val="bottom"/>
          </w:tcPr>
          <w:p w14:paraId="1F003B93" w14:textId="77777777" w:rsidR="00034B88" w:rsidRPr="00BE543E"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66FA3D96" w14:textId="77777777" w:rsidR="00034B88" w:rsidRPr="00BE543E" w:rsidRDefault="00034B88" w:rsidP="00DD3BAE">
            <w:pPr>
              <w:spacing w:before="0" w:after="0" w:line="180" w:lineRule="exact"/>
              <w:jc w:val="center"/>
              <w:rPr>
                <w:sz w:val="16"/>
                <w:szCs w:val="16"/>
              </w:rPr>
            </w:pPr>
            <w:r w:rsidRPr="00BE543E">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29198367" w14:textId="77777777" w:rsidR="00034B88" w:rsidRPr="00BE543E" w:rsidRDefault="00034B88" w:rsidP="00DD3BAE">
            <w:pPr>
              <w:spacing w:before="0" w:after="0" w:line="180" w:lineRule="exact"/>
              <w:jc w:val="center"/>
              <w:rPr>
                <w:sz w:val="16"/>
                <w:szCs w:val="16"/>
              </w:rPr>
            </w:pPr>
            <w:r w:rsidRPr="00BE543E">
              <w:rPr>
                <w:sz w:val="16"/>
                <w:szCs w:val="16"/>
              </w:rPr>
              <w:t>HM1</w:t>
            </w:r>
          </w:p>
        </w:tc>
        <w:tc>
          <w:tcPr>
            <w:tcW w:w="1300" w:type="dxa"/>
            <w:tcBorders>
              <w:top w:val="single" w:sz="4" w:space="0" w:color="auto"/>
              <w:left w:val="nil"/>
              <w:bottom w:val="nil"/>
              <w:right w:val="nil"/>
            </w:tcBorders>
            <w:shd w:val="clear" w:color="auto" w:fill="E7F3F4"/>
            <w:noWrap/>
            <w:vAlign w:val="center"/>
            <w:hideMark/>
          </w:tcPr>
          <w:p w14:paraId="52D2CD13"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1407" w:type="dxa"/>
            <w:tcBorders>
              <w:top w:val="single" w:sz="4" w:space="0" w:color="auto"/>
              <w:left w:val="nil"/>
              <w:bottom w:val="nil"/>
              <w:right w:val="nil"/>
            </w:tcBorders>
            <w:shd w:val="clear" w:color="auto" w:fill="E7F3F4"/>
            <w:vAlign w:val="center"/>
            <w:hideMark/>
          </w:tcPr>
          <w:p w14:paraId="7C1236C1" w14:textId="77777777" w:rsidR="00034B88" w:rsidRPr="00BE543E" w:rsidRDefault="00034B88" w:rsidP="00DD3BAE">
            <w:pPr>
              <w:spacing w:before="0" w:after="0"/>
              <w:jc w:val="center"/>
              <w:rPr>
                <w:color w:val="000000"/>
                <w:sz w:val="16"/>
                <w:szCs w:val="16"/>
              </w:rPr>
            </w:pPr>
            <w:r w:rsidRPr="00BE543E">
              <w:rPr>
                <w:color w:val="000000"/>
                <w:sz w:val="16"/>
                <w:szCs w:val="16"/>
              </w:rPr>
              <w:t>1.32</w:t>
            </w:r>
          </w:p>
        </w:tc>
        <w:tc>
          <w:tcPr>
            <w:tcW w:w="811" w:type="dxa"/>
            <w:tcBorders>
              <w:top w:val="single" w:sz="4" w:space="0" w:color="auto"/>
              <w:left w:val="nil"/>
              <w:bottom w:val="nil"/>
              <w:right w:val="nil"/>
            </w:tcBorders>
            <w:shd w:val="clear" w:color="auto" w:fill="E7F3F4"/>
            <w:vAlign w:val="center"/>
            <w:hideMark/>
          </w:tcPr>
          <w:p w14:paraId="61CB76AF"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650" w:type="dxa"/>
            <w:tcBorders>
              <w:top w:val="single" w:sz="4" w:space="0" w:color="auto"/>
              <w:left w:val="nil"/>
              <w:bottom w:val="nil"/>
              <w:right w:val="nil"/>
            </w:tcBorders>
            <w:shd w:val="clear" w:color="auto" w:fill="E7F3F4"/>
            <w:noWrap/>
            <w:vAlign w:val="center"/>
            <w:hideMark/>
          </w:tcPr>
          <w:p w14:paraId="5594F90E"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val="restart"/>
            <w:tcBorders>
              <w:top w:val="single" w:sz="4" w:space="0" w:color="auto"/>
              <w:left w:val="nil"/>
              <w:right w:val="nil"/>
            </w:tcBorders>
            <w:shd w:val="clear" w:color="auto" w:fill="E7F3F4"/>
            <w:vAlign w:val="center"/>
          </w:tcPr>
          <w:p w14:paraId="39AC5992" w14:textId="432DE96D" w:rsidR="00034B88" w:rsidRPr="00BE543E" w:rsidRDefault="00034B88" w:rsidP="00DD3BAE">
            <w:pPr>
              <w:spacing w:before="0" w:after="0"/>
              <w:jc w:val="center"/>
              <w:rPr>
                <w:color w:val="000000"/>
                <w:sz w:val="16"/>
                <w:szCs w:val="16"/>
              </w:rPr>
            </w:pPr>
            <w:r>
              <w:rPr>
                <w:color w:val="000000"/>
                <w:sz w:val="16"/>
                <w:szCs w:val="16"/>
              </w:rPr>
              <w:t>0</w:t>
            </w:r>
          </w:p>
        </w:tc>
      </w:tr>
      <w:tr w:rsidR="00034B88" w:rsidRPr="00BE543E" w14:paraId="39D65DBE" w14:textId="23F51546" w:rsidTr="002702CB">
        <w:trPr>
          <w:jc w:val="center"/>
        </w:trPr>
        <w:tc>
          <w:tcPr>
            <w:tcW w:w="1616" w:type="dxa"/>
            <w:noWrap/>
            <w:vAlign w:val="bottom"/>
          </w:tcPr>
          <w:p w14:paraId="1E258BF3" w14:textId="77777777" w:rsidR="00034B88" w:rsidRPr="00BE543E" w:rsidRDefault="00034B88" w:rsidP="00DD3BAE">
            <w:pPr>
              <w:spacing w:before="0" w:after="0" w:line="180" w:lineRule="exact"/>
              <w:jc w:val="center"/>
              <w:rPr>
                <w:sz w:val="16"/>
                <w:szCs w:val="16"/>
              </w:rPr>
            </w:pPr>
          </w:p>
        </w:tc>
        <w:tc>
          <w:tcPr>
            <w:tcW w:w="1543" w:type="dxa"/>
            <w:shd w:val="clear" w:color="auto" w:fill="E7F3F4"/>
            <w:noWrap/>
            <w:vAlign w:val="bottom"/>
          </w:tcPr>
          <w:p w14:paraId="2176B75B" w14:textId="77777777" w:rsidR="00034B88" w:rsidRPr="00BE543E" w:rsidRDefault="00034B88" w:rsidP="00DD3BAE">
            <w:pPr>
              <w:spacing w:before="0" w:after="0" w:line="180" w:lineRule="exact"/>
              <w:jc w:val="center"/>
              <w:rPr>
                <w:sz w:val="16"/>
                <w:szCs w:val="16"/>
              </w:rPr>
            </w:pPr>
          </w:p>
        </w:tc>
        <w:tc>
          <w:tcPr>
            <w:tcW w:w="960" w:type="dxa"/>
            <w:shd w:val="clear" w:color="auto" w:fill="E7F3F4"/>
            <w:noWrap/>
            <w:vAlign w:val="bottom"/>
            <w:hideMark/>
          </w:tcPr>
          <w:p w14:paraId="6264DBDF" w14:textId="77777777" w:rsidR="00034B88" w:rsidRPr="00BE543E" w:rsidRDefault="00034B88" w:rsidP="00DD3BAE">
            <w:pPr>
              <w:spacing w:before="0" w:after="0" w:line="180" w:lineRule="exact"/>
              <w:jc w:val="center"/>
              <w:rPr>
                <w:sz w:val="16"/>
                <w:szCs w:val="16"/>
              </w:rPr>
            </w:pPr>
            <w:r w:rsidRPr="00BE543E">
              <w:rPr>
                <w:sz w:val="16"/>
                <w:szCs w:val="16"/>
              </w:rPr>
              <w:t>HM2</w:t>
            </w:r>
          </w:p>
        </w:tc>
        <w:tc>
          <w:tcPr>
            <w:tcW w:w="1300" w:type="dxa"/>
            <w:shd w:val="clear" w:color="auto" w:fill="E7F3F4"/>
            <w:noWrap/>
            <w:vAlign w:val="center"/>
            <w:hideMark/>
          </w:tcPr>
          <w:p w14:paraId="5253F498"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1407" w:type="dxa"/>
            <w:shd w:val="clear" w:color="auto" w:fill="E7F3F4"/>
            <w:vAlign w:val="center"/>
            <w:hideMark/>
          </w:tcPr>
          <w:p w14:paraId="79DB4B59" w14:textId="77777777" w:rsidR="00034B88" w:rsidRPr="00BE543E" w:rsidRDefault="00034B88" w:rsidP="00DD3BAE">
            <w:pPr>
              <w:spacing w:before="0" w:after="0"/>
              <w:jc w:val="center"/>
              <w:rPr>
                <w:color w:val="000000"/>
                <w:sz w:val="16"/>
                <w:szCs w:val="16"/>
              </w:rPr>
            </w:pPr>
            <w:r w:rsidRPr="00BE543E">
              <w:rPr>
                <w:color w:val="000000"/>
                <w:sz w:val="16"/>
                <w:szCs w:val="16"/>
              </w:rPr>
              <w:t>1.32</w:t>
            </w:r>
          </w:p>
        </w:tc>
        <w:tc>
          <w:tcPr>
            <w:tcW w:w="811" w:type="dxa"/>
            <w:shd w:val="clear" w:color="auto" w:fill="E7F3F4"/>
            <w:vAlign w:val="center"/>
            <w:hideMark/>
          </w:tcPr>
          <w:p w14:paraId="6CE69741"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650" w:type="dxa"/>
            <w:shd w:val="clear" w:color="auto" w:fill="E7F3F4"/>
            <w:noWrap/>
            <w:vAlign w:val="center"/>
            <w:hideMark/>
          </w:tcPr>
          <w:p w14:paraId="6545979D"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shd w:val="clear" w:color="auto" w:fill="E7F3F4"/>
          </w:tcPr>
          <w:p w14:paraId="0C3DF31A" w14:textId="77777777" w:rsidR="00034B88" w:rsidRPr="00BE543E" w:rsidRDefault="00034B88" w:rsidP="00DD3BAE">
            <w:pPr>
              <w:spacing w:before="0" w:after="0"/>
              <w:jc w:val="center"/>
              <w:rPr>
                <w:color w:val="000000"/>
                <w:sz w:val="16"/>
                <w:szCs w:val="16"/>
              </w:rPr>
            </w:pPr>
          </w:p>
        </w:tc>
      </w:tr>
      <w:tr w:rsidR="002702CB" w:rsidRPr="00406ECA" w14:paraId="57586103" w14:textId="76A65EF4" w:rsidTr="002702CB">
        <w:trPr>
          <w:jc w:val="center"/>
        </w:trPr>
        <w:tc>
          <w:tcPr>
            <w:tcW w:w="1616" w:type="dxa"/>
            <w:tcBorders>
              <w:top w:val="nil"/>
              <w:left w:val="nil"/>
              <w:bottom w:val="single" w:sz="4" w:space="0" w:color="auto"/>
              <w:right w:val="nil"/>
            </w:tcBorders>
            <w:noWrap/>
            <w:vAlign w:val="bottom"/>
          </w:tcPr>
          <w:p w14:paraId="39948657" w14:textId="77777777" w:rsidR="002702CB" w:rsidRPr="00406ECA" w:rsidRDefault="002702CB" w:rsidP="00DD3BAE">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11F293B2" w14:textId="1B2FF797" w:rsidR="002702CB" w:rsidRPr="00BE543E" w:rsidRDefault="002702CB" w:rsidP="00DD3BAE">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2218D035" w14:textId="77777777" w:rsidR="002702CB" w:rsidRPr="00BE543E" w:rsidRDefault="002702CB" w:rsidP="00DD3BAE">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2CF8521A" w14:textId="77777777" w:rsidR="002702CB" w:rsidRPr="00BE543E" w:rsidRDefault="002702CB" w:rsidP="00DD3BAE">
            <w:pPr>
              <w:spacing w:before="0" w:after="0" w:line="180" w:lineRule="exact"/>
              <w:jc w:val="center"/>
              <w:rPr>
                <w:sz w:val="16"/>
                <w:szCs w:val="16"/>
              </w:rPr>
            </w:pPr>
          </w:p>
        </w:tc>
        <w:tc>
          <w:tcPr>
            <w:tcW w:w="1407" w:type="dxa"/>
            <w:tcBorders>
              <w:top w:val="single" w:sz="4" w:space="0" w:color="auto"/>
              <w:left w:val="nil"/>
              <w:bottom w:val="single" w:sz="4" w:space="0" w:color="auto"/>
              <w:right w:val="nil"/>
            </w:tcBorders>
            <w:vAlign w:val="bottom"/>
          </w:tcPr>
          <w:p w14:paraId="4D7288E9" w14:textId="77777777" w:rsidR="002702CB" w:rsidRPr="00BE543E" w:rsidRDefault="002702CB" w:rsidP="00DD3BAE">
            <w:pPr>
              <w:spacing w:before="0" w:after="0" w:line="180" w:lineRule="exact"/>
              <w:jc w:val="center"/>
              <w:rPr>
                <w:sz w:val="16"/>
                <w:szCs w:val="16"/>
              </w:rPr>
            </w:pPr>
          </w:p>
        </w:tc>
        <w:tc>
          <w:tcPr>
            <w:tcW w:w="811" w:type="dxa"/>
            <w:tcBorders>
              <w:top w:val="single" w:sz="4" w:space="0" w:color="auto"/>
              <w:left w:val="nil"/>
              <w:bottom w:val="single" w:sz="4" w:space="0" w:color="auto"/>
              <w:right w:val="nil"/>
            </w:tcBorders>
            <w:vAlign w:val="bottom"/>
          </w:tcPr>
          <w:p w14:paraId="3DFB27D7" w14:textId="77777777" w:rsidR="002702CB" w:rsidRPr="00BE543E" w:rsidRDefault="002702CB" w:rsidP="00DD3BAE">
            <w:pPr>
              <w:spacing w:before="0" w:after="0" w:line="180" w:lineRule="exact"/>
              <w:jc w:val="center"/>
              <w:rPr>
                <w:sz w:val="16"/>
                <w:szCs w:val="16"/>
              </w:rPr>
            </w:pPr>
          </w:p>
        </w:tc>
        <w:tc>
          <w:tcPr>
            <w:tcW w:w="650" w:type="dxa"/>
            <w:tcBorders>
              <w:top w:val="single" w:sz="4" w:space="0" w:color="auto"/>
              <w:left w:val="nil"/>
              <w:bottom w:val="single" w:sz="4" w:space="0" w:color="auto"/>
              <w:right w:val="nil"/>
            </w:tcBorders>
            <w:noWrap/>
            <w:vAlign w:val="bottom"/>
            <w:hideMark/>
          </w:tcPr>
          <w:p w14:paraId="67342ABC" w14:textId="77777777" w:rsidR="002702CB" w:rsidRPr="00BE543E" w:rsidRDefault="002702CB" w:rsidP="00DD3BAE">
            <w:pPr>
              <w:spacing w:before="0" w:after="0" w:line="180" w:lineRule="exact"/>
              <w:jc w:val="center"/>
              <w:rPr>
                <w:b/>
                <w:sz w:val="16"/>
                <w:szCs w:val="16"/>
              </w:rPr>
            </w:pPr>
            <w:r w:rsidRPr="00BE543E">
              <w:rPr>
                <w:b/>
                <w:sz w:val="16"/>
                <w:szCs w:val="16"/>
              </w:rPr>
              <w:t>33</w:t>
            </w:r>
          </w:p>
        </w:tc>
        <w:tc>
          <w:tcPr>
            <w:tcW w:w="947" w:type="dxa"/>
            <w:tcBorders>
              <w:top w:val="single" w:sz="4" w:space="0" w:color="auto"/>
              <w:left w:val="nil"/>
              <w:bottom w:val="single" w:sz="4" w:space="0" w:color="auto"/>
              <w:right w:val="nil"/>
            </w:tcBorders>
          </w:tcPr>
          <w:p w14:paraId="6795B591" w14:textId="77777777" w:rsidR="002702CB" w:rsidRPr="00BE543E" w:rsidRDefault="002702CB" w:rsidP="00DD3BAE">
            <w:pPr>
              <w:spacing w:before="0" w:after="0" w:line="180" w:lineRule="exact"/>
              <w:jc w:val="center"/>
              <w:rPr>
                <w:b/>
                <w:sz w:val="16"/>
                <w:szCs w:val="16"/>
              </w:rPr>
            </w:pPr>
          </w:p>
        </w:tc>
      </w:tr>
      <w:tr w:rsidR="00034B88" w:rsidRPr="00406ECA" w14:paraId="79BF5C42" w14:textId="7563707C" w:rsidTr="00034B88">
        <w:trPr>
          <w:jc w:val="center"/>
        </w:trPr>
        <w:tc>
          <w:tcPr>
            <w:tcW w:w="1616" w:type="dxa"/>
            <w:noWrap/>
            <w:vAlign w:val="bottom"/>
            <w:hideMark/>
          </w:tcPr>
          <w:p w14:paraId="748E8D73" w14:textId="77777777" w:rsidR="00034B88" w:rsidRPr="00406ECA" w:rsidRDefault="00034B88" w:rsidP="00DD3BAE">
            <w:pPr>
              <w:spacing w:before="0" w:after="0" w:line="180" w:lineRule="exact"/>
              <w:jc w:val="center"/>
              <w:rPr>
                <w:sz w:val="16"/>
                <w:szCs w:val="16"/>
              </w:rPr>
            </w:pPr>
            <w:r w:rsidRPr="00406ECA">
              <w:rPr>
                <w:sz w:val="16"/>
                <w:szCs w:val="16"/>
              </w:rPr>
              <w:t>Fitzroy</w:t>
            </w:r>
          </w:p>
        </w:tc>
        <w:tc>
          <w:tcPr>
            <w:tcW w:w="1543" w:type="dxa"/>
            <w:tcBorders>
              <w:top w:val="single" w:sz="4" w:space="0" w:color="auto"/>
              <w:left w:val="nil"/>
              <w:bottom w:val="nil"/>
              <w:right w:val="nil"/>
            </w:tcBorders>
            <w:shd w:val="clear" w:color="auto" w:fill="F3F9FA"/>
            <w:noWrap/>
            <w:vAlign w:val="bottom"/>
            <w:hideMark/>
          </w:tcPr>
          <w:p w14:paraId="1BD55B0F" w14:textId="77777777" w:rsidR="00034B88" w:rsidRPr="00406ECA" w:rsidRDefault="00034B88" w:rsidP="00DD3BAE">
            <w:pPr>
              <w:spacing w:before="0" w:after="0" w:line="180" w:lineRule="exact"/>
              <w:jc w:val="center"/>
              <w:rPr>
                <w:sz w:val="16"/>
                <w:szCs w:val="16"/>
              </w:rPr>
            </w:pPr>
            <w:r w:rsidRPr="00406ECA">
              <w:rPr>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14:paraId="6312FFAD" w14:textId="77777777" w:rsidR="00034B88" w:rsidRPr="00406ECA" w:rsidRDefault="00034B88" w:rsidP="00DD3BAE">
            <w:pPr>
              <w:spacing w:before="0" w:after="0" w:line="180" w:lineRule="exact"/>
              <w:jc w:val="center"/>
              <w:rPr>
                <w:sz w:val="16"/>
                <w:szCs w:val="16"/>
              </w:rPr>
            </w:pPr>
            <w:r w:rsidRPr="00406ECA">
              <w:rPr>
                <w:sz w:val="16"/>
                <w:szCs w:val="16"/>
              </w:rPr>
              <w:t>GH1</w:t>
            </w:r>
          </w:p>
        </w:tc>
        <w:tc>
          <w:tcPr>
            <w:tcW w:w="1300" w:type="dxa"/>
            <w:tcBorders>
              <w:top w:val="single" w:sz="4" w:space="0" w:color="auto"/>
              <w:left w:val="nil"/>
              <w:bottom w:val="nil"/>
              <w:right w:val="nil"/>
            </w:tcBorders>
            <w:shd w:val="clear" w:color="auto" w:fill="F3F9FA"/>
            <w:noWrap/>
            <w:vAlign w:val="center"/>
            <w:hideMark/>
          </w:tcPr>
          <w:p w14:paraId="6AE776A6" w14:textId="77777777" w:rsidR="00034B88" w:rsidRPr="002668F0" w:rsidRDefault="00034B88" w:rsidP="00DD3BAE">
            <w:pPr>
              <w:spacing w:before="0" w:after="0"/>
              <w:jc w:val="center"/>
              <w:rPr>
                <w:color w:val="000000"/>
                <w:sz w:val="16"/>
                <w:szCs w:val="16"/>
              </w:rPr>
            </w:pPr>
            <w:r w:rsidRPr="002668F0">
              <w:rPr>
                <w:color w:val="000000"/>
                <w:sz w:val="16"/>
                <w:szCs w:val="16"/>
              </w:rPr>
              <w:t>0.33 ±0.33</w:t>
            </w:r>
          </w:p>
        </w:tc>
        <w:tc>
          <w:tcPr>
            <w:tcW w:w="1407" w:type="dxa"/>
            <w:tcBorders>
              <w:top w:val="single" w:sz="4" w:space="0" w:color="auto"/>
              <w:left w:val="nil"/>
              <w:bottom w:val="nil"/>
              <w:right w:val="nil"/>
            </w:tcBorders>
            <w:shd w:val="clear" w:color="auto" w:fill="F3F9FA"/>
            <w:vAlign w:val="center"/>
            <w:hideMark/>
          </w:tcPr>
          <w:p w14:paraId="4CBFA03C" w14:textId="77777777" w:rsidR="00034B88" w:rsidRPr="002668F0" w:rsidRDefault="00034B88" w:rsidP="00DD3BAE">
            <w:pPr>
              <w:spacing w:before="0" w:after="0"/>
              <w:jc w:val="center"/>
              <w:rPr>
                <w:color w:val="000000"/>
                <w:sz w:val="16"/>
                <w:szCs w:val="16"/>
              </w:rPr>
            </w:pPr>
            <w:r w:rsidRPr="002668F0">
              <w:rPr>
                <w:color w:val="000000"/>
                <w:sz w:val="16"/>
                <w:szCs w:val="16"/>
              </w:rPr>
              <w:t>5.07</w:t>
            </w:r>
          </w:p>
        </w:tc>
        <w:tc>
          <w:tcPr>
            <w:tcW w:w="811" w:type="dxa"/>
            <w:tcBorders>
              <w:top w:val="single" w:sz="4" w:space="0" w:color="auto"/>
              <w:left w:val="nil"/>
              <w:bottom w:val="nil"/>
              <w:right w:val="nil"/>
            </w:tcBorders>
            <w:shd w:val="clear" w:color="auto" w:fill="F3F9FA"/>
            <w:vAlign w:val="center"/>
            <w:hideMark/>
          </w:tcPr>
          <w:p w14:paraId="6E730738" w14:textId="77777777" w:rsidR="00034B88" w:rsidRPr="002668F0" w:rsidRDefault="00034B88" w:rsidP="00DD3BAE">
            <w:pPr>
              <w:spacing w:before="0" w:after="0"/>
              <w:jc w:val="center"/>
              <w:rPr>
                <w:color w:val="000000"/>
                <w:sz w:val="16"/>
                <w:szCs w:val="16"/>
              </w:rPr>
            </w:pPr>
            <w:r w:rsidRPr="002668F0">
              <w:rPr>
                <w:color w:val="000000"/>
                <w:sz w:val="16"/>
                <w:szCs w:val="16"/>
              </w:rPr>
              <w:t>0.07</w:t>
            </w:r>
          </w:p>
        </w:tc>
        <w:tc>
          <w:tcPr>
            <w:tcW w:w="650" w:type="dxa"/>
            <w:tcBorders>
              <w:top w:val="single" w:sz="4" w:space="0" w:color="auto"/>
              <w:left w:val="nil"/>
              <w:bottom w:val="nil"/>
              <w:right w:val="nil"/>
            </w:tcBorders>
            <w:shd w:val="clear" w:color="auto" w:fill="F3F9FA"/>
            <w:noWrap/>
            <w:vAlign w:val="center"/>
            <w:hideMark/>
          </w:tcPr>
          <w:p w14:paraId="4DE8DEFD"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val="restart"/>
            <w:tcBorders>
              <w:top w:val="single" w:sz="4" w:space="0" w:color="auto"/>
              <w:left w:val="nil"/>
              <w:right w:val="nil"/>
            </w:tcBorders>
            <w:shd w:val="clear" w:color="auto" w:fill="F3F9FA"/>
            <w:vAlign w:val="center"/>
          </w:tcPr>
          <w:p w14:paraId="02DF4C12" w14:textId="79BF3D3A" w:rsidR="00034B88" w:rsidRPr="002668F0" w:rsidRDefault="00034B88" w:rsidP="00DD3BAE">
            <w:pPr>
              <w:spacing w:before="0" w:after="0"/>
              <w:jc w:val="center"/>
              <w:rPr>
                <w:color w:val="000000"/>
                <w:sz w:val="16"/>
                <w:szCs w:val="16"/>
              </w:rPr>
            </w:pPr>
            <w:r>
              <w:rPr>
                <w:color w:val="000000"/>
                <w:sz w:val="16"/>
                <w:szCs w:val="16"/>
              </w:rPr>
              <w:t>0</w:t>
            </w:r>
          </w:p>
        </w:tc>
      </w:tr>
      <w:tr w:rsidR="00034B88" w:rsidRPr="00406ECA" w14:paraId="593E32DF" w14:textId="4B760E4D" w:rsidTr="002702CB">
        <w:trPr>
          <w:jc w:val="center"/>
        </w:trPr>
        <w:tc>
          <w:tcPr>
            <w:tcW w:w="1616" w:type="dxa"/>
            <w:noWrap/>
            <w:vAlign w:val="bottom"/>
          </w:tcPr>
          <w:p w14:paraId="3D4353B3" w14:textId="77777777" w:rsidR="00034B88" w:rsidRPr="00406ECA" w:rsidRDefault="00034B88" w:rsidP="00DD3BAE">
            <w:pPr>
              <w:spacing w:before="0" w:after="0" w:line="180" w:lineRule="exact"/>
              <w:jc w:val="center"/>
              <w:rPr>
                <w:sz w:val="16"/>
                <w:szCs w:val="16"/>
              </w:rPr>
            </w:pPr>
          </w:p>
        </w:tc>
        <w:tc>
          <w:tcPr>
            <w:tcW w:w="1543" w:type="dxa"/>
            <w:shd w:val="clear" w:color="auto" w:fill="F3F9FA"/>
            <w:noWrap/>
            <w:vAlign w:val="bottom"/>
          </w:tcPr>
          <w:p w14:paraId="5AEEE074" w14:textId="77777777" w:rsidR="00034B88" w:rsidRPr="00406ECA" w:rsidRDefault="00034B88" w:rsidP="00DD3BAE">
            <w:pPr>
              <w:spacing w:before="0" w:after="0" w:line="180" w:lineRule="exact"/>
              <w:jc w:val="center"/>
              <w:rPr>
                <w:sz w:val="16"/>
                <w:szCs w:val="16"/>
              </w:rPr>
            </w:pPr>
          </w:p>
        </w:tc>
        <w:tc>
          <w:tcPr>
            <w:tcW w:w="960" w:type="dxa"/>
            <w:shd w:val="clear" w:color="auto" w:fill="F3F9FA"/>
            <w:noWrap/>
            <w:vAlign w:val="bottom"/>
            <w:hideMark/>
          </w:tcPr>
          <w:p w14:paraId="1925A799" w14:textId="77777777" w:rsidR="00034B88" w:rsidRPr="00406ECA" w:rsidRDefault="00034B88" w:rsidP="00DD3BAE">
            <w:pPr>
              <w:spacing w:before="0" w:after="0" w:line="180" w:lineRule="exact"/>
              <w:jc w:val="center"/>
              <w:rPr>
                <w:sz w:val="16"/>
                <w:szCs w:val="16"/>
              </w:rPr>
            </w:pPr>
            <w:r w:rsidRPr="00406ECA">
              <w:rPr>
                <w:sz w:val="16"/>
                <w:szCs w:val="16"/>
              </w:rPr>
              <w:t>GH2</w:t>
            </w:r>
          </w:p>
        </w:tc>
        <w:tc>
          <w:tcPr>
            <w:tcW w:w="1300" w:type="dxa"/>
            <w:shd w:val="clear" w:color="auto" w:fill="F3F9FA"/>
            <w:noWrap/>
            <w:vAlign w:val="center"/>
            <w:hideMark/>
          </w:tcPr>
          <w:p w14:paraId="549B49CF" w14:textId="77777777" w:rsidR="00034B88" w:rsidRPr="002668F0" w:rsidRDefault="00034B88" w:rsidP="00DD3BAE">
            <w:pPr>
              <w:spacing w:before="0" w:after="0"/>
              <w:jc w:val="center"/>
              <w:rPr>
                <w:color w:val="000000"/>
                <w:sz w:val="16"/>
                <w:szCs w:val="16"/>
              </w:rPr>
            </w:pPr>
            <w:r w:rsidRPr="002668F0">
              <w:rPr>
                <w:color w:val="000000"/>
                <w:sz w:val="16"/>
                <w:szCs w:val="16"/>
              </w:rPr>
              <w:t>0.13 ±0.13</w:t>
            </w:r>
          </w:p>
        </w:tc>
        <w:tc>
          <w:tcPr>
            <w:tcW w:w="1407" w:type="dxa"/>
            <w:shd w:val="clear" w:color="auto" w:fill="F3F9FA"/>
            <w:vAlign w:val="center"/>
            <w:hideMark/>
          </w:tcPr>
          <w:p w14:paraId="646B7100" w14:textId="77777777" w:rsidR="00034B88" w:rsidRPr="002668F0" w:rsidRDefault="00034B88" w:rsidP="00DD3BAE">
            <w:pPr>
              <w:spacing w:before="0" w:after="0"/>
              <w:jc w:val="center"/>
              <w:rPr>
                <w:color w:val="000000"/>
                <w:sz w:val="16"/>
                <w:szCs w:val="16"/>
              </w:rPr>
            </w:pPr>
            <w:r w:rsidRPr="002668F0">
              <w:rPr>
                <w:color w:val="000000"/>
                <w:sz w:val="16"/>
                <w:szCs w:val="16"/>
              </w:rPr>
              <w:t>5.07</w:t>
            </w:r>
          </w:p>
        </w:tc>
        <w:tc>
          <w:tcPr>
            <w:tcW w:w="811" w:type="dxa"/>
            <w:shd w:val="clear" w:color="auto" w:fill="F3F9FA"/>
            <w:vAlign w:val="center"/>
            <w:hideMark/>
          </w:tcPr>
          <w:p w14:paraId="08DAEEEF" w14:textId="77777777" w:rsidR="00034B88" w:rsidRPr="002668F0" w:rsidRDefault="00034B88" w:rsidP="00DD3BAE">
            <w:pPr>
              <w:spacing w:before="0" w:after="0"/>
              <w:jc w:val="center"/>
              <w:rPr>
                <w:color w:val="000000"/>
                <w:sz w:val="16"/>
                <w:szCs w:val="16"/>
              </w:rPr>
            </w:pPr>
            <w:r w:rsidRPr="002668F0">
              <w:rPr>
                <w:color w:val="000000"/>
                <w:sz w:val="16"/>
                <w:szCs w:val="16"/>
              </w:rPr>
              <w:t>0.03</w:t>
            </w:r>
          </w:p>
        </w:tc>
        <w:tc>
          <w:tcPr>
            <w:tcW w:w="650" w:type="dxa"/>
            <w:shd w:val="clear" w:color="auto" w:fill="F3F9FA"/>
            <w:noWrap/>
            <w:vAlign w:val="center"/>
            <w:hideMark/>
          </w:tcPr>
          <w:p w14:paraId="520D09CF" w14:textId="77777777" w:rsidR="00034B88" w:rsidRPr="002668F0" w:rsidRDefault="00034B88" w:rsidP="00DD3BAE">
            <w:pPr>
              <w:spacing w:before="0" w:after="0"/>
              <w:jc w:val="center"/>
              <w:rPr>
                <w:color w:val="000000"/>
                <w:sz w:val="16"/>
                <w:szCs w:val="16"/>
              </w:rPr>
            </w:pPr>
            <w:r w:rsidRPr="002668F0">
              <w:rPr>
                <w:color w:val="000000"/>
                <w:sz w:val="16"/>
                <w:szCs w:val="16"/>
              </w:rPr>
              <w:t>0</w:t>
            </w:r>
          </w:p>
        </w:tc>
        <w:tc>
          <w:tcPr>
            <w:tcW w:w="947" w:type="dxa"/>
            <w:vMerge/>
            <w:shd w:val="clear" w:color="auto" w:fill="F3F9FA"/>
          </w:tcPr>
          <w:p w14:paraId="0B0F8FEC" w14:textId="77777777" w:rsidR="00034B88" w:rsidRPr="002668F0" w:rsidRDefault="00034B88" w:rsidP="00DD3BAE">
            <w:pPr>
              <w:spacing w:before="0" w:after="0"/>
              <w:jc w:val="center"/>
              <w:rPr>
                <w:color w:val="000000"/>
                <w:sz w:val="16"/>
                <w:szCs w:val="16"/>
              </w:rPr>
            </w:pPr>
          </w:p>
        </w:tc>
      </w:tr>
      <w:tr w:rsidR="00034B88" w:rsidRPr="00BE543E" w14:paraId="26121C26" w14:textId="567684FC" w:rsidTr="00034B88">
        <w:trPr>
          <w:jc w:val="center"/>
        </w:trPr>
        <w:tc>
          <w:tcPr>
            <w:tcW w:w="1616" w:type="dxa"/>
            <w:noWrap/>
            <w:vAlign w:val="bottom"/>
          </w:tcPr>
          <w:p w14:paraId="30CA03B1" w14:textId="77777777" w:rsidR="00034B88" w:rsidRPr="00BE543E"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50FC6827" w14:textId="77777777" w:rsidR="00034B88" w:rsidRPr="00BE543E" w:rsidRDefault="00034B88" w:rsidP="00DD3BAE">
            <w:pPr>
              <w:spacing w:before="0" w:after="0" w:line="180" w:lineRule="exact"/>
              <w:jc w:val="center"/>
              <w:rPr>
                <w:sz w:val="16"/>
                <w:szCs w:val="16"/>
              </w:rPr>
            </w:pPr>
            <w:r w:rsidRPr="00BE543E">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7E348B9D" w14:textId="77777777" w:rsidR="00034B88" w:rsidRPr="00BE543E" w:rsidRDefault="00034B88" w:rsidP="00DD3BAE">
            <w:pPr>
              <w:spacing w:before="0" w:after="0" w:line="180" w:lineRule="exact"/>
              <w:jc w:val="center"/>
              <w:rPr>
                <w:sz w:val="16"/>
                <w:szCs w:val="16"/>
              </w:rPr>
            </w:pPr>
            <w:r w:rsidRPr="00BE543E">
              <w:rPr>
                <w:sz w:val="16"/>
                <w:szCs w:val="16"/>
              </w:rPr>
              <w:t>RC1</w:t>
            </w:r>
          </w:p>
        </w:tc>
        <w:tc>
          <w:tcPr>
            <w:tcW w:w="1300" w:type="dxa"/>
            <w:tcBorders>
              <w:top w:val="single" w:sz="4" w:space="0" w:color="auto"/>
              <w:left w:val="nil"/>
              <w:bottom w:val="nil"/>
              <w:right w:val="nil"/>
            </w:tcBorders>
            <w:shd w:val="clear" w:color="auto" w:fill="E7F3F4"/>
            <w:noWrap/>
            <w:vAlign w:val="center"/>
            <w:hideMark/>
          </w:tcPr>
          <w:p w14:paraId="40DCF202" w14:textId="77777777" w:rsidR="00034B88" w:rsidRPr="00BE543E" w:rsidRDefault="00034B88" w:rsidP="00DD3BAE">
            <w:pPr>
              <w:spacing w:before="0" w:after="0"/>
              <w:jc w:val="center"/>
              <w:rPr>
                <w:color w:val="000000"/>
                <w:sz w:val="16"/>
                <w:szCs w:val="16"/>
              </w:rPr>
            </w:pPr>
            <w:r w:rsidRPr="00BE543E">
              <w:rPr>
                <w:color w:val="000000"/>
                <w:sz w:val="16"/>
                <w:szCs w:val="16"/>
              </w:rPr>
              <w:t>1.53 ±0.76</w:t>
            </w:r>
          </w:p>
        </w:tc>
        <w:tc>
          <w:tcPr>
            <w:tcW w:w="1407" w:type="dxa"/>
            <w:tcBorders>
              <w:top w:val="single" w:sz="4" w:space="0" w:color="auto"/>
              <w:left w:val="nil"/>
              <w:bottom w:val="nil"/>
              <w:right w:val="nil"/>
            </w:tcBorders>
            <w:shd w:val="clear" w:color="auto" w:fill="E7F3F4"/>
            <w:vAlign w:val="center"/>
            <w:hideMark/>
          </w:tcPr>
          <w:p w14:paraId="773D06D2" w14:textId="77777777" w:rsidR="00034B88" w:rsidRPr="00BE543E" w:rsidRDefault="00034B88" w:rsidP="00DD3BAE">
            <w:pPr>
              <w:spacing w:before="0" w:after="0"/>
              <w:jc w:val="center"/>
              <w:rPr>
                <w:color w:val="000000"/>
                <w:sz w:val="16"/>
                <w:szCs w:val="16"/>
              </w:rPr>
            </w:pPr>
            <w:r w:rsidRPr="00BE543E">
              <w:rPr>
                <w:color w:val="000000"/>
                <w:sz w:val="16"/>
                <w:szCs w:val="16"/>
              </w:rPr>
              <w:t>8.22</w:t>
            </w:r>
          </w:p>
        </w:tc>
        <w:tc>
          <w:tcPr>
            <w:tcW w:w="811" w:type="dxa"/>
            <w:tcBorders>
              <w:top w:val="single" w:sz="4" w:space="0" w:color="auto"/>
              <w:left w:val="nil"/>
              <w:bottom w:val="nil"/>
              <w:right w:val="nil"/>
            </w:tcBorders>
            <w:shd w:val="clear" w:color="auto" w:fill="E7F3F4"/>
            <w:vAlign w:val="center"/>
            <w:hideMark/>
          </w:tcPr>
          <w:p w14:paraId="7B3BAD28" w14:textId="77777777" w:rsidR="00034B88" w:rsidRPr="00BE543E" w:rsidRDefault="00034B88" w:rsidP="00DD3BAE">
            <w:pPr>
              <w:spacing w:before="0" w:after="0"/>
              <w:jc w:val="center"/>
              <w:rPr>
                <w:color w:val="000000"/>
                <w:sz w:val="16"/>
                <w:szCs w:val="16"/>
              </w:rPr>
            </w:pPr>
            <w:r w:rsidRPr="00BE543E">
              <w:rPr>
                <w:color w:val="000000"/>
                <w:sz w:val="16"/>
                <w:szCs w:val="16"/>
              </w:rPr>
              <w:t>0.19</w:t>
            </w:r>
          </w:p>
        </w:tc>
        <w:tc>
          <w:tcPr>
            <w:tcW w:w="650" w:type="dxa"/>
            <w:tcBorders>
              <w:top w:val="single" w:sz="4" w:space="0" w:color="auto"/>
              <w:left w:val="nil"/>
              <w:bottom w:val="nil"/>
              <w:right w:val="nil"/>
            </w:tcBorders>
            <w:shd w:val="clear" w:color="auto" w:fill="E7F3F4"/>
            <w:noWrap/>
            <w:vAlign w:val="center"/>
            <w:hideMark/>
          </w:tcPr>
          <w:p w14:paraId="3B6ED5F0"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val="restart"/>
            <w:tcBorders>
              <w:top w:val="single" w:sz="4" w:space="0" w:color="auto"/>
              <w:left w:val="nil"/>
              <w:right w:val="nil"/>
            </w:tcBorders>
            <w:shd w:val="clear" w:color="auto" w:fill="E7F3F4"/>
            <w:vAlign w:val="center"/>
          </w:tcPr>
          <w:p w14:paraId="1BD8AD90" w14:textId="2900CD75" w:rsidR="00034B88" w:rsidRPr="00BE543E" w:rsidRDefault="00034B88" w:rsidP="00DD3BAE">
            <w:pPr>
              <w:spacing w:before="0" w:after="0"/>
              <w:jc w:val="center"/>
              <w:rPr>
                <w:color w:val="000000"/>
                <w:sz w:val="16"/>
                <w:szCs w:val="16"/>
              </w:rPr>
            </w:pPr>
            <w:r>
              <w:rPr>
                <w:color w:val="000000"/>
                <w:sz w:val="16"/>
                <w:szCs w:val="16"/>
              </w:rPr>
              <w:t>0</w:t>
            </w:r>
          </w:p>
        </w:tc>
      </w:tr>
      <w:tr w:rsidR="00034B88" w:rsidRPr="00BE543E" w14:paraId="2D2B05DD" w14:textId="62872402" w:rsidTr="002702CB">
        <w:trPr>
          <w:jc w:val="center"/>
        </w:trPr>
        <w:tc>
          <w:tcPr>
            <w:tcW w:w="1616" w:type="dxa"/>
            <w:noWrap/>
            <w:vAlign w:val="bottom"/>
          </w:tcPr>
          <w:p w14:paraId="1FCEADFB" w14:textId="77777777" w:rsidR="00034B88" w:rsidRPr="00BE543E" w:rsidRDefault="00034B88" w:rsidP="00DD3BAE">
            <w:pPr>
              <w:spacing w:before="0" w:after="0" w:line="180" w:lineRule="exact"/>
              <w:jc w:val="center"/>
              <w:rPr>
                <w:sz w:val="16"/>
                <w:szCs w:val="16"/>
              </w:rPr>
            </w:pPr>
          </w:p>
        </w:tc>
        <w:tc>
          <w:tcPr>
            <w:tcW w:w="1543" w:type="dxa"/>
            <w:shd w:val="clear" w:color="auto" w:fill="E7F3F4"/>
            <w:noWrap/>
            <w:vAlign w:val="bottom"/>
          </w:tcPr>
          <w:p w14:paraId="56F5374C" w14:textId="77777777" w:rsidR="00034B88" w:rsidRPr="00BE543E" w:rsidRDefault="00034B88" w:rsidP="00DD3BAE">
            <w:pPr>
              <w:spacing w:before="0" w:after="0" w:line="180" w:lineRule="exact"/>
              <w:jc w:val="center"/>
              <w:rPr>
                <w:sz w:val="16"/>
                <w:szCs w:val="16"/>
              </w:rPr>
            </w:pPr>
          </w:p>
        </w:tc>
        <w:tc>
          <w:tcPr>
            <w:tcW w:w="960" w:type="dxa"/>
            <w:shd w:val="clear" w:color="auto" w:fill="E7F3F4"/>
            <w:noWrap/>
            <w:vAlign w:val="bottom"/>
            <w:hideMark/>
          </w:tcPr>
          <w:p w14:paraId="18573288" w14:textId="77777777" w:rsidR="00034B88" w:rsidRPr="00BE543E" w:rsidRDefault="00034B88" w:rsidP="00DD3BAE">
            <w:pPr>
              <w:spacing w:before="0" w:after="0" w:line="180" w:lineRule="exact"/>
              <w:jc w:val="center"/>
              <w:rPr>
                <w:sz w:val="16"/>
                <w:szCs w:val="16"/>
              </w:rPr>
            </w:pPr>
            <w:r w:rsidRPr="00BE543E">
              <w:rPr>
                <w:sz w:val="16"/>
                <w:szCs w:val="16"/>
              </w:rPr>
              <w:t>WH1</w:t>
            </w:r>
          </w:p>
        </w:tc>
        <w:tc>
          <w:tcPr>
            <w:tcW w:w="1300" w:type="dxa"/>
            <w:shd w:val="clear" w:color="auto" w:fill="E7F3F4"/>
            <w:noWrap/>
            <w:vAlign w:val="center"/>
            <w:hideMark/>
          </w:tcPr>
          <w:p w14:paraId="643A4FAA" w14:textId="77777777" w:rsidR="00034B88" w:rsidRPr="00BE543E" w:rsidRDefault="00034B88" w:rsidP="00DD3BAE">
            <w:pPr>
              <w:spacing w:before="0" w:after="0"/>
              <w:jc w:val="center"/>
              <w:rPr>
                <w:color w:val="000000"/>
                <w:sz w:val="16"/>
                <w:szCs w:val="16"/>
              </w:rPr>
            </w:pPr>
            <w:r w:rsidRPr="00BE543E">
              <w:rPr>
                <w:color w:val="000000"/>
                <w:sz w:val="16"/>
                <w:szCs w:val="16"/>
              </w:rPr>
              <w:t>2.00 ±0.70</w:t>
            </w:r>
          </w:p>
        </w:tc>
        <w:tc>
          <w:tcPr>
            <w:tcW w:w="1407" w:type="dxa"/>
            <w:shd w:val="clear" w:color="auto" w:fill="E7F3F4"/>
            <w:vAlign w:val="center"/>
            <w:hideMark/>
          </w:tcPr>
          <w:p w14:paraId="2C0F18CE" w14:textId="77777777" w:rsidR="00034B88" w:rsidRPr="00BE543E" w:rsidRDefault="00034B88" w:rsidP="00DD3BAE">
            <w:pPr>
              <w:spacing w:before="0" w:after="0"/>
              <w:jc w:val="center"/>
              <w:rPr>
                <w:color w:val="000000"/>
                <w:sz w:val="16"/>
                <w:szCs w:val="16"/>
              </w:rPr>
            </w:pPr>
            <w:r w:rsidRPr="00BE543E">
              <w:rPr>
                <w:color w:val="000000"/>
                <w:sz w:val="16"/>
                <w:szCs w:val="16"/>
              </w:rPr>
              <w:t>8.22</w:t>
            </w:r>
          </w:p>
        </w:tc>
        <w:tc>
          <w:tcPr>
            <w:tcW w:w="811" w:type="dxa"/>
            <w:shd w:val="clear" w:color="auto" w:fill="E7F3F4"/>
            <w:vAlign w:val="center"/>
            <w:hideMark/>
          </w:tcPr>
          <w:p w14:paraId="5A376DD4" w14:textId="77777777" w:rsidR="00034B88" w:rsidRPr="00BE543E" w:rsidRDefault="00034B88" w:rsidP="00DD3BAE">
            <w:pPr>
              <w:spacing w:before="0" w:after="0"/>
              <w:jc w:val="center"/>
              <w:rPr>
                <w:color w:val="000000"/>
                <w:sz w:val="16"/>
                <w:szCs w:val="16"/>
              </w:rPr>
            </w:pPr>
            <w:r w:rsidRPr="00BE543E">
              <w:rPr>
                <w:color w:val="000000"/>
                <w:sz w:val="16"/>
                <w:szCs w:val="16"/>
              </w:rPr>
              <w:t>0.24</w:t>
            </w:r>
          </w:p>
        </w:tc>
        <w:tc>
          <w:tcPr>
            <w:tcW w:w="650" w:type="dxa"/>
            <w:shd w:val="clear" w:color="auto" w:fill="E7F3F4"/>
            <w:noWrap/>
            <w:vAlign w:val="center"/>
            <w:hideMark/>
          </w:tcPr>
          <w:p w14:paraId="1B7D3370"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shd w:val="clear" w:color="auto" w:fill="E7F3F4"/>
          </w:tcPr>
          <w:p w14:paraId="757D517E" w14:textId="77777777" w:rsidR="00034B88" w:rsidRPr="00BE543E" w:rsidRDefault="00034B88" w:rsidP="00DD3BAE">
            <w:pPr>
              <w:spacing w:before="0" w:after="0"/>
              <w:jc w:val="center"/>
              <w:rPr>
                <w:color w:val="000000"/>
                <w:sz w:val="16"/>
                <w:szCs w:val="16"/>
              </w:rPr>
            </w:pPr>
          </w:p>
        </w:tc>
      </w:tr>
      <w:tr w:rsidR="00034B88" w:rsidRPr="00BE543E" w14:paraId="5222FC0F" w14:textId="7A1B867A" w:rsidTr="00034B88">
        <w:trPr>
          <w:jc w:val="center"/>
        </w:trPr>
        <w:tc>
          <w:tcPr>
            <w:tcW w:w="1616" w:type="dxa"/>
            <w:noWrap/>
            <w:vAlign w:val="bottom"/>
          </w:tcPr>
          <w:p w14:paraId="2D36914D" w14:textId="77777777" w:rsidR="00034B88" w:rsidRPr="00BE543E" w:rsidRDefault="00034B88" w:rsidP="00DD3BAE">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2170F949" w14:textId="77777777" w:rsidR="00034B88" w:rsidRPr="00BE543E" w:rsidRDefault="00034B88" w:rsidP="00DD3BAE">
            <w:pPr>
              <w:spacing w:before="0" w:after="0" w:line="180" w:lineRule="exact"/>
              <w:jc w:val="center"/>
              <w:rPr>
                <w:sz w:val="16"/>
                <w:szCs w:val="16"/>
              </w:rPr>
            </w:pPr>
            <w:r w:rsidRPr="00BE543E">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061835D9" w14:textId="77777777" w:rsidR="00034B88" w:rsidRPr="00BE543E" w:rsidRDefault="00034B88" w:rsidP="00DD3BAE">
            <w:pPr>
              <w:spacing w:before="0" w:after="0" w:line="180" w:lineRule="exact"/>
              <w:jc w:val="center"/>
              <w:rPr>
                <w:sz w:val="16"/>
                <w:szCs w:val="16"/>
              </w:rPr>
            </w:pPr>
            <w:r w:rsidRPr="00BE543E">
              <w:rPr>
                <w:sz w:val="16"/>
                <w:szCs w:val="16"/>
              </w:rPr>
              <w:t>GK1</w:t>
            </w:r>
          </w:p>
        </w:tc>
        <w:tc>
          <w:tcPr>
            <w:tcW w:w="1300" w:type="dxa"/>
            <w:tcBorders>
              <w:top w:val="single" w:sz="4" w:space="0" w:color="auto"/>
              <w:left w:val="nil"/>
              <w:bottom w:val="nil"/>
              <w:right w:val="nil"/>
            </w:tcBorders>
            <w:shd w:val="clear" w:color="auto" w:fill="F3F9FA"/>
            <w:noWrap/>
            <w:hideMark/>
          </w:tcPr>
          <w:p w14:paraId="69D66E84" w14:textId="77777777" w:rsidR="00034B88" w:rsidRPr="00BE543E" w:rsidRDefault="00034B88" w:rsidP="00DD3BAE">
            <w:pPr>
              <w:spacing w:before="0" w:after="0" w:line="180" w:lineRule="exact"/>
              <w:jc w:val="center"/>
              <w:rPr>
                <w:sz w:val="16"/>
                <w:szCs w:val="16"/>
              </w:rPr>
            </w:pPr>
            <w:r w:rsidRPr="00BE543E">
              <w:rPr>
                <w:sz w:val="16"/>
                <w:szCs w:val="16"/>
              </w:rPr>
              <w:t>0</w:t>
            </w:r>
          </w:p>
        </w:tc>
        <w:tc>
          <w:tcPr>
            <w:tcW w:w="1407" w:type="dxa"/>
            <w:tcBorders>
              <w:top w:val="single" w:sz="4" w:space="0" w:color="auto"/>
              <w:left w:val="nil"/>
              <w:bottom w:val="nil"/>
              <w:right w:val="nil"/>
            </w:tcBorders>
            <w:shd w:val="clear" w:color="auto" w:fill="F3F9FA"/>
            <w:hideMark/>
          </w:tcPr>
          <w:p w14:paraId="625AAFFE" w14:textId="77777777" w:rsidR="00034B88" w:rsidRPr="00BE543E" w:rsidRDefault="00034B88" w:rsidP="00DD3BAE">
            <w:pPr>
              <w:spacing w:before="0" w:after="0" w:line="180" w:lineRule="exact"/>
              <w:jc w:val="center"/>
              <w:rPr>
                <w:sz w:val="16"/>
                <w:szCs w:val="16"/>
              </w:rPr>
            </w:pPr>
            <w:r w:rsidRPr="00BE543E">
              <w:rPr>
                <w:sz w:val="16"/>
                <w:szCs w:val="16"/>
              </w:rPr>
              <w:t>1.32</w:t>
            </w:r>
          </w:p>
        </w:tc>
        <w:tc>
          <w:tcPr>
            <w:tcW w:w="811" w:type="dxa"/>
            <w:tcBorders>
              <w:top w:val="single" w:sz="4" w:space="0" w:color="auto"/>
              <w:left w:val="nil"/>
              <w:bottom w:val="nil"/>
              <w:right w:val="nil"/>
            </w:tcBorders>
            <w:shd w:val="clear" w:color="auto" w:fill="F3F9FA"/>
            <w:hideMark/>
          </w:tcPr>
          <w:p w14:paraId="4C1E8EA5" w14:textId="77777777" w:rsidR="00034B88" w:rsidRPr="00BE543E" w:rsidRDefault="00034B88" w:rsidP="00DD3BAE">
            <w:pPr>
              <w:spacing w:before="0" w:after="0" w:line="180" w:lineRule="exact"/>
              <w:jc w:val="center"/>
              <w:rPr>
                <w:sz w:val="16"/>
                <w:szCs w:val="16"/>
              </w:rPr>
            </w:pPr>
            <w:r w:rsidRPr="00BE543E">
              <w:rPr>
                <w:sz w:val="16"/>
                <w:szCs w:val="16"/>
              </w:rPr>
              <w:t>0</w:t>
            </w:r>
          </w:p>
        </w:tc>
        <w:tc>
          <w:tcPr>
            <w:tcW w:w="650" w:type="dxa"/>
            <w:tcBorders>
              <w:top w:val="single" w:sz="4" w:space="0" w:color="auto"/>
              <w:left w:val="nil"/>
              <w:bottom w:val="nil"/>
              <w:right w:val="nil"/>
            </w:tcBorders>
            <w:shd w:val="clear" w:color="auto" w:fill="F3F9FA"/>
            <w:noWrap/>
            <w:hideMark/>
          </w:tcPr>
          <w:p w14:paraId="4B5334F2" w14:textId="77777777" w:rsidR="00034B88" w:rsidRPr="00BE543E" w:rsidRDefault="00034B88" w:rsidP="00DD3BAE">
            <w:pPr>
              <w:spacing w:before="0" w:after="0" w:line="180" w:lineRule="exact"/>
              <w:jc w:val="center"/>
              <w:rPr>
                <w:sz w:val="16"/>
                <w:szCs w:val="16"/>
              </w:rPr>
            </w:pPr>
            <w:r w:rsidRPr="00BE543E">
              <w:rPr>
                <w:sz w:val="16"/>
                <w:szCs w:val="16"/>
              </w:rPr>
              <w:t>0</w:t>
            </w:r>
          </w:p>
        </w:tc>
        <w:tc>
          <w:tcPr>
            <w:tcW w:w="947" w:type="dxa"/>
            <w:vMerge w:val="restart"/>
            <w:tcBorders>
              <w:top w:val="single" w:sz="4" w:space="0" w:color="auto"/>
              <w:left w:val="nil"/>
              <w:right w:val="nil"/>
            </w:tcBorders>
            <w:shd w:val="clear" w:color="auto" w:fill="F3F9FA"/>
            <w:vAlign w:val="center"/>
          </w:tcPr>
          <w:p w14:paraId="0D02E4FE" w14:textId="26D0BEF5" w:rsidR="00034B88" w:rsidRPr="00BE543E" w:rsidRDefault="00034B88" w:rsidP="00DD3BAE">
            <w:pPr>
              <w:spacing w:before="0" w:after="0" w:line="180" w:lineRule="exact"/>
              <w:jc w:val="center"/>
              <w:rPr>
                <w:sz w:val="16"/>
                <w:szCs w:val="16"/>
              </w:rPr>
            </w:pPr>
            <w:r>
              <w:rPr>
                <w:sz w:val="16"/>
                <w:szCs w:val="16"/>
              </w:rPr>
              <w:t>0</w:t>
            </w:r>
          </w:p>
        </w:tc>
      </w:tr>
      <w:tr w:rsidR="00034B88" w:rsidRPr="00BE543E" w14:paraId="41D9164F" w14:textId="4317A2B0" w:rsidTr="002702CB">
        <w:trPr>
          <w:jc w:val="center"/>
        </w:trPr>
        <w:tc>
          <w:tcPr>
            <w:tcW w:w="1616" w:type="dxa"/>
            <w:noWrap/>
            <w:vAlign w:val="bottom"/>
          </w:tcPr>
          <w:p w14:paraId="232CA49E" w14:textId="77777777" w:rsidR="00034B88" w:rsidRPr="00BE543E" w:rsidRDefault="00034B88" w:rsidP="00DD3BAE">
            <w:pPr>
              <w:spacing w:before="0" w:after="0" w:line="180" w:lineRule="exact"/>
              <w:jc w:val="center"/>
              <w:rPr>
                <w:sz w:val="16"/>
                <w:szCs w:val="16"/>
              </w:rPr>
            </w:pPr>
          </w:p>
        </w:tc>
        <w:tc>
          <w:tcPr>
            <w:tcW w:w="1543" w:type="dxa"/>
            <w:shd w:val="clear" w:color="auto" w:fill="F3F9FA"/>
            <w:noWrap/>
            <w:vAlign w:val="bottom"/>
          </w:tcPr>
          <w:p w14:paraId="02B3FAB9" w14:textId="77777777" w:rsidR="00034B88" w:rsidRPr="00BE543E" w:rsidRDefault="00034B88" w:rsidP="00DD3BAE">
            <w:pPr>
              <w:spacing w:before="0" w:after="0" w:line="180" w:lineRule="exact"/>
              <w:jc w:val="center"/>
              <w:rPr>
                <w:sz w:val="16"/>
                <w:szCs w:val="16"/>
              </w:rPr>
            </w:pPr>
          </w:p>
        </w:tc>
        <w:tc>
          <w:tcPr>
            <w:tcW w:w="960" w:type="dxa"/>
            <w:shd w:val="clear" w:color="auto" w:fill="F3F9FA"/>
            <w:noWrap/>
            <w:vAlign w:val="bottom"/>
            <w:hideMark/>
          </w:tcPr>
          <w:p w14:paraId="4DA63CF5" w14:textId="77777777" w:rsidR="00034B88" w:rsidRPr="00BE543E" w:rsidRDefault="00034B88" w:rsidP="00DD3BAE">
            <w:pPr>
              <w:spacing w:before="0" w:after="0" w:line="180" w:lineRule="exact"/>
              <w:jc w:val="center"/>
              <w:rPr>
                <w:sz w:val="16"/>
                <w:szCs w:val="16"/>
              </w:rPr>
            </w:pPr>
            <w:r w:rsidRPr="00BE543E">
              <w:rPr>
                <w:sz w:val="16"/>
                <w:szCs w:val="16"/>
              </w:rPr>
              <w:t>GK2</w:t>
            </w:r>
          </w:p>
        </w:tc>
        <w:tc>
          <w:tcPr>
            <w:tcW w:w="1300" w:type="dxa"/>
            <w:shd w:val="clear" w:color="auto" w:fill="F3F9FA"/>
            <w:noWrap/>
            <w:hideMark/>
          </w:tcPr>
          <w:p w14:paraId="7D7D7438" w14:textId="77777777" w:rsidR="00034B88" w:rsidRPr="00BE543E" w:rsidRDefault="00034B88" w:rsidP="00DD3BAE">
            <w:pPr>
              <w:spacing w:before="0" w:after="0" w:line="180" w:lineRule="exact"/>
              <w:jc w:val="center"/>
              <w:rPr>
                <w:sz w:val="16"/>
                <w:szCs w:val="16"/>
              </w:rPr>
            </w:pPr>
            <w:r w:rsidRPr="00BE543E">
              <w:rPr>
                <w:sz w:val="16"/>
                <w:szCs w:val="16"/>
              </w:rPr>
              <w:t>0</w:t>
            </w:r>
          </w:p>
        </w:tc>
        <w:tc>
          <w:tcPr>
            <w:tcW w:w="1407" w:type="dxa"/>
            <w:shd w:val="clear" w:color="auto" w:fill="F3F9FA"/>
            <w:hideMark/>
          </w:tcPr>
          <w:p w14:paraId="50E08ACB" w14:textId="77777777" w:rsidR="00034B88" w:rsidRPr="00BE543E" w:rsidRDefault="00034B88" w:rsidP="00DD3BAE">
            <w:pPr>
              <w:spacing w:before="0" w:after="0" w:line="180" w:lineRule="exact"/>
              <w:jc w:val="center"/>
              <w:rPr>
                <w:sz w:val="16"/>
                <w:szCs w:val="16"/>
              </w:rPr>
            </w:pPr>
            <w:r w:rsidRPr="00BE543E">
              <w:rPr>
                <w:sz w:val="16"/>
                <w:szCs w:val="16"/>
              </w:rPr>
              <w:t>1.32</w:t>
            </w:r>
          </w:p>
        </w:tc>
        <w:tc>
          <w:tcPr>
            <w:tcW w:w="811" w:type="dxa"/>
            <w:shd w:val="clear" w:color="auto" w:fill="F3F9FA"/>
            <w:hideMark/>
          </w:tcPr>
          <w:p w14:paraId="513970BA" w14:textId="77777777" w:rsidR="00034B88" w:rsidRPr="00BE543E" w:rsidRDefault="00034B88" w:rsidP="00DD3BAE">
            <w:pPr>
              <w:spacing w:before="0" w:after="0" w:line="180" w:lineRule="exact"/>
              <w:jc w:val="center"/>
              <w:rPr>
                <w:sz w:val="16"/>
                <w:szCs w:val="16"/>
              </w:rPr>
            </w:pPr>
            <w:r w:rsidRPr="00BE543E">
              <w:rPr>
                <w:sz w:val="16"/>
                <w:szCs w:val="16"/>
              </w:rPr>
              <w:t>0</w:t>
            </w:r>
          </w:p>
        </w:tc>
        <w:tc>
          <w:tcPr>
            <w:tcW w:w="650" w:type="dxa"/>
            <w:shd w:val="clear" w:color="auto" w:fill="F3F9FA"/>
            <w:noWrap/>
            <w:hideMark/>
          </w:tcPr>
          <w:p w14:paraId="23A66763" w14:textId="77777777" w:rsidR="00034B88" w:rsidRPr="00BE543E" w:rsidRDefault="00034B88" w:rsidP="00DD3BAE">
            <w:pPr>
              <w:spacing w:before="0" w:after="0" w:line="180" w:lineRule="exact"/>
              <w:jc w:val="center"/>
              <w:rPr>
                <w:sz w:val="16"/>
                <w:szCs w:val="16"/>
              </w:rPr>
            </w:pPr>
            <w:r w:rsidRPr="00BE543E">
              <w:rPr>
                <w:sz w:val="16"/>
                <w:szCs w:val="16"/>
              </w:rPr>
              <w:t>0</w:t>
            </w:r>
          </w:p>
        </w:tc>
        <w:tc>
          <w:tcPr>
            <w:tcW w:w="947" w:type="dxa"/>
            <w:vMerge/>
            <w:shd w:val="clear" w:color="auto" w:fill="F3F9FA"/>
          </w:tcPr>
          <w:p w14:paraId="7CC91F89" w14:textId="77777777" w:rsidR="00034B88" w:rsidRPr="00BE543E" w:rsidRDefault="00034B88" w:rsidP="00DD3BAE">
            <w:pPr>
              <w:spacing w:before="0" w:after="0" w:line="180" w:lineRule="exact"/>
              <w:jc w:val="center"/>
              <w:rPr>
                <w:sz w:val="16"/>
                <w:szCs w:val="16"/>
              </w:rPr>
            </w:pPr>
          </w:p>
        </w:tc>
      </w:tr>
      <w:tr w:rsidR="002702CB" w:rsidRPr="00406ECA" w14:paraId="5E7FC5BE" w14:textId="04632632" w:rsidTr="002702CB">
        <w:trPr>
          <w:jc w:val="center"/>
        </w:trPr>
        <w:tc>
          <w:tcPr>
            <w:tcW w:w="1616" w:type="dxa"/>
            <w:tcBorders>
              <w:top w:val="nil"/>
              <w:left w:val="nil"/>
              <w:bottom w:val="single" w:sz="4" w:space="0" w:color="auto"/>
              <w:right w:val="nil"/>
            </w:tcBorders>
            <w:noWrap/>
            <w:vAlign w:val="bottom"/>
          </w:tcPr>
          <w:p w14:paraId="74E0CEBC" w14:textId="77777777" w:rsidR="002702CB" w:rsidRPr="00406ECA" w:rsidRDefault="002702CB" w:rsidP="00DD3BAE">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6F67F6F5" w14:textId="77777777" w:rsidR="002702CB" w:rsidRPr="00BD2748" w:rsidRDefault="002702CB" w:rsidP="00DD3BAE">
            <w:pPr>
              <w:spacing w:before="0" w:after="0" w:line="180" w:lineRule="exact"/>
              <w:jc w:val="center"/>
              <w:rPr>
                <w:sz w:val="16"/>
                <w:szCs w:val="16"/>
              </w:rPr>
            </w:pPr>
            <w:r w:rsidRPr="00BD2748">
              <w:rPr>
                <w:sz w:val="16"/>
                <w:szCs w:val="16"/>
              </w:rPr>
              <w:t>region</w:t>
            </w:r>
          </w:p>
        </w:tc>
        <w:tc>
          <w:tcPr>
            <w:tcW w:w="960" w:type="dxa"/>
            <w:tcBorders>
              <w:top w:val="single" w:sz="4" w:space="0" w:color="auto"/>
              <w:left w:val="nil"/>
              <w:bottom w:val="single" w:sz="4" w:space="0" w:color="auto"/>
              <w:right w:val="nil"/>
            </w:tcBorders>
            <w:noWrap/>
            <w:vAlign w:val="bottom"/>
          </w:tcPr>
          <w:p w14:paraId="027A0E2B" w14:textId="77777777" w:rsidR="002702CB" w:rsidRPr="00BD2748" w:rsidRDefault="002702CB" w:rsidP="00DD3BAE">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1F7E3029" w14:textId="77777777" w:rsidR="002702CB" w:rsidRPr="00BD2748" w:rsidRDefault="002702CB" w:rsidP="00DD3BAE">
            <w:pPr>
              <w:spacing w:before="0" w:after="0" w:line="180" w:lineRule="exact"/>
              <w:jc w:val="center"/>
              <w:rPr>
                <w:sz w:val="16"/>
                <w:szCs w:val="16"/>
              </w:rPr>
            </w:pPr>
          </w:p>
        </w:tc>
        <w:tc>
          <w:tcPr>
            <w:tcW w:w="1407" w:type="dxa"/>
            <w:tcBorders>
              <w:top w:val="single" w:sz="4" w:space="0" w:color="auto"/>
              <w:left w:val="nil"/>
              <w:bottom w:val="single" w:sz="4" w:space="0" w:color="auto"/>
              <w:right w:val="nil"/>
            </w:tcBorders>
            <w:vAlign w:val="bottom"/>
          </w:tcPr>
          <w:p w14:paraId="470A52A3" w14:textId="77777777" w:rsidR="002702CB" w:rsidRPr="00BD2748" w:rsidRDefault="002702CB" w:rsidP="00DD3BAE">
            <w:pPr>
              <w:spacing w:before="0" w:after="0" w:line="180" w:lineRule="exact"/>
              <w:jc w:val="center"/>
              <w:rPr>
                <w:sz w:val="16"/>
                <w:szCs w:val="16"/>
              </w:rPr>
            </w:pPr>
          </w:p>
        </w:tc>
        <w:tc>
          <w:tcPr>
            <w:tcW w:w="811" w:type="dxa"/>
            <w:tcBorders>
              <w:top w:val="single" w:sz="4" w:space="0" w:color="auto"/>
              <w:left w:val="nil"/>
              <w:bottom w:val="single" w:sz="4" w:space="0" w:color="auto"/>
              <w:right w:val="nil"/>
            </w:tcBorders>
            <w:vAlign w:val="bottom"/>
          </w:tcPr>
          <w:p w14:paraId="72111B77" w14:textId="77777777" w:rsidR="002702CB" w:rsidRPr="00BD2748" w:rsidRDefault="002702CB" w:rsidP="00DD3BAE">
            <w:pPr>
              <w:spacing w:before="0" w:after="0" w:line="180" w:lineRule="exact"/>
              <w:jc w:val="center"/>
              <w:rPr>
                <w:sz w:val="16"/>
                <w:szCs w:val="16"/>
              </w:rPr>
            </w:pPr>
          </w:p>
        </w:tc>
        <w:tc>
          <w:tcPr>
            <w:tcW w:w="650" w:type="dxa"/>
            <w:tcBorders>
              <w:top w:val="single" w:sz="4" w:space="0" w:color="auto"/>
              <w:left w:val="nil"/>
              <w:bottom w:val="single" w:sz="4" w:space="0" w:color="auto"/>
              <w:right w:val="nil"/>
            </w:tcBorders>
            <w:noWrap/>
            <w:vAlign w:val="bottom"/>
            <w:hideMark/>
          </w:tcPr>
          <w:p w14:paraId="1557A5C9" w14:textId="77777777" w:rsidR="002702CB" w:rsidRPr="00BD2748" w:rsidRDefault="002702CB" w:rsidP="00DD3BAE">
            <w:pPr>
              <w:spacing w:before="0" w:after="0" w:line="180" w:lineRule="exact"/>
              <w:jc w:val="center"/>
              <w:rPr>
                <w:b/>
                <w:sz w:val="16"/>
                <w:szCs w:val="16"/>
              </w:rPr>
            </w:pPr>
            <w:r w:rsidRPr="00BD2748">
              <w:rPr>
                <w:b/>
                <w:sz w:val="16"/>
                <w:szCs w:val="16"/>
              </w:rPr>
              <w:t>0</w:t>
            </w:r>
          </w:p>
        </w:tc>
        <w:tc>
          <w:tcPr>
            <w:tcW w:w="947" w:type="dxa"/>
            <w:tcBorders>
              <w:top w:val="single" w:sz="4" w:space="0" w:color="auto"/>
              <w:left w:val="nil"/>
              <w:bottom w:val="single" w:sz="4" w:space="0" w:color="auto"/>
              <w:right w:val="nil"/>
            </w:tcBorders>
          </w:tcPr>
          <w:p w14:paraId="6ABD03FC" w14:textId="77777777" w:rsidR="002702CB" w:rsidRPr="00BD2748" w:rsidRDefault="002702CB" w:rsidP="00DD3BAE">
            <w:pPr>
              <w:spacing w:before="0" w:after="0" w:line="180" w:lineRule="exact"/>
              <w:jc w:val="center"/>
              <w:rPr>
                <w:b/>
                <w:sz w:val="16"/>
                <w:szCs w:val="16"/>
              </w:rPr>
            </w:pPr>
          </w:p>
        </w:tc>
      </w:tr>
      <w:tr w:rsidR="00034B88" w:rsidRPr="00406ECA" w14:paraId="5FAE1D6E" w14:textId="704EC0BF" w:rsidTr="00034B88">
        <w:trPr>
          <w:jc w:val="center"/>
        </w:trPr>
        <w:tc>
          <w:tcPr>
            <w:tcW w:w="1616" w:type="dxa"/>
            <w:tcBorders>
              <w:top w:val="single" w:sz="4" w:space="0" w:color="auto"/>
              <w:left w:val="nil"/>
              <w:bottom w:val="nil"/>
              <w:right w:val="nil"/>
            </w:tcBorders>
            <w:noWrap/>
            <w:vAlign w:val="bottom"/>
            <w:hideMark/>
          </w:tcPr>
          <w:p w14:paraId="66D1ECED" w14:textId="77777777" w:rsidR="00034B88" w:rsidRPr="00406ECA" w:rsidRDefault="00034B88" w:rsidP="00DD3BAE">
            <w:pPr>
              <w:spacing w:before="0" w:after="0" w:line="180" w:lineRule="exact"/>
              <w:jc w:val="center"/>
              <w:rPr>
                <w:sz w:val="16"/>
                <w:szCs w:val="16"/>
              </w:rPr>
            </w:pPr>
            <w:r w:rsidRPr="00406ECA">
              <w:rPr>
                <w:sz w:val="16"/>
                <w:szCs w:val="16"/>
              </w:rPr>
              <w:t>Burnett Mary</w:t>
            </w:r>
          </w:p>
        </w:tc>
        <w:tc>
          <w:tcPr>
            <w:tcW w:w="1543" w:type="dxa"/>
            <w:tcBorders>
              <w:top w:val="single" w:sz="4" w:space="0" w:color="auto"/>
              <w:left w:val="nil"/>
              <w:bottom w:val="nil"/>
              <w:right w:val="nil"/>
            </w:tcBorders>
            <w:shd w:val="clear" w:color="auto" w:fill="F3F9FA"/>
            <w:noWrap/>
            <w:vAlign w:val="bottom"/>
            <w:hideMark/>
          </w:tcPr>
          <w:p w14:paraId="1E7B3750" w14:textId="77777777" w:rsidR="00034B88" w:rsidRPr="00406ECA" w:rsidRDefault="00034B88" w:rsidP="00DD3BAE">
            <w:pPr>
              <w:spacing w:before="0" w:after="0" w:line="180" w:lineRule="exact"/>
              <w:jc w:val="center"/>
              <w:rPr>
                <w:sz w:val="16"/>
                <w:szCs w:val="16"/>
              </w:rPr>
            </w:pPr>
            <w:r w:rsidRPr="00406ECA">
              <w:rPr>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14:paraId="7805AB29" w14:textId="77777777" w:rsidR="00034B88" w:rsidRPr="00406ECA" w:rsidRDefault="00034B88" w:rsidP="00DD3BAE">
            <w:pPr>
              <w:spacing w:before="0" w:after="0" w:line="180" w:lineRule="exact"/>
              <w:jc w:val="center"/>
              <w:rPr>
                <w:sz w:val="16"/>
                <w:szCs w:val="16"/>
              </w:rPr>
            </w:pPr>
            <w:r w:rsidRPr="00406ECA">
              <w:rPr>
                <w:sz w:val="16"/>
                <w:szCs w:val="16"/>
              </w:rPr>
              <w:t>RD1</w:t>
            </w:r>
          </w:p>
        </w:tc>
        <w:tc>
          <w:tcPr>
            <w:tcW w:w="1300" w:type="dxa"/>
            <w:tcBorders>
              <w:top w:val="single" w:sz="4" w:space="0" w:color="auto"/>
              <w:left w:val="nil"/>
              <w:bottom w:val="nil"/>
              <w:right w:val="nil"/>
            </w:tcBorders>
            <w:shd w:val="clear" w:color="auto" w:fill="F3F9FA"/>
            <w:noWrap/>
            <w:vAlign w:val="center"/>
            <w:hideMark/>
          </w:tcPr>
          <w:p w14:paraId="0C843F74"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1407" w:type="dxa"/>
            <w:tcBorders>
              <w:top w:val="single" w:sz="4" w:space="0" w:color="auto"/>
              <w:left w:val="nil"/>
              <w:bottom w:val="nil"/>
              <w:right w:val="nil"/>
            </w:tcBorders>
            <w:shd w:val="clear" w:color="auto" w:fill="F3F9FA"/>
            <w:vAlign w:val="center"/>
            <w:hideMark/>
          </w:tcPr>
          <w:p w14:paraId="48830CD9" w14:textId="77777777" w:rsidR="00034B88" w:rsidRPr="002231C6" w:rsidRDefault="00034B88" w:rsidP="00DD3BAE">
            <w:pPr>
              <w:spacing w:before="0" w:after="0"/>
              <w:jc w:val="center"/>
              <w:rPr>
                <w:color w:val="000000"/>
                <w:sz w:val="16"/>
                <w:szCs w:val="16"/>
              </w:rPr>
            </w:pPr>
            <w:r w:rsidRPr="002231C6">
              <w:rPr>
                <w:color w:val="000000"/>
                <w:sz w:val="16"/>
                <w:szCs w:val="16"/>
              </w:rPr>
              <w:t>5.07</w:t>
            </w:r>
          </w:p>
        </w:tc>
        <w:tc>
          <w:tcPr>
            <w:tcW w:w="811" w:type="dxa"/>
            <w:tcBorders>
              <w:top w:val="single" w:sz="4" w:space="0" w:color="auto"/>
              <w:left w:val="nil"/>
              <w:bottom w:val="nil"/>
              <w:right w:val="nil"/>
            </w:tcBorders>
            <w:shd w:val="clear" w:color="auto" w:fill="F3F9FA"/>
            <w:vAlign w:val="center"/>
            <w:hideMark/>
          </w:tcPr>
          <w:p w14:paraId="6690B426"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650" w:type="dxa"/>
            <w:tcBorders>
              <w:top w:val="single" w:sz="4" w:space="0" w:color="auto"/>
              <w:left w:val="nil"/>
              <w:bottom w:val="nil"/>
              <w:right w:val="nil"/>
            </w:tcBorders>
            <w:shd w:val="clear" w:color="auto" w:fill="F3F9FA"/>
            <w:noWrap/>
            <w:vAlign w:val="center"/>
            <w:hideMark/>
          </w:tcPr>
          <w:p w14:paraId="585C1568"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947" w:type="dxa"/>
            <w:vMerge w:val="restart"/>
            <w:tcBorders>
              <w:top w:val="single" w:sz="4" w:space="0" w:color="auto"/>
              <w:left w:val="nil"/>
              <w:right w:val="nil"/>
            </w:tcBorders>
            <w:shd w:val="clear" w:color="auto" w:fill="F3F9FA"/>
            <w:vAlign w:val="center"/>
          </w:tcPr>
          <w:p w14:paraId="1845564D" w14:textId="093C5E60" w:rsidR="00034B88" w:rsidRPr="002231C6" w:rsidRDefault="00034B88" w:rsidP="00DD3BAE">
            <w:pPr>
              <w:spacing w:before="0" w:after="0"/>
              <w:jc w:val="center"/>
              <w:rPr>
                <w:color w:val="000000"/>
                <w:sz w:val="16"/>
                <w:szCs w:val="16"/>
              </w:rPr>
            </w:pPr>
            <w:r>
              <w:rPr>
                <w:color w:val="000000"/>
                <w:sz w:val="16"/>
                <w:szCs w:val="16"/>
              </w:rPr>
              <w:t>0</w:t>
            </w:r>
          </w:p>
        </w:tc>
      </w:tr>
      <w:tr w:rsidR="00034B88" w:rsidRPr="00406ECA" w14:paraId="352449BE" w14:textId="370C85A4" w:rsidTr="002702CB">
        <w:trPr>
          <w:jc w:val="center"/>
        </w:trPr>
        <w:tc>
          <w:tcPr>
            <w:tcW w:w="1616" w:type="dxa"/>
            <w:noWrap/>
            <w:vAlign w:val="bottom"/>
          </w:tcPr>
          <w:p w14:paraId="35ABFF52" w14:textId="77777777" w:rsidR="00034B88" w:rsidRPr="00406ECA" w:rsidRDefault="00034B88" w:rsidP="00DD3BAE">
            <w:pPr>
              <w:spacing w:before="0" w:after="0" w:line="180" w:lineRule="exact"/>
              <w:jc w:val="center"/>
              <w:rPr>
                <w:sz w:val="16"/>
                <w:szCs w:val="16"/>
              </w:rPr>
            </w:pPr>
          </w:p>
        </w:tc>
        <w:tc>
          <w:tcPr>
            <w:tcW w:w="1543" w:type="dxa"/>
            <w:shd w:val="clear" w:color="auto" w:fill="F3F9FA"/>
            <w:noWrap/>
            <w:vAlign w:val="bottom"/>
          </w:tcPr>
          <w:p w14:paraId="226EB805" w14:textId="77777777" w:rsidR="00034B88" w:rsidRPr="00406ECA" w:rsidRDefault="00034B88" w:rsidP="00DD3BAE">
            <w:pPr>
              <w:spacing w:before="0" w:after="0" w:line="180" w:lineRule="exact"/>
              <w:jc w:val="center"/>
              <w:rPr>
                <w:sz w:val="16"/>
                <w:szCs w:val="16"/>
              </w:rPr>
            </w:pPr>
          </w:p>
        </w:tc>
        <w:tc>
          <w:tcPr>
            <w:tcW w:w="960" w:type="dxa"/>
            <w:shd w:val="clear" w:color="auto" w:fill="F3F9FA"/>
            <w:noWrap/>
            <w:vAlign w:val="bottom"/>
            <w:hideMark/>
          </w:tcPr>
          <w:p w14:paraId="0C965962" w14:textId="77777777" w:rsidR="00034B88" w:rsidRPr="00406ECA" w:rsidRDefault="00034B88" w:rsidP="00DD3BAE">
            <w:pPr>
              <w:spacing w:before="0" w:after="0" w:line="180" w:lineRule="exact"/>
              <w:jc w:val="center"/>
              <w:rPr>
                <w:sz w:val="16"/>
                <w:szCs w:val="16"/>
              </w:rPr>
            </w:pPr>
            <w:r w:rsidRPr="00406ECA">
              <w:rPr>
                <w:sz w:val="16"/>
                <w:szCs w:val="16"/>
              </w:rPr>
              <w:t>RD2</w:t>
            </w:r>
          </w:p>
        </w:tc>
        <w:tc>
          <w:tcPr>
            <w:tcW w:w="1300" w:type="dxa"/>
            <w:shd w:val="clear" w:color="auto" w:fill="F3F9FA"/>
            <w:noWrap/>
            <w:vAlign w:val="center"/>
            <w:hideMark/>
          </w:tcPr>
          <w:p w14:paraId="7EEFB59A"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1407" w:type="dxa"/>
            <w:shd w:val="clear" w:color="auto" w:fill="F3F9FA"/>
            <w:vAlign w:val="center"/>
            <w:hideMark/>
          </w:tcPr>
          <w:p w14:paraId="4D16CD34" w14:textId="77777777" w:rsidR="00034B88" w:rsidRPr="002231C6" w:rsidRDefault="00034B88" w:rsidP="00DD3BAE">
            <w:pPr>
              <w:spacing w:before="0" w:after="0"/>
              <w:jc w:val="center"/>
              <w:rPr>
                <w:color w:val="000000"/>
                <w:sz w:val="16"/>
                <w:szCs w:val="16"/>
              </w:rPr>
            </w:pPr>
            <w:r w:rsidRPr="002231C6">
              <w:rPr>
                <w:color w:val="000000"/>
                <w:sz w:val="16"/>
                <w:szCs w:val="16"/>
              </w:rPr>
              <w:t>5.07</w:t>
            </w:r>
          </w:p>
        </w:tc>
        <w:tc>
          <w:tcPr>
            <w:tcW w:w="811" w:type="dxa"/>
            <w:shd w:val="clear" w:color="auto" w:fill="F3F9FA"/>
            <w:vAlign w:val="center"/>
            <w:hideMark/>
          </w:tcPr>
          <w:p w14:paraId="7ECB3242"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650" w:type="dxa"/>
            <w:shd w:val="clear" w:color="auto" w:fill="F3F9FA"/>
            <w:noWrap/>
            <w:vAlign w:val="center"/>
            <w:hideMark/>
          </w:tcPr>
          <w:p w14:paraId="5453FD2B"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947" w:type="dxa"/>
            <w:vMerge/>
            <w:shd w:val="clear" w:color="auto" w:fill="F3F9FA"/>
          </w:tcPr>
          <w:p w14:paraId="766FAADC" w14:textId="77777777" w:rsidR="00034B88" w:rsidRPr="002231C6" w:rsidRDefault="00034B88" w:rsidP="00DD3BAE">
            <w:pPr>
              <w:spacing w:before="0" w:after="0"/>
              <w:jc w:val="center"/>
              <w:rPr>
                <w:color w:val="000000"/>
                <w:sz w:val="16"/>
                <w:szCs w:val="16"/>
              </w:rPr>
            </w:pPr>
          </w:p>
        </w:tc>
      </w:tr>
      <w:tr w:rsidR="00034B88" w:rsidRPr="00406ECA" w14:paraId="74284137" w14:textId="34FAA24C" w:rsidTr="002702CB">
        <w:trPr>
          <w:trHeight w:val="54"/>
          <w:jc w:val="center"/>
        </w:trPr>
        <w:tc>
          <w:tcPr>
            <w:tcW w:w="1616" w:type="dxa"/>
            <w:noWrap/>
            <w:vAlign w:val="bottom"/>
          </w:tcPr>
          <w:p w14:paraId="4C2DBFCF" w14:textId="77777777" w:rsidR="00034B88" w:rsidRPr="00406ECA" w:rsidRDefault="00034B88" w:rsidP="00DD3BAE">
            <w:pPr>
              <w:spacing w:before="0" w:after="0" w:line="180" w:lineRule="exact"/>
              <w:jc w:val="center"/>
              <w:rPr>
                <w:sz w:val="16"/>
                <w:szCs w:val="16"/>
              </w:rPr>
            </w:pPr>
          </w:p>
        </w:tc>
        <w:tc>
          <w:tcPr>
            <w:tcW w:w="1543" w:type="dxa"/>
            <w:shd w:val="clear" w:color="auto" w:fill="F3F9FA"/>
            <w:noWrap/>
            <w:vAlign w:val="bottom"/>
          </w:tcPr>
          <w:p w14:paraId="12245479" w14:textId="77777777" w:rsidR="00034B88" w:rsidRPr="00406ECA" w:rsidRDefault="00034B88" w:rsidP="00DD3BAE">
            <w:pPr>
              <w:spacing w:before="0" w:after="0" w:line="180" w:lineRule="exact"/>
              <w:jc w:val="center"/>
              <w:rPr>
                <w:sz w:val="16"/>
                <w:szCs w:val="16"/>
              </w:rPr>
            </w:pPr>
          </w:p>
        </w:tc>
        <w:tc>
          <w:tcPr>
            <w:tcW w:w="960" w:type="dxa"/>
            <w:shd w:val="clear" w:color="auto" w:fill="F3F9FA"/>
            <w:noWrap/>
            <w:vAlign w:val="bottom"/>
            <w:hideMark/>
          </w:tcPr>
          <w:p w14:paraId="16C96B7E" w14:textId="77777777" w:rsidR="00034B88" w:rsidRPr="00406ECA" w:rsidRDefault="00034B88" w:rsidP="00DD3BAE">
            <w:pPr>
              <w:spacing w:before="0" w:after="0" w:line="180" w:lineRule="exact"/>
              <w:jc w:val="center"/>
              <w:rPr>
                <w:sz w:val="16"/>
                <w:szCs w:val="16"/>
              </w:rPr>
            </w:pPr>
            <w:r w:rsidRPr="00406ECA">
              <w:rPr>
                <w:sz w:val="16"/>
                <w:szCs w:val="16"/>
              </w:rPr>
              <w:t>UG1</w:t>
            </w:r>
          </w:p>
        </w:tc>
        <w:tc>
          <w:tcPr>
            <w:tcW w:w="1300" w:type="dxa"/>
            <w:shd w:val="clear" w:color="auto" w:fill="F3F9FA"/>
            <w:noWrap/>
            <w:vAlign w:val="center"/>
            <w:hideMark/>
          </w:tcPr>
          <w:p w14:paraId="482D89D4"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1407" w:type="dxa"/>
            <w:shd w:val="clear" w:color="auto" w:fill="F3F9FA"/>
            <w:vAlign w:val="center"/>
            <w:hideMark/>
          </w:tcPr>
          <w:p w14:paraId="160D67AE" w14:textId="77777777" w:rsidR="00034B88" w:rsidRPr="002231C6" w:rsidRDefault="00034B88" w:rsidP="00DD3BAE">
            <w:pPr>
              <w:spacing w:before="0" w:after="0"/>
              <w:jc w:val="center"/>
              <w:rPr>
                <w:color w:val="000000"/>
                <w:sz w:val="16"/>
                <w:szCs w:val="16"/>
              </w:rPr>
            </w:pPr>
            <w:r w:rsidRPr="002231C6">
              <w:rPr>
                <w:color w:val="000000"/>
                <w:sz w:val="16"/>
                <w:szCs w:val="16"/>
              </w:rPr>
              <w:t>5.07</w:t>
            </w:r>
          </w:p>
        </w:tc>
        <w:tc>
          <w:tcPr>
            <w:tcW w:w="811" w:type="dxa"/>
            <w:shd w:val="clear" w:color="auto" w:fill="F3F9FA"/>
            <w:vAlign w:val="center"/>
            <w:hideMark/>
          </w:tcPr>
          <w:p w14:paraId="1B4F33A3"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650" w:type="dxa"/>
            <w:shd w:val="clear" w:color="auto" w:fill="F3F9FA"/>
            <w:noWrap/>
            <w:vAlign w:val="center"/>
            <w:hideMark/>
          </w:tcPr>
          <w:p w14:paraId="487CBB3F" w14:textId="77777777" w:rsidR="00034B88" w:rsidRPr="002231C6" w:rsidRDefault="00034B88" w:rsidP="00DD3BAE">
            <w:pPr>
              <w:spacing w:before="0" w:after="0"/>
              <w:jc w:val="center"/>
              <w:rPr>
                <w:color w:val="000000"/>
                <w:sz w:val="16"/>
                <w:szCs w:val="16"/>
              </w:rPr>
            </w:pPr>
            <w:r w:rsidRPr="002231C6">
              <w:rPr>
                <w:color w:val="000000"/>
                <w:sz w:val="16"/>
                <w:szCs w:val="16"/>
              </w:rPr>
              <w:t>0</w:t>
            </w:r>
          </w:p>
        </w:tc>
        <w:tc>
          <w:tcPr>
            <w:tcW w:w="947" w:type="dxa"/>
            <w:vMerge/>
            <w:shd w:val="clear" w:color="auto" w:fill="F3F9FA"/>
          </w:tcPr>
          <w:p w14:paraId="0E311880" w14:textId="77777777" w:rsidR="00034B88" w:rsidRPr="002231C6" w:rsidRDefault="00034B88" w:rsidP="00DD3BAE">
            <w:pPr>
              <w:spacing w:before="0" w:after="0"/>
              <w:jc w:val="center"/>
              <w:rPr>
                <w:color w:val="000000"/>
                <w:sz w:val="16"/>
                <w:szCs w:val="16"/>
              </w:rPr>
            </w:pPr>
          </w:p>
        </w:tc>
      </w:tr>
      <w:tr w:rsidR="00034B88" w:rsidRPr="00BE543E" w14:paraId="72AD74BD" w14:textId="0C85A6A4" w:rsidTr="002702CB">
        <w:trPr>
          <w:jc w:val="center"/>
        </w:trPr>
        <w:tc>
          <w:tcPr>
            <w:tcW w:w="1616" w:type="dxa"/>
            <w:noWrap/>
            <w:vAlign w:val="bottom"/>
          </w:tcPr>
          <w:p w14:paraId="475AD94F" w14:textId="77777777" w:rsidR="00034B88" w:rsidRPr="00406ECA" w:rsidRDefault="00034B88" w:rsidP="00DD3BAE">
            <w:pPr>
              <w:spacing w:before="0" w:after="0" w:line="180" w:lineRule="exact"/>
              <w:jc w:val="center"/>
              <w:rPr>
                <w:sz w:val="16"/>
                <w:szCs w:val="16"/>
              </w:rPr>
            </w:pPr>
          </w:p>
        </w:tc>
        <w:tc>
          <w:tcPr>
            <w:tcW w:w="1543" w:type="dxa"/>
            <w:shd w:val="clear" w:color="auto" w:fill="F3F9FA"/>
            <w:noWrap/>
            <w:vAlign w:val="bottom"/>
          </w:tcPr>
          <w:p w14:paraId="034F8F22" w14:textId="77777777" w:rsidR="00034B88" w:rsidRPr="00406ECA" w:rsidRDefault="00034B88" w:rsidP="00DD3BAE">
            <w:pPr>
              <w:spacing w:before="0" w:after="0" w:line="180" w:lineRule="exact"/>
              <w:jc w:val="center"/>
              <w:rPr>
                <w:sz w:val="16"/>
                <w:szCs w:val="16"/>
              </w:rPr>
            </w:pPr>
          </w:p>
        </w:tc>
        <w:tc>
          <w:tcPr>
            <w:tcW w:w="960" w:type="dxa"/>
            <w:shd w:val="clear" w:color="auto" w:fill="F3F9FA"/>
            <w:noWrap/>
            <w:vAlign w:val="bottom"/>
            <w:hideMark/>
          </w:tcPr>
          <w:p w14:paraId="1E32C041" w14:textId="77777777" w:rsidR="00034B88" w:rsidRPr="00BE543E" w:rsidRDefault="00034B88" w:rsidP="00DD3BAE">
            <w:pPr>
              <w:spacing w:before="0" w:after="0" w:line="180" w:lineRule="exact"/>
              <w:jc w:val="center"/>
              <w:rPr>
                <w:sz w:val="16"/>
                <w:szCs w:val="16"/>
              </w:rPr>
            </w:pPr>
            <w:r w:rsidRPr="00BE543E">
              <w:rPr>
                <w:sz w:val="16"/>
                <w:szCs w:val="16"/>
              </w:rPr>
              <w:t>UG2</w:t>
            </w:r>
          </w:p>
        </w:tc>
        <w:tc>
          <w:tcPr>
            <w:tcW w:w="1300" w:type="dxa"/>
            <w:shd w:val="clear" w:color="auto" w:fill="F3F9FA"/>
            <w:noWrap/>
            <w:vAlign w:val="center"/>
            <w:hideMark/>
          </w:tcPr>
          <w:p w14:paraId="1C063A3C" w14:textId="77777777" w:rsidR="00034B88" w:rsidRPr="00BE543E" w:rsidRDefault="00034B88" w:rsidP="00DD3BAE">
            <w:pPr>
              <w:spacing w:before="0" w:after="0"/>
              <w:jc w:val="center"/>
              <w:rPr>
                <w:color w:val="000000"/>
                <w:sz w:val="16"/>
                <w:szCs w:val="16"/>
              </w:rPr>
            </w:pPr>
            <w:r w:rsidRPr="00BE543E">
              <w:rPr>
                <w:color w:val="000000"/>
                <w:sz w:val="16"/>
                <w:szCs w:val="16"/>
              </w:rPr>
              <w:t>0.13 ±0.13</w:t>
            </w:r>
          </w:p>
        </w:tc>
        <w:tc>
          <w:tcPr>
            <w:tcW w:w="1407" w:type="dxa"/>
            <w:shd w:val="clear" w:color="auto" w:fill="F3F9FA"/>
            <w:vAlign w:val="center"/>
            <w:hideMark/>
          </w:tcPr>
          <w:p w14:paraId="35F4D841" w14:textId="77777777" w:rsidR="00034B88" w:rsidRPr="00BE543E" w:rsidRDefault="00034B88" w:rsidP="00DD3BAE">
            <w:pPr>
              <w:spacing w:before="0" w:after="0"/>
              <w:jc w:val="center"/>
              <w:rPr>
                <w:color w:val="000000"/>
                <w:sz w:val="16"/>
                <w:szCs w:val="16"/>
              </w:rPr>
            </w:pPr>
            <w:r w:rsidRPr="00BE543E">
              <w:rPr>
                <w:color w:val="000000"/>
                <w:sz w:val="16"/>
                <w:szCs w:val="16"/>
              </w:rPr>
              <w:t>5.07</w:t>
            </w:r>
          </w:p>
        </w:tc>
        <w:tc>
          <w:tcPr>
            <w:tcW w:w="811" w:type="dxa"/>
            <w:shd w:val="clear" w:color="auto" w:fill="F3F9FA"/>
            <w:vAlign w:val="center"/>
            <w:hideMark/>
          </w:tcPr>
          <w:p w14:paraId="0D1901E5" w14:textId="77777777" w:rsidR="00034B88" w:rsidRPr="00BE543E" w:rsidRDefault="00034B88" w:rsidP="00DD3BAE">
            <w:pPr>
              <w:spacing w:before="0" w:after="0"/>
              <w:jc w:val="center"/>
              <w:rPr>
                <w:color w:val="000000"/>
                <w:sz w:val="16"/>
                <w:szCs w:val="16"/>
              </w:rPr>
            </w:pPr>
            <w:r w:rsidRPr="00BE543E">
              <w:rPr>
                <w:color w:val="000000"/>
                <w:sz w:val="16"/>
                <w:szCs w:val="16"/>
              </w:rPr>
              <w:t>0.03</w:t>
            </w:r>
          </w:p>
        </w:tc>
        <w:tc>
          <w:tcPr>
            <w:tcW w:w="650" w:type="dxa"/>
            <w:shd w:val="clear" w:color="auto" w:fill="F3F9FA"/>
            <w:noWrap/>
            <w:vAlign w:val="center"/>
            <w:hideMark/>
          </w:tcPr>
          <w:p w14:paraId="136A5E39"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shd w:val="clear" w:color="auto" w:fill="F3F9FA"/>
          </w:tcPr>
          <w:p w14:paraId="7E56A7A2" w14:textId="77777777" w:rsidR="00034B88" w:rsidRPr="00BE543E" w:rsidRDefault="00034B88" w:rsidP="00DD3BAE">
            <w:pPr>
              <w:spacing w:before="0" w:after="0"/>
              <w:jc w:val="center"/>
              <w:rPr>
                <w:color w:val="000000"/>
                <w:sz w:val="16"/>
                <w:szCs w:val="16"/>
              </w:rPr>
            </w:pPr>
          </w:p>
        </w:tc>
      </w:tr>
      <w:tr w:rsidR="00034B88" w:rsidRPr="00BE543E" w14:paraId="263B461F" w14:textId="26CE86E7" w:rsidTr="00034B88">
        <w:trPr>
          <w:jc w:val="center"/>
        </w:trPr>
        <w:tc>
          <w:tcPr>
            <w:tcW w:w="1616" w:type="dxa"/>
            <w:tcBorders>
              <w:left w:val="nil"/>
              <w:right w:val="nil"/>
            </w:tcBorders>
            <w:noWrap/>
            <w:vAlign w:val="bottom"/>
          </w:tcPr>
          <w:p w14:paraId="485859B0" w14:textId="77777777" w:rsidR="00034B88" w:rsidRPr="00BE543E" w:rsidRDefault="00034B88" w:rsidP="00DD3BAE">
            <w:pPr>
              <w:spacing w:before="0" w:after="0" w:line="180" w:lineRule="exact"/>
              <w:jc w:val="center"/>
              <w:rPr>
                <w:sz w:val="16"/>
                <w:szCs w:val="16"/>
              </w:rPr>
            </w:pPr>
          </w:p>
        </w:tc>
        <w:tc>
          <w:tcPr>
            <w:tcW w:w="1543" w:type="dxa"/>
            <w:tcBorders>
              <w:top w:val="single" w:sz="4" w:space="0" w:color="auto"/>
              <w:left w:val="nil"/>
              <w:right w:val="nil"/>
            </w:tcBorders>
            <w:shd w:val="clear" w:color="auto" w:fill="E7F3F4"/>
            <w:noWrap/>
            <w:vAlign w:val="bottom"/>
          </w:tcPr>
          <w:p w14:paraId="00759B25" w14:textId="77777777" w:rsidR="00034B88" w:rsidRPr="00BE543E" w:rsidRDefault="00034B88" w:rsidP="00DD3BAE">
            <w:pPr>
              <w:spacing w:before="0" w:after="0" w:line="180" w:lineRule="exact"/>
              <w:jc w:val="center"/>
              <w:rPr>
                <w:sz w:val="16"/>
                <w:szCs w:val="16"/>
              </w:rPr>
            </w:pPr>
            <w:r w:rsidRPr="00BE543E">
              <w:rPr>
                <w:sz w:val="16"/>
                <w:szCs w:val="16"/>
              </w:rPr>
              <w:t>coastal intertidal</w:t>
            </w:r>
          </w:p>
        </w:tc>
        <w:tc>
          <w:tcPr>
            <w:tcW w:w="960" w:type="dxa"/>
            <w:tcBorders>
              <w:top w:val="single" w:sz="4" w:space="0" w:color="auto"/>
              <w:left w:val="nil"/>
              <w:right w:val="nil"/>
            </w:tcBorders>
            <w:shd w:val="clear" w:color="auto" w:fill="E7F3F4"/>
            <w:noWrap/>
            <w:vAlign w:val="bottom"/>
          </w:tcPr>
          <w:p w14:paraId="3ACD84A0" w14:textId="77777777" w:rsidR="00034B88" w:rsidRPr="00BE543E" w:rsidRDefault="00034B88" w:rsidP="00DD3BAE">
            <w:pPr>
              <w:spacing w:before="0" w:after="0" w:line="180" w:lineRule="exact"/>
              <w:jc w:val="center"/>
              <w:rPr>
                <w:sz w:val="16"/>
                <w:szCs w:val="16"/>
              </w:rPr>
            </w:pPr>
            <w:r w:rsidRPr="00BE543E">
              <w:rPr>
                <w:sz w:val="16"/>
                <w:szCs w:val="16"/>
              </w:rPr>
              <w:t>BH1</w:t>
            </w:r>
          </w:p>
        </w:tc>
        <w:tc>
          <w:tcPr>
            <w:tcW w:w="1300" w:type="dxa"/>
            <w:tcBorders>
              <w:top w:val="single" w:sz="4" w:space="0" w:color="auto"/>
              <w:left w:val="nil"/>
              <w:right w:val="nil"/>
            </w:tcBorders>
            <w:shd w:val="clear" w:color="auto" w:fill="E7F3F4"/>
            <w:noWrap/>
            <w:vAlign w:val="center"/>
          </w:tcPr>
          <w:p w14:paraId="7965D214" w14:textId="77777777" w:rsidR="00034B88" w:rsidRPr="00BE543E" w:rsidRDefault="00034B88" w:rsidP="00DD3BAE">
            <w:pPr>
              <w:spacing w:before="0" w:after="0"/>
              <w:jc w:val="center"/>
              <w:rPr>
                <w:color w:val="000000"/>
                <w:sz w:val="16"/>
                <w:szCs w:val="16"/>
              </w:rPr>
            </w:pPr>
            <w:r w:rsidRPr="00BE543E">
              <w:rPr>
                <w:color w:val="000000"/>
                <w:sz w:val="16"/>
                <w:szCs w:val="16"/>
              </w:rPr>
              <w:t>0.20 ±0.14</w:t>
            </w:r>
          </w:p>
        </w:tc>
        <w:tc>
          <w:tcPr>
            <w:tcW w:w="1407" w:type="dxa"/>
            <w:tcBorders>
              <w:top w:val="single" w:sz="4" w:space="0" w:color="auto"/>
              <w:left w:val="nil"/>
              <w:right w:val="nil"/>
            </w:tcBorders>
            <w:shd w:val="clear" w:color="auto" w:fill="E7F3F4"/>
            <w:vAlign w:val="center"/>
          </w:tcPr>
          <w:p w14:paraId="52393A68" w14:textId="77777777" w:rsidR="00034B88" w:rsidRPr="00BE543E" w:rsidRDefault="00034B88" w:rsidP="00DD3BAE">
            <w:pPr>
              <w:spacing w:before="0" w:after="0"/>
              <w:jc w:val="center"/>
              <w:rPr>
                <w:color w:val="000000"/>
                <w:sz w:val="16"/>
                <w:szCs w:val="16"/>
              </w:rPr>
            </w:pPr>
            <w:r w:rsidRPr="00BE543E">
              <w:rPr>
                <w:color w:val="000000"/>
                <w:sz w:val="16"/>
                <w:szCs w:val="16"/>
              </w:rPr>
              <w:t>8.22</w:t>
            </w:r>
          </w:p>
        </w:tc>
        <w:tc>
          <w:tcPr>
            <w:tcW w:w="811" w:type="dxa"/>
            <w:tcBorders>
              <w:top w:val="single" w:sz="4" w:space="0" w:color="auto"/>
              <w:left w:val="nil"/>
              <w:right w:val="nil"/>
            </w:tcBorders>
            <w:shd w:val="clear" w:color="auto" w:fill="E7F3F4"/>
            <w:vAlign w:val="center"/>
          </w:tcPr>
          <w:p w14:paraId="78828C68" w14:textId="77777777" w:rsidR="00034B88" w:rsidRPr="00BE543E" w:rsidRDefault="00034B88" w:rsidP="00DD3BAE">
            <w:pPr>
              <w:spacing w:before="0" w:after="0"/>
              <w:jc w:val="center"/>
              <w:rPr>
                <w:color w:val="000000"/>
                <w:sz w:val="16"/>
                <w:szCs w:val="16"/>
              </w:rPr>
            </w:pPr>
            <w:r w:rsidRPr="00BE543E">
              <w:rPr>
                <w:color w:val="000000"/>
                <w:sz w:val="16"/>
                <w:szCs w:val="16"/>
              </w:rPr>
              <w:t>0.02</w:t>
            </w:r>
          </w:p>
        </w:tc>
        <w:tc>
          <w:tcPr>
            <w:tcW w:w="650" w:type="dxa"/>
            <w:tcBorders>
              <w:top w:val="single" w:sz="4" w:space="0" w:color="auto"/>
              <w:left w:val="nil"/>
              <w:right w:val="nil"/>
            </w:tcBorders>
            <w:shd w:val="clear" w:color="auto" w:fill="E7F3F4"/>
            <w:noWrap/>
            <w:vAlign w:val="center"/>
          </w:tcPr>
          <w:p w14:paraId="43516FD0"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val="restart"/>
            <w:tcBorders>
              <w:top w:val="single" w:sz="4" w:space="0" w:color="auto"/>
              <w:left w:val="nil"/>
              <w:right w:val="nil"/>
            </w:tcBorders>
            <w:shd w:val="clear" w:color="auto" w:fill="E7F3F4"/>
            <w:vAlign w:val="center"/>
          </w:tcPr>
          <w:p w14:paraId="5C1A186B" w14:textId="4521DC72" w:rsidR="00034B88" w:rsidRPr="00BE543E" w:rsidRDefault="00034B88" w:rsidP="00DD3BAE">
            <w:pPr>
              <w:spacing w:before="0" w:after="0"/>
              <w:jc w:val="center"/>
              <w:rPr>
                <w:color w:val="000000"/>
                <w:sz w:val="16"/>
                <w:szCs w:val="16"/>
              </w:rPr>
            </w:pPr>
            <w:r>
              <w:rPr>
                <w:color w:val="000000"/>
                <w:sz w:val="16"/>
                <w:szCs w:val="16"/>
              </w:rPr>
              <w:t>0</w:t>
            </w:r>
          </w:p>
        </w:tc>
      </w:tr>
      <w:tr w:rsidR="00034B88" w:rsidRPr="00BE543E" w14:paraId="0B848EBD" w14:textId="7027AC2A" w:rsidTr="002702CB">
        <w:trPr>
          <w:jc w:val="center"/>
        </w:trPr>
        <w:tc>
          <w:tcPr>
            <w:tcW w:w="1616" w:type="dxa"/>
            <w:tcBorders>
              <w:left w:val="nil"/>
              <w:right w:val="nil"/>
            </w:tcBorders>
            <w:noWrap/>
            <w:vAlign w:val="bottom"/>
          </w:tcPr>
          <w:p w14:paraId="4AFDD8A5" w14:textId="77777777" w:rsidR="00034B88" w:rsidRPr="00BE543E" w:rsidRDefault="00034B88" w:rsidP="00DD3BAE">
            <w:pPr>
              <w:spacing w:before="0" w:after="0" w:line="180" w:lineRule="exact"/>
              <w:jc w:val="center"/>
              <w:rPr>
                <w:sz w:val="16"/>
                <w:szCs w:val="16"/>
              </w:rPr>
            </w:pPr>
          </w:p>
        </w:tc>
        <w:tc>
          <w:tcPr>
            <w:tcW w:w="1543" w:type="dxa"/>
            <w:tcBorders>
              <w:left w:val="nil"/>
              <w:right w:val="nil"/>
            </w:tcBorders>
            <w:shd w:val="clear" w:color="auto" w:fill="E7F3F4"/>
            <w:noWrap/>
            <w:vAlign w:val="bottom"/>
          </w:tcPr>
          <w:p w14:paraId="076D136D" w14:textId="77777777" w:rsidR="00034B88" w:rsidRPr="00BE543E" w:rsidRDefault="00034B88" w:rsidP="00DD3BAE">
            <w:pPr>
              <w:spacing w:before="0" w:after="0" w:line="180" w:lineRule="exact"/>
              <w:jc w:val="center"/>
              <w:rPr>
                <w:sz w:val="16"/>
                <w:szCs w:val="16"/>
              </w:rPr>
            </w:pPr>
          </w:p>
        </w:tc>
        <w:tc>
          <w:tcPr>
            <w:tcW w:w="960" w:type="dxa"/>
            <w:tcBorders>
              <w:left w:val="nil"/>
              <w:right w:val="nil"/>
            </w:tcBorders>
            <w:shd w:val="clear" w:color="auto" w:fill="E7F3F4"/>
            <w:noWrap/>
            <w:vAlign w:val="bottom"/>
          </w:tcPr>
          <w:p w14:paraId="7E8EFC22" w14:textId="77777777" w:rsidR="00034B88" w:rsidRPr="00BE543E" w:rsidRDefault="00034B88" w:rsidP="00DD3BAE">
            <w:pPr>
              <w:spacing w:before="0" w:after="0" w:line="180" w:lineRule="exact"/>
              <w:jc w:val="center"/>
              <w:rPr>
                <w:sz w:val="16"/>
                <w:szCs w:val="16"/>
              </w:rPr>
            </w:pPr>
            <w:r w:rsidRPr="00BE543E">
              <w:rPr>
                <w:sz w:val="16"/>
                <w:szCs w:val="16"/>
              </w:rPr>
              <w:t>BH3</w:t>
            </w:r>
          </w:p>
        </w:tc>
        <w:tc>
          <w:tcPr>
            <w:tcW w:w="1300" w:type="dxa"/>
            <w:tcBorders>
              <w:left w:val="nil"/>
              <w:right w:val="nil"/>
            </w:tcBorders>
            <w:shd w:val="clear" w:color="auto" w:fill="E7F3F4"/>
            <w:noWrap/>
            <w:vAlign w:val="center"/>
          </w:tcPr>
          <w:p w14:paraId="4E6BA5C1"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1407" w:type="dxa"/>
            <w:tcBorders>
              <w:left w:val="nil"/>
              <w:right w:val="nil"/>
            </w:tcBorders>
            <w:shd w:val="clear" w:color="auto" w:fill="E7F3F4"/>
            <w:vAlign w:val="center"/>
          </w:tcPr>
          <w:p w14:paraId="12C2AB44" w14:textId="77777777" w:rsidR="00034B88" w:rsidRPr="00BE543E" w:rsidRDefault="00034B88" w:rsidP="00DD3BAE">
            <w:pPr>
              <w:spacing w:before="0" w:after="0"/>
              <w:jc w:val="center"/>
              <w:rPr>
                <w:color w:val="000000"/>
                <w:sz w:val="16"/>
                <w:szCs w:val="16"/>
              </w:rPr>
            </w:pPr>
            <w:r w:rsidRPr="00BE543E">
              <w:rPr>
                <w:color w:val="000000"/>
                <w:sz w:val="16"/>
                <w:szCs w:val="16"/>
              </w:rPr>
              <w:t>8.22</w:t>
            </w:r>
          </w:p>
        </w:tc>
        <w:tc>
          <w:tcPr>
            <w:tcW w:w="811" w:type="dxa"/>
            <w:tcBorders>
              <w:left w:val="nil"/>
              <w:right w:val="nil"/>
            </w:tcBorders>
            <w:shd w:val="clear" w:color="auto" w:fill="E7F3F4"/>
            <w:vAlign w:val="center"/>
          </w:tcPr>
          <w:p w14:paraId="5131147D"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650" w:type="dxa"/>
            <w:tcBorders>
              <w:left w:val="nil"/>
              <w:right w:val="nil"/>
            </w:tcBorders>
            <w:shd w:val="clear" w:color="auto" w:fill="E7F3F4"/>
            <w:noWrap/>
            <w:vAlign w:val="center"/>
          </w:tcPr>
          <w:p w14:paraId="62EBCF82" w14:textId="77777777" w:rsidR="00034B88" w:rsidRPr="00BE543E" w:rsidRDefault="00034B88" w:rsidP="00DD3BAE">
            <w:pPr>
              <w:spacing w:before="0" w:after="0"/>
              <w:jc w:val="center"/>
              <w:rPr>
                <w:color w:val="000000"/>
                <w:sz w:val="16"/>
                <w:szCs w:val="16"/>
              </w:rPr>
            </w:pPr>
            <w:r w:rsidRPr="00BE543E">
              <w:rPr>
                <w:color w:val="000000"/>
                <w:sz w:val="16"/>
                <w:szCs w:val="16"/>
              </w:rPr>
              <w:t>0</w:t>
            </w:r>
          </w:p>
        </w:tc>
        <w:tc>
          <w:tcPr>
            <w:tcW w:w="947" w:type="dxa"/>
            <w:vMerge/>
            <w:tcBorders>
              <w:left w:val="nil"/>
              <w:right w:val="nil"/>
            </w:tcBorders>
            <w:shd w:val="clear" w:color="auto" w:fill="E7F3F4"/>
          </w:tcPr>
          <w:p w14:paraId="3D04CBA8" w14:textId="77777777" w:rsidR="00034B88" w:rsidRPr="00BE543E" w:rsidRDefault="00034B88" w:rsidP="00DD3BAE">
            <w:pPr>
              <w:spacing w:before="0" w:after="0"/>
              <w:jc w:val="center"/>
              <w:rPr>
                <w:color w:val="000000"/>
                <w:sz w:val="16"/>
                <w:szCs w:val="16"/>
              </w:rPr>
            </w:pPr>
          </w:p>
        </w:tc>
      </w:tr>
      <w:tr w:rsidR="002702CB" w:rsidRPr="00406ECA" w14:paraId="5E7263F9" w14:textId="5853464D" w:rsidTr="002702CB">
        <w:trPr>
          <w:jc w:val="center"/>
        </w:trPr>
        <w:tc>
          <w:tcPr>
            <w:tcW w:w="1616" w:type="dxa"/>
            <w:tcBorders>
              <w:left w:val="nil"/>
              <w:bottom w:val="single" w:sz="4" w:space="0" w:color="auto"/>
              <w:right w:val="nil"/>
            </w:tcBorders>
            <w:noWrap/>
            <w:vAlign w:val="bottom"/>
          </w:tcPr>
          <w:p w14:paraId="1AAD739A" w14:textId="77777777" w:rsidR="002702CB" w:rsidRPr="00406ECA" w:rsidRDefault="002702CB" w:rsidP="00DD3BAE">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0B388835" w14:textId="77777777" w:rsidR="002702CB" w:rsidRPr="00BE543E" w:rsidRDefault="002702CB" w:rsidP="00DD3BAE">
            <w:pPr>
              <w:spacing w:before="0" w:after="0" w:line="180" w:lineRule="exact"/>
              <w:jc w:val="center"/>
              <w:rPr>
                <w:sz w:val="16"/>
                <w:szCs w:val="16"/>
              </w:rPr>
            </w:pPr>
            <w:r w:rsidRPr="00BE543E">
              <w:rPr>
                <w:sz w:val="16"/>
                <w:szCs w:val="16"/>
              </w:rPr>
              <w:t>region</w:t>
            </w:r>
          </w:p>
        </w:tc>
        <w:tc>
          <w:tcPr>
            <w:tcW w:w="960" w:type="dxa"/>
            <w:tcBorders>
              <w:top w:val="single" w:sz="4" w:space="0" w:color="auto"/>
              <w:left w:val="nil"/>
              <w:bottom w:val="single" w:sz="4" w:space="0" w:color="auto"/>
              <w:right w:val="nil"/>
            </w:tcBorders>
            <w:noWrap/>
            <w:vAlign w:val="bottom"/>
          </w:tcPr>
          <w:p w14:paraId="12CE01A5" w14:textId="77777777" w:rsidR="002702CB" w:rsidRPr="00BE543E" w:rsidRDefault="002702CB" w:rsidP="00DD3BAE">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0421C6C0" w14:textId="77777777" w:rsidR="002702CB" w:rsidRPr="00BE543E" w:rsidRDefault="002702CB" w:rsidP="00DD3BAE">
            <w:pPr>
              <w:spacing w:before="0" w:after="0" w:line="180" w:lineRule="exact"/>
              <w:jc w:val="center"/>
              <w:rPr>
                <w:sz w:val="16"/>
                <w:szCs w:val="16"/>
              </w:rPr>
            </w:pPr>
          </w:p>
        </w:tc>
        <w:tc>
          <w:tcPr>
            <w:tcW w:w="1407" w:type="dxa"/>
            <w:tcBorders>
              <w:top w:val="single" w:sz="4" w:space="0" w:color="auto"/>
              <w:left w:val="nil"/>
              <w:bottom w:val="single" w:sz="4" w:space="0" w:color="auto"/>
              <w:right w:val="nil"/>
            </w:tcBorders>
          </w:tcPr>
          <w:p w14:paraId="1ED262E2" w14:textId="77777777" w:rsidR="002702CB" w:rsidRPr="00BE543E" w:rsidRDefault="002702CB" w:rsidP="00DD3BAE">
            <w:pPr>
              <w:spacing w:before="0" w:after="0" w:line="180" w:lineRule="exact"/>
              <w:jc w:val="center"/>
              <w:rPr>
                <w:b/>
                <w:sz w:val="16"/>
                <w:szCs w:val="16"/>
              </w:rPr>
            </w:pPr>
          </w:p>
        </w:tc>
        <w:tc>
          <w:tcPr>
            <w:tcW w:w="811" w:type="dxa"/>
            <w:tcBorders>
              <w:top w:val="single" w:sz="4" w:space="0" w:color="auto"/>
              <w:left w:val="nil"/>
              <w:bottom w:val="single" w:sz="4" w:space="0" w:color="auto"/>
              <w:right w:val="nil"/>
            </w:tcBorders>
          </w:tcPr>
          <w:p w14:paraId="0828353F" w14:textId="77777777" w:rsidR="002702CB" w:rsidRPr="00BE543E" w:rsidRDefault="002702CB" w:rsidP="00DD3BAE">
            <w:pPr>
              <w:spacing w:before="0" w:after="0" w:line="180" w:lineRule="exact"/>
              <w:jc w:val="center"/>
              <w:rPr>
                <w:b/>
                <w:sz w:val="16"/>
                <w:szCs w:val="16"/>
              </w:rPr>
            </w:pPr>
          </w:p>
        </w:tc>
        <w:tc>
          <w:tcPr>
            <w:tcW w:w="650" w:type="dxa"/>
            <w:tcBorders>
              <w:top w:val="single" w:sz="4" w:space="0" w:color="auto"/>
              <w:left w:val="nil"/>
              <w:bottom w:val="single" w:sz="4" w:space="0" w:color="auto"/>
              <w:right w:val="nil"/>
            </w:tcBorders>
            <w:noWrap/>
            <w:vAlign w:val="bottom"/>
            <w:hideMark/>
          </w:tcPr>
          <w:p w14:paraId="098F6DC2" w14:textId="77777777" w:rsidR="002702CB" w:rsidRPr="00BE543E" w:rsidRDefault="002702CB" w:rsidP="00DD3BAE">
            <w:pPr>
              <w:spacing w:before="0" w:after="0" w:line="180" w:lineRule="exact"/>
              <w:jc w:val="center"/>
              <w:rPr>
                <w:b/>
                <w:sz w:val="16"/>
                <w:szCs w:val="16"/>
              </w:rPr>
            </w:pPr>
            <w:r w:rsidRPr="00BE543E">
              <w:rPr>
                <w:b/>
                <w:sz w:val="16"/>
                <w:szCs w:val="16"/>
              </w:rPr>
              <w:t>0</w:t>
            </w:r>
          </w:p>
        </w:tc>
        <w:tc>
          <w:tcPr>
            <w:tcW w:w="947" w:type="dxa"/>
            <w:tcBorders>
              <w:top w:val="single" w:sz="4" w:space="0" w:color="auto"/>
              <w:left w:val="nil"/>
              <w:bottom w:val="single" w:sz="4" w:space="0" w:color="auto"/>
              <w:right w:val="nil"/>
            </w:tcBorders>
          </w:tcPr>
          <w:p w14:paraId="0DBCCCA5" w14:textId="77777777" w:rsidR="002702CB" w:rsidRPr="00BE543E" w:rsidRDefault="002702CB" w:rsidP="00DD3BAE">
            <w:pPr>
              <w:spacing w:before="0" w:after="0" w:line="180" w:lineRule="exact"/>
              <w:jc w:val="center"/>
              <w:rPr>
                <w:b/>
                <w:sz w:val="16"/>
                <w:szCs w:val="16"/>
              </w:rPr>
            </w:pPr>
          </w:p>
        </w:tc>
      </w:tr>
    </w:tbl>
    <w:p w14:paraId="65721FA5" w14:textId="72ABB22B" w:rsidR="00034B88" w:rsidRDefault="00034B88" w:rsidP="002702CB">
      <w:pPr>
        <w:jc w:val="center"/>
      </w:pPr>
    </w:p>
    <w:p w14:paraId="3FDF1CA6" w14:textId="77777777" w:rsidR="00034B88" w:rsidRDefault="00034B88">
      <w:pPr>
        <w:spacing w:before="0" w:after="0"/>
      </w:pPr>
      <w:r>
        <w:br w:type="page"/>
      </w:r>
    </w:p>
    <w:p w14:paraId="6CA9B74E" w14:textId="77777777" w:rsidR="00034B88" w:rsidRPr="00F12624" w:rsidRDefault="00034B88" w:rsidP="00034B88">
      <w:pPr>
        <w:pStyle w:val="Heading2"/>
      </w:pPr>
      <w:bookmarkStart w:id="1021" w:name="_Toc516053196"/>
      <w:r w:rsidRPr="00F12624">
        <w:t>Seagrass nutrient status.</w:t>
      </w:r>
      <w:bookmarkEnd w:id="1021"/>
    </w:p>
    <w:bookmarkEnd w:id="1018"/>
    <w:p w14:paraId="7167F589" w14:textId="5AD2AFE0" w:rsidR="00842050" w:rsidRDefault="00842050" w:rsidP="00842050">
      <w:pPr>
        <w:rPr>
          <w:color w:val="000000"/>
          <w:szCs w:val="22"/>
        </w:rPr>
      </w:pPr>
      <w:r>
        <w:rPr>
          <w:color w:val="000000"/>
          <w:szCs w:val="22"/>
        </w:rPr>
        <w:t>The molar ratios of seagrass tissue carbon relative to nitrogen (C:N) were chosen as the indicator for seagrass nutrient status as an atomic C:N ratio of less than 20, may suggest either reduced light availability or nitrogen enrichment. Both of these deviations may indicate reduced water quality. Examination of the molar ratios of seagrass tissue carbon relative to nitrogen (C:N) between 2005 and 2008 explained 58</w:t>
      </w:r>
      <w:r w:rsidR="0063478C">
        <w:rPr>
          <w:color w:val="000000"/>
          <w:szCs w:val="22"/>
        </w:rPr>
        <w:t xml:space="preserve"> per cent</w:t>
      </w:r>
      <w:r>
        <w:rPr>
          <w:color w:val="000000"/>
          <w:szCs w:val="22"/>
        </w:rPr>
        <w:t xml:space="preserve"> of the variance of the inter-site seagrass cover/abundance (McKenzie and Unsworth 2009). </w:t>
      </w:r>
    </w:p>
    <w:p w14:paraId="3C437EDB" w14:textId="4735A22A" w:rsidR="00842050" w:rsidRDefault="00842050" w:rsidP="00842050">
      <w:r>
        <w:t>As changing leaf C:N ratios have been found in a number of experiments and field surveys to be related to available nutrient and light levels (</w:t>
      </w:r>
      <w:r w:rsidR="00644A84">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eWxlPiAxOTk2OyBDYWJhw6dvIGFuZCBTYW50b3MgMjAwNzsgQ29sbGllcjxzdHlsZSBmYWNlPSJp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ZXM+MjA0LTIxMjwvcGFnZXM+PHZvbHVtZT4zNDA8L3ZvbHVtZT48ZGF0ZXM+PHllYXI+MjAwNzwv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</w:fldData>
        </w:fldChar>
      </w:r>
      <w:r w:rsidR="00521D93">
        <w:instrText xml:space="preserve"> ADDIN EN.CITE </w:instrText>
      </w:r>
      <w:r w:rsidR="00521D93">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eWxlPiAxOTk2OyBDYWJhw6dvIGFuZCBTYW50b3MgMjAwNzsgQ29sbGllcjxzdHlsZSBmYWNlPSJp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</w:fldData>
        </w:fldChar>
      </w:r>
      <w:r w:rsidR="00521D93">
        <w:instrText xml:space="preserve"> ADDIN EN.CITE.DATA </w:instrText>
      </w:r>
      <w:r w:rsidR="00521D93">
        <w:fldChar w:fldCharType="end"/>
      </w:r>
      <w:r w:rsidR="00644A84">
        <w:fldChar w:fldCharType="separate"/>
      </w:r>
      <w:hyperlink w:anchor="_ENREF_2" w:tooltip="Abal, 1994 #7405" w:history="1">
        <w:r w:rsidR="00305FE7">
          <w:rPr>
            <w:noProof/>
          </w:rPr>
          <w:t>Abal</w:t>
        </w:r>
        <w:r w:rsidR="00305FE7" w:rsidRPr="00521D93">
          <w:rPr>
            <w:i/>
            <w:noProof/>
          </w:rPr>
          <w:t xml:space="preserve"> et al.</w:t>
        </w:r>
        <w:r w:rsidR="00305FE7">
          <w:rPr>
            <w:noProof/>
          </w:rPr>
          <w:t xml:space="preserve"> 1994</w:t>
        </w:r>
      </w:hyperlink>
      <w:r w:rsidR="00521D93">
        <w:rPr>
          <w:noProof/>
        </w:rPr>
        <w:t xml:space="preserve">; </w:t>
      </w:r>
      <w:hyperlink w:anchor="_ENREF_107" w:tooltip="Grice, 1996 #1346" w:history="1">
        <w:r w:rsidR="00305FE7">
          <w:rPr>
            <w:noProof/>
          </w:rPr>
          <w:t>Grice</w:t>
        </w:r>
        <w:r w:rsidR="00305FE7" w:rsidRPr="00521D93">
          <w:rPr>
            <w:i/>
            <w:noProof/>
          </w:rPr>
          <w:t xml:space="preserve"> et al.</w:t>
        </w:r>
        <w:r w:rsidR="00305FE7">
          <w:rPr>
            <w:noProof/>
          </w:rPr>
          <w:t xml:space="preserve"> 1996</w:t>
        </w:r>
      </w:hyperlink>
      <w:r w:rsidR="00521D93">
        <w:rPr>
          <w:noProof/>
        </w:rPr>
        <w:t xml:space="preserve">; </w:t>
      </w:r>
      <w:hyperlink w:anchor="_ENREF_26" w:tooltip="Cabaço, 2007 #9489" w:history="1">
        <w:r w:rsidR="00305FE7">
          <w:rPr>
            <w:noProof/>
          </w:rPr>
          <w:t>Cabaço and Santos 2007</w:t>
        </w:r>
      </w:hyperlink>
      <w:r w:rsidR="00521D93">
        <w:rPr>
          <w:noProof/>
        </w:rPr>
        <w:t xml:space="preserve">; </w:t>
      </w:r>
      <w:hyperlink w:anchor="_ENREF_55" w:tooltip="Collier, 2009 #9490" w:history="1">
        <w:r w:rsidR="00305FE7">
          <w:rPr>
            <w:noProof/>
          </w:rPr>
          <w:t>Collier</w:t>
        </w:r>
        <w:r w:rsidR="00305FE7" w:rsidRPr="00521D93">
          <w:rPr>
            <w:i/>
            <w:noProof/>
          </w:rPr>
          <w:t xml:space="preserve"> et al.</w:t>
        </w:r>
        <w:r w:rsidR="00305FE7">
          <w:rPr>
            <w:noProof/>
          </w:rPr>
          <w:t xml:space="preserve"> 2009</w:t>
        </w:r>
      </w:hyperlink>
      <w:r w:rsidR="00644A84">
        <w:fldChar w:fldCharType="end"/>
      </w:r>
      <w:r>
        <w:t>) they can be used as an indicator of the light that the plant is receiving relative to nitrogen availability or N surplus to light. With light limitation, seagrass plants are unable to build structure, hence the proportion of carbon in the leaves decreases relative to nitrogen. Experiments on seagrasses in Queensland have reported that at an atomic C:N ratio of less than 20, may suggest reduced light availability relative to nitrogen availability (</w:t>
      </w:r>
      <w:hyperlink w:anchor="_ENREF_2" w:tooltip="Abal, 1994 #7405" w:history="1">
        <w:r w:rsidR="00305FE7">
          <w:fldChar w:fldCharType="begin"/>
        </w:r>
        <w:r w:rsidR="00305FE7">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305FE7">
          <w:fldChar w:fldCharType="separate"/>
        </w:r>
        <w:r w:rsidR="00305FE7">
          <w:rPr>
            <w:noProof/>
          </w:rPr>
          <w:t>Abal</w:t>
        </w:r>
        <w:r w:rsidR="00305FE7" w:rsidRPr="00521D93">
          <w:rPr>
            <w:i/>
            <w:noProof/>
          </w:rPr>
          <w:t xml:space="preserve"> et al.</w:t>
        </w:r>
        <w:r w:rsidR="00305FE7">
          <w:rPr>
            <w:noProof/>
          </w:rPr>
          <w:t xml:space="preserve"> 1994</w:t>
        </w:r>
        <w:r w:rsidR="00305FE7">
          <w:fldChar w:fldCharType="end"/>
        </w:r>
      </w:hyperlink>
      <w:r>
        <w:t xml:space="preserve">; </w:t>
      </w:r>
      <w:hyperlink r:id="rId230" w:anchor="_ENREF_101" w:tooltip="Grice, 1996 #1346" w:history="1">
        <w:r>
          <w:rPr>
            <w:noProof/>
          </w:rPr>
          <w:t>AM Grice</w:t>
        </w:r>
        <w:r>
          <w:rPr>
            <w:i/>
            <w:noProof/>
          </w:rPr>
          <w:t>, et al.</w:t>
        </w:r>
        <w:r>
          <w:rPr>
            <w:noProof/>
          </w:rPr>
          <w:t>, 1996</w:t>
        </w:r>
      </w:hyperlink>
      <w:r>
        <w:rPr>
          <w:noProof/>
        </w:rPr>
        <w:t>;</w:t>
      </w:r>
      <w:r>
        <w:t>). The light availability to seagrass is not necessarily an indicator of light in the water column, but an indicator of the light that the plant is receiving as available light can be highly impacted by epiphytic growth or sediment smothering photosynthetic leaf tissue. However, C:N must be interpreted with caution as the level of N can also influence the ratio in oligotrophic environments (</w:t>
      </w:r>
      <w:r w:rsidR="00644A84">
        <w:fldChar w:fldCharType="begin"/>
      </w:r>
      <w:r w:rsidR="00521D93">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644A84">
        <w:fldChar w:fldCharType="separate"/>
      </w:r>
      <w:hyperlink w:anchor="_ENREF_9" w:tooltip="Atkinson, 1983 #6292" w:history="1">
        <w:r w:rsidR="00305FE7">
          <w:rPr>
            <w:noProof/>
          </w:rPr>
          <w:t>Atkinson and Smith 1983</w:t>
        </w:r>
      </w:hyperlink>
      <w:r w:rsidR="00521D93">
        <w:rPr>
          <w:noProof/>
        </w:rPr>
        <w:t xml:space="preserve">; </w:t>
      </w:r>
      <w:hyperlink w:anchor="_ENREF_100" w:tooltip="Fourqurean, 1992 #9493" w:history="1">
        <w:r w:rsidR="00305FE7">
          <w:rPr>
            <w:noProof/>
          </w:rPr>
          <w:t>Fourqurean</w:t>
        </w:r>
        <w:r w:rsidR="00305FE7" w:rsidRPr="00521D93">
          <w:rPr>
            <w:i/>
            <w:noProof/>
          </w:rPr>
          <w:t xml:space="preserve"> et al.</w:t>
        </w:r>
        <w:r w:rsidR="00305FE7">
          <w:rPr>
            <w:noProof/>
          </w:rPr>
          <w:t xml:space="preserve"> 1992b</w:t>
        </w:r>
      </w:hyperlink>
      <w:r w:rsidR="00644A84">
        <w:fldChar w:fldCharType="end"/>
      </w:r>
      <w:r>
        <w:t xml:space="preserve">). </w:t>
      </w:r>
      <w:r>
        <w:rPr>
          <w:lang w:val="en-US"/>
        </w:rPr>
        <w:t>Support for choosing the elemental C:N ratio as the indicator also comes from preliminary analysis of MMP data in 2009 which found that the C:N ratio was the only nutrient ratio that showed a significant relationship (positive) with seagrass cover at coastal and estuarine sites. Seagrass tissue C:N ratios explained 58</w:t>
      </w:r>
      <w:r w:rsidR="0063478C">
        <w:rPr>
          <w:lang w:val="en-US"/>
        </w:rPr>
        <w:t xml:space="preserve"> per cent</w:t>
      </w:r>
      <w:r>
        <w:rPr>
          <w:lang w:val="en-US"/>
        </w:rPr>
        <w:t xml:space="preserve"> of the variance of the inter-site seagrass cover data (</w:t>
      </w:r>
      <w:hyperlink w:anchor="_ENREF_164" w:tooltip="McKenzie, 2009 #9494" w:history="1">
        <w:r w:rsidR="00305FE7">
          <w:fldChar w:fldCharType="begin"/>
        </w:r>
        <w:r w:rsidR="00305FE7">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305FE7">
          <w:fldChar w:fldCharType="separate"/>
        </w:r>
        <w:r w:rsidR="00305FE7">
          <w:rPr>
            <w:noProof/>
          </w:rPr>
          <w:t>McKenzie and Unsworth 2009</w:t>
        </w:r>
        <w:r w:rsidR="00305FE7">
          <w:fldChar w:fldCharType="end"/>
        </w:r>
      </w:hyperlink>
      <w:r>
        <w:rPr>
          <w:lang w:val="en-US"/>
        </w:rPr>
        <w:t xml:space="preserve">). </w:t>
      </w:r>
      <w:r>
        <w:t>Using the guideline ratio of 20:1 for the foundation seagrass species, C:N ratios were categorised on their departure from the guideline and transformed to a 0 to 100 score using:</w:t>
      </w:r>
    </w:p>
    <w:p w14:paraId="04667B98" w14:textId="05301E12" w:rsidR="00842050" w:rsidRDefault="00842050" w:rsidP="00842050">
      <w:pPr>
        <w:rPr>
          <w:color w:val="000000"/>
        </w:rPr>
      </w:pPr>
      <w:r>
        <w:tab/>
      </w:r>
      <w:bookmarkStart w:id="1022" w:name="_Ref408853282"/>
      <w:r>
        <w:t xml:space="preserve">Equation </w:t>
      </w:r>
      <w:r w:rsidR="00C506C7">
        <w:rPr>
          <w:noProof/>
        </w:rPr>
        <w:fldChar w:fldCharType="begin"/>
      </w:r>
      <w:r w:rsidR="00C506C7">
        <w:rPr>
          <w:noProof/>
        </w:rPr>
        <w:instrText xml:space="preserve"> SEQ Equation \* ARABIC </w:instrText>
      </w:r>
      <w:r w:rsidR="00C506C7">
        <w:rPr>
          <w:noProof/>
        </w:rPr>
        <w:fldChar w:fldCharType="separate"/>
      </w:r>
      <w:r w:rsidR="00F87DF9">
        <w:rPr>
          <w:noProof/>
        </w:rPr>
        <w:t>1</w:t>
      </w:r>
      <w:r w:rsidR="00C506C7">
        <w:rPr>
          <w:noProof/>
        </w:rPr>
        <w:fldChar w:fldCharType="end"/>
      </w:r>
      <w:bookmarkEnd w:id="1022"/>
      <w:r>
        <w:rPr>
          <w:color w:val="000000"/>
        </w:rPr>
        <w:tab/>
      </w:r>
      <w:r w:rsidR="00517CB7">
        <w:rPr>
          <w:noProof/>
          <w:color w:val="000000"/>
          <w:position w:val="-10"/>
          <w:lang w:eastAsia="en-AU"/>
        </w:rPr>
        <w:drawing>
          <wp:inline distT="0" distB="0" distL="0" distR="0" wp14:anchorId="2ABB6B67" wp14:editId="41A5B705">
            <wp:extent cx="1067435" cy="234950"/>
            <wp:effectExtent l="0" t="0" r="0" b="0"/>
            <wp:docPr id="56" name="Picture 1" descr="Equation used to determine C:N ratio departure from the guideline and transformed to a 0 to 100 sc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quation used to determine C:N ratio departure from the guideline and transformed to a 0 to 100 score"/>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1067435" cy="234950"/>
                    </a:xfrm>
                    <a:prstGeom prst="rect">
                      <a:avLst/>
                    </a:prstGeom>
                    <a:noFill/>
                    <a:ln>
                      <a:noFill/>
                    </a:ln>
                  </pic:spPr>
                </pic:pic>
              </a:graphicData>
            </a:graphic>
          </wp:inline>
        </w:drawing>
      </w:r>
    </w:p>
    <w:p w14:paraId="6AA01623" w14:textId="77777777" w:rsidR="00842050" w:rsidRDefault="00842050" w:rsidP="00842050">
      <w:pPr>
        <w:tabs>
          <w:tab w:val="left" w:pos="2835"/>
        </w:tabs>
        <w:spacing w:before="0" w:after="0"/>
        <w:rPr>
          <w:i/>
          <w:color w:val="000000"/>
          <w:sz w:val="18"/>
          <w:szCs w:val="18"/>
        </w:rPr>
      </w:pPr>
      <w:r>
        <w:rPr>
          <w:i/>
          <w:color w:val="000000"/>
          <w:sz w:val="18"/>
          <w:szCs w:val="18"/>
        </w:rPr>
        <w:tab/>
        <w:t>NB: C:N ratios &gt;35  scored as 100, C:N ratios &lt;10  scored as 0</w:t>
      </w:r>
    </w:p>
    <w:p w14:paraId="1A7E2518" w14:textId="6DF4A1F2" w:rsidR="00842050" w:rsidRDefault="00842050" w:rsidP="00842050">
      <w:pPr>
        <w:spacing w:before="240"/>
        <w:rPr>
          <w:color w:val="000000"/>
          <w:szCs w:val="22"/>
        </w:rPr>
      </w:pPr>
      <w:r>
        <w:rPr>
          <w:color w:val="000000"/>
          <w:szCs w:val="22"/>
        </w:rPr>
        <w:t>The score was then used to represent the status to allow integration with other components of the report card (</w:t>
      </w:r>
      <w:r>
        <w:fldChar w:fldCharType="begin"/>
      </w:r>
      <w:r>
        <w:rPr>
          <w:color w:val="000000"/>
        </w:rPr>
        <w:instrText xml:space="preserve"> REF _Ref273446285 \h  \* MERGEFORMAT </w:instrText>
      </w:r>
      <w:r>
        <w:fldChar w:fldCharType="separate"/>
      </w:r>
      <w:r w:rsidR="00F87DF9" w:rsidRPr="00015190">
        <w:rPr>
          <w:color w:val="000000"/>
          <w:szCs w:val="22"/>
        </w:rPr>
        <w:t xml:space="preserve">Table </w:t>
      </w:r>
      <w:r w:rsidR="00F87DF9">
        <w:rPr>
          <w:noProof/>
          <w:color w:val="000000"/>
          <w:szCs w:val="22"/>
        </w:rPr>
        <w:t>7</w:t>
      </w:r>
      <w:r>
        <w:fldChar w:fldCharType="end"/>
      </w:r>
      <w:r>
        <w:rPr>
          <w:color w:val="000000"/>
          <w:szCs w:val="22"/>
        </w:rPr>
        <w:t>).</w:t>
      </w:r>
    </w:p>
    <w:p w14:paraId="7461BE2A" w14:textId="00ECB3B6" w:rsidR="00842050" w:rsidRDefault="00842050" w:rsidP="00842050">
      <w:pPr>
        <w:jc w:val="center"/>
        <w:rPr>
          <w:rFonts w:cs="Arial"/>
          <w:i/>
          <w:color w:val="000000"/>
          <w:szCs w:val="22"/>
        </w:rPr>
      </w:pPr>
      <w:bookmarkStart w:id="1023" w:name="_Toc431494023"/>
      <w:bookmarkStart w:id="1024" w:name="_Toc516053472"/>
      <w:r>
        <w:rPr>
          <w:color w:val="000000"/>
          <w:szCs w:val="22"/>
        </w:rPr>
        <w:t xml:space="preserve">Table </w:t>
      </w:r>
      <w:r>
        <w:fldChar w:fldCharType="begin"/>
      </w:r>
      <w:r>
        <w:rPr>
          <w:color w:val="000000"/>
          <w:szCs w:val="22"/>
        </w:rPr>
        <w:instrText xml:space="preserve"> SEQ Table \* ARABIC </w:instrText>
      </w:r>
      <w:r>
        <w:fldChar w:fldCharType="separate"/>
      </w:r>
      <w:r w:rsidR="00F87DF9">
        <w:rPr>
          <w:noProof/>
          <w:color w:val="000000"/>
          <w:szCs w:val="22"/>
        </w:rPr>
        <w:t>48</w:t>
      </w:r>
      <w:r>
        <w:fldChar w:fldCharType="end"/>
      </w:r>
      <w:r>
        <w:rPr>
          <w:color w:val="000000"/>
          <w:szCs w:val="22"/>
        </w:rPr>
        <w:t xml:space="preserve">. </w:t>
      </w:r>
      <w:r>
        <w:rPr>
          <w:rFonts w:cs="Arial"/>
          <w:i/>
          <w:color w:val="000000"/>
          <w:szCs w:val="22"/>
        </w:rPr>
        <w:t>Scores for leaf tissue C:N against guideline to determine light and nutrient availability.</w:t>
      </w:r>
      <w:r>
        <w:rPr>
          <w:i/>
          <w:color w:val="000000"/>
        </w:rPr>
        <w:t xml:space="preserve"> NB: scores are unitless.</w:t>
      </w:r>
      <w:bookmarkEnd w:id="1023"/>
      <w:bookmarkEnd w:id="1024"/>
    </w:p>
    <w:tbl>
      <w:tblPr>
        <w:tblW w:w="5437" w:type="dxa"/>
        <w:jc w:val="center"/>
        <w:tblLook w:val="04A0" w:firstRow="1" w:lastRow="0" w:firstColumn="1" w:lastColumn="0" w:noHBand="0" w:noVBand="1"/>
      </w:tblPr>
      <w:tblGrid>
        <w:gridCol w:w="1543"/>
        <w:gridCol w:w="2127"/>
        <w:gridCol w:w="1767"/>
      </w:tblGrid>
      <w:tr w:rsidR="00A81AF6" w14:paraId="5CC29B60" w14:textId="77777777" w:rsidTr="00A81AF6">
        <w:trPr>
          <w:trHeight w:val="290"/>
          <w:jc w:val="center"/>
        </w:trPr>
        <w:tc>
          <w:tcPr>
            <w:tcW w:w="1543" w:type="dxa"/>
            <w:tcBorders>
              <w:top w:val="single" w:sz="4" w:space="0" w:color="auto"/>
              <w:left w:val="nil"/>
              <w:bottom w:val="single" w:sz="4" w:space="0" w:color="auto"/>
              <w:right w:val="nil"/>
            </w:tcBorders>
            <w:vAlign w:val="center"/>
            <w:hideMark/>
          </w:tcPr>
          <w:p w14:paraId="64C95727" w14:textId="77777777" w:rsidR="00A81AF6" w:rsidRDefault="00A81AF6" w:rsidP="00805748">
            <w:pPr>
              <w:spacing w:before="0" w:after="0"/>
              <w:jc w:val="center"/>
              <w:rPr>
                <w:b/>
                <w:color w:val="000000"/>
                <w:lang w:val="en-US"/>
              </w:rPr>
            </w:pPr>
            <w:r>
              <w:rPr>
                <w:b/>
                <w:color w:val="000000"/>
                <w:szCs w:val="22"/>
                <w:lang w:val="en-US"/>
              </w:rPr>
              <w:t>description</w:t>
            </w:r>
          </w:p>
        </w:tc>
        <w:tc>
          <w:tcPr>
            <w:tcW w:w="2127" w:type="dxa"/>
            <w:tcBorders>
              <w:top w:val="single" w:sz="4" w:space="0" w:color="auto"/>
              <w:left w:val="nil"/>
              <w:bottom w:val="single" w:sz="4" w:space="0" w:color="auto"/>
              <w:right w:val="nil"/>
            </w:tcBorders>
            <w:noWrap/>
            <w:vAlign w:val="center"/>
            <w:hideMark/>
          </w:tcPr>
          <w:p w14:paraId="1B2163CA" w14:textId="77777777" w:rsidR="00A81AF6" w:rsidRDefault="00A81AF6" w:rsidP="00A81AF6">
            <w:pPr>
              <w:spacing w:before="0" w:after="0"/>
              <w:jc w:val="center"/>
              <w:rPr>
                <w:b/>
                <w:color w:val="000000"/>
                <w:lang w:val="en-US"/>
              </w:rPr>
            </w:pPr>
            <w:r>
              <w:rPr>
                <w:b/>
                <w:color w:val="000000"/>
                <w:szCs w:val="22"/>
                <w:lang w:val="en-US"/>
              </w:rPr>
              <w:t>C:N ratio range</w:t>
            </w:r>
          </w:p>
        </w:tc>
        <w:tc>
          <w:tcPr>
            <w:tcW w:w="1767" w:type="dxa"/>
            <w:tcBorders>
              <w:top w:val="single" w:sz="4" w:space="0" w:color="auto"/>
              <w:left w:val="nil"/>
              <w:bottom w:val="single" w:sz="4" w:space="0" w:color="auto"/>
              <w:right w:val="nil"/>
            </w:tcBorders>
            <w:noWrap/>
            <w:vAlign w:val="center"/>
            <w:hideMark/>
          </w:tcPr>
          <w:p w14:paraId="5D428A5B" w14:textId="2F6FFFC5" w:rsidR="00A81AF6" w:rsidRDefault="00A81AF6" w:rsidP="00805748">
            <w:pPr>
              <w:spacing w:before="0" w:after="0"/>
              <w:jc w:val="center"/>
              <w:rPr>
                <w:b/>
                <w:color w:val="000000"/>
                <w:lang w:val="en-US"/>
              </w:rPr>
            </w:pPr>
            <w:r>
              <w:rPr>
                <w:b/>
                <w:color w:val="000000"/>
                <w:szCs w:val="22"/>
                <w:lang w:val="en-US"/>
              </w:rPr>
              <w:t xml:space="preserve">Score </w:t>
            </w:r>
            <w:r>
              <w:rPr>
                <w:color w:val="000000"/>
                <w:szCs w:val="22"/>
                <w:lang w:val="en-US"/>
              </w:rPr>
              <w:t>(</w:t>
            </w:r>
            <w:r w:rsidRPr="00F63BE7">
              <w:rPr>
                <w:noProof/>
                <w:color w:val="000000"/>
                <w:lang w:eastAsia="en-AU"/>
              </w:rPr>
              <w:drawing>
                <wp:inline distT="0" distB="0" distL="0" distR="0" wp14:anchorId="2C98CECB" wp14:editId="7D41FEF6">
                  <wp:extent cx="95250" cy="119865"/>
                  <wp:effectExtent l="0" t="0" r="0" b="0"/>
                  <wp:docPr id="227" name="Picture 227" descr="Symbol used to represent score detemined from equat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32" cstate="print">
                            <a:extLst>
                              <a:ext uri="{28A0092B-C50C-407E-A947-70E740481C1C}">
                                <a14:useLocalDpi xmlns:a14="http://schemas.microsoft.com/office/drawing/2010/main" val="0"/>
                              </a:ext>
                            </a:extLst>
                          </a:blip>
                          <a:srcRect t="11412" r="19820" b="21320"/>
                          <a:stretch/>
                        </pic:blipFill>
                        <pic:spPr bwMode="auto">
                          <a:xfrm>
                            <a:off x="0" y="0"/>
                            <a:ext cx="95250" cy="119865"/>
                          </a:xfrm>
                          <a:prstGeom prst="rect">
                            <a:avLst/>
                          </a:prstGeom>
                          <a:noFill/>
                          <a:ln>
                            <a:noFill/>
                          </a:ln>
                          <a:extLst>
                            <a:ext uri="{53640926-AAD7-44D8-BBD7-CCE9431645EC}">
                              <a14:shadowObscured xmlns:a14="http://schemas.microsoft.com/office/drawing/2010/main"/>
                            </a:ext>
                          </a:extLst>
                        </pic:spPr>
                      </pic:pic>
                    </a:graphicData>
                  </a:graphic>
                </wp:inline>
              </w:drawing>
            </w:r>
            <w:r>
              <w:rPr>
                <w:color w:val="000000"/>
              </w:rPr>
              <w:t xml:space="preserve">) </w:t>
            </w:r>
            <w:r>
              <w:rPr>
                <w:b/>
                <w:color w:val="000000"/>
                <w:szCs w:val="22"/>
                <w:lang w:val="en-US"/>
              </w:rPr>
              <w:t>status</w:t>
            </w:r>
          </w:p>
        </w:tc>
      </w:tr>
      <w:tr w:rsidR="00A81AF6" w14:paraId="189E2573" w14:textId="77777777" w:rsidTr="00A81AF6">
        <w:trPr>
          <w:trHeight w:val="290"/>
          <w:jc w:val="center"/>
        </w:trPr>
        <w:tc>
          <w:tcPr>
            <w:tcW w:w="1543" w:type="dxa"/>
            <w:vAlign w:val="bottom"/>
            <w:hideMark/>
          </w:tcPr>
          <w:p w14:paraId="30CF954E" w14:textId="77777777" w:rsidR="00A81AF6" w:rsidRDefault="00A81AF6" w:rsidP="00805748">
            <w:pPr>
              <w:spacing w:before="0" w:after="0"/>
              <w:rPr>
                <w:color w:val="000000"/>
                <w:lang w:eastAsia="en-AU"/>
              </w:rPr>
            </w:pPr>
            <w:r>
              <w:rPr>
                <w:color w:val="000000"/>
                <w:szCs w:val="22"/>
                <w:lang w:eastAsia="en-AU"/>
              </w:rPr>
              <w:t>very good</w:t>
            </w:r>
          </w:p>
        </w:tc>
        <w:tc>
          <w:tcPr>
            <w:tcW w:w="2127" w:type="dxa"/>
            <w:noWrap/>
            <w:vAlign w:val="bottom"/>
            <w:hideMark/>
          </w:tcPr>
          <w:p w14:paraId="269FAC9A" w14:textId="77777777" w:rsidR="00A81AF6" w:rsidRDefault="00A81AF6" w:rsidP="00A81AF6">
            <w:pPr>
              <w:spacing w:before="0" w:after="0"/>
              <w:jc w:val="center"/>
              <w:rPr>
                <w:color w:val="000000"/>
                <w:lang w:val="en-US"/>
              </w:rPr>
            </w:pPr>
            <w:r>
              <w:rPr>
                <w:color w:val="000000"/>
                <w:szCs w:val="22"/>
                <w:lang w:val="en-US"/>
              </w:rPr>
              <w:t>C:N ratio &gt;30*</w:t>
            </w:r>
          </w:p>
        </w:tc>
        <w:tc>
          <w:tcPr>
            <w:tcW w:w="1767" w:type="dxa"/>
            <w:shd w:val="clear" w:color="auto" w:fill="008000"/>
            <w:noWrap/>
            <w:vAlign w:val="bottom"/>
            <w:hideMark/>
          </w:tcPr>
          <w:p w14:paraId="45C7AF55" w14:textId="77777777" w:rsidR="00A81AF6" w:rsidRDefault="00A81AF6" w:rsidP="00796FE8">
            <w:pPr>
              <w:spacing w:before="0" w:after="0"/>
              <w:jc w:val="center"/>
              <w:rPr>
                <w:color w:val="000000"/>
                <w:lang w:eastAsia="en-AU"/>
              </w:rPr>
            </w:pPr>
            <w:r>
              <w:rPr>
                <w:color w:val="000000"/>
                <w:szCs w:val="22"/>
                <w:lang w:eastAsia="en-AU"/>
              </w:rPr>
              <w:t>81 - 100</w:t>
            </w:r>
          </w:p>
        </w:tc>
      </w:tr>
      <w:tr w:rsidR="00A81AF6" w14:paraId="7A23D268" w14:textId="77777777" w:rsidTr="00A81AF6">
        <w:trPr>
          <w:trHeight w:val="290"/>
          <w:jc w:val="center"/>
        </w:trPr>
        <w:tc>
          <w:tcPr>
            <w:tcW w:w="1543" w:type="dxa"/>
            <w:vAlign w:val="bottom"/>
            <w:hideMark/>
          </w:tcPr>
          <w:p w14:paraId="060F70E4" w14:textId="77777777" w:rsidR="00A81AF6" w:rsidRDefault="00A81AF6" w:rsidP="00805748">
            <w:pPr>
              <w:spacing w:before="0" w:after="0"/>
              <w:rPr>
                <w:color w:val="000000"/>
                <w:lang w:eastAsia="en-AU"/>
              </w:rPr>
            </w:pPr>
            <w:r>
              <w:rPr>
                <w:color w:val="000000"/>
                <w:szCs w:val="22"/>
                <w:lang w:eastAsia="en-AU"/>
              </w:rPr>
              <w:t>good</w:t>
            </w:r>
          </w:p>
        </w:tc>
        <w:tc>
          <w:tcPr>
            <w:tcW w:w="2127" w:type="dxa"/>
            <w:noWrap/>
            <w:vAlign w:val="bottom"/>
            <w:hideMark/>
          </w:tcPr>
          <w:p w14:paraId="196A9294" w14:textId="77777777" w:rsidR="00A81AF6" w:rsidRDefault="00A81AF6" w:rsidP="00A81AF6">
            <w:pPr>
              <w:spacing w:before="0" w:after="0"/>
              <w:jc w:val="center"/>
              <w:rPr>
                <w:color w:val="000000"/>
                <w:lang w:val="en-US"/>
              </w:rPr>
            </w:pPr>
            <w:r>
              <w:rPr>
                <w:color w:val="000000"/>
                <w:szCs w:val="22"/>
                <w:lang w:val="en-US"/>
              </w:rPr>
              <w:t>C:N ratio 25-30</w:t>
            </w:r>
          </w:p>
        </w:tc>
        <w:tc>
          <w:tcPr>
            <w:tcW w:w="1767" w:type="dxa"/>
            <w:shd w:val="clear" w:color="auto" w:fill="92D050"/>
            <w:noWrap/>
            <w:vAlign w:val="bottom"/>
            <w:hideMark/>
          </w:tcPr>
          <w:p w14:paraId="42B6CEAE" w14:textId="77777777" w:rsidR="00A81AF6" w:rsidRDefault="00A81AF6" w:rsidP="00805748">
            <w:pPr>
              <w:spacing w:before="0" w:after="0"/>
              <w:jc w:val="center"/>
              <w:rPr>
                <w:color w:val="000000"/>
                <w:lang w:eastAsia="en-AU"/>
              </w:rPr>
            </w:pPr>
            <w:r>
              <w:rPr>
                <w:color w:val="000000"/>
                <w:szCs w:val="22"/>
                <w:lang w:eastAsia="en-AU"/>
              </w:rPr>
              <w:t>61 - 80</w:t>
            </w:r>
          </w:p>
        </w:tc>
      </w:tr>
      <w:tr w:rsidR="00A81AF6" w14:paraId="6FCB5B8C" w14:textId="77777777" w:rsidTr="00A81AF6">
        <w:trPr>
          <w:trHeight w:val="300"/>
          <w:jc w:val="center"/>
        </w:trPr>
        <w:tc>
          <w:tcPr>
            <w:tcW w:w="1543" w:type="dxa"/>
            <w:vAlign w:val="bottom"/>
            <w:hideMark/>
          </w:tcPr>
          <w:p w14:paraId="4B4BE0E2" w14:textId="77777777" w:rsidR="00A81AF6" w:rsidRDefault="00A81AF6" w:rsidP="00805748">
            <w:pPr>
              <w:spacing w:before="0" w:after="0"/>
              <w:rPr>
                <w:color w:val="000000"/>
                <w:lang w:eastAsia="en-AU"/>
              </w:rPr>
            </w:pPr>
            <w:r>
              <w:rPr>
                <w:color w:val="000000"/>
                <w:szCs w:val="22"/>
                <w:lang w:eastAsia="en-AU"/>
              </w:rPr>
              <w:t>moderate</w:t>
            </w:r>
          </w:p>
        </w:tc>
        <w:tc>
          <w:tcPr>
            <w:tcW w:w="2127" w:type="dxa"/>
            <w:noWrap/>
            <w:vAlign w:val="bottom"/>
            <w:hideMark/>
          </w:tcPr>
          <w:p w14:paraId="38FF16BE" w14:textId="454E4393" w:rsidR="00A81AF6" w:rsidRDefault="00A81AF6" w:rsidP="00A81AF6">
            <w:pPr>
              <w:spacing w:before="0" w:after="0"/>
              <w:jc w:val="center"/>
              <w:rPr>
                <w:color w:val="000000"/>
                <w:lang w:val="en-US"/>
              </w:rPr>
            </w:pPr>
            <w:r>
              <w:rPr>
                <w:color w:val="000000"/>
                <w:szCs w:val="22"/>
                <w:lang w:val="en-US"/>
              </w:rPr>
              <w:t>C:N ratio 20-25</w:t>
            </w:r>
          </w:p>
        </w:tc>
        <w:tc>
          <w:tcPr>
            <w:tcW w:w="1767" w:type="dxa"/>
            <w:shd w:val="clear" w:color="auto" w:fill="FFFF00"/>
            <w:noWrap/>
            <w:vAlign w:val="bottom"/>
            <w:hideMark/>
          </w:tcPr>
          <w:p w14:paraId="10BAF811" w14:textId="77777777" w:rsidR="00A81AF6" w:rsidRDefault="00A81AF6" w:rsidP="00805748">
            <w:pPr>
              <w:spacing w:before="0" w:after="0"/>
              <w:jc w:val="center"/>
              <w:rPr>
                <w:color w:val="000000"/>
                <w:lang w:eastAsia="en-AU"/>
              </w:rPr>
            </w:pPr>
            <w:r>
              <w:rPr>
                <w:color w:val="000000"/>
                <w:szCs w:val="22"/>
                <w:lang w:eastAsia="en-AU"/>
              </w:rPr>
              <w:t>41 - 60</w:t>
            </w:r>
          </w:p>
        </w:tc>
      </w:tr>
      <w:tr w:rsidR="00A81AF6" w14:paraId="7921FE52" w14:textId="77777777" w:rsidTr="00A81AF6">
        <w:trPr>
          <w:trHeight w:val="290"/>
          <w:jc w:val="center"/>
        </w:trPr>
        <w:tc>
          <w:tcPr>
            <w:tcW w:w="1543" w:type="dxa"/>
            <w:vAlign w:val="bottom"/>
            <w:hideMark/>
          </w:tcPr>
          <w:p w14:paraId="6783EC9D" w14:textId="77777777" w:rsidR="00A81AF6" w:rsidRDefault="00A81AF6" w:rsidP="00805748">
            <w:pPr>
              <w:spacing w:before="0" w:after="0"/>
              <w:rPr>
                <w:color w:val="000000"/>
                <w:lang w:eastAsia="en-AU"/>
              </w:rPr>
            </w:pPr>
            <w:r>
              <w:rPr>
                <w:color w:val="000000"/>
                <w:szCs w:val="22"/>
                <w:lang w:eastAsia="en-AU"/>
              </w:rPr>
              <w:t>poor</w:t>
            </w:r>
          </w:p>
        </w:tc>
        <w:tc>
          <w:tcPr>
            <w:tcW w:w="2127" w:type="dxa"/>
            <w:noWrap/>
            <w:vAlign w:val="bottom"/>
            <w:hideMark/>
          </w:tcPr>
          <w:p w14:paraId="4B192C75" w14:textId="77777777" w:rsidR="00A81AF6" w:rsidRDefault="00A81AF6" w:rsidP="00A81AF6">
            <w:pPr>
              <w:spacing w:before="0" w:after="0"/>
              <w:jc w:val="center"/>
              <w:rPr>
                <w:color w:val="000000"/>
                <w:lang w:val="en-US"/>
              </w:rPr>
            </w:pPr>
            <w:r>
              <w:rPr>
                <w:color w:val="000000"/>
                <w:szCs w:val="22"/>
                <w:lang w:val="en-US"/>
              </w:rPr>
              <w:t>C:N ratio 15-20</w:t>
            </w:r>
          </w:p>
        </w:tc>
        <w:tc>
          <w:tcPr>
            <w:tcW w:w="1767" w:type="dxa"/>
            <w:shd w:val="clear" w:color="auto" w:fill="FFC000"/>
            <w:noWrap/>
            <w:vAlign w:val="bottom"/>
            <w:hideMark/>
          </w:tcPr>
          <w:p w14:paraId="66DAF626" w14:textId="77777777" w:rsidR="00A81AF6" w:rsidRDefault="00A81AF6" w:rsidP="00796FE8">
            <w:pPr>
              <w:spacing w:before="0" w:after="0"/>
              <w:jc w:val="center"/>
              <w:rPr>
                <w:color w:val="000000"/>
                <w:lang w:eastAsia="en-AU"/>
              </w:rPr>
            </w:pPr>
            <w:r>
              <w:rPr>
                <w:color w:val="000000"/>
                <w:szCs w:val="22"/>
                <w:lang w:eastAsia="en-AU"/>
              </w:rPr>
              <w:t>21 - 40</w:t>
            </w:r>
          </w:p>
        </w:tc>
      </w:tr>
      <w:tr w:rsidR="00A81AF6" w14:paraId="2C52C2BB" w14:textId="77777777" w:rsidTr="00A81AF6">
        <w:trPr>
          <w:trHeight w:val="290"/>
          <w:jc w:val="center"/>
        </w:trPr>
        <w:tc>
          <w:tcPr>
            <w:tcW w:w="1543" w:type="dxa"/>
            <w:tcBorders>
              <w:top w:val="nil"/>
              <w:left w:val="nil"/>
              <w:bottom w:val="single" w:sz="4" w:space="0" w:color="auto"/>
              <w:right w:val="nil"/>
            </w:tcBorders>
            <w:vAlign w:val="bottom"/>
            <w:hideMark/>
          </w:tcPr>
          <w:p w14:paraId="28268CEC" w14:textId="77777777" w:rsidR="00A81AF6" w:rsidRDefault="00A81AF6" w:rsidP="00805748">
            <w:pPr>
              <w:spacing w:before="0" w:after="0"/>
              <w:rPr>
                <w:color w:val="000000"/>
                <w:lang w:eastAsia="en-AU"/>
              </w:rPr>
            </w:pPr>
            <w:r>
              <w:rPr>
                <w:color w:val="000000"/>
                <w:szCs w:val="22"/>
                <w:lang w:eastAsia="en-AU"/>
              </w:rPr>
              <w:t>very poor</w:t>
            </w:r>
          </w:p>
        </w:tc>
        <w:tc>
          <w:tcPr>
            <w:tcW w:w="2127" w:type="dxa"/>
            <w:tcBorders>
              <w:top w:val="nil"/>
              <w:left w:val="nil"/>
              <w:bottom w:val="single" w:sz="4" w:space="0" w:color="auto"/>
              <w:right w:val="nil"/>
            </w:tcBorders>
            <w:noWrap/>
            <w:vAlign w:val="bottom"/>
            <w:hideMark/>
          </w:tcPr>
          <w:p w14:paraId="69F8FA65" w14:textId="77777777" w:rsidR="00A81AF6" w:rsidRDefault="00A81AF6" w:rsidP="00A81AF6">
            <w:pPr>
              <w:spacing w:before="0" w:after="0"/>
              <w:jc w:val="center"/>
              <w:rPr>
                <w:color w:val="000000"/>
                <w:lang w:val="en-US"/>
              </w:rPr>
            </w:pPr>
            <w:r>
              <w:rPr>
                <w:color w:val="000000"/>
                <w:szCs w:val="22"/>
                <w:lang w:val="en-US"/>
              </w:rPr>
              <w:t>C:N ratio &lt;15*</w:t>
            </w:r>
          </w:p>
        </w:tc>
        <w:tc>
          <w:tcPr>
            <w:tcW w:w="1767" w:type="dxa"/>
            <w:tcBorders>
              <w:top w:val="nil"/>
              <w:left w:val="nil"/>
              <w:bottom w:val="single" w:sz="4" w:space="0" w:color="auto"/>
              <w:right w:val="nil"/>
            </w:tcBorders>
            <w:shd w:val="clear" w:color="auto" w:fill="FF0000"/>
            <w:noWrap/>
            <w:vAlign w:val="bottom"/>
            <w:hideMark/>
          </w:tcPr>
          <w:p w14:paraId="31553158" w14:textId="77777777" w:rsidR="00A81AF6" w:rsidRDefault="00A81AF6" w:rsidP="00796FE8">
            <w:pPr>
              <w:spacing w:before="0" w:after="0"/>
              <w:jc w:val="center"/>
              <w:rPr>
                <w:color w:val="000000"/>
                <w:lang w:eastAsia="en-AU"/>
              </w:rPr>
            </w:pPr>
            <w:r>
              <w:rPr>
                <w:color w:val="000000"/>
                <w:szCs w:val="22"/>
                <w:lang w:eastAsia="en-AU"/>
              </w:rPr>
              <w:t>0 - 20</w:t>
            </w:r>
          </w:p>
        </w:tc>
      </w:tr>
    </w:tbl>
    <w:p w14:paraId="7E053787" w14:textId="77777777" w:rsidR="00842050" w:rsidRDefault="00842050" w:rsidP="00842050">
      <w:pPr>
        <w:jc w:val="center"/>
      </w:pPr>
      <w:bookmarkStart w:id="1025" w:name="_Toc431493753"/>
    </w:p>
    <w:p w14:paraId="29302DB5" w14:textId="77777777" w:rsidR="00842050" w:rsidRDefault="00842050" w:rsidP="00842050">
      <w:pPr>
        <w:spacing w:before="0" w:after="0"/>
        <w:rPr>
          <w:lang w:val="en-GB"/>
        </w:rPr>
      </w:pPr>
      <w:r>
        <w:rPr>
          <w:lang w:val="en-GB"/>
        </w:rPr>
        <w:br w:type="page"/>
      </w:r>
    </w:p>
    <w:p w14:paraId="38562F61" w14:textId="6C0664EE" w:rsidR="007B1E97" w:rsidRPr="00517276" w:rsidRDefault="00842050" w:rsidP="007B1E97">
      <w:pPr>
        <w:jc w:val="center"/>
        <w:rPr>
          <w:i/>
          <w:vanish/>
          <w:color w:val="000000"/>
          <w:szCs w:val="22"/>
          <w:specVanish/>
        </w:rPr>
      </w:pPr>
      <w:bookmarkStart w:id="1026" w:name="_Ref511381480"/>
      <w:bookmarkStart w:id="1027" w:name="_Toc516053473"/>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49</w:t>
      </w:r>
      <w:r w:rsidR="00C506C7">
        <w:rPr>
          <w:noProof/>
        </w:rPr>
        <w:fldChar w:fldCharType="end"/>
      </w:r>
      <w:bookmarkEnd w:id="1026"/>
      <w:r>
        <w:t xml:space="preserve">. </w:t>
      </w:r>
      <w:r>
        <w:rPr>
          <w:i/>
        </w:rPr>
        <w:t>Average seagrass leaf tissue C:N ratios and report scores for each monitoring site (species pooled) within each NRM region habitat.</w:t>
      </w:r>
      <w:bookmarkEnd w:id="1027"/>
      <w:r w:rsidR="007B1E97" w:rsidRPr="007B1E97">
        <w:rPr>
          <w:i/>
          <w:vanish/>
          <w:color w:val="000000"/>
          <w:szCs w:val="22"/>
          <w:specVanish/>
        </w:rPr>
        <w:t xml:space="preserve"> </w:t>
      </w:r>
    </w:p>
    <w:p w14:paraId="68660464" w14:textId="6F1D8444" w:rsidR="00DE79BD" w:rsidRDefault="00842050" w:rsidP="00DE79BD">
      <w:pPr>
        <w:jc w:val="center"/>
        <w:rPr>
          <w:i/>
        </w:rPr>
      </w:pPr>
      <w:r>
        <w:rPr>
          <w:i/>
        </w:rPr>
        <w:t xml:space="preserve"> C:N ratios transformed to a 0 to 100 score using </w:t>
      </w:r>
      <w:r w:rsidR="00FB280D">
        <w:fldChar w:fldCharType="begin"/>
      </w:r>
      <w:r w:rsidR="00FB280D">
        <w:rPr>
          <w:i/>
        </w:rPr>
        <w:instrText xml:space="preserve"> REF _Ref408853282 \h </w:instrText>
      </w:r>
      <w:r w:rsidR="00FB280D">
        <w:fldChar w:fldCharType="separate"/>
      </w:r>
      <w:r w:rsidR="00F87DF9">
        <w:t xml:space="preserve">Equation </w:t>
      </w:r>
      <w:r w:rsidR="00F87DF9">
        <w:rPr>
          <w:noProof/>
        </w:rPr>
        <w:t>1</w:t>
      </w:r>
      <w:r w:rsidR="00FB280D">
        <w:fldChar w:fldCharType="end"/>
      </w:r>
      <w:r>
        <w:rPr>
          <w:i/>
        </w:rPr>
        <w:t>. NB: scores do not have units. *insufficient sample</w:t>
      </w:r>
      <w:r w:rsidR="00DE79BD" w:rsidRPr="00DE79BD">
        <w:rPr>
          <w:i/>
        </w:rPr>
        <w:t xml:space="preserve"> </w:t>
      </w:r>
    </w:p>
    <w:tbl>
      <w:tblPr>
        <w:tblW w:w="8042" w:type="dxa"/>
        <w:jc w:val="center"/>
        <w:tblLook w:val="04A0" w:firstRow="1" w:lastRow="0" w:firstColumn="1" w:lastColumn="0" w:noHBand="0" w:noVBand="1"/>
      </w:tblPr>
      <w:tblGrid>
        <w:gridCol w:w="1920"/>
        <w:gridCol w:w="1720"/>
        <w:gridCol w:w="960"/>
        <w:gridCol w:w="1300"/>
        <w:gridCol w:w="960"/>
        <w:gridCol w:w="1182"/>
      </w:tblGrid>
      <w:tr w:rsidR="00DE79BD" w14:paraId="5CD3A725" w14:textId="139D76C0" w:rsidTr="009E460B">
        <w:trPr>
          <w:jc w:val="center"/>
        </w:trPr>
        <w:tc>
          <w:tcPr>
            <w:tcW w:w="1920" w:type="dxa"/>
            <w:tcBorders>
              <w:top w:val="single" w:sz="4" w:space="0" w:color="auto"/>
              <w:left w:val="nil"/>
              <w:bottom w:val="single" w:sz="4" w:space="0" w:color="auto"/>
              <w:right w:val="nil"/>
            </w:tcBorders>
            <w:shd w:val="clear" w:color="auto" w:fill="BBE0E3"/>
            <w:noWrap/>
            <w:vAlign w:val="bottom"/>
            <w:hideMark/>
          </w:tcPr>
          <w:p w14:paraId="2CC34D2A" w14:textId="77777777" w:rsidR="00DE79BD" w:rsidRPr="00997DCA" w:rsidRDefault="00DE79BD" w:rsidP="00DE79BD">
            <w:pPr>
              <w:spacing w:before="0" w:after="0"/>
              <w:jc w:val="center"/>
              <w:rPr>
                <w:b/>
                <w:color w:val="000000"/>
                <w:sz w:val="16"/>
                <w:szCs w:val="16"/>
              </w:rPr>
            </w:pPr>
            <w:r w:rsidRPr="00997DCA">
              <w:rPr>
                <w:b/>
                <w:color w:val="000000"/>
                <w:sz w:val="16"/>
                <w:szCs w:val="16"/>
              </w:rPr>
              <w:t>NRM region</w:t>
            </w:r>
          </w:p>
        </w:tc>
        <w:tc>
          <w:tcPr>
            <w:tcW w:w="1720" w:type="dxa"/>
            <w:tcBorders>
              <w:top w:val="single" w:sz="4" w:space="0" w:color="auto"/>
              <w:left w:val="nil"/>
              <w:bottom w:val="single" w:sz="4" w:space="0" w:color="auto"/>
              <w:right w:val="nil"/>
            </w:tcBorders>
            <w:shd w:val="clear" w:color="auto" w:fill="BBE0E3"/>
            <w:noWrap/>
            <w:vAlign w:val="bottom"/>
            <w:hideMark/>
          </w:tcPr>
          <w:p w14:paraId="5B74201E" w14:textId="77777777" w:rsidR="00DE79BD" w:rsidRPr="00997DCA" w:rsidRDefault="00DE79BD" w:rsidP="00DE79BD">
            <w:pPr>
              <w:spacing w:before="0" w:after="0"/>
              <w:jc w:val="center"/>
              <w:rPr>
                <w:b/>
                <w:color w:val="000000"/>
                <w:sz w:val="16"/>
                <w:szCs w:val="16"/>
              </w:rPr>
            </w:pPr>
            <w:r w:rsidRPr="00997DCA">
              <w:rPr>
                <w:b/>
                <w:color w:val="000000"/>
                <w:sz w:val="16"/>
                <w:szCs w:val="16"/>
              </w:rPr>
              <w:t>habitat</w:t>
            </w:r>
          </w:p>
        </w:tc>
        <w:tc>
          <w:tcPr>
            <w:tcW w:w="960" w:type="dxa"/>
            <w:tcBorders>
              <w:top w:val="single" w:sz="4" w:space="0" w:color="auto"/>
              <w:left w:val="nil"/>
              <w:bottom w:val="single" w:sz="4" w:space="0" w:color="auto"/>
              <w:right w:val="nil"/>
            </w:tcBorders>
            <w:shd w:val="clear" w:color="auto" w:fill="BBE0E3"/>
            <w:noWrap/>
            <w:vAlign w:val="bottom"/>
            <w:hideMark/>
          </w:tcPr>
          <w:p w14:paraId="11011344" w14:textId="77777777" w:rsidR="00DE79BD" w:rsidRPr="00997DCA" w:rsidRDefault="00DE79BD" w:rsidP="00DE79BD">
            <w:pPr>
              <w:spacing w:before="0" w:after="0"/>
              <w:jc w:val="center"/>
              <w:rPr>
                <w:b/>
                <w:color w:val="000000"/>
                <w:sz w:val="16"/>
                <w:szCs w:val="16"/>
              </w:rPr>
            </w:pPr>
            <w:r w:rsidRPr="00997DCA">
              <w:rPr>
                <w:b/>
                <w:color w:val="000000"/>
                <w:sz w:val="16"/>
                <w:szCs w:val="16"/>
              </w:rPr>
              <w:t>site</w:t>
            </w:r>
          </w:p>
        </w:tc>
        <w:tc>
          <w:tcPr>
            <w:tcW w:w="1300" w:type="dxa"/>
            <w:tcBorders>
              <w:top w:val="single" w:sz="4" w:space="0" w:color="auto"/>
              <w:left w:val="nil"/>
              <w:bottom w:val="single" w:sz="4" w:space="0" w:color="auto"/>
              <w:right w:val="nil"/>
            </w:tcBorders>
            <w:shd w:val="clear" w:color="auto" w:fill="BBE0E3"/>
            <w:noWrap/>
            <w:vAlign w:val="bottom"/>
            <w:hideMark/>
          </w:tcPr>
          <w:p w14:paraId="714CCE8C" w14:textId="77777777" w:rsidR="00DE79BD" w:rsidRPr="00997DCA" w:rsidRDefault="00DE79BD" w:rsidP="00DE79BD">
            <w:pPr>
              <w:spacing w:before="0" w:after="0"/>
              <w:jc w:val="center"/>
              <w:rPr>
                <w:b/>
                <w:color w:val="000000"/>
                <w:sz w:val="16"/>
                <w:szCs w:val="16"/>
              </w:rPr>
            </w:pPr>
            <w:r w:rsidRPr="00997DCA">
              <w:rPr>
                <w:b/>
                <w:color w:val="000000"/>
                <w:sz w:val="16"/>
                <w:szCs w:val="16"/>
              </w:rPr>
              <w:t>C:N ±SE</w:t>
            </w:r>
          </w:p>
        </w:tc>
        <w:tc>
          <w:tcPr>
            <w:tcW w:w="960" w:type="dxa"/>
            <w:tcBorders>
              <w:top w:val="single" w:sz="4" w:space="0" w:color="auto"/>
              <w:left w:val="nil"/>
              <w:bottom w:val="single" w:sz="4" w:space="0" w:color="auto"/>
              <w:right w:val="nil"/>
            </w:tcBorders>
            <w:shd w:val="clear" w:color="auto" w:fill="BBE0E3"/>
            <w:noWrap/>
            <w:vAlign w:val="bottom"/>
            <w:hideMark/>
          </w:tcPr>
          <w:p w14:paraId="2A9CCF91" w14:textId="77777777" w:rsidR="00DE79BD" w:rsidRPr="00997DCA" w:rsidRDefault="00DE79BD" w:rsidP="00DE79BD">
            <w:pPr>
              <w:spacing w:before="0" w:after="0"/>
              <w:jc w:val="center"/>
              <w:rPr>
                <w:b/>
                <w:color w:val="000000"/>
                <w:sz w:val="16"/>
                <w:szCs w:val="16"/>
              </w:rPr>
            </w:pPr>
            <w:r w:rsidRPr="00997DCA">
              <w:rPr>
                <w:b/>
                <w:color w:val="000000"/>
                <w:sz w:val="16"/>
                <w:szCs w:val="16"/>
              </w:rPr>
              <w:t>score</w:t>
            </w:r>
          </w:p>
        </w:tc>
        <w:tc>
          <w:tcPr>
            <w:tcW w:w="1182" w:type="dxa"/>
            <w:tcBorders>
              <w:top w:val="single" w:sz="4" w:space="0" w:color="auto"/>
              <w:left w:val="nil"/>
              <w:bottom w:val="single" w:sz="4" w:space="0" w:color="auto"/>
              <w:right w:val="nil"/>
            </w:tcBorders>
            <w:shd w:val="clear" w:color="auto" w:fill="BBE0E3"/>
          </w:tcPr>
          <w:p w14:paraId="1AE1519C" w14:textId="46714068" w:rsidR="00DE79BD" w:rsidRPr="00997DCA" w:rsidRDefault="009E460B" w:rsidP="00DE79BD">
            <w:pPr>
              <w:spacing w:before="0" w:after="0"/>
              <w:jc w:val="center"/>
              <w:rPr>
                <w:b/>
                <w:color w:val="000000"/>
                <w:sz w:val="16"/>
                <w:szCs w:val="16"/>
              </w:rPr>
            </w:pPr>
            <w:r>
              <w:rPr>
                <w:b/>
                <w:color w:val="000000"/>
                <w:sz w:val="16"/>
                <w:szCs w:val="16"/>
              </w:rPr>
              <w:t>habitat score</w:t>
            </w:r>
          </w:p>
        </w:tc>
      </w:tr>
      <w:tr w:rsidR="009E460B" w14:paraId="732C8169" w14:textId="51048771" w:rsidTr="009E460B">
        <w:trPr>
          <w:jc w:val="center"/>
        </w:trPr>
        <w:tc>
          <w:tcPr>
            <w:tcW w:w="1920" w:type="dxa"/>
            <w:tcBorders>
              <w:top w:val="single" w:sz="4" w:space="0" w:color="auto"/>
              <w:left w:val="nil"/>
              <w:bottom w:val="nil"/>
              <w:right w:val="nil"/>
            </w:tcBorders>
            <w:noWrap/>
            <w:vAlign w:val="bottom"/>
            <w:hideMark/>
          </w:tcPr>
          <w:p w14:paraId="3EC01C7E" w14:textId="77777777" w:rsidR="009E460B" w:rsidRDefault="009E460B" w:rsidP="00DE79BD">
            <w:pPr>
              <w:spacing w:before="0" w:after="0" w:line="180" w:lineRule="exact"/>
              <w:jc w:val="center"/>
              <w:rPr>
                <w:color w:val="000000"/>
                <w:sz w:val="16"/>
                <w:szCs w:val="16"/>
              </w:rPr>
            </w:pPr>
            <w:r>
              <w:rPr>
                <w:color w:val="000000"/>
                <w:sz w:val="16"/>
                <w:szCs w:val="16"/>
              </w:rPr>
              <w:t>Cape York</w:t>
            </w:r>
          </w:p>
        </w:tc>
        <w:tc>
          <w:tcPr>
            <w:tcW w:w="1720" w:type="dxa"/>
            <w:tcBorders>
              <w:top w:val="single" w:sz="4" w:space="0" w:color="auto"/>
              <w:left w:val="nil"/>
              <w:bottom w:val="nil"/>
              <w:right w:val="nil"/>
            </w:tcBorders>
            <w:shd w:val="clear" w:color="auto" w:fill="E7F3F4"/>
            <w:noWrap/>
            <w:vAlign w:val="bottom"/>
            <w:hideMark/>
          </w:tcPr>
          <w:p w14:paraId="6B11F6BF" w14:textId="77777777" w:rsidR="009E460B" w:rsidRDefault="009E460B" w:rsidP="00DE79BD">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2B33E996" w14:textId="77777777" w:rsidR="009E460B" w:rsidRDefault="009E460B" w:rsidP="00DE79BD">
            <w:pPr>
              <w:spacing w:before="0" w:after="0" w:line="180" w:lineRule="exact"/>
              <w:jc w:val="center"/>
              <w:rPr>
                <w:color w:val="000000"/>
                <w:sz w:val="16"/>
                <w:szCs w:val="16"/>
              </w:rPr>
            </w:pPr>
            <w:r>
              <w:rPr>
                <w:color w:val="000000"/>
                <w:sz w:val="16"/>
                <w:szCs w:val="16"/>
              </w:rPr>
              <w:t>BY1</w:t>
            </w:r>
          </w:p>
        </w:tc>
        <w:tc>
          <w:tcPr>
            <w:tcW w:w="1300" w:type="dxa"/>
            <w:tcBorders>
              <w:top w:val="single" w:sz="4" w:space="0" w:color="auto"/>
              <w:left w:val="nil"/>
              <w:bottom w:val="nil"/>
              <w:right w:val="nil"/>
            </w:tcBorders>
            <w:shd w:val="clear" w:color="auto" w:fill="E7F3F4"/>
            <w:noWrap/>
            <w:vAlign w:val="center"/>
            <w:hideMark/>
          </w:tcPr>
          <w:p w14:paraId="0194DE1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23.04 ±1.03</w:t>
            </w:r>
          </w:p>
        </w:tc>
        <w:tc>
          <w:tcPr>
            <w:tcW w:w="960" w:type="dxa"/>
            <w:tcBorders>
              <w:top w:val="single" w:sz="4" w:space="0" w:color="auto"/>
              <w:left w:val="nil"/>
              <w:bottom w:val="nil"/>
              <w:right w:val="nil"/>
            </w:tcBorders>
            <w:shd w:val="clear" w:color="auto" w:fill="E7F3F4"/>
            <w:noWrap/>
            <w:vAlign w:val="center"/>
            <w:hideMark/>
          </w:tcPr>
          <w:p w14:paraId="4717B2A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65.22</w:t>
            </w:r>
          </w:p>
        </w:tc>
        <w:tc>
          <w:tcPr>
            <w:tcW w:w="1182" w:type="dxa"/>
            <w:vMerge w:val="restart"/>
            <w:tcBorders>
              <w:top w:val="single" w:sz="4" w:space="0" w:color="auto"/>
              <w:left w:val="nil"/>
              <w:right w:val="nil"/>
            </w:tcBorders>
            <w:shd w:val="clear" w:color="auto" w:fill="E7F3F4"/>
            <w:vAlign w:val="center"/>
          </w:tcPr>
          <w:p w14:paraId="35CCD59D" w14:textId="2A506A89"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51</w:t>
            </w:r>
          </w:p>
        </w:tc>
      </w:tr>
      <w:tr w:rsidR="009E460B" w14:paraId="40506087" w14:textId="0E2BC087" w:rsidTr="009E460B">
        <w:trPr>
          <w:jc w:val="center"/>
        </w:trPr>
        <w:tc>
          <w:tcPr>
            <w:tcW w:w="1920" w:type="dxa"/>
            <w:noWrap/>
            <w:vAlign w:val="bottom"/>
          </w:tcPr>
          <w:p w14:paraId="0D6D83EC" w14:textId="77777777" w:rsidR="009E460B" w:rsidRDefault="009E460B" w:rsidP="00DE79BD">
            <w:pPr>
              <w:spacing w:before="0" w:after="0" w:line="180" w:lineRule="exact"/>
              <w:jc w:val="center"/>
              <w:rPr>
                <w:color w:val="000000"/>
                <w:sz w:val="16"/>
                <w:szCs w:val="16"/>
              </w:rPr>
            </w:pPr>
          </w:p>
        </w:tc>
        <w:tc>
          <w:tcPr>
            <w:tcW w:w="1720" w:type="dxa"/>
            <w:shd w:val="clear" w:color="auto" w:fill="E7F3F4"/>
            <w:noWrap/>
            <w:vAlign w:val="bottom"/>
          </w:tcPr>
          <w:p w14:paraId="3D6AA211" w14:textId="77777777" w:rsidR="009E460B" w:rsidRDefault="009E460B" w:rsidP="00DE79BD">
            <w:pPr>
              <w:spacing w:before="0" w:after="0" w:line="180" w:lineRule="exact"/>
              <w:jc w:val="center"/>
              <w:rPr>
                <w:color w:val="000000"/>
                <w:sz w:val="16"/>
                <w:szCs w:val="16"/>
              </w:rPr>
            </w:pPr>
          </w:p>
        </w:tc>
        <w:tc>
          <w:tcPr>
            <w:tcW w:w="960" w:type="dxa"/>
            <w:shd w:val="clear" w:color="auto" w:fill="E7F3F4"/>
            <w:noWrap/>
            <w:vAlign w:val="bottom"/>
            <w:hideMark/>
          </w:tcPr>
          <w:p w14:paraId="3ED83BE5" w14:textId="77777777" w:rsidR="009E460B" w:rsidRDefault="009E460B" w:rsidP="00DE79BD">
            <w:pPr>
              <w:spacing w:before="0" w:after="0" w:line="180" w:lineRule="exact"/>
              <w:jc w:val="center"/>
              <w:rPr>
                <w:color w:val="000000"/>
                <w:sz w:val="16"/>
                <w:szCs w:val="16"/>
              </w:rPr>
            </w:pPr>
            <w:r>
              <w:rPr>
                <w:color w:val="000000"/>
                <w:sz w:val="16"/>
                <w:szCs w:val="16"/>
              </w:rPr>
              <w:t>BY2</w:t>
            </w:r>
          </w:p>
        </w:tc>
        <w:tc>
          <w:tcPr>
            <w:tcW w:w="1300" w:type="dxa"/>
            <w:shd w:val="clear" w:color="auto" w:fill="E7F3F4"/>
            <w:noWrap/>
            <w:vAlign w:val="center"/>
            <w:hideMark/>
          </w:tcPr>
          <w:p w14:paraId="087E923E"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17.45 ±0.32</w:t>
            </w:r>
          </w:p>
        </w:tc>
        <w:tc>
          <w:tcPr>
            <w:tcW w:w="960" w:type="dxa"/>
            <w:shd w:val="clear" w:color="auto" w:fill="E7F3F4"/>
            <w:noWrap/>
            <w:vAlign w:val="center"/>
            <w:hideMark/>
          </w:tcPr>
          <w:p w14:paraId="7ABD0406"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37.24</w:t>
            </w:r>
          </w:p>
        </w:tc>
        <w:tc>
          <w:tcPr>
            <w:tcW w:w="1182" w:type="dxa"/>
            <w:vMerge/>
            <w:shd w:val="clear" w:color="auto" w:fill="E7F3F4"/>
          </w:tcPr>
          <w:p w14:paraId="3F85C260" w14:textId="77777777" w:rsidR="009E460B" w:rsidRPr="00997DCA" w:rsidRDefault="009E460B" w:rsidP="00DE79BD">
            <w:pPr>
              <w:spacing w:before="0" w:after="0"/>
              <w:jc w:val="center"/>
              <w:rPr>
                <w:rFonts w:asciiTheme="minorHAnsi" w:hAnsiTheme="minorHAnsi"/>
                <w:color w:val="000000"/>
                <w:sz w:val="16"/>
                <w:szCs w:val="16"/>
              </w:rPr>
            </w:pPr>
          </w:p>
        </w:tc>
      </w:tr>
      <w:tr w:rsidR="009E460B" w14:paraId="7F170B20" w14:textId="097EB3B8" w:rsidTr="009E460B">
        <w:trPr>
          <w:jc w:val="center"/>
        </w:trPr>
        <w:tc>
          <w:tcPr>
            <w:tcW w:w="1920" w:type="dxa"/>
            <w:noWrap/>
            <w:vAlign w:val="bottom"/>
          </w:tcPr>
          <w:p w14:paraId="6693E8BE" w14:textId="77777777" w:rsidR="009E460B" w:rsidRDefault="009E460B" w:rsidP="00DE79BD">
            <w:pPr>
              <w:spacing w:before="0" w:after="0" w:line="180" w:lineRule="exact"/>
              <w:jc w:val="center"/>
              <w:rPr>
                <w:color w:val="000000"/>
                <w:sz w:val="16"/>
                <w:szCs w:val="16"/>
              </w:rPr>
            </w:pPr>
          </w:p>
        </w:tc>
        <w:tc>
          <w:tcPr>
            <w:tcW w:w="1720" w:type="dxa"/>
            <w:shd w:val="clear" w:color="auto" w:fill="E7F3F4"/>
            <w:noWrap/>
            <w:vAlign w:val="bottom"/>
          </w:tcPr>
          <w:p w14:paraId="5354A8B9" w14:textId="77777777" w:rsidR="009E460B" w:rsidRDefault="009E460B" w:rsidP="00DE79BD">
            <w:pPr>
              <w:spacing w:before="0" w:after="0" w:line="180" w:lineRule="exact"/>
              <w:jc w:val="center"/>
              <w:rPr>
                <w:color w:val="000000"/>
                <w:sz w:val="16"/>
                <w:szCs w:val="16"/>
              </w:rPr>
            </w:pPr>
          </w:p>
        </w:tc>
        <w:tc>
          <w:tcPr>
            <w:tcW w:w="960" w:type="dxa"/>
            <w:shd w:val="clear" w:color="auto" w:fill="E7F3F4"/>
            <w:noWrap/>
            <w:vAlign w:val="bottom"/>
            <w:hideMark/>
          </w:tcPr>
          <w:p w14:paraId="71D9AA07" w14:textId="77777777" w:rsidR="009E460B" w:rsidRDefault="009E460B" w:rsidP="00DE79BD">
            <w:pPr>
              <w:spacing w:before="0" w:after="0" w:line="180" w:lineRule="exact"/>
              <w:jc w:val="center"/>
              <w:rPr>
                <w:color w:val="000000"/>
                <w:sz w:val="16"/>
                <w:szCs w:val="16"/>
              </w:rPr>
            </w:pPr>
            <w:r>
              <w:rPr>
                <w:color w:val="000000"/>
                <w:sz w:val="16"/>
                <w:szCs w:val="16"/>
              </w:rPr>
              <w:t>SR1</w:t>
            </w:r>
          </w:p>
        </w:tc>
        <w:tc>
          <w:tcPr>
            <w:tcW w:w="1300" w:type="dxa"/>
            <w:shd w:val="clear" w:color="auto" w:fill="E7F3F4"/>
            <w:noWrap/>
            <w:vAlign w:val="center"/>
            <w:hideMark/>
          </w:tcPr>
          <w:p w14:paraId="465CD32A" w14:textId="77777777" w:rsidR="009E460B" w:rsidRPr="00997DCA" w:rsidRDefault="009E460B" w:rsidP="00DE79BD">
            <w:pPr>
              <w:spacing w:before="0" w:after="0"/>
              <w:jc w:val="center"/>
              <w:rPr>
                <w:rFonts w:asciiTheme="minorHAnsi" w:hAnsiTheme="minorHAnsi"/>
                <w:color w:val="000000"/>
                <w:sz w:val="16"/>
                <w:szCs w:val="16"/>
              </w:rPr>
            </w:pPr>
          </w:p>
        </w:tc>
        <w:tc>
          <w:tcPr>
            <w:tcW w:w="960" w:type="dxa"/>
            <w:shd w:val="clear" w:color="auto" w:fill="E7F3F4"/>
            <w:noWrap/>
            <w:vAlign w:val="center"/>
            <w:hideMark/>
          </w:tcPr>
          <w:p w14:paraId="721DDF93" w14:textId="77777777" w:rsidR="009E460B" w:rsidRPr="00997DCA" w:rsidRDefault="009E460B" w:rsidP="00DE79BD">
            <w:pPr>
              <w:spacing w:before="0" w:after="0"/>
              <w:jc w:val="center"/>
              <w:rPr>
                <w:rFonts w:asciiTheme="minorHAnsi" w:hAnsiTheme="minorHAnsi"/>
                <w:sz w:val="16"/>
                <w:szCs w:val="16"/>
              </w:rPr>
            </w:pPr>
          </w:p>
        </w:tc>
        <w:tc>
          <w:tcPr>
            <w:tcW w:w="1182" w:type="dxa"/>
            <w:vMerge/>
            <w:shd w:val="clear" w:color="auto" w:fill="E7F3F4"/>
          </w:tcPr>
          <w:p w14:paraId="5CC16153" w14:textId="77777777" w:rsidR="009E460B" w:rsidRPr="00997DCA" w:rsidRDefault="009E460B" w:rsidP="00DE79BD">
            <w:pPr>
              <w:spacing w:before="0" w:after="0"/>
              <w:jc w:val="center"/>
              <w:rPr>
                <w:rFonts w:asciiTheme="minorHAnsi" w:hAnsiTheme="minorHAnsi"/>
                <w:sz w:val="16"/>
                <w:szCs w:val="16"/>
              </w:rPr>
            </w:pPr>
          </w:p>
        </w:tc>
      </w:tr>
      <w:tr w:rsidR="009E460B" w:rsidRPr="00AE2CD6" w14:paraId="49369FA5" w14:textId="01BF91EF" w:rsidTr="009E460B">
        <w:trPr>
          <w:jc w:val="center"/>
        </w:trPr>
        <w:tc>
          <w:tcPr>
            <w:tcW w:w="1920" w:type="dxa"/>
            <w:noWrap/>
            <w:vAlign w:val="bottom"/>
          </w:tcPr>
          <w:p w14:paraId="3212CD3A"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1657F4A0"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47506DB3" w14:textId="77777777" w:rsidR="009E460B" w:rsidRPr="00AE2CD6" w:rsidRDefault="009E460B" w:rsidP="00DE79BD">
            <w:pPr>
              <w:spacing w:before="0" w:after="0" w:line="180" w:lineRule="exact"/>
              <w:jc w:val="center"/>
              <w:rPr>
                <w:sz w:val="16"/>
                <w:szCs w:val="16"/>
              </w:rPr>
            </w:pPr>
            <w:r w:rsidRPr="00AE2CD6">
              <w:rPr>
                <w:sz w:val="16"/>
                <w:szCs w:val="16"/>
              </w:rPr>
              <w:t>SR2</w:t>
            </w:r>
          </w:p>
        </w:tc>
        <w:tc>
          <w:tcPr>
            <w:tcW w:w="1300" w:type="dxa"/>
            <w:shd w:val="clear" w:color="auto" w:fill="E7F3F4"/>
            <w:noWrap/>
            <w:vAlign w:val="center"/>
            <w:hideMark/>
          </w:tcPr>
          <w:p w14:paraId="738D421E" w14:textId="77777777" w:rsidR="009E460B" w:rsidRPr="00997DCA" w:rsidRDefault="009E460B" w:rsidP="00DE79BD">
            <w:pPr>
              <w:spacing w:before="0" w:after="0"/>
              <w:jc w:val="center"/>
              <w:rPr>
                <w:rFonts w:asciiTheme="minorHAnsi" w:hAnsiTheme="minorHAnsi"/>
                <w:sz w:val="16"/>
                <w:szCs w:val="16"/>
              </w:rPr>
            </w:pPr>
          </w:p>
        </w:tc>
        <w:tc>
          <w:tcPr>
            <w:tcW w:w="960" w:type="dxa"/>
            <w:shd w:val="clear" w:color="auto" w:fill="E7F3F4"/>
            <w:noWrap/>
            <w:vAlign w:val="center"/>
            <w:hideMark/>
          </w:tcPr>
          <w:p w14:paraId="0D2E6DCA" w14:textId="77777777" w:rsidR="009E460B" w:rsidRPr="00997DCA" w:rsidRDefault="009E460B" w:rsidP="00DE79BD">
            <w:pPr>
              <w:spacing w:before="0" w:after="0"/>
              <w:jc w:val="center"/>
              <w:rPr>
                <w:rFonts w:asciiTheme="minorHAnsi" w:hAnsiTheme="minorHAnsi"/>
                <w:sz w:val="16"/>
                <w:szCs w:val="16"/>
              </w:rPr>
            </w:pPr>
          </w:p>
        </w:tc>
        <w:tc>
          <w:tcPr>
            <w:tcW w:w="1182" w:type="dxa"/>
            <w:vMerge/>
            <w:shd w:val="clear" w:color="auto" w:fill="E7F3F4"/>
          </w:tcPr>
          <w:p w14:paraId="2D4E3D11" w14:textId="77777777" w:rsidR="009E460B" w:rsidRPr="00997DCA" w:rsidRDefault="009E460B" w:rsidP="00DE79BD">
            <w:pPr>
              <w:spacing w:before="0" w:after="0"/>
              <w:jc w:val="center"/>
              <w:rPr>
                <w:rFonts w:asciiTheme="minorHAnsi" w:hAnsiTheme="minorHAnsi"/>
                <w:sz w:val="16"/>
                <w:szCs w:val="16"/>
              </w:rPr>
            </w:pPr>
          </w:p>
        </w:tc>
      </w:tr>
      <w:tr w:rsidR="009E460B" w:rsidRPr="00AE2CD6" w14:paraId="1E0A7335" w14:textId="16EF023D" w:rsidTr="002702CB">
        <w:trPr>
          <w:jc w:val="center"/>
        </w:trPr>
        <w:tc>
          <w:tcPr>
            <w:tcW w:w="1920" w:type="dxa"/>
            <w:noWrap/>
            <w:vAlign w:val="bottom"/>
          </w:tcPr>
          <w:p w14:paraId="4FB1524E" w14:textId="77777777" w:rsidR="009E460B" w:rsidRPr="00AE2CD6"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60AF4A95" w14:textId="77777777" w:rsidR="009E460B" w:rsidRPr="00AE2CD6" w:rsidRDefault="009E460B" w:rsidP="00DE79BD">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3FCD2493" w14:textId="77777777" w:rsidR="009E460B" w:rsidRPr="00AE2CD6" w:rsidRDefault="009E460B" w:rsidP="00DE79BD">
            <w:pPr>
              <w:spacing w:before="0" w:after="0" w:line="180" w:lineRule="exact"/>
              <w:jc w:val="center"/>
              <w:rPr>
                <w:sz w:val="16"/>
                <w:szCs w:val="16"/>
              </w:rPr>
            </w:pPr>
            <w:r w:rsidRPr="00AE2CD6">
              <w:rPr>
                <w:sz w:val="16"/>
                <w:szCs w:val="16"/>
              </w:rPr>
              <w:t>AP1</w:t>
            </w:r>
          </w:p>
        </w:tc>
        <w:tc>
          <w:tcPr>
            <w:tcW w:w="1300" w:type="dxa"/>
            <w:tcBorders>
              <w:top w:val="single" w:sz="4" w:space="0" w:color="auto"/>
              <w:left w:val="nil"/>
              <w:bottom w:val="nil"/>
              <w:right w:val="nil"/>
            </w:tcBorders>
            <w:shd w:val="clear" w:color="auto" w:fill="F3F9FA"/>
            <w:noWrap/>
            <w:vAlign w:val="center"/>
            <w:hideMark/>
          </w:tcPr>
          <w:p w14:paraId="3C00EB3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15.41 ±1.45</w:t>
            </w:r>
          </w:p>
        </w:tc>
        <w:tc>
          <w:tcPr>
            <w:tcW w:w="960" w:type="dxa"/>
            <w:tcBorders>
              <w:top w:val="single" w:sz="4" w:space="0" w:color="auto"/>
              <w:left w:val="nil"/>
              <w:bottom w:val="nil"/>
              <w:right w:val="nil"/>
            </w:tcBorders>
            <w:shd w:val="clear" w:color="auto" w:fill="F3F9FA"/>
            <w:noWrap/>
            <w:vAlign w:val="center"/>
            <w:hideMark/>
          </w:tcPr>
          <w:p w14:paraId="0A4BEE87"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27.07</w:t>
            </w:r>
          </w:p>
        </w:tc>
        <w:tc>
          <w:tcPr>
            <w:tcW w:w="1182" w:type="dxa"/>
            <w:vMerge w:val="restart"/>
            <w:tcBorders>
              <w:top w:val="single" w:sz="4" w:space="0" w:color="auto"/>
              <w:left w:val="nil"/>
              <w:right w:val="nil"/>
            </w:tcBorders>
            <w:shd w:val="clear" w:color="auto" w:fill="F3F9FA"/>
          </w:tcPr>
          <w:p w14:paraId="6A359AED" w14:textId="12F8F811" w:rsidR="009E460B" w:rsidRPr="00997DCA" w:rsidRDefault="009E460B" w:rsidP="00DE79BD">
            <w:pPr>
              <w:spacing w:before="0" w:after="0"/>
              <w:jc w:val="center"/>
              <w:rPr>
                <w:rFonts w:asciiTheme="minorHAnsi" w:hAnsiTheme="minorHAnsi"/>
                <w:color w:val="000000"/>
                <w:sz w:val="16"/>
                <w:szCs w:val="16"/>
              </w:rPr>
            </w:pPr>
            <w:r>
              <w:rPr>
                <w:rFonts w:asciiTheme="minorHAnsi" w:hAnsiTheme="minorHAnsi"/>
                <w:color w:val="000000"/>
                <w:sz w:val="16"/>
                <w:szCs w:val="16"/>
              </w:rPr>
              <w:t>32</w:t>
            </w:r>
          </w:p>
        </w:tc>
      </w:tr>
      <w:tr w:rsidR="009E460B" w:rsidRPr="00AE2CD6" w14:paraId="7D7F0781" w14:textId="25855BDA" w:rsidTr="009E460B">
        <w:trPr>
          <w:jc w:val="center"/>
        </w:trPr>
        <w:tc>
          <w:tcPr>
            <w:tcW w:w="1920" w:type="dxa"/>
            <w:noWrap/>
            <w:vAlign w:val="bottom"/>
          </w:tcPr>
          <w:p w14:paraId="11F27AA5"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1E57BCDF"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26F581F1" w14:textId="77777777" w:rsidR="009E460B" w:rsidRPr="00AE2CD6" w:rsidRDefault="009E460B" w:rsidP="00DE79BD">
            <w:pPr>
              <w:spacing w:before="0" w:after="0" w:line="180" w:lineRule="exact"/>
              <w:jc w:val="center"/>
              <w:rPr>
                <w:sz w:val="16"/>
                <w:szCs w:val="16"/>
              </w:rPr>
            </w:pPr>
            <w:r w:rsidRPr="00AE2CD6">
              <w:rPr>
                <w:sz w:val="16"/>
                <w:szCs w:val="16"/>
              </w:rPr>
              <w:t>AP2</w:t>
            </w:r>
          </w:p>
        </w:tc>
        <w:tc>
          <w:tcPr>
            <w:tcW w:w="1300" w:type="dxa"/>
            <w:shd w:val="clear" w:color="auto" w:fill="F3F9FA"/>
            <w:noWrap/>
            <w:vAlign w:val="center"/>
            <w:hideMark/>
          </w:tcPr>
          <w:p w14:paraId="3386C69B"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24.09 ±0.45</w:t>
            </w:r>
          </w:p>
        </w:tc>
        <w:tc>
          <w:tcPr>
            <w:tcW w:w="960" w:type="dxa"/>
            <w:shd w:val="clear" w:color="auto" w:fill="F3F9FA"/>
            <w:noWrap/>
            <w:vAlign w:val="center"/>
            <w:hideMark/>
          </w:tcPr>
          <w:p w14:paraId="547DE9CC"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0.45</w:t>
            </w:r>
          </w:p>
        </w:tc>
        <w:tc>
          <w:tcPr>
            <w:tcW w:w="1182" w:type="dxa"/>
            <w:vMerge/>
            <w:shd w:val="clear" w:color="auto" w:fill="F3F9FA"/>
          </w:tcPr>
          <w:p w14:paraId="0821874D"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09098C85" w14:textId="095044EE" w:rsidTr="009E460B">
        <w:trPr>
          <w:jc w:val="center"/>
        </w:trPr>
        <w:tc>
          <w:tcPr>
            <w:tcW w:w="1920" w:type="dxa"/>
            <w:noWrap/>
            <w:vAlign w:val="bottom"/>
          </w:tcPr>
          <w:p w14:paraId="0D4FDC3F"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4BC12471"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4B9FEECC" w14:textId="77777777" w:rsidR="009E460B" w:rsidRPr="00AE2CD6" w:rsidRDefault="009E460B" w:rsidP="00DE79BD">
            <w:pPr>
              <w:spacing w:before="0" w:after="0" w:line="180" w:lineRule="exact"/>
              <w:jc w:val="center"/>
              <w:rPr>
                <w:sz w:val="16"/>
                <w:szCs w:val="16"/>
              </w:rPr>
            </w:pPr>
            <w:r w:rsidRPr="00AE2CD6">
              <w:rPr>
                <w:sz w:val="16"/>
                <w:szCs w:val="16"/>
              </w:rPr>
              <w:t>FR1</w:t>
            </w:r>
          </w:p>
        </w:tc>
        <w:tc>
          <w:tcPr>
            <w:tcW w:w="1300" w:type="dxa"/>
            <w:shd w:val="clear" w:color="auto" w:fill="F3F9FA"/>
            <w:noWrap/>
            <w:vAlign w:val="center"/>
            <w:hideMark/>
          </w:tcPr>
          <w:p w14:paraId="5198E997"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17.97 ±0.97</w:t>
            </w:r>
          </w:p>
        </w:tc>
        <w:tc>
          <w:tcPr>
            <w:tcW w:w="960" w:type="dxa"/>
            <w:shd w:val="clear" w:color="auto" w:fill="F3F9FA"/>
            <w:noWrap/>
            <w:vAlign w:val="center"/>
            <w:hideMark/>
          </w:tcPr>
          <w:p w14:paraId="72462BC1"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39.85</w:t>
            </w:r>
          </w:p>
        </w:tc>
        <w:tc>
          <w:tcPr>
            <w:tcW w:w="1182" w:type="dxa"/>
            <w:vMerge/>
            <w:shd w:val="clear" w:color="auto" w:fill="F3F9FA"/>
          </w:tcPr>
          <w:p w14:paraId="67711B87"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35BAB89C" w14:textId="7939E54D" w:rsidTr="009E460B">
        <w:trPr>
          <w:jc w:val="center"/>
        </w:trPr>
        <w:tc>
          <w:tcPr>
            <w:tcW w:w="1920" w:type="dxa"/>
            <w:noWrap/>
            <w:vAlign w:val="bottom"/>
          </w:tcPr>
          <w:p w14:paraId="4E60721A"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65063A97"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tcPr>
          <w:p w14:paraId="3B02A951" w14:textId="77777777" w:rsidR="009E460B" w:rsidRPr="00AE2CD6" w:rsidRDefault="009E460B" w:rsidP="00DE79BD">
            <w:pPr>
              <w:spacing w:before="0" w:after="0" w:line="180" w:lineRule="exact"/>
              <w:jc w:val="center"/>
              <w:rPr>
                <w:sz w:val="16"/>
                <w:szCs w:val="16"/>
              </w:rPr>
            </w:pPr>
            <w:r>
              <w:rPr>
                <w:sz w:val="16"/>
                <w:szCs w:val="16"/>
              </w:rPr>
              <w:t>FR2</w:t>
            </w:r>
          </w:p>
        </w:tc>
        <w:tc>
          <w:tcPr>
            <w:tcW w:w="1300" w:type="dxa"/>
            <w:shd w:val="clear" w:color="auto" w:fill="F3F9FA"/>
            <w:noWrap/>
            <w:vAlign w:val="center"/>
          </w:tcPr>
          <w:p w14:paraId="702668EE"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16.58 ±0.24</w:t>
            </w:r>
          </w:p>
        </w:tc>
        <w:tc>
          <w:tcPr>
            <w:tcW w:w="960" w:type="dxa"/>
            <w:shd w:val="clear" w:color="auto" w:fill="F3F9FA"/>
            <w:noWrap/>
            <w:vAlign w:val="center"/>
          </w:tcPr>
          <w:p w14:paraId="0C9470DE"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32.9</w:t>
            </w:r>
          </w:p>
        </w:tc>
        <w:tc>
          <w:tcPr>
            <w:tcW w:w="1182" w:type="dxa"/>
            <w:vMerge/>
            <w:shd w:val="clear" w:color="auto" w:fill="F3F9FA"/>
          </w:tcPr>
          <w:p w14:paraId="3D1EC451"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321C955A" w14:textId="605E2F51" w:rsidTr="009E460B">
        <w:trPr>
          <w:jc w:val="center"/>
        </w:trPr>
        <w:tc>
          <w:tcPr>
            <w:tcW w:w="1920" w:type="dxa"/>
            <w:noWrap/>
            <w:vAlign w:val="bottom"/>
          </w:tcPr>
          <w:p w14:paraId="574908D8"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27E52DF2"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1E2070D6" w14:textId="77777777" w:rsidR="009E460B" w:rsidRPr="00AE2CD6" w:rsidRDefault="009E460B" w:rsidP="00DE79BD">
            <w:pPr>
              <w:spacing w:before="0" w:after="0" w:line="180" w:lineRule="exact"/>
              <w:jc w:val="center"/>
              <w:rPr>
                <w:sz w:val="16"/>
                <w:szCs w:val="16"/>
              </w:rPr>
            </w:pPr>
            <w:r w:rsidRPr="00AE2CD6">
              <w:rPr>
                <w:sz w:val="16"/>
                <w:szCs w:val="16"/>
              </w:rPr>
              <w:t>ST1</w:t>
            </w:r>
          </w:p>
        </w:tc>
        <w:tc>
          <w:tcPr>
            <w:tcW w:w="1300" w:type="dxa"/>
            <w:shd w:val="clear" w:color="auto" w:fill="F3F9FA"/>
            <w:noWrap/>
            <w:vAlign w:val="center"/>
            <w:hideMark/>
          </w:tcPr>
          <w:p w14:paraId="5D95860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18.94 ±0.67</w:t>
            </w:r>
          </w:p>
        </w:tc>
        <w:tc>
          <w:tcPr>
            <w:tcW w:w="960" w:type="dxa"/>
            <w:shd w:val="clear" w:color="auto" w:fill="F3F9FA"/>
            <w:noWrap/>
            <w:vAlign w:val="center"/>
            <w:hideMark/>
          </w:tcPr>
          <w:p w14:paraId="4C429A0C"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44.68</w:t>
            </w:r>
          </w:p>
        </w:tc>
        <w:tc>
          <w:tcPr>
            <w:tcW w:w="1182" w:type="dxa"/>
            <w:vMerge/>
            <w:shd w:val="clear" w:color="auto" w:fill="F3F9FA"/>
          </w:tcPr>
          <w:p w14:paraId="184A12BD"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1A3EB187" w14:textId="6CBDAE1B" w:rsidTr="009E460B">
        <w:trPr>
          <w:jc w:val="center"/>
        </w:trPr>
        <w:tc>
          <w:tcPr>
            <w:tcW w:w="1920" w:type="dxa"/>
            <w:noWrap/>
            <w:vAlign w:val="bottom"/>
          </w:tcPr>
          <w:p w14:paraId="0D9A731E"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793EFC12"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005924E5" w14:textId="77777777" w:rsidR="009E460B" w:rsidRPr="00AE2CD6" w:rsidRDefault="009E460B" w:rsidP="00DE79BD">
            <w:pPr>
              <w:spacing w:before="0" w:after="0" w:line="180" w:lineRule="exact"/>
              <w:jc w:val="center"/>
              <w:rPr>
                <w:sz w:val="16"/>
                <w:szCs w:val="16"/>
              </w:rPr>
            </w:pPr>
            <w:r w:rsidRPr="00AE2CD6">
              <w:rPr>
                <w:sz w:val="16"/>
                <w:szCs w:val="16"/>
              </w:rPr>
              <w:t>ST2</w:t>
            </w:r>
          </w:p>
        </w:tc>
        <w:tc>
          <w:tcPr>
            <w:tcW w:w="1300" w:type="dxa"/>
            <w:shd w:val="clear" w:color="auto" w:fill="F3F9FA"/>
            <w:noWrap/>
            <w:vAlign w:val="center"/>
            <w:hideMark/>
          </w:tcPr>
          <w:p w14:paraId="76E91D76"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18.81 ±0.36</w:t>
            </w:r>
          </w:p>
        </w:tc>
        <w:tc>
          <w:tcPr>
            <w:tcW w:w="960" w:type="dxa"/>
            <w:shd w:val="clear" w:color="auto" w:fill="F3F9FA"/>
            <w:noWrap/>
            <w:vAlign w:val="center"/>
            <w:hideMark/>
          </w:tcPr>
          <w:p w14:paraId="681C218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44.06</w:t>
            </w:r>
          </w:p>
        </w:tc>
        <w:tc>
          <w:tcPr>
            <w:tcW w:w="1182" w:type="dxa"/>
            <w:vMerge/>
            <w:shd w:val="clear" w:color="auto" w:fill="F3F9FA"/>
          </w:tcPr>
          <w:p w14:paraId="43CD2CA8" w14:textId="77777777" w:rsidR="009E460B" w:rsidRPr="00997DCA" w:rsidRDefault="009E460B" w:rsidP="00DE79BD">
            <w:pPr>
              <w:spacing w:before="0" w:after="0"/>
              <w:jc w:val="center"/>
              <w:rPr>
                <w:rFonts w:asciiTheme="minorHAnsi" w:hAnsiTheme="minorHAnsi"/>
                <w:color w:val="000000"/>
                <w:sz w:val="16"/>
                <w:szCs w:val="16"/>
              </w:rPr>
            </w:pPr>
          </w:p>
        </w:tc>
      </w:tr>
      <w:tr w:rsidR="00DE79BD" w:rsidRPr="00AE2CD6" w14:paraId="2A8BDE40" w14:textId="41D267A7" w:rsidTr="009E460B">
        <w:trPr>
          <w:jc w:val="center"/>
        </w:trPr>
        <w:tc>
          <w:tcPr>
            <w:tcW w:w="1920" w:type="dxa"/>
            <w:tcBorders>
              <w:top w:val="nil"/>
              <w:left w:val="nil"/>
              <w:bottom w:val="single" w:sz="4" w:space="0" w:color="auto"/>
              <w:right w:val="nil"/>
            </w:tcBorders>
            <w:noWrap/>
            <w:vAlign w:val="bottom"/>
          </w:tcPr>
          <w:p w14:paraId="10866F14" w14:textId="77777777" w:rsidR="00DE79BD" w:rsidRPr="00AE2CD6" w:rsidRDefault="00DE79BD" w:rsidP="00DE79BD">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1060005A" w14:textId="1DA33805" w:rsidR="00DE79BD" w:rsidRPr="00AE2CD6" w:rsidRDefault="009E460B" w:rsidP="00DE79BD">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4DFA2502" w14:textId="77777777" w:rsidR="00DE79BD" w:rsidRPr="00AE2CD6" w:rsidRDefault="00DE79BD" w:rsidP="00DE79BD">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center"/>
          </w:tcPr>
          <w:p w14:paraId="106A8CEE" w14:textId="77777777" w:rsidR="00DE79BD" w:rsidRPr="00997DCA" w:rsidRDefault="00DE79BD"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single" w:sz="4" w:space="0" w:color="auto"/>
              <w:right w:val="nil"/>
            </w:tcBorders>
            <w:noWrap/>
            <w:vAlign w:val="center"/>
            <w:hideMark/>
          </w:tcPr>
          <w:p w14:paraId="62AD39B6" w14:textId="77777777" w:rsidR="00DE79BD" w:rsidRPr="00997DCA" w:rsidRDefault="00DE79BD" w:rsidP="00DE79BD">
            <w:pPr>
              <w:spacing w:before="0" w:after="0"/>
              <w:jc w:val="center"/>
              <w:rPr>
                <w:rFonts w:asciiTheme="minorHAnsi" w:hAnsiTheme="minorHAnsi"/>
                <w:b/>
                <w:color w:val="000000"/>
                <w:sz w:val="16"/>
                <w:szCs w:val="16"/>
              </w:rPr>
            </w:pPr>
            <w:r w:rsidRPr="00997DCA">
              <w:rPr>
                <w:rFonts w:asciiTheme="minorHAnsi" w:hAnsiTheme="minorHAnsi"/>
                <w:b/>
                <w:color w:val="000000"/>
                <w:sz w:val="16"/>
                <w:szCs w:val="16"/>
              </w:rPr>
              <w:t>41</w:t>
            </w:r>
          </w:p>
        </w:tc>
        <w:tc>
          <w:tcPr>
            <w:tcW w:w="1182" w:type="dxa"/>
            <w:tcBorders>
              <w:top w:val="single" w:sz="4" w:space="0" w:color="auto"/>
              <w:left w:val="nil"/>
              <w:bottom w:val="single" w:sz="4" w:space="0" w:color="auto"/>
              <w:right w:val="nil"/>
            </w:tcBorders>
          </w:tcPr>
          <w:p w14:paraId="3FDF4464" w14:textId="77777777" w:rsidR="00DE79BD" w:rsidRPr="00997DCA" w:rsidRDefault="00DE79BD" w:rsidP="00DE79BD">
            <w:pPr>
              <w:spacing w:before="0" w:after="0"/>
              <w:jc w:val="center"/>
              <w:rPr>
                <w:rFonts w:asciiTheme="minorHAnsi" w:hAnsiTheme="minorHAnsi"/>
                <w:b/>
                <w:color w:val="000000"/>
                <w:sz w:val="16"/>
                <w:szCs w:val="16"/>
              </w:rPr>
            </w:pPr>
          </w:p>
        </w:tc>
      </w:tr>
      <w:tr w:rsidR="009E460B" w:rsidRPr="00AE2CD6" w14:paraId="6DD7F752" w14:textId="734F782E" w:rsidTr="009E460B">
        <w:trPr>
          <w:jc w:val="center"/>
        </w:trPr>
        <w:tc>
          <w:tcPr>
            <w:tcW w:w="1920" w:type="dxa"/>
            <w:tcBorders>
              <w:top w:val="single" w:sz="4" w:space="0" w:color="auto"/>
              <w:left w:val="nil"/>
              <w:bottom w:val="nil"/>
              <w:right w:val="nil"/>
            </w:tcBorders>
            <w:noWrap/>
            <w:vAlign w:val="bottom"/>
            <w:hideMark/>
          </w:tcPr>
          <w:p w14:paraId="52D9FCA3" w14:textId="77777777" w:rsidR="009E460B" w:rsidRPr="00AE2CD6" w:rsidRDefault="009E460B" w:rsidP="00DE79BD">
            <w:pPr>
              <w:spacing w:before="0" w:after="0" w:line="180" w:lineRule="exact"/>
              <w:jc w:val="center"/>
              <w:rPr>
                <w:sz w:val="16"/>
                <w:szCs w:val="16"/>
              </w:rPr>
            </w:pPr>
            <w:r w:rsidRPr="00AE2CD6">
              <w:rPr>
                <w:sz w:val="16"/>
                <w:szCs w:val="16"/>
              </w:rPr>
              <w:t>Wet Tropics</w:t>
            </w:r>
          </w:p>
        </w:tc>
        <w:tc>
          <w:tcPr>
            <w:tcW w:w="1720" w:type="dxa"/>
            <w:tcBorders>
              <w:top w:val="single" w:sz="4" w:space="0" w:color="auto"/>
              <w:left w:val="nil"/>
              <w:bottom w:val="nil"/>
              <w:right w:val="nil"/>
            </w:tcBorders>
            <w:shd w:val="clear" w:color="auto" w:fill="E7F3F4"/>
            <w:noWrap/>
            <w:vAlign w:val="bottom"/>
            <w:hideMark/>
          </w:tcPr>
          <w:p w14:paraId="0FBDECAF" w14:textId="77777777" w:rsidR="009E460B" w:rsidRPr="00AE2CD6" w:rsidRDefault="009E460B" w:rsidP="00DE79BD">
            <w:pPr>
              <w:spacing w:before="0" w:after="0" w:line="180" w:lineRule="exact"/>
              <w:jc w:val="center"/>
              <w:rPr>
                <w:sz w:val="16"/>
                <w:szCs w:val="16"/>
              </w:rPr>
            </w:pPr>
            <w:r w:rsidRPr="00AE2CD6">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042DA588" w14:textId="77777777" w:rsidR="009E460B" w:rsidRPr="00AE2CD6" w:rsidRDefault="009E460B" w:rsidP="00DE79BD">
            <w:pPr>
              <w:spacing w:before="0" w:after="0" w:line="180" w:lineRule="exact"/>
              <w:jc w:val="center"/>
              <w:rPr>
                <w:sz w:val="16"/>
                <w:szCs w:val="16"/>
              </w:rPr>
            </w:pPr>
            <w:r w:rsidRPr="00AE2CD6">
              <w:rPr>
                <w:sz w:val="16"/>
                <w:szCs w:val="16"/>
              </w:rPr>
              <w:t>LB1</w:t>
            </w:r>
          </w:p>
        </w:tc>
        <w:tc>
          <w:tcPr>
            <w:tcW w:w="1300" w:type="dxa"/>
            <w:tcBorders>
              <w:top w:val="single" w:sz="4" w:space="0" w:color="auto"/>
              <w:left w:val="nil"/>
              <w:bottom w:val="nil"/>
              <w:right w:val="nil"/>
            </w:tcBorders>
            <w:shd w:val="clear" w:color="auto" w:fill="E7F3F4"/>
            <w:noWrap/>
            <w:vAlign w:val="center"/>
            <w:hideMark/>
          </w:tcPr>
          <w:p w14:paraId="66340F79" w14:textId="77777777" w:rsidR="009E460B" w:rsidRPr="00997DCA" w:rsidRDefault="009E460B"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nil"/>
              <w:right w:val="nil"/>
            </w:tcBorders>
            <w:shd w:val="clear" w:color="auto" w:fill="E7F3F4"/>
            <w:noWrap/>
            <w:vAlign w:val="center"/>
          </w:tcPr>
          <w:p w14:paraId="76427037" w14:textId="77777777" w:rsidR="009E460B" w:rsidRPr="00997DCA" w:rsidRDefault="009E460B" w:rsidP="00DE79BD">
            <w:pPr>
              <w:spacing w:before="0" w:after="0"/>
              <w:jc w:val="center"/>
              <w:rPr>
                <w:rFonts w:asciiTheme="minorHAnsi" w:hAnsiTheme="minorHAnsi"/>
                <w:sz w:val="16"/>
                <w:szCs w:val="16"/>
              </w:rPr>
            </w:pPr>
          </w:p>
        </w:tc>
        <w:tc>
          <w:tcPr>
            <w:tcW w:w="1182" w:type="dxa"/>
            <w:vMerge w:val="restart"/>
            <w:tcBorders>
              <w:top w:val="single" w:sz="4" w:space="0" w:color="auto"/>
              <w:left w:val="nil"/>
              <w:right w:val="nil"/>
            </w:tcBorders>
            <w:shd w:val="clear" w:color="auto" w:fill="E7F3F4"/>
            <w:vAlign w:val="center"/>
          </w:tcPr>
          <w:p w14:paraId="4AC28455" w14:textId="48303A9D" w:rsidR="009E460B" w:rsidRPr="00997DCA" w:rsidRDefault="009E460B" w:rsidP="009E460B">
            <w:pPr>
              <w:spacing w:before="0" w:after="0"/>
              <w:jc w:val="center"/>
              <w:rPr>
                <w:rFonts w:asciiTheme="minorHAnsi" w:hAnsiTheme="minorHAnsi"/>
                <w:sz w:val="16"/>
                <w:szCs w:val="16"/>
              </w:rPr>
            </w:pPr>
            <w:r>
              <w:rPr>
                <w:rFonts w:asciiTheme="minorHAnsi" w:hAnsiTheme="minorHAnsi"/>
                <w:sz w:val="16"/>
                <w:szCs w:val="16"/>
              </w:rPr>
              <w:t>13</w:t>
            </w:r>
          </w:p>
        </w:tc>
      </w:tr>
      <w:tr w:rsidR="009E460B" w:rsidRPr="00AE2CD6" w14:paraId="00C527F5" w14:textId="235B8207" w:rsidTr="009E460B">
        <w:trPr>
          <w:jc w:val="center"/>
        </w:trPr>
        <w:tc>
          <w:tcPr>
            <w:tcW w:w="1920" w:type="dxa"/>
            <w:noWrap/>
            <w:vAlign w:val="bottom"/>
          </w:tcPr>
          <w:p w14:paraId="1138030C"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2CD99962"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32DE1D05" w14:textId="77777777" w:rsidR="009E460B" w:rsidRPr="00AE2CD6" w:rsidRDefault="009E460B" w:rsidP="00DE79BD">
            <w:pPr>
              <w:spacing w:before="0" w:after="0" w:line="180" w:lineRule="exact"/>
              <w:jc w:val="center"/>
              <w:rPr>
                <w:sz w:val="16"/>
                <w:szCs w:val="16"/>
              </w:rPr>
            </w:pPr>
            <w:r w:rsidRPr="00AE2CD6">
              <w:rPr>
                <w:sz w:val="16"/>
                <w:szCs w:val="16"/>
              </w:rPr>
              <w:t>LB2</w:t>
            </w:r>
          </w:p>
        </w:tc>
        <w:tc>
          <w:tcPr>
            <w:tcW w:w="1300" w:type="dxa"/>
            <w:shd w:val="clear" w:color="auto" w:fill="E7F3F4"/>
            <w:noWrap/>
            <w:vAlign w:val="center"/>
            <w:hideMark/>
          </w:tcPr>
          <w:p w14:paraId="0E0C092F" w14:textId="77777777" w:rsidR="009E460B" w:rsidRPr="00997DCA" w:rsidRDefault="009E460B" w:rsidP="00DE79BD">
            <w:pPr>
              <w:spacing w:before="0" w:after="0"/>
              <w:jc w:val="center"/>
              <w:rPr>
                <w:rFonts w:asciiTheme="minorHAnsi" w:hAnsiTheme="minorHAnsi"/>
                <w:sz w:val="16"/>
                <w:szCs w:val="16"/>
              </w:rPr>
            </w:pPr>
          </w:p>
        </w:tc>
        <w:tc>
          <w:tcPr>
            <w:tcW w:w="960" w:type="dxa"/>
            <w:shd w:val="clear" w:color="auto" w:fill="E7F3F4"/>
            <w:noWrap/>
            <w:vAlign w:val="center"/>
            <w:hideMark/>
          </w:tcPr>
          <w:p w14:paraId="7EC904AC" w14:textId="77777777" w:rsidR="009E460B" w:rsidRPr="00997DCA" w:rsidRDefault="009E460B" w:rsidP="00DE79BD">
            <w:pPr>
              <w:spacing w:before="0" w:after="0"/>
              <w:jc w:val="center"/>
              <w:rPr>
                <w:rFonts w:asciiTheme="minorHAnsi" w:hAnsiTheme="minorHAnsi"/>
                <w:sz w:val="16"/>
                <w:szCs w:val="16"/>
              </w:rPr>
            </w:pPr>
          </w:p>
        </w:tc>
        <w:tc>
          <w:tcPr>
            <w:tcW w:w="1182" w:type="dxa"/>
            <w:vMerge/>
            <w:shd w:val="clear" w:color="auto" w:fill="E7F3F4"/>
          </w:tcPr>
          <w:p w14:paraId="08981585" w14:textId="77777777" w:rsidR="009E460B" w:rsidRPr="00997DCA" w:rsidRDefault="009E460B" w:rsidP="00DE79BD">
            <w:pPr>
              <w:spacing w:before="0" w:after="0"/>
              <w:jc w:val="center"/>
              <w:rPr>
                <w:rFonts w:asciiTheme="minorHAnsi" w:hAnsiTheme="minorHAnsi"/>
                <w:sz w:val="16"/>
                <w:szCs w:val="16"/>
              </w:rPr>
            </w:pPr>
          </w:p>
        </w:tc>
      </w:tr>
      <w:tr w:rsidR="009E460B" w:rsidRPr="00AE2CD6" w14:paraId="0C9806EB" w14:textId="4D7E5406" w:rsidTr="009E460B">
        <w:trPr>
          <w:jc w:val="center"/>
        </w:trPr>
        <w:tc>
          <w:tcPr>
            <w:tcW w:w="1920" w:type="dxa"/>
            <w:noWrap/>
            <w:vAlign w:val="bottom"/>
          </w:tcPr>
          <w:p w14:paraId="269AA405"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15930845"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44B103BD" w14:textId="77777777" w:rsidR="009E460B" w:rsidRPr="00AE2CD6" w:rsidRDefault="009E460B" w:rsidP="00DE79BD">
            <w:pPr>
              <w:spacing w:before="0" w:after="0" w:line="180" w:lineRule="exact"/>
              <w:jc w:val="center"/>
              <w:rPr>
                <w:sz w:val="16"/>
                <w:szCs w:val="16"/>
              </w:rPr>
            </w:pPr>
            <w:r w:rsidRPr="00AE2CD6">
              <w:rPr>
                <w:sz w:val="16"/>
                <w:szCs w:val="16"/>
              </w:rPr>
              <w:t>YP1</w:t>
            </w:r>
          </w:p>
        </w:tc>
        <w:tc>
          <w:tcPr>
            <w:tcW w:w="1300" w:type="dxa"/>
            <w:shd w:val="clear" w:color="auto" w:fill="E7F3F4"/>
            <w:noWrap/>
            <w:vAlign w:val="center"/>
            <w:hideMark/>
          </w:tcPr>
          <w:p w14:paraId="55E9427D"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12.09 ±0.14</w:t>
            </w:r>
          </w:p>
        </w:tc>
        <w:tc>
          <w:tcPr>
            <w:tcW w:w="960" w:type="dxa"/>
            <w:shd w:val="clear" w:color="auto" w:fill="E7F3F4"/>
            <w:noWrap/>
            <w:vAlign w:val="center"/>
            <w:hideMark/>
          </w:tcPr>
          <w:p w14:paraId="70A888E1"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10.45</w:t>
            </w:r>
          </w:p>
        </w:tc>
        <w:tc>
          <w:tcPr>
            <w:tcW w:w="1182" w:type="dxa"/>
            <w:vMerge/>
            <w:shd w:val="clear" w:color="auto" w:fill="E7F3F4"/>
          </w:tcPr>
          <w:p w14:paraId="026A59AD"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582A8619" w14:textId="44FF001D" w:rsidTr="009E460B">
        <w:trPr>
          <w:jc w:val="center"/>
        </w:trPr>
        <w:tc>
          <w:tcPr>
            <w:tcW w:w="1920" w:type="dxa"/>
            <w:noWrap/>
            <w:vAlign w:val="bottom"/>
          </w:tcPr>
          <w:p w14:paraId="3F4E1D7E"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32CE467D"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2E72E97A" w14:textId="77777777" w:rsidR="009E460B" w:rsidRPr="00AE2CD6" w:rsidRDefault="009E460B" w:rsidP="00DE79BD">
            <w:pPr>
              <w:spacing w:before="0" w:after="0" w:line="180" w:lineRule="exact"/>
              <w:jc w:val="center"/>
              <w:rPr>
                <w:sz w:val="16"/>
                <w:szCs w:val="16"/>
              </w:rPr>
            </w:pPr>
            <w:r w:rsidRPr="00AE2CD6">
              <w:rPr>
                <w:sz w:val="16"/>
                <w:szCs w:val="16"/>
              </w:rPr>
              <w:t>YP2</w:t>
            </w:r>
          </w:p>
        </w:tc>
        <w:tc>
          <w:tcPr>
            <w:tcW w:w="1300" w:type="dxa"/>
            <w:shd w:val="clear" w:color="auto" w:fill="E7F3F4"/>
            <w:noWrap/>
            <w:vAlign w:val="center"/>
            <w:hideMark/>
          </w:tcPr>
          <w:p w14:paraId="0973AC6A"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13.04 ±0.09</w:t>
            </w:r>
          </w:p>
        </w:tc>
        <w:tc>
          <w:tcPr>
            <w:tcW w:w="960" w:type="dxa"/>
            <w:shd w:val="clear" w:color="auto" w:fill="E7F3F4"/>
            <w:noWrap/>
            <w:vAlign w:val="center"/>
            <w:hideMark/>
          </w:tcPr>
          <w:p w14:paraId="35AA0FBD"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15.18</w:t>
            </w:r>
          </w:p>
        </w:tc>
        <w:tc>
          <w:tcPr>
            <w:tcW w:w="1182" w:type="dxa"/>
            <w:vMerge/>
            <w:shd w:val="clear" w:color="auto" w:fill="E7F3F4"/>
          </w:tcPr>
          <w:p w14:paraId="05B43035"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57476FE9" w14:textId="1DF91E1B" w:rsidTr="002702CB">
        <w:trPr>
          <w:jc w:val="center"/>
        </w:trPr>
        <w:tc>
          <w:tcPr>
            <w:tcW w:w="1920" w:type="dxa"/>
            <w:noWrap/>
            <w:vAlign w:val="bottom"/>
          </w:tcPr>
          <w:p w14:paraId="58F6DFB8" w14:textId="77777777" w:rsidR="009E460B" w:rsidRPr="00AE2CD6"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11F17335" w14:textId="77777777" w:rsidR="009E460B" w:rsidRPr="00AE2CD6" w:rsidRDefault="009E460B" w:rsidP="00DE79BD">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76DD782A" w14:textId="77777777" w:rsidR="009E460B" w:rsidRPr="00AE2CD6" w:rsidRDefault="009E460B" w:rsidP="00DE79BD">
            <w:pPr>
              <w:spacing w:before="0" w:after="0" w:line="180" w:lineRule="exact"/>
              <w:jc w:val="center"/>
              <w:rPr>
                <w:sz w:val="16"/>
                <w:szCs w:val="16"/>
              </w:rPr>
            </w:pPr>
            <w:r w:rsidRPr="00AE2CD6">
              <w:rPr>
                <w:sz w:val="16"/>
                <w:szCs w:val="16"/>
              </w:rPr>
              <w:t>DI1</w:t>
            </w:r>
          </w:p>
        </w:tc>
        <w:tc>
          <w:tcPr>
            <w:tcW w:w="1300" w:type="dxa"/>
            <w:tcBorders>
              <w:top w:val="single" w:sz="4" w:space="0" w:color="auto"/>
              <w:left w:val="nil"/>
              <w:bottom w:val="nil"/>
              <w:right w:val="nil"/>
            </w:tcBorders>
            <w:shd w:val="clear" w:color="auto" w:fill="F3F9FA"/>
            <w:noWrap/>
            <w:vAlign w:val="center"/>
            <w:hideMark/>
          </w:tcPr>
          <w:p w14:paraId="2957E12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18.90 ±0.45</w:t>
            </w:r>
          </w:p>
        </w:tc>
        <w:tc>
          <w:tcPr>
            <w:tcW w:w="960" w:type="dxa"/>
            <w:tcBorders>
              <w:top w:val="single" w:sz="4" w:space="0" w:color="auto"/>
              <w:left w:val="nil"/>
              <w:bottom w:val="nil"/>
              <w:right w:val="nil"/>
            </w:tcBorders>
            <w:shd w:val="clear" w:color="auto" w:fill="F3F9FA"/>
            <w:noWrap/>
            <w:vAlign w:val="center"/>
            <w:hideMark/>
          </w:tcPr>
          <w:p w14:paraId="2B64DB8D"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44.51</w:t>
            </w:r>
          </w:p>
        </w:tc>
        <w:tc>
          <w:tcPr>
            <w:tcW w:w="1182" w:type="dxa"/>
            <w:vMerge w:val="restart"/>
            <w:tcBorders>
              <w:top w:val="single" w:sz="4" w:space="0" w:color="auto"/>
              <w:left w:val="nil"/>
              <w:right w:val="nil"/>
            </w:tcBorders>
            <w:shd w:val="clear" w:color="auto" w:fill="F3F9FA"/>
          </w:tcPr>
          <w:p w14:paraId="7904B77D" w14:textId="1782636D" w:rsidR="009E460B" w:rsidRPr="00997DCA" w:rsidRDefault="009E460B" w:rsidP="00DE79BD">
            <w:pPr>
              <w:spacing w:before="0" w:after="0"/>
              <w:jc w:val="center"/>
              <w:rPr>
                <w:rFonts w:asciiTheme="minorHAnsi" w:hAnsiTheme="minorHAnsi"/>
                <w:color w:val="000000"/>
                <w:sz w:val="16"/>
                <w:szCs w:val="16"/>
              </w:rPr>
            </w:pPr>
            <w:r>
              <w:rPr>
                <w:rFonts w:asciiTheme="minorHAnsi" w:hAnsiTheme="minorHAnsi"/>
                <w:color w:val="000000"/>
                <w:sz w:val="16"/>
                <w:szCs w:val="16"/>
              </w:rPr>
              <w:t>43</w:t>
            </w:r>
          </w:p>
        </w:tc>
      </w:tr>
      <w:tr w:rsidR="009E460B" w:rsidRPr="00AE2CD6" w14:paraId="01084DB9" w14:textId="450033C4" w:rsidTr="009E460B">
        <w:trPr>
          <w:jc w:val="center"/>
        </w:trPr>
        <w:tc>
          <w:tcPr>
            <w:tcW w:w="1920" w:type="dxa"/>
            <w:noWrap/>
            <w:vAlign w:val="bottom"/>
          </w:tcPr>
          <w:p w14:paraId="6A9D269E"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29DF6799"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7A961725" w14:textId="77777777" w:rsidR="009E460B" w:rsidRPr="00AE2CD6" w:rsidRDefault="009E460B" w:rsidP="00DE79BD">
            <w:pPr>
              <w:spacing w:before="0" w:after="0" w:line="180" w:lineRule="exact"/>
              <w:jc w:val="center"/>
              <w:rPr>
                <w:sz w:val="16"/>
                <w:szCs w:val="16"/>
              </w:rPr>
            </w:pPr>
            <w:r w:rsidRPr="00AE2CD6">
              <w:rPr>
                <w:sz w:val="16"/>
                <w:szCs w:val="16"/>
              </w:rPr>
              <w:t>DI2</w:t>
            </w:r>
          </w:p>
        </w:tc>
        <w:tc>
          <w:tcPr>
            <w:tcW w:w="1300" w:type="dxa"/>
            <w:shd w:val="clear" w:color="auto" w:fill="F3F9FA"/>
            <w:noWrap/>
            <w:vAlign w:val="center"/>
            <w:hideMark/>
          </w:tcPr>
          <w:p w14:paraId="6B02D9FB"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19.82 ±0.31</w:t>
            </w:r>
          </w:p>
        </w:tc>
        <w:tc>
          <w:tcPr>
            <w:tcW w:w="960" w:type="dxa"/>
            <w:shd w:val="clear" w:color="auto" w:fill="F3F9FA"/>
            <w:noWrap/>
            <w:vAlign w:val="center"/>
            <w:hideMark/>
          </w:tcPr>
          <w:p w14:paraId="67714F9E"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49.08</w:t>
            </w:r>
          </w:p>
        </w:tc>
        <w:tc>
          <w:tcPr>
            <w:tcW w:w="1182" w:type="dxa"/>
            <w:vMerge/>
            <w:shd w:val="clear" w:color="auto" w:fill="F3F9FA"/>
          </w:tcPr>
          <w:p w14:paraId="33CEBBB3"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4C525F62" w14:textId="1D037F2C" w:rsidTr="009E460B">
        <w:trPr>
          <w:jc w:val="center"/>
        </w:trPr>
        <w:tc>
          <w:tcPr>
            <w:tcW w:w="1920" w:type="dxa"/>
            <w:noWrap/>
            <w:vAlign w:val="bottom"/>
          </w:tcPr>
          <w:p w14:paraId="369A6635"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5C4FDB57"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7E9E86F9" w14:textId="77777777" w:rsidR="009E460B" w:rsidRPr="00AE2CD6" w:rsidRDefault="009E460B" w:rsidP="00DE79BD">
            <w:pPr>
              <w:spacing w:before="0" w:after="0" w:line="180" w:lineRule="exact"/>
              <w:jc w:val="center"/>
              <w:rPr>
                <w:sz w:val="16"/>
                <w:szCs w:val="16"/>
              </w:rPr>
            </w:pPr>
            <w:r w:rsidRPr="00AE2CD6">
              <w:rPr>
                <w:sz w:val="16"/>
                <w:szCs w:val="16"/>
              </w:rPr>
              <w:t>GI1</w:t>
            </w:r>
          </w:p>
        </w:tc>
        <w:tc>
          <w:tcPr>
            <w:tcW w:w="1300" w:type="dxa"/>
            <w:shd w:val="clear" w:color="auto" w:fill="F3F9FA"/>
            <w:noWrap/>
            <w:vAlign w:val="center"/>
            <w:hideMark/>
          </w:tcPr>
          <w:p w14:paraId="22ACEDA7"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17.86 ±0.39</w:t>
            </w:r>
          </w:p>
        </w:tc>
        <w:tc>
          <w:tcPr>
            <w:tcW w:w="960" w:type="dxa"/>
            <w:shd w:val="clear" w:color="auto" w:fill="F3F9FA"/>
            <w:noWrap/>
            <w:vAlign w:val="center"/>
            <w:hideMark/>
          </w:tcPr>
          <w:p w14:paraId="5F25E86C"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39.31</w:t>
            </w:r>
          </w:p>
        </w:tc>
        <w:tc>
          <w:tcPr>
            <w:tcW w:w="1182" w:type="dxa"/>
            <w:vMerge/>
            <w:shd w:val="clear" w:color="auto" w:fill="F3F9FA"/>
          </w:tcPr>
          <w:p w14:paraId="2A3276DB"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1916C0AE" w14:textId="6D06680D" w:rsidTr="009E460B">
        <w:trPr>
          <w:jc w:val="center"/>
        </w:trPr>
        <w:tc>
          <w:tcPr>
            <w:tcW w:w="1920" w:type="dxa"/>
            <w:noWrap/>
            <w:vAlign w:val="bottom"/>
          </w:tcPr>
          <w:p w14:paraId="0F221EE0"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2B073CE9"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4FB87FB3" w14:textId="77777777" w:rsidR="009E460B" w:rsidRPr="00AE2CD6" w:rsidRDefault="009E460B" w:rsidP="00DE79BD">
            <w:pPr>
              <w:spacing w:before="0" w:after="0" w:line="180" w:lineRule="exact"/>
              <w:jc w:val="center"/>
              <w:rPr>
                <w:sz w:val="16"/>
                <w:szCs w:val="16"/>
              </w:rPr>
            </w:pPr>
            <w:r w:rsidRPr="00AE2CD6">
              <w:rPr>
                <w:sz w:val="16"/>
                <w:szCs w:val="16"/>
              </w:rPr>
              <w:t>GI2</w:t>
            </w:r>
          </w:p>
        </w:tc>
        <w:tc>
          <w:tcPr>
            <w:tcW w:w="1300" w:type="dxa"/>
            <w:shd w:val="clear" w:color="auto" w:fill="F3F9FA"/>
            <w:noWrap/>
            <w:vAlign w:val="center"/>
            <w:hideMark/>
          </w:tcPr>
          <w:p w14:paraId="7407D3AF"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17.35 ±0.70</w:t>
            </w:r>
          </w:p>
        </w:tc>
        <w:tc>
          <w:tcPr>
            <w:tcW w:w="960" w:type="dxa"/>
            <w:shd w:val="clear" w:color="auto" w:fill="F3F9FA"/>
            <w:noWrap/>
            <w:vAlign w:val="center"/>
            <w:hideMark/>
          </w:tcPr>
          <w:p w14:paraId="6B50E2B9"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36.74</w:t>
            </w:r>
          </w:p>
        </w:tc>
        <w:tc>
          <w:tcPr>
            <w:tcW w:w="1182" w:type="dxa"/>
            <w:vMerge/>
            <w:shd w:val="clear" w:color="auto" w:fill="F3F9FA"/>
          </w:tcPr>
          <w:p w14:paraId="29D2B947"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30C903AF" w14:textId="141AAAB1" w:rsidTr="009E460B">
        <w:trPr>
          <w:jc w:val="center"/>
        </w:trPr>
        <w:tc>
          <w:tcPr>
            <w:tcW w:w="1920" w:type="dxa"/>
            <w:noWrap/>
            <w:vAlign w:val="bottom"/>
          </w:tcPr>
          <w:p w14:paraId="18EA953A"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7A6B8684"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0A147BDB" w14:textId="77777777" w:rsidR="009E460B" w:rsidRPr="00AE2CD6" w:rsidRDefault="009E460B" w:rsidP="00DE79BD">
            <w:pPr>
              <w:spacing w:before="0" w:after="0" w:line="180" w:lineRule="exact"/>
              <w:jc w:val="center"/>
              <w:rPr>
                <w:sz w:val="16"/>
                <w:szCs w:val="16"/>
              </w:rPr>
            </w:pPr>
            <w:r w:rsidRPr="00AE2CD6">
              <w:rPr>
                <w:sz w:val="16"/>
                <w:szCs w:val="16"/>
              </w:rPr>
              <w:t>LI1</w:t>
            </w:r>
          </w:p>
        </w:tc>
        <w:tc>
          <w:tcPr>
            <w:tcW w:w="1300" w:type="dxa"/>
            <w:shd w:val="clear" w:color="auto" w:fill="F3F9FA"/>
            <w:noWrap/>
            <w:vAlign w:val="center"/>
            <w:hideMark/>
          </w:tcPr>
          <w:p w14:paraId="4EE02473"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19.10 ±0.42</w:t>
            </w:r>
          </w:p>
        </w:tc>
        <w:tc>
          <w:tcPr>
            <w:tcW w:w="960" w:type="dxa"/>
            <w:shd w:val="clear" w:color="auto" w:fill="F3F9FA"/>
            <w:noWrap/>
            <w:vAlign w:val="center"/>
          </w:tcPr>
          <w:p w14:paraId="07E329D8"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45.49</w:t>
            </w:r>
          </w:p>
        </w:tc>
        <w:tc>
          <w:tcPr>
            <w:tcW w:w="1182" w:type="dxa"/>
            <w:vMerge/>
            <w:shd w:val="clear" w:color="auto" w:fill="F3F9FA"/>
          </w:tcPr>
          <w:p w14:paraId="5E13103B"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0A207D08" w14:textId="5EA625D7" w:rsidTr="002702CB">
        <w:trPr>
          <w:jc w:val="center"/>
        </w:trPr>
        <w:tc>
          <w:tcPr>
            <w:tcW w:w="1920" w:type="dxa"/>
            <w:noWrap/>
            <w:vAlign w:val="bottom"/>
          </w:tcPr>
          <w:p w14:paraId="7209F242" w14:textId="77777777" w:rsidR="009E460B" w:rsidRPr="00AE2CD6"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029FBC20" w14:textId="77777777" w:rsidR="009E460B" w:rsidRPr="00AE2CD6" w:rsidRDefault="009E460B" w:rsidP="00DE79BD">
            <w:pPr>
              <w:spacing w:before="0" w:after="0" w:line="180" w:lineRule="exact"/>
              <w:jc w:val="center"/>
              <w:rPr>
                <w:sz w:val="16"/>
                <w:szCs w:val="16"/>
              </w:rPr>
            </w:pPr>
            <w:r w:rsidRPr="00AE2CD6">
              <w:rPr>
                <w:sz w:val="16"/>
                <w:szCs w:val="16"/>
              </w:rPr>
              <w:t>reef subtidal</w:t>
            </w:r>
          </w:p>
        </w:tc>
        <w:tc>
          <w:tcPr>
            <w:tcW w:w="960" w:type="dxa"/>
            <w:tcBorders>
              <w:top w:val="single" w:sz="4" w:space="0" w:color="auto"/>
              <w:left w:val="nil"/>
              <w:bottom w:val="nil"/>
              <w:right w:val="nil"/>
            </w:tcBorders>
            <w:shd w:val="clear" w:color="auto" w:fill="E7F3F4"/>
            <w:noWrap/>
            <w:vAlign w:val="bottom"/>
            <w:hideMark/>
          </w:tcPr>
          <w:p w14:paraId="4500CBB3" w14:textId="77777777" w:rsidR="009E460B" w:rsidRPr="00AE2CD6" w:rsidRDefault="009E460B" w:rsidP="00DE79BD">
            <w:pPr>
              <w:spacing w:before="0" w:after="0" w:line="180" w:lineRule="exact"/>
              <w:jc w:val="center"/>
              <w:rPr>
                <w:sz w:val="16"/>
                <w:szCs w:val="16"/>
              </w:rPr>
            </w:pPr>
            <w:r w:rsidRPr="00AE2CD6">
              <w:rPr>
                <w:sz w:val="16"/>
                <w:szCs w:val="16"/>
              </w:rPr>
              <w:t>DI3</w:t>
            </w:r>
          </w:p>
        </w:tc>
        <w:tc>
          <w:tcPr>
            <w:tcW w:w="1300" w:type="dxa"/>
            <w:tcBorders>
              <w:top w:val="single" w:sz="4" w:space="0" w:color="auto"/>
              <w:left w:val="nil"/>
              <w:bottom w:val="nil"/>
              <w:right w:val="nil"/>
            </w:tcBorders>
            <w:shd w:val="clear" w:color="auto" w:fill="E7F3F4"/>
            <w:noWrap/>
            <w:vAlign w:val="center"/>
            <w:hideMark/>
          </w:tcPr>
          <w:p w14:paraId="4A937516"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17.09 ±0.15</w:t>
            </w:r>
          </w:p>
        </w:tc>
        <w:tc>
          <w:tcPr>
            <w:tcW w:w="960" w:type="dxa"/>
            <w:tcBorders>
              <w:top w:val="single" w:sz="4" w:space="0" w:color="auto"/>
              <w:left w:val="nil"/>
              <w:bottom w:val="nil"/>
              <w:right w:val="nil"/>
            </w:tcBorders>
            <w:shd w:val="clear" w:color="auto" w:fill="E7F3F4"/>
            <w:noWrap/>
            <w:vAlign w:val="center"/>
            <w:hideMark/>
          </w:tcPr>
          <w:p w14:paraId="15FF9C6B"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35.43</w:t>
            </w:r>
          </w:p>
        </w:tc>
        <w:tc>
          <w:tcPr>
            <w:tcW w:w="1182" w:type="dxa"/>
            <w:vMerge w:val="restart"/>
            <w:tcBorders>
              <w:top w:val="single" w:sz="4" w:space="0" w:color="auto"/>
              <w:left w:val="nil"/>
              <w:right w:val="nil"/>
            </w:tcBorders>
            <w:shd w:val="clear" w:color="auto" w:fill="E7F3F4"/>
          </w:tcPr>
          <w:p w14:paraId="270698E6" w14:textId="5615BC89" w:rsidR="009E460B" w:rsidRPr="00997DCA" w:rsidRDefault="009E460B" w:rsidP="00DE79BD">
            <w:pPr>
              <w:spacing w:before="0" w:after="0"/>
              <w:jc w:val="center"/>
              <w:rPr>
                <w:rFonts w:asciiTheme="minorHAnsi" w:hAnsiTheme="minorHAnsi"/>
                <w:color w:val="000000"/>
                <w:sz w:val="16"/>
                <w:szCs w:val="16"/>
              </w:rPr>
            </w:pPr>
            <w:r>
              <w:rPr>
                <w:rFonts w:asciiTheme="minorHAnsi" w:hAnsiTheme="minorHAnsi"/>
                <w:color w:val="000000"/>
                <w:sz w:val="16"/>
                <w:szCs w:val="16"/>
              </w:rPr>
              <w:t>50</w:t>
            </w:r>
          </w:p>
        </w:tc>
      </w:tr>
      <w:tr w:rsidR="009E460B" w:rsidRPr="00AE2CD6" w14:paraId="5261B391" w14:textId="432489B2" w:rsidTr="009E460B">
        <w:trPr>
          <w:jc w:val="center"/>
        </w:trPr>
        <w:tc>
          <w:tcPr>
            <w:tcW w:w="1920" w:type="dxa"/>
            <w:noWrap/>
            <w:vAlign w:val="bottom"/>
          </w:tcPr>
          <w:p w14:paraId="1B694C50"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31A15994"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15F6454E" w14:textId="77777777" w:rsidR="009E460B" w:rsidRPr="00AE2CD6" w:rsidRDefault="009E460B" w:rsidP="00DE79BD">
            <w:pPr>
              <w:spacing w:before="0" w:after="0" w:line="180" w:lineRule="exact"/>
              <w:jc w:val="center"/>
              <w:rPr>
                <w:sz w:val="16"/>
                <w:szCs w:val="16"/>
              </w:rPr>
            </w:pPr>
            <w:r w:rsidRPr="00AE2CD6">
              <w:rPr>
                <w:sz w:val="16"/>
                <w:szCs w:val="16"/>
              </w:rPr>
              <w:t>GI3</w:t>
            </w:r>
          </w:p>
        </w:tc>
        <w:tc>
          <w:tcPr>
            <w:tcW w:w="1300" w:type="dxa"/>
            <w:shd w:val="clear" w:color="auto" w:fill="E7F3F4"/>
            <w:noWrap/>
            <w:vAlign w:val="center"/>
            <w:hideMark/>
          </w:tcPr>
          <w:p w14:paraId="23CD803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23.07 ±0.62</w:t>
            </w:r>
          </w:p>
        </w:tc>
        <w:tc>
          <w:tcPr>
            <w:tcW w:w="960" w:type="dxa"/>
            <w:shd w:val="clear" w:color="auto" w:fill="E7F3F4"/>
            <w:noWrap/>
            <w:vAlign w:val="center"/>
            <w:hideMark/>
          </w:tcPr>
          <w:p w14:paraId="1DBC0D9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65.34</w:t>
            </w:r>
          </w:p>
        </w:tc>
        <w:tc>
          <w:tcPr>
            <w:tcW w:w="1182" w:type="dxa"/>
            <w:vMerge/>
            <w:shd w:val="clear" w:color="auto" w:fill="E7F3F4"/>
          </w:tcPr>
          <w:p w14:paraId="6BC338D8"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6CD60049" w14:textId="3B68A5BD" w:rsidTr="009E460B">
        <w:trPr>
          <w:jc w:val="center"/>
        </w:trPr>
        <w:tc>
          <w:tcPr>
            <w:tcW w:w="1920" w:type="dxa"/>
            <w:noWrap/>
            <w:vAlign w:val="bottom"/>
          </w:tcPr>
          <w:p w14:paraId="0932A27D"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76903C98"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16719359" w14:textId="77777777" w:rsidR="009E460B" w:rsidRPr="00AE2CD6" w:rsidRDefault="009E460B" w:rsidP="00DE79BD">
            <w:pPr>
              <w:spacing w:before="0" w:after="0" w:line="180" w:lineRule="exact"/>
              <w:jc w:val="center"/>
              <w:rPr>
                <w:sz w:val="16"/>
                <w:szCs w:val="16"/>
              </w:rPr>
            </w:pPr>
            <w:r w:rsidRPr="00AE2CD6">
              <w:rPr>
                <w:sz w:val="16"/>
                <w:szCs w:val="16"/>
              </w:rPr>
              <w:t>LI2</w:t>
            </w:r>
          </w:p>
        </w:tc>
        <w:tc>
          <w:tcPr>
            <w:tcW w:w="1300" w:type="dxa"/>
            <w:shd w:val="clear" w:color="auto" w:fill="E7F3F4"/>
            <w:noWrap/>
            <w:vAlign w:val="center"/>
            <w:hideMark/>
          </w:tcPr>
          <w:p w14:paraId="1E2E8830" w14:textId="77777777" w:rsidR="009E460B" w:rsidRPr="00997DCA" w:rsidRDefault="009E460B" w:rsidP="00DE79BD">
            <w:pPr>
              <w:spacing w:before="0" w:after="0"/>
              <w:jc w:val="center"/>
              <w:rPr>
                <w:rFonts w:asciiTheme="minorHAnsi" w:hAnsiTheme="minorHAnsi"/>
                <w:color w:val="000000"/>
                <w:sz w:val="16"/>
                <w:szCs w:val="16"/>
              </w:rPr>
            </w:pPr>
          </w:p>
        </w:tc>
        <w:tc>
          <w:tcPr>
            <w:tcW w:w="960" w:type="dxa"/>
            <w:shd w:val="clear" w:color="auto" w:fill="E7F3F4"/>
            <w:noWrap/>
            <w:vAlign w:val="center"/>
          </w:tcPr>
          <w:p w14:paraId="7A2B5E85" w14:textId="77777777" w:rsidR="009E460B" w:rsidRPr="00997DCA" w:rsidRDefault="009E460B" w:rsidP="00DE79BD">
            <w:pPr>
              <w:spacing w:before="0" w:after="0"/>
              <w:jc w:val="center"/>
              <w:rPr>
                <w:rFonts w:asciiTheme="minorHAnsi" w:hAnsiTheme="minorHAnsi"/>
                <w:sz w:val="16"/>
                <w:szCs w:val="16"/>
              </w:rPr>
            </w:pPr>
          </w:p>
        </w:tc>
        <w:tc>
          <w:tcPr>
            <w:tcW w:w="1182" w:type="dxa"/>
            <w:vMerge/>
            <w:shd w:val="clear" w:color="auto" w:fill="E7F3F4"/>
          </w:tcPr>
          <w:p w14:paraId="38AB1376" w14:textId="77777777" w:rsidR="009E460B" w:rsidRPr="00997DCA" w:rsidRDefault="009E460B" w:rsidP="00DE79BD">
            <w:pPr>
              <w:spacing w:before="0" w:after="0"/>
              <w:jc w:val="center"/>
              <w:rPr>
                <w:rFonts w:asciiTheme="minorHAnsi" w:hAnsiTheme="minorHAnsi"/>
                <w:sz w:val="16"/>
                <w:szCs w:val="16"/>
              </w:rPr>
            </w:pPr>
          </w:p>
        </w:tc>
      </w:tr>
      <w:tr w:rsidR="00DE79BD" w:rsidRPr="00AE2CD6" w14:paraId="7259C1DB" w14:textId="371ED3EE" w:rsidTr="009E460B">
        <w:trPr>
          <w:jc w:val="center"/>
        </w:trPr>
        <w:tc>
          <w:tcPr>
            <w:tcW w:w="1920" w:type="dxa"/>
            <w:tcBorders>
              <w:top w:val="nil"/>
              <w:left w:val="nil"/>
              <w:bottom w:val="single" w:sz="4" w:space="0" w:color="auto"/>
              <w:right w:val="nil"/>
            </w:tcBorders>
            <w:noWrap/>
            <w:vAlign w:val="bottom"/>
          </w:tcPr>
          <w:p w14:paraId="00478925" w14:textId="77777777" w:rsidR="00DE79BD" w:rsidRPr="00AE2CD6" w:rsidRDefault="00DE79BD" w:rsidP="00DE79BD">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5364F3BB" w14:textId="10CAD82A" w:rsidR="00DE79BD" w:rsidRPr="00AE2CD6" w:rsidRDefault="009E460B" w:rsidP="00DE79BD">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62E73BFA" w14:textId="77777777" w:rsidR="00DE79BD" w:rsidRPr="00AE2CD6" w:rsidRDefault="00DE79BD" w:rsidP="00DE79BD">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center"/>
          </w:tcPr>
          <w:p w14:paraId="5BF4D563" w14:textId="77777777" w:rsidR="00DE79BD" w:rsidRPr="00997DCA" w:rsidRDefault="00DE79BD"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single" w:sz="4" w:space="0" w:color="auto"/>
              <w:right w:val="nil"/>
            </w:tcBorders>
            <w:noWrap/>
            <w:vAlign w:val="center"/>
            <w:hideMark/>
          </w:tcPr>
          <w:p w14:paraId="5AAB2290" w14:textId="77777777" w:rsidR="00DE79BD" w:rsidRPr="00997DCA" w:rsidRDefault="00DE79BD" w:rsidP="00DE79BD">
            <w:pPr>
              <w:spacing w:before="0" w:after="0"/>
              <w:jc w:val="center"/>
              <w:rPr>
                <w:rFonts w:asciiTheme="minorHAnsi" w:hAnsiTheme="minorHAnsi"/>
                <w:b/>
                <w:color w:val="000000"/>
                <w:sz w:val="16"/>
                <w:szCs w:val="16"/>
              </w:rPr>
            </w:pPr>
            <w:r w:rsidRPr="00997DCA">
              <w:rPr>
                <w:rFonts w:asciiTheme="minorHAnsi" w:hAnsiTheme="minorHAnsi"/>
                <w:b/>
                <w:color w:val="000000"/>
                <w:sz w:val="16"/>
                <w:szCs w:val="16"/>
              </w:rPr>
              <w:t>35</w:t>
            </w:r>
          </w:p>
        </w:tc>
        <w:tc>
          <w:tcPr>
            <w:tcW w:w="1182" w:type="dxa"/>
            <w:tcBorders>
              <w:top w:val="single" w:sz="4" w:space="0" w:color="auto"/>
              <w:left w:val="nil"/>
              <w:bottom w:val="single" w:sz="4" w:space="0" w:color="auto"/>
              <w:right w:val="nil"/>
            </w:tcBorders>
          </w:tcPr>
          <w:p w14:paraId="34B528E7" w14:textId="77777777" w:rsidR="00DE79BD" w:rsidRPr="00997DCA" w:rsidRDefault="00DE79BD" w:rsidP="00DE79BD">
            <w:pPr>
              <w:spacing w:before="0" w:after="0"/>
              <w:jc w:val="center"/>
              <w:rPr>
                <w:rFonts w:asciiTheme="minorHAnsi" w:hAnsiTheme="minorHAnsi"/>
                <w:b/>
                <w:color w:val="000000"/>
                <w:sz w:val="16"/>
                <w:szCs w:val="16"/>
              </w:rPr>
            </w:pPr>
          </w:p>
        </w:tc>
      </w:tr>
      <w:tr w:rsidR="009E460B" w14:paraId="073EF5C4" w14:textId="24EEFEC9" w:rsidTr="009E460B">
        <w:trPr>
          <w:jc w:val="center"/>
        </w:trPr>
        <w:tc>
          <w:tcPr>
            <w:tcW w:w="1920" w:type="dxa"/>
            <w:tcBorders>
              <w:top w:val="single" w:sz="4" w:space="0" w:color="auto"/>
              <w:left w:val="nil"/>
              <w:bottom w:val="nil"/>
              <w:right w:val="nil"/>
            </w:tcBorders>
            <w:noWrap/>
            <w:vAlign w:val="bottom"/>
            <w:hideMark/>
          </w:tcPr>
          <w:p w14:paraId="786EDCB3" w14:textId="77777777" w:rsidR="009E460B" w:rsidRDefault="009E460B" w:rsidP="00DE79BD">
            <w:pPr>
              <w:spacing w:before="0" w:after="0" w:line="180" w:lineRule="exact"/>
              <w:jc w:val="center"/>
              <w:rPr>
                <w:color w:val="000000"/>
                <w:sz w:val="16"/>
                <w:szCs w:val="16"/>
              </w:rPr>
            </w:pPr>
            <w:r>
              <w:rPr>
                <w:color w:val="000000"/>
                <w:sz w:val="16"/>
                <w:szCs w:val="16"/>
              </w:rPr>
              <w:t>Burdekin</w:t>
            </w:r>
          </w:p>
        </w:tc>
        <w:tc>
          <w:tcPr>
            <w:tcW w:w="1720" w:type="dxa"/>
            <w:tcBorders>
              <w:top w:val="single" w:sz="4" w:space="0" w:color="auto"/>
              <w:left w:val="nil"/>
              <w:bottom w:val="nil"/>
              <w:right w:val="nil"/>
            </w:tcBorders>
            <w:shd w:val="clear" w:color="auto" w:fill="F3F9FA"/>
            <w:noWrap/>
            <w:vAlign w:val="bottom"/>
            <w:hideMark/>
          </w:tcPr>
          <w:p w14:paraId="5015BFD4" w14:textId="77777777" w:rsidR="009E460B" w:rsidRDefault="009E460B" w:rsidP="00DE79BD">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14:paraId="6D6D0B25" w14:textId="77777777" w:rsidR="009E460B" w:rsidRDefault="009E460B" w:rsidP="00DE79BD">
            <w:pPr>
              <w:spacing w:before="0" w:after="0" w:line="180" w:lineRule="exact"/>
              <w:jc w:val="center"/>
              <w:rPr>
                <w:color w:val="000000"/>
                <w:sz w:val="16"/>
                <w:szCs w:val="16"/>
              </w:rPr>
            </w:pPr>
            <w:r>
              <w:rPr>
                <w:color w:val="000000"/>
                <w:sz w:val="16"/>
                <w:szCs w:val="16"/>
              </w:rPr>
              <w:t>BB1</w:t>
            </w:r>
          </w:p>
        </w:tc>
        <w:tc>
          <w:tcPr>
            <w:tcW w:w="1300" w:type="dxa"/>
            <w:tcBorders>
              <w:top w:val="single" w:sz="4" w:space="0" w:color="auto"/>
              <w:left w:val="nil"/>
              <w:bottom w:val="nil"/>
              <w:right w:val="nil"/>
            </w:tcBorders>
            <w:shd w:val="clear" w:color="auto" w:fill="F3F9FA"/>
            <w:noWrap/>
            <w:vAlign w:val="center"/>
            <w:hideMark/>
          </w:tcPr>
          <w:p w14:paraId="0B517033"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16.90 ±0.34</w:t>
            </w:r>
          </w:p>
        </w:tc>
        <w:tc>
          <w:tcPr>
            <w:tcW w:w="960" w:type="dxa"/>
            <w:tcBorders>
              <w:top w:val="single" w:sz="4" w:space="0" w:color="auto"/>
              <w:left w:val="nil"/>
              <w:bottom w:val="nil"/>
              <w:right w:val="nil"/>
            </w:tcBorders>
            <w:shd w:val="clear" w:color="auto" w:fill="F3F9FA"/>
            <w:noWrap/>
            <w:vAlign w:val="center"/>
            <w:hideMark/>
          </w:tcPr>
          <w:p w14:paraId="4E49FB6A"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34.49</w:t>
            </w:r>
          </w:p>
        </w:tc>
        <w:tc>
          <w:tcPr>
            <w:tcW w:w="1182" w:type="dxa"/>
            <w:vMerge w:val="restart"/>
            <w:tcBorders>
              <w:top w:val="single" w:sz="4" w:space="0" w:color="auto"/>
              <w:left w:val="nil"/>
              <w:right w:val="nil"/>
            </w:tcBorders>
            <w:shd w:val="clear" w:color="auto" w:fill="F3F9FA"/>
            <w:vAlign w:val="center"/>
          </w:tcPr>
          <w:p w14:paraId="7FB128D3" w14:textId="41CA2836"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46</w:t>
            </w:r>
          </w:p>
        </w:tc>
      </w:tr>
      <w:tr w:rsidR="009E460B" w14:paraId="05B1A969" w14:textId="4A78359D" w:rsidTr="009E460B">
        <w:trPr>
          <w:jc w:val="center"/>
        </w:trPr>
        <w:tc>
          <w:tcPr>
            <w:tcW w:w="1920" w:type="dxa"/>
            <w:noWrap/>
            <w:vAlign w:val="bottom"/>
          </w:tcPr>
          <w:p w14:paraId="15671508" w14:textId="77777777" w:rsidR="009E460B" w:rsidRDefault="009E460B" w:rsidP="00DE79BD">
            <w:pPr>
              <w:spacing w:before="0" w:after="0" w:line="180" w:lineRule="exact"/>
              <w:jc w:val="center"/>
              <w:rPr>
                <w:color w:val="000000"/>
                <w:sz w:val="16"/>
                <w:szCs w:val="16"/>
              </w:rPr>
            </w:pPr>
          </w:p>
        </w:tc>
        <w:tc>
          <w:tcPr>
            <w:tcW w:w="1720" w:type="dxa"/>
            <w:shd w:val="clear" w:color="auto" w:fill="F3F9FA"/>
            <w:noWrap/>
            <w:vAlign w:val="bottom"/>
          </w:tcPr>
          <w:p w14:paraId="2E9E898E" w14:textId="77777777" w:rsidR="009E460B" w:rsidRDefault="009E460B" w:rsidP="00DE79BD">
            <w:pPr>
              <w:spacing w:before="0" w:after="0" w:line="180" w:lineRule="exact"/>
              <w:jc w:val="center"/>
              <w:rPr>
                <w:color w:val="000000"/>
                <w:sz w:val="16"/>
                <w:szCs w:val="16"/>
              </w:rPr>
            </w:pPr>
          </w:p>
        </w:tc>
        <w:tc>
          <w:tcPr>
            <w:tcW w:w="960" w:type="dxa"/>
            <w:shd w:val="clear" w:color="auto" w:fill="F3F9FA"/>
            <w:noWrap/>
            <w:vAlign w:val="bottom"/>
            <w:hideMark/>
          </w:tcPr>
          <w:p w14:paraId="130FE887" w14:textId="77777777" w:rsidR="009E460B" w:rsidRDefault="009E460B" w:rsidP="00DE79BD">
            <w:pPr>
              <w:spacing w:before="0" w:after="0" w:line="180" w:lineRule="exact"/>
              <w:jc w:val="center"/>
              <w:rPr>
                <w:color w:val="000000"/>
                <w:sz w:val="16"/>
                <w:szCs w:val="16"/>
              </w:rPr>
            </w:pPr>
            <w:r>
              <w:rPr>
                <w:color w:val="000000"/>
                <w:sz w:val="16"/>
                <w:szCs w:val="16"/>
              </w:rPr>
              <w:t>SB1</w:t>
            </w:r>
          </w:p>
        </w:tc>
        <w:tc>
          <w:tcPr>
            <w:tcW w:w="1300" w:type="dxa"/>
            <w:shd w:val="clear" w:color="auto" w:fill="F3F9FA"/>
            <w:noWrap/>
            <w:vAlign w:val="center"/>
            <w:hideMark/>
          </w:tcPr>
          <w:p w14:paraId="645831A5"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19.49 ±0.78</w:t>
            </w:r>
          </w:p>
        </w:tc>
        <w:tc>
          <w:tcPr>
            <w:tcW w:w="960" w:type="dxa"/>
            <w:shd w:val="clear" w:color="auto" w:fill="F3F9FA"/>
            <w:noWrap/>
            <w:vAlign w:val="center"/>
            <w:hideMark/>
          </w:tcPr>
          <w:p w14:paraId="26758665"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47.47</w:t>
            </w:r>
          </w:p>
        </w:tc>
        <w:tc>
          <w:tcPr>
            <w:tcW w:w="1182" w:type="dxa"/>
            <w:vMerge/>
            <w:shd w:val="clear" w:color="auto" w:fill="F3F9FA"/>
          </w:tcPr>
          <w:p w14:paraId="00ADB7C2" w14:textId="77777777" w:rsidR="009E460B" w:rsidRPr="00997DCA" w:rsidRDefault="009E460B" w:rsidP="00DE79BD">
            <w:pPr>
              <w:spacing w:before="0" w:after="0"/>
              <w:jc w:val="center"/>
              <w:rPr>
                <w:rFonts w:asciiTheme="minorHAnsi" w:hAnsiTheme="minorHAnsi"/>
                <w:color w:val="000000"/>
                <w:sz w:val="16"/>
                <w:szCs w:val="16"/>
              </w:rPr>
            </w:pPr>
          </w:p>
        </w:tc>
      </w:tr>
      <w:tr w:rsidR="009E460B" w14:paraId="572BED35" w14:textId="236F3A49" w:rsidTr="009E460B">
        <w:trPr>
          <w:jc w:val="center"/>
        </w:trPr>
        <w:tc>
          <w:tcPr>
            <w:tcW w:w="1920" w:type="dxa"/>
            <w:noWrap/>
            <w:vAlign w:val="bottom"/>
          </w:tcPr>
          <w:p w14:paraId="0BBCD706" w14:textId="77777777" w:rsidR="009E460B" w:rsidRDefault="009E460B" w:rsidP="00DE79BD">
            <w:pPr>
              <w:spacing w:before="0" w:after="0" w:line="180" w:lineRule="exact"/>
              <w:jc w:val="center"/>
              <w:rPr>
                <w:color w:val="000000"/>
                <w:sz w:val="16"/>
                <w:szCs w:val="16"/>
              </w:rPr>
            </w:pPr>
          </w:p>
        </w:tc>
        <w:tc>
          <w:tcPr>
            <w:tcW w:w="1720" w:type="dxa"/>
            <w:shd w:val="clear" w:color="auto" w:fill="F3F9FA"/>
            <w:noWrap/>
            <w:vAlign w:val="bottom"/>
          </w:tcPr>
          <w:p w14:paraId="6691A54B" w14:textId="77777777" w:rsidR="009E460B" w:rsidRDefault="009E460B" w:rsidP="00DE79BD">
            <w:pPr>
              <w:spacing w:before="0" w:after="0" w:line="180" w:lineRule="exact"/>
              <w:jc w:val="center"/>
              <w:rPr>
                <w:color w:val="000000"/>
                <w:sz w:val="16"/>
                <w:szCs w:val="16"/>
              </w:rPr>
            </w:pPr>
          </w:p>
        </w:tc>
        <w:tc>
          <w:tcPr>
            <w:tcW w:w="960" w:type="dxa"/>
            <w:shd w:val="clear" w:color="auto" w:fill="F3F9FA"/>
            <w:noWrap/>
            <w:vAlign w:val="bottom"/>
            <w:hideMark/>
          </w:tcPr>
          <w:p w14:paraId="7C7F1D36" w14:textId="77777777" w:rsidR="009E460B" w:rsidRDefault="009E460B" w:rsidP="00DE79BD">
            <w:pPr>
              <w:spacing w:before="0" w:after="0" w:line="180" w:lineRule="exact"/>
              <w:jc w:val="center"/>
              <w:rPr>
                <w:color w:val="000000"/>
                <w:sz w:val="16"/>
                <w:szCs w:val="16"/>
              </w:rPr>
            </w:pPr>
            <w:r>
              <w:rPr>
                <w:color w:val="000000"/>
                <w:sz w:val="16"/>
                <w:szCs w:val="16"/>
              </w:rPr>
              <w:t>JR1</w:t>
            </w:r>
          </w:p>
        </w:tc>
        <w:tc>
          <w:tcPr>
            <w:tcW w:w="1300" w:type="dxa"/>
            <w:shd w:val="clear" w:color="auto" w:fill="F3F9FA"/>
            <w:noWrap/>
            <w:vAlign w:val="center"/>
            <w:hideMark/>
          </w:tcPr>
          <w:p w14:paraId="3390A132"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19.98 ±0.35</w:t>
            </w:r>
          </w:p>
        </w:tc>
        <w:tc>
          <w:tcPr>
            <w:tcW w:w="960" w:type="dxa"/>
            <w:shd w:val="clear" w:color="auto" w:fill="F3F9FA"/>
            <w:noWrap/>
            <w:vAlign w:val="center"/>
            <w:hideMark/>
          </w:tcPr>
          <w:p w14:paraId="4E84C95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49.88</w:t>
            </w:r>
          </w:p>
        </w:tc>
        <w:tc>
          <w:tcPr>
            <w:tcW w:w="1182" w:type="dxa"/>
            <w:vMerge/>
            <w:shd w:val="clear" w:color="auto" w:fill="F3F9FA"/>
          </w:tcPr>
          <w:p w14:paraId="7D1BCDD2"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3483957C" w14:textId="2EB3EBB0" w:rsidTr="009E460B">
        <w:trPr>
          <w:jc w:val="center"/>
        </w:trPr>
        <w:tc>
          <w:tcPr>
            <w:tcW w:w="1920" w:type="dxa"/>
            <w:noWrap/>
            <w:vAlign w:val="bottom"/>
          </w:tcPr>
          <w:p w14:paraId="4B3800B7"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3E804CFD"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5B165DF3" w14:textId="77777777" w:rsidR="009E460B" w:rsidRPr="00AE2CD6" w:rsidRDefault="009E460B" w:rsidP="00DE79BD">
            <w:pPr>
              <w:spacing w:before="0" w:after="0" w:line="180" w:lineRule="exact"/>
              <w:jc w:val="center"/>
              <w:rPr>
                <w:sz w:val="16"/>
                <w:szCs w:val="16"/>
              </w:rPr>
            </w:pPr>
            <w:r w:rsidRPr="00AE2CD6">
              <w:rPr>
                <w:sz w:val="16"/>
                <w:szCs w:val="16"/>
              </w:rPr>
              <w:t>JR2</w:t>
            </w:r>
          </w:p>
        </w:tc>
        <w:tc>
          <w:tcPr>
            <w:tcW w:w="1300" w:type="dxa"/>
            <w:shd w:val="clear" w:color="auto" w:fill="F3F9FA"/>
            <w:noWrap/>
            <w:vAlign w:val="center"/>
            <w:hideMark/>
          </w:tcPr>
          <w:p w14:paraId="041F1D88"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20.45 ±0.21</w:t>
            </w:r>
          </w:p>
        </w:tc>
        <w:tc>
          <w:tcPr>
            <w:tcW w:w="960" w:type="dxa"/>
            <w:shd w:val="clear" w:color="auto" w:fill="F3F9FA"/>
            <w:noWrap/>
            <w:vAlign w:val="center"/>
            <w:hideMark/>
          </w:tcPr>
          <w:p w14:paraId="38BC8D4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52.23</w:t>
            </w:r>
          </w:p>
        </w:tc>
        <w:tc>
          <w:tcPr>
            <w:tcW w:w="1182" w:type="dxa"/>
            <w:vMerge/>
            <w:shd w:val="clear" w:color="auto" w:fill="F3F9FA"/>
          </w:tcPr>
          <w:p w14:paraId="47657A81"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18D95941" w14:textId="261B1D92" w:rsidTr="009E460B">
        <w:trPr>
          <w:jc w:val="center"/>
        </w:trPr>
        <w:tc>
          <w:tcPr>
            <w:tcW w:w="1920" w:type="dxa"/>
            <w:noWrap/>
            <w:vAlign w:val="bottom"/>
          </w:tcPr>
          <w:p w14:paraId="62E37870" w14:textId="77777777" w:rsidR="009E460B" w:rsidRPr="00AE2CD6"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4B904A7C" w14:textId="77777777" w:rsidR="009E460B" w:rsidRPr="00AE2CD6" w:rsidRDefault="009E460B" w:rsidP="00DE79BD">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7986632A" w14:textId="77777777" w:rsidR="009E460B" w:rsidRPr="00AE2CD6" w:rsidRDefault="009E460B" w:rsidP="00DE79BD">
            <w:pPr>
              <w:spacing w:before="0" w:after="0" w:line="180" w:lineRule="exact"/>
              <w:jc w:val="center"/>
              <w:rPr>
                <w:sz w:val="16"/>
                <w:szCs w:val="16"/>
              </w:rPr>
            </w:pPr>
            <w:r w:rsidRPr="00AE2CD6">
              <w:rPr>
                <w:sz w:val="16"/>
                <w:szCs w:val="16"/>
              </w:rPr>
              <w:t>MI1</w:t>
            </w:r>
          </w:p>
        </w:tc>
        <w:tc>
          <w:tcPr>
            <w:tcW w:w="1300" w:type="dxa"/>
            <w:tcBorders>
              <w:top w:val="single" w:sz="4" w:space="0" w:color="auto"/>
              <w:left w:val="nil"/>
              <w:bottom w:val="nil"/>
              <w:right w:val="nil"/>
            </w:tcBorders>
            <w:shd w:val="clear" w:color="auto" w:fill="E7F3F4"/>
            <w:noWrap/>
            <w:vAlign w:val="center"/>
            <w:hideMark/>
          </w:tcPr>
          <w:p w14:paraId="33974695"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23.19 ±0.76</w:t>
            </w:r>
          </w:p>
        </w:tc>
        <w:tc>
          <w:tcPr>
            <w:tcW w:w="960" w:type="dxa"/>
            <w:tcBorders>
              <w:top w:val="single" w:sz="4" w:space="0" w:color="auto"/>
              <w:left w:val="nil"/>
              <w:bottom w:val="nil"/>
              <w:right w:val="nil"/>
            </w:tcBorders>
            <w:shd w:val="clear" w:color="auto" w:fill="E7F3F4"/>
            <w:noWrap/>
            <w:vAlign w:val="center"/>
            <w:hideMark/>
          </w:tcPr>
          <w:p w14:paraId="4D7B9393"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65.95</w:t>
            </w:r>
          </w:p>
        </w:tc>
        <w:tc>
          <w:tcPr>
            <w:tcW w:w="1182" w:type="dxa"/>
            <w:vMerge w:val="restart"/>
            <w:tcBorders>
              <w:top w:val="single" w:sz="4" w:space="0" w:color="auto"/>
              <w:left w:val="nil"/>
              <w:right w:val="nil"/>
            </w:tcBorders>
            <w:shd w:val="clear" w:color="auto" w:fill="E7F3F4"/>
            <w:vAlign w:val="center"/>
          </w:tcPr>
          <w:p w14:paraId="794A3916" w14:textId="1F62CBB6"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59</w:t>
            </w:r>
          </w:p>
        </w:tc>
      </w:tr>
      <w:tr w:rsidR="009E460B" w:rsidRPr="00AE2CD6" w14:paraId="375F991B" w14:textId="2F7CF309" w:rsidTr="009E460B">
        <w:trPr>
          <w:jc w:val="center"/>
        </w:trPr>
        <w:tc>
          <w:tcPr>
            <w:tcW w:w="1920" w:type="dxa"/>
            <w:noWrap/>
            <w:vAlign w:val="bottom"/>
          </w:tcPr>
          <w:p w14:paraId="6541C6D6"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2775F0BC"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72A132D6" w14:textId="77777777" w:rsidR="009E460B" w:rsidRPr="00AE2CD6" w:rsidRDefault="009E460B" w:rsidP="00DE79BD">
            <w:pPr>
              <w:spacing w:before="0" w:after="0" w:line="180" w:lineRule="exact"/>
              <w:jc w:val="center"/>
              <w:rPr>
                <w:sz w:val="16"/>
                <w:szCs w:val="16"/>
              </w:rPr>
            </w:pPr>
            <w:r w:rsidRPr="00AE2CD6">
              <w:rPr>
                <w:sz w:val="16"/>
                <w:szCs w:val="16"/>
              </w:rPr>
              <w:t>MI2</w:t>
            </w:r>
          </w:p>
        </w:tc>
        <w:tc>
          <w:tcPr>
            <w:tcW w:w="1300" w:type="dxa"/>
            <w:shd w:val="clear" w:color="auto" w:fill="E7F3F4"/>
            <w:noWrap/>
            <w:vAlign w:val="center"/>
            <w:hideMark/>
          </w:tcPr>
          <w:p w14:paraId="2D28341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20.33 ±0.62</w:t>
            </w:r>
          </w:p>
        </w:tc>
        <w:tc>
          <w:tcPr>
            <w:tcW w:w="960" w:type="dxa"/>
            <w:shd w:val="clear" w:color="auto" w:fill="E7F3F4"/>
            <w:noWrap/>
            <w:vAlign w:val="center"/>
            <w:hideMark/>
          </w:tcPr>
          <w:p w14:paraId="7A62B25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51.64</w:t>
            </w:r>
          </w:p>
        </w:tc>
        <w:tc>
          <w:tcPr>
            <w:tcW w:w="1182" w:type="dxa"/>
            <w:vMerge/>
            <w:shd w:val="clear" w:color="auto" w:fill="E7F3F4"/>
          </w:tcPr>
          <w:p w14:paraId="6784656D" w14:textId="77777777" w:rsidR="009E460B" w:rsidRPr="00997DCA" w:rsidRDefault="009E460B" w:rsidP="00DE79BD">
            <w:pPr>
              <w:spacing w:before="0" w:after="0"/>
              <w:jc w:val="center"/>
              <w:rPr>
                <w:rFonts w:asciiTheme="minorHAnsi" w:hAnsiTheme="minorHAnsi"/>
                <w:color w:val="000000"/>
                <w:sz w:val="16"/>
                <w:szCs w:val="16"/>
              </w:rPr>
            </w:pPr>
          </w:p>
        </w:tc>
      </w:tr>
      <w:tr w:rsidR="00DE79BD" w:rsidRPr="00AE2CD6" w14:paraId="15D863E4" w14:textId="41F7062F" w:rsidTr="009E460B">
        <w:trPr>
          <w:jc w:val="center"/>
        </w:trPr>
        <w:tc>
          <w:tcPr>
            <w:tcW w:w="1920" w:type="dxa"/>
            <w:noWrap/>
            <w:vAlign w:val="bottom"/>
          </w:tcPr>
          <w:p w14:paraId="7AFDB7F9" w14:textId="77777777" w:rsidR="00DE79BD" w:rsidRPr="00AE2CD6" w:rsidRDefault="00DE79BD"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7287C7FC" w14:textId="77777777" w:rsidR="00DE79BD" w:rsidRPr="00AE2CD6" w:rsidRDefault="00DE79BD" w:rsidP="00DE79BD">
            <w:pPr>
              <w:spacing w:before="0" w:after="0" w:line="180" w:lineRule="exact"/>
              <w:jc w:val="center"/>
              <w:rPr>
                <w:sz w:val="16"/>
                <w:szCs w:val="16"/>
              </w:rPr>
            </w:pPr>
            <w:r w:rsidRPr="00AE2CD6">
              <w:rPr>
                <w:sz w:val="16"/>
                <w:szCs w:val="16"/>
              </w:rPr>
              <w:t>reef subtidal</w:t>
            </w:r>
          </w:p>
        </w:tc>
        <w:tc>
          <w:tcPr>
            <w:tcW w:w="960" w:type="dxa"/>
            <w:tcBorders>
              <w:top w:val="single" w:sz="4" w:space="0" w:color="auto"/>
              <w:left w:val="nil"/>
              <w:bottom w:val="nil"/>
              <w:right w:val="nil"/>
            </w:tcBorders>
            <w:shd w:val="clear" w:color="auto" w:fill="F3F9FA"/>
            <w:noWrap/>
            <w:vAlign w:val="bottom"/>
            <w:hideMark/>
          </w:tcPr>
          <w:p w14:paraId="5E100A8D" w14:textId="77777777" w:rsidR="00DE79BD" w:rsidRPr="00AE2CD6" w:rsidRDefault="00DE79BD" w:rsidP="00DE79BD">
            <w:pPr>
              <w:spacing w:before="0" w:after="0" w:line="180" w:lineRule="exact"/>
              <w:jc w:val="center"/>
              <w:rPr>
                <w:sz w:val="16"/>
                <w:szCs w:val="16"/>
              </w:rPr>
            </w:pPr>
            <w:r w:rsidRPr="00AE2CD6">
              <w:rPr>
                <w:sz w:val="16"/>
                <w:szCs w:val="16"/>
              </w:rPr>
              <w:t>MI3</w:t>
            </w:r>
          </w:p>
        </w:tc>
        <w:tc>
          <w:tcPr>
            <w:tcW w:w="1300" w:type="dxa"/>
            <w:tcBorders>
              <w:top w:val="single" w:sz="4" w:space="0" w:color="auto"/>
              <w:left w:val="nil"/>
              <w:bottom w:val="nil"/>
              <w:right w:val="nil"/>
            </w:tcBorders>
            <w:shd w:val="clear" w:color="auto" w:fill="F3F9FA"/>
            <w:noWrap/>
            <w:vAlign w:val="center"/>
            <w:hideMark/>
          </w:tcPr>
          <w:p w14:paraId="2871B4BE" w14:textId="77777777" w:rsidR="00DE79BD" w:rsidRPr="00997DCA" w:rsidRDefault="00DE79BD"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21.52 ±0.24</w:t>
            </w:r>
          </w:p>
        </w:tc>
        <w:tc>
          <w:tcPr>
            <w:tcW w:w="960" w:type="dxa"/>
            <w:tcBorders>
              <w:top w:val="single" w:sz="4" w:space="0" w:color="auto"/>
              <w:left w:val="nil"/>
              <w:bottom w:val="nil"/>
              <w:right w:val="nil"/>
            </w:tcBorders>
            <w:shd w:val="clear" w:color="auto" w:fill="F3F9FA"/>
            <w:noWrap/>
            <w:vAlign w:val="center"/>
            <w:hideMark/>
          </w:tcPr>
          <w:p w14:paraId="2D2F979E" w14:textId="77777777" w:rsidR="00DE79BD" w:rsidRPr="00997DCA" w:rsidRDefault="00DE79BD"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57.59</w:t>
            </w:r>
          </w:p>
        </w:tc>
        <w:tc>
          <w:tcPr>
            <w:tcW w:w="1182" w:type="dxa"/>
            <w:tcBorders>
              <w:top w:val="single" w:sz="4" w:space="0" w:color="auto"/>
              <w:left w:val="nil"/>
              <w:bottom w:val="nil"/>
              <w:right w:val="nil"/>
            </w:tcBorders>
            <w:shd w:val="clear" w:color="auto" w:fill="F3F9FA"/>
          </w:tcPr>
          <w:p w14:paraId="3CB511B7" w14:textId="2389C49A" w:rsidR="00DE79BD" w:rsidRPr="00997DCA" w:rsidRDefault="009E460B" w:rsidP="00DE79BD">
            <w:pPr>
              <w:spacing w:before="0" w:after="0"/>
              <w:jc w:val="center"/>
              <w:rPr>
                <w:rFonts w:asciiTheme="minorHAnsi" w:hAnsiTheme="minorHAnsi"/>
                <w:color w:val="000000"/>
                <w:sz w:val="16"/>
                <w:szCs w:val="16"/>
              </w:rPr>
            </w:pPr>
            <w:r>
              <w:rPr>
                <w:rFonts w:asciiTheme="minorHAnsi" w:hAnsiTheme="minorHAnsi"/>
                <w:color w:val="000000"/>
                <w:sz w:val="16"/>
                <w:szCs w:val="16"/>
              </w:rPr>
              <w:t>58</w:t>
            </w:r>
          </w:p>
        </w:tc>
      </w:tr>
      <w:tr w:rsidR="00DE79BD" w:rsidRPr="00AE2CD6" w14:paraId="603F3C54" w14:textId="569666ED" w:rsidTr="009E460B">
        <w:trPr>
          <w:jc w:val="center"/>
        </w:trPr>
        <w:tc>
          <w:tcPr>
            <w:tcW w:w="1920" w:type="dxa"/>
            <w:tcBorders>
              <w:top w:val="nil"/>
              <w:left w:val="nil"/>
              <w:bottom w:val="single" w:sz="4" w:space="0" w:color="auto"/>
              <w:right w:val="nil"/>
            </w:tcBorders>
            <w:noWrap/>
            <w:vAlign w:val="bottom"/>
          </w:tcPr>
          <w:p w14:paraId="3020559C" w14:textId="77777777" w:rsidR="00DE79BD" w:rsidRPr="00AE2CD6" w:rsidRDefault="00DE79BD" w:rsidP="00DE79BD">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6381148A" w14:textId="60F62773" w:rsidR="00DE79BD" w:rsidRPr="00AE2CD6" w:rsidRDefault="009E460B" w:rsidP="00DE79BD">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69FDEE49" w14:textId="77777777" w:rsidR="00DE79BD" w:rsidRPr="00AE2CD6" w:rsidRDefault="00DE79BD" w:rsidP="00DE79BD">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center"/>
          </w:tcPr>
          <w:p w14:paraId="4DAB65E6" w14:textId="77777777" w:rsidR="00DE79BD" w:rsidRPr="00997DCA" w:rsidRDefault="00DE79BD"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single" w:sz="4" w:space="0" w:color="auto"/>
              <w:right w:val="nil"/>
            </w:tcBorders>
            <w:noWrap/>
            <w:vAlign w:val="center"/>
            <w:hideMark/>
          </w:tcPr>
          <w:p w14:paraId="4370FA4D" w14:textId="77777777" w:rsidR="00DE79BD" w:rsidRPr="00997DCA" w:rsidRDefault="00DE79BD" w:rsidP="00DE79BD">
            <w:pPr>
              <w:spacing w:before="0" w:after="0"/>
              <w:jc w:val="center"/>
              <w:rPr>
                <w:rFonts w:asciiTheme="minorHAnsi" w:hAnsiTheme="minorHAnsi"/>
                <w:b/>
                <w:color w:val="000000"/>
                <w:sz w:val="16"/>
                <w:szCs w:val="16"/>
              </w:rPr>
            </w:pPr>
            <w:r w:rsidRPr="00997DCA">
              <w:rPr>
                <w:rFonts w:asciiTheme="minorHAnsi" w:hAnsiTheme="minorHAnsi"/>
                <w:b/>
                <w:color w:val="000000"/>
                <w:sz w:val="16"/>
                <w:szCs w:val="16"/>
              </w:rPr>
              <w:t>54</w:t>
            </w:r>
          </w:p>
        </w:tc>
        <w:tc>
          <w:tcPr>
            <w:tcW w:w="1182" w:type="dxa"/>
            <w:tcBorders>
              <w:top w:val="single" w:sz="4" w:space="0" w:color="auto"/>
              <w:left w:val="nil"/>
              <w:bottom w:val="single" w:sz="4" w:space="0" w:color="auto"/>
              <w:right w:val="nil"/>
            </w:tcBorders>
          </w:tcPr>
          <w:p w14:paraId="62F76FD5" w14:textId="77777777" w:rsidR="00DE79BD" w:rsidRPr="00997DCA" w:rsidRDefault="00DE79BD" w:rsidP="00DE79BD">
            <w:pPr>
              <w:spacing w:before="0" w:after="0"/>
              <w:jc w:val="center"/>
              <w:rPr>
                <w:rFonts w:asciiTheme="minorHAnsi" w:hAnsiTheme="minorHAnsi"/>
                <w:b/>
                <w:color w:val="000000"/>
                <w:sz w:val="16"/>
                <w:szCs w:val="16"/>
              </w:rPr>
            </w:pPr>
          </w:p>
        </w:tc>
      </w:tr>
      <w:tr w:rsidR="009E460B" w14:paraId="76D596FE" w14:textId="498A2122" w:rsidTr="009E460B">
        <w:trPr>
          <w:jc w:val="center"/>
        </w:trPr>
        <w:tc>
          <w:tcPr>
            <w:tcW w:w="1920" w:type="dxa"/>
            <w:tcBorders>
              <w:top w:val="single" w:sz="4" w:space="0" w:color="auto"/>
              <w:left w:val="nil"/>
              <w:bottom w:val="nil"/>
              <w:right w:val="nil"/>
            </w:tcBorders>
            <w:noWrap/>
            <w:vAlign w:val="bottom"/>
            <w:hideMark/>
          </w:tcPr>
          <w:p w14:paraId="74FA52FB" w14:textId="77777777" w:rsidR="009E460B" w:rsidRDefault="009E460B" w:rsidP="00DE79BD">
            <w:pPr>
              <w:spacing w:before="0" w:after="0" w:line="180" w:lineRule="exact"/>
              <w:jc w:val="center"/>
              <w:rPr>
                <w:color w:val="000000"/>
                <w:sz w:val="16"/>
                <w:szCs w:val="16"/>
              </w:rPr>
            </w:pPr>
            <w:r>
              <w:rPr>
                <w:color w:val="000000"/>
                <w:sz w:val="16"/>
                <w:szCs w:val="16"/>
              </w:rPr>
              <w:t>Mackay Whitsunday</w:t>
            </w:r>
          </w:p>
        </w:tc>
        <w:tc>
          <w:tcPr>
            <w:tcW w:w="1720" w:type="dxa"/>
            <w:tcBorders>
              <w:top w:val="single" w:sz="4" w:space="0" w:color="auto"/>
              <w:left w:val="nil"/>
              <w:right w:val="nil"/>
            </w:tcBorders>
            <w:shd w:val="clear" w:color="auto" w:fill="E7F3F4"/>
            <w:noWrap/>
            <w:vAlign w:val="bottom"/>
            <w:hideMark/>
          </w:tcPr>
          <w:p w14:paraId="424E59AD" w14:textId="77777777" w:rsidR="009E460B" w:rsidRDefault="009E460B" w:rsidP="00DE79BD">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right w:val="nil"/>
            </w:tcBorders>
            <w:shd w:val="clear" w:color="auto" w:fill="E7F3F4"/>
            <w:noWrap/>
            <w:vAlign w:val="bottom"/>
            <w:hideMark/>
          </w:tcPr>
          <w:p w14:paraId="52D30A4D" w14:textId="77777777" w:rsidR="009E460B" w:rsidRDefault="009E460B" w:rsidP="00DE79BD">
            <w:pPr>
              <w:spacing w:before="0" w:after="0" w:line="180" w:lineRule="exact"/>
              <w:jc w:val="center"/>
              <w:rPr>
                <w:color w:val="000000"/>
                <w:sz w:val="16"/>
                <w:szCs w:val="16"/>
              </w:rPr>
            </w:pPr>
            <w:r>
              <w:rPr>
                <w:color w:val="000000"/>
                <w:sz w:val="16"/>
                <w:szCs w:val="16"/>
              </w:rPr>
              <w:t>SI1</w:t>
            </w:r>
          </w:p>
        </w:tc>
        <w:tc>
          <w:tcPr>
            <w:tcW w:w="1300" w:type="dxa"/>
            <w:tcBorders>
              <w:top w:val="single" w:sz="4" w:space="0" w:color="auto"/>
              <w:left w:val="nil"/>
              <w:right w:val="nil"/>
            </w:tcBorders>
            <w:shd w:val="clear" w:color="auto" w:fill="E7F3F4"/>
            <w:noWrap/>
            <w:vAlign w:val="center"/>
            <w:hideMark/>
          </w:tcPr>
          <w:p w14:paraId="053F1E9E"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15.18 ±0.23</w:t>
            </w:r>
          </w:p>
        </w:tc>
        <w:tc>
          <w:tcPr>
            <w:tcW w:w="960" w:type="dxa"/>
            <w:tcBorders>
              <w:top w:val="single" w:sz="4" w:space="0" w:color="auto"/>
              <w:left w:val="nil"/>
              <w:right w:val="nil"/>
            </w:tcBorders>
            <w:shd w:val="clear" w:color="auto" w:fill="E7F3F4"/>
            <w:noWrap/>
            <w:vAlign w:val="center"/>
            <w:hideMark/>
          </w:tcPr>
          <w:p w14:paraId="6186436D"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25.9</w:t>
            </w:r>
          </w:p>
        </w:tc>
        <w:tc>
          <w:tcPr>
            <w:tcW w:w="1182" w:type="dxa"/>
            <w:vMerge w:val="restart"/>
            <w:tcBorders>
              <w:top w:val="single" w:sz="4" w:space="0" w:color="auto"/>
              <w:left w:val="nil"/>
              <w:right w:val="nil"/>
            </w:tcBorders>
            <w:shd w:val="clear" w:color="auto" w:fill="E7F3F4"/>
            <w:vAlign w:val="center"/>
          </w:tcPr>
          <w:p w14:paraId="5325FEA0" w14:textId="3B7595A6"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37</w:t>
            </w:r>
          </w:p>
        </w:tc>
      </w:tr>
      <w:tr w:rsidR="009E460B" w14:paraId="15359CC9" w14:textId="73A621D4" w:rsidTr="009E460B">
        <w:trPr>
          <w:jc w:val="center"/>
        </w:trPr>
        <w:tc>
          <w:tcPr>
            <w:tcW w:w="1920" w:type="dxa"/>
            <w:noWrap/>
            <w:vAlign w:val="bottom"/>
          </w:tcPr>
          <w:p w14:paraId="7B0E8BC6" w14:textId="77777777" w:rsidR="009E460B" w:rsidRDefault="009E460B" w:rsidP="00DE79BD">
            <w:pPr>
              <w:spacing w:before="0" w:after="0" w:line="180" w:lineRule="exact"/>
              <w:jc w:val="center"/>
              <w:rPr>
                <w:color w:val="000000"/>
                <w:sz w:val="16"/>
                <w:szCs w:val="16"/>
              </w:rPr>
            </w:pPr>
          </w:p>
        </w:tc>
        <w:tc>
          <w:tcPr>
            <w:tcW w:w="1720" w:type="dxa"/>
            <w:tcBorders>
              <w:bottom w:val="single" w:sz="4" w:space="0" w:color="auto"/>
            </w:tcBorders>
            <w:shd w:val="clear" w:color="auto" w:fill="E7F3F4"/>
            <w:noWrap/>
            <w:vAlign w:val="bottom"/>
          </w:tcPr>
          <w:p w14:paraId="781534B8" w14:textId="77777777" w:rsidR="009E460B" w:rsidRDefault="009E460B" w:rsidP="00DE79BD">
            <w:pPr>
              <w:spacing w:before="0" w:after="0" w:line="180" w:lineRule="exact"/>
              <w:jc w:val="center"/>
              <w:rPr>
                <w:color w:val="000000"/>
                <w:sz w:val="16"/>
                <w:szCs w:val="16"/>
              </w:rPr>
            </w:pPr>
          </w:p>
        </w:tc>
        <w:tc>
          <w:tcPr>
            <w:tcW w:w="960" w:type="dxa"/>
            <w:tcBorders>
              <w:bottom w:val="single" w:sz="4" w:space="0" w:color="auto"/>
            </w:tcBorders>
            <w:shd w:val="clear" w:color="auto" w:fill="E7F3F4"/>
            <w:noWrap/>
            <w:vAlign w:val="bottom"/>
            <w:hideMark/>
          </w:tcPr>
          <w:p w14:paraId="6094788B" w14:textId="77777777" w:rsidR="009E460B" w:rsidRDefault="009E460B" w:rsidP="00DE79BD">
            <w:pPr>
              <w:spacing w:before="0" w:after="0" w:line="180" w:lineRule="exact"/>
              <w:jc w:val="center"/>
              <w:rPr>
                <w:color w:val="000000"/>
                <w:sz w:val="16"/>
                <w:szCs w:val="16"/>
              </w:rPr>
            </w:pPr>
            <w:r>
              <w:rPr>
                <w:color w:val="000000"/>
                <w:sz w:val="16"/>
                <w:szCs w:val="16"/>
              </w:rPr>
              <w:t>SI2</w:t>
            </w:r>
          </w:p>
        </w:tc>
        <w:tc>
          <w:tcPr>
            <w:tcW w:w="1300" w:type="dxa"/>
            <w:tcBorders>
              <w:bottom w:val="single" w:sz="4" w:space="0" w:color="auto"/>
            </w:tcBorders>
            <w:shd w:val="clear" w:color="auto" w:fill="E7F3F4"/>
            <w:noWrap/>
            <w:vAlign w:val="center"/>
            <w:hideMark/>
          </w:tcPr>
          <w:p w14:paraId="3AE15685"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19.71 ±1.40</w:t>
            </w:r>
          </w:p>
        </w:tc>
        <w:tc>
          <w:tcPr>
            <w:tcW w:w="960" w:type="dxa"/>
            <w:tcBorders>
              <w:bottom w:val="single" w:sz="4" w:space="0" w:color="auto"/>
            </w:tcBorders>
            <w:shd w:val="clear" w:color="auto" w:fill="E7F3F4"/>
            <w:noWrap/>
            <w:vAlign w:val="center"/>
            <w:hideMark/>
          </w:tcPr>
          <w:p w14:paraId="71C106FA"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48.56</w:t>
            </w:r>
          </w:p>
        </w:tc>
        <w:tc>
          <w:tcPr>
            <w:tcW w:w="1182" w:type="dxa"/>
            <w:vMerge/>
            <w:tcBorders>
              <w:bottom w:val="single" w:sz="4" w:space="0" w:color="auto"/>
            </w:tcBorders>
            <w:shd w:val="clear" w:color="auto" w:fill="E7F3F4"/>
          </w:tcPr>
          <w:p w14:paraId="476CBCD3"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3A8359E9" w14:textId="6800A1FC" w:rsidTr="009E460B">
        <w:trPr>
          <w:jc w:val="center"/>
        </w:trPr>
        <w:tc>
          <w:tcPr>
            <w:tcW w:w="1920" w:type="dxa"/>
            <w:noWrap/>
            <w:vAlign w:val="bottom"/>
          </w:tcPr>
          <w:p w14:paraId="4A2EBDC1" w14:textId="77777777" w:rsidR="009E460B" w:rsidRPr="00AE2CD6" w:rsidRDefault="009E460B" w:rsidP="00DE79BD">
            <w:pPr>
              <w:spacing w:before="0" w:after="0" w:line="180" w:lineRule="exact"/>
              <w:jc w:val="center"/>
              <w:rPr>
                <w:sz w:val="16"/>
                <w:szCs w:val="16"/>
              </w:rPr>
            </w:pPr>
          </w:p>
        </w:tc>
        <w:tc>
          <w:tcPr>
            <w:tcW w:w="1720" w:type="dxa"/>
            <w:tcBorders>
              <w:top w:val="single" w:sz="4" w:space="0" w:color="auto"/>
            </w:tcBorders>
            <w:shd w:val="clear" w:color="auto" w:fill="F3F9FA"/>
            <w:noWrap/>
            <w:vAlign w:val="bottom"/>
          </w:tcPr>
          <w:p w14:paraId="7E3273AB" w14:textId="77777777" w:rsidR="009E460B" w:rsidRPr="00AE2CD6" w:rsidRDefault="009E460B" w:rsidP="00DE79BD">
            <w:pPr>
              <w:spacing w:before="0" w:after="0" w:line="180" w:lineRule="exact"/>
              <w:jc w:val="center"/>
              <w:rPr>
                <w:sz w:val="16"/>
                <w:szCs w:val="16"/>
              </w:rPr>
            </w:pPr>
            <w:r w:rsidRPr="00AE2CD6">
              <w:rPr>
                <w:sz w:val="16"/>
                <w:szCs w:val="16"/>
              </w:rPr>
              <w:t>coastal intertidal</w:t>
            </w:r>
          </w:p>
        </w:tc>
        <w:tc>
          <w:tcPr>
            <w:tcW w:w="960" w:type="dxa"/>
            <w:tcBorders>
              <w:top w:val="single" w:sz="4" w:space="0" w:color="auto"/>
            </w:tcBorders>
            <w:shd w:val="clear" w:color="auto" w:fill="F3F9FA"/>
            <w:noWrap/>
            <w:vAlign w:val="bottom"/>
            <w:hideMark/>
          </w:tcPr>
          <w:p w14:paraId="708C702A" w14:textId="77777777" w:rsidR="009E460B" w:rsidRPr="00AE2CD6" w:rsidRDefault="009E460B" w:rsidP="00DE79BD">
            <w:pPr>
              <w:spacing w:before="0" w:after="0" w:line="180" w:lineRule="exact"/>
              <w:jc w:val="center"/>
              <w:rPr>
                <w:sz w:val="16"/>
                <w:szCs w:val="16"/>
              </w:rPr>
            </w:pPr>
            <w:r w:rsidRPr="00AE2CD6">
              <w:rPr>
                <w:sz w:val="16"/>
                <w:szCs w:val="16"/>
              </w:rPr>
              <w:t>MP2</w:t>
            </w:r>
          </w:p>
        </w:tc>
        <w:tc>
          <w:tcPr>
            <w:tcW w:w="1300" w:type="dxa"/>
            <w:tcBorders>
              <w:top w:val="single" w:sz="4" w:space="0" w:color="auto"/>
            </w:tcBorders>
            <w:shd w:val="clear" w:color="auto" w:fill="F3F9FA"/>
            <w:noWrap/>
            <w:vAlign w:val="center"/>
            <w:hideMark/>
          </w:tcPr>
          <w:p w14:paraId="56B7DDA3"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21.17 ±0.54</w:t>
            </w:r>
          </w:p>
        </w:tc>
        <w:tc>
          <w:tcPr>
            <w:tcW w:w="960" w:type="dxa"/>
            <w:tcBorders>
              <w:top w:val="single" w:sz="4" w:space="0" w:color="auto"/>
            </w:tcBorders>
            <w:shd w:val="clear" w:color="auto" w:fill="F3F9FA"/>
            <w:noWrap/>
            <w:vAlign w:val="center"/>
          </w:tcPr>
          <w:p w14:paraId="66BEA315"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55.84</w:t>
            </w:r>
          </w:p>
        </w:tc>
        <w:tc>
          <w:tcPr>
            <w:tcW w:w="1182" w:type="dxa"/>
            <w:vMerge w:val="restart"/>
            <w:tcBorders>
              <w:top w:val="single" w:sz="4" w:space="0" w:color="auto"/>
            </w:tcBorders>
            <w:shd w:val="clear" w:color="auto" w:fill="F3F9FA"/>
            <w:vAlign w:val="center"/>
          </w:tcPr>
          <w:p w14:paraId="7B53240C" w14:textId="18C63925"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55</w:t>
            </w:r>
          </w:p>
        </w:tc>
      </w:tr>
      <w:tr w:rsidR="009E460B" w:rsidRPr="00AE2CD6" w14:paraId="5493E306" w14:textId="3F9AE8F4" w:rsidTr="009E460B">
        <w:trPr>
          <w:jc w:val="center"/>
        </w:trPr>
        <w:tc>
          <w:tcPr>
            <w:tcW w:w="1920" w:type="dxa"/>
            <w:noWrap/>
            <w:vAlign w:val="bottom"/>
          </w:tcPr>
          <w:p w14:paraId="5C1D0E18" w14:textId="77777777" w:rsidR="009E460B" w:rsidRPr="00AE2CD6" w:rsidRDefault="009E460B" w:rsidP="00DE79BD">
            <w:pPr>
              <w:spacing w:before="0" w:after="0" w:line="180" w:lineRule="exact"/>
              <w:jc w:val="center"/>
              <w:rPr>
                <w:sz w:val="16"/>
                <w:szCs w:val="16"/>
              </w:rPr>
            </w:pPr>
          </w:p>
        </w:tc>
        <w:tc>
          <w:tcPr>
            <w:tcW w:w="1720" w:type="dxa"/>
            <w:shd w:val="clear" w:color="auto" w:fill="F3F9FA"/>
            <w:noWrap/>
            <w:vAlign w:val="bottom"/>
          </w:tcPr>
          <w:p w14:paraId="61B28F60" w14:textId="77777777" w:rsidR="009E460B" w:rsidRPr="00AE2CD6" w:rsidRDefault="009E460B" w:rsidP="00DE79BD">
            <w:pPr>
              <w:spacing w:before="0" w:after="0" w:line="180" w:lineRule="exact"/>
              <w:jc w:val="center"/>
              <w:rPr>
                <w:sz w:val="16"/>
                <w:szCs w:val="16"/>
              </w:rPr>
            </w:pPr>
          </w:p>
        </w:tc>
        <w:tc>
          <w:tcPr>
            <w:tcW w:w="960" w:type="dxa"/>
            <w:shd w:val="clear" w:color="auto" w:fill="F3F9FA"/>
            <w:noWrap/>
            <w:vAlign w:val="bottom"/>
            <w:hideMark/>
          </w:tcPr>
          <w:p w14:paraId="1A333BDB" w14:textId="77777777" w:rsidR="009E460B" w:rsidRPr="00AE2CD6" w:rsidRDefault="009E460B" w:rsidP="00DE79BD">
            <w:pPr>
              <w:spacing w:before="0" w:after="0" w:line="180" w:lineRule="exact"/>
              <w:jc w:val="center"/>
              <w:rPr>
                <w:sz w:val="16"/>
                <w:szCs w:val="16"/>
              </w:rPr>
            </w:pPr>
            <w:r w:rsidRPr="00AE2CD6">
              <w:rPr>
                <w:sz w:val="16"/>
                <w:szCs w:val="16"/>
              </w:rPr>
              <w:t>MP3</w:t>
            </w:r>
          </w:p>
        </w:tc>
        <w:tc>
          <w:tcPr>
            <w:tcW w:w="1300" w:type="dxa"/>
            <w:shd w:val="clear" w:color="auto" w:fill="F3F9FA"/>
            <w:noWrap/>
            <w:vAlign w:val="center"/>
            <w:hideMark/>
          </w:tcPr>
          <w:p w14:paraId="3A8BFC3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20.67 ±2.39</w:t>
            </w:r>
          </w:p>
        </w:tc>
        <w:tc>
          <w:tcPr>
            <w:tcW w:w="960" w:type="dxa"/>
            <w:shd w:val="clear" w:color="auto" w:fill="F3F9FA"/>
            <w:noWrap/>
            <w:vAlign w:val="center"/>
            <w:hideMark/>
          </w:tcPr>
          <w:p w14:paraId="275720D9"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53.34</w:t>
            </w:r>
          </w:p>
        </w:tc>
        <w:tc>
          <w:tcPr>
            <w:tcW w:w="1182" w:type="dxa"/>
            <w:vMerge/>
            <w:shd w:val="clear" w:color="auto" w:fill="F3F9FA"/>
          </w:tcPr>
          <w:p w14:paraId="34E7B793"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E2CD6" w14:paraId="710DFB78" w14:textId="21CA1DCB" w:rsidTr="009E460B">
        <w:trPr>
          <w:jc w:val="center"/>
        </w:trPr>
        <w:tc>
          <w:tcPr>
            <w:tcW w:w="1920" w:type="dxa"/>
            <w:noWrap/>
            <w:vAlign w:val="bottom"/>
          </w:tcPr>
          <w:p w14:paraId="2964F4D6" w14:textId="77777777" w:rsidR="009E460B" w:rsidRPr="00AE2CD6"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21117E5A" w14:textId="77777777" w:rsidR="009E460B" w:rsidRPr="00AE2CD6" w:rsidRDefault="009E460B" w:rsidP="00DE79BD">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3728F68C" w14:textId="77777777" w:rsidR="009E460B" w:rsidRPr="00AE2CD6" w:rsidRDefault="009E460B" w:rsidP="00DE79BD">
            <w:pPr>
              <w:spacing w:before="0" w:after="0" w:line="180" w:lineRule="exact"/>
              <w:jc w:val="center"/>
              <w:rPr>
                <w:sz w:val="16"/>
                <w:szCs w:val="16"/>
              </w:rPr>
            </w:pPr>
            <w:r w:rsidRPr="00AE2CD6">
              <w:rPr>
                <w:sz w:val="16"/>
                <w:szCs w:val="16"/>
              </w:rPr>
              <w:t>HM1</w:t>
            </w:r>
          </w:p>
        </w:tc>
        <w:tc>
          <w:tcPr>
            <w:tcW w:w="1300" w:type="dxa"/>
            <w:tcBorders>
              <w:top w:val="single" w:sz="4" w:space="0" w:color="auto"/>
              <w:left w:val="nil"/>
              <w:bottom w:val="nil"/>
              <w:right w:val="nil"/>
            </w:tcBorders>
            <w:shd w:val="clear" w:color="auto" w:fill="E7F3F4"/>
            <w:noWrap/>
            <w:vAlign w:val="center"/>
            <w:hideMark/>
          </w:tcPr>
          <w:p w14:paraId="39872703"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10.04 ±0.08</w:t>
            </w:r>
          </w:p>
        </w:tc>
        <w:tc>
          <w:tcPr>
            <w:tcW w:w="960" w:type="dxa"/>
            <w:tcBorders>
              <w:top w:val="single" w:sz="4" w:space="0" w:color="auto"/>
              <w:left w:val="nil"/>
              <w:bottom w:val="nil"/>
              <w:right w:val="nil"/>
            </w:tcBorders>
            <w:shd w:val="clear" w:color="auto" w:fill="E7F3F4"/>
            <w:noWrap/>
            <w:vAlign w:val="center"/>
            <w:hideMark/>
          </w:tcPr>
          <w:p w14:paraId="10F062E1"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0.2</w:t>
            </w:r>
          </w:p>
        </w:tc>
        <w:tc>
          <w:tcPr>
            <w:tcW w:w="1182" w:type="dxa"/>
            <w:vMerge w:val="restart"/>
            <w:tcBorders>
              <w:top w:val="single" w:sz="4" w:space="0" w:color="auto"/>
              <w:left w:val="nil"/>
              <w:right w:val="nil"/>
            </w:tcBorders>
            <w:shd w:val="clear" w:color="auto" w:fill="E7F3F4"/>
            <w:vAlign w:val="center"/>
          </w:tcPr>
          <w:p w14:paraId="61E5B735" w14:textId="0BBBFB55"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9</w:t>
            </w:r>
          </w:p>
        </w:tc>
      </w:tr>
      <w:tr w:rsidR="009E460B" w:rsidRPr="00AE2CD6" w14:paraId="00047A53" w14:textId="44B24A84" w:rsidTr="009E460B">
        <w:trPr>
          <w:jc w:val="center"/>
        </w:trPr>
        <w:tc>
          <w:tcPr>
            <w:tcW w:w="1920" w:type="dxa"/>
            <w:noWrap/>
            <w:vAlign w:val="bottom"/>
          </w:tcPr>
          <w:p w14:paraId="40753177" w14:textId="77777777" w:rsidR="009E460B" w:rsidRPr="00AE2CD6" w:rsidRDefault="009E460B" w:rsidP="00DE79BD">
            <w:pPr>
              <w:spacing w:before="0" w:after="0" w:line="180" w:lineRule="exact"/>
              <w:jc w:val="center"/>
              <w:rPr>
                <w:sz w:val="16"/>
                <w:szCs w:val="16"/>
              </w:rPr>
            </w:pPr>
          </w:p>
        </w:tc>
        <w:tc>
          <w:tcPr>
            <w:tcW w:w="1720" w:type="dxa"/>
            <w:shd w:val="clear" w:color="auto" w:fill="E7F3F4"/>
            <w:noWrap/>
            <w:vAlign w:val="bottom"/>
          </w:tcPr>
          <w:p w14:paraId="6AF77A45" w14:textId="77777777" w:rsidR="009E460B" w:rsidRPr="00AE2CD6" w:rsidRDefault="009E460B" w:rsidP="00DE79BD">
            <w:pPr>
              <w:spacing w:before="0" w:after="0" w:line="180" w:lineRule="exact"/>
              <w:jc w:val="center"/>
              <w:rPr>
                <w:sz w:val="16"/>
                <w:szCs w:val="16"/>
              </w:rPr>
            </w:pPr>
          </w:p>
        </w:tc>
        <w:tc>
          <w:tcPr>
            <w:tcW w:w="960" w:type="dxa"/>
            <w:shd w:val="clear" w:color="auto" w:fill="E7F3F4"/>
            <w:noWrap/>
            <w:vAlign w:val="bottom"/>
            <w:hideMark/>
          </w:tcPr>
          <w:p w14:paraId="331A9351" w14:textId="77777777" w:rsidR="009E460B" w:rsidRPr="00AE2CD6" w:rsidRDefault="009E460B" w:rsidP="00DE79BD">
            <w:pPr>
              <w:spacing w:before="0" w:after="0" w:line="180" w:lineRule="exact"/>
              <w:jc w:val="center"/>
              <w:rPr>
                <w:sz w:val="16"/>
                <w:szCs w:val="16"/>
              </w:rPr>
            </w:pPr>
            <w:r w:rsidRPr="00AE2CD6">
              <w:rPr>
                <w:sz w:val="16"/>
                <w:szCs w:val="16"/>
              </w:rPr>
              <w:t>HM2</w:t>
            </w:r>
          </w:p>
        </w:tc>
        <w:tc>
          <w:tcPr>
            <w:tcW w:w="1300" w:type="dxa"/>
            <w:shd w:val="clear" w:color="auto" w:fill="E7F3F4"/>
            <w:noWrap/>
            <w:vAlign w:val="center"/>
            <w:hideMark/>
          </w:tcPr>
          <w:p w14:paraId="1D9253C8"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13.70 ±0.45</w:t>
            </w:r>
          </w:p>
        </w:tc>
        <w:tc>
          <w:tcPr>
            <w:tcW w:w="960" w:type="dxa"/>
            <w:shd w:val="clear" w:color="auto" w:fill="E7F3F4"/>
            <w:noWrap/>
            <w:vAlign w:val="center"/>
            <w:hideMark/>
          </w:tcPr>
          <w:p w14:paraId="11A4F2D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18.52</w:t>
            </w:r>
          </w:p>
        </w:tc>
        <w:tc>
          <w:tcPr>
            <w:tcW w:w="1182" w:type="dxa"/>
            <w:vMerge/>
            <w:shd w:val="clear" w:color="auto" w:fill="E7F3F4"/>
          </w:tcPr>
          <w:p w14:paraId="06E170C4" w14:textId="77777777" w:rsidR="009E460B" w:rsidRPr="00997DCA" w:rsidRDefault="009E460B" w:rsidP="00DE79BD">
            <w:pPr>
              <w:spacing w:before="0" w:after="0"/>
              <w:jc w:val="center"/>
              <w:rPr>
                <w:rFonts w:asciiTheme="minorHAnsi" w:hAnsiTheme="minorHAnsi"/>
                <w:color w:val="000000"/>
                <w:sz w:val="16"/>
                <w:szCs w:val="16"/>
              </w:rPr>
            </w:pPr>
          </w:p>
        </w:tc>
      </w:tr>
      <w:tr w:rsidR="00DE79BD" w:rsidRPr="00AE2CD6" w14:paraId="60B573DE" w14:textId="0624D311" w:rsidTr="009E460B">
        <w:trPr>
          <w:jc w:val="center"/>
        </w:trPr>
        <w:tc>
          <w:tcPr>
            <w:tcW w:w="1920" w:type="dxa"/>
            <w:tcBorders>
              <w:top w:val="nil"/>
              <w:left w:val="nil"/>
              <w:bottom w:val="single" w:sz="4" w:space="0" w:color="auto"/>
              <w:right w:val="nil"/>
            </w:tcBorders>
            <w:noWrap/>
            <w:vAlign w:val="bottom"/>
          </w:tcPr>
          <w:p w14:paraId="05F26857" w14:textId="77777777" w:rsidR="00DE79BD" w:rsidRPr="00AE2CD6" w:rsidRDefault="00DE79BD" w:rsidP="00DE79BD">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3F997379" w14:textId="2E15EA9E" w:rsidR="00DE79BD" w:rsidRPr="00AE2CD6" w:rsidRDefault="009E460B" w:rsidP="00DE79BD">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7CEFC6B0" w14:textId="77777777" w:rsidR="00DE79BD" w:rsidRPr="00AE2CD6" w:rsidRDefault="00DE79BD" w:rsidP="00DE79BD">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center"/>
          </w:tcPr>
          <w:p w14:paraId="15A6570F" w14:textId="77777777" w:rsidR="00DE79BD" w:rsidRPr="00997DCA" w:rsidRDefault="00DE79BD"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single" w:sz="4" w:space="0" w:color="auto"/>
              <w:right w:val="nil"/>
            </w:tcBorders>
            <w:noWrap/>
            <w:vAlign w:val="center"/>
            <w:hideMark/>
          </w:tcPr>
          <w:p w14:paraId="29669D83" w14:textId="77777777" w:rsidR="00DE79BD" w:rsidRPr="00997DCA" w:rsidRDefault="00DE79BD" w:rsidP="00DE79BD">
            <w:pPr>
              <w:spacing w:before="0" w:after="0"/>
              <w:jc w:val="center"/>
              <w:rPr>
                <w:rFonts w:asciiTheme="minorHAnsi" w:hAnsiTheme="minorHAnsi"/>
                <w:b/>
                <w:color w:val="000000"/>
                <w:sz w:val="16"/>
                <w:szCs w:val="16"/>
              </w:rPr>
            </w:pPr>
            <w:r w:rsidRPr="00997DCA">
              <w:rPr>
                <w:rFonts w:asciiTheme="minorHAnsi" w:hAnsiTheme="minorHAnsi"/>
                <w:b/>
                <w:color w:val="000000"/>
                <w:sz w:val="16"/>
                <w:szCs w:val="16"/>
              </w:rPr>
              <w:t>34</w:t>
            </w:r>
          </w:p>
        </w:tc>
        <w:tc>
          <w:tcPr>
            <w:tcW w:w="1182" w:type="dxa"/>
            <w:tcBorders>
              <w:top w:val="single" w:sz="4" w:space="0" w:color="auto"/>
              <w:left w:val="nil"/>
              <w:bottom w:val="single" w:sz="4" w:space="0" w:color="auto"/>
              <w:right w:val="nil"/>
            </w:tcBorders>
          </w:tcPr>
          <w:p w14:paraId="4DC1E4B4" w14:textId="77777777" w:rsidR="00DE79BD" w:rsidRPr="00997DCA" w:rsidRDefault="00DE79BD" w:rsidP="00DE79BD">
            <w:pPr>
              <w:spacing w:before="0" w:after="0"/>
              <w:jc w:val="center"/>
              <w:rPr>
                <w:rFonts w:asciiTheme="minorHAnsi" w:hAnsiTheme="minorHAnsi"/>
                <w:b/>
                <w:color w:val="000000"/>
                <w:sz w:val="16"/>
                <w:szCs w:val="16"/>
              </w:rPr>
            </w:pPr>
          </w:p>
        </w:tc>
      </w:tr>
      <w:tr w:rsidR="009E460B" w14:paraId="4D6834AB" w14:textId="226FA9B4" w:rsidTr="009E460B">
        <w:trPr>
          <w:jc w:val="center"/>
        </w:trPr>
        <w:tc>
          <w:tcPr>
            <w:tcW w:w="1920" w:type="dxa"/>
            <w:tcBorders>
              <w:top w:val="single" w:sz="4" w:space="0" w:color="auto"/>
              <w:left w:val="nil"/>
              <w:bottom w:val="nil"/>
              <w:right w:val="nil"/>
            </w:tcBorders>
            <w:noWrap/>
            <w:vAlign w:val="bottom"/>
            <w:hideMark/>
          </w:tcPr>
          <w:p w14:paraId="2C2AFE37" w14:textId="77777777" w:rsidR="009E460B" w:rsidRDefault="009E460B" w:rsidP="00DE79BD">
            <w:pPr>
              <w:spacing w:before="0" w:after="0" w:line="180" w:lineRule="exact"/>
              <w:jc w:val="center"/>
              <w:rPr>
                <w:color w:val="000000"/>
                <w:sz w:val="16"/>
                <w:szCs w:val="16"/>
              </w:rPr>
            </w:pPr>
            <w:r>
              <w:rPr>
                <w:color w:val="000000"/>
                <w:sz w:val="16"/>
                <w:szCs w:val="16"/>
              </w:rPr>
              <w:t>Fitzroy</w:t>
            </w:r>
          </w:p>
        </w:tc>
        <w:tc>
          <w:tcPr>
            <w:tcW w:w="1720" w:type="dxa"/>
            <w:tcBorders>
              <w:top w:val="single" w:sz="4" w:space="0" w:color="auto"/>
              <w:left w:val="nil"/>
              <w:bottom w:val="nil"/>
              <w:right w:val="nil"/>
            </w:tcBorders>
            <w:shd w:val="clear" w:color="auto" w:fill="F3F9FA"/>
            <w:noWrap/>
            <w:vAlign w:val="bottom"/>
            <w:hideMark/>
          </w:tcPr>
          <w:p w14:paraId="08675368" w14:textId="77777777" w:rsidR="009E460B" w:rsidRDefault="009E460B" w:rsidP="00DE79BD">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14:paraId="7EF784EF" w14:textId="77777777" w:rsidR="009E460B" w:rsidRDefault="009E460B" w:rsidP="00DE79BD">
            <w:pPr>
              <w:spacing w:before="0" w:after="0" w:line="180" w:lineRule="exact"/>
              <w:jc w:val="center"/>
              <w:rPr>
                <w:color w:val="000000"/>
                <w:sz w:val="16"/>
                <w:szCs w:val="16"/>
              </w:rPr>
            </w:pPr>
            <w:r>
              <w:rPr>
                <w:color w:val="000000"/>
                <w:sz w:val="16"/>
                <w:szCs w:val="16"/>
              </w:rPr>
              <w:t>GH1</w:t>
            </w:r>
          </w:p>
        </w:tc>
        <w:tc>
          <w:tcPr>
            <w:tcW w:w="1300" w:type="dxa"/>
            <w:tcBorders>
              <w:top w:val="single" w:sz="4" w:space="0" w:color="auto"/>
              <w:left w:val="nil"/>
              <w:bottom w:val="nil"/>
              <w:right w:val="nil"/>
            </w:tcBorders>
            <w:shd w:val="clear" w:color="auto" w:fill="F3F9FA"/>
            <w:noWrap/>
            <w:vAlign w:val="center"/>
            <w:hideMark/>
          </w:tcPr>
          <w:p w14:paraId="78B3C1F4"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19.73 ±1.04</w:t>
            </w:r>
          </w:p>
        </w:tc>
        <w:tc>
          <w:tcPr>
            <w:tcW w:w="960" w:type="dxa"/>
            <w:tcBorders>
              <w:top w:val="single" w:sz="4" w:space="0" w:color="auto"/>
              <w:left w:val="nil"/>
              <w:bottom w:val="nil"/>
              <w:right w:val="nil"/>
            </w:tcBorders>
            <w:shd w:val="clear" w:color="auto" w:fill="F3F9FA"/>
            <w:noWrap/>
            <w:vAlign w:val="center"/>
            <w:hideMark/>
          </w:tcPr>
          <w:p w14:paraId="232494AB"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48.66</w:t>
            </w:r>
          </w:p>
        </w:tc>
        <w:tc>
          <w:tcPr>
            <w:tcW w:w="1182" w:type="dxa"/>
            <w:vMerge w:val="restart"/>
            <w:tcBorders>
              <w:top w:val="single" w:sz="4" w:space="0" w:color="auto"/>
              <w:left w:val="nil"/>
              <w:right w:val="nil"/>
            </w:tcBorders>
            <w:shd w:val="clear" w:color="auto" w:fill="F3F9FA"/>
            <w:vAlign w:val="center"/>
          </w:tcPr>
          <w:p w14:paraId="30CE2FD7" w14:textId="1C3BBF65"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52</w:t>
            </w:r>
          </w:p>
        </w:tc>
      </w:tr>
      <w:tr w:rsidR="009E460B" w:rsidRPr="00A67F11" w14:paraId="0819E21F" w14:textId="710E0F96" w:rsidTr="009E460B">
        <w:trPr>
          <w:jc w:val="center"/>
        </w:trPr>
        <w:tc>
          <w:tcPr>
            <w:tcW w:w="1920" w:type="dxa"/>
            <w:noWrap/>
            <w:vAlign w:val="bottom"/>
          </w:tcPr>
          <w:p w14:paraId="31B96814" w14:textId="77777777" w:rsidR="009E460B" w:rsidRPr="00A67F11" w:rsidRDefault="009E460B" w:rsidP="00DE79BD">
            <w:pPr>
              <w:spacing w:before="0" w:after="0" w:line="180" w:lineRule="exact"/>
              <w:jc w:val="center"/>
              <w:outlineLvl w:val="0"/>
              <w:rPr>
                <w:sz w:val="16"/>
                <w:szCs w:val="16"/>
              </w:rPr>
            </w:pPr>
          </w:p>
        </w:tc>
        <w:tc>
          <w:tcPr>
            <w:tcW w:w="1720" w:type="dxa"/>
            <w:shd w:val="clear" w:color="auto" w:fill="F3F9FA"/>
            <w:noWrap/>
            <w:vAlign w:val="bottom"/>
          </w:tcPr>
          <w:p w14:paraId="30DA8695" w14:textId="77777777" w:rsidR="009E460B" w:rsidRPr="00A67F11" w:rsidRDefault="009E460B" w:rsidP="00DE79BD">
            <w:pPr>
              <w:spacing w:before="0" w:after="0" w:line="180" w:lineRule="exact"/>
              <w:jc w:val="center"/>
              <w:outlineLvl w:val="0"/>
              <w:rPr>
                <w:sz w:val="16"/>
                <w:szCs w:val="16"/>
              </w:rPr>
            </w:pPr>
          </w:p>
        </w:tc>
        <w:tc>
          <w:tcPr>
            <w:tcW w:w="960" w:type="dxa"/>
            <w:shd w:val="clear" w:color="auto" w:fill="F3F9FA"/>
            <w:noWrap/>
            <w:vAlign w:val="bottom"/>
            <w:hideMark/>
          </w:tcPr>
          <w:p w14:paraId="4A69C843" w14:textId="77777777" w:rsidR="009E460B" w:rsidRPr="00A67F11" w:rsidRDefault="009E460B" w:rsidP="00DE79BD">
            <w:pPr>
              <w:spacing w:before="0" w:after="0" w:line="180" w:lineRule="exact"/>
              <w:jc w:val="center"/>
              <w:rPr>
                <w:sz w:val="16"/>
                <w:szCs w:val="16"/>
              </w:rPr>
            </w:pPr>
            <w:r w:rsidRPr="00A67F11">
              <w:rPr>
                <w:sz w:val="16"/>
                <w:szCs w:val="16"/>
              </w:rPr>
              <w:t>GH2</w:t>
            </w:r>
          </w:p>
        </w:tc>
        <w:tc>
          <w:tcPr>
            <w:tcW w:w="1300" w:type="dxa"/>
            <w:shd w:val="clear" w:color="auto" w:fill="F3F9FA"/>
            <w:noWrap/>
            <w:vAlign w:val="center"/>
            <w:hideMark/>
          </w:tcPr>
          <w:p w14:paraId="57348CC7"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21.20 ±0.73</w:t>
            </w:r>
          </w:p>
        </w:tc>
        <w:tc>
          <w:tcPr>
            <w:tcW w:w="960" w:type="dxa"/>
            <w:shd w:val="clear" w:color="auto" w:fill="F3F9FA"/>
            <w:noWrap/>
            <w:vAlign w:val="center"/>
            <w:hideMark/>
          </w:tcPr>
          <w:p w14:paraId="1609915A"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56</w:t>
            </w:r>
          </w:p>
        </w:tc>
        <w:tc>
          <w:tcPr>
            <w:tcW w:w="1182" w:type="dxa"/>
            <w:vMerge/>
            <w:shd w:val="clear" w:color="auto" w:fill="F3F9FA"/>
          </w:tcPr>
          <w:p w14:paraId="4378EE72"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67F11" w14:paraId="62A5A862" w14:textId="72347BFE" w:rsidTr="009E460B">
        <w:trPr>
          <w:jc w:val="center"/>
        </w:trPr>
        <w:tc>
          <w:tcPr>
            <w:tcW w:w="1920" w:type="dxa"/>
            <w:noWrap/>
            <w:vAlign w:val="bottom"/>
          </w:tcPr>
          <w:p w14:paraId="7B5A7AF0" w14:textId="77777777" w:rsidR="009E460B" w:rsidRPr="00A67F11"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592B3BC0" w14:textId="77777777" w:rsidR="009E460B" w:rsidRPr="00A67F11" w:rsidRDefault="009E460B" w:rsidP="00DE79BD">
            <w:pPr>
              <w:spacing w:before="0" w:after="0" w:line="180" w:lineRule="exact"/>
              <w:jc w:val="center"/>
              <w:rPr>
                <w:sz w:val="16"/>
                <w:szCs w:val="16"/>
              </w:rPr>
            </w:pPr>
            <w:r w:rsidRPr="00A67F11">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6AA02A9C" w14:textId="77777777" w:rsidR="009E460B" w:rsidRPr="00A67F11" w:rsidRDefault="009E460B" w:rsidP="00DE79BD">
            <w:pPr>
              <w:spacing w:before="0" w:after="0" w:line="180" w:lineRule="exact"/>
              <w:jc w:val="center"/>
              <w:rPr>
                <w:sz w:val="16"/>
                <w:szCs w:val="16"/>
              </w:rPr>
            </w:pPr>
            <w:r w:rsidRPr="00A67F11">
              <w:rPr>
                <w:sz w:val="16"/>
                <w:szCs w:val="16"/>
              </w:rPr>
              <w:t>RC1</w:t>
            </w:r>
          </w:p>
        </w:tc>
        <w:tc>
          <w:tcPr>
            <w:tcW w:w="1300" w:type="dxa"/>
            <w:tcBorders>
              <w:top w:val="single" w:sz="4" w:space="0" w:color="auto"/>
              <w:left w:val="nil"/>
              <w:bottom w:val="nil"/>
              <w:right w:val="nil"/>
            </w:tcBorders>
            <w:shd w:val="clear" w:color="auto" w:fill="E7F3F4"/>
            <w:noWrap/>
            <w:vAlign w:val="center"/>
            <w:hideMark/>
          </w:tcPr>
          <w:p w14:paraId="1D8F9829"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20.47 ±0.69</w:t>
            </w:r>
          </w:p>
        </w:tc>
        <w:tc>
          <w:tcPr>
            <w:tcW w:w="960" w:type="dxa"/>
            <w:tcBorders>
              <w:top w:val="single" w:sz="4" w:space="0" w:color="auto"/>
              <w:left w:val="nil"/>
              <w:bottom w:val="nil"/>
              <w:right w:val="nil"/>
            </w:tcBorders>
            <w:shd w:val="clear" w:color="auto" w:fill="E7F3F4"/>
            <w:noWrap/>
            <w:vAlign w:val="center"/>
            <w:hideMark/>
          </w:tcPr>
          <w:p w14:paraId="28CD2F8B"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52.33</w:t>
            </w:r>
          </w:p>
        </w:tc>
        <w:tc>
          <w:tcPr>
            <w:tcW w:w="1182" w:type="dxa"/>
            <w:vMerge w:val="restart"/>
            <w:tcBorders>
              <w:top w:val="single" w:sz="4" w:space="0" w:color="auto"/>
              <w:left w:val="nil"/>
              <w:right w:val="nil"/>
            </w:tcBorders>
            <w:shd w:val="clear" w:color="auto" w:fill="E7F3F4"/>
            <w:vAlign w:val="center"/>
          </w:tcPr>
          <w:p w14:paraId="6285B4E9" w14:textId="0CB88183"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44</w:t>
            </w:r>
          </w:p>
        </w:tc>
      </w:tr>
      <w:tr w:rsidR="009E460B" w:rsidRPr="00A67F11" w14:paraId="5AC8D635" w14:textId="3E7A2F61" w:rsidTr="009E460B">
        <w:trPr>
          <w:jc w:val="center"/>
        </w:trPr>
        <w:tc>
          <w:tcPr>
            <w:tcW w:w="1920" w:type="dxa"/>
            <w:noWrap/>
            <w:vAlign w:val="bottom"/>
          </w:tcPr>
          <w:p w14:paraId="08399CFC" w14:textId="77777777" w:rsidR="009E460B" w:rsidRPr="00A67F11" w:rsidRDefault="009E460B" w:rsidP="00DE79BD">
            <w:pPr>
              <w:spacing w:before="0" w:after="0" w:line="180" w:lineRule="exact"/>
              <w:jc w:val="center"/>
              <w:rPr>
                <w:sz w:val="16"/>
                <w:szCs w:val="16"/>
              </w:rPr>
            </w:pPr>
          </w:p>
        </w:tc>
        <w:tc>
          <w:tcPr>
            <w:tcW w:w="1720" w:type="dxa"/>
            <w:shd w:val="clear" w:color="auto" w:fill="E7F3F4"/>
            <w:noWrap/>
            <w:vAlign w:val="bottom"/>
          </w:tcPr>
          <w:p w14:paraId="254819CF" w14:textId="77777777" w:rsidR="009E460B" w:rsidRPr="00A67F11" w:rsidRDefault="009E460B" w:rsidP="00DE79BD">
            <w:pPr>
              <w:spacing w:before="0" w:after="0" w:line="180" w:lineRule="exact"/>
              <w:jc w:val="center"/>
              <w:rPr>
                <w:sz w:val="16"/>
                <w:szCs w:val="16"/>
              </w:rPr>
            </w:pPr>
          </w:p>
        </w:tc>
        <w:tc>
          <w:tcPr>
            <w:tcW w:w="960" w:type="dxa"/>
            <w:shd w:val="clear" w:color="auto" w:fill="E7F3F4"/>
            <w:noWrap/>
            <w:vAlign w:val="bottom"/>
            <w:hideMark/>
          </w:tcPr>
          <w:p w14:paraId="5A12DEC2" w14:textId="77777777" w:rsidR="009E460B" w:rsidRPr="00A67F11" w:rsidRDefault="009E460B" w:rsidP="00DE79BD">
            <w:pPr>
              <w:spacing w:before="0" w:after="0" w:line="180" w:lineRule="exact"/>
              <w:jc w:val="center"/>
              <w:rPr>
                <w:sz w:val="16"/>
                <w:szCs w:val="16"/>
              </w:rPr>
            </w:pPr>
            <w:r w:rsidRPr="00A67F11">
              <w:rPr>
                <w:sz w:val="16"/>
                <w:szCs w:val="16"/>
              </w:rPr>
              <w:t>WH1</w:t>
            </w:r>
          </w:p>
        </w:tc>
        <w:tc>
          <w:tcPr>
            <w:tcW w:w="1300" w:type="dxa"/>
            <w:shd w:val="clear" w:color="auto" w:fill="E7F3F4"/>
            <w:noWrap/>
            <w:vAlign w:val="center"/>
            <w:hideMark/>
          </w:tcPr>
          <w:p w14:paraId="20F89A09"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16.99 ±0.44</w:t>
            </w:r>
          </w:p>
        </w:tc>
        <w:tc>
          <w:tcPr>
            <w:tcW w:w="960" w:type="dxa"/>
            <w:shd w:val="clear" w:color="auto" w:fill="E7F3F4"/>
            <w:noWrap/>
            <w:vAlign w:val="center"/>
            <w:hideMark/>
          </w:tcPr>
          <w:p w14:paraId="7C3A11C6"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34.96</w:t>
            </w:r>
          </w:p>
        </w:tc>
        <w:tc>
          <w:tcPr>
            <w:tcW w:w="1182" w:type="dxa"/>
            <w:vMerge/>
            <w:shd w:val="clear" w:color="auto" w:fill="E7F3F4"/>
          </w:tcPr>
          <w:p w14:paraId="707862D1"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67F11" w14:paraId="17490631" w14:textId="17A985C1" w:rsidTr="009E460B">
        <w:trPr>
          <w:jc w:val="center"/>
        </w:trPr>
        <w:tc>
          <w:tcPr>
            <w:tcW w:w="1920" w:type="dxa"/>
            <w:noWrap/>
            <w:vAlign w:val="bottom"/>
          </w:tcPr>
          <w:p w14:paraId="5B0B0310" w14:textId="77777777" w:rsidR="009E460B" w:rsidRPr="00A67F11" w:rsidRDefault="009E460B" w:rsidP="00DE79BD">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50816A95" w14:textId="77777777" w:rsidR="009E460B" w:rsidRPr="00A67F11" w:rsidRDefault="009E460B" w:rsidP="00DE79BD">
            <w:pPr>
              <w:spacing w:before="0" w:after="0" w:line="180" w:lineRule="exact"/>
              <w:jc w:val="center"/>
              <w:rPr>
                <w:sz w:val="16"/>
                <w:szCs w:val="16"/>
              </w:rPr>
            </w:pPr>
            <w:r w:rsidRPr="00A67F11">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0FE2B3F1" w14:textId="77777777" w:rsidR="009E460B" w:rsidRPr="00A67F11" w:rsidRDefault="009E460B" w:rsidP="00DE79BD">
            <w:pPr>
              <w:spacing w:before="0" w:after="0" w:line="180" w:lineRule="exact"/>
              <w:jc w:val="center"/>
              <w:rPr>
                <w:sz w:val="16"/>
                <w:szCs w:val="16"/>
              </w:rPr>
            </w:pPr>
            <w:r w:rsidRPr="00A67F11">
              <w:rPr>
                <w:sz w:val="16"/>
                <w:szCs w:val="16"/>
              </w:rPr>
              <w:t>GK1</w:t>
            </w:r>
          </w:p>
        </w:tc>
        <w:tc>
          <w:tcPr>
            <w:tcW w:w="1300" w:type="dxa"/>
            <w:tcBorders>
              <w:top w:val="single" w:sz="4" w:space="0" w:color="auto"/>
              <w:left w:val="nil"/>
              <w:bottom w:val="nil"/>
              <w:right w:val="nil"/>
            </w:tcBorders>
            <w:shd w:val="clear" w:color="auto" w:fill="F3F9FA"/>
            <w:noWrap/>
            <w:vAlign w:val="center"/>
            <w:hideMark/>
          </w:tcPr>
          <w:p w14:paraId="071DE7EA"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17.23 ±1.13</w:t>
            </w:r>
          </w:p>
        </w:tc>
        <w:tc>
          <w:tcPr>
            <w:tcW w:w="960" w:type="dxa"/>
            <w:tcBorders>
              <w:top w:val="single" w:sz="4" w:space="0" w:color="auto"/>
              <w:left w:val="nil"/>
              <w:bottom w:val="nil"/>
              <w:right w:val="nil"/>
            </w:tcBorders>
            <w:shd w:val="clear" w:color="auto" w:fill="F3F9FA"/>
            <w:noWrap/>
            <w:vAlign w:val="center"/>
            <w:hideMark/>
          </w:tcPr>
          <w:p w14:paraId="2156BACD"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36.16</w:t>
            </w:r>
          </w:p>
        </w:tc>
        <w:tc>
          <w:tcPr>
            <w:tcW w:w="1182" w:type="dxa"/>
            <w:vMerge w:val="restart"/>
            <w:tcBorders>
              <w:top w:val="single" w:sz="4" w:space="0" w:color="auto"/>
              <w:left w:val="nil"/>
              <w:right w:val="nil"/>
            </w:tcBorders>
            <w:shd w:val="clear" w:color="auto" w:fill="F3F9FA"/>
            <w:vAlign w:val="center"/>
          </w:tcPr>
          <w:p w14:paraId="5D7CF515" w14:textId="3C89D191"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35</w:t>
            </w:r>
          </w:p>
        </w:tc>
      </w:tr>
      <w:tr w:rsidR="009E460B" w:rsidRPr="00A67F11" w14:paraId="3675B5D7" w14:textId="1DD31AC5" w:rsidTr="009E460B">
        <w:trPr>
          <w:jc w:val="center"/>
        </w:trPr>
        <w:tc>
          <w:tcPr>
            <w:tcW w:w="1920" w:type="dxa"/>
            <w:noWrap/>
            <w:vAlign w:val="bottom"/>
          </w:tcPr>
          <w:p w14:paraId="677F56B9" w14:textId="77777777" w:rsidR="009E460B" w:rsidRPr="00A67F11" w:rsidRDefault="009E460B" w:rsidP="00DE79BD">
            <w:pPr>
              <w:spacing w:before="0" w:after="0" w:line="180" w:lineRule="exact"/>
              <w:jc w:val="center"/>
              <w:rPr>
                <w:sz w:val="16"/>
                <w:szCs w:val="16"/>
              </w:rPr>
            </w:pPr>
          </w:p>
        </w:tc>
        <w:tc>
          <w:tcPr>
            <w:tcW w:w="1720" w:type="dxa"/>
            <w:shd w:val="clear" w:color="auto" w:fill="F3F9FA"/>
            <w:noWrap/>
            <w:vAlign w:val="bottom"/>
          </w:tcPr>
          <w:p w14:paraId="1B2ED7A4" w14:textId="77777777" w:rsidR="009E460B" w:rsidRPr="00A67F11" w:rsidRDefault="009E460B" w:rsidP="00DE79BD">
            <w:pPr>
              <w:spacing w:before="0" w:after="0" w:line="180" w:lineRule="exact"/>
              <w:jc w:val="center"/>
              <w:rPr>
                <w:sz w:val="16"/>
                <w:szCs w:val="16"/>
              </w:rPr>
            </w:pPr>
          </w:p>
        </w:tc>
        <w:tc>
          <w:tcPr>
            <w:tcW w:w="960" w:type="dxa"/>
            <w:shd w:val="clear" w:color="auto" w:fill="F3F9FA"/>
            <w:noWrap/>
            <w:vAlign w:val="bottom"/>
            <w:hideMark/>
          </w:tcPr>
          <w:p w14:paraId="6F137FA6" w14:textId="77777777" w:rsidR="009E460B" w:rsidRPr="00A67F11" w:rsidRDefault="009E460B" w:rsidP="00DE79BD">
            <w:pPr>
              <w:spacing w:before="0" w:after="0" w:line="180" w:lineRule="exact"/>
              <w:jc w:val="center"/>
              <w:rPr>
                <w:sz w:val="16"/>
                <w:szCs w:val="16"/>
              </w:rPr>
            </w:pPr>
            <w:r w:rsidRPr="00A67F11">
              <w:rPr>
                <w:sz w:val="16"/>
                <w:szCs w:val="16"/>
              </w:rPr>
              <w:t>GK2</w:t>
            </w:r>
          </w:p>
        </w:tc>
        <w:tc>
          <w:tcPr>
            <w:tcW w:w="1300" w:type="dxa"/>
            <w:shd w:val="clear" w:color="auto" w:fill="F3F9FA"/>
            <w:noWrap/>
            <w:vAlign w:val="center"/>
            <w:hideMark/>
          </w:tcPr>
          <w:p w14:paraId="5A14F1AC"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16.76 ±0.49</w:t>
            </w:r>
          </w:p>
        </w:tc>
        <w:tc>
          <w:tcPr>
            <w:tcW w:w="960" w:type="dxa"/>
            <w:shd w:val="clear" w:color="auto" w:fill="F3F9FA"/>
            <w:noWrap/>
            <w:vAlign w:val="center"/>
          </w:tcPr>
          <w:p w14:paraId="708842C0"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33.78</w:t>
            </w:r>
          </w:p>
        </w:tc>
        <w:tc>
          <w:tcPr>
            <w:tcW w:w="1182" w:type="dxa"/>
            <w:vMerge/>
            <w:shd w:val="clear" w:color="auto" w:fill="F3F9FA"/>
          </w:tcPr>
          <w:p w14:paraId="46B6BFDF" w14:textId="77777777" w:rsidR="009E460B" w:rsidRPr="00997DCA" w:rsidRDefault="009E460B" w:rsidP="00DE79BD">
            <w:pPr>
              <w:spacing w:before="0" w:after="0"/>
              <w:jc w:val="center"/>
              <w:rPr>
                <w:rFonts w:asciiTheme="minorHAnsi" w:hAnsiTheme="minorHAnsi"/>
                <w:color w:val="000000"/>
                <w:sz w:val="16"/>
                <w:szCs w:val="16"/>
              </w:rPr>
            </w:pPr>
          </w:p>
        </w:tc>
      </w:tr>
      <w:tr w:rsidR="00DE79BD" w:rsidRPr="00A67F11" w14:paraId="7983E7FF" w14:textId="004F4343" w:rsidTr="009E460B">
        <w:trPr>
          <w:jc w:val="center"/>
        </w:trPr>
        <w:tc>
          <w:tcPr>
            <w:tcW w:w="1920" w:type="dxa"/>
            <w:tcBorders>
              <w:top w:val="nil"/>
              <w:left w:val="nil"/>
              <w:bottom w:val="single" w:sz="4" w:space="0" w:color="auto"/>
              <w:right w:val="nil"/>
            </w:tcBorders>
            <w:noWrap/>
            <w:vAlign w:val="bottom"/>
          </w:tcPr>
          <w:p w14:paraId="209107F4" w14:textId="77777777" w:rsidR="00DE79BD" w:rsidRPr="00A67F11" w:rsidRDefault="00DE79BD" w:rsidP="00DE79BD">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76EAEDFC" w14:textId="15C86F09" w:rsidR="00DE79BD" w:rsidRPr="00A67F11" w:rsidRDefault="009E460B" w:rsidP="00DE79BD">
            <w:pPr>
              <w:spacing w:before="0" w:after="0" w:line="180" w:lineRule="exact"/>
              <w:jc w:val="center"/>
              <w:rPr>
                <w:b/>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2DB8CE4A" w14:textId="77777777" w:rsidR="00DE79BD" w:rsidRPr="00A67F11" w:rsidRDefault="00DE79BD" w:rsidP="00DE79BD">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center"/>
          </w:tcPr>
          <w:p w14:paraId="25CEBC89" w14:textId="77777777" w:rsidR="00DE79BD" w:rsidRPr="00997DCA" w:rsidRDefault="00DE79BD"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single" w:sz="4" w:space="0" w:color="auto"/>
              <w:right w:val="nil"/>
            </w:tcBorders>
            <w:noWrap/>
            <w:vAlign w:val="center"/>
            <w:hideMark/>
          </w:tcPr>
          <w:p w14:paraId="07238A79" w14:textId="77777777" w:rsidR="00DE79BD" w:rsidRPr="00997DCA" w:rsidRDefault="00DE79BD" w:rsidP="00DE79BD">
            <w:pPr>
              <w:spacing w:before="0" w:after="0"/>
              <w:jc w:val="center"/>
              <w:rPr>
                <w:rFonts w:asciiTheme="minorHAnsi" w:hAnsiTheme="minorHAnsi"/>
                <w:b/>
                <w:color w:val="000000"/>
                <w:sz w:val="16"/>
                <w:szCs w:val="16"/>
              </w:rPr>
            </w:pPr>
            <w:r w:rsidRPr="00997DCA">
              <w:rPr>
                <w:rFonts w:asciiTheme="minorHAnsi" w:hAnsiTheme="minorHAnsi"/>
                <w:b/>
                <w:color w:val="000000"/>
                <w:sz w:val="16"/>
                <w:szCs w:val="16"/>
              </w:rPr>
              <w:t>44</w:t>
            </w:r>
          </w:p>
        </w:tc>
        <w:tc>
          <w:tcPr>
            <w:tcW w:w="1182" w:type="dxa"/>
            <w:tcBorders>
              <w:top w:val="single" w:sz="4" w:space="0" w:color="auto"/>
              <w:left w:val="nil"/>
              <w:bottom w:val="single" w:sz="4" w:space="0" w:color="auto"/>
              <w:right w:val="nil"/>
            </w:tcBorders>
          </w:tcPr>
          <w:p w14:paraId="7BD42020" w14:textId="77777777" w:rsidR="00DE79BD" w:rsidRPr="00997DCA" w:rsidRDefault="00DE79BD" w:rsidP="00DE79BD">
            <w:pPr>
              <w:spacing w:before="0" w:after="0"/>
              <w:jc w:val="center"/>
              <w:rPr>
                <w:rFonts w:asciiTheme="minorHAnsi" w:hAnsiTheme="minorHAnsi"/>
                <w:b/>
                <w:color w:val="000000"/>
                <w:sz w:val="16"/>
                <w:szCs w:val="16"/>
              </w:rPr>
            </w:pPr>
          </w:p>
        </w:tc>
      </w:tr>
      <w:tr w:rsidR="009E460B" w:rsidRPr="00A67F11" w14:paraId="38B8C245" w14:textId="13E17413" w:rsidTr="009E460B">
        <w:trPr>
          <w:jc w:val="center"/>
        </w:trPr>
        <w:tc>
          <w:tcPr>
            <w:tcW w:w="1920" w:type="dxa"/>
            <w:tcBorders>
              <w:top w:val="single" w:sz="4" w:space="0" w:color="auto"/>
              <w:left w:val="nil"/>
              <w:bottom w:val="nil"/>
              <w:right w:val="nil"/>
            </w:tcBorders>
            <w:noWrap/>
            <w:vAlign w:val="bottom"/>
            <w:hideMark/>
          </w:tcPr>
          <w:p w14:paraId="546809A3" w14:textId="77777777" w:rsidR="009E460B" w:rsidRPr="00A67F11" w:rsidRDefault="009E460B" w:rsidP="00DE79BD">
            <w:pPr>
              <w:spacing w:before="0" w:after="0" w:line="180" w:lineRule="exact"/>
              <w:jc w:val="center"/>
              <w:rPr>
                <w:sz w:val="16"/>
                <w:szCs w:val="16"/>
              </w:rPr>
            </w:pPr>
            <w:r w:rsidRPr="00A67F11">
              <w:rPr>
                <w:sz w:val="16"/>
                <w:szCs w:val="16"/>
              </w:rPr>
              <w:t>Burnett Mary</w:t>
            </w:r>
          </w:p>
        </w:tc>
        <w:tc>
          <w:tcPr>
            <w:tcW w:w="1720" w:type="dxa"/>
            <w:tcBorders>
              <w:top w:val="single" w:sz="4" w:space="0" w:color="auto"/>
              <w:left w:val="nil"/>
              <w:bottom w:val="nil"/>
              <w:right w:val="nil"/>
            </w:tcBorders>
            <w:shd w:val="clear" w:color="auto" w:fill="F3F9FA"/>
            <w:noWrap/>
            <w:vAlign w:val="bottom"/>
            <w:hideMark/>
          </w:tcPr>
          <w:p w14:paraId="3646908D" w14:textId="77777777" w:rsidR="009E460B" w:rsidRPr="00A67F11" w:rsidRDefault="009E460B" w:rsidP="00DE79BD">
            <w:pPr>
              <w:spacing w:before="0" w:after="0" w:line="180" w:lineRule="exact"/>
              <w:jc w:val="center"/>
              <w:rPr>
                <w:sz w:val="16"/>
                <w:szCs w:val="16"/>
              </w:rPr>
            </w:pPr>
            <w:r w:rsidRPr="00A67F11">
              <w:rPr>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14:paraId="4C243EFF" w14:textId="77777777" w:rsidR="009E460B" w:rsidRPr="00A67F11" w:rsidRDefault="009E460B" w:rsidP="00DE79BD">
            <w:pPr>
              <w:spacing w:before="0" w:after="0" w:line="180" w:lineRule="exact"/>
              <w:jc w:val="center"/>
              <w:rPr>
                <w:sz w:val="16"/>
                <w:szCs w:val="16"/>
              </w:rPr>
            </w:pPr>
            <w:r w:rsidRPr="00A67F11">
              <w:rPr>
                <w:sz w:val="16"/>
                <w:szCs w:val="16"/>
              </w:rPr>
              <w:t>RD1</w:t>
            </w:r>
          </w:p>
        </w:tc>
        <w:tc>
          <w:tcPr>
            <w:tcW w:w="1300" w:type="dxa"/>
            <w:tcBorders>
              <w:top w:val="single" w:sz="4" w:space="0" w:color="auto"/>
              <w:left w:val="nil"/>
              <w:bottom w:val="nil"/>
              <w:right w:val="nil"/>
            </w:tcBorders>
            <w:shd w:val="clear" w:color="auto" w:fill="F3F9FA"/>
            <w:noWrap/>
            <w:vAlign w:val="center"/>
            <w:hideMark/>
          </w:tcPr>
          <w:p w14:paraId="2591AB4F"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15.83 ±0.62</w:t>
            </w:r>
          </w:p>
        </w:tc>
        <w:tc>
          <w:tcPr>
            <w:tcW w:w="960" w:type="dxa"/>
            <w:tcBorders>
              <w:top w:val="single" w:sz="4" w:space="0" w:color="auto"/>
              <w:left w:val="nil"/>
              <w:bottom w:val="nil"/>
              <w:right w:val="nil"/>
            </w:tcBorders>
            <w:shd w:val="clear" w:color="auto" w:fill="F3F9FA"/>
            <w:noWrap/>
            <w:vAlign w:val="center"/>
            <w:hideMark/>
          </w:tcPr>
          <w:p w14:paraId="6065B40A"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29.15</w:t>
            </w:r>
          </w:p>
        </w:tc>
        <w:tc>
          <w:tcPr>
            <w:tcW w:w="1182" w:type="dxa"/>
            <w:vMerge w:val="restart"/>
            <w:tcBorders>
              <w:top w:val="single" w:sz="4" w:space="0" w:color="auto"/>
              <w:left w:val="nil"/>
              <w:right w:val="nil"/>
            </w:tcBorders>
            <w:shd w:val="clear" w:color="auto" w:fill="F3F9FA"/>
            <w:vAlign w:val="center"/>
          </w:tcPr>
          <w:p w14:paraId="4B2EB5EC" w14:textId="1C03B506"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45</w:t>
            </w:r>
          </w:p>
        </w:tc>
      </w:tr>
      <w:tr w:rsidR="009E460B" w:rsidRPr="00A67F11" w14:paraId="70DFC2D1" w14:textId="5A060157" w:rsidTr="009E460B">
        <w:trPr>
          <w:jc w:val="center"/>
        </w:trPr>
        <w:tc>
          <w:tcPr>
            <w:tcW w:w="1920" w:type="dxa"/>
            <w:noWrap/>
            <w:vAlign w:val="bottom"/>
          </w:tcPr>
          <w:p w14:paraId="2301945B" w14:textId="77777777" w:rsidR="009E460B" w:rsidRPr="00A67F11" w:rsidRDefault="009E460B" w:rsidP="00DE79BD">
            <w:pPr>
              <w:spacing w:before="0" w:after="0" w:line="180" w:lineRule="exact"/>
              <w:jc w:val="center"/>
              <w:rPr>
                <w:sz w:val="16"/>
                <w:szCs w:val="16"/>
              </w:rPr>
            </w:pPr>
          </w:p>
        </w:tc>
        <w:tc>
          <w:tcPr>
            <w:tcW w:w="1720" w:type="dxa"/>
            <w:shd w:val="clear" w:color="auto" w:fill="F3F9FA"/>
            <w:noWrap/>
            <w:vAlign w:val="bottom"/>
          </w:tcPr>
          <w:p w14:paraId="0EA51EE2" w14:textId="77777777" w:rsidR="009E460B" w:rsidRPr="00A67F11" w:rsidRDefault="009E460B" w:rsidP="00DE79BD">
            <w:pPr>
              <w:spacing w:before="0" w:after="0" w:line="180" w:lineRule="exact"/>
              <w:jc w:val="center"/>
              <w:rPr>
                <w:sz w:val="16"/>
                <w:szCs w:val="16"/>
              </w:rPr>
            </w:pPr>
          </w:p>
        </w:tc>
        <w:tc>
          <w:tcPr>
            <w:tcW w:w="960" w:type="dxa"/>
            <w:shd w:val="clear" w:color="auto" w:fill="F3F9FA"/>
            <w:noWrap/>
            <w:vAlign w:val="bottom"/>
            <w:hideMark/>
          </w:tcPr>
          <w:p w14:paraId="6F9E83F0" w14:textId="77777777" w:rsidR="009E460B" w:rsidRPr="00A67F11" w:rsidRDefault="009E460B" w:rsidP="00DE79BD">
            <w:pPr>
              <w:spacing w:before="0" w:after="0" w:line="180" w:lineRule="exact"/>
              <w:jc w:val="center"/>
              <w:rPr>
                <w:sz w:val="16"/>
                <w:szCs w:val="16"/>
              </w:rPr>
            </w:pPr>
            <w:r w:rsidRPr="00A67F11">
              <w:rPr>
                <w:sz w:val="16"/>
                <w:szCs w:val="16"/>
              </w:rPr>
              <w:t>RD2</w:t>
            </w:r>
          </w:p>
        </w:tc>
        <w:tc>
          <w:tcPr>
            <w:tcW w:w="1300" w:type="dxa"/>
            <w:shd w:val="clear" w:color="auto" w:fill="F3F9FA"/>
            <w:noWrap/>
            <w:vAlign w:val="center"/>
            <w:hideMark/>
          </w:tcPr>
          <w:p w14:paraId="2F38851A" w14:textId="77777777" w:rsidR="009E460B" w:rsidRPr="00997DCA" w:rsidRDefault="009E460B" w:rsidP="00DE79BD">
            <w:pPr>
              <w:spacing w:before="0" w:after="0"/>
              <w:jc w:val="center"/>
              <w:rPr>
                <w:rFonts w:asciiTheme="minorHAnsi" w:hAnsiTheme="minorHAnsi"/>
                <w:color w:val="000000"/>
                <w:sz w:val="16"/>
                <w:szCs w:val="16"/>
              </w:rPr>
            </w:pPr>
          </w:p>
        </w:tc>
        <w:tc>
          <w:tcPr>
            <w:tcW w:w="960" w:type="dxa"/>
            <w:shd w:val="clear" w:color="auto" w:fill="F3F9FA"/>
            <w:noWrap/>
            <w:vAlign w:val="center"/>
            <w:hideMark/>
          </w:tcPr>
          <w:p w14:paraId="2656F41D" w14:textId="77777777" w:rsidR="009E460B" w:rsidRPr="00997DCA" w:rsidRDefault="009E460B" w:rsidP="00DE79BD">
            <w:pPr>
              <w:spacing w:before="0" w:after="0"/>
              <w:jc w:val="center"/>
              <w:rPr>
                <w:rFonts w:asciiTheme="minorHAnsi" w:hAnsiTheme="minorHAnsi"/>
                <w:sz w:val="16"/>
                <w:szCs w:val="16"/>
              </w:rPr>
            </w:pPr>
          </w:p>
        </w:tc>
        <w:tc>
          <w:tcPr>
            <w:tcW w:w="1182" w:type="dxa"/>
            <w:vMerge/>
            <w:shd w:val="clear" w:color="auto" w:fill="F3F9FA"/>
          </w:tcPr>
          <w:p w14:paraId="336E41F2" w14:textId="77777777" w:rsidR="009E460B" w:rsidRPr="00997DCA" w:rsidRDefault="009E460B" w:rsidP="00DE79BD">
            <w:pPr>
              <w:spacing w:before="0" w:after="0"/>
              <w:jc w:val="center"/>
              <w:rPr>
                <w:rFonts w:asciiTheme="minorHAnsi" w:hAnsiTheme="minorHAnsi"/>
                <w:sz w:val="16"/>
                <w:szCs w:val="16"/>
              </w:rPr>
            </w:pPr>
          </w:p>
        </w:tc>
      </w:tr>
      <w:tr w:rsidR="009E460B" w:rsidRPr="00A67F11" w14:paraId="7A35E6D3" w14:textId="27E4A480" w:rsidTr="009E460B">
        <w:trPr>
          <w:trHeight w:val="54"/>
          <w:jc w:val="center"/>
        </w:trPr>
        <w:tc>
          <w:tcPr>
            <w:tcW w:w="1920" w:type="dxa"/>
            <w:noWrap/>
            <w:vAlign w:val="bottom"/>
          </w:tcPr>
          <w:p w14:paraId="5341B44D" w14:textId="77777777" w:rsidR="009E460B" w:rsidRPr="00A67F11" w:rsidRDefault="009E460B" w:rsidP="00DE79BD">
            <w:pPr>
              <w:spacing w:before="0" w:after="0" w:line="180" w:lineRule="exact"/>
              <w:jc w:val="center"/>
              <w:rPr>
                <w:sz w:val="16"/>
                <w:szCs w:val="16"/>
              </w:rPr>
            </w:pPr>
          </w:p>
        </w:tc>
        <w:tc>
          <w:tcPr>
            <w:tcW w:w="1720" w:type="dxa"/>
            <w:shd w:val="clear" w:color="auto" w:fill="F3F9FA"/>
            <w:noWrap/>
            <w:vAlign w:val="bottom"/>
          </w:tcPr>
          <w:p w14:paraId="1AAEC8DD" w14:textId="77777777" w:rsidR="009E460B" w:rsidRPr="00A67F11" w:rsidRDefault="009E460B" w:rsidP="00DE79BD">
            <w:pPr>
              <w:spacing w:before="0" w:after="0" w:line="180" w:lineRule="exact"/>
              <w:jc w:val="center"/>
              <w:rPr>
                <w:sz w:val="16"/>
                <w:szCs w:val="16"/>
              </w:rPr>
            </w:pPr>
          </w:p>
        </w:tc>
        <w:tc>
          <w:tcPr>
            <w:tcW w:w="960" w:type="dxa"/>
            <w:shd w:val="clear" w:color="auto" w:fill="F3F9FA"/>
            <w:noWrap/>
            <w:vAlign w:val="bottom"/>
            <w:hideMark/>
          </w:tcPr>
          <w:p w14:paraId="3E5C866D" w14:textId="77777777" w:rsidR="009E460B" w:rsidRPr="00A67F11" w:rsidRDefault="009E460B" w:rsidP="00DE79BD">
            <w:pPr>
              <w:spacing w:before="0" w:after="0" w:line="180" w:lineRule="exact"/>
              <w:jc w:val="center"/>
              <w:rPr>
                <w:sz w:val="16"/>
                <w:szCs w:val="16"/>
              </w:rPr>
            </w:pPr>
            <w:r w:rsidRPr="00A67F11">
              <w:rPr>
                <w:sz w:val="16"/>
                <w:szCs w:val="16"/>
              </w:rPr>
              <w:t>UG1</w:t>
            </w:r>
          </w:p>
        </w:tc>
        <w:tc>
          <w:tcPr>
            <w:tcW w:w="1300" w:type="dxa"/>
            <w:shd w:val="clear" w:color="auto" w:fill="F3F9FA"/>
            <w:noWrap/>
            <w:vAlign w:val="center"/>
            <w:hideMark/>
          </w:tcPr>
          <w:p w14:paraId="7E9DC9A7"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20.62 ±0.88</w:t>
            </w:r>
          </w:p>
        </w:tc>
        <w:tc>
          <w:tcPr>
            <w:tcW w:w="960" w:type="dxa"/>
            <w:shd w:val="clear" w:color="auto" w:fill="F3F9FA"/>
            <w:noWrap/>
            <w:vAlign w:val="center"/>
            <w:hideMark/>
          </w:tcPr>
          <w:p w14:paraId="064E0581"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53.11</w:t>
            </w:r>
          </w:p>
        </w:tc>
        <w:tc>
          <w:tcPr>
            <w:tcW w:w="1182" w:type="dxa"/>
            <w:vMerge/>
            <w:shd w:val="clear" w:color="auto" w:fill="F3F9FA"/>
          </w:tcPr>
          <w:p w14:paraId="09879633"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67F11" w14:paraId="08136F73" w14:textId="3199D1E2" w:rsidTr="009E460B">
        <w:trPr>
          <w:jc w:val="center"/>
        </w:trPr>
        <w:tc>
          <w:tcPr>
            <w:tcW w:w="1920" w:type="dxa"/>
            <w:noWrap/>
            <w:vAlign w:val="bottom"/>
          </w:tcPr>
          <w:p w14:paraId="00E51901" w14:textId="77777777" w:rsidR="009E460B" w:rsidRPr="00A67F11" w:rsidRDefault="009E460B" w:rsidP="00DE79BD">
            <w:pPr>
              <w:spacing w:before="0" w:after="0" w:line="180" w:lineRule="exact"/>
              <w:jc w:val="center"/>
              <w:rPr>
                <w:sz w:val="16"/>
                <w:szCs w:val="16"/>
              </w:rPr>
            </w:pPr>
          </w:p>
        </w:tc>
        <w:tc>
          <w:tcPr>
            <w:tcW w:w="1720" w:type="dxa"/>
            <w:shd w:val="clear" w:color="auto" w:fill="F3F9FA"/>
            <w:noWrap/>
            <w:vAlign w:val="bottom"/>
          </w:tcPr>
          <w:p w14:paraId="6FFCE1A6" w14:textId="77777777" w:rsidR="009E460B" w:rsidRPr="00A67F11" w:rsidRDefault="009E460B" w:rsidP="00DE79BD">
            <w:pPr>
              <w:spacing w:before="0" w:after="0" w:line="180" w:lineRule="exact"/>
              <w:jc w:val="center"/>
              <w:rPr>
                <w:sz w:val="16"/>
                <w:szCs w:val="16"/>
              </w:rPr>
            </w:pPr>
          </w:p>
        </w:tc>
        <w:tc>
          <w:tcPr>
            <w:tcW w:w="960" w:type="dxa"/>
            <w:shd w:val="clear" w:color="auto" w:fill="F3F9FA"/>
            <w:noWrap/>
            <w:vAlign w:val="bottom"/>
            <w:hideMark/>
          </w:tcPr>
          <w:p w14:paraId="5369968A" w14:textId="77777777" w:rsidR="009E460B" w:rsidRPr="00A67F11" w:rsidRDefault="009E460B" w:rsidP="00DE79BD">
            <w:pPr>
              <w:spacing w:before="0" w:after="0" w:line="180" w:lineRule="exact"/>
              <w:jc w:val="center"/>
              <w:rPr>
                <w:sz w:val="16"/>
                <w:szCs w:val="16"/>
              </w:rPr>
            </w:pPr>
            <w:r w:rsidRPr="00A67F11">
              <w:rPr>
                <w:sz w:val="16"/>
                <w:szCs w:val="16"/>
              </w:rPr>
              <w:t>UG2</w:t>
            </w:r>
          </w:p>
        </w:tc>
        <w:tc>
          <w:tcPr>
            <w:tcW w:w="1300" w:type="dxa"/>
            <w:shd w:val="clear" w:color="auto" w:fill="F3F9FA"/>
            <w:noWrap/>
            <w:vAlign w:val="center"/>
            <w:hideMark/>
          </w:tcPr>
          <w:p w14:paraId="14C10D78"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20.65 ±0.89</w:t>
            </w:r>
          </w:p>
        </w:tc>
        <w:tc>
          <w:tcPr>
            <w:tcW w:w="960" w:type="dxa"/>
            <w:shd w:val="clear" w:color="auto" w:fill="F3F9FA"/>
            <w:noWrap/>
            <w:vAlign w:val="center"/>
            <w:hideMark/>
          </w:tcPr>
          <w:p w14:paraId="4D2E6632"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53.24</w:t>
            </w:r>
          </w:p>
        </w:tc>
        <w:tc>
          <w:tcPr>
            <w:tcW w:w="1182" w:type="dxa"/>
            <w:vMerge/>
            <w:shd w:val="clear" w:color="auto" w:fill="F3F9FA"/>
          </w:tcPr>
          <w:p w14:paraId="75159D25" w14:textId="77777777" w:rsidR="009E460B" w:rsidRPr="00997DCA" w:rsidRDefault="009E460B" w:rsidP="00DE79BD">
            <w:pPr>
              <w:spacing w:before="0" w:after="0"/>
              <w:jc w:val="center"/>
              <w:rPr>
                <w:rFonts w:asciiTheme="minorHAnsi" w:hAnsiTheme="minorHAnsi"/>
                <w:color w:val="000000"/>
                <w:sz w:val="16"/>
                <w:szCs w:val="16"/>
              </w:rPr>
            </w:pPr>
          </w:p>
        </w:tc>
      </w:tr>
      <w:tr w:rsidR="009E460B" w:rsidRPr="00A67F11" w14:paraId="2FF22A50" w14:textId="701DE6F5" w:rsidTr="009E460B">
        <w:trPr>
          <w:jc w:val="center"/>
        </w:trPr>
        <w:tc>
          <w:tcPr>
            <w:tcW w:w="1920" w:type="dxa"/>
            <w:noWrap/>
            <w:vAlign w:val="bottom"/>
          </w:tcPr>
          <w:p w14:paraId="21D9CE2C" w14:textId="77777777" w:rsidR="009E460B" w:rsidRPr="00A67F11" w:rsidRDefault="009E460B" w:rsidP="00DE79BD">
            <w:pPr>
              <w:spacing w:before="0" w:after="0" w:line="180" w:lineRule="exact"/>
              <w:jc w:val="center"/>
              <w:rPr>
                <w:sz w:val="16"/>
                <w:szCs w:val="16"/>
              </w:rPr>
            </w:pPr>
          </w:p>
        </w:tc>
        <w:tc>
          <w:tcPr>
            <w:tcW w:w="1720" w:type="dxa"/>
            <w:tcBorders>
              <w:top w:val="single" w:sz="4" w:space="0" w:color="auto"/>
              <w:left w:val="nil"/>
              <w:right w:val="nil"/>
            </w:tcBorders>
            <w:shd w:val="clear" w:color="auto" w:fill="E7F3F4"/>
            <w:noWrap/>
            <w:vAlign w:val="bottom"/>
          </w:tcPr>
          <w:p w14:paraId="3BC7207D" w14:textId="77777777" w:rsidR="009E460B" w:rsidRPr="00A67F11" w:rsidRDefault="009E460B" w:rsidP="00DE79BD">
            <w:pPr>
              <w:spacing w:before="0" w:after="0" w:line="180" w:lineRule="exact"/>
              <w:jc w:val="center"/>
              <w:rPr>
                <w:sz w:val="16"/>
                <w:szCs w:val="16"/>
              </w:rPr>
            </w:pPr>
            <w:r w:rsidRPr="00A67F11">
              <w:rPr>
                <w:sz w:val="16"/>
                <w:szCs w:val="16"/>
              </w:rPr>
              <w:t>coastal intertidal</w:t>
            </w:r>
          </w:p>
        </w:tc>
        <w:tc>
          <w:tcPr>
            <w:tcW w:w="960" w:type="dxa"/>
            <w:tcBorders>
              <w:top w:val="single" w:sz="4" w:space="0" w:color="auto"/>
              <w:left w:val="nil"/>
              <w:right w:val="nil"/>
            </w:tcBorders>
            <w:shd w:val="clear" w:color="auto" w:fill="E7F3F4"/>
            <w:noWrap/>
            <w:vAlign w:val="bottom"/>
          </w:tcPr>
          <w:p w14:paraId="61361F38" w14:textId="77777777" w:rsidR="009E460B" w:rsidRPr="00A67F11" w:rsidRDefault="009E460B" w:rsidP="00DE79BD">
            <w:pPr>
              <w:spacing w:before="0" w:after="0" w:line="180" w:lineRule="exact"/>
              <w:jc w:val="center"/>
              <w:rPr>
                <w:sz w:val="16"/>
                <w:szCs w:val="16"/>
              </w:rPr>
            </w:pPr>
            <w:r>
              <w:rPr>
                <w:sz w:val="16"/>
                <w:szCs w:val="16"/>
              </w:rPr>
              <w:t>BH1</w:t>
            </w:r>
          </w:p>
        </w:tc>
        <w:tc>
          <w:tcPr>
            <w:tcW w:w="1300" w:type="dxa"/>
            <w:tcBorders>
              <w:top w:val="single" w:sz="4" w:space="0" w:color="auto"/>
              <w:left w:val="nil"/>
              <w:right w:val="nil"/>
            </w:tcBorders>
            <w:shd w:val="clear" w:color="auto" w:fill="E7F3F4"/>
            <w:noWrap/>
            <w:vAlign w:val="center"/>
          </w:tcPr>
          <w:p w14:paraId="74588FF1"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14.34 ±0.12</w:t>
            </w:r>
          </w:p>
        </w:tc>
        <w:tc>
          <w:tcPr>
            <w:tcW w:w="960" w:type="dxa"/>
            <w:tcBorders>
              <w:top w:val="single" w:sz="4" w:space="0" w:color="auto"/>
              <w:left w:val="nil"/>
              <w:right w:val="nil"/>
            </w:tcBorders>
            <w:shd w:val="clear" w:color="auto" w:fill="E7F3F4"/>
            <w:noWrap/>
            <w:vAlign w:val="center"/>
          </w:tcPr>
          <w:p w14:paraId="04970046"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21.68</w:t>
            </w:r>
          </w:p>
        </w:tc>
        <w:tc>
          <w:tcPr>
            <w:tcW w:w="1182" w:type="dxa"/>
            <w:vMerge w:val="restart"/>
            <w:tcBorders>
              <w:top w:val="single" w:sz="4" w:space="0" w:color="auto"/>
              <w:left w:val="nil"/>
              <w:right w:val="nil"/>
            </w:tcBorders>
            <w:shd w:val="clear" w:color="auto" w:fill="E7F3F4"/>
            <w:vAlign w:val="center"/>
          </w:tcPr>
          <w:p w14:paraId="463243DC" w14:textId="5204F88F" w:rsidR="009E460B" w:rsidRPr="00997DCA" w:rsidRDefault="009E460B" w:rsidP="009E460B">
            <w:pPr>
              <w:spacing w:before="0" w:after="0"/>
              <w:jc w:val="center"/>
              <w:rPr>
                <w:rFonts w:asciiTheme="minorHAnsi" w:hAnsiTheme="minorHAnsi"/>
                <w:color w:val="000000"/>
                <w:sz w:val="16"/>
                <w:szCs w:val="16"/>
              </w:rPr>
            </w:pPr>
            <w:r>
              <w:rPr>
                <w:rFonts w:asciiTheme="minorHAnsi" w:hAnsiTheme="minorHAnsi"/>
                <w:color w:val="000000"/>
                <w:sz w:val="16"/>
                <w:szCs w:val="16"/>
              </w:rPr>
              <w:t>22</w:t>
            </w:r>
          </w:p>
        </w:tc>
      </w:tr>
      <w:tr w:rsidR="009E460B" w:rsidRPr="00A67F11" w14:paraId="1EE89184" w14:textId="11621655" w:rsidTr="002702CB">
        <w:trPr>
          <w:jc w:val="center"/>
        </w:trPr>
        <w:tc>
          <w:tcPr>
            <w:tcW w:w="1920" w:type="dxa"/>
            <w:noWrap/>
            <w:vAlign w:val="bottom"/>
          </w:tcPr>
          <w:p w14:paraId="784E1155" w14:textId="77777777" w:rsidR="009E460B" w:rsidRPr="00A67F11" w:rsidRDefault="009E460B" w:rsidP="00DE79BD">
            <w:pPr>
              <w:spacing w:before="0" w:after="0" w:line="180" w:lineRule="exact"/>
              <w:jc w:val="center"/>
              <w:rPr>
                <w:sz w:val="16"/>
                <w:szCs w:val="16"/>
              </w:rPr>
            </w:pPr>
          </w:p>
        </w:tc>
        <w:tc>
          <w:tcPr>
            <w:tcW w:w="1720" w:type="dxa"/>
            <w:tcBorders>
              <w:top w:val="nil"/>
              <w:left w:val="nil"/>
              <w:right w:val="nil"/>
            </w:tcBorders>
            <w:shd w:val="clear" w:color="auto" w:fill="E7F3F4"/>
            <w:noWrap/>
            <w:vAlign w:val="bottom"/>
          </w:tcPr>
          <w:p w14:paraId="65FBD4A6" w14:textId="77777777" w:rsidR="009E460B" w:rsidRPr="00A67F11" w:rsidRDefault="009E460B" w:rsidP="00DE79BD">
            <w:pPr>
              <w:spacing w:before="0" w:after="0" w:line="180" w:lineRule="exact"/>
              <w:jc w:val="center"/>
              <w:rPr>
                <w:sz w:val="16"/>
                <w:szCs w:val="16"/>
              </w:rPr>
            </w:pPr>
          </w:p>
        </w:tc>
        <w:tc>
          <w:tcPr>
            <w:tcW w:w="960" w:type="dxa"/>
            <w:tcBorders>
              <w:top w:val="nil"/>
              <w:left w:val="nil"/>
              <w:right w:val="nil"/>
            </w:tcBorders>
            <w:shd w:val="clear" w:color="auto" w:fill="E7F3F4"/>
            <w:noWrap/>
            <w:vAlign w:val="bottom"/>
          </w:tcPr>
          <w:p w14:paraId="0919DE5E" w14:textId="77777777" w:rsidR="009E460B" w:rsidRPr="00A67F11" w:rsidRDefault="009E460B" w:rsidP="00DE79BD">
            <w:pPr>
              <w:spacing w:before="0" w:after="0" w:line="180" w:lineRule="exact"/>
              <w:jc w:val="center"/>
              <w:rPr>
                <w:sz w:val="16"/>
                <w:szCs w:val="16"/>
              </w:rPr>
            </w:pPr>
            <w:r>
              <w:rPr>
                <w:sz w:val="16"/>
                <w:szCs w:val="16"/>
              </w:rPr>
              <w:t>BH3</w:t>
            </w:r>
          </w:p>
        </w:tc>
        <w:tc>
          <w:tcPr>
            <w:tcW w:w="1300" w:type="dxa"/>
            <w:tcBorders>
              <w:top w:val="nil"/>
              <w:left w:val="nil"/>
              <w:right w:val="nil"/>
            </w:tcBorders>
            <w:shd w:val="clear" w:color="auto" w:fill="E7F3F4"/>
            <w:noWrap/>
            <w:vAlign w:val="center"/>
          </w:tcPr>
          <w:p w14:paraId="40746B81"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14.29 ±0.13</w:t>
            </w:r>
          </w:p>
        </w:tc>
        <w:tc>
          <w:tcPr>
            <w:tcW w:w="960" w:type="dxa"/>
            <w:tcBorders>
              <w:top w:val="nil"/>
              <w:left w:val="nil"/>
              <w:right w:val="nil"/>
            </w:tcBorders>
            <w:shd w:val="clear" w:color="auto" w:fill="E7F3F4"/>
            <w:noWrap/>
            <w:vAlign w:val="center"/>
          </w:tcPr>
          <w:p w14:paraId="4D4D05E9" w14:textId="77777777" w:rsidR="009E460B" w:rsidRPr="00997DCA" w:rsidRDefault="009E460B" w:rsidP="00DE79BD">
            <w:pPr>
              <w:spacing w:before="0" w:after="0"/>
              <w:jc w:val="center"/>
              <w:rPr>
                <w:rFonts w:asciiTheme="minorHAnsi" w:hAnsiTheme="minorHAnsi"/>
                <w:color w:val="000000"/>
                <w:sz w:val="16"/>
                <w:szCs w:val="16"/>
              </w:rPr>
            </w:pPr>
            <w:r w:rsidRPr="00997DCA">
              <w:rPr>
                <w:rFonts w:asciiTheme="minorHAnsi" w:hAnsiTheme="minorHAnsi"/>
                <w:color w:val="000000"/>
                <w:sz w:val="16"/>
                <w:szCs w:val="16"/>
              </w:rPr>
              <w:t>21.44</w:t>
            </w:r>
          </w:p>
        </w:tc>
        <w:tc>
          <w:tcPr>
            <w:tcW w:w="1182" w:type="dxa"/>
            <w:vMerge/>
            <w:tcBorders>
              <w:left w:val="nil"/>
              <w:right w:val="nil"/>
            </w:tcBorders>
            <w:shd w:val="clear" w:color="auto" w:fill="E7F3F4"/>
          </w:tcPr>
          <w:p w14:paraId="7AFF7253" w14:textId="77777777" w:rsidR="009E460B" w:rsidRPr="00997DCA" w:rsidRDefault="009E460B" w:rsidP="00DE79BD">
            <w:pPr>
              <w:spacing w:before="0" w:after="0"/>
              <w:jc w:val="center"/>
              <w:rPr>
                <w:rFonts w:asciiTheme="minorHAnsi" w:hAnsiTheme="minorHAnsi"/>
                <w:color w:val="000000"/>
                <w:sz w:val="16"/>
                <w:szCs w:val="16"/>
              </w:rPr>
            </w:pPr>
          </w:p>
        </w:tc>
      </w:tr>
      <w:tr w:rsidR="00DE79BD" w:rsidRPr="00A67F11" w14:paraId="27EA13FD" w14:textId="3331F5FF" w:rsidTr="009E460B">
        <w:trPr>
          <w:jc w:val="center"/>
        </w:trPr>
        <w:tc>
          <w:tcPr>
            <w:tcW w:w="1920" w:type="dxa"/>
            <w:tcBorders>
              <w:top w:val="nil"/>
              <w:left w:val="nil"/>
              <w:bottom w:val="single" w:sz="4" w:space="0" w:color="auto"/>
              <w:right w:val="nil"/>
            </w:tcBorders>
            <w:noWrap/>
            <w:vAlign w:val="bottom"/>
          </w:tcPr>
          <w:p w14:paraId="2A79A1C0" w14:textId="77777777" w:rsidR="00DE79BD" w:rsidRPr="00A67F11" w:rsidRDefault="00DE79BD" w:rsidP="00DE79BD">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173EFBB3" w14:textId="6F6CAA50" w:rsidR="00DE79BD" w:rsidRPr="00A67F11" w:rsidRDefault="009E460B" w:rsidP="00DE79BD">
            <w:pPr>
              <w:spacing w:before="0" w:after="0" w:line="180" w:lineRule="exact"/>
              <w:jc w:val="center"/>
              <w:rPr>
                <w:sz w:val="16"/>
                <w:szCs w:val="16"/>
              </w:rPr>
            </w:pPr>
            <w:r>
              <w:rPr>
                <w:sz w:val="16"/>
                <w:szCs w:val="16"/>
              </w:rPr>
              <w:t>total</w:t>
            </w:r>
          </w:p>
        </w:tc>
        <w:tc>
          <w:tcPr>
            <w:tcW w:w="960" w:type="dxa"/>
            <w:tcBorders>
              <w:top w:val="single" w:sz="4" w:space="0" w:color="auto"/>
              <w:left w:val="nil"/>
              <w:bottom w:val="single" w:sz="4" w:space="0" w:color="auto"/>
              <w:right w:val="nil"/>
            </w:tcBorders>
            <w:noWrap/>
            <w:vAlign w:val="bottom"/>
          </w:tcPr>
          <w:p w14:paraId="664AB74D" w14:textId="77777777" w:rsidR="00DE79BD" w:rsidRPr="00A67F11" w:rsidRDefault="00DE79BD" w:rsidP="00DE79BD">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center"/>
          </w:tcPr>
          <w:p w14:paraId="5B66E46E" w14:textId="77777777" w:rsidR="00DE79BD" w:rsidRPr="00997DCA" w:rsidRDefault="00DE79BD" w:rsidP="00DE79BD">
            <w:pPr>
              <w:spacing w:before="0" w:after="0"/>
              <w:jc w:val="center"/>
              <w:rPr>
                <w:rFonts w:asciiTheme="minorHAnsi" w:hAnsiTheme="minorHAnsi"/>
                <w:color w:val="000000"/>
                <w:sz w:val="16"/>
                <w:szCs w:val="16"/>
              </w:rPr>
            </w:pPr>
          </w:p>
        </w:tc>
        <w:tc>
          <w:tcPr>
            <w:tcW w:w="960" w:type="dxa"/>
            <w:tcBorders>
              <w:top w:val="single" w:sz="4" w:space="0" w:color="auto"/>
              <w:left w:val="nil"/>
              <w:bottom w:val="single" w:sz="4" w:space="0" w:color="auto"/>
              <w:right w:val="nil"/>
            </w:tcBorders>
            <w:noWrap/>
            <w:vAlign w:val="center"/>
            <w:hideMark/>
          </w:tcPr>
          <w:p w14:paraId="1556398A" w14:textId="77777777" w:rsidR="00DE79BD" w:rsidRPr="00997DCA" w:rsidRDefault="00DE79BD" w:rsidP="00DE79BD">
            <w:pPr>
              <w:spacing w:before="0" w:after="0"/>
              <w:jc w:val="center"/>
              <w:rPr>
                <w:rFonts w:asciiTheme="minorHAnsi" w:hAnsiTheme="minorHAnsi"/>
                <w:b/>
                <w:color w:val="000000"/>
                <w:sz w:val="16"/>
                <w:szCs w:val="16"/>
              </w:rPr>
            </w:pPr>
            <w:r w:rsidRPr="00997DCA">
              <w:rPr>
                <w:rFonts w:asciiTheme="minorHAnsi" w:hAnsiTheme="minorHAnsi"/>
                <w:b/>
                <w:color w:val="000000"/>
                <w:sz w:val="16"/>
                <w:szCs w:val="16"/>
              </w:rPr>
              <w:t>33</w:t>
            </w:r>
          </w:p>
        </w:tc>
        <w:tc>
          <w:tcPr>
            <w:tcW w:w="1182" w:type="dxa"/>
            <w:tcBorders>
              <w:top w:val="single" w:sz="4" w:space="0" w:color="auto"/>
              <w:left w:val="nil"/>
              <w:bottom w:val="single" w:sz="4" w:space="0" w:color="auto"/>
              <w:right w:val="nil"/>
            </w:tcBorders>
          </w:tcPr>
          <w:p w14:paraId="1EB70497" w14:textId="77777777" w:rsidR="00DE79BD" w:rsidRPr="00997DCA" w:rsidRDefault="00DE79BD" w:rsidP="00DE79BD">
            <w:pPr>
              <w:spacing w:before="0" w:after="0"/>
              <w:jc w:val="center"/>
              <w:rPr>
                <w:rFonts w:asciiTheme="minorHAnsi" w:hAnsiTheme="minorHAnsi"/>
                <w:b/>
                <w:color w:val="000000"/>
                <w:sz w:val="16"/>
                <w:szCs w:val="16"/>
              </w:rPr>
            </w:pPr>
          </w:p>
        </w:tc>
      </w:tr>
    </w:tbl>
    <w:p w14:paraId="5A0D94DE" w14:textId="57CD4CC8" w:rsidR="00034B88" w:rsidRDefault="00034B88" w:rsidP="00DE79BD">
      <w:pPr>
        <w:jc w:val="center"/>
      </w:pPr>
    </w:p>
    <w:p w14:paraId="7A078B90" w14:textId="77777777" w:rsidR="00034B88" w:rsidRDefault="00034B88">
      <w:pPr>
        <w:spacing w:before="0" w:after="0"/>
      </w:pPr>
      <w:r>
        <w:br w:type="page"/>
      </w:r>
    </w:p>
    <w:p w14:paraId="160DDB08" w14:textId="77777777" w:rsidR="00034B88" w:rsidRPr="00F12624" w:rsidRDefault="00034B88" w:rsidP="00034B88">
      <w:pPr>
        <w:pStyle w:val="Heading2"/>
      </w:pPr>
      <w:bookmarkStart w:id="1028" w:name="_Toc516053197"/>
      <w:r w:rsidRPr="00F12624">
        <w:t>Seagrass index</w:t>
      </w:r>
      <w:bookmarkEnd w:id="1028"/>
    </w:p>
    <w:bookmarkEnd w:id="1025"/>
    <w:p w14:paraId="22CEEEB8" w14:textId="242A1E2F" w:rsidR="00842050" w:rsidRDefault="00842050" w:rsidP="00842050">
      <w:pPr>
        <w:spacing w:before="240"/>
        <w:rPr>
          <w:color w:val="000000"/>
          <w:szCs w:val="22"/>
        </w:rPr>
      </w:pPr>
      <w:r>
        <w:rPr>
          <w:color w:val="000000"/>
          <w:szCs w:val="22"/>
        </w:rPr>
        <w:t>The seagrass index is average score (0-100) of the three seagrass status indicators chosen for the MMP. Each indicator is equally weighted as we have no preconception that it should be otherwise. To calculate the overall score for seagrass of the Great Barrier Reef (GBR), the regional scores were weighted on the percentage of GBRWHA seagrass (shallower than 15m) within that region (</w:t>
      </w:r>
      <w:r w:rsidR="00FB280D">
        <w:fldChar w:fldCharType="begin"/>
      </w:r>
      <w:r w:rsidR="00FB280D">
        <w:rPr>
          <w:color w:val="000000"/>
          <w:szCs w:val="22"/>
        </w:rPr>
        <w:instrText xml:space="preserve"> REF _Ref442626138 \h </w:instrText>
      </w:r>
      <w:r w:rsidR="00FB280D">
        <w:fldChar w:fldCharType="separate"/>
      </w:r>
      <w:r w:rsidR="00F87DF9">
        <w:rPr>
          <w:color w:val="000000"/>
          <w:szCs w:val="22"/>
        </w:rPr>
        <w:t xml:space="preserve">Table </w:t>
      </w:r>
      <w:r w:rsidR="00F87DF9">
        <w:rPr>
          <w:noProof/>
          <w:color w:val="000000"/>
          <w:szCs w:val="22"/>
        </w:rPr>
        <w:t>50</w:t>
      </w:r>
      <w:r w:rsidR="00FB280D">
        <w:fldChar w:fldCharType="end"/>
      </w:r>
      <w:r>
        <w:rPr>
          <w:color w:val="000000"/>
          <w:szCs w:val="22"/>
        </w:rPr>
        <w:t xml:space="preserve">). </w:t>
      </w:r>
      <w:r>
        <w:rPr>
          <w:i/>
          <w:color w:val="000000"/>
          <w:szCs w:val="22"/>
        </w:rPr>
        <w:t>Please note: Cape York omitted from the GBR score in P2R reporting prior to 2012 due to poor representation of inshore monitoring sites throughout region</w:t>
      </w:r>
      <w:r>
        <w:rPr>
          <w:color w:val="000000"/>
          <w:szCs w:val="22"/>
        </w:rPr>
        <w:t>.</w:t>
      </w:r>
    </w:p>
    <w:p w14:paraId="77A8E095" w14:textId="61D1ECDE" w:rsidR="00842050" w:rsidRDefault="00842050" w:rsidP="00842050">
      <w:pPr>
        <w:jc w:val="center"/>
        <w:rPr>
          <w:i/>
          <w:color w:val="000000"/>
          <w:szCs w:val="22"/>
        </w:rPr>
      </w:pPr>
      <w:bookmarkStart w:id="1029" w:name="_Ref442626138"/>
      <w:bookmarkStart w:id="1030" w:name="_Toc431494024"/>
      <w:bookmarkStart w:id="1031" w:name="_Toc516053474"/>
      <w:r>
        <w:rPr>
          <w:color w:val="000000"/>
          <w:szCs w:val="22"/>
        </w:rPr>
        <w:t xml:space="preserve">Table </w:t>
      </w:r>
      <w:r>
        <w:fldChar w:fldCharType="begin"/>
      </w:r>
      <w:r>
        <w:rPr>
          <w:color w:val="000000"/>
          <w:szCs w:val="22"/>
        </w:rPr>
        <w:instrText xml:space="preserve"> SEQ Table \* ARABIC </w:instrText>
      </w:r>
      <w:r>
        <w:fldChar w:fldCharType="separate"/>
      </w:r>
      <w:r w:rsidR="00F87DF9">
        <w:rPr>
          <w:noProof/>
          <w:color w:val="000000"/>
          <w:szCs w:val="22"/>
        </w:rPr>
        <w:t>50</w:t>
      </w:r>
      <w:r>
        <w:fldChar w:fldCharType="end"/>
      </w:r>
      <w:bookmarkEnd w:id="1029"/>
      <w:r>
        <w:rPr>
          <w:color w:val="000000"/>
          <w:szCs w:val="22"/>
        </w:rPr>
        <w:t xml:space="preserve">. </w:t>
      </w:r>
      <w:r>
        <w:rPr>
          <w:i/>
          <w:color w:val="000000"/>
          <w:szCs w:val="22"/>
        </w:rPr>
        <w:t>Area of seagrass shallower than 15m in each NRM region (from</w:t>
      </w:r>
      <w:r w:rsidR="004D6969">
        <w:rPr>
          <w:i/>
          <w:color w:val="000000"/>
          <w:szCs w:val="22"/>
        </w:rPr>
        <w:fldChar w:fldCharType="begin">
          <w:fldData xml:space="preserve">PEVuZE5vdGU+PENpdGU+PEF1dGhvcj5NY0tlbnppZTwvQXV0aG9yPjxZZWFyPjIwMTQ8L1llYXI+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</w:fldData>
        </w:fldChar>
      </w:r>
      <w:r w:rsidR="00521D93">
        <w:rPr>
          <w:i/>
          <w:color w:val="000000"/>
          <w:szCs w:val="22"/>
        </w:rPr>
        <w:instrText xml:space="preserve"> ADDIN EN.CITE </w:instrText>
      </w:r>
      <w:r w:rsidR="00521D93">
        <w:rPr>
          <w:i/>
          <w:color w:val="000000"/>
          <w:szCs w:val="22"/>
        </w:rPr>
        <w:fldChar w:fldCharType="begin">
          <w:fldData xml:space="preserve">PEVuZE5vdGU+PENpdGU+PEF1dGhvcj5NY0tlbnppZTwvQXV0aG9yPjxZZWFyPjIwMTQ8L1llYXI+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</w:fldData>
        </w:fldChar>
      </w:r>
      <w:r w:rsidR="00521D93">
        <w:rPr>
          <w:i/>
          <w:color w:val="000000"/>
          <w:szCs w:val="22"/>
        </w:rPr>
        <w:instrText xml:space="preserve"> ADDIN EN.CITE.DATA </w:instrText>
      </w:r>
      <w:r w:rsidR="00521D93">
        <w:rPr>
          <w:i/>
          <w:color w:val="000000"/>
          <w:szCs w:val="22"/>
        </w:rPr>
      </w:r>
      <w:r w:rsidR="00521D93">
        <w:rPr>
          <w:i/>
          <w:color w:val="000000"/>
          <w:szCs w:val="22"/>
        </w:rPr>
        <w:fldChar w:fldCharType="end"/>
      </w:r>
      <w:r w:rsidR="004D6969">
        <w:rPr>
          <w:i/>
          <w:color w:val="000000"/>
          <w:szCs w:val="22"/>
        </w:rPr>
      </w:r>
      <w:r w:rsidR="004D6969">
        <w:rPr>
          <w:i/>
          <w:color w:val="000000"/>
          <w:szCs w:val="22"/>
        </w:rPr>
        <w:fldChar w:fldCharType="separate"/>
      </w:r>
      <w:hyperlink w:anchor="_ENREF_170" w:tooltip="McKenzie, 2014 #9838" w:history="1">
        <w:r w:rsidR="00305FE7">
          <w:rPr>
            <w:i/>
            <w:noProof/>
            <w:color w:val="000000"/>
            <w:szCs w:val="22"/>
          </w:rPr>
          <w:t>McKenzie et al. 2014c</w:t>
        </w:r>
      </w:hyperlink>
      <w:r w:rsidR="00521D93">
        <w:rPr>
          <w:i/>
          <w:noProof/>
          <w:color w:val="000000"/>
          <w:szCs w:val="22"/>
        </w:rPr>
        <w:t xml:space="preserve">; </w:t>
      </w:r>
      <w:hyperlink w:anchor="_ENREF_171" w:tooltip="McKenzie, 2014 #9961" w:history="1">
        <w:r w:rsidR="00305FE7">
          <w:rPr>
            <w:i/>
            <w:noProof/>
            <w:color w:val="000000"/>
            <w:szCs w:val="22"/>
          </w:rPr>
          <w:t>McKenzie et al. 2014d</w:t>
        </w:r>
      </w:hyperlink>
      <w:r w:rsidR="00521D93">
        <w:rPr>
          <w:i/>
          <w:noProof/>
          <w:color w:val="000000"/>
          <w:szCs w:val="22"/>
        </w:rPr>
        <w:t xml:space="preserve">; </w:t>
      </w:r>
      <w:hyperlink w:anchor="_ENREF_35" w:tooltip="Carter, 2016 #10578" w:history="1">
        <w:r w:rsidR="00305FE7">
          <w:rPr>
            <w:i/>
            <w:noProof/>
            <w:color w:val="000000"/>
            <w:szCs w:val="22"/>
          </w:rPr>
          <w:t>Carter et al. 2016</w:t>
        </w:r>
      </w:hyperlink>
      <w:r w:rsidR="00521D93">
        <w:rPr>
          <w:i/>
          <w:noProof/>
          <w:color w:val="000000"/>
          <w:szCs w:val="22"/>
        </w:rPr>
        <w:t xml:space="preserve">; </w:t>
      </w:r>
      <w:hyperlink w:anchor="_ENREF_231" w:tooltip="Waterhouse, 2016 #10665" w:history="1">
        <w:r w:rsidR="00305FE7">
          <w:rPr>
            <w:i/>
            <w:noProof/>
            <w:color w:val="000000"/>
            <w:szCs w:val="22"/>
          </w:rPr>
          <w:t>Waterhouse et al. 2016</w:t>
        </w:r>
      </w:hyperlink>
      <w:r w:rsidR="004D6969">
        <w:rPr>
          <w:i/>
          <w:color w:val="000000"/>
          <w:szCs w:val="22"/>
        </w:rPr>
        <w:fldChar w:fldCharType="end"/>
      </w:r>
      <w:r>
        <w:rPr>
          <w:i/>
          <w:color w:val="000000"/>
          <w:szCs w:val="22"/>
        </w:rPr>
        <w:t>) within the boundaries of the Great Barrier Reef World Heritage Area.</w:t>
      </w:r>
      <w:bookmarkEnd w:id="1030"/>
      <w:bookmarkEnd w:id="1031"/>
    </w:p>
    <w:tbl>
      <w:tblPr>
        <w:tblW w:w="7362" w:type="dxa"/>
        <w:jc w:val="center"/>
        <w:tblLook w:val="04A0" w:firstRow="1" w:lastRow="0" w:firstColumn="1" w:lastColumn="0" w:noHBand="0" w:noVBand="1"/>
      </w:tblPr>
      <w:tblGrid>
        <w:gridCol w:w="2660"/>
        <w:gridCol w:w="2360"/>
        <w:gridCol w:w="2342"/>
      </w:tblGrid>
      <w:tr w:rsidR="00595693" w14:paraId="5B5C0386" w14:textId="77777777" w:rsidTr="0091359C">
        <w:trPr>
          <w:trHeight w:val="290"/>
          <w:jc w:val="center"/>
        </w:trPr>
        <w:tc>
          <w:tcPr>
            <w:tcW w:w="2660" w:type="dxa"/>
            <w:tcBorders>
              <w:top w:val="single" w:sz="4" w:space="0" w:color="auto"/>
              <w:left w:val="nil"/>
              <w:bottom w:val="single" w:sz="4" w:space="0" w:color="auto"/>
              <w:right w:val="nil"/>
            </w:tcBorders>
            <w:shd w:val="clear" w:color="auto" w:fill="BBE0E3"/>
            <w:noWrap/>
            <w:vAlign w:val="bottom"/>
            <w:hideMark/>
          </w:tcPr>
          <w:p w14:paraId="41052B6E" w14:textId="77777777" w:rsidR="00595693" w:rsidRDefault="00595693" w:rsidP="0091359C">
            <w:pPr>
              <w:spacing w:before="0" w:after="0"/>
              <w:jc w:val="center"/>
              <w:rPr>
                <w:b/>
                <w:color w:val="000000"/>
                <w:lang w:val="en-US"/>
              </w:rPr>
            </w:pPr>
            <w:bookmarkStart w:id="1032" w:name="RANGE!H16:J22"/>
            <w:bookmarkEnd w:id="1032"/>
            <w:r>
              <w:rPr>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bottom"/>
            <w:hideMark/>
          </w:tcPr>
          <w:p w14:paraId="7E5FFF49" w14:textId="77777777" w:rsidR="00595693" w:rsidRDefault="00595693" w:rsidP="0091359C">
            <w:pPr>
              <w:spacing w:before="0" w:after="0"/>
              <w:jc w:val="center"/>
              <w:rPr>
                <w:b/>
                <w:color w:val="000000"/>
                <w:lang w:val="en-US"/>
              </w:rPr>
            </w:pPr>
            <w:r>
              <w:rPr>
                <w:b/>
                <w:color w:val="000000"/>
                <w:szCs w:val="22"/>
                <w:lang w:val="en-US"/>
              </w:rPr>
              <w:t xml:space="preserve">Area of seagrass </w:t>
            </w:r>
            <w:r>
              <w:rPr>
                <w:color w:val="000000"/>
                <w:szCs w:val="22"/>
                <w:lang w:val="en-US"/>
              </w:rPr>
              <w:t>(km</w:t>
            </w:r>
            <w:r>
              <w:rPr>
                <w:color w:val="000000"/>
                <w:szCs w:val="22"/>
                <w:vertAlign w:val="superscript"/>
                <w:lang w:val="en-US"/>
              </w:rPr>
              <w:t>2</w:t>
            </w:r>
            <w:r>
              <w:rPr>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bottom"/>
            <w:hideMark/>
          </w:tcPr>
          <w:p w14:paraId="43D19C0A" w14:textId="5C695508" w:rsidR="00595693" w:rsidRDefault="0063478C" w:rsidP="0091359C">
            <w:pPr>
              <w:spacing w:before="0" w:after="0"/>
              <w:jc w:val="center"/>
              <w:rPr>
                <w:b/>
                <w:color w:val="000000"/>
                <w:lang w:val="en-US"/>
              </w:rPr>
            </w:pPr>
            <w:r>
              <w:rPr>
                <w:b/>
                <w:color w:val="000000"/>
                <w:szCs w:val="22"/>
                <w:lang w:val="en-US"/>
              </w:rPr>
              <w:t xml:space="preserve"> per cent</w:t>
            </w:r>
            <w:r w:rsidR="00595693">
              <w:rPr>
                <w:b/>
                <w:color w:val="000000"/>
                <w:szCs w:val="22"/>
                <w:lang w:val="en-US"/>
              </w:rPr>
              <w:t xml:space="preserve"> of GBRWHA</w:t>
            </w:r>
          </w:p>
        </w:tc>
      </w:tr>
      <w:tr w:rsidR="00595693" w:rsidRPr="00AC0887" w14:paraId="53F575C2" w14:textId="77777777" w:rsidTr="0091359C">
        <w:trPr>
          <w:trHeight w:val="290"/>
          <w:jc w:val="center"/>
        </w:trPr>
        <w:tc>
          <w:tcPr>
            <w:tcW w:w="2660" w:type="dxa"/>
            <w:shd w:val="clear" w:color="auto" w:fill="F3F9FA"/>
            <w:noWrap/>
            <w:vAlign w:val="bottom"/>
            <w:hideMark/>
          </w:tcPr>
          <w:p w14:paraId="740007FD" w14:textId="77777777" w:rsidR="00595693" w:rsidRPr="00AC0887" w:rsidRDefault="00595693" w:rsidP="0091359C">
            <w:pPr>
              <w:spacing w:before="0" w:after="0"/>
              <w:rPr>
                <w:lang w:eastAsia="en-AU"/>
              </w:rPr>
            </w:pPr>
            <w:r w:rsidRPr="00AC0887">
              <w:rPr>
                <w:szCs w:val="22"/>
                <w:lang w:eastAsia="en-AU"/>
              </w:rPr>
              <w:t xml:space="preserve">Cape York </w:t>
            </w:r>
          </w:p>
        </w:tc>
        <w:tc>
          <w:tcPr>
            <w:tcW w:w="2360" w:type="dxa"/>
            <w:shd w:val="clear" w:color="auto" w:fill="F3F9FA"/>
            <w:noWrap/>
            <w:vAlign w:val="bottom"/>
            <w:hideMark/>
          </w:tcPr>
          <w:p w14:paraId="403F6CB9" w14:textId="77777777" w:rsidR="00595693" w:rsidRPr="00AC0887" w:rsidRDefault="00595693" w:rsidP="0091359C">
            <w:pPr>
              <w:spacing w:before="0" w:after="0"/>
              <w:jc w:val="center"/>
              <w:rPr>
                <w:szCs w:val="22"/>
                <w:lang w:eastAsia="en-AU"/>
              </w:rPr>
            </w:pPr>
            <w:r w:rsidRPr="00AC0887">
              <w:rPr>
                <w:szCs w:val="22"/>
                <w:lang w:eastAsia="en-AU"/>
              </w:rPr>
              <w:t>2,078</w:t>
            </w:r>
          </w:p>
        </w:tc>
        <w:tc>
          <w:tcPr>
            <w:tcW w:w="2342" w:type="dxa"/>
            <w:shd w:val="clear" w:color="auto" w:fill="F3F9FA"/>
            <w:noWrap/>
            <w:vAlign w:val="bottom"/>
            <w:hideMark/>
          </w:tcPr>
          <w:p w14:paraId="5C3AB9C4" w14:textId="77777777" w:rsidR="00595693" w:rsidRPr="00AC0887" w:rsidRDefault="00595693" w:rsidP="0091359C">
            <w:pPr>
              <w:spacing w:before="0" w:after="0"/>
              <w:jc w:val="center"/>
              <w:rPr>
                <w:lang w:eastAsia="en-AU"/>
              </w:rPr>
            </w:pPr>
            <w:r w:rsidRPr="00AC0887">
              <w:rPr>
                <w:lang w:eastAsia="en-AU"/>
              </w:rPr>
              <w:t>0.60</w:t>
            </w:r>
          </w:p>
        </w:tc>
      </w:tr>
      <w:tr w:rsidR="00595693" w:rsidRPr="00AC0887" w14:paraId="649039AF" w14:textId="77777777" w:rsidTr="0091359C">
        <w:trPr>
          <w:trHeight w:val="290"/>
          <w:jc w:val="center"/>
        </w:trPr>
        <w:tc>
          <w:tcPr>
            <w:tcW w:w="2660" w:type="dxa"/>
            <w:shd w:val="clear" w:color="auto" w:fill="F3F9FA"/>
            <w:noWrap/>
            <w:vAlign w:val="bottom"/>
            <w:hideMark/>
          </w:tcPr>
          <w:p w14:paraId="0AB3805A" w14:textId="77777777" w:rsidR="00595693" w:rsidRPr="00AC0887" w:rsidRDefault="00595693" w:rsidP="0091359C">
            <w:pPr>
              <w:spacing w:before="0" w:after="0"/>
              <w:rPr>
                <w:lang w:eastAsia="en-AU"/>
              </w:rPr>
            </w:pPr>
            <w:r w:rsidRPr="00AC0887">
              <w:rPr>
                <w:szCs w:val="22"/>
                <w:lang w:eastAsia="en-AU"/>
              </w:rPr>
              <w:t xml:space="preserve">Wet Tropics </w:t>
            </w:r>
          </w:p>
        </w:tc>
        <w:tc>
          <w:tcPr>
            <w:tcW w:w="2360" w:type="dxa"/>
            <w:shd w:val="clear" w:color="auto" w:fill="F3F9FA"/>
            <w:noWrap/>
            <w:vAlign w:val="bottom"/>
            <w:hideMark/>
          </w:tcPr>
          <w:p w14:paraId="234FAD40" w14:textId="77777777" w:rsidR="00595693" w:rsidRPr="00AC0887" w:rsidRDefault="00595693" w:rsidP="0091359C">
            <w:pPr>
              <w:spacing w:before="0" w:after="0"/>
              <w:jc w:val="center"/>
              <w:rPr>
                <w:lang w:eastAsia="en-AU"/>
              </w:rPr>
            </w:pPr>
            <w:r w:rsidRPr="00AC0887">
              <w:rPr>
                <w:szCs w:val="22"/>
                <w:lang w:eastAsia="en-AU"/>
              </w:rPr>
              <w:t>207</w:t>
            </w:r>
          </w:p>
        </w:tc>
        <w:tc>
          <w:tcPr>
            <w:tcW w:w="2342" w:type="dxa"/>
            <w:shd w:val="clear" w:color="auto" w:fill="F3F9FA"/>
            <w:noWrap/>
            <w:vAlign w:val="bottom"/>
            <w:hideMark/>
          </w:tcPr>
          <w:p w14:paraId="42B63EB3" w14:textId="77777777" w:rsidR="00595693" w:rsidRPr="00AC0887" w:rsidRDefault="00595693" w:rsidP="0091359C">
            <w:pPr>
              <w:spacing w:before="0" w:after="0"/>
              <w:jc w:val="center"/>
              <w:rPr>
                <w:lang w:eastAsia="en-AU"/>
              </w:rPr>
            </w:pPr>
            <w:r w:rsidRPr="00AC0887">
              <w:rPr>
                <w:szCs w:val="22"/>
                <w:lang w:eastAsia="en-AU"/>
              </w:rPr>
              <w:t>0.06</w:t>
            </w:r>
          </w:p>
        </w:tc>
      </w:tr>
      <w:tr w:rsidR="00595693" w:rsidRPr="00AC0887" w14:paraId="3471B685" w14:textId="77777777" w:rsidTr="0091359C">
        <w:trPr>
          <w:trHeight w:val="290"/>
          <w:jc w:val="center"/>
        </w:trPr>
        <w:tc>
          <w:tcPr>
            <w:tcW w:w="2660" w:type="dxa"/>
            <w:shd w:val="clear" w:color="auto" w:fill="F3F9FA"/>
            <w:noWrap/>
            <w:vAlign w:val="bottom"/>
            <w:hideMark/>
          </w:tcPr>
          <w:p w14:paraId="0C01D48E" w14:textId="77777777" w:rsidR="00595693" w:rsidRPr="00AC0887" w:rsidRDefault="00595693" w:rsidP="0091359C">
            <w:pPr>
              <w:spacing w:before="0" w:after="0"/>
              <w:rPr>
                <w:lang w:eastAsia="en-AU"/>
              </w:rPr>
            </w:pPr>
            <w:r w:rsidRPr="00AC0887">
              <w:rPr>
                <w:szCs w:val="22"/>
                <w:lang w:eastAsia="en-AU"/>
              </w:rPr>
              <w:t xml:space="preserve">Burdekin </w:t>
            </w:r>
          </w:p>
        </w:tc>
        <w:tc>
          <w:tcPr>
            <w:tcW w:w="2360" w:type="dxa"/>
            <w:shd w:val="clear" w:color="auto" w:fill="F3F9FA"/>
            <w:noWrap/>
            <w:vAlign w:val="bottom"/>
            <w:hideMark/>
          </w:tcPr>
          <w:p w14:paraId="3D44073B" w14:textId="77777777" w:rsidR="00595693" w:rsidRPr="00AC0887" w:rsidRDefault="00595693" w:rsidP="0091359C">
            <w:pPr>
              <w:spacing w:before="0" w:after="0"/>
              <w:jc w:val="center"/>
              <w:rPr>
                <w:lang w:eastAsia="en-AU"/>
              </w:rPr>
            </w:pPr>
            <w:r w:rsidRPr="00AC0887">
              <w:rPr>
                <w:szCs w:val="22"/>
                <w:lang w:eastAsia="en-AU"/>
              </w:rPr>
              <w:t>587</w:t>
            </w:r>
          </w:p>
        </w:tc>
        <w:tc>
          <w:tcPr>
            <w:tcW w:w="2342" w:type="dxa"/>
            <w:shd w:val="clear" w:color="auto" w:fill="F3F9FA"/>
            <w:noWrap/>
            <w:vAlign w:val="bottom"/>
            <w:hideMark/>
          </w:tcPr>
          <w:p w14:paraId="75D62C63" w14:textId="77777777" w:rsidR="00595693" w:rsidRPr="00AC0887" w:rsidRDefault="00595693" w:rsidP="0091359C">
            <w:pPr>
              <w:spacing w:before="0" w:after="0"/>
              <w:jc w:val="center"/>
              <w:rPr>
                <w:lang w:eastAsia="en-AU"/>
              </w:rPr>
            </w:pPr>
            <w:r w:rsidRPr="00AC0887">
              <w:rPr>
                <w:szCs w:val="22"/>
                <w:lang w:eastAsia="en-AU"/>
              </w:rPr>
              <w:t>0.17</w:t>
            </w:r>
          </w:p>
        </w:tc>
      </w:tr>
      <w:tr w:rsidR="00595693" w:rsidRPr="00AC0887" w14:paraId="11D9C1A6" w14:textId="77777777" w:rsidTr="0091359C">
        <w:trPr>
          <w:trHeight w:val="290"/>
          <w:jc w:val="center"/>
        </w:trPr>
        <w:tc>
          <w:tcPr>
            <w:tcW w:w="2660" w:type="dxa"/>
            <w:shd w:val="clear" w:color="auto" w:fill="F3F9FA"/>
            <w:noWrap/>
            <w:vAlign w:val="bottom"/>
            <w:hideMark/>
          </w:tcPr>
          <w:p w14:paraId="0973DD05" w14:textId="77777777" w:rsidR="00595693" w:rsidRPr="00AC0887" w:rsidRDefault="00595693" w:rsidP="0091359C">
            <w:pPr>
              <w:spacing w:before="0" w:after="0"/>
              <w:rPr>
                <w:lang w:eastAsia="en-AU"/>
              </w:rPr>
            </w:pPr>
            <w:r w:rsidRPr="00AC0887">
              <w:rPr>
                <w:szCs w:val="22"/>
                <w:lang w:eastAsia="en-AU"/>
              </w:rPr>
              <w:t xml:space="preserve">Mackay Whitsunday </w:t>
            </w:r>
          </w:p>
        </w:tc>
        <w:tc>
          <w:tcPr>
            <w:tcW w:w="2360" w:type="dxa"/>
            <w:shd w:val="clear" w:color="auto" w:fill="F3F9FA"/>
            <w:noWrap/>
            <w:vAlign w:val="bottom"/>
            <w:hideMark/>
          </w:tcPr>
          <w:p w14:paraId="3CF2ADFB" w14:textId="77777777" w:rsidR="00595693" w:rsidRPr="00AC0887" w:rsidRDefault="00595693" w:rsidP="0091359C">
            <w:pPr>
              <w:spacing w:before="0" w:after="0"/>
              <w:jc w:val="center"/>
              <w:rPr>
                <w:lang w:eastAsia="en-AU"/>
              </w:rPr>
            </w:pPr>
            <w:r w:rsidRPr="00AC0887">
              <w:rPr>
                <w:szCs w:val="22"/>
                <w:lang w:eastAsia="en-AU"/>
              </w:rPr>
              <w:t>215</w:t>
            </w:r>
          </w:p>
        </w:tc>
        <w:tc>
          <w:tcPr>
            <w:tcW w:w="2342" w:type="dxa"/>
            <w:shd w:val="clear" w:color="auto" w:fill="F3F9FA"/>
            <w:noWrap/>
            <w:vAlign w:val="bottom"/>
            <w:hideMark/>
          </w:tcPr>
          <w:p w14:paraId="4509539F" w14:textId="77777777" w:rsidR="00595693" w:rsidRPr="00AC0887" w:rsidRDefault="00595693" w:rsidP="0091359C">
            <w:pPr>
              <w:spacing w:before="0" w:after="0"/>
              <w:jc w:val="center"/>
              <w:rPr>
                <w:lang w:eastAsia="en-AU"/>
              </w:rPr>
            </w:pPr>
            <w:r w:rsidRPr="00AC0887">
              <w:rPr>
                <w:szCs w:val="22"/>
                <w:lang w:eastAsia="en-AU"/>
              </w:rPr>
              <w:t>0.06</w:t>
            </w:r>
          </w:p>
        </w:tc>
      </w:tr>
      <w:tr w:rsidR="00595693" w:rsidRPr="00AC0887" w14:paraId="1AFFFE12" w14:textId="77777777" w:rsidTr="0091359C">
        <w:trPr>
          <w:trHeight w:val="290"/>
          <w:jc w:val="center"/>
        </w:trPr>
        <w:tc>
          <w:tcPr>
            <w:tcW w:w="2660" w:type="dxa"/>
            <w:shd w:val="clear" w:color="auto" w:fill="F3F9FA"/>
            <w:noWrap/>
            <w:vAlign w:val="bottom"/>
            <w:hideMark/>
          </w:tcPr>
          <w:p w14:paraId="69E6AA56" w14:textId="77777777" w:rsidR="00595693" w:rsidRPr="00AC0887" w:rsidRDefault="00595693" w:rsidP="0091359C">
            <w:pPr>
              <w:spacing w:before="0" w:after="0"/>
              <w:rPr>
                <w:lang w:eastAsia="en-AU"/>
              </w:rPr>
            </w:pPr>
            <w:r w:rsidRPr="00AC0887">
              <w:rPr>
                <w:szCs w:val="22"/>
                <w:lang w:eastAsia="en-AU"/>
              </w:rPr>
              <w:t xml:space="preserve">Fitzroy </w:t>
            </w:r>
          </w:p>
        </w:tc>
        <w:tc>
          <w:tcPr>
            <w:tcW w:w="2360" w:type="dxa"/>
            <w:shd w:val="clear" w:color="auto" w:fill="F3F9FA"/>
            <w:noWrap/>
            <w:vAlign w:val="bottom"/>
            <w:hideMark/>
          </w:tcPr>
          <w:p w14:paraId="51218573" w14:textId="77777777" w:rsidR="00595693" w:rsidRPr="00AC0887" w:rsidRDefault="00595693" w:rsidP="0091359C">
            <w:pPr>
              <w:spacing w:before="0" w:after="0"/>
              <w:jc w:val="center"/>
              <w:rPr>
                <w:lang w:eastAsia="en-AU"/>
              </w:rPr>
            </w:pPr>
            <w:r w:rsidRPr="00AC0887">
              <w:rPr>
                <w:lang w:eastAsia="en-AU"/>
              </w:rPr>
              <w:t>257</w:t>
            </w:r>
          </w:p>
        </w:tc>
        <w:tc>
          <w:tcPr>
            <w:tcW w:w="2342" w:type="dxa"/>
            <w:shd w:val="clear" w:color="auto" w:fill="F3F9FA"/>
            <w:noWrap/>
            <w:vAlign w:val="bottom"/>
            <w:hideMark/>
          </w:tcPr>
          <w:p w14:paraId="0E096F50" w14:textId="77777777" w:rsidR="00595693" w:rsidRPr="00AC0887" w:rsidRDefault="00595693" w:rsidP="0091359C">
            <w:pPr>
              <w:spacing w:before="0" w:after="0"/>
              <w:jc w:val="center"/>
              <w:rPr>
                <w:lang w:eastAsia="en-AU"/>
              </w:rPr>
            </w:pPr>
            <w:r w:rsidRPr="00AC0887">
              <w:rPr>
                <w:szCs w:val="22"/>
                <w:lang w:eastAsia="en-AU"/>
              </w:rPr>
              <w:t>0.07</w:t>
            </w:r>
          </w:p>
        </w:tc>
      </w:tr>
      <w:tr w:rsidR="00595693" w:rsidRPr="00AC0887" w14:paraId="6F264E7F" w14:textId="77777777" w:rsidTr="0091359C">
        <w:trPr>
          <w:trHeight w:val="290"/>
          <w:jc w:val="center"/>
        </w:trPr>
        <w:tc>
          <w:tcPr>
            <w:tcW w:w="2660" w:type="dxa"/>
            <w:tcBorders>
              <w:top w:val="nil"/>
              <w:left w:val="nil"/>
              <w:bottom w:val="single" w:sz="4" w:space="0" w:color="auto"/>
              <w:right w:val="nil"/>
            </w:tcBorders>
            <w:shd w:val="clear" w:color="auto" w:fill="F3F9FA"/>
            <w:noWrap/>
            <w:vAlign w:val="bottom"/>
            <w:hideMark/>
          </w:tcPr>
          <w:p w14:paraId="69C2C03E" w14:textId="77777777" w:rsidR="00595693" w:rsidRPr="00AC0887" w:rsidRDefault="00595693" w:rsidP="0091359C">
            <w:pPr>
              <w:spacing w:before="0" w:after="0"/>
              <w:rPr>
                <w:lang w:eastAsia="en-AU"/>
              </w:rPr>
            </w:pPr>
            <w:r w:rsidRPr="00AC0887">
              <w:rPr>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hideMark/>
          </w:tcPr>
          <w:p w14:paraId="6F560434" w14:textId="77777777" w:rsidR="00595693" w:rsidRPr="00AC0887" w:rsidRDefault="00595693" w:rsidP="0091359C">
            <w:pPr>
              <w:spacing w:before="0" w:after="0"/>
              <w:jc w:val="center"/>
              <w:rPr>
                <w:lang w:eastAsia="en-AU"/>
              </w:rPr>
            </w:pPr>
            <w:r w:rsidRPr="00AC0887">
              <w:rPr>
                <w:szCs w:val="22"/>
                <w:lang w:eastAsia="en-AU"/>
              </w:rPr>
              <w:t>120</w:t>
            </w:r>
          </w:p>
        </w:tc>
        <w:tc>
          <w:tcPr>
            <w:tcW w:w="2342" w:type="dxa"/>
            <w:tcBorders>
              <w:top w:val="nil"/>
              <w:left w:val="nil"/>
              <w:bottom w:val="single" w:sz="4" w:space="0" w:color="auto"/>
              <w:right w:val="nil"/>
            </w:tcBorders>
            <w:shd w:val="clear" w:color="auto" w:fill="F3F9FA"/>
            <w:noWrap/>
            <w:vAlign w:val="bottom"/>
            <w:hideMark/>
          </w:tcPr>
          <w:p w14:paraId="51EC3E7E" w14:textId="77777777" w:rsidR="00595693" w:rsidRPr="00AC0887" w:rsidRDefault="00595693" w:rsidP="0091359C">
            <w:pPr>
              <w:spacing w:before="0" w:after="0"/>
              <w:jc w:val="center"/>
              <w:rPr>
                <w:lang w:eastAsia="en-AU"/>
              </w:rPr>
            </w:pPr>
            <w:r w:rsidRPr="00AC0887">
              <w:rPr>
                <w:szCs w:val="22"/>
                <w:lang w:eastAsia="en-AU"/>
              </w:rPr>
              <w:t>0.03</w:t>
            </w:r>
          </w:p>
        </w:tc>
      </w:tr>
      <w:tr w:rsidR="00595693" w:rsidRPr="00AC0887" w14:paraId="7126BE57" w14:textId="77777777" w:rsidTr="0091359C">
        <w:trPr>
          <w:trHeight w:val="290"/>
          <w:jc w:val="center"/>
        </w:trPr>
        <w:tc>
          <w:tcPr>
            <w:tcW w:w="2660" w:type="dxa"/>
            <w:tcBorders>
              <w:top w:val="single" w:sz="4" w:space="0" w:color="auto"/>
              <w:left w:val="nil"/>
              <w:bottom w:val="single" w:sz="4" w:space="0" w:color="auto"/>
              <w:right w:val="nil"/>
            </w:tcBorders>
            <w:shd w:val="clear" w:color="auto" w:fill="E7F3F4"/>
            <w:noWrap/>
            <w:vAlign w:val="bottom"/>
            <w:hideMark/>
          </w:tcPr>
          <w:p w14:paraId="2B9E5F77" w14:textId="77777777" w:rsidR="00595693" w:rsidRPr="00AC0887" w:rsidRDefault="00595693" w:rsidP="0091359C">
            <w:pPr>
              <w:spacing w:before="0" w:after="0"/>
              <w:rPr>
                <w:b/>
                <w:lang w:eastAsia="en-AU"/>
              </w:rPr>
            </w:pPr>
            <w:r w:rsidRPr="00AC0887">
              <w:rPr>
                <w:b/>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hideMark/>
          </w:tcPr>
          <w:p w14:paraId="75C11F56" w14:textId="77777777" w:rsidR="00595693" w:rsidRPr="00AC0887" w:rsidRDefault="00595693" w:rsidP="0091359C">
            <w:pPr>
              <w:spacing w:before="0" w:after="0"/>
              <w:jc w:val="center"/>
              <w:rPr>
                <w:b/>
                <w:lang w:eastAsia="en-AU"/>
              </w:rPr>
            </w:pPr>
            <w:r w:rsidRPr="00AC0887">
              <w:rPr>
                <w:b/>
                <w:szCs w:val="22"/>
                <w:lang w:eastAsia="en-AU"/>
              </w:rPr>
              <w:t>3,464</w:t>
            </w:r>
          </w:p>
        </w:tc>
        <w:tc>
          <w:tcPr>
            <w:tcW w:w="2342" w:type="dxa"/>
            <w:tcBorders>
              <w:top w:val="single" w:sz="4" w:space="0" w:color="auto"/>
              <w:left w:val="nil"/>
              <w:bottom w:val="single" w:sz="4" w:space="0" w:color="auto"/>
              <w:right w:val="nil"/>
            </w:tcBorders>
            <w:shd w:val="clear" w:color="auto" w:fill="E7F3F4"/>
            <w:noWrap/>
            <w:vAlign w:val="bottom"/>
            <w:hideMark/>
          </w:tcPr>
          <w:p w14:paraId="0CDC0E8C" w14:textId="77777777" w:rsidR="00595693" w:rsidRPr="00AC0887" w:rsidRDefault="00595693" w:rsidP="0091359C">
            <w:pPr>
              <w:spacing w:before="0" w:after="0"/>
              <w:jc w:val="center"/>
              <w:rPr>
                <w:b/>
                <w:lang w:eastAsia="en-AU"/>
              </w:rPr>
            </w:pPr>
            <w:r w:rsidRPr="00AC0887">
              <w:rPr>
                <w:b/>
                <w:szCs w:val="22"/>
                <w:lang w:eastAsia="en-AU"/>
              </w:rPr>
              <w:t>1.00</w:t>
            </w:r>
          </w:p>
        </w:tc>
      </w:tr>
    </w:tbl>
    <w:p w14:paraId="63750392" w14:textId="77777777" w:rsidR="00842050" w:rsidRDefault="00842050" w:rsidP="00842050">
      <w:pPr>
        <w:spacing w:before="240"/>
        <w:rPr>
          <w:color w:val="000000"/>
          <w:szCs w:val="22"/>
        </w:rPr>
      </w:pPr>
    </w:p>
    <w:p w14:paraId="1B16D900" w14:textId="77777777" w:rsidR="00842050" w:rsidRDefault="00842050" w:rsidP="00842050"/>
    <w:p w14:paraId="568F8A20" w14:textId="77777777" w:rsidR="004A36C2" w:rsidRPr="00475FC4" w:rsidRDefault="004A36C2" w:rsidP="004223A0">
      <w:pPr>
        <w:ind w:left="540" w:hanging="540"/>
        <w:rPr>
          <w:color w:val="000000"/>
          <w:szCs w:val="22"/>
        </w:rPr>
      </w:pPr>
    </w:p>
    <w:p w14:paraId="5BB2BF25" w14:textId="77777777" w:rsidR="008A429D" w:rsidRPr="00475FC4" w:rsidRDefault="008A429D" w:rsidP="004223A0">
      <w:pPr>
        <w:ind w:left="540" w:hanging="540"/>
        <w:rPr>
          <w:color w:val="000000"/>
          <w:szCs w:val="22"/>
        </w:rPr>
      </w:pPr>
    </w:p>
    <w:p w14:paraId="735BE041" w14:textId="77777777" w:rsidR="008A429D" w:rsidRPr="00475FC4" w:rsidRDefault="008A429D" w:rsidP="004223A0">
      <w:pPr>
        <w:ind w:left="540" w:hanging="540"/>
        <w:rPr>
          <w:color w:val="000000"/>
          <w:szCs w:val="22"/>
        </w:rPr>
      </w:pPr>
    </w:p>
    <w:p w14:paraId="26B71A72" w14:textId="77777777" w:rsidR="004A36C2" w:rsidRPr="001F473C" w:rsidRDefault="004A36C2" w:rsidP="004223A0">
      <w:pPr>
        <w:ind w:left="540" w:hanging="540"/>
        <w:rPr>
          <w:color w:val="000000"/>
        </w:rPr>
      </w:pPr>
    </w:p>
    <w:p w14:paraId="597E5291" w14:textId="77777777" w:rsidR="005132EF" w:rsidRPr="001F473C" w:rsidRDefault="005132EF" w:rsidP="00034AD4">
      <w:pPr>
        <w:ind w:left="540" w:hanging="540"/>
        <w:rPr>
          <w:color w:val="000000"/>
        </w:rPr>
        <w:sectPr w:rsidR="005132EF" w:rsidRPr="001F473C" w:rsidSect="00D10D59">
          <w:pgSz w:w="11906" w:h="16838"/>
          <w:pgMar w:top="1418" w:right="1418" w:bottom="1418" w:left="1418" w:header="709" w:footer="709" w:gutter="0"/>
          <w:cols w:space="708"/>
          <w:docGrid w:linePitch="360"/>
        </w:sectPr>
      </w:pPr>
    </w:p>
    <w:p w14:paraId="5E3265A2" w14:textId="77777777" w:rsidR="008A429D" w:rsidRPr="008A429D" w:rsidRDefault="008A429D" w:rsidP="008A429D">
      <w:pPr>
        <w:ind w:left="540" w:hanging="540"/>
        <w:rPr>
          <w:color w:val="000000"/>
          <w:szCs w:val="22"/>
        </w:rPr>
      </w:pPr>
      <w:bookmarkStart w:id="1033" w:name="_Toc379612624"/>
    </w:p>
    <w:p w14:paraId="4E71D357" w14:textId="77777777" w:rsidR="008A429D" w:rsidRDefault="008A429D" w:rsidP="008A429D">
      <w:pPr>
        <w:ind w:left="540" w:hanging="540"/>
        <w:rPr>
          <w:color w:val="000000"/>
          <w:szCs w:val="22"/>
        </w:rPr>
      </w:pPr>
    </w:p>
    <w:p w14:paraId="7FC58220" w14:textId="77777777" w:rsidR="008A429D" w:rsidRDefault="008A429D" w:rsidP="008A429D">
      <w:pPr>
        <w:ind w:left="540" w:hanging="540"/>
        <w:rPr>
          <w:color w:val="000000"/>
          <w:szCs w:val="22"/>
        </w:rPr>
      </w:pPr>
    </w:p>
    <w:p w14:paraId="571DF771" w14:textId="77777777" w:rsidR="008A429D" w:rsidRDefault="008A429D" w:rsidP="008A429D">
      <w:pPr>
        <w:ind w:left="540" w:hanging="540"/>
        <w:rPr>
          <w:color w:val="000000"/>
          <w:szCs w:val="22"/>
        </w:rPr>
      </w:pPr>
    </w:p>
    <w:p w14:paraId="33AA8098" w14:textId="77777777" w:rsidR="008A429D" w:rsidRDefault="008A429D" w:rsidP="008A429D">
      <w:pPr>
        <w:ind w:left="540" w:hanging="540"/>
        <w:rPr>
          <w:color w:val="000000"/>
          <w:szCs w:val="22"/>
        </w:rPr>
      </w:pPr>
    </w:p>
    <w:p w14:paraId="2F141931" w14:textId="77777777" w:rsidR="008A429D" w:rsidRDefault="008A429D" w:rsidP="008A429D">
      <w:pPr>
        <w:ind w:left="540" w:hanging="540"/>
        <w:rPr>
          <w:color w:val="000000"/>
          <w:szCs w:val="22"/>
        </w:rPr>
      </w:pPr>
    </w:p>
    <w:p w14:paraId="31173BB4" w14:textId="77777777" w:rsidR="008A429D" w:rsidRDefault="008A429D" w:rsidP="008A429D">
      <w:pPr>
        <w:ind w:left="540" w:hanging="540"/>
        <w:rPr>
          <w:color w:val="000000"/>
          <w:szCs w:val="22"/>
        </w:rPr>
      </w:pPr>
    </w:p>
    <w:p w14:paraId="635A2621" w14:textId="77777777" w:rsidR="008A429D" w:rsidRDefault="008A429D" w:rsidP="008A429D">
      <w:pPr>
        <w:ind w:left="540" w:hanging="540"/>
        <w:rPr>
          <w:color w:val="000000"/>
          <w:szCs w:val="22"/>
        </w:rPr>
      </w:pPr>
    </w:p>
    <w:p w14:paraId="1475B39B" w14:textId="77777777" w:rsidR="008A429D" w:rsidRDefault="008A429D" w:rsidP="008A429D">
      <w:pPr>
        <w:ind w:left="540" w:hanging="540"/>
        <w:rPr>
          <w:color w:val="000000"/>
          <w:szCs w:val="22"/>
        </w:rPr>
      </w:pPr>
    </w:p>
    <w:p w14:paraId="0277FF34" w14:textId="77777777" w:rsidR="008A429D" w:rsidRDefault="008A429D" w:rsidP="008A429D">
      <w:pPr>
        <w:ind w:left="540" w:hanging="540"/>
        <w:rPr>
          <w:color w:val="000000"/>
          <w:szCs w:val="22"/>
        </w:rPr>
      </w:pPr>
    </w:p>
    <w:p w14:paraId="508622B7" w14:textId="77777777" w:rsidR="008A429D" w:rsidRDefault="008A429D" w:rsidP="008A429D">
      <w:pPr>
        <w:ind w:left="540" w:hanging="540"/>
        <w:rPr>
          <w:color w:val="000000"/>
          <w:szCs w:val="22"/>
        </w:rPr>
      </w:pPr>
    </w:p>
    <w:p w14:paraId="44EEA27F" w14:textId="77777777" w:rsidR="008A429D" w:rsidRDefault="008A429D" w:rsidP="008A429D">
      <w:pPr>
        <w:ind w:left="540" w:hanging="540"/>
        <w:rPr>
          <w:color w:val="000000"/>
          <w:szCs w:val="22"/>
        </w:rPr>
      </w:pPr>
    </w:p>
    <w:p w14:paraId="11DCAEB7" w14:textId="77777777" w:rsidR="008A429D" w:rsidRDefault="008A429D" w:rsidP="008A429D">
      <w:pPr>
        <w:ind w:left="540" w:hanging="540"/>
        <w:rPr>
          <w:color w:val="000000"/>
          <w:szCs w:val="22"/>
        </w:rPr>
      </w:pPr>
    </w:p>
    <w:p w14:paraId="5A276E62" w14:textId="77777777" w:rsidR="008A429D" w:rsidRDefault="008A429D" w:rsidP="008A429D">
      <w:pPr>
        <w:ind w:left="540" w:hanging="540"/>
        <w:rPr>
          <w:color w:val="000000"/>
          <w:szCs w:val="22"/>
        </w:rPr>
      </w:pPr>
    </w:p>
    <w:p w14:paraId="35C27F84" w14:textId="77777777" w:rsidR="008A429D" w:rsidRDefault="008A429D" w:rsidP="008A429D">
      <w:pPr>
        <w:ind w:left="540" w:hanging="540"/>
        <w:rPr>
          <w:color w:val="000000"/>
          <w:szCs w:val="22"/>
        </w:rPr>
      </w:pPr>
    </w:p>
    <w:p w14:paraId="01A2C399" w14:textId="77777777" w:rsidR="008A429D" w:rsidRDefault="008A429D" w:rsidP="008A429D">
      <w:pPr>
        <w:ind w:left="540" w:hanging="540"/>
        <w:rPr>
          <w:color w:val="000000"/>
          <w:szCs w:val="22"/>
        </w:rPr>
      </w:pPr>
    </w:p>
    <w:p w14:paraId="5C36737C" w14:textId="77777777" w:rsidR="008A429D" w:rsidRPr="00902825" w:rsidRDefault="00842050" w:rsidP="001A5B75">
      <w:pPr>
        <w:pStyle w:val="Heading1"/>
        <w:pageBreakBefore w:val="0"/>
        <w:numPr>
          <w:ilvl w:val="0"/>
          <w:numId w:val="17"/>
        </w:numPr>
      </w:pPr>
      <w:bookmarkStart w:id="1034" w:name="_Toc516053198"/>
      <w:r>
        <w:t>Detailed data</w:t>
      </w:r>
      <w:bookmarkEnd w:id="1034"/>
    </w:p>
    <w:bookmarkEnd w:id="1033"/>
    <w:p w14:paraId="2FF95103" w14:textId="77777777" w:rsidR="00E82D2E" w:rsidRDefault="00E82D2E" w:rsidP="00E82D2E">
      <w:pPr>
        <w:rPr>
          <w:lang w:val="en-GB"/>
        </w:rPr>
      </w:pPr>
    </w:p>
    <w:p w14:paraId="0AA5B3CA" w14:textId="77777777" w:rsidR="00842050" w:rsidRDefault="00842050">
      <w:pPr>
        <w:spacing w:before="0" w:after="0"/>
        <w:rPr>
          <w:lang w:val="en-GB"/>
        </w:rPr>
      </w:pPr>
      <w:r>
        <w:rPr>
          <w:lang w:val="en-GB"/>
        </w:rPr>
        <w:br w:type="page"/>
      </w:r>
    </w:p>
    <w:p w14:paraId="11EEFBBE" w14:textId="74D76651" w:rsidR="00982946" w:rsidRPr="00F12624" w:rsidRDefault="00982946" w:rsidP="00F12624">
      <w:pPr>
        <w:pStyle w:val="Heading2"/>
      </w:pPr>
      <w:bookmarkStart w:id="1035" w:name="_Toc516053199"/>
      <w:r w:rsidRPr="00F12624">
        <w:t>Climate and environment</w:t>
      </w:r>
      <w:r w:rsidR="00D93689">
        <w:t>al pressures</w:t>
      </w:r>
      <w:bookmarkEnd w:id="1035"/>
    </w:p>
    <w:p w14:paraId="39FF7891" w14:textId="7D502061" w:rsidR="005F359E" w:rsidRPr="00F12624" w:rsidRDefault="005F359E" w:rsidP="00F12624">
      <w:pPr>
        <w:pStyle w:val="Heading3"/>
        <w:rPr>
          <w:rFonts w:asciiTheme="minorHAnsi" w:hAnsiTheme="minorHAnsi"/>
          <w:sz w:val="24"/>
          <w:szCs w:val="24"/>
        </w:rPr>
      </w:pPr>
      <w:bookmarkStart w:id="1036" w:name="_Toc516053200"/>
      <w:r w:rsidRPr="00F12624">
        <w:rPr>
          <w:rFonts w:asciiTheme="minorHAnsi" w:hAnsiTheme="minorHAnsi"/>
          <w:sz w:val="24"/>
          <w:szCs w:val="24"/>
        </w:rPr>
        <w:t>Climate</w:t>
      </w:r>
      <w:bookmarkEnd w:id="1036"/>
    </w:p>
    <w:p w14:paraId="18C122B4" w14:textId="77777777" w:rsidR="005F359E" w:rsidRDefault="005F359E" w:rsidP="005F359E">
      <w:pPr>
        <w:rPr>
          <w:color w:val="000000"/>
          <w:szCs w:val="22"/>
          <w:lang w:val="en-GB"/>
        </w:rPr>
      </w:pPr>
    </w:p>
    <w:p w14:paraId="445D0691" w14:textId="65B3D49A" w:rsidR="005F359E" w:rsidRPr="002C568C" w:rsidRDefault="00E2010B" w:rsidP="005F359E">
      <w:pPr>
        <w:jc w:val="center"/>
        <w:rPr>
          <w:color w:val="000000"/>
          <w:szCs w:val="22"/>
          <w:lang w:val="en-GB"/>
        </w:rPr>
      </w:pPr>
      <w:r>
        <w:rPr>
          <w:noProof/>
          <w:color w:val="000000"/>
          <w:szCs w:val="22"/>
          <w:lang w:eastAsia="en-AU"/>
        </w:rPr>
        <w:drawing>
          <wp:inline distT="0" distB="0" distL="0" distR="0" wp14:anchorId="3EF007ED" wp14:editId="422D675A">
            <wp:extent cx="4319999" cy="2658461"/>
            <wp:effectExtent l="0" t="0" r="4445" b="8890"/>
            <wp:docPr id="70" name="Picture 70" descr="Set of three bar charts showing number of days of wind speed above 25 km. hr-1 each monitoring period for each location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Wind_25Kn.png"/>
                    <pic:cNvPicPr/>
                  </pic:nvPicPr>
                  <pic:blipFill>
                    <a:blip r:embed="rId233"/>
                    <a:stretch>
                      <a:fillRect/>
                    </a:stretch>
                  </pic:blipFill>
                  <pic:spPr>
                    <a:xfrm>
                      <a:off x="0" y="0"/>
                      <a:ext cx="4319999" cy="2658461"/>
                    </a:xfrm>
                    <a:prstGeom prst="rect">
                      <a:avLst/>
                    </a:prstGeom>
                  </pic:spPr>
                </pic:pic>
              </a:graphicData>
            </a:graphic>
          </wp:inline>
        </w:drawing>
      </w:r>
    </w:p>
    <w:p w14:paraId="3FD1C4D7" w14:textId="520D6B2D" w:rsidR="005F359E" w:rsidRPr="00A93D8C" w:rsidRDefault="005F359E" w:rsidP="005F359E">
      <w:pPr>
        <w:rPr>
          <w:vanish/>
          <w:color w:val="000000"/>
          <w:szCs w:val="22"/>
          <w:lang w:val="en-GB"/>
          <w:specVanish/>
        </w:rPr>
      </w:pPr>
      <w:bookmarkStart w:id="1037" w:name="_Ref410207986"/>
      <w:bookmarkStart w:id="1038" w:name="_Toc431493987"/>
      <w:bookmarkStart w:id="1039" w:name="_Toc516053351"/>
      <w:r w:rsidRPr="00D753B8">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141</w:t>
      </w:r>
      <w:r w:rsidR="0073595B">
        <w:rPr>
          <w:color w:val="000000"/>
          <w:szCs w:val="22"/>
          <w:lang w:val="en-GB"/>
        </w:rPr>
        <w:fldChar w:fldCharType="end"/>
      </w:r>
      <w:bookmarkEnd w:id="1037"/>
      <w:r w:rsidRPr="00D753B8">
        <w:rPr>
          <w:color w:val="000000"/>
          <w:szCs w:val="22"/>
          <w:lang w:val="en-GB"/>
        </w:rPr>
        <w:t xml:space="preserve">. </w:t>
      </w:r>
      <w:r w:rsidRPr="00D753B8">
        <w:rPr>
          <w:i/>
          <w:color w:val="000000"/>
          <w:szCs w:val="22"/>
          <w:lang w:val="en-GB"/>
        </w:rPr>
        <w:t>Number of days wind speed is above 25 km. hr</w:t>
      </w:r>
      <w:r w:rsidRPr="00D753B8">
        <w:rPr>
          <w:i/>
          <w:color w:val="000000"/>
          <w:szCs w:val="22"/>
          <w:vertAlign w:val="superscript"/>
          <w:lang w:val="en-GB"/>
        </w:rPr>
        <w:t>-1</w:t>
      </w:r>
      <w:r w:rsidRPr="00D753B8">
        <w:rPr>
          <w:i/>
          <w:color w:val="000000"/>
          <w:szCs w:val="22"/>
          <w:lang w:val="en-GB"/>
        </w:rPr>
        <w:t xml:space="preserve"> each monitoring period in the Cape York NRM region.</w:t>
      </w:r>
      <w:bookmarkEnd w:id="1038"/>
      <w:bookmarkEnd w:id="1039"/>
      <w:r>
        <w:rPr>
          <w:color w:val="000000"/>
          <w:szCs w:val="22"/>
          <w:lang w:val="en-GB"/>
        </w:rPr>
        <w:t xml:space="preserve"> </w:t>
      </w:r>
    </w:p>
    <w:p w14:paraId="6D792F9D" w14:textId="77777777" w:rsidR="005F359E" w:rsidRPr="00D753B8" w:rsidRDefault="005F359E" w:rsidP="005F359E">
      <w:pPr>
        <w:rPr>
          <w:color w:val="000000"/>
          <w:szCs w:val="22"/>
          <w:lang w:val="en-GB"/>
        </w:rPr>
      </w:pPr>
      <w:r w:rsidRPr="00D753B8">
        <w:rPr>
          <w:i/>
          <w:color w:val="000000"/>
          <w:szCs w:val="22"/>
          <w:lang w:val="en-GB"/>
        </w:rPr>
        <w:t xml:space="preserve"> Daily 3pm wind speed from: a) from </w:t>
      </w:r>
      <w:r w:rsidRPr="00D753B8">
        <w:rPr>
          <w:i/>
          <w:color w:val="000000"/>
          <w:szCs w:val="22"/>
        </w:rPr>
        <w:t>Lockhart River Airport (BOM station 028008, source www.bom.gov.au), located 108km from Shelburne Bay and 61km from Piper Reef monitoring sites;</w:t>
      </w:r>
      <w:r w:rsidRPr="00D753B8">
        <w:rPr>
          <w:i/>
          <w:color w:val="000000"/>
          <w:szCs w:val="22"/>
          <w:lang w:val="en-GB"/>
        </w:rPr>
        <w:t xml:space="preserve"> b) Cape Flattery (BOM station 031213), located approximately 139km and 144km from Bathurst Bay and Stanley Island monitoring sites, respectively and; c) Cooktown airport (BOM station 031209), located 16km from Archer Point monitoring sites.</w:t>
      </w:r>
      <w:r>
        <w:rPr>
          <w:color w:val="000000"/>
          <w:szCs w:val="22"/>
          <w:lang w:val="en-GB"/>
        </w:rPr>
        <w:t xml:space="preserve"> </w:t>
      </w:r>
    </w:p>
    <w:p w14:paraId="5D248D20" w14:textId="77777777" w:rsidR="005F359E" w:rsidRDefault="005F359E" w:rsidP="005F359E">
      <w:pPr>
        <w:rPr>
          <w:color w:val="000000"/>
          <w:szCs w:val="22"/>
        </w:rPr>
      </w:pPr>
      <w:bookmarkStart w:id="1040" w:name="_Ref380342564"/>
      <w:bookmarkStart w:id="1041" w:name="_Toc431493991"/>
    </w:p>
    <w:p w14:paraId="5E46DE76" w14:textId="4C07259F" w:rsidR="005F359E" w:rsidRPr="005F359E" w:rsidRDefault="00E2010B" w:rsidP="00CC692A">
      <w:pPr>
        <w:keepNext/>
        <w:widowControl w:val="0"/>
        <w:spacing w:after="0"/>
        <w:jc w:val="center"/>
        <w:rPr>
          <w:lang w:val="en-GB"/>
        </w:rPr>
      </w:pPr>
      <w:r>
        <w:rPr>
          <w:noProof/>
          <w:lang w:eastAsia="en-AU"/>
        </w:rPr>
        <w:drawing>
          <wp:inline distT="0" distB="0" distL="0" distR="0" wp14:anchorId="493B25A5" wp14:editId="4A600B9A">
            <wp:extent cx="4319999" cy="2658461"/>
            <wp:effectExtent l="0" t="0" r="4445" b="8890"/>
            <wp:docPr id="71" name="Picture 71" descr="Set of three bar charts showing number of days of wind speed above 25 km. hr-1 each monitoring period for each location in the Wet Tropics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Wind_25Kn.png"/>
                    <pic:cNvPicPr/>
                  </pic:nvPicPr>
                  <pic:blipFill>
                    <a:blip r:embed="rId234"/>
                    <a:stretch>
                      <a:fillRect/>
                    </a:stretch>
                  </pic:blipFill>
                  <pic:spPr>
                    <a:xfrm>
                      <a:off x="0" y="0"/>
                      <a:ext cx="4319999" cy="2658461"/>
                    </a:xfrm>
                    <a:prstGeom prst="rect">
                      <a:avLst/>
                    </a:prstGeom>
                  </pic:spPr>
                </pic:pic>
              </a:graphicData>
            </a:graphic>
          </wp:inline>
        </w:drawing>
      </w:r>
    </w:p>
    <w:p w14:paraId="5FD14CE7" w14:textId="19E719BD" w:rsidR="005F359E" w:rsidRPr="00A93D8C" w:rsidRDefault="005F359E" w:rsidP="005F359E">
      <w:pPr>
        <w:rPr>
          <w:i/>
          <w:vanish/>
          <w:specVanish/>
        </w:rPr>
      </w:pPr>
      <w:bookmarkStart w:id="1042" w:name="_Toc516053352"/>
      <w:r w:rsidRPr="005832E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142</w:t>
      </w:r>
      <w:r w:rsidR="0073595B">
        <w:rPr>
          <w:color w:val="000000"/>
          <w:szCs w:val="22"/>
        </w:rPr>
        <w:fldChar w:fldCharType="end"/>
      </w:r>
      <w:bookmarkEnd w:id="1040"/>
      <w:r w:rsidRPr="005832E6">
        <w:rPr>
          <w:color w:val="000000"/>
          <w:szCs w:val="22"/>
        </w:rPr>
        <w:t xml:space="preserve">. </w:t>
      </w:r>
      <w:r w:rsidRPr="005832E6">
        <w:rPr>
          <w:i/>
          <w:color w:val="000000"/>
          <w:szCs w:val="22"/>
        </w:rPr>
        <w:t>Number of days wind speed is above 25 km. hr</w:t>
      </w:r>
      <w:r w:rsidRPr="005832E6">
        <w:rPr>
          <w:i/>
          <w:color w:val="000000"/>
          <w:szCs w:val="22"/>
          <w:vertAlign w:val="superscript"/>
        </w:rPr>
        <w:t>-1</w:t>
      </w:r>
      <w:r w:rsidRPr="005832E6">
        <w:rPr>
          <w:i/>
          <w:color w:val="000000"/>
          <w:szCs w:val="22"/>
        </w:rPr>
        <w:t xml:space="preserve"> each monitoring period in the Wet Tropics NRM region.</w:t>
      </w:r>
      <w:bookmarkEnd w:id="1041"/>
      <w:bookmarkEnd w:id="1042"/>
      <w:r w:rsidRPr="00CD6094">
        <w:rPr>
          <w:i/>
          <w:vanish/>
          <w:color w:val="000000"/>
          <w:szCs w:val="22"/>
          <w:specVanish/>
        </w:rPr>
        <w:t xml:space="preserve"> </w:t>
      </w:r>
    </w:p>
    <w:p w14:paraId="7B80134E" w14:textId="77777777" w:rsidR="005F359E" w:rsidRPr="005832E6" w:rsidRDefault="005F359E" w:rsidP="005F359E">
      <w:pPr>
        <w:rPr>
          <w:color w:val="000000"/>
          <w:szCs w:val="22"/>
          <w:lang w:val="en-GB"/>
        </w:rPr>
      </w:pPr>
      <w:r>
        <w:rPr>
          <w:color w:val="000000"/>
          <w:szCs w:val="22"/>
          <w:lang w:val="en-GB"/>
        </w:rPr>
        <w:t xml:space="preserve"> </w:t>
      </w:r>
      <w:r w:rsidRPr="005832E6">
        <w:rPr>
          <w:i/>
          <w:color w:val="000000"/>
          <w:szCs w:val="22"/>
          <w:lang w:val="en-GB"/>
        </w:rPr>
        <w:t xml:space="preserve"> Daily 3pm wind speed from: a) Low Isles (BOM station 31037), located approximately 21km from Yule Point monitoring sites; b) Green Island (BOM station 31192); and C) </w:t>
      </w:r>
      <w:r w:rsidRPr="005832E6">
        <w:rPr>
          <w:i/>
          <w:color w:val="000000"/>
          <w:szCs w:val="22"/>
        </w:rPr>
        <w:t>Innisfail (BOM station 032025), located approximately 48km from monitoring sites at Lugger Bay and Dunk Island</w:t>
      </w:r>
      <w:r w:rsidRPr="005832E6">
        <w:rPr>
          <w:i/>
          <w:color w:val="000000"/>
          <w:szCs w:val="22"/>
          <w:lang w:val="en-GB"/>
        </w:rPr>
        <w:t>.</w:t>
      </w:r>
      <w:r>
        <w:rPr>
          <w:color w:val="000000"/>
          <w:szCs w:val="22"/>
          <w:lang w:val="en-GB"/>
        </w:rPr>
        <w:t xml:space="preserve"> </w:t>
      </w:r>
    </w:p>
    <w:p w14:paraId="7B718BEC" w14:textId="77777777" w:rsidR="005F359E" w:rsidRDefault="005F359E" w:rsidP="005F359E">
      <w:pPr>
        <w:rPr>
          <w:color w:val="000000"/>
          <w:szCs w:val="22"/>
          <w:lang w:val="en-GB"/>
        </w:rPr>
      </w:pPr>
    </w:p>
    <w:p w14:paraId="323A34FB" w14:textId="77777777" w:rsidR="00E2010B" w:rsidRPr="004115B1" w:rsidRDefault="00E2010B" w:rsidP="005F359E">
      <w:pPr>
        <w:rPr>
          <w:color w:val="000000"/>
          <w:szCs w:val="22"/>
          <w:lang w:val="en-GB"/>
        </w:rPr>
      </w:pPr>
    </w:p>
    <w:p w14:paraId="4E11CEDA" w14:textId="2E630402" w:rsidR="005F359E" w:rsidRDefault="00E2010B" w:rsidP="005F359E">
      <w:pPr>
        <w:jc w:val="center"/>
        <w:rPr>
          <w:color w:val="000000"/>
          <w:szCs w:val="22"/>
          <w:lang w:val="en-GB"/>
        </w:rPr>
      </w:pPr>
      <w:bookmarkStart w:id="1043" w:name="_Ref382203726"/>
      <w:bookmarkStart w:id="1044" w:name="_Toc431493994"/>
      <w:r>
        <w:rPr>
          <w:noProof/>
          <w:color w:val="000000"/>
          <w:szCs w:val="22"/>
          <w:lang w:eastAsia="en-AU"/>
        </w:rPr>
        <w:drawing>
          <wp:inline distT="0" distB="0" distL="0" distR="0" wp14:anchorId="279D8C2E" wp14:editId="3182C198">
            <wp:extent cx="4319999" cy="1993846"/>
            <wp:effectExtent l="0" t="0" r="4445" b="6985"/>
            <wp:docPr id="73" name="Picture 73" descr="Set of two bar charts showing number of days of wind speed above 25 km. hr-1 each monitoring period for each location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Wind_25Kn.png"/>
                    <pic:cNvPicPr/>
                  </pic:nvPicPr>
                  <pic:blipFill>
                    <a:blip r:embed="rId235"/>
                    <a:stretch>
                      <a:fillRect/>
                    </a:stretch>
                  </pic:blipFill>
                  <pic:spPr>
                    <a:xfrm>
                      <a:off x="0" y="0"/>
                      <a:ext cx="4319999" cy="1993846"/>
                    </a:xfrm>
                    <a:prstGeom prst="rect">
                      <a:avLst/>
                    </a:prstGeom>
                  </pic:spPr>
                </pic:pic>
              </a:graphicData>
            </a:graphic>
          </wp:inline>
        </w:drawing>
      </w:r>
    </w:p>
    <w:p w14:paraId="1C394D40" w14:textId="5E75B65E" w:rsidR="005F359E" w:rsidRPr="008012AC" w:rsidRDefault="005F359E" w:rsidP="005F359E">
      <w:pPr>
        <w:rPr>
          <w:i/>
          <w:vanish/>
          <w:color w:val="000000"/>
          <w:szCs w:val="22"/>
          <w:lang w:val="en-GB"/>
          <w:specVanish/>
        </w:rPr>
      </w:pPr>
      <w:bookmarkStart w:id="1045" w:name="_Toc516053353"/>
      <w:r w:rsidRPr="006A3E91">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143</w:t>
      </w:r>
      <w:r w:rsidR="0073595B">
        <w:rPr>
          <w:color w:val="000000"/>
          <w:szCs w:val="22"/>
          <w:lang w:val="en-GB"/>
        </w:rPr>
        <w:fldChar w:fldCharType="end"/>
      </w:r>
      <w:bookmarkEnd w:id="1043"/>
      <w:r w:rsidRPr="006A3E91">
        <w:rPr>
          <w:color w:val="000000"/>
          <w:szCs w:val="22"/>
          <w:lang w:val="en-GB"/>
        </w:rPr>
        <w:t xml:space="preserve">. </w:t>
      </w:r>
      <w:r w:rsidRPr="006A3E91">
        <w:rPr>
          <w:i/>
          <w:color w:val="000000"/>
          <w:szCs w:val="22"/>
          <w:lang w:val="en-GB"/>
        </w:rPr>
        <w:t>Number of days wind speed is above 25 km. hr</w:t>
      </w:r>
      <w:r w:rsidRPr="006A3E91">
        <w:rPr>
          <w:i/>
          <w:color w:val="000000"/>
          <w:szCs w:val="22"/>
          <w:vertAlign w:val="superscript"/>
          <w:lang w:val="en-GB"/>
        </w:rPr>
        <w:t>-1</w:t>
      </w:r>
      <w:r w:rsidRPr="006A3E91">
        <w:rPr>
          <w:i/>
          <w:color w:val="000000"/>
          <w:szCs w:val="22"/>
          <w:lang w:val="en-GB"/>
        </w:rPr>
        <w:t xml:space="preserve"> each monitoring period in the </w:t>
      </w:r>
      <w:r w:rsidR="001E7797">
        <w:rPr>
          <w:i/>
          <w:color w:val="000000"/>
          <w:szCs w:val="22"/>
          <w:lang w:val="en-GB"/>
        </w:rPr>
        <w:t>Burdekin</w:t>
      </w:r>
      <w:r w:rsidRPr="006A3E91">
        <w:rPr>
          <w:i/>
          <w:color w:val="000000"/>
          <w:szCs w:val="22"/>
          <w:lang w:val="en-GB"/>
        </w:rPr>
        <w:t xml:space="preserve"> NRM region.</w:t>
      </w:r>
      <w:bookmarkEnd w:id="1044"/>
      <w:bookmarkEnd w:id="1045"/>
      <w:r>
        <w:rPr>
          <w:i/>
          <w:color w:val="000000"/>
          <w:szCs w:val="22"/>
          <w:lang w:val="en-GB"/>
        </w:rPr>
        <w:t xml:space="preserve"> </w:t>
      </w:r>
    </w:p>
    <w:p w14:paraId="5D5551BC" w14:textId="77777777" w:rsidR="005F359E" w:rsidRPr="006A3E91" w:rsidRDefault="005F359E" w:rsidP="005F359E">
      <w:pPr>
        <w:rPr>
          <w:i/>
          <w:color w:val="000000"/>
          <w:szCs w:val="22"/>
          <w:lang w:val="en-GB"/>
        </w:rPr>
      </w:pPr>
      <w:r w:rsidRPr="006A3E91">
        <w:rPr>
          <w:i/>
          <w:color w:val="000000"/>
          <w:szCs w:val="22"/>
          <w:lang w:val="en-GB"/>
        </w:rPr>
        <w:t xml:space="preserve"> Daily 3pm wind speed from: a) Townsville Airport (BOM station 032040) located approximately 11km from coastal (Townsville) and reef (Magnetic Island) monitoring sites, and 53km from Jerona (Bowling Green Bay) monitoring sites; and b) Ayr (BOM station 033002), located approximately 26km from from Jerona (Bowling Green Bay) monitoring sites.</w:t>
      </w:r>
      <w:r>
        <w:rPr>
          <w:i/>
          <w:color w:val="000000"/>
          <w:szCs w:val="22"/>
          <w:lang w:val="en-GB"/>
        </w:rPr>
        <w:t xml:space="preserve"> </w:t>
      </w:r>
    </w:p>
    <w:p w14:paraId="2D2D900F" w14:textId="77777777" w:rsidR="005F359E" w:rsidRPr="00C40711" w:rsidRDefault="005F359E" w:rsidP="005F359E">
      <w:pPr>
        <w:rPr>
          <w:color w:val="000000"/>
          <w:szCs w:val="22"/>
          <w:lang w:val="en-GB"/>
        </w:rPr>
      </w:pPr>
    </w:p>
    <w:p w14:paraId="47FC6577" w14:textId="2194B29F" w:rsidR="005F359E" w:rsidRDefault="00E2010B" w:rsidP="00C451D2">
      <w:pPr>
        <w:keepNext/>
        <w:widowControl w:val="0"/>
        <w:spacing w:after="0"/>
        <w:jc w:val="center"/>
        <w:rPr>
          <w:color w:val="000000"/>
          <w:szCs w:val="22"/>
          <w:lang w:val="en-GB"/>
        </w:rPr>
      </w:pPr>
      <w:bookmarkStart w:id="1046" w:name="_Ref382207362"/>
      <w:bookmarkStart w:id="1047" w:name="_Toc431493998"/>
      <w:r>
        <w:rPr>
          <w:noProof/>
          <w:color w:val="000000"/>
          <w:szCs w:val="22"/>
          <w:lang w:eastAsia="en-AU"/>
        </w:rPr>
        <w:drawing>
          <wp:inline distT="0" distB="0" distL="0" distR="0" wp14:anchorId="609552F4" wp14:editId="4F16C4D0">
            <wp:extent cx="4319999" cy="2916923"/>
            <wp:effectExtent l="0" t="0" r="4445" b="0"/>
            <wp:docPr id="74" name="Picture 74" descr="Set of three bar charts showing number of days of wind speed above 25 km. hr-1 each monitoring period for each location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Wind_25Kn.png"/>
                    <pic:cNvPicPr/>
                  </pic:nvPicPr>
                  <pic:blipFill>
                    <a:blip r:embed="rId236"/>
                    <a:stretch>
                      <a:fillRect/>
                    </a:stretch>
                  </pic:blipFill>
                  <pic:spPr>
                    <a:xfrm>
                      <a:off x="0" y="0"/>
                      <a:ext cx="4319999" cy="2916923"/>
                    </a:xfrm>
                    <a:prstGeom prst="rect">
                      <a:avLst/>
                    </a:prstGeom>
                  </pic:spPr>
                </pic:pic>
              </a:graphicData>
            </a:graphic>
          </wp:inline>
        </w:drawing>
      </w:r>
    </w:p>
    <w:p w14:paraId="38CD7427" w14:textId="2813078C" w:rsidR="005F359E" w:rsidRPr="00645107" w:rsidRDefault="005F359E" w:rsidP="005F359E">
      <w:pPr>
        <w:rPr>
          <w:vanish/>
          <w:color w:val="000000"/>
          <w:szCs w:val="22"/>
          <w:lang w:val="en-GB"/>
          <w:specVanish/>
        </w:rPr>
      </w:pPr>
      <w:bookmarkStart w:id="1048" w:name="_Toc516053354"/>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144</w:t>
      </w:r>
      <w:r w:rsidR="0073595B">
        <w:rPr>
          <w:color w:val="000000"/>
          <w:szCs w:val="22"/>
          <w:lang w:val="en-GB"/>
        </w:rPr>
        <w:fldChar w:fldCharType="end"/>
      </w:r>
      <w:bookmarkEnd w:id="1046"/>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Mackay </w:t>
      </w:r>
      <w:r w:rsidRPr="00645107">
        <w:rPr>
          <w:i/>
          <w:color w:val="000000"/>
          <w:szCs w:val="22"/>
          <w:lang w:val="en-GB"/>
        </w:rPr>
        <w:t>Whitsunday NRM region.</w:t>
      </w:r>
      <w:bookmarkEnd w:id="1047"/>
      <w:bookmarkEnd w:id="1048"/>
      <w:r w:rsidRPr="00645107">
        <w:rPr>
          <w:color w:val="000000"/>
          <w:szCs w:val="22"/>
          <w:lang w:val="en-GB"/>
        </w:rPr>
        <w:t xml:space="preserve"> </w:t>
      </w:r>
    </w:p>
    <w:p w14:paraId="3CEDC18D" w14:textId="545333F5" w:rsidR="005F359E" w:rsidRPr="004D5ED7" w:rsidRDefault="005F359E" w:rsidP="005F359E">
      <w:pPr>
        <w:rPr>
          <w:color w:val="000000"/>
          <w:szCs w:val="22"/>
          <w:lang w:val="en-GB"/>
        </w:rPr>
      </w:pPr>
      <w:r w:rsidRPr="00645107">
        <w:rPr>
          <w:i/>
          <w:color w:val="000000"/>
          <w:szCs w:val="22"/>
          <w:lang w:val="en-GB"/>
        </w:rPr>
        <w:t xml:space="preserve"> Daily 3pm wind speed from: a) Proserpine Post Office (BOM station 33316) (post June 2011), located 18km from </w:t>
      </w:r>
      <w:r w:rsidR="00207564" w:rsidRPr="00645107">
        <w:rPr>
          <w:i/>
          <w:color w:val="000000"/>
          <w:szCs w:val="22"/>
          <w:lang w:val="en-GB"/>
        </w:rPr>
        <w:t>Midge Point</w:t>
      </w:r>
      <w:r w:rsidRPr="00645107">
        <w:rPr>
          <w:i/>
          <w:color w:val="000000"/>
          <w:szCs w:val="22"/>
          <w:lang w:val="en-GB"/>
        </w:rPr>
        <w:t xml:space="preserve"> monitoring sites; b) Hamilton Island (BOM station</w:t>
      </w:r>
      <w:r w:rsidRPr="004D5ED7">
        <w:rPr>
          <w:i/>
          <w:color w:val="000000"/>
          <w:szCs w:val="22"/>
          <w:lang w:val="en-GB"/>
        </w:rPr>
        <w:t xml:space="preserve"> 033106), located 1.5km from Hamilton Island monitoring sites; and c) Mackay Airport (BOM station 033045, source www.bom.gov.au), approximately 28km from Sarina Inlet monitoring sites</w:t>
      </w:r>
      <w:r w:rsidRPr="004D5ED7">
        <w:rPr>
          <w:color w:val="000000"/>
          <w:szCs w:val="22"/>
          <w:lang w:val="en-GB"/>
        </w:rPr>
        <w:t>.</w:t>
      </w:r>
      <w:r>
        <w:rPr>
          <w:color w:val="000000"/>
          <w:szCs w:val="22"/>
          <w:lang w:val="en-GB"/>
        </w:rPr>
        <w:t xml:space="preserve"> </w:t>
      </w:r>
    </w:p>
    <w:p w14:paraId="08271FB5" w14:textId="77777777" w:rsidR="005F359E" w:rsidRDefault="005F359E" w:rsidP="005F359E">
      <w:pPr>
        <w:rPr>
          <w:color w:val="000000"/>
          <w:szCs w:val="22"/>
          <w:lang w:val="en-GB"/>
        </w:rPr>
      </w:pPr>
    </w:p>
    <w:p w14:paraId="0FDAF261" w14:textId="77777777" w:rsidR="00E2010B" w:rsidRDefault="00E2010B" w:rsidP="005F359E">
      <w:pPr>
        <w:rPr>
          <w:color w:val="000000"/>
          <w:szCs w:val="22"/>
          <w:lang w:val="en-GB"/>
        </w:rPr>
      </w:pPr>
    </w:p>
    <w:p w14:paraId="5D912CB5" w14:textId="77777777" w:rsidR="00E2010B" w:rsidRDefault="00E2010B" w:rsidP="005F359E">
      <w:pPr>
        <w:rPr>
          <w:color w:val="000000"/>
          <w:szCs w:val="22"/>
          <w:lang w:val="en-GB"/>
        </w:rPr>
      </w:pPr>
    </w:p>
    <w:p w14:paraId="256D01CF" w14:textId="77777777" w:rsidR="00E2010B" w:rsidRPr="004D5ED7" w:rsidRDefault="00E2010B" w:rsidP="005F359E">
      <w:pPr>
        <w:rPr>
          <w:color w:val="000000"/>
          <w:szCs w:val="22"/>
          <w:lang w:val="en-GB"/>
        </w:rPr>
      </w:pPr>
    </w:p>
    <w:p w14:paraId="5FF8224B" w14:textId="77777777" w:rsidR="005F359E" w:rsidRPr="00E079F2" w:rsidRDefault="005F359E" w:rsidP="005F359E">
      <w:pPr>
        <w:rPr>
          <w:color w:val="000000"/>
          <w:szCs w:val="22"/>
          <w:lang w:val="en-GB"/>
        </w:rPr>
      </w:pPr>
    </w:p>
    <w:p w14:paraId="4D487249" w14:textId="14F00566" w:rsidR="005F359E" w:rsidRDefault="00E2010B" w:rsidP="00C451D2">
      <w:pPr>
        <w:keepNext/>
        <w:widowControl w:val="0"/>
        <w:spacing w:after="0"/>
        <w:jc w:val="center"/>
        <w:rPr>
          <w:color w:val="000000"/>
          <w:szCs w:val="22"/>
          <w:lang w:val="en-GB"/>
        </w:rPr>
      </w:pPr>
      <w:bookmarkStart w:id="1049" w:name="_Ref382210314"/>
      <w:bookmarkStart w:id="1050" w:name="_Toc431494002"/>
      <w:r>
        <w:rPr>
          <w:noProof/>
          <w:color w:val="000000"/>
          <w:szCs w:val="22"/>
          <w:lang w:eastAsia="en-AU"/>
        </w:rPr>
        <w:drawing>
          <wp:inline distT="0" distB="0" distL="0" distR="0" wp14:anchorId="570BD89E" wp14:editId="5246FF6B">
            <wp:extent cx="4319999" cy="2658461"/>
            <wp:effectExtent l="0" t="0" r="4445" b="8890"/>
            <wp:docPr id="75" name="Picture 75" descr="Set of three bar charts showing number of days of wind speed above 25 km. hr-1 each monitoring period for each location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Wind_25Kn.png"/>
                    <pic:cNvPicPr/>
                  </pic:nvPicPr>
                  <pic:blipFill>
                    <a:blip r:embed="rId237"/>
                    <a:stretch>
                      <a:fillRect/>
                    </a:stretch>
                  </pic:blipFill>
                  <pic:spPr>
                    <a:xfrm>
                      <a:off x="0" y="0"/>
                      <a:ext cx="4319999" cy="2658461"/>
                    </a:xfrm>
                    <a:prstGeom prst="rect">
                      <a:avLst/>
                    </a:prstGeom>
                  </pic:spPr>
                </pic:pic>
              </a:graphicData>
            </a:graphic>
          </wp:inline>
        </w:drawing>
      </w:r>
    </w:p>
    <w:p w14:paraId="6F552898" w14:textId="74ED4489" w:rsidR="005F359E" w:rsidRPr="00A93D8C" w:rsidRDefault="005F359E" w:rsidP="005F359E">
      <w:pPr>
        <w:rPr>
          <w:vanish/>
          <w:color w:val="000000"/>
          <w:szCs w:val="22"/>
          <w:lang w:val="en-GB"/>
          <w:specVanish/>
        </w:rPr>
      </w:pPr>
      <w:bookmarkStart w:id="1051" w:name="_Toc516053355"/>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145</w:t>
      </w:r>
      <w:r w:rsidR="0073595B">
        <w:rPr>
          <w:color w:val="000000"/>
          <w:szCs w:val="22"/>
          <w:lang w:val="en-GB"/>
        </w:rPr>
        <w:fldChar w:fldCharType="end"/>
      </w:r>
      <w:bookmarkEnd w:id="1049"/>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Fitzroy NRM region.</w:t>
      </w:r>
      <w:bookmarkEnd w:id="1050"/>
      <w:bookmarkEnd w:id="1051"/>
      <w:r>
        <w:rPr>
          <w:color w:val="000000"/>
          <w:szCs w:val="22"/>
          <w:lang w:val="en-GB"/>
        </w:rPr>
        <w:t xml:space="preserve"> </w:t>
      </w:r>
    </w:p>
    <w:p w14:paraId="31033366" w14:textId="77777777" w:rsidR="005F359E" w:rsidRPr="004D5ED7" w:rsidRDefault="005F359E" w:rsidP="005F359E">
      <w:pPr>
        <w:rPr>
          <w:color w:val="000000"/>
          <w:szCs w:val="22"/>
          <w:lang w:val="en-GB"/>
        </w:rPr>
      </w:pPr>
      <w:r w:rsidRPr="004D5ED7">
        <w:rPr>
          <w:i/>
          <w:color w:val="000000"/>
          <w:szCs w:val="22"/>
          <w:lang w:val="en-GB"/>
        </w:rPr>
        <w:t xml:space="preserve"> Daily 3pm wind speed from: a) Williamson, Shoalwater Bay (BOM station 033260), located 10km from the monitoring sites; b) Yeppoon (BOM station 033106), approximately 22km from monitoring sites; and c) Gladstone Airport (BOM station 039123), located approximately 13km from monitoring sites.</w:t>
      </w:r>
      <w:r>
        <w:rPr>
          <w:color w:val="000000"/>
          <w:szCs w:val="22"/>
          <w:lang w:val="en-GB"/>
        </w:rPr>
        <w:t xml:space="preserve"> </w:t>
      </w:r>
    </w:p>
    <w:p w14:paraId="05C8D170" w14:textId="77777777" w:rsidR="005F359E" w:rsidRPr="00EE1AAC" w:rsidRDefault="005F359E" w:rsidP="005F359E">
      <w:pPr>
        <w:rPr>
          <w:color w:val="000000"/>
          <w:szCs w:val="22"/>
          <w:lang w:val="en-GB"/>
        </w:rPr>
      </w:pPr>
    </w:p>
    <w:p w14:paraId="041766C5" w14:textId="220E33F5" w:rsidR="005F359E" w:rsidRDefault="00E2010B" w:rsidP="00C451D2">
      <w:pPr>
        <w:keepNext/>
        <w:widowControl w:val="0"/>
        <w:spacing w:after="0"/>
        <w:jc w:val="center"/>
        <w:rPr>
          <w:color w:val="000000"/>
          <w:szCs w:val="22"/>
          <w:lang w:val="en-GB"/>
        </w:rPr>
      </w:pPr>
      <w:bookmarkStart w:id="1052" w:name="_Ref380335409"/>
      <w:bookmarkStart w:id="1053" w:name="_Toc431494005"/>
      <w:r>
        <w:rPr>
          <w:noProof/>
          <w:color w:val="000000"/>
          <w:szCs w:val="22"/>
          <w:lang w:eastAsia="en-AU"/>
        </w:rPr>
        <w:drawing>
          <wp:inline distT="0" distB="0" distL="0" distR="0" wp14:anchorId="15EC01AB" wp14:editId="5DCB127D">
            <wp:extent cx="4319999" cy="2658461"/>
            <wp:effectExtent l="0" t="0" r="4445" b="8890"/>
            <wp:docPr id="76" name="Picture 76" descr="Set of three bar charts showing number of days of wind speed above 25 km. hr-1 each monitoring period for each location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Wind_25Kn.png"/>
                    <pic:cNvPicPr/>
                  </pic:nvPicPr>
                  <pic:blipFill>
                    <a:blip r:embed="rId238"/>
                    <a:stretch>
                      <a:fillRect/>
                    </a:stretch>
                  </pic:blipFill>
                  <pic:spPr>
                    <a:xfrm>
                      <a:off x="0" y="0"/>
                      <a:ext cx="4319999" cy="2658461"/>
                    </a:xfrm>
                    <a:prstGeom prst="rect">
                      <a:avLst/>
                    </a:prstGeom>
                  </pic:spPr>
                </pic:pic>
              </a:graphicData>
            </a:graphic>
          </wp:inline>
        </w:drawing>
      </w:r>
    </w:p>
    <w:p w14:paraId="10CE4612" w14:textId="65E27755" w:rsidR="005F359E" w:rsidRPr="00A93D8C" w:rsidRDefault="005F359E" w:rsidP="005F359E">
      <w:pPr>
        <w:rPr>
          <w:vanish/>
          <w:color w:val="000000"/>
          <w:szCs w:val="22"/>
          <w:lang w:val="en-GB"/>
          <w:specVanish/>
        </w:rPr>
      </w:pPr>
      <w:bookmarkStart w:id="1054" w:name="_Toc516053356"/>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146</w:t>
      </w:r>
      <w:r w:rsidR="0073595B">
        <w:rPr>
          <w:color w:val="000000"/>
          <w:szCs w:val="22"/>
          <w:lang w:val="en-GB"/>
        </w:rPr>
        <w:fldChar w:fldCharType="end"/>
      </w:r>
      <w:bookmarkEnd w:id="1052"/>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Burnett Mary NRM region.</w:t>
      </w:r>
      <w:bookmarkEnd w:id="1053"/>
      <w:bookmarkEnd w:id="1054"/>
      <w:r>
        <w:rPr>
          <w:color w:val="000000"/>
          <w:szCs w:val="22"/>
          <w:lang w:val="en-GB"/>
        </w:rPr>
        <w:t xml:space="preserve"> </w:t>
      </w:r>
      <w:r w:rsidRPr="004D5ED7">
        <w:rPr>
          <w:i/>
          <w:color w:val="000000"/>
          <w:szCs w:val="22"/>
          <w:lang w:val="en-GB"/>
        </w:rPr>
        <w:t xml:space="preserve"> </w:t>
      </w:r>
    </w:p>
    <w:p w14:paraId="5462E459" w14:textId="77777777" w:rsidR="005F359E" w:rsidRPr="004D5ED7" w:rsidRDefault="005F359E" w:rsidP="005F359E">
      <w:pPr>
        <w:rPr>
          <w:color w:val="000000"/>
          <w:szCs w:val="22"/>
          <w:lang w:val="en-GB"/>
        </w:rPr>
      </w:pPr>
      <w:r w:rsidRPr="004D5ED7">
        <w:rPr>
          <w:i/>
          <w:color w:val="000000"/>
          <w:szCs w:val="22"/>
          <w:lang w:val="en-GB"/>
        </w:rPr>
        <w:t>Daily 3pm wind speed from: a) Seventeen Seventy (BOM station 039314), approximately 27km from Rodds Bay monitoring sites; and b) Hervey Bay Airport (BOM station 040405), approximately 3km from Urangan monitoring sites.</w:t>
      </w:r>
      <w:r>
        <w:rPr>
          <w:color w:val="000000"/>
          <w:szCs w:val="22"/>
          <w:lang w:val="en-GB"/>
        </w:rPr>
        <w:t xml:space="preserve"> </w:t>
      </w:r>
    </w:p>
    <w:p w14:paraId="38E6242E" w14:textId="77777777" w:rsidR="00842050" w:rsidRDefault="00842050" w:rsidP="00E82D2E">
      <w:pPr>
        <w:rPr>
          <w:lang w:val="en-GB"/>
        </w:rPr>
      </w:pPr>
    </w:p>
    <w:p w14:paraId="7006CBF4" w14:textId="77777777" w:rsidR="00273002" w:rsidRDefault="00273002">
      <w:pPr>
        <w:spacing w:before="0" w:after="0"/>
        <w:rPr>
          <w:lang w:val="en-GB"/>
        </w:rPr>
      </w:pPr>
      <w:r>
        <w:rPr>
          <w:lang w:val="en-GB"/>
        </w:rPr>
        <w:br w:type="page"/>
      </w:r>
    </w:p>
    <w:p w14:paraId="4FCB4846" w14:textId="0CAEB667" w:rsidR="00273002" w:rsidRPr="00F12624" w:rsidRDefault="00273002" w:rsidP="00F12624">
      <w:pPr>
        <w:pStyle w:val="Heading3"/>
        <w:rPr>
          <w:rFonts w:asciiTheme="minorHAnsi" w:hAnsiTheme="minorHAnsi"/>
          <w:sz w:val="24"/>
          <w:szCs w:val="24"/>
        </w:rPr>
      </w:pPr>
      <w:bookmarkStart w:id="1055" w:name="_Toc516053201"/>
      <w:r w:rsidRPr="00F12624">
        <w:rPr>
          <w:rFonts w:asciiTheme="minorHAnsi" w:hAnsiTheme="minorHAnsi"/>
          <w:sz w:val="24"/>
          <w:szCs w:val="24"/>
        </w:rPr>
        <w:t>Tidal exposure</w:t>
      </w:r>
      <w:bookmarkEnd w:id="1055"/>
    </w:p>
    <w:p w14:paraId="44A0905A" w14:textId="77777777" w:rsidR="00273002" w:rsidRDefault="00273002" w:rsidP="00273002">
      <w:pPr>
        <w:rPr>
          <w:color w:val="000000"/>
          <w:szCs w:val="22"/>
        </w:rPr>
      </w:pPr>
    </w:p>
    <w:p w14:paraId="5ECEAE40" w14:textId="2EFCD6BA" w:rsidR="00273002" w:rsidRPr="002816DF" w:rsidRDefault="00273002" w:rsidP="00273002">
      <w:pPr>
        <w:jc w:val="center"/>
        <w:rPr>
          <w:i/>
          <w:vanish/>
          <w:specVanish/>
        </w:rPr>
      </w:pPr>
      <w:bookmarkStart w:id="1056" w:name="_Ref409806677"/>
      <w:bookmarkStart w:id="1057" w:name="_Toc431494052"/>
      <w:bookmarkStart w:id="1058" w:name="_Toc516053475"/>
      <w:r w:rsidRPr="002816DF">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51</w:t>
      </w:r>
      <w:r w:rsidR="00C506C7">
        <w:rPr>
          <w:noProof/>
        </w:rPr>
        <w:fldChar w:fldCharType="end"/>
      </w:r>
      <w:bookmarkEnd w:id="1056"/>
      <w:r w:rsidRPr="002816DF">
        <w:t xml:space="preserve">. </w:t>
      </w:r>
      <w:r w:rsidRPr="002816DF">
        <w:rPr>
          <w:i/>
        </w:rPr>
        <w:t>Height of intertidal monitoring meadows/sites above Lowest Astronomical Tide (LAT) and annual daytime tidal exposure (total hours) when meadows become exposed at a low tide.</w:t>
      </w:r>
      <w:bookmarkEnd w:id="1057"/>
      <w:bookmarkEnd w:id="1058"/>
      <w:r w:rsidRPr="002816DF">
        <w:rPr>
          <w:i/>
        </w:rPr>
        <w:t xml:space="preserve"> </w:t>
      </w:r>
    </w:p>
    <w:p w14:paraId="26D81027" w14:textId="77777777" w:rsidR="00DE79BD" w:rsidRPr="002816DF" w:rsidRDefault="00273002" w:rsidP="00DE79BD">
      <w:pPr>
        <w:jc w:val="center"/>
        <w:rPr>
          <w:i/>
        </w:rPr>
      </w:pPr>
      <w:r w:rsidRPr="002816DF">
        <w:rPr>
          <w:i/>
        </w:rPr>
        <w:t xml:space="preserve"> Year is June - May. Observed tidal heights courtesy Maritime Safety Queensland, 201</w:t>
      </w:r>
      <w:r w:rsidR="002816DF" w:rsidRPr="002816DF">
        <w:rPr>
          <w:i/>
        </w:rPr>
        <w:t>6</w:t>
      </w:r>
      <w:r w:rsidRPr="002816DF">
        <w:rPr>
          <w:i/>
        </w:rPr>
        <w:t xml:space="preserve">. </w:t>
      </w:r>
      <w:r w:rsidRPr="002816DF">
        <w:rPr>
          <w:i/>
          <w:szCs w:val="22"/>
        </w:rPr>
        <w:t>NB: Meadow heights have not yet been determined in the far northern Cape York.</w:t>
      </w:r>
      <w:r w:rsidRPr="002816DF">
        <w:rPr>
          <w:i/>
        </w:rPr>
        <w:t xml:space="preserve"> </w:t>
      </w:r>
    </w:p>
    <w:tbl>
      <w:tblPr>
        <w:tblW w:w="9886" w:type="dxa"/>
        <w:jc w:val="center"/>
        <w:tblLook w:val="04A0" w:firstRow="1" w:lastRow="0" w:firstColumn="1" w:lastColumn="0" w:noHBand="0" w:noVBand="1"/>
      </w:tblPr>
      <w:tblGrid>
        <w:gridCol w:w="619"/>
        <w:gridCol w:w="619"/>
        <w:gridCol w:w="1083"/>
        <w:gridCol w:w="993"/>
        <w:gridCol w:w="1362"/>
        <w:gridCol w:w="1329"/>
        <w:gridCol w:w="1340"/>
        <w:gridCol w:w="1174"/>
        <w:gridCol w:w="1367"/>
      </w:tblGrid>
      <w:tr w:rsidR="00DE79BD" w14:paraId="7FE0C6D2" w14:textId="77777777" w:rsidTr="00DE79BD">
        <w:trPr>
          <w:trHeight w:val="276"/>
          <w:jc w:val="center"/>
        </w:trPr>
        <w:tc>
          <w:tcPr>
            <w:tcW w:w="619" w:type="dxa"/>
            <w:tcBorders>
              <w:top w:val="single" w:sz="4" w:space="0" w:color="auto"/>
              <w:bottom w:val="single" w:sz="4" w:space="0" w:color="auto"/>
            </w:tcBorders>
            <w:shd w:val="clear" w:color="auto" w:fill="BBE0E3"/>
            <w:vAlign w:val="center"/>
            <w:hideMark/>
          </w:tcPr>
          <w:p w14:paraId="49F06010" w14:textId="77777777" w:rsidR="00DE79BD" w:rsidRPr="001D139D" w:rsidRDefault="00DE79BD" w:rsidP="00DD3BAE">
            <w:pPr>
              <w:spacing w:before="0" w:after="0"/>
              <w:jc w:val="center"/>
              <w:rPr>
                <w:b/>
                <w:color w:val="000000"/>
                <w:sz w:val="16"/>
                <w:szCs w:val="16"/>
              </w:rPr>
            </w:pPr>
            <w:r w:rsidRPr="001D139D">
              <w:rPr>
                <w:b/>
                <w:color w:val="000000"/>
                <w:sz w:val="16"/>
                <w:szCs w:val="16"/>
              </w:rPr>
              <w:t>NRM</w:t>
            </w:r>
          </w:p>
        </w:tc>
        <w:tc>
          <w:tcPr>
            <w:tcW w:w="619" w:type="dxa"/>
            <w:tcBorders>
              <w:top w:val="single" w:sz="4" w:space="0" w:color="auto"/>
              <w:bottom w:val="single" w:sz="4" w:space="0" w:color="auto"/>
            </w:tcBorders>
            <w:shd w:val="clear" w:color="auto" w:fill="BBE0E3"/>
            <w:noWrap/>
            <w:vAlign w:val="center"/>
            <w:hideMark/>
          </w:tcPr>
          <w:p w14:paraId="25A232FC" w14:textId="77777777" w:rsidR="00DE79BD" w:rsidRPr="001D139D" w:rsidRDefault="00DE79BD" w:rsidP="00DD3BAE">
            <w:pPr>
              <w:spacing w:before="0" w:after="0"/>
              <w:jc w:val="center"/>
              <w:rPr>
                <w:b/>
                <w:color w:val="000000"/>
                <w:sz w:val="16"/>
                <w:szCs w:val="16"/>
              </w:rPr>
            </w:pPr>
            <w:r w:rsidRPr="001D139D">
              <w:rPr>
                <w:b/>
                <w:color w:val="000000"/>
                <w:sz w:val="16"/>
                <w:szCs w:val="16"/>
              </w:rPr>
              <w:t>Site</w:t>
            </w:r>
          </w:p>
        </w:tc>
        <w:tc>
          <w:tcPr>
            <w:tcW w:w="1083" w:type="dxa"/>
            <w:tcBorders>
              <w:top w:val="single" w:sz="4" w:space="0" w:color="auto"/>
              <w:bottom w:val="single" w:sz="4" w:space="0" w:color="auto"/>
            </w:tcBorders>
            <w:shd w:val="clear" w:color="auto" w:fill="BBE0E3"/>
            <w:vAlign w:val="center"/>
            <w:hideMark/>
          </w:tcPr>
          <w:p w14:paraId="5A8AB9F9" w14:textId="77777777" w:rsidR="00DE79BD" w:rsidRPr="001D139D" w:rsidRDefault="00DE79BD" w:rsidP="00DD3BAE">
            <w:pPr>
              <w:spacing w:before="0" w:after="0"/>
              <w:jc w:val="center"/>
              <w:rPr>
                <w:b/>
                <w:color w:val="000000"/>
                <w:sz w:val="16"/>
                <w:szCs w:val="16"/>
              </w:rPr>
            </w:pPr>
            <w:r w:rsidRPr="001D139D">
              <w:rPr>
                <w:b/>
                <w:color w:val="000000"/>
                <w:sz w:val="16"/>
                <w:szCs w:val="16"/>
              </w:rPr>
              <w:t>Meadow</w:t>
            </w:r>
          </w:p>
          <w:p w14:paraId="170D69CA" w14:textId="77777777" w:rsidR="00DE79BD" w:rsidRPr="001D139D" w:rsidRDefault="00DE79BD" w:rsidP="00DD3BAE">
            <w:pPr>
              <w:spacing w:before="0" w:after="0"/>
              <w:jc w:val="center"/>
              <w:rPr>
                <w:b/>
                <w:color w:val="000000"/>
                <w:sz w:val="16"/>
                <w:szCs w:val="16"/>
              </w:rPr>
            </w:pPr>
            <w:r w:rsidRPr="001D139D">
              <w:rPr>
                <w:b/>
                <w:color w:val="000000"/>
                <w:sz w:val="16"/>
                <w:szCs w:val="16"/>
              </w:rPr>
              <w:t>height</w:t>
            </w:r>
          </w:p>
          <w:p w14:paraId="78A0262C" w14:textId="77777777" w:rsidR="00DE79BD" w:rsidRPr="001D139D" w:rsidRDefault="00DE79BD" w:rsidP="00DD3BAE">
            <w:pPr>
              <w:spacing w:before="0" w:after="0"/>
              <w:jc w:val="center"/>
              <w:rPr>
                <w:b/>
                <w:color w:val="000000"/>
                <w:sz w:val="16"/>
                <w:szCs w:val="16"/>
              </w:rPr>
            </w:pPr>
            <w:r w:rsidRPr="001D139D">
              <w:rPr>
                <w:b/>
                <w:color w:val="000000"/>
                <w:sz w:val="16"/>
                <w:szCs w:val="16"/>
              </w:rPr>
              <w:t>(above LAT)</w:t>
            </w:r>
          </w:p>
        </w:tc>
        <w:tc>
          <w:tcPr>
            <w:tcW w:w="993" w:type="dxa"/>
            <w:tcBorders>
              <w:top w:val="single" w:sz="4" w:space="0" w:color="auto"/>
              <w:bottom w:val="single" w:sz="4" w:space="0" w:color="auto"/>
            </w:tcBorders>
            <w:shd w:val="clear" w:color="auto" w:fill="BBE0E3"/>
            <w:vAlign w:val="center"/>
            <w:hideMark/>
          </w:tcPr>
          <w:p w14:paraId="32E5643D" w14:textId="77777777" w:rsidR="00DE79BD" w:rsidRPr="001D139D" w:rsidRDefault="00DE79BD" w:rsidP="00DD3BAE">
            <w:pPr>
              <w:spacing w:before="0" w:after="0"/>
              <w:jc w:val="center"/>
              <w:rPr>
                <w:b/>
                <w:color w:val="000000"/>
                <w:sz w:val="16"/>
                <w:szCs w:val="16"/>
              </w:rPr>
            </w:pPr>
            <w:r w:rsidRPr="001D139D">
              <w:rPr>
                <w:b/>
                <w:color w:val="000000"/>
                <w:sz w:val="16"/>
                <w:szCs w:val="16"/>
              </w:rPr>
              <w:t>Site depth</w:t>
            </w:r>
          </w:p>
          <w:p w14:paraId="2543548C" w14:textId="77777777" w:rsidR="00DE79BD" w:rsidRPr="001D139D" w:rsidRDefault="00DE79BD" w:rsidP="00DD3BAE">
            <w:pPr>
              <w:spacing w:before="0" w:after="0"/>
              <w:jc w:val="center"/>
              <w:rPr>
                <w:b/>
                <w:color w:val="000000"/>
                <w:sz w:val="16"/>
                <w:szCs w:val="16"/>
              </w:rPr>
            </w:pPr>
            <w:r w:rsidRPr="001D139D">
              <w:rPr>
                <w:b/>
                <w:color w:val="000000"/>
                <w:sz w:val="16"/>
                <w:szCs w:val="16"/>
              </w:rPr>
              <w:t>(bMSL)</w:t>
            </w:r>
          </w:p>
        </w:tc>
        <w:tc>
          <w:tcPr>
            <w:tcW w:w="1362" w:type="dxa"/>
            <w:tcBorders>
              <w:top w:val="single" w:sz="4" w:space="0" w:color="auto"/>
              <w:bottom w:val="single" w:sz="4" w:space="0" w:color="auto"/>
            </w:tcBorders>
            <w:shd w:val="clear" w:color="auto" w:fill="BBE0E3"/>
            <w:noWrap/>
            <w:vAlign w:val="center"/>
            <w:hideMark/>
          </w:tcPr>
          <w:p w14:paraId="230F5747" w14:textId="77777777" w:rsidR="00DE79BD" w:rsidRPr="001D139D" w:rsidRDefault="00DE79BD" w:rsidP="00DD3BAE">
            <w:pPr>
              <w:spacing w:before="0" w:after="0"/>
              <w:jc w:val="center"/>
              <w:rPr>
                <w:b/>
                <w:color w:val="000000"/>
                <w:sz w:val="16"/>
                <w:szCs w:val="16"/>
              </w:rPr>
            </w:pPr>
            <w:r w:rsidRPr="001D139D">
              <w:rPr>
                <w:b/>
                <w:color w:val="000000"/>
                <w:sz w:val="16"/>
                <w:szCs w:val="16"/>
              </w:rPr>
              <w:t>Meadow height</w:t>
            </w:r>
          </w:p>
          <w:p w14:paraId="1E93FF29" w14:textId="77777777" w:rsidR="00DE79BD" w:rsidRPr="001D139D" w:rsidRDefault="00DE79BD" w:rsidP="00DD3BAE">
            <w:pPr>
              <w:spacing w:before="0" w:after="0"/>
              <w:jc w:val="center"/>
              <w:rPr>
                <w:b/>
                <w:color w:val="000000"/>
                <w:sz w:val="16"/>
                <w:szCs w:val="16"/>
              </w:rPr>
            </w:pPr>
            <w:r w:rsidRPr="001D139D">
              <w:rPr>
                <w:b/>
                <w:color w:val="000000"/>
                <w:sz w:val="16"/>
                <w:szCs w:val="16"/>
              </w:rPr>
              <w:t>(above LAT)</w:t>
            </w:r>
          </w:p>
          <w:p w14:paraId="2EB07C7F" w14:textId="77777777" w:rsidR="00DE79BD" w:rsidRPr="001D139D" w:rsidRDefault="00DE79BD" w:rsidP="00DD3BAE">
            <w:pPr>
              <w:spacing w:before="0" w:after="0"/>
              <w:jc w:val="center"/>
              <w:rPr>
                <w:b/>
                <w:color w:val="000000"/>
                <w:sz w:val="16"/>
                <w:szCs w:val="16"/>
              </w:rPr>
            </w:pPr>
            <w:r w:rsidRPr="001D139D">
              <w:rPr>
                <w:b/>
                <w:color w:val="000000"/>
                <w:sz w:val="16"/>
                <w:szCs w:val="16"/>
              </w:rPr>
              <w:t xml:space="preserve">relative to </w:t>
            </w:r>
          </w:p>
          <w:p w14:paraId="43A4DB3E" w14:textId="77777777" w:rsidR="00DE79BD" w:rsidRPr="001D139D" w:rsidRDefault="00DE79BD" w:rsidP="00DD3BAE">
            <w:pPr>
              <w:spacing w:before="0" w:after="0"/>
              <w:jc w:val="center"/>
              <w:rPr>
                <w:b/>
                <w:color w:val="000000"/>
                <w:sz w:val="16"/>
                <w:szCs w:val="16"/>
              </w:rPr>
            </w:pPr>
            <w:r w:rsidRPr="001D139D">
              <w:rPr>
                <w:b/>
                <w:color w:val="000000"/>
                <w:sz w:val="16"/>
                <w:szCs w:val="16"/>
              </w:rPr>
              <w:t>Standard Port</w:t>
            </w:r>
          </w:p>
        </w:tc>
        <w:tc>
          <w:tcPr>
            <w:tcW w:w="1329" w:type="dxa"/>
            <w:tcBorders>
              <w:top w:val="single" w:sz="4" w:space="0" w:color="auto"/>
              <w:bottom w:val="single" w:sz="4" w:space="0" w:color="auto"/>
            </w:tcBorders>
            <w:shd w:val="clear" w:color="auto" w:fill="BBE0E3"/>
            <w:vAlign w:val="center"/>
            <w:hideMark/>
          </w:tcPr>
          <w:p w14:paraId="267BC1D3" w14:textId="77777777" w:rsidR="00DE79BD" w:rsidRPr="001D139D" w:rsidRDefault="00DE79BD" w:rsidP="00DD3BAE">
            <w:pPr>
              <w:spacing w:before="0" w:after="0"/>
              <w:jc w:val="center"/>
              <w:rPr>
                <w:b/>
                <w:color w:val="000000"/>
                <w:sz w:val="16"/>
                <w:szCs w:val="16"/>
              </w:rPr>
            </w:pPr>
            <w:r w:rsidRPr="001D139D">
              <w:rPr>
                <w:b/>
                <w:color w:val="000000"/>
                <w:sz w:val="16"/>
                <w:szCs w:val="16"/>
              </w:rPr>
              <w:t>Annual median</w:t>
            </w:r>
          </w:p>
          <w:p w14:paraId="74C78F7F" w14:textId="77777777" w:rsidR="00DE79BD" w:rsidRPr="001D139D" w:rsidRDefault="00DE79BD" w:rsidP="00DD3BAE">
            <w:pPr>
              <w:spacing w:before="0" w:after="0"/>
              <w:jc w:val="center"/>
              <w:rPr>
                <w:b/>
                <w:color w:val="000000"/>
                <w:sz w:val="16"/>
                <w:szCs w:val="16"/>
              </w:rPr>
            </w:pPr>
            <w:r w:rsidRPr="001D139D">
              <w:rPr>
                <w:b/>
                <w:color w:val="000000"/>
                <w:sz w:val="16"/>
                <w:szCs w:val="16"/>
              </w:rPr>
              <w:t xml:space="preserve">hours exposed </w:t>
            </w:r>
          </w:p>
          <w:p w14:paraId="26D8DECB" w14:textId="77777777" w:rsidR="00DE79BD" w:rsidRPr="001D139D" w:rsidRDefault="00DE79BD" w:rsidP="00DD3BAE">
            <w:pPr>
              <w:spacing w:before="0" w:after="0"/>
              <w:jc w:val="center"/>
              <w:rPr>
                <w:b/>
                <w:color w:val="000000"/>
                <w:sz w:val="16"/>
                <w:szCs w:val="16"/>
              </w:rPr>
            </w:pPr>
            <w:r w:rsidRPr="001D139D">
              <w:rPr>
                <w:b/>
                <w:color w:val="000000"/>
                <w:sz w:val="16"/>
                <w:szCs w:val="16"/>
              </w:rPr>
              <w:t>during daylight</w:t>
            </w:r>
          </w:p>
          <w:p w14:paraId="68E7DBB3" w14:textId="77777777" w:rsidR="00DE79BD" w:rsidRPr="001D139D" w:rsidRDefault="00DE79BD" w:rsidP="00DD3BAE">
            <w:pPr>
              <w:spacing w:before="0" w:after="0"/>
              <w:jc w:val="center"/>
              <w:rPr>
                <w:b/>
                <w:color w:val="000000"/>
                <w:sz w:val="16"/>
                <w:szCs w:val="16"/>
              </w:rPr>
            </w:pPr>
            <w:r w:rsidRPr="001D139D">
              <w:rPr>
                <w:b/>
                <w:color w:val="000000"/>
                <w:sz w:val="16"/>
                <w:szCs w:val="16"/>
              </w:rPr>
              <w:t>(long-term)</w:t>
            </w:r>
          </w:p>
        </w:tc>
        <w:tc>
          <w:tcPr>
            <w:tcW w:w="1340" w:type="dxa"/>
            <w:tcBorders>
              <w:top w:val="single" w:sz="4" w:space="0" w:color="auto"/>
              <w:bottom w:val="single" w:sz="4" w:space="0" w:color="auto"/>
            </w:tcBorders>
            <w:shd w:val="clear" w:color="auto" w:fill="BBE0E3"/>
            <w:noWrap/>
            <w:vAlign w:val="center"/>
            <w:hideMark/>
          </w:tcPr>
          <w:p w14:paraId="21E44695" w14:textId="77777777" w:rsidR="00DE79BD" w:rsidRDefault="00DE79BD" w:rsidP="00DD3BAE">
            <w:pPr>
              <w:spacing w:before="0" w:after="0"/>
              <w:jc w:val="center"/>
              <w:rPr>
                <w:b/>
                <w:color w:val="000000"/>
                <w:sz w:val="16"/>
                <w:szCs w:val="16"/>
              </w:rPr>
            </w:pPr>
            <w:r>
              <w:rPr>
                <w:b/>
                <w:color w:val="000000"/>
                <w:sz w:val="16"/>
                <w:szCs w:val="16"/>
              </w:rPr>
              <w:t>P</w:t>
            </w:r>
            <w:r w:rsidRPr="001D139D">
              <w:rPr>
                <w:b/>
                <w:color w:val="000000"/>
                <w:sz w:val="16"/>
                <w:szCs w:val="16"/>
              </w:rPr>
              <w:t>er cent</w:t>
            </w:r>
            <w:r>
              <w:rPr>
                <w:b/>
                <w:color w:val="000000"/>
                <w:sz w:val="16"/>
                <w:szCs w:val="16"/>
              </w:rPr>
              <w:t xml:space="preserve"> of</w:t>
            </w:r>
          </w:p>
          <w:p w14:paraId="4D7492D4" w14:textId="77777777" w:rsidR="00DE79BD" w:rsidRDefault="00DE79BD" w:rsidP="00DD3BAE">
            <w:pPr>
              <w:spacing w:before="0" w:after="0"/>
              <w:jc w:val="center"/>
              <w:rPr>
                <w:b/>
                <w:color w:val="000000"/>
                <w:sz w:val="16"/>
                <w:szCs w:val="16"/>
              </w:rPr>
            </w:pPr>
            <w:r w:rsidRPr="001D139D">
              <w:rPr>
                <w:b/>
                <w:color w:val="000000"/>
                <w:sz w:val="16"/>
                <w:szCs w:val="16"/>
              </w:rPr>
              <w:t>annual daylight</w:t>
            </w:r>
          </w:p>
          <w:p w14:paraId="0C319A8C" w14:textId="77777777" w:rsidR="00DE79BD" w:rsidRDefault="00DE79BD" w:rsidP="00DD3BAE">
            <w:pPr>
              <w:spacing w:before="0" w:after="0"/>
              <w:jc w:val="center"/>
              <w:rPr>
                <w:b/>
                <w:color w:val="000000"/>
                <w:sz w:val="16"/>
                <w:szCs w:val="16"/>
              </w:rPr>
            </w:pPr>
            <w:r w:rsidRPr="001D139D">
              <w:rPr>
                <w:b/>
                <w:color w:val="000000"/>
                <w:sz w:val="16"/>
                <w:szCs w:val="16"/>
              </w:rPr>
              <w:t>hours</w:t>
            </w:r>
            <w:r>
              <w:rPr>
                <w:b/>
                <w:color w:val="000000"/>
                <w:sz w:val="16"/>
                <w:szCs w:val="16"/>
              </w:rPr>
              <w:t xml:space="preserve"> m</w:t>
            </w:r>
            <w:r w:rsidRPr="001D139D">
              <w:rPr>
                <w:b/>
                <w:color w:val="000000"/>
                <w:sz w:val="16"/>
                <w:szCs w:val="16"/>
              </w:rPr>
              <w:t>eadow</w:t>
            </w:r>
          </w:p>
          <w:p w14:paraId="6602A3EE" w14:textId="77777777" w:rsidR="00DE79BD" w:rsidRPr="001D139D" w:rsidRDefault="00DE79BD" w:rsidP="00DD3BAE">
            <w:pPr>
              <w:spacing w:before="0" w:after="0"/>
              <w:jc w:val="center"/>
              <w:rPr>
                <w:b/>
                <w:color w:val="000000"/>
                <w:sz w:val="16"/>
                <w:szCs w:val="16"/>
              </w:rPr>
            </w:pPr>
            <w:r>
              <w:rPr>
                <w:b/>
                <w:color w:val="000000"/>
                <w:sz w:val="16"/>
                <w:szCs w:val="16"/>
              </w:rPr>
              <w:t xml:space="preserve">is </w:t>
            </w:r>
            <w:r w:rsidRPr="001D139D">
              <w:rPr>
                <w:b/>
                <w:color w:val="000000"/>
                <w:sz w:val="16"/>
                <w:szCs w:val="16"/>
              </w:rPr>
              <w:t>exposed</w:t>
            </w:r>
          </w:p>
          <w:p w14:paraId="0E57CEB6" w14:textId="77777777" w:rsidR="00DE79BD" w:rsidRPr="001D139D" w:rsidRDefault="00DE79BD" w:rsidP="00DD3BAE">
            <w:pPr>
              <w:spacing w:before="0" w:after="0"/>
              <w:jc w:val="center"/>
              <w:rPr>
                <w:b/>
                <w:color w:val="000000"/>
                <w:sz w:val="16"/>
                <w:szCs w:val="16"/>
              </w:rPr>
            </w:pPr>
            <w:r w:rsidRPr="001D139D">
              <w:rPr>
                <w:b/>
                <w:color w:val="000000"/>
                <w:sz w:val="16"/>
                <w:szCs w:val="16"/>
              </w:rPr>
              <w:t>(long-term)</w:t>
            </w:r>
          </w:p>
        </w:tc>
        <w:tc>
          <w:tcPr>
            <w:tcW w:w="1174" w:type="dxa"/>
            <w:tcBorders>
              <w:top w:val="single" w:sz="4" w:space="0" w:color="auto"/>
              <w:bottom w:val="single" w:sz="4" w:space="0" w:color="auto"/>
            </w:tcBorders>
            <w:shd w:val="clear" w:color="auto" w:fill="BBE0E3"/>
            <w:noWrap/>
            <w:vAlign w:val="center"/>
            <w:hideMark/>
          </w:tcPr>
          <w:p w14:paraId="59A1C926" w14:textId="77777777" w:rsidR="00DE79BD" w:rsidRDefault="00DE79BD" w:rsidP="00DD3BAE">
            <w:pPr>
              <w:spacing w:before="0" w:after="0"/>
              <w:jc w:val="center"/>
              <w:rPr>
                <w:b/>
                <w:color w:val="000000"/>
                <w:sz w:val="16"/>
                <w:szCs w:val="16"/>
              </w:rPr>
            </w:pPr>
            <w:r>
              <w:rPr>
                <w:b/>
                <w:color w:val="000000"/>
                <w:sz w:val="16"/>
                <w:szCs w:val="16"/>
              </w:rPr>
              <w:t>Annual</w:t>
            </w:r>
          </w:p>
          <w:p w14:paraId="2EAE9704" w14:textId="77777777" w:rsidR="00DE79BD" w:rsidRPr="001D139D" w:rsidRDefault="00DE79BD" w:rsidP="00DD3BAE">
            <w:pPr>
              <w:spacing w:before="0" w:after="0"/>
              <w:jc w:val="center"/>
              <w:rPr>
                <w:b/>
                <w:color w:val="000000"/>
                <w:sz w:val="16"/>
                <w:szCs w:val="16"/>
              </w:rPr>
            </w:pPr>
            <w:r w:rsidRPr="001D139D">
              <w:rPr>
                <w:b/>
                <w:color w:val="000000"/>
                <w:sz w:val="16"/>
                <w:szCs w:val="16"/>
              </w:rPr>
              <w:t>daytime</w:t>
            </w:r>
          </w:p>
          <w:p w14:paraId="7AE4309E" w14:textId="77777777" w:rsidR="00DE79BD" w:rsidRPr="001D139D" w:rsidRDefault="00DE79BD" w:rsidP="00DD3BAE">
            <w:pPr>
              <w:spacing w:before="0" w:after="0"/>
              <w:jc w:val="center"/>
              <w:rPr>
                <w:b/>
                <w:color w:val="000000"/>
                <w:sz w:val="16"/>
                <w:szCs w:val="16"/>
              </w:rPr>
            </w:pPr>
            <w:r w:rsidRPr="001D139D">
              <w:rPr>
                <w:b/>
                <w:color w:val="000000"/>
                <w:sz w:val="16"/>
                <w:szCs w:val="16"/>
              </w:rPr>
              <w:t>exposure</w:t>
            </w:r>
          </w:p>
          <w:p w14:paraId="1F2A1822" w14:textId="78A64829" w:rsidR="00DE79BD" w:rsidRPr="001D139D" w:rsidRDefault="008574EC" w:rsidP="00DD3BAE">
            <w:pPr>
              <w:spacing w:before="0" w:after="0"/>
              <w:jc w:val="center"/>
              <w:rPr>
                <w:b/>
                <w:color w:val="000000"/>
                <w:sz w:val="16"/>
                <w:szCs w:val="16"/>
              </w:rPr>
            </w:pPr>
            <w:r>
              <w:rPr>
                <w:b/>
                <w:color w:val="000000"/>
                <w:sz w:val="16"/>
                <w:szCs w:val="16"/>
              </w:rPr>
              <w:t>2016–17</w:t>
            </w:r>
            <w:r w:rsidR="00DE79BD" w:rsidRPr="001D139D">
              <w:rPr>
                <w:b/>
                <w:color w:val="000000"/>
                <w:sz w:val="16"/>
                <w:szCs w:val="16"/>
              </w:rPr>
              <w:t xml:space="preserve"> (hrs)</w:t>
            </w:r>
          </w:p>
        </w:tc>
        <w:tc>
          <w:tcPr>
            <w:tcW w:w="1367" w:type="dxa"/>
            <w:tcBorders>
              <w:top w:val="single" w:sz="4" w:space="0" w:color="auto"/>
              <w:bottom w:val="single" w:sz="4" w:space="0" w:color="auto"/>
            </w:tcBorders>
            <w:shd w:val="clear" w:color="auto" w:fill="BBE0E3"/>
          </w:tcPr>
          <w:p w14:paraId="2CEC9836" w14:textId="77777777" w:rsidR="00DE79BD" w:rsidRDefault="00DE79BD" w:rsidP="00DD3BAE">
            <w:pPr>
              <w:spacing w:before="0" w:after="0"/>
              <w:jc w:val="center"/>
              <w:rPr>
                <w:b/>
                <w:color w:val="000000"/>
                <w:sz w:val="16"/>
                <w:szCs w:val="16"/>
              </w:rPr>
            </w:pPr>
            <w:r>
              <w:rPr>
                <w:b/>
                <w:color w:val="000000"/>
                <w:sz w:val="16"/>
                <w:szCs w:val="16"/>
              </w:rPr>
              <w:t>P</w:t>
            </w:r>
            <w:r w:rsidRPr="001D139D">
              <w:rPr>
                <w:b/>
                <w:color w:val="000000"/>
                <w:sz w:val="16"/>
                <w:szCs w:val="16"/>
              </w:rPr>
              <w:t>er cent</w:t>
            </w:r>
            <w:r>
              <w:rPr>
                <w:b/>
                <w:color w:val="000000"/>
                <w:sz w:val="16"/>
                <w:szCs w:val="16"/>
              </w:rPr>
              <w:t xml:space="preserve"> of</w:t>
            </w:r>
          </w:p>
          <w:p w14:paraId="0B980A84" w14:textId="77777777" w:rsidR="00DE79BD" w:rsidRDefault="00DE79BD" w:rsidP="00DD3BAE">
            <w:pPr>
              <w:spacing w:before="0" w:after="0"/>
              <w:jc w:val="center"/>
              <w:rPr>
                <w:b/>
                <w:color w:val="000000"/>
                <w:sz w:val="16"/>
                <w:szCs w:val="16"/>
              </w:rPr>
            </w:pPr>
            <w:r w:rsidRPr="001D139D">
              <w:rPr>
                <w:b/>
                <w:color w:val="000000"/>
                <w:sz w:val="16"/>
                <w:szCs w:val="16"/>
              </w:rPr>
              <w:t>annual daylight</w:t>
            </w:r>
          </w:p>
          <w:p w14:paraId="62D81496" w14:textId="77777777" w:rsidR="00DE79BD" w:rsidRDefault="00DE79BD" w:rsidP="00DD3BAE">
            <w:pPr>
              <w:spacing w:before="0" w:after="0"/>
              <w:jc w:val="center"/>
              <w:rPr>
                <w:b/>
                <w:color w:val="000000"/>
                <w:sz w:val="16"/>
                <w:szCs w:val="16"/>
              </w:rPr>
            </w:pPr>
            <w:r w:rsidRPr="001D139D">
              <w:rPr>
                <w:b/>
                <w:color w:val="000000"/>
                <w:sz w:val="16"/>
                <w:szCs w:val="16"/>
              </w:rPr>
              <w:t>hours</w:t>
            </w:r>
            <w:r>
              <w:rPr>
                <w:b/>
                <w:color w:val="000000"/>
                <w:sz w:val="16"/>
                <w:szCs w:val="16"/>
              </w:rPr>
              <w:t xml:space="preserve"> m</w:t>
            </w:r>
            <w:r w:rsidRPr="001D139D">
              <w:rPr>
                <w:b/>
                <w:color w:val="000000"/>
                <w:sz w:val="16"/>
                <w:szCs w:val="16"/>
              </w:rPr>
              <w:t>eadow</w:t>
            </w:r>
          </w:p>
          <w:p w14:paraId="169AA5E5" w14:textId="77777777" w:rsidR="00DE79BD" w:rsidRPr="001D139D" w:rsidRDefault="00DE79BD" w:rsidP="00DD3BAE">
            <w:pPr>
              <w:spacing w:before="0" w:after="0"/>
              <w:jc w:val="center"/>
              <w:rPr>
                <w:b/>
                <w:color w:val="000000"/>
                <w:sz w:val="16"/>
                <w:szCs w:val="16"/>
              </w:rPr>
            </w:pPr>
            <w:r>
              <w:rPr>
                <w:b/>
                <w:color w:val="000000"/>
                <w:sz w:val="16"/>
                <w:szCs w:val="16"/>
              </w:rPr>
              <w:t xml:space="preserve">is </w:t>
            </w:r>
            <w:r w:rsidRPr="001D139D">
              <w:rPr>
                <w:b/>
                <w:color w:val="000000"/>
                <w:sz w:val="16"/>
                <w:szCs w:val="16"/>
              </w:rPr>
              <w:t>exposed</w:t>
            </w:r>
          </w:p>
          <w:p w14:paraId="45DB0F25" w14:textId="1E2B42D6" w:rsidR="00DE79BD" w:rsidRPr="001D139D" w:rsidRDefault="00DE79BD" w:rsidP="00DD3BAE">
            <w:pPr>
              <w:spacing w:before="0" w:after="0"/>
              <w:jc w:val="center"/>
              <w:rPr>
                <w:b/>
                <w:color w:val="000000"/>
                <w:sz w:val="16"/>
                <w:szCs w:val="16"/>
              </w:rPr>
            </w:pPr>
            <w:r w:rsidRPr="001D139D">
              <w:rPr>
                <w:b/>
                <w:color w:val="000000"/>
                <w:sz w:val="16"/>
                <w:szCs w:val="16"/>
              </w:rPr>
              <w:t>(</w:t>
            </w:r>
            <w:r w:rsidR="008574EC">
              <w:rPr>
                <w:b/>
                <w:color w:val="000000"/>
                <w:sz w:val="16"/>
                <w:szCs w:val="16"/>
              </w:rPr>
              <w:t>2016–17</w:t>
            </w:r>
            <w:r w:rsidRPr="001D139D">
              <w:rPr>
                <w:b/>
                <w:color w:val="000000"/>
                <w:sz w:val="16"/>
                <w:szCs w:val="16"/>
              </w:rPr>
              <w:t>)</w:t>
            </w:r>
          </w:p>
        </w:tc>
      </w:tr>
      <w:tr w:rsidR="00DE79BD" w14:paraId="5598E8A8" w14:textId="77777777" w:rsidTr="00DE79BD">
        <w:trPr>
          <w:trHeight w:val="276"/>
          <w:jc w:val="center"/>
        </w:trPr>
        <w:tc>
          <w:tcPr>
            <w:tcW w:w="619" w:type="dxa"/>
            <w:vMerge w:val="restart"/>
            <w:tcBorders>
              <w:top w:val="single" w:sz="4" w:space="0" w:color="auto"/>
            </w:tcBorders>
            <w:shd w:val="clear" w:color="auto" w:fill="E7F3F4"/>
            <w:textDirection w:val="btLr"/>
            <w:vAlign w:val="center"/>
            <w:hideMark/>
          </w:tcPr>
          <w:p w14:paraId="6D3851F5" w14:textId="77777777" w:rsidR="00DE79BD" w:rsidRDefault="00DE79BD" w:rsidP="00DD3BAE">
            <w:pPr>
              <w:spacing w:before="0" w:after="0"/>
              <w:ind w:left="113" w:right="113"/>
              <w:jc w:val="center"/>
              <w:rPr>
                <w:color w:val="000000"/>
                <w:sz w:val="16"/>
                <w:szCs w:val="16"/>
              </w:rPr>
            </w:pPr>
            <w:r>
              <w:rPr>
                <w:color w:val="000000"/>
                <w:sz w:val="16"/>
                <w:szCs w:val="16"/>
              </w:rPr>
              <w:t>Cape York</w:t>
            </w:r>
          </w:p>
        </w:tc>
        <w:tc>
          <w:tcPr>
            <w:tcW w:w="619" w:type="dxa"/>
            <w:tcBorders>
              <w:top w:val="single" w:sz="4" w:space="0" w:color="auto"/>
            </w:tcBorders>
            <w:shd w:val="clear" w:color="auto" w:fill="E7F3F4"/>
            <w:vAlign w:val="center"/>
            <w:hideMark/>
          </w:tcPr>
          <w:p w14:paraId="24AD24F5" w14:textId="77777777" w:rsidR="00DE79BD" w:rsidRDefault="00DE79BD" w:rsidP="00DD3BAE">
            <w:pPr>
              <w:spacing w:before="0" w:after="0"/>
              <w:jc w:val="center"/>
              <w:rPr>
                <w:color w:val="000000"/>
                <w:sz w:val="16"/>
                <w:szCs w:val="16"/>
              </w:rPr>
            </w:pPr>
            <w:r>
              <w:rPr>
                <w:color w:val="000000"/>
                <w:sz w:val="16"/>
                <w:szCs w:val="16"/>
              </w:rPr>
              <w:t>AP1</w:t>
            </w:r>
          </w:p>
        </w:tc>
        <w:tc>
          <w:tcPr>
            <w:tcW w:w="1083" w:type="dxa"/>
            <w:tcBorders>
              <w:top w:val="single" w:sz="4" w:space="0" w:color="auto"/>
            </w:tcBorders>
            <w:shd w:val="clear" w:color="auto" w:fill="E7F3F4"/>
            <w:vAlign w:val="center"/>
            <w:hideMark/>
          </w:tcPr>
          <w:p w14:paraId="216F95B6" w14:textId="77777777" w:rsidR="00DE79BD" w:rsidRDefault="00DE79BD" w:rsidP="00DD3BAE">
            <w:pPr>
              <w:spacing w:before="0" w:after="0"/>
              <w:jc w:val="center"/>
              <w:rPr>
                <w:color w:val="000000"/>
                <w:sz w:val="16"/>
                <w:szCs w:val="16"/>
              </w:rPr>
            </w:pPr>
            <w:r>
              <w:rPr>
                <w:color w:val="000000"/>
                <w:sz w:val="16"/>
                <w:szCs w:val="16"/>
              </w:rPr>
              <w:t>0.46</w:t>
            </w:r>
          </w:p>
        </w:tc>
        <w:tc>
          <w:tcPr>
            <w:tcW w:w="993" w:type="dxa"/>
            <w:tcBorders>
              <w:top w:val="single" w:sz="4" w:space="0" w:color="auto"/>
            </w:tcBorders>
            <w:shd w:val="clear" w:color="auto" w:fill="E7F3F4"/>
            <w:vAlign w:val="center"/>
            <w:hideMark/>
          </w:tcPr>
          <w:p w14:paraId="50CF1E44" w14:textId="77777777" w:rsidR="00DE79BD" w:rsidRDefault="00DE79BD" w:rsidP="00DD3BAE">
            <w:pPr>
              <w:spacing w:before="0" w:after="0"/>
              <w:jc w:val="center"/>
              <w:rPr>
                <w:color w:val="000000"/>
                <w:sz w:val="16"/>
                <w:szCs w:val="16"/>
              </w:rPr>
            </w:pPr>
            <w:r>
              <w:rPr>
                <w:color w:val="000000"/>
                <w:sz w:val="16"/>
                <w:szCs w:val="16"/>
              </w:rPr>
              <w:t>1.02</w:t>
            </w:r>
          </w:p>
        </w:tc>
        <w:tc>
          <w:tcPr>
            <w:tcW w:w="1362" w:type="dxa"/>
            <w:tcBorders>
              <w:top w:val="single" w:sz="4" w:space="0" w:color="auto"/>
            </w:tcBorders>
            <w:shd w:val="clear" w:color="auto" w:fill="E7F3F4"/>
            <w:vAlign w:val="center"/>
            <w:hideMark/>
          </w:tcPr>
          <w:p w14:paraId="34C8E48E" w14:textId="77777777" w:rsidR="00DE79BD" w:rsidRDefault="00DE79BD" w:rsidP="00DD3BAE">
            <w:pPr>
              <w:spacing w:before="0" w:after="0"/>
              <w:jc w:val="center"/>
              <w:rPr>
                <w:color w:val="000000"/>
                <w:sz w:val="16"/>
                <w:szCs w:val="16"/>
              </w:rPr>
            </w:pPr>
            <w:r>
              <w:rPr>
                <w:color w:val="000000"/>
                <w:sz w:val="16"/>
                <w:szCs w:val="16"/>
              </w:rPr>
              <w:t>0.46</w:t>
            </w:r>
          </w:p>
        </w:tc>
        <w:tc>
          <w:tcPr>
            <w:tcW w:w="1329" w:type="dxa"/>
            <w:tcBorders>
              <w:top w:val="single" w:sz="4" w:space="0" w:color="auto"/>
            </w:tcBorders>
            <w:shd w:val="clear" w:color="auto" w:fill="E7F3F4"/>
            <w:vAlign w:val="center"/>
            <w:hideMark/>
          </w:tcPr>
          <w:p w14:paraId="19F4EAD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66.83</w:t>
            </w:r>
          </w:p>
        </w:tc>
        <w:tc>
          <w:tcPr>
            <w:tcW w:w="1340" w:type="dxa"/>
            <w:tcBorders>
              <w:top w:val="single" w:sz="4" w:space="0" w:color="auto"/>
            </w:tcBorders>
            <w:shd w:val="clear" w:color="auto" w:fill="E7F3F4"/>
            <w:vAlign w:val="center"/>
            <w:hideMark/>
          </w:tcPr>
          <w:p w14:paraId="63E2DA81"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1.58</w:t>
            </w:r>
          </w:p>
        </w:tc>
        <w:tc>
          <w:tcPr>
            <w:tcW w:w="1174" w:type="dxa"/>
            <w:tcBorders>
              <w:top w:val="single" w:sz="4" w:space="0" w:color="auto"/>
            </w:tcBorders>
            <w:shd w:val="clear" w:color="auto" w:fill="E7F3F4"/>
            <w:noWrap/>
            <w:vAlign w:val="center"/>
            <w:hideMark/>
          </w:tcPr>
          <w:p w14:paraId="10E565E0"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41.67</w:t>
            </w:r>
          </w:p>
        </w:tc>
        <w:tc>
          <w:tcPr>
            <w:tcW w:w="1367" w:type="dxa"/>
            <w:tcBorders>
              <w:top w:val="single" w:sz="4" w:space="0" w:color="auto"/>
            </w:tcBorders>
            <w:shd w:val="clear" w:color="auto" w:fill="E7F3F4"/>
            <w:vAlign w:val="center"/>
          </w:tcPr>
          <w:p w14:paraId="4B820223"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0.95</w:t>
            </w:r>
          </w:p>
        </w:tc>
      </w:tr>
      <w:tr w:rsidR="00DE79BD" w14:paraId="3AAA01E4" w14:textId="77777777" w:rsidTr="00DE79BD">
        <w:trPr>
          <w:trHeight w:val="276"/>
          <w:jc w:val="center"/>
        </w:trPr>
        <w:tc>
          <w:tcPr>
            <w:tcW w:w="0" w:type="auto"/>
            <w:vMerge/>
            <w:tcBorders>
              <w:bottom w:val="single" w:sz="4" w:space="0" w:color="auto"/>
            </w:tcBorders>
            <w:vAlign w:val="center"/>
            <w:hideMark/>
          </w:tcPr>
          <w:p w14:paraId="66225D1B" w14:textId="77777777" w:rsidR="00DE79BD" w:rsidRDefault="00DE79BD" w:rsidP="00DD3BAE">
            <w:pPr>
              <w:spacing w:before="0" w:after="0"/>
              <w:rPr>
                <w:color w:val="000000"/>
                <w:sz w:val="16"/>
                <w:szCs w:val="16"/>
              </w:rPr>
            </w:pPr>
          </w:p>
        </w:tc>
        <w:tc>
          <w:tcPr>
            <w:tcW w:w="619" w:type="dxa"/>
            <w:tcBorders>
              <w:bottom w:val="single" w:sz="4" w:space="0" w:color="auto"/>
            </w:tcBorders>
            <w:shd w:val="clear" w:color="auto" w:fill="E7F3F4"/>
            <w:vAlign w:val="center"/>
            <w:hideMark/>
          </w:tcPr>
          <w:p w14:paraId="4F5ABA1C" w14:textId="77777777" w:rsidR="00DE79BD" w:rsidRDefault="00DE79BD" w:rsidP="00DD3BAE">
            <w:pPr>
              <w:spacing w:before="0" w:after="0"/>
              <w:jc w:val="center"/>
              <w:rPr>
                <w:color w:val="000000"/>
                <w:sz w:val="16"/>
                <w:szCs w:val="16"/>
              </w:rPr>
            </w:pPr>
            <w:r>
              <w:rPr>
                <w:color w:val="000000"/>
                <w:sz w:val="16"/>
                <w:szCs w:val="16"/>
              </w:rPr>
              <w:t>AP2</w:t>
            </w:r>
          </w:p>
        </w:tc>
        <w:tc>
          <w:tcPr>
            <w:tcW w:w="1083" w:type="dxa"/>
            <w:tcBorders>
              <w:bottom w:val="single" w:sz="4" w:space="0" w:color="auto"/>
            </w:tcBorders>
            <w:shd w:val="clear" w:color="auto" w:fill="E7F3F4"/>
            <w:vAlign w:val="center"/>
            <w:hideMark/>
          </w:tcPr>
          <w:p w14:paraId="66A2B430" w14:textId="77777777" w:rsidR="00DE79BD" w:rsidRDefault="00DE79BD" w:rsidP="00DD3BAE">
            <w:pPr>
              <w:spacing w:before="0" w:after="0"/>
              <w:jc w:val="center"/>
              <w:rPr>
                <w:color w:val="000000"/>
                <w:sz w:val="16"/>
                <w:szCs w:val="16"/>
              </w:rPr>
            </w:pPr>
            <w:r>
              <w:rPr>
                <w:color w:val="000000"/>
                <w:sz w:val="16"/>
                <w:szCs w:val="16"/>
              </w:rPr>
              <w:t>0.46</w:t>
            </w:r>
          </w:p>
        </w:tc>
        <w:tc>
          <w:tcPr>
            <w:tcW w:w="993" w:type="dxa"/>
            <w:tcBorders>
              <w:bottom w:val="single" w:sz="4" w:space="0" w:color="auto"/>
            </w:tcBorders>
            <w:shd w:val="clear" w:color="auto" w:fill="E7F3F4"/>
            <w:vAlign w:val="center"/>
            <w:hideMark/>
          </w:tcPr>
          <w:p w14:paraId="0AE7847C" w14:textId="77777777" w:rsidR="00DE79BD" w:rsidRDefault="00DE79BD" w:rsidP="00DD3BAE">
            <w:pPr>
              <w:spacing w:before="0" w:after="0"/>
              <w:jc w:val="center"/>
              <w:rPr>
                <w:color w:val="000000"/>
                <w:sz w:val="16"/>
                <w:szCs w:val="16"/>
              </w:rPr>
            </w:pPr>
            <w:r>
              <w:rPr>
                <w:color w:val="000000"/>
                <w:sz w:val="16"/>
                <w:szCs w:val="16"/>
              </w:rPr>
              <w:t>1.02</w:t>
            </w:r>
          </w:p>
        </w:tc>
        <w:tc>
          <w:tcPr>
            <w:tcW w:w="1362" w:type="dxa"/>
            <w:tcBorders>
              <w:bottom w:val="single" w:sz="4" w:space="0" w:color="auto"/>
            </w:tcBorders>
            <w:shd w:val="clear" w:color="auto" w:fill="E7F3F4"/>
            <w:vAlign w:val="center"/>
            <w:hideMark/>
          </w:tcPr>
          <w:p w14:paraId="6ED243DD" w14:textId="77777777" w:rsidR="00DE79BD" w:rsidRDefault="00DE79BD" w:rsidP="00DD3BAE">
            <w:pPr>
              <w:spacing w:before="0" w:after="0"/>
              <w:jc w:val="center"/>
              <w:rPr>
                <w:color w:val="000000"/>
                <w:sz w:val="16"/>
                <w:szCs w:val="16"/>
              </w:rPr>
            </w:pPr>
            <w:r>
              <w:rPr>
                <w:color w:val="000000"/>
                <w:sz w:val="16"/>
                <w:szCs w:val="16"/>
              </w:rPr>
              <w:t>0.46</w:t>
            </w:r>
          </w:p>
        </w:tc>
        <w:tc>
          <w:tcPr>
            <w:tcW w:w="1329" w:type="dxa"/>
            <w:tcBorders>
              <w:bottom w:val="single" w:sz="4" w:space="0" w:color="auto"/>
            </w:tcBorders>
            <w:shd w:val="clear" w:color="auto" w:fill="E7F3F4"/>
            <w:vAlign w:val="center"/>
            <w:hideMark/>
          </w:tcPr>
          <w:p w14:paraId="138265A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66.83</w:t>
            </w:r>
          </w:p>
        </w:tc>
        <w:tc>
          <w:tcPr>
            <w:tcW w:w="1340" w:type="dxa"/>
            <w:tcBorders>
              <w:bottom w:val="single" w:sz="4" w:space="0" w:color="auto"/>
            </w:tcBorders>
            <w:shd w:val="clear" w:color="auto" w:fill="E7F3F4"/>
            <w:vAlign w:val="center"/>
            <w:hideMark/>
          </w:tcPr>
          <w:p w14:paraId="0C838960"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1.58</w:t>
            </w:r>
          </w:p>
        </w:tc>
        <w:tc>
          <w:tcPr>
            <w:tcW w:w="1174" w:type="dxa"/>
            <w:tcBorders>
              <w:bottom w:val="single" w:sz="4" w:space="0" w:color="auto"/>
            </w:tcBorders>
            <w:shd w:val="clear" w:color="auto" w:fill="E7F3F4"/>
            <w:noWrap/>
            <w:vAlign w:val="center"/>
            <w:hideMark/>
          </w:tcPr>
          <w:p w14:paraId="2D39CE17"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41.67</w:t>
            </w:r>
          </w:p>
        </w:tc>
        <w:tc>
          <w:tcPr>
            <w:tcW w:w="1367" w:type="dxa"/>
            <w:tcBorders>
              <w:bottom w:val="single" w:sz="4" w:space="0" w:color="auto"/>
            </w:tcBorders>
            <w:shd w:val="clear" w:color="auto" w:fill="E7F3F4"/>
            <w:vAlign w:val="center"/>
          </w:tcPr>
          <w:p w14:paraId="1DA41443"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0.95</w:t>
            </w:r>
          </w:p>
        </w:tc>
      </w:tr>
      <w:tr w:rsidR="00DE79BD" w14:paraId="701A91C7" w14:textId="77777777" w:rsidTr="00DE79BD">
        <w:trPr>
          <w:trHeight w:val="276"/>
          <w:jc w:val="center"/>
        </w:trPr>
        <w:tc>
          <w:tcPr>
            <w:tcW w:w="619" w:type="dxa"/>
            <w:vMerge w:val="restart"/>
            <w:tcBorders>
              <w:top w:val="single" w:sz="4" w:space="0" w:color="auto"/>
            </w:tcBorders>
            <w:shd w:val="clear" w:color="auto" w:fill="F3F9FA"/>
            <w:textDirection w:val="btLr"/>
            <w:vAlign w:val="center"/>
            <w:hideMark/>
          </w:tcPr>
          <w:p w14:paraId="27176078" w14:textId="77777777" w:rsidR="00DE79BD" w:rsidRDefault="00DE79BD" w:rsidP="00DD3BAE">
            <w:pPr>
              <w:spacing w:before="0" w:after="0"/>
              <w:ind w:left="113" w:right="113"/>
              <w:jc w:val="center"/>
              <w:rPr>
                <w:color w:val="000000"/>
                <w:sz w:val="16"/>
                <w:szCs w:val="16"/>
              </w:rPr>
            </w:pPr>
            <w:r>
              <w:rPr>
                <w:color w:val="000000"/>
                <w:sz w:val="16"/>
                <w:szCs w:val="16"/>
              </w:rPr>
              <w:t>Wet Tropics</w:t>
            </w:r>
          </w:p>
        </w:tc>
        <w:tc>
          <w:tcPr>
            <w:tcW w:w="619" w:type="dxa"/>
            <w:tcBorders>
              <w:top w:val="single" w:sz="4" w:space="0" w:color="auto"/>
            </w:tcBorders>
            <w:shd w:val="clear" w:color="auto" w:fill="F3F9FA"/>
            <w:vAlign w:val="center"/>
            <w:hideMark/>
          </w:tcPr>
          <w:p w14:paraId="46DCB0DD" w14:textId="77777777" w:rsidR="00DE79BD" w:rsidRDefault="00DE79BD" w:rsidP="00DD3BAE">
            <w:pPr>
              <w:spacing w:before="0" w:after="0"/>
              <w:jc w:val="center"/>
              <w:rPr>
                <w:color w:val="000000"/>
                <w:sz w:val="16"/>
                <w:szCs w:val="16"/>
              </w:rPr>
            </w:pPr>
            <w:r>
              <w:rPr>
                <w:color w:val="000000"/>
                <w:sz w:val="16"/>
                <w:szCs w:val="16"/>
              </w:rPr>
              <w:t>LI1</w:t>
            </w:r>
          </w:p>
        </w:tc>
        <w:tc>
          <w:tcPr>
            <w:tcW w:w="1083" w:type="dxa"/>
            <w:tcBorders>
              <w:top w:val="single" w:sz="4" w:space="0" w:color="auto"/>
            </w:tcBorders>
            <w:shd w:val="clear" w:color="auto" w:fill="F3F9FA"/>
            <w:vAlign w:val="center"/>
            <w:hideMark/>
          </w:tcPr>
          <w:p w14:paraId="1B79DCE3" w14:textId="77777777" w:rsidR="00DE79BD" w:rsidRDefault="00DE79BD" w:rsidP="00DD3BAE">
            <w:pPr>
              <w:spacing w:before="0" w:after="0"/>
              <w:jc w:val="center"/>
              <w:rPr>
                <w:color w:val="000000"/>
                <w:sz w:val="16"/>
                <w:szCs w:val="16"/>
              </w:rPr>
            </w:pPr>
            <w:r>
              <w:rPr>
                <w:color w:val="000000"/>
                <w:sz w:val="16"/>
                <w:szCs w:val="16"/>
              </w:rPr>
              <w:t>0.65</w:t>
            </w:r>
          </w:p>
        </w:tc>
        <w:tc>
          <w:tcPr>
            <w:tcW w:w="993" w:type="dxa"/>
            <w:tcBorders>
              <w:top w:val="single" w:sz="4" w:space="0" w:color="auto"/>
            </w:tcBorders>
            <w:shd w:val="clear" w:color="auto" w:fill="F3F9FA"/>
            <w:vAlign w:val="center"/>
            <w:hideMark/>
          </w:tcPr>
          <w:p w14:paraId="2D1BB8B2" w14:textId="77777777" w:rsidR="00DE79BD" w:rsidRDefault="00DE79BD" w:rsidP="00DD3BAE">
            <w:pPr>
              <w:spacing w:before="0" w:after="0"/>
              <w:jc w:val="center"/>
              <w:rPr>
                <w:color w:val="000000"/>
                <w:sz w:val="16"/>
                <w:szCs w:val="16"/>
              </w:rPr>
            </w:pPr>
            <w:r>
              <w:rPr>
                <w:color w:val="000000"/>
                <w:sz w:val="16"/>
                <w:szCs w:val="16"/>
              </w:rPr>
              <w:t>0.90</w:t>
            </w:r>
          </w:p>
        </w:tc>
        <w:tc>
          <w:tcPr>
            <w:tcW w:w="1362" w:type="dxa"/>
            <w:tcBorders>
              <w:top w:val="single" w:sz="4" w:space="0" w:color="auto"/>
            </w:tcBorders>
            <w:shd w:val="clear" w:color="auto" w:fill="F3F9FA"/>
            <w:vAlign w:val="center"/>
            <w:hideMark/>
          </w:tcPr>
          <w:p w14:paraId="1B896267" w14:textId="77777777" w:rsidR="00DE79BD" w:rsidRDefault="00DE79BD" w:rsidP="00DD3BAE">
            <w:pPr>
              <w:spacing w:before="0" w:after="0"/>
              <w:jc w:val="center"/>
              <w:rPr>
                <w:color w:val="000000"/>
                <w:sz w:val="16"/>
                <w:szCs w:val="16"/>
              </w:rPr>
            </w:pPr>
            <w:r>
              <w:rPr>
                <w:color w:val="000000"/>
                <w:sz w:val="16"/>
                <w:szCs w:val="16"/>
              </w:rPr>
              <w:t>0.65</w:t>
            </w:r>
          </w:p>
        </w:tc>
        <w:tc>
          <w:tcPr>
            <w:tcW w:w="1329" w:type="dxa"/>
            <w:tcBorders>
              <w:top w:val="single" w:sz="4" w:space="0" w:color="auto"/>
            </w:tcBorders>
            <w:shd w:val="clear" w:color="auto" w:fill="F3F9FA"/>
            <w:vAlign w:val="center"/>
            <w:hideMark/>
          </w:tcPr>
          <w:p w14:paraId="0090C5D0"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178.50</w:t>
            </w:r>
          </w:p>
        </w:tc>
        <w:tc>
          <w:tcPr>
            <w:tcW w:w="1340" w:type="dxa"/>
            <w:tcBorders>
              <w:top w:val="single" w:sz="4" w:space="0" w:color="auto"/>
            </w:tcBorders>
            <w:shd w:val="clear" w:color="auto" w:fill="F3F9FA"/>
            <w:vAlign w:val="center"/>
            <w:hideMark/>
          </w:tcPr>
          <w:p w14:paraId="4D017F79"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3.96</w:t>
            </w:r>
          </w:p>
        </w:tc>
        <w:tc>
          <w:tcPr>
            <w:tcW w:w="1174" w:type="dxa"/>
            <w:tcBorders>
              <w:top w:val="single" w:sz="4" w:space="0" w:color="auto"/>
            </w:tcBorders>
            <w:shd w:val="clear" w:color="auto" w:fill="F3F9FA"/>
            <w:noWrap/>
            <w:vAlign w:val="center"/>
            <w:hideMark/>
          </w:tcPr>
          <w:p w14:paraId="4D8426A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152.83</w:t>
            </w:r>
          </w:p>
        </w:tc>
        <w:tc>
          <w:tcPr>
            <w:tcW w:w="1367" w:type="dxa"/>
            <w:tcBorders>
              <w:top w:val="single" w:sz="4" w:space="0" w:color="auto"/>
            </w:tcBorders>
            <w:shd w:val="clear" w:color="auto" w:fill="F3F9FA"/>
            <w:vAlign w:val="center"/>
          </w:tcPr>
          <w:p w14:paraId="61CC27A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3.49</w:t>
            </w:r>
          </w:p>
        </w:tc>
      </w:tr>
      <w:tr w:rsidR="00DE79BD" w14:paraId="5D29F9DA" w14:textId="77777777" w:rsidTr="00DE79BD">
        <w:trPr>
          <w:trHeight w:val="276"/>
          <w:jc w:val="center"/>
        </w:trPr>
        <w:tc>
          <w:tcPr>
            <w:tcW w:w="0" w:type="auto"/>
            <w:vMerge/>
            <w:vAlign w:val="center"/>
            <w:hideMark/>
          </w:tcPr>
          <w:p w14:paraId="46576425"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21A9CC2A" w14:textId="77777777" w:rsidR="00DE79BD" w:rsidRDefault="00DE79BD" w:rsidP="00DD3BAE">
            <w:pPr>
              <w:spacing w:before="0" w:after="0"/>
              <w:jc w:val="center"/>
              <w:rPr>
                <w:color w:val="000000"/>
                <w:sz w:val="16"/>
                <w:szCs w:val="16"/>
              </w:rPr>
            </w:pPr>
            <w:r>
              <w:rPr>
                <w:color w:val="000000"/>
                <w:sz w:val="16"/>
                <w:szCs w:val="16"/>
              </w:rPr>
              <w:t>YP1</w:t>
            </w:r>
          </w:p>
        </w:tc>
        <w:tc>
          <w:tcPr>
            <w:tcW w:w="1083" w:type="dxa"/>
            <w:shd w:val="clear" w:color="auto" w:fill="F3F9FA"/>
            <w:vAlign w:val="center"/>
            <w:hideMark/>
          </w:tcPr>
          <w:p w14:paraId="0A0A303E" w14:textId="77777777" w:rsidR="00DE79BD" w:rsidRDefault="00DE79BD" w:rsidP="00DD3BAE">
            <w:pPr>
              <w:spacing w:before="0" w:after="0"/>
              <w:jc w:val="center"/>
              <w:rPr>
                <w:color w:val="000000"/>
                <w:sz w:val="16"/>
                <w:szCs w:val="16"/>
              </w:rPr>
            </w:pPr>
            <w:r>
              <w:rPr>
                <w:color w:val="000000"/>
                <w:sz w:val="16"/>
                <w:szCs w:val="16"/>
              </w:rPr>
              <w:t>0.64</w:t>
            </w:r>
          </w:p>
        </w:tc>
        <w:tc>
          <w:tcPr>
            <w:tcW w:w="993" w:type="dxa"/>
            <w:shd w:val="clear" w:color="auto" w:fill="F3F9FA"/>
            <w:vAlign w:val="center"/>
            <w:hideMark/>
          </w:tcPr>
          <w:p w14:paraId="43E96ADA" w14:textId="77777777" w:rsidR="00DE79BD" w:rsidRDefault="00DE79BD" w:rsidP="00DD3BAE">
            <w:pPr>
              <w:spacing w:before="0" w:after="0"/>
              <w:jc w:val="center"/>
              <w:rPr>
                <w:color w:val="000000"/>
                <w:sz w:val="16"/>
                <w:szCs w:val="16"/>
              </w:rPr>
            </w:pPr>
            <w:r>
              <w:rPr>
                <w:color w:val="000000"/>
                <w:sz w:val="16"/>
                <w:szCs w:val="16"/>
              </w:rPr>
              <w:t>0.94</w:t>
            </w:r>
          </w:p>
        </w:tc>
        <w:tc>
          <w:tcPr>
            <w:tcW w:w="1362" w:type="dxa"/>
            <w:shd w:val="clear" w:color="auto" w:fill="F3F9FA"/>
            <w:vAlign w:val="center"/>
            <w:hideMark/>
          </w:tcPr>
          <w:p w14:paraId="6CB50D1A" w14:textId="77777777" w:rsidR="00DE79BD" w:rsidRDefault="00DE79BD" w:rsidP="00DD3BAE">
            <w:pPr>
              <w:spacing w:before="0" w:after="0"/>
              <w:jc w:val="center"/>
              <w:rPr>
                <w:color w:val="000000"/>
                <w:sz w:val="16"/>
                <w:szCs w:val="16"/>
              </w:rPr>
            </w:pPr>
            <w:r>
              <w:rPr>
                <w:color w:val="000000"/>
                <w:sz w:val="16"/>
                <w:szCs w:val="16"/>
              </w:rPr>
              <w:t>0.64</w:t>
            </w:r>
          </w:p>
        </w:tc>
        <w:tc>
          <w:tcPr>
            <w:tcW w:w="1329" w:type="dxa"/>
            <w:shd w:val="clear" w:color="auto" w:fill="F3F9FA"/>
            <w:vAlign w:val="center"/>
            <w:hideMark/>
          </w:tcPr>
          <w:p w14:paraId="78C48B7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169.83</w:t>
            </w:r>
          </w:p>
        </w:tc>
        <w:tc>
          <w:tcPr>
            <w:tcW w:w="1340" w:type="dxa"/>
            <w:shd w:val="clear" w:color="auto" w:fill="F3F9FA"/>
            <w:vAlign w:val="center"/>
            <w:hideMark/>
          </w:tcPr>
          <w:p w14:paraId="27273929"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3.78</w:t>
            </w:r>
          </w:p>
        </w:tc>
        <w:tc>
          <w:tcPr>
            <w:tcW w:w="1174" w:type="dxa"/>
            <w:shd w:val="clear" w:color="auto" w:fill="F3F9FA"/>
            <w:noWrap/>
            <w:vAlign w:val="center"/>
            <w:hideMark/>
          </w:tcPr>
          <w:p w14:paraId="26C8A72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147.50</w:t>
            </w:r>
          </w:p>
        </w:tc>
        <w:tc>
          <w:tcPr>
            <w:tcW w:w="1367" w:type="dxa"/>
            <w:shd w:val="clear" w:color="auto" w:fill="F3F9FA"/>
            <w:vAlign w:val="center"/>
          </w:tcPr>
          <w:p w14:paraId="7AC11AB1"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3.37</w:t>
            </w:r>
          </w:p>
        </w:tc>
      </w:tr>
      <w:tr w:rsidR="00DE79BD" w14:paraId="2A3CF663" w14:textId="77777777" w:rsidTr="00DE79BD">
        <w:trPr>
          <w:trHeight w:val="276"/>
          <w:jc w:val="center"/>
        </w:trPr>
        <w:tc>
          <w:tcPr>
            <w:tcW w:w="0" w:type="auto"/>
            <w:vMerge/>
            <w:vAlign w:val="center"/>
            <w:hideMark/>
          </w:tcPr>
          <w:p w14:paraId="2E62FC49"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26753910" w14:textId="77777777" w:rsidR="00DE79BD" w:rsidRDefault="00DE79BD" w:rsidP="00DD3BAE">
            <w:pPr>
              <w:spacing w:before="0" w:after="0"/>
              <w:jc w:val="center"/>
              <w:rPr>
                <w:color w:val="000000"/>
                <w:sz w:val="16"/>
                <w:szCs w:val="16"/>
              </w:rPr>
            </w:pPr>
            <w:r>
              <w:rPr>
                <w:color w:val="000000"/>
                <w:sz w:val="16"/>
                <w:szCs w:val="16"/>
              </w:rPr>
              <w:t>YP2</w:t>
            </w:r>
          </w:p>
        </w:tc>
        <w:tc>
          <w:tcPr>
            <w:tcW w:w="1083" w:type="dxa"/>
            <w:shd w:val="clear" w:color="auto" w:fill="F3F9FA"/>
            <w:vAlign w:val="center"/>
            <w:hideMark/>
          </w:tcPr>
          <w:p w14:paraId="7A1AEBA8" w14:textId="77777777" w:rsidR="00DE79BD" w:rsidRDefault="00DE79BD" w:rsidP="00DD3BAE">
            <w:pPr>
              <w:spacing w:before="0" w:after="0"/>
              <w:jc w:val="center"/>
              <w:rPr>
                <w:color w:val="000000"/>
                <w:sz w:val="16"/>
                <w:szCs w:val="16"/>
              </w:rPr>
            </w:pPr>
            <w:r>
              <w:rPr>
                <w:color w:val="000000"/>
                <w:sz w:val="16"/>
                <w:szCs w:val="16"/>
              </w:rPr>
              <w:t>0.52</w:t>
            </w:r>
          </w:p>
        </w:tc>
        <w:tc>
          <w:tcPr>
            <w:tcW w:w="993" w:type="dxa"/>
            <w:shd w:val="clear" w:color="auto" w:fill="F3F9FA"/>
            <w:vAlign w:val="center"/>
            <w:hideMark/>
          </w:tcPr>
          <w:p w14:paraId="75CF8BDB" w14:textId="77777777" w:rsidR="00DE79BD" w:rsidRDefault="00DE79BD" w:rsidP="00DD3BAE">
            <w:pPr>
              <w:spacing w:before="0" w:after="0"/>
              <w:jc w:val="center"/>
              <w:rPr>
                <w:color w:val="000000"/>
                <w:sz w:val="16"/>
                <w:szCs w:val="16"/>
              </w:rPr>
            </w:pPr>
            <w:r>
              <w:rPr>
                <w:color w:val="000000"/>
                <w:sz w:val="16"/>
                <w:szCs w:val="16"/>
              </w:rPr>
              <w:t>1.06</w:t>
            </w:r>
          </w:p>
        </w:tc>
        <w:tc>
          <w:tcPr>
            <w:tcW w:w="1362" w:type="dxa"/>
            <w:shd w:val="clear" w:color="auto" w:fill="F3F9FA"/>
            <w:vAlign w:val="center"/>
            <w:hideMark/>
          </w:tcPr>
          <w:p w14:paraId="36354C44" w14:textId="77777777" w:rsidR="00DE79BD" w:rsidRDefault="00DE79BD" w:rsidP="00DD3BAE">
            <w:pPr>
              <w:spacing w:before="0" w:after="0"/>
              <w:jc w:val="center"/>
              <w:rPr>
                <w:color w:val="000000"/>
                <w:sz w:val="16"/>
                <w:szCs w:val="16"/>
              </w:rPr>
            </w:pPr>
            <w:r>
              <w:rPr>
                <w:color w:val="000000"/>
                <w:sz w:val="16"/>
                <w:szCs w:val="16"/>
              </w:rPr>
              <w:t>0.52</w:t>
            </w:r>
          </w:p>
        </w:tc>
        <w:tc>
          <w:tcPr>
            <w:tcW w:w="1329" w:type="dxa"/>
            <w:shd w:val="clear" w:color="auto" w:fill="F3F9FA"/>
            <w:vAlign w:val="center"/>
            <w:hideMark/>
          </w:tcPr>
          <w:p w14:paraId="35BBA259"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97.33</w:t>
            </w:r>
          </w:p>
        </w:tc>
        <w:tc>
          <w:tcPr>
            <w:tcW w:w="1340" w:type="dxa"/>
            <w:shd w:val="clear" w:color="auto" w:fill="F3F9FA"/>
            <w:vAlign w:val="center"/>
            <w:hideMark/>
          </w:tcPr>
          <w:p w14:paraId="7A4FFB6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2.15</w:t>
            </w:r>
          </w:p>
        </w:tc>
        <w:tc>
          <w:tcPr>
            <w:tcW w:w="1174" w:type="dxa"/>
            <w:shd w:val="clear" w:color="auto" w:fill="F3F9FA"/>
            <w:noWrap/>
            <w:vAlign w:val="center"/>
            <w:hideMark/>
          </w:tcPr>
          <w:p w14:paraId="696CC522"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83.00</w:t>
            </w:r>
          </w:p>
        </w:tc>
        <w:tc>
          <w:tcPr>
            <w:tcW w:w="1367" w:type="dxa"/>
            <w:shd w:val="clear" w:color="auto" w:fill="F3F9FA"/>
            <w:vAlign w:val="center"/>
          </w:tcPr>
          <w:p w14:paraId="0CD3890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1.89</w:t>
            </w:r>
          </w:p>
        </w:tc>
      </w:tr>
      <w:tr w:rsidR="00DE79BD" w14:paraId="744FBCD7" w14:textId="77777777" w:rsidTr="00DE79BD">
        <w:trPr>
          <w:trHeight w:val="276"/>
          <w:jc w:val="center"/>
        </w:trPr>
        <w:tc>
          <w:tcPr>
            <w:tcW w:w="0" w:type="auto"/>
            <w:vMerge/>
            <w:vAlign w:val="center"/>
            <w:hideMark/>
          </w:tcPr>
          <w:p w14:paraId="7FC4FED1"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43708360" w14:textId="77777777" w:rsidR="00DE79BD" w:rsidRDefault="00DE79BD" w:rsidP="00DD3BAE">
            <w:pPr>
              <w:spacing w:before="0" w:after="0"/>
              <w:jc w:val="center"/>
              <w:rPr>
                <w:color w:val="000000"/>
                <w:sz w:val="16"/>
                <w:szCs w:val="16"/>
              </w:rPr>
            </w:pPr>
            <w:r>
              <w:rPr>
                <w:color w:val="000000"/>
                <w:sz w:val="16"/>
                <w:szCs w:val="16"/>
              </w:rPr>
              <w:t>GI1</w:t>
            </w:r>
          </w:p>
        </w:tc>
        <w:tc>
          <w:tcPr>
            <w:tcW w:w="1083" w:type="dxa"/>
            <w:shd w:val="clear" w:color="auto" w:fill="F3F9FA"/>
            <w:vAlign w:val="center"/>
            <w:hideMark/>
          </w:tcPr>
          <w:p w14:paraId="4E6CBFA2" w14:textId="77777777" w:rsidR="00DE79BD" w:rsidRDefault="00DE79BD" w:rsidP="00DD3BAE">
            <w:pPr>
              <w:spacing w:before="0" w:after="0"/>
              <w:jc w:val="center"/>
              <w:rPr>
                <w:color w:val="000000"/>
                <w:sz w:val="16"/>
                <w:szCs w:val="16"/>
              </w:rPr>
            </w:pPr>
            <w:r>
              <w:rPr>
                <w:color w:val="000000"/>
                <w:sz w:val="16"/>
                <w:szCs w:val="16"/>
              </w:rPr>
              <w:t>0.51</w:t>
            </w:r>
          </w:p>
        </w:tc>
        <w:tc>
          <w:tcPr>
            <w:tcW w:w="993" w:type="dxa"/>
            <w:shd w:val="clear" w:color="auto" w:fill="F3F9FA"/>
            <w:vAlign w:val="center"/>
            <w:hideMark/>
          </w:tcPr>
          <w:p w14:paraId="3D0087D0" w14:textId="77777777" w:rsidR="00DE79BD" w:rsidRDefault="00DE79BD" w:rsidP="00DD3BAE">
            <w:pPr>
              <w:spacing w:before="0" w:after="0"/>
              <w:jc w:val="center"/>
              <w:rPr>
                <w:color w:val="000000"/>
                <w:sz w:val="16"/>
                <w:szCs w:val="16"/>
              </w:rPr>
            </w:pPr>
            <w:r>
              <w:rPr>
                <w:color w:val="000000"/>
                <w:sz w:val="16"/>
                <w:szCs w:val="16"/>
              </w:rPr>
              <w:t>1.03</w:t>
            </w:r>
          </w:p>
        </w:tc>
        <w:tc>
          <w:tcPr>
            <w:tcW w:w="1362" w:type="dxa"/>
            <w:shd w:val="clear" w:color="auto" w:fill="F3F9FA"/>
            <w:vAlign w:val="center"/>
            <w:hideMark/>
          </w:tcPr>
          <w:p w14:paraId="586707DC" w14:textId="77777777" w:rsidR="00DE79BD" w:rsidRDefault="00DE79BD" w:rsidP="00DD3BAE">
            <w:pPr>
              <w:spacing w:before="0" w:after="0"/>
              <w:jc w:val="center"/>
              <w:rPr>
                <w:color w:val="000000"/>
                <w:sz w:val="16"/>
                <w:szCs w:val="16"/>
              </w:rPr>
            </w:pPr>
            <w:r>
              <w:rPr>
                <w:color w:val="000000"/>
                <w:sz w:val="16"/>
                <w:szCs w:val="16"/>
              </w:rPr>
              <w:t>0.61</w:t>
            </w:r>
          </w:p>
        </w:tc>
        <w:tc>
          <w:tcPr>
            <w:tcW w:w="1329" w:type="dxa"/>
            <w:shd w:val="clear" w:color="auto" w:fill="F3F9FA"/>
            <w:vAlign w:val="center"/>
            <w:hideMark/>
          </w:tcPr>
          <w:p w14:paraId="03A55FD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116.33</w:t>
            </w:r>
          </w:p>
        </w:tc>
        <w:tc>
          <w:tcPr>
            <w:tcW w:w="1340" w:type="dxa"/>
            <w:shd w:val="clear" w:color="auto" w:fill="F3F9FA"/>
            <w:vAlign w:val="center"/>
            <w:hideMark/>
          </w:tcPr>
          <w:p w14:paraId="7A5A513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2.60</w:t>
            </w:r>
          </w:p>
        </w:tc>
        <w:tc>
          <w:tcPr>
            <w:tcW w:w="1174" w:type="dxa"/>
            <w:shd w:val="clear" w:color="auto" w:fill="F3F9FA"/>
            <w:noWrap/>
            <w:vAlign w:val="center"/>
            <w:hideMark/>
          </w:tcPr>
          <w:p w14:paraId="75EA4E7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129.83</w:t>
            </w:r>
          </w:p>
        </w:tc>
        <w:tc>
          <w:tcPr>
            <w:tcW w:w="1367" w:type="dxa"/>
            <w:shd w:val="clear" w:color="auto" w:fill="F3F9FA"/>
            <w:vAlign w:val="center"/>
          </w:tcPr>
          <w:p w14:paraId="38D23BDF"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2.96</w:t>
            </w:r>
          </w:p>
        </w:tc>
      </w:tr>
      <w:tr w:rsidR="00DE79BD" w14:paraId="69478195" w14:textId="77777777" w:rsidTr="00DE79BD">
        <w:trPr>
          <w:trHeight w:val="276"/>
          <w:jc w:val="center"/>
        </w:trPr>
        <w:tc>
          <w:tcPr>
            <w:tcW w:w="0" w:type="auto"/>
            <w:vMerge/>
            <w:vAlign w:val="center"/>
            <w:hideMark/>
          </w:tcPr>
          <w:p w14:paraId="320C7459"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22D85812" w14:textId="77777777" w:rsidR="00DE79BD" w:rsidRDefault="00DE79BD" w:rsidP="00DD3BAE">
            <w:pPr>
              <w:spacing w:before="0" w:after="0"/>
              <w:jc w:val="center"/>
              <w:rPr>
                <w:color w:val="000000"/>
                <w:sz w:val="16"/>
                <w:szCs w:val="16"/>
              </w:rPr>
            </w:pPr>
            <w:r>
              <w:rPr>
                <w:color w:val="000000"/>
                <w:sz w:val="16"/>
                <w:szCs w:val="16"/>
              </w:rPr>
              <w:t>GI2</w:t>
            </w:r>
          </w:p>
        </w:tc>
        <w:tc>
          <w:tcPr>
            <w:tcW w:w="1083" w:type="dxa"/>
            <w:shd w:val="clear" w:color="auto" w:fill="F3F9FA"/>
            <w:vAlign w:val="center"/>
            <w:hideMark/>
          </w:tcPr>
          <w:p w14:paraId="60B766EE" w14:textId="77777777" w:rsidR="00DE79BD" w:rsidRDefault="00DE79BD" w:rsidP="00DD3BAE">
            <w:pPr>
              <w:spacing w:before="0" w:after="0"/>
              <w:jc w:val="center"/>
              <w:rPr>
                <w:color w:val="000000"/>
                <w:sz w:val="16"/>
                <w:szCs w:val="16"/>
              </w:rPr>
            </w:pPr>
            <w:r>
              <w:rPr>
                <w:color w:val="000000"/>
                <w:sz w:val="16"/>
                <w:szCs w:val="16"/>
              </w:rPr>
              <w:t>0.57</w:t>
            </w:r>
          </w:p>
        </w:tc>
        <w:tc>
          <w:tcPr>
            <w:tcW w:w="993" w:type="dxa"/>
            <w:shd w:val="clear" w:color="auto" w:fill="F3F9FA"/>
            <w:vAlign w:val="center"/>
            <w:hideMark/>
          </w:tcPr>
          <w:p w14:paraId="76F4A1BB" w14:textId="77777777" w:rsidR="00DE79BD" w:rsidRDefault="00DE79BD" w:rsidP="00DD3BAE">
            <w:pPr>
              <w:spacing w:before="0" w:after="0"/>
              <w:jc w:val="center"/>
              <w:rPr>
                <w:color w:val="000000"/>
                <w:sz w:val="16"/>
                <w:szCs w:val="16"/>
              </w:rPr>
            </w:pPr>
            <w:r>
              <w:rPr>
                <w:color w:val="000000"/>
                <w:sz w:val="16"/>
                <w:szCs w:val="16"/>
              </w:rPr>
              <w:t>0.97</w:t>
            </w:r>
          </w:p>
        </w:tc>
        <w:tc>
          <w:tcPr>
            <w:tcW w:w="1362" w:type="dxa"/>
            <w:shd w:val="clear" w:color="auto" w:fill="F3F9FA"/>
            <w:vAlign w:val="center"/>
            <w:hideMark/>
          </w:tcPr>
          <w:p w14:paraId="21ED8B01" w14:textId="77777777" w:rsidR="00DE79BD" w:rsidRDefault="00DE79BD" w:rsidP="00DD3BAE">
            <w:pPr>
              <w:spacing w:before="0" w:after="0"/>
              <w:jc w:val="center"/>
              <w:rPr>
                <w:color w:val="000000"/>
                <w:sz w:val="16"/>
                <w:szCs w:val="16"/>
              </w:rPr>
            </w:pPr>
            <w:r>
              <w:rPr>
                <w:color w:val="000000"/>
                <w:sz w:val="16"/>
                <w:szCs w:val="16"/>
              </w:rPr>
              <w:t>0.67</w:t>
            </w:r>
          </w:p>
        </w:tc>
        <w:tc>
          <w:tcPr>
            <w:tcW w:w="1329" w:type="dxa"/>
            <w:shd w:val="clear" w:color="auto" w:fill="F3F9FA"/>
            <w:vAlign w:val="center"/>
            <w:hideMark/>
          </w:tcPr>
          <w:p w14:paraId="30FA79CF"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153.25</w:t>
            </w:r>
          </w:p>
        </w:tc>
        <w:tc>
          <w:tcPr>
            <w:tcW w:w="1340" w:type="dxa"/>
            <w:shd w:val="clear" w:color="auto" w:fill="F3F9FA"/>
            <w:vAlign w:val="center"/>
            <w:hideMark/>
          </w:tcPr>
          <w:p w14:paraId="141FC8E0"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3.44</w:t>
            </w:r>
          </w:p>
        </w:tc>
        <w:tc>
          <w:tcPr>
            <w:tcW w:w="1174" w:type="dxa"/>
            <w:shd w:val="clear" w:color="auto" w:fill="F3F9FA"/>
            <w:noWrap/>
            <w:vAlign w:val="center"/>
            <w:hideMark/>
          </w:tcPr>
          <w:p w14:paraId="226A0894"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165.17</w:t>
            </w:r>
          </w:p>
        </w:tc>
        <w:tc>
          <w:tcPr>
            <w:tcW w:w="1367" w:type="dxa"/>
            <w:shd w:val="clear" w:color="auto" w:fill="F3F9FA"/>
            <w:vAlign w:val="center"/>
          </w:tcPr>
          <w:p w14:paraId="58D7C904"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3.77</w:t>
            </w:r>
          </w:p>
        </w:tc>
      </w:tr>
      <w:tr w:rsidR="00DE79BD" w14:paraId="33999C5C" w14:textId="77777777" w:rsidTr="00DE79BD">
        <w:trPr>
          <w:trHeight w:val="276"/>
          <w:jc w:val="center"/>
        </w:trPr>
        <w:tc>
          <w:tcPr>
            <w:tcW w:w="0" w:type="auto"/>
            <w:vMerge/>
            <w:vAlign w:val="center"/>
            <w:hideMark/>
          </w:tcPr>
          <w:p w14:paraId="774316E1"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63D1A933" w14:textId="77777777" w:rsidR="00DE79BD" w:rsidRDefault="00DE79BD" w:rsidP="00DD3BAE">
            <w:pPr>
              <w:spacing w:before="0" w:after="0"/>
              <w:jc w:val="center"/>
              <w:rPr>
                <w:color w:val="000000"/>
                <w:sz w:val="16"/>
                <w:szCs w:val="16"/>
              </w:rPr>
            </w:pPr>
            <w:r>
              <w:rPr>
                <w:color w:val="000000"/>
                <w:sz w:val="16"/>
                <w:szCs w:val="16"/>
              </w:rPr>
              <w:t>DI1</w:t>
            </w:r>
          </w:p>
        </w:tc>
        <w:tc>
          <w:tcPr>
            <w:tcW w:w="1083" w:type="dxa"/>
            <w:shd w:val="clear" w:color="auto" w:fill="F3F9FA"/>
            <w:vAlign w:val="center"/>
            <w:hideMark/>
          </w:tcPr>
          <w:p w14:paraId="7D550648" w14:textId="77777777" w:rsidR="00DE79BD" w:rsidRDefault="00DE79BD" w:rsidP="00DD3BAE">
            <w:pPr>
              <w:spacing w:before="0" w:after="0"/>
              <w:jc w:val="center"/>
              <w:rPr>
                <w:color w:val="000000"/>
                <w:sz w:val="16"/>
                <w:szCs w:val="16"/>
              </w:rPr>
            </w:pPr>
            <w:r>
              <w:rPr>
                <w:color w:val="000000"/>
                <w:sz w:val="16"/>
                <w:szCs w:val="16"/>
              </w:rPr>
              <w:t>0.65</w:t>
            </w:r>
          </w:p>
        </w:tc>
        <w:tc>
          <w:tcPr>
            <w:tcW w:w="993" w:type="dxa"/>
            <w:shd w:val="clear" w:color="auto" w:fill="F3F9FA"/>
            <w:vAlign w:val="center"/>
            <w:hideMark/>
          </w:tcPr>
          <w:p w14:paraId="41DEE28E" w14:textId="77777777" w:rsidR="00DE79BD" w:rsidRDefault="00DE79BD" w:rsidP="00DD3BAE">
            <w:pPr>
              <w:spacing w:before="0" w:after="0"/>
              <w:jc w:val="center"/>
              <w:rPr>
                <w:color w:val="000000"/>
                <w:sz w:val="16"/>
                <w:szCs w:val="16"/>
              </w:rPr>
            </w:pPr>
            <w:r>
              <w:rPr>
                <w:color w:val="000000"/>
                <w:sz w:val="16"/>
                <w:szCs w:val="16"/>
              </w:rPr>
              <w:t>1.14</w:t>
            </w:r>
          </w:p>
        </w:tc>
        <w:tc>
          <w:tcPr>
            <w:tcW w:w="1362" w:type="dxa"/>
            <w:shd w:val="clear" w:color="auto" w:fill="F3F9FA"/>
            <w:vAlign w:val="center"/>
            <w:hideMark/>
          </w:tcPr>
          <w:p w14:paraId="1EA638BB" w14:textId="77777777" w:rsidR="00DE79BD" w:rsidRDefault="00DE79BD" w:rsidP="00DD3BAE">
            <w:pPr>
              <w:spacing w:before="0" w:after="0"/>
              <w:jc w:val="center"/>
              <w:rPr>
                <w:color w:val="000000"/>
                <w:sz w:val="16"/>
                <w:szCs w:val="16"/>
              </w:rPr>
            </w:pPr>
            <w:r>
              <w:rPr>
                <w:color w:val="000000"/>
                <w:sz w:val="16"/>
                <w:szCs w:val="16"/>
              </w:rPr>
              <w:t>0.54</w:t>
            </w:r>
          </w:p>
        </w:tc>
        <w:tc>
          <w:tcPr>
            <w:tcW w:w="1329" w:type="dxa"/>
            <w:shd w:val="clear" w:color="auto" w:fill="F3F9FA"/>
            <w:vAlign w:val="center"/>
            <w:hideMark/>
          </w:tcPr>
          <w:p w14:paraId="69DB1AE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75.08</w:t>
            </w:r>
          </w:p>
        </w:tc>
        <w:tc>
          <w:tcPr>
            <w:tcW w:w="1340" w:type="dxa"/>
            <w:shd w:val="clear" w:color="auto" w:fill="F3F9FA"/>
            <w:vAlign w:val="center"/>
            <w:hideMark/>
          </w:tcPr>
          <w:p w14:paraId="15A4CA6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1.65</w:t>
            </w:r>
          </w:p>
        </w:tc>
        <w:tc>
          <w:tcPr>
            <w:tcW w:w="1174" w:type="dxa"/>
            <w:shd w:val="clear" w:color="auto" w:fill="F3F9FA"/>
            <w:noWrap/>
            <w:vAlign w:val="center"/>
            <w:hideMark/>
          </w:tcPr>
          <w:p w14:paraId="6DF5456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61.17</w:t>
            </w:r>
          </w:p>
        </w:tc>
        <w:tc>
          <w:tcPr>
            <w:tcW w:w="1367" w:type="dxa"/>
            <w:shd w:val="clear" w:color="auto" w:fill="F3F9FA"/>
            <w:vAlign w:val="center"/>
          </w:tcPr>
          <w:p w14:paraId="7575646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1.40</w:t>
            </w:r>
          </w:p>
        </w:tc>
      </w:tr>
      <w:tr w:rsidR="00DE79BD" w14:paraId="318E114F" w14:textId="77777777" w:rsidTr="00DE79BD">
        <w:trPr>
          <w:trHeight w:val="276"/>
          <w:jc w:val="center"/>
        </w:trPr>
        <w:tc>
          <w:tcPr>
            <w:tcW w:w="0" w:type="auto"/>
            <w:vMerge/>
            <w:vAlign w:val="center"/>
            <w:hideMark/>
          </w:tcPr>
          <w:p w14:paraId="27104047"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357EA8E1" w14:textId="77777777" w:rsidR="00DE79BD" w:rsidRDefault="00DE79BD" w:rsidP="00DD3BAE">
            <w:pPr>
              <w:spacing w:before="0" w:after="0"/>
              <w:jc w:val="center"/>
              <w:rPr>
                <w:color w:val="000000"/>
                <w:sz w:val="16"/>
                <w:szCs w:val="16"/>
              </w:rPr>
            </w:pPr>
            <w:r>
              <w:rPr>
                <w:color w:val="000000"/>
                <w:sz w:val="16"/>
                <w:szCs w:val="16"/>
              </w:rPr>
              <w:t>DI2</w:t>
            </w:r>
          </w:p>
        </w:tc>
        <w:tc>
          <w:tcPr>
            <w:tcW w:w="1083" w:type="dxa"/>
            <w:shd w:val="clear" w:color="auto" w:fill="F3F9FA"/>
            <w:vAlign w:val="center"/>
            <w:hideMark/>
          </w:tcPr>
          <w:p w14:paraId="57218558" w14:textId="77777777" w:rsidR="00DE79BD" w:rsidRDefault="00DE79BD" w:rsidP="00DD3BAE">
            <w:pPr>
              <w:spacing w:before="0" w:after="0"/>
              <w:jc w:val="center"/>
              <w:rPr>
                <w:color w:val="000000"/>
                <w:sz w:val="16"/>
                <w:szCs w:val="16"/>
              </w:rPr>
            </w:pPr>
            <w:r>
              <w:rPr>
                <w:color w:val="000000"/>
                <w:sz w:val="16"/>
                <w:szCs w:val="16"/>
              </w:rPr>
              <w:t>0.55</w:t>
            </w:r>
          </w:p>
        </w:tc>
        <w:tc>
          <w:tcPr>
            <w:tcW w:w="993" w:type="dxa"/>
            <w:shd w:val="clear" w:color="auto" w:fill="F3F9FA"/>
            <w:vAlign w:val="center"/>
            <w:hideMark/>
          </w:tcPr>
          <w:p w14:paraId="3C05775B" w14:textId="77777777" w:rsidR="00DE79BD" w:rsidRDefault="00DE79BD" w:rsidP="00DD3BAE">
            <w:pPr>
              <w:spacing w:before="0" w:after="0"/>
              <w:jc w:val="center"/>
              <w:rPr>
                <w:color w:val="000000"/>
                <w:sz w:val="16"/>
                <w:szCs w:val="16"/>
              </w:rPr>
            </w:pPr>
            <w:r>
              <w:rPr>
                <w:color w:val="000000"/>
                <w:sz w:val="16"/>
                <w:szCs w:val="16"/>
              </w:rPr>
              <w:t>1.24</w:t>
            </w:r>
          </w:p>
        </w:tc>
        <w:tc>
          <w:tcPr>
            <w:tcW w:w="1362" w:type="dxa"/>
            <w:shd w:val="clear" w:color="auto" w:fill="F3F9FA"/>
            <w:vAlign w:val="center"/>
            <w:hideMark/>
          </w:tcPr>
          <w:p w14:paraId="38C0B799" w14:textId="77777777" w:rsidR="00DE79BD" w:rsidRDefault="00DE79BD" w:rsidP="00DD3BAE">
            <w:pPr>
              <w:spacing w:before="0" w:after="0"/>
              <w:jc w:val="center"/>
              <w:rPr>
                <w:color w:val="000000"/>
                <w:sz w:val="16"/>
                <w:szCs w:val="16"/>
              </w:rPr>
            </w:pPr>
            <w:r>
              <w:rPr>
                <w:color w:val="000000"/>
                <w:sz w:val="16"/>
                <w:szCs w:val="16"/>
              </w:rPr>
              <w:t>0.44</w:t>
            </w:r>
          </w:p>
        </w:tc>
        <w:tc>
          <w:tcPr>
            <w:tcW w:w="1329" w:type="dxa"/>
            <w:shd w:val="clear" w:color="auto" w:fill="F3F9FA"/>
            <w:vAlign w:val="center"/>
            <w:hideMark/>
          </w:tcPr>
          <w:p w14:paraId="545044B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43.83</w:t>
            </w:r>
          </w:p>
        </w:tc>
        <w:tc>
          <w:tcPr>
            <w:tcW w:w="1340" w:type="dxa"/>
            <w:shd w:val="clear" w:color="auto" w:fill="F3F9FA"/>
            <w:vAlign w:val="center"/>
            <w:hideMark/>
          </w:tcPr>
          <w:p w14:paraId="266A16E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0.97</w:t>
            </w:r>
          </w:p>
        </w:tc>
        <w:tc>
          <w:tcPr>
            <w:tcW w:w="1174" w:type="dxa"/>
            <w:shd w:val="clear" w:color="auto" w:fill="F3F9FA"/>
            <w:noWrap/>
            <w:vAlign w:val="center"/>
            <w:hideMark/>
          </w:tcPr>
          <w:p w14:paraId="4EFD424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26.50</w:t>
            </w:r>
          </w:p>
        </w:tc>
        <w:tc>
          <w:tcPr>
            <w:tcW w:w="1367" w:type="dxa"/>
            <w:shd w:val="clear" w:color="auto" w:fill="F3F9FA"/>
            <w:vAlign w:val="center"/>
          </w:tcPr>
          <w:p w14:paraId="64E49DF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0.61</w:t>
            </w:r>
          </w:p>
        </w:tc>
      </w:tr>
      <w:tr w:rsidR="00DE79BD" w14:paraId="37ADA635" w14:textId="77777777" w:rsidTr="00DE79BD">
        <w:trPr>
          <w:trHeight w:val="276"/>
          <w:jc w:val="center"/>
        </w:trPr>
        <w:tc>
          <w:tcPr>
            <w:tcW w:w="0" w:type="auto"/>
            <w:vMerge/>
            <w:vAlign w:val="center"/>
            <w:hideMark/>
          </w:tcPr>
          <w:p w14:paraId="323ADD17"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17408995" w14:textId="77777777" w:rsidR="00DE79BD" w:rsidRDefault="00DE79BD" w:rsidP="00DD3BAE">
            <w:pPr>
              <w:spacing w:before="0" w:after="0"/>
              <w:jc w:val="center"/>
              <w:rPr>
                <w:color w:val="000000"/>
                <w:sz w:val="16"/>
                <w:szCs w:val="16"/>
              </w:rPr>
            </w:pPr>
            <w:r>
              <w:rPr>
                <w:color w:val="000000"/>
                <w:sz w:val="16"/>
                <w:szCs w:val="16"/>
              </w:rPr>
              <w:t>LB1</w:t>
            </w:r>
          </w:p>
        </w:tc>
        <w:tc>
          <w:tcPr>
            <w:tcW w:w="1083" w:type="dxa"/>
            <w:shd w:val="clear" w:color="auto" w:fill="F3F9FA"/>
            <w:vAlign w:val="center"/>
            <w:hideMark/>
          </w:tcPr>
          <w:p w14:paraId="21EAE4E2" w14:textId="77777777" w:rsidR="00DE79BD" w:rsidRDefault="00DE79BD" w:rsidP="00DD3BAE">
            <w:pPr>
              <w:spacing w:before="0" w:after="0"/>
              <w:jc w:val="center"/>
              <w:rPr>
                <w:color w:val="000000"/>
                <w:sz w:val="16"/>
                <w:szCs w:val="16"/>
              </w:rPr>
            </w:pPr>
            <w:r>
              <w:rPr>
                <w:color w:val="000000"/>
                <w:sz w:val="16"/>
                <w:szCs w:val="16"/>
              </w:rPr>
              <w:t>0.42</w:t>
            </w:r>
          </w:p>
        </w:tc>
        <w:tc>
          <w:tcPr>
            <w:tcW w:w="993" w:type="dxa"/>
            <w:shd w:val="clear" w:color="auto" w:fill="F3F9FA"/>
            <w:vAlign w:val="center"/>
            <w:hideMark/>
          </w:tcPr>
          <w:p w14:paraId="4B5B7E14" w14:textId="77777777" w:rsidR="00DE79BD" w:rsidRDefault="00DE79BD" w:rsidP="00DD3BAE">
            <w:pPr>
              <w:spacing w:before="0" w:after="0"/>
              <w:jc w:val="center"/>
              <w:rPr>
                <w:color w:val="000000"/>
                <w:sz w:val="16"/>
                <w:szCs w:val="16"/>
              </w:rPr>
            </w:pPr>
            <w:r>
              <w:rPr>
                <w:color w:val="000000"/>
                <w:sz w:val="16"/>
                <w:szCs w:val="16"/>
              </w:rPr>
              <w:t>1.37</w:t>
            </w:r>
          </w:p>
        </w:tc>
        <w:tc>
          <w:tcPr>
            <w:tcW w:w="1362" w:type="dxa"/>
            <w:shd w:val="clear" w:color="auto" w:fill="F3F9FA"/>
            <w:vAlign w:val="center"/>
            <w:hideMark/>
          </w:tcPr>
          <w:p w14:paraId="1000A627" w14:textId="77777777" w:rsidR="00DE79BD" w:rsidRDefault="00DE79BD" w:rsidP="00DD3BAE">
            <w:pPr>
              <w:spacing w:before="0" w:after="0"/>
              <w:jc w:val="center"/>
              <w:rPr>
                <w:color w:val="000000"/>
                <w:sz w:val="16"/>
                <w:szCs w:val="16"/>
              </w:rPr>
            </w:pPr>
            <w:r>
              <w:rPr>
                <w:color w:val="000000"/>
                <w:sz w:val="16"/>
                <w:szCs w:val="16"/>
              </w:rPr>
              <w:t>0.31</w:t>
            </w:r>
          </w:p>
        </w:tc>
        <w:tc>
          <w:tcPr>
            <w:tcW w:w="1329" w:type="dxa"/>
            <w:shd w:val="clear" w:color="auto" w:fill="F3F9FA"/>
            <w:vAlign w:val="center"/>
            <w:hideMark/>
          </w:tcPr>
          <w:p w14:paraId="03F2D454"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18.08</w:t>
            </w:r>
          </w:p>
        </w:tc>
        <w:tc>
          <w:tcPr>
            <w:tcW w:w="1340" w:type="dxa"/>
            <w:shd w:val="clear" w:color="auto" w:fill="F3F9FA"/>
            <w:vAlign w:val="center"/>
            <w:hideMark/>
          </w:tcPr>
          <w:p w14:paraId="15C849C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0.39</w:t>
            </w:r>
          </w:p>
        </w:tc>
        <w:tc>
          <w:tcPr>
            <w:tcW w:w="1174" w:type="dxa"/>
            <w:shd w:val="clear" w:color="auto" w:fill="F3F9FA"/>
            <w:noWrap/>
            <w:vAlign w:val="center"/>
            <w:hideMark/>
          </w:tcPr>
          <w:p w14:paraId="3FC3E230"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7.17</w:t>
            </w:r>
          </w:p>
        </w:tc>
        <w:tc>
          <w:tcPr>
            <w:tcW w:w="1367" w:type="dxa"/>
            <w:shd w:val="clear" w:color="auto" w:fill="F3F9FA"/>
            <w:vAlign w:val="center"/>
          </w:tcPr>
          <w:p w14:paraId="58C9256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0.16</w:t>
            </w:r>
          </w:p>
        </w:tc>
      </w:tr>
      <w:tr w:rsidR="00DE79BD" w14:paraId="1F162E40" w14:textId="77777777" w:rsidTr="00DE79BD">
        <w:trPr>
          <w:trHeight w:val="276"/>
          <w:jc w:val="center"/>
        </w:trPr>
        <w:tc>
          <w:tcPr>
            <w:tcW w:w="0" w:type="auto"/>
            <w:vMerge/>
            <w:tcBorders>
              <w:bottom w:val="single" w:sz="4" w:space="0" w:color="auto"/>
            </w:tcBorders>
            <w:vAlign w:val="center"/>
            <w:hideMark/>
          </w:tcPr>
          <w:p w14:paraId="1BCE1067" w14:textId="77777777" w:rsidR="00DE79BD" w:rsidRDefault="00DE79BD" w:rsidP="00DD3BAE">
            <w:pPr>
              <w:spacing w:before="0" w:after="0"/>
              <w:rPr>
                <w:color w:val="000000"/>
                <w:sz w:val="16"/>
                <w:szCs w:val="16"/>
              </w:rPr>
            </w:pPr>
          </w:p>
        </w:tc>
        <w:tc>
          <w:tcPr>
            <w:tcW w:w="619" w:type="dxa"/>
            <w:tcBorders>
              <w:bottom w:val="single" w:sz="4" w:space="0" w:color="auto"/>
            </w:tcBorders>
            <w:shd w:val="clear" w:color="auto" w:fill="F3F9FA"/>
            <w:vAlign w:val="center"/>
            <w:hideMark/>
          </w:tcPr>
          <w:p w14:paraId="4B580E64" w14:textId="77777777" w:rsidR="00DE79BD" w:rsidRDefault="00DE79BD" w:rsidP="00DD3BAE">
            <w:pPr>
              <w:spacing w:before="0" w:after="0"/>
              <w:jc w:val="center"/>
              <w:rPr>
                <w:color w:val="000000"/>
                <w:sz w:val="16"/>
                <w:szCs w:val="16"/>
              </w:rPr>
            </w:pPr>
            <w:r>
              <w:rPr>
                <w:color w:val="000000"/>
                <w:sz w:val="16"/>
                <w:szCs w:val="16"/>
              </w:rPr>
              <w:t>LB2</w:t>
            </w:r>
          </w:p>
        </w:tc>
        <w:tc>
          <w:tcPr>
            <w:tcW w:w="1083" w:type="dxa"/>
            <w:tcBorders>
              <w:bottom w:val="single" w:sz="4" w:space="0" w:color="auto"/>
            </w:tcBorders>
            <w:shd w:val="clear" w:color="auto" w:fill="F3F9FA"/>
            <w:vAlign w:val="center"/>
            <w:hideMark/>
          </w:tcPr>
          <w:p w14:paraId="0C2CFD67" w14:textId="77777777" w:rsidR="00DE79BD" w:rsidRDefault="00DE79BD" w:rsidP="00DD3BAE">
            <w:pPr>
              <w:spacing w:before="0" w:after="0"/>
              <w:jc w:val="center"/>
              <w:rPr>
                <w:color w:val="000000"/>
                <w:sz w:val="16"/>
                <w:szCs w:val="16"/>
              </w:rPr>
            </w:pPr>
            <w:r>
              <w:rPr>
                <w:color w:val="000000"/>
                <w:sz w:val="16"/>
                <w:szCs w:val="16"/>
              </w:rPr>
              <w:t>0.46</w:t>
            </w:r>
          </w:p>
        </w:tc>
        <w:tc>
          <w:tcPr>
            <w:tcW w:w="993" w:type="dxa"/>
            <w:tcBorders>
              <w:bottom w:val="single" w:sz="4" w:space="0" w:color="auto"/>
            </w:tcBorders>
            <w:shd w:val="clear" w:color="auto" w:fill="F3F9FA"/>
            <w:vAlign w:val="center"/>
            <w:hideMark/>
          </w:tcPr>
          <w:p w14:paraId="3502218D" w14:textId="77777777" w:rsidR="00DE79BD" w:rsidRDefault="00DE79BD" w:rsidP="00DD3BAE">
            <w:pPr>
              <w:spacing w:before="0" w:after="0"/>
              <w:jc w:val="center"/>
              <w:rPr>
                <w:color w:val="000000"/>
                <w:sz w:val="16"/>
                <w:szCs w:val="16"/>
              </w:rPr>
            </w:pPr>
            <w:r>
              <w:rPr>
                <w:color w:val="000000"/>
                <w:sz w:val="16"/>
                <w:szCs w:val="16"/>
              </w:rPr>
              <w:t>1.33</w:t>
            </w:r>
          </w:p>
        </w:tc>
        <w:tc>
          <w:tcPr>
            <w:tcW w:w="1362" w:type="dxa"/>
            <w:tcBorders>
              <w:bottom w:val="single" w:sz="4" w:space="0" w:color="auto"/>
            </w:tcBorders>
            <w:shd w:val="clear" w:color="auto" w:fill="F3F9FA"/>
            <w:vAlign w:val="center"/>
            <w:hideMark/>
          </w:tcPr>
          <w:p w14:paraId="2DCDDC7D" w14:textId="77777777" w:rsidR="00DE79BD" w:rsidRDefault="00DE79BD" w:rsidP="00DD3BAE">
            <w:pPr>
              <w:spacing w:before="0" w:after="0"/>
              <w:jc w:val="center"/>
              <w:rPr>
                <w:color w:val="000000"/>
                <w:sz w:val="16"/>
                <w:szCs w:val="16"/>
              </w:rPr>
            </w:pPr>
            <w:r>
              <w:rPr>
                <w:color w:val="000000"/>
                <w:sz w:val="16"/>
                <w:szCs w:val="16"/>
              </w:rPr>
              <w:t>0.35</w:t>
            </w:r>
          </w:p>
        </w:tc>
        <w:tc>
          <w:tcPr>
            <w:tcW w:w="1329" w:type="dxa"/>
            <w:tcBorders>
              <w:bottom w:val="single" w:sz="4" w:space="0" w:color="auto"/>
            </w:tcBorders>
            <w:shd w:val="clear" w:color="auto" w:fill="F3F9FA"/>
            <w:vAlign w:val="center"/>
            <w:hideMark/>
          </w:tcPr>
          <w:p w14:paraId="4D907F13"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21.75</w:t>
            </w:r>
          </w:p>
        </w:tc>
        <w:tc>
          <w:tcPr>
            <w:tcW w:w="1340" w:type="dxa"/>
            <w:tcBorders>
              <w:bottom w:val="single" w:sz="4" w:space="0" w:color="auto"/>
            </w:tcBorders>
            <w:shd w:val="clear" w:color="auto" w:fill="F3F9FA"/>
            <w:vAlign w:val="center"/>
            <w:hideMark/>
          </w:tcPr>
          <w:p w14:paraId="3B67E9A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0.48</w:t>
            </w:r>
          </w:p>
        </w:tc>
        <w:tc>
          <w:tcPr>
            <w:tcW w:w="1174" w:type="dxa"/>
            <w:tcBorders>
              <w:bottom w:val="single" w:sz="4" w:space="0" w:color="auto"/>
            </w:tcBorders>
            <w:shd w:val="clear" w:color="auto" w:fill="F3F9FA"/>
            <w:noWrap/>
            <w:vAlign w:val="center"/>
            <w:hideMark/>
          </w:tcPr>
          <w:p w14:paraId="1C7C494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6.50</w:t>
            </w:r>
          </w:p>
        </w:tc>
        <w:tc>
          <w:tcPr>
            <w:tcW w:w="1367" w:type="dxa"/>
            <w:tcBorders>
              <w:bottom w:val="single" w:sz="4" w:space="0" w:color="auto"/>
            </w:tcBorders>
            <w:shd w:val="clear" w:color="auto" w:fill="F3F9FA"/>
            <w:vAlign w:val="center"/>
          </w:tcPr>
          <w:p w14:paraId="6714ABF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0.15</w:t>
            </w:r>
          </w:p>
        </w:tc>
      </w:tr>
      <w:tr w:rsidR="00DE79BD" w14:paraId="5611FBCA" w14:textId="77777777" w:rsidTr="00DE79BD">
        <w:trPr>
          <w:trHeight w:val="276"/>
          <w:jc w:val="center"/>
        </w:trPr>
        <w:tc>
          <w:tcPr>
            <w:tcW w:w="619" w:type="dxa"/>
            <w:vMerge w:val="restart"/>
            <w:tcBorders>
              <w:top w:val="single" w:sz="4" w:space="0" w:color="auto"/>
            </w:tcBorders>
            <w:shd w:val="clear" w:color="auto" w:fill="E7F3F4"/>
            <w:textDirection w:val="btLr"/>
            <w:vAlign w:val="center"/>
            <w:hideMark/>
          </w:tcPr>
          <w:p w14:paraId="30F908F8" w14:textId="77777777" w:rsidR="00DE79BD" w:rsidRDefault="00DE79BD" w:rsidP="00DD3BAE">
            <w:pPr>
              <w:spacing w:before="0" w:after="0"/>
              <w:ind w:left="113" w:right="113"/>
              <w:jc w:val="center"/>
              <w:rPr>
                <w:color w:val="000000"/>
                <w:sz w:val="16"/>
                <w:szCs w:val="16"/>
              </w:rPr>
            </w:pPr>
            <w:r>
              <w:rPr>
                <w:color w:val="000000"/>
                <w:sz w:val="16"/>
                <w:szCs w:val="16"/>
              </w:rPr>
              <w:t>Burdekin</w:t>
            </w:r>
          </w:p>
        </w:tc>
        <w:tc>
          <w:tcPr>
            <w:tcW w:w="619" w:type="dxa"/>
            <w:tcBorders>
              <w:top w:val="single" w:sz="4" w:space="0" w:color="auto"/>
            </w:tcBorders>
            <w:shd w:val="clear" w:color="auto" w:fill="E7F3F4"/>
            <w:vAlign w:val="center"/>
            <w:hideMark/>
          </w:tcPr>
          <w:p w14:paraId="5CD9E304" w14:textId="77777777" w:rsidR="00DE79BD" w:rsidRDefault="00DE79BD" w:rsidP="00DD3BAE">
            <w:pPr>
              <w:spacing w:before="0" w:after="0"/>
              <w:jc w:val="center"/>
              <w:rPr>
                <w:color w:val="000000"/>
                <w:sz w:val="16"/>
                <w:szCs w:val="16"/>
              </w:rPr>
            </w:pPr>
            <w:r>
              <w:rPr>
                <w:color w:val="000000"/>
                <w:sz w:val="16"/>
                <w:szCs w:val="16"/>
              </w:rPr>
              <w:t>BB1</w:t>
            </w:r>
          </w:p>
        </w:tc>
        <w:tc>
          <w:tcPr>
            <w:tcW w:w="1083" w:type="dxa"/>
            <w:tcBorders>
              <w:top w:val="single" w:sz="4" w:space="0" w:color="auto"/>
            </w:tcBorders>
            <w:shd w:val="clear" w:color="auto" w:fill="E7F3F4"/>
            <w:vAlign w:val="center"/>
            <w:hideMark/>
          </w:tcPr>
          <w:p w14:paraId="2DE6F0E3" w14:textId="77777777" w:rsidR="00DE79BD" w:rsidRDefault="00DE79BD" w:rsidP="00DD3BAE">
            <w:pPr>
              <w:spacing w:before="0" w:after="0"/>
              <w:jc w:val="center"/>
              <w:rPr>
                <w:color w:val="000000"/>
                <w:sz w:val="16"/>
                <w:szCs w:val="16"/>
              </w:rPr>
            </w:pPr>
            <w:r>
              <w:rPr>
                <w:color w:val="000000"/>
                <w:sz w:val="16"/>
                <w:szCs w:val="16"/>
              </w:rPr>
              <w:t>0.58</w:t>
            </w:r>
          </w:p>
        </w:tc>
        <w:tc>
          <w:tcPr>
            <w:tcW w:w="993" w:type="dxa"/>
            <w:tcBorders>
              <w:top w:val="single" w:sz="4" w:space="0" w:color="auto"/>
            </w:tcBorders>
            <w:shd w:val="clear" w:color="auto" w:fill="E7F3F4"/>
            <w:vAlign w:val="center"/>
            <w:hideMark/>
          </w:tcPr>
          <w:p w14:paraId="0FB4058A" w14:textId="77777777" w:rsidR="00DE79BD" w:rsidRDefault="00DE79BD" w:rsidP="00DD3BAE">
            <w:pPr>
              <w:spacing w:before="0" w:after="0"/>
              <w:jc w:val="center"/>
              <w:rPr>
                <w:color w:val="000000"/>
                <w:sz w:val="16"/>
                <w:szCs w:val="16"/>
              </w:rPr>
            </w:pPr>
            <w:r>
              <w:rPr>
                <w:color w:val="000000"/>
                <w:sz w:val="16"/>
                <w:szCs w:val="16"/>
              </w:rPr>
              <w:t>1.30</w:t>
            </w:r>
          </w:p>
        </w:tc>
        <w:tc>
          <w:tcPr>
            <w:tcW w:w="1362" w:type="dxa"/>
            <w:tcBorders>
              <w:top w:val="single" w:sz="4" w:space="0" w:color="auto"/>
            </w:tcBorders>
            <w:shd w:val="clear" w:color="auto" w:fill="E7F3F4"/>
            <w:vAlign w:val="center"/>
            <w:hideMark/>
          </w:tcPr>
          <w:p w14:paraId="08454725" w14:textId="77777777" w:rsidR="00DE79BD" w:rsidRPr="001C5293" w:rsidRDefault="00DE79BD" w:rsidP="00DD3BAE">
            <w:pPr>
              <w:spacing w:before="0" w:after="0"/>
              <w:jc w:val="center"/>
              <w:rPr>
                <w:color w:val="000000"/>
                <w:sz w:val="16"/>
                <w:szCs w:val="16"/>
              </w:rPr>
            </w:pPr>
            <w:r w:rsidRPr="001C5293">
              <w:rPr>
                <w:color w:val="000000"/>
                <w:sz w:val="16"/>
                <w:szCs w:val="16"/>
              </w:rPr>
              <w:t>0.58</w:t>
            </w:r>
          </w:p>
        </w:tc>
        <w:tc>
          <w:tcPr>
            <w:tcW w:w="1329" w:type="dxa"/>
            <w:tcBorders>
              <w:top w:val="single" w:sz="4" w:space="0" w:color="auto"/>
            </w:tcBorders>
            <w:shd w:val="clear" w:color="auto" w:fill="E7F3F4"/>
            <w:vAlign w:val="center"/>
            <w:hideMark/>
          </w:tcPr>
          <w:p w14:paraId="64C6F8E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88.92</w:t>
            </w:r>
          </w:p>
        </w:tc>
        <w:tc>
          <w:tcPr>
            <w:tcW w:w="1340" w:type="dxa"/>
            <w:tcBorders>
              <w:top w:val="single" w:sz="4" w:space="0" w:color="auto"/>
            </w:tcBorders>
            <w:shd w:val="clear" w:color="auto" w:fill="E7F3F4"/>
            <w:vAlign w:val="center"/>
            <w:hideMark/>
          </w:tcPr>
          <w:p w14:paraId="4047CB6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1.94</w:t>
            </w:r>
          </w:p>
        </w:tc>
        <w:tc>
          <w:tcPr>
            <w:tcW w:w="1174" w:type="dxa"/>
            <w:tcBorders>
              <w:top w:val="single" w:sz="4" w:space="0" w:color="auto"/>
            </w:tcBorders>
            <w:shd w:val="clear" w:color="auto" w:fill="E7F3F4"/>
            <w:noWrap/>
            <w:vAlign w:val="center"/>
            <w:hideMark/>
          </w:tcPr>
          <w:p w14:paraId="1D52F03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49.00</w:t>
            </w:r>
          </w:p>
        </w:tc>
        <w:tc>
          <w:tcPr>
            <w:tcW w:w="1367" w:type="dxa"/>
            <w:tcBorders>
              <w:top w:val="single" w:sz="4" w:space="0" w:color="auto"/>
            </w:tcBorders>
            <w:shd w:val="clear" w:color="auto" w:fill="E7F3F4"/>
            <w:vAlign w:val="center"/>
          </w:tcPr>
          <w:p w14:paraId="11D5E72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1.12</w:t>
            </w:r>
          </w:p>
        </w:tc>
      </w:tr>
      <w:tr w:rsidR="00DE79BD" w14:paraId="13BEF3E9" w14:textId="77777777" w:rsidTr="00DE79BD">
        <w:trPr>
          <w:trHeight w:val="276"/>
          <w:jc w:val="center"/>
        </w:trPr>
        <w:tc>
          <w:tcPr>
            <w:tcW w:w="0" w:type="auto"/>
            <w:vMerge/>
            <w:vAlign w:val="center"/>
            <w:hideMark/>
          </w:tcPr>
          <w:p w14:paraId="0AF563CE"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03028D23" w14:textId="77777777" w:rsidR="00DE79BD" w:rsidRDefault="00DE79BD" w:rsidP="00DD3BAE">
            <w:pPr>
              <w:spacing w:before="0" w:after="0"/>
              <w:jc w:val="center"/>
              <w:rPr>
                <w:color w:val="000000"/>
                <w:sz w:val="16"/>
                <w:szCs w:val="16"/>
              </w:rPr>
            </w:pPr>
            <w:r>
              <w:rPr>
                <w:color w:val="000000"/>
                <w:sz w:val="16"/>
                <w:szCs w:val="16"/>
              </w:rPr>
              <w:t>SB1</w:t>
            </w:r>
          </w:p>
        </w:tc>
        <w:tc>
          <w:tcPr>
            <w:tcW w:w="1083" w:type="dxa"/>
            <w:shd w:val="clear" w:color="auto" w:fill="E7F3F4"/>
            <w:vAlign w:val="center"/>
            <w:hideMark/>
          </w:tcPr>
          <w:p w14:paraId="13ED2D24" w14:textId="77777777" w:rsidR="00DE79BD" w:rsidRDefault="00DE79BD" w:rsidP="00DD3BAE">
            <w:pPr>
              <w:spacing w:before="0" w:after="0"/>
              <w:jc w:val="center"/>
              <w:rPr>
                <w:color w:val="000000"/>
                <w:sz w:val="16"/>
                <w:szCs w:val="16"/>
              </w:rPr>
            </w:pPr>
            <w:r>
              <w:rPr>
                <w:color w:val="000000"/>
                <w:sz w:val="16"/>
                <w:szCs w:val="16"/>
              </w:rPr>
              <w:t>0.57</w:t>
            </w:r>
          </w:p>
        </w:tc>
        <w:tc>
          <w:tcPr>
            <w:tcW w:w="993" w:type="dxa"/>
            <w:shd w:val="clear" w:color="auto" w:fill="E7F3F4"/>
            <w:vAlign w:val="center"/>
            <w:hideMark/>
          </w:tcPr>
          <w:p w14:paraId="0CE9851E" w14:textId="77777777" w:rsidR="00DE79BD" w:rsidRDefault="00DE79BD" w:rsidP="00DD3BAE">
            <w:pPr>
              <w:spacing w:before="0" w:after="0"/>
              <w:jc w:val="center"/>
              <w:rPr>
                <w:color w:val="000000"/>
                <w:sz w:val="16"/>
                <w:szCs w:val="16"/>
              </w:rPr>
            </w:pPr>
            <w:r>
              <w:rPr>
                <w:color w:val="000000"/>
                <w:sz w:val="16"/>
                <w:szCs w:val="16"/>
              </w:rPr>
              <w:t>1.31</w:t>
            </w:r>
          </w:p>
        </w:tc>
        <w:tc>
          <w:tcPr>
            <w:tcW w:w="1362" w:type="dxa"/>
            <w:shd w:val="clear" w:color="auto" w:fill="E7F3F4"/>
            <w:vAlign w:val="center"/>
            <w:hideMark/>
          </w:tcPr>
          <w:p w14:paraId="75A47B81" w14:textId="77777777" w:rsidR="00DE79BD" w:rsidRDefault="00DE79BD" w:rsidP="00DD3BAE">
            <w:pPr>
              <w:spacing w:before="0" w:after="0"/>
              <w:jc w:val="center"/>
              <w:rPr>
                <w:color w:val="000000"/>
                <w:sz w:val="16"/>
                <w:szCs w:val="16"/>
              </w:rPr>
            </w:pPr>
            <w:r>
              <w:rPr>
                <w:color w:val="000000"/>
                <w:sz w:val="16"/>
                <w:szCs w:val="16"/>
              </w:rPr>
              <w:t>0.57</w:t>
            </w:r>
          </w:p>
        </w:tc>
        <w:tc>
          <w:tcPr>
            <w:tcW w:w="1329" w:type="dxa"/>
            <w:shd w:val="clear" w:color="auto" w:fill="E7F3F4"/>
            <w:vAlign w:val="center"/>
            <w:hideMark/>
          </w:tcPr>
          <w:p w14:paraId="4222F920"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68.92</w:t>
            </w:r>
          </w:p>
        </w:tc>
        <w:tc>
          <w:tcPr>
            <w:tcW w:w="1340" w:type="dxa"/>
            <w:shd w:val="clear" w:color="auto" w:fill="E7F3F4"/>
            <w:vAlign w:val="center"/>
            <w:hideMark/>
          </w:tcPr>
          <w:p w14:paraId="52BC24C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1.58</w:t>
            </w:r>
          </w:p>
        </w:tc>
        <w:tc>
          <w:tcPr>
            <w:tcW w:w="1174" w:type="dxa"/>
            <w:shd w:val="clear" w:color="auto" w:fill="E7F3F4"/>
            <w:noWrap/>
            <w:vAlign w:val="center"/>
            <w:hideMark/>
          </w:tcPr>
          <w:p w14:paraId="16DCC70F"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46.33</w:t>
            </w:r>
          </w:p>
        </w:tc>
        <w:tc>
          <w:tcPr>
            <w:tcW w:w="1367" w:type="dxa"/>
            <w:shd w:val="clear" w:color="auto" w:fill="E7F3F4"/>
            <w:vAlign w:val="center"/>
          </w:tcPr>
          <w:p w14:paraId="2ECD443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1.06</w:t>
            </w:r>
          </w:p>
        </w:tc>
      </w:tr>
      <w:tr w:rsidR="00DE79BD" w14:paraId="168AD2BE" w14:textId="77777777" w:rsidTr="00DE79BD">
        <w:trPr>
          <w:trHeight w:val="276"/>
          <w:jc w:val="center"/>
        </w:trPr>
        <w:tc>
          <w:tcPr>
            <w:tcW w:w="0" w:type="auto"/>
            <w:vMerge/>
            <w:vAlign w:val="center"/>
            <w:hideMark/>
          </w:tcPr>
          <w:p w14:paraId="1F9FE3C6"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53F1EA43" w14:textId="77777777" w:rsidR="00DE79BD" w:rsidRDefault="00DE79BD" w:rsidP="00DD3BAE">
            <w:pPr>
              <w:spacing w:before="0" w:after="0"/>
              <w:jc w:val="center"/>
              <w:rPr>
                <w:color w:val="000000"/>
                <w:sz w:val="16"/>
                <w:szCs w:val="16"/>
              </w:rPr>
            </w:pPr>
            <w:r>
              <w:rPr>
                <w:color w:val="000000"/>
                <w:sz w:val="16"/>
                <w:szCs w:val="16"/>
              </w:rPr>
              <w:t>MI1</w:t>
            </w:r>
          </w:p>
        </w:tc>
        <w:tc>
          <w:tcPr>
            <w:tcW w:w="1083" w:type="dxa"/>
            <w:shd w:val="clear" w:color="auto" w:fill="E7F3F4"/>
            <w:vAlign w:val="center"/>
            <w:hideMark/>
          </w:tcPr>
          <w:p w14:paraId="02B4E330" w14:textId="77777777" w:rsidR="00DE79BD" w:rsidRDefault="00DE79BD" w:rsidP="00DD3BAE">
            <w:pPr>
              <w:spacing w:before="0" w:after="0"/>
              <w:jc w:val="center"/>
              <w:rPr>
                <w:color w:val="000000"/>
                <w:sz w:val="16"/>
                <w:szCs w:val="16"/>
              </w:rPr>
            </w:pPr>
            <w:r>
              <w:rPr>
                <w:color w:val="000000"/>
                <w:sz w:val="16"/>
                <w:szCs w:val="16"/>
              </w:rPr>
              <w:t>0.65</w:t>
            </w:r>
          </w:p>
        </w:tc>
        <w:tc>
          <w:tcPr>
            <w:tcW w:w="993" w:type="dxa"/>
            <w:shd w:val="clear" w:color="auto" w:fill="E7F3F4"/>
            <w:vAlign w:val="center"/>
            <w:hideMark/>
          </w:tcPr>
          <w:p w14:paraId="707C498E" w14:textId="77777777" w:rsidR="00DE79BD" w:rsidRDefault="00DE79BD" w:rsidP="00DD3BAE">
            <w:pPr>
              <w:spacing w:before="0" w:after="0"/>
              <w:jc w:val="center"/>
              <w:rPr>
                <w:color w:val="000000"/>
                <w:sz w:val="16"/>
                <w:szCs w:val="16"/>
              </w:rPr>
            </w:pPr>
            <w:r>
              <w:rPr>
                <w:color w:val="000000"/>
                <w:sz w:val="16"/>
                <w:szCs w:val="16"/>
              </w:rPr>
              <w:t>1.19</w:t>
            </w:r>
          </w:p>
        </w:tc>
        <w:tc>
          <w:tcPr>
            <w:tcW w:w="1362" w:type="dxa"/>
            <w:shd w:val="clear" w:color="auto" w:fill="E7F3F4"/>
            <w:vAlign w:val="center"/>
            <w:hideMark/>
          </w:tcPr>
          <w:p w14:paraId="6B1EB15D" w14:textId="77777777" w:rsidR="00DE79BD" w:rsidRDefault="00DE79BD" w:rsidP="00DD3BAE">
            <w:pPr>
              <w:spacing w:before="0" w:after="0"/>
              <w:jc w:val="center"/>
              <w:rPr>
                <w:color w:val="000000"/>
                <w:sz w:val="16"/>
                <w:szCs w:val="16"/>
              </w:rPr>
            </w:pPr>
            <w:r>
              <w:rPr>
                <w:color w:val="000000"/>
                <w:sz w:val="16"/>
                <w:szCs w:val="16"/>
              </w:rPr>
              <w:t>0.67</w:t>
            </w:r>
          </w:p>
        </w:tc>
        <w:tc>
          <w:tcPr>
            <w:tcW w:w="1329" w:type="dxa"/>
            <w:shd w:val="clear" w:color="auto" w:fill="E7F3F4"/>
            <w:vAlign w:val="center"/>
            <w:hideMark/>
          </w:tcPr>
          <w:p w14:paraId="1387396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190.42</w:t>
            </w:r>
          </w:p>
        </w:tc>
        <w:tc>
          <w:tcPr>
            <w:tcW w:w="1340" w:type="dxa"/>
            <w:shd w:val="clear" w:color="auto" w:fill="E7F3F4"/>
            <w:vAlign w:val="center"/>
            <w:hideMark/>
          </w:tcPr>
          <w:p w14:paraId="45B18DD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4.04</w:t>
            </w:r>
          </w:p>
        </w:tc>
        <w:tc>
          <w:tcPr>
            <w:tcW w:w="1174" w:type="dxa"/>
            <w:shd w:val="clear" w:color="auto" w:fill="E7F3F4"/>
            <w:noWrap/>
            <w:vAlign w:val="center"/>
            <w:hideMark/>
          </w:tcPr>
          <w:p w14:paraId="479C3DA3"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81.83</w:t>
            </w:r>
          </w:p>
        </w:tc>
        <w:tc>
          <w:tcPr>
            <w:tcW w:w="1367" w:type="dxa"/>
            <w:shd w:val="clear" w:color="auto" w:fill="E7F3F4"/>
            <w:vAlign w:val="center"/>
          </w:tcPr>
          <w:p w14:paraId="4FF574B3"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1.87</w:t>
            </w:r>
          </w:p>
        </w:tc>
      </w:tr>
      <w:tr w:rsidR="00DE79BD" w14:paraId="64BE2133" w14:textId="77777777" w:rsidTr="00DE79BD">
        <w:trPr>
          <w:trHeight w:val="276"/>
          <w:jc w:val="center"/>
        </w:trPr>
        <w:tc>
          <w:tcPr>
            <w:tcW w:w="0" w:type="auto"/>
            <w:vMerge/>
            <w:vAlign w:val="center"/>
            <w:hideMark/>
          </w:tcPr>
          <w:p w14:paraId="66C38316"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7588C871" w14:textId="77777777" w:rsidR="00DE79BD" w:rsidRDefault="00DE79BD" w:rsidP="00DD3BAE">
            <w:pPr>
              <w:spacing w:before="0" w:after="0"/>
              <w:jc w:val="center"/>
              <w:rPr>
                <w:color w:val="000000"/>
                <w:sz w:val="16"/>
                <w:szCs w:val="16"/>
              </w:rPr>
            </w:pPr>
            <w:r>
              <w:rPr>
                <w:color w:val="000000"/>
                <w:sz w:val="16"/>
                <w:szCs w:val="16"/>
              </w:rPr>
              <w:t>MI2</w:t>
            </w:r>
          </w:p>
        </w:tc>
        <w:tc>
          <w:tcPr>
            <w:tcW w:w="1083" w:type="dxa"/>
            <w:shd w:val="clear" w:color="auto" w:fill="E7F3F4"/>
            <w:vAlign w:val="center"/>
            <w:hideMark/>
          </w:tcPr>
          <w:p w14:paraId="1B7E9502" w14:textId="77777777" w:rsidR="00DE79BD" w:rsidRDefault="00DE79BD" w:rsidP="00DD3BAE">
            <w:pPr>
              <w:spacing w:before="0" w:after="0"/>
              <w:jc w:val="center"/>
              <w:rPr>
                <w:color w:val="000000"/>
                <w:sz w:val="16"/>
                <w:szCs w:val="16"/>
              </w:rPr>
            </w:pPr>
            <w:r>
              <w:rPr>
                <w:color w:val="000000"/>
                <w:sz w:val="16"/>
                <w:szCs w:val="16"/>
              </w:rPr>
              <w:t>0.54</w:t>
            </w:r>
          </w:p>
        </w:tc>
        <w:tc>
          <w:tcPr>
            <w:tcW w:w="993" w:type="dxa"/>
            <w:shd w:val="clear" w:color="auto" w:fill="E7F3F4"/>
            <w:vAlign w:val="center"/>
            <w:hideMark/>
          </w:tcPr>
          <w:p w14:paraId="62272E3D" w14:textId="77777777" w:rsidR="00DE79BD" w:rsidRDefault="00DE79BD" w:rsidP="00DD3BAE">
            <w:pPr>
              <w:spacing w:before="0" w:after="0"/>
              <w:jc w:val="center"/>
              <w:rPr>
                <w:color w:val="000000"/>
                <w:sz w:val="16"/>
                <w:szCs w:val="16"/>
              </w:rPr>
            </w:pPr>
            <w:r>
              <w:rPr>
                <w:color w:val="000000"/>
                <w:sz w:val="16"/>
                <w:szCs w:val="16"/>
              </w:rPr>
              <w:t>1.30</w:t>
            </w:r>
          </w:p>
        </w:tc>
        <w:tc>
          <w:tcPr>
            <w:tcW w:w="1362" w:type="dxa"/>
            <w:shd w:val="clear" w:color="auto" w:fill="E7F3F4"/>
            <w:vAlign w:val="center"/>
            <w:hideMark/>
          </w:tcPr>
          <w:p w14:paraId="1425C310" w14:textId="77777777" w:rsidR="00DE79BD" w:rsidRDefault="00DE79BD" w:rsidP="00DD3BAE">
            <w:pPr>
              <w:spacing w:before="0" w:after="0"/>
              <w:jc w:val="center"/>
              <w:rPr>
                <w:color w:val="000000"/>
                <w:sz w:val="16"/>
                <w:szCs w:val="16"/>
              </w:rPr>
            </w:pPr>
            <w:r>
              <w:rPr>
                <w:color w:val="000000"/>
                <w:sz w:val="16"/>
                <w:szCs w:val="16"/>
              </w:rPr>
              <w:t>0.56</w:t>
            </w:r>
          </w:p>
        </w:tc>
        <w:tc>
          <w:tcPr>
            <w:tcW w:w="1329" w:type="dxa"/>
            <w:shd w:val="clear" w:color="auto" w:fill="E7F3F4"/>
            <w:vAlign w:val="center"/>
            <w:hideMark/>
          </w:tcPr>
          <w:p w14:paraId="07B8FBA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176.92</w:t>
            </w:r>
          </w:p>
        </w:tc>
        <w:tc>
          <w:tcPr>
            <w:tcW w:w="1340" w:type="dxa"/>
            <w:shd w:val="clear" w:color="auto" w:fill="E7F3F4"/>
            <w:vAlign w:val="center"/>
            <w:hideMark/>
          </w:tcPr>
          <w:p w14:paraId="5E9C04E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3.62</w:t>
            </w:r>
          </w:p>
        </w:tc>
        <w:tc>
          <w:tcPr>
            <w:tcW w:w="1174" w:type="dxa"/>
            <w:shd w:val="clear" w:color="auto" w:fill="E7F3F4"/>
            <w:noWrap/>
            <w:vAlign w:val="center"/>
            <w:hideMark/>
          </w:tcPr>
          <w:p w14:paraId="2274B85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42.67</w:t>
            </w:r>
          </w:p>
        </w:tc>
        <w:tc>
          <w:tcPr>
            <w:tcW w:w="1367" w:type="dxa"/>
            <w:shd w:val="clear" w:color="auto" w:fill="E7F3F4"/>
            <w:vAlign w:val="center"/>
          </w:tcPr>
          <w:p w14:paraId="72D15BD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0.97</w:t>
            </w:r>
          </w:p>
        </w:tc>
      </w:tr>
      <w:tr w:rsidR="00DE79BD" w14:paraId="2E1FBB7F" w14:textId="77777777" w:rsidTr="00DE79BD">
        <w:trPr>
          <w:trHeight w:val="276"/>
          <w:jc w:val="center"/>
        </w:trPr>
        <w:tc>
          <w:tcPr>
            <w:tcW w:w="0" w:type="auto"/>
            <w:vMerge/>
            <w:vAlign w:val="center"/>
            <w:hideMark/>
          </w:tcPr>
          <w:p w14:paraId="6D0C7B5D"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12E596D3" w14:textId="77777777" w:rsidR="00DE79BD" w:rsidRDefault="00DE79BD" w:rsidP="00DD3BAE">
            <w:pPr>
              <w:spacing w:before="0" w:after="0"/>
              <w:jc w:val="center"/>
              <w:rPr>
                <w:color w:val="000000"/>
                <w:sz w:val="16"/>
                <w:szCs w:val="16"/>
              </w:rPr>
            </w:pPr>
            <w:r>
              <w:rPr>
                <w:color w:val="000000"/>
                <w:sz w:val="16"/>
                <w:szCs w:val="16"/>
              </w:rPr>
              <w:t>JR1</w:t>
            </w:r>
          </w:p>
        </w:tc>
        <w:tc>
          <w:tcPr>
            <w:tcW w:w="1083" w:type="dxa"/>
            <w:shd w:val="clear" w:color="auto" w:fill="E7F3F4"/>
            <w:vAlign w:val="center"/>
            <w:hideMark/>
          </w:tcPr>
          <w:p w14:paraId="0CD7CFD5" w14:textId="77777777" w:rsidR="00DE79BD" w:rsidRDefault="00DE79BD" w:rsidP="00DD3BAE">
            <w:pPr>
              <w:spacing w:before="0" w:after="0"/>
              <w:jc w:val="center"/>
              <w:rPr>
                <w:color w:val="000000"/>
                <w:sz w:val="16"/>
                <w:szCs w:val="16"/>
              </w:rPr>
            </w:pPr>
            <w:r>
              <w:rPr>
                <w:color w:val="000000"/>
                <w:sz w:val="16"/>
                <w:szCs w:val="16"/>
              </w:rPr>
              <w:t>0.47</w:t>
            </w:r>
          </w:p>
        </w:tc>
        <w:tc>
          <w:tcPr>
            <w:tcW w:w="993" w:type="dxa"/>
            <w:shd w:val="clear" w:color="auto" w:fill="E7F3F4"/>
            <w:vAlign w:val="center"/>
            <w:hideMark/>
          </w:tcPr>
          <w:p w14:paraId="4E4CD42D" w14:textId="77777777" w:rsidR="00DE79BD" w:rsidRDefault="00DE79BD" w:rsidP="00DD3BAE">
            <w:pPr>
              <w:spacing w:before="0" w:after="0"/>
              <w:jc w:val="center"/>
              <w:rPr>
                <w:color w:val="000000"/>
                <w:sz w:val="16"/>
                <w:szCs w:val="16"/>
              </w:rPr>
            </w:pPr>
            <w:r>
              <w:rPr>
                <w:color w:val="000000"/>
                <w:sz w:val="16"/>
                <w:szCs w:val="16"/>
              </w:rPr>
              <w:t>1.32</w:t>
            </w:r>
          </w:p>
        </w:tc>
        <w:tc>
          <w:tcPr>
            <w:tcW w:w="1362" w:type="dxa"/>
            <w:shd w:val="clear" w:color="auto" w:fill="E7F3F4"/>
            <w:vAlign w:val="center"/>
            <w:hideMark/>
          </w:tcPr>
          <w:p w14:paraId="7474AC38" w14:textId="77777777" w:rsidR="00DE79BD" w:rsidRDefault="00DE79BD" w:rsidP="00DD3BAE">
            <w:pPr>
              <w:spacing w:before="0" w:after="0"/>
              <w:jc w:val="center"/>
              <w:rPr>
                <w:color w:val="000000"/>
                <w:sz w:val="16"/>
                <w:szCs w:val="16"/>
              </w:rPr>
            </w:pPr>
            <w:r>
              <w:rPr>
                <w:color w:val="000000"/>
                <w:sz w:val="16"/>
                <w:szCs w:val="16"/>
              </w:rPr>
              <w:t>0.47</w:t>
            </w:r>
          </w:p>
        </w:tc>
        <w:tc>
          <w:tcPr>
            <w:tcW w:w="1329" w:type="dxa"/>
            <w:shd w:val="clear" w:color="auto" w:fill="E7F3F4"/>
            <w:vAlign w:val="center"/>
            <w:hideMark/>
          </w:tcPr>
          <w:p w14:paraId="3AFFD36F"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65.17</w:t>
            </w:r>
          </w:p>
        </w:tc>
        <w:tc>
          <w:tcPr>
            <w:tcW w:w="1340" w:type="dxa"/>
            <w:shd w:val="clear" w:color="auto" w:fill="E7F3F4"/>
            <w:vAlign w:val="center"/>
            <w:hideMark/>
          </w:tcPr>
          <w:p w14:paraId="035F232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1.48</w:t>
            </w:r>
          </w:p>
        </w:tc>
        <w:tc>
          <w:tcPr>
            <w:tcW w:w="1174" w:type="dxa"/>
            <w:shd w:val="clear" w:color="auto" w:fill="E7F3F4"/>
            <w:noWrap/>
            <w:vAlign w:val="center"/>
            <w:hideMark/>
          </w:tcPr>
          <w:p w14:paraId="73D4D3E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54.33</w:t>
            </w:r>
          </w:p>
        </w:tc>
        <w:tc>
          <w:tcPr>
            <w:tcW w:w="1367" w:type="dxa"/>
            <w:shd w:val="clear" w:color="auto" w:fill="E7F3F4"/>
            <w:vAlign w:val="center"/>
          </w:tcPr>
          <w:p w14:paraId="46D32AD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1.24</w:t>
            </w:r>
          </w:p>
        </w:tc>
      </w:tr>
      <w:tr w:rsidR="00DE79BD" w14:paraId="790DED94" w14:textId="77777777" w:rsidTr="00DE79BD">
        <w:trPr>
          <w:trHeight w:val="276"/>
          <w:jc w:val="center"/>
        </w:trPr>
        <w:tc>
          <w:tcPr>
            <w:tcW w:w="0" w:type="auto"/>
            <w:vMerge/>
            <w:tcBorders>
              <w:bottom w:val="single" w:sz="4" w:space="0" w:color="auto"/>
            </w:tcBorders>
            <w:vAlign w:val="center"/>
            <w:hideMark/>
          </w:tcPr>
          <w:p w14:paraId="1268C9DC" w14:textId="77777777" w:rsidR="00DE79BD" w:rsidRDefault="00DE79BD" w:rsidP="00DD3BAE">
            <w:pPr>
              <w:spacing w:before="0" w:after="0"/>
              <w:rPr>
                <w:color w:val="000000"/>
                <w:sz w:val="16"/>
                <w:szCs w:val="16"/>
              </w:rPr>
            </w:pPr>
          </w:p>
        </w:tc>
        <w:tc>
          <w:tcPr>
            <w:tcW w:w="619" w:type="dxa"/>
            <w:tcBorders>
              <w:bottom w:val="single" w:sz="4" w:space="0" w:color="auto"/>
            </w:tcBorders>
            <w:shd w:val="clear" w:color="auto" w:fill="E7F3F4"/>
            <w:vAlign w:val="center"/>
            <w:hideMark/>
          </w:tcPr>
          <w:p w14:paraId="5914C4C7" w14:textId="77777777" w:rsidR="00DE79BD" w:rsidRDefault="00DE79BD" w:rsidP="00DD3BAE">
            <w:pPr>
              <w:spacing w:before="0" w:after="0"/>
              <w:jc w:val="center"/>
              <w:rPr>
                <w:color w:val="000000"/>
                <w:sz w:val="16"/>
                <w:szCs w:val="16"/>
              </w:rPr>
            </w:pPr>
            <w:r>
              <w:rPr>
                <w:color w:val="000000"/>
                <w:sz w:val="16"/>
                <w:szCs w:val="16"/>
              </w:rPr>
              <w:t>JR2</w:t>
            </w:r>
          </w:p>
        </w:tc>
        <w:tc>
          <w:tcPr>
            <w:tcW w:w="1083" w:type="dxa"/>
            <w:tcBorders>
              <w:bottom w:val="single" w:sz="4" w:space="0" w:color="auto"/>
            </w:tcBorders>
            <w:shd w:val="clear" w:color="auto" w:fill="E7F3F4"/>
            <w:vAlign w:val="center"/>
            <w:hideMark/>
          </w:tcPr>
          <w:p w14:paraId="0CCDE78E" w14:textId="77777777" w:rsidR="00DE79BD" w:rsidRDefault="00DE79BD" w:rsidP="00DD3BAE">
            <w:pPr>
              <w:spacing w:before="0" w:after="0"/>
              <w:jc w:val="center"/>
              <w:rPr>
                <w:color w:val="000000"/>
                <w:sz w:val="16"/>
                <w:szCs w:val="16"/>
              </w:rPr>
            </w:pPr>
            <w:r>
              <w:rPr>
                <w:color w:val="000000"/>
                <w:sz w:val="16"/>
                <w:szCs w:val="16"/>
              </w:rPr>
              <w:t>0.47</w:t>
            </w:r>
          </w:p>
        </w:tc>
        <w:tc>
          <w:tcPr>
            <w:tcW w:w="993" w:type="dxa"/>
            <w:tcBorders>
              <w:bottom w:val="single" w:sz="4" w:space="0" w:color="auto"/>
            </w:tcBorders>
            <w:shd w:val="clear" w:color="auto" w:fill="E7F3F4"/>
            <w:vAlign w:val="center"/>
            <w:hideMark/>
          </w:tcPr>
          <w:p w14:paraId="5238DD38" w14:textId="77777777" w:rsidR="00DE79BD" w:rsidRDefault="00DE79BD" w:rsidP="00DD3BAE">
            <w:pPr>
              <w:spacing w:before="0" w:after="0"/>
              <w:jc w:val="center"/>
              <w:rPr>
                <w:color w:val="000000"/>
                <w:sz w:val="16"/>
                <w:szCs w:val="16"/>
              </w:rPr>
            </w:pPr>
            <w:r>
              <w:rPr>
                <w:color w:val="000000"/>
                <w:sz w:val="16"/>
                <w:szCs w:val="16"/>
              </w:rPr>
              <w:t>1.32</w:t>
            </w:r>
          </w:p>
        </w:tc>
        <w:tc>
          <w:tcPr>
            <w:tcW w:w="1362" w:type="dxa"/>
            <w:tcBorders>
              <w:bottom w:val="single" w:sz="4" w:space="0" w:color="auto"/>
            </w:tcBorders>
            <w:shd w:val="clear" w:color="auto" w:fill="E7F3F4"/>
            <w:vAlign w:val="center"/>
            <w:hideMark/>
          </w:tcPr>
          <w:p w14:paraId="6A8B94BE" w14:textId="77777777" w:rsidR="00DE79BD" w:rsidRDefault="00DE79BD" w:rsidP="00DD3BAE">
            <w:pPr>
              <w:spacing w:before="0" w:after="0"/>
              <w:jc w:val="center"/>
              <w:rPr>
                <w:color w:val="000000"/>
                <w:sz w:val="16"/>
                <w:szCs w:val="16"/>
              </w:rPr>
            </w:pPr>
            <w:r>
              <w:rPr>
                <w:color w:val="000000"/>
                <w:sz w:val="16"/>
                <w:szCs w:val="16"/>
              </w:rPr>
              <w:t>0.47</w:t>
            </w:r>
          </w:p>
        </w:tc>
        <w:tc>
          <w:tcPr>
            <w:tcW w:w="1329" w:type="dxa"/>
            <w:tcBorders>
              <w:bottom w:val="single" w:sz="4" w:space="0" w:color="auto"/>
            </w:tcBorders>
            <w:shd w:val="clear" w:color="auto" w:fill="E7F3F4"/>
            <w:vAlign w:val="center"/>
            <w:hideMark/>
          </w:tcPr>
          <w:p w14:paraId="07D6305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65.17</w:t>
            </w:r>
          </w:p>
        </w:tc>
        <w:tc>
          <w:tcPr>
            <w:tcW w:w="1340" w:type="dxa"/>
            <w:tcBorders>
              <w:bottom w:val="single" w:sz="4" w:space="0" w:color="auto"/>
            </w:tcBorders>
            <w:shd w:val="clear" w:color="auto" w:fill="E7F3F4"/>
            <w:vAlign w:val="center"/>
            <w:hideMark/>
          </w:tcPr>
          <w:p w14:paraId="3F0941F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1.48</w:t>
            </w:r>
          </w:p>
        </w:tc>
        <w:tc>
          <w:tcPr>
            <w:tcW w:w="1174" w:type="dxa"/>
            <w:tcBorders>
              <w:bottom w:val="single" w:sz="4" w:space="0" w:color="auto"/>
            </w:tcBorders>
            <w:shd w:val="clear" w:color="auto" w:fill="E7F3F4"/>
            <w:noWrap/>
            <w:vAlign w:val="center"/>
            <w:hideMark/>
          </w:tcPr>
          <w:p w14:paraId="61354C3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54.33</w:t>
            </w:r>
          </w:p>
        </w:tc>
        <w:tc>
          <w:tcPr>
            <w:tcW w:w="1367" w:type="dxa"/>
            <w:tcBorders>
              <w:bottom w:val="single" w:sz="4" w:space="0" w:color="auto"/>
            </w:tcBorders>
            <w:shd w:val="clear" w:color="auto" w:fill="E7F3F4"/>
            <w:vAlign w:val="center"/>
          </w:tcPr>
          <w:p w14:paraId="54B9DAD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1.24</w:t>
            </w:r>
          </w:p>
        </w:tc>
      </w:tr>
      <w:tr w:rsidR="00DE79BD" w14:paraId="2BA78440" w14:textId="77777777" w:rsidTr="00DE79BD">
        <w:trPr>
          <w:trHeight w:val="276"/>
          <w:jc w:val="center"/>
        </w:trPr>
        <w:tc>
          <w:tcPr>
            <w:tcW w:w="619" w:type="dxa"/>
            <w:vMerge w:val="restart"/>
            <w:tcBorders>
              <w:top w:val="single" w:sz="4" w:space="0" w:color="auto"/>
            </w:tcBorders>
            <w:shd w:val="clear" w:color="auto" w:fill="F3F9FA"/>
            <w:textDirection w:val="btLr"/>
            <w:vAlign w:val="center"/>
            <w:hideMark/>
          </w:tcPr>
          <w:p w14:paraId="266047CB" w14:textId="77777777" w:rsidR="00DE79BD" w:rsidRDefault="00DE79BD" w:rsidP="00DD3BAE">
            <w:pPr>
              <w:spacing w:before="0" w:after="0"/>
              <w:ind w:left="113" w:right="113"/>
              <w:jc w:val="center"/>
              <w:rPr>
                <w:color w:val="000000"/>
                <w:sz w:val="16"/>
                <w:szCs w:val="16"/>
              </w:rPr>
            </w:pPr>
            <w:r>
              <w:rPr>
                <w:color w:val="000000"/>
                <w:sz w:val="16"/>
                <w:szCs w:val="16"/>
              </w:rPr>
              <w:t>Mackay Whitsunday</w:t>
            </w:r>
          </w:p>
        </w:tc>
        <w:tc>
          <w:tcPr>
            <w:tcW w:w="619" w:type="dxa"/>
            <w:tcBorders>
              <w:top w:val="single" w:sz="4" w:space="0" w:color="auto"/>
            </w:tcBorders>
            <w:shd w:val="clear" w:color="auto" w:fill="F3F9FA"/>
            <w:vAlign w:val="center"/>
            <w:hideMark/>
          </w:tcPr>
          <w:p w14:paraId="56AF087E" w14:textId="77777777" w:rsidR="00DE79BD" w:rsidRDefault="00DE79BD" w:rsidP="00DD3BAE">
            <w:pPr>
              <w:spacing w:before="0" w:after="0"/>
              <w:jc w:val="center"/>
              <w:rPr>
                <w:color w:val="000000"/>
                <w:sz w:val="16"/>
                <w:szCs w:val="16"/>
              </w:rPr>
            </w:pPr>
            <w:r>
              <w:rPr>
                <w:color w:val="000000"/>
                <w:sz w:val="16"/>
                <w:szCs w:val="16"/>
              </w:rPr>
              <w:t>PI2</w:t>
            </w:r>
          </w:p>
        </w:tc>
        <w:tc>
          <w:tcPr>
            <w:tcW w:w="1083" w:type="dxa"/>
            <w:tcBorders>
              <w:top w:val="single" w:sz="4" w:space="0" w:color="auto"/>
            </w:tcBorders>
            <w:shd w:val="clear" w:color="auto" w:fill="F3F9FA"/>
            <w:vAlign w:val="center"/>
            <w:hideMark/>
          </w:tcPr>
          <w:p w14:paraId="13E5AA22" w14:textId="77777777" w:rsidR="00DE79BD" w:rsidRDefault="00DE79BD" w:rsidP="00DD3BAE">
            <w:pPr>
              <w:spacing w:before="0" w:after="0"/>
              <w:jc w:val="center"/>
              <w:rPr>
                <w:color w:val="000000"/>
                <w:sz w:val="16"/>
                <w:szCs w:val="16"/>
              </w:rPr>
            </w:pPr>
            <w:r>
              <w:rPr>
                <w:color w:val="000000"/>
                <w:sz w:val="16"/>
                <w:szCs w:val="16"/>
              </w:rPr>
              <w:t>0.28</w:t>
            </w:r>
          </w:p>
        </w:tc>
        <w:tc>
          <w:tcPr>
            <w:tcW w:w="993" w:type="dxa"/>
            <w:tcBorders>
              <w:top w:val="single" w:sz="4" w:space="0" w:color="auto"/>
            </w:tcBorders>
            <w:shd w:val="clear" w:color="auto" w:fill="F3F9FA"/>
            <w:vAlign w:val="center"/>
            <w:hideMark/>
          </w:tcPr>
          <w:p w14:paraId="6CBCA474" w14:textId="77777777" w:rsidR="00DE79BD" w:rsidRDefault="00DE79BD" w:rsidP="00DD3BAE">
            <w:pPr>
              <w:spacing w:before="0" w:after="0"/>
              <w:jc w:val="center"/>
              <w:rPr>
                <w:color w:val="000000"/>
                <w:sz w:val="16"/>
                <w:szCs w:val="16"/>
              </w:rPr>
            </w:pPr>
            <w:r>
              <w:rPr>
                <w:color w:val="000000"/>
                <w:sz w:val="16"/>
                <w:szCs w:val="16"/>
              </w:rPr>
              <w:t>1.47</w:t>
            </w:r>
          </w:p>
        </w:tc>
        <w:tc>
          <w:tcPr>
            <w:tcW w:w="1362" w:type="dxa"/>
            <w:tcBorders>
              <w:top w:val="single" w:sz="4" w:space="0" w:color="auto"/>
            </w:tcBorders>
            <w:shd w:val="clear" w:color="auto" w:fill="F3F9FA"/>
            <w:vAlign w:val="center"/>
            <w:hideMark/>
          </w:tcPr>
          <w:p w14:paraId="1BFDE8A2" w14:textId="77777777" w:rsidR="00DE79BD" w:rsidRDefault="00DE79BD" w:rsidP="00DD3BAE">
            <w:pPr>
              <w:spacing w:before="0" w:after="0"/>
              <w:jc w:val="center"/>
              <w:rPr>
                <w:color w:val="000000"/>
                <w:sz w:val="16"/>
                <w:szCs w:val="16"/>
              </w:rPr>
            </w:pPr>
            <w:r>
              <w:rPr>
                <w:color w:val="000000"/>
                <w:sz w:val="16"/>
                <w:szCs w:val="16"/>
              </w:rPr>
              <w:t>0.44</w:t>
            </w:r>
          </w:p>
        </w:tc>
        <w:tc>
          <w:tcPr>
            <w:tcW w:w="1329" w:type="dxa"/>
            <w:tcBorders>
              <w:top w:val="single" w:sz="4" w:space="0" w:color="auto"/>
            </w:tcBorders>
            <w:shd w:val="clear" w:color="auto" w:fill="F3F9FA"/>
            <w:vAlign w:val="center"/>
            <w:hideMark/>
          </w:tcPr>
          <w:p w14:paraId="76D2574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80.67</w:t>
            </w:r>
          </w:p>
        </w:tc>
        <w:tc>
          <w:tcPr>
            <w:tcW w:w="1340" w:type="dxa"/>
            <w:tcBorders>
              <w:top w:val="single" w:sz="4" w:space="0" w:color="auto"/>
            </w:tcBorders>
            <w:shd w:val="clear" w:color="auto" w:fill="F3F9FA"/>
            <w:vAlign w:val="center"/>
            <w:hideMark/>
          </w:tcPr>
          <w:p w14:paraId="7E6C3DF9"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1.85</w:t>
            </w:r>
          </w:p>
        </w:tc>
        <w:tc>
          <w:tcPr>
            <w:tcW w:w="1174" w:type="dxa"/>
            <w:tcBorders>
              <w:top w:val="single" w:sz="4" w:space="0" w:color="auto"/>
            </w:tcBorders>
            <w:shd w:val="clear" w:color="auto" w:fill="F3F9FA"/>
            <w:noWrap/>
            <w:vAlign w:val="center"/>
            <w:hideMark/>
          </w:tcPr>
          <w:p w14:paraId="1992765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75.17</w:t>
            </w:r>
          </w:p>
        </w:tc>
        <w:tc>
          <w:tcPr>
            <w:tcW w:w="1367" w:type="dxa"/>
            <w:tcBorders>
              <w:top w:val="single" w:sz="4" w:space="0" w:color="auto"/>
            </w:tcBorders>
            <w:shd w:val="clear" w:color="auto" w:fill="F3F9FA"/>
            <w:vAlign w:val="center"/>
          </w:tcPr>
          <w:p w14:paraId="22D39FD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1.72</w:t>
            </w:r>
          </w:p>
        </w:tc>
      </w:tr>
      <w:tr w:rsidR="00DE79BD" w14:paraId="048C4E60" w14:textId="77777777" w:rsidTr="00DE79BD">
        <w:trPr>
          <w:trHeight w:val="276"/>
          <w:jc w:val="center"/>
        </w:trPr>
        <w:tc>
          <w:tcPr>
            <w:tcW w:w="0" w:type="auto"/>
            <w:vMerge/>
            <w:vAlign w:val="center"/>
            <w:hideMark/>
          </w:tcPr>
          <w:p w14:paraId="548944DE"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3123ECA3" w14:textId="77777777" w:rsidR="00DE79BD" w:rsidRDefault="00DE79BD" w:rsidP="00DD3BAE">
            <w:pPr>
              <w:spacing w:before="0" w:after="0"/>
              <w:jc w:val="center"/>
              <w:rPr>
                <w:color w:val="000000"/>
                <w:sz w:val="16"/>
                <w:szCs w:val="16"/>
              </w:rPr>
            </w:pPr>
            <w:r>
              <w:rPr>
                <w:color w:val="000000"/>
                <w:sz w:val="16"/>
                <w:szCs w:val="16"/>
              </w:rPr>
              <w:t>PI3</w:t>
            </w:r>
          </w:p>
        </w:tc>
        <w:tc>
          <w:tcPr>
            <w:tcW w:w="1083" w:type="dxa"/>
            <w:shd w:val="clear" w:color="auto" w:fill="F3F9FA"/>
            <w:vAlign w:val="center"/>
            <w:hideMark/>
          </w:tcPr>
          <w:p w14:paraId="4A3A09F2" w14:textId="77777777" w:rsidR="00DE79BD" w:rsidRDefault="00DE79BD" w:rsidP="00DD3BAE">
            <w:pPr>
              <w:spacing w:before="0" w:after="0"/>
              <w:jc w:val="center"/>
              <w:rPr>
                <w:color w:val="000000"/>
                <w:sz w:val="16"/>
                <w:szCs w:val="16"/>
              </w:rPr>
            </w:pPr>
            <w:r>
              <w:rPr>
                <w:color w:val="000000"/>
                <w:sz w:val="16"/>
                <w:szCs w:val="16"/>
              </w:rPr>
              <w:t>0.17</w:t>
            </w:r>
          </w:p>
        </w:tc>
        <w:tc>
          <w:tcPr>
            <w:tcW w:w="993" w:type="dxa"/>
            <w:shd w:val="clear" w:color="auto" w:fill="F3F9FA"/>
            <w:vAlign w:val="center"/>
            <w:hideMark/>
          </w:tcPr>
          <w:p w14:paraId="2F9C75DC" w14:textId="77777777" w:rsidR="00DE79BD" w:rsidRDefault="00DE79BD" w:rsidP="00DD3BAE">
            <w:pPr>
              <w:spacing w:before="0" w:after="0"/>
              <w:jc w:val="center"/>
              <w:rPr>
                <w:color w:val="000000"/>
                <w:sz w:val="16"/>
                <w:szCs w:val="16"/>
              </w:rPr>
            </w:pPr>
            <w:r>
              <w:rPr>
                <w:color w:val="000000"/>
                <w:sz w:val="16"/>
                <w:szCs w:val="16"/>
              </w:rPr>
              <w:t>1.58</w:t>
            </w:r>
          </w:p>
        </w:tc>
        <w:tc>
          <w:tcPr>
            <w:tcW w:w="1362" w:type="dxa"/>
            <w:shd w:val="clear" w:color="auto" w:fill="F3F9FA"/>
            <w:vAlign w:val="center"/>
            <w:hideMark/>
          </w:tcPr>
          <w:p w14:paraId="206256CF" w14:textId="77777777" w:rsidR="00DE79BD" w:rsidRDefault="00DE79BD" w:rsidP="00DD3BAE">
            <w:pPr>
              <w:spacing w:before="0" w:after="0"/>
              <w:jc w:val="center"/>
              <w:rPr>
                <w:color w:val="000000"/>
                <w:sz w:val="16"/>
                <w:szCs w:val="16"/>
              </w:rPr>
            </w:pPr>
            <w:r>
              <w:rPr>
                <w:color w:val="000000"/>
                <w:sz w:val="16"/>
                <w:szCs w:val="16"/>
              </w:rPr>
              <w:t>0.33</w:t>
            </w:r>
          </w:p>
        </w:tc>
        <w:tc>
          <w:tcPr>
            <w:tcW w:w="1329" w:type="dxa"/>
            <w:shd w:val="clear" w:color="auto" w:fill="F3F9FA"/>
            <w:vAlign w:val="center"/>
            <w:hideMark/>
          </w:tcPr>
          <w:p w14:paraId="77A90D8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41.50</w:t>
            </w:r>
          </w:p>
        </w:tc>
        <w:tc>
          <w:tcPr>
            <w:tcW w:w="1340" w:type="dxa"/>
            <w:shd w:val="clear" w:color="auto" w:fill="F3F9FA"/>
            <w:vAlign w:val="center"/>
            <w:hideMark/>
          </w:tcPr>
          <w:p w14:paraId="2B78D514"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0.95</w:t>
            </w:r>
          </w:p>
        </w:tc>
        <w:tc>
          <w:tcPr>
            <w:tcW w:w="1174" w:type="dxa"/>
            <w:shd w:val="clear" w:color="auto" w:fill="F3F9FA"/>
            <w:noWrap/>
            <w:vAlign w:val="center"/>
            <w:hideMark/>
          </w:tcPr>
          <w:p w14:paraId="55931C6F"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32.17</w:t>
            </w:r>
          </w:p>
        </w:tc>
        <w:tc>
          <w:tcPr>
            <w:tcW w:w="1367" w:type="dxa"/>
            <w:shd w:val="clear" w:color="auto" w:fill="F3F9FA"/>
            <w:vAlign w:val="center"/>
          </w:tcPr>
          <w:p w14:paraId="07B6A2B2"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0.73</w:t>
            </w:r>
          </w:p>
        </w:tc>
      </w:tr>
      <w:tr w:rsidR="00DE79BD" w14:paraId="6EE20F21" w14:textId="77777777" w:rsidTr="00DE79BD">
        <w:trPr>
          <w:trHeight w:val="276"/>
          <w:jc w:val="center"/>
        </w:trPr>
        <w:tc>
          <w:tcPr>
            <w:tcW w:w="0" w:type="auto"/>
            <w:vMerge/>
            <w:vAlign w:val="center"/>
            <w:hideMark/>
          </w:tcPr>
          <w:p w14:paraId="15A765D6"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51FA759E" w14:textId="77777777" w:rsidR="00DE79BD" w:rsidRDefault="00DE79BD" w:rsidP="00DD3BAE">
            <w:pPr>
              <w:spacing w:before="0" w:after="0"/>
              <w:jc w:val="center"/>
              <w:rPr>
                <w:color w:val="000000"/>
                <w:sz w:val="16"/>
                <w:szCs w:val="16"/>
              </w:rPr>
            </w:pPr>
            <w:r>
              <w:rPr>
                <w:color w:val="000000"/>
                <w:sz w:val="16"/>
                <w:szCs w:val="16"/>
              </w:rPr>
              <w:t>HM1</w:t>
            </w:r>
          </w:p>
        </w:tc>
        <w:tc>
          <w:tcPr>
            <w:tcW w:w="1083" w:type="dxa"/>
            <w:shd w:val="clear" w:color="auto" w:fill="F3F9FA"/>
            <w:vAlign w:val="center"/>
            <w:hideMark/>
          </w:tcPr>
          <w:p w14:paraId="107F150E" w14:textId="77777777" w:rsidR="00DE79BD" w:rsidRDefault="00DE79BD" w:rsidP="00DD3BAE">
            <w:pPr>
              <w:spacing w:before="0" w:after="0"/>
              <w:jc w:val="center"/>
              <w:rPr>
                <w:color w:val="000000"/>
                <w:sz w:val="16"/>
                <w:szCs w:val="16"/>
              </w:rPr>
            </w:pPr>
            <w:r>
              <w:rPr>
                <w:color w:val="000000"/>
                <w:sz w:val="16"/>
                <w:szCs w:val="16"/>
              </w:rPr>
              <w:t>0.68</w:t>
            </w:r>
          </w:p>
        </w:tc>
        <w:tc>
          <w:tcPr>
            <w:tcW w:w="993" w:type="dxa"/>
            <w:shd w:val="clear" w:color="auto" w:fill="F3F9FA"/>
            <w:vAlign w:val="center"/>
            <w:hideMark/>
          </w:tcPr>
          <w:p w14:paraId="765767B7" w14:textId="77777777" w:rsidR="00DE79BD" w:rsidRDefault="00DE79BD" w:rsidP="00DD3BAE">
            <w:pPr>
              <w:spacing w:before="0" w:after="0"/>
              <w:jc w:val="center"/>
              <w:rPr>
                <w:color w:val="000000"/>
                <w:sz w:val="16"/>
                <w:szCs w:val="16"/>
              </w:rPr>
            </w:pPr>
            <w:r>
              <w:rPr>
                <w:color w:val="000000"/>
                <w:sz w:val="16"/>
                <w:szCs w:val="16"/>
              </w:rPr>
              <w:t>1.52</w:t>
            </w:r>
          </w:p>
        </w:tc>
        <w:tc>
          <w:tcPr>
            <w:tcW w:w="1362" w:type="dxa"/>
            <w:shd w:val="clear" w:color="auto" w:fill="F3F9FA"/>
            <w:vAlign w:val="center"/>
            <w:hideMark/>
          </w:tcPr>
          <w:p w14:paraId="1232C913" w14:textId="77777777" w:rsidR="00DE79BD" w:rsidRDefault="00DE79BD" w:rsidP="00DD3BAE">
            <w:pPr>
              <w:spacing w:before="0" w:after="0"/>
              <w:jc w:val="center"/>
              <w:rPr>
                <w:color w:val="000000"/>
                <w:sz w:val="16"/>
                <w:szCs w:val="16"/>
              </w:rPr>
            </w:pPr>
            <w:r>
              <w:rPr>
                <w:color w:val="000000"/>
                <w:sz w:val="16"/>
                <w:szCs w:val="16"/>
              </w:rPr>
              <w:t>0.38</w:t>
            </w:r>
          </w:p>
        </w:tc>
        <w:tc>
          <w:tcPr>
            <w:tcW w:w="1329" w:type="dxa"/>
            <w:shd w:val="clear" w:color="auto" w:fill="F3F9FA"/>
            <w:vAlign w:val="center"/>
            <w:hideMark/>
          </w:tcPr>
          <w:p w14:paraId="41589F77"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56.67</w:t>
            </w:r>
          </w:p>
        </w:tc>
        <w:tc>
          <w:tcPr>
            <w:tcW w:w="1340" w:type="dxa"/>
            <w:shd w:val="clear" w:color="auto" w:fill="F3F9FA"/>
            <w:vAlign w:val="center"/>
            <w:hideMark/>
          </w:tcPr>
          <w:p w14:paraId="7FEA6F9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1.29</w:t>
            </w:r>
          </w:p>
        </w:tc>
        <w:tc>
          <w:tcPr>
            <w:tcW w:w="1174" w:type="dxa"/>
            <w:shd w:val="clear" w:color="auto" w:fill="F3F9FA"/>
            <w:noWrap/>
            <w:vAlign w:val="center"/>
            <w:hideMark/>
          </w:tcPr>
          <w:p w14:paraId="5FC8127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46.50</w:t>
            </w:r>
          </w:p>
        </w:tc>
        <w:tc>
          <w:tcPr>
            <w:tcW w:w="1367" w:type="dxa"/>
            <w:shd w:val="clear" w:color="auto" w:fill="F3F9FA"/>
            <w:vAlign w:val="center"/>
          </w:tcPr>
          <w:p w14:paraId="1979C0B1"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1.06</w:t>
            </w:r>
          </w:p>
        </w:tc>
      </w:tr>
      <w:tr w:rsidR="00DE79BD" w14:paraId="719BC439" w14:textId="77777777" w:rsidTr="00DE79BD">
        <w:trPr>
          <w:trHeight w:val="276"/>
          <w:jc w:val="center"/>
        </w:trPr>
        <w:tc>
          <w:tcPr>
            <w:tcW w:w="0" w:type="auto"/>
            <w:vMerge/>
            <w:vAlign w:val="center"/>
            <w:hideMark/>
          </w:tcPr>
          <w:p w14:paraId="716B541B"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3D867809" w14:textId="77777777" w:rsidR="00DE79BD" w:rsidRDefault="00DE79BD" w:rsidP="00DD3BAE">
            <w:pPr>
              <w:spacing w:before="0" w:after="0"/>
              <w:jc w:val="center"/>
              <w:rPr>
                <w:color w:val="000000"/>
                <w:sz w:val="16"/>
                <w:szCs w:val="16"/>
              </w:rPr>
            </w:pPr>
            <w:r>
              <w:rPr>
                <w:color w:val="000000"/>
                <w:sz w:val="16"/>
                <w:szCs w:val="16"/>
              </w:rPr>
              <w:t>HM2</w:t>
            </w:r>
          </w:p>
        </w:tc>
        <w:tc>
          <w:tcPr>
            <w:tcW w:w="1083" w:type="dxa"/>
            <w:shd w:val="clear" w:color="auto" w:fill="F3F9FA"/>
            <w:vAlign w:val="center"/>
            <w:hideMark/>
          </w:tcPr>
          <w:p w14:paraId="6AB7BE38" w14:textId="77777777" w:rsidR="00DE79BD" w:rsidRDefault="00DE79BD" w:rsidP="00DD3BAE">
            <w:pPr>
              <w:spacing w:before="0" w:after="0"/>
              <w:jc w:val="center"/>
              <w:rPr>
                <w:color w:val="000000"/>
                <w:sz w:val="16"/>
                <w:szCs w:val="16"/>
              </w:rPr>
            </w:pPr>
            <w:r>
              <w:rPr>
                <w:color w:val="000000"/>
                <w:sz w:val="16"/>
                <w:szCs w:val="16"/>
              </w:rPr>
              <w:t>0.68</w:t>
            </w:r>
          </w:p>
        </w:tc>
        <w:tc>
          <w:tcPr>
            <w:tcW w:w="993" w:type="dxa"/>
            <w:shd w:val="clear" w:color="auto" w:fill="F3F9FA"/>
            <w:vAlign w:val="center"/>
            <w:hideMark/>
          </w:tcPr>
          <w:p w14:paraId="26095917" w14:textId="77777777" w:rsidR="00DE79BD" w:rsidRDefault="00DE79BD" w:rsidP="00DD3BAE">
            <w:pPr>
              <w:spacing w:before="0" w:after="0"/>
              <w:jc w:val="center"/>
              <w:rPr>
                <w:color w:val="000000"/>
                <w:sz w:val="16"/>
                <w:szCs w:val="16"/>
              </w:rPr>
            </w:pPr>
            <w:r>
              <w:rPr>
                <w:color w:val="000000"/>
                <w:sz w:val="16"/>
                <w:szCs w:val="16"/>
              </w:rPr>
              <w:t>1.52</w:t>
            </w:r>
          </w:p>
        </w:tc>
        <w:tc>
          <w:tcPr>
            <w:tcW w:w="1362" w:type="dxa"/>
            <w:shd w:val="clear" w:color="auto" w:fill="F3F9FA"/>
            <w:vAlign w:val="center"/>
            <w:hideMark/>
          </w:tcPr>
          <w:p w14:paraId="4FAB8CAA" w14:textId="77777777" w:rsidR="00DE79BD" w:rsidRDefault="00DE79BD" w:rsidP="00DD3BAE">
            <w:pPr>
              <w:spacing w:before="0" w:after="0"/>
              <w:jc w:val="center"/>
              <w:rPr>
                <w:color w:val="000000"/>
                <w:sz w:val="16"/>
                <w:szCs w:val="16"/>
              </w:rPr>
            </w:pPr>
            <w:r>
              <w:rPr>
                <w:color w:val="000000"/>
                <w:sz w:val="16"/>
                <w:szCs w:val="16"/>
              </w:rPr>
              <w:t>0.38</w:t>
            </w:r>
          </w:p>
        </w:tc>
        <w:tc>
          <w:tcPr>
            <w:tcW w:w="1329" w:type="dxa"/>
            <w:shd w:val="clear" w:color="auto" w:fill="F3F9FA"/>
            <w:vAlign w:val="center"/>
            <w:hideMark/>
          </w:tcPr>
          <w:p w14:paraId="0340304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56.67</w:t>
            </w:r>
          </w:p>
        </w:tc>
        <w:tc>
          <w:tcPr>
            <w:tcW w:w="1340" w:type="dxa"/>
            <w:shd w:val="clear" w:color="auto" w:fill="F3F9FA"/>
            <w:vAlign w:val="center"/>
            <w:hideMark/>
          </w:tcPr>
          <w:p w14:paraId="5088B117"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1.29</w:t>
            </w:r>
          </w:p>
        </w:tc>
        <w:tc>
          <w:tcPr>
            <w:tcW w:w="1174" w:type="dxa"/>
            <w:shd w:val="clear" w:color="auto" w:fill="F3F9FA"/>
            <w:noWrap/>
            <w:vAlign w:val="center"/>
            <w:hideMark/>
          </w:tcPr>
          <w:p w14:paraId="26FE9A0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46.50</w:t>
            </w:r>
          </w:p>
        </w:tc>
        <w:tc>
          <w:tcPr>
            <w:tcW w:w="1367" w:type="dxa"/>
            <w:shd w:val="clear" w:color="auto" w:fill="F3F9FA"/>
            <w:vAlign w:val="center"/>
          </w:tcPr>
          <w:p w14:paraId="10679A6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1.06</w:t>
            </w:r>
          </w:p>
        </w:tc>
      </w:tr>
      <w:tr w:rsidR="00DE79BD" w14:paraId="7A448FEC" w14:textId="77777777" w:rsidTr="00DE79BD">
        <w:trPr>
          <w:trHeight w:val="276"/>
          <w:jc w:val="center"/>
        </w:trPr>
        <w:tc>
          <w:tcPr>
            <w:tcW w:w="0" w:type="auto"/>
            <w:vMerge/>
            <w:vAlign w:val="center"/>
            <w:hideMark/>
          </w:tcPr>
          <w:p w14:paraId="7FC3B83D"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127FEDFB" w14:textId="77777777" w:rsidR="00DE79BD" w:rsidRDefault="00DE79BD" w:rsidP="00DD3BAE">
            <w:pPr>
              <w:spacing w:before="0" w:after="0"/>
              <w:jc w:val="center"/>
              <w:rPr>
                <w:color w:val="000000"/>
                <w:sz w:val="16"/>
                <w:szCs w:val="16"/>
              </w:rPr>
            </w:pPr>
            <w:r>
              <w:rPr>
                <w:color w:val="000000"/>
                <w:sz w:val="16"/>
                <w:szCs w:val="16"/>
              </w:rPr>
              <w:t>SI1</w:t>
            </w:r>
          </w:p>
        </w:tc>
        <w:tc>
          <w:tcPr>
            <w:tcW w:w="1083" w:type="dxa"/>
            <w:shd w:val="clear" w:color="auto" w:fill="F3F9FA"/>
            <w:vAlign w:val="center"/>
            <w:hideMark/>
          </w:tcPr>
          <w:p w14:paraId="50D9665D" w14:textId="77777777" w:rsidR="00DE79BD" w:rsidRDefault="00DE79BD" w:rsidP="00DD3BAE">
            <w:pPr>
              <w:spacing w:before="0" w:after="0"/>
              <w:jc w:val="center"/>
              <w:rPr>
                <w:color w:val="000000"/>
                <w:sz w:val="16"/>
                <w:szCs w:val="16"/>
              </w:rPr>
            </w:pPr>
            <w:r>
              <w:rPr>
                <w:color w:val="000000"/>
                <w:sz w:val="16"/>
                <w:szCs w:val="16"/>
              </w:rPr>
              <w:t>0.60</w:t>
            </w:r>
          </w:p>
        </w:tc>
        <w:tc>
          <w:tcPr>
            <w:tcW w:w="993" w:type="dxa"/>
            <w:shd w:val="clear" w:color="auto" w:fill="F3F9FA"/>
            <w:vAlign w:val="center"/>
            <w:hideMark/>
          </w:tcPr>
          <w:p w14:paraId="3F38CFC2" w14:textId="77777777" w:rsidR="00DE79BD" w:rsidRDefault="00DE79BD" w:rsidP="00DD3BAE">
            <w:pPr>
              <w:spacing w:before="0" w:after="0"/>
              <w:jc w:val="center"/>
              <w:rPr>
                <w:color w:val="000000"/>
                <w:sz w:val="16"/>
                <w:szCs w:val="16"/>
              </w:rPr>
            </w:pPr>
            <w:r>
              <w:rPr>
                <w:color w:val="000000"/>
                <w:sz w:val="16"/>
                <w:szCs w:val="16"/>
              </w:rPr>
              <w:t>2.80</w:t>
            </w:r>
          </w:p>
        </w:tc>
        <w:tc>
          <w:tcPr>
            <w:tcW w:w="1362" w:type="dxa"/>
            <w:shd w:val="clear" w:color="auto" w:fill="F3F9FA"/>
            <w:vAlign w:val="center"/>
            <w:hideMark/>
          </w:tcPr>
          <w:p w14:paraId="01871461" w14:textId="77777777" w:rsidR="00DE79BD" w:rsidRDefault="00DE79BD" w:rsidP="00DD3BAE">
            <w:pPr>
              <w:spacing w:before="0" w:after="0"/>
              <w:jc w:val="center"/>
              <w:rPr>
                <w:color w:val="000000"/>
                <w:sz w:val="16"/>
                <w:szCs w:val="16"/>
              </w:rPr>
            </w:pPr>
            <w:r>
              <w:rPr>
                <w:color w:val="000000"/>
                <w:sz w:val="16"/>
                <w:szCs w:val="16"/>
              </w:rPr>
              <w:t>0.54</w:t>
            </w:r>
          </w:p>
        </w:tc>
        <w:tc>
          <w:tcPr>
            <w:tcW w:w="1329" w:type="dxa"/>
            <w:shd w:val="clear" w:color="auto" w:fill="F3F9FA"/>
            <w:vAlign w:val="center"/>
            <w:hideMark/>
          </w:tcPr>
          <w:p w14:paraId="36258AF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23.75</w:t>
            </w:r>
          </w:p>
        </w:tc>
        <w:tc>
          <w:tcPr>
            <w:tcW w:w="1340" w:type="dxa"/>
            <w:shd w:val="clear" w:color="auto" w:fill="F3F9FA"/>
            <w:vAlign w:val="center"/>
            <w:hideMark/>
          </w:tcPr>
          <w:p w14:paraId="59518C6F"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0.51</w:t>
            </w:r>
          </w:p>
        </w:tc>
        <w:tc>
          <w:tcPr>
            <w:tcW w:w="1174" w:type="dxa"/>
            <w:shd w:val="clear" w:color="auto" w:fill="F3F9FA"/>
            <w:noWrap/>
            <w:vAlign w:val="center"/>
            <w:hideMark/>
          </w:tcPr>
          <w:p w14:paraId="28856E0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31.17</w:t>
            </w:r>
          </w:p>
        </w:tc>
        <w:tc>
          <w:tcPr>
            <w:tcW w:w="1367" w:type="dxa"/>
            <w:shd w:val="clear" w:color="auto" w:fill="F3F9FA"/>
            <w:vAlign w:val="center"/>
          </w:tcPr>
          <w:p w14:paraId="21DB6F2B"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0.71</w:t>
            </w:r>
          </w:p>
        </w:tc>
      </w:tr>
      <w:tr w:rsidR="00DE79BD" w14:paraId="1EE89B43" w14:textId="77777777" w:rsidTr="00DE79BD">
        <w:trPr>
          <w:trHeight w:val="276"/>
          <w:jc w:val="center"/>
        </w:trPr>
        <w:tc>
          <w:tcPr>
            <w:tcW w:w="0" w:type="auto"/>
            <w:vMerge/>
            <w:tcBorders>
              <w:bottom w:val="single" w:sz="4" w:space="0" w:color="auto"/>
            </w:tcBorders>
            <w:vAlign w:val="center"/>
            <w:hideMark/>
          </w:tcPr>
          <w:p w14:paraId="33523FA1" w14:textId="77777777" w:rsidR="00DE79BD" w:rsidRDefault="00DE79BD" w:rsidP="00DD3BAE">
            <w:pPr>
              <w:spacing w:before="0" w:after="0"/>
              <w:rPr>
                <w:color w:val="000000"/>
                <w:sz w:val="16"/>
                <w:szCs w:val="16"/>
              </w:rPr>
            </w:pPr>
          </w:p>
        </w:tc>
        <w:tc>
          <w:tcPr>
            <w:tcW w:w="619" w:type="dxa"/>
            <w:tcBorders>
              <w:bottom w:val="single" w:sz="4" w:space="0" w:color="auto"/>
            </w:tcBorders>
            <w:shd w:val="clear" w:color="auto" w:fill="F3F9FA"/>
            <w:vAlign w:val="center"/>
            <w:hideMark/>
          </w:tcPr>
          <w:p w14:paraId="755FD6BB" w14:textId="77777777" w:rsidR="00DE79BD" w:rsidRDefault="00DE79BD" w:rsidP="00DD3BAE">
            <w:pPr>
              <w:spacing w:before="0" w:after="0"/>
              <w:jc w:val="center"/>
              <w:rPr>
                <w:color w:val="000000"/>
                <w:sz w:val="16"/>
                <w:szCs w:val="16"/>
              </w:rPr>
            </w:pPr>
            <w:r>
              <w:rPr>
                <w:color w:val="000000"/>
                <w:sz w:val="16"/>
                <w:szCs w:val="16"/>
              </w:rPr>
              <w:t>SI2</w:t>
            </w:r>
          </w:p>
        </w:tc>
        <w:tc>
          <w:tcPr>
            <w:tcW w:w="1083" w:type="dxa"/>
            <w:tcBorders>
              <w:bottom w:val="single" w:sz="4" w:space="0" w:color="auto"/>
            </w:tcBorders>
            <w:shd w:val="clear" w:color="auto" w:fill="F3F9FA"/>
            <w:vAlign w:val="center"/>
            <w:hideMark/>
          </w:tcPr>
          <w:p w14:paraId="78BDBC91" w14:textId="77777777" w:rsidR="00DE79BD" w:rsidRDefault="00DE79BD" w:rsidP="00DD3BAE">
            <w:pPr>
              <w:spacing w:before="0" w:after="0"/>
              <w:jc w:val="center"/>
              <w:rPr>
                <w:color w:val="000000"/>
                <w:sz w:val="16"/>
                <w:szCs w:val="16"/>
              </w:rPr>
            </w:pPr>
            <w:r>
              <w:rPr>
                <w:color w:val="000000"/>
                <w:sz w:val="16"/>
                <w:szCs w:val="16"/>
              </w:rPr>
              <w:t>0.60</w:t>
            </w:r>
          </w:p>
        </w:tc>
        <w:tc>
          <w:tcPr>
            <w:tcW w:w="993" w:type="dxa"/>
            <w:tcBorders>
              <w:bottom w:val="single" w:sz="4" w:space="0" w:color="auto"/>
            </w:tcBorders>
            <w:shd w:val="clear" w:color="auto" w:fill="F3F9FA"/>
            <w:vAlign w:val="center"/>
            <w:hideMark/>
          </w:tcPr>
          <w:p w14:paraId="21F7F19A" w14:textId="77777777" w:rsidR="00DE79BD" w:rsidRDefault="00DE79BD" w:rsidP="00DD3BAE">
            <w:pPr>
              <w:spacing w:before="0" w:after="0"/>
              <w:jc w:val="center"/>
              <w:rPr>
                <w:color w:val="000000"/>
                <w:sz w:val="16"/>
                <w:szCs w:val="16"/>
              </w:rPr>
            </w:pPr>
            <w:r>
              <w:rPr>
                <w:color w:val="000000"/>
                <w:sz w:val="16"/>
                <w:szCs w:val="16"/>
              </w:rPr>
              <w:t>2.80</w:t>
            </w:r>
          </w:p>
        </w:tc>
        <w:tc>
          <w:tcPr>
            <w:tcW w:w="1362" w:type="dxa"/>
            <w:tcBorders>
              <w:bottom w:val="single" w:sz="4" w:space="0" w:color="auto"/>
            </w:tcBorders>
            <w:shd w:val="clear" w:color="auto" w:fill="F3F9FA"/>
            <w:vAlign w:val="center"/>
            <w:hideMark/>
          </w:tcPr>
          <w:p w14:paraId="3FFC5C37" w14:textId="77777777" w:rsidR="00DE79BD" w:rsidRDefault="00DE79BD" w:rsidP="00DD3BAE">
            <w:pPr>
              <w:spacing w:before="0" w:after="0"/>
              <w:jc w:val="center"/>
              <w:rPr>
                <w:color w:val="000000"/>
                <w:sz w:val="16"/>
                <w:szCs w:val="16"/>
              </w:rPr>
            </w:pPr>
            <w:r>
              <w:rPr>
                <w:color w:val="000000"/>
                <w:sz w:val="16"/>
                <w:szCs w:val="16"/>
              </w:rPr>
              <w:t>0.54</w:t>
            </w:r>
          </w:p>
        </w:tc>
        <w:tc>
          <w:tcPr>
            <w:tcW w:w="1329" w:type="dxa"/>
            <w:tcBorders>
              <w:bottom w:val="single" w:sz="4" w:space="0" w:color="auto"/>
            </w:tcBorders>
            <w:shd w:val="clear" w:color="auto" w:fill="F3F9FA"/>
            <w:vAlign w:val="center"/>
            <w:hideMark/>
          </w:tcPr>
          <w:p w14:paraId="4F6A777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23.75</w:t>
            </w:r>
          </w:p>
        </w:tc>
        <w:tc>
          <w:tcPr>
            <w:tcW w:w="1340" w:type="dxa"/>
            <w:tcBorders>
              <w:bottom w:val="single" w:sz="4" w:space="0" w:color="auto"/>
            </w:tcBorders>
            <w:shd w:val="clear" w:color="auto" w:fill="F3F9FA"/>
            <w:vAlign w:val="center"/>
            <w:hideMark/>
          </w:tcPr>
          <w:p w14:paraId="4275964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0.51</w:t>
            </w:r>
          </w:p>
        </w:tc>
        <w:tc>
          <w:tcPr>
            <w:tcW w:w="1174" w:type="dxa"/>
            <w:tcBorders>
              <w:bottom w:val="single" w:sz="4" w:space="0" w:color="auto"/>
            </w:tcBorders>
            <w:shd w:val="clear" w:color="auto" w:fill="F3F9FA"/>
            <w:noWrap/>
            <w:vAlign w:val="center"/>
            <w:hideMark/>
          </w:tcPr>
          <w:p w14:paraId="3413D6C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31.17</w:t>
            </w:r>
          </w:p>
        </w:tc>
        <w:tc>
          <w:tcPr>
            <w:tcW w:w="1367" w:type="dxa"/>
            <w:tcBorders>
              <w:bottom w:val="single" w:sz="4" w:space="0" w:color="auto"/>
            </w:tcBorders>
            <w:shd w:val="clear" w:color="auto" w:fill="F3F9FA"/>
            <w:vAlign w:val="center"/>
          </w:tcPr>
          <w:p w14:paraId="78242D3E"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0.71</w:t>
            </w:r>
          </w:p>
        </w:tc>
      </w:tr>
      <w:tr w:rsidR="00DE79BD" w14:paraId="02565FD2" w14:textId="77777777" w:rsidTr="00DE79BD">
        <w:trPr>
          <w:trHeight w:val="276"/>
          <w:jc w:val="center"/>
        </w:trPr>
        <w:tc>
          <w:tcPr>
            <w:tcW w:w="619" w:type="dxa"/>
            <w:vMerge w:val="restart"/>
            <w:tcBorders>
              <w:top w:val="single" w:sz="4" w:space="0" w:color="auto"/>
            </w:tcBorders>
            <w:shd w:val="clear" w:color="auto" w:fill="E7F3F4"/>
            <w:textDirection w:val="btLr"/>
            <w:vAlign w:val="center"/>
            <w:hideMark/>
          </w:tcPr>
          <w:p w14:paraId="5C991701" w14:textId="77777777" w:rsidR="00DE79BD" w:rsidRDefault="00DE79BD" w:rsidP="00DD3BAE">
            <w:pPr>
              <w:spacing w:before="0" w:after="0"/>
              <w:ind w:left="113" w:right="113"/>
              <w:jc w:val="center"/>
              <w:rPr>
                <w:color w:val="000000"/>
                <w:sz w:val="16"/>
                <w:szCs w:val="16"/>
              </w:rPr>
            </w:pPr>
            <w:r>
              <w:rPr>
                <w:color w:val="000000"/>
                <w:sz w:val="16"/>
                <w:szCs w:val="16"/>
              </w:rPr>
              <w:t>Fitzroy</w:t>
            </w:r>
          </w:p>
        </w:tc>
        <w:tc>
          <w:tcPr>
            <w:tcW w:w="619" w:type="dxa"/>
            <w:tcBorders>
              <w:top w:val="single" w:sz="4" w:space="0" w:color="auto"/>
            </w:tcBorders>
            <w:shd w:val="clear" w:color="auto" w:fill="E7F3F4"/>
            <w:vAlign w:val="center"/>
            <w:hideMark/>
          </w:tcPr>
          <w:p w14:paraId="78146E02" w14:textId="77777777" w:rsidR="00DE79BD" w:rsidRDefault="00DE79BD" w:rsidP="00DD3BAE">
            <w:pPr>
              <w:spacing w:before="0" w:after="0"/>
              <w:jc w:val="center"/>
              <w:rPr>
                <w:color w:val="000000"/>
                <w:sz w:val="16"/>
                <w:szCs w:val="16"/>
              </w:rPr>
            </w:pPr>
            <w:r>
              <w:rPr>
                <w:color w:val="000000"/>
                <w:sz w:val="16"/>
                <w:szCs w:val="16"/>
              </w:rPr>
              <w:t>RC1</w:t>
            </w:r>
          </w:p>
        </w:tc>
        <w:tc>
          <w:tcPr>
            <w:tcW w:w="1083" w:type="dxa"/>
            <w:tcBorders>
              <w:top w:val="single" w:sz="4" w:space="0" w:color="auto"/>
            </w:tcBorders>
            <w:shd w:val="clear" w:color="auto" w:fill="E7F3F4"/>
            <w:vAlign w:val="center"/>
            <w:hideMark/>
          </w:tcPr>
          <w:p w14:paraId="42CD2B1A" w14:textId="77777777" w:rsidR="00DE79BD" w:rsidRDefault="00DE79BD" w:rsidP="00DD3BAE">
            <w:pPr>
              <w:spacing w:before="0" w:after="0"/>
              <w:jc w:val="center"/>
              <w:rPr>
                <w:color w:val="000000"/>
                <w:sz w:val="16"/>
                <w:szCs w:val="16"/>
              </w:rPr>
            </w:pPr>
            <w:r>
              <w:rPr>
                <w:color w:val="000000"/>
                <w:sz w:val="16"/>
                <w:szCs w:val="16"/>
              </w:rPr>
              <w:t>2.03</w:t>
            </w:r>
          </w:p>
        </w:tc>
        <w:tc>
          <w:tcPr>
            <w:tcW w:w="993" w:type="dxa"/>
            <w:tcBorders>
              <w:top w:val="single" w:sz="4" w:space="0" w:color="auto"/>
            </w:tcBorders>
            <w:shd w:val="clear" w:color="auto" w:fill="E7F3F4"/>
            <w:vAlign w:val="center"/>
            <w:hideMark/>
          </w:tcPr>
          <w:p w14:paraId="53FB5F55" w14:textId="77777777" w:rsidR="00DE79BD" w:rsidRDefault="00DE79BD" w:rsidP="00DD3BAE">
            <w:pPr>
              <w:spacing w:before="0" w:after="0"/>
              <w:jc w:val="center"/>
              <w:rPr>
                <w:color w:val="000000"/>
                <w:sz w:val="16"/>
                <w:szCs w:val="16"/>
              </w:rPr>
            </w:pPr>
            <w:r>
              <w:rPr>
                <w:color w:val="000000"/>
                <w:sz w:val="16"/>
                <w:szCs w:val="16"/>
              </w:rPr>
              <w:t>1.30</w:t>
            </w:r>
          </w:p>
        </w:tc>
        <w:tc>
          <w:tcPr>
            <w:tcW w:w="1362" w:type="dxa"/>
            <w:tcBorders>
              <w:top w:val="single" w:sz="4" w:space="0" w:color="auto"/>
            </w:tcBorders>
            <w:shd w:val="clear" w:color="auto" w:fill="E7F3F4"/>
            <w:vAlign w:val="center"/>
            <w:hideMark/>
          </w:tcPr>
          <w:p w14:paraId="6D852661" w14:textId="77777777" w:rsidR="00DE79BD" w:rsidRDefault="00DE79BD" w:rsidP="00DD3BAE">
            <w:pPr>
              <w:spacing w:before="0" w:after="0"/>
              <w:jc w:val="center"/>
              <w:rPr>
                <w:color w:val="000000"/>
                <w:sz w:val="16"/>
                <w:szCs w:val="16"/>
              </w:rPr>
            </w:pPr>
            <w:r>
              <w:rPr>
                <w:color w:val="000000"/>
                <w:sz w:val="16"/>
                <w:szCs w:val="16"/>
              </w:rPr>
              <w:t>1.06</w:t>
            </w:r>
          </w:p>
        </w:tc>
        <w:tc>
          <w:tcPr>
            <w:tcW w:w="1329" w:type="dxa"/>
            <w:tcBorders>
              <w:top w:val="single" w:sz="4" w:space="0" w:color="auto"/>
            </w:tcBorders>
            <w:shd w:val="clear" w:color="auto" w:fill="E7F3F4"/>
            <w:vAlign w:val="center"/>
            <w:hideMark/>
          </w:tcPr>
          <w:p w14:paraId="281E43A9"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162.67</w:t>
            </w:r>
          </w:p>
        </w:tc>
        <w:tc>
          <w:tcPr>
            <w:tcW w:w="1340" w:type="dxa"/>
            <w:tcBorders>
              <w:top w:val="single" w:sz="4" w:space="0" w:color="auto"/>
            </w:tcBorders>
            <w:shd w:val="clear" w:color="auto" w:fill="E7F3F4"/>
            <w:vAlign w:val="center"/>
            <w:hideMark/>
          </w:tcPr>
          <w:p w14:paraId="2C167DF1"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3.69</w:t>
            </w:r>
          </w:p>
        </w:tc>
        <w:tc>
          <w:tcPr>
            <w:tcW w:w="1174" w:type="dxa"/>
            <w:tcBorders>
              <w:top w:val="single" w:sz="4" w:space="0" w:color="auto"/>
            </w:tcBorders>
            <w:shd w:val="clear" w:color="auto" w:fill="E7F3F4"/>
            <w:noWrap/>
            <w:vAlign w:val="center"/>
            <w:hideMark/>
          </w:tcPr>
          <w:p w14:paraId="75EA4E54"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219.17</w:t>
            </w:r>
          </w:p>
        </w:tc>
        <w:tc>
          <w:tcPr>
            <w:tcW w:w="1367" w:type="dxa"/>
            <w:tcBorders>
              <w:top w:val="single" w:sz="4" w:space="0" w:color="auto"/>
            </w:tcBorders>
            <w:shd w:val="clear" w:color="auto" w:fill="E7F3F4"/>
            <w:vAlign w:val="center"/>
          </w:tcPr>
          <w:p w14:paraId="38CBED2B"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5.00</w:t>
            </w:r>
          </w:p>
        </w:tc>
      </w:tr>
      <w:tr w:rsidR="00DE79BD" w14:paraId="0F8C2008" w14:textId="77777777" w:rsidTr="00DE79BD">
        <w:trPr>
          <w:trHeight w:val="276"/>
          <w:jc w:val="center"/>
        </w:trPr>
        <w:tc>
          <w:tcPr>
            <w:tcW w:w="0" w:type="auto"/>
            <w:vMerge/>
            <w:vAlign w:val="center"/>
            <w:hideMark/>
          </w:tcPr>
          <w:p w14:paraId="46A69C8F"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00D0E64F" w14:textId="77777777" w:rsidR="00DE79BD" w:rsidRDefault="00DE79BD" w:rsidP="00DD3BAE">
            <w:pPr>
              <w:spacing w:before="0" w:after="0"/>
              <w:jc w:val="center"/>
              <w:rPr>
                <w:color w:val="000000"/>
                <w:sz w:val="16"/>
                <w:szCs w:val="16"/>
              </w:rPr>
            </w:pPr>
            <w:r>
              <w:rPr>
                <w:color w:val="000000"/>
                <w:sz w:val="16"/>
                <w:szCs w:val="16"/>
              </w:rPr>
              <w:t>WH1</w:t>
            </w:r>
          </w:p>
        </w:tc>
        <w:tc>
          <w:tcPr>
            <w:tcW w:w="1083" w:type="dxa"/>
            <w:shd w:val="clear" w:color="auto" w:fill="E7F3F4"/>
            <w:vAlign w:val="center"/>
            <w:hideMark/>
          </w:tcPr>
          <w:p w14:paraId="69200C56" w14:textId="77777777" w:rsidR="00DE79BD" w:rsidRDefault="00DE79BD" w:rsidP="00DD3BAE">
            <w:pPr>
              <w:spacing w:before="0" w:after="0"/>
              <w:jc w:val="center"/>
              <w:rPr>
                <w:color w:val="000000"/>
                <w:sz w:val="16"/>
                <w:szCs w:val="16"/>
              </w:rPr>
            </w:pPr>
            <w:r>
              <w:rPr>
                <w:color w:val="000000"/>
                <w:sz w:val="16"/>
                <w:szCs w:val="16"/>
              </w:rPr>
              <w:t>2.16</w:t>
            </w:r>
          </w:p>
        </w:tc>
        <w:tc>
          <w:tcPr>
            <w:tcW w:w="993" w:type="dxa"/>
            <w:shd w:val="clear" w:color="auto" w:fill="E7F3F4"/>
            <w:vAlign w:val="center"/>
            <w:hideMark/>
          </w:tcPr>
          <w:p w14:paraId="0D861C75" w14:textId="77777777" w:rsidR="00DE79BD" w:rsidRDefault="00DE79BD" w:rsidP="00DD3BAE">
            <w:pPr>
              <w:spacing w:before="0" w:after="0"/>
              <w:jc w:val="center"/>
              <w:rPr>
                <w:color w:val="000000"/>
                <w:sz w:val="16"/>
                <w:szCs w:val="16"/>
              </w:rPr>
            </w:pPr>
            <w:r>
              <w:rPr>
                <w:color w:val="000000"/>
                <w:sz w:val="16"/>
                <w:szCs w:val="16"/>
              </w:rPr>
              <w:t>1.17</w:t>
            </w:r>
          </w:p>
        </w:tc>
        <w:tc>
          <w:tcPr>
            <w:tcW w:w="1362" w:type="dxa"/>
            <w:shd w:val="clear" w:color="auto" w:fill="E7F3F4"/>
            <w:vAlign w:val="center"/>
            <w:hideMark/>
          </w:tcPr>
          <w:p w14:paraId="6CFE71F1" w14:textId="77777777" w:rsidR="00DE79BD" w:rsidRDefault="00DE79BD" w:rsidP="00DD3BAE">
            <w:pPr>
              <w:spacing w:before="0" w:after="0"/>
              <w:jc w:val="center"/>
              <w:rPr>
                <w:color w:val="000000"/>
                <w:sz w:val="16"/>
                <w:szCs w:val="16"/>
              </w:rPr>
            </w:pPr>
            <w:r>
              <w:rPr>
                <w:color w:val="000000"/>
                <w:sz w:val="16"/>
                <w:szCs w:val="16"/>
              </w:rPr>
              <w:t>1.19</w:t>
            </w:r>
          </w:p>
        </w:tc>
        <w:tc>
          <w:tcPr>
            <w:tcW w:w="1329" w:type="dxa"/>
            <w:shd w:val="clear" w:color="auto" w:fill="E7F3F4"/>
            <w:vAlign w:val="center"/>
            <w:hideMark/>
          </w:tcPr>
          <w:p w14:paraId="786628A7"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231.75</w:t>
            </w:r>
          </w:p>
        </w:tc>
        <w:tc>
          <w:tcPr>
            <w:tcW w:w="1340" w:type="dxa"/>
            <w:shd w:val="clear" w:color="auto" w:fill="E7F3F4"/>
            <w:vAlign w:val="center"/>
            <w:hideMark/>
          </w:tcPr>
          <w:p w14:paraId="0232837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5.35</w:t>
            </w:r>
          </w:p>
        </w:tc>
        <w:tc>
          <w:tcPr>
            <w:tcW w:w="1174" w:type="dxa"/>
            <w:shd w:val="clear" w:color="auto" w:fill="E7F3F4"/>
            <w:noWrap/>
            <w:vAlign w:val="center"/>
            <w:hideMark/>
          </w:tcPr>
          <w:p w14:paraId="66EAE66A"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294.67</w:t>
            </w:r>
          </w:p>
        </w:tc>
        <w:tc>
          <w:tcPr>
            <w:tcW w:w="1367" w:type="dxa"/>
            <w:shd w:val="clear" w:color="auto" w:fill="E7F3F4"/>
            <w:vAlign w:val="center"/>
          </w:tcPr>
          <w:p w14:paraId="5C965D74"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6.73</w:t>
            </w:r>
          </w:p>
        </w:tc>
      </w:tr>
      <w:tr w:rsidR="00DE79BD" w14:paraId="4F3C1A01" w14:textId="77777777" w:rsidTr="00DE79BD">
        <w:trPr>
          <w:trHeight w:val="276"/>
          <w:jc w:val="center"/>
        </w:trPr>
        <w:tc>
          <w:tcPr>
            <w:tcW w:w="0" w:type="auto"/>
            <w:vMerge/>
            <w:vAlign w:val="center"/>
            <w:hideMark/>
          </w:tcPr>
          <w:p w14:paraId="0DB5942C"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0A02177B" w14:textId="77777777" w:rsidR="00DE79BD" w:rsidRDefault="00DE79BD" w:rsidP="00DD3BAE">
            <w:pPr>
              <w:spacing w:before="0" w:after="0"/>
              <w:jc w:val="center"/>
              <w:rPr>
                <w:color w:val="000000"/>
                <w:sz w:val="16"/>
                <w:szCs w:val="16"/>
              </w:rPr>
            </w:pPr>
            <w:r>
              <w:rPr>
                <w:color w:val="000000"/>
                <w:sz w:val="16"/>
                <w:szCs w:val="16"/>
              </w:rPr>
              <w:t>GK1</w:t>
            </w:r>
          </w:p>
        </w:tc>
        <w:tc>
          <w:tcPr>
            <w:tcW w:w="1083" w:type="dxa"/>
            <w:shd w:val="clear" w:color="auto" w:fill="E7F3F4"/>
            <w:vAlign w:val="center"/>
            <w:hideMark/>
          </w:tcPr>
          <w:p w14:paraId="0D4B85B4" w14:textId="77777777" w:rsidR="00DE79BD" w:rsidRDefault="00DE79BD" w:rsidP="00DD3BAE">
            <w:pPr>
              <w:spacing w:before="0" w:after="0"/>
              <w:jc w:val="center"/>
              <w:rPr>
                <w:color w:val="000000"/>
                <w:sz w:val="16"/>
                <w:szCs w:val="16"/>
              </w:rPr>
            </w:pPr>
            <w:r>
              <w:rPr>
                <w:color w:val="000000"/>
                <w:sz w:val="16"/>
                <w:szCs w:val="16"/>
              </w:rPr>
              <w:t>0.52</w:t>
            </w:r>
          </w:p>
        </w:tc>
        <w:tc>
          <w:tcPr>
            <w:tcW w:w="993" w:type="dxa"/>
            <w:shd w:val="clear" w:color="auto" w:fill="E7F3F4"/>
            <w:vAlign w:val="center"/>
            <w:hideMark/>
          </w:tcPr>
          <w:p w14:paraId="255510D3" w14:textId="77777777" w:rsidR="00DE79BD" w:rsidRDefault="00DE79BD" w:rsidP="00DD3BAE">
            <w:pPr>
              <w:spacing w:before="0" w:after="0"/>
              <w:jc w:val="center"/>
              <w:rPr>
                <w:color w:val="000000"/>
                <w:sz w:val="16"/>
                <w:szCs w:val="16"/>
              </w:rPr>
            </w:pPr>
            <w:r>
              <w:rPr>
                <w:color w:val="000000"/>
                <w:sz w:val="16"/>
                <w:szCs w:val="16"/>
              </w:rPr>
              <w:t>1.93</w:t>
            </w:r>
          </w:p>
        </w:tc>
        <w:tc>
          <w:tcPr>
            <w:tcW w:w="1362" w:type="dxa"/>
            <w:shd w:val="clear" w:color="auto" w:fill="E7F3F4"/>
            <w:vAlign w:val="center"/>
            <w:hideMark/>
          </w:tcPr>
          <w:p w14:paraId="4B733E9A" w14:textId="77777777" w:rsidR="00DE79BD" w:rsidRDefault="00DE79BD" w:rsidP="00DD3BAE">
            <w:pPr>
              <w:spacing w:before="0" w:after="0"/>
              <w:jc w:val="center"/>
              <w:rPr>
                <w:color w:val="000000"/>
                <w:sz w:val="16"/>
                <w:szCs w:val="16"/>
              </w:rPr>
            </w:pPr>
            <w:r>
              <w:rPr>
                <w:color w:val="000000"/>
                <w:sz w:val="16"/>
                <w:szCs w:val="16"/>
              </w:rPr>
              <w:t>0.43</w:t>
            </w:r>
          </w:p>
        </w:tc>
        <w:tc>
          <w:tcPr>
            <w:tcW w:w="1329" w:type="dxa"/>
            <w:shd w:val="clear" w:color="auto" w:fill="E7F3F4"/>
            <w:vAlign w:val="center"/>
            <w:hideMark/>
          </w:tcPr>
          <w:p w14:paraId="1F356C8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34.92</w:t>
            </w:r>
          </w:p>
        </w:tc>
        <w:tc>
          <w:tcPr>
            <w:tcW w:w="1340" w:type="dxa"/>
            <w:shd w:val="clear" w:color="auto" w:fill="E7F3F4"/>
            <w:vAlign w:val="center"/>
            <w:hideMark/>
          </w:tcPr>
          <w:p w14:paraId="5F90E43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0.85</w:t>
            </w:r>
          </w:p>
        </w:tc>
        <w:tc>
          <w:tcPr>
            <w:tcW w:w="1174" w:type="dxa"/>
            <w:shd w:val="clear" w:color="auto" w:fill="E7F3F4"/>
            <w:noWrap/>
            <w:vAlign w:val="center"/>
            <w:hideMark/>
          </w:tcPr>
          <w:p w14:paraId="5490BB4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27.17</w:t>
            </w:r>
          </w:p>
        </w:tc>
        <w:tc>
          <w:tcPr>
            <w:tcW w:w="1367" w:type="dxa"/>
            <w:shd w:val="clear" w:color="auto" w:fill="E7F3F4"/>
            <w:vAlign w:val="center"/>
          </w:tcPr>
          <w:p w14:paraId="4F6E22D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0.62</w:t>
            </w:r>
          </w:p>
        </w:tc>
      </w:tr>
      <w:tr w:rsidR="00DE79BD" w14:paraId="7E605A40" w14:textId="77777777" w:rsidTr="00DE79BD">
        <w:trPr>
          <w:trHeight w:val="276"/>
          <w:jc w:val="center"/>
        </w:trPr>
        <w:tc>
          <w:tcPr>
            <w:tcW w:w="0" w:type="auto"/>
            <w:vMerge/>
            <w:vAlign w:val="center"/>
            <w:hideMark/>
          </w:tcPr>
          <w:p w14:paraId="4FBE6829"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56AED7E4" w14:textId="77777777" w:rsidR="00DE79BD" w:rsidRDefault="00DE79BD" w:rsidP="00DD3BAE">
            <w:pPr>
              <w:spacing w:before="0" w:after="0"/>
              <w:jc w:val="center"/>
              <w:rPr>
                <w:color w:val="000000"/>
                <w:sz w:val="16"/>
                <w:szCs w:val="16"/>
              </w:rPr>
            </w:pPr>
            <w:r>
              <w:rPr>
                <w:color w:val="000000"/>
                <w:sz w:val="16"/>
                <w:szCs w:val="16"/>
              </w:rPr>
              <w:t>GK2</w:t>
            </w:r>
          </w:p>
        </w:tc>
        <w:tc>
          <w:tcPr>
            <w:tcW w:w="1083" w:type="dxa"/>
            <w:shd w:val="clear" w:color="auto" w:fill="E7F3F4"/>
            <w:vAlign w:val="center"/>
            <w:hideMark/>
          </w:tcPr>
          <w:p w14:paraId="0C9D2E5B" w14:textId="77777777" w:rsidR="00DE79BD" w:rsidRDefault="00DE79BD" w:rsidP="00DD3BAE">
            <w:pPr>
              <w:spacing w:before="0" w:after="0"/>
              <w:jc w:val="center"/>
              <w:rPr>
                <w:color w:val="000000"/>
                <w:sz w:val="16"/>
                <w:szCs w:val="16"/>
              </w:rPr>
            </w:pPr>
            <w:r>
              <w:rPr>
                <w:color w:val="000000"/>
                <w:sz w:val="16"/>
                <w:szCs w:val="16"/>
              </w:rPr>
              <w:t>0.58</w:t>
            </w:r>
          </w:p>
        </w:tc>
        <w:tc>
          <w:tcPr>
            <w:tcW w:w="993" w:type="dxa"/>
            <w:shd w:val="clear" w:color="auto" w:fill="E7F3F4"/>
            <w:vAlign w:val="center"/>
            <w:hideMark/>
          </w:tcPr>
          <w:p w14:paraId="05081B73" w14:textId="77777777" w:rsidR="00DE79BD" w:rsidRDefault="00DE79BD" w:rsidP="00DD3BAE">
            <w:pPr>
              <w:spacing w:before="0" w:after="0"/>
              <w:jc w:val="center"/>
              <w:rPr>
                <w:color w:val="000000"/>
                <w:sz w:val="16"/>
                <w:szCs w:val="16"/>
              </w:rPr>
            </w:pPr>
            <w:r>
              <w:rPr>
                <w:color w:val="000000"/>
                <w:sz w:val="16"/>
                <w:szCs w:val="16"/>
              </w:rPr>
              <w:t>1.87</w:t>
            </w:r>
          </w:p>
        </w:tc>
        <w:tc>
          <w:tcPr>
            <w:tcW w:w="1362" w:type="dxa"/>
            <w:shd w:val="clear" w:color="auto" w:fill="E7F3F4"/>
            <w:vAlign w:val="center"/>
            <w:hideMark/>
          </w:tcPr>
          <w:p w14:paraId="2311BBB5" w14:textId="77777777" w:rsidR="00DE79BD" w:rsidRDefault="00DE79BD" w:rsidP="00DD3BAE">
            <w:pPr>
              <w:spacing w:before="0" w:after="0"/>
              <w:jc w:val="center"/>
              <w:rPr>
                <w:color w:val="000000"/>
                <w:sz w:val="16"/>
                <w:szCs w:val="16"/>
              </w:rPr>
            </w:pPr>
            <w:r>
              <w:rPr>
                <w:color w:val="000000"/>
                <w:sz w:val="16"/>
                <w:szCs w:val="16"/>
              </w:rPr>
              <w:t>0.49</w:t>
            </w:r>
          </w:p>
        </w:tc>
        <w:tc>
          <w:tcPr>
            <w:tcW w:w="1329" w:type="dxa"/>
            <w:shd w:val="clear" w:color="auto" w:fill="E7F3F4"/>
            <w:vAlign w:val="center"/>
            <w:hideMark/>
          </w:tcPr>
          <w:p w14:paraId="7A5AD9A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51.67</w:t>
            </w:r>
          </w:p>
        </w:tc>
        <w:tc>
          <w:tcPr>
            <w:tcW w:w="1340" w:type="dxa"/>
            <w:shd w:val="clear" w:color="auto" w:fill="E7F3F4"/>
            <w:vAlign w:val="center"/>
            <w:hideMark/>
          </w:tcPr>
          <w:p w14:paraId="0A5DDAA1"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1.22</w:t>
            </w:r>
          </w:p>
        </w:tc>
        <w:tc>
          <w:tcPr>
            <w:tcW w:w="1174" w:type="dxa"/>
            <w:shd w:val="clear" w:color="auto" w:fill="E7F3F4"/>
            <w:noWrap/>
            <w:vAlign w:val="center"/>
            <w:hideMark/>
          </w:tcPr>
          <w:p w14:paraId="4D99140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43.33</w:t>
            </w:r>
          </w:p>
        </w:tc>
        <w:tc>
          <w:tcPr>
            <w:tcW w:w="1367" w:type="dxa"/>
            <w:shd w:val="clear" w:color="auto" w:fill="E7F3F4"/>
            <w:vAlign w:val="center"/>
          </w:tcPr>
          <w:p w14:paraId="04A30E1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0.99</w:t>
            </w:r>
          </w:p>
        </w:tc>
      </w:tr>
      <w:tr w:rsidR="00DE79BD" w14:paraId="7FD10C8F" w14:textId="77777777" w:rsidTr="00DE79BD">
        <w:trPr>
          <w:trHeight w:val="276"/>
          <w:jc w:val="center"/>
        </w:trPr>
        <w:tc>
          <w:tcPr>
            <w:tcW w:w="0" w:type="auto"/>
            <w:vMerge/>
            <w:vAlign w:val="center"/>
            <w:hideMark/>
          </w:tcPr>
          <w:p w14:paraId="5173378B" w14:textId="77777777" w:rsidR="00DE79BD" w:rsidRDefault="00DE79BD" w:rsidP="00DD3BAE">
            <w:pPr>
              <w:spacing w:before="0" w:after="0"/>
              <w:rPr>
                <w:color w:val="000000"/>
                <w:sz w:val="16"/>
                <w:szCs w:val="16"/>
              </w:rPr>
            </w:pPr>
          </w:p>
        </w:tc>
        <w:tc>
          <w:tcPr>
            <w:tcW w:w="619" w:type="dxa"/>
            <w:shd w:val="clear" w:color="auto" w:fill="E7F3F4"/>
            <w:vAlign w:val="center"/>
            <w:hideMark/>
          </w:tcPr>
          <w:p w14:paraId="4C26B7B9" w14:textId="77777777" w:rsidR="00DE79BD" w:rsidRDefault="00DE79BD" w:rsidP="00DD3BAE">
            <w:pPr>
              <w:spacing w:before="0" w:after="0"/>
              <w:jc w:val="center"/>
              <w:rPr>
                <w:color w:val="000000"/>
                <w:sz w:val="16"/>
                <w:szCs w:val="16"/>
              </w:rPr>
            </w:pPr>
            <w:r>
              <w:rPr>
                <w:color w:val="000000"/>
                <w:sz w:val="16"/>
                <w:szCs w:val="16"/>
              </w:rPr>
              <w:t>GH1</w:t>
            </w:r>
          </w:p>
        </w:tc>
        <w:tc>
          <w:tcPr>
            <w:tcW w:w="1083" w:type="dxa"/>
            <w:shd w:val="clear" w:color="auto" w:fill="E7F3F4"/>
            <w:vAlign w:val="center"/>
            <w:hideMark/>
          </w:tcPr>
          <w:p w14:paraId="04630116" w14:textId="77777777" w:rsidR="00DE79BD" w:rsidRDefault="00DE79BD" w:rsidP="00DD3BAE">
            <w:pPr>
              <w:spacing w:before="0" w:after="0"/>
              <w:jc w:val="center"/>
              <w:rPr>
                <w:color w:val="000000"/>
                <w:sz w:val="16"/>
                <w:szCs w:val="16"/>
              </w:rPr>
            </w:pPr>
            <w:r>
              <w:rPr>
                <w:color w:val="000000"/>
                <w:sz w:val="16"/>
                <w:szCs w:val="16"/>
              </w:rPr>
              <w:t>0.80</w:t>
            </w:r>
          </w:p>
        </w:tc>
        <w:tc>
          <w:tcPr>
            <w:tcW w:w="993" w:type="dxa"/>
            <w:shd w:val="clear" w:color="auto" w:fill="E7F3F4"/>
            <w:vAlign w:val="center"/>
            <w:hideMark/>
          </w:tcPr>
          <w:p w14:paraId="652D6A67" w14:textId="77777777" w:rsidR="00DE79BD" w:rsidRDefault="00DE79BD" w:rsidP="00DD3BAE">
            <w:pPr>
              <w:spacing w:before="0" w:after="0"/>
              <w:jc w:val="center"/>
              <w:rPr>
                <w:color w:val="000000"/>
                <w:sz w:val="16"/>
                <w:szCs w:val="16"/>
              </w:rPr>
            </w:pPr>
            <w:r>
              <w:rPr>
                <w:color w:val="000000"/>
                <w:sz w:val="16"/>
                <w:szCs w:val="16"/>
              </w:rPr>
              <w:t>1.57</w:t>
            </w:r>
          </w:p>
        </w:tc>
        <w:tc>
          <w:tcPr>
            <w:tcW w:w="1362" w:type="dxa"/>
            <w:shd w:val="clear" w:color="auto" w:fill="E7F3F4"/>
            <w:vAlign w:val="center"/>
            <w:hideMark/>
          </w:tcPr>
          <w:p w14:paraId="1A57E137" w14:textId="77777777" w:rsidR="00DE79BD" w:rsidRDefault="00DE79BD" w:rsidP="00DD3BAE">
            <w:pPr>
              <w:spacing w:before="0" w:after="0"/>
              <w:jc w:val="center"/>
              <w:rPr>
                <w:color w:val="000000"/>
                <w:sz w:val="16"/>
                <w:szCs w:val="16"/>
              </w:rPr>
            </w:pPr>
            <w:r>
              <w:rPr>
                <w:color w:val="000000"/>
                <w:sz w:val="16"/>
                <w:szCs w:val="16"/>
              </w:rPr>
              <w:t>0.69</w:t>
            </w:r>
          </w:p>
        </w:tc>
        <w:tc>
          <w:tcPr>
            <w:tcW w:w="1329" w:type="dxa"/>
            <w:shd w:val="clear" w:color="auto" w:fill="E7F3F4"/>
            <w:vAlign w:val="center"/>
            <w:hideMark/>
          </w:tcPr>
          <w:p w14:paraId="3867AEC2"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97.33</w:t>
            </w:r>
          </w:p>
        </w:tc>
        <w:tc>
          <w:tcPr>
            <w:tcW w:w="1340" w:type="dxa"/>
            <w:shd w:val="clear" w:color="auto" w:fill="E7F3F4"/>
            <w:vAlign w:val="center"/>
            <w:hideMark/>
          </w:tcPr>
          <w:p w14:paraId="7CA80FA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2.31</w:t>
            </w:r>
          </w:p>
        </w:tc>
        <w:tc>
          <w:tcPr>
            <w:tcW w:w="1174" w:type="dxa"/>
            <w:shd w:val="clear" w:color="auto" w:fill="E7F3F4"/>
            <w:noWrap/>
            <w:vAlign w:val="center"/>
            <w:hideMark/>
          </w:tcPr>
          <w:p w14:paraId="566D8F4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107.50</w:t>
            </w:r>
          </w:p>
        </w:tc>
        <w:tc>
          <w:tcPr>
            <w:tcW w:w="1367" w:type="dxa"/>
            <w:shd w:val="clear" w:color="auto" w:fill="E7F3F4"/>
            <w:vAlign w:val="center"/>
          </w:tcPr>
          <w:p w14:paraId="441F4CC5"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2.45</w:t>
            </w:r>
          </w:p>
        </w:tc>
      </w:tr>
      <w:tr w:rsidR="00DE79BD" w14:paraId="6F09A4B2" w14:textId="77777777" w:rsidTr="00DE79BD">
        <w:trPr>
          <w:trHeight w:val="276"/>
          <w:jc w:val="center"/>
        </w:trPr>
        <w:tc>
          <w:tcPr>
            <w:tcW w:w="0" w:type="auto"/>
            <w:vMerge/>
            <w:tcBorders>
              <w:bottom w:val="single" w:sz="4" w:space="0" w:color="auto"/>
            </w:tcBorders>
            <w:vAlign w:val="center"/>
            <w:hideMark/>
          </w:tcPr>
          <w:p w14:paraId="11DBD8D7" w14:textId="77777777" w:rsidR="00DE79BD" w:rsidRDefault="00DE79BD" w:rsidP="00DD3BAE">
            <w:pPr>
              <w:spacing w:before="0" w:after="0"/>
              <w:rPr>
                <w:color w:val="000000"/>
                <w:sz w:val="16"/>
                <w:szCs w:val="16"/>
              </w:rPr>
            </w:pPr>
          </w:p>
        </w:tc>
        <w:tc>
          <w:tcPr>
            <w:tcW w:w="619" w:type="dxa"/>
            <w:tcBorders>
              <w:bottom w:val="single" w:sz="4" w:space="0" w:color="auto"/>
            </w:tcBorders>
            <w:shd w:val="clear" w:color="auto" w:fill="E7F3F4"/>
            <w:vAlign w:val="center"/>
            <w:hideMark/>
          </w:tcPr>
          <w:p w14:paraId="3A1A7291" w14:textId="77777777" w:rsidR="00DE79BD" w:rsidRDefault="00DE79BD" w:rsidP="00DD3BAE">
            <w:pPr>
              <w:spacing w:before="0" w:after="0"/>
              <w:jc w:val="center"/>
              <w:rPr>
                <w:color w:val="000000"/>
                <w:sz w:val="16"/>
                <w:szCs w:val="16"/>
              </w:rPr>
            </w:pPr>
            <w:r>
              <w:rPr>
                <w:color w:val="000000"/>
                <w:sz w:val="16"/>
                <w:szCs w:val="16"/>
              </w:rPr>
              <w:t>GH2</w:t>
            </w:r>
          </w:p>
        </w:tc>
        <w:tc>
          <w:tcPr>
            <w:tcW w:w="1083" w:type="dxa"/>
            <w:tcBorders>
              <w:bottom w:val="single" w:sz="4" w:space="0" w:color="auto"/>
            </w:tcBorders>
            <w:shd w:val="clear" w:color="auto" w:fill="E7F3F4"/>
            <w:vAlign w:val="center"/>
            <w:hideMark/>
          </w:tcPr>
          <w:p w14:paraId="23AA02F0" w14:textId="77777777" w:rsidR="00DE79BD" w:rsidRDefault="00DE79BD" w:rsidP="00DD3BAE">
            <w:pPr>
              <w:spacing w:before="0" w:after="0"/>
              <w:jc w:val="center"/>
              <w:rPr>
                <w:color w:val="000000"/>
                <w:sz w:val="16"/>
                <w:szCs w:val="16"/>
              </w:rPr>
            </w:pPr>
            <w:r>
              <w:rPr>
                <w:color w:val="000000"/>
                <w:sz w:val="16"/>
                <w:szCs w:val="16"/>
              </w:rPr>
              <w:t>0.80</w:t>
            </w:r>
          </w:p>
        </w:tc>
        <w:tc>
          <w:tcPr>
            <w:tcW w:w="993" w:type="dxa"/>
            <w:tcBorders>
              <w:bottom w:val="single" w:sz="4" w:space="0" w:color="auto"/>
            </w:tcBorders>
            <w:shd w:val="clear" w:color="auto" w:fill="E7F3F4"/>
            <w:vAlign w:val="center"/>
            <w:hideMark/>
          </w:tcPr>
          <w:p w14:paraId="4C3F77FF" w14:textId="77777777" w:rsidR="00DE79BD" w:rsidRDefault="00DE79BD" w:rsidP="00DD3BAE">
            <w:pPr>
              <w:spacing w:before="0" w:after="0"/>
              <w:jc w:val="center"/>
              <w:rPr>
                <w:color w:val="000000"/>
                <w:sz w:val="16"/>
                <w:szCs w:val="16"/>
              </w:rPr>
            </w:pPr>
            <w:r>
              <w:rPr>
                <w:color w:val="000000"/>
                <w:sz w:val="16"/>
                <w:szCs w:val="16"/>
              </w:rPr>
              <w:t>1.57</w:t>
            </w:r>
          </w:p>
        </w:tc>
        <w:tc>
          <w:tcPr>
            <w:tcW w:w="1362" w:type="dxa"/>
            <w:tcBorders>
              <w:bottom w:val="single" w:sz="4" w:space="0" w:color="auto"/>
            </w:tcBorders>
            <w:shd w:val="clear" w:color="auto" w:fill="E7F3F4"/>
            <w:vAlign w:val="center"/>
            <w:hideMark/>
          </w:tcPr>
          <w:p w14:paraId="39EB3E10" w14:textId="77777777" w:rsidR="00DE79BD" w:rsidRDefault="00DE79BD" w:rsidP="00DD3BAE">
            <w:pPr>
              <w:spacing w:before="0" w:after="0"/>
              <w:jc w:val="center"/>
              <w:rPr>
                <w:color w:val="000000"/>
                <w:sz w:val="16"/>
                <w:szCs w:val="16"/>
              </w:rPr>
            </w:pPr>
            <w:r>
              <w:rPr>
                <w:color w:val="000000"/>
                <w:sz w:val="16"/>
                <w:szCs w:val="16"/>
              </w:rPr>
              <w:t>0.69</w:t>
            </w:r>
          </w:p>
        </w:tc>
        <w:tc>
          <w:tcPr>
            <w:tcW w:w="1329" w:type="dxa"/>
            <w:tcBorders>
              <w:bottom w:val="single" w:sz="4" w:space="0" w:color="auto"/>
            </w:tcBorders>
            <w:shd w:val="clear" w:color="auto" w:fill="E7F3F4"/>
            <w:vAlign w:val="center"/>
            <w:hideMark/>
          </w:tcPr>
          <w:p w14:paraId="10B8D025"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91.58</w:t>
            </w:r>
          </w:p>
        </w:tc>
        <w:tc>
          <w:tcPr>
            <w:tcW w:w="1340" w:type="dxa"/>
            <w:tcBorders>
              <w:bottom w:val="single" w:sz="4" w:space="0" w:color="auto"/>
            </w:tcBorders>
            <w:shd w:val="clear" w:color="auto" w:fill="E7F3F4"/>
            <w:vAlign w:val="center"/>
            <w:hideMark/>
          </w:tcPr>
          <w:p w14:paraId="1D15D73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2.15</w:t>
            </w:r>
          </w:p>
        </w:tc>
        <w:tc>
          <w:tcPr>
            <w:tcW w:w="1174" w:type="dxa"/>
            <w:tcBorders>
              <w:bottom w:val="single" w:sz="4" w:space="0" w:color="auto"/>
            </w:tcBorders>
            <w:shd w:val="clear" w:color="auto" w:fill="E7F3F4"/>
            <w:noWrap/>
            <w:vAlign w:val="center"/>
            <w:hideMark/>
          </w:tcPr>
          <w:p w14:paraId="69EEF0AF"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107.50</w:t>
            </w:r>
          </w:p>
        </w:tc>
        <w:tc>
          <w:tcPr>
            <w:tcW w:w="1367" w:type="dxa"/>
            <w:tcBorders>
              <w:bottom w:val="single" w:sz="4" w:space="0" w:color="auto"/>
            </w:tcBorders>
            <w:shd w:val="clear" w:color="auto" w:fill="E7F3F4"/>
            <w:vAlign w:val="center"/>
          </w:tcPr>
          <w:p w14:paraId="0E946C41"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2.45</w:t>
            </w:r>
          </w:p>
        </w:tc>
      </w:tr>
      <w:tr w:rsidR="00DE79BD" w14:paraId="2391CD3C" w14:textId="77777777" w:rsidTr="00DE79BD">
        <w:trPr>
          <w:trHeight w:val="276"/>
          <w:jc w:val="center"/>
        </w:trPr>
        <w:tc>
          <w:tcPr>
            <w:tcW w:w="619" w:type="dxa"/>
            <w:vMerge w:val="restart"/>
            <w:tcBorders>
              <w:top w:val="single" w:sz="4" w:space="0" w:color="auto"/>
            </w:tcBorders>
            <w:shd w:val="clear" w:color="auto" w:fill="F3F9FA"/>
            <w:textDirection w:val="btLr"/>
            <w:vAlign w:val="center"/>
            <w:hideMark/>
          </w:tcPr>
          <w:p w14:paraId="60002B83" w14:textId="77777777" w:rsidR="00DE79BD" w:rsidRDefault="00DE79BD" w:rsidP="00DD3BAE">
            <w:pPr>
              <w:spacing w:before="0" w:after="0"/>
              <w:ind w:left="113" w:right="113"/>
              <w:jc w:val="center"/>
              <w:rPr>
                <w:color w:val="000000"/>
                <w:sz w:val="16"/>
                <w:szCs w:val="16"/>
              </w:rPr>
            </w:pPr>
            <w:r>
              <w:rPr>
                <w:color w:val="000000"/>
                <w:sz w:val="16"/>
                <w:szCs w:val="16"/>
              </w:rPr>
              <w:t>Burnett Mary</w:t>
            </w:r>
          </w:p>
        </w:tc>
        <w:tc>
          <w:tcPr>
            <w:tcW w:w="619" w:type="dxa"/>
            <w:tcBorders>
              <w:top w:val="single" w:sz="4" w:space="0" w:color="auto"/>
            </w:tcBorders>
            <w:shd w:val="clear" w:color="auto" w:fill="F3F9FA"/>
            <w:vAlign w:val="center"/>
            <w:hideMark/>
          </w:tcPr>
          <w:p w14:paraId="01921B55" w14:textId="77777777" w:rsidR="00DE79BD" w:rsidRDefault="00DE79BD" w:rsidP="00DD3BAE">
            <w:pPr>
              <w:spacing w:before="0" w:after="0"/>
              <w:jc w:val="center"/>
              <w:rPr>
                <w:color w:val="000000"/>
                <w:sz w:val="16"/>
                <w:szCs w:val="16"/>
              </w:rPr>
            </w:pPr>
            <w:r>
              <w:rPr>
                <w:color w:val="000000"/>
                <w:sz w:val="16"/>
                <w:szCs w:val="16"/>
              </w:rPr>
              <w:t>RD1</w:t>
            </w:r>
          </w:p>
        </w:tc>
        <w:tc>
          <w:tcPr>
            <w:tcW w:w="1083" w:type="dxa"/>
            <w:tcBorders>
              <w:top w:val="single" w:sz="4" w:space="0" w:color="auto"/>
            </w:tcBorders>
            <w:shd w:val="clear" w:color="auto" w:fill="F3F9FA"/>
            <w:vAlign w:val="center"/>
            <w:hideMark/>
          </w:tcPr>
          <w:p w14:paraId="5D2F3E14" w14:textId="77777777" w:rsidR="00DE79BD" w:rsidRDefault="00DE79BD" w:rsidP="00DD3BAE">
            <w:pPr>
              <w:spacing w:before="0" w:after="0"/>
              <w:jc w:val="center"/>
              <w:rPr>
                <w:color w:val="000000"/>
                <w:sz w:val="16"/>
                <w:szCs w:val="16"/>
              </w:rPr>
            </w:pPr>
            <w:r>
              <w:rPr>
                <w:color w:val="000000"/>
                <w:sz w:val="16"/>
                <w:szCs w:val="16"/>
              </w:rPr>
              <w:t>0.56</w:t>
            </w:r>
          </w:p>
        </w:tc>
        <w:tc>
          <w:tcPr>
            <w:tcW w:w="993" w:type="dxa"/>
            <w:tcBorders>
              <w:top w:val="single" w:sz="4" w:space="0" w:color="auto"/>
            </w:tcBorders>
            <w:shd w:val="clear" w:color="auto" w:fill="F3F9FA"/>
            <w:vAlign w:val="center"/>
            <w:hideMark/>
          </w:tcPr>
          <w:p w14:paraId="786D79ED" w14:textId="77777777" w:rsidR="00DE79BD" w:rsidRDefault="00DE79BD" w:rsidP="00DD3BAE">
            <w:pPr>
              <w:spacing w:before="0" w:after="0"/>
              <w:jc w:val="center"/>
              <w:rPr>
                <w:color w:val="000000"/>
                <w:sz w:val="16"/>
                <w:szCs w:val="16"/>
              </w:rPr>
            </w:pPr>
            <w:r>
              <w:rPr>
                <w:color w:val="000000"/>
                <w:sz w:val="16"/>
                <w:szCs w:val="16"/>
              </w:rPr>
              <w:t>1.48</w:t>
            </w:r>
          </w:p>
        </w:tc>
        <w:tc>
          <w:tcPr>
            <w:tcW w:w="1362" w:type="dxa"/>
            <w:tcBorders>
              <w:top w:val="single" w:sz="4" w:space="0" w:color="auto"/>
            </w:tcBorders>
            <w:shd w:val="clear" w:color="auto" w:fill="F3F9FA"/>
            <w:vAlign w:val="center"/>
            <w:hideMark/>
          </w:tcPr>
          <w:p w14:paraId="1AEB7DA6" w14:textId="77777777" w:rsidR="00DE79BD" w:rsidRDefault="00DE79BD" w:rsidP="00DD3BAE">
            <w:pPr>
              <w:spacing w:before="0" w:after="0"/>
              <w:jc w:val="center"/>
              <w:rPr>
                <w:color w:val="000000"/>
                <w:sz w:val="16"/>
                <w:szCs w:val="16"/>
              </w:rPr>
            </w:pPr>
            <w:r>
              <w:rPr>
                <w:color w:val="000000"/>
                <w:sz w:val="16"/>
                <w:szCs w:val="16"/>
              </w:rPr>
              <w:t>0.56</w:t>
            </w:r>
          </w:p>
        </w:tc>
        <w:tc>
          <w:tcPr>
            <w:tcW w:w="1329" w:type="dxa"/>
            <w:tcBorders>
              <w:top w:val="single" w:sz="4" w:space="0" w:color="auto"/>
            </w:tcBorders>
            <w:shd w:val="clear" w:color="auto" w:fill="F3F9FA"/>
            <w:vAlign w:val="center"/>
            <w:hideMark/>
          </w:tcPr>
          <w:p w14:paraId="57400938"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66.58</w:t>
            </w:r>
          </w:p>
        </w:tc>
        <w:tc>
          <w:tcPr>
            <w:tcW w:w="1340" w:type="dxa"/>
            <w:tcBorders>
              <w:top w:val="single" w:sz="4" w:space="0" w:color="auto"/>
            </w:tcBorders>
            <w:shd w:val="clear" w:color="auto" w:fill="F3F9FA"/>
            <w:vAlign w:val="center"/>
            <w:hideMark/>
          </w:tcPr>
          <w:p w14:paraId="4EAE80D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1.59</w:t>
            </w:r>
          </w:p>
        </w:tc>
        <w:tc>
          <w:tcPr>
            <w:tcW w:w="1174" w:type="dxa"/>
            <w:tcBorders>
              <w:top w:val="single" w:sz="4" w:space="0" w:color="auto"/>
            </w:tcBorders>
            <w:shd w:val="clear" w:color="auto" w:fill="F3F9FA"/>
            <w:noWrap/>
            <w:vAlign w:val="center"/>
            <w:hideMark/>
          </w:tcPr>
          <w:p w14:paraId="179257C2"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91.83</w:t>
            </w:r>
          </w:p>
        </w:tc>
        <w:tc>
          <w:tcPr>
            <w:tcW w:w="1367" w:type="dxa"/>
            <w:tcBorders>
              <w:top w:val="single" w:sz="4" w:space="0" w:color="auto"/>
            </w:tcBorders>
            <w:shd w:val="clear" w:color="auto" w:fill="F3F9FA"/>
            <w:vAlign w:val="center"/>
          </w:tcPr>
          <w:p w14:paraId="643D6D2A"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2.10</w:t>
            </w:r>
          </w:p>
        </w:tc>
      </w:tr>
      <w:tr w:rsidR="00DE79BD" w14:paraId="5F4D829A" w14:textId="77777777" w:rsidTr="00DE79BD">
        <w:trPr>
          <w:trHeight w:val="276"/>
          <w:jc w:val="center"/>
        </w:trPr>
        <w:tc>
          <w:tcPr>
            <w:tcW w:w="0" w:type="auto"/>
            <w:vMerge/>
            <w:vAlign w:val="center"/>
            <w:hideMark/>
          </w:tcPr>
          <w:p w14:paraId="2B7B3CA2"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31D1D16B" w14:textId="77777777" w:rsidR="00DE79BD" w:rsidRDefault="00DE79BD" w:rsidP="00DD3BAE">
            <w:pPr>
              <w:spacing w:before="0" w:after="0"/>
              <w:jc w:val="center"/>
              <w:rPr>
                <w:color w:val="000000"/>
                <w:sz w:val="16"/>
                <w:szCs w:val="16"/>
              </w:rPr>
            </w:pPr>
            <w:r>
              <w:rPr>
                <w:color w:val="000000"/>
                <w:sz w:val="16"/>
                <w:szCs w:val="16"/>
              </w:rPr>
              <w:t>RD2</w:t>
            </w:r>
          </w:p>
        </w:tc>
        <w:tc>
          <w:tcPr>
            <w:tcW w:w="1083" w:type="dxa"/>
            <w:shd w:val="clear" w:color="auto" w:fill="F3F9FA"/>
            <w:vAlign w:val="center"/>
            <w:hideMark/>
          </w:tcPr>
          <w:p w14:paraId="595BC30C" w14:textId="77777777" w:rsidR="00DE79BD" w:rsidRDefault="00DE79BD" w:rsidP="00DD3BAE">
            <w:pPr>
              <w:spacing w:before="0" w:after="0"/>
              <w:jc w:val="center"/>
              <w:rPr>
                <w:color w:val="000000"/>
                <w:sz w:val="16"/>
                <w:szCs w:val="16"/>
              </w:rPr>
            </w:pPr>
            <w:r>
              <w:rPr>
                <w:color w:val="000000"/>
                <w:sz w:val="16"/>
                <w:szCs w:val="16"/>
              </w:rPr>
              <w:t>0.63</w:t>
            </w:r>
          </w:p>
        </w:tc>
        <w:tc>
          <w:tcPr>
            <w:tcW w:w="993" w:type="dxa"/>
            <w:shd w:val="clear" w:color="auto" w:fill="F3F9FA"/>
            <w:vAlign w:val="center"/>
            <w:hideMark/>
          </w:tcPr>
          <w:p w14:paraId="305680A5" w14:textId="77777777" w:rsidR="00DE79BD" w:rsidRDefault="00DE79BD" w:rsidP="00DD3BAE">
            <w:pPr>
              <w:spacing w:before="0" w:after="0"/>
              <w:jc w:val="center"/>
              <w:rPr>
                <w:color w:val="000000"/>
                <w:sz w:val="16"/>
                <w:szCs w:val="16"/>
              </w:rPr>
            </w:pPr>
            <w:r>
              <w:rPr>
                <w:color w:val="000000"/>
                <w:sz w:val="16"/>
                <w:szCs w:val="16"/>
              </w:rPr>
              <w:t>1.41</w:t>
            </w:r>
          </w:p>
        </w:tc>
        <w:tc>
          <w:tcPr>
            <w:tcW w:w="1362" w:type="dxa"/>
            <w:shd w:val="clear" w:color="auto" w:fill="F3F9FA"/>
            <w:vAlign w:val="center"/>
            <w:hideMark/>
          </w:tcPr>
          <w:p w14:paraId="01921941" w14:textId="77777777" w:rsidR="00DE79BD" w:rsidRDefault="00DE79BD" w:rsidP="00DD3BAE">
            <w:pPr>
              <w:spacing w:before="0" w:after="0"/>
              <w:jc w:val="center"/>
              <w:rPr>
                <w:color w:val="000000"/>
                <w:sz w:val="16"/>
                <w:szCs w:val="16"/>
              </w:rPr>
            </w:pPr>
            <w:r>
              <w:rPr>
                <w:color w:val="000000"/>
                <w:sz w:val="16"/>
                <w:szCs w:val="16"/>
              </w:rPr>
              <w:t>0.63</w:t>
            </w:r>
          </w:p>
        </w:tc>
        <w:tc>
          <w:tcPr>
            <w:tcW w:w="1329" w:type="dxa"/>
            <w:shd w:val="clear" w:color="auto" w:fill="F3F9FA"/>
            <w:vAlign w:val="center"/>
            <w:hideMark/>
          </w:tcPr>
          <w:p w14:paraId="5CDF87E3"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91.42</w:t>
            </w:r>
          </w:p>
        </w:tc>
        <w:tc>
          <w:tcPr>
            <w:tcW w:w="1340" w:type="dxa"/>
            <w:shd w:val="clear" w:color="auto" w:fill="F3F9FA"/>
            <w:vAlign w:val="center"/>
            <w:hideMark/>
          </w:tcPr>
          <w:p w14:paraId="066CEEE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2.25</w:t>
            </w:r>
          </w:p>
        </w:tc>
        <w:tc>
          <w:tcPr>
            <w:tcW w:w="1174" w:type="dxa"/>
            <w:shd w:val="clear" w:color="auto" w:fill="F3F9FA"/>
            <w:noWrap/>
            <w:vAlign w:val="center"/>
            <w:hideMark/>
          </w:tcPr>
          <w:p w14:paraId="1C16C8C6"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127.50</w:t>
            </w:r>
          </w:p>
        </w:tc>
        <w:tc>
          <w:tcPr>
            <w:tcW w:w="1367" w:type="dxa"/>
            <w:shd w:val="clear" w:color="auto" w:fill="F3F9FA"/>
            <w:vAlign w:val="center"/>
          </w:tcPr>
          <w:p w14:paraId="31212321" w14:textId="77777777" w:rsidR="00DE79BD" w:rsidRPr="00376B7D" w:rsidRDefault="00DE79BD" w:rsidP="00DD3BAE">
            <w:pPr>
              <w:spacing w:before="0" w:after="0"/>
              <w:jc w:val="center"/>
              <w:rPr>
                <w:rFonts w:asciiTheme="minorHAnsi" w:hAnsiTheme="minorHAnsi"/>
                <w:b/>
                <w:color w:val="000000"/>
                <w:sz w:val="16"/>
                <w:szCs w:val="16"/>
              </w:rPr>
            </w:pPr>
            <w:r w:rsidRPr="00376B7D">
              <w:rPr>
                <w:rFonts w:asciiTheme="minorHAnsi" w:hAnsiTheme="minorHAnsi"/>
                <w:b/>
                <w:color w:val="000000"/>
                <w:sz w:val="16"/>
                <w:szCs w:val="16"/>
              </w:rPr>
              <w:t>2.91</w:t>
            </w:r>
          </w:p>
        </w:tc>
      </w:tr>
      <w:tr w:rsidR="00DE79BD" w14:paraId="3FC22F11" w14:textId="77777777" w:rsidTr="00DE79BD">
        <w:trPr>
          <w:trHeight w:val="276"/>
          <w:jc w:val="center"/>
        </w:trPr>
        <w:tc>
          <w:tcPr>
            <w:tcW w:w="0" w:type="auto"/>
            <w:vMerge/>
            <w:vAlign w:val="center"/>
            <w:hideMark/>
          </w:tcPr>
          <w:p w14:paraId="3B983113" w14:textId="77777777" w:rsidR="00DE79BD" w:rsidRDefault="00DE79BD" w:rsidP="00DD3BAE">
            <w:pPr>
              <w:spacing w:before="0" w:after="0"/>
              <w:rPr>
                <w:color w:val="000000"/>
                <w:sz w:val="16"/>
                <w:szCs w:val="16"/>
              </w:rPr>
            </w:pPr>
          </w:p>
        </w:tc>
        <w:tc>
          <w:tcPr>
            <w:tcW w:w="619" w:type="dxa"/>
            <w:shd w:val="clear" w:color="auto" w:fill="F3F9FA"/>
            <w:vAlign w:val="center"/>
            <w:hideMark/>
          </w:tcPr>
          <w:p w14:paraId="589F8BA7" w14:textId="77777777" w:rsidR="00DE79BD" w:rsidRDefault="00DE79BD" w:rsidP="00DD3BAE">
            <w:pPr>
              <w:spacing w:before="0" w:after="0"/>
              <w:jc w:val="center"/>
              <w:rPr>
                <w:color w:val="000000"/>
                <w:sz w:val="16"/>
                <w:szCs w:val="16"/>
              </w:rPr>
            </w:pPr>
            <w:r>
              <w:rPr>
                <w:color w:val="000000"/>
                <w:sz w:val="16"/>
                <w:szCs w:val="16"/>
              </w:rPr>
              <w:t>UG1</w:t>
            </w:r>
          </w:p>
        </w:tc>
        <w:tc>
          <w:tcPr>
            <w:tcW w:w="1083" w:type="dxa"/>
            <w:shd w:val="clear" w:color="auto" w:fill="F3F9FA"/>
            <w:vAlign w:val="center"/>
            <w:hideMark/>
          </w:tcPr>
          <w:p w14:paraId="7BBD7921" w14:textId="77777777" w:rsidR="00DE79BD" w:rsidRDefault="00DE79BD" w:rsidP="00DD3BAE">
            <w:pPr>
              <w:spacing w:before="0" w:after="0"/>
              <w:jc w:val="center"/>
              <w:rPr>
                <w:color w:val="000000"/>
                <w:sz w:val="16"/>
                <w:szCs w:val="16"/>
              </w:rPr>
            </w:pPr>
            <w:r>
              <w:rPr>
                <w:color w:val="000000"/>
                <w:sz w:val="16"/>
                <w:szCs w:val="16"/>
              </w:rPr>
              <w:t>0.70</w:t>
            </w:r>
          </w:p>
        </w:tc>
        <w:tc>
          <w:tcPr>
            <w:tcW w:w="993" w:type="dxa"/>
            <w:shd w:val="clear" w:color="auto" w:fill="F3F9FA"/>
            <w:vAlign w:val="center"/>
            <w:hideMark/>
          </w:tcPr>
          <w:p w14:paraId="2EDCE3AC" w14:textId="77777777" w:rsidR="00DE79BD" w:rsidRDefault="00DE79BD" w:rsidP="00DD3BAE">
            <w:pPr>
              <w:spacing w:before="0" w:after="0"/>
              <w:jc w:val="center"/>
              <w:rPr>
                <w:color w:val="000000"/>
                <w:sz w:val="16"/>
                <w:szCs w:val="16"/>
              </w:rPr>
            </w:pPr>
            <w:r>
              <w:rPr>
                <w:color w:val="000000"/>
                <w:sz w:val="16"/>
                <w:szCs w:val="16"/>
              </w:rPr>
              <w:t>1.41</w:t>
            </w:r>
          </w:p>
        </w:tc>
        <w:tc>
          <w:tcPr>
            <w:tcW w:w="1362" w:type="dxa"/>
            <w:shd w:val="clear" w:color="auto" w:fill="F3F9FA"/>
            <w:vAlign w:val="center"/>
            <w:hideMark/>
          </w:tcPr>
          <w:p w14:paraId="6B16FA8C" w14:textId="77777777" w:rsidR="00DE79BD" w:rsidRDefault="00DE79BD" w:rsidP="00DD3BAE">
            <w:pPr>
              <w:spacing w:before="0" w:after="0"/>
              <w:jc w:val="center"/>
              <w:rPr>
                <w:color w:val="000000"/>
                <w:sz w:val="16"/>
                <w:szCs w:val="16"/>
              </w:rPr>
            </w:pPr>
            <w:r>
              <w:rPr>
                <w:color w:val="000000"/>
                <w:sz w:val="16"/>
                <w:szCs w:val="16"/>
              </w:rPr>
              <w:t>0.70</w:t>
            </w:r>
          </w:p>
        </w:tc>
        <w:tc>
          <w:tcPr>
            <w:tcW w:w="1329" w:type="dxa"/>
            <w:shd w:val="clear" w:color="auto" w:fill="F3F9FA"/>
            <w:vAlign w:val="center"/>
            <w:hideMark/>
          </w:tcPr>
          <w:p w14:paraId="6B96CE7C"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147.50</w:t>
            </w:r>
          </w:p>
        </w:tc>
        <w:tc>
          <w:tcPr>
            <w:tcW w:w="1340" w:type="dxa"/>
            <w:shd w:val="clear" w:color="auto" w:fill="F3F9FA"/>
            <w:vAlign w:val="center"/>
            <w:hideMark/>
          </w:tcPr>
          <w:p w14:paraId="137C4E2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3.30</w:t>
            </w:r>
          </w:p>
        </w:tc>
        <w:tc>
          <w:tcPr>
            <w:tcW w:w="1174" w:type="dxa"/>
            <w:shd w:val="clear" w:color="auto" w:fill="F3F9FA"/>
            <w:noWrap/>
            <w:vAlign w:val="center"/>
            <w:hideMark/>
          </w:tcPr>
          <w:p w14:paraId="22CFFA2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119.67</w:t>
            </w:r>
          </w:p>
        </w:tc>
        <w:tc>
          <w:tcPr>
            <w:tcW w:w="1367" w:type="dxa"/>
            <w:shd w:val="clear" w:color="auto" w:fill="F3F9FA"/>
            <w:vAlign w:val="center"/>
          </w:tcPr>
          <w:p w14:paraId="1FBD646B"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2.73</w:t>
            </w:r>
          </w:p>
        </w:tc>
      </w:tr>
      <w:tr w:rsidR="00DE79BD" w14:paraId="54D506DC" w14:textId="77777777" w:rsidTr="00DE79BD">
        <w:trPr>
          <w:trHeight w:val="276"/>
          <w:jc w:val="center"/>
        </w:trPr>
        <w:tc>
          <w:tcPr>
            <w:tcW w:w="0" w:type="auto"/>
            <w:vMerge/>
            <w:tcBorders>
              <w:bottom w:val="single" w:sz="4" w:space="0" w:color="auto"/>
            </w:tcBorders>
            <w:vAlign w:val="center"/>
            <w:hideMark/>
          </w:tcPr>
          <w:p w14:paraId="179482FC" w14:textId="77777777" w:rsidR="00DE79BD" w:rsidRDefault="00DE79BD" w:rsidP="00DD3BAE">
            <w:pPr>
              <w:spacing w:before="0" w:after="0"/>
              <w:rPr>
                <w:color w:val="000000"/>
                <w:sz w:val="16"/>
                <w:szCs w:val="16"/>
              </w:rPr>
            </w:pPr>
          </w:p>
        </w:tc>
        <w:tc>
          <w:tcPr>
            <w:tcW w:w="619" w:type="dxa"/>
            <w:tcBorders>
              <w:bottom w:val="single" w:sz="4" w:space="0" w:color="auto"/>
            </w:tcBorders>
            <w:shd w:val="clear" w:color="auto" w:fill="F3F9FA"/>
            <w:vAlign w:val="center"/>
            <w:hideMark/>
          </w:tcPr>
          <w:p w14:paraId="3771AEED" w14:textId="77777777" w:rsidR="00DE79BD" w:rsidRDefault="00DE79BD" w:rsidP="00DD3BAE">
            <w:pPr>
              <w:spacing w:before="0" w:after="0"/>
              <w:jc w:val="center"/>
              <w:rPr>
                <w:color w:val="000000"/>
                <w:sz w:val="16"/>
                <w:szCs w:val="16"/>
              </w:rPr>
            </w:pPr>
            <w:r>
              <w:rPr>
                <w:color w:val="000000"/>
                <w:sz w:val="16"/>
                <w:szCs w:val="16"/>
              </w:rPr>
              <w:t>UG2</w:t>
            </w:r>
          </w:p>
        </w:tc>
        <w:tc>
          <w:tcPr>
            <w:tcW w:w="1083" w:type="dxa"/>
            <w:tcBorders>
              <w:bottom w:val="single" w:sz="4" w:space="0" w:color="auto"/>
            </w:tcBorders>
            <w:shd w:val="clear" w:color="auto" w:fill="F3F9FA"/>
            <w:vAlign w:val="center"/>
            <w:hideMark/>
          </w:tcPr>
          <w:p w14:paraId="1F50887A" w14:textId="77777777" w:rsidR="00DE79BD" w:rsidRDefault="00DE79BD" w:rsidP="00DD3BAE">
            <w:pPr>
              <w:spacing w:before="0" w:after="0"/>
              <w:jc w:val="center"/>
              <w:rPr>
                <w:color w:val="000000"/>
                <w:sz w:val="16"/>
                <w:szCs w:val="16"/>
              </w:rPr>
            </w:pPr>
            <w:r>
              <w:rPr>
                <w:color w:val="000000"/>
                <w:sz w:val="16"/>
                <w:szCs w:val="16"/>
              </w:rPr>
              <w:t>0.64</w:t>
            </w:r>
          </w:p>
        </w:tc>
        <w:tc>
          <w:tcPr>
            <w:tcW w:w="993" w:type="dxa"/>
            <w:tcBorders>
              <w:bottom w:val="single" w:sz="4" w:space="0" w:color="auto"/>
            </w:tcBorders>
            <w:shd w:val="clear" w:color="auto" w:fill="F3F9FA"/>
            <w:vAlign w:val="center"/>
            <w:hideMark/>
          </w:tcPr>
          <w:p w14:paraId="6F9063A5" w14:textId="77777777" w:rsidR="00DE79BD" w:rsidRDefault="00DE79BD" w:rsidP="00DD3BAE">
            <w:pPr>
              <w:spacing w:before="0" w:after="0"/>
              <w:jc w:val="center"/>
              <w:rPr>
                <w:color w:val="000000"/>
                <w:sz w:val="16"/>
                <w:szCs w:val="16"/>
              </w:rPr>
            </w:pPr>
            <w:r>
              <w:rPr>
                <w:color w:val="000000"/>
                <w:sz w:val="16"/>
                <w:szCs w:val="16"/>
              </w:rPr>
              <w:t>1.47</w:t>
            </w:r>
          </w:p>
        </w:tc>
        <w:tc>
          <w:tcPr>
            <w:tcW w:w="1362" w:type="dxa"/>
            <w:tcBorders>
              <w:bottom w:val="single" w:sz="4" w:space="0" w:color="auto"/>
            </w:tcBorders>
            <w:shd w:val="clear" w:color="auto" w:fill="F3F9FA"/>
            <w:vAlign w:val="center"/>
            <w:hideMark/>
          </w:tcPr>
          <w:p w14:paraId="114B9B0B" w14:textId="77777777" w:rsidR="00DE79BD" w:rsidRDefault="00DE79BD" w:rsidP="00DD3BAE">
            <w:pPr>
              <w:spacing w:before="0" w:after="0"/>
              <w:jc w:val="center"/>
              <w:rPr>
                <w:color w:val="000000"/>
                <w:sz w:val="16"/>
                <w:szCs w:val="16"/>
              </w:rPr>
            </w:pPr>
            <w:r>
              <w:rPr>
                <w:color w:val="000000"/>
                <w:sz w:val="16"/>
                <w:szCs w:val="16"/>
              </w:rPr>
              <w:t>0.64</w:t>
            </w:r>
          </w:p>
        </w:tc>
        <w:tc>
          <w:tcPr>
            <w:tcW w:w="1329" w:type="dxa"/>
            <w:tcBorders>
              <w:bottom w:val="single" w:sz="4" w:space="0" w:color="auto"/>
            </w:tcBorders>
            <w:shd w:val="clear" w:color="auto" w:fill="F3F9FA"/>
            <w:vAlign w:val="center"/>
            <w:hideMark/>
          </w:tcPr>
          <w:p w14:paraId="1C87B044"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106.67</w:t>
            </w:r>
          </w:p>
        </w:tc>
        <w:tc>
          <w:tcPr>
            <w:tcW w:w="1340" w:type="dxa"/>
            <w:tcBorders>
              <w:bottom w:val="single" w:sz="4" w:space="0" w:color="auto"/>
            </w:tcBorders>
            <w:shd w:val="clear" w:color="auto" w:fill="F3F9FA"/>
            <w:vAlign w:val="center"/>
            <w:hideMark/>
          </w:tcPr>
          <w:p w14:paraId="1C81EE2E"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2.41</w:t>
            </w:r>
          </w:p>
        </w:tc>
        <w:tc>
          <w:tcPr>
            <w:tcW w:w="1174" w:type="dxa"/>
            <w:tcBorders>
              <w:bottom w:val="single" w:sz="4" w:space="0" w:color="auto"/>
            </w:tcBorders>
            <w:shd w:val="clear" w:color="auto" w:fill="F3F9FA"/>
            <w:noWrap/>
            <w:vAlign w:val="center"/>
            <w:hideMark/>
          </w:tcPr>
          <w:p w14:paraId="3F9B2D82"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64.83</w:t>
            </w:r>
          </w:p>
        </w:tc>
        <w:tc>
          <w:tcPr>
            <w:tcW w:w="1367" w:type="dxa"/>
            <w:tcBorders>
              <w:bottom w:val="single" w:sz="4" w:space="0" w:color="auto"/>
            </w:tcBorders>
            <w:shd w:val="clear" w:color="auto" w:fill="F3F9FA"/>
            <w:vAlign w:val="center"/>
          </w:tcPr>
          <w:p w14:paraId="3F2DA30D" w14:textId="77777777" w:rsidR="00DE79BD" w:rsidRPr="00D872E6" w:rsidRDefault="00DE79BD" w:rsidP="00DD3BAE">
            <w:pPr>
              <w:spacing w:before="0" w:after="0"/>
              <w:jc w:val="center"/>
              <w:rPr>
                <w:rFonts w:asciiTheme="minorHAnsi" w:hAnsiTheme="minorHAnsi"/>
                <w:color w:val="000000"/>
                <w:sz w:val="16"/>
                <w:szCs w:val="16"/>
              </w:rPr>
            </w:pPr>
            <w:r w:rsidRPr="00D872E6">
              <w:rPr>
                <w:rFonts w:asciiTheme="minorHAnsi" w:hAnsiTheme="minorHAnsi"/>
                <w:color w:val="000000"/>
                <w:sz w:val="16"/>
                <w:szCs w:val="16"/>
              </w:rPr>
              <w:t>1.48</w:t>
            </w:r>
          </w:p>
        </w:tc>
      </w:tr>
    </w:tbl>
    <w:p w14:paraId="0B74F74C" w14:textId="77777777" w:rsidR="00DE79BD" w:rsidRDefault="00DE79BD" w:rsidP="00DE79BD">
      <w:pPr>
        <w:rPr>
          <w:color w:val="000000"/>
          <w:szCs w:val="22"/>
        </w:rPr>
      </w:pPr>
    </w:p>
    <w:p w14:paraId="361D5B31" w14:textId="23524970" w:rsidR="00273002" w:rsidRDefault="00273002" w:rsidP="00DE79BD">
      <w:pPr>
        <w:jc w:val="center"/>
        <w:rPr>
          <w:color w:val="000000"/>
          <w:szCs w:val="22"/>
        </w:rPr>
      </w:pPr>
    </w:p>
    <w:p w14:paraId="1F403135" w14:textId="77777777" w:rsidR="00273002" w:rsidRDefault="00273002" w:rsidP="00273002">
      <w:pPr>
        <w:rPr>
          <w:color w:val="000000"/>
          <w:szCs w:val="22"/>
        </w:rPr>
      </w:pPr>
    </w:p>
    <w:p w14:paraId="7CAC7FE3" w14:textId="682CA5F1" w:rsidR="00273002" w:rsidRDefault="003D70D6" w:rsidP="00273002">
      <w:pPr>
        <w:keepNext/>
        <w:jc w:val="center"/>
        <w:rPr>
          <w:color w:val="000000"/>
          <w:szCs w:val="22"/>
        </w:rPr>
      </w:pPr>
      <w:r>
        <w:rPr>
          <w:noProof/>
          <w:color w:val="000000"/>
          <w:szCs w:val="22"/>
          <w:lang w:eastAsia="en-AU"/>
        </w:rPr>
        <w:drawing>
          <wp:inline distT="0" distB="0" distL="0" distR="0" wp14:anchorId="13E6FB93" wp14:editId="37AA7BBE">
            <wp:extent cx="3600000" cy="1090243"/>
            <wp:effectExtent l="0" t="0" r="635" b="0"/>
            <wp:docPr id="234" name="Picture 234" descr="Bar chart showing annual daytime tidal exposure (total hours) and long-term median of intertidal reef seagrass meadows at Archer Point, Cape York NRM region from 201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CY_reef_daytime_exposure_2016.png"/>
                    <pic:cNvPicPr/>
                  </pic:nvPicPr>
                  <pic:blipFill>
                    <a:blip r:embed="rId239"/>
                    <a:stretch>
                      <a:fillRect/>
                    </a:stretch>
                  </pic:blipFill>
                  <pic:spPr>
                    <a:xfrm>
                      <a:off x="0" y="0"/>
                      <a:ext cx="3600000" cy="1090243"/>
                    </a:xfrm>
                    <a:prstGeom prst="rect">
                      <a:avLst/>
                    </a:prstGeom>
                  </pic:spPr>
                </pic:pic>
              </a:graphicData>
            </a:graphic>
          </wp:inline>
        </w:drawing>
      </w:r>
    </w:p>
    <w:p w14:paraId="00B32C2B" w14:textId="094AA353" w:rsidR="00273002" w:rsidRPr="00A93D8C" w:rsidRDefault="00273002" w:rsidP="00273002">
      <w:pPr>
        <w:rPr>
          <w:i/>
          <w:vanish/>
          <w:specVanish/>
        </w:rPr>
      </w:pPr>
      <w:bookmarkStart w:id="1059" w:name="_Ref409958445"/>
      <w:bookmarkStart w:id="1060" w:name="_Toc431493956"/>
      <w:bookmarkStart w:id="1061" w:name="_Toc51605335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147</w:t>
      </w:r>
      <w:r w:rsidR="00C506C7">
        <w:rPr>
          <w:noProof/>
        </w:rPr>
        <w:fldChar w:fldCharType="end"/>
      </w:r>
      <w:bookmarkEnd w:id="1059"/>
      <w:r>
        <w:t xml:space="preserve">. </w:t>
      </w:r>
      <w:r w:rsidRPr="00A93D8C">
        <w:rPr>
          <w:i/>
        </w:rPr>
        <w:t>Annual daytime tidal exposure (total hours) and long-term median (dashed line) of intertidal reef seagrass meadows at Archer Point, Cape York NRM region; 2011 - 201</w:t>
      </w:r>
      <w:r w:rsidR="003D70D6">
        <w:rPr>
          <w:i/>
        </w:rPr>
        <w:t>6</w:t>
      </w:r>
      <w:bookmarkEnd w:id="1060"/>
      <w:bookmarkEnd w:id="1061"/>
    </w:p>
    <w:p w14:paraId="74B2151B" w14:textId="54ACCE58" w:rsidR="00273002" w:rsidRPr="00A93D8C" w:rsidRDefault="00273002" w:rsidP="00273002">
      <w:r w:rsidRPr="00A93D8C">
        <w:rPr>
          <w:i/>
        </w:rPr>
        <w:t xml:space="preserve">.  Year is June - May. For tidal exposure (when intertidal banks become exposed at a low tide) height at each site, see </w:t>
      </w:r>
      <w:r w:rsidRPr="00A93D8C">
        <w:rPr>
          <w:i/>
        </w:rPr>
        <w:fldChar w:fldCharType="begin"/>
      </w:r>
      <w:r w:rsidRPr="00A93D8C">
        <w:rPr>
          <w:i/>
        </w:rPr>
        <w:instrText xml:space="preserve"> REF _Ref409806677 \h  \* MERGEFORMAT </w:instrText>
      </w:r>
      <w:r w:rsidRPr="00A93D8C">
        <w:rPr>
          <w:i/>
        </w:rPr>
      </w:r>
      <w:r w:rsidRPr="00A93D8C">
        <w:rPr>
          <w:i/>
        </w:rPr>
        <w:fldChar w:fldCharType="separate"/>
      </w:r>
      <w:r w:rsidR="00F87DF9" w:rsidRPr="00F87DF9">
        <w:rPr>
          <w:i/>
        </w:rPr>
        <w:t xml:space="preserve">Table </w:t>
      </w:r>
      <w:r w:rsidR="00F87DF9" w:rsidRPr="00F87DF9">
        <w:rPr>
          <w:i/>
          <w:noProof/>
        </w:rPr>
        <w:t>51</w:t>
      </w:r>
      <w:r w:rsidRPr="00A93D8C">
        <w:rPr>
          <w:i/>
        </w:rPr>
        <w:fldChar w:fldCharType="end"/>
      </w:r>
      <w:r w:rsidRPr="00A93D8C">
        <w:rPr>
          <w:i/>
        </w:rPr>
        <w:t>. Observed tidal heights courtesy Maritime Safety Queensland, 201</w:t>
      </w:r>
      <w:r w:rsidR="003D70D6">
        <w:rPr>
          <w:i/>
        </w:rPr>
        <w:t>6</w:t>
      </w:r>
      <w:r w:rsidRPr="00A93D8C">
        <w:rPr>
          <w:i/>
        </w:rPr>
        <w:t xml:space="preserve">. </w:t>
      </w:r>
      <w:r w:rsidRPr="00A93D8C">
        <w:rPr>
          <w:i/>
          <w:color w:val="000000"/>
          <w:szCs w:val="22"/>
        </w:rPr>
        <w:t>NB: Meadow heights have not yet been determined in the far northern Cape York sites.</w:t>
      </w:r>
      <w:r w:rsidRPr="00A93D8C">
        <w:rPr>
          <w:i/>
        </w:rPr>
        <w:t xml:space="preserve"> </w:t>
      </w:r>
    </w:p>
    <w:p w14:paraId="6EE0A272" w14:textId="77777777" w:rsidR="00273002" w:rsidRPr="003D70D6" w:rsidRDefault="00273002" w:rsidP="00273002">
      <w:pPr>
        <w:rPr>
          <w:szCs w:val="22"/>
        </w:rPr>
      </w:pPr>
    </w:p>
    <w:p w14:paraId="3AC4DB89" w14:textId="5E4AFAC7" w:rsidR="00273002" w:rsidRPr="003D70D6" w:rsidRDefault="003D70D6" w:rsidP="00273002">
      <w:pPr>
        <w:keepNext/>
        <w:jc w:val="center"/>
        <w:rPr>
          <w:szCs w:val="22"/>
        </w:rPr>
      </w:pPr>
      <w:r w:rsidRPr="003D70D6">
        <w:rPr>
          <w:noProof/>
          <w:szCs w:val="22"/>
          <w:lang w:eastAsia="en-AU"/>
        </w:rPr>
        <w:drawing>
          <wp:inline distT="0" distB="0" distL="0" distR="0" wp14:anchorId="7D837A3B" wp14:editId="1C9A0EDD">
            <wp:extent cx="5759450" cy="2469198"/>
            <wp:effectExtent l="0" t="0" r="0" b="7620"/>
            <wp:docPr id="32" name="Picture 32" descr="Set of bar graphs showing annual daytime tidal exposure and long-term median of intertidal reef seagrass meadows in the Wet Tropics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T_reef_daytime_exposure_2016.png"/>
                    <pic:cNvPicPr/>
                  </pic:nvPicPr>
                  <pic:blipFill>
                    <a:blip r:embed="rId240"/>
                    <a:stretch>
                      <a:fillRect/>
                    </a:stretch>
                  </pic:blipFill>
                  <pic:spPr>
                    <a:xfrm>
                      <a:off x="0" y="0"/>
                      <a:ext cx="5759450" cy="2469198"/>
                    </a:xfrm>
                    <a:prstGeom prst="rect">
                      <a:avLst/>
                    </a:prstGeom>
                  </pic:spPr>
                </pic:pic>
              </a:graphicData>
            </a:graphic>
          </wp:inline>
        </w:drawing>
      </w:r>
    </w:p>
    <w:p w14:paraId="2D26F4CE" w14:textId="15C29431" w:rsidR="00273002" w:rsidRPr="003D70D6" w:rsidRDefault="00273002" w:rsidP="00273002">
      <w:pPr>
        <w:rPr>
          <w:i/>
          <w:vanish/>
          <w:specVanish/>
        </w:rPr>
      </w:pPr>
      <w:bookmarkStart w:id="1062" w:name="_Ref410218142"/>
      <w:bookmarkStart w:id="1063" w:name="_Toc431493957"/>
      <w:bookmarkStart w:id="1064" w:name="_Toc516053358"/>
      <w:r w:rsidRPr="003D70D6">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148</w:t>
      </w:r>
      <w:r w:rsidR="00C506C7">
        <w:rPr>
          <w:noProof/>
        </w:rPr>
        <w:fldChar w:fldCharType="end"/>
      </w:r>
      <w:bookmarkEnd w:id="1062"/>
      <w:r w:rsidRPr="003D70D6">
        <w:t xml:space="preserve">. </w:t>
      </w:r>
      <w:r w:rsidRPr="003D70D6">
        <w:rPr>
          <w:i/>
        </w:rPr>
        <w:t>Annual daytime tidal exposure (total hours) and long-term median (dashed line) of intertidal reef seagrass meadows in the Wet Tropics NRM region; 1999 - 201</w:t>
      </w:r>
      <w:r w:rsidR="003D70D6" w:rsidRPr="003D70D6">
        <w:rPr>
          <w:i/>
        </w:rPr>
        <w:t>6</w:t>
      </w:r>
      <w:r w:rsidRPr="003D70D6">
        <w:rPr>
          <w:i/>
        </w:rPr>
        <w:t>.</w:t>
      </w:r>
      <w:bookmarkEnd w:id="1063"/>
      <w:bookmarkEnd w:id="1064"/>
      <w:r w:rsidRPr="003D70D6">
        <w:rPr>
          <w:i/>
          <w:vanish/>
          <w:specVanish/>
        </w:rPr>
        <w:t xml:space="preserve"> </w:t>
      </w:r>
    </w:p>
    <w:p w14:paraId="4A8A5B1A" w14:textId="7966480A" w:rsidR="00273002" w:rsidRPr="003D70D6" w:rsidRDefault="00273002" w:rsidP="00273002">
      <w:r w:rsidRPr="003D70D6">
        <w:rPr>
          <w:i/>
        </w:rPr>
        <w:t xml:space="preserve">  Year is June - May. For tidal exposure (when intertidal banks become exposed at a low tide) height at each site, see </w:t>
      </w:r>
      <w:r w:rsidRPr="003D70D6">
        <w:rPr>
          <w:i/>
        </w:rPr>
        <w:fldChar w:fldCharType="begin"/>
      </w:r>
      <w:r w:rsidRPr="003D70D6">
        <w:rPr>
          <w:i/>
        </w:rPr>
        <w:instrText xml:space="preserve"> REF _Ref409806677 \h  \* MERGEFORMAT </w:instrText>
      </w:r>
      <w:r w:rsidRPr="003D70D6">
        <w:rPr>
          <w:i/>
        </w:rPr>
      </w:r>
      <w:r w:rsidRPr="003D70D6">
        <w:rPr>
          <w:i/>
        </w:rPr>
        <w:fldChar w:fldCharType="separate"/>
      </w:r>
      <w:r w:rsidR="00F87DF9" w:rsidRPr="00F87DF9">
        <w:rPr>
          <w:i/>
        </w:rPr>
        <w:t xml:space="preserve">Table </w:t>
      </w:r>
      <w:r w:rsidR="00F87DF9" w:rsidRPr="00F87DF9">
        <w:rPr>
          <w:i/>
          <w:noProof/>
        </w:rPr>
        <w:t>51</w:t>
      </w:r>
      <w:r w:rsidRPr="003D70D6">
        <w:rPr>
          <w:i/>
        </w:rPr>
        <w:fldChar w:fldCharType="end"/>
      </w:r>
      <w:r w:rsidRPr="003D70D6">
        <w:rPr>
          <w:i/>
        </w:rPr>
        <w:t>. Observed tidal heights courtesy Maritime Safety Queensland, 201</w:t>
      </w:r>
      <w:r w:rsidR="003D70D6" w:rsidRPr="003D70D6">
        <w:rPr>
          <w:i/>
        </w:rPr>
        <w:t>6</w:t>
      </w:r>
      <w:r w:rsidRPr="003D70D6">
        <w:rPr>
          <w:i/>
        </w:rPr>
        <w:t xml:space="preserve">. </w:t>
      </w:r>
    </w:p>
    <w:p w14:paraId="38D5CD3C" w14:textId="77777777" w:rsidR="00273002" w:rsidRPr="003D70D6" w:rsidRDefault="00273002" w:rsidP="00273002">
      <w:pPr>
        <w:rPr>
          <w:szCs w:val="22"/>
        </w:rPr>
      </w:pPr>
    </w:p>
    <w:p w14:paraId="7D2F5A00" w14:textId="5015B1A2" w:rsidR="00273002" w:rsidRDefault="003D70D6" w:rsidP="00273002">
      <w:pPr>
        <w:keepNext/>
        <w:jc w:val="center"/>
        <w:rPr>
          <w:color w:val="000000"/>
          <w:szCs w:val="22"/>
        </w:rPr>
      </w:pPr>
      <w:r>
        <w:rPr>
          <w:noProof/>
          <w:color w:val="000000"/>
          <w:szCs w:val="22"/>
          <w:lang w:eastAsia="en-AU"/>
        </w:rPr>
        <w:drawing>
          <wp:inline distT="0" distB="0" distL="0" distR="0" wp14:anchorId="6B4C6260" wp14:editId="5D38EB48">
            <wp:extent cx="5759450" cy="1680091"/>
            <wp:effectExtent l="0" t="0" r="0" b="0"/>
            <wp:docPr id="58" name="Picture 58" descr="Set of bar graphs showing annual daytime tidal exposure and long-term median of intertidal coastal seagrass meadows in the Wet Tropics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WT_coast_daytime_exposure_2016.png"/>
                    <pic:cNvPicPr/>
                  </pic:nvPicPr>
                  <pic:blipFill>
                    <a:blip r:embed="rId241"/>
                    <a:stretch>
                      <a:fillRect/>
                    </a:stretch>
                  </pic:blipFill>
                  <pic:spPr>
                    <a:xfrm>
                      <a:off x="0" y="0"/>
                      <a:ext cx="5759450" cy="1680091"/>
                    </a:xfrm>
                    <a:prstGeom prst="rect">
                      <a:avLst/>
                    </a:prstGeom>
                  </pic:spPr>
                </pic:pic>
              </a:graphicData>
            </a:graphic>
          </wp:inline>
        </w:drawing>
      </w:r>
    </w:p>
    <w:p w14:paraId="1C9C9EB9" w14:textId="0D565F79" w:rsidR="00273002" w:rsidRPr="00A93D8C" w:rsidRDefault="00273002" w:rsidP="00273002">
      <w:pPr>
        <w:rPr>
          <w:i/>
          <w:vanish/>
          <w:specVanish/>
        </w:rPr>
      </w:pPr>
      <w:bookmarkStart w:id="1065" w:name="_Ref410218196"/>
      <w:bookmarkStart w:id="1066" w:name="_Toc431493958"/>
      <w:bookmarkStart w:id="1067" w:name="_Toc51605335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149</w:t>
      </w:r>
      <w:r w:rsidR="00C506C7">
        <w:rPr>
          <w:noProof/>
        </w:rPr>
        <w:fldChar w:fldCharType="end"/>
      </w:r>
      <w:bookmarkEnd w:id="1065"/>
      <w:r>
        <w:t xml:space="preserve">. </w:t>
      </w:r>
      <w:r w:rsidRPr="008012AC">
        <w:rPr>
          <w:i/>
        </w:rPr>
        <w:t>Annual daytime tidal exposure (total hours) and long-term median (dashed line) of intertidal coastal seagrass meadows in Wet Tropics NRM region; 1999 - 201</w:t>
      </w:r>
      <w:r w:rsidR="003D70D6">
        <w:rPr>
          <w:i/>
        </w:rPr>
        <w:t>6</w:t>
      </w:r>
      <w:r w:rsidRPr="008012AC">
        <w:rPr>
          <w:i/>
        </w:rPr>
        <w:t>.</w:t>
      </w:r>
      <w:bookmarkEnd w:id="1066"/>
      <w:bookmarkEnd w:id="1067"/>
      <w:r w:rsidRPr="008012AC">
        <w:rPr>
          <w:i/>
          <w:vanish/>
          <w:specVanish/>
        </w:rPr>
        <w:t xml:space="preserve"> </w:t>
      </w:r>
    </w:p>
    <w:p w14:paraId="3F81E843" w14:textId="345D0E6D"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F87DF9" w:rsidRPr="00F87DF9">
        <w:rPr>
          <w:i/>
        </w:rPr>
        <w:t xml:space="preserve">Table </w:t>
      </w:r>
      <w:r w:rsidR="00F87DF9" w:rsidRPr="00F87DF9">
        <w:rPr>
          <w:i/>
          <w:noProof/>
        </w:rPr>
        <w:t>51</w:t>
      </w:r>
      <w:r w:rsidRPr="008012AC">
        <w:rPr>
          <w:i/>
        </w:rPr>
        <w:fldChar w:fldCharType="end"/>
      </w:r>
      <w:r w:rsidRPr="008012AC">
        <w:rPr>
          <w:i/>
        </w:rPr>
        <w:t>. Observed tidal heights courtesy Maritime Safety Queensland, 201</w:t>
      </w:r>
      <w:r w:rsidR="003D70D6">
        <w:rPr>
          <w:i/>
        </w:rPr>
        <w:t>6</w:t>
      </w:r>
      <w:r w:rsidRPr="008012AC">
        <w:rPr>
          <w:i/>
        </w:rPr>
        <w:t xml:space="preserve">. </w:t>
      </w:r>
    </w:p>
    <w:p w14:paraId="75B82FFF" w14:textId="77777777" w:rsidR="00273002" w:rsidRDefault="00273002" w:rsidP="00273002">
      <w:pPr>
        <w:rPr>
          <w:color w:val="000000"/>
          <w:szCs w:val="22"/>
        </w:rPr>
      </w:pPr>
    </w:p>
    <w:p w14:paraId="36164BCA" w14:textId="77777777" w:rsidR="00273002" w:rsidRDefault="00273002" w:rsidP="00273002">
      <w:pPr>
        <w:rPr>
          <w:color w:val="000000"/>
          <w:szCs w:val="22"/>
        </w:rPr>
      </w:pPr>
    </w:p>
    <w:p w14:paraId="10664B7E" w14:textId="2507F8CF" w:rsidR="00273002" w:rsidRDefault="003D70D6" w:rsidP="00273002">
      <w:pPr>
        <w:keepNext/>
        <w:jc w:val="center"/>
        <w:rPr>
          <w:color w:val="000000"/>
          <w:szCs w:val="22"/>
        </w:rPr>
      </w:pPr>
      <w:r>
        <w:rPr>
          <w:noProof/>
          <w:color w:val="000000"/>
          <w:szCs w:val="22"/>
          <w:lang w:eastAsia="en-AU"/>
        </w:rPr>
        <w:drawing>
          <wp:inline distT="0" distB="0" distL="0" distR="0" wp14:anchorId="3DE0DAB7" wp14:editId="51D52ED6">
            <wp:extent cx="5759450" cy="1680091"/>
            <wp:effectExtent l="0" t="0" r="0" b="0"/>
            <wp:docPr id="10152" name="Picture 10152" descr="Set of bar graphs showing annual daytime tidal exposure and long-term median of intertidal coastal seagrass meadows in the Burdekin NRM region from 2000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 name="B_coast_daytime_exposure_2016.png"/>
                    <pic:cNvPicPr/>
                  </pic:nvPicPr>
                  <pic:blipFill>
                    <a:blip r:embed="rId242"/>
                    <a:stretch>
                      <a:fillRect/>
                    </a:stretch>
                  </pic:blipFill>
                  <pic:spPr>
                    <a:xfrm>
                      <a:off x="0" y="0"/>
                      <a:ext cx="5759450" cy="1680091"/>
                    </a:xfrm>
                    <a:prstGeom prst="rect">
                      <a:avLst/>
                    </a:prstGeom>
                  </pic:spPr>
                </pic:pic>
              </a:graphicData>
            </a:graphic>
          </wp:inline>
        </w:drawing>
      </w:r>
    </w:p>
    <w:p w14:paraId="3F6AE2B6" w14:textId="7DD76927" w:rsidR="00273002" w:rsidRPr="008012AC" w:rsidRDefault="00273002" w:rsidP="00273002">
      <w:pPr>
        <w:rPr>
          <w:i/>
          <w:vanish/>
          <w:specVanish/>
        </w:rPr>
      </w:pPr>
      <w:bookmarkStart w:id="1068" w:name="_Ref410287502"/>
      <w:bookmarkStart w:id="1069" w:name="_Toc431493959"/>
      <w:bookmarkStart w:id="1070" w:name="_Toc516053360"/>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150</w:t>
      </w:r>
      <w:r w:rsidR="00C506C7">
        <w:rPr>
          <w:noProof/>
        </w:rPr>
        <w:fldChar w:fldCharType="end"/>
      </w:r>
      <w:bookmarkEnd w:id="1068"/>
      <w:r>
        <w:t xml:space="preserve">. </w:t>
      </w:r>
      <w:r w:rsidRPr="008012AC">
        <w:rPr>
          <w:i/>
        </w:rPr>
        <w:t>Annual daytime tidal exposure (total hours) and long-term median (dashed line) of intertidal coastal seagrass meadows in Burdekin NRM region; 2000 - 201</w:t>
      </w:r>
      <w:r w:rsidR="003D70D6">
        <w:rPr>
          <w:i/>
        </w:rPr>
        <w:t>6</w:t>
      </w:r>
      <w:r w:rsidRPr="008012AC">
        <w:rPr>
          <w:i/>
        </w:rPr>
        <w:t>.</w:t>
      </w:r>
      <w:bookmarkEnd w:id="1069"/>
      <w:bookmarkEnd w:id="1070"/>
      <w:r w:rsidRPr="008012AC">
        <w:rPr>
          <w:i/>
        </w:rPr>
        <w:t xml:space="preserve"> </w:t>
      </w:r>
    </w:p>
    <w:p w14:paraId="028833F7" w14:textId="64EA91F2"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F87DF9" w:rsidRPr="00F87DF9">
        <w:rPr>
          <w:i/>
        </w:rPr>
        <w:t xml:space="preserve">Table </w:t>
      </w:r>
      <w:r w:rsidR="00F87DF9" w:rsidRPr="00F87DF9">
        <w:rPr>
          <w:i/>
          <w:noProof/>
        </w:rPr>
        <w:t>51</w:t>
      </w:r>
      <w:r w:rsidRPr="008012AC">
        <w:rPr>
          <w:i/>
        </w:rPr>
        <w:fldChar w:fldCharType="end"/>
      </w:r>
      <w:r w:rsidRPr="008012AC">
        <w:rPr>
          <w:i/>
        </w:rPr>
        <w:t>. Observed tidal heights courtesy Maritime Safety Queensland, 201</w:t>
      </w:r>
      <w:r w:rsidR="003D70D6">
        <w:rPr>
          <w:i/>
        </w:rPr>
        <w:t>6</w:t>
      </w:r>
      <w:r w:rsidRPr="008012AC">
        <w:rPr>
          <w:i/>
        </w:rPr>
        <w:t>.</w:t>
      </w:r>
      <w:r>
        <w:t xml:space="preserve"> </w:t>
      </w:r>
    </w:p>
    <w:p w14:paraId="3E3E4806" w14:textId="77777777" w:rsidR="00273002" w:rsidRDefault="00273002" w:rsidP="00273002">
      <w:pPr>
        <w:rPr>
          <w:color w:val="000000"/>
          <w:szCs w:val="22"/>
        </w:rPr>
      </w:pPr>
    </w:p>
    <w:p w14:paraId="765DD7FC" w14:textId="56584EDE" w:rsidR="00273002" w:rsidRDefault="003D70D6" w:rsidP="00273002">
      <w:pPr>
        <w:keepNext/>
        <w:jc w:val="center"/>
        <w:rPr>
          <w:color w:val="000000"/>
          <w:szCs w:val="22"/>
        </w:rPr>
      </w:pPr>
      <w:r>
        <w:rPr>
          <w:noProof/>
          <w:color w:val="000000"/>
          <w:szCs w:val="22"/>
          <w:lang w:eastAsia="en-AU"/>
        </w:rPr>
        <w:drawing>
          <wp:inline distT="0" distB="0" distL="0" distR="0" wp14:anchorId="14D67F35" wp14:editId="19B0AE2F">
            <wp:extent cx="5759450" cy="906524"/>
            <wp:effectExtent l="0" t="0" r="0" b="8255"/>
            <wp:docPr id="10175" name="Picture 10175" descr="Set of bar graphs showing annual daytime tidal exposure and long-term median of intertidal reef seagrass meadows in the Burdekin NRM region from 2000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5" name="B_reef_daytime_exposure_2016.png"/>
                    <pic:cNvPicPr/>
                  </pic:nvPicPr>
                  <pic:blipFill>
                    <a:blip r:embed="rId243"/>
                    <a:stretch>
                      <a:fillRect/>
                    </a:stretch>
                  </pic:blipFill>
                  <pic:spPr>
                    <a:xfrm>
                      <a:off x="0" y="0"/>
                      <a:ext cx="5759450" cy="906524"/>
                    </a:xfrm>
                    <a:prstGeom prst="rect">
                      <a:avLst/>
                    </a:prstGeom>
                  </pic:spPr>
                </pic:pic>
              </a:graphicData>
            </a:graphic>
          </wp:inline>
        </w:drawing>
      </w:r>
    </w:p>
    <w:p w14:paraId="0933CC2C" w14:textId="1E25D232" w:rsidR="00273002" w:rsidRPr="008012AC" w:rsidRDefault="00273002" w:rsidP="00273002">
      <w:pPr>
        <w:rPr>
          <w:i/>
          <w:vanish/>
          <w:specVanish/>
        </w:rPr>
      </w:pPr>
      <w:bookmarkStart w:id="1071" w:name="_Ref410287782"/>
      <w:bookmarkStart w:id="1072" w:name="_Toc431493960"/>
      <w:bookmarkStart w:id="1073" w:name="_Toc516053361"/>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151</w:t>
      </w:r>
      <w:r w:rsidR="00C506C7">
        <w:rPr>
          <w:noProof/>
        </w:rPr>
        <w:fldChar w:fldCharType="end"/>
      </w:r>
      <w:bookmarkEnd w:id="1071"/>
      <w:r>
        <w:t xml:space="preserve">. </w:t>
      </w:r>
      <w:r w:rsidRPr="008012AC">
        <w:rPr>
          <w:i/>
        </w:rPr>
        <w:t>Annual daytime tidal exposure (total hours) and long-term median (dashed line) of intertidal reef seagrass meadows in Burdekin NRM region; 2000 - 201</w:t>
      </w:r>
      <w:r w:rsidR="003D70D6">
        <w:rPr>
          <w:i/>
        </w:rPr>
        <w:t>6</w:t>
      </w:r>
      <w:r w:rsidRPr="008012AC">
        <w:rPr>
          <w:i/>
        </w:rPr>
        <w:t>.</w:t>
      </w:r>
      <w:bookmarkEnd w:id="1072"/>
      <w:bookmarkEnd w:id="1073"/>
      <w:r w:rsidRPr="008012AC">
        <w:rPr>
          <w:i/>
        </w:rPr>
        <w:t xml:space="preserve"> </w:t>
      </w:r>
    </w:p>
    <w:p w14:paraId="232C5D92" w14:textId="3987B649"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F87DF9" w:rsidRPr="00F87DF9">
        <w:rPr>
          <w:i/>
        </w:rPr>
        <w:t xml:space="preserve">Table </w:t>
      </w:r>
      <w:r w:rsidR="00F87DF9" w:rsidRPr="00F87DF9">
        <w:rPr>
          <w:i/>
          <w:noProof/>
        </w:rPr>
        <w:t>51</w:t>
      </w:r>
      <w:r w:rsidRPr="008012AC">
        <w:rPr>
          <w:i/>
        </w:rPr>
        <w:fldChar w:fldCharType="end"/>
      </w:r>
      <w:r w:rsidRPr="008012AC">
        <w:rPr>
          <w:i/>
        </w:rPr>
        <w:t>. Observed tidal heights courtesy Maritime Safety Queensland, 201</w:t>
      </w:r>
      <w:r w:rsidR="003D70D6">
        <w:rPr>
          <w:i/>
        </w:rPr>
        <w:t>6</w:t>
      </w:r>
      <w:r w:rsidRPr="008012AC">
        <w:rPr>
          <w:i/>
        </w:rPr>
        <w:t xml:space="preserve">. </w:t>
      </w:r>
    </w:p>
    <w:p w14:paraId="780E7C9B" w14:textId="77777777" w:rsidR="00273002" w:rsidRDefault="00273002" w:rsidP="00273002">
      <w:pPr>
        <w:rPr>
          <w:color w:val="000000"/>
          <w:szCs w:val="22"/>
        </w:rPr>
      </w:pPr>
    </w:p>
    <w:p w14:paraId="5ECF4CF4" w14:textId="49D94573" w:rsidR="00273002" w:rsidRDefault="00FC62FD" w:rsidP="00273002">
      <w:pPr>
        <w:keepNext/>
        <w:jc w:val="center"/>
        <w:rPr>
          <w:color w:val="000000"/>
          <w:szCs w:val="22"/>
        </w:rPr>
      </w:pPr>
      <w:r>
        <w:rPr>
          <w:noProof/>
          <w:color w:val="000000"/>
          <w:szCs w:val="22"/>
          <w:lang w:eastAsia="en-AU"/>
        </w:rPr>
        <w:drawing>
          <wp:inline distT="0" distB="0" distL="0" distR="0" wp14:anchorId="2F4A33CE" wp14:editId="30D680F2">
            <wp:extent cx="5759450" cy="2493346"/>
            <wp:effectExtent l="0" t="0" r="0" b="2540"/>
            <wp:docPr id="85" name="Picture 85" descr="Set of bar graphs showing annual daytime tidal exposure and long-term median of intertidal seagrass meadows in the Mackay Whitsunda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MW_daytime_exposure_2016.png"/>
                    <pic:cNvPicPr/>
                  </pic:nvPicPr>
                  <pic:blipFill>
                    <a:blip r:embed="rId244"/>
                    <a:stretch>
                      <a:fillRect/>
                    </a:stretch>
                  </pic:blipFill>
                  <pic:spPr>
                    <a:xfrm>
                      <a:off x="0" y="0"/>
                      <a:ext cx="5759450" cy="2493346"/>
                    </a:xfrm>
                    <a:prstGeom prst="rect">
                      <a:avLst/>
                    </a:prstGeom>
                  </pic:spPr>
                </pic:pic>
              </a:graphicData>
            </a:graphic>
          </wp:inline>
        </w:drawing>
      </w:r>
    </w:p>
    <w:p w14:paraId="51C81637" w14:textId="24BF5938" w:rsidR="00273002" w:rsidRPr="00A93D8C" w:rsidRDefault="00273002" w:rsidP="00273002">
      <w:pPr>
        <w:rPr>
          <w:i/>
          <w:vanish/>
          <w:specVanish/>
        </w:rPr>
      </w:pPr>
      <w:bookmarkStart w:id="1074" w:name="_Ref410297244"/>
      <w:bookmarkStart w:id="1075" w:name="_Toc431493961"/>
      <w:bookmarkStart w:id="1076" w:name="_Toc516053362"/>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152</w:t>
      </w:r>
      <w:r w:rsidR="00C506C7">
        <w:rPr>
          <w:noProof/>
        </w:rPr>
        <w:fldChar w:fldCharType="end"/>
      </w:r>
      <w:bookmarkEnd w:id="1074"/>
      <w:r>
        <w:t xml:space="preserve">. </w:t>
      </w:r>
      <w:r w:rsidRPr="008012AC">
        <w:rPr>
          <w:i/>
        </w:rPr>
        <w:t>Annual daytime tidal exposure (total hours) and long-term median (dashed line) of intertidal estuarine (a, b) coastal (c, d) and reef (e, f) seagrass meadows in Mackay Whitsunday NRM region; 1999 - 201</w:t>
      </w:r>
      <w:r w:rsidR="00FC62FD">
        <w:rPr>
          <w:i/>
        </w:rPr>
        <w:t>6</w:t>
      </w:r>
      <w:r w:rsidRPr="008012AC">
        <w:rPr>
          <w:i/>
        </w:rPr>
        <w:t>.</w:t>
      </w:r>
      <w:bookmarkEnd w:id="1075"/>
      <w:bookmarkEnd w:id="1076"/>
      <w:r w:rsidRPr="008012AC">
        <w:rPr>
          <w:i/>
          <w:vanish/>
          <w:specVanish/>
        </w:rPr>
        <w:t xml:space="preserve"> </w:t>
      </w:r>
    </w:p>
    <w:p w14:paraId="04091333" w14:textId="1F1B9EBF"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F87DF9" w:rsidRPr="00F87DF9">
        <w:rPr>
          <w:i/>
        </w:rPr>
        <w:t xml:space="preserve">Table </w:t>
      </w:r>
      <w:r w:rsidR="00F87DF9" w:rsidRPr="00F87DF9">
        <w:rPr>
          <w:i/>
          <w:noProof/>
        </w:rPr>
        <w:t>51</w:t>
      </w:r>
      <w:r w:rsidRPr="008012AC">
        <w:rPr>
          <w:i/>
        </w:rPr>
        <w:fldChar w:fldCharType="end"/>
      </w:r>
      <w:r w:rsidRPr="008012AC">
        <w:rPr>
          <w:i/>
        </w:rPr>
        <w:t>. Observed tidal heights courtesy Maritime Safety Queensland, 201</w:t>
      </w:r>
      <w:r w:rsidR="00FC62FD">
        <w:rPr>
          <w:i/>
        </w:rPr>
        <w:t>6</w:t>
      </w:r>
      <w:r w:rsidRPr="008012AC">
        <w:rPr>
          <w:i/>
        </w:rPr>
        <w:t>.</w:t>
      </w:r>
      <w:r>
        <w:t xml:space="preserve"> </w:t>
      </w:r>
    </w:p>
    <w:p w14:paraId="6B324F7C" w14:textId="77777777" w:rsidR="00273002" w:rsidRDefault="00273002" w:rsidP="00273002">
      <w:pPr>
        <w:rPr>
          <w:color w:val="000000"/>
          <w:szCs w:val="22"/>
        </w:rPr>
      </w:pPr>
    </w:p>
    <w:p w14:paraId="04203E96" w14:textId="081719B3" w:rsidR="00273002" w:rsidRDefault="00FC62FD" w:rsidP="00273002">
      <w:pPr>
        <w:keepNext/>
        <w:jc w:val="center"/>
        <w:rPr>
          <w:color w:val="000000"/>
          <w:szCs w:val="22"/>
        </w:rPr>
      </w:pPr>
      <w:r>
        <w:rPr>
          <w:noProof/>
          <w:color w:val="000000"/>
          <w:szCs w:val="22"/>
          <w:lang w:eastAsia="en-AU"/>
        </w:rPr>
        <w:drawing>
          <wp:inline distT="0" distB="0" distL="0" distR="0" wp14:anchorId="7941A29E" wp14:editId="0F933302">
            <wp:extent cx="5759450" cy="2495963"/>
            <wp:effectExtent l="0" t="0" r="0" b="0"/>
            <wp:docPr id="86" name="Picture 86" descr="Set of bar graphs showing annual daytime tidal exposure and long-term median of intertidal seagrass meadows in the Fitzro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F_daytime_exposure_2016.png"/>
                    <pic:cNvPicPr/>
                  </pic:nvPicPr>
                  <pic:blipFill>
                    <a:blip r:embed="rId245"/>
                    <a:stretch>
                      <a:fillRect/>
                    </a:stretch>
                  </pic:blipFill>
                  <pic:spPr>
                    <a:xfrm>
                      <a:off x="0" y="0"/>
                      <a:ext cx="5759450" cy="2495963"/>
                    </a:xfrm>
                    <a:prstGeom prst="rect">
                      <a:avLst/>
                    </a:prstGeom>
                  </pic:spPr>
                </pic:pic>
              </a:graphicData>
            </a:graphic>
          </wp:inline>
        </w:drawing>
      </w:r>
    </w:p>
    <w:p w14:paraId="640DC1C1" w14:textId="200396C3" w:rsidR="00273002" w:rsidRPr="008012AC" w:rsidRDefault="00273002" w:rsidP="00273002">
      <w:pPr>
        <w:rPr>
          <w:i/>
          <w:vanish/>
          <w:specVanish/>
        </w:rPr>
      </w:pPr>
      <w:bookmarkStart w:id="1077" w:name="_Ref410305493"/>
      <w:bookmarkStart w:id="1078" w:name="_Toc431493962"/>
      <w:bookmarkStart w:id="1079" w:name="_Toc51605336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153</w:t>
      </w:r>
      <w:r w:rsidR="00C506C7">
        <w:rPr>
          <w:noProof/>
        </w:rPr>
        <w:fldChar w:fldCharType="end"/>
      </w:r>
      <w:bookmarkEnd w:id="1077"/>
      <w:r>
        <w:t xml:space="preserve">. </w:t>
      </w:r>
      <w:r w:rsidRPr="008012AC">
        <w:rPr>
          <w:i/>
        </w:rPr>
        <w:t>Annual daytime tidal exposure (total hours) and long-term median (dashed line) of intertidal estuarine (a, b) coastal (c, d) and reef (e, f) seagrass meadows in the Fitzroy NRM region; 1999 - 201</w:t>
      </w:r>
      <w:r w:rsidR="00FC62FD">
        <w:rPr>
          <w:i/>
        </w:rPr>
        <w:t>6</w:t>
      </w:r>
      <w:r w:rsidRPr="008012AC">
        <w:rPr>
          <w:i/>
        </w:rPr>
        <w:t>.</w:t>
      </w:r>
      <w:bookmarkEnd w:id="1078"/>
      <w:bookmarkEnd w:id="1079"/>
      <w:r w:rsidRPr="008012AC">
        <w:rPr>
          <w:i/>
        </w:rPr>
        <w:t xml:space="preserve"> </w:t>
      </w:r>
    </w:p>
    <w:p w14:paraId="7ECEEAF7" w14:textId="3575D45A"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F87DF9" w:rsidRPr="00F87DF9">
        <w:rPr>
          <w:i/>
        </w:rPr>
        <w:t xml:space="preserve">Table </w:t>
      </w:r>
      <w:r w:rsidR="00F87DF9" w:rsidRPr="00F87DF9">
        <w:rPr>
          <w:i/>
          <w:noProof/>
        </w:rPr>
        <w:t>51</w:t>
      </w:r>
      <w:r w:rsidRPr="008012AC">
        <w:rPr>
          <w:i/>
        </w:rPr>
        <w:fldChar w:fldCharType="end"/>
      </w:r>
      <w:r w:rsidRPr="008012AC">
        <w:rPr>
          <w:i/>
        </w:rPr>
        <w:t>. Observed tidal heights courtesy Maritime Safety Queensland, 201</w:t>
      </w:r>
      <w:r w:rsidR="00FC62FD">
        <w:rPr>
          <w:i/>
        </w:rPr>
        <w:t>6</w:t>
      </w:r>
      <w:r w:rsidRPr="008012AC">
        <w:rPr>
          <w:i/>
        </w:rPr>
        <w:t>.</w:t>
      </w:r>
      <w:r w:rsidRPr="00A93D8C">
        <w:t xml:space="preserve"> </w:t>
      </w:r>
    </w:p>
    <w:p w14:paraId="63190E79" w14:textId="77777777" w:rsidR="00273002" w:rsidRDefault="00273002" w:rsidP="00273002">
      <w:pPr>
        <w:rPr>
          <w:color w:val="000000"/>
          <w:szCs w:val="22"/>
        </w:rPr>
      </w:pPr>
    </w:p>
    <w:p w14:paraId="534D24D4" w14:textId="1FA1F078" w:rsidR="00273002" w:rsidRDefault="00FC62FD" w:rsidP="00273002">
      <w:pPr>
        <w:keepNext/>
        <w:jc w:val="center"/>
        <w:rPr>
          <w:color w:val="000000"/>
          <w:szCs w:val="22"/>
        </w:rPr>
      </w:pPr>
      <w:r>
        <w:rPr>
          <w:noProof/>
          <w:color w:val="000000"/>
          <w:szCs w:val="22"/>
          <w:lang w:eastAsia="en-AU"/>
        </w:rPr>
        <w:drawing>
          <wp:inline distT="0" distB="0" distL="0" distR="0" wp14:anchorId="2292E2AB" wp14:editId="48C54C9C">
            <wp:extent cx="5759450" cy="1686134"/>
            <wp:effectExtent l="0" t="0" r="0" b="9525"/>
            <wp:docPr id="87" name="Picture 87" descr="Set of bar graphs showing annual daytime tidal exposure and long-term median of intertidal seagrass meadows in the Burnett Mar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BM_daytime_exposure_2016.png"/>
                    <pic:cNvPicPr/>
                  </pic:nvPicPr>
                  <pic:blipFill>
                    <a:blip r:embed="rId246"/>
                    <a:stretch>
                      <a:fillRect/>
                    </a:stretch>
                  </pic:blipFill>
                  <pic:spPr>
                    <a:xfrm>
                      <a:off x="0" y="0"/>
                      <a:ext cx="5759450" cy="1686134"/>
                    </a:xfrm>
                    <a:prstGeom prst="rect">
                      <a:avLst/>
                    </a:prstGeom>
                  </pic:spPr>
                </pic:pic>
              </a:graphicData>
            </a:graphic>
          </wp:inline>
        </w:drawing>
      </w:r>
    </w:p>
    <w:p w14:paraId="518AAFEF" w14:textId="06CDD649" w:rsidR="00273002" w:rsidRPr="00A93D8C" w:rsidRDefault="00273002" w:rsidP="00273002">
      <w:pPr>
        <w:rPr>
          <w:i/>
          <w:vanish/>
          <w:specVanish/>
        </w:rPr>
      </w:pPr>
      <w:bookmarkStart w:id="1080" w:name="_Ref410309889"/>
      <w:bookmarkStart w:id="1081" w:name="_Toc431493963"/>
      <w:bookmarkStart w:id="1082" w:name="_Toc51605336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154</w:t>
      </w:r>
      <w:r w:rsidR="00C506C7">
        <w:rPr>
          <w:noProof/>
        </w:rPr>
        <w:fldChar w:fldCharType="end"/>
      </w:r>
      <w:bookmarkEnd w:id="1080"/>
      <w:r>
        <w:t xml:space="preserve">. </w:t>
      </w:r>
      <w:r w:rsidRPr="008012AC">
        <w:rPr>
          <w:i/>
        </w:rPr>
        <w:t>Annual daytime tidal exposure (total hours) and long-term median (dashed line) of intertidal estuarine seagrass meadows in the Burnett Mary NRM region; 1999 - 201</w:t>
      </w:r>
      <w:r w:rsidR="00FC62FD">
        <w:rPr>
          <w:i/>
        </w:rPr>
        <w:t>6</w:t>
      </w:r>
      <w:r w:rsidRPr="008012AC">
        <w:rPr>
          <w:i/>
        </w:rPr>
        <w:t>.</w:t>
      </w:r>
      <w:bookmarkEnd w:id="1081"/>
      <w:bookmarkEnd w:id="1082"/>
      <w:r w:rsidRPr="008012AC">
        <w:rPr>
          <w:i/>
          <w:vanish/>
          <w:specVanish/>
        </w:rPr>
        <w:t xml:space="preserve"> </w:t>
      </w:r>
    </w:p>
    <w:p w14:paraId="508C3246" w14:textId="42AC88FB" w:rsidR="00273002" w:rsidRPr="008012AC" w:rsidRDefault="00273002" w:rsidP="00273002">
      <w:pPr>
        <w:rPr>
          <w:lang w:val="en-GB"/>
        </w:rPr>
      </w:pPr>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F87DF9" w:rsidRPr="00F87DF9">
        <w:rPr>
          <w:i/>
        </w:rPr>
        <w:t xml:space="preserve">Table </w:t>
      </w:r>
      <w:r w:rsidR="00F87DF9" w:rsidRPr="00F87DF9">
        <w:rPr>
          <w:i/>
          <w:noProof/>
        </w:rPr>
        <w:t>51</w:t>
      </w:r>
      <w:r w:rsidRPr="008012AC">
        <w:rPr>
          <w:i/>
        </w:rPr>
        <w:fldChar w:fldCharType="end"/>
      </w:r>
      <w:r w:rsidRPr="008012AC">
        <w:rPr>
          <w:i/>
        </w:rPr>
        <w:t>. Observed tidal heights courtesy Maritime Safety Queensland, 201</w:t>
      </w:r>
      <w:r w:rsidR="00FC62FD">
        <w:rPr>
          <w:i/>
        </w:rPr>
        <w:t>6</w:t>
      </w:r>
      <w:r w:rsidRPr="008012AC">
        <w:rPr>
          <w:i/>
        </w:rPr>
        <w:t xml:space="preserve">. </w:t>
      </w:r>
    </w:p>
    <w:p w14:paraId="2D718817" w14:textId="77777777" w:rsidR="00273002" w:rsidRDefault="00273002" w:rsidP="00273002">
      <w:pPr>
        <w:rPr>
          <w:color w:val="000000"/>
          <w:szCs w:val="22"/>
        </w:rPr>
      </w:pPr>
    </w:p>
    <w:p w14:paraId="777E99F7" w14:textId="77777777" w:rsidR="00273002" w:rsidRDefault="00273002" w:rsidP="00273002">
      <w:pPr>
        <w:rPr>
          <w:color w:val="000000"/>
          <w:szCs w:val="22"/>
        </w:rPr>
      </w:pPr>
    </w:p>
    <w:p w14:paraId="4EE5A119" w14:textId="77777777" w:rsidR="00273002" w:rsidRDefault="00273002">
      <w:pPr>
        <w:spacing w:before="0" w:after="0"/>
        <w:rPr>
          <w:color w:val="000000"/>
          <w:szCs w:val="22"/>
        </w:rPr>
      </w:pPr>
      <w:r>
        <w:rPr>
          <w:color w:val="000000"/>
          <w:szCs w:val="22"/>
        </w:rPr>
        <w:br w:type="page"/>
      </w:r>
    </w:p>
    <w:p w14:paraId="5A622C66" w14:textId="221AD771" w:rsidR="002E6139" w:rsidRDefault="002E6139" w:rsidP="00F12624">
      <w:pPr>
        <w:pStyle w:val="Heading3"/>
        <w:rPr>
          <w:rFonts w:asciiTheme="minorHAnsi" w:hAnsiTheme="minorHAnsi"/>
          <w:sz w:val="24"/>
          <w:szCs w:val="24"/>
        </w:rPr>
      </w:pPr>
      <w:bookmarkStart w:id="1083" w:name="_Toc516053202"/>
      <w:r w:rsidRPr="00F12624">
        <w:rPr>
          <w:rFonts w:asciiTheme="minorHAnsi" w:hAnsiTheme="minorHAnsi"/>
          <w:sz w:val="24"/>
          <w:szCs w:val="24"/>
        </w:rPr>
        <w:t>Light at seagrass canopy</w:t>
      </w:r>
      <w:bookmarkEnd w:id="1083"/>
    </w:p>
    <w:p w14:paraId="26BE4E84" w14:textId="77777777" w:rsidR="00800B15" w:rsidRPr="00800B15" w:rsidRDefault="00800B15" w:rsidP="00800B15">
      <w:pPr>
        <w:rPr>
          <w:lang w:eastAsia="x-none"/>
        </w:rPr>
      </w:pPr>
    </w:p>
    <w:p w14:paraId="034E299D" w14:textId="4D036738" w:rsidR="002E6139" w:rsidRDefault="0079090F" w:rsidP="002E6139">
      <w:pPr>
        <w:keepNext/>
        <w:jc w:val="center"/>
      </w:pPr>
      <w:r>
        <w:rPr>
          <w:noProof/>
          <w:lang w:eastAsia="en-AU"/>
        </w:rPr>
        <w:drawing>
          <wp:inline distT="0" distB="0" distL="0" distR="0" wp14:anchorId="169B9E79" wp14:editId="1F03B189">
            <wp:extent cx="4018915" cy="7222914"/>
            <wp:effectExtent l="0" t="0" r="635" b="0"/>
            <wp:docPr id="55" name="Picture 55" descr="Panel of 5 line plots showing daily light (28-day rolling average) at each Cape York location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Cape York Daily light site plots combined.png"/>
                    <pic:cNvPicPr/>
                  </pic:nvPicPr>
                  <pic:blipFill rotWithShape="1">
                    <a:blip r:embed="rId247"/>
                    <a:srcRect t="5123"/>
                    <a:stretch/>
                  </pic:blipFill>
                  <pic:spPr bwMode="auto">
                    <a:xfrm>
                      <a:off x="0" y="0"/>
                      <a:ext cx="4019457" cy="7223888"/>
                    </a:xfrm>
                    <a:prstGeom prst="rect">
                      <a:avLst/>
                    </a:prstGeom>
                    <a:ln>
                      <a:noFill/>
                    </a:ln>
                    <a:extLst>
                      <a:ext uri="{53640926-AAD7-44D8-BBD7-CCE9431645EC}">
                        <a14:shadowObscured xmlns:a14="http://schemas.microsoft.com/office/drawing/2010/main"/>
                      </a:ext>
                    </a:extLst>
                  </pic:spPr>
                </pic:pic>
              </a:graphicData>
            </a:graphic>
          </wp:inline>
        </w:drawing>
      </w:r>
    </w:p>
    <w:p w14:paraId="689F165E" w14:textId="294DD1C5" w:rsidR="002E6139" w:rsidRPr="00CD6094" w:rsidRDefault="002E6139" w:rsidP="002E6139">
      <w:pPr>
        <w:rPr>
          <w:i/>
          <w:vanish/>
          <w:specVanish/>
        </w:rPr>
      </w:pPr>
      <w:bookmarkStart w:id="1084" w:name="_Ref410207664"/>
      <w:bookmarkStart w:id="1085" w:name="_Toc431493972"/>
      <w:bookmarkStart w:id="1086" w:name="_Toc51605336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155</w:t>
      </w:r>
      <w:r w:rsidR="00C506C7">
        <w:rPr>
          <w:noProof/>
        </w:rPr>
        <w:fldChar w:fldCharType="end"/>
      </w:r>
      <w:bookmarkEnd w:id="1084"/>
      <w:r>
        <w:t xml:space="preserve">. </w:t>
      </w:r>
      <w:r w:rsidRPr="006762AB">
        <w:rPr>
          <w:i/>
        </w:rPr>
        <w:t xml:space="preserve">Daily light (28-day rolling average) at Cape York </w:t>
      </w:r>
      <w:r>
        <w:rPr>
          <w:i/>
        </w:rPr>
        <w:t>locations</w:t>
      </w:r>
      <w:bookmarkEnd w:id="1085"/>
      <w:bookmarkEnd w:id="1086"/>
    </w:p>
    <w:p w14:paraId="3A2A060B" w14:textId="44787E5C" w:rsidR="002E6139" w:rsidRDefault="002E6139" w:rsidP="002E6139">
      <w:pPr>
        <w:rPr>
          <w:lang w:val="en-GB"/>
        </w:rPr>
      </w:pPr>
      <w:r w:rsidRPr="006762AB">
        <w:rPr>
          <w:i/>
        </w:rPr>
        <w:t>, also showing approximate light threshold required for positive growth in Halodule uninervis dominated communities (5 mol m</w:t>
      </w:r>
      <w:r w:rsidRPr="006762AB">
        <w:rPr>
          <w:i/>
          <w:vertAlign w:val="superscript"/>
        </w:rPr>
        <w:t>-2</w:t>
      </w:r>
      <w:r w:rsidRPr="006762AB">
        <w:rPr>
          <w:i/>
        </w:rPr>
        <w:t xml:space="preserve"> d</w:t>
      </w:r>
      <w:r w:rsidRPr="006762AB">
        <w:rPr>
          <w:i/>
          <w:vertAlign w:val="superscript"/>
        </w:rPr>
        <w:t>-1</w:t>
      </w:r>
      <w:r w:rsidRPr="006762AB">
        <w:rPr>
          <w:i/>
        </w:rPr>
        <w:t xml:space="preserve">) </w:t>
      </w:r>
      <w:hyperlink w:anchor="_ENREF_58" w:tooltip="Collier, 2012 #9288" w:history="1">
        <w:r w:rsidR="00305FE7">
          <w:rPr>
            <w:i/>
          </w:rPr>
          <w:fldChar w:fldCharType="begin"/>
        </w:r>
        <w:r w:rsidR="00305FE7">
          <w:rPr>
            <w:i/>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rPr>
          <w:fldChar w:fldCharType="separate"/>
        </w:r>
        <w:r w:rsidR="00305FE7">
          <w:rPr>
            <w:i/>
            <w:noProof/>
          </w:rPr>
          <w:t>Collier et al. 2012b</w:t>
        </w:r>
        <w:r w:rsidR="00305FE7">
          <w:rPr>
            <w:i/>
          </w:rPr>
          <w:fldChar w:fldCharType="end"/>
        </w:r>
      </w:hyperlink>
      <w:r w:rsidRPr="006762AB">
        <w:rPr>
          <w:i/>
        </w:rPr>
        <w:t xml:space="preserve"> NB threshold is based on 90-day average.</w:t>
      </w:r>
      <w:r>
        <w:rPr>
          <w:lang w:val="en-GB"/>
        </w:rPr>
        <w:t xml:space="preserve"> </w:t>
      </w:r>
    </w:p>
    <w:p w14:paraId="6DD6DAA4" w14:textId="77777777" w:rsidR="00800B15" w:rsidRDefault="00800B15" w:rsidP="002E6139">
      <w:pPr>
        <w:rPr>
          <w:lang w:val="en-GB"/>
        </w:rPr>
      </w:pPr>
    </w:p>
    <w:p w14:paraId="3FF470B8" w14:textId="73EEFBC7" w:rsidR="002E6139" w:rsidRDefault="0079090F" w:rsidP="002E6139">
      <w:pPr>
        <w:keepNext/>
        <w:jc w:val="center"/>
        <w:rPr>
          <w:noProof/>
          <w:lang w:eastAsia="en-AU"/>
        </w:rPr>
      </w:pPr>
      <w:r>
        <w:rPr>
          <w:noProof/>
          <w:lang w:eastAsia="en-AU"/>
        </w:rPr>
        <w:drawing>
          <wp:inline distT="0" distB="0" distL="0" distR="0" wp14:anchorId="323E00E6" wp14:editId="09665494">
            <wp:extent cx="4039875" cy="7387200"/>
            <wp:effectExtent l="0" t="0" r="0" b="4445"/>
            <wp:docPr id="289" name="Picture 289" descr="Series of stacked graphs showing daily light and 28-day rolling average for locations in the nor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Wet Tropics Daily light site plots combined.png"/>
                    <pic:cNvPicPr/>
                  </pic:nvPicPr>
                  <pic:blipFill>
                    <a:blip r:embed="rId248"/>
                    <a:stretch>
                      <a:fillRect/>
                    </a:stretch>
                  </pic:blipFill>
                  <pic:spPr bwMode="auto">
                    <a:xfrm>
                      <a:off x="0" y="0"/>
                      <a:ext cx="4039875" cy="7387200"/>
                    </a:xfrm>
                    <a:prstGeom prst="rect">
                      <a:avLst/>
                    </a:prstGeom>
                    <a:ln>
                      <a:noFill/>
                    </a:ln>
                    <a:extLst>
                      <a:ext uri="{53640926-AAD7-44D8-BBD7-CCE9431645EC}">
                        <a14:shadowObscured xmlns:a14="http://schemas.microsoft.com/office/drawing/2010/main"/>
                      </a:ext>
                    </a:extLst>
                  </pic:spPr>
                </pic:pic>
              </a:graphicData>
            </a:graphic>
          </wp:inline>
        </w:drawing>
      </w:r>
    </w:p>
    <w:p w14:paraId="1F951724" w14:textId="2A59C6FF" w:rsidR="002E6139" w:rsidRPr="00CD6094" w:rsidRDefault="002E6139" w:rsidP="002E6139">
      <w:pPr>
        <w:rPr>
          <w:i/>
          <w:vanish/>
          <w:color w:val="000000"/>
          <w:szCs w:val="22"/>
          <w:specVanish/>
        </w:rPr>
      </w:pPr>
      <w:bookmarkStart w:id="1087" w:name="_Ref410218392"/>
      <w:bookmarkStart w:id="1088" w:name="_Toc431493973"/>
      <w:bookmarkStart w:id="1089" w:name="_Toc516053366"/>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156</w:t>
      </w:r>
      <w:r w:rsidR="00C506C7">
        <w:rPr>
          <w:noProof/>
        </w:rPr>
        <w:fldChar w:fldCharType="end"/>
      </w:r>
      <w:bookmarkEnd w:id="1087"/>
      <w:r>
        <w:t xml:space="preserve">. </w:t>
      </w:r>
      <w:bookmarkEnd w:id="1088"/>
      <w:r w:rsidRPr="006762AB">
        <w:rPr>
          <w:i/>
          <w:color w:val="000000"/>
          <w:szCs w:val="22"/>
        </w:rPr>
        <w:t xml:space="preserve">Daily light (yellow line) and 28-day rolling average (orange, bold line) </w:t>
      </w:r>
      <w:r>
        <w:rPr>
          <w:i/>
          <w:color w:val="000000"/>
          <w:szCs w:val="22"/>
        </w:rPr>
        <w:t>for locations in the northern Wet Tropics</w:t>
      </w:r>
      <w:bookmarkEnd w:id="1089"/>
    </w:p>
    <w:p w14:paraId="35A580D1" w14:textId="3A3EEC87" w:rsidR="002E6139" w:rsidRDefault="002E6139" w:rsidP="002E6139">
      <w:pPr>
        <w:rPr>
          <w:i/>
          <w:color w:val="000000"/>
          <w:szCs w:val="22"/>
        </w:rPr>
      </w:pPr>
      <w:r>
        <w:rPr>
          <w:i/>
          <w:color w:val="000000"/>
          <w:szCs w:val="22"/>
        </w:rPr>
        <w:t>.</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58" w:tooltip="Collier, 2012 #9288" w:history="1">
        <w:r w:rsidR="00305FE7">
          <w:rPr>
            <w:i/>
            <w:color w:val="000000"/>
            <w:szCs w:val="22"/>
          </w:rPr>
          <w:fldChar w:fldCharType="begin"/>
        </w:r>
        <w:r w:rsidR="00305FE7">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color w:val="000000"/>
            <w:szCs w:val="22"/>
          </w:rPr>
          <w:fldChar w:fldCharType="separate"/>
        </w:r>
        <w:r w:rsidR="00305FE7">
          <w:rPr>
            <w:i/>
            <w:noProof/>
            <w:color w:val="000000"/>
            <w:szCs w:val="22"/>
          </w:rPr>
          <w:t>Collier et al. 2012b</w:t>
        </w:r>
        <w:r w:rsidR="00305FE7">
          <w:rPr>
            <w:i/>
            <w:color w:val="000000"/>
            <w:szCs w:val="22"/>
          </w:rPr>
          <w:fldChar w:fldCharType="end"/>
        </w:r>
      </w:hyperlink>
      <w:r>
        <w:rPr>
          <w:i/>
          <w:color w:val="000000"/>
          <w:szCs w:val="22"/>
        </w:rPr>
        <w:t>)</w:t>
      </w:r>
    </w:p>
    <w:p w14:paraId="668ECAB9" w14:textId="77777777" w:rsidR="00800B15" w:rsidRDefault="00800B15" w:rsidP="002E6139">
      <w:pPr>
        <w:rPr>
          <w:i/>
          <w:color w:val="000000"/>
          <w:szCs w:val="22"/>
        </w:rPr>
      </w:pPr>
    </w:p>
    <w:p w14:paraId="0F0412DF" w14:textId="77777777" w:rsidR="00800B15" w:rsidRDefault="00800B15" w:rsidP="002E6139">
      <w:pPr>
        <w:rPr>
          <w:i/>
          <w:color w:val="000000"/>
          <w:szCs w:val="22"/>
        </w:rPr>
      </w:pPr>
    </w:p>
    <w:p w14:paraId="2A54AB90" w14:textId="77777777" w:rsidR="00800B15" w:rsidRDefault="00800B15" w:rsidP="002E6139">
      <w:pPr>
        <w:rPr>
          <w:i/>
          <w:color w:val="000000"/>
          <w:szCs w:val="22"/>
        </w:rPr>
      </w:pPr>
    </w:p>
    <w:p w14:paraId="56AD5403" w14:textId="5FD39F51" w:rsidR="002E6139" w:rsidRDefault="0079090F" w:rsidP="002E6139">
      <w:pPr>
        <w:jc w:val="center"/>
        <w:rPr>
          <w:noProof/>
          <w:lang w:eastAsia="en-AU"/>
        </w:rPr>
      </w:pPr>
      <w:r>
        <w:rPr>
          <w:noProof/>
          <w:lang w:eastAsia="en-AU"/>
        </w:rPr>
        <w:drawing>
          <wp:inline distT="0" distB="0" distL="0" distR="0" wp14:anchorId="5493D6BE" wp14:editId="3BF15F4D">
            <wp:extent cx="4152833" cy="3117600"/>
            <wp:effectExtent l="0" t="0" r="635" b="6985"/>
            <wp:docPr id="300" name="Picture 300" descr="Series of stacked graphs showing daily light and 28-day rolling average for locations in the sou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Wet Tropics South Daily light site plots combined.png"/>
                    <pic:cNvPicPr/>
                  </pic:nvPicPr>
                  <pic:blipFill>
                    <a:blip r:embed="rId249"/>
                    <a:stretch>
                      <a:fillRect/>
                    </a:stretch>
                  </pic:blipFill>
                  <pic:spPr>
                    <a:xfrm>
                      <a:off x="0" y="0"/>
                      <a:ext cx="4152833" cy="3117600"/>
                    </a:xfrm>
                    <a:prstGeom prst="rect">
                      <a:avLst/>
                    </a:prstGeom>
                  </pic:spPr>
                </pic:pic>
              </a:graphicData>
            </a:graphic>
          </wp:inline>
        </w:drawing>
      </w:r>
    </w:p>
    <w:p w14:paraId="527CE143" w14:textId="0D51CF4F" w:rsidR="002E6139" w:rsidRPr="00CD6094" w:rsidRDefault="002E6139" w:rsidP="00DD3BAE">
      <w:pPr>
        <w:rPr>
          <w:i/>
          <w:vanish/>
          <w:color w:val="000000"/>
          <w:szCs w:val="22"/>
          <w:specVanish/>
        </w:rPr>
      </w:pPr>
      <w:bookmarkStart w:id="1090" w:name="_Ref410218397"/>
      <w:bookmarkStart w:id="1091" w:name="_Toc431493974"/>
      <w:bookmarkStart w:id="1092" w:name="_Toc51605336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157</w:t>
      </w:r>
      <w:r w:rsidR="00C506C7">
        <w:rPr>
          <w:noProof/>
        </w:rPr>
        <w:fldChar w:fldCharType="end"/>
      </w:r>
      <w:bookmarkEnd w:id="1090"/>
      <w:r>
        <w:t xml:space="preserve">. </w:t>
      </w:r>
      <w:r w:rsidRPr="006762AB">
        <w:rPr>
          <w:i/>
          <w:color w:val="000000"/>
          <w:szCs w:val="22"/>
        </w:rPr>
        <w:t xml:space="preserve">Daily light (yellow line) and 28-day rolling average (orange, bold line) </w:t>
      </w:r>
      <w:r>
        <w:rPr>
          <w:i/>
          <w:color w:val="000000"/>
          <w:szCs w:val="22"/>
        </w:rPr>
        <w:t>for locations in the southern Wet Tropics</w:t>
      </w:r>
      <w:bookmarkEnd w:id="1091"/>
      <w:bookmarkEnd w:id="1092"/>
    </w:p>
    <w:p w14:paraId="1BDAAFF1" w14:textId="4AF2F7B8" w:rsidR="002E6139" w:rsidRPr="00CD6094" w:rsidRDefault="002E6139" w:rsidP="00DD3BAE">
      <w:pPr>
        <w:rPr>
          <w:lang w:val="en-GB"/>
        </w:rPr>
      </w:pPr>
      <w:r>
        <w:rPr>
          <w:i/>
          <w:color w:val="000000"/>
          <w:szCs w:val="22"/>
        </w:rPr>
        <w:t>.</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58" w:tooltip="Collier, 2012 #9288" w:history="1">
        <w:r w:rsidR="00305FE7">
          <w:rPr>
            <w:i/>
            <w:color w:val="000000"/>
            <w:szCs w:val="22"/>
          </w:rPr>
          <w:fldChar w:fldCharType="begin"/>
        </w:r>
        <w:r w:rsidR="00305FE7">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color w:val="000000"/>
            <w:szCs w:val="22"/>
          </w:rPr>
          <w:fldChar w:fldCharType="separate"/>
        </w:r>
        <w:r w:rsidR="00305FE7">
          <w:rPr>
            <w:i/>
            <w:noProof/>
            <w:color w:val="000000"/>
            <w:szCs w:val="22"/>
          </w:rPr>
          <w:t>Collier et al. 2012b</w:t>
        </w:r>
        <w:r w:rsidR="00305FE7">
          <w:rPr>
            <w:i/>
            <w:color w:val="000000"/>
            <w:szCs w:val="22"/>
          </w:rPr>
          <w:fldChar w:fldCharType="end"/>
        </w:r>
      </w:hyperlink>
      <w:r>
        <w:rPr>
          <w:i/>
          <w:color w:val="000000"/>
          <w:szCs w:val="22"/>
        </w:rPr>
        <w:t>)</w:t>
      </w:r>
    </w:p>
    <w:p w14:paraId="2F9C79E8" w14:textId="77777777" w:rsidR="002E6139" w:rsidRDefault="002E6139" w:rsidP="00DD3BAE"/>
    <w:p w14:paraId="0D466FC8" w14:textId="77777777" w:rsidR="00800B15" w:rsidRDefault="00800B15" w:rsidP="00DD3BAE"/>
    <w:p w14:paraId="623B1589" w14:textId="77777777" w:rsidR="00800B15" w:rsidRDefault="00800B15" w:rsidP="00DD3BAE"/>
    <w:p w14:paraId="0FB6065C" w14:textId="77777777" w:rsidR="00800B15" w:rsidRDefault="00800B15" w:rsidP="002E6139"/>
    <w:p w14:paraId="551EA5E0" w14:textId="77777777" w:rsidR="00800B15" w:rsidRDefault="00800B15" w:rsidP="002E6139"/>
    <w:p w14:paraId="13CE73E5" w14:textId="77777777" w:rsidR="00800B15" w:rsidRDefault="00800B15" w:rsidP="002E6139"/>
    <w:p w14:paraId="7240D2C8" w14:textId="77777777" w:rsidR="00800B15" w:rsidRDefault="00800B15" w:rsidP="002E6139"/>
    <w:p w14:paraId="3BE34482" w14:textId="77777777" w:rsidR="00800B15" w:rsidRDefault="00800B15" w:rsidP="002E6139"/>
    <w:p w14:paraId="18C800D4" w14:textId="77777777" w:rsidR="00800B15" w:rsidRDefault="00800B15" w:rsidP="002E6139"/>
    <w:p w14:paraId="4BD47113" w14:textId="77777777" w:rsidR="00800B15" w:rsidRDefault="00800B15" w:rsidP="002E6139"/>
    <w:p w14:paraId="3002B840" w14:textId="77777777" w:rsidR="00800B15" w:rsidRDefault="00800B15" w:rsidP="002E6139"/>
    <w:p w14:paraId="73633AA0" w14:textId="77777777" w:rsidR="00800B15" w:rsidRDefault="00800B15" w:rsidP="002E6139"/>
    <w:p w14:paraId="40CD01FD" w14:textId="77777777" w:rsidR="00800B15" w:rsidRDefault="00800B15" w:rsidP="002E6139"/>
    <w:p w14:paraId="13D2161D" w14:textId="77777777" w:rsidR="00800B15" w:rsidRDefault="00800B15" w:rsidP="002E6139"/>
    <w:p w14:paraId="7DA709C8" w14:textId="77777777" w:rsidR="00800B15" w:rsidRDefault="00800B15" w:rsidP="002E6139"/>
    <w:p w14:paraId="0C2F4727" w14:textId="77777777" w:rsidR="00800B15" w:rsidRDefault="00800B15" w:rsidP="002E6139"/>
    <w:p w14:paraId="0CC962A3" w14:textId="77777777" w:rsidR="00800B15" w:rsidRDefault="00800B15" w:rsidP="002E6139"/>
    <w:p w14:paraId="24D9B4EC" w14:textId="77777777" w:rsidR="00800B15" w:rsidRDefault="00800B15" w:rsidP="002E6139"/>
    <w:p w14:paraId="177DF545" w14:textId="77777777" w:rsidR="00800B15" w:rsidRDefault="00800B15" w:rsidP="002E6139"/>
    <w:p w14:paraId="20FD8C74" w14:textId="0C864AA2" w:rsidR="002E6139" w:rsidRDefault="0079090F" w:rsidP="002E6139">
      <w:pPr>
        <w:jc w:val="center"/>
      </w:pPr>
      <w:r>
        <w:rPr>
          <w:noProof/>
          <w:lang w:eastAsia="en-AU"/>
        </w:rPr>
        <w:drawing>
          <wp:inline distT="0" distB="0" distL="0" distR="0" wp14:anchorId="16E9D031" wp14:editId="35E1E7DD">
            <wp:extent cx="3805121" cy="8043875"/>
            <wp:effectExtent l="0" t="0" r="5080" b="0"/>
            <wp:docPr id="529" name="Picture 529" descr="Series of stacked graphs showing daily light and 28-day rolling average for locations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Burdekin Daily light site plots combined.png"/>
                    <pic:cNvPicPr/>
                  </pic:nvPicPr>
                  <pic:blipFill>
                    <a:blip r:embed="rId250"/>
                    <a:stretch>
                      <a:fillRect/>
                    </a:stretch>
                  </pic:blipFill>
                  <pic:spPr>
                    <a:xfrm>
                      <a:off x="0" y="0"/>
                      <a:ext cx="3805121" cy="8043875"/>
                    </a:xfrm>
                    <a:prstGeom prst="rect">
                      <a:avLst/>
                    </a:prstGeom>
                  </pic:spPr>
                </pic:pic>
              </a:graphicData>
            </a:graphic>
          </wp:inline>
        </w:drawing>
      </w:r>
    </w:p>
    <w:p w14:paraId="3A020972" w14:textId="38659363" w:rsidR="002E6139" w:rsidRPr="00CD6094" w:rsidRDefault="002E6139" w:rsidP="002E6139">
      <w:pPr>
        <w:rPr>
          <w:vanish/>
          <w:color w:val="000000"/>
          <w:szCs w:val="22"/>
          <w:specVanish/>
        </w:rPr>
      </w:pPr>
      <w:bookmarkStart w:id="1093" w:name="_Ref410288144"/>
      <w:bookmarkStart w:id="1094" w:name="_Toc431493978"/>
      <w:bookmarkStart w:id="1095" w:name="_Toc51605336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158</w:t>
      </w:r>
      <w:r w:rsidR="00C506C7">
        <w:rPr>
          <w:noProof/>
        </w:rPr>
        <w:fldChar w:fldCharType="end"/>
      </w:r>
      <w:bookmarkEnd w:id="1093"/>
      <w:r>
        <w:t xml:space="preserve">. </w:t>
      </w:r>
      <w:r w:rsidRPr="006762AB">
        <w:rPr>
          <w:i/>
          <w:color w:val="000000"/>
          <w:szCs w:val="22"/>
        </w:rPr>
        <w:t xml:space="preserve">Daily light (yellow line) and 28-day rolling average (orange, bold line) at </w:t>
      </w:r>
      <w:r>
        <w:rPr>
          <w:i/>
          <w:color w:val="000000"/>
          <w:szCs w:val="22"/>
        </w:rPr>
        <w:t xml:space="preserve">locations in the </w:t>
      </w:r>
      <w:r w:rsidRPr="006762AB">
        <w:rPr>
          <w:i/>
          <w:color w:val="000000"/>
          <w:szCs w:val="22"/>
        </w:rPr>
        <w:t xml:space="preserve">Burdekin </w:t>
      </w:r>
      <w:r>
        <w:rPr>
          <w:i/>
          <w:color w:val="000000"/>
          <w:szCs w:val="22"/>
        </w:rPr>
        <w:t>region</w:t>
      </w:r>
      <w:bookmarkEnd w:id="1094"/>
      <w:bookmarkEnd w:id="1095"/>
    </w:p>
    <w:p w14:paraId="7B3122F1" w14:textId="5C787536" w:rsidR="002E6139" w:rsidRDefault="002E6139" w:rsidP="002E6139">
      <w:pPr>
        <w:rPr>
          <w:i/>
          <w:color w:val="000000"/>
          <w:szCs w:val="22"/>
        </w:rPr>
      </w:pPr>
      <w:r>
        <w:rPr>
          <w:i/>
          <w:color w:val="000000"/>
          <w:szCs w:val="22"/>
        </w:rPr>
        <w:t xml:space="preserve">. </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58" w:tooltip="Collier, 2012 #9288" w:history="1">
        <w:r w:rsidR="00305FE7">
          <w:rPr>
            <w:i/>
            <w:color w:val="000000"/>
            <w:szCs w:val="22"/>
          </w:rPr>
          <w:fldChar w:fldCharType="begin"/>
        </w:r>
        <w:r w:rsidR="00305FE7">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color w:val="000000"/>
            <w:szCs w:val="22"/>
          </w:rPr>
          <w:fldChar w:fldCharType="separate"/>
        </w:r>
        <w:r w:rsidR="00305FE7">
          <w:rPr>
            <w:i/>
            <w:noProof/>
            <w:color w:val="000000"/>
            <w:szCs w:val="22"/>
          </w:rPr>
          <w:t>Collier et al. 2012b</w:t>
        </w:r>
        <w:r w:rsidR="00305FE7">
          <w:rPr>
            <w:i/>
            <w:color w:val="000000"/>
            <w:szCs w:val="22"/>
          </w:rPr>
          <w:fldChar w:fldCharType="end"/>
        </w:r>
      </w:hyperlink>
      <w:r>
        <w:rPr>
          <w:i/>
          <w:color w:val="000000"/>
          <w:szCs w:val="22"/>
        </w:rPr>
        <w:t>).</w:t>
      </w:r>
    </w:p>
    <w:p w14:paraId="56370971" w14:textId="77777777" w:rsidR="00800B15" w:rsidRPr="00CD6094" w:rsidRDefault="00800B15" w:rsidP="002E6139">
      <w:pPr>
        <w:rPr>
          <w:lang w:val="en-GB"/>
        </w:rPr>
      </w:pPr>
    </w:p>
    <w:p w14:paraId="334A326B" w14:textId="27F0B11A" w:rsidR="002E6139" w:rsidRPr="006762AB" w:rsidRDefault="0079090F" w:rsidP="002E6139">
      <w:pPr>
        <w:keepNext/>
        <w:jc w:val="center"/>
        <w:rPr>
          <w:color w:val="000000"/>
        </w:rPr>
      </w:pPr>
      <w:r>
        <w:rPr>
          <w:noProof/>
          <w:color w:val="000000"/>
          <w:lang w:eastAsia="en-AU"/>
        </w:rPr>
        <w:drawing>
          <wp:inline distT="0" distB="0" distL="0" distR="0" wp14:anchorId="57C70983" wp14:editId="3688C96D">
            <wp:extent cx="3313599" cy="4771583"/>
            <wp:effectExtent l="0" t="0" r="1270" b="0"/>
            <wp:docPr id="531" name="Picture 531" descr="Series of stacked graphs showing daily light and 28-day rolling average for locations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Mackay Whitsundays Daily light site plots combined.png"/>
                    <pic:cNvPicPr/>
                  </pic:nvPicPr>
                  <pic:blipFill>
                    <a:blip r:embed="rId251"/>
                    <a:stretch>
                      <a:fillRect/>
                    </a:stretch>
                  </pic:blipFill>
                  <pic:spPr bwMode="auto">
                    <a:xfrm>
                      <a:off x="0" y="0"/>
                      <a:ext cx="3313599" cy="4771583"/>
                    </a:xfrm>
                    <a:prstGeom prst="rect">
                      <a:avLst/>
                    </a:prstGeom>
                    <a:ln>
                      <a:noFill/>
                    </a:ln>
                    <a:extLst>
                      <a:ext uri="{53640926-AAD7-44D8-BBD7-CCE9431645EC}">
                        <a14:shadowObscured xmlns:a14="http://schemas.microsoft.com/office/drawing/2010/main"/>
                      </a:ext>
                    </a:extLst>
                  </pic:spPr>
                </pic:pic>
              </a:graphicData>
            </a:graphic>
          </wp:inline>
        </w:drawing>
      </w:r>
    </w:p>
    <w:p w14:paraId="407D01FF" w14:textId="481277DD" w:rsidR="002E6139" w:rsidRPr="00A93D8C" w:rsidRDefault="002E6139" w:rsidP="002E6139">
      <w:pPr>
        <w:rPr>
          <w:vanish/>
          <w:color w:val="000000"/>
          <w:szCs w:val="22"/>
          <w:specVanish/>
        </w:rPr>
      </w:pPr>
      <w:bookmarkStart w:id="1096" w:name="_Ref410298084"/>
      <w:bookmarkStart w:id="1097" w:name="_Toc431493981"/>
      <w:bookmarkStart w:id="1098" w:name="_Toc516053369"/>
      <w:r w:rsidRPr="006762AB">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159</w:t>
      </w:r>
      <w:r w:rsidR="0073595B">
        <w:rPr>
          <w:color w:val="000000"/>
          <w:szCs w:val="22"/>
          <w:lang w:val="en-GB"/>
        </w:rPr>
        <w:fldChar w:fldCharType="end"/>
      </w:r>
      <w:bookmarkEnd w:id="1096"/>
      <w:r w:rsidRPr="006762AB">
        <w:rPr>
          <w:color w:val="000000"/>
          <w:szCs w:val="22"/>
          <w:lang w:val="en-GB"/>
        </w:rPr>
        <w:t>.</w:t>
      </w:r>
      <w:r w:rsidRPr="006762AB">
        <w:rPr>
          <w:i/>
          <w:color w:val="000000"/>
          <w:szCs w:val="22"/>
        </w:rPr>
        <w:t xml:space="preserve"> Daily light (yellow line) and 28-day rolling average (orange, bold line) at Mackay Whitsunday </w:t>
      </w:r>
      <w:r>
        <w:rPr>
          <w:i/>
          <w:color w:val="000000"/>
          <w:szCs w:val="22"/>
        </w:rPr>
        <w:t>habitats.</w:t>
      </w:r>
      <w:bookmarkEnd w:id="1097"/>
      <w:bookmarkEnd w:id="1098"/>
      <w:r>
        <w:rPr>
          <w:color w:val="000000"/>
          <w:szCs w:val="22"/>
        </w:rPr>
        <w:t xml:space="preserve"> </w:t>
      </w:r>
    </w:p>
    <w:p w14:paraId="16C26649" w14:textId="347E7280" w:rsidR="002E6139" w:rsidRPr="006762AB" w:rsidRDefault="002E6139" w:rsidP="002E6139">
      <w:pPr>
        <w:rPr>
          <w:color w:val="000000"/>
          <w:szCs w:val="22"/>
        </w:rPr>
      </w:pPr>
      <w:r>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58" w:tooltip="Collier, 2012 #9288" w:history="1">
        <w:r w:rsidR="00305FE7">
          <w:rPr>
            <w:i/>
            <w:color w:val="000000"/>
            <w:szCs w:val="22"/>
          </w:rPr>
          <w:fldChar w:fldCharType="begin"/>
        </w:r>
        <w:r w:rsidR="00305FE7">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color w:val="000000"/>
            <w:szCs w:val="22"/>
          </w:rPr>
          <w:fldChar w:fldCharType="separate"/>
        </w:r>
        <w:r w:rsidR="00305FE7">
          <w:rPr>
            <w:i/>
            <w:noProof/>
            <w:color w:val="000000"/>
            <w:szCs w:val="22"/>
          </w:rPr>
          <w:t>Collier et al. 2012b</w:t>
        </w:r>
        <w:r w:rsidR="00305FE7">
          <w:rPr>
            <w:i/>
            <w:color w:val="000000"/>
            <w:szCs w:val="22"/>
          </w:rPr>
          <w:fldChar w:fldCharType="end"/>
        </w:r>
      </w:hyperlink>
      <w:r>
        <w:rPr>
          <w:i/>
          <w:color w:val="000000"/>
          <w:szCs w:val="22"/>
        </w:rPr>
        <w:t>).</w:t>
      </w:r>
    </w:p>
    <w:p w14:paraId="3ADABF68" w14:textId="77777777" w:rsidR="002E6139" w:rsidRPr="006762AB" w:rsidRDefault="002E6139" w:rsidP="002E6139">
      <w:pPr>
        <w:rPr>
          <w:color w:val="000000"/>
          <w:szCs w:val="22"/>
        </w:rPr>
      </w:pPr>
    </w:p>
    <w:p w14:paraId="74EDDE28" w14:textId="77777777" w:rsidR="002E6139" w:rsidRDefault="002E6139" w:rsidP="002E6139">
      <w:pPr>
        <w:rPr>
          <w:szCs w:val="22"/>
        </w:rPr>
      </w:pPr>
    </w:p>
    <w:p w14:paraId="64709B84" w14:textId="77777777" w:rsidR="002E6139" w:rsidRDefault="002E6139" w:rsidP="002E6139">
      <w:pPr>
        <w:rPr>
          <w:szCs w:val="22"/>
        </w:rPr>
      </w:pPr>
    </w:p>
    <w:p w14:paraId="187228CB" w14:textId="77777777" w:rsidR="00800B15" w:rsidRDefault="00800B15" w:rsidP="002E6139">
      <w:pPr>
        <w:rPr>
          <w:szCs w:val="22"/>
        </w:rPr>
      </w:pPr>
    </w:p>
    <w:p w14:paraId="6E93A712" w14:textId="77777777" w:rsidR="00800B15" w:rsidRDefault="00800B15" w:rsidP="002E6139">
      <w:pPr>
        <w:rPr>
          <w:szCs w:val="22"/>
        </w:rPr>
      </w:pPr>
    </w:p>
    <w:p w14:paraId="317D47A4" w14:textId="77777777" w:rsidR="00800B15" w:rsidRDefault="00800B15" w:rsidP="002E6139">
      <w:pPr>
        <w:rPr>
          <w:szCs w:val="22"/>
        </w:rPr>
      </w:pPr>
    </w:p>
    <w:p w14:paraId="2E3219D9" w14:textId="77777777" w:rsidR="00800B15" w:rsidRDefault="00800B15" w:rsidP="002E6139">
      <w:pPr>
        <w:rPr>
          <w:szCs w:val="22"/>
        </w:rPr>
      </w:pPr>
    </w:p>
    <w:p w14:paraId="5316674F" w14:textId="77777777" w:rsidR="00800B15" w:rsidRDefault="00800B15" w:rsidP="002E6139">
      <w:pPr>
        <w:rPr>
          <w:szCs w:val="22"/>
        </w:rPr>
      </w:pPr>
    </w:p>
    <w:p w14:paraId="1D86147F" w14:textId="77777777" w:rsidR="00800B15" w:rsidRDefault="00800B15" w:rsidP="002E6139">
      <w:pPr>
        <w:rPr>
          <w:szCs w:val="22"/>
        </w:rPr>
      </w:pPr>
    </w:p>
    <w:p w14:paraId="3BCD1AF6" w14:textId="77777777" w:rsidR="00800B15" w:rsidRDefault="00800B15" w:rsidP="002E6139">
      <w:pPr>
        <w:rPr>
          <w:szCs w:val="22"/>
        </w:rPr>
      </w:pPr>
    </w:p>
    <w:p w14:paraId="46902C81" w14:textId="77777777" w:rsidR="00800B15" w:rsidRDefault="00800B15" w:rsidP="002E6139">
      <w:pPr>
        <w:rPr>
          <w:szCs w:val="22"/>
        </w:rPr>
      </w:pPr>
    </w:p>
    <w:p w14:paraId="5AFC3A8E" w14:textId="77777777" w:rsidR="00800B15" w:rsidRDefault="00800B15" w:rsidP="002E6139">
      <w:pPr>
        <w:rPr>
          <w:szCs w:val="22"/>
        </w:rPr>
      </w:pPr>
    </w:p>
    <w:p w14:paraId="4F0B01E0" w14:textId="19D149B5" w:rsidR="002E6139" w:rsidRPr="006762AB" w:rsidRDefault="0079090F" w:rsidP="002E6139">
      <w:pPr>
        <w:keepNext/>
        <w:jc w:val="center"/>
        <w:rPr>
          <w:color w:val="000000"/>
          <w:szCs w:val="22"/>
        </w:rPr>
      </w:pPr>
      <w:r>
        <w:rPr>
          <w:noProof/>
          <w:color w:val="000000"/>
          <w:szCs w:val="22"/>
          <w:lang w:eastAsia="en-AU"/>
        </w:rPr>
        <w:drawing>
          <wp:inline distT="0" distB="0" distL="0" distR="0" wp14:anchorId="0D056F03" wp14:editId="0B85A081">
            <wp:extent cx="3509355" cy="4201200"/>
            <wp:effectExtent l="0" t="0" r="0" b="8890"/>
            <wp:docPr id="532" name="Picture 532" descr="Series of stacked graphs showing daily light and 28-day rolling average for locations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Fitzroy Daily light site plots combined.png"/>
                    <pic:cNvPicPr/>
                  </pic:nvPicPr>
                  <pic:blipFill>
                    <a:blip r:embed="rId252"/>
                    <a:stretch>
                      <a:fillRect/>
                    </a:stretch>
                  </pic:blipFill>
                  <pic:spPr bwMode="auto">
                    <a:xfrm>
                      <a:off x="0" y="0"/>
                      <a:ext cx="3509355" cy="4201200"/>
                    </a:xfrm>
                    <a:prstGeom prst="rect">
                      <a:avLst/>
                    </a:prstGeom>
                    <a:ln>
                      <a:noFill/>
                    </a:ln>
                    <a:extLst>
                      <a:ext uri="{53640926-AAD7-44D8-BBD7-CCE9431645EC}">
                        <a14:shadowObscured xmlns:a14="http://schemas.microsoft.com/office/drawing/2010/main"/>
                      </a:ext>
                    </a:extLst>
                  </pic:spPr>
                </pic:pic>
              </a:graphicData>
            </a:graphic>
          </wp:inline>
        </w:drawing>
      </w:r>
    </w:p>
    <w:p w14:paraId="7453CFEE" w14:textId="26B1447C" w:rsidR="00222918" w:rsidRPr="00CD6094" w:rsidRDefault="002E6139" w:rsidP="00222918">
      <w:pPr>
        <w:rPr>
          <w:i/>
          <w:vanish/>
          <w:color w:val="000000"/>
          <w:szCs w:val="22"/>
          <w:specVanish/>
        </w:rPr>
      </w:pPr>
      <w:bookmarkStart w:id="1099" w:name="_Ref410307245"/>
      <w:bookmarkStart w:id="1100" w:name="_Toc431493982"/>
      <w:bookmarkStart w:id="1101" w:name="_Toc516053370"/>
      <w:r w:rsidRPr="006762AB">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F87DF9">
        <w:rPr>
          <w:noProof/>
          <w:color w:val="000000"/>
          <w:szCs w:val="22"/>
        </w:rPr>
        <w:t>160</w:t>
      </w:r>
      <w:r w:rsidR="0073595B">
        <w:rPr>
          <w:color w:val="000000"/>
          <w:szCs w:val="22"/>
        </w:rPr>
        <w:fldChar w:fldCharType="end"/>
      </w:r>
      <w:bookmarkEnd w:id="1099"/>
      <w:r w:rsidRPr="006762AB">
        <w:rPr>
          <w:color w:val="000000"/>
          <w:szCs w:val="22"/>
        </w:rPr>
        <w:t xml:space="preserve">. </w:t>
      </w:r>
      <w:r w:rsidRPr="006762AB">
        <w:rPr>
          <w:i/>
          <w:color w:val="000000"/>
          <w:szCs w:val="22"/>
        </w:rPr>
        <w:t xml:space="preserve">Daily light (yellow line) and 28-day rolling average (orange, bold line) </w:t>
      </w:r>
      <w:bookmarkEnd w:id="1100"/>
      <w:r w:rsidR="00222918" w:rsidRPr="004C3A5D">
        <w:rPr>
          <w:i/>
          <w:color w:val="000000"/>
          <w:szCs w:val="22"/>
        </w:rPr>
        <w:t xml:space="preserve">at </w:t>
      </w:r>
      <w:r w:rsidR="00222918">
        <w:rPr>
          <w:i/>
          <w:color w:val="000000"/>
          <w:szCs w:val="22"/>
        </w:rPr>
        <w:t>monitoring locations in the Fitzroy</w:t>
      </w:r>
      <w:r w:rsidR="00222918" w:rsidRPr="004C3A5D">
        <w:rPr>
          <w:i/>
          <w:color w:val="000000"/>
          <w:szCs w:val="22"/>
        </w:rPr>
        <w:t xml:space="preserve"> NRM </w:t>
      </w:r>
      <w:r w:rsidR="00222918">
        <w:rPr>
          <w:i/>
          <w:color w:val="000000"/>
          <w:szCs w:val="22"/>
        </w:rPr>
        <w:t>region</w:t>
      </w:r>
      <w:bookmarkEnd w:id="1101"/>
    </w:p>
    <w:p w14:paraId="4E5CCA55" w14:textId="626C34EF" w:rsidR="00222918" w:rsidRPr="004C3A5D" w:rsidRDefault="00222918" w:rsidP="00222918">
      <w:pPr>
        <w:rPr>
          <w:i/>
          <w:color w:val="000000"/>
          <w:szCs w:val="22"/>
        </w:rPr>
      </w:pPr>
      <w:r>
        <w:rPr>
          <w:i/>
          <w:color w:val="000000"/>
          <w:szCs w:val="22"/>
        </w:rPr>
        <w:t>.</w:t>
      </w:r>
      <w:r w:rsidRPr="004C3A5D">
        <w:rPr>
          <w:i/>
          <w:color w:val="000000"/>
          <w:szCs w:val="22"/>
        </w:rPr>
        <w:t xml:space="preserve"> </w:t>
      </w:r>
      <w:r>
        <w:rPr>
          <w:i/>
          <w:color w:val="000000"/>
          <w:szCs w:val="22"/>
        </w:rPr>
        <w:t>A</w:t>
      </w:r>
      <w:r w:rsidRPr="006762AB">
        <w:rPr>
          <w:i/>
          <w:color w:val="000000"/>
          <w:szCs w:val="22"/>
        </w:rPr>
        <w:t xml:space="preserve">lso </w:t>
      </w:r>
      <w:r>
        <w:rPr>
          <w:i/>
          <w:color w:val="000000"/>
          <w:szCs w:val="22"/>
        </w:rPr>
        <w:t>displayed is</w:t>
      </w:r>
      <w:r w:rsidRPr="006762AB">
        <w:rPr>
          <w:i/>
          <w:color w:val="000000"/>
          <w:szCs w:val="22"/>
        </w:rPr>
        <w:t xml:space="preserve"> </w:t>
      </w:r>
      <w:r>
        <w:rPr>
          <w:i/>
          <w:color w:val="000000"/>
          <w:szCs w:val="22"/>
        </w:rPr>
        <w:t>an event based</w:t>
      </w:r>
      <w:r w:rsidRPr="006762AB">
        <w:rPr>
          <w:i/>
          <w:color w:val="000000"/>
          <w:szCs w:val="22"/>
        </w:rPr>
        <w:t xml:space="preserve"> light threshold (5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Pr>
          <w:i/>
          <w:color w:val="000000"/>
          <w:szCs w:val="22"/>
        </w:rPr>
        <w:t>)</w:t>
      </w:r>
      <w:r w:rsidRPr="006762AB">
        <w:rPr>
          <w:i/>
          <w:color w:val="000000"/>
          <w:szCs w:val="22"/>
        </w:rPr>
        <w:t xml:space="preserve"> </w:t>
      </w:r>
      <w:r>
        <w:rPr>
          <w:i/>
          <w:color w:val="000000"/>
          <w:szCs w:val="22"/>
        </w:rPr>
        <w:t xml:space="preserve">for </w:t>
      </w:r>
      <w:r w:rsidRPr="006762AB">
        <w:rPr>
          <w:color w:val="000000"/>
          <w:szCs w:val="22"/>
        </w:rPr>
        <w:t>Halodule uninervis</w:t>
      </w:r>
      <w:r w:rsidRPr="006762AB">
        <w:rPr>
          <w:i/>
          <w:color w:val="000000"/>
          <w:szCs w:val="22"/>
        </w:rPr>
        <w:t xml:space="preserve"> </w:t>
      </w:r>
      <w:r>
        <w:rPr>
          <w:i/>
          <w:color w:val="000000"/>
          <w:szCs w:val="22"/>
        </w:rPr>
        <w:t>(</w:t>
      </w:r>
      <w:hyperlink w:anchor="_ENREF_58" w:tooltip="Collier, 2012 #9288" w:history="1">
        <w:r w:rsidR="00305FE7">
          <w:rPr>
            <w:i/>
            <w:color w:val="000000"/>
            <w:szCs w:val="22"/>
          </w:rPr>
          <w:fldChar w:fldCharType="begin"/>
        </w:r>
        <w:r w:rsidR="00305FE7">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color w:val="000000"/>
            <w:szCs w:val="22"/>
          </w:rPr>
          <w:fldChar w:fldCharType="separate"/>
        </w:r>
        <w:r w:rsidR="00305FE7">
          <w:rPr>
            <w:i/>
            <w:noProof/>
            <w:color w:val="000000"/>
            <w:szCs w:val="22"/>
          </w:rPr>
          <w:t>Collier et al. 2012b</w:t>
        </w:r>
        <w:r w:rsidR="00305FE7">
          <w:rPr>
            <w:i/>
            <w:color w:val="000000"/>
            <w:szCs w:val="22"/>
          </w:rPr>
          <w:fldChar w:fldCharType="end"/>
        </w:r>
      </w:hyperlink>
      <w:r w:rsidRPr="006762AB">
        <w:rPr>
          <w:i/>
          <w:color w:val="000000"/>
          <w:szCs w:val="22"/>
        </w:rPr>
        <w:t>)</w:t>
      </w:r>
      <w:r>
        <w:rPr>
          <w:i/>
          <w:color w:val="000000"/>
          <w:szCs w:val="22"/>
        </w:rPr>
        <w:t xml:space="preserve"> or for</w:t>
      </w:r>
      <w:r w:rsidRPr="006762AB">
        <w:rPr>
          <w:i/>
          <w:color w:val="000000"/>
          <w:szCs w:val="22"/>
        </w:rPr>
        <w:t xml:space="preserve"> Zostera muelleri (6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Pr>
          <w:i/>
          <w:color w:val="000000"/>
          <w:szCs w:val="22"/>
        </w:rPr>
        <w:t xml:space="preserve"> </w:t>
      </w:r>
      <w:r w:rsidRPr="002E6139">
        <w:rPr>
          <w:i/>
          <w:color w:val="000000"/>
          <w:szCs w:val="22"/>
        </w:rPr>
        <w:t>(</w:t>
      </w:r>
      <w:hyperlink w:anchor="_ENREF_38" w:tooltip="Chartrand, 2016 #10720" w:history="1">
        <w:r w:rsidR="00305FE7">
          <w:rPr>
            <w:i/>
            <w:color w:val="000000"/>
            <w:szCs w:val="22"/>
          </w:rPr>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PSIwZXZlNTV4OXk1dmZkNmU5ZGFjeHRldzRlYXR2ZTJkemRzOWEiIHRpbWVzdGFtcD0iMTQ3MDM1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</w:fldData>
          </w:fldChar>
        </w:r>
        <w:r w:rsidR="00305FE7">
          <w:rPr>
            <w:i/>
            <w:color w:val="000000"/>
            <w:szCs w:val="22"/>
          </w:rPr>
          <w:instrText xml:space="preserve"> ADDIN EN.CITE </w:instrText>
        </w:r>
        <w:r w:rsidR="00305FE7">
          <w:rPr>
            <w:i/>
            <w:color w:val="000000"/>
            <w:szCs w:val="22"/>
          </w:rPr>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PSIwZXZlNTV4OXk1dmZkNmU5ZGFjeHRldzRlYXR2ZTJkemRzOWEiIHRpbWVzdGFtcD0iMTQ3MDM1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</w:fldData>
          </w:fldChar>
        </w:r>
        <w:r w:rsidR="00305FE7">
          <w:rPr>
            <w:i/>
            <w:color w:val="000000"/>
            <w:szCs w:val="22"/>
          </w:rPr>
          <w:instrText xml:space="preserve"> ADDIN EN.CITE.DATA </w:instrText>
        </w:r>
        <w:r w:rsidR="00305FE7">
          <w:rPr>
            <w:i/>
            <w:color w:val="000000"/>
            <w:szCs w:val="22"/>
          </w:rPr>
        </w:r>
        <w:r w:rsidR="00305FE7">
          <w:rPr>
            <w:i/>
            <w:color w:val="000000"/>
            <w:szCs w:val="22"/>
          </w:rPr>
          <w:fldChar w:fldCharType="end"/>
        </w:r>
        <w:r w:rsidR="00305FE7">
          <w:rPr>
            <w:i/>
            <w:color w:val="000000"/>
            <w:szCs w:val="22"/>
          </w:rPr>
        </w:r>
        <w:r w:rsidR="00305FE7">
          <w:rPr>
            <w:i/>
            <w:color w:val="000000"/>
            <w:szCs w:val="22"/>
          </w:rPr>
          <w:fldChar w:fldCharType="separate"/>
        </w:r>
        <w:r w:rsidR="00305FE7">
          <w:rPr>
            <w:i/>
            <w:noProof/>
            <w:color w:val="000000"/>
            <w:szCs w:val="22"/>
          </w:rPr>
          <w:t>Chartrand et al. 2016</w:t>
        </w:r>
        <w:r w:rsidR="00305FE7">
          <w:rPr>
            <w:i/>
            <w:color w:val="000000"/>
            <w:szCs w:val="22"/>
          </w:rPr>
          <w:fldChar w:fldCharType="end"/>
        </w:r>
      </w:hyperlink>
      <w:r w:rsidRPr="002E6139">
        <w:rPr>
          <w:i/>
          <w:color w:val="000000"/>
          <w:szCs w:val="22"/>
        </w:rPr>
        <w:t>)</w:t>
      </w:r>
      <w:r>
        <w:rPr>
          <w:color w:val="000000"/>
          <w:szCs w:val="22"/>
        </w:rPr>
        <w:t>.</w:t>
      </w:r>
    </w:p>
    <w:p w14:paraId="58CAF5DF" w14:textId="3D39BFDA" w:rsidR="002E6139" w:rsidRDefault="0079090F" w:rsidP="002E6139">
      <w:pPr>
        <w:keepNext/>
        <w:jc w:val="center"/>
        <w:rPr>
          <w:szCs w:val="22"/>
        </w:rPr>
      </w:pPr>
      <w:r>
        <w:rPr>
          <w:noProof/>
          <w:szCs w:val="22"/>
          <w:lang w:eastAsia="en-AU"/>
        </w:rPr>
        <w:drawing>
          <wp:inline distT="0" distB="0" distL="0" distR="0" wp14:anchorId="6B81E26A" wp14:editId="4BF70C42">
            <wp:extent cx="3953671" cy="2854800"/>
            <wp:effectExtent l="0" t="0" r="8890" b="3175"/>
            <wp:docPr id="534" name="Picture 534" descr="Series of stacked graphs showing daily light and 28-day rolling average for locations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 name="Burnett Mary Daily light site plots combined.png"/>
                    <pic:cNvPicPr/>
                  </pic:nvPicPr>
                  <pic:blipFill>
                    <a:blip r:embed="rId253"/>
                    <a:stretch>
                      <a:fillRect/>
                    </a:stretch>
                  </pic:blipFill>
                  <pic:spPr>
                    <a:xfrm>
                      <a:off x="0" y="0"/>
                      <a:ext cx="3953671" cy="2854800"/>
                    </a:xfrm>
                    <a:prstGeom prst="rect">
                      <a:avLst/>
                    </a:prstGeom>
                  </pic:spPr>
                </pic:pic>
              </a:graphicData>
            </a:graphic>
          </wp:inline>
        </w:drawing>
      </w:r>
    </w:p>
    <w:p w14:paraId="7D47416D" w14:textId="523F7DE9" w:rsidR="002E6139" w:rsidRPr="00CD6094" w:rsidRDefault="002E6139" w:rsidP="002E6139">
      <w:pPr>
        <w:rPr>
          <w:i/>
          <w:vanish/>
          <w:color w:val="000000"/>
          <w:szCs w:val="22"/>
          <w:specVanish/>
        </w:rPr>
      </w:pPr>
      <w:bookmarkStart w:id="1102" w:name="_Ref410310520"/>
      <w:bookmarkStart w:id="1103" w:name="_Toc431493983"/>
      <w:bookmarkStart w:id="1104" w:name="_Toc516053371"/>
      <w:r w:rsidRPr="004C3A5D">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F87DF9">
        <w:rPr>
          <w:noProof/>
          <w:color w:val="000000"/>
          <w:szCs w:val="22"/>
          <w:lang w:val="en-GB"/>
        </w:rPr>
        <w:t>161</w:t>
      </w:r>
      <w:r w:rsidR="0073595B">
        <w:rPr>
          <w:color w:val="000000"/>
          <w:szCs w:val="22"/>
          <w:lang w:val="en-GB"/>
        </w:rPr>
        <w:fldChar w:fldCharType="end"/>
      </w:r>
      <w:bookmarkEnd w:id="1102"/>
      <w:r w:rsidRPr="004C3A5D">
        <w:rPr>
          <w:color w:val="000000"/>
          <w:szCs w:val="22"/>
          <w:lang w:val="en-GB"/>
        </w:rPr>
        <w:t xml:space="preserve">. </w:t>
      </w:r>
      <w:r w:rsidRPr="004C3A5D">
        <w:rPr>
          <w:i/>
          <w:color w:val="000000"/>
          <w:szCs w:val="22"/>
        </w:rPr>
        <w:t xml:space="preserve">Daily light (yellow line) and 28-day rolling average (orange, bold line) at </w:t>
      </w:r>
      <w:r>
        <w:rPr>
          <w:i/>
          <w:color w:val="000000"/>
          <w:szCs w:val="22"/>
        </w:rPr>
        <w:t xml:space="preserve">monitoring locations in the </w:t>
      </w:r>
      <w:r w:rsidRPr="004C3A5D">
        <w:rPr>
          <w:i/>
          <w:color w:val="000000"/>
          <w:szCs w:val="22"/>
        </w:rPr>
        <w:t xml:space="preserve">Burnett Mary NRM </w:t>
      </w:r>
      <w:bookmarkEnd w:id="1103"/>
      <w:r>
        <w:rPr>
          <w:i/>
          <w:color w:val="000000"/>
          <w:szCs w:val="22"/>
        </w:rPr>
        <w:t>region</w:t>
      </w:r>
      <w:bookmarkEnd w:id="1104"/>
    </w:p>
    <w:p w14:paraId="31A5F580" w14:textId="797623A2" w:rsidR="001268E0" w:rsidRDefault="002E6139" w:rsidP="00222918">
      <w:pPr>
        <w:rPr>
          <w:color w:val="000000"/>
          <w:szCs w:val="22"/>
          <w:lang w:val="en-GB"/>
        </w:rPr>
      </w:pPr>
      <w:r>
        <w:rPr>
          <w:i/>
          <w:color w:val="000000"/>
          <w:szCs w:val="22"/>
        </w:rPr>
        <w:t>.</w:t>
      </w:r>
      <w:r w:rsidRPr="004C3A5D">
        <w:rPr>
          <w:i/>
          <w:color w:val="000000"/>
          <w:szCs w:val="22"/>
        </w:rPr>
        <w:t xml:space="preserve"> </w:t>
      </w:r>
      <w:r>
        <w:rPr>
          <w:i/>
          <w:color w:val="000000"/>
          <w:szCs w:val="22"/>
        </w:rPr>
        <w:t>A</w:t>
      </w:r>
      <w:r w:rsidRPr="006762AB">
        <w:rPr>
          <w:i/>
          <w:color w:val="000000"/>
          <w:szCs w:val="22"/>
        </w:rPr>
        <w:t xml:space="preserve">lso </w:t>
      </w:r>
      <w:r>
        <w:rPr>
          <w:i/>
          <w:color w:val="000000"/>
          <w:szCs w:val="22"/>
        </w:rPr>
        <w:t>displayed is</w:t>
      </w:r>
      <w:r w:rsidRPr="006762AB">
        <w:rPr>
          <w:i/>
          <w:color w:val="000000"/>
          <w:szCs w:val="22"/>
        </w:rPr>
        <w:t xml:space="preserve"> </w:t>
      </w:r>
      <w:r>
        <w:rPr>
          <w:i/>
          <w:color w:val="000000"/>
          <w:szCs w:val="22"/>
        </w:rPr>
        <w:t>an event based</w:t>
      </w:r>
      <w:r w:rsidRPr="006762AB">
        <w:rPr>
          <w:i/>
          <w:color w:val="000000"/>
          <w:szCs w:val="22"/>
        </w:rPr>
        <w:t xml:space="preserve"> light threshold (5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Pr>
          <w:i/>
          <w:color w:val="000000"/>
          <w:szCs w:val="22"/>
        </w:rPr>
        <w:t>)</w:t>
      </w:r>
      <w:r w:rsidRPr="006762AB">
        <w:rPr>
          <w:i/>
          <w:color w:val="000000"/>
          <w:szCs w:val="22"/>
        </w:rPr>
        <w:t xml:space="preserve"> </w:t>
      </w:r>
      <w:r>
        <w:rPr>
          <w:i/>
          <w:color w:val="000000"/>
          <w:szCs w:val="22"/>
        </w:rPr>
        <w:t xml:space="preserve">for </w:t>
      </w:r>
      <w:r w:rsidRPr="006762AB">
        <w:rPr>
          <w:color w:val="000000"/>
          <w:szCs w:val="22"/>
        </w:rPr>
        <w:t>Halodule uninervis</w:t>
      </w:r>
      <w:r w:rsidRPr="006762AB">
        <w:rPr>
          <w:i/>
          <w:color w:val="000000"/>
          <w:szCs w:val="22"/>
        </w:rPr>
        <w:t xml:space="preserve"> </w:t>
      </w:r>
      <w:r>
        <w:rPr>
          <w:i/>
          <w:color w:val="000000"/>
          <w:szCs w:val="22"/>
        </w:rPr>
        <w:t>(</w:t>
      </w:r>
      <w:hyperlink w:anchor="_ENREF_58" w:tooltip="Collier, 2012 #9288" w:history="1">
        <w:r w:rsidR="00305FE7">
          <w:rPr>
            <w:i/>
            <w:color w:val="000000"/>
            <w:szCs w:val="22"/>
          </w:rPr>
          <w:fldChar w:fldCharType="begin"/>
        </w:r>
        <w:r w:rsidR="00305FE7">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305FE7">
          <w:rPr>
            <w:i/>
            <w:color w:val="000000"/>
            <w:szCs w:val="22"/>
          </w:rPr>
          <w:fldChar w:fldCharType="separate"/>
        </w:r>
        <w:r w:rsidR="00305FE7">
          <w:rPr>
            <w:i/>
            <w:noProof/>
            <w:color w:val="000000"/>
            <w:szCs w:val="22"/>
          </w:rPr>
          <w:t>Collier et al. 2012b</w:t>
        </w:r>
        <w:r w:rsidR="00305FE7">
          <w:rPr>
            <w:i/>
            <w:color w:val="000000"/>
            <w:szCs w:val="22"/>
          </w:rPr>
          <w:fldChar w:fldCharType="end"/>
        </w:r>
      </w:hyperlink>
      <w:r w:rsidRPr="006762AB">
        <w:rPr>
          <w:i/>
          <w:color w:val="000000"/>
          <w:szCs w:val="22"/>
        </w:rPr>
        <w:t>)</w:t>
      </w:r>
      <w:r>
        <w:rPr>
          <w:i/>
          <w:color w:val="000000"/>
          <w:szCs w:val="22"/>
        </w:rPr>
        <w:t xml:space="preserve"> or for</w:t>
      </w:r>
      <w:r w:rsidRPr="006762AB">
        <w:rPr>
          <w:i/>
          <w:color w:val="000000"/>
          <w:szCs w:val="22"/>
        </w:rPr>
        <w:t xml:space="preserve"> Zostera muelleri (6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Pr>
          <w:i/>
          <w:color w:val="000000"/>
          <w:szCs w:val="22"/>
        </w:rPr>
        <w:t xml:space="preserve"> </w:t>
      </w:r>
      <w:r w:rsidRPr="002E6139">
        <w:rPr>
          <w:i/>
          <w:color w:val="000000"/>
          <w:szCs w:val="22"/>
        </w:rPr>
        <w:t>(</w:t>
      </w:r>
      <w:hyperlink w:anchor="_ENREF_38" w:tooltip="Chartrand, 2016 #10720" w:history="1">
        <w:r w:rsidR="00305FE7">
          <w:rPr>
            <w:i/>
            <w:color w:val="000000"/>
            <w:szCs w:val="22"/>
          </w:rPr>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PSIwZXZlNTV4OXk1dmZkNmU5ZGFjeHRldzRlYXR2ZTJkemRzOWEiIHRpbWVzdGFtcD0iMTQ3MDM1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</w:fldData>
          </w:fldChar>
        </w:r>
        <w:r w:rsidR="00305FE7">
          <w:rPr>
            <w:i/>
            <w:color w:val="000000"/>
            <w:szCs w:val="22"/>
          </w:rPr>
          <w:instrText xml:space="preserve"> ADDIN EN.CITE </w:instrText>
        </w:r>
        <w:r w:rsidR="00305FE7">
          <w:rPr>
            <w:i/>
            <w:color w:val="000000"/>
            <w:szCs w:val="22"/>
          </w:rPr>
          <w:fldChar w:fldCharType="begin">
            <w:fldData xml:space="preserve">PEVuZE5vdGU+PENpdGU+PEF1dGhvcj5DaGFydHJhbmQ8L0F1dGhvcj48WWVhcj4yMDE2PC9ZZWFy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</w:fldData>
          </w:fldChar>
        </w:r>
        <w:r w:rsidR="00305FE7">
          <w:rPr>
            <w:i/>
            <w:color w:val="000000"/>
            <w:szCs w:val="22"/>
          </w:rPr>
          <w:instrText xml:space="preserve"> ADDIN EN.CITE.DATA </w:instrText>
        </w:r>
        <w:r w:rsidR="00305FE7">
          <w:rPr>
            <w:i/>
            <w:color w:val="000000"/>
            <w:szCs w:val="22"/>
          </w:rPr>
        </w:r>
        <w:r w:rsidR="00305FE7">
          <w:rPr>
            <w:i/>
            <w:color w:val="000000"/>
            <w:szCs w:val="22"/>
          </w:rPr>
          <w:fldChar w:fldCharType="end"/>
        </w:r>
        <w:r w:rsidR="00305FE7">
          <w:rPr>
            <w:i/>
            <w:color w:val="000000"/>
            <w:szCs w:val="22"/>
          </w:rPr>
        </w:r>
        <w:r w:rsidR="00305FE7">
          <w:rPr>
            <w:i/>
            <w:color w:val="000000"/>
            <w:szCs w:val="22"/>
          </w:rPr>
          <w:fldChar w:fldCharType="separate"/>
        </w:r>
        <w:r w:rsidR="00305FE7">
          <w:rPr>
            <w:i/>
            <w:noProof/>
            <w:color w:val="000000"/>
            <w:szCs w:val="22"/>
          </w:rPr>
          <w:t>Chartrand et al. 2016</w:t>
        </w:r>
        <w:r w:rsidR="00305FE7">
          <w:rPr>
            <w:i/>
            <w:color w:val="000000"/>
            <w:szCs w:val="22"/>
          </w:rPr>
          <w:fldChar w:fldCharType="end"/>
        </w:r>
      </w:hyperlink>
      <w:r w:rsidRPr="002E6139">
        <w:rPr>
          <w:i/>
          <w:color w:val="000000"/>
          <w:szCs w:val="22"/>
        </w:rPr>
        <w:t>)</w:t>
      </w:r>
      <w:r>
        <w:rPr>
          <w:color w:val="000000"/>
          <w:szCs w:val="22"/>
        </w:rPr>
        <w:t>.</w:t>
      </w:r>
      <w:r w:rsidR="00222918">
        <w:rPr>
          <w:color w:val="000000"/>
          <w:szCs w:val="22"/>
        </w:rPr>
        <w:t xml:space="preserve"> </w:t>
      </w:r>
      <w:r w:rsidR="001268E0">
        <w:rPr>
          <w:color w:val="000000"/>
          <w:szCs w:val="22"/>
          <w:lang w:val="en-GB"/>
        </w:rPr>
        <w:br w:type="page"/>
      </w:r>
    </w:p>
    <w:p w14:paraId="46C7EF90" w14:textId="3D39F3AC" w:rsidR="00D93689" w:rsidRPr="00F12624" w:rsidRDefault="00D93689" w:rsidP="00D93689">
      <w:pPr>
        <w:pStyle w:val="Heading2"/>
      </w:pPr>
      <w:bookmarkStart w:id="1105" w:name="_Toc516053203"/>
      <w:r>
        <w:t xml:space="preserve">Seagrass </w:t>
      </w:r>
      <w:r w:rsidR="00E150BC">
        <w:t xml:space="preserve">community and </w:t>
      </w:r>
      <w:r>
        <w:t>environment</w:t>
      </w:r>
      <w:bookmarkEnd w:id="1105"/>
    </w:p>
    <w:p w14:paraId="7F3E4CC3" w14:textId="3DC5E513" w:rsidR="00D93689" w:rsidRDefault="00035FDC" w:rsidP="00D93689">
      <w:pPr>
        <w:pStyle w:val="Heading3"/>
        <w:keepNext w:val="0"/>
        <w:widowControl w:val="0"/>
        <w:rPr>
          <w:rFonts w:asciiTheme="minorHAnsi" w:hAnsiTheme="minorHAnsi"/>
          <w:sz w:val="24"/>
          <w:szCs w:val="24"/>
        </w:rPr>
      </w:pPr>
      <w:bookmarkStart w:id="1106" w:name="_Toc516053204"/>
      <w:r>
        <w:rPr>
          <w:rFonts w:asciiTheme="minorHAnsi" w:hAnsiTheme="minorHAnsi"/>
          <w:sz w:val="24"/>
          <w:szCs w:val="24"/>
        </w:rPr>
        <w:t>Seagrass abundance</w:t>
      </w:r>
      <w:bookmarkEnd w:id="1106"/>
    </w:p>
    <w:p w14:paraId="1413D2CC" w14:textId="77777777" w:rsidR="00520A9E" w:rsidRPr="008C6F7C" w:rsidRDefault="00520A9E" w:rsidP="00DD3BAE">
      <w:pPr>
        <w:keepNext/>
        <w:jc w:val="center"/>
        <w:rPr>
          <w:noProof/>
          <w:szCs w:val="22"/>
          <w:lang w:eastAsia="en-AU"/>
        </w:rPr>
      </w:pPr>
      <w:r w:rsidRPr="008C6F7C">
        <w:rPr>
          <w:noProof/>
          <w:szCs w:val="22"/>
          <w:lang w:eastAsia="en-AU"/>
        </w:rPr>
        <w:drawing>
          <wp:inline distT="0" distB="0" distL="0" distR="0" wp14:anchorId="7B5FC581" wp14:editId="4E8DC164">
            <wp:extent cx="4393938" cy="2656800"/>
            <wp:effectExtent l="0" t="0" r="6985" b="0"/>
            <wp:docPr id="21" name="Picture 21" descr="Panel of 6 graphs displaying temporal trends in seagrass abundance for each location in the Cape York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Y_loc_cvr_GAM_Dec16.png"/>
                    <pic:cNvPicPr/>
                  </pic:nvPicPr>
                  <pic:blipFill>
                    <a:blip r:embed="rId254"/>
                    <a:stretch>
                      <a:fillRect/>
                    </a:stretch>
                  </pic:blipFill>
                  <pic:spPr>
                    <a:xfrm>
                      <a:off x="0" y="0"/>
                      <a:ext cx="4393938" cy="2656800"/>
                    </a:xfrm>
                    <a:prstGeom prst="rect">
                      <a:avLst/>
                    </a:prstGeom>
                  </pic:spPr>
                </pic:pic>
              </a:graphicData>
            </a:graphic>
          </wp:inline>
        </w:drawing>
      </w:r>
    </w:p>
    <w:p w14:paraId="578A9C9F" w14:textId="06099B29" w:rsidR="00520A9E" w:rsidRPr="008F1379" w:rsidRDefault="00520A9E" w:rsidP="00DD3BAE">
      <w:pPr>
        <w:rPr>
          <w:i/>
          <w:vanish/>
          <w:specVanish/>
        </w:rPr>
      </w:pPr>
      <w:bookmarkStart w:id="1107" w:name="_Toc516053372"/>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162</w:t>
      </w:r>
      <w:r w:rsidR="00C506C7">
        <w:rPr>
          <w:noProof/>
        </w:rPr>
        <w:fldChar w:fldCharType="end"/>
      </w:r>
      <w:r>
        <w:t xml:space="preserve">. </w:t>
      </w:r>
      <w:r w:rsidRPr="008F1379">
        <w:rPr>
          <w:i/>
        </w:rPr>
        <w:t xml:space="preserve">Temporal trends in seagrass abundance for each location in the </w:t>
      </w:r>
      <w:r>
        <w:rPr>
          <w:i/>
        </w:rPr>
        <w:t>Cape York NRM</w:t>
      </w:r>
      <w:r w:rsidRPr="008F1379">
        <w:rPr>
          <w:i/>
        </w:rPr>
        <w:t xml:space="preserve"> region represented by a GAM plot.</w:t>
      </w:r>
      <w:bookmarkEnd w:id="1107"/>
    </w:p>
    <w:p w14:paraId="7BA768A8" w14:textId="0BFBD925" w:rsidR="00035FDC" w:rsidRDefault="00520A9E" w:rsidP="00DD3BAE">
      <w:pPr>
        <w:pStyle w:val="Caption"/>
        <w:rPr>
          <w:i/>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w:t>
      </w:r>
      <w:r w:rsidRPr="002E6AD0">
        <w:rPr>
          <w:i/>
        </w:rPr>
        <w:t>.</w:t>
      </w:r>
    </w:p>
    <w:p w14:paraId="6067009F" w14:textId="77777777" w:rsidR="00520A9E" w:rsidRPr="008C6F7C" w:rsidRDefault="00520A9E" w:rsidP="00DD3BAE">
      <w:pPr>
        <w:keepNext/>
        <w:jc w:val="center"/>
        <w:rPr>
          <w:noProof/>
          <w:szCs w:val="22"/>
          <w:lang w:eastAsia="en-AU"/>
        </w:rPr>
      </w:pPr>
      <w:r w:rsidRPr="008C6F7C">
        <w:rPr>
          <w:noProof/>
          <w:szCs w:val="22"/>
          <w:lang w:eastAsia="en-AU"/>
        </w:rPr>
        <w:drawing>
          <wp:inline distT="0" distB="0" distL="0" distR="0" wp14:anchorId="4D882918" wp14:editId="2F40FE68">
            <wp:extent cx="4104000" cy="3830400"/>
            <wp:effectExtent l="0" t="0" r="0" b="0"/>
            <wp:docPr id="22" name="Picture 22" descr="Panel of 5 graphs displaying temporal trends in seagrass abundance for each location in the northern Wet Tropics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TN_loc_cvr_GAM_Dec16.png"/>
                    <pic:cNvPicPr/>
                  </pic:nvPicPr>
                  <pic:blipFill>
                    <a:blip r:embed="rId255"/>
                    <a:stretch>
                      <a:fillRect/>
                    </a:stretch>
                  </pic:blipFill>
                  <pic:spPr>
                    <a:xfrm>
                      <a:off x="0" y="0"/>
                      <a:ext cx="4104000" cy="3830400"/>
                    </a:xfrm>
                    <a:prstGeom prst="rect">
                      <a:avLst/>
                    </a:prstGeom>
                  </pic:spPr>
                </pic:pic>
              </a:graphicData>
            </a:graphic>
          </wp:inline>
        </w:drawing>
      </w:r>
    </w:p>
    <w:p w14:paraId="6A8FBCE2" w14:textId="226F845F" w:rsidR="008C6F7C" w:rsidRPr="008F1379" w:rsidRDefault="00520A9E" w:rsidP="00DD3BAE">
      <w:pPr>
        <w:rPr>
          <w:i/>
          <w:vanish/>
          <w:specVanish/>
        </w:rPr>
      </w:pPr>
      <w:bookmarkStart w:id="1108" w:name="_Toc51605337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163</w:t>
      </w:r>
      <w:r w:rsidR="00C506C7">
        <w:rPr>
          <w:noProof/>
        </w:rPr>
        <w:fldChar w:fldCharType="end"/>
      </w:r>
      <w:r>
        <w:t xml:space="preserve">. </w:t>
      </w:r>
      <w:r w:rsidR="008C6F7C" w:rsidRPr="008F1379">
        <w:rPr>
          <w:i/>
        </w:rPr>
        <w:t xml:space="preserve">Temporal trends in seagrass abundance for each location in the </w:t>
      </w:r>
      <w:r w:rsidR="008C6F7C">
        <w:rPr>
          <w:i/>
        </w:rPr>
        <w:t>northern Wet Tropics NRM</w:t>
      </w:r>
      <w:r w:rsidR="008C6F7C" w:rsidRPr="008F1379">
        <w:rPr>
          <w:i/>
        </w:rPr>
        <w:t xml:space="preserve"> region represented by a GAM plot.</w:t>
      </w:r>
      <w:bookmarkEnd w:id="1108"/>
    </w:p>
    <w:p w14:paraId="274E243D" w14:textId="57C60E13" w:rsidR="00520A9E" w:rsidRDefault="008C6F7C" w:rsidP="00DD3BAE">
      <w:pPr>
        <w:pStyle w:val="Caption"/>
        <w:rPr>
          <w:i/>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w:t>
      </w:r>
    </w:p>
    <w:p w14:paraId="6F7B69F0" w14:textId="77777777" w:rsidR="005672CD" w:rsidRPr="005672CD" w:rsidRDefault="005672CD" w:rsidP="00DD3BAE">
      <w:pPr>
        <w:rPr>
          <w:lang w:val="en-GB"/>
        </w:rPr>
      </w:pPr>
    </w:p>
    <w:p w14:paraId="7BD0EE7B" w14:textId="77777777" w:rsidR="00520A9E" w:rsidRPr="008C6F7C" w:rsidRDefault="00520A9E" w:rsidP="00DD3BAE">
      <w:pPr>
        <w:keepNext/>
        <w:jc w:val="center"/>
        <w:rPr>
          <w:noProof/>
          <w:szCs w:val="22"/>
          <w:lang w:eastAsia="en-AU"/>
        </w:rPr>
      </w:pPr>
      <w:r w:rsidRPr="008C6F7C">
        <w:rPr>
          <w:noProof/>
          <w:szCs w:val="22"/>
          <w:lang w:eastAsia="en-AU"/>
        </w:rPr>
        <w:drawing>
          <wp:inline distT="0" distB="0" distL="0" distR="0" wp14:anchorId="61345817" wp14:editId="6B6CB6E4">
            <wp:extent cx="4080311" cy="3816000"/>
            <wp:effectExtent l="0" t="0" r="0" b="0"/>
            <wp:docPr id="24" name="Picture 24" descr="Panel of 4 graphs displaying temporal trends in seagrass abundance for each location in the southern Wet Tropics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TS_loc_cvr_GAM_Dec16.png"/>
                    <pic:cNvPicPr/>
                  </pic:nvPicPr>
                  <pic:blipFill>
                    <a:blip r:embed="rId256"/>
                    <a:stretch>
                      <a:fillRect/>
                    </a:stretch>
                  </pic:blipFill>
                  <pic:spPr>
                    <a:xfrm>
                      <a:off x="0" y="0"/>
                      <a:ext cx="4080311" cy="3816000"/>
                    </a:xfrm>
                    <a:prstGeom prst="rect">
                      <a:avLst/>
                    </a:prstGeom>
                  </pic:spPr>
                </pic:pic>
              </a:graphicData>
            </a:graphic>
          </wp:inline>
        </w:drawing>
      </w:r>
    </w:p>
    <w:p w14:paraId="1959D8FA" w14:textId="3698772B" w:rsidR="008C6F7C" w:rsidRPr="008F1379" w:rsidRDefault="00520A9E" w:rsidP="00DD3BAE">
      <w:pPr>
        <w:rPr>
          <w:i/>
          <w:vanish/>
          <w:specVanish/>
        </w:rPr>
      </w:pPr>
      <w:bookmarkStart w:id="1109" w:name="_Toc51605337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164</w:t>
      </w:r>
      <w:r w:rsidR="00C506C7">
        <w:rPr>
          <w:noProof/>
        </w:rPr>
        <w:fldChar w:fldCharType="end"/>
      </w:r>
      <w:r w:rsidR="008C6F7C">
        <w:t xml:space="preserve">. </w:t>
      </w:r>
      <w:r w:rsidR="008C6F7C" w:rsidRPr="008F1379">
        <w:rPr>
          <w:i/>
        </w:rPr>
        <w:t xml:space="preserve">Temporal trends in seagrass abundance for each location in the </w:t>
      </w:r>
      <w:r w:rsidR="008C6F7C">
        <w:rPr>
          <w:i/>
        </w:rPr>
        <w:t>southern Wet Tropics NRM</w:t>
      </w:r>
      <w:r w:rsidR="008C6F7C" w:rsidRPr="008F1379">
        <w:rPr>
          <w:i/>
        </w:rPr>
        <w:t xml:space="preserve"> region represented by a GAM plot.</w:t>
      </w:r>
      <w:bookmarkEnd w:id="1109"/>
    </w:p>
    <w:p w14:paraId="26E59EB4" w14:textId="6416D11F" w:rsidR="00520A9E" w:rsidRPr="00520A9E" w:rsidRDefault="008C6F7C" w:rsidP="00DD3BAE">
      <w:pPr>
        <w:pStyle w:val="Caption"/>
        <w:rPr>
          <w:lang w:eastAsia="x-none"/>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w:t>
      </w:r>
    </w:p>
    <w:p w14:paraId="5206157D" w14:textId="77777777" w:rsidR="00035FDC" w:rsidRDefault="00035FDC" w:rsidP="00DD3BAE">
      <w:pPr>
        <w:keepNext/>
        <w:jc w:val="center"/>
        <w:rPr>
          <w:noProof/>
          <w:lang w:eastAsia="en-AU"/>
        </w:rPr>
      </w:pPr>
      <w:r>
        <w:rPr>
          <w:noProof/>
          <w:lang w:eastAsia="en-AU"/>
        </w:rPr>
        <w:drawing>
          <wp:inline distT="0" distB="0" distL="0" distR="0" wp14:anchorId="7C1F2F66" wp14:editId="5F9391EE">
            <wp:extent cx="3719658" cy="2725200"/>
            <wp:effectExtent l="0" t="0" r="0" b="0"/>
            <wp:docPr id="20" name="Picture 20" descr="Panel of 4 graphs displaying temporal trends in seagrass abundance for each location in the Burdekin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_loc_cvr_GAM_Dec16.png"/>
                    <pic:cNvPicPr/>
                  </pic:nvPicPr>
                  <pic:blipFill>
                    <a:blip r:embed="rId257"/>
                    <a:stretch>
                      <a:fillRect/>
                    </a:stretch>
                  </pic:blipFill>
                  <pic:spPr>
                    <a:xfrm>
                      <a:off x="0" y="0"/>
                      <a:ext cx="3719658" cy="2725200"/>
                    </a:xfrm>
                    <a:prstGeom prst="rect">
                      <a:avLst/>
                    </a:prstGeom>
                  </pic:spPr>
                </pic:pic>
              </a:graphicData>
            </a:graphic>
          </wp:inline>
        </w:drawing>
      </w:r>
    </w:p>
    <w:p w14:paraId="4E733BCB" w14:textId="4A166C50" w:rsidR="00035FDC" w:rsidRPr="008F1379" w:rsidRDefault="00035FDC" w:rsidP="00DD3BAE">
      <w:pPr>
        <w:rPr>
          <w:i/>
          <w:vanish/>
          <w:specVanish/>
        </w:rPr>
      </w:pPr>
      <w:bookmarkStart w:id="1110" w:name="_Toc51605337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165</w:t>
      </w:r>
      <w:r w:rsidR="00C506C7">
        <w:rPr>
          <w:noProof/>
        </w:rPr>
        <w:fldChar w:fldCharType="end"/>
      </w:r>
      <w:r>
        <w:t xml:space="preserve">. </w:t>
      </w:r>
      <w:r w:rsidRPr="008F1379">
        <w:rPr>
          <w:i/>
        </w:rPr>
        <w:t xml:space="preserve">Temporal trends in seagrass abundance for each location in the </w:t>
      </w:r>
      <w:r>
        <w:rPr>
          <w:i/>
        </w:rPr>
        <w:t>Burdekin NRM</w:t>
      </w:r>
      <w:r w:rsidRPr="008F1379">
        <w:rPr>
          <w:i/>
        </w:rPr>
        <w:t xml:space="preserve"> region represented by a GAM plot.</w:t>
      </w:r>
      <w:bookmarkEnd w:id="1110"/>
    </w:p>
    <w:p w14:paraId="35C9BD5A" w14:textId="5A618833" w:rsidR="00035FDC" w:rsidRDefault="00035FDC" w:rsidP="00DD3BAE">
      <w:pPr>
        <w:rPr>
          <w:lang w:eastAsia="x-none"/>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 </w:t>
      </w:r>
      <w:r w:rsidRPr="002E6AD0">
        <w:rPr>
          <w:i/>
        </w:rPr>
        <w:t>.</w:t>
      </w:r>
    </w:p>
    <w:p w14:paraId="17720109" w14:textId="77777777" w:rsidR="00035FDC" w:rsidRDefault="00035FDC" w:rsidP="00DD3BAE">
      <w:pPr>
        <w:rPr>
          <w:lang w:eastAsia="x-none"/>
        </w:rPr>
      </w:pPr>
    </w:p>
    <w:p w14:paraId="6F0F24F3" w14:textId="77777777" w:rsidR="001E20FC" w:rsidRDefault="001E20FC" w:rsidP="00DD3BAE">
      <w:pPr>
        <w:keepNext/>
        <w:jc w:val="center"/>
        <w:rPr>
          <w:noProof/>
          <w:lang w:eastAsia="en-AU"/>
        </w:rPr>
      </w:pPr>
      <w:r>
        <w:rPr>
          <w:lang w:eastAsia="x-none"/>
        </w:rPr>
        <w:br w:type="column"/>
      </w:r>
      <w:r>
        <w:rPr>
          <w:noProof/>
          <w:lang w:eastAsia="en-AU"/>
        </w:rPr>
        <w:drawing>
          <wp:inline distT="0" distB="0" distL="0" distR="0" wp14:anchorId="7A25AAE1" wp14:editId="5B7C45AB">
            <wp:extent cx="4280265" cy="4068896"/>
            <wp:effectExtent l="0" t="0" r="6350" b="0"/>
            <wp:docPr id="570" name="Picture 570" descr="Panel of seven graphs displaying temporal trends in seagrass abundance for each location in the Mackay Whitsunday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_loc_cvr_GAM_Dec16.png"/>
                    <pic:cNvPicPr/>
                  </pic:nvPicPr>
                  <pic:blipFill>
                    <a:blip r:embed="rId258"/>
                    <a:stretch>
                      <a:fillRect/>
                    </a:stretch>
                  </pic:blipFill>
                  <pic:spPr>
                    <a:xfrm>
                      <a:off x="0" y="0"/>
                      <a:ext cx="4288400" cy="4076629"/>
                    </a:xfrm>
                    <a:prstGeom prst="rect">
                      <a:avLst/>
                    </a:prstGeom>
                  </pic:spPr>
                </pic:pic>
              </a:graphicData>
            </a:graphic>
          </wp:inline>
        </w:drawing>
      </w:r>
    </w:p>
    <w:p w14:paraId="33098393" w14:textId="1F1454AF" w:rsidR="001E20FC" w:rsidRPr="008F1379" w:rsidRDefault="001E20FC" w:rsidP="00DD3BAE">
      <w:pPr>
        <w:pStyle w:val="Caption"/>
        <w:rPr>
          <w:i/>
          <w:vanish/>
          <w:specVanish/>
        </w:rPr>
      </w:pPr>
      <w:bookmarkStart w:id="1111" w:name="_Toc516053376"/>
      <w:r>
        <w:t xml:space="preserve">Figure </w:t>
      </w:r>
      <w:r>
        <w:fldChar w:fldCharType="begin"/>
      </w:r>
      <w:r>
        <w:instrText xml:space="preserve"> SEQ Figure \* ARABIC </w:instrText>
      </w:r>
      <w:r>
        <w:fldChar w:fldCharType="separate"/>
      </w:r>
      <w:r w:rsidR="00F87DF9">
        <w:rPr>
          <w:noProof/>
        </w:rPr>
        <w:t>166</w:t>
      </w:r>
      <w:r>
        <w:fldChar w:fldCharType="end"/>
      </w:r>
      <w:r>
        <w:t xml:space="preserve">. </w:t>
      </w:r>
      <w:r w:rsidRPr="008F1379">
        <w:rPr>
          <w:i/>
        </w:rPr>
        <w:t xml:space="preserve">Temporal trends in seagrass abundance for each location in the </w:t>
      </w:r>
      <w:r>
        <w:rPr>
          <w:i/>
        </w:rPr>
        <w:t>Mackay Whitsunday NRM</w:t>
      </w:r>
      <w:r w:rsidRPr="008F1379">
        <w:rPr>
          <w:i/>
        </w:rPr>
        <w:t xml:space="preserve"> region represented by a GAM plot.</w:t>
      </w:r>
      <w:bookmarkEnd w:id="1111"/>
    </w:p>
    <w:p w14:paraId="0F097DA4" w14:textId="542686AD" w:rsidR="001E20FC" w:rsidRDefault="001E20FC" w:rsidP="00DD3BAE">
      <w:pPr>
        <w:rPr>
          <w:lang w:eastAsia="x-none"/>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Pr>
          <w:i/>
        </w:rPr>
        <w:t xml:space="preserve"> per cent</w:t>
      </w:r>
      <w:r w:rsidRPr="008F1379">
        <w:rPr>
          <w:i/>
        </w:rPr>
        <w:t xml:space="preserve"> confidence intervals</w:t>
      </w:r>
      <w:r>
        <w:rPr>
          <w:i/>
        </w:rPr>
        <w:t xml:space="preserve"> and quadrat data represented by grey circles</w:t>
      </w:r>
      <w:r w:rsidRPr="002E6AD0">
        <w:rPr>
          <w:i/>
        </w:rPr>
        <w:t>.</w:t>
      </w:r>
    </w:p>
    <w:p w14:paraId="7CDA952D" w14:textId="462C6199" w:rsidR="001E20FC" w:rsidRDefault="001E20FC" w:rsidP="00DD3BAE">
      <w:pPr>
        <w:jc w:val="center"/>
        <w:rPr>
          <w:lang w:eastAsia="x-none"/>
        </w:rPr>
      </w:pPr>
      <w:r>
        <w:rPr>
          <w:noProof/>
          <w:lang w:eastAsia="en-AU"/>
        </w:rPr>
        <w:drawing>
          <wp:inline distT="0" distB="0" distL="0" distR="0" wp14:anchorId="2FA8FCDB" wp14:editId="49899ED1">
            <wp:extent cx="4721413" cy="3048000"/>
            <wp:effectExtent l="0" t="0" r="3175" b="0"/>
            <wp:docPr id="572" name="Picture 572" descr="Panel of three graphs displaying temporal trends in seagrass abundance for each location in the Burnett Mary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_loc_cvr_GAM_Dec16.png"/>
                    <pic:cNvPicPr/>
                  </pic:nvPicPr>
                  <pic:blipFill>
                    <a:blip r:embed="rId259"/>
                    <a:stretch>
                      <a:fillRect/>
                    </a:stretch>
                  </pic:blipFill>
                  <pic:spPr>
                    <a:xfrm>
                      <a:off x="0" y="0"/>
                      <a:ext cx="4727191" cy="3051730"/>
                    </a:xfrm>
                    <a:prstGeom prst="rect">
                      <a:avLst/>
                    </a:prstGeom>
                  </pic:spPr>
                </pic:pic>
              </a:graphicData>
            </a:graphic>
          </wp:inline>
        </w:drawing>
      </w:r>
    </w:p>
    <w:p w14:paraId="778F9EC2" w14:textId="17100115" w:rsidR="001E20FC" w:rsidRPr="008F1379" w:rsidRDefault="001E20FC" w:rsidP="00DD3BAE">
      <w:pPr>
        <w:pStyle w:val="Caption"/>
        <w:rPr>
          <w:i/>
          <w:vanish/>
          <w:specVanish/>
        </w:rPr>
      </w:pPr>
      <w:bookmarkStart w:id="1112" w:name="_Toc516053377"/>
      <w:r>
        <w:t xml:space="preserve">Figure </w:t>
      </w:r>
      <w:r>
        <w:fldChar w:fldCharType="begin"/>
      </w:r>
      <w:r>
        <w:instrText xml:space="preserve"> SEQ Figure \* ARABIC </w:instrText>
      </w:r>
      <w:r>
        <w:fldChar w:fldCharType="separate"/>
      </w:r>
      <w:r w:rsidR="00F87DF9">
        <w:rPr>
          <w:noProof/>
        </w:rPr>
        <w:t>167</w:t>
      </w:r>
      <w:r>
        <w:fldChar w:fldCharType="end"/>
      </w:r>
      <w:r>
        <w:t xml:space="preserve">. </w:t>
      </w:r>
      <w:r w:rsidRPr="008F1379">
        <w:rPr>
          <w:i/>
        </w:rPr>
        <w:t xml:space="preserve">Temporal trends in seagrass abundance for each location in the </w:t>
      </w:r>
      <w:r>
        <w:rPr>
          <w:i/>
        </w:rPr>
        <w:t>Burnett Mary NRM</w:t>
      </w:r>
      <w:r w:rsidRPr="008F1379">
        <w:rPr>
          <w:i/>
        </w:rPr>
        <w:t xml:space="preserve"> region represented by a GAM plot.</w:t>
      </w:r>
      <w:bookmarkEnd w:id="1112"/>
    </w:p>
    <w:p w14:paraId="0B9E79DC" w14:textId="0712E15E" w:rsidR="00035FDC" w:rsidRDefault="001E20FC" w:rsidP="00DD3BAE">
      <w:pPr>
        <w:rPr>
          <w:lang w:eastAsia="x-none"/>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Pr>
          <w:i/>
        </w:rPr>
        <w:t xml:space="preserve"> per cent</w:t>
      </w:r>
      <w:r w:rsidRPr="008F1379">
        <w:rPr>
          <w:i/>
        </w:rPr>
        <w:t xml:space="preserve"> confidence intervals</w:t>
      </w:r>
      <w:r>
        <w:rPr>
          <w:i/>
        </w:rPr>
        <w:t xml:space="preserve"> and quadrat data represented by grey circles</w:t>
      </w:r>
      <w:r w:rsidRPr="002E6AD0">
        <w:rPr>
          <w:i/>
        </w:rPr>
        <w:t>.</w:t>
      </w:r>
    </w:p>
    <w:p w14:paraId="59B59A41" w14:textId="7EDF397D" w:rsidR="00035FDC" w:rsidRDefault="007B5652" w:rsidP="00035FDC">
      <w:pPr>
        <w:rPr>
          <w:lang w:eastAsia="x-none"/>
        </w:rPr>
      </w:pPr>
      <w:r>
        <w:rPr>
          <w:lang w:eastAsia="x-none"/>
        </w:rPr>
        <w:br w:type="column"/>
      </w:r>
    </w:p>
    <w:p w14:paraId="26EB8555" w14:textId="47941748" w:rsidR="00035FDC" w:rsidRDefault="00035FDC" w:rsidP="00035FDC">
      <w:pPr>
        <w:pStyle w:val="Heading3"/>
        <w:rPr>
          <w:rFonts w:asciiTheme="minorHAnsi" w:hAnsiTheme="minorHAnsi"/>
          <w:sz w:val="24"/>
          <w:szCs w:val="24"/>
        </w:rPr>
      </w:pPr>
      <w:bookmarkStart w:id="1113" w:name="_Ref511130749"/>
      <w:bookmarkStart w:id="1114" w:name="_Ref511131212"/>
      <w:bookmarkStart w:id="1115" w:name="_Ref511131430"/>
      <w:bookmarkStart w:id="1116" w:name="_Toc516053205"/>
      <w:r w:rsidRPr="000440B8">
        <w:rPr>
          <w:rFonts w:asciiTheme="minorHAnsi" w:hAnsiTheme="minorHAnsi"/>
          <w:sz w:val="24"/>
          <w:szCs w:val="24"/>
        </w:rPr>
        <w:t>Sediments composition</w:t>
      </w:r>
      <w:bookmarkEnd w:id="1113"/>
      <w:bookmarkEnd w:id="1114"/>
      <w:bookmarkEnd w:id="1115"/>
      <w:bookmarkEnd w:id="1116"/>
    </w:p>
    <w:p w14:paraId="62714448" w14:textId="77777777" w:rsidR="007A38EA" w:rsidRPr="007A38EA" w:rsidRDefault="007A38EA" w:rsidP="007A38EA">
      <w:pPr>
        <w:rPr>
          <w:lang w:eastAsia="x-none"/>
        </w:rPr>
      </w:pPr>
    </w:p>
    <w:p w14:paraId="3466DFED" w14:textId="729E888D" w:rsidR="00035FDC" w:rsidRDefault="00207564" w:rsidP="00035FDC">
      <w:pPr>
        <w:keepNext/>
        <w:widowControl w:val="0"/>
        <w:spacing w:after="0"/>
        <w:jc w:val="center"/>
        <w:rPr>
          <w:color w:val="000000"/>
          <w:szCs w:val="22"/>
          <w:lang w:val="en-GB"/>
        </w:rPr>
      </w:pPr>
      <w:r>
        <w:rPr>
          <w:noProof/>
          <w:color w:val="000000"/>
          <w:szCs w:val="22"/>
          <w:lang w:eastAsia="en-AU"/>
        </w:rPr>
        <w:drawing>
          <wp:inline distT="0" distB="0" distL="0" distR="0" wp14:anchorId="46E98ED2" wp14:editId="53EA4D57">
            <wp:extent cx="3959968" cy="6829200"/>
            <wp:effectExtent l="0" t="0" r="2540" b="0"/>
            <wp:docPr id="38" name="Picture 38" descr="Set of bar graphs showing sediment grain size composition at reef habitat monitoring sites in the Cape York region each monitoring event from 200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Y_sediment_reef_2016.png"/>
                    <pic:cNvPicPr/>
                  </pic:nvPicPr>
                  <pic:blipFill>
                    <a:blip r:embed="rId260">
                      <a:extLst>
                        <a:ext uri="{28A0092B-C50C-407E-A947-70E740481C1C}">
                          <a14:useLocalDpi xmlns:a14="http://schemas.microsoft.com/office/drawing/2010/main" val="0"/>
                        </a:ext>
                      </a:extLst>
                    </a:blip>
                    <a:stretch>
                      <a:fillRect/>
                    </a:stretch>
                  </pic:blipFill>
                  <pic:spPr>
                    <a:xfrm>
                      <a:off x="0" y="0"/>
                      <a:ext cx="3959968" cy="6829200"/>
                    </a:xfrm>
                    <a:prstGeom prst="rect">
                      <a:avLst/>
                    </a:prstGeom>
                  </pic:spPr>
                </pic:pic>
              </a:graphicData>
            </a:graphic>
          </wp:inline>
        </w:drawing>
      </w:r>
    </w:p>
    <w:p w14:paraId="69A95CF7" w14:textId="29BB84DC" w:rsidR="00035FDC" w:rsidRPr="00CC19F0" w:rsidRDefault="00035FDC" w:rsidP="00035FDC">
      <w:pPr>
        <w:rPr>
          <w:i/>
          <w:vanish/>
          <w:specVanish/>
        </w:rPr>
      </w:pPr>
      <w:bookmarkStart w:id="1117" w:name="_Ref511130629"/>
      <w:bookmarkStart w:id="1118" w:name="_Toc51605337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168</w:t>
      </w:r>
      <w:r w:rsidR="00C506C7">
        <w:rPr>
          <w:noProof/>
        </w:rPr>
        <w:fldChar w:fldCharType="end"/>
      </w:r>
      <w:bookmarkEnd w:id="1117"/>
      <w:r>
        <w:t xml:space="preserve">. </w:t>
      </w:r>
      <w:r w:rsidRPr="00CC19F0">
        <w:rPr>
          <w:i/>
        </w:rPr>
        <w:t xml:space="preserve">Sediment grain size composition at reef habitat </w:t>
      </w:r>
      <w:r>
        <w:rPr>
          <w:i/>
        </w:rPr>
        <w:t>monitoring sites</w:t>
      </w:r>
      <w:r w:rsidRPr="00CC19F0">
        <w:rPr>
          <w:i/>
        </w:rPr>
        <w:t xml:space="preserve"> in the Cape York region</w:t>
      </w:r>
      <w:r>
        <w:rPr>
          <w:i/>
        </w:rPr>
        <w:t>, 2003-201</w:t>
      </w:r>
      <w:r w:rsidR="00FA3BB5">
        <w:rPr>
          <w:i/>
        </w:rPr>
        <w:t>7</w:t>
      </w:r>
      <w:r w:rsidRPr="00CC19F0">
        <w:rPr>
          <w:i/>
        </w:rPr>
        <w:t>.</w:t>
      </w:r>
      <w:bookmarkEnd w:id="1118"/>
    </w:p>
    <w:p w14:paraId="21604FB7" w14:textId="77777777" w:rsidR="00035FDC" w:rsidRDefault="00035FDC" w:rsidP="00035FDC">
      <w:pPr>
        <w:rPr>
          <w:i/>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6DEED1C" w14:textId="77777777" w:rsidR="00035FDC" w:rsidRDefault="00035FDC" w:rsidP="00035FDC">
      <w:pPr>
        <w:rPr>
          <w:i/>
          <w:color w:val="000000"/>
          <w:szCs w:val="22"/>
        </w:rPr>
      </w:pPr>
    </w:p>
    <w:p w14:paraId="6C9C0503" w14:textId="77777777" w:rsidR="005672CD" w:rsidRDefault="005672CD" w:rsidP="00035FDC">
      <w:pPr>
        <w:rPr>
          <w:i/>
          <w:color w:val="000000"/>
          <w:szCs w:val="22"/>
        </w:rPr>
      </w:pPr>
    </w:p>
    <w:p w14:paraId="3879226D" w14:textId="77777777" w:rsidR="005672CD" w:rsidRDefault="005672CD" w:rsidP="00035FDC">
      <w:pPr>
        <w:rPr>
          <w:i/>
          <w:color w:val="000000"/>
          <w:szCs w:val="22"/>
        </w:rPr>
      </w:pPr>
    </w:p>
    <w:p w14:paraId="1A2A7D73" w14:textId="77777777" w:rsidR="005672CD" w:rsidRDefault="005672CD" w:rsidP="00035FDC">
      <w:pPr>
        <w:rPr>
          <w:i/>
          <w:color w:val="000000"/>
          <w:szCs w:val="22"/>
        </w:rPr>
      </w:pPr>
    </w:p>
    <w:p w14:paraId="6B1B740D" w14:textId="77777777" w:rsidR="005672CD" w:rsidRPr="00CC19F0" w:rsidRDefault="005672CD" w:rsidP="00035FDC">
      <w:pPr>
        <w:rPr>
          <w:i/>
          <w:color w:val="000000"/>
          <w:szCs w:val="22"/>
        </w:rPr>
      </w:pPr>
    </w:p>
    <w:p w14:paraId="313B058B" w14:textId="218F3A89" w:rsidR="00035FDC" w:rsidRDefault="004006AB" w:rsidP="00035FDC">
      <w:pPr>
        <w:keepNext/>
        <w:widowControl w:val="0"/>
        <w:jc w:val="center"/>
        <w:rPr>
          <w:color w:val="000000"/>
          <w:szCs w:val="22"/>
          <w:lang w:val="en-GB"/>
        </w:rPr>
      </w:pPr>
      <w:r>
        <w:rPr>
          <w:noProof/>
          <w:color w:val="000000"/>
          <w:szCs w:val="22"/>
          <w:lang w:eastAsia="en-AU"/>
        </w:rPr>
        <w:drawing>
          <wp:inline distT="0" distB="0" distL="0" distR="0" wp14:anchorId="0EC55D22" wp14:editId="6E88FF7E">
            <wp:extent cx="4319446" cy="5104800"/>
            <wp:effectExtent l="0" t="0" r="5080" b="635"/>
            <wp:docPr id="57" name="Picture 57" descr="Set of bar graphs showing sediment grain size composition at coastal habitat monitoring sites in the Cape York region each monitoring event from 2013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Y_sediment_coast_2016.png"/>
                    <pic:cNvPicPr/>
                  </pic:nvPicPr>
                  <pic:blipFill>
                    <a:blip r:embed="rId261">
                      <a:extLst>
                        <a:ext uri="{28A0092B-C50C-407E-A947-70E740481C1C}">
                          <a14:useLocalDpi xmlns:a14="http://schemas.microsoft.com/office/drawing/2010/main" val="0"/>
                        </a:ext>
                      </a:extLst>
                    </a:blip>
                    <a:stretch>
                      <a:fillRect/>
                    </a:stretch>
                  </pic:blipFill>
                  <pic:spPr>
                    <a:xfrm>
                      <a:off x="0" y="0"/>
                      <a:ext cx="4319446" cy="5104800"/>
                    </a:xfrm>
                    <a:prstGeom prst="rect">
                      <a:avLst/>
                    </a:prstGeom>
                  </pic:spPr>
                </pic:pic>
              </a:graphicData>
            </a:graphic>
          </wp:inline>
        </w:drawing>
      </w:r>
    </w:p>
    <w:p w14:paraId="40506C14" w14:textId="228BE0EC" w:rsidR="00035FDC" w:rsidRPr="00CC19F0" w:rsidRDefault="00035FDC" w:rsidP="00035FDC">
      <w:pPr>
        <w:rPr>
          <w:i/>
          <w:vanish/>
          <w:specVanish/>
        </w:rPr>
      </w:pPr>
      <w:bookmarkStart w:id="1119" w:name="_Ref511130634"/>
      <w:bookmarkStart w:id="1120" w:name="_Toc51605337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169</w:t>
      </w:r>
      <w:r w:rsidR="00C506C7">
        <w:rPr>
          <w:noProof/>
        </w:rPr>
        <w:fldChar w:fldCharType="end"/>
      </w:r>
      <w:bookmarkEnd w:id="1119"/>
      <w:r>
        <w:t xml:space="preserve">. </w:t>
      </w:r>
      <w:r w:rsidRPr="00CC19F0">
        <w:rPr>
          <w:i/>
        </w:rPr>
        <w:t xml:space="preserve">Sediment grain size composition at </w:t>
      </w:r>
      <w:r>
        <w:rPr>
          <w:i/>
        </w:rPr>
        <w:t>coastal</w:t>
      </w:r>
      <w:r w:rsidRPr="00CC19F0">
        <w:rPr>
          <w:i/>
        </w:rPr>
        <w:t xml:space="preserve"> habitat </w:t>
      </w:r>
      <w:r>
        <w:rPr>
          <w:i/>
        </w:rPr>
        <w:t>monitoring sites</w:t>
      </w:r>
      <w:r w:rsidRPr="00CC19F0">
        <w:rPr>
          <w:i/>
        </w:rPr>
        <w:t xml:space="preserve"> in the Cape York region</w:t>
      </w:r>
      <w:r>
        <w:rPr>
          <w:i/>
        </w:rPr>
        <w:t>, 2013-201</w:t>
      </w:r>
      <w:r w:rsidR="00B7310F">
        <w:rPr>
          <w:i/>
        </w:rPr>
        <w:t>7</w:t>
      </w:r>
      <w:r w:rsidRPr="00CC19F0">
        <w:rPr>
          <w:i/>
        </w:rPr>
        <w:t>.</w:t>
      </w:r>
      <w:bookmarkEnd w:id="1120"/>
    </w:p>
    <w:p w14:paraId="684F1926"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3D84B77F" w14:textId="77777777" w:rsidR="00035FDC" w:rsidRDefault="00035FDC" w:rsidP="00035FDC">
      <w:pPr>
        <w:rPr>
          <w:color w:val="000000"/>
          <w:szCs w:val="22"/>
          <w:lang w:val="en-GB"/>
        </w:rPr>
      </w:pPr>
    </w:p>
    <w:p w14:paraId="2780642C" w14:textId="77777777" w:rsidR="00035FDC" w:rsidRDefault="00035FDC" w:rsidP="00035FDC">
      <w:pPr>
        <w:rPr>
          <w:color w:val="000000"/>
          <w:szCs w:val="22"/>
          <w:lang w:val="en-GB"/>
        </w:rPr>
      </w:pPr>
    </w:p>
    <w:p w14:paraId="038FA815" w14:textId="77777777" w:rsidR="00035FDC" w:rsidRDefault="00035FDC" w:rsidP="00035FDC">
      <w:pPr>
        <w:rPr>
          <w:color w:val="000000"/>
          <w:szCs w:val="22"/>
          <w:lang w:val="en-GB"/>
        </w:rPr>
      </w:pPr>
    </w:p>
    <w:p w14:paraId="173FF74F" w14:textId="77777777" w:rsidR="005672CD" w:rsidRDefault="005672CD" w:rsidP="00035FDC">
      <w:pPr>
        <w:rPr>
          <w:color w:val="000000"/>
          <w:szCs w:val="22"/>
          <w:lang w:val="en-GB"/>
        </w:rPr>
      </w:pPr>
    </w:p>
    <w:p w14:paraId="0BFF4A6C" w14:textId="77777777" w:rsidR="005672CD" w:rsidRDefault="005672CD" w:rsidP="00035FDC">
      <w:pPr>
        <w:rPr>
          <w:color w:val="000000"/>
          <w:szCs w:val="22"/>
          <w:lang w:val="en-GB"/>
        </w:rPr>
      </w:pPr>
    </w:p>
    <w:p w14:paraId="5BD6D7F7" w14:textId="77777777" w:rsidR="005672CD" w:rsidRDefault="005672CD" w:rsidP="00035FDC">
      <w:pPr>
        <w:rPr>
          <w:color w:val="000000"/>
          <w:szCs w:val="22"/>
          <w:lang w:val="en-GB"/>
        </w:rPr>
      </w:pPr>
    </w:p>
    <w:p w14:paraId="5C280A8D" w14:textId="77777777" w:rsidR="005672CD" w:rsidRDefault="005672CD" w:rsidP="00035FDC">
      <w:pPr>
        <w:rPr>
          <w:color w:val="000000"/>
          <w:szCs w:val="22"/>
          <w:lang w:val="en-GB"/>
        </w:rPr>
      </w:pPr>
    </w:p>
    <w:p w14:paraId="0729ABAD" w14:textId="77777777" w:rsidR="005672CD" w:rsidRDefault="005672CD" w:rsidP="00035FDC">
      <w:pPr>
        <w:rPr>
          <w:color w:val="000000"/>
          <w:szCs w:val="22"/>
          <w:lang w:val="en-GB"/>
        </w:rPr>
      </w:pPr>
    </w:p>
    <w:p w14:paraId="64ABC744" w14:textId="77777777" w:rsidR="005672CD" w:rsidRDefault="005672CD" w:rsidP="00035FDC">
      <w:pPr>
        <w:rPr>
          <w:color w:val="000000"/>
          <w:szCs w:val="22"/>
          <w:lang w:val="en-GB"/>
        </w:rPr>
      </w:pPr>
    </w:p>
    <w:p w14:paraId="2D08571E" w14:textId="77777777" w:rsidR="005672CD" w:rsidRDefault="005672CD" w:rsidP="00035FDC">
      <w:pPr>
        <w:rPr>
          <w:color w:val="000000"/>
          <w:szCs w:val="22"/>
          <w:lang w:val="en-GB"/>
        </w:rPr>
      </w:pPr>
    </w:p>
    <w:p w14:paraId="3402E474" w14:textId="77777777" w:rsidR="005672CD" w:rsidRDefault="005672CD" w:rsidP="00035FDC">
      <w:pPr>
        <w:rPr>
          <w:color w:val="000000"/>
          <w:szCs w:val="22"/>
          <w:lang w:val="en-GB"/>
        </w:rPr>
      </w:pPr>
    </w:p>
    <w:p w14:paraId="6E0305B6" w14:textId="77777777" w:rsidR="005672CD" w:rsidRDefault="005672CD" w:rsidP="00035FDC">
      <w:pPr>
        <w:rPr>
          <w:color w:val="000000"/>
          <w:szCs w:val="22"/>
          <w:lang w:val="en-GB"/>
        </w:rPr>
      </w:pPr>
    </w:p>
    <w:p w14:paraId="04FF1394" w14:textId="77777777" w:rsidR="005672CD" w:rsidRDefault="005672CD" w:rsidP="00035FDC">
      <w:pPr>
        <w:rPr>
          <w:color w:val="000000"/>
          <w:szCs w:val="22"/>
          <w:lang w:val="en-GB"/>
        </w:rPr>
      </w:pPr>
    </w:p>
    <w:p w14:paraId="392FD4AB" w14:textId="16561BA8" w:rsidR="00035FDC" w:rsidRDefault="004006AB" w:rsidP="00035FDC">
      <w:pPr>
        <w:keepNext/>
        <w:widowControl w:val="0"/>
        <w:spacing w:after="0"/>
        <w:jc w:val="center"/>
        <w:rPr>
          <w:color w:val="000000"/>
          <w:szCs w:val="22"/>
          <w:lang w:val="en-GB"/>
        </w:rPr>
      </w:pPr>
      <w:r>
        <w:rPr>
          <w:noProof/>
          <w:color w:val="000000"/>
          <w:szCs w:val="22"/>
          <w:lang w:eastAsia="en-AU"/>
        </w:rPr>
        <w:drawing>
          <wp:inline distT="0" distB="0" distL="0" distR="0" wp14:anchorId="006FAEE9" wp14:editId="133E7229">
            <wp:extent cx="4320000" cy="5096935"/>
            <wp:effectExtent l="0" t="0" r="4445" b="8890"/>
            <wp:docPr id="59" name="Picture 59" descr="Set of bar graphs showing sediment grain size composition at coastal habitat monitoring sites in the Wet Tropics region each monitoring event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WT_sediment_coast_2016.png"/>
                    <pic:cNvPicPr/>
                  </pic:nvPicPr>
                  <pic:blipFill>
                    <a:blip r:embed="rId262">
                      <a:extLst>
                        <a:ext uri="{28A0092B-C50C-407E-A947-70E740481C1C}">
                          <a14:useLocalDpi xmlns:a14="http://schemas.microsoft.com/office/drawing/2010/main" val="0"/>
                        </a:ext>
                      </a:extLst>
                    </a:blip>
                    <a:stretch>
                      <a:fillRect/>
                    </a:stretch>
                  </pic:blipFill>
                  <pic:spPr>
                    <a:xfrm>
                      <a:off x="0" y="0"/>
                      <a:ext cx="4320000" cy="5096935"/>
                    </a:xfrm>
                    <a:prstGeom prst="rect">
                      <a:avLst/>
                    </a:prstGeom>
                  </pic:spPr>
                </pic:pic>
              </a:graphicData>
            </a:graphic>
          </wp:inline>
        </w:drawing>
      </w:r>
    </w:p>
    <w:p w14:paraId="7AFE6FF2" w14:textId="58DB964B" w:rsidR="00035FDC" w:rsidRPr="00CC19F0" w:rsidRDefault="00035FDC" w:rsidP="00035FDC">
      <w:pPr>
        <w:rPr>
          <w:i/>
          <w:vanish/>
          <w:specVanish/>
        </w:rPr>
      </w:pPr>
      <w:bookmarkStart w:id="1121" w:name="_Ref511131260"/>
      <w:bookmarkStart w:id="1122" w:name="_Toc516053380"/>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170</w:t>
      </w:r>
      <w:r w:rsidR="00C506C7">
        <w:rPr>
          <w:noProof/>
        </w:rPr>
        <w:fldChar w:fldCharType="end"/>
      </w:r>
      <w:bookmarkEnd w:id="1121"/>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2001-201</w:t>
      </w:r>
      <w:r w:rsidR="001457C3">
        <w:rPr>
          <w:i/>
        </w:rPr>
        <w:t>7</w:t>
      </w:r>
      <w:r w:rsidRPr="00CC19F0">
        <w:rPr>
          <w:i/>
        </w:rPr>
        <w:t>.</w:t>
      </w:r>
      <w:bookmarkEnd w:id="1122"/>
    </w:p>
    <w:p w14:paraId="0E19903A"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5BEB78C" w14:textId="77777777" w:rsidR="00035FDC" w:rsidRDefault="00035FDC" w:rsidP="00035FDC">
      <w:pPr>
        <w:rPr>
          <w:color w:val="000000"/>
          <w:szCs w:val="22"/>
          <w:lang w:val="en-GB"/>
        </w:rPr>
      </w:pPr>
    </w:p>
    <w:p w14:paraId="489EBD00" w14:textId="77777777" w:rsidR="005672CD" w:rsidRDefault="005672CD" w:rsidP="00035FDC">
      <w:pPr>
        <w:rPr>
          <w:color w:val="000000"/>
          <w:szCs w:val="22"/>
          <w:lang w:val="en-GB"/>
        </w:rPr>
      </w:pPr>
    </w:p>
    <w:p w14:paraId="0CC59799" w14:textId="77777777" w:rsidR="005672CD" w:rsidRDefault="005672CD" w:rsidP="00035FDC">
      <w:pPr>
        <w:rPr>
          <w:color w:val="000000"/>
          <w:szCs w:val="22"/>
          <w:lang w:val="en-GB"/>
        </w:rPr>
      </w:pPr>
    </w:p>
    <w:p w14:paraId="13557FF5" w14:textId="77777777" w:rsidR="005672CD" w:rsidRDefault="005672CD" w:rsidP="00035FDC">
      <w:pPr>
        <w:rPr>
          <w:color w:val="000000"/>
          <w:szCs w:val="22"/>
          <w:lang w:val="en-GB"/>
        </w:rPr>
      </w:pPr>
    </w:p>
    <w:p w14:paraId="521A9665" w14:textId="77777777" w:rsidR="005672CD" w:rsidRDefault="005672CD" w:rsidP="00035FDC">
      <w:pPr>
        <w:rPr>
          <w:color w:val="000000"/>
          <w:szCs w:val="22"/>
          <w:lang w:val="en-GB"/>
        </w:rPr>
      </w:pPr>
    </w:p>
    <w:p w14:paraId="610889F7" w14:textId="77777777" w:rsidR="005672CD" w:rsidRDefault="005672CD" w:rsidP="00035FDC">
      <w:pPr>
        <w:rPr>
          <w:color w:val="000000"/>
          <w:szCs w:val="22"/>
          <w:lang w:val="en-GB"/>
        </w:rPr>
      </w:pPr>
    </w:p>
    <w:p w14:paraId="1FA1AA70" w14:textId="77777777" w:rsidR="005672CD" w:rsidRDefault="005672CD" w:rsidP="00035FDC">
      <w:pPr>
        <w:rPr>
          <w:color w:val="000000"/>
          <w:szCs w:val="22"/>
          <w:lang w:val="en-GB"/>
        </w:rPr>
      </w:pPr>
    </w:p>
    <w:p w14:paraId="18145F22" w14:textId="77777777" w:rsidR="005672CD" w:rsidRDefault="005672CD" w:rsidP="00035FDC">
      <w:pPr>
        <w:rPr>
          <w:color w:val="000000"/>
          <w:szCs w:val="22"/>
          <w:lang w:val="en-GB"/>
        </w:rPr>
      </w:pPr>
    </w:p>
    <w:p w14:paraId="60926A06" w14:textId="77777777" w:rsidR="005672CD" w:rsidRDefault="005672CD" w:rsidP="00035FDC">
      <w:pPr>
        <w:rPr>
          <w:color w:val="000000"/>
          <w:szCs w:val="22"/>
          <w:lang w:val="en-GB"/>
        </w:rPr>
      </w:pPr>
    </w:p>
    <w:p w14:paraId="6BFA5DBD" w14:textId="77777777" w:rsidR="005672CD" w:rsidRDefault="005672CD" w:rsidP="00035FDC">
      <w:pPr>
        <w:rPr>
          <w:color w:val="000000"/>
          <w:szCs w:val="22"/>
          <w:lang w:val="en-GB"/>
        </w:rPr>
      </w:pPr>
    </w:p>
    <w:p w14:paraId="7EEB1BA2" w14:textId="77777777" w:rsidR="005672CD" w:rsidRDefault="005672CD" w:rsidP="00035FDC">
      <w:pPr>
        <w:rPr>
          <w:color w:val="000000"/>
          <w:szCs w:val="22"/>
          <w:lang w:val="en-GB"/>
        </w:rPr>
      </w:pPr>
    </w:p>
    <w:p w14:paraId="1C901F59" w14:textId="77777777" w:rsidR="005672CD" w:rsidRDefault="005672CD" w:rsidP="00035FDC">
      <w:pPr>
        <w:rPr>
          <w:color w:val="000000"/>
          <w:szCs w:val="22"/>
          <w:lang w:val="en-GB"/>
        </w:rPr>
      </w:pPr>
    </w:p>
    <w:p w14:paraId="47CE5E2E" w14:textId="77777777" w:rsidR="005672CD" w:rsidRDefault="005672CD" w:rsidP="00035FDC">
      <w:pPr>
        <w:rPr>
          <w:color w:val="000000"/>
          <w:szCs w:val="22"/>
          <w:lang w:val="en-GB"/>
        </w:rPr>
      </w:pPr>
    </w:p>
    <w:p w14:paraId="00942B5D" w14:textId="378A1ED3" w:rsidR="00035FDC" w:rsidRDefault="004006AB" w:rsidP="00035FDC">
      <w:pPr>
        <w:keepNext/>
        <w:widowControl w:val="0"/>
        <w:spacing w:after="0"/>
        <w:jc w:val="center"/>
        <w:rPr>
          <w:color w:val="000000"/>
          <w:szCs w:val="22"/>
          <w:lang w:val="en-GB"/>
        </w:rPr>
      </w:pPr>
      <w:r>
        <w:rPr>
          <w:noProof/>
          <w:color w:val="000000"/>
          <w:szCs w:val="22"/>
          <w:lang w:eastAsia="en-AU"/>
        </w:rPr>
        <w:drawing>
          <wp:inline distT="0" distB="0" distL="0" distR="0" wp14:anchorId="48CD471D" wp14:editId="0372CC2A">
            <wp:extent cx="4319508" cy="6271200"/>
            <wp:effectExtent l="0" t="0" r="5080" b="0"/>
            <wp:docPr id="60" name="Picture 60" descr="Set of bar graphs showing sediment grain size composition at intertidal reef habitat monitoring sites in the Wet Tropics region each monitoring event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WT_sediment_reef_2016.png"/>
                    <pic:cNvPicPr/>
                  </pic:nvPicPr>
                  <pic:blipFill>
                    <a:blip r:embed="rId263">
                      <a:extLst>
                        <a:ext uri="{28A0092B-C50C-407E-A947-70E740481C1C}">
                          <a14:useLocalDpi xmlns:a14="http://schemas.microsoft.com/office/drawing/2010/main" val="0"/>
                        </a:ext>
                      </a:extLst>
                    </a:blip>
                    <a:stretch>
                      <a:fillRect/>
                    </a:stretch>
                  </pic:blipFill>
                  <pic:spPr>
                    <a:xfrm>
                      <a:off x="0" y="0"/>
                      <a:ext cx="4319508" cy="6271200"/>
                    </a:xfrm>
                    <a:prstGeom prst="rect">
                      <a:avLst/>
                    </a:prstGeom>
                  </pic:spPr>
                </pic:pic>
              </a:graphicData>
            </a:graphic>
          </wp:inline>
        </w:drawing>
      </w:r>
    </w:p>
    <w:p w14:paraId="4F50366C" w14:textId="07EF77D0" w:rsidR="00035FDC" w:rsidRPr="00CC19F0" w:rsidRDefault="00035FDC" w:rsidP="00035FDC">
      <w:pPr>
        <w:rPr>
          <w:i/>
          <w:vanish/>
          <w:specVanish/>
        </w:rPr>
      </w:pPr>
      <w:bookmarkStart w:id="1123" w:name="_Ref511131261"/>
      <w:bookmarkStart w:id="1124" w:name="_Toc516053381"/>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171</w:t>
      </w:r>
      <w:r w:rsidR="00C506C7">
        <w:rPr>
          <w:noProof/>
        </w:rPr>
        <w:fldChar w:fldCharType="end"/>
      </w:r>
      <w:bookmarkEnd w:id="1123"/>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2001-201</w:t>
      </w:r>
      <w:r w:rsidR="001457C3">
        <w:rPr>
          <w:i/>
        </w:rPr>
        <w:t>7</w:t>
      </w:r>
      <w:r w:rsidRPr="00CC19F0">
        <w:rPr>
          <w:i/>
        </w:rPr>
        <w:t>.</w:t>
      </w:r>
      <w:bookmarkEnd w:id="1124"/>
    </w:p>
    <w:p w14:paraId="5344AA72"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C4BBB39" w14:textId="77777777" w:rsidR="00035FDC" w:rsidRDefault="00035FDC" w:rsidP="00035FDC">
      <w:pPr>
        <w:rPr>
          <w:color w:val="000000"/>
          <w:szCs w:val="22"/>
          <w:lang w:val="en-GB"/>
        </w:rPr>
      </w:pPr>
    </w:p>
    <w:p w14:paraId="52FFDCE8" w14:textId="77777777" w:rsidR="005672CD" w:rsidRDefault="005672CD" w:rsidP="00035FDC">
      <w:pPr>
        <w:rPr>
          <w:color w:val="000000"/>
          <w:szCs w:val="22"/>
          <w:lang w:val="en-GB"/>
        </w:rPr>
      </w:pPr>
    </w:p>
    <w:p w14:paraId="3CCA9416" w14:textId="77777777" w:rsidR="005672CD" w:rsidRDefault="005672CD" w:rsidP="00035FDC">
      <w:pPr>
        <w:rPr>
          <w:color w:val="000000"/>
          <w:szCs w:val="22"/>
          <w:lang w:val="en-GB"/>
        </w:rPr>
      </w:pPr>
    </w:p>
    <w:p w14:paraId="429FE7BC" w14:textId="77777777" w:rsidR="005672CD" w:rsidRDefault="005672CD" w:rsidP="00035FDC">
      <w:pPr>
        <w:rPr>
          <w:color w:val="000000"/>
          <w:szCs w:val="22"/>
          <w:lang w:val="en-GB"/>
        </w:rPr>
      </w:pPr>
    </w:p>
    <w:p w14:paraId="0B89E5AD" w14:textId="77777777" w:rsidR="005672CD" w:rsidRDefault="005672CD" w:rsidP="00035FDC">
      <w:pPr>
        <w:rPr>
          <w:color w:val="000000"/>
          <w:szCs w:val="22"/>
          <w:lang w:val="en-GB"/>
        </w:rPr>
      </w:pPr>
    </w:p>
    <w:p w14:paraId="443CD12C" w14:textId="77777777" w:rsidR="005672CD" w:rsidRDefault="005672CD" w:rsidP="00035FDC">
      <w:pPr>
        <w:rPr>
          <w:color w:val="000000"/>
          <w:szCs w:val="22"/>
          <w:lang w:val="en-GB"/>
        </w:rPr>
      </w:pPr>
    </w:p>
    <w:p w14:paraId="6C316F15" w14:textId="77777777" w:rsidR="005672CD" w:rsidRDefault="005672CD" w:rsidP="00035FDC">
      <w:pPr>
        <w:rPr>
          <w:color w:val="000000"/>
          <w:szCs w:val="22"/>
          <w:lang w:val="en-GB"/>
        </w:rPr>
      </w:pPr>
    </w:p>
    <w:p w14:paraId="3F7F5A43" w14:textId="77777777" w:rsidR="005672CD" w:rsidRDefault="005672CD" w:rsidP="00035FDC">
      <w:pPr>
        <w:rPr>
          <w:color w:val="000000"/>
          <w:szCs w:val="22"/>
          <w:lang w:val="en-GB"/>
        </w:rPr>
      </w:pPr>
    </w:p>
    <w:p w14:paraId="505A2B16" w14:textId="0722FE98"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648DB0E2" wp14:editId="0C8B23B1">
            <wp:extent cx="3960000" cy="3628656"/>
            <wp:effectExtent l="0" t="0" r="2540" b="0"/>
            <wp:docPr id="61" name="Picture 61" descr="Set of bar graphs showing sediment grain size composition at subtidal reef habitat monitoring sites in the Wet Tropics region each monitoring event from 2008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WT_sediment_subtidal_2016.png"/>
                    <pic:cNvPicPr/>
                  </pic:nvPicPr>
                  <pic:blipFill>
                    <a:blip r:embed="rId264">
                      <a:extLst>
                        <a:ext uri="{28A0092B-C50C-407E-A947-70E740481C1C}">
                          <a14:useLocalDpi xmlns:a14="http://schemas.microsoft.com/office/drawing/2010/main" val="0"/>
                        </a:ext>
                      </a:extLst>
                    </a:blip>
                    <a:stretch>
                      <a:fillRect/>
                    </a:stretch>
                  </pic:blipFill>
                  <pic:spPr>
                    <a:xfrm>
                      <a:off x="0" y="0"/>
                      <a:ext cx="3960000" cy="3628656"/>
                    </a:xfrm>
                    <a:prstGeom prst="rect">
                      <a:avLst/>
                    </a:prstGeom>
                  </pic:spPr>
                </pic:pic>
              </a:graphicData>
            </a:graphic>
          </wp:inline>
        </w:drawing>
      </w:r>
    </w:p>
    <w:p w14:paraId="2E33B95E" w14:textId="062AA76E" w:rsidR="00035FDC" w:rsidRPr="00CC19F0" w:rsidRDefault="00035FDC" w:rsidP="00035FDC">
      <w:pPr>
        <w:rPr>
          <w:i/>
          <w:vanish/>
          <w:specVanish/>
        </w:rPr>
      </w:pPr>
      <w:bookmarkStart w:id="1125" w:name="_Ref511131267"/>
      <w:bookmarkStart w:id="1126" w:name="_Toc516053382"/>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172</w:t>
      </w:r>
      <w:r w:rsidR="00C506C7">
        <w:rPr>
          <w:noProof/>
        </w:rPr>
        <w:fldChar w:fldCharType="end"/>
      </w:r>
      <w:bookmarkEnd w:id="1125"/>
      <w:r>
        <w:t xml:space="preserve">.  </w:t>
      </w:r>
      <w:r w:rsidRPr="00CC19F0">
        <w:rPr>
          <w:i/>
        </w:rPr>
        <w:t xml:space="preserve">Sediment grain size composition at </w:t>
      </w:r>
      <w:r>
        <w:rPr>
          <w:i/>
        </w:rPr>
        <w:t>subtidal reef</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2008-201</w:t>
      </w:r>
      <w:r w:rsidR="001457C3">
        <w:rPr>
          <w:i/>
        </w:rPr>
        <w:t>7</w:t>
      </w:r>
      <w:r w:rsidRPr="00CC19F0">
        <w:rPr>
          <w:i/>
        </w:rPr>
        <w:t>.</w:t>
      </w:r>
      <w:bookmarkEnd w:id="1126"/>
    </w:p>
    <w:p w14:paraId="115B24D7"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70A10FD7" w14:textId="77777777" w:rsidR="00035FDC" w:rsidRDefault="00035FDC" w:rsidP="00035FDC">
      <w:pPr>
        <w:rPr>
          <w:color w:val="000000"/>
          <w:szCs w:val="22"/>
          <w:lang w:val="en-GB"/>
        </w:rPr>
      </w:pPr>
    </w:p>
    <w:p w14:paraId="13B689E5" w14:textId="77777777" w:rsidR="005672CD" w:rsidRDefault="005672CD" w:rsidP="00035FDC">
      <w:pPr>
        <w:rPr>
          <w:color w:val="000000"/>
          <w:szCs w:val="22"/>
          <w:lang w:val="en-GB"/>
        </w:rPr>
      </w:pPr>
    </w:p>
    <w:p w14:paraId="5CD4C997" w14:textId="77777777" w:rsidR="005672CD" w:rsidRDefault="005672CD" w:rsidP="00035FDC">
      <w:pPr>
        <w:rPr>
          <w:color w:val="000000"/>
          <w:szCs w:val="22"/>
          <w:lang w:val="en-GB"/>
        </w:rPr>
      </w:pPr>
    </w:p>
    <w:p w14:paraId="6A4696EC" w14:textId="77777777" w:rsidR="005672CD" w:rsidRDefault="005672CD" w:rsidP="00035FDC">
      <w:pPr>
        <w:rPr>
          <w:color w:val="000000"/>
          <w:szCs w:val="22"/>
          <w:lang w:val="en-GB"/>
        </w:rPr>
      </w:pPr>
    </w:p>
    <w:p w14:paraId="3118B93F" w14:textId="77777777" w:rsidR="005672CD" w:rsidRDefault="005672CD" w:rsidP="00035FDC">
      <w:pPr>
        <w:rPr>
          <w:color w:val="000000"/>
          <w:szCs w:val="22"/>
          <w:lang w:val="en-GB"/>
        </w:rPr>
      </w:pPr>
    </w:p>
    <w:p w14:paraId="1C8773BD" w14:textId="77777777" w:rsidR="005672CD" w:rsidRDefault="005672CD" w:rsidP="00035FDC">
      <w:pPr>
        <w:rPr>
          <w:color w:val="000000"/>
          <w:szCs w:val="22"/>
          <w:lang w:val="en-GB"/>
        </w:rPr>
      </w:pPr>
    </w:p>
    <w:p w14:paraId="136FE8F0" w14:textId="77777777" w:rsidR="005672CD" w:rsidRDefault="005672CD" w:rsidP="00035FDC">
      <w:pPr>
        <w:rPr>
          <w:color w:val="000000"/>
          <w:szCs w:val="22"/>
          <w:lang w:val="en-GB"/>
        </w:rPr>
      </w:pPr>
    </w:p>
    <w:p w14:paraId="4747F968" w14:textId="77777777" w:rsidR="005672CD" w:rsidRDefault="005672CD" w:rsidP="00035FDC">
      <w:pPr>
        <w:rPr>
          <w:color w:val="000000"/>
          <w:szCs w:val="22"/>
          <w:lang w:val="en-GB"/>
        </w:rPr>
      </w:pPr>
    </w:p>
    <w:p w14:paraId="2F37E9CB" w14:textId="77777777" w:rsidR="005672CD" w:rsidRDefault="005672CD" w:rsidP="00035FDC">
      <w:pPr>
        <w:rPr>
          <w:color w:val="000000"/>
          <w:szCs w:val="22"/>
          <w:lang w:val="en-GB"/>
        </w:rPr>
      </w:pPr>
    </w:p>
    <w:p w14:paraId="0F10D083" w14:textId="77777777" w:rsidR="005672CD" w:rsidRDefault="005672CD" w:rsidP="00035FDC">
      <w:pPr>
        <w:rPr>
          <w:color w:val="000000"/>
          <w:szCs w:val="22"/>
          <w:lang w:val="en-GB"/>
        </w:rPr>
      </w:pPr>
    </w:p>
    <w:p w14:paraId="131BFB2C" w14:textId="77777777" w:rsidR="005672CD" w:rsidRDefault="005672CD" w:rsidP="00035FDC">
      <w:pPr>
        <w:rPr>
          <w:color w:val="000000"/>
          <w:szCs w:val="22"/>
          <w:lang w:val="en-GB"/>
        </w:rPr>
      </w:pPr>
    </w:p>
    <w:p w14:paraId="337F88B3" w14:textId="77777777" w:rsidR="005672CD" w:rsidRDefault="005672CD" w:rsidP="00035FDC">
      <w:pPr>
        <w:rPr>
          <w:color w:val="000000"/>
          <w:szCs w:val="22"/>
          <w:lang w:val="en-GB"/>
        </w:rPr>
      </w:pPr>
    </w:p>
    <w:p w14:paraId="3EABF9F8" w14:textId="77777777" w:rsidR="005672CD" w:rsidRDefault="005672CD" w:rsidP="00035FDC">
      <w:pPr>
        <w:rPr>
          <w:color w:val="000000"/>
          <w:szCs w:val="22"/>
          <w:lang w:val="en-GB"/>
        </w:rPr>
      </w:pPr>
    </w:p>
    <w:p w14:paraId="66A168BF" w14:textId="77777777" w:rsidR="005672CD" w:rsidRDefault="005672CD" w:rsidP="00035FDC">
      <w:pPr>
        <w:rPr>
          <w:color w:val="000000"/>
          <w:szCs w:val="22"/>
          <w:lang w:val="en-GB"/>
        </w:rPr>
      </w:pPr>
    </w:p>
    <w:p w14:paraId="593C566E" w14:textId="77777777" w:rsidR="005672CD" w:rsidRDefault="005672CD" w:rsidP="00035FDC">
      <w:pPr>
        <w:rPr>
          <w:color w:val="000000"/>
          <w:szCs w:val="22"/>
          <w:lang w:val="en-GB"/>
        </w:rPr>
      </w:pPr>
    </w:p>
    <w:p w14:paraId="7ACC9B24" w14:textId="77777777" w:rsidR="005672CD" w:rsidRDefault="005672CD" w:rsidP="00035FDC">
      <w:pPr>
        <w:rPr>
          <w:color w:val="000000"/>
          <w:szCs w:val="22"/>
          <w:lang w:val="en-GB"/>
        </w:rPr>
      </w:pPr>
    </w:p>
    <w:p w14:paraId="1668A479" w14:textId="77777777" w:rsidR="005672CD" w:rsidRDefault="005672CD" w:rsidP="00035FDC">
      <w:pPr>
        <w:rPr>
          <w:color w:val="000000"/>
          <w:szCs w:val="22"/>
          <w:lang w:val="en-GB"/>
        </w:rPr>
      </w:pPr>
    </w:p>
    <w:p w14:paraId="477A7B1E" w14:textId="77777777" w:rsidR="005672CD" w:rsidRDefault="005672CD" w:rsidP="00035FDC">
      <w:pPr>
        <w:rPr>
          <w:color w:val="000000"/>
          <w:szCs w:val="22"/>
          <w:lang w:val="en-GB"/>
        </w:rPr>
      </w:pPr>
    </w:p>
    <w:p w14:paraId="6DE98CBC" w14:textId="0E5EFD23"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6D21E30F" wp14:editId="78777744">
            <wp:extent cx="3960000" cy="4640735"/>
            <wp:effectExtent l="0" t="0" r="2540" b="7620"/>
            <wp:docPr id="62" name="Picture 62" descr="Set of bar graphs showing sediment grain size composition at coastal habitat monitoring sites in the Burdekin region each monitoring event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B_sediment_coast_2016.png"/>
                    <pic:cNvPicPr/>
                  </pic:nvPicPr>
                  <pic:blipFill>
                    <a:blip r:embed="rId265">
                      <a:extLst>
                        <a:ext uri="{28A0092B-C50C-407E-A947-70E740481C1C}">
                          <a14:useLocalDpi xmlns:a14="http://schemas.microsoft.com/office/drawing/2010/main" val="0"/>
                        </a:ext>
                      </a:extLst>
                    </a:blip>
                    <a:stretch>
                      <a:fillRect/>
                    </a:stretch>
                  </pic:blipFill>
                  <pic:spPr>
                    <a:xfrm>
                      <a:off x="0" y="0"/>
                      <a:ext cx="3960000" cy="4640735"/>
                    </a:xfrm>
                    <a:prstGeom prst="rect">
                      <a:avLst/>
                    </a:prstGeom>
                  </pic:spPr>
                </pic:pic>
              </a:graphicData>
            </a:graphic>
          </wp:inline>
        </w:drawing>
      </w:r>
    </w:p>
    <w:p w14:paraId="33C8FC36" w14:textId="2C96C787" w:rsidR="00035FDC" w:rsidRPr="00CC19F0" w:rsidRDefault="00035FDC" w:rsidP="00035FDC">
      <w:pPr>
        <w:rPr>
          <w:i/>
          <w:vanish/>
          <w:specVanish/>
        </w:rPr>
      </w:pPr>
      <w:bookmarkStart w:id="1127" w:name="_Ref511131469"/>
      <w:bookmarkStart w:id="1128" w:name="_Toc51605338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173</w:t>
      </w:r>
      <w:r w:rsidR="00C506C7">
        <w:rPr>
          <w:noProof/>
        </w:rPr>
        <w:fldChar w:fldCharType="end"/>
      </w:r>
      <w:bookmarkEnd w:id="1127"/>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2001-201</w:t>
      </w:r>
      <w:r w:rsidR="001457C3">
        <w:rPr>
          <w:i/>
        </w:rPr>
        <w:t>7</w:t>
      </w:r>
      <w:r w:rsidRPr="00CC19F0">
        <w:rPr>
          <w:i/>
        </w:rPr>
        <w:t>.</w:t>
      </w:r>
      <w:bookmarkEnd w:id="1128"/>
    </w:p>
    <w:p w14:paraId="40807D75"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1C59C32E" w14:textId="26F73FE7"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765B54E9" wp14:editId="2CC05AC4">
            <wp:extent cx="3960000" cy="2507462"/>
            <wp:effectExtent l="0" t="0" r="2540" b="7620"/>
            <wp:docPr id="527" name="Picture 527" descr="Set of bar graphs showing sediment grain size composition at intertidal reef habitat monitoring sites in the Burdekin region each monitoring event from 2004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B_sediment_reef_2016.png"/>
                    <pic:cNvPicPr/>
                  </pic:nvPicPr>
                  <pic:blipFill>
                    <a:blip r:embed="rId266">
                      <a:extLst>
                        <a:ext uri="{28A0092B-C50C-407E-A947-70E740481C1C}">
                          <a14:useLocalDpi xmlns:a14="http://schemas.microsoft.com/office/drawing/2010/main" val="0"/>
                        </a:ext>
                      </a:extLst>
                    </a:blip>
                    <a:stretch>
                      <a:fillRect/>
                    </a:stretch>
                  </pic:blipFill>
                  <pic:spPr>
                    <a:xfrm>
                      <a:off x="0" y="0"/>
                      <a:ext cx="3960000" cy="2507462"/>
                    </a:xfrm>
                    <a:prstGeom prst="rect">
                      <a:avLst/>
                    </a:prstGeom>
                  </pic:spPr>
                </pic:pic>
              </a:graphicData>
            </a:graphic>
          </wp:inline>
        </w:drawing>
      </w:r>
    </w:p>
    <w:p w14:paraId="3AA16EBD" w14:textId="3933C45F" w:rsidR="00035FDC" w:rsidRPr="00CC19F0" w:rsidRDefault="00035FDC" w:rsidP="00035FDC">
      <w:pPr>
        <w:rPr>
          <w:i/>
          <w:vanish/>
          <w:specVanish/>
        </w:rPr>
      </w:pPr>
      <w:bookmarkStart w:id="1129" w:name="_Ref511131488"/>
      <w:bookmarkStart w:id="1130" w:name="_Toc51605338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174</w:t>
      </w:r>
      <w:r w:rsidR="00C506C7">
        <w:rPr>
          <w:noProof/>
        </w:rPr>
        <w:fldChar w:fldCharType="end"/>
      </w:r>
      <w:bookmarkEnd w:id="1129"/>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2004-201</w:t>
      </w:r>
      <w:r w:rsidR="001457C3">
        <w:rPr>
          <w:i/>
        </w:rPr>
        <w:t>7</w:t>
      </w:r>
      <w:r w:rsidRPr="00CC19F0">
        <w:rPr>
          <w:i/>
        </w:rPr>
        <w:t>.</w:t>
      </w:r>
      <w:bookmarkEnd w:id="1130"/>
    </w:p>
    <w:p w14:paraId="5E2216E2"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CD4CE37" w14:textId="77777777" w:rsidR="00035FDC" w:rsidRDefault="00035FDC" w:rsidP="00035FDC">
      <w:pPr>
        <w:rPr>
          <w:color w:val="000000"/>
          <w:szCs w:val="22"/>
          <w:lang w:val="en-GB"/>
        </w:rPr>
      </w:pPr>
    </w:p>
    <w:p w14:paraId="6AF80652" w14:textId="77777777" w:rsidR="00035FDC" w:rsidRDefault="00035FDC" w:rsidP="00035FDC">
      <w:pPr>
        <w:rPr>
          <w:color w:val="000000"/>
          <w:szCs w:val="22"/>
          <w:lang w:val="en-GB"/>
        </w:rPr>
      </w:pPr>
    </w:p>
    <w:p w14:paraId="481758AC" w14:textId="77777777" w:rsidR="00035FDC" w:rsidRDefault="00035FDC" w:rsidP="00035FDC">
      <w:pPr>
        <w:rPr>
          <w:color w:val="000000"/>
          <w:szCs w:val="22"/>
          <w:lang w:val="en-GB"/>
        </w:rPr>
      </w:pPr>
    </w:p>
    <w:p w14:paraId="42B19314" w14:textId="4820F0B8"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32BF92B8" wp14:editId="49D20E39">
            <wp:extent cx="3960000" cy="1406005"/>
            <wp:effectExtent l="0" t="0" r="2540" b="3810"/>
            <wp:docPr id="533" name="Picture 533" descr="Set of bar graphs showing sediment grain size composition at subtidal reef habitat monitoring sites in the Burdekin region each monitoring event from 2010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B_sediment_subtidal_2016.png"/>
                    <pic:cNvPicPr/>
                  </pic:nvPicPr>
                  <pic:blipFill>
                    <a:blip r:embed="rId267">
                      <a:extLst>
                        <a:ext uri="{28A0092B-C50C-407E-A947-70E740481C1C}">
                          <a14:useLocalDpi xmlns:a14="http://schemas.microsoft.com/office/drawing/2010/main" val="0"/>
                        </a:ext>
                      </a:extLst>
                    </a:blip>
                    <a:stretch>
                      <a:fillRect/>
                    </a:stretch>
                  </pic:blipFill>
                  <pic:spPr>
                    <a:xfrm>
                      <a:off x="0" y="0"/>
                      <a:ext cx="3960000" cy="1406005"/>
                    </a:xfrm>
                    <a:prstGeom prst="rect">
                      <a:avLst/>
                    </a:prstGeom>
                  </pic:spPr>
                </pic:pic>
              </a:graphicData>
            </a:graphic>
          </wp:inline>
        </w:drawing>
      </w:r>
    </w:p>
    <w:p w14:paraId="316442E1" w14:textId="22243818" w:rsidR="00035FDC" w:rsidRPr="00CC19F0" w:rsidRDefault="00035FDC" w:rsidP="00035FDC">
      <w:pPr>
        <w:rPr>
          <w:i/>
          <w:vanish/>
          <w:specVanish/>
        </w:rPr>
      </w:pPr>
      <w:bookmarkStart w:id="1131" w:name="_Ref511131496"/>
      <w:bookmarkStart w:id="1132" w:name="_Toc51605338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175</w:t>
      </w:r>
      <w:r w:rsidR="00C506C7">
        <w:rPr>
          <w:noProof/>
        </w:rPr>
        <w:fldChar w:fldCharType="end"/>
      </w:r>
      <w:bookmarkEnd w:id="1131"/>
      <w:r>
        <w:t xml:space="preserve">.  </w:t>
      </w:r>
      <w:r w:rsidRPr="00CC19F0">
        <w:rPr>
          <w:i/>
        </w:rPr>
        <w:t xml:space="preserve">Sediment grain size composition at </w:t>
      </w:r>
      <w:r>
        <w:rPr>
          <w:i/>
        </w:rPr>
        <w:t>subtidal reef</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2010-201</w:t>
      </w:r>
      <w:r w:rsidR="001457C3">
        <w:rPr>
          <w:i/>
        </w:rPr>
        <w:t>7</w:t>
      </w:r>
      <w:r w:rsidRPr="00CC19F0">
        <w:rPr>
          <w:i/>
        </w:rPr>
        <w:t>.</w:t>
      </w:r>
      <w:bookmarkEnd w:id="1132"/>
    </w:p>
    <w:p w14:paraId="6E6678B1"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6C311F06" w14:textId="77777777" w:rsidR="00035FDC" w:rsidRDefault="00035FDC" w:rsidP="00035FDC">
      <w:pPr>
        <w:rPr>
          <w:color w:val="000000"/>
          <w:szCs w:val="22"/>
          <w:lang w:val="en-GB"/>
        </w:rPr>
      </w:pPr>
    </w:p>
    <w:p w14:paraId="33802BC8" w14:textId="00940673"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49C82D5D" wp14:editId="182D6846">
            <wp:extent cx="3959159" cy="2509200"/>
            <wp:effectExtent l="0" t="0" r="3810" b="5715"/>
            <wp:docPr id="535" name="Picture 535" descr="Set of bar graphs showing sediment grain size composition at estuary habitat monitoring sites in the Mackay Whitsunday region each monitoring event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MW_sediment_estuary_2016.png"/>
                    <pic:cNvPicPr/>
                  </pic:nvPicPr>
                  <pic:blipFill>
                    <a:blip r:embed="rId268">
                      <a:extLst>
                        <a:ext uri="{28A0092B-C50C-407E-A947-70E740481C1C}">
                          <a14:useLocalDpi xmlns:a14="http://schemas.microsoft.com/office/drawing/2010/main" val="0"/>
                        </a:ext>
                      </a:extLst>
                    </a:blip>
                    <a:stretch>
                      <a:fillRect/>
                    </a:stretch>
                  </pic:blipFill>
                  <pic:spPr>
                    <a:xfrm>
                      <a:off x="0" y="0"/>
                      <a:ext cx="3959159" cy="2509200"/>
                    </a:xfrm>
                    <a:prstGeom prst="rect">
                      <a:avLst/>
                    </a:prstGeom>
                  </pic:spPr>
                </pic:pic>
              </a:graphicData>
            </a:graphic>
          </wp:inline>
        </w:drawing>
      </w:r>
    </w:p>
    <w:p w14:paraId="571C6235" w14:textId="05D2BB64" w:rsidR="00035FDC" w:rsidRPr="00CC19F0" w:rsidRDefault="00035FDC" w:rsidP="00035FDC">
      <w:pPr>
        <w:rPr>
          <w:i/>
          <w:vanish/>
          <w:specVanish/>
        </w:rPr>
      </w:pPr>
      <w:bookmarkStart w:id="1133" w:name="_Ref511131656"/>
      <w:bookmarkStart w:id="1134" w:name="_Toc516053386"/>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176</w:t>
      </w:r>
      <w:r w:rsidR="00C506C7">
        <w:rPr>
          <w:noProof/>
        </w:rPr>
        <w:fldChar w:fldCharType="end"/>
      </w:r>
      <w:bookmarkEnd w:id="1133"/>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2005-201</w:t>
      </w:r>
      <w:r w:rsidR="001457C3">
        <w:rPr>
          <w:i/>
        </w:rPr>
        <w:t>7</w:t>
      </w:r>
      <w:r w:rsidRPr="00CC19F0">
        <w:rPr>
          <w:i/>
        </w:rPr>
        <w:t>.</w:t>
      </w:r>
      <w:bookmarkEnd w:id="1134"/>
    </w:p>
    <w:p w14:paraId="76F08130"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3990AE6" w14:textId="77777777" w:rsidR="00035FDC" w:rsidRDefault="00035FDC" w:rsidP="00035FDC">
      <w:pPr>
        <w:rPr>
          <w:color w:val="000000"/>
          <w:szCs w:val="22"/>
          <w:lang w:val="en-GB"/>
        </w:rPr>
      </w:pPr>
    </w:p>
    <w:p w14:paraId="2143C1CB" w14:textId="77777777" w:rsidR="00035FDC" w:rsidRDefault="00035FDC" w:rsidP="00035FDC">
      <w:pPr>
        <w:rPr>
          <w:color w:val="000000"/>
          <w:szCs w:val="22"/>
          <w:lang w:val="en-GB"/>
        </w:rPr>
      </w:pPr>
    </w:p>
    <w:p w14:paraId="40DBAB64" w14:textId="77777777" w:rsidR="00D676C3" w:rsidRDefault="00D676C3" w:rsidP="00035FDC">
      <w:pPr>
        <w:rPr>
          <w:color w:val="000000"/>
          <w:szCs w:val="22"/>
          <w:lang w:val="en-GB"/>
        </w:rPr>
      </w:pPr>
    </w:p>
    <w:p w14:paraId="464AF8B0" w14:textId="77777777" w:rsidR="00D676C3" w:rsidRDefault="00D676C3" w:rsidP="00035FDC">
      <w:pPr>
        <w:rPr>
          <w:color w:val="000000"/>
          <w:szCs w:val="22"/>
          <w:lang w:val="en-GB"/>
        </w:rPr>
      </w:pPr>
    </w:p>
    <w:p w14:paraId="45335E37" w14:textId="77777777" w:rsidR="00D676C3" w:rsidRDefault="00D676C3" w:rsidP="00035FDC">
      <w:pPr>
        <w:rPr>
          <w:color w:val="000000"/>
          <w:szCs w:val="22"/>
          <w:lang w:val="en-GB"/>
        </w:rPr>
      </w:pPr>
    </w:p>
    <w:p w14:paraId="5EB23B7F" w14:textId="77777777" w:rsidR="00D676C3" w:rsidRDefault="00D676C3" w:rsidP="00035FDC">
      <w:pPr>
        <w:rPr>
          <w:color w:val="000000"/>
          <w:szCs w:val="22"/>
          <w:lang w:val="en-GB"/>
        </w:rPr>
      </w:pPr>
    </w:p>
    <w:p w14:paraId="76A156F8" w14:textId="77777777" w:rsidR="00D676C3" w:rsidRDefault="00D676C3" w:rsidP="00035FDC">
      <w:pPr>
        <w:rPr>
          <w:color w:val="000000"/>
          <w:szCs w:val="22"/>
          <w:lang w:val="en-GB"/>
        </w:rPr>
      </w:pPr>
    </w:p>
    <w:p w14:paraId="26924E26" w14:textId="77777777" w:rsidR="00D676C3" w:rsidRDefault="00D676C3" w:rsidP="00035FDC">
      <w:pPr>
        <w:rPr>
          <w:color w:val="000000"/>
          <w:szCs w:val="22"/>
          <w:lang w:val="en-GB"/>
        </w:rPr>
      </w:pPr>
    </w:p>
    <w:p w14:paraId="55CCCA6A" w14:textId="77777777" w:rsidR="00D676C3" w:rsidRDefault="00D676C3" w:rsidP="00035FDC">
      <w:pPr>
        <w:rPr>
          <w:color w:val="000000"/>
          <w:szCs w:val="22"/>
          <w:lang w:val="en-GB"/>
        </w:rPr>
      </w:pPr>
    </w:p>
    <w:p w14:paraId="2C7E30B5" w14:textId="77777777" w:rsidR="00D676C3" w:rsidRDefault="00D676C3" w:rsidP="00035FDC">
      <w:pPr>
        <w:rPr>
          <w:color w:val="000000"/>
          <w:szCs w:val="22"/>
          <w:lang w:val="en-GB"/>
        </w:rPr>
      </w:pPr>
    </w:p>
    <w:p w14:paraId="001F4E53" w14:textId="77777777" w:rsidR="00D676C3" w:rsidRDefault="00D676C3" w:rsidP="00035FDC">
      <w:pPr>
        <w:rPr>
          <w:color w:val="000000"/>
          <w:szCs w:val="22"/>
          <w:lang w:val="en-GB"/>
        </w:rPr>
      </w:pPr>
    </w:p>
    <w:p w14:paraId="4C0C6CF7" w14:textId="77777777" w:rsidR="00D676C3" w:rsidRDefault="00D676C3" w:rsidP="00035FDC">
      <w:pPr>
        <w:rPr>
          <w:color w:val="000000"/>
          <w:szCs w:val="22"/>
          <w:lang w:val="en-GB"/>
        </w:rPr>
      </w:pPr>
    </w:p>
    <w:p w14:paraId="590F1026" w14:textId="77777777" w:rsidR="00D676C3" w:rsidRDefault="00D676C3" w:rsidP="00035FDC">
      <w:pPr>
        <w:rPr>
          <w:color w:val="000000"/>
          <w:szCs w:val="22"/>
          <w:lang w:val="en-GB"/>
        </w:rPr>
      </w:pPr>
    </w:p>
    <w:p w14:paraId="3F6E50FA" w14:textId="56160C2E"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26DE13A9" wp14:editId="42B39703">
            <wp:extent cx="3959985" cy="4676400"/>
            <wp:effectExtent l="0" t="0" r="2540" b="0"/>
            <wp:docPr id="539" name="Picture 539" descr="Set of bar graphs showing sediment grain size composition at coastal habitat monitoring sites in the Mackay Whitsunday region each monitoring event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MW_sediment_coast_2016.png"/>
                    <pic:cNvPicPr/>
                  </pic:nvPicPr>
                  <pic:blipFill>
                    <a:blip r:embed="rId269">
                      <a:extLst>
                        <a:ext uri="{28A0092B-C50C-407E-A947-70E740481C1C}">
                          <a14:useLocalDpi xmlns:a14="http://schemas.microsoft.com/office/drawing/2010/main" val="0"/>
                        </a:ext>
                      </a:extLst>
                    </a:blip>
                    <a:stretch>
                      <a:fillRect/>
                    </a:stretch>
                  </pic:blipFill>
                  <pic:spPr>
                    <a:xfrm>
                      <a:off x="0" y="0"/>
                      <a:ext cx="3959985" cy="4676400"/>
                    </a:xfrm>
                    <a:prstGeom prst="rect">
                      <a:avLst/>
                    </a:prstGeom>
                  </pic:spPr>
                </pic:pic>
              </a:graphicData>
            </a:graphic>
          </wp:inline>
        </w:drawing>
      </w:r>
    </w:p>
    <w:p w14:paraId="0625648F" w14:textId="25C0C3D4" w:rsidR="00035FDC" w:rsidRPr="00CC19F0" w:rsidRDefault="00035FDC" w:rsidP="00035FDC">
      <w:pPr>
        <w:rPr>
          <w:i/>
          <w:vanish/>
          <w:specVanish/>
        </w:rPr>
      </w:pPr>
      <w:bookmarkStart w:id="1135" w:name="_Ref511131673"/>
      <w:bookmarkStart w:id="1136" w:name="_Toc51605338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177</w:t>
      </w:r>
      <w:r w:rsidR="00C506C7">
        <w:rPr>
          <w:noProof/>
        </w:rPr>
        <w:fldChar w:fldCharType="end"/>
      </w:r>
      <w:bookmarkEnd w:id="1135"/>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1999-201</w:t>
      </w:r>
      <w:r w:rsidR="001457C3">
        <w:rPr>
          <w:i/>
        </w:rPr>
        <w:t>7</w:t>
      </w:r>
      <w:r w:rsidRPr="00CC19F0">
        <w:rPr>
          <w:i/>
        </w:rPr>
        <w:t>.</w:t>
      </w:r>
      <w:bookmarkEnd w:id="1136"/>
    </w:p>
    <w:p w14:paraId="638F7E57"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12EEB8E2" w14:textId="7762D7B1"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25F9A1E1" wp14:editId="42435F21">
            <wp:extent cx="3960000" cy="2507462"/>
            <wp:effectExtent l="0" t="0" r="2540" b="7620"/>
            <wp:docPr id="540" name="Picture 540" descr="Set of bar graphs showing sediment grain size composition at intertidal reef habitat monitoring sites in the Mackay Whitsunday region each monitoring event from 2007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 name="HM_sediment_reef_2016.png"/>
                    <pic:cNvPicPr/>
                  </pic:nvPicPr>
                  <pic:blipFill>
                    <a:blip r:embed="rId270">
                      <a:extLst>
                        <a:ext uri="{28A0092B-C50C-407E-A947-70E740481C1C}">
                          <a14:useLocalDpi xmlns:a14="http://schemas.microsoft.com/office/drawing/2010/main" val="0"/>
                        </a:ext>
                      </a:extLst>
                    </a:blip>
                    <a:stretch>
                      <a:fillRect/>
                    </a:stretch>
                  </pic:blipFill>
                  <pic:spPr>
                    <a:xfrm>
                      <a:off x="0" y="0"/>
                      <a:ext cx="3960000" cy="2507462"/>
                    </a:xfrm>
                    <a:prstGeom prst="rect">
                      <a:avLst/>
                    </a:prstGeom>
                  </pic:spPr>
                </pic:pic>
              </a:graphicData>
            </a:graphic>
          </wp:inline>
        </w:drawing>
      </w:r>
    </w:p>
    <w:p w14:paraId="6B377171" w14:textId="4F25DCE4" w:rsidR="00035FDC" w:rsidRPr="00CC19F0" w:rsidRDefault="00035FDC" w:rsidP="00035FDC">
      <w:pPr>
        <w:rPr>
          <w:i/>
          <w:vanish/>
          <w:specVanish/>
        </w:rPr>
      </w:pPr>
      <w:bookmarkStart w:id="1137" w:name="_Ref511131682"/>
      <w:bookmarkStart w:id="1138" w:name="_Toc51605338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178</w:t>
      </w:r>
      <w:r w:rsidR="00C506C7">
        <w:rPr>
          <w:noProof/>
        </w:rPr>
        <w:fldChar w:fldCharType="end"/>
      </w:r>
      <w:bookmarkEnd w:id="1137"/>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2007-201</w:t>
      </w:r>
      <w:r w:rsidR="001457C3">
        <w:rPr>
          <w:i/>
        </w:rPr>
        <w:t>7</w:t>
      </w:r>
      <w:r w:rsidRPr="00CC19F0">
        <w:rPr>
          <w:i/>
        </w:rPr>
        <w:t>.</w:t>
      </w:r>
      <w:bookmarkEnd w:id="1138"/>
    </w:p>
    <w:p w14:paraId="4907F6DC"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19624AC" w14:textId="77777777" w:rsidR="00035FDC" w:rsidRDefault="00035FDC" w:rsidP="00035FDC">
      <w:pPr>
        <w:rPr>
          <w:color w:val="000000"/>
          <w:szCs w:val="22"/>
        </w:rPr>
      </w:pPr>
    </w:p>
    <w:p w14:paraId="0809B0A8" w14:textId="77777777" w:rsidR="00035FDC" w:rsidRDefault="00035FDC" w:rsidP="00035FDC">
      <w:pPr>
        <w:rPr>
          <w:color w:val="000000"/>
          <w:szCs w:val="22"/>
          <w:lang w:val="en-GB"/>
        </w:rPr>
      </w:pPr>
    </w:p>
    <w:p w14:paraId="76CACC28" w14:textId="1F7741AA"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3D1EEA01" wp14:editId="154A9BF8">
            <wp:extent cx="3959159" cy="2509200"/>
            <wp:effectExtent l="0" t="0" r="3810" b="5715"/>
            <wp:docPr id="541" name="Picture 541" descr="Set of bar graphs showing sediment grain size composition at estaury habitat monitoring sites in the Fitzroy region each monitoring event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F_sediment_estuary_2016.png"/>
                    <pic:cNvPicPr/>
                  </pic:nvPicPr>
                  <pic:blipFill>
                    <a:blip r:embed="rId271">
                      <a:extLst>
                        <a:ext uri="{28A0092B-C50C-407E-A947-70E740481C1C}">
                          <a14:useLocalDpi xmlns:a14="http://schemas.microsoft.com/office/drawing/2010/main" val="0"/>
                        </a:ext>
                      </a:extLst>
                    </a:blip>
                    <a:stretch>
                      <a:fillRect/>
                    </a:stretch>
                  </pic:blipFill>
                  <pic:spPr>
                    <a:xfrm>
                      <a:off x="0" y="0"/>
                      <a:ext cx="3959159" cy="2509200"/>
                    </a:xfrm>
                    <a:prstGeom prst="rect">
                      <a:avLst/>
                    </a:prstGeom>
                  </pic:spPr>
                </pic:pic>
              </a:graphicData>
            </a:graphic>
          </wp:inline>
        </w:drawing>
      </w:r>
    </w:p>
    <w:p w14:paraId="5D072466" w14:textId="696528CA" w:rsidR="00035FDC" w:rsidRPr="00CC19F0" w:rsidRDefault="00035FDC" w:rsidP="00035FDC">
      <w:pPr>
        <w:rPr>
          <w:i/>
          <w:vanish/>
          <w:specVanish/>
        </w:rPr>
      </w:pPr>
      <w:bookmarkStart w:id="1139" w:name="_Ref511131821"/>
      <w:bookmarkStart w:id="1140" w:name="_Toc51605338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179</w:t>
      </w:r>
      <w:r w:rsidR="00C506C7">
        <w:rPr>
          <w:noProof/>
        </w:rPr>
        <w:fldChar w:fldCharType="end"/>
      </w:r>
      <w:bookmarkEnd w:id="1139"/>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2005-201</w:t>
      </w:r>
      <w:r w:rsidR="001457C3">
        <w:rPr>
          <w:i/>
        </w:rPr>
        <w:t>7</w:t>
      </w:r>
      <w:r w:rsidRPr="00CC19F0">
        <w:rPr>
          <w:i/>
        </w:rPr>
        <w:t>.</w:t>
      </w:r>
      <w:bookmarkEnd w:id="1140"/>
    </w:p>
    <w:p w14:paraId="760C3F48"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4EE4B261" w14:textId="77777777" w:rsidR="00035FDC" w:rsidRDefault="00035FDC" w:rsidP="00035FDC">
      <w:pPr>
        <w:rPr>
          <w:color w:val="000000"/>
          <w:szCs w:val="22"/>
          <w:lang w:val="en-GB"/>
        </w:rPr>
      </w:pPr>
    </w:p>
    <w:p w14:paraId="369C0B94" w14:textId="0CE69C0E"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05FD70A0" wp14:editId="18653EB9">
            <wp:extent cx="3959943" cy="2512800"/>
            <wp:effectExtent l="0" t="0" r="2540" b="1905"/>
            <wp:docPr id="542" name="Picture 542" descr="Set of bar graphs showing sediment grain size composition at coastal habitat monitoring sites in the Fitzroy region each monitoring event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F_sediment_coast_2016.png"/>
                    <pic:cNvPicPr/>
                  </pic:nvPicPr>
                  <pic:blipFill>
                    <a:blip r:embed="rId272">
                      <a:extLst>
                        <a:ext uri="{28A0092B-C50C-407E-A947-70E740481C1C}">
                          <a14:useLocalDpi xmlns:a14="http://schemas.microsoft.com/office/drawing/2010/main" val="0"/>
                        </a:ext>
                      </a:extLst>
                    </a:blip>
                    <a:stretch>
                      <a:fillRect/>
                    </a:stretch>
                  </pic:blipFill>
                  <pic:spPr>
                    <a:xfrm>
                      <a:off x="0" y="0"/>
                      <a:ext cx="3959943" cy="2512800"/>
                    </a:xfrm>
                    <a:prstGeom prst="rect">
                      <a:avLst/>
                    </a:prstGeom>
                  </pic:spPr>
                </pic:pic>
              </a:graphicData>
            </a:graphic>
          </wp:inline>
        </w:drawing>
      </w:r>
    </w:p>
    <w:p w14:paraId="1B750C87" w14:textId="371E29B8" w:rsidR="00035FDC" w:rsidRPr="00CC19F0" w:rsidRDefault="00035FDC" w:rsidP="00035FDC">
      <w:pPr>
        <w:rPr>
          <w:i/>
          <w:vanish/>
          <w:specVanish/>
        </w:rPr>
      </w:pPr>
      <w:bookmarkStart w:id="1141" w:name="_Ref511131832"/>
      <w:bookmarkStart w:id="1142" w:name="_Toc516053390"/>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180</w:t>
      </w:r>
      <w:r w:rsidR="00C506C7">
        <w:rPr>
          <w:noProof/>
        </w:rPr>
        <w:fldChar w:fldCharType="end"/>
      </w:r>
      <w:bookmarkEnd w:id="1141"/>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2005-201</w:t>
      </w:r>
      <w:r w:rsidR="001457C3">
        <w:rPr>
          <w:i/>
        </w:rPr>
        <w:t>7</w:t>
      </w:r>
      <w:r w:rsidRPr="00CC19F0">
        <w:rPr>
          <w:i/>
        </w:rPr>
        <w:t>.</w:t>
      </w:r>
      <w:bookmarkEnd w:id="1142"/>
    </w:p>
    <w:p w14:paraId="746E4FC3"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46F6D8EF" w14:textId="77777777" w:rsidR="00035FDC" w:rsidRDefault="00035FDC" w:rsidP="00035FDC">
      <w:pPr>
        <w:rPr>
          <w:color w:val="000000"/>
          <w:szCs w:val="22"/>
          <w:lang w:val="en-GB"/>
        </w:rPr>
      </w:pPr>
    </w:p>
    <w:p w14:paraId="31EB58A6" w14:textId="77777777" w:rsidR="00D676C3" w:rsidRDefault="00D676C3" w:rsidP="00035FDC">
      <w:pPr>
        <w:rPr>
          <w:color w:val="000000"/>
          <w:szCs w:val="22"/>
          <w:lang w:val="en-GB"/>
        </w:rPr>
      </w:pPr>
    </w:p>
    <w:p w14:paraId="2CB49FCA" w14:textId="77777777" w:rsidR="00D676C3" w:rsidRDefault="00D676C3" w:rsidP="00035FDC">
      <w:pPr>
        <w:rPr>
          <w:color w:val="000000"/>
          <w:szCs w:val="22"/>
          <w:lang w:val="en-GB"/>
        </w:rPr>
      </w:pPr>
    </w:p>
    <w:p w14:paraId="2862C6CD" w14:textId="77777777" w:rsidR="00D676C3" w:rsidRDefault="00D676C3" w:rsidP="00035FDC">
      <w:pPr>
        <w:rPr>
          <w:color w:val="000000"/>
          <w:szCs w:val="22"/>
          <w:lang w:val="en-GB"/>
        </w:rPr>
      </w:pPr>
    </w:p>
    <w:p w14:paraId="707165B6" w14:textId="77777777" w:rsidR="00D676C3" w:rsidRDefault="00D676C3" w:rsidP="00035FDC">
      <w:pPr>
        <w:rPr>
          <w:color w:val="000000"/>
          <w:szCs w:val="22"/>
          <w:lang w:val="en-GB"/>
        </w:rPr>
      </w:pPr>
    </w:p>
    <w:p w14:paraId="4957DCA5" w14:textId="77777777" w:rsidR="00D676C3" w:rsidRDefault="00D676C3" w:rsidP="00035FDC">
      <w:pPr>
        <w:rPr>
          <w:color w:val="000000"/>
          <w:szCs w:val="22"/>
          <w:lang w:val="en-GB"/>
        </w:rPr>
      </w:pPr>
    </w:p>
    <w:p w14:paraId="4AB88493" w14:textId="77777777" w:rsidR="00D676C3" w:rsidRDefault="00D676C3" w:rsidP="00035FDC">
      <w:pPr>
        <w:rPr>
          <w:color w:val="000000"/>
          <w:szCs w:val="22"/>
          <w:lang w:val="en-GB"/>
        </w:rPr>
      </w:pPr>
    </w:p>
    <w:p w14:paraId="23C2E50E" w14:textId="77777777" w:rsidR="00D676C3" w:rsidRDefault="00D676C3" w:rsidP="00035FDC">
      <w:pPr>
        <w:rPr>
          <w:color w:val="000000"/>
          <w:szCs w:val="22"/>
          <w:lang w:val="en-GB"/>
        </w:rPr>
      </w:pPr>
    </w:p>
    <w:p w14:paraId="06DA01E9" w14:textId="77777777" w:rsidR="00D676C3" w:rsidRDefault="00D676C3" w:rsidP="00035FDC">
      <w:pPr>
        <w:rPr>
          <w:color w:val="000000"/>
          <w:szCs w:val="22"/>
          <w:lang w:val="en-GB"/>
        </w:rPr>
      </w:pPr>
    </w:p>
    <w:p w14:paraId="7488077B" w14:textId="77777777" w:rsidR="00D676C3" w:rsidRDefault="00D676C3" w:rsidP="00035FDC">
      <w:pPr>
        <w:rPr>
          <w:color w:val="000000"/>
          <w:szCs w:val="22"/>
          <w:lang w:val="en-GB"/>
        </w:rPr>
      </w:pPr>
    </w:p>
    <w:p w14:paraId="2193F099" w14:textId="77777777" w:rsidR="00D676C3" w:rsidRDefault="00D676C3" w:rsidP="00035FDC">
      <w:pPr>
        <w:rPr>
          <w:color w:val="000000"/>
          <w:szCs w:val="22"/>
          <w:lang w:val="en-GB"/>
        </w:rPr>
      </w:pPr>
    </w:p>
    <w:p w14:paraId="06ED34A6" w14:textId="11DEC636" w:rsidR="00035FDC" w:rsidRDefault="006157A5" w:rsidP="00035FDC">
      <w:pPr>
        <w:keepNext/>
        <w:widowControl w:val="0"/>
        <w:spacing w:after="0"/>
        <w:jc w:val="center"/>
        <w:rPr>
          <w:color w:val="000000"/>
          <w:szCs w:val="22"/>
          <w:lang w:val="en-GB"/>
        </w:rPr>
      </w:pPr>
      <w:r>
        <w:rPr>
          <w:noProof/>
          <w:color w:val="000000"/>
          <w:szCs w:val="22"/>
          <w:lang w:eastAsia="en-AU"/>
        </w:rPr>
        <w:drawing>
          <wp:inline distT="0" distB="0" distL="0" distR="0" wp14:anchorId="2A66D2B8" wp14:editId="2A0D185E">
            <wp:extent cx="3960000" cy="2507462"/>
            <wp:effectExtent l="0" t="0" r="2540" b="7620"/>
            <wp:docPr id="543" name="Picture 543" descr="Set of bar graphs showing sediment grain size composition at intertidal reef habitat monitoring sites in the Fitzroy region each monitoring event from 2007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F_sediment_reef_2016.png"/>
                    <pic:cNvPicPr/>
                  </pic:nvPicPr>
                  <pic:blipFill>
                    <a:blip r:embed="rId273">
                      <a:extLst>
                        <a:ext uri="{28A0092B-C50C-407E-A947-70E740481C1C}">
                          <a14:useLocalDpi xmlns:a14="http://schemas.microsoft.com/office/drawing/2010/main" val="0"/>
                        </a:ext>
                      </a:extLst>
                    </a:blip>
                    <a:stretch>
                      <a:fillRect/>
                    </a:stretch>
                  </pic:blipFill>
                  <pic:spPr>
                    <a:xfrm>
                      <a:off x="0" y="0"/>
                      <a:ext cx="3960000" cy="2507462"/>
                    </a:xfrm>
                    <a:prstGeom prst="rect">
                      <a:avLst/>
                    </a:prstGeom>
                  </pic:spPr>
                </pic:pic>
              </a:graphicData>
            </a:graphic>
          </wp:inline>
        </w:drawing>
      </w:r>
    </w:p>
    <w:p w14:paraId="55098664" w14:textId="2E7660E2" w:rsidR="00035FDC" w:rsidRPr="00CC19F0" w:rsidRDefault="00035FDC" w:rsidP="00035FDC">
      <w:pPr>
        <w:rPr>
          <w:i/>
          <w:vanish/>
          <w:specVanish/>
        </w:rPr>
      </w:pPr>
      <w:bookmarkStart w:id="1143" w:name="_Ref511131835"/>
      <w:bookmarkStart w:id="1144" w:name="_Toc516053391"/>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181</w:t>
      </w:r>
      <w:r w:rsidR="00C506C7">
        <w:rPr>
          <w:noProof/>
        </w:rPr>
        <w:fldChar w:fldCharType="end"/>
      </w:r>
      <w:bookmarkEnd w:id="1143"/>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2007-201</w:t>
      </w:r>
      <w:r w:rsidR="001457C3">
        <w:rPr>
          <w:i/>
        </w:rPr>
        <w:t>7</w:t>
      </w:r>
      <w:r w:rsidRPr="00CC19F0">
        <w:rPr>
          <w:i/>
        </w:rPr>
        <w:t>.</w:t>
      </w:r>
      <w:bookmarkEnd w:id="1144"/>
    </w:p>
    <w:p w14:paraId="69758C1B"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D8CE995" w14:textId="5E76EEE1" w:rsidR="00035FDC" w:rsidRDefault="006157A5" w:rsidP="00035FDC">
      <w:pPr>
        <w:keepNext/>
        <w:widowControl w:val="0"/>
        <w:spacing w:after="0"/>
        <w:jc w:val="center"/>
        <w:rPr>
          <w:color w:val="000000"/>
          <w:szCs w:val="22"/>
          <w:lang w:val="en-GB"/>
        </w:rPr>
      </w:pPr>
      <w:r>
        <w:rPr>
          <w:noProof/>
          <w:color w:val="000000"/>
          <w:szCs w:val="22"/>
          <w:lang w:eastAsia="en-AU"/>
        </w:rPr>
        <w:drawing>
          <wp:inline distT="0" distB="0" distL="0" distR="0" wp14:anchorId="13B70748" wp14:editId="403EEECC">
            <wp:extent cx="3960000" cy="4667462"/>
            <wp:effectExtent l="0" t="0" r="2540" b="0"/>
            <wp:docPr id="80" name="Picture 80" descr="Set of bar graphs showing sediment grain size composition at estuary habitat monitoring sites in the Burnett Mary region each monitoring event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BM_sediment_estuary_2016.png"/>
                    <pic:cNvPicPr/>
                  </pic:nvPicPr>
                  <pic:blipFill>
                    <a:blip r:embed="rId274">
                      <a:extLst>
                        <a:ext uri="{28A0092B-C50C-407E-A947-70E740481C1C}">
                          <a14:useLocalDpi xmlns:a14="http://schemas.microsoft.com/office/drawing/2010/main" val="0"/>
                        </a:ext>
                      </a:extLst>
                    </a:blip>
                    <a:stretch>
                      <a:fillRect/>
                    </a:stretch>
                  </pic:blipFill>
                  <pic:spPr>
                    <a:xfrm>
                      <a:off x="0" y="0"/>
                      <a:ext cx="3960000" cy="4667462"/>
                    </a:xfrm>
                    <a:prstGeom prst="rect">
                      <a:avLst/>
                    </a:prstGeom>
                  </pic:spPr>
                </pic:pic>
              </a:graphicData>
            </a:graphic>
          </wp:inline>
        </w:drawing>
      </w:r>
    </w:p>
    <w:p w14:paraId="01E9EA0D" w14:textId="68FD8479" w:rsidR="00035FDC" w:rsidRPr="00CC19F0" w:rsidRDefault="00035FDC" w:rsidP="00035FDC">
      <w:pPr>
        <w:rPr>
          <w:i/>
          <w:vanish/>
          <w:specVanish/>
        </w:rPr>
      </w:pPr>
      <w:bookmarkStart w:id="1145" w:name="_Ref461779411"/>
      <w:bookmarkStart w:id="1146" w:name="_Toc516053392"/>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182</w:t>
      </w:r>
      <w:r w:rsidR="00C506C7">
        <w:rPr>
          <w:noProof/>
        </w:rPr>
        <w:fldChar w:fldCharType="end"/>
      </w:r>
      <w:bookmarkEnd w:id="1145"/>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Burnett Mary</w:t>
      </w:r>
      <w:r w:rsidRPr="00CC19F0">
        <w:rPr>
          <w:i/>
        </w:rPr>
        <w:t xml:space="preserve"> region</w:t>
      </w:r>
      <w:r>
        <w:rPr>
          <w:i/>
        </w:rPr>
        <w:t>, 1999-201</w:t>
      </w:r>
      <w:r w:rsidR="001457C3">
        <w:rPr>
          <w:i/>
        </w:rPr>
        <w:t>7</w:t>
      </w:r>
      <w:r w:rsidRPr="00CC19F0">
        <w:rPr>
          <w:i/>
        </w:rPr>
        <w:t>.</w:t>
      </w:r>
      <w:bookmarkEnd w:id="1146"/>
    </w:p>
    <w:p w14:paraId="05C49DF0" w14:textId="0083EB90" w:rsidR="00035FDC" w:rsidRDefault="00035FDC" w:rsidP="00035FDC">
      <w:pPr>
        <w:rPr>
          <w:i/>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FF0963A" w14:textId="0D74897B" w:rsidR="00B8016C" w:rsidRPr="00B8016C" w:rsidRDefault="00B8016C" w:rsidP="00035FDC">
      <w:pPr>
        <w:rPr>
          <w:color w:val="000000"/>
          <w:szCs w:val="22"/>
        </w:rPr>
      </w:pPr>
    </w:p>
    <w:p w14:paraId="74580CF2" w14:textId="77777777" w:rsidR="005A2405" w:rsidRDefault="00B8016C" w:rsidP="005A2405">
      <w:pPr>
        <w:keepNext/>
        <w:jc w:val="center"/>
      </w:pPr>
      <w:r>
        <w:rPr>
          <w:noProof/>
          <w:color w:val="000000"/>
          <w:szCs w:val="22"/>
          <w:lang w:eastAsia="en-AU"/>
        </w:rPr>
        <w:drawing>
          <wp:inline distT="0" distB="0" distL="0" distR="0" wp14:anchorId="0E613A8B" wp14:editId="32A24AAD">
            <wp:extent cx="3960000" cy="2509200"/>
            <wp:effectExtent l="0" t="0" r="2540" b="5715"/>
            <wp:docPr id="8" name="Picture 8" descr="Set of bar graphs showing sediment grain size composition at coastal habitat monitoring sites in the Burnett Mary region each monitoring event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M_sediment_coast_2017.png"/>
                    <pic:cNvPicPr/>
                  </pic:nvPicPr>
                  <pic:blipFill>
                    <a:blip r:embed="rId275">
                      <a:extLst>
                        <a:ext uri="{28A0092B-C50C-407E-A947-70E740481C1C}">
                          <a14:useLocalDpi xmlns:a14="http://schemas.microsoft.com/office/drawing/2010/main" val="0"/>
                        </a:ext>
                      </a:extLst>
                    </a:blip>
                    <a:stretch>
                      <a:fillRect/>
                    </a:stretch>
                  </pic:blipFill>
                  <pic:spPr>
                    <a:xfrm>
                      <a:off x="0" y="0"/>
                      <a:ext cx="3960000" cy="2509200"/>
                    </a:xfrm>
                    <a:prstGeom prst="rect">
                      <a:avLst/>
                    </a:prstGeom>
                  </pic:spPr>
                </pic:pic>
              </a:graphicData>
            </a:graphic>
          </wp:inline>
        </w:drawing>
      </w:r>
    </w:p>
    <w:p w14:paraId="1B814D12" w14:textId="24D52D74" w:rsidR="005A2405" w:rsidRPr="00CC19F0" w:rsidRDefault="005A2405" w:rsidP="005A2405">
      <w:pPr>
        <w:rPr>
          <w:i/>
          <w:vanish/>
          <w:specVanish/>
        </w:rPr>
      </w:pPr>
      <w:bookmarkStart w:id="1147" w:name="_Ref511132115"/>
      <w:bookmarkStart w:id="1148" w:name="_Toc51605339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183</w:t>
      </w:r>
      <w:r w:rsidR="00C506C7">
        <w:rPr>
          <w:noProof/>
        </w:rPr>
        <w:fldChar w:fldCharType="end"/>
      </w:r>
      <w:bookmarkEnd w:id="1147"/>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Burnett Mary</w:t>
      </w:r>
      <w:r w:rsidRPr="00CC19F0">
        <w:rPr>
          <w:i/>
        </w:rPr>
        <w:t xml:space="preserve"> region</w:t>
      </w:r>
      <w:r>
        <w:rPr>
          <w:i/>
        </w:rPr>
        <w:t>, 1999-2017</w:t>
      </w:r>
      <w:r w:rsidRPr="00CC19F0">
        <w:rPr>
          <w:i/>
        </w:rPr>
        <w:t>.</w:t>
      </w:r>
      <w:bookmarkEnd w:id="1148"/>
    </w:p>
    <w:p w14:paraId="4ACAF266" w14:textId="4A767ABD" w:rsidR="00B8016C" w:rsidRPr="005A2405" w:rsidRDefault="005A2405" w:rsidP="005A2405">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2DB7EC2" w14:textId="77777777" w:rsidR="00B8016C" w:rsidRDefault="00B8016C" w:rsidP="00035FDC">
      <w:pPr>
        <w:rPr>
          <w:color w:val="000000"/>
          <w:szCs w:val="22"/>
        </w:rPr>
      </w:pPr>
    </w:p>
    <w:p w14:paraId="45B85549" w14:textId="69D6BAD3" w:rsidR="006157A5" w:rsidRDefault="00FE4A6B" w:rsidP="00035FDC">
      <w:pPr>
        <w:rPr>
          <w:lang w:eastAsia="x-none"/>
        </w:rPr>
      </w:pPr>
      <w:r>
        <w:rPr>
          <w:lang w:eastAsia="x-none"/>
        </w:rPr>
        <w:br w:type="column"/>
      </w:r>
    </w:p>
    <w:p w14:paraId="06C8AFE5" w14:textId="71595F9C" w:rsidR="00035FDC" w:rsidRDefault="00035FDC" w:rsidP="00035FDC">
      <w:pPr>
        <w:pStyle w:val="Heading3"/>
        <w:keepNext w:val="0"/>
        <w:widowControl w:val="0"/>
        <w:rPr>
          <w:rFonts w:asciiTheme="minorHAnsi" w:hAnsiTheme="minorHAnsi"/>
          <w:sz w:val="24"/>
          <w:szCs w:val="24"/>
        </w:rPr>
      </w:pPr>
      <w:bookmarkStart w:id="1149" w:name="_Ref511131718"/>
      <w:bookmarkStart w:id="1150" w:name="_Ref511388718"/>
      <w:bookmarkStart w:id="1151" w:name="_Toc516053206"/>
      <w:r>
        <w:rPr>
          <w:rFonts w:asciiTheme="minorHAnsi" w:hAnsiTheme="minorHAnsi"/>
          <w:sz w:val="24"/>
          <w:szCs w:val="24"/>
        </w:rPr>
        <w:t>Epiphytes and macroalgae</w:t>
      </w:r>
      <w:bookmarkEnd w:id="1149"/>
      <w:bookmarkEnd w:id="1150"/>
      <w:bookmarkEnd w:id="1151"/>
    </w:p>
    <w:p w14:paraId="59180A84" w14:textId="77777777" w:rsidR="00D676C3" w:rsidRPr="00D676C3" w:rsidRDefault="00D676C3" w:rsidP="00D676C3">
      <w:pPr>
        <w:rPr>
          <w:lang w:val="en-GB"/>
        </w:rPr>
      </w:pPr>
    </w:p>
    <w:p w14:paraId="5C108D1A" w14:textId="4E576BF6" w:rsidR="00625C14" w:rsidRPr="004F234C" w:rsidRDefault="00362D48" w:rsidP="00625C14">
      <w:pPr>
        <w:keepNext/>
        <w:jc w:val="center"/>
      </w:pPr>
      <w:r>
        <w:rPr>
          <w:noProof/>
          <w:lang w:eastAsia="en-AU"/>
        </w:rPr>
        <w:drawing>
          <wp:inline distT="0" distB="0" distL="0" distR="0" wp14:anchorId="0AD5ABA4" wp14:editId="0297CD14">
            <wp:extent cx="3597806" cy="2584800"/>
            <wp:effectExtent l="0" t="0" r="3175" b="6350"/>
            <wp:docPr id="39" name="Picture 39" descr="Set of line graphs showing long-term trend in mean abundance of epiphytes and macroalgae at intertidal coastal habitats in the Cape York NRM region from 201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Y_epi_coast_16.png"/>
                    <pic:cNvPicPr/>
                  </pic:nvPicPr>
                  <pic:blipFill>
                    <a:blip r:embed="rId276">
                      <a:extLst>
                        <a:ext uri="{28A0092B-C50C-407E-A947-70E740481C1C}">
                          <a14:useLocalDpi xmlns:a14="http://schemas.microsoft.com/office/drawing/2010/main" val="0"/>
                        </a:ext>
                      </a:extLst>
                    </a:blip>
                    <a:stretch>
                      <a:fillRect/>
                    </a:stretch>
                  </pic:blipFill>
                  <pic:spPr>
                    <a:xfrm>
                      <a:off x="0" y="0"/>
                      <a:ext cx="3597806" cy="2584800"/>
                    </a:xfrm>
                    <a:prstGeom prst="rect">
                      <a:avLst/>
                    </a:prstGeom>
                  </pic:spPr>
                </pic:pic>
              </a:graphicData>
            </a:graphic>
          </wp:inline>
        </w:drawing>
      </w:r>
    </w:p>
    <w:p w14:paraId="0201FF08" w14:textId="3B2D0BC9" w:rsidR="00625C14" w:rsidRPr="002E6AD0" w:rsidRDefault="00625C14" w:rsidP="00625C14">
      <w:pPr>
        <w:rPr>
          <w:i/>
          <w:vanish/>
          <w:specVanish/>
        </w:rPr>
      </w:pPr>
      <w:bookmarkStart w:id="1152" w:name="_Ref410207162"/>
      <w:bookmarkStart w:id="1153" w:name="_Toc431493941"/>
      <w:bookmarkStart w:id="1154" w:name="_Toc51605339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184</w:t>
      </w:r>
      <w:r w:rsidR="00C506C7">
        <w:rPr>
          <w:noProof/>
        </w:rPr>
        <w:fldChar w:fldCharType="end"/>
      </w:r>
      <w:bookmarkEnd w:id="1152"/>
      <w:r>
        <w:t xml:space="preserve">. </w:t>
      </w:r>
      <w:r w:rsidRPr="002E6AD0">
        <w:rPr>
          <w:i/>
        </w:rPr>
        <w:t>Long-term trend in mean abundance (</w:t>
      </w:r>
      <w:r w:rsidR="0063478C">
        <w:rPr>
          <w:i/>
        </w:rPr>
        <w:t>per cent</w:t>
      </w:r>
      <w:r w:rsidRPr="002E6AD0">
        <w:rPr>
          <w:i/>
        </w:rPr>
        <w:t xml:space="preserve"> cover) (± </w:t>
      </w:r>
      <w:r w:rsidR="009C7692">
        <w:rPr>
          <w:i/>
        </w:rPr>
        <w:t>SE</w:t>
      </w:r>
      <w:r w:rsidRPr="002E6AD0">
        <w:rPr>
          <w:i/>
        </w:rPr>
        <w:t>) of epiphytes and macroalgae at intertidal coastal habitats (sites pooled), Cape York NRM region</w:t>
      </w:r>
      <w:bookmarkEnd w:id="1153"/>
      <w:bookmarkEnd w:id="1154"/>
    </w:p>
    <w:p w14:paraId="21A18E8E" w14:textId="14F187F7" w:rsidR="00625C14" w:rsidRDefault="00625C14" w:rsidP="00625C14">
      <w:r w:rsidRPr="002E6AD0">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2E6AD0">
        <w:rPr>
          <w:i/>
        </w:rPr>
        <w:t>.</w:t>
      </w:r>
      <w:r>
        <w:t xml:space="preserve"> </w:t>
      </w:r>
    </w:p>
    <w:p w14:paraId="4DE69D5A" w14:textId="77777777" w:rsidR="00D93689" w:rsidRPr="002E6AD0" w:rsidRDefault="00D93689" w:rsidP="00625C14">
      <w:pPr>
        <w:rPr>
          <w:lang w:val="en-GB"/>
        </w:rPr>
      </w:pPr>
    </w:p>
    <w:p w14:paraId="232F6648" w14:textId="422D9486" w:rsidR="00625C14" w:rsidRPr="004F234C" w:rsidRDefault="00362D48" w:rsidP="00625C14">
      <w:pPr>
        <w:keepNext/>
        <w:jc w:val="center"/>
        <w:rPr>
          <w:szCs w:val="22"/>
        </w:rPr>
      </w:pPr>
      <w:r>
        <w:rPr>
          <w:noProof/>
          <w:szCs w:val="22"/>
          <w:lang w:eastAsia="en-AU"/>
        </w:rPr>
        <w:drawing>
          <wp:inline distT="0" distB="0" distL="0" distR="0" wp14:anchorId="69A7A554" wp14:editId="219D325D">
            <wp:extent cx="3600000" cy="3814468"/>
            <wp:effectExtent l="0" t="0" r="635" b="0"/>
            <wp:docPr id="40" name="Picture 40" descr="Set of line graphs showing long-term trend in mean abundance of epiphytes and macroalgae at intertidal reef habitats in the Cape York NRM region from 2002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Y_epi_reef_16.png"/>
                    <pic:cNvPicPr/>
                  </pic:nvPicPr>
                  <pic:blipFill>
                    <a:blip r:embed="rId277">
                      <a:extLst>
                        <a:ext uri="{28A0092B-C50C-407E-A947-70E740481C1C}">
                          <a14:useLocalDpi xmlns:a14="http://schemas.microsoft.com/office/drawing/2010/main" val="0"/>
                        </a:ext>
                      </a:extLst>
                    </a:blip>
                    <a:stretch>
                      <a:fillRect/>
                    </a:stretch>
                  </pic:blipFill>
                  <pic:spPr>
                    <a:xfrm>
                      <a:off x="0" y="0"/>
                      <a:ext cx="3600000" cy="3814468"/>
                    </a:xfrm>
                    <a:prstGeom prst="rect">
                      <a:avLst/>
                    </a:prstGeom>
                  </pic:spPr>
                </pic:pic>
              </a:graphicData>
            </a:graphic>
          </wp:inline>
        </w:drawing>
      </w:r>
    </w:p>
    <w:p w14:paraId="6C7390CD" w14:textId="45A0EC69" w:rsidR="00625C14" w:rsidRPr="00A93D8C" w:rsidRDefault="00625C14" w:rsidP="00625C14">
      <w:pPr>
        <w:rPr>
          <w:i/>
          <w:vanish/>
          <w:specVanish/>
        </w:rPr>
      </w:pPr>
      <w:bookmarkStart w:id="1155" w:name="_Ref382147489"/>
      <w:bookmarkStart w:id="1156" w:name="_Toc431493942"/>
      <w:bookmarkStart w:id="1157" w:name="_Toc516053395"/>
      <w:r w:rsidRPr="00C86706">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185</w:t>
      </w:r>
      <w:r w:rsidR="00C506C7">
        <w:rPr>
          <w:noProof/>
        </w:rPr>
        <w:fldChar w:fldCharType="end"/>
      </w:r>
      <w:bookmarkEnd w:id="1155"/>
      <w:r w:rsidRPr="00C86706">
        <w:t xml:space="preserve">. </w:t>
      </w:r>
      <w:r w:rsidRPr="00A93D8C">
        <w:rPr>
          <w:i/>
        </w:rPr>
        <w:t>Long-term trend in mean abundance (</w:t>
      </w:r>
      <w:r w:rsidR="0063478C">
        <w:rPr>
          <w:i/>
        </w:rPr>
        <w:t>per cent</w:t>
      </w:r>
      <w:r w:rsidRPr="00A93D8C">
        <w:rPr>
          <w:i/>
        </w:rPr>
        <w:t xml:space="preserve"> cover) (± </w:t>
      </w:r>
      <w:r w:rsidR="009C7692">
        <w:rPr>
          <w:i/>
        </w:rPr>
        <w:t>SE</w:t>
      </w:r>
      <w:r w:rsidRPr="00A93D8C">
        <w:rPr>
          <w:i/>
        </w:rPr>
        <w:t>) of epiphytes and macroalgae at intertidal reef habitats (sites pooled), Cape York NRM region</w:t>
      </w:r>
      <w:bookmarkEnd w:id="1156"/>
      <w:bookmarkEnd w:id="1157"/>
    </w:p>
    <w:p w14:paraId="2886EE9A" w14:textId="7C72FDDD" w:rsidR="00625C14" w:rsidRDefault="00625C14" w:rsidP="00625C14">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r>
        <w:t xml:space="preserve"> </w:t>
      </w:r>
    </w:p>
    <w:p w14:paraId="674CDBBC" w14:textId="77777777" w:rsidR="00D676C3" w:rsidRPr="00A93D8C" w:rsidRDefault="00D676C3" w:rsidP="00625C14"/>
    <w:p w14:paraId="5B7C5399" w14:textId="7F8A914E" w:rsidR="00625C14" w:rsidRPr="00C86706" w:rsidRDefault="00362D48" w:rsidP="00625C14">
      <w:pPr>
        <w:keepNext/>
        <w:spacing w:before="0"/>
        <w:jc w:val="center"/>
        <w:rPr>
          <w:color w:val="000000"/>
        </w:rPr>
      </w:pPr>
      <w:r>
        <w:rPr>
          <w:noProof/>
          <w:color w:val="000000"/>
          <w:lang w:eastAsia="en-AU"/>
        </w:rPr>
        <w:drawing>
          <wp:inline distT="0" distB="0" distL="0" distR="0" wp14:anchorId="01F547BD" wp14:editId="14B6F1FF">
            <wp:extent cx="3960000" cy="4257544"/>
            <wp:effectExtent l="0" t="0" r="2540" b="0"/>
            <wp:docPr id="41" name="Picture 41" descr="Set of line graphs showing long-term trend in mean abundance of epiphytes and macroalgae at intertidal reef habitats in the Wet Tropics NRM region from 2004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WT_epi_reef_16.png"/>
                    <pic:cNvPicPr/>
                  </pic:nvPicPr>
                  <pic:blipFill>
                    <a:blip r:embed="rId278">
                      <a:extLst>
                        <a:ext uri="{28A0092B-C50C-407E-A947-70E740481C1C}">
                          <a14:useLocalDpi xmlns:a14="http://schemas.microsoft.com/office/drawing/2010/main" val="0"/>
                        </a:ext>
                      </a:extLst>
                    </a:blip>
                    <a:stretch>
                      <a:fillRect/>
                    </a:stretch>
                  </pic:blipFill>
                  <pic:spPr>
                    <a:xfrm>
                      <a:off x="0" y="0"/>
                      <a:ext cx="3960000" cy="4257544"/>
                    </a:xfrm>
                    <a:prstGeom prst="rect">
                      <a:avLst/>
                    </a:prstGeom>
                  </pic:spPr>
                </pic:pic>
              </a:graphicData>
            </a:graphic>
          </wp:inline>
        </w:drawing>
      </w:r>
    </w:p>
    <w:p w14:paraId="4BA003A0" w14:textId="3EA734F9" w:rsidR="00625C14" w:rsidRPr="00A93D8C" w:rsidRDefault="00625C14" w:rsidP="00625C14">
      <w:pPr>
        <w:rPr>
          <w:i/>
          <w:vanish/>
          <w:specVanish/>
        </w:rPr>
      </w:pPr>
      <w:bookmarkStart w:id="1158" w:name="_Ref211846521"/>
      <w:bookmarkStart w:id="1159" w:name="_Toc431493943"/>
      <w:bookmarkStart w:id="1160" w:name="_Toc516053396"/>
      <w:bookmarkStart w:id="1161" w:name="_Toc232845975"/>
      <w:bookmarkStart w:id="1162" w:name="_Toc354915854"/>
      <w:r w:rsidRPr="00F65CF3">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186</w:t>
      </w:r>
      <w:r w:rsidR="00C506C7">
        <w:rPr>
          <w:noProof/>
        </w:rPr>
        <w:fldChar w:fldCharType="end"/>
      </w:r>
      <w:bookmarkEnd w:id="1158"/>
      <w:r w:rsidRPr="00F65CF3">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intertidal reef seagrass monitoring locations (sites pooled) in the Wet Tropics NRM region</w:t>
      </w:r>
      <w:bookmarkEnd w:id="1159"/>
      <w:bookmarkEnd w:id="1160"/>
    </w:p>
    <w:p w14:paraId="54B7F24E" w14:textId="6EF02DDB" w:rsidR="00625C14" w:rsidRDefault="00625C14" w:rsidP="00625C14">
      <w:pPr>
        <w:rPr>
          <w:i/>
          <w:color w:val="000000"/>
          <w:szCs w:val="22"/>
        </w:rPr>
      </w:pPr>
      <w:r w:rsidRPr="00A93D8C">
        <w:rPr>
          <w:i/>
        </w:rPr>
        <w:t xml:space="preserve">.  </w:t>
      </w:r>
      <w:bookmarkEnd w:id="1161"/>
      <w:bookmarkEnd w:id="1162"/>
      <w:r w:rsidRPr="00A93D8C">
        <w:rPr>
          <w:i/>
        </w:rPr>
        <w:t xml:space="preserve">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p>
    <w:p w14:paraId="51FA8250" w14:textId="77777777" w:rsidR="00D676C3" w:rsidRPr="00F65CF3" w:rsidRDefault="00D676C3" w:rsidP="00625C14">
      <w:pPr>
        <w:rPr>
          <w:color w:val="000000"/>
          <w:szCs w:val="22"/>
        </w:rPr>
      </w:pPr>
    </w:p>
    <w:p w14:paraId="2FD78ABB" w14:textId="7E345C05" w:rsidR="00625C14" w:rsidRPr="006225BC" w:rsidRDefault="00362D48" w:rsidP="00625C14">
      <w:pPr>
        <w:keepNext/>
        <w:jc w:val="center"/>
        <w:rPr>
          <w:color w:val="000000"/>
          <w:szCs w:val="22"/>
        </w:rPr>
      </w:pPr>
      <w:r>
        <w:rPr>
          <w:noProof/>
          <w:color w:val="000000"/>
          <w:szCs w:val="22"/>
          <w:lang w:eastAsia="en-AU"/>
        </w:rPr>
        <w:drawing>
          <wp:inline distT="0" distB="0" distL="0" distR="0" wp14:anchorId="39BB293F" wp14:editId="538BB1C5">
            <wp:extent cx="3960000" cy="2840374"/>
            <wp:effectExtent l="0" t="0" r="2540" b="0"/>
            <wp:docPr id="42" name="Picture 42" descr="Set of line graphs showing long-term trend in mean abundance of epiphytes and macroalgae at intertidal coastal habitats in the Wet Tropics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WT_epi_coast_16.png"/>
                    <pic:cNvPicPr/>
                  </pic:nvPicPr>
                  <pic:blipFill>
                    <a:blip r:embed="rId279">
                      <a:extLst>
                        <a:ext uri="{28A0092B-C50C-407E-A947-70E740481C1C}">
                          <a14:useLocalDpi xmlns:a14="http://schemas.microsoft.com/office/drawing/2010/main" val="0"/>
                        </a:ext>
                      </a:extLst>
                    </a:blip>
                    <a:stretch>
                      <a:fillRect/>
                    </a:stretch>
                  </pic:blipFill>
                  <pic:spPr>
                    <a:xfrm>
                      <a:off x="0" y="0"/>
                      <a:ext cx="3960000" cy="2840374"/>
                    </a:xfrm>
                    <a:prstGeom prst="rect">
                      <a:avLst/>
                    </a:prstGeom>
                  </pic:spPr>
                </pic:pic>
              </a:graphicData>
            </a:graphic>
          </wp:inline>
        </w:drawing>
      </w:r>
    </w:p>
    <w:p w14:paraId="7AF1ED17" w14:textId="5AB8481F" w:rsidR="00625C14" w:rsidRPr="00A93D8C" w:rsidRDefault="00625C14" w:rsidP="00625C14">
      <w:pPr>
        <w:rPr>
          <w:i/>
          <w:vanish/>
          <w:specVanish/>
        </w:rPr>
      </w:pPr>
      <w:bookmarkStart w:id="1163" w:name="_Ref211846231"/>
      <w:bookmarkStart w:id="1164" w:name="_Toc431493944"/>
      <w:bookmarkStart w:id="1165" w:name="_Toc516053397"/>
      <w:bookmarkStart w:id="1166" w:name="_Toc232845974"/>
      <w:bookmarkStart w:id="1167" w:name="_Toc354915853"/>
      <w:r w:rsidRPr="006225BC">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187</w:t>
      </w:r>
      <w:r w:rsidR="00C506C7">
        <w:rPr>
          <w:noProof/>
        </w:rPr>
        <w:fldChar w:fldCharType="end"/>
      </w:r>
      <w:bookmarkEnd w:id="1163"/>
      <w:r w:rsidRPr="006225BC">
        <w:t xml:space="preserve">. </w:t>
      </w:r>
      <w:bookmarkStart w:id="1168" w:name="OLE_LINK10"/>
      <w:bookmarkStart w:id="1169" w:name="OLE_LINK13"/>
      <w:r w:rsidRPr="00A93D8C">
        <w:rPr>
          <w:i/>
        </w:rPr>
        <w:t>Mean abundance (</w:t>
      </w:r>
      <w:r w:rsidR="0063478C">
        <w:rPr>
          <w:i/>
        </w:rPr>
        <w:t>per cent</w:t>
      </w:r>
      <w:r w:rsidRPr="00A93D8C">
        <w:rPr>
          <w:i/>
        </w:rPr>
        <w:t xml:space="preserve"> cover) (± </w:t>
      </w:r>
      <w:r w:rsidR="009C7692">
        <w:rPr>
          <w:i/>
        </w:rPr>
        <w:t>SE</w:t>
      </w:r>
      <w:r w:rsidRPr="00A93D8C">
        <w:rPr>
          <w:i/>
        </w:rPr>
        <w:t>) of epiphytes and macroalgae at coastal intertidal seagrass monitoring locations (sites pooled) in the Wet Tropics NRM region</w:t>
      </w:r>
      <w:bookmarkEnd w:id="1164"/>
      <w:bookmarkEnd w:id="1165"/>
    </w:p>
    <w:p w14:paraId="12660C8F" w14:textId="07D01C1A" w:rsidR="00D676C3" w:rsidRPr="00D676C3" w:rsidRDefault="00625C14" w:rsidP="00625C14">
      <w:pPr>
        <w:rPr>
          <w:i/>
          <w:color w:val="000000"/>
          <w:szCs w:val="22"/>
        </w:rPr>
      </w:pPr>
      <w:r w:rsidRPr="00A93D8C">
        <w:rPr>
          <w:i/>
        </w:rPr>
        <w:t xml:space="preserve">.  </w:t>
      </w:r>
      <w:bookmarkEnd w:id="1166"/>
      <w:bookmarkEnd w:id="1168"/>
      <w:bookmarkEnd w:id="1169"/>
      <w:r w:rsidRPr="00A93D8C">
        <w:rPr>
          <w:i/>
        </w:rPr>
        <w:t xml:space="preserve">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w:t>
      </w:r>
      <w:bookmarkEnd w:id="1167"/>
      <w:r w:rsidRPr="00A93D8C">
        <w:rPr>
          <w:i/>
        </w:rPr>
        <w:t xml:space="preserve"> </w:t>
      </w:r>
      <w:r w:rsidRPr="00A93D8C">
        <w:rPr>
          <w:i/>
          <w:color w:val="000000"/>
          <w:szCs w:val="22"/>
        </w:rPr>
        <w:t xml:space="preserve"> </w:t>
      </w:r>
    </w:p>
    <w:p w14:paraId="55F6F5A9" w14:textId="07920920" w:rsidR="00625C14" w:rsidRPr="00642F1C" w:rsidRDefault="00362D48" w:rsidP="00625C14">
      <w:pPr>
        <w:keepNext/>
        <w:spacing w:before="0" w:after="0"/>
        <w:jc w:val="center"/>
        <w:rPr>
          <w:noProof/>
          <w:color w:val="000000"/>
        </w:rPr>
      </w:pPr>
      <w:bookmarkStart w:id="1170" w:name="_Toc354915855"/>
      <w:r>
        <w:rPr>
          <w:noProof/>
          <w:color w:val="000000"/>
          <w:lang w:eastAsia="en-AU"/>
        </w:rPr>
        <w:drawing>
          <wp:inline distT="0" distB="0" distL="0" distR="0" wp14:anchorId="0874D39D" wp14:editId="5B55294A">
            <wp:extent cx="3959110" cy="4212000"/>
            <wp:effectExtent l="0" t="0" r="3810" b="0"/>
            <wp:docPr id="43" name="Picture 43" descr="Set of line graphs showing long-term trend in mean abundance of epiphytes and macroalgae at subtidal reef habitats in the Wet Tropics NRM region from 2008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WT_epi_sub_16.png"/>
                    <pic:cNvPicPr/>
                  </pic:nvPicPr>
                  <pic:blipFill>
                    <a:blip r:embed="rId280">
                      <a:extLst>
                        <a:ext uri="{28A0092B-C50C-407E-A947-70E740481C1C}">
                          <a14:useLocalDpi xmlns:a14="http://schemas.microsoft.com/office/drawing/2010/main" val="0"/>
                        </a:ext>
                      </a:extLst>
                    </a:blip>
                    <a:stretch>
                      <a:fillRect/>
                    </a:stretch>
                  </pic:blipFill>
                  <pic:spPr>
                    <a:xfrm>
                      <a:off x="0" y="0"/>
                      <a:ext cx="3959110" cy="4212000"/>
                    </a:xfrm>
                    <a:prstGeom prst="rect">
                      <a:avLst/>
                    </a:prstGeom>
                  </pic:spPr>
                </pic:pic>
              </a:graphicData>
            </a:graphic>
          </wp:inline>
        </w:drawing>
      </w:r>
    </w:p>
    <w:p w14:paraId="7E3B3C3E" w14:textId="08CB05DF" w:rsidR="00625C14" w:rsidRPr="00A93D8C" w:rsidRDefault="00625C14" w:rsidP="00625C14">
      <w:pPr>
        <w:rPr>
          <w:i/>
          <w:vanish/>
          <w:specVanish/>
        </w:rPr>
      </w:pPr>
      <w:bookmarkStart w:id="1171" w:name="_Ref410233525"/>
      <w:bookmarkStart w:id="1172" w:name="_Toc431493945"/>
      <w:bookmarkStart w:id="1173" w:name="_Toc516053398"/>
      <w:r w:rsidRPr="00642F1C">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188</w:t>
      </w:r>
      <w:r w:rsidR="00C506C7">
        <w:rPr>
          <w:noProof/>
        </w:rPr>
        <w:fldChar w:fldCharType="end"/>
      </w:r>
      <w:bookmarkEnd w:id="1171"/>
      <w:r w:rsidRPr="00642F1C">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subtidal reef seagrass monitoring sites in the Wet Tropics NRM region</w:t>
      </w:r>
      <w:bookmarkEnd w:id="1172"/>
      <w:bookmarkEnd w:id="1173"/>
    </w:p>
    <w:p w14:paraId="41830D49" w14:textId="1D59E121" w:rsidR="00625C14" w:rsidRPr="00A93D8C" w:rsidRDefault="00625C14" w:rsidP="00625C14">
      <w:r w:rsidRPr="00A93D8C">
        <w:rPr>
          <w:i/>
        </w:rPr>
        <w:t xml:space="preserve">.  Red line = GBR long-term average for subtidal sites; </w:t>
      </w:r>
      <w:r w:rsidR="001E4FB1" w:rsidRPr="001E4FB1">
        <w:rPr>
          <w:i/>
        </w:rPr>
        <w:t>epiphytes=17.1</w:t>
      </w:r>
      <w:r w:rsidR="0063478C">
        <w:rPr>
          <w:i/>
        </w:rPr>
        <w:t xml:space="preserve"> per cent</w:t>
      </w:r>
      <w:r w:rsidR="001E4FB1" w:rsidRPr="001E4FB1">
        <w:rPr>
          <w:i/>
        </w:rPr>
        <w:t>, macroalgae=5.5</w:t>
      </w:r>
      <w:r w:rsidR="0063478C">
        <w:rPr>
          <w:i/>
        </w:rPr>
        <w:t xml:space="preserve"> per cent</w:t>
      </w:r>
      <w:r w:rsidRPr="00A93D8C">
        <w:rPr>
          <w:i/>
        </w:rPr>
        <w:t>.</w:t>
      </w:r>
      <w:bookmarkEnd w:id="1170"/>
      <w:r w:rsidRPr="00A93D8C">
        <w:rPr>
          <w:i/>
        </w:rPr>
        <w:t xml:space="preserve"> </w:t>
      </w:r>
      <w:r>
        <w:t xml:space="preserve"> </w:t>
      </w:r>
    </w:p>
    <w:p w14:paraId="5BA17F9C" w14:textId="77777777" w:rsidR="00625C14" w:rsidRPr="00642F1C" w:rsidRDefault="00625C14" w:rsidP="00625C14">
      <w:pPr>
        <w:rPr>
          <w:color w:val="000000"/>
          <w:szCs w:val="22"/>
        </w:rPr>
      </w:pPr>
    </w:p>
    <w:p w14:paraId="5DA9788F" w14:textId="50EAA988" w:rsidR="00625C14" w:rsidRPr="007D1D68" w:rsidRDefault="00362D48" w:rsidP="00625C14">
      <w:pPr>
        <w:keepNext/>
        <w:spacing w:after="0"/>
        <w:jc w:val="center"/>
        <w:rPr>
          <w:color w:val="000000"/>
          <w:szCs w:val="22"/>
        </w:rPr>
      </w:pPr>
      <w:r>
        <w:rPr>
          <w:noProof/>
          <w:color w:val="000000"/>
          <w:szCs w:val="22"/>
          <w:lang w:eastAsia="en-AU"/>
        </w:rPr>
        <w:drawing>
          <wp:inline distT="0" distB="0" distL="0" distR="0" wp14:anchorId="5576B406" wp14:editId="3C8075D5">
            <wp:extent cx="3960000" cy="2840374"/>
            <wp:effectExtent l="0" t="0" r="2540" b="0"/>
            <wp:docPr id="44" name="Picture 44" descr="Set of line graphs showing long-term trend in mean abundance of epiphytes and macroalgae at coastal habitats in the Burdekin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B_epi_coast_16.png"/>
                    <pic:cNvPicPr/>
                  </pic:nvPicPr>
                  <pic:blipFill>
                    <a:blip r:embed="rId281">
                      <a:extLst>
                        <a:ext uri="{28A0092B-C50C-407E-A947-70E740481C1C}">
                          <a14:useLocalDpi xmlns:a14="http://schemas.microsoft.com/office/drawing/2010/main" val="0"/>
                        </a:ext>
                      </a:extLst>
                    </a:blip>
                    <a:stretch>
                      <a:fillRect/>
                    </a:stretch>
                  </pic:blipFill>
                  <pic:spPr>
                    <a:xfrm>
                      <a:off x="0" y="0"/>
                      <a:ext cx="3960000" cy="2840374"/>
                    </a:xfrm>
                    <a:prstGeom prst="rect">
                      <a:avLst/>
                    </a:prstGeom>
                  </pic:spPr>
                </pic:pic>
              </a:graphicData>
            </a:graphic>
          </wp:inline>
        </w:drawing>
      </w:r>
    </w:p>
    <w:p w14:paraId="4982ED93" w14:textId="5904B93A" w:rsidR="00625C14" w:rsidRPr="00A93D8C" w:rsidRDefault="00625C14" w:rsidP="00625C14">
      <w:pPr>
        <w:rPr>
          <w:i/>
          <w:vanish/>
          <w:specVanish/>
        </w:rPr>
      </w:pPr>
      <w:bookmarkStart w:id="1174" w:name="_Ref382202839"/>
      <w:bookmarkStart w:id="1175" w:name="_Toc431493946"/>
      <w:bookmarkStart w:id="1176" w:name="_Toc516053399"/>
      <w:r w:rsidRPr="007D1D68">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189</w:t>
      </w:r>
      <w:r w:rsidR="00C506C7">
        <w:rPr>
          <w:noProof/>
        </w:rPr>
        <w:fldChar w:fldCharType="end"/>
      </w:r>
      <w:bookmarkEnd w:id="1174"/>
      <w:r w:rsidRPr="007D1D68">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coastal intertidal seagrass monitoring locations (sites pooled) in the Burdekin NRM region</w:t>
      </w:r>
      <w:bookmarkEnd w:id="1175"/>
      <w:bookmarkEnd w:id="1176"/>
    </w:p>
    <w:p w14:paraId="3EE10242" w14:textId="7F87DCB5" w:rsidR="00625C14" w:rsidRDefault="00625C14" w:rsidP="00625C14">
      <w:pPr>
        <w:rPr>
          <w:i/>
        </w:rPr>
      </w:pPr>
      <w:r w:rsidRPr="00A93D8C">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 xml:space="preserve">.  </w:t>
      </w:r>
    </w:p>
    <w:p w14:paraId="5E121481" w14:textId="0296E931" w:rsidR="00625C14" w:rsidRPr="007D1D68" w:rsidRDefault="009A705A" w:rsidP="00625C14">
      <w:pPr>
        <w:keepNext/>
        <w:spacing w:after="0"/>
        <w:jc w:val="center"/>
        <w:rPr>
          <w:color w:val="000000"/>
          <w:szCs w:val="22"/>
        </w:rPr>
      </w:pPr>
      <w:r>
        <w:rPr>
          <w:noProof/>
          <w:color w:val="000000"/>
          <w:szCs w:val="22"/>
          <w:lang w:eastAsia="en-AU"/>
        </w:rPr>
        <w:drawing>
          <wp:inline distT="0" distB="0" distL="0" distR="0" wp14:anchorId="727CA8A2" wp14:editId="346907BA">
            <wp:extent cx="3960000" cy="1508285"/>
            <wp:effectExtent l="0" t="0" r="2540" b="0"/>
            <wp:docPr id="45" name="Picture 45" descr="Set of line graphs showing long-term trend in mean abundance of epiphytes and macroalgae at intertidal reef habitats in the Burdekin NRM region from 2004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B_epi_reef_16.png"/>
                    <pic:cNvPicPr/>
                  </pic:nvPicPr>
                  <pic:blipFill>
                    <a:blip r:embed="rId282">
                      <a:extLst>
                        <a:ext uri="{28A0092B-C50C-407E-A947-70E740481C1C}">
                          <a14:useLocalDpi xmlns:a14="http://schemas.microsoft.com/office/drawing/2010/main" val="0"/>
                        </a:ext>
                      </a:extLst>
                    </a:blip>
                    <a:stretch>
                      <a:fillRect/>
                    </a:stretch>
                  </pic:blipFill>
                  <pic:spPr>
                    <a:xfrm>
                      <a:off x="0" y="0"/>
                      <a:ext cx="3960000" cy="1508285"/>
                    </a:xfrm>
                    <a:prstGeom prst="rect">
                      <a:avLst/>
                    </a:prstGeom>
                  </pic:spPr>
                </pic:pic>
              </a:graphicData>
            </a:graphic>
          </wp:inline>
        </w:drawing>
      </w:r>
    </w:p>
    <w:p w14:paraId="76A991CB" w14:textId="0E7E0BAA" w:rsidR="00625C14" w:rsidRPr="00A93D8C" w:rsidRDefault="00625C14" w:rsidP="00625C14">
      <w:pPr>
        <w:spacing w:before="0"/>
        <w:rPr>
          <w:i/>
          <w:vanish/>
          <w:specVanish/>
        </w:rPr>
      </w:pPr>
      <w:bookmarkStart w:id="1177" w:name="_Ref382203034"/>
      <w:bookmarkStart w:id="1178" w:name="_Toc431493947"/>
      <w:bookmarkStart w:id="1179" w:name="_Toc516053400"/>
      <w:r w:rsidRPr="002F7DCC">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190</w:t>
      </w:r>
      <w:r w:rsidR="00C506C7">
        <w:rPr>
          <w:noProof/>
        </w:rPr>
        <w:fldChar w:fldCharType="end"/>
      </w:r>
      <w:bookmarkEnd w:id="1177"/>
      <w:r w:rsidRPr="002F7DCC">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intertidal reef seagrass monitoring locations (sites pooled) in the Burdekin NRM region</w:t>
      </w:r>
      <w:bookmarkEnd w:id="1178"/>
      <w:bookmarkEnd w:id="1179"/>
    </w:p>
    <w:p w14:paraId="624B1F64" w14:textId="7142E47E" w:rsidR="00625C14" w:rsidRDefault="00625C14" w:rsidP="00625C14">
      <w:pPr>
        <w:spacing w:before="0"/>
      </w:pPr>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r>
        <w:t xml:space="preserve"> </w:t>
      </w:r>
    </w:p>
    <w:p w14:paraId="727ADC6C" w14:textId="77777777" w:rsidR="00D676C3" w:rsidRPr="00A93D8C" w:rsidRDefault="00D676C3" w:rsidP="00625C14">
      <w:pPr>
        <w:spacing w:before="0"/>
      </w:pPr>
    </w:p>
    <w:p w14:paraId="770028E6" w14:textId="4B7DAA74" w:rsidR="00625C14" w:rsidRPr="007D1D68" w:rsidRDefault="009A705A" w:rsidP="00625C14">
      <w:pPr>
        <w:keepNext/>
        <w:spacing w:before="240" w:after="0"/>
        <w:jc w:val="center"/>
        <w:rPr>
          <w:color w:val="000000"/>
        </w:rPr>
      </w:pPr>
      <w:r>
        <w:rPr>
          <w:noProof/>
          <w:color w:val="000000"/>
          <w:lang w:eastAsia="en-AU"/>
        </w:rPr>
        <w:drawing>
          <wp:inline distT="0" distB="0" distL="0" distR="0" wp14:anchorId="2F00F31E" wp14:editId="116FE07B">
            <wp:extent cx="3959882" cy="1515600"/>
            <wp:effectExtent l="0" t="0" r="2540" b="8890"/>
            <wp:docPr id="46" name="Picture 46" descr="Set of line graphs showing long-term trend in mean abundance of epiphytes and macroalgae at subtidal reef habitats in the Burdekin NRM region from 2008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B_epi_sub_16.png"/>
                    <pic:cNvPicPr/>
                  </pic:nvPicPr>
                  <pic:blipFill>
                    <a:blip r:embed="rId283">
                      <a:extLst>
                        <a:ext uri="{28A0092B-C50C-407E-A947-70E740481C1C}">
                          <a14:useLocalDpi xmlns:a14="http://schemas.microsoft.com/office/drawing/2010/main" val="0"/>
                        </a:ext>
                      </a:extLst>
                    </a:blip>
                    <a:stretch>
                      <a:fillRect/>
                    </a:stretch>
                  </pic:blipFill>
                  <pic:spPr>
                    <a:xfrm>
                      <a:off x="0" y="0"/>
                      <a:ext cx="3959882" cy="1515600"/>
                    </a:xfrm>
                    <a:prstGeom prst="rect">
                      <a:avLst/>
                    </a:prstGeom>
                  </pic:spPr>
                </pic:pic>
              </a:graphicData>
            </a:graphic>
          </wp:inline>
        </w:drawing>
      </w:r>
    </w:p>
    <w:p w14:paraId="5C2DFD22" w14:textId="44C3A1F9" w:rsidR="00625C14" w:rsidRPr="00A93D8C" w:rsidRDefault="00625C14" w:rsidP="00625C14">
      <w:pPr>
        <w:spacing w:before="0"/>
        <w:rPr>
          <w:i/>
          <w:vanish/>
          <w:specVanish/>
        </w:rPr>
      </w:pPr>
      <w:bookmarkStart w:id="1180" w:name="_Ref410234536"/>
      <w:bookmarkStart w:id="1181" w:name="_Toc431493948"/>
      <w:bookmarkStart w:id="1182" w:name="_Toc516053401"/>
      <w:r w:rsidRPr="007D1D68">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191</w:t>
      </w:r>
      <w:r w:rsidR="00C506C7">
        <w:rPr>
          <w:noProof/>
        </w:rPr>
        <w:fldChar w:fldCharType="end"/>
      </w:r>
      <w:bookmarkEnd w:id="1180"/>
      <w:r w:rsidRPr="007D1D68">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subtidal reef monitoring sites in Picnic Bay, Burdekin NRM region</w:t>
      </w:r>
      <w:bookmarkEnd w:id="1181"/>
      <w:bookmarkEnd w:id="1182"/>
    </w:p>
    <w:p w14:paraId="6B54EBAC" w14:textId="2BB5E6C2" w:rsidR="00625C14" w:rsidRDefault="00625C14" w:rsidP="00625C14">
      <w:pPr>
        <w:spacing w:before="0"/>
      </w:pPr>
      <w:r w:rsidRPr="00A93D8C">
        <w:rPr>
          <w:i/>
        </w:rPr>
        <w:t xml:space="preserve">.  Red line = GBR long-term average; </w:t>
      </w:r>
      <w:r w:rsidR="001E4FB1" w:rsidRPr="001E4FB1">
        <w:rPr>
          <w:i/>
        </w:rPr>
        <w:t>epiphytes=17.1</w:t>
      </w:r>
      <w:r w:rsidR="0063478C">
        <w:rPr>
          <w:i/>
        </w:rPr>
        <w:t xml:space="preserve"> per cent</w:t>
      </w:r>
      <w:r w:rsidR="001E4FB1" w:rsidRPr="001E4FB1">
        <w:rPr>
          <w:i/>
        </w:rPr>
        <w:t>, macroalgae=5.5</w:t>
      </w:r>
      <w:r w:rsidR="0063478C">
        <w:rPr>
          <w:i/>
        </w:rPr>
        <w:t xml:space="preserve"> per cent</w:t>
      </w:r>
      <w:r w:rsidRPr="00A93D8C">
        <w:rPr>
          <w:i/>
        </w:rPr>
        <w:t xml:space="preserve">. </w:t>
      </w:r>
      <w:r>
        <w:t xml:space="preserve"> </w:t>
      </w:r>
    </w:p>
    <w:p w14:paraId="6E6720C1" w14:textId="77777777" w:rsidR="00D676C3" w:rsidRPr="00A93D8C" w:rsidRDefault="00D676C3" w:rsidP="00625C14">
      <w:pPr>
        <w:spacing w:before="0"/>
      </w:pPr>
    </w:p>
    <w:p w14:paraId="33E21C06" w14:textId="1B134DE6" w:rsidR="00625C14" w:rsidRPr="00234B94" w:rsidRDefault="009A705A" w:rsidP="00625C14">
      <w:pPr>
        <w:keepNext/>
        <w:spacing w:before="240" w:after="0"/>
        <w:jc w:val="center"/>
        <w:rPr>
          <w:color w:val="000000"/>
          <w:szCs w:val="22"/>
        </w:rPr>
      </w:pPr>
      <w:r>
        <w:rPr>
          <w:noProof/>
          <w:color w:val="000000"/>
          <w:szCs w:val="22"/>
          <w:lang w:eastAsia="en-AU"/>
        </w:rPr>
        <w:drawing>
          <wp:inline distT="0" distB="0" distL="0" distR="0" wp14:anchorId="4EA02AA0" wp14:editId="336F7B34">
            <wp:extent cx="3891977" cy="2844000"/>
            <wp:effectExtent l="0" t="0" r="0" b="0"/>
            <wp:docPr id="63" name="Picture 63" descr="Set of line graphs showing long-term trend in mean abundance of epiphytes and macroalgae at coastal habitats in the Mackay Whitsunday NRM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B_epi_coast_16.png"/>
                    <pic:cNvPicPr/>
                  </pic:nvPicPr>
                  <pic:blipFill>
                    <a:blip r:embed="rId284">
                      <a:extLst>
                        <a:ext uri="{28A0092B-C50C-407E-A947-70E740481C1C}">
                          <a14:useLocalDpi xmlns:a14="http://schemas.microsoft.com/office/drawing/2010/main" val="0"/>
                        </a:ext>
                      </a:extLst>
                    </a:blip>
                    <a:stretch>
                      <a:fillRect/>
                    </a:stretch>
                  </pic:blipFill>
                  <pic:spPr>
                    <a:xfrm>
                      <a:off x="0" y="0"/>
                      <a:ext cx="3891977" cy="2844000"/>
                    </a:xfrm>
                    <a:prstGeom prst="rect">
                      <a:avLst/>
                    </a:prstGeom>
                  </pic:spPr>
                </pic:pic>
              </a:graphicData>
            </a:graphic>
          </wp:inline>
        </w:drawing>
      </w:r>
    </w:p>
    <w:p w14:paraId="63B65F51" w14:textId="77777777" w:rsidR="003B4D3B" w:rsidRPr="00A93D8C" w:rsidRDefault="00625C14" w:rsidP="003B4D3B">
      <w:pPr>
        <w:spacing w:before="0"/>
        <w:rPr>
          <w:i/>
          <w:vanish/>
          <w:specVanish/>
        </w:rPr>
      </w:pPr>
      <w:bookmarkStart w:id="1183" w:name="_Ref382206987"/>
      <w:bookmarkStart w:id="1184" w:name="_Toc431493949"/>
      <w:bookmarkStart w:id="1185" w:name="_Toc516053402"/>
      <w:r w:rsidRPr="00234B94">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192</w:t>
      </w:r>
      <w:r w:rsidR="00C506C7">
        <w:rPr>
          <w:noProof/>
        </w:rPr>
        <w:fldChar w:fldCharType="end"/>
      </w:r>
      <w:bookmarkEnd w:id="1183"/>
      <w:r w:rsidRPr="00234B94">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coastal intertidal seagrass monitoring locations (sites pooled) in the Mackay Whitsunday NRM region</w:t>
      </w:r>
      <w:bookmarkEnd w:id="1184"/>
      <w:bookmarkEnd w:id="1185"/>
    </w:p>
    <w:p w14:paraId="051177E9" w14:textId="7FA42D79" w:rsidR="00625C14" w:rsidRPr="009C7692" w:rsidRDefault="00625C14" w:rsidP="00625C14">
      <w:pPr>
        <w:spacing w:before="0"/>
        <w:rPr>
          <w:i/>
          <w:vanish/>
        </w:rPr>
      </w:pPr>
      <w:r w:rsidRPr="00A93D8C">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 xml:space="preserve">. </w:t>
      </w:r>
      <w:r>
        <w:t xml:space="preserve"> </w:t>
      </w:r>
    </w:p>
    <w:p w14:paraId="0560802E" w14:textId="77777777" w:rsidR="00D676C3" w:rsidRDefault="00D676C3" w:rsidP="00625C14">
      <w:pPr>
        <w:spacing w:before="0"/>
      </w:pPr>
    </w:p>
    <w:p w14:paraId="6222261F" w14:textId="77777777" w:rsidR="00D676C3" w:rsidRDefault="00D676C3" w:rsidP="00625C14">
      <w:pPr>
        <w:spacing w:before="0"/>
      </w:pPr>
    </w:p>
    <w:p w14:paraId="0A31E1AA" w14:textId="50AFB692" w:rsidR="00625C14" w:rsidRPr="00234B94" w:rsidRDefault="009A705A" w:rsidP="00625C14">
      <w:pPr>
        <w:keepNext/>
        <w:spacing w:before="240" w:after="0"/>
        <w:jc w:val="center"/>
        <w:rPr>
          <w:color w:val="000000"/>
          <w:szCs w:val="22"/>
        </w:rPr>
      </w:pPr>
      <w:r>
        <w:rPr>
          <w:noProof/>
          <w:color w:val="000000"/>
          <w:szCs w:val="22"/>
          <w:lang w:eastAsia="en-AU"/>
        </w:rPr>
        <w:drawing>
          <wp:inline distT="0" distB="0" distL="0" distR="0" wp14:anchorId="7FFBEF94" wp14:editId="0F8EAC8E">
            <wp:extent cx="3958333" cy="1508400"/>
            <wp:effectExtent l="0" t="0" r="4445" b="0"/>
            <wp:docPr id="64" name="Picture 64" descr="Set of line graphs showing long-term trend in mean abundance of epiphytes and macroalgae at estuarine habitats in the Mackay Whitsunday NRM region from 2004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MW_epi_estuary_16.png"/>
                    <pic:cNvPicPr/>
                  </pic:nvPicPr>
                  <pic:blipFill>
                    <a:blip r:embed="rId285">
                      <a:extLst>
                        <a:ext uri="{28A0092B-C50C-407E-A947-70E740481C1C}">
                          <a14:useLocalDpi xmlns:a14="http://schemas.microsoft.com/office/drawing/2010/main" val="0"/>
                        </a:ext>
                      </a:extLst>
                    </a:blip>
                    <a:stretch>
                      <a:fillRect/>
                    </a:stretch>
                  </pic:blipFill>
                  <pic:spPr>
                    <a:xfrm>
                      <a:off x="0" y="0"/>
                      <a:ext cx="3958333" cy="1508400"/>
                    </a:xfrm>
                    <a:prstGeom prst="rect">
                      <a:avLst/>
                    </a:prstGeom>
                  </pic:spPr>
                </pic:pic>
              </a:graphicData>
            </a:graphic>
          </wp:inline>
        </w:drawing>
      </w:r>
    </w:p>
    <w:p w14:paraId="7C0E7799" w14:textId="77777777" w:rsidR="003B4D3B" w:rsidRPr="00A93D8C" w:rsidRDefault="00625C14" w:rsidP="003B4D3B">
      <w:pPr>
        <w:spacing w:before="0"/>
        <w:rPr>
          <w:i/>
          <w:vanish/>
          <w:specVanish/>
        </w:rPr>
      </w:pPr>
      <w:bookmarkStart w:id="1186" w:name="_Ref382207016"/>
      <w:bookmarkStart w:id="1187" w:name="_Toc431493950"/>
      <w:bookmarkStart w:id="1188" w:name="_Toc516053403"/>
      <w:r w:rsidRPr="00234B94">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193</w:t>
      </w:r>
      <w:r w:rsidR="00C506C7">
        <w:rPr>
          <w:noProof/>
        </w:rPr>
        <w:fldChar w:fldCharType="end"/>
      </w:r>
      <w:bookmarkEnd w:id="1186"/>
      <w:r w:rsidRPr="00234B94">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estuarine seagrass monitoring locations (sites pooled) in the Mackay Whitsunday NRM region</w:t>
      </w:r>
      <w:bookmarkEnd w:id="1187"/>
      <w:bookmarkEnd w:id="1188"/>
    </w:p>
    <w:p w14:paraId="296DEA3A" w14:textId="4DD52BA5" w:rsidR="00D676C3" w:rsidRPr="009C7692" w:rsidRDefault="00625C14" w:rsidP="00625C14">
      <w:pPr>
        <w:spacing w:before="0"/>
        <w:rPr>
          <w:i/>
          <w:vanish/>
        </w:rPr>
      </w:pPr>
      <w:r w:rsidRPr="00A93D8C">
        <w:rPr>
          <w:i/>
        </w:rPr>
        <w:t xml:space="preserve">.  Red line = GBR long-term average; </w:t>
      </w:r>
      <w:r w:rsidR="001E4FB1" w:rsidRPr="001E4FB1">
        <w:rPr>
          <w:i/>
        </w:rPr>
        <w:t>epiphytes=27.7</w:t>
      </w:r>
      <w:r w:rsidR="0063478C">
        <w:rPr>
          <w:i/>
        </w:rPr>
        <w:t xml:space="preserve"> per cent</w:t>
      </w:r>
      <w:r w:rsidR="001E4FB1" w:rsidRPr="001E4FB1">
        <w:rPr>
          <w:i/>
        </w:rPr>
        <w:t>, macroalgae=2.1</w:t>
      </w:r>
      <w:r w:rsidR="0063478C">
        <w:rPr>
          <w:i/>
        </w:rPr>
        <w:t xml:space="preserve"> per cent</w:t>
      </w:r>
      <w:r w:rsidRPr="00A93D8C">
        <w:rPr>
          <w:i/>
        </w:rPr>
        <w:t xml:space="preserve">.  </w:t>
      </w:r>
    </w:p>
    <w:p w14:paraId="5B4F6852" w14:textId="363FF077" w:rsidR="00625C14" w:rsidRPr="00234B94" w:rsidRDefault="009A705A" w:rsidP="00625C14">
      <w:pPr>
        <w:keepNext/>
        <w:jc w:val="center"/>
        <w:rPr>
          <w:color w:val="000000"/>
          <w:szCs w:val="22"/>
        </w:rPr>
      </w:pPr>
      <w:r>
        <w:rPr>
          <w:noProof/>
          <w:color w:val="000000"/>
          <w:szCs w:val="22"/>
          <w:lang w:eastAsia="en-AU"/>
        </w:rPr>
        <w:drawing>
          <wp:inline distT="0" distB="0" distL="0" distR="0" wp14:anchorId="4DF8CE0F" wp14:editId="42A73F5F">
            <wp:extent cx="3960000" cy="1491163"/>
            <wp:effectExtent l="0" t="0" r="2540" b="0"/>
            <wp:docPr id="65" name="Picture 65" descr="Set of line graphs showing long-term trend in mean abundance of epiphytes and macroalgae at intertidal reef habitats in the Mackay Whitsunday NRM region from 2007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MW_epi_reef_16.png"/>
                    <pic:cNvPicPr/>
                  </pic:nvPicPr>
                  <pic:blipFill>
                    <a:blip r:embed="rId286">
                      <a:extLst>
                        <a:ext uri="{28A0092B-C50C-407E-A947-70E740481C1C}">
                          <a14:useLocalDpi xmlns:a14="http://schemas.microsoft.com/office/drawing/2010/main" val="0"/>
                        </a:ext>
                      </a:extLst>
                    </a:blip>
                    <a:stretch>
                      <a:fillRect/>
                    </a:stretch>
                  </pic:blipFill>
                  <pic:spPr>
                    <a:xfrm>
                      <a:off x="0" y="0"/>
                      <a:ext cx="3960000" cy="1491163"/>
                    </a:xfrm>
                    <a:prstGeom prst="rect">
                      <a:avLst/>
                    </a:prstGeom>
                  </pic:spPr>
                </pic:pic>
              </a:graphicData>
            </a:graphic>
          </wp:inline>
        </w:drawing>
      </w:r>
    </w:p>
    <w:p w14:paraId="1061F213" w14:textId="49361378" w:rsidR="00625C14" w:rsidRPr="00A93D8C" w:rsidRDefault="00625C14" w:rsidP="00625C14">
      <w:pPr>
        <w:spacing w:before="0"/>
        <w:rPr>
          <w:i/>
          <w:vanish/>
          <w:specVanish/>
        </w:rPr>
      </w:pPr>
      <w:bookmarkStart w:id="1189" w:name="_Ref382207017"/>
      <w:bookmarkStart w:id="1190" w:name="_Toc431493951"/>
      <w:bookmarkStart w:id="1191" w:name="_Toc516053404"/>
      <w:r w:rsidRPr="00234B94">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194</w:t>
      </w:r>
      <w:r w:rsidR="00C506C7">
        <w:rPr>
          <w:noProof/>
        </w:rPr>
        <w:fldChar w:fldCharType="end"/>
      </w:r>
      <w:bookmarkEnd w:id="1189"/>
      <w:r w:rsidRPr="00234B94">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reef seagrass monitoring locations (sites pooled) in the Mackay Whitsunday NRM region</w:t>
      </w:r>
      <w:bookmarkEnd w:id="1190"/>
      <w:bookmarkEnd w:id="1191"/>
    </w:p>
    <w:p w14:paraId="1890860A" w14:textId="4510C1E9" w:rsidR="00625C14" w:rsidRPr="00A93D8C" w:rsidRDefault="00625C14" w:rsidP="00625C14">
      <w:pPr>
        <w:spacing w:before="0"/>
      </w:pPr>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p>
    <w:p w14:paraId="441FCE1D" w14:textId="2BA0B67C" w:rsidR="00CB4773" w:rsidRDefault="009A705A" w:rsidP="00625C14">
      <w:pPr>
        <w:keepNext/>
        <w:jc w:val="center"/>
        <w:rPr>
          <w:color w:val="000000"/>
          <w:szCs w:val="22"/>
        </w:rPr>
      </w:pPr>
      <w:r>
        <w:rPr>
          <w:noProof/>
          <w:color w:val="000000"/>
          <w:szCs w:val="22"/>
          <w:lang w:eastAsia="en-AU"/>
        </w:rPr>
        <w:drawing>
          <wp:inline distT="0" distB="0" distL="0" distR="0" wp14:anchorId="0D8DE01B" wp14:editId="039B0F5D">
            <wp:extent cx="3960000" cy="1525414"/>
            <wp:effectExtent l="0" t="0" r="2540" b="0"/>
            <wp:docPr id="67" name="Picture 67" descr="Set of line graphs showing long-term trend in mean abundance of epiphytes and macroalgae at coastal habitats in the Fitzroy NRM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F_epi_coast_16.png"/>
                    <pic:cNvPicPr/>
                  </pic:nvPicPr>
                  <pic:blipFill>
                    <a:blip r:embed="rId287">
                      <a:extLst>
                        <a:ext uri="{28A0092B-C50C-407E-A947-70E740481C1C}">
                          <a14:useLocalDpi xmlns:a14="http://schemas.microsoft.com/office/drawing/2010/main" val="0"/>
                        </a:ext>
                      </a:extLst>
                    </a:blip>
                    <a:stretch>
                      <a:fillRect/>
                    </a:stretch>
                  </pic:blipFill>
                  <pic:spPr>
                    <a:xfrm>
                      <a:off x="0" y="0"/>
                      <a:ext cx="3960000" cy="1525414"/>
                    </a:xfrm>
                    <a:prstGeom prst="rect">
                      <a:avLst/>
                    </a:prstGeom>
                  </pic:spPr>
                </pic:pic>
              </a:graphicData>
            </a:graphic>
          </wp:inline>
        </w:drawing>
      </w:r>
    </w:p>
    <w:p w14:paraId="2570D818" w14:textId="1DDDBAD3" w:rsidR="00CB4773" w:rsidRPr="00A93D8C" w:rsidRDefault="00CB4773" w:rsidP="00CB4773">
      <w:pPr>
        <w:spacing w:before="0"/>
        <w:rPr>
          <w:i/>
          <w:vanish/>
          <w:specVanish/>
        </w:rPr>
      </w:pPr>
      <w:bookmarkStart w:id="1192" w:name="_Toc516053405"/>
      <w:r w:rsidRPr="00B5072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195</w:t>
      </w:r>
      <w:r w:rsidR="00C506C7">
        <w:rPr>
          <w:noProof/>
        </w:rPr>
        <w:fldChar w:fldCharType="end"/>
      </w:r>
      <w:r w:rsidRPr="00B5072B">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coastal intertidal seagrass monitoring locations (sites pooled) in the Fitzroy NRM region</w:t>
      </w:r>
      <w:bookmarkEnd w:id="1192"/>
    </w:p>
    <w:p w14:paraId="751EE589" w14:textId="2E207A09" w:rsidR="00CB4773" w:rsidRPr="00A93D8C" w:rsidRDefault="00CB4773" w:rsidP="00CB4773">
      <w:pPr>
        <w:spacing w:before="0"/>
        <w:rPr>
          <w:i/>
        </w:rPr>
      </w:pPr>
      <w:r w:rsidRPr="00A93D8C">
        <w:rPr>
          <w:i/>
        </w:rPr>
        <w:t xml:space="preserve">.  Red line = GBR long-term average; </w:t>
      </w:r>
      <w:r w:rsidRPr="001E4FB1">
        <w:rPr>
          <w:i/>
        </w:rPr>
        <w:t>epiphytes=17.7</w:t>
      </w:r>
      <w:r w:rsidR="0063478C">
        <w:rPr>
          <w:i/>
        </w:rPr>
        <w:t xml:space="preserve"> per cent</w:t>
      </w:r>
      <w:r w:rsidRPr="001E4FB1">
        <w:rPr>
          <w:i/>
        </w:rPr>
        <w:t>, macroalgae=3.0</w:t>
      </w:r>
      <w:r w:rsidR="0063478C">
        <w:rPr>
          <w:i/>
        </w:rPr>
        <w:t xml:space="preserve"> per cent</w:t>
      </w:r>
      <w:r w:rsidRPr="00A93D8C">
        <w:rPr>
          <w:i/>
        </w:rPr>
        <w:t xml:space="preserve">.  </w:t>
      </w:r>
    </w:p>
    <w:p w14:paraId="4BDB8EC0" w14:textId="12FE7C6B" w:rsidR="00625C14" w:rsidRPr="00B5072B" w:rsidRDefault="009A705A" w:rsidP="00625C14">
      <w:pPr>
        <w:keepNext/>
        <w:jc w:val="center"/>
        <w:rPr>
          <w:color w:val="000000"/>
          <w:szCs w:val="22"/>
        </w:rPr>
      </w:pPr>
      <w:r>
        <w:rPr>
          <w:noProof/>
          <w:color w:val="000000"/>
          <w:szCs w:val="22"/>
          <w:lang w:eastAsia="en-AU"/>
        </w:rPr>
        <w:drawing>
          <wp:inline distT="0" distB="0" distL="0" distR="0" wp14:anchorId="47F7CD71" wp14:editId="17E8E9BA">
            <wp:extent cx="3960000" cy="1512000"/>
            <wp:effectExtent l="0" t="0" r="2540" b="0"/>
            <wp:docPr id="68" name="Picture 68" descr="Set of line graphs showing long-term trend in mean abundance of epiphytes and macroalgae at estuarine habitats in the Fitzro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F_epi_estuary_16.png"/>
                    <pic:cNvPicPr/>
                  </pic:nvPicPr>
                  <pic:blipFill>
                    <a:blip r:embed="rId288">
                      <a:extLst>
                        <a:ext uri="{28A0092B-C50C-407E-A947-70E740481C1C}">
                          <a14:useLocalDpi xmlns:a14="http://schemas.microsoft.com/office/drawing/2010/main" val="0"/>
                        </a:ext>
                      </a:extLst>
                    </a:blip>
                    <a:stretch>
                      <a:fillRect/>
                    </a:stretch>
                  </pic:blipFill>
                  <pic:spPr>
                    <a:xfrm>
                      <a:off x="0" y="0"/>
                      <a:ext cx="3960000" cy="1512000"/>
                    </a:xfrm>
                    <a:prstGeom prst="rect">
                      <a:avLst/>
                    </a:prstGeom>
                  </pic:spPr>
                </pic:pic>
              </a:graphicData>
            </a:graphic>
          </wp:inline>
        </w:drawing>
      </w:r>
    </w:p>
    <w:p w14:paraId="41003C2F" w14:textId="7DBA29E0" w:rsidR="00625C14" w:rsidRPr="00A93D8C" w:rsidRDefault="00625C14" w:rsidP="00625C14">
      <w:pPr>
        <w:spacing w:before="0"/>
        <w:rPr>
          <w:i/>
          <w:vanish/>
          <w:specVanish/>
        </w:rPr>
      </w:pPr>
      <w:bookmarkStart w:id="1193" w:name="_Ref382209825"/>
      <w:bookmarkStart w:id="1194" w:name="_Toc431493953"/>
      <w:bookmarkStart w:id="1195" w:name="_Toc516053406"/>
      <w:r w:rsidRPr="00B5072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196</w:t>
      </w:r>
      <w:r w:rsidR="00C506C7">
        <w:rPr>
          <w:noProof/>
        </w:rPr>
        <w:fldChar w:fldCharType="end"/>
      </w:r>
      <w:bookmarkEnd w:id="1193"/>
      <w:r w:rsidRPr="00B5072B">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estuarine seagrass monitoring locations (sites pooled) in the Fitzroy NRM region</w:t>
      </w:r>
      <w:bookmarkEnd w:id="1194"/>
      <w:bookmarkEnd w:id="1195"/>
    </w:p>
    <w:p w14:paraId="4111A826" w14:textId="15B2F3BA" w:rsidR="00625C14" w:rsidRDefault="00625C14" w:rsidP="00625C14">
      <w:pPr>
        <w:spacing w:before="0"/>
        <w:rPr>
          <w:i/>
        </w:rPr>
      </w:pPr>
      <w:r w:rsidRPr="00A93D8C">
        <w:rPr>
          <w:i/>
        </w:rPr>
        <w:t xml:space="preserve">.  Red line = GBR long-term average; </w:t>
      </w:r>
      <w:r w:rsidR="001E4FB1" w:rsidRPr="001E4FB1">
        <w:rPr>
          <w:i/>
        </w:rPr>
        <w:t>epiphytes=27.7</w:t>
      </w:r>
      <w:r w:rsidR="0063478C">
        <w:rPr>
          <w:i/>
        </w:rPr>
        <w:t xml:space="preserve"> per cent</w:t>
      </w:r>
      <w:r w:rsidR="001E4FB1" w:rsidRPr="001E4FB1">
        <w:rPr>
          <w:i/>
        </w:rPr>
        <w:t>, macroalgae=2.1</w:t>
      </w:r>
      <w:r w:rsidR="0063478C">
        <w:rPr>
          <w:i/>
        </w:rPr>
        <w:t xml:space="preserve"> per cent</w:t>
      </w:r>
      <w:r w:rsidRPr="00A93D8C">
        <w:rPr>
          <w:i/>
        </w:rPr>
        <w:t xml:space="preserve">.  </w:t>
      </w:r>
    </w:p>
    <w:p w14:paraId="5D6C81CF" w14:textId="77777777" w:rsidR="00625C14" w:rsidRPr="00B5072B" w:rsidRDefault="00625C14" w:rsidP="00625C14">
      <w:pPr>
        <w:rPr>
          <w:color w:val="000000"/>
          <w:szCs w:val="22"/>
        </w:rPr>
      </w:pPr>
    </w:p>
    <w:p w14:paraId="26BCD165" w14:textId="0DDA6DD0" w:rsidR="00625C14" w:rsidRPr="00B5072B" w:rsidRDefault="009A705A" w:rsidP="00625C14">
      <w:pPr>
        <w:keepNext/>
        <w:jc w:val="center"/>
        <w:rPr>
          <w:color w:val="000000"/>
          <w:szCs w:val="22"/>
        </w:rPr>
      </w:pPr>
      <w:r>
        <w:rPr>
          <w:noProof/>
          <w:color w:val="000000"/>
          <w:szCs w:val="22"/>
          <w:lang w:eastAsia="en-AU"/>
        </w:rPr>
        <w:drawing>
          <wp:inline distT="0" distB="0" distL="0" distR="0" wp14:anchorId="0FB37232" wp14:editId="3FD89B7A">
            <wp:extent cx="3960000" cy="1507827"/>
            <wp:effectExtent l="0" t="0" r="2540" b="0"/>
            <wp:docPr id="88" name="Picture 88" descr="Set of line graphs showing long-term trend in mean abundance of epiphytes and macroalgae at intertidal reef habitats in the Fitzroy NRM region from 2008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F_epi_reef_16.png"/>
                    <pic:cNvPicPr/>
                  </pic:nvPicPr>
                  <pic:blipFill>
                    <a:blip r:embed="rId289">
                      <a:extLst>
                        <a:ext uri="{28A0092B-C50C-407E-A947-70E740481C1C}">
                          <a14:useLocalDpi xmlns:a14="http://schemas.microsoft.com/office/drawing/2010/main" val="0"/>
                        </a:ext>
                      </a:extLst>
                    </a:blip>
                    <a:stretch>
                      <a:fillRect/>
                    </a:stretch>
                  </pic:blipFill>
                  <pic:spPr>
                    <a:xfrm>
                      <a:off x="0" y="0"/>
                      <a:ext cx="3960000" cy="1507827"/>
                    </a:xfrm>
                    <a:prstGeom prst="rect">
                      <a:avLst/>
                    </a:prstGeom>
                  </pic:spPr>
                </pic:pic>
              </a:graphicData>
            </a:graphic>
          </wp:inline>
        </w:drawing>
      </w:r>
    </w:p>
    <w:p w14:paraId="34B9D873" w14:textId="22C9601A" w:rsidR="00625C14" w:rsidRPr="00A93D8C" w:rsidRDefault="00625C14" w:rsidP="00625C14">
      <w:pPr>
        <w:spacing w:before="0"/>
        <w:rPr>
          <w:i/>
          <w:vanish/>
          <w:specVanish/>
        </w:rPr>
      </w:pPr>
      <w:bookmarkStart w:id="1196" w:name="_Ref382209827"/>
      <w:bookmarkStart w:id="1197" w:name="_Toc431493954"/>
      <w:bookmarkStart w:id="1198" w:name="_Toc516053407"/>
      <w:r w:rsidRPr="00B5072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197</w:t>
      </w:r>
      <w:r w:rsidR="00C506C7">
        <w:rPr>
          <w:noProof/>
        </w:rPr>
        <w:fldChar w:fldCharType="end"/>
      </w:r>
      <w:bookmarkEnd w:id="1196"/>
      <w:r w:rsidRPr="00B5072B">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reef seagrass monitoring locations (sites pooled) in the Fitzroy NRM region</w:t>
      </w:r>
      <w:bookmarkEnd w:id="1197"/>
      <w:bookmarkEnd w:id="1198"/>
    </w:p>
    <w:p w14:paraId="58B17590" w14:textId="4BC5A270" w:rsidR="00625C14" w:rsidRPr="00A93D8C" w:rsidRDefault="00625C14" w:rsidP="00625C14">
      <w:pPr>
        <w:spacing w:before="0"/>
      </w:pPr>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r>
        <w:t xml:space="preserve"> </w:t>
      </w:r>
    </w:p>
    <w:p w14:paraId="07619D08" w14:textId="601054A1" w:rsidR="00625C14" w:rsidRPr="00B5072B" w:rsidRDefault="009A705A" w:rsidP="00625C14">
      <w:pPr>
        <w:jc w:val="center"/>
        <w:rPr>
          <w:color w:val="000000"/>
          <w:szCs w:val="22"/>
        </w:rPr>
      </w:pPr>
      <w:r>
        <w:rPr>
          <w:noProof/>
          <w:color w:val="000000"/>
          <w:szCs w:val="22"/>
          <w:lang w:eastAsia="en-AU"/>
        </w:rPr>
        <w:drawing>
          <wp:inline distT="0" distB="0" distL="0" distR="0" wp14:anchorId="6D8B9361" wp14:editId="003EE266">
            <wp:extent cx="3960000" cy="2862130"/>
            <wp:effectExtent l="0" t="0" r="2540" b="0"/>
            <wp:docPr id="89" name="Picture 89" descr="Set of line graphs showing long-term trend in mean abundance of epiphytes and macroalgae at estuarine habitats in the Burnett Mar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BM_epi_estuary_16.png"/>
                    <pic:cNvPicPr/>
                  </pic:nvPicPr>
                  <pic:blipFill>
                    <a:blip r:embed="rId290">
                      <a:extLst>
                        <a:ext uri="{28A0092B-C50C-407E-A947-70E740481C1C}">
                          <a14:useLocalDpi xmlns:a14="http://schemas.microsoft.com/office/drawing/2010/main" val="0"/>
                        </a:ext>
                      </a:extLst>
                    </a:blip>
                    <a:stretch>
                      <a:fillRect/>
                    </a:stretch>
                  </pic:blipFill>
                  <pic:spPr>
                    <a:xfrm>
                      <a:off x="0" y="0"/>
                      <a:ext cx="3960000" cy="2862130"/>
                    </a:xfrm>
                    <a:prstGeom prst="rect">
                      <a:avLst/>
                    </a:prstGeom>
                  </pic:spPr>
                </pic:pic>
              </a:graphicData>
            </a:graphic>
          </wp:inline>
        </w:drawing>
      </w:r>
    </w:p>
    <w:p w14:paraId="46D1DE99" w14:textId="04985254" w:rsidR="00625C14" w:rsidRPr="00A93D8C" w:rsidRDefault="00625C14" w:rsidP="00625C14">
      <w:pPr>
        <w:rPr>
          <w:i/>
          <w:vanish/>
          <w:specVanish/>
        </w:rPr>
      </w:pPr>
      <w:bookmarkStart w:id="1199" w:name="_Ref382211537"/>
      <w:bookmarkStart w:id="1200" w:name="_Toc431493955"/>
      <w:bookmarkStart w:id="1201" w:name="_Toc516053408"/>
      <w:r w:rsidRPr="00B5072B">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198</w:t>
      </w:r>
      <w:r w:rsidR="00C506C7">
        <w:rPr>
          <w:noProof/>
        </w:rPr>
        <w:fldChar w:fldCharType="end"/>
      </w:r>
      <w:bookmarkEnd w:id="1199"/>
      <w:r w:rsidRPr="00B5072B">
        <w:t xml:space="preserve">. </w:t>
      </w:r>
      <w:r w:rsidRPr="00A93D8C">
        <w:rPr>
          <w:i/>
        </w:rPr>
        <w:t>Mean abundance (</w:t>
      </w:r>
      <w:r w:rsidR="0063478C">
        <w:rPr>
          <w:i/>
        </w:rPr>
        <w:t>per cent</w:t>
      </w:r>
      <w:r w:rsidRPr="00A93D8C">
        <w:rPr>
          <w:i/>
        </w:rPr>
        <w:t xml:space="preserve"> cover) (± </w:t>
      </w:r>
      <w:r w:rsidR="009C7692">
        <w:rPr>
          <w:i/>
        </w:rPr>
        <w:t>SE</w:t>
      </w:r>
      <w:r w:rsidRPr="00A93D8C">
        <w:rPr>
          <w:i/>
        </w:rPr>
        <w:t>) of epiphytes and macroalgae at estuarine seagrass monitoring locations (sites pooled) in the Burnett Mary NRM region.</w:t>
      </w:r>
      <w:bookmarkEnd w:id="1200"/>
      <w:bookmarkEnd w:id="1201"/>
      <w:r w:rsidRPr="00285AB6">
        <w:rPr>
          <w:i/>
          <w:vanish/>
          <w:specVanish/>
        </w:rPr>
        <w:t xml:space="preserve"> </w:t>
      </w:r>
    </w:p>
    <w:p w14:paraId="7C55713D" w14:textId="4FAF43C7" w:rsidR="00625C14" w:rsidRDefault="00625C14" w:rsidP="00625C14">
      <w:pPr>
        <w:spacing w:before="0"/>
        <w:rPr>
          <w:i/>
        </w:rPr>
      </w:pPr>
      <w:r w:rsidRPr="00A93D8C">
        <w:rPr>
          <w:i/>
        </w:rPr>
        <w:t xml:space="preserve"> Red line = GBR long-term average; </w:t>
      </w:r>
      <w:r w:rsidR="001E4FB1" w:rsidRPr="001E4FB1">
        <w:rPr>
          <w:i/>
        </w:rPr>
        <w:t>epiphytes=27.7</w:t>
      </w:r>
      <w:r w:rsidR="0063478C">
        <w:rPr>
          <w:i/>
        </w:rPr>
        <w:t xml:space="preserve"> per cent</w:t>
      </w:r>
      <w:r w:rsidR="001E4FB1" w:rsidRPr="001E4FB1">
        <w:rPr>
          <w:i/>
        </w:rPr>
        <w:t>, macroalgae=2.1</w:t>
      </w:r>
      <w:r w:rsidR="0063478C">
        <w:rPr>
          <w:i/>
        </w:rPr>
        <w:t xml:space="preserve"> per cent</w:t>
      </w:r>
      <w:r w:rsidRPr="00A93D8C">
        <w:rPr>
          <w:i/>
        </w:rPr>
        <w:t xml:space="preserve">.  </w:t>
      </w:r>
    </w:p>
    <w:p w14:paraId="3E4B4B2B" w14:textId="062C0235" w:rsidR="001268E0" w:rsidRPr="009A705A" w:rsidRDefault="009A705A" w:rsidP="009A705A">
      <w:pPr>
        <w:jc w:val="center"/>
        <w:rPr>
          <w:noProof/>
          <w:color w:val="000000"/>
          <w:szCs w:val="22"/>
          <w:lang w:eastAsia="en-AU"/>
        </w:rPr>
      </w:pPr>
      <w:r w:rsidRPr="009A705A">
        <w:rPr>
          <w:noProof/>
          <w:color w:val="000000"/>
          <w:szCs w:val="22"/>
          <w:lang w:eastAsia="en-AU"/>
        </w:rPr>
        <w:drawing>
          <wp:inline distT="0" distB="0" distL="0" distR="0" wp14:anchorId="615D6FD0" wp14:editId="1C2DD6C3">
            <wp:extent cx="3960000" cy="1504176"/>
            <wp:effectExtent l="0" t="0" r="2540" b="1270"/>
            <wp:docPr id="90" name="Picture 90" descr="Set of line graphs showing long-term trend in mean abundance of epiphytes and macroalgae at coastal habitats in the Burnett Mary NRM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BM_epi_coast_16.png"/>
                    <pic:cNvPicPr/>
                  </pic:nvPicPr>
                  <pic:blipFill>
                    <a:blip r:embed="rId291">
                      <a:extLst>
                        <a:ext uri="{28A0092B-C50C-407E-A947-70E740481C1C}">
                          <a14:useLocalDpi xmlns:a14="http://schemas.microsoft.com/office/drawing/2010/main" val="0"/>
                        </a:ext>
                      </a:extLst>
                    </a:blip>
                    <a:stretch>
                      <a:fillRect/>
                    </a:stretch>
                  </pic:blipFill>
                  <pic:spPr>
                    <a:xfrm>
                      <a:off x="0" y="0"/>
                      <a:ext cx="3960000" cy="1504176"/>
                    </a:xfrm>
                    <a:prstGeom prst="rect">
                      <a:avLst/>
                    </a:prstGeom>
                  </pic:spPr>
                </pic:pic>
              </a:graphicData>
            </a:graphic>
          </wp:inline>
        </w:drawing>
      </w:r>
    </w:p>
    <w:p w14:paraId="50479600" w14:textId="751B0942" w:rsidR="00CF42C0" w:rsidRPr="00A93D8C" w:rsidRDefault="00CF42C0" w:rsidP="00CF42C0">
      <w:pPr>
        <w:rPr>
          <w:i/>
          <w:vanish/>
          <w:specVanish/>
        </w:rPr>
      </w:pPr>
      <w:bookmarkStart w:id="1202" w:name="_Toc51605340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199</w:t>
      </w:r>
      <w:r w:rsidR="00C506C7">
        <w:rPr>
          <w:noProof/>
        </w:rPr>
        <w:fldChar w:fldCharType="end"/>
      </w:r>
      <w:r>
        <w:t xml:space="preserve">. </w:t>
      </w:r>
      <w:r w:rsidRPr="00A93D8C">
        <w:rPr>
          <w:i/>
        </w:rPr>
        <w:t>Mean abundance (</w:t>
      </w:r>
      <w:r w:rsidR="0063478C">
        <w:rPr>
          <w:i/>
        </w:rPr>
        <w:t>per cent</w:t>
      </w:r>
      <w:r w:rsidRPr="00A93D8C">
        <w:rPr>
          <w:i/>
        </w:rPr>
        <w:t xml:space="preserve"> cover) (± </w:t>
      </w:r>
      <w:r w:rsidR="009C7692">
        <w:rPr>
          <w:i/>
        </w:rPr>
        <w:t>SE</w:t>
      </w:r>
      <w:r w:rsidRPr="00A93D8C">
        <w:rPr>
          <w:i/>
        </w:rPr>
        <w:t xml:space="preserve">) of epiphytes and macroalgae at </w:t>
      </w:r>
      <w:r>
        <w:rPr>
          <w:i/>
        </w:rPr>
        <w:t>coastal</w:t>
      </w:r>
      <w:r w:rsidRPr="00A93D8C">
        <w:rPr>
          <w:i/>
        </w:rPr>
        <w:t xml:space="preserve"> seagrass monitoring locations (sites pooled) in the Burnett Mary NRM region.</w:t>
      </w:r>
      <w:bookmarkEnd w:id="1202"/>
      <w:r w:rsidRPr="00285AB6">
        <w:rPr>
          <w:i/>
          <w:vanish/>
          <w:specVanish/>
        </w:rPr>
        <w:t xml:space="preserve"> </w:t>
      </w:r>
    </w:p>
    <w:p w14:paraId="7B9C361D" w14:textId="7C8FD518" w:rsidR="00D676C3" w:rsidRDefault="00CF42C0" w:rsidP="00CF42C0">
      <w:pPr>
        <w:spacing w:before="0"/>
        <w:rPr>
          <w:i/>
        </w:rPr>
      </w:pPr>
      <w:r w:rsidRPr="00A93D8C">
        <w:rPr>
          <w:i/>
        </w:rPr>
        <w:t xml:space="preserve"> Red line = GBR long-term average; </w:t>
      </w:r>
      <w:r w:rsidRPr="00CF42C0">
        <w:rPr>
          <w:i/>
        </w:rPr>
        <w:t>epiphytes=17.7</w:t>
      </w:r>
      <w:r w:rsidR="0063478C">
        <w:rPr>
          <w:i/>
        </w:rPr>
        <w:t xml:space="preserve"> per cent</w:t>
      </w:r>
      <w:r w:rsidRPr="00CF42C0">
        <w:rPr>
          <w:i/>
        </w:rPr>
        <w:t>, macroalgae=3.0</w:t>
      </w:r>
      <w:r w:rsidR="0063478C">
        <w:rPr>
          <w:i/>
        </w:rPr>
        <w:t xml:space="preserve"> per cent</w:t>
      </w:r>
      <w:r w:rsidRPr="00A93D8C">
        <w:rPr>
          <w:i/>
        </w:rPr>
        <w:t xml:space="preserve">.  </w:t>
      </w:r>
    </w:p>
    <w:p w14:paraId="44ED4973" w14:textId="77777777" w:rsidR="001268E0" w:rsidRPr="001268E0" w:rsidRDefault="001268E0" w:rsidP="001268E0">
      <w:pPr>
        <w:rPr>
          <w:lang w:val="en-GB"/>
        </w:rPr>
      </w:pPr>
    </w:p>
    <w:p w14:paraId="5E27A04F" w14:textId="77777777" w:rsidR="001268E0" w:rsidRDefault="001268E0" w:rsidP="00625C14">
      <w:pPr>
        <w:rPr>
          <w:color w:val="000000"/>
          <w:szCs w:val="22"/>
        </w:rPr>
        <w:sectPr w:rsidR="001268E0" w:rsidSect="00D10D59">
          <w:pgSz w:w="11906" w:h="16838"/>
          <w:pgMar w:top="1418" w:right="1418" w:bottom="1418" w:left="1418" w:header="709" w:footer="709" w:gutter="0"/>
          <w:cols w:space="720"/>
        </w:sectPr>
      </w:pPr>
    </w:p>
    <w:p w14:paraId="313DE73E" w14:textId="711C633F" w:rsidR="00925F0B" w:rsidRPr="00E150BC" w:rsidRDefault="00925F0B" w:rsidP="00E150BC">
      <w:pPr>
        <w:pStyle w:val="Heading3"/>
        <w:keepNext w:val="0"/>
        <w:widowControl w:val="0"/>
        <w:rPr>
          <w:rFonts w:asciiTheme="minorHAnsi" w:hAnsiTheme="minorHAnsi"/>
          <w:sz w:val="24"/>
          <w:szCs w:val="24"/>
        </w:rPr>
      </w:pPr>
      <w:bookmarkStart w:id="1203" w:name="_Ref511130957"/>
      <w:bookmarkStart w:id="1204" w:name="_Ref511131590"/>
      <w:bookmarkStart w:id="1205" w:name="_Toc516053207"/>
      <w:r w:rsidRPr="00E150BC">
        <w:rPr>
          <w:rFonts w:asciiTheme="minorHAnsi" w:hAnsiTheme="minorHAnsi"/>
          <w:sz w:val="24"/>
          <w:szCs w:val="24"/>
        </w:rPr>
        <w:t>Seagrass extent</w:t>
      </w:r>
      <w:bookmarkEnd w:id="1203"/>
      <w:bookmarkEnd w:id="1204"/>
      <w:bookmarkEnd w:id="1205"/>
    </w:p>
    <w:p w14:paraId="70A08018" w14:textId="7E403C4C" w:rsidR="007B1E97" w:rsidRPr="00517276" w:rsidRDefault="00925F0B" w:rsidP="007B1E97">
      <w:pPr>
        <w:jc w:val="center"/>
        <w:rPr>
          <w:i/>
          <w:vanish/>
          <w:color w:val="000000"/>
          <w:szCs w:val="22"/>
          <w:specVanish/>
        </w:rPr>
      </w:pPr>
      <w:bookmarkStart w:id="1206" w:name="_Toc516053476"/>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52</w:t>
      </w:r>
      <w:r w:rsidR="00C506C7">
        <w:rPr>
          <w:noProof/>
        </w:rPr>
        <w:fldChar w:fldCharType="end"/>
      </w:r>
      <w:r>
        <w:t xml:space="preserve">. </w:t>
      </w:r>
      <w:r>
        <w:rPr>
          <w:i/>
        </w:rPr>
        <w:t>Proportion of area (within 100m radius of each monitoring site) which is covered by seagrass in the Cape York and Wet Tropics NRM regions.</w:t>
      </w:r>
      <w:bookmarkEnd w:id="1206"/>
      <w:r w:rsidR="007B1E97" w:rsidRPr="007B1E97">
        <w:rPr>
          <w:i/>
          <w:vanish/>
          <w:color w:val="000000"/>
          <w:szCs w:val="22"/>
          <w:specVanish/>
        </w:rPr>
        <w:t xml:space="preserve"> </w:t>
      </w:r>
    </w:p>
    <w:p w14:paraId="585F0BBC" w14:textId="34EEF4D4" w:rsidR="00925F0B" w:rsidRDefault="00925F0B" w:rsidP="00925F0B">
      <w:pPr>
        <w:jc w:val="center"/>
      </w:pPr>
      <w:r>
        <w:rPr>
          <w:i/>
        </w:rPr>
        <w:t xml:space="preserve"> For sites codes, see Table 5. Shading indicates area of seagrass declined &gt;5</w:t>
      </w:r>
      <w:r w:rsidR="0063478C">
        <w:rPr>
          <w:i/>
        </w:rPr>
        <w:t xml:space="preserve"> per cent</w:t>
      </w:r>
      <w:r>
        <w:rPr>
          <w:i/>
        </w:rPr>
        <w:t xml:space="preserve"> (or absent) from previous assessment.</w:t>
      </w:r>
    </w:p>
    <w:tbl>
      <w:tblPr>
        <w:tblW w:w="14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557"/>
        <w:gridCol w:w="602"/>
        <w:gridCol w:w="602"/>
        <w:gridCol w:w="603"/>
        <w:gridCol w:w="603"/>
        <w:gridCol w:w="603"/>
        <w:gridCol w:w="603"/>
        <w:gridCol w:w="603"/>
        <w:gridCol w:w="603"/>
        <w:gridCol w:w="603"/>
        <w:gridCol w:w="603"/>
        <w:gridCol w:w="700"/>
        <w:gridCol w:w="603"/>
        <w:gridCol w:w="603"/>
        <w:gridCol w:w="603"/>
        <w:gridCol w:w="700"/>
        <w:gridCol w:w="603"/>
        <w:gridCol w:w="603"/>
        <w:gridCol w:w="700"/>
        <w:gridCol w:w="700"/>
        <w:gridCol w:w="700"/>
        <w:gridCol w:w="547"/>
      </w:tblGrid>
      <w:tr w:rsidR="00AA4BF5" w14:paraId="07B459B5"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7A0F331"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Date</w:t>
            </w:r>
          </w:p>
        </w:tc>
        <w:tc>
          <w:tcPr>
            <w:tcW w:w="55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49E6815" w14:textId="77777777" w:rsidR="00AA4BF5" w:rsidRDefault="00AA4BF5" w:rsidP="00DD3BAE">
            <w:pPr>
              <w:spacing w:before="0" w:after="0"/>
              <w:jc w:val="center"/>
              <w:rPr>
                <w:b/>
                <w:color w:val="000000"/>
                <w:sz w:val="16"/>
                <w:szCs w:val="16"/>
                <w:lang w:eastAsia="en-AU"/>
              </w:rPr>
            </w:pPr>
            <w:r>
              <w:rPr>
                <w:b/>
                <w:color w:val="000000"/>
                <w:sz w:val="16"/>
                <w:szCs w:val="16"/>
                <w:lang w:eastAsia="en-AU"/>
              </w:rPr>
              <w:t>SR1</w:t>
            </w:r>
          </w:p>
        </w:tc>
        <w:tc>
          <w:tcPr>
            <w:tcW w:w="602"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C0BB9D5" w14:textId="77777777" w:rsidR="00AA4BF5" w:rsidRDefault="00AA4BF5" w:rsidP="00DD3BAE">
            <w:pPr>
              <w:spacing w:before="0" w:after="0"/>
              <w:jc w:val="center"/>
              <w:rPr>
                <w:b/>
                <w:color w:val="000000"/>
                <w:sz w:val="16"/>
                <w:szCs w:val="16"/>
                <w:lang w:eastAsia="en-AU"/>
              </w:rPr>
            </w:pPr>
            <w:r>
              <w:rPr>
                <w:b/>
                <w:color w:val="000000"/>
                <w:sz w:val="16"/>
                <w:szCs w:val="16"/>
                <w:lang w:eastAsia="en-AU"/>
              </w:rPr>
              <w:t>SR2</w:t>
            </w:r>
          </w:p>
        </w:tc>
        <w:tc>
          <w:tcPr>
            <w:tcW w:w="602"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8E4EFCE" w14:textId="77777777" w:rsidR="00AA4BF5" w:rsidRDefault="00AA4BF5" w:rsidP="00DD3BAE">
            <w:pPr>
              <w:spacing w:before="0" w:after="0"/>
              <w:jc w:val="center"/>
              <w:rPr>
                <w:b/>
                <w:color w:val="000000"/>
                <w:sz w:val="16"/>
                <w:szCs w:val="16"/>
                <w:lang w:eastAsia="en-AU"/>
              </w:rPr>
            </w:pPr>
            <w:r>
              <w:rPr>
                <w:b/>
                <w:color w:val="000000"/>
                <w:sz w:val="16"/>
                <w:szCs w:val="16"/>
                <w:lang w:eastAsia="en-AU"/>
              </w:rPr>
              <w:t>FR1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1D079FE" w14:textId="77777777" w:rsidR="00AA4BF5" w:rsidRDefault="00AA4BF5" w:rsidP="00DD3BAE">
            <w:pPr>
              <w:spacing w:before="0" w:after="0"/>
              <w:jc w:val="center"/>
              <w:rPr>
                <w:b/>
                <w:color w:val="000000"/>
                <w:sz w:val="16"/>
                <w:szCs w:val="16"/>
                <w:lang w:eastAsia="en-AU"/>
              </w:rPr>
            </w:pPr>
            <w:r>
              <w:rPr>
                <w:b/>
                <w:color w:val="000000"/>
                <w:sz w:val="16"/>
                <w:szCs w:val="16"/>
                <w:lang w:eastAsia="en-AU"/>
              </w:rPr>
              <w:t>FR2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45E4DC0A" w14:textId="77777777" w:rsidR="00AA4BF5" w:rsidRDefault="00AA4BF5" w:rsidP="00DD3BAE">
            <w:pPr>
              <w:spacing w:before="0" w:after="0"/>
              <w:jc w:val="center"/>
              <w:rPr>
                <w:b/>
                <w:color w:val="000000"/>
                <w:sz w:val="16"/>
                <w:szCs w:val="16"/>
                <w:lang w:eastAsia="en-AU"/>
              </w:rPr>
            </w:pPr>
            <w:r>
              <w:rPr>
                <w:b/>
                <w:color w:val="000000"/>
                <w:sz w:val="16"/>
                <w:szCs w:val="16"/>
                <w:lang w:eastAsia="en-AU"/>
              </w:rPr>
              <w:t>ST1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77DA5282" w14:textId="77777777" w:rsidR="00AA4BF5" w:rsidRDefault="00AA4BF5" w:rsidP="00DD3BAE">
            <w:pPr>
              <w:spacing w:before="0" w:after="0"/>
              <w:jc w:val="center"/>
              <w:rPr>
                <w:b/>
                <w:color w:val="000000"/>
                <w:sz w:val="16"/>
                <w:szCs w:val="16"/>
                <w:lang w:eastAsia="en-AU"/>
              </w:rPr>
            </w:pPr>
            <w:r>
              <w:rPr>
                <w:b/>
                <w:color w:val="000000"/>
                <w:sz w:val="16"/>
                <w:szCs w:val="16"/>
                <w:lang w:eastAsia="en-AU"/>
              </w:rPr>
              <w:t>ST2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D9C2E21" w14:textId="77777777" w:rsidR="00AA4BF5" w:rsidRDefault="00AA4BF5" w:rsidP="00DD3BAE">
            <w:pPr>
              <w:spacing w:before="0" w:after="0"/>
              <w:jc w:val="center"/>
              <w:rPr>
                <w:b/>
                <w:color w:val="000000"/>
                <w:sz w:val="16"/>
                <w:szCs w:val="16"/>
                <w:lang w:eastAsia="en-AU"/>
              </w:rPr>
            </w:pPr>
            <w:r>
              <w:rPr>
                <w:b/>
                <w:color w:val="000000"/>
                <w:sz w:val="16"/>
                <w:szCs w:val="16"/>
                <w:lang w:eastAsia="en-AU"/>
              </w:rPr>
              <w:t>BY1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BA266DB" w14:textId="77777777" w:rsidR="00AA4BF5" w:rsidRDefault="00AA4BF5" w:rsidP="00DD3BAE">
            <w:pPr>
              <w:spacing w:before="0" w:after="0"/>
              <w:jc w:val="center"/>
              <w:rPr>
                <w:b/>
                <w:color w:val="000000"/>
                <w:sz w:val="16"/>
                <w:szCs w:val="16"/>
                <w:lang w:eastAsia="en-AU"/>
              </w:rPr>
            </w:pPr>
            <w:r>
              <w:rPr>
                <w:b/>
                <w:color w:val="000000"/>
                <w:sz w:val="16"/>
                <w:szCs w:val="16"/>
                <w:lang w:eastAsia="en-AU"/>
              </w:rPr>
              <w:t>BY2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6050A23E" w14:textId="77777777" w:rsidR="00AA4BF5" w:rsidRDefault="00AA4BF5" w:rsidP="00DD3BAE">
            <w:pPr>
              <w:spacing w:before="0" w:after="0"/>
              <w:jc w:val="center"/>
              <w:rPr>
                <w:b/>
                <w:color w:val="000000"/>
                <w:sz w:val="16"/>
                <w:szCs w:val="16"/>
                <w:lang w:eastAsia="en-AU"/>
              </w:rPr>
            </w:pPr>
            <w:r>
              <w:rPr>
                <w:b/>
                <w:color w:val="000000"/>
                <w:sz w:val="16"/>
                <w:szCs w:val="16"/>
                <w:lang w:eastAsia="en-AU"/>
              </w:rPr>
              <w:t>AP1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06D17B1" w14:textId="77777777" w:rsidR="00AA4BF5" w:rsidRDefault="00AA4BF5" w:rsidP="00DD3BAE">
            <w:pPr>
              <w:spacing w:before="0" w:after="0"/>
              <w:jc w:val="center"/>
              <w:rPr>
                <w:b/>
                <w:color w:val="000000"/>
                <w:sz w:val="16"/>
                <w:szCs w:val="16"/>
                <w:lang w:eastAsia="en-AU"/>
              </w:rPr>
            </w:pPr>
            <w:r>
              <w:rPr>
                <w:b/>
                <w:color w:val="000000"/>
                <w:sz w:val="16"/>
                <w:szCs w:val="16"/>
                <w:lang w:eastAsia="en-AU"/>
              </w:rPr>
              <w:t>AP2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44329BBF" w14:textId="77777777" w:rsidR="00AA4BF5" w:rsidRDefault="00AA4BF5" w:rsidP="00DD3BAE">
            <w:pPr>
              <w:spacing w:before="0" w:after="0"/>
              <w:jc w:val="center"/>
              <w:rPr>
                <w:b/>
                <w:color w:val="000000"/>
                <w:sz w:val="16"/>
                <w:szCs w:val="16"/>
                <w:lang w:eastAsia="en-AU"/>
              </w:rPr>
            </w:pPr>
            <w:r>
              <w:rPr>
                <w:b/>
                <w:color w:val="000000"/>
                <w:sz w:val="16"/>
                <w:szCs w:val="16"/>
                <w:lang w:eastAsia="en-AU"/>
              </w:rPr>
              <w:t>LI1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648DBBF0" w14:textId="77777777" w:rsidR="00AA4BF5" w:rsidRDefault="00AA4BF5" w:rsidP="00DD3BAE">
            <w:pPr>
              <w:spacing w:before="0" w:after="0"/>
              <w:jc w:val="center"/>
              <w:rPr>
                <w:b/>
                <w:color w:val="000000"/>
                <w:sz w:val="16"/>
                <w:szCs w:val="16"/>
                <w:lang w:eastAsia="en-AU"/>
              </w:rPr>
            </w:pPr>
            <w:r>
              <w:rPr>
                <w:b/>
                <w:color w:val="000000"/>
                <w:sz w:val="16"/>
                <w:szCs w:val="16"/>
                <w:lang w:eastAsia="en-AU"/>
              </w:rPr>
              <w:t>LI2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C6FBFF4" w14:textId="77777777" w:rsidR="00AA4BF5" w:rsidRDefault="00AA4BF5" w:rsidP="00DD3BAE">
            <w:pPr>
              <w:spacing w:before="0" w:after="0"/>
              <w:jc w:val="center"/>
              <w:rPr>
                <w:b/>
                <w:color w:val="000000"/>
                <w:sz w:val="16"/>
                <w:szCs w:val="16"/>
                <w:lang w:eastAsia="en-AU"/>
              </w:rPr>
            </w:pPr>
            <w:r>
              <w:rPr>
                <w:b/>
                <w:color w:val="000000"/>
                <w:sz w:val="16"/>
                <w:szCs w:val="16"/>
                <w:lang w:eastAsia="en-AU"/>
              </w:rPr>
              <w:t>YP1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623BE58" w14:textId="77777777" w:rsidR="00AA4BF5" w:rsidRDefault="00AA4BF5" w:rsidP="00DD3BAE">
            <w:pPr>
              <w:spacing w:before="0" w:after="0"/>
              <w:jc w:val="center"/>
              <w:rPr>
                <w:b/>
                <w:color w:val="000000"/>
                <w:sz w:val="16"/>
                <w:szCs w:val="16"/>
                <w:lang w:eastAsia="en-AU"/>
              </w:rPr>
            </w:pPr>
            <w:r>
              <w:rPr>
                <w:b/>
                <w:color w:val="000000"/>
                <w:sz w:val="16"/>
                <w:szCs w:val="16"/>
                <w:lang w:eastAsia="en-AU"/>
              </w:rPr>
              <w:t>YP2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44A137B" w14:textId="77777777" w:rsidR="00AA4BF5" w:rsidRDefault="00AA4BF5" w:rsidP="00DD3BAE">
            <w:pPr>
              <w:spacing w:before="0" w:after="0"/>
              <w:jc w:val="center"/>
              <w:rPr>
                <w:b/>
                <w:color w:val="000000"/>
                <w:sz w:val="16"/>
                <w:szCs w:val="16"/>
                <w:lang w:eastAsia="en-AU"/>
              </w:rPr>
            </w:pPr>
            <w:r>
              <w:rPr>
                <w:b/>
                <w:color w:val="000000"/>
                <w:sz w:val="16"/>
                <w:szCs w:val="16"/>
                <w:lang w:eastAsia="en-AU"/>
              </w:rPr>
              <w:t>GI1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8DA2389" w14:textId="77777777" w:rsidR="00AA4BF5" w:rsidRDefault="00AA4BF5" w:rsidP="00DD3BAE">
            <w:pPr>
              <w:spacing w:before="0" w:after="0"/>
              <w:jc w:val="center"/>
              <w:rPr>
                <w:b/>
                <w:color w:val="000000"/>
                <w:sz w:val="16"/>
                <w:szCs w:val="16"/>
                <w:lang w:eastAsia="en-AU"/>
              </w:rPr>
            </w:pPr>
            <w:r>
              <w:rPr>
                <w:b/>
                <w:color w:val="000000"/>
                <w:sz w:val="16"/>
                <w:szCs w:val="16"/>
                <w:lang w:eastAsia="en-AU"/>
              </w:rPr>
              <w:t>GI2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3920E0C" w14:textId="77777777" w:rsidR="00AA4BF5" w:rsidRDefault="00AA4BF5" w:rsidP="00DD3BAE">
            <w:pPr>
              <w:spacing w:before="0" w:after="0"/>
              <w:jc w:val="center"/>
              <w:rPr>
                <w:b/>
                <w:color w:val="000000"/>
                <w:sz w:val="16"/>
                <w:szCs w:val="16"/>
                <w:lang w:eastAsia="en-AU"/>
              </w:rPr>
            </w:pPr>
            <w:r>
              <w:rPr>
                <w:b/>
                <w:color w:val="000000"/>
                <w:sz w:val="16"/>
                <w:szCs w:val="16"/>
                <w:lang w:eastAsia="en-AU"/>
              </w:rPr>
              <w:t>GI3</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5319C95" w14:textId="77777777" w:rsidR="00AA4BF5" w:rsidRDefault="00AA4BF5" w:rsidP="00DD3BAE">
            <w:pPr>
              <w:spacing w:before="0" w:after="0"/>
              <w:jc w:val="center"/>
              <w:rPr>
                <w:b/>
                <w:color w:val="000000"/>
                <w:sz w:val="16"/>
                <w:szCs w:val="16"/>
                <w:lang w:eastAsia="en-AU"/>
              </w:rPr>
            </w:pPr>
            <w:r>
              <w:rPr>
                <w:b/>
                <w:color w:val="000000"/>
                <w:sz w:val="16"/>
                <w:szCs w:val="16"/>
                <w:lang w:eastAsia="en-AU"/>
              </w:rPr>
              <w:t>LB1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B50B8C7" w14:textId="77777777" w:rsidR="00AA4BF5" w:rsidRDefault="00AA4BF5" w:rsidP="00DD3BAE">
            <w:pPr>
              <w:spacing w:before="0" w:after="0"/>
              <w:jc w:val="center"/>
              <w:rPr>
                <w:b/>
                <w:color w:val="000000"/>
                <w:sz w:val="16"/>
                <w:szCs w:val="16"/>
                <w:lang w:eastAsia="en-AU"/>
              </w:rPr>
            </w:pPr>
            <w:r>
              <w:rPr>
                <w:b/>
                <w:color w:val="000000"/>
                <w:sz w:val="16"/>
                <w:szCs w:val="16"/>
                <w:lang w:eastAsia="en-AU"/>
              </w:rPr>
              <w:t>LB2</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2CD6A0E" w14:textId="77777777" w:rsidR="00AA4BF5" w:rsidRDefault="00AA4BF5" w:rsidP="00DD3BAE">
            <w:pPr>
              <w:spacing w:before="0" w:after="0"/>
              <w:jc w:val="center"/>
              <w:rPr>
                <w:b/>
                <w:color w:val="000000"/>
                <w:sz w:val="16"/>
                <w:szCs w:val="16"/>
                <w:lang w:eastAsia="en-AU"/>
              </w:rPr>
            </w:pPr>
            <w:r>
              <w:rPr>
                <w:b/>
                <w:color w:val="000000"/>
                <w:sz w:val="16"/>
                <w:szCs w:val="16"/>
                <w:lang w:eastAsia="en-AU"/>
              </w:rPr>
              <w:t>DI1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D6A8B08" w14:textId="77777777" w:rsidR="00AA4BF5" w:rsidRDefault="00AA4BF5" w:rsidP="00DD3BAE">
            <w:pPr>
              <w:spacing w:before="0" w:after="0"/>
              <w:jc w:val="center"/>
              <w:rPr>
                <w:b/>
                <w:color w:val="000000"/>
                <w:sz w:val="16"/>
                <w:szCs w:val="16"/>
                <w:lang w:eastAsia="en-AU"/>
              </w:rPr>
            </w:pPr>
            <w:r>
              <w:rPr>
                <w:b/>
                <w:color w:val="000000"/>
                <w:sz w:val="16"/>
                <w:szCs w:val="16"/>
                <w:lang w:eastAsia="en-AU"/>
              </w:rPr>
              <w:t>DI2</w:t>
            </w:r>
          </w:p>
        </w:tc>
        <w:tc>
          <w:tcPr>
            <w:tcW w:w="5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6B64739E" w14:textId="77777777" w:rsidR="00AA4BF5" w:rsidRDefault="00AA4BF5" w:rsidP="00DD3BAE">
            <w:pPr>
              <w:spacing w:before="0" w:after="0"/>
              <w:jc w:val="center"/>
              <w:rPr>
                <w:b/>
                <w:color w:val="000000"/>
                <w:sz w:val="16"/>
                <w:szCs w:val="16"/>
                <w:lang w:eastAsia="en-AU"/>
              </w:rPr>
            </w:pPr>
            <w:r>
              <w:rPr>
                <w:b/>
                <w:color w:val="000000"/>
                <w:sz w:val="16"/>
                <w:szCs w:val="16"/>
                <w:lang w:eastAsia="en-AU"/>
              </w:rPr>
              <w:t>DI3</w:t>
            </w:r>
          </w:p>
        </w:tc>
      </w:tr>
      <w:tr w:rsidR="00AA4BF5" w14:paraId="0B3985EB"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CE2180C"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Oct-05</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78C14D09"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AB559D1"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A43710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8540C0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B5E7DBA"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30A14D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4CE9F3A"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5BF381B"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D83AF4" w14:textId="77777777" w:rsidR="00AA4BF5" w:rsidRDefault="00AA4BF5" w:rsidP="00DD3BAE">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95A5FA2" w14:textId="77777777" w:rsidR="00AA4BF5" w:rsidRDefault="00AA4BF5" w:rsidP="00DD3BAE">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139E25"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A6D88C"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DCE23F1" w14:textId="77777777" w:rsidR="00AA4BF5" w:rsidRDefault="00AA4BF5" w:rsidP="00DD3BAE">
            <w:pPr>
              <w:spacing w:before="0" w:after="0"/>
              <w:jc w:val="center"/>
              <w:rPr>
                <w:color w:val="000000"/>
                <w:sz w:val="16"/>
                <w:szCs w:val="16"/>
                <w:lang w:eastAsia="en-AU"/>
              </w:rPr>
            </w:pPr>
            <w:r>
              <w:rPr>
                <w:color w:val="000000"/>
                <w:sz w:val="16"/>
                <w:szCs w:val="16"/>
                <w:lang w:eastAsia="en-AU"/>
              </w:rPr>
              <w:t>0.25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845870E"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E5AE7E5"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07F24CA"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8B3491B"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1083D9D"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430A1B4" w14:textId="77777777" w:rsidR="00AA4BF5" w:rsidRDefault="00AA4BF5" w:rsidP="00DD3BAE">
            <w:pPr>
              <w:spacing w:before="0" w:after="0"/>
              <w:jc w:val="center"/>
              <w:rPr>
                <w:color w:val="000000"/>
                <w:sz w:val="16"/>
                <w:szCs w:val="16"/>
                <w:lang w:eastAsia="en-AU"/>
              </w:rPr>
            </w:pPr>
            <w:r>
              <w:rPr>
                <w:color w:val="000000"/>
                <w:sz w:val="16"/>
                <w:szCs w:val="16"/>
                <w:lang w:eastAsia="en-AU"/>
              </w:rPr>
              <w:t>0.34</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8B83EEC"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F52B6FB" w14:textId="77777777" w:rsidR="00AA4BF5" w:rsidRDefault="00AA4BF5" w:rsidP="00DD3BAE">
            <w:pPr>
              <w:spacing w:before="0" w:after="0"/>
              <w:jc w:val="center"/>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3428D74" w14:textId="77777777" w:rsidR="00AA4BF5" w:rsidRDefault="00AA4BF5" w:rsidP="00DD3BAE">
            <w:pPr>
              <w:spacing w:before="0" w:after="0"/>
              <w:jc w:val="center"/>
              <w:rPr>
                <w:rFonts w:ascii="Times New Roman" w:hAnsi="Times New Roman"/>
                <w:sz w:val="20"/>
                <w:szCs w:val="20"/>
              </w:rPr>
            </w:pPr>
          </w:p>
        </w:tc>
      </w:tr>
      <w:tr w:rsidR="00AA4BF5" w14:paraId="3585E193"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38D335A1"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Apr-06</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19BD303E"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9F06A55"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72BEE0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B56A63C"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63407AA"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516E39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A26FC9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4B4FEC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E9DFA0A" w14:textId="77777777" w:rsidR="00AA4BF5" w:rsidRDefault="00AA4BF5" w:rsidP="00DD3BAE">
            <w:pPr>
              <w:spacing w:before="0" w:after="0"/>
              <w:jc w:val="center"/>
              <w:rPr>
                <w:color w:val="000000"/>
                <w:sz w:val="16"/>
                <w:szCs w:val="16"/>
                <w:lang w:eastAsia="en-AU"/>
              </w:rPr>
            </w:pPr>
            <w:r>
              <w:rPr>
                <w:color w:val="000000"/>
                <w:sz w:val="16"/>
                <w:szCs w:val="16"/>
                <w:lang w:eastAsia="en-AU"/>
              </w:rPr>
              <w:t>0.61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8E603A" w14:textId="77777777" w:rsidR="00AA4BF5" w:rsidRDefault="00AA4BF5" w:rsidP="00DD3BAE">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A0E37A9"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E7A16C6"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CC8959A" w14:textId="77777777" w:rsidR="00AA4BF5" w:rsidRDefault="00AA4BF5" w:rsidP="00DD3BAE">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6200F89" w14:textId="77777777" w:rsidR="00AA4BF5" w:rsidRDefault="00AA4BF5" w:rsidP="00DD3BAE">
            <w:pPr>
              <w:spacing w:before="0" w:after="0"/>
              <w:jc w:val="center"/>
              <w:rPr>
                <w:color w:val="000000"/>
                <w:sz w:val="16"/>
                <w:szCs w:val="16"/>
                <w:lang w:eastAsia="en-AU"/>
              </w:rPr>
            </w:pPr>
            <w:r>
              <w:rPr>
                <w:color w:val="000000"/>
                <w:sz w:val="16"/>
                <w:szCs w:val="16"/>
                <w:lang w:eastAsia="en-AU"/>
              </w:rPr>
              <w:t>0.76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700C566"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3A1B099"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D00AF8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E5BA97B" w14:textId="77777777" w:rsidR="00AA4BF5" w:rsidRDefault="00AA4BF5" w:rsidP="00DD3BAE">
            <w:pPr>
              <w:spacing w:before="0" w:after="0"/>
              <w:jc w:val="center"/>
              <w:rPr>
                <w:color w:val="000000"/>
                <w:sz w:val="16"/>
                <w:szCs w:val="16"/>
                <w:lang w:eastAsia="en-AU"/>
              </w:rPr>
            </w:pPr>
            <w:r>
              <w:rPr>
                <w:color w:val="000000"/>
                <w:sz w:val="16"/>
                <w:szCs w:val="16"/>
                <w:lang w:eastAsia="en-AU"/>
              </w:rPr>
              <w:t>0.2</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D81DE27" w14:textId="77777777" w:rsidR="00AA4BF5" w:rsidRDefault="00AA4BF5" w:rsidP="00DD3BAE">
            <w:pPr>
              <w:spacing w:before="0" w:after="0"/>
              <w:jc w:val="center"/>
              <w:rPr>
                <w:color w:val="000000"/>
                <w:sz w:val="16"/>
                <w:szCs w:val="16"/>
                <w:lang w:eastAsia="en-AU"/>
              </w:rPr>
            </w:pPr>
            <w:r>
              <w:rPr>
                <w:color w:val="000000"/>
                <w:sz w:val="16"/>
                <w:szCs w:val="16"/>
                <w:lang w:eastAsia="en-AU"/>
              </w:rPr>
              <w:t>0.27</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344B6C"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33E2C20" w14:textId="77777777" w:rsidR="00AA4BF5" w:rsidRDefault="00AA4BF5" w:rsidP="00DD3BAE">
            <w:pPr>
              <w:spacing w:before="0" w:after="0"/>
              <w:jc w:val="center"/>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32FA2D0" w14:textId="77777777" w:rsidR="00AA4BF5" w:rsidRDefault="00AA4BF5" w:rsidP="00DD3BAE">
            <w:pPr>
              <w:spacing w:before="0" w:after="0"/>
              <w:jc w:val="center"/>
              <w:rPr>
                <w:rFonts w:ascii="Times New Roman" w:hAnsi="Times New Roman"/>
                <w:sz w:val="20"/>
                <w:szCs w:val="20"/>
              </w:rPr>
            </w:pPr>
          </w:p>
        </w:tc>
      </w:tr>
      <w:tr w:rsidR="00AA4BF5" w14:paraId="296A9C19"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C2BA056"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Oct-06</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0B2FE93"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DDD267E"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381A887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CF2FFA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1464DC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122E0A0"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2103456"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2B4BBC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A93C657"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22CA863"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6449AF4"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0F97D4C"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E48B3C9" w14:textId="77777777" w:rsidR="00AA4BF5" w:rsidRDefault="00AA4BF5" w:rsidP="00DD3BAE">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626046F"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B84C4B4"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F7B17F1" w14:textId="77777777" w:rsidR="00AA4BF5" w:rsidRDefault="00AA4BF5" w:rsidP="00DD3BAE">
            <w:pPr>
              <w:spacing w:before="0" w:after="0"/>
              <w:jc w:val="center"/>
              <w:rPr>
                <w:color w:val="000000"/>
                <w:sz w:val="16"/>
                <w:szCs w:val="16"/>
                <w:lang w:eastAsia="en-AU"/>
              </w:rPr>
            </w:pPr>
            <w:r>
              <w:rPr>
                <w:color w:val="000000"/>
                <w:sz w:val="16"/>
                <w:szCs w:val="16"/>
                <w:lang w:eastAsia="en-AU"/>
              </w:rPr>
              <w:t>0.878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052374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1F06D2" w14:textId="77777777" w:rsidR="00AA4BF5" w:rsidRDefault="00AA4BF5" w:rsidP="00DD3BAE">
            <w:pPr>
              <w:spacing w:before="0" w:after="0"/>
              <w:jc w:val="center"/>
              <w:rPr>
                <w:color w:val="000000"/>
                <w:sz w:val="16"/>
                <w:szCs w:val="16"/>
                <w:lang w:eastAsia="en-AU"/>
              </w:rPr>
            </w:pPr>
            <w:r>
              <w:rPr>
                <w:color w:val="000000"/>
                <w:sz w:val="16"/>
                <w:szCs w:val="16"/>
                <w:lang w:eastAsia="en-AU"/>
              </w:rPr>
              <w:t>0.08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A5554F7" w14:textId="77777777" w:rsidR="00AA4BF5" w:rsidRDefault="00AA4BF5" w:rsidP="00DD3BAE">
            <w:pPr>
              <w:spacing w:before="0" w:after="0"/>
              <w:jc w:val="center"/>
              <w:rPr>
                <w:color w:val="000000"/>
                <w:sz w:val="16"/>
                <w:szCs w:val="16"/>
                <w:lang w:eastAsia="en-AU"/>
              </w:rPr>
            </w:pPr>
            <w:r>
              <w:rPr>
                <w:color w:val="000000"/>
                <w:sz w:val="16"/>
                <w:szCs w:val="16"/>
                <w:lang w:eastAsia="en-AU"/>
              </w:rPr>
              <w:t>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6A98E27"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1BF42C4" w14:textId="77777777" w:rsidR="00AA4BF5" w:rsidRDefault="00AA4BF5" w:rsidP="00DD3BAE">
            <w:pPr>
              <w:spacing w:before="0" w:after="0"/>
              <w:jc w:val="center"/>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41710F74" w14:textId="77777777" w:rsidR="00AA4BF5" w:rsidRDefault="00AA4BF5" w:rsidP="00DD3BAE">
            <w:pPr>
              <w:spacing w:before="0" w:after="0"/>
              <w:jc w:val="center"/>
              <w:rPr>
                <w:rFonts w:ascii="Times New Roman" w:hAnsi="Times New Roman"/>
                <w:sz w:val="20"/>
                <w:szCs w:val="20"/>
              </w:rPr>
            </w:pPr>
          </w:p>
        </w:tc>
      </w:tr>
      <w:tr w:rsidR="00AA4BF5" w14:paraId="23B13A5A"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79F34571"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Apr-07</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04BC0281"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3BB8CB7B"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3B630580"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0D6D4D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CB0380A"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F629BB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4FDA623"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DB459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09602A"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6BAE87A"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B755329"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F04004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78B2FA1" w14:textId="77777777" w:rsidR="00AA4BF5" w:rsidRDefault="00AA4BF5" w:rsidP="00DD3BAE">
            <w:pPr>
              <w:spacing w:before="0" w:after="0"/>
              <w:jc w:val="center"/>
              <w:rPr>
                <w:color w:val="000000"/>
                <w:sz w:val="16"/>
                <w:szCs w:val="16"/>
                <w:lang w:eastAsia="en-AU"/>
              </w:rPr>
            </w:pPr>
            <w:r>
              <w:rPr>
                <w:color w:val="000000"/>
                <w:sz w:val="16"/>
                <w:szCs w:val="16"/>
                <w:lang w:eastAsia="en-AU"/>
              </w:rPr>
              <w:t>0.45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AF2828"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7A432E4"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1411CAF"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9F646D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8082A60" w14:textId="77777777" w:rsidR="00AA4BF5" w:rsidRDefault="00AA4BF5" w:rsidP="00DD3BAE">
            <w:pPr>
              <w:spacing w:before="0" w:after="0"/>
              <w:jc w:val="center"/>
              <w:rPr>
                <w:color w:val="000000"/>
                <w:sz w:val="16"/>
                <w:szCs w:val="16"/>
                <w:lang w:eastAsia="en-AU"/>
              </w:rPr>
            </w:pPr>
            <w:r>
              <w:rPr>
                <w:color w:val="000000"/>
                <w:sz w:val="16"/>
                <w:szCs w:val="16"/>
                <w:lang w:eastAsia="en-AU"/>
              </w:rPr>
              <w:t>0.18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C4E8C59"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C6B2CB1" w14:textId="77777777" w:rsidR="00AA4BF5" w:rsidRDefault="00AA4BF5" w:rsidP="00DD3BAE">
            <w:pPr>
              <w:spacing w:before="0" w:after="0"/>
              <w:jc w:val="center"/>
              <w:rPr>
                <w:color w:val="000000"/>
                <w:sz w:val="16"/>
                <w:szCs w:val="16"/>
                <w:lang w:eastAsia="en-AU"/>
              </w:rPr>
            </w:pPr>
            <w:r>
              <w:rPr>
                <w:color w:val="000000"/>
                <w:sz w:val="16"/>
                <w:szCs w:val="16"/>
                <w:lang w:eastAsia="en-AU"/>
              </w:rPr>
              <w:t>0.59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69E4D9A"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1213FBD8" w14:textId="77777777" w:rsidR="00AA4BF5" w:rsidRDefault="00AA4BF5" w:rsidP="00DD3BAE">
            <w:pPr>
              <w:spacing w:before="0" w:after="0"/>
              <w:jc w:val="center"/>
              <w:rPr>
                <w:rFonts w:ascii="Times New Roman" w:hAnsi="Times New Roman"/>
                <w:sz w:val="20"/>
                <w:szCs w:val="20"/>
              </w:rPr>
            </w:pPr>
          </w:p>
        </w:tc>
      </w:tr>
      <w:tr w:rsidR="00AA4BF5" w14:paraId="4EE43DA1"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11860F7"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Oct-07</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7F4CCE80"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09AFE7C"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1521A9C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77BCD4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7EF24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821BE06"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183CE6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8927100"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5060B8E"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3F61868"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13351B"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2E9392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8428009" w14:textId="77777777" w:rsidR="00AA4BF5" w:rsidRDefault="00AA4BF5" w:rsidP="00DD3BAE">
            <w:pPr>
              <w:spacing w:before="0" w:after="0"/>
              <w:jc w:val="center"/>
              <w:rPr>
                <w:color w:val="000000"/>
                <w:sz w:val="16"/>
                <w:szCs w:val="16"/>
                <w:lang w:eastAsia="en-AU"/>
              </w:rPr>
            </w:pPr>
            <w:r>
              <w:rPr>
                <w:color w:val="000000"/>
                <w:sz w:val="16"/>
                <w:szCs w:val="16"/>
                <w:lang w:eastAsia="en-AU"/>
              </w:rPr>
              <w:t>0.57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A369E33" w14:textId="77777777" w:rsidR="00AA4BF5" w:rsidRDefault="00AA4BF5" w:rsidP="00DD3BAE">
            <w:pPr>
              <w:spacing w:before="0" w:after="0"/>
              <w:jc w:val="center"/>
              <w:rPr>
                <w:color w:val="000000"/>
                <w:sz w:val="16"/>
                <w:szCs w:val="16"/>
                <w:lang w:eastAsia="en-AU"/>
              </w:rPr>
            </w:pPr>
            <w:r>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C600EEE"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C297271"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18127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F887E80"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269BB3C" w14:textId="77777777" w:rsidR="00AA4BF5" w:rsidRDefault="00AA4BF5" w:rsidP="00DD3BAE">
            <w:pPr>
              <w:spacing w:before="0" w:after="0"/>
              <w:jc w:val="center"/>
              <w:rPr>
                <w:color w:val="000000"/>
                <w:sz w:val="16"/>
                <w:szCs w:val="16"/>
                <w:lang w:eastAsia="en-AU"/>
              </w:rPr>
            </w:pPr>
            <w:r>
              <w:rPr>
                <w:color w:val="000000"/>
                <w:sz w:val="16"/>
                <w:szCs w:val="16"/>
                <w:lang w:eastAsia="en-AU"/>
              </w:rPr>
              <w:t>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D40B241" w14:textId="77777777" w:rsidR="00AA4BF5" w:rsidRDefault="00AA4BF5" w:rsidP="00DD3BAE">
            <w:pPr>
              <w:spacing w:before="0" w:after="0"/>
              <w:jc w:val="center"/>
              <w:rPr>
                <w:color w:val="000000"/>
                <w:sz w:val="16"/>
                <w:szCs w:val="16"/>
                <w:lang w:eastAsia="en-AU"/>
              </w:rPr>
            </w:pPr>
            <w:r>
              <w:rPr>
                <w:color w:val="000000"/>
                <w:sz w:val="16"/>
                <w:szCs w:val="16"/>
                <w:lang w:eastAsia="en-AU"/>
              </w:rPr>
              <w:t>0.63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6035010" w14:textId="77777777" w:rsidR="00AA4BF5" w:rsidRDefault="00AA4BF5" w:rsidP="00DD3BAE">
            <w:pPr>
              <w:spacing w:before="0" w:after="0"/>
              <w:jc w:val="center"/>
              <w:rPr>
                <w:color w:val="000000"/>
                <w:sz w:val="16"/>
                <w:szCs w:val="16"/>
                <w:lang w:eastAsia="en-AU"/>
              </w:rPr>
            </w:pPr>
            <w:r>
              <w:rPr>
                <w:color w:val="000000"/>
                <w:sz w:val="16"/>
                <w:szCs w:val="16"/>
                <w:lang w:eastAsia="en-AU"/>
              </w:rPr>
              <w:t>0.76</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08235799" w14:textId="77777777" w:rsidR="00AA4BF5" w:rsidRDefault="00AA4BF5" w:rsidP="00DD3BAE">
            <w:pPr>
              <w:spacing w:before="0" w:after="0"/>
              <w:jc w:val="center"/>
              <w:rPr>
                <w:rFonts w:ascii="Times New Roman" w:hAnsi="Times New Roman"/>
                <w:sz w:val="20"/>
                <w:szCs w:val="20"/>
              </w:rPr>
            </w:pPr>
          </w:p>
        </w:tc>
      </w:tr>
      <w:tr w:rsidR="00AA4BF5" w14:paraId="7E820ABF"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51D3A68"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Apr-08</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D56775A"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92DB427"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59650AC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45AEFC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FAE42D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473B3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6B7E2FB"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78B98E3"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1753745"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8D6471B"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F72A603"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C57745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21710BD" w14:textId="77777777" w:rsidR="00AA4BF5" w:rsidRDefault="00AA4BF5" w:rsidP="00DD3BAE">
            <w:pPr>
              <w:spacing w:before="0" w:after="0"/>
              <w:jc w:val="center"/>
              <w:rPr>
                <w:color w:val="000000"/>
                <w:sz w:val="16"/>
                <w:szCs w:val="16"/>
                <w:lang w:eastAsia="en-AU"/>
              </w:rPr>
            </w:pPr>
            <w:r>
              <w:rPr>
                <w:color w:val="000000"/>
                <w:sz w:val="16"/>
                <w:szCs w:val="16"/>
                <w:lang w:eastAsia="en-AU"/>
              </w:rPr>
              <w:t>0.53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9E9E20D"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C91D9D4"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25E60F8"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9BB0AD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79AF661" w14:textId="77777777" w:rsidR="00AA4BF5" w:rsidRDefault="00AA4BF5" w:rsidP="00DD3BAE">
            <w:pPr>
              <w:spacing w:before="0" w:after="0"/>
              <w:jc w:val="center"/>
              <w:rPr>
                <w:color w:val="000000"/>
                <w:sz w:val="16"/>
                <w:szCs w:val="16"/>
                <w:lang w:eastAsia="en-AU"/>
              </w:rPr>
            </w:pPr>
            <w:r>
              <w:rPr>
                <w:color w:val="000000"/>
                <w:sz w:val="16"/>
                <w:szCs w:val="16"/>
                <w:lang w:eastAsia="en-AU"/>
              </w:rPr>
              <w:t>0.2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EEAA3C7" w14:textId="77777777" w:rsidR="00AA4BF5" w:rsidRDefault="00AA4BF5" w:rsidP="00DD3BAE">
            <w:pPr>
              <w:spacing w:before="0" w:after="0"/>
              <w:jc w:val="center"/>
              <w:rPr>
                <w:color w:val="000000"/>
                <w:sz w:val="16"/>
                <w:szCs w:val="16"/>
                <w:lang w:eastAsia="en-AU"/>
              </w:rPr>
            </w:pPr>
            <w:r>
              <w:rPr>
                <w:color w:val="000000"/>
                <w:sz w:val="16"/>
                <w:szCs w:val="16"/>
                <w:lang w:eastAsia="en-AU"/>
              </w:rPr>
              <w:t>0.27</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A9A0080" w14:textId="77777777" w:rsidR="00AA4BF5" w:rsidRDefault="00AA4BF5" w:rsidP="00DD3BAE">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1122E54" w14:textId="77777777" w:rsidR="00AA4BF5" w:rsidRDefault="00AA4BF5" w:rsidP="00DD3BAE">
            <w:pPr>
              <w:spacing w:before="0" w:after="0"/>
              <w:jc w:val="center"/>
              <w:rPr>
                <w:color w:val="000000"/>
                <w:sz w:val="16"/>
                <w:szCs w:val="16"/>
                <w:lang w:eastAsia="en-AU"/>
              </w:rPr>
            </w:pPr>
            <w:r>
              <w:rPr>
                <w:color w:val="000000"/>
                <w:sz w:val="16"/>
                <w:szCs w:val="16"/>
                <w:lang w:eastAsia="en-AU"/>
              </w:rPr>
              <w:t>0.8</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218821B6" w14:textId="77777777" w:rsidR="00AA4BF5" w:rsidRDefault="00AA4BF5" w:rsidP="00DD3BAE">
            <w:pPr>
              <w:spacing w:before="0" w:after="0"/>
              <w:jc w:val="center"/>
              <w:rPr>
                <w:rFonts w:ascii="Times New Roman" w:hAnsi="Times New Roman"/>
                <w:sz w:val="20"/>
                <w:szCs w:val="20"/>
              </w:rPr>
            </w:pPr>
          </w:p>
        </w:tc>
      </w:tr>
      <w:tr w:rsidR="00AA4BF5" w14:paraId="3E3A90D2"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5DE3341A"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Oct-08</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7052A6E1"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DD8F2FC"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76EE80F0"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6D57DC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7465E0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191471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D6151C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98B85B3"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89523A1"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C84BE38"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821F04"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9ECD0E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D169F01" w14:textId="77777777" w:rsidR="00AA4BF5" w:rsidRDefault="00AA4BF5" w:rsidP="00DD3BAE">
            <w:pPr>
              <w:spacing w:before="0" w:after="0"/>
              <w:jc w:val="center"/>
              <w:rPr>
                <w:color w:val="000000"/>
                <w:sz w:val="16"/>
                <w:szCs w:val="16"/>
                <w:lang w:eastAsia="en-AU"/>
              </w:rPr>
            </w:pPr>
            <w:r>
              <w:rPr>
                <w:color w:val="000000"/>
                <w:sz w:val="16"/>
                <w:szCs w:val="16"/>
                <w:lang w:eastAsia="en-AU"/>
              </w:rPr>
              <w:t>0.54</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7DEE3F2" w14:textId="77777777" w:rsidR="00AA4BF5" w:rsidRDefault="00AA4BF5" w:rsidP="00DD3BAE">
            <w:pPr>
              <w:spacing w:before="0" w:after="0"/>
              <w:jc w:val="center"/>
              <w:rPr>
                <w:color w:val="000000"/>
                <w:sz w:val="16"/>
                <w:szCs w:val="16"/>
                <w:lang w:eastAsia="en-AU"/>
              </w:rPr>
            </w:pPr>
            <w:r>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CDB9B0B"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FD7F6EC"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28943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ECB3C67" w14:textId="77777777" w:rsidR="00AA4BF5" w:rsidRDefault="00AA4BF5" w:rsidP="00DD3BAE">
            <w:pPr>
              <w:spacing w:before="0" w:after="0"/>
              <w:jc w:val="center"/>
              <w:rPr>
                <w:color w:val="000000"/>
                <w:sz w:val="16"/>
                <w:szCs w:val="16"/>
                <w:lang w:eastAsia="en-AU"/>
              </w:rPr>
            </w:pPr>
            <w:r>
              <w:rPr>
                <w:color w:val="000000"/>
                <w:sz w:val="16"/>
                <w:szCs w:val="16"/>
                <w:lang w:eastAsia="en-AU"/>
              </w:rPr>
              <w:t>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5D91243" w14:textId="77777777" w:rsidR="00AA4BF5" w:rsidRDefault="00AA4BF5" w:rsidP="00DD3BAE">
            <w:pPr>
              <w:spacing w:before="0" w:after="0"/>
              <w:jc w:val="center"/>
              <w:rPr>
                <w:color w:val="000000"/>
                <w:sz w:val="16"/>
                <w:szCs w:val="16"/>
                <w:lang w:eastAsia="en-AU"/>
              </w:rPr>
            </w:pPr>
            <w:r>
              <w:rPr>
                <w:color w:val="000000"/>
                <w:sz w:val="16"/>
                <w:szCs w:val="16"/>
                <w:lang w:eastAsia="en-AU"/>
              </w:rPr>
              <w:t>0.36</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39E5BD2" w14:textId="77777777" w:rsidR="00AA4BF5" w:rsidRDefault="00AA4BF5" w:rsidP="00DD3BAE">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D356C12"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757FADC7" w14:textId="77777777" w:rsidR="00AA4BF5" w:rsidRDefault="00AA4BF5" w:rsidP="00DD3BAE">
            <w:pPr>
              <w:spacing w:before="0" w:after="0"/>
              <w:jc w:val="center"/>
              <w:rPr>
                <w:rFonts w:ascii="Times New Roman" w:hAnsi="Times New Roman"/>
                <w:sz w:val="20"/>
                <w:szCs w:val="20"/>
              </w:rPr>
            </w:pPr>
          </w:p>
        </w:tc>
      </w:tr>
      <w:tr w:rsidR="00AA4BF5" w14:paraId="0AC16F58"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7D2A6EC"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Apr-09</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175A9563"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921AECA"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C3B3B3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75BCA4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76B03A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F77973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F14E1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4D567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6FA0C95" w14:textId="77777777" w:rsidR="00AA4BF5" w:rsidRDefault="00AA4BF5" w:rsidP="00DD3BAE">
            <w:pPr>
              <w:spacing w:before="0" w:after="0"/>
              <w:jc w:val="center"/>
              <w:rPr>
                <w:color w:val="000000"/>
                <w:sz w:val="16"/>
                <w:szCs w:val="16"/>
                <w:lang w:eastAsia="en-AU"/>
              </w:rPr>
            </w:pPr>
            <w:r>
              <w:rPr>
                <w:color w:val="000000"/>
                <w:sz w:val="16"/>
                <w:szCs w:val="16"/>
                <w:lang w:eastAsia="en-AU"/>
              </w:rPr>
              <w:t>0.62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1C1A0AC" w14:textId="77777777" w:rsidR="00AA4BF5" w:rsidRDefault="00AA4BF5" w:rsidP="00DD3BAE">
            <w:pPr>
              <w:spacing w:before="0" w:after="0"/>
              <w:jc w:val="center"/>
              <w:rPr>
                <w:color w:val="000000"/>
                <w:sz w:val="16"/>
                <w:szCs w:val="16"/>
                <w:lang w:eastAsia="en-AU"/>
              </w:rPr>
            </w:pPr>
            <w:r>
              <w:rPr>
                <w:color w:val="000000"/>
                <w:sz w:val="16"/>
                <w:szCs w:val="16"/>
                <w:lang w:eastAsia="en-AU"/>
              </w:rPr>
              <w:t>0.6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C3DB995"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7054D7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1799AE1"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37A2FA"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E740041"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33A7043"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F1B273"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A57C622" w14:textId="77777777" w:rsidR="00AA4BF5" w:rsidRDefault="00AA4BF5" w:rsidP="00DD3BAE">
            <w:pPr>
              <w:spacing w:before="0" w:after="0"/>
              <w:jc w:val="center"/>
              <w:rPr>
                <w:color w:val="000000"/>
                <w:sz w:val="16"/>
                <w:szCs w:val="16"/>
                <w:lang w:eastAsia="en-AU"/>
              </w:rPr>
            </w:pPr>
            <w:r>
              <w:rPr>
                <w:color w:val="000000"/>
                <w:sz w:val="16"/>
                <w:szCs w:val="16"/>
                <w:lang w:eastAsia="en-AU"/>
              </w:rPr>
              <w:t>0.23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458F6D2"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401A27E" w14:textId="77777777" w:rsidR="00AA4BF5" w:rsidRDefault="00AA4BF5" w:rsidP="00DD3BAE">
            <w:pPr>
              <w:spacing w:before="0" w:after="0"/>
              <w:jc w:val="center"/>
              <w:rPr>
                <w:color w:val="000000"/>
                <w:sz w:val="16"/>
                <w:szCs w:val="16"/>
                <w:lang w:eastAsia="en-AU"/>
              </w:rPr>
            </w:pPr>
            <w:r>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DC38B33" w14:textId="77777777" w:rsidR="00AA4BF5" w:rsidRDefault="00AA4BF5" w:rsidP="00DD3BAE">
            <w:pPr>
              <w:spacing w:before="0" w:after="0"/>
              <w:jc w:val="center"/>
              <w:rPr>
                <w:color w:val="000000"/>
                <w:sz w:val="16"/>
                <w:szCs w:val="16"/>
                <w:lang w:eastAsia="en-AU"/>
              </w:rPr>
            </w:pPr>
            <w:r>
              <w:rPr>
                <w:color w:val="000000"/>
                <w:sz w:val="16"/>
                <w:szCs w:val="16"/>
                <w:lang w:eastAsia="en-AU"/>
              </w:rPr>
              <w:t>0.8</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11BFEBB0" w14:textId="77777777" w:rsidR="00AA4BF5" w:rsidRDefault="00AA4BF5" w:rsidP="00DD3BAE">
            <w:pPr>
              <w:spacing w:before="0" w:after="0"/>
              <w:jc w:val="center"/>
              <w:rPr>
                <w:rFonts w:ascii="Times New Roman" w:hAnsi="Times New Roman"/>
                <w:sz w:val="20"/>
                <w:szCs w:val="20"/>
              </w:rPr>
            </w:pPr>
          </w:p>
        </w:tc>
      </w:tr>
      <w:tr w:rsidR="00AA4BF5" w14:paraId="48BF412E"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39D9437C"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Oct-09</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5EFEAE95"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B7C6F5B"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1FC8DF1C"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82401F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86C8E4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79A944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0365B6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05C62F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4C950F" w14:textId="77777777" w:rsidR="00AA4BF5" w:rsidRDefault="00AA4BF5" w:rsidP="00DD3BAE">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BFF54AA"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5FCD08"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F498C7C"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9F766B" w14:textId="77777777" w:rsidR="00AA4BF5" w:rsidRDefault="00AA4BF5" w:rsidP="00DD3BAE">
            <w:pPr>
              <w:spacing w:before="0" w:after="0"/>
              <w:jc w:val="center"/>
              <w:rPr>
                <w:color w:val="000000"/>
                <w:sz w:val="16"/>
                <w:szCs w:val="16"/>
                <w:lang w:eastAsia="en-AU"/>
              </w:rPr>
            </w:pPr>
            <w:r>
              <w:rPr>
                <w:color w:val="000000"/>
                <w:sz w:val="16"/>
                <w:szCs w:val="16"/>
                <w:lang w:eastAsia="en-AU"/>
              </w:rPr>
              <w:t>0.42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78ECD00"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C5B42A7"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418EFB6"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BB0FA4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F7F2601" w14:textId="77777777" w:rsidR="00AA4BF5" w:rsidRDefault="00AA4BF5" w:rsidP="00DD3BAE">
            <w:pPr>
              <w:spacing w:before="0" w:after="0"/>
              <w:jc w:val="center"/>
              <w:rPr>
                <w:color w:val="000000"/>
                <w:sz w:val="16"/>
                <w:szCs w:val="16"/>
                <w:lang w:eastAsia="en-AU"/>
              </w:rPr>
            </w:pPr>
            <w:r>
              <w:rPr>
                <w:color w:val="000000"/>
                <w:sz w:val="16"/>
                <w:szCs w:val="16"/>
                <w:lang w:eastAsia="en-AU"/>
              </w:rPr>
              <w:t>0.23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BE1B987" w14:textId="77777777" w:rsidR="00AA4BF5" w:rsidRDefault="00AA4BF5" w:rsidP="00DD3BAE">
            <w:pPr>
              <w:spacing w:before="0" w:after="0"/>
              <w:jc w:val="center"/>
              <w:rPr>
                <w:color w:val="000000"/>
                <w:sz w:val="16"/>
                <w:szCs w:val="16"/>
                <w:lang w:eastAsia="en-AU"/>
              </w:rPr>
            </w:pPr>
            <w:r>
              <w:rPr>
                <w:color w:val="000000"/>
                <w:sz w:val="16"/>
                <w:szCs w:val="16"/>
                <w:lang w:eastAsia="en-AU"/>
              </w:rPr>
              <w:t>0.29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D971641" w14:textId="77777777" w:rsidR="00AA4BF5" w:rsidRDefault="00AA4BF5" w:rsidP="00DD3BAE">
            <w:pPr>
              <w:spacing w:before="0" w:after="0"/>
              <w:jc w:val="center"/>
              <w:rPr>
                <w:color w:val="000000"/>
                <w:sz w:val="16"/>
                <w:szCs w:val="16"/>
                <w:lang w:eastAsia="en-AU"/>
              </w:rPr>
            </w:pPr>
            <w:r>
              <w:rPr>
                <w:color w:val="000000"/>
                <w:sz w:val="16"/>
                <w:szCs w:val="16"/>
                <w:lang w:eastAsia="en-AU"/>
              </w:rPr>
              <w:t>0.62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83DADE1" w14:textId="77777777" w:rsidR="00AA4BF5" w:rsidRDefault="00AA4BF5" w:rsidP="00DD3BAE">
            <w:pPr>
              <w:spacing w:before="0" w:after="0"/>
              <w:jc w:val="center"/>
              <w:rPr>
                <w:color w:val="000000"/>
                <w:sz w:val="16"/>
                <w:szCs w:val="16"/>
                <w:lang w:eastAsia="en-AU"/>
              </w:rPr>
            </w:pPr>
            <w:r>
              <w:rPr>
                <w:color w:val="000000"/>
                <w:sz w:val="16"/>
                <w:szCs w:val="16"/>
                <w:lang w:eastAsia="en-AU"/>
              </w:rPr>
              <w:t>0.79</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51446ABA" w14:textId="77777777" w:rsidR="00AA4BF5" w:rsidRDefault="00AA4BF5" w:rsidP="00DD3BAE">
            <w:pPr>
              <w:spacing w:before="0" w:after="0"/>
              <w:jc w:val="center"/>
              <w:rPr>
                <w:rFonts w:ascii="Times New Roman" w:hAnsi="Times New Roman"/>
                <w:sz w:val="20"/>
                <w:szCs w:val="20"/>
              </w:rPr>
            </w:pPr>
          </w:p>
        </w:tc>
      </w:tr>
      <w:tr w:rsidR="00AA4BF5" w14:paraId="4DCF7231"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C3452DB"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Apr-10</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2E5B90E6"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9D28C44"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D5BD5D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727310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58FF17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E2F570B"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92B21A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6B6E9A4"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22E40F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7E743C"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53DDFFD"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1C6BD9B"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64D532" w14:textId="77777777" w:rsidR="00AA4BF5" w:rsidRDefault="00AA4BF5" w:rsidP="00DD3BAE">
            <w:pPr>
              <w:spacing w:before="0" w:after="0"/>
              <w:jc w:val="center"/>
              <w:rPr>
                <w:color w:val="000000"/>
                <w:sz w:val="16"/>
                <w:szCs w:val="16"/>
                <w:lang w:eastAsia="en-AU"/>
              </w:rPr>
            </w:pPr>
            <w:r>
              <w:rPr>
                <w:color w:val="000000"/>
                <w:sz w:val="16"/>
                <w:szCs w:val="16"/>
                <w:lang w:eastAsia="en-AU"/>
              </w:rPr>
              <w:t>0.3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753E2F6"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836E4B1"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CF00E4E"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0617C0F"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6E12E5A" w14:textId="77777777" w:rsidR="00AA4BF5" w:rsidRDefault="00AA4BF5" w:rsidP="00DD3BAE">
            <w:pPr>
              <w:spacing w:before="0" w:after="0"/>
              <w:jc w:val="center"/>
              <w:rPr>
                <w:color w:val="000000"/>
                <w:sz w:val="16"/>
                <w:szCs w:val="16"/>
                <w:lang w:eastAsia="en-AU"/>
              </w:rPr>
            </w:pPr>
            <w:r>
              <w:rPr>
                <w:color w:val="000000"/>
                <w:sz w:val="16"/>
                <w:szCs w:val="16"/>
                <w:lang w:eastAsia="en-AU"/>
              </w:rPr>
              <w:t>0.09</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7BC29E7" w14:textId="77777777" w:rsidR="00AA4BF5" w:rsidRDefault="00AA4BF5" w:rsidP="00DD3BAE">
            <w:pPr>
              <w:spacing w:before="0" w:after="0"/>
              <w:jc w:val="center"/>
              <w:rPr>
                <w:color w:val="000000"/>
                <w:sz w:val="16"/>
                <w:szCs w:val="16"/>
                <w:lang w:eastAsia="en-AU"/>
              </w:rPr>
            </w:pPr>
            <w:r>
              <w:rPr>
                <w:color w:val="000000"/>
                <w:sz w:val="16"/>
                <w:szCs w:val="16"/>
                <w:lang w:eastAsia="en-AU"/>
              </w:rPr>
              <w:t>0.09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8A082BF" w14:textId="77777777" w:rsidR="00AA4BF5" w:rsidRDefault="00AA4BF5" w:rsidP="00DD3BAE">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0C4AE96"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146A51C3" w14:textId="77777777" w:rsidR="00AA4BF5" w:rsidRDefault="00AA4BF5" w:rsidP="00DD3BAE">
            <w:pPr>
              <w:spacing w:before="0" w:after="0"/>
              <w:jc w:val="center"/>
              <w:rPr>
                <w:rFonts w:ascii="Times New Roman" w:hAnsi="Times New Roman"/>
                <w:sz w:val="20"/>
                <w:szCs w:val="20"/>
              </w:rPr>
            </w:pPr>
          </w:p>
        </w:tc>
      </w:tr>
      <w:tr w:rsidR="00AA4BF5" w14:paraId="5204FDD3"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A5CAAAA"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Oct-10</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400C0A5C"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8F633A8"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8286B6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AD312D"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C444E42"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7B1BAF"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4E1DD0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7E8D77E"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A9FCBF9" w14:textId="77777777" w:rsidR="00AA4BF5" w:rsidRDefault="00AA4BF5" w:rsidP="00DD3BAE">
            <w:pPr>
              <w:spacing w:before="0" w:after="0"/>
              <w:jc w:val="center"/>
              <w:rPr>
                <w:color w:val="000000"/>
                <w:sz w:val="16"/>
                <w:szCs w:val="16"/>
                <w:lang w:eastAsia="en-AU"/>
              </w:rPr>
            </w:pPr>
            <w:r>
              <w:rPr>
                <w:color w:val="000000"/>
                <w:sz w:val="16"/>
                <w:szCs w:val="16"/>
                <w:lang w:eastAsia="en-AU"/>
              </w:rPr>
              <w:t>0.73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F60E912"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DA3AAB"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60997DF"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143979"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7EDD3B6" w14:textId="77777777" w:rsidR="00AA4BF5" w:rsidRDefault="00AA4BF5" w:rsidP="00DD3BAE">
            <w:pPr>
              <w:spacing w:before="0" w:after="0"/>
              <w:jc w:val="center"/>
              <w:rPr>
                <w:color w:val="000000"/>
                <w:sz w:val="16"/>
                <w:szCs w:val="16"/>
                <w:lang w:eastAsia="en-AU"/>
              </w:rPr>
            </w:pPr>
            <w:r>
              <w:rPr>
                <w:color w:val="000000"/>
                <w:sz w:val="16"/>
                <w:szCs w:val="16"/>
                <w:lang w:eastAsia="en-AU"/>
              </w:rPr>
              <w:t>0.79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9DFD785"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B5BBA18"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8FF0E13"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BCBC333"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30C3C44"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770D425" w14:textId="77777777" w:rsidR="00AA4BF5" w:rsidRDefault="00AA4BF5" w:rsidP="00DD3BAE">
            <w:pPr>
              <w:spacing w:before="0" w:after="0"/>
              <w:jc w:val="center"/>
              <w:rPr>
                <w:color w:val="000000"/>
                <w:sz w:val="16"/>
                <w:szCs w:val="16"/>
                <w:lang w:eastAsia="en-AU"/>
              </w:rPr>
            </w:pPr>
            <w:r>
              <w:rPr>
                <w:color w:val="000000"/>
                <w:sz w:val="16"/>
                <w:szCs w:val="16"/>
                <w:lang w:eastAsia="en-AU"/>
              </w:rPr>
              <w:t>0.62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E87684E"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3BB96283" w14:textId="77777777" w:rsidR="00AA4BF5" w:rsidRDefault="00AA4BF5" w:rsidP="00DD3BAE">
            <w:pPr>
              <w:spacing w:before="0" w:after="0"/>
              <w:jc w:val="center"/>
              <w:rPr>
                <w:rFonts w:ascii="Times New Roman" w:hAnsi="Times New Roman"/>
                <w:sz w:val="20"/>
                <w:szCs w:val="20"/>
              </w:rPr>
            </w:pPr>
          </w:p>
        </w:tc>
      </w:tr>
      <w:tr w:rsidR="00AA4BF5" w14:paraId="0811DCD5"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48A775F"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Apr-11</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F124AAE"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BC7E6E1"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EF10E5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0C0202E"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59F793A"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1FA6AEE"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EE50388"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2C52E6E"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1930A60"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101EB9A" w14:textId="77777777" w:rsidR="00AA4BF5" w:rsidRDefault="00AA4BF5" w:rsidP="00DD3BAE">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1B84DFC"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6948AA0"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B96D9F2" w14:textId="77777777" w:rsidR="00AA4BF5" w:rsidRDefault="00AA4BF5" w:rsidP="00DD3BAE">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533C6C5"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E5D53B4"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D60D596"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6EEDA59"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43B4FBE"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26EE378"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3195C52"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EF77494" w14:textId="77777777" w:rsidR="00AA4BF5" w:rsidRDefault="00AA4BF5" w:rsidP="00DD3BAE">
            <w:pPr>
              <w:spacing w:before="0" w:after="0"/>
              <w:jc w:val="center"/>
              <w:rPr>
                <w:color w:val="000000"/>
                <w:sz w:val="16"/>
                <w:szCs w:val="16"/>
                <w:lang w:eastAsia="en-AU"/>
              </w:rPr>
            </w:pPr>
            <w:r>
              <w:rPr>
                <w:color w:val="000000"/>
                <w:sz w:val="16"/>
                <w:szCs w:val="16"/>
                <w:lang w:eastAsia="en-AU"/>
              </w:rPr>
              <w:t>0.002</w:t>
            </w:r>
          </w:p>
        </w:tc>
        <w:tc>
          <w:tcPr>
            <w:tcW w:w="5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64033D9" w14:textId="77777777" w:rsidR="00AA4BF5" w:rsidRDefault="00AA4BF5" w:rsidP="00DD3BAE">
            <w:pPr>
              <w:spacing w:before="0" w:after="0"/>
              <w:jc w:val="center"/>
              <w:rPr>
                <w:rFonts w:ascii="Times New Roman" w:hAnsi="Times New Roman"/>
                <w:sz w:val="20"/>
                <w:szCs w:val="20"/>
              </w:rPr>
            </w:pPr>
          </w:p>
        </w:tc>
      </w:tr>
      <w:tr w:rsidR="00AA4BF5" w14:paraId="0930689D"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3051986B"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Oct-11</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45510DD3"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518C2008"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7B5BE9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25D0E4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6F9A3D1"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20E6397"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D0F6975"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4D5990" w14:textId="77777777" w:rsidR="00AA4BF5" w:rsidRDefault="00AA4BF5" w:rsidP="00DD3BAE">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71BBA8"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B390DC6"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6D2346D" w14:textId="77777777" w:rsidR="00AA4BF5" w:rsidRDefault="00AA4BF5" w:rsidP="00DD3BAE">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9322F16" w14:textId="77777777" w:rsidR="00AA4BF5" w:rsidRDefault="00AA4BF5" w:rsidP="00DD3BAE">
            <w:pPr>
              <w:spacing w:before="0" w:after="0"/>
              <w:jc w:val="center"/>
              <w:rPr>
                <w:color w:val="000000"/>
                <w:sz w:val="16"/>
                <w:szCs w:val="16"/>
                <w:lang w:eastAsia="en-AU"/>
              </w:rPr>
            </w:pPr>
            <w:r>
              <w:rPr>
                <w:color w:val="000000"/>
                <w:sz w:val="16"/>
                <w:szCs w:val="16"/>
                <w:lang w:eastAsia="en-AU"/>
              </w:rPr>
              <w:t>0.48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54531A4" w14:textId="77777777" w:rsidR="00AA4BF5" w:rsidRDefault="00AA4BF5" w:rsidP="00DD3BAE">
            <w:pPr>
              <w:spacing w:before="0" w:after="0"/>
              <w:jc w:val="center"/>
              <w:rPr>
                <w:color w:val="000000"/>
                <w:sz w:val="16"/>
                <w:szCs w:val="16"/>
                <w:lang w:eastAsia="en-AU"/>
              </w:rPr>
            </w:pPr>
            <w:r>
              <w:rPr>
                <w:color w:val="000000"/>
                <w:sz w:val="16"/>
                <w:szCs w:val="16"/>
                <w:lang w:eastAsia="en-AU"/>
              </w:rPr>
              <w:t>0.08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A8E2177" w14:textId="77777777" w:rsidR="00AA4BF5" w:rsidRDefault="00AA4BF5" w:rsidP="00DD3BAE">
            <w:pPr>
              <w:spacing w:before="0" w:after="0"/>
              <w:jc w:val="center"/>
              <w:rPr>
                <w:color w:val="000000"/>
                <w:sz w:val="16"/>
                <w:szCs w:val="16"/>
                <w:lang w:eastAsia="en-AU"/>
              </w:rPr>
            </w:pPr>
            <w:r>
              <w:rPr>
                <w:color w:val="000000"/>
                <w:sz w:val="16"/>
                <w:szCs w:val="16"/>
                <w:lang w:eastAsia="en-AU"/>
              </w:rPr>
              <w:t>0.38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9A6B79C"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BDEAC4C"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884A42B" w14:textId="77777777" w:rsidR="00AA4BF5" w:rsidRDefault="00AA4BF5" w:rsidP="00DD3BAE">
            <w:pPr>
              <w:spacing w:before="0" w:after="0"/>
              <w:jc w:val="center"/>
              <w:rPr>
                <w:color w:val="000000"/>
                <w:sz w:val="16"/>
                <w:szCs w:val="16"/>
                <w:lang w:eastAsia="en-AU"/>
              </w:rPr>
            </w:pPr>
            <w:r>
              <w:rPr>
                <w:color w:val="000000"/>
                <w:sz w:val="16"/>
                <w:szCs w:val="16"/>
                <w:lang w:eastAsia="en-AU"/>
              </w:rPr>
              <w:t>0.26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9AE72E"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8A39639"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6C6B944"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0BE0DCB" w14:textId="77777777" w:rsidR="00AA4BF5" w:rsidRDefault="00AA4BF5" w:rsidP="00DD3BAE">
            <w:pPr>
              <w:spacing w:before="0" w:after="0"/>
              <w:jc w:val="center"/>
              <w:rPr>
                <w:color w:val="000000"/>
                <w:sz w:val="16"/>
                <w:szCs w:val="16"/>
                <w:lang w:eastAsia="en-AU"/>
              </w:rPr>
            </w:pPr>
            <w:r>
              <w:rPr>
                <w:color w:val="000000"/>
                <w:sz w:val="16"/>
                <w:szCs w:val="16"/>
                <w:lang w:eastAsia="en-AU"/>
              </w:rPr>
              <w:t>0.05</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623DF0A"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234EB805"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12A0AAE"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Apr-12</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4E87F2A"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66352D0"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B6CC642"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6FEC3DE"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6ACF916"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DC87E0"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B556FC5"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7ADB8C6"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E966676"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AE5913D" w14:textId="77777777" w:rsidR="00AA4BF5" w:rsidRDefault="00AA4BF5" w:rsidP="00DD3BAE">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440198DE"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0.47</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524FF9"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CD2B655" w14:textId="77777777" w:rsidR="00AA4BF5" w:rsidRDefault="00AA4BF5" w:rsidP="00DD3BAE">
            <w:pPr>
              <w:spacing w:before="0" w:after="0"/>
              <w:jc w:val="center"/>
              <w:rPr>
                <w:color w:val="000000"/>
                <w:sz w:val="16"/>
                <w:szCs w:val="16"/>
                <w:lang w:eastAsia="en-AU"/>
              </w:rPr>
            </w:pPr>
            <w:r>
              <w:rPr>
                <w:color w:val="000000"/>
                <w:sz w:val="16"/>
                <w:szCs w:val="16"/>
                <w:lang w:eastAsia="en-AU"/>
              </w:rPr>
              <w:t>0.23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AA9C188"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D725266"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5D004A5"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84F15DE"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D06BD03"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68E145B"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3AF88B4" w14:textId="77777777" w:rsidR="00AA4BF5" w:rsidRDefault="00AA4BF5" w:rsidP="00DD3BAE">
            <w:pPr>
              <w:spacing w:before="0" w:after="0"/>
              <w:jc w:val="center"/>
              <w:rPr>
                <w:color w:val="000000"/>
                <w:sz w:val="16"/>
                <w:szCs w:val="16"/>
                <w:lang w:eastAsia="en-AU"/>
              </w:rPr>
            </w:pPr>
            <w:r>
              <w:rPr>
                <w:color w:val="000000"/>
                <w:sz w:val="16"/>
                <w:szCs w:val="16"/>
                <w:lang w:eastAsia="en-AU"/>
              </w:rPr>
              <w:t>0.003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01C2A38"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38C9576"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52127023"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1DF65DBA"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Oct-12</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0F766E1B"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D6ACADD" w14:textId="77777777" w:rsidR="00AA4BF5" w:rsidRDefault="00AA4BF5" w:rsidP="00DD3BAE">
            <w:pPr>
              <w:spacing w:before="0" w:after="0"/>
              <w:jc w:val="center"/>
              <w:rPr>
                <w:color w:val="000000"/>
                <w:sz w:val="16"/>
                <w:szCs w:val="16"/>
                <w:lang w:eastAsia="en-AU"/>
              </w:rPr>
            </w:pPr>
            <w:r>
              <w:rPr>
                <w:color w:val="000000"/>
                <w:sz w:val="16"/>
                <w:szCs w:val="16"/>
                <w:lang w:eastAsia="en-AU"/>
              </w:rPr>
              <w:t>0.93</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14F55DF3"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21E8B4"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3E9086C" w14:textId="77777777" w:rsidR="00AA4BF5" w:rsidRDefault="00AA4BF5" w:rsidP="00DD3BAE">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DF4F891"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9F0AAA5"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0CF38DC"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8C51D3F" w14:textId="77777777" w:rsidR="00AA4BF5" w:rsidRDefault="00AA4BF5" w:rsidP="00DD3BAE">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CFFE51B" w14:textId="77777777" w:rsidR="00AA4BF5" w:rsidRDefault="00AA4BF5" w:rsidP="00DD3BAE">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30053A3D"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0.52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398128C"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0C5D47" w14:textId="77777777" w:rsidR="00AA4BF5" w:rsidRDefault="00AA4BF5" w:rsidP="00DD3BAE">
            <w:pPr>
              <w:spacing w:before="0" w:after="0"/>
              <w:jc w:val="center"/>
              <w:rPr>
                <w:color w:val="000000"/>
                <w:sz w:val="16"/>
                <w:szCs w:val="16"/>
                <w:lang w:eastAsia="en-AU"/>
              </w:rPr>
            </w:pPr>
            <w:r>
              <w:rPr>
                <w:color w:val="000000"/>
                <w:sz w:val="16"/>
                <w:szCs w:val="16"/>
                <w:lang w:eastAsia="en-AU"/>
              </w:rPr>
              <w:t>0.11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1632D28"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4C8327E"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F45F93E"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A77A7D2"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B6E1D80"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6E74CB"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83598E"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C0F4CD7" w14:textId="77777777" w:rsidR="00AA4BF5" w:rsidRDefault="00AA4BF5" w:rsidP="00DD3BAE">
            <w:pPr>
              <w:spacing w:before="0" w:after="0"/>
              <w:jc w:val="center"/>
              <w:rPr>
                <w:color w:val="000000"/>
                <w:sz w:val="16"/>
                <w:szCs w:val="16"/>
                <w:lang w:eastAsia="en-AU"/>
              </w:rPr>
            </w:pPr>
            <w:r>
              <w:rPr>
                <w:color w:val="000000"/>
                <w:sz w:val="16"/>
                <w:szCs w:val="16"/>
                <w:lang w:eastAsia="en-AU"/>
              </w:rPr>
              <w:t>0.05</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3203AD0C"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6E524248"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864D332"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Apr-13</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3F06EEE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80796D8"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632932B"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D44A305" w14:textId="77777777" w:rsidR="00AA4BF5" w:rsidRDefault="00AA4BF5" w:rsidP="00DD3BAE">
            <w:pPr>
              <w:spacing w:before="0" w:after="0"/>
              <w:jc w:val="center"/>
              <w:rPr>
                <w:color w:val="000000"/>
                <w:sz w:val="16"/>
                <w:szCs w:val="16"/>
                <w:lang w:eastAsia="en-AU"/>
              </w:rPr>
            </w:pPr>
            <w:r>
              <w:rPr>
                <w:color w:val="000000"/>
                <w:sz w:val="16"/>
                <w:szCs w:val="16"/>
                <w:lang w:eastAsia="en-AU"/>
              </w:rPr>
              <w:t>0.89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2F052E"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FE6940C" w14:textId="77777777" w:rsidR="00AA4BF5" w:rsidRDefault="00AA4BF5" w:rsidP="00DD3BAE">
            <w:pPr>
              <w:spacing w:before="0" w:after="0"/>
              <w:jc w:val="center"/>
              <w:rPr>
                <w:color w:val="000000"/>
                <w:sz w:val="16"/>
                <w:szCs w:val="16"/>
                <w:lang w:eastAsia="en-AU"/>
              </w:rPr>
            </w:pPr>
            <w:r>
              <w:rPr>
                <w:color w:val="000000"/>
                <w:sz w:val="16"/>
                <w:szCs w:val="16"/>
                <w:lang w:eastAsia="en-AU"/>
              </w:rPr>
              <w:t>0.95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BCA5E22" w14:textId="77777777" w:rsidR="00AA4BF5" w:rsidRDefault="00AA4BF5" w:rsidP="00DD3BAE">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8A2D0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8EDFD98" w14:textId="77777777" w:rsidR="00AA4BF5" w:rsidRDefault="00AA4BF5" w:rsidP="00DD3BAE">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D2695D2"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7C4E7ED0"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0.58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A63F68F"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7F6B5AD"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EA46CA3"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4E88B4C"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834B39B"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8DB28B5" w14:textId="77777777" w:rsidR="00AA4BF5" w:rsidRDefault="00AA4BF5" w:rsidP="00DD3BAE">
            <w:pPr>
              <w:spacing w:before="0" w:after="0"/>
              <w:jc w:val="center"/>
              <w:rPr>
                <w:color w:val="000000"/>
                <w:sz w:val="16"/>
                <w:szCs w:val="16"/>
                <w:lang w:eastAsia="en-AU"/>
              </w:rPr>
            </w:pPr>
            <w:r>
              <w:rPr>
                <w:color w:val="000000"/>
                <w:sz w:val="16"/>
                <w:szCs w:val="16"/>
                <w:lang w:eastAsia="en-AU"/>
              </w:rPr>
              <w:t>0.38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AB59B12"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40AC9FE"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CF407EA"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8E07267" w14:textId="77777777" w:rsidR="00AA4BF5" w:rsidRDefault="00AA4BF5" w:rsidP="00DD3BAE">
            <w:pPr>
              <w:spacing w:before="0" w:after="0"/>
              <w:jc w:val="center"/>
              <w:rPr>
                <w:color w:val="000000"/>
                <w:sz w:val="16"/>
                <w:szCs w:val="16"/>
                <w:lang w:eastAsia="en-AU"/>
              </w:rPr>
            </w:pPr>
            <w:r>
              <w:rPr>
                <w:color w:val="000000"/>
                <w:sz w:val="16"/>
                <w:szCs w:val="16"/>
                <w:lang w:eastAsia="en-AU"/>
              </w:rPr>
              <w:t>0.12</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75919D73"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4B0DCDC2"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4C5A796"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Oct-13</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0DBB00D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5A1BAEF7" w14:textId="77777777" w:rsidR="00AA4BF5" w:rsidRDefault="00AA4BF5" w:rsidP="00DD3BAE">
            <w:pPr>
              <w:spacing w:before="0" w:after="0"/>
              <w:jc w:val="center"/>
              <w:rPr>
                <w:color w:val="000000"/>
                <w:sz w:val="16"/>
                <w:szCs w:val="16"/>
                <w:lang w:eastAsia="en-AU"/>
              </w:rPr>
            </w:pPr>
            <w:r>
              <w:rPr>
                <w:color w:val="000000"/>
                <w:sz w:val="16"/>
                <w:szCs w:val="16"/>
                <w:lang w:eastAsia="en-AU"/>
              </w:rPr>
              <w:t>0.92</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73140D6C"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353E450"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6AC979"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FBFFCD4"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530AA2"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CBDCD7"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EE404D6"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C9A72B1" w14:textId="77777777" w:rsidR="00AA4BF5" w:rsidRDefault="00AA4BF5" w:rsidP="00DD3BAE">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6C2EA7D2"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4E913FB" w14:textId="77777777" w:rsidR="00AA4BF5" w:rsidRDefault="00AA4BF5" w:rsidP="00DD3BAE">
            <w:pPr>
              <w:spacing w:before="0" w:after="0"/>
              <w:jc w:val="center"/>
              <w:rPr>
                <w:color w:val="000000"/>
                <w:sz w:val="16"/>
                <w:szCs w:val="16"/>
                <w:lang w:eastAsia="en-AU"/>
              </w:rPr>
            </w:pPr>
            <w:r>
              <w:rPr>
                <w:color w:val="000000"/>
                <w:sz w:val="16"/>
                <w:szCs w:val="16"/>
                <w:lang w:eastAsia="en-AU"/>
              </w:rPr>
              <w:t>0.002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CB06538" w14:textId="77777777" w:rsidR="00AA4BF5" w:rsidRDefault="00AA4BF5" w:rsidP="00DD3BAE">
            <w:pPr>
              <w:spacing w:before="0" w:after="0"/>
              <w:jc w:val="center"/>
              <w:rPr>
                <w:color w:val="000000"/>
                <w:sz w:val="16"/>
                <w:szCs w:val="16"/>
                <w:lang w:eastAsia="en-AU"/>
              </w:rPr>
            </w:pPr>
            <w:r>
              <w:rPr>
                <w:color w:val="000000"/>
                <w:sz w:val="16"/>
                <w:szCs w:val="16"/>
                <w:lang w:eastAsia="en-AU"/>
              </w:rPr>
              <w:t>0.41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627D16F" w14:textId="77777777" w:rsidR="00AA4BF5" w:rsidRDefault="00AA4BF5" w:rsidP="00DD3BAE">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09A8317"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2A3D52E"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2363F05"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61C7F94"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E5725A8" w14:textId="77777777" w:rsidR="00AA4BF5" w:rsidRDefault="00AA4BF5" w:rsidP="00DD3BAE">
            <w:pPr>
              <w:spacing w:before="0" w:after="0"/>
              <w:jc w:val="center"/>
              <w:rPr>
                <w:color w:val="000000"/>
                <w:sz w:val="16"/>
                <w:szCs w:val="16"/>
                <w:lang w:eastAsia="en-AU"/>
              </w:rPr>
            </w:pPr>
            <w:r>
              <w:rPr>
                <w:color w:val="000000"/>
                <w:sz w:val="16"/>
                <w:szCs w:val="16"/>
                <w:lang w:eastAsia="en-AU"/>
              </w:rPr>
              <w:t>0.015</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04C9683" w14:textId="77777777" w:rsidR="00AA4BF5" w:rsidRDefault="00AA4BF5" w:rsidP="00DD3BAE">
            <w:pPr>
              <w:spacing w:before="0" w:after="0"/>
              <w:jc w:val="center"/>
              <w:rPr>
                <w:color w:val="000000"/>
                <w:sz w:val="16"/>
                <w:szCs w:val="16"/>
                <w:lang w:eastAsia="en-AU"/>
              </w:rPr>
            </w:pPr>
            <w:r>
              <w:rPr>
                <w:color w:val="000000"/>
                <w:sz w:val="16"/>
                <w:szCs w:val="16"/>
                <w:lang w:eastAsia="en-AU"/>
              </w:rPr>
              <w:t>0.24</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53722CA"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F3E7B51"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1067704A"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vAlign w:val="center"/>
            <w:hideMark/>
          </w:tcPr>
          <w:p w14:paraId="6B9B6490"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Apr-14</w:t>
            </w:r>
          </w:p>
        </w:tc>
        <w:tc>
          <w:tcPr>
            <w:tcW w:w="557" w:type="dxa"/>
            <w:tcBorders>
              <w:top w:val="single" w:sz="4" w:space="0" w:color="auto"/>
              <w:left w:val="single" w:sz="4" w:space="0" w:color="auto"/>
              <w:bottom w:val="single" w:sz="4" w:space="0" w:color="auto"/>
              <w:right w:val="single" w:sz="4" w:space="0" w:color="auto"/>
            </w:tcBorders>
            <w:vAlign w:val="center"/>
            <w:hideMark/>
          </w:tcPr>
          <w:p w14:paraId="436DE764"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vAlign w:val="center"/>
            <w:hideMark/>
          </w:tcPr>
          <w:p w14:paraId="6A52C390" w14:textId="77777777" w:rsidR="00AA4BF5" w:rsidRDefault="00AA4BF5" w:rsidP="00DD3BAE">
            <w:pPr>
              <w:spacing w:before="0" w:after="0"/>
              <w:jc w:val="center"/>
              <w:rPr>
                <w:color w:val="000000"/>
                <w:sz w:val="16"/>
                <w:szCs w:val="16"/>
                <w:lang w:eastAsia="en-AU"/>
              </w:rPr>
            </w:pPr>
            <w:r>
              <w:rPr>
                <w:color w:val="000000"/>
                <w:sz w:val="16"/>
                <w:szCs w:val="16"/>
                <w:lang w:eastAsia="en-AU"/>
              </w:rPr>
              <w:t>0.92</w:t>
            </w:r>
          </w:p>
        </w:tc>
        <w:tc>
          <w:tcPr>
            <w:tcW w:w="602" w:type="dxa"/>
            <w:tcBorders>
              <w:top w:val="single" w:sz="4" w:space="0" w:color="auto"/>
              <w:left w:val="single" w:sz="4" w:space="0" w:color="auto"/>
              <w:bottom w:val="single" w:sz="4" w:space="0" w:color="auto"/>
              <w:right w:val="single" w:sz="4" w:space="0" w:color="auto"/>
            </w:tcBorders>
            <w:vAlign w:val="center"/>
            <w:hideMark/>
          </w:tcPr>
          <w:p w14:paraId="04255C29"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vAlign w:val="center"/>
            <w:hideMark/>
          </w:tcPr>
          <w:p w14:paraId="284D3323" w14:textId="77777777" w:rsidR="00AA4BF5" w:rsidRDefault="00AA4BF5" w:rsidP="00DD3BAE">
            <w:pPr>
              <w:spacing w:before="0" w:after="0"/>
              <w:jc w:val="center"/>
              <w:rPr>
                <w:color w:val="000000"/>
                <w:sz w:val="16"/>
                <w:szCs w:val="16"/>
                <w:lang w:eastAsia="en-AU"/>
              </w:rPr>
            </w:pPr>
            <w:r>
              <w:rPr>
                <w:color w:val="000000"/>
                <w:sz w:val="16"/>
                <w:szCs w:val="16"/>
                <w:lang w:eastAsia="en-AU"/>
              </w:rPr>
              <w:t>0.93</w:t>
            </w:r>
          </w:p>
        </w:tc>
        <w:tc>
          <w:tcPr>
            <w:tcW w:w="603" w:type="dxa"/>
            <w:tcBorders>
              <w:top w:val="single" w:sz="4" w:space="0" w:color="auto"/>
              <w:left w:val="single" w:sz="4" w:space="0" w:color="auto"/>
              <w:bottom w:val="single" w:sz="4" w:space="0" w:color="auto"/>
              <w:right w:val="single" w:sz="4" w:space="0" w:color="auto"/>
            </w:tcBorders>
            <w:vAlign w:val="center"/>
            <w:hideMark/>
          </w:tcPr>
          <w:p w14:paraId="34AF9FEE"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vAlign w:val="center"/>
            <w:hideMark/>
          </w:tcPr>
          <w:p w14:paraId="50973B9C"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vAlign w:val="center"/>
            <w:hideMark/>
          </w:tcPr>
          <w:p w14:paraId="54D6BAD2"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vAlign w:val="center"/>
            <w:hideMark/>
          </w:tcPr>
          <w:p w14:paraId="4CC9DA63"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vAlign w:val="center"/>
            <w:hideMark/>
          </w:tcPr>
          <w:p w14:paraId="76CBE878"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vAlign w:val="center"/>
            <w:hideMark/>
          </w:tcPr>
          <w:p w14:paraId="07A24200"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vAlign w:val="bottom"/>
            <w:hideMark/>
          </w:tcPr>
          <w:p w14:paraId="76CABDF5"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vAlign w:val="center"/>
            <w:hideMark/>
          </w:tcPr>
          <w:p w14:paraId="5AE6568A" w14:textId="77777777" w:rsidR="00AA4BF5" w:rsidRDefault="00AA4BF5" w:rsidP="00DD3BAE">
            <w:pPr>
              <w:spacing w:before="0" w:after="0"/>
              <w:jc w:val="center"/>
              <w:rPr>
                <w:color w:val="000000"/>
                <w:sz w:val="16"/>
                <w:szCs w:val="16"/>
                <w:lang w:eastAsia="en-AU"/>
              </w:rPr>
            </w:pPr>
            <w:r>
              <w:rPr>
                <w:color w:val="000000"/>
                <w:sz w:val="16"/>
                <w:szCs w:val="16"/>
                <w:lang w:eastAsia="en-AU"/>
              </w:rPr>
              <w:t>0.002</w:t>
            </w:r>
          </w:p>
        </w:tc>
        <w:tc>
          <w:tcPr>
            <w:tcW w:w="603" w:type="dxa"/>
            <w:tcBorders>
              <w:top w:val="single" w:sz="4" w:space="0" w:color="auto"/>
              <w:left w:val="single" w:sz="4" w:space="0" w:color="auto"/>
              <w:bottom w:val="single" w:sz="4" w:space="0" w:color="auto"/>
              <w:right w:val="single" w:sz="4" w:space="0" w:color="auto"/>
            </w:tcBorders>
            <w:vAlign w:val="center"/>
            <w:hideMark/>
          </w:tcPr>
          <w:p w14:paraId="5192D39C"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vAlign w:val="center"/>
            <w:hideMark/>
          </w:tcPr>
          <w:p w14:paraId="08CCDB98" w14:textId="77777777" w:rsidR="00AA4BF5" w:rsidRDefault="00AA4BF5" w:rsidP="00DD3BAE">
            <w:pPr>
              <w:spacing w:before="0" w:after="0"/>
              <w:jc w:val="center"/>
              <w:rPr>
                <w:color w:val="000000"/>
                <w:sz w:val="16"/>
                <w:szCs w:val="16"/>
                <w:lang w:eastAsia="en-AU"/>
              </w:rPr>
            </w:pPr>
            <w:r>
              <w:rPr>
                <w:color w:val="000000"/>
                <w:sz w:val="16"/>
                <w:szCs w:val="16"/>
                <w:lang w:eastAsia="en-AU"/>
              </w:rPr>
              <w:t>0.61</w:t>
            </w:r>
          </w:p>
        </w:tc>
        <w:tc>
          <w:tcPr>
            <w:tcW w:w="603" w:type="dxa"/>
            <w:tcBorders>
              <w:top w:val="single" w:sz="4" w:space="0" w:color="auto"/>
              <w:left w:val="single" w:sz="4" w:space="0" w:color="auto"/>
              <w:bottom w:val="single" w:sz="4" w:space="0" w:color="auto"/>
              <w:right w:val="single" w:sz="4" w:space="0" w:color="auto"/>
            </w:tcBorders>
            <w:vAlign w:val="center"/>
            <w:hideMark/>
          </w:tcPr>
          <w:p w14:paraId="36111A7B" w14:textId="77777777" w:rsidR="00AA4BF5" w:rsidRDefault="00AA4BF5" w:rsidP="00DD3BAE">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vAlign w:val="center"/>
            <w:hideMark/>
          </w:tcPr>
          <w:p w14:paraId="4931A65E" w14:textId="77777777" w:rsidR="00AA4BF5" w:rsidRDefault="00AA4BF5" w:rsidP="00DD3BAE">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0C83B25"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vAlign w:val="center"/>
            <w:hideMark/>
          </w:tcPr>
          <w:p w14:paraId="6C91A97E"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vAlign w:val="center"/>
            <w:hideMark/>
          </w:tcPr>
          <w:p w14:paraId="2B2049AD"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14:paraId="10B731EA" w14:textId="77777777" w:rsidR="00AA4BF5" w:rsidRDefault="00AA4BF5" w:rsidP="00DD3BAE">
            <w:pPr>
              <w:spacing w:before="0" w:after="0"/>
              <w:jc w:val="center"/>
              <w:rPr>
                <w:color w:val="000000"/>
                <w:sz w:val="16"/>
                <w:szCs w:val="16"/>
                <w:lang w:eastAsia="en-AU"/>
              </w:rPr>
            </w:pPr>
            <w:r>
              <w:rPr>
                <w:color w:val="000000"/>
                <w:sz w:val="16"/>
                <w:szCs w:val="16"/>
                <w:lang w:eastAsia="en-AU"/>
              </w:rPr>
              <w:t>0.28</w:t>
            </w:r>
          </w:p>
        </w:tc>
        <w:tc>
          <w:tcPr>
            <w:tcW w:w="700" w:type="dxa"/>
            <w:tcBorders>
              <w:top w:val="single" w:sz="4" w:space="0" w:color="auto"/>
              <w:left w:val="single" w:sz="4" w:space="0" w:color="auto"/>
              <w:bottom w:val="single" w:sz="4" w:space="0" w:color="auto"/>
              <w:right w:val="single" w:sz="4" w:space="0" w:color="auto"/>
            </w:tcBorders>
            <w:vAlign w:val="center"/>
            <w:hideMark/>
          </w:tcPr>
          <w:p w14:paraId="5F029D19" w14:textId="77777777" w:rsidR="00AA4BF5" w:rsidRDefault="00AA4BF5" w:rsidP="00DD3BAE">
            <w:pPr>
              <w:spacing w:before="0" w:after="0"/>
              <w:jc w:val="center"/>
              <w:rPr>
                <w:color w:val="000000"/>
                <w:sz w:val="16"/>
                <w:szCs w:val="16"/>
                <w:lang w:eastAsia="en-AU"/>
              </w:rPr>
            </w:pPr>
            <w:r>
              <w:rPr>
                <w:color w:val="000000"/>
                <w:sz w:val="16"/>
                <w:szCs w:val="16"/>
                <w:lang w:eastAsia="en-AU"/>
              </w:rPr>
              <w:t>0.24</w:t>
            </w:r>
          </w:p>
        </w:tc>
        <w:tc>
          <w:tcPr>
            <w:tcW w:w="547" w:type="dxa"/>
            <w:tcBorders>
              <w:top w:val="single" w:sz="4" w:space="0" w:color="auto"/>
              <w:left w:val="single" w:sz="4" w:space="0" w:color="auto"/>
              <w:bottom w:val="single" w:sz="4" w:space="0" w:color="auto"/>
              <w:right w:val="single" w:sz="4" w:space="0" w:color="auto"/>
            </w:tcBorders>
            <w:vAlign w:val="center"/>
            <w:hideMark/>
          </w:tcPr>
          <w:p w14:paraId="02519FAD"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3CDD2654"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vAlign w:val="center"/>
            <w:hideMark/>
          </w:tcPr>
          <w:p w14:paraId="6B4B8273"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Oct-14</w:t>
            </w:r>
          </w:p>
        </w:tc>
        <w:tc>
          <w:tcPr>
            <w:tcW w:w="557" w:type="dxa"/>
            <w:tcBorders>
              <w:top w:val="single" w:sz="4" w:space="0" w:color="auto"/>
              <w:left w:val="single" w:sz="4" w:space="0" w:color="auto"/>
              <w:bottom w:val="single" w:sz="4" w:space="0" w:color="auto"/>
              <w:right w:val="single" w:sz="4" w:space="0" w:color="auto"/>
            </w:tcBorders>
            <w:vAlign w:val="center"/>
            <w:hideMark/>
          </w:tcPr>
          <w:p w14:paraId="4AD87621"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vAlign w:val="center"/>
            <w:hideMark/>
          </w:tcPr>
          <w:p w14:paraId="6D38AFAB"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02" w:type="dxa"/>
            <w:tcBorders>
              <w:top w:val="single" w:sz="4" w:space="0" w:color="auto"/>
              <w:left w:val="single" w:sz="4" w:space="0" w:color="auto"/>
              <w:bottom w:val="single" w:sz="4" w:space="0" w:color="auto"/>
              <w:right w:val="single" w:sz="4" w:space="0" w:color="auto"/>
            </w:tcBorders>
            <w:vAlign w:val="center"/>
            <w:hideMark/>
          </w:tcPr>
          <w:p w14:paraId="32B8319A"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vAlign w:val="center"/>
            <w:hideMark/>
          </w:tcPr>
          <w:p w14:paraId="5F53ABCC" w14:textId="77777777" w:rsidR="00AA4BF5" w:rsidRDefault="00AA4BF5" w:rsidP="00DD3BAE">
            <w:pPr>
              <w:spacing w:before="0" w:after="0"/>
              <w:jc w:val="center"/>
              <w:rPr>
                <w:color w:val="000000"/>
                <w:sz w:val="16"/>
                <w:szCs w:val="16"/>
                <w:lang w:eastAsia="en-AU"/>
              </w:rPr>
            </w:pPr>
            <w:r>
              <w:rPr>
                <w:color w:val="000000"/>
                <w:sz w:val="16"/>
                <w:szCs w:val="16"/>
                <w:lang w:eastAsia="en-AU"/>
              </w:rPr>
              <w:t>0.90</w:t>
            </w:r>
          </w:p>
        </w:tc>
        <w:tc>
          <w:tcPr>
            <w:tcW w:w="603" w:type="dxa"/>
            <w:tcBorders>
              <w:top w:val="single" w:sz="4" w:space="0" w:color="auto"/>
              <w:left w:val="single" w:sz="4" w:space="0" w:color="auto"/>
              <w:bottom w:val="single" w:sz="4" w:space="0" w:color="auto"/>
              <w:right w:val="single" w:sz="4" w:space="0" w:color="auto"/>
            </w:tcBorders>
            <w:vAlign w:val="center"/>
            <w:hideMark/>
          </w:tcPr>
          <w:p w14:paraId="27F29C8F" w14:textId="77777777" w:rsidR="00AA4BF5" w:rsidRDefault="00AA4BF5" w:rsidP="00DD3BAE">
            <w:pPr>
              <w:spacing w:before="0" w:after="0"/>
              <w:jc w:val="center"/>
              <w:rPr>
                <w:color w:val="000000"/>
                <w:sz w:val="16"/>
                <w:szCs w:val="16"/>
                <w:lang w:eastAsia="en-AU"/>
              </w:rPr>
            </w:pPr>
            <w:r>
              <w:rPr>
                <w:color w:val="000000"/>
                <w:sz w:val="16"/>
                <w:szCs w:val="16"/>
                <w:lang w:eastAsia="en-AU"/>
              </w:rPr>
              <w:t>0.70</w:t>
            </w:r>
          </w:p>
        </w:tc>
        <w:tc>
          <w:tcPr>
            <w:tcW w:w="603" w:type="dxa"/>
            <w:tcBorders>
              <w:top w:val="single" w:sz="4" w:space="0" w:color="auto"/>
              <w:left w:val="single" w:sz="4" w:space="0" w:color="auto"/>
              <w:bottom w:val="single" w:sz="4" w:space="0" w:color="auto"/>
              <w:right w:val="single" w:sz="4" w:space="0" w:color="auto"/>
            </w:tcBorders>
            <w:vAlign w:val="center"/>
            <w:hideMark/>
          </w:tcPr>
          <w:p w14:paraId="216CDF8F" w14:textId="77777777" w:rsidR="00AA4BF5" w:rsidRDefault="00AA4BF5" w:rsidP="00DD3BAE">
            <w:pPr>
              <w:spacing w:before="0" w:after="0"/>
              <w:jc w:val="center"/>
              <w:rPr>
                <w:color w:val="000000"/>
                <w:sz w:val="16"/>
                <w:szCs w:val="16"/>
                <w:lang w:eastAsia="en-AU"/>
              </w:rPr>
            </w:pPr>
            <w:r>
              <w:rPr>
                <w:color w:val="000000"/>
                <w:sz w:val="16"/>
                <w:szCs w:val="16"/>
                <w:lang w:eastAsia="en-AU"/>
              </w:rPr>
              <w:t>0.95</w:t>
            </w:r>
          </w:p>
        </w:tc>
        <w:tc>
          <w:tcPr>
            <w:tcW w:w="603" w:type="dxa"/>
            <w:tcBorders>
              <w:top w:val="single" w:sz="4" w:space="0" w:color="auto"/>
              <w:left w:val="single" w:sz="4" w:space="0" w:color="auto"/>
              <w:bottom w:val="single" w:sz="4" w:space="0" w:color="auto"/>
              <w:right w:val="single" w:sz="4" w:space="0" w:color="auto"/>
            </w:tcBorders>
            <w:vAlign w:val="center"/>
            <w:hideMark/>
          </w:tcPr>
          <w:p w14:paraId="68C940F8"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vAlign w:val="center"/>
            <w:hideMark/>
          </w:tcPr>
          <w:p w14:paraId="0BCE6A00"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vAlign w:val="center"/>
            <w:hideMark/>
          </w:tcPr>
          <w:p w14:paraId="08C537CD" w14:textId="77777777" w:rsidR="00AA4BF5" w:rsidRDefault="00AA4BF5" w:rsidP="00DD3BAE">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vAlign w:val="center"/>
            <w:hideMark/>
          </w:tcPr>
          <w:p w14:paraId="10FA76FC"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vAlign w:val="bottom"/>
            <w:hideMark/>
          </w:tcPr>
          <w:p w14:paraId="73B36E45"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1.00</w:t>
            </w:r>
          </w:p>
        </w:tc>
        <w:tc>
          <w:tcPr>
            <w:tcW w:w="700" w:type="dxa"/>
            <w:tcBorders>
              <w:top w:val="single" w:sz="4" w:space="0" w:color="auto"/>
              <w:left w:val="single" w:sz="4" w:space="0" w:color="auto"/>
              <w:bottom w:val="single" w:sz="4" w:space="0" w:color="auto"/>
              <w:right w:val="single" w:sz="4" w:space="0" w:color="auto"/>
            </w:tcBorders>
            <w:vAlign w:val="center"/>
            <w:hideMark/>
          </w:tcPr>
          <w:p w14:paraId="459A4D45" w14:textId="77777777" w:rsidR="00AA4BF5" w:rsidRDefault="00AA4BF5" w:rsidP="00DD3BAE">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4B9321D0" w14:textId="77777777" w:rsidR="00AA4BF5" w:rsidRDefault="00AA4BF5" w:rsidP="00DD3BAE">
            <w:pPr>
              <w:spacing w:before="0" w:after="0"/>
              <w:jc w:val="center"/>
              <w:rPr>
                <w:color w:val="000000"/>
                <w:sz w:val="16"/>
                <w:szCs w:val="16"/>
                <w:lang w:eastAsia="en-AU"/>
              </w:rPr>
            </w:pPr>
            <w:r>
              <w:rPr>
                <w:color w:val="000000"/>
                <w:sz w:val="16"/>
                <w:szCs w:val="16"/>
                <w:lang w:eastAsia="en-AU"/>
              </w:rPr>
              <w:t>0.36</w:t>
            </w:r>
          </w:p>
        </w:tc>
        <w:tc>
          <w:tcPr>
            <w:tcW w:w="603" w:type="dxa"/>
            <w:tcBorders>
              <w:top w:val="single" w:sz="4" w:space="0" w:color="auto"/>
              <w:left w:val="single" w:sz="4" w:space="0" w:color="auto"/>
              <w:bottom w:val="single" w:sz="4" w:space="0" w:color="auto"/>
              <w:right w:val="single" w:sz="4" w:space="0" w:color="auto"/>
            </w:tcBorders>
            <w:vAlign w:val="center"/>
            <w:hideMark/>
          </w:tcPr>
          <w:p w14:paraId="668508EB"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vAlign w:val="center"/>
            <w:hideMark/>
          </w:tcPr>
          <w:p w14:paraId="18B40FD7"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vAlign w:val="center"/>
            <w:hideMark/>
          </w:tcPr>
          <w:p w14:paraId="4ED0773B"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vAlign w:val="center"/>
          </w:tcPr>
          <w:p w14:paraId="2E7B0141"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vAlign w:val="center"/>
            <w:hideMark/>
          </w:tcPr>
          <w:p w14:paraId="3FEBE6E4"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14:paraId="58058F38"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14:paraId="685441BD" w14:textId="77777777" w:rsidR="00AA4BF5" w:rsidRDefault="00AA4BF5" w:rsidP="00DD3BAE">
            <w:pPr>
              <w:spacing w:before="0" w:after="0"/>
              <w:jc w:val="center"/>
              <w:rPr>
                <w:color w:val="000000"/>
                <w:sz w:val="16"/>
                <w:szCs w:val="16"/>
                <w:lang w:eastAsia="en-AU"/>
              </w:rPr>
            </w:pPr>
            <w:r>
              <w:rPr>
                <w:color w:val="000000"/>
                <w:sz w:val="16"/>
                <w:szCs w:val="16"/>
                <w:lang w:eastAsia="en-AU"/>
              </w:rPr>
              <w:t>0.32</w:t>
            </w:r>
          </w:p>
        </w:tc>
        <w:tc>
          <w:tcPr>
            <w:tcW w:w="700" w:type="dxa"/>
            <w:tcBorders>
              <w:top w:val="single" w:sz="4" w:space="0" w:color="auto"/>
              <w:left w:val="single" w:sz="4" w:space="0" w:color="auto"/>
              <w:bottom w:val="single" w:sz="4" w:space="0" w:color="auto"/>
              <w:right w:val="single" w:sz="4" w:space="0" w:color="auto"/>
            </w:tcBorders>
            <w:vAlign w:val="center"/>
            <w:hideMark/>
          </w:tcPr>
          <w:p w14:paraId="036AED2B"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547" w:type="dxa"/>
            <w:tcBorders>
              <w:top w:val="single" w:sz="4" w:space="0" w:color="auto"/>
              <w:left w:val="single" w:sz="4" w:space="0" w:color="auto"/>
              <w:bottom w:val="single" w:sz="4" w:space="0" w:color="auto"/>
              <w:right w:val="single" w:sz="4" w:space="0" w:color="auto"/>
            </w:tcBorders>
            <w:vAlign w:val="center"/>
            <w:hideMark/>
          </w:tcPr>
          <w:p w14:paraId="3819479D"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r>
      <w:tr w:rsidR="00AA4BF5" w14:paraId="7B50338F"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0B144B9F"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Apr-15</w:t>
            </w:r>
          </w:p>
        </w:tc>
        <w:tc>
          <w:tcPr>
            <w:tcW w:w="557" w:type="dxa"/>
            <w:tcBorders>
              <w:top w:val="single" w:sz="4" w:space="0" w:color="auto"/>
              <w:left w:val="single" w:sz="4" w:space="0" w:color="auto"/>
              <w:bottom w:val="single" w:sz="4" w:space="0" w:color="auto"/>
              <w:right w:val="single" w:sz="4" w:space="0" w:color="auto"/>
            </w:tcBorders>
            <w:noWrap/>
            <w:vAlign w:val="center"/>
          </w:tcPr>
          <w:p w14:paraId="24A5C3D7"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noWrap/>
            <w:vAlign w:val="center"/>
          </w:tcPr>
          <w:p w14:paraId="0656E7F9"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noWrap/>
            <w:vAlign w:val="center"/>
          </w:tcPr>
          <w:p w14:paraId="4F0DFF44"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6706BC4D"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0872C5B2"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3616EA79"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282DEF43"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0540A5E0"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1C282F42"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4CA9C93F"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14:paraId="289A60A9"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0.56</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57B0704" w14:textId="77777777" w:rsidR="00AA4BF5" w:rsidRDefault="00AA4BF5" w:rsidP="00DD3BAE">
            <w:pPr>
              <w:spacing w:before="0" w:after="0"/>
              <w:jc w:val="center"/>
              <w:rPr>
                <w:color w:val="000000"/>
                <w:sz w:val="16"/>
                <w:szCs w:val="16"/>
                <w:lang w:eastAsia="en-AU"/>
              </w:rPr>
            </w:pPr>
            <w:r>
              <w:rPr>
                <w:color w:val="000000"/>
                <w:sz w:val="16"/>
                <w:szCs w:val="16"/>
                <w:lang w:eastAsia="en-AU"/>
              </w:rPr>
              <w:t>0.29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BC8F335" w14:textId="77777777" w:rsidR="00AA4BF5" w:rsidRDefault="00AA4BF5" w:rsidP="00DD3BAE">
            <w:pPr>
              <w:spacing w:before="0" w:after="0"/>
              <w:jc w:val="center"/>
              <w:rPr>
                <w:color w:val="000000"/>
                <w:sz w:val="16"/>
                <w:szCs w:val="16"/>
                <w:lang w:eastAsia="en-AU"/>
              </w:rPr>
            </w:pPr>
            <w:r>
              <w:rPr>
                <w:color w:val="000000"/>
                <w:sz w:val="16"/>
                <w:szCs w:val="16"/>
                <w:lang w:eastAsia="en-AU"/>
              </w:rPr>
              <w:t>0.49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726E810"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AA15CF0" w14:textId="77777777" w:rsidR="00AA4BF5" w:rsidRDefault="00AA4BF5" w:rsidP="00DD3BAE">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B776D0F" w14:textId="77777777" w:rsidR="00AA4BF5" w:rsidRDefault="00AA4BF5" w:rsidP="00DD3BAE">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noWrap/>
            <w:vAlign w:val="center"/>
          </w:tcPr>
          <w:p w14:paraId="4F9F9451" w14:textId="77777777" w:rsidR="00AA4BF5"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809C649"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A08B6B5"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B5635F0"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5601F83" w14:textId="77777777" w:rsidR="00AA4BF5" w:rsidRDefault="00AA4BF5" w:rsidP="00DD3BAE">
            <w:pPr>
              <w:spacing w:before="0" w:after="0"/>
              <w:jc w:val="center"/>
              <w:rPr>
                <w:color w:val="000000"/>
                <w:sz w:val="16"/>
                <w:szCs w:val="16"/>
                <w:lang w:eastAsia="en-AU"/>
              </w:rPr>
            </w:pPr>
            <w:r>
              <w:rPr>
                <w:color w:val="000000"/>
                <w:sz w:val="16"/>
                <w:szCs w:val="16"/>
                <w:lang w:eastAsia="en-AU"/>
              </w:rPr>
              <w:t>0.37</w:t>
            </w:r>
          </w:p>
        </w:tc>
        <w:tc>
          <w:tcPr>
            <w:tcW w:w="547" w:type="dxa"/>
            <w:tcBorders>
              <w:top w:val="single" w:sz="4" w:space="0" w:color="auto"/>
              <w:left w:val="single" w:sz="4" w:space="0" w:color="auto"/>
              <w:bottom w:val="single" w:sz="4" w:space="0" w:color="auto"/>
              <w:right w:val="single" w:sz="4" w:space="0" w:color="auto"/>
            </w:tcBorders>
            <w:noWrap/>
            <w:vAlign w:val="center"/>
          </w:tcPr>
          <w:p w14:paraId="33A5D103" w14:textId="77777777" w:rsidR="00AA4BF5" w:rsidRDefault="00AA4BF5" w:rsidP="00DD3BAE">
            <w:pPr>
              <w:spacing w:before="0" w:after="0"/>
              <w:jc w:val="center"/>
              <w:rPr>
                <w:color w:val="000000"/>
                <w:sz w:val="16"/>
                <w:szCs w:val="16"/>
                <w:lang w:eastAsia="en-AU"/>
              </w:rPr>
            </w:pPr>
          </w:p>
        </w:tc>
      </w:tr>
      <w:tr w:rsidR="00AA4BF5" w:rsidRPr="0022760A" w14:paraId="3D7DF48D"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tcPr>
          <w:p w14:paraId="4ED6DC20"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Oct-15</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C7961D"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3AD68BE2"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0.74</w:t>
            </w: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C14387"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48777F"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0.90</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1D1ABA"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0.76</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973860"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0.97</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065A7672"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7EB666"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0.92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284FB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78942"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A97806"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0.81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6E7039"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3FFB7"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0.51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05F47D"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10D31"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E3E9F8"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93886A"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0.80</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3DE522A0" w14:textId="77777777" w:rsidR="00AA4BF5" w:rsidRPr="0022760A"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1A6E1EFB" w14:textId="77777777" w:rsidR="00AA4BF5" w:rsidRPr="0022760A"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A74845"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0.36</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8C44AC"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0.44</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3370DF" w14:textId="77777777" w:rsidR="00AA4BF5" w:rsidRPr="0022760A" w:rsidRDefault="00AA4BF5" w:rsidP="00DD3BAE">
            <w:pPr>
              <w:spacing w:before="0" w:after="0"/>
              <w:jc w:val="center"/>
              <w:rPr>
                <w:color w:val="000000"/>
                <w:sz w:val="16"/>
                <w:szCs w:val="16"/>
                <w:lang w:eastAsia="en-AU"/>
              </w:rPr>
            </w:pPr>
            <w:r>
              <w:rPr>
                <w:color w:val="000000"/>
                <w:sz w:val="16"/>
                <w:szCs w:val="16"/>
                <w:lang w:eastAsia="en-AU"/>
              </w:rPr>
              <w:t>1</w:t>
            </w:r>
          </w:p>
        </w:tc>
      </w:tr>
      <w:tr w:rsidR="00AA4BF5" w:rsidRPr="0022760A" w14:paraId="600F92D4"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tcPr>
          <w:p w14:paraId="241BA163"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Apr-16</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0B1679" w14:textId="77777777" w:rsidR="00AA4BF5" w:rsidRPr="0022760A"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6A130B" w14:textId="77777777" w:rsidR="00AA4BF5" w:rsidRPr="0022760A"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98D32" w14:textId="77777777" w:rsidR="00AA4BF5" w:rsidRPr="0022760A"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5AAF46" w14:textId="77777777" w:rsidR="00AA4BF5" w:rsidRPr="0022760A"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0502F0C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DC3F7C"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087C6A8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0.73</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FF897"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C08523" w14:textId="77777777" w:rsidR="00AA4BF5" w:rsidRPr="0022760A"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03FBE" w14:textId="77777777" w:rsidR="00AA4BF5" w:rsidRPr="0022760A" w:rsidRDefault="00AA4BF5"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5A466D" w14:textId="77777777" w:rsidR="00AA4BF5" w:rsidRPr="002D34FB" w:rsidRDefault="00AA4BF5" w:rsidP="00DD3BAE">
            <w:pPr>
              <w:spacing w:before="0" w:after="0"/>
              <w:jc w:val="center"/>
              <w:rPr>
                <w:color w:val="000000"/>
                <w:sz w:val="16"/>
                <w:szCs w:val="16"/>
                <w:lang w:eastAsia="en-AU"/>
              </w:rPr>
            </w:pPr>
            <w:r w:rsidRPr="002D34FB">
              <w:rPr>
                <w:color w:val="000000"/>
                <w:sz w:val="16"/>
                <w:szCs w:val="16"/>
                <w:lang w:eastAsia="en-AU"/>
              </w:rPr>
              <w:t>0.84</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5B4C7460" w14:textId="77777777" w:rsidR="00AA4BF5" w:rsidRPr="0022760A" w:rsidRDefault="00AA4BF5" w:rsidP="00DD3BAE">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96A3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0.48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0D2DB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0.84</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A01FA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EBE0ED"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1E20BD0A"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00F369" w14:textId="77777777" w:rsidR="00AA4BF5" w:rsidRPr="0022760A"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86E79F" w14:textId="77777777" w:rsidR="00AA4BF5" w:rsidRPr="0022760A" w:rsidRDefault="00AA4BF5" w:rsidP="00DD3BAE">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70AEDB"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0.37</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F0D735" w14:textId="77777777" w:rsidR="00AA4BF5" w:rsidRPr="0022760A" w:rsidRDefault="00AA4BF5" w:rsidP="00DD3BAE">
            <w:pPr>
              <w:spacing w:before="0" w:after="0"/>
              <w:jc w:val="center"/>
              <w:rPr>
                <w:color w:val="000000"/>
                <w:sz w:val="16"/>
                <w:szCs w:val="16"/>
                <w:lang w:eastAsia="en-AU"/>
              </w:rPr>
            </w:pPr>
            <w:r w:rsidRPr="0022760A">
              <w:rPr>
                <w:color w:val="000000"/>
                <w:sz w:val="16"/>
                <w:szCs w:val="16"/>
                <w:lang w:eastAsia="en-AU"/>
              </w:rPr>
              <w:t>0.45</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7CE950" w14:textId="26616508" w:rsidR="00AA4BF5" w:rsidRPr="0022760A" w:rsidRDefault="000F7430" w:rsidP="00DD3BAE">
            <w:pPr>
              <w:spacing w:before="0" w:after="0"/>
              <w:jc w:val="center"/>
              <w:rPr>
                <w:color w:val="000000"/>
                <w:sz w:val="16"/>
                <w:szCs w:val="16"/>
                <w:lang w:eastAsia="en-AU"/>
              </w:rPr>
            </w:pPr>
            <w:r>
              <w:rPr>
                <w:color w:val="000000"/>
                <w:sz w:val="16"/>
                <w:szCs w:val="16"/>
                <w:lang w:eastAsia="en-AU"/>
              </w:rPr>
              <w:t>0.61</w:t>
            </w:r>
          </w:p>
        </w:tc>
      </w:tr>
      <w:tr w:rsidR="000504E8" w:rsidRPr="0022760A" w14:paraId="23E20ED5" w14:textId="77777777" w:rsidTr="000504E8">
        <w:trPr>
          <w:trHeight w:val="284"/>
          <w:jc w:val="center"/>
        </w:trPr>
        <w:tc>
          <w:tcPr>
            <w:tcW w:w="8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900E3B" w14:textId="1A28F876" w:rsidR="000504E8" w:rsidRDefault="000504E8" w:rsidP="00DD3BAE">
            <w:pPr>
              <w:spacing w:before="0" w:after="0"/>
              <w:jc w:val="center"/>
              <w:rPr>
                <w:b/>
                <w:bCs/>
                <w:color w:val="000000"/>
                <w:sz w:val="16"/>
                <w:szCs w:val="16"/>
                <w:lang w:eastAsia="en-AU"/>
              </w:rPr>
            </w:pPr>
            <w:r>
              <w:rPr>
                <w:b/>
                <w:bCs/>
                <w:color w:val="000000"/>
                <w:sz w:val="16"/>
                <w:szCs w:val="16"/>
                <w:lang w:eastAsia="en-AU"/>
              </w:rPr>
              <w:t>Oct-16</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EEE4F" w14:textId="2A51B2F5" w:rsidR="000504E8" w:rsidRPr="0022760A" w:rsidRDefault="000504E8"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8936B9" w14:textId="109F7DD2" w:rsidR="000504E8" w:rsidRPr="0022760A" w:rsidRDefault="000504E8"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0531F3" w14:textId="6CF59E96" w:rsidR="000504E8" w:rsidRPr="0022760A" w:rsidRDefault="000504E8" w:rsidP="00DD3BAE">
            <w:pPr>
              <w:spacing w:before="0" w:after="0"/>
              <w:jc w:val="center"/>
              <w:rPr>
                <w:color w:val="000000"/>
                <w:sz w:val="16"/>
                <w:szCs w:val="16"/>
                <w:lang w:eastAsia="en-AU"/>
              </w:rPr>
            </w:pPr>
            <w:r>
              <w:rPr>
                <w:rFonts w:cs="Calibri"/>
                <w:color w:val="000000"/>
                <w:sz w:val="16"/>
                <w:szCs w:val="16"/>
              </w:rPr>
              <w:t>0.75</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9E97B" w14:textId="25D1C0DA" w:rsidR="000504E8" w:rsidRPr="0022760A" w:rsidRDefault="000504E8" w:rsidP="00DD3BAE">
            <w:pPr>
              <w:spacing w:before="0" w:after="0"/>
              <w:jc w:val="center"/>
              <w:rPr>
                <w:color w:val="000000"/>
                <w:sz w:val="16"/>
                <w:szCs w:val="16"/>
                <w:lang w:eastAsia="en-AU"/>
              </w:rPr>
            </w:pPr>
            <w:r>
              <w:rPr>
                <w:rFonts w:cs="Calibri"/>
                <w:color w:val="000000"/>
                <w:sz w:val="16"/>
                <w:szCs w:val="16"/>
              </w:rPr>
              <w:t>0.9</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EE1FC" w14:textId="7AE03572" w:rsidR="000504E8" w:rsidRPr="0022760A" w:rsidRDefault="000504E8" w:rsidP="00DD3BAE">
            <w:pPr>
              <w:spacing w:before="0" w:after="0"/>
              <w:jc w:val="center"/>
              <w:rPr>
                <w:color w:val="000000"/>
                <w:sz w:val="16"/>
                <w:szCs w:val="16"/>
                <w:lang w:eastAsia="en-AU"/>
              </w:rPr>
            </w:pPr>
            <w:r>
              <w:rPr>
                <w:rFonts w:cs="Calibri"/>
                <w:color w:val="000000"/>
                <w:sz w:val="16"/>
                <w:szCs w:val="16"/>
              </w:rPr>
              <w:t>0.69</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05344" w14:textId="066F56D8" w:rsidR="000504E8" w:rsidRPr="0022760A" w:rsidRDefault="000504E8" w:rsidP="00DD3BAE">
            <w:pPr>
              <w:spacing w:before="0" w:after="0"/>
              <w:jc w:val="center"/>
              <w:rPr>
                <w:color w:val="000000"/>
                <w:sz w:val="16"/>
                <w:szCs w:val="16"/>
                <w:lang w:eastAsia="en-AU"/>
              </w:rPr>
            </w:pPr>
            <w:r>
              <w:rPr>
                <w:rFonts w:cs="Calibri"/>
                <w:color w:val="000000"/>
                <w:sz w:val="16"/>
                <w:szCs w:val="16"/>
              </w:rPr>
              <w:t>0.94</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5745ED" w14:textId="78635CD4" w:rsidR="000504E8" w:rsidRPr="0022760A" w:rsidRDefault="000504E8" w:rsidP="00DD3BAE">
            <w:pPr>
              <w:spacing w:before="0" w:after="0"/>
              <w:jc w:val="center"/>
              <w:rPr>
                <w:color w:val="000000"/>
                <w:sz w:val="16"/>
                <w:szCs w:val="16"/>
                <w:lang w:eastAsia="en-AU"/>
              </w:rPr>
            </w:pPr>
            <w:r>
              <w:rPr>
                <w:rFonts w:cs="Calibri"/>
                <w:color w:val="000000"/>
                <w:sz w:val="16"/>
                <w:szCs w:val="16"/>
              </w:rPr>
              <w:t>0.73</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225011" w14:textId="16ED3258" w:rsidR="000504E8" w:rsidRPr="0022760A" w:rsidRDefault="000504E8" w:rsidP="00DD3BAE">
            <w:pPr>
              <w:spacing w:before="0" w:after="0"/>
              <w:jc w:val="center"/>
              <w:rPr>
                <w:color w:val="000000"/>
                <w:sz w:val="16"/>
                <w:szCs w:val="16"/>
                <w:lang w:eastAsia="en-AU"/>
              </w:rPr>
            </w:pPr>
            <w:r>
              <w:rPr>
                <w:rFonts w:cs="Calibri"/>
                <w:color w:val="000000"/>
                <w:sz w:val="16"/>
                <w:szCs w:val="16"/>
              </w:rPr>
              <w:t>0.83</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667424" w14:textId="24B1213A" w:rsidR="000504E8" w:rsidRPr="0022760A" w:rsidRDefault="000504E8" w:rsidP="00DD3BAE">
            <w:pPr>
              <w:spacing w:before="0" w:after="0"/>
              <w:jc w:val="center"/>
              <w:rPr>
                <w:color w:val="000000"/>
                <w:sz w:val="16"/>
                <w:szCs w:val="16"/>
                <w:lang w:eastAsia="en-AU"/>
              </w:rPr>
            </w:pPr>
            <w:r>
              <w:rPr>
                <w:rFonts w:cs="Calibri"/>
                <w:color w:val="000000"/>
                <w:sz w:val="16"/>
                <w:szCs w:val="16"/>
              </w:rPr>
              <w:t>0.68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826C5C" w14:textId="3A547DF2" w:rsidR="000504E8" w:rsidRPr="0022760A" w:rsidRDefault="000504E8" w:rsidP="00DD3BAE">
            <w:pPr>
              <w:spacing w:before="0" w:after="0"/>
              <w:jc w:val="center"/>
              <w:rPr>
                <w:color w:val="000000"/>
                <w:sz w:val="16"/>
                <w:szCs w:val="16"/>
                <w:lang w:eastAsia="en-AU"/>
              </w:rPr>
            </w:pPr>
            <w:r>
              <w:rPr>
                <w:rFonts w:cs="Calibri"/>
                <w:color w:val="000000"/>
                <w:sz w:val="16"/>
                <w:szCs w:val="16"/>
              </w:rPr>
              <w:t>0.7</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83D2D2" w14:textId="56707884" w:rsidR="000504E8" w:rsidRPr="002D34FB" w:rsidRDefault="000504E8" w:rsidP="00DD3BAE">
            <w:pPr>
              <w:spacing w:before="0" w:after="0"/>
              <w:jc w:val="center"/>
              <w:rPr>
                <w:color w:val="000000"/>
                <w:sz w:val="16"/>
                <w:szCs w:val="16"/>
                <w:lang w:eastAsia="en-AU"/>
              </w:rPr>
            </w:pPr>
            <w:r>
              <w:rPr>
                <w:rFonts w:cs="Calibri"/>
                <w:color w:val="000000"/>
                <w:sz w:val="16"/>
                <w:szCs w:val="16"/>
              </w:rPr>
              <w:t>0.83</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3BB47B" w14:textId="33CC445C" w:rsidR="000504E8" w:rsidRDefault="000504E8" w:rsidP="00DD3BAE">
            <w:pPr>
              <w:spacing w:before="0" w:after="0"/>
              <w:jc w:val="center"/>
              <w:rPr>
                <w:color w:val="000000"/>
                <w:sz w:val="16"/>
                <w:szCs w:val="16"/>
                <w:lang w:eastAsia="en-AU"/>
              </w:rPr>
            </w:pPr>
            <w:r>
              <w:rPr>
                <w:rFonts w:cs="Calibri"/>
                <w:color w:val="000000"/>
                <w:sz w:val="16"/>
                <w:szCs w:val="16"/>
              </w:rPr>
              <w:t>0.1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87A5A0" w14:textId="3E67402F" w:rsidR="000504E8" w:rsidRPr="0022760A" w:rsidRDefault="000504E8" w:rsidP="00DD3BAE">
            <w:pPr>
              <w:spacing w:before="0" w:after="0"/>
              <w:jc w:val="center"/>
              <w:rPr>
                <w:color w:val="000000"/>
                <w:sz w:val="16"/>
                <w:szCs w:val="16"/>
                <w:lang w:eastAsia="en-AU"/>
              </w:rPr>
            </w:pPr>
            <w:r>
              <w:rPr>
                <w:rFonts w:cs="Calibri"/>
                <w:color w:val="000000"/>
                <w:sz w:val="16"/>
                <w:szCs w:val="16"/>
              </w:rPr>
              <w:t>0.52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E9EE40" w14:textId="1A161ED9" w:rsidR="000504E8" w:rsidRPr="0022760A" w:rsidRDefault="000504E8" w:rsidP="00DD3BAE">
            <w:pPr>
              <w:spacing w:before="0" w:after="0"/>
              <w:jc w:val="center"/>
              <w:rPr>
                <w:color w:val="000000"/>
                <w:sz w:val="16"/>
                <w:szCs w:val="16"/>
                <w:lang w:eastAsia="en-AU"/>
              </w:rPr>
            </w:pPr>
            <w:r>
              <w:rPr>
                <w:rFonts w:cs="Calibri"/>
                <w:color w:val="000000"/>
                <w:sz w:val="16"/>
                <w:szCs w:val="16"/>
              </w:rPr>
              <w:t>0.82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65E24B" w14:textId="5DAA2127" w:rsidR="000504E8" w:rsidRPr="0022760A" w:rsidRDefault="000504E8" w:rsidP="00DD3BAE">
            <w:pPr>
              <w:spacing w:before="0" w:after="0"/>
              <w:jc w:val="center"/>
              <w:rPr>
                <w:color w:val="000000"/>
                <w:sz w:val="16"/>
                <w:szCs w:val="16"/>
                <w:lang w:eastAsia="en-AU"/>
              </w:rPr>
            </w:pPr>
            <w:r>
              <w:rPr>
                <w:rFonts w:cs="Calibri"/>
                <w:color w:val="000000"/>
                <w:sz w:val="16"/>
                <w:szCs w:val="16"/>
              </w:rPr>
              <w:t>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A7374F" w14:textId="62C6C974" w:rsidR="000504E8" w:rsidRPr="0022760A" w:rsidRDefault="000504E8" w:rsidP="00DD3BAE">
            <w:pPr>
              <w:spacing w:before="0" w:after="0"/>
              <w:jc w:val="center"/>
              <w:rPr>
                <w:color w:val="000000"/>
                <w:sz w:val="16"/>
                <w:szCs w:val="16"/>
                <w:lang w:eastAsia="en-AU"/>
              </w:rPr>
            </w:pPr>
            <w:r>
              <w:rPr>
                <w:rFonts w:cs="Calibri"/>
                <w:color w:val="000000"/>
                <w:sz w:val="16"/>
                <w:szCs w:val="16"/>
              </w:rPr>
              <w:t>0.88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017FED" w14:textId="7F2B63BE" w:rsidR="000504E8" w:rsidRPr="0022760A" w:rsidRDefault="000504E8" w:rsidP="00DD3BAE">
            <w:pPr>
              <w:spacing w:before="0" w:after="0"/>
              <w:jc w:val="center"/>
              <w:rPr>
                <w:color w:val="000000"/>
                <w:sz w:val="16"/>
                <w:szCs w:val="16"/>
                <w:lang w:eastAsia="en-AU"/>
              </w:rPr>
            </w:pPr>
            <w:r>
              <w:rPr>
                <w:rFonts w:cs="Calibri"/>
                <w:color w:val="000000"/>
                <w:sz w:val="16"/>
                <w:szCs w:val="16"/>
              </w:rPr>
              <w:t>0.87</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95AA13" w14:textId="3E9E72D9" w:rsidR="000504E8" w:rsidRDefault="000504E8" w:rsidP="00DD3BAE">
            <w:pPr>
              <w:spacing w:before="0" w:after="0"/>
              <w:jc w:val="center"/>
              <w:rPr>
                <w:color w:val="000000"/>
                <w:sz w:val="16"/>
                <w:szCs w:val="16"/>
                <w:lang w:eastAsia="en-AU"/>
              </w:rPr>
            </w:pPr>
            <w:r>
              <w:rPr>
                <w:rFonts w:cs="Calibri"/>
                <w:color w:val="000000"/>
                <w:sz w:val="16"/>
                <w:szCs w:val="16"/>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AA61DC" w14:textId="5FA8CE5D" w:rsidR="000504E8" w:rsidRDefault="000504E8" w:rsidP="00DD3BAE">
            <w:pPr>
              <w:spacing w:before="0" w:after="0"/>
              <w:jc w:val="center"/>
              <w:rPr>
                <w:color w:val="000000"/>
                <w:sz w:val="16"/>
                <w:szCs w:val="16"/>
                <w:lang w:eastAsia="en-AU"/>
              </w:rPr>
            </w:pPr>
            <w:r>
              <w:rPr>
                <w:rFonts w:cs="Calibri"/>
                <w:color w:val="000000"/>
                <w:sz w:val="16"/>
                <w:szCs w:val="16"/>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790F49" w14:textId="6A01B653" w:rsidR="000504E8" w:rsidRPr="0022760A" w:rsidRDefault="000504E8" w:rsidP="00DD3BAE">
            <w:pPr>
              <w:spacing w:before="0" w:after="0"/>
              <w:jc w:val="center"/>
              <w:rPr>
                <w:color w:val="000000"/>
                <w:sz w:val="16"/>
                <w:szCs w:val="16"/>
                <w:lang w:eastAsia="en-AU"/>
              </w:rPr>
            </w:pPr>
            <w:r>
              <w:rPr>
                <w:rFonts w:cs="Calibri"/>
                <w:color w:val="000000"/>
                <w:sz w:val="16"/>
                <w:szCs w:val="16"/>
              </w:rPr>
              <w:t>0.39</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4C3F9C" w14:textId="5EBC879C" w:rsidR="000504E8" w:rsidRPr="0022760A" w:rsidRDefault="000504E8" w:rsidP="00DD3BAE">
            <w:pPr>
              <w:spacing w:before="0" w:after="0"/>
              <w:jc w:val="center"/>
              <w:rPr>
                <w:color w:val="000000"/>
                <w:sz w:val="16"/>
                <w:szCs w:val="16"/>
                <w:lang w:eastAsia="en-AU"/>
              </w:rPr>
            </w:pPr>
            <w:r>
              <w:rPr>
                <w:rFonts w:cs="Calibri"/>
                <w:color w:val="000000"/>
                <w:sz w:val="16"/>
                <w:szCs w:val="16"/>
              </w:rPr>
              <w:t>0.51</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310036" w14:textId="01AB5660" w:rsidR="000504E8" w:rsidRDefault="000504E8" w:rsidP="00DD3BAE">
            <w:pPr>
              <w:spacing w:before="0" w:after="0"/>
              <w:jc w:val="center"/>
              <w:rPr>
                <w:color w:val="000000"/>
                <w:sz w:val="16"/>
                <w:szCs w:val="16"/>
                <w:lang w:eastAsia="en-AU"/>
              </w:rPr>
            </w:pPr>
            <w:r>
              <w:rPr>
                <w:rFonts w:cs="Calibri"/>
                <w:color w:val="000000"/>
                <w:sz w:val="16"/>
                <w:szCs w:val="16"/>
              </w:rPr>
              <w:t>0.19</w:t>
            </w:r>
          </w:p>
        </w:tc>
      </w:tr>
      <w:tr w:rsidR="000504E8" w:rsidRPr="0022760A" w14:paraId="3538A8A9" w14:textId="77777777" w:rsidTr="000504E8">
        <w:trPr>
          <w:trHeight w:val="284"/>
          <w:jc w:val="center"/>
        </w:trPr>
        <w:tc>
          <w:tcPr>
            <w:tcW w:w="89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2C4322" w14:textId="4684C9CC" w:rsidR="000504E8" w:rsidRDefault="000504E8" w:rsidP="00DD3BAE">
            <w:pPr>
              <w:spacing w:before="0" w:after="0"/>
              <w:jc w:val="center"/>
              <w:rPr>
                <w:b/>
                <w:bCs/>
                <w:color w:val="000000"/>
                <w:sz w:val="16"/>
                <w:szCs w:val="16"/>
                <w:lang w:eastAsia="en-AU"/>
              </w:rPr>
            </w:pPr>
            <w:r>
              <w:rPr>
                <w:b/>
                <w:bCs/>
                <w:color w:val="000000"/>
                <w:sz w:val="16"/>
                <w:szCs w:val="16"/>
                <w:lang w:eastAsia="en-AU"/>
              </w:rPr>
              <w:t>Apr-17</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1844B2" w14:textId="236F3CA5" w:rsidR="000504E8" w:rsidRPr="0022760A" w:rsidRDefault="000504E8"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0363C" w14:textId="5EB04E23" w:rsidR="000504E8" w:rsidRPr="0022760A" w:rsidRDefault="000504E8"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FD5FE8" w14:textId="63A5F4FB"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552564" w14:textId="6E6B5E66"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884C8F" w14:textId="1E43B30D"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EE04FB" w14:textId="2316BDE0"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1F4EA" w14:textId="62E99A23"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5D85C8" w14:textId="770561B1"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E21C28" w14:textId="666ED721"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5EDD7B" w14:textId="7D8D9912" w:rsidR="000504E8" w:rsidRPr="0022760A" w:rsidRDefault="000504E8" w:rsidP="00DD3BAE">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63A54E" w14:textId="3AC48BF5" w:rsidR="000504E8" w:rsidRPr="002D34FB" w:rsidRDefault="000504E8" w:rsidP="00DD3BAE">
            <w:pPr>
              <w:spacing w:before="0" w:after="0"/>
              <w:jc w:val="center"/>
              <w:rPr>
                <w:color w:val="000000"/>
                <w:sz w:val="16"/>
                <w:szCs w:val="16"/>
                <w:lang w:eastAsia="en-AU"/>
              </w:rPr>
            </w:pPr>
            <w:r>
              <w:rPr>
                <w:rFonts w:cs="Calibri"/>
                <w:color w:val="000000"/>
                <w:sz w:val="16"/>
                <w:szCs w:val="16"/>
              </w:rPr>
              <w:t>0.83</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C97136" w14:textId="2139F65F" w:rsidR="000504E8" w:rsidRDefault="000504E8" w:rsidP="00DD3BAE">
            <w:pPr>
              <w:spacing w:before="0" w:after="0"/>
              <w:jc w:val="center"/>
              <w:rPr>
                <w:color w:val="000000"/>
                <w:sz w:val="16"/>
                <w:szCs w:val="16"/>
                <w:lang w:eastAsia="en-AU"/>
              </w:rPr>
            </w:pPr>
            <w:r>
              <w:rPr>
                <w:rFonts w:cs="Calibri"/>
                <w:color w:val="000000"/>
                <w:sz w:val="16"/>
                <w:szCs w:val="16"/>
              </w:rPr>
              <w:t>0.12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08F038" w14:textId="47AD4F1C" w:rsidR="000504E8" w:rsidRPr="0022760A" w:rsidRDefault="000504E8" w:rsidP="00DD3BAE">
            <w:pPr>
              <w:spacing w:before="0" w:after="0"/>
              <w:jc w:val="center"/>
              <w:rPr>
                <w:color w:val="000000"/>
                <w:sz w:val="16"/>
                <w:szCs w:val="16"/>
                <w:lang w:eastAsia="en-AU"/>
              </w:rPr>
            </w:pPr>
            <w:r>
              <w:rPr>
                <w:rFonts w:cs="Calibri"/>
                <w:color w:val="000000"/>
                <w:sz w:val="16"/>
                <w:szCs w:val="16"/>
              </w:rPr>
              <w:t>0.43</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F478C0" w14:textId="5EC0D2A4" w:rsidR="000504E8" w:rsidRPr="0022760A" w:rsidRDefault="000504E8" w:rsidP="00DD3BAE">
            <w:pPr>
              <w:spacing w:before="0" w:after="0"/>
              <w:jc w:val="center"/>
              <w:rPr>
                <w:color w:val="000000"/>
                <w:sz w:val="16"/>
                <w:szCs w:val="16"/>
                <w:lang w:eastAsia="en-AU"/>
              </w:rPr>
            </w:pPr>
            <w:r>
              <w:rPr>
                <w:rFonts w:cs="Calibri"/>
                <w:color w:val="000000"/>
                <w:sz w:val="16"/>
                <w:szCs w:val="16"/>
              </w:rPr>
              <w:t>0.83</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C92084" w14:textId="265DC5E1" w:rsidR="000504E8" w:rsidRPr="0022760A" w:rsidRDefault="000504E8" w:rsidP="00DD3BAE">
            <w:pPr>
              <w:spacing w:before="0" w:after="0"/>
              <w:jc w:val="center"/>
              <w:rPr>
                <w:color w:val="000000"/>
                <w:sz w:val="16"/>
                <w:szCs w:val="16"/>
                <w:lang w:eastAsia="en-AU"/>
              </w:rPr>
            </w:pPr>
            <w:r>
              <w:rPr>
                <w:rFonts w:cs="Calibri"/>
                <w:color w:val="000000"/>
                <w:sz w:val="16"/>
                <w:szCs w:val="16"/>
              </w:rPr>
              <w:t>0.99</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F1155C" w14:textId="767D1C94" w:rsidR="000504E8" w:rsidRPr="0022760A" w:rsidRDefault="000504E8" w:rsidP="00DD3BAE">
            <w:pPr>
              <w:spacing w:before="0" w:after="0"/>
              <w:jc w:val="center"/>
              <w:rPr>
                <w:color w:val="000000"/>
                <w:sz w:val="16"/>
                <w:szCs w:val="16"/>
                <w:lang w:eastAsia="en-AU"/>
              </w:rPr>
            </w:pPr>
            <w:r>
              <w:rPr>
                <w:rFonts w:cs="Calibri"/>
                <w:color w:val="000000"/>
                <w:sz w:val="16"/>
                <w:szCs w:val="16"/>
              </w:rPr>
              <w:t>0.88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CD471C" w14:textId="38BE63C9" w:rsidR="000504E8" w:rsidRPr="0022760A" w:rsidRDefault="000504E8" w:rsidP="00DD3BAE">
            <w:pPr>
              <w:spacing w:before="0" w:after="0"/>
              <w:jc w:val="center"/>
              <w:rPr>
                <w:color w:val="000000"/>
                <w:sz w:val="16"/>
                <w:szCs w:val="16"/>
                <w:lang w:eastAsia="en-AU"/>
              </w:rPr>
            </w:pPr>
            <w:r>
              <w:rPr>
                <w:rFonts w:cs="Calibri"/>
                <w:color w:val="000000"/>
                <w:sz w:val="16"/>
                <w:szCs w:val="16"/>
              </w:rPr>
              <w:t>0.87</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2DCB18" w14:textId="7B06DFF8" w:rsidR="000504E8" w:rsidRDefault="000504E8" w:rsidP="00DD3BAE">
            <w:pPr>
              <w:spacing w:before="0" w:after="0"/>
              <w:jc w:val="center"/>
              <w:rPr>
                <w:color w:val="000000"/>
                <w:sz w:val="16"/>
                <w:szCs w:val="16"/>
                <w:lang w:eastAsia="en-AU"/>
              </w:rPr>
            </w:pPr>
            <w:r>
              <w:rPr>
                <w:rFonts w:cs="Calibri"/>
                <w:color w:val="000000"/>
                <w:sz w:val="16"/>
                <w:szCs w:val="16"/>
              </w:rPr>
              <w:t>0.01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D55453" w14:textId="51CB3803" w:rsidR="000504E8" w:rsidRDefault="000504E8" w:rsidP="00DD3BAE">
            <w:pPr>
              <w:spacing w:before="0" w:after="0"/>
              <w:jc w:val="center"/>
              <w:rPr>
                <w:color w:val="000000"/>
                <w:sz w:val="16"/>
                <w:szCs w:val="16"/>
                <w:lang w:eastAsia="en-AU"/>
              </w:rPr>
            </w:pPr>
            <w:r>
              <w:rPr>
                <w:rFonts w:cs="Calibri"/>
                <w:color w:val="000000"/>
                <w:sz w:val="16"/>
                <w:szCs w:val="16"/>
              </w:rPr>
              <w:t>0.02</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10D09D" w14:textId="7C309BEF" w:rsidR="000504E8" w:rsidRPr="0022760A" w:rsidRDefault="000504E8" w:rsidP="00DD3BAE">
            <w:pPr>
              <w:spacing w:before="0" w:after="0"/>
              <w:jc w:val="center"/>
              <w:rPr>
                <w:color w:val="000000"/>
                <w:sz w:val="16"/>
                <w:szCs w:val="16"/>
                <w:lang w:eastAsia="en-AU"/>
              </w:rPr>
            </w:pPr>
            <w:r>
              <w:rPr>
                <w:rFonts w:cs="Calibri"/>
                <w:color w:val="000000"/>
                <w:sz w:val="16"/>
                <w:szCs w:val="16"/>
              </w:rPr>
              <w:t>0.32</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1FF66B" w14:textId="6FDB1FA6" w:rsidR="000504E8" w:rsidRPr="0022760A" w:rsidRDefault="000504E8" w:rsidP="00DD3BAE">
            <w:pPr>
              <w:spacing w:before="0" w:after="0"/>
              <w:jc w:val="center"/>
              <w:rPr>
                <w:color w:val="000000"/>
                <w:sz w:val="16"/>
                <w:szCs w:val="16"/>
                <w:lang w:eastAsia="en-AU"/>
              </w:rPr>
            </w:pPr>
            <w:r>
              <w:rPr>
                <w:rFonts w:cs="Calibri"/>
                <w:color w:val="000000"/>
                <w:sz w:val="16"/>
                <w:szCs w:val="16"/>
              </w:rPr>
              <w:t>0.39</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3D497A" w14:textId="445A1F03" w:rsidR="000504E8" w:rsidRDefault="000504E8" w:rsidP="00DD3BAE">
            <w:pPr>
              <w:spacing w:before="0" w:after="0"/>
              <w:jc w:val="center"/>
              <w:rPr>
                <w:color w:val="000000"/>
                <w:sz w:val="16"/>
                <w:szCs w:val="16"/>
                <w:lang w:eastAsia="en-AU"/>
              </w:rPr>
            </w:pPr>
            <w:r>
              <w:rPr>
                <w:rFonts w:cs="Calibri"/>
                <w:color w:val="000000"/>
                <w:sz w:val="16"/>
                <w:szCs w:val="16"/>
              </w:rPr>
              <w:t>0.57</w:t>
            </w:r>
          </w:p>
        </w:tc>
      </w:tr>
    </w:tbl>
    <w:p w14:paraId="7F64999C" w14:textId="77777777" w:rsidR="00925F0B" w:rsidRDefault="00925F0B" w:rsidP="00925F0B">
      <w:pPr>
        <w:ind w:left="540" w:hanging="540"/>
        <w:rPr>
          <w:color w:val="000000"/>
        </w:rPr>
      </w:pPr>
    </w:p>
    <w:p w14:paraId="5165ECBB" w14:textId="27F1FDFE" w:rsidR="007B1E97" w:rsidRPr="00517276" w:rsidRDefault="00925F0B" w:rsidP="007B1E97">
      <w:pPr>
        <w:jc w:val="center"/>
        <w:rPr>
          <w:i/>
          <w:vanish/>
          <w:color w:val="000000"/>
          <w:szCs w:val="22"/>
          <w:specVanish/>
        </w:rPr>
      </w:pPr>
      <w:bookmarkStart w:id="1207" w:name="_Toc516053477"/>
      <w:r>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53</w:t>
      </w:r>
      <w:r w:rsidR="00C506C7">
        <w:rPr>
          <w:noProof/>
        </w:rPr>
        <w:fldChar w:fldCharType="end"/>
      </w:r>
      <w:r>
        <w:t xml:space="preserve">. </w:t>
      </w:r>
      <w:r>
        <w:rPr>
          <w:i/>
        </w:rPr>
        <w:t>Proportion of area (within 100m radius of each monitoring site) which is covered by seagrass in the Burdekin, Mackay Whitsunday, Fitzroy and Burnett Mary NRM regions.</w:t>
      </w:r>
      <w:bookmarkEnd w:id="1207"/>
      <w:r w:rsidR="007B1E97" w:rsidRPr="007B1E97">
        <w:rPr>
          <w:i/>
          <w:vanish/>
          <w:color w:val="000000"/>
          <w:szCs w:val="22"/>
          <w:specVanish/>
        </w:rPr>
        <w:t xml:space="preserve"> </w:t>
      </w:r>
    </w:p>
    <w:p w14:paraId="4E37B3E6" w14:textId="4E332D46" w:rsidR="00925F0B" w:rsidRDefault="00925F0B" w:rsidP="00925F0B">
      <w:pPr>
        <w:jc w:val="center"/>
      </w:pPr>
      <w:r>
        <w:rPr>
          <w:i/>
        </w:rPr>
        <w:t xml:space="preserve"> For sites codes, see Table 5. Shading indicates area of seagrass declined &gt;5</w:t>
      </w:r>
      <w:r w:rsidR="0063478C">
        <w:rPr>
          <w:i/>
        </w:rPr>
        <w:t xml:space="preserve"> per cent</w:t>
      </w:r>
      <w:r>
        <w:rPr>
          <w:i/>
        </w:rPr>
        <w:t xml:space="preserve"> (or absent) from previous assessment</w:t>
      </w:r>
    </w:p>
    <w:tbl>
      <w:tblPr>
        <w:tblW w:w="16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606"/>
        <w:gridCol w:w="606"/>
        <w:gridCol w:w="705"/>
        <w:gridCol w:w="605"/>
        <w:gridCol w:w="605"/>
        <w:gridCol w:w="520"/>
        <w:gridCol w:w="605"/>
        <w:gridCol w:w="605"/>
        <w:gridCol w:w="605"/>
        <w:gridCol w:w="647"/>
        <w:gridCol w:w="647"/>
        <w:gridCol w:w="602"/>
        <w:gridCol w:w="602"/>
        <w:gridCol w:w="605"/>
        <w:gridCol w:w="605"/>
        <w:gridCol w:w="569"/>
        <w:gridCol w:w="654"/>
        <w:gridCol w:w="605"/>
        <w:gridCol w:w="605"/>
        <w:gridCol w:w="605"/>
        <w:gridCol w:w="605"/>
        <w:gridCol w:w="605"/>
        <w:gridCol w:w="605"/>
        <w:gridCol w:w="704"/>
        <w:gridCol w:w="607"/>
      </w:tblGrid>
      <w:tr w:rsidR="007B49D0" w14:paraId="6877F121"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DEF0BF2"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Date</w:t>
            </w:r>
          </w:p>
        </w:tc>
        <w:tc>
          <w:tcPr>
            <w:tcW w:w="606"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6AA2F30" w14:textId="77777777" w:rsidR="00AA4BF5" w:rsidRDefault="00AA4BF5" w:rsidP="00DD3BAE">
            <w:pPr>
              <w:spacing w:before="0" w:after="0"/>
              <w:rPr>
                <w:b/>
                <w:color w:val="000000"/>
                <w:sz w:val="16"/>
                <w:szCs w:val="16"/>
                <w:lang w:eastAsia="en-AU"/>
              </w:rPr>
            </w:pPr>
            <w:r>
              <w:rPr>
                <w:b/>
                <w:color w:val="000000"/>
                <w:sz w:val="16"/>
                <w:szCs w:val="16"/>
                <w:lang w:eastAsia="en-AU"/>
              </w:rPr>
              <w:t>BB1</w:t>
            </w:r>
          </w:p>
        </w:tc>
        <w:tc>
          <w:tcPr>
            <w:tcW w:w="606"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9E109F9" w14:textId="77777777" w:rsidR="00AA4BF5" w:rsidRDefault="00AA4BF5" w:rsidP="00DD3BAE">
            <w:pPr>
              <w:spacing w:before="0" w:after="0"/>
              <w:rPr>
                <w:b/>
                <w:color w:val="000000"/>
                <w:sz w:val="16"/>
                <w:szCs w:val="16"/>
                <w:lang w:eastAsia="en-AU"/>
              </w:rPr>
            </w:pPr>
            <w:r>
              <w:rPr>
                <w:b/>
                <w:color w:val="000000"/>
                <w:sz w:val="16"/>
                <w:szCs w:val="16"/>
                <w:lang w:eastAsia="en-AU"/>
              </w:rPr>
              <w:t>SB1</w:t>
            </w:r>
          </w:p>
        </w:tc>
        <w:tc>
          <w:tcPr>
            <w:tcW w:w="7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9485E84" w14:textId="77777777" w:rsidR="00AA4BF5" w:rsidRDefault="00AA4BF5" w:rsidP="00DD3BAE">
            <w:pPr>
              <w:spacing w:before="0" w:after="0"/>
              <w:rPr>
                <w:b/>
                <w:color w:val="000000"/>
                <w:sz w:val="16"/>
                <w:szCs w:val="16"/>
                <w:lang w:eastAsia="en-AU"/>
              </w:rPr>
            </w:pPr>
            <w:r>
              <w:rPr>
                <w:b/>
                <w:color w:val="000000"/>
                <w:sz w:val="16"/>
                <w:szCs w:val="16"/>
                <w:lang w:eastAsia="en-AU"/>
              </w:rPr>
              <w:t>MI1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85EA540" w14:textId="77777777" w:rsidR="00AA4BF5" w:rsidRDefault="00AA4BF5" w:rsidP="00DD3BAE">
            <w:pPr>
              <w:spacing w:before="0" w:after="0"/>
              <w:rPr>
                <w:b/>
                <w:color w:val="000000"/>
                <w:sz w:val="16"/>
                <w:szCs w:val="16"/>
                <w:lang w:eastAsia="en-AU"/>
              </w:rPr>
            </w:pPr>
            <w:r>
              <w:rPr>
                <w:b/>
                <w:color w:val="000000"/>
                <w:sz w:val="16"/>
                <w:szCs w:val="16"/>
                <w:lang w:eastAsia="en-AU"/>
              </w:rPr>
              <w:t>MI2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1F6640A" w14:textId="77777777" w:rsidR="00AA4BF5" w:rsidRDefault="00AA4BF5" w:rsidP="00DD3BAE">
            <w:pPr>
              <w:spacing w:before="0" w:after="0"/>
              <w:rPr>
                <w:b/>
                <w:color w:val="000000"/>
                <w:sz w:val="16"/>
                <w:szCs w:val="16"/>
                <w:lang w:eastAsia="en-AU"/>
              </w:rPr>
            </w:pPr>
            <w:r>
              <w:rPr>
                <w:b/>
                <w:color w:val="000000"/>
                <w:sz w:val="16"/>
                <w:szCs w:val="16"/>
                <w:lang w:eastAsia="en-AU"/>
              </w:rPr>
              <w:t>MI3</w:t>
            </w:r>
          </w:p>
        </w:tc>
        <w:tc>
          <w:tcPr>
            <w:tcW w:w="52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4689AAB" w14:textId="77777777" w:rsidR="00AA4BF5" w:rsidRDefault="00AA4BF5" w:rsidP="00DD3BAE">
            <w:pPr>
              <w:spacing w:before="0" w:after="0"/>
              <w:rPr>
                <w:b/>
                <w:color w:val="000000"/>
                <w:sz w:val="16"/>
                <w:szCs w:val="16"/>
                <w:lang w:eastAsia="en-AU"/>
              </w:rPr>
            </w:pPr>
            <w:r>
              <w:rPr>
                <w:b/>
                <w:color w:val="000000"/>
                <w:sz w:val="16"/>
                <w:szCs w:val="16"/>
                <w:lang w:eastAsia="en-AU"/>
              </w:rPr>
              <w:t>JR1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C024D17" w14:textId="77777777" w:rsidR="00AA4BF5" w:rsidRDefault="00AA4BF5" w:rsidP="00DD3BAE">
            <w:pPr>
              <w:spacing w:before="0" w:after="0"/>
              <w:rPr>
                <w:b/>
                <w:color w:val="000000"/>
                <w:sz w:val="16"/>
                <w:szCs w:val="16"/>
                <w:lang w:eastAsia="en-AU"/>
              </w:rPr>
            </w:pPr>
            <w:r>
              <w:rPr>
                <w:b/>
                <w:color w:val="000000"/>
                <w:sz w:val="16"/>
                <w:szCs w:val="16"/>
                <w:lang w:eastAsia="en-AU"/>
              </w:rPr>
              <w:t>JR2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F544352" w14:textId="77777777" w:rsidR="00AA4BF5" w:rsidRDefault="00AA4BF5" w:rsidP="00DD3BAE">
            <w:pPr>
              <w:spacing w:before="0" w:after="0"/>
              <w:rPr>
                <w:b/>
                <w:color w:val="000000"/>
                <w:sz w:val="16"/>
                <w:szCs w:val="16"/>
                <w:lang w:eastAsia="en-AU"/>
              </w:rPr>
            </w:pPr>
            <w:r>
              <w:rPr>
                <w:b/>
                <w:color w:val="000000"/>
                <w:sz w:val="16"/>
                <w:szCs w:val="16"/>
                <w:lang w:eastAsia="en-AU"/>
              </w:rPr>
              <w:t>PI2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EA78412" w14:textId="77777777" w:rsidR="00AA4BF5" w:rsidRDefault="00AA4BF5" w:rsidP="00DD3BAE">
            <w:pPr>
              <w:spacing w:before="0" w:after="0"/>
              <w:rPr>
                <w:b/>
                <w:color w:val="000000"/>
                <w:sz w:val="16"/>
                <w:szCs w:val="16"/>
                <w:lang w:eastAsia="en-AU"/>
              </w:rPr>
            </w:pPr>
            <w:r>
              <w:rPr>
                <w:b/>
                <w:color w:val="000000"/>
                <w:sz w:val="16"/>
                <w:szCs w:val="16"/>
                <w:lang w:eastAsia="en-AU"/>
              </w:rPr>
              <w:t>PI3</w:t>
            </w:r>
          </w:p>
        </w:tc>
        <w:tc>
          <w:tcPr>
            <w:tcW w:w="6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B8273DE" w14:textId="77777777" w:rsidR="00AA4BF5" w:rsidRDefault="00AA4BF5" w:rsidP="00DD3BAE">
            <w:pPr>
              <w:spacing w:before="0" w:after="0"/>
              <w:rPr>
                <w:b/>
                <w:color w:val="000000"/>
                <w:sz w:val="16"/>
                <w:szCs w:val="16"/>
                <w:lang w:eastAsia="en-AU"/>
              </w:rPr>
            </w:pPr>
            <w:r>
              <w:rPr>
                <w:b/>
                <w:color w:val="000000"/>
                <w:sz w:val="16"/>
                <w:szCs w:val="16"/>
                <w:lang w:eastAsia="en-AU"/>
              </w:rPr>
              <w:t>HM1</w:t>
            </w:r>
          </w:p>
        </w:tc>
        <w:tc>
          <w:tcPr>
            <w:tcW w:w="6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76A3D081" w14:textId="77777777" w:rsidR="00AA4BF5" w:rsidRDefault="00AA4BF5" w:rsidP="00DD3BAE">
            <w:pPr>
              <w:spacing w:before="0" w:after="0"/>
              <w:rPr>
                <w:b/>
                <w:color w:val="000000"/>
                <w:sz w:val="16"/>
                <w:szCs w:val="16"/>
                <w:lang w:eastAsia="en-AU"/>
              </w:rPr>
            </w:pPr>
            <w:r>
              <w:rPr>
                <w:b/>
                <w:color w:val="000000"/>
                <w:sz w:val="16"/>
                <w:szCs w:val="16"/>
                <w:lang w:eastAsia="en-AU"/>
              </w:rPr>
              <w:t>HM2</w:t>
            </w:r>
          </w:p>
        </w:tc>
        <w:tc>
          <w:tcPr>
            <w:tcW w:w="602" w:type="dxa"/>
            <w:tcBorders>
              <w:top w:val="single" w:sz="4" w:space="0" w:color="auto"/>
              <w:left w:val="single" w:sz="4" w:space="0" w:color="auto"/>
              <w:bottom w:val="single" w:sz="4" w:space="0" w:color="auto"/>
              <w:right w:val="single" w:sz="4" w:space="0" w:color="auto"/>
            </w:tcBorders>
            <w:shd w:val="clear" w:color="auto" w:fill="BBE0E3"/>
            <w:vAlign w:val="center"/>
            <w:hideMark/>
          </w:tcPr>
          <w:p w14:paraId="0582E24C" w14:textId="77777777" w:rsidR="00AA4BF5" w:rsidRDefault="00AA4BF5" w:rsidP="00DD3BAE">
            <w:pPr>
              <w:spacing w:before="0" w:after="0"/>
              <w:jc w:val="center"/>
              <w:rPr>
                <w:b/>
                <w:color w:val="000000"/>
                <w:sz w:val="16"/>
                <w:szCs w:val="16"/>
                <w:lang w:eastAsia="en-AU"/>
              </w:rPr>
            </w:pPr>
            <w:r>
              <w:rPr>
                <w:b/>
                <w:color w:val="000000"/>
                <w:sz w:val="16"/>
                <w:szCs w:val="16"/>
                <w:lang w:eastAsia="en-AU"/>
              </w:rPr>
              <w:t>MP2</w:t>
            </w:r>
          </w:p>
        </w:tc>
        <w:tc>
          <w:tcPr>
            <w:tcW w:w="602" w:type="dxa"/>
            <w:tcBorders>
              <w:top w:val="single" w:sz="4" w:space="0" w:color="auto"/>
              <w:left w:val="single" w:sz="4" w:space="0" w:color="auto"/>
              <w:bottom w:val="single" w:sz="4" w:space="0" w:color="auto"/>
              <w:right w:val="single" w:sz="4" w:space="0" w:color="auto"/>
            </w:tcBorders>
            <w:shd w:val="clear" w:color="auto" w:fill="BBE0E3"/>
            <w:vAlign w:val="center"/>
            <w:hideMark/>
          </w:tcPr>
          <w:p w14:paraId="093033A3" w14:textId="77777777" w:rsidR="00AA4BF5" w:rsidRDefault="00AA4BF5" w:rsidP="00DD3BAE">
            <w:pPr>
              <w:spacing w:before="0" w:after="0"/>
              <w:jc w:val="center"/>
              <w:rPr>
                <w:b/>
                <w:color w:val="000000"/>
                <w:sz w:val="16"/>
                <w:szCs w:val="16"/>
                <w:lang w:eastAsia="en-AU"/>
              </w:rPr>
            </w:pPr>
            <w:r>
              <w:rPr>
                <w:b/>
                <w:color w:val="000000"/>
                <w:sz w:val="16"/>
                <w:szCs w:val="16"/>
                <w:lang w:eastAsia="en-AU"/>
              </w:rPr>
              <w:t>MP3</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939A645" w14:textId="77777777" w:rsidR="00AA4BF5" w:rsidRDefault="00AA4BF5" w:rsidP="00DD3BAE">
            <w:pPr>
              <w:spacing w:before="0" w:after="0"/>
              <w:rPr>
                <w:b/>
                <w:color w:val="000000"/>
                <w:sz w:val="16"/>
                <w:szCs w:val="16"/>
                <w:lang w:eastAsia="en-AU"/>
              </w:rPr>
            </w:pPr>
            <w:r>
              <w:rPr>
                <w:b/>
                <w:color w:val="000000"/>
                <w:sz w:val="16"/>
                <w:szCs w:val="16"/>
                <w:lang w:eastAsia="en-AU"/>
              </w:rPr>
              <w:t>SI1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3AC656E" w14:textId="77777777" w:rsidR="00AA4BF5" w:rsidRDefault="00AA4BF5" w:rsidP="00DD3BAE">
            <w:pPr>
              <w:spacing w:before="0" w:after="0"/>
              <w:rPr>
                <w:b/>
                <w:color w:val="000000"/>
                <w:sz w:val="16"/>
                <w:szCs w:val="16"/>
                <w:lang w:eastAsia="en-AU"/>
              </w:rPr>
            </w:pPr>
            <w:r>
              <w:rPr>
                <w:b/>
                <w:color w:val="000000"/>
                <w:sz w:val="16"/>
                <w:szCs w:val="16"/>
                <w:lang w:eastAsia="en-AU"/>
              </w:rPr>
              <w:t>SI2</w:t>
            </w:r>
          </w:p>
        </w:tc>
        <w:tc>
          <w:tcPr>
            <w:tcW w:w="569"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7BC07ED" w14:textId="77777777" w:rsidR="00AA4BF5" w:rsidRDefault="00AA4BF5" w:rsidP="00DD3BAE">
            <w:pPr>
              <w:spacing w:before="0" w:after="0"/>
              <w:rPr>
                <w:b/>
                <w:color w:val="000000"/>
                <w:sz w:val="16"/>
                <w:szCs w:val="16"/>
                <w:lang w:eastAsia="en-AU"/>
              </w:rPr>
            </w:pPr>
            <w:r>
              <w:rPr>
                <w:b/>
                <w:color w:val="000000"/>
                <w:sz w:val="16"/>
                <w:szCs w:val="16"/>
                <w:lang w:eastAsia="en-AU"/>
              </w:rPr>
              <w:t>RC1</w:t>
            </w:r>
          </w:p>
        </w:tc>
        <w:tc>
          <w:tcPr>
            <w:tcW w:w="654"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388D635" w14:textId="77777777" w:rsidR="00AA4BF5" w:rsidRDefault="00AA4BF5" w:rsidP="00DD3BAE">
            <w:pPr>
              <w:spacing w:before="0" w:after="0"/>
              <w:rPr>
                <w:b/>
                <w:color w:val="000000"/>
                <w:sz w:val="16"/>
                <w:szCs w:val="16"/>
                <w:lang w:eastAsia="en-AU"/>
              </w:rPr>
            </w:pPr>
            <w:r>
              <w:rPr>
                <w:b/>
                <w:color w:val="000000"/>
                <w:sz w:val="16"/>
                <w:szCs w:val="16"/>
                <w:lang w:eastAsia="en-AU"/>
              </w:rPr>
              <w:t>WH1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38E7131" w14:textId="77777777" w:rsidR="00AA4BF5" w:rsidRDefault="00AA4BF5" w:rsidP="00DD3BAE">
            <w:pPr>
              <w:spacing w:before="0" w:after="0"/>
              <w:rPr>
                <w:b/>
                <w:color w:val="000000"/>
                <w:sz w:val="16"/>
                <w:szCs w:val="16"/>
                <w:lang w:eastAsia="en-AU"/>
              </w:rPr>
            </w:pPr>
            <w:r>
              <w:rPr>
                <w:b/>
                <w:color w:val="000000"/>
                <w:sz w:val="16"/>
                <w:szCs w:val="16"/>
                <w:lang w:eastAsia="en-AU"/>
              </w:rPr>
              <w:t>GH1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A9938A6" w14:textId="77777777" w:rsidR="00AA4BF5" w:rsidRDefault="00AA4BF5" w:rsidP="00DD3BAE">
            <w:pPr>
              <w:spacing w:before="0" w:after="0"/>
              <w:rPr>
                <w:b/>
                <w:color w:val="000000"/>
                <w:sz w:val="16"/>
                <w:szCs w:val="16"/>
                <w:lang w:eastAsia="en-AU"/>
              </w:rPr>
            </w:pPr>
            <w:r>
              <w:rPr>
                <w:b/>
                <w:color w:val="000000"/>
                <w:sz w:val="16"/>
                <w:szCs w:val="16"/>
                <w:lang w:eastAsia="en-AU"/>
              </w:rPr>
              <w:t>GH2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31EF59A" w14:textId="77777777" w:rsidR="00AA4BF5" w:rsidRDefault="00AA4BF5" w:rsidP="00DD3BAE">
            <w:pPr>
              <w:spacing w:before="0" w:after="0"/>
              <w:rPr>
                <w:b/>
                <w:color w:val="000000"/>
                <w:sz w:val="16"/>
                <w:szCs w:val="16"/>
                <w:lang w:eastAsia="en-AU"/>
              </w:rPr>
            </w:pPr>
            <w:r>
              <w:rPr>
                <w:b/>
                <w:color w:val="000000"/>
                <w:sz w:val="16"/>
                <w:szCs w:val="16"/>
                <w:lang w:eastAsia="en-AU"/>
              </w:rPr>
              <w:t>GK1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5C0B863" w14:textId="77777777" w:rsidR="00AA4BF5" w:rsidRDefault="00AA4BF5" w:rsidP="00DD3BAE">
            <w:pPr>
              <w:spacing w:before="0" w:after="0"/>
              <w:rPr>
                <w:b/>
                <w:color w:val="000000"/>
                <w:sz w:val="16"/>
                <w:szCs w:val="16"/>
                <w:lang w:eastAsia="en-AU"/>
              </w:rPr>
            </w:pPr>
            <w:r>
              <w:rPr>
                <w:b/>
                <w:color w:val="000000"/>
                <w:sz w:val="16"/>
                <w:szCs w:val="16"/>
                <w:lang w:eastAsia="en-AU"/>
              </w:rPr>
              <w:t>GK2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D6E8495" w14:textId="77777777" w:rsidR="00AA4BF5" w:rsidRDefault="00AA4BF5" w:rsidP="00DD3BAE">
            <w:pPr>
              <w:spacing w:before="0" w:after="0"/>
              <w:rPr>
                <w:b/>
                <w:color w:val="000000"/>
                <w:sz w:val="16"/>
                <w:szCs w:val="16"/>
                <w:lang w:eastAsia="en-AU"/>
              </w:rPr>
            </w:pPr>
            <w:r>
              <w:rPr>
                <w:b/>
                <w:color w:val="000000"/>
                <w:sz w:val="16"/>
                <w:szCs w:val="16"/>
                <w:lang w:eastAsia="en-AU"/>
              </w:rPr>
              <w:t>RD1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73E13812" w14:textId="77777777" w:rsidR="00AA4BF5" w:rsidRDefault="00AA4BF5" w:rsidP="00DD3BAE">
            <w:pPr>
              <w:spacing w:before="0" w:after="0"/>
              <w:rPr>
                <w:b/>
                <w:color w:val="000000"/>
                <w:sz w:val="16"/>
                <w:szCs w:val="16"/>
                <w:lang w:eastAsia="en-AU"/>
              </w:rPr>
            </w:pPr>
            <w:r>
              <w:rPr>
                <w:b/>
                <w:color w:val="000000"/>
                <w:sz w:val="16"/>
                <w:szCs w:val="16"/>
                <w:lang w:eastAsia="en-AU"/>
              </w:rPr>
              <w:t>RD2</w:t>
            </w:r>
          </w:p>
        </w:tc>
        <w:tc>
          <w:tcPr>
            <w:tcW w:w="704"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230F29E" w14:textId="77777777" w:rsidR="00AA4BF5" w:rsidRDefault="00AA4BF5" w:rsidP="00DD3BAE">
            <w:pPr>
              <w:spacing w:before="0" w:after="0"/>
              <w:rPr>
                <w:b/>
                <w:color w:val="000000"/>
                <w:sz w:val="16"/>
                <w:szCs w:val="16"/>
                <w:lang w:eastAsia="en-AU"/>
              </w:rPr>
            </w:pPr>
            <w:r>
              <w:rPr>
                <w:b/>
                <w:color w:val="000000"/>
                <w:sz w:val="16"/>
                <w:szCs w:val="16"/>
                <w:lang w:eastAsia="en-AU"/>
              </w:rPr>
              <w:t>UG1</w:t>
            </w:r>
          </w:p>
        </w:tc>
        <w:tc>
          <w:tcPr>
            <w:tcW w:w="60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4AD8566A" w14:textId="77777777" w:rsidR="00AA4BF5" w:rsidRDefault="00AA4BF5" w:rsidP="00DD3BAE">
            <w:pPr>
              <w:spacing w:before="0" w:after="0"/>
              <w:rPr>
                <w:b/>
                <w:color w:val="000000"/>
                <w:sz w:val="16"/>
                <w:szCs w:val="16"/>
                <w:lang w:eastAsia="en-AU"/>
              </w:rPr>
            </w:pPr>
            <w:r>
              <w:rPr>
                <w:b/>
                <w:color w:val="000000"/>
                <w:sz w:val="16"/>
                <w:szCs w:val="16"/>
                <w:lang w:eastAsia="en-AU"/>
              </w:rPr>
              <w:t>UG2</w:t>
            </w:r>
          </w:p>
        </w:tc>
      </w:tr>
      <w:tr w:rsidR="00AA4BF5" w14:paraId="0A7C17DE"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C6A69E9"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Oct-05</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796DF13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09CB1E67"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05A060C" w14:textId="77777777" w:rsidR="00AA4BF5" w:rsidRDefault="00AA4BF5" w:rsidP="00DD3BAE">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8A6CFC8"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27DE1D5"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524D685E"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A9BCA1"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B66E90" w14:textId="77777777" w:rsidR="00AA4BF5" w:rsidRDefault="00AA4BF5" w:rsidP="00DD3BAE">
            <w:pPr>
              <w:spacing w:before="0" w:after="0"/>
              <w:jc w:val="center"/>
              <w:rPr>
                <w:color w:val="000000"/>
                <w:sz w:val="16"/>
                <w:szCs w:val="16"/>
                <w:lang w:eastAsia="en-AU"/>
              </w:rPr>
            </w:pPr>
            <w:r>
              <w:rPr>
                <w:color w:val="000000"/>
                <w:sz w:val="16"/>
                <w:szCs w:val="16"/>
                <w:lang w:eastAsia="en-AU"/>
              </w:rPr>
              <w:t>0.65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1BC70BE"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53DE81D" w14:textId="77777777" w:rsidR="00AA4BF5" w:rsidRDefault="00AA4BF5" w:rsidP="00DD3BAE">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2FE7821"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1753616F"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4CD91D3"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D6035D4"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EFDC854"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8FB0ED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2751D28"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1EC5336"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4103A1"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334F622"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1D32422"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C1E1C85"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A38F102" w14:textId="77777777" w:rsidR="00AA4BF5" w:rsidRDefault="00AA4BF5" w:rsidP="00DD3BAE">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3582B9A3"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731868DF"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r>
      <w:tr w:rsidR="00AA4BF5" w14:paraId="744CE436"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5AC65DB"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Apr-06</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1CC63F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923D9AB"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F622DEA"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4885E12" w14:textId="77777777" w:rsidR="00AA4BF5" w:rsidRDefault="00AA4BF5" w:rsidP="00DD3BAE">
            <w:pPr>
              <w:spacing w:before="0" w:after="0"/>
              <w:jc w:val="center"/>
              <w:rPr>
                <w:color w:val="000000"/>
                <w:sz w:val="16"/>
                <w:szCs w:val="16"/>
                <w:lang w:eastAsia="en-AU"/>
              </w:rPr>
            </w:pPr>
            <w:r>
              <w:rPr>
                <w:color w:val="000000"/>
                <w:sz w:val="16"/>
                <w:szCs w:val="16"/>
                <w:lang w:eastAsia="en-AU"/>
              </w:rPr>
              <w:t>0.82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E8DC03E"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6F14CCFB"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C08BDCF"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6667502"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3A39A27" w14:textId="77777777" w:rsidR="00AA4BF5" w:rsidRDefault="00AA4BF5" w:rsidP="00DD3BAE">
            <w:pPr>
              <w:spacing w:before="0" w:after="0"/>
              <w:jc w:val="center"/>
              <w:rPr>
                <w:color w:val="000000"/>
                <w:sz w:val="16"/>
                <w:szCs w:val="16"/>
                <w:lang w:eastAsia="en-AU"/>
              </w:rPr>
            </w:pPr>
            <w:r>
              <w:rPr>
                <w:color w:val="000000"/>
                <w:sz w:val="16"/>
                <w:szCs w:val="16"/>
                <w:lang w:eastAsia="en-AU"/>
              </w:rPr>
              <w:t>0.38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65DAE80" w14:textId="77777777" w:rsidR="00AA4BF5" w:rsidRDefault="00AA4BF5" w:rsidP="00DD3BAE">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2FC204B"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3D6FB523"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184DC08"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0F9C9FD" w14:textId="77777777" w:rsidR="00AA4BF5" w:rsidRDefault="00AA4BF5" w:rsidP="00DD3BAE">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9C6D9C2" w14:textId="77777777" w:rsidR="00AA4BF5" w:rsidRDefault="00AA4BF5" w:rsidP="00DD3BAE">
            <w:pPr>
              <w:spacing w:before="0" w:after="0"/>
              <w:jc w:val="center"/>
              <w:rPr>
                <w:color w:val="000000"/>
                <w:sz w:val="16"/>
                <w:szCs w:val="16"/>
                <w:lang w:eastAsia="en-AU"/>
              </w:rPr>
            </w:pPr>
            <w:r>
              <w:rPr>
                <w:color w:val="000000"/>
                <w:sz w:val="16"/>
                <w:szCs w:val="16"/>
                <w:lang w:eastAsia="en-AU"/>
              </w:rPr>
              <w:t>0.4</w:t>
            </w:r>
            <w:r>
              <w:rPr>
                <w:color w:val="000000"/>
                <w:sz w:val="16"/>
                <w:szCs w:val="16"/>
                <w:shd w:val="clear" w:color="auto" w:fill="E6E6E6"/>
                <w:lang w:eastAsia="en-AU"/>
              </w:rPr>
              <w:t>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0C9CCD88"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76859D04"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E58EA5"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79E5B3C"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11EDA0D"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79FE29D"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BC57C3A"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23B72B8" w14:textId="77777777" w:rsidR="00AA4BF5" w:rsidRDefault="00AA4BF5" w:rsidP="00DD3BAE">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DACD8C8"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5B0545A0"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72D29CD5"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44DBEAB2"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Oct-06</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3C78AE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9288A65" w14:textId="77777777" w:rsidR="00AA4BF5" w:rsidRDefault="00AA4BF5" w:rsidP="00DD3BAE">
            <w:pPr>
              <w:spacing w:before="0" w:after="0"/>
              <w:jc w:val="center"/>
              <w:rPr>
                <w:color w:val="000000"/>
                <w:sz w:val="16"/>
                <w:szCs w:val="16"/>
                <w:lang w:eastAsia="en-AU"/>
              </w:rPr>
            </w:pPr>
            <w:r>
              <w:rPr>
                <w:color w:val="000000"/>
                <w:sz w:val="16"/>
                <w:szCs w:val="16"/>
                <w:lang w:eastAsia="en-AU"/>
              </w:rPr>
              <w:t>0.54</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35233AA" w14:textId="77777777" w:rsidR="00AA4BF5" w:rsidRDefault="00AA4BF5" w:rsidP="00DD3BAE">
            <w:pPr>
              <w:spacing w:before="0" w:after="0"/>
              <w:jc w:val="center"/>
              <w:rPr>
                <w:color w:val="000000"/>
                <w:sz w:val="16"/>
                <w:szCs w:val="16"/>
                <w:lang w:eastAsia="en-AU"/>
              </w:rPr>
            </w:pPr>
            <w:r>
              <w:rPr>
                <w:color w:val="000000"/>
                <w:sz w:val="16"/>
                <w:szCs w:val="16"/>
                <w:lang w:eastAsia="en-AU"/>
              </w:rPr>
              <w:t>0.32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394B49D"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AE192D2"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3ACA846F"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6477C28"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F72B83C"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F12CE5B" w14:textId="77777777" w:rsidR="00AA4BF5" w:rsidRDefault="00AA4BF5" w:rsidP="00DD3BAE">
            <w:pPr>
              <w:spacing w:before="0" w:after="0"/>
              <w:jc w:val="center"/>
              <w:rPr>
                <w:color w:val="000000"/>
                <w:sz w:val="16"/>
                <w:szCs w:val="16"/>
                <w:lang w:eastAsia="en-AU"/>
              </w:rPr>
            </w:pPr>
            <w:r>
              <w:rPr>
                <w:color w:val="000000"/>
                <w:sz w:val="16"/>
                <w:szCs w:val="16"/>
                <w:lang w:eastAsia="en-AU"/>
              </w:rPr>
              <w:t>0.74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F835CF0" w14:textId="77777777" w:rsidR="00AA4BF5" w:rsidRDefault="00AA4BF5" w:rsidP="00DD3BAE">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D9141F9"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389CBEAE"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04BEF27"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C22921F" w14:textId="77777777" w:rsidR="00AA4BF5" w:rsidRDefault="00AA4BF5" w:rsidP="00DD3BAE">
            <w:pPr>
              <w:spacing w:before="0" w:after="0"/>
              <w:jc w:val="center"/>
              <w:rPr>
                <w:color w:val="000000"/>
                <w:sz w:val="16"/>
                <w:szCs w:val="16"/>
                <w:lang w:eastAsia="en-AU"/>
              </w:rPr>
            </w:pPr>
            <w:r>
              <w:rPr>
                <w:color w:val="000000"/>
                <w:sz w:val="16"/>
                <w:szCs w:val="16"/>
                <w:lang w:eastAsia="en-AU"/>
              </w:rPr>
              <w:t>0.84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54C78C4"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1C1D850"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4943820"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539ECE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A424C7B"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C7D0078"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287EA1D"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32D314D"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C93DDA" w14:textId="77777777" w:rsidR="00AA4BF5" w:rsidRDefault="00AA4BF5" w:rsidP="00DD3BAE">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6E5696CE"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0AE44909"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33D389BA"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4D78AEC"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Apr-07</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BF936A9"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12B2AA58" w14:textId="77777777" w:rsidR="00AA4BF5" w:rsidRDefault="00AA4BF5" w:rsidP="00DD3BAE">
            <w:pPr>
              <w:spacing w:before="0" w:after="0"/>
              <w:jc w:val="center"/>
              <w:rPr>
                <w:color w:val="000000"/>
                <w:sz w:val="16"/>
                <w:szCs w:val="16"/>
                <w:lang w:eastAsia="en-AU"/>
              </w:rPr>
            </w:pPr>
            <w:r>
              <w:rPr>
                <w:color w:val="000000"/>
                <w:sz w:val="16"/>
                <w:szCs w:val="16"/>
                <w:lang w:eastAsia="en-AU"/>
              </w:rPr>
              <w:t>0.74</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6B3DA73E" w14:textId="77777777" w:rsidR="00AA4BF5" w:rsidRDefault="00AA4BF5" w:rsidP="00DD3BAE">
            <w:pPr>
              <w:spacing w:before="0" w:after="0"/>
              <w:jc w:val="center"/>
              <w:rPr>
                <w:color w:val="000000"/>
                <w:sz w:val="16"/>
                <w:szCs w:val="16"/>
                <w:lang w:eastAsia="en-AU"/>
              </w:rPr>
            </w:pPr>
            <w:r>
              <w:rPr>
                <w:color w:val="000000"/>
                <w:sz w:val="16"/>
                <w:szCs w:val="16"/>
                <w:lang w:eastAsia="en-AU"/>
              </w:rPr>
              <w:t>0.49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745D4FC"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D088AC3"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1BC00BB2"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18D6FA0"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A001D4D" w14:textId="77777777" w:rsidR="00AA4BF5" w:rsidRDefault="00AA4BF5" w:rsidP="00DD3BAE">
            <w:pPr>
              <w:spacing w:before="0" w:after="0"/>
              <w:jc w:val="center"/>
              <w:rPr>
                <w:color w:val="000000"/>
                <w:sz w:val="16"/>
                <w:szCs w:val="16"/>
                <w:lang w:eastAsia="en-AU"/>
              </w:rPr>
            </w:pPr>
            <w:r>
              <w:rPr>
                <w:color w:val="000000"/>
                <w:sz w:val="16"/>
                <w:szCs w:val="16"/>
                <w:lang w:eastAsia="en-AU"/>
              </w:rPr>
              <w:t>0.79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170D417" w14:textId="77777777" w:rsidR="00AA4BF5" w:rsidRDefault="00AA4BF5" w:rsidP="00DD3BAE">
            <w:pPr>
              <w:spacing w:before="0" w:after="0"/>
              <w:jc w:val="center"/>
              <w:rPr>
                <w:color w:val="000000"/>
                <w:sz w:val="16"/>
                <w:szCs w:val="16"/>
                <w:lang w:eastAsia="en-AU"/>
              </w:rPr>
            </w:pPr>
            <w:r>
              <w:rPr>
                <w:color w:val="000000"/>
                <w:sz w:val="16"/>
                <w:szCs w:val="16"/>
                <w:lang w:eastAsia="en-AU"/>
              </w:rPr>
              <w:t>0.84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08523EA" w14:textId="77777777" w:rsidR="00AA4BF5" w:rsidRDefault="00AA4BF5" w:rsidP="00DD3BAE">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EBF8C44" w14:textId="77777777" w:rsidR="00AA4BF5" w:rsidRDefault="00AA4BF5" w:rsidP="00DD3BAE">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1574F8C1"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4377B4BE"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25DB271"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F937596"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1712E1D9"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A6EF9F4"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E77E15B"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80D201F"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A962AB7"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DF18612"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5B14758"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0AB689" w14:textId="77777777" w:rsidR="00AA4BF5" w:rsidRDefault="00AA4BF5" w:rsidP="00DD3BAE">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F098F1F"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1CC45A93"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606C7172"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557739E"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Oct-07</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16FB6671"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595C20F" w14:textId="77777777" w:rsidR="00AA4BF5" w:rsidRDefault="00AA4BF5" w:rsidP="00DD3BAE">
            <w:pPr>
              <w:spacing w:before="0" w:after="0"/>
              <w:jc w:val="center"/>
              <w:rPr>
                <w:color w:val="000000"/>
                <w:sz w:val="16"/>
                <w:szCs w:val="16"/>
                <w:lang w:eastAsia="en-AU"/>
              </w:rPr>
            </w:pPr>
            <w:r>
              <w:rPr>
                <w:color w:val="000000"/>
                <w:sz w:val="16"/>
                <w:szCs w:val="16"/>
                <w:lang w:eastAsia="en-AU"/>
              </w:rPr>
              <w:t>0.85</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1D429E74" w14:textId="77777777" w:rsidR="00AA4BF5" w:rsidRDefault="00AA4BF5" w:rsidP="00DD3BAE">
            <w:pPr>
              <w:spacing w:before="0" w:after="0"/>
              <w:jc w:val="center"/>
              <w:rPr>
                <w:color w:val="000000"/>
                <w:sz w:val="16"/>
                <w:szCs w:val="16"/>
                <w:lang w:eastAsia="en-AU"/>
              </w:rPr>
            </w:pPr>
            <w:r>
              <w:rPr>
                <w:color w:val="000000"/>
                <w:sz w:val="16"/>
                <w:szCs w:val="16"/>
                <w:lang w:eastAsia="en-AU"/>
              </w:rPr>
              <w:t>0.59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FC59C4A"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B0975AE"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34F49A42"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6CEAE2B"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1FC7971" w14:textId="77777777" w:rsidR="00AA4BF5" w:rsidRDefault="00AA4BF5" w:rsidP="00DD3BAE">
            <w:pPr>
              <w:spacing w:before="0" w:after="0"/>
              <w:jc w:val="center"/>
              <w:rPr>
                <w:color w:val="000000"/>
                <w:sz w:val="16"/>
                <w:szCs w:val="16"/>
                <w:lang w:eastAsia="en-AU"/>
              </w:rPr>
            </w:pPr>
            <w:r>
              <w:rPr>
                <w:color w:val="000000"/>
                <w:sz w:val="16"/>
                <w:szCs w:val="16"/>
                <w:lang w:eastAsia="en-AU"/>
              </w:rPr>
              <w:t>0.8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CBCB61" w14:textId="77777777" w:rsidR="00AA4BF5" w:rsidRDefault="00AA4BF5" w:rsidP="00DD3BAE">
            <w:pPr>
              <w:spacing w:before="0" w:after="0"/>
              <w:jc w:val="center"/>
              <w:rPr>
                <w:color w:val="000000"/>
                <w:sz w:val="16"/>
                <w:szCs w:val="16"/>
                <w:lang w:eastAsia="en-AU"/>
              </w:rPr>
            </w:pPr>
            <w:r>
              <w:rPr>
                <w:color w:val="000000"/>
                <w:sz w:val="16"/>
                <w:szCs w:val="16"/>
                <w:lang w:eastAsia="en-AU"/>
              </w:rPr>
              <w:t>0.8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E460E38" w14:textId="77777777" w:rsidR="00AA4BF5" w:rsidRDefault="00AA4BF5" w:rsidP="00DD3BAE">
            <w:pPr>
              <w:spacing w:before="0" w:after="0"/>
              <w:jc w:val="center"/>
              <w:rPr>
                <w:color w:val="000000"/>
                <w:sz w:val="16"/>
                <w:szCs w:val="16"/>
                <w:lang w:eastAsia="en-AU"/>
              </w:rPr>
            </w:pPr>
            <w:r>
              <w:rPr>
                <w:color w:val="000000"/>
                <w:sz w:val="16"/>
                <w:szCs w:val="16"/>
                <w:lang w:eastAsia="en-AU"/>
              </w:rPr>
              <w:t>0.3</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09C6D35" w14:textId="77777777" w:rsidR="00AA4BF5" w:rsidRDefault="00AA4BF5" w:rsidP="00DD3BAE">
            <w:pPr>
              <w:spacing w:before="0" w:after="0"/>
              <w:jc w:val="center"/>
              <w:rPr>
                <w:color w:val="000000"/>
                <w:sz w:val="16"/>
                <w:szCs w:val="16"/>
                <w:lang w:eastAsia="en-AU"/>
              </w:rPr>
            </w:pPr>
            <w:r>
              <w:rPr>
                <w:color w:val="000000"/>
                <w:sz w:val="16"/>
                <w:szCs w:val="16"/>
                <w:lang w:eastAsia="en-AU"/>
              </w:rPr>
              <w:t>0.12</w:t>
            </w:r>
          </w:p>
        </w:tc>
        <w:tc>
          <w:tcPr>
            <w:tcW w:w="602" w:type="dxa"/>
            <w:tcBorders>
              <w:top w:val="single" w:sz="4" w:space="0" w:color="auto"/>
              <w:left w:val="single" w:sz="4" w:space="0" w:color="auto"/>
              <w:bottom w:val="single" w:sz="4" w:space="0" w:color="auto"/>
              <w:right w:val="single" w:sz="4" w:space="0" w:color="auto"/>
            </w:tcBorders>
            <w:vAlign w:val="center"/>
          </w:tcPr>
          <w:p w14:paraId="6C1675A0"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4AB6021"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93A622"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4593F85"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3EE68AA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D61675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C5F2BC"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0FDDB62"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5D60436"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E6C5BA4"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E047C1E" w14:textId="77777777" w:rsidR="00AA4BF5" w:rsidRDefault="00AA4BF5" w:rsidP="00DD3BAE">
            <w:pPr>
              <w:spacing w:before="0" w:after="0"/>
              <w:jc w:val="center"/>
              <w:rPr>
                <w:color w:val="000000"/>
                <w:sz w:val="16"/>
                <w:szCs w:val="16"/>
                <w:lang w:eastAsia="en-AU"/>
              </w:rPr>
            </w:pPr>
            <w:r>
              <w:rPr>
                <w:color w:val="000000"/>
                <w:sz w:val="16"/>
                <w:szCs w:val="16"/>
                <w:lang w:eastAsia="en-AU"/>
              </w:rPr>
              <w:t>0.18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D1A670F"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8F09453" w14:textId="77777777" w:rsidR="00AA4BF5" w:rsidRDefault="00AA4BF5" w:rsidP="00DD3BAE">
            <w:pPr>
              <w:spacing w:before="0" w:after="0"/>
              <w:jc w:val="center"/>
              <w:rPr>
                <w:color w:val="000000"/>
                <w:sz w:val="16"/>
                <w:szCs w:val="16"/>
                <w:lang w:eastAsia="en-AU"/>
              </w:rPr>
            </w:pPr>
            <w:r>
              <w:rPr>
                <w:color w:val="000000"/>
                <w:sz w:val="16"/>
                <w:szCs w:val="16"/>
                <w:lang w:eastAsia="en-AU"/>
              </w:rPr>
              <w:t>0.001</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307700F5"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r>
      <w:tr w:rsidR="00AA4BF5" w14:paraId="469F5174"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3B491654"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7DEA6E47"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5958ADD" w14:textId="77777777" w:rsidR="00AA4BF5" w:rsidRDefault="00AA4BF5" w:rsidP="00DD3BAE">
            <w:pPr>
              <w:spacing w:before="0" w:after="0"/>
              <w:jc w:val="center"/>
              <w:rPr>
                <w:color w:val="000000"/>
                <w:sz w:val="16"/>
                <w:szCs w:val="16"/>
                <w:lang w:eastAsia="en-AU"/>
              </w:rPr>
            </w:pPr>
            <w:r>
              <w:rPr>
                <w:color w:val="000000"/>
                <w:sz w:val="16"/>
                <w:szCs w:val="16"/>
                <w:lang w:eastAsia="en-AU"/>
              </w:rPr>
              <w:t>0.39</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4FCF781" w14:textId="77777777" w:rsidR="00AA4BF5" w:rsidRDefault="00AA4BF5" w:rsidP="00DD3BAE">
            <w:pPr>
              <w:spacing w:before="0" w:after="0"/>
              <w:jc w:val="center"/>
              <w:rPr>
                <w:color w:val="000000"/>
                <w:sz w:val="16"/>
                <w:szCs w:val="16"/>
                <w:lang w:eastAsia="en-AU"/>
              </w:rPr>
            </w:pPr>
            <w:r>
              <w:rPr>
                <w:color w:val="000000"/>
                <w:sz w:val="16"/>
                <w:szCs w:val="16"/>
                <w:lang w:eastAsia="en-AU"/>
              </w:rPr>
              <w:t>0.51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B00B0C" w14:textId="77777777" w:rsidR="00AA4BF5" w:rsidRDefault="00AA4BF5" w:rsidP="00DD3BAE">
            <w:pPr>
              <w:spacing w:before="0" w:after="0"/>
              <w:jc w:val="center"/>
              <w:rPr>
                <w:color w:val="000000"/>
                <w:sz w:val="16"/>
                <w:szCs w:val="16"/>
                <w:lang w:eastAsia="en-AU"/>
              </w:rPr>
            </w:pPr>
            <w:r>
              <w:rPr>
                <w:color w:val="000000"/>
                <w:sz w:val="16"/>
                <w:szCs w:val="16"/>
                <w:lang w:eastAsia="en-AU"/>
              </w:rPr>
              <w:t>0.79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A49684"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702F008B"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634D659"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40FE5EE"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0F4ADE2" w14:textId="77777777" w:rsidR="00AA4BF5" w:rsidRDefault="00AA4BF5" w:rsidP="00DD3BAE">
            <w:pPr>
              <w:spacing w:before="0" w:after="0"/>
              <w:jc w:val="center"/>
              <w:rPr>
                <w:color w:val="000000"/>
                <w:sz w:val="16"/>
                <w:szCs w:val="16"/>
                <w:lang w:eastAsia="en-AU"/>
              </w:rPr>
            </w:pPr>
            <w:r>
              <w:rPr>
                <w:color w:val="000000"/>
                <w:sz w:val="16"/>
                <w:szCs w:val="16"/>
                <w:lang w:eastAsia="en-AU"/>
              </w:rPr>
              <w:t>0.79</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5BF8973" w14:textId="77777777" w:rsidR="00AA4BF5" w:rsidRDefault="00AA4BF5" w:rsidP="00DD3BAE">
            <w:pPr>
              <w:spacing w:before="0" w:after="0"/>
              <w:jc w:val="center"/>
              <w:rPr>
                <w:color w:val="000000"/>
                <w:sz w:val="16"/>
                <w:szCs w:val="16"/>
                <w:lang w:eastAsia="en-AU"/>
              </w:rPr>
            </w:pPr>
            <w:r>
              <w:rPr>
                <w:color w:val="000000"/>
                <w:sz w:val="16"/>
                <w:szCs w:val="16"/>
                <w:lang w:eastAsia="en-AU"/>
              </w:rPr>
              <w:t>0.34</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008CC29"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3C8CEA08"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4FB0409"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CD6798E" w14:textId="77777777" w:rsidR="00AA4BF5" w:rsidRDefault="00AA4BF5" w:rsidP="00DD3BAE">
            <w:pPr>
              <w:spacing w:before="0" w:after="0"/>
              <w:jc w:val="center"/>
              <w:rPr>
                <w:color w:val="000000"/>
                <w:sz w:val="16"/>
                <w:szCs w:val="16"/>
                <w:lang w:eastAsia="en-AU"/>
              </w:rPr>
            </w:pPr>
            <w:r>
              <w:rPr>
                <w:color w:val="000000"/>
                <w:sz w:val="16"/>
                <w:szCs w:val="16"/>
                <w:lang w:eastAsia="en-AU"/>
              </w:rPr>
              <w:t>0.32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B01FD79" w14:textId="77777777" w:rsidR="00AA4BF5" w:rsidRDefault="00AA4BF5" w:rsidP="00DD3BAE">
            <w:pPr>
              <w:spacing w:before="0" w:after="0"/>
              <w:jc w:val="center"/>
              <w:rPr>
                <w:color w:val="000000"/>
                <w:sz w:val="16"/>
                <w:szCs w:val="16"/>
                <w:lang w:eastAsia="en-AU"/>
              </w:rPr>
            </w:pPr>
            <w:r>
              <w:rPr>
                <w:color w:val="000000"/>
                <w:sz w:val="16"/>
                <w:szCs w:val="16"/>
                <w:lang w:eastAsia="en-AU"/>
              </w:rPr>
              <w:t>0.35</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5665F05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1FC1E3DE"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4F8035"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0F652D0"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4D3BC12" w14:textId="77777777" w:rsidR="00AA4BF5" w:rsidRDefault="00AA4BF5" w:rsidP="00DD3BAE">
            <w:pPr>
              <w:spacing w:before="0" w:after="0"/>
              <w:jc w:val="center"/>
              <w:rPr>
                <w:color w:val="000000"/>
                <w:sz w:val="16"/>
                <w:szCs w:val="16"/>
                <w:lang w:eastAsia="en-AU"/>
              </w:rPr>
            </w:pPr>
            <w:r>
              <w:rPr>
                <w:color w:val="000000"/>
                <w:sz w:val="16"/>
                <w:szCs w:val="16"/>
                <w:lang w:eastAsia="en-AU"/>
              </w:rPr>
              <w:t>0.17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9E2D576"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E23B7F4" w14:textId="77777777" w:rsidR="00AA4BF5" w:rsidRDefault="00AA4BF5" w:rsidP="00DD3BAE">
            <w:pPr>
              <w:spacing w:before="0" w:after="0"/>
              <w:jc w:val="center"/>
              <w:rPr>
                <w:color w:val="000000"/>
                <w:sz w:val="16"/>
                <w:szCs w:val="16"/>
                <w:lang w:eastAsia="en-AU"/>
              </w:rPr>
            </w:pPr>
            <w:r>
              <w:rPr>
                <w:color w:val="000000"/>
                <w:sz w:val="16"/>
                <w:szCs w:val="16"/>
                <w:lang w:eastAsia="en-AU"/>
              </w:rPr>
              <w:t>0.24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B54EC4D" w14:textId="77777777" w:rsidR="00AA4BF5" w:rsidRDefault="00AA4BF5" w:rsidP="00DD3BAE">
            <w:pPr>
              <w:spacing w:before="0" w:after="0"/>
              <w:jc w:val="center"/>
              <w:rPr>
                <w:color w:val="000000"/>
                <w:sz w:val="16"/>
                <w:szCs w:val="16"/>
                <w:lang w:eastAsia="en-AU"/>
              </w:rPr>
            </w:pPr>
            <w:r>
              <w:rPr>
                <w:color w:val="000000"/>
                <w:sz w:val="16"/>
                <w:szCs w:val="16"/>
                <w:lang w:eastAsia="en-AU"/>
              </w:rPr>
              <w:t>0.65</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3FA0597" w14:textId="77777777" w:rsidR="00AA4BF5" w:rsidRDefault="00AA4BF5" w:rsidP="00DD3BAE">
            <w:pPr>
              <w:spacing w:before="0" w:after="0"/>
              <w:jc w:val="center"/>
              <w:rPr>
                <w:color w:val="000000"/>
                <w:sz w:val="16"/>
                <w:szCs w:val="16"/>
                <w:lang w:eastAsia="en-AU"/>
              </w:rPr>
            </w:pPr>
            <w:r>
              <w:rPr>
                <w:color w:val="000000"/>
                <w:sz w:val="16"/>
                <w:szCs w:val="16"/>
                <w:lang w:eastAsia="en-AU"/>
              </w:rPr>
              <w:t>0.07</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9B52D80" w14:textId="77777777" w:rsidR="00AA4BF5" w:rsidRDefault="00AA4BF5" w:rsidP="00DD3BAE">
            <w:pPr>
              <w:spacing w:before="0" w:after="0"/>
              <w:jc w:val="center"/>
              <w:rPr>
                <w:color w:val="000000"/>
                <w:sz w:val="16"/>
                <w:szCs w:val="16"/>
                <w:lang w:eastAsia="en-AU"/>
              </w:rPr>
            </w:pPr>
            <w:r>
              <w:rPr>
                <w:color w:val="000000"/>
                <w:sz w:val="16"/>
                <w:szCs w:val="16"/>
                <w:lang w:eastAsia="en-AU"/>
              </w:rPr>
              <w:t>0.29</w:t>
            </w:r>
          </w:p>
        </w:tc>
      </w:tr>
      <w:tr w:rsidR="00AA4BF5" w14:paraId="485E4C41"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6904B3B1"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746E845C"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ED8AF50" w14:textId="77777777" w:rsidR="00AA4BF5" w:rsidRDefault="00AA4BF5" w:rsidP="00DD3BAE">
            <w:pPr>
              <w:spacing w:before="0" w:after="0"/>
              <w:jc w:val="center"/>
              <w:rPr>
                <w:color w:val="000000"/>
                <w:sz w:val="16"/>
                <w:szCs w:val="16"/>
                <w:lang w:eastAsia="en-AU"/>
              </w:rPr>
            </w:pPr>
            <w:r>
              <w:rPr>
                <w:color w:val="000000"/>
                <w:sz w:val="16"/>
                <w:szCs w:val="16"/>
                <w:lang w:eastAsia="en-AU"/>
              </w:rPr>
              <w:t>0.31</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69CA6D7F" w14:textId="77777777" w:rsidR="00AA4BF5" w:rsidRDefault="00AA4BF5" w:rsidP="00DD3BAE">
            <w:pPr>
              <w:spacing w:before="0" w:after="0"/>
              <w:jc w:val="center"/>
              <w:rPr>
                <w:color w:val="000000"/>
                <w:sz w:val="16"/>
                <w:szCs w:val="16"/>
                <w:lang w:eastAsia="en-AU"/>
              </w:rPr>
            </w:pPr>
            <w:r>
              <w:rPr>
                <w:color w:val="000000"/>
                <w:sz w:val="16"/>
                <w:szCs w:val="16"/>
                <w:lang w:eastAsia="en-AU"/>
              </w:rPr>
              <w:t>0.52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5D78E63"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97E1900"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4591CED8"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5B91701"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8B42F5F"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8A1738"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3A992AB" w14:textId="77777777" w:rsidR="00AA4BF5" w:rsidRDefault="00AA4BF5" w:rsidP="00DD3BAE">
            <w:pPr>
              <w:spacing w:before="0" w:after="0"/>
              <w:jc w:val="center"/>
              <w:rPr>
                <w:color w:val="000000"/>
                <w:sz w:val="16"/>
                <w:szCs w:val="16"/>
                <w:lang w:eastAsia="en-AU"/>
              </w:rPr>
            </w:pPr>
            <w:r>
              <w:rPr>
                <w:color w:val="000000"/>
                <w:sz w:val="16"/>
                <w:szCs w:val="16"/>
                <w:lang w:eastAsia="en-AU"/>
              </w:rPr>
              <w:t>0.28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B6C5D00" w14:textId="77777777" w:rsidR="00AA4BF5" w:rsidRDefault="00AA4BF5" w:rsidP="00DD3BAE">
            <w:pPr>
              <w:spacing w:before="0" w:after="0"/>
              <w:jc w:val="center"/>
              <w:rPr>
                <w:color w:val="000000"/>
                <w:sz w:val="16"/>
                <w:szCs w:val="16"/>
                <w:lang w:eastAsia="en-AU"/>
              </w:rPr>
            </w:pPr>
            <w:r>
              <w:rPr>
                <w:color w:val="000000"/>
                <w:sz w:val="16"/>
                <w:szCs w:val="16"/>
                <w:lang w:eastAsia="en-AU"/>
              </w:rPr>
              <w:t>0.07</w:t>
            </w:r>
          </w:p>
        </w:tc>
        <w:tc>
          <w:tcPr>
            <w:tcW w:w="602" w:type="dxa"/>
            <w:tcBorders>
              <w:top w:val="single" w:sz="4" w:space="0" w:color="auto"/>
              <w:left w:val="single" w:sz="4" w:space="0" w:color="auto"/>
              <w:bottom w:val="single" w:sz="4" w:space="0" w:color="auto"/>
              <w:right w:val="single" w:sz="4" w:space="0" w:color="auto"/>
            </w:tcBorders>
            <w:vAlign w:val="center"/>
          </w:tcPr>
          <w:p w14:paraId="2738894A"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EF7AFE1"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F2315F7" w14:textId="77777777" w:rsidR="00AA4BF5" w:rsidRDefault="00AA4BF5" w:rsidP="00DD3BAE">
            <w:pPr>
              <w:spacing w:before="0" w:after="0"/>
              <w:jc w:val="center"/>
              <w:rPr>
                <w:color w:val="000000"/>
                <w:sz w:val="16"/>
                <w:szCs w:val="16"/>
                <w:lang w:eastAsia="en-AU"/>
              </w:rPr>
            </w:pPr>
            <w:r>
              <w:rPr>
                <w:color w:val="000000"/>
                <w:sz w:val="16"/>
                <w:szCs w:val="16"/>
                <w:lang w:eastAsia="en-AU"/>
              </w:rPr>
              <w:t>0.68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00E8CA8"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0936E06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194B7AF4"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FB8AA91"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A748B43"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40F7CA8" w14:textId="77777777" w:rsidR="00AA4BF5" w:rsidRDefault="00AA4BF5" w:rsidP="00DD3BAE">
            <w:pPr>
              <w:spacing w:before="0" w:after="0"/>
              <w:jc w:val="center"/>
              <w:rPr>
                <w:color w:val="000000"/>
                <w:sz w:val="16"/>
                <w:szCs w:val="16"/>
                <w:lang w:eastAsia="en-AU"/>
              </w:rPr>
            </w:pPr>
            <w:r>
              <w:rPr>
                <w:color w:val="000000"/>
                <w:sz w:val="16"/>
                <w:szCs w:val="16"/>
                <w:lang w:eastAsia="en-AU"/>
              </w:rPr>
              <w:t>0.3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12E016A" w14:textId="77777777" w:rsidR="00AA4BF5" w:rsidRDefault="00AA4BF5" w:rsidP="00DD3BAE">
            <w:pPr>
              <w:spacing w:before="0" w:after="0"/>
              <w:jc w:val="center"/>
              <w:rPr>
                <w:color w:val="000000"/>
                <w:sz w:val="16"/>
                <w:szCs w:val="16"/>
                <w:lang w:eastAsia="en-AU"/>
              </w:rPr>
            </w:pPr>
            <w:r>
              <w:rPr>
                <w:color w:val="000000"/>
                <w:sz w:val="16"/>
                <w:szCs w:val="16"/>
                <w:lang w:eastAsia="en-AU"/>
              </w:rPr>
              <w:t>0.62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CF904D1"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83AA071"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4C29D2B6" w14:textId="77777777" w:rsidR="00AA4BF5" w:rsidRDefault="00AA4BF5" w:rsidP="00DD3BAE">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7B856AC7" w14:textId="77777777" w:rsidR="00AA4BF5" w:rsidRDefault="00AA4BF5" w:rsidP="00DD3BAE">
            <w:pPr>
              <w:spacing w:before="0" w:after="0"/>
              <w:jc w:val="center"/>
              <w:rPr>
                <w:color w:val="000000"/>
                <w:sz w:val="16"/>
                <w:szCs w:val="16"/>
                <w:lang w:eastAsia="en-AU"/>
              </w:rPr>
            </w:pPr>
            <w:r>
              <w:rPr>
                <w:color w:val="000000"/>
                <w:sz w:val="16"/>
                <w:szCs w:val="16"/>
                <w:lang w:eastAsia="en-AU"/>
              </w:rPr>
              <w:t>0.52</w:t>
            </w:r>
          </w:p>
        </w:tc>
      </w:tr>
      <w:tr w:rsidR="00AA4BF5" w14:paraId="4BC89243"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64A02C1B"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Apr-09</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FC9077C" w14:textId="77777777" w:rsidR="00AA4BF5" w:rsidRDefault="00AA4BF5" w:rsidP="00DD3BAE">
            <w:pPr>
              <w:spacing w:before="0" w:after="0"/>
              <w:jc w:val="center"/>
              <w:rPr>
                <w:color w:val="000000"/>
                <w:sz w:val="16"/>
                <w:szCs w:val="16"/>
                <w:lang w:eastAsia="en-AU"/>
              </w:rPr>
            </w:pPr>
            <w:r>
              <w:rPr>
                <w:color w:val="000000"/>
                <w:sz w:val="16"/>
                <w:szCs w:val="16"/>
                <w:lang w:eastAsia="en-AU"/>
              </w:rPr>
              <w:t>0.43</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E310DAC"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0AE62913" w14:textId="77777777" w:rsidR="00AA4BF5" w:rsidRDefault="00AA4BF5" w:rsidP="00DD3BAE">
            <w:pPr>
              <w:spacing w:before="0" w:after="0"/>
              <w:jc w:val="center"/>
              <w:rPr>
                <w:color w:val="000000"/>
                <w:sz w:val="16"/>
                <w:szCs w:val="16"/>
                <w:lang w:eastAsia="en-AU"/>
              </w:rPr>
            </w:pPr>
            <w:r>
              <w:rPr>
                <w:color w:val="000000"/>
                <w:sz w:val="16"/>
                <w:szCs w:val="16"/>
                <w:lang w:eastAsia="en-AU"/>
              </w:rPr>
              <w:t>0.5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AC26A1C"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F6D9474"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39E50FA4"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95D6D4"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65F4B19" w14:textId="77777777" w:rsidR="00AA4BF5" w:rsidRDefault="00AA4BF5" w:rsidP="00DD3BAE">
            <w:pPr>
              <w:spacing w:before="0" w:after="0"/>
              <w:jc w:val="center"/>
              <w:rPr>
                <w:color w:val="000000"/>
                <w:sz w:val="16"/>
                <w:szCs w:val="16"/>
                <w:lang w:eastAsia="en-AU"/>
              </w:rPr>
            </w:pPr>
            <w:r>
              <w:rPr>
                <w:color w:val="000000"/>
                <w:sz w:val="16"/>
                <w:szCs w:val="16"/>
                <w:lang w:eastAsia="en-AU"/>
              </w:rPr>
              <w:t>0.85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D0CDE1" w14:textId="77777777" w:rsidR="00AA4BF5" w:rsidRDefault="00AA4BF5" w:rsidP="00DD3BAE">
            <w:pPr>
              <w:spacing w:before="0" w:after="0"/>
              <w:jc w:val="center"/>
              <w:rPr>
                <w:color w:val="000000"/>
                <w:sz w:val="16"/>
                <w:szCs w:val="16"/>
                <w:lang w:eastAsia="en-AU"/>
              </w:rPr>
            </w:pPr>
            <w:r>
              <w:rPr>
                <w:color w:val="000000"/>
                <w:sz w:val="16"/>
                <w:szCs w:val="16"/>
                <w:lang w:eastAsia="en-AU"/>
              </w:rPr>
              <w:t>0.84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5771BBC" w14:textId="77777777" w:rsidR="00AA4BF5" w:rsidRDefault="00AA4BF5" w:rsidP="00DD3BAE">
            <w:pPr>
              <w:spacing w:before="0" w:after="0"/>
              <w:jc w:val="center"/>
              <w:rPr>
                <w:color w:val="000000"/>
                <w:sz w:val="16"/>
                <w:szCs w:val="16"/>
                <w:lang w:eastAsia="en-AU"/>
              </w:rPr>
            </w:pPr>
            <w:r>
              <w:rPr>
                <w:color w:val="000000"/>
                <w:sz w:val="16"/>
                <w:szCs w:val="16"/>
                <w:lang w:eastAsia="en-AU"/>
              </w:rPr>
              <w:t>0.25</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56FE3D2"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6083D81D"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D06AEDF"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46F6ECA" w14:textId="77777777" w:rsidR="00AA4BF5" w:rsidRDefault="00AA4BF5" w:rsidP="00DD3BAE">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1FA03B1" w14:textId="77777777" w:rsidR="00AA4BF5" w:rsidRDefault="00AA4BF5" w:rsidP="00DD3BAE">
            <w:pPr>
              <w:spacing w:before="0" w:after="0"/>
              <w:jc w:val="center"/>
              <w:rPr>
                <w:color w:val="000000"/>
                <w:sz w:val="16"/>
                <w:szCs w:val="16"/>
                <w:lang w:eastAsia="en-AU"/>
              </w:rPr>
            </w:pPr>
            <w:r>
              <w:rPr>
                <w:color w:val="000000"/>
                <w:sz w:val="16"/>
                <w:szCs w:val="16"/>
                <w:lang w:eastAsia="en-AU"/>
              </w:rPr>
              <w:t>0.27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6F6C5BA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B04813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6DDF544" w14:textId="77777777" w:rsidR="00AA4BF5" w:rsidRDefault="00AA4BF5" w:rsidP="00DD3BAE">
            <w:pPr>
              <w:spacing w:before="0" w:after="0"/>
              <w:jc w:val="center"/>
              <w:rPr>
                <w:color w:val="000000"/>
                <w:sz w:val="16"/>
                <w:szCs w:val="16"/>
                <w:lang w:eastAsia="en-AU"/>
              </w:rPr>
            </w:pPr>
            <w:r>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172D2F"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2D4B1A" w14:textId="77777777" w:rsidR="00AA4BF5" w:rsidRDefault="00AA4BF5" w:rsidP="00DD3BAE">
            <w:pPr>
              <w:spacing w:before="0" w:after="0"/>
              <w:jc w:val="center"/>
              <w:rPr>
                <w:color w:val="000000"/>
                <w:sz w:val="16"/>
                <w:szCs w:val="16"/>
                <w:lang w:eastAsia="en-AU"/>
              </w:rPr>
            </w:pPr>
            <w:r>
              <w:rPr>
                <w:color w:val="000000"/>
                <w:sz w:val="16"/>
                <w:szCs w:val="16"/>
                <w:lang w:eastAsia="en-AU"/>
              </w:rPr>
              <w:t>0.58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4A6F4FE" w14:textId="77777777" w:rsidR="00AA4BF5" w:rsidRDefault="00AA4BF5" w:rsidP="00DD3BAE">
            <w:pPr>
              <w:spacing w:before="0" w:after="0"/>
              <w:jc w:val="center"/>
              <w:rPr>
                <w:color w:val="000000"/>
                <w:sz w:val="16"/>
                <w:szCs w:val="16"/>
                <w:lang w:eastAsia="en-AU"/>
              </w:rPr>
            </w:pPr>
            <w:r>
              <w:rPr>
                <w:color w:val="000000"/>
                <w:sz w:val="16"/>
                <w:szCs w:val="16"/>
                <w:lang w:eastAsia="en-AU"/>
              </w:rPr>
              <w:t>0.43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411983A"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209CEBF"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7D4D61E1"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CB0F58B" w14:textId="77777777" w:rsidR="00AA4BF5" w:rsidRDefault="00AA4BF5" w:rsidP="00DD3BAE">
            <w:pPr>
              <w:spacing w:before="0" w:after="0"/>
              <w:jc w:val="center"/>
              <w:rPr>
                <w:color w:val="000000"/>
                <w:sz w:val="16"/>
                <w:szCs w:val="16"/>
                <w:lang w:eastAsia="en-AU"/>
              </w:rPr>
            </w:pPr>
            <w:r>
              <w:rPr>
                <w:color w:val="000000"/>
                <w:sz w:val="16"/>
                <w:szCs w:val="16"/>
                <w:lang w:eastAsia="en-AU"/>
              </w:rPr>
              <w:t>0.09</w:t>
            </w:r>
          </w:p>
        </w:tc>
      </w:tr>
      <w:tr w:rsidR="00AA4BF5" w14:paraId="2236369B"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689FFA17"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Oct-09</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C4A37D2"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64C499C" w14:textId="77777777" w:rsidR="00AA4BF5" w:rsidRDefault="00AA4BF5" w:rsidP="00DD3BAE">
            <w:pPr>
              <w:spacing w:before="0" w:after="0"/>
              <w:jc w:val="center"/>
              <w:rPr>
                <w:color w:val="000000"/>
                <w:sz w:val="16"/>
                <w:szCs w:val="16"/>
                <w:lang w:eastAsia="en-AU"/>
              </w:rPr>
            </w:pPr>
            <w:r>
              <w:rPr>
                <w:color w:val="000000"/>
                <w:sz w:val="16"/>
                <w:szCs w:val="16"/>
                <w:lang w:eastAsia="en-AU"/>
              </w:rPr>
              <w:t>0.51</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7B0A2BD" w14:textId="77777777" w:rsidR="00AA4BF5" w:rsidRDefault="00AA4BF5" w:rsidP="00DD3BAE">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E6007ED" w14:textId="77777777" w:rsidR="00AA4BF5" w:rsidRDefault="00AA4BF5" w:rsidP="00DD3BAE">
            <w:pPr>
              <w:spacing w:before="0" w:after="0"/>
              <w:jc w:val="center"/>
              <w:rPr>
                <w:color w:val="000000"/>
                <w:sz w:val="16"/>
                <w:szCs w:val="16"/>
                <w:lang w:eastAsia="en-AU"/>
              </w:rPr>
            </w:pPr>
            <w:r>
              <w:rPr>
                <w:color w:val="000000"/>
                <w:sz w:val="16"/>
                <w:szCs w:val="16"/>
                <w:lang w:eastAsia="en-AU"/>
              </w:rPr>
              <w:t>0.66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51CCBB7"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2CC0034C"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D4B4FF4"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471936"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B9EF0BB"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B85EDAE" w14:textId="77777777" w:rsidR="00AA4BF5" w:rsidRDefault="00AA4BF5" w:rsidP="00DD3BAE">
            <w:pPr>
              <w:spacing w:before="0" w:after="0"/>
              <w:jc w:val="center"/>
              <w:rPr>
                <w:color w:val="000000"/>
                <w:sz w:val="16"/>
                <w:szCs w:val="16"/>
                <w:lang w:eastAsia="en-AU"/>
              </w:rPr>
            </w:pPr>
            <w:r>
              <w:rPr>
                <w:color w:val="000000"/>
                <w:sz w:val="16"/>
                <w:szCs w:val="16"/>
                <w:lang w:eastAsia="en-AU"/>
              </w:rPr>
              <w:t>0.1</w:t>
            </w:r>
            <w:r>
              <w:rPr>
                <w:color w:val="000000"/>
                <w:sz w:val="16"/>
                <w:szCs w:val="16"/>
                <w:shd w:val="clear" w:color="auto" w:fill="CCFFCC"/>
                <w:lang w:eastAsia="en-AU"/>
              </w:rPr>
              <w:t>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BFC0B73" w14:textId="77777777" w:rsidR="00AA4BF5" w:rsidRDefault="00AA4BF5" w:rsidP="00DD3BAE">
            <w:pPr>
              <w:spacing w:before="0" w:after="0"/>
              <w:jc w:val="center"/>
              <w:rPr>
                <w:color w:val="000000"/>
                <w:sz w:val="16"/>
                <w:szCs w:val="16"/>
                <w:lang w:eastAsia="en-AU"/>
              </w:rPr>
            </w:pPr>
            <w:r>
              <w:rPr>
                <w:color w:val="000000"/>
                <w:sz w:val="16"/>
                <w:szCs w:val="16"/>
                <w:lang w:eastAsia="en-AU"/>
              </w:rPr>
              <w:t>0.02</w:t>
            </w:r>
          </w:p>
        </w:tc>
        <w:tc>
          <w:tcPr>
            <w:tcW w:w="602" w:type="dxa"/>
            <w:tcBorders>
              <w:top w:val="single" w:sz="4" w:space="0" w:color="auto"/>
              <w:left w:val="single" w:sz="4" w:space="0" w:color="auto"/>
              <w:bottom w:val="single" w:sz="4" w:space="0" w:color="auto"/>
              <w:right w:val="single" w:sz="4" w:space="0" w:color="auto"/>
            </w:tcBorders>
            <w:vAlign w:val="center"/>
          </w:tcPr>
          <w:p w14:paraId="2F4FE916"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27ADAE36"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011074" w14:textId="77777777" w:rsidR="00AA4BF5" w:rsidRDefault="00AA4BF5" w:rsidP="00DD3BAE">
            <w:pPr>
              <w:spacing w:before="0" w:after="0"/>
              <w:jc w:val="center"/>
              <w:rPr>
                <w:color w:val="000000"/>
                <w:sz w:val="16"/>
                <w:szCs w:val="16"/>
                <w:lang w:eastAsia="en-AU"/>
              </w:rPr>
            </w:pPr>
            <w:r>
              <w:rPr>
                <w:color w:val="000000"/>
                <w:sz w:val="16"/>
                <w:szCs w:val="16"/>
                <w:lang w:eastAsia="en-AU"/>
              </w:rPr>
              <w:t>0.47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CE10CE1"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0B7EC4E"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AF13AA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6351F0"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44B2C0B" w14:textId="77777777" w:rsidR="00AA4BF5" w:rsidRDefault="00AA4BF5" w:rsidP="00DD3BAE">
            <w:pPr>
              <w:spacing w:before="0" w:after="0"/>
              <w:jc w:val="center"/>
              <w:rPr>
                <w:color w:val="000000"/>
                <w:sz w:val="16"/>
                <w:szCs w:val="16"/>
                <w:lang w:eastAsia="en-AU"/>
              </w:rPr>
            </w:pPr>
            <w:r>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2E58341" w14:textId="77777777" w:rsidR="00AA4BF5" w:rsidRDefault="00AA4BF5" w:rsidP="00DD3BAE">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9E9259C"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054B914"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D4CDADA" w14:textId="77777777" w:rsidR="00AA4BF5" w:rsidRDefault="00AA4BF5" w:rsidP="00DD3BAE">
            <w:pPr>
              <w:spacing w:before="0" w:after="0"/>
              <w:jc w:val="center"/>
              <w:rPr>
                <w:color w:val="000000"/>
                <w:sz w:val="16"/>
                <w:szCs w:val="16"/>
                <w:lang w:eastAsia="en-AU"/>
              </w:rPr>
            </w:pPr>
            <w:r>
              <w:rPr>
                <w:color w:val="000000"/>
                <w:sz w:val="16"/>
                <w:szCs w:val="16"/>
                <w:lang w:eastAsia="en-AU"/>
              </w:rPr>
              <w:t>0.51</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1874CBF2" w14:textId="77777777" w:rsidR="00AA4BF5" w:rsidRDefault="00AA4BF5" w:rsidP="00DD3BAE">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53C0B03F" w14:textId="77777777" w:rsidR="00AA4BF5" w:rsidRDefault="00AA4BF5" w:rsidP="00DD3BAE">
            <w:pPr>
              <w:spacing w:before="0" w:after="0"/>
              <w:jc w:val="center"/>
              <w:rPr>
                <w:color w:val="000000"/>
                <w:sz w:val="16"/>
                <w:szCs w:val="16"/>
                <w:lang w:eastAsia="en-AU"/>
              </w:rPr>
            </w:pPr>
            <w:r>
              <w:rPr>
                <w:color w:val="000000"/>
                <w:sz w:val="16"/>
                <w:szCs w:val="16"/>
                <w:lang w:eastAsia="en-AU"/>
              </w:rPr>
              <w:t>0.19</w:t>
            </w:r>
          </w:p>
        </w:tc>
      </w:tr>
      <w:tr w:rsidR="00AA4BF5" w14:paraId="2459AB79"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4D9AA5C"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Apr-10</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D693AEC" w14:textId="77777777" w:rsidR="00AA4BF5" w:rsidRDefault="00AA4BF5" w:rsidP="00DD3BAE">
            <w:pPr>
              <w:spacing w:before="0" w:after="0"/>
              <w:jc w:val="center"/>
              <w:rPr>
                <w:color w:val="000000"/>
                <w:sz w:val="16"/>
                <w:szCs w:val="16"/>
                <w:lang w:eastAsia="en-AU"/>
              </w:rPr>
            </w:pPr>
            <w:r>
              <w:rPr>
                <w:color w:val="000000"/>
                <w:sz w:val="16"/>
                <w:szCs w:val="16"/>
                <w:lang w:eastAsia="en-AU"/>
              </w:rPr>
              <w:t>0.47</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9067615" w14:textId="77777777" w:rsidR="00AA4BF5" w:rsidRDefault="00AA4BF5" w:rsidP="00DD3BAE">
            <w:pPr>
              <w:spacing w:before="0" w:after="0"/>
              <w:jc w:val="center"/>
              <w:rPr>
                <w:color w:val="000000"/>
                <w:sz w:val="16"/>
                <w:szCs w:val="16"/>
                <w:lang w:eastAsia="en-AU"/>
              </w:rPr>
            </w:pPr>
            <w:r>
              <w:rPr>
                <w:color w:val="000000"/>
                <w:sz w:val="16"/>
                <w:szCs w:val="16"/>
                <w:lang w:eastAsia="en-AU"/>
              </w:rPr>
              <w:t>0.39</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7ECD155" w14:textId="77777777" w:rsidR="00AA4BF5" w:rsidRDefault="00AA4BF5" w:rsidP="00DD3BAE">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3276B37" w14:textId="77777777" w:rsidR="00AA4BF5" w:rsidRDefault="00AA4BF5" w:rsidP="00DD3BAE">
            <w:pPr>
              <w:spacing w:before="0" w:after="0"/>
              <w:jc w:val="center"/>
              <w:rPr>
                <w:color w:val="000000"/>
                <w:sz w:val="16"/>
                <w:szCs w:val="16"/>
                <w:lang w:eastAsia="en-AU"/>
              </w:rPr>
            </w:pPr>
            <w:r>
              <w:rPr>
                <w:color w:val="000000"/>
                <w:sz w:val="16"/>
                <w:szCs w:val="16"/>
                <w:lang w:eastAsia="en-AU"/>
              </w:rPr>
              <w:t>0.39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A4905CE"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6E708E2B"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F0AFBC2"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3693026"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568E038"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36EA9F2" w14:textId="77777777" w:rsidR="00AA4BF5" w:rsidRDefault="00AA4BF5" w:rsidP="00DD3BAE">
            <w:pPr>
              <w:spacing w:before="0" w:after="0"/>
              <w:jc w:val="center"/>
              <w:rPr>
                <w:color w:val="000000"/>
                <w:sz w:val="16"/>
                <w:szCs w:val="16"/>
                <w:lang w:eastAsia="en-AU"/>
              </w:rPr>
            </w:pPr>
            <w:r>
              <w:rPr>
                <w:color w:val="000000"/>
                <w:sz w:val="16"/>
                <w:szCs w:val="16"/>
                <w:lang w:eastAsia="en-AU"/>
              </w:rPr>
              <w:t>0.13</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77A8E72"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602" w:type="dxa"/>
            <w:tcBorders>
              <w:top w:val="single" w:sz="4" w:space="0" w:color="auto"/>
              <w:left w:val="single" w:sz="4" w:space="0" w:color="auto"/>
              <w:bottom w:val="single" w:sz="4" w:space="0" w:color="auto"/>
              <w:right w:val="single" w:sz="4" w:space="0" w:color="auto"/>
            </w:tcBorders>
            <w:vAlign w:val="center"/>
          </w:tcPr>
          <w:p w14:paraId="23B7639D"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4D753A5A"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54C7101" w14:textId="77777777" w:rsidR="00AA4BF5" w:rsidRDefault="00AA4BF5" w:rsidP="00DD3BAE">
            <w:pPr>
              <w:spacing w:before="0" w:after="0"/>
              <w:jc w:val="center"/>
              <w:rPr>
                <w:color w:val="000000"/>
                <w:sz w:val="16"/>
                <w:szCs w:val="16"/>
                <w:lang w:eastAsia="en-AU"/>
              </w:rPr>
            </w:pPr>
            <w:r>
              <w:rPr>
                <w:color w:val="000000"/>
                <w:sz w:val="16"/>
                <w:szCs w:val="16"/>
                <w:lang w:eastAsia="en-AU"/>
              </w:rPr>
              <w:t>0.13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097F2D5" w14:textId="77777777" w:rsidR="00AA4BF5" w:rsidRDefault="00AA4BF5" w:rsidP="00DD3BAE">
            <w:pPr>
              <w:spacing w:before="0" w:after="0"/>
              <w:jc w:val="center"/>
              <w:rPr>
                <w:color w:val="000000"/>
                <w:sz w:val="16"/>
                <w:szCs w:val="16"/>
                <w:lang w:eastAsia="en-AU"/>
              </w:rPr>
            </w:pPr>
            <w:r>
              <w:rPr>
                <w:color w:val="000000"/>
                <w:sz w:val="16"/>
                <w:szCs w:val="16"/>
                <w:lang w:eastAsia="en-AU"/>
              </w:rPr>
              <w:t>0.17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604B831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BF0B530"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63E1B4"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ED6AC7A"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CA3A85A" w14:textId="77777777" w:rsidR="00AA4BF5" w:rsidRDefault="00AA4BF5" w:rsidP="00DD3BAE">
            <w:pPr>
              <w:spacing w:before="0" w:after="0"/>
              <w:jc w:val="center"/>
              <w:rPr>
                <w:color w:val="000000"/>
                <w:sz w:val="16"/>
                <w:szCs w:val="16"/>
                <w:lang w:eastAsia="en-AU"/>
              </w:rPr>
            </w:pPr>
            <w:r>
              <w:rPr>
                <w:color w:val="000000"/>
                <w:sz w:val="16"/>
                <w:szCs w:val="16"/>
                <w:lang w:eastAsia="en-AU"/>
              </w:rPr>
              <w:t>0.76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7E4AFA" w14:textId="77777777" w:rsidR="00AA4BF5" w:rsidRDefault="00AA4BF5" w:rsidP="00DD3BAE">
            <w:pPr>
              <w:spacing w:before="0" w:after="0"/>
              <w:jc w:val="center"/>
              <w:rPr>
                <w:color w:val="000000"/>
                <w:sz w:val="16"/>
                <w:szCs w:val="16"/>
                <w:lang w:eastAsia="en-AU"/>
              </w:rPr>
            </w:pPr>
            <w:r>
              <w:rPr>
                <w:color w:val="000000"/>
                <w:sz w:val="16"/>
                <w:szCs w:val="16"/>
                <w:lang w:eastAsia="en-AU"/>
              </w:rPr>
              <w:t>0.74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10F4133"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144F5FA"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0D9D575C" w14:textId="77777777" w:rsidR="00AA4BF5" w:rsidRDefault="00AA4BF5" w:rsidP="00DD3BAE">
            <w:pPr>
              <w:spacing w:before="0" w:after="0"/>
              <w:jc w:val="center"/>
              <w:rPr>
                <w:color w:val="000000"/>
                <w:sz w:val="16"/>
                <w:szCs w:val="16"/>
                <w:lang w:eastAsia="en-AU"/>
              </w:rPr>
            </w:pPr>
            <w:r>
              <w:rPr>
                <w:color w:val="000000"/>
                <w:sz w:val="16"/>
                <w:szCs w:val="16"/>
                <w:lang w:eastAsia="en-AU"/>
              </w:rPr>
              <w:t>0.34</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682D13B3"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r>
      <w:tr w:rsidR="00AA4BF5" w14:paraId="2B0BF8E5"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F13F496"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Oct-10</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B9AD7BC"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E533ECE"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3A9D5A2D" w14:textId="77777777" w:rsidR="00AA4BF5" w:rsidRDefault="00AA4BF5" w:rsidP="00DD3BAE">
            <w:pPr>
              <w:spacing w:before="0" w:after="0"/>
              <w:jc w:val="center"/>
              <w:rPr>
                <w:color w:val="000000"/>
                <w:sz w:val="16"/>
                <w:szCs w:val="16"/>
                <w:lang w:eastAsia="en-AU"/>
              </w:rPr>
            </w:pPr>
            <w:r>
              <w:rPr>
                <w:color w:val="000000"/>
                <w:sz w:val="16"/>
                <w:szCs w:val="16"/>
                <w:lang w:eastAsia="en-AU"/>
              </w:rPr>
              <w:t>0.43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199350F"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954995"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53349765"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A0D55C"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25F1D3"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6BB2FD4"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56269B60" w14:textId="77777777" w:rsidR="00AA4BF5" w:rsidRDefault="00AA4BF5" w:rsidP="00DD3BAE">
            <w:pPr>
              <w:spacing w:before="0" w:after="0"/>
              <w:jc w:val="center"/>
              <w:rPr>
                <w:color w:val="000000"/>
                <w:sz w:val="16"/>
                <w:szCs w:val="16"/>
                <w:lang w:eastAsia="en-AU"/>
              </w:rPr>
            </w:pPr>
            <w:r>
              <w:rPr>
                <w:color w:val="000000"/>
                <w:sz w:val="16"/>
                <w:szCs w:val="16"/>
                <w:lang w:eastAsia="en-AU"/>
              </w:rPr>
              <w:t>0.26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2239708"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4A65C9A0"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DF4D00C"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3DE3CCA" w14:textId="77777777" w:rsidR="00AA4BF5" w:rsidRDefault="00AA4BF5" w:rsidP="00DD3BAE">
            <w:pPr>
              <w:spacing w:before="0" w:after="0"/>
              <w:jc w:val="center"/>
              <w:rPr>
                <w:color w:val="000000"/>
                <w:sz w:val="16"/>
                <w:szCs w:val="16"/>
                <w:lang w:eastAsia="en-AU"/>
              </w:rPr>
            </w:pPr>
            <w:r>
              <w:rPr>
                <w:color w:val="000000"/>
                <w:sz w:val="16"/>
                <w:szCs w:val="16"/>
                <w:lang w:eastAsia="en-AU"/>
              </w:rPr>
              <w:t>0.27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FCF08D2" w14:textId="77777777" w:rsidR="00AA4BF5" w:rsidRDefault="00AA4BF5" w:rsidP="00DD3BAE">
            <w:pPr>
              <w:spacing w:before="0" w:after="0"/>
              <w:jc w:val="center"/>
              <w:rPr>
                <w:color w:val="000000"/>
                <w:sz w:val="16"/>
                <w:szCs w:val="16"/>
                <w:lang w:eastAsia="en-AU"/>
              </w:rPr>
            </w:pPr>
            <w:r>
              <w:rPr>
                <w:color w:val="000000"/>
                <w:sz w:val="16"/>
                <w:szCs w:val="16"/>
                <w:lang w:eastAsia="en-AU"/>
              </w:rPr>
              <w:t>0.23</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3492284C"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6620B470"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FB71BCF"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B295FC" w14:textId="77777777" w:rsidR="00AA4BF5" w:rsidRDefault="00AA4BF5" w:rsidP="00DD3BAE">
            <w:pPr>
              <w:spacing w:before="0" w:after="0"/>
              <w:jc w:val="center"/>
              <w:rPr>
                <w:color w:val="000000"/>
                <w:sz w:val="16"/>
                <w:szCs w:val="16"/>
                <w:lang w:eastAsia="en-AU"/>
              </w:rPr>
            </w:pPr>
            <w:r>
              <w:rPr>
                <w:color w:val="000000"/>
                <w:sz w:val="16"/>
                <w:szCs w:val="16"/>
                <w:lang w:eastAsia="en-AU"/>
              </w:rPr>
              <w:t>0.95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430D0D2" w14:textId="77777777" w:rsidR="00AA4BF5" w:rsidRDefault="00AA4BF5" w:rsidP="00DD3BAE">
            <w:pPr>
              <w:spacing w:before="0" w:after="0"/>
              <w:jc w:val="center"/>
              <w:rPr>
                <w:color w:val="000000"/>
                <w:sz w:val="16"/>
                <w:szCs w:val="16"/>
                <w:lang w:eastAsia="en-AU"/>
              </w:rPr>
            </w:pPr>
            <w:r>
              <w:rPr>
                <w:color w:val="000000"/>
                <w:sz w:val="16"/>
                <w:szCs w:val="16"/>
                <w:lang w:eastAsia="en-AU"/>
              </w:rPr>
              <w:t>0.3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FC7CDE5" w14:textId="77777777" w:rsidR="00AA4BF5" w:rsidRDefault="00AA4BF5" w:rsidP="00DD3BAE">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F32C094" w14:textId="77777777" w:rsidR="00AA4BF5" w:rsidRDefault="00AA4BF5" w:rsidP="00DD3BAE">
            <w:pPr>
              <w:spacing w:before="0" w:after="0"/>
              <w:jc w:val="center"/>
              <w:rPr>
                <w:color w:val="000000"/>
                <w:sz w:val="16"/>
                <w:szCs w:val="16"/>
                <w:lang w:eastAsia="en-AU"/>
              </w:rPr>
            </w:pPr>
            <w:r>
              <w:rPr>
                <w:color w:val="000000"/>
                <w:sz w:val="16"/>
                <w:szCs w:val="16"/>
                <w:lang w:eastAsia="en-AU"/>
              </w:rPr>
              <w:t>0.1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12C74E"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74D77F" w14:textId="77777777" w:rsidR="00AA4BF5" w:rsidRDefault="00AA4BF5" w:rsidP="00DD3BAE">
            <w:pPr>
              <w:spacing w:before="0" w:after="0"/>
              <w:jc w:val="center"/>
              <w:rPr>
                <w:color w:val="000000"/>
                <w:sz w:val="16"/>
                <w:szCs w:val="16"/>
                <w:lang w:eastAsia="en-AU"/>
              </w:rPr>
            </w:pPr>
            <w:r>
              <w:rPr>
                <w:color w:val="000000"/>
                <w:sz w:val="16"/>
                <w:szCs w:val="16"/>
                <w:lang w:eastAsia="en-AU"/>
              </w:rPr>
              <w:t>0.27</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D7C0D03"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r>
      <w:tr w:rsidR="00AA4BF5" w14:paraId="6A7F58C5"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055823A4"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15BF1C5" w14:textId="77777777" w:rsidR="00AA4BF5" w:rsidRDefault="00AA4BF5" w:rsidP="00DD3BAE">
            <w:pPr>
              <w:spacing w:before="0" w:after="0"/>
              <w:jc w:val="center"/>
              <w:rPr>
                <w:color w:val="000000"/>
                <w:sz w:val="16"/>
                <w:szCs w:val="16"/>
                <w:lang w:eastAsia="en-AU"/>
              </w:rPr>
            </w:pPr>
            <w:r>
              <w:rPr>
                <w:color w:val="000000"/>
                <w:sz w:val="16"/>
                <w:szCs w:val="16"/>
                <w:lang w:eastAsia="en-AU"/>
              </w:rPr>
              <w:t>0.48</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F56C5F7" w14:textId="77777777" w:rsidR="00AA4BF5" w:rsidRDefault="00AA4BF5" w:rsidP="00DD3BAE">
            <w:pPr>
              <w:spacing w:before="0" w:after="0"/>
              <w:jc w:val="center"/>
              <w:rPr>
                <w:color w:val="000000"/>
                <w:sz w:val="16"/>
                <w:szCs w:val="16"/>
                <w:lang w:eastAsia="en-AU"/>
              </w:rPr>
            </w:pPr>
            <w:r>
              <w:rPr>
                <w:color w:val="000000"/>
                <w:sz w:val="16"/>
                <w:szCs w:val="16"/>
                <w:lang w:eastAsia="en-AU"/>
              </w:rPr>
              <w:t>0.05</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EF585CD"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C1AC09F"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95C619D" w14:textId="77777777" w:rsidR="00AA4BF5" w:rsidRDefault="00AA4BF5" w:rsidP="00DD3BAE">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28199350"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8351E47"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8D78F2B" w14:textId="77777777" w:rsidR="00AA4BF5" w:rsidRDefault="00AA4BF5" w:rsidP="00DD3BAE">
            <w:pPr>
              <w:spacing w:before="0" w:after="0"/>
              <w:jc w:val="center"/>
              <w:rPr>
                <w:color w:val="000000"/>
                <w:sz w:val="16"/>
                <w:szCs w:val="16"/>
                <w:lang w:eastAsia="en-AU"/>
              </w:rPr>
            </w:pPr>
            <w:r>
              <w:rPr>
                <w:color w:val="000000"/>
                <w:sz w:val="16"/>
                <w:szCs w:val="16"/>
                <w:lang w:eastAsia="en-AU"/>
              </w:rPr>
              <w:t>0.29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9C2462" w14:textId="77777777" w:rsidR="00AA4BF5" w:rsidRDefault="00AA4BF5" w:rsidP="00DD3BAE">
            <w:pPr>
              <w:spacing w:before="0" w:after="0"/>
              <w:jc w:val="center"/>
              <w:rPr>
                <w:color w:val="000000"/>
                <w:sz w:val="16"/>
                <w:szCs w:val="16"/>
                <w:lang w:eastAsia="en-AU"/>
              </w:rPr>
            </w:pPr>
            <w:r>
              <w:rPr>
                <w:color w:val="000000"/>
                <w:sz w:val="16"/>
                <w:szCs w:val="16"/>
                <w:lang w:eastAsia="en-AU"/>
              </w:rPr>
              <w:t>0.19</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12CB38C" w14:textId="77777777" w:rsidR="00AA4BF5" w:rsidRDefault="00AA4BF5" w:rsidP="00DD3BAE">
            <w:pPr>
              <w:spacing w:before="0" w:after="0"/>
              <w:jc w:val="center"/>
              <w:rPr>
                <w:color w:val="000000"/>
                <w:sz w:val="16"/>
                <w:szCs w:val="16"/>
                <w:lang w:eastAsia="en-AU"/>
              </w:rPr>
            </w:pPr>
            <w:r>
              <w:rPr>
                <w:color w:val="000000"/>
                <w:sz w:val="16"/>
                <w:szCs w:val="16"/>
                <w:lang w:eastAsia="en-AU"/>
              </w:rPr>
              <w:t>0.15</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AF0C393"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602" w:type="dxa"/>
            <w:tcBorders>
              <w:top w:val="single" w:sz="4" w:space="0" w:color="auto"/>
              <w:left w:val="single" w:sz="4" w:space="0" w:color="auto"/>
              <w:bottom w:val="single" w:sz="4" w:space="0" w:color="auto"/>
              <w:right w:val="single" w:sz="4" w:space="0" w:color="auto"/>
            </w:tcBorders>
            <w:vAlign w:val="center"/>
          </w:tcPr>
          <w:p w14:paraId="218B9D58"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42002A1"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B117CCE" w14:textId="77777777" w:rsidR="00AA4BF5" w:rsidRDefault="00AA4BF5" w:rsidP="00DD3BAE">
            <w:pPr>
              <w:spacing w:before="0" w:after="0"/>
              <w:jc w:val="center"/>
              <w:rPr>
                <w:color w:val="000000"/>
                <w:sz w:val="16"/>
                <w:szCs w:val="16"/>
                <w:lang w:eastAsia="en-AU"/>
              </w:rPr>
            </w:pPr>
            <w:r>
              <w:rPr>
                <w:color w:val="000000"/>
                <w:sz w:val="16"/>
                <w:szCs w:val="16"/>
                <w:lang w:eastAsia="en-AU"/>
              </w:rPr>
              <w:t>0.12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8EDCC05" w14:textId="77777777" w:rsidR="00AA4BF5" w:rsidRDefault="00AA4BF5" w:rsidP="00DD3BAE">
            <w:pPr>
              <w:spacing w:before="0" w:after="0"/>
              <w:jc w:val="center"/>
              <w:rPr>
                <w:color w:val="000000"/>
                <w:sz w:val="16"/>
                <w:szCs w:val="16"/>
                <w:lang w:eastAsia="en-AU"/>
              </w:rPr>
            </w:pPr>
            <w:r>
              <w:rPr>
                <w:color w:val="000000"/>
                <w:sz w:val="16"/>
                <w:szCs w:val="16"/>
                <w:lang w:eastAsia="en-AU"/>
              </w:rPr>
              <w:t>0.05</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65B8A5D8"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77BF3AFD"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46EED9" w14:textId="77777777" w:rsidR="00AA4BF5" w:rsidRDefault="00AA4BF5" w:rsidP="00DD3BAE">
            <w:pPr>
              <w:spacing w:before="0" w:after="0"/>
              <w:jc w:val="center"/>
              <w:rPr>
                <w:color w:val="000000"/>
                <w:sz w:val="16"/>
                <w:szCs w:val="16"/>
                <w:lang w:eastAsia="en-AU"/>
              </w:rPr>
            </w:pPr>
            <w:r>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45ED1A"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FA5B212" w14:textId="77777777" w:rsidR="00AA4BF5" w:rsidRDefault="00AA4BF5" w:rsidP="00DD3BAE">
            <w:pPr>
              <w:spacing w:before="0" w:after="0"/>
              <w:jc w:val="center"/>
              <w:rPr>
                <w:color w:val="000000"/>
                <w:sz w:val="16"/>
                <w:szCs w:val="16"/>
                <w:lang w:eastAsia="en-AU"/>
              </w:rPr>
            </w:pPr>
            <w:r>
              <w:rPr>
                <w:color w:val="000000"/>
                <w:sz w:val="16"/>
                <w:szCs w:val="16"/>
                <w:lang w:eastAsia="en-AU"/>
              </w:rPr>
              <w:t>0.12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2AD3C27" w14:textId="77777777" w:rsidR="00AA4BF5" w:rsidRDefault="00AA4BF5" w:rsidP="00DD3BAE">
            <w:pPr>
              <w:spacing w:before="0" w:after="0"/>
              <w:jc w:val="center"/>
              <w:rPr>
                <w:color w:val="000000"/>
                <w:sz w:val="16"/>
                <w:szCs w:val="16"/>
                <w:lang w:eastAsia="en-AU"/>
              </w:rPr>
            </w:pPr>
            <w:r>
              <w:rPr>
                <w:color w:val="000000"/>
                <w:sz w:val="16"/>
                <w:szCs w:val="16"/>
                <w:lang w:eastAsia="en-AU"/>
              </w:rPr>
              <w:t>0.54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AE965F4"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6F92DEA" w14:textId="77777777" w:rsidR="00AA4BF5" w:rsidRDefault="00AA4BF5" w:rsidP="00DD3BAE">
            <w:pPr>
              <w:spacing w:before="0" w:after="0"/>
              <w:jc w:val="center"/>
              <w:rPr>
                <w:color w:val="000000"/>
                <w:sz w:val="16"/>
                <w:szCs w:val="16"/>
                <w:lang w:eastAsia="en-AU"/>
              </w:rPr>
            </w:pPr>
            <w:r>
              <w:rPr>
                <w:color w:val="000000"/>
                <w:sz w:val="16"/>
                <w:szCs w:val="16"/>
                <w:lang w:eastAsia="en-AU"/>
              </w:rPr>
              <w:t>0.02</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70632F9D" w14:textId="77777777" w:rsidR="00AA4BF5" w:rsidRDefault="00AA4BF5" w:rsidP="00DD3BAE">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826906C" w14:textId="77777777" w:rsidR="00AA4BF5" w:rsidRDefault="00AA4BF5" w:rsidP="00DD3BAE">
            <w:pPr>
              <w:spacing w:before="0" w:after="0"/>
              <w:jc w:val="center"/>
              <w:rPr>
                <w:color w:val="000000"/>
                <w:sz w:val="16"/>
                <w:szCs w:val="16"/>
                <w:lang w:eastAsia="en-AU"/>
              </w:rPr>
            </w:pPr>
            <w:r>
              <w:rPr>
                <w:color w:val="000000"/>
                <w:sz w:val="16"/>
                <w:szCs w:val="16"/>
                <w:lang w:eastAsia="en-AU"/>
              </w:rPr>
              <w:t>0.38</w:t>
            </w:r>
          </w:p>
        </w:tc>
      </w:tr>
      <w:tr w:rsidR="00AA4BF5" w14:paraId="74A9D6FC"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327D8018"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3A7DC3B" w14:textId="77777777" w:rsidR="00AA4BF5" w:rsidRDefault="00AA4BF5" w:rsidP="00DD3BAE">
            <w:pPr>
              <w:spacing w:before="0" w:after="0"/>
              <w:jc w:val="center"/>
              <w:rPr>
                <w:color w:val="000000"/>
                <w:sz w:val="16"/>
                <w:szCs w:val="16"/>
                <w:lang w:eastAsia="en-AU"/>
              </w:rPr>
            </w:pPr>
            <w:r>
              <w:rPr>
                <w:color w:val="000000"/>
                <w:sz w:val="16"/>
                <w:szCs w:val="16"/>
                <w:lang w:eastAsia="en-AU"/>
              </w:rPr>
              <w:t>0.4</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9B89029" w14:textId="77777777" w:rsidR="00AA4BF5" w:rsidRDefault="00AA4BF5" w:rsidP="00DD3BAE">
            <w:pPr>
              <w:spacing w:before="0" w:after="0"/>
              <w:jc w:val="center"/>
              <w:rPr>
                <w:color w:val="000000"/>
                <w:sz w:val="16"/>
                <w:szCs w:val="16"/>
                <w:lang w:eastAsia="en-AU"/>
              </w:rPr>
            </w:pPr>
            <w:r>
              <w:rPr>
                <w:color w:val="000000"/>
                <w:sz w:val="16"/>
                <w:szCs w:val="16"/>
                <w:lang w:eastAsia="en-AU"/>
              </w:rPr>
              <w:t>0.16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287F4EBC" w14:textId="77777777" w:rsidR="00AA4BF5" w:rsidRDefault="00AA4BF5" w:rsidP="00DD3BAE">
            <w:pPr>
              <w:spacing w:before="0" w:after="0"/>
              <w:jc w:val="center"/>
              <w:rPr>
                <w:color w:val="000000"/>
                <w:sz w:val="16"/>
                <w:szCs w:val="16"/>
                <w:lang w:eastAsia="en-AU"/>
              </w:rPr>
            </w:pPr>
            <w:r>
              <w:rPr>
                <w:color w:val="000000"/>
                <w:sz w:val="16"/>
                <w:szCs w:val="16"/>
                <w:lang w:eastAsia="en-AU"/>
              </w:rPr>
              <w:t>0.42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6FC53F8" w14:textId="77777777" w:rsidR="00AA4BF5" w:rsidRDefault="00AA4BF5" w:rsidP="00DD3BAE">
            <w:pPr>
              <w:spacing w:before="0" w:after="0"/>
              <w:jc w:val="center"/>
              <w:rPr>
                <w:color w:val="000000"/>
                <w:sz w:val="16"/>
                <w:szCs w:val="16"/>
                <w:lang w:eastAsia="en-AU"/>
              </w:rPr>
            </w:pPr>
            <w:r>
              <w:rPr>
                <w:color w:val="000000"/>
                <w:sz w:val="16"/>
                <w:szCs w:val="16"/>
                <w:lang w:eastAsia="en-AU"/>
              </w:rPr>
              <w:t>0.75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92E2A7D" w14:textId="77777777" w:rsidR="00AA4BF5" w:rsidRDefault="00AA4BF5" w:rsidP="00DD3BAE">
            <w:pPr>
              <w:spacing w:before="0" w:after="0"/>
              <w:jc w:val="center"/>
              <w:rPr>
                <w:color w:val="000000"/>
                <w:sz w:val="16"/>
                <w:szCs w:val="16"/>
                <w:lang w:eastAsia="en-AU"/>
              </w:rPr>
            </w:pPr>
            <w:r>
              <w:rPr>
                <w:color w:val="000000"/>
                <w:sz w:val="16"/>
                <w:szCs w:val="16"/>
                <w:lang w:eastAsia="en-AU"/>
              </w:rPr>
              <w:t>0.63</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4B20A546"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E713A2F" w14:textId="77777777" w:rsidR="00AA4BF5" w:rsidRDefault="00AA4BF5" w:rsidP="00DD3BAE">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8D1E90E"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7E6789B" w14:textId="77777777" w:rsidR="00AA4BF5" w:rsidRDefault="00AA4BF5" w:rsidP="00DD3BAE">
            <w:pPr>
              <w:spacing w:before="0" w:after="0"/>
              <w:jc w:val="center"/>
              <w:rPr>
                <w:color w:val="000000"/>
                <w:sz w:val="16"/>
                <w:szCs w:val="16"/>
                <w:lang w:eastAsia="en-AU"/>
              </w:rPr>
            </w:pPr>
            <w:r>
              <w:rPr>
                <w:color w:val="000000"/>
                <w:sz w:val="16"/>
                <w:szCs w:val="16"/>
                <w:lang w:eastAsia="en-AU"/>
              </w:rPr>
              <w:t>0.16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FADA6D3" w14:textId="77777777" w:rsidR="00AA4BF5" w:rsidRDefault="00AA4BF5" w:rsidP="00DD3BAE">
            <w:pPr>
              <w:spacing w:before="0" w:after="0"/>
              <w:jc w:val="center"/>
              <w:rPr>
                <w:color w:val="000000"/>
                <w:sz w:val="16"/>
                <w:szCs w:val="16"/>
                <w:lang w:eastAsia="en-AU"/>
              </w:rPr>
            </w:pPr>
            <w:r>
              <w:rPr>
                <w:color w:val="000000"/>
                <w:sz w:val="16"/>
                <w:szCs w:val="16"/>
                <w:lang w:eastAsia="en-AU"/>
              </w:rPr>
              <w:t>0.32</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3E5E8A8"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center"/>
          </w:tcPr>
          <w:p w14:paraId="561B668C"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439E9E3"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CEB248" w14:textId="77777777" w:rsidR="00AA4BF5" w:rsidRDefault="00AA4BF5" w:rsidP="00DD3BAE">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9A67EB"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4E9194A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2000B21"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6B7C9A2"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BEFAC2"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A6B313" w14:textId="77777777" w:rsidR="00AA4BF5" w:rsidRDefault="00AA4BF5" w:rsidP="00DD3BAE">
            <w:pPr>
              <w:spacing w:before="0" w:after="0"/>
              <w:jc w:val="center"/>
              <w:rPr>
                <w:color w:val="000000"/>
                <w:sz w:val="16"/>
                <w:szCs w:val="16"/>
                <w:lang w:eastAsia="en-AU"/>
              </w:rPr>
            </w:pPr>
            <w:r>
              <w:rPr>
                <w:color w:val="000000"/>
                <w:sz w:val="16"/>
                <w:szCs w:val="16"/>
                <w:lang w:eastAsia="en-AU"/>
              </w:rPr>
              <w:t>0.09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630CE7F" w14:textId="77777777" w:rsidR="00AA4BF5" w:rsidRDefault="00AA4BF5" w:rsidP="00DD3BAE">
            <w:pPr>
              <w:spacing w:before="0" w:after="0"/>
              <w:jc w:val="center"/>
              <w:rPr>
                <w:color w:val="000000"/>
                <w:sz w:val="16"/>
                <w:szCs w:val="16"/>
                <w:lang w:eastAsia="en-AU"/>
              </w:rPr>
            </w:pPr>
            <w:r>
              <w:rPr>
                <w:color w:val="000000"/>
                <w:sz w:val="16"/>
                <w:szCs w:val="16"/>
                <w:lang w:eastAsia="en-AU"/>
              </w:rPr>
              <w:t>0.25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96EBBDF" w14:textId="77777777" w:rsidR="00AA4BF5" w:rsidRDefault="00AA4BF5" w:rsidP="00DD3BAE">
            <w:pPr>
              <w:spacing w:before="0" w:after="0"/>
              <w:jc w:val="center"/>
              <w:rPr>
                <w:color w:val="000000"/>
                <w:sz w:val="16"/>
                <w:szCs w:val="16"/>
                <w:lang w:eastAsia="en-AU"/>
              </w:rPr>
            </w:pPr>
            <w:r>
              <w:rPr>
                <w:color w:val="000000"/>
                <w:sz w:val="16"/>
                <w:szCs w:val="16"/>
                <w:lang w:eastAsia="en-AU"/>
              </w:rPr>
              <w:t>0.05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82A3CC5" w14:textId="77777777" w:rsidR="00AA4BF5" w:rsidRDefault="00AA4BF5" w:rsidP="00DD3BAE">
            <w:pPr>
              <w:spacing w:before="0" w:after="0"/>
              <w:jc w:val="center"/>
              <w:rPr>
                <w:color w:val="000000"/>
                <w:sz w:val="16"/>
                <w:szCs w:val="16"/>
                <w:lang w:eastAsia="en-AU"/>
              </w:rPr>
            </w:pPr>
            <w:r>
              <w:rPr>
                <w:color w:val="000000"/>
                <w:sz w:val="16"/>
                <w:szCs w:val="16"/>
                <w:lang w:eastAsia="en-AU"/>
              </w:rPr>
              <w:t>0.01</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576A147A" w14:textId="77777777" w:rsidR="00AA4BF5" w:rsidRDefault="00AA4BF5" w:rsidP="00DD3BAE">
            <w:pPr>
              <w:spacing w:before="0" w:after="0"/>
              <w:jc w:val="center"/>
              <w:rPr>
                <w:color w:val="000000"/>
                <w:sz w:val="16"/>
                <w:szCs w:val="16"/>
                <w:lang w:eastAsia="en-AU"/>
              </w:rPr>
            </w:pPr>
            <w:r>
              <w:rPr>
                <w:color w:val="000000"/>
                <w:sz w:val="16"/>
                <w:szCs w:val="16"/>
                <w:lang w:eastAsia="en-AU"/>
              </w:rPr>
              <w:t>0.07</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1BA06E08" w14:textId="77777777" w:rsidR="00AA4BF5" w:rsidRDefault="00AA4BF5" w:rsidP="00DD3BAE">
            <w:pPr>
              <w:spacing w:before="0" w:after="0"/>
              <w:jc w:val="center"/>
              <w:rPr>
                <w:color w:val="000000"/>
                <w:sz w:val="16"/>
                <w:szCs w:val="16"/>
                <w:lang w:eastAsia="en-AU"/>
              </w:rPr>
            </w:pPr>
            <w:r>
              <w:rPr>
                <w:color w:val="000000"/>
                <w:sz w:val="16"/>
                <w:szCs w:val="16"/>
                <w:lang w:eastAsia="en-AU"/>
              </w:rPr>
              <w:t>0.43</w:t>
            </w:r>
          </w:p>
        </w:tc>
      </w:tr>
      <w:tr w:rsidR="00AA4BF5" w14:paraId="50378F7F"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32A97696"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Apr-12</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A3727B1"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0FA8AEB" w14:textId="77777777" w:rsidR="00AA4BF5" w:rsidRDefault="00AA4BF5" w:rsidP="00DD3BAE">
            <w:pPr>
              <w:spacing w:before="0" w:after="0"/>
              <w:jc w:val="center"/>
              <w:rPr>
                <w:color w:val="000000"/>
                <w:sz w:val="16"/>
                <w:szCs w:val="16"/>
                <w:lang w:eastAsia="en-AU"/>
              </w:rPr>
            </w:pPr>
            <w:r>
              <w:rPr>
                <w:color w:val="000000"/>
                <w:sz w:val="16"/>
                <w:szCs w:val="16"/>
                <w:lang w:eastAsia="en-AU"/>
              </w:rPr>
              <w:t>0.16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46B01623"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4E2277" w14:textId="77777777" w:rsidR="00AA4BF5" w:rsidRDefault="00AA4BF5" w:rsidP="00DD3BAE">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8D22B3" w14:textId="77777777" w:rsidR="00AA4BF5" w:rsidRDefault="00AA4BF5" w:rsidP="00DD3BAE">
            <w:pPr>
              <w:spacing w:before="0" w:after="0"/>
              <w:jc w:val="center"/>
              <w:rPr>
                <w:color w:val="000000"/>
                <w:sz w:val="16"/>
                <w:szCs w:val="16"/>
                <w:lang w:eastAsia="en-AU"/>
              </w:rPr>
            </w:pPr>
            <w:r>
              <w:rPr>
                <w:color w:val="000000"/>
                <w:sz w:val="16"/>
                <w:szCs w:val="16"/>
                <w:lang w:eastAsia="en-AU"/>
              </w:rPr>
              <w:t>0.34</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1D78DD0F"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0C54C7C"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140830" w14:textId="77777777" w:rsidR="00AA4BF5" w:rsidRDefault="00AA4BF5" w:rsidP="00DD3BAE">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78AFCCB" w14:textId="77777777" w:rsidR="00AA4BF5" w:rsidRDefault="00AA4BF5" w:rsidP="00DD3BAE">
            <w:pPr>
              <w:spacing w:before="0" w:after="0"/>
              <w:jc w:val="center"/>
              <w:rPr>
                <w:color w:val="000000"/>
                <w:sz w:val="16"/>
                <w:szCs w:val="16"/>
                <w:lang w:eastAsia="en-AU"/>
              </w:rPr>
            </w:pPr>
            <w:r>
              <w:rPr>
                <w:color w:val="000000"/>
                <w:sz w:val="16"/>
                <w:szCs w:val="16"/>
                <w:lang w:eastAsia="en-AU"/>
              </w:rPr>
              <w:t>0.49</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0A10CC0B" w14:textId="77777777" w:rsidR="00AA4BF5" w:rsidRDefault="00AA4BF5" w:rsidP="00DD3BAE">
            <w:pPr>
              <w:spacing w:before="0" w:after="0"/>
              <w:jc w:val="center"/>
              <w:rPr>
                <w:color w:val="000000"/>
                <w:sz w:val="16"/>
                <w:szCs w:val="16"/>
                <w:lang w:eastAsia="en-AU"/>
              </w:rPr>
            </w:pPr>
            <w:r>
              <w:rPr>
                <w:color w:val="000000"/>
                <w:sz w:val="16"/>
                <w:szCs w:val="16"/>
                <w:lang w:eastAsia="en-AU"/>
              </w:rPr>
              <w:t>0.54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417082BC"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center"/>
          </w:tcPr>
          <w:p w14:paraId="14543DBE"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ED15486"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FA482DA" w14:textId="77777777" w:rsidR="00AA4BF5" w:rsidRDefault="00AA4BF5" w:rsidP="00DD3BAE">
            <w:pPr>
              <w:spacing w:before="0" w:after="0"/>
              <w:jc w:val="center"/>
              <w:rPr>
                <w:color w:val="000000"/>
                <w:sz w:val="16"/>
                <w:szCs w:val="16"/>
                <w:lang w:eastAsia="en-AU"/>
              </w:rPr>
            </w:pPr>
            <w:r>
              <w:rPr>
                <w:color w:val="000000"/>
                <w:sz w:val="16"/>
                <w:szCs w:val="16"/>
                <w:lang w:eastAsia="en-AU"/>
              </w:rPr>
              <w:t>0.5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53CCDDF" w14:textId="77777777" w:rsidR="00AA4BF5" w:rsidRDefault="00AA4BF5" w:rsidP="00DD3BAE">
            <w:pPr>
              <w:spacing w:before="0" w:after="0"/>
              <w:jc w:val="center"/>
              <w:rPr>
                <w:color w:val="000000"/>
                <w:sz w:val="16"/>
                <w:szCs w:val="16"/>
                <w:lang w:eastAsia="en-AU"/>
              </w:rPr>
            </w:pPr>
            <w:r>
              <w:rPr>
                <w:color w:val="000000"/>
                <w:sz w:val="16"/>
                <w:szCs w:val="16"/>
                <w:lang w:eastAsia="en-AU"/>
              </w:rPr>
              <w:t>0.5</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8B2B456"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6ABD164A"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30D06EC" w14:textId="77777777" w:rsidR="00AA4BF5" w:rsidRDefault="00AA4BF5" w:rsidP="00DD3BAE">
            <w:pPr>
              <w:spacing w:before="0" w:after="0"/>
              <w:jc w:val="center"/>
              <w:rPr>
                <w:color w:val="000000"/>
                <w:sz w:val="16"/>
                <w:szCs w:val="16"/>
                <w:lang w:eastAsia="en-AU"/>
              </w:rPr>
            </w:pPr>
            <w:r>
              <w:rPr>
                <w:color w:val="000000"/>
                <w:sz w:val="16"/>
                <w:szCs w:val="16"/>
                <w:lang w:eastAsia="en-AU"/>
              </w:rPr>
              <w:t>0.89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5CF771B" w14:textId="77777777" w:rsidR="00AA4BF5" w:rsidRDefault="00AA4BF5" w:rsidP="00DD3BAE">
            <w:pPr>
              <w:spacing w:before="0" w:after="0"/>
              <w:jc w:val="center"/>
              <w:rPr>
                <w:color w:val="000000"/>
                <w:sz w:val="16"/>
                <w:szCs w:val="16"/>
                <w:lang w:eastAsia="en-AU"/>
              </w:rPr>
            </w:pPr>
            <w:r>
              <w:rPr>
                <w:color w:val="000000"/>
                <w:sz w:val="16"/>
                <w:szCs w:val="16"/>
                <w:lang w:eastAsia="en-AU"/>
              </w:rPr>
              <w:t>0.91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3192BE4" w14:textId="77777777" w:rsidR="00AA4BF5" w:rsidRDefault="00AA4BF5" w:rsidP="00DD3BAE">
            <w:pPr>
              <w:spacing w:before="0" w:after="0"/>
              <w:jc w:val="center"/>
              <w:rPr>
                <w:color w:val="000000"/>
                <w:sz w:val="16"/>
                <w:szCs w:val="16"/>
                <w:lang w:eastAsia="en-AU"/>
              </w:rPr>
            </w:pPr>
            <w:r>
              <w:rPr>
                <w:color w:val="000000"/>
                <w:sz w:val="16"/>
                <w:szCs w:val="16"/>
                <w:lang w:eastAsia="en-AU"/>
              </w:rPr>
              <w:t>0.09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7B57E94" w14:textId="77777777" w:rsidR="00AA4BF5" w:rsidRDefault="00AA4BF5" w:rsidP="00DD3BAE">
            <w:pPr>
              <w:spacing w:before="0" w:after="0"/>
              <w:jc w:val="center"/>
              <w:rPr>
                <w:color w:val="000000"/>
                <w:sz w:val="16"/>
                <w:szCs w:val="16"/>
                <w:lang w:eastAsia="en-AU"/>
              </w:rPr>
            </w:pPr>
            <w:r>
              <w:rPr>
                <w:color w:val="000000"/>
                <w:sz w:val="16"/>
                <w:szCs w:val="16"/>
                <w:lang w:eastAsia="en-AU"/>
              </w:rPr>
              <w:t>0.25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8C5C8D0"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6B58D41"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DF8F192" w14:textId="77777777" w:rsidR="00AA4BF5" w:rsidRDefault="00AA4BF5" w:rsidP="00DD3BAE">
            <w:pPr>
              <w:spacing w:before="0" w:after="0"/>
              <w:jc w:val="center"/>
              <w:rPr>
                <w:color w:val="000000"/>
                <w:sz w:val="16"/>
                <w:szCs w:val="16"/>
                <w:lang w:eastAsia="en-AU"/>
              </w:rPr>
            </w:pPr>
            <w:r>
              <w:rPr>
                <w:color w:val="000000"/>
                <w:sz w:val="16"/>
                <w:szCs w:val="16"/>
                <w:lang w:eastAsia="en-AU"/>
              </w:rPr>
              <w:t>0.09</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2584ABA" w14:textId="77777777" w:rsidR="00AA4BF5" w:rsidRDefault="00AA4BF5" w:rsidP="00DD3BAE">
            <w:pPr>
              <w:spacing w:before="0" w:after="0"/>
              <w:jc w:val="center"/>
              <w:rPr>
                <w:color w:val="000000"/>
                <w:sz w:val="16"/>
                <w:szCs w:val="16"/>
                <w:lang w:eastAsia="en-AU"/>
              </w:rPr>
            </w:pPr>
            <w:r>
              <w:rPr>
                <w:color w:val="000000"/>
                <w:sz w:val="16"/>
                <w:szCs w:val="16"/>
                <w:lang w:eastAsia="en-AU"/>
              </w:rPr>
              <w:t>0.54</w:t>
            </w:r>
          </w:p>
        </w:tc>
      </w:tr>
      <w:tr w:rsidR="00AA4BF5" w14:paraId="425155B9"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7E88D160"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Oct-12</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61D552B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FD27C69"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8FBAAC0" w14:textId="77777777" w:rsidR="00AA4BF5" w:rsidRDefault="00AA4BF5" w:rsidP="00DD3BAE">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D26316" w14:textId="77777777" w:rsidR="00AA4BF5" w:rsidRDefault="00AA4BF5" w:rsidP="00DD3BAE">
            <w:pPr>
              <w:spacing w:before="0" w:after="0"/>
              <w:jc w:val="center"/>
              <w:rPr>
                <w:color w:val="000000"/>
                <w:sz w:val="16"/>
                <w:szCs w:val="16"/>
                <w:lang w:eastAsia="en-AU"/>
              </w:rPr>
            </w:pPr>
            <w:r>
              <w:rPr>
                <w:color w:val="000000"/>
                <w:sz w:val="16"/>
                <w:szCs w:val="16"/>
                <w:lang w:eastAsia="en-AU"/>
              </w:rPr>
              <w:t>0.97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302CF1" w14:textId="77777777" w:rsidR="00AA4BF5" w:rsidRDefault="00AA4BF5" w:rsidP="00DD3BAE">
            <w:pPr>
              <w:spacing w:before="0" w:after="0"/>
              <w:jc w:val="center"/>
              <w:rPr>
                <w:color w:val="000000"/>
                <w:sz w:val="16"/>
                <w:szCs w:val="16"/>
                <w:lang w:eastAsia="en-AU"/>
              </w:rPr>
            </w:pPr>
            <w:r>
              <w:rPr>
                <w:color w:val="000000"/>
                <w:sz w:val="16"/>
                <w:szCs w:val="16"/>
                <w:lang w:eastAsia="en-AU"/>
              </w:rPr>
              <w:t>0.39</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7E38ED3E"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8F25F9A"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54A8F5B" w14:textId="77777777" w:rsidR="00AA4BF5" w:rsidRDefault="00AA4BF5" w:rsidP="00DD3BAE">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86A6BEE" w14:textId="77777777" w:rsidR="00AA4BF5" w:rsidRDefault="00AA4BF5" w:rsidP="00DD3BAE">
            <w:pPr>
              <w:spacing w:before="0" w:after="0"/>
              <w:jc w:val="center"/>
              <w:rPr>
                <w:color w:val="000000"/>
                <w:sz w:val="16"/>
                <w:szCs w:val="16"/>
                <w:lang w:eastAsia="en-AU"/>
              </w:rPr>
            </w:pPr>
            <w:r>
              <w:rPr>
                <w:color w:val="000000"/>
                <w:sz w:val="16"/>
                <w:szCs w:val="16"/>
                <w:lang w:eastAsia="en-AU"/>
              </w:rPr>
              <w:t>0.4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5BB4314"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C094A42" w14:textId="77777777" w:rsidR="00AA4BF5" w:rsidRDefault="00AA4BF5" w:rsidP="00DD3BAE">
            <w:pPr>
              <w:spacing w:before="0" w:after="0"/>
              <w:jc w:val="center"/>
              <w:rPr>
                <w:color w:val="000000"/>
                <w:sz w:val="16"/>
                <w:szCs w:val="16"/>
                <w:lang w:eastAsia="en-AU"/>
              </w:rPr>
            </w:pPr>
            <w:r>
              <w:rPr>
                <w:color w:val="000000"/>
                <w:sz w:val="16"/>
                <w:szCs w:val="16"/>
                <w:lang w:eastAsia="en-AU"/>
              </w:rPr>
              <w:t>0.05</w:t>
            </w:r>
          </w:p>
        </w:tc>
        <w:tc>
          <w:tcPr>
            <w:tcW w:w="602" w:type="dxa"/>
            <w:tcBorders>
              <w:top w:val="single" w:sz="4" w:space="0" w:color="auto"/>
              <w:left w:val="single" w:sz="4" w:space="0" w:color="auto"/>
              <w:bottom w:val="single" w:sz="4" w:space="0" w:color="auto"/>
              <w:right w:val="single" w:sz="4" w:space="0" w:color="auto"/>
            </w:tcBorders>
            <w:vAlign w:val="center"/>
          </w:tcPr>
          <w:p w14:paraId="7B728058"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2B29CE9"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3A9AE5" w14:textId="77777777" w:rsidR="00AA4BF5" w:rsidRDefault="00AA4BF5" w:rsidP="00DD3BAE">
            <w:pPr>
              <w:spacing w:before="0" w:after="0"/>
              <w:jc w:val="center"/>
              <w:rPr>
                <w:color w:val="000000"/>
                <w:sz w:val="16"/>
                <w:szCs w:val="16"/>
                <w:lang w:eastAsia="en-AU"/>
              </w:rPr>
            </w:pPr>
            <w:r>
              <w:rPr>
                <w:color w:val="000000"/>
                <w:sz w:val="16"/>
                <w:szCs w:val="16"/>
                <w:lang w:eastAsia="en-AU"/>
              </w:rPr>
              <w:t>0.8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8550D98"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1F76839"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B660AAE"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4B482FE"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C11EC38"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69FDEAE" w14:textId="77777777" w:rsidR="00AA4BF5" w:rsidRDefault="00AA4BF5" w:rsidP="00DD3BAE">
            <w:pPr>
              <w:spacing w:before="0" w:after="0"/>
              <w:jc w:val="center"/>
              <w:rPr>
                <w:color w:val="000000"/>
                <w:sz w:val="16"/>
                <w:szCs w:val="16"/>
                <w:lang w:eastAsia="en-AU"/>
              </w:rPr>
            </w:pPr>
            <w:r>
              <w:rPr>
                <w:color w:val="000000"/>
                <w:sz w:val="16"/>
                <w:szCs w:val="16"/>
                <w:lang w:eastAsia="en-AU"/>
              </w:rPr>
              <w:t>0.38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E2EBE35" w14:textId="77777777" w:rsidR="00AA4BF5" w:rsidRDefault="00AA4BF5" w:rsidP="00DD3BAE">
            <w:pPr>
              <w:spacing w:before="0" w:after="0"/>
              <w:jc w:val="center"/>
              <w:rPr>
                <w:color w:val="000000"/>
                <w:sz w:val="16"/>
                <w:szCs w:val="16"/>
                <w:lang w:eastAsia="en-AU"/>
              </w:rPr>
            </w:pPr>
            <w:r>
              <w:rPr>
                <w:color w:val="000000"/>
                <w:sz w:val="16"/>
                <w:szCs w:val="16"/>
                <w:lang w:eastAsia="en-AU"/>
              </w:rPr>
              <w:t>0.</w:t>
            </w:r>
            <w:r>
              <w:rPr>
                <w:color w:val="000000"/>
                <w:sz w:val="16"/>
                <w:szCs w:val="16"/>
                <w:shd w:val="clear" w:color="auto" w:fill="CCFFCC"/>
                <w:lang w:eastAsia="en-AU"/>
              </w:rPr>
              <w:t>1</w:t>
            </w:r>
            <w:r>
              <w:rPr>
                <w:color w:val="000000"/>
                <w:sz w:val="16"/>
                <w:szCs w:val="16"/>
                <w:lang w:eastAsia="en-AU"/>
              </w:rPr>
              <w:t>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243E0FB"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11ABC0C"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704"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9AD016A" w14:textId="77777777" w:rsidR="00AA4BF5" w:rsidRDefault="00AA4BF5" w:rsidP="00DD3BAE">
            <w:pPr>
              <w:spacing w:before="0" w:after="0"/>
              <w:jc w:val="center"/>
              <w:rPr>
                <w:color w:val="000000"/>
                <w:sz w:val="16"/>
                <w:szCs w:val="16"/>
                <w:lang w:eastAsia="en-AU"/>
              </w:rPr>
            </w:pPr>
            <w:r>
              <w:rPr>
                <w:color w:val="000000"/>
                <w:sz w:val="16"/>
                <w:szCs w:val="16"/>
                <w:lang w:eastAsia="en-AU"/>
              </w:rPr>
              <w:t>0.2</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D1BE5F2"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r>
      <w:tr w:rsidR="00AA4BF5" w14:paraId="66EE0BFF"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455267C2"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Apr-13</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0563573F"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F16B03A" w14:textId="77777777" w:rsidR="00AA4BF5" w:rsidRDefault="00AA4BF5" w:rsidP="00DD3BAE">
            <w:pPr>
              <w:spacing w:before="0" w:after="0"/>
              <w:jc w:val="center"/>
              <w:rPr>
                <w:color w:val="000000"/>
                <w:sz w:val="16"/>
                <w:szCs w:val="16"/>
                <w:lang w:eastAsia="en-AU"/>
              </w:rPr>
            </w:pPr>
            <w:r>
              <w:rPr>
                <w:color w:val="000000"/>
                <w:sz w:val="16"/>
                <w:szCs w:val="16"/>
                <w:lang w:eastAsia="en-AU"/>
              </w:rPr>
              <w:t>0.87</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34737E95" w14:textId="77777777" w:rsidR="00AA4BF5" w:rsidRDefault="00AA4BF5" w:rsidP="00DD3BAE">
            <w:pPr>
              <w:spacing w:before="0" w:after="0"/>
              <w:jc w:val="center"/>
              <w:rPr>
                <w:color w:val="000000"/>
                <w:sz w:val="16"/>
                <w:szCs w:val="16"/>
                <w:lang w:eastAsia="en-AU"/>
              </w:rPr>
            </w:pPr>
            <w:r>
              <w:rPr>
                <w:color w:val="000000"/>
                <w:sz w:val="16"/>
                <w:szCs w:val="16"/>
                <w:lang w:eastAsia="en-AU"/>
              </w:rPr>
              <w:t>0.49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CBE7FB"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28F5776" w14:textId="77777777" w:rsidR="00AA4BF5" w:rsidRDefault="00AA4BF5" w:rsidP="00DD3BAE">
            <w:pPr>
              <w:spacing w:before="0" w:after="0"/>
              <w:jc w:val="center"/>
              <w:rPr>
                <w:color w:val="000000"/>
                <w:sz w:val="16"/>
                <w:szCs w:val="16"/>
                <w:lang w:eastAsia="en-AU"/>
              </w:rPr>
            </w:pPr>
            <w:r>
              <w:rPr>
                <w:color w:val="000000"/>
                <w:sz w:val="16"/>
                <w:szCs w:val="16"/>
                <w:lang w:eastAsia="en-AU"/>
              </w:rPr>
              <w:t>0.6</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701B0415"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7789F00"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78A921"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4FD2092"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DD742C0" w14:textId="77777777" w:rsidR="00AA4BF5" w:rsidRDefault="00AA4BF5" w:rsidP="00DD3BAE">
            <w:pPr>
              <w:spacing w:before="0" w:after="0"/>
              <w:jc w:val="center"/>
              <w:rPr>
                <w:color w:val="000000"/>
                <w:sz w:val="16"/>
                <w:szCs w:val="16"/>
                <w:lang w:eastAsia="en-AU"/>
              </w:rPr>
            </w:pPr>
            <w:r>
              <w:rPr>
                <w:color w:val="000000"/>
                <w:sz w:val="16"/>
                <w:szCs w:val="16"/>
                <w:lang w:eastAsia="en-AU"/>
              </w:rPr>
              <w:t>0.62</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628A50D"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1050D3BE"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7D7E8C8"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10A0273" w14:textId="77777777" w:rsidR="00AA4BF5" w:rsidRDefault="00AA4BF5" w:rsidP="00DD3BAE">
            <w:pPr>
              <w:spacing w:before="0" w:after="0"/>
              <w:jc w:val="center"/>
              <w:rPr>
                <w:color w:val="000000"/>
                <w:sz w:val="16"/>
                <w:szCs w:val="16"/>
                <w:lang w:eastAsia="en-AU"/>
              </w:rPr>
            </w:pPr>
            <w:r>
              <w:rPr>
                <w:color w:val="000000"/>
                <w:sz w:val="16"/>
                <w:szCs w:val="16"/>
                <w:lang w:eastAsia="en-AU"/>
              </w:rPr>
              <w:t>0.65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80C9552" w14:textId="77777777" w:rsidR="00AA4BF5" w:rsidRDefault="00AA4BF5" w:rsidP="00DD3BAE">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15C956B1"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680F7288"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3A9A805"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E9F8EC7" w14:textId="77777777" w:rsidR="00AA4BF5" w:rsidRDefault="00AA4BF5" w:rsidP="00DD3BAE">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A351C4C" w14:textId="77777777" w:rsidR="00AA4BF5" w:rsidRDefault="00AA4BF5" w:rsidP="00DD3BAE">
            <w:pPr>
              <w:spacing w:before="0" w:after="0"/>
              <w:jc w:val="center"/>
              <w:rPr>
                <w:color w:val="000000"/>
                <w:sz w:val="16"/>
                <w:szCs w:val="16"/>
                <w:lang w:eastAsia="en-AU"/>
              </w:rPr>
            </w:pPr>
            <w:r>
              <w:rPr>
                <w:color w:val="000000"/>
                <w:sz w:val="16"/>
                <w:szCs w:val="16"/>
                <w:lang w:eastAsia="en-AU"/>
              </w:rPr>
              <w:t>0.2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8B4556" w14:textId="77777777" w:rsidR="00AA4BF5" w:rsidRDefault="00AA4BF5" w:rsidP="00DD3BAE">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3EFB0C9" w14:textId="77777777" w:rsidR="00AA4BF5" w:rsidRDefault="00AA4BF5" w:rsidP="00DD3BAE">
            <w:pPr>
              <w:spacing w:before="0" w:after="0"/>
              <w:jc w:val="center"/>
              <w:rPr>
                <w:color w:val="000000"/>
                <w:sz w:val="16"/>
                <w:szCs w:val="16"/>
                <w:lang w:eastAsia="en-AU"/>
              </w:rPr>
            </w:pPr>
            <w:r>
              <w:rPr>
                <w:color w:val="000000"/>
                <w:sz w:val="16"/>
                <w:szCs w:val="16"/>
                <w:lang w:eastAsia="en-AU"/>
              </w:rPr>
              <w:t>0.17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5DDFDF"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6562381D"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040FA308" w14:textId="77777777" w:rsidR="00AA4BF5" w:rsidRDefault="00AA4BF5" w:rsidP="00DD3BAE">
            <w:pPr>
              <w:spacing w:before="0" w:after="0"/>
              <w:jc w:val="center"/>
              <w:rPr>
                <w:color w:val="000000"/>
                <w:sz w:val="16"/>
                <w:szCs w:val="16"/>
                <w:lang w:eastAsia="en-AU"/>
              </w:rPr>
            </w:pPr>
            <w:r>
              <w:rPr>
                <w:color w:val="000000"/>
                <w:sz w:val="16"/>
                <w:szCs w:val="16"/>
                <w:lang w:eastAsia="en-AU"/>
              </w:rPr>
              <w:t>0.61</w:t>
            </w:r>
          </w:p>
        </w:tc>
      </w:tr>
      <w:tr w:rsidR="00AA4BF5" w14:paraId="4DAD6E59"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54F2847"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Oct-13</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8C9022F"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265AF79"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02098C1A" w14:textId="77777777" w:rsidR="00AA4BF5" w:rsidRDefault="00AA4BF5" w:rsidP="00DD3BAE">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3507E70" w14:textId="77777777" w:rsidR="00AA4BF5" w:rsidRDefault="00AA4BF5" w:rsidP="00DD3BAE">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0F62FD" w14:textId="77777777" w:rsidR="00AA4BF5" w:rsidRDefault="00AA4BF5" w:rsidP="00DD3BAE">
            <w:pPr>
              <w:spacing w:before="0" w:after="0"/>
              <w:jc w:val="center"/>
              <w:rPr>
                <w:color w:val="000000"/>
                <w:sz w:val="16"/>
                <w:szCs w:val="16"/>
                <w:lang w:eastAsia="en-AU"/>
              </w:rPr>
            </w:pPr>
            <w:r>
              <w:rPr>
                <w:color w:val="000000"/>
                <w:sz w:val="16"/>
                <w:szCs w:val="16"/>
                <w:lang w:eastAsia="en-AU"/>
              </w:rPr>
              <w:t>0.59</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2355354A"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6EA2643"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FCAA2AC"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BCF5B28" w14:textId="77777777" w:rsidR="00AA4BF5" w:rsidRDefault="00AA4BF5" w:rsidP="00DD3BAE">
            <w:pPr>
              <w:spacing w:before="0" w:after="0"/>
              <w:jc w:val="center"/>
              <w:rPr>
                <w:color w:val="000000"/>
                <w:sz w:val="16"/>
                <w:szCs w:val="16"/>
                <w:lang w:eastAsia="en-AU"/>
              </w:rPr>
            </w:pPr>
            <w:r>
              <w:rPr>
                <w:color w:val="000000"/>
                <w:sz w:val="16"/>
                <w:szCs w:val="16"/>
                <w:lang w:eastAsia="en-AU"/>
              </w:rPr>
              <w:t>0.95</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CE8C9A0"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98BCC86" w14:textId="77777777" w:rsidR="00AA4BF5" w:rsidRDefault="00AA4BF5" w:rsidP="00DD3BAE">
            <w:pPr>
              <w:spacing w:before="0" w:after="0"/>
              <w:jc w:val="center"/>
              <w:rPr>
                <w:color w:val="000000"/>
                <w:sz w:val="16"/>
                <w:szCs w:val="16"/>
                <w:lang w:eastAsia="en-AU"/>
              </w:rPr>
            </w:pPr>
            <w:r>
              <w:rPr>
                <w:color w:val="000000"/>
                <w:sz w:val="16"/>
                <w:szCs w:val="16"/>
                <w:lang w:eastAsia="en-AU"/>
              </w:rPr>
              <w:t>0.06</w:t>
            </w:r>
          </w:p>
        </w:tc>
        <w:tc>
          <w:tcPr>
            <w:tcW w:w="602" w:type="dxa"/>
            <w:tcBorders>
              <w:top w:val="single" w:sz="4" w:space="0" w:color="auto"/>
              <w:left w:val="single" w:sz="4" w:space="0" w:color="auto"/>
              <w:bottom w:val="single" w:sz="4" w:space="0" w:color="auto"/>
              <w:right w:val="single" w:sz="4" w:space="0" w:color="auto"/>
            </w:tcBorders>
            <w:vAlign w:val="center"/>
          </w:tcPr>
          <w:p w14:paraId="033222E0"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57097F5"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B826EC5" w14:textId="77777777" w:rsidR="00AA4BF5" w:rsidRDefault="00AA4BF5" w:rsidP="00DD3BAE">
            <w:pPr>
              <w:spacing w:before="0" w:after="0"/>
              <w:jc w:val="center"/>
              <w:rPr>
                <w:color w:val="000000"/>
                <w:sz w:val="16"/>
                <w:szCs w:val="16"/>
                <w:lang w:eastAsia="en-AU"/>
              </w:rPr>
            </w:pPr>
            <w:r>
              <w:rPr>
                <w:color w:val="000000"/>
                <w:sz w:val="16"/>
                <w:szCs w:val="16"/>
                <w:lang w:eastAsia="en-AU"/>
              </w:rPr>
              <w:t>0.76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5E0411A" w14:textId="77777777" w:rsidR="00AA4BF5" w:rsidRDefault="00AA4BF5" w:rsidP="00DD3BAE">
            <w:pPr>
              <w:spacing w:before="0" w:after="0"/>
              <w:jc w:val="center"/>
              <w:rPr>
                <w:color w:val="000000"/>
                <w:sz w:val="16"/>
                <w:szCs w:val="16"/>
                <w:lang w:eastAsia="en-AU"/>
              </w:rPr>
            </w:pPr>
            <w:r>
              <w:rPr>
                <w:color w:val="000000"/>
                <w:sz w:val="16"/>
                <w:szCs w:val="16"/>
                <w:lang w:eastAsia="en-AU"/>
              </w:rPr>
              <w:t>0.76</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572E4B80"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6134B2A"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373FAE" w14:textId="77777777" w:rsidR="00AA4BF5" w:rsidRDefault="00AA4BF5" w:rsidP="00DD3BAE">
            <w:pPr>
              <w:spacing w:before="0" w:after="0"/>
              <w:jc w:val="center"/>
              <w:rPr>
                <w:color w:val="000000"/>
                <w:sz w:val="16"/>
                <w:szCs w:val="16"/>
                <w:lang w:eastAsia="en-AU"/>
              </w:rPr>
            </w:pPr>
            <w:r>
              <w:rPr>
                <w:color w:val="000000"/>
                <w:sz w:val="16"/>
                <w:szCs w:val="16"/>
                <w:lang w:eastAsia="en-AU"/>
              </w:rPr>
              <w:t>0.89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B92E39B" w14:textId="77777777" w:rsidR="00AA4BF5" w:rsidRDefault="00AA4BF5" w:rsidP="00DD3BAE">
            <w:pPr>
              <w:spacing w:before="0" w:after="0"/>
              <w:jc w:val="center"/>
              <w:rPr>
                <w:color w:val="000000"/>
                <w:sz w:val="16"/>
                <w:szCs w:val="16"/>
                <w:lang w:eastAsia="en-AU"/>
              </w:rPr>
            </w:pPr>
            <w:r>
              <w:rPr>
                <w:color w:val="000000"/>
                <w:sz w:val="16"/>
                <w:szCs w:val="16"/>
                <w:lang w:eastAsia="en-AU"/>
              </w:rPr>
              <w:t>0.86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3292A4" w14:textId="77777777" w:rsidR="00AA4BF5" w:rsidRDefault="00AA4BF5" w:rsidP="00DD3BAE">
            <w:pPr>
              <w:spacing w:before="0" w:after="0"/>
              <w:jc w:val="center"/>
              <w:rPr>
                <w:color w:val="000000"/>
                <w:sz w:val="16"/>
                <w:szCs w:val="16"/>
                <w:lang w:eastAsia="en-AU"/>
              </w:rPr>
            </w:pPr>
            <w:r>
              <w:rPr>
                <w:color w:val="000000"/>
                <w:sz w:val="16"/>
                <w:szCs w:val="16"/>
                <w:lang w:eastAsia="en-AU"/>
              </w:rPr>
              <w:t>0.4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830758C" w14:textId="77777777" w:rsidR="00AA4BF5" w:rsidRDefault="00AA4BF5" w:rsidP="00DD3BAE">
            <w:pPr>
              <w:spacing w:before="0" w:after="0"/>
              <w:jc w:val="center"/>
              <w:rPr>
                <w:color w:val="000000"/>
                <w:sz w:val="16"/>
                <w:szCs w:val="16"/>
                <w:lang w:eastAsia="en-AU"/>
              </w:rPr>
            </w:pPr>
            <w:r>
              <w:rPr>
                <w:color w:val="000000"/>
                <w:sz w:val="16"/>
                <w:szCs w:val="16"/>
                <w:lang w:eastAsia="en-AU"/>
              </w:rPr>
              <w:t>0.15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61A38C7"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700F79E"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7B28539E" w14:textId="77777777" w:rsidR="00AA4BF5" w:rsidRDefault="00AA4BF5" w:rsidP="00DD3BAE">
            <w:pPr>
              <w:spacing w:before="0" w:after="0"/>
              <w:jc w:val="center"/>
              <w:rPr>
                <w:color w:val="000000"/>
                <w:sz w:val="16"/>
                <w:szCs w:val="16"/>
                <w:lang w:eastAsia="en-AU"/>
              </w:rPr>
            </w:pPr>
            <w:r>
              <w:rPr>
                <w:color w:val="000000"/>
                <w:sz w:val="16"/>
                <w:szCs w:val="16"/>
                <w:lang w:eastAsia="en-AU"/>
              </w:rPr>
              <w:t>0.2</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51CD1E7" w14:textId="77777777" w:rsidR="00AA4BF5" w:rsidRDefault="00AA4BF5" w:rsidP="00DD3BAE">
            <w:pPr>
              <w:spacing w:before="0" w:after="0"/>
              <w:jc w:val="center"/>
              <w:rPr>
                <w:color w:val="000000"/>
                <w:sz w:val="16"/>
                <w:szCs w:val="16"/>
                <w:lang w:eastAsia="en-AU"/>
              </w:rPr>
            </w:pPr>
            <w:r>
              <w:rPr>
                <w:color w:val="000000"/>
                <w:sz w:val="16"/>
                <w:szCs w:val="16"/>
                <w:lang w:eastAsia="en-AU"/>
              </w:rPr>
              <w:t>0.53</w:t>
            </w:r>
          </w:p>
        </w:tc>
      </w:tr>
      <w:tr w:rsidR="00AA4BF5" w14:paraId="72446BD7"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vAlign w:val="center"/>
            <w:hideMark/>
          </w:tcPr>
          <w:p w14:paraId="116F2799"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Apr-14</w:t>
            </w:r>
          </w:p>
        </w:tc>
        <w:tc>
          <w:tcPr>
            <w:tcW w:w="606" w:type="dxa"/>
            <w:tcBorders>
              <w:top w:val="single" w:sz="4" w:space="0" w:color="auto"/>
              <w:left w:val="single" w:sz="4" w:space="0" w:color="auto"/>
              <w:bottom w:val="single" w:sz="4" w:space="0" w:color="auto"/>
              <w:right w:val="single" w:sz="4" w:space="0" w:color="auto"/>
            </w:tcBorders>
            <w:vAlign w:val="center"/>
            <w:hideMark/>
          </w:tcPr>
          <w:p w14:paraId="704ED532"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vAlign w:val="center"/>
            <w:hideMark/>
          </w:tcPr>
          <w:p w14:paraId="1B55DD59"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vAlign w:val="center"/>
            <w:hideMark/>
          </w:tcPr>
          <w:p w14:paraId="48194E50" w14:textId="77777777" w:rsidR="00AA4BF5" w:rsidRDefault="00AA4BF5" w:rsidP="00DD3BAE">
            <w:pPr>
              <w:spacing w:before="0" w:after="0"/>
              <w:jc w:val="center"/>
              <w:rPr>
                <w:color w:val="000000"/>
                <w:sz w:val="16"/>
                <w:szCs w:val="16"/>
                <w:lang w:eastAsia="en-AU"/>
              </w:rPr>
            </w:pPr>
            <w:r>
              <w:rPr>
                <w:color w:val="000000"/>
                <w:sz w:val="16"/>
                <w:szCs w:val="16"/>
                <w:lang w:eastAsia="en-AU"/>
              </w:rPr>
              <w:t>0.53</w:t>
            </w:r>
          </w:p>
        </w:tc>
        <w:tc>
          <w:tcPr>
            <w:tcW w:w="605" w:type="dxa"/>
            <w:tcBorders>
              <w:top w:val="single" w:sz="4" w:space="0" w:color="auto"/>
              <w:left w:val="single" w:sz="4" w:space="0" w:color="auto"/>
              <w:bottom w:val="single" w:sz="4" w:space="0" w:color="auto"/>
              <w:right w:val="single" w:sz="4" w:space="0" w:color="auto"/>
            </w:tcBorders>
            <w:vAlign w:val="center"/>
            <w:hideMark/>
          </w:tcPr>
          <w:p w14:paraId="0DDE28A2"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EC992F7" w14:textId="77777777" w:rsidR="00AA4BF5" w:rsidRDefault="00AA4BF5" w:rsidP="00DD3BAE">
            <w:pPr>
              <w:spacing w:before="0" w:after="0"/>
              <w:jc w:val="center"/>
              <w:rPr>
                <w:color w:val="000000"/>
                <w:sz w:val="16"/>
                <w:szCs w:val="16"/>
                <w:lang w:eastAsia="en-AU"/>
              </w:rPr>
            </w:pPr>
            <w:r>
              <w:rPr>
                <w:color w:val="000000"/>
                <w:sz w:val="16"/>
                <w:szCs w:val="16"/>
                <w:shd w:val="clear" w:color="auto" w:fill="CCFFCC"/>
                <w:lang w:eastAsia="en-AU"/>
              </w:rPr>
              <w:t>0</w:t>
            </w:r>
            <w:r>
              <w:rPr>
                <w:color w:val="000000"/>
                <w:sz w:val="16"/>
                <w:szCs w:val="16"/>
                <w:lang w:eastAsia="en-AU"/>
              </w:rPr>
              <w:t>.34</w:t>
            </w:r>
          </w:p>
        </w:tc>
        <w:tc>
          <w:tcPr>
            <w:tcW w:w="520" w:type="dxa"/>
            <w:tcBorders>
              <w:top w:val="single" w:sz="4" w:space="0" w:color="auto"/>
              <w:left w:val="single" w:sz="4" w:space="0" w:color="auto"/>
              <w:bottom w:val="single" w:sz="4" w:space="0" w:color="auto"/>
              <w:right w:val="single" w:sz="4" w:space="0" w:color="auto"/>
            </w:tcBorders>
            <w:vAlign w:val="center"/>
            <w:hideMark/>
          </w:tcPr>
          <w:p w14:paraId="3617C57A"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48FFB88E"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1557F442" w14:textId="77777777" w:rsidR="00AA4BF5" w:rsidRDefault="00AA4BF5" w:rsidP="00DD3BAE">
            <w:pPr>
              <w:spacing w:before="0" w:after="0"/>
              <w:jc w:val="center"/>
              <w:rPr>
                <w:color w:val="000000"/>
                <w:sz w:val="16"/>
                <w:szCs w:val="16"/>
                <w:lang w:eastAsia="en-AU"/>
              </w:rPr>
            </w:pPr>
            <w:r>
              <w:rPr>
                <w:color w:val="000000"/>
                <w:sz w:val="16"/>
                <w:szCs w:val="16"/>
                <w:lang w:eastAsia="en-AU"/>
              </w:rPr>
              <w:t>0.97</w:t>
            </w:r>
          </w:p>
        </w:tc>
        <w:tc>
          <w:tcPr>
            <w:tcW w:w="605" w:type="dxa"/>
            <w:tcBorders>
              <w:top w:val="single" w:sz="4" w:space="0" w:color="auto"/>
              <w:left w:val="single" w:sz="4" w:space="0" w:color="auto"/>
              <w:bottom w:val="single" w:sz="4" w:space="0" w:color="auto"/>
              <w:right w:val="single" w:sz="4" w:space="0" w:color="auto"/>
            </w:tcBorders>
            <w:vAlign w:val="center"/>
            <w:hideMark/>
          </w:tcPr>
          <w:p w14:paraId="6A424531" w14:textId="77777777" w:rsidR="00AA4BF5" w:rsidRDefault="00AA4BF5" w:rsidP="00DD3BAE">
            <w:pPr>
              <w:spacing w:before="0" w:after="0"/>
              <w:jc w:val="center"/>
              <w:rPr>
                <w:color w:val="000000"/>
                <w:sz w:val="16"/>
                <w:szCs w:val="16"/>
                <w:lang w:eastAsia="en-AU"/>
              </w:rPr>
            </w:pPr>
            <w:r>
              <w:rPr>
                <w:color w:val="000000"/>
                <w:sz w:val="16"/>
                <w:szCs w:val="16"/>
                <w:lang w:eastAsia="en-AU"/>
              </w:rPr>
              <w:t>0.97</w:t>
            </w:r>
          </w:p>
        </w:tc>
        <w:tc>
          <w:tcPr>
            <w:tcW w:w="647"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0B655201" w14:textId="77777777" w:rsidR="00AA4BF5" w:rsidRDefault="00AA4BF5" w:rsidP="00DD3BAE">
            <w:pPr>
              <w:spacing w:before="0" w:after="0"/>
              <w:jc w:val="center"/>
              <w:rPr>
                <w:color w:val="000000"/>
                <w:sz w:val="16"/>
                <w:szCs w:val="16"/>
                <w:lang w:eastAsia="en-AU"/>
              </w:rPr>
            </w:pPr>
            <w:r>
              <w:rPr>
                <w:color w:val="000000"/>
                <w:sz w:val="16"/>
                <w:szCs w:val="16"/>
                <w:lang w:eastAsia="en-AU"/>
              </w:rPr>
              <w:t>0.53</w:t>
            </w:r>
          </w:p>
        </w:tc>
        <w:tc>
          <w:tcPr>
            <w:tcW w:w="647" w:type="dxa"/>
            <w:tcBorders>
              <w:top w:val="single" w:sz="4" w:space="0" w:color="auto"/>
              <w:left w:val="single" w:sz="4" w:space="0" w:color="auto"/>
              <w:bottom w:val="single" w:sz="4" w:space="0" w:color="auto"/>
              <w:right w:val="single" w:sz="4" w:space="0" w:color="auto"/>
            </w:tcBorders>
            <w:vAlign w:val="center"/>
            <w:hideMark/>
          </w:tcPr>
          <w:p w14:paraId="4907A4BD"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4547BF3A" w14:textId="77777777" w:rsidR="00AA4BF5" w:rsidRDefault="00AA4BF5" w:rsidP="00DD3BAE">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6C7FE25E"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011C293D" w14:textId="77777777" w:rsidR="00AA4BF5" w:rsidRDefault="00AA4BF5" w:rsidP="00DD3BAE">
            <w:pPr>
              <w:spacing w:before="0" w:after="0"/>
              <w:jc w:val="center"/>
              <w:rPr>
                <w:color w:val="000000"/>
                <w:sz w:val="16"/>
                <w:szCs w:val="16"/>
                <w:lang w:eastAsia="en-AU"/>
              </w:rPr>
            </w:pPr>
            <w:r>
              <w:rPr>
                <w:color w:val="000000"/>
                <w:sz w:val="16"/>
                <w:szCs w:val="16"/>
                <w:lang w:eastAsia="en-AU"/>
              </w:rPr>
              <w:t>0.67</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3066AAA8"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569" w:type="dxa"/>
            <w:tcBorders>
              <w:top w:val="single" w:sz="4" w:space="0" w:color="auto"/>
              <w:left w:val="single" w:sz="4" w:space="0" w:color="auto"/>
              <w:bottom w:val="single" w:sz="4" w:space="0" w:color="auto"/>
              <w:right w:val="single" w:sz="4" w:space="0" w:color="auto"/>
            </w:tcBorders>
            <w:vAlign w:val="center"/>
            <w:hideMark/>
          </w:tcPr>
          <w:p w14:paraId="6DADA9EC"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vAlign w:val="center"/>
            <w:hideMark/>
          </w:tcPr>
          <w:p w14:paraId="3A5CC599"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14154E3C" w14:textId="77777777" w:rsidR="00AA4BF5" w:rsidRDefault="00AA4BF5" w:rsidP="00DD3BAE">
            <w:pPr>
              <w:spacing w:before="0" w:after="0"/>
              <w:jc w:val="center"/>
              <w:rPr>
                <w:color w:val="000000"/>
                <w:sz w:val="16"/>
                <w:szCs w:val="16"/>
                <w:lang w:eastAsia="en-AU"/>
              </w:rPr>
            </w:pPr>
            <w:r>
              <w:rPr>
                <w:color w:val="000000"/>
                <w:sz w:val="16"/>
                <w:szCs w:val="16"/>
                <w:lang w:eastAsia="en-AU"/>
              </w:rPr>
              <w:t>0.85</w:t>
            </w:r>
          </w:p>
        </w:tc>
        <w:tc>
          <w:tcPr>
            <w:tcW w:w="605" w:type="dxa"/>
            <w:tcBorders>
              <w:top w:val="single" w:sz="4" w:space="0" w:color="auto"/>
              <w:left w:val="single" w:sz="4" w:space="0" w:color="auto"/>
              <w:bottom w:val="single" w:sz="4" w:space="0" w:color="auto"/>
              <w:right w:val="single" w:sz="4" w:space="0" w:color="auto"/>
            </w:tcBorders>
            <w:vAlign w:val="center"/>
            <w:hideMark/>
          </w:tcPr>
          <w:p w14:paraId="10670A7F" w14:textId="77777777" w:rsidR="00AA4BF5" w:rsidRDefault="00AA4BF5" w:rsidP="00DD3BAE">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5C0A748A" w14:textId="77777777" w:rsidR="00AA4BF5" w:rsidRDefault="00AA4BF5" w:rsidP="00DD3BAE">
            <w:pPr>
              <w:spacing w:before="0" w:after="0"/>
              <w:jc w:val="center"/>
              <w:rPr>
                <w:color w:val="000000"/>
                <w:sz w:val="16"/>
                <w:szCs w:val="16"/>
                <w:lang w:eastAsia="en-AU"/>
              </w:rPr>
            </w:pPr>
            <w:r>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825BA23" w14:textId="77777777" w:rsidR="00AA4BF5" w:rsidRDefault="00AA4BF5" w:rsidP="00DD3BAE">
            <w:pPr>
              <w:spacing w:before="0" w:after="0"/>
              <w:jc w:val="center"/>
              <w:rPr>
                <w:color w:val="000000"/>
                <w:sz w:val="16"/>
                <w:szCs w:val="16"/>
                <w:lang w:eastAsia="en-AU"/>
              </w:rPr>
            </w:pPr>
            <w:r>
              <w:rPr>
                <w:color w:val="000000"/>
                <w:sz w:val="16"/>
                <w:szCs w:val="16"/>
                <w:lang w:eastAsia="en-AU"/>
              </w:rPr>
              <w:t>0.04</w:t>
            </w:r>
          </w:p>
        </w:tc>
        <w:tc>
          <w:tcPr>
            <w:tcW w:w="605" w:type="dxa"/>
            <w:tcBorders>
              <w:top w:val="single" w:sz="4" w:space="0" w:color="auto"/>
              <w:left w:val="single" w:sz="4" w:space="0" w:color="auto"/>
              <w:bottom w:val="single" w:sz="4" w:space="0" w:color="auto"/>
              <w:right w:val="single" w:sz="4" w:space="0" w:color="auto"/>
            </w:tcBorders>
            <w:vAlign w:val="center"/>
            <w:hideMark/>
          </w:tcPr>
          <w:p w14:paraId="7A6288AF" w14:textId="77777777" w:rsidR="00AA4BF5" w:rsidRDefault="00AA4BF5" w:rsidP="00DD3BAE">
            <w:pPr>
              <w:spacing w:before="0" w:after="0"/>
              <w:jc w:val="center"/>
              <w:rPr>
                <w:color w:val="000000"/>
                <w:sz w:val="16"/>
                <w:szCs w:val="16"/>
                <w:lang w:eastAsia="en-AU"/>
              </w:rPr>
            </w:pPr>
            <w:r>
              <w:rPr>
                <w:color w:val="000000"/>
                <w:sz w:val="16"/>
                <w:szCs w:val="16"/>
                <w:lang w:eastAsia="en-AU"/>
              </w:rPr>
              <w:t>0.02</w:t>
            </w:r>
          </w:p>
        </w:tc>
        <w:tc>
          <w:tcPr>
            <w:tcW w:w="605" w:type="dxa"/>
            <w:tcBorders>
              <w:top w:val="single" w:sz="4" w:space="0" w:color="auto"/>
              <w:left w:val="single" w:sz="4" w:space="0" w:color="auto"/>
              <w:bottom w:val="single" w:sz="4" w:space="0" w:color="auto"/>
              <w:right w:val="single" w:sz="4" w:space="0" w:color="auto"/>
            </w:tcBorders>
            <w:vAlign w:val="center"/>
            <w:hideMark/>
          </w:tcPr>
          <w:p w14:paraId="312295B7" w14:textId="77777777" w:rsidR="00AA4BF5" w:rsidRDefault="00AA4BF5" w:rsidP="00DD3BAE">
            <w:pPr>
              <w:spacing w:before="0" w:after="0"/>
              <w:jc w:val="center"/>
              <w:rPr>
                <w:color w:val="000000"/>
                <w:sz w:val="16"/>
                <w:szCs w:val="16"/>
                <w:lang w:eastAsia="en-AU"/>
              </w:rPr>
            </w:pPr>
            <w:r>
              <w:rPr>
                <w:color w:val="000000"/>
                <w:sz w:val="16"/>
                <w:szCs w:val="16"/>
                <w:lang w:eastAsia="en-AU"/>
              </w:rPr>
              <w:t>0.02</w:t>
            </w:r>
          </w:p>
        </w:tc>
        <w:tc>
          <w:tcPr>
            <w:tcW w:w="704" w:type="dxa"/>
            <w:tcBorders>
              <w:top w:val="single" w:sz="4" w:space="0" w:color="auto"/>
              <w:left w:val="single" w:sz="4" w:space="0" w:color="auto"/>
              <w:bottom w:val="single" w:sz="4" w:space="0" w:color="auto"/>
              <w:right w:val="single" w:sz="4" w:space="0" w:color="auto"/>
            </w:tcBorders>
            <w:vAlign w:val="center"/>
            <w:hideMark/>
          </w:tcPr>
          <w:p w14:paraId="16D655CA" w14:textId="77777777" w:rsidR="00AA4BF5" w:rsidRDefault="00AA4BF5" w:rsidP="00DD3BAE">
            <w:pPr>
              <w:spacing w:before="0" w:after="0"/>
              <w:jc w:val="center"/>
              <w:rPr>
                <w:color w:val="000000"/>
                <w:sz w:val="16"/>
                <w:szCs w:val="16"/>
                <w:lang w:eastAsia="en-AU"/>
              </w:rPr>
            </w:pPr>
            <w:r>
              <w:rPr>
                <w:color w:val="000000"/>
                <w:sz w:val="16"/>
                <w:szCs w:val="16"/>
                <w:lang w:eastAsia="en-AU"/>
              </w:rPr>
              <w:t>0.27</w:t>
            </w:r>
          </w:p>
        </w:tc>
        <w:tc>
          <w:tcPr>
            <w:tcW w:w="607" w:type="dxa"/>
            <w:tcBorders>
              <w:top w:val="single" w:sz="4" w:space="0" w:color="auto"/>
              <w:left w:val="single" w:sz="4" w:space="0" w:color="auto"/>
              <w:bottom w:val="single" w:sz="4" w:space="0" w:color="auto"/>
              <w:right w:val="single" w:sz="4" w:space="0" w:color="auto"/>
            </w:tcBorders>
            <w:vAlign w:val="center"/>
            <w:hideMark/>
          </w:tcPr>
          <w:p w14:paraId="37A5E4B9" w14:textId="77777777" w:rsidR="00AA4BF5" w:rsidRDefault="00AA4BF5" w:rsidP="00DD3BAE">
            <w:pPr>
              <w:spacing w:before="0" w:after="0"/>
              <w:jc w:val="center"/>
              <w:rPr>
                <w:color w:val="000000"/>
                <w:sz w:val="16"/>
                <w:szCs w:val="16"/>
                <w:lang w:eastAsia="en-AU"/>
              </w:rPr>
            </w:pPr>
            <w:r>
              <w:rPr>
                <w:color w:val="000000"/>
                <w:sz w:val="16"/>
                <w:szCs w:val="16"/>
                <w:lang w:eastAsia="en-AU"/>
              </w:rPr>
              <w:t>0.64</w:t>
            </w:r>
          </w:p>
        </w:tc>
      </w:tr>
      <w:tr w:rsidR="00AA4BF5" w14:paraId="24CE210E"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vAlign w:val="center"/>
            <w:hideMark/>
          </w:tcPr>
          <w:p w14:paraId="45EA00C1"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Oct-14</w:t>
            </w:r>
          </w:p>
        </w:tc>
        <w:tc>
          <w:tcPr>
            <w:tcW w:w="606" w:type="dxa"/>
            <w:tcBorders>
              <w:top w:val="single" w:sz="4" w:space="0" w:color="auto"/>
              <w:left w:val="single" w:sz="4" w:space="0" w:color="auto"/>
              <w:bottom w:val="single" w:sz="4" w:space="0" w:color="auto"/>
              <w:right w:val="single" w:sz="4" w:space="0" w:color="auto"/>
            </w:tcBorders>
            <w:vAlign w:val="center"/>
            <w:hideMark/>
          </w:tcPr>
          <w:p w14:paraId="3D2BCA4C"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vAlign w:val="center"/>
            <w:hideMark/>
          </w:tcPr>
          <w:p w14:paraId="53FCABD0"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vAlign w:val="center"/>
            <w:hideMark/>
          </w:tcPr>
          <w:p w14:paraId="1F581B1D" w14:textId="77777777" w:rsidR="00AA4BF5" w:rsidRDefault="00AA4BF5" w:rsidP="00DD3BAE">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214E521" w14:textId="77777777" w:rsidR="00AA4BF5" w:rsidRDefault="00AA4BF5" w:rsidP="00DD3BAE">
            <w:pPr>
              <w:spacing w:before="0" w:after="0"/>
              <w:jc w:val="center"/>
              <w:rPr>
                <w:color w:val="000000"/>
                <w:sz w:val="16"/>
                <w:szCs w:val="16"/>
                <w:lang w:eastAsia="en-AU"/>
              </w:rPr>
            </w:pPr>
            <w:r>
              <w:rPr>
                <w:color w:val="000000"/>
                <w:sz w:val="16"/>
                <w:szCs w:val="16"/>
                <w:lang w:eastAsia="en-AU"/>
              </w:rPr>
              <w:t>0.80</w:t>
            </w:r>
          </w:p>
        </w:tc>
        <w:tc>
          <w:tcPr>
            <w:tcW w:w="605" w:type="dxa"/>
            <w:tcBorders>
              <w:top w:val="single" w:sz="4" w:space="0" w:color="auto"/>
              <w:left w:val="single" w:sz="4" w:space="0" w:color="auto"/>
              <w:bottom w:val="single" w:sz="4" w:space="0" w:color="auto"/>
              <w:right w:val="single" w:sz="4" w:space="0" w:color="auto"/>
            </w:tcBorders>
            <w:vAlign w:val="center"/>
            <w:hideMark/>
          </w:tcPr>
          <w:p w14:paraId="46A6E24D"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vAlign w:val="center"/>
            <w:hideMark/>
          </w:tcPr>
          <w:p w14:paraId="0B449079"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60672608"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702AE3F5" w14:textId="77777777" w:rsidR="00AA4BF5" w:rsidRDefault="00AA4BF5" w:rsidP="00DD3BAE">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vAlign w:val="center"/>
            <w:hideMark/>
          </w:tcPr>
          <w:p w14:paraId="3878332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47"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764F3076"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647" w:type="dxa"/>
            <w:tcBorders>
              <w:top w:val="single" w:sz="4" w:space="0" w:color="auto"/>
              <w:left w:val="single" w:sz="4" w:space="0" w:color="auto"/>
              <w:bottom w:val="single" w:sz="4" w:space="0" w:color="auto"/>
              <w:right w:val="single" w:sz="4" w:space="0" w:color="auto"/>
            </w:tcBorders>
            <w:vAlign w:val="center"/>
            <w:hideMark/>
          </w:tcPr>
          <w:p w14:paraId="57032224" w14:textId="77777777" w:rsidR="00AA4BF5" w:rsidRDefault="00AA4BF5" w:rsidP="00DD3BAE">
            <w:pPr>
              <w:spacing w:before="0" w:after="0"/>
              <w:jc w:val="center"/>
              <w:rPr>
                <w:color w:val="000000"/>
                <w:sz w:val="16"/>
                <w:szCs w:val="16"/>
                <w:lang w:eastAsia="en-AU"/>
              </w:rPr>
            </w:pPr>
            <w:r>
              <w:rPr>
                <w:color w:val="000000"/>
                <w:sz w:val="16"/>
                <w:szCs w:val="16"/>
                <w:lang w:eastAsia="en-AU"/>
              </w:rPr>
              <w:t>0.08</w:t>
            </w:r>
          </w:p>
        </w:tc>
        <w:tc>
          <w:tcPr>
            <w:tcW w:w="602" w:type="dxa"/>
            <w:tcBorders>
              <w:top w:val="single" w:sz="4" w:space="0" w:color="auto"/>
              <w:left w:val="single" w:sz="4" w:space="0" w:color="auto"/>
              <w:bottom w:val="single" w:sz="4" w:space="0" w:color="auto"/>
              <w:right w:val="single" w:sz="4" w:space="0" w:color="auto"/>
            </w:tcBorders>
            <w:vAlign w:val="center"/>
            <w:hideMark/>
          </w:tcPr>
          <w:p w14:paraId="2E41A1E9"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2" w:type="dxa"/>
            <w:tcBorders>
              <w:top w:val="single" w:sz="4" w:space="0" w:color="auto"/>
              <w:left w:val="single" w:sz="4" w:space="0" w:color="auto"/>
              <w:bottom w:val="single" w:sz="4" w:space="0" w:color="auto"/>
              <w:right w:val="single" w:sz="4" w:space="0" w:color="auto"/>
            </w:tcBorders>
            <w:vAlign w:val="center"/>
            <w:hideMark/>
          </w:tcPr>
          <w:p w14:paraId="26ED318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7491BF43"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605" w:type="dxa"/>
            <w:tcBorders>
              <w:top w:val="single" w:sz="4" w:space="0" w:color="auto"/>
              <w:left w:val="single" w:sz="4" w:space="0" w:color="auto"/>
              <w:bottom w:val="single" w:sz="4" w:space="0" w:color="auto"/>
              <w:right w:val="single" w:sz="4" w:space="0" w:color="auto"/>
            </w:tcBorders>
            <w:vAlign w:val="center"/>
            <w:hideMark/>
          </w:tcPr>
          <w:p w14:paraId="16636886" w14:textId="77777777" w:rsidR="00AA4BF5" w:rsidRDefault="00AA4BF5" w:rsidP="00DD3BAE">
            <w:pPr>
              <w:spacing w:before="0" w:after="0"/>
              <w:jc w:val="center"/>
              <w:rPr>
                <w:color w:val="000000"/>
                <w:sz w:val="16"/>
                <w:szCs w:val="16"/>
                <w:lang w:eastAsia="en-AU"/>
              </w:rPr>
            </w:pPr>
            <w:r>
              <w:rPr>
                <w:color w:val="000000"/>
                <w:sz w:val="16"/>
                <w:szCs w:val="16"/>
                <w:lang w:eastAsia="en-AU"/>
              </w:rPr>
              <w:t>0.80</w:t>
            </w:r>
          </w:p>
        </w:tc>
        <w:tc>
          <w:tcPr>
            <w:tcW w:w="569" w:type="dxa"/>
            <w:tcBorders>
              <w:top w:val="single" w:sz="4" w:space="0" w:color="auto"/>
              <w:left w:val="single" w:sz="4" w:space="0" w:color="auto"/>
              <w:bottom w:val="single" w:sz="4" w:space="0" w:color="auto"/>
              <w:right w:val="single" w:sz="4" w:space="0" w:color="auto"/>
            </w:tcBorders>
            <w:vAlign w:val="center"/>
            <w:hideMark/>
          </w:tcPr>
          <w:p w14:paraId="7EADA7D4"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vAlign w:val="center"/>
            <w:hideMark/>
          </w:tcPr>
          <w:p w14:paraId="670C7756"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644AF9BA" w14:textId="77777777" w:rsidR="00AA4BF5" w:rsidRDefault="00AA4BF5" w:rsidP="00DD3BAE">
            <w:pPr>
              <w:spacing w:before="0" w:after="0"/>
              <w:jc w:val="center"/>
              <w:rPr>
                <w:color w:val="000000"/>
                <w:sz w:val="16"/>
                <w:szCs w:val="16"/>
                <w:lang w:eastAsia="en-AU"/>
              </w:rPr>
            </w:pPr>
            <w:r>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vAlign w:val="center"/>
            <w:hideMark/>
          </w:tcPr>
          <w:p w14:paraId="2B5B4C75" w14:textId="77777777" w:rsidR="00AA4BF5" w:rsidRDefault="00AA4BF5" w:rsidP="00DD3BAE">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vAlign w:val="center"/>
            <w:hideMark/>
          </w:tcPr>
          <w:p w14:paraId="6890EFF4" w14:textId="77777777" w:rsidR="00AA4BF5" w:rsidRDefault="00AA4BF5" w:rsidP="00DD3BAE">
            <w:pPr>
              <w:spacing w:before="0" w:after="0"/>
              <w:jc w:val="center"/>
              <w:rPr>
                <w:color w:val="000000"/>
                <w:sz w:val="16"/>
                <w:szCs w:val="16"/>
                <w:lang w:eastAsia="en-AU"/>
              </w:rPr>
            </w:pPr>
            <w:r>
              <w:rPr>
                <w:color w:val="000000"/>
                <w:sz w:val="16"/>
                <w:szCs w:val="16"/>
                <w:lang w:eastAsia="en-AU"/>
              </w:rPr>
              <w:t>0.50</w:t>
            </w:r>
          </w:p>
        </w:tc>
        <w:tc>
          <w:tcPr>
            <w:tcW w:w="605" w:type="dxa"/>
            <w:tcBorders>
              <w:top w:val="single" w:sz="4" w:space="0" w:color="auto"/>
              <w:left w:val="single" w:sz="4" w:space="0" w:color="auto"/>
              <w:bottom w:val="single" w:sz="4" w:space="0" w:color="auto"/>
              <w:right w:val="single" w:sz="4" w:space="0" w:color="auto"/>
            </w:tcBorders>
            <w:vAlign w:val="center"/>
            <w:hideMark/>
          </w:tcPr>
          <w:p w14:paraId="1B526079" w14:textId="77777777" w:rsidR="00AA4BF5" w:rsidRDefault="00AA4BF5" w:rsidP="00DD3BAE">
            <w:pPr>
              <w:spacing w:before="0" w:after="0"/>
              <w:jc w:val="center"/>
              <w:rPr>
                <w:color w:val="000000"/>
                <w:sz w:val="16"/>
                <w:szCs w:val="16"/>
                <w:lang w:eastAsia="en-AU"/>
              </w:rPr>
            </w:pPr>
            <w:r>
              <w:rPr>
                <w:color w:val="000000"/>
                <w:sz w:val="16"/>
                <w:szCs w:val="16"/>
                <w:lang w:eastAsia="en-AU"/>
              </w:rPr>
              <w:t>0.69</w:t>
            </w:r>
          </w:p>
        </w:tc>
        <w:tc>
          <w:tcPr>
            <w:tcW w:w="605" w:type="dxa"/>
            <w:tcBorders>
              <w:top w:val="single" w:sz="4" w:space="0" w:color="auto"/>
              <w:left w:val="single" w:sz="4" w:space="0" w:color="auto"/>
              <w:bottom w:val="single" w:sz="4" w:space="0" w:color="auto"/>
              <w:right w:val="single" w:sz="4" w:space="0" w:color="auto"/>
            </w:tcBorders>
            <w:vAlign w:val="center"/>
            <w:hideMark/>
          </w:tcPr>
          <w:p w14:paraId="424BCCF6" w14:textId="77777777" w:rsidR="00AA4BF5" w:rsidRDefault="00AA4BF5" w:rsidP="00DD3BAE">
            <w:pPr>
              <w:spacing w:before="0" w:after="0"/>
              <w:jc w:val="center"/>
              <w:rPr>
                <w:color w:val="000000"/>
                <w:sz w:val="16"/>
                <w:szCs w:val="16"/>
                <w:lang w:eastAsia="en-AU"/>
              </w:rPr>
            </w:pPr>
            <w:r>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vAlign w:val="center"/>
            <w:hideMark/>
          </w:tcPr>
          <w:p w14:paraId="7102CC63" w14:textId="77777777" w:rsidR="00AA4BF5" w:rsidRDefault="00AA4BF5" w:rsidP="00DD3BAE">
            <w:pPr>
              <w:spacing w:before="0" w:after="0"/>
              <w:jc w:val="center"/>
              <w:rPr>
                <w:color w:val="000000"/>
                <w:sz w:val="16"/>
                <w:szCs w:val="16"/>
                <w:lang w:eastAsia="en-AU"/>
              </w:rPr>
            </w:pPr>
            <w:r>
              <w:rPr>
                <w:color w:val="000000"/>
                <w:sz w:val="16"/>
                <w:szCs w:val="16"/>
                <w:lang w:eastAsia="en-AU"/>
              </w:rPr>
              <w:t>0.45</w:t>
            </w:r>
          </w:p>
        </w:tc>
        <w:tc>
          <w:tcPr>
            <w:tcW w:w="704" w:type="dxa"/>
            <w:tcBorders>
              <w:top w:val="single" w:sz="4" w:space="0" w:color="auto"/>
              <w:left w:val="single" w:sz="4" w:space="0" w:color="auto"/>
              <w:bottom w:val="single" w:sz="4" w:space="0" w:color="auto"/>
              <w:right w:val="single" w:sz="4" w:space="0" w:color="auto"/>
            </w:tcBorders>
            <w:vAlign w:val="center"/>
            <w:hideMark/>
          </w:tcPr>
          <w:p w14:paraId="1367D5B3" w14:textId="77777777" w:rsidR="00AA4BF5" w:rsidRDefault="00AA4BF5" w:rsidP="00DD3BAE">
            <w:pPr>
              <w:spacing w:before="0" w:after="0"/>
              <w:jc w:val="center"/>
              <w:rPr>
                <w:color w:val="000000"/>
                <w:sz w:val="16"/>
                <w:szCs w:val="16"/>
                <w:lang w:eastAsia="en-AU"/>
              </w:rPr>
            </w:pPr>
            <w:r>
              <w:rPr>
                <w:color w:val="000000"/>
                <w:sz w:val="16"/>
                <w:szCs w:val="16"/>
                <w:lang w:eastAsia="en-AU"/>
              </w:rPr>
              <w:t>0.71</w:t>
            </w:r>
          </w:p>
        </w:tc>
        <w:tc>
          <w:tcPr>
            <w:tcW w:w="607" w:type="dxa"/>
            <w:tcBorders>
              <w:top w:val="single" w:sz="4" w:space="0" w:color="auto"/>
              <w:left w:val="single" w:sz="4" w:space="0" w:color="auto"/>
              <w:bottom w:val="single" w:sz="4" w:space="0" w:color="auto"/>
              <w:right w:val="single" w:sz="4" w:space="0" w:color="auto"/>
            </w:tcBorders>
            <w:vAlign w:val="center"/>
            <w:hideMark/>
          </w:tcPr>
          <w:p w14:paraId="117DDE84"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r>
      <w:tr w:rsidR="00AA4BF5" w14:paraId="571629F7"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2D6EB48"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Apr-15</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A0CF0C9"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3D7E41BC" w14:textId="77777777" w:rsidR="00AA4BF5" w:rsidRDefault="00AA4BF5" w:rsidP="00DD3BAE">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2FACA6A9" w14:textId="77777777" w:rsidR="00AA4BF5" w:rsidRDefault="00AA4BF5" w:rsidP="00DD3BAE">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D826150" w14:textId="77777777" w:rsidR="00AA4BF5" w:rsidRDefault="00AA4BF5" w:rsidP="00DD3BAE">
            <w:pPr>
              <w:spacing w:before="0" w:after="0"/>
              <w:jc w:val="center"/>
              <w:rPr>
                <w:color w:val="000000"/>
                <w:sz w:val="16"/>
                <w:szCs w:val="16"/>
                <w:lang w:eastAsia="en-AU"/>
              </w:rPr>
            </w:pPr>
            <w:r>
              <w:rPr>
                <w:color w:val="000000"/>
                <w:sz w:val="16"/>
                <w:szCs w:val="16"/>
                <w:lang w:eastAsia="en-AU"/>
              </w:rPr>
              <w:t>0.80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DDBEB37" w14:textId="77777777" w:rsidR="00AA4BF5" w:rsidRDefault="00AA4BF5" w:rsidP="00DD3BAE">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noWrap/>
            <w:vAlign w:val="center"/>
          </w:tcPr>
          <w:p w14:paraId="58DB7CD0"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77501D9D"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78CF902"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639ADFF" w14:textId="77777777" w:rsidR="00AA4BF5" w:rsidRDefault="00AA4BF5" w:rsidP="00DD3BAE">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DD4FB88" w14:textId="77777777" w:rsidR="00AA4BF5" w:rsidRDefault="00AA4BF5" w:rsidP="00DD3BAE">
            <w:pPr>
              <w:spacing w:before="0" w:after="0"/>
              <w:jc w:val="center"/>
              <w:rPr>
                <w:color w:val="000000"/>
                <w:sz w:val="16"/>
                <w:szCs w:val="16"/>
                <w:lang w:eastAsia="en-AU"/>
              </w:rPr>
            </w:pPr>
            <w:r>
              <w:rPr>
                <w:color w:val="000000"/>
                <w:sz w:val="16"/>
                <w:szCs w:val="16"/>
                <w:lang w:eastAsia="en-AU"/>
              </w:rPr>
              <w:t>0.21</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EC27FD2" w14:textId="77777777" w:rsidR="00AA4BF5" w:rsidRDefault="00AA4BF5" w:rsidP="00DD3BAE">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center"/>
            <w:hideMark/>
          </w:tcPr>
          <w:p w14:paraId="36AE9F63"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2" w:type="dxa"/>
            <w:tcBorders>
              <w:top w:val="single" w:sz="4" w:space="0" w:color="auto"/>
              <w:left w:val="single" w:sz="4" w:space="0" w:color="auto"/>
              <w:bottom w:val="single" w:sz="4" w:space="0" w:color="auto"/>
              <w:right w:val="single" w:sz="4" w:space="0" w:color="auto"/>
            </w:tcBorders>
            <w:vAlign w:val="center"/>
            <w:hideMark/>
          </w:tcPr>
          <w:p w14:paraId="64257BCB" w14:textId="77777777" w:rsidR="00AA4BF5" w:rsidRDefault="00AA4BF5" w:rsidP="00DD3BAE">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0B0AFE" w14:textId="77777777" w:rsidR="00AA4BF5" w:rsidRDefault="00AA4BF5" w:rsidP="00DD3BAE">
            <w:pPr>
              <w:spacing w:before="0" w:after="0"/>
              <w:jc w:val="center"/>
              <w:rPr>
                <w:color w:val="000000"/>
                <w:sz w:val="16"/>
                <w:szCs w:val="16"/>
                <w:lang w:eastAsia="en-AU"/>
              </w:rPr>
            </w:pPr>
            <w:r>
              <w:rPr>
                <w:color w:val="000000"/>
                <w:sz w:val="16"/>
                <w:szCs w:val="16"/>
                <w:lang w:eastAsia="en-AU"/>
              </w:rPr>
              <w:t>0.58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BB1697E" w14:textId="77777777" w:rsidR="00AA4BF5" w:rsidRDefault="00AA4BF5" w:rsidP="00DD3BAE">
            <w:pPr>
              <w:spacing w:before="0" w:after="0"/>
              <w:jc w:val="center"/>
              <w:rPr>
                <w:color w:val="000000"/>
                <w:sz w:val="16"/>
                <w:szCs w:val="16"/>
                <w:lang w:eastAsia="en-AU"/>
              </w:rPr>
            </w:pPr>
            <w:r>
              <w:rPr>
                <w:color w:val="000000"/>
                <w:sz w:val="16"/>
                <w:szCs w:val="16"/>
                <w:lang w:eastAsia="en-AU"/>
              </w:rPr>
              <w:t>0.72</w:t>
            </w:r>
          </w:p>
        </w:tc>
        <w:tc>
          <w:tcPr>
            <w:tcW w:w="569" w:type="dxa"/>
            <w:tcBorders>
              <w:top w:val="single" w:sz="4" w:space="0" w:color="auto"/>
              <w:left w:val="single" w:sz="4" w:space="0" w:color="auto"/>
              <w:bottom w:val="single" w:sz="4" w:space="0" w:color="auto"/>
              <w:right w:val="single" w:sz="4" w:space="0" w:color="auto"/>
            </w:tcBorders>
            <w:noWrap/>
            <w:vAlign w:val="center"/>
          </w:tcPr>
          <w:p w14:paraId="602901F4" w14:textId="77777777" w:rsidR="00AA4BF5" w:rsidRDefault="00AA4BF5" w:rsidP="00DD3BAE">
            <w:pPr>
              <w:spacing w:before="0" w:after="0"/>
              <w:jc w:val="center"/>
              <w:rPr>
                <w:color w:val="000000"/>
                <w:sz w:val="16"/>
                <w:szCs w:val="16"/>
                <w:lang w:eastAsia="en-AU"/>
              </w:rPr>
            </w:pPr>
          </w:p>
        </w:tc>
        <w:tc>
          <w:tcPr>
            <w:tcW w:w="654" w:type="dxa"/>
            <w:tcBorders>
              <w:top w:val="single" w:sz="4" w:space="0" w:color="auto"/>
              <w:left w:val="single" w:sz="4" w:space="0" w:color="auto"/>
              <w:bottom w:val="single" w:sz="4" w:space="0" w:color="auto"/>
              <w:right w:val="single" w:sz="4" w:space="0" w:color="auto"/>
            </w:tcBorders>
            <w:noWrap/>
            <w:vAlign w:val="center"/>
          </w:tcPr>
          <w:p w14:paraId="203CDF29"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A49E27D"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F82B0E5"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33C93914"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499F7FB8" w14:textId="77777777" w:rsidR="00AA4BF5"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6F38C51"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85AA411" w14:textId="77777777" w:rsidR="00AA4BF5" w:rsidRDefault="00AA4BF5" w:rsidP="00DD3BAE">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5854F332" w14:textId="77777777" w:rsidR="00AA4BF5" w:rsidRDefault="00AA4BF5" w:rsidP="00DD3BAE">
            <w:pPr>
              <w:spacing w:before="0" w:after="0"/>
              <w:jc w:val="center"/>
              <w:rPr>
                <w:color w:val="000000"/>
                <w:sz w:val="16"/>
                <w:szCs w:val="16"/>
                <w:lang w:eastAsia="en-AU"/>
              </w:rPr>
            </w:pPr>
            <w:r>
              <w:rPr>
                <w:color w:val="000000"/>
                <w:sz w:val="16"/>
                <w:szCs w:val="16"/>
                <w:lang w:eastAsia="en-AU"/>
              </w:rPr>
              <w:t>0.93</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E02A8E5" w14:textId="77777777" w:rsidR="00AA4BF5" w:rsidRDefault="00AA4BF5" w:rsidP="00DD3BAE">
            <w:pPr>
              <w:spacing w:before="0" w:after="0"/>
              <w:jc w:val="center"/>
              <w:rPr>
                <w:color w:val="000000"/>
                <w:sz w:val="16"/>
                <w:szCs w:val="16"/>
                <w:lang w:eastAsia="en-AU"/>
              </w:rPr>
            </w:pPr>
            <w:r>
              <w:rPr>
                <w:color w:val="000000"/>
                <w:sz w:val="16"/>
                <w:szCs w:val="16"/>
                <w:lang w:eastAsia="en-AU"/>
              </w:rPr>
              <w:t>0.81</w:t>
            </w:r>
          </w:p>
        </w:tc>
      </w:tr>
      <w:tr w:rsidR="00AA4BF5" w:rsidRPr="00990B08" w14:paraId="672F1053"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tcPr>
          <w:p w14:paraId="0854BB3B"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Oct-15</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9F7963"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009239"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0.97</w:t>
            </w:r>
          </w:p>
        </w:tc>
        <w:tc>
          <w:tcPr>
            <w:tcW w:w="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F66495"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0.57</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7D73BB"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CDB156"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19195E"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EEFEFF"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B939EE"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F02945" w14:textId="77777777" w:rsidR="00AA4BF5" w:rsidRPr="00990B08" w:rsidRDefault="00AA4BF5" w:rsidP="00DD3BAE">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6BEC53"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0.24</w:t>
            </w: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55DEBB"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764E76B6"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3B2D0899"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AF9F63"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0.71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826F94"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FF8012"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E0FD64"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65D0C7"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727E7"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9298F0"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0.51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22F17"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0.69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56197"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DCEB3"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0.07</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BF71A2"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0.98</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772E11"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r>
      <w:tr w:rsidR="00AA4BF5" w:rsidRPr="00990B08" w14:paraId="6FDD0B7B"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tcPr>
          <w:p w14:paraId="13922B4E" w14:textId="77777777" w:rsidR="00AA4BF5" w:rsidRDefault="00AA4BF5" w:rsidP="00DD3BAE">
            <w:pPr>
              <w:spacing w:before="0" w:after="0"/>
              <w:jc w:val="center"/>
              <w:rPr>
                <w:b/>
                <w:bCs/>
                <w:color w:val="000000"/>
                <w:sz w:val="16"/>
                <w:szCs w:val="16"/>
                <w:lang w:eastAsia="en-AU"/>
              </w:rPr>
            </w:pPr>
            <w:r>
              <w:rPr>
                <w:b/>
                <w:bCs/>
                <w:color w:val="000000"/>
                <w:sz w:val="16"/>
                <w:szCs w:val="16"/>
                <w:lang w:eastAsia="en-AU"/>
              </w:rPr>
              <w:t>Apr-16</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93F912"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C7080B"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0.94</w:t>
            </w:r>
          </w:p>
        </w:tc>
        <w:tc>
          <w:tcPr>
            <w:tcW w:w="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8C8C67"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0.57</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F30F60"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A1CC69"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2BBF9F"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630AAE"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9D9FD5"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99A80" w14:textId="77777777" w:rsidR="00AA4BF5" w:rsidRPr="00990B08" w:rsidRDefault="00AA4BF5" w:rsidP="00DD3BAE">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78FE75"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0.61</w:t>
            </w: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6C62A"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0.09</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45AD163E"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1C3B3253"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26065FEA"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0.53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5D9A4B9A"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0.63</w:t>
            </w:r>
          </w:p>
        </w:tc>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534A9C" w14:textId="77777777" w:rsidR="00AA4BF5" w:rsidRPr="00990B08" w:rsidRDefault="00AA4BF5" w:rsidP="00DD3BAE">
            <w:pPr>
              <w:spacing w:before="0" w:after="0"/>
              <w:jc w:val="center"/>
              <w:rPr>
                <w:color w:val="000000"/>
                <w:sz w:val="16"/>
                <w:szCs w:val="16"/>
                <w:lang w:eastAsia="en-AU"/>
              </w:rPr>
            </w:pPr>
          </w:p>
        </w:tc>
        <w:tc>
          <w:tcPr>
            <w:tcW w:w="6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61F939"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A2BC2E"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19EB3B"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620AF3"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B0848"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89A3AC" w14:textId="77777777" w:rsidR="00AA4BF5" w:rsidRPr="00990B08" w:rsidRDefault="00AA4BF5"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58DE72" w14:textId="77777777" w:rsidR="00AA4BF5" w:rsidRPr="00990B08" w:rsidRDefault="00AA4BF5" w:rsidP="00DD3BAE">
            <w:pPr>
              <w:spacing w:before="0" w:after="0"/>
              <w:jc w:val="center"/>
              <w:rPr>
                <w:color w:val="000000"/>
                <w:sz w:val="16"/>
                <w:szCs w:val="16"/>
                <w:lang w:eastAsia="en-AU"/>
              </w:rPr>
            </w:pP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A708A" w14:textId="77777777" w:rsidR="00AA4BF5" w:rsidRPr="00990B08" w:rsidRDefault="00AA4BF5" w:rsidP="00DD3BAE">
            <w:pPr>
              <w:spacing w:before="0" w:after="0"/>
              <w:jc w:val="center"/>
              <w:rPr>
                <w:color w:val="000000"/>
                <w:sz w:val="16"/>
                <w:szCs w:val="16"/>
                <w:lang w:eastAsia="en-AU"/>
              </w:rPr>
            </w:pPr>
            <w:r w:rsidRPr="00990B08">
              <w:rPr>
                <w:color w:val="000000"/>
                <w:sz w:val="16"/>
                <w:szCs w:val="16"/>
                <w:lang w:eastAsia="en-AU"/>
              </w:rPr>
              <w:t>0.98</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9C2FA7" w14:textId="77777777" w:rsidR="00AA4BF5" w:rsidRPr="00990B08" w:rsidRDefault="00AA4BF5" w:rsidP="00DD3BAE">
            <w:pPr>
              <w:spacing w:before="0" w:after="0"/>
              <w:jc w:val="center"/>
              <w:rPr>
                <w:color w:val="000000"/>
                <w:sz w:val="16"/>
                <w:szCs w:val="16"/>
                <w:lang w:eastAsia="en-AU"/>
              </w:rPr>
            </w:pPr>
            <w:r>
              <w:rPr>
                <w:color w:val="000000"/>
                <w:sz w:val="16"/>
                <w:szCs w:val="16"/>
                <w:lang w:eastAsia="en-AU"/>
              </w:rPr>
              <w:t>1</w:t>
            </w:r>
          </w:p>
        </w:tc>
      </w:tr>
      <w:tr w:rsidR="008E57E7" w:rsidRPr="00990B08" w14:paraId="490C0BEF" w14:textId="77777777" w:rsidTr="008E57E7">
        <w:trPr>
          <w:cantSplit/>
          <w:trHeight w:val="284"/>
          <w:jc w:val="center"/>
        </w:trPr>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5A6095" w14:textId="1068CE53" w:rsidR="008E57E7" w:rsidRDefault="008E57E7" w:rsidP="00DD3BAE">
            <w:pPr>
              <w:spacing w:before="0" w:after="0"/>
              <w:jc w:val="center"/>
              <w:rPr>
                <w:b/>
                <w:bCs/>
                <w:color w:val="000000"/>
                <w:sz w:val="16"/>
                <w:szCs w:val="16"/>
                <w:lang w:eastAsia="en-AU"/>
              </w:rPr>
            </w:pPr>
            <w:r>
              <w:rPr>
                <w:b/>
                <w:bCs/>
                <w:color w:val="000000"/>
                <w:sz w:val="16"/>
                <w:szCs w:val="16"/>
                <w:lang w:eastAsia="en-AU"/>
              </w:rPr>
              <w:t>Oct-16</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3817DC" w14:textId="42EEF42B" w:rsidR="008E57E7" w:rsidRDefault="008E57E7" w:rsidP="00DD3BAE">
            <w:pPr>
              <w:spacing w:before="0" w:after="0"/>
              <w:jc w:val="center"/>
              <w:rPr>
                <w:color w:val="000000"/>
                <w:sz w:val="16"/>
                <w:szCs w:val="16"/>
                <w:lang w:eastAsia="en-AU"/>
              </w:rPr>
            </w:pPr>
            <w:r>
              <w:rPr>
                <w:rFonts w:cs="Calibri"/>
                <w:color w:val="000000"/>
                <w:sz w:val="16"/>
                <w:szCs w:val="16"/>
              </w:rPr>
              <w:t>1</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F823B1" w14:textId="6419E664" w:rsidR="008E57E7" w:rsidRPr="00990B08" w:rsidRDefault="008E57E7" w:rsidP="00DD3BAE">
            <w:pPr>
              <w:spacing w:before="0" w:after="0"/>
              <w:jc w:val="center"/>
              <w:rPr>
                <w:color w:val="000000"/>
                <w:sz w:val="16"/>
                <w:szCs w:val="16"/>
                <w:lang w:eastAsia="en-AU"/>
              </w:rPr>
            </w:pPr>
            <w:r>
              <w:rPr>
                <w:rFonts w:cs="Calibri"/>
                <w:color w:val="000000"/>
                <w:sz w:val="16"/>
                <w:szCs w:val="16"/>
              </w:rPr>
              <w:t>0.89</w:t>
            </w:r>
          </w:p>
        </w:tc>
        <w:tc>
          <w:tcPr>
            <w:tcW w:w="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7E362A" w14:textId="50A88330" w:rsidR="008E57E7" w:rsidRPr="00990B08" w:rsidRDefault="008E57E7" w:rsidP="00DD3BAE">
            <w:pPr>
              <w:spacing w:before="0" w:after="0"/>
              <w:jc w:val="center"/>
              <w:rPr>
                <w:color w:val="000000"/>
                <w:sz w:val="16"/>
                <w:szCs w:val="16"/>
                <w:lang w:eastAsia="en-AU"/>
              </w:rPr>
            </w:pPr>
            <w:r>
              <w:rPr>
                <w:rFonts w:cs="Calibri"/>
                <w:color w:val="000000"/>
                <w:sz w:val="16"/>
                <w:szCs w:val="16"/>
              </w:rPr>
              <w:t>0.55</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F09C36" w14:textId="6BBDA1C0" w:rsidR="008E57E7" w:rsidRPr="00990B08" w:rsidRDefault="008E57E7" w:rsidP="00DD3BAE">
            <w:pPr>
              <w:spacing w:before="0" w:after="0"/>
              <w:jc w:val="center"/>
              <w:rPr>
                <w:color w:val="000000"/>
                <w:sz w:val="16"/>
                <w:szCs w:val="16"/>
                <w:lang w:eastAsia="en-AU"/>
              </w:rPr>
            </w:pPr>
            <w:r>
              <w:rPr>
                <w:rFonts w:cs="Calibri"/>
                <w:color w:val="000000"/>
                <w:sz w:val="16"/>
                <w:szCs w:val="16"/>
              </w:rPr>
              <w:t>0.79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A58AE0" w14:textId="64F3305E" w:rsidR="008E57E7" w:rsidRDefault="008E57E7" w:rsidP="00DD3BAE">
            <w:pPr>
              <w:spacing w:before="0" w:after="0"/>
              <w:jc w:val="center"/>
              <w:rPr>
                <w:color w:val="000000"/>
                <w:sz w:val="16"/>
                <w:szCs w:val="16"/>
                <w:lang w:eastAsia="en-AU"/>
              </w:rPr>
            </w:pPr>
            <w:r>
              <w:rPr>
                <w:rFonts w:cs="Calibri"/>
                <w:color w:val="000000"/>
                <w:sz w:val="16"/>
                <w:szCs w:val="16"/>
              </w:rPr>
              <w:t>0.97</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CD8340" w14:textId="60937C75"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30F9DB" w14:textId="151A8D71"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EE049A" w14:textId="33BD7110" w:rsidR="008E57E7" w:rsidRPr="00990B08" w:rsidRDefault="008E57E7"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334AB6" w14:textId="1868962B" w:rsidR="008E57E7" w:rsidRPr="00990B08" w:rsidRDefault="008E57E7" w:rsidP="00DD3BAE">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C5EC86" w14:textId="51242777" w:rsidR="008E57E7" w:rsidRPr="00990B08" w:rsidRDefault="008E57E7" w:rsidP="00DD3BAE">
            <w:pPr>
              <w:spacing w:before="0" w:after="0"/>
              <w:jc w:val="center"/>
              <w:rPr>
                <w:color w:val="000000"/>
                <w:sz w:val="16"/>
                <w:szCs w:val="16"/>
                <w:lang w:eastAsia="en-AU"/>
              </w:rPr>
            </w:pPr>
            <w:r>
              <w:rPr>
                <w:rFonts w:cs="Calibri"/>
                <w:color w:val="000000"/>
                <w:sz w:val="16"/>
                <w:szCs w:val="16"/>
              </w:rPr>
              <w:t>0.65</w:t>
            </w: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0F6EB0" w14:textId="730AEEAC" w:rsidR="008E57E7" w:rsidRPr="00990B08" w:rsidRDefault="008E57E7" w:rsidP="00DD3BAE">
            <w:pPr>
              <w:spacing w:before="0" w:after="0"/>
              <w:jc w:val="center"/>
              <w:rPr>
                <w:color w:val="000000"/>
                <w:sz w:val="16"/>
                <w:szCs w:val="16"/>
                <w:lang w:eastAsia="en-AU"/>
              </w:rPr>
            </w:pPr>
            <w:r>
              <w:rPr>
                <w:rFonts w:cs="Calibri"/>
                <w:color w:val="000000"/>
                <w:sz w:val="16"/>
                <w:szCs w:val="16"/>
              </w:rPr>
              <w:t>0.04</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1F163942" w14:textId="057332A6" w:rsidR="008E57E7" w:rsidRDefault="008E57E7" w:rsidP="00DD3BAE">
            <w:pPr>
              <w:spacing w:before="0" w:after="0"/>
              <w:jc w:val="center"/>
              <w:rPr>
                <w:color w:val="000000"/>
                <w:sz w:val="16"/>
                <w:szCs w:val="16"/>
                <w:lang w:eastAsia="en-AU"/>
              </w:rPr>
            </w:pPr>
            <w:r>
              <w:rPr>
                <w:rFonts w:cs="Calibri"/>
                <w:color w:val="000000"/>
                <w:sz w:val="16"/>
                <w:szCs w:val="16"/>
              </w:rPr>
              <w:t>1</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329F621C" w14:textId="2F6ACF04" w:rsidR="008E57E7" w:rsidRPr="00990B08" w:rsidRDefault="008E57E7" w:rsidP="00DD3BAE">
            <w:pPr>
              <w:spacing w:before="0" w:after="0"/>
              <w:jc w:val="center"/>
              <w:rPr>
                <w:color w:val="000000"/>
                <w:sz w:val="16"/>
                <w:szCs w:val="16"/>
                <w:lang w:eastAsia="en-AU"/>
              </w:rPr>
            </w:pPr>
            <w:r>
              <w:rPr>
                <w:rFonts w:cs="Calibri"/>
                <w:color w:val="000000"/>
                <w:sz w:val="16"/>
                <w:szCs w:val="16"/>
              </w:rPr>
              <w:t>0.98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838A70" w14:textId="2F949596" w:rsidR="008E57E7" w:rsidRPr="00990B08" w:rsidRDefault="008E57E7" w:rsidP="00DD3BAE">
            <w:pPr>
              <w:spacing w:before="0" w:after="0"/>
              <w:jc w:val="center"/>
              <w:rPr>
                <w:color w:val="000000"/>
                <w:sz w:val="16"/>
                <w:szCs w:val="16"/>
                <w:lang w:eastAsia="en-AU"/>
              </w:rPr>
            </w:pPr>
            <w:r>
              <w:rPr>
                <w:rFonts w:cs="Calibri"/>
                <w:color w:val="000000"/>
                <w:sz w:val="16"/>
                <w:szCs w:val="16"/>
              </w:rPr>
              <w:t>0.59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62C25A" w14:textId="723B59C1" w:rsidR="008E57E7" w:rsidRPr="00990B08" w:rsidRDefault="008E57E7" w:rsidP="00DD3BAE">
            <w:pPr>
              <w:spacing w:before="0" w:after="0"/>
              <w:jc w:val="center"/>
              <w:rPr>
                <w:color w:val="000000"/>
                <w:sz w:val="16"/>
                <w:szCs w:val="16"/>
                <w:lang w:eastAsia="en-AU"/>
              </w:rPr>
            </w:pPr>
            <w:r>
              <w:rPr>
                <w:rFonts w:cs="Calibri"/>
                <w:color w:val="000000"/>
                <w:sz w:val="16"/>
                <w:szCs w:val="16"/>
              </w:rPr>
              <w:t>0.69</w:t>
            </w:r>
          </w:p>
        </w:tc>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C6E476" w14:textId="69EF3F24"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37871E" w14:textId="1A563600"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47544D" w14:textId="78626361" w:rsidR="008E57E7" w:rsidRPr="00990B08" w:rsidRDefault="008E57E7" w:rsidP="00DD3BAE">
            <w:pPr>
              <w:spacing w:before="0" w:after="0"/>
              <w:jc w:val="center"/>
              <w:rPr>
                <w:color w:val="000000"/>
                <w:sz w:val="16"/>
                <w:szCs w:val="16"/>
                <w:lang w:eastAsia="en-AU"/>
              </w:rPr>
            </w:pPr>
            <w:r>
              <w:rPr>
                <w:rFonts w:cs="Calibri"/>
                <w:color w:val="000000"/>
                <w:sz w:val="16"/>
                <w:szCs w:val="16"/>
              </w:rPr>
              <w:t>0.09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79F5FA" w14:textId="718B8815" w:rsidR="008E57E7" w:rsidRPr="00990B08" w:rsidRDefault="008E57E7" w:rsidP="00DD3BAE">
            <w:pPr>
              <w:spacing w:before="0" w:after="0"/>
              <w:jc w:val="center"/>
              <w:rPr>
                <w:color w:val="000000"/>
                <w:sz w:val="16"/>
                <w:szCs w:val="16"/>
                <w:lang w:eastAsia="en-AU"/>
              </w:rPr>
            </w:pPr>
            <w:r>
              <w:rPr>
                <w:rFonts w:cs="Calibri"/>
                <w:color w:val="000000"/>
                <w:sz w:val="16"/>
                <w:szCs w:val="16"/>
              </w:rPr>
              <w:t>0.88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DE2FCB" w14:textId="10F0739C" w:rsidR="008E57E7" w:rsidRPr="00990B08" w:rsidRDefault="008E57E7" w:rsidP="00DD3BAE">
            <w:pPr>
              <w:spacing w:before="0" w:after="0"/>
              <w:jc w:val="center"/>
              <w:rPr>
                <w:color w:val="000000"/>
                <w:sz w:val="16"/>
                <w:szCs w:val="16"/>
                <w:lang w:eastAsia="en-AU"/>
              </w:rPr>
            </w:pPr>
            <w:r>
              <w:rPr>
                <w:rFonts w:cs="Calibri"/>
                <w:color w:val="000000"/>
                <w:sz w:val="16"/>
                <w:szCs w:val="16"/>
              </w:rPr>
              <w:t>0.18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DC4C85" w14:textId="738FE363" w:rsidR="008E57E7" w:rsidRPr="00990B08" w:rsidRDefault="008E57E7" w:rsidP="00DD3BAE">
            <w:pPr>
              <w:spacing w:before="0" w:after="0"/>
              <w:jc w:val="center"/>
              <w:rPr>
                <w:color w:val="000000"/>
                <w:sz w:val="16"/>
                <w:szCs w:val="16"/>
                <w:lang w:eastAsia="en-AU"/>
              </w:rPr>
            </w:pPr>
            <w:r>
              <w:rPr>
                <w:rFonts w:cs="Calibri"/>
                <w:color w:val="000000"/>
                <w:sz w:val="16"/>
                <w:szCs w:val="16"/>
              </w:rPr>
              <w:t>0.1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7078FC" w14:textId="7213443F" w:rsidR="008E57E7" w:rsidRPr="00990B08" w:rsidRDefault="008E57E7" w:rsidP="00DD3BAE">
            <w:pPr>
              <w:spacing w:before="0" w:after="0"/>
              <w:jc w:val="center"/>
              <w:rPr>
                <w:color w:val="000000"/>
                <w:sz w:val="16"/>
                <w:szCs w:val="16"/>
                <w:lang w:eastAsia="en-AU"/>
              </w:rPr>
            </w:pPr>
            <w:r>
              <w:rPr>
                <w:rFonts w:cs="Calibri"/>
                <w:color w:val="000000"/>
                <w:sz w:val="16"/>
                <w:szCs w:val="16"/>
              </w:rPr>
              <w:t>0.24</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DE4041" w14:textId="682E2BAE" w:rsidR="008E57E7" w:rsidRPr="00990B08" w:rsidRDefault="008E57E7" w:rsidP="00DD3BAE">
            <w:pPr>
              <w:spacing w:before="0" w:after="0"/>
              <w:jc w:val="center"/>
              <w:rPr>
                <w:color w:val="000000"/>
                <w:sz w:val="16"/>
                <w:szCs w:val="16"/>
                <w:lang w:eastAsia="en-AU"/>
              </w:rPr>
            </w:pPr>
            <w:r>
              <w:rPr>
                <w:rFonts w:cs="Calibri"/>
                <w:color w:val="000000"/>
                <w:sz w:val="16"/>
                <w:szCs w:val="16"/>
              </w:rPr>
              <w:t>0</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53B5E3" w14:textId="4E4EA9B9" w:rsidR="008E57E7" w:rsidRPr="00990B08" w:rsidRDefault="008E57E7" w:rsidP="00DD3BAE">
            <w:pPr>
              <w:spacing w:before="0" w:after="0"/>
              <w:jc w:val="center"/>
              <w:rPr>
                <w:color w:val="000000"/>
                <w:sz w:val="16"/>
                <w:szCs w:val="16"/>
                <w:lang w:eastAsia="en-AU"/>
              </w:rPr>
            </w:pPr>
            <w:r>
              <w:rPr>
                <w:rFonts w:cs="Calibri"/>
                <w:color w:val="000000"/>
                <w:sz w:val="16"/>
                <w:szCs w:val="16"/>
              </w:rPr>
              <w:t>0.93</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7588C0" w14:textId="3AD1ED2F" w:rsidR="008E57E7" w:rsidRDefault="008E57E7" w:rsidP="00DD3BAE">
            <w:pPr>
              <w:spacing w:before="0" w:after="0"/>
              <w:jc w:val="center"/>
              <w:rPr>
                <w:color w:val="000000"/>
                <w:sz w:val="16"/>
                <w:szCs w:val="16"/>
                <w:lang w:eastAsia="en-AU"/>
              </w:rPr>
            </w:pPr>
            <w:r>
              <w:rPr>
                <w:rFonts w:cs="Calibri"/>
                <w:color w:val="000000"/>
                <w:sz w:val="16"/>
                <w:szCs w:val="16"/>
              </w:rPr>
              <w:t>0.9</w:t>
            </w:r>
          </w:p>
        </w:tc>
      </w:tr>
      <w:tr w:rsidR="008E57E7" w:rsidRPr="00990B08" w14:paraId="077422FC" w14:textId="77777777" w:rsidTr="008E57E7">
        <w:trPr>
          <w:cantSplit/>
          <w:trHeight w:val="284"/>
          <w:jc w:val="center"/>
        </w:trPr>
        <w:tc>
          <w:tcPr>
            <w:tcW w:w="7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C013A0" w14:textId="1FBFFE5A" w:rsidR="008E57E7" w:rsidRDefault="008E57E7" w:rsidP="00DD3BAE">
            <w:pPr>
              <w:spacing w:before="0" w:after="0"/>
              <w:jc w:val="center"/>
              <w:rPr>
                <w:b/>
                <w:bCs/>
                <w:color w:val="000000"/>
                <w:sz w:val="16"/>
                <w:szCs w:val="16"/>
                <w:lang w:eastAsia="en-AU"/>
              </w:rPr>
            </w:pPr>
            <w:r>
              <w:rPr>
                <w:b/>
                <w:bCs/>
                <w:color w:val="000000"/>
                <w:sz w:val="16"/>
                <w:szCs w:val="16"/>
                <w:lang w:eastAsia="en-AU"/>
              </w:rPr>
              <w:t>Apr-17</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BDBE1C" w14:textId="2284E8C9" w:rsidR="008E57E7" w:rsidRDefault="008E57E7" w:rsidP="00DD3BAE">
            <w:pPr>
              <w:spacing w:before="0" w:after="0"/>
              <w:jc w:val="center"/>
              <w:rPr>
                <w:color w:val="000000"/>
                <w:sz w:val="16"/>
                <w:szCs w:val="16"/>
                <w:lang w:eastAsia="en-AU"/>
              </w:rPr>
            </w:pPr>
            <w:r>
              <w:rPr>
                <w:rFonts w:cs="Calibri"/>
                <w:color w:val="000000"/>
                <w:sz w:val="16"/>
                <w:szCs w:val="16"/>
              </w:rPr>
              <w:t>1</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3321F8" w14:textId="5FE33026" w:rsidR="008E57E7" w:rsidRPr="00990B08" w:rsidRDefault="008E57E7" w:rsidP="00DD3BAE">
            <w:pPr>
              <w:spacing w:before="0" w:after="0"/>
              <w:jc w:val="center"/>
              <w:rPr>
                <w:color w:val="000000"/>
                <w:sz w:val="16"/>
                <w:szCs w:val="16"/>
                <w:lang w:eastAsia="en-AU"/>
              </w:rPr>
            </w:pPr>
            <w:r>
              <w:rPr>
                <w:rFonts w:cs="Calibri"/>
                <w:color w:val="000000"/>
                <w:sz w:val="16"/>
                <w:szCs w:val="16"/>
              </w:rPr>
              <w:t>0.88</w:t>
            </w:r>
          </w:p>
        </w:tc>
        <w:tc>
          <w:tcPr>
            <w:tcW w:w="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AB1337" w14:textId="29BB066F" w:rsidR="008E57E7" w:rsidRPr="00990B08" w:rsidRDefault="008E57E7" w:rsidP="00DD3BAE">
            <w:pPr>
              <w:spacing w:before="0" w:after="0"/>
              <w:jc w:val="center"/>
              <w:rPr>
                <w:color w:val="000000"/>
                <w:sz w:val="16"/>
                <w:szCs w:val="16"/>
                <w:lang w:eastAsia="en-AU"/>
              </w:rPr>
            </w:pPr>
            <w:r>
              <w:rPr>
                <w:rFonts w:cs="Calibri"/>
                <w:color w:val="000000"/>
                <w:sz w:val="16"/>
                <w:szCs w:val="16"/>
              </w:rPr>
              <w:t>0.62</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D0304" w14:textId="06F2A7FE" w:rsidR="008E57E7" w:rsidRPr="00990B08" w:rsidRDefault="008E57E7" w:rsidP="00DD3BAE">
            <w:pPr>
              <w:spacing w:before="0" w:after="0"/>
              <w:jc w:val="center"/>
              <w:rPr>
                <w:color w:val="000000"/>
                <w:sz w:val="16"/>
                <w:szCs w:val="16"/>
                <w:lang w:eastAsia="en-AU"/>
              </w:rPr>
            </w:pPr>
            <w:r>
              <w:rPr>
                <w:rFonts w:cs="Calibri"/>
                <w:color w:val="000000"/>
                <w:sz w:val="16"/>
                <w:szCs w:val="16"/>
              </w:rPr>
              <w:t>0.77</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3988B8" w14:textId="262382AF" w:rsidR="008E57E7" w:rsidRDefault="008E57E7" w:rsidP="00DD3BAE">
            <w:pPr>
              <w:spacing w:before="0" w:after="0"/>
              <w:jc w:val="center"/>
              <w:rPr>
                <w:color w:val="000000"/>
                <w:sz w:val="16"/>
                <w:szCs w:val="16"/>
                <w:lang w:eastAsia="en-AU"/>
              </w:rPr>
            </w:pPr>
            <w:r>
              <w:rPr>
                <w:rFonts w:cs="Calibri"/>
                <w:color w:val="000000"/>
                <w:sz w:val="16"/>
                <w:szCs w:val="16"/>
              </w:rPr>
              <w:t>1</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3ED3A2" w14:textId="3B592B06"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49D10E" w14:textId="66D4488A"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E5F2CF" w14:textId="64FB67D3" w:rsidR="008E57E7" w:rsidRPr="00990B08" w:rsidRDefault="008E57E7" w:rsidP="00DD3BAE">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A0B82E" w14:textId="1C08A199" w:rsidR="008E57E7" w:rsidRPr="00990B08" w:rsidRDefault="008E57E7" w:rsidP="00DD3BAE">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C69366" w14:textId="724001F1" w:rsidR="008E57E7" w:rsidRPr="00990B08" w:rsidRDefault="008E57E7" w:rsidP="00DD3BAE">
            <w:pPr>
              <w:spacing w:before="0" w:after="0"/>
              <w:jc w:val="center"/>
              <w:rPr>
                <w:color w:val="000000"/>
                <w:sz w:val="16"/>
                <w:szCs w:val="16"/>
                <w:lang w:eastAsia="en-AU"/>
              </w:rPr>
            </w:pPr>
            <w:r>
              <w:rPr>
                <w:rFonts w:cs="Calibri"/>
                <w:color w:val="000000"/>
                <w:sz w:val="16"/>
                <w:szCs w:val="16"/>
              </w:rPr>
              <w:t>0.08</w:t>
            </w: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11B653" w14:textId="1C9761F4" w:rsidR="008E57E7" w:rsidRPr="00990B08" w:rsidRDefault="008E57E7" w:rsidP="00DD3BAE">
            <w:pPr>
              <w:spacing w:before="0" w:after="0"/>
              <w:jc w:val="center"/>
              <w:rPr>
                <w:color w:val="000000"/>
                <w:sz w:val="16"/>
                <w:szCs w:val="16"/>
                <w:lang w:eastAsia="en-AU"/>
              </w:rPr>
            </w:pPr>
            <w:r>
              <w:rPr>
                <w:rFonts w:cs="Calibri"/>
                <w:color w:val="000000"/>
                <w:sz w:val="16"/>
                <w:szCs w:val="16"/>
              </w:rPr>
              <w:t>0</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308C7B2D" w14:textId="76959A97" w:rsidR="008E57E7" w:rsidRDefault="008E57E7" w:rsidP="00DD3BAE">
            <w:pPr>
              <w:spacing w:before="0" w:after="0"/>
              <w:jc w:val="center"/>
              <w:rPr>
                <w:color w:val="000000"/>
                <w:sz w:val="16"/>
                <w:szCs w:val="16"/>
                <w:lang w:eastAsia="en-AU"/>
              </w:rPr>
            </w:pPr>
            <w:r>
              <w:rPr>
                <w:rFonts w:cs="Calibri"/>
                <w:color w:val="000000"/>
                <w:sz w:val="16"/>
                <w:szCs w:val="16"/>
              </w:rPr>
              <w:t>1</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185E2BD7" w14:textId="64588199" w:rsidR="008E57E7" w:rsidRPr="00990B08" w:rsidRDefault="008E57E7" w:rsidP="00DD3BAE">
            <w:pPr>
              <w:spacing w:before="0" w:after="0"/>
              <w:jc w:val="center"/>
              <w:rPr>
                <w:color w:val="000000"/>
                <w:sz w:val="16"/>
                <w:szCs w:val="16"/>
                <w:lang w:eastAsia="en-AU"/>
              </w:rPr>
            </w:pPr>
            <w:r>
              <w:rPr>
                <w:rFonts w:cs="Calibri"/>
                <w:color w:val="000000"/>
                <w:sz w:val="16"/>
                <w:szCs w:val="16"/>
              </w:rPr>
              <w:t>0.96</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C49D50" w14:textId="3270B668" w:rsidR="008E57E7" w:rsidRPr="00990B08" w:rsidRDefault="008E57E7" w:rsidP="00DD3BAE">
            <w:pPr>
              <w:spacing w:before="0" w:after="0"/>
              <w:jc w:val="center"/>
              <w:rPr>
                <w:color w:val="000000"/>
                <w:sz w:val="16"/>
                <w:szCs w:val="16"/>
                <w:lang w:eastAsia="en-AU"/>
              </w:rPr>
            </w:pPr>
            <w:r>
              <w:rPr>
                <w:rFonts w:cs="Calibri"/>
                <w:color w:val="000000"/>
                <w:sz w:val="16"/>
                <w:szCs w:val="16"/>
              </w:rPr>
              <w:t>0.22</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D3E778" w14:textId="291275DF" w:rsidR="008E57E7" w:rsidRPr="00990B08" w:rsidRDefault="008E57E7" w:rsidP="00DD3BAE">
            <w:pPr>
              <w:spacing w:before="0" w:after="0"/>
              <w:jc w:val="center"/>
              <w:rPr>
                <w:color w:val="000000"/>
                <w:sz w:val="16"/>
                <w:szCs w:val="16"/>
                <w:lang w:eastAsia="en-AU"/>
              </w:rPr>
            </w:pPr>
            <w:r>
              <w:rPr>
                <w:rFonts w:cs="Calibri"/>
                <w:color w:val="000000"/>
                <w:sz w:val="16"/>
                <w:szCs w:val="16"/>
              </w:rPr>
              <w:t>0.33</w:t>
            </w:r>
          </w:p>
        </w:tc>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63C587" w14:textId="4440A76E"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9DAB33" w14:textId="7F64025F" w:rsidR="008E57E7" w:rsidRPr="00990B08" w:rsidRDefault="008E57E7" w:rsidP="00DD3BAE">
            <w:pPr>
              <w:spacing w:before="0" w:after="0"/>
              <w:jc w:val="center"/>
              <w:rPr>
                <w:color w:val="000000"/>
                <w:sz w:val="16"/>
                <w:szCs w:val="16"/>
                <w:lang w:eastAsia="en-AU"/>
              </w:rPr>
            </w:pPr>
            <w:r>
              <w:rPr>
                <w:rFonts w:cs="Calibri"/>
                <w:color w:val="000000"/>
                <w:sz w:val="16"/>
                <w:szCs w:val="16"/>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DB798" w14:textId="3ABBE76E" w:rsidR="008E57E7" w:rsidRPr="00990B08" w:rsidRDefault="008E57E7" w:rsidP="00DD3BAE">
            <w:pPr>
              <w:spacing w:before="0" w:after="0"/>
              <w:jc w:val="center"/>
              <w:rPr>
                <w:color w:val="000000"/>
                <w:sz w:val="16"/>
                <w:szCs w:val="16"/>
                <w:lang w:eastAsia="en-AU"/>
              </w:rPr>
            </w:pPr>
            <w:r>
              <w:rPr>
                <w:rFonts w:cs="Calibri"/>
                <w:color w:val="000000"/>
                <w:sz w:val="16"/>
                <w:szCs w:val="16"/>
              </w:rPr>
              <w:t>0.32</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3903A1" w14:textId="55AA369C" w:rsidR="008E57E7" w:rsidRPr="00990B08" w:rsidRDefault="008E57E7" w:rsidP="00DD3BAE">
            <w:pPr>
              <w:spacing w:before="0" w:after="0"/>
              <w:jc w:val="center"/>
              <w:rPr>
                <w:color w:val="000000"/>
                <w:sz w:val="16"/>
                <w:szCs w:val="16"/>
                <w:lang w:eastAsia="en-AU"/>
              </w:rPr>
            </w:pPr>
            <w:r>
              <w:rPr>
                <w:rFonts w:cs="Calibri"/>
                <w:color w:val="000000"/>
                <w:sz w:val="16"/>
                <w:szCs w:val="16"/>
              </w:rPr>
              <w:t>0.78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4D2749" w14:textId="7DFDDBBB" w:rsidR="008E57E7" w:rsidRPr="00990B08" w:rsidRDefault="008E57E7" w:rsidP="00DD3BAE">
            <w:pPr>
              <w:spacing w:before="0" w:after="0"/>
              <w:jc w:val="center"/>
              <w:rPr>
                <w:color w:val="000000"/>
                <w:sz w:val="16"/>
                <w:szCs w:val="16"/>
                <w:lang w:eastAsia="en-AU"/>
              </w:rPr>
            </w:pPr>
            <w:r>
              <w:rPr>
                <w:rFonts w:cs="Calibri"/>
                <w:color w:val="000000"/>
                <w:sz w:val="16"/>
                <w:szCs w:val="16"/>
              </w:rPr>
              <w:t>0.18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8E64D" w14:textId="0EE385B4" w:rsidR="008E57E7" w:rsidRPr="00990B08" w:rsidRDefault="008E57E7" w:rsidP="00DD3BAE">
            <w:pPr>
              <w:spacing w:before="0" w:after="0"/>
              <w:jc w:val="center"/>
              <w:rPr>
                <w:color w:val="000000"/>
                <w:sz w:val="16"/>
                <w:szCs w:val="16"/>
                <w:lang w:eastAsia="en-AU"/>
              </w:rPr>
            </w:pPr>
            <w:r>
              <w:rPr>
                <w:rFonts w:cs="Calibri"/>
                <w:color w:val="000000"/>
                <w:sz w:val="16"/>
                <w:szCs w:val="16"/>
              </w:rPr>
              <w:t>0.1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D7D617" w14:textId="498D0C1A" w:rsidR="008E57E7" w:rsidRPr="00990B08" w:rsidRDefault="008E57E7" w:rsidP="00DD3BAE">
            <w:pPr>
              <w:spacing w:before="0" w:after="0"/>
              <w:jc w:val="center"/>
              <w:rPr>
                <w:color w:val="000000"/>
                <w:sz w:val="16"/>
                <w:szCs w:val="16"/>
                <w:lang w:eastAsia="en-AU"/>
              </w:rPr>
            </w:pPr>
            <w:r>
              <w:rPr>
                <w:rFonts w:cs="Calibri"/>
                <w:color w:val="000000"/>
                <w:sz w:val="16"/>
                <w:szCs w:val="16"/>
              </w:rPr>
              <w:t>0.16</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3CFA16" w14:textId="431626C0" w:rsidR="008E57E7" w:rsidRPr="00990B08" w:rsidRDefault="008E57E7" w:rsidP="00DD3BAE">
            <w:pPr>
              <w:spacing w:before="0" w:after="0"/>
              <w:jc w:val="center"/>
              <w:rPr>
                <w:color w:val="000000"/>
                <w:sz w:val="16"/>
                <w:szCs w:val="16"/>
                <w:lang w:eastAsia="en-AU"/>
              </w:rPr>
            </w:pPr>
            <w:r>
              <w:rPr>
                <w:rFonts w:cs="Calibri"/>
                <w:color w:val="000000"/>
                <w:sz w:val="16"/>
                <w:szCs w:val="16"/>
              </w:rPr>
              <w:t>0</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52EDA5" w14:textId="43D95D68" w:rsidR="008E57E7" w:rsidRPr="00990B08" w:rsidRDefault="008E57E7" w:rsidP="00DD3BAE">
            <w:pPr>
              <w:spacing w:before="0" w:after="0"/>
              <w:jc w:val="center"/>
              <w:rPr>
                <w:color w:val="000000"/>
                <w:sz w:val="16"/>
                <w:szCs w:val="16"/>
                <w:lang w:eastAsia="en-AU"/>
              </w:rPr>
            </w:pPr>
            <w:r>
              <w:rPr>
                <w:rFonts w:cs="Calibri"/>
                <w:color w:val="000000"/>
                <w:sz w:val="16"/>
                <w:szCs w:val="16"/>
              </w:rPr>
              <w:t>0.91</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7389A3" w14:textId="04E12777" w:rsidR="008E57E7" w:rsidRDefault="008E57E7" w:rsidP="00DD3BAE">
            <w:pPr>
              <w:spacing w:before="0" w:after="0"/>
              <w:jc w:val="center"/>
              <w:rPr>
                <w:color w:val="000000"/>
                <w:sz w:val="16"/>
                <w:szCs w:val="16"/>
                <w:lang w:eastAsia="en-AU"/>
              </w:rPr>
            </w:pPr>
            <w:r>
              <w:rPr>
                <w:rFonts w:cs="Calibri"/>
                <w:color w:val="000000"/>
                <w:sz w:val="16"/>
                <w:szCs w:val="16"/>
              </w:rPr>
              <w:t>0.78</w:t>
            </w:r>
          </w:p>
        </w:tc>
      </w:tr>
    </w:tbl>
    <w:p w14:paraId="2318A53D" w14:textId="77777777" w:rsidR="00925F0B" w:rsidRDefault="00925F0B" w:rsidP="00925F0B">
      <w:pPr>
        <w:ind w:left="540" w:hanging="540"/>
        <w:rPr>
          <w:color w:val="000000"/>
        </w:rPr>
      </w:pPr>
    </w:p>
    <w:p w14:paraId="0387DC6C" w14:textId="77777777" w:rsidR="00925F0B" w:rsidRDefault="00925F0B" w:rsidP="00925F0B">
      <w:pPr>
        <w:spacing w:before="0" w:after="0"/>
        <w:rPr>
          <w:color w:val="000000"/>
          <w:szCs w:val="22"/>
        </w:rPr>
        <w:sectPr w:rsidR="00925F0B" w:rsidSect="00D10D59">
          <w:pgSz w:w="16838" w:h="11906" w:orient="landscape"/>
          <w:pgMar w:top="1418" w:right="1418" w:bottom="1418" w:left="1418" w:header="709" w:footer="709" w:gutter="0"/>
          <w:cols w:space="720"/>
        </w:sectPr>
      </w:pPr>
    </w:p>
    <w:p w14:paraId="0E1FC4BF" w14:textId="2588ABE3" w:rsidR="00925F0B" w:rsidRPr="00E150BC" w:rsidRDefault="00925F0B" w:rsidP="00E150BC">
      <w:pPr>
        <w:pStyle w:val="Heading3"/>
        <w:keepNext w:val="0"/>
        <w:widowControl w:val="0"/>
        <w:rPr>
          <w:rFonts w:asciiTheme="minorHAnsi" w:hAnsiTheme="minorHAnsi"/>
          <w:sz w:val="24"/>
          <w:szCs w:val="24"/>
        </w:rPr>
      </w:pPr>
      <w:bookmarkStart w:id="1208" w:name="_Toc516053208"/>
      <w:r w:rsidRPr="00E150BC">
        <w:rPr>
          <w:rFonts w:asciiTheme="minorHAnsi" w:hAnsiTheme="minorHAnsi"/>
          <w:sz w:val="24"/>
          <w:szCs w:val="24"/>
        </w:rPr>
        <w:t>Species composition and distribution</w:t>
      </w:r>
      <w:bookmarkEnd w:id="1208"/>
    </w:p>
    <w:p w14:paraId="73CB9EFD" w14:textId="77777777" w:rsidR="00925F0B" w:rsidRDefault="00925F0B" w:rsidP="00925F0B">
      <w:pPr>
        <w:rPr>
          <w:color w:val="000000"/>
          <w:szCs w:val="22"/>
        </w:rPr>
      </w:pPr>
    </w:p>
    <w:p w14:paraId="659F3450" w14:textId="21360FF2" w:rsidR="00925F0B" w:rsidRDefault="000E1D02" w:rsidP="00925F0B">
      <w:pPr>
        <w:rPr>
          <w:color w:val="000000"/>
          <w:szCs w:val="22"/>
        </w:rPr>
      </w:pPr>
      <w:r>
        <w:rPr>
          <w:noProof/>
          <w:color w:val="000000"/>
          <w:szCs w:val="22"/>
          <w:lang w:eastAsia="en-AU"/>
        </w:rPr>
        <w:drawing>
          <wp:inline distT="0" distB="0" distL="0" distR="0" wp14:anchorId="320E8032" wp14:editId="102B19E8">
            <wp:extent cx="5695055" cy="7147640"/>
            <wp:effectExtent l="0" t="0" r="1270" b="0"/>
            <wp:docPr id="82" name="Picture 82" descr="Map with set of bar graphs showing location and species composition of each long-term seagrass monitoring site in the Cape York region from 2004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Cape_York_NRM_2016.png"/>
                    <pic:cNvPicPr/>
                  </pic:nvPicPr>
                  <pic:blipFill>
                    <a:blip r:embed="rId292">
                      <a:extLst>
                        <a:ext uri="{28A0092B-C50C-407E-A947-70E740481C1C}">
                          <a14:useLocalDpi xmlns:a14="http://schemas.microsoft.com/office/drawing/2010/main" val="0"/>
                        </a:ext>
                      </a:extLst>
                    </a:blip>
                    <a:stretch>
                      <a:fillRect/>
                    </a:stretch>
                  </pic:blipFill>
                  <pic:spPr>
                    <a:xfrm>
                      <a:off x="0" y="0"/>
                      <a:ext cx="5695682" cy="7148427"/>
                    </a:xfrm>
                    <a:prstGeom prst="rect">
                      <a:avLst/>
                    </a:prstGeom>
                  </pic:spPr>
                </pic:pic>
              </a:graphicData>
            </a:graphic>
          </wp:inline>
        </w:drawing>
      </w:r>
    </w:p>
    <w:p w14:paraId="27A6CA30" w14:textId="30A18622" w:rsidR="00603D74" w:rsidRPr="00517276" w:rsidRDefault="00925F0B" w:rsidP="00603D74">
      <w:pPr>
        <w:rPr>
          <w:i/>
          <w:vanish/>
          <w:color w:val="000000"/>
          <w:szCs w:val="22"/>
          <w:specVanish/>
        </w:rPr>
      </w:pPr>
      <w:bookmarkStart w:id="1209" w:name="_Ref442553657"/>
      <w:bookmarkStart w:id="1210" w:name="_Toc516053410"/>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200</w:t>
      </w:r>
      <w:r w:rsidR="0073595B">
        <w:rPr>
          <w:color w:val="000000"/>
        </w:rPr>
        <w:fldChar w:fldCharType="end"/>
      </w:r>
      <w:bookmarkEnd w:id="1209"/>
      <w:r>
        <w:rPr>
          <w:color w:val="000000"/>
        </w:rPr>
        <w:t xml:space="preserve">. </w:t>
      </w:r>
      <w:r>
        <w:rPr>
          <w:i/>
          <w:color w:val="000000"/>
        </w:rPr>
        <w:t>Location and species composition of each long-term seagrass monitoring site (MMP) in the Cape York region.</w:t>
      </w:r>
      <w:bookmarkEnd w:id="1210"/>
    </w:p>
    <w:p w14:paraId="44A76735" w14:textId="5105D17E" w:rsidR="00925F0B" w:rsidRPr="00E150BC" w:rsidRDefault="00925F0B" w:rsidP="00603D74">
      <w:pPr>
        <w:rPr>
          <w:i/>
        </w:rPr>
      </w:pPr>
      <w:r>
        <w:rPr>
          <w:i/>
          <w:color w:val="000000"/>
        </w:rPr>
        <w:t xml:space="preserve"> Please note: replicate sites within 500m of each other</w:t>
      </w:r>
      <w:r w:rsidR="00F87843">
        <w:rPr>
          <w:i/>
          <w:color w:val="000000"/>
        </w:rPr>
        <w:t>. S</w:t>
      </w:r>
      <w:r w:rsidR="003B4D3B">
        <w:rPr>
          <w:i/>
          <w:color w:val="000000"/>
        </w:rPr>
        <w:t>ee Figure 201 for unlabelled sites</w:t>
      </w:r>
      <w:r w:rsidR="00F87843">
        <w:rPr>
          <w:i/>
          <w:color w:val="000000"/>
        </w:rPr>
        <w:t xml:space="preserve"> south of Archer Pt</w:t>
      </w:r>
      <w:r>
        <w:rPr>
          <w:i/>
          <w:color w:val="000000"/>
        </w:rPr>
        <w:t xml:space="preserve">. Also shown is </w:t>
      </w:r>
      <w:r w:rsidRPr="00E150BC">
        <w:rPr>
          <w:i/>
        </w:rPr>
        <w:t xml:space="preserve">distribution of seagrass as the modelled distribution (including likelihood of presence from 0.5-1.0 </w:t>
      </w:r>
      <w:hyperlink w:anchor="_ENREF_169" w:tooltip="McKenzie, 2010 #9646" w:history="1">
        <w:r w:rsidR="00305FE7" w:rsidRPr="00E150BC">
          <w:rPr>
            <w:i/>
          </w:rPr>
          <w:fldChar w:fldCharType="begin"/>
        </w:r>
        <w:r w:rsidR="00305FE7">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E150BC">
          <w:rPr>
            <w:i/>
          </w:rPr>
          <w:fldChar w:fldCharType="separate"/>
        </w:r>
        <w:r w:rsidR="00305FE7">
          <w:rPr>
            <w:i/>
            <w:noProof/>
          </w:rPr>
          <w:t>McKenzie et al. 2010c</w:t>
        </w:r>
        <w:r w:rsidR="00305FE7" w:rsidRPr="00E150BC">
          <w:rPr>
            <w:i/>
          </w:rPr>
          <w:fldChar w:fldCharType="end"/>
        </w:r>
      </w:hyperlink>
      <w:r w:rsidRPr="00E150BC">
        <w:rPr>
          <w:i/>
        </w:rPr>
        <w:t>) and composite of mapped distribution (</w:t>
      </w:r>
      <w:hyperlink w:anchor="_ENREF_170" w:tooltip="McKenzie, 2014 #9838" w:history="1">
        <w:r w:rsidR="00305FE7" w:rsidRPr="00E150BC">
          <w:rPr>
            <w:i/>
          </w:rPr>
          <w:fldChar w:fldCharType="begin"/>
        </w:r>
        <w:r w:rsidR="00305FE7">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305FE7" w:rsidRPr="00E150BC">
          <w:rPr>
            <w:i/>
          </w:rPr>
          <w:fldChar w:fldCharType="separate"/>
        </w:r>
        <w:r w:rsidR="00305FE7">
          <w:rPr>
            <w:i/>
            <w:noProof/>
          </w:rPr>
          <w:t>McKenzie et al. 2014c</w:t>
        </w:r>
        <w:r w:rsidR="00305FE7" w:rsidRPr="00E150BC">
          <w:rPr>
            <w:i/>
          </w:rPr>
          <w:fldChar w:fldCharType="end"/>
        </w:r>
      </w:hyperlink>
      <w:r w:rsidRPr="00E150BC">
        <w:rPr>
          <w:i/>
        </w:rPr>
        <w:t xml:space="preserve">). </w:t>
      </w:r>
    </w:p>
    <w:p w14:paraId="652F38F0" w14:textId="77777777" w:rsidR="00925F0B" w:rsidRDefault="00925F0B" w:rsidP="00925F0B">
      <w:pPr>
        <w:rPr>
          <w:color w:val="000000"/>
          <w:szCs w:val="22"/>
        </w:rPr>
      </w:pPr>
    </w:p>
    <w:p w14:paraId="5FA84379" w14:textId="63DE1BDA" w:rsidR="00925F0B" w:rsidRDefault="000E1D02" w:rsidP="00925F0B">
      <w:pPr>
        <w:rPr>
          <w:color w:val="000000"/>
          <w:szCs w:val="22"/>
        </w:rPr>
      </w:pPr>
      <w:r>
        <w:rPr>
          <w:noProof/>
          <w:color w:val="000000"/>
          <w:szCs w:val="22"/>
          <w:lang w:eastAsia="en-AU"/>
        </w:rPr>
        <w:drawing>
          <wp:inline distT="0" distB="0" distL="0" distR="0" wp14:anchorId="5ADF58D4" wp14:editId="1DBAC155">
            <wp:extent cx="5759365" cy="7221854"/>
            <wp:effectExtent l="0" t="0" r="0" b="0"/>
            <wp:docPr id="10147" name="Picture 10147" descr="Map with set of bar graphs showing location and species composition of each long-term seagrass monitoring site in the Wet Tropics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7" name="Wet_tropics_NRM_2016.png"/>
                    <pic:cNvPicPr/>
                  </pic:nvPicPr>
                  <pic:blipFill>
                    <a:blip r:embed="rId293">
                      <a:extLst>
                        <a:ext uri="{28A0092B-C50C-407E-A947-70E740481C1C}">
                          <a14:useLocalDpi xmlns:a14="http://schemas.microsoft.com/office/drawing/2010/main" val="0"/>
                        </a:ext>
                      </a:extLst>
                    </a:blip>
                    <a:stretch>
                      <a:fillRect/>
                    </a:stretch>
                  </pic:blipFill>
                  <pic:spPr>
                    <a:xfrm>
                      <a:off x="0" y="0"/>
                      <a:ext cx="5759365" cy="7221854"/>
                    </a:xfrm>
                    <a:prstGeom prst="rect">
                      <a:avLst/>
                    </a:prstGeom>
                  </pic:spPr>
                </pic:pic>
              </a:graphicData>
            </a:graphic>
          </wp:inline>
        </w:drawing>
      </w:r>
    </w:p>
    <w:p w14:paraId="55317590" w14:textId="776BDED7" w:rsidR="00603D74" w:rsidRPr="00517276" w:rsidRDefault="00925F0B" w:rsidP="00603D74">
      <w:pPr>
        <w:rPr>
          <w:i/>
          <w:vanish/>
          <w:color w:val="000000"/>
          <w:szCs w:val="22"/>
          <w:specVanish/>
        </w:rPr>
      </w:pPr>
      <w:bookmarkStart w:id="1211" w:name="_Ref442554072"/>
      <w:bookmarkStart w:id="1212" w:name="_Toc516053411"/>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201</w:t>
      </w:r>
      <w:r w:rsidR="0073595B">
        <w:rPr>
          <w:color w:val="000000"/>
        </w:rPr>
        <w:fldChar w:fldCharType="end"/>
      </w:r>
      <w:bookmarkEnd w:id="1211"/>
      <w:r>
        <w:rPr>
          <w:color w:val="000000"/>
        </w:rPr>
        <w:t xml:space="preserve">. </w:t>
      </w:r>
      <w:r>
        <w:rPr>
          <w:i/>
          <w:color w:val="000000"/>
        </w:rPr>
        <w:t>Location and species composition of each long-term seagrass monitoring site (MMP) in the Wet Tropics region.</w:t>
      </w:r>
      <w:bookmarkEnd w:id="1212"/>
      <w:r w:rsidR="00603D74" w:rsidRPr="00603D74">
        <w:rPr>
          <w:i/>
          <w:vanish/>
          <w:color w:val="000000"/>
          <w:szCs w:val="22"/>
          <w:specVanish/>
        </w:rPr>
        <w:t xml:space="preserve"> </w:t>
      </w:r>
    </w:p>
    <w:p w14:paraId="6577F1C6" w14:textId="720C3480" w:rsidR="00925F0B" w:rsidRPr="00E150BC" w:rsidRDefault="00925F0B" w:rsidP="00603D74">
      <w:r>
        <w:rPr>
          <w:i/>
          <w:color w:val="000000"/>
        </w:rPr>
        <w:t xml:space="preserve">Please note: replicate sites within 500m of each other. Also shown is </w:t>
      </w:r>
      <w:r w:rsidRPr="00E150BC">
        <w:rPr>
          <w:i/>
        </w:rPr>
        <w:t xml:space="preserve">distribution of seagrass as the modelled distribution (including likelihood of presence from </w:t>
      </w:r>
      <w:r w:rsidR="00E3099F" w:rsidRPr="00E150BC">
        <w:rPr>
          <w:i/>
        </w:rPr>
        <w:t xml:space="preserve">0.5-1.0 </w:t>
      </w:r>
      <w:hyperlink w:anchor="_ENREF_169" w:tooltip="McKenzie, 2010 #9646" w:history="1">
        <w:r w:rsidR="00305FE7" w:rsidRPr="00E150BC">
          <w:rPr>
            <w:i/>
          </w:rPr>
          <w:fldChar w:fldCharType="begin"/>
        </w:r>
        <w:r w:rsidR="00305FE7">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E150BC">
          <w:rPr>
            <w:i/>
          </w:rPr>
          <w:fldChar w:fldCharType="separate"/>
        </w:r>
        <w:r w:rsidR="00305FE7">
          <w:rPr>
            <w:i/>
            <w:noProof/>
          </w:rPr>
          <w:t>McKenzie et al. 2010c</w:t>
        </w:r>
        <w:r w:rsidR="00305FE7" w:rsidRPr="00E150BC">
          <w:rPr>
            <w:i/>
          </w:rPr>
          <w:fldChar w:fldCharType="end"/>
        </w:r>
      </w:hyperlink>
      <w:r w:rsidR="00E3099F" w:rsidRPr="00E150BC">
        <w:rPr>
          <w:i/>
        </w:rPr>
        <w:t>) and composite of mapped distribution (</w:t>
      </w:r>
      <w:hyperlink w:anchor="_ENREF_170" w:tooltip="McKenzie, 2014 #9838" w:history="1">
        <w:r w:rsidR="00305FE7" w:rsidRPr="00E150BC">
          <w:rPr>
            <w:i/>
          </w:rPr>
          <w:fldChar w:fldCharType="begin"/>
        </w:r>
        <w:r w:rsidR="00305FE7">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305FE7" w:rsidRPr="00E150BC">
          <w:rPr>
            <w:i/>
          </w:rPr>
          <w:fldChar w:fldCharType="separate"/>
        </w:r>
        <w:r w:rsidR="00305FE7">
          <w:rPr>
            <w:i/>
            <w:noProof/>
          </w:rPr>
          <w:t>McKenzie et al. 2014c</w:t>
        </w:r>
        <w:r w:rsidR="00305FE7" w:rsidRPr="00E150BC">
          <w:rPr>
            <w:i/>
          </w:rPr>
          <w:fldChar w:fldCharType="end"/>
        </w:r>
      </w:hyperlink>
      <w:r w:rsidR="00E3099F" w:rsidRPr="00E150BC">
        <w:rPr>
          <w:i/>
        </w:rPr>
        <w:t>)</w:t>
      </w:r>
      <w:r w:rsidRPr="00E150BC">
        <w:rPr>
          <w:i/>
        </w:rPr>
        <w:t xml:space="preserve">. </w:t>
      </w:r>
    </w:p>
    <w:p w14:paraId="45831850" w14:textId="77777777" w:rsidR="00925F0B" w:rsidRDefault="00925F0B" w:rsidP="00925F0B">
      <w:pPr>
        <w:rPr>
          <w:color w:val="000000"/>
          <w:szCs w:val="22"/>
        </w:rPr>
      </w:pPr>
    </w:p>
    <w:p w14:paraId="514897AB" w14:textId="77777777" w:rsidR="00925F0B" w:rsidRDefault="00925F0B" w:rsidP="00925F0B"/>
    <w:p w14:paraId="68EF5675" w14:textId="2302CBC6" w:rsidR="00925F0B" w:rsidRDefault="00925F0B" w:rsidP="00925F0B">
      <w:r>
        <w:br w:type="column"/>
      </w:r>
      <w:r w:rsidR="000E1D02">
        <w:rPr>
          <w:noProof/>
          <w:lang w:eastAsia="en-AU"/>
        </w:rPr>
        <w:drawing>
          <wp:inline distT="0" distB="0" distL="0" distR="0" wp14:anchorId="3D5032C9" wp14:editId="32DBCEE9">
            <wp:extent cx="5759365" cy="7221854"/>
            <wp:effectExtent l="0" t="0" r="0" b="0"/>
            <wp:docPr id="10148" name="Picture 10148" descr="Map with set of bar graphs showing location and species composition of each long-term seagrass monitoring site in the Burdekin region from 2001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8" name="Burdekin_NRM_2016.png"/>
                    <pic:cNvPicPr/>
                  </pic:nvPicPr>
                  <pic:blipFill>
                    <a:blip r:embed="rId294">
                      <a:extLst>
                        <a:ext uri="{28A0092B-C50C-407E-A947-70E740481C1C}">
                          <a14:useLocalDpi xmlns:a14="http://schemas.microsoft.com/office/drawing/2010/main" val="0"/>
                        </a:ext>
                      </a:extLst>
                    </a:blip>
                    <a:stretch>
                      <a:fillRect/>
                    </a:stretch>
                  </pic:blipFill>
                  <pic:spPr>
                    <a:xfrm>
                      <a:off x="0" y="0"/>
                      <a:ext cx="5759365" cy="7221854"/>
                    </a:xfrm>
                    <a:prstGeom prst="rect">
                      <a:avLst/>
                    </a:prstGeom>
                  </pic:spPr>
                </pic:pic>
              </a:graphicData>
            </a:graphic>
          </wp:inline>
        </w:drawing>
      </w:r>
    </w:p>
    <w:p w14:paraId="40D4B074" w14:textId="590E3EC7" w:rsidR="00603D74" w:rsidRPr="00517276" w:rsidRDefault="00925F0B" w:rsidP="00603D74">
      <w:pPr>
        <w:rPr>
          <w:i/>
          <w:vanish/>
          <w:color w:val="000000"/>
          <w:szCs w:val="22"/>
          <w:specVanish/>
        </w:rPr>
      </w:pPr>
      <w:bookmarkStart w:id="1213" w:name="_Toc516053412"/>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202</w:t>
      </w:r>
      <w:r w:rsidR="0073595B">
        <w:rPr>
          <w:color w:val="000000"/>
        </w:rPr>
        <w:fldChar w:fldCharType="end"/>
      </w:r>
      <w:r>
        <w:rPr>
          <w:color w:val="000000"/>
        </w:rPr>
        <w:t xml:space="preserve">. </w:t>
      </w:r>
      <w:r>
        <w:rPr>
          <w:i/>
          <w:color w:val="000000"/>
        </w:rPr>
        <w:t xml:space="preserve">Location and species composition of each long-term seagrass monitoring site (MMP) in </w:t>
      </w:r>
      <w:r w:rsidRPr="00E150BC">
        <w:rPr>
          <w:i/>
        </w:rPr>
        <w:t>the Burdekin region.</w:t>
      </w:r>
      <w:bookmarkEnd w:id="1213"/>
    </w:p>
    <w:p w14:paraId="3A8225D6" w14:textId="613FFD7D" w:rsidR="00925F0B" w:rsidRPr="00E150BC" w:rsidRDefault="00925F0B" w:rsidP="00603D74">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69" w:tooltip="McKenzie, 2010 #9646" w:history="1">
        <w:r w:rsidR="00305FE7" w:rsidRPr="00E150BC">
          <w:rPr>
            <w:i/>
          </w:rPr>
          <w:fldChar w:fldCharType="begin"/>
        </w:r>
        <w:r w:rsidR="00305FE7">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E150BC">
          <w:rPr>
            <w:i/>
          </w:rPr>
          <w:fldChar w:fldCharType="separate"/>
        </w:r>
        <w:r w:rsidR="00305FE7">
          <w:rPr>
            <w:i/>
            <w:noProof/>
          </w:rPr>
          <w:t>McKenzie et al. 2010c</w:t>
        </w:r>
        <w:r w:rsidR="00305FE7" w:rsidRPr="00E150BC">
          <w:rPr>
            <w:i/>
          </w:rPr>
          <w:fldChar w:fldCharType="end"/>
        </w:r>
      </w:hyperlink>
      <w:r w:rsidR="00E3099F" w:rsidRPr="00E150BC">
        <w:rPr>
          <w:i/>
        </w:rPr>
        <w:t>) and composite of mapped distribution (</w:t>
      </w:r>
      <w:hyperlink w:anchor="_ENREF_170" w:tooltip="McKenzie, 2014 #9838" w:history="1">
        <w:r w:rsidR="00305FE7" w:rsidRPr="00E150BC">
          <w:rPr>
            <w:i/>
          </w:rPr>
          <w:fldChar w:fldCharType="begin"/>
        </w:r>
        <w:r w:rsidR="00305FE7">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305FE7" w:rsidRPr="00E150BC">
          <w:rPr>
            <w:i/>
          </w:rPr>
          <w:fldChar w:fldCharType="separate"/>
        </w:r>
        <w:r w:rsidR="00305FE7">
          <w:rPr>
            <w:i/>
            <w:noProof/>
          </w:rPr>
          <w:t>McKenzie et al. 2014c</w:t>
        </w:r>
        <w:r w:rsidR="00305FE7" w:rsidRPr="00E150BC">
          <w:rPr>
            <w:i/>
          </w:rPr>
          <w:fldChar w:fldCharType="end"/>
        </w:r>
      </w:hyperlink>
      <w:r w:rsidR="00E3099F" w:rsidRPr="00E150BC">
        <w:rPr>
          <w:i/>
        </w:rPr>
        <w:t>)</w:t>
      </w:r>
      <w:r w:rsidRPr="00E150BC">
        <w:rPr>
          <w:i/>
        </w:rPr>
        <w:t xml:space="preserve">. </w:t>
      </w:r>
    </w:p>
    <w:p w14:paraId="2DF25876" w14:textId="77777777" w:rsidR="00925F0B" w:rsidRDefault="00925F0B" w:rsidP="00925F0B"/>
    <w:p w14:paraId="453878EA" w14:textId="77777777" w:rsidR="00925F0B" w:rsidRDefault="00925F0B" w:rsidP="00925F0B"/>
    <w:p w14:paraId="22837EE1" w14:textId="1875FB18" w:rsidR="00925F0B" w:rsidRDefault="000E1D02" w:rsidP="00925F0B">
      <w:r>
        <w:rPr>
          <w:noProof/>
          <w:lang w:eastAsia="en-AU"/>
        </w:rPr>
        <w:drawing>
          <wp:inline distT="0" distB="0" distL="0" distR="0" wp14:anchorId="012E7534" wp14:editId="0ADC3EC3">
            <wp:extent cx="5759449" cy="7228459"/>
            <wp:effectExtent l="0" t="0" r="0" b="0"/>
            <wp:docPr id="10150" name="Picture 10150" descr="Map with set of bar graphs showing location and species composition of each long-term seagrass monitoring site in the Mackay Whitsunday region from 2000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0" name="Mackay_Whitsunday_NRM_2016.png"/>
                    <pic:cNvPicPr/>
                  </pic:nvPicPr>
                  <pic:blipFill>
                    <a:blip r:embed="rId295">
                      <a:extLst>
                        <a:ext uri="{28A0092B-C50C-407E-A947-70E740481C1C}">
                          <a14:useLocalDpi xmlns:a14="http://schemas.microsoft.com/office/drawing/2010/main" val="0"/>
                        </a:ext>
                      </a:extLst>
                    </a:blip>
                    <a:stretch>
                      <a:fillRect/>
                    </a:stretch>
                  </pic:blipFill>
                  <pic:spPr>
                    <a:xfrm>
                      <a:off x="0" y="0"/>
                      <a:ext cx="5759449" cy="7228459"/>
                    </a:xfrm>
                    <a:prstGeom prst="rect">
                      <a:avLst/>
                    </a:prstGeom>
                  </pic:spPr>
                </pic:pic>
              </a:graphicData>
            </a:graphic>
          </wp:inline>
        </w:drawing>
      </w:r>
    </w:p>
    <w:p w14:paraId="29A7375C" w14:textId="15700BB9" w:rsidR="00603D74" w:rsidRPr="00517276" w:rsidRDefault="00925F0B" w:rsidP="00603D74">
      <w:pPr>
        <w:rPr>
          <w:i/>
          <w:vanish/>
          <w:color w:val="000000"/>
          <w:szCs w:val="22"/>
          <w:specVanish/>
        </w:rPr>
      </w:pPr>
      <w:bookmarkStart w:id="1214" w:name="_Ref179444954"/>
      <w:bookmarkStart w:id="1215" w:name="_Toc232845996"/>
      <w:bookmarkStart w:id="1216" w:name="_Toc176158898"/>
      <w:bookmarkStart w:id="1217" w:name="_Toc516053413"/>
      <w:bookmarkStart w:id="1218" w:name="_Toc431493871"/>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203</w:t>
      </w:r>
      <w:r w:rsidR="0073595B">
        <w:rPr>
          <w:color w:val="000000"/>
        </w:rPr>
        <w:fldChar w:fldCharType="end"/>
      </w:r>
      <w:bookmarkEnd w:id="1214"/>
      <w:r>
        <w:rPr>
          <w:color w:val="000000"/>
        </w:rPr>
        <w:t xml:space="preserve">. </w:t>
      </w:r>
      <w:bookmarkEnd w:id="1215"/>
      <w:bookmarkEnd w:id="1216"/>
      <w:r>
        <w:rPr>
          <w:i/>
          <w:color w:val="000000"/>
        </w:rPr>
        <w:t xml:space="preserve">Location and species composition of each long-term seagrass monitoring site (MMP) in </w:t>
      </w:r>
      <w:r w:rsidRPr="00E150BC">
        <w:rPr>
          <w:i/>
        </w:rPr>
        <w:t>the Mackay Whitsunday region.</w:t>
      </w:r>
      <w:bookmarkEnd w:id="1217"/>
    </w:p>
    <w:p w14:paraId="0F03920D" w14:textId="2541E976" w:rsidR="00925F0B" w:rsidRPr="00E150BC" w:rsidRDefault="00925F0B" w:rsidP="00603D74">
      <w:pPr>
        <w:rPr>
          <w:i/>
        </w:rPr>
      </w:pPr>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69" w:tooltip="McKenzie, 2010 #9646" w:history="1">
        <w:r w:rsidR="00305FE7" w:rsidRPr="00E150BC">
          <w:rPr>
            <w:i/>
          </w:rPr>
          <w:fldChar w:fldCharType="begin"/>
        </w:r>
        <w:r w:rsidR="00305FE7">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E150BC">
          <w:rPr>
            <w:i/>
          </w:rPr>
          <w:fldChar w:fldCharType="separate"/>
        </w:r>
        <w:r w:rsidR="00305FE7">
          <w:rPr>
            <w:i/>
            <w:noProof/>
          </w:rPr>
          <w:t>McKenzie et al. 2010c</w:t>
        </w:r>
        <w:r w:rsidR="00305FE7" w:rsidRPr="00E150BC">
          <w:rPr>
            <w:i/>
          </w:rPr>
          <w:fldChar w:fldCharType="end"/>
        </w:r>
      </w:hyperlink>
      <w:r w:rsidR="00E3099F" w:rsidRPr="00E150BC">
        <w:rPr>
          <w:i/>
        </w:rPr>
        <w:t>) and composite of mapped distribution (</w:t>
      </w:r>
      <w:hyperlink w:anchor="_ENREF_170" w:tooltip="McKenzie, 2014 #9838" w:history="1">
        <w:r w:rsidR="00305FE7" w:rsidRPr="00E150BC">
          <w:rPr>
            <w:i/>
          </w:rPr>
          <w:fldChar w:fldCharType="begin"/>
        </w:r>
        <w:r w:rsidR="00305FE7">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305FE7" w:rsidRPr="00E150BC">
          <w:rPr>
            <w:i/>
          </w:rPr>
          <w:fldChar w:fldCharType="separate"/>
        </w:r>
        <w:r w:rsidR="00305FE7">
          <w:rPr>
            <w:i/>
            <w:noProof/>
          </w:rPr>
          <w:t>McKenzie et al. 2014c</w:t>
        </w:r>
        <w:r w:rsidR="00305FE7" w:rsidRPr="00E150BC">
          <w:rPr>
            <w:i/>
          </w:rPr>
          <w:fldChar w:fldCharType="end"/>
        </w:r>
      </w:hyperlink>
      <w:r w:rsidR="00E3099F" w:rsidRPr="00E150BC">
        <w:rPr>
          <w:i/>
        </w:rPr>
        <w:t>)</w:t>
      </w:r>
      <w:r w:rsidRPr="00E150BC">
        <w:rPr>
          <w:i/>
        </w:rPr>
        <w:t>.</w:t>
      </w:r>
      <w:bookmarkEnd w:id="1218"/>
      <w:r w:rsidRPr="00E150BC">
        <w:rPr>
          <w:i/>
        </w:rPr>
        <w:t xml:space="preserve"> </w:t>
      </w:r>
    </w:p>
    <w:p w14:paraId="1706B718" w14:textId="7A3D5E34" w:rsidR="00925F0B" w:rsidRDefault="00925F0B" w:rsidP="00925F0B">
      <w:pPr>
        <w:rPr>
          <w:color w:val="000000"/>
        </w:rPr>
      </w:pPr>
      <w:r>
        <w:rPr>
          <w:color w:val="000000"/>
        </w:rPr>
        <w:br w:type="column"/>
      </w:r>
      <w:r w:rsidR="000E1D02">
        <w:rPr>
          <w:noProof/>
          <w:color w:val="000000"/>
          <w:lang w:eastAsia="en-AU"/>
        </w:rPr>
        <w:drawing>
          <wp:inline distT="0" distB="0" distL="0" distR="0" wp14:anchorId="1F53EB07" wp14:editId="3EBDC6E0">
            <wp:extent cx="5759449" cy="7228459"/>
            <wp:effectExtent l="0" t="0" r="0" b="0"/>
            <wp:docPr id="10162" name="Picture 10162" descr="Map with set of bar graphs showing location and species composition of each long-term seagrass monitoring site in the Fitzroy region from 2005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2" name="Fitzroy_NRM_2016.png"/>
                    <pic:cNvPicPr/>
                  </pic:nvPicPr>
                  <pic:blipFill>
                    <a:blip r:embed="rId296">
                      <a:extLst>
                        <a:ext uri="{28A0092B-C50C-407E-A947-70E740481C1C}">
                          <a14:useLocalDpi xmlns:a14="http://schemas.microsoft.com/office/drawing/2010/main" val="0"/>
                        </a:ext>
                      </a:extLst>
                    </a:blip>
                    <a:stretch>
                      <a:fillRect/>
                    </a:stretch>
                  </pic:blipFill>
                  <pic:spPr>
                    <a:xfrm>
                      <a:off x="0" y="0"/>
                      <a:ext cx="5759449" cy="7228459"/>
                    </a:xfrm>
                    <a:prstGeom prst="rect">
                      <a:avLst/>
                    </a:prstGeom>
                  </pic:spPr>
                </pic:pic>
              </a:graphicData>
            </a:graphic>
          </wp:inline>
        </w:drawing>
      </w:r>
    </w:p>
    <w:p w14:paraId="77AADA4C" w14:textId="1A666C14" w:rsidR="00603D74" w:rsidRPr="00517276" w:rsidRDefault="00925F0B" w:rsidP="00603D74">
      <w:pPr>
        <w:rPr>
          <w:i/>
          <w:vanish/>
          <w:color w:val="000000"/>
          <w:szCs w:val="22"/>
          <w:specVanish/>
        </w:rPr>
      </w:pPr>
      <w:bookmarkStart w:id="1219" w:name="_Toc516053414"/>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204</w:t>
      </w:r>
      <w:r w:rsidR="0073595B">
        <w:rPr>
          <w:color w:val="000000"/>
        </w:rPr>
        <w:fldChar w:fldCharType="end"/>
      </w:r>
      <w:r>
        <w:rPr>
          <w:color w:val="000000"/>
        </w:rPr>
        <w:t xml:space="preserve">. </w:t>
      </w:r>
      <w:r>
        <w:rPr>
          <w:i/>
          <w:color w:val="000000"/>
        </w:rPr>
        <w:t xml:space="preserve">Location and species composition of each long-term seagrass monitoring site (MMP) in </w:t>
      </w:r>
      <w:r w:rsidRPr="00E150BC">
        <w:rPr>
          <w:i/>
        </w:rPr>
        <w:t>the Fitzroy region.</w:t>
      </w:r>
      <w:bookmarkEnd w:id="1219"/>
      <w:r w:rsidR="00603D74" w:rsidRPr="00603D74">
        <w:rPr>
          <w:i/>
          <w:vanish/>
          <w:color w:val="000000"/>
          <w:szCs w:val="22"/>
          <w:specVanish/>
        </w:rPr>
        <w:t xml:space="preserve"> </w:t>
      </w:r>
    </w:p>
    <w:p w14:paraId="708599DB" w14:textId="3425C947" w:rsidR="00925F0B" w:rsidRPr="00E150BC" w:rsidRDefault="00925F0B" w:rsidP="00603D74">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69" w:tooltip="McKenzie, 2010 #9646" w:history="1">
        <w:r w:rsidR="00305FE7" w:rsidRPr="00E150BC">
          <w:rPr>
            <w:i/>
          </w:rPr>
          <w:fldChar w:fldCharType="begin"/>
        </w:r>
        <w:r w:rsidR="00305FE7">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E150BC">
          <w:rPr>
            <w:i/>
          </w:rPr>
          <w:fldChar w:fldCharType="separate"/>
        </w:r>
        <w:r w:rsidR="00305FE7">
          <w:rPr>
            <w:i/>
            <w:noProof/>
          </w:rPr>
          <w:t>McKenzie et al. 2010c</w:t>
        </w:r>
        <w:r w:rsidR="00305FE7" w:rsidRPr="00E150BC">
          <w:rPr>
            <w:i/>
          </w:rPr>
          <w:fldChar w:fldCharType="end"/>
        </w:r>
      </w:hyperlink>
      <w:r w:rsidR="00E3099F" w:rsidRPr="00E150BC">
        <w:rPr>
          <w:i/>
        </w:rPr>
        <w:t>) and composite of mapped distribution (</w:t>
      </w:r>
      <w:hyperlink w:anchor="_ENREF_170" w:tooltip="McKenzie, 2014 #9838" w:history="1">
        <w:r w:rsidR="00305FE7" w:rsidRPr="00E150BC">
          <w:rPr>
            <w:i/>
          </w:rPr>
          <w:fldChar w:fldCharType="begin"/>
        </w:r>
        <w:r w:rsidR="00305FE7">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305FE7" w:rsidRPr="00E150BC">
          <w:rPr>
            <w:i/>
          </w:rPr>
          <w:fldChar w:fldCharType="separate"/>
        </w:r>
        <w:r w:rsidR="00305FE7">
          <w:rPr>
            <w:i/>
            <w:noProof/>
          </w:rPr>
          <w:t>McKenzie et al. 2014c</w:t>
        </w:r>
        <w:r w:rsidR="00305FE7" w:rsidRPr="00E150BC">
          <w:rPr>
            <w:i/>
          </w:rPr>
          <w:fldChar w:fldCharType="end"/>
        </w:r>
      </w:hyperlink>
      <w:r w:rsidR="00E3099F" w:rsidRPr="00E150BC">
        <w:rPr>
          <w:i/>
        </w:rPr>
        <w:t>)</w:t>
      </w:r>
      <w:r w:rsidRPr="00E150BC">
        <w:rPr>
          <w:i/>
        </w:rPr>
        <w:t xml:space="preserve">. </w:t>
      </w:r>
    </w:p>
    <w:p w14:paraId="506C5753" w14:textId="77777777" w:rsidR="00925F0B" w:rsidRDefault="00925F0B" w:rsidP="00925F0B"/>
    <w:p w14:paraId="675EF33A" w14:textId="2020CEA1" w:rsidR="00925F0B" w:rsidRDefault="00925F0B" w:rsidP="00925F0B">
      <w:r>
        <w:br w:type="column"/>
      </w:r>
      <w:r w:rsidR="000E1D02">
        <w:rPr>
          <w:noProof/>
          <w:lang w:eastAsia="en-AU"/>
        </w:rPr>
        <w:drawing>
          <wp:inline distT="0" distB="0" distL="0" distR="0" wp14:anchorId="25A3C6BD" wp14:editId="74D074A5">
            <wp:extent cx="5759449" cy="7228459"/>
            <wp:effectExtent l="0" t="0" r="0" b="0"/>
            <wp:docPr id="10163" name="Picture 10163" descr="Map with set of bar graphs showing location and species composition of each long-term seagrass monitoring site in the Burnett Mary region from 1999 to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3" name="Burnett_Mary_NRM_2016.png"/>
                    <pic:cNvPicPr/>
                  </pic:nvPicPr>
                  <pic:blipFill>
                    <a:blip r:embed="rId297">
                      <a:extLst>
                        <a:ext uri="{28A0092B-C50C-407E-A947-70E740481C1C}">
                          <a14:useLocalDpi xmlns:a14="http://schemas.microsoft.com/office/drawing/2010/main" val="0"/>
                        </a:ext>
                      </a:extLst>
                    </a:blip>
                    <a:stretch>
                      <a:fillRect/>
                    </a:stretch>
                  </pic:blipFill>
                  <pic:spPr>
                    <a:xfrm>
                      <a:off x="0" y="0"/>
                      <a:ext cx="5759449" cy="7228459"/>
                    </a:xfrm>
                    <a:prstGeom prst="rect">
                      <a:avLst/>
                    </a:prstGeom>
                  </pic:spPr>
                </pic:pic>
              </a:graphicData>
            </a:graphic>
          </wp:inline>
        </w:drawing>
      </w:r>
    </w:p>
    <w:p w14:paraId="40A5DD60" w14:textId="37BC7524" w:rsidR="00603D74" w:rsidRPr="00517276" w:rsidRDefault="00925F0B" w:rsidP="00603D74">
      <w:pPr>
        <w:rPr>
          <w:i/>
          <w:vanish/>
          <w:color w:val="000000"/>
          <w:szCs w:val="22"/>
          <w:specVanish/>
        </w:rPr>
      </w:pPr>
      <w:bookmarkStart w:id="1220" w:name="_Toc516053415"/>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205</w:t>
      </w:r>
      <w:r w:rsidR="0073595B">
        <w:rPr>
          <w:color w:val="000000"/>
        </w:rPr>
        <w:fldChar w:fldCharType="end"/>
      </w:r>
      <w:r>
        <w:rPr>
          <w:color w:val="000000"/>
        </w:rPr>
        <w:t xml:space="preserve">. </w:t>
      </w:r>
      <w:r>
        <w:rPr>
          <w:i/>
          <w:color w:val="000000"/>
        </w:rPr>
        <w:t>Location and species composition of each long-term seagrass monitoring site (MMP) in the Burnett Mary region.</w:t>
      </w:r>
      <w:bookmarkEnd w:id="1220"/>
      <w:r w:rsidR="00603D74" w:rsidRPr="00603D74">
        <w:rPr>
          <w:i/>
          <w:vanish/>
          <w:color w:val="000000"/>
          <w:szCs w:val="22"/>
          <w:specVanish/>
        </w:rPr>
        <w:t xml:space="preserve"> </w:t>
      </w:r>
    </w:p>
    <w:p w14:paraId="362A7588" w14:textId="5C0AEC6E" w:rsidR="00925F0B" w:rsidRPr="00E150BC" w:rsidRDefault="00925F0B" w:rsidP="00603D74">
      <w:r>
        <w:rPr>
          <w:i/>
          <w:color w:val="000000"/>
        </w:rPr>
        <w:t xml:space="preserve"> Please note: replicate sites within 500m of each other. Also shown is </w:t>
      </w:r>
      <w:r w:rsidRPr="00E150BC">
        <w:rPr>
          <w:i/>
        </w:rPr>
        <w:t xml:space="preserve">distribution of seagrass as the modelled distribution (including likelihood of presence from </w:t>
      </w:r>
      <w:r w:rsidR="00E3099F" w:rsidRPr="00E150BC">
        <w:rPr>
          <w:i/>
        </w:rPr>
        <w:t xml:space="preserve">0.5-1.0 </w:t>
      </w:r>
      <w:hyperlink w:anchor="_ENREF_169" w:tooltip="McKenzie, 2010 #9646" w:history="1">
        <w:r w:rsidR="00305FE7" w:rsidRPr="00E150BC">
          <w:rPr>
            <w:i/>
          </w:rPr>
          <w:fldChar w:fldCharType="begin"/>
        </w:r>
        <w:r w:rsidR="00305FE7">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305FE7" w:rsidRPr="00E150BC">
          <w:rPr>
            <w:i/>
          </w:rPr>
          <w:fldChar w:fldCharType="separate"/>
        </w:r>
        <w:r w:rsidR="00305FE7">
          <w:rPr>
            <w:i/>
            <w:noProof/>
          </w:rPr>
          <w:t>McKenzie et al. 2010c</w:t>
        </w:r>
        <w:r w:rsidR="00305FE7" w:rsidRPr="00E150BC">
          <w:rPr>
            <w:i/>
          </w:rPr>
          <w:fldChar w:fldCharType="end"/>
        </w:r>
      </w:hyperlink>
      <w:r w:rsidR="00E3099F" w:rsidRPr="00E150BC">
        <w:rPr>
          <w:i/>
        </w:rPr>
        <w:t>) and composite of mapped distribution (</w:t>
      </w:r>
      <w:hyperlink w:anchor="_ENREF_170" w:tooltip="McKenzie, 2014 #9838" w:history="1">
        <w:r w:rsidR="00305FE7" w:rsidRPr="00E150BC">
          <w:rPr>
            <w:i/>
          </w:rPr>
          <w:fldChar w:fldCharType="begin"/>
        </w:r>
        <w:r w:rsidR="00305FE7">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305FE7" w:rsidRPr="00E150BC">
          <w:rPr>
            <w:i/>
          </w:rPr>
          <w:fldChar w:fldCharType="separate"/>
        </w:r>
        <w:r w:rsidR="00305FE7">
          <w:rPr>
            <w:i/>
            <w:noProof/>
          </w:rPr>
          <w:t>McKenzie et al. 2014c</w:t>
        </w:r>
        <w:r w:rsidR="00305FE7" w:rsidRPr="00E150BC">
          <w:rPr>
            <w:i/>
          </w:rPr>
          <w:fldChar w:fldCharType="end"/>
        </w:r>
      </w:hyperlink>
      <w:r w:rsidR="00E3099F" w:rsidRPr="00E150BC">
        <w:rPr>
          <w:i/>
        </w:rPr>
        <w:t>)</w:t>
      </w:r>
      <w:r w:rsidRPr="00E150BC">
        <w:rPr>
          <w:i/>
        </w:rPr>
        <w:t xml:space="preserve">. </w:t>
      </w:r>
    </w:p>
    <w:p w14:paraId="15EBAB17" w14:textId="77777777" w:rsidR="00273002" w:rsidRPr="00273002" w:rsidRDefault="00273002" w:rsidP="00273002">
      <w:pPr>
        <w:rPr>
          <w:color w:val="000000"/>
          <w:szCs w:val="22"/>
        </w:rPr>
      </w:pPr>
    </w:p>
    <w:p w14:paraId="0D0F4C2D" w14:textId="77777777" w:rsidR="00925F0B" w:rsidRPr="00B4094B" w:rsidRDefault="00FA17EB" w:rsidP="001A5B75">
      <w:pPr>
        <w:numPr>
          <w:ilvl w:val="1"/>
          <w:numId w:val="10"/>
        </w:numPr>
        <w:tabs>
          <w:tab w:val="clear" w:pos="792"/>
          <w:tab w:val="num" w:pos="709"/>
        </w:tabs>
        <w:ind w:left="709" w:hanging="709"/>
        <w:rPr>
          <w:rFonts w:cs="Segoe UI"/>
          <w:b/>
          <w:sz w:val="28"/>
          <w:szCs w:val="28"/>
        </w:rPr>
      </w:pPr>
      <w:r w:rsidRPr="00B4094B">
        <w:rPr>
          <w:lang w:val="en-GB"/>
        </w:rPr>
        <w:br w:type="page"/>
      </w:r>
    </w:p>
    <w:p w14:paraId="1EEA2461" w14:textId="6C4CE7B1" w:rsidR="00120016" w:rsidRPr="00E150BC" w:rsidRDefault="00120016" w:rsidP="00E150BC">
      <w:pPr>
        <w:pStyle w:val="Heading3"/>
        <w:keepNext w:val="0"/>
        <w:widowControl w:val="0"/>
        <w:rPr>
          <w:rFonts w:asciiTheme="minorHAnsi" w:hAnsiTheme="minorHAnsi"/>
          <w:sz w:val="24"/>
          <w:szCs w:val="24"/>
        </w:rPr>
      </w:pPr>
      <w:bookmarkStart w:id="1221" w:name="_Ref511383436"/>
      <w:bookmarkStart w:id="1222" w:name="_Toc516053209"/>
      <w:r w:rsidRPr="00E150BC">
        <w:rPr>
          <w:rFonts w:asciiTheme="minorHAnsi" w:hAnsiTheme="minorHAnsi"/>
          <w:sz w:val="24"/>
          <w:szCs w:val="24"/>
        </w:rPr>
        <w:t>Seagrass leaf tissue</w:t>
      </w:r>
      <w:bookmarkEnd w:id="1221"/>
      <w:bookmarkEnd w:id="1222"/>
    </w:p>
    <w:p w14:paraId="17826266" w14:textId="432557BB" w:rsidR="00F1783F" w:rsidRPr="006365D0" w:rsidRDefault="00DA2F28" w:rsidP="006365D0">
      <w:pPr>
        <w:rPr>
          <w:szCs w:val="22"/>
        </w:rPr>
      </w:pPr>
      <w:r>
        <w:rPr>
          <w:lang w:eastAsia="en-AU"/>
        </w:rPr>
        <w:t>The following graphs display the e</w:t>
      </w:r>
      <w:r w:rsidRPr="00EB666B">
        <w:rPr>
          <w:lang w:eastAsia="en-AU"/>
        </w:rPr>
        <w:t>lemental ratios (atomic) of seagrass leaf tissue C:N</w:t>
      </w:r>
      <w:r>
        <w:rPr>
          <w:lang w:eastAsia="en-AU"/>
        </w:rPr>
        <w:t xml:space="preserve">, </w:t>
      </w:r>
      <w:r w:rsidRPr="00EB666B">
        <w:rPr>
          <w:iCs/>
          <w:szCs w:val="22"/>
          <w:lang w:eastAsia="en-AU"/>
        </w:rPr>
        <w:t>N:P and C:P</w:t>
      </w:r>
      <w:r w:rsidRPr="00EB666B">
        <w:rPr>
          <w:lang w:eastAsia="en-AU"/>
        </w:rPr>
        <w:t xml:space="preserve"> for </w:t>
      </w:r>
      <w:r w:rsidRPr="00EB666B">
        <w:t xml:space="preserve">the foundation seagrass species examined at each </w:t>
      </w:r>
      <w:r>
        <w:t>habitat or location</w:t>
      </w:r>
      <w:r w:rsidRPr="00EB666B">
        <w:t xml:space="preserve"> in the </w:t>
      </w:r>
      <w:r w:rsidR="006365D0">
        <w:t>NRM regions of the Great Barrier Reef</w:t>
      </w:r>
      <w:r w:rsidRPr="00DA2F28">
        <w:rPr>
          <w:lang w:eastAsia="en-AU"/>
        </w:rPr>
        <w:t>.</w:t>
      </w:r>
      <w:r w:rsidR="006365D0">
        <w:rPr>
          <w:lang w:eastAsia="en-AU"/>
        </w:rPr>
        <w:t xml:space="preserve"> The h</w:t>
      </w:r>
      <w:r w:rsidRPr="006365D0">
        <w:rPr>
          <w:lang w:eastAsia="en-AU"/>
        </w:rPr>
        <w:t>orizontal shaded band on the C:N ratio panel</w:t>
      </w:r>
      <w:r w:rsidR="006365D0">
        <w:rPr>
          <w:lang w:eastAsia="en-AU"/>
        </w:rPr>
        <w:t>s</w:t>
      </w:r>
      <w:r w:rsidRPr="006365D0">
        <w:rPr>
          <w:lang w:eastAsia="en-AU"/>
        </w:rPr>
        <w:t xml:space="preserve"> represent the accepted seagrass “Redfield” ratio </w:t>
      </w:r>
      <w:r w:rsidRPr="006365D0">
        <w:t>of 20:1 (</w:t>
      </w:r>
      <w:r w:rsidR="00644A84">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instrText xml:space="preserve"> ADDIN EN.CITE </w:instrText>
      </w:r>
      <w:r w:rsidR="00521D93">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21D93">
        <w:instrText xml:space="preserve"> ADDIN EN.CITE.DATA </w:instrText>
      </w:r>
      <w:r w:rsidR="00521D93">
        <w:fldChar w:fldCharType="end"/>
      </w:r>
      <w:r w:rsidR="00644A84">
        <w:fldChar w:fldCharType="separate"/>
      </w:r>
      <w:hyperlink w:anchor="_ENREF_2" w:tooltip="Abal, 1994 #7405" w:history="1">
        <w:r w:rsidR="00305FE7">
          <w:rPr>
            <w:noProof/>
          </w:rPr>
          <w:t>Abal</w:t>
        </w:r>
        <w:r w:rsidR="00305FE7" w:rsidRPr="00521D93">
          <w:rPr>
            <w:i/>
            <w:noProof/>
          </w:rPr>
          <w:t xml:space="preserve"> et al.</w:t>
        </w:r>
        <w:r w:rsidR="00305FE7">
          <w:rPr>
            <w:noProof/>
          </w:rPr>
          <w:t xml:space="preserve"> 1994</w:t>
        </w:r>
      </w:hyperlink>
      <w:r w:rsidR="00521D93">
        <w:rPr>
          <w:noProof/>
        </w:rPr>
        <w:t xml:space="preserve">; </w:t>
      </w:r>
      <w:hyperlink w:anchor="_ENREF_107" w:tooltip="Grice, 1996 #1346" w:history="1">
        <w:r w:rsidR="00305FE7">
          <w:rPr>
            <w:noProof/>
          </w:rPr>
          <w:t>Grice</w:t>
        </w:r>
        <w:r w:rsidR="00305FE7" w:rsidRPr="00521D93">
          <w:rPr>
            <w:i/>
            <w:noProof/>
          </w:rPr>
          <w:t xml:space="preserve"> et al.</w:t>
        </w:r>
        <w:r w:rsidR="00305FE7">
          <w:rPr>
            <w:noProof/>
          </w:rPr>
          <w:t xml:space="preserve"> 1996</w:t>
        </w:r>
      </w:hyperlink>
      <w:r w:rsidR="00644A84">
        <w:fldChar w:fldCharType="end"/>
      </w:r>
      <w:r w:rsidRPr="006365D0">
        <w:t>)</w:t>
      </w:r>
      <w:r w:rsidRPr="006365D0">
        <w:rPr>
          <w:lang w:eastAsia="en-AU"/>
        </w:rPr>
        <w:t xml:space="preserve">. C:N ratios below this line may </w:t>
      </w:r>
      <w:r w:rsidRPr="006365D0">
        <w:t xml:space="preserve">indicate reduced light availability and/or N enrichment. </w:t>
      </w:r>
      <w:r w:rsidR="006365D0">
        <w:rPr>
          <w:iCs/>
          <w:szCs w:val="22"/>
          <w:lang w:eastAsia="en-AU"/>
        </w:rPr>
        <w:t>The h</w:t>
      </w:r>
      <w:r w:rsidRPr="006365D0">
        <w:rPr>
          <w:iCs/>
          <w:szCs w:val="22"/>
          <w:lang w:eastAsia="en-AU"/>
        </w:rPr>
        <w:t>orizontal shaded band on the N:P panel</w:t>
      </w:r>
      <w:r w:rsidR="006365D0">
        <w:rPr>
          <w:iCs/>
          <w:szCs w:val="22"/>
          <w:lang w:eastAsia="en-AU"/>
        </w:rPr>
        <w:t>s</w:t>
      </w:r>
      <w:r w:rsidRPr="006365D0">
        <w:rPr>
          <w:iCs/>
          <w:szCs w:val="22"/>
          <w:lang w:eastAsia="en-AU"/>
        </w:rPr>
        <w:t xml:space="preserve"> represent the range of value associated with N:P balan</w:t>
      </w:r>
      <w:r w:rsidR="009272D7">
        <w:rPr>
          <w:iCs/>
          <w:szCs w:val="22"/>
          <w:lang w:eastAsia="en-AU"/>
        </w:rPr>
        <w:t xml:space="preserve">ce ratio in the plant tissues, </w:t>
      </w:r>
      <w:r w:rsidRPr="006365D0">
        <w:rPr>
          <w:iCs/>
          <w:szCs w:val="22"/>
          <w:lang w:eastAsia="en-AU"/>
        </w:rPr>
        <w:t>a seagrass “Redfield” ratio (</w:t>
      </w:r>
      <w:r w:rsidR="00644A84">
        <w:rPr>
          <w:iCs/>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Cs/>
          <w:szCs w:val="22"/>
          <w:lang w:eastAsia="en-AU"/>
        </w:rPr>
        <w:instrText xml:space="preserve"> ADDIN EN.CITE </w:instrText>
      </w:r>
      <w:r w:rsidR="00521D93">
        <w:rPr>
          <w:iCs/>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OyBEdWFydGUgMTk5MDsgRm91cnF1cmVhbjxzdHlsZSBmYWNlPSJpdGFsaWMiPiBldCBhbC48L3N0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eSBQcm9ncmVzcyBTZXJpZXM8L2Z1bGwtdGl0bGU+PC9wZXJpb2RpY2FsPjxwYWdlcz4yMDEtMjA3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</w:fldData>
        </w:fldChar>
      </w:r>
      <w:r w:rsidR="00521D93">
        <w:rPr>
          <w:iCs/>
          <w:szCs w:val="22"/>
          <w:lang w:eastAsia="en-AU"/>
        </w:rPr>
        <w:instrText xml:space="preserve"> ADDIN EN.CITE.DATA </w:instrText>
      </w:r>
      <w:r w:rsidR="00521D93">
        <w:rPr>
          <w:iCs/>
          <w:szCs w:val="22"/>
          <w:lang w:eastAsia="en-AU"/>
        </w:rPr>
      </w:r>
      <w:r w:rsidR="00521D93">
        <w:rPr>
          <w:iCs/>
          <w:szCs w:val="22"/>
          <w:lang w:eastAsia="en-AU"/>
        </w:rPr>
        <w:fldChar w:fldCharType="end"/>
      </w:r>
      <w:r w:rsidR="00644A84">
        <w:rPr>
          <w:iCs/>
          <w:szCs w:val="22"/>
          <w:lang w:eastAsia="en-AU"/>
        </w:rPr>
      </w:r>
      <w:r w:rsidR="00644A84">
        <w:rPr>
          <w:iCs/>
          <w:szCs w:val="22"/>
          <w:lang w:eastAsia="en-AU"/>
        </w:rPr>
        <w:fldChar w:fldCharType="separate"/>
      </w:r>
      <w:hyperlink w:anchor="_ENREF_9" w:tooltip="Atkinson, 1983 #6292" w:history="1">
        <w:r w:rsidR="00305FE7">
          <w:rPr>
            <w:iCs/>
            <w:noProof/>
            <w:szCs w:val="22"/>
            <w:lang w:eastAsia="en-AU"/>
          </w:rPr>
          <w:t>Atkinson and Smith 1983</w:t>
        </w:r>
      </w:hyperlink>
      <w:r w:rsidR="00521D93">
        <w:rPr>
          <w:iCs/>
          <w:noProof/>
          <w:szCs w:val="22"/>
          <w:lang w:eastAsia="en-AU"/>
        </w:rPr>
        <w:t xml:space="preserve">; </w:t>
      </w:r>
      <w:hyperlink w:anchor="_ENREF_84" w:tooltip="Duarte, 1990 #1954" w:history="1">
        <w:r w:rsidR="00305FE7">
          <w:rPr>
            <w:iCs/>
            <w:noProof/>
            <w:szCs w:val="22"/>
            <w:lang w:eastAsia="en-AU"/>
          </w:rPr>
          <w:t>Duarte 1990</w:t>
        </w:r>
      </w:hyperlink>
      <w:r w:rsidR="00521D93">
        <w:rPr>
          <w:iCs/>
          <w:noProof/>
          <w:szCs w:val="22"/>
          <w:lang w:eastAsia="en-AU"/>
        </w:rPr>
        <w:t xml:space="preserve">; </w:t>
      </w:r>
      <w:hyperlink w:anchor="_ENREF_100" w:tooltip="Fourqurean, 1992 #9493" w:history="1">
        <w:r w:rsidR="00305FE7">
          <w:rPr>
            <w:iCs/>
            <w:noProof/>
            <w:szCs w:val="22"/>
            <w:lang w:eastAsia="en-AU"/>
          </w:rPr>
          <w:t>Fourqurean</w:t>
        </w:r>
        <w:r w:rsidR="00305FE7" w:rsidRPr="00521D93">
          <w:rPr>
            <w:i/>
            <w:iCs/>
            <w:noProof/>
            <w:szCs w:val="22"/>
            <w:lang w:eastAsia="en-AU"/>
          </w:rPr>
          <w:t xml:space="preserve"> et al.</w:t>
        </w:r>
        <w:r w:rsidR="00305FE7">
          <w:rPr>
            <w:iCs/>
            <w:noProof/>
            <w:szCs w:val="22"/>
            <w:lang w:eastAsia="en-AU"/>
          </w:rPr>
          <w:t xml:space="preserve"> 1992b</w:t>
        </w:r>
      </w:hyperlink>
      <w:r w:rsidR="00644A84">
        <w:rPr>
          <w:iCs/>
          <w:szCs w:val="22"/>
          <w:lang w:eastAsia="en-AU"/>
        </w:rPr>
        <w:fldChar w:fldCharType="end"/>
      </w:r>
      <w:r w:rsidRPr="006365D0">
        <w:rPr>
          <w:iCs/>
          <w:szCs w:val="22"/>
          <w:lang w:eastAsia="en-AU"/>
        </w:rPr>
        <w:t xml:space="preserve">; </w:t>
      </w:r>
      <w:hyperlink w:anchor="_ENREF_94" w:tooltip="Fourqurean, 2001 #9492" w:history="1">
        <w:r w:rsidR="00305FE7">
          <w:rPr>
            <w:iCs/>
            <w:szCs w:val="22"/>
            <w:lang w:eastAsia="en-AU"/>
          </w:rPr>
          <w:fldChar w:fldCharType="begin"/>
        </w:r>
        <w:r w:rsidR="00305FE7">
          <w:rPr>
            <w:iCs/>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305FE7">
          <w:rPr>
            <w:iCs/>
            <w:szCs w:val="22"/>
            <w:lang w:eastAsia="en-AU"/>
          </w:rPr>
          <w:fldChar w:fldCharType="separate"/>
        </w:r>
        <w:r w:rsidR="00305FE7">
          <w:rPr>
            <w:iCs/>
            <w:noProof/>
            <w:szCs w:val="22"/>
            <w:lang w:eastAsia="en-AU"/>
          </w:rPr>
          <w:t>Fourqurean and Cai 2001</w:t>
        </w:r>
        <w:r w:rsidR="00305FE7">
          <w:rPr>
            <w:iCs/>
            <w:szCs w:val="22"/>
            <w:lang w:eastAsia="en-AU"/>
          </w:rPr>
          <w:fldChar w:fldCharType="end"/>
        </w:r>
      </w:hyperlink>
      <w:r w:rsidRPr="006365D0">
        <w:rPr>
          <w:iCs/>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p>
    <w:p w14:paraId="0005AFA3" w14:textId="77777777" w:rsidR="00DA2F28" w:rsidRDefault="00DA2F28" w:rsidP="00F1783F">
      <w:pPr>
        <w:rPr>
          <w:szCs w:val="22"/>
        </w:rPr>
      </w:pPr>
    </w:p>
    <w:p w14:paraId="752FA5C0" w14:textId="3C98C322" w:rsidR="00620C8B" w:rsidRPr="006365D0" w:rsidRDefault="000E1D02" w:rsidP="00620C8B">
      <w:pPr>
        <w:keepNext/>
        <w:jc w:val="center"/>
      </w:pPr>
      <w:r>
        <w:rPr>
          <w:noProof/>
          <w:lang w:eastAsia="en-AU"/>
        </w:rPr>
        <w:drawing>
          <wp:inline distT="0" distB="0" distL="0" distR="0" wp14:anchorId="4B82B0D7" wp14:editId="6AA04FBC">
            <wp:extent cx="2880000" cy="3562886"/>
            <wp:effectExtent l="0" t="0" r="0" b="0"/>
            <wp:docPr id="10164" name="Picture 10164" descr="Set of line and point graphs showing trends in elemental ratios of seagrass leaf tissue C:N, N:P and C:P for the foundation seagrass species examined at each coastal location in the Cape York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4" name="CY_CNP_coast_yr_Dec16.png"/>
                    <pic:cNvPicPr/>
                  </pic:nvPicPr>
                  <pic:blipFill>
                    <a:blip r:embed="rId298">
                      <a:extLst>
                        <a:ext uri="{28A0092B-C50C-407E-A947-70E740481C1C}">
                          <a14:useLocalDpi xmlns:a14="http://schemas.microsoft.com/office/drawing/2010/main" val="0"/>
                        </a:ext>
                      </a:extLst>
                    </a:blip>
                    <a:stretch>
                      <a:fillRect/>
                    </a:stretch>
                  </pic:blipFill>
                  <pic:spPr>
                    <a:xfrm>
                      <a:off x="0" y="0"/>
                      <a:ext cx="2880000" cy="3562886"/>
                    </a:xfrm>
                    <a:prstGeom prst="rect">
                      <a:avLst/>
                    </a:prstGeom>
                  </pic:spPr>
                </pic:pic>
              </a:graphicData>
            </a:graphic>
          </wp:inline>
        </w:drawing>
      </w:r>
    </w:p>
    <w:p w14:paraId="3FF6B707" w14:textId="050A92F4" w:rsidR="00CE1FF0" w:rsidRPr="00517276" w:rsidRDefault="00620C8B" w:rsidP="00CE1FF0">
      <w:pPr>
        <w:jc w:val="center"/>
        <w:rPr>
          <w:i/>
          <w:vanish/>
          <w:color w:val="000000"/>
          <w:szCs w:val="22"/>
          <w:specVanish/>
        </w:rPr>
      </w:pPr>
      <w:bookmarkStart w:id="1223" w:name="_Ref410202723"/>
      <w:bookmarkStart w:id="1224" w:name="_Toc516053416"/>
      <w:bookmarkStart w:id="1225" w:name="_Toc431493934"/>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206</w:t>
      </w:r>
      <w:r w:rsidR="00C506C7">
        <w:rPr>
          <w:noProof/>
        </w:rPr>
        <w:fldChar w:fldCharType="end"/>
      </w:r>
      <w:bookmarkEnd w:id="1223"/>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w:t>
      </w:r>
      <w:r>
        <w:rPr>
          <w:i/>
        </w:rPr>
        <w:t>coastal</w:t>
      </w:r>
      <w:r w:rsidRPr="006365D0">
        <w:rPr>
          <w:i/>
        </w:rPr>
        <w:t xml:space="preserve"> location in the Cape York region</w:t>
      </w:r>
      <w:r w:rsidRPr="006365D0">
        <w:rPr>
          <w:i/>
          <w:lang w:eastAsia="en-AU"/>
        </w:rPr>
        <w:t xml:space="preserve"> each year</w:t>
      </w:r>
      <w:bookmarkEnd w:id="1224"/>
    </w:p>
    <w:p w14:paraId="76D86E1E" w14:textId="7535D163" w:rsidR="00620C8B" w:rsidRDefault="00620C8B" w:rsidP="00620C8B">
      <w:pPr>
        <w:rPr>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25"/>
    </w:p>
    <w:p w14:paraId="68056849" w14:textId="77777777" w:rsidR="00620C8B" w:rsidRDefault="00620C8B" w:rsidP="00F1783F">
      <w:pPr>
        <w:rPr>
          <w:szCs w:val="22"/>
        </w:rPr>
      </w:pPr>
    </w:p>
    <w:p w14:paraId="327EAE3C" w14:textId="2E81C1D5" w:rsidR="00F1783F" w:rsidRPr="006365D0" w:rsidRDefault="000E1D02" w:rsidP="006365D0">
      <w:pPr>
        <w:keepNext/>
        <w:jc w:val="center"/>
      </w:pPr>
      <w:r>
        <w:rPr>
          <w:noProof/>
          <w:lang w:eastAsia="en-AU"/>
        </w:rPr>
        <w:drawing>
          <wp:inline distT="0" distB="0" distL="0" distR="0" wp14:anchorId="42F5D9C0" wp14:editId="04F8255A">
            <wp:extent cx="4320000" cy="3706733"/>
            <wp:effectExtent l="0" t="0" r="4445" b="8255"/>
            <wp:docPr id="10167" name="Picture 10167" descr="Set of line and point graphs showing trends in elemental ratios of seagrass leaf tissue C:N, N:P and C:P for the foundation seagrass species examined at each reef location in the Cape York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7" name="CY_CNP_reef_yr_Dec16.png"/>
                    <pic:cNvPicPr/>
                  </pic:nvPicPr>
                  <pic:blipFill>
                    <a:blip r:embed="rId299">
                      <a:extLst>
                        <a:ext uri="{28A0092B-C50C-407E-A947-70E740481C1C}">
                          <a14:useLocalDpi xmlns:a14="http://schemas.microsoft.com/office/drawing/2010/main" val="0"/>
                        </a:ext>
                      </a:extLst>
                    </a:blip>
                    <a:stretch>
                      <a:fillRect/>
                    </a:stretch>
                  </pic:blipFill>
                  <pic:spPr>
                    <a:xfrm>
                      <a:off x="0" y="0"/>
                      <a:ext cx="4320000" cy="3706733"/>
                    </a:xfrm>
                    <a:prstGeom prst="rect">
                      <a:avLst/>
                    </a:prstGeom>
                  </pic:spPr>
                </pic:pic>
              </a:graphicData>
            </a:graphic>
          </wp:inline>
        </w:drawing>
      </w:r>
    </w:p>
    <w:p w14:paraId="0D0118FB" w14:textId="77777777" w:rsidR="00F87843" w:rsidRPr="00A93D8C" w:rsidRDefault="00DA2F28" w:rsidP="00F87843">
      <w:pPr>
        <w:spacing w:before="0"/>
        <w:rPr>
          <w:i/>
          <w:vanish/>
          <w:specVanish/>
        </w:rPr>
      </w:pPr>
      <w:bookmarkStart w:id="1226" w:name="_Ref410201924"/>
      <w:bookmarkStart w:id="1227" w:name="_Toc516053417"/>
      <w:bookmarkStart w:id="1228" w:name="_Toc43149393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207</w:t>
      </w:r>
      <w:r w:rsidR="00C506C7">
        <w:rPr>
          <w:noProof/>
        </w:rPr>
        <w:fldChar w:fldCharType="end"/>
      </w:r>
      <w:bookmarkEnd w:id="1226"/>
      <w:r w:rsidRPr="006365D0">
        <w:rPr>
          <w:i/>
        </w:rPr>
        <w:t xml:space="preserve">. </w:t>
      </w:r>
      <w:bookmarkStart w:id="1229" w:name="OLE_LINK11"/>
      <w:bookmarkStart w:id="1230" w:name="OLE_LINK14"/>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the foundation seagrass species examined at each reef location in the Cape York region</w:t>
      </w:r>
      <w:r w:rsidRPr="006365D0">
        <w:rPr>
          <w:i/>
          <w:lang w:eastAsia="en-AU"/>
        </w:rPr>
        <w:t xml:space="preserve"> each year</w:t>
      </w:r>
      <w:bookmarkEnd w:id="1227"/>
    </w:p>
    <w:p w14:paraId="2A394270" w14:textId="69A6A209" w:rsidR="00DA2F28" w:rsidRPr="009C7692" w:rsidRDefault="00DA2F28" w:rsidP="009C7692">
      <w:pPr>
        <w:jc w:val="center"/>
        <w:rPr>
          <w:i/>
          <w:vanish/>
          <w:color w:val="000000"/>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28"/>
      <w:bookmarkEnd w:id="1229"/>
      <w:bookmarkEnd w:id="1230"/>
      <w:r w:rsidRPr="00DA2F28">
        <w:rPr>
          <w:lang w:eastAsia="en-AU"/>
        </w:rPr>
        <w:t xml:space="preserve"> </w:t>
      </w:r>
    </w:p>
    <w:p w14:paraId="71B682D3" w14:textId="77777777" w:rsidR="00DA2F28" w:rsidRPr="00DA2F28" w:rsidRDefault="00DA2F28" w:rsidP="00DA2F28">
      <w:pPr>
        <w:rPr>
          <w:szCs w:val="22"/>
        </w:rPr>
      </w:pPr>
    </w:p>
    <w:p w14:paraId="01C5C514" w14:textId="77777777" w:rsidR="00F1783F" w:rsidRPr="00DA2F28" w:rsidRDefault="00F1783F" w:rsidP="00F1783F">
      <w:pPr>
        <w:rPr>
          <w:color w:val="000000"/>
          <w:szCs w:val="22"/>
          <w:lang w:val="en-GB"/>
        </w:rPr>
      </w:pPr>
    </w:p>
    <w:p w14:paraId="1B263D73" w14:textId="0A6A31C8" w:rsidR="00F1783F" w:rsidRPr="006365D0" w:rsidRDefault="00164F9B" w:rsidP="006365D0">
      <w:pPr>
        <w:keepNext/>
        <w:jc w:val="center"/>
      </w:pPr>
      <w:r>
        <w:rPr>
          <w:noProof/>
          <w:lang w:eastAsia="en-AU"/>
        </w:rPr>
        <w:drawing>
          <wp:inline distT="0" distB="0" distL="0" distR="0" wp14:anchorId="27048A4B" wp14:editId="6B7358CF">
            <wp:extent cx="4319091" cy="3902400"/>
            <wp:effectExtent l="0" t="0" r="5715" b="3175"/>
            <wp:docPr id="10168" name="Picture 10168" descr="Set of line and point graphs showing trends in elemental ratios of seagrass leaf tissue C:N for the foundation seagrass species examined at each seagrass habitat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8" name="WT_CN_loc_yr_Dec16.png"/>
                    <pic:cNvPicPr/>
                  </pic:nvPicPr>
                  <pic:blipFill>
                    <a:blip r:embed="rId300">
                      <a:extLst>
                        <a:ext uri="{28A0092B-C50C-407E-A947-70E740481C1C}">
                          <a14:useLocalDpi xmlns:a14="http://schemas.microsoft.com/office/drawing/2010/main" val="0"/>
                        </a:ext>
                      </a:extLst>
                    </a:blip>
                    <a:stretch>
                      <a:fillRect/>
                    </a:stretch>
                  </pic:blipFill>
                  <pic:spPr>
                    <a:xfrm>
                      <a:off x="0" y="0"/>
                      <a:ext cx="4319091" cy="3902400"/>
                    </a:xfrm>
                    <a:prstGeom prst="rect">
                      <a:avLst/>
                    </a:prstGeom>
                  </pic:spPr>
                </pic:pic>
              </a:graphicData>
            </a:graphic>
          </wp:inline>
        </w:drawing>
      </w:r>
    </w:p>
    <w:p w14:paraId="192B87F5" w14:textId="77777777" w:rsidR="00F87843" w:rsidRPr="00A93D8C" w:rsidRDefault="006365D0" w:rsidP="00F87843">
      <w:pPr>
        <w:spacing w:before="0"/>
        <w:rPr>
          <w:i/>
          <w:vanish/>
          <w:specVanish/>
        </w:rPr>
      </w:pPr>
      <w:bookmarkStart w:id="1231" w:name="_Ref410211598"/>
      <w:bookmarkStart w:id="1232" w:name="_Toc516053418"/>
      <w:bookmarkStart w:id="1233" w:name="_Toc431493935"/>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208</w:t>
      </w:r>
      <w:r w:rsidR="00C506C7">
        <w:rPr>
          <w:noProof/>
        </w:rPr>
        <w:fldChar w:fldCharType="end"/>
      </w:r>
      <w:bookmarkEnd w:id="1231"/>
      <w:r>
        <w:t xml:space="preserve">. </w:t>
      </w:r>
      <w:r w:rsidRPr="006365D0">
        <w:rPr>
          <w:i/>
          <w:lang w:eastAsia="en-AU"/>
        </w:rPr>
        <w:t xml:space="preserve">Elemental ratios (atomic) of seagrass leaf tissue C:N for </w:t>
      </w:r>
      <w:r w:rsidRPr="006365D0">
        <w:rPr>
          <w:i/>
        </w:rPr>
        <w:t xml:space="preserve">the foundation seagrass species examined at each </w:t>
      </w:r>
      <w:r>
        <w:rPr>
          <w:i/>
        </w:rPr>
        <w:t xml:space="preserve">habitat and </w:t>
      </w:r>
      <w:r w:rsidRPr="006365D0">
        <w:rPr>
          <w:i/>
        </w:rPr>
        <w:t xml:space="preserve">location in the </w:t>
      </w:r>
      <w:r>
        <w:rPr>
          <w:i/>
        </w:rPr>
        <w:t>Wet Tropics</w:t>
      </w:r>
      <w:r w:rsidRPr="006365D0">
        <w:rPr>
          <w:i/>
        </w:rPr>
        <w:t xml:space="preserve"> region</w:t>
      </w:r>
      <w:r w:rsidRPr="006365D0">
        <w:rPr>
          <w:i/>
          <w:lang w:eastAsia="en-AU"/>
        </w:rPr>
        <w:t xml:space="preserve"> each year</w:t>
      </w:r>
      <w:bookmarkEnd w:id="1232"/>
    </w:p>
    <w:p w14:paraId="788A5B3D" w14:textId="0DE30977" w:rsidR="006365D0" w:rsidRPr="009C7692" w:rsidRDefault="006365D0" w:rsidP="009C7692">
      <w:pPr>
        <w:jc w:val="center"/>
        <w:rPr>
          <w:i/>
          <w:vanish/>
          <w:color w:val="000000"/>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33"/>
    </w:p>
    <w:p w14:paraId="6EDB2593" w14:textId="77777777" w:rsidR="00F1783F" w:rsidRDefault="00F1783F" w:rsidP="006365D0">
      <w:pPr>
        <w:rPr>
          <w:szCs w:val="22"/>
        </w:rPr>
      </w:pPr>
    </w:p>
    <w:p w14:paraId="683D6053" w14:textId="5BFE2DBB" w:rsidR="00F1783F" w:rsidRPr="006365D0" w:rsidRDefault="00164F9B" w:rsidP="006365D0">
      <w:pPr>
        <w:keepNext/>
        <w:jc w:val="center"/>
      </w:pPr>
      <w:r>
        <w:rPr>
          <w:noProof/>
          <w:lang w:eastAsia="en-AU"/>
        </w:rPr>
        <w:drawing>
          <wp:inline distT="0" distB="0" distL="0" distR="0" wp14:anchorId="412D3B18" wp14:editId="2FB585D6">
            <wp:extent cx="2880000" cy="2472058"/>
            <wp:effectExtent l="0" t="0" r="0" b="4445"/>
            <wp:docPr id="10169" name="Picture 10169" descr="Set of line and point graphs showing trends in elemental ratios of seagrass leaf tissue N:P and C:P for the foundation seagrass species examined at coastal seagrass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9" name="WT_CNP_coast_yr_Dec16.png"/>
                    <pic:cNvPicPr/>
                  </pic:nvPicPr>
                  <pic:blipFill>
                    <a:blip r:embed="rId301">
                      <a:extLst>
                        <a:ext uri="{28A0092B-C50C-407E-A947-70E740481C1C}">
                          <a14:useLocalDpi xmlns:a14="http://schemas.microsoft.com/office/drawing/2010/main" val="0"/>
                        </a:ext>
                      </a:extLst>
                    </a:blip>
                    <a:stretch>
                      <a:fillRect/>
                    </a:stretch>
                  </pic:blipFill>
                  <pic:spPr>
                    <a:xfrm>
                      <a:off x="0" y="0"/>
                      <a:ext cx="2880000" cy="2472058"/>
                    </a:xfrm>
                    <a:prstGeom prst="rect">
                      <a:avLst/>
                    </a:prstGeom>
                  </pic:spPr>
                </pic:pic>
              </a:graphicData>
            </a:graphic>
          </wp:inline>
        </w:drawing>
      </w:r>
    </w:p>
    <w:p w14:paraId="3F0980FD" w14:textId="77777777" w:rsidR="00F87843" w:rsidRPr="00A93D8C" w:rsidRDefault="006365D0" w:rsidP="00F87843">
      <w:pPr>
        <w:spacing w:before="0"/>
        <w:rPr>
          <w:i/>
          <w:vanish/>
          <w:specVanish/>
        </w:rPr>
      </w:pPr>
      <w:bookmarkStart w:id="1234" w:name="_Ref410215624"/>
      <w:bookmarkStart w:id="1235" w:name="_Toc516053419"/>
      <w:bookmarkStart w:id="1236" w:name="_Toc431493936"/>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209</w:t>
      </w:r>
      <w:r w:rsidR="00C506C7">
        <w:rPr>
          <w:noProof/>
        </w:rPr>
        <w:fldChar w:fldCharType="end"/>
      </w:r>
      <w:bookmarkEnd w:id="1234"/>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intertidal coastal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35"/>
    </w:p>
    <w:p w14:paraId="01AC88DF" w14:textId="45FF16BE" w:rsidR="006365D0" w:rsidRPr="009C7692" w:rsidRDefault="006365D0" w:rsidP="009C7692">
      <w:pPr>
        <w:jc w:val="center"/>
        <w:rPr>
          <w:i/>
          <w:vanish/>
          <w:color w:val="000000"/>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36"/>
    </w:p>
    <w:p w14:paraId="530B96D2" w14:textId="15EEA301" w:rsidR="00F1783F" w:rsidRPr="006365D0" w:rsidRDefault="00164F9B" w:rsidP="006365D0">
      <w:pPr>
        <w:keepNext/>
        <w:jc w:val="center"/>
      </w:pPr>
      <w:r>
        <w:rPr>
          <w:noProof/>
          <w:lang w:eastAsia="en-AU"/>
        </w:rPr>
        <w:drawing>
          <wp:inline distT="0" distB="0" distL="0" distR="0" wp14:anchorId="7EF00D64" wp14:editId="5259C293">
            <wp:extent cx="4316033" cy="2538000"/>
            <wp:effectExtent l="0" t="0" r="8890" b="0"/>
            <wp:docPr id="10170" name="Picture 10170" descr="Set of line and point graphs showing trends in elemental ratios of seagrass leaf tissue N:P and C:P for the foundation seagrass species examined at intertidal reef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0" name="WT_CNP_loc_yr_Dec16.png"/>
                    <pic:cNvPicPr/>
                  </pic:nvPicPr>
                  <pic:blipFill>
                    <a:blip r:embed="rId302">
                      <a:extLst>
                        <a:ext uri="{28A0092B-C50C-407E-A947-70E740481C1C}">
                          <a14:useLocalDpi xmlns:a14="http://schemas.microsoft.com/office/drawing/2010/main" val="0"/>
                        </a:ext>
                      </a:extLst>
                    </a:blip>
                    <a:stretch>
                      <a:fillRect/>
                    </a:stretch>
                  </pic:blipFill>
                  <pic:spPr>
                    <a:xfrm>
                      <a:off x="0" y="0"/>
                      <a:ext cx="4316033" cy="2538000"/>
                    </a:xfrm>
                    <a:prstGeom prst="rect">
                      <a:avLst/>
                    </a:prstGeom>
                  </pic:spPr>
                </pic:pic>
              </a:graphicData>
            </a:graphic>
          </wp:inline>
        </w:drawing>
      </w:r>
    </w:p>
    <w:p w14:paraId="6175E2BB" w14:textId="77777777" w:rsidR="00F87843" w:rsidRPr="00A93D8C" w:rsidRDefault="006365D0" w:rsidP="00F87843">
      <w:pPr>
        <w:spacing w:before="0"/>
        <w:rPr>
          <w:i/>
          <w:vanish/>
          <w:specVanish/>
        </w:rPr>
      </w:pPr>
      <w:bookmarkStart w:id="1237" w:name="_Ref410215626"/>
      <w:bookmarkStart w:id="1238" w:name="_Toc516053420"/>
      <w:bookmarkStart w:id="1239" w:name="_Toc431493937"/>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210</w:t>
      </w:r>
      <w:r w:rsidR="00C506C7">
        <w:rPr>
          <w:noProof/>
        </w:rPr>
        <w:fldChar w:fldCharType="end"/>
      </w:r>
      <w:bookmarkEnd w:id="1237"/>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intertidal reef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38"/>
    </w:p>
    <w:p w14:paraId="3C64B130" w14:textId="053CB4BE" w:rsidR="00F1783F" w:rsidRPr="009C7692" w:rsidRDefault="006365D0" w:rsidP="009C7692">
      <w:pPr>
        <w:jc w:val="center"/>
        <w:rPr>
          <w:i/>
          <w:vanish/>
          <w:color w:val="000000"/>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39"/>
    </w:p>
    <w:p w14:paraId="7DEE48B0" w14:textId="77777777" w:rsidR="006365D0" w:rsidRDefault="006365D0" w:rsidP="00F1783F">
      <w:pPr>
        <w:rPr>
          <w:b/>
          <w:szCs w:val="22"/>
        </w:rPr>
      </w:pPr>
    </w:p>
    <w:p w14:paraId="3967885E" w14:textId="77777777" w:rsidR="006365D0" w:rsidRDefault="006365D0" w:rsidP="00F1783F">
      <w:pPr>
        <w:rPr>
          <w:szCs w:val="22"/>
        </w:rPr>
      </w:pPr>
    </w:p>
    <w:p w14:paraId="53E73E83" w14:textId="728449BC" w:rsidR="00F1783F" w:rsidRPr="006365D0" w:rsidRDefault="00164F9B" w:rsidP="006365D0">
      <w:pPr>
        <w:keepNext/>
        <w:jc w:val="center"/>
      </w:pPr>
      <w:r>
        <w:rPr>
          <w:noProof/>
          <w:lang w:eastAsia="en-AU"/>
        </w:rPr>
        <w:drawing>
          <wp:inline distT="0" distB="0" distL="0" distR="0" wp14:anchorId="580DAAE8" wp14:editId="53E4D135">
            <wp:extent cx="4316033" cy="2538000"/>
            <wp:effectExtent l="0" t="0" r="8890" b="0"/>
            <wp:docPr id="10171" name="Picture 10171" descr="Set of line and point graphs showing trends in elemental ratios of seagrass leaf tissue N:P and C:P for the foundation seagrass species examined at intertidal reef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1" name="WT_CNP_sub_yr_Dec16.png"/>
                    <pic:cNvPicPr/>
                  </pic:nvPicPr>
                  <pic:blipFill>
                    <a:blip r:embed="rId303">
                      <a:extLst>
                        <a:ext uri="{28A0092B-C50C-407E-A947-70E740481C1C}">
                          <a14:useLocalDpi xmlns:a14="http://schemas.microsoft.com/office/drawing/2010/main" val="0"/>
                        </a:ext>
                      </a:extLst>
                    </a:blip>
                    <a:stretch>
                      <a:fillRect/>
                    </a:stretch>
                  </pic:blipFill>
                  <pic:spPr>
                    <a:xfrm>
                      <a:off x="0" y="0"/>
                      <a:ext cx="4316033" cy="2538000"/>
                    </a:xfrm>
                    <a:prstGeom prst="rect">
                      <a:avLst/>
                    </a:prstGeom>
                  </pic:spPr>
                </pic:pic>
              </a:graphicData>
            </a:graphic>
          </wp:inline>
        </w:drawing>
      </w:r>
    </w:p>
    <w:p w14:paraId="6956028D" w14:textId="474FB578" w:rsidR="00CE1FF0" w:rsidRPr="00517276" w:rsidRDefault="006365D0" w:rsidP="00CE1FF0">
      <w:pPr>
        <w:jc w:val="center"/>
        <w:rPr>
          <w:i/>
          <w:vanish/>
          <w:color w:val="000000"/>
          <w:szCs w:val="22"/>
          <w:specVanish/>
        </w:rPr>
      </w:pPr>
      <w:bookmarkStart w:id="1240" w:name="_Ref410219026"/>
      <w:bookmarkStart w:id="1241" w:name="_Toc516053421"/>
      <w:bookmarkStart w:id="1242" w:name="_Toc431493938"/>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211</w:t>
      </w:r>
      <w:r w:rsidR="00C506C7">
        <w:rPr>
          <w:noProof/>
        </w:rPr>
        <w:fldChar w:fldCharType="end"/>
      </w:r>
      <w:bookmarkEnd w:id="1240"/>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subtidal reef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41"/>
    </w:p>
    <w:p w14:paraId="23ACC8B2" w14:textId="3C250842" w:rsidR="00F1783F"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42"/>
    </w:p>
    <w:p w14:paraId="369C169A" w14:textId="77777777" w:rsidR="00F1783F" w:rsidRDefault="00F1783F" w:rsidP="00F1783F">
      <w:pPr>
        <w:rPr>
          <w:szCs w:val="22"/>
        </w:rPr>
      </w:pPr>
    </w:p>
    <w:p w14:paraId="1D1BE5CB" w14:textId="34741E63" w:rsidR="00F1783F" w:rsidRPr="006365D0" w:rsidRDefault="008C4A96" w:rsidP="006365D0">
      <w:pPr>
        <w:keepNext/>
        <w:jc w:val="center"/>
      </w:pPr>
      <w:r>
        <w:rPr>
          <w:noProof/>
          <w:lang w:eastAsia="en-AU"/>
        </w:rPr>
        <w:drawing>
          <wp:inline distT="0" distB="0" distL="0" distR="0" wp14:anchorId="65BE8F0F" wp14:editId="3913D734">
            <wp:extent cx="5611505" cy="3686325"/>
            <wp:effectExtent l="0" t="0" r="8255" b="9525"/>
            <wp:docPr id="10172" name="Picture 10172" descr="Set of line and point graphs showing trends in elemental ratios of seagrass leaf tissue C:N, N:P and C:P for the foundation seagrass species examined at each habitat and location in the Burdekin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2" name="B_CNP_loc_yr_Dec16.png"/>
                    <pic:cNvPicPr/>
                  </pic:nvPicPr>
                  <pic:blipFill>
                    <a:blip r:embed="rId304">
                      <a:extLst>
                        <a:ext uri="{28A0092B-C50C-407E-A947-70E740481C1C}">
                          <a14:useLocalDpi xmlns:a14="http://schemas.microsoft.com/office/drawing/2010/main" val="0"/>
                        </a:ext>
                      </a:extLst>
                    </a:blip>
                    <a:stretch>
                      <a:fillRect/>
                    </a:stretch>
                  </pic:blipFill>
                  <pic:spPr>
                    <a:xfrm>
                      <a:off x="0" y="0"/>
                      <a:ext cx="5611852" cy="3686553"/>
                    </a:xfrm>
                    <a:prstGeom prst="rect">
                      <a:avLst/>
                    </a:prstGeom>
                  </pic:spPr>
                </pic:pic>
              </a:graphicData>
            </a:graphic>
          </wp:inline>
        </w:drawing>
      </w:r>
    </w:p>
    <w:p w14:paraId="6824584F" w14:textId="77777777" w:rsidR="00F87843" w:rsidRPr="00A93D8C" w:rsidRDefault="00D81E7E" w:rsidP="00F87843">
      <w:pPr>
        <w:spacing w:before="0"/>
        <w:rPr>
          <w:i/>
          <w:vanish/>
          <w:specVanish/>
        </w:rPr>
      </w:pPr>
      <w:bookmarkStart w:id="1243" w:name="_Ref410222201"/>
      <w:bookmarkStart w:id="1244" w:name="_Toc516053422"/>
      <w:bookmarkStart w:id="1245" w:name="_Toc431493939"/>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212</w:t>
      </w:r>
      <w:r w:rsidR="00C506C7">
        <w:rPr>
          <w:noProof/>
        </w:rPr>
        <w:fldChar w:fldCharType="end"/>
      </w:r>
      <w:bookmarkEnd w:id="1243"/>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w:t>
      </w:r>
      <w:r>
        <w:rPr>
          <w:i/>
        </w:rPr>
        <w:t>habitat and</w:t>
      </w:r>
      <w:r w:rsidRPr="006365D0">
        <w:rPr>
          <w:i/>
        </w:rPr>
        <w:t xml:space="preserve"> location in the </w:t>
      </w:r>
      <w:r>
        <w:rPr>
          <w:i/>
        </w:rPr>
        <w:t>Burdekin</w:t>
      </w:r>
      <w:r w:rsidRPr="006365D0">
        <w:rPr>
          <w:i/>
        </w:rPr>
        <w:t xml:space="preserve"> region</w:t>
      </w:r>
      <w:r w:rsidRPr="006365D0">
        <w:rPr>
          <w:i/>
          <w:lang w:eastAsia="en-AU"/>
        </w:rPr>
        <w:t xml:space="preserve"> each year</w:t>
      </w:r>
      <w:bookmarkEnd w:id="1244"/>
    </w:p>
    <w:p w14:paraId="2FC9FB70" w14:textId="50DAE267" w:rsidR="00F1783F" w:rsidRPr="009C7692" w:rsidRDefault="00D81E7E" w:rsidP="009C7692">
      <w:pPr>
        <w:jc w:val="center"/>
        <w:rPr>
          <w:i/>
          <w:vanish/>
          <w:color w:val="000000"/>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bookmarkEnd w:id="1245"/>
    </w:p>
    <w:p w14:paraId="435A5F47" w14:textId="29990DB2" w:rsidR="00620C8B" w:rsidRDefault="008C4A96" w:rsidP="00F87843">
      <w:pPr>
        <w:keepNext/>
        <w:widowControl w:val="0"/>
        <w:jc w:val="center"/>
        <w:rPr>
          <w:szCs w:val="22"/>
        </w:rPr>
      </w:pPr>
      <w:r>
        <w:rPr>
          <w:noProof/>
          <w:szCs w:val="22"/>
          <w:lang w:eastAsia="en-AU"/>
        </w:rPr>
        <w:drawing>
          <wp:inline distT="0" distB="0" distL="0" distR="0" wp14:anchorId="6FAF2AD2" wp14:editId="7F27DE2E">
            <wp:extent cx="2880000" cy="3619914"/>
            <wp:effectExtent l="0" t="0" r="0" b="0"/>
            <wp:docPr id="10173" name="Picture 10173" descr="Set of line and point graphs showing trends in elemental ratios of seagrass leaf tissue C:N, N:P and C:P for the foundation seagrass species examined at each habitat and location in the Mackay Whitsunday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3" name="MW_CNP_coast_yr_Dec16.png"/>
                    <pic:cNvPicPr/>
                  </pic:nvPicPr>
                  <pic:blipFill>
                    <a:blip r:embed="rId305">
                      <a:extLst>
                        <a:ext uri="{28A0092B-C50C-407E-A947-70E740481C1C}">
                          <a14:useLocalDpi xmlns:a14="http://schemas.microsoft.com/office/drawing/2010/main" val="0"/>
                        </a:ext>
                      </a:extLst>
                    </a:blip>
                    <a:stretch>
                      <a:fillRect/>
                    </a:stretch>
                  </pic:blipFill>
                  <pic:spPr>
                    <a:xfrm>
                      <a:off x="0" y="0"/>
                      <a:ext cx="2880000" cy="3619914"/>
                    </a:xfrm>
                    <a:prstGeom prst="rect">
                      <a:avLst/>
                    </a:prstGeom>
                  </pic:spPr>
                </pic:pic>
              </a:graphicData>
            </a:graphic>
          </wp:inline>
        </w:drawing>
      </w:r>
    </w:p>
    <w:p w14:paraId="7D05F1A5" w14:textId="5CBE4FD0" w:rsidR="00CE1FF0" w:rsidRPr="00517276" w:rsidRDefault="00620C8B" w:rsidP="00CE1FF0">
      <w:pPr>
        <w:jc w:val="center"/>
        <w:rPr>
          <w:i/>
          <w:vanish/>
          <w:color w:val="000000"/>
          <w:szCs w:val="22"/>
          <w:specVanish/>
        </w:rPr>
      </w:pPr>
      <w:bookmarkStart w:id="1246" w:name="_Toc516053423"/>
      <w:r>
        <w:t xml:space="preserve">Figure </w:t>
      </w:r>
      <w:r w:rsidR="00C506C7">
        <w:rPr>
          <w:noProof/>
        </w:rPr>
        <w:fldChar w:fldCharType="begin"/>
      </w:r>
      <w:r w:rsidR="00C506C7">
        <w:rPr>
          <w:noProof/>
        </w:rPr>
        <w:instrText xml:space="preserve"> SEQ Figure \* ARABIC </w:instrText>
      </w:r>
      <w:r w:rsidR="00C506C7">
        <w:rPr>
          <w:noProof/>
        </w:rPr>
        <w:fldChar w:fldCharType="separate"/>
      </w:r>
      <w:r w:rsidR="00F87DF9">
        <w:rPr>
          <w:noProof/>
        </w:rPr>
        <w:t>213</w:t>
      </w:r>
      <w:r w:rsidR="00C506C7">
        <w:rPr>
          <w:noProof/>
        </w:rPr>
        <w:fldChar w:fldCharType="end"/>
      </w:r>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w:t>
      </w:r>
      <w:r>
        <w:rPr>
          <w:i/>
        </w:rPr>
        <w:t>coastal</w:t>
      </w:r>
      <w:r w:rsidRPr="006365D0">
        <w:rPr>
          <w:i/>
        </w:rPr>
        <w:t xml:space="preserve"> </w:t>
      </w:r>
      <w:r>
        <w:rPr>
          <w:i/>
        </w:rPr>
        <w:t xml:space="preserve">habitats </w:t>
      </w:r>
      <w:r w:rsidRPr="006365D0">
        <w:rPr>
          <w:i/>
        </w:rPr>
        <w:t xml:space="preserve">in the </w:t>
      </w:r>
      <w:r>
        <w:rPr>
          <w:i/>
        </w:rPr>
        <w:t>Mackay Whitsunday</w:t>
      </w:r>
      <w:r w:rsidRPr="006365D0">
        <w:rPr>
          <w:i/>
        </w:rPr>
        <w:t xml:space="preserve"> region</w:t>
      </w:r>
      <w:r w:rsidRPr="006365D0">
        <w:rPr>
          <w:i/>
          <w:lang w:eastAsia="en-AU"/>
        </w:rPr>
        <w:t xml:space="preserve"> each year</w:t>
      </w:r>
      <w:bookmarkEnd w:id="1246"/>
    </w:p>
    <w:p w14:paraId="68143263" w14:textId="5C780F29" w:rsidR="00620C8B" w:rsidRDefault="00620C8B" w:rsidP="00620C8B">
      <w:pPr>
        <w:rPr>
          <w:szCs w:val="22"/>
        </w:rPr>
      </w:pPr>
      <w:r w:rsidRPr="006365D0">
        <w:rPr>
          <w:i/>
          <w:lang w:eastAsia="en-AU"/>
        </w:rPr>
        <w:t xml:space="preserve"> (species pooled) </w:t>
      </w:r>
      <w:r w:rsidRPr="006365D0">
        <w:rPr>
          <w:i/>
        </w:rPr>
        <w:t>(mean</w:t>
      </w:r>
      <w:r w:rsidRPr="006365D0">
        <w:rPr>
          <w:i/>
          <w:lang w:eastAsia="en-AU"/>
        </w:rPr>
        <w:t xml:space="preserve"> ± </w:t>
      </w:r>
      <w:r w:rsidR="009C7692">
        <w:rPr>
          <w:i/>
          <w:lang w:eastAsia="en-AU"/>
        </w:rPr>
        <w:t>SE</w:t>
      </w:r>
      <w:r w:rsidRPr="006365D0">
        <w:rPr>
          <w:i/>
        </w:rPr>
        <w:t>)</w:t>
      </w:r>
      <w:r w:rsidRPr="006365D0">
        <w:rPr>
          <w:i/>
          <w:lang w:eastAsia="en-AU"/>
        </w:rPr>
        <w:t>.</w:t>
      </w:r>
    </w:p>
    <w:p w14:paraId="01B6E5F5" w14:textId="6DB14CA9" w:rsidR="00830213" w:rsidRPr="00EB666B" w:rsidRDefault="008C4A96" w:rsidP="00830213">
      <w:pPr>
        <w:keepNext/>
        <w:jc w:val="center"/>
        <w:rPr>
          <w:color w:val="000000"/>
        </w:rPr>
      </w:pPr>
      <w:r>
        <w:rPr>
          <w:noProof/>
          <w:color w:val="000000"/>
          <w:lang w:eastAsia="en-AU"/>
        </w:rPr>
        <w:drawing>
          <wp:inline distT="0" distB="0" distL="0" distR="0" wp14:anchorId="45D6D54C" wp14:editId="662D7FF9">
            <wp:extent cx="5758680" cy="3221355"/>
            <wp:effectExtent l="0" t="0" r="0" b="0"/>
            <wp:docPr id="10174" name="Picture 10174" descr="Set of line and point graphs showing trends in elemental ratios of seagrass leaf tissue C:N, N:P and C:P for the foundation seagrass species examined at each habitat and location in the Burnett Mary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 name="BM_CNP_loc_Dec16.png"/>
                    <pic:cNvPicPr/>
                  </pic:nvPicPr>
                  <pic:blipFill>
                    <a:blip r:embed="rId306">
                      <a:extLst>
                        <a:ext uri="{28A0092B-C50C-407E-A947-70E740481C1C}">
                          <a14:useLocalDpi xmlns:a14="http://schemas.microsoft.com/office/drawing/2010/main" val="0"/>
                        </a:ext>
                      </a:extLst>
                    </a:blip>
                    <a:stretch>
                      <a:fillRect/>
                    </a:stretch>
                  </pic:blipFill>
                  <pic:spPr>
                    <a:xfrm>
                      <a:off x="0" y="0"/>
                      <a:ext cx="5758680" cy="3221355"/>
                    </a:xfrm>
                    <a:prstGeom prst="rect">
                      <a:avLst/>
                    </a:prstGeom>
                  </pic:spPr>
                </pic:pic>
              </a:graphicData>
            </a:graphic>
          </wp:inline>
        </w:drawing>
      </w:r>
    </w:p>
    <w:p w14:paraId="2B11C417" w14:textId="77777777" w:rsidR="00F87843" w:rsidRPr="00A93D8C" w:rsidRDefault="00830213" w:rsidP="00F87843">
      <w:pPr>
        <w:spacing w:before="0"/>
        <w:rPr>
          <w:i/>
          <w:vanish/>
          <w:specVanish/>
        </w:rPr>
      </w:pPr>
      <w:bookmarkStart w:id="1247" w:name="_Ref271135628"/>
      <w:bookmarkStart w:id="1248" w:name="_Toc431493940"/>
      <w:bookmarkStart w:id="1249" w:name="_Toc516053424"/>
      <w:r w:rsidRPr="00EB666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F87DF9">
        <w:rPr>
          <w:noProof/>
          <w:color w:val="000000"/>
        </w:rPr>
        <w:t>214</w:t>
      </w:r>
      <w:r w:rsidR="0073595B">
        <w:rPr>
          <w:color w:val="000000"/>
        </w:rPr>
        <w:fldChar w:fldCharType="end"/>
      </w:r>
      <w:bookmarkEnd w:id="1247"/>
      <w:r w:rsidRPr="00EB666B">
        <w:rPr>
          <w:color w:val="000000"/>
        </w:rPr>
        <w:t xml:space="preserve">. </w:t>
      </w:r>
      <w:r w:rsidRPr="006624EF">
        <w:rPr>
          <w:i/>
          <w:color w:val="000000"/>
          <w:lang w:eastAsia="en-AU"/>
        </w:rPr>
        <w:t xml:space="preserve">Elemental ratios (atomic) of seagrass leaf tissue C:N for </w:t>
      </w:r>
      <w:r w:rsidRPr="006624EF">
        <w:rPr>
          <w:i/>
          <w:color w:val="000000"/>
        </w:rPr>
        <w:t>the foundation seagrass species examined at each habitat in the Burnett Mary region</w:t>
      </w:r>
      <w:r w:rsidRPr="006624EF">
        <w:rPr>
          <w:i/>
          <w:color w:val="000000"/>
          <w:lang w:eastAsia="en-AU"/>
        </w:rPr>
        <w:t xml:space="preserve"> each year</w:t>
      </w:r>
      <w:bookmarkEnd w:id="1248"/>
      <w:bookmarkEnd w:id="1249"/>
    </w:p>
    <w:p w14:paraId="0B31DE1B" w14:textId="158D897F" w:rsidR="00830213" w:rsidRPr="009C7692" w:rsidRDefault="00830213" w:rsidP="006624EF">
      <w:pPr>
        <w:rPr>
          <w:i/>
          <w:vanish/>
          <w:color w:val="000000"/>
          <w:szCs w:val="22"/>
        </w:rPr>
      </w:pPr>
      <w:r w:rsidRPr="006624EF">
        <w:rPr>
          <w:i/>
          <w:lang w:eastAsia="en-AU"/>
        </w:rPr>
        <w:t xml:space="preserve"> (species pooled) </w:t>
      </w:r>
      <w:r w:rsidRPr="006624EF">
        <w:rPr>
          <w:i/>
        </w:rPr>
        <w:t>(mean</w:t>
      </w:r>
      <w:r w:rsidRPr="006624EF">
        <w:rPr>
          <w:i/>
          <w:lang w:eastAsia="en-AU"/>
        </w:rPr>
        <w:t xml:space="preserve"> ± </w:t>
      </w:r>
      <w:r w:rsidR="009C7692">
        <w:rPr>
          <w:i/>
          <w:lang w:eastAsia="en-AU"/>
        </w:rPr>
        <w:t>SE</w:t>
      </w:r>
      <w:r w:rsidRPr="006624EF">
        <w:rPr>
          <w:i/>
        </w:rPr>
        <w:t>)</w:t>
      </w:r>
      <w:r w:rsidRPr="006624EF">
        <w:rPr>
          <w:i/>
          <w:lang w:eastAsia="en-AU"/>
        </w:rPr>
        <w:t xml:space="preserve">. </w:t>
      </w:r>
    </w:p>
    <w:p w14:paraId="13225EEB" w14:textId="2655881E" w:rsidR="00F1783F" w:rsidRDefault="00F1783F" w:rsidP="00D3769B">
      <w:pPr>
        <w:ind w:left="540" w:hanging="540"/>
        <w:rPr>
          <w:color w:val="000000"/>
          <w:lang w:val="en-GB"/>
        </w:rPr>
      </w:pPr>
    </w:p>
    <w:p w14:paraId="3A53BBF1" w14:textId="0D81FDC1" w:rsidR="00F125BC" w:rsidRDefault="00F125BC" w:rsidP="00D3769B">
      <w:pPr>
        <w:ind w:left="540" w:hanging="540"/>
        <w:rPr>
          <w:color w:val="000000"/>
          <w:lang w:val="en-GB"/>
        </w:rPr>
      </w:pPr>
    </w:p>
    <w:p w14:paraId="3AE692C5" w14:textId="1FC31F6E" w:rsidR="00F125BC" w:rsidRDefault="00F125BC" w:rsidP="00D3769B">
      <w:pPr>
        <w:ind w:left="540" w:hanging="540"/>
        <w:rPr>
          <w:color w:val="000000"/>
          <w:lang w:val="en-GB"/>
        </w:rPr>
      </w:pPr>
    </w:p>
    <w:p w14:paraId="1B9981E0" w14:textId="77777777" w:rsidR="00F125BC" w:rsidRDefault="00F125BC" w:rsidP="00D3769B">
      <w:pPr>
        <w:ind w:left="540" w:hanging="540"/>
        <w:rPr>
          <w:color w:val="000000"/>
          <w:lang w:val="en-GB"/>
        </w:rPr>
      </w:pPr>
    </w:p>
    <w:p w14:paraId="28A01E30" w14:textId="77777777" w:rsidR="00620C8B" w:rsidRDefault="00620C8B">
      <w:pPr>
        <w:spacing w:before="0" w:after="0"/>
        <w:rPr>
          <w:color w:val="000000"/>
          <w:szCs w:val="22"/>
          <w:lang w:val="en-GB"/>
        </w:rPr>
      </w:pPr>
      <w:r>
        <w:rPr>
          <w:color w:val="000000"/>
          <w:lang w:val="en-GB"/>
        </w:rPr>
        <w:br w:type="page"/>
      </w:r>
    </w:p>
    <w:p w14:paraId="21B2CF7C" w14:textId="77777777" w:rsidR="00620C8B" w:rsidRDefault="00620C8B" w:rsidP="00620C8B">
      <w:pPr>
        <w:ind w:left="540" w:hanging="540"/>
        <w:rPr>
          <w:color w:val="000000"/>
        </w:rPr>
      </w:pPr>
    </w:p>
    <w:p w14:paraId="63CE9CCA" w14:textId="537AB56D" w:rsidR="00620C8B" w:rsidRDefault="00620C8B" w:rsidP="00AA4BF5">
      <w:pPr>
        <w:jc w:val="center"/>
        <w:rPr>
          <w:vanish/>
          <w:szCs w:val="22"/>
          <w:specVanish/>
        </w:rPr>
      </w:pPr>
      <w:bookmarkStart w:id="1250" w:name="_Ref442529366"/>
      <w:bookmarkStart w:id="1251" w:name="_Ref499715079"/>
      <w:bookmarkStart w:id="1252" w:name="_Toc516053478"/>
      <w:r>
        <w:rPr>
          <w:szCs w:val="22"/>
        </w:rPr>
        <w:t xml:space="preserve">Table </w:t>
      </w:r>
      <w:r>
        <w:fldChar w:fldCharType="begin"/>
      </w:r>
      <w:r>
        <w:rPr>
          <w:szCs w:val="22"/>
        </w:rPr>
        <w:instrText xml:space="preserve"> SEQ Table \* ARABIC </w:instrText>
      </w:r>
      <w:r>
        <w:fldChar w:fldCharType="separate"/>
      </w:r>
      <w:r w:rsidR="00F87DF9">
        <w:rPr>
          <w:noProof/>
          <w:szCs w:val="22"/>
        </w:rPr>
        <w:t>54</w:t>
      </w:r>
      <w:r>
        <w:fldChar w:fldCharType="end"/>
      </w:r>
      <w:bookmarkEnd w:id="1250"/>
      <w:r>
        <w:rPr>
          <w:szCs w:val="22"/>
        </w:rPr>
        <w:t xml:space="preserve">. </w:t>
      </w:r>
      <w:r w:rsidR="009272D7">
        <w:rPr>
          <w:i/>
          <w:szCs w:val="22"/>
          <w:lang w:val="en-US"/>
        </w:rPr>
        <w:t>Seagrass leaf tissue nutrient and</w:t>
      </w:r>
      <w:r>
        <w:rPr>
          <w:i/>
          <w:szCs w:val="22"/>
          <w:lang w:val="en-US"/>
        </w:rPr>
        <w:t xml:space="preserve"> </w:t>
      </w:r>
      <w:r>
        <w:rPr>
          <w:i/>
          <w:szCs w:val="22"/>
        </w:rPr>
        <w:t>δ</w:t>
      </w:r>
      <w:r>
        <w:rPr>
          <w:i/>
          <w:szCs w:val="22"/>
          <w:vertAlign w:val="superscript"/>
        </w:rPr>
        <w:t>13</w:t>
      </w:r>
      <w:r>
        <w:rPr>
          <w:i/>
          <w:szCs w:val="22"/>
        </w:rPr>
        <w:t>C</w:t>
      </w:r>
      <w:r>
        <w:rPr>
          <w:i/>
          <w:szCs w:val="22"/>
          <w:lang w:val="en-US"/>
        </w:rPr>
        <w:t xml:space="preserve"> and </w:t>
      </w:r>
      <w:r>
        <w:rPr>
          <w:i/>
          <w:szCs w:val="22"/>
        </w:rPr>
        <w:t>δ</w:t>
      </w:r>
      <w:r>
        <w:rPr>
          <w:i/>
          <w:szCs w:val="22"/>
          <w:vertAlign w:val="superscript"/>
        </w:rPr>
        <w:t>15</w:t>
      </w:r>
      <w:r>
        <w:rPr>
          <w:i/>
          <w:szCs w:val="22"/>
        </w:rPr>
        <w:t>N</w:t>
      </w:r>
      <w:r>
        <w:rPr>
          <w:i/>
          <w:szCs w:val="22"/>
          <w:lang w:val="en-US"/>
        </w:rPr>
        <w:t xml:space="preserve"> concentrations </w:t>
      </w:r>
      <w:r w:rsidR="009272D7">
        <w:rPr>
          <w:i/>
          <w:szCs w:val="22"/>
          <w:lang w:val="en-US"/>
        </w:rPr>
        <w:t>measured</w:t>
      </w:r>
      <w:r>
        <w:rPr>
          <w:i/>
          <w:szCs w:val="22"/>
          <w:lang w:val="en-US"/>
        </w:rPr>
        <w:t xml:space="preserve"> in the late dry </w:t>
      </w:r>
      <w:r w:rsidR="009272D7">
        <w:rPr>
          <w:i/>
          <w:szCs w:val="22"/>
          <w:lang w:val="en-US"/>
        </w:rPr>
        <w:t xml:space="preserve">from </w:t>
      </w:r>
      <w:r>
        <w:rPr>
          <w:i/>
          <w:szCs w:val="22"/>
          <w:lang w:val="en-US"/>
        </w:rPr>
        <w:t>2011 to 2014</w:t>
      </w:r>
      <w:r w:rsidR="009272D7">
        <w:rPr>
          <w:i/>
          <w:szCs w:val="22"/>
          <w:lang w:val="en-US"/>
        </w:rPr>
        <w:t xml:space="preserve"> in each fo the NRMs</w:t>
      </w:r>
      <w:r>
        <w:rPr>
          <w:i/>
          <w:szCs w:val="22"/>
          <w:lang w:val="en-US"/>
        </w:rPr>
        <w:t>.</w:t>
      </w:r>
      <w:bookmarkEnd w:id="1251"/>
      <w:bookmarkEnd w:id="1252"/>
    </w:p>
    <w:p w14:paraId="6E3754C3" w14:textId="6D2A38B9" w:rsidR="00722B14" w:rsidRDefault="00620C8B" w:rsidP="00722B14">
      <w:pPr>
        <w:jc w:val="center"/>
        <w:rPr>
          <w:lang w:val="en-GB"/>
        </w:rPr>
      </w:pPr>
      <w:r>
        <w:rPr>
          <w:i/>
          <w:szCs w:val="22"/>
          <w:lang w:val="en-US"/>
        </w:rPr>
        <w:t xml:space="preserve">Leaf tissues with </w:t>
      </w:r>
      <w:r>
        <w:rPr>
          <w:i/>
          <w:szCs w:val="22"/>
        </w:rPr>
        <w:t xml:space="preserve">low </w:t>
      </w:r>
      <w:r w:rsidR="0063478C">
        <w:rPr>
          <w:i/>
          <w:szCs w:val="22"/>
        </w:rPr>
        <w:t xml:space="preserve"> per cent</w:t>
      </w:r>
      <w:r>
        <w:rPr>
          <w:i/>
          <w:szCs w:val="22"/>
        </w:rPr>
        <w:t>C (see Table 38), low C:N (&lt;20:1), and isotopically depleted δ</w:t>
      </w:r>
      <w:r>
        <w:rPr>
          <w:i/>
          <w:szCs w:val="22"/>
          <w:vertAlign w:val="superscript"/>
        </w:rPr>
        <w:t>13</w:t>
      </w:r>
      <w:r>
        <w:rPr>
          <w:i/>
          <w:szCs w:val="22"/>
        </w:rPr>
        <w:t>C may indicate that growth is light limited (Grice et al. 1996; Fourqurean et al. 2005). Global δ</w:t>
      </w:r>
      <w:r>
        <w:rPr>
          <w:i/>
          <w:szCs w:val="22"/>
          <w:vertAlign w:val="superscript"/>
        </w:rPr>
        <w:t>13</w:t>
      </w:r>
      <w:r>
        <w:rPr>
          <w:i/>
          <w:szCs w:val="22"/>
        </w:rPr>
        <w:t xml:space="preserve">C averages from </w:t>
      </w:r>
      <w:hyperlink w:anchor="_ENREF_116" w:tooltip="Hemminga, 1996 #5658" w:history="1">
        <w:r w:rsidR="00305FE7">
          <w:rPr>
            <w:i/>
            <w:szCs w:val="22"/>
          </w:rPr>
          <w:fldChar w:fldCharType="begin"/>
        </w:r>
        <w:r w:rsidR="00305FE7">
          <w:rPr>
            <w:i/>
            <w:szCs w:val="22"/>
          </w:rPr>
          <w:instrText xml:space="preserve"> ADDIN EN.CITE &lt;EndNote&gt;&lt;Cite&gt;&lt;Author&gt;Hemminga&lt;/Author&gt;&lt;Year&gt;1996&lt;/Year&gt;&lt;RecNum&gt;5658&lt;/RecNum&gt;&lt;DisplayText&gt;Hemminga and Mateo 1996&lt;/DisplayText&gt;&lt;record&gt;&lt;rec-number&gt;5658&lt;/rec-number&gt;&lt;foreign-keys&gt;&lt;key app="EN" db-id="0eve55x9y5vfd6e9dacxtew4eatve2dzds9a" timestamp="0"&gt;5658&lt;/key&gt;&lt;/foreign-keys&gt;&lt;ref-type name="Journal Article"&gt;17&lt;/ref-type&gt;&lt;contributors&gt;&lt;authors&gt;&lt;author&gt;Hemminga, M A&lt;/author&gt;&lt;author&gt;Mateo, M A&lt;/author&gt;&lt;/authors&gt;&lt;/contributors&gt;&lt;titles&gt;&lt;title&gt;Stable carbon isotopes in seagrasses: variability in ratios and use in ecological studies&lt;/title&gt;&lt;secondary-title&gt;Marine Ecology Progress Series&lt;/secondary-title&gt;&lt;/titles&gt;&lt;periodical&gt;&lt;full-title&gt;Marine Ecology Progress Series&lt;/full-title&gt;&lt;/periodical&gt;&lt;pages&gt;285-298&lt;/pages&gt;&lt;volume&gt;140&lt;/volume&gt;&lt;keywords&gt;&lt;keyword&gt;stable carbon isotopes, isotope signatures&lt;/keyword&gt;&lt;/keywords&gt;&lt;dates&gt;&lt;year&gt;1996&lt;/year&gt;&lt;/dates&gt;&lt;urls&gt;&lt;/urls&gt;&lt;/record&gt;&lt;/Cite&gt;&lt;/EndNote&gt;</w:instrText>
        </w:r>
        <w:r w:rsidR="00305FE7">
          <w:rPr>
            <w:i/>
            <w:szCs w:val="22"/>
          </w:rPr>
          <w:fldChar w:fldCharType="separate"/>
        </w:r>
        <w:r w:rsidR="00305FE7">
          <w:rPr>
            <w:i/>
            <w:noProof/>
            <w:szCs w:val="22"/>
          </w:rPr>
          <w:t>Hemminga and Mateo 1996</w:t>
        </w:r>
        <w:r w:rsidR="00305FE7">
          <w:rPr>
            <w:i/>
            <w:szCs w:val="22"/>
          </w:rPr>
          <w:fldChar w:fldCharType="end"/>
        </w:r>
      </w:hyperlink>
      <w:r>
        <w:rPr>
          <w:i/>
          <w:szCs w:val="22"/>
        </w:rPr>
        <w:t>). Shading indicates values lower than literature. CR=Cymodocea rotundata, EA=Enhalus acoroides, HO=Halophila ovalis, HS=Halophila spinulosa, HU=Halodule uninervis, TH=Thalassia hemprichii, ZM=Zostera muelleri.</w:t>
      </w:r>
      <w:r w:rsidR="00722B14" w:rsidRPr="00722B14">
        <w:rPr>
          <w:lang w:val="en-GB"/>
        </w:rPr>
        <w:t xml:space="preserve"> </w:t>
      </w:r>
    </w:p>
    <w:tbl>
      <w:tblPr>
        <w:tblW w:w="9496" w:type="dxa"/>
        <w:jc w:val="center"/>
        <w:tblLook w:val="04A0" w:firstRow="1" w:lastRow="0" w:firstColumn="1" w:lastColumn="0" w:noHBand="0" w:noVBand="1"/>
      </w:tblPr>
      <w:tblGrid>
        <w:gridCol w:w="1077"/>
        <w:gridCol w:w="1115"/>
        <w:gridCol w:w="789"/>
        <w:gridCol w:w="621"/>
        <w:gridCol w:w="661"/>
        <w:gridCol w:w="661"/>
        <w:gridCol w:w="1109"/>
        <w:gridCol w:w="1109"/>
        <w:gridCol w:w="797"/>
        <w:gridCol w:w="1557"/>
      </w:tblGrid>
      <w:tr w:rsidR="00722B14" w14:paraId="6A29640B" w14:textId="77777777" w:rsidTr="00DE79BD">
        <w:trPr>
          <w:cantSplit/>
          <w:trHeight w:val="288"/>
          <w:tblHeader/>
          <w:jc w:val="center"/>
        </w:trPr>
        <w:tc>
          <w:tcPr>
            <w:tcW w:w="1077" w:type="dxa"/>
            <w:tcBorders>
              <w:top w:val="single" w:sz="4" w:space="0" w:color="auto"/>
              <w:left w:val="nil"/>
              <w:bottom w:val="single" w:sz="4" w:space="0" w:color="auto"/>
              <w:right w:val="nil"/>
            </w:tcBorders>
            <w:shd w:val="clear" w:color="auto" w:fill="BBE0E3"/>
            <w:vAlign w:val="center"/>
            <w:hideMark/>
          </w:tcPr>
          <w:p w14:paraId="5BBB9E2C" w14:textId="77777777" w:rsidR="00722B14" w:rsidRDefault="00722B14" w:rsidP="00DD3BAE">
            <w:pPr>
              <w:spacing w:before="0" w:after="0"/>
              <w:jc w:val="center"/>
              <w:rPr>
                <w:b/>
                <w:color w:val="000000"/>
                <w:sz w:val="16"/>
                <w:szCs w:val="16"/>
              </w:rPr>
            </w:pPr>
            <w:r>
              <w:rPr>
                <w:b/>
                <w:color w:val="000000"/>
                <w:sz w:val="16"/>
                <w:szCs w:val="16"/>
              </w:rPr>
              <w:t>NRM</w:t>
            </w:r>
          </w:p>
        </w:tc>
        <w:tc>
          <w:tcPr>
            <w:tcW w:w="1115" w:type="dxa"/>
            <w:tcBorders>
              <w:top w:val="single" w:sz="4" w:space="0" w:color="auto"/>
              <w:left w:val="nil"/>
              <w:bottom w:val="single" w:sz="4" w:space="0" w:color="auto"/>
              <w:right w:val="nil"/>
            </w:tcBorders>
            <w:shd w:val="clear" w:color="auto" w:fill="BBE0E3"/>
            <w:noWrap/>
            <w:vAlign w:val="center"/>
            <w:hideMark/>
          </w:tcPr>
          <w:p w14:paraId="47AFD606" w14:textId="77777777" w:rsidR="00722B14" w:rsidRDefault="00722B14" w:rsidP="00DD3BAE">
            <w:pPr>
              <w:spacing w:before="0" w:after="0"/>
              <w:jc w:val="center"/>
              <w:rPr>
                <w:b/>
                <w:color w:val="000000"/>
                <w:sz w:val="16"/>
                <w:szCs w:val="16"/>
              </w:rPr>
            </w:pPr>
            <w:r>
              <w:rPr>
                <w:b/>
                <w:color w:val="000000"/>
                <w:sz w:val="16"/>
                <w:szCs w:val="16"/>
              </w:rPr>
              <w:t>Habitat</w:t>
            </w:r>
          </w:p>
        </w:tc>
        <w:tc>
          <w:tcPr>
            <w:tcW w:w="789" w:type="dxa"/>
            <w:tcBorders>
              <w:top w:val="single" w:sz="4" w:space="0" w:color="auto"/>
              <w:left w:val="nil"/>
              <w:bottom w:val="single" w:sz="4" w:space="0" w:color="auto"/>
              <w:right w:val="nil"/>
            </w:tcBorders>
            <w:shd w:val="clear" w:color="auto" w:fill="BBE0E3"/>
            <w:noWrap/>
            <w:vAlign w:val="center"/>
            <w:hideMark/>
          </w:tcPr>
          <w:p w14:paraId="3FB28E6E" w14:textId="77777777" w:rsidR="00722B14" w:rsidRDefault="00722B14" w:rsidP="00DD3BAE">
            <w:pPr>
              <w:spacing w:before="0" w:after="0"/>
              <w:jc w:val="center"/>
              <w:rPr>
                <w:b/>
                <w:color w:val="000000"/>
                <w:sz w:val="16"/>
                <w:szCs w:val="16"/>
              </w:rPr>
            </w:pPr>
            <w:r>
              <w:rPr>
                <w:b/>
                <w:color w:val="000000"/>
                <w:sz w:val="16"/>
                <w:szCs w:val="16"/>
              </w:rPr>
              <w:t>Species</w:t>
            </w:r>
          </w:p>
        </w:tc>
        <w:tc>
          <w:tcPr>
            <w:tcW w:w="621" w:type="dxa"/>
            <w:tcBorders>
              <w:top w:val="single" w:sz="4" w:space="0" w:color="auto"/>
              <w:left w:val="nil"/>
              <w:bottom w:val="single" w:sz="4" w:space="0" w:color="auto"/>
              <w:right w:val="nil"/>
            </w:tcBorders>
            <w:shd w:val="clear" w:color="auto" w:fill="BBE0E3"/>
            <w:vAlign w:val="center"/>
            <w:hideMark/>
          </w:tcPr>
          <w:p w14:paraId="400EDB2B" w14:textId="77777777" w:rsidR="00722B14" w:rsidRDefault="00722B14" w:rsidP="00DD3BAE">
            <w:pPr>
              <w:spacing w:before="0" w:after="0"/>
              <w:jc w:val="center"/>
              <w:rPr>
                <w:b/>
                <w:color w:val="000000"/>
                <w:sz w:val="16"/>
                <w:szCs w:val="16"/>
              </w:rPr>
            </w:pPr>
            <w:r>
              <w:rPr>
                <w:b/>
                <w:color w:val="000000"/>
                <w:sz w:val="16"/>
                <w:szCs w:val="16"/>
              </w:rPr>
              <w:t>Year</w:t>
            </w:r>
          </w:p>
        </w:tc>
        <w:tc>
          <w:tcPr>
            <w:tcW w:w="661" w:type="dxa"/>
            <w:tcBorders>
              <w:top w:val="single" w:sz="4" w:space="0" w:color="auto"/>
              <w:left w:val="nil"/>
              <w:bottom w:val="single" w:sz="4" w:space="0" w:color="auto"/>
              <w:right w:val="nil"/>
            </w:tcBorders>
            <w:shd w:val="clear" w:color="auto" w:fill="BBE0E3"/>
            <w:vAlign w:val="center"/>
            <w:hideMark/>
          </w:tcPr>
          <w:p w14:paraId="14FAC5DC" w14:textId="77777777" w:rsidR="00722B14" w:rsidRDefault="00722B14" w:rsidP="00DD3BAE">
            <w:pPr>
              <w:spacing w:before="0" w:after="0"/>
              <w:jc w:val="center"/>
              <w:rPr>
                <w:b/>
                <w:color w:val="000000"/>
                <w:sz w:val="16"/>
                <w:szCs w:val="16"/>
              </w:rPr>
            </w:pPr>
            <w:r>
              <w:rPr>
                <w:b/>
                <w:color w:val="000000"/>
                <w:sz w:val="16"/>
                <w:szCs w:val="16"/>
              </w:rPr>
              <w:t>%C</w:t>
            </w:r>
          </w:p>
        </w:tc>
        <w:tc>
          <w:tcPr>
            <w:tcW w:w="661" w:type="dxa"/>
            <w:tcBorders>
              <w:top w:val="single" w:sz="4" w:space="0" w:color="auto"/>
              <w:left w:val="nil"/>
              <w:bottom w:val="single" w:sz="4" w:space="0" w:color="auto"/>
              <w:right w:val="nil"/>
            </w:tcBorders>
            <w:shd w:val="clear" w:color="auto" w:fill="BBE0E3"/>
            <w:vAlign w:val="center"/>
            <w:hideMark/>
          </w:tcPr>
          <w:p w14:paraId="7385361A" w14:textId="77777777" w:rsidR="00722B14" w:rsidRDefault="00722B14" w:rsidP="00DD3BAE">
            <w:pPr>
              <w:spacing w:before="0" w:after="0"/>
              <w:jc w:val="center"/>
              <w:rPr>
                <w:b/>
                <w:color w:val="000000"/>
                <w:sz w:val="16"/>
                <w:szCs w:val="16"/>
              </w:rPr>
            </w:pPr>
            <w:r>
              <w:rPr>
                <w:b/>
                <w:color w:val="000000"/>
                <w:sz w:val="16"/>
                <w:szCs w:val="16"/>
              </w:rPr>
              <w:t>C:N</w:t>
            </w:r>
          </w:p>
        </w:tc>
        <w:tc>
          <w:tcPr>
            <w:tcW w:w="1109" w:type="dxa"/>
            <w:tcBorders>
              <w:top w:val="single" w:sz="4" w:space="0" w:color="auto"/>
              <w:left w:val="nil"/>
              <w:bottom w:val="single" w:sz="4" w:space="0" w:color="auto"/>
              <w:right w:val="nil"/>
            </w:tcBorders>
            <w:shd w:val="clear" w:color="auto" w:fill="BBE0E3"/>
            <w:noWrap/>
            <w:vAlign w:val="center"/>
            <w:hideMark/>
          </w:tcPr>
          <w:p w14:paraId="58797197" w14:textId="77777777" w:rsidR="00722B14" w:rsidRDefault="00722B14" w:rsidP="00DD3BAE">
            <w:pPr>
              <w:spacing w:before="0" w:after="0"/>
              <w:jc w:val="center"/>
              <w:rPr>
                <w:b/>
                <w:color w:val="000000"/>
                <w:sz w:val="16"/>
                <w:szCs w:val="16"/>
              </w:rPr>
            </w:pPr>
            <w:r>
              <w:rPr>
                <w:b/>
                <w:i/>
                <w:color w:val="000000"/>
                <w:sz w:val="16"/>
                <w:szCs w:val="16"/>
              </w:rPr>
              <w:t>δ</w:t>
            </w:r>
            <w:r>
              <w:rPr>
                <w:b/>
                <w:color w:val="000000"/>
                <w:sz w:val="16"/>
                <w:szCs w:val="16"/>
                <w:vertAlign w:val="superscript"/>
              </w:rPr>
              <w:t>13</w:t>
            </w:r>
            <w:r>
              <w:rPr>
                <w:b/>
                <w:color w:val="000000"/>
                <w:sz w:val="16"/>
                <w:szCs w:val="16"/>
              </w:rPr>
              <w:t xml:space="preserve">C </w:t>
            </w:r>
            <w:r>
              <w:rPr>
                <w:rFonts w:cs="TimesNewRoman,Italic"/>
                <w:iCs/>
                <w:color w:val="000000"/>
                <w:sz w:val="16"/>
                <w:szCs w:val="16"/>
              </w:rPr>
              <w:t>‰</w:t>
            </w:r>
          </w:p>
        </w:tc>
        <w:tc>
          <w:tcPr>
            <w:tcW w:w="1109" w:type="dxa"/>
            <w:tcBorders>
              <w:top w:val="single" w:sz="4" w:space="0" w:color="auto"/>
              <w:left w:val="nil"/>
              <w:bottom w:val="single" w:sz="4" w:space="0" w:color="auto"/>
              <w:right w:val="nil"/>
            </w:tcBorders>
            <w:shd w:val="clear" w:color="auto" w:fill="BBE0E3"/>
            <w:vAlign w:val="center"/>
            <w:hideMark/>
          </w:tcPr>
          <w:p w14:paraId="4607884B" w14:textId="77777777" w:rsidR="00722B14" w:rsidRDefault="00722B14" w:rsidP="00DD3BAE">
            <w:pPr>
              <w:spacing w:before="0" w:after="0"/>
              <w:jc w:val="center"/>
              <w:rPr>
                <w:b/>
                <w:color w:val="000000"/>
                <w:sz w:val="16"/>
                <w:szCs w:val="16"/>
              </w:rPr>
            </w:pPr>
            <w:r>
              <w:rPr>
                <w:b/>
                <w:i/>
                <w:color w:val="000000"/>
                <w:sz w:val="16"/>
                <w:szCs w:val="16"/>
              </w:rPr>
              <w:t>δ</w:t>
            </w:r>
            <w:r>
              <w:rPr>
                <w:b/>
                <w:color w:val="000000"/>
                <w:sz w:val="16"/>
                <w:szCs w:val="16"/>
                <w:vertAlign w:val="superscript"/>
              </w:rPr>
              <w:t>15</w:t>
            </w:r>
            <w:r>
              <w:rPr>
                <w:b/>
                <w:color w:val="000000"/>
                <w:sz w:val="16"/>
                <w:szCs w:val="16"/>
              </w:rPr>
              <w:t xml:space="preserve">N </w:t>
            </w:r>
            <w:r>
              <w:rPr>
                <w:rFonts w:cs="TimesNewRoman,Italic"/>
                <w:iCs/>
                <w:color w:val="000000"/>
                <w:sz w:val="16"/>
                <w:szCs w:val="16"/>
              </w:rPr>
              <w:t>‰</w:t>
            </w:r>
          </w:p>
        </w:tc>
        <w:tc>
          <w:tcPr>
            <w:tcW w:w="797" w:type="dxa"/>
            <w:tcBorders>
              <w:top w:val="single" w:sz="4" w:space="0" w:color="auto"/>
              <w:left w:val="nil"/>
              <w:bottom w:val="single" w:sz="4" w:space="0" w:color="auto"/>
              <w:right w:val="nil"/>
            </w:tcBorders>
            <w:shd w:val="clear" w:color="auto" w:fill="BBE0E3"/>
            <w:vAlign w:val="center"/>
            <w:hideMark/>
          </w:tcPr>
          <w:p w14:paraId="2A04884E" w14:textId="77777777" w:rsidR="00722B14" w:rsidRDefault="00722B14" w:rsidP="00DD3BAE">
            <w:pPr>
              <w:spacing w:before="0" w:after="0"/>
              <w:jc w:val="center"/>
              <w:rPr>
                <w:b/>
                <w:color w:val="000000"/>
                <w:sz w:val="16"/>
                <w:szCs w:val="16"/>
              </w:rPr>
            </w:pPr>
            <w:r>
              <w:rPr>
                <w:b/>
                <w:color w:val="000000"/>
                <w:sz w:val="16"/>
                <w:szCs w:val="16"/>
              </w:rPr>
              <w:t>% C lit</w:t>
            </w:r>
          </w:p>
          <w:p w14:paraId="0AEDD0C3" w14:textId="77777777" w:rsidR="00722B14" w:rsidRDefault="00722B14" w:rsidP="00DD3BAE">
            <w:pPr>
              <w:spacing w:before="0" w:after="0"/>
              <w:jc w:val="center"/>
              <w:rPr>
                <w:b/>
                <w:color w:val="000000"/>
                <w:sz w:val="16"/>
                <w:szCs w:val="16"/>
              </w:rPr>
            </w:pPr>
            <w:r>
              <w:rPr>
                <w:b/>
                <w:color w:val="000000"/>
                <w:sz w:val="16"/>
                <w:szCs w:val="16"/>
              </w:rPr>
              <w:t>median</w:t>
            </w:r>
          </w:p>
        </w:tc>
        <w:tc>
          <w:tcPr>
            <w:tcW w:w="1557" w:type="dxa"/>
            <w:tcBorders>
              <w:top w:val="single" w:sz="4" w:space="0" w:color="auto"/>
              <w:left w:val="nil"/>
              <w:bottom w:val="single" w:sz="4" w:space="0" w:color="auto"/>
              <w:right w:val="nil"/>
            </w:tcBorders>
            <w:shd w:val="clear" w:color="auto" w:fill="BBE0E3"/>
            <w:noWrap/>
            <w:vAlign w:val="center"/>
            <w:hideMark/>
          </w:tcPr>
          <w:p w14:paraId="606E73B2" w14:textId="77777777" w:rsidR="00722B14" w:rsidRDefault="00722B14" w:rsidP="00DD3BAE">
            <w:pPr>
              <w:spacing w:before="0" w:after="0"/>
              <w:jc w:val="center"/>
              <w:rPr>
                <w:b/>
                <w:color w:val="000000"/>
                <w:sz w:val="16"/>
                <w:szCs w:val="16"/>
              </w:rPr>
            </w:pPr>
            <w:r>
              <w:rPr>
                <w:b/>
                <w:i/>
                <w:color w:val="000000"/>
                <w:sz w:val="16"/>
                <w:szCs w:val="16"/>
              </w:rPr>
              <w:t>δ</w:t>
            </w:r>
            <w:r>
              <w:rPr>
                <w:b/>
                <w:color w:val="000000"/>
                <w:sz w:val="16"/>
                <w:szCs w:val="16"/>
                <w:vertAlign w:val="superscript"/>
              </w:rPr>
              <w:t>13</w:t>
            </w:r>
            <w:r>
              <w:rPr>
                <w:b/>
                <w:color w:val="000000"/>
                <w:sz w:val="16"/>
                <w:szCs w:val="16"/>
              </w:rPr>
              <w:t xml:space="preserve">C </w:t>
            </w:r>
            <w:r>
              <w:rPr>
                <w:rFonts w:cs="TimesNewRoman,Italic"/>
                <w:iCs/>
                <w:color w:val="000000"/>
                <w:sz w:val="16"/>
                <w:szCs w:val="16"/>
              </w:rPr>
              <w:t>‰</w:t>
            </w:r>
          </w:p>
          <w:p w14:paraId="08596FF9" w14:textId="77777777" w:rsidR="00722B14" w:rsidRDefault="00722B14" w:rsidP="00DD3BAE">
            <w:pPr>
              <w:spacing w:before="0" w:after="0"/>
              <w:jc w:val="center"/>
              <w:rPr>
                <w:b/>
                <w:color w:val="000000"/>
                <w:sz w:val="16"/>
                <w:szCs w:val="16"/>
              </w:rPr>
            </w:pPr>
            <w:r>
              <w:rPr>
                <w:b/>
                <w:color w:val="000000"/>
                <w:sz w:val="16"/>
                <w:szCs w:val="16"/>
              </w:rPr>
              <w:t>global average</w:t>
            </w:r>
          </w:p>
        </w:tc>
      </w:tr>
      <w:tr w:rsidR="00722B14" w14:paraId="7B1D876A" w14:textId="77777777" w:rsidTr="00DE79BD">
        <w:trPr>
          <w:cantSplit/>
          <w:trHeight w:val="227"/>
          <w:jc w:val="center"/>
        </w:trPr>
        <w:tc>
          <w:tcPr>
            <w:tcW w:w="1077" w:type="dxa"/>
            <w:vAlign w:val="center"/>
            <w:hideMark/>
          </w:tcPr>
          <w:p w14:paraId="50EFE9DD" w14:textId="77777777" w:rsidR="00722B14" w:rsidRDefault="00722B14" w:rsidP="00DD3BAE">
            <w:pPr>
              <w:spacing w:before="0" w:after="0"/>
              <w:jc w:val="center"/>
              <w:rPr>
                <w:color w:val="000000"/>
                <w:sz w:val="16"/>
                <w:szCs w:val="16"/>
              </w:rPr>
            </w:pPr>
            <w:r>
              <w:rPr>
                <w:color w:val="000000"/>
                <w:sz w:val="16"/>
                <w:szCs w:val="16"/>
              </w:rPr>
              <w:t>Cape York</w:t>
            </w:r>
          </w:p>
        </w:tc>
        <w:tc>
          <w:tcPr>
            <w:tcW w:w="1115" w:type="dxa"/>
            <w:noWrap/>
            <w:vAlign w:val="center"/>
            <w:hideMark/>
          </w:tcPr>
          <w:p w14:paraId="1EEBA465" w14:textId="77777777" w:rsidR="00722B14" w:rsidRDefault="00722B14" w:rsidP="00DD3BAE">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single" w:sz="4" w:space="0" w:color="auto"/>
              <w:right w:val="nil"/>
            </w:tcBorders>
            <w:noWrap/>
            <w:vAlign w:val="center"/>
            <w:hideMark/>
          </w:tcPr>
          <w:p w14:paraId="510E79C0" w14:textId="77777777" w:rsidR="00722B14" w:rsidRDefault="00722B14" w:rsidP="00DD3BAE">
            <w:pPr>
              <w:spacing w:before="0" w:after="0"/>
              <w:jc w:val="center"/>
              <w:rPr>
                <w:color w:val="000000"/>
                <w:sz w:val="16"/>
                <w:szCs w:val="16"/>
              </w:rPr>
            </w:pPr>
            <w:r>
              <w:rPr>
                <w:color w:val="000000"/>
                <w:sz w:val="16"/>
                <w:szCs w:val="16"/>
              </w:rPr>
              <w:t>EA</w:t>
            </w:r>
          </w:p>
        </w:tc>
        <w:tc>
          <w:tcPr>
            <w:tcW w:w="621" w:type="dxa"/>
            <w:tcBorders>
              <w:top w:val="single" w:sz="4" w:space="0" w:color="auto"/>
              <w:left w:val="nil"/>
              <w:bottom w:val="single" w:sz="4" w:space="0" w:color="auto"/>
              <w:right w:val="nil"/>
            </w:tcBorders>
            <w:vAlign w:val="center"/>
            <w:hideMark/>
          </w:tcPr>
          <w:p w14:paraId="3361AA65"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single" w:sz="4" w:space="0" w:color="auto"/>
              <w:right w:val="nil"/>
            </w:tcBorders>
            <w:vAlign w:val="center"/>
            <w:hideMark/>
          </w:tcPr>
          <w:p w14:paraId="44D2B0E5" w14:textId="77777777" w:rsidR="00722B14" w:rsidRDefault="00722B14" w:rsidP="00DD3BAE">
            <w:pPr>
              <w:spacing w:before="0" w:after="0"/>
              <w:jc w:val="center"/>
              <w:rPr>
                <w:color w:val="000000"/>
                <w:sz w:val="16"/>
                <w:szCs w:val="16"/>
              </w:rPr>
            </w:pPr>
            <w:r>
              <w:rPr>
                <w:color w:val="000000"/>
                <w:sz w:val="16"/>
                <w:szCs w:val="16"/>
              </w:rPr>
              <w:t>36.68</w:t>
            </w:r>
          </w:p>
        </w:tc>
        <w:tc>
          <w:tcPr>
            <w:tcW w:w="661" w:type="dxa"/>
            <w:tcBorders>
              <w:top w:val="single" w:sz="4" w:space="0" w:color="auto"/>
              <w:left w:val="nil"/>
              <w:bottom w:val="single" w:sz="4" w:space="0" w:color="auto"/>
              <w:right w:val="nil"/>
            </w:tcBorders>
            <w:shd w:val="clear" w:color="auto" w:fill="CCFFCC"/>
            <w:vAlign w:val="center"/>
            <w:hideMark/>
          </w:tcPr>
          <w:p w14:paraId="61D9109D" w14:textId="77777777" w:rsidR="00722B14" w:rsidRDefault="00722B14" w:rsidP="00DD3BAE">
            <w:pPr>
              <w:spacing w:before="0" w:after="0"/>
              <w:jc w:val="center"/>
              <w:rPr>
                <w:color w:val="000000"/>
                <w:sz w:val="16"/>
                <w:szCs w:val="16"/>
              </w:rPr>
            </w:pPr>
            <w:r>
              <w:rPr>
                <w:color w:val="000000"/>
                <w:sz w:val="16"/>
                <w:szCs w:val="16"/>
              </w:rPr>
              <w:t>14.72</w:t>
            </w:r>
          </w:p>
        </w:tc>
        <w:tc>
          <w:tcPr>
            <w:tcW w:w="1109" w:type="dxa"/>
            <w:tcBorders>
              <w:top w:val="single" w:sz="4" w:space="0" w:color="auto"/>
              <w:left w:val="nil"/>
              <w:bottom w:val="single" w:sz="4" w:space="0" w:color="auto"/>
              <w:right w:val="nil"/>
            </w:tcBorders>
            <w:noWrap/>
            <w:vAlign w:val="center"/>
            <w:hideMark/>
          </w:tcPr>
          <w:p w14:paraId="5F5F458E" w14:textId="77777777" w:rsidR="00722B14" w:rsidRDefault="00722B14" w:rsidP="00DD3BAE">
            <w:pPr>
              <w:spacing w:before="0" w:after="0"/>
              <w:jc w:val="center"/>
              <w:rPr>
                <w:color w:val="000000"/>
                <w:sz w:val="16"/>
                <w:szCs w:val="16"/>
              </w:rPr>
            </w:pPr>
            <w:r>
              <w:rPr>
                <w:color w:val="000000"/>
                <w:sz w:val="16"/>
                <w:szCs w:val="16"/>
              </w:rPr>
              <w:t>-13.07</w:t>
            </w:r>
          </w:p>
        </w:tc>
        <w:tc>
          <w:tcPr>
            <w:tcW w:w="1109" w:type="dxa"/>
            <w:tcBorders>
              <w:top w:val="single" w:sz="4" w:space="0" w:color="auto"/>
              <w:left w:val="nil"/>
              <w:bottom w:val="single" w:sz="4" w:space="0" w:color="auto"/>
              <w:right w:val="nil"/>
            </w:tcBorders>
            <w:vAlign w:val="center"/>
            <w:hideMark/>
          </w:tcPr>
          <w:p w14:paraId="64FC2F5A" w14:textId="77777777" w:rsidR="00722B14" w:rsidRDefault="00722B14" w:rsidP="00DD3BAE">
            <w:pPr>
              <w:spacing w:before="0" w:after="0"/>
              <w:jc w:val="center"/>
              <w:rPr>
                <w:color w:val="000000"/>
                <w:sz w:val="16"/>
                <w:szCs w:val="16"/>
              </w:rPr>
            </w:pPr>
            <w:r>
              <w:rPr>
                <w:color w:val="000000"/>
                <w:sz w:val="16"/>
                <w:szCs w:val="16"/>
              </w:rPr>
              <w:t>-9.41</w:t>
            </w:r>
          </w:p>
        </w:tc>
        <w:tc>
          <w:tcPr>
            <w:tcW w:w="797" w:type="dxa"/>
            <w:tcBorders>
              <w:top w:val="single" w:sz="4" w:space="0" w:color="auto"/>
              <w:left w:val="nil"/>
              <w:bottom w:val="single" w:sz="4" w:space="0" w:color="auto"/>
              <w:right w:val="nil"/>
            </w:tcBorders>
            <w:vAlign w:val="center"/>
            <w:hideMark/>
          </w:tcPr>
          <w:p w14:paraId="39B17693" w14:textId="77777777" w:rsidR="00722B14" w:rsidRDefault="00722B14" w:rsidP="00DD3BAE">
            <w:pPr>
              <w:spacing w:before="0" w:after="0"/>
              <w:jc w:val="center"/>
              <w:rPr>
                <w:i/>
                <w:color w:val="000000"/>
                <w:sz w:val="16"/>
                <w:szCs w:val="16"/>
              </w:rPr>
            </w:pPr>
            <w:r>
              <w:rPr>
                <w:i/>
                <w:color w:val="000000"/>
                <w:sz w:val="16"/>
                <w:szCs w:val="16"/>
              </w:rPr>
              <w:t>38.3</w:t>
            </w:r>
          </w:p>
        </w:tc>
        <w:tc>
          <w:tcPr>
            <w:tcW w:w="1557" w:type="dxa"/>
            <w:tcBorders>
              <w:top w:val="single" w:sz="4" w:space="0" w:color="auto"/>
              <w:left w:val="nil"/>
              <w:bottom w:val="single" w:sz="4" w:space="0" w:color="auto"/>
              <w:right w:val="nil"/>
            </w:tcBorders>
            <w:noWrap/>
            <w:vAlign w:val="center"/>
            <w:hideMark/>
          </w:tcPr>
          <w:p w14:paraId="681EA7F0" w14:textId="77777777" w:rsidR="00722B14" w:rsidRDefault="00722B14" w:rsidP="00DD3BAE">
            <w:pPr>
              <w:spacing w:before="0" w:after="0"/>
              <w:jc w:val="center"/>
              <w:rPr>
                <w:i/>
                <w:color w:val="000000"/>
                <w:sz w:val="16"/>
                <w:szCs w:val="16"/>
              </w:rPr>
            </w:pPr>
            <w:r>
              <w:rPr>
                <w:i/>
                <w:color w:val="000000"/>
                <w:sz w:val="16"/>
                <w:szCs w:val="16"/>
              </w:rPr>
              <w:t>-5.8 (-6.7 to -4.9)</w:t>
            </w:r>
          </w:p>
        </w:tc>
      </w:tr>
      <w:tr w:rsidR="00722B14" w14:paraId="1555B68A" w14:textId="77777777" w:rsidTr="00DE79BD">
        <w:trPr>
          <w:cantSplit/>
          <w:trHeight w:val="227"/>
          <w:jc w:val="center"/>
        </w:trPr>
        <w:tc>
          <w:tcPr>
            <w:tcW w:w="1077" w:type="dxa"/>
            <w:vAlign w:val="center"/>
          </w:tcPr>
          <w:p w14:paraId="36E0D68F" w14:textId="77777777" w:rsidR="00722B14" w:rsidRDefault="00722B14" w:rsidP="00DD3BAE">
            <w:pPr>
              <w:spacing w:before="0" w:after="0"/>
              <w:jc w:val="center"/>
              <w:rPr>
                <w:color w:val="000000"/>
                <w:sz w:val="16"/>
                <w:szCs w:val="16"/>
              </w:rPr>
            </w:pPr>
          </w:p>
        </w:tc>
        <w:tc>
          <w:tcPr>
            <w:tcW w:w="1115" w:type="dxa"/>
            <w:noWrap/>
            <w:vAlign w:val="center"/>
          </w:tcPr>
          <w:p w14:paraId="6A93F8E6"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tcBorders>
              <w:top w:val="single" w:sz="4" w:space="0" w:color="auto"/>
              <w:left w:val="nil"/>
              <w:bottom w:val="nil"/>
              <w:right w:val="nil"/>
            </w:tcBorders>
            <w:noWrap/>
            <w:vAlign w:val="center"/>
            <w:hideMark/>
          </w:tcPr>
          <w:p w14:paraId="49C07E4C"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78BA1547"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15CF45AC" w14:textId="77777777" w:rsidR="00722B14" w:rsidRDefault="00722B14" w:rsidP="00DD3BAE">
            <w:pPr>
              <w:spacing w:before="0" w:after="0"/>
              <w:jc w:val="center"/>
              <w:rPr>
                <w:color w:val="000000"/>
                <w:sz w:val="16"/>
                <w:szCs w:val="16"/>
              </w:rPr>
            </w:pPr>
            <w:r>
              <w:rPr>
                <w:color w:val="000000"/>
                <w:sz w:val="16"/>
                <w:szCs w:val="16"/>
              </w:rPr>
              <w:t>40.61</w:t>
            </w:r>
          </w:p>
        </w:tc>
        <w:tc>
          <w:tcPr>
            <w:tcW w:w="661" w:type="dxa"/>
            <w:tcBorders>
              <w:top w:val="single" w:sz="4" w:space="0" w:color="auto"/>
              <w:left w:val="nil"/>
              <w:bottom w:val="nil"/>
              <w:right w:val="nil"/>
            </w:tcBorders>
            <w:shd w:val="clear" w:color="auto" w:fill="CCFFCC"/>
            <w:vAlign w:val="center"/>
            <w:hideMark/>
          </w:tcPr>
          <w:p w14:paraId="4BB09B25" w14:textId="77777777" w:rsidR="00722B14" w:rsidRDefault="00722B14" w:rsidP="00DD3BAE">
            <w:pPr>
              <w:spacing w:before="0" w:after="0"/>
              <w:jc w:val="center"/>
              <w:rPr>
                <w:color w:val="000000"/>
                <w:sz w:val="16"/>
                <w:szCs w:val="16"/>
              </w:rPr>
            </w:pPr>
            <w:r>
              <w:rPr>
                <w:color w:val="000000"/>
                <w:sz w:val="16"/>
                <w:szCs w:val="16"/>
              </w:rPr>
              <w:t>15.92</w:t>
            </w:r>
          </w:p>
        </w:tc>
        <w:tc>
          <w:tcPr>
            <w:tcW w:w="1109" w:type="dxa"/>
            <w:tcBorders>
              <w:top w:val="single" w:sz="4" w:space="0" w:color="auto"/>
              <w:left w:val="nil"/>
              <w:bottom w:val="nil"/>
              <w:right w:val="nil"/>
            </w:tcBorders>
            <w:shd w:val="clear" w:color="auto" w:fill="CCFFCC"/>
            <w:noWrap/>
            <w:vAlign w:val="center"/>
            <w:hideMark/>
          </w:tcPr>
          <w:p w14:paraId="513CB51B" w14:textId="77777777" w:rsidR="00722B14" w:rsidRDefault="00722B14" w:rsidP="00DD3BAE">
            <w:pPr>
              <w:spacing w:before="0" w:after="0"/>
              <w:jc w:val="center"/>
              <w:rPr>
                <w:color w:val="000000"/>
                <w:sz w:val="16"/>
                <w:szCs w:val="16"/>
              </w:rPr>
            </w:pPr>
            <w:r>
              <w:rPr>
                <w:color w:val="000000"/>
                <w:sz w:val="16"/>
                <w:szCs w:val="16"/>
              </w:rPr>
              <w:t>-11.00 ±0.46</w:t>
            </w:r>
          </w:p>
        </w:tc>
        <w:tc>
          <w:tcPr>
            <w:tcW w:w="1109" w:type="dxa"/>
            <w:tcBorders>
              <w:top w:val="single" w:sz="4" w:space="0" w:color="auto"/>
              <w:left w:val="nil"/>
              <w:bottom w:val="nil"/>
              <w:right w:val="nil"/>
            </w:tcBorders>
            <w:vAlign w:val="center"/>
            <w:hideMark/>
          </w:tcPr>
          <w:p w14:paraId="20FC9E68" w14:textId="77777777" w:rsidR="00722B14" w:rsidRDefault="00722B14" w:rsidP="00DD3BAE">
            <w:pPr>
              <w:spacing w:before="0" w:after="0"/>
              <w:jc w:val="center"/>
              <w:rPr>
                <w:color w:val="000000"/>
                <w:sz w:val="16"/>
                <w:szCs w:val="16"/>
              </w:rPr>
            </w:pPr>
            <w:r>
              <w:rPr>
                <w:color w:val="000000"/>
                <w:sz w:val="16"/>
                <w:szCs w:val="16"/>
              </w:rPr>
              <w:t>0.06 ±0.26</w:t>
            </w:r>
          </w:p>
        </w:tc>
        <w:tc>
          <w:tcPr>
            <w:tcW w:w="797" w:type="dxa"/>
            <w:tcBorders>
              <w:top w:val="single" w:sz="4" w:space="0" w:color="auto"/>
              <w:left w:val="nil"/>
              <w:bottom w:val="nil"/>
              <w:right w:val="nil"/>
            </w:tcBorders>
            <w:vAlign w:val="center"/>
            <w:hideMark/>
          </w:tcPr>
          <w:p w14:paraId="1655CE35"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74D4733C"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34CE83C7" w14:textId="77777777" w:rsidTr="00DE79BD">
        <w:trPr>
          <w:cantSplit/>
          <w:trHeight w:val="227"/>
          <w:jc w:val="center"/>
        </w:trPr>
        <w:tc>
          <w:tcPr>
            <w:tcW w:w="1077" w:type="dxa"/>
            <w:vAlign w:val="center"/>
          </w:tcPr>
          <w:p w14:paraId="14489BC9" w14:textId="77777777" w:rsidR="00722B14" w:rsidRDefault="00722B14" w:rsidP="00DD3BAE">
            <w:pPr>
              <w:spacing w:before="0" w:after="0"/>
              <w:jc w:val="center"/>
              <w:rPr>
                <w:color w:val="000000"/>
                <w:sz w:val="16"/>
                <w:szCs w:val="16"/>
              </w:rPr>
            </w:pPr>
          </w:p>
        </w:tc>
        <w:tc>
          <w:tcPr>
            <w:tcW w:w="1115" w:type="dxa"/>
            <w:noWrap/>
            <w:vAlign w:val="center"/>
          </w:tcPr>
          <w:p w14:paraId="408D24B8" w14:textId="77777777" w:rsidR="00722B14" w:rsidRDefault="00722B14" w:rsidP="00DD3BAE">
            <w:pPr>
              <w:spacing w:before="0" w:after="0"/>
              <w:jc w:val="center"/>
              <w:rPr>
                <w:color w:val="000000"/>
                <w:sz w:val="16"/>
                <w:szCs w:val="16"/>
              </w:rPr>
            </w:pPr>
          </w:p>
        </w:tc>
        <w:tc>
          <w:tcPr>
            <w:tcW w:w="789" w:type="dxa"/>
            <w:noWrap/>
            <w:vAlign w:val="center"/>
          </w:tcPr>
          <w:p w14:paraId="01C67140" w14:textId="77777777" w:rsidR="00722B14" w:rsidRDefault="00722B14" w:rsidP="00DD3BAE">
            <w:pPr>
              <w:spacing w:before="0" w:after="0"/>
              <w:jc w:val="center"/>
              <w:rPr>
                <w:color w:val="000000"/>
                <w:sz w:val="16"/>
                <w:szCs w:val="16"/>
              </w:rPr>
            </w:pPr>
          </w:p>
        </w:tc>
        <w:tc>
          <w:tcPr>
            <w:tcW w:w="621" w:type="dxa"/>
            <w:vAlign w:val="center"/>
            <w:hideMark/>
          </w:tcPr>
          <w:p w14:paraId="34F365E3"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789893CC" w14:textId="77777777" w:rsidR="00722B14" w:rsidRDefault="00722B14" w:rsidP="00DD3BAE">
            <w:pPr>
              <w:spacing w:before="0" w:after="0"/>
              <w:jc w:val="center"/>
              <w:rPr>
                <w:color w:val="000000"/>
                <w:sz w:val="16"/>
                <w:szCs w:val="16"/>
              </w:rPr>
            </w:pPr>
            <w:r>
              <w:rPr>
                <w:color w:val="000000"/>
                <w:sz w:val="16"/>
                <w:szCs w:val="16"/>
              </w:rPr>
              <w:t>39.86</w:t>
            </w:r>
          </w:p>
        </w:tc>
        <w:tc>
          <w:tcPr>
            <w:tcW w:w="661" w:type="dxa"/>
            <w:shd w:val="clear" w:color="auto" w:fill="CCFFCC"/>
            <w:vAlign w:val="center"/>
            <w:hideMark/>
          </w:tcPr>
          <w:p w14:paraId="106B0441" w14:textId="77777777" w:rsidR="00722B14" w:rsidRDefault="00722B14" w:rsidP="00DD3BAE">
            <w:pPr>
              <w:spacing w:before="0" w:after="0"/>
              <w:jc w:val="center"/>
              <w:rPr>
                <w:color w:val="000000"/>
                <w:sz w:val="16"/>
                <w:szCs w:val="16"/>
              </w:rPr>
            </w:pPr>
            <w:r>
              <w:rPr>
                <w:color w:val="000000"/>
                <w:sz w:val="16"/>
                <w:szCs w:val="16"/>
              </w:rPr>
              <w:t>15.74</w:t>
            </w:r>
          </w:p>
        </w:tc>
        <w:tc>
          <w:tcPr>
            <w:tcW w:w="1109" w:type="dxa"/>
            <w:noWrap/>
            <w:vAlign w:val="center"/>
            <w:hideMark/>
          </w:tcPr>
          <w:p w14:paraId="748EF0ED" w14:textId="77777777" w:rsidR="00722B14" w:rsidRDefault="00722B14" w:rsidP="00DD3BAE">
            <w:pPr>
              <w:spacing w:before="0" w:after="0"/>
              <w:jc w:val="center"/>
              <w:rPr>
                <w:color w:val="000000"/>
                <w:sz w:val="16"/>
                <w:szCs w:val="16"/>
              </w:rPr>
            </w:pPr>
            <w:r>
              <w:rPr>
                <w:color w:val="000000"/>
                <w:sz w:val="16"/>
                <w:szCs w:val="16"/>
              </w:rPr>
              <w:t>-11.71 ±0.25</w:t>
            </w:r>
          </w:p>
        </w:tc>
        <w:tc>
          <w:tcPr>
            <w:tcW w:w="1109" w:type="dxa"/>
            <w:vAlign w:val="center"/>
            <w:hideMark/>
          </w:tcPr>
          <w:p w14:paraId="2ABDA098" w14:textId="77777777" w:rsidR="00722B14" w:rsidRDefault="00722B14" w:rsidP="00DD3BAE">
            <w:pPr>
              <w:spacing w:before="0" w:after="0"/>
              <w:jc w:val="center"/>
              <w:rPr>
                <w:color w:val="000000"/>
                <w:sz w:val="16"/>
                <w:szCs w:val="16"/>
              </w:rPr>
            </w:pPr>
            <w:r>
              <w:rPr>
                <w:color w:val="000000"/>
                <w:sz w:val="16"/>
                <w:szCs w:val="16"/>
              </w:rPr>
              <w:t>-1.77 ±0.93</w:t>
            </w:r>
          </w:p>
        </w:tc>
        <w:tc>
          <w:tcPr>
            <w:tcW w:w="797" w:type="dxa"/>
            <w:vAlign w:val="center"/>
          </w:tcPr>
          <w:p w14:paraId="47C6C1A8" w14:textId="77777777" w:rsidR="00722B14" w:rsidRDefault="00722B14" w:rsidP="00DD3BAE">
            <w:pPr>
              <w:spacing w:before="0" w:after="0"/>
              <w:jc w:val="center"/>
              <w:rPr>
                <w:i/>
                <w:color w:val="000000"/>
                <w:sz w:val="16"/>
                <w:szCs w:val="16"/>
              </w:rPr>
            </w:pPr>
          </w:p>
        </w:tc>
        <w:tc>
          <w:tcPr>
            <w:tcW w:w="1557" w:type="dxa"/>
            <w:noWrap/>
            <w:vAlign w:val="center"/>
          </w:tcPr>
          <w:p w14:paraId="2F002D16" w14:textId="77777777" w:rsidR="00722B14" w:rsidRDefault="00722B14" w:rsidP="00DD3BAE">
            <w:pPr>
              <w:spacing w:before="0" w:after="0"/>
              <w:jc w:val="center"/>
              <w:rPr>
                <w:i/>
                <w:color w:val="000000"/>
                <w:sz w:val="16"/>
                <w:szCs w:val="16"/>
              </w:rPr>
            </w:pPr>
          </w:p>
        </w:tc>
      </w:tr>
      <w:tr w:rsidR="00722B14" w14:paraId="6F75B0CB" w14:textId="77777777" w:rsidTr="00DE79BD">
        <w:trPr>
          <w:cantSplit/>
          <w:trHeight w:val="227"/>
          <w:jc w:val="center"/>
        </w:trPr>
        <w:tc>
          <w:tcPr>
            <w:tcW w:w="1077" w:type="dxa"/>
            <w:vAlign w:val="center"/>
          </w:tcPr>
          <w:p w14:paraId="71A23A83" w14:textId="77777777" w:rsidR="00722B14" w:rsidRDefault="00722B14" w:rsidP="00DD3BAE">
            <w:pPr>
              <w:spacing w:before="0" w:after="0"/>
              <w:jc w:val="center"/>
              <w:rPr>
                <w:color w:val="000000"/>
                <w:sz w:val="16"/>
                <w:szCs w:val="16"/>
              </w:rPr>
            </w:pPr>
          </w:p>
        </w:tc>
        <w:tc>
          <w:tcPr>
            <w:tcW w:w="1115" w:type="dxa"/>
            <w:noWrap/>
            <w:vAlign w:val="center"/>
          </w:tcPr>
          <w:p w14:paraId="77ABAFE5" w14:textId="77777777" w:rsidR="00722B14" w:rsidRDefault="00722B14" w:rsidP="00DD3BAE">
            <w:pPr>
              <w:spacing w:before="0" w:after="0"/>
              <w:jc w:val="center"/>
              <w:rPr>
                <w:color w:val="000000"/>
                <w:sz w:val="16"/>
                <w:szCs w:val="16"/>
              </w:rPr>
            </w:pPr>
          </w:p>
        </w:tc>
        <w:tc>
          <w:tcPr>
            <w:tcW w:w="789" w:type="dxa"/>
            <w:noWrap/>
            <w:vAlign w:val="center"/>
          </w:tcPr>
          <w:p w14:paraId="1087CB39" w14:textId="77777777" w:rsidR="00722B14" w:rsidRDefault="00722B14" w:rsidP="00DD3BAE">
            <w:pPr>
              <w:spacing w:before="0" w:after="0"/>
              <w:jc w:val="center"/>
              <w:rPr>
                <w:color w:val="000000"/>
                <w:sz w:val="16"/>
                <w:szCs w:val="16"/>
              </w:rPr>
            </w:pPr>
          </w:p>
        </w:tc>
        <w:tc>
          <w:tcPr>
            <w:tcW w:w="621" w:type="dxa"/>
            <w:vAlign w:val="center"/>
            <w:hideMark/>
          </w:tcPr>
          <w:p w14:paraId="448BF3E4" w14:textId="77777777" w:rsidR="00722B14" w:rsidRDefault="00722B14" w:rsidP="00DD3BAE">
            <w:pPr>
              <w:spacing w:before="0" w:after="0"/>
              <w:jc w:val="center"/>
              <w:rPr>
                <w:color w:val="000000"/>
                <w:sz w:val="16"/>
                <w:szCs w:val="16"/>
              </w:rPr>
            </w:pPr>
            <w:r>
              <w:rPr>
                <w:color w:val="000000"/>
                <w:sz w:val="16"/>
                <w:szCs w:val="16"/>
              </w:rPr>
              <w:t>2014</w:t>
            </w:r>
          </w:p>
        </w:tc>
        <w:tc>
          <w:tcPr>
            <w:tcW w:w="661" w:type="dxa"/>
            <w:vAlign w:val="center"/>
            <w:hideMark/>
          </w:tcPr>
          <w:p w14:paraId="481855C8" w14:textId="77777777" w:rsidR="00722B14" w:rsidRDefault="00722B14" w:rsidP="00DD3BAE">
            <w:pPr>
              <w:spacing w:before="0" w:after="0"/>
              <w:jc w:val="center"/>
              <w:rPr>
                <w:color w:val="000000"/>
                <w:sz w:val="16"/>
                <w:szCs w:val="16"/>
              </w:rPr>
            </w:pPr>
            <w:r>
              <w:rPr>
                <w:color w:val="000000"/>
                <w:sz w:val="16"/>
                <w:szCs w:val="16"/>
              </w:rPr>
              <w:t>40.62</w:t>
            </w:r>
          </w:p>
        </w:tc>
        <w:tc>
          <w:tcPr>
            <w:tcW w:w="661" w:type="dxa"/>
            <w:shd w:val="clear" w:color="auto" w:fill="CCFFCC"/>
            <w:vAlign w:val="center"/>
            <w:hideMark/>
          </w:tcPr>
          <w:p w14:paraId="689FBF55" w14:textId="77777777" w:rsidR="00722B14" w:rsidRDefault="00722B14" w:rsidP="00DD3BAE">
            <w:pPr>
              <w:spacing w:before="0" w:after="0"/>
              <w:jc w:val="center"/>
              <w:rPr>
                <w:color w:val="000000"/>
                <w:sz w:val="16"/>
                <w:szCs w:val="16"/>
              </w:rPr>
            </w:pPr>
            <w:r>
              <w:rPr>
                <w:color w:val="000000"/>
                <w:sz w:val="16"/>
                <w:szCs w:val="16"/>
              </w:rPr>
              <w:t>19.15</w:t>
            </w:r>
          </w:p>
        </w:tc>
        <w:tc>
          <w:tcPr>
            <w:tcW w:w="1109" w:type="dxa"/>
            <w:noWrap/>
            <w:vAlign w:val="center"/>
            <w:hideMark/>
          </w:tcPr>
          <w:p w14:paraId="537C0C60" w14:textId="77777777" w:rsidR="00722B14" w:rsidRDefault="00722B14" w:rsidP="00DD3BAE">
            <w:pPr>
              <w:spacing w:before="0" w:after="0"/>
              <w:jc w:val="center"/>
              <w:rPr>
                <w:color w:val="000000"/>
                <w:sz w:val="16"/>
                <w:szCs w:val="16"/>
              </w:rPr>
            </w:pPr>
            <w:r>
              <w:rPr>
                <w:color w:val="000000"/>
                <w:sz w:val="16"/>
                <w:szCs w:val="16"/>
              </w:rPr>
              <w:t>-11.22 ±0.12</w:t>
            </w:r>
          </w:p>
        </w:tc>
        <w:tc>
          <w:tcPr>
            <w:tcW w:w="1109" w:type="dxa"/>
            <w:vAlign w:val="center"/>
            <w:hideMark/>
          </w:tcPr>
          <w:p w14:paraId="58F39950" w14:textId="77777777" w:rsidR="00722B14" w:rsidRDefault="00722B14" w:rsidP="00DD3BAE">
            <w:pPr>
              <w:spacing w:before="0" w:after="0"/>
              <w:jc w:val="center"/>
              <w:rPr>
                <w:color w:val="000000"/>
                <w:sz w:val="16"/>
                <w:szCs w:val="16"/>
              </w:rPr>
            </w:pPr>
            <w:r>
              <w:rPr>
                <w:color w:val="000000"/>
                <w:sz w:val="16"/>
                <w:szCs w:val="16"/>
              </w:rPr>
              <w:t>-0.08 ±0.51</w:t>
            </w:r>
          </w:p>
        </w:tc>
        <w:tc>
          <w:tcPr>
            <w:tcW w:w="797" w:type="dxa"/>
            <w:vAlign w:val="center"/>
          </w:tcPr>
          <w:p w14:paraId="144D751F" w14:textId="77777777" w:rsidR="00722B14" w:rsidRDefault="00722B14" w:rsidP="00DD3BAE">
            <w:pPr>
              <w:spacing w:before="0" w:after="0"/>
              <w:jc w:val="center"/>
              <w:rPr>
                <w:i/>
                <w:color w:val="000000"/>
                <w:sz w:val="16"/>
                <w:szCs w:val="16"/>
              </w:rPr>
            </w:pPr>
          </w:p>
        </w:tc>
        <w:tc>
          <w:tcPr>
            <w:tcW w:w="1557" w:type="dxa"/>
            <w:noWrap/>
            <w:vAlign w:val="center"/>
          </w:tcPr>
          <w:p w14:paraId="7A92DEAE" w14:textId="77777777" w:rsidR="00722B14" w:rsidRDefault="00722B14" w:rsidP="00DD3BAE">
            <w:pPr>
              <w:spacing w:before="0" w:after="0"/>
              <w:jc w:val="center"/>
              <w:rPr>
                <w:i/>
                <w:color w:val="000000"/>
                <w:sz w:val="16"/>
                <w:szCs w:val="16"/>
              </w:rPr>
            </w:pPr>
          </w:p>
        </w:tc>
      </w:tr>
      <w:tr w:rsidR="00722B14" w14:paraId="17533A08" w14:textId="77777777" w:rsidTr="00DE79BD">
        <w:trPr>
          <w:cantSplit/>
          <w:trHeight w:val="227"/>
          <w:jc w:val="center"/>
        </w:trPr>
        <w:tc>
          <w:tcPr>
            <w:tcW w:w="1077" w:type="dxa"/>
            <w:tcBorders>
              <w:top w:val="nil"/>
              <w:left w:val="nil"/>
              <w:right w:val="nil"/>
            </w:tcBorders>
            <w:shd w:val="clear" w:color="auto" w:fill="auto"/>
            <w:vAlign w:val="center"/>
          </w:tcPr>
          <w:p w14:paraId="110C580E"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219AD1C0"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4B6D8339"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434FFEB1"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6EEAB619" w14:textId="77777777" w:rsidR="00722B14" w:rsidRPr="007C770B" w:rsidRDefault="00722B14" w:rsidP="00DD3BAE">
            <w:pPr>
              <w:spacing w:before="0" w:after="0"/>
              <w:jc w:val="center"/>
              <w:rPr>
                <w:color w:val="000000"/>
                <w:sz w:val="16"/>
                <w:szCs w:val="16"/>
              </w:rPr>
            </w:pPr>
            <w:r w:rsidRPr="007C770B">
              <w:rPr>
                <w:color w:val="000000"/>
                <w:sz w:val="16"/>
                <w:szCs w:val="16"/>
              </w:rPr>
              <w:t>38.98</w:t>
            </w:r>
          </w:p>
        </w:tc>
        <w:tc>
          <w:tcPr>
            <w:tcW w:w="661" w:type="dxa"/>
            <w:tcBorders>
              <w:top w:val="nil"/>
              <w:left w:val="nil"/>
              <w:right w:val="nil"/>
            </w:tcBorders>
            <w:shd w:val="clear" w:color="auto" w:fill="CCFFCC"/>
            <w:vAlign w:val="center"/>
          </w:tcPr>
          <w:p w14:paraId="3D58C934" w14:textId="77777777" w:rsidR="00722B14" w:rsidRPr="007C770B" w:rsidRDefault="00722B14" w:rsidP="00DD3BAE">
            <w:pPr>
              <w:spacing w:before="0" w:after="0"/>
              <w:jc w:val="center"/>
              <w:rPr>
                <w:color w:val="000000"/>
                <w:sz w:val="16"/>
                <w:szCs w:val="16"/>
              </w:rPr>
            </w:pPr>
            <w:r w:rsidRPr="007C770B">
              <w:rPr>
                <w:color w:val="000000"/>
                <w:sz w:val="16"/>
                <w:szCs w:val="16"/>
              </w:rPr>
              <w:t>16.34</w:t>
            </w:r>
          </w:p>
        </w:tc>
        <w:tc>
          <w:tcPr>
            <w:tcW w:w="1109" w:type="dxa"/>
            <w:tcBorders>
              <w:top w:val="nil"/>
              <w:left w:val="nil"/>
              <w:right w:val="nil"/>
            </w:tcBorders>
            <w:shd w:val="clear" w:color="auto" w:fill="CCFFCC"/>
            <w:noWrap/>
            <w:vAlign w:val="center"/>
          </w:tcPr>
          <w:p w14:paraId="122BADEE" w14:textId="77777777" w:rsidR="00722B14" w:rsidRPr="007C770B" w:rsidRDefault="00722B14" w:rsidP="00DD3BAE">
            <w:pPr>
              <w:spacing w:before="0" w:after="0"/>
              <w:jc w:val="center"/>
              <w:rPr>
                <w:color w:val="000000"/>
                <w:sz w:val="16"/>
                <w:szCs w:val="16"/>
              </w:rPr>
            </w:pPr>
            <w:r w:rsidRPr="007C770B">
              <w:rPr>
                <w:color w:val="000000"/>
                <w:sz w:val="16"/>
                <w:szCs w:val="16"/>
              </w:rPr>
              <w:t>-9.57 ±0.99</w:t>
            </w:r>
          </w:p>
        </w:tc>
        <w:tc>
          <w:tcPr>
            <w:tcW w:w="1109" w:type="dxa"/>
            <w:tcBorders>
              <w:top w:val="nil"/>
              <w:left w:val="nil"/>
              <w:right w:val="nil"/>
            </w:tcBorders>
            <w:shd w:val="clear" w:color="auto" w:fill="auto"/>
            <w:vAlign w:val="center"/>
          </w:tcPr>
          <w:p w14:paraId="30BC355D" w14:textId="77777777" w:rsidR="00722B14" w:rsidRPr="007C770B" w:rsidRDefault="00722B14" w:rsidP="00DD3BAE">
            <w:pPr>
              <w:spacing w:before="0" w:after="0"/>
              <w:jc w:val="center"/>
              <w:rPr>
                <w:color w:val="000000"/>
                <w:sz w:val="16"/>
                <w:szCs w:val="16"/>
              </w:rPr>
            </w:pPr>
            <w:r w:rsidRPr="007C770B">
              <w:rPr>
                <w:color w:val="000000"/>
                <w:sz w:val="16"/>
                <w:szCs w:val="16"/>
              </w:rPr>
              <w:t>0.89 ±0.78</w:t>
            </w:r>
          </w:p>
        </w:tc>
        <w:tc>
          <w:tcPr>
            <w:tcW w:w="797" w:type="dxa"/>
            <w:tcBorders>
              <w:top w:val="nil"/>
              <w:left w:val="nil"/>
              <w:right w:val="nil"/>
            </w:tcBorders>
            <w:shd w:val="clear" w:color="auto" w:fill="auto"/>
            <w:vAlign w:val="center"/>
          </w:tcPr>
          <w:p w14:paraId="3F580993"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2F742F9C" w14:textId="77777777" w:rsidR="00722B14" w:rsidRDefault="00722B14" w:rsidP="00DD3BAE">
            <w:pPr>
              <w:spacing w:before="0" w:after="0"/>
              <w:jc w:val="center"/>
              <w:rPr>
                <w:i/>
                <w:color w:val="000000"/>
                <w:sz w:val="16"/>
                <w:szCs w:val="16"/>
              </w:rPr>
            </w:pPr>
          </w:p>
        </w:tc>
      </w:tr>
      <w:tr w:rsidR="00722B14" w14:paraId="20A7621D" w14:textId="77777777" w:rsidTr="00DE79BD">
        <w:trPr>
          <w:cantSplit/>
          <w:trHeight w:val="227"/>
          <w:jc w:val="center"/>
        </w:trPr>
        <w:tc>
          <w:tcPr>
            <w:tcW w:w="1077" w:type="dxa"/>
            <w:tcBorders>
              <w:left w:val="nil"/>
              <w:right w:val="nil"/>
            </w:tcBorders>
            <w:shd w:val="clear" w:color="auto" w:fill="auto"/>
            <w:vAlign w:val="center"/>
          </w:tcPr>
          <w:p w14:paraId="6EE60DE2"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0AAF9429"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0CD3A285"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2E0E6F95"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7ADB617F" w14:textId="77777777" w:rsidR="00722B14" w:rsidRPr="00BB21C7" w:rsidRDefault="00722B14" w:rsidP="00DD3BAE">
            <w:pPr>
              <w:spacing w:before="0" w:after="0"/>
              <w:jc w:val="center"/>
              <w:rPr>
                <w:color w:val="000000"/>
                <w:sz w:val="16"/>
                <w:szCs w:val="16"/>
              </w:rPr>
            </w:pPr>
            <w:r w:rsidRPr="00BB21C7">
              <w:rPr>
                <w:color w:val="000000"/>
                <w:sz w:val="16"/>
                <w:szCs w:val="16"/>
              </w:rPr>
              <w:t>42.19</w:t>
            </w:r>
          </w:p>
        </w:tc>
        <w:tc>
          <w:tcPr>
            <w:tcW w:w="661" w:type="dxa"/>
            <w:tcBorders>
              <w:left w:val="nil"/>
              <w:bottom w:val="single" w:sz="4" w:space="0" w:color="auto"/>
              <w:right w:val="nil"/>
            </w:tcBorders>
            <w:shd w:val="clear" w:color="auto" w:fill="CCFFCC"/>
            <w:vAlign w:val="center"/>
          </w:tcPr>
          <w:p w14:paraId="4D383215" w14:textId="77777777" w:rsidR="00722B14" w:rsidRPr="00104EE4" w:rsidRDefault="00722B14" w:rsidP="00DD3BAE">
            <w:pPr>
              <w:spacing w:before="0" w:after="0"/>
              <w:jc w:val="center"/>
              <w:rPr>
                <w:color w:val="000000"/>
                <w:sz w:val="16"/>
                <w:szCs w:val="16"/>
              </w:rPr>
            </w:pPr>
            <w:r>
              <w:rPr>
                <w:color w:val="000000"/>
                <w:sz w:val="16"/>
                <w:szCs w:val="16"/>
              </w:rPr>
              <w:t>19.61</w:t>
            </w:r>
          </w:p>
        </w:tc>
        <w:tc>
          <w:tcPr>
            <w:tcW w:w="1109" w:type="dxa"/>
            <w:tcBorders>
              <w:left w:val="nil"/>
              <w:bottom w:val="single" w:sz="4" w:space="0" w:color="auto"/>
              <w:right w:val="nil"/>
            </w:tcBorders>
            <w:shd w:val="clear" w:color="auto" w:fill="CCFFCC"/>
            <w:noWrap/>
            <w:vAlign w:val="center"/>
          </w:tcPr>
          <w:p w14:paraId="7FE62DA9" w14:textId="77777777" w:rsidR="00722B14" w:rsidRPr="00BB21C7" w:rsidRDefault="00722B14" w:rsidP="00DD3BAE">
            <w:pPr>
              <w:spacing w:before="0" w:after="0"/>
              <w:jc w:val="center"/>
              <w:rPr>
                <w:color w:val="000000"/>
                <w:sz w:val="16"/>
                <w:szCs w:val="16"/>
              </w:rPr>
            </w:pPr>
            <w:r w:rsidRPr="00BB21C7">
              <w:rPr>
                <w:color w:val="000000"/>
                <w:sz w:val="16"/>
                <w:szCs w:val="16"/>
              </w:rPr>
              <w:t>-10.68 ±0.18</w:t>
            </w:r>
          </w:p>
        </w:tc>
        <w:tc>
          <w:tcPr>
            <w:tcW w:w="1109" w:type="dxa"/>
            <w:tcBorders>
              <w:left w:val="nil"/>
              <w:bottom w:val="single" w:sz="4" w:space="0" w:color="auto"/>
              <w:right w:val="nil"/>
            </w:tcBorders>
            <w:shd w:val="clear" w:color="auto" w:fill="auto"/>
            <w:vAlign w:val="center"/>
          </w:tcPr>
          <w:p w14:paraId="3C72AB06" w14:textId="77777777" w:rsidR="00722B14" w:rsidRPr="00BB21C7" w:rsidRDefault="00722B14" w:rsidP="00DD3BAE">
            <w:pPr>
              <w:spacing w:before="0" w:after="0"/>
              <w:jc w:val="center"/>
              <w:rPr>
                <w:color w:val="000000"/>
                <w:sz w:val="16"/>
                <w:szCs w:val="16"/>
              </w:rPr>
            </w:pPr>
            <w:r w:rsidRPr="00BB21C7">
              <w:rPr>
                <w:color w:val="000000"/>
                <w:sz w:val="16"/>
                <w:szCs w:val="16"/>
              </w:rPr>
              <w:t>0.58 ±0.21</w:t>
            </w:r>
          </w:p>
        </w:tc>
        <w:tc>
          <w:tcPr>
            <w:tcW w:w="797" w:type="dxa"/>
            <w:tcBorders>
              <w:left w:val="nil"/>
              <w:bottom w:val="single" w:sz="4" w:space="0" w:color="auto"/>
              <w:right w:val="nil"/>
            </w:tcBorders>
            <w:shd w:val="clear" w:color="auto" w:fill="auto"/>
            <w:vAlign w:val="center"/>
          </w:tcPr>
          <w:p w14:paraId="1617DE1F"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2CB1160B" w14:textId="77777777" w:rsidR="00722B14" w:rsidRDefault="00722B14" w:rsidP="00DD3BAE">
            <w:pPr>
              <w:spacing w:before="0" w:after="0"/>
              <w:jc w:val="center"/>
              <w:rPr>
                <w:i/>
                <w:color w:val="000000"/>
                <w:sz w:val="16"/>
                <w:szCs w:val="16"/>
              </w:rPr>
            </w:pPr>
          </w:p>
        </w:tc>
      </w:tr>
      <w:tr w:rsidR="00722B14" w14:paraId="2D988830" w14:textId="77777777" w:rsidTr="00DE79BD">
        <w:trPr>
          <w:cantSplit/>
          <w:trHeight w:val="227"/>
          <w:jc w:val="center"/>
        </w:trPr>
        <w:tc>
          <w:tcPr>
            <w:tcW w:w="1077" w:type="dxa"/>
            <w:vAlign w:val="center"/>
          </w:tcPr>
          <w:p w14:paraId="506BBC44" w14:textId="77777777" w:rsidR="00722B14" w:rsidRDefault="00722B14" w:rsidP="00DD3BAE">
            <w:pPr>
              <w:spacing w:before="0" w:after="0"/>
              <w:jc w:val="center"/>
              <w:rPr>
                <w:color w:val="000000"/>
                <w:sz w:val="16"/>
                <w:szCs w:val="16"/>
              </w:rPr>
            </w:pPr>
          </w:p>
        </w:tc>
        <w:tc>
          <w:tcPr>
            <w:tcW w:w="1115" w:type="dxa"/>
            <w:noWrap/>
            <w:vAlign w:val="center"/>
          </w:tcPr>
          <w:p w14:paraId="50224C5A"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ED7F5C1" w14:textId="77777777" w:rsidR="00722B14" w:rsidRDefault="00722B14" w:rsidP="00DD3BAE">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14:paraId="4DFBDDE1"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527BE8BD" w14:textId="77777777" w:rsidR="00722B14" w:rsidRDefault="00722B14" w:rsidP="00DD3BAE">
            <w:pPr>
              <w:spacing w:before="0" w:after="0"/>
              <w:jc w:val="center"/>
              <w:rPr>
                <w:color w:val="000000"/>
                <w:sz w:val="16"/>
                <w:szCs w:val="16"/>
              </w:rPr>
            </w:pPr>
            <w:r>
              <w:rPr>
                <w:color w:val="000000"/>
                <w:sz w:val="16"/>
                <w:szCs w:val="16"/>
              </w:rPr>
              <w:t>36.74</w:t>
            </w:r>
          </w:p>
        </w:tc>
        <w:tc>
          <w:tcPr>
            <w:tcW w:w="661" w:type="dxa"/>
            <w:tcBorders>
              <w:top w:val="single" w:sz="4" w:space="0" w:color="auto"/>
              <w:left w:val="nil"/>
              <w:bottom w:val="nil"/>
              <w:right w:val="nil"/>
            </w:tcBorders>
            <w:shd w:val="clear" w:color="auto" w:fill="CCFFCC"/>
            <w:vAlign w:val="center"/>
            <w:hideMark/>
          </w:tcPr>
          <w:p w14:paraId="769C78FE" w14:textId="77777777" w:rsidR="00722B14" w:rsidRDefault="00722B14" w:rsidP="00DD3BAE">
            <w:pPr>
              <w:spacing w:before="0" w:after="0"/>
              <w:jc w:val="center"/>
              <w:rPr>
                <w:color w:val="000000"/>
                <w:sz w:val="16"/>
                <w:szCs w:val="16"/>
              </w:rPr>
            </w:pPr>
            <w:r>
              <w:rPr>
                <w:color w:val="000000"/>
                <w:sz w:val="16"/>
                <w:szCs w:val="16"/>
              </w:rPr>
              <w:t>16.52</w:t>
            </w:r>
          </w:p>
        </w:tc>
        <w:tc>
          <w:tcPr>
            <w:tcW w:w="1109" w:type="dxa"/>
            <w:tcBorders>
              <w:top w:val="single" w:sz="4" w:space="0" w:color="auto"/>
              <w:left w:val="nil"/>
              <w:bottom w:val="nil"/>
              <w:right w:val="nil"/>
            </w:tcBorders>
            <w:shd w:val="clear" w:color="auto" w:fill="CCFFCC"/>
            <w:noWrap/>
            <w:vAlign w:val="center"/>
            <w:hideMark/>
          </w:tcPr>
          <w:p w14:paraId="6BDA9C69" w14:textId="77777777" w:rsidR="00722B14" w:rsidRDefault="00722B14" w:rsidP="00DD3BAE">
            <w:pPr>
              <w:spacing w:before="0" w:after="0"/>
              <w:jc w:val="center"/>
              <w:rPr>
                <w:color w:val="000000"/>
                <w:sz w:val="16"/>
                <w:szCs w:val="16"/>
              </w:rPr>
            </w:pPr>
            <w:r>
              <w:rPr>
                <w:color w:val="000000"/>
                <w:sz w:val="16"/>
                <w:szCs w:val="16"/>
              </w:rPr>
              <w:t>-4.78</w:t>
            </w:r>
          </w:p>
        </w:tc>
        <w:tc>
          <w:tcPr>
            <w:tcW w:w="1109" w:type="dxa"/>
            <w:tcBorders>
              <w:top w:val="single" w:sz="4" w:space="0" w:color="auto"/>
              <w:left w:val="nil"/>
              <w:bottom w:val="nil"/>
              <w:right w:val="nil"/>
            </w:tcBorders>
            <w:vAlign w:val="center"/>
            <w:hideMark/>
          </w:tcPr>
          <w:p w14:paraId="3CAF56F7" w14:textId="77777777" w:rsidR="00722B14" w:rsidRDefault="00722B14" w:rsidP="00DD3BAE">
            <w:pPr>
              <w:spacing w:before="0" w:after="0"/>
              <w:jc w:val="center"/>
              <w:rPr>
                <w:color w:val="000000"/>
                <w:sz w:val="16"/>
                <w:szCs w:val="16"/>
              </w:rPr>
            </w:pPr>
            <w:r>
              <w:rPr>
                <w:color w:val="000000"/>
                <w:sz w:val="16"/>
                <w:szCs w:val="16"/>
              </w:rPr>
              <w:t>0.35</w:t>
            </w:r>
          </w:p>
        </w:tc>
        <w:tc>
          <w:tcPr>
            <w:tcW w:w="797" w:type="dxa"/>
            <w:tcBorders>
              <w:top w:val="single" w:sz="4" w:space="0" w:color="auto"/>
              <w:left w:val="nil"/>
              <w:bottom w:val="nil"/>
              <w:right w:val="nil"/>
            </w:tcBorders>
            <w:vAlign w:val="center"/>
            <w:hideMark/>
          </w:tcPr>
          <w:p w14:paraId="2DA80E15" w14:textId="77777777" w:rsidR="00722B14" w:rsidRDefault="00722B14" w:rsidP="00DD3BAE">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14:paraId="233118FE" w14:textId="77777777" w:rsidR="00722B14" w:rsidRDefault="00722B14" w:rsidP="00DD3BAE">
            <w:pPr>
              <w:spacing w:before="0" w:after="0"/>
              <w:jc w:val="center"/>
              <w:rPr>
                <w:i/>
                <w:color w:val="000000"/>
                <w:sz w:val="16"/>
                <w:szCs w:val="16"/>
              </w:rPr>
            </w:pPr>
            <w:r>
              <w:rPr>
                <w:i/>
                <w:color w:val="000000"/>
                <w:sz w:val="16"/>
                <w:szCs w:val="16"/>
              </w:rPr>
              <w:t>-6.0 (-8.3 to -3.6)</w:t>
            </w:r>
          </w:p>
        </w:tc>
      </w:tr>
      <w:tr w:rsidR="00722B14" w14:paraId="1E38F0ED" w14:textId="77777777" w:rsidTr="00DE79BD">
        <w:trPr>
          <w:cantSplit/>
          <w:trHeight w:val="227"/>
          <w:jc w:val="center"/>
        </w:trPr>
        <w:tc>
          <w:tcPr>
            <w:tcW w:w="1077" w:type="dxa"/>
            <w:vAlign w:val="center"/>
          </w:tcPr>
          <w:p w14:paraId="4FAD70F4" w14:textId="77777777" w:rsidR="00722B14" w:rsidRDefault="00722B14" w:rsidP="00DD3BAE">
            <w:pPr>
              <w:spacing w:before="0" w:after="0"/>
              <w:jc w:val="center"/>
              <w:rPr>
                <w:color w:val="000000"/>
                <w:sz w:val="16"/>
                <w:szCs w:val="16"/>
              </w:rPr>
            </w:pPr>
          </w:p>
        </w:tc>
        <w:tc>
          <w:tcPr>
            <w:tcW w:w="1115" w:type="dxa"/>
            <w:noWrap/>
            <w:vAlign w:val="center"/>
          </w:tcPr>
          <w:p w14:paraId="4BD32079" w14:textId="77777777" w:rsidR="00722B14" w:rsidRDefault="00722B14" w:rsidP="00DD3BAE">
            <w:pPr>
              <w:spacing w:before="0" w:after="0"/>
              <w:jc w:val="center"/>
              <w:rPr>
                <w:color w:val="000000"/>
                <w:sz w:val="16"/>
                <w:szCs w:val="16"/>
              </w:rPr>
            </w:pPr>
          </w:p>
        </w:tc>
        <w:tc>
          <w:tcPr>
            <w:tcW w:w="789" w:type="dxa"/>
            <w:noWrap/>
            <w:vAlign w:val="center"/>
          </w:tcPr>
          <w:p w14:paraId="7D91A802" w14:textId="77777777" w:rsidR="00722B14" w:rsidRDefault="00722B14" w:rsidP="00DD3BAE">
            <w:pPr>
              <w:spacing w:before="0" w:after="0"/>
              <w:jc w:val="center"/>
              <w:rPr>
                <w:color w:val="000000"/>
                <w:sz w:val="16"/>
                <w:szCs w:val="16"/>
              </w:rPr>
            </w:pPr>
          </w:p>
        </w:tc>
        <w:tc>
          <w:tcPr>
            <w:tcW w:w="621" w:type="dxa"/>
            <w:vAlign w:val="center"/>
            <w:hideMark/>
          </w:tcPr>
          <w:p w14:paraId="57E73DB3"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5D36E84C" w14:textId="77777777" w:rsidR="00722B14" w:rsidRDefault="00722B14" w:rsidP="00DD3BAE">
            <w:pPr>
              <w:spacing w:before="0" w:after="0"/>
              <w:jc w:val="center"/>
              <w:rPr>
                <w:color w:val="000000"/>
                <w:sz w:val="16"/>
                <w:szCs w:val="16"/>
              </w:rPr>
            </w:pPr>
            <w:r>
              <w:rPr>
                <w:color w:val="000000"/>
                <w:sz w:val="16"/>
                <w:szCs w:val="16"/>
              </w:rPr>
              <w:t>36.34</w:t>
            </w:r>
          </w:p>
        </w:tc>
        <w:tc>
          <w:tcPr>
            <w:tcW w:w="661" w:type="dxa"/>
            <w:shd w:val="clear" w:color="auto" w:fill="CCFFCC"/>
            <w:vAlign w:val="center"/>
            <w:hideMark/>
          </w:tcPr>
          <w:p w14:paraId="1E7A9782" w14:textId="77777777" w:rsidR="00722B14" w:rsidRDefault="00722B14" w:rsidP="00DD3BAE">
            <w:pPr>
              <w:spacing w:before="0" w:after="0"/>
              <w:jc w:val="center"/>
              <w:rPr>
                <w:color w:val="000000"/>
                <w:sz w:val="16"/>
                <w:szCs w:val="16"/>
              </w:rPr>
            </w:pPr>
            <w:r>
              <w:rPr>
                <w:color w:val="000000"/>
                <w:sz w:val="16"/>
                <w:szCs w:val="16"/>
              </w:rPr>
              <w:t>18.07</w:t>
            </w:r>
          </w:p>
        </w:tc>
        <w:tc>
          <w:tcPr>
            <w:tcW w:w="1109" w:type="dxa"/>
            <w:noWrap/>
            <w:vAlign w:val="center"/>
            <w:hideMark/>
          </w:tcPr>
          <w:p w14:paraId="60131F48" w14:textId="77777777" w:rsidR="00722B14" w:rsidRDefault="00722B14" w:rsidP="00DD3BAE">
            <w:pPr>
              <w:spacing w:before="0" w:after="0"/>
              <w:jc w:val="center"/>
              <w:rPr>
                <w:color w:val="000000"/>
                <w:sz w:val="16"/>
                <w:szCs w:val="16"/>
              </w:rPr>
            </w:pPr>
            <w:r>
              <w:rPr>
                <w:color w:val="000000"/>
                <w:sz w:val="16"/>
                <w:szCs w:val="16"/>
              </w:rPr>
              <w:t>-6.10 ±0.09</w:t>
            </w:r>
          </w:p>
        </w:tc>
        <w:tc>
          <w:tcPr>
            <w:tcW w:w="1109" w:type="dxa"/>
            <w:vAlign w:val="center"/>
            <w:hideMark/>
          </w:tcPr>
          <w:p w14:paraId="58A3EAD1" w14:textId="77777777" w:rsidR="00722B14" w:rsidRDefault="00722B14" w:rsidP="00DD3BAE">
            <w:pPr>
              <w:spacing w:before="0" w:after="0"/>
              <w:jc w:val="center"/>
              <w:rPr>
                <w:color w:val="000000"/>
                <w:sz w:val="16"/>
                <w:szCs w:val="16"/>
              </w:rPr>
            </w:pPr>
            <w:r>
              <w:rPr>
                <w:color w:val="000000"/>
                <w:sz w:val="16"/>
                <w:szCs w:val="16"/>
              </w:rPr>
              <w:t>-0.58 ±0.34</w:t>
            </w:r>
          </w:p>
        </w:tc>
        <w:tc>
          <w:tcPr>
            <w:tcW w:w="797" w:type="dxa"/>
            <w:vAlign w:val="center"/>
          </w:tcPr>
          <w:p w14:paraId="23742FB7" w14:textId="77777777" w:rsidR="00722B14" w:rsidRDefault="00722B14" w:rsidP="00DD3BAE">
            <w:pPr>
              <w:spacing w:before="0" w:after="0"/>
              <w:jc w:val="center"/>
              <w:rPr>
                <w:i/>
                <w:color w:val="000000"/>
                <w:sz w:val="16"/>
                <w:szCs w:val="16"/>
              </w:rPr>
            </w:pPr>
          </w:p>
        </w:tc>
        <w:tc>
          <w:tcPr>
            <w:tcW w:w="1557" w:type="dxa"/>
            <w:noWrap/>
            <w:vAlign w:val="center"/>
          </w:tcPr>
          <w:p w14:paraId="3B574683" w14:textId="77777777" w:rsidR="00722B14" w:rsidRDefault="00722B14" w:rsidP="00DD3BAE">
            <w:pPr>
              <w:spacing w:before="0" w:after="0"/>
              <w:jc w:val="center"/>
              <w:rPr>
                <w:i/>
                <w:color w:val="000000"/>
                <w:sz w:val="16"/>
                <w:szCs w:val="16"/>
              </w:rPr>
            </w:pPr>
          </w:p>
        </w:tc>
      </w:tr>
      <w:tr w:rsidR="00722B14" w14:paraId="76CA5209" w14:textId="77777777" w:rsidTr="00DE79BD">
        <w:trPr>
          <w:cantSplit/>
          <w:trHeight w:val="227"/>
          <w:jc w:val="center"/>
        </w:trPr>
        <w:tc>
          <w:tcPr>
            <w:tcW w:w="1077" w:type="dxa"/>
            <w:vAlign w:val="center"/>
          </w:tcPr>
          <w:p w14:paraId="097F65B4" w14:textId="77777777" w:rsidR="00722B14" w:rsidRDefault="00722B14" w:rsidP="00DD3BAE">
            <w:pPr>
              <w:spacing w:before="0" w:after="0"/>
              <w:jc w:val="center"/>
              <w:rPr>
                <w:color w:val="000000"/>
                <w:sz w:val="16"/>
                <w:szCs w:val="16"/>
              </w:rPr>
            </w:pPr>
          </w:p>
        </w:tc>
        <w:tc>
          <w:tcPr>
            <w:tcW w:w="1115" w:type="dxa"/>
            <w:noWrap/>
            <w:vAlign w:val="center"/>
          </w:tcPr>
          <w:p w14:paraId="776D674E"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3B210F07"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7E4A4466"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022EFA7D" w14:textId="77777777" w:rsidR="00722B14" w:rsidRDefault="00722B14" w:rsidP="00DD3BAE">
            <w:pPr>
              <w:spacing w:before="0" w:after="0"/>
              <w:jc w:val="center"/>
              <w:rPr>
                <w:color w:val="000000"/>
                <w:sz w:val="16"/>
                <w:szCs w:val="16"/>
              </w:rPr>
            </w:pPr>
            <w:r>
              <w:rPr>
                <w:color w:val="000000"/>
                <w:sz w:val="16"/>
                <w:szCs w:val="16"/>
              </w:rPr>
              <w:t>36.69</w:t>
            </w:r>
          </w:p>
        </w:tc>
        <w:tc>
          <w:tcPr>
            <w:tcW w:w="661" w:type="dxa"/>
            <w:tcBorders>
              <w:top w:val="nil"/>
              <w:left w:val="nil"/>
              <w:right w:val="nil"/>
            </w:tcBorders>
            <w:vAlign w:val="center"/>
            <w:hideMark/>
          </w:tcPr>
          <w:p w14:paraId="5F4C4395" w14:textId="77777777" w:rsidR="00722B14" w:rsidRDefault="00722B14" w:rsidP="00DD3BAE">
            <w:pPr>
              <w:spacing w:before="0" w:after="0"/>
              <w:jc w:val="center"/>
              <w:rPr>
                <w:color w:val="000000"/>
                <w:sz w:val="16"/>
                <w:szCs w:val="16"/>
              </w:rPr>
            </w:pPr>
            <w:r>
              <w:rPr>
                <w:color w:val="000000"/>
                <w:sz w:val="16"/>
                <w:szCs w:val="16"/>
              </w:rPr>
              <w:t>24.00</w:t>
            </w:r>
          </w:p>
        </w:tc>
        <w:tc>
          <w:tcPr>
            <w:tcW w:w="1109" w:type="dxa"/>
            <w:tcBorders>
              <w:top w:val="nil"/>
              <w:left w:val="nil"/>
              <w:right w:val="nil"/>
            </w:tcBorders>
            <w:shd w:val="clear" w:color="auto" w:fill="CCFFCC"/>
            <w:noWrap/>
            <w:vAlign w:val="center"/>
            <w:hideMark/>
          </w:tcPr>
          <w:p w14:paraId="0BC9917D" w14:textId="77777777" w:rsidR="00722B14" w:rsidRDefault="00722B14" w:rsidP="00DD3BAE">
            <w:pPr>
              <w:spacing w:before="0" w:after="0"/>
              <w:jc w:val="center"/>
              <w:rPr>
                <w:color w:val="000000"/>
                <w:sz w:val="16"/>
                <w:szCs w:val="16"/>
              </w:rPr>
            </w:pPr>
            <w:r>
              <w:rPr>
                <w:color w:val="000000"/>
                <w:sz w:val="16"/>
                <w:szCs w:val="16"/>
              </w:rPr>
              <w:t>-4.28 ±0.25</w:t>
            </w:r>
          </w:p>
        </w:tc>
        <w:tc>
          <w:tcPr>
            <w:tcW w:w="1109" w:type="dxa"/>
            <w:tcBorders>
              <w:top w:val="nil"/>
              <w:left w:val="nil"/>
              <w:right w:val="nil"/>
            </w:tcBorders>
            <w:vAlign w:val="center"/>
            <w:hideMark/>
          </w:tcPr>
          <w:p w14:paraId="4EDF112C" w14:textId="77777777" w:rsidR="00722B14" w:rsidRDefault="00722B14" w:rsidP="00DD3BAE">
            <w:pPr>
              <w:spacing w:before="0" w:after="0"/>
              <w:jc w:val="center"/>
              <w:rPr>
                <w:color w:val="000000"/>
                <w:sz w:val="16"/>
                <w:szCs w:val="16"/>
              </w:rPr>
            </w:pPr>
            <w:r>
              <w:rPr>
                <w:color w:val="000000"/>
                <w:sz w:val="16"/>
                <w:szCs w:val="16"/>
              </w:rPr>
              <w:t>0.20 ±0.1</w:t>
            </w:r>
          </w:p>
        </w:tc>
        <w:tc>
          <w:tcPr>
            <w:tcW w:w="797" w:type="dxa"/>
            <w:tcBorders>
              <w:top w:val="nil"/>
              <w:left w:val="nil"/>
              <w:right w:val="nil"/>
            </w:tcBorders>
            <w:vAlign w:val="center"/>
          </w:tcPr>
          <w:p w14:paraId="5EA297A1"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1E9FE2BE" w14:textId="77777777" w:rsidR="00722B14" w:rsidRDefault="00722B14" w:rsidP="00DD3BAE">
            <w:pPr>
              <w:spacing w:before="0" w:after="0"/>
              <w:jc w:val="center"/>
              <w:rPr>
                <w:i/>
                <w:color w:val="000000"/>
                <w:sz w:val="16"/>
                <w:szCs w:val="16"/>
              </w:rPr>
            </w:pPr>
          </w:p>
        </w:tc>
      </w:tr>
      <w:tr w:rsidR="00722B14" w14:paraId="5A1D3878" w14:textId="77777777" w:rsidTr="00DE79BD">
        <w:trPr>
          <w:cantSplit/>
          <w:trHeight w:val="227"/>
          <w:jc w:val="center"/>
        </w:trPr>
        <w:tc>
          <w:tcPr>
            <w:tcW w:w="1077" w:type="dxa"/>
            <w:tcBorders>
              <w:top w:val="nil"/>
              <w:left w:val="nil"/>
              <w:right w:val="nil"/>
            </w:tcBorders>
            <w:shd w:val="clear" w:color="auto" w:fill="auto"/>
            <w:vAlign w:val="center"/>
          </w:tcPr>
          <w:p w14:paraId="4ABA1A41"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608E1A89"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469CDB53"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0A96EC07"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5AE97918" w14:textId="77777777" w:rsidR="00722B14" w:rsidRPr="007C770B" w:rsidRDefault="00722B14" w:rsidP="00DD3BAE">
            <w:pPr>
              <w:spacing w:before="0" w:after="0"/>
              <w:jc w:val="center"/>
              <w:rPr>
                <w:color w:val="000000"/>
                <w:sz w:val="16"/>
                <w:szCs w:val="16"/>
              </w:rPr>
            </w:pPr>
            <w:r w:rsidRPr="007C770B">
              <w:rPr>
                <w:color w:val="000000"/>
                <w:sz w:val="16"/>
                <w:szCs w:val="16"/>
              </w:rPr>
              <w:t>33.00</w:t>
            </w:r>
          </w:p>
        </w:tc>
        <w:tc>
          <w:tcPr>
            <w:tcW w:w="661" w:type="dxa"/>
            <w:tcBorders>
              <w:top w:val="nil"/>
              <w:left w:val="nil"/>
              <w:right w:val="nil"/>
            </w:tcBorders>
            <w:shd w:val="clear" w:color="auto" w:fill="auto"/>
            <w:vAlign w:val="center"/>
          </w:tcPr>
          <w:p w14:paraId="49D78288" w14:textId="77777777" w:rsidR="00722B14" w:rsidRPr="007C770B" w:rsidRDefault="00722B14" w:rsidP="00DD3BAE">
            <w:pPr>
              <w:spacing w:before="0" w:after="0"/>
              <w:jc w:val="center"/>
              <w:rPr>
                <w:color w:val="000000"/>
                <w:sz w:val="16"/>
                <w:szCs w:val="16"/>
              </w:rPr>
            </w:pPr>
            <w:r w:rsidRPr="007C770B">
              <w:rPr>
                <w:color w:val="000000"/>
                <w:sz w:val="16"/>
                <w:szCs w:val="16"/>
              </w:rPr>
              <w:t>22.65</w:t>
            </w:r>
          </w:p>
        </w:tc>
        <w:tc>
          <w:tcPr>
            <w:tcW w:w="1109" w:type="dxa"/>
            <w:tcBorders>
              <w:top w:val="nil"/>
              <w:left w:val="nil"/>
              <w:right w:val="nil"/>
            </w:tcBorders>
            <w:shd w:val="clear" w:color="auto" w:fill="auto"/>
            <w:noWrap/>
            <w:vAlign w:val="center"/>
          </w:tcPr>
          <w:p w14:paraId="6BB77C10" w14:textId="77777777" w:rsidR="00722B14" w:rsidRPr="007C770B" w:rsidRDefault="00722B14" w:rsidP="00DD3BAE">
            <w:pPr>
              <w:spacing w:before="0" w:after="0"/>
              <w:jc w:val="center"/>
              <w:rPr>
                <w:color w:val="000000"/>
                <w:sz w:val="16"/>
                <w:szCs w:val="16"/>
              </w:rPr>
            </w:pPr>
            <w:r w:rsidRPr="007C770B">
              <w:rPr>
                <w:color w:val="000000"/>
                <w:sz w:val="16"/>
                <w:szCs w:val="16"/>
              </w:rPr>
              <w:t>-8.48 ±1.65</w:t>
            </w:r>
          </w:p>
        </w:tc>
        <w:tc>
          <w:tcPr>
            <w:tcW w:w="1109" w:type="dxa"/>
            <w:tcBorders>
              <w:top w:val="nil"/>
              <w:left w:val="nil"/>
              <w:right w:val="nil"/>
            </w:tcBorders>
            <w:shd w:val="clear" w:color="auto" w:fill="auto"/>
            <w:vAlign w:val="center"/>
          </w:tcPr>
          <w:p w14:paraId="791F57C9" w14:textId="77777777" w:rsidR="00722B14" w:rsidRPr="007C770B" w:rsidRDefault="00722B14" w:rsidP="00DD3BAE">
            <w:pPr>
              <w:spacing w:before="0" w:after="0"/>
              <w:jc w:val="center"/>
              <w:rPr>
                <w:color w:val="000000"/>
                <w:sz w:val="16"/>
                <w:szCs w:val="16"/>
              </w:rPr>
            </w:pPr>
            <w:r w:rsidRPr="007C770B">
              <w:rPr>
                <w:color w:val="000000"/>
                <w:sz w:val="16"/>
                <w:szCs w:val="16"/>
              </w:rPr>
              <w:t>0.55 ±0.45</w:t>
            </w:r>
          </w:p>
        </w:tc>
        <w:tc>
          <w:tcPr>
            <w:tcW w:w="797" w:type="dxa"/>
            <w:tcBorders>
              <w:top w:val="nil"/>
              <w:left w:val="nil"/>
              <w:right w:val="nil"/>
            </w:tcBorders>
            <w:shd w:val="clear" w:color="auto" w:fill="auto"/>
            <w:vAlign w:val="center"/>
          </w:tcPr>
          <w:p w14:paraId="4277C277"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076C203B" w14:textId="77777777" w:rsidR="00722B14" w:rsidRDefault="00722B14" w:rsidP="00DD3BAE">
            <w:pPr>
              <w:spacing w:before="0" w:after="0"/>
              <w:jc w:val="center"/>
              <w:rPr>
                <w:i/>
                <w:color w:val="000000"/>
                <w:sz w:val="16"/>
                <w:szCs w:val="16"/>
              </w:rPr>
            </w:pPr>
          </w:p>
        </w:tc>
      </w:tr>
      <w:tr w:rsidR="00722B14" w14:paraId="76FA7D22" w14:textId="77777777" w:rsidTr="00DE79BD">
        <w:trPr>
          <w:cantSplit/>
          <w:trHeight w:val="227"/>
          <w:jc w:val="center"/>
        </w:trPr>
        <w:tc>
          <w:tcPr>
            <w:tcW w:w="1077" w:type="dxa"/>
            <w:tcBorders>
              <w:left w:val="nil"/>
              <w:right w:val="nil"/>
            </w:tcBorders>
            <w:shd w:val="clear" w:color="auto" w:fill="auto"/>
            <w:vAlign w:val="center"/>
          </w:tcPr>
          <w:p w14:paraId="2E0C46E9"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28092107"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0144CEDB"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47C05BB5"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398B18C8" w14:textId="77777777" w:rsidR="00722B14" w:rsidRPr="00BB21C7" w:rsidRDefault="00722B14" w:rsidP="00DD3BAE">
            <w:pPr>
              <w:spacing w:before="0" w:after="0"/>
              <w:jc w:val="center"/>
              <w:rPr>
                <w:color w:val="000000"/>
                <w:sz w:val="16"/>
                <w:szCs w:val="16"/>
              </w:rPr>
            </w:pPr>
            <w:r w:rsidRPr="00BB21C7">
              <w:rPr>
                <w:color w:val="000000"/>
                <w:sz w:val="16"/>
                <w:szCs w:val="16"/>
              </w:rPr>
              <w:t>38.57</w:t>
            </w:r>
          </w:p>
        </w:tc>
        <w:tc>
          <w:tcPr>
            <w:tcW w:w="661" w:type="dxa"/>
            <w:tcBorders>
              <w:left w:val="nil"/>
              <w:bottom w:val="single" w:sz="4" w:space="0" w:color="auto"/>
              <w:right w:val="nil"/>
            </w:tcBorders>
            <w:shd w:val="clear" w:color="auto" w:fill="CCFFCC"/>
            <w:vAlign w:val="center"/>
          </w:tcPr>
          <w:p w14:paraId="2842706C" w14:textId="77777777" w:rsidR="00722B14" w:rsidRPr="00BB21C7" w:rsidRDefault="00722B14" w:rsidP="00DD3BAE">
            <w:pPr>
              <w:spacing w:before="0" w:after="0"/>
              <w:jc w:val="center"/>
              <w:rPr>
                <w:color w:val="000000"/>
                <w:sz w:val="16"/>
                <w:szCs w:val="16"/>
              </w:rPr>
            </w:pPr>
            <w:r>
              <w:rPr>
                <w:color w:val="000000"/>
                <w:sz w:val="16"/>
                <w:szCs w:val="16"/>
              </w:rPr>
              <w:t>19.28</w:t>
            </w:r>
          </w:p>
        </w:tc>
        <w:tc>
          <w:tcPr>
            <w:tcW w:w="1109" w:type="dxa"/>
            <w:tcBorders>
              <w:left w:val="nil"/>
              <w:bottom w:val="single" w:sz="4" w:space="0" w:color="auto"/>
              <w:right w:val="nil"/>
            </w:tcBorders>
            <w:shd w:val="clear" w:color="auto" w:fill="CCFFCC"/>
            <w:noWrap/>
            <w:vAlign w:val="center"/>
          </w:tcPr>
          <w:p w14:paraId="17DFA8D1" w14:textId="77777777" w:rsidR="00722B14" w:rsidRPr="00BB21C7" w:rsidRDefault="00722B14" w:rsidP="00DD3BAE">
            <w:pPr>
              <w:spacing w:before="0" w:after="0"/>
              <w:jc w:val="center"/>
              <w:rPr>
                <w:color w:val="000000"/>
                <w:sz w:val="16"/>
                <w:szCs w:val="16"/>
              </w:rPr>
            </w:pPr>
            <w:r w:rsidRPr="00BB21C7">
              <w:rPr>
                <w:color w:val="000000"/>
                <w:sz w:val="16"/>
                <w:szCs w:val="16"/>
              </w:rPr>
              <w:t>-4.75 ±0.00</w:t>
            </w:r>
          </w:p>
        </w:tc>
        <w:tc>
          <w:tcPr>
            <w:tcW w:w="1109" w:type="dxa"/>
            <w:tcBorders>
              <w:left w:val="nil"/>
              <w:bottom w:val="single" w:sz="4" w:space="0" w:color="auto"/>
              <w:right w:val="nil"/>
            </w:tcBorders>
            <w:shd w:val="clear" w:color="auto" w:fill="auto"/>
            <w:vAlign w:val="center"/>
          </w:tcPr>
          <w:p w14:paraId="7A5C1BA2" w14:textId="77777777" w:rsidR="00722B14" w:rsidRPr="00BB21C7" w:rsidRDefault="00722B14" w:rsidP="00DD3BAE">
            <w:pPr>
              <w:spacing w:before="0" w:after="0"/>
              <w:jc w:val="center"/>
              <w:rPr>
                <w:color w:val="000000"/>
                <w:sz w:val="16"/>
                <w:szCs w:val="16"/>
              </w:rPr>
            </w:pPr>
            <w:r w:rsidRPr="00BB21C7">
              <w:rPr>
                <w:color w:val="000000"/>
                <w:sz w:val="16"/>
                <w:szCs w:val="16"/>
              </w:rPr>
              <w:t>0.42 ±0.00</w:t>
            </w:r>
          </w:p>
        </w:tc>
        <w:tc>
          <w:tcPr>
            <w:tcW w:w="797" w:type="dxa"/>
            <w:tcBorders>
              <w:left w:val="nil"/>
              <w:bottom w:val="single" w:sz="4" w:space="0" w:color="auto"/>
              <w:right w:val="nil"/>
            </w:tcBorders>
            <w:shd w:val="clear" w:color="auto" w:fill="auto"/>
            <w:vAlign w:val="center"/>
          </w:tcPr>
          <w:p w14:paraId="3A9D2185"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391BB4F9" w14:textId="77777777" w:rsidR="00722B14" w:rsidRDefault="00722B14" w:rsidP="00DD3BAE">
            <w:pPr>
              <w:spacing w:before="0" w:after="0"/>
              <w:jc w:val="center"/>
              <w:rPr>
                <w:i/>
                <w:color w:val="000000"/>
                <w:sz w:val="16"/>
                <w:szCs w:val="16"/>
              </w:rPr>
            </w:pPr>
          </w:p>
        </w:tc>
      </w:tr>
      <w:tr w:rsidR="00722B14" w14:paraId="6FAC566B" w14:textId="77777777" w:rsidTr="00DE79BD">
        <w:trPr>
          <w:cantSplit/>
          <w:trHeight w:val="227"/>
          <w:jc w:val="center"/>
        </w:trPr>
        <w:tc>
          <w:tcPr>
            <w:tcW w:w="1077" w:type="dxa"/>
            <w:vAlign w:val="center"/>
          </w:tcPr>
          <w:p w14:paraId="029F88E7" w14:textId="77777777" w:rsidR="00722B14" w:rsidRDefault="00722B14" w:rsidP="00DD3BAE">
            <w:pPr>
              <w:spacing w:before="0" w:after="0"/>
              <w:jc w:val="center"/>
              <w:rPr>
                <w:color w:val="000000"/>
                <w:sz w:val="16"/>
                <w:szCs w:val="16"/>
              </w:rPr>
            </w:pPr>
          </w:p>
        </w:tc>
        <w:tc>
          <w:tcPr>
            <w:tcW w:w="1115" w:type="dxa"/>
            <w:noWrap/>
            <w:vAlign w:val="center"/>
          </w:tcPr>
          <w:p w14:paraId="3D53A9A9"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DA08486" w14:textId="77777777" w:rsidR="00722B14" w:rsidRDefault="00722B14" w:rsidP="00DD3BAE">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2208E824"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4ABE704A" w14:textId="77777777" w:rsidR="00722B14" w:rsidRDefault="00722B14" w:rsidP="00DD3BAE">
            <w:pPr>
              <w:spacing w:before="0" w:after="0"/>
              <w:jc w:val="center"/>
              <w:rPr>
                <w:color w:val="000000"/>
                <w:sz w:val="16"/>
                <w:szCs w:val="16"/>
              </w:rPr>
            </w:pPr>
            <w:r>
              <w:rPr>
                <w:color w:val="000000"/>
                <w:sz w:val="16"/>
                <w:szCs w:val="16"/>
              </w:rPr>
              <w:t>35.74</w:t>
            </w:r>
          </w:p>
        </w:tc>
        <w:tc>
          <w:tcPr>
            <w:tcW w:w="661" w:type="dxa"/>
            <w:tcBorders>
              <w:top w:val="single" w:sz="4" w:space="0" w:color="auto"/>
              <w:left w:val="nil"/>
              <w:bottom w:val="nil"/>
              <w:right w:val="nil"/>
            </w:tcBorders>
            <w:shd w:val="clear" w:color="auto" w:fill="CCFFCC"/>
            <w:vAlign w:val="center"/>
            <w:hideMark/>
          </w:tcPr>
          <w:p w14:paraId="06E69E1A" w14:textId="77777777" w:rsidR="00722B14" w:rsidRDefault="00722B14" w:rsidP="00DD3BAE">
            <w:pPr>
              <w:spacing w:before="0" w:after="0"/>
              <w:jc w:val="center"/>
              <w:rPr>
                <w:color w:val="000000"/>
                <w:sz w:val="16"/>
                <w:szCs w:val="16"/>
              </w:rPr>
            </w:pPr>
            <w:r>
              <w:rPr>
                <w:color w:val="000000"/>
                <w:sz w:val="16"/>
                <w:szCs w:val="16"/>
              </w:rPr>
              <w:t>15.37</w:t>
            </w:r>
          </w:p>
        </w:tc>
        <w:tc>
          <w:tcPr>
            <w:tcW w:w="1109" w:type="dxa"/>
            <w:tcBorders>
              <w:top w:val="single" w:sz="4" w:space="0" w:color="auto"/>
              <w:left w:val="nil"/>
              <w:bottom w:val="nil"/>
              <w:right w:val="nil"/>
            </w:tcBorders>
            <w:noWrap/>
            <w:vAlign w:val="center"/>
            <w:hideMark/>
          </w:tcPr>
          <w:p w14:paraId="584C0F67" w14:textId="77777777" w:rsidR="00722B14" w:rsidRDefault="00722B14" w:rsidP="00DD3BAE">
            <w:pPr>
              <w:spacing w:before="0" w:after="0"/>
              <w:jc w:val="center"/>
              <w:rPr>
                <w:color w:val="000000"/>
                <w:sz w:val="16"/>
                <w:szCs w:val="16"/>
              </w:rPr>
            </w:pPr>
            <w:r>
              <w:rPr>
                <w:color w:val="000000"/>
                <w:sz w:val="16"/>
                <w:szCs w:val="16"/>
              </w:rPr>
              <w:t>-9.97 ±0.22</w:t>
            </w:r>
          </w:p>
        </w:tc>
        <w:tc>
          <w:tcPr>
            <w:tcW w:w="1109" w:type="dxa"/>
            <w:tcBorders>
              <w:top w:val="single" w:sz="4" w:space="0" w:color="auto"/>
              <w:left w:val="nil"/>
              <w:bottom w:val="nil"/>
              <w:right w:val="nil"/>
            </w:tcBorders>
            <w:vAlign w:val="center"/>
            <w:hideMark/>
          </w:tcPr>
          <w:p w14:paraId="78F7D8F4" w14:textId="77777777" w:rsidR="00722B14" w:rsidRDefault="00722B14" w:rsidP="00DD3BAE">
            <w:pPr>
              <w:spacing w:before="0" w:after="0"/>
              <w:jc w:val="center"/>
              <w:rPr>
                <w:color w:val="000000"/>
                <w:sz w:val="16"/>
                <w:szCs w:val="16"/>
              </w:rPr>
            </w:pPr>
            <w:r>
              <w:rPr>
                <w:color w:val="000000"/>
                <w:sz w:val="16"/>
                <w:szCs w:val="16"/>
              </w:rPr>
              <w:t>-1.28 ±0.60</w:t>
            </w:r>
          </w:p>
        </w:tc>
        <w:tc>
          <w:tcPr>
            <w:tcW w:w="797" w:type="dxa"/>
            <w:tcBorders>
              <w:top w:val="single" w:sz="4" w:space="0" w:color="auto"/>
              <w:left w:val="nil"/>
              <w:bottom w:val="nil"/>
              <w:right w:val="nil"/>
            </w:tcBorders>
            <w:vAlign w:val="center"/>
            <w:hideMark/>
          </w:tcPr>
          <w:p w14:paraId="574AF01E" w14:textId="77777777" w:rsidR="00722B14" w:rsidRDefault="00722B14" w:rsidP="00DD3BAE">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70EA82E4" w14:textId="77777777" w:rsidR="00722B14" w:rsidRDefault="00722B14" w:rsidP="00DD3BAE">
            <w:pPr>
              <w:spacing w:before="0" w:after="0"/>
              <w:jc w:val="center"/>
              <w:rPr>
                <w:i/>
                <w:color w:val="000000"/>
                <w:sz w:val="16"/>
                <w:szCs w:val="16"/>
              </w:rPr>
            </w:pPr>
            <w:r>
              <w:rPr>
                <w:i/>
                <w:color w:val="000000"/>
                <w:sz w:val="16"/>
                <w:szCs w:val="16"/>
              </w:rPr>
              <w:t>-6.9 (-8.1 to -5.2)</w:t>
            </w:r>
          </w:p>
        </w:tc>
      </w:tr>
      <w:tr w:rsidR="00722B14" w14:paraId="05DB787D" w14:textId="77777777" w:rsidTr="00DE79BD">
        <w:trPr>
          <w:cantSplit/>
          <w:trHeight w:val="227"/>
          <w:jc w:val="center"/>
        </w:trPr>
        <w:tc>
          <w:tcPr>
            <w:tcW w:w="1077" w:type="dxa"/>
            <w:vAlign w:val="center"/>
          </w:tcPr>
          <w:p w14:paraId="417C2ECC" w14:textId="77777777" w:rsidR="00722B14" w:rsidRDefault="00722B14" w:rsidP="00DD3BAE">
            <w:pPr>
              <w:spacing w:before="0" w:after="0"/>
              <w:jc w:val="center"/>
              <w:rPr>
                <w:color w:val="000000"/>
                <w:sz w:val="16"/>
                <w:szCs w:val="16"/>
              </w:rPr>
            </w:pPr>
          </w:p>
        </w:tc>
        <w:tc>
          <w:tcPr>
            <w:tcW w:w="1115" w:type="dxa"/>
            <w:noWrap/>
            <w:vAlign w:val="center"/>
          </w:tcPr>
          <w:p w14:paraId="541C1F8D" w14:textId="77777777" w:rsidR="00722B14" w:rsidRDefault="00722B14" w:rsidP="00DD3BAE">
            <w:pPr>
              <w:spacing w:before="0" w:after="0"/>
              <w:jc w:val="center"/>
              <w:rPr>
                <w:color w:val="000000"/>
                <w:sz w:val="16"/>
                <w:szCs w:val="16"/>
              </w:rPr>
            </w:pPr>
          </w:p>
        </w:tc>
        <w:tc>
          <w:tcPr>
            <w:tcW w:w="789" w:type="dxa"/>
            <w:noWrap/>
            <w:vAlign w:val="center"/>
          </w:tcPr>
          <w:p w14:paraId="55F33D16" w14:textId="77777777" w:rsidR="00722B14" w:rsidRDefault="00722B14" w:rsidP="00DD3BAE">
            <w:pPr>
              <w:spacing w:before="0" w:after="0"/>
              <w:jc w:val="center"/>
              <w:rPr>
                <w:color w:val="000000"/>
                <w:sz w:val="16"/>
                <w:szCs w:val="16"/>
              </w:rPr>
            </w:pPr>
          </w:p>
        </w:tc>
        <w:tc>
          <w:tcPr>
            <w:tcW w:w="621" w:type="dxa"/>
            <w:vAlign w:val="center"/>
            <w:hideMark/>
          </w:tcPr>
          <w:p w14:paraId="6F7B5F2A"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6AFEB6DB" w14:textId="77777777" w:rsidR="00722B14" w:rsidRDefault="00722B14" w:rsidP="00DD3BAE">
            <w:pPr>
              <w:spacing w:before="0" w:after="0"/>
              <w:jc w:val="center"/>
              <w:rPr>
                <w:color w:val="000000"/>
                <w:sz w:val="16"/>
                <w:szCs w:val="16"/>
              </w:rPr>
            </w:pPr>
            <w:r>
              <w:rPr>
                <w:color w:val="000000"/>
                <w:sz w:val="16"/>
                <w:szCs w:val="16"/>
              </w:rPr>
              <w:t>36.15</w:t>
            </w:r>
          </w:p>
        </w:tc>
        <w:tc>
          <w:tcPr>
            <w:tcW w:w="661" w:type="dxa"/>
            <w:shd w:val="clear" w:color="auto" w:fill="CCFFCC"/>
            <w:vAlign w:val="center"/>
            <w:hideMark/>
          </w:tcPr>
          <w:p w14:paraId="48B9DF47" w14:textId="77777777" w:rsidR="00722B14" w:rsidRDefault="00722B14" w:rsidP="00DD3BAE">
            <w:pPr>
              <w:spacing w:before="0" w:after="0"/>
              <w:jc w:val="center"/>
              <w:rPr>
                <w:color w:val="000000"/>
                <w:sz w:val="16"/>
                <w:szCs w:val="16"/>
              </w:rPr>
            </w:pPr>
            <w:r>
              <w:rPr>
                <w:color w:val="000000"/>
                <w:sz w:val="16"/>
                <w:szCs w:val="16"/>
              </w:rPr>
              <w:t>17.97</w:t>
            </w:r>
          </w:p>
        </w:tc>
        <w:tc>
          <w:tcPr>
            <w:tcW w:w="1109" w:type="dxa"/>
            <w:noWrap/>
            <w:vAlign w:val="center"/>
            <w:hideMark/>
          </w:tcPr>
          <w:p w14:paraId="1DB77A0A" w14:textId="77777777" w:rsidR="00722B14" w:rsidRDefault="00722B14" w:rsidP="00DD3BAE">
            <w:pPr>
              <w:spacing w:before="0" w:after="0"/>
              <w:jc w:val="center"/>
              <w:rPr>
                <w:color w:val="000000"/>
                <w:sz w:val="16"/>
                <w:szCs w:val="16"/>
              </w:rPr>
            </w:pPr>
            <w:r>
              <w:rPr>
                <w:color w:val="000000"/>
                <w:sz w:val="16"/>
                <w:szCs w:val="16"/>
              </w:rPr>
              <w:t>-10.50 ±0.15</w:t>
            </w:r>
          </w:p>
        </w:tc>
        <w:tc>
          <w:tcPr>
            <w:tcW w:w="1109" w:type="dxa"/>
            <w:vAlign w:val="center"/>
            <w:hideMark/>
          </w:tcPr>
          <w:p w14:paraId="22D1A3E8" w14:textId="77777777" w:rsidR="00722B14" w:rsidRDefault="00722B14" w:rsidP="00DD3BAE">
            <w:pPr>
              <w:spacing w:before="0" w:after="0"/>
              <w:jc w:val="center"/>
              <w:rPr>
                <w:color w:val="000000"/>
                <w:sz w:val="16"/>
                <w:szCs w:val="16"/>
              </w:rPr>
            </w:pPr>
            <w:r>
              <w:rPr>
                <w:color w:val="000000"/>
                <w:sz w:val="16"/>
                <w:szCs w:val="16"/>
              </w:rPr>
              <w:t>-1.33 ±0.47</w:t>
            </w:r>
          </w:p>
        </w:tc>
        <w:tc>
          <w:tcPr>
            <w:tcW w:w="797" w:type="dxa"/>
            <w:vAlign w:val="center"/>
          </w:tcPr>
          <w:p w14:paraId="5F89BFB0" w14:textId="77777777" w:rsidR="00722B14" w:rsidRDefault="00722B14" w:rsidP="00DD3BAE">
            <w:pPr>
              <w:spacing w:before="0" w:after="0"/>
              <w:jc w:val="center"/>
              <w:rPr>
                <w:i/>
                <w:color w:val="000000"/>
                <w:sz w:val="16"/>
                <w:szCs w:val="16"/>
              </w:rPr>
            </w:pPr>
          </w:p>
        </w:tc>
        <w:tc>
          <w:tcPr>
            <w:tcW w:w="1557" w:type="dxa"/>
            <w:noWrap/>
            <w:vAlign w:val="center"/>
          </w:tcPr>
          <w:p w14:paraId="428BBCEC" w14:textId="77777777" w:rsidR="00722B14" w:rsidRDefault="00722B14" w:rsidP="00DD3BAE">
            <w:pPr>
              <w:spacing w:before="0" w:after="0"/>
              <w:jc w:val="center"/>
              <w:rPr>
                <w:i/>
                <w:color w:val="000000"/>
                <w:sz w:val="16"/>
                <w:szCs w:val="16"/>
              </w:rPr>
            </w:pPr>
          </w:p>
        </w:tc>
      </w:tr>
      <w:tr w:rsidR="00722B14" w14:paraId="4C5005F0" w14:textId="77777777" w:rsidTr="00DE79BD">
        <w:trPr>
          <w:cantSplit/>
          <w:trHeight w:val="227"/>
          <w:jc w:val="center"/>
        </w:trPr>
        <w:tc>
          <w:tcPr>
            <w:tcW w:w="1077" w:type="dxa"/>
            <w:vAlign w:val="center"/>
          </w:tcPr>
          <w:p w14:paraId="4FAA0337" w14:textId="77777777" w:rsidR="00722B14" w:rsidRDefault="00722B14" w:rsidP="00DD3BAE">
            <w:pPr>
              <w:spacing w:before="0" w:after="0"/>
              <w:jc w:val="center"/>
              <w:rPr>
                <w:color w:val="000000"/>
                <w:sz w:val="16"/>
                <w:szCs w:val="16"/>
              </w:rPr>
            </w:pPr>
          </w:p>
        </w:tc>
        <w:tc>
          <w:tcPr>
            <w:tcW w:w="1115" w:type="dxa"/>
            <w:noWrap/>
            <w:vAlign w:val="center"/>
          </w:tcPr>
          <w:p w14:paraId="484A2A79" w14:textId="77777777" w:rsidR="00722B14" w:rsidRDefault="00722B14" w:rsidP="00DD3BAE">
            <w:pPr>
              <w:spacing w:before="0" w:after="0"/>
              <w:jc w:val="center"/>
              <w:rPr>
                <w:color w:val="000000"/>
                <w:sz w:val="16"/>
                <w:szCs w:val="16"/>
              </w:rPr>
            </w:pPr>
          </w:p>
        </w:tc>
        <w:tc>
          <w:tcPr>
            <w:tcW w:w="789" w:type="dxa"/>
            <w:noWrap/>
            <w:vAlign w:val="center"/>
          </w:tcPr>
          <w:p w14:paraId="604C4776" w14:textId="77777777" w:rsidR="00722B14" w:rsidRDefault="00722B14" w:rsidP="00DD3BAE">
            <w:pPr>
              <w:spacing w:before="0" w:after="0"/>
              <w:jc w:val="center"/>
              <w:rPr>
                <w:color w:val="000000"/>
                <w:sz w:val="16"/>
                <w:szCs w:val="16"/>
              </w:rPr>
            </w:pPr>
          </w:p>
        </w:tc>
        <w:tc>
          <w:tcPr>
            <w:tcW w:w="621" w:type="dxa"/>
            <w:vAlign w:val="center"/>
            <w:hideMark/>
          </w:tcPr>
          <w:p w14:paraId="695E5C19" w14:textId="77777777" w:rsidR="00722B14" w:rsidRDefault="00722B14" w:rsidP="00DD3BAE">
            <w:pPr>
              <w:spacing w:before="0" w:after="0"/>
              <w:jc w:val="center"/>
              <w:rPr>
                <w:color w:val="000000"/>
                <w:sz w:val="16"/>
                <w:szCs w:val="16"/>
              </w:rPr>
            </w:pPr>
            <w:r>
              <w:rPr>
                <w:color w:val="000000"/>
                <w:sz w:val="16"/>
                <w:szCs w:val="16"/>
              </w:rPr>
              <w:t>2014</w:t>
            </w:r>
          </w:p>
        </w:tc>
        <w:tc>
          <w:tcPr>
            <w:tcW w:w="661" w:type="dxa"/>
            <w:vAlign w:val="center"/>
            <w:hideMark/>
          </w:tcPr>
          <w:p w14:paraId="640009F0" w14:textId="77777777" w:rsidR="00722B14" w:rsidRDefault="00722B14" w:rsidP="00DD3BAE">
            <w:pPr>
              <w:spacing w:before="0" w:after="0"/>
              <w:jc w:val="center"/>
              <w:rPr>
                <w:color w:val="000000"/>
                <w:sz w:val="16"/>
                <w:szCs w:val="16"/>
              </w:rPr>
            </w:pPr>
            <w:r>
              <w:rPr>
                <w:color w:val="000000"/>
                <w:sz w:val="16"/>
                <w:szCs w:val="16"/>
              </w:rPr>
              <w:t>37.68</w:t>
            </w:r>
          </w:p>
        </w:tc>
        <w:tc>
          <w:tcPr>
            <w:tcW w:w="661" w:type="dxa"/>
            <w:shd w:val="clear" w:color="auto" w:fill="CCFFCC"/>
            <w:vAlign w:val="center"/>
            <w:hideMark/>
          </w:tcPr>
          <w:p w14:paraId="708A3ABD" w14:textId="77777777" w:rsidR="00722B14" w:rsidRDefault="00722B14" w:rsidP="00DD3BAE">
            <w:pPr>
              <w:spacing w:before="0" w:after="0"/>
              <w:jc w:val="center"/>
              <w:rPr>
                <w:color w:val="000000"/>
                <w:sz w:val="16"/>
                <w:szCs w:val="16"/>
              </w:rPr>
            </w:pPr>
            <w:r>
              <w:rPr>
                <w:color w:val="000000"/>
                <w:sz w:val="16"/>
                <w:szCs w:val="16"/>
              </w:rPr>
              <w:t>16.78</w:t>
            </w:r>
          </w:p>
        </w:tc>
        <w:tc>
          <w:tcPr>
            <w:tcW w:w="1109" w:type="dxa"/>
            <w:noWrap/>
            <w:vAlign w:val="center"/>
            <w:hideMark/>
          </w:tcPr>
          <w:p w14:paraId="01FC5CD9" w14:textId="77777777" w:rsidR="00722B14" w:rsidRDefault="00722B14" w:rsidP="00DD3BAE">
            <w:pPr>
              <w:spacing w:before="0" w:after="0"/>
              <w:jc w:val="center"/>
              <w:rPr>
                <w:color w:val="000000"/>
                <w:sz w:val="16"/>
                <w:szCs w:val="16"/>
              </w:rPr>
            </w:pPr>
            <w:r>
              <w:rPr>
                <w:color w:val="000000"/>
                <w:sz w:val="16"/>
                <w:szCs w:val="16"/>
              </w:rPr>
              <w:t>-10.21 ±0.18</w:t>
            </w:r>
          </w:p>
        </w:tc>
        <w:tc>
          <w:tcPr>
            <w:tcW w:w="1109" w:type="dxa"/>
            <w:vAlign w:val="center"/>
            <w:hideMark/>
          </w:tcPr>
          <w:p w14:paraId="4982B1CB" w14:textId="77777777" w:rsidR="00722B14" w:rsidRDefault="00722B14" w:rsidP="00DD3BAE">
            <w:pPr>
              <w:spacing w:before="0" w:after="0"/>
              <w:jc w:val="center"/>
              <w:rPr>
                <w:color w:val="000000"/>
                <w:sz w:val="16"/>
                <w:szCs w:val="16"/>
              </w:rPr>
            </w:pPr>
            <w:r>
              <w:rPr>
                <w:color w:val="000000"/>
                <w:sz w:val="16"/>
                <w:szCs w:val="16"/>
              </w:rPr>
              <w:t>-0.37 ±0.18</w:t>
            </w:r>
          </w:p>
        </w:tc>
        <w:tc>
          <w:tcPr>
            <w:tcW w:w="797" w:type="dxa"/>
            <w:vAlign w:val="center"/>
          </w:tcPr>
          <w:p w14:paraId="35EBA518" w14:textId="77777777" w:rsidR="00722B14" w:rsidRDefault="00722B14" w:rsidP="00DD3BAE">
            <w:pPr>
              <w:spacing w:before="0" w:after="0"/>
              <w:jc w:val="center"/>
              <w:rPr>
                <w:i/>
                <w:color w:val="000000"/>
                <w:sz w:val="16"/>
                <w:szCs w:val="16"/>
              </w:rPr>
            </w:pPr>
          </w:p>
        </w:tc>
        <w:tc>
          <w:tcPr>
            <w:tcW w:w="1557" w:type="dxa"/>
            <w:noWrap/>
            <w:vAlign w:val="center"/>
          </w:tcPr>
          <w:p w14:paraId="2C296D3A" w14:textId="77777777" w:rsidR="00722B14" w:rsidRDefault="00722B14" w:rsidP="00DD3BAE">
            <w:pPr>
              <w:spacing w:before="0" w:after="0"/>
              <w:jc w:val="center"/>
              <w:rPr>
                <w:i/>
                <w:color w:val="000000"/>
                <w:sz w:val="16"/>
                <w:szCs w:val="16"/>
              </w:rPr>
            </w:pPr>
          </w:p>
        </w:tc>
      </w:tr>
      <w:tr w:rsidR="00722B14" w14:paraId="2B4AB01F" w14:textId="77777777" w:rsidTr="00DE79BD">
        <w:trPr>
          <w:cantSplit/>
          <w:trHeight w:val="227"/>
          <w:jc w:val="center"/>
        </w:trPr>
        <w:tc>
          <w:tcPr>
            <w:tcW w:w="1077" w:type="dxa"/>
            <w:tcBorders>
              <w:top w:val="nil"/>
              <w:left w:val="nil"/>
              <w:right w:val="nil"/>
            </w:tcBorders>
            <w:shd w:val="clear" w:color="auto" w:fill="auto"/>
            <w:vAlign w:val="center"/>
          </w:tcPr>
          <w:p w14:paraId="3500A70C"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75154F8C"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4D99A60B"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A83DB53"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4F81C522" w14:textId="77777777" w:rsidR="00722B14" w:rsidRPr="007C770B" w:rsidRDefault="00722B14" w:rsidP="00DD3BAE">
            <w:pPr>
              <w:spacing w:before="0" w:after="0"/>
              <w:jc w:val="center"/>
              <w:rPr>
                <w:color w:val="000000"/>
                <w:sz w:val="16"/>
                <w:szCs w:val="16"/>
              </w:rPr>
            </w:pPr>
            <w:r w:rsidRPr="007C770B">
              <w:rPr>
                <w:color w:val="000000"/>
                <w:sz w:val="16"/>
                <w:szCs w:val="16"/>
              </w:rPr>
              <w:t>36.95</w:t>
            </w:r>
          </w:p>
        </w:tc>
        <w:tc>
          <w:tcPr>
            <w:tcW w:w="661" w:type="dxa"/>
            <w:tcBorders>
              <w:top w:val="nil"/>
              <w:left w:val="nil"/>
              <w:right w:val="nil"/>
            </w:tcBorders>
            <w:shd w:val="clear" w:color="auto" w:fill="CCFFCC"/>
            <w:vAlign w:val="center"/>
          </w:tcPr>
          <w:p w14:paraId="40749C38" w14:textId="77777777" w:rsidR="00722B14" w:rsidRPr="007C770B" w:rsidRDefault="00722B14" w:rsidP="00DD3BAE">
            <w:pPr>
              <w:spacing w:before="0" w:after="0"/>
              <w:jc w:val="center"/>
              <w:rPr>
                <w:color w:val="000000"/>
                <w:sz w:val="16"/>
                <w:szCs w:val="16"/>
              </w:rPr>
            </w:pPr>
            <w:r w:rsidRPr="007C770B">
              <w:rPr>
                <w:color w:val="000000"/>
                <w:sz w:val="16"/>
                <w:szCs w:val="16"/>
              </w:rPr>
              <w:t>16.09</w:t>
            </w:r>
          </w:p>
        </w:tc>
        <w:tc>
          <w:tcPr>
            <w:tcW w:w="1109" w:type="dxa"/>
            <w:tcBorders>
              <w:top w:val="nil"/>
              <w:left w:val="nil"/>
              <w:right w:val="nil"/>
            </w:tcBorders>
            <w:shd w:val="clear" w:color="auto" w:fill="auto"/>
            <w:noWrap/>
            <w:vAlign w:val="center"/>
          </w:tcPr>
          <w:p w14:paraId="5499D547" w14:textId="77777777" w:rsidR="00722B14" w:rsidRPr="007C770B" w:rsidRDefault="00722B14" w:rsidP="00DD3BAE">
            <w:pPr>
              <w:spacing w:before="0" w:after="0"/>
              <w:jc w:val="center"/>
              <w:rPr>
                <w:color w:val="000000"/>
                <w:sz w:val="16"/>
                <w:szCs w:val="16"/>
              </w:rPr>
            </w:pPr>
            <w:r w:rsidRPr="007C770B">
              <w:rPr>
                <w:color w:val="000000"/>
                <w:sz w:val="16"/>
                <w:szCs w:val="16"/>
              </w:rPr>
              <w:t>-10.53 ±1.08</w:t>
            </w:r>
          </w:p>
        </w:tc>
        <w:tc>
          <w:tcPr>
            <w:tcW w:w="1109" w:type="dxa"/>
            <w:tcBorders>
              <w:top w:val="nil"/>
              <w:left w:val="nil"/>
              <w:right w:val="nil"/>
            </w:tcBorders>
            <w:shd w:val="clear" w:color="auto" w:fill="auto"/>
            <w:vAlign w:val="center"/>
          </w:tcPr>
          <w:p w14:paraId="2C97E2D4" w14:textId="77777777" w:rsidR="00722B14" w:rsidRPr="007C770B" w:rsidRDefault="00722B14" w:rsidP="00DD3BAE">
            <w:pPr>
              <w:spacing w:before="0" w:after="0"/>
              <w:jc w:val="center"/>
              <w:rPr>
                <w:color w:val="000000"/>
                <w:sz w:val="16"/>
                <w:szCs w:val="16"/>
              </w:rPr>
            </w:pPr>
            <w:r w:rsidRPr="007C770B">
              <w:rPr>
                <w:color w:val="000000"/>
                <w:sz w:val="16"/>
                <w:szCs w:val="16"/>
              </w:rPr>
              <w:t>-0.86 ±0.83</w:t>
            </w:r>
          </w:p>
        </w:tc>
        <w:tc>
          <w:tcPr>
            <w:tcW w:w="797" w:type="dxa"/>
            <w:tcBorders>
              <w:top w:val="nil"/>
              <w:left w:val="nil"/>
              <w:right w:val="nil"/>
            </w:tcBorders>
            <w:shd w:val="clear" w:color="auto" w:fill="auto"/>
            <w:vAlign w:val="center"/>
          </w:tcPr>
          <w:p w14:paraId="59E5B748"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5CB51DF2" w14:textId="77777777" w:rsidR="00722B14" w:rsidRDefault="00722B14" w:rsidP="00DD3BAE">
            <w:pPr>
              <w:spacing w:before="0" w:after="0"/>
              <w:jc w:val="center"/>
              <w:rPr>
                <w:i/>
                <w:color w:val="000000"/>
                <w:sz w:val="16"/>
                <w:szCs w:val="16"/>
              </w:rPr>
            </w:pPr>
          </w:p>
        </w:tc>
      </w:tr>
      <w:tr w:rsidR="00722B14" w14:paraId="3BADE72F" w14:textId="77777777" w:rsidTr="00DE79BD">
        <w:trPr>
          <w:cantSplit/>
          <w:trHeight w:val="227"/>
          <w:jc w:val="center"/>
        </w:trPr>
        <w:tc>
          <w:tcPr>
            <w:tcW w:w="1077" w:type="dxa"/>
            <w:tcBorders>
              <w:left w:val="nil"/>
              <w:right w:val="nil"/>
            </w:tcBorders>
            <w:shd w:val="clear" w:color="auto" w:fill="auto"/>
            <w:vAlign w:val="center"/>
          </w:tcPr>
          <w:p w14:paraId="6B535B9E"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77EEABBD"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1A3F6EDE"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0E8D0235"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529A70A3" w14:textId="77777777" w:rsidR="00722B14" w:rsidRPr="00BB21C7" w:rsidRDefault="00722B14" w:rsidP="00DD3BAE">
            <w:pPr>
              <w:spacing w:before="0" w:after="0"/>
              <w:jc w:val="center"/>
              <w:rPr>
                <w:color w:val="000000"/>
                <w:sz w:val="16"/>
                <w:szCs w:val="16"/>
              </w:rPr>
            </w:pPr>
            <w:r w:rsidRPr="00BB21C7">
              <w:rPr>
                <w:color w:val="000000"/>
                <w:sz w:val="16"/>
                <w:szCs w:val="16"/>
              </w:rPr>
              <w:t>41.07</w:t>
            </w:r>
          </w:p>
        </w:tc>
        <w:tc>
          <w:tcPr>
            <w:tcW w:w="661" w:type="dxa"/>
            <w:tcBorders>
              <w:left w:val="nil"/>
              <w:bottom w:val="single" w:sz="4" w:space="0" w:color="auto"/>
              <w:right w:val="nil"/>
            </w:tcBorders>
            <w:shd w:val="clear" w:color="auto" w:fill="CCFFCC"/>
            <w:vAlign w:val="center"/>
          </w:tcPr>
          <w:p w14:paraId="09DFFEB3" w14:textId="77777777" w:rsidR="00722B14" w:rsidRPr="00BB21C7" w:rsidRDefault="00722B14" w:rsidP="00DD3BAE">
            <w:pPr>
              <w:spacing w:before="0" w:after="0"/>
              <w:jc w:val="center"/>
              <w:rPr>
                <w:color w:val="000000"/>
                <w:sz w:val="16"/>
                <w:szCs w:val="16"/>
              </w:rPr>
            </w:pPr>
            <w:r>
              <w:rPr>
                <w:color w:val="000000"/>
                <w:sz w:val="16"/>
                <w:szCs w:val="16"/>
              </w:rPr>
              <w:t>16.19</w:t>
            </w:r>
          </w:p>
        </w:tc>
        <w:tc>
          <w:tcPr>
            <w:tcW w:w="1109" w:type="dxa"/>
            <w:tcBorders>
              <w:left w:val="nil"/>
              <w:bottom w:val="single" w:sz="4" w:space="0" w:color="auto"/>
              <w:right w:val="nil"/>
            </w:tcBorders>
            <w:shd w:val="clear" w:color="auto" w:fill="auto"/>
            <w:noWrap/>
            <w:vAlign w:val="center"/>
          </w:tcPr>
          <w:p w14:paraId="713AD890" w14:textId="77777777" w:rsidR="00722B14" w:rsidRPr="00BB21C7" w:rsidRDefault="00722B14" w:rsidP="00DD3BAE">
            <w:pPr>
              <w:spacing w:before="0" w:after="0"/>
              <w:jc w:val="center"/>
              <w:rPr>
                <w:color w:val="000000"/>
                <w:sz w:val="16"/>
                <w:szCs w:val="16"/>
              </w:rPr>
            </w:pPr>
            <w:r w:rsidRPr="00BB21C7">
              <w:rPr>
                <w:color w:val="000000"/>
                <w:sz w:val="16"/>
                <w:szCs w:val="16"/>
              </w:rPr>
              <w:t>-8.88 ±0.10</w:t>
            </w:r>
          </w:p>
        </w:tc>
        <w:tc>
          <w:tcPr>
            <w:tcW w:w="1109" w:type="dxa"/>
            <w:tcBorders>
              <w:left w:val="nil"/>
              <w:bottom w:val="single" w:sz="4" w:space="0" w:color="auto"/>
              <w:right w:val="nil"/>
            </w:tcBorders>
            <w:shd w:val="clear" w:color="auto" w:fill="auto"/>
            <w:vAlign w:val="center"/>
          </w:tcPr>
          <w:p w14:paraId="79930DB6" w14:textId="77777777" w:rsidR="00722B14" w:rsidRPr="00BB21C7" w:rsidRDefault="00722B14" w:rsidP="00DD3BAE">
            <w:pPr>
              <w:spacing w:before="0" w:after="0"/>
              <w:jc w:val="center"/>
              <w:rPr>
                <w:color w:val="000000"/>
                <w:sz w:val="16"/>
                <w:szCs w:val="16"/>
              </w:rPr>
            </w:pPr>
            <w:r w:rsidRPr="00BB21C7">
              <w:rPr>
                <w:color w:val="000000"/>
                <w:sz w:val="16"/>
                <w:szCs w:val="16"/>
              </w:rPr>
              <w:t>-0.10 ±0.04</w:t>
            </w:r>
          </w:p>
        </w:tc>
        <w:tc>
          <w:tcPr>
            <w:tcW w:w="797" w:type="dxa"/>
            <w:tcBorders>
              <w:left w:val="nil"/>
              <w:bottom w:val="single" w:sz="4" w:space="0" w:color="auto"/>
              <w:right w:val="nil"/>
            </w:tcBorders>
            <w:shd w:val="clear" w:color="auto" w:fill="auto"/>
            <w:vAlign w:val="center"/>
          </w:tcPr>
          <w:p w14:paraId="1981F3A2"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296C52B6" w14:textId="77777777" w:rsidR="00722B14" w:rsidRDefault="00722B14" w:rsidP="00DD3BAE">
            <w:pPr>
              <w:spacing w:before="0" w:after="0"/>
              <w:jc w:val="center"/>
              <w:rPr>
                <w:i/>
                <w:color w:val="000000"/>
                <w:sz w:val="16"/>
                <w:szCs w:val="16"/>
              </w:rPr>
            </w:pPr>
          </w:p>
        </w:tc>
      </w:tr>
      <w:tr w:rsidR="00722B14" w14:paraId="52BF2EF2" w14:textId="77777777" w:rsidTr="00DE79BD">
        <w:trPr>
          <w:cantSplit/>
          <w:trHeight w:val="227"/>
          <w:jc w:val="center"/>
        </w:trPr>
        <w:tc>
          <w:tcPr>
            <w:tcW w:w="1077" w:type="dxa"/>
            <w:vAlign w:val="center"/>
          </w:tcPr>
          <w:p w14:paraId="198AD277" w14:textId="77777777" w:rsidR="00722B14" w:rsidRDefault="00722B14" w:rsidP="00DD3BAE">
            <w:pPr>
              <w:spacing w:before="0" w:after="0"/>
              <w:jc w:val="center"/>
              <w:rPr>
                <w:color w:val="000000"/>
                <w:sz w:val="16"/>
                <w:szCs w:val="16"/>
              </w:rPr>
            </w:pPr>
          </w:p>
        </w:tc>
        <w:tc>
          <w:tcPr>
            <w:tcW w:w="1115" w:type="dxa"/>
            <w:noWrap/>
            <w:vAlign w:val="center"/>
          </w:tcPr>
          <w:p w14:paraId="7DB8D147" w14:textId="77777777" w:rsidR="00722B14" w:rsidRDefault="00722B14" w:rsidP="00DD3BAE">
            <w:pPr>
              <w:spacing w:before="0" w:after="0"/>
              <w:jc w:val="center"/>
              <w:rPr>
                <w:color w:val="000000"/>
                <w:sz w:val="16"/>
                <w:szCs w:val="16"/>
              </w:rPr>
            </w:pPr>
          </w:p>
        </w:tc>
        <w:tc>
          <w:tcPr>
            <w:tcW w:w="789" w:type="dxa"/>
            <w:tcBorders>
              <w:top w:val="single" w:sz="4" w:space="0" w:color="auto"/>
              <w:left w:val="nil"/>
              <w:right w:val="nil"/>
            </w:tcBorders>
            <w:noWrap/>
            <w:vAlign w:val="center"/>
            <w:hideMark/>
          </w:tcPr>
          <w:p w14:paraId="36419DE2"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right w:val="nil"/>
            </w:tcBorders>
            <w:vAlign w:val="center"/>
            <w:hideMark/>
          </w:tcPr>
          <w:p w14:paraId="0E52C225"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right w:val="nil"/>
            </w:tcBorders>
            <w:vAlign w:val="center"/>
            <w:hideMark/>
          </w:tcPr>
          <w:p w14:paraId="17EEAD28" w14:textId="77777777" w:rsidR="00722B14" w:rsidRDefault="00722B14" w:rsidP="00DD3BAE">
            <w:pPr>
              <w:spacing w:before="0" w:after="0"/>
              <w:jc w:val="center"/>
              <w:rPr>
                <w:color w:val="000000"/>
                <w:sz w:val="16"/>
                <w:szCs w:val="16"/>
              </w:rPr>
            </w:pPr>
            <w:r>
              <w:rPr>
                <w:color w:val="000000"/>
                <w:sz w:val="16"/>
                <w:szCs w:val="16"/>
              </w:rPr>
              <w:t>38.94</w:t>
            </w:r>
          </w:p>
        </w:tc>
        <w:tc>
          <w:tcPr>
            <w:tcW w:w="661" w:type="dxa"/>
            <w:tcBorders>
              <w:top w:val="single" w:sz="4" w:space="0" w:color="auto"/>
              <w:left w:val="nil"/>
              <w:right w:val="nil"/>
            </w:tcBorders>
            <w:shd w:val="clear" w:color="auto" w:fill="CCFFCC"/>
            <w:vAlign w:val="center"/>
            <w:hideMark/>
          </w:tcPr>
          <w:p w14:paraId="3A759559" w14:textId="77777777" w:rsidR="00722B14" w:rsidRDefault="00722B14" w:rsidP="00DD3BAE">
            <w:pPr>
              <w:spacing w:before="0" w:after="0"/>
              <w:jc w:val="center"/>
              <w:rPr>
                <w:color w:val="000000"/>
                <w:sz w:val="16"/>
                <w:szCs w:val="16"/>
              </w:rPr>
            </w:pPr>
            <w:r>
              <w:rPr>
                <w:color w:val="000000"/>
                <w:sz w:val="16"/>
                <w:szCs w:val="16"/>
              </w:rPr>
              <w:t>17.28</w:t>
            </w:r>
          </w:p>
        </w:tc>
        <w:tc>
          <w:tcPr>
            <w:tcW w:w="1109" w:type="dxa"/>
            <w:tcBorders>
              <w:top w:val="single" w:sz="4" w:space="0" w:color="auto"/>
              <w:left w:val="nil"/>
              <w:right w:val="nil"/>
            </w:tcBorders>
            <w:shd w:val="clear" w:color="auto" w:fill="CCFFCC"/>
            <w:noWrap/>
            <w:vAlign w:val="center"/>
            <w:hideMark/>
          </w:tcPr>
          <w:p w14:paraId="4BEF4B8D" w14:textId="77777777" w:rsidR="00722B14" w:rsidRDefault="00722B14" w:rsidP="00DD3BAE">
            <w:pPr>
              <w:spacing w:before="0" w:after="0"/>
              <w:jc w:val="center"/>
              <w:rPr>
                <w:color w:val="000000"/>
                <w:sz w:val="16"/>
                <w:szCs w:val="16"/>
              </w:rPr>
            </w:pPr>
            <w:r>
              <w:rPr>
                <w:color w:val="000000"/>
                <w:sz w:val="16"/>
                <w:szCs w:val="16"/>
              </w:rPr>
              <w:t>-10.23</w:t>
            </w:r>
          </w:p>
        </w:tc>
        <w:tc>
          <w:tcPr>
            <w:tcW w:w="1109" w:type="dxa"/>
            <w:tcBorders>
              <w:top w:val="single" w:sz="4" w:space="0" w:color="auto"/>
              <w:left w:val="nil"/>
              <w:right w:val="nil"/>
            </w:tcBorders>
            <w:vAlign w:val="center"/>
            <w:hideMark/>
          </w:tcPr>
          <w:p w14:paraId="3632405B" w14:textId="77777777" w:rsidR="00722B14" w:rsidRDefault="00722B14" w:rsidP="00DD3BAE">
            <w:pPr>
              <w:spacing w:before="0" w:after="0"/>
              <w:jc w:val="center"/>
              <w:rPr>
                <w:color w:val="000000"/>
                <w:sz w:val="16"/>
                <w:szCs w:val="16"/>
              </w:rPr>
            </w:pPr>
            <w:r>
              <w:rPr>
                <w:color w:val="000000"/>
                <w:sz w:val="16"/>
                <w:szCs w:val="16"/>
              </w:rPr>
              <w:t>1.84</w:t>
            </w:r>
          </w:p>
        </w:tc>
        <w:tc>
          <w:tcPr>
            <w:tcW w:w="797" w:type="dxa"/>
            <w:tcBorders>
              <w:top w:val="single" w:sz="4" w:space="0" w:color="auto"/>
              <w:left w:val="nil"/>
              <w:right w:val="nil"/>
            </w:tcBorders>
            <w:vAlign w:val="center"/>
            <w:hideMark/>
          </w:tcPr>
          <w:p w14:paraId="40DBBE9F"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right w:val="nil"/>
            </w:tcBorders>
            <w:noWrap/>
            <w:vAlign w:val="center"/>
            <w:hideMark/>
          </w:tcPr>
          <w:p w14:paraId="492CB240"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48489E00" w14:textId="77777777" w:rsidTr="00DE79BD">
        <w:trPr>
          <w:cantSplit/>
          <w:trHeight w:val="227"/>
          <w:jc w:val="center"/>
        </w:trPr>
        <w:tc>
          <w:tcPr>
            <w:tcW w:w="1077" w:type="dxa"/>
            <w:vAlign w:val="center"/>
          </w:tcPr>
          <w:p w14:paraId="0B78D0C2"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34ED69F6"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1306C0C9"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051E9E43"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02AA2F82" w14:textId="77777777" w:rsidR="00722B14" w:rsidRDefault="00722B14" w:rsidP="00DD3BAE">
            <w:pPr>
              <w:spacing w:before="0" w:after="0"/>
              <w:jc w:val="center"/>
              <w:rPr>
                <w:color w:val="000000"/>
                <w:sz w:val="16"/>
                <w:szCs w:val="16"/>
              </w:rPr>
            </w:pPr>
            <w:r>
              <w:rPr>
                <w:color w:val="000000"/>
                <w:sz w:val="16"/>
                <w:szCs w:val="16"/>
              </w:rPr>
              <w:t>38.08</w:t>
            </w:r>
          </w:p>
        </w:tc>
        <w:tc>
          <w:tcPr>
            <w:tcW w:w="661" w:type="dxa"/>
            <w:tcBorders>
              <w:top w:val="nil"/>
              <w:left w:val="nil"/>
              <w:right w:val="nil"/>
            </w:tcBorders>
            <w:vAlign w:val="center"/>
            <w:hideMark/>
          </w:tcPr>
          <w:p w14:paraId="55ED466C" w14:textId="77777777" w:rsidR="00722B14" w:rsidRDefault="00722B14" w:rsidP="00DD3BAE">
            <w:pPr>
              <w:spacing w:before="0" w:after="0"/>
              <w:jc w:val="center"/>
              <w:rPr>
                <w:color w:val="000000"/>
                <w:sz w:val="16"/>
                <w:szCs w:val="16"/>
              </w:rPr>
            </w:pPr>
            <w:r>
              <w:rPr>
                <w:color w:val="000000"/>
                <w:sz w:val="16"/>
                <w:szCs w:val="16"/>
              </w:rPr>
              <w:t>26.47</w:t>
            </w:r>
          </w:p>
        </w:tc>
        <w:tc>
          <w:tcPr>
            <w:tcW w:w="1109" w:type="dxa"/>
            <w:tcBorders>
              <w:top w:val="nil"/>
              <w:left w:val="nil"/>
              <w:right w:val="nil"/>
            </w:tcBorders>
            <w:shd w:val="clear" w:color="auto" w:fill="CCFFCC"/>
            <w:noWrap/>
            <w:vAlign w:val="center"/>
            <w:hideMark/>
          </w:tcPr>
          <w:p w14:paraId="0AB37FEC" w14:textId="77777777" w:rsidR="00722B14" w:rsidRDefault="00722B14" w:rsidP="00DD3BAE">
            <w:pPr>
              <w:spacing w:before="0" w:after="0"/>
              <w:jc w:val="center"/>
              <w:rPr>
                <w:color w:val="000000"/>
                <w:sz w:val="16"/>
                <w:szCs w:val="16"/>
              </w:rPr>
            </w:pPr>
            <w:r>
              <w:rPr>
                <w:color w:val="000000"/>
                <w:sz w:val="16"/>
                <w:szCs w:val="16"/>
              </w:rPr>
              <w:t>-9.38 ±0.20</w:t>
            </w:r>
          </w:p>
        </w:tc>
        <w:tc>
          <w:tcPr>
            <w:tcW w:w="1109" w:type="dxa"/>
            <w:tcBorders>
              <w:top w:val="nil"/>
              <w:left w:val="nil"/>
              <w:right w:val="nil"/>
            </w:tcBorders>
            <w:vAlign w:val="center"/>
            <w:hideMark/>
          </w:tcPr>
          <w:p w14:paraId="233F2D52" w14:textId="77777777" w:rsidR="00722B14" w:rsidRDefault="00722B14" w:rsidP="00DD3BAE">
            <w:pPr>
              <w:spacing w:before="0" w:after="0"/>
              <w:jc w:val="center"/>
              <w:rPr>
                <w:color w:val="000000"/>
                <w:sz w:val="16"/>
                <w:szCs w:val="16"/>
              </w:rPr>
            </w:pPr>
            <w:r>
              <w:rPr>
                <w:color w:val="000000"/>
                <w:sz w:val="16"/>
                <w:szCs w:val="16"/>
              </w:rPr>
              <w:t>1.39 ±0.05</w:t>
            </w:r>
          </w:p>
        </w:tc>
        <w:tc>
          <w:tcPr>
            <w:tcW w:w="797" w:type="dxa"/>
            <w:tcBorders>
              <w:top w:val="nil"/>
              <w:left w:val="nil"/>
              <w:right w:val="nil"/>
            </w:tcBorders>
            <w:vAlign w:val="center"/>
          </w:tcPr>
          <w:p w14:paraId="49BA5930"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CFC5B56" w14:textId="77777777" w:rsidR="00722B14" w:rsidRDefault="00722B14" w:rsidP="00DD3BAE">
            <w:pPr>
              <w:spacing w:before="0" w:after="0"/>
              <w:jc w:val="center"/>
              <w:rPr>
                <w:i/>
                <w:color w:val="000000"/>
                <w:sz w:val="16"/>
                <w:szCs w:val="16"/>
              </w:rPr>
            </w:pPr>
          </w:p>
        </w:tc>
      </w:tr>
      <w:tr w:rsidR="00722B14" w14:paraId="7C02C777" w14:textId="77777777" w:rsidTr="00DE79BD">
        <w:trPr>
          <w:cantSplit/>
          <w:trHeight w:val="227"/>
          <w:jc w:val="center"/>
        </w:trPr>
        <w:tc>
          <w:tcPr>
            <w:tcW w:w="1077" w:type="dxa"/>
            <w:tcBorders>
              <w:left w:val="nil"/>
              <w:right w:val="nil"/>
            </w:tcBorders>
            <w:shd w:val="clear" w:color="auto" w:fill="auto"/>
            <w:vAlign w:val="center"/>
          </w:tcPr>
          <w:p w14:paraId="24E242D7"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172AE79B" w14:textId="77777777" w:rsidR="00722B14" w:rsidRPr="007C770B" w:rsidRDefault="00722B14" w:rsidP="00DD3BAE">
            <w:pPr>
              <w:spacing w:before="0" w:after="0"/>
              <w:jc w:val="center"/>
              <w:rPr>
                <w:color w:val="000000"/>
                <w:sz w:val="16"/>
                <w:szCs w:val="16"/>
              </w:rPr>
            </w:pPr>
          </w:p>
        </w:tc>
        <w:tc>
          <w:tcPr>
            <w:tcW w:w="789" w:type="dxa"/>
            <w:tcBorders>
              <w:left w:val="nil"/>
              <w:right w:val="nil"/>
            </w:tcBorders>
            <w:shd w:val="clear" w:color="auto" w:fill="auto"/>
            <w:noWrap/>
            <w:vAlign w:val="center"/>
          </w:tcPr>
          <w:p w14:paraId="6403F34F" w14:textId="77777777" w:rsidR="00722B14" w:rsidRPr="007C770B" w:rsidRDefault="00722B14" w:rsidP="00DD3BAE">
            <w:pPr>
              <w:spacing w:before="0" w:after="0"/>
              <w:jc w:val="center"/>
              <w:rPr>
                <w:color w:val="000000"/>
                <w:sz w:val="16"/>
                <w:szCs w:val="16"/>
              </w:rPr>
            </w:pPr>
          </w:p>
        </w:tc>
        <w:tc>
          <w:tcPr>
            <w:tcW w:w="621" w:type="dxa"/>
            <w:tcBorders>
              <w:left w:val="nil"/>
              <w:right w:val="nil"/>
            </w:tcBorders>
            <w:shd w:val="clear" w:color="auto" w:fill="auto"/>
            <w:vAlign w:val="center"/>
          </w:tcPr>
          <w:p w14:paraId="0699FAEA"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left w:val="nil"/>
              <w:right w:val="nil"/>
            </w:tcBorders>
            <w:shd w:val="clear" w:color="auto" w:fill="auto"/>
            <w:vAlign w:val="center"/>
          </w:tcPr>
          <w:p w14:paraId="5C3B94FC" w14:textId="77777777" w:rsidR="00722B14" w:rsidRPr="007C770B" w:rsidRDefault="00722B14" w:rsidP="00DD3BAE">
            <w:pPr>
              <w:spacing w:before="0" w:after="0"/>
              <w:jc w:val="center"/>
              <w:rPr>
                <w:color w:val="000000"/>
                <w:sz w:val="16"/>
                <w:szCs w:val="16"/>
              </w:rPr>
            </w:pPr>
            <w:r w:rsidRPr="007C770B">
              <w:rPr>
                <w:color w:val="000000"/>
                <w:sz w:val="16"/>
                <w:szCs w:val="16"/>
              </w:rPr>
              <w:t>38.10</w:t>
            </w:r>
          </w:p>
        </w:tc>
        <w:tc>
          <w:tcPr>
            <w:tcW w:w="661" w:type="dxa"/>
            <w:tcBorders>
              <w:left w:val="nil"/>
              <w:right w:val="nil"/>
            </w:tcBorders>
            <w:shd w:val="clear" w:color="auto" w:fill="auto"/>
            <w:vAlign w:val="center"/>
          </w:tcPr>
          <w:p w14:paraId="74CF674D" w14:textId="77777777" w:rsidR="00722B14" w:rsidRPr="007C770B" w:rsidRDefault="00722B14" w:rsidP="00DD3BAE">
            <w:pPr>
              <w:spacing w:before="0" w:after="0"/>
              <w:jc w:val="center"/>
              <w:rPr>
                <w:color w:val="000000"/>
                <w:sz w:val="16"/>
                <w:szCs w:val="16"/>
              </w:rPr>
            </w:pPr>
            <w:r w:rsidRPr="007C770B">
              <w:rPr>
                <w:color w:val="000000"/>
                <w:sz w:val="16"/>
                <w:szCs w:val="16"/>
              </w:rPr>
              <w:t>20.96</w:t>
            </w:r>
          </w:p>
        </w:tc>
        <w:tc>
          <w:tcPr>
            <w:tcW w:w="1109" w:type="dxa"/>
            <w:tcBorders>
              <w:left w:val="nil"/>
              <w:right w:val="nil"/>
            </w:tcBorders>
            <w:shd w:val="clear" w:color="auto" w:fill="CCFFCC"/>
            <w:noWrap/>
            <w:vAlign w:val="center"/>
          </w:tcPr>
          <w:p w14:paraId="53BAFA6B" w14:textId="77777777" w:rsidR="00722B14" w:rsidRPr="007C770B" w:rsidRDefault="00722B14" w:rsidP="00DD3BAE">
            <w:pPr>
              <w:spacing w:before="0" w:after="0"/>
              <w:jc w:val="center"/>
              <w:rPr>
                <w:color w:val="000000"/>
                <w:sz w:val="16"/>
                <w:szCs w:val="16"/>
              </w:rPr>
            </w:pPr>
            <w:r w:rsidRPr="007C770B">
              <w:rPr>
                <w:color w:val="000000"/>
                <w:sz w:val="16"/>
                <w:szCs w:val="16"/>
              </w:rPr>
              <w:t>-10.17 ±0.86</w:t>
            </w:r>
          </w:p>
        </w:tc>
        <w:tc>
          <w:tcPr>
            <w:tcW w:w="1109" w:type="dxa"/>
            <w:tcBorders>
              <w:left w:val="nil"/>
              <w:right w:val="nil"/>
            </w:tcBorders>
            <w:shd w:val="clear" w:color="auto" w:fill="auto"/>
            <w:vAlign w:val="center"/>
          </w:tcPr>
          <w:p w14:paraId="4725C80B" w14:textId="77777777" w:rsidR="00722B14" w:rsidRPr="007C770B" w:rsidRDefault="00722B14" w:rsidP="00DD3BAE">
            <w:pPr>
              <w:spacing w:before="0" w:after="0"/>
              <w:jc w:val="center"/>
              <w:rPr>
                <w:color w:val="000000"/>
                <w:sz w:val="16"/>
                <w:szCs w:val="16"/>
              </w:rPr>
            </w:pPr>
            <w:r w:rsidRPr="007C770B">
              <w:rPr>
                <w:color w:val="000000"/>
                <w:sz w:val="16"/>
                <w:szCs w:val="16"/>
              </w:rPr>
              <w:t>1.73 ±0.26</w:t>
            </w:r>
          </w:p>
        </w:tc>
        <w:tc>
          <w:tcPr>
            <w:tcW w:w="797" w:type="dxa"/>
            <w:tcBorders>
              <w:left w:val="nil"/>
              <w:right w:val="nil"/>
            </w:tcBorders>
            <w:shd w:val="clear" w:color="auto" w:fill="auto"/>
            <w:vAlign w:val="center"/>
          </w:tcPr>
          <w:p w14:paraId="0F781A6D" w14:textId="77777777" w:rsidR="00722B14" w:rsidRDefault="00722B14" w:rsidP="00DD3BAE">
            <w:pPr>
              <w:spacing w:before="0" w:after="0"/>
              <w:jc w:val="center"/>
              <w:rPr>
                <w:i/>
                <w:color w:val="000000"/>
                <w:sz w:val="16"/>
                <w:szCs w:val="16"/>
              </w:rPr>
            </w:pPr>
          </w:p>
        </w:tc>
        <w:tc>
          <w:tcPr>
            <w:tcW w:w="1557" w:type="dxa"/>
            <w:tcBorders>
              <w:left w:val="nil"/>
              <w:right w:val="nil"/>
            </w:tcBorders>
            <w:shd w:val="clear" w:color="auto" w:fill="auto"/>
            <w:noWrap/>
            <w:vAlign w:val="center"/>
          </w:tcPr>
          <w:p w14:paraId="0D9A8591" w14:textId="77777777" w:rsidR="00722B14" w:rsidRDefault="00722B14" w:rsidP="00DD3BAE">
            <w:pPr>
              <w:spacing w:before="0" w:after="0"/>
              <w:jc w:val="center"/>
              <w:rPr>
                <w:i/>
                <w:color w:val="000000"/>
                <w:sz w:val="16"/>
                <w:szCs w:val="16"/>
              </w:rPr>
            </w:pPr>
          </w:p>
        </w:tc>
      </w:tr>
      <w:tr w:rsidR="00722B14" w14:paraId="55CD6EEB" w14:textId="77777777" w:rsidTr="00DE79BD">
        <w:trPr>
          <w:cantSplit/>
          <w:trHeight w:val="227"/>
          <w:jc w:val="center"/>
        </w:trPr>
        <w:tc>
          <w:tcPr>
            <w:tcW w:w="1077" w:type="dxa"/>
            <w:tcBorders>
              <w:left w:val="nil"/>
              <w:right w:val="nil"/>
            </w:tcBorders>
            <w:shd w:val="clear" w:color="auto" w:fill="auto"/>
            <w:vAlign w:val="center"/>
          </w:tcPr>
          <w:p w14:paraId="11AB1E7D"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6CBD576E"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36D015BE"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67DEDA62"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6B6CE2ED" w14:textId="77777777" w:rsidR="00722B14" w:rsidRPr="00BB21C7" w:rsidRDefault="00722B14" w:rsidP="00DD3BAE">
            <w:pPr>
              <w:spacing w:before="0" w:after="0"/>
              <w:jc w:val="center"/>
              <w:rPr>
                <w:sz w:val="16"/>
                <w:szCs w:val="16"/>
              </w:rPr>
            </w:pPr>
            <w:r w:rsidRPr="00BB21C7">
              <w:rPr>
                <w:sz w:val="16"/>
                <w:szCs w:val="16"/>
              </w:rPr>
              <w:t>39.75</w:t>
            </w:r>
          </w:p>
        </w:tc>
        <w:tc>
          <w:tcPr>
            <w:tcW w:w="661" w:type="dxa"/>
            <w:tcBorders>
              <w:left w:val="nil"/>
              <w:bottom w:val="single" w:sz="4" w:space="0" w:color="auto"/>
              <w:right w:val="nil"/>
            </w:tcBorders>
            <w:shd w:val="clear" w:color="auto" w:fill="auto"/>
            <w:vAlign w:val="center"/>
          </w:tcPr>
          <w:p w14:paraId="4B4A8B91" w14:textId="77777777" w:rsidR="00722B14" w:rsidRPr="00BB21C7" w:rsidRDefault="00722B14" w:rsidP="00DD3BAE">
            <w:pPr>
              <w:spacing w:before="0" w:after="0"/>
              <w:jc w:val="center"/>
              <w:rPr>
                <w:sz w:val="16"/>
                <w:szCs w:val="16"/>
              </w:rPr>
            </w:pPr>
            <w:r>
              <w:rPr>
                <w:sz w:val="16"/>
                <w:szCs w:val="16"/>
              </w:rPr>
              <w:t>26.02</w:t>
            </w:r>
          </w:p>
        </w:tc>
        <w:tc>
          <w:tcPr>
            <w:tcW w:w="1109" w:type="dxa"/>
            <w:tcBorders>
              <w:left w:val="nil"/>
              <w:bottom w:val="single" w:sz="4" w:space="0" w:color="auto"/>
              <w:right w:val="nil"/>
            </w:tcBorders>
            <w:shd w:val="clear" w:color="auto" w:fill="CCFFCC"/>
            <w:noWrap/>
            <w:vAlign w:val="center"/>
          </w:tcPr>
          <w:p w14:paraId="05D9220E" w14:textId="77777777" w:rsidR="00722B14" w:rsidRPr="00BB21C7" w:rsidRDefault="00722B14" w:rsidP="00DD3BAE">
            <w:pPr>
              <w:spacing w:before="0" w:after="0"/>
              <w:jc w:val="center"/>
              <w:rPr>
                <w:sz w:val="16"/>
                <w:szCs w:val="16"/>
              </w:rPr>
            </w:pPr>
            <w:r w:rsidRPr="00BB21C7">
              <w:rPr>
                <w:sz w:val="16"/>
                <w:szCs w:val="16"/>
              </w:rPr>
              <w:t>-10.08 ±0.15</w:t>
            </w:r>
          </w:p>
        </w:tc>
        <w:tc>
          <w:tcPr>
            <w:tcW w:w="1109" w:type="dxa"/>
            <w:tcBorders>
              <w:left w:val="nil"/>
              <w:bottom w:val="single" w:sz="4" w:space="0" w:color="auto"/>
              <w:right w:val="nil"/>
            </w:tcBorders>
            <w:shd w:val="clear" w:color="auto" w:fill="auto"/>
            <w:vAlign w:val="center"/>
          </w:tcPr>
          <w:p w14:paraId="75FC2788" w14:textId="77777777" w:rsidR="00722B14" w:rsidRPr="00BB21C7" w:rsidRDefault="00722B14" w:rsidP="00DD3BAE">
            <w:pPr>
              <w:spacing w:before="0" w:after="0"/>
              <w:jc w:val="center"/>
              <w:rPr>
                <w:sz w:val="16"/>
                <w:szCs w:val="16"/>
              </w:rPr>
            </w:pPr>
            <w:r w:rsidRPr="00BB21C7">
              <w:rPr>
                <w:sz w:val="16"/>
                <w:szCs w:val="16"/>
              </w:rPr>
              <w:t>1.33 ±0.26</w:t>
            </w:r>
          </w:p>
        </w:tc>
        <w:tc>
          <w:tcPr>
            <w:tcW w:w="797" w:type="dxa"/>
            <w:tcBorders>
              <w:left w:val="nil"/>
              <w:bottom w:val="single" w:sz="4" w:space="0" w:color="auto"/>
              <w:right w:val="nil"/>
            </w:tcBorders>
            <w:shd w:val="clear" w:color="auto" w:fill="auto"/>
            <w:vAlign w:val="center"/>
          </w:tcPr>
          <w:p w14:paraId="6585924D"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504A8497" w14:textId="77777777" w:rsidR="00722B14" w:rsidRDefault="00722B14" w:rsidP="00DD3BAE">
            <w:pPr>
              <w:spacing w:before="0" w:after="0"/>
              <w:jc w:val="center"/>
              <w:rPr>
                <w:i/>
                <w:color w:val="000000"/>
                <w:sz w:val="16"/>
                <w:szCs w:val="16"/>
              </w:rPr>
            </w:pPr>
          </w:p>
        </w:tc>
      </w:tr>
      <w:tr w:rsidR="00722B14" w14:paraId="48D49D07" w14:textId="77777777" w:rsidTr="00DE79BD">
        <w:trPr>
          <w:cantSplit/>
          <w:trHeight w:val="227"/>
          <w:jc w:val="center"/>
        </w:trPr>
        <w:tc>
          <w:tcPr>
            <w:tcW w:w="1077" w:type="dxa"/>
            <w:vAlign w:val="center"/>
          </w:tcPr>
          <w:p w14:paraId="452513F3"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3A7B1E4E" w14:textId="77777777" w:rsidR="00722B14" w:rsidRDefault="00722B14" w:rsidP="00DD3BAE">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204665B0" w14:textId="77777777" w:rsidR="00722B14" w:rsidRDefault="00722B14" w:rsidP="00DD3BAE">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14:paraId="47B7D220"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7204F083" w14:textId="77777777" w:rsidR="00722B14" w:rsidRDefault="00722B14" w:rsidP="00DD3BAE">
            <w:pPr>
              <w:spacing w:before="0" w:after="0"/>
              <w:jc w:val="center"/>
              <w:rPr>
                <w:color w:val="000000"/>
                <w:sz w:val="16"/>
                <w:szCs w:val="16"/>
              </w:rPr>
            </w:pPr>
            <w:r>
              <w:rPr>
                <w:color w:val="000000"/>
                <w:sz w:val="16"/>
                <w:szCs w:val="16"/>
              </w:rPr>
              <w:t>39.65</w:t>
            </w:r>
          </w:p>
        </w:tc>
        <w:tc>
          <w:tcPr>
            <w:tcW w:w="661" w:type="dxa"/>
            <w:tcBorders>
              <w:top w:val="single" w:sz="4" w:space="0" w:color="auto"/>
              <w:left w:val="nil"/>
              <w:bottom w:val="nil"/>
              <w:right w:val="nil"/>
            </w:tcBorders>
            <w:shd w:val="clear" w:color="auto" w:fill="CCFFCC"/>
            <w:vAlign w:val="center"/>
            <w:hideMark/>
          </w:tcPr>
          <w:p w14:paraId="428BB818" w14:textId="77777777" w:rsidR="00722B14" w:rsidRDefault="00722B14" w:rsidP="00DD3BAE">
            <w:pPr>
              <w:spacing w:before="0" w:after="0"/>
              <w:jc w:val="center"/>
              <w:rPr>
                <w:color w:val="000000"/>
                <w:sz w:val="16"/>
                <w:szCs w:val="16"/>
              </w:rPr>
            </w:pPr>
            <w:r>
              <w:rPr>
                <w:color w:val="000000"/>
                <w:sz w:val="16"/>
                <w:szCs w:val="16"/>
              </w:rPr>
              <w:t>18.03</w:t>
            </w:r>
          </w:p>
        </w:tc>
        <w:tc>
          <w:tcPr>
            <w:tcW w:w="1109" w:type="dxa"/>
            <w:tcBorders>
              <w:top w:val="single" w:sz="4" w:space="0" w:color="auto"/>
              <w:left w:val="nil"/>
              <w:bottom w:val="nil"/>
              <w:right w:val="nil"/>
            </w:tcBorders>
            <w:shd w:val="clear" w:color="auto" w:fill="CCFFCC"/>
            <w:noWrap/>
            <w:vAlign w:val="center"/>
            <w:hideMark/>
          </w:tcPr>
          <w:p w14:paraId="052236C8" w14:textId="77777777" w:rsidR="00722B14" w:rsidRDefault="00722B14" w:rsidP="00DD3BAE">
            <w:pPr>
              <w:spacing w:before="0" w:after="0"/>
              <w:jc w:val="center"/>
              <w:rPr>
                <w:color w:val="000000"/>
                <w:sz w:val="16"/>
                <w:szCs w:val="16"/>
              </w:rPr>
            </w:pPr>
            <w:r>
              <w:rPr>
                <w:color w:val="000000"/>
                <w:sz w:val="16"/>
                <w:szCs w:val="16"/>
              </w:rPr>
              <w:t>-7.96 ±0.25</w:t>
            </w:r>
          </w:p>
        </w:tc>
        <w:tc>
          <w:tcPr>
            <w:tcW w:w="1109" w:type="dxa"/>
            <w:tcBorders>
              <w:top w:val="single" w:sz="4" w:space="0" w:color="auto"/>
              <w:left w:val="nil"/>
              <w:bottom w:val="nil"/>
              <w:right w:val="nil"/>
            </w:tcBorders>
            <w:vAlign w:val="center"/>
            <w:hideMark/>
          </w:tcPr>
          <w:p w14:paraId="0C9C43C4" w14:textId="77777777" w:rsidR="00722B14" w:rsidRDefault="00722B14" w:rsidP="00DD3BAE">
            <w:pPr>
              <w:spacing w:before="0" w:after="0"/>
              <w:jc w:val="center"/>
              <w:rPr>
                <w:color w:val="000000"/>
                <w:sz w:val="16"/>
                <w:szCs w:val="16"/>
              </w:rPr>
            </w:pPr>
            <w:r>
              <w:rPr>
                <w:color w:val="000000"/>
                <w:sz w:val="16"/>
                <w:szCs w:val="16"/>
              </w:rPr>
              <w:t>-2.44 ±0.61</w:t>
            </w:r>
          </w:p>
        </w:tc>
        <w:tc>
          <w:tcPr>
            <w:tcW w:w="797" w:type="dxa"/>
            <w:tcBorders>
              <w:top w:val="single" w:sz="4" w:space="0" w:color="auto"/>
              <w:left w:val="nil"/>
              <w:bottom w:val="nil"/>
              <w:right w:val="nil"/>
            </w:tcBorders>
            <w:vAlign w:val="center"/>
            <w:hideMark/>
          </w:tcPr>
          <w:p w14:paraId="61E07704" w14:textId="77777777" w:rsidR="00722B14" w:rsidRDefault="00722B14" w:rsidP="00DD3BAE">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14:paraId="7B42B2DC" w14:textId="77777777" w:rsidR="00722B14" w:rsidRDefault="00722B14" w:rsidP="00DD3BAE">
            <w:pPr>
              <w:spacing w:before="0" w:after="0"/>
              <w:jc w:val="center"/>
              <w:rPr>
                <w:i/>
                <w:color w:val="000000"/>
                <w:sz w:val="16"/>
                <w:szCs w:val="16"/>
              </w:rPr>
            </w:pPr>
            <w:r>
              <w:rPr>
                <w:i/>
                <w:color w:val="000000"/>
                <w:sz w:val="16"/>
                <w:szCs w:val="16"/>
              </w:rPr>
              <w:t>-8.1 (-8.9 to -7.4)</w:t>
            </w:r>
          </w:p>
        </w:tc>
      </w:tr>
      <w:tr w:rsidR="00722B14" w14:paraId="7AB56168" w14:textId="77777777" w:rsidTr="00DE79BD">
        <w:trPr>
          <w:cantSplit/>
          <w:trHeight w:val="227"/>
          <w:jc w:val="center"/>
        </w:trPr>
        <w:tc>
          <w:tcPr>
            <w:tcW w:w="1077" w:type="dxa"/>
            <w:vAlign w:val="center"/>
          </w:tcPr>
          <w:p w14:paraId="1F99002B" w14:textId="77777777" w:rsidR="00722B14" w:rsidRDefault="00722B14" w:rsidP="00DD3BAE">
            <w:pPr>
              <w:spacing w:before="0" w:after="0"/>
              <w:jc w:val="center"/>
              <w:rPr>
                <w:color w:val="000000"/>
                <w:sz w:val="16"/>
                <w:szCs w:val="16"/>
              </w:rPr>
            </w:pPr>
          </w:p>
        </w:tc>
        <w:tc>
          <w:tcPr>
            <w:tcW w:w="1115" w:type="dxa"/>
            <w:noWrap/>
            <w:vAlign w:val="center"/>
          </w:tcPr>
          <w:p w14:paraId="4BA8374E"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0F5E8255" w14:textId="77777777" w:rsidR="00722B14" w:rsidRDefault="00722B14" w:rsidP="00DD3BAE">
            <w:pPr>
              <w:spacing w:before="0" w:after="0"/>
              <w:jc w:val="center"/>
              <w:rPr>
                <w:color w:val="000000"/>
                <w:sz w:val="16"/>
                <w:szCs w:val="16"/>
              </w:rPr>
            </w:pPr>
          </w:p>
        </w:tc>
        <w:tc>
          <w:tcPr>
            <w:tcW w:w="621" w:type="dxa"/>
            <w:vAlign w:val="center"/>
            <w:hideMark/>
          </w:tcPr>
          <w:p w14:paraId="37BAA5EF" w14:textId="77777777" w:rsidR="00722B14" w:rsidRDefault="00722B14" w:rsidP="00DD3BAE">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14:paraId="0E7C9E5D" w14:textId="77777777" w:rsidR="00722B14" w:rsidRDefault="00722B14" w:rsidP="00DD3BAE">
            <w:pPr>
              <w:spacing w:before="0" w:after="0"/>
              <w:jc w:val="center"/>
              <w:rPr>
                <w:color w:val="000000"/>
                <w:sz w:val="16"/>
                <w:szCs w:val="16"/>
              </w:rPr>
            </w:pPr>
            <w:r>
              <w:rPr>
                <w:color w:val="000000"/>
                <w:sz w:val="16"/>
                <w:szCs w:val="16"/>
              </w:rPr>
              <w:t>36.89</w:t>
            </w:r>
          </w:p>
        </w:tc>
        <w:tc>
          <w:tcPr>
            <w:tcW w:w="661" w:type="dxa"/>
            <w:vAlign w:val="center"/>
            <w:hideMark/>
          </w:tcPr>
          <w:p w14:paraId="5DD415C6" w14:textId="77777777" w:rsidR="00722B14" w:rsidRDefault="00722B14" w:rsidP="00DD3BAE">
            <w:pPr>
              <w:spacing w:before="0" w:after="0"/>
              <w:jc w:val="center"/>
              <w:rPr>
                <w:color w:val="000000"/>
                <w:sz w:val="16"/>
                <w:szCs w:val="16"/>
              </w:rPr>
            </w:pPr>
            <w:r>
              <w:rPr>
                <w:color w:val="000000"/>
                <w:sz w:val="16"/>
                <w:szCs w:val="16"/>
              </w:rPr>
              <w:t>24.16</w:t>
            </w:r>
          </w:p>
        </w:tc>
        <w:tc>
          <w:tcPr>
            <w:tcW w:w="1109" w:type="dxa"/>
            <w:noWrap/>
            <w:vAlign w:val="center"/>
            <w:hideMark/>
          </w:tcPr>
          <w:p w14:paraId="2C542B6A" w14:textId="77777777" w:rsidR="00722B14" w:rsidRDefault="00722B14" w:rsidP="00DD3BAE">
            <w:pPr>
              <w:spacing w:before="0" w:after="0"/>
              <w:jc w:val="center"/>
              <w:rPr>
                <w:color w:val="000000"/>
                <w:sz w:val="16"/>
                <w:szCs w:val="16"/>
              </w:rPr>
            </w:pPr>
            <w:r>
              <w:rPr>
                <w:color w:val="000000"/>
                <w:sz w:val="16"/>
                <w:szCs w:val="16"/>
              </w:rPr>
              <w:t>-8.32</w:t>
            </w:r>
          </w:p>
        </w:tc>
        <w:tc>
          <w:tcPr>
            <w:tcW w:w="1109" w:type="dxa"/>
            <w:vAlign w:val="center"/>
            <w:hideMark/>
          </w:tcPr>
          <w:p w14:paraId="34125D39" w14:textId="77777777" w:rsidR="00722B14" w:rsidRDefault="00722B14" w:rsidP="00DD3BAE">
            <w:pPr>
              <w:spacing w:before="0" w:after="0"/>
              <w:jc w:val="center"/>
              <w:rPr>
                <w:color w:val="000000"/>
                <w:sz w:val="16"/>
                <w:szCs w:val="16"/>
              </w:rPr>
            </w:pPr>
            <w:r>
              <w:rPr>
                <w:color w:val="000000"/>
                <w:sz w:val="16"/>
                <w:szCs w:val="16"/>
              </w:rPr>
              <w:t>-0.83</w:t>
            </w:r>
          </w:p>
        </w:tc>
        <w:tc>
          <w:tcPr>
            <w:tcW w:w="797" w:type="dxa"/>
            <w:vAlign w:val="center"/>
          </w:tcPr>
          <w:p w14:paraId="3F8F13C5" w14:textId="77777777" w:rsidR="00722B14" w:rsidRDefault="00722B14" w:rsidP="00DD3BAE">
            <w:pPr>
              <w:spacing w:before="0" w:after="0"/>
              <w:jc w:val="center"/>
              <w:rPr>
                <w:i/>
                <w:color w:val="000000"/>
                <w:sz w:val="16"/>
                <w:szCs w:val="16"/>
              </w:rPr>
            </w:pPr>
          </w:p>
        </w:tc>
        <w:tc>
          <w:tcPr>
            <w:tcW w:w="1557" w:type="dxa"/>
            <w:noWrap/>
            <w:vAlign w:val="center"/>
          </w:tcPr>
          <w:p w14:paraId="6EF65204" w14:textId="77777777" w:rsidR="00722B14" w:rsidRDefault="00722B14" w:rsidP="00DD3BAE">
            <w:pPr>
              <w:spacing w:before="0" w:after="0"/>
              <w:jc w:val="center"/>
              <w:rPr>
                <w:i/>
                <w:color w:val="000000"/>
                <w:sz w:val="16"/>
                <w:szCs w:val="16"/>
              </w:rPr>
            </w:pPr>
          </w:p>
        </w:tc>
      </w:tr>
      <w:tr w:rsidR="00722B14" w14:paraId="4C777EA2" w14:textId="77777777" w:rsidTr="00DE79BD">
        <w:trPr>
          <w:cantSplit/>
          <w:trHeight w:val="227"/>
          <w:jc w:val="center"/>
        </w:trPr>
        <w:tc>
          <w:tcPr>
            <w:tcW w:w="1077" w:type="dxa"/>
            <w:vAlign w:val="center"/>
          </w:tcPr>
          <w:p w14:paraId="1B66B9A9" w14:textId="77777777" w:rsidR="00722B14" w:rsidRDefault="00722B14" w:rsidP="00DD3BAE">
            <w:pPr>
              <w:spacing w:before="0" w:after="0"/>
              <w:jc w:val="center"/>
              <w:rPr>
                <w:color w:val="000000"/>
                <w:sz w:val="16"/>
                <w:szCs w:val="16"/>
              </w:rPr>
            </w:pPr>
          </w:p>
        </w:tc>
        <w:tc>
          <w:tcPr>
            <w:tcW w:w="1115" w:type="dxa"/>
            <w:noWrap/>
            <w:vAlign w:val="center"/>
          </w:tcPr>
          <w:p w14:paraId="4EED4B01"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00635190"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7D3CBFE0"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shd w:val="clear" w:color="auto" w:fill="CCFFCC"/>
            <w:vAlign w:val="center"/>
            <w:hideMark/>
          </w:tcPr>
          <w:p w14:paraId="1E99E7EB" w14:textId="77777777" w:rsidR="00722B14" w:rsidRDefault="00722B14" w:rsidP="00DD3BAE">
            <w:pPr>
              <w:spacing w:before="0" w:after="0"/>
              <w:jc w:val="center"/>
              <w:rPr>
                <w:color w:val="000000"/>
                <w:sz w:val="16"/>
                <w:szCs w:val="16"/>
              </w:rPr>
            </w:pPr>
            <w:r>
              <w:rPr>
                <w:color w:val="000000"/>
                <w:sz w:val="16"/>
                <w:szCs w:val="16"/>
              </w:rPr>
              <w:t>37.42</w:t>
            </w:r>
          </w:p>
        </w:tc>
        <w:tc>
          <w:tcPr>
            <w:tcW w:w="661" w:type="dxa"/>
            <w:tcBorders>
              <w:top w:val="nil"/>
              <w:left w:val="nil"/>
              <w:right w:val="nil"/>
            </w:tcBorders>
            <w:shd w:val="clear" w:color="auto" w:fill="CCFFCC"/>
            <w:vAlign w:val="center"/>
            <w:hideMark/>
          </w:tcPr>
          <w:p w14:paraId="1162E7AF" w14:textId="77777777" w:rsidR="00722B14" w:rsidRDefault="00722B14" w:rsidP="00DD3BAE">
            <w:pPr>
              <w:spacing w:before="0" w:after="0"/>
              <w:jc w:val="center"/>
              <w:rPr>
                <w:color w:val="000000"/>
                <w:sz w:val="16"/>
                <w:szCs w:val="16"/>
              </w:rPr>
            </w:pPr>
            <w:r>
              <w:rPr>
                <w:color w:val="000000"/>
                <w:sz w:val="16"/>
                <w:szCs w:val="16"/>
              </w:rPr>
              <w:t>18.66</w:t>
            </w:r>
          </w:p>
        </w:tc>
        <w:tc>
          <w:tcPr>
            <w:tcW w:w="1109" w:type="dxa"/>
            <w:tcBorders>
              <w:top w:val="nil"/>
              <w:left w:val="nil"/>
              <w:right w:val="nil"/>
            </w:tcBorders>
            <w:shd w:val="clear" w:color="auto" w:fill="CCFFCC"/>
            <w:noWrap/>
            <w:vAlign w:val="center"/>
            <w:hideMark/>
          </w:tcPr>
          <w:p w14:paraId="1A5ED8BA" w14:textId="77777777" w:rsidR="00722B14" w:rsidRDefault="00722B14" w:rsidP="00DD3BAE">
            <w:pPr>
              <w:spacing w:before="0" w:after="0"/>
              <w:jc w:val="center"/>
              <w:rPr>
                <w:color w:val="000000"/>
                <w:sz w:val="16"/>
                <w:szCs w:val="16"/>
              </w:rPr>
            </w:pPr>
            <w:r>
              <w:rPr>
                <w:color w:val="000000"/>
                <w:sz w:val="16"/>
                <w:szCs w:val="16"/>
              </w:rPr>
              <w:t>-7.95 ±0.12</w:t>
            </w:r>
          </w:p>
        </w:tc>
        <w:tc>
          <w:tcPr>
            <w:tcW w:w="1109" w:type="dxa"/>
            <w:tcBorders>
              <w:top w:val="nil"/>
              <w:left w:val="nil"/>
              <w:right w:val="nil"/>
            </w:tcBorders>
            <w:vAlign w:val="center"/>
            <w:hideMark/>
          </w:tcPr>
          <w:p w14:paraId="43AD1B3B" w14:textId="77777777" w:rsidR="00722B14" w:rsidRDefault="00722B14" w:rsidP="00DD3BAE">
            <w:pPr>
              <w:spacing w:before="0" w:after="0"/>
              <w:jc w:val="center"/>
              <w:rPr>
                <w:color w:val="000000"/>
                <w:sz w:val="16"/>
                <w:szCs w:val="16"/>
              </w:rPr>
            </w:pPr>
            <w:r>
              <w:rPr>
                <w:color w:val="000000"/>
                <w:sz w:val="16"/>
                <w:szCs w:val="16"/>
              </w:rPr>
              <w:t>-1.87 ±0.32</w:t>
            </w:r>
          </w:p>
        </w:tc>
        <w:tc>
          <w:tcPr>
            <w:tcW w:w="797" w:type="dxa"/>
            <w:tcBorders>
              <w:top w:val="nil"/>
              <w:left w:val="nil"/>
              <w:right w:val="nil"/>
            </w:tcBorders>
            <w:vAlign w:val="center"/>
          </w:tcPr>
          <w:p w14:paraId="62FA8118"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3F376DAE" w14:textId="77777777" w:rsidR="00722B14" w:rsidRDefault="00722B14" w:rsidP="00DD3BAE">
            <w:pPr>
              <w:spacing w:before="0" w:after="0"/>
              <w:jc w:val="center"/>
              <w:rPr>
                <w:i/>
                <w:color w:val="000000"/>
                <w:sz w:val="16"/>
                <w:szCs w:val="16"/>
              </w:rPr>
            </w:pPr>
          </w:p>
        </w:tc>
      </w:tr>
      <w:tr w:rsidR="00722B14" w14:paraId="6CAE27D1" w14:textId="77777777" w:rsidTr="00DE79BD">
        <w:trPr>
          <w:cantSplit/>
          <w:trHeight w:val="227"/>
          <w:jc w:val="center"/>
        </w:trPr>
        <w:tc>
          <w:tcPr>
            <w:tcW w:w="1077" w:type="dxa"/>
            <w:tcBorders>
              <w:top w:val="nil"/>
              <w:left w:val="nil"/>
              <w:bottom w:val="nil"/>
              <w:right w:val="nil"/>
            </w:tcBorders>
            <w:shd w:val="clear" w:color="auto" w:fill="auto"/>
            <w:vAlign w:val="center"/>
          </w:tcPr>
          <w:p w14:paraId="1F41DF33"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3D1C72E8"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0770FDC9"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14C4B0C9"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center"/>
          </w:tcPr>
          <w:p w14:paraId="58BEBB4D" w14:textId="77777777" w:rsidR="00722B14" w:rsidRPr="007C770B" w:rsidRDefault="00722B14" w:rsidP="00DD3BAE">
            <w:pPr>
              <w:spacing w:before="0" w:after="0"/>
              <w:jc w:val="center"/>
              <w:rPr>
                <w:color w:val="000000"/>
                <w:sz w:val="16"/>
                <w:szCs w:val="16"/>
              </w:rPr>
            </w:pPr>
            <w:r w:rsidRPr="007C770B">
              <w:rPr>
                <w:color w:val="000000"/>
                <w:sz w:val="16"/>
                <w:szCs w:val="16"/>
              </w:rPr>
              <w:t>39.51</w:t>
            </w:r>
          </w:p>
        </w:tc>
        <w:tc>
          <w:tcPr>
            <w:tcW w:w="661" w:type="dxa"/>
            <w:tcBorders>
              <w:top w:val="nil"/>
              <w:left w:val="nil"/>
              <w:bottom w:val="nil"/>
              <w:right w:val="nil"/>
            </w:tcBorders>
            <w:shd w:val="clear" w:color="auto" w:fill="CCFFCC"/>
            <w:vAlign w:val="center"/>
          </w:tcPr>
          <w:p w14:paraId="2824603A" w14:textId="77777777" w:rsidR="00722B14" w:rsidRPr="007C770B" w:rsidRDefault="00722B14" w:rsidP="00DD3BAE">
            <w:pPr>
              <w:spacing w:before="0" w:after="0"/>
              <w:jc w:val="center"/>
              <w:rPr>
                <w:color w:val="000000"/>
                <w:sz w:val="16"/>
                <w:szCs w:val="16"/>
              </w:rPr>
            </w:pPr>
            <w:r w:rsidRPr="007C770B">
              <w:rPr>
                <w:color w:val="000000"/>
                <w:sz w:val="16"/>
                <w:szCs w:val="16"/>
              </w:rPr>
              <w:t>17.77</w:t>
            </w:r>
          </w:p>
        </w:tc>
        <w:tc>
          <w:tcPr>
            <w:tcW w:w="1109" w:type="dxa"/>
            <w:tcBorders>
              <w:top w:val="nil"/>
              <w:left w:val="nil"/>
              <w:bottom w:val="nil"/>
              <w:right w:val="nil"/>
            </w:tcBorders>
            <w:shd w:val="clear" w:color="auto" w:fill="auto"/>
            <w:noWrap/>
            <w:vAlign w:val="center"/>
          </w:tcPr>
          <w:p w14:paraId="168C5016" w14:textId="77777777" w:rsidR="00722B14" w:rsidRPr="007C770B" w:rsidRDefault="00722B14" w:rsidP="00DD3BAE">
            <w:pPr>
              <w:spacing w:before="0" w:after="0"/>
              <w:jc w:val="center"/>
              <w:rPr>
                <w:color w:val="000000"/>
                <w:sz w:val="16"/>
                <w:szCs w:val="16"/>
              </w:rPr>
            </w:pPr>
            <w:r w:rsidRPr="007C770B">
              <w:rPr>
                <w:color w:val="000000"/>
                <w:sz w:val="16"/>
                <w:szCs w:val="16"/>
              </w:rPr>
              <w:t>-9.65 ±0.63</w:t>
            </w:r>
          </w:p>
        </w:tc>
        <w:tc>
          <w:tcPr>
            <w:tcW w:w="1109" w:type="dxa"/>
            <w:tcBorders>
              <w:top w:val="nil"/>
              <w:left w:val="nil"/>
              <w:bottom w:val="nil"/>
              <w:right w:val="nil"/>
            </w:tcBorders>
            <w:shd w:val="clear" w:color="auto" w:fill="auto"/>
            <w:vAlign w:val="center"/>
          </w:tcPr>
          <w:p w14:paraId="1FE92C9E" w14:textId="77777777" w:rsidR="00722B14" w:rsidRPr="007C770B" w:rsidRDefault="00722B14" w:rsidP="00DD3BAE">
            <w:pPr>
              <w:spacing w:before="0" w:after="0"/>
              <w:jc w:val="center"/>
              <w:rPr>
                <w:color w:val="000000"/>
                <w:sz w:val="16"/>
                <w:szCs w:val="16"/>
              </w:rPr>
            </w:pPr>
            <w:r w:rsidRPr="007C770B">
              <w:rPr>
                <w:color w:val="000000"/>
                <w:sz w:val="16"/>
                <w:szCs w:val="16"/>
              </w:rPr>
              <w:t>0.48 ±0.43</w:t>
            </w:r>
          </w:p>
        </w:tc>
        <w:tc>
          <w:tcPr>
            <w:tcW w:w="797" w:type="dxa"/>
            <w:tcBorders>
              <w:top w:val="nil"/>
              <w:left w:val="nil"/>
              <w:bottom w:val="nil"/>
              <w:right w:val="nil"/>
            </w:tcBorders>
            <w:shd w:val="clear" w:color="auto" w:fill="auto"/>
            <w:vAlign w:val="center"/>
          </w:tcPr>
          <w:p w14:paraId="4F616DF5"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67C4318F" w14:textId="77777777" w:rsidR="00722B14" w:rsidRDefault="00722B14" w:rsidP="00DD3BAE">
            <w:pPr>
              <w:spacing w:before="0" w:after="0"/>
              <w:jc w:val="center"/>
              <w:rPr>
                <w:i/>
                <w:color w:val="000000"/>
                <w:sz w:val="16"/>
                <w:szCs w:val="16"/>
              </w:rPr>
            </w:pPr>
          </w:p>
        </w:tc>
      </w:tr>
      <w:tr w:rsidR="00722B14" w14:paraId="6EA8291B" w14:textId="77777777" w:rsidTr="00DE79BD">
        <w:trPr>
          <w:cantSplit/>
          <w:trHeight w:val="227"/>
          <w:jc w:val="center"/>
        </w:trPr>
        <w:tc>
          <w:tcPr>
            <w:tcW w:w="1077" w:type="dxa"/>
            <w:tcBorders>
              <w:top w:val="nil"/>
              <w:left w:val="nil"/>
              <w:bottom w:val="nil"/>
              <w:right w:val="nil"/>
            </w:tcBorders>
            <w:shd w:val="clear" w:color="auto" w:fill="auto"/>
            <w:vAlign w:val="center"/>
          </w:tcPr>
          <w:p w14:paraId="703A7A34"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0E6F11B5"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5607071F"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66A91D35"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nil"/>
              <w:left w:val="nil"/>
              <w:bottom w:val="nil"/>
              <w:right w:val="nil"/>
            </w:tcBorders>
            <w:shd w:val="clear" w:color="auto" w:fill="auto"/>
            <w:vAlign w:val="bottom"/>
          </w:tcPr>
          <w:p w14:paraId="00D25825" w14:textId="77777777" w:rsidR="00722B14" w:rsidRPr="00BB21C7" w:rsidRDefault="00722B14" w:rsidP="00DD3BAE">
            <w:pPr>
              <w:spacing w:before="0" w:after="0"/>
              <w:jc w:val="right"/>
              <w:rPr>
                <w:color w:val="000000"/>
                <w:sz w:val="16"/>
                <w:szCs w:val="16"/>
              </w:rPr>
            </w:pPr>
            <w:r w:rsidRPr="00BB21C7">
              <w:rPr>
                <w:color w:val="000000"/>
                <w:sz w:val="16"/>
                <w:szCs w:val="16"/>
              </w:rPr>
              <w:t>42.79</w:t>
            </w:r>
          </w:p>
        </w:tc>
        <w:tc>
          <w:tcPr>
            <w:tcW w:w="661" w:type="dxa"/>
            <w:tcBorders>
              <w:top w:val="nil"/>
              <w:left w:val="nil"/>
              <w:bottom w:val="nil"/>
              <w:right w:val="nil"/>
            </w:tcBorders>
            <w:shd w:val="clear" w:color="auto" w:fill="CCFFCC"/>
            <w:vAlign w:val="bottom"/>
          </w:tcPr>
          <w:p w14:paraId="208C2769" w14:textId="77777777" w:rsidR="00722B14" w:rsidRPr="00BB21C7" w:rsidRDefault="00722B14" w:rsidP="00DD3BAE">
            <w:pPr>
              <w:spacing w:before="0" w:after="0"/>
              <w:jc w:val="right"/>
              <w:rPr>
                <w:color w:val="000000"/>
                <w:sz w:val="16"/>
                <w:szCs w:val="16"/>
              </w:rPr>
            </w:pPr>
            <w:r>
              <w:rPr>
                <w:color w:val="000000"/>
                <w:sz w:val="16"/>
                <w:szCs w:val="16"/>
              </w:rPr>
              <w:t>17.56</w:t>
            </w:r>
          </w:p>
        </w:tc>
        <w:tc>
          <w:tcPr>
            <w:tcW w:w="1109" w:type="dxa"/>
            <w:tcBorders>
              <w:top w:val="nil"/>
              <w:left w:val="nil"/>
              <w:bottom w:val="nil"/>
              <w:right w:val="nil"/>
            </w:tcBorders>
            <w:shd w:val="clear" w:color="auto" w:fill="auto"/>
            <w:noWrap/>
            <w:vAlign w:val="bottom"/>
          </w:tcPr>
          <w:p w14:paraId="3BD0A1D1" w14:textId="77777777" w:rsidR="00722B14" w:rsidRPr="00BB21C7" w:rsidRDefault="00722B14" w:rsidP="00DD3BAE">
            <w:pPr>
              <w:spacing w:before="0" w:after="0"/>
              <w:rPr>
                <w:color w:val="000000"/>
                <w:sz w:val="16"/>
                <w:szCs w:val="16"/>
              </w:rPr>
            </w:pPr>
            <w:r w:rsidRPr="00BB21C7">
              <w:rPr>
                <w:color w:val="000000"/>
                <w:sz w:val="16"/>
                <w:szCs w:val="16"/>
              </w:rPr>
              <w:t>-8.43 ±0.19</w:t>
            </w:r>
          </w:p>
        </w:tc>
        <w:tc>
          <w:tcPr>
            <w:tcW w:w="1109" w:type="dxa"/>
            <w:tcBorders>
              <w:top w:val="nil"/>
              <w:left w:val="nil"/>
              <w:bottom w:val="nil"/>
              <w:right w:val="nil"/>
            </w:tcBorders>
            <w:shd w:val="clear" w:color="auto" w:fill="auto"/>
            <w:vAlign w:val="bottom"/>
          </w:tcPr>
          <w:p w14:paraId="4DDC9685" w14:textId="77777777" w:rsidR="00722B14" w:rsidRPr="00BB21C7" w:rsidRDefault="00722B14" w:rsidP="00DD3BAE">
            <w:pPr>
              <w:spacing w:before="0" w:after="0"/>
              <w:rPr>
                <w:color w:val="000000"/>
                <w:sz w:val="16"/>
                <w:szCs w:val="16"/>
              </w:rPr>
            </w:pPr>
            <w:r w:rsidRPr="00BB21C7">
              <w:rPr>
                <w:color w:val="000000"/>
                <w:sz w:val="16"/>
                <w:szCs w:val="16"/>
              </w:rPr>
              <w:t>-1.49 ±0.44</w:t>
            </w:r>
          </w:p>
        </w:tc>
        <w:tc>
          <w:tcPr>
            <w:tcW w:w="797" w:type="dxa"/>
            <w:tcBorders>
              <w:top w:val="nil"/>
              <w:left w:val="nil"/>
              <w:bottom w:val="nil"/>
              <w:right w:val="nil"/>
            </w:tcBorders>
            <w:shd w:val="clear" w:color="auto" w:fill="auto"/>
            <w:vAlign w:val="center"/>
          </w:tcPr>
          <w:p w14:paraId="22874855"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3AEE9A74" w14:textId="77777777" w:rsidR="00722B14" w:rsidRDefault="00722B14" w:rsidP="00DD3BAE">
            <w:pPr>
              <w:spacing w:before="0" w:after="0"/>
              <w:jc w:val="center"/>
              <w:rPr>
                <w:i/>
                <w:color w:val="000000"/>
                <w:sz w:val="16"/>
                <w:szCs w:val="16"/>
              </w:rPr>
            </w:pPr>
          </w:p>
        </w:tc>
      </w:tr>
      <w:tr w:rsidR="00722B14" w14:paraId="071427DB" w14:textId="77777777" w:rsidTr="00DE79BD">
        <w:trPr>
          <w:cantSplit/>
          <w:trHeight w:val="227"/>
          <w:jc w:val="center"/>
        </w:trPr>
        <w:tc>
          <w:tcPr>
            <w:tcW w:w="1077" w:type="dxa"/>
            <w:vAlign w:val="center"/>
          </w:tcPr>
          <w:p w14:paraId="443DF043" w14:textId="77777777" w:rsidR="00722B14" w:rsidRDefault="00722B14" w:rsidP="00DD3BAE">
            <w:pPr>
              <w:spacing w:before="0" w:after="0"/>
              <w:jc w:val="center"/>
              <w:rPr>
                <w:color w:val="000000"/>
                <w:sz w:val="16"/>
                <w:szCs w:val="16"/>
              </w:rPr>
            </w:pPr>
          </w:p>
        </w:tc>
        <w:tc>
          <w:tcPr>
            <w:tcW w:w="1115" w:type="dxa"/>
            <w:noWrap/>
            <w:vAlign w:val="center"/>
          </w:tcPr>
          <w:p w14:paraId="17371322" w14:textId="77777777" w:rsidR="00722B14" w:rsidRDefault="00722B14" w:rsidP="00DD3BAE">
            <w:pPr>
              <w:spacing w:before="0" w:after="0"/>
              <w:jc w:val="center"/>
              <w:rPr>
                <w:color w:val="000000"/>
                <w:sz w:val="16"/>
                <w:szCs w:val="16"/>
              </w:rPr>
            </w:pPr>
          </w:p>
        </w:tc>
        <w:tc>
          <w:tcPr>
            <w:tcW w:w="789" w:type="dxa"/>
            <w:tcBorders>
              <w:top w:val="single" w:sz="4" w:space="0" w:color="auto"/>
              <w:left w:val="nil"/>
              <w:right w:val="nil"/>
            </w:tcBorders>
            <w:noWrap/>
            <w:vAlign w:val="center"/>
            <w:hideMark/>
          </w:tcPr>
          <w:p w14:paraId="36E5BC32" w14:textId="77777777" w:rsidR="00722B14" w:rsidRDefault="00722B14" w:rsidP="00DD3BAE">
            <w:pPr>
              <w:spacing w:before="0" w:after="0"/>
              <w:jc w:val="center"/>
              <w:rPr>
                <w:color w:val="000000"/>
                <w:sz w:val="16"/>
                <w:szCs w:val="16"/>
              </w:rPr>
            </w:pPr>
            <w:r>
              <w:rPr>
                <w:color w:val="000000"/>
                <w:sz w:val="16"/>
                <w:szCs w:val="16"/>
              </w:rPr>
              <w:t>CS</w:t>
            </w:r>
          </w:p>
        </w:tc>
        <w:tc>
          <w:tcPr>
            <w:tcW w:w="621" w:type="dxa"/>
            <w:tcBorders>
              <w:top w:val="single" w:sz="4" w:space="0" w:color="auto"/>
              <w:left w:val="nil"/>
              <w:right w:val="nil"/>
            </w:tcBorders>
            <w:vAlign w:val="center"/>
            <w:hideMark/>
          </w:tcPr>
          <w:p w14:paraId="26719086"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right w:val="nil"/>
            </w:tcBorders>
            <w:shd w:val="clear" w:color="auto" w:fill="CCFFCC"/>
            <w:vAlign w:val="center"/>
            <w:hideMark/>
          </w:tcPr>
          <w:p w14:paraId="6DC22DA8" w14:textId="77777777" w:rsidR="00722B14" w:rsidRDefault="00722B14" w:rsidP="00DD3BAE">
            <w:pPr>
              <w:spacing w:before="0" w:after="0"/>
              <w:jc w:val="center"/>
              <w:rPr>
                <w:color w:val="000000"/>
                <w:sz w:val="16"/>
                <w:szCs w:val="16"/>
              </w:rPr>
            </w:pPr>
            <w:r>
              <w:rPr>
                <w:color w:val="000000"/>
                <w:sz w:val="16"/>
                <w:szCs w:val="16"/>
              </w:rPr>
              <w:t>40.34</w:t>
            </w:r>
          </w:p>
        </w:tc>
        <w:tc>
          <w:tcPr>
            <w:tcW w:w="661" w:type="dxa"/>
            <w:tcBorders>
              <w:top w:val="single" w:sz="4" w:space="0" w:color="auto"/>
              <w:left w:val="nil"/>
              <w:right w:val="nil"/>
            </w:tcBorders>
            <w:shd w:val="clear" w:color="auto" w:fill="CCFFCC"/>
            <w:vAlign w:val="center"/>
            <w:hideMark/>
          </w:tcPr>
          <w:p w14:paraId="4D5E8316" w14:textId="77777777" w:rsidR="00722B14" w:rsidRDefault="00722B14" w:rsidP="00DD3BAE">
            <w:pPr>
              <w:spacing w:before="0" w:after="0"/>
              <w:jc w:val="center"/>
              <w:rPr>
                <w:color w:val="000000"/>
                <w:sz w:val="16"/>
                <w:szCs w:val="16"/>
              </w:rPr>
            </w:pPr>
            <w:r>
              <w:rPr>
                <w:color w:val="000000"/>
                <w:sz w:val="16"/>
                <w:szCs w:val="16"/>
              </w:rPr>
              <w:t>19.12</w:t>
            </w:r>
          </w:p>
        </w:tc>
        <w:tc>
          <w:tcPr>
            <w:tcW w:w="1109" w:type="dxa"/>
            <w:tcBorders>
              <w:top w:val="single" w:sz="4" w:space="0" w:color="auto"/>
              <w:left w:val="nil"/>
              <w:right w:val="nil"/>
            </w:tcBorders>
            <w:shd w:val="clear" w:color="auto" w:fill="CCFFCC"/>
            <w:noWrap/>
            <w:vAlign w:val="center"/>
            <w:hideMark/>
          </w:tcPr>
          <w:p w14:paraId="3DD7C2FA" w14:textId="77777777" w:rsidR="00722B14" w:rsidRDefault="00722B14" w:rsidP="00DD3BAE">
            <w:pPr>
              <w:spacing w:before="0" w:after="0"/>
              <w:jc w:val="center"/>
              <w:rPr>
                <w:color w:val="000000"/>
                <w:sz w:val="16"/>
                <w:szCs w:val="16"/>
              </w:rPr>
            </w:pPr>
            <w:r>
              <w:rPr>
                <w:color w:val="000000"/>
                <w:sz w:val="16"/>
                <w:szCs w:val="16"/>
              </w:rPr>
              <w:t>-8.57</w:t>
            </w:r>
          </w:p>
        </w:tc>
        <w:tc>
          <w:tcPr>
            <w:tcW w:w="1109" w:type="dxa"/>
            <w:tcBorders>
              <w:top w:val="single" w:sz="4" w:space="0" w:color="auto"/>
              <w:left w:val="nil"/>
              <w:right w:val="nil"/>
            </w:tcBorders>
            <w:vAlign w:val="center"/>
            <w:hideMark/>
          </w:tcPr>
          <w:p w14:paraId="195FBE73" w14:textId="77777777" w:rsidR="00722B14" w:rsidRDefault="00722B14" w:rsidP="00DD3BAE">
            <w:pPr>
              <w:spacing w:before="0" w:after="0"/>
              <w:jc w:val="center"/>
              <w:rPr>
                <w:color w:val="000000"/>
                <w:sz w:val="16"/>
                <w:szCs w:val="16"/>
              </w:rPr>
            </w:pPr>
            <w:r>
              <w:rPr>
                <w:color w:val="000000"/>
                <w:sz w:val="16"/>
                <w:szCs w:val="16"/>
              </w:rPr>
              <w:t>0.37</w:t>
            </w:r>
          </w:p>
        </w:tc>
        <w:tc>
          <w:tcPr>
            <w:tcW w:w="797" w:type="dxa"/>
            <w:tcBorders>
              <w:top w:val="single" w:sz="4" w:space="0" w:color="auto"/>
              <w:left w:val="nil"/>
              <w:right w:val="nil"/>
            </w:tcBorders>
            <w:vAlign w:val="center"/>
            <w:hideMark/>
          </w:tcPr>
          <w:p w14:paraId="0919FC26" w14:textId="77777777" w:rsidR="00722B14" w:rsidRDefault="00722B14" w:rsidP="00DD3BAE">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right w:val="nil"/>
            </w:tcBorders>
            <w:noWrap/>
            <w:vAlign w:val="center"/>
            <w:hideMark/>
          </w:tcPr>
          <w:p w14:paraId="44EB0463" w14:textId="77777777" w:rsidR="00722B14" w:rsidRDefault="00722B14" w:rsidP="00DD3BAE">
            <w:pPr>
              <w:spacing w:before="0" w:after="0"/>
              <w:jc w:val="center"/>
              <w:rPr>
                <w:i/>
                <w:color w:val="000000"/>
                <w:sz w:val="16"/>
                <w:szCs w:val="16"/>
              </w:rPr>
            </w:pPr>
            <w:r>
              <w:rPr>
                <w:i/>
                <w:color w:val="000000"/>
                <w:sz w:val="16"/>
                <w:szCs w:val="16"/>
              </w:rPr>
              <w:t>-10.7 (-12.4 to -8.0)</w:t>
            </w:r>
          </w:p>
        </w:tc>
      </w:tr>
      <w:tr w:rsidR="00722B14" w14:paraId="5860B1BC" w14:textId="77777777" w:rsidTr="00DE79BD">
        <w:trPr>
          <w:cantSplit/>
          <w:trHeight w:val="227"/>
          <w:jc w:val="center"/>
        </w:trPr>
        <w:tc>
          <w:tcPr>
            <w:tcW w:w="1077" w:type="dxa"/>
            <w:tcBorders>
              <w:top w:val="nil"/>
              <w:left w:val="nil"/>
              <w:right w:val="nil"/>
            </w:tcBorders>
            <w:shd w:val="clear" w:color="auto" w:fill="auto"/>
            <w:vAlign w:val="center"/>
          </w:tcPr>
          <w:p w14:paraId="2B49A087"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42A015B6"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126DC993"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8DAD9CE"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1EE27FAA" w14:textId="77777777" w:rsidR="00722B14" w:rsidRPr="007C770B" w:rsidRDefault="00722B14" w:rsidP="00DD3BAE">
            <w:pPr>
              <w:spacing w:before="0" w:after="0"/>
              <w:jc w:val="center"/>
              <w:rPr>
                <w:color w:val="000000"/>
                <w:sz w:val="16"/>
                <w:szCs w:val="16"/>
              </w:rPr>
            </w:pPr>
            <w:r w:rsidRPr="007C770B">
              <w:rPr>
                <w:color w:val="000000"/>
                <w:sz w:val="16"/>
                <w:szCs w:val="16"/>
              </w:rPr>
              <w:t>42.10</w:t>
            </w:r>
          </w:p>
        </w:tc>
        <w:tc>
          <w:tcPr>
            <w:tcW w:w="661" w:type="dxa"/>
            <w:tcBorders>
              <w:top w:val="nil"/>
              <w:left w:val="nil"/>
              <w:right w:val="nil"/>
            </w:tcBorders>
            <w:shd w:val="clear" w:color="auto" w:fill="auto"/>
            <w:vAlign w:val="center"/>
          </w:tcPr>
          <w:p w14:paraId="72486FB3" w14:textId="77777777" w:rsidR="00722B14" w:rsidRPr="007C770B" w:rsidRDefault="00722B14" w:rsidP="00DD3BAE">
            <w:pPr>
              <w:spacing w:before="0" w:after="0"/>
              <w:jc w:val="center"/>
              <w:rPr>
                <w:color w:val="000000"/>
                <w:sz w:val="16"/>
                <w:szCs w:val="16"/>
              </w:rPr>
            </w:pPr>
            <w:r w:rsidRPr="007C770B">
              <w:rPr>
                <w:color w:val="000000"/>
                <w:sz w:val="16"/>
                <w:szCs w:val="16"/>
              </w:rPr>
              <w:t>25.77</w:t>
            </w:r>
          </w:p>
        </w:tc>
        <w:tc>
          <w:tcPr>
            <w:tcW w:w="1109" w:type="dxa"/>
            <w:tcBorders>
              <w:top w:val="nil"/>
              <w:left w:val="nil"/>
              <w:right w:val="nil"/>
            </w:tcBorders>
            <w:shd w:val="clear" w:color="auto" w:fill="auto"/>
            <w:noWrap/>
            <w:vAlign w:val="center"/>
          </w:tcPr>
          <w:p w14:paraId="5FF22926" w14:textId="77777777" w:rsidR="00722B14" w:rsidRPr="007C770B" w:rsidRDefault="00722B14" w:rsidP="00DD3BAE">
            <w:pPr>
              <w:spacing w:before="0" w:after="0"/>
              <w:jc w:val="center"/>
              <w:rPr>
                <w:color w:val="000000"/>
                <w:sz w:val="16"/>
                <w:szCs w:val="16"/>
              </w:rPr>
            </w:pPr>
            <w:r w:rsidRPr="007C770B">
              <w:rPr>
                <w:color w:val="000000"/>
                <w:sz w:val="16"/>
                <w:szCs w:val="16"/>
              </w:rPr>
              <w:t>-12.34 ±1.46</w:t>
            </w:r>
          </w:p>
        </w:tc>
        <w:tc>
          <w:tcPr>
            <w:tcW w:w="1109" w:type="dxa"/>
            <w:tcBorders>
              <w:top w:val="nil"/>
              <w:left w:val="nil"/>
              <w:right w:val="nil"/>
            </w:tcBorders>
            <w:shd w:val="clear" w:color="auto" w:fill="auto"/>
            <w:vAlign w:val="center"/>
          </w:tcPr>
          <w:p w14:paraId="68219236" w14:textId="77777777" w:rsidR="00722B14" w:rsidRPr="007C770B" w:rsidRDefault="00722B14" w:rsidP="00DD3BAE">
            <w:pPr>
              <w:spacing w:before="0" w:after="0"/>
              <w:jc w:val="center"/>
              <w:rPr>
                <w:color w:val="000000"/>
                <w:sz w:val="16"/>
                <w:szCs w:val="16"/>
              </w:rPr>
            </w:pPr>
            <w:r w:rsidRPr="007C770B">
              <w:rPr>
                <w:color w:val="000000"/>
                <w:sz w:val="16"/>
                <w:szCs w:val="16"/>
              </w:rPr>
              <w:t>-0.32 ±0.88</w:t>
            </w:r>
          </w:p>
        </w:tc>
        <w:tc>
          <w:tcPr>
            <w:tcW w:w="797" w:type="dxa"/>
            <w:tcBorders>
              <w:top w:val="nil"/>
              <w:left w:val="nil"/>
              <w:right w:val="nil"/>
            </w:tcBorders>
            <w:shd w:val="clear" w:color="auto" w:fill="auto"/>
            <w:vAlign w:val="center"/>
          </w:tcPr>
          <w:p w14:paraId="6AF301AC"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07941E72" w14:textId="77777777" w:rsidR="00722B14" w:rsidRDefault="00722B14" w:rsidP="00DD3BAE">
            <w:pPr>
              <w:spacing w:before="0" w:after="0"/>
              <w:jc w:val="center"/>
              <w:rPr>
                <w:i/>
                <w:color w:val="000000"/>
                <w:sz w:val="16"/>
                <w:szCs w:val="16"/>
              </w:rPr>
            </w:pPr>
          </w:p>
        </w:tc>
      </w:tr>
      <w:tr w:rsidR="00722B14" w14:paraId="7A8DEC4B" w14:textId="77777777" w:rsidTr="00DE79BD">
        <w:trPr>
          <w:cantSplit/>
          <w:trHeight w:val="227"/>
          <w:jc w:val="center"/>
        </w:trPr>
        <w:tc>
          <w:tcPr>
            <w:tcW w:w="1077" w:type="dxa"/>
            <w:tcBorders>
              <w:left w:val="nil"/>
              <w:right w:val="nil"/>
            </w:tcBorders>
            <w:shd w:val="clear" w:color="auto" w:fill="auto"/>
            <w:vAlign w:val="center"/>
          </w:tcPr>
          <w:p w14:paraId="108F6D97"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696BE9BC"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6BF2ADC2"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5800CADC"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31733C9B" w14:textId="77777777" w:rsidR="00722B14" w:rsidRPr="00BB21C7" w:rsidRDefault="00722B14" w:rsidP="00DD3BAE">
            <w:pPr>
              <w:spacing w:before="0" w:after="0"/>
              <w:jc w:val="center"/>
              <w:rPr>
                <w:color w:val="000000"/>
                <w:sz w:val="16"/>
                <w:szCs w:val="16"/>
              </w:rPr>
            </w:pPr>
            <w:r w:rsidRPr="00BB21C7">
              <w:rPr>
                <w:color w:val="000000"/>
                <w:sz w:val="16"/>
                <w:szCs w:val="16"/>
              </w:rPr>
              <w:t>41.71</w:t>
            </w:r>
          </w:p>
        </w:tc>
        <w:tc>
          <w:tcPr>
            <w:tcW w:w="661" w:type="dxa"/>
            <w:tcBorders>
              <w:left w:val="nil"/>
              <w:bottom w:val="single" w:sz="4" w:space="0" w:color="auto"/>
              <w:right w:val="nil"/>
            </w:tcBorders>
            <w:shd w:val="clear" w:color="auto" w:fill="auto"/>
            <w:vAlign w:val="center"/>
          </w:tcPr>
          <w:p w14:paraId="2CE8C241" w14:textId="77777777" w:rsidR="00722B14" w:rsidRPr="00BB21C7" w:rsidRDefault="00722B14" w:rsidP="00DD3BAE">
            <w:pPr>
              <w:spacing w:before="0" w:after="0"/>
              <w:jc w:val="center"/>
              <w:rPr>
                <w:color w:val="000000"/>
                <w:sz w:val="16"/>
                <w:szCs w:val="16"/>
              </w:rPr>
            </w:pPr>
            <w:r>
              <w:rPr>
                <w:color w:val="000000"/>
                <w:sz w:val="16"/>
                <w:szCs w:val="16"/>
              </w:rPr>
              <w:t>23.90</w:t>
            </w:r>
          </w:p>
        </w:tc>
        <w:tc>
          <w:tcPr>
            <w:tcW w:w="1109" w:type="dxa"/>
            <w:tcBorders>
              <w:left w:val="nil"/>
              <w:bottom w:val="single" w:sz="4" w:space="0" w:color="auto"/>
              <w:right w:val="nil"/>
            </w:tcBorders>
            <w:shd w:val="clear" w:color="auto" w:fill="CCFFCC"/>
            <w:noWrap/>
            <w:vAlign w:val="center"/>
          </w:tcPr>
          <w:p w14:paraId="7870F713" w14:textId="77777777" w:rsidR="00722B14" w:rsidRPr="00BB21C7" w:rsidRDefault="00722B14" w:rsidP="00DD3BAE">
            <w:pPr>
              <w:spacing w:before="0" w:after="0"/>
              <w:jc w:val="center"/>
              <w:rPr>
                <w:color w:val="000000"/>
                <w:sz w:val="16"/>
                <w:szCs w:val="16"/>
              </w:rPr>
            </w:pPr>
            <w:r w:rsidRPr="00BB21C7">
              <w:rPr>
                <w:color w:val="000000"/>
                <w:sz w:val="16"/>
                <w:szCs w:val="16"/>
              </w:rPr>
              <w:t>-9.51 ±0.03</w:t>
            </w:r>
          </w:p>
        </w:tc>
        <w:tc>
          <w:tcPr>
            <w:tcW w:w="1109" w:type="dxa"/>
            <w:tcBorders>
              <w:left w:val="nil"/>
              <w:bottom w:val="single" w:sz="4" w:space="0" w:color="auto"/>
              <w:right w:val="nil"/>
            </w:tcBorders>
            <w:shd w:val="clear" w:color="auto" w:fill="auto"/>
            <w:vAlign w:val="center"/>
          </w:tcPr>
          <w:p w14:paraId="20C38E56" w14:textId="77777777" w:rsidR="00722B14" w:rsidRPr="00BB21C7" w:rsidRDefault="00722B14" w:rsidP="00DD3BAE">
            <w:pPr>
              <w:spacing w:before="0" w:after="0"/>
              <w:jc w:val="center"/>
              <w:rPr>
                <w:color w:val="000000"/>
                <w:sz w:val="16"/>
                <w:szCs w:val="16"/>
              </w:rPr>
            </w:pPr>
            <w:r w:rsidRPr="00BB21C7">
              <w:rPr>
                <w:color w:val="000000"/>
                <w:sz w:val="16"/>
                <w:szCs w:val="16"/>
              </w:rPr>
              <w:t>1.67 ±0.04</w:t>
            </w:r>
          </w:p>
        </w:tc>
        <w:tc>
          <w:tcPr>
            <w:tcW w:w="797" w:type="dxa"/>
            <w:tcBorders>
              <w:left w:val="nil"/>
              <w:bottom w:val="single" w:sz="4" w:space="0" w:color="auto"/>
              <w:right w:val="nil"/>
            </w:tcBorders>
            <w:shd w:val="clear" w:color="auto" w:fill="auto"/>
            <w:vAlign w:val="center"/>
          </w:tcPr>
          <w:p w14:paraId="09384B98"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4FB8AB3C" w14:textId="77777777" w:rsidR="00722B14" w:rsidRDefault="00722B14" w:rsidP="00DD3BAE">
            <w:pPr>
              <w:spacing w:before="0" w:after="0"/>
              <w:jc w:val="center"/>
              <w:rPr>
                <w:i/>
                <w:color w:val="000000"/>
                <w:sz w:val="16"/>
                <w:szCs w:val="16"/>
              </w:rPr>
            </w:pPr>
          </w:p>
        </w:tc>
      </w:tr>
      <w:tr w:rsidR="00722B14" w14:paraId="3FC90C20" w14:textId="77777777" w:rsidTr="00DE79BD">
        <w:trPr>
          <w:cantSplit/>
          <w:trHeight w:val="227"/>
          <w:jc w:val="center"/>
        </w:trPr>
        <w:tc>
          <w:tcPr>
            <w:tcW w:w="1077" w:type="dxa"/>
            <w:vAlign w:val="center"/>
          </w:tcPr>
          <w:p w14:paraId="31AEEEBC" w14:textId="77777777" w:rsidR="00722B14" w:rsidRDefault="00722B14" w:rsidP="00DD3BAE">
            <w:pPr>
              <w:spacing w:before="0" w:after="0"/>
              <w:jc w:val="center"/>
              <w:rPr>
                <w:color w:val="000000"/>
                <w:sz w:val="16"/>
                <w:szCs w:val="16"/>
              </w:rPr>
            </w:pPr>
          </w:p>
        </w:tc>
        <w:tc>
          <w:tcPr>
            <w:tcW w:w="1115" w:type="dxa"/>
            <w:noWrap/>
            <w:vAlign w:val="center"/>
          </w:tcPr>
          <w:p w14:paraId="1F0974F2"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8D828CD"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27A225DA"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1292ECD2" w14:textId="77777777" w:rsidR="00722B14" w:rsidRDefault="00722B14" w:rsidP="00DD3BAE">
            <w:pPr>
              <w:spacing w:before="0" w:after="0"/>
              <w:jc w:val="center"/>
              <w:rPr>
                <w:color w:val="000000"/>
                <w:sz w:val="16"/>
                <w:szCs w:val="16"/>
              </w:rPr>
            </w:pPr>
            <w:r>
              <w:rPr>
                <w:color w:val="000000"/>
                <w:sz w:val="16"/>
                <w:szCs w:val="16"/>
              </w:rPr>
              <w:t>42.48</w:t>
            </w:r>
          </w:p>
        </w:tc>
        <w:tc>
          <w:tcPr>
            <w:tcW w:w="661" w:type="dxa"/>
            <w:tcBorders>
              <w:top w:val="single" w:sz="4" w:space="0" w:color="auto"/>
              <w:left w:val="nil"/>
              <w:bottom w:val="nil"/>
              <w:right w:val="nil"/>
            </w:tcBorders>
            <w:shd w:val="clear" w:color="auto" w:fill="CCFFCC"/>
            <w:vAlign w:val="center"/>
            <w:hideMark/>
          </w:tcPr>
          <w:p w14:paraId="2993F8DA" w14:textId="77777777" w:rsidR="00722B14" w:rsidRDefault="00722B14" w:rsidP="00DD3BAE">
            <w:pPr>
              <w:spacing w:before="0" w:after="0"/>
              <w:jc w:val="center"/>
              <w:rPr>
                <w:color w:val="000000"/>
                <w:sz w:val="16"/>
                <w:szCs w:val="16"/>
              </w:rPr>
            </w:pPr>
            <w:r>
              <w:rPr>
                <w:color w:val="000000"/>
                <w:sz w:val="16"/>
                <w:szCs w:val="16"/>
              </w:rPr>
              <w:t>15.50</w:t>
            </w:r>
          </w:p>
        </w:tc>
        <w:tc>
          <w:tcPr>
            <w:tcW w:w="1109" w:type="dxa"/>
            <w:tcBorders>
              <w:top w:val="single" w:sz="4" w:space="0" w:color="auto"/>
              <w:left w:val="nil"/>
              <w:bottom w:val="nil"/>
              <w:right w:val="nil"/>
            </w:tcBorders>
            <w:shd w:val="clear" w:color="auto" w:fill="CCFFCC"/>
            <w:noWrap/>
            <w:vAlign w:val="center"/>
            <w:hideMark/>
          </w:tcPr>
          <w:p w14:paraId="2CBE7E64" w14:textId="77777777" w:rsidR="00722B14" w:rsidRDefault="00722B14" w:rsidP="00DD3BAE">
            <w:pPr>
              <w:spacing w:before="0" w:after="0"/>
              <w:jc w:val="center"/>
              <w:rPr>
                <w:color w:val="000000"/>
                <w:sz w:val="16"/>
                <w:szCs w:val="16"/>
              </w:rPr>
            </w:pPr>
            <w:r>
              <w:rPr>
                <w:color w:val="000000"/>
                <w:sz w:val="16"/>
                <w:szCs w:val="16"/>
              </w:rPr>
              <w:t>-8.78 ±0.30</w:t>
            </w:r>
          </w:p>
        </w:tc>
        <w:tc>
          <w:tcPr>
            <w:tcW w:w="1109" w:type="dxa"/>
            <w:tcBorders>
              <w:top w:val="single" w:sz="4" w:space="0" w:color="auto"/>
              <w:left w:val="nil"/>
              <w:bottom w:val="nil"/>
              <w:right w:val="nil"/>
            </w:tcBorders>
            <w:vAlign w:val="center"/>
            <w:hideMark/>
          </w:tcPr>
          <w:p w14:paraId="230388D6" w14:textId="77777777" w:rsidR="00722B14" w:rsidRDefault="00722B14" w:rsidP="00DD3BAE">
            <w:pPr>
              <w:spacing w:before="0" w:after="0"/>
              <w:jc w:val="center"/>
              <w:rPr>
                <w:color w:val="000000"/>
                <w:sz w:val="16"/>
                <w:szCs w:val="16"/>
              </w:rPr>
            </w:pPr>
            <w:r>
              <w:rPr>
                <w:color w:val="000000"/>
                <w:sz w:val="16"/>
                <w:szCs w:val="16"/>
              </w:rPr>
              <w:t>0.72 ±0.44</w:t>
            </w:r>
          </w:p>
        </w:tc>
        <w:tc>
          <w:tcPr>
            <w:tcW w:w="797" w:type="dxa"/>
            <w:tcBorders>
              <w:top w:val="single" w:sz="4" w:space="0" w:color="auto"/>
              <w:left w:val="nil"/>
              <w:bottom w:val="nil"/>
              <w:right w:val="nil"/>
            </w:tcBorders>
            <w:vAlign w:val="center"/>
            <w:hideMark/>
          </w:tcPr>
          <w:p w14:paraId="59A550A8"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361431D8"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40492CA4" w14:textId="77777777" w:rsidTr="00DE79BD">
        <w:trPr>
          <w:cantSplit/>
          <w:trHeight w:val="227"/>
          <w:jc w:val="center"/>
        </w:trPr>
        <w:tc>
          <w:tcPr>
            <w:tcW w:w="1077" w:type="dxa"/>
            <w:vAlign w:val="center"/>
          </w:tcPr>
          <w:p w14:paraId="1EE30D9B" w14:textId="77777777" w:rsidR="00722B14" w:rsidRDefault="00722B14" w:rsidP="00DD3BAE">
            <w:pPr>
              <w:spacing w:before="0" w:after="0"/>
              <w:jc w:val="center"/>
              <w:rPr>
                <w:color w:val="000000"/>
                <w:sz w:val="16"/>
                <w:szCs w:val="16"/>
              </w:rPr>
            </w:pPr>
          </w:p>
        </w:tc>
        <w:tc>
          <w:tcPr>
            <w:tcW w:w="1115" w:type="dxa"/>
            <w:noWrap/>
            <w:vAlign w:val="center"/>
          </w:tcPr>
          <w:p w14:paraId="078DAEF5" w14:textId="77777777" w:rsidR="00722B14" w:rsidRDefault="00722B14" w:rsidP="00DD3BAE">
            <w:pPr>
              <w:spacing w:before="0" w:after="0"/>
              <w:jc w:val="center"/>
              <w:rPr>
                <w:color w:val="000000"/>
                <w:sz w:val="16"/>
                <w:szCs w:val="16"/>
              </w:rPr>
            </w:pPr>
          </w:p>
        </w:tc>
        <w:tc>
          <w:tcPr>
            <w:tcW w:w="789" w:type="dxa"/>
            <w:noWrap/>
            <w:vAlign w:val="center"/>
          </w:tcPr>
          <w:p w14:paraId="617D9098" w14:textId="77777777" w:rsidR="00722B14" w:rsidRDefault="00722B14" w:rsidP="00DD3BAE">
            <w:pPr>
              <w:spacing w:before="0" w:after="0"/>
              <w:jc w:val="center"/>
              <w:rPr>
                <w:color w:val="000000"/>
                <w:sz w:val="16"/>
                <w:szCs w:val="16"/>
              </w:rPr>
            </w:pPr>
          </w:p>
        </w:tc>
        <w:tc>
          <w:tcPr>
            <w:tcW w:w="621" w:type="dxa"/>
            <w:vAlign w:val="center"/>
            <w:hideMark/>
          </w:tcPr>
          <w:p w14:paraId="2920FBC6"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7167ABA0" w14:textId="77777777" w:rsidR="00722B14" w:rsidRDefault="00722B14" w:rsidP="00DD3BAE">
            <w:pPr>
              <w:spacing w:before="0" w:after="0"/>
              <w:jc w:val="center"/>
              <w:rPr>
                <w:color w:val="000000"/>
                <w:sz w:val="16"/>
                <w:szCs w:val="16"/>
              </w:rPr>
            </w:pPr>
            <w:r>
              <w:rPr>
                <w:color w:val="000000"/>
                <w:sz w:val="16"/>
                <w:szCs w:val="16"/>
              </w:rPr>
              <w:t>41.22</w:t>
            </w:r>
          </w:p>
        </w:tc>
        <w:tc>
          <w:tcPr>
            <w:tcW w:w="661" w:type="dxa"/>
            <w:shd w:val="clear" w:color="auto" w:fill="CCFFCC"/>
            <w:vAlign w:val="center"/>
            <w:hideMark/>
          </w:tcPr>
          <w:p w14:paraId="31300B04" w14:textId="77777777" w:rsidR="00722B14" w:rsidRDefault="00722B14" w:rsidP="00DD3BAE">
            <w:pPr>
              <w:spacing w:before="0" w:after="0"/>
              <w:jc w:val="center"/>
              <w:rPr>
                <w:color w:val="000000"/>
                <w:sz w:val="16"/>
                <w:szCs w:val="16"/>
              </w:rPr>
            </w:pPr>
            <w:r>
              <w:rPr>
                <w:color w:val="000000"/>
                <w:sz w:val="16"/>
                <w:szCs w:val="16"/>
              </w:rPr>
              <w:t>16.13</w:t>
            </w:r>
          </w:p>
        </w:tc>
        <w:tc>
          <w:tcPr>
            <w:tcW w:w="1109" w:type="dxa"/>
            <w:shd w:val="clear" w:color="auto" w:fill="CCFFCC"/>
            <w:noWrap/>
            <w:vAlign w:val="center"/>
            <w:hideMark/>
          </w:tcPr>
          <w:p w14:paraId="1B2375E4" w14:textId="77777777" w:rsidR="00722B14" w:rsidRDefault="00722B14" w:rsidP="00DD3BAE">
            <w:pPr>
              <w:spacing w:before="0" w:after="0"/>
              <w:jc w:val="center"/>
              <w:rPr>
                <w:color w:val="000000"/>
                <w:sz w:val="16"/>
                <w:szCs w:val="16"/>
              </w:rPr>
            </w:pPr>
            <w:r>
              <w:rPr>
                <w:color w:val="000000"/>
                <w:sz w:val="16"/>
                <w:szCs w:val="16"/>
              </w:rPr>
              <w:t>-8.74 ±0.22</w:t>
            </w:r>
          </w:p>
        </w:tc>
        <w:tc>
          <w:tcPr>
            <w:tcW w:w="1109" w:type="dxa"/>
            <w:vAlign w:val="center"/>
            <w:hideMark/>
          </w:tcPr>
          <w:p w14:paraId="3A6E72B6" w14:textId="77777777" w:rsidR="00722B14" w:rsidRDefault="00722B14" w:rsidP="00DD3BAE">
            <w:pPr>
              <w:spacing w:before="0" w:after="0"/>
              <w:jc w:val="center"/>
              <w:rPr>
                <w:color w:val="000000"/>
                <w:sz w:val="16"/>
                <w:szCs w:val="16"/>
              </w:rPr>
            </w:pPr>
            <w:r>
              <w:rPr>
                <w:color w:val="000000"/>
                <w:sz w:val="16"/>
                <w:szCs w:val="16"/>
              </w:rPr>
              <w:t>0.15 ±1.34</w:t>
            </w:r>
          </w:p>
        </w:tc>
        <w:tc>
          <w:tcPr>
            <w:tcW w:w="797" w:type="dxa"/>
            <w:vAlign w:val="center"/>
          </w:tcPr>
          <w:p w14:paraId="3A338383" w14:textId="77777777" w:rsidR="00722B14" w:rsidRDefault="00722B14" w:rsidP="00DD3BAE">
            <w:pPr>
              <w:spacing w:before="0" w:after="0"/>
              <w:jc w:val="center"/>
              <w:rPr>
                <w:i/>
                <w:color w:val="000000"/>
                <w:sz w:val="16"/>
                <w:szCs w:val="16"/>
              </w:rPr>
            </w:pPr>
          </w:p>
        </w:tc>
        <w:tc>
          <w:tcPr>
            <w:tcW w:w="1557" w:type="dxa"/>
            <w:noWrap/>
            <w:vAlign w:val="center"/>
          </w:tcPr>
          <w:p w14:paraId="654918CC" w14:textId="77777777" w:rsidR="00722B14" w:rsidRDefault="00722B14" w:rsidP="00DD3BAE">
            <w:pPr>
              <w:spacing w:before="0" w:after="0"/>
              <w:jc w:val="center"/>
              <w:rPr>
                <w:i/>
                <w:color w:val="000000"/>
                <w:sz w:val="16"/>
                <w:szCs w:val="16"/>
              </w:rPr>
            </w:pPr>
          </w:p>
        </w:tc>
      </w:tr>
      <w:tr w:rsidR="00722B14" w14:paraId="0AD4B747" w14:textId="77777777" w:rsidTr="00DE79BD">
        <w:trPr>
          <w:cantSplit/>
          <w:trHeight w:val="227"/>
          <w:jc w:val="center"/>
        </w:trPr>
        <w:tc>
          <w:tcPr>
            <w:tcW w:w="1077" w:type="dxa"/>
            <w:vAlign w:val="center"/>
          </w:tcPr>
          <w:p w14:paraId="524263F2" w14:textId="77777777" w:rsidR="00722B14" w:rsidRDefault="00722B14" w:rsidP="00DD3BAE">
            <w:pPr>
              <w:spacing w:before="0" w:after="0"/>
              <w:jc w:val="center"/>
              <w:rPr>
                <w:color w:val="000000"/>
                <w:sz w:val="16"/>
                <w:szCs w:val="16"/>
              </w:rPr>
            </w:pPr>
          </w:p>
        </w:tc>
        <w:tc>
          <w:tcPr>
            <w:tcW w:w="1115" w:type="dxa"/>
            <w:noWrap/>
            <w:vAlign w:val="center"/>
          </w:tcPr>
          <w:p w14:paraId="580128FC" w14:textId="77777777" w:rsidR="00722B14" w:rsidRDefault="00722B14" w:rsidP="00DD3BAE">
            <w:pPr>
              <w:spacing w:before="0" w:after="0"/>
              <w:jc w:val="center"/>
              <w:rPr>
                <w:color w:val="000000"/>
                <w:sz w:val="16"/>
                <w:szCs w:val="16"/>
              </w:rPr>
            </w:pPr>
          </w:p>
        </w:tc>
        <w:tc>
          <w:tcPr>
            <w:tcW w:w="789" w:type="dxa"/>
            <w:noWrap/>
            <w:vAlign w:val="center"/>
          </w:tcPr>
          <w:p w14:paraId="3F8E1EDE" w14:textId="77777777" w:rsidR="00722B14" w:rsidRDefault="00722B14" w:rsidP="00DD3BAE">
            <w:pPr>
              <w:spacing w:before="0" w:after="0"/>
              <w:jc w:val="center"/>
              <w:rPr>
                <w:color w:val="000000"/>
                <w:sz w:val="16"/>
                <w:szCs w:val="16"/>
              </w:rPr>
            </w:pPr>
          </w:p>
        </w:tc>
        <w:tc>
          <w:tcPr>
            <w:tcW w:w="621" w:type="dxa"/>
            <w:vAlign w:val="center"/>
            <w:hideMark/>
          </w:tcPr>
          <w:p w14:paraId="4A4303E3"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07F9021F" w14:textId="77777777" w:rsidR="00722B14" w:rsidRDefault="00722B14" w:rsidP="00DD3BAE">
            <w:pPr>
              <w:spacing w:before="0" w:after="0"/>
              <w:jc w:val="center"/>
              <w:rPr>
                <w:color w:val="000000"/>
                <w:sz w:val="16"/>
                <w:szCs w:val="16"/>
              </w:rPr>
            </w:pPr>
            <w:r>
              <w:rPr>
                <w:color w:val="000000"/>
                <w:sz w:val="16"/>
                <w:szCs w:val="16"/>
              </w:rPr>
              <w:t>41.93</w:t>
            </w:r>
          </w:p>
        </w:tc>
        <w:tc>
          <w:tcPr>
            <w:tcW w:w="661" w:type="dxa"/>
            <w:shd w:val="clear" w:color="auto" w:fill="CCFFCC"/>
            <w:vAlign w:val="center"/>
            <w:hideMark/>
          </w:tcPr>
          <w:p w14:paraId="76D30CE4" w14:textId="77777777" w:rsidR="00722B14" w:rsidRDefault="00722B14" w:rsidP="00DD3BAE">
            <w:pPr>
              <w:spacing w:before="0" w:after="0"/>
              <w:jc w:val="center"/>
              <w:rPr>
                <w:color w:val="000000"/>
                <w:sz w:val="16"/>
                <w:szCs w:val="16"/>
              </w:rPr>
            </w:pPr>
            <w:r>
              <w:rPr>
                <w:color w:val="000000"/>
                <w:sz w:val="16"/>
                <w:szCs w:val="16"/>
              </w:rPr>
              <w:t>16.86</w:t>
            </w:r>
          </w:p>
        </w:tc>
        <w:tc>
          <w:tcPr>
            <w:tcW w:w="1109" w:type="dxa"/>
            <w:shd w:val="clear" w:color="auto" w:fill="CCFFCC"/>
            <w:noWrap/>
            <w:vAlign w:val="center"/>
            <w:hideMark/>
          </w:tcPr>
          <w:p w14:paraId="19A2786C" w14:textId="77777777" w:rsidR="00722B14" w:rsidRDefault="00722B14" w:rsidP="00DD3BAE">
            <w:pPr>
              <w:spacing w:before="0" w:after="0"/>
              <w:jc w:val="center"/>
              <w:rPr>
                <w:color w:val="000000"/>
                <w:sz w:val="16"/>
                <w:szCs w:val="16"/>
              </w:rPr>
            </w:pPr>
            <w:r>
              <w:rPr>
                <w:color w:val="000000"/>
                <w:sz w:val="16"/>
                <w:szCs w:val="16"/>
              </w:rPr>
              <w:t>-8.97 ±0.04</w:t>
            </w:r>
          </w:p>
        </w:tc>
        <w:tc>
          <w:tcPr>
            <w:tcW w:w="1109" w:type="dxa"/>
            <w:vAlign w:val="center"/>
            <w:hideMark/>
          </w:tcPr>
          <w:p w14:paraId="08F288CD" w14:textId="77777777" w:rsidR="00722B14" w:rsidRDefault="00722B14" w:rsidP="00DD3BAE">
            <w:pPr>
              <w:spacing w:before="0" w:after="0"/>
              <w:jc w:val="center"/>
              <w:rPr>
                <w:color w:val="000000"/>
                <w:sz w:val="16"/>
                <w:szCs w:val="16"/>
              </w:rPr>
            </w:pPr>
            <w:r>
              <w:rPr>
                <w:color w:val="000000"/>
                <w:sz w:val="16"/>
                <w:szCs w:val="16"/>
              </w:rPr>
              <w:t>-1.58 ±0.51</w:t>
            </w:r>
          </w:p>
        </w:tc>
        <w:tc>
          <w:tcPr>
            <w:tcW w:w="797" w:type="dxa"/>
            <w:vAlign w:val="center"/>
          </w:tcPr>
          <w:p w14:paraId="5B76D179" w14:textId="77777777" w:rsidR="00722B14" w:rsidRDefault="00722B14" w:rsidP="00DD3BAE">
            <w:pPr>
              <w:spacing w:before="0" w:after="0"/>
              <w:jc w:val="center"/>
              <w:rPr>
                <w:i/>
                <w:color w:val="000000"/>
                <w:sz w:val="16"/>
                <w:szCs w:val="16"/>
              </w:rPr>
            </w:pPr>
          </w:p>
        </w:tc>
        <w:tc>
          <w:tcPr>
            <w:tcW w:w="1557" w:type="dxa"/>
            <w:noWrap/>
            <w:vAlign w:val="center"/>
          </w:tcPr>
          <w:p w14:paraId="784F0737" w14:textId="77777777" w:rsidR="00722B14" w:rsidRDefault="00722B14" w:rsidP="00DD3BAE">
            <w:pPr>
              <w:spacing w:before="0" w:after="0"/>
              <w:jc w:val="center"/>
              <w:rPr>
                <w:i/>
                <w:color w:val="000000"/>
                <w:sz w:val="16"/>
                <w:szCs w:val="16"/>
              </w:rPr>
            </w:pPr>
          </w:p>
        </w:tc>
      </w:tr>
      <w:tr w:rsidR="00722B14" w14:paraId="07D1A0F4" w14:textId="77777777" w:rsidTr="00DE79BD">
        <w:trPr>
          <w:cantSplit/>
          <w:trHeight w:val="227"/>
          <w:jc w:val="center"/>
        </w:trPr>
        <w:tc>
          <w:tcPr>
            <w:tcW w:w="1077" w:type="dxa"/>
            <w:vAlign w:val="center"/>
          </w:tcPr>
          <w:p w14:paraId="1D87E0A8" w14:textId="77777777" w:rsidR="00722B14" w:rsidRDefault="00722B14" w:rsidP="00DD3BAE">
            <w:pPr>
              <w:spacing w:before="0" w:after="0"/>
              <w:jc w:val="center"/>
              <w:rPr>
                <w:color w:val="000000"/>
                <w:sz w:val="16"/>
                <w:szCs w:val="16"/>
              </w:rPr>
            </w:pPr>
          </w:p>
        </w:tc>
        <w:tc>
          <w:tcPr>
            <w:tcW w:w="1115" w:type="dxa"/>
            <w:noWrap/>
            <w:vAlign w:val="center"/>
          </w:tcPr>
          <w:p w14:paraId="00C259E9"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3B00010F"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0A3565E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3D924E57" w14:textId="77777777" w:rsidR="00722B14" w:rsidRDefault="00722B14" w:rsidP="00DD3BAE">
            <w:pPr>
              <w:spacing w:before="0" w:after="0"/>
              <w:jc w:val="center"/>
              <w:rPr>
                <w:color w:val="000000"/>
                <w:sz w:val="16"/>
                <w:szCs w:val="16"/>
              </w:rPr>
            </w:pPr>
            <w:r>
              <w:rPr>
                <w:color w:val="000000"/>
                <w:sz w:val="16"/>
                <w:szCs w:val="16"/>
              </w:rPr>
              <w:t>39.53</w:t>
            </w:r>
          </w:p>
        </w:tc>
        <w:tc>
          <w:tcPr>
            <w:tcW w:w="661" w:type="dxa"/>
            <w:tcBorders>
              <w:top w:val="nil"/>
              <w:left w:val="nil"/>
              <w:right w:val="nil"/>
            </w:tcBorders>
            <w:shd w:val="clear" w:color="auto" w:fill="CCFFCC"/>
            <w:vAlign w:val="center"/>
            <w:hideMark/>
          </w:tcPr>
          <w:p w14:paraId="30D44522" w14:textId="77777777" w:rsidR="00722B14" w:rsidRDefault="00722B14" w:rsidP="00DD3BAE">
            <w:pPr>
              <w:spacing w:before="0" w:after="0"/>
              <w:jc w:val="center"/>
              <w:rPr>
                <w:color w:val="000000"/>
                <w:sz w:val="16"/>
                <w:szCs w:val="16"/>
              </w:rPr>
            </w:pPr>
            <w:r>
              <w:rPr>
                <w:color w:val="000000"/>
                <w:sz w:val="16"/>
                <w:szCs w:val="16"/>
              </w:rPr>
              <w:t>17.89</w:t>
            </w:r>
          </w:p>
        </w:tc>
        <w:tc>
          <w:tcPr>
            <w:tcW w:w="1109" w:type="dxa"/>
            <w:tcBorders>
              <w:top w:val="nil"/>
              <w:left w:val="nil"/>
              <w:right w:val="nil"/>
            </w:tcBorders>
            <w:shd w:val="clear" w:color="auto" w:fill="CCFFCC"/>
            <w:noWrap/>
            <w:vAlign w:val="center"/>
            <w:hideMark/>
          </w:tcPr>
          <w:p w14:paraId="5A6D07E9" w14:textId="77777777" w:rsidR="00722B14" w:rsidRDefault="00722B14" w:rsidP="00DD3BAE">
            <w:pPr>
              <w:spacing w:before="0" w:after="0"/>
              <w:jc w:val="center"/>
              <w:rPr>
                <w:color w:val="000000"/>
                <w:sz w:val="16"/>
                <w:szCs w:val="16"/>
              </w:rPr>
            </w:pPr>
            <w:r>
              <w:rPr>
                <w:color w:val="000000"/>
                <w:sz w:val="16"/>
                <w:szCs w:val="16"/>
              </w:rPr>
              <w:t>-8.82 ±0.19</w:t>
            </w:r>
          </w:p>
        </w:tc>
        <w:tc>
          <w:tcPr>
            <w:tcW w:w="1109" w:type="dxa"/>
            <w:tcBorders>
              <w:top w:val="nil"/>
              <w:left w:val="nil"/>
              <w:right w:val="nil"/>
            </w:tcBorders>
            <w:vAlign w:val="center"/>
            <w:hideMark/>
          </w:tcPr>
          <w:p w14:paraId="23D55854" w14:textId="77777777" w:rsidR="00722B14" w:rsidRDefault="00722B14" w:rsidP="00DD3BAE">
            <w:pPr>
              <w:spacing w:before="0" w:after="0"/>
              <w:jc w:val="center"/>
              <w:rPr>
                <w:color w:val="000000"/>
                <w:sz w:val="16"/>
                <w:szCs w:val="16"/>
              </w:rPr>
            </w:pPr>
            <w:r>
              <w:rPr>
                <w:color w:val="000000"/>
                <w:sz w:val="16"/>
                <w:szCs w:val="16"/>
              </w:rPr>
              <w:t>-1.71 ±0.69</w:t>
            </w:r>
          </w:p>
        </w:tc>
        <w:tc>
          <w:tcPr>
            <w:tcW w:w="797" w:type="dxa"/>
            <w:tcBorders>
              <w:top w:val="nil"/>
              <w:left w:val="nil"/>
              <w:right w:val="nil"/>
            </w:tcBorders>
            <w:vAlign w:val="center"/>
          </w:tcPr>
          <w:p w14:paraId="4AAA4A7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1F75056" w14:textId="77777777" w:rsidR="00722B14" w:rsidRDefault="00722B14" w:rsidP="00DD3BAE">
            <w:pPr>
              <w:spacing w:before="0" w:after="0"/>
              <w:jc w:val="center"/>
              <w:rPr>
                <w:i/>
                <w:color w:val="000000"/>
                <w:sz w:val="16"/>
                <w:szCs w:val="16"/>
              </w:rPr>
            </w:pPr>
          </w:p>
        </w:tc>
      </w:tr>
      <w:tr w:rsidR="00722B14" w14:paraId="7574E4D6" w14:textId="77777777" w:rsidTr="00DE79BD">
        <w:trPr>
          <w:cantSplit/>
          <w:trHeight w:val="227"/>
          <w:jc w:val="center"/>
        </w:trPr>
        <w:tc>
          <w:tcPr>
            <w:tcW w:w="1077" w:type="dxa"/>
            <w:tcBorders>
              <w:top w:val="nil"/>
              <w:left w:val="nil"/>
              <w:right w:val="nil"/>
            </w:tcBorders>
            <w:shd w:val="clear" w:color="auto" w:fill="auto"/>
            <w:vAlign w:val="center"/>
          </w:tcPr>
          <w:p w14:paraId="10185C7B"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11A088C2"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56AB39E7"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01D936B0"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0513BEFB" w14:textId="77777777" w:rsidR="00722B14" w:rsidRPr="007C770B" w:rsidRDefault="00722B14" w:rsidP="00DD3BAE">
            <w:pPr>
              <w:spacing w:before="0" w:after="0"/>
              <w:jc w:val="center"/>
              <w:rPr>
                <w:color w:val="000000"/>
                <w:sz w:val="16"/>
                <w:szCs w:val="16"/>
              </w:rPr>
            </w:pPr>
            <w:r w:rsidRPr="007C770B">
              <w:rPr>
                <w:color w:val="000000"/>
                <w:sz w:val="16"/>
                <w:szCs w:val="16"/>
              </w:rPr>
              <w:t>41.15</w:t>
            </w:r>
          </w:p>
        </w:tc>
        <w:tc>
          <w:tcPr>
            <w:tcW w:w="661" w:type="dxa"/>
            <w:tcBorders>
              <w:top w:val="nil"/>
              <w:left w:val="nil"/>
              <w:right w:val="nil"/>
            </w:tcBorders>
            <w:shd w:val="clear" w:color="auto" w:fill="CCFFCC"/>
            <w:vAlign w:val="center"/>
          </w:tcPr>
          <w:p w14:paraId="619249C6" w14:textId="77777777" w:rsidR="00722B14" w:rsidRPr="007C770B" w:rsidRDefault="00722B14" w:rsidP="00DD3BAE">
            <w:pPr>
              <w:spacing w:before="0" w:after="0"/>
              <w:jc w:val="center"/>
              <w:rPr>
                <w:color w:val="000000"/>
                <w:sz w:val="16"/>
                <w:szCs w:val="16"/>
              </w:rPr>
            </w:pPr>
            <w:r w:rsidRPr="007C770B">
              <w:rPr>
                <w:color w:val="000000"/>
                <w:sz w:val="16"/>
                <w:szCs w:val="16"/>
              </w:rPr>
              <w:t>16.05</w:t>
            </w:r>
          </w:p>
        </w:tc>
        <w:tc>
          <w:tcPr>
            <w:tcW w:w="1109" w:type="dxa"/>
            <w:tcBorders>
              <w:top w:val="nil"/>
              <w:left w:val="nil"/>
              <w:right w:val="nil"/>
            </w:tcBorders>
            <w:shd w:val="clear" w:color="auto" w:fill="CCFFCC"/>
            <w:noWrap/>
            <w:vAlign w:val="center"/>
          </w:tcPr>
          <w:p w14:paraId="4425104E" w14:textId="77777777" w:rsidR="00722B14" w:rsidRPr="007C770B" w:rsidRDefault="00722B14" w:rsidP="00DD3BAE">
            <w:pPr>
              <w:spacing w:before="0" w:after="0"/>
              <w:jc w:val="center"/>
              <w:rPr>
                <w:color w:val="000000"/>
                <w:sz w:val="16"/>
                <w:szCs w:val="16"/>
              </w:rPr>
            </w:pPr>
            <w:r w:rsidRPr="007C770B">
              <w:rPr>
                <w:color w:val="000000"/>
                <w:sz w:val="16"/>
                <w:szCs w:val="16"/>
              </w:rPr>
              <w:t>-9.08 ±0.84</w:t>
            </w:r>
          </w:p>
        </w:tc>
        <w:tc>
          <w:tcPr>
            <w:tcW w:w="1109" w:type="dxa"/>
            <w:tcBorders>
              <w:top w:val="nil"/>
              <w:left w:val="nil"/>
              <w:right w:val="nil"/>
            </w:tcBorders>
            <w:shd w:val="clear" w:color="auto" w:fill="auto"/>
            <w:vAlign w:val="center"/>
          </w:tcPr>
          <w:p w14:paraId="5CEF53A8" w14:textId="77777777" w:rsidR="00722B14" w:rsidRPr="007C770B" w:rsidRDefault="00722B14" w:rsidP="00DD3BAE">
            <w:pPr>
              <w:spacing w:before="0" w:after="0"/>
              <w:jc w:val="center"/>
              <w:rPr>
                <w:color w:val="000000"/>
                <w:sz w:val="16"/>
                <w:szCs w:val="16"/>
              </w:rPr>
            </w:pPr>
            <w:r w:rsidRPr="007C770B">
              <w:rPr>
                <w:color w:val="000000"/>
                <w:sz w:val="16"/>
                <w:szCs w:val="16"/>
              </w:rPr>
              <w:t>0.82 ±0.88</w:t>
            </w:r>
          </w:p>
        </w:tc>
        <w:tc>
          <w:tcPr>
            <w:tcW w:w="797" w:type="dxa"/>
            <w:tcBorders>
              <w:top w:val="nil"/>
              <w:left w:val="nil"/>
              <w:right w:val="nil"/>
            </w:tcBorders>
            <w:shd w:val="clear" w:color="auto" w:fill="auto"/>
            <w:vAlign w:val="center"/>
          </w:tcPr>
          <w:p w14:paraId="64692D4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31FA96B8" w14:textId="77777777" w:rsidR="00722B14" w:rsidRDefault="00722B14" w:rsidP="00DD3BAE">
            <w:pPr>
              <w:spacing w:before="0" w:after="0"/>
              <w:jc w:val="center"/>
              <w:rPr>
                <w:i/>
                <w:color w:val="000000"/>
                <w:sz w:val="16"/>
                <w:szCs w:val="16"/>
              </w:rPr>
            </w:pPr>
          </w:p>
        </w:tc>
      </w:tr>
      <w:tr w:rsidR="00722B14" w14:paraId="744C84E5" w14:textId="77777777" w:rsidTr="00DE79BD">
        <w:trPr>
          <w:cantSplit/>
          <w:trHeight w:val="227"/>
          <w:jc w:val="center"/>
        </w:trPr>
        <w:tc>
          <w:tcPr>
            <w:tcW w:w="1077" w:type="dxa"/>
            <w:tcBorders>
              <w:left w:val="nil"/>
              <w:right w:val="nil"/>
            </w:tcBorders>
            <w:shd w:val="clear" w:color="auto" w:fill="auto"/>
            <w:vAlign w:val="center"/>
          </w:tcPr>
          <w:p w14:paraId="207BD756"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4A00BFCE"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19CB1934"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F92B1CA"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59BB5A50" w14:textId="77777777" w:rsidR="00722B14" w:rsidRPr="003F61EC" w:rsidRDefault="00722B14" w:rsidP="00DD3BAE">
            <w:pPr>
              <w:spacing w:before="0" w:after="0"/>
              <w:jc w:val="center"/>
              <w:rPr>
                <w:color w:val="000000"/>
                <w:sz w:val="16"/>
                <w:szCs w:val="16"/>
              </w:rPr>
            </w:pPr>
            <w:r w:rsidRPr="003F61EC">
              <w:rPr>
                <w:color w:val="000000"/>
                <w:sz w:val="16"/>
                <w:szCs w:val="16"/>
              </w:rPr>
              <w:t>43.06</w:t>
            </w:r>
          </w:p>
        </w:tc>
        <w:tc>
          <w:tcPr>
            <w:tcW w:w="661" w:type="dxa"/>
            <w:tcBorders>
              <w:left w:val="nil"/>
              <w:bottom w:val="single" w:sz="4" w:space="0" w:color="auto"/>
              <w:right w:val="nil"/>
            </w:tcBorders>
            <w:shd w:val="clear" w:color="auto" w:fill="CCFFCC"/>
            <w:vAlign w:val="center"/>
          </w:tcPr>
          <w:p w14:paraId="0384974B" w14:textId="77777777" w:rsidR="00722B14" w:rsidRPr="003F61EC" w:rsidRDefault="00722B14" w:rsidP="00DD3BAE">
            <w:pPr>
              <w:spacing w:before="0" w:after="0"/>
              <w:jc w:val="center"/>
              <w:rPr>
                <w:color w:val="000000"/>
                <w:sz w:val="16"/>
                <w:szCs w:val="16"/>
              </w:rPr>
            </w:pPr>
            <w:r>
              <w:rPr>
                <w:color w:val="000000"/>
                <w:sz w:val="16"/>
                <w:szCs w:val="16"/>
              </w:rPr>
              <w:t>17.74</w:t>
            </w:r>
          </w:p>
        </w:tc>
        <w:tc>
          <w:tcPr>
            <w:tcW w:w="1109" w:type="dxa"/>
            <w:tcBorders>
              <w:left w:val="nil"/>
              <w:bottom w:val="single" w:sz="4" w:space="0" w:color="auto"/>
              <w:right w:val="nil"/>
            </w:tcBorders>
            <w:shd w:val="clear" w:color="auto" w:fill="CCFFCC"/>
            <w:noWrap/>
            <w:vAlign w:val="center"/>
          </w:tcPr>
          <w:p w14:paraId="10ACBEC3" w14:textId="77777777" w:rsidR="00722B14" w:rsidRPr="003F61EC" w:rsidRDefault="00722B14" w:rsidP="00DD3BAE">
            <w:pPr>
              <w:spacing w:before="0" w:after="0"/>
              <w:jc w:val="center"/>
              <w:rPr>
                <w:color w:val="000000"/>
                <w:sz w:val="16"/>
                <w:szCs w:val="16"/>
              </w:rPr>
            </w:pPr>
            <w:r w:rsidRPr="003F61EC">
              <w:rPr>
                <w:color w:val="000000"/>
                <w:sz w:val="16"/>
                <w:szCs w:val="16"/>
              </w:rPr>
              <w:t>-9.60 ±0.09</w:t>
            </w:r>
          </w:p>
        </w:tc>
        <w:tc>
          <w:tcPr>
            <w:tcW w:w="1109" w:type="dxa"/>
            <w:tcBorders>
              <w:left w:val="nil"/>
              <w:bottom w:val="single" w:sz="4" w:space="0" w:color="auto"/>
              <w:right w:val="nil"/>
            </w:tcBorders>
            <w:shd w:val="clear" w:color="auto" w:fill="auto"/>
            <w:vAlign w:val="center"/>
          </w:tcPr>
          <w:p w14:paraId="4E1F0040" w14:textId="77777777" w:rsidR="00722B14" w:rsidRPr="003F61EC" w:rsidRDefault="00722B14" w:rsidP="00DD3BAE">
            <w:pPr>
              <w:spacing w:before="0" w:after="0"/>
              <w:jc w:val="center"/>
              <w:rPr>
                <w:color w:val="000000"/>
                <w:sz w:val="16"/>
                <w:szCs w:val="16"/>
              </w:rPr>
            </w:pPr>
            <w:r w:rsidRPr="003F61EC">
              <w:rPr>
                <w:color w:val="000000"/>
                <w:sz w:val="16"/>
                <w:szCs w:val="16"/>
              </w:rPr>
              <w:t>-0.17 ±1.29</w:t>
            </w:r>
          </w:p>
        </w:tc>
        <w:tc>
          <w:tcPr>
            <w:tcW w:w="797" w:type="dxa"/>
            <w:tcBorders>
              <w:left w:val="nil"/>
              <w:bottom w:val="single" w:sz="4" w:space="0" w:color="auto"/>
              <w:right w:val="nil"/>
            </w:tcBorders>
            <w:shd w:val="clear" w:color="auto" w:fill="auto"/>
            <w:vAlign w:val="center"/>
          </w:tcPr>
          <w:p w14:paraId="1659870C"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039E8B24" w14:textId="77777777" w:rsidR="00722B14" w:rsidRDefault="00722B14" w:rsidP="00DD3BAE">
            <w:pPr>
              <w:spacing w:before="0" w:after="0"/>
              <w:jc w:val="center"/>
              <w:rPr>
                <w:i/>
                <w:color w:val="000000"/>
                <w:sz w:val="16"/>
                <w:szCs w:val="16"/>
              </w:rPr>
            </w:pPr>
          </w:p>
        </w:tc>
      </w:tr>
      <w:tr w:rsidR="00722B14" w14:paraId="035600ED" w14:textId="77777777" w:rsidTr="00DE79BD">
        <w:trPr>
          <w:cantSplit/>
          <w:trHeight w:val="227"/>
          <w:jc w:val="center"/>
        </w:trPr>
        <w:tc>
          <w:tcPr>
            <w:tcW w:w="1077" w:type="dxa"/>
            <w:vAlign w:val="center"/>
          </w:tcPr>
          <w:p w14:paraId="36933476" w14:textId="77777777" w:rsidR="00722B14" w:rsidRDefault="00722B14" w:rsidP="00DD3BAE">
            <w:pPr>
              <w:spacing w:before="0" w:after="0"/>
              <w:jc w:val="center"/>
              <w:rPr>
                <w:color w:val="000000"/>
                <w:sz w:val="16"/>
                <w:szCs w:val="16"/>
              </w:rPr>
            </w:pPr>
          </w:p>
        </w:tc>
        <w:tc>
          <w:tcPr>
            <w:tcW w:w="1115" w:type="dxa"/>
            <w:noWrap/>
            <w:vAlign w:val="center"/>
          </w:tcPr>
          <w:p w14:paraId="485062AA"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EE5FEC1" w14:textId="77777777" w:rsidR="00722B14" w:rsidRDefault="00722B14" w:rsidP="00DD3BAE">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14:paraId="686B1AA3"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shd w:val="clear" w:color="auto" w:fill="CCFFCC"/>
            <w:vAlign w:val="center"/>
            <w:hideMark/>
          </w:tcPr>
          <w:p w14:paraId="6FE9C7F6" w14:textId="77777777" w:rsidR="00722B14" w:rsidRDefault="00722B14" w:rsidP="00DD3BAE">
            <w:pPr>
              <w:spacing w:before="0" w:after="0"/>
              <w:jc w:val="center"/>
              <w:rPr>
                <w:color w:val="000000"/>
                <w:sz w:val="16"/>
                <w:szCs w:val="16"/>
              </w:rPr>
            </w:pPr>
            <w:r>
              <w:rPr>
                <w:color w:val="000000"/>
                <w:sz w:val="16"/>
                <w:szCs w:val="16"/>
              </w:rPr>
              <w:t>22.27</w:t>
            </w:r>
          </w:p>
        </w:tc>
        <w:tc>
          <w:tcPr>
            <w:tcW w:w="661" w:type="dxa"/>
            <w:tcBorders>
              <w:top w:val="single" w:sz="4" w:space="0" w:color="auto"/>
              <w:left w:val="nil"/>
              <w:bottom w:val="nil"/>
              <w:right w:val="nil"/>
            </w:tcBorders>
            <w:shd w:val="clear" w:color="auto" w:fill="CCFFCC"/>
            <w:vAlign w:val="center"/>
            <w:hideMark/>
          </w:tcPr>
          <w:p w14:paraId="76A92605" w14:textId="77777777" w:rsidR="00722B14" w:rsidRDefault="00722B14" w:rsidP="00DD3BAE">
            <w:pPr>
              <w:spacing w:before="0" w:after="0"/>
              <w:jc w:val="center"/>
              <w:rPr>
                <w:color w:val="000000"/>
                <w:sz w:val="16"/>
                <w:szCs w:val="16"/>
              </w:rPr>
            </w:pPr>
            <w:r>
              <w:rPr>
                <w:color w:val="000000"/>
                <w:sz w:val="16"/>
                <w:szCs w:val="16"/>
              </w:rPr>
              <w:t>19.83</w:t>
            </w:r>
          </w:p>
        </w:tc>
        <w:tc>
          <w:tcPr>
            <w:tcW w:w="1109" w:type="dxa"/>
            <w:tcBorders>
              <w:top w:val="single" w:sz="4" w:space="0" w:color="auto"/>
              <w:left w:val="nil"/>
              <w:bottom w:val="nil"/>
              <w:right w:val="nil"/>
            </w:tcBorders>
            <w:shd w:val="clear" w:color="auto" w:fill="CCFFCC"/>
            <w:noWrap/>
            <w:vAlign w:val="center"/>
            <w:hideMark/>
          </w:tcPr>
          <w:p w14:paraId="52247F2F" w14:textId="77777777" w:rsidR="00722B14" w:rsidRDefault="00722B14" w:rsidP="00DD3BAE">
            <w:pPr>
              <w:spacing w:before="0" w:after="0"/>
              <w:jc w:val="center"/>
              <w:rPr>
                <w:color w:val="000000"/>
                <w:sz w:val="16"/>
                <w:szCs w:val="16"/>
              </w:rPr>
            </w:pPr>
            <w:r>
              <w:rPr>
                <w:color w:val="000000"/>
                <w:sz w:val="16"/>
                <w:szCs w:val="16"/>
              </w:rPr>
              <w:t>-4.01 ±0.24</w:t>
            </w:r>
          </w:p>
        </w:tc>
        <w:tc>
          <w:tcPr>
            <w:tcW w:w="1109" w:type="dxa"/>
            <w:tcBorders>
              <w:top w:val="single" w:sz="4" w:space="0" w:color="auto"/>
              <w:left w:val="nil"/>
              <w:bottom w:val="nil"/>
              <w:right w:val="nil"/>
            </w:tcBorders>
            <w:vAlign w:val="center"/>
            <w:hideMark/>
          </w:tcPr>
          <w:p w14:paraId="5D30012B" w14:textId="77777777" w:rsidR="00722B14" w:rsidRDefault="00722B14" w:rsidP="00DD3BAE">
            <w:pPr>
              <w:spacing w:before="0" w:after="0"/>
              <w:jc w:val="center"/>
              <w:rPr>
                <w:color w:val="000000"/>
                <w:sz w:val="16"/>
                <w:szCs w:val="16"/>
              </w:rPr>
            </w:pPr>
            <w:r>
              <w:rPr>
                <w:color w:val="000000"/>
                <w:sz w:val="16"/>
                <w:szCs w:val="16"/>
              </w:rPr>
              <w:t>1.11 ±0.94</w:t>
            </w:r>
          </w:p>
        </w:tc>
        <w:tc>
          <w:tcPr>
            <w:tcW w:w="797" w:type="dxa"/>
            <w:tcBorders>
              <w:top w:val="single" w:sz="4" w:space="0" w:color="auto"/>
              <w:left w:val="nil"/>
              <w:bottom w:val="nil"/>
              <w:right w:val="nil"/>
            </w:tcBorders>
            <w:vAlign w:val="center"/>
            <w:hideMark/>
          </w:tcPr>
          <w:p w14:paraId="15A9B952" w14:textId="77777777" w:rsidR="00722B14" w:rsidRDefault="00722B14" w:rsidP="00DD3BAE">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14:paraId="2B374B71" w14:textId="77777777" w:rsidR="00722B14" w:rsidRDefault="00722B14" w:rsidP="00DD3BAE">
            <w:pPr>
              <w:spacing w:before="0" w:after="0"/>
              <w:jc w:val="center"/>
              <w:rPr>
                <w:i/>
                <w:color w:val="000000"/>
                <w:sz w:val="16"/>
                <w:szCs w:val="16"/>
              </w:rPr>
            </w:pPr>
            <w:r>
              <w:rPr>
                <w:i/>
                <w:color w:val="000000"/>
                <w:sz w:val="16"/>
                <w:szCs w:val="16"/>
              </w:rPr>
              <w:t>-6.0 (-8.3 to -3.6)</w:t>
            </w:r>
          </w:p>
        </w:tc>
      </w:tr>
      <w:tr w:rsidR="00722B14" w14:paraId="18582901" w14:textId="77777777" w:rsidTr="00DE79BD">
        <w:trPr>
          <w:cantSplit/>
          <w:trHeight w:val="227"/>
          <w:jc w:val="center"/>
        </w:trPr>
        <w:tc>
          <w:tcPr>
            <w:tcW w:w="1077" w:type="dxa"/>
            <w:vAlign w:val="center"/>
          </w:tcPr>
          <w:p w14:paraId="156E3388" w14:textId="77777777" w:rsidR="00722B14" w:rsidRDefault="00722B14" w:rsidP="00DD3BAE">
            <w:pPr>
              <w:spacing w:before="0" w:after="0"/>
              <w:jc w:val="center"/>
              <w:rPr>
                <w:color w:val="000000"/>
                <w:sz w:val="16"/>
                <w:szCs w:val="16"/>
              </w:rPr>
            </w:pPr>
          </w:p>
        </w:tc>
        <w:tc>
          <w:tcPr>
            <w:tcW w:w="1115" w:type="dxa"/>
            <w:noWrap/>
            <w:vAlign w:val="center"/>
          </w:tcPr>
          <w:p w14:paraId="3FBB9B0F" w14:textId="77777777" w:rsidR="00722B14" w:rsidRDefault="00722B14" w:rsidP="00DD3BAE">
            <w:pPr>
              <w:spacing w:before="0" w:after="0"/>
              <w:jc w:val="center"/>
              <w:rPr>
                <w:color w:val="000000"/>
                <w:sz w:val="16"/>
                <w:szCs w:val="16"/>
              </w:rPr>
            </w:pPr>
          </w:p>
        </w:tc>
        <w:tc>
          <w:tcPr>
            <w:tcW w:w="789" w:type="dxa"/>
            <w:noWrap/>
            <w:vAlign w:val="center"/>
          </w:tcPr>
          <w:p w14:paraId="1B386033" w14:textId="77777777" w:rsidR="00722B14" w:rsidRDefault="00722B14" w:rsidP="00DD3BAE">
            <w:pPr>
              <w:spacing w:before="0" w:after="0"/>
              <w:jc w:val="center"/>
              <w:rPr>
                <w:color w:val="000000"/>
                <w:sz w:val="16"/>
                <w:szCs w:val="16"/>
              </w:rPr>
            </w:pPr>
          </w:p>
        </w:tc>
        <w:tc>
          <w:tcPr>
            <w:tcW w:w="621" w:type="dxa"/>
            <w:vAlign w:val="center"/>
            <w:hideMark/>
          </w:tcPr>
          <w:p w14:paraId="5CCF3E85"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159E64C9" w14:textId="77777777" w:rsidR="00722B14" w:rsidRDefault="00722B14" w:rsidP="00DD3BAE">
            <w:pPr>
              <w:spacing w:before="0" w:after="0"/>
              <w:jc w:val="center"/>
              <w:rPr>
                <w:color w:val="000000"/>
                <w:sz w:val="16"/>
                <w:szCs w:val="16"/>
              </w:rPr>
            </w:pPr>
            <w:r>
              <w:rPr>
                <w:color w:val="000000"/>
                <w:sz w:val="16"/>
                <w:szCs w:val="16"/>
              </w:rPr>
              <w:t>37.52</w:t>
            </w:r>
          </w:p>
        </w:tc>
        <w:tc>
          <w:tcPr>
            <w:tcW w:w="661" w:type="dxa"/>
            <w:shd w:val="clear" w:color="auto" w:fill="CCFFCC"/>
            <w:vAlign w:val="center"/>
            <w:hideMark/>
          </w:tcPr>
          <w:p w14:paraId="788D3F25" w14:textId="77777777" w:rsidR="00722B14" w:rsidRDefault="00722B14" w:rsidP="00DD3BAE">
            <w:pPr>
              <w:spacing w:before="0" w:after="0"/>
              <w:jc w:val="center"/>
              <w:rPr>
                <w:color w:val="000000"/>
                <w:sz w:val="16"/>
                <w:szCs w:val="16"/>
              </w:rPr>
            </w:pPr>
            <w:r>
              <w:rPr>
                <w:color w:val="000000"/>
                <w:sz w:val="16"/>
                <w:szCs w:val="16"/>
              </w:rPr>
              <w:t>19.46</w:t>
            </w:r>
          </w:p>
        </w:tc>
        <w:tc>
          <w:tcPr>
            <w:tcW w:w="1109" w:type="dxa"/>
            <w:shd w:val="clear" w:color="auto" w:fill="CCFFCC"/>
            <w:noWrap/>
            <w:vAlign w:val="center"/>
            <w:hideMark/>
          </w:tcPr>
          <w:p w14:paraId="5DBC5D42" w14:textId="77777777" w:rsidR="00722B14" w:rsidRDefault="00722B14" w:rsidP="00DD3BAE">
            <w:pPr>
              <w:spacing w:before="0" w:after="0"/>
              <w:jc w:val="center"/>
              <w:rPr>
                <w:color w:val="000000"/>
                <w:sz w:val="16"/>
                <w:szCs w:val="16"/>
              </w:rPr>
            </w:pPr>
            <w:r>
              <w:rPr>
                <w:color w:val="000000"/>
                <w:sz w:val="16"/>
                <w:szCs w:val="16"/>
              </w:rPr>
              <w:t>-5.27</w:t>
            </w:r>
          </w:p>
        </w:tc>
        <w:tc>
          <w:tcPr>
            <w:tcW w:w="1109" w:type="dxa"/>
            <w:vAlign w:val="center"/>
            <w:hideMark/>
          </w:tcPr>
          <w:p w14:paraId="1E529FB2" w14:textId="77777777" w:rsidR="00722B14" w:rsidRDefault="00722B14" w:rsidP="00DD3BAE">
            <w:pPr>
              <w:spacing w:before="0" w:after="0"/>
              <w:jc w:val="center"/>
              <w:rPr>
                <w:color w:val="000000"/>
                <w:sz w:val="16"/>
                <w:szCs w:val="16"/>
              </w:rPr>
            </w:pPr>
            <w:r>
              <w:rPr>
                <w:color w:val="000000"/>
                <w:sz w:val="16"/>
                <w:szCs w:val="16"/>
              </w:rPr>
              <w:t>0.24</w:t>
            </w:r>
          </w:p>
        </w:tc>
        <w:tc>
          <w:tcPr>
            <w:tcW w:w="797" w:type="dxa"/>
            <w:vAlign w:val="center"/>
          </w:tcPr>
          <w:p w14:paraId="62C526A9" w14:textId="77777777" w:rsidR="00722B14" w:rsidRDefault="00722B14" w:rsidP="00DD3BAE">
            <w:pPr>
              <w:spacing w:before="0" w:after="0"/>
              <w:jc w:val="center"/>
              <w:rPr>
                <w:i/>
                <w:color w:val="000000"/>
                <w:sz w:val="16"/>
                <w:szCs w:val="16"/>
              </w:rPr>
            </w:pPr>
          </w:p>
        </w:tc>
        <w:tc>
          <w:tcPr>
            <w:tcW w:w="1557" w:type="dxa"/>
            <w:noWrap/>
            <w:vAlign w:val="center"/>
          </w:tcPr>
          <w:p w14:paraId="406907AC" w14:textId="77777777" w:rsidR="00722B14" w:rsidRDefault="00722B14" w:rsidP="00DD3BAE">
            <w:pPr>
              <w:spacing w:before="0" w:after="0"/>
              <w:jc w:val="center"/>
              <w:rPr>
                <w:i/>
                <w:color w:val="000000"/>
                <w:sz w:val="16"/>
                <w:szCs w:val="16"/>
              </w:rPr>
            </w:pPr>
          </w:p>
        </w:tc>
      </w:tr>
      <w:tr w:rsidR="00722B14" w14:paraId="712F309A" w14:textId="77777777" w:rsidTr="00DE79BD">
        <w:trPr>
          <w:cantSplit/>
          <w:trHeight w:val="227"/>
          <w:jc w:val="center"/>
        </w:trPr>
        <w:tc>
          <w:tcPr>
            <w:tcW w:w="1077" w:type="dxa"/>
            <w:vAlign w:val="center"/>
          </w:tcPr>
          <w:p w14:paraId="0929C4D6" w14:textId="77777777" w:rsidR="00722B14" w:rsidRDefault="00722B14" w:rsidP="00DD3BAE">
            <w:pPr>
              <w:spacing w:before="0" w:after="0"/>
              <w:jc w:val="center"/>
              <w:rPr>
                <w:color w:val="000000"/>
                <w:sz w:val="16"/>
                <w:szCs w:val="16"/>
              </w:rPr>
            </w:pPr>
          </w:p>
        </w:tc>
        <w:tc>
          <w:tcPr>
            <w:tcW w:w="1115" w:type="dxa"/>
            <w:noWrap/>
            <w:vAlign w:val="center"/>
          </w:tcPr>
          <w:p w14:paraId="2271056F"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64EA35EF"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0823FE06"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67D4EABE" w14:textId="77777777" w:rsidR="00722B14" w:rsidRDefault="00722B14" w:rsidP="00DD3BAE">
            <w:pPr>
              <w:spacing w:before="0" w:after="0"/>
              <w:jc w:val="center"/>
              <w:rPr>
                <w:color w:val="000000"/>
                <w:sz w:val="16"/>
                <w:szCs w:val="16"/>
              </w:rPr>
            </w:pPr>
            <w:r>
              <w:rPr>
                <w:color w:val="000000"/>
                <w:sz w:val="16"/>
                <w:szCs w:val="16"/>
              </w:rPr>
              <w:t>34.75</w:t>
            </w:r>
          </w:p>
        </w:tc>
        <w:tc>
          <w:tcPr>
            <w:tcW w:w="661" w:type="dxa"/>
            <w:tcBorders>
              <w:top w:val="nil"/>
              <w:left w:val="nil"/>
              <w:right w:val="nil"/>
            </w:tcBorders>
            <w:vAlign w:val="center"/>
            <w:hideMark/>
          </w:tcPr>
          <w:p w14:paraId="6E3E6E8F" w14:textId="77777777" w:rsidR="00722B14" w:rsidRDefault="00722B14" w:rsidP="00DD3BAE">
            <w:pPr>
              <w:spacing w:before="0" w:after="0"/>
              <w:jc w:val="center"/>
              <w:rPr>
                <w:color w:val="000000"/>
                <w:sz w:val="16"/>
                <w:szCs w:val="16"/>
              </w:rPr>
            </w:pPr>
            <w:r>
              <w:rPr>
                <w:color w:val="000000"/>
                <w:sz w:val="16"/>
                <w:szCs w:val="16"/>
              </w:rPr>
              <w:t>20.24</w:t>
            </w:r>
          </w:p>
        </w:tc>
        <w:tc>
          <w:tcPr>
            <w:tcW w:w="1109" w:type="dxa"/>
            <w:tcBorders>
              <w:top w:val="nil"/>
              <w:left w:val="nil"/>
              <w:right w:val="nil"/>
            </w:tcBorders>
            <w:shd w:val="clear" w:color="auto" w:fill="CCFFCC"/>
            <w:noWrap/>
            <w:vAlign w:val="center"/>
            <w:hideMark/>
          </w:tcPr>
          <w:p w14:paraId="6C246799" w14:textId="77777777" w:rsidR="00722B14" w:rsidRDefault="00722B14" w:rsidP="00DD3BAE">
            <w:pPr>
              <w:spacing w:before="0" w:after="0"/>
              <w:jc w:val="center"/>
              <w:rPr>
                <w:color w:val="000000"/>
                <w:sz w:val="16"/>
                <w:szCs w:val="16"/>
              </w:rPr>
            </w:pPr>
            <w:r>
              <w:rPr>
                <w:color w:val="000000"/>
                <w:sz w:val="16"/>
                <w:szCs w:val="16"/>
              </w:rPr>
              <w:t>-3.15</w:t>
            </w:r>
          </w:p>
        </w:tc>
        <w:tc>
          <w:tcPr>
            <w:tcW w:w="1109" w:type="dxa"/>
            <w:tcBorders>
              <w:top w:val="nil"/>
              <w:left w:val="nil"/>
              <w:right w:val="nil"/>
            </w:tcBorders>
            <w:vAlign w:val="center"/>
            <w:hideMark/>
          </w:tcPr>
          <w:p w14:paraId="4BA737F7" w14:textId="77777777" w:rsidR="00722B14" w:rsidRDefault="00722B14" w:rsidP="00DD3BAE">
            <w:pPr>
              <w:spacing w:before="0" w:after="0"/>
              <w:jc w:val="center"/>
              <w:rPr>
                <w:color w:val="000000"/>
                <w:sz w:val="16"/>
                <w:szCs w:val="16"/>
              </w:rPr>
            </w:pPr>
            <w:r>
              <w:rPr>
                <w:color w:val="000000"/>
                <w:sz w:val="16"/>
                <w:szCs w:val="16"/>
              </w:rPr>
              <w:t>0.66</w:t>
            </w:r>
          </w:p>
        </w:tc>
        <w:tc>
          <w:tcPr>
            <w:tcW w:w="797" w:type="dxa"/>
            <w:tcBorders>
              <w:top w:val="nil"/>
              <w:left w:val="nil"/>
              <w:right w:val="nil"/>
            </w:tcBorders>
            <w:vAlign w:val="center"/>
          </w:tcPr>
          <w:p w14:paraId="691AE169"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47465B73" w14:textId="77777777" w:rsidR="00722B14" w:rsidRDefault="00722B14" w:rsidP="00DD3BAE">
            <w:pPr>
              <w:spacing w:before="0" w:after="0"/>
              <w:jc w:val="center"/>
              <w:rPr>
                <w:i/>
                <w:color w:val="000000"/>
                <w:sz w:val="16"/>
                <w:szCs w:val="16"/>
              </w:rPr>
            </w:pPr>
          </w:p>
        </w:tc>
      </w:tr>
      <w:tr w:rsidR="00722B14" w14:paraId="2B65C40D" w14:textId="77777777" w:rsidTr="00DE79BD">
        <w:trPr>
          <w:cantSplit/>
          <w:trHeight w:val="227"/>
          <w:jc w:val="center"/>
        </w:trPr>
        <w:tc>
          <w:tcPr>
            <w:tcW w:w="1077" w:type="dxa"/>
            <w:tcBorders>
              <w:top w:val="nil"/>
              <w:left w:val="nil"/>
              <w:right w:val="nil"/>
            </w:tcBorders>
            <w:shd w:val="clear" w:color="auto" w:fill="auto"/>
            <w:vAlign w:val="center"/>
          </w:tcPr>
          <w:p w14:paraId="3A687E61"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55C52195"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06A642E0"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33603483"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0CCB54B8" w14:textId="77777777" w:rsidR="00722B14" w:rsidRPr="007C770B" w:rsidRDefault="00722B14" w:rsidP="00DD3BAE">
            <w:pPr>
              <w:spacing w:before="0" w:after="0"/>
              <w:jc w:val="center"/>
              <w:rPr>
                <w:color w:val="000000"/>
                <w:sz w:val="16"/>
                <w:szCs w:val="16"/>
              </w:rPr>
            </w:pPr>
            <w:r w:rsidRPr="007C770B">
              <w:rPr>
                <w:color w:val="000000"/>
                <w:sz w:val="16"/>
                <w:szCs w:val="16"/>
              </w:rPr>
              <w:t>36.90</w:t>
            </w:r>
          </w:p>
        </w:tc>
        <w:tc>
          <w:tcPr>
            <w:tcW w:w="661" w:type="dxa"/>
            <w:tcBorders>
              <w:top w:val="nil"/>
              <w:left w:val="nil"/>
              <w:right w:val="nil"/>
            </w:tcBorders>
            <w:shd w:val="clear" w:color="auto" w:fill="auto"/>
            <w:vAlign w:val="center"/>
          </w:tcPr>
          <w:p w14:paraId="6F7DC320" w14:textId="77777777" w:rsidR="00722B14" w:rsidRPr="007C770B" w:rsidRDefault="00722B14" w:rsidP="00DD3BAE">
            <w:pPr>
              <w:spacing w:before="0" w:after="0"/>
              <w:jc w:val="center"/>
              <w:rPr>
                <w:color w:val="000000"/>
                <w:sz w:val="16"/>
                <w:szCs w:val="16"/>
              </w:rPr>
            </w:pPr>
            <w:r w:rsidRPr="007C770B">
              <w:rPr>
                <w:color w:val="000000"/>
                <w:sz w:val="16"/>
                <w:szCs w:val="16"/>
              </w:rPr>
              <w:t>22.76</w:t>
            </w:r>
          </w:p>
        </w:tc>
        <w:tc>
          <w:tcPr>
            <w:tcW w:w="1109" w:type="dxa"/>
            <w:tcBorders>
              <w:top w:val="nil"/>
              <w:left w:val="nil"/>
              <w:right w:val="nil"/>
            </w:tcBorders>
            <w:shd w:val="clear" w:color="auto" w:fill="CCFFCC"/>
            <w:noWrap/>
            <w:vAlign w:val="center"/>
          </w:tcPr>
          <w:p w14:paraId="46B389E0" w14:textId="77777777" w:rsidR="00722B14" w:rsidRPr="007C770B" w:rsidRDefault="00722B14" w:rsidP="00DD3BAE">
            <w:pPr>
              <w:spacing w:before="0" w:after="0"/>
              <w:jc w:val="center"/>
              <w:rPr>
                <w:color w:val="000000"/>
                <w:sz w:val="16"/>
                <w:szCs w:val="16"/>
              </w:rPr>
            </w:pPr>
            <w:r w:rsidRPr="007C770B">
              <w:rPr>
                <w:color w:val="000000"/>
                <w:sz w:val="16"/>
                <w:szCs w:val="16"/>
              </w:rPr>
              <w:t>-5.82 ±0.02</w:t>
            </w:r>
          </w:p>
        </w:tc>
        <w:tc>
          <w:tcPr>
            <w:tcW w:w="1109" w:type="dxa"/>
            <w:tcBorders>
              <w:top w:val="nil"/>
              <w:left w:val="nil"/>
              <w:right w:val="nil"/>
            </w:tcBorders>
            <w:shd w:val="clear" w:color="auto" w:fill="auto"/>
            <w:vAlign w:val="center"/>
          </w:tcPr>
          <w:p w14:paraId="70BD3BE6" w14:textId="77777777" w:rsidR="00722B14" w:rsidRPr="007C770B" w:rsidRDefault="00722B14" w:rsidP="00DD3BAE">
            <w:pPr>
              <w:spacing w:before="0" w:after="0"/>
              <w:jc w:val="center"/>
              <w:rPr>
                <w:color w:val="000000"/>
                <w:sz w:val="16"/>
                <w:szCs w:val="16"/>
              </w:rPr>
            </w:pPr>
            <w:r w:rsidRPr="007C770B">
              <w:rPr>
                <w:color w:val="000000"/>
                <w:sz w:val="16"/>
                <w:szCs w:val="16"/>
              </w:rPr>
              <w:t>0.15 ±0.28</w:t>
            </w:r>
          </w:p>
        </w:tc>
        <w:tc>
          <w:tcPr>
            <w:tcW w:w="797" w:type="dxa"/>
            <w:tcBorders>
              <w:top w:val="nil"/>
              <w:left w:val="nil"/>
              <w:right w:val="nil"/>
            </w:tcBorders>
            <w:shd w:val="clear" w:color="auto" w:fill="auto"/>
            <w:vAlign w:val="center"/>
          </w:tcPr>
          <w:p w14:paraId="26AFEB7B"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45E98A27" w14:textId="77777777" w:rsidR="00722B14" w:rsidRDefault="00722B14" w:rsidP="00DD3BAE">
            <w:pPr>
              <w:spacing w:before="0" w:after="0"/>
              <w:jc w:val="center"/>
              <w:rPr>
                <w:i/>
                <w:color w:val="000000"/>
                <w:sz w:val="16"/>
                <w:szCs w:val="16"/>
              </w:rPr>
            </w:pPr>
          </w:p>
        </w:tc>
      </w:tr>
      <w:tr w:rsidR="00722B14" w14:paraId="6B04E543" w14:textId="77777777" w:rsidTr="00DE79BD">
        <w:trPr>
          <w:cantSplit/>
          <w:trHeight w:val="227"/>
          <w:jc w:val="center"/>
        </w:trPr>
        <w:tc>
          <w:tcPr>
            <w:tcW w:w="1077" w:type="dxa"/>
            <w:tcBorders>
              <w:left w:val="nil"/>
              <w:right w:val="nil"/>
            </w:tcBorders>
            <w:shd w:val="clear" w:color="auto" w:fill="auto"/>
            <w:vAlign w:val="center"/>
          </w:tcPr>
          <w:p w14:paraId="7A1EDDF1"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0D3561BC"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53F33473"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343000BC"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309907C9" w14:textId="77777777" w:rsidR="00722B14" w:rsidRPr="003F61EC" w:rsidRDefault="00722B14" w:rsidP="00DD3BAE">
            <w:pPr>
              <w:spacing w:before="0" w:after="0"/>
              <w:jc w:val="center"/>
              <w:rPr>
                <w:color w:val="000000"/>
                <w:sz w:val="16"/>
                <w:szCs w:val="16"/>
              </w:rPr>
            </w:pPr>
            <w:r w:rsidRPr="003F61EC">
              <w:rPr>
                <w:color w:val="000000"/>
                <w:sz w:val="16"/>
                <w:szCs w:val="16"/>
              </w:rPr>
              <w:t>39.45</w:t>
            </w:r>
          </w:p>
        </w:tc>
        <w:tc>
          <w:tcPr>
            <w:tcW w:w="661" w:type="dxa"/>
            <w:tcBorders>
              <w:left w:val="nil"/>
              <w:bottom w:val="single" w:sz="4" w:space="0" w:color="auto"/>
              <w:right w:val="nil"/>
            </w:tcBorders>
            <w:shd w:val="clear" w:color="auto" w:fill="auto"/>
            <w:vAlign w:val="center"/>
          </w:tcPr>
          <w:p w14:paraId="79CC7B8A" w14:textId="77777777" w:rsidR="00722B14" w:rsidRPr="003F61EC" w:rsidRDefault="00722B14" w:rsidP="00DD3BAE">
            <w:pPr>
              <w:spacing w:before="0" w:after="0"/>
              <w:jc w:val="center"/>
              <w:rPr>
                <w:color w:val="000000"/>
                <w:sz w:val="16"/>
                <w:szCs w:val="16"/>
              </w:rPr>
            </w:pPr>
            <w:r>
              <w:rPr>
                <w:color w:val="000000"/>
                <w:sz w:val="16"/>
                <w:szCs w:val="16"/>
              </w:rPr>
              <w:t>24.36</w:t>
            </w:r>
          </w:p>
        </w:tc>
        <w:tc>
          <w:tcPr>
            <w:tcW w:w="1109" w:type="dxa"/>
            <w:tcBorders>
              <w:left w:val="nil"/>
              <w:bottom w:val="single" w:sz="4" w:space="0" w:color="auto"/>
              <w:right w:val="nil"/>
            </w:tcBorders>
            <w:shd w:val="clear" w:color="auto" w:fill="CCFFCC"/>
            <w:noWrap/>
            <w:vAlign w:val="center"/>
          </w:tcPr>
          <w:p w14:paraId="34AC4EF3" w14:textId="77777777" w:rsidR="00722B14" w:rsidRPr="003F61EC" w:rsidRDefault="00722B14" w:rsidP="00DD3BAE">
            <w:pPr>
              <w:spacing w:before="0" w:after="0"/>
              <w:jc w:val="center"/>
              <w:rPr>
                <w:color w:val="000000"/>
                <w:sz w:val="16"/>
                <w:szCs w:val="16"/>
              </w:rPr>
            </w:pPr>
            <w:r w:rsidRPr="003F61EC">
              <w:rPr>
                <w:color w:val="000000"/>
                <w:sz w:val="16"/>
                <w:szCs w:val="16"/>
              </w:rPr>
              <w:t>-5.07 ±0.07</w:t>
            </w:r>
          </w:p>
        </w:tc>
        <w:tc>
          <w:tcPr>
            <w:tcW w:w="1109" w:type="dxa"/>
            <w:tcBorders>
              <w:left w:val="nil"/>
              <w:bottom w:val="single" w:sz="4" w:space="0" w:color="auto"/>
              <w:right w:val="nil"/>
            </w:tcBorders>
            <w:shd w:val="clear" w:color="auto" w:fill="auto"/>
            <w:vAlign w:val="center"/>
          </w:tcPr>
          <w:p w14:paraId="515D96D2" w14:textId="77777777" w:rsidR="00722B14" w:rsidRPr="003F61EC" w:rsidRDefault="00722B14" w:rsidP="00DD3BAE">
            <w:pPr>
              <w:spacing w:before="0" w:after="0"/>
              <w:jc w:val="center"/>
              <w:rPr>
                <w:color w:val="000000"/>
                <w:sz w:val="16"/>
                <w:szCs w:val="16"/>
              </w:rPr>
            </w:pPr>
            <w:r w:rsidRPr="003F61EC">
              <w:rPr>
                <w:color w:val="000000"/>
                <w:sz w:val="16"/>
                <w:szCs w:val="16"/>
              </w:rPr>
              <w:t>1.66 ±0.10</w:t>
            </w:r>
          </w:p>
        </w:tc>
        <w:tc>
          <w:tcPr>
            <w:tcW w:w="797" w:type="dxa"/>
            <w:tcBorders>
              <w:left w:val="nil"/>
              <w:bottom w:val="single" w:sz="4" w:space="0" w:color="auto"/>
              <w:right w:val="nil"/>
            </w:tcBorders>
            <w:shd w:val="clear" w:color="auto" w:fill="auto"/>
            <w:vAlign w:val="center"/>
          </w:tcPr>
          <w:p w14:paraId="0E6FC844"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7162813D" w14:textId="77777777" w:rsidR="00722B14" w:rsidRDefault="00722B14" w:rsidP="00DD3BAE">
            <w:pPr>
              <w:spacing w:before="0" w:after="0"/>
              <w:jc w:val="center"/>
              <w:rPr>
                <w:i/>
                <w:color w:val="000000"/>
                <w:sz w:val="16"/>
                <w:szCs w:val="16"/>
              </w:rPr>
            </w:pPr>
          </w:p>
        </w:tc>
      </w:tr>
      <w:tr w:rsidR="00722B14" w14:paraId="20B543D2" w14:textId="77777777" w:rsidTr="00DE79BD">
        <w:trPr>
          <w:cantSplit/>
          <w:trHeight w:val="227"/>
          <w:jc w:val="center"/>
        </w:trPr>
        <w:tc>
          <w:tcPr>
            <w:tcW w:w="1077" w:type="dxa"/>
            <w:vAlign w:val="center"/>
          </w:tcPr>
          <w:p w14:paraId="35DC2EF5" w14:textId="77777777" w:rsidR="00722B14" w:rsidRDefault="00722B14" w:rsidP="00DD3BAE">
            <w:pPr>
              <w:spacing w:before="0" w:after="0"/>
              <w:jc w:val="center"/>
              <w:rPr>
                <w:color w:val="000000"/>
                <w:sz w:val="16"/>
                <w:szCs w:val="16"/>
              </w:rPr>
            </w:pPr>
          </w:p>
        </w:tc>
        <w:tc>
          <w:tcPr>
            <w:tcW w:w="1115" w:type="dxa"/>
            <w:noWrap/>
            <w:vAlign w:val="center"/>
          </w:tcPr>
          <w:p w14:paraId="5B022AF8"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7D374E3F" w14:textId="77777777" w:rsidR="00722B14" w:rsidRDefault="00722B14" w:rsidP="00DD3BAE">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4DC1C524"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1DB4D278" w14:textId="77777777" w:rsidR="00722B14" w:rsidRDefault="00722B14" w:rsidP="00DD3BAE">
            <w:pPr>
              <w:spacing w:before="0" w:after="0"/>
              <w:jc w:val="center"/>
              <w:rPr>
                <w:color w:val="000000"/>
                <w:sz w:val="16"/>
                <w:szCs w:val="16"/>
              </w:rPr>
            </w:pPr>
            <w:r>
              <w:rPr>
                <w:color w:val="000000"/>
                <w:sz w:val="16"/>
                <w:szCs w:val="16"/>
              </w:rPr>
              <w:t>37.42</w:t>
            </w:r>
          </w:p>
        </w:tc>
        <w:tc>
          <w:tcPr>
            <w:tcW w:w="661" w:type="dxa"/>
            <w:tcBorders>
              <w:top w:val="single" w:sz="4" w:space="0" w:color="auto"/>
              <w:left w:val="nil"/>
              <w:bottom w:val="nil"/>
              <w:right w:val="nil"/>
            </w:tcBorders>
            <w:shd w:val="clear" w:color="auto" w:fill="CCFFCC"/>
            <w:vAlign w:val="center"/>
            <w:hideMark/>
          </w:tcPr>
          <w:p w14:paraId="3CFAF7A5" w14:textId="77777777" w:rsidR="00722B14" w:rsidRDefault="00722B14" w:rsidP="00DD3BAE">
            <w:pPr>
              <w:spacing w:before="0" w:after="0"/>
              <w:jc w:val="center"/>
              <w:rPr>
                <w:color w:val="000000"/>
                <w:sz w:val="16"/>
                <w:szCs w:val="16"/>
              </w:rPr>
            </w:pPr>
            <w:r>
              <w:rPr>
                <w:color w:val="000000"/>
                <w:sz w:val="16"/>
                <w:szCs w:val="16"/>
              </w:rPr>
              <w:t>15.91</w:t>
            </w:r>
          </w:p>
        </w:tc>
        <w:tc>
          <w:tcPr>
            <w:tcW w:w="1109" w:type="dxa"/>
            <w:tcBorders>
              <w:top w:val="single" w:sz="4" w:space="0" w:color="auto"/>
              <w:left w:val="nil"/>
              <w:bottom w:val="nil"/>
              <w:right w:val="nil"/>
            </w:tcBorders>
            <w:shd w:val="clear" w:color="auto" w:fill="CCFFCC"/>
            <w:noWrap/>
            <w:vAlign w:val="center"/>
            <w:hideMark/>
          </w:tcPr>
          <w:p w14:paraId="02FB5BAC" w14:textId="77777777" w:rsidR="00722B14" w:rsidRDefault="00722B14" w:rsidP="00DD3BAE">
            <w:pPr>
              <w:spacing w:before="0" w:after="0"/>
              <w:jc w:val="center"/>
              <w:rPr>
                <w:color w:val="000000"/>
                <w:sz w:val="16"/>
                <w:szCs w:val="16"/>
              </w:rPr>
            </w:pPr>
            <w:r>
              <w:rPr>
                <w:color w:val="000000"/>
                <w:sz w:val="16"/>
                <w:szCs w:val="16"/>
              </w:rPr>
              <w:t>-6.26 ±0.27</w:t>
            </w:r>
          </w:p>
        </w:tc>
        <w:tc>
          <w:tcPr>
            <w:tcW w:w="1109" w:type="dxa"/>
            <w:tcBorders>
              <w:top w:val="single" w:sz="4" w:space="0" w:color="auto"/>
              <w:left w:val="nil"/>
              <w:bottom w:val="nil"/>
              <w:right w:val="nil"/>
            </w:tcBorders>
            <w:vAlign w:val="center"/>
            <w:hideMark/>
          </w:tcPr>
          <w:p w14:paraId="7FF88A15" w14:textId="77777777" w:rsidR="00722B14" w:rsidRDefault="00722B14" w:rsidP="00DD3BAE">
            <w:pPr>
              <w:spacing w:before="0" w:after="0"/>
              <w:jc w:val="center"/>
              <w:rPr>
                <w:color w:val="000000"/>
                <w:sz w:val="16"/>
                <w:szCs w:val="16"/>
              </w:rPr>
            </w:pPr>
            <w:r>
              <w:rPr>
                <w:color w:val="000000"/>
                <w:sz w:val="16"/>
                <w:szCs w:val="16"/>
              </w:rPr>
              <w:t>0.65 ±0.84</w:t>
            </w:r>
          </w:p>
        </w:tc>
        <w:tc>
          <w:tcPr>
            <w:tcW w:w="797" w:type="dxa"/>
            <w:tcBorders>
              <w:top w:val="single" w:sz="4" w:space="0" w:color="auto"/>
              <w:left w:val="nil"/>
              <w:bottom w:val="nil"/>
              <w:right w:val="nil"/>
            </w:tcBorders>
            <w:vAlign w:val="center"/>
            <w:hideMark/>
          </w:tcPr>
          <w:p w14:paraId="7CD63519" w14:textId="77777777" w:rsidR="00722B14" w:rsidRDefault="00722B14" w:rsidP="00DD3BAE">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40BFFF63" w14:textId="77777777" w:rsidR="00722B14" w:rsidRDefault="00722B14" w:rsidP="00DD3BAE">
            <w:pPr>
              <w:spacing w:before="0" w:after="0"/>
              <w:jc w:val="center"/>
              <w:rPr>
                <w:i/>
                <w:color w:val="000000"/>
                <w:sz w:val="16"/>
                <w:szCs w:val="16"/>
              </w:rPr>
            </w:pPr>
            <w:r>
              <w:rPr>
                <w:i/>
                <w:color w:val="000000"/>
                <w:sz w:val="16"/>
                <w:szCs w:val="16"/>
              </w:rPr>
              <w:t>-6.9 (-8.1 to -5.2)</w:t>
            </w:r>
          </w:p>
        </w:tc>
      </w:tr>
      <w:tr w:rsidR="00722B14" w14:paraId="6EDF6DD3" w14:textId="77777777" w:rsidTr="00DE79BD">
        <w:trPr>
          <w:cantSplit/>
          <w:trHeight w:val="227"/>
          <w:jc w:val="center"/>
        </w:trPr>
        <w:tc>
          <w:tcPr>
            <w:tcW w:w="1077" w:type="dxa"/>
            <w:vAlign w:val="center"/>
          </w:tcPr>
          <w:p w14:paraId="64F7945F" w14:textId="77777777" w:rsidR="00722B14" w:rsidRDefault="00722B14" w:rsidP="00DD3BAE">
            <w:pPr>
              <w:spacing w:before="0" w:after="0"/>
              <w:jc w:val="center"/>
              <w:rPr>
                <w:color w:val="000000"/>
                <w:sz w:val="16"/>
                <w:szCs w:val="16"/>
              </w:rPr>
            </w:pPr>
          </w:p>
        </w:tc>
        <w:tc>
          <w:tcPr>
            <w:tcW w:w="1115" w:type="dxa"/>
            <w:noWrap/>
            <w:vAlign w:val="center"/>
          </w:tcPr>
          <w:p w14:paraId="0903EC7D" w14:textId="77777777" w:rsidR="00722B14" w:rsidRDefault="00722B14" w:rsidP="00DD3BAE">
            <w:pPr>
              <w:spacing w:before="0" w:after="0"/>
              <w:jc w:val="center"/>
              <w:rPr>
                <w:color w:val="000000"/>
                <w:sz w:val="16"/>
                <w:szCs w:val="16"/>
              </w:rPr>
            </w:pPr>
          </w:p>
        </w:tc>
        <w:tc>
          <w:tcPr>
            <w:tcW w:w="789" w:type="dxa"/>
            <w:noWrap/>
            <w:vAlign w:val="center"/>
          </w:tcPr>
          <w:p w14:paraId="76942111" w14:textId="77777777" w:rsidR="00722B14" w:rsidRDefault="00722B14" w:rsidP="00DD3BAE">
            <w:pPr>
              <w:spacing w:before="0" w:after="0"/>
              <w:jc w:val="center"/>
              <w:rPr>
                <w:color w:val="000000"/>
                <w:sz w:val="16"/>
                <w:szCs w:val="16"/>
              </w:rPr>
            </w:pPr>
          </w:p>
        </w:tc>
        <w:tc>
          <w:tcPr>
            <w:tcW w:w="621" w:type="dxa"/>
            <w:vAlign w:val="center"/>
            <w:hideMark/>
          </w:tcPr>
          <w:p w14:paraId="2BC58914"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5428A080" w14:textId="77777777" w:rsidR="00722B14" w:rsidRDefault="00722B14" w:rsidP="00DD3BAE">
            <w:pPr>
              <w:spacing w:before="0" w:after="0"/>
              <w:jc w:val="center"/>
              <w:rPr>
                <w:color w:val="000000"/>
                <w:sz w:val="16"/>
                <w:szCs w:val="16"/>
              </w:rPr>
            </w:pPr>
            <w:r>
              <w:rPr>
                <w:color w:val="000000"/>
                <w:sz w:val="16"/>
                <w:szCs w:val="16"/>
              </w:rPr>
              <w:t>37.61</w:t>
            </w:r>
          </w:p>
        </w:tc>
        <w:tc>
          <w:tcPr>
            <w:tcW w:w="661" w:type="dxa"/>
            <w:shd w:val="clear" w:color="auto" w:fill="CCFFCC"/>
            <w:vAlign w:val="center"/>
            <w:hideMark/>
          </w:tcPr>
          <w:p w14:paraId="35A23F58" w14:textId="77777777" w:rsidR="00722B14" w:rsidRDefault="00722B14" w:rsidP="00DD3BAE">
            <w:pPr>
              <w:spacing w:before="0" w:after="0"/>
              <w:jc w:val="center"/>
              <w:rPr>
                <w:color w:val="000000"/>
                <w:sz w:val="16"/>
                <w:szCs w:val="16"/>
              </w:rPr>
            </w:pPr>
            <w:r>
              <w:rPr>
                <w:color w:val="000000"/>
                <w:sz w:val="16"/>
                <w:szCs w:val="16"/>
              </w:rPr>
              <w:t>16.79</w:t>
            </w:r>
          </w:p>
        </w:tc>
        <w:tc>
          <w:tcPr>
            <w:tcW w:w="1109" w:type="dxa"/>
            <w:noWrap/>
            <w:vAlign w:val="center"/>
            <w:hideMark/>
          </w:tcPr>
          <w:p w14:paraId="2C64DB93" w14:textId="77777777" w:rsidR="00722B14" w:rsidRDefault="00722B14" w:rsidP="00DD3BAE">
            <w:pPr>
              <w:spacing w:before="0" w:after="0"/>
              <w:jc w:val="center"/>
              <w:rPr>
                <w:color w:val="000000"/>
                <w:sz w:val="16"/>
                <w:szCs w:val="16"/>
              </w:rPr>
            </w:pPr>
            <w:r>
              <w:rPr>
                <w:color w:val="000000"/>
                <w:sz w:val="16"/>
                <w:szCs w:val="16"/>
              </w:rPr>
              <w:t>-6.99 ±0.12</w:t>
            </w:r>
          </w:p>
        </w:tc>
        <w:tc>
          <w:tcPr>
            <w:tcW w:w="1109" w:type="dxa"/>
            <w:vAlign w:val="center"/>
            <w:hideMark/>
          </w:tcPr>
          <w:p w14:paraId="3448709E" w14:textId="77777777" w:rsidR="00722B14" w:rsidRDefault="00722B14" w:rsidP="00DD3BAE">
            <w:pPr>
              <w:spacing w:before="0" w:after="0"/>
              <w:jc w:val="center"/>
              <w:rPr>
                <w:color w:val="000000"/>
                <w:sz w:val="16"/>
                <w:szCs w:val="16"/>
              </w:rPr>
            </w:pPr>
            <w:r>
              <w:rPr>
                <w:color w:val="000000"/>
                <w:sz w:val="16"/>
                <w:szCs w:val="16"/>
              </w:rPr>
              <w:t>0.42 ±0.59</w:t>
            </w:r>
          </w:p>
        </w:tc>
        <w:tc>
          <w:tcPr>
            <w:tcW w:w="797" w:type="dxa"/>
            <w:vAlign w:val="center"/>
          </w:tcPr>
          <w:p w14:paraId="5A152B8C" w14:textId="77777777" w:rsidR="00722B14" w:rsidRDefault="00722B14" w:rsidP="00DD3BAE">
            <w:pPr>
              <w:spacing w:before="0" w:after="0"/>
              <w:jc w:val="center"/>
              <w:rPr>
                <w:i/>
                <w:color w:val="000000"/>
                <w:sz w:val="16"/>
                <w:szCs w:val="16"/>
              </w:rPr>
            </w:pPr>
          </w:p>
        </w:tc>
        <w:tc>
          <w:tcPr>
            <w:tcW w:w="1557" w:type="dxa"/>
            <w:noWrap/>
            <w:vAlign w:val="center"/>
          </w:tcPr>
          <w:p w14:paraId="79348501" w14:textId="77777777" w:rsidR="00722B14" w:rsidRDefault="00722B14" w:rsidP="00DD3BAE">
            <w:pPr>
              <w:spacing w:before="0" w:after="0"/>
              <w:jc w:val="center"/>
              <w:rPr>
                <w:i/>
                <w:color w:val="000000"/>
                <w:sz w:val="16"/>
                <w:szCs w:val="16"/>
              </w:rPr>
            </w:pPr>
          </w:p>
        </w:tc>
      </w:tr>
      <w:tr w:rsidR="00722B14" w14:paraId="46F885BA" w14:textId="77777777" w:rsidTr="00DE79BD">
        <w:trPr>
          <w:cantSplit/>
          <w:trHeight w:val="227"/>
          <w:jc w:val="center"/>
        </w:trPr>
        <w:tc>
          <w:tcPr>
            <w:tcW w:w="1077" w:type="dxa"/>
            <w:vAlign w:val="center"/>
          </w:tcPr>
          <w:p w14:paraId="0C85183D" w14:textId="77777777" w:rsidR="00722B14" w:rsidRDefault="00722B14" w:rsidP="00DD3BAE">
            <w:pPr>
              <w:spacing w:before="0" w:after="0"/>
              <w:jc w:val="center"/>
              <w:rPr>
                <w:color w:val="000000"/>
                <w:sz w:val="16"/>
                <w:szCs w:val="16"/>
              </w:rPr>
            </w:pPr>
          </w:p>
        </w:tc>
        <w:tc>
          <w:tcPr>
            <w:tcW w:w="1115" w:type="dxa"/>
            <w:noWrap/>
            <w:vAlign w:val="center"/>
          </w:tcPr>
          <w:p w14:paraId="68FF94E1"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2FFF68D6"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74659F33"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79994FF9" w14:textId="77777777" w:rsidR="00722B14" w:rsidRDefault="00722B14" w:rsidP="00DD3BAE">
            <w:pPr>
              <w:spacing w:before="0" w:after="0"/>
              <w:jc w:val="center"/>
              <w:rPr>
                <w:color w:val="000000"/>
                <w:sz w:val="16"/>
                <w:szCs w:val="16"/>
              </w:rPr>
            </w:pPr>
            <w:r>
              <w:rPr>
                <w:color w:val="000000"/>
                <w:sz w:val="16"/>
                <w:szCs w:val="16"/>
              </w:rPr>
              <w:t>36.02</w:t>
            </w:r>
          </w:p>
        </w:tc>
        <w:tc>
          <w:tcPr>
            <w:tcW w:w="661" w:type="dxa"/>
            <w:tcBorders>
              <w:top w:val="nil"/>
              <w:left w:val="nil"/>
              <w:right w:val="nil"/>
            </w:tcBorders>
            <w:shd w:val="clear" w:color="auto" w:fill="CCFFCC"/>
            <w:vAlign w:val="center"/>
            <w:hideMark/>
          </w:tcPr>
          <w:p w14:paraId="099E0BC1" w14:textId="77777777" w:rsidR="00722B14" w:rsidRDefault="00722B14" w:rsidP="00DD3BAE">
            <w:pPr>
              <w:spacing w:before="0" w:after="0"/>
              <w:jc w:val="center"/>
              <w:rPr>
                <w:color w:val="000000"/>
                <w:sz w:val="16"/>
                <w:szCs w:val="16"/>
              </w:rPr>
            </w:pPr>
            <w:r>
              <w:rPr>
                <w:color w:val="000000"/>
                <w:sz w:val="16"/>
                <w:szCs w:val="16"/>
              </w:rPr>
              <w:t>17.54</w:t>
            </w:r>
          </w:p>
        </w:tc>
        <w:tc>
          <w:tcPr>
            <w:tcW w:w="1109" w:type="dxa"/>
            <w:tcBorders>
              <w:top w:val="nil"/>
              <w:left w:val="nil"/>
              <w:right w:val="nil"/>
            </w:tcBorders>
            <w:noWrap/>
            <w:vAlign w:val="center"/>
            <w:hideMark/>
          </w:tcPr>
          <w:p w14:paraId="0F35AE2D" w14:textId="77777777" w:rsidR="00722B14" w:rsidRDefault="00722B14" w:rsidP="00DD3BAE">
            <w:pPr>
              <w:spacing w:before="0" w:after="0"/>
              <w:jc w:val="center"/>
              <w:rPr>
                <w:color w:val="000000"/>
                <w:sz w:val="16"/>
                <w:szCs w:val="16"/>
              </w:rPr>
            </w:pPr>
            <w:r>
              <w:rPr>
                <w:color w:val="000000"/>
                <w:sz w:val="16"/>
                <w:szCs w:val="16"/>
              </w:rPr>
              <w:t>-7.11 ±0.13</w:t>
            </w:r>
          </w:p>
        </w:tc>
        <w:tc>
          <w:tcPr>
            <w:tcW w:w="1109" w:type="dxa"/>
            <w:tcBorders>
              <w:top w:val="nil"/>
              <w:left w:val="nil"/>
              <w:right w:val="nil"/>
            </w:tcBorders>
            <w:vAlign w:val="center"/>
            <w:hideMark/>
          </w:tcPr>
          <w:p w14:paraId="1967BDA1" w14:textId="77777777" w:rsidR="00722B14" w:rsidRDefault="00722B14" w:rsidP="00DD3BAE">
            <w:pPr>
              <w:spacing w:before="0" w:after="0"/>
              <w:jc w:val="center"/>
              <w:rPr>
                <w:color w:val="000000"/>
                <w:sz w:val="16"/>
                <w:szCs w:val="16"/>
              </w:rPr>
            </w:pPr>
            <w:r>
              <w:rPr>
                <w:color w:val="000000"/>
                <w:sz w:val="16"/>
                <w:szCs w:val="16"/>
              </w:rPr>
              <w:t>-0.24 ±0.55</w:t>
            </w:r>
          </w:p>
        </w:tc>
        <w:tc>
          <w:tcPr>
            <w:tcW w:w="797" w:type="dxa"/>
            <w:tcBorders>
              <w:top w:val="nil"/>
              <w:left w:val="nil"/>
              <w:right w:val="nil"/>
            </w:tcBorders>
            <w:vAlign w:val="center"/>
          </w:tcPr>
          <w:p w14:paraId="3BE295B1"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7E9576B9" w14:textId="77777777" w:rsidR="00722B14" w:rsidRDefault="00722B14" w:rsidP="00DD3BAE">
            <w:pPr>
              <w:spacing w:before="0" w:after="0"/>
              <w:jc w:val="center"/>
              <w:rPr>
                <w:i/>
                <w:color w:val="000000"/>
                <w:sz w:val="16"/>
                <w:szCs w:val="16"/>
              </w:rPr>
            </w:pPr>
          </w:p>
        </w:tc>
      </w:tr>
      <w:tr w:rsidR="00722B14" w14:paraId="24D2D6F4" w14:textId="77777777" w:rsidTr="00DE79BD">
        <w:trPr>
          <w:cantSplit/>
          <w:trHeight w:val="227"/>
          <w:jc w:val="center"/>
        </w:trPr>
        <w:tc>
          <w:tcPr>
            <w:tcW w:w="1077" w:type="dxa"/>
            <w:tcBorders>
              <w:top w:val="nil"/>
              <w:left w:val="nil"/>
              <w:right w:val="nil"/>
            </w:tcBorders>
            <w:shd w:val="clear" w:color="auto" w:fill="auto"/>
            <w:vAlign w:val="center"/>
          </w:tcPr>
          <w:p w14:paraId="472F0769"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723C34FD"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0AC9B2B1"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76D8EF9D"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7B6D4687" w14:textId="77777777" w:rsidR="00722B14" w:rsidRPr="007C770B" w:rsidRDefault="00722B14" w:rsidP="00DD3BAE">
            <w:pPr>
              <w:spacing w:before="0" w:after="0"/>
              <w:jc w:val="center"/>
              <w:rPr>
                <w:color w:val="000000"/>
                <w:sz w:val="16"/>
                <w:szCs w:val="16"/>
              </w:rPr>
            </w:pPr>
            <w:r w:rsidRPr="007C770B">
              <w:rPr>
                <w:color w:val="000000"/>
                <w:sz w:val="16"/>
                <w:szCs w:val="16"/>
              </w:rPr>
              <w:t>37.53</w:t>
            </w:r>
          </w:p>
        </w:tc>
        <w:tc>
          <w:tcPr>
            <w:tcW w:w="661" w:type="dxa"/>
            <w:tcBorders>
              <w:top w:val="nil"/>
              <w:left w:val="nil"/>
              <w:right w:val="nil"/>
            </w:tcBorders>
            <w:shd w:val="clear" w:color="auto" w:fill="CCFFCC"/>
            <w:vAlign w:val="center"/>
          </w:tcPr>
          <w:p w14:paraId="2A37A9D9" w14:textId="77777777" w:rsidR="00722B14" w:rsidRPr="007C770B" w:rsidRDefault="00722B14" w:rsidP="00DD3BAE">
            <w:pPr>
              <w:spacing w:before="0" w:after="0"/>
              <w:jc w:val="center"/>
              <w:rPr>
                <w:color w:val="000000"/>
                <w:sz w:val="16"/>
                <w:szCs w:val="16"/>
              </w:rPr>
            </w:pPr>
            <w:r w:rsidRPr="007C770B">
              <w:rPr>
                <w:color w:val="000000"/>
                <w:sz w:val="16"/>
                <w:szCs w:val="16"/>
              </w:rPr>
              <w:t>15.58</w:t>
            </w:r>
          </w:p>
        </w:tc>
        <w:tc>
          <w:tcPr>
            <w:tcW w:w="1109" w:type="dxa"/>
            <w:tcBorders>
              <w:top w:val="nil"/>
              <w:left w:val="nil"/>
              <w:right w:val="nil"/>
            </w:tcBorders>
            <w:shd w:val="clear" w:color="auto" w:fill="auto"/>
            <w:noWrap/>
            <w:vAlign w:val="center"/>
          </w:tcPr>
          <w:p w14:paraId="347BA69A" w14:textId="77777777" w:rsidR="00722B14" w:rsidRPr="007C770B" w:rsidRDefault="00722B14" w:rsidP="00DD3BAE">
            <w:pPr>
              <w:spacing w:before="0" w:after="0"/>
              <w:jc w:val="center"/>
              <w:rPr>
                <w:color w:val="000000"/>
                <w:sz w:val="16"/>
                <w:szCs w:val="16"/>
              </w:rPr>
            </w:pPr>
            <w:r w:rsidRPr="007C770B">
              <w:rPr>
                <w:color w:val="000000"/>
                <w:sz w:val="16"/>
                <w:szCs w:val="16"/>
              </w:rPr>
              <w:t>-8.77 ±0.89</w:t>
            </w:r>
          </w:p>
        </w:tc>
        <w:tc>
          <w:tcPr>
            <w:tcW w:w="1109" w:type="dxa"/>
            <w:tcBorders>
              <w:top w:val="nil"/>
              <w:left w:val="nil"/>
              <w:right w:val="nil"/>
            </w:tcBorders>
            <w:shd w:val="clear" w:color="auto" w:fill="auto"/>
            <w:vAlign w:val="center"/>
          </w:tcPr>
          <w:p w14:paraId="06B32157" w14:textId="77777777" w:rsidR="00722B14" w:rsidRPr="007C770B" w:rsidRDefault="00722B14" w:rsidP="00DD3BAE">
            <w:pPr>
              <w:spacing w:before="0" w:after="0"/>
              <w:jc w:val="center"/>
              <w:rPr>
                <w:color w:val="000000"/>
                <w:sz w:val="16"/>
                <w:szCs w:val="16"/>
              </w:rPr>
            </w:pPr>
            <w:r w:rsidRPr="007C770B">
              <w:rPr>
                <w:color w:val="000000"/>
                <w:sz w:val="16"/>
                <w:szCs w:val="16"/>
              </w:rPr>
              <w:t>-1.99 ±0.43</w:t>
            </w:r>
          </w:p>
        </w:tc>
        <w:tc>
          <w:tcPr>
            <w:tcW w:w="797" w:type="dxa"/>
            <w:tcBorders>
              <w:top w:val="nil"/>
              <w:left w:val="nil"/>
              <w:right w:val="nil"/>
            </w:tcBorders>
            <w:shd w:val="clear" w:color="auto" w:fill="auto"/>
            <w:vAlign w:val="center"/>
          </w:tcPr>
          <w:p w14:paraId="2112AD58"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6490DF49" w14:textId="77777777" w:rsidR="00722B14" w:rsidRDefault="00722B14" w:rsidP="00DD3BAE">
            <w:pPr>
              <w:spacing w:before="0" w:after="0"/>
              <w:jc w:val="center"/>
              <w:rPr>
                <w:i/>
                <w:color w:val="000000"/>
                <w:sz w:val="16"/>
                <w:szCs w:val="16"/>
              </w:rPr>
            </w:pPr>
          </w:p>
        </w:tc>
      </w:tr>
      <w:tr w:rsidR="00722B14" w14:paraId="262FFE6A" w14:textId="77777777" w:rsidTr="00DE79BD">
        <w:trPr>
          <w:cantSplit/>
          <w:trHeight w:val="227"/>
          <w:jc w:val="center"/>
        </w:trPr>
        <w:tc>
          <w:tcPr>
            <w:tcW w:w="1077" w:type="dxa"/>
            <w:tcBorders>
              <w:left w:val="nil"/>
              <w:right w:val="nil"/>
            </w:tcBorders>
            <w:shd w:val="clear" w:color="auto" w:fill="auto"/>
            <w:vAlign w:val="center"/>
          </w:tcPr>
          <w:p w14:paraId="478D038A"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07CDA81E"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77B73859"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4AF9AA0A"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66FD1746" w14:textId="77777777" w:rsidR="00722B14" w:rsidRPr="003F61EC" w:rsidRDefault="00722B14" w:rsidP="00DD3BAE">
            <w:pPr>
              <w:spacing w:before="0" w:after="0"/>
              <w:jc w:val="center"/>
              <w:rPr>
                <w:color w:val="000000"/>
                <w:sz w:val="16"/>
                <w:szCs w:val="16"/>
              </w:rPr>
            </w:pPr>
            <w:r w:rsidRPr="003F61EC">
              <w:rPr>
                <w:color w:val="000000"/>
                <w:sz w:val="16"/>
                <w:szCs w:val="16"/>
              </w:rPr>
              <w:t>40.59</w:t>
            </w:r>
          </w:p>
        </w:tc>
        <w:tc>
          <w:tcPr>
            <w:tcW w:w="661" w:type="dxa"/>
            <w:tcBorders>
              <w:left w:val="nil"/>
              <w:bottom w:val="single" w:sz="4" w:space="0" w:color="auto"/>
              <w:right w:val="nil"/>
            </w:tcBorders>
            <w:shd w:val="clear" w:color="auto" w:fill="CCFFCC"/>
            <w:vAlign w:val="center"/>
          </w:tcPr>
          <w:p w14:paraId="1672C9E0" w14:textId="77777777" w:rsidR="00722B14" w:rsidRPr="003F61EC" w:rsidRDefault="00722B14" w:rsidP="00DD3BAE">
            <w:pPr>
              <w:spacing w:before="0" w:after="0"/>
              <w:jc w:val="center"/>
              <w:rPr>
                <w:color w:val="000000"/>
                <w:sz w:val="16"/>
                <w:szCs w:val="16"/>
              </w:rPr>
            </w:pPr>
            <w:r>
              <w:rPr>
                <w:color w:val="000000"/>
                <w:sz w:val="16"/>
                <w:szCs w:val="16"/>
              </w:rPr>
              <w:t>15.59</w:t>
            </w:r>
          </w:p>
        </w:tc>
        <w:tc>
          <w:tcPr>
            <w:tcW w:w="1109" w:type="dxa"/>
            <w:tcBorders>
              <w:left w:val="nil"/>
              <w:bottom w:val="single" w:sz="4" w:space="0" w:color="auto"/>
              <w:right w:val="nil"/>
            </w:tcBorders>
            <w:shd w:val="clear" w:color="auto" w:fill="auto"/>
            <w:noWrap/>
            <w:vAlign w:val="center"/>
          </w:tcPr>
          <w:p w14:paraId="4CB74A00" w14:textId="77777777" w:rsidR="00722B14" w:rsidRPr="003F61EC" w:rsidRDefault="00722B14" w:rsidP="00DD3BAE">
            <w:pPr>
              <w:spacing w:before="0" w:after="0"/>
              <w:jc w:val="center"/>
              <w:rPr>
                <w:color w:val="000000"/>
                <w:sz w:val="16"/>
                <w:szCs w:val="16"/>
              </w:rPr>
            </w:pPr>
            <w:r w:rsidRPr="003F61EC">
              <w:rPr>
                <w:color w:val="000000"/>
                <w:sz w:val="16"/>
                <w:szCs w:val="16"/>
              </w:rPr>
              <w:t>-7.30 ±0.09</w:t>
            </w:r>
          </w:p>
        </w:tc>
        <w:tc>
          <w:tcPr>
            <w:tcW w:w="1109" w:type="dxa"/>
            <w:tcBorders>
              <w:left w:val="nil"/>
              <w:bottom w:val="single" w:sz="4" w:space="0" w:color="auto"/>
              <w:right w:val="nil"/>
            </w:tcBorders>
            <w:shd w:val="clear" w:color="auto" w:fill="auto"/>
            <w:vAlign w:val="center"/>
          </w:tcPr>
          <w:p w14:paraId="2E9EC19C" w14:textId="77777777" w:rsidR="00722B14" w:rsidRPr="003F61EC" w:rsidRDefault="00722B14" w:rsidP="00DD3BAE">
            <w:pPr>
              <w:spacing w:before="0" w:after="0"/>
              <w:jc w:val="center"/>
              <w:rPr>
                <w:color w:val="000000"/>
                <w:sz w:val="16"/>
                <w:szCs w:val="16"/>
              </w:rPr>
            </w:pPr>
            <w:r w:rsidRPr="003F61EC">
              <w:rPr>
                <w:color w:val="000000"/>
                <w:sz w:val="16"/>
                <w:szCs w:val="16"/>
              </w:rPr>
              <w:t>1.09 ±0.32</w:t>
            </w:r>
          </w:p>
        </w:tc>
        <w:tc>
          <w:tcPr>
            <w:tcW w:w="797" w:type="dxa"/>
            <w:tcBorders>
              <w:left w:val="nil"/>
              <w:bottom w:val="single" w:sz="4" w:space="0" w:color="auto"/>
              <w:right w:val="nil"/>
            </w:tcBorders>
            <w:shd w:val="clear" w:color="auto" w:fill="auto"/>
            <w:vAlign w:val="center"/>
          </w:tcPr>
          <w:p w14:paraId="1B764ED2"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24BA9D44" w14:textId="77777777" w:rsidR="00722B14" w:rsidRDefault="00722B14" w:rsidP="00DD3BAE">
            <w:pPr>
              <w:spacing w:before="0" w:after="0"/>
              <w:jc w:val="center"/>
              <w:rPr>
                <w:i/>
                <w:color w:val="000000"/>
                <w:sz w:val="16"/>
                <w:szCs w:val="16"/>
              </w:rPr>
            </w:pPr>
          </w:p>
        </w:tc>
      </w:tr>
      <w:tr w:rsidR="00722B14" w14:paraId="413C33F9" w14:textId="77777777" w:rsidTr="00DE79BD">
        <w:trPr>
          <w:cantSplit/>
          <w:trHeight w:val="227"/>
          <w:jc w:val="center"/>
        </w:trPr>
        <w:tc>
          <w:tcPr>
            <w:tcW w:w="1077" w:type="dxa"/>
            <w:vAlign w:val="center"/>
          </w:tcPr>
          <w:p w14:paraId="1A3FF1A4" w14:textId="77777777" w:rsidR="00722B14" w:rsidRDefault="00722B14" w:rsidP="00DD3BAE">
            <w:pPr>
              <w:spacing w:before="0" w:after="0"/>
              <w:jc w:val="center"/>
              <w:rPr>
                <w:color w:val="000000"/>
                <w:sz w:val="16"/>
                <w:szCs w:val="16"/>
              </w:rPr>
            </w:pPr>
          </w:p>
        </w:tc>
        <w:tc>
          <w:tcPr>
            <w:tcW w:w="1115" w:type="dxa"/>
            <w:noWrap/>
            <w:vAlign w:val="center"/>
          </w:tcPr>
          <w:p w14:paraId="2225DED8" w14:textId="77777777" w:rsidR="00722B14" w:rsidRDefault="00722B14" w:rsidP="00DD3BAE">
            <w:pPr>
              <w:spacing w:before="0" w:after="0"/>
              <w:jc w:val="center"/>
              <w:rPr>
                <w:color w:val="000000"/>
                <w:sz w:val="16"/>
                <w:szCs w:val="16"/>
              </w:rPr>
            </w:pPr>
          </w:p>
        </w:tc>
        <w:tc>
          <w:tcPr>
            <w:tcW w:w="789" w:type="dxa"/>
            <w:tcBorders>
              <w:top w:val="single" w:sz="4" w:space="0" w:color="auto"/>
              <w:left w:val="nil"/>
              <w:right w:val="nil"/>
            </w:tcBorders>
            <w:noWrap/>
            <w:vAlign w:val="center"/>
            <w:hideMark/>
          </w:tcPr>
          <w:p w14:paraId="21E2DC23"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right w:val="nil"/>
            </w:tcBorders>
            <w:vAlign w:val="center"/>
            <w:hideMark/>
          </w:tcPr>
          <w:p w14:paraId="1723F220"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right w:val="nil"/>
            </w:tcBorders>
            <w:vAlign w:val="center"/>
            <w:hideMark/>
          </w:tcPr>
          <w:p w14:paraId="590C6D12" w14:textId="77777777" w:rsidR="00722B14" w:rsidRDefault="00722B14" w:rsidP="00DD3BAE">
            <w:pPr>
              <w:spacing w:before="0" w:after="0"/>
              <w:jc w:val="center"/>
              <w:rPr>
                <w:color w:val="000000"/>
                <w:sz w:val="16"/>
                <w:szCs w:val="16"/>
              </w:rPr>
            </w:pPr>
            <w:r>
              <w:rPr>
                <w:color w:val="000000"/>
                <w:sz w:val="16"/>
                <w:szCs w:val="16"/>
              </w:rPr>
              <w:t>39.70</w:t>
            </w:r>
          </w:p>
        </w:tc>
        <w:tc>
          <w:tcPr>
            <w:tcW w:w="661" w:type="dxa"/>
            <w:tcBorders>
              <w:top w:val="single" w:sz="4" w:space="0" w:color="auto"/>
              <w:left w:val="nil"/>
              <w:right w:val="nil"/>
            </w:tcBorders>
            <w:vAlign w:val="center"/>
            <w:hideMark/>
          </w:tcPr>
          <w:p w14:paraId="4CC13543" w14:textId="77777777" w:rsidR="00722B14" w:rsidRDefault="00722B14" w:rsidP="00DD3BAE">
            <w:pPr>
              <w:spacing w:before="0" w:after="0"/>
              <w:jc w:val="center"/>
              <w:rPr>
                <w:color w:val="000000"/>
                <w:sz w:val="16"/>
                <w:szCs w:val="16"/>
              </w:rPr>
            </w:pPr>
            <w:r>
              <w:rPr>
                <w:color w:val="000000"/>
                <w:sz w:val="16"/>
                <w:szCs w:val="16"/>
              </w:rPr>
              <w:t>22.27</w:t>
            </w:r>
          </w:p>
        </w:tc>
        <w:tc>
          <w:tcPr>
            <w:tcW w:w="1109" w:type="dxa"/>
            <w:tcBorders>
              <w:top w:val="single" w:sz="4" w:space="0" w:color="auto"/>
              <w:left w:val="nil"/>
              <w:right w:val="nil"/>
            </w:tcBorders>
            <w:shd w:val="clear" w:color="auto" w:fill="CCFFCC"/>
            <w:noWrap/>
            <w:vAlign w:val="center"/>
            <w:hideMark/>
          </w:tcPr>
          <w:p w14:paraId="2B25307F" w14:textId="77777777" w:rsidR="00722B14" w:rsidRDefault="00722B14" w:rsidP="00DD3BAE">
            <w:pPr>
              <w:spacing w:before="0" w:after="0"/>
              <w:jc w:val="center"/>
              <w:rPr>
                <w:color w:val="000000"/>
                <w:sz w:val="16"/>
                <w:szCs w:val="16"/>
              </w:rPr>
            </w:pPr>
            <w:r>
              <w:rPr>
                <w:color w:val="000000"/>
                <w:sz w:val="16"/>
                <w:szCs w:val="16"/>
              </w:rPr>
              <w:t>-9.27</w:t>
            </w:r>
          </w:p>
        </w:tc>
        <w:tc>
          <w:tcPr>
            <w:tcW w:w="1109" w:type="dxa"/>
            <w:tcBorders>
              <w:top w:val="single" w:sz="4" w:space="0" w:color="auto"/>
              <w:left w:val="nil"/>
              <w:right w:val="nil"/>
            </w:tcBorders>
            <w:vAlign w:val="center"/>
            <w:hideMark/>
          </w:tcPr>
          <w:p w14:paraId="4CC233DB" w14:textId="77777777" w:rsidR="00722B14" w:rsidRDefault="00722B14" w:rsidP="00DD3BAE">
            <w:pPr>
              <w:spacing w:before="0" w:after="0"/>
              <w:jc w:val="center"/>
              <w:rPr>
                <w:color w:val="000000"/>
                <w:sz w:val="16"/>
                <w:szCs w:val="16"/>
              </w:rPr>
            </w:pPr>
            <w:r>
              <w:rPr>
                <w:color w:val="000000"/>
                <w:sz w:val="16"/>
                <w:szCs w:val="16"/>
              </w:rPr>
              <w:t>1.57</w:t>
            </w:r>
          </w:p>
        </w:tc>
        <w:tc>
          <w:tcPr>
            <w:tcW w:w="797" w:type="dxa"/>
            <w:tcBorders>
              <w:top w:val="single" w:sz="4" w:space="0" w:color="auto"/>
              <w:left w:val="nil"/>
              <w:right w:val="nil"/>
            </w:tcBorders>
            <w:vAlign w:val="center"/>
            <w:hideMark/>
          </w:tcPr>
          <w:p w14:paraId="514C297B"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right w:val="nil"/>
            </w:tcBorders>
            <w:noWrap/>
            <w:vAlign w:val="center"/>
            <w:hideMark/>
          </w:tcPr>
          <w:p w14:paraId="71E0341D"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0BBF69C4" w14:textId="77777777" w:rsidTr="00DE79BD">
        <w:trPr>
          <w:cantSplit/>
          <w:trHeight w:val="227"/>
          <w:jc w:val="center"/>
        </w:trPr>
        <w:tc>
          <w:tcPr>
            <w:tcW w:w="1077" w:type="dxa"/>
            <w:tcBorders>
              <w:top w:val="nil"/>
              <w:left w:val="nil"/>
              <w:bottom w:val="single" w:sz="4" w:space="0" w:color="auto"/>
              <w:right w:val="nil"/>
            </w:tcBorders>
            <w:vAlign w:val="center"/>
          </w:tcPr>
          <w:p w14:paraId="3DA29F9D" w14:textId="77777777" w:rsidR="00722B14" w:rsidRDefault="00722B14" w:rsidP="00DD3BAE">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14:paraId="22D220CE" w14:textId="77777777" w:rsidR="00722B14" w:rsidRDefault="00722B14" w:rsidP="00DD3BAE">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14:paraId="72413F59" w14:textId="77777777" w:rsidR="00722B14" w:rsidRDefault="00722B14" w:rsidP="00DD3BAE">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14:paraId="4C28223B"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nil"/>
              <w:left w:val="nil"/>
              <w:bottom w:val="single" w:sz="4" w:space="0" w:color="auto"/>
              <w:right w:val="nil"/>
            </w:tcBorders>
            <w:vAlign w:val="center"/>
            <w:hideMark/>
          </w:tcPr>
          <w:p w14:paraId="3AB616AA" w14:textId="77777777" w:rsidR="00722B14" w:rsidRDefault="00722B14" w:rsidP="00DD3BAE">
            <w:pPr>
              <w:spacing w:before="0" w:after="0"/>
              <w:jc w:val="center"/>
              <w:rPr>
                <w:color w:val="000000"/>
                <w:sz w:val="16"/>
                <w:szCs w:val="16"/>
              </w:rPr>
            </w:pPr>
            <w:r>
              <w:rPr>
                <w:color w:val="000000"/>
                <w:sz w:val="16"/>
                <w:szCs w:val="16"/>
              </w:rPr>
              <w:t>36.86</w:t>
            </w:r>
          </w:p>
        </w:tc>
        <w:tc>
          <w:tcPr>
            <w:tcW w:w="661" w:type="dxa"/>
            <w:tcBorders>
              <w:top w:val="nil"/>
              <w:left w:val="nil"/>
              <w:bottom w:val="single" w:sz="4" w:space="0" w:color="auto"/>
              <w:right w:val="nil"/>
            </w:tcBorders>
            <w:vAlign w:val="center"/>
            <w:hideMark/>
          </w:tcPr>
          <w:p w14:paraId="76903A71" w14:textId="77777777" w:rsidR="00722B14" w:rsidRDefault="00722B14" w:rsidP="00DD3BAE">
            <w:pPr>
              <w:spacing w:before="0" w:after="0"/>
              <w:jc w:val="center"/>
              <w:rPr>
                <w:color w:val="000000"/>
                <w:sz w:val="16"/>
                <w:szCs w:val="16"/>
              </w:rPr>
            </w:pPr>
            <w:r>
              <w:rPr>
                <w:color w:val="000000"/>
                <w:sz w:val="16"/>
                <w:szCs w:val="16"/>
              </w:rPr>
              <w:t>20.08</w:t>
            </w:r>
          </w:p>
        </w:tc>
        <w:tc>
          <w:tcPr>
            <w:tcW w:w="1109" w:type="dxa"/>
            <w:tcBorders>
              <w:top w:val="nil"/>
              <w:left w:val="nil"/>
              <w:bottom w:val="single" w:sz="4" w:space="0" w:color="auto"/>
              <w:right w:val="nil"/>
            </w:tcBorders>
            <w:shd w:val="clear" w:color="auto" w:fill="CCFFCC"/>
            <w:noWrap/>
            <w:vAlign w:val="center"/>
            <w:hideMark/>
          </w:tcPr>
          <w:p w14:paraId="161EF438" w14:textId="77777777" w:rsidR="00722B14" w:rsidRDefault="00722B14" w:rsidP="00DD3BAE">
            <w:pPr>
              <w:spacing w:before="0" w:after="0"/>
              <w:jc w:val="center"/>
              <w:rPr>
                <w:color w:val="000000"/>
                <w:sz w:val="16"/>
                <w:szCs w:val="16"/>
              </w:rPr>
            </w:pPr>
            <w:r>
              <w:rPr>
                <w:color w:val="000000"/>
                <w:sz w:val="16"/>
                <w:szCs w:val="16"/>
              </w:rPr>
              <w:t>-9.03 ±0.08</w:t>
            </w:r>
          </w:p>
        </w:tc>
        <w:tc>
          <w:tcPr>
            <w:tcW w:w="1109" w:type="dxa"/>
            <w:tcBorders>
              <w:top w:val="nil"/>
              <w:left w:val="nil"/>
              <w:bottom w:val="single" w:sz="4" w:space="0" w:color="auto"/>
              <w:right w:val="nil"/>
            </w:tcBorders>
            <w:vAlign w:val="center"/>
            <w:hideMark/>
          </w:tcPr>
          <w:p w14:paraId="3C8BC2DD" w14:textId="77777777" w:rsidR="00722B14" w:rsidRDefault="00722B14" w:rsidP="00DD3BAE">
            <w:pPr>
              <w:spacing w:before="0" w:after="0"/>
              <w:jc w:val="center"/>
              <w:rPr>
                <w:color w:val="000000"/>
                <w:sz w:val="16"/>
                <w:szCs w:val="16"/>
              </w:rPr>
            </w:pPr>
            <w:r>
              <w:rPr>
                <w:color w:val="000000"/>
                <w:sz w:val="16"/>
                <w:szCs w:val="16"/>
              </w:rPr>
              <w:t>-0.66 ±0.38</w:t>
            </w:r>
          </w:p>
        </w:tc>
        <w:tc>
          <w:tcPr>
            <w:tcW w:w="797" w:type="dxa"/>
            <w:tcBorders>
              <w:top w:val="nil"/>
              <w:left w:val="nil"/>
              <w:bottom w:val="single" w:sz="4" w:space="0" w:color="auto"/>
              <w:right w:val="nil"/>
            </w:tcBorders>
            <w:vAlign w:val="center"/>
          </w:tcPr>
          <w:p w14:paraId="58BF6CCE" w14:textId="77777777" w:rsidR="00722B14" w:rsidRDefault="00722B14" w:rsidP="00DD3BAE">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14:paraId="42BDF07B" w14:textId="77777777" w:rsidR="00722B14" w:rsidRDefault="00722B14" w:rsidP="00DD3BAE">
            <w:pPr>
              <w:spacing w:before="0" w:after="0"/>
              <w:jc w:val="center"/>
              <w:rPr>
                <w:i/>
                <w:color w:val="000000"/>
                <w:sz w:val="16"/>
                <w:szCs w:val="16"/>
              </w:rPr>
            </w:pPr>
          </w:p>
        </w:tc>
      </w:tr>
      <w:tr w:rsidR="00722B14" w14:paraId="2B3BFD38" w14:textId="77777777" w:rsidTr="00DE79BD">
        <w:trPr>
          <w:cantSplit/>
          <w:trHeight w:val="227"/>
          <w:jc w:val="center"/>
        </w:trPr>
        <w:tc>
          <w:tcPr>
            <w:tcW w:w="1077" w:type="dxa"/>
            <w:vAlign w:val="center"/>
            <w:hideMark/>
          </w:tcPr>
          <w:p w14:paraId="494937D4" w14:textId="77777777" w:rsidR="00722B14" w:rsidRDefault="00722B14" w:rsidP="00DD3BAE">
            <w:pPr>
              <w:spacing w:before="0" w:after="0"/>
              <w:jc w:val="center"/>
              <w:rPr>
                <w:color w:val="000000"/>
                <w:sz w:val="16"/>
                <w:szCs w:val="16"/>
              </w:rPr>
            </w:pPr>
            <w:r>
              <w:rPr>
                <w:color w:val="000000"/>
                <w:sz w:val="16"/>
                <w:szCs w:val="16"/>
              </w:rPr>
              <w:t>Wet Tropics</w:t>
            </w:r>
          </w:p>
        </w:tc>
        <w:tc>
          <w:tcPr>
            <w:tcW w:w="1115" w:type="dxa"/>
            <w:tcBorders>
              <w:top w:val="single" w:sz="4" w:space="0" w:color="auto"/>
              <w:left w:val="nil"/>
              <w:bottom w:val="nil"/>
              <w:right w:val="nil"/>
            </w:tcBorders>
            <w:noWrap/>
            <w:vAlign w:val="center"/>
            <w:hideMark/>
          </w:tcPr>
          <w:p w14:paraId="18EF9FA0" w14:textId="77777777" w:rsidR="00722B14" w:rsidRDefault="00722B14" w:rsidP="00DD3BAE">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14:paraId="3BCB8E46"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0B1DE268"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1483747E" w14:textId="77777777" w:rsidR="00722B14" w:rsidRDefault="00722B14" w:rsidP="00DD3BAE">
            <w:pPr>
              <w:spacing w:before="0" w:after="0"/>
              <w:jc w:val="center"/>
              <w:rPr>
                <w:color w:val="000000"/>
                <w:sz w:val="16"/>
                <w:szCs w:val="16"/>
              </w:rPr>
            </w:pPr>
            <w:r>
              <w:rPr>
                <w:color w:val="000000"/>
                <w:sz w:val="16"/>
                <w:szCs w:val="16"/>
              </w:rPr>
              <w:t>44.90</w:t>
            </w:r>
          </w:p>
        </w:tc>
        <w:tc>
          <w:tcPr>
            <w:tcW w:w="661" w:type="dxa"/>
            <w:tcBorders>
              <w:top w:val="single" w:sz="4" w:space="0" w:color="auto"/>
              <w:left w:val="nil"/>
              <w:bottom w:val="nil"/>
              <w:right w:val="nil"/>
            </w:tcBorders>
            <w:shd w:val="clear" w:color="auto" w:fill="CCFFCC"/>
            <w:vAlign w:val="center"/>
            <w:hideMark/>
          </w:tcPr>
          <w:p w14:paraId="1218CEE8" w14:textId="77777777" w:rsidR="00722B14" w:rsidRDefault="00722B14" w:rsidP="00DD3BAE">
            <w:pPr>
              <w:spacing w:before="0" w:after="0"/>
              <w:jc w:val="center"/>
              <w:rPr>
                <w:color w:val="000000"/>
                <w:sz w:val="16"/>
                <w:szCs w:val="16"/>
              </w:rPr>
            </w:pPr>
            <w:r>
              <w:rPr>
                <w:color w:val="000000"/>
                <w:sz w:val="16"/>
                <w:szCs w:val="16"/>
              </w:rPr>
              <w:t>10.65</w:t>
            </w:r>
          </w:p>
        </w:tc>
        <w:tc>
          <w:tcPr>
            <w:tcW w:w="1109" w:type="dxa"/>
            <w:tcBorders>
              <w:top w:val="single" w:sz="4" w:space="0" w:color="auto"/>
              <w:left w:val="nil"/>
              <w:bottom w:val="nil"/>
              <w:right w:val="nil"/>
            </w:tcBorders>
            <w:shd w:val="clear" w:color="auto" w:fill="CCFFCC"/>
            <w:noWrap/>
            <w:vAlign w:val="center"/>
            <w:hideMark/>
          </w:tcPr>
          <w:p w14:paraId="5CC6588C" w14:textId="77777777" w:rsidR="00722B14" w:rsidRDefault="00722B14" w:rsidP="00DD3BAE">
            <w:pPr>
              <w:spacing w:before="0" w:after="0"/>
              <w:jc w:val="center"/>
              <w:rPr>
                <w:color w:val="000000"/>
                <w:sz w:val="16"/>
                <w:szCs w:val="16"/>
              </w:rPr>
            </w:pPr>
            <w:r>
              <w:rPr>
                <w:color w:val="000000"/>
                <w:sz w:val="16"/>
                <w:szCs w:val="16"/>
              </w:rPr>
              <w:t>-10.35</w:t>
            </w:r>
          </w:p>
        </w:tc>
        <w:tc>
          <w:tcPr>
            <w:tcW w:w="1109" w:type="dxa"/>
            <w:tcBorders>
              <w:top w:val="single" w:sz="4" w:space="0" w:color="auto"/>
              <w:left w:val="nil"/>
              <w:bottom w:val="nil"/>
              <w:right w:val="nil"/>
            </w:tcBorders>
            <w:vAlign w:val="center"/>
            <w:hideMark/>
          </w:tcPr>
          <w:p w14:paraId="403FCA87" w14:textId="77777777" w:rsidR="00722B14" w:rsidRDefault="00722B14" w:rsidP="00DD3BAE">
            <w:pPr>
              <w:spacing w:before="0" w:after="0"/>
              <w:jc w:val="center"/>
              <w:rPr>
                <w:color w:val="000000"/>
                <w:sz w:val="16"/>
                <w:szCs w:val="16"/>
              </w:rPr>
            </w:pPr>
            <w:r>
              <w:rPr>
                <w:color w:val="000000"/>
                <w:sz w:val="16"/>
                <w:szCs w:val="16"/>
              </w:rPr>
              <w:t>0.64</w:t>
            </w:r>
          </w:p>
        </w:tc>
        <w:tc>
          <w:tcPr>
            <w:tcW w:w="797" w:type="dxa"/>
            <w:tcBorders>
              <w:top w:val="single" w:sz="4" w:space="0" w:color="auto"/>
              <w:left w:val="nil"/>
              <w:bottom w:val="nil"/>
              <w:right w:val="nil"/>
            </w:tcBorders>
            <w:vAlign w:val="center"/>
            <w:hideMark/>
          </w:tcPr>
          <w:p w14:paraId="6A496473"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1C9F6D97"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3D8276E6" w14:textId="77777777" w:rsidTr="00DE79BD">
        <w:trPr>
          <w:cantSplit/>
          <w:trHeight w:val="227"/>
          <w:jc w:val="center"/>
        </w:trPr>
        <w:tc>
          <w:tcPr>
            <w:tcW w:w="1077" w:type="dxa"/>
            <w:vAlign w:val="center"/>
          </w:tcPr>
          <w:p w14:paraId="376E0C22" w14:textId="77777777" w:rsidR="00722B14" w:rsidRDefault="00722B14" w:rsidP="00DD3BAE">
            <w:pPr>
              <w:spacing w:before="0" w:after="0"/>
              <w:jc w:val="center"/>
              <w:rPr>
                <w:color w:val="000000"/>
                <w:sz w:val="16"/>
                <w:szCs w:val="16"/>
              </w:rPr>
            </w:pPr>
          </w:p>
        </w:tc>
        <w:tc>
          <w:tcPr>
            <w:tcW w:w="1115" w:type="dxa"/>
            <w:noWrap/>
            <w:vAlign w:val="center"/>
          </w:tcPr>
          <w:p w14:paraId="13D45670"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5404B13F" w14:textId="77777777" w:rsidR="00722B14" w:rsidRDefault="00722B14" w:rsidP="00DD3BAE">
            <w:pPr>
              <w:spacing w:before="0" w:after="0"/>
              <w:jc w:val="center"/>
              <w:rPr>
                <w:color w:val="000000"/>
                <w:sz w:val="16"/>
                <w:szCs w:val="16"/>
              </w:rPr>
            </w:pPr>
          </w:p>
        </w:tc>
        <w:tc>
          <w:tcPr>
            <w:tcW w:w="621" w:type="dxa"/>
            <w:vAlign w:val="center"/>
            <w:hideMark/>
          </w:tcPr>
          <w:p w14:paraId="53109E52"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3F9680DD" w14:textId="77777777" w:rsidR="00722B14" w:rsidRDefault="00722B14" w:rsidP="00DD3BAE">
            <w:pPr>
              <w:spacing w:before="0" w:after="0"/>
              <w:jc w:val="center"/>
              <w:rPr>
                <w:color w:val="000000"/>
                <w:sz w:val="16"/>
                <w:szCs w:val="16"/>
              </w:rPr>
            </w:pPr>
            <w:r>
              <w:rPr>
                <w:color w:val="000000"/>
                <w:sz w:val="16"/>
                <w:szCs w:val="16"/>
              </w:rPr>
              <w:t>42.08</w:t>
            </w:r>
          </w:p>
        </w:tc>
        <w:tc>
          <w:tcPr>
            <w:tcW w:w="661" w:type="dxa"/>
            <w:shd w:val="clear" w:color="auto" w:fill="CCFFCC"/>
            <w:vAlign w:val="center"/>
            <w:hideMark/>
          </w:tcPr>
          <w:p w14:paraId="0BDA664B" w14:textId="77777777" w:rsidR="00722B14" w:rsidRDefault="00722B14" w:rsidP="00DD3BAE">
            <w:pPr>
              <w:spacing w:before="0" w:after="0"/>
              <w:jc w:val="center"/>
              <w:rPr>
                <w:color w:val="000000"/>
                <w:sz w:val="16"/>
                <w:szCs w:val="16"/>
              </w:rPr>
            </w:pPr>
            <w:r>
              <w:rPr>
                <w:color w:val="000000"/>
                <w:sz w:val="16"/>
                <w:szCs w:val="16"/>
              </w:rPr>
              <w:t>11.13</w:t>
            </w:r>
          </w:p>
        </w:tc>
        <w:tc>
          <w:tcPr>
            <w:tcW w:w="1109" w:type="dxa"/>
            <w:shd w:val="clear" w:color="auto" w:fill="CCFFCC"/>
            <w:noWrap/>
            <w:vAlign w:val="center"/>
            <w:hideMark/>
          </w:tcPr>
          <w:p w14:paraId="54931413" w14:textId="77777777" w:rsidR="00722B14" w:rsidRDefault="00722B14" w:rsidP="00DD3BAE">
            <w:pPr>
              <w:spacing w:before="0" w:after="0"/>
              <w:jc w:val="center"/>
              <w:rPr>
                <w:color w:val="000000"/>
                <w:sz w:val="16"/>
                <w:szCs w:val="16"/>
              </w:rPr>
            </w:pPr>
            <w:r>
              <w:rPr>
                <w:color w:val="000000"/>
                <w:sz w:val="16"/>
                <w:szCs w:val="16"/>
              </w:rPr>
              <w:t>-9.59 ±0.16</w:t>
            </w:r>
          </w:p>
        </w:tc>
        <w:tc>
          <w:tcPr>
            <w:tcW w:w="1109" w:type="dxa"/>
            <w:vAlign w:val="center"/>
            <w:hideMark/>
          </w:tcPr>
          <w:p w14:paraId="29760C06" w14:textId="77777777" w:rsidR="00722B14" w:rsidRDefault="00722B14" w:rsidP="00DD3BAE">
            <w:pPr>
              <w:spacing w:before="0" w:after="0"/>
              <w:jc w:val="center"/>
              <w:rPr>
                <w:color w:val="000000"/>
                <w:sz w:val="16"/>
                <w:szCs w:val="16"/>
              </w:rPr>
            </w:pPr>
            <w:r>
              <w:rPr>
                <w:color w:val="000000"/>
                <w:sz w:val="16"/>
                <w:szCs w:val="16"/>
              </w:rPr>
              <w:t>0.85 ±0.27</w:t>
            </w:r>
          </w:p>
        </w:tc>
        <w:tc>
          <w:tcPr>
            <w:tcW w:w="797" w:type="dxa"/>
            <w:vAlign w:val="center"/>
          </w:tcPr>
          <w:p w14:paraId="30B803F8" w14:textId="77777777" w:rsidR="00722B14" w:rsidRDefault="00722B14" w:rsidP="00DD3BAE">
            <w:pPr>
              <w:spacing w:before="0" w:after="0"/>
              <w:jc w:val="center"/>
              <w:rPr>
                <w:i/>
                <w:color w:val="000000"/>
                <w:sz w:val="16"/>
                <w:szCs w:val="16"/>
              </w:rPr>
            </w:pPr>
          </w:p>
        </w:tc>
        <w:tc>
          <w:tcPr>
            <w:tcW w:w="1557" w:type="dxa"/>
            <w:noWrap/>
            <w:vAlign w:val="center"/>
          </w:tcPr>
          <w:p w14:paraId="1E7D0701" w14:textId="77777777" w:rsidR="00722B14" w:rsidRDefault="00722B14" w:rsidP="00DD3BAE">
            <w:pPr>
              <w:spacing w:before="0" w:after="0"/>
              <w:jc w:val="center"/>
              <w:rPr>
                <w:i/>
                <w:color w:val="000000"/>
                <w:sz w:val="16"/>
                <w:szCs w:val="16"/>
              </w:rPr>
            </w:pPr>
          </w:p>
        </w:tc>
      </w:tr>
      <w:tr w:rsidR="00722B14" w14:paraId="1E95B8E4" w14:textId="77777777" w:rsidTr="00DE79BD">
        <w:trPr>
          <w:cantSplit/>
          <w:trHeight w:val="227"/>
          <w:jc w:val="center"/>
        </w:trPr>
        <w:tc>
          <w:tcPr>
            <w:tcW w:w="1077" w:type="dxa"/>
            <w:vAlign w:val="center"/>
          </w:tcPr>
          <w:p w14:paraId="51181E9C" w14:textId="77777777" w:rsidR="00722B14" w:rsidRDefault="00722B14" w:rsidP="00DD3BAE">
            <w:pPr>
              <w:spacing w:before="0" w:after="0"/>
              <w:jc w:val="center"/>
              <w:rPr>
                <w:color w:val="000000"/>
                <w:sz w:val="16"/>
                <w:szCs w:val="16"/>
              </w:rPr>
            </w:pPr>
          </w:p>
        </w:tc>
        <w:tc>
          <w:tcPr>
            <w:tcW w:w="1115" w:type="dxa"/>
            <w:noWrap/>
            <w:vAlign w:val="center"/>
          </w:tcPr>
          <w:p w14:paraId="255B2456" w14:textId="77777777" w:rsidR="00722B14" w:rsidRDefault="00722B14" w:rsidP="00DD3BAE">
            <w:pPr>
              <w:spacing w:before="0" w:after="0"/>
              <w:jc w:val="center"/>
              <w:rPr>
                <w:color w:val="000000"/>
                <w:sz w:val="16"/>
                <w:szCs w:val="16"/>
              </w:rPr>
            </w:pPr>
          </w:p>
        </w:tc>
        <w:tc>
          <w:tcPr>
            <w:tcW w:w="789" w:type="dxa"/>
            <w:noWrap/>
            <w:vAlign w:val="center"/>
          </w:tcPr>
          <w:p w14:paraId="348DACAB" w14:textId="77777777" w:rsidR="00722B14" w:rsidRDefault="00722B14" w:rsidP="00DD3BAE">
            <w:pPr>
              <w:spacing w:before="0" w:after="0"/>
              <w:jc w:val="center"/>
              <w:rPr>
                <w:color w:val="000000"/>
                <w:sz w:val="16"/>
                <w:szCs w:val="16"/>
              </w:rPr>
            </w:pPr>
          </w:p>
        </w:tc>
        <w:tc>
          <w:tcPr>
            <w:tcW w:w="621" w:type="dxa"/>
            <w:vAlign w:val="center"/>
            <w:hideMark/>
          </w:tcPr>
          <w:p w14:paraId="3A25E327"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5A883080" w14:textId="77777777" w:rsidR="00722B14" w:rsidRDefault="00722B14" w:rsidP="00DD3BAE">
            <w:pPr>
              <w:spacing w:before="0" w:after="0"/>
              <w:jc w:val="center"/>
              <w:rPr>
                <w:color w:val="000000"/>
                <w:sz w:val="16"/>
                <w:szCs w:val="16"/>
              </w:rPr>
            </w:pPr>
            <w:r>
              <w:rPr>
                <w:color w:val="000000"/>
                <w:sz w:val="16"/>
                <w:szCs w:val="16"/>
              </w:rPr>
              <w:t>41.29</w:t>
            </w:r>
          </w:p>
        </w:tc>
        <w:tc>
          <w:tcPr>
            <w:tcW w:w="661" w:type="dxa"/>
            <w:shd w:val="clear" w:color="auto" w:fill="CCFFCC"/>
            <w:vAlign w:val="center"/>
            <w:hideMark/>
          </w:tcPr>
          <w:p w14:paraId="35B97677" w14:textId="77777777" w:rsidR="00722B14" w:rsidRDefault="00722B14" w:rsidP="00DD3BAE">
            <w:pPr>
              <w:spacing w:before="0" w:after="0"/>
              <w:jc w:val="center"/>
              <w:rPr>
                <w:color w:val="000000"/>
                <w:sz w:val="16"/>
                <w:szCs w:val="16"/>
              </w:rPr>
            </w:pPr>
            <w:r>
              <w:rPr>
                <w:color w:val="000000"/>
                <w:sz w:val="16"/>
                <w:szCs w:val="16"/>
              </w:rPr>
              <w:t>11.82</w:t>
            </w:r>
          </w:p>
        </w:tc>
        <w:tc>
          <w:tcPr>
            <w:tcW w:w="1109" w:type="dxa"/>
            <w:shd w:val="clear" w:color="auto" w:fill="CCFFCC"/>
            <w:noWrap/>
            <w:vAlign w:val="center"/>
            <w:hideMark/>
          </w:tcPr>
          <w:p w14:paraId="27029683" w14:textId="77777777" w:rsidR="00722B14" w:rsidRDefault="00722B14" w:rsidP="00DD3BAE">
            <w:pPr>
              <w:spacing w:before="0" w:after="0"/>
              <w:jc w:val="center"/>
              <w:rPr>
                <w:color w:val="000000"/>
                <w:sz w:val="16"/>
                <w:szCs w:val="16"/>
              </w:rPr>
            </w:pPr>
            <w:r>
              <w:rPr>
                <w:color w:val="000000"/>
                <w:sz w:val="16"/>
                <w:szCs w:val="16"/>
              </w:rPr>
              <w:t>-10.12 ±0.25</w:t>
            </w:r>
          </w:p>
        </w:tc>
        <w:tc>
          <w:tcPr>
            <w:tcW w:w="1109" w:type="dxa"/>
            <w:vAlign w:val="center"/>
            <w:hideMark/>
          </w:tcPr>
          <w:p w14:paraId="2954ECEB" w14:textId="77777777" w:rsidR="00722B14" w:rsidRDefault="00722B14" w:rsidP="00DD3BAE">
            <w:pPr>
              <w:spacing w:before="0" w:after="0"/>
              <w:jc w:val="center"/>
              <w:rPr>
                <w:color w:val="000000"/>
                <w:sz w:val="16"/>
                <w:szCs w:val="16"/>
              </w:rPr>
            </w:pPr>
            <w:r>
              <w:rPr>
                <w:color w:val="000000"/>
                <w:sz w:val="16"/>
                <w:szCs w:val="16"/>
              </w:rPr>
              <w:t>0.42 ±0.19</w:t>
            </w:r>
          </w:p>
        </w:tc>
        <w:tc>
          <w:tcPr>
            <w:tcW w:w="797" w:type="dxa"/>
            <w:vAlign w:val="center"/>
          </w:tcPr>
          <w:p w14:paraId="3A11B83B" w14:textId="77777777" w:rsidR="00722B14" w:rsidRDefault="00722B14" w:rsidP="00DD3BAE">
            <w:pPr>
              <w:spacing w:before="0" w:after="0"/>
              <w:jc w:val="center"/>
              <w:rPr>
                <w:i/>
                <w:color w:val="000000"/>
                <w:sz w:val="16"/>
                <w:szCs w:val="16"/>
              </w:rPr>
            </w:pPr>
          </w:p>
        </w:tc>
        <w:tc>
          <w:tcPr>
            <w:tcW w:w="1557" w:type="dxa"/>
            <w:noWrap/>
            <w:vAlign w:val="center"/>
          </w:tcPr>
          <w:p w14:paraId="54D58680" w14:textId="77777777" w:rsidR="00722B14" w:rsidRDefault="00722B14" w:rsidP="00DD3BAE">
            <w:pPr>
              <w:spacing w:before="0" w:after="0"/>
              <w:jc w:val="center"/>
              <w:rPr>
                <w:i/>
                <w:color w:val="000000"/>
                <w:sz w:val="16"/>
                <w:szCs w:val="16"/>
              </w:rPr>
            </w:pPr>
          </w:p>
        </w:tc>
      </w:tr>
      <w:tr w:rsidR="00722B14" w14:paraId="0C8C4562" w14:textId="77777777" w:rsidTr="00DE79BD">
        <w:trPr>
          <w:cantSplit/>
          <w:trHeight w:val="227"/>
          <w:jc w:val="center"/>
        </w:trPr>
        <w:tc>
          <w:tcPr>
            <w:tcW w:w="1077" w:type="dxa"/>
            <w:vAlign w:val="center"/>
          </w:tcPr>
          <w:p w14:paraId="70E2B4E1"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44420277"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33656A45"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54AAA724"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31DAF442" w14:textId="77777777" w:rsidR="00722B14" w:rsidRDefault="00722B14" w:rsidP="00DD3BAE">
            <w:pPr>
              <w:spacing w:before="0" w:after="0"/>
              <w:jc w:val="center"/>
              <w:rPr>
                <w:color w:val="000000"/>
                <w:sz w:val="16"/>
                <w:szCs w:val="16"/>
              </w:rPr>
            </w:pPr>
            <w:r>
              <w:rPr>
                <w:color w:val="000000"/>
                <w:sz w:val="16"/>
                <w:szCs w:val="16"/>
              </w:rPr>
              <w:t>43.64</w:t>
            </w:r>
          </w:p>
        </w:tc>
        <w:tc>
          <w:tcPr>
            <w:tcW w:w="661" w:type="dxa"/>
            <w:tcBorders>
              <w:top w:val="nil"/>
              <w:left w:val="nil"/>
              <w:right w:val="nil"/>
            </w:tcBorders>
            <w:shd w:val="clear" w:color="auto" w:fill="CCFFCC"/>
            <w:vAlign w:val="center"/>
            <w:hideMark/>
          </w:tcPr>
          <w:p w14:paraId="37D95C32" w14:textId="77777777" w:rsidR="00722B14" w:rsidRDefault="00722B14" w:rsidP="00DD3BAE">
            <w:pPr>
              <w:spacing w:before="0" w:after="0"/>
              <w:jc w:val="center"/>
              <w:rPr>
                <w:color w:val="000000"/>
                <w:sz w:val="16"/>
                <w:szCs w:val="16"/>
              </w:rPr>
            </w:pPr>
            <w:r>
              <w:rPr>
                <w:color w:val="000000"/>
                <w:sz w:val="16"/>
                <w:szCs w:val="16"/>
              </w:rPr>
              <w:t>11.59</w:t>
            </w:r>
          </w:p>
        </w:tc>
        <w:tc>
          <w:tcPr>
            <w:tcW w:w="1109" w:type="dxa"/>
            <w:tcBorders>
              <w:top w:val="nil"/>
              <w:left w:val="nil"/>
              <w:right w:val="nil"/>
            </w:tcBorders>
            <w:shd w:val="clear" w:color="auto" w:fill="CCFFCC"/>
            <w:noWrap/>
            <w:vAlign w:val="center"/>
            <w:hideMark/>
          </w:tcPr>
          <w:p w14:paraId="28B2CA4C" w14:textId="77777777" w:rsidR="00722B14" w:rsidRDefault="00722B14" w:rsidP="00DD3BAE">
            <w:pPr>
              <w:spacing w:before="0" w:after="0"/>
              <w:jc w:val="center"/>
              <w:rPr>
                <w:color w:val="000000"/>
                <w:sz w:val="16"/>
                <w:szCs w:val="16"/>
              </w:rPr>
            </w:pPr>
            <w:r>
              <w:rPr>
                <w:color w:val="000000"/>
                <w:sz w:val="16"/>
                <w:szCs w:val="16"/>
              </w:rPr>
              <w:t xml:space="preserve">-9.76 </w:t>
            </w:r>
            <w:r>
              <w:rPr>
                <w:color w:val="000000"/>
                <w:sz w:val="16"/>
                <w:szCs w:val="16"/>
                <w:shd w:val="clear" w:color="auto" w:fill="CCFFCC"/>
              </w:rPr>
              <w:t>±</w:t>
            </w:r>
            <w:r>
              <w:rPr>
                <w:color w:val="000000"/>
                <w:sz w:val="16"/>
                <w:szCs w:val="16"/>
              </w:rPr>
              <w:t>0.18</w:t>
            </w:r>
          </w:p>
        </w:tc>
        <w:tc>
          <w:tcPr>
            <w:tcW w:w="1109" w:type="dxa"/>
            <w:tcBorders>
              <w:top w:val="nil"/>
              <w:left w:val="nil"/>
              <w:right w:val="nil"/>
            </w:tcBorders>
            <w:vAlign w:val="center"/>
            <w:hideMark/>
          </w:tcPr>
          <w:p w14:paraId="6E07A12B" w14:textId="77777777" w:rsidR="00722B14" w:rsidRDefault="00722B14" w:rsidP="00DD3BAE">
            <w:pPr>
              <w:spacing w:before="0" w:after="0"/>
              <w:jc w:val="center"/>
              <w:rPr>
                <w:color w:val="000000"/>
                <w:sz w:val="16"/>
                <w:szCs w:val="16"/>
              </w:rPr>
            </w:pPr>
            <w:r>
              <w:rPr>
                <w:color w:val="000000"/>
                <w:sz w:val="16"/>
                <w:szCs w:val="16"/>
              </w:rPr>
              <w:t>1.73 ±0.38</w:t>
            </w:r>
          </w:p>
        </w:tc>
        <w:tc>
          <w:tcPr>
            <w:tcW w:w="797" w:type="dxa"/>
            <w:tcBorders>
              <w:top w:val="nil"/>
              <w:left w:val="nil"/>
              <w:right w:val="nil"/>
            </w:tcBorders>
            <w:vAlign w:val="center"/>
          </w:tcPr>
          <w:p w14:paraId="35BEED7A"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78A928B9" w14:textId="77777777" w:rsidR="00722B14" w:rsidRDefault="00722B14" w:rsidP="00DD3BAE">
            <w:pPr>
              <w:spacing w:before="0" w:after="0"/>
              <w:jc w:val="center"/>
              <w:rPr>
                <w:i/>
                <w:color w:val="000000"/>
                <w:sz w:val="16"/>
                <w:szCs w:val="16"/>
              </w:rPr>
            </w:pPr>
          </w:p>
        </w:tc>
      </w:tr>
      <w:tr w:rsidR="00722B14" w14:paraId="051C3883" w14:textId="77777777" w:rsidTr="00DE79BD">
        <w:trPr>
          <w:cantSplit/>
          <w:trHeight w:val="227"/>
          <w:jc w:val="center"/>
        </w:trPr>
        <w:tc>
          <w:tcPr>
            <w:tcW w:w="1077" w:type="dxa"/>
            <w:tcBorders>
              <w:top w:val="nil"/>
              <w:left w:val="nil"/>
              <w:right w:val="nil"/>
            </w:tcBorders>
            <w:shd w:val="clear" w:color="auto" w:fill="auto"/>
            <w:vAlign w:val="center"/>
          </w:tcPr>
          <w:p w14:paraId="7C4E83F5"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6B295985"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2C5C258D"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66194ACB"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73572CE7" w14:textId="77777777" w:rsidR="00722B14" w:rsidRPr="007C770B" w:rsidRDefault="00722B14" w:rsidP="00DD3BAE">
            <w:pPr>
              <w:spacing w:before="0" w:after="0"/>
              <w:jc w:val="center"/>
              <w:rPr>
                <w:color w:val="000000"/>
                <w:sz w:val="16"/>
                <w:szCs w:val="16"/>
              </w:rPr>
            </w:pPr>
            <w:r w:rsidRPr="007C770B">
              <w:rPr>
                <w:color w:val="000000"/>
                <w:sz w:val="16"/>
                <w:szCs w:val="16"/>
              </w:rPr>
              <w:t>44.52</w:t>
            </w:r>
          </w:p>
        </w:tc>
        <w:tc>
          <w:tcPr>
            <w:tcW w:w="661" w:type="dxa"/>
            <w:tcBorders>
              <w:top w:val="nil"/>
              <w:left w:val="nil"/>
              <w:right w:val="nil"/>
            </w:tcBorders>
            <w:shd w:val="clear" w:color="auto" w:fill="CCFFCC"/>
            <w:vAlign w:val="center"/>
          </w:tcPr>
          <w:p w14:paraId="72628DFB" w14:textId="77777777" w:rsidR="00722B14" w:rsidRPr="007C770B" w:rsidRDefault="00722B14" w:rsidP="00DD3BAE">
            <w:pPr>
              <w:spacing w:before="0" w:after="0"/>
              <w:jc w:val="center"/>
              <w:rPr>
                <w:color w:val="000000"/>
                <w:sz w:val="16"/>
                <w:szCs w:val="16"/>
              </w:rPr>
            </w:pPr>
            <w:r w:rsidRPr="007C770B">
              <w:rPr>
                <w:color w:val="000000"/>
                <w:sz w:val="16"/>
                <w:szCs w:val="16"/>
              </w:rPr>
              <w:t>11.76</w:t>
            </w:r>
          </w:p>
        </w:tc>
        <w:tc>
          <w:tcPr>
            <w:tcW w:w="1109" w:type="dxa"/>
            <w:tcBorders>
              <w:top w:val="nil"/>
              <w:left w:val="nil"/>
              <w:right w:val="nil"/>
            </w:tcBorders>
            <w:shd w:val="clear" w:color="auto" w:fill="CCFFCC"/>
            <w:noWrap/>
            <w:vAlign w:val="center"/>
          </w:tcPr>
          <w:p w14:paraId="49EDBDF6" w14:textId="77777777" w:rsidR="00722B14" w:rsidRPr="007C770B" w:rsidRDefault="00722B14" w:rsidP="00DD3BAE">
            <w:pPr>
              <w:spacing w:before="0" w:after="0"/>
              <w:jc w:val="center"/>
              <w:rPr>
                <w:color w:val="000000"/>
                <w:sz w:val="16"/>
                <w:szCs w:val="16"/>
              </w:rPr>
            </w:pPr>
            <w:r w:rsidRPr="007C770B">
              <w:rPr>
                <w:color w:val="000000"/>
                <w:sz w:val="16"/>
                <w:szCs w:val="16"/>
              </w:rPr>
              <w:t>-8.39 ±0.91</w:t>
            </w:r>
          </w:p>
        </w:tc>
        <w:tc>
          <w:tcPr>
            <w:tcW w:w="1109" w:type="dxa"/>
            <w:tcBorders>
              <w:top w:val="nil"/>
              <w:left w:val="nil"/>
              <w:right w:val="nil"/>
            </w:tcBorders>
            <w:shd w:val="clear" w:color="auto" w:fill="auto"/>
            <w:vAlign w:val="center"/>
          </w:tcPr>
          <w:p w14:paraId="409D4FDF" w14:textId="77777777" w:rsidR="00722B14" w:rsidRPr="007C770B" w:rsidRDefault="00722B14" w:rsidP="00DD3BAE">
            <w:pPr>
              <w:spacing w:before="0" w:after="0"/>
              <w:jc w:val="center"/>
              <w:rPr>
                <w:color w:val="000000"/>
                <w:sz w:val="16"/>
                <w:szCs w:val="16"/>
              </w:rPr>
            </w:pPr>
            <w:r w:rsidRPr="007C770B">
              <w:rPr>
                <w:color w:val="000000"/>
                <w:sz w:val="16"/>
                <w:szCs w:val="16"/>
              </w:rPr>
              <w:t>1.45 ±0.48</w:t>
            </w:r>
          </w:p>
        </w:tc>
        <w:tc>
          <w:tcPr>
            <w:tcW w:w="797" w:type="dxa"/>
            <w:tcBorders>
              <w:top w:val="nil"/>
              <w:left w:val="nil"/>
              <w:right w:val="nil"/>
            </w:tcBorders>
            <w:shd w:val="clear" w:color="auto" w:fill="auto"/>
            <w:vAlign w:val="center"/>
          </w:tcPr>
          <w:p w14:paraId="6E0DFF1E"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2A010B53" w14:textId="77777777" w:rsidR="00722B14" w:rsidRDefault="00722B14" w:rsidP="00DD3BAE">
            <w:pPr>
              <w:spacing w:before="0" w:after="0"/>
              <w:jc w:val="center"/>
              <w:rPr>
                <w:i/>
                <w:color w:val="000000"/>
                <w:sz w:val="16"/>
                <w:szCs w:val="16"/>
              </w:rPr>
            </w:pPr>
          </w:p>
        </w:tc>
      </w:tr>
      <w:tr w:rsidR="00722B14" w14:paraId="379F7843" w14:textId="77777777" w:rsidTr="00DE79BD">
        <w:trPr>
          <w:cantSplit/>
          <w:trHeight w:val="227"/>
          <w:jc w:val="center"/>
        </w:trPr>
        <w:tc>
          <w:tcPr>
            <w:tcW w:w="1077" w:type="dxa"/>
            <w:tcBorders>
              <w:left w:val="nil"/>
              <w:right w:val="nil"/>
            </w:tcBorders>
            <w:shd w:val="clear" w:color="auto" w:fill="auto"/>
            <w:vAlign w:val="center"/>
          </w:tcPr>
          <w:p w14:paraId="26B0A666"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61EC625B"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44862BF4"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6A5102E2"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40E890BD" w14:textId="77777777" w:rsidR="00722B14" w:rsidRPr="00D70161" w:rsidRDefault="00722B14" w:rsidP="00DD3BAE">
            <w:pPr>
              <w:spacing w:before="0" w:after="0"/>
              <w:jc w:val="center"/>
              <w:rPr>
                <w:color w:val="000000"/>
                <w:sz w:val="16"/>
                <w:szCs w:val="16"/>
              </w:rPr>
            </w:pPr>
            <w:r w:rsidRPr="00D70161">
              <w:rPr>
                <w:color w:val="000000"/>
                <w:sz w:val="16"/>
                <w:szCs w:val="16"/>
              </w:rPr>
              <w:t>43.16</w:t>
            </w:r>
          </w:p>
        </w:tc>
        <w:tc>
          <w:tcPr>
            <w:tcW w:w="661" w:type="dxa"/>
            <w:tcBorders>
              <w:left w:val="nil"/>
              <w:bottom w:val="single" w:sz="4" w:space="0" w:color="auto"/>
              <w:right w:val="nil"/>
            </w:tcBorders>
            <w:shd w:val="clear" w:color="auto" w:fill="CCFFCC"/>
            <w:vAlign w:val="center"/>
          </w:tcPr>
          <w:p w14:paraId="35056712" w14:textId="77777777" w:rsidR="00722B14" w:rsidRPr="00D70161" w:rsidRDefault="00722B14" w:rsidP="00DD3BAE">
            <w:pPr>
              <w:spacing w:before="0" w:after="0"/>
              <w:jc w:val="center"/>
              <w:rPr>
                <w:color w:val="000000"/>
                <w:sz w:val="16"/>
                <w:szCs w:val="16"/>
              </w:rPr>
            </w:pPr>
            <w:r>
              <w:rPr>
                <w:color w:val="000000"/>
                <w:sz w:val="16"/>
                <w:szCs w:val="16"/>
              </w:rPr>
              <w:t>11.54</w:t>
            </w:r>
          </w:p>
        </w:tc>
        <w:tc>
          <w:tcPr>
            <w:tcW w:w="1109" w:type="dxa"/>
            <w:tcBorders>
              <w:left w:val="nil"/>
              <w:bottom w:val="single" w:sz="4" w:space="0" w:color="auto"/>
              <w:right w:val="nil"/>
            </w:tcBorders>
            <w:shd w:val="clear" w:color="auto" w:fill="CCFFCC"/>
            <w:noWrap/>
            <w:vAlign w:val="center"/>
          </w:tcPr>
          <w:p w14:paraId="2B4FF129" w14:textId="77777777" w:rsidR="00722B14" w:rsidRPr="00D70161" w:rsidRDefault="00722B14" w:rsidP="00DD3BAE">
            <w:pPr>
              <w:spacing w:before="0" w:after="0"/>
              <w:jc w:val="center"/>
              <w:rPr>
                <w:color w:val="000000"/>
                <w:sz w:val="16"/>
                <w:szCs w:val="16"/>
              </w:rPr>
            </w:pPr>
            <w:r w:rsidRPr="00D70161">
              <w:rPr>
                <w:color w:val="000000"/>
                <w:sz w:val="16"/>
                <w:szCs w:val="16"/>
              </w:rPr>
              <w:t>-9.99 ±0.17</w:t>
            </w:r>
          </w:p>
        </w:tc>
        <w:tc>
          <w:tcPr>
            <w:tcW w:w="1109" w:type="dxa"/>
            <w:tcBorders>
              <w:left w:val="nil"/>
              <w:bottom w:val="single" w:sz="4" w:space="0" w:color="auto"/>
              <w:right w:val="nil"/>
            </w:tcBorders>
            <w:shd w:val="clear" w:color="auto" w:fill="auto"/>
            <w:vAlign w:val="center"/>
          </w:tcPr>
          <w:p w14:paraId="34E380A5" w14:textId="77777777" w:rsidR="00722B14" w:rsidRPr="00D70161" w:rsidRDefault="00722B14" w:rsidP="00DD3BAE">
            <w:pPr>
              <w:spacing w:before="0" w:after="0"/>
              <w:jc w:val="center"/>
              <w:rPr>
                <w:color w:val="000000"/>
                <w:sz w:val="16"/>
                <w:szCs w:val="16"/>
              </w:rPr>
            </w:pPr>
            <w:r w:rsidRPr="00D70161">
              <w:rPr>
                <w:color w:val="000000"/>
                <w:sz w:val="16"/>
                <w:szCs w:val="16"/>
              </w:rPr>
              <w:t>2.80 ±0.28</w:t>
            </w:r>
          </w:p>
        </w:tc>
        <w:tc>
          <w:tcPr>
            <w:tcW w:w="797" w:type="dxa"/>
            <w:tcBorders>
              <w:left w:val="nil"/>
              <w:bottom w:val="single" w:sz="4" w:space="0" w:color="auto"/>
              <w:right w:val="nil"/>
            </w:tcBorders>
            <w:shd w:val="clear" w:color="auto" w:fill="auto"/>
            <w:vAlign w:val="center"/>
          </w:tcPr>
          <w:p w14:paraId="16CB101D"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0735D7AB" w14:textId="77777777" w:rsidR="00722B14" w:rsidRDefault="00722B14" w:rsidP="00DD3BAE">
            <w:pPr>
              <w:spacing w:before="0" w:after="0"/>
              <w:jc w:val="center"/>
              <w:rPr>
                <w:i/>
                <w:color w:val="000000"/>
                <w:sz w:val="16"/>
                <w:szCs w:val="16"/>
              </w:rPr>
            </w:pPr>
          </w:p>
        </w:tc>
      </w:tr>
      <w:tr w:rsidR="00722B14" w14:paraId="7F236333" w14:textId="77777777" w:rsidTr="00DE79BD">
        <w:trPr>
          <w:cantSplit/>
          <w:trHeight w:val="227"/>
          <w:jc w:val="center"/>
        </w:trPr>
        <w:tc>
          <w:tcPr>
            <w:tcW w:w="1077" w:type="dxa"/>
            <w:vAlign w:val="center"/>
          </w:tcPr>
          <w:p w14:paraId="7BD58491" w14:textId="77777777" w:rsidR="00722B14" w:rsidRDefault="00722B14" w:rsidP="00DD3BAE">
            <w:pPr>
              <w:spacing w:before="0" w:after="0"/>
              <w:jc w:val="center"/>
              <w:rPr>
                <w:color w:val="000000"/>
                <w:sz w:val="16"/>
                <w:szCs w:val="16"/>
              </w:rPr>
            </w:pPr>
          </w:p>
        </w:tc>
        <w:tc>
          <w:tcPr>
            <w:tcW w:w="1115" w:type="dxa"/>
            <w:tcBorders>
              <w:top w:val="single" w:sz="4" w:space="0" w:color="auto"/>
            </w:tcBorders>
            <w:noWrap/>
            <w:vAlign w:val="center"/>
            <w:hideMark/>
          </w:tcPr>
          <w:p w14:paraId="494BB3E6" w14:textId="77777777" w:rsidR="00722B14" w:rsidRDefault="00722B14" w:rsidP="00DD3BAE">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784156E4" w14:textId="77777777" w:rsidR="00722B14" w:rsidRDefault="00722B14" w:rsidP="00DD3BAE">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14:paraId="7DAF6EF2"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4E403F83" w14:textId="77777777" w:rsidR="00722B14" w:rsidRDefault="00722B14" w:rsidP="00DD3BAE">
            <w:pPr>
              <w:spacing w:before="0" w:after="0"/>
              <w:jc w:val="center"/>
              <w:rPr>
                <w:color w:val="000000"/>
                <w:sz w:val="16"/>
                <w:szCs w:val="16"/>
              </w:rPr>
            </w:pPr>
            <w:r>
              <w:rPr>
                <w:color w:val="000000"/>
                <w:sz w:val="16"/>
                <w:szCs w:val="16"/>
              </w:rPr>
              <w:t>42.38</w:t>
            </w:r>
          </w:p>
        </w:tc>
        <w:tc>
          <w:tcPr>
            <w:tcW w:w="661" w:type="dxa"/>
            <w:tcBorders>
              <w:top w:val="single" w:sz="4" w:space="0" w:color="auto"/>
              <w:left w:val="nil"/>
              <w:bottom w:val="nil"/>
              <w:right w:val="nil"/>
            </w:tcBorders>
            <w:shd w:val="clear" w:color="auto" w:fill="CCFFCC"/>
            <w:vAlign w:val="center"/>
            <w:hideMark/>
          </w:tcPr>
          <w:p w14:paraId="11D15956" w14:textId="77777777" w:rsidR="00722B14" w:rsidRDefault="00722B14" w:rsidP="00DD3BAE">
            <w:pPr>
              <w:spacing w:before="0" w:after="0"/>
              <w:jc w:val="center"/>
              <w:rPr>
                <w:color w:val="000000"/>
                <w:sz w:val="16"/>
                <w:szCs w:val="16"/>
              </w:rPr>
            </w:pPr>
            <w:r>
              <w:rPr>
                <w:color w:val="000000"/>
                <w:sz w:val="16"/>
                <w:szCs w:val="16"/>
              </w:rPr>
              <w:t>18.17</w:t>
            </w:r>
          </w:p>
        </w:tc>
        <w:tc>
          <w:tcPr>
            <w:tcW w:w="1109" w:type="dxa"/>
            <w:tcBorders>
              <w:top w:val="single" w:sz="4" w:space="0" w:color="auto"/>
              <w:left w:val="nil"/>
              <w:bottom w:val="nil"/>
              <w:right w:val="nil"/>
            </w:tcBorders>
            <w:shd w:val="clear" w:color="auto" w:fill="CCFFCC"/>
            <w:noWrap/>
            <w:vAlign w:val="center"/>
            <w:hideMark/>
          </w:tcPr>
          <w:p w14:paraId="275CFC6E" w14:textId="77777777" w:rsidR="00722B14" w:rsidRDefault="00722B14" w:rsidP="00DD3BAE">
            <w:pPr>
              <w:spacing w:before="0" w:after="0"/>
              <w:jc w:val="center"/>
              <w:rPr>
                <w:color w:val="000000"/>
                <w:sz w:val="16"/>
                <w:szCs w:val="16"/>
              </w:rPr>
            </w:pPr>
            <w:r>
              <w:rPr>
                <w:color w:val="000000"/>
                <w:sz w:val="16"/>
                <w:szCs w:val="16"/>
              </w:rPr>
              <w:t>-7.88 ±0.27</w:t>
            </w:r>
          </w:p>
        </w:tc>
        <w:tc>
          <w:tcPr>
            <w:tcW w:w="1109" w:type="dxa"/>
            <w:tcBorders>
              <w:top w:val="single" w:sz="4" w:space="0" w:color="auto"/>
              <w:left w:val="nil"/>
              <w:bottom w:val="nil"/>
              <w:right w:val="nil"/>
            </w:tcBorders>
            <w:vAlign w:val="center"/>
            <w:hideMark/>
          </w:tcPr>
          <w:p w14:paraId="354CC6AD" w14:textId="77777777" w:rsidR="00722B14" w:rsidRDefault="00722B14" w:rsidP="00DD3BAE">
            <w:pPr>
              <w:spacing w:before="0" w:after="0"/>
              <w:jc w:val="center"/>
              <w:rPr>
                <w:color w:val="000000"/>
                <w:sz w:val="16"/>
                <w:szCs w:val="16"/>
              </w:rPr>
            </w:pPr>
            <w:r>
              <w:rPr>
                <w:color w:val="000000"/>
                <w:sz w:val="16"/>
                <w:szCs w:val="16"/>
              </w:rPr>
              <w:t>-0.71 ±0.31</w:t>
            </w:r>
          </w:p>
        </w:tc>
        <w:tc>
          <w:tcPr>
            <w:tcW w:w="797" w:type="dxa"/>
            <w:tcBorders>
              <w:top w:val="single" w:sz="4" w:space="0" w:color="auto"/>
              <w:left w:val="nil"/>
              <w:bottom w:val="nil"/>
              <w:right w:val="nil"/>
            </w:tcBorders>
            <w:vAlign w:val="center"/>
            <w:hideMark/>
          </w:tcPr>
          <w:p w14:paraId="5D6EB5F6" w14:textId="77777777" w:rsidR="00722B14" w:rsidRDefault="00722B14" w:rsidP="00DD3BAE">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14:paraId="7B477368" w14:textId="77777777" w:rsidR="00722B14" w:rsidRDefault="00722B14" w:rsidP="00DD3BAE">
            <w:pPr>
              <w:spacing w:before="0" w:after="0"/>
              <w:jc w:val="center"/>
              <w:rPr>
                <w:i/>
                <w:color w:val="000000"/>
                <w:sz w:val="16"/>
                <w:szCs w:val="16"/>
              </w:rPr>
            </w:pPr>
            <w:r>
              <w:rPr>
                <w:i/>
                <w:color w:val="000000"/>
                <w:sz w:val="16"/>
                <w:szCs w:val="16"/>
              </w:rPr>
              <w:t>-8.1 (-8.9 to -7.4)</w:t>
            </w:r>
          </w:p>
        </w:tc>
      </w:tr>
      <w:tr w:rsidR="00722B14" w14:paraId="6D9773FF" w14:textId="77777777" w:rsidTr="00DE79BD">
        <w:trPr>
          <w:cantSplit/>
          <w:trHeight w:val="227"/>
          <w:jc w:val="center"/>
        </w:trPr>
        <w:tc>
          <w:tcPr>
            <w:tcW w:w="1077" w:type="dxa"/>
            <w:vAlign w:val="center"/>
          </w:tcPr>
          <w:p w14:paraId="0BA196A3" w14:textId="77777777" w:rsidR="00722B14" w:rsidRDefault="00722B14" w:rsidP="00DD3BAE">
            <w:pPr>
              <w:spacing w:before="0" w:after="0"/>
              <w:jc w:val="center"/>
              <w:rPr>
                <w:color w:val="000000"/>
                <w:sz w:val="16"/>
                <w:szCs w:val="16"/>
              </w:rPr>
            </w:pPr>
          </w:p>
        </w:tc>
        <w:tc>
          <w:tcPr>
            <w:tcW w:w="1115" w:type="dxa"/>
            <w:noWrap/>
            <w:vAlign w:val="center"/>
            <w:hideMark/>
          </w:tcPr>
          <w:p w14:paraId="511CAF79"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5484A101" w14:textId="77777777" w:rsidR="00722B14" w:rsidRDefault="00722B14" w:rsidP="00DD3BAE">
            <w:pPr>
              <w:spacing w:before="0" w:after="0"/>
              <w:jc w:val="center"/>
              <w:rPr>
                <w:color w:val="000000"/>
                <w:sz w:val="16"/>
                <w:szCs w:val="16"/>
              </w:rPr>
            </w:pPr>
          </w:p>
        </w:tc>
        <w:tc>
          <w:tcPr>
            <w:tcW w:w="621" w:type="dxa"/>
            <w:vAlign w:val="center"/>
            <w:hideMark/>
          </w:tcPr>
          <w:p w14:paraId="7F217A5A"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425FCA7A" w14:textId="77777777" w:rsidR="00722B14" w:rsidRDefault="00722B14" w:rsidP="00DD3BAE">
            <w:pPr>
              <w:spacing w:before="0" w:after="0"/>
              <w:jc w:val="center"/>
              <w:rPr>
                <w:color w:val="000000"/>
                <w:sz w:val="16"/>
                <w:szCs w:val="16"/>
              </w:rPr>
            </w:pPr>
            <w:r>
              <w:rPr>
                <w:color w:val="000000"/>
                <w:sz w:val="16"/>
                <w:szCs w:val="16"/>
              </w:rPr>
              <w:t>40.83</w:t>
            </w:r>
          </w:p>
        </w:tc>
        <w:tc>
          <w:tcPr>
            <w:tcW w:w="661" w:type="dxa"/>
            <w:shd w:val="clear" w:color="auto" w:fill="CCFFCC"/>
            <w:vAlign w:val="center"/>
            <w:hideMark/>
          </w:tcPr>
          <w:p w14:paraId="6FE786DB" w14:textId="77777777" w:rsidR="00722B14" w:rsidRDefault="00722B14" w:rsidP="00DD3BAE">
            <w:pPr>
              <w:spacing w:before="0" w:after="0"/>
              <w:jc w:val="center"/>
              <w:rPr>
                <w:color w:val="000000"/>
                <w:sz w:val="16"/>
                <w:szCs w:val="16"/>
              </w:rPr>
            </w:pPr>
            <w:r>
              <w:rPr>
                <w:color w:val="000000"/>
                <w:sz w:val="16"/>
                <w:szCs w:val="16"/>
              </w:rPr>
              <w:t>17.64</w:t>
            </w:r>
          </w:p>
        </w:tc>
        <w:tc>
          <w:tcPr>
            <w:tcW w:w="1109" w:type="dxa"/>
            <w:shd w:val="clear" w:color="auto" w:fill="CCFFCC"/>
            <w:noWrap/>
            <w:vAlign w:val="center"/>
            <w:hideMark/>
          </w:tcPr>
          <w:p w14:paraId="202D65EA" w14:textId="77777777" w:rsidR="00722B14" w:rsidRDefault="00722B14" w:rsidP="00DD3BAE">
            <w:pPr>
              <w:spacing w:before="0" w:after="0"/>
              <w:jc w:val="center"/>
              <w:rPr>
                <w:color w:val="000000"/>
                <w:sz w:val="16"/>
                <w:szCs w:val="16"/>
              </w:rPr>
            </w:pPr>
            <w:r>
              <w:rPr>
                <w:color w:val="000000"/>
                <w:sz w:val="16"/>
                <w:szCs w:val="16"/>
              </w:rPr>
              <w:t>-6.71 ±0.11</w:t>
            </w:r>
          </w:p>
        </w:tc>
        <w:tc>
          <w:tcPr>
            <w:tcW w:w="1109" w:type="dxa"/>
            <w:vAlign w:val="center"/>
            <w:hideMark/>
          </w:tcPr>
          <w:p w14:paraId="08AB7A48" w14:textId="77777777" w:rsidR="00722B14" w:rsidRDefault="00722B14" w:rsidP="00DD3BAE">
            <w:pPr>
              <w:spacing w:before="0" w:after="0"/>
              <w:jc w:val="center"/>
              <w:rPr>
                <w:color w:val="000000"/>
                <w:sz w:val="16"/>
                <w:szCs w:val="16"/>
              </w:rPr>
            </w:pPr>
            <w:r>
              <w:rPr>
                <w:color w:val="000000"/>
                <w:sz w:val="16"/>
                <w:szCs w:val="16"/>
              </w:rPr>
              <w:t>-0.27 ±0.36</w:t>
            </w:r>
          </w:p>
        </w:tc>
        <w:tc>
          <w:tcPr>
            <w:tcW w:w="797" w:type="dxa"/>
            <w:vAlign w:val="center"/>
          </w:tcPr>
          <w:p w14:paraId="357EDF71" w14:textId="77777777" w:rsidR="00722B14" w:rsidRDefault="00722B14" w:rsidP="00DD3BAE">
            <w:pPr>
              <w:spacing w:before="0" w:after="0"/>
              <w:jc w:val="center"/>
              <w:rPr>
                <w:i/>
                <w:color w:val="000000"/>
                <w:sz w:val="16"/>
                <w:szCs w:val="16"/>
              </w:rPr>
            </w:pPr>
          </w:p>
        </w:tc>
        <w:tc>
          <w:tcPr>
            <w:tcW w:w="1557" w:type="dxa"/>
            <w:noWrap/>
            <w:vAlign w:val="center"/>
          </w:tcPr>
          <w:p w14:paraId="5F4ED03C" w14:textId="77777777" w:rsidR="00722B14" w:rsidRDefault="00722B14" w:rsidP="00DD3BAE">
            <w:pPr>
              <w:spacing w:before="0" w:after="0"/>
              <w:jc w:val="center"/>
              <w:rPr>
                <w:i/>
                <w:color w:val="000000"/>
                <w:sz w:val="16"/>
                <w:szCs w:val="16"/>
              </w:rPr>
            </w:pPr>
          </w:p>
        </w:tc>
      </w:tr>
      <w:tr w:rsidR="00722B14" w14:paraId="1AF53D2B" w14:textId="77777777" w:rsidTr="00DE79BD">
        <w:trPr>
          <w:cantSplit/>
          <w:trHeight w:val="227"/>
          <w:jc w:val="center"/>
        </w:trPr>
        <w:tc>
          <w:tcPr>
            <w:tcW w:w="1077" w:type="dxa"/>
            <w:vAlign w:val="center"/>
          </w:tcPr>
          <w:p w14:paraId="6649F48C" w14:textId="77777777" w:rsidR="00722B14" w:rsidRDefault="00722B14" w:rsidP="00DD3BAE">
            <w:pPr>
              <w:spacing w:before="0" w:after="0"/>
              <w:jc w:val="center"/>
              <w:rPr>
                <w:color w:val="000000"/>
                <w:sz w:val="16"/>
                <w:szCs w:val="16"/>
              </w:rPr>
            </w:pPr>
          </w:p>
        </w:tc>
        <w:tc>
          <w:tcPr>
            <w:tcW w:w="1115" w:type="dxa"/>
            <w:noWrap/>
            <w:vAlign w:val="center"/>
          </w:tcPr>
          <w:p w14:paraId="3E3782E4" w14:textId="77777777" w:rsidR="00722B14" w:rsidRDefault="00722B14" w:rsidP="00DD3BAE">
            <w:pPr>
              <w:spacing w:before="0" w:after="0"/>
              <w:jc w:val="center"/>
              <w:rPr>
                <w:color w:val="000000"/>
                <w:sz w:val="16"/>
                <w:szCs w:val="16"/>
              </w:rPr>
            </w:pPr>
          </w:p>
        </w:tc>
        <w:tc>
          <w:tcPr>
            <w:tcW w:w="789" w:type="dxa"/>
            <w:noWrap/>
            <w:vAlign w:val="center"/>
          </w:tcPr>
          <w:p w14:paraId="72A52B1C" w14:textId="77777777" w:rsidR="00722B14" w:rsidRDefault="00722B14" w:rsidP="00DD3BAE">
            <w:pPr>
              <w:spacing w:before="0" w:after="0"/>
              <w:jc w:val="center"/>
              <w:rPr>
                <w:color w:val="000000"/>
                <w:sz w:val="16"/>
                <w:szCs w:val="16"/>
              </w:rPr>
            </w:pPr>
          </w:p>
        </w:tc>
        <w:tc>
          <w:tcPr>
            <w:tcW w:w="621" w:type="dxa"/>
            <w:vAlign w:val="center"/>
            <w:hideMark/>
          </w:tcPr>
          <w:p w14:paraId="4573B98C"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03A20AC0" w14:textId="77777777" w:rsidR="00722B14" w:rsidRDefault="00722B14" w:rsidP="00DD3BAE">
            <w:pPr>
              <w:spacing w:before="0" w:after="0"/>
              <w:jc w:val="center"/>
              <w:rPr>
                <w:color w:val="000000"/>
                <w:sz w:val="16"/>
                <w:szCs w:val="16"/>
              </w:rPr>
            </w:pPr>
            <w:r>
              <w:rPr>
                <w:color w:val="000000"/>
                <w:sz w:val="16"/>
                <w:szCs w:val="16"/>
              </w:rPr>
              <w:t>39.96</w:t>
            </w:r>
          </w:p>
        </w:tc>
        <w:tc>
          <w:tcPr>
            <w:tcW w:w="661" w:type="dxa"/>
            <w:shd w:val="clear" w:color="auto" w:fill="CCFFCC"/>
            <w:vAlign w:val="center"/>
            <w:hideMark/>
          </w:tcPr>
          <w:p w14:paraId="7A8327E3" w14:textId="77777777" w:rsidR="00722B14" w:rsidRDefault="00722B14" w:rsidP="00DD3BAE">
            <w:pPr>
              <w:spacing w:before="0" w:after="0"/>
              <w:jc w:val="center"/>
              <w:rPr>
                <w:color w:val="000000"/>
                <w:sz w:val="16"/>
                <w:szCs w:val="16"/>
              </w:rPr>
            </w:pPr>
            <w:r>
              <w:rPr>
                <w:color w:val="000000"/>
                <w:sz w:val="16"/>
                <w:szCs w:val="16"/>
              </w:rPr>
              <w:t>18.35</w:t>
            </w:r>
          </w:p>
        </w:tc>
        <w:tc>
          <w:tcPr>
            <w:tcW w:w="1109" w:type="dxa"/>
            <w:shd w:val="clear" w:color="auto" w:fill="CCFFCC"/>
            <w:noWrap/>
            <w:vAlign w:val="center"/>
            <w:hideMark/>
          </w:tcPr>
          <w:p w14:paraId="149E1BE4" w14:textId="77777777" w:rsidR="00722B14" w:rsidRDefault="00722B14" w:rsidP="00DD3BAE">
            <w:pPr>
              <w:spacing w:before="0" w:after="0"/>
              <w:jc w:val="center"/>
              <w:rPr>
                <w:color w:val="000000"/>
                <w:sz w:val="16"/>
                <w:szCs w:val="16"/>
              </w:rPr>
            </w:pPr>
            <w:r>
              <w:rPr>
                <w:color w:val="000000"/>
                <w:sz w:val="16"/>
                <w:szCs w:val="16"/>
              </w:rPr>
              <w:t>-7.67 ±0.34</w:t>
            </w:r>
          </w:p>
        </w:tc>
        <w:tc>
          <w:tcPr>
            <w:tcW w:w="1109" w:type="dxa"/>
            <w:vAlign w:val="center"/>
            <w:hideMark/>
          </w:tcPr>
          <w:p w14:paraId="10A0A703" w14:textId="77777777" w:rsidR="00722B14" w:rsidRDefault="00722B14" w:rsidP="00DD3BAE">
            <w:pPr>
              <w:spacing w:before="0" w:after="0"/>
              <w:jc w:val="center"/>
              <w:rPr>
                <w:color w:val="000000"/>
                <w:sz w:val="16"/>
                <w:szCs w:val="16"/>
              </w:rPr>
            </w:pPr>
            <w:r>
              <w:rPr>
                <w:color w:val="000000"/>
                <w:sz w:val="16"/>
                <w:szCs w:val="16"/>
              </w:rPr>
              <w:t>0.76 ±0.89</w:t>
            </w:r>
          </w:p>
        </w:tc>
        <w:tc>
          <w:tcPr>
            <w:tcW w:w="797" w:type="dxa"/>
            <w:vAlign w:val="center"/>
          </w:tcPr>
          <w:p w14:paraId="7E33E5DE" w14:textId="77777777" w:rsidR="00722B14" w:rsidRDefault="00722B14" w:rsidP="00DD3BAE">
            <w:pPr>
              <w:spacing w:before="0" w:after="0"/>
              <w:jc w:val="center"/>
              <w:rPr>
                <w:i/>
                <w:color w:val="000000"/>
                <w:sz w:val="16"/>
                <w:szCs w:val="16"/>
              </w:rPr>
            </w:pPr>
          </w:p>
        </w:tc>
        <w:tc>
          <w:tcPr>
            <w:tcW w:w="1557" w:type="dxa"/>
            <w:noWrap/>
            <w:vAlign w:val="center"/>
          </w:tcPr>
          <w:p w14:paraId="2806764D" w14:textId="77777777" w:rsidR="00722B14" w:rsidRDefault="00722B14" w:rsidP="00DD3BAE">
            <w:pPr>
              <w:spacing w:before="0" w:after="0"/>
              <w:jc w:val="center"/>
              <w:rPr>
                <w:i/>
                <w:color w:val="000000"/>
                <w:sz w:val="16"/>
                <w:szCs w:val="16"/>
              </w:rPr>
            </w:pPr>
          </w:p>
        </w:tc>
      </w:tr>
      <w:tr w:rsidR="00722B14" w14:paraId="704D4BFB" w14:textId="77777777" w:rsidTr="00DE79BD">
        <w:trPr>
          <w:cantSplit/>
          <w:trHeight w:val="227"/>
          <w:jc w:val="center"/>
        </w:trPr>
        <w:tc>
          <w:tcPr>
            <w:tcW w:w="1077" w:type="dxa"/>
            <w:vAlign w:val="center"/>
          </w:tcPr>
          <w:p w14:paraId="4D386241" w14:textId="77777777" w:rsidR="00722B14" w:rsidRDefault="00722B14" w:rsidP="00DD3BAE">
            <w:pPr>
              <w:spacing w:before="0" w:after="0"/>
              <w:jc w:val="center"/>
              <w:rPr>
                <w:color w:val="000000"/>
                <w:sz w:val="16"/>
                <w:szCs w:val="16"/>
              </w:rPr>
            </w:pPr>
          </w:p>
        </w:tc>
        <w:tc>
          <w:tcPr>
            <w:tcW w:w="1115" w:type="dxa"/>
            <w:noWrap/>
            <w:vAlign w:val="center"/>
          </w:tcPr>
          <w:p w14:paraId="071E23F8"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2A569818"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571590A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715A6E5D" w14:textId="77777777" w:rsidR="00722B14" w:rsidRDefault="00722B14" w:rsidP="00DD3BAE">
            <w:pPr>
              <w:spacing w:before="0" w:after="0"/>
              <w:jc w:val="center"/>
              <w:rPr>
                <w:color w:val="000000"/>
                <w:sz w:val="16"/>
                <w:szCs w:val="16"/>
              </w:rPr>
            </w:pPr>
            <w:r>
              <w:rPr>
                <w:color w:val="000000"/>
                <w:sz w:val="16"/>
                <w:szCs w:val="16"/>
              </w:rPr>
              <w:t>42.10</w:t>
            </w:r>
          </w:p>
        </w:tc>
        <w:tc>
          <w:tcPr>
            <w:tcW w:w="661" w:type="dxa"/>
            <w:tcBorders>
              <w:top w:val="nil"/>
              <w:left w:val="nil"/>
              <w:right w:val="nil"/>
            </w:tcBorders>
            <w:vAlign w:val="center"/>
            <w:hideMark/>
          </w:tcPr>
          <w:p w14:paraId="3548EBFC" w14:textId="77777777" w:rsidR="00722B14" w:rsidRDefault="00722B14" w:rsidP="00DD3BAE">
            <w:pPr>
              <w:spacing w:before="0" w:after="0"/>
              <w:jc w:val="center"/>
              <w:rPr>
                <w:color w:val="000000"/>
                <w:sz w:val="16"/>
                <w:szCs w:val="16"/>
              </w:rPr>
            </w:pPr>
            <w:r>
              <w:rPr>
                <w:color w:val="000000"/>
                <w:sz w:val="16"/>
                <w:szCs w:val="16"/>
              </w:rPr>
              <w:t>20.27</w:t>
            </w:r>
          </w:p>
        </w:tc>
        <w:tc>
          <w:tcPr>
            <w:tcW w:w="1109" w:type="dxa"/>
            <w:tcBorders>
              <w:top w:val="nil"/>
              <w:left w:val="nil"/>
              <w:right w:val="nil"/>
            </w:tcBorders>
            <w:shd w:val="clear" w:color="auto" w:fill="CCFFCC"/>
            <w:noWrap/>
            <w:vAlign w:val="center"/>
            <w:hideMark/>
          </w:tcPr>
          <w:p w14:paraId="4991E250" w14:textId="77777777" w:rsidR="00722B14" w:rsidRDefault="00722B14" w:rsidP="00DD3BAE">
            <w:pPr>
              <w:spacing w:before="0" w:after="0"/>
              <w:jc w:val="center"/>
              <w:rPr>
                <w:color w:val="000000"/>
                <w:sz w:val="16"/>
                <w:szCs w:val="16"/>
              </w:rPr>
            </w:pPr>
            <w:r>
              <w:rPr>
                <w:color w:val="000000"/>
                <w:sz w:val="16"/>
                <w:szCs w:val="16"/>
              </w:rPr>
              <w:t>-7.59 ±0.13</w:t>
            </w:r>
          </w:p>
        </w:tc>
        <w:tc>
          <w:tcPr>
            <w:tcW w:w="1109" w:type="dxa"/>
            <w:tcBorders>
              <w:top w:val="nil"/>
              <w:left w:val="nil"/>
              <w:right w:val="nil"/>
            </w:tcBorders>
            <w:vAlign w:val="center"/>
            <w:hideMark/>
          </w:tcPr>
          <w:p w14:paraId="7CA3E0A4" w14:textId="77777777" w:rsidR="00722B14" w:rsidRDefault="00722B14" w:rsidP="00DD3BAE">
            <w:pPr>
              <w:spacing w:before="0" w:after="0"/>
              <w:jc w:val="center"/>
              <w:rPr>
                <w:color w:val="000000"/>
                <w:sz w:val="16"/>
                <w:szCs w:val="16"/>
              </w:rPr>
            </w:pPr>
            <w:r>
              <w:rPr>
                <w:color w:val="000000"/>
                <w:sz w:val="16"/>
                <w:szCs w:val="16"/>
              </w:rPr>
              <w:t>0.22 ±0.31</w:t>
            </w:r>
          </w:p>
        </w:tc>
        <w:tc>
          <w:tcPr>
            <w:tcW w:w="797" w:type="dxa"/>
            <w:tcBorders>
              <w:top w:val="nil"/>
              <w:left w:val="nil"/>
              <w:right w:val="nil"/>
            </w:tcBorders>
            <w:vAlign w:val="center"/>
          </w:tcPr>
          <w:p w14:paraId="35EDDBA8"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1107B0D" w14:textId="77777777" w:rsidR="00722B14" w:rsidRDefault="00722B14" w:rsidP="00DD3BAE">
            <w:pPr>
              <w:spacing w:before="0" w:after="0"/>
              <w:jc w:val="center"/>
              <w:rPr>
                <w:i/>
                <w:color w:val="000000"/>
                <w:sz w:val="16"/>
                <w:szCs w:val="16"/>
              </w:rPr>
            </w:pPr>
          </w:p>
        </w:tc>
      </w:tr>
      <w:tr w:rsidR="00722B14" w14:paraId="44D55869" w14:textId="77777777" w:rsidTr="00DE79BD">
        <w:trPr>
          <w:cantSplit/>
          <w:trHeight w:val="227"/>
          <w:jc w:val="center"/>
        </w:trPr>
        <w:tc>
          <w:tcPr>
            <w:tcW w:w="1077" w:type="dxa"/>
            <w:tcBorders>
              <w:top w:val="nil"/>
              <w:left w:val="nil"/>
              <w:right w:val="nil"/>
            </w:tcBorders>
            <w:shd w:val="clear" w:color="auto" w:fill="auto"/>
            <w:vAlign w:val="center"/>
          </w:tcPr>
          <w:p w14:paraId="6068C71B"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2EAB43FB"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7B5BC09B"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09F90501"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3141B33B" w14:textId="77777777" w:rsidR="00722B14" w:rsidRPr="007C770B" w:rsidRDefault="00722B14" w:rsidP="00DD3BAE">
            <w:pPr>
              <w:spacing w:before="0" w:after="0"/>
              <w:jc w:val="center"/>
              <w:rPr>
                <w:color w:val="000000"/>
                <w:sz w:val="16"/>
                <w:szCs w:val="16"/>
              </w:rPr>
            </w:pPr>
            <w:r w:rsidRPr="007C770B">
              <w:rPr>
                <w:color w:val="000000"/>
                <w:sz w:val="16"/>
                <w:szCs w:val="16"/>
              </w:rPr>
              <w:t>42.98</w:t>
            </w:r>
          </w:p>
        </w:tc>
        <w:tc>
          <w:tcPr>
            <w:tcW w:w="661" w:type="dxa"/>
            <w:tcBorders>
              <w:top w:val="nil"/>
              <w:left w:val="nil"/>
              <w:right w:val="nil"/>
            </w:tcBorders>
            <w:shd w:val="clear" w:color="auto" w:fill="CCFFCC"/>
            <w:vAlign w:val="center"/>
          </w:tcPr>
          <w:p w14:paraId="4085BD4B" w14:textId="77777777" w:rsidR="00722B14" w:rsidRPr="007C770B" w:rsidRDefault="00722B14" w:rsidP="00DD3BAE">
            <w:pPr>
              <w:spacing w:before="0" w:after="0"/>
              <w:jc w:val="center"/>
              <w:rPr>
                <w:color w:val="000000"/>
                <w:sz w:val="16"/>
                <w:szCs w:val="16"/>
              </w:rPr>
            </w:pPr>
            <w:r w:rsidRPr="007C770B">
              <w:rPr>
                <w:color w:val="000000"/>
                <w:sz w:val="16"/>
                <w:szCs w:val="16"/>
              </w:rPr>
              <w:t>17.23</w:t>
            </w:r>
          </w:p>
        </w:tc>
        <w:tc>
          <w:tcPr>
            <w:tcW w:w="1109" w:type="dxa"/>
            <w:tcBorders>
              <w:top w:val="nil"/>
              <w:left w:val="nil"/>
              <w:right w:val="nil"/>
            </w:tcBorders>
            <w:shd w:val="clear" w:color="auto" w:fill="CCFFCC"/>
            <w:noWrap/>
            <w:vAlign w:val="center"/>
          </w:tcPr>
          <w:p w14:paraId="65BBBE6F" w14:textId="77777777" w:rsidR="00722B14" w:rsidRPr="007C770B" w:rsidRDefault="00722B14" w:rsidP="00DD3BAE">
            <w:pPr>
              <w:spacing w:before="0" w:after="0"/>
              <w:jc w:val="center"/>
              <w:rPr>
                <w:color w:val="000000"/>
                <w:sz w:val="16"/>
                <w:szCs w:val="16"/>
              </w:rPr>
            </w:pPr>
            <w:r w:rsidRPr="007C770B">
              <w:rPr>
                <w:color w:val="000000"/>
                <w:sz w:val="16"/>
                <w:szCs w:val="16"/>
              </w:rPr>
              <w:t>-7.74 ±0.07</w:t>
            </w:r>
          </w:p>
        </w:tc>
        <w:tc>
          <w:tcPr>
            <w:tcW w:w="1109" w:type="dxa"/>
            <w:tcBorders>
              <w:top w:val="nil"/>
              <w:left w:val="nil"/>
              <w:right w:val="nil"/>
            </w:tcBorders>
            <w:shd w:val="clear" w:color="auto" w:fill="auto"/>
            <w:vAlign w:val="center"/>
          </w:tcPr>
          <w:p w14:paraId="6E85A082" w14:textId="77777777" w:rsidR="00722B14" w:rsidRPr="007C770B" w:rsidRDefault="00722B14" w:rsidP="00DD3BAE">
            <w:pPr>
              <w:spacing w:before="0" w:after="0"/>
              <w:jc w:val="center"/>
              <w:rPr>
                <w:color w:val="000000"/>
                <w:sz w:val="16"/>
                <w:szCs w:val="16"/>
              </w:rPr>
            </w:pPr>
            <w:r w:rsidRPr="007C770B">
              <w:rPr>
                <w:color w:val="000000"/>
                <w:sz w:val="16"/>
                <w:szCs w:val="16"/>
              </w:rPr>
              <w:t>0.9 ±0.43</w:t>
            </w:r>
          </w:p>
        </w:tc>
        <w:tc>
          <w:tcPr>
            <w:tcW w:w="797" w:type="dxa"/>
            <w:tcBorders>
              <w:top w:val="nil"/>
              <w:left w:val="nil"/>
              <w:right w:val="nil"/>
            </w:tcBorders>
            <w:shd w:val="clear" w:color="auto" w:fill="auto"/>
            <w:vAlign w:val="center"/>
          </w:tcPr>
          <w:p w14:paraId="176B828E"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127C47A6" w14:textId="77777777" w:rsidR="00722B14" w:rsidRDefault="00722B14" w:rsidP="00DD3BAE">
            <w:pPr>
              <w:spacing w:before="0" w:after="0"/>
              <w:jc w:val="center"/>
              <w:rPr>
                <w:i/>
                <w:color w:val="000000"/>
                <w:sz w:val="16"/>
                <w:szCs w:val="16"/>
              </w:rPr>
            </w:pPr>
          </w:p>
        </w:tc>
      </w:tr>
      <w:tr w:rsidR="00722B14" w14:paraId="4164B500" w14:textId="77777777" w:rsidTr="00DE79BD">
        <w:trPr>
          <w:cantSplit/>
          <w:trHeight w:val="227"/>
          <w:jc w:val="center"/>
        </w:trPr>
        <w:tc>
          <w:tcPr>
            <w:tcW w:w="1077" w:type="dxa"/>
            <w:tcBorders>
              <w:left w:val="nil"/>
              <w:right w:val="nil"/>
            </w:tcBorders>
            <w:shd w:val="clear" w:color="auto" w:fill="auto"/>
            <w:vAlign w:val="bottom"/>
          </w:tcPr>
          <w:p w14:paraId="47AD9B52"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bottom"/>
          </w:tcPr>
          <w:p w14:paraId="6A2C7732"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46E5B445"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7541A59D"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727B5D1C" w14:textId="77777777" w:rsidR="00722B14" w:rsidRPr="00AC7F15" w:rsidRDefault="00722B14" w:rsidP="00DD3BAE">
            <w:pPr>
              <w:spacing w:before="0" w:after="0"/>
              <w:jc w:val="center"/>
              <w:rPr>
                <w:color w:val="000000"/>
                <w:sz w:val="16"/>
                <w:szCs w:val="16"/>
              </w:rPr>
            </w:pPr>
            <w:r w:rsidRPr="00AC7F15">
              <w:rPr>
                <w:color w:val="000000"/>
                <w:sz w:val="16"/>
                <w:szCs w:val="16"/>
              </w:rPr>
              <w:t>42.31</w:t>
            </w:r>
          </w:p>
        </w:tc>
        <w:tc>
          <w:tcPr>
            <w:tcW w:w="661" w:type="dxa"/>
            <w:tcBorders>
              <w:left w:val="nil"/>
              <w:bottom w:val="single" w:sz="4" w:space="0" w:color="auto"/>
              <w:right w:val="nil"/>
            </w:tcBorders>
            <w:shd w:val="clear" w:color="auto" w:fill="CCFFCC"/>
            <w:vAlign w:val="center"/>
          </w:tcPr>
          <w:p w14:paraId="01AFFCBA" w14:textId="77777777" w:rsidR="00722B14" w:rsidRPr="00AC7F15" w:rsidRDefault="00722B14" w:rsidP="00DD3BAE">
            <w:pPr>
              <w:spacing w:before="0" w:after="0"/>
              <w:jc w:val="center"/>
              <w:rPr>
                <w:color w:val="000000"/>
                <w:sz w:val="16"/>
                <w:szCs w:val="16"/>
              </w:rPr>
            </w:pPr>
            <w:r>
              <w:rPr>
                <w:color w:val="000000"/>
                <w:sz w:val="16"/>
                <w:szCs w:val="16"/>
              </w:rPr>
              <w:t>17.36</w:t>
            </w:r>
          </w:p>
        </w:tc>
        <w:tc>
          <w:tcPr>
            <w:tcW w:w="1109" w:type="dxa"/>
            <w:tcBorders>
              <w:left w:val="nil"/>
              <w:bottom w:val="single" w:sz="4" w:space="0" w:color="auto"/>
              <w:right w:val="nil"/>
            </w:tcBorders>
            <w:shd w:val="clear" w:color="auto" w:fill="auto"/>
            <w:noWrap/>
            <w:vAlign w:val="center"/>
          </w:tcPr>
          <w:p w14:paraId="577F214B" w14:textId="77777777" w:rsidR="00722B14" w:rsidRPr="00AC7F15" w:rsidRDefault="00722B14" w:rsidP="00DD3BAE">
            <w:pPr>
              <w:spacing w:before="0" w:after="0"/>
              <w:jc w:val="center"/>
              <w:rPr>
                <w:color w:val="000000"/>
                <w:sz w:val="16"/>
                <w:szCs w:val="16"/>
              </w:rPr>
            </w:pPr>
            <w:r w:rsidRPr="00AC7F15">
              <w:rPr>
                <w:color w:val="000000"/>
                <w:sz w:val="16"/>
                <w:szCs w:val="16"/>
              </w:rPr>
              <w:t>-7.44 ±0.06</w:t>
            </w:r>
          </w:p>
        </w:tc>
        <w:tc>
          <w:tcPr>
            <w:tcW w:w="1109" w:type="dxa"/>
            <w:tcBorders>
              <w:left w:val="nil"/>
              <w:bottom w:val="single" w:sz="4" w:space="0" w:color="auto"/>
              <w:right w:val="nil"/>
            </w:tcBorders>
            <w:shd w:val="clear" w:color="auto" w:fill="auto"/>
            <w:vAlign w:val="center"/>
          </w:tcPr>
          <w:p w14:paraId="432D1D27" w14:textId="77777777" w:rsidR="00722B14" w:rsidRPr="00AC7F15" w:rsidRDefault="00722B14" w:rsidP="00DD3BAE">
            <w:pPr>
              <w:spacing w:before="0" w:after="0"/>
              <w:jc w:val="center"/>
              <w:rPr>
                <w:color w:val="000000"/>
                <w:sz w:val="16"/>
                <w:szCs w:val="16"/>
              </w:rPr>
            </w:pPr>
            <w:r w:rsidRPr="00AC7F15">
              <w:rPr>
                <w:color w:val="000000"/>
                <w:sz w:val="16"/>
                <w:szCs w:val="16"/>
              </w:rPr>
              <w:t>0.12 ±0.29</w:t>
            </w:r>
          </w:p>
        </w:tc>
        <w:tc>
          <w:tcPr>
            <w:tcW w:w="797" w:type="dxa"/>
            <w:tcBorders>
              <w:left w:val="nil"/>
              <w:bottom w:val="single" w:sz="4" w:space="0" w:color="auto"/>
              <w:right w:val="nil"/>
            </w:tcBorders>
            <w:shd w:val="clear" w:color="auto" w:fill="auto"/>
            <w:vAlign w:val="center"/>
          </w:tcPr>
          <w:p w14:paraId="34C44905"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9321536" w14:textId="77777777" w:rsidR="00722B14" w:rsidRDefault="00722B14" w:rsidP="00DD3BAE">
            <w:pPr>
              <w:spacing w:before="0" w:after="0"/>
              <w:jc w:val="center"/>
              <w:rPr>
                <w:i/>
                <w:color w:val="000000"/>
                <w:sz w:val="16"/>
                <w:szCs w:val="16"/>
              </w:rPr>
            </w:pPr>
          </w:p>
        </w:tc>
      </w:tr>
      <w:tr w:rsidR="00722B14" w14:paraId="177A4F6E" w14:textId="77777777" w:rsidTr="00DE79BD">
        <w:trPr>
          <w:cantSplit/>
          <w:trHeight w:val="227"/>
          <w:jc w:val="center"/>
        </w:trPr>
        <w:tc>
          <w:tcPr>
            <w:tcW w:w="1077" w:type="dxa"/>
            <w:vAlign w:val="center"/>
          </w:tcPr>
          <w:p w14:paraId="4F80888E" w14:textId="77777777" w:rsidR="00722B14" w:rsidRDefault="00722B14" w:rsidP="00DD3BAE">
            <w:pPr>
              <w:spacing w:before="0" w:after="0"/>
              <w:jc w:val="center"/>
              <w:rPr>
                <w:color w:val="000000"/>
                <w:sz w:val="16"/>
                <w:szCs w:val="16"/>
              </w:rPr>
            </w:pPr>
          </w:p>
        </w:tc>
        <w:tc>
          <w:tcPr>
            <w:tcW w:w="1115" w:type="dxa"/>
            <w:noWrap/>
            <w:vAlign w:val="center"/>
          </w:tcPr>
          <w:p w14:paraId="11039B56"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526AED5C" w14:textId="77777777" w:rsidR="00722B14" w:rsidRDefault="00722B14" w:rsidP="00DD3BAE">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6B20C852"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63B1F330" w14:textId="77777777" w:rsidR="00722B14" w:rsidRDefault="00722B14" w:rsidP="00DD3BAE">
            <w:pPr>
              <w:spacing w:before="0" w:after="0"/>
              <w:jc w:val="center"/>
              <w:rPr>
                <w:color w:val="000000"/>
                <w:sz w:val="16"/>
                <w:szCs w:val="16"/>
              </w:rPr>
            </w:pPr>
            <w:r>
              <w:rPr>
                <w:color w:val="000000"/>
                <w:sz w:val="16"/>
                <w:szCs w:val="16"/>
              </w:rPr>
              <w:t>41.81</w:t>
            </w:r>
          </w:p>
        </w:tc>
        <w:tc>
          <w:tcPr>
            <w:tcW w:w="661" w:type="dxa"/>
            <w:tcBorders>
              <w:top w:val="single" w:sz="4" w:space="0" w:color="auto"/>
              <w:left w:val="nil"/>
              <w:bottom w:val="nil"/>
              <w:right w:val="nil"/>
            </w:tcBorders>
            <w:vAlign w:val="center"/>
            <w:hideMark/>
          </w:tcPr>
          <w:p w14:paraId="3CCB6CF4" w14:textId="77777777" w:rsidR="00722B14" w:rsidRDefault="00722B14" w:rsidP="00DD3BAE">
            <w:pPr>
              <w:spacing w:before="0" w:after="0"/>
              <w:jc w:val="center"/>
              <w:rPr>
                <w:color w:val="000000"/>
                <w:sz w:val="16"/>
                <w:szCs w:val="16"/>
              </w:rPr>
            </w:pPr>
            <w:r>
              <w:rPr>
                <w:color w:val="000000"/>
                <w:sz w:val="16"/>
                <w:szCs w:val="16"/>
              </w:rPr>
              <w:t>22.61</w:t>
            </w:r>
          </w:p>
        </w:tc>
        <w:tc>
          <w:tcPr>
            <w:tcW w:w="1109" w:type="dxa"/>
            <w:tcBorders>
              <w:top w:val="single" w:sz="4" w:space="0" w:color="auto"/>
              <w:left w:val="nil"/>
              <w:bottom w:val="nil"/>
              <w:right w:val="nil"/>
            </w:tcBorders>
            <w:shd w:val="clear" w:color="auto" w:fill="CCFFCC"/>
            <w:noWrap/>
            <w:vAlign w:val="center"/>
            <w:hideMark/>
          </w:tcPr>
          <w:p w14:paraId="631F916C" w14:textId="77777777" w:rsidR="00722B14" w:rsidRDefault="00722B14" w:rsidP="00DD3BAE">
            <w:pPr>
              <w:spacing w:before="0" w:after="0"/>
              <w:jc w:val="center"/>
              <w:rPr>
                <w:color w:val="000000"/>
                <w:sz w:val="16"/>
                <w:szCs w:val="16"/>
              </w:rPr>
            </w:pPr>
            <w:r>
              <w:rPr>
                <w:color w:val="000000"/>
                <w:sz w:val="16"/>
                <w:szCs w:val="16"/>
              </w:rPr>
              <w:t>-10.63 ±0.07</w:t>
            </w:r>
          </w:p>
        </w:tc>
        <w:tc>
          <w:tcPr>
            <w:tcW w:w="1109" w:type="dxa"/>
            <w:tcBorders>
              <w:top w:val="single" w:sz="4" w:space="0" w:color="auto"/>
              <w:left w:val="nil"/>
              <w:bottom w:val="nil"/>
              <w:right w:val="nil"/>
            </w:tcBorders>
            <w:vAlign w:val="center"/>
            <w:hideMark/>
          </w:tcPr>
          <w:p w14:paraId="4D1AD2B2" w14:textId="77777777" w:rsidR="00722B14" w:rsidRDefault="00722B14" w:rsidP="00DD3BAE">
            <w:pPr>
              <w:spacing w:before="0" w:after="0"/>
              <w:jc w:val="center"/>
              <w:rPr>
                <w:color w:val="000000"/>
                <w:sz w:val="16"/>
                <w:szCs w:val="16"/>
              </w:rPr>
            </w:pPr>
            <w:r>
              <w:rPr>
                <w:color w:val="000000"/>
                <w:sz w:val="16"/>
                <w:szCs w:val="16"/>
              </w:rPr>
              <w:t>3.64 ±0.22</w:t>
            </w:r>
          </w:p>
        </w:tc>
        <w:tc>
          <w:tcPr>
            <w:tcW w:w="797" w:type="dxa"/>
            <w:tcBorders>
              <w:top w:val="single" w:sz="4" w:space="0" w:color="auto"/>
              <w:left w:val="nil"/>
              <w:bottom w:val="nil"/>
              <w:right w:val="nil"/>
            </w:tcBorders>
            <w:vAlign w:val="center"/>
            <w:hideMark/>
          </w:tcPr>
          <w:p w14:paraId="1911D72D" w14:textId="77777777" w:rsidR="00722B14" w:rsidRDefault="00722B14" w:rsidP="00DD3BAE">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5C788B06" w14:textId="77777777" w:rsidR="00722B14" w:rsidRDefault="00722B14" w:rsidP="00DD3BAE">
            <w:pPr>
              <w:spacing w:before="0" w:after="0"/>
              <w:jc w:val="center"/>
              <w:rPr>
                <w:i/>
                <w:color w:val="000000"/>
                <w:sz w:val="16"/>
                <w:szCs w:val="16"/>
              </w:rPr>
            </w:pPr>
            <w:r>
              <w:rPr>
                <w:i/>
                <w:color w:val="000000"/>
                <w:sz w:val="16"/>
                <w:szCs w:val="16"/>
              </w:rPr>
              <w:t>-10.7 (-12.4 to -8.0)</w:t>
            </w:r>
          </w:p>
        </w:tc>
      </w:tr>
      <w:tr w:rsidR="00722B14" w14:paraId="5518B2EF" w14:textId="77777777" w:rsidTr="00DE79BD">
        <w:trPr>
          <w:cantSplit/>
          <w:trHeight w:val="227"/>
          <w:jc w:val="center"/>
        </w:trPr>
        <w:tc>
          <w:tcPr>
            <w:tcW w:w="1077" w:type="dxa"/>
            <w:vAlign w:val="center"/>
          </w:tcPr>
          <w:p w14:paraId="4A45F82A" w14:textId="77777777" w:rsidR="00722B14" w:rsidRDefault="00722B14" w:rsidP="00DD3BAE">
            <w:pPr>
              <w:spacing w:before="0" w:after="0"/>
              <w:jc w:val="center"/>
              <w:rPr>
                <w:color w:val="000000"/>
                <w:sz w:val="16"/>
                <w:szCs w:val="16"/>
              </w:rPr>
            </w:pPr>
          </w:p>
        </w:tc>
        <w:tc>
          <w:tcPr>
            <w:tcW w:w="1115" w:type="dxa"/>
            <w:noWrap/>
            <w:vAlign w:val="center"/>
          </w:tcPr>
          <w:p w14:paraId="794E4EDA"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4C33FB1A"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013502AB"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69B41503" w14:textId="77777777" w:rsidR="00722B14" w:rsidRDefault="00722B14" w:rsidP="00DD3BAE">
            <w:pPr>
              <w:spacing w:before="0" w:after="0"/>
              <w:jc w:val="center"/>
              <w:rPr>
                <w:color w:val="000000"/>
                <w:sz w:val="16"/>
                <w:szCs w:val="16"/>
              </w:rPr>
            </w:pPr>
            <w:r>
              <w:rPr>
                <w:color w:val="000000"/>
                <w:sz w:val="16"/>
                <w:szCs w:val="16"/>
              </w:rPr>
              <w:t>42.15</w:t>
            </w:r>
          </w:p>
        </w:tc>
        <w:tc>
          <w:tcPr>
            <w:tcW w:w="661" w:type="dxa"/>
            <w:tcBorders>
              <w:top w:val="nil"/>
              <w:left w:val="nil"/>
              <w:right w:val="nil"/>
            </w:tcBorders>
            <w:vAlign w:val="center"/>
            <w:hideMark/>
          </w:tcPr>
          <w:p w14:paraId="3C970B74" w14:textId="77777777" w:rsidR="00722B14" w:rsidRDefault="00722B14" w:rsidP="00DD3BAE">
            <w:pPr>
              <w:spacing w:before="0" w:after="0"/>
              <w:jc w:val="center"/>
              <w:rPr>
                <w:color w:val="000000"/>
                <w:sz w:val="16"/>
                <w:szCs w:val="16"/>
              </w:rPr>
            </w:pPr>
            <w:r>
              <w:rPr>
                <w:color w:val="000000"/>
                <w:sz w:val="16"/>
                <w:szCs w:val="16"/>
              </w:rPr>
              <w:t>21.61</w:t>
            </w:r>
          </w:p>
        </w:tc>
        <w:tc>
          <w:tcPr>
            <w:tcW w:w="1109" w:type="dxa"/>
            <w:tcBorders>
              <w:top w:val="nil"/>
              <w:left w:val="nil"/>
              <w:right w:val="nil"/>
            </w:tcBorders>
            <w:shd w:val="clear" w:color="auto" w:fill="CCFFCC"/>
            <w:noWrap/>
            <w:vAlign w:val="center"/>
            <w:hideMark/>
          </w:tcPr>
          <w:p w14:paraId="099F2DA5" w14:textId="77777777" w:rsidR="00722B14" w:rsidRDefault="00722B14" w:rsidP="00DD3BAE">
            <w:pPr>
              <w:spacing w:before="0" w:after="0"/>
              <w:jc w:val="center"/>
              <w:rPr>
                <w:color w:val="000000"/>
                <w:sz w:val="16"/>
                <w:szCs w:val="16"/>
              </w:rPr>
            </w:pPr>
            <w:r>
              <w:rPr>
                <w:color w:val="000000"/>
                <w:sz w:val="16"/>
                <w:szCs w:val="16"/>
              </w:rPr>
              <w:t>-9.10 ±0.02</w:t>
            </w:r>
          </w:p>
        </w:tc>
        <w:tc>
          <w:tcPr>
            <w:tcW w:w="1109" w:type="dxa"/>
            <w:tcBorders>
              <w:top w:val="nil"/>
              <w:left w:val="nil"/>
              <w:right w:val="nil"/>
            </w:tcBorders>
            <w:vAlign w:val="center"/>
            <w:hideMark/>
          </w:tcPr>
          <w:p w14:paraId="3AA6D7E0" w14:textId="77777777" w:rsidR="00722B14" w:rsidRDefault="00722B14" w:rsidP="00DD3BAE">
            <w:pPr>
              <w:spacing w:before="0" w:after="0"/>
              <w:jc w:val="center"/>
              <w:rPr>
                <w:color w:val="000000"/>
                <w:sz w:val="16"/>
                <w:szCs w:val="16"/>
              </w:rPr>
            </w:pPr>
            <w:r>
              <w:rPr>
                <w:color w:val="000000"/>
                <w:sz w:val="16"/>
                <w:szCs w:val="16"/>
              </w:rPr>
              <w:t>1.97 ±0.09</w:t>
            </w:r>
          </w:p>
        </w:tc>
        <w:tc>
          <w:tcPr>
            <w:tcW w:w="797" w:type="dxa"/>
            <w:tcBorders>
              <w:top w:val="nil"/>
              <w:left w:val="nil"/>
              <w:right w:val="nil"/>
            </w:tcBorders>
            <w:vAlign w:val="center"/>
          </w:tcPr>
          <w:p w14:paraId="2DB48A69"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22EB66A" w14:textId="77777777" w:rsidR="00722B14" w:rsidRDefault="00722B14" w:rsidP="00DD3BAE">
            <w:pPr>
              <w:spacing w:before="0" w:after="0"/>
              <w:jc w:val="center"/>
              <w:rPr>
                <w:i/>
                <w:color w:val="000000"/>
                <w:sz w:val="16"/>
                <w:szCs w:val="16"/>
              </w:rPr>
            </w:pPr>
          </w:p>
        </w:tc>
      </w:tr>
      <w:tr w:rsidR="00722B14" w14:paraId="0FD90E49" w14:textId="77777777" w:rsidTr="00DE79BD">
        <w:trPr>
          <w:cantSplit/>
          <w:trHeight w:val="227"/>
          <w:jc w:val="center"/>
        </w:trPr>
        <w:tc>
          <w:tcPr>
            <w:tcW w:w="1077" w:type="dxa"/>
            <w:tcBorders>
              <w:top w:val="nil"/>
              <w:left w:val="nil"/>
              <w:bottom w:val="nil"/>
              <w:right w:val="nil"/>
            </w:tcBorders>
            <w:shd w:val="clear" w:color="auto" w:fill="auto"/>
            <w:vAlign w:val="bottom"/>
          </w:tcPr>
          <w:p w14:paraId="2F955E08"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10453645"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4A3FB4FB"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090ED8B4"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center"/>
          </w:tcPr>
          <w:p w14:paraId="199C2ADD" w14:textId="77777777" w:rsidR="00722B14" w:rsidRPr="007C770B" w:rsidRDefault="00722B14" w:rsidP="00DD3BAE">
            <w:pPr>
              <w:spacing w:before="0" w:after="0"/>
              <w:jc w:val="center"/>
              <w:rPr>
                <w:color w:val="000000"/>
                <w:sz w:val="16"/>
                <w:szCs w:val="16"/>
              </w:rPr>
            </w:pPr>
            <w:r w:rsidRPr="007C770B">
              <w:rPr>
                <w:color w:val="000000"/>
                <w:sz w:val="16"/>
                <w:szCs w:val="16"/>
              </w:rPr>
              <w:t>42.38</w:t>
            </w:r>
          </w:p>
        </w:tc>
        <w:tc>
          <w:tcPr>
            <w:tcW w:w="661" w:type="dxa"/>
            <w:tcBorders>
              <w:top w:val="nil"/>
              <w:left w:val="nil"/>
              <w:bottom w:val="nil"/>
              <w:right w:val="nil"/>
            </w:tcBorders>
            <w:shd w:val="clear" w:color="auto" w:fill="auto"/>
            <w:vAlign w:val="center"/>
          </w:tcPr>
          <w:p w14:paraId="17251FFA" w14:textId="77777777" w:rsidR="00722B14" w:rsidRPr="007C770B" w:rsidRDefault="00722B14" w:rsidP="00DD3BAE">
            <w:pPr>
              <w:spacing w:before="0" w:after="0"/>
              <w:jc w:val="center"/>
              <w:rPr>
                <w:color w:val="000000"/>
                <w:sz w:val="16"/>
                <w:szCs w:val="16"/>
              </w:rPr>
            </w:pPr>
            <w:r w:rsidRPr="007C770B">
              <w:rPr>
                <w:color w:val="000000"/>
                <w:sz w:val="16"/>
                <w:szCs w:val="16"/>
              </w:rPr>
              <w:t>22.30</w:t>
            </w:r>
          </w:p>
        </w:tc>
        <w:tc>
          <w:tcPr>
            <w:tcW w:w="1109" w:type="dxa"/>
            <w:tcBorders>
              <w:top w:val="nil"/>
              <w:left w:val="nil"/>
              <w:bottom w:val="nil"/>
              <w:right w:val="nil"/>
            </w:tcBorders>
            <w:shd w:val="clear" w:color="auto" w:fill="CCFFCC"/>
            <w:noWrap/>
            <w:vAlign w:val="center"/>
          </w:tcPr>
          <w:p w14:paraId="06487C6F" w14:textId="77777777" w:rsidR="00722B14" w:rsidRPr="007C770B" w:rsidRDefault="00722B14" w:rsidP="00DD3BAE">
            <w:pPr>
              <w:spacing w:before="0" w:after="0"/>
              <w:jc w:val="center"/>
              <w:rPr>
                <w:color w:val="000000"/>
                <w:sz w:val="16"/>
                <w:szCs w:val="16"/>
              </w:rPr>
            </w:pPr>
            <w:r w:rsidRPr="007C770B">
              <w:rPr>
                <w:color w:val="000000"/>
                <w:sz w:val="16"/>
                <w:szCs w:val="16"/>
              </w:rPr>
              <w:t>-7.2 ±0.86</w:t>
            </w:r>
          </w:p>
        </w:tc>
        <w:tc>
          <w:tcPr>
            <w:tcW w:w="1109" w:type="dxa"/>
            <w:tcBorders>
              <w:top w:val="nil"/>
              <w:left w:val="nil"/>
              <w:bottom w:val="nil"/>
              <w:right w:val="nil"/>
            </w:tcBorders>
            <w:shd w:val="clear" w:color="auto" w:fill="auto"/>
            <w:vAlign w:val="center"/>
          </w:tcPr>
          <w:p w14:paraId="25DA7429" w14:textId="77777777" w:rsidR="00722B14" w:rsidRPr="007C770B" w:rsidRDefault="00722B14" w:rsidP="00DD3BAE">
            <w:pPr>
              <w:spacing w:before="0" w:after="0"/>
              <w:jc w:val="center"/>
              <w:rPr>
                <w:color w:val="000000"/>
                <w:sz w:val="16"/>
                <w:szCs w:val="16"/>
              </w:rPr>
            </w:pPr>
            <w:r w:rsidRPr="007C770B">
              <w:rPr>
                <w:color w:val="000000"/>
                <w:sz w:val="16"/>
                <w:szCs w:val="16"/>
              </w:rPr>
              <w:t>0.54 ±0.07</w:t>
            </w:r>
          </w:p>
        </w:tc>
        <w:tc>
          <w:tcPr>
            <w:tcW w:w="797" w:type="dxa"/>
            <w:tcBorders>
              <w:top w:val="nil"/>
              <w:left w:val="nil"/>
              <w:bottom w:val="nil"/>
              <w:right w:val="nil"/>
            </w:tcBorders>
            <w:shd w:val="clear" w:color="auto" w:fill="auto"/>
            <w:vAlign w:val="center"/>
          </w:tcPr>
          <w:p w14:paraId="48A70776"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4AD6070B" w14:textId="77777777" w:rsidR="00722B14" w:rsidRDefault="00722B14" w:rsidP="00DD3BAE">
            <w:pPr>
              <w:spacing w:before="0" w:after="0"/>
              <w:jc w:val="center"/>
              <w:rPr>
                <w:i/>
                <w:color w:val="000000"/>
                <w:sz w:val="16"/>
                <w:szCs w:val="16"/>
              </w:rPr>
            </w:pPr>
          </w:p>
        </w:tc>
      </w:tr>
      <w:tr w:rsidR="00722B14" w14:paraId="519602F3" w14:textId="77777777" w:rsidTr="00DE79BD">
        <w:trPr>
          <w:cantSplit/>
          <w:trHeight w:val="227"/>
          <w:jc w:val="center"/>
        </w:trPr>
        <w:tc>
          <w:tcPr>
            <w:tcW w:w="1077" w:type="dxa"/>
            <w:vAlign w:val="center"/>
          </w:tcPr>
          <w:p w14:paraId="1505BF78" w14:textId="77777777" w:rsidR="00722B14" w:rsidRDefault="00722B14" w:rsidP="00DD3BAE">
            <w:pPr>
              <w:spacing w:before="0" w:after="0"/>
              <w:jc w:val="center"/>
              <w:rPr>
                <w:color w:val="000000"/>
                <w:sz w:val="16"/>
                <w:szCs w:val="16"/>
              </w:rPr>
            </w:pPr>
          </w:p>
        </w:tc>
        <w:tc>
          <w:tcPr>
            <w:tcW w:w="1115" w:type="dxa"/>
            <w:noWrap/>
            <w:vAlign w:val="center"/>
          </w:tcPr>
          <w:p w14:paraId="188F13DF"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3FA0B1B"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6A88F461" w14:textId="77777777" w:rsidR="00722B14" w:rsidRDefault="00722B14" w:rsidP="00DD3BAE">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23142AD2" w14:textId="77777777" w:rsidR="00722B14" w:rsidRDefault="00722B14" w:rsidP="00DD3BAE">
            <w:pPr>
              <w:spacing w:before="0" w:after="0"/>
              <w:jc w:val="center"/>
              <w:rPr>
                <w:color w:val="000000"/>
                <w:sz w:val="16"/>
                <w:szCs w:val="16"/>
              </w:rPr>
            </w:pPr>
            <w:r>
              <w:rPr>
                <w:color w:val="000000"/>
                <w:sz w:val="16"/>
                <w:szCs w:val="16"/>
              </w:rPr>
              <w:t>34.29</w:t>
            </w:r>
          </w:p>
        </w:tc>
        <w:tc>
          <w:tcPr>
            <w:tcW w:w="661" w:type="dxa"/>
            <w:tcBorders>
              <w:top w:val="single" w:sz="4" w:space="0" w:color="auto"/>
              <w:left w:val="nil"/>
              <w:bottom w:val="nil"/>
              <w:right w:val="nil"/>
            </w:tcBorders>
            <w:shd w:val="clear" w:color="auto" w:fill="CCFFCC"/>
            <w:vAlign w:val="center"/>
            <w:hideMark/>
          </w:tcPr>
          <w:p w14:paraId="57BB7E3F" w14:textId="77777777" w:rsidR="00722B14" w:rsidRDefault="00722B14" w:rsidP="00DD3BAE">
            <w:pPr>
              <w:spacing w:before="0" w:after="0"/>
              <w:jc w:val="center"/>
              <w:rPr>
                <w:color w:val="000000"/>
                <w:sz w:val="16"/>
                <w:szCs w:val="16"/>
              </w:rPr>
            </w:pPr>
            <w:r>
              <w:rPr>
                <w:color w:val="000000"/>
                <w:sz w:val="16"/>
                <w:szCs w:val="16"/>
              </w:rPr>
              <w:t>19.45</w:t>
            </w:r>
          </w:p>
        </w:tc>
        <w:tc>
          <w:tcPr>
            <w:tcW w:w="1109" w:type="dxa"/>
            <w:tcBorders>
              <w:top w:val="single" w:sz="4" w:space="0" w:color="auto"/>
              <w:left w:val="nil"/>
              <w:bottom w:val="nil"/>
              <w:right w:val="nil"/>
            </w:tcBorders>
            <w:shd w:val="clear" w:color="auto" w:fill="CCFFCC"/>
            <w:noWrap/>
            <w:vAlign w:val="center"/>
            <w:hideMark/>
          </w:tcPr>
          <w:p w14:paraId="4EE72D6C" w14:textId="77777777" w:rsidR="00722B14" w:rsidRDefault="00722B14" w:rsidP="00DD3BAE">
            <w:pPr>
              <w:spacing w:before="0" w:after="0"/>
              <w:jc w:val="center"/>
              <w:rPr>
                <w:color w:val="000000"/>
                <w:sz w:val="16"/>
                <w:szCs w:val="16"/>
              </w:rPr>
            </w:pPr>
            <w:r>
              <w:rPr>
                <w:color w:val="000000"/>
                <w:sz w:val="16"/>
                <w:szCs w:val="16"/>
              </w:rPr>
              <w:t>-11.05 ±0.14</w:t>
            </w:r>
          </w:p>
        </w:tc>
        <w:tc>
          <w:tcPr>
            <w:tcW w:w="1109" w:type="dxa"/>
            <w:tcBorders>
              <w:top w:val="single" w:sz="4" w:space="0" w:color="auto"/>
              <w:left w:val="nil"/>
              <w:bottom w:val="nil"/>
              <w:right w:val="nil"/>
            </w:tcBorders>
            <w:vAlign w:val="center"/>
            <w:hideMark/>
          </w:tcPr>
          <w:p w14:paraId="15C66FB7" w14:textId="77777777" w:rsidR="00722B14" w:rsidRDefault="00722B14" w:rsidP="00DD3BAE">
            <w:pPr>
              <w:spacing w:before="0" w:after="0"/>
              <w:jc w:val="center"/>
              <w:rPr>
                <w:color w:val="000000"/>
                <w:sz w:val="16"/>
                <w:szCs w:val="16"/>
              </w:rPr>
            </w:pPr>
            <w:r>
              <w:rPr>
                <w:color w:val="000000"/>
                <w:sz w:val="16"/>
                <w:szCs w:val="16"/>
              </w:rPr>
              <w:t>0.23 ±1.08</w:t>
            </w:r>
          </w:p>
        </w:tc>
        <w:tc>
          <w:tcPr>
            <w:tcW w:w="797" w:type="dxa"/>
            <w:tcBorders>
              <w:top w:val="single" w:sz="4" w:space="0" w:color="auto"/>
              <w:left w:val="nil"/>
              <w:bottom w:val="nil"/>
              <w:right w:val="nil"/>
            </w:tcBorders>
            <w:vAlign w:val="center"/>
            <w:hideMark/>
          </w:tcPr>
          <w:p w14:paraId="78B86D09"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563BDCE4"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0BD97DE0" w14:textId="77777777" w:rsidTr="00DE79BD">
        <w:trPr>
          <w:cantSplit/>
          <w:trHeight w:val="227"/>
          <w:jc w:val="center"/>
        </w:trPr>
        <w:tc>
          <w:tcPr>
            <w:tcW w:w="1077" w:type="dxa"/>
            <w:vAlign w:val="center"/>
          </w:tcPr>
          <w:p w14:paraId="02FC023E" w14:textId="77777777" w:rsidR="00722B14" w:rsidRDefault="00722B14" w:rsidP="00DD3BAE">
            <w:pPr>
              <w:spacing w:before="0" w:after="0"/>
              <w:jc w:val="center"/>
              <w:rPr>
                <w:color w:val="000000"/>
                <w:sz w:val="16"/>
                <w:szCs w:val="16"/>
              </w:rPr>
            </w:pPr>
          </w:p>
        </w:tc>
        <w:tc>
          <w:tcPr>
            <w:tcW w:w="1115" w:type="dxa"/>
            <w:noWrap/>
            <w:vAlign w:val="center"/>
          </w:tcPr>
          <w:p w14:paraId="18EEAF76" w14:textId="77777777" w:rsidR="00722B14" w:rsidRDefault="00722B14" w:rsidP="00DD3BAE">
            <w:pPr>
              <w:spacing w:before="0" w:after="0"/>
              <w:jc w:val="center"/>
              <w:rPr>
                <w:color w:val="000000"/>
                <w:sz w:val="16"/>
                <w:szCs w:val="16"/>
              </w:rPr>
            </w:pPr>
          </w:p>
        </w:tc>
        <w:tc>
          <w:tcPr>
            <w:tcW w:w="789" w:type="dxa"/>
            <w:noWrap/>
            <w:vAlign w:val="center"/>
          </w:tcPr>
          <w:p w14:paraId="17CDF86C" w14:textId="77777777" w:rsidR="00722B14" w:rsidRDefault="00722B14" w:rsidP="00DD3BAE">
            <w:pPr>
              <w:spacing w:before="0" w:after="0"/>
              <w:jc w:val="center"/>
              <w:rPr>
                <w:color w:val="000000"/>
                <w:sz w:val="16"/>
                <w:szCs w:val="16"/>
              </w:rPr>
            </w:pPr>
          </w:p>
        </w:tc>
        <w:tc>
          <w:tcPr>
            <w:tcW w:w="621" w:type="dxa"/>
            <w:vAlign w:val="center"/>
            <w:hideMark/>
          </w:tcPr>
          <w:p w14:paraId="53BFF457" w14:textId="77777777" w:rsidR="00722B14" w:rsidRDefault="00722B14" w:rsidP="00DD3BAE">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060D94C9" w14:textId="77777777" w:rsidR="00722B14" w:rsidRDefault="00722B14" w:rsidP="00DD3BAE">
            <w:pPr>
              <w:spacing w:before="0" w:after="0"/>
              <w:jc w:val="center"/>
              <w:rPr>
                <w:color w:val="000000"/>
                <w:sz w:val="16"/>
                <w:szCs w:val="16"/>
              </w:rPr>
            </w:pPr>
            <w:r>
              <w:rPr>
                <w:color w:val="000000"/>
                <w:sz w:val="16"/>
                <w:szCs w:val="16"/>
              </w:rPr>
              <w:t>34.34</w:t>
            </w:r>
          </w:p>
        </w:tc>
        <w:tc>
          <w:tcPr>
            <w:tcW w:w="661" w:type="dxa"/>
            <w:shd w:val="clear" w:color="auto" w:fill="CCFFCC"/>
            <w:vAlign w:val="center"/>
            <w:hideMark/>
          </w:tcPr>
          <w:p w14:paraId="52119B11" w14:textId="77777777" w:rsidR="00722B14" w:rsidRDefault="00722B14" w:rsidP="00DD3BAE">
            <w:pPr>
              <w:spacing w:before="0" w:after="0"/>
              <w:jc w:val="center"/>
              <w:rPr>
                <w:color w:val="000000"/>
                <w:sz w:val="16"/>
                <w:szCs w:val="16"/>
              </w:rPr>
            </w:pPr>
            <w:r>
              <w:rPr>
                <w:color w:val="000000"/>
                <w:sz w:val="16"/>
                <w:szCs w:val="16"/>
              </w:rPr>
              <w:t>17.22</w:t>
            </w:r>
          </w:p>
        </w:tc>
        <w:tc>
          <w:tcPr>
            <w:tcW w:w="1109" w:type="dxa"/>
            <w:noWrap/>
            <w:vAlign w:val="center"/>
            <w:hideMark/>
          </w:tcPr>
          <w:p w14:paraId="0876AFEC" w14:textId="77777777" w:rsidR="00722B14" w:rsidRDefault="00722B14" w:rsidP="00DD3BAE">
            <w:pPr>
              <w:spacing w:before="0" w:after="0"/>
              <w:jc w:val="center"/>
              <w:rPr>
                <w:color w:val="000000"/>
                <w:sz w:val="16"/>
                <w:szCs w:val="16"/>
              </w:rPr>
            </w:pPr>
            <w:r>
              <w:rPr>
                <w:color w:val="000000"/>
                <w:sz w:val="16"/>
                <w:szCs w:val="16"/>
              </w:rPr>
              <w:t>-12.86 ±1.14</w:t>
            </w:r>
          </w:p>
        </w:tc>
        <w:tc>
          <w:tcPr>
            <w:tcW w:w="1109" w:type="dxa"/>
            <w:vAlign w:val="center"/>
            <w:hideMark/>
          </w:tcPr>
          <w:p w14:paraId="4C47B4EB" w14:textId="77777777" w:rsidR="00722B14" w:rsidRDefault="00722B14" w:rsidP="00DD3BAE">
            <w:pPr>
              <w:spacing w:before="0" w:after="0"/>
              <w:jc w:val="center"/>
              <w:rPr>
                <w:color w:val="000000"/>
                <w:sz w:val="16"/>
                <w:szCs w:val="16"/>
              </w:rPr>
            </w:pPr>
            <w:r>
              <w:rPr>
                <w:color w:val="000000"/>
                <w:sz w:val="16"/>
                <w:szCs w:val="16"/>
              </w:rPr>
              <w:t>1.75 ±0.17</w:t>
            </w:r>
          </w:p>
        </w:tc>
        <w:tc>
          <w:tcPr>
            <w:tcW w:w="797" w:type="dxa"/>
            <w:vAlign w:val="center"/>
          </w:tcPr>
          <w:p w14:paraId="75F48072" w14:textId="77777777" w:rsidR="00722B14" w:rsidRDefault="00722B14" w:rsidP="00DD3BAE">
            <w:pPr>
              <w:spacing w:before="0" w:after="0"/>
              <w:jc w:val="center"/>
              <w:rPr>
                <w:i/>
                <w:color w:val="000000"/>
                <w:sz w:val="16"/>
                <w:szCs w:val="16"/>
              </w:rPr>
            </w:pPr>
          </w:p>
        </w:tc>
        <w:tc>
          <w:tcPr>
            <w:tcW w:w="1557" w:type="dxa"/>
            <w:noWrap/>
            <w:vAlign w:val="center"/>
          </w:tcPr>
          <w:p w14:paraId="3FF096E4" w14:textId="77777777" w:rsidR="00722B14" w:rsidRDefault="00722B14" w:rsidP="00DD3BAE">
            <w:pPr>
              <w:spacing w:before="0" w:after="0"/>
              <w:jc w:val="center"/>
              <w:rPr>
                <w:i/>
                <w:color w:val="000000"/>
                <w:sz w:val="16"/>
                <w:szCs w:val="16"/>
              </w:rPr>
            </w:pPr>
          </w:p>
        </w:tc>
      </w:tr>
      <w:tr w:rsidR="00722B14" w14:paraId="07FA2281" w14:textId="77777777" w:rsidTr="00DE79BD">
        <w:trPr>
          <w:cantSplit/>
          <w:trHeight w:val="227"/>
          <w:jc w:val="center"/>
        </w:trPr>
        <w:tc>
          <w:tcPr>
            <w:tcW w:w="1077" w:type="dxa"/>
            <w:vAlign w:val="center"/>
          </w:tcPr>
          <w:p w14:paraId="31BEB412" w14:textId="77777777" w:rsidR="00722B14" w:rsidRDefault="00722B14" w:rsidP="00DD3BAE">
            <w:pPr>
              <w:spacing w:before="0" w:after="0"/>
              <w:jc w:val="center"/>
              <w:rPr>
                <w:color w:val="000000"/>
                <w:sz w:val="16"/>
                <w:szCs w:val="16"/>
              </w:rPr>
            </w:pPr>
          </w:p>
        </w:tc>
        <w:tc>
          <w:tcPr>
            <w:tcW w:w="1115" w:type="dxa"/>
            <w:noWrap/>
            <w:vAlign w:val="center"/>
          </w:tcPr>
          <w:p w14:paraId="7C0EEB21" w14:textId="77777777" w:rsidR="00722B14" w:rsidRDefault="00722B14" w:rsidP="00DD3BAE">
            <w:pPr>
              <w:spacing w:before="0" w:after="0"/>
              <w:jc w:val="center"/>
              <w:rPr>
                <w:color w:val="000000"/>
                <w:sz w:val="16"/>
                <w:szCs w:val="16"/>
              </w:rPr>
            </w:pPr>
          </w:p>
        </w:tc>
        <w:tc>
          <w:tcPr>
            <w:tcW w:w="789" w:type="dxa"/>
            <w:noWrap/>
            <w:vAlign w:val="center"/>
          </w:tcPr>
          <w:p w14:paraId="635F53F6" w14:textId="77777777" w:rsidR="00722B14" w:rsidRDefault="00722B14" w:rsidP="00DD3BAE">
            <w:pPr>
              <w:spacing w:before="0" w:after="0"/>
              <w:jc w:val="center"/>
              <w:rPr>
                <w:color w:val="000000"/>
                <w:sz w:val="16"/>
                <w:szCs w:val="16"/>
              </w:rPr>
            </w:pPr>
          </w:p>
        </w:tc>
        <w:tc>
          <w:tcPr>
            <w:tcW w:w="621" w:type="dxa"/>
            <w:vAlign w:val="center"/>
            <w:hideMark/>
          </w:tcPr>
          <w:p w14:paraId="5B24F1B0" w14:textId="77777777" w:rsidR="00722B14" w:rsidRDefault="00722B14" w:rsidP="00DD3BAE">
            <w:pPr>
              <w:spacing w:before="0" w:after="0"/>
              <w:jc w:val="center"/>
              <w:rPr>
                <w:color w:val="000000"/>
                <w:sz w:val="16"/>
                <w:szCs w:val="16"/>
              </w:rPr>
            </w:pPr>
            <w:r>
              <w:rPr>
                <w:color w:val="000000"/>
                <w:sz w:val="16"/>
                <w:szCs w:val="16"/>
              </w:rPr>
              <w:t>2011</w:t>
            </w:r>
          </w:p>
        </w:tc>
        <w:tc>
          <w:tcPr>
            <w:tcW w:w="661" w:type="dxa"/>
            <w:vAlign w:val="center"/>
            <w:hideMark/>
          </w:tcPr>
          <w:p w14:paraId="3358C74D" w14:textId="77777777" w:rsidR="00722B14" w:rsidRDefault="00722B14" w:rsidP="00DD3BAE">
            <w:pPr>
              <w:spacing w:before="0" w:after="0"/>
              <w:jc w:val="center"/>
              <w:rPr>
                <w:color w:val="000000"/>
                <w:sz w:val="16"/>
                <w:szCs w:val="16"/>
              </w:rPr>
            </w:pPr>
            <w:r>
              <w:rPr>
                <w:color w:val="000000"/>
                <w:sz w:val="16"/>
                <w:szCs w:val="16"/>
              </w:rPr>
              <w:t>39.84</w:t>
            </w:r>
          </w:p>
        </w:tc>
        <w:tc>
          <w:tcPr>
            <w:tcW w:w="661" w:type="dxa"/>
            <w:shd w:val="clear" w:color="auto" w:fill="CCFFCC"/>
            <w:vAlign w:val="center"/>
            <w:hideMark/>
          </w:tcPr>
          <w:p w14:paraId="6FE2B10F" w14:textId="77777777" w:rsidR="00722B14" w:rsidRDefault="00722B14" w:rsidP="00DD3BAE">
            <w:pPr>
              <w:spacing w:before="0" w:after="0"/>
              <w:jc w:val="center"/>
              <w:rPr>
                <w:color w:val="000000"/>
                <w:sz w:val="16"/>
                <w:szCs w:val="16"/>
              </w:rPr>
            </w:pPr>
            <w:r>
              <w:rPr>
                <w:color w:val="000000"/>
                <w:sz w:val="16"/>
                <w:szCs w:val="16"/>
              </w:rPr>
              <w:t>19.02</w:t>
            </w:r>
          </w:p>
        </w:tc>
        <w:tc>
          <w:tcPr>
            <w:tcW w:w="1109" w:type="dxa"/>
            <w:shd w:val="clear" w:color="auto" w:fill="CCFFCC"/>
            <w:noWrap/>
            <w:vAlign w:val="center"/>
            <w:hideMark/>
          </w:tcPr>
          <w:p w14:paraId="66AF6F5A" w14:textId="77777777" w:rsidR="00722B14" w:rsidRDefault="00722B14" w:rsidP="00DD3BAE">
            <w:pPr>
              <w:spacing w:before="0" w:after="0"/>
              <w:jc w:val="center"/>
              <w:rPr>
                <w:color w:val="000000"/>
                <w:sz w:val="16"/>
                <w:szCs w:val="16"/>
              </w:rPr>
            </w:pPr>
            <w:r>
              <w:rPr>
                <w:color w:val="000000"/>
                <w:sz w:val="16"/>
                <w:szCs w:val="16"/>
              </w:rPr>
              <w:t>-9.32 ±0.43</w:t>
            </w:r>
          </w:p>
        </w:tc>
        <w:tc>
          <w:tcPr>
            <w:tcW w:w="1109" w:type="dxa"/>
            <w:vAlign w:val="center"/>
            <w:hideMark/>
          </w:tcPr>
          <w:p w14:paraId="734FC6E7" w14:textId="77777777" w:rsidR="00722B14" w:rsidRDefault="00722B14" w:rsidP="00DD3BAE">
            <w:pPr>
              <w:spacing w:before="0" w:after="0"/>
              <w:jc w:val="center"/>
              <w:rPr>
                <w:color w:val="000000"/>
                <w:sz w:val="16"/>
                <w:szCs w:val="16"/>
              </w:rPr>
            </w:pPr>
            <w:r>
              <w:rPr>
                <w:color w:val="000000"/>
                <w:sz w:val="16"/>
                <w:szCs w:val="16"/>
              </w:rPr>
              <w:t>1.66 ±0.35</w:t>
            </w:r>
          </w:p>
        </w:tc>
        <w:tc>
          <w:tcPr>
            <w:tcW w:w="797" w:type="dxa"/>
            <w:vAlign w:val="center"/>
          </w:tcPr>
          <w:p w14:paraId="568E8BBF" w14:textId="77777777" w:rsidR="00722B14" w:rsidRDefault="00722B14" w:rsidP="00DD3BAE">
            <w:pPr>
              <w:spacing w:before="0" w:after="0"/>
              <w:jc w:val="center"/>
              <w:rPr>
                <w:i/>
                <w:color w:val="000000"/>
                <w:sz w:val="16"/>
                <w:szCs w:val="16"/>
              </w:rPr>
            </w:pPr>
          </w:p>
        </w:tc>
        <w:tc>
          <w:tcPr>
            <w:tcW w:w="1557" w:type="dxa"/>
            <w:noWrap/>
            <w:vAlign w:val="center"/>
          </w:tcPr>
          <w:p w14:paraId="3593F3BB" w14:textId="77777777" w:rsidR="00722B14" w:rsidRDefault="00722B14" w:rsidP="00DD3BAE">
            <w:pPr>
              <w:spacing w:before="0" w:after="0"/>
              <w:jc w:val="center"/>
              <w:rPr>
                <w:i/>
                <w:color w:val="000000"/>
                <w:sz w:val="16"/>
                <w:szCs w:val="16"/>
              </w:rPr>
            </w:pPr>
          </w:p>
        </w:tc>
      </w:tr>
      <w:tr w:rsidR="00722B14" w14:paraId="216567B7" w14:textId="77777777" w:rsidTr="00DE79BD">
        <w:trPr>
          <w:cantSplit/>
          <w:trHeight w:val="227"/>
          <w:jc w:val="center"/>
        </w:trPr>
        <w:tc>
          <w:tcPr>
            <w:tcW w:w="1077" w:type="dxa"/>
            <w:vAlign w:val="center"/>
          </w:tcPr>
          <w:p w14:paraId="220A72FA" w14:textId="77777777" w:rsidR="00722B14" w:rsidRDefault="00722B14" w:rsidP="00DD3BAE">
            <w:pPr>
              <w:spacing w:before="0" w:after="0"/>
              <w:jc w:val="center"/>
              <w:rPr>
                <w:color w:val="000000"/>
                <w:sz w:val="16"/>
                <w:szCs w:val="16"/>
              </w:rPr>
            </w:pPr>
          </w:p>
        </w:tc>
        <w:tc>
          <w:tcPr>
            <w:tcW w:w="1115" w:type="dxa"/>
            <w:noWrap/>
            <w:vAlign w:val="center"/>
          </w:tcPr>
          <w:p w14:paraId="05E99892" w14:textId="77777777" w:rsidR="00722B14" w:rsidRDefault="00722B14" w:rsidP="00DD3BAE">
            <w:pPr>
              <w:spacing w:before="0" w:after="0"/>
              <w:jc w:val="center"/>
              <w:rPr>
                <w:color w:val="000000"/>
                <w:sz w:val="16"/>
                <w:szCs w:val="16"/>
              </w:rPr>
            </w:pPr>
          </w:p>
        </w:tc>
        <w:tc>
          <w:tcPr>
            <w:tcW w:w="789" w:type="dxa"/>
            <w:noWrap/>
            <w:vAlign w:val="center"/>
          </w:tcPr>
          <w:p w14:paraId="6D8ED1E8" w14:textId="77777777" w:rsidR="00722B14" w:rsidRDefault="00722B14" w:rsidP="00DD3BAE">
            <w:pPr>
              <w:spacing w:before="0" w:after="0"/>
              <w:jc w:val="center"/>
              <w:rPr>
                <w:color w:val="000000"/>
                <w:sz w:val="16"/>
                <w:szCs w:val="16"/>
              </w:rPr>
            </w:pPr>
          </w:p>
        </w:tc>
        <w:tc>
          <w:tcPr>
            <w:tcW w:w="621" w:type="dxa"/>
            <w:vAlign w:val="center"/>
            <w:hideMark/>
          </w:tcPr>
          <w:p w14:paraId="1B17AC51"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763A5CCA" w14:textId="77777777" w:rsidR="00722B14" w:rsidRDefault="00722B14" w:rsidP="00DD3BAE">
            <w:pPr>
              <w:spacing w:before="0" w:after="0"/>
              <w:jc w:val="center"/>
              <w:rPr>
                <w:color w:val="000000"/>
                <w:sz w:val="16"/>
                <w:szCs w:val="16"/>
              </w:rPr>
            </w:pPr>
            <w:r>
              <w:rPr>
                <w:color w:val="000000"/>
                <w:sz w:val="16"/>
                <w:szCs w:val="16"/>
              </w:rPr>
              <w:t>41.74</w:t>
            </w:r>
          </w:p>
        </w:tc>
        <w:tc>
          <w:tcPr>
            <w:tcW w:w="661" w:type="dxa"/>
            <w:shd w:val="clear" w:color="auto" w:fill="CCFFCC"/>
            <w:vAlign w:val="center"/>
            <w:hideMark/>
          </w:tcPr>
          <w:p w14:paraId="3806A885" w14:textId="77777777" w:rsidR="00722B14" w:rsidRDefault="00722B14" w:rsidP="00DD3BAE">
            <w:pPr>
              <w:spacing w:before="0" w:after="0"/>
              <w:jc w:val="center"/>
              <w:rPr>
                <w:color w:val="000000"/>
                <w:sz w:val="16"/>
                <w:szCs w:val="16"/>
              </w:rPr>
            </w:pPr>
            <w:r>
              <w:rPr>
                <w:color w:val="000000"/>
                <w:sz w:val="16"/>
                <w:szCs w:val="16"/>
              </w:rPr>
              <w:t>17.08</w:t>
            </w:r>
          </w:p>
        </w:tc>
        <w:tc>
          <w:tcPr>
            <w:tcW w:w="1109" w:type="dxa"/>
            <w:shd w:val="clear" w:color="auto" w:fill="CCFFCC"/>
            <w:noWrap/>
            <w:vAlign w:val="center"/>
            <w:hideMark/>
          </w:tcPr>
          <w:p w14:paraId="727BC8F6" w14:textId="77777777" w:rsidR="00722B14" w:rsidRDefault="00722B14" w:rsidP="00DD3BAE">
            <w:pPr>
              <w:spacing w:before="0" w:after="0"/>
              <w:jc w:val="center"/>
              <w:rPr>
                <w:color w:val="000000"/>
                <w:sz w:val="16"/>
                <w:szCs w:val="16"/>
              </w:rPr>
            </w:pPr>
            <w:r>
              <w:rPr>
                <w:color w:val="000000"/>
                <w:sz w:val="16"/>
                <w:szCs w:val="16"/>
              </w:rPr>
              <w:t>-7.83 ±0.23</w:t>
            </w:r>
          </w:p>
        </w:tc>
        <w:tc>
          <w:tcPr>
            <w:tcW w:w="1109" w:type="dxa"/>
            <w:vAlign w:val="center"/>
            <w:hideMark/>
          </w:tcPr>
          <w:p w14:paraId="11D96C9F" w14:textId="77777777" w:rsidR="00722B14" w:rsidRDefault="00722B14" w:rsidP="00DD3BAE">
            <w:pPr>
              <w:spacing w:before="0" w:after="0"/>
              <w:jc w:val="center"/>
              <w:rPr>
                <w:color w:val="000000"/>
                <w:sz w:val="16"/>
                <w:szCs w:val="16"/>
              </w:rPr>
            </w:pPr>
            <w:r>
              <w:rPr>
                <w:color w:val="000000"/>
                <w:sz w:val="16"/>
                <w:szCs w:val="16"/>
              </w:rPr>
              <w:t>1.76 ±0.66</w:t>
            </w:r>
          </w:p>
        </w:tc>
        <w:tc>
          <w:tcPr>
            <w:tcW w:w="797" w:type="dxa"/>
            <w:vAlign w:val="center"/>
          </w:tcPr>
          <w:p w14:paraId="5D28CEED" w14:textId="77777777" w:rsidR="00722B14" w:rsidRDefault="00722B14" w:rsidP="00DD3BAE">
            <w:pPr>
              <w:spacing w:before="0" w:after="0"/>
              <w:jc w:val="center"/>
              <w:rPr>
                <w:i/>
                <w:color w:val="000000"/>
                <w:sz w:val="16"/>
                <w:szCs w:val="16"/>
              </w:rPr>
            </w:pPr>
          </w:p>
        </w:tc>
        <w:tc>
          <w:tcPr>
            <w:tcW w:w="1557" w:type="dxa"/>
            <w:noWrap/>
            <w:vAlign w:val="center"/>
          </w:tcPr>
          <w:p w14:paraId="019738A9" w14:textId="77777777" w:rsidR="00722B14" w:rsidRDefault="00722B14" w:rsidP="00DD3BAE">
            <w:pPr>
              <w:spacing w:before="0" w:after="0"/>
              <w:jc w:val="center"/>
              <w:rPr>
                <w:i/>
                <w:color w:val="000000"/>
                <w:sz w:val="16"/>
                <w:szCs w:val="16"/>
              </w:rPr>
            </w:pPr>
          </w:p>
        </w:tc>
      </w:tr>
      <w:tr w:rsidR="00722B14" w14:paraId="6EE6AFE4" w14:textId="77777777" w:rsidTr="00DE79BD">
        <w:trPr>
          <w:cantSplit/>
          <w:trHeight w:val="227"/>
          <w:jc w:val="center"/>
        </w:trPr>
        <w:tc>
          <w:tcPr>
            <w:tcW w:w="1077" w:type="dxa"/>
            <w:vAlign w:val="center"/>
          </w:tcPr>
          <w:p w14:paraId="4A48936D" w14:textId="77777777" w:rsidR="00722B14" w:rsidRDefault="00722B14" w:rsidP="00DD3BAE">
            <w:pPr>
              <w:spacing w:before="0" w:after="0"/>
              <w:jc w:val="center"/>
              <w:rPr>
                <w:color w:val="000000"/>
                <w:sz w:val="16"/>
                <w:szCs w:val="16"/>
              </w:rPr>
            </w:pPr>
          </w:p>
        </w:tc>
        <w:tc>
          <w:tcPr>
            <w:tcW w:w="1115" w:type="dxa"/>
            <w:noWrap/>
            <w:vAlign w:val="center"/>
          </w:tcPr>
          <w:p w14:paraId="5D4C8790" w14:textId="77777777" w:rsidR="00722B14" w:rsidRDefault="00722B14" w:rsidP="00DD3BAE">
            <w:pPr>
              <w:spacing w:before="0" w:after="0"/>
              <w:jc w:val="center"/>
              <w:rPr>
                <w:color w:val="000000"/>
                <w:sz w:val="16"/>
                <w:szCs w:val="16"/>
              </w:rPr>
            </w:pPr>
          </w:p>
        </w:tc>
        <w:tc>
          <w:tcPr>
            <w:tcW w:w="789" w:type="dxa"/>
            <w:noWrap/>
            <w:vAlign w:val="center"/>
          </w:tcPr>
          <w:p w14:paraId="5BF98211" w14:textId="77777777" w:rsidR="00722B14" w:rsidRDefault="00722B14" w:rsidP="00DD3BAE">
            <w:pPr>
              <w:spacing w:before="0" w:after="0"/>
              <w:jc w:val="center"/>
              <w:rPr>
                <w:color w:val="000000"/>
                <w:sz w:val="16"/>
                <w:szCs w:val="16"/>
              </w:rPr>
            </w:pPr>
          </w:p>
        </w:tc>
        <w:tc>
          <w:tcPr>
            <w:tcW w:w="621" w:type="dxa"/>
            <w:vAlign w:val="center"/>
            <w:hideMark/>
          </w:tcPr>
          <w:p w14:paraId="0DFFAF74"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24FAB07C" w14:textId="77777777" w:rsidR="00722B14" w:rsidRDefault="00722B14" w:rsidP="00DD3BAE">
            <w:pPr>
              <w:spacing w:before="0" w:after="0"/>
              <w:jc w:val="center"/>
              <w:rPr>
                <w:color w:val="000000"/>
                <w:sz w:val="16"/>
                <w:szCs w:val="16"/>
              </w:rPr>
            </w:pPr>
            <w:r>
              <w:rPr>
                <w:color w:val="000000"/>
                <w:sz w:val="16"/>
                <w:szCs w:val="16"/>
              </w:rPr>
              <w:t>41.41</w:t>
            </w:r>
          </w:p>
        </w:tc>
        <w:tc>
          <w:tcPr>
            <w:tcW w:w="661" w:type="dxa"/>
            <w:shd w:val="clear" w:color="auto" w:fill="CCFFCC"/>
            <w:vAlign w:val="center"/>
            <w:hideMark/>
          </w:tcPr>
          <w:p w14:paraId="4051597E" w14:textId="77777777" w:rsidR="00722B14" w:rsidRDefault="00722B14" w:rsidP="00DD3BAE">
            <w:pPr>
              <w:spacing w:before="0" w:after="0"/>
              <w:jc w:val="center"/>
              <w:rPr>
                <w:color w:val="000000"/>
                <w:sz w:val="16"/>
                <w:szCs w:val="16"/>
              </w:rPr>
            </w:pPr>
            <w:r>
              <w:rPr>
                <w:color w:val="000000"/>
                <w:sz w:val="16"/>
                <w:szCs w:val="16"/>
              </w:rPr>
              <w:t>19.38</w:t>
            </w:r>
          </w:p>
        </w:tc>
        <w:tc>
          <w:tcPr>
            <w:tcW w:w="1109" w:type="dxa"/>
            <w:shd w:val="clear" w:color="auto" w:fill="CCFFCC"/>
            <w:noWrap/>
            <w:vAlign w:val="center"/>
            <w:hideMark/>
          </w:tcPr>
          <w:p w14:paraId="0BE30574" w14:textId="77777777" w:rsidR="00722B14" w:rsidRDefault="00722B14" w:rsidP="00DD3BAE">
            <w:pPr>
              <w:spacing w:before="0" w:after="0"/>
              <w:jc w:val="center"/>
              <w:rPr>
                <w:color w:val="000000"/>
                <w:sz w:val="16"/>
                <w:szCs w:val="16"/>
              </w:rPr>
            </w:pPr>
            <w:r>
              <w:rPr>
                <w:color w:val="000000"/>
                <w:sz w:val="16"/>
                <w:szCs w:val="16"/>
              </w:rPr>
              <w:t>-9.01 ±0.22</w:t>
            </w:r>
          </w:p>
        </w:tc>
        <w:tc>
          <w:tcPr>
            <w:tcW w:w="1109" w:type="dxa"/>
            <w:vAlign w:val="center"/>
            <w:hideMark/>
          </w:tcPr>
          <w:p w14:paraId="1F54DBFB" w14:textId="77777777" w:rsidR="00722B14" w:rsidRDefault="00722B14" w:rsidP="00DD3BAE">
            <w:pPr>
              <w:spacing w:before="0" w:after="0"/>
              <w:jc w:val="center"/>
              <w:rPr>
                <w:color w:val="000000"/>
                <w:sz w:val="16"/>
                <w:szCs w:val="16"/>
              </w:rPr>
            </w:pPr>
            <w:r>
              <w:rPr>
                <w:color w:val="000000"/>
                <w:sz w:val="16"/>
                <w:szCs w:val="16"/>
              </w:rPr>
              <w:t>1.78 ±0.54</w:t>
            </w:r>
          </w:p>
        </w:tc>
        <w:tc>
          <w:tcPr>
            <w:tcW w:w="797" w:type="dxa"/>
            <w:vAlign w:val="center"/>
          </w:tcPr>
          <w:p w14:paraId="1587DF70" w14:textId="77777777" w:rsidR="00722B14" w:rsidRDefault="00722B14" w:rsidP="00DD3BAE">
            <w:pPr>
              <w:spacing w:before="0" w:after="0"/>
              <w:jc w:val="center"/>
              <w:rPr>
                <w:i/>
                <w:color w:val="000000"/>
                <w:sz w:val="16"/>
                <w:szCs w:val="16"/>
              </w:rPr>
            </w:pPr>
          </w:p>
        </w:tc>
        <w:tc>
          <w:tcPr>
            <w:tcW w:w="1557" w:type="dxa"/>
            <w:noWrap/>
            <w:vAlign w:val="center"/>
          </w:tcPr>
          <w:p w14:paraId="18938875" w14:textId="77777777" w:rsidR="00722B14" w:rsidRDefault="00722B14" w:rsidP="00DD3BAE">
            <w:pPr>
              <w:spacing w:before="0" w:after="0"/>
              <w:jc w:val="center"/>
              <w:rPr>
                <w:i/>
                <w:color w:val="000000"/>
                <w:sz w:val="16"/>
                <w:szCs w:val="16"/>
              </w:rPr>
            </w:pPr>
          </w:p>
        </w:tc>
      </w:tr>
      <w:tr w:rsidR="00722B14" w14:paraId="12BB858D" w14:textId="77777777" w:rsidTr="00DE79BD">
        <w:trPr>
          <w:cantSplit/>
          <w:trHeight w:val="227"/>
          <w:jc w:val="center"/>
        </w:trPr>
        <w:tc>
          <w:tcPr>
            <w:tcW w:w="1077" w:type="dxa"/>
            <w:vAlign w:val="center"/>
          </w:tcPr>
          <w:p w14:paraId="22F6B14B" w14:textId="77777777" w:rsidR="00722B14" w:rsidRDefault="00722B14" w:rsidP="00DD3BAE">
            <w:pPr>
              <w:spacing w:before="0" w:after="0"/>
              <w:jc w:val="center"/>
              <w:rPr>
                <w:color w:val="000000"/>
                <w:sz w:val="16"/>
                <w:szCs w:val="16"/>
              </w:rPr>
            </w:pPr>
          </w:p>
        </w:tc>
        <w:tc>
          <w:tcPr>
            <w:tcW w:w="1115" w:type="dxa"/>
            <w:noWrap/>
            <w:vAlign w:val="center"/>
          </w:tcPr>
          <w:p w14:paraId="6CFC60A3"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2914379D"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07A6592E"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3B7F6B5" w14:textId="77777777" w:rsidR="00722B14" w:rsidRDefault="00722B14" w:rsidP="00DD3BAE">
            <w:pPr>
              <w:spacing w:before="0" w:after="0"/>
              <w:jc w:val="center"/>
              <w:rPr>
                <w:color w:val="000000"/>
                <w:sz w:val="16"/>
                <w:szCs w:val="16"/>
              </w:rPr>
            </w:pPr>
            <w:r>
              <w:rPr>
                <w:color w:val="000000"/>
                <w:sz w:val="16"/>
                <w:szCs w:val="16"/>
              </w:rPr>
              <w:t>42.02</w:t>
            </w:r>
          </w:p>
        </w:tc>
        <w:tc>
          <w:tcPr>
            <w:tcW w:w="661" w:type="dxa"/>
            <w:tcBorders>
              <w:top w:val="nil"/>
              <w:left w:val="nil"/>
              <w:right w:val="nil"/>
            </w:tcBorders>
            <w:shd w:val="clear" w:color="auto" w:fill="CCFFCC"/>
            <w:vAlign w:val="center"/>
            <w:hideMark/>
          </w:tcPr>
          <w:p w14:paraId="13802BB0" w14:textId="77777777" w:rsidR="00722B14" w:rsidRDefault="00722B14" w:rsidP="00DD3BAE">
            <w:pPr>
              <w:spacing w:before="0" w:after="0"/>
              <w:jc w:val="center"/>
              <w:rPr>
                <w:color w:val="000000"/>
                <w:sz w:val="16"/>
                <w:szCs w:val="16"/>
              </w:rPr>
            </w:pPr>
            <w:r>
              <w:rPr>
                <w:color w:val="000000"/>
                <w:sz w:val="16"/>
                <w:szCs w:val="16"/>
              </w:rPr>
              <w:t>17.58</w:t>
            </w:r>
          </w:p>
        </w:tc>
        <w:tc>
          <w:tcPr>
            <w:tcW w:w="1109" w:type="dxa"/>
            <w:tcBorders>
              <w:top w:val="nil"/>
              <w:left w:val="nil"/>
              <w:right w:val="nil"/>
            </w:tcBorders>
            <w:shd w:val="clear" w:color="auto" w:fill="CCFFCC"/>
            <w:noWrap/>
            <w:vAlign w:val="center"/>
            <w:hideMark/>
          </w:tcPr>
          <w:p w14:paraId="3718BFAD" w14:textId="77777777" w:rsidR="00722B14" w:rsidRDefault="00722B14" w:rsidP="00DD3BAE">
            <w:pPr>
              <w:spacing w:before="0" w:after="0"/>
              <w:jc w:val="center"/>
              <w:rPr>
                <w:color w:val="000000"/>
                <w:sz w:val="16"/>
                <w:szCs w:val="16"/>
              </w:rPr>
            </w:pPr>
            <w:r>
              <w:rPr>
                <w:color w:val="000000"/>
                <w:sz w:val="16"/>
                <w:szCs w:val="16"/>
              </w:rPr>
              <w:t>-8.68 ±0.26</w:t>
            </w:r>
          </w:p>
        </w:tc>
        <w:tc>
          <w:tcPr>
            <w:tcW w:w="1109" w:type="dxa"/>
            <w:tcBorders>
              <w:top w:val="nil"/>
              <w:left w:val="nil"/>
              <w:right w:val="nil"/>
            </w:tcBorders>
            <w:vAlign w:val="center"/>
            <w:hideMark/>
          </w:tcPr>
          <w:p w14:paraId="4B7E274A" w14:textId="77777777" w:rsidR="00722B14" w:rsidRDefault="00722B14" w:rsidP="00DD3BAE">
            <w:pPr>
              <w:spacing w:before="0" w:after="0"/>
              <w:jc w:val="center"/>
              <w:rPr>
                <w:color w:val="000000"/>
                <w:sz w:val="16"/>
                <w:szCs w:val="16"/>
              </w:rPr>
            </w:pPr>
            <w:r>
              <w:rPr>
                <w:color w:val="000000"/>
                <w:sz w:val="16"/>
                <w:szCs w:val="16"/>
              </w:rPr>
              <w:t>2.35 ±0.19</w:t>
            </w:r>
          </w:p>
        </w:tc>
        <w:tc>
          <w:tcPr>
            <w:tcW w:w="797" w:type="dxa"/>
            <w:tcBorders>
              <w:top w:val="nil"/>
              <w:left w:val="nil"/>
              <w:right w:val="nil"/>
            </w:tcBorders>
            <w:vAlign w:val="center"/>
          </w:tcPr>
          <w:p w14:paraId="41B61ABF"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22CFB90" w14:textId="77777777" w:rsidR="00722B14" w:rsidRDefault="00722B14" w:rsidP="00DD3BAE">
            <w:pPr>
              <w:spacing w:before="0" w:after="0"/>
              <w:jc w:val="center"/>
              <w:rPr>
                <w:i/>
                <w:color w:val="000000"/>
                <w:sz w:val="16"/>
                <w:szCs w:val="16"/>
              </w:rPr>
            </w:pPr>
          </w:p>
        </w:tc>
      </w:tr>
      <w:tr w:rsidR="00722B14" w14:paraId="728825BD" w14:textId="77777777" w:rsidTr="00DE79BD">
        <w:trPr>
          <w:cantSplit/>
          <w:trHeight w:val="227"/>
          <w:jc w:val="center"/>
        </w:trPr>
        <w:tc>
          <w:tcPr>
            <w:tcW w:w="1077" w:type="dxa"/>
            <w:tcBorders>
              <w:top w:val="nil"/>
              <w:left w:val="nil"/>
              <w:right w:val="nil"/>
            </w:tcBorders>
            <w:shd w:val="clear" w:color="auto" w:fill="auto"/>
            <w:vAlign w:val="center"/>
          </w:tcPr>
          <w:p w14:paraId="3EFF3B95"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609D86F0"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164E8DCA"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5EA247BC"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12A6F0D5" w14:textId="77777777" w:rsidR="00722B14" w:rsidRPr="007C770B" w:rsidRDefault="00722B14" w:rsidP="00DD3BAE">
            <w:pPr>
              <w:spacing w:before="0" w:after="0"/>
              <w:jc w:val="center"/>
              <w:rPr>
                <w:color w:val="000000"/>
                <w:sz w:val="16"/>
                <w:szCs w:val="16"/>
              </w:rPr>
            </w:pPr>
            <w:r w:rsidRPr="007C770B">
              <w:rPr>
                <w:color w:val="000000"/>
                <w:sz w:val="16"/>
                <w:szCs w:val="16"/>
              </w:rPr>
              <w:t>43.37</w:t>
            </w:r>
          </w:p>
        </w:tc>
        <w:tc>
          <w:tcPr>
            <w:tcW w:w="661" w:type="dxa"/>
            <w:tcBorders>
              <w:top w:val="nil"/>
              <w:left w:val="nil"/>
              <w:right w:val="nil"/>
            </w:tcBorders>
            <w:shd w:val="clear" w:color="auto" w:fill="CCFFCC"/>
            <w:vAlign w:val="center"/>
          </w:tcPr>
          <w:p w14:paraId="2971E6AF" w14:textId="77777777" w:rsidR="00722B14" w:rsidRPr="007C770B" w:rsidRDefault="00722B14" w:rsidP="00DD3BAE">
            <w:pPr>
              <w:spacing w:before="0" w:after="0"/>
              <w:jc w:val="center"/>
              <w:rPr>
                <w:color w:val="000000"/>
                <w:sz w:val="16"/>
                <w:szCs w:val="16"/>
              </w:rPr>
            </w:pPr>
            <w:r w:rsidRPr="007C770B">
              <w:rPr>
                <w:color w:val="000000"/>
                <w:sz w:val="16"/>
                <w:szCs w:val="16"/>
              </w:rPr>
              <w:t>18.02</w:t>
            </w:r>
          </w:p>
        </w:tc>
        <w:tc>
          <w:tcPr>
            <w:tcW w:w="1109" w:type="dxa"/>
            <w:tcBorders>
              <w:top w:val="nil"/>
              <w:left w:val="nil"/>
              <w:right w:val="nil"/>
            </w:tcBorders>
            <w:shd w:val="clear" w:color="auto" w:fill="CCFFCC"/>
            <w:noWrap/>
            <w:vAlign w:val="center"/>
          </w:tcPr>
          <w:p w14:paraId="11AB901C" w14:textId="77777777" w:rsidR="00722B14" w:rsidRPr="007C770B" w:rsidRDefault="00722B14" w:rsidP="00DD3BAE">
            <w:pPr>
              <w:spacing w:before="0" w:after="0"/>
              <w:jc w:val="center"/>
              <w:rPr>
                <w:color w:val="000000"/>
                <w:sz w:val="16"/>
                <w:szCs w:val="16"/>
              </w:rPr>
            </w:pPr>
            <w:r w:rsidRPr="007C770B">
              <w:rPr>
                <w:color w:val="000000"/>
                <w:sz w:val="16"/>
                <w:szCs w:val="16"/>
              </w:rPr>
              <w:t>-8.51 ±0.45</w:t>
            </w:r>
          </w:p>
        </w:tc>
        <w:tc>
          <w:tcPr>
            <w:tcW w:w="1109" w:type="dxa"/>
            <w:tcBorders>
              <w:top w:val="nil"/>
              <w:left w:val="nil"/>
              <w:right w:val="nil"/>
            </w:tcBorders>
            <w:shd w:val="clear" w:color="auto" w:fill="auto"/>
            <w:vAlign w:val="center"/>
          </w:tcPr>
          <w:p w14:paraId="7DC42F0D" w14:textId="77777777" w:rsidR="00722B14" w:rsidRPr="007C770B" w:rsidRDefault="00722B14" w:rsidP="00DD3BAE">
            <w:pPr>
              <w:spacing w:before="0" w:after="0"/>
              <w:jc w:val="center"/>
              <w:rPr>
                <w:color w:val="000000"/>
                <w:sz w:val="16"/>
                <w:szCs w:val="16"/>
              </w:rPr>
            </w:pPr>
            <w:r w:rsidRPr="007C770B">
              <w:rPr>
                <w:color w:val="000000"/>
                <w:sz w:val="16"/>
                <w:szCs w:val="16"/>
              </w:rPr>
              <w:t>1.97 ±0.46</w:t>
            </w:r>
          </w:p>
        </w:tc>
        <w:tc>
          <w:tcPr>
            <w:tcW w:w="797" w:type="dxa"/>
            <w:tcBorders>
              <w:top w:val="nil"/>
              <w:left w:val="nil"/>
              <w:right w:val="nil"/>
            </w:tcBorders>
            <w:shd w:val="clear" w:color="auto" w:fill="auto"/>
            <w:vAlign w:val="center"/>
          </w:tcPr>
          <w:p w14:paraId="6A4DFE5B"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4D23D3FB" w14:textId="77777777" w:rsidR="00722B14" w:rsidRDefault="00722B14" w:rsidP="00DD3BAE">
            <w:pPr>
              <w:spacing w:before="0" w:after="0"/>
              <w:jc w:val="center"/>
              <w:rPr>
                <w:i/>
                <w:color w:val="000000"/>
                <w:sz w:val="16"/>
                <w:szCs w:val="16"/>
              </w:rPr>
            </w:pPr>
          </w:p>
        </w:tc>
      </w:tr>
      <w:tr w:rsidR="00722B14" w14:paraId="030B662C" w14:textId="77777777" w:rsidTr="00DE79BD">
        <w:trPr>
          <w:cantSplit/>
          <w:trHeight w:val="227"/>
          <w:jc w:val="center"/>
        </w:trPr>
        <w:tc>
          <w:tcPr>
            <w:tcW w:w="1077" w:type="dxa"/>
            <w:tcBorders>
              <w:left w:val="nil"/>
              <w:right w:val="nil"/>
            </w:tcBorders>
            <w:shd w:val="clear" w:color="auto" w:fill="auto"/>
            <w:vAlign w:val="center"/>
          </w:tcPr>
          <w:p w14:paraId="6C1CB087"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23AD2866"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44F3A68C"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52492C5D"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5C37CE04" w14:textId="77777777" w:rsidR="00722B14" w:rsidRPr="00AC7F15" w:rsidRDefault="00722B14" w:rsidP="00DD3BAE">
            <w:pPr>
              <w:spacing w:before="0" w:after="0"/>
              <w:jc w:val="center"/>
              <w:rPr>
                <w:color w:val="000000"/>
                <w:sz w:val="16"/>
                <w:szCs w:val="16"/>
              </w:rPr>
            </w:pPr>
            <w:r w:rsidRPr="00AC7F15">
              <w:rPr>
                <w:color w:val="000000"/>
                <w:sz w:val="16"/>
                <w:szCs w:val="16"/>
              </w:rPr>
              <w:t>42.64</w:t>
            </w:r>
          </w:p>
        </w:tc>
        <w:tc>
          <w:tcPr>
            <w:tcW w:w="661" w:type="dxa"/>
            <w:tcBorders>
              <w:left w:val="nil"/>
              <w:bottom w:val="single" w:sz="4" w:space="0" w:color="auto"/>
              <w:right w:val="nil"/>
            </w:tcBorders>
            <w:shd w:val="clear" w:color="auto" w:fill="auto"/>
            <w:vAlign w:val="center"/>
          </w:tcPr>
          <w:p w14:paraId="63E74E4F" w14:textId="77777777" w:rsidR="00722B14" w:rsidRPr="00AC7F15" w:rsidRDefault="00722B14" w:rsidP="00DD3BAE">
            <w:pPr>
              <w:spacing w:before="0" w:after="0"/>
              <w:jc w:val="center"/>
              <w:rPr>
                <w:color w:val="000000"/>
                <w:sz w:val="16"/>
                <w:szCs w:val="16"/>
              </w:rPr>
            </w:pPr>
            <w:r>
              <w:rPr>
                <w:color w:val="000000"/>
                <w:sz w:val="16"/>
                <w:szCs w:val="16"/>
              </w:rPr>
              <w:t>18.19</w:t>
            </w:r>
          </w:p>
        </w:tc>
        <w:tc>
          <w:tcPr>
            <w:tcW w:w="1109" w:type="dxa"/>
            <w:tcBorders>
              <w:left w:val="nil"/>
              <w:bottom w:val="single" w:sz="4" w:space="0" w:color="auto"/>
              <w:right w:val="nil"/>
            </w:tcBorders>
            <w:shd w:val="clear" w:color="auto" w:fill="CCFFCC"/>
            <w:noWrap/>
            <w:vAlign w:val="center"/>
          </w:tcPr>
          <w:p w14:paraId="3BB42B41" w14:textId="77777777" w:rsidR="00722B14" w:rsidRPr="00AC7F15" w:rsidRDefault="00722B14" w:rsidP="00DD3BAE">
            <w:pPr>
              <w:spacing w:before="0" w:after="0"/>
              <w:jc w:val="center"/>
              <w:rPr>
                <w:color w:val="000000"/>
                <w:sz w:val="16"/>
                <w:szCs w:val="16"/>
              </w:rPr>
            </w:pPr>
            <w:r w:rsidRPr="00AC7F15">
              <w:rPr>
                <w:color w:val="000000"/>
                <w:sz w:val="16"/>
                <w:szCs w:val="16"/>
              </w:rPr>
              <w:t>-8.98 ±0.11</w:t>
            </w:r>
          </w:p>
        </w:tc>
        <w:tc>
          <w:tcPr>
            <w:tcW w:w="1109" w:type="dxa"/>
            <w:tcBorders>
              <w:left w:val="nil"/>
              <w:bottom w:val="single" w:sz="4" w:space="0" w:color="auto"/>
              <w:right w:val="nil"/>
            </w:tcBorders>
            <w:shd w:val="clear" w:color="auto" w:fill="auto"/>
            <w:vAlign w:val="center"/>
          </w:tcPr>
          <w:p w14:paraId="09EC2E70" w14:textId="77777777" w:rsidR="00722B14" w:rsidRPr="00AC7F15" w:rsidRDefault="00722B14" w:rsidP="00DD3BAE">
            <w:pPr>
              <w:spacing w:before="0" w:after="0"/>
              <w:jc w:val="center"/>
              <w:rPr>
                <w:color w:val="000000"/>
                <w:sz w:val="16"/>
                <w:szCs w:val="16"/>
              </w:rPr>
            </w:pPr>
            <w:r w:rsidRPr="00AC7F15">
              <w:rPr>
                <w:color w:val="000000"/>
                <w:sz w:val="16"/>
                <w:szCs w:val="16"/>
              </w:rPr>
              <w:t>-0.37 ±0.53</w:t>
            </w:r>
          </w:p>
        </w:tc>
        <w:tc>
          <w:tcPr>
            <w:tcW w:w="797" w:type="dxa"/>
            <w:tcBorders>
              <w:left w:val="nil"/>
              <w:bottom w:val="single" w:sz="4" w:space="0" w:color="auto"/>
              <w:right w:val="nil"/>
            </w:tcBorders>
            <w:shd w:val="clear" w:color="auto" w:fill="auto"/>
            <w:vAlign w:val="center"/>
          </w:tcPr>
          <w:p w14:paraId="44BE3FA6"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519CAFA6" w14:textId="77777777" w:rsidR="00722B14" w:rsidRDefault="00722B14" w:rsidP="00DD3BAE">
            <w:pPr>
              <w:spacing w:before="0" w:after="0"/>
              <w:jc w:val="center"/>
              <w:rPr>
                <w:i/>
                <w:color w:val="000000"/>
                <w:sz w:val="16"/>
                <w:szCs w:val="16"/>
              </w:rPr>
            </w:pPr>
          </w:p>
        </w:tc>
      </w:tr>
      <w:tr w:rsidR="00722B14" w14:paraId="02D55721" w14:textId="77777777" w:rsidTr="00DE79BD">
        <w:trPr>
          <w:cantSplit/>
          <w:trHeight w:val="227"/>
          <w:jc w:val="center"/>
        </w:trPr>
        <w:tc>
          <w:tcPr>
            <w:tcW w:w="1077" w:type="dxa"/>
            <w:tcBorders>
              <w:left w:val="nil"/>
              <w:right w:val="nil"/>
            </w:tcBorders>
            <w:shd w:val="clear" w:color="auto" w:fill="auto"/>
            <w:vAlign w:val="bottom"/>
          </w:tcPr>
          <w:p w14:paraId="675B6AEB"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bottom"/>
          </w:tcPr>
          <w:p w14:paraId="39219769" w14:textId="77777777" w:rsidR="00722B14" w:rsidRPr="007C770B" w:rsidRDefault="00722B14" w:rsidP="00DD3BAE">
            <w:pPr>
              <w:spacing w:before="0" w:after="0"/>
              <w:jc w:val="center"/>
              <w:rPr>
                <w:color w:val="000000"/>
                <w:sz w:val="16"/>
                <w:szCs w:val="16"/>
              </w:rPr>
            </w:pPr>
          </w:p>
        </w:tc>
        <w:tc>
          <w:tcPr>
            <w:tcW w:w="789" w:type="dxa"/>
            <w:tcBorders>
              <w:top w:val="single" w:sz="4" w:space="0" w:color="auto"/>
              <w:left w:val="nil"/>
              <w:bottom w:val="single" w:sz="4" w:space="0" w:color="auto"/>
              <w:right w:val="nil"/>
            </w:tcBorders>
            <w:shd w:val="clear" w:color="auto" w:fill="auto"/>
            <w:noWrap/>
            <w:vAlign w:val="center"/>
          </w:tcPr>
          <w:p w14:paraId="58BA600C" w14:textId="77777777" w:rsidR="00722B14" w:rsidRPr="007C770B" w:rsidRDefault="00722B14" w:rsidP="00DD3BAE">
            <w:pPr>
              <w:spacing w:before="0" w:after="0"/>
              <w:jc w:val="center"/>
              <w:rPr>
                <w:color w:val="000000"/>
                <w:sz w:val="16"/>
                <w:szCs w:val="16"/>
              </w:rPr>
            </w:pPr>
            <w:r w:rsidRPr="007C770B">
              <w:rPr>
                <w:color w:val="000000"/>
                <w:sz w:val="16"/>
                <w:szCs w:val="16"/>
              </w:rPr>
              <w:t>SI</w:t>
            </w:r>
          </w:p>
        </w:tc>
        <w:tc>
          <w:tcPr>
            <w:tcW w:w="621" w:type="dxa"/>
            <w:tcBorders>
              <w:top w:val="single" w:sz="4" w:space="0" w:color="auto"/>
              <w:left w:val="nil"/>
              <w:bottom w:val="single" w:sz="4" w:space="0" w:color="auto"/>
              <w:right w:val="nil"/>
            </w:tcBorders>
            <w:shd w:val="clear" w:color="auto" w:fill="auto"/>
            <w:vAlign w:val="center"/>
          </w:tcPr>
          <w:p w14:paraId="0103A273"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single" w:sz="4" w:space="0" w:color="auto"/>
              <w:left w:val="nil"/>
              <w:bottom w:val="single" w:sz="4" w:space="0" w:color="auto"/>
              <w:right w:val="nil"/>
            </w:tcBorders>
            <w:shd w:val="clear" w:color="auto" w:fill="auto"/>
            <w:vAlign w:val="center"/>
          </w:tcPr>
          <w:p w14:paraId="037BD373" w14:textId="77777777" w:rsidR="00722B14" w:rsidRPr="007C770B" w:rsidRDefault="00722B14" w:rsidP="00DD3BAE">
            <w:pPr>
              <w:spacing w:before="0" w:after="0"/>
              <w:jc w:val="center"/>
              <w:rPr>
                <w:color w:val="000000"/>
                <w:sz w:val="16"/>
                <w:szCs w:val="16"/>
              </w:rPr>
            </w:pPr>
            <w:r w:rsidRPr="007C770B">
              <w:rPr>
                <w:color w:val="000000"/>
                <w:sz w:val="16"/>
                <w:szCs w:val="16"/>
              </w:rPr>
              <w:t>39.50</w:t>
            </w:r>
          </w:p>
        </w:tc>
        <w:tc>
          <w:tcPr>
            <w:tcW w:w="661" w:type="dxa"/>
            <w:tcBorders>
              <w:top w:val="single" w:sz="4" w:space="0" w:color="auto"/>
              <w:left w:val="nil"/>
              <w:bottom w:val="single" w:sz="4" w:space="0" w:color="auto"/>
              <w:right w:val="nil"/>
            </w:tcBorders>
            <w:shd w:val="clear" w:color="auto" w:fill="auto"/>
            <w:vAlign w:val="center"/>
          </w:tcPr>
          <w:p w14:paraId="406B82B3" w14:textId="77777777" w:rsidR="00722B14" w:rsidRPr="007C770B" w:rsidRDefault="00722B14" w:rsidP="00DD3BAE">
            <w:pPr>
              <w:spacing w:before="0" w:after="0"/>
              <w:jc w:val="center"/>
              <w:rPr>
                <w:color w:val="000000"/>
                <w:sz w:val="16"/>
                <w:szCs w:val="16"/>
              </w:rPr>
            </w:pPr>
            <w:r w:rsidRPr="007C770B">
              <w:rPr>
                <w:color w:val="000000"/>
                <w:sz w:val="16"/>
                <w:szCs w:val="16"/>
              </w:rPr>
              <w:t>22.84</w:t>
            </w:r>
          </w:p>
        </w:tc>
        <w:tc>
          <w:tcPr>
            <w:tcW w:w="1109" w:type="dxa"/>
            <w:tcBorders>
              <w:top w:val="single" w:sz="4" w:space="0" w:color="auto"/>
              <w:left w:val="nil"/>
              <w:bottom w:val="single" w:sz="4" w:space="0" w:color="auto"/>
              <w:right w:val="nil"/>
            </w:tcBorders>
            <w:shd w:val="clear" w:color="auto" w:fill="auto"/>
            <w:noWrap/>
            <w:vAlign w:val="center"/>
          </w:tcPr>
          <w:p w14:paraId="7781DA88" w14:textId="77777777" w:rsidR="00722B14" w:rsidRPr="007C770B" w:rsidRDefault="00722B14" w:rsidP="00DD3BAE">
            <w:pPr>
              <w:spacing w:before="0" w:after="0"/>
              <w:jc w:val="center"/>
              <w:rPr>
                <w:color w:val="000000"/>
                <w:sz w:val="16"/>
                <w:szCs w:val="16"/>
              </w:rPr>
            </w:pPr>
            <w:r w:rsidRPr="007C770B">
              <w:rPr>
                <w:color w:val="000000"/>
                <w:sz w:val="16"/>
                <w:szCs w:val="16"/>
              </w:rPr>
              <w:t>-7.31 ±0.28</w:t>
            </w:r>
          </w:p>
        </w:tc>
        <w:tc>
          <w:tcPr>
            <w:tcW w:w="1109" w:type="dxa"/>
            <w:tcBorders>
              <w:top w:val="single" w:sz="4" w:space="0" w:color="auto"/>
              <w:left w:val="nil"/>
              <w:bottom w:val="single" w:sz="4" w:space="0" w:color="auto"/>
              <w:right w:val="nil"/>
            </w:tcBorders>
            <w:shd w:val="clear" w:color="auto" w:fill="auto"/>
            <w:vAlign w:val="center"/>
          </w:tcPr>
          <w:p w14:paraId="4BA99BA0" w14:textId="77777777" w:rsidR="00722B14" w:rsidRPr="007C770B" w:rsidRDefault="00722B14" w:rsidP="00DD3BAE">
            <w:pPr>
              <w:spacing w:before="0" w:after="0"/>
              <w:jc w:val="center"/>
              <w:rPr>
                <w:color w:val="000000"/>
                <w:sz w:val="16"/>
                <w:szCs w:val="16"/>
              </w:rPr>
            </w:pPr>
            <w:r w:rsidRPr="007C770B">
              <w:rPr>
                <w:color w:val="000000"/>
                <w:sz w:val="16"/>
                <w:szCs w:val="16"/>
              </w:rPr>
              <w:t>1.59 ±0.85</w:t>
            </w:r>
          </w:p>
        </w:tc>
        <w:tc>
          <w:tcPr>
            <w:tcW w:w="797" w:type="dxa"/>
            <w:tcBorders>
              <w:top w:val="single" w:sz="4" w:space="0" w:color="auto"/>
              <w:left w:val="nil"/>
              <w:bottom w:val="single" w:sz="4" w:space="0" w:color="auto"/>
              <w:right w:val="nil"/>
            </w:tcBorders>
            <w:shd w:val="clear" w:color="auto" w:fill="auto"/>
            <w:vAlign w:val="center"/>
          </w:tcPr>
          <w:p w14:paraId="44C42BA8" w14:textId="77777777" w:rsidR="00722B14" w:rsidRDefault="00722B14" w:rsidP="00DD3BAE">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single" w:sz="4" w:space="0" w:color="auto"/>
              <w:right w:val="nil"/>
            </w:tcBorders>
            <w:shd w:val="clear" w:color="auto" w:fill="auto"/>
            <w:noWrap/>
            <w:vAlign w:val="center"/>
          </w:tcPr>
          <w:p w14:paraId="34CBA067" w14:textId="77777777" w:rsidR="00722B14" w:rsidRDefault="00722B14" w:rsidP="00DD3BAE">
            <w:pPr>
              <w:spacing w:before="0" w:after="0"/>
              <w:jc w:val="center"/>
              <w:rPr>
                <w:i/>
                <w:color w:val="000000"/>
                <w:sz w:val="16"/>
                <w:szCs w:val="16"/>
              </w:rPr>
            </w:pPr>
            <w:r>
              <w:rPr>
                <w:i/>
                <w:color w:val="000000"/>
                <w:sz w:val="16"/>
                <w:szCs w:val="16"/>
              </w:rPr>
              <w:t>-6.0 (-8.3 to -3.6)</w:t>
            </w:r>
          </w:p>
        </w:tc>
      </w:tr>
      <w:tr w:rsidR="00722B14" w14:paraId="5267050B" w14:textId="77777777" w:rsidTr="00DE79BD">
        <w:trPr>
          <w:cantSplit/>
          <w:trHeight w:val="227"/>
          <w:jc w:val="center"/>
        </w:trPr>
        <w:tc>
          <w:tcPr>
            <w:tcW w:w="1077" w:type="dxa"/>
            <w:vAlign w:val="center"/>
          </w:tcPr>
          <w:p w14:paraId="4D7C39F2" w14:textId="77777777" w:rsidR="00722B14" w:rsidRDefault="00722B14" w:rsidP="00DD3BAE">
            <w:pPr>
              <w:spacing w:before="0" w:after="0"/>
              <w:jc w:val="center"/>
              <w:rPr>
                <w:color w:val="000000"/>
                <w:sz w:val="16"/>
                <w:szCs w:val="16"/>
              </w:rPr>
            </w:pPr>
          </w:p>
        </w:tc>
        <w:tc>
          <w:tcPr>
            <w:tcW w:w="1115" w:type="dxa"/>
            <w:noWrap/>
            <w:vAlign w:val="center"/>
          </w:tcPr>
          <w:p w14:paraId="31C7D228"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59D61FD2" w14:textId="77777777" w:rsidR="00722B14" w:rsidRDefault="00722B14" w:rsidP="00DD3BAE">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068FAC96" w14:textId="77777777" w:rsidR="00722B14" w:rsidRDefault="00722B14" w:rsidP="00DD3BAE">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50DC9C2E" w14:textId="77777777" w:rsidR="00722B14" w:rsidRDefault="00722B14" w:rsidP="00DD3BAE">
            <w:pPr>
              <w:spacing w:before="0" w:after="0"/>
              <w:jc w:val="center"/>
              <w:rPr>
                <w:color w:val="000000"/>
                <w:sz w:val="16"/>
                <w:szCs w:val="16"/>
              </w:rPr>
            </w:pPr>
            <w:r>
              <w:rPr>
                <w:color w:val="000000"/>
                <w:sz w:val="16"/>
                <w:szCs w:val="16"/>
              </w:rPr>
              <w:t>30.41</w:t>
            </w:r>
          </w:p>
        </w:tc>
        <w:tc>
          <w:tcPr>
            <w:tcW w:w="661" w:type="dxa"/>
            <w:tcBorders>
              <w:top w:val="single" w:sz="4" w:space="0" w:color="auto"/>
              <w:left w:val="nil"/>
              <w:bottom w:val="nil"/>
              <w:right w:val="nil"/>
            </w:tcBorders>
            <w:shd w:val="clear" w:color="auto" w:fill="CCFFCC"/>
            <w:vAlign w:val="center"/>
            <w:hideMark/>
          </w:tcPr>
          <w:p w14:paraId="3A607890" w14:textId="77777777" w:rsidR="00722B14" w:rsidRDefault="00722B14" w:rsidP="00DD3BAE">
            <w:pPr>
              <w:spacing w:before="0" w:after="0"/>
              <w:jc w:val="center"/>
              <w:rPr>
                <w:color w:val="000000"/>
                <w:sz w:val="16"/>
                <w:szCs w:val="16"/>
              </w:rPr>
            </w:pPr>
            <w:r>
              <w:rPr>
                <w:color w:val="000000"/>
                <w:sz w:val="16"/>
                <w:szCs w:val="16"/>
              </w:rPr>
              <w:t>18.55</w:t>
            </w:r>
          </w:p>
        </w:tc>
        <w:tc>
          <w:tcPr>
            <w:tcW w:w="1109" w:type="dxa"/>
            <w:tcBorders>
              <w:top w:val="single" w:sz="4" w:space="0" w:color="auto"/>
              <w:left w:val="nil"/>
              <w:bottom w:val="nil"/>
              <w:right w:val="nil"/>
            </w:tcBorders>
            <w:noWrap/>
            <w:vAlign w:val="center"/>
            <w:hideMark/>
          </w:tcPr>
          <w:p w14:paraId="21FDFCB6" w14:textId="77777777" w:rsidR="00722B14" w:rsidRDefault="00722B14" w:rsidP="00DD3BAE">
            <w:pPr>
              <w:spacing w:before="0" w:after="0"/>
              <w:jc w:val="center"/>
              <w:rPr>
                <w:color w:val="000000"/>
                <w:sz w:val="16"/>
                <w:szCs w:val="16"/>
              </w:rPr>
            </w:pPr>
            <w:r>
              <w:rPr>
                <w:color w:val="000000"/>
                <w:sz w:val="16"/>
                <w:szCs w:val="16"/>
              </w:rPr>
              <w:t>-8.66 ±0.24</w:t>
            </w:r>
          </w:p>
        </w:tc>
        <w:tc>
          <w:tcPr>
            <w:tcW w:w="1109" w:type="dxa"/>
            <w:tcBorders>
              <w:top w:val="single" w:sz="4" w:space="0" w:color="auto"/>
              <w:left w:val="nil"/>
              <w:bottom w:val="nil"/>
              <w:right w:val="nil"/>
            </w:tcBorders>
            <w:vAlign w:val="center"/>
            <w:hideMark/>
          </w:tcPr>
          <w:p w14:paraId="27D4A823" w14:textId="77777777" w:rsidR="00722B14" w:rsidRDefault="00722B14" w:rsidP="00DD3BAE">
            <w:pPr>
              <w:spacing w:before="0" w:after="0"/>
              <w:jc w:val="center"/>
              <w:rPr>
                <w:color w:val="000000"/>
                <w:sz w:val="16"/>
                <w:szCs w:val="16"/>
              </w:rPr>
            </w:pPr>
            <w:r>
              <w:rPr>
                <w:color w:val="000000"/>
                <w:sz w:val="16"/>
                <w:szCs w:val="16"/>
              </w:rPr>
              <w:t>1.22 ±0.17</w:t>
            </w:r>
          </w:p>
        </w:tc>
        <w:tc>
          <w:tcPr>
            <w:tcW w:w="797" w:type="dxa"/>
            <w:tcBorders>
              <w:top w:val="single" w:sz="4" w:space="0" w:color="auto"/>
              <w:left w:val="nil"/>
              <w:bottom w:val="nil"/>
              <w:right w:val="nil"/>
            </w:tcBorders>
            <w:vAlign w:val="center"/>
            <w:hideMark/>
          </w:tcPr>
          <w:p w14:paraId="24430E46" w14:textId="77777777" w:rsidR="00722B14" w:rsidRDefault="00722B14" w:rsidP="00DD3BAE">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3B8758D0" w14:textId="77777777" w:rsidR="00722B14" w:rsidRDefault="00722B14" w:rsidP="00DD3BAE">
            <w:pPr>
              <w:spacing w:before="0" w:after="0"/>
              <w:jc w:val="center"/>
              <w:rPr>
                <w:i/>
                <w:color w:val="000000"/>
                <w:sz w:val="16"/>
                <w:szCs w:val="16"/>
              </w:rPr>
            </w:pPr>
            <w:r>
              <w:rPr>
                <w:i/>
                <w:color w:val="000000"/>
                <w:sz w:val="16"/>
                <w:szCs w:val="16"/>
              </w:rPr>
              <w:t>-6.9 (-8.1 to -5.2)</w:t>
            </w:r>
          </w:p>
        </w:tc>
      </w:tr>
      <w:tr w:rsidR="00722B14" w14:paraId="611FC2C4" w14:textId="77777777" w:rsidTr="00DE79BD">
        <w:trPr>
          <w:cantSplit/>
          <w:trHeight w:val="227"/>
          <w:jc w:val="center"/>
        </w:trPr>
        <w:tc>
          <w:tcPr>
            <w:tcW w:w="1077" w:type="dxa"/>
            <w:vAlign w:val="center"/>
          </w:tcPr>
          <w:p w14:paraId="55395CE6" w14:textId="77777777" w:rsidR="00722B14" w:rsidRDefault="00722B14" w:rsidP="00DD3BAE">
            <w:pPr>
              <w:spacing w:before="0" w:after="0"/>
              <w:jc w:val="center"/>
              <w:rPr>
                <w:color w:val="000000"/>
                <w:sz w:val="16"/>
                <w:szCs w:val="16"/>
              </w:rPr>
            </w:pPr>
          </w:p>
        </w:tc>
        <w:tc>
          <w:tcPr>
            <w:tcW w:w="1115" w:type="dxa"/>
            <w:noWrap/>
            <w:vAlign w:val="center"/>
          </w:tcPr>
          <w:p w14:paraId="14ADBE98" w14:textId="77777777" w:rsidR="00722B14" w:rsidRDefault="00722B14" w:rsidP="00DD3BAE">
            <w:pPr>
              <w:spacing w:before="0" w:after="0"/>
              <w:jc w:val="center"/>
              <w:rPr>
                <w:color w:val="000000"/>
                <w:sz w:val="16"/>
                <w:szCs w:val="16"/>
              </w:rPr>
            </w:pPr>
          </w:p>
        </w:tc>
        <w:tc>
          <w:tcPr>
            <w:tcW w:w="789" w:type="dxa"/>
            <w:noWrap/>
            <w:vAlign w:val="center"/>
          </w:tcPr>
          <w:p w14:paraId="68759B4B" w14:textId="77777777" w:rsidR="00722B14" w:rsidRDefault="00722B14" w:rsidP="00DD3BAE">
            <w:pPr>
              <w:spacing w:before="0" w:after="0"/>
              <w:jc w:val="center"/>
              <w:rPr>
                <w:color w:val="000000"/>
                <w:sz w:val="16"/>
                <w:szCs w:val="16"/>
              </w:rPr>
            </w:pPr>
          </w:p>
        </w:tc>
        <w:tc>
          <w:tcPr>
            <w:tcW w:w="621" w:type="dxa"/>
            <w:vAlign w:val="center"/>
            <w:hideMark/>
          </w:tcPr>
          <w:p w14:paraId="02D3706E" w14:textId="77777777" w:rsidR="00722B14" w:rsidRDefault="00722B14" w:rsidP="00DD3BAE">
            <w:pPr>
              <w:spacing w:before="0" w:after="0"/>
              <w:jc w:val="center"/>
              <w:rPr>
                <w:color w:val="000000"/>
                <w:sz w:val="16"/>
                <w:szCs w:val="16"/>
              </w:rPr>
            </w:pPr>
            <w:r>
              <w:rPr>
                <w:color w:val="000000"/>
                <w:sz w:val="16"/>
                <w:szCs w:val="16"/>
              </w:rPr>
              <w:t>2011</w:t>
            </w:r>
          </w:p>
        </w:tc>
        <w:tc>
          <w:tcPr>
            <w:tcW w:w="661" w:type="dxa"/>
            <w:vAlign w:val="center"/>
            <w:hideMark/>
          </w:tcPr>
          <w:p w14:paraId="048CD9D2" w14:textId="77777777" w:rsidR="00722B14" w:rsidRDefault="00722B14" w:rsidP="00DD3BAE">
            <w:pPr>
              <w:spacing w:before="0" w:after="0"/>
              <w:jc w:val="center"/>
              <w:rPr>
                <w:color w:val="000000"/>
                <w:sz w:val="16"/>
                <w:szCs w:val="16"/>
              </w:rPr>
            </w:pPr>
            <w:r>
              <w:rPr>
                <w:color w:val="000000"/>
                <w:sz w:val="16"/>
                <w:szCs w:val="16"/>
              </w:rPr>
              <w:t>40.43</w:t>
            </w:r>
          </w:p>
        </w:tc>
        <w:tc>
          <w:tcPr>
            <w:tcW w:w="661" w:type="dxa"/>
            <w:shd w:val="clear" w:color="auto" w:fill="CCFFCC"/>
            <w:vAlign w:val="center"/>
            <w:hideMark/>
          </w:tcPr>
          <w:p w14:paraId="2A8D0710" w14:textId="77777777" w:rsidR="00722B14" w:rsidRDefault="00722B14" w:rsidP="00DD3BAE">
            <w:pPr>
              <w:spacing w:before="0" w:after="0"/>
              <w:jc w:val="center"/>
              <w:rPr>
                <w:color w:val="000000"/>
                <w:sz w:val="16"/>
                <w:szCs w:val="16"/>
              </w:rPr>
            </w:pPr>
            <w:r>
              <w:rPr>
                <w:color w:val="000000"/>
                <w:sz w:val="16"/>
                <w:szCs w:val="16"/>
              </w:rPr>
              <w:t>17.29</w:t>
            </w:r>
          </w:p>
        </w:tc>
        <w:tc>
          <w:tcPr>
            <w:tcW w:w="1109" w:type="dxa"/>
            <w:noWrap/>
            <w:vAlign w:val="center"/>
            <w:hideMark/>
          </w:tcPr>
          <w:p w14:paraId="7F54BD00" w14:textId="77777777" w:rsidR="00722B14" w:rsidRDefault="00722B14" w:rsidP="00DD3BAE">
            <w:pPr>
              <w:spacing w:before="0" w:after="0"/>
              <w:jc w:val="center"/>
              <w:rPr>
                <w:color w:val="000000"/>
                <w:sz w:val="16"/>
                <w:szCs w:val="16"/>
              </w:rPr>
            </w:pPr>
            <w:r>
              <w:rPr>
                <w:color w:val="000000"/>
                <w:sz w:val="16"/>
                <w:szCs w:val="16"/>
              </w:rPr>
              <w:t>-7.02 ±0.11</w:t>
            </w:r>
          </w:p>
        </w:tc>
        <w:tc>
          <w:tcPr>
            <w:tcW w:w="1109" w:type="dxa"/>
            <w:vAlign w:val="center"/>
            <w:hideMark/>
          </w:tcPr>
          <w:p w14:paraId="70E3B5E6" w14:textId="77777777" w:rsidR="00722B14" w:rsidRDefault="00722B14" w:rsidP="00DD3BAE">
            <w:pPr>
              <w:spacing w:before="0" w:after="0"/>
              <w:jc w:val="center"/>
              <w:rPr>
                <w:color w:val="000000"/>
                <w:sz w:val="16"/>
                <w:szCs w:val="16"/>
              </w:rPr>
            </w:pPr>
            <w:r>
              <w:rPr>
                <w:color w:val="000000"/>
                <w:sz w:val="16"/>
                <w:szCs w:val="16"/>
              </w:rPr>
              <w:t>1.80 ±0.24</w:t>
            </w:r>
          </w:p>
        </w:tc>
        <w:tc>
          <w:tcPr>
            <w:tcW w:w="797" w:type="dxa"/>
            <w:vAlign w:val="center"/>
          </w:tcPr>
          <w:p w14:paraId="6AC63BC0" w14:textId="77777777" w:rsidR="00722B14" w:rsidRDefault="00722B14" w:rsidP="00DD3BAE">
            <w:pPr>
              <w:spacing w:before="0" w:after="0"/>
              <w:jc w:val="center"/>
              <w:rPr>
                <w:i/>
                <w:color w:val="000000"/>
                <w:sz w:val="16"/>
                <w:szCs w:val="16"/>
              </w:rPr>
            </w:pPr>
          </w:p>
        </w:tc>
        <w:tc>
          <w:tcPr>
            <w:tcW w:w="1557" w:type="dxa"/>
            <w:noWrap/>
            <w:vAlign w:val="center"/>
          </w:tcPr>
          <w:p w14:paraId="51EF370D" w14:textId="77777777" w:rsidR="00722B14" w:rsidRDefault="00722B14" w:rsidP="00DD3BAE">
            <w:pPr>
              <w:spacing w:before="0" w:after="0"/>
              <w:jc w:val="center"/>
              <w:rPr>
                <w:i/>
                <w:color w:val="000000"/>
                <w:sz w:val="16"/>
                <w:szCs w:val="16"/>
              </w:rPr>
            </w:pPr>
          </w:p>
        </w:tc>
      </w:tr>
      <w:tr w:rsidR="00722B14" w14:paraId="4E39C703" w14:textId="77777777" w:rsidTr="00DE79BD">
        <w:trPr>
          <w:cantSplit/>
          <w:trHeight w:val="227"/>
          <w:jc w:val="center"/>
        </w:trPr>
        <w:tc>
          <w:tcPr>
            <w:tcW w:w="1077" w:type="dxa"/>
            <w:vAlign w:val="center"/>
          </w:tcPr>
          <w:p w14:paraId="1A7FB944" w14:textId="77777777" w:rsidR="00722B14" w:rsidRDefault="00722B14" w:rsidP="00DD3BAE">
            <w:pPr>
              <w:spacing w:before="0" w:after="0"/>
              <w:jc w:val="center"/>
              <w:rPr>
                <w:color w:val="000000"/>
                <w:sz w:val="16"/>
                <w:szCs w:val="16"/>
              </w:rPr>
            </w:pPr>
          </w:p>
        </w:tc>
        <w:tc>
          <w:tcPr>
            <w:tcW w:w="1115" w:type="dxa"/>
            <w:noWrap/>
            <w:vAlign w:val="center"/>
          </w:tcPr>
          <w:p w14:paraId="30F313EF" w14:textId="77777777" w:rsidR="00722B14" w:rsidRDefault="00722B14" w:rsidP="00DD3BAE">
            <w:pPr>
              <w:spacing w:before="0" w:after="0"/>
              <w:jc w:val="center"/>
              <w:rPr>
                <w:color w:val="000000"/>
                <w:sz w:val="16"/>
                <w:szCs w:val="16"/>
              </w:rPr>
            </w:pPr>
          </w:p>
        </w:tc>
        <w:tc>
          <w:tcPr>
            <w:tcW w:w="789" w:type="dxa"/>
            <w:noWrap/>
            <w:vAlign w:val="center"/>
          </w:tcPr>
          <w:p w14:paraId="7850946F" w14:textId="77777777" w:rsidR="00722B14" w:rsidRDefault="00722B14" w:rsidP="00DD3BAE">
            <w:pPr>
              <w:spacing w:before="0" w:after="0"/>
              <w:jc w:val="center"/>
              <w:rPr>
                <w:color w:val="000000"/>
                <w:sz w:val="16"/>
                <w:szCs w:val="16"/>
              </w:rPr>
            </w:pPr>
          </w:p>
        </w:tc>
        <w:tc>
          <w:tcPr>
            <w:tcW w:w="621" w:type="dxa"/>
            <w:vAlign w:val="center"/>
            <w:hideMark/>
          </w:tcPr>
          <w:p w14:paraId="465B53A5"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38A4BB61" w14:textId="77777777" w:rsidR="00722B14" w:rsidRDefault="00722B14" w:rsidP="00DD3BAE">
            <w:pPr>
              <w:spacing w:before="0" w:after="0"/>
              <w:jc w:val="center"/>
              <w:rPr>
                <w:color w:val="000000"/>
                <w:sz w:val="16"/>
                <w:szCs w:val="16"/>
              </w:rPr>
            </w:pPr>
            <w:r>
              <w:rPr>
                <w:color w:val="000000"/>
                <w:sz w:val="16"/>
                <w:szCs w:val="16"/>
              </w:rPr>
              <w:t>38.71</w:t>
            </w:r>
          </w:p>
        </w:tc>
        <w:tc>
          <w:tcPr>
            <w:tcW w:w="661" w:type="dxa"/>
            <w:shd w:val="clear" w:color="auto" w:fill="CCFFCC"/>
            <w:vAlign w:val="center"/>
            <w:hideMark/>
          </w:tcPr>
          <w:p w14:paraId="22B55B4C" w14:textId="77777777" w:rsidR="00722B14" w:rsidRDefault="00722B14" w:rsidP="00DD3BAE">
            <w:pPr>
              <w:spacing w:before="0" w:after="0"/>
              <w:jc w:val="center"/>
              <w:rPr>
                <w:color w:val="000000"/>
                <w:sz w:val="16"/>
                <w:szCs w:val="16"/>
              </w:rPr>
            </w:pPr>
            <w:r>
              <w:rPr>
                <w:color w:val="000000"/>
                <w:sz w:val="16"/>
                <w:szCs w:val="16"/>
              </w:rPr>
              <w:t>15.97</w:t>
            </w:r>
          </w:p>
        </w:tc>
        <w:tc>
          <w:tcPr>
            <w:tcW w:w="1109" w:type="dxa"/>
            <w:noWrap/>
            <w:vAlign w:val="center"/>
            <w:hideMark/>
          </w:tcPr>
          <w:p w14:paraId="227C2B08" w14:textId="77777777" w:rsidR="00722B14" w:rsidRDefault="00722B14" w:rsidP="00DD3BAE">
            <w:pPr>
              <w:spacing w:before="0" w:after="0"/>
              <w:jc w:val="center"/>
              <w:rPr>
                <w:color w:val="000000"/>
                <w:sz w:val="16"/>
                <w:szCs w:val="16"/>
              </w:rPr>
            </w:pPr>
            <w:r>
              <w:rPr>
                <w:color w:val="000000"/>
                <w:sz w:val="16"/>
                <w:szCs w:val="16"/>
              </w:rPr>
              <w:t>-7.40 ±0.21</w:t>
            </w:r>
          </w:p>
        </w:tc>
        <w:tc>
          <w:tcPr>
            <w:tcW w:w="1109" w:type="dxa"/>
            <w:vAlign w:val="center"/>
            <w:hideMark/>
          </w:tcPr>
          <w:p w14:paraId="108BA322" w14:textId="77777777" w:rsidR="00722B14" w:rsidRDefault="00722B14" w:rsidP="00DD3BAE">
            <w:pPr>
              <w:spacing w:before="0" w:after="0"/>
              <w:jc w:val="center"/>
              <w:rPr>
                <w:color w:val="000000"/>
                <w:sz w:val="16"/>
                <w:szCs w:val="16"/>
              </w:rPr>
            </w:pPr>
            <w:r>
              <w:rPr>
                <w:color w:val="000000"/>
                <w:sz w:val="16"/>
                <w:szCs w:val="16"/>
              </w:rPr>
              <w:t>1.24 ±0.15</w:t>
            </w:r>
          </w:p>
        </w:tc>
        <w:tc>
          <w:tcPr>
            <w:tcW w:w="797" w:type="dxa"/>
            <w:vAlign w:val="center"/>
          </w:tcPr>
          <w:p w14:paraId="57FDFEEE" w14:textId="77777777" w:rsidR="00722B14" w:rsidRDefault="00722B14" w:rsidP="00DD3BAE">
            <w:pPr>
              <w:spacing w:before="0" w:after="0"/>
              <w:jc w:val="center"/>
              <w:rPr>
                <w:i/>
                <w:color w:val="000000"/>
                <w:sz w:val="16"/>
                <w:szCs w:val="16"/>
              </w:rPr>
            </w:pPr>
          </w:p>
        </w:tc>
        <w:tc>
          <w:tcPr>
            <w:tcW w:w="1557" w:type="dxa"/>
            <w:noWrap/>
            <w:vAlign w:val="center"/>
          </w:tcPr>
          <w:p w14:paraId="4629D76A" w14:textId="77777777" w:rsidR="00722B14" w:rsidRDefault="00722B14" w:rsidP="00DD3BAE">
            <w:pPr>
              <w:spacing w:before="0" w:after="0"/>
              <w:jc w:val="center"/>
              <w:rPr>
                <w:i/>
                <w:color w:val="000000"/>
                <w:sz w:val="16"/>
                <w:szCs w:val="16"/>
              </w:rPr>
            </w:pPr>
          </w:p>
        </w:tc>
      </w:tr>
      <w:tr w:rsidR="00722B14" w14:paraId="2EB098E6" w14:textId="77777777" w:rsidTr="00DE79BD">
        <w:trPr>
          <w:cantSplit/>
          <w:trHeight w:val="227"/>
          <w:jc w:val="center"/>
        </w:trPr>
        <w:tc>
          <w:tcPr>
            <w:tcW w:w="1077" w:type="dxa"/>
            <w:vAlign w:val="center"/>
          </w:tcPr>
          <w:p w14:paraId="19949F33" w14:textId="77777777" w:rsidR="00722B14" w:rsidRDefault="00722B14" w:rsidP="00DD3BAE">
            <w:pPr>
              <w:spacing w:before="0" w:after="0"/>
              <w:jc w:val="center"/>
              <w:rPr>
                <w:color w:val="000000"/>
                <w:sz w:val="16"/>
                <w:szCs w:val="16"/>
              </w:rPr>
            </w:pPr>
          </w:p>
        </w:tc>
        <w:tc>
          <w:tcPr>
            <w:tcW w:w="1115" w:type="dxa"/>
            <w:noWrap/>
            <w:vAlign w:val="center"/>
          </w:tcPr>
          <w:p w14:paraId="75AC2A96" w14:textId="77777777" w:rsidR="00722B14" w:rsidRDefault="00722B14" w:rsidP="00DD3BAE">
            <w:pPr>
              <w:spacing w:before="0" w:after="0"/>
              <w:jc w:val="center"/>
              <w:rPr>
                <w:color w:val="000000"/>
                <w:sz w:val="16"/>
                <w:szCs w:val="16"/>
              </w:rPr>
            </w:pPr>
          </w:p>
        </w:tc>
        <w:tc>
          <w:tcPr>
            <w:tcW w:w="789" w:type="dxa"/>
            <w:noWrap/>
            <w:vAlign w:val="center"/>
          </w:tcPr>
          <w:p w14:paraId="68EAAC22" w14:textId="77777777" w:rsidR="00722B14" w:rsidRDefault="00722B14" w:rsidP="00DD3BAE">
            <w:pPr>
              <w:spacing w:before="0" w:after="0"/>
              <w:jc w:val="center"/>
              <w:rPr>
                <w:color w:val="000000"/>
                <w:sz w:val="16"/>
                <w:szCs w:val="16"/>
              </w:rPr>
            </w:pPr>
          </w:p>
        </w:tc>
        <w:tc>
          <w:tcPr>
            <w:tcW w:w="621" w:type="dxa"/>
            <w:vAlign w:val="center"/>
            <w:hideMark/>
          </w:tcPr>
          <w:p w14:paraId="0DDA8712"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137C748A" w14:textId="77777777" w:rsidR="00722B14" w:rsidRDefault="00722B14" w:rsidP="00DD3BAE">
            <w:pPr>
              <w:spacing w:before="0" w:after="0"/>
              <w:jc w:val="center"/>
              <w:rPr>
                <w:color w:val="000000"/>
                <w:sz w:val="16"/>
                <w:szCs w:val="16"/>
              </w:rPr>
            </w:pPr>
            <w:r>
              <w:rPr>
                <w:color w:val="000000"/>
                <w:sz w:val="16"/>
                <w:szCs w:val="16"/>
              </w:rPr>
              <w:t>37.95</w:t>
            </w:r>
          </w:p>
        </w:tc>
        <w:tc>
          <w:tcPr>
            <w:tcW w:w="661" w:type="dxa"/>
            <w:shd w:val="clear" w:color="auto" w:fill="CCFFCC"/>
            <w:vAlign w:val="center"/>
            <w:hideMark/>
          </w:tcPr>
          <w:p w14:paraId="288F920C" w14:textId="77777777" w:rsidR="00722B14" w:rsidRDefault="00722B14" w:rsidP="00DD3BAE">
            <w:pPr>
              <w:spacing w:before="0" w:after="0"/>
              <w:jc w:val="center"/>
              <w:rPr>
                <w:color w:val="000000"/>
                <w:sz w:val="16"/>
                <w:szCs w:val="16"/>
              </w:rPr>
            </w:pPr>
            <w:r>
              <w:rPr>
                <w:color w:val="000000"/>
                <w:sz w:val="16"/>
                <w:szCs w:val="16"/>
              </w:rPr>
              <w:t>17.12</w:t>
            </w:r>
          </w:p>
        </w:tc>
        <w:tc>
          <w:tcPr>
            <w:tcW w:w="1109" w:type="dxa"/>
            <w:shd w:val="clear" w:color="auto" w:fill="CCFFCC"/>
            <w:noWrap/>
            <w:vAlign w:val="center"/>
            <w:hideMark/>
          </w:tcPr>
          <w:p w14:paraId="26E2ADE1" w14:textId="77777777" w:rsidR="00722B14" w:rsidRDefault="00722B14" w:rsidP="00DD3BAE">
            <w:pPr>
              <w:spacing w:before="0" w:after="0"/>
              <w:jc w:val="center"/>
              <w:rPr>
                <w:color w:val="000000"/>
                <w:sz w:val="16"/>
                <w:szCs w:val="16"/>
              </w:rPr>
            </w:pPr>
            <w:r>
              <w:rPr>
                <w:color w:val="000000"/>
                <w:sz w:val="16"/>
                <w:szCs w:val="16"/>
              </w:rPr>
              <w:t>-6.34 ±0.18</w:t>
            </w:r>
          </w:p>
        </w:tc>
        <w:tc>
          <w:tcPr>
            <w:tcW w:w="1109" w:type="dxa"/>
            <w:vAlign w:val="center"/>
            <w:hideMark/>
          </w:tcPr>
          <w:p w14:paraId="61354A35" w14:textId="77777777" w:rsidR="00722B14" w:rsidRDefault="00722B14" w:rsidP="00DD3BAE">
            <w:pPr>
              <w:spacing w:before="0" w:after="0"/>
              <w:jc w:val="center"/>
              <w:rPr>
                <w:color w:val="000000"/>
                <w:sz w:val="16"/>
                <w:szCs w:val="16"/>
              </w:rPr>
            </w:pPr>
            <w:r>
              <w:rPr>
                <w:color w:val="000000"/>
                <w:sz w:val="16"/>
                <w:szCs w:val="16"/>
              </w:rPr>
              <w:t>2.88 ±0.47</w:t>
            </w:r>
          </w:p>
        </w:tc>
        <w:tc>
          <w:tcPr>
            <w:tcW w:w="797" w:type="dxa"/>
            <w:vAlign w:val="center"/>
          </w:tcPr>
          <w:p w14:paraId="546CB94E" w14:textId="77777777" w:rsidR="00722B14" w:rsidRDefault="00722B14" w:rsidP="00DD3BAE">
            <w:pPr>
              <w:spacing w:before="0" w:after="0"/>
              <w:jc w:val="center"/>
              <w:rPr>
                <w:i/>
                <w:color w:val="000000"/>
                <w:sz w:val="16"/>
                <w:szCs w:val="16"/>
              </w:rPr>
            </w:pPr>
          </w:p>
        </w:tc>
        <w:tc>
          <w:tcPr>
            <w:tcW w:w="1557" w:type="dxa"/>
            <w:noWrap/>
            <w:vAlign w:val="center"/>
          </w:tcPr>
          <w:p w14:paraId="6A0DCE4F" w14:textId="77777777" w:rsidR="00722B14" w:rsidRDefault="00722B14" w:rsidP="00DD3BAE">
            <w:pPr>
              <w:spacing w:before="0" w:after="0"/>
              <w:jc w:val="center"/>
              <w:rPr>
                <w:i/>
                <w:color w:val="000000"/>
                <w:sz w:val="16"/>
                <w:szCs w:val="16"/>
              </w:rPr>
            </w:pPr>
          </w:p>
        </w:tc>
      </w:tr>
      <w:tr w:rsidR="00722B14" w14:paraId="0A427A53" w14:textId="77777777" w:rsidTr="00DE79BD">
        <w:trPr>
          <w:cantSplit/>
          <w:trHeight w:val="227"/>
          <w:jc w:val="center"/>
        </w:trPr>
        <w:tc>
          <w:tcPr>
            <w:tcW w:w="1077" w:type="dxa"/>
            <w:vAlign w:val="center"/>
          </w:tcPr>
          <w:p w14:paraId="47E66E1F"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6E1B686F"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2C826DFA"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22C1C8D8"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7F42C2B5" w14:textId="77777777" w:rsidR="00722B14" w:rsidRDefault="00722B14" w:rsidP="00DD3BAE">
            <w:pPr>
              <w:spacing w:before="0" w:after="0"/>
              <w:jc w:val="center"/>
              <w:rPr>
                <w:color w:val="000000"/>
                <w:sz w:val="16"/>
                <w:szCs w:val="16"/>
              </w:rPr>
            </w:pPr>
            <w:r>
              <w:rPr>
                <w:color w:val="000000"/>
                <w:sz w:val="16"/>
                <w:szCs w:val="16"/>
              </w:rPr>
              <w:t>40.29</w:t>
            </w:r>
          </w:p>
        </w:tc>
        <w:tc>
          <w:tcPr>
            <w:tcW w:w="661" w:type="dxa"/>
            <w:tcBorders>
              <w:top w:val="nil"/>
              <w:left w:val="nil"/>
              <w:right w:val="nil"/>
            </w:tcBorders>
            <w:shd w:val="clear" w:color="auto" w:fill="CCFFCC"/>
            <w:vAlign w:val="center"/>
            <w:hideMark/>
          </w:tcPr>
          <w:p w14:paraId="3F349B75" w14:textId="77777777" w:rsidR="00722B14" w:rsidRDefault="00722B14" w:rsidP="00DD3BAE">
            <w:pPr>
              <w:spacing w:before="0" w:after="0"/>
              <w:jc w:val="center"/>
              <w:rPr>
                <w:color w:val="000000"/>
                <w:sz w:val="16"/>
                <w:szCs w:val="16"/>
              </w:rPr>
            </w:pPr>
            <w:r>
              <w:rPr>
                <w:color w:val="000000"/>
                <w:sz w:val="16"/>
                <w:szCs w:val="16"/>
              </w:rPr>
              <w:t>17.36</w:t>
            </w:r>
          </w:p>
        </w:tc>
        <w:tc>
          <w:tcPr>
            <w:tcW w:w="1109" w:type="dxa"/>
            <w:tcBorders>
              <w:top w:val="nil"/>
              <w:left w:val="nil"/>
              <w:right w:val="nil"/>
            </w:tcBorders>
            <w:shd w:val="clear" w:color="auto" w:fill="CCFFCC"/>
            <w:noWrap/>
            <w:vAlign w:val="center"/>
            <w:hideMark/>
          </w:tcPr>
          <w:p w14:paraId="603C9B2A" w14:textId="77777777" w:rsidR="00722B14" w:rsidRDefault="00722B14" w:rsidP="00DD3BAE">
            <w:pPr>
              <w:spacing w:before="0" w:after="0"/>
              <w:jc w:val="center"/>
              <w:rPr>
                <w:color w:val="000000"/>
                <w:sz w:val="16"/>
                <w:szCs w:val="16"/>
              </w:rPr>
            </w:pPr>
            <w:r>
              <w:rPr>
                <w:color w:val="000000"/>
                <w:sz w:val="16"/>
                <w:szCs w:val="16"/>
              </w:rPr>
              <w:t>-6.80 ±0.19</w:t>
            </w:r>
          </w:p>
        </w:tc>
        <w:tc>
          <w:tcPr>
            <w:tcW w:w="1109" w:type="dxa"/>
            <w:tcBorders>
              <w:top w:val="nil"/>
              <w:left w:val="nil"/>
              <w:right w:val="nil"/>
            </w:tcBorders>
            <w:vAlign w:val="center"/>
            <w:hideMark/>
          </w:tcPr>
          <w:p w14:paraId="101974ED" w14:textId="77777777" w:rsidR="00722B14" w:rsidRDefault="00722B14" w:rsidP="00DD3BAE">
            <w:pPr>
              <w:spacing w:before="0" w:after="0"/>
              <w:jc w:val="center"/>
              <w:rPr>
                <w:color w:val="000000"/>
                <w:sz w:val="16"/>
                <w:szCs w:val="16"/>
              </w:rPr>
            </w:pPr>
            <w:r>
              <w:rPr>
                <w:color w:val="000000"/>
                <w:sz w:val="16"/>
                <w:szCs w:val="16"/>
              </w:rPr>
              <w:t>1.84 ±0.28</w:t>
            </w:r>
          </w:p>
        </w:tc>
        <w:tc>
          <w:tcPr>
            <w:tcW w:w="797" w:type="dxa"/>
            <w:tcBorders>
              <w:top w:val="nil"/>
              <w:left w:val="nil"/>
              <w:right w:val="nil"/>
            </w:tcBorders>
            <w:vAlign w:val="center"/>
          </w:tcPr>
          <w:p w14:paraId="3BA7535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1D34B64D" w14:textId="77777777" w:rsidR="00722B14" w:rsidRDefault="00722B14" w:rsidP="00DD3BAE">
            <w:pPr>
              <w:spacing w:before="0" w:after="0"/>
              <w:jc w:val="center"/>
              <w:rPr>
                <w:i/>
                <w:color w:val="000000"/>
                <w:sz w:val="16"/>
                <w:szCs w:val="16"/>
              </w:rPr>
            </w:pPr>
          </w:p>
        </w:tc>
      </w:tr>
      <w:tr w:rsidR="00722B14" w14:paraId="2706B195" w14:textId="77777777" w:rsidTr="00DE79BD">
        <w:trPr>
          <w:cantSplit/>
          <w:trHeight w:val="227"/>
          <w:jc w:val="center"/>
        </w:trPr>
        <w:tc>
          <w:tcPr>
            <w:tcW w:w="1077" w:type="dxa"/>
            <w:tcBorders>
              <w:top w:val="nil"/>
              <w:left w:val="nil"/>
              <w:right w:val="nil"/>
            </w:tcBorders>
            <w:shd w:val="clear" w:color="auto" w:fill="auto"/>
            <w:vAlign w:val="center"/>
          </w:tcPr>
          <w:p w14:paraId="335B672B"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5491AC1E"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7384F062"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4E06D89C"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77B0BFFF" w14:textId="77777777" w:rsidR="00722B14" w:rsidRPr="007C770B" w:rsidRDefault="00722B14" w:rsidP="00DD3BAE">
            <w:pPr>
              <w:spacing w:before="0" w:after="0"/>
              <w:jc w:val="center"/>
              <w:rPr>
                <w:color w:val="000000"/>
                <w:sz w:val="16"/>
                <w:szCs w:val="16"/>
              </w:rPr>
            </w:pPr>
            <w:r w:rsidRPr="007C770B">
              <w:rPr>
                <w:color w:val="000000"/>
                <w:sz w:val="16"/>
                <w:szCs w:val="16"/>
              </w:rPr>
              <w:t>41.11</w:t>
            </w:r>
          </w:p>
        </w:tc>
        <w:tc>
          <w:tcPr>
            <w:tcW w:w="661" w:type="dxa"/>
            <w:tcBorders>
              <w:top w:val="nil"/>
              <w:left w:val="nil"/>
              <w:right w:val="nil"/>
            </w:tcBorders>
            <w:shd w:val="clear" w:color="auto" w:fill="CCFFCC"/>
            <w:vAlign w:val="center"/>
          </w:tcPr>
          <w:p w14:paraId="52C285FB" w14:textId="77777777" w:rsidR="00722B14" w:rsidRPr="007C770B" w:rsidRDefault="00722B14" w:rsidP="00DD3BAE">
            <w:pPr>
              <w:spacing w:before="0" w:after="0"/>
              <w:jc w:val="center"/>
              <w:rPr>
                <w:color w:val="000000"/>
                <w:sz w:val="16"/>
                <w:szCs w:val="16"/>
              </w:rPr>
            </w:pPr>
            <w:r w:rsidRPr="007C770B">
              <w:rPr>
                <w:color w:val="000000"/>
                <w:sz w:val="16"/>
                <w:szCs w:val="16"/>
              </w:rPr>
              <w:t>15.76</w:t>
            </w:r>
          </w:p>
        </w:tc>
        <w:tc>
          <w:tcPr>
            <w:tcW w:w="1109" w:type="dxa"/>
            <w:tcBorders>
              <w:top w:val="nil"/>
              <w:left w:val="nil"/>
              <w:right w:val="nil"/>
            </w:tcBorders>
            <w:shd w:val="clear" w:color="auto" w:fill="auto"/>
            <w:noWrap/>
            <w:vAlign w:val="center"/>
          </w:tcPr>
          <w:p w14:paraId="0B9AE134" w14:textId="77777777" w:rsidR="00722B14" w:rsidRPr="007C770B" w:rsidRDefault="00722B14" w:rsidP="00DD3BAE">
            <w:pPr>
              <w:spacing w:before="0" w:after="0"/>
              <w:jc w:val="center"/>
              <w:rPr>
                <w:color w:val="000000"/>
                <w:sz w:val="16"/>
                <w:szCs w:val="16"/>
              </w:rPr>
            </w:pPr>
            <w:r w:rsidRPr="007C770B">
              <w:rPr>
                <w:color w:val="000000"/>
                <w:sz w:val="16"/>
                <w:szCs w:val="16"/>
              </w:rPr>
              <w:t>-8.79 ±0.15</w:t>
            </w:r>
          </w:p>
        </w:tc>
        <w:tc>
          <w:tcPr>
            <w:tcW w:w="1109" w:type="dxa"/>
            <w:tcBorders>
              <w:top w:val="nil"/>
              <w:left w:val="nil"/>
              <w:right w:val="nil"/>
            </w:tcBorders>
            <w:shd w:val="clear" w:color="auto" w:fill="auto"/>
            <w:vAlign w:val="center"/>
          </w:tcPr>
          <w:p w14:paraId="4FBE3466" w14:textId="77777777" w:rsidR="00722B14" w:rsidRPr="007C770B" w:rsidRDefault="00722B14" w:rsidP="00DD3BAE">
            <w:pPr>
              <w:spacing w:before="0" w:after="0"/>
              <w:jc w:val="center"/>
              <w:rPr>
                <w:color w:val="000000"/>
                <w:sz w:val="16"/>
                <w:szCs w:val="16"/>
              </w:rPr>
            </w:pPr>
            <w:r w:rsidRPr="007C770B">
              <w:rPr>
                <w:color w:val="000000"/>
                <w:sz w:val="16"/>
                <w:szCs w:val="16"/>
              </w:rPr>
              <w:t>1.67 ±0.18</w:t>
            </w:r>
          </w:p>
        </w:tc>
        <w:tc>
          <w:tcPr>
            <w:tcW w:w="797" w:type="dxa"/>
            <w:tcBorders>
              <w:top w:val="nil"/>
              <w:left w:val="nil"/>
              <w:right w:val="nil"/>
            </w:tcBorders>
            <w:shd w:val="clear" w:color="auto" w:fill="auto"/>
            <w:vAlign w:val="center"/>
          </w:tcPr>
          <w:p w14:paraId="4EED02D9"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759317D8" w14:textId="77777777" w:rsidR="00722B14" w:rsidRDefault="00722B14" w:rsidP="00DD3BAE">
            <w:pPr>
              <w:spacing w:before="0" w:after="0"/>
              <w:jc w:val="center"/>
              <w:rPr>
                <w:i/>
                <w:color w:val="000000"/>
                <w:sz w:val="16"/>
                <w:szCs w:val="16"/>
              </w:rPr>
            </w:pPr>
          </w:p>
        </w:tc>
      </w:tr>
      <w:tr w:rsidR="00722B14" w14:paraId="52F2B7F3" w14:textId="77777777" w:rsidTr="00DE79BD">
        <w:trPr>
          <w:cantSplit/>
          <w:trHeight w:val="227"/>
          <w:jc w:val="center"/>
        </w:trPr>
        <w:tc>
          <w:tcPr>
            <w:tcW w:w="1077" w:type="dxa"/>
            <w:tcBorders>
              <w:left w:val="nil"/>
              <w:right w:val="nil"/>
            </w:tcBorders>
            <w:shd w:val="clear" w:color="auto" w:fill="auto"/>
            <w:vAlign w:val="center"/>
          </w:tcPr>
          <w:p w14:paraId="46D75B33"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4ED28499"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7D35CFF3"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4778C79"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4954C6B6" w14:textId="77777777" w:rsidR="00722B14" w:rsidRPr="00AC7F15" w:rsidRDefault="00722B14" w:rsidP="00DD3BAE">
            <w:pPr>
              <w:spacing w:before="0" w:after="0"/>
              <w:jc w:val="center"/>
              <w:rPr>
                <w:color w:val="000000"/>
                <w:sz w:val="16"/>
                <w:szCs w:val="16"/>
              </w:rPr>
            </w:pPr>
            <w:r w:rsidRPr="00AC7F15">
              <w:rPr>
                <w:color w:val="000000"/>
                <w:sz w:val="16"/>
                <w:szCs w:val="16"/>
              </w:rPr>
              <w:t>40.05</w:t>
            </w:r>
          </w:p>
        </w:tc>
        <w:tc>
          <w:tcPr>
            <w:tcW w:w="661" w:type="dxa"/>
            <w:tcBorders>
              <w:left w:val="nil"/>
              <w:bottom w:val="single" w:sz="4" w:space="0" w:color="auto"/>
              <w:right w:val="nil"/>
            </w:tcBorders>
            <w:shd w:val="clear" w:color="auto" w:fill="CCFFCC"/>
            <w:vAlign w:val="center"/>
          </w:tcPr>
          <w:p w14:paraId="54581C44" w14:textId="77777777" w:rsidR="00722B14" w:rsidRPr="00AC7F15" w:rsidRDefault="00722B14" w:rsidP="00DD3BAE">
            <w:pPr>
              <w:spacing w:before="0" w:after="0"/>
              <w:jc w:val="center"/>
              <w:rPr>
                <w:color w:val="000000"/>
                <w:sz w:val="16"/>
                <w:szCs w:val="16"/>
              </w:rPr>
            </w:pPr>
            <w:r>
              <w:rPr>
                <w:color w:val="000000"/>
                <w:sz w:val="16"/>
                <w:szCs w:val="16"/>
              </w:rPr>
              <w:t>16.21</w:t>
            </w:r>
          </w:p>
        </w:tc>
        <w:tc>
          <w:tcPr>
            <w:tcW w:w="1109" w:type="dxa"/>
            <w:tcBorders>
              <w:left w:val="nil"/>
              <w:bottom w:val="single" w:sz="4" w:space="0" w:color="auto"/>
              <w:right w:val="nil"/>
            </w:tcBorders>
            <w:shd w:val="clear" w:color="auto" w:fill="auto"/>
            <w:noWrap/>
            <w:vAlign w:val="center"/>
          </w:tcPr>
          <w:p w14:paraId="534148F9" w14:textId="77777777" w:rsidR="00722B14" w:rsidRPr="00AC7F15" w:rsidRDefault="00722B14" w:rsidP="00DD3BAE">
            <w:pPr>
              <w:spacing w:before="0" w:after="0"/>
              <w:jc w:val="center"/>
              <w:rPr>
                <w:color w:val="000000"/>
                <w:sz w:val="16"/>
                <w:szCs w:val="16"/>
              </w:rPr>
            </w:pPr>
            <w:r w:rsidRPr="00AC7F15">
              <w:rPr>
                <w:color w:val="000000"/>
                <w:sz w:val="16"/>
                <w:szCs w:val="16"/>
              </w:rPr>
              <w:t>-7.52 ±0.15</w:t>
            </w:r>
          </w:p>
        </w:tc>
        <w:tc>
          <w:tcPr>
            <w:tcW w:w="1109" w:type="dxa"/>
            <w:tcBorders>
              <w:left w:val="nil"/>
              <w:bottom w:val="single" w:sz="4" w:space="0" w:color="auto"/>
              <w:right w:val="nil"/>
            </w:tcBorders>
            <w:shd w:val="clear" w:color="auto" w:fill="auto"/>
            <w:vAlign w:val="center"/>
          </w:tcPr>
          <w:p w14:paraId="0A99645B" w14:textId="77777777" w:rsidR="00722B14" w:rsidRPr="00AC7F15" w:rsidRDefault="00722B14" w:rsidP="00DD3BAE">
            <w:pPr>
              <w:spacing w:before="0" w:after="0"/>
              <w:jc w:val="center"/>
              <w:rPr>
                <w:color w:val="000000"/>
                <w:sz w:val="16"/>
                <w:szCs w:val="16"/>
              </w:rPr>
            </w:pPr>
            <w:r w:rsidRPr="00AC7F15">
              <w:rPr>
                <w:color w:val="000000"/>
                <w:sz w:val="16"/>
                <w:szCs w:val="16"/>
              </w:rPr>
              <w:t>2.04 ±0.24</w:t>
            </w:r>
          </w:p>
        </w:tc>
        <w:tc>
          <w:tcPr>
            <w:tcW w:w="797" w:type="dxa"/>
            <w:tcBorders>
              <w:left w:val="nil"/>
              <w:bottom w:val="single" w:sz="4" w:space="0" w:color="auto"/>
              <w:right w:val="nil"/>
            </w:tcBorders>
            <w:shd w:val="clear" w:color="auto" w:fill="auto"/>
            <w:vAlign w:val="center"/>
          </w:tcPr>
          <w:p w14:paraId="39ABC01D"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0CF5F633" w14:textId="77777777" w:rsidR="00722B14" w:rsidRDefault="00722B14" w:rsidP="00DD3BAE">
            <w:pPr>
              <w:spacing w:before="0" w:after="0"/>
              <w:jc w:val="center"/>
              <w:rPr>
                <w:i/>
                <w:color w:val="000000"/>
                <w:sz w:val="16"/>
                <w:szCs w:val="16"/>
              </w:rPr>
            </w:pPr>
          </w:p>
        </w:tc>
      </w:tr>
      <w:tr w:rsidR="00722B14" w14:paraId="30F8A6E7" w14:textId="77777777" w:rsidTr="00DE79BD">
        <w:trPr>
          <w:cantSplit/>
          <w:trHeight w:val="227"/>
          <w:jc w:val="center"/>
        </w:trPr>
        <w:tc>
          <w:tcPr>
            <w:tcW w:w="1077" w:type="dxa"/>
            <w:vAlign w:val="center"/>
          </w:tcPr>
          <w:p w14:paraId="4487D2AC"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29A9F1D1" w14:textId="77777777" w:rsidR="00722B14" w:rsidRDefault="00722B14" w:rsidP="00DD3BAE">
            <w:pPr>
              <w:spacing w:before="0" w:after="0"/>
              <w:jc w:val="center"/>
              <w:rPr>
                <w:color w:val="000000"/>
                <w:sz w:val="16"/>
                <w:szCs w:val="16"/>
              </w:rPr>
            </w:pPr>
            <w:r>
              <w:rPr>
                <w:color w:val="000000"/>
                <w:sz w:val="16"/>
                <w:szCs w:val="16"/>
              </w:rPr>
              <w:t>reef subtidal</w:t>
            </w:r>
          </w:p>
        </w:tc>
        <w:tc>
          <w:tcPr>
            <w:tcW w:w="789" w:type="dxa"/>
            <w:tcBorders>
              <w:top w:val="single" w:sz="4" w:space="0" w:color="auto"/>
              <w:left w:val="nil"/>
              <w:bottom w:val="nil"/>
              <w:right w:val="nil"/>
            </w:tcBorders>
            <w:noWrap/>
            <w:vAlign w:val="center"/>
            <w:hideMark/>
          </w:tcPr>
          <w:p w14:paraId="77AEB6E3" w14:textId="77777777" w:rsidR="00722B14" w:rsidRDefault="00722B14" w:rsidP="00DD3BAE">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14:paraId="04AB2C1D"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35C7FB93" w14:textId="77777777" w:rsidR="00722B14" w:rsidRDefault="00722B14" w:rsidP="00DD3BAE">
            <w:pPr>
              <w:spacing w:before="0" w:after="0"/>
              <w:jc w:val="center"/>
              <w:rPr>
                <w:color w:val="000000"/>
                <w:sz w:val="16"/>
                <w:szCs w:val="16"/>
              </w:rPr>
            </w:pPr>
            <w:r>
              <w:rPr>
                <w:color w:val="000000"/>
                <w:sz w:val="16"/>
                <w:szCs w:val="16"/>
              </w:rPr>
              <w:t>40.91</w:t>
            </w:r>
          </w:p>
        </w:tc>
        <w:tc>
          <w:tcPr>
            <w:tcW w:w="661" w:type="dxa"/>
            <w:tcBorders>
              <w:top w:val="single" w:sz="4" w:space="0" w:color="auto"/>
              <w:left w:val="nil"/>
              <w:bottom w:val="nil"/>
              <w:right w:val="nil"/>
            </w:tcBorders>
            <w:shd w:val="clear" w:color="auto" w:fill="CCFFCC"/>
            <w:vAlign w:val="center"/>
            <w:hideMark/>
          </w:tcPr>
          <w:p w14:paraId="540B023B" w14:textId="77777777" w:rsidR="00722B14" w:rsidRDefault="00722B14" w:rsidP="00DD3BAE">
            <w:pPr>
              <w:spacing w:before="0" w:after="0"/>
              <w:jc w:val="center"/>
              <w:rPr>
                <w:color w:val="000000"/>
                <w:sz w:val="16"/>
                <w:szCs w:val="16"/>
              </w:rPr>
            </w:pPr>
            <w:r>
              <w:rPr>
                <w:color w:val="000000"/>
                <w:sz w:val="16"/>
                <w:szCs w:val="16"/>
              </w:rPr>
              <w:t>16.77</w:t>
            </w:r>
          </w:p>
        </w:tc>
        <w:tc>
          <w:tcPr>
            <w:tcW w:w="1109" w:type="dxa"/>
            <w:tcBorders>
              <w:top w:val="single" w:sz="4" w:space="0" w:color="auto"/>
              <w:left w:val="nil"/>
              <w:bottom w:val="nil"/>
              <w:right w:val="nil"/>
            </w:tcBorders>
            <w:noWrap/>
            <w:vAlign w:val="center"/>
            <w:hideMark/>
          </w:tcPr>
          <w:p w14:paraId="45616461" w14:textId="77777777" w:rsidR="00722B14" w:rsidRDefault="00722B14" w:rsidP="00DD3BAE">
            <w:pPr>
              <w:spacing w:before="0" w:after="0"/>
              <w:jc w:val="center"/>
              <w:rPr>
                <w:color w:val="000000"/>
                <w:sz w:val="16"/>
                <w:szCs w:val="16"/>
              </w:rPr>
            </w:pPr>
            <w:r>
              <w:rPr>
                <w:color w:val="000000"/>
                <w:sz w:val="16"/>
                <w:szCs w:val="16"/>
              </w:rPr>
              <w:t>-9.50 ±0.20</w:t>
            </w:r>
          </w:p>
        </w:tc>
        <w:tc>
          <w:tcPr>
            <w:tcW w:w="1109" w:type="dxa"/>
            <w:tcBorders>
              <w:top w:val="single" w:sz="4" w:space="0" w:color="auto"/>
              <w:left w:val="nil"/>
              <w:bottom w:val="nil"/>
              <w:right w:val="nil"/>
            </w:tcBorders>
            <w:vAlign w:val="center"/>
            <w:hideMark/>
          </w:tcPr>
          <w:p w14:paraId="4454BA00" w14:textId="77777777" w:rsidR="00722B14" w:rsidRDefault="00722B14" w:rsidP="00DD3BAE">
            <w:pPr>
              <w:spacing w:before="0" w:after="0"/>
              <w:jc w:val="center"/>
              <w:rPr>
                <w:color w:val="000000"/>
                <w:sz w:val="16"/>
                <w:szCs w:val="16"/>
              </w:rPr>
            </w:pPr>
            <w:r>
              <w:rPr>
                <w:color w:val="000000"/>
                <w:sz w:val="16"/>
                <w:szCs w:val="16"/>
              </w:rPr>
              <w:t>-0.37 ±0.37</w:t>
            </w:r>
          </w:p>
        </w:tc>
        <w:tc>
          <w:tcPr>
            <w:tcW w:w="797" w:type="dxa"/>
            <w:tcBorders>
              <w:top w:val="single" w:sz="4" w:space="0" w:color="auto"/>
              <w:left w:val="nil"/>
              <w:bottom w:val="nil"/>
              <w:right w:val="nil"/>
            </w:tcBorders>
            <w:vAlign w:val="center"/>
            <w:hideMark/>
          </w:tcPr>
          <w:p w14:paraId="017066E6" w14:textId="77777777" w:rsidR="00722B14" w:rsidRDefault="00722B14" w:rsidP="00DD3BAE">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14:paraId="50283150" w14:textId="77777777" w:rsidR="00722B14" w:rsidRDefault="00722B14" w:rsidP="00DD3BAE">
            <w:pPr>
              <w:spacing w:before="0" w:after="0"/>
              <w:jc w:val="center"/>
              <w:rPr>
                <w:i/>
                <w:color w:val="000000"/>
                <w:sz w:val="16"/>
                <w:szCs w:val="16"/>
              </w:rPr>
            </w:pPr>
            <w:r>
              <w:rPr>
                <w:i/>
                <w:color w:val="000000"/>
                <w:sz w:val="16"/>
                <w:szCs w:val="16"/>
              </w:rPr>
              <w:t>-8.1 (-8.9 to -7.4)</w:t>
            </w:r>
          </w:p>
        </w:tc>
      </w:tr>
      <w:tr w:rsidR="00722B14" w14:paraId="6E431F5E" w14:textId="77777777" w:rsidTr="00DE79BD">
        <w:trPr>
          <w:cantSplit/>
          <w:trHeight w:val="227"/>
          <w:jc w:val="center"/>
        </w:trPr>
        <w:tc>
          <w:tcPr>
            <w:tcW w:w="1077" w:type="dxa"/>
            <w:vAlign w:val="center"/>
          </w:tcPr>
          <w:p w14:paraId="4E27ACE1" w14:textId="77777777" w:rsidR="00722B14" w:rsidRDefault="00722B14" w:rsidP="00DD3BAE">
            <w:pPr>
              <w:spacing w:before="0" w:after="0"/>
              <w:jc w:val="center"/>
              <w:rPr>
                <w:color w:val="000000"/>
                <w:sz w:val="16"/>
                <w:szCs w:val="16"/>
              </w:rPr>
            </w:pPr>
          </w:p>
        </w:tc>
        <w:tc>
          <w:tcPr>
            <w:tcW w:w="1115" w:type="dxa"/>
            <w:noWrap/>
            <w:vAlign w:val="center"/>
          </w:tcPr>
          <w:p w14:paraId="63202015"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627BB87E"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3F61A51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20068194" w14:textId="77777777" w:rsidR="00722B14" w:rsidRDefault="00722B14" w:rsidP="00DD3BAE">
            <w:pPr>
              <w:spacing w:before="0" w:after="0"/>
              <w:jc w:val="center"/>
              <w:rPr>
                <w:color w:val="000000"/>
                <w:sz w:val="16"/>
                <w:szCs w:val="16"/>
              </w:rPr>
            </w:pPr>
            <w:r>
              <w:rPr>
                <w:color w:val="000000"/>
                <w:sz w:val="16"/>
                <w:szCs w:val="16"/>
              </w:rPr>
              <w:t>41.73</w:t>
            </w:r>
          </w:p>
        </w:tc>
        <w:tc>
          <w:tcPr>
            <w:tcW w:w="661" w:type="dxa"/>
            <w:tcBorders>
              <w:top w:val="nil"/>
              <w:left w:val="nil"/>
              <w:right w:val="nil"/>
            </w:tcBorders>
            <w:shd w:val="clear" w:color="auto" w:fill="CCFFCC"/>
            <w:vAlign w:val="center"/>
            <w:hideMark/>
          </w:tcPr>
          <w:p w14:paraId="34A5BCAB" w14:textId="77777777" w:rsidR="00722B14" w:rsidRDefault="00722B14" w:rsidP="00DD3BAE">
            <w:pPr>
              <w:spacing w:before="0" w:after="0"/>
              <w:jc w:val="center"/>
              <w:rPr>
                <w:color w:val="000000"/>
                <w:sz w:val="16"/>
                <w:szCs w:val="16"/>
              </w:rPr>
            </w:pPr>
            <w:r>
              <w:rPr>
                <w:color w:val="000000"/>
                <w:sz w:val="16"/>
                <w:szCs w:val="16"/>
              </w:rPr>
              <w:t>17.00</w:t>
            </w:r>
          </w:p>
        </w:tc>
        <w:tc>
          <w:tcPr>
            <w:tcW w:w="1109" w:type="dxa"/>
            <w:tcBorders>
              <w:top w:val="nil"/>
              <w:left w:val="nil"/>
              <w:right w:val="nil"/>
            </w:tcBorders>
            <w:noWrap/>
            <w:vAlign w:val="center"/>
            <w:hideMark/>
          </w:tcPr>
          <w:p w14:paraId="5543C4E9" w14:textId="77777777" w:rsidR="00722B14" w:rsidRDefault="00722B14" w:rsidP="00DD3BAE">
            <w:pPr>
              <w:spacing w:before="0" w:after="0"/>
              <w:jc w:val="center"/>
              <w:rPr>
                <w:color w:val="000000"/>
                <w:sz w:val="16"/>
                <w:szCs w:val="16"/>
              </w:rPr>
            </w:pPr>
            <w:r>
              <w:rPr>
                <w:color w:val="000000"/>
                <w:sz w:val="16"/>
                <w:szCs w:val="16"/>
              </w:rPr>
              <w:t>-9.85 ±0.16</w:t>
            </w:r>
          </w:p>
        </w:tc>
        <w:tc>
          <w:tcPr>
            <w:tcW w:w="1109" w:type="dxa"/>
            <w:tcBorders>
              <w:top w:val="nil"/>
              <w:left w:val="nil"/>
              <w:right w:val="nil"/>
            </w:tcBorders>
            <w:vAlign w:val="center"/>
            <w:hideMark/>
          </w:tcPr>
          <w:p w14:paraId="23E601DA" w14:textId="77777777" w:rsidR="00722B14" w:rsidRDefault="00722B14" w:rsidP="00DD3BAE">
            <w:pPr>
              <w:spacing w:before="0" w:after="0"/>
              <w:jc w:val="center"/>
              <w:rPr>
                <w:color w:val="000000"/>
                <w:sz w:val="16"/>
                <w:szCs w:val="16"/>
              </w:rPr>
            </w:pPr>
            <w:r>
              <w:rPr>
                <w:color w:val="000000"/>
                <w:sz w:val="16"/>
                <w:szCs w:val="16"/>
              </w:rPr>
              <w:t>1.09 ±0.23</w:t>
            </w:r>
          </w:p>
        </w:tc>
        <w:tc>
          <w:tcPr>
            <w:tcW w:w="797" w:type="dxa"/>
            <w:tcBorders>
              <w:top w:val="nil"/>
              <w:left w:val="nil"/>
              <w:right w:val="nil"/>
            </w:tcBorders>
            <w:vAlign w:val="center"/>
          </w:tcPr>
          <w:p w14:paraId="49E1CE8D"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76BDE690" w14:textId="77777777" w:rsidR="00722B14" w:rsidRDefault="00722B14" w:rsidP="00DD3BAE">
            <w:pPr>
              <w:spacing w:before="0" w:after="0"/>
              <w:jc w:val="center"/>
              <w:rPr>
                <w:i/>
                <w:color w:val="000000"/>
                <w:sz w:val="16"/>
                <w:szCs w:val="16"/>
              </w:rPr>
            </w:pPr>
          </w:p>
        </w:tc>
      </w:tr>
      <w:tr w:rsidR="00722B14" w14:paraId="228EADA6" w14:textId="77777777" w:rsidTr="00DE79BD">
        <w:trPr>
          <w:cantSplit/>
          <w:trHeight w:val="227"/>
          <w:jc w:val="center"/>
        </w:trPr>
        <w:tc>
          <w:tcPr>
            <w:tcW w:w="1077" w:type="dxa"/>
            <w:tcBorders>
              <w:top w:val="nil"/>
              <w:left w:val="nil"/>
              <w:right w:val="nil"/>
            </w:tcBorders>
            <w:shd w:val="clear" w:color="auto" w:fill="auto"/>
            <w:vAlign w:val="center"/>
          </w:tcPr>
          <w:p w14:paraId="20173922"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35F79B0E"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7704296C"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75B5FD0E"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61BA06C8" w14:textId="77777777" w:rsidR="00722B14" w:rsidRPr="007C770B" w:rsidRDefault="00722B14" w:rsidP="00DD3BAE">
            <w:pPr>
              <w:spacing w:before="0" w:after="0"/>
              <w:jc w:val="center"/>
              <w:rPr>
                <w:color w:val="000000"/>
                <w:sz w:val="16"/>
                <w:szCs w:val="16"/>
              </w:rPr>
            </w:pPr>
            <w:r w:rsidRPr="007C770B">
              <w:rPr>
                <w:color w:val="000000"/>
                <w:sz w:val="16"/>
                <w:szCs w:val="16"/>
              </w:rPr>
              <w:t>41.43</w:t>
            </w:r>
          </w:p>
        </w:tc>
        <w:tc>
          <w:tcPr>
            <w:tcW w:w="661" w:type="dxa"/>
            <w:tcBorders>
              <w:top w:val="nil"/>
              <w:left w:val="nil"/>
              <w:right w:val="nil"/>
            </w:tcBorders>
            <w:shd w:val="clear" w:color="auto" w:fill="CCFFCC"/>
            <w:vAlign w:val="center"/>
          </w:tcPr>
          <w:p w14:paraId="38A31ADF" w14:textId="77777777" w:rsidR="00722B14" w:rsidRPr="007C770B" w:rsidRDefault="00722B14" w:rsidP="00DD3BAE">
            <w:pPr>
              <w:spacing w:before="0" w:after="0"/>
              <w:jc w:val="center"/>
              <w:rPr>
                <w:color w:val="000000"/>
                <w:sz w:val="16"/>
                <w:szCs w:val="16"/>
              </w:rPr>
            </w:pPr>
            <w:r w:rsidRPr="007C770B">
              <w:rPr>
                <w:color w:val="000000"/>
                <w:sz w:val="16"/>
                <w:szCs w:val="16"/>
              </w:rPr>
              <w:t>17.59</w:t>
            </w:r>
          </w:p>
        </w:tc>
        <w:tc>
          <w:tcPr>
            <w:tcW w:w="1109" w:type="dxa"/>
            <w:tcBorders>
              <w:top w:val="nil"/>
              <w:left w:val="nil"/>
              <w:right w:val="nil"/>
            </w:tcBorders>
            <w:shd w:val="clear" w:color="auto" w:fill="CCFFCC"/>
            <w:noWrap/>
            <w:vAlign w:val="center"/>
          </w:tcPr>
          <w:p w14:paraId="644AAC49" w14:textId="77777777" w:rsidR="00722B14" w:rsidRPr="007C770B" w:rsidRDefault="00722B14" w:rsidP="00DD3BAE">
            <w:pPr>
              <w:spacing w:before="0" w:after="0"/>
              <w:jc w:val="center"/>
              <w:rPr>
                <w:color w:val="000000"/>
                <w:sz w:val="16"/>
                <w:szCs w:val="16"/>
              </w:rPr>
            </w:pPr>
            <w:r w:rsidRPr="007C770B">
              <w:rPr>
                <w:color w:val="000000"/>
                <w:sz w:val="16"/>
                <w:szCs w:val="16"/>
              </w:rPr>
              <w:t>-7.65 ±1.35</w:t>
            </w:r>
          </w:p>
        </w:tc>
        <w:tc>
          <w:tcPr>
            <w:tcW w:w="1109" w:type="dxa"/>
            <w:tcBorders>
              <w:top w:val="nil"/>
              <w:left w:val="nil"/>
              <w:right w:val="nil"/>
            </w:tcBorders>
            <w:shd w:val="clear" w:color="auto" w:fill="auto"/>
            <w:vAlign w:val="center"/>
          </w:tcPr>
          <w:p w14:paraId="1FC04D1B" w14:textId="77777777" w:rsidR="00722B14" w:rsidRPr="007C770B" w:rsidRDefault="00722B14" w:rsidP="00DD3BAE">
            <w:pPr>
              <w:spacing w:before="0" w:after="0"/>
              <w:jc w:val="center"/>
              <w:rPr>
                <w:color w:val="000000"/>
                <w:sz w:val="16"/>
                <w:szCs w:val="16"/>
              </w:rPr>
            </w:pPr>
            <w:r w:rsidRPr="007C770B">
              <w:rPr>
                <w:color w:val="000000"/>
                <w:sz w:val="16"/>
                <w:szCs w:val="16"/>
              </w:rPr>
              <w:t>1.87 ±0.89</w:t>
            </w:r>
          </w:p>
        </w:tc>
        <w:tc>
          <w:tcPr>
            <w:tcW w:w="797" w:type="dxa"/>
            <w:tcBorders>
              <w:top w:val="nil"/>
              <w:left w:val="nil"/>
              <w:right w:val="nil"/>
            </w:tcBorders>
            <w:shd w:val="clear" w:color="auto" w:fill="auto"/>
            <w:vAlign w:val="center"/>
          </w:tcPr>
          <w:p w14:paraId="2F5ABD7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4722F145" w14:textId="77777777" w:rsidR="00722B14" w:rsidRDefault="00722B14" w:rsidP="00DD3BAE">
            <w:pPr>
              <w:spacing w:before="0" w:after="0"/>
              <w:jc w:val="center"/>
              <w:rPr>
                <w:i/>
                <w:color w:val="000000"/>
                <w:sz w:val="16"/>
                <w:szCs w:val="16"/>
              </w:rPr>
            </w:pPr>
          </w:p>
        </w:tc>
      </w:tr>
      <w:tr w:rsidR="00722B14" w14:paraId="6DD5D008" w14:textId="77777777" w:rsidTr="00DE79BD">
        <w:trPr>
          <w:cantSplit/>
          <w:trHeight w:val="227"/>
          <w:jc w:val="center"/>
        </w:trPr>
        <w:tc>
          <w:tcPr>
            <w:tcW w:w="1077" w:type="dxa"/>
            <w:tcBorders>
              <w:left w:val="nil"/>
              <w:right w:val="nil"/>
            </w:tcBorders>
            <w:shd w:val="clear" w:color="auto" w:fill="auto"/>
            <w:vAlign w:val="bottom"/>
          </w:tcPr>
          <w:p w14:paraId="56A87B04"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bottom"/>
          </w:tcPr>
          <w:p w14:paraId="18842DC2"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21DC3522"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7EF2209"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4BF96E16" w14:textId="77777777" w:rsidR="00722B14" w:rsidRPr="003E5C17" w:rsidRDefault="00722B14" w:rsidP="00DD3BAE">
            <w:pPr>
              <w:spacing w:before="0" w:after="0"/>
              <w:jc w:val="center"/>
              <w:rPr>
                <w:color w:val="000000"/>
                <w:sz w:val="16"/>
                <w:szCs w:val="16"/>
              </w:rPr>
            </w:pPr>
            <w:r w:rsidRPr="003E5C17">
              <w:rPr>
                <w:color w:val="000000"/>
                <w:sz w:val="16"/>
                <w:szCs w:val="16"/>
              </w:rPr>
              <w:t>42.21</w:t>
            </w:r>
          </w:p>
        </w:tc>
        <w:tc>
          <w:tcPr>
            <w:tcW w:w="661" w:type="dxa"/>
            <w:tcBorders>
              <w:left w:val="nil"/>
              <w:bottom w:val="single" w:sz="4" w:space="0" w:color="auto"/>
              <w:right w:val="nil"/>
            </w:tcBorders>
            <w:shd w:val="clear" w:color="auto" w:fill="auto"/>
            <w:vAlign w:val="center"/>
          </w:tcPr>
          <w:p w14:paraId="3B013263" w14:textId="77777777" w:rsidR="00722B14" w:rsidRPr="003E5C17" w:rsidRDefault="00722B14" w:rsidP="00DD3BAE">
            <w:pPr>
              <w:spacing w:before="0" w:after="0"/>
              <w:jc w:val="center"/>
              <w:rPr>
                <w:color w:val="000000"/>
                <w:sz w:val="16"/>
                <w:szCs w:val="16"/>
              </w:rPr>
            </w:pPr>
            <w:r>
              <w:rPr>
                <w:color w:val="000000"/>
                <w:sz w:val="16"/>
                <w:szCs w:val="16"/>
              </w:rPr>
              <w:t>20.10</w:t>
            </w:r>
          </w:p>
        </w:tc>
        <w:tc>
          <w:tcPr>
            <w:tcW w:w="1109" w:type="dxa"/>
            <w:tcBorders>
              <w:left w:val="nil"/>
              <w:bottom w:val="single" w:sz="4" w:space="0" w:color="auto"/>
              <w:right w:val="nil"/>
            </w:tcBorders>
            <w:shd w:val="clear" w:color="auto" w:fill="auto"/>
            <w:noWrap/>
            <w:vAlign w:val="center"/>
          </w:tcPr>
          <w:p w14:paraId="37F6C520" w14:textId="77777777" w:rsidR="00722B14" w:rsidRPr="003E5C17" w:rsidRDefault="00722B14" w:rsidP="00DD3BAE">
            <w:pPr>
              <w:spacing w:before="0" w:after="0"/>
              <w:jc w:val="center"/>
              <w:rPr>
                <w:color w:val="000000"/>
                <w:sz w:val="16"/>
                <w:szCs w:val="16"/>
              </w:rPr>
            </w:pPr>
            <w:r w:rsidRPr="003E5C17">
              <w:rPr>
                <w:color w:val="000000"/>
                <w:sz w:val="16"/>
                <w:szCs w:val="16"/>
              </w:rPr>
              <w:t>-9.71 ±0.23</w:t>
            </w:r>
          </w:p>
        </w:tc>
        <w:tc>
          <w:tcPr>
            <w:tcW w:w="1109" w:type="dxa"/>
            <w:tcBorders>
              <w:left w:val="nil"/>
              <w:bottom w:val="single" w:sz="4" w:space="0" w:color="auto"/>
              <w:right w:val="nil"/>
            </w:tcBorders>
            <w:shd w:val="clear" w:color="auto" w:fill="auto"/>
            <w:vAlign w:val="center"/>
          </w:tcPr>
          <w:p w14:paraId="10F52934" w14:textId="77777777" w:rsidR="00722B14" w:rsidRPr="003E5C17" w:rsidRDefault="00722B14" w:rsidP="00DD3BAE">
            <w:pPr>
              <w:spacing w:before="0" w:after="0"/>
              <w:jc w:val="center"/>
              <w:rPr>
                <w:color w:val="000000"/>
                <w:sz w:val="16"/>
                <w:szCs w:val="16"/>
              </w:rPr>
            </w:pPr>
            <w:r w:rsidRPr="003E5C17">
              <w:rPr>
                <w:color w:val="000000"/>
                <w:sz w:val="16"/>
                <w:szCs w:val="16"/>
              </w:rPr>
              <w:t>-1.11 ±0.99</w:t>
            </w:r>
          </w:p>
        </w:tc>
        <w:tc>
          <w:tcPr>
            <w:tcW w:w="797" w:type="dxa"/>
            <w:tcBorders>
              <w:left w:val="nil"/>
              <w:bottom w:val="single" w:sz="4" w:space="0" w:color="auto"/>
              <w:right w:val="nil"/>
            </w:tcBorders>
            <w:shd w:val="clear" w:color="auto" w:fill="auto"/>
            <w:vAlign w:val="center"/>
          </w:tcPr>
          <w:p w14:paraId="283A7BCB"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6ABF4A8" w14:textId="77777777" w:rsidR="00722B14" w:rsidRDefault="00722B14" w:rsidP="00DD3BAE">
            <w:pPr>
              <w:spacing w:before="0" w:after="0"/>
              <w:jc w:val="center"/>
              <w:rPr>
                <w:i/>
                <w:color w:val="000000"/>
                <w:sz w:val="16"/>
                <w:szCs w:val="16"/>
              </w:rPr>
            </w:pPr>
          </w:p>
        </w:tc>
      </w:tr>
      <w:tr w:rsidR="00722B14" w14:paraId="334B5332" w14:textId="77777777" w:rsidTr="00DE79BD">
        <w:trPr>
          <w:cantSplit/>
          <w:trHeight w:val="227"/>
          <w:jc w:val="center"/>
        </w:trPr>
        <w:tc>
          <w:tcPr>
            <w:tcW w:w="1077" w:type="dxa"/>
            <w:vAlign w:val="center"/>
          </w:tcPr>
          <w:p w14:paraId="3E9ABE8A" w14:textId="77777777" w:rsidR="00722B14" w:rsidRDefault="00722B14" w:rsidP="00DD3BAE">
            <w:pPr>
              <w:spacing w:before="0" w:after="0"/>
              <w:jc w:val="center"/>
              <w:rPr>
                <w:color w:val="000000"/>
                <w:sz w:val="16"/>
                <w:szCs w:val="16"/>
              </w:rPr>
            </w:pPr>
          </w:p>
        </w:tc>
        <w:tc>
          <w:tcPr>
            <w:tcW w:w="1115" w:type="dxa"/>
            <w:noWrap/>
            <w:vAlign w:val="center"/>
          </w:tcPr>
          <w:p w14:paraId="518C82E2"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1685EE46" w14:textId="77777777" w:rsidR="00722B14" w:rsidRDefault="00722B14" w:rsidP="00DD3BAE">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2B12A290" w14:textId="77777777" w:rsidR="00722B14" w:rsidRDefault="00722B14" w:rsidP="00DD3BAE">
            <w:pPr>
              <w:spacing w:before="0" w:after="0"/>
              <w:jc w:val="center"/>
              <w:rPr>
                <w:color w:val="000000"/>
                <w:sz w:val="16"/>
                <w:szCs w:val="16"/>
              </w:rPr>
            </w:pPr>
            <w:r>
              <w:rPr>
                <w:color w:val="000000"/>
                <w:sz w:val="16"/>
                <w:szCs w:val="16"/>
              </w:rPr>
              <w:t>2008</w:t>
            </w:r>
          </w:p>
        </w:tc>
        <w:tc>
          <w:tcPr>
            <w:tcW w:w="661" w:type="dxa"/>
            <w:tcBorders>
              <w:top w:val="single" w:sz="4" w:space="0" w:color="auto"/>
              <w:left w:val="nil"/>
              <w:bottom w:val="nil"/>
              <w:right w:val="nil"/>
            </w:tcBorders>
            <w:shd w:val="clear" w:color="auto" w:fill="CCFFCC"/>
            <w:vAlign w:val="center"/>
            <w:hideMark/>
          </w:tcPr>
          <w:p w14:paraId="04F32B75" w14:textId="77777777" w:rsidR="00722B14" w:rsidRDefault="00722B14" w:rsidP="00DD3BAE">
            <w:pPr>
              <w:spacing w:before="0" w:after="0"/>
              <w:jc w:val="center"/>
              <w:rPr>
                <w:color w:val="000000"/>
                <w:sz w:val="16"/>
                <w:szCs w:val="16"/>
              </w:rPr>
            </w:pPr>
            <w:r>
              <w:rPr>
                <w:color w:val="000000"/>
                <w:sz w:val="16"/>
                <w:szCs w:val="16"/>
              </w:rPr>
              <w:t>33.35</w:t>
            </w:r>
          </w:p>
        </w:tc>
        <w:tc>
          <w:tcPr>
            <w:tcW w:w="661" w:type="dxa"/>
            <w:tcBorders>
              <w:top w:val="single" w:sz="4" w:space="0" w:color="auto"/>
              <w:left w:val="nil"/>
              <w:bottom w:val="nil"/>
              <w:right w:val="nil"/>
            </w:tcBorders>
            <w:vAlign w:val="center"/>
            <w:hideMark/>
          </w:tcPr>
          <w:p w14:paraId="7FD6E35E" w14:textId="77777777" w:rsidR="00722B14" w:rsidRDefault="00722B14" w:rsidP="00DD3BAE">
            <w:pPr>
              <w:spacing w:before="0" w:after="0"/>
              <w:jc w:val="center"/>
              <w:rPr>
                <w:color w:val="000000"/>
                <w:sz w:val="16"/>
                <w:szCs w:val="16"/>
              </w:rPr>
            </w:pPr>
            <w:r>
              <w:rPr>
                <w:color w:val="000000"/>
                <w:sz w:val="16"/>
                <w:szCs w:val="16"/>
              </w:rPr>
              <w:t>22.74</w:t>
            </w:r>
          </w:p>
        </w:tc>
        <w:tc>
          <w:tcPr>
            <w:tcW w:w="1109" w:type="dxa"/>
            <w:tcBorders>
              <w:top w:val="single" w:sz="4" w:space="0" w:color="auto"/>
              <w:left w:val="nil"/>
              <w:bottom w:val="nil"/>
              <w:right w:val="nil"/>
            </w:tcBorders>
            <w:shd w:val="clear" w:color="auto" w:fill="CCFFCC"/>
            <w:noWrap/>
            <w:vAlign w:val="center"/>
            <w:hideMark/>
          </w:tcPr>
          <w:p w14:paraId="71DD925E" w14:textId="77777777" w:rsidR="00722B14" w:rsidRDefault="00722B14" w:rsidP="00DD3BAE">
            <w:pPr>
              <w:spacing w:before="0" w:after="0"/>
              <w:jc w:val="center"/>
              <w:rPr>
                <w:color w:val="000000"/>
                <w:sz w:val="16"/>
                <w:szCs w:val="16"/>
              </w:rPr>
            </w:pPr>
            <w:r>
              <w:rPr>
                <w:color w:val="000000"/>
                <w:sz w:val="16"/>
                <w:szCs w:val="16"/>
              </w:rPr>
              <w:t>-9.65 ±0.26</w:t>
            </w:r>
          </w:p>
        </w:tc>
        <w:tc>
          <w:tcPr>
            <w:tcW w:w="1109" w:type="dxa"/>
            <w:tcBorders>
              <w:top w:val="single" w:sz="4" w:space="0" w:color="auto"/>
              <w:left w:val="nil"/>
              <w:bottom w:val="nil"/>
              <w:right w:val="nil"/>
            </w:tcBorders>
            <w:vAlign w:val="center"/>
            <w:hideMark/>
          </w:tcPr>
          <w:p w14:paraId="5C451EDA" w14:textId="77777777" w:rsidR="00722B14" w:rsidRDefault="00722B14" w:rsidP="00DD3BAE">
            <w:pPr>
              <w:spacing w:before="0" w:after="0"/>
              <w:jc w:val="center"/>
              <w:rPr>
                <w:color w:val="000000"/>
                <w:sz w:val="16"/>
                <w:szCs w:val="16"/>
              </w:rPr>
            </w:pPr>
            <w:r>
              <w:rPr>
                <w:color w:val="000000"/>
                <w:sz w:val="16"/>
                <w:szCs w:val="16"/>
              </w:rPr>
              <w:t>1.91 ±0.33</w:t>
            </w:r>
          </w:p>
        </w:tc>
        <w:tc>
          <w:tcPr>
            <w:tcW w:w="797" w:type="dxa"/>
            <w:tcBorders>
              <w:top w:val="single" w:sz="4" w:space="0" w:color="auto"/>
              <w:left w:val="nil"/>
              <w:bottom w:val="nil"/>
              <w:right w:val="nil"/>
            </w:tcBorders>
            <w:vAlign w:val="center"/>
            <w:hideMark/>
          </w:tcPr>
          <w:p w14:paraId="62BD7107" w14:textId="77777777" w:rsidR="00722B14" w:rsidRDefault="00722B14" w:rsidP="00DD3BAE">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18A5FF99" w14:textId="77777777" w:rsidR="00722B14" w:rsidRDefault="00722B14" w:rsidP="00DD3BAE">
            <w:pPr>
              <w:spacing w:before="0" w:after="0"/>
              <w:jc w:val="center"/>
              <w:rPr>
                <w:i/>
                <w:color w:val="000000"/>
                <w:sz w:val="16"/>
                <w:szCs w:val="16"/>
              </w:rPr>
            </w:pPr>
            <w:r>
              <w:rPr>
                <w:i/>
                <w:color w:val="000000"/>
                <w:sz w:val="16"/>
                <w:szCs w:val="16"/>
              </w:rPr>
              <w:t>-10.7 (-12.4 to -8.0)</w:t>
            </w:r>
          </w:p>
        </w:tc>
      </w:tr>
      <w:tr w:rsidR="00722B14" w14:paraId="2D741335" w14:textId="77777777" w:rsidTr="00DE79BD">
        <w:trPr>
          <w:cantSplit/>
          <w:trHeight w:val="227"/>
          <w:jc w:val="center"/>
        </w:trPr>
        <w:tc>
          <w:tcPr>
            <w:tcW w:w="1077" w:type="dxa"/>
            <w:vAlign w:val="center"/>
          </w:tcPr>
          <w:p w14:paraId="6BC36AFF" w14:textId="77777777" w:rsidR="00722B14" w:rsidRDefault="00722B14" w:rsidP="00DD3BAE">
            <w:pPr>
              <w:spacing w:before="0" w:after="0"/>
              <w:jc w:val="center"/>
              <w:rPr>
                <w:color w:val="000000"/>
                <w:sz w:val="16"/>
                <w:szCs w:val="16"/>
              </w:rPr>
            </w:pPr>
          </w:p>
        </w:tc>
        <w:tc>
          <w:tcPr>
            <w:tcW w:w="1115" w:type="dxa"/>
            <w:noWrap/>
            <w:vAlign w:val="center"/>
          </w:tcPr>
          <w:p w14:paraId="42EC9D91" w14:textId="77777777" w:rsidR="00722B14" w:rsidRDefault="00722B14" w:rsidP="00DD3BAE">
            <w:pPr>
              <w:spacing w:before="0" w:after="0"/>
              <w:jc w:val="center"/>
              <w:rPr>
                <w:color w:val="000000"/>
                <w:sz w:val="16"/>
                <w:szCs w:val="16"/>
              </w:rPr>
            </w:pPr>
          </w:p>
        </w:tc>
        <w:tc>
          <w:tcPr>
            <w:tcW w:w="789" w:type="dxa"/>
            <w:noWrap/>
            <w:vAlign w:val="center"/>
          </w:tcPr>
          <w:p w14:paraId="0A6590EE" w14:textId="77777777" w:rsidR="00722B14" w:rsidRDefault="00722B14" w:rsidP="00DD3BAE">
            <w:pPr>
              <w:spacing w:before="0" w:after="0"/>
              <w:jc w:val="center"/>
              <w:rPr>
                <w:color w:val="000000"/>
                <w:sz w:val="16"/>
                <w:szCs w:val="16"/>
              </w:rPr>
            </w:pPr>
          </w:p>
        </w:tc>
        <w:tc>
          <w:tcPr>
            <w:tcW w:w="621" w:type="dxa"/>
            <w:vAlign w:val="center"/>
            <w:hideMark/>
          </w:tcPr>
          <w:p w14:paraId="7575B859" w14:textId="77777777" w:rsidR="00722B14" w:rsidRDefault="00722B14" w:rsidP="00DD3BAE">
            <w:pPr>
              <w:spacing w:before="0" w:after="0"/>
              <w:jc w:val="center"/>
              <w:rPr>
                <w:color w:val="000000"/>
                <w:sz w:val="16"/>
                <w:szCs w:val="16"/>
              </w:rPr>
            </w:pPr>
            <w:r>
              <w:rPr>
                <w:color w:val="000000"/>
                <w:sz w:val="16"/>
                <w:szCs w:val="16"/>
              </w:rPr>
              <w:t>2009</w:t>
            </w:r>
          </w:p>
        </w:tc>
        <w:tc>
          <w:tcPr>
            <w:tcW w:w="661" w:type="dxa"/>
            <w:shd w:val="clear" w:color="auto" w:fill="CCFFCC"/>
            <w:vAlign w:val="center"/>
            <w:hideMark/>
          </w:tcPr>
          <w:p w14:paraId="402E2FE2" w14:textId="77777777" w:rsidR="00722B14" w:rsidRDefault="00722B14" w:rsidP="00DD3BAE">
            <w:pPr>
              <w:spacing w:before="0" w:after="0"/>
              <w:jc w:val="center"/>
              <w:rPr>
                <w:color w:val="000000"/>
                <w:sz w:val="16"/>
                <w:szCs w:val="16"/>
              </w:rPr>
            </w:pPr>
            <w:r>
              <w:rPr>
                <w:color w:val="000000"/>
                <w:sz w:val="16"/>
                <w:szCs w:val="16"/>
              </w:rPr>
              <w:t>33.69</w:t>
            </w:r>
          </w:p>
        </w:tc>
        <w:tc>
          <w:tcPr>
            <w:tcW w:w="661" w:type="dxa"/>
            <w:vAlign w:val="center"/>
            <w:hideMark/>
          </w:tcPr>
          <w:p w14:paraId="46EFCD30" w14:textId="77777777" w:rsidR="00722B14" w:rsidRDefault="00722B14" w:rsidP="00DD3BAE">
            <w:pPr>
              <w:spacing w:before="0" w:after="0"/>
              <w:jc w:val="center"/>
              <w:rPr>
                <w:color w:val="000000"/>
                <w:sz w:val="16"/>
                <w:szCs w:val="16"/>
              </w:rPr>
            </w:pPr>
            <w:r>
              <w:rPr>
                <w:color w:val="000000"/>
                <w:sz w:val="16"/>
                <w:szCs w:val="16"/>
              </w:rPr>
              <w:t>24.27</w:t>
            </w:r>
          </w:p>
        </w:tc>
        <w:tc>
          <w:tcPr>
            <w:tcW w:w="1109" w:type="dxa"/>
            <w:shd w:val="clear" w:color="auto" w:fill="CCFFCC"/>
            <w:noWrap/>
            <w:vAlign w:val="center"/>
            <w:hideMark/>
          </w:tcPr>
          <w:p w14:paraId="789F8D57" w14:textId="77777777" w:rsidR="00722B14" w:rsidRDefault="00722B14" w:rsidP="00DD3BAE">
            <w:pPr>
              <w:spacing w:before="0" w:after="0"/>
              <w:jc w:val="center"/>
              <w:rPr>
                <w:color w:val="000000"/>
                <w:sz w:val="16"/>
                <w:szCs w:val="16"/>
              </w:rPr>
            </w:pPr>
            <w:r>
              <w:rPr>
                <w:color w:val="000000"/>
                <w:sz w:val="16"/>
                <w:szCs w:val="16"/>
              </w:rPr>
              <w:t>-9.87 ±0.03</w:t>
            </w:r>
          </w:p>
        </w:tc>
        <w:tc>
          <w:tcPr>
            <w:tcW w:w="1109" w:type="dxa"/>
            <w:vAlign w:val="center"/>
            <w:hideMark/>
          </w:tcPr>
          <w:p w14:paraId="1BFE39D2" w14:textId="77777777" w:rsidR="00722B14" w:rsidRDefault="00722B14" w:rsidP="00DD3BAE">
            <w:pPr>
              <w:spacing w:before="0" w:after="0"/>
              <w:jc w:val="center"/>
              <w:rPr>
                <w:color w:val="000000"/>
                <w:sz w:val="16"/>
                <w:szCs w:val="16"/>
              </w:rPr>
            </w:pPr>
            <w:r>
              <w:rPr>
                <w:color w:val="000000"/>
                <w:sz w:val="16"/>
                <w:szCs w:val="16"/>
              </w:rPr>
              <w:t>2.19 ±0.15</w:t>
            </w:r>
          </w:p>
        </w:tc>
        <w:tc>
          <w:tcPr>
            <w:tcW w:w="797" w:type="dxa"/>
            <w:vAlign w:val="center"/>
          </w:tcPr>
          <w:p w14:paraId="02FCE078" w14:textId="77777777" w:rsidR="00722B14" w:rsidRDefault="00722B14" w:rsidP="00DD3BAE">
            <w:pPr>
              <w:spacing w:before="0" w:after="0"/>
              <w:jc w:val="center"/>
              <w:rPr>
                <w:i/>
                <w:color w:val="000000"/>
                <w:sz w:val="16"/>
                <w:szCs w:val="16"/>
              </w:rPr>
            </w:pPr>
          </w:p>
        </w:tc>
        <w:tc>
          <w:tcPr>
            <w:tcW w:w="1557" w:type="dxa"/>
            <w:noWrap/>
            <w:vAlign w:val="center"/>
          </w:tcPr>
          <w:p w14:paraId="3A3C1165" w14:textId="77777777" w:rsidR="00722B14" w:rsidRDefault="00722B14" w:rsidP="00DD3BAE">
            <w:pPr>
              <w:spacing w:before="0" w:after="0"/>
              <w:jc w:val="center"/>
              <w:rPr>
                <w:i/>
                <w:color w:val="000000"/>
                <w:sz w:val="16"/>
                <w:szCs w:val="16"/>
              </w:rPr>
            </w:pPr>
          </w:p>
        </w:tc>
      </w:tr>
      <w:tr w:rsidR="00722B14" w14:paraId="35F8E3A9" w14:textId="77777777" w:rsidTr="00DE79BD">
        <w:trPr>
          <w:cantSplit/>
          <w:trHeight w:val="227"/>
          <w:jc w:val="center"/>
        </w:trPr>
        <w:tc>
          <w:tcPr>
            <w:tcW w:w="1077" w:type="dxa"/>
            <w:vAlign w:val="center"/>
          </w:tcPr>
          <w:p w14:paraId="5911959E" w14:textId="77777777" w:rsidR="00722B14" w:rsidRDefault="00722B14" w:rsidP="00DD3BAE">
            <w:pPr>
              <w:spacing w:before="0" w:after="0"/>
              <w:jc w:val="center"/>
              <w:rPr>
                <w:color w:val="000000"/>
                <w:sz w:val="16"/>
                <w:szCs w:val="16"/>
              </w:rPr>
            </w:pPr>
          </w:p>
        </w:tc>
        <w:tc>
          <w:tcPr>
            <w:tcW w:w="1115" w:type="dxa"/>
            <w:noWrap/>
            <w:vAlign w:val="center"/>
          </w:tcPr>
          <w:p w14:paraId="12A5C58A" w14:textId="77777777" w:rsidR="00722B14" w:rsidRDefault="00722B14" w:rsidP="00DD3BAE">
            <w:pPr>
              <w:spacing w:before="0" w:after="0"/>
              <w:jc w:val="center"/>
              <w:rPr>
                <w:color w:val="000000"/>
                <w:sz w:val="16"/>
                <w:szCs w:val="16"/>
              </w:rPr>
            </w:pPr>
          </w:p>
        </w:tc>
        <w:tc>
          <w:tcPr>
            <w:tcW w:w="789" w:type="dxa"/>
            <w:noWrap/>
            <w:vAlign w:val="center"/>
          </w:tcPr>
          <w:p w14:paraId="7C97EB43" w14:textId="77777777" w:rsidR="00722B14" w:rsidRDefault="00722B14" w:rsidP="00DD3BAE">
            <w:pPr>
              <w:spacing w:before="0" w:after="0"/>
              <w:jc w:val="center"/>
              <w:rPr>
                <w:color w:val="000000"/>
                <w:sz w:val="16"/>
                <w:szCs w:val="16"/>
              </w:rPr>
            </w:pPr>
          </w:p>
        </w:tc>
        <w:tc>
          <w:tcPr>
            <w:tcW w:w="621" w:type="dxa"/>
            <w:vAlign w:val="center"/>
            <w:hideMark/>
          </w:tcPr>
          <w:p w14:paraId="6B296904" w14:textId="77777777" w:rsidR="00722B14" w:rsidRDefault="00722B14" w:rsidP="00DD3BAE">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2EAEAC13" w14:textId="77777777" w:rsidR="00722B14" w:rsidRDefault="00722B14" w:rsidP="00DD3BAE">
            <w:pPr>
              <w:spacing w:before="0" w:after="0"/>
              <w:jc w:val="center"/>
              <w:rPr>
                <w:color w:val="000000"/>
                <w:sz w:val="16"/>
                <w:szCs w:val="16"/>
              </w:rPr>
            </w:pPr>
            <w:r>
              <w:rPr>
                <w:color w:val="000000"/>
                <w:sz w:val="16"/>
                <w:szCs w:val="16"/>
              </w:rPr>
              <w:t>32.70</w:t>
            </w:r>
          </w:p>
        </w:tc>
        <w:tc>
          <w:tcPr>
            <w:tcW w:w="661" w:type="dxa"/>
            <w:vAlign w:val="center"/>
            <w:hideMark/>
          </w:tcPr>
          <w:p w14:paraId="7E0C24D9" w14:textId="77777777" w:rsidR="00722B14" w:rsidRDefault="00722B14" w:rsidP="00DD3BAE">
            <w:pPr>
              <w:spacing w:before="0" w:after="0"/>
              <w:jc w:val="center"/>
              <w:rPr>
                <w:color w:val="000000"/>
                <w:sz w:val="16"/>
                <w:szCs w:val="16"/>
              </w:rPr>
            </w:pPr>
            <w:r>
              <w:rPr>
                <w:color w:val="000000"/>
                <w:sz w:val="16"/>
                <w:szCs w:val="16"/>
              </w:rPr>
              <w:t>22.87</w:t>
            </w:r>
          </w:p>
        </w:tc>
        <w:tc>
          <w:tcPr>
            <w:tcW w:w="1109" w:type="dxa"/>
            <w:shd w:val="clear" w:color="auto" w:fill="CCFFCC"/>
            <w:noWrap/>
            <w:vAlign w:val="center"/>
            <w:hideMark/>
          </w:tcPr>
          <w:p w14:paraId="32EE91C4" w14:textId="77777777" w:rsidR="00722B14" w:rsidRDefault="00722B14" w:rsidP="00DD3BAE">
            <w:pPr>
              <w:spacing w:before="0" w:after="0"/>
              <w:jc w:val="center"/>
              <w:rPr>
                <w:color w:val="000000"/>
                <w:sz w:val="16"/>
                <w:szCs w:val="16"/>
              </w:rPr>
            </w:pPr>
            <w:r>
              <w:rPr>
                <w:color w:val="000000"/>
                <w:sz w:val="16"/>
                <w:szCs w:val="16"/>
              </w:rPr>
              <w:t>-9.78 ±0.24</w:t>
            </w:r>
          </w:p>
        </w:tc>
        <w:tc>
          <w:tcPr>
            <w:tcW w:w="1109" w:type="dxa"/>
            <w:vAlign w:val="center"/>
            <w:hideMark/>
          </w:tcPr>
          <w:p w14:paraId="055AECA4" w14:textId="77777777" w:rsidR="00722B14" w:rsidRDefault="00722B14" w:rsidP="00DD3BAE">
            <w:pPr>
              <w:spacing w:before="0" w:after="0"/>
              <w:jc w:val="center"/>
              <w:rPr>
                <w:color w:val="000000"/>
                <w:sz w:val="16"/>
                <w:szCs w:val="16"/>
              </w:rPr>
            </w:pPr>
            <w:r>
              <w:rPr>
                <w:color w:val="000000"/>
                <w:sz w:val="16"/>
                <w:szCs w:val="16"/>
              </w:rPr>
              <w:t>1.34 ±0.36</w:t>
            </w:r>
          </w:p>
        </w:tc>
        <w:tc>
          <w:tcPr>
            <w:tcW w:w="797" w:type="dxa"/>
            <w:vAlign w:val="center"/>
          </w:tcPr>
          <w:p w14:paraId="0C34FA4A" w14:textId="77777777" w:rsidR="00722B14" w:rsidRDefault="00722B14" w:rsidP="00DD3BAE">
            <w:pPr>
              <w:spacing w:before="0" w:after="0"/>
              <w:jc w:val="center"/>
              <w:rPr>
                <w:i/>
                <w:color w:val="000000"/>
                <w:sz w:val="16"/>
                <w:szCs w:val="16"/>
              </w:rPr>
            </w:pPr>
          </w:p>
        </w:tc>
        <w:tc>
          <w:tcPr>
            <w:tcW w:w="1557" w:type="dxa"/>
            <w:noWrap/>
            <w:vAlign w:val="center"/>
          </w:tcPr>
          <w:p w14:paraId="6772B0E3" w14:textId="77777777" w:rsidR="00722B14" w:rsidRDefault="00722B14" w:rsidP="00DD3BAE">
            <w:pPr>
              <w:spacing w:before="0" w:after="0"/>
              <w:jc w:val="center"/>
              <w:rPr>
                <w:i/>
                <w:color w:val="000000"/>
                <w:sz w:val="16"/>
                <w:szCs w:val="16"/>
              </w:rPr>
            </w:pPr>
          </w:p>
        </w:tc>
      </w:tr>
      <w:tr w:rsidR="00722B14" w14:paraId="6EC1395B" w14:textId="77777777" w:rsidTr="00DE79BD">
        <w:trPr>
          <w:cantSplit/>
          <w:trHeight w:val="227"/>
          <w:jc w:val="center"/>
        </w:trPr>
        <w:tc>
          <w:tcPr>
            <w:tcW w:w="1077" w:type="dxa"/>
            <w:vAlign w:val="center"/>
          </w:tcPr>
          <w:p w14:paraId="28429327" w14:textId="77777777" w:rsidR="00722B14" w:rsidRDefault="00722B14" w:rsidP="00DD3BAE">
            <w:pPr>
              <w:spacing w:before="0" w:after="0"/>
              <w:jc w:val="center"/>
              <w:rPr>
                <w:color w:val="000000"/>
                <w:sz w:val="16"/>
                <w:szCs w:val="16"/>
              </w:rPr>
            </w:pPr>
          </w:p>
        </w:tc>
        <w:tc>
          <w:tcPr>
            <w:tcW w:w="1115" w:type="dxa"/>
            <w:noWrap/>
            <w:vAlign w:val="center"/>
          </w:tcPr>
          <w:p w14:paraId="1D1400F5" w14:textId="77777777" w:rsidR="00722B14" w:rsidRDefault="00722B14" w:rsidP="00DD3BAE">
            <w:pPr>
              <w:spacing w:before="0" w:after="0"/>
              <w:jc w:val="center"/>
              <w:rPr>
                <w:color w:val="000000"/>
                <w:sz w:val="16"/>
                <w:szCs w:val="16"/>
              </w:rPr>
            </w:pPr>
          </w:p>
        </w:tc>
        <w:tc>
          <w:tcPr>
            <w:tcW w:w="789" w:type="dxa"/>
            <w:noWrap/>
            <w:vAlign w:val="center"/>
          </w:tcPr>
          <w:p w14:paraId="23757CEA" w14:textId="77777777" w:rsidR="00722B14" w:rsidRDefault="00722B14" w:rsidP="00DD3BAE">
            <w:pPr>
              <w:spacing w:before="0" w:after="0"/>
              <w:jc w:val="center"/>
              <w:rPr>
                <w:color w:val="000000"/>
                <w:sz w:val="16"/>
                <w:szCs w:val="16"/>
              </w:rPr>
            </w:pPr>
          </w:p>
        </w:tc>
        <w:tc>
          <w:tcPr>
            <w:tcW w:w="621" w:type="dxa"/>
            <w:vAlign w:val="center"/>
            <w:hideMark/>
          </w:tcPr>
          <w:p w14:paraId="6D45E28A" w14:textId="77777777" w:rsidR="00722B14" w:rsidRDefault="00722B14" w:rsidP="00DD3BAE">
            <w:pPr>
              <w:spacing w:before="0" w:after="0"/>
              <w:jc w:val="center"/>
              <w:rPr>
                <w:color w:val="000000"/>
                <w:sz w:val="16"/>
                <w:szCs w:val="16"/>
              </w:rPr>
            </w:pPr>
            <w:r>
              <w:rPr>
                <w:color w:val="000000"/>
                <w:sz w:val="16"/>
                <w:szCs w:val="16"/>
              </w:rPr>
              <w:t>2011</w:t>
            </w:r>
          </w:p>
        </w:tc>
        <w:tc>
          <w:tcPr>
            <w:tcW w:w="661" w:type="dxa"/>
            <w:shd w:val="clear" w:color="auto" w:fill="CCFFCC"/>
            <w:vAlign w:val="center"/>
            <w:hideMark/>
          </w:tcPr>
          <w:p w14:paraId="2D10B78D" w14:textId="77777777" w:rsidR="00722B14" w:rsidRDefault="00722B14" w:rsidP="00DD3BAE">
            <w:pPr>
              <w:spacing w:before="0" w:after="0"/>
              <w:jc w:val="center"/>
              <w:rPr>
                <w:color w:val="000000"/>
                <w:sz w:val="16"/>
                <w:szCs w:val="16"/>
              </w:rPr>
            </w:pPr>
            <w:r>
              <w:rPr>
                <w:color w:val="000000"/>
                <w:sz w:val="16"/>
                <w:szCs w:val="16"/>
              </w:rPr>
              <w:t>37.88</w:t>
            </w:r>
          </w:p>
        </w:tc>
        <w:tc>
          <w:tcPr>
            <w:tcW w:w="661" w:type="dxa"/>
            <w:vAlign w:val="center"/>
            <w:hideMark/>
          </w:tcPr>
          <w:p w14:paraId="755E79F4" w14:textId="77777777" w:rsidR="00722B14" w:rsidRDefault="00722B14" w:rsidP="00DD3BAE">
            <w:pPr>
              <w:spacing w:before="0" w:after="0"/>
              <w:jc w:val="center"/>
              <w:rPr>
                <w:color w:val="000000"/>
                <w:sz w:val="16"/>
                <w:szCs w:val="16"/>
              </w:rPr>
            </w:pPr>
            <w:r>
              <w:rPr>
                <w:color w:val="000000"/>
                <w:sz w:val="16"/>
                <w:szCs w:val="16"/>
              </w:rPr>
              <w:t>22.89</w:t>
            </w:r>
          </w:p>
        </w:tc>
        <w:tc>
          <w:tcPr>
            <w:tcW w:w="1109" w:type="dxa"/>
            <w:shd w:val="clear" w:color="auto" w:fill="CCFFCC"/>
            <w:noWrap/>
            <w:vAlign w:val="center"/>
            <w:hideMark/>
          </w:tcPr>
          <w:p w14:paraId="44798EC2" w14:textId="77777777" w:rsidR="00722B14" w:rsidRDefault="00722B14" w:rsidP="00DD3BAE">
            <w:pPr>
              <w:spacing w:before="0" w:after="0"/>
              <w:jc w:val="center"/>
              <w:rPr>
                <w:color w:val="000000"/>
                <w:sz w:val="16"/>
                <w:szCs w:val="16"/>
              </w:rPr>
            </w:pPr>
            <w:r>
              <w:rPr>
                <w:color w:val="000000"/>
                <w:sz w:val="16"/>
                <w:szCs w:val="16"/>
              </w:rPr>
              <w:t>-9.91 ±0.13</w:t>
            </w:r>
          </w:p>
        </w:tc>
        <w:tc>
          <w:tcPr>
            <w:tcW w:w="1109" w:type="dxa"/>
            <w:vAlign w:val="center"/>
            <w:hideMark/>
          </w:tcPr>
          <w:p w14:paraId="066691E8" w14:textId="77777777" w:rsidR="00722B14" w:rsidRDefault="00722B14" w:rsidP="00DD3BAE">
            <w:pPr>
              <w:spacing w:before="0" w:after="0"/>
              <w:jc w:val="center"/>
              <w:rPr>
                <w:color w:val="000000"/>
                <w:sz w:val="16"/>
                <w:szCs w:val="16"/>
              </w:rPr>
            </w:pPr>
            <w:r>
              <w:rPr>
                <w:color w:val="000000"/>
                <w:sz w:val="16"/>
                <w:szCs w:val="16"/>
              </w:rPr>
              <w:t>2.79 ±0.29</w:t>
            </w:r>
          </w:p>
        </w:tc>
        <w:tc>
          <w:tcPr>
            <w:tcW w:w="797" w:type="dxa"/>
            <w:vAlign w:val="center"/>
          </w:tcPr>
          <w:p w14:paraId="27F81433" w14:textId="77777777" w:rsidR="00722B14" w:rsidRDefault="00722B14" w:rsidP="00DD3BAE">
            <w:pPr>
              <w:spacing w:before="0" w:after="0"/>
              <w:jc w:val="center"/>
              <w:rPr>
                <w:i/>
                <w:color w:val="000000"/>
                <w:sz w:val="16"/>
                <w:szCs w:val="16"/>
              </w:rPr>
            </w:pPr>
          </w:p>
        </w:tc>
        <w:tc>
          <w:tcPr>
            <w:tcW w:w="1557" w:type="dxa"/>
            <w:noWrap/>
            <w:vAlign w:val="center"/>
          </w:tcPr>
          <w:p w14:paraId="732BB4BA" w14:textId="77777777" w:rsidR="00722B14" w:rsidRDefault="00722B14" w:rsidP="00DD3BAE">
            <w:pPr>
              <w:spacing w:before="0" w:after="0"/>
              <w:jc w:val="center"/>
              <w:rPr>
                <w:i/>
                <w:color w:val="000000"/>
                <w:sz w:val="16"/>
                <w:szCs w:val="16"/>
              </w:rPr>
            </w:pPr>
          </w:p>
        </w:tc>
      </w:tr>
      <w:tr w:rsidR="00722B14" w14:paraId="006ED659" w14:textId="77777777" w:rsidTr="00DE79BD">
        <w:trPr>
          <w:cantSplit/>
          <w:trHeight w:val="227"/>
          <w:jc w:val="center"/>
        </w:trPr>
        <w:tc>
          <w:tcPr>
            <w:tcW w:w="1077" w:type="dxa"/>
            <w:vAlign w:val="center"/>
          </w:tcPr>
          <w:p w14:paraId="05C24695" w14:textId="77777777" w:rsidR="00722B14" w:rsidRDefault="00722B14" w:rsidP="00DD3BAE">
            <w:pPr>
              <w:spacing w:before="0" w:after="0"/>
              <w:jc w:val="center"/>
              <w:rPr>
                <w:color w:val="000000"/>
                <w:sz w:val="16"/>
                <w:szCs w:val="16"/>
              </w:rPr>
            </w:pPr>
          </w:p>
        </w:tc>
        <w:tc>
          <w:tcPr>
            <w:tcW w:w="1115" w:type="dxa"/>
            <w:noWrap/>
            <w:vAlign w:val="center"/>
          </w:tcPr>
          <w:p w14:paraId="091A729C" w14:textId="77777777" w:rsidR="00722B14" w:rsidRDefault="00722B14" w:rsidP="00DD3BAE">
            <w:pPr>
              <w:spacing w:before="0" w:after="0"/>
              <w:jc w:val="center"/>
              <w:rPr>
                <w:color w:val="000000"/>
                <w:sz w:val="16"/>
                <w:szCs w:val="16"/>
              </w:rPr>
            </w:pPr>
          </w:p>
        </w:tc>
        <w:tc>
          <w:tcPr>
            <w:tcW w:w="789" w:type="dxa"/>
            <w:noWrap/>
            <w:vAlign w:val="center"/>
          </w:tcPr>
          <w:p w14:paraId="56AB9227" w14:textId="77777777" w:rsidR="00722B14" w:rsidRDefault="00722B14" w:rsidP="00DD3BAE">
            <w:pPr>
              <w:spacing w:before="0" w:after="0"/>
              <w:jc w:val="center"/>
              <w:rPr>
                <w:color w:val="000000"/>
                <w:sz w:val="16"/>
                <w:szCs w:val="16"/>
              </w:rPr>
            </w:pPr>
          </w:p>
        </w:tc>
        <w:tc>
          <w:tcPr>
            <w:tcW w:w="621" w:type="dxa"/>
            <w:vAlign w:val="center"/>
            <w:hideMark/>
          </w:tcPr>
          <w:p w14:paraId="0F12C6F3"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5E671784" w14:textId="77777777" w:rsidR="00722B14" w:rsidRDefault="00722B14" w:rsidP="00DD3BAE">
            <w:pPr>
              <w:spacing w:before="0" w:after="0"/>
              <w:jc w:val="center"/>
              <w:rPr>
                <w:color w:val="000000"/>
                <w:sz w:val="16"/>
                <w:szCs w:val="16"/>
              </w:rPr>
            </w:pPr>
            <w:r>
              <w:rPr>
                <w:color w:val="000000"/>
                <w:sz w:val="16"/>
                <w:szCs w:val="16"/>
              </w:rPr>
              <w:t>40.60</w:t>
            </w:r>
          </w:p>
        </w:tc>
        <w:tc>
          <w:tcPr>
            <w:tcW w:w="661" w:type="dxa"/>
            <w:vAlign w:val="center"/>
            <w:hideMark/>
          </w:tcPr>
          <w:p w14:paraId="33FE087B" w14:textId="77777777" w:rsidR="00722B14" w:rsidRDefault="00722B14" w:rsidP="00DD3BAE">
            <w:pPr>
              <w:spacing w:before="0" w:after="0"/>
              <w:jc w:val="center"/>
              <w:rPr>
                <w:color w:val="000000"/>
                <w:sz w:val="16"/>
                <w:szCs w:val="16"/>
              </w:rPr>
            </w:pPr>
            <w:r>
              <w:rPr>
                <w:color w:val="000000"/>
                <w:sz w:val="16"/>
                <w:szCs w:val="16"/>
              </w:rPr>
              <w:t>28.58</w:t>
            </w:r>
          </w:p>
        </w:tc>
        <w:tc>
          <w:tcPr>
            <w:tcW w:w="1109" w:type="dxa"/>
            <w:shd w:val="clear" w:color="auto" w:fill="CCFFCC"/>
            <w:noWrap/>
            <w:vAlign w:val="center"/>
            <w:hideMark/>
          </w:tcPr>
          <w:p w14:paraId="3398353F" w14:textId="77777777" w:rsidR="00722B14" w:rsidRDefault="00722B14" w:rsidP="00DD3BAE">
            <w:pPr>
              <w:spacing w:before="0" w:after="0"/>
              <w:jc w:val="center"/>
              <w:rPr>
                <w:color w:val="000000"/>
                <w:sz w:val="16"/>
                <w:szCs w:val="16"/>
              </w:rPr>
            </w:pPr>
            <w:r>
              <w:rPr>
                <w:color w:val="000000"/>
                <w:sz w:val="16"/>
                <w:szCs w:val="16"/>
              </w:rPr>
              <w:t>-9.73 ±0.13</w:t>
            </w:r>
          </w:p>
        </w:tc>
        <w:tc>
          <w:tcPr>
            <w:tcW w:w="1109" w:type="dxa"/>
            <w:vAlign w:val="center"/>
            <w:hideMark/>
          </w:tcPr>
          <w:p w14:paraId="713F6E34" w14:textId="77777777" w:rsidR="00722B14" w:rsidRDefault="00722B14" w:rsidP="00DD3BAE">
            <w:pPr>
              <w:spacing w:before="0" w:after="0"/>
              <w:jc w:val="center"/>
              <w:rPr>
                <w:color w:val="000000"/>
                <w:sz w:val="16"/>
                <w:szCs w:val="16"/>
              </w:rPr>
            </w:pPr>
            <w:r>
              <w:rPr>
                <w:color w:val="000000"/>
                <w:sz w:val="16"/>
                <w:szCs w:val="16"/>
              </w:rPr>
              <w:t>2.11 ±0.35</w:t>
            </w:r>
          </w:p>
        </w:tc>
        <w:tc>
          <w:tcPr>
            <w:tcW w:w="797" w:type="dxa"/>
            <w:vAlign w:val="center"/>
          </w:tcPr>
          <w:p w14:paraId="2973A333" w14:textId="77777777" w:rsidR="00722B14" w:rsidRDefault="00722B14" w:rsidP="00DD3BAE">
            <w:pPr>
              <w:spacing w:before="0" w:after="0"/>
              <w:jc w:val="center"/>
              <w:rPr>
                <w:i/>
                <w:color w:val="000000"/>
                <w:sz w:val="16"/>
                <w:szCs w:val="16"/>
              </w:rPr>
            </w:pPr>
          </w:p>
        </w:tc>
        <w:tc>
          <w:tcPr>
            <w:tcW w:w="1557" w:type="dxa"/>
            <w:noWrap/>
            <w:vAlign w:val="center"/>
          </w:tcPr>
          <w:p w14:paraId="54489AFE" w14:textId="77777777" w:rsidR="00722B14" w:rsidRDefault="00722B14" w:rsidP="00DD3BAE">
            <w:pPr>
              <w:spacing w:before="0" w:after="0"/>
              <w:jc w:val="center"/>
              <w:rPr>
                <w:i/>
                <w:color w:val="000000"/>
                <w:sz w:val="16"/>
                <w:szCs w:val="16"/>
              </w:rPr>
            </w:pPr>
          </w:p>
        </w:tc>
      </w:tr>
      <w:tr w:rsidR="00722B14" w14:paraId="171F9C42" w14:textId="77777777" w:rsidTr="00DE79BD">
        <w:trPr>
          <w:cantSplit/>
          <w:trHeight w:val="227"/>
          <w:jc w:val="center"/>
        </w:trPr>
        <w:tc>
          <w:tcPr>
            <w:tcW w:w="1077" w:type="dxa"/>
            <w:vAlign w:val="center"/>
          </w:tcPr>
          <w:p w14:paraId="3721C02A" w14:textId="77777777" w:rsidR="00722B14" w:rsidRDefault="00722B14" w:rsidP="00DD3BAE">
            <w:pPr>
              <w:spacing w:before="0" w:after="0"/>
              <w:jc w:val="center"/>
              <w:rPr>
                <w:color w:val="000000"/>
                <w:sz w:val="16"/>
                <w:szCs w:val="16"/>
              </w:rPr>
            </w:pPr>
          </w:p>
        </w:tc>
        <w:tc>
          <w:tcPr>
            <w:tcW w:w="1115" w:type="dxa"/>
            <w:noWrap/>
            <w:vAlign w:val="center"/>
          </w:tcPr>
          <w:p w14:paraId="24D5EF11" w14:textId="77777777" w:rsidR="00722B14" w:rsidRDefault="00722B14" w:rsidP="00DD3BAE">
            <w:pPr>
              <w:spacing w:before="0" w:after="0"/>
              <w:jc w:val="center"/>
              <w:rPr>
                <w:color w:val="000000"/>
                <w:sz w:val="16"/>
                <w:szCs w:val="16"/>
              </w:rPr>
            </w:pPr>
          </w:p>
        </w:tc>
        <w:tc>
          <w:tcPr>
            <w:tcW w:w="789" w:type="dxa"/>
            <w:noWrap/>
            <w:vAlign w:val="center"/>
          </w:tcPr>
          <w:p w14:paraId="3E411C05" w14:textId="77777777" w:rsidR="00722B14" w:rsidRDefault="00722B14" w:rsidP="00DD3BAE">
            <w:pPr>
              <w:spacing w:before="0" w:after="0"/>
              <w:jc w:val="center"/>
              <w:rPr>
                <w:color w:val="000000"/>
                <w:sz w:val="16"/>
                <w:szCs w:val="16"/>
              </w:rPr>
            </w:pPr>
          </w:p>
        </w:tc>
        <w:tc>
          <w:tcPr>
            <w:tcW w:w="621" w:type="dxa"/>
            <w:vAlign w:val="center"/>
            <w:hideMark/>
          </w:tcPr>
          <w:p w14:paraId="62DCB22C" w14:textId="77777777" w:rsidR="00722B14" w:rsidRDefault="00722B14" w:rsidP="00DD3BAE">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14:paraId="47AC3154" w14:textId="77777777" w:rsidR="00722B14" w:rsidRDefault="00722B14" w:rsidP="00DD3BAE">
            <w:pPr>
              <w:spacing w:before="0" w:after="0"/>
              <w:jc w:val="center"/>
              <w:rPr>
                <w:color w:val="000000"/>
                <w:sz w:val="16"/>
                <w:szCs w:val="16"/>
              </w:rPr>
            </w:pPr>
            <w:r>
              <w:rPr>
                <w:color w:val="000000"/>
                <w:sz w:val="16"/>
                <w:szCs w:val="16"/>
              </w:rPr>
              <w:t>38.59</w:t>
            </w:r>
          </w:p>
        </w:tc>
        <w:tc>
          <w:tcPr>
            <w:tcW w:w="661" w:type="dxa"/>
            <w:vAlign w:val="center"/>
            <w:hideMark/>
          </w:tcPr>
          <w:p w14:paraId="33ED3A35" w14:textId="77777777" w:rsidR="00722B14" w:rsidRDefault="00722B14" w:rsidP="00DD3BAE">
            <w:pPr>
              <w:spacing w:before="0" w:after="0"/>
              <w:jc w:val="center"/>
              <w:rPr>
                <w:color w:val="000000"/>
                <w:sz w:val="16"/>
                <w:szCs w:val="16"/>
              </w:rPr>
            </w:pPr>
            <w:r>
              <w:rPr>
                <w:color w:val="000000"/>
                <w:sz w:val="16"/>
                <w:szCs w:val="16"/>
              </w:rPr>
              <w:t>22.56</w:t>
            </w:r>
          </w:p>
        </w:tc>
        <w:tc>
          <w:tcPr>
            <w:tcW w:w="1109" w:type="dxa"/>
            <w:shd w:val="clear" w:color="auto" w:fill="CCFFCC"/>
            <w:noWrap/>
            <w:vAlign w:val="center"/>
            <w:hideMark/>
          </w:tcPr>
          <w:p w14:paraId="2EDEE32A" w14:textId="77777777" w:rsidR="00722B14" w:rsidRDefault="00722B14" w:rsidP="00DD3BAE">
            <w:pPr>
              <w:spacing w:before="0" w:after="0"/>
              <w:jc w:val="center"/>
              <w:rPr>
                <w:color w:val="000000"/>
                <w:sz w:val="16"/>
                <w:szCs w:val="16"/>
              </w:rPr>
            </w:pPr>
            <w:r>
              <w:rPr>
                <w:color w:val="000000"/>
                <w:sz w:val="16"/>
                <w:szCs w:val="16"/>
              </w:rPr>
              <w:t>-10.11 ±0.43</w:t>
            </w:r>
          </w:p>
        </w:tc>
        <w:tc>
          <w:tcPr>
            <w:tcW w:w="1109" w:type="dxa"/>
            <w:vAlign w:val="center"/>
            <w:hideMark/>
          </w:tcPr>
          <w:p w14:paraId="37BD88EB" w14:textId="77777777" w:rsidR="00722B14" w:rsidRDefault="00722B14" w:rsidP="00DD3BAE">
            <w:pPr>
              <w:spacing w:before="0" w:after="0"/>
              <w:jc w:val="center"/>
              <w:rPr>
                <w:color w:val="000000"/>
                <w:sz w:val="16"/>
                <w:szCs w:val="16"/>
              </w:rPr>
            </w:pPr>
            <w:r>
              <w:rPr>
                <w:color w:val="000000"/>
                <w:sz w:val="16"/>
                <w:szCs w:val="16"/>
              </w:rPr>
              <w:t>3.04 ±0.44</w:t>
            </w:r>
          </w:p>
        </w:tc>
        <w:tc>
          <w:tcPr>
            <w:tcW w:w="797" w:type="dxa"/>
            <w:vAlign w:val="center"/>
          </w:tcPr>
          <w:p w14:paraId="7D3A5DDC" w14:textId="77777777" w:rsidR="00722B14" w:rsidRDefault="00722B14" w:rsidP="00DD3BAE">
            <w:pPr>
              <w:spacing w:before="0" w:after="0"/>
              <w:jc w:val="center"/>
              <w:rPr>
                <w:i/>
                <w:color w:val="000000"/>
                <w:sz w:val="16"/>
                <w:szCs w:val="16"/>
              </w:rPr>
            </w:pPr>
          </w:p>
        </w:tc>
        <w:tc>
          <w:tcPr>
            <w:tcW w:w="1557" w:type="dxa"/>
            <w:noWrap/>
            <w:vAlign w:val="center"/>
          </w:tcPr>
          <w:p w14:paraId="432FAD7E" w14:textId="77777777" w:rsidR="00722B14" w:rsidRDefault="00722B14" w:rsidP="00DD3BAE">
            <w:pPr>
              <w:spacing w:before="0" w:after="0"/>
              <w:jc w:val="center"/>
              <w:rPr>
                <w:i/>
                <w:color w:val="000000"/>
                <w:sz w:val="16"/>
                <w:szCs w:val="16"/>
              </w:rPr>
            </w:pPr>
          </w:p>
        </w:tc>
      </w:tr>
      <w:tr w:rsidR="00722B14" w14:paraId="1FD3B746" w14:textId="77777777" w:rsidTr="00DE79BD">
        <w:trPr>
          <w:cantSplit/>
          <w:trHeight w:val="227"/>
          <w:jc w:val="center"/>
        </w:trPr>
        <w:tc>
          <w:tcPr>
            <w:tcW w:w="1077" w:type="dxa"/>
            <w:vAlign w:val="center"/>
          </w:tcPr>
          <w:p w14:paraId="32BA4F84" w14:textId="77777777" w:rsidR="00722B14" w:rsidRDefault="00722B14" w:rsidP="00DD3BAE">
            <w:pPr>
              <w:spacing w:before="0" w:after="0"/>
              <w:jc w:val="center"/>
              <w:rPr>
                <w:color w:val="000000"/>
                <w:sz w:val="16"/>
                <w:szCs w:val="16"/>
              </w:rPr>
            </w:pPr>
          </w:p>
        </w:tc>
        <w:tc>
          <w:tcPr>
            <w:tcW w:w="1115" w:type="dxa"/>
            <w:noWrap/>
            <w:vAlign w:val="center"/>
          </w:tcPr>
          <w:p w14:paraId="308955FE" w14:textId="77777777" w:rsidR="00722B14" w:rsidRDefault="00722B14" w:rsidP="00DD3BAE">
            <w:pPr>
              <w:spacing w:before="0" w:after="0"/>
              <w:jc w:val="center"/>
              <w:rPr>
                <w:color w:val="000000"/>
                <w:sz w:val="16"/>
                <w:szCs w:val="16"/>
              </w:rPr>
            </w:pPr>
          </w:p>
        </w:tc>
        <w:tc>
          <w:tcPr>
            <w:tcW w:w="789" w:type="dxa"/>
            <w:noWrap/>
            <w:vAlign w:val="center"/>
          </w:tcPr>
          <w:p w14:paraId="1FB4BF5A" w14:textId="77777777" w:rsidR="00722B14" w:rsidRDefault="00722B14" w:rsidP="00DD3BAE">
            <w:pPr>
              <w:spacing w:before="0" w:after="0"/>
              <w:jc w:val="center"/>
              <w:rPr>
                <w:color w:val="000000"/>
                <w:sz w:val="16"/>
                <w:szCs w:val="16"/>
              </w:rPr>
            </w:pPr>
          </w:p>
        </w:tc>
        <w:tc>
          <w:tcPr>
            <w:tcW w:w="621" w:type="dxa"/>
            <w:vAlign w:val="center"/>
            <w:hideMark/>
          </w:tcPr>
          <w:p w14:paraId="741D9D8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shd w:val="clear" w:color="auto" w:fill="CCFFCC"/>
            <w:vAlign w:val="center"/>
            <w:hideMark/>
          </w:tcPr>
          <w:p w14:paraId="2F307ED0" w14:textId="77777777" w:rsidR="00722B14" w:rsidRDefault="00722B14" w:rsidP="00DD3BAE">
            <w:pPr>
              <w:spacing w:before="0" w:after="0"/>
              <w:jc w:val="center"/>
              <w:rPr>
                <w:color w:val="000000"/>
                <w:sz w:val="16"/>
                <w:szCs w:val="16"/>
              </w:rPr>
            </w:pPr>
            <w:r>
              <w:rPr>
                <w:color w:val="000000"/>
                <w:sz w:val="16"/>
                <w:szCs w:val="16"/>
              </w:rPr>
              <w:t>39.65</w:t>
            </w:r>
          </w:p>
        </w:tc>
        <w:tc>
          <w:tcPr>
            <w:tcW w:w="661" w:type="dxa"/>
            <w:vAlign w:val="center"/>
            <w:hideMark/>
          </w:tcPr>
          <w:p w14:paraId="727DAB54" w14:textId="77777777" w:rsidR="00722B14" w:rsidRDefault="00722B14" w:rsidP="00DD3BAE">
            <w:pPr>
              <w:spacing w:before="0" w:after="0"/>
              <w:jc w:val="center"/>
              <w:rPr>
                <w:color w:val="000000"/>
                <w:sz w:val="16"/>
                <w:szCs w:val="16"/>
              </w:rPr>
            </w:pPr>
            <w:r>
              <w:rPr>
                <w:color w:val="000000"/>
                <w:sz w:val="16"/>
                <w:szCs w:val="16"/>
              </w:rPr>
              <w:t>21.72</w:t>
            </w:r>
          </w:p>
        </w:tc>
        <w:tc>
          <w:tcPr>
            <w:tcW w:w="1109" w:type="dxa"/>
            <w:shd w:val="clear" w:color="auto" w:fill="CCFFCC"/>
            <w:noWrap/>
            <w:vAlign w:val="center"/>
            <w:hideMark/>
          </w:tcPr>
          <w:p w14:paraId="5A22B771" w14:textId="77777777" w:rsidR="00722B14" w:rsidRDefault="00722B14" w:rsidP="00DD3BAE">
            <w:pPr>
              <w:spacing w:before="0" w:after="0"/>
              <w:jc w:val="center"/>
              <w:rPr>
                <w:color w:val="000000"/>
                <w:sz w:val="16"/>
                <w:szCs w:val="16"/>
              </w:rPr>
            </w:pPr>
            <w:r>
              <w:rPr>
                <w:color w:val="000000"/>
                <w:sz w:val="16"/>
                <w:szCs w:val="16"/>
              </w:rPr>
              <w:t>-9.46 ±0.22</w:t>
            </w:r>
          </w:p>
        </w:tc>
        <w:tc>
          <w:tcPr>
            <w:tcW w:w="1109" w:type="dxa"/>
            <w:vAlign w:val="center"/>
            <w:hideMark/>
          </w:tcPr>
          <w:p w14:paraId="00E442B2" w14:textId="77777777" w:rsidR="00722B14" w:rsidRDefault="00722B14" w:rsidP="00DD3BAE">
            <w:pPr>
              <w:spacing w:before="0" w:after="0"/>
              <w:jc w:val="center"/>
              <w:rPr>
                <w:color w:val="000000"/>
                <w:sz w:val="16"/>
                <w:szCs w:val="16"/>
              </w:rPr>
            </w:pPr>
            <w:r>
              <w:rPr>
                <w:color w:val="000000"/>
                <w:sz w:val="16"/>
                <w:szCs w:val="16"/>
              </w:rPr>
              <w:t>3.47 ±0.13</w:t>
            </w:r>
          </w:p>
        </w:tc>
        <w:tc>
          <w:tcPr>
            <w:tcW w:w="797" w:type="dxa"/>
            <w:vAlign w:val="center"/>
          </w:tcPr>
          <w:p w14:paraId="4FDF5592" w14:textId="77777777" w:rsidR="00722B14" w:rsidRDefault="00722B14" w:rsidP="00DD3BAE">
            <w:pPr>
              <w:spacing w:before="0" w:after="0"/>
              <w:jc w:val="center"/>
              <w:rPr>
                <w:i/>
                <w:color w:val="000000"/>
                <w:sz w:val="16"/>
                <w:szCs w:val="16"/>
              </w:rPr>
            </w:pPr>
          </w:p>
        </w:tc>
        <w:tc>
          <w:tcPr>
            <w:tcW w:w="1557" w:type="dxa"/>
            <w:noWrap/>
            <w:vAlign w:val="center"/>
          </w:tcPr>
          <w:p w14:paraId="45E290A4" w14:textId="77777777" w:rsidR="00722B14" w:rsidRDefault="00722B14" w:rsidP="00DD3BAE">
            <w:pPr>
              <w:spacing w:before="0" w:after="0"/>
              <w:jc w:val="center"/>
              <w:rPr>
                <w:i/>
                <w:color w:val="000000"/>
                <w:sz w:val="16"/>
                <w:szCs w:val="16"/>
              </w:rPr>
            </w:pPr>
          </w:p>
        </w:tc>
      </w:tr>
      <w:tr w:rsidR="00722B14" w14:paraId="26CFA8F5" w14:textId="77777777" w:rsidTr="00DE79BD">
        <w:trPr>
          <w:cantSplit/>
          <w:trHeight w:val="227"/>
          <w:jc w:val="center"/>
        </w:trPr>
        <w:tc>
          <w:tcPr>
            <w:tcW w:w="1077" w:type="dxa"/>
            <w:tcBorders>
              <w:top w:val="nil"/>
              <w:left w:val="nil"/>
              <w:right w:val="nil"/>
            </w:tcBorders>
            <w:shd w:val="clear" w:color="auto" w:fill="auto"/>
            <w:vAlign w:val="center"/>
          </w:tcPr>
          <w:p w14:paraId="182ACE27"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3D3359DA"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760AD60F"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8C303CC"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0C7576D0" w14:textId="77777777" w:rsidR="00722B14" w:rsidRPr="007C770B" w:rsidRDefault="00722B14" w:rsidP="00DD3BAE">
            <w:pPr>
              <w:spacing w:before="0" w:after="0"/>
              <w:jc w:val="center"/>
              <w:rPr>
                <w:color w:val="000000"/>
                <w:sz w:val="16"/>
                <w:szCs w:val="16"/>
              </w:rPr>
            </w:pPr>
            <w:r w:rsidRPr="007C770B">
              <w:rPr>
                <w:color w:val="000000"/>
                <w:sz w:val="16"/>
                <w:szCs w:val="16"/>
              </w:rPr>
              <w:t>41.23</w:t>
            </w:r>
          </w:p>
        </w:tc>
        <w:tc>
          <w:tcPr>
            <w:tcW w:w="661" w:type="dxa"/>
            <w:tcBorders>
              <w:top w:val="nil"/>
              <w:left w:val="nil"/>
              <w:right w:val="nil"/>
            </w:tcBorders>
            <w:shd w:val="clear" w:color="auto" w:fill="auto"/>
            <w:vAlign w:val="center"/>
          </w:tcPr>
          <w:p w14:paraId="115BCAE7" w14:textId="77777777" w:rsidR="00722B14" w:rsidRPr="007C770B" w:rsidRDefault="00722B14" w:rsidP="00DD3BAE">
            <w:pPr>
              <w:spacing w:before="0" w:after="0"/>
              <w:jc w:val="center"/>
              <w:rPr>
                <w:color w:val="000000"/>
                <w:sz w:val="16"/>
                <w:szCs w:val="16"/>
              </w:rPr>
            </w:pPr>
            <w:r w:rsidRPr="007C770B">
              <w:rPr>
                <w:color w:val="000000"/>
                <w:sz w:val="16"/>
                <w:szCs w:val="16"/>
              </w:rPr>
              <w:t>22.84</w:t>
            </w:r>
          </w:p>
        </w:tc>
        <w:tc>
          <w:tcPr>
            <w:tcW w:w="1109" w:type="dxa"/>
            <w:tcBorders>
              <w:top w:val="nil"/>
              <w:left w:val="nil"/>
              <w:right w:val="nil"/>
            </w:tcBorders>
            <w:shd w:val="clear" w:color="auto" w:fill="CCFFCC"/>
            <w:noWrap/>
            <w:vAlign w:val="center"/>
          </w:tcPr>
          <w:p w14:paraId="0983C262" w14:textId="77777777" w:rsidR="00722B14" w:rsidRPr="007C770B" w:rsidRDefault="00722B14" w:rsidP="00DD3BAE">
            <w:pPr>
              <w:spacing w:before="0" w:after="0"/>
              <w:jc w:val="center"/>
              <w:rPr>
                <w:color w:val="000000"/>
                <w:sz w:val="16"/>
                <w:szCs w:val="16"/>
              </w:rPr>
            </w:pPr>
            <w:r w:rsidRPr="007C770B">
              <w:rPr>
                <w:color w:val="000000"/>
                <w:sz w:val="16"/>
                <w:szCs w:val="16"/>
              </w:rPr>
              <w:t>-9.44 ±0.09</w:t>
            </w:r>
          </w:p>
        </w:tc>
        <w:tc>
          <w:tcPr>
            <w:tcW w:w="1109" w:type="dxa"/>
            <w:tcBorders>
              <w:top w:val="nil"/>
              <w:left w:val="nil"/>
              <w:right w:val="nil"/>
            </w:tcBorders>
            <w:shd w:val="clear" w:color="auto" w:fill="auto"/>
            <w:vAlign w:val="center"/>
          </w:tcPr>
          <w:p w14:paraId="1EC4E180" w14:textId="77777777" w:rsidR="00722B14" w:rsidRPr="007C770B" w:rsidRDefault="00722B14" w:rsidP="00DD3BAE">
            <w:pPr>
              <w:spacing w:before="0" w:after="0"/>
              <w:jc w:val="center"/>
              <w:rPr>
                <w:color w:val="000000"/>
                <w:sz w:val="16"/>
                <w:szCs w:val="16"/>
              </w:rPr>
            </w:pPr>
            <w:r w:rsidRPr="007C770B">
              <w:rPr>
                <w:color w:val="000000"/>
                <w:sz w:val="16"/>
                <w:szCs w:val="16"/>
              </w:rPr>
              <w:t>-1.96 ±0.31</w:t>
            </w:r>
          </w:p>
        </w:tc>
        <w:tc>
          <w:tcPr>
            <w:tcW w:w="797" w:type="dxa"/>
            <w:tcBorders>
              <w:top w:val="nil"/>
              <w:left w:val="nil"/>
              <w:right w:val="nil"/>
            </w:tcBorders>
            <w:shd w:val="clear" w:color="auto" w:fill="auto"/>
            <w:vAlign w:val="center"/>
          </w:tcPr>
          <w:p w14:paraId="020BB250"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15C44D21" w14:textId="77777777" w:rsidR="00722B14" w:rsidRDefault="00722B14" w:rsidP="00DD3BAE">
            <w:pPr>
              <w:spacing w:before="0" w:after="0"/>
              <w:jc w:val="center"/>
              <w:rPr>
                <w:i/>
                <w:color w:val="000000"/>
                <w:sz w:val="16"/>
                <w:szCs w:val="16"/>
              </w:rPr>
            </w:pPr>
          </w:p>
        </w:tc>
      </w:tr>
      <w:tr w:rsidR="00722B14" w14:paraId="39E501C7" w14:textId="77777777" w:rsidTr="00DE79BD">
        <w:trPr>
          <w:cantSplit/>
          <w:trHeight w:val="227"/>
          <w:jc w:val="center"/>
        </w:trPr>
        <w:tc>
          <w:tcPr>
            <w:tcW w:w="1077" w:type="dxa"/>
            <w:tcBorders>
              <w:left w:val="nil"/>
              <w:right w:val="nil"/>
            </w:tcBorders>
            <w:shd w:val="clear" w:color="auto" w:fill="auto"/>
            <w:vAlign w:val="center"/>
          </w:tcPr>
          <w:p w14:paraId="079191CE"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7693344B"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084A24C0"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F7084D6"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3AA4CA3A" w14:textId="77777777" w:rsidR="00722B14" w:rsidRPr="003E5C17" w:rsidRDefault="00722B14" w:rsidP="00DD3BAE">
            <w:pPr>
              <w:spacing w:before="0" w:after="0"/>
              <w:jc w:val="center"/>
              <w:rPr>
                <w:color w:val="000000"/>
                <w:sz w:val="16"/>
                <w:szCs w:val="16"/>
              </w:rPr>
            </w:pPr>
            <w:r w:rsidRPr="003E5C17">
              <w:rPr>
                <w:color w:val="000000"/>
                <w:sz w:val="16"/>
                <w:szCs w:val="16"/>
              </w:rPr>
              <w:t>42.49</w:t>
            </w:r>
          </w:p>
        </w:tc>
        <w:tc>
          <w:tcPr>
            <w:tcW w:w="661" w:type="dxa"/>
            <w:tcBorders>
              <w:left w:val="nil"/>
              <w:bottom w:val="single" w:sz="4" w:space="0" w:color="auto"/>
              <w:right w:val="nil"/>
            </w:tcBorders>
            <w:shd w:val="clear" w:color="auto" w:fill="auto"/>
            <w:vAlign w:val="center"/>
          </w:tcPr>
          <w:p w14:paraId="5EEEEDA8" w14:textId="77777777" w:rsidR="00722B14" w:rsidRPr="003E5C17" w:rsidRDefault="00722B14" w:rsidP="00DD3BAE">
            <w:pPr>
              <w:spacing w:before="0" w:after="0"/>
              <w:jc w:val="center"/>
              <w:rPr>
                <w:color w:val="000000"/>
                <w:sz w:val="16"/>
                <w:szCs w:val="16"/>
              </w:rPr>
            </w:pPr>
            <w:r>
              <w:rPr>
                <w:color w:val="000000"/>
                <w:sz w:val="16"/>
                <w:szCs w:val="16"/>
              </w:rPr>
              <w:t>22.53</w:t>
            </w:r>
          </w:p>
        </w:tc>
        <w:tc>
          <w:tcPr>
            <w:tcW w:w="1109" w:type="dxa"/>
            <w:tcBorders>
              <w:left w:val="nil"/>
              <w:bottom w:val="single" w:sz="4" w:space="0" w:color="auto"/>
              <w:right w:val="nil"/>
            </w:tcBorders>
            <w:shd w:val="clear" w:color="auto" w:fill="CCFFCC"/>
            <w:noWrap/>
            <w:vAlign w:val="center"/>
          </w:tcPr>
          <w:p w14:paraId="0F203707" w14:textId="77777777" w:rsidR="00722B14" w:rsidRPr="003E5C17" w:rsidRDefault="00722B14" w:rsidP="00DD3BAE">
            <w:pPr>
              <w:spacing w:before="0" w:after="0"/>
              <w:jc w:val="center"/>
              <w:rPr>
                <w:color w:val="000000"/>
                <w:sz w:val="16"/>
                <w:szCs w:val="16"/>
              </w:rPr>
            </w:pPr>
            <w:r w:rsidRPr="003E5C17">
              <w:rPr>
                <w:color w:val="000000"/>
                <w:sz w:val="16"/>
                <w:szCs w:val="16"/>
              </w:rPr>
              <w:t>-9.87 ±0.17</w:t>
            </w:r>
          </w:p>
        </w:tc>
        <w:tc>
          <w:tcPr>
            <w:tcW w:w="1109" w:type="dxa"/>
            <w:tcBorders>
              <w:left w:val="nil"/>
              <w:bottom w:val="single" w:sz="4" w:space="0" w:color="auto"/>
              <w:right w:val="nil"/>
            </w:tcBorders>
            <w:shd w:val="clear" w:color="auto" w:fill="auto"/>
            <w:vAlign w:val="center"/>
          </w:tcPr>
          <w:p w14:paraId="61EBB7B8" w14:textId="77777777" w:rsidR="00722B14" w:rsidRPr="003E5C17" w:rsidRDefault="00722B14" w:rsidP="00DD3BAE">
            <w:pPr>
              <w:spacing w:before="0" w:after="0"/>
              <w:jc w:val="center"/>
              <w:rPr>
                <w:color w:val="000000"/>
                <w:sz w:val="16"/>
                <w:szCs w:val="16"/>
              </w:rPr>
            </w:pPr>
            <w:r w:rsidRPr="003E5C17">
              <w:rPr>
                <w:color w:val="000000"/>
                <w:sz w:val="16"/>
                <w:szCs w:val="16"/>
              </w:rPr>
              <w:t>1.20 ±0.28</w:t>
            </w:r>
          </w:p>
        </w:tc>
        <w:tc>
          <w:tcPr>
            <w:tcW w:w="797" w:type="dxa"/>
            <w:tcBorders>
              <w:left w:val="nil"/>
              <w:bottom w:val="single" w:sz="4" w:space="0" w:color="auto"/>
              <w:right w:val="nil"/>
            </w:tcBorders>
            <w:shd w:val="clear" w:color="auto" w:fill="auto"/>
            <w:vAlign w:val="center"/>
          </w:tcPr>
          <w:p w14:paraId="2AF4062E"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E9DE19C" w14:textId="77777777" w:rsidR="00722B14" w:rsidRDefault="00722B14" w:rsidP="00DD3BAE">
            <w:pPr>
              <w:spacing w:before="0" w:after="0"/>
              <w:jc w:val="center"/>
              <w:rPr>
                <w:i/>
                <w:color w:val="000000"/>
                <w:sz w:val="16"/>
                <w:szCs w:val="16"/>
              </w:rPr>
            </w:pPr>
          </w:p>
        </w:tc>
      </w:tr>
      <w:tr w:rsidR="00722B14" w14:paraId="0A24C6A0" w14:textId="77777777" w:rsidTr="00DE79BD">
        <w:trPr>
          <w:cantSplit/>
          <w:trHeight w:val="227"/>
          <w:jc w:val="center"/>
        </w:trPr>
        <w:tc>
          <w:tcPr>
            <w:tcW w:w="1077" w:type="dxa"/>
            <w:vAlign w:val="center"/>
          </w:tcPr>
          <w:p w14:paraId="2181FC8C" w14:textId="77777777" w:rsidR="00722B14" w:rsidRDefault="00722B14" w:rsidP="00DD3BAE">
            <w:pPr>
              <w:spacing w:before="0" w:after="0"/>
              <w:jc w:val="center"/>
              <w:rPr>
                <w:color w:val="000000"/>
                <w:sz w:val="16"/>
                <w:szCs w:val="16"/>
              </w:rPr>
            </w:pPr>
          </w:p>
        </w:tc>
        <w:tc>
          <w:tcPr>
            <w:tcW w:w="1115" w:type="dxa"/>
            <w:noWrap/>
            <w:vAlign w:val="center"/>
          </w:tcPr>
          <w:p w14:paraId="12C244C1"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1D454F0"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09CB5734" w14:textId="77777777" w:rsidR="00722B14" w:rsidRDefault="00722B14" w:rsidP="00DD3BAE">
            <w:pPr>
              <w:spacing w:before="0" w:after="0"/>
              <w:jc w:val="center"/>
              <w:rPr>
                <w:color w:val="000000"/>
                <w:sz w:val="16"/>
                <w:szCs w:val="16"/>
              </w:rPr>
            </w:pPr>
            <w:r>
              <w:rPr>
                <w:color w:val="000000"/>
                <w:sz w:val="16"/>
                <w:szCs w:val="16"/>
              </w:rPr>
              <w:t>2008</w:t>
            </w:r>
          </w:p>
        </w:tc>
        <w:tc>
          <w:tcPr>
            <w:tcW w:w="661" w:type="dxa"/>
            <w:tcBorders>
              <w:top w:val="single" w:sz="4" w:space="0" w:color="auto"/>
              <w:left w:val="nil"/>
              <w:bottom w:val="nil"/>
              <w:right w:val="nil"/>
            </w:tcBorders>
            <w:shd w:val="clear" w:color="auto" w:fill="CCFFCC"/>
            <w:vAlign w:val="center"/>
            <w:hideMark/>
          </w:tcPr>
          <w:p w14:paraId="58DD1B77" w14:textId="77777777" w:rsidR="00722B14" w:rsidRDefault="00722B14" w:rsidP="00DD3BAE">
            <w:pPr>
              <w:spacing w:before="0" w:after="0"/>
              <w:jc w:val="center"/>
              <w:rPr>
                <w:color w:val="000000"/>
                <w:sz w:val="16"/>
                <w:szCs w:val="16"/>
              </w:rPr>
            </w:pPr>
            <w:r>
              <w:rPr>
                <w:color w:val="000000"/>
                <w:sz w:val="16"/>
                <w:szCs w:val="16"/>
              </w:rPr>
              <w:t>35.25</w:t>
            </w:r>
          </w:p>
        </w:tc>
        <w:tc>
          <w:tcPr>
            <w:tcW w:w="661" w:type="dxa"/>
            <w:tcBorders>
              <w:top w:val="single" w:sz="4" w:space="0" w:color="auto"/>
              <w:left w:val="nil"/>
              <w:bottom w:val="nil"/>
              <w:right w:val="nil"/>
            </w:tcBorders>
            <w:vAlign w:val="center"/>
            <w:hideMark/>
          </w:tcPr>
          <w:p w14:paraId="35737933" w14:textId="77777777" w:rsidR="00722B14" w:rsidRDefault="00722B14" w:rsidP="00DD3BAE">
            <w:pPr>
              <w:spacing w:before="0" w:after="0"/>
              <w:jc w:val="center"/>
              <w:rPr>
                <w:color w:val="000000"/>
                <w:sz w:val="16"/>
                <w:szCs w:val="16"/>
              </w:rPr>
            </w:pPr>
            <w:r>
              <w:rPr>
                <w:color w:val="000000"/>
                <w:sz w:val="16"/>
                <w:szCs w:val="16"/>
              </w:rPr>
              <w:t>22.63</w:t>
            </w:r>
          </w:p>
        </w:tc>
        <w:tc>
          <w:tcPr>
            <w:tcW w:w="1109" w:type="dxa"/>
            <w:tcBorders>
              <w:top w:val="single" w:sz="4" w:space="0" w:color="auto"/>
              <w:left w:val="nil"/>
              <w:bottom w:val="nil"/>
              <w:right w:val="nil"/>
            </w:tcBorders>
            <w:shd w:val="clear" w:color="auto" w:fill="CCFFCC"/>
            <w:noWrap/>
            <w:vAlign w:val="center"/>
            <w:hideMark/>
          </w:tcPr>
          <w:p w14:paraId="29FD729E" w14:textId="77777777" w:rsidR="00722B14" w:rsidRDefault="00722B14" w:rsidP="00DD3BAE">
            <w:pPr>
              <w:spacing w:before="0" w:after="0"/>
              <w:jc w:val="center"/>
              <w:rPr>
                <w:color w:val="000000"/>
                <w:sz w:val="16"/>
                <w:szCs w:val="16"/>
              </w:rPr>
            </w:pPr>
            <w:r>
              <w:rPr>
                <w:color w:val="000000"/>
                <w:sz w:val="16"/>
                <w:szCs w:val="16"/>
              </w:rPr>
              <w:t>-10.62 ±0.17</w:t>
            </w:r>
          </w:p>
        </w:tc>
        <w:tc>
          <w:tcPr>
            <w:tcW w:w="1109" w:type="dxa"/>
            <w:tcBorders>
              <w:top w:val="single" w:sz="4" w:space="0" w:color="auto"/>
              <w:left w:val="nil"/>
              <w:bottom w:val="nil"/>
              <w:right w:val="nil"/>
            </w:tcBorders>
            <w:vAlign w:val="center"/>
            <w:hideMark/>
          </w:tcPr>
          <w:p w14:paraId="7B22F01C" w14:textId="77777777" w:rsidR="00722B14" w:rsidRDefault="00722B14" w:rsidP="00DD3BAE">
            <w:pPr>
              <w:spacing w:before="0" w:after="0"/>
              <w:jc w:val="center"/>
              <w:rPr>
                <w:color w:val="000000"/>
                <w:sz w:val="16"/>
                <w:szCs w:val="16"/>
              </w:rPr>
            </w:pPr>
            <w:r>
              <w:rPr>
                <w:color w:val="000000"/>
                <w:sz w:val="16"/>
                <w:szCs w:val="16"/>
              </w:rPr>
              <w:t>2.19 ±0.23</w:t>
            </w:r>
          </w:p>
        </w:tc>
        <w:tc>
          <w:tcPr>
            <w:tcW w:w="797" w:type="dxa"/>
            <w:tcBorders>
              <w:top w:val="single" w:sz="4" w:space="0" w:color="auto"/>
              <w:left w:val="nil"/>
              <w:bottom w:val="nil"/>
              <w:right w:val="nil"/>
            </w:tcBorders>
            <w:vAlign w:val="center"/>
            <w:hideMark/>
          </w:tcPr>
          <w:p w14:paraId="066264C7"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07C0CA7D"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55652EF9" w14:textId="77777777" w:rsidTr="00DE79BD">
        <w:trPr>
          <w:cantSplit/>
          <w:trHeight w:val="227"/>
          <w:jc w:val="center"/>
        </w:trPr>
        <w:tc>
          <w:tcPr>
            <w:tcW w:w="1077" w:type="dxa"/>
            <w:vAlign w:val="center"/>
          </w:tcPr>
          <w:p w14:paraId="3FE497DB" w14:textId="77777777" w:rsidR="00722B14" w:rsidRDefault="00722B14" w:rsidP="00DD3BAE">
            <w:pPr>
              <w:spacing w:before="0" w:after="0"/>
              <w:jc w:val="center"/>
              <w:rPr>
                <w:color w:val="000000"/>
                <w:sz w:val="16"/>
                <w:szCs w:val="16"/>
              </w:rPr>
            </w:pPr>
          </w:p>
        </w:tc>
        <w:tc>
          <w:tcPr>
            <w:tcW w:w="1115" w:type="dxa"/>
            <w:noWrap/>
            <w:vAlign w:val="center"/>
          </w:tcPr>
          <w:p w14:paraId="3FA27B15" w14:textId="77777777" w:rsidR="00722B14" w:rsidRDefault="00722B14" w:rsidP="00DD3BAE">
            <w:pPr>
              <w:spacing w:before="0" w:after="0"/>
              <w:jc w:val="center"/>
              <w:rPr>
                <w:color w:val="000000"/>
                <w:sz w:val="16"/>
                <w:szCs w:val="16"/>
              </w:rPr>
            </w:pPr>
          </w:p>
        </w:tc>
        <w:tc>
          <w:tcPr>
            <w:tcW w:w="789" w:type="dxa"/>
            <w:noWrap/>
            <w:vAlign w:val="center"/>
          </w:tcPr>
          <w:p w14:paraId="5758BC41" w14:textId="77777777" w:rsidR="00722B14" w:rsidRDefault="00722B14" w:rsidP="00DD3BAE">
            <w:pPr>
              <w:spacing w:before="0" w:after="0"/>
              <w:jc w:val="center"/>
              <w:rPr>
                <w:color w:val="000000"/>
                <w:sz w:val="16"/>
                <w:szCs w:val="16"/>
              </w:rPr>
            </w:pPr>
          </w:p>
        </w:tc>
        <w:tc>
          <w:tcPr>
            <w:tcW w:w="621" w:type="dxa"/>
            <w:vAlign w:val="center"/>
            <w:hideMark/>
          </w:tcPr>
          <w:p w14:paraId="023AEB79" w14:textId="77777777" w:rsidR="00722B14" w:rsidRDefault="00722B14" w:rsidP="00DD3BAE">
            <w:pPr>
              <w:spacing w:before="0" w:after="0"/>
              <w:jc w:val="center"/>
              <w:rPr>
                <w:color w:val="000000"/>
                <w:sz w:val="16"/>
                <w:szCs w:val="16"/>
              </w:rPr>
            </w:pPr>
            <w:r>
              <w:rPr>
                <w:color w:val="000000"/>
                <w:sz w:val="16"/>
                <w:szCs w:val="16"/>
              </w:rPr>
              <w:t>2009</w:t>
            </w:r>
          </w:p>
        </w:tc>
        <w:tc>
          <w:tcPr>
            <w:tcW w:w="661" w:type="dxa"/>
            <w:shd w:val="clear" w:color="auto" w:fill="CCFFCC"/>
            <w:vAlign w:val="center"/>
            <w:hideMark/>
          </w:tcPr>
          <w:p w14:paraId="29683CFA" w14:textId="77777777" w:rsidR="00722B14" w:rsidRDefault="00722B14" w:rsidP="00DD3BAE">
            <w:pPr>
              <w:spacing w:before="0" w:after="0"/>
              <w:jc w:val="center"/>
              <w:rPr>
                <w:color w:val="000000"/>
                <w:sz w:val="16"/>
                <w:szCs w:val="16"/>
              </w:rPr>
            </w:pPr>
            <w:r>
              <w:rPr>
                <w:color w:val="000000"/>
                <w:sz w:val="16"/>
                <w:szCs w:val="16"/>
              </w:rPr>
              <w:t>34.46</w:t>
            </w:r>
          </w:p>
        </w:tc>
        <w:tc>
          <w:tcPr>
            <w:tcW w:w="661" w:type="dxa"/>
            <w:shd w:val="clear" w:color="auto" w:fill="CCFFCC"/>
            <w:vAlign w:val="center"/>
            <w:hideMark/>
          </w:tcPr>
          <w:p w14:paraId="1EF80942" w14:textId="77777777" w:rsidR="00722B14" w:rsidRDefault="00722B14" w:rsidP="00DD3BAE">
            <w:pPr>
              <w:spacing w:before="0" w:after="0"/>
              <w:jc w:val="center"/>
              <w:rPr>
                <w:color w:val="000000"/>
                <w:sz w:val="16"/>
                <w:szCs w:val="16"/>
              </w:rPr>
            </w:pPr>
            <w:r>
              <w:rPr>
                <w:color w:val="000000"/>
                <w:sz w:val="16"/>
                <w:szCs w:val="16"/>
              </w:rPr>
              <w:t>17.24</w:t>
            </w:r>
          </w:p>
        </w:tc>
        <w:tc>
          <w:tcPr>
            <w:tcW w:w="1109" w:type="dxa"/>
            <w:noWrap/>
            <w:vAlign w:val="center"/>
            <w:hideMark/>
          </w:tcPr>
          <w:p w14:paraId="2C87E991" w14:textId="77777777" w:rsidR="00722B14" w:rsidRDefault="00722B14" w:rsidP="00DD3BAE">
            <w:pPr>
              <w:spacing w:before="0" w:after="0"/>
              <w:jc w:val="center"/>
              <w:rPr>
                <w:color w:val="000000"/>
                <w:sz w:val="16"/>
                <w:szCs w:val="16"/>
              </w:rPr>
            </w:pPr>
            <w:r>
              <w:rPr>
                <w:color w:val="000000"/>
                <w:sz w:val="16"/>
                <w:szCs w:val="16"/>
              </w:rPr>
              <w:t>-11.25 ±0.36</w:t>
            </w:r>
          </w:p>
        </w:tc>
        <w:tc>
          <w:tcPr>
            <w:tcW w:w="1109" w:type="dxa"/>
            <w:vAlign w:val="center"/>
            <w:hideMark/>
          </w:tcPr>
          <w:p w14:paraId="7518292D" w14:textId="77777777" w:rsidR="00722B14" w:rsidRDefault="00722B14" w:rsidP="00DD3BAE">
            <w:pPr>
              <w:spacing w:before="0" w:after="0"/>
              <w:jc w:val="center"/>
              <w:rPr>
                <w:color w:val="000000"/>
                <w:sz w:val="16"/>
                <w:szCs w:val="16"/>
              </w:rPr>
            </w:pPr>
            <w:r>
              <w:rPr>
                <w:color w:val="000000"/>
                <w:sz w:val="16"/>
                <w:szCs w:val="16"/>
              </w:rPr>
              <w:t>0.95 ±0.15</w:t>
            </w:r>
          </w:p>
        </w:tc>
        <w:tc>
          <w:tcPr>
            <w:tcW w:w="797" w:type="dxa"/>
            <w:vAlign w:val="center"/>
          </w:tcPr>
          <w:p w14:paraId="3AF0AAD2" w14:textId="77777777" w:rsidR="00722B14" w:rsidRDefault="00722B14" w:rsidP="00DD3BAE">
            <w:pPr>
              <w:spacing w:before="0" w:after="0"/>
              <w:jc w:val="center"/>
              <w:rPr>
                <w:i/>
                <w:color w:val="000000"/>
                <w:sz w:val="16"/>
                <w:szCs w:val="16"/>
              </w:rPr>
            </w:pPr>
          </w:p>
        </w:tc>
        <w:tc>
          <w:tcPr>
            <w:tcW w:w="1557" w:type="dxa"/>
            <w:noWrap/>
            <w:vAlign w:val="center"/>
          </w:tcPr>
          <w:p w14:paraId="3DD5FD5A" w14:textId="77777777" w:rsidR="00722B14" w:rsidRDefault="00722B14" w:rsidP="00DD3BAE">
            <w:pPr>
              <w:spacing w:before="0" w:after="0"/>
              <w:jc w:val="center"/>
              <w:rPr>
                <w:i/>
                <w:color w:val="000000"/>
                <w:sz w:val="16"/>
                <w:szCs w:val="16"/>
              </w:rPr>
            </w:pPr>
          </w:p>
        </w:tc>
      </w:tr>
      <w:tr w:rsidR="00722B14" w14:paraId="2249A269" w14:textId="77777777" w:rsidTr="00DE79BD">
        <w:trPr>
          <w:cantSplit/>
          <w:trHeight w:val="227"/>
          <w:jc w:val="center"/>
        </w:trPr>
        <w:tc>
          <w:tcPr>
            <w:tcW w:w="1077" w:type="dxa"/>
            <w:vAlign w:val="center"/>
          </w:tcPr>
          <w:p w14:paraId="25C7F906" w14:textId="77777777" w:rsidR="00722B14" w:rsidRDefault="00722B14" w:rsidP="00DD3BAE">
            <w:pPr>
              <w:spacing w:before="0" w:after="0"/>
              <w:jc w:val="center"/>
              <w:rPr>
                <w:color w:val="000000"/>
                <w:sz w:val="16"/>
                <w:szCs w:val="16"/>
              </w:rPr>
            </w:pPr>
          </w:p>
        </w:tc>
        <w:tc>
          <w:tcPr>
            <w:tcW w:w="1115" w:type="dxa"/>
            <w:noWrap/>
            <w:vAlign w:val="center"/>
          </w:tcPr>
          <w:p w14:paraId="03A92A9C" w14:textId="77777777" w:rsidR="00722B14" w:rsidRDefault="00722B14" w:rsidP="00DD3BAE">
            <w:pPr>
              <w:spacing w:before="0" w:after="0"/>
              <w:jc w:val="center"/>
              <w:rPr>
                <w:color w:val="000000"/>
                <w:sz w:val="16"/>
                <w:szCs w:val="16"/>
              </w:rPr>
            </w:pPr>
          </w:p>
        </w:tc>
        <w:tc>
          <w:tcPr>
            <w:tcW w:w="789" w:type="dxa"/>
            <w:noWrap/>
            <w:vAlign w:val="center"/>
          </w:tcPr>
          <w:p w14:paraId="0BD44478" w14:textId="77777777" w:rsidR="00722B14" w:rsidRDefault="00722B14" w:rsidP="00DD3BAE">
            <w:pPr>
              <w:spacing w:before="0" w:after="0"/>
              <w:jc w:val="center"/>
              <w:rPr>
                <w:color w:val="000000"/>
                <w:sz w:val="16"/>
                <w:szCs w:val="16"/>
              </w:rPr>
            </w:pPr>
          </w:p>
        </w:tc>
        <w:tc>
          <w:tcPr>
            <w:tcW w:w="621" w:type="dxa"/>
            <w:vAlign w:val="center"/>
            <w:hideMark/>
          </w:tcPr>
          <w:p w14:paraId="69535FFF" w14:textId="77777777" w:rsidR="00722B14" w:rsidRDefault="00722B14" w:rsidP="00DD3BAE">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3E96A084" w14:textId="77777777" w:rsidR="00722B14" w:rsidRDefault="00722B14" w:rsidP="00DD3BAE">
            <w:pPr>
              <w:spacing w:before="0" w:after="0"/>
              <w:jc w:val="center"/>
              <w:rPr>
                <w:color w:val="000000"/>
                <w:sz w:val="16"/>
                <w:szCs w:val="16"/>
              </w:rPr>
            </w:pPr>
            <w:r>
              <w:rPr>
                <w:color w:val="000000"/>
                <w:sz w:val="16"/>
                <w:szCs w:val="16"/>
              </w:rPr>
              <w:t>33.50</w:t>
            </w:r>
          </w:p>
        </w:tc>
        <w:tc>
          <w:tcPr>
            <w:tcW w:w="661" w:type="dxa"/>
            <w:shd w:val="clear" w:color="auto" w:fill="CCFFCC"/>
            <w:vAlign w:val="center"/>
            <w:hideMark/>
          </w:tcPr>
          <w:p w14:paraId="3398AA7E" w14:textId="77777777" w:rsidR="00722B14" w:rsidRDefault="00722B14" w:rsidP="00DD3BAE">
            <w:pPr>
              <w:spacing w:before="0" w:after="0"/>
              <w:jc w:val="center"/>
              <w:rPr>
                <w:color w:val="000000"/>
                <w:sz w:val="16"/>
                <w:szCs w:val="16"/>
              </w:rPr>
            </w:pPr>
            <w:r>
              <w:rPr>
                <w:color w:val="000000"/>
                <w:sz w:val="16"/>
                <w:szCs w:val="16"/>
              </w:rPr>
              <w:t>19.96</w:t>
            </w:r>
          </w:p>
        </w:tc>
        <w:tc>
          <w:tcPr>
            <w:tcW w:w="1109" w:type="dxa"/>
            <w:noWrap/>
            <w:vAlign w:val="center"/>
            <w:hideMark/>
          </w:tcPr>
          <w:p w14:paraId="02D162A4" w14:textId="77777777" w:rsidR="00722B14" w:rsidRDefault="00722B14" w:rsidP="00DD3BAE">
            <w:pPr>
              <w:spacing w:before="0" w:after="0"/>
              <w:jc w:val="center"/>
              <w:rPr>
                <w:color w:val="000000"/>
                <w:sz w:val="16"/>
                <w:szCs w:val="16"/>
              </w:rPr>
            </w:pPr>
            <w:r>
              <w:rPr>
                <w:color w:val="000000"/>
                <w:sz w:val="16"/>
                <w:szCs w:val="16"/>
              </w:rPr>
              <w:t>-11.69 ±1.11</w:t>
            </w:r>
          </w:p>
        </w:tc>
        <w:tc>
          <w:tcPr>
            <w:tcW w:w="1109" w:type="dxa"/>
            <w:vAlign w:val="center"/>
            <w:hideMark/>
          </w:tcPr>
          <w:p w14:paraId="35C1F044" w14:textId="77777777" w:rsidR="00722B14" w:rsidRDefault="00722B14" w:rsidP="00DD3BAE">
            <w:pPr>
              <w:spacing w:before="0" w:after="0"/>
              <w:jc w:val="center"/>
              <w:rPr>
                <w:color w:val="000000"/>
                <w:sz w:val="16"/>
                <w:szCs w:val="16"/>
              </w:rPr>
            </w:pPr>
            <w:r>
              <w:rPr>
                <w:color w:val="000000"/>
                <w:sz w:val="16"/>
                <w:szCs w:val="16"/>
              </w:rPr>
              <w:t>2.23 ±0.48</w:t>
            </w:r>
          </w:p>
        </w:tc>
        <w:tc>
          <w:tcPr>
            <w:tcW w:w="797" w:type="dxa"/>
            <w:vAlign w:val="center"/>
          </w:tcPr>
          <w:p w14:paraId="6C2B2D81" w14:textId="77777777" w:rsidR="00722B14" w:rsidRDefault="00722B14" w:rsidP="00DD3BAE">
            <w:pPr>
              <w:spacing w:before="0" w:after="0"/>
              <w:jc w:val="center"/>
              <w:rPr>
                <w:i/>
                <w:color w:val="000000"/>
                <w:sz w:val="16"/>
                <w:szCs w:val="16"/>
              </w:rPr>
            </w:pPr>
          </w:p>
        </w:tc>
        <w:tc>
          <w:tcPr>
            <w:tcW w:w="1557" w:type="dxa"/>
            <w:noWrap/>
            <w:vAlign w:val="center"/>
          </w:tcPr>
          <w:p w14:paraId="4F7DA5AC" w14:textId="77777777" w:rsidR="00722B14" w:rsidRDefault="00722B14" w:rsidP="00DD3BAE">
            <w:pPr>
              <w:spacing w:before="0" w:after="0"/>
              <w:jc w:val="center"/>
              <w:rPr>
                <w:i/>
                <w:color w:val="000000"/>
                <w:sz w:val="16"/>
                <w:szCs w:val="16"/>
              </w:rPr>
            </w:pPr>
          </w:p>
        </w:tc>
      </w:tr>
      <w:tr w:rsidR="00722B14" w14:paraId="3C391F7B" w14:textId="77777777" w:rsidTr="00DE79BD">
        <w:trPr>
          <w:cantSplit/>
          <w:trHeight w:val="227"/>
          <w:jc w:val="center"/>
        </w:trPr>
        <w:tc>
          <w:tcPr>
            <w:tcW w:w="1077" w:type="dxa"/>
            <w:vAlign w:val="center"/>
          </w:tcPr>
          <w:p w14:paraId="7DE85156" w14:textId="77777777" w:rsidR="00722B14" w:rsidRDefault="00722B14" w:rsidP="00DD3BAE">
            <w:pPr>
              <w:spacing w:before="0" w:after="0"/>
              <w:jc w:val="center"/>
              <w:rPr>
                <w:color w:val="000000"/>
                <w:sz w:val="16"/>
                <w:szCs w:val="16"/>
              </w:rPr>
            </w:pPr>
          </w:p>
        </w:tc>
        <w:tc>
          <w:tcPr>
            <w:tcW w:w="1115" w:type="dxa"/>
            <w:noWrap/>
            <w:vAlign w:val="center"/>
          </w:tcPr>
          <w:p w14:paraId="54853D1D" w14:textId="77777777" w:rsidR="00722B14" w:rsidRDefault="00722B14" w:rsidP="00DD3BAE">
            <w:pPr>
              <w:spacing w:before="0" w:after="0"/>
              <w:jc w:val="center"/>
              <w:rPr>
                <w:color w:val="000000"/>
                <w:sz w:val="16"/>
                <w:szCs w:val="16"/>
              </w:rPr>
            </w:pPr>
          </w:p>
        </w:tc>
        <w:tc>
          <w:tcPr>
            <w:tcW w:w="789" w:type="dxa"/>
            <w:noWrap/>
            <w:vAlign w:val="center"/>
          </w:tcPr>
          <w:p w14:paraId="16865888" w14:textId="77777777" w:rsidR="00722B14" w:rsidRDefault="00722B14" w:rsidP="00DD3BAE">
            <w:pPr>
              <w:spacing w:before="0" w:after="0"/>
              <w:jc w:val="center"/>
              <w:rPr>
                <w:color w:val="000000"/>
                <w:sz w:val="16"/>
                <w:szCs w:val="16"/>
              </w:rPr>
            </w:pPr>
          </w:p>
        </w:tc>
        <w:tc>
          <w:tcPr>
            <w:tcW w:w="621" w:type="dxa"/>
            <w:vAlign w:val="center"/>
            <w:hideMark/>
          </w:tcPr>
          <w:p w14:paraId="3AFF0876" w14:textId="77777777" w:rsidR="00722B14" w:rsidRDefault="00722B14" w:rsidP="00DD3BAE">
            <w:pPr>
              <w:spacing w:before="0" w:after="0"/>
              <w:jc w:val="center"/>
              <w:rPr>
                <w:color w:val="000000"/>
                <w:sz w:val="16"/>
                <w:szCs w:val="16"/>
              </w:rPr>
            </w:pPr>
            <w:r>
              <w:rPr>
                <w:color w:val="000000"/>
                <w:sz w:val="16"/>
                <w:szCs w:val="16"/>
              </w:rPr>
              <w:t>2011</w:t>
            </w:r>
          </w:p>
        </w:tc>
        <w:tc>
          <w:tcPr>
            <w:tcW w:w="661" w:type="dxa"/>
            <w:vAlign w:val="center"/>
            <w:hideMark/>
          </w:tcPr>
          <w:p w14:paraId="64F47367" w14:textId="77777777" w:rsidR="00722B14" w:rsidRDefault="00722B14" w:rsidP="00DD3BAE">
            <w:pPr>
              <w:spacing w:before="0" w:after="0"/>
              <w:jc w:val="center"/>
              <w:rPr>
                <w:color w:val="000000"/>
                <w:sz w:val="16"/>
                <w:szCs w:val="16"/>
              </w:rPr>
            </w:pPr>
            <w:r>
              <w:rPr>
                <w:color w:val="000000"/>
                <w:sz w:val="16"/>
                <w:szCs w:val="16"/>
              </w:rPr>
              <w:t>38.94</w:t>
            </w:r>
          </w:p>
        </w:tc>
        <w:tc>
          <w:tcPr>
            <w:tcW w:w="661" w:type="dxa"/>
            <w:shd w:val="clear" w:color="auto" w:fill="CCFFCC"/>
            <w:vAlign w:val="center"/>
            <w:hideMark/>
          </w:tcPr>
          <w:p w14:paraId="10FC1CC6" w14:textId="77777777" w:rsidR="00722B14" w:rsidRDefault="00722B14" w:rsidP="00DD3BAE">
            <w:pPr>
              <w:spacing w:before="0" w:after="0"/>
              <w:jc w:val="center"/>
              <w:rPr>
                <w:color w:val="000000"/>
                <w:sz w:val="16"/>
                <w:szCs w:val="16"/>
              </w:rPr>
            </w:pPr>
            <w:r>
              <w:rPr>
                <w:color w:val="000000"/>
                <w:sz w:val="16"/>
                <w:szCs w:val="16"/>
              </w:rPr>
              <w:t>18.88</w:t>
            </w:r>
          </w:p>
        </w:tc>
        <w:tc>
          <w:tcPr>
            <w:tcW w:w="1109" w:type="dxa"/>
            <w:shd w:val="clear" w:color="auto" w:fill="CCFFCC"/>
            <w:noWrap/>
            <w:vAlign w:val="center"/>
            <w:hideMark/>
          </w:tcPr>
          <w:p w14:paraId="32E8900D" w14:textId="77777777" w:rsidR="00722B14" w:rsidRDefault="00722B14" w:rsidP="00DD3BAE">
            <w:pPr>
              <w:spacing w:before="0" w:after="0"/>
              <w:jc w:val="center"/>
              <w:rPr>
                <w:color w:val="000000"/>
                <w:sz w:val="16"/>
                <w:szCs w:val="16"/>
              </w:rPr>
            </w:pPr>
            <w:r>
              <w:rPr>
                <w:color w:val="000000"/>
                <w:sz w:val="16"/>
                <w:szCs w:val="16"/>
              </w:rPr>
              <w:t>-9.64 ±0.04</w:t>
            </w:r>
          </w:p>
        </w:tc>
        <w:tc>
          <w:tcPr>
            <w:tcW w:w="1109" w:type="dxa"/>
            <w:vAlign w:val="center"/>
            <w:hideMark/>
          </w:tcPr>
          <w:p w14:paraId="1EEB1E70" w14:textId="77777777" w:rsidR="00722B14" w:rsidRDefault="00722B14" w:rsidP="00DD3BAE">
            <w:pPr>
              <w:spacing w:before="0" w:after="0"/>
              <w:jc w:val="center"/>
              <w:rPr>
                <w:color w:val="000000"/>
                <w:sz w:val="16"/>
                <w:szCs w:val="16"/>
              </w:rPr>
            </w:pPr>
            <w:r>
              <w:rPr>
                <w:color w:val="000000"/>
                <w:sz w:val="16"/>
                <w:szCs w:val="16"/>
              </w:rPr>
              <w:t>1.82 ±0.23</w:t>
            </w:r>
          </w:p>
        </w:tc>
        <w:tc>
          <w:tcPr>
            <w:tcW w:w="797" w:type="dxa"/>
            <w:vAlign w:val="center"/>
          </w:tcPr>
          <w:p w14:paraId="3CFB6EC0" w14:textId="77777777" w:rsidR="00722B14" w:rsidRDefault="00722B14" w:rsidP="00DD3BAE">
            <w:pPr>
              <w:spacing w:before="0" w:after="0"/>
              <w:jc w:val="center"/>
              <w:rPr>
                <w:i/>
                <w:color w:val="000000"/>
                <w:sz w:val="16"/>
                <w:szCs w:val="16"/>
              </w:rPr>
            </w:pPr>
          </w:p>
        </w:tc>
        <w:tc>
          <w:tcPr>
            <w:tcW w:w="1557" w:type="dxa"/>
            <w:noWrap/>
            <w:vAlign w:val="center"/>
          </w:tcPr>
          <w:p w14:paraId="14D4A135" w14:textId="77777777" w:rsidR="00722B14" w:rsidRDefault="00722B14" w:rsidP="00DD3BAE">
            <w:pPr>
              <w:spacing w:before="0" w:after="0"/>
              <w:jc w:val="center"/>
              <w:rPr>
                <w:i/>
                <w:color w:val="000000"/>
                <w:sz w:val="16"/>
                <w:szCs w:val="16"/>
              </w:rPr>
            </w:pPr>
          </w:p>
        </w:tc>
      </w:tr>
      <w:tr w:rsidR="00722B14" w14:paraId="681A9670" w14:textId="77777777" w:rsidTr="00DE79BD">
        <w:trPr>
          <w:cantSplit/>
          <w:trHeight w:val="227"/>
          <w:jc w:val="center"/>
        </w:trPr>
        <w:tc>
          <w:tcPr>
            <w:tcW w:w="1077" w:type="dxa"/>
            <w:vAlign w:val="center"/>
          </w:tcPr>
          <w:p w14:paraId="7679987B" w14:textId="77777777" w:rsidR="00722B14" w:rsidRDefault="00722B14" w:rsidP="00DD3BAE">
            <w:pPr>
              <w:spacing w:before="0" w:after="0"/>
              <w:jc w:val="center"/>
              <w:rPr>
                <w:color w:val="000000"/>
                <w:sz w:val="16"/>
                <w:szCs w:val="16"/>
              </w:rPr>
            </w:pPr>
          </w:p>
        </w:tc>
        <w:tc>
          <w:tcPr>
            <w:tcW w:w="1115" w:type="dxa"/>
            <w:noWrap/>
            <w:vAlign w:val="center"/>
          </w:tcPr>
          <w:p w14:paraId="31DBAEFB" w14:textId="77777777" w:rsidR="00722B14" w:rsidRDefault="00722B14" w:rsidP="00DD3BAE">
            <w:pPr>
              <w:spacing w:before="0" w:after="0"/>
              <w:jc w:val="center"/>
              <w:rPr>
                <w:color w:val="000000"/>
                <w:sz w:val="16"/>
                <w:szCs w:val="16"/>
              </w:rPr>
            </w:pPr>
          </w:p>
        </w:tc>
        <w:tc>
          <w:tcPr>
            <w:tcW w:w="789" w:type="dxa"/>
            <w:noWrap/>
            <w:vAlign w:val="center"/>
          </w:tcPr>
          <w:p w14:paraId="53D4963E" w14:textId="77777777" w:rsidR="00722B14" w:rsidRDefault="00722B14" w:rsidP="00DD3BAE">
            <w:pPr>
              <w:spacing w:before="0" w:after="0"/>
              <w:jc w:val="center"/>
              <w:rPr>
                <w:color w:val="000000"/>
                <w:sz w:val="16"/>
                <w:szCs w:val="16"/>
              </w:rPr>
            </w:pPr>
          </w:p>
        </w:tc>
        <w:tc>
          <w:tcPr>
            <w:tcW w:w="621" w:type="dxa"/>
            <w:vAlign w:val="center"/>
            <w:hideMark/>
          </w:tcPr>
          <w:p w14:paraId="1D94B82B"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6D6A15D2" w14:textId="77777777" w:rsidR="00722B14" w:rsidRDefault="00722B14" w:rsidP="00DD3BAE">
            <w:pPr>
              <w:spacing w:before="0" w:after="0"/>
              <w:jc w:val="center"/>
              <w:rPr>
                <w:color w:val="000000"/>
                <w:sz w:val="16"/>
                <w:szCs w:val="16"/>
              </w:rPr>
            </w:pPr>
            <w:r>
              <w:rPr>
                <w:color w:val="000000"/>
                <w:sz w:val="16"/>
                <w:szCs w:val="16"/>
              </w:rPr>
              <w:t>39.19</w:t>
            </w:r>
          </w:p>
        </w:tc>
        <w:tc>
          <w:tcPr>
            <w:tcW w:w="661" w:type="dxa"/>
            <w:shd w:val="clear" w:color="auto" w:fill="CCFFCC"/>
            <w:vAlign w:val="center"/>
            <w:hideMark/>
          </w:tcPr>
          <w:p w14:paraId="19D40F14" w14:textId="77777777" w:rsidR="00722B14" w:rsidRDefault="00722B14" w:rsidP="00DD3BAE">
            <w:pPr>
              <w:spacing w:before="0" w:after="0"/>
              <w:jc w:val="center"/>
              <w:rPr>
                <w:color w:val="000000"/>
                <w:sz w:val="16"/>
                <w:szCs w:val="16"/>
              </w:rPr>
            </w:pPr>
            <w:r>
              <w:rPr>
                <w:color w:val="000000"/>
                <w:sz w:val="16"/>
                <w:szCs w:val="16"/>
              </w:rPr>
              <w:t>19.58</w:t>
            </w:r>
          </w:p>
        </w:tc>
        <w:tc>
          <w:tcPr>
            <w:tcW w:w="1109" w:type="dxa"/>
            <w:shd w:val="clear" w:color="auto" w:fill="CCFFCC"/>
            <w:noWrap/>
            <w:vAlign w:val="center"/>
            <w:hideMark/>
          </w:tcPr>
          <w:p w14:paraId="77533A6B" w14:textId="77777777" w:rsidR="00722B14" w:rsidRDefault="00722B14" w:rsidP="00DD3BAE">
            <w:pPr>
              <w:spacing w:before="0" w:after="0"/>
              <w:jc w:val="center"/>
              <w:rPr>
                <w:color w:val="000000"/>
                <w:sz w:val="16"/>
                <w:szCs w:val="16"/>
              </w:rPr>
            </w:pPr>
            <w:r>
              <w:rPr>
                <w:color w:val="000000"/>
                <w:sz w:val="16"/>
                <w:szCs w:val="16"/>
              </w:rPr>
              <w:t>-9.85 ±0.17</w:t>
            </w:r>
          </w:p>
        </w:tc>
        <w:tc>
          <w:tcPr>
            <w:tcW w:w="1109" w:type="dxa"/>
            <w:vAlign w:val="center"/>
            <w:hideMark/>
          </w:tcPr>
          <w:p w14:paraId="4EF51800" w14:textId="77777777" w:rsidR="00722B14" w:rsidRDefault="00722B14" w:rsidP="00DD3BAE">
            <w:pPr>
              <w:spacing w:before="0" w:after="0"/>
              <w:jc w:val="center"/>
              <w:rPr>
                <w:color w:val="000000"/>
                <w:sz w:val="16"/>
                <w:szCs w:val="16"/>
              </w:rPr>
            </w:pPr>
            <w:r>
              <w:rPr>
                <w:color w:val="000000"/>
                <w:sz w:val="16"/>
                <w:szCs w:val="16"/>
              </w:rPr>
              <w:t>2.71 ±0.29</w:t>
            </w:r>
          </w:p>
        </w:tc>
        <w:tc>
          <w:tcPr>
            <w:tcW w:w="797" w:type="dxa"/>
            <w:vAlign w:val="center"/>
          </w:tcPr>
          <w:p w14:paraId="2BA69F07" w14:textId="77777777" w:rsidR="00722B14" w:rsidRDefault="00722B14" w:rsidP="00DD3BAE">
            <w:pPr>
              <w:spacing w:before="0" w:after="0"/>
              <w:jc w:val="center"/>
              <w:rPr>
                <w:i/>
                <w:color w:val="000000"/>
                <w:sz w:val="16"/>
                <w:szCs w:val="16"/>
              </w:rPr>
            </w:pPr>
          </w:p>
        </w:tc>
        <w:tc>
          <w:tcPr>
            <w:tcW w:w="1557" w:type="dxa"/>
            <w:noWrap/>
            <w:vAlign w:val="center"/>
          </w:tcPr>
          <w:p w14:paraId="322FA004" w14:textId="77777777" w:rsidR="00722B14" w:rsidRDefault="00722B14" w:rsidP="00DD3BAE">
            <w:pPr>
              <w:spacing w:before="0" w:after="0"/>
              <w:jc w:val="center"/>
              <w:rPr>
                <w:i/>
                <w:color w:val="000000"/>
                <w:sz w:val="16"/>
                <w:szCs w:val="16"/>
              </w:rPr>
            </w:pPr>
          </w:p>
        </w:tc>
      </w:tr>
      <w:tr w:rsidR="00722B14" w14:paraId="638BD584" w14:textId="77777777" w:rsidTr="00DE79BD">
        <w:trPr>
          <w:cantSplit/>
          <w:trHeight w:val="227"/>
          <w:jc w:val="center"/>
        </w:trPr>
        <w:tc>
          <w:tcPr>
            <w:tcW w:w="1077" w:type="dxa"/>
            <w:vAlign w:val="center"/>
          </w:tcPr>
          <w:p w14:paraId="5F0A307C" w14:textId="77777777" w:rsidR="00722B14" w:rsidRDefault="00722B14" w:rsidP="00DD3BAE">
            <w:pPr>
              <w:spacing w:before="0" w:after="0"/>
              <w:jc w:val="center"/>
              <w:rPr>
                <w:color w:val="000000"/>
                <w:sz w:val="16"/>
                <w:szCs w:val="16"/>
              </w:rPr>
            </w:pPr>
          </w:p>
        </w:tc>
        <w:tc>
          <w:tcPr>
            <w:tcW w:w="1115" w:type="dxa"/>
            <w:noWrap/>
            <w:vAlign w:val="center"/>
          </w:tcPr>
          <w:p w14:paraId="24F2F12C"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171ADC96"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7C8D116C"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4AE25F82" w14:textId="77777777" w:rsidR="00722B14" w:rsidRDefault="00722B14" w:rsidP="00DD3BAE">
            <w:pPr>
              <w:spacing w:before="0" w:after="0"/>
              <w:jc w:val="center"/>
              <w:rPr>
                <w:color w:val="000000"/>
                <w:sz w:val="16"/>
                <w:szCs w:val="16"/>
              </w:rPr>
            </w:pPr>
            <w:r>
              <w:rPr>
                <w:color w:val="000000"/>
                <w:sz w:val="16"/>
                <w:szCs w:val="16"/>
              </w:rPr>
              <w:t>41.26</w:t>
            </w:r>
          </w:p>
        </w:tc>
        <w:tc>
          <w:tcPr>
            <w:tcW w:w="661" w:type="dxa"/>
            <w:tcBorders>
              <w:top w:val="nil"/>
              <w:left w:val="nil"/>
              <w:right w:val="nil"/>
            </w:tcBorders>
            <w:shd w:val="clear" w:color="auto" w:fill="CCFFCC"/>
            <w:vAlign w:val="center"/>
            <w:hideMark/>
          </w:tcPr>
          <w:p w14:paraId="6976E10E" w14:textId="77777777" w:rsidR="00722B14" w:rsidRDefault="00722B14" w:rsidP="00DD3BAE">
            <w:pPr>
              <w:spacing w:before="0" w:after="0"/>
              <w:jc w:val="center"/>
              <w:rPr>
                <w:color w:val="000000"/>
                <w:sz w:val="16"/>
                <w:szCs w:val="16"/>
              </w:rPr>
            </w:pPr>
            <w:r>
              <w:rPr>
                <w:color w:val="000000"/>
                <w:sz w:val="16"/>
                <w:szCs w:val="16"/>
              </w:rPr>
              <w:t>18.96</w:t>
            </w:r>
          </w:p>
        </w:tc>
        <w:tc>
          <w:tcPr>
            <w:tcW w:w="1109" w:type="dxa"/>
            <w:tcBorders>
              <w:top w:val="nil"/>
              <w:left w:val="nil"/>
              <w:right w:val="nil"/>
            </w:tcBorders>
            <w:shd w:val="clear" w:color="auto" w:fill="CCFFCC"/>
            <w:noWrap/>
            <w:vAlign w:val="center"/>
            <w:hideMark/>
          </w:tcPr>
          <w:p w14:paraId="10A4C655" w14:textId="77777777" w:rsidR="00722B14" w:rsidRDefault="00722B14" w:rsidP="00DD3BAE">
            <w:pPr>
              <w:spacing w:before="0" w:after="0"/>
              <w:jc w:val="center"/>
              <w:rPr>
                <w:color w:val="000000"/>
                <w:sz w:val="16"/>
                <w:szCs w:val="16"/>
              </w:rPr>
            </w:pPr>
            <w:r>
              <w:rPr>
                <w:color w:val="000000"/>
                <w:sz w:val="16"/>
                <w:szCs w:val="16"/>
              </w:rPr>
              <w:t>-10.10 ±0.15</w:t>
            </w:r>
          </w:p>
        </w:tc>
        <w:tc>
          <w:tcPr>
            <w:tcW w:w="1109" w:type="dxa"/>
            <w:tcBorders>
              <w:top w:val="nil"/>
              <w:left w:val="nil"/>
              <w:right w:val="nil"/>
            </w:tcBorders>
            <w:vAlign w:val="center"/>
            <w:hideMark/>
          </w:tcPr>
          <w:p w14:paraId="1C59621B" w14:textId="77777777" w:rsidR="00722B14" w:rsidRDefault="00722B14" w:rsidP="00DD3BAE">
            <w:pPr>
              <w:spacing w:before="0" w:after="0"/>
              <w:jc w:val="center"/>
              <w:rPr>
                <w:color w:val="000000"/>
                <w:sz w:val="16"/>
                <w:szCs w:val="16"/>
              </w:rPr>
            </w:pPr>
            <w:r>
              <w:rPr>
                <w:color w:val="000000"/>
                <w:sz w:val="16"/>
                <w:szCs w:val="16"/>
              </w:rPr>
              <w:t>2.82 ±0.19</w:t>
            </w:r>
          </w:p>
        </w:tc>
        <w:tc>
          <w:tcPr>
            <w:tcW w:w="797" w:type="dxa"/>
            <w:tcBorders>
              <w:top w:val="nil"/>
              <w:left w:val="nil"/>
              <w:right w:val="nil"/>
            </w:tcBorders>
            <w:vAlign w:val="center"/>
          </w:tcPr>
          <w:p w14:paraId="2C155444"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494E7FDB" w14:textId="77777777" w:rsidR="00722B14" w:rsidRDefault="00722B14" w:rsidP="00DD3BAE">
            <w:pPr>
              <w:spacing w:before="0" w:after="0"/>
              <w:jc w:val="center"/>
              <w:rPr>
                <w:i/>
                <w:color w:val="000000"/>
                <w:sz w:val="16"/>
                <w:szCs w:val="16"/>
              </w:rPr>
            </w:pPr>
          </w:p>
        </w:tc>
      </w:tr>
      <w:tr w:rsidR="00722B14" w14:paraId="233FC73C" w14:textId="77777777" w:rsidTr="00DE79BD">
        <w:trPr>
          <w:cantSplit/>
          <w:trHeight w:val="227"/>
          <w:jc w:val="center"/>
        </w:trPr>
        <w:tc>
          <w:tcPr>
            <w:tcW w:w="1077" w:type="dxa"/>
            <w:tcBorders>
              <w:top w:val="nil"/>
              <w:left w:val="nil"/>
              <w:bottom w:val="nil"/>
              <w:right w:val="nil"/>
            </w:tcBorders>
            <w:shd w:val="clear" w:color="auto" w:fill="auto"/>
            <w:vAlign w:val="bottom"/>
          </w:tcPr>
          <w:p w14:paraId="068B0472"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1E363493"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208BB6DB"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2AF2C607"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center"/>
          </w:tcPr>
          <w:p w14:paraId="3EA3C58C" w14:textId="77777777" w:rsidR="00722B14" w:rsidRPr="007C770B" w:rsidRDefault="00722B14" w:rsidP="00DD3BAE">
            <w:pPr>
              <w:spacing w:before="0" w:after="0"/>
              <w:jc w:val="center"/>
              <w:rPr>
                <w:color w:val="000000"/>
                <w:sz w:val="16"/>
                <w:szCs w:val="16"/>
              </w:rPr>
            </w:pPr>
            <w:r w:rsidRPr="007C770B">
              <w:rPr>
                <w:color w:val="000000"/>
                <w:sz w:val="16"/>
                <w:szCs w:val="16"/>
              </w:rPr>
              <w:t>43.03</w:t>
            </w:r>
          </w:p>
        </w:tc>
        <w:tc>
          <w:tcPr>
            <w:tcW w:w="661" w:type="dxa"/>
            <w:tcBorders>
              <w:top w:val="nil"/>
              <w:left w:val="nil"/>
              <w:bottom w:val="nil"/>
              <w:right w:val="nil"/>
            </w:tcBorders>
            <w:shd w:val="clear" w:color="auto" w:fill="CCFFCC"/>
            <w:vAlign w:val="center"/>
          </w:tcPr>
          <w:p w14:paraId="2BDE5EE2" w14:textId="77777777" w:rsidR="00722B14" w:rsidRPr="007C770B" w:rsidRDefault="00722B14" w:rsidP="00DD3BAE">
            <w:pPr>
              <w:spacing w:before="0" w:after="0"/>
              <w:jc w:val="center"/>
              <w:rPr>
                <w:color w:val="000000"/>
                <w:sz w:val="16"/>
                <w:szCs w:val="16"/>
              </w:rPr>
            </w:pPr>
            <w:r w:rsidRPr="007C770B">
              <w:rPr>
                <w:color w:val="000000"/>
                <w:sz w:val="16"/>
                <w:szCs w:val="16"/>
              </w:rPr>
              <w:t>19.09</w:t>
            </w:r>
          </w:p>
        </w:tc>
        <w:tc>
          <w:tcPr>
            <w:tcW w:w="1109" w:type="dxa"/>
            <w:tcBorders>
              <w:top w:val="nil"/>
              <w:left w:val="nil"/>
              <w:bottom w:val="nil"/>
              <w:right w:val="nil"/>
            </w:tcBorders>
            <w:shd w:val="clear" w:color="auto" w:fill="CCFFCC"/>
            <w:noWrap/>
            <w:vAlign w:val="center"/>
          </w:tcPr>
          <w:p w14:paraId="0CEAC179" w14:textId="77777777" w:rsidR="00722B14" w:rsidRPr="007C770B" w:rsidRDefault="00722B14" w:rsidP="00DD3BAE">
            <w:pPr>
              <w:spacing w:before="0" w:after="0"/>
              <w:jc w:val="center"/>
              <w:rPr>
                <w:color w:val="000000"/>
                <w:sz w:val="16"/>
                <w:szCs w:val="16"/>
              </w:rPr>
            </w:pPr>
            <w:r w:rsidRPr="007C770B">
              <w:rPr>
                <w:color w:val="000000"/>
                <w:sz w:val="16"/>
                <w:szCs w:val="16"/>
              </w:rPr>
              <w:t>-8.83 ±1.19</w:t>
            </w:r>
          </w:p>
        </w:tc>
        <w:tc>
          <w:tcPr>
            <w:tcW w:w="1109" w:type="dxa"/>
            <w:tcBorders>
              <w:top w:val="nil"/>
              <w:left w:val="nil"/>
              <w:bottom w:val="nil"/>
              <w:right w:val="nil"/>
            </w:tcBorders>
            <w:shd w:val="clear" w:color="auto" w:fill="auto"/>
            <w:vAlign w:val="center"/>
          </w:tcPr>
          <w:p w14:paraId="250CE95E" w14:textId="77777777" w:rsidR="00722B14" w:rsidRPr="007C770B" w:rsidRDefault="00722B14" w:rsidP="00DD3BAE">
            <w:pPr>
              <w:spacing w:before="0" w:after="0"/>
              <w:jc w:val="center"/>
              <w:rPr>
                <w:color w:val="000000"/>
                <w:sz w:val="16"/>
                <w:szCs w:val="16"/>
              </w:rPr>
            </w:pPr>
            <w:r w:rsidRPr="007C770B">
              <w:rPr>
                <w:color w:val="000000"/>
                <w:sz w:val="16"/>
                <w:szCs w:val="16"/>
              </w:rPr>
              <w:t>1.88 ±0.27</w:t>
            </w:r>
          </w:p>
        </w:tc>
        <w:tc>
          <w:tcPr>
            <w:tcW w:w="797" w:type="dxa"/>
            <w:tcBorders>
              <w:top w:val="nil"/>
              <w:left w:val="nil"/>
              <w:bottom w:val="nil"/>
              <w:right w:val="nil"/>
            </w:tcBorders>
            <w:shd w:val="clear" w:color="auto" w:fill="auto"/>
            <w:vAlign w:val="center"/>
          </w:tcPr>
          <w:p w14:paraId="7B618DA4"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6883CC41" w14:textId="77777777" w:rsidR="00722B14" w:rsidRDefault="00722B14" w:rsidP="00DD3BAE">
            <w:pPr>
              <w:spacing w:before="0" w:after="0"/>
              <w:jc w:val="center"/>
              <w:rPr>
                <w:i/>
                <w:color w:val="000000"/>
                <w:sz w:val="16"/>
                <w:szCs w:val="16"/>
              </w:rPr>
            </w:pPr>
          </w:p>
        </w:tc>
      </w:tr>
      <w:tr w:rsidR="00722B14" w14:paraId="19EFFAE1" w14:textId="77777777" w:rsidTr="00DE79BD">
        <w:trPr>
          <w:cantSplit/>
          <w:trHeight w:val="227"/>
          <w:jc w:val="center"/>
        </w:trPr>
        <w:tc>
          <w:tcPr>
            <w:tcW w:w="1077" w:type="dxa"/>
            <w:tcBorders>
              <w:top w:val="nil"/>
              <w:left w:val="nil"/>
              <w:bottom w:val="nil"/>
              <w:right w:val="nil"/>
            </w:tcBorders>
            <w:shd w:val="clear" w:color="auto" w:fill="auto"/>
            <w:vAlign w:val="center"/>
          </w:tcPr>
          <w:p w14:paraId="60CB18AB"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6A7E4A16"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09ED1266"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66E795D0"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nil"/>
              <w:left w:val="nil"/>
              <w:bottom w:val="nil"/>
              <w:right w:val="nil"/>
            </w:tcBorders>
            <w:shd w:val="clear" w:color="auto" w:fill="auto"/>
            <w:vAlign w:val="center"/>
          </w:tcPr>
          <w:p w14:paraId="5D6B46B2" w14:textId="77777777" w:rsidR="00722B14" w:rsidRPr="003E5C17" w:rsidRDefault="00722B14" w:rsidP="00DD3BAE">
            <w:pPr>
              <w:spacing w:before="0" w:after="0"/>
              <w:jc w:val="center"/>
              <w:rPr>
                <w:color w:val="000000"/>
                <w:sz w:val="16"/>
                <w:szCs w:val="16"/>
              </w:rPr>
            </w:pPr>
            <w:r w:rsidRPr="003E5C17">
              <w:rPr>
                <w:color w:val="000000"/>
                <w:sz w:val="16"/>
                <w:szCs w:val="16"/>
              </w:rPr>
              <w:t>43.25</w:t>
            </w:r>
          </w:p>
        </w:tc>
        <w:tc>
          <w:tcPr>
            <w:tcW w:w="661" w:type="dxa"/>
            <w:tcBorders>
              <w:top w:val="nil"/>
              <w:left w:val="nil"/>
              <w:bottom w:val="nil"/>
              <w:right w:val="nil"/>
            </w:tcBorders>
            <w:shd w:val="clear" w:color="auto" w:fill="CCFFCC"/>
            <w:vAlign w:val="center"/>
          </w:tcPr>
          <w:p w14:paraId="7783F759" w14:textId="77777777" w:rsidR="00722B14" w:rsidRPr="003E5C17" w:rsidRDefault="00722B14" w:rsidP="00DD3BAE">
            <w:pPr>
              <w:spacing w:before="0" w:after="0"/>
              <w:jc w:val="center"/>
              <w:rPr>
                <w:color w:val="000000"/>
                <w:sz w:val="16"/>
                <w:szCs w:val="16"/>
              </w:rPr>
            </w:pPr>
            <w:r>
              <w:rPr>
                <w:color w:val="000000"/>
                <w:sz w:val="16"/>
                <w:szCs w:val="16"/>
              </w:rPr>
              <w:t>17.83</w:t>
            </w:r>
          </w:p>
        </w:tc>
        <w:tc>
          <w:tcPr>
            <w:tcW w:w="1109" w:type="dxa"/>
            <w:tcBorders>
              <w:top w:val="nil"/>
              <w:left w:val="nil"/>
              <w:bottom w:val="nil"/>
              <w:right w:val="nil"/>
            </w:tcBorders>
            <w:shd w:val="clear" w:color="auto" w:fill="CCFFCC"/>
            <w:noWrap/>
            <w:vAlign w:val="center"/>
          </w:tcPr>
          <w:p w14:paraId="1CB505A0" w14:textId="77777777" w:rsidR="00722B14" w:rsidRPr="003E5C17" w:rsidRDefault="00722B14" w:rsidP="00DD3BAE">
            <w:pPr>
              <w:spacing w:before="0" w:after="0"/>
              <w:jc w:val="center"/>
              <w:rPr>
                <w:color w:val="000000"/>
                <w:sz w:val="16"/>
                <w:szCs w:val="16"/>
              </w:rPr>
            </w:pPr>
            <w:r w:rsidRPr="003E5C17">
              <w:rPr>
                <w:color w:val="000000"/>
                <w:sz w:val="16"/>
                <w:szCs w:val="16"/>
              </w:rPr>
              <w:t>-10.06 ±0.09</w:t>
            </w:r>
          </w:p>
        </w:tc>
        <w:tc>
          <w:tcPr>
            <w:tcW w:w="1109" w:type="dxa"/>
            <w:tcBorders>
              <w:top w:val="nil"/>
              <w:left w:val="nil"/>
              <w:bottom w:val="nil"/>
              <w:right w:val="nil"/>
            </w:tcBorders>
            <w:shd w:val="clear" w:color="auto" w:fill="auto"/>
            <w:vAlign w:val="center"/>
          </w:tcPr>
          <w:p w14:paraId="67A57B01" w14:textId="77777777" w:rsidR="00722B14" w:rsidRPr="003E5C17" w:rsidRDefault="00722B14" w:rsidP="00DD3BAE">
            <w:pPr>
              <w:spacing w:before="0" w:after="0"/>
              <w:jc w:val="center"/>
              <w:rPr>
                <w:color w:val="000000"/>
                <w:sz w:val="16"/>
                <w:szCs w:val="16"/>
              </w:rPr>
            </w:pPr>
            <w:r w:rsidRPr="003E5C17">
              <w:rPr>
                <w:color w:val="000000"/>
                <w:sz w:val="16"/>
                <w:szCs w:val="16"/>
              </w:rPr>
              <w:t>1.51 ±0.30</w:t>
            </w:r>
          </w:p>
        </w:tc>
        <w:tc>
          <w:tcPr>
            <w:tcW w:w="797" w:type="dxa"/>
            <w:tcBorders>
              <w:top w:val="nil"/>
              <w:left w:val="nil"/>
              <w:bottom w:val="nil"/>
              <w:right w:val="nil"/>
            </w:tcBorders>
            <w:shd w:val="clear" w:color="auto" w:fill="auto"/>
            <w:vAlign w:val="center"/>
          </w:tcPr>
          <w:p w14:paraId="526CB1D3"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2EEECB0A" w14:textId="77777777" w:rsidR="00722B14" w:rsidRDefault="00722B14" w:rsidP="00DD3BAE">
            <w:pPr>
              <w:spacing w:before="0" w:after="0"/>
              <w:jc w:val="center"/>
              <w:rPr>
                <w:i/>
                <w:color w:val="000000"/>
                <w:sz w:val="16"/>
                <w:szCs w:val="16"/>
              </w:rPr>
            </w:pPr>
          </w:p>
        </w:tc>
      </w:tr>
      <w:tr w:rsidR="00722B14" w14:paraId="51689C96" w14:textId="77777777" w:rsidTr="00DE79BD">
        <w:trPr>
          <w:cantSplit/>
          <w:trHeight w:val="227"/>
          <w:jc w:val="center"/>
        </w:trPr>
        <w:tc>
          <w:tcPr>
            <w:tcW w:w="1077" w:type="dxa"/>
            <w:vAlign w:val="center"/>
          </w:tcPr>
          <w:p w14:paraId="26783EB7" w14:textId="77777777" w:rsidR="00722B14" w:rsidRDefault="00722B14" w:rsidP="00DD3BAE">
            <w:pPr>
              <w:spacing w:before="0" w:after="0"/>
              <w:jc w:val="center"/>
              <w:rPr>
                <w:color w:val="000000"/>
                <w:sz w:val="16"/>
                <w:szCs w:val="16"/>
              </w:rPr>
            </w:pPr>
          </w:p>
        </w:tc>
        <w:tc>
          <w:tcPr>
            <w:tcW w:w="1115" w:type="dxa"/>
            <w:noWrap/>
            <w:vAlign w:val="center"/>
          </w:tcPr>
          <w:p w14:paraId="6E0AB610"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BF77DDF" w14:textId="77777777" w:rsidR="00722B14" w:rsidRDefault="00722B14" w:rsidP="00DD3BAE">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14:paraId="50A4A9CE"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58131CD9" w14:textId="77777777" w:rsidR="00722B14" w:rsidRDefault="00722B14" w:rsidP="00DD3BAE">
            <w:pPr>
              <w:spacing w:before="0" w:after="0"/>
              <w:jc w:val="center"/>
              <w:rPr>
                <w:color w:val="000000"/>
                <w:sz w:val="16"/>
                <w:szCs w:val="16"/>
              </w:rPr>
            </w:pPr>
            <w:r>
              <w:rPr>
                <w:color w:val="000000"/>
                <w:sz w:val="16"/>
                <w:szCs w:val="16"/>
              </w:rPr>
              <w:t>37.10</w:t>
            </w:r>
          </w:p>
        </w:tc>
        <w:tc>
          <w:tcPr>
            <w:tcW w:w="661" w:type="dxa"/>
            <w:tcBorders>
              <w:top w:val="single" w:sz="4" w:space="0" w:color="auto"/>
              <w:left w:val="nil"/>
              <w:bottom w:val="nil"/>
              <w:right w:val="nil"/>
            </w:tcBorders>
            <w:vAlign w:val="center"/>
            <w:hideMark/>
          </w:tcPr>
          <w:p w14:paraId="7046A8F1" w14:textId="77777777" w:rsidR="00722B14" w:rsidRDefault="00722B14" w:rsidP="00DD3BAE">
            <w:pPr>
              <w:spacing w:before="0" w:after="0"/>
              <w:jc w:val="center"/>
              <w:rPr>
                <w:color w:val="000000"/>
                <w:sz w:val="16"/>
                <w:szCs w:val="16"/>
              </w:rPr>
            </w:pPr>
            <w:r>
              <w:rPr>
                <w:color w:val="000000"/>
                <w:sz w:val="16"/>
                <w:szCs w:val="16"/>
              </w:rPr>
              <w:t>20.92</w:t>
            </w:r>
          </w:p>
        </w:tc>
        <w:tc>
          <w:tcPr>
            <w:tcW w:w="1109" w:type="dxa"/>
            <w:tcBorders>
              <w:top w:val="single" w:sz="4" w:space="0" w:color="auto"/>
              <w:left w:val="nil"/>
              <w:bottom w:val="nil"/>
              <w:right w:val="nil"/>
            </w:tcBorders>
            <w:shd w:val="clear" w:color="auto" w:fill="CCFFCC"/>
            <w:noWrap/>
            <w:vAlign w:val="center"/>
            <w:hideMark/>
          </w:tcPr>
          <w:p w14:paraId="61CC05E8" w14:textId="77777777" w:rsidR="00722B14" w:rsidRDefault="00722B14" w:rsidP="00DD3BAE">
            <w:pPr>
              <w:spacing w:before="0" w:after="0"/>
              <w:jc w:val="center"/>
              <w:rPr>
                <w:color w:val="000000"/>
                <w:sz w:val="16"/>
                <w:szCs w:val="16"/>
              </w:rPr>
            </w:pPr>
            <w:r>
              <w:rPr>
                <w:color w:val="000000"/>
                <w:sz w:val="16"/>
                <w:szCs w:val="16"/>
              </w:rPr>
              <w:t>-4.71 ±0.14</w:t>
            </w:r>
          </w:p>
        </w:tc>
        <w:tc>
          <w:tcPr>
            <w:tcW w:w="1109" w:type="dxa"/>
            <w:tcBorders>
              <w:top w:val="single" w:sz="4" w:space="0" w:color="auto"/>
              <w:left w:val="nil"/>
              <w:bottom w:val="nil"/>
              <w:right w:val="nil"/>
            </w:tcBorders>
            <w:vAlign w:val="center"/>
            <w:hideMark/>
          </w:tcPr>
          <w:p w14:paraId="6B0B85E5" w14:textId="77777777" w:rsidR="00722B14" w:rsidRDefault="00722B14" w:rsidP="00DD3BAE">
            <w:pPr>
              <w:spacing w:before="0" w:after="0"/>
              <w:jc w:val="center"/>
              <w:rPr>
                <w:color w:val="000000"/>
                <w:sz w:val="16"/>
                <w:szCs w:val="16"/>
              </w:rPr>
            </w:pPr>
            <w:r>
              <w:rPr>
                <w:color w:val="000000"/>
                <w:sz w:val="16"/>
                <w:szCs w:val="16"/>
              </w:rPr>
              <w:t>0.86 ±0.34</w:t>
            </w:r>
          </w:p>
        </w:tc>
        <w:tc>
          <w:tcPr>
            <w:tcW w:w="797" w:type="dxa"/>
            <w:tcBorders>
              <w:top w:val="single" w:sz="4" w:space="0" w:color="auto"/>
              <w:left w:val="nil"/>
              <w:bottom w:val="nil"/>
              <w:right w:val="nil"/>
            </w:tcBorders>
            <w:vAlign w:val="center"/>
            <w:hideMark/>
          </w:tcPr>
          <w:p w14:paraId="341CA29F" w14:textId="77777777" w:rsidR="00722B14" w:rsidRDefault="00722B14" w:rsidP="00DD3BAE">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14:paraId="49976E20" w14:textId="77777777" w:rsidR="00722B14" w:rsidRDefault="00722B14" w:rsidP="00DD3BAE">
            <w:pPr>
              <w:spacing w:before="0" w:after="0"/>
              <w:jc w:val="center"/>
              <w:rPr>
                <w:i/>
                <w:color w:val="000000"/>
                <w:sz w:val="16"/>
                <w:szCs w:val="16"/>
              </w:rPr>
            </w:pPr>
            <w:r>
              <w:rPr>
                <w:i/>
                <w:color w:val="000000"/>
                <w:sz w:val="16"/>
                <w:szCs w:val="16"/>
              </w:rPr>
              <w:t>-6.0 (-8.3 to -3.6)</w:t>
            </w:r>
          </w:p>
        </w:tc>
      </w:tr>
      <w:tr w:rsidR="00722B14" w14:paraId="62B7EE67" w14:textId="77777777" w:rsidTr="00DE79BD">
        <w:trPr>
          <w:cantSplit/>
          <w:trHeight w:val="227"/>
          <w:jc w:val="center"/>
        </w:trPr>
        <w:tc>
          <w:tcPr>
            <w:tcW w:w="1077" w:type="dxa"/>
            <w:vAlign w:val="center"/>
          </w:tcPr>
          <w:p w14:paraId="354C13F7" w14:textId="77777777" w:rsidR="00722B14" w:rsidRDefault="00722B14" w:rsidP="00DD3BAE">
            <w:pPr>
              <w:spacing w:before="0" w:after="0"/>
              <w:jc w:val="center"/>
              <w:rPr>
                <w:color w:val="000000"/>
                <w:sz w:val="16"/>
                <w:szCs w:val="16"/>
              </w:rPr>
            </w:pPr>
          </w:p>
        </w:tc>
        <w:tc>
          <w:tcPr>
            <w:tcW w:w="1115" w:type="dxa"/>
            <w:noWrap/>
            <w:vAlign w:val="center"/>
          </w:tcPr>
          <w:p w14:paraId="42A6ACAB" w14:textId="77777777" w:rsidR="00722B14" w:rsidRDefault="00722B14" w:rsidP="00DD3BAE">
            <w:pPr>
              <w:spacing w:before="0" w:after="0"/>
              <w:jc w:val="center"/>
              <w:rPr>
                <w:color w:val="000000"/>
                <w:sz w:val="16"/>
                <w:szCs w:val="16"/>
              </w:rPr>
            </w:pPr>
          </w:p>
        </w:tc>
        <w:tc>
          <w:tcPr>
            <w:tcW w:w="789" w:type="dxa"/>
            <w:noWrap/>
            <w:vAlign w:val="center"/>
          </w:tcPr>
          <w:p w14:paraId="0F3AEFF8" w14:textId="77777777" w:rsidR="00722B14" w:rsidRDefault="00722B14" w:rsidP="00DD3BAE">
            <w:pPr>
              <w:spacing w:before="0" w:after="0"/>
              <w:jc w:val="center"/>
              <w:rPr>
                <w:color w:val="000000"/>
                <w:sz w:val="16"/>
                <w:szCs w:val="16"/>
              </w:rPr>
            </w:pPr>
          </w:p>
        </w:tc>
        <w:tc>
          <w:tcPr>
            <w:tcW w:w="621" w:type="dxa"/>
            <w:vAlign w:val="center"/>
            <w:hideMark/>
          </w:tcPr>
          <w:p w14:paraId="6314BA6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vAlign w:val="center"/>
            <w:hideMark/>
          </w:tcPr>
          <w:p w14:paraId="2D3F31C5" w14:textId="77777777" w:rsidR="00722B14" w:rsidRDefault="00722B14" w:rsidP="00DD3BAE">
            <w:pPr>
              <w:spacing w:before="0" w:after="0"/>
              <w:jc w:val="center"/>
              <w:rPr>
                <w:color w:val="000000"/>
                <w:sz w:val="16"/>
                <w:szCs w:val="16"/>
              </w:rPr>
            </w:pPr>
            <w:r>
              <w:rPr>
                <w:color w:val="000000"/>
                <w:sz w:val="16"/>
                <w:szCs w:val="16"/>
              </w:rPr>
              <w:t>35.53</w:t>
            </w:r>
          </w:p>
        </w:tc>
        <w:tc>
          <w:tcPr>
            <w:tcW w:w="661" w:type="dxa"/>
            <w:vAlign w:val="center"/>
            <w:hideMark/>
          </w:tcPr>
          <w:p w14:paraId="6C65292E" w14:textId="77777777" w:rsidR="00722B14" w:rsidRDefault="00722B14" w:rsidP="00DD3BAE">
            <w:pPr>
              <w:spacing w:before="0" w:after="0"/>
              <w:jc w:val="center"/>
              <w:rPr>
                <w:color w:val="000000"/>
                <w:sz w:val="16"/>
                <w:szCs w:val="16"/>
              </w:rPr>
            </w:pPr>
            <w:r>
              <w:rPr>
                <w:color w:val="000000"/>
                <w:sz w:val="16"/>
                <w:szCs w:val="16"/>
              </w:rPr>
              <w:t>22.30</w:t>
            </w:r>
          </w:p>
        </w:tc>
        <w:tc>
          <w:tcPr>
            <w:tcW w:w="1109" w:type="dxa"/>
            <w:shd w:val="clear" w:color="auto" w:fill="CCFFCC"/>
            <w:noWrap/>
            <w:vAlign w:val="center"/>
            <w:hideMark/>
          </w:tcPr>
          <w:p w14:paraId="7FE9C903" w14:textId="77777777" w:rsidR="00722B14" w:rsidRDefault="00722B14" w:rsidP="00DD3BAE">
            <w:pPr>
              <w:spacing w:before="0" w:after="0"/>
              <w:jc w:val="center"/>
              <w:rPr>
                <w:color w:val="000000"/>
                <w:sz w:val="16"/>
                <w:szCs w:val="16"/>
              </w:rPr>
            </w:pPr>
            <w:r>
              <w:rPr>
                <w:color w:val="000000"/>
                <w:sz w:val="16"/>
                <w:szCs w:val="16"/>
              </w:rPr>
              <w:t>-5.03 ±0.20</w:t>
            </w:r>
          </w:p>
        </w:tc>
        <w:tc>
          <w:tcPr>
            <w:tcW w:w="1109" w:type="dxa"/>
            <w:vAlign w:val="center"/>
            <w:hideMark/>
          </w:tcPr>
          <w:p w14:paraId="46D1694E" w14:textId="77777777" w:rsidR="00722B14" w:rsidRDefault="00722B14" w:rsidP="00DD3BAE">
            <w:pPr>
              <w:spacing w:before="0" w:after="0"/>
              <w:jc w:val="center"/>
              <w:rPr>
                <w:color w:val="000000"/>
                <w:sz w:val="16"/>
                <w:szCs w:val="16"/>
              </w:rPr>
            </w:pPr>
            <w:r>
              <w:rPr>
                <w:color w:val="000000"/>
                <w:sz w:val="16"/>
                <w:szCs w:val="16"/>
              </w:rPr>
              <w:t>1.47 ±0.19</w:t>
            </w:r>
          </w:p>
        </w:tc>
        <w:tc>
          <w:tcPr>
            <w:tcW w:w="797" w:type="dxa"/>
            <w:vAlign w:val="center"/>
          </w:tcPr>
          <w:p w14:paraId="6AC1C0DB" w14:textId="77777777" w:rsidR="00722B14" w:rsidRDefault="00722B14" w:rsidP="00DD3BAE">
            <w:pPr>
              <w:spacing w:before="0" w:after="0"/>
              <w:jc w:val="center"/>
              <w:rPr>
                <w:i/>
                <w:color w:val="000000"/>
                <w:sz w:val="16"/>
                <w:szCs w:val="16"/>
              </w:rPr>
            </w:pPr>
          </w:p>
        </w:tc>
        <w:tc>
          <w:tcPr>
            <w:tcW w:w="1557" w:type="dxa"/>
            <w:noWrap/>
            <w:vAlign w:val="center"/>
          </w:tcPr>
          <w:p w14:paraId="26108480" w14:textId="77777777" w:rsidR="00722B14" w:rsidRDefault="00722B14" w:rsidP="00DD3BAE">
            <w:pPr>
              <w:spacing w:before="0" w:after="0"/>
              <w:jc w:val="center"/>
              <w:rPr>
                <w:i/>
                <w:color w:val="000000"/>
                <w:sz w:val="16"/>
                <w:szCs w:val="16"/>
              </w:rPr>
            </w:pPr>
          </w:p>
        </w:tc>
      </w:tr>
      <w:tr w:rsidR="00722B14" w14:paraId="1189BBEB" w14:textId="77777777" w:rsidTr="00DE79BD">
        <w:trPr>
          <w:cantSplit/>
          <w:trHeight w:val="227"/>
          <w:jc w:val="center"/>
        </w:trPr>
        <w:tc>
          <w:tcPr>
            <w:tcW w:w="1077" w:type="dxa"/>
            <w:tcBorders>
              <w:top w:val="nil"/>
              <w:left w:val="nil"/>
              <w:right w:val="nil"/>
            </w:tcBorders>
            <w:shd w:val="clear" w:color="auto" w:fill="auto"/>
            <w:vAlign w:val="center"/>
          </w:tcPr>
          <w:p w14:paraId="4541BF55"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0655F886"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2B2BDB96"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4C93D817"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5ED5D8F3" w14:textId="77777777" w:rsidR="00722B14" w:rsidRPr="007C770B" w:rsidRDefault="00722B14" w:rsidP="00DD3BAE">
            <w:pPr>
              <w:spacing w:before="0" w:after="0"/>
              <w:jc w:val="center"/>
              <w:rPr>
                <w:color w:val="000000"/>
                <w:sz w:val="16"/>
                <w:szCs w:val="16"/>
              </w:rPr>
            </w:pPr>
            <w:r w:rsidRPr="007C770B">
              <w:rPr>
                <w:color w:val="000000"/>
                <w:sz w:val="16"/>
                <w:szCs w:val="16"/>
              </w:rPr>
              <w:t>37.63</w:t>
            </w:r>
          </w:p>
        </w:tc>
        <w:tc>
          <w:tcPr>
            <w:tcW w:w="661" w:type="dxa"/>
            <w:tcBorders>
              <w:top w:val="nil"/>
              <w:left w:val="nil"/>
              <w:right w:val="nil"/>
            </w:tcBorders>
            <w:shd w:val="clear" w:color="auto" w:fill="auto"/>
            <w:vAlign w:val="center"/>
          </w:tcPr>
          <w:p w14:paraId="4CF0C003" w14:textId="77777777" w:rsidR="00722B14" w:rsidRPr="007C770B" w:rsidRDefault="00722B14" w:rsidP="00DD3BAE">
            <w:pPr>
              <w:spacing w:before="0" w:after="0"/>
              <w:jc w:val="center"/>
              <w:rPr>
                <w:color w:val="000000"/>
                <w:sz w:val="16"/>
                <w:szCs w:val="16"/>
              </w:rPr>
            </w:pPr>
            <w:r w:rsidRPr="007C770B">
              <w:rPr>
                <w:color w:val="000000"/>
                <w:sz w:val="16"/>
                <w:szCs w:val="16"/>
              </w:rPr>
              <w:t>21.35</w:t>
            </w:r>
          </w:p>
        </w:tc>
        <w:tc>
          <w:tcPr>
            <w:tcW w:w="1109" w:type="dxa"/>
            <w:tcBorders>
              <w:top w:val="nil"/>
              <w:left w:val="nil"/>
              <w:right w:val="nil"/>
            </w:tcBorders>
            <w:shd w:val="clear" w:color="auto" w:fill="auto"/>
            <w:noWrap/>
            <w:vAlign w:val="center"/>
          </w:tcPr>
          <w:p w14:paraId="4B0315D8" w14:textId="77777777" w:rsidR="00722B14" w:rsidRPr="007C770B" w:rsidRDefault="00722B14" w:rsidP="00DD3BAE">
            <w:pPr>
              <w:spacing w:before="0" w:after="0"/>
              <w:jc w:val="center"/>
              <w:rPr>
                <w:color w:val="000000"/>
                <w:sz w:val="16"/>
                <w:szCs w:val="16"/>
              </w:rPr>
            </w:pPr>
            <w:r w:rsidRPr="007C770B">
              <w:rPr>
                <w:color w:val="000000"/>
                <w:sz w:val="16"/>
                <w:szCs w:val="16"/>
              </w:rPr>
              <w:t>-9.57 ±0.07</w:t>
            </w:r>
          </w:p>
        </w:tc>
        <w:tc>
          <w:tcPr>
            <w:tcW w:w="1109" w:type="dxa"/>
            <w:tcBorders>
              <w:top w:val="nil"/>
              <w:left w:val="nil"/>
              <w:right w:val="nil"/>
            </w:tcBorders>
            <w:shd w:val="clear" w:color="auto" w:fill="auto"/>
            <w:vAlign w:val="center"/>
          </w:tcPr>
          <w:p w14:paraId="5069E8BE" w14:textId="77777777" w:rsidR="00722B14" w:rsidRPr="007C770B" w:rsidRDefault="00722B14" w:rsidP="00DD3BAE">
            <w:pPr>
              <w:spacing w:before="0" w:after="0"/>
              <w:jc w:val="center"/>
              <w:rPr>
                <w:color w:val="000000"/>
                <w:sz w:val="16"/>
                <w:szCs w:val="16"/>
              </w:rPr>
            </w:pPr>
            <w:r w:rsidRPr="007C770B">
              <w:rPr>
                <w:color w:val="000000"/>
                <w:sz w:val="16"/>
                <w:szCs w:val="16"/>
              </w:rPr>
              <w:t>1.58 ±0.44</w:t>
            </w:r>
          </w:p>
        </w:tc>
        <w:tc>
          <w:tcPr>
            <w:tcW w:w="797" w:type="dxa"/>
            <w:tcBorders>
              <w:top w:val="nil"/>
              <w:left w:val="nil"/>
              <w:right w:val="nil"/>
            </w:tcBorders>
            <w:shd w:val="clear" w:color="auto" w:fill="auto"/>
            <w:vAlign w:val="center"/>
          </w:tcPr>
          <w:p w14:paraId="0A12A2BC"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07F9B462" w14:textId="77777777" w:rsidR="00722B14" w:rsidRDefault="00722B14" w:rsidP="00DD3BAE">
            <w:pPr>
              <w:spacing w:before="0" w:after="0"/>
              <w:jc w:val="center"/>
              <w:rPr>
                <w:i/>
                <w:color w:val="000000"/>
                <w:sz w:val="16"/>
                <w:szCs w:val="16"/>
              </w:rPr>
            </w:pPr>
          </w:p>
        </w:tc>
      </w:tr>
      <w:tr w:rsidR="00722B14" w14:paraId="72D5C146" w14:textId="77777777" w:rsidTr="00DE79BD">
        <w:trPr>
          <w:cantSplit/>
          <w:trHeight w:val="227"/>
          <w:jc w:val="center"/>
        </w:trPr>
        <w:tc>
          <w:tcPr>
            <w:tcW w:w="1077" w:type="dxa"/>
            <w:tcBorders>
              <w:left w:val="nil"/>
              <w:bottom w:val="single" w:sz="4" w:space="0" w:color="auto"/>
              <w:right w:val="nil"/>
            </w:tcBorders>
            <w:shd w:val="clear" w:color="auto" w:fill="auto"/>
            <w:vAlign w:val="center"/>
          </w:tcPr>
          <w:p w14:paraId="6BFACF34"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0FEBFDDF"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6B7710C7"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51CB880B"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082F019D" w14:textId="77777777" w:rsidR="00722B14" w:rsidRPr="003E5C17" w:rsidRDefault="00722B14" w:rsidP="00DD3BAE">
            <w:pPr>
              <w:spacing w:before="0" w:after="0"/>
              <w:jc w:val="center"/>
              <w:rPr>
                <w:color w:val="000000"/>
                <w:sz w:val="16"/>
                <w:szCs w:val="16"/>
              </w:rPr>
            </w:pPr>
            <w:r w:rsidRPr="003E5C17">
              <w:rPr>
                <w:color w:val="000000"/>
                <w:sz w:val="16"/>
                <w:szCs w:val="16"/>
              </w:rPr>
              <w:t>37.53</w:t>
            </w:r>
          </w:p>
        </w:tc>
        <w:tc>
          <w:tcPr>
            <w:tcW w:w="661" w:type="dxa"/>
            <w:tcBorders>
              <w:left w:val="nil"/>
              <w:bottom w:val="single" w:sz="4" w:space="0" w:color="auto"/>
              <w:right w:val="nil"/>
            </w:tcBorders>
            <w:shd w:val="clear" w:color="auto" w:fill="auto"/>
            <w:vAlign w:val="center"/>
          </w:tcPr>
          <w:p w14:paraId="0E5DA1EE" w14:textId="77777777" w:rsidR="00722B14" w:rsidRPr="003E5C17" w:rsidRDefault="00722B14" w:rsidP="00DD3BAE">
            <w:pPr>
              <w:spacing w:before="0" w:after="0"/>
              <w:jc w:val="center"/>
              <w:rPr>
                <w:color w:val="000000"/>
                <w:sz w:val="16"/>
                <w:szCs w:val="16"/>
              </w:rPr>
            </w:pPr>
            <w:r>
              <w:rPr>
                <w:color w:val="000000"/>
                <w:sz w:val="16"/>
                <w:szCs w:val="16"/>
              </w:rPr>
              <w:t>24.12</w:t>
            </w:r>
          </w:p>
        </w:tc>
        <w:tc>
          <w:tcPr>
            <w:tcW w:w="1109" w:type="dxa"/>
            <w:tcBorders>
              <w:left w:val="nil"/>
              <w:bottom w:val="single" w:sz="4" w:space="0" w:color="auto"/>
              <w:right w:val="nil"/>
            </w:tcBorders>
            <w:shd w:val="clear" w:color="auto" w:fill="CCFFCC"/>
            <w:noWrap/>
            <w:vAlign w:val="center"/>
          </w:tcPr>
          <w:p w14:paraId="3919DC49" w14:textId="77777777" w:rsidR="00722B14" w:rsidRPr="003E5C17" w:rsidRDefault="00722B14" w:rsidP="00DD3BAE">
            <w:pPr>
              <w:spacing w:before="0" w:after="0"/>
              <w:jc w:val="center"/>
              <w:rPr>
                <w:color w:val="000000"/>
                <w:sz w:val="16"/>
                <w:szCs w:val="16"/>
              </w:rPr>
            </w:pPr>
            <w:r w:rsidRPr="003E5C17">
              <w:rPr>
                <w:color w:val="000000"/>
                <w:sz w:val="16"/>
                <w:szCs w:val="16"/>
              </w:rPr>
              <w:t>-5.47 ±0.13</w:t>
            </w:r>
          </w:p>
        </w:tc>
        <w:tc>
          <w:tcPr>
            <w:tcW w:w="1109" w:type="dxa"/>
            <w:tcBorders>
              <w:left w:val="nil"/>
              <w:bottom w:val="single" w:sz="4" w:space="0" w:color="auto"/>
              <w:right w:val="nil"/>
            </w:tcBorders>
            <w:shd w:val="clear" w:color="auto" w:fill="auto"/>
            <w:vAlign w:val="center"/>
          </w:tcPr>
          <w:p w14:paraId="3024B888" w14:textId="77777777" w:rsidR="00722B14" w:rsidRPr="003E5C17" w:rsidRDefault="00722B14" w:rsidP="00DD3BAE">
            <w:pPr>
              <w:spacing w:before="0" w:after="0"/>
              <w:jc w:val="center"/>
              <w:rPr>
                <w:color w:val="000000"/>
                <w:sz w:val="16"/>
                <w:szCs w:val="16"/>
              </w:rPr>
            </w:pPr>
            <w:r w:rsidRPr="003E5C17">
              <w:rPr>
                <w:color w:val="000000"/>
                <w:sz w:val="16"/>
                <w:szCs w:val="16"/>
              </w:rPr>
              <w:t>0.08 ±0.26</w:t>
            </w:r>
          </w:p>
        </w:tc>
        <w:tc>
          <w:tcPr>
            <w:tcW w:w="797" w:type="dxa"/>
            <w:tcBorders>
              <w:left w:val="nil"/>
              <w:bottom w:val="single" w:sz="4" w:space="0" w:color="auto"/>
              <w:right w:val="nil"/>
            </w:tcBorders>
            <w:shd w:val="clear" w:color="auto" w:fill="auto"/>
            <w:vAlign w:val="center"/>
          </w:tcPr>
          <w:p w14:paraId="0BC81559"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15E7A5F1" w14:textId="77777777" w:rsidR="00722B14" w:rsidRDefault="00722B14" w:rsidP="00DD3BAE">
            <w:pPr>
              <w:spacing w:before="0" w:after="0"/>
              <w:jc w:val="center"/>
              <w:rPr>
                <w:i/>
                <w:color w:val="000000"/>
                <w:sz w:val="16"/>
                <w:szCs w:val="16"/>
              </w:rPr>
            </w:pPr>
          </w:p>
        </w:tc>
      </w:tr>
      <w:tr w:rsidR="00722B14" w14:paraId="0F09F158" w14:textId="77777777" w:rsidTr="00DE79BD">
        <w:trPr>
          <w:cantSplit/>
          <w:trHeight w:val="227"/>
          <w:jc w:val="center"/>
        </w:trPr>
        <w:tc>
          <w:tcPr>
            <w:tcW w:w="1077" w:type="dxa"/>
            <w:tcBorders>
              <w:top w:val="single" w:sz="4" w:space="0" w:color="auto"/>
              <w:left w:val="nil"/>
              <w:bottom w:val="nil"/>
              <w:right w:val="nil"/>
            </w:tcBorders>
            <w:vAlign w:val="center"/>
            <w:hideMark/>
          </w:tcPr>
          <w:p w14:paraId="0D649983" w14:textId="77777777" w:rsidR="00722B14" w:rsidRDefault="00722B14" w:rsidP="00DD3BAE">
            <w:pPr>
              <w:spacing w:before="0" w:after="0"/>
              <w:jc w:val="center"/>
              <w:rPr>
                <w:color w:val="000000"/>
                <w:sz w:val="16"/>
                <w:szCs w:val="16"/>
              </w:rPr>
            </w:pPr>
            <w:r>
              <w:rPr>
                <w:color w:val="000000"/>
                <w:sz w:val="16"/>
                <w:szCs w:val="16"/>
              </w:rPr>
              <w:t>Burdekin</w:t>
            </w:r>
          </w:p>
        </w:tc>
        <w:tc>
          <w:tcPr>
            <w:tcW w:w="1115" w:type="dxa"/>
            <w:tcBorders>
              <w:top w:val="single" w:sz="4" w:space="0" w:color="auto"/>
              <w:left w:val="nil"/>
              <w:bottom w:val="nil"/>
              <w:right w:val="nil"/>
            </w:tcBorders>
            <w:noWrap/>
            <w:vAlign w:val="center"/>
            <w:hideMark/>
          </w:tcPr>
          <w:p w14:paraId="6761EC76" w14:textId="77777777" w:rsidR="00722B14" w:rsidRDefault="00722B14" w:rsidP="00DD3BAE">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14:paraId="32B95BB6"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0C001DBA"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7B811C6B" w14:textId="77777777" w:rsidR="00722B14" w:rsidRDefault="00722B14" w:rsidP="00DD3BAE">
            <w:pPr>
              <w:spacing w:before="0" w:after="0"/>
              <w:jc w:val="center"/>
              <w:rPr>
                <w:color w:val="000000"/>
                <w:sz w:val="16"/>
                <w:szCs w:val="16"/>
              </w:rPr>
            </w:pPr>
            <w:r>
              <w:rPr>
                <w:color w:val="000000"/>
                <w:sz w:val="16"/>
                <w:szCs w:val="16"/>
              </w:rPr>
              <w:t>40.30</w:t>
            </w:r>
          </w:p>
        </w:tc>
        <w:tc>
          <w:tcPr>
            <w:tcW w:w="661" w:type="dxa"/>
            <w:tcBorders>
              <w:top w:val="single" w:sz="4" w:space="0" w:color="auto"/>
              <w:left w:val="nil"/>
              <w:bottom w:val="nil"/>
              <w:right w:val="nil"/>
            </w:tcBorders>
            <w:shd w:val="clear" w:color="auto" w:fill="CCFFCC"/>
            <w:vAlign w:val="center"/>
            <w:hideMark/>
          </w:tcPr>
          <w:p w14:paraId="232C2963" w14:textId="77777777" w:rsidR="00722B14" w:rsidRDefault="00722B14" w:rsidP="00DD3BAE">
            <w:pPr>
              <w:spacing w:before="0" w:after="0"/>
              <w:jc w:val="center"/>
              <w:rPr>
                <w:color w:val="000000"/>
                <w:sz w:val="16"/>
                <w:szCs w:val="16"/>
              </w:rPr>
            </w:pPr>
            <w:r>
              <w:rPr>
                <w:color w:val="000000"/>
                <w:sz w:val="16"/>
                <w:szCs w:val="16"/>
              </w:rPr>
              <w:t>12.82</w:t>
            </w:r>
          </w:p>
        </w:tc>
        <w:tc>
          <w:tcPr>
            <w:tcW w:w="1109" w:type="dxa"/>
            <w:tcBorders>
              <w:top w:val="single" w:sz="4" w:space="0" w:color="auto"/>
              <w:left w:val="nil"/>
              <w:bottom w:val="nil"/>
              <w:right w:val="nil"/>
            </w:tcBorders>
            <w:noWrap/>
            <w:vAlign w:val="center"/>
            <w:hideMark/>
          </w:tcPr>
          <w:p w14:paraId="703C7FD2" w14:textId="77777777" w:rsidR="00722B14" w:rsidRDefault="00722B14" w:rsidP="00DD3BAE">
            <w:pPr>
              <w:spacing w:before="0" w:after="0"/>
              <w:jc w:val="center"/>
              <w:rPr>
                <w:color w:val="000000"/>
                <w:sz w:val="16"/>
                <w:szCs w:val="16"/>
              </w:rPr>
            </w:pPr>
            <w:r>
              <w:rPr>
                <w:color w:val="000000"/>
                <w:sz w:val="16"/>
                <w:szCs w:val="16"/>
              </w:rPr>
              <w:t>-11.23 ±0.13</w:t>
            </w:r>
          </w:p>
        </w:tc>
        <w:tc>
          <w:tcPr>
            <w:tcW w:w="1109" w:type="dxa"/>
            <w:tcBorders>
              <w:top w:val="single" w:sz="4" w:space="0" w:color="auto"/>
              <w:left w:val="nil"/>
              <w:bottom w:val="nil"/>
              <w:right w:val="nil"/>
            </w:tcBorders>
            <w:vAlign w:val="center"/>
            <w:hideMark/>
          </w:tcPr>
          <w:p w14:paraId="5C0098B8" w14:textId="77777777" w:rsidR="00722B14" w:rsidRDefault="00722B14" w:rsidP="00DD3BAE">
            <w:pPr>
              <w:spacing w:before="0" w:after="0"/>
              <w:jc w:val="center"/>
              <w:rPr>
                <w:color w:val="000000"/>
                <w:sz w:val="16"/>
                <w:szCs w:val="16"/>
              </w:rPr>
            </w:pPr>
            <w:r>
              <w:rPr>
                <w:color w:val="000000"/>
                <w:sz w:val="16"/>
                <w:szCs w:val="16"/>
              </w:rPr>
              <w:t>1.22v0.19</w:t>
            </w:r>
          </w:p>
        </w:tc>
        <w:tc>
          <w:tcPr>
            <w:tcW w:w="797" w:type="dxa"/>
            <w:tcBorders>
              <w:top w:val="single" w:sz="4" w:space="0" w:color="auto"/>
              <w:left w:val="nil"/>
              <w:bottom w:val="nil"/>
              <w:right w:val="nil"/>
            </w:tcBorders>
            <w:vAlign w:val="center"/>
            <w:hideMark/>
          </w:tcPr>
          <w:p w14:paraId="1DEFA762"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0DF51A98"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471D5C5D" w14:textId="77777777" w:rsidTr="00DE79BD">
        <w:trPr>
          <w:cantSplit/>
          <w:trHeight w:val="227"/>
          <w:jc w:val="center"/>
        </w:trPr>
        <w:tc>
          <w:tcPr>
            <w:tcW w:w="1077" w:type="dxa"/>
            <w:vAlign w:val="center"/>
          </w:tcPr>
          <w:p w14:paraId="0B7C7252" w14:textId="77777777" w:rsidR="00722B14" w:rsidRDefault="00722B14" w:rsidP="00DD3BAE">
            <w:pPr>
              <w:spacing w:before="0" w:after="0"/>
              <w:jc w:val="center"/>
              <w:rPr>
                <w:color w:val="000000"/>
                <w:sz w:val="16"/>
                <w:szCs w:val="16"/>
              </w:rPr>
            </w:pPr>
          </w:p>
        </w:tc>
        <w:tc>
          <w:tcPr>
            <w:tcW w:w="1115" w:type="dxa"/>
            <w:noWrap/>
            <w:vAlign w:val="center"/>
          </w:tcPr>
          <w:p w14:paraId="403A73DA"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1D7B57A7" w14:textId="77777777" w:rsidR="00722B14" w:rsidRDefault="00722B14" w:rsidP="00DD3BAE">
            <w:pPr>
              <w:spacing w:before="0" w:after="0"/>
              <w:jc w:val="center"/>
              <w:rPr>
                <w:color w:val="000000"/>
                <w:sz w:val="16"/>
                <w:szCs w:val="16"/>
              </w:rPr>
            </w:pPr>
          </w:p>
        </w:tc>
        <w:tc>
          <w:tcPr>
            <w:tcW w:w="621" w:type="dxa"/>
            <w:vAlign w:val="center"/>
            <w:hideMark/>
          </w:tcPr>
          <w:p w14:paraId="1FDE52E6"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2F1F01FF" w14:textId="77777777" w:rsidR="00722B14" w:rsidRDefault="00722B14" w:rsidP="00DD3BAE">
            <w:pPr>
              <w:spacing w:before="0" w:after="0"/>
              <w:jc w:val="center"/>
              <w:rPr>
                <w:color w:val="000000"/>
                <w:sz w:val="16"/>
                <w:szCs w:val="16"/>
              </w:rPr>
            </w:pPr>
            <w:r>
              <w:rPr>
                <w:color w:val="000000"/>
                <w:sz w:val="16"/>
                <w:szCs w:val="16"/>
              </w:rPr>
              <w:t>38.81</w:t>
            </w:r>
          </w:p>
        </w:tc>
        <w:tc>
          <w:tcPr>
            <w:tcW w:w="661" w:type="dxa"/>
            <w:shd w:val="clear" w:color="auto" w:fill="CCFFCC"/>
            <w:vAlign w:val="center"/>
            <w:hideMark/>
          </w:tcPr>
          <w:p w14:paraId="539C4F34" w14:textId="77777777" w:rsidR="00722B14" w:rsidRDefault="00722B14" w:rsidP="00DD3BAE">
            <w:pPr>
              <w:spacing w:before="0" w:after="0"/>
              <w:jc w:val="center"/>
              <w:rPr>
                <w:color w:val="000000"/>
                <w:sz w:val="16"/>
                <w:szCs w:val="16"/>
              </w:rPr>
            </w:pPr>
            <w:r>
              <w:rPr>
                <w:color w:val="000000"/>
                <w:sz w:val="16"/>
                <w:szCs w:val="16"/>
              </w:rPr>
              <w:t>15.75</w:t>
            </w:r>
          </w:p>
        </w:tc>
        <w:tc>
          <w:tcPr>
            <w:tcW w:w="1109" w:type="dxa"/>
            <w:noWrap/>
            <w:vAlign w:val="center"/>
            <w:hideMark/>
          </w:tcPr>
          <w:p w14:paraId="2E97673E" w14:textId="77777777" w:rsidR="00722B14" w:rsidRDefault="00722B14" w:rsidP="00DD3BAE">
            <w:pPr>
              <w:spacing w:before="0" w:after="0"/>
              <w:jc w:val="center"/>
              <w:rPr>
                <w:color w:val="000000"/>
                <w:sz w:val="16"/>
                <w:szCs w:val="16"/>
              </w:rPr>
            </w:pPr>
            <w:r>
              <w:rPr>
                <w:color w:val="000000"/>
                <w:sz w:val="16"/>
                <w:szCs w:val="16"/>
              </w:rPr>
              <w:t>-11.49 ±0.03</w:t>
            </w:r>
          </w:p>
        </w:tc>
        <w:tc>
          <w:tcPr>
            <w:tcW w:w="1109" w:type="dxa"/>
            <w:vAlign w:val="center"/>
            <w:hideMark/>
          </w:tcPr>
          <w:p w14:paraId="016077D7" w14:textId="77777777" w:rsidR="00722B14" w:rsidRDefault="00722B14" w:rsidP="00DD3BAE">
            <w:pPr>
              <w:spacing w:before="0" w:after="0"/>
              <w:jc w:val="center"/>
              <w:rPr>
                <w:color w:val="000000"/>
                <w:sz w:val="16"/>
                <w:szCs w:val="16"/>
              </w:rPr>
            </w:pPr>
            <w:r>
              <w:rPr>
                <w:color w:val="000000"/>
                <w:sz w:val="16"/>
                <w:szCs w:val="16"/>
              </w:rPr>
              <w:t>2.34 ±0.17</w:t>
            </w:r>
          </w:p>
        </w:tc>
        <w:tc>
          <w:tcPr>
            <w:tcW w:w="797" w:type="dxa"/>
            <w:vAlign w:val="center"/>
          </w:tcPr>
          <w:p w14:paraId="6CE21D10" w14:textId="77777777" w:rsidR="00722B14" w:rsidRDefault="00722B14" w:rsidP="00DD3BAE">
            <w:pPr>
              <w:spacing w:before="0" w:after="0"/>
              <w:jc w:val="center"/>
              <w:rPr>
                <w:i/>
                <w:color w:val="000000"/>
                <w:sz w:val="16"/>
                <w:szCs w:val="16"/>
              </w:rPr>
            </w:pPr>
          </w:p>
        </w:tc>
        <w:tc>
          <w:tcPr>
            <w:tcW w:w="1557" w:type="dxa"/>
            <w:noWrap/>
            <w:vAlign w:val="center"/>
          </w:tcPr>
          <w:p w14:paraId="3981E43A" w14:textId="77777777" w:rsidR="00722B14" w:rsidRDefault="00722B14" w:rsidP="00DD3BAE">
            <w:pPr>
              <w:spacing w:before="0" w:after="0"/>
              <w:jc w:val="center"/>
              <w:rPr>
                <w:i/>
                <w:color w:val="000000"/>
                <w:sz w:val="16"/>
                <w:szCs w:val="16"/>
              </w:rPr>
            </w:pPr>
          </w:p>
        </w:tc>
      </w:tr>
      <w:tr w:rsidR="00722B14" w14:paraId="1D6AF93E" w14:textId="77777777" w:rsidTr="00DE79BD">
        <w:trPr>
          <w:cantSplit/>
          <w:trHeight w:val="227"/>
          <w:jc w:val="center"/>
        </w:trPr>
        <w:tc>
          <w:tcPr>
            <w:tcW w:w="1077" w:type="dxa"/>
            <w:vAlign w:val="center"/>
          </w:tcPr>
          <w:p w14:paraId="4C6D26B7" w14:textId="77777777" w:rsidR="00722B14" w:rsidRDefault="00722B14" w:rsidP="00DD3BAE">
            <w:pPr>
              <w:spacing w:before="0" w:after="0"/>
              <w:jc w:val="center"/>
              <w:rPr>
                <w:color w:val="000000"/>
                <w:sz w:val="16"/>
                <w:szCs w:val="16"/>
              </w:rPr>
            </w:pPr>
          </w:p>
        </w:tc>
        <w:tc>
          <w:tcPr>
            <w:tcW w:w="1115" w:type="dxa"/>
            <w:noWrap/>
            <w:vAlign w:val="center"/>
          </w:tcPr>
          <w:p w14:paraId="12730689"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61CE7741"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48C1EF60"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53090BE4" w14:textId="77777777" w:rsidR="00722B14" w:rsidRDefault="00722B14" w:rsidP="00DD3BAE">
            <w:pPr>
              <w:spacing w:before="0" w:after="0"/>
              <w:jc w:val="center"/>
              <w:rPr>
                <w:color w:val="000000"/>
                <w:sz w:val="16"/>
                <w:szCs w:val="16"/>
              </w:rPr>
            </w:pPr>
            <w:r>
              <w:rPr>
                <w:color w:val="000000"/>
                <w:sz w:val="16"/>
                <w:szCs w:val="16"/>
              </w:rPr>
              <w:t>40.56</w:t>
            </w:r>
          </w:p>
        </w:tc>
        <w:tc>
          <w:tcPr>
            <w:tcW w:w="661" w:type="dxa"/>
            <w:tcBorders>
              <w:top w:val="nil"/>
              <w:left w:val="nil"/>
              <w:right w:val="nil"/>
            </w:tcBorders>
            <w:shd w:val="clear" w:color="auto" w:fill="CCFFCC"/>
            <w:vAlign w:val="center"/>
            <w:hideMark/>
          </w:tcPr>
          <w:p w14:paraId="1D1A17C0" w14:textId="77777777" w:rsidR="00722B14" w:rsidRDefault="00722B14" w:rsidP="00DD3BAE">
            <w:pPr>
              <w:spacing w:before="0" w:after="0"/>
              <w:jc w:val="center"/>
              <w:rPr>
                <w:color w:val="000000"/>
                <w:sz w:val="16"/>
                <w:szCs w:val="16"/>
              </w:rPr>
            </w:pPr>
            <w:r>
              <w:rPr>
                <w:color w:val="000000"/>
                <w:sz w:val="16"/>
                <w:szCs w:val="16"/>
              </w:rPr>
              <w:t>12.74</w:t>
            </w:r>
          </w:p>
        </w:tc>
        <w:tc>
          <w:tcPr>
            <w:tcW w:w="1109" w:type="dxa"/>
            <w:tcBorders>
              <w:top w:val="nil"/>
              <w:left w:val="nil"/>
              <w:right w:val="nil"/>
            </w:tcBorders>
            <w:noWrap/>
            <w:vAlign w:val="center"/>
            <w:hideMark/>
          </w:tcPr>
          <w:p w14:paraId="0D0DE623" w14:textId="77777777" w:rsidR="00722B14" w:rsidRDefault="00722B14" w:rsidP="00DD3BAE">
            <w:pPr>
              <w:spacing w:before="0" w:after="0"/>
              <w:jc w:val="center"/>
              <w:rPr>
                <w:color w:val="000000"/>
                <w:sz w:val="16"/>
                <w:szCs w:val="16"/>
              </w:rPr>
            </w:pPr>
            <w:r>
              <w:rPr>
                <w:color w:val="000000"/>
                <w:sz w:val="16"/>
                <w:szCs w:val="16"/>
              </w:rPr>
              <w:t>-11.64 ±0.25</w:t>
            </w:r>
          </w:p>
        </w:tc>
        <w:tc>
          <w:tcPr>
            <w:tcW w:w="1109" w:type="dxa"/>
            <w:tcBorders>
              <w:top w:val="nil"/>
              <w:left w:val="nil"/>
              <w:right w:val="nil"/>
            </w:tcBorders>
            <w:vAlign w:val="center"/>
            <w:hideMark/>
          </w:tcPr>
          <w:p w14:paraId="694287D5" w14:textId="77777777" w:rsidR="00722B14" w:rsidRDefault="00722B14" w:rsidP="00DD3BAE">
            <w:pPr>
              <w:spacing w:before="0" w:after="0"/>
              <w:jc w:val="center"/>
              <w:rPr>
                <w:color w:val="000000"/>
                <w:sz w:val="16"/>
                <w:szCs w:val="16"/>
              </w:rPr>
            </w:pPr>
            <w:r>
              <w:rPr>
                <w:color w:val="000000"/>
                <w:sz w:val="16"/>
                <w:szCs w:val="16"/>
              </w:rPr>
              <w:t>2.82 ±0.16</w:t>
            </w:r>
          </w:p>
        </w:tc>
        <w:tc>
          <w:tcPr>
            <w:tcW w:w="797" w:type="dxa"/>
            <w:tcBorders>
              <w:top w:val="nil"/>
              <w:left w:val="nil"/>
              <w:right w:val="nil"/>
            </w:tcBorders>
            <w:vAlign w:val="center"/>
          </w:tcPr>
          <w:p w14:paraId="3861DC48"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1D4C9132" w14:textId="77777777" w:rsidR="00722B14" w:rsidRDefault="00722B14" w:rsidP="00DD3BAE">
            <w:pPr>
              <w:spacing w:before="0" w:after="0"/>
              <w:jc w:val="center"/>
              <w:rPr>
                <w:i/>
                <w:color w:val="000000"/>
                <w:sz w:val="16"/>
                <w:szCs w:val="16"/>
              </w:rPr>
            </w:pPr>
          </w:p>
        </w:tc>
      </w:tr>
      <w:tr w:rsidR="00722B14" w14:paraId="4A5E4477" w14:textId="77777777" w:rsidTr="00DE79BD">
        <w:trPr>
          <w:cantSplit/>
          <w:trHeight w:val="227"/>
          <w:jc w:val="center"/>
        </w:trPr>
        <w:tc>
          <w:tcPr>
            <w:tcW w:w="1077" w:type="dxa"/>
            <w:tcBorders>
              <w:top w:val="nil"/>
              <w:left w:val="nil"/>
              <w:right w:val="nil"/>
            </w:tcBorders>
            <w:shd w:val="clear" w:color="auto" w:fill="auto"/>
            <w:vAlign w:val="center"/>
          </w:tcPr>
          <w:p w14:paraId="2BE87D57"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111D46D4"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2B32ECC9"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5BB2B695"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72134A9E" w14:textId="77777777" w:rsidR="00722B14" w:rsidRPr="007C770B" w:rsidRDefault="00722B14" w:rsidP="00DD3BAE">
            <w:pPr>
              <w:spacing w:before="0" w:after="0"/>
              <w:jc w:val="center"/>
              <w:rPr>
                <w:color w:val="000000"/>
                <w:sz w:val="16"/>
                <w:szCs w:val="16"/>
              </w:rPr>
            </w:pPr>
            <w:r w:rsidRPr="007C770B">
              <w:rPr>
                <w:color w:val="000000"/>
                <w:sz w:val="16"/>
                <w:szCs w:val="16"/>
              </w:rPr>
              <w:t>39.63</w:t>
            </w:r>
          </w:p>
        </w:tc>
        <w:tc>
          <w:tcPr>
            <w:tcW w:w="661" w:type="dxa"/>
            <w:tcBorders>
              <w:top w:val="nil"/>
              <w:left w:val="nil"/>
              <w:right w:val="nil"/>
            </w:tcBorders>
            <w:shd w:val="clear" w:color="auto" w:fill="CCFFCC"/>
            <w:vAlign w:val="center"/>
          </w:tcPr>
          <w:p w14:paraId="69227D17" w14:textId="77777777" w:rsidR="00722B14" w:rsidRPr="007C770B" w:rsidRDefault="00722B14" w:rsidP="00DD3BAE">
            <w:pPr>
              <w:spacing w:before="0" w:after="0"/>
              <w:jc w:val="center"/>
              <w:rPr>
                <w:color w:val="000000"/>
                <w:sz w:val="16"/>
                <w:szCs w:val="16"/>
              </w:rPr>
            </w:pPr>
            <w:r w:rsidRPr="007C770B">
              <w:rPr>
                <w:color w:val="000000"/>
                <w:sz w:val="16"/>
                <w:szCs w:val="16"/>
              </w:rPr>
              <w:t>15.58</w:t>
            </w:r>
          </w:p>
        </w:tc>
        <w:tc>
          <w:tcPr>
            <w:tcW w:w="1109" w:type="dxa"/>
            <w:tcBorders>
              <w:top w:val="nil"/>
              <w:left w:val="nil"/>
              <w:right w:val="nil"/>
            </w:tcBorders>
            <w:shd w:val="clear" w:color="auto" w:fill="CCFFCC"/>
            <w:noWrap/>
            <w:vAlign w:val="center"/>
          </w:tcPr>
          <w:p w14:paraId="6B25D88F" w14:textId="77777777" w:rsidR="00722B14" w:rsidRPr="007C770B" w:rsidRDefault="00722B14" w:rsidP="00DD3BAE">
            <w:pPr>
              <w:spacing w:before="0" w:after="0"/>
              <w:jc w:val="center"/>
              <w:rPr>
                <w:color w:val="000000"/>
                <w:sz w:val="16"/>
                <w:szCs w:val="16"/>
              </w:rPr>
            </w:pPr>
            <w:r w:rsidRPr="007C770B">
              <w:rPr>
                <w:color w:val="000000"/>
                <w:sz w:val="16"/>
                <w:szCs w:val="16"/>
              </w:rPr>
              <w:t>-10.18 ±0.6</w:t>
            </w:r>
          </w:p>
        </w:tc>
        <w:tc>
          <w:tcPr>
            <w:tcW w:w="1109" w:type="dxa"/>
            <w:tcBorders>
              <w:top w:val="nil"/>
              <w:left w:val="nil"/>
              <w:right w:val="nil"/>
            </w:tcBorders>
            <w:shd w:val="clear" w:color="auto" w:fill="auto"/>
            <w:vAlign w:val="center"/>
          </w:tcPr>
          <w:p w14:paraId="25F1D3CC" w14:textId="77777777" w:rsidR="00722B14" w:rsidRPr="007C770B" w:rsidRDefault="00722B14" w:rsidP="00DD3BAE">
            <w:pPr>
              <w:spacing w:before="0" w:after="0"/>
              <w:jc w:val="center"/>
              <w:rPr>
                <w:color w:val="000000"/>
                <w:sz w:val="16"/>
                <w:szCs w:val="16"/>
              </w:rPr>
            </w:pPr>
            <w:r w:rsidRPr="007C770B">
              <w:rPr>
                <w:color w:val="000000"/>
                <w:sz w:val="16"/>
                <w:szCs w:val="16"/>
              </w:rPr>
              <w:t>0.68 ±0.35</w:t>
            </w:r>
          </w:p>
        </w:tc>
        <w:tc>
          <w:tcPr>
            <w:tcW w:w="797" w:type="dxa"/>
            <w:tcBorders>
              <w:top w:val="nil"/>
              <w:left w:val="nil"/>
              <w:right w:val="nil"/>
            </w:tcBorders>
            <w:shd w:val="clear" w:color="auto" w:fill="auto"/>
            <w:vAlign w:val="center"/>
          </w:tcPr>
          <w:p w14:paraId="4956F7AD" w14:textId="77777777" w:rsidR="00722B14" w:rsidRPr="007C770B" w:rsidRDefault="00722B14" w:rsidP="00DD3BAE">
            <w:pPr>
              <w:spacing w:before="0" w:after="0"/>
              <w:jc w:val="center"/>
              <w:rPr>
                <w:color w:val="000000"/>
                <w:sz w:val="16"/>
                <w:szCs w:val="16"/>
              </w:rPr>
            </w:pPr>
            <w:r w:rsidRPr="007C770B">
              <w:rPr>
                <w:color w:val="000000"/>
                <w:sz w:val="16"/>
                <w:szCs w:val="16"/>
              </w:rPr>
              <w:t>0</w:t>
            </w:r>
          </w:p>
        </w:tc>
        <w:tc>
          <w:tcPr>
            <w:tcW w:w="1557" w:type="dxa"/>
            <w:tcBorders>
              <w:top w:val="nil"/>
              <w:left w:val="nil"/>
              <w:right w:val="nil"/>
            </w:tcBorders>
            <w:shd w:val="clear" w:color="auto" w:fill="auto"/>
            <w:noWrap/>
            <w:vAlign w:val="center"/>
          </w:tcPr>
          <w:p w14:paraId="28687507" w14:textId="77777777" w:rsidR="00722B14" w:rsidRPr="007C770B" w:rsidRDefault="00722B14" w:rsidP="00DD3BAE">
            <w:pPr>
              <w:spacing w:before="0" w:after="0"/>
              <w:jc w:val="center"/>
              <w:rPr>
                <w:color w:val="000000"/>
                <w:sz w:val="16"/>
                <w:szCs w:val="16"/>
              </w:rPr>
            </w:pPr>
            <w:r w:rsidRPr="007C770B">
              <w:rPr>
                <w:color w:val="000000"/>
                <w:sz w:val="16"/>
                <w:szCs w:val="16"/>
              </w:rPr>
              <w:t>0</w:t>
            </w:r>
          </w:p>
        </w:tc>
      </w:tr>
      <w:tr w:rsidR="00722B14" w14:paraId="3D2764AB" w14:textId="77777777" w:rsidTr="00DE79BD">
        <w:trPr>
          <w:cantSplit/>
          <w:trHeight w:val="227"/>
          <w:jc w:val="center"/>
        </w:trPr>
        <w:tc>
          <w:tcPr>
            <w:tcW w:w="1077" w:type="dxa"/>
            <w:tcBorders>
              <w:left w:val="nil"/>
              <w:right w:val="nil"/>
            </w:tcBorders>
            <w:shd w:val="clear" w:color="auto" w:fill="auto"/>
            <w:vAlign w:val="center"/>
          </w:tcPr>
          <w:p w14:paraId="1D75688B"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3C3851C5"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57A5D206"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0F7719C2"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6723D854" w14:textId="77777777" w:rsidR="00722B14" w:rsidRPr="004E768F" w:rsidRDefault="00722B14" w:rsidP="00DD3BAE">
            <w:pPr>
              <w:spacing w:before="0" w:after="0"/>
              <w:jc w:val="center"/>
              <w:rPr>
                <w:color w:val="000000"/>
                <w:sz w:val="16"/>
                <w:szCs w:val="16"/>
              </w:rPr>
            </w:pPr>
            <w:r w:rsidRPr="004E768F">
              <w:rPr>
                <w:color w:val="000000"/>
                <w:sz w:val="16"/>
                <w:szCs w:val="16"/>
              </w:rPr>
              <w:t>41.12</w:t>
            </w:r>
          </w:p>
        </w:tc>
        <w:tc>
          <w:tcPr>
            <w:tcW w:w="661" w:type="dxa"/>
            <w:tcBorders>
              <w:left w:val="nil"/>
              <w:bottom w:val="single" w:sz="4" w:space="0" w:color="auto"/>
              <w:right w:val="nil"/>
            </w:tcBorders>
            <w:shd w:val="clear" w:color="auto" w:fill="CCFFCC"/>
            <w:vAlign w:val="center"/>
          </w:tcPr>
          <w:p w14:paraId="652EF8D6" w14:textId="77777777" w:rsidR="00722B14" w:rsidRPr="004E768F" w:rsidRDefault="00722B14" w:rsidP="00DD3BAE">
            <w:pPr>
              <w:spacing w:before="0" w:after="0"/>
              <w:jc w:val="center"/>
              <w:rPr>
                <w:color w:val="000000"/>
                <w:sz w:val="16"/>
                <w:szCs w:val="16"/>
              </w:rPr>
            </w:pPr>
            <w:r>
              <w:rPr>
                <w:color w:val="000000"/>
                <w:sz w:val="16"/>
                <w:szCs w:val="16"/>
              </w:rPr>
              <w:t>17.03</w:t>
            </w:r>
          </w:p>
        </w:tc>
        <w:tc>
          <w:tcPr>
            <w:tcW w:w="1109" w:type="dxa"/>
            <w:tcBorders>
              <w:left w:val="nil"/>
              <w:bottom w:val="single" w:sz="4" w:space="0" w:color="auto"/>
              <w:right w:val="nil"/>
            </w:tcBorders>
            <w:shd w:val="clear" w:color="auto" w:fill="auto"/>
            <w:noWrap/>
            <w:vAlign w:val="center"/>
          </w:tcPr>
          <w:p w14:paraId="560D2047" w14:textId="77777777" w:rsidR="00722B14" w:rsidRPr="004E768F" w:rsidRDefault="00722B14" w:rsidP="00DD3BAE">
            <w:pPr>
              <w:spacing w:before="0" w:after="0"/>
              <w:jc w:val="center"/>
              <w:rPr>
                <w:color w:val="000000"/>
                <w:sz w:val="16"/>
                <w:szCs w:val="16"/>
              </w:rPr>
            </w:pPr>
            <w:r w:rsidRPr="004E768F">
              <w:rPr>
                <w:color w:val="000000"/>
                <w:sz w:val="16"/>
                <w:szCs w:val="16"/>
              </w:rPr>
              <w:t>-11.38 ±0.16</w:t>
            </w:r>
          </w:p>
        </w:tc>
        <w:tc>
          <w:tcPr>
            <w:tcW w:w="1109" w:type="dxa"/>
            <w:tcBorders>
              <w:left w:val="nil"/>
              <w:bottom w:val="single" w:sz="4" w:space="0" w:color="auto"/>
              <w:right w:val="nil"/>
            </w:tcBorders>
            <w:shd w:val="clear" w:color="auto" w:fill="auto"/>
            <w:vAlign w:val="center"/>
          </w:tcPr>
          <w:p w14:paraId="509C2B45" w14:textId="77777777" w:rsidR="00722B14" w:rsidRPr="004E768F" w:rsidRDefault="00722B14" w:rsidP="00DD3BAE">
            <w:pPr>
              <w:spacing w:before="0" w:after="0"/>
              <w:jc w:val="center"/>
              <w:rPr>
                <w:color w:val="000000"/>
                <w:sz w:val="16"/>
                <w:szCs w:val="16"/>
              </w:rPr>
            </w:pPr>
            <w:r w:rsidRPr="004E768F">
              <w:rPr>
                <w:color w:val="000000"/>
                <w:sz w:val="16"/>
                <w:szCs w:val="16"/>
              </w:rPr>
              <w:t>2.48 ±0.05</w:t>
            </w:r>
          </w:p>
        </w:tc>
        <w:tc>
          <w:tcPr>
            <w:tcW w:w="797" w:type="dxa"/>
            <w:tcBorders>
              <w:left w:val="nil"/>
              <w:bottom w:val="single" w:sz="4" w:space="0" w:color="auto"/>
              <w:right w:val="nil"/>
            </w:tcBorders>
            <w:shd w:val="clear" w:color="auto" w:fill="auto"/>
            <w:vAlign w:val="center"/>
          </w:tcPr>
          <w:p w14:paraId="1234C9FD" w14:textId="77777777" w:rsidR="00722B14" w:rsidRPr="007C770B" w:rsidRDefault="00722B14" w:rsidP="00DD3BAE">
            <w:pPr>
              <w:spacing w:before="0" w:after="0"/>
              <w:jc w:val="center"/>
              <w:rPr>
                <w:color w:val="000000"/>
                <w:sz w:val="16"/>
                <w:szCs w:val="16"/>
              </w:rPr>
            </w:pPr>
          </w:p>
        </w:tc>
        <w:tc>
          <w:tcPr>
            <w:tcW w:w="1557" w:type="dxa"/>
            <w:tcBorders>
              <w:left w:val="nil"/>
              <w:bottom w:val="single" w:sz="4" w:space="0" w:color="auto"/>
              <w:right w:val="nil"/>
            </w:tcBorders>
            <w:shd w:val="clear" w:color="auto" w:fill="auto"/>
            <w:noWrap/>
            <w:vAlign w:val="center"/>
          </w:tcPr>
          <w:p w14:paraId="0E35B32C" w14:textId="77777777" w:rsidR="00722B14" w:rsidRPr="007C770B" w:rsidRDefault="00722B14" w:rsidP="00DD3BAE">
            <w:pPr>
              <w:spacing w:before="0" w:after="0"/>
              <w:jc w:val="center"/>
              <w:rPr>
                <w:color w:val="000000"/>
                <w:sz w:val="16"/>
                <w:szCs w:val="16"/>
              </w:rPr>
            </w:pPr>
          </w:p>
        </w:tc>
      </w:tr>
      <w:tr w:rsidR="00722B14" w14:paraId="4C7E1080" w14:textId="77777777" w:rsidTr="00DE79BD">
        <w:trPr>
          <w:cantSplit/>
          <w:trHeight w:val="227"/>
          <w:jc w:val="center"/>
        </w:trPr>
        <w:tc>
          <w:tcPr>
            <w:tcW w:w="1077" w:type="dxa"/>
            <w:vAlign w:val="center"/>
          </w:tcPr>
          <w:p w14:paraId="2B4DCB1D" w14:textId="77777777" w:rsidR="00722B14" w:rsidRDefault="00722B14" w:rsidP="00DD3BAE">
            <w:pPr>
              <w:spacing w:before="0" w:after="0"/>
              <w:jc w:val="center"/>
              <w:rPr>
                <w:color w:val="000000"/>
                <w:sz w:val="16"/>
                <w:szCs w:val="16"/>
              </w:rPr>
            </w:pPr>
          </w:p>
        </w:tc>
        <w:tc>
          <w:tcPr>
            <w:tcW w:w="1115" w:type="dxa"/>
            <w:noWrap/>
            <w:vAlign w:val="center"/>
          </w:tcPr>
          <w:p w14:paraId="6275ECF4"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6110292D"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440889B3"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16977684" w14:textId="77777777" w:rsidR="00722B14" w:rsidRDefault="00722B14" w:rsidP="00DD3BAE">
            <w:pPr>
              <w:spacing w:before="0" w:after="0"/>
              <w:jc w:val="center"/>
              <w:rPr>
                <w:color w:val="000000"/>
                <w:sz w:val="16"/>
                <w:szCs w:val="16"/>
              </w:rPr>
            </w:pPr>
            <w:r>
              <w:rPr>
                <w:color w:val="000000"/>
                <w:sz w:val="16"/>
                <w:szCs w:val="16"/>
              </w:rPr>
              <w:t>36.33</w:t>
            </w:r>
          </w:p>
        </w:tc>
        <w:tc>
          <w:tcPr>
            <w:tcW w:w="661" w:type="dxa"/>
            <w:tcBorders>
              <w:top w:val="single" w:sz="4" w:space="0" w:color="auto"/>
              <w:left w:val="nil"/>
              <w:bottom w:val="nil"/>
              <w:right w:val="nil"/>
            </w:tcBorders>
            <w:shd w:val="clear" w:color="auto" w:fill="CCFFCC"/>
            <w:vAlign w:val="center"/>
            <w:hideMark/>
          </w:tcPr>
          <w:p w14:paraId="4BAA5B4D" w14:textId="77777777" w:rsidR="00722B14" w:rsidRDefault="00722B14" w:rsidP="00DD3BAE">
            <w:pPr>
              <w:spacing w:before="0" w:after="0"/>
              <w:jc w:val="center"/>
              <w:rPr>
                <w:color w:val="000000"/>
                <w:sz w:val="16"/>
                <w:szCs w:val="16"/>
              </w:rPr>
            </w:pPr>
            <w:r>
              <w:rPr>
                <w:color w:val="000000"/>
                <w:sz w:val="16"/>
                <w:szCs w:val="16"/>
              </w:rPr>
              <w:t>17.76</w:t>
            </w:r>
          </w:p>
        </w:tc>
        <w:tc>
          <w:tcPr>
            <w:tcW w:w="1109" w:type="dxa"/>
            <w:tcBorders>
              <w:top w:val="single" w:sz="4" w:space="0" w:color="auto"/>
              <w:left w:val="nil"/>
              <w:bottom w:val="nil"/>
              <w:right w:val="nil"/>
            </w:tcBorders>
            <w:shd w:val="clear" w:color="auto" w:fill="CCFFCC"/>
            <w:noWrap/>
            <w:vAlign w:val="center"/>
            <w:hideMark/>
          </w:tcPr>
          <w:p w14:paraId="617D7F66" w14:textId="77777777" w:rsidR="00722B14" w:rsidRDefault="00722B14" w:rsidP="00DD3BAE">
            <w:pPr>
              <w:spacing w:before="0" w:after="0"/>
              <w:jc w:val="center"/>
              <w:rPr>
                <w:color w:val="000000"/>
                <w:sz w:val="16"/>
                <w:szCs w:val="16"/>
              </w:rPr>
            </w:pPr>
            <w:r>
              <w:rPr>
                <w:color w:val="000000"/>
                <w:sz w:val="16"/>
                <w:szCs w:val="16"/>
              </w:rPr>
              <w:t>-10.44 ±0.23</w:t>
            </w:r>
          </w:p>
        </w:tc>
        <w:tc>
          <w:tcPr>
            <w:tcW w:w="1109" w:type="dxa"/>
            <w:tcBorders>
              <w:top w:val="single" w:sz="4" w:space="0" w:color="auto"/>
              <w:left w:val="nil"/>
              <w:bottom w:val="nil"/>
              <w:right w:val="nil"/>
            </w:tcBorders>
            <w:vAlign w:val="center"/>
            <w:hideMark/>
          </w:tcPr>
          <w:p w14:paraId="268D5182" w14:textId="77777777" w:rsidR="00722B14" w:rsidRDefault="00722B14" w:rsidP="00DD3BAE">
            <w:pPr>
              <w:spacing w:before="0" w:after="0"/>
              <w:jc w:val="center"/>
              <w:rPr>
                <w:color w:val="000000"/>
                <w:sz w:val="16"/>
                <w:szCs w:val="16"/>
              </w:rPr>
            </w:pPr>
            <w:r>
              <w:rPr>
                <w:color w:val="000000"/>
                <w:sz w:val="16"/>
                <w:szCs w:val="16"/>
              </w:rPr>
              <w:t>2.18 ±0.39</w:t>
            </w:r>
          </w:p>
        </w:tc>
        <w:tc>
          <w:tcPr>
            <w:tcW w:w="797" w:type="dxa"/>
            <w:tcBorders>
              <w:top w:val="single" w:sz="4" w:space="0" w:color="auto"/>
              <w:left w:val="nil"/>
              <w:bottom w:val="nil"/>
              <w:right w:val="nil"/>
            </w:tcBorders>
            <w:vAlign w:val="center"/>
            <w:hideMark/>
          </w:tcPr>
          <w:p w14:paraId="167CBFD2"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4AD79BBA"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22B7903A" w14:textId="77777777" w:rsidTr="00DE79BD">
        <w:trPr>
          <w:cantSplit/>
          <w:trHeight w:val="227"/>
          <w:jc w:val="center"/>
        </w:trPr>
        <w:tc>
          <w:tcPr>
            <w:tcW w:w="1077" w:type="dxa"/>
            <w:vAlign w:val="center"/>
          </w:tcPr>
          <w:p w14:paraId="1B4BE7DA" w14:textId="77777777" w:rsidR="00722B14" w:rsidRDefault="00722B14" w:rsidP="00DD3BAE">
            <w:pPr>
              <w:spacing w:before="0" w:after="0"/>
              <w:jc w:val="center"/>
              <w:rPr>
                <w:color w:val="000000"/>
                <w:sz w:val="16"/>
                <w:szCs w:val="16"/>
              </w:rPr>
            </w:pPr>
          </w:p>
        </w:tc>
        <w:tc>
          <w:tcPr>
            <w:tcW w:w="1115" w:type="dxa"/>
            <w:noWrap/>
            <w:vAlign w:val="center"/>
          </w:tcPr>
          <w:p w14:paraId="4A0A5882" w14:textId="77777777" w:rsidR="00722B14" w:rsidRDefault="00722B14" w:rsidP="00DD3BAE">
            <w:pPr>
              <w:spacing w:before="0" w:after="0"/>
              <w:jc w:val="center"/>
              <w:rPr>
                <w:color w:val="000000"/>
                <w:sz w:val="16"/>
                <w:szCs w:val="16"/>
              </w:rPr>
            </w:pPr>
          </w:p>
        </w:tc>
        <w:tc>
          <w:tcPr>
            <w:tcW w:w="789" w:type="dxa"/>
            <w:noWrap/>
            <w:vAlign w:val="center"/>
          </w:tcPr>
          <w:p w14:paraId="09F2438E" w14:textId="77777777" w:rsidR="00722B14" w:rsidRDefault="00722B14" w:rsidP="00DD3BAE">
            <w:pPr>
              <w:spacing w:before="0" w:after="0"/>
              <w:jc w:val="center"/>
              <w:rPr>
                <w:color w:val="000000"/>
                <w:sz w:val="16"/>
                <w:szCs w:val="16"/>
              </w:rPr>
            </w:pPr>
          </w:p>
        </w:tc>
        <w:tc>
          <w:tcPr>
            <w:tcW w:w="621" w:type="dxa"/>
            <w:vAlign w:val="center"/>
            <w:hideMark/>
          </w:tcPr>
          <w:p w14:paraId="2E164746"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27B9141C" w14:textId="77777777" w:rsidR="00722B14" w:rsidRDefault="00722B14" w:rsidP="00DD3BAE">
            <w:pPr>
              <w:spacing w:before="0" w:after="0"/>
              <w:jc w:val="center"/>
              <w:rPr>
                <w:color w:val="000000"/>
                <w:sz w:val="16"/>
                <w:szCs w:val="16"/>
              </w:rPr>
            </w:pPr>
            <w:r>
              <w:rPr>
                <w:color w:val="000000"/>
                <w:sz w:val="16"/>
                <w:szCs w:val="16"/>
              </w:rPr>
              <w:t>35.75</w:t>
            </w:r>
          </w:p>
        </w:tc>
        <w:tc>
          <w:tcPr>
            <w:tcW w:w="661" w:type="dxa"/>
            <w:shd w:val="clear" w:color="auto" w:fill="CCFFCC"/>
            <w:vAlign w:val="center"/>
            <w:hideMark/>
          </w:tcPr>
          <w:p w14:paraId="02453B2F" w14:textId="77777777" w:rsidR="00722B14" w:rsidRDefault="00722B14" w:rsidP="00DD3BAE">
            <w:pPr>
              <w:spacing w:before="0" w:after="0"/>
              <w:jc w:val="center"/>
              <w:rPr>
                <w:color w:val="000000"/>
                <w:sz w:val="16"/>
                <w:szCs w:val="16"/>
              </w:rPr>
            </w:pPr>
            <w:r>
              <w:rPr>
                <w:color w:val="000000"/>
                <w:sz w:val="16"/>
                <w:szCs w:val="16"/>
              </w:rPr>
              <w:t>18.56</w:t>
            </w:r>
          </w:p>
        </w:tc>
        <w:tc>
          <w:tcPr>
            <w:tcW w:w="1109" w:type="dxa"/>
            <w:shd w:val="clear" w:color="auto" w:fill="CCFFCC"/>
            <w:noWrap/>
            <w:vAlign w:val="center"/>
            <w:hideMark/>
          </w:tcPr>
          <w:p w14:paraId="34FC38B7" w14:textId="77777777" w:rsidR="00722B14" w:rsidRDefault="00722B14" w:rsidP="00DD3BAE">
            <w:pPr>
              <w:spacing w:before="0" w:after="0"/>
              <w:jc w:val="center"/>
              <w:rPr>
                <w:color w:val="000000"/>
                <w:sz w:val="16"/>
                <w:szCs w:val="16"/>
              </w:rPr>
            </w:pPr>
            <w:r>
              <w:rPr>
                <w:color w:val="000000"/>
                <w:sz w:val="16"/>
                <w:szCs w:val="16"/>
              </w:rPr>
              <w:t>-10.75 ±0.06</w:t>
            </w:r>
          </w:p>
        </w:tc>
        <w:tc>
          <w:tcPr>
            <w:tcW w:w="1109" w:type="dxa"/>
            <w:vAlign w:val="center"/>
            <w:hideMark/>
          </w:tcPr>
          <w:p w14:paraId="4B1898A0" w14:textId="77777777" w:rsidR="00722B14" w:rsidRDefault="00722B14" w:rsidP="00DD3BAE">
            <w:pPr>
              <w:spacing w:before="0" w:after="0"/>
              <w:jc w:val="center"/>
              <w:rPr>
                <w:color w:val="000000"/>
                <w:sz w:val="16"/>
                <w:szCs w:val="16"/>
              </w:rPr>
            </w:pPr>
            <w:r>
              <w:rPr>
                <w:color w:val="000000"/>
                <w:sz w:val="16"/>
                <w:szCs w:val="16"/>
              </w:rPr>
              <w:t>2.59 ±0.15</w:t>
            </w:r>
          </w:p>
        </w:tc>
        <w:tc>
          <w:tcPr>
            <w:tcW w:w="797" w:type="dxa"/>
            <w:vAlign w:val="center"/>
          </w:tcPr>
          <w:p w14:paraId="09A4224C" w14:textId="77777777" w:rsidR="00722B14" w:rsidRDefault="00722B14" w:rsidP="00DD3BAE">
            <w:pPr>
              <w:spacing w:before="0" w:after="0"/>
              <w:jc w:val="center"/>
              <w:rPr>
                <w:i/>
                <w:color w:val="000000"/>
                <w:sz w:val="16"/>
                <w:szCs w:val="16"/>
              </w:rPr>
            </w:pPr>
          </w:p>
        </w:tc>
        <w:tc>
          <w:tcPr>
            <w:tcW w:w="1557" w:type="dxa"/>
            <w:noWrap/>
            <w:vAlign w:val="center"/>
          </w:tcPr>
          <w:p w14:paraId="78C46DDC" w14:textId="77777777" w:rsidR="00722B14" w:rsidRDefault="00722B14" w:rsidP="00DD3BAE">
            <w:pPr>
              <w:spacing w:before="0" w:after="0"/>
              <w:jc w:val="center"/>
              <w:rPr>
                <w:color w:val="000000"/>
                <w:sz w:val="16"/>
                <w:szCs w:val="16"/>
              </w:rPr>
            </w:pPr>
          </w:p>
        </w:tc>
      </w:tr>
      <w:tr w:rsidR="00722B14" w14:paraId="508081C5" w14:textId="77777777" w:rsidTr="00DE79BD">
        <w:trPr>
          <w:cantSplit/>
          <w:trHeight w:val="227"/>
          <w:jc w:val="center"/>
        </w:trPr>
        <w:tc>
          <w:tcPr>
            <w:tcW w:w="1077" w:type="dxa"/>
            <w:vAlign w:val="center"/>
          </w:tcPr>
          <w:p w14:paraId="7724CBEC"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59B0082E"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5136B8D5"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3B5DA157"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20357E8" w14:textId="77777777" w:rsidR="00722B14" w:rsidRDefault="00722B14" w:rsidP="00DD3BAE">
            <w:pPr>
              <w:spacing w:before="0" w:after="0"/>
              <w:jc w:val="center"/>
              <w:rPr>
                <w:color w:val="000000"/>
                <w:sz w:val="16"/>
                <w:szCs w:val="16"/>
              </w:rPr>
            </w:pPr>
            <w:r>
              <w:rPr>
                <w:color w:val="000000"/>
                <w:sz w:val="16"/>
                <w:szCs w:val="16"/>
              </w:rPr>
              <w:t>34.85</w:t>
            </w:r>
          </w:p>
        </w:tc>
        <w:tc>
          <w:tcPr>
            <w:tcW w:w="661" w:type="dxa"/>
            <w:tcBorders>
              <w:top w:val="nil"/>
              <w:left w:val="nil"/>
              <w:right w:val="nil"/>
            </w:tcBorders>
            <w:vAlign w:val="center"/>
            <w:hideMark/>
          </w:tcPr>
          <w:p w14:paraId="255015D5" w14:textId="77777777" w:rsidR="00722B14" w:rsidRDefault="00722B14" w:rsidP="00DD3BAE">
            <w:pPr>
              <w:spacing w:before="0" w:after="0"/>
              <w:jc w:val="center"/>
              <w:rPr>
                <w:color w:val="000000"/>
                <w:sz w:val="16"/>
                <w:szCs w:val="16"/>
              </w:rPr>
            </w:pPr>
            <w:r>
              <w:rPr>
                <w:color w:val="000000"/>
                <w:sz w:val="16"/>
                <w:szCs w:val="16"/>
              </w:rPr>
              <w:t>20.12</w:t>
            </w:r>
          </w:p>
        </w:tc>
        <w:tc>
          <w:tcPr>
            <w:tcW w:w="1109" w:type="dxa"/>
            <w:tcBorders>
              <w:top w:val="nil"/>
              <w:left w:val="nil"/>
              <w:right w:val="nil"/>
            </w:tcBorders>
            <w:noWrap/>
            <w:vAlign w:val="center"/>
            <w:hideMark/>
          </w:tcPr>
          <w:p w14:paraId="0C6248D9" w14:textId="77777777" w:rsidR="00722B14" w:rsidRDefault="00722B14" w:rsidP="00DD3BAE">
            <w:pPr>
              <w:spacing w:before="0" w:after="0"/>
              <w:jc w:val="center"/>
              <w:rPr>
                <w:color w:val="000000"/>
                <w:sz w:val="16"/>
                <w:szCs w:val="16"/>
              </w:rPr>
            </w:pPr>
            <w:r>
              <w:rPr>
                <w:color w:val="000000"/>
                <w:sz w:val="16"/>
                <w:szCs w:val="16"/>
              </w:rPr>
              <w:t>-11.71 ±0.17</w:t>
            </w:r>
          </w:p>
        </w:tc>
        <w:tc>
          <w:tcPr>
            <w:tcW w:w="1109" w:type="dxa"/>
            <w:tcBorders>
              <w:top w:val="nil"/>
              <w:left w:val="nil"/>
              <w:right w:val="nil"/>
            </w:tcBorders>
            <w:vAlign w:val="center"/>
            <w:hideMark/>
          </w:tcPr>
          <w:p w14:paraId="319176B6" w14:textId="77777777" w:rsidR="00722B14" w:rsidRDefault="00722B14" w:rsidP="00DD3BAE">
            <w:pPr>
              <w:spacing w:before="0" w:after="0"/>
              <w:jc w:val="center"/>
              <w:rPr>
                <w:color w:val="000000"/>
                <w:sz w:val="16"/>
                <w:szCs w:val="16"/>
              </w:rPr>
            </w:pPr>
            <w:r>
              <w:rPr>
                <w:color w:val="000000"/>
                <w:sz w:val="16"/>
                <w:szCs w:val="16"/>
              </w:rPr>
              <w:t>2.80 ±0.06</w:t>
            </w:r>
          </w:p>
        </w:tc>
        <w:tc>
          <w:tcPr>
            <w:tcW w:w="797" w:type="dxa"/>
            <w:tcBorders>
              <w:top w:val="nil"/>
              <w:left w:val="nil"/>
              <w:right w:val="nil"/>
            </w:tcBorders>
            <w:vAlign w:val="center"/>
          </w:tcPr>
          <w:p w14:paraId="348401B4"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47422B36" w14:textId="77777777" w:rsidR="00722B14" w:rsidRDefault="00722B14" w:rsidP="00DD3BAE">
            <w:pPr>
              <w:spacing w:before="0" w:after="0"/>
              <w:jc w:val="center"/>
              <w:rPr>
                <w:color w:val="000000"/>
                <w:sz w:val="16"/>
                <w:szCs w:val="16"/>
              </w:rPr>
            </w:pPr>
          </w:p>
        </w:tc>
      </w:tr>
      <w:tr w:rsidR="00722B14" w14:paraId="31D4B706" w14:textId="77777777" w:rsidTr="00DE79BD">
        <w:trPr>
          <w:cantSplit/>
          <w:trHeight w:val="227"/>
          <w:jc w:val="center"/>
        </w:trPr>
        <w:tc>
          <w:tcPr>
            <w:tcW w:w="1077" w:type="dxa"/>
            <w:tcBorders>
              <w:top w:val="nil"/>
              <w:left w:val="nil"/>
              <w:right w:val="nil"/>
            </w:tcBorders>
            <w:shd w:val="clear" w:color="auto" w:fill="auto"/>
            <w:vAlign w:val="center"/>
          </w:tcPr>
          <w:p w14:paraId="6CFF4385"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17CE472B"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5F8D0E37"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41674CC4"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32F8CD8D" w14:textId="77777777" w:rsidR="00722B14" w:rsidRPr="007C770B" w:rsidRDefault="00722B14" w:rsidP="00DD3BAE">
            <w:pPr>
              <w:spacing w:before="0" w:after="0"/>
              <w:jc w:val="center"/>
              <w:rPr>
                <w:color w:val="000000"/>
                <w:sz w:val="16"/>
                <w:szCs w:val="16"/>
              </w:rPr>
            </w:pPr>
            <w:r w:rsidRPr="007C770B">
              <w:rPr>
                <w:color w:val="000000"/>
                <w:sz w:val="16"/>
                <w:szCs w:val="16"/>
              </w:rPr>
              <w:t>37.60</w:t>
            </w:r>
          </w:p>
        </w:tc>
        <w:tc>
          <w:tcPr>
            <w:tcW w:w="661" w:type="dxa"/>
            <w:tcBorders>
              <w:top w:val="nil"/>
              <w:left w:val="nil"/>
              <w:right w:val="nil"/>
            </w:tcBorders>
            <w:shd w:val="clear" w:color="auto" w:fill="CCFFCC"/>
            <w:vAlign w:val="center"/>
          </w:tcPr>
          <w:p w14:paraId="0DF2659B" w14:textId="77777777" w:rsidR="00722B14" w:rsidRPr="007C770B" w:rsidRDefault="00722B14" w:rsidP="00DD3BAE">
            <w:pPr>
              <w:spacing w:before="0" w:after="0"/>
              <w:jc w:val="center"/>
              <w:rPr>
                <w:color w:val="000000"/>
                <w:sz w:val="16"/>
                <w:szCs w:val="16"/>
              </w:rPr>
            </w:pPr>
            <w:r w:rsidRPr="007C770B">
              <w:rPr>
                <w:color w:val="000000"/>
                <w:sz w:val="16"/>
                <w:szCs w:val="16"/>
              </w:rPr>
              <w:t>18.89</w:t>
            </w:r>
          </w:p>
        </w:tc>
        <w:tc>
          <w:tcPr>
            <w:tcW w:w="1109" w:type="dxa"/>
            <w:tcBorders>
              <w:top w:val="nil"/>
              <w:left w:val="nil"/>
              <w:right w:val="nil"/>
            </w:tcBorders>
            <w:shd w:val="clear" w:color="auto" w:fill="CCFFCC"/>
            <w:noWrap/>
            <w:vAlign w:val="center"/>
          </w:tcPr>
          <w:p w14:paraId="27309472" w14:textId="77777777" w:rsidR="00722B14" w:rsidRPr="007C770B" w:rsidRDefault="00722B14" w:rsidP="00DD3BAE">
            <w:pPr>
              <w:spacing w:before="0" w:after="0"/>
              <w:jc w:val="center"/>
              <w:rPr>
                <w:color w:val="000000"/>
                <w:sz w:val="16"/>
                <w:szCs w:val="16"/>
              </w:rPr>
            </w:pPr>
            <w:r w:rsidRPr="007C770B">
              <w:rPr>
                <w:color w:val="000000"/>
                <w:sz w:val="16"/>
                <w:szCs w:val="16"/>
              </w:rPr>
              <w:t>-10.43 ±0.78</w:t>
            </w:r>
          </w:p>
        </w:tc>
        <w:tc>
          <w:tcPr>
            <w:tcW w:w="1109" w:type="dxa"/>
            <w:tcBorders>
              <w:top w:val="nil"/>
              <w:left w:val="nil"/>
              <w:right w:val="nil"/>
            </w:tcBorders>
            <w:shd w:val="clear" w:color="auto" w:fill="auto"/>
            <w:vAlign w:val="center"/>
          </w:tcPr>
          <w:p w14:paraId="0DBBA88B" w14:textId="77777777" w:rsidR="00722B14" w:rsidRPr="007C770B" w:rsidRDefault="00722B14" w:rsidP="00DD3BAE">
            <w:pPr>
              <w:spacing w:before="0" w:after="0"/>
              <w:jc w:val="center"/>
              <w:rPr>
                <w:color w:val="000000"/>
                <w:sz w:val="16"/>
                <w:szCs w:val="16"/>
              </w:rPr>
            </w:pPr>
            <w:r w:rsidRPr="007C770B">
              <w:rPr>
                <w:color w:val="000000"/>
                <w:sz w:val="16"/>
                <w:szCs w:val="16"/>
              </w:rPr>
              <w:t>1.18 ±1.39</w:t>
            </w:r>
          </w:p>
        </w:tc>
        <w:tc>
          <w:tcPr>
            <w:tcW w:w="797" w:type="dxa"/>
            <w:tcBorders>
              <w:top w:val="nil"/>
              <w:left w:val="nil"/>
              <w:right w:val="nil"/>
            </w:tcBorders>
            <w:shd w:val="clear" w:color="auto" w:fill="auto"/>
            <w:vAlign w:val="center"/>
          </w:tcPr>
          <w:p w14:paraId="733D88C7"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1AB5218C" w14:textId="77777777" w:rsidR="00722B14" w:rsidRDefault="00722B14" w:rsidP="00DD3BAE">
            <w:pPr>
              <w:spacing w:before="0" w:after="0"/>
              <w:jc w:val="center"/>
              <w:rPr>
                <w:i/>
                <w:color w:val="000000"/>
                <w:sz w:val="16"/>
                <w:szCs w:val="16"/>
              </w:rPr>
            </w:pPr>
          </w:p>
        </w:tc>
      </w:tr>
      <w:tr w:rsidR="00722B14" w14:paraId="2E0A2647" w14:textId="77777777" w:rsidTr="00DE79BD">
        <w:trPr>
          <w:cantSplit/>
          <w:trHeight w:val="227"/>
          <w:jc w:val="center"/>
        </w:trPr>
        <w:tc>
          <w:tcPr>
            <w:tcW w:w="1077" w:type="dxa"/>
            <w:tcBorders>
              <w:left w:val="nil"/>
              <w:right w:val="nil"/>
            </w:tcBorders>
            <w:shd w:val="clear" w:color="auto" w:fill="auto"/>
            <w:vAlign w:val="center"/>
          </w:tcPr>
          <w:p w14:paraId="487E3FBD"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2E601858"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3792A3EA"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0FA7077A"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15D68108" w14:textId="77777777" w:rsidR="00722B14" w:rsidRPr="004E768F" w:rsidRDefault="00722B14" w:rsidP="00DD3BAE">
            <w:pPr>
              <w:spacing w:before="0" w:after="0"/>
              <w:jc w:val="center"/>
              <w:rPr>
                <w:color w:val="000000"/>
                <w:sz w:val="16"/>
                <w:szCs w:val="16"/>
              </w:rPr>
            </w:pPr>
            <w:r w:rsidRPr="004E768F">
              <w:rPr>
                <w:color w:val="000000"/>
                <w:sz w:val="16"/>
                <w:szCs w:val="16"/>
              </w:rPr>
              <w:t>38.19</w:t>
            </w:r>
          </w:p>
        </w:tc>
        <w:tc>
          <w:tcPr>
            <w:tcW w:w="661" w:type="dxa"/>
            <w:tcBorders>
              <w:left w:val="nil"/>
              <w:bottom w:val="single" w:sz="4" w:space="0" w:color="auto"/>
              <w:right w:val="nil"/>
            </w:tcBorders>
            <w:shd w:val="clear" w:color="auto" w:fill="CCFFCC"/>
            <w:vAlign w:val="center"/>
          </w:tcPr>
          <w:p w14:paraId="6120BBBD" w14:textId="77777777" w:rsidR="00722B14" w:rsidRPr="004E768F" w:rsidRDefault="00722B14" w:rsidP="00DD3BAE">
            <w:pPr>
              <w:spacing w:before="0" w:after="0"/>
              <w:jc w:val="center"/>
              <w:rPr>
                <w:color w:val="000000"/>
                <w:sz w:val="16"/>
                <w:szCs w:val="16"/>
              </w:rPr>
            </w:pPr>
            <w:r>
              <w:rPr>
                <w:color w:val="000000"/>
                <w:sz w:val="16"/>
                <w:szCs w:val="16"/>
              </w:rPr>
              <w:t>18.55</w:t>
            </w:r>
          </w:p>
        </w:tc>
        <w:tc>
          <w:tcPr>
            <w:tcW w:w="1109" w:type="dxa"/>
            <w:tcBorders>
              <w:left w:val="nil"/>
              <w:bottom w:val="single" w:sz="4" w:space="0" w:color="auto"/>
              <w:right w:val="nil"/>
            </w:tcBorders>
            <w:shd w:val="clear" w:color="auto" w:fill="CCFFCC"/>
            <w:noWrap/>
            <w:vAlign w:val="center"/>
          </w:tcPr>
          <w:p w14:paraId="3FCF2577" w14:textId="77777777" w:rsidR="00722B14" w:rsidRPr="004E768F" w:rsidRDefault="00722B14" w:rsidP="00DD3BAE">
            <w:pPr>
              <w:spacing w:before="0" w:after="0"/>
              <w:jc w:val="center"/>
              <w:rPr>
                <w:color w:val="000000"/>
                <w:sz w:val="16"/>
                <w:szCs w:val="16"/>
              </w:rPr>
            </w:pPr>
            <w:r w:rsidRPr="004E768F">
              <w:rPr>
                <w:color w:val="000000"/>
                <w:sz w:val="16"/>
                <w:szCs w:val="16"/>
              </w:rPr>
              <w:t>-10.00 ±0.18</w:t>
            </w:r>
          </w:p>
        </w:tc>
        <w:tc>
          <w:tcPr>
            <w:tcW w:w="1109" w:type="dxa"/>
            <w:tcBorders>
              <w:left w:val="nil"/>
              <w:bottom w:val="single" w:sz="4" w:space="0" w:color="auto"/>
              <w:right w:val="nil"/>
            </w:tcBorders>
            <w:shd w:val="clear" w:color="auto" w:fill="auto"/>
            <w:vAlign w:val="center"/>
          </w:tcPr>
          <w:p w14:paraId="08DD1DFA" w14:textId="77777777" w:rsidR="00722B14" w:rsidRPr="004E768F" w:rsidRDefault="00722B14" w:rsidP="00DD3BAE">
            <w:pPr>
              <w:spacing w:before="0" w:after="0"/>
              <w:jc w:val="center"/>
              <w:rPr>
                <w:color w:val="000000"/>
                <w:sz w:val="16"/>
                <w:szCs w:val="16"/>
              </w:rPr>
            </w:pPr>
            <w:r w:rsidRPr="004E768F">
              <w:rPr>
                <w:color w:val="000000"/>
                <w:sz w:val="16"/>
                <w:szCs w:val="16"/>
              </w:rPr>
              <w:t>2.48 ±0.11</w:t>
            </w:r>
          </w:p>
        </w:tc>
        <w:tc>
          <w:tcPr>
            <w:tcW w:w="797" w:type="dxa"/>
            <w:tcBorders>
              <w:left w:val="nil"/>
              <w:bottom w:val="single" w:sz="4" w:space="0" w:color="auto"/>
              <w:right w:val="nil"/>
            </w:tcBorders>
            <w:shd w:val="clear" w:color="auto" w:fill="auto"/>
            <w:vAlign w:val="center"/>
          </w:tcPr>
          <w:p w14:paraId="25D3A7D5"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43DA7011" w14:textId="77777777" w:rsidR="00722B14" w:rsidRDefault="00722B14" w:rsidP="00DD3BAE">
            <w:pPr>
              <w:spacing w:before="0" w:after="0"/>
              <w:jc w:val="center"/>
              <w:rPr>
                <w:i/>
                <w:color w:val="000000"/>
                <w:sz w:val="16"/>
                <w:szCs w:val="16"/>
              </w:rPr>
            </w:pPr>
          </w:p>
        </w:tc>
      </w:tr>
      <w:tr w:rsidR="00722B14" w14:paraId="63CA3BC6" w14:textId="77777777" w:rsidTr="00DE79BD">
        <w:trPr>
          <w:cantSplit/>
          <w:trHeight w:val="227"/>
          <w:jc w:val="center"/>
        </w:trPr>
        <w:tc>
          <w:tcPr>
            <w:tcW w:w="1077" w:type="dxa"/>
            <w:vAlign w:val="center"/>
          </w:tcPr>
          <w:p w14:paraId="566B2D0F"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68AC8C49" w14:textId="77777777" w:rsidR="00722B14" w:rsidRDefault="00722B14" w:rsidP="00DD3BAE">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3E8EC5AE" w14:textId="77777777" w:rsidR="00722B14" w:rsidRDefault="00722B14" w:rsidP="00DD3BAE">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0642730A"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3E43FD68" w14:textId="77777777" w:rsidR="00722B14" w:rsidRDefault="00722B14" w:rsidP="00DD3BAE">
            <w:pPr>
              <w:spacing w:before="0" w:after="0"/>
              <w:jc w:val="center"/>
              <w:rPr>
                <w:color w:val="000000"/>
                <w:sz w:val="16"/>
                <w:szCs w:val="16"/>
              </w:rPr>
            </w:pPr>
            <w:r>
              <w:rPr>
                <w:color w:val="000000"/>
                <w:sz w:val="16"/>
                <w:szCs w:val="16"/>
              </w:rPr>
              <w:t>40.47</w:t>
            </w:r>
          </w:p>
        </w:tc>
        <w:tc>
          <w:tcPr>
            <w:tcW w:w="661" w:type="dxa"/>
            <w:tcBorders>
              <w:top w:val="single" w:sz="4" w:space="0" w:color="auto"/>
              <w:left w:val="nil"/>
              <w:bottom w:val="nil"/>
              <w:right w:val="nil"/>
            </w:tcBorders>
            <w:vAlign w:val="center"/>
            <w:hideMark/>
          </w:tcPr>
          <w:p w14:paraId="515D5027" w14:textId="77777777" w:rsidR="00722B14" w:rsidRDefault="00722B14" w:rsidP="00DD3BAE">
            <w:pPr>
              <w:spacing w:before="0" w:after="0"/>
              <w:jc w:val="center"/>
              <w:rPr>
                <w:color w:val="000000"/>
                <w:sz w:val="16"/>
                <w:szCs w:val="16"/>
              </w:rPr>
            </w:pPr>
            <w:r>
              <w:rPr>
                <w:color w:val="000000"/>
                <w:sz w:val="16"/>
                <w:szCs w:val="16"/>
              </w:rPr>
              <w:t>21.91</w:t>
            </w:r>
          </w:p>
        </w:tc>
        <w:tc>
          <w:tcPr>
            <w:tcW w:w="1109" w:type="dxa"/>
            <w:tcBorders>
              <w:top w:val="single" w:sz="4" w:space="0" w:color="auto"/>
              <w:left w:val="nil"/>
              <w:bottom w:val="nil"/>
              <w:right w:val="nil"/>
            </w:tcBorders>
            <w:shd w:val="clear" w:color="auto" w:fill="CCFFCC"/>
            <w:noWrap/>
            <w:vAlign w:val="center"/>
            <w:hideMark/>
          </w:tcPr>
          <w:p w14:paraId="03D8CC0D" w14:textId="77777777" w:rsidR="00722B14" w:rsidRDefault="00722B14" w:rsidP="00DD3BAE">
            <w:pPr>
              <w:spacing w:before="0" w:after="0"/>
              <w:jc w:val="center"/>
              <w:rPr>
                <w:color w:val="000000"/>
                <w:sz w:val="16"/>
                <w:szCs w:val="16"/>
              </w:rPr>
            </w:pPr>
            <w:r>
              <w:rPr>
                <w:color w:val="000000"/>
                <w:sz w:val="16"/>
                <w:szCs w:val="16"/>
              </w:rPr>
              <w:t>-9.07 ±0.02</w:t>
            </w:r>
          </w:p>
        </w:tc>
        <w:tc>
          <w:tcPr>
            <w:tcW w:w="1109" w:type="dxa"/>
            <w:tcBorders>
              <w:top w:val="single" w:sz="4" w:space="0" w:color="auto"/>
              <w:left w:val="nil"/>
              <w:bottom w:val="nil"/>
              <w:right w:val="nil"/>
            </w:tcBorders>
            <w:vAlign w:val="center"/>
            <w:hideMark/>
          </w:tcPr>
          <w:p w14:paraId="2F18C712" w14:textId="77777777" w:rsidR="00722B14" w:rsidRDefault="00722B14" w:rsidP="00DD3BAE">
            <w:pPr>
              <w:spacing w:before="0" w:after="0"/>
              <w:jc w:val="center"/>
              <w:rPr>
                <w:color w:val="000000"/>
                <w:sz w:val="16"/>
                <w:szCs w:val="16"/>
              </w:rPr>
            </w:pPr>
            <w:r>
              <w:rPr>
                <w:color w:val="000000"/>
                <w:sz w:val="16"/>
                <w:szCs w:val="16"/>
              </w:rPr>
              <w:t>1.54 ±0.60</w:t>
            </w:r>
          </w:p>
        </w:tc>
        <w:tc>
          <w:tcPr>
            <w:tcW w:w="797" w:type="dxa"/>
            <w:tcBorders>
              <w:top w:val="single" w:sz="4" w:space="0" w:color="auto"/>
              <w:left w:val="nil"/>
              <w:bottom w:val="nil"/>
              <w:right w:val="nil"/>
            </w:tcBorders>
            <w:vAlign w:val="center"/>
            <w:hideMark/>
          </w:tcPr>
          <w:p w14:paraId="6499C7CB" w14:textId="77777777" w:rsidR="00722B14" w:rsidRDefault="00722B14" w:rsidP="00DD3BAE">
            <w:pPr>
              <w:spacing w:before="0" w:after="0"/>
              <w:jc w:val="center"/>
              <w:rPr>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7A9290CF" w14:textId="77777777" w:rsidR="00722B14" w:rsidRDefault="00722B14" w:rsidP="00DD3BAE">
            <w:pPr>
              <w:spacing w:before="0" w:after="0"/>
              <w:jc w:val="center"/>
              <w:rPr>
                <w:color w:val="000000"/>
                <w:sz w:val="16"/>
                <w:szCs w:val="16"/>
              </w:rPr>
            </w:pPr>
            <w:r>
              <w:rPr>
                <w:color w:val="000000"/>
                <w:sz w:val="16"/>
                <w:szCs w:val="16"/>
              </w:rPr>
              <w:t>-10.7 (-12.4 to -8.0)</w:t>
            </w:r>
          </w:p>
        </w:tc>
      </w:tr>
      <w:tr w:rsidR="00722B14" w14:paraId="189A43AA" w14:textId="77777777" w:rsidTr="00DE79BD">
        <w:trPr>
          <w:cantSplit/>
          <w:trHeight w:val="227"/>
          <w:jc w:val="center"/>
        </w:trPr>
        <w:tc>
          <w:tcPr>
            <w:tcW w:w="1077" w:type="dxa"/>
            <w:vAlign w:val="center"/>
          </w:tcPr>
          <w:p w14:paraId="60640E64" w14:textId="77777777" w:rsidR="00722B14" w:rsidRDefault="00722B14" w:rsidP="00DD3BAE">
            <w:pPr>
              <w:spacing w:before="0" w:after="0"/>
              <w:jc w:val="center"/>
              <w:rPr>
                <w:color w:val="000000"/>
                <w:sz w:val="16"/>
                <w:szCs w:val="16"/>
              </w:rPr>
            </w:pPr>
          </w:p>
        </w:tc>
        <w:tc>
          <w:tcPr>
            <w:tcW w:w="1115" w:type="dxa"/>
            <w:noWrap/>
            <w:vAlign w:val="center"/>
            <w:hideMark/>
          </w:tcPr>
          <w:p w14:paraId="79890F01"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tcBorders>
              <w:top w:val="nil"/>
              <w:left w:val="nil"/>
              <w:right w:val="nil"/>
            </w:tcBorders>
            <w:noWrap/>
            <w:vAlign w:val="center"/>
          </w:tcPr>
          <w:p w14:paraId="1A11A329"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31AD10DF"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nil"/>
              <w:left w:val="nil"/>
              <w:right w:val="nil"/>
            </w:tcBorders>
            <w:vAlign w:val="center"/>
            <w:hideMark/>
          </w:tcPr>
          <w:p w14:paraId="576CFE99" w14:textId="77777777" w:rsidR="00722B14" w:rsidRDefault="00722B14" w:rsidP="00DD3BAE">
            <w:pPr>
              <w:spacing w:before="0" w:after="0"/>
              <w:jc w:val="center"/>
              <w:rPr>
                <w:color w:val="000000"/>
                <w:sz w:val="16"/>
                <w:szCs w:val="16"/>
              </w:rPr>
            </w:pPr>
            <w:r>
              <w:rPr>
                <w:color w:val="000000"/>
                <w:sz w:val="16"/>
                <w:szCs w:val="16"/>
              </w:rPr>
              <w:t>40.71</w:t>
            </w:r>
          </w:p>
        </w:tc>
        <w:tc>
          <w:tcPr>
            <w:tcW w:w="661" w:type="dxa"/>
            <w:tcBorders>
              <w:top w:val="nil"/>
              <w:left w:val="nil"/>
              <w:right w:val="nil"/>
            </w:tcBorders>
            <w:shd w:val="clear" w:color="auto" w:fill="CCFFCC"/>
            <w:vAlign w:val="center"/>
            <w:hideMark/>
          </w:tcPr>
          <w:p w14:paraId="0B700748" w14:textId="77777777" w:rsidR="00722B14" w:rsidRDefault="00722B14" w:rsidP="00DD3BAE">
            <w:pPr>
              <w:spacing w:before="0" w:after="0"/>
              <w:jc w:val="center"/>
              <w:rPr>
                <w:color w:val="000000"/>
                <w:sz w:val="16"/>
                <w:szCs w:val="16"/>
              </w:rPr>
            </w:pPr>
            <w:r>
              <w:rPr>
                <w:color w:val="000000"/>
                <w:sz w:val="16"/>
                <w:szCs w:val="16"/>
              </w:rPr>
              <w:t>19.46</w:t>
            </w:r>
          </w:p>
        </w:tc>
        <w:tc>
          <w:tcPr>
            <w:tcW w:w="1109" w:type="dxa"/>
            <w:tcBorders>
              <w:top w:val="nil"/>
              <w:left w:val="nil"/>
              <w:right w:val="nil"/>
            </w:tcBorders>
            <w:shd w:val="clear" w:color="auto" w:fill="CCFFCC"/>
            <w:noWrap/>
            <w:vAlign w:val="center"/>
            <w:hideMark/>
          </w:tcPr>
          <w:p w14:paraId="63D40482" w14:textId="77777777" w:rsidR="00722B14" w:rsidRDefault="00722B14" w:rsidP="00DD3BAE">
            <w:pPr>
              <w:spacing w:before="0" w:after="0"/>
              <w:jc w:val="center"/>
              <w:rPr>
                <w:color w:val="000000"/>
                <w:sz w:val="16"/>
                <w:szCs w:val="16"/>
              </w:rPr>
            </w:pPr>
            <w:r>
              <w:rPr>
                <w:color w:val="000000"/>
                <w:sz w:val="16"/>
                <w:szCs w:val="16"/>
              </w:rPr>
              <w:t>-10.00 ±0.09</w:t>
            </w:r>
          </w:p>
        </w:tc>
        <w:tc>
          <w:tcPr>
            <w:tcW w:w="1109" w:type="dxa"/>
            <w:tcBorders>
              <w:top w:val="nil"/>
              <w:left w:val="nil"/>
              <w:right w:val="nil"/>
            </w:tcBorders>
            <w:vAlign w:val="center"/>
            <w:hideMark/>
          </w:tcPr>
          <w:p w14:paraId="57BDE7A3" w14:textId="77777777" w:rsidR="00722B14" w:rsidRDefault="00722B14" w:rsidP="00DD3BAE">
            <w:pPr>
              <w:spacing w:before="0" w:after="0"/>
              <w:jc w:val="center"/>
              <w:rPr>
                <w:color w:val="000000"/>
                <w:sz w:val="16"/>
                <w:szCs w:val="16"/>
              </w:rPr>
            </w:pPr>
            <w:r>
              <w:rPr>
                <w:color w:val="000000"/>
                <w:sz w:val="16"/>
                <w:szCs w:val="16"/>
              </w:rPr>
              <w:t>2.06 ±0.04</w:t>
            </w:r>
          </w:p>
        </w:tc>
        <w:tc>
          <w:tcPr>
            <w:tcW w:w="797" w:type="dxa"/>
            <w:tcBorders>
              <w:top w:val="nil"/>
              <w:left w:val="nil"/>
              <w:right w:val="nil"/>
            </w:tcBorders>
            <w:vAlign w:val="center"/>
          </w:tcPr>
          <w:p w14:paraId="2B6C2E16"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7030BB9C" w14:textId="77777777" w:rsidR="00722B14" w:rsidRDefault="00722B14" w:rsidP="00DD3BAE">
            <w:pPr>
              <w:spacing w:before="0" w:after="0"/>
              <w:jc w:val="center"/>
              <w:rPr>
                <w:i/>
                <w:color w:val="000000"/>
                <w:sz w:val="16"/>
                <w:szCs w:val="16"/>
              </w:rPr>
            </w:pPr>
          </w:p>
        </w:tc>
      </w:tr>
      <w:tr w:rsidR="00722B14" w14:paraId="6C7760C3" w14:textId="77777777" w:rsidTr="00DE79BD">
        <w:trPr>
          <w:cantSplit/>
          <w:trHeight w:val="227"/>
          <w:jc w:val="center"/>
        </w:trPr>
        <w:tc>
          <w:tcPr>
            <w:tcW w:w="1077" w:type="dxa"/>
            <w:tcBorders>
              <w:top w:val="nil"/>
              <w:left w:val="nil"/>
              <w:bottom w:val="nil"/>
              <w:right w:val="nil"/>
            </w:tcBorders>
            <w:shd w:val="clear" w:color="auto" w:fill="auto"/>
            <w:vAlign w:val="center"/>
          </w:tcPr>
          <w:p w14:paraId="71228B20"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55403792"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1BA0BA14"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000F432C"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CCFFCC"/>
            <w:vAlign w:val="center"/>
          </w:tcPr>
          <w:p w14:paraId="6490A169" w14:textId="77777777" w:rsidR="00722B14" w:rsidRPr="007C770B" w:rsidRDefault="00722B14" w:rsidP="00DD3BAE">
            <w:pPr>
              <w:spacing w:before="0" w:after="0"/>
              <w:jc w:val="center"/>
              <w:rPr>
                <w:color w:val="000000"/>
                <w:sz w:val="16"/>
                <w:szCs w:val="16"/>
              </w:rPr>
            </w:pPr>
            <w:r w:rsidRPr="007C770B">
              <w:rPr>
                <w:color w:val="000000"/>
                <w:sz w:val="16"/>
                <w:szCs w:val="16"/>
              </w:rPr>
              <w:t>40.17</w:t>
            </w:r>
          </w:p>
        </w:tc>
        <w:tc>
          <w:tcPr>
            <w:tcW w:w="661" w:type="dxa"/>
            <w:tcBorders>
              <w:top w:val="nil"/>
              <w:left w:val="nil"/>
              <w:bottom w:val="nil"/>
              <w:right w:val="nil"/>
            </w:tcBorders>
            <w:shd w:val="clear" w:color="auto" w:fill="auto"/>
            <w:vAlign w:val="center"/>
          </w:tcPr>
          <w:p w14:paraId="1B8D1C5B" w14:textId="77777777" w:rsidR="00722B14" w:rsidRPr="007C770B" w:rsidRDefault="00722B14" w:rsidP="00DD3BAE">
            <w:pPr>
              <w:spacing w:before="0" w:after="0"/>
              <w:jc w:val="center"/>
              <w:rPr>
                <w:color w:val="000000"/>
                <w:sz w:val="16"/>
                <w:szCs w:val="16"/>
              </w:rPr>
            </w:pPr>
            <w:r w:rsidRPr="007C770B">
              <w:rPr>
                <w:color w:val="000000"/>
                <w:sz w:val="16"/>
                <w:szCs w:val="16"/>
              </w:rPr>
              <w:t>20.11</w:t>
            </w:r>
          </w:p>
        </w:tc>
        <w:tc>
          <w:tcPr>
            <w:tcW w:w="1109" w:type="dxa"/>
            <w:tcBorders>
              <w:top w:val="nil"/>
              <w:left w:val="nil"/>
              <w:bottom w:val="nil"/>
              <w:right w:val="nil"/>
            </w:tcBorders>
            <w:shd w:val="clear" w:color="auto" w:fill="CCFFCC"/>
            <w:noWrap/>
            <w:vAlign w:val="center"/>
          </w:tcPr>
          <w:p w14:paraId="0F857CB1" w14:textId="77777777" w:rsidR="00722B14" w:rsidRPr="007C770B" w:rsidRDefault="00722B14" w:rsidP="00DD3BAE">
            <w:pPr>
              <w:spacing w:before="0" w:after="0"/>
              <w:jc w:val="center"/>
              <w:rPr>
                <w:color w:val="000000"/>
                <w:sz w:val="16"/>
                <w:szCs w:val="16"/>
              </w:rPr>
            </w:pPr>
            <w:r w:rsidRPr="007C770B">
              <w:rPr>
                <w:color w:val="000000"/>
                <w:sz w:val="16"/>
                <w:szCs w:val="16"/>
              </w:rPr>
              <w:t>-8.99 ±0.09</w:t>
            </w:r>
          </w:p>
        </w:tc>
        <w:tc>
          <w:tcPr>
            <w:tcW w:w="1109" w:type="dxa"/>
            <w:tcBorders>
              <w:top w:val="nil"/>
              <w:left w:val="nil"/>
              <w:bottom w:val="nil"/>
              <w:right w:val="nil"/>
            </w:tcBorders>
            <w:shd w:val="clear" w:color="auto" w:fill="auto"/>
            <w:vAlign w:val="center"/>
          </w:tcPr>
          <w:p w14:paraId="0F0D5D88" w14:textId="77777777" w:rsidR="00722B14" w:rsidRPr="007C770B" w:rsidRDefault="00722B14" w:rsidP="00DD3BAE">
            <w:pPr>
              <w:spacing w:before="0" w:after="0"/>
              <w:jc w:val="center"/>
              <w:rPr>
                <w:color w:val="000000"/>
                <w:sz w:val="16"/>
                <w:szCs w:val="16"/>
              </w:rPr>
            </w:pPr>
            <w:r w:rsidRPr="007C770B">
              <w:rPr>
                <w:color w:val="000000"/>
                <w:sz w:val="16"/>
                <w:szCs w:val="16"/>
              </w:rPr>
              <w:t>1.59 ±0.4</w:t>
            </w:r>
          </w:p>
        </w:tc>
        <w:tc>
          <w:tcPr>
            <w:tcW w:w="797" w:type="dxa"/>
            <w:tcBorders>
              <w:top w:val="nil"/>
              <w:left w:val="nil"/>
              <w:bottom w:val="nil"/>
              <w:right w:val="nil"/>
            </w:tcBorders>
            <w:shd w:val="clear" w:color="auto" w:fill="auto"/>
            <w:vAlign w:val="center"/>
          </w:tcPr>
          <w:p w14:paraId="0EC9EBF9"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736E6075" w14:textId="77777777" w:rsidR="00722B14" w:rsidRDefault="00722B14" w:rsidP="00DD3BAE">
            <w:pPr>
              <w:spacing w:before="0" w:after="0"/>
              <w:jc w:val="center"/>
              <w:rPr>
                <w:i/>
                <w:color w:val="000000"/>
                <w:sz w:val="16"/>
                <w:szCs w:val="16"/>
              </w:rPr>
            </w:pPr>
          </w:p>
        </w:tc>
      </w:tr>
      <w:tr w:rsidR="00722B14" w14:paraId="56220E5C" w14:textId="77777777" w:rsidTr="00DE79BD">
        <w:trPr>
          <w:cantSplit/>
          <w:trHeight w:val="227"/>
          <w:jc w:val="center"/>
        </w:trPr>
        <w:tc>
          <w:tcPr>
            <w:tcW w:w="1077" w:type="dxa"/>
            <w:tcBorders>
              <w:top w:val="nil"/>
              <w:left w:val="nil"/>
              <w:bottom w:val="nil"/>
              <w:right w:val="nil"/>
            </w:tcBorders>
            <w:shd w:val="clear" w:color="auto" w:fill="auto"/>
            <w:vAlign w:val="center"/>
          </w:tcPr>
          <w:p w14:paraId="3AC80736"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26C96B86"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182EC368"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550B2A72"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nil"/>
              <w:left w:val="nil"/>
              <w:bottom w:val="nil"/>
              <w:right w:val="nil"/>
            </w:tcBorders>
            <w:shd w:val="clear" w:color="auto" w:fill="auto"/>
            <w:vAlign w:val="center"/>
          </w:tcPr>
          <w:p w14:paraId="28684410" w14:textId="77777777" w:rsidR="00722B14" w:rsidRPr="00DF752C" w:rsidRDefault="00722B14" w:rsidP="00DD3BAE">
            <w:pPr>
              <w:spacing w:before="0" w:after="0"/>
              <w:jc w:val="center"/>
              <w:rPr>
                <w:color w:val="000000"/>
                <w:sz w:val="16"/>
                <w:szCs w:val="16"/>
              </w:rPr>
            </w:pPr>
            <w:r w:rsidRPr="00DF752C">
              <w:rPr>
                <w:color w:val="000000"/>
                <w:sz w:val="16"/>
                <w:szCs w:val="16"/>
              </w:rPr>
              <w:t>41.44</w:t>
            </w:r>
          </w:p>
        </w:tc>
        <w:tc>
          <w:tcPr>
            <w:tcW w:w="661" w:type="dxa"/>
            <w:tcBorders>
              <w:top w:val="nil"/>
              <w:left w:val="nil"/>
              <w:bottom w:val="nil"/>
              <w:right w:val="nil"/>
            </w:tcBorders>
            <w:shd w:val="clear" w:color="auto" w:fill="auto"/>
            <w:vAlign w:val="center"/>
          </w:tcPr>
          <w:p w14:paraId="4307DBD3" w14:textId="77777777" w:rsidR="00722B14" w:rsidRPr="00DF752C" w:rsidRDefault="00722B14" w:rsidP="00DD3BAE">
            <w:pPr>
              <w:spacing w:before="0" w:after="0"/>
              <w:jc w:val="center"/>
              <w:rPr>
                <w:color w:val="000000"/>
                <w:sz w:val="16"/>
                <w:szCs w:val="16"/>
              </w:rPr>
            </w:pPr>
            <w:r>
              <w:rPr>
                <w:color w:val="000000"/>
                <w:sz w:val="16"/>
                <w:szCs w:val="16"/>
              </w:rPr>
              <w:t>22.27</w:t>
            </w:r>
          </w:p>
        </w:tc>
        <w:tc>
          <w:tcPr>
            <w:tcW w:w="1109" w:type="dxa"/>
            <w:tcBorders>
              <w:top w:val="nil"/>
              <w:left w:val="nil"/>
              <w:bottom w:val="nil"/>
              <w:right w:val="nil"/>
            </w:tcBorders>
            <w:shd w:val="clear" w:color="auto" w:fill="CCFFCC"/>
            <w:noWrap/>
            <w:vAlign w:val="center"/>
          </w:tcPr>
          <w:p w14:paraId="1F890878" w14:textId="77777777" w:rsidR="00722B14" w:rsidRPr="00DF752C" w:rsidRDefault="00722B14" w:rsidP="00DD3BAE">
            <w:pPr>
              <w:spacing w:before="0" w:after="0"/>
              <w:jc w:val="center"/>
              <w:rPr>
                <w:color w:val="000000"/>
                <w:sz w:val="16"/>
                <w:szCs w:val="16"/>
              </w:rPr>
            </w:pPr>
            <w:r w:rsidRPr="00DF752C">
              <w:rPr>
                <w:color w:val="000000"/>
                <w:sz w:val="16"/>
                <w:szCs w:val="16"/>
              </w:rPr>
              <w:t>-10.06 ±0.08</w:t>
            </w:r>
          </w:p>
        </w:tc>
        <w:tc>
          <w:tcPr>
            <w:tcW w:w="1109" w:type="dxa"/>
            <w:tcBorders>
              <w:top w:val="nil"/>
              <w:left w:val="nil"/>
              <w:bottom w:val="nil"/>
              <w:right w:val="nil"/>
            </w:tcBorders>
            <w:shd w:val="clear" w:color="auto" w:fill="auto"/>
            <w:vAlign w:val="center"/>
          </w:tcPr>
          <w:p w14:paraId="67169CC3" w14:textId="77777777" w:rsidR="00722B14" w:rsidRPr="00DF752C" w:rsidRDefault="00722B14" w:rsidP="00DD3BAE">
            <w:pPr>
              <w:spacing w:before="0" w:after="0"/>
              <w:jc w:val="center"/>
              <w:rPr>
                <w:color w:val="000000"/>
                <w:sz w:val="16"/>
                <w:szCs w:val="16"/>
              </w:rPr>
            </w:pPr>
            <w:r w:rsidRPr="00DF752C">
              <w:rPr>
                <w:color w:val="000000"/>
                <w:sz w:val="16"/>
                <w:szCs w:val="16"/>
              </w:rPr>
              <w:t>2.00 ±0.10</w:t>
            </w:r>
          </w:p>
        </w:tc>
        <w:tc>
          <w:tcPr>
            <w:tcW w:w="797" w:type="dxa"/>
            <w:tcBorders>
              <w:top w:val="nil"/>
              <w:left w:val="nil"/>
              <w:bottom w:val="nil"/>
              <w:right w:val="nil"/>
            </w:tcBorders>
            <w:shd w:val="clear" w:color="auto" w:fill="auto"/>
            <w:vAlign w:val="center"/>
          </w:tcPr>
          <w:p w14:paraId="6988D561"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416EE3B3" w14:textId="77777777" w:rsidR="00722B14" w:rsidRDefault="00722B14" w:rsidP="00DD3BAE">
            <w:pPr>
              <w:spacing w:before="0" w:after="0"/>
              <w:jc w:val="center"/>
              <w:rPr>
                <w:i/>
                <w:color w:val="000000"/>
                <w:sz w:val="16"/>
                <w:szCs w:val="16"/>
              </w:rPr>
            </w:pPr>
          </w:p>
        </w:tc>
      </w:tr>
      <w:tr w:rsidR="00722B14" w14:paraId="10154132" w14:textId="77777777" w:rsidTr="00DE79BD">
        <w:trPr>
          <w:cantSplit/>
          <w:trHeight w:val="227"/>
          <w:jc w:val="center"/>
        </w:trPr>
        <w:tc>
          <w:tcPr>
            <w:tcW w:w="1077" w:type="dxa"/>
            <w:vAlign w:val="center"/>
          </w:tcPr>
          <w:p w14:paraId="738DD26F" w14:textId="77777777" w:rsidR="00722B14" w:rsidRDefault="00722B14" w:rsidP="00DD3BAE">
            <w:pPr>
              <w:spacing w:before="0" w:after="0"/>
              <w:jc w:val="center"/>
              <w:rPr>
                <w:color w:val="000000"/>
                <w:sz w:val="16"/>
                <w:szCs w:val="16"/>
              </w:rPr>
            </w:pPr>
          </w:p>
        </w:tc>
        <w:tc>
          <w:tcPr>
            <w:tcW w:w="1115" w:type="dxa"/>
            <w:noWrap/>
            <w:vAlign w:val="center"/>
          </w:tcPr>
          <w:p w14:paraId="22CEE58F"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14:paraId="764974E4" w14:textId="77777777" w:rsidR="00722B14" w:rsidRDefault="00722B14" w:rsidP="00DD3BAE">
            <w:pPr>
              <w:spacing w:before="0" w:after="0"/>
              <w:jc w:val="center"/>
              <w:rPr>
                <w:color w:val="000000"/>
                <w:sz w:val="16"/>
                <w:szCs w:val="16"/>
              </w:rPr>
            </w:pPr>
            <w:r>
              <w:rPr>
                <w:color w:val="000000"/>
                <w:sz w:val="16"/>
                <w:szCs w:val="16"/>
              </w:rPr>
              <w:t>HO</w:t>
            </w:r>
          </w:p>
        </w:tc>
        <w:tc>
          <w:tcPr>
            <w:tcW w:w="621" w:type="dxa"/>
            <w:tcBorders>
              <w:top w:val="single" w:sz="4" w:space="0" w:color="auto"/>
              <w:left w:val="nil"/>
              <w:bottom w:val="single" w:sz="4" w:space="0" w:color="auto"/>
              <w:right w:val="nil"/>
            </w:tcBorders>
            <w:vAlign w:val="center"/>
            <w:hideMark/>
          </w:tcPr>
          <w:p w14:paraId="7B1635C7"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single" w:sz="4" w:space="0" w:color="auto"/>
              <w:right w:val="nil"/>
            </w:tcBorders>
            <w:vAlign w:val="center"/>
            <w:hideMark/>
          </w:tcPr>
          <w:p w14:paraId="1E1A0350" w14:textId="77777777" w:rsidR="00722B14" w:rsidRDefault="00722B14" w:rsidP="00DD3BAE">
            <w:pPr>
              <w:spacing w:before="0" w:after="0"/>
              <w:jc w:val="center"/>
              <w:rPr>
                <w:color w:val="000000"/>
                <w:sz w:val="16"/>
                <w:szCs w:val="16"/>
              </w:rPr>
            </w:pPr>
            <w:r>
              <w:rPr>
                <w:color w:val="000000"/>
                <w:sz w:val="16"/>
                <w:szCs w:val="16"/>
              </w:rPr>
              <w:t>39.50</w:t>
            </w:r>
          </w:p>
        </w:tc>
        <w:tc>
          <w:tcPr>
            <w:tcW w:w="661" w:type="dxa"/>
            <w:tcBorders>
              <w:top w:val="single" w:sz="4" w:space="0" w:color="auto"/>
              <w:left w:val="nil"/>
              <w:bottom w:val="single" w:sz="4" w:space="0" w:color="auto"/>
              <w:right w:val="nil"/>
            </w:tcBorders>
            <w:shd w:val="clear" w:color="auto" w:fill="CCFFCC"/>
            <w:vAlign w:val="center"/>
            <w:hideMark/>
          </w:tcPr>
          <w:p w14:paraId="66FDDCD1" w14:textId="77777777" w:rsidR="00722B14" w:rsidRDefault="00722B14" w:rsidP="00DD3BAE">
            <w:pPr>
              <w:spacing w:before="0" w:after="0"/>
              <w:jc w:val="center"/>
              <w:rPr>
                <w:color w:val="000000"/>
                <w:sz w:val="16"/>
                <w:szCs w:val="16"/>
              </w:rPr>
            </w:pPr>
            <w:r>
              <w:rPr>
                <w:color w:val="000000"/>
                <w:sz w:val="16"/>
                <w:szCs w:val="16"/>
              </w:rPr>
              <w:t>13.44</w:t>
            </w:r>
          </w:p>
        </w:tc>
        <w:tc>
          <w:tcPr>
            <w:tcW w:w="1109" w:type="dxa"/>
            <w:tcBorders>
              <w:top w:val="single" w:sz="4" w:space="0" w:color="auto"/>
              <w:left w:val="nil"/>
              <w:bottom w:val="single" w:sz="4" w:space="0" w:color="auto"/>
              <w:right w:val="nil"/>
            </w:tcBorders>
            <w:noWrap/>
            <w:vAlign w:val="center"/>
            <w:hideMark/>
          </w:tcPr>
          <w:p w14:paraId="340D2614" w14:textId="77777777" w:rsidR="00722B14" w:rsidRDefault="00722B14" w:rsidP="00DD3BAE">
            <w:pPr>
              <w:spacing w:before="0" w:after="0"/>
              <w:jc w:val="center"/>
              <w:rPr>
                <w:color w:val="000000"/>
                <w:sz w:val="16"/>
                <w:szCs w:val="16"/>
              </w:rPr>
            </w:pPr>
            <w:r>
              <w:rPr>
                <w:color w:val="000000"/>
                <w:sz w:val="16"/>
                <w:szCs w:val="16"/>
              </w:rPr>
              <w:t>-10.79</w:t>
            </w:r>
          </w:p>
        </w:tc>
        <w:tc>
          <w:tcPr>
            <w:tcW w:w="1109" w:type="dxa"/>
            <w:tcBorders>
              <w:top w:val="single" w:sz="4" w:space="0" w:color="auto"/>
              <w:left w:val="nil"/>
              <w:bottom w:val="single" w:sz="4" w:space="0" w:color="auto"/>
              <w:right w:val="nil"/>
            </w:tcBorders>
            <w:vAlign w:val="center"/>
            <w:hideMark/>
          </w:tcPr>
          <w:p w14:paraId="777A932C" w14:textId="77777777" w:rsidR="00722B14" w:rsidRDefault="00722B14" w:rsidP="00DD3BAE">
            <w:pPr>
              <w:spacing w:before="0" w:after="0"/>
              <w:jc w:val="center"/>
              <w:rPr>
                <w:color w:val="000000"/>
                <w:sz w:val="16"/>
                <w:szCs w:val="16"/>
              </w:rPr>
            </w:pPr>
            <w:r>
              <w:rPr>
                <w:color w:val="000000"/>
                <w:sz w:val="16"/>
                <w:szCs w:val="16"/>
              </w:rPr>
              <w:t>1.88</w:t>
            </w:r>
          </w:p>
        </w:tc>
        <w:tc>
          <w:tcPr>
            <w:tcW w:w="797" w:type="dxa"/>
            <w:tcBorders>
              <w:top w:val="single" w:sz="4" w:space="0" w:color="auto"/>
              <w:left w:val="nil"/>
              <w:bottom w:val="single" w:sz="4" w:space="0" w:color="auto"/>
              <w:right w:val="nil"/>
            </w:tcBorders>
            <w:vAlign w:val="center"/>
            <w:hideMark/>
          </w:tcPr>
          <w:p w14:paraId="346CEAE2" w14:textId="77777777" w:rsidR="00722B14" w:rsidRDefault="00722B14" w:rsidP="00DD3BAE">
            <w:pPr>
              <w:spacing w:before="0" w:after="0"/>
              <w:jc w:val="center"/>
              <w:rPr>
                <w:i/>
                <w:color w:val="000000"/>
                <w:sz w:val="16"/>
                <w:szCs w:val="16"/>
              </w:rPr>
            </w:pPr>
            <w:r>
              <w:rPr>
                <w:i/>
                <w:color w:val="000000"/>
                <w:sz w:val="16"/>
                <w:szCs w:val="16"/>
              </w:rPr>
              <w:t>30.5</w:t>
            </w:r>
          </w:p>
        </w:tc>
        <w:tc>
          <w:tcPr>
            <w:tcW w:w="1557" w:type="dxa"/>
            <w:tcBorders>
              <w:top w:val="single" w:sz="4" w:space="0" w:color="auto"/>
              <w:left w:val="nil"/>
              <w:bottom w:val="single" w:sz="4" w:space="0" w:color="auto"/>
              <w:right w:val="nil"/>
            </w:tcBorders>
            <w:noWrap/>
            <w:vAlign w:val="center"/>
            <w:hideMark/>
          </w:tcPr>
          <w:p w14:paraId="517BA928" w14:textId="77777777" w:rsidR="00722B14" w:rsidRDefault="00722B14" w:rsidP="00DD3BAE">
            <w:pPr>
              <w:spacing w:before="0" w:after="0"/>
              <w:jc w:val="center"/>
              <w:rPr>
                <w:i/>
                <w:color w:val="000000"/>
                <w:sz w:val="16"/>
                <w:szCs w:val="16"/>
              </w:rPr>
            </w:pPr>
            <w:r>
              <w:rPr>
                <w:i/>
                <w:color w:val="000000"/>
                <w:sz w:val="16"/>
                <w:szCs w:val="16"/>
              </w:rPr>
              <w:t>-10 (-15.5 to -6.4)</w:t>
            </w:r>
          </w:p>
        </w:tc>
      </w:tr>
      <w:tr w:rsidR="00722B14" w14:paraId="0EA04293" w14:textId="77777777" w:rsidTr="00DE79BD">
        <w:trPr>
          <w:cantSplit/>
          <w:trHeight w:val="227"/>
          <w:jc w:val="center"/>
        </w:trPr>
        <w:tc>
          <w:tcPr>
            <w:tcW w:w="1077" w:type="dxa"/>
            <w:vAlign w:val="center"/>
          </w:tcPr>
          <w:p w14:paraId="1A72D097" w14:textId="77777777" w:rsidR="00722B14" w:rsidRDefault="00722B14" w:rsidP="00DD3BAE">
            <w:pPr>
              <w:spacing w:before="0" w:after="0"/>
              <w:jc w:val="center"/>
              <w:rPr>
                <w:color w:val="000000"/>
                <w:sz w:val="16"/>
                <w:szCs w:val="16"/>
              </w:rPr>
            </w:pPr>
          </w:p>
        </w:tc>
        <w:tc>
          <w:tcPr>
            <w:tcW w:w="1115" w:type="dxa"/>
            <w:noWrap/>
            <w:vAlign w:val="center"/>
          </w:tcPr>
          <w:p w14:paraId="41B8F7E3"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700AA0CB"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62C78A13"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1C08DE56" w14:textId="77777777" w:rsidR="00722B14" w:rsidRDefault="00722B14" w:rsidP="00DD3BAE">
            <w:pPr>
              <w:spacing w:before="0" w:after="0"/>
              <w:jc w:val="center"/>
              <w:rPr>
                <w:color w:val="000000"/>
                <w:sz w:val="16"/>
                <w:szCs w:val="16"/>
              </w:rPr>
            </w:pPr>
            <w:r>
              <w:rPr>
                <w:color w:val="000000"/>
                <w:sz w:val="16"/>
                <w:szCs w:val="16"/>
              </w:rPr>
              <w:t>44.57</w:t>
            </w:r>
          </w:p>
        </w:tc>
        <w:tc>
          <w:tcPr>
            <w:tcW w:w="661" w:type="dxa"/>
            <w:tcBorders>
              <w:top w:val="single" w:sz="4" w:space="0" w:color="auto"/>
              <w:left w:val="nil"/>
              <w:bottom w:val="nil"/>
              <w:right w:val="nil"/>
            </w:tcBorders>
            <w:shd w:val="clear" w:color="auto" w:fill="CCFFCC"/>
            <w:vAlign w:val="center"/>
            <w:hideMark/>
          </w:tcPr>
          <w:p w14:paraId="1B463E25" w14:textId="77777777" w:rsidR="00722B14" w:rsidRDefault="00722B14" w:rsidP="00DD3BAE">
            <w:pPr>
              <w:spacing w:before="0" w:after="0"/>
              <w:jc w:val="center"/>
              <w:rPr>
                <w:color w:val="000000"/>
                <w:sz w:val="16"/>
                <w:szCs w:val="16"/>
              </w:rPr>
            </w:pPr>
            <w:r>
              <w:rPr>
                <w:color w:val="000000"/>
                <w:sz w:val="16"/>
                <w:szCs w:val="16"/>
              </w:rPr>
              <w:t>12.62</w:t>
            </w:r>
          </w:p>
        </w:tc>
        <w:tc>
          <w:tcPr>
            <w:tcW w:w="1109" w:type="dxa"/>
            <w:tcBorders>
              <w:top w:val="single" w:sz="4" w:space="0" w:color="auto"/>
              <w:left w:val="nil"/>
              <w:bottom w:val="nil"/>
              <w:right w:val="nil"/>
            </w:tcBorders>
            <w:shd w:val="clear" w:color="auto" w:fill="CCFFCC"/>
            <w:noWrap/>
            <w:vAlign w:val="center"/>
            <w:hideMark/>
          </w:tcPr>
          <w:p w14:paraId="70CACE0E" w14:textId="77777777" w:rsidR="00722B14" w:rsidRDefault="00722B14" w:rsidP="00DD3BAE">
            <w:pPr>
              <w:spacing w:before="0" w:after="0"/>
              <w:jc w:val="center"/>
              <w:rPr>
                <w:color w:val="000000"/>
                <w:sz w:val="16"/>
                <w:szCs w:val="16"/>
              </w:rPr>
            </w:pPr>
            <w:r>
              <w:rPr>
                <w:color w:val="000000"/>
                <w:sz w:val="16"/>
                <w:szCs w:val="16"/>
              </w:rPr>
              <w:t>-9.84 ±0.18</w:t>
            </w:r>
          </w:p>
        </w:tc>
        <w:tc>
          <w:tcPr>
            <w:tcW w:w="1109" w:type="dxa"/>
            <w:tcBorders>
              <w:top w:val="single" w:sz="4" w:space="0" w:color="auto"/>
              <w:left w:val="nil"/>
              <w:bottom w:val="nil"/>
              <w:right w:val="nil"/>
            </w:tcBorders>
            <w:vAlign w:val="center"/>
            <w:hideMark/>
          </w:tcPr>
          <w:p w14:paraId="2F4FED44" w14:textId="77777777" w:rsidR="00722B14" w:rsidRDefault="00722B14" w:rsidP="00DD3BAE">
            <w:pPr>
              <w:spacing w:before="0" w:after="0"/>
              <w:jc w:val="center"/>
              <w:rPr>
                <w:color w:val="000000"/>
                <w:sz w:val="16"/>
                <w:szCs w:val="16"/>
              </w:rPr>
            </w:pPr>
            <w:r>
              <w:rPr>
                <w:color w:val="000000"/>
                <w:sz w:val="16"/>
                <w:szCs w:val="16"/>
              </w:rPr>
              <w:t>0.96 ±0.04</w:t>
            </w:r>
          </w:p>
        </w:tc>
        <w:tc>
          <w:tcPr>
            <w:tcW w:w="797" w:type="dxa"/>
            <w:tcBorders>
              <w:top w:val="single" w:sz="4" w:space="0" w:color="auto"/>
              <w:left w:val="nil"/>
              <w:bottom w:val="nil"/>
              <w:right w:val="nil"/>
            </w:tcBorders>
            <w:vAlign w:val="center"/>
            <w:hideMark/>
          </w:tcPr>
          <w:p w14:paraId="284E1F0C"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5809E4ED"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4C82495D" w14:textId="77777777" w:rsidTr="00DE79BD">
        <w:trPr>
          <w:cantSplit/>
          <w:trHeight w:val="227"/>
          <w:jc w:val="center"/>
        </w:trPr>
        <w:tc>
          <w:tcPr>
            <w:tcW w:w="1077" w:type="dxa"/>
            <w:vAlign w:val="center"/>
          </w:tcPr>
          <w:p w14:paraId="3526B926" w14:textId="77777777" w:rsidR="00722B14" w:rsidRDefault="00722B14" w:rsidP="00DD3BAE">
            <w:pPr>
              <w:spacing w:before="0" w:after="0"/>
              <w:jc w:val="center"/>
              <w:rPr>
                <w:color w:val="000000"/>
                <w:sz w:val="16"/>
                <w:szCs w:val="16"/>
              </w:rPr>
            </w:pPr>
          </w:p>
        </w:tc>
        <w:tc>
          <w:tcPr>
            <w:tcW w:w="1115" w:type="dxa"/>
            <w:noWrap/>
            <w:vAlign w:val="center"/>
          </w:tcPr>
          <w:p w14:paraId="2999C60A" w14:textId="77777777" w:rsidR="00722B14" w:rsidRDefault="00722B14" w:rsidP="00DD3BAE">
            <w:pPr>
              <w:spacing w:before="0" w:after="0"/>
              <w:jc w:val="center"/>
              <w:rPr>
                <w:color w:val="000000"/>
                <w:sz w:val="16"/>
                <w:szCs w:val="16"/>
              </w:rPr>
            </w:pPr>
          </w:p>
        </w:tc>
        <w:tc>
          <w:tcPr>
            <w:tcW w:w="789" w:type="dxa"/>
            <w:noWrap/>
            <w:vAlign w:val="center"/>
          </w:tcPr>
          <w:p w14:paraId="0B4F424E" w14:textId="77777777" w:rsidR="00722B14" w:rsidRDefault="00722B14" w:rsidP="00DD3BAE">
            <w:pPr>
              <w:spacing w:before="0" w:after="0"/>
              <w:jc w:val="center"/>
              <w:rPr>
                <w:color w:val="000000"/>
                <w:sz w:val="16"/>
                <w:szCs w:val="16"/>
              </w:rPr>
            </w:pPr>
          </w:p>
        </w:tc>
        <w:tc>
          <w:tcPr>
            <w:tcW w:w="621" w:type="dxa"/>
            <w:vAlign w:val="center"/>
            <w:hideMark/>
          </w:tcPr>
          <w:p w14:paraId="7AAF678D"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3624756C" w14:textId="77777777" w:rsidR="00722B14" w:rsidRDefault="00722B14" w:rsidP="00DD3BAE">
            <w:pPr>
              <w:spacing w:before="0" w:after="0"/>
              <w:jc w:val="center"/>
              <w:rPr>
                <w:color w:val="000000"/>
                <w:sz w:val="16"/>
                <w:szCs w:val="16"/>
              </w:rPr>
            </w:pPr>
            <w:r>
              <w:rPr>
                <w:color w:val="000000"/>
                <w:sz w:val="16"/>
                <w:szCs w:val="16"/>
              </w:rPr>
              <w:t>41.63</w:t>
            </w:r>
          </w:p>
        </w:tc>
        <w:tc>
          <w:tcPr>
            <w:tcW w:w="661" w:type="dxa"/>
            <w:shd w:val="clear" w:color="auto" w:fill="CCFFCC"/>
            <w:vAlign w:val="center"/>
            <w:hideMark/>
          </w:tcPr>
          <w:p w14:paraId="2FB98AF9" w14:textId="77777777" w:rsidR="00722B14" w:rsidRDefault="00722B14" w:rsidP="00DD3BAE">
            <w:pPr>
              <w:spacing w:before="0" w:after="0"/>
              <w:jc w:val="center"/>
              <w:rPr>
                <w:color w:val="000000"/>
                <w:sz w:val="16"/>
                <w:szCs w:val="16"/>
              </w:rPr>
            </w:pPr>
            <w:r>
              <w:rPr>
                <w:color w:val="000000"/>
                <w:sz w:val="16"/>
                <w:szCs w:val="16"/>
              </w:rPr>
              <w:t>16.53</w:t>
            </w:r>
          </w:p>
        </w:tc>
        <w:tc>
          <w:tcPr>
            <w:tcW w:w="1109" w:type="dxa"/>
            <w:shd w:val="clear" w:color="auto" w:fill="CCFFCC"/>
            <w:noWrap/>
            <w:vAlign w:val="center"/>
            <w:hideMark/>
          </w:tcPr>
          <w:p w14:paraId="7C154B05" w14:textId="77777777" w:rsidR="00722B14" w:rsidRDefault="00722B14" w:rsidP="00DD3BAE">
            <w:pPr>
              <w:spacing w:before="0" w:after="0"/>
              <w:jc w:val="center"/>
              <w:rPr>
                <w:color w:val="000000"/>
                <w:sz w:val="16"/>
                <w:szCs w:val="16"/>
              </w:rPr>
            </w:pPr>
            <w:r>
              <w:rPr>
                <w:color w:val="000000"/>
                <w:sz w:val="16"/>
                <w:szCs w:val="16"/>
              </w:rPr>
              <w:t>-9.11 ±0.07</w:t>
            </w:r>
          </w:p>
        </w:tc>
        <w:tc>
          <w:tcPr>
            <w:tcW w:w="1109" w:type="dxa"/>
            <w:vAlign w:val="center"/>
            <w:hideMark/>
          </w:tcPr>
          <w:p w14:paraId="57EBF37B" w14:textId="77777777" w:rsidR="00722B14" w:rsidRDefault="00722B14" w:rsidP="00DD3BAE">
            <w:pPr>
              <w:spacing w:before="0" w:after="0"/>
              <w:jc w:val="center"/>
              <w:rPr>
                <w:color w:val="000000"/>
                <w:sz w:val="16"/>
                <w:szCs w:val="16"/>
              </w:rPr>
            </w:pPr>
            <w:r>
              <w:rPr>
                <w:color w:val="000000"/>
                <w:sz w:val="16"/>
                <w:szCs w:val="16"/>
              </w:rPr>
              <w:t>1.32 ±0.50</w:t>
            </w:r>
          </w:p>
        </w:tc>
        <w:tc>
          <w:tcPr>
            <w:tcW w:w="797" w:type="dxa"/>
            <w:vAlign w:val="center"/>
          </w:tcPr>
          <w:p w14:paraId="11E8887C" w14:textId="77777777" w:rsidR="00722B14" w:rsidRDefault="00722B14" w:rsidP="00DD3BAE">
            <w:pPr>
              <w:spacing w:before="0" w:after="0"/>
              <w:jc w:val="center"/>
              <w:rPr>
                <w:i/>
                <w:color w:val="000000"/>
                <w:sz w:val="16"/>
                <w:szCs w:val="16"/>
              </w:rPr>
            </w:pPr>
          </w:p>
        </w:tc>
        <w:tc>
          <w:tcPr>
            <w:tcW w:w="1557" w:type="dxa"/>
            <w:noWrap/>
            <w:vAlign w:val="center"/>
          </w:tcPr>
          <w:p w14:paraId="20C8A583" w14:textId="77777777" w:rsidR="00722B14" w:rsidRDefault="00722B14" w:rsidP="00DD3BAE">
            <w:pPr>
              <w:spacing w:before="0" w:after="0"/>
              <w:jc w:val="center"/>
              <w:rPr>
                <w:i/>
                <w:color w:val="000000"/>
                <w:sz w:val="16"/>
                <w:szCs w:val="16"/>
              </w:rPr>
            </w:pPr>
          </w:p>
        </w:tc>
      </w:tr>
      <w:tr w:rsidR="00722B14" w14:paraId="774E8AA8" w14:textId="77777777" w:rsidTr="00DE79BD">
        <w:trPr>
          <w:cantSplit/>
          <w:trHeight w:val="227"/>
          <w:jc w:val="center"/>
        </w:trPr>
        <w:tc>
          <w:tcPr>
            <w:tcW w:w="1077" w:type="dxa"/>
            <w:vAlign w:val="center"/>
          </w:tcPr>
          <w:p w14:paraId="3D454628" w14:textId="77777777" w:rsidR="00722B14" w:rsidRDefault="00722B14" w:rsidP="00DD3BAE">
            <w:pPr>
              <w:spacing w:before="0" w:after="0"/>
              <w:jc w:val="center"/>
              <w:rPr>
                <w:color w:val="000000"/>
                <w:sz w:val="16"/>
                <w:szCs w:val="16"/>
              </w:rPr>
            </w:pPr>
          </w:p>
        </w:tc>
        <w:tc>
          <w:tcPr>
            <w:tcW w:w="1115" w:type="dxa"/>
            <w:noWrap/>
            <w:vAlign w:val="center"/>
          </w:tcPr>
          <w:p w14:paraId="25A1506A" w14:textId="77777777" w:rsidR="00722B14" w:rsidRDefault="00722B14" w:rsidP="00DD3BAE">
            <w:pPr>
              <w:spacing w:before="0" w:after="0"/>
              <w:jc w:val="center"/>
              <w:rPr>
                <w:color w:val="000000"/>
                <w:sz w:val="16"/>
                <w:szCs w:val="16"/>
              </w:rPr>
            </w:pPr>
          </w:p>
        </w:tc>
        <w:tc>
          <w:tcPr>
            <w:tcW w:w="789" w:type="dxa"/>
            <w:noWrap/>
            <w:vAlign w:val="center"/>
          </w:tcPr>
          <w:p w14:paraId="3896AADB" w14:textId="77777777" w:rsidR="00722B14" w:rsidRDefault="00722B14" w:rsidP="00DD3BAE">
            <w:pPr>
              <w:spacing w:before="0" w:after="0"/>
              <w:jc w:val="center"/>
              <w:rPr>
                <w:color w:val="000000"/>
                <w:sz w:val="16"/>
                <w:szCs w:val="16"/>
              </w:rPr>
            </w:pPr>
          </w:p>
        </w:tc>
        <w:tc>
          <w:tcPr>
            <w:tcW w:w="621" w:type="dxa"/>
            <w:vAlign w:val="center"/>
            <w:hideMark/>
          </w:tcPr>
          <w:p w14:paraId="07255DD1"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3F8CCEA0" w14:textId="77777777" w:rsidR="00722B14" w:rsidRDefault="00722B14" w:rsidP="00DD3BAE">
            <w:pPr>
              <w:spacing w:before="0" w:after="0"/>
              <w:jc w:val="center"/>
              <w:rPr>
                <w:color w:val="000000"/>
                <w:sz w:val="16"/>
                <w:szCs w:val="16"/>
              </w:rPr>
            </w:pPr>
            <w:r>
              <w:rPr>
                <w:color w:val="000000"/>
                <w:sz w:val="16"/>
                <w:szCs w:val="16"/>
              </w:rPr>
              <w:t>39.50</w:t>
            </w:r>
          </w:p>
        </w:tc>
        <w:tc>
          <w:tcPr>
            <w:tcW w:w="661" w:type="dxa"/>
            <w:vAlign w:val="center"/>
            <w:hideMark/>
          </w:tcPr>
          <w:p w14:paraId="17DFB6B4" w14:textId="77777777" w:rsidR="00722B14" w:rsidRDefault="00722B14" w:rsidP="00DD3BAE">
            <w:pPr>
              <w:spacing w:before="0" w:after="0"/>
              <w:jc w:val="center"/>
              <w:rPr>
                <w:color w:val="000000"/>
                <w:sz w:val="16"/>
                <w:szCs w:val="16"/>
              </w:rPr>
            </w:pPr>
            <w:r>
              <w:rPr>
                <w:color w:val="000000"/>
                <w:sz w:val="16"/>
                <w:szCs w:val="16"/>
              </w:rPr>
              <w:t>20.04</w:t>
            </w:r>
          </w:p>
        </w:tc>
        <w:tc>
          <w:tcPr>
            <w:tcW w:w="1109" w:type="dxa"/>
            <w:shd w:val="clear" w:color="auto" w:fill="CCFFCC"/>
            <w:noWrap/>
            <w:vAlign w:val="center"/>
            <w:hideMark/>
          </w:tcPr>
          <w:p w14:paraId="7C70E46A" w14:textId="77777777" w:rsidR="00722B14" w:rsidRDefault="00722B14" w:rsidP="00DD3BAE">
            <w:pPr>
              <w:spacing w:before="0" w:after="0"/>
              <w:jc w:val="center"/>
              <w:rPr>
                <w:color w:val="000000"/>
                <w:sz w:val="16"/>
                <w:szCs w:val="16"/>
              </w:rPr>
            </w:pPr>
            <w:r>
              <w:rPr>
                <w:color w:val="000000"/>
                <w:sz w:val="16"/>
                <w:szCs w:val="16"/>
              </w:rPr>
              <w:t>-10.03 ±0.17</w:t>
            </w:r>
          </w:p>
        </w:tc>
        <w:tc>
          <w:tcPr>
            <w:tcW w:w="1109" w:type="dxa"/>
            <w:vAlign w:val="center"/>
            <w:hideMark/>
          </w:tcPr>
          <w:p w14:paraId="11F7AC39" w14:textId="77777777" w:rsidR="00722B14" w:rsidRDefault="00722B14" w:rsidP="00DD3BAE">
            <w:pPr>
              <w:spacing w:before="0" w:after="0"/>
              <w:jc w:val="center"/>
              <w:rPr>
                <w:color w:val="000000"/>
                <w:sz w:val="16"/>
                <w:szCs w:val="16"/>
              </w:rPr>
            </w:pPr>
            <w:r>
              <w:rPr>
                <w:color w:val="000000"/>
                <w:sz w:val="16"/>
                <w:szCs w:val="16"/>
              </w:rPr>
              <w:t>2.23 ±0.13</w:t>
            </w:r>
          </w:p>
        </w:tc>
        <w:tc>
          <w:tcPr>
            <w:tcW w:w="797" w:type="dxa"/>
            <w:vAlign w:val="center"/>
          </w:tcPr>
          <w:p w14:paraId="6596C7F8" w14:textId="77777777" w:rsidR="00722B14" w:rsidRDefault="00722B14" w:rsidP="00DD3BAE">
            <w:pPr>
              <w:spacing w:before="0" w:after="0"/>
              <w:jc w:val="center"/>
              <w:rPr>
                <w:i/>
                <w:color w:val="000000"/>
                <w:sz w:val="16"/>
                <w:szCs w:val="16"/>
              </w:rPr>
            </w:pPr>
          </w:p>
        </w:tc>
        <w:tc>
          <w:tcPr>
            <w:tcW w:w="1557" w:type="dxa"/>
            <w:noWrap/>
            <w:vAlign w:val="center"/>
          </w:tcPr>
          <w:p w14:paraId="648256F3" w14:textId="77777777" w:rsidR="00722B14" w:rsidRDefault="00722B14" w:rsidP="00DD3BAE">
            <w:pPr>
              <w:spacing w:before="0" w:after="0"/>
              <w:jc w:val="center"/>
              <w:rPr>
                <w:i/>
                <w:color w:val="000000"/>
                <w:sz w:val="16"/>
                <w:szCs w:val="16"/>
              </w:rPr>
            </w:pPr>
          </w:p>
        </w:tc>
      </w:tr>
      <w:tr w:rsidR="00722B14" w14:paraId="777F1200" w14:textId="77777777" w:rsidTr="00DE79BD">
        <w:trPr>
          <w:cantSplit/>
          <w:trHeight w:val="227"/>
          <w:jc w:val="center"/>
        </w:trPr>
        <w:tc>
          <w:tcPr>
            <w:tcW w:w="1077" w:type="dxa"/>
            <w:vAlign w:val="center"/>
          </w:tcPr>
          <w:p w14:paraId="1B2A3BD4" w14:textId="77777777" w:rsidR="00722B14" w:rsidRDefault="00722B14" w:rsidP="00DD3BAE">
            <w:pPr>
              <w:spacing w:before="0" w:after="0"/>
              <w:jc w:val="center"/>
              <w:rPr>
                <w:color w:val="000000"/>
                <w:sz w:val="16"/>
                <w:szCs w:val="16"/>
              </w:rPr>
            </w:pPr>
          </w:p>
        </w:tc>
        <w:tc>
          <w:tcPr>
            <w:tcW w:w="1115" w:type="dxa"/>
            <w:noWrap/>
            <w:vAlign w:val="center"/>
          </w:tcPr>
          <w:p w14:paraId="3E4603F7"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1F12ED4E"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3426834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shd w:val="clear" w:color="auto" w:fill="CCFFCC"/>
            <w:vAlign w:val="center"/>
            <w:hideMark/>
          </w:tcPr>
          <w:p w14:paraId="44863E1D" w14:textId="77777777" w:rsidR="00722B14" w:rsidRDefault="00722B14" w:rsidP="00DD3BAE">
            <w:pPr>
              <w:spacing w:before="0" w:after="0"/>
              <w:jc w:val="center"/>
              <w:rPr>
                <w:color w:val="000000"/>
                <w:sz w:val="16"/>
                <w:szCs w:val="16"/>
              </w:rPr>
            </w:pPr>
            <w:r>
              <w:rPr>
                <w:color w:val="000000"/>
                <w:sz w:val="16"/>
                <w:szCs w:val="16"/>
              </w:rPr>
              <w:t>38.02</w:t>
            </w:r>
          </w:p>
        </w:tc>
        <w:tc>
          <w:tcPr>
            <w:tcW w:w="661" w:type="dxa"/>
            <w:tcBorders>
              <w:top w:val="nil"/>
              <w:left w:val="nil"/>
              <w:right w:val="nil"/>
            </w:tcBorders>
            <w:vAlign w:val="center"/>
            <w:hideMark/>
          </w:tcPr>
          <w:p w14:paraId="6D09AEC8" w14:textId="77777777" w:rsidR="00722B14" w:rsidRDefault="00722B14" w:rsidP="00DD3BAE">
            <w:pPr>
              <w:spacing w:before="0" w:after="0"/>
              <w:jc w:val="center"/>
              <w:rPr>
                <w:color w:val="000000"/>
                <w:sz w:val="16"/>
                <w:szCs w:val="16"/>
              </w:rPr>
            </w:pPr>
            <w:r>
              <w:rPr>
                <w:color w:val="000000"/>
                <w:sz w:val="16"/>
                <w:szCs w:val="16"/>
              </w:rPr>
              <w:t>22.11</w:t>
            </w:r>
          </w:p>
        </w:tc>
        <w:tc>
          <w:tcPr>
            <w:tcW w:w="1109" w:type="dxa"/>
            <w:tcBorders>
              <w:top w:val="nil"/>
              <w:left w:val="nil"/>
              <w:right w:val="nil"/>
            </w:tcBorders>
            <w:shd w:val="clear" w:color="auto" w:fill="CCFFCC"/>
            <w:noWrap/>
            <w:vAlign w:val="center"/>
            <w:hideMark/>
          </w:tcPr>
          <w:p w14:paraId="27831D1A" w14:textId="77777777" w:rsidR="00722B14" w:rsidRDefault="00722B14" w:rsidP="00DD3BAE">
            <w:pPr>
              <w:spacing w:before="0" w:after="0"/>
              <w:jc w:val="center"/>
              <w:rPr>
                <w:color w:val="000000"/>
                <w:sz w:val="16"/>
                <w:szCs w:val="16"/>
              </w:rPr>
            </w:pPr>
            <w:r>
              <w:rPr>
                <w:color w:val="000000"/>
                <w:sz w:val="16"/>
                <w:szCs w:val="16"/>
              </w:rPr>
              <w:t>-9.40 ±0.30</w:t>
            </w:r>
          </w:p>
        </w:tc>
        <w:tc>
          <w:tcPr>
            <w:tcW w:w="1109" w:type="dxa"/>
            <w:tcBorders>
              <w:top w:val="nil"/>
              <w:left w:val="nil"/>
              <w:right w:val="nil"/>
            </w:tcBorders>
            <w:vAlign w:val="center"/>
            <w:hideMark/>
          </w:tcPr>
          <w:p w14:paraId="6C003E64" w14:textId="77777777" w:rsidR="00722B14" w:rsidRDefault="00722B14" w:rsidP="00DD3BAE">
            <w:pPr>
              <w:spacing w:before="0" w:after="0"/>
              <w:jc w:val="center"/>
              <w:rPr>
                <w:color w:val="000000"/>
                <w:sz w:val="16"/>
                <w:szCs w:val="16"/>
              </w:rPr>
            </w:pPr>
            <w:r>
              <w:rPr>
                <w:color w:val="000000"/>
                <w:sz w:val="16"/>
                <w:szCs w:val="16"/>
              </w:rPr>
              <w:t>2.32 ±0.20</w:t>
            </w:r>
          </w:p>
        </w:tc>
        <w:tc>
          <w:tcPr>
            <w:tcW w:w="797" w:type="dxa"/>
            <w:tcBorders>
              <w:top w:val="nil"/>
              <w:left w:val="nil"/>
              <w:right w:val="nil"/>
            </w:tcBorders>
            <w:vAlign w:val="center"/>
          </w:tcPr>
          <w:p w14:paraId="60667B43"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569399C6" w14:textId="77777777" w:rsidR="00722B14" w:rsidRDefault="00722B14" w:rsidP="00DD3BAE">
            <w:pPr>
              <w:spacing w:before="0" w:after="0"/>
              <w:jc w:val="center"/>
              <w:rPr>
                <w:i/>
                <w:color w:val="000000"/>
                <w:sz w:val="16"/>
                <w:szCs w:val="16"/>
              </w:rPr>
            </w:pPr>
          </w:p>
        </w:tc>
      </w:tr>
      <w:tr w:rsidR="00722B14" w14:paraId="2729C05D" w14:textId="77777777" w:rsidTr="00DE79BD">
        <w:trPr>
          <w:cantSplit/>
          <w:trHeight w:val="227"/>
          <w:jc w:val="center"/>
        </w:trPr>
        <w:tc>
          <w:tcPr>
            <w:tcW w:w="1077" w:type="dxa"/>
            <w:tcBorders>
              <w:top w:val="nil"/>
              <w:left w:val="nil"/>
              <w:right w:val="nil"/>
            </w:tcBorders>
            <w:shd w:val="clear" w:color="auto" w:fill="auto"/>
            <w:vAlign w:val="center"/>
          </w:tcPr>
          <w:p w14:paraId="60E2785E"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6B309D6A"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4313E198"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6CC2683F"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79262588" w14:textId="77777777" w:rsidR="00722B14" w:rsidRPr="007C770B" w:rsidRDefault="00722B14" w:rsidP="00DD3BAE">
            <w:pPr>
              <w:spacing w:before="0" w:after="0"/>
              <w:jc w:val="center"/>
              <w:rPr>
                <w:color w:val="000000"/>
                <w:sz w:val="16"/>
                <w:szCs w:val="16"/>
              </w:rPr>
            </w:pPr>
            <w:r w:rsidRPr="007C770B">
              <w:rPr>
                <w:color w:val="000000"/>
                <w:sz w:val="16"/>
                <w:szCs w:val="16"/>
              </w:rPr>
              <w:t>40.40</w:t>
            </w:r>
          </w:p>
        </w:tc>
        <w:tc>
          <w:tcPr>
            <w:tcW w:w="661" w:type="dxa"/>
            <w:tcBorders>
              <w:top w:val="nil"/>
              <w:left w:val="nil"/>
              <w:right w:val="nil"/>
            </w:tcBorders>
            <w:shd w:val="clear" w:color="auto" w:fill="CCFFCC"/>
            <w:vAlign w:val="center"/>
          </w:tcPr>
          <w:p w14:paraId="477ABAEE" w14:textId="77777777" w:rsidR="00722B14" w:rsidRPr="007C770B" w:rsidRDefault="00722B14" w:rsidP="00DD3BAE">
            <w:pPr>
              <w:spacing w:before="0" w:after="0"/>
              <w:jc w:val="center"/>
              <w:rPr>
                <w:color w:val="000000"/>
                <w:sz w:val="16"/>
                <w:szCs w:val="16"/>
              </w:rPr>
            </w:pPr>
            <w:r w:rsidRPr="007C770B">
              <w:rPr>
                <w:color w:val="000000"/>
                <w:sz w:val="16"/>
                <w:szCs w:val="16"/>
              </w:rPr>
              <w:t>18.49</w:t>
            </w:r>
          </w:p>
        </w:tc>
        <w:tc>
          <w:tcPr>
            <w:tcW w:w="1109" w:type="dxa"/>
            <w:tcBorders>
              <w:top w:val="nil"/>
              <w:left w:val="nil"/>
              <w:right w:val="nil"/>
            </w:tcBorders>
            <w:shd w:val="clear" w:color="auto" w:fill="CCFFCC"/>
            <w:noWrap/>
            <w:vAlign w:val="center"/>
          </w:tcPr>
          <w:p w14:paraId="4A622549" w14:textId="77777777" w:rsidR="00722B14" w:rsidRPr="007C770B" w:rsidRDefault="00722B14" w:rsidP="00DD3BAE">
            <w:pPr>
              <w:spacing w:before="0" w:after="0"/>
              <w:jc w:val="center"/>
              <w:rPr>
                <w:color w:val="000000"/>
                <w:sz w:val="16"/>
                <w:szCs w:val="16"/>
              </w:rPr>
            </w:pPr>
            <w:r w:rsidRPr="007C770B">
              <w:rPr>
                <w:color w:val="000000"/>
                <w:sz w:val="16"/>
                <w:szCs w:val="16"/>
              </w:rPr>
              <w:t>-9.87 ±0.44</w:t>
            </w:r>
          </w:p>
        </w:tc>
        <w:tc>
          <w:tcPr>
            <w:tcW w:w="1109" w:type="dxa"/>
            <w:tcBorders>
              <w:top w:val="nil"/>
              <w:left w:val="nil"/>
              <w:right w:val="nil"/>
            </w:tcBorders>
            <w:shd w:val="clear" w:color="auto" w:fill="auto"/>
            <w:vAlign w:val="center"/>
          </w:tcPr>
          <w:p w14:paraId="323D3FC8" w14:textId="77777777" w:rsidR="00722B14" w:rsidRPr="007C770B" w:rsidRDefault="00722B14" w:rsidP="00DD3BAE">
            <w:pPr>
              <w:spacing w:before="0" w:after="0"/>
              <w:jc w:val="center"/>
              <w:rPr>
                <w:color w:val="000000"/>
                <w:sz w:val="16"/>
                <w:szCs w:val="16"/>
              </w:rPr>
            </w:pPr>
            <w:r w:rsidRPr="007C770B">
              <w:rPr>
                <w:color w:val="000000"/>
                <w:sz w:val="16"/>
                <w:szCs w:val="16"/>
              </w:rPr>
              <w:t>1.37 ±0.26</w:t>
            </w:r>
          </w:p>
        </w:tc>
        <w:tc>
          <w:tcPr>
            <w:tcW w:w="797" w:type="dxa"/>
            <w:tcBorders>
              <w:top w:val="nil"/>
              <w:left w:val="nil"/>
              <w:right w:val="nil"/>
            </w:tcBorders>
            <w:shd w:val="clear" w:color="auto" w:fill="auto"/>
            <w:vAlign w:val="center"/>
          </w:tcPr>
          <w:p w14:paraId="72C4A276"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7C997BA7" w14:textId="77777777" w:rsidR="00722B14" w:rsidRDefault="00722B14" w:rsidP="00DD3BAE">
            <w:pPr>
              <w:spacing w:before="0" w:after="0"/>
              <w:jc w:val="center"/>
              <w:rPr>
                <w:i/>
                <w:color w:val="000000"/>
                <w:sz w:val="16"/>
                <w:szCs w:val="16"/>
              </w:rPr>
            </w:pPr>
          </w:p>
        </w:tc>
      </w:tr>
      <w:tr w:rsidR="00722B14" w14:paraId="65108B01" w14:textId="77777777" w:rsidTr="00DE79BD">
        <w:trPr>
          <w:cantSplit/>
          <w:trHeight w:val="227"/>
          <w:jc w:val="center"/>
        </w:trPr>
        <w:tc>
          <w:tcPr>
            <w:tcW w:w="1077" w:type="dxa"/>
            <w:tcBorders>
              <w:left w:val="nil"/>
              <w:right w:val="nil"/>
            </w:tcBorders>
            <w:shd w:val="clear" w:color="auto" w:fill="auto"/>
            <w:vAlign w:val="center"/>
          </w:tcPr>
          <w:p w14:paraId="07C56BA8"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3BBFC487"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46E3473C"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8309A9F"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1BA886BA" w14:textId="77777777" w:rsidR="00722B14" w:rsidRPr="00DF752C" w:rsidRDefault="00722B14" w:rsidP="00DD3BAE">
            <w:pPr>
              <w:spacing w:before="0" w:after="0"/>
              <w:jc w:val="center"/>
              <w:rPr>
                <w:color w:val="000000"/>
                <w:sz w:val="16"/>
                <w:szCs w:val="16"/>
              </w:rPr>
            </w:pPr>
            <w:r w:rsidRPr="00DF752C">
              <w:rPr>
                <w:color w:val="000000"/>
                <w:sz w:val="16"/>
                <w:szCs w:val="16"/>
              </w:rPr>
              <w:t>41.43</w:t>
            </w:r>
          </w:p>
        </w:tc>
        <w:tc>
          <w:tcPr>
            <w:tcW w:w="661" w:type="dxa"/>
            <w:tcBorders>
              <w:left w:val="nil"/>
              <w:bottom w:val="single" w:sz="4" w:space="0" w:color="auto"/>
              <w:right w:val="nil"/>
            </w:tcBorders>
            <w:shd w:val="clear" w:color="auto" w:fill="CCFFCC"/>
            <w:vAlign w:val="center"/>
          </w:tcPr>
          <w:p w14:paraId="2B45538E" w14:textId="77777777" w:rsidR="00722B14" w:rsidRPr="00DF752C" w:rsidRDefault="00722B14" w:rsidP="00DD3BAE">
            <w:pPr>
              <w:spacing w:before="0" w:after="0"/>
              <w:jc w:val="center"/>
              <w:rPr>
                <w:color w:val="000000"/>
                <w:sz w:val="16"/>
                <w:szCs w:val="16"/>
              </w:rPr>
            </w:pPr>
            <w:r>
              <w:rPr>
                <w:color w:val="000000"/>
                <w:sz w:val="16"/>
                <w:szCs w:val="16"/>
              </w:rPr>
              <w:t>19.88</w:t>
            </w:r>
          </w:p>
        </w:tc>
        <w:tc>
          <w:tcPr>
            <w:tcW w:w="1109" w:type="dxa"/>
            <w:tcBorders>
              <w:left w:val="nil"/>
              <w:bottom w:val="single" w:sz="4" w:space="0" w:color="auto"/>
              <w:right w:val="nil"/>
            </w:tcBorders>
            <w:shd w:val="clear" w:color="auto" w:fill="CCFFCC"/>
            <w:noWrap/>
            <w:vAlign w:val="center"/>
          </w:tcPr>
          <w:p w14:paraId="1DA33B17" w14:textId="77777777" w:rsidR="00722B14" w:rsidRPr="00DF752C" w:rsidRDefault="00722B14" w:rsidP="00DD3BAE">
            <w:pPr>
              <w:spacing w:before="0" w:after="0"/>
              <w:jc w:val="center"/>
              <w:rPr>
                <w:color w:val="000000"/>
                <w:sz w:val="16"/>
                <w:szCs w:val="16"/>
              </w:rPr>
            </w:pPr>
            <w:r w:rsidRPr="00DF752C">
              <w:rPr>
                <w:color w:val="000000"/>
                <w:sz w:val="16"/>
                <w:szCs w:val="16"/>
              </w:rPr>
              <w:t>-9.40 ±0.37</w:t>
            </w:r>
          </w:p>
        </w:tc>
        <w:tc>
          <w:tcPr>
            <w:tcW w:w="1109" w:type="dxa"/>
            <w:tcBorders>
              <w:left w:val="nil"/>
              <w:bottom w:val="single" w:sz="4" w:space="0" w:color="auto"/>
              <w:right w:val="nil"/>
            </w:tcBorders>
            <w:shd w:val="clear" w:color="auto" w:fill="auto"/>
            <w:vAlign w:val="center"/>
          </w:tcPr>
          <w:p w14:paraId="1A1EA64B" w14:textId="77777777" w:rsidR="00722B14" w:rsidRPr="00DF752C" w:rsidRDefault="00722B14" w:rsidP="00DD3BAE">
            <w:pPr>
              <w:spacing w:before="0" w:after="0"/>
              <w:jc w:val="center"/>
              <w:rPr>
                <w:color w:val="000000"/>
                <w:sz w:val="16"/>
                <w:szCs w:val="16"/>
              </w:rPr>
            </w:pPr>
            <w:r w:rsidRPr="00DF752C">
              <w:rPr>
                <w:color w:val="000000"/>
                <w:sz w:val="16"/>
                <w:szCs w:val="16"/>
              </w:rPr>
              <w:t>1.83 ±0.11</w:t>
            </w:r>
          </w:p>
        </w:tc>
        <w:tc>
          <w:tcPr>
            <w:tcW w:w="797" w:type="dxa"/>
            <w:tcBorders>
              <w:left w:val="nil"/>
              <w:bottom w:val="single" w:sz="4" w:space="0" w:color="auto"/>
              <w:right w:val="nil"/>
            </w:tcBorders>
            <w:shd w:val="clear" w:color="auto" w:fill="auto"/>
            <w:vAlign w:val="center"/>
          </w:tcPr>
          <w:p w14:paraId="24DE42EB"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7DBA09A2" w14:textId="77777777" w:rsidR="00722B14" w:rsidRDefault="00722B14" w:rsidP="00DD3BAE">
            <w:pPr>
              <w:spacing w:before="0" w:after="0"/>
              <w:jc w:val="center"/>
              <w:rPr>
                <w:i/>
                <w:color w:val="000000"/>
                <w:sz w:val="16"/>
                <w:szCs w:val="16"/>
              </w:rPr>
            </w:pPr>
          </w:p>
        </w:tc>
      </w:tr>
      <w:tr w:rsidR="00722B14" w14:paraId="58A0F224" w14:textId="77777777" w:rsidTr="00DE79BD">
        <w:trPr>
          <w:cantSplit/>
          <w:trHeight w:val="227"/>
          <w:jc w:val="center"/>
        </w:trPr>
        <w:tc>
          <w:tcPr>
            <w:tcW w:w="1077" w:type="dxa"/>
            <w:vAlign w:val="center"/>
          </w:tcPr>
          <w:p w14:paraId="46B188A5" w14:textId="77777777" w:rsidR="00722B14" w:rsidRDefault="00722B14" w:rsidP="00DD3BAE">
            <w:pPr>
              <w:spacing w:before="0" w:after="0"/>
              <w:jc w:val="center"/>
              <w:rPr>
                <w:color w:val="000000"/>
                <w:sz w:val="16"/>
                <w:szCs w:val="16"/>
              </w:rPr>
            </w:pPr>
          </w:p>
        </w:tc>
        <w:tc>
          <w:tcPr>
            <w:tcW w:w="1115" w:type="dxa"/>
            <w:noWrap/>
            <w:vAlign w:val="center"/>
          </w:tcPr>
          <w:p w14:paraId="23D3EF45" w14:textId="77777777" w:rsidR="00722B14" w:rsidRDefault="00722B14" w:rsidP="00DD3BAE">
            <w:pPr>
              <w:spacing w:before="0" w:after="0"/>
              <w:jc w:val="center"/>
              <w:rPr>
                <w:color w:val="000000"/>
                <w:sz w:val="16"/>
                <w:szCs w:val="16"/>
              </w:rPr>
            </w:pPr>
          </w:p>
        </w:tc>
        <w:tc>
          <w:tcPr>
            <w:tcW w:w="789" w:type="dxa"/>
            <w:tcBorders>
              <w:top w:val="single" w:sz="4" w:space="0" w:color="auto"/>
              <w:left w:val="nil"/>
              <w:right w:val="nil"/>
            </w:tcBorders>
            <w:noWrap/>
            <w:vAlign w:val="center"/>
            <w:hideMark/>
          </w:tcPr>
          <w:p w14:paraId="148EEEEE" w14:textId="77777777" w:rsidR="00722B14" w:rsidRDefault="00722B14" w:rsidP="00DD3BAE">
            <w:pPr>
              <w:spacing w:before="0" w:after="0"/>
              <w:jc w:val="center"/>
              <w:rPr>
                <w:color w:val="000000"/>
                <w:sz w:val="16"/>
                <w:szCs w:val="16"/>
              </w:rPr>
            </w:pPr>
            <w:r>
              <w:rPr>
                <w:color w:val="000000"/>
                <w:sz w:val="16"/>
                <w:szCs w:val="16"/>
              </w:rPr>
              <w:t>TH</w:t>
            </w:r>
          </w:p>
        </w:tc>
        <w:tc>
          <w:tcPr>
            <w:tcW w:w="621" w:type="dxa"/>
            <w:tcBorders>
              <w:top w:val="single" w:sz="4" w:space="0" w:color="auto"/>
              <w:left w:val="nil"/>
              <w:right w:val="nil"/>
            </w:tcBorders>
            <w:vAlign w:val="center"/>
            <w:hideMark/>
          </w:tcPr>
          <w:p w14:paraId="4A70D12A"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right w:val="nil"/>
            </w:tcBorders>
            <w:vAlign w:val="center"/>
            <w:hideMark/>
          </w:tcPr>
          <w:p w14:paraId="651514A4" w14:textId="77777777" w:rsidR="00722B14" w:rsidRDefault="00722B14" w:rsidP="00DD3BAE">
            <w:pPr>
              <w:spacing w:before="0" w:after="0"/>
              <w:jc w:val="center"/>
              <w:rPr>
                <w:color w:val="000000"/>
                <w:sz w:val="16"/>
                <w:szCs w:val="16"/>
              </w:rPr>
            </w:pPr>
            <w:r>
              <w:rPr>
                <w:color w:val="000000"/>
                <w:sz w:val="16"/>
                <w:szCs w:val="16"/>
              </w:rPr>
              <w:t>39.61</w:t>
            </w:r>
          </w:p>
        </w:tc>
        <w:tc>
          <w:tcPr>
            <w:tcW w:w="661" w:type="dxa"/>
            <w:tcBorders>
              <w:top w:val="single" w:sz="4" w:space="0" w:color="auto"/>
              <w:left w:val="nil"/>
              <w:right w:val="nil"/>
            </w:tcBorders>
            <w:shd w:val="clear" w:color="auto" w:fill="CCFFCC"/>
            <w:vAlign w:val="center"/>
            <w:hideMark/>
          </w:tcPr>
          <w:p w14:paraId="74C5D65B" w14:textId="77777777" w:rsidR="00722B14" w:rsidRDefault="00722B14" w:rsidP="00DD3BAE">
            <w:pPr>
              <w:spacing w:before="0" w:after="0"/>
              <w:jc w:val="center"/>
              <w:rPr>
                <w:color w:val="000000"/>
                <w:sz w:val="16"/>
                <w:szCs w:val="16"/>
              </w:rPr>
            </w:pPr>
            <w:r>
              <w:rPr>
                <w:color w:val="000000"/>
                <w:sz w:val="16"/>
                <w:szCs w:val="16"/>
              </w:rPr>
              <w:t>15.14</w:t>
            </w:r>
          </w:p>
        </w:tc>
        <w:tc>
          <w:tcPr>
            <w:tcW w:w="1109" w:type="dxa"/>
            <w:tcBorders>
              <w:top w:val="single" w:sz="4" w:space="0" w:color="auto"/>
              <w:left w:val="nil"/>
              <w:right w:val="nil"/>
            </w:tcBorders>
            <w:noWrap/>
            <w:vAlign w:val="center"/>
            <w:hideMark/>
          </w:tcPr>
          <w:p w14:paraId="64BD47C9" w14:textId="77777777" w:rsidR="00722B14" w:rsidRDefault="00722B14" w:rsidP="00DD3BAE">
            <w:pPr>
              <w:spacing w:before="0" w:after="0"/>
              <w:jc w:val="center"/>
              <w:rPr>
                <w:color w:val="000000"/>
                <w:sz w:val="16"/>
                <w:szCs w:val="16"/>
              </w:rPr>
            </w:pPr>
            <w:r>
              <w:rPr>
                <w:color w:val="000000"/>
                <w:sz w:val="16"/>
                <w:szCs w:val="16"/>
              </w:rPr>
              <w:t>-8.31</w:t>
            </w:r>
          </w:p>
        </w:tc>
        <w:tc>
          <w:tcPr>
            <w:tcW w:w="1109" w:type="dxa"/>
            <w:tcBorders>
              <w:top w:val="single" w:sz="4" w:space="0" w:color="auto"/>
              <w:left w:val="nil"/>
              <w:right w:val="nil"/>
            </w:tcBorders>
            <w:vAlign w:val="center"/>
            <w:hideMark/>
          </w:tcPr>
          <w:p w14:paraId="4C77C50F" w14:textId="77777777" w:rsidR="00722B14" w:rsidRDefault="00722B14" w:rsidP="00DD3BAE">
            <w:pPr>
              <w:spacing w:before="0" w:after="0"/>
              <w:jc w:val="center"/>
              <w:rPr>
                <w:color w:val="000000"/>
                <w:sz w:val="16"/>
                <w:szCs w:val="16"/>
              </w:rPr>
            </w:pPr>
            <w:r>
              <w:rPr>
                <w:color w:val="000000"/>
                <w:sz w:val="16"/>
                <w:szCs w:val="16"/>
              </w:rPr>
              <w:t>0.09 ±0.45</w:t>
            </w:r>
          </w:p>
        </w:tc>
        <w:tc>
          <w:tcPr>
            <w:tcW w:w="797" w:type="dxa"/>
            <w:tcBorders>
              <w:top w:val="single" w:sz="4" w:space="0" w:color="auto"/>
              <w:left w:val="nil"/>
              <w:right w:val="nil"/>
            </w:tcBorders>
            <w:vAlign w:val="center"/>
            <w:hideMark/>
          </w:tcPr>
          <w:p w14:paraId="29CF9E87" w14:textId="77777777" w:rsidR="00722B14" w:rsidRDefault="00722B14" w:rsidP="00DD3BAE">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right w:val="nil"/>
            </w:tcBorders>
            <w:noWrap/>
            <w:vAlign w:val="center"/>
            <w:hideMark/>
          </w:tcPr>
          <w:p w14:paraId="1D015EDC" w14:textId="77777777" w:rsidR="00722B14" w:rsidRDefault="00722B14" w:rsidP="00DD3BAE">
            <w:pPr>
              <w:spacing w:before="0" w:after="0"/>
              <w:jc w:val="center"/>
              <w:rPr>
                <w:i/>
                <w:color w:val="000000"/>
                <w:sz w:val="16"/>
                <w:szCs w:val="16"/>
              </w:rPr>
            </w:pPr>
            <w:r>
              <w:rPr>
                <w:i/>
                <w:color w:val="000000"/>
                <w:sz w:val="16"/>
                <w:szCs w:val="16"/>
              </w:rPr>
              <w:t>-6.9 (-8.1 to -5.2)</w:t>
            </w:r>
          </w:p>
        </w:tc>
      </w:tr>
      <w:tr w:rsidR="00722B14" w14:paraId="3CB89BB9" w14:textId="77777777" w:rsidTr="00DE79BD">
        <w:trPr>
          <w:cantSplit/>
          <w:trHeight w:val="227"/>
          <w:jc w:val="center"/>
        </w:trPr>
        <w:tc>
          <w:tcPr>
            <w:tcW w:w="1077" w:type="dxa"/>
            <w:vAlign w:val="center"/>
          </w:tcPr>
          <w:p w14:paraId="31762F36"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1DFE062F"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353FEB34"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702EF138"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nil"/>
              <w:left w:val="nil"/>
              <w:right w:val="nil"/>
            </w:tcBorders>
            <w:vAlign w:val="center"/>
            <w:hideMark/>
          </w:tcPr>
          <w:p w14:paraId="53E8EE8C" w14:textId="77777777" w:rsidR="00722B14" w:rsidRDefault="00722B14" w:rsidP="00DD3BAE">
            <w:pPr>
              <w:spacing w:before="0" w:after="0"/>
              <w:jc w:val="center"/>
              <w:rPr>
                <w:color w:val="000000"/>
                <w:sz w:val="16"/>
                <w:szCs w:val="16"/>
              </w:rPr>
            </w:pPr>
            <w:r>
              <w:rPr>
                <w:color w:val="000000"/>
                <w:sz w:val="16"/>
                <w:szCs w:val="16"/>
              </w:rPr>
              <w:t>36.48</w:t>
            </w:r>
          </w:p>
        </w:tc>
        <w:tc>
          <w:tcPr>
            <w:tcW w:w="661" w:type="dxa"/>
            <w:tcBorders>
              <w:top w:val="nil"/>
              <w:left w:val="nil"/>
              <w:right w:val="nil"/>
            </w:tcBorders>
            <w:shd w:val="clear" w:color="auto" w:fill="CCFFCC"/>
            <w:vAlign w:val="center"/>
            <w:hideMark/>
          </w:tcPr>
          <w:p w14:paraId="2A145EC8" w14:textId="77777777" w:rsidR="00722B14" w:rsidRDefault="00722B14" w:rsidP="00DD3BAE">
            <w:pPr>
              <w:spacing w:before="0" w:after="0"/>
              <w:jc w:val="center"/>
              <w:rPr>
                <w:color w:val="000000"/>
                <w:sz w:val="16"/>
                <w:szCs w:val="16"/>
              </w:rPr>
            </w:pPr>
            <w:r>
              <w:rPr>
                <w:color w:val="000000"/>
                <w:sz w:val="16"/>
                <w:szCs w:val="16"/>
              </w:rPr>
              <w:t>15.65</w:t>
            </w:r>
          </w:p>
        </w:tc>
        <w:tc>
          <w:tcPr>
            <w:tcW w:w="1109" w:type="dxa"/>
            <w:tcBorders>
              <w:top w:val="nil"/>
              <w:left w:val="nil"/>
              <w:right w:val="nil"/>
            </w:tcBorders>
            <w:noWrap/>
            <w:vAlign w:val="center"/>
            <w:hideMark/>
          </w:tcPr>
          <w:p w14:paraId="6A84E40A" w14:textId="77777777" w:rsidR="00722B14" w:rsidRDefault="00722B14" w:rsidP="00DD3BAE">
            <w:pPr>
              <w:spacing w:before="0" w:after="0"/>
              <w:jc w:val="center"/>
              <w:rPr>
                <w:color w:val="000000"/>
                <w:sz w:val="16"/>
                <w:szCs w:val="16"/>
              </w:rPr>
            </w:pPr>
            <w:r>
              <w:rPr>
                <w:color w:val="000000"/>
                <w:sz w:val="16"/>
                <w:szCs w:val="16"/>
              </w:rPr>
              <w:t>-8.85 ±0.05</w:t>
            </w:r>
          </w:p>
        </w:tc>
        <w:tc>
          <w:tcPr>
            <w:tcW w:w="1109" w:type="dxa"/>
            <w:tcBorders>
              <w:top w:val="nil"/>
              <w:left w:val="nil"/>
              <w:right w:val="nil"/>
            </w:tcBorders>
            <w:vAlign w:val="center"/>
            <w:hideMark/>
          </w:tcPr>
          <w:p w14:paraId="072D351E" w14:textId="77777777" w:rsidR="00722B14" w:rsidRDefault="00722B14" w:rsidP="00DD3BAE">
            <w:pPr>
              <w:spacing w:before="0" w:after="0"/>
              <w:jc w:val="center"/>
              <w:rPr>
                <w:color w:val="000000"/>
                <w:sz w:val="16"/>
                <w:szCs w:val="16"/>
              </w:rPr>
            </w:pPr>
            <w:r>
              <w:rPr>
                <w:color w:val="000000"/>
                <w:sz w:val="16"/>
                <w:szCs w:val="16"/>
              </w:rPr>
              <w:t>1.58 ±0.09</w:t>
            </w:r>
          </w:p>
        </w:tc>
        <w:tc>
          <w:tcPr>
            <w:tcW w:w="797" w:type="dxa"/>
            <w:tcBorders>
              <w:top w:val="nil"/>
              <w:left w:val="nil"/>
              <w:right w:val="nil"/>
            </w:tcBorders>
            <w:vAlign w:val="center"/>
          </w:tcPr>
          <w:p w14:paraId="6C5B7F6F"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D34C6BB" w14:textId="77777777" w:rsidR="00722B14" w:rsidRDefault="00722B14" w:rsidP="00DD3BAE">
            <w:pPr>
              <w:spacing w:before="0" w:after="0"/>
              <w:jc w:val="center"/>
              <w:rPr>
                <w:i/>
                <w:color w:val="000000"/>
                <w:sz w:val="16"/>
                <w:szCs w:val="16"/>
              </w:rPr>
            </w:pPr>
          </w:p>
        </w:tc>
      </w:tr>
      <w:tr w:rsidR="00722B14" w14:paraId="1B6F6719" w14:textId="77777777" w:rsidTr="00DE79BD">
        <w:trPr>
          <w:cantSplit/>
          <w:trHeight w:val="227"/>
          <w:jc w:val="center"/>
        </w:trPr>
        <w:tc>
          <w:tcPr>
            <w:tcW w:w="1077" w:type="dxa"/>
            <w:shd w:val="clear" w:color="auto" w:fill="auto"/>
            <w:vAlign w:val="center"/>
          </w:tcPr>
          <w:p w14:paraId="113ACCFF" w14:textId="77777777" w:rsidR="00722B14"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17D6FC60" w14:textId="77777777" w:rsidR="00722B14"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2D9CA905" w14:textId="77777777" w:rsidR="00722B14"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6E0CFCDB" w14:textId="77777777" w:rsidR="00722B14"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034D47D0" w14:textId="77777777" w:rsidR="00722B14" w:rsidRPr="00DF752C" w:rsidRDefault="00722B14" w:rsidP="00DD3BAE">
            <w:pPr>
              <w:spacing w:before="0" w:after="0"/>
              <w:jc w:val="center"/>
              <w:rPr>
                <w:color w:val="000000"/>
                <w:sz w:val="16"/>
                <w:szCs w:val="16"/>
              </w:rPr>
            </w:pPr>
            <w:r w:rsidRPr="00DF752C">
              <w:rPr>
                <w:color w:val="000000"/>
                <w:sz w:val="16"/>
                <w:szCs w:val="16"/>
              </w:rPr>
              <w:t>38.91</w:t>
            </w:r>
          </w:p>
        </w:tc>
        <w:tc>
          <w:tcPr>
            <w:tcW w:w="661" w:type="dxa"/>
            <w:tcBorders>
              <w:left w:val="nil"/>
              <w:bottom w:val="single" w:sz="4" w:space="0" w:color="auto"/>
              <w:right w:val="nil"/>
            </w:tcBorders>
            <w:shd w:val="clear" w:color="auto" w:fill="CCFFCC"/>
            <w:vAlign w:val="center"/>
          </w:tcPr>
          <w:p w14:paraId="46C8998E" w14:textId="77777777" w:rsidR="00722B14" w:rsidRPr="00DF752C" w:rsidRDefault="00722B14" w:rsidP="00DD3BAE">
            <w:pPr>
              <w:spacing w:before="0" w:after="0"/>
              <w:jc w:val="center"/>
              <w:rPr>
                <w:color w:val="000000"/>
                <w:sz w:val="16"/>
                <w:szCs w:val="16"/>
              </w:rPr>
            </w:pPr>
            <w:r>
              <w:rPr>
                <w:color w:val="000000"/>
                <w:sz w:val="16"/>
                <w:szCs w:val="16"/>
              </w:rPr>
              <w:t>17.46</w:t>
            </w:r>
          </w:p>
        </w:tc>
        <w:tc>
          <w:tcPr>
            <w:tcW w:w="1109" w:type="dxa"/>
            <w:tcBorders>
              <w:left w:val="nil"/>
              <w:bottom w:val="single" w:sz="4" w:space="0" w:color="auto"/>
              <w:right w:val="nil"/>
            </w:tcBorders>
            <w:shd w:val="clear" w:color="auto" w:fill="auto"/>
            <w:noWrap/>
            <w:vAlign w:val="center"/>
          </w:tcPr>
          <w:p w14:paraId="18B7AFC3" w14:textId="77777777" w:rsidR="00722B14" w:rsidRPr="00DF752C" w:rsidRDefault="00722B14" w:rsidP="00DD3BAE">
            <w:pPr>
              <w:spacing w:before="0" w:after="0"/>
              <w:jc w:val="center"/>
              <w:rPr>
                <w:color w:val="000000"/>
                <w:sz w:val="16"/>
                <w:szCs w:val="16"/>
              </w:rPr>
            </w:pPr>
            <w:r w:rsidRPr="00DF752C">
              <w:rPr>
                <w:color w:val="000000"/>
                <w:sz w:val="16"/>
                <w:szCs w:val="16"/>
              </w:rPr>
              <w:t>-8.71 ±0.00</w:t>
            </w:r>
          </w:p>
        </w:tc>
        <w:tc>
          <w:tcPr>
            <w:tcW w:w="1109" w:type="dxa"/>
            <w:tcBorders>
              <w:left w:val="nil"/>
              <w:bottom w:val="single" w:sz="4" w:space="0" w:color="auto"/>
              <w:right w:val="nil"/>
            </w:tcBorders>
            <w:shd w:val="clear" w:color="auto" w:fill="auto"/>
            <w:vAlign w:val="center"/>
          </w:tcPr>
          <w:p w14:paraId="59DE87C8" w14:textId="77777777" w:rsidR="00722B14" w:rsidRPr="00DF752C" w:rsidRDefault="00722B14" w:rsidP="00DD3BAE">
            <w:pPr>
              <w:spacing w:before="0" w:after="0"/>
              <w:jc w:val="center"/>
              <w:rPr>
                <w:color w:val="000000"/>
                <w:sz w:val="16"/>
                <w:szCs w:val="16"/>
              </w:rPr>
            </w:pPr>
            <w:r w:rsidRPr="00DF752C">
              <w:rPr>
                <w:color w:val="000000"/>
                <w:sz w:val="16"/>
                <w:szCs w:val="16"/>
              </w:rPr>
              <w:t>1.16 ±0.00</w:t>
            </w:r>
          </w:p>
        </w:tc>
        <w:tc>
          <w:tcPr>
            <w:tcW w:w="797" w:type="dxa"/>
            <w:tcBorders>
              <w:left w:val="nil"/>
              <w:bottom w:val="single" w:sz="4" w:space="0" w:color="auto"/>
              <w:right w:val="nil"/>
            </w:tcBorders>
            <w:shd w:val="clear" w:color="auto" w:fill="auto"/>
            <w:vAlign w:val="center"/>
          </w:tcPr>
          <w:p w14:paraId="490BE97C"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9090E1D" w14:textId="77777777" w:rsidR="00722B14" w:rsidRDefault="00722B14" w:rsidP="00DD3BAE">
            <w:pPr>
              <w:spacing w:before="0" w:after="0"/>
              <w:jc w:val="center"/>
              <w:rPr>
                <w:i/>
                <w:color w:val="000000"/>
                <w:sz w:val="16"/>
                <w:szCs w:val="16"/>
              </w:rPr>
            </w:pPr>
          </w:p>
        </w:tc>
      </w:tr>
      <w:tr w:rsidR="00722B14" w14:paraId="0DEC6489" w14:textId="77777777" w:rsidTr="00DE79BD">
        <w:trPr>
          <w:cantSplit/>
          <w:trHeight w:val="227"/>
          <w:jc w:val="center"/>
        </w:trPr>
        <w:tc>
          <w:tcPr>
            <w:tcW w:w="1077" w:type="dxa"/>
            <w:vAlign w:val="center"/>
          </w:tcPr>
          <w:p w14:paraId="1BD2E787"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0508D76D" w14:textId="77777777" w:rsidR="00722B14" w:rsidRDefault="00722B14" w:rsidP="00DD3BAE">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3F3D189C" w14:textId="77777777" w:rsidR="00722B14" w:rsidRDefault="00722B14" w:rsidP="00DD3BAE">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25E5F25D" w14:textId="77777777" w:rsidR="00722B14" w:rsidRDefault="00722B14" w:rsidP="00DD3BAE">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018F9D86" w14:textId="77777777" w:rsidR="00722B14" w:rsidRDefault="00722B14" w:rsidP="00DD3BAE">
            <w:pPr>
              <w:spacing w:before="0" w:after="0"/>
              <w:jc w:val="center"/>
              <w:rPr>
                <w:color w:val="000000"/>
                <w:sz w:val="16"/>
                <w:szCs w:val="16"/>
              </w:rPr>
            </w:pPr>
            <w:r>
              <w:rPr>
                <w:color w:val="000000"/>
                <w:sz w:val="16"/>
                <w:szCs w:val="16"/>
              </w:rPr>
              <w:t>35.10</w:t>
            </w:r>
          </w:p>
        </w:tc>
        <w:tc>
          <w:tcPr>
            <w:tcW w:w="661" w:type="dxa"/>
            <w:tcBorders>
              <w:top w:val="single" w:sz="4" w:space="0" w:color="auto"/>
              <w:left w:val="nil"/>
              <w:bottom w:val="nil"/>
              <w:right w:val="nil"/>
            </w:tcBorders>
            <w:shd w:val="clear" w:color="auto" w:fill="CCFFCC"/>
            <w:vAlign w:val="center"/>
            <w:hideMark/>
          </w:tcPr>
          <w:p w14:paraId="7D9AD8F2" w14:textId="77777777" w:rsidR="00722B14" w:rsidRDefault="00722B14" w:rsidP="00DD3BAE">
            <w:pPr>
              <w:spacing w:before="0" w:after="0"/>
              <w:jc w:val="center"/>
              <w:rPr>
                <w:color w:val="000000"/>
                <w:sz w:val="16"/>
                <w:szCs w:val="16"/>
              </w:rPr>
            </w:pPr>
            <w:r>
              <w:rPr>
                <w:color w:val="000000"/>
                <w:sz w:val="16"/>
                <w:szCs w:val="16"/>
              </w:rPr>
              <w:t>18.83</w:t>
            </w:r>
          </w:p>
        </w:tc>
        <w:tc>
          <w:tcPr>
            <w:tcW w:w="1109" w:type="dxa"/>
            <w:tcBorders>
              <w:top w:val="single" w:sz="4" w:space="0" w:color="auto"/>
              <w:left w:val="nil"/>
              <w:bottom w:val="nil"/>
              <w:right w:val="nil"/>
            </w:tcBorders>
            <w:noWrap/>
            <w:vAlign w:val="center"/>
            <w:hideMark/>
          </w:tcPr>
          <w:p w14:paraId="3881AFC1" w14:textId="77777777" w:rsidR="00722B14" w:rsidRDefault="00722B14" w:rsidP="00DD3BAE">
            <w:pPr>
              <w:spacing w:before="0" w:after="0"/>
              <w:jc w:val="center"/>
              <w:rPr>
                <w:color w:val="000000"/>
                <w:sz w:val="16"/>
                <w:szCs w:val="16"/>
              </w:rPr>
            </w:pPr>
            <w:r>
              <w:rPr>
                <w:color w:val="000000"/>
                <w:sz w:val="16"/>
                <w:szCs w:val="16"/>
              </w:rPr>
              <w:t>-10.96 ±0.18</w:t>
            </w:r>
          </w:p>
        </w:tc>
        <w:tc>
          <w:tcPr>
            <w:tcW w:w="1109" w:type="dxa"/>
            <w:tcBorders>
              <w:top w:val="single" w:sz="4" w:space="0" w:color="auto"/>
              <w:left w:val="nil"/>
              <w:bottom w:val="nil"/>
              <w:right w:val="nil"/>
            </w:tcBorders>
            <w:vAlign w:val="center"/>
            <w:hideMark/>
          </w:tcPr>
          <w:p w14:paraId="62405D72" w14:textId="77777777" w:rsidR="00722B14" w:rsidRDefault="00722B14" w:rsidP="00DD3BAE">
            <w:pPr>
              <w:spacing w:before="0" w:after="0"/>
              <w:jc w:val="center"/>
              <w:rPr>
                <w:color w:val="000000"/>
                <w:sz w:val="16"/>
                <w:szCs w:val="16"/>
              </w:rPr>
            </w:pPr>
            <w:r>
              <w:rPr>
                <w:color w:val="000000"/>
                <w:sz w:val="16"/>
                <w:szCs w:val="16"/>
              </w:rPr>
              <w:t>1.03 ±0.38</w:t>
            </w:r>
          </w:p>
        </w:tc>
        <w:tc>
          <w:tcPr>
            <w:tcW w:w="797" w:type="dxa"/>
            <w:tcBorders>
              <w:top w:val="single" w:sz="4" w:space="0" w:color="auto"/>
              <w:left w:val="nil"/>
              <w:bottom w:val="nil"/>
              <w:right w:val="nil"/>
            </w:tcBorders>
            <w:vAlign w:val="center"/>
            <w:hideMark/>
          </w:tcPr>
          <w:p w14:paraId="5A4DD28D" w14:textId="77777777" w:rsidR="00722B14" w:rsidRDefault="00722B14" w:rsidP="00DD3BAE">
            <w:pPr>
              <w:spacing w:before="0" w:after="0"/>
              <w:jc w:val="center"/>
              <w:rPr>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769359E4" w14:textId="77777777" w:rsidR="00722B14" w:rsidRDefault="00722B14" w:rsidP="00DD3BAE">
            <w:pPr>
              <w:spacing w:before="0" w:after="0"/>
              <w:jc w:val="center"/>
              <w:rPr>
                <w:color w:val="000000"/>
                <w:sz w:val="16"/>
                <w:szCs w:val="16"/>
              </w:rPr>
            </w:pPr>
            <w:r>
              <w:rPr>
                <w:color w:val="000000"/>
                <w:sz w:val="16"/>
                <w:szCs w:val="16"/>
              </w:rPr>
              <w:t>-10.7 (-12.4 to -8.0)</w:t>
            </w:r>
          </w:p>
        </w:tc>
      </w:tr>
      <w:tr w:rsidR="00722B14" w14:paraId="2725C5FF" w14:textId="77777777" w:rsidTr="00DE79BD">
        <w:trPr>
          <w:cantSplit/>
          <w:trHeight w:val="227"/>
          <w:jc w:val="center"/>
        </w:trPr>
        <w:tc>
          <w:tcPr>
            <w:tcW w:w="1077" w:type="dxa"/>
            <w:vAlign w:val="center"/>
          </w:tcPr>
          <w:p w14:paraId="40D9940A" w14:textId="77777777" w:rsidR="00722B14" w:rsidRDefault="00722B14" w:rsidP="00DD3BAE">
            <w:pPr>
              <w:spacing w:before="0" w:after="0"/>
              <w:jc w:val="center"/>
              <w:rPr>
                <w:color w:val="000000"/>
                <w:sz w:val="16"/>
                <w:szCs w:val="16"/>
              </w:rPr>
            </w:pPr>
          </w:p>
        </w:tc>
        <w:tc>
          <w:tcPr>
            <w:tcW w:w="1115" w:type="dxa"/>
            <w:noWrap/>
            <w:vAlign w:val="center"/>
            <w:hideMark/>
          </w:tcPr>
          <w:p w14:paraId="76112D47" w14:textId="77777777" w:rsidR="00722B14" w:rsidRDefault="00722B14" w:rsidP="00DD3BAE">
            <w:pPr>
              <w:spacing w:before="0" w:after="0"/>
              <w:jc w:val="center"/>
              <w:rPr>
                <w:color w:val="000000"/>
                <w:sz w:val="16"/>
                <w:szCs w:val="16"/>
              </w:rPr>
            </w:pPr>
            <w:r>
              <w:rPr>
                <w:color w:val="000000"/>
                <w:sz w:val="16"/>
                <w:szCs w:val="16"/>
              </w:rPr>
              <w:t>subtidal</w:t>
            </w:r>
          </w:p>
        </w:tc>
        <w:tc>
          <w:tcPr>
            <w:tcW w:w="789" w:type="dxa"/>
            <w:noWrap/>
            <w:vAlign w:val="center"/>
          </w:tcPr>
          <w:p w14:paraId="0C030158" w14:textId="77777777" w:rsidR="00722B14" w:rsidRDefault="00722B14" w:rsidP="00DD3BAE">
            <w:pPr>
              <w:spacing w:before="0" w:after="0"/>
              <w:jc w:val="center"/>
              <w:rPr>
                <w:color w:val="000000"/>
                <w:sz w:val="16"/>
                <w:szCs w:val="16"/>
              </w:rPr>
            </w:pPr>
          </w:p>
        </w:tc>
        <w:tc>
          <w:tcPr>
            <w:tcW w:w="621" w:type="dxa"/>
            <w:vAlign w:val="center"/>
            <w:hideMark/>
          </w:tcPr>
          <w:p w14:paraId="6A574CE1" w14:textId="77777777" w:rsidR="00722B14" w:rsidRDefault="00722B14" w:rsidP="00DD3BAE">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14:paraId="322D519E" w14:textId="77777777" w:rsidR="00722B14" w:rsidRDefault="00722B14" w:rsidP="00DD3BAE">
            <w:pPr>
              <w:spacing w:before="0" w:after="0"/>
              <w:jc w:val="center"/>
              <w:rPr>
                <w:color w:val="000000"/>
                <w:sz w:val="16"/>
                <w:szCs w:val="16"/>
              </w:rPr>
            </w:pPr>
            <w:r>
              <w:rPr>
                <w:color w:val="000000"/>
                <w:sz w:val="16"/>
                <w:szCs w:val="16"/>
              </w:rPr>
              <w:t>40.28</w:t>
            </w:r>
          </w:p>
        </w:tc>
        <w:tc>
          <w:tcPr>
            <w:tcW w:w="661" w:type="dxa"/>
            <w:vAlign w:val="center"/>
            <w:hideMark/>
          </w:tcPr>
          <w:p w14:paraId="0FA0FA3C" w14:textId="77777777" w:rsidR="00722B14" w:rsidRDefault="00722B14" w:rsidP="00DD3BAE">
            <w:pPr>
              <w:spacing w:before="0" w:after="0"/>
              <w:jc w:val="center"/>
              <w:rPr>
                <w:color w:val="000000"/>
                <w:sz w:val="16"/>
                <w:szCs w:val="16"/>
              </w:rPr>
            </w:pPr>
            <w:r>
              <w:rPr>
                <w:color w:val="000000"/>
                <w:sz w:val="16"/>
                <w:szCs w:val="16"/>
              </w:rPr>
              <w:t>24.21</w:t>
            </w:r>
          </w:p>
        </w:tc>
        <w:tc>
          <w:tcPr>
            <w:tcW w:w="1109" w:type="dxa"/>
            <w:noWrap/>
            <w:vAlign w:val="center"/>
            <w:hideMark/>
          </w:tcPr>
          <w:p w14:paraId="2DAC8F7D" w14:textId="77777777" w:rsidR="00722B14" w:rsidRDefault="00722B14" w:rsidP="00DD3BAE">
            <w:pPr>
              <w:spacing w:before="0" w:after="0"/>
              <w:jc w:val="center"/>
              <w:rPr>
                <w:color w:val="000000"/>
                <w:sz w:val="16"/>
                <w:szCs w:val="16"/>
              </w:rPr>
            </w:pPr>
            <w:r>
              <w:rPr>
                <w:color w:val="000000"/>
                <w:sz w:val="16"/>
                <w:szCs w:val="16"/>
              </w:rPr>
              <w:t>-11.59 ±0.24</w:t>
            </w:r>
          </w:p>
        </w:tc>
        <w:tc>
          <w:tcPr>
            <w:tcW w:w="1109" w:type="dxa"/>
            <w:vAlign w:val="center"/>
            <w:hideMark/>
          </w:tcPr>
          <w:p w14:paraId="50097105" w14:textId="77777777" w:rsidR="00722B14" w:rsidRDefault="00722B14" w:rsidP="00DD3BAE">
            <w:pPr>
              <w:spacing w:before="0" w:after="0"/>
              <w:jc w:val="center"/>
              <w:rPr>
                <w:color w:val="000000"/>
                <w:sz w:val="16"/>
                <w:szCs w:val="16"/>
              </w:rPr>
            </w:pPr>
            <w:r>
              <w:rPr>
                <w:color w:val="000000"/>
                <w:sz w:val="16"/>
                <w:szCs w:val="16"/>
              </w:rPr>
              <w:t>3.39 ±0.22</w:t>
            </w:r>
          </w:p>
        </w:tc>
        <w:tc>
          <w:tcPr>
            <w:tcW w:w="797" w:type="dxa"/>
            <w:vAlign w:val="center"/>
          </w:tcPr>
          <w:p w14:paraId="1541B904" w14:textId="77777777" w:rsidR="00722B14" w:rsidRDefault="00722B14" w:rsidP="00DD3BAE">
            <w:pPr>
              <w:spacing w:before="0" w:after="0"/>
              <w:jc w:val="center"/>
              <w:rPr>
                <w:i/>
                <w:color w:val="000000"/>
                <w:sz w:val="16"/>
                <w:szCs w:val="16"/>
              </w:rPr>
            </w:pPr>
          </w:p>
        </w:tc>
        <w:tc>
          <w:tcPr>
            <w:tcW w:w="1557" w:type="dxa"/>
            <w:noWrap/>
            <w:vAlign w:val="center"/>
          </w:tcPr>
          <w:p w14:paraId="15638D05" w14:textId="77777777" w:rsidR="00722B14" w:rsidRDefault="00722B14" w:rsidP="00DD3BAE">
            <w:pPr>
              <w:spacing w:before="0" w:after="0"/>
              <w:jc w:val="center"/>
              <w:rPr>
                <w:i/>
                <w:color w:val="000000"/>
                <w:sz w:val="16"/>
                <w:szCs w:val="16"/>
              </w:rPr>
            </w:pPr>
          </w:p>
        </w:tc>
      </w:tr>
      <w:tr w:rsidR="00722B14" w14:paraId="37635E02" w14:textId="77777777" w:rsidTr="00DE79BD">
        <w:trPr>
          <w:cantSplit/>
          <w:trHeight w:val="227"/>
          <w:jc w:val="center"/>
        </w:trPr>
        <w:tc>
          <w:tcPr>
            <w:tcW w:w="1077" w:type="dxa"/>
            <w:vAlign w:val="center"/>
          </w:tcPr>
          <w:p w14:paraId="6F297E8E" w14:textId="77777777" w:rsidR="00722B14" w:rsidRDefault="00722B14" w:rsidP="00DD3BAE">
            <w:pPr>
              <w:spacing w:before="0" w:after="0"/>
              <w:jc w:val="center"/>
              <w:rPr>
                <w:color w:val="000000"/>
                <w:sz w:val="16"/>
                <w:szCs w:val="16"/>
              </w:rPr>
            </w:pPr>
          </w:p>
        </w:tc>
        <w:tc>
          <w:tcPr>
            <w:tcW w:w="1115" w:type="dxa"/>
            <w:noWrap/>
            <w:vAlign w:val="center"/>
          </w:tcPr>
          <w:p w14:paraId="25E91343"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7994A69C"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56C8B47E"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6CC12F7F" w14:textId="77777777" w:rsidR="00722B14" w:rsidRDefault="00722B14" w:rsidP="00DD3BAE">
            <w:pPr>
              <w:spacing w:before="0" w:after="0"/>
              <w:jc w:val="center"/>
              <w:rPr>
                <w:color w:val="000000"/>
                <w:sz w:val="16"/>
                <w:szCs w:val="16"/>
              </w:rPr>
            </w:pPr>
            <w:r>
              <w:rPr>
                <w:color w:val="000000"/>
                <w:sz w:val="16"/>
                <w:szCs w:val="16"/>
              </w:rPr>
              <w:t>41.99</w:t>
            </w:r>
          </w:p>
        </w:tc>
        <w:tc>
          <w:tcPr>
            <w:tcW w:w="661" w:type="dxa"/>
            <w:tcBorders>
              <w:top w:val="nil"/>
              <w:left w:val="nil"/>
              <w:right w:val="nil"/>
            </w:tcBorders>
            <w:vAlign w:val="center"/>
            <w:hideMark/>
          </w:tcPr>
          <w:p w14:paraId="4A48004A" w14:textId="77777777" w:rsidR="00722B14" w:rsidRDefault="00722B14" w:rsidP="00DD3BAE">
            <w:pPr>
              <w:spacing w:before="0" w:after="0"/>
              <w:jc w:val="center"/>
              <w:rPr>
                <w:color w:val="000000"/>
                <w:sz w:val="16"/>
                <w:szCs w:val="16"/>
              </w:rPr>
            </w:pPr>
            <w:r>
              <w:rPr>
                <w:color w:val="000000"/>
                <w:sz w:val="16"/>
                <w:szCs w:val="16"/>
              </w:rPr>
              <w:t>28.24</w:t>
            </w:r>
          </w:p>
        </w:tc>
        <w:tc>
          <w:tcPr>
            <w:tcW w:w="1109" w:type="dxa"/>
            <w:tcBorders>
              <w:top w:val="nil"/>
              <w:left w:val="nil"/>
              <w:right w:val="nil"/>
            </w:tcBorders>
            <w:shd w:val="clear" w:color="auto" w:fill="CCFFCC"/>
            <w:noWrap/>
            <w:vAlign w:val="center"/>
            <w:hideMark/>
          </w:tcPr>
          <w:p w14:paraId="473FF91D" w14:textId="77777777" w:rsidR="00722B14" w:rsidRDefault="00722B14" w:rsidP="00DD3BAE">
            <w:pPr>
              <w:spacing w:before="0" w:after="0"/>
              <w:jc w:val="center"/>
              <w:rPr>
                <w:color w:val="000000"/>
                <w:sz w:val="16"/>
                <w:szCs w:val="16"/>
              </w:rPr>
            </w:pPr>
            <w:r>
              <w:rPr>
                <w:color w:val="000000"/>
                <w:sz w:val="16"/>
                <w:szCs w:val="16"/>
              </w:rPr>
              <w:t>-10.38 ±0.46</w:t>
            </w:r>
          </w:p>
        </w:tc>
        <w:tc>
          <w:tcPr>
            <w:tcW w:w="1109" w:type="dxa"/>
            <w:tcBorders>
              <w:top w:val="nil"/>
              <w:left w:val="nil"/>
              <w:right w:val="nil"/>
            </w:tcBorders>
            <w:vAlign w:val="center"/>
            <w:hideMark/>
          </w:tcPr>
          <w:p w14:paraId="7C44AC64" w14:textId="77777777" w:rsidR="00722B14" w:rsidRDefault="00722B14" w:rsidP="00DD3BAE">
            <w:pPr>
              <w:spacing w:before="0" w:after="0"/>
              <w:jc w:val="center"/>
              <w:rPr>
                <w:color w:val="000000"/>
                <w:sz w:val="16"/>
                <w:szCs w:val="16"/>
              </w:rPr>
            </w:pPr>
            <w:r>
              <w:rPr>
                <w:color w:val="000000"/>
                <w:sz w:val="16"/>
                <w:szCs w:val="16"/>
              </w:rPr>
              <w:t>3.08 ±0.22</w:t>
            </w:r>
          </w:p>
        </w:tc>
        <w:tc>
          <w:tcPr>
            <w:tcW w:w="797" w:type="dxa"/>
            <w:tcBorders>
              <w:top w:val="nil"/>
              <w:left w:val="nil"/>
              <w:right w:val="nil"/>
            </w:tcBorders>
            <w:vAlign w:val="center"/>
          </w:tcPr>
          <w:p w14:paraId="719676E1"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345B8E00" w14:textId="77777777" w:rsidR="00722B14" w:rsidRDefault="00722B14" w:rsidP="00DD3BAE">
            <w:pPr>
              <w:spacing w:before="0" w:after="0"/>
              <w:jc w:val="center"/>
              <w:rPr>
                <w:i/>
                <w:color w:val="000000"/>
                <w:sz w:val="16"/>
                <w:szCs w:val="16"/>
              </w:rPr>
            </w:pPr>
          </w:p>
        </w:tc>
      </w:tr>
      <w:tr w:rsidR="00722B14" w14:paraId="5B074EB6" w14:textId="77777777" w:rsidTr="00DE79BD">
        <w:trPr>
          <w:cantSplit/>
          <w:trHeight w:val="227"/>
          <w:jc w:val="center"/>
        </w:trPr>
        <w:tc>
          <w:tcPr>
            <w:tcW w:w="1077" w:type="dxa"/>
            <w:tcBorders>
              <w:left w:val="nil"/>
              <w:bottom w:val="nil"/>
              <w:right w:val="nil"/>
            </w:tcBorders>
            <w:shd w:val="clear" w:color="auto" w:fill="auto"/>
            <w:vAlign w:val="bottom"/>
          </w:tcPr>
          <w:p w14:paraId="7A1A3B8E" w14:textId="77777777" w:rsidR="00722B14" w:rsidRPr="007C770B" w:rsidRDefault="00722B14" w:rsidP="00DD3BAE">
            <w:pPr>
              <w:spacing w:before="0" w:after="0"/>
              <w:jc w:val="center"/>
              <w:rPr>
                <w:color w:val="000000"/>
                <w:sz w:val="16"/>
                <w:szCs w:val="16"/>
              </w:rPr>
            </w:pPr>
          </w:p>
        </w:tc>
        <w:tc>
          <w:tcPr>
            <w:tcW w:w="1115" w:type="dxa"/>
            <w:tcBorders>
              <w:left w:val="nil"/>
              <w:bottom w:val="nil"/>
              <w:right w:val="nil"/>
            </w:tcBorders>
            <w:shd w:val="clear" w:color="auto" w:fill="auto"/>
            <w:noWrap/>
            <w:vAlign w:val="bottom"/>
          </w:tcPr>
          <w:p w14:paraId="5B6BA5B4" w14:textId="77777777" w:rsidR="00722B14" w:rsidRPr="007C770B" w:rsidRDefault="00722B14" w:rsidP="00DD3BAE">
            <w:pPr>
              <w:spacing w:before="0" w:after="0"/>
              <w:jc w:val="center"/>
              <w:rPr>
                <w:color w:val="000000"/>
                <w:sz w:val="16"/>
                <w:szCs w:val="16"/>
              </w:rPr>
            </w:pPr>
          </w:p>
        </w:tc>
        <w:tc>
          <w:tcPr>
            <w:tcW w:w="789" w:type="dxa"/>
            <w:tcBorders>
              <w:left w:val="nil"/>
              <w:bottom w:val="nil"/>
              <w:right w:val="nil"/>
            </w:tcBorders>
            <w:shd w:val="clear" w:color="auto" w:fill="auto"/>
            <w:noWrap/>
            <w:vAlign w:val="center"/>
          </w:tcPr>
          <w:p w14:paraId="4BC0D29E" w14:textId="77777777" w:rsidR="00722B14" w:rsidRPr="007C770B" w:rsidRDefault="00722B14" w:rsidP="00DD3BAE">
            <w:pPr>
              <w:spacing w:before="0" w:after="0"/>
              <w:jc w:val="center"/>
              <w:rPr>
                <w:color w:val="000000"/>
                <w:sz w:val="16"/>
                <w:szCs w:val="16"/>
              </w:rPr>
            </w:pPr>
          </w:p>
        </w:tc>
        <w:tc>
          <w:tcPr>
            <w:tcW w:w="621" w:type="dxa"/>
            <w:tcBorders>
              <w:left w:val="nil"/>
              <w:bottom w:val="nil"/>
              <w:right w:val="nil"/>
            </w:tcBorders>
            <w:shd w:val="clear" w:color="auto" w:fill="auto"/>
            <w:vAlign w:val="center"/>
          </w:tcPr>
          <w:p w14:paraId="3F5CC446"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left w:val="nil"/>
              <w:bottom w:val="nil"/>
              <w:right w:val="nil"/>
            </w:tcBorders>
            <w:shd w:val="clear" w:color="auto" w:fill="auto"/>
            <w:vAlign w:val="center"/>
          </w:tcPr>
          <w:p w14:paraId="64E29934" w14:textId="77777777" w:rsidR="00722B14" w:rsidRPr="007C770B" w:rsidRDefault="00722B14" w:rsidP="00DD3BAE">
            <w:pPr>
              <w:spacing w:before="0" w:after="0"/>
              <w:jc w:val="center"/>
              <w:rPr>
                <w:color w:val="000000"/>
                <w:sz w:val="16"/>
                <w:szCs w:val="16"/>
              </w:rPr>
            </w:pPr>
            <w:r w:rsidRPr="007C770B">
              <w:rPr>
                <w:color w:val="000000"/>
                <w:sz w:val="16"/>
                <w:szCs w:val="16"/>
              </w:rPr>
              <w:t>40.63</w:t>
            </w:r>
          </w:p>
        </w:tc>
        <w:tc>
          <w:tcPr>
            <w:tcW w:w="661" w:type="dxa"/>
            <w:tcBorders>
              <w:left w:val="nil"/>
              <w:bottom w:val="nil"/>
              <w:right w:val="nil"/>
            </w:tcBorders>
            <w:shd w:val="clear" w:color="auto" w:fill="auto"/>
            <w:vAlign w:val="center"/>
          </w:tcPr>
          <w:p w14:paraId="641C4FAF" w14:textId="77777777" w:rsidR="00722B14" w:rsidRPr="007C770B" w:rsidRDefault="00722B14" w:rsidP="00DD3BAE">
            <w:pPr>
              <w:spacing w:before="0" w:after="0"/>
              <w:jc w:val="center"/>
              <w:rPr>
                <w:color w:val="000000"/>
                <w:sz w:val="16"/>
                <w:szCs w:val="16"/>
              </w:rPr>
            </w:pPr>
            <w:r w:rsidRPr="007C770B">
              <w:rPr>
                <w:color w:val="000000"/>
                <w:sz w:val="16"/>
                <w:szCs w:val="16"/>
              </w:rPr>
              <w:t>21.24</w:t>
            </w:r>
          </w:p>
        </w:tc>
        <w:tc>
          <w:tcPr>
            <w:tcW w:w="1109" w:type="dxa"/>
            <w:tcBorders>
              <w:left w:val="nil"/>
              <w:bottom w:val="nil"/>
              <w:right w:val="nil"/>
            </w:tcBorders>
            <w:shd w:val="clear" w:color="auto" w:fill="CCFFCC"/>
            <w:noWrap/>
            <w:vAlign w:val="center"/>
          </w:tcPr>
          <w:p w14:paraId="2D29C6B7" w14:textId="77777777" w:rsidR="00722B14" w:rsidRPr="007C770B" w:rsidRDefault="00722B14" w:rsidP="00DD3BAE">
            <w:pPr>
              <w:spacing w:before="0" w:after="0"/>
              <w:jc w:val="center"/>
              <w:rPr>
                <w:color w:val="000000"/>
                <w:sz w:val="16"/>
                <w:szCs w:val="16"/>
              </w:rPr>
            </w:pPr>
            <w:r w:rsidRPr="007C770B">
              <w:rPr>
                <w:color w:val="000000"/>
                <w:sz w:val="16"/>
                <w:szCs w:val="16"/>
              </w:rPr>
              <w:t>-10.52 ±0.25</w:t>
            </w:r>
          </w:p>
        </w:tc>
        <w:tc>
          <w:tcPr>
            <w:tcW w:w="1109" w:type="dxa"/>
            <w:tcBorders>
              <w:left w:val="nil"/>
              <w:bottom w:val="nil"/>
              <w:right w:val="nil"/>
            </w:tcBorders>
            <w:shd w:val="clear" w:color="auto" w:fill="auto"/>
            <w:vAlign w:val="center"/>
          </w:tcPr>
          <w:p w14:paraId="36B921AA" w14:textId="77777777" w:rsidR="00722B14" w:rsidRPr="007C770B" w:rsidRDefault="00722B14" w:rsidP="00DD3BAE">
            <w:pPr>
              <w:spacing w:before="0" w:after="0"/>
              <w:jc w:val="center"/>
              <w:rPr>
                <w:color w:val="000000"/>
                <w:sz w:val="16"/>
                <w:szCs w:val="16"/>
              </w:rPr>
            </w:pPr>
            <w:r w:rsidRPr="007C770B">
              <w:rPr>
                <w:color w:val="000000"/>
                <w:sz w:val="16"/>
                <w:szCs w:val="16"/>
              </w:rPr>
              <w:t>1.05 ±1.11</w:t>
            </w:r>
          </w:p>
        </w:tc>
        <w:tc>
          <w:tcPr>
            <w:tcW w:w="797" w:type="dxa"/>
            <w:tcBorders>
              <w:left w:val="nil"/>
              <w:bottom w:val="nil"/>
              <w:right w:val="nil"/>
            </w:tcBorders>
            <w:shd w:val="clear" w:color="auto" w:fill="auto"/>
            <w:vAlign w:val="center"/>
          </w:tcPr>
          <w:p w14:paraId="774D3FA9" w14:textId="77777777" w:rsidR="00722B14" w:rsidRDefault="00722B14" w:rsidP="00DD3BAE">
            <w:pPr>
              <w:spacing w:before="0" w:after="0"/>
              <w:jc w:val="center"/>
              <w:rPr>
                <w:i/>
                <w:color w:val="000000"/>
                <w:sz w:val="16"/>
                <w:szCs w:val="16"/>
              </w:rPr>
            </w:pPr>
          </w:p>
        </w:tc>
        <w:tc>
          <w:tcPr>
            <w:tcW w:w="1557" w:type="dxa"/>
            <w:tcBorders>
              <w:left w:val="nil"/>
              <w:bottom w:val="nil"/>
              <w:right w:val="nil"/>
            </w:tcBorders>
            <w:shd w:val="clear" w:color="auto" w:fill="auto"/>
            <w:noWrap/>
            <w:vAlign w:val="center"/>
          </w:tcPr>
          <w:p w14:paraId="69902C7B" w14:textId="77777777" w:rsidR="00722B14" w:rsidRDefault="00722B14" w:rsidP="00DD3BAE">
            <w:pPr>
              <w:spacing w:before="0" w:after="0"/>
              <w:jc w:val="center"/>
              <w:rPr>
                <w:i/>
                <w:color w:val="000000"/>
                <w:sz w:val="16"/>
                <w:szCs w:val="16"/>
              </w:rPr>
            </w:pPr>
          </w:p>
        </w:tc>
      </w:tr>
      <w:tr w:rsidR="00722B14" w14:paraId="1C367FDE" w14:textId="77777777" w:rsidTr="00DE79BD">
        <w:trPr>
          <w:cantSplit/>
          <w:trHeight w:val="227"/>
          <w:jc w:val="center"/>
        </w:trPr>
        <w:tc>
          <w:tcPr>
            <w:tcW w:w="1077" w:type="dxa"/>
            <w:tcBorders>
              <w:left w:val="nil"/>
              <w:bottom w:val="nil"/>
              <w:right w:val="nil"/>
            </w:tcBorders>
            <w:shd w:val="clear" w:color="auto" w:fill="auto"/>
            <w:vAlign w:val="center"/>
          </w:tcPr>
          <w:p w14:paraId="426388C3" w14:textId="77777777" w:rsidR="00722B14" w:rsidRPr="007C770B" w:rsidRDefault="00722B14" w:rsidP="00DD3BAE">
            <w:pPr>
              <w:spacing w:before="0" w:after="0"/>
              <w:jc w:val="center"/>
              <w:rPr>
                <w:color w:val="000000"/>
                <w:sz w:val="16"/>
                <w:szCs w:val="16"/>
              </w:rPr>
            </w:pPr>
          </w:p>
        </w:tc>
        <w:tc>
          <w:tcPr>
            <w:tcW w:w="1115" w:type="dxa"/>
            <w:tcBorders>
              <w:left w:val="nil"/>
              <w:bottom w:val="nil"/>
              <w:right w:val="nil"/>
            </w:tcBorders>
            <w:shd w:val="clear" w:color="auto" w:fill="auto"/>
            <w:noWrap/>
            <w:vAlign w:val="center"/>
          </w:tcPr>
          <w:p w14:paraId="7F828936" w14:textId="77777777" w:rsidR="00722B14" w:rsidRPr="007C770B" w:rsidRDefault="00722B14" w:rsidP="00DD3BAE">
            <w:pPr>
              <w:spacing w:before="0" w:after="0"/>
              <w:jc w:val="center"/>
              <w:rPr>
                <w:color w:val="000000"/>
                <w:sz w:val="16"/>
                <w:szCs w:val="16"/>
              </w:rPr>
            </w:pPr>
          </w:p>
        </w:tc>
        <w:tc>
          <w:tcPr>
            <w:tcW w:w="789" w:type="dxa"/>
            <w:tcBorders>
              <w:left w:val="nil"/>
              <w:bottom w:val="nil"/>
              <w:right w:val="nil"/>
            </w:tcBorders>
            <w:shd w:val="clear" w:color="auto" w:fill="auto"/>
            <w:noWrap/>
            <w:vAlign w:val="center"/>
          </w:tcPr>
          <w:p w14:paraId="4DD6DDCB" w14:textId="77777777" w:rsidR="00722B14" w:rsidRPr="007C770B" w:rsidRDefault="00722B14" w:rsidP="00DD3BAE">
            <w:pPr>
              <w:spacing w:before="0" w:after="0"/>
              <w:jc w:val="center"/>
              <w:rPr>
                <w:color w:val="000000"/>
                <w:sz w:val="16"/>
                <w:szCs w:val="16"/>
              </w:rPr>
            </w:pPr>
          </w:p>
        </w:tc>
        <w:tc>
          <w:tcPr>
            <w:tcW w:w="621" w:type="dxa"/>
            <w:tcBorders>
              <w:left w:val="nil"/>
              <w:bottom w:val="nil"/>
              <w:right w:val="nil"/>
            </w:tcBorders>
            <w:shd w:val="clear" w:color="auto" w:fill="auto"/>
            <w:vAlign w:val="center"/>
          </w:tcPr>
          <w:p w14:paraId="47079448"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nil"/>
              <w:right w:val="nil"/>
            </w:tcBorders>
            <w:shd w:val="clear" w:color="auto" w:fill="auto"/>
            <w:vAlign w:val="center"/>
          </w:tcPr>
          <w:p w14:paraId="08D05857" w14:textId="77777777" w:rsidR="00722B14" w:rsidRPr="005C517D" w:rsidRDefault="00722B14" w:rsidP="00DD3BAE">
            <w:pPr>
              <w:spacing w:before="0" w:after="0"/>
              <w:jc w:val="center"/>
              <w:rPr>
                <w:color w:val="000000"/>
                <w:sz w:val="16"/>
                <w:szCs w:val="16"/>
              </w:rPr>
            </w:pPr>
            <w:r w:rsidRPr="005C517D">
              <w:rPr>
                <w:color w:val="000000"/>
                <w:sz w:val="16"/>
                <w:szCs w:val="16"/>
              </w:rPr>
              <w:t>41.19</w:t>
            </w:r>
          </w:p>
        </w:tc>
        <w:tc>
          <w:tcPr>
            <w:tcW w:w="661" w:type="dxa"/>
            <w:tcBorders>
              <w:left w:val="nil"/>
              <w:bottom w:val="nil"/>
              <w:right w:val="nil"/>
            </w:tcBorders>
            <w:shd w:val="clear" w:color="auto" w:fill="auto"/>
            <w:vAlign w:val="center"/>
          </w:tcPr>
          <w:p w14:paraId="3BD9AE57" w14:textId="77777777" w:rsidR="00722B14" w:rsidRPr="005C517D" w:rsidRDefault="00722B14" w:rsidP="00DD3BAE">
            <w:pPr>
              <w:spacing w:before="0" w:after="0"/>
              <w:jc w:val="center"/>
              <w:rPr>
                <w:color w:val="000000"/>
                <w:sz w:val="16"/>
                <w:szCs w:val="16"/>
              </w:rPr>
            </w:pPr>
            <w:r w:rsidRPr="005C517D">
              <w:rPr>
                <w:color w:val="000000"/>
                <w:sz w:val="16"/>
                <w:szCs w:val="16"/>
              </w:rPr>
              <w:t>22.19</w:t>
            </w:r>
          </w:p>
        </w:tc>
        <w:tc>
          <w:tcPr>
            <w:tcW w:w="1109" w:type="dxa"/>
            <w:tcBorders>
              <w:left w:val="nil"/>
              <w:bottom w:val="nil"/>
              <w:right w:val="nil"/>
            </w:tcBorders>
            <w:shd w:val="clear" w:color="auto" w:fill="auto"/>
            <w:noWrap/>
            <w:vAlign w:val="center"/>
          </w:tcPr>
          <w:p w14:paraId="290203F1" w14:textId="77777777" w:rsidR="00722B14" w:rsidRPr="005C517D" w:rsidRDefault="00722B14" w:rsidP="00DD3BAE">
            <w:pPr>
              <w:spacing w:before="0" w:after="0"/>
              <w:jc w:val="center"/>
              <w:rPr>
                <w:color w:val="000000"/>
                <w:sz w:val="16"/>
                <w:szCs w:val="16"/>
              </w:rPr>
            </w:pPr>
            <w:r w:rsidRPr="005C517D">
              <w:rPr>
                <w:color w:val="000000"/>
                <w:sz w:val="16"/>
                <w:szCs w:val="16"/>
              </w:rPr>
              <w:t>-11.36 ±0.08</w:t>
            </w:r>
          </w:p>
        </w:tc>
        <w:tc>
          <w:tcPr>
            <w:tcW w:w="1109" w:type="dxa"/>
            <w:tcBorders>
              <w:left w:val="nil"/>
              <w:bottom w:val="nil"/>
              <w:right w:val="nil"/>
            </w:tcBorders>
            <w:shd w:val="clear" w:color="auto" w:fill="auto"/>
            <w:vAlign w:val="center"/>
          </w:tcPr>
          <w:p w14:paraId="4D5E0134" w14:textId="77777777" w:rsidR="00722B14" w:rsidRPr="005C517D" w:rsidRDefault="00722B14" w:rsidP="00DD3BAE">
            <w:pPr>
              <w:spacing w:before="0" w:after="0"/>
              <w:jc w:val="center"/>
              <w:rPr>
                <w:color w:val="000000"/>
                <w:sz w:val="16"/>
                <w:szCs w:val="16"/>
              </w:rPr>
            </w:pPr>
            <w:r w:rsidRPr="005C517D">
              <w:rPr>
                <w:color w:val="000000"/>
                <w:sz w:val="16"/>
                <w:szCs w:val="16"/>
              </w:rPr>
              <w:t>3.19 ±0.08</w:t>
            </w:r>
          </w:p>
        </w:tc>
        <w:tc>
          <w:tcPr>
            <w:tcW w:w="797" w:type="dxa"/>
            <w:tcBorders>
              <w:left w:val="nil"/>
              <w:bottom w:val="nil"/>
              <w:right w:val="nil"/>
            </w:tcBorders>
            <w:shd w:val="clear" w:color="auto" w:fill="auto"/>
            <w:vAlign w:val="center"/>
          </w:tcPr>
          <w:p w14:paraId="2A60FAC3" w14:textId="77777777" w:rsidR="00722B14" w:rsidRDefault="00722B14" w:rsidP="00DD3BAE">
            <w:pPr>
              <w:spacing w:before="0" w:after="0"/>
              <w:jc w:val="center"/>
              <w:rPr>
                <w:i/>
                <w:color w:val="000000"/>
                <w:sz w:val="16"/>
                <w:szCs w:val="16"/>
              </w:rPr>
            </w:pPr>
          </w:p>
        </w:tc>
        <w:tc>
          <w:tcPr>
            <w:tcW w:w="1557" w:type="dxa"/>
            <w:tcBorders>
              <w:left w:val="nil"/>
              <w:bottom w:val="nil"/>
              <w:right w:val="nil"/>
            </w:tcBorders>
            <w:shd w:val="clear" w:color="auto" w:fill="auto"/>
            <w:noWrap/>
            <w:vAlign w:val="center"/>
          </w:tcPr>
          <w:p w14:paraId="6580E0A1" w14:textId="77777777" w:rsidR="00722B14" w:rsidRDefault="00722B14" w:rsidP="00DD3BAE">
            <w:pPr>
              <w:spacing w:before="0" w:after="0"/>
              <w:jc w:val="center"/>
              <w:rPr>
                <w:i/>
                <w:color w:val="000000"/>
                <w:sz w:val="16"/>
                <w:szCs w:val="16"/>
              </w:rPr>
            </w:pPr>
          </w:p>
        </w:tc>
      </w:tr>
      <w:tr w:rsidR="00722B14" w14:paraId="3633BA0A" w14:textId="77777777" w:rsidTr="00DE79BD">
        <w:trPr>
          <w:cantSplit/>
          <w:trHeight w:val="227"/>
          <w:jc w:val="center"/>
        </w:trPr>
        <w:tc>
          <w:tcPr>
            <w:tcW w:w="1077" w:type="dxa"/>
            <w:vAlign w:val="center"/>
          </w:tcPr>
          <w:p w14:paraId="71D43964" w14:textId="77777777" w:rsidR="00722B14" w:rsidRDefault="00722B14" w:rsidP="00DD3BAE">
            <w:pPr>
              <w:spacing w:before="0" w:after="0"/>
              <w:jc w:val="center"/>
              <w:rPr>
                <w:color w:val="000000"/>
                <w:sz w:val="16"/>
                <w:szCs w:val="16"/>
              </w:rPr>
            </w:pPr>
          </w:p>
        </w:tc>
        <w:tc>
          <w:tcPr>
            <w:tcW w:w="1115" w:type="dxa"/>
            <w:noWrap/>
            <w:vAlign w:val="center"/>
          </w:tcPr>
          <w:p w14:paraId="75AAB80C"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14:paraId="316394FA" w14:textId="77777777" w:rsidR="00722B14" w:rsidRDefault="00722B14" w:rsidP="00DD3BAE">
            <w:pPr>
              <w:spacing w:before="0" w:after="0"/>
              <w:jc w:val="center"/>
              <w:rPr>
                <w:color w:val="000000"/>
                <w:sz w:val="16"/>
                <w:szCs w:val="16"/>
              </w:rPr>
            </w:pPr>
            <w:r>
              <w:rPr>
                <w:color w:val="000000"/>
                <w:sz w:val="16"/>
                <w:szCs w:val="16"/>
              </w:rPr>
              <w:t>HS</w:t>
            </w:r>
          </w:p>
        </w:tc>
        <w:tc>
          <w:tcPr>
            <w:tcW w:w="621" w:type="dxa"/>
            <w:tcBorders>
              <w:top w:val="single" w:sz="4" w:space="0" w:color="auto"/>
              <w:left w:val="nil"/>
              <w:bottom w:val="single" w:sz="4" w:space="0" w:color="auto"/>
              <w:right w:val="nil"/>
            </w:tcBorders>
            <w:vAlign w:val="center"/>
            <w:hideMark/>
          </w:tcPr>
          <w:p w14:paraId="545714F5"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single" w:sz="4" w:space="0" w:color="auto"/>
              <w:right w:val="nil"/>
            </w:tcBorders>
            <w:vAlign w:val="center"/>
            <w:hideMark/>
          </w:tcPr>
          <w:p w14:paraId="2BCBE88D" w14:textId="77777777" w:rsidR="00722B14" w:rsidRDefault="00722B14" w:rsidP="00DD3BAE">
            <w:pPr>
              <w:spacing w:before="0" w:after="0"/>
              <w:jc w:val="center"/>
              <w:rPr>
                <w:color w:val="000000"/>
                <w:sz w:val="16"/>
                <w:szCs w:val="16"/>
              </w:rPr>
            </w:pPr>
            <w:r>
              <w:rPr>
                <w:color w:val="000000"/>
                <w:sz w:val="16"/>
                <w:szCs w:val="16"/>
              </w:rPr>
              <w:t>37.35</w:t>
            </w:r>
          </w:p>
        </w:tc>
        <w:tc>
          <w:tcPr>
            <w:tcW w:w="661" w:type="dxa"/>
            <w:tcBorders>
              <w:top w:val="single" w:sz="4" w:space="0" w:color="auto"/>
              <w:left w:val="nil"/>
              <w:bottom w:val="single" w:sz="4" w:space="0" w:color="auto"/>
              <w:right w:val="nil"/>
            </w:tcBorders>
            <w:vAlign w:val="center"/>
            <w:hideMark/>
          </w:tcPr>
          <w:p w14:paraId="48A53221" w14:textId="77777777" w:rsidR="00722B14" w:rsidRDefault="00722B14" w:rsidP="00DD3BAE">
            <w:pPr>
              <w:spacing w:before="0" w:after="0"/>
              <w:jc w:val="center"/>
              <w:rPr>
                <w:color w:val="000000"/>
                <w:sz w:val="16"/>
                <w:szCs w:val="16"/>
              </w:rPr>
            </w:pPr>
            <w:r>
              <w:rPr>
                <w:color w:val="000000"/>
                <w:sz w:val="16"/>
                <w:szCs w:val="16"/>
              </w:rPr>
              <w:t>31.12</w:t>
            </w:r>
          </w:p>
        </w:tc>
        <w:tc>
          <w:tcPr>
            <w:tcW w:w="1109" w:type="dxa"/>
            <w:tcBorders>
              <w:top w:val="single" w:sz="4" w:space="0" w:color="auto"/>
              <w:left w:val="nil"/>
              <w:bottom w:val="single" w:sz="4" w:space="0" w:color="auto"/>
              <w:right w:val="nil"/>
            </w:tcBorders>
            <w:noWrap/>
            <w:vAlign w:val="center"/>
            <w:hideMark/>
          </w:tcPr>
          <w:p w14:paraId="0480EBB7" w14:textId="77777777" w:rsidR="00722B14" w:rsidRDefault="00722B14" w:rsidP="00DD3BAE">
            <w:pPr>
              <w:spacing w:before="0" w:after="0"/>
              <w:jc w:val="center"/>
              <w:rPr>
                <w:color w:val="000000"/>
                <w:sz w:val="16"/>
                <w:szCs w:val="16"/>
              </w:rPr>
            </w:pPr>
            <w:r>
              <w:rPr>
                <w:color w:val="000000"/>
                <w:sz w:val="16"/>
                <w:szCs w:val="16"/>
              </w:rPr>
              <w:t>-12.32</w:t>
            </w:r>
          </w:p>
        </w:tc>
        <w:tc>
          <w:tcPr>
            <w:tcW w:w="1109" w:type="dxa"/>
            <w:tcBorders>
              <w:top w:val="single" w:sz="4" w:space="0" w:color="auto"/>
              <w:left w:val="nil"/>
              <w:bottom w:val="single" w:sz="4" w:space="0" w:color="auto"/>
              <w:right w:val="nil"/>
            </w:tcBorders>
            <w:vAlign w:val="center"/>
            <w:hideMark/>
          </w:tcPr>
          <w:p w14:paraId="60DF8925" w14:textId="77777777" w:rsidR="00722B14" w:rsidRDefault="00722B14" w:rsidP="00DD3BAE">
            <w:pPr>
              <w:spacing w:before="0" w:after="0"/>
              <w:jc w:val="center"/>
              <w:rPr>
                <w:color w:val="000000"/>
                <w:sz w:val="16"/>
                <w:szCs w:val="16"/>
              </w:rPr>
            </w:pPr>
            <w:r>
              <w:rPr>
                <w:color w:val="000000"/>
                <w:sz w:val="16"/>
                <w:szCs w:val="16"/>
              </w:rPr>
              <w:t>3.11</w:t>
            </w:r>
          </w:p>
        </w:tc>
        <w:tc>
          <w:tcPr>
            <w:tcW w:w="797" w:type="dxa"/>
            <w:tcBorders>
              <w:top w:val="single" w:sz="4" w:space="0" w:color="auto"/>
              <w:left w:val="nil"/>
              <w:bottom w:val="single" w:sz="4" w:space="0" w:color="auto"/>
              <w:right w:val="nil"/>
            </w:tcBorders>
            <w:vAlign w:val="center"/>
          </w:tcPr>
          <w:p w14:paraId="7A9D3D16" w14:textId="77777777" w:rsidR="00722B14" w:rsidRDefault="00722B14" w:rsidP="00DD3BAE">
            <w:pPr>
              <w:spacing w:before="0" w:after="0"/>
              <w:jc w:val="center"/>
              <w:rPr>
                <w:i/>
                <w:color w:val="000000"/>
                <w:sz w:val="16"/>
                <w:szCs w:val="16"/>
              </w:rPr>
            </w:pPr>
          </w:p>
        </w:tc>
        <w:tc>
          <w:tcPr>
            <w:tcW w:w="1557" w:type="dxa"/>
            <w:tcBorders>
              <w:top w:val="single" w:sz="4" w:space="0" w:color="auto"/>
              <w:left w:val="nil"/>
              <w:bottom w:val="single" w:sz="4" w:space="0" w:color="auto"/>
              <w:right w:val="nil"/>
            </w:tcBorders>
            <w:noWrap/>
            <w:vAlign w:val="center"/>
          </w:tcPr>
          <w:p w14:paraId="7D3D5D5D" w14:textId="77777777" w:rsidR="00722B14" w:rsidRDefault="00722B14" w:rsidP="00DD3BAE">
            <w:pPr>
              <w:spacing w:before="0" w:after="0"/>
              <w:jc w:val="center"/>
              <w:rPr>
                <w:i/>
                <w:color w:val="000000"/>
                <w:sz w:val="16"/>
                <w:szCs w:val="16"/>
              </w:rPr>
            </w:pPr>
          </w:p>
        </w:tc>
      </w:tr>
      <w:tr w:rsidR="00722B14" w14:paraId="195AD25E" w14:textId="77777777" w:rsidTr="00DE79BD">
        <w:trPr>
          <w:cantSplit/>
          <w:trHeight w:val="227"/>
          <w:jc w:val="center"/>
        </w:trPr>
        <w:tc>
          <w:tcPr>
            <w:tcW w:w="1077" w:type="dxa"/>
            <w:vAlign w:val="center"/>
          </w:tcPr>
          <w:p w14:paraId="7974D1D8" w14:textId="77777777" w:rsidR="00722B14" w:rsidRDefault="00722B14" w:rsidP="00DD3BAE">
            <w:pPr>
              <w:spacing w:before="0" w:after="0"/>
              <w:jc w:val="center"/>
              <w:rPr>
                <w:color w:val="000000"/>
                <w:sz w:val="16"/>
                <w:szCs w:val="16"/>
              </w:rPr>
            </w:pPr>
          </w:p>
        </w:tc>
        <w:tc>
          <w:tcPr>
            <w:tcW w:w="1115" w:type="dxa"/>
            <w:noWrap/>
            <w:vAlign w:val="center"/>
          </w:tcPr>
          <w:p w14:paraId="11A33EDD"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3EAF4D45"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6634379E" w14:textId="77777777" w:rsidR="00722B14" w:rsidRDefault="00722B14" w:rsidP="00DD3BAE">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7C468348" w14:textId="77777777" w:rsidR="00722B14" w:rsidRDefault="00722B14" w:rsidP="00DD3BAE">
            <w:pPr>
              <w:spacing w:before="0" w:after="0"/>
              <w:jc w:val="center"/>
              <w:rPr>
                <w:color w:val="000000"/>
                <w:sz w:val="16"/>
                <w:szCs w:val="16"/>
              </w:rPr>
            </w:pPr>
            <w:r>
              <w:rPr>
                <w:color w:val="000000"/>
                <w:sz w:val="16"/>
                <w:szCs w:val="16"/>
              </w:rPr>
              <w:t>38.29</w:t>
            </w:r>
          </w:p>
        </w:tc>
        <w:tc>
          <w:tcPr>
            <w:tcW w:w="661" w:type="dxa"/>
            <w:tcBorders>
              <w:top w:val="single" w:sz="4" w:space="0" w:color="auto"/>
              <w:left w:val="nil"/>
              <w:bottom w:val="nil"/>
              <w:right w:val="nil"/>
            </w:tcBorders>
            <w:shd w:val="clear" w:color="auto" w:fill="CCFFCC"/>
            <w:vAlign w:val="center"/>
            <w:hideMark/>
          </w:tcPr>
          <w:p w14:paraId="38276E06" w14:textId="77777777" w:rsidR="00722B14" w:rsidRDefault="00722B14" w:rsidP="00DD3BAE">
            <w:pPr>
              <w:spacing w:before="0" w:after="0"/>
              <w:jc w:val="center"/>
              <w:rPr>
                <w:color w:val="000000"/>
                <w:sz w:val="16"/>
                <w:szCs w:val="16"/>
              </w:rPr>
            </w:pPr>
            <w:r>
              <w:rPr>
                <w:color w:val="000000"/>
                <w:sz w:val="16"/>
                <w:szCs w:val="16"/>
              </w:rPr>
              <w:t>16.60</w:t>
            </w:r>
          </w:p>
        </w:tc>
        <w:tc>
          <w:tcPr>
            <w:tcW w:w="1109" w:type="dxa"/>
            <w:tcBorders>
              <w:top w:val="single" w:sz="4" w:space="0" w:color="auto"/>
              <w:left w:val="nil"/>
              <w:bottom w:val="nil"/>
              <w:right w:val="nil"/>
            </w:tcBorders>
            <w:shd w:val="clear" w:color="auto" w:fill="CCFFCC"/>
            <w:noWrap/>
            <w:vAlign w:val="center"/>
            <w:hideMark/>
          </w:tcPr>
          <w:p w14:paraId="5BB4A23C" w14:textId="77777777" w:rsidR="00722B14" w:rsidRDefault="00722B14" w:rsidP="00DD3BAE">
            <w:pPr>
              <w:spacing w:before="0" w:after="0"/>
              <w:jc w:val="center"/>
              <w:rPr>
                <w:color w:val="000000"/>
                <w:sz w:val="16"/>
                <w:szCs w:val="16"/>
              </w:rPr>
            </w:pPr>
            <w:r>
              <w:rPr>
                <w:color w:val="000000"/>
                <w:sz w:val="16"/>
                <w:szCs w:val="16"/>
              </w:rPr>
              <w:t>-10.69 ±1.00</w:t>
            </w:r>
          </w:p>
        </w:tc>
        <w:tc>
          <w:tcPr>
            <w:tcW w:w="1109" w:type="dxa"/>
            <w:tcBorders>
              <w:top w:val="single" w:sz="4" w:space="0" w:color="auto"/>
              <w:left w:val="nil"/>
              <w:bottom w:val="nil"/>
              <w:right w:val="nil"/>
            </w:tcBorders>
            <w:vAlign w:val="center"/>
            <w:hideMark/>
          </w:tcPr>
          <w:p w14:paraId="3BC0D1A1" w14:textId="77777777" w:rsidR="00722B14" w:rsidRDefault="00722B14" w:rsidP="00DD3BAE">
            <w:pPr>
              <w:spacing w:before="0" w:after="0"/>
              <w:jc w:val="center"/>
              <w:rPr>
                <w:color w:val="000000"/>
                <w:sz w:val="16"/>
                <w:szCs w:val="16"/>
              </w:rPr>
            </w:pPr>
            <w:r>
              <w:rPr>
                <w:color w:val="000000"/>
                <w:sz w:val="16"/>
                <w:szCs w:val="16"/>
              </w:rPr>
              <w:t>1.05 ±0.48</w:t>
            </w:r>
          </w:p>
        </w:tc>
        <w:tc>
          <w:tcPr>
            <w:tcW w:w="797" w:type="dxa"/>
            <w:tcBorders>
              <w:top w:val="single" w:sz="4" w:space="0" w:color="auto"/>
              <w:left w:val="nil"/>
              <w:bottom w:val="nil"/>
              <w:right w:val="nil"/>
            </w:tcBorders>
            <w:vAlign w:val="center"/>
            <w:hideMark/>
          </w:tcPr>
          <w:p w14:paraId="6F36F4A9"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2A54FC2B"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6353BFD4" w14:textId="77777777" w:rsidTr="00DE79BD">
        <w:trPr>
          <w:cantSplit/>
          <w:trHeight w:val="227"/>
          <w:jc w:val="center"/>
        </w:trPr>
        <w:tc>
          <w:tcPr>
            <w:tcW w:w="1077" w:type="dxa"/>
            <w:vAlign w:val="center"/>
          </w:tcPr>
          <w:p w14:paraId="4C452455" w14:textId="77777777" w:rsidR="00722B14" w:rsidRDefault="00722B14" w:rsidP="00DD3BAE">
            <w:pPr>
              <w:spacing w:before="0" w:after="0"/>
              <w:jc w:val="center"/>
              <w:rPr>
                <w:color w:val="000000"/>
                <w:sz w:val="16"/>
                <w:szCs w:val="16"/>
              </w:rPr>
            </w:pPr>
          </w:p>
        </w:tc>
        <w:tc>
          <w:tcPr>
            <w:tcW w:w="1115" w:type="dxa"/>
            <w:noWrap/>
            <w:vAlign w:val="center"/>
          </w:tcPr>
          <w:p w14:paraId="138FB5F6" w14:textId="77777777" w:rsidR="00722B14" w:rsidRDefault="00722B14" w:rsidP="00DD3BAE">
            <w:pPr>
              <w:spacing w:before="0" w:after="0"/>
              <w:jc w:val="center"/>
              <w:rPr>
                <w:color w:val="000000"/>
                <w:sz w:val="16"/>
                <w:szCs w:val="16"/>
              </w:rPr>
            </w:pPr>
          </w:p>
        </w:tc>
        <w:tc>
          <w:tcPr>
            <w:tcW w:w="789" w:type="dxa"/>
            <w:noWrap/>
            <w:vAlign w:val="center"/>
          </w:tcPr>
          <w:p w14:paraId="0B44531F" w14:textId="77777777" w:rsidR="00722B14" w:rsidRDefault="00722B14" w:rsidP="00DD3BAE">
            <w:pPr>
              <w:spacing w:before="0" w:after="0"/>
              <w:jc w:val="center"/>
              <w:rPr>
                <w:color w:val="000000"/>
                <w:sz w:val="16"/>
                <w:szCs w:val="16"/>
              </w:rPr>
            </w:pPr>
          </w:p>
        </w:tc>
        <w:tc>
          <w:tcPr>
            <w:tcW w:w="621" w:type="dxa"/>
            <w:vAlign w:val="center"/>
            <w:hideMark/>
          </w:tcPr>
          <w:p w14:paraId="57357AF1" w14:textId="77777777" w:rsidR="00722B14" w:rsidRDefault="00722B14" w:rsidP="00DD3BAE">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39BA4F9C" w14:textId="77777777" w:rsidR="00722B14" w:rsidRDefault="00722B14" w:rsidP="00DD3BAE">
            <w:pPr>
              <w:spacing w:before="0" w:after="0"/>
              <w:jc w:val="center"/>
              <w:rPr>
                <w:color w:val="000000"/>
                <w:sz w:val="16"/>
                <w:szCs w:val="16"/>
              </w:rPr>
            </w:pPr>
            <w:r>
              <w:rPr>
                <w:color w:val="000000"/>
                <w:sz w:val="16"/>
                <w:szCs w:val="16"/>
              </w:rPr>
              <w:t>30.12</w:t>
            </w:r>
          </w:p>
        </w:tc>
        <w:tc>
          <w:tcPr>
            <w:tcW w:w="661" w:type="dxa"/>
            <w:shd w:val="clear" w:color="auto" w:fill="CCFFCC"/>
            <w:vAlign w:val="center"/>
            <w:hideMark/>
          </w:tcPr>
          <w:p w14:paraId="3B8CE844" w14:textId="77777777" w:rsidR="00722B14" w:rsidRDefault="00722B14" w:rsidP="00DD3BAE">
            <w:pPr>
              <w:spacing w:before="0" w:after="0"/>
              <w:jc w:val="center"/>
              <w:rPr>
                <w:color w:val="000000"/>
                <w:sz w:val="16"/>
                <w:szCs w:val="16"/>
              </w:rPr>
            </w:pPr>
            <w:r>
              <w:rPr>
                <w:color w:val="000000"/>
                <w:sz w:val="16"/>
                <w:szCs w:val="16"/>
              </w:rPr>
              <w:t>16.10</w:t>
            </w:r>
          </w:p>
        </w:tc>
        <w:tc>
          <w:tcPr>
            <w:tcW w:w="1109" w:type="dxa"/>
            <w:noWrap/>
            <w:vAlign w:val="center"/>
            <w:hideMark/>
          </w:tcPr>
          <w:p w14:paraId="27B75551" w14:textId="77777777" w:rsidR="00722B14" w:rsidRDefault="00722B14" w:rsidP="00DD3BAE">
            <w:pPr>
              <w:spacing w:before="0" w:after="0"/>
              <w:jc w:val="center"/>
              <w:rPr>
                <w:color w:val="000000"/>
                <w:sz w:val="16"/>
                <w:szCs w:val="16"/>
              </w:rPr>
            </w:pPr>
            <w:r>
              <w:rPr>
                <w:color w:val="000000"/>
                <w:sz w:val="16"/>
                <w:szCs w:val="16"/>
              </w:rPr>
              <w:t>-12.35 ±0.40</w:t>
            </w:r>
          </w:p>
        </w:tc>
        <w:tc>
          <w:tcPr>
            <w:tcW w:w="1109" w:type="dxa"/>
            <w:vAlign w:val="center"/>
            <w:hideMark/>
          </w:tcPr>
          <w:p w14:paraId="3F50CB62" w14:textId="77777777" w:rsidR="00722B14" w:rsidRDefault="00722B14" w:rsidP="00DD3BAE">
            <w:pPr>
              <w:spacing w:before="0" w:after="0"/>
              <w:jc w:val="center"/>
              <w:rPr>
                <w:color w:val="000000"/>
                <w:sz w:val="16"/>
                <w:szCs w:val="16"/>
              </w:rPr>
            </w:pPr>
            <w:r>
              <w:rPr>
                <w:color w:val="000000"/>
                <w:sz w:val="16"/>
                <w:szCs w:val="16"/>
              </w:rPr>
              <w:t>-0.16 ±0.13</w:t>
            </w:r>
          </w:p>
        </w:tc>
        <w:tc>
          <w:tcPr>
            <w:tcW w:w="797" w:type="dxa"/>
            <w:vAlign w:val="center"/>
          </w:tcPr>
          <w:p w14:paraId="199748F8" w14:textId="77777777" w:rsidR="00722B14" w:rsidRDefault="00722B14" w:rsidP="00DD3BAE">
            <w:pPr>
              <w:spacing w:before="0" w:after="0"/>
              <w:jc w:val="center"/>
              <w:rPr>
                <w:i/>
                <w:color w:val="000000"/>
                <w:sz w:val="16"/>
                <w:szCs w:val="16"/>
              </w:rPr>
            </w:pPr>
          </w:p>
        </w:tc>
        <w:tc>
          <w:tcPr>
            <w:tcW w:w="1557" w:type="dxa"/>
            <w:noWrap/>
            <w:vAlign w:val="center"/>
          </w:tcPr>
          <w:p w14:paraId="5BD707D1" w14:textId="77777777" w:rsidR="00722B14" w:rsidRDefault="00722B14" w:rsidP="00DD3BAE">
            <w:pPr>
              <w:spacing w:before="0" w:after="0"/>
              <w:jc w:val="center"/>
              <w:rPr>
                <w:i/>
                <w:color w:val="000000"/>
                <w:sz w:val="16"/>
                <w:szCs w:val="16"/>
              </w:rPr>
            </w:pPr>
          </w:p>
        </w:tc>
      </w:tr>
      <w:tr w:rsidR="00722B14" w14:paraId="6C0A8D2E" w14:textId="77777777" w:rsidTr="00DE79BD">
        <w:trPr>
          <w:cantSplit/>
          <w:trHeight w:val="227"/>
          <w:jc w:val="center"/>
        </w:trPr>
        <w:tc>
          <w:tcPr>
            <w:tcW w:w="1077" w:type="dxa"/>
            <w:vAlign w:val="center"/>
          </w:tcPr>
          <w:p w14:paraId="1EF31F3B" w14:textId="77777777" w:rsidR="00722B14" w:rsidRDefault="00722B14" w:rsidP="00DD3BAE">
            <w:pPr>
              <w:spacing w:before="0" w:after="0"/>
              <w:jc w:val="center"/>
              <w:rPr>
                <w:color w:val="000000"/>
                <w:sz w:val="16"/>
                <w:szCs w:val="16"/>
              </w:rPr>
            </w:pPr>
          </w:p>
        </w:tc>
        <w:tc>
          <w:tcPr>
            <w:tcW w:w="1115" w:type="dxa"/>
            <w:noWrap/>
            <w:vAlign w:val="center"/>
          </w:tcPr>
          <w:p w14:paraId="7001CD88" w14:textId="77777777" w:rsidR="00722B14" w:rsidRDefault="00722B14" w:rsidP="00DD3BAE">
            <w:pPr>
              <w:spacing w:before="0" w:after="0"/>
              <w:jc w:val="center"/>
              <w:rPr>
                <w:color w:val="000000"/>
                <w:sz w:val="16"/>
                <w:szCs w:val="16"/>
              </w:rPr>
            </w:pPr>
          </w:p>
        </w:tc>
        <w:tc>
          <w:tcPr>
            <w:tcW w:w="789" w:type="dxa"/>
            <w:noWrap/>
            <w:vAlign w:val="center"/>
          </w:tcPr>
          <w:p w14:paraId="1036D5F7" w14:textId="77777777" w:rsidR="00722B14" w:rsidRDefault="00722B14" w:rsidP="00DD3BAE">
            <w:pPr>
              <w:spacing w:before="0" w:after="0"/>
              <w:jc w:val="center"/>
              <w:rPr>
                <w:color w:val="000000"/>
                <w:sz w:val="16"/>
                <w:szCs w:val="16"/>
              </w:rPr>
            </w:pPr>
          </w:p>
        </w:tc>
        <w:tc>
          <w:tcPr>
            <w:tcW w:w="621" w:type="dxa"/>
            <w:vAlign w:val="center"/>
            <w:hideMark/>
          </w:tcPr>
          <w:p w14:paraId="22BB2C70" w14:textId="77777777" w:rsidR="00722B14" w:rsidRDefault="00722B14" w:rsidP="00DD3BAE">
            <w:pPr>
              <w:spacing w:before="0" w:after="0"/>
              <w:jc w:val="center"/>
              <w:rPr>
                <w:color w:val="000000"/>
                <w:sz w:val="16"/>
                <w:szCs w:val="16"/>
              </w:rPr>
            </w:pPr>
            <w:r>
              <w:rPr>
                <w:color w:val="000000"/>
                <w:sz w:val="16"/>
                <w:szCs w:val="16"/>
              </w:rPr>
              <w:t>2011</w:t>
            </w:r>
          </w:p>
        </w:tc>
        <w:tc>
          <w:tcPr>
            <w:tcW w:w="661" w:type="dxa"/>
            <w:vAlign w:val="center"/>
            <w:hideMark/>
          </w:tcPr>
          <w:p w14:paraId="01A49803" w14:textId="77777777" w:rsidR="00722B14" w:rsidRDefault="00722B14" w:rsidP="00DD3BAE">
            <w:pPr>
              <w:spacing w:before="0" w:after="0"/>
              <w:jc w:val="center"/>
              <w:rPr>
                <w:color w:val="000000"/>
                <w:sz w:val="16"/>
                <w:szCs w:val="16"/>
              </w:rPr>
            </w:pPr>
            <w:r>
              <w:rPr>
                <w:color w:val="000000"/>
                <w:sz w:val="16"/>
                <w:szCs w:val="16"/>
              </w:rPr>
              <w:t>40.31</w:t>
            </w:r>
          </w:p>
        </w:tc>
        <w:tc>
          <w:tcPr>
            <w:tcW w:w="661" w:type="dxa"/>
            <w:shd w:val="clear" w:color="auto" w:fill="CCFFCC"/>
            <w:vAlign w:val="center"/>
            <w:hideMark/>
          </w:tcPr>
          <w:p w14:paraId="22685DF8" w14:textId="77777777" w:rsidR="00722B14" w:rsidRDefault="00722B14" w:rsidP="00DD3BAE">
            <w:pPr>
              <w:spacing w:before="0" w:after="0"/>
              <w:jc w:val="center"/>
              <w:rPr>
                <w:color w:val="000000"/>
                <w:sz w:val="16"/>
                <w:szCs w:val="16"/>
              </w:rPr>
            </w:pPr>
            <w:r>
              <w:rPr>
                <w:color w:val="000000"/>
                <w:sz w:val="16"/>
                <w:szCs w:val="16"/>
              </w:rPr>
              <w:t>13.70</w:t>
            </w:r>
          </w:p>
        </w:tc>
        <w:tc>
          <w:tcPr>
            <w:tcW w:w="1109" w:type="dxa"/>
            <w:shd w:val="clear" w:color="auto" w:fill="CCFFCC"/>
            <w:noWrap/>
            <w:vAlign w:val="center"/>
            <w:hideMark/>
          </w:tcPr>
          <w:p w14:paraId="18E9B363" w14:textId="77777777" w:rsidR="00722B14" w:rsidRDefault="00722B14" w:rsidP="00DD3BAE">
            <w:pPr>
              <w:spacing w:before="0" w:after="0"/>
              <w:jc w:val="center"/>
              <w:rPr>
                <w:color w:val="000000"/>
                <w:sz w:val="16"/>
                <w:szCs w:val="16"/>
              </w:rPr>
            </w:pPr>
            <w:r>
              <w:rPr>
                <w:color w:val="000000"/>
                <w:sz w:val="16"/>
                <w:szCs w:val="16"/>
              </w:rPr>
              <w:t>-10.88 ±0.03</w:t>
            </w:r>
          </w:p>
        </w:tc>
        <w:tc>
          <w:tcPr>
            <w:tcW w:w="1109" w:type="dxa"/>
            <w:vAlign w:val="center"/>
            <w:hideMark/>
          </w:tcPr>
          <w:p w14:paraId="58939619" w14:textId="77777777" w:rsidR="00722B14" w:rsidRDefault="00722B14" w:rsidP="00DD3BAE">
            <w:pPr>
              <w:spacing w:before="0" w:after="0"/>
              <w:jc w:val="center"/>
              <w:rPr>
                <w:color w:val="000000"/>
                <w:sz w:val="16"/>
                <w:szCs w:val="16"/>
              </w:rPr>
            </w:pPr>
            <w:r>
              <w:rPr>
                <w:color w:val="000000"/>
                <w:sz w:val="16"/>
                <w:szCs w:val="16"/>
              </w:rPr>
              <w:t>0.20 ±0.24</w:t>
            </w:r>
          </w:p>
        </w:tc>
        <w:tc>
          <w:tcPr>
            <w:tcW w:w="797" w:type="dxa"/>
            <w:vAlign w:val="center"/>
          </w:tcPr>
          <w:p w14:paraId="30F216F6" w14:textId="77777777" w:rsidR="00722B14" w:rsidRDefault="00722B14" w:rsidP="00DD3BAE">
            <w:pPr>
              <w:spacing w:before="0" w:after="0"/>
              <w:jc w:val="center"/>
              <w:rPr>
                <w:i/>
                <w:color w:val="000000"/>
                <w:sz w:val="16"/>
                <w:szCs w:val="16"/>
              </w:rPr>
            </w:pPr>
          </w:p>
        </w:tc>
        <w:tc>
          <w:tcPr>
            <w:tcW w:w="1557" w:type="dxa"/>
            <w:noWrap/>
            <w:vAlign w:val="center"/>
          </w:tcPr>
          <w:p w14:paraId="52679D4E" w14:textId="77777777" w:rsidR="00722B14" w:rsidRDefault="00722B14" w:rsidP="00DD3BAE">
            <w:pPr>
              <w:spacing w:before="0" w:after="0"/>
              <w:jc w:val="center"/>
              <w:rPr>
                <w:i/>
                <w:color w:val="000000"/>
                <w:sz w:val="16"/>
                <w:szCs w:val="16"/>
              </w:rPr>
            </w:pPr>
          </w:p>
        </w:tc>
      </w:tr>
      <w:tr w:rsidR="00722B14" w14:paraId="5ADCB538" w14:textId="77777777" w:rsidTr="00DE79BD">
        <w:trPr>
          <w:cantSplit/>
          <w:trHeight w:val="227"/>
          <w:jc w:val="center"/>
        </w:trPr>
        <w:tc>
          <w:tcPr>
            <w:tcW w:w="1077" w:type="dxa"/>
            <w:vAlign w:val="center"/>
          </w:tcPr>
          <w:p w14:paraId="6BD7015D" w14:textId="77777777" w:rsidR="00722B14" w:rsidRDefault="00722B14" w:rsidP="00DD3BAE">
            <w:pPr>
              <w:spacing w:before="0" w:after="0"/>
              <w:jc w:val="center"/>
              <w:rPr>
                <w:color w:val="000000"/>
                <w:sz w:val="16"/>
                <w:szCs w:val="16"/>
              </w:rPr>
            </w:pPr>
          </w:p>
        </w:tc>
        <w:tc>
          <w:tcPr>
            <w:tcW w:w="1115" w:type="dxa"/>
            <w:noWrap/>
            <w:vAlign w:val="center"/>
          </w:tcPr>
          <w:p w14:paraId="325C3D1B" w14:textId="77777777" w:rsidR="00722B14" w:rsidRDefault="00722B14" w:rsidP="00DD3BAE">
            <w:pPr>
              <w:spacing w:before="0" w:after="0"/>
              <w:jc w:val="center"/>
              <w:rPr>
                <w:color w:val="000000"/>
                <w:sz w:val="16"/>
                <w:szCs w:val="16"/>
              </w:rPr>
            </w:pPr>
          </w:p>
        </w:tc>
        <w:tc>
          <w:tcPr>
            <w:tcW w:w="789" w:type="dxa"/>
            <w:noWrap/>
            <w:vAlign w:val="center"/>
          </w:tcPr>
          <w:p w14:paraId="17A0F314" w14:textId="77777777" w:rsidR="00722B14" w:rsidRDefault="00722B14" w:rsidP="00DD3BAE">
            <w:pPr>
              <w:spacing w:before="0" w:after="0"/>
              <w:jc w:val="center"/>
              <w:rPr>
                <w:color w:val="000000"/>
                <w:sz w:val="16"/>
                <w:szCs w:val="16"/>
              </w:rPr>
            </w:pPr>
          </w:p>
        </w:tc>
        <w:tc>
          <w:tcPr>
            <w:tcW w:w="621" w:type="dxa"/>
            <w:vAlign w:val="center"/>
            <w:hideMark/>
          </w:tcPr>
          <w:p w14:paraId="1499F792"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71BB6371" w14:textId="77777777" w:rsidR="00722B14" w:rsidRDefault="00722B14" w:rsidP="00DD3BAE">
            <w:pPr>
              <w:spacing w:before="0" w:after="0"/>
              <w:jc w:val="center"/>
              <w:rPr>
                <w:color w:val="000000"/>
                <w:sz w:val="16"/>
                <w:szCs w:val="16"/>
              </w:rPr>
            </w:pPr>
            <w:r>
              <w:rPr>
                <w:color w:val="000000"/>
                <w:sz w:val="16"/>
                <w:szCs w:val="16"/>
              </w:rPr>
              <w:t>42.78</w:t>
            </w:r>
          </w:p>
        </w:tc>
        <w:tc>
          <w:tcPr>
            <w:tcW w:w="661" w:type="dxa"/>
            <w:shd w:val="clear" w:color="auto" w:fill="CCFFCC"/>
            <w:vAlign w:val="center"/>
            <w:hideMark/>
          </w:tcPr>
          <w:p w14:paraId="3CE2EA3A" w14:textId="77777777" w:rsidR="00722B14" w:rsidRDefault="00722B14" w:rsidP="00DD3BAE">
            <w:pPr>
              <w:spacing w:before="0" w:after="0"/>
              <w:jc w:val="center"/>
              <w:rPr>
                <w:color w:val="000000"/>
                <w:sz w:val="16"/>
                <w:szCs w:val="16"/>
              </w:rPr>
            </w:pPr>
            <w:r>
              <w:rPr>
                <w:color w:val="000000"/>
                <w:sz w:val="16"/>
                <w:szCs w:val="16"/>
              </w:rPr>
              <w:t>17.47</w:t>
            </w:r>
          </w:p>
        </w:tc>
        <w:tc>
          <w:tcPr>
            <w:tcW w:w="1109" w:type="dxa"/>
            <w:shd w:val="clear" w:color="auto" w:fill="CCFFCC"/>
            <w:noWrap/>
            <w:vAlign w:val="center"/>
            <w:hideMark/>
          </w:tcPr>
          <w:p w14:paraId="6840766E" w14:textId="77777777" w:rsidR="00722B14" w:rsidRDefault="00722B14" w:rsidP="00DD3BAE">
            <w:pPr>
              <w:spacing w:before="0" w:after="0"/>
              <w:jc w:val="center"/>
              <w:rPr>
                <w:color w:val="000000"/>
                <w:sz w:val="16"/>
                <w:szCs w:val="16"/>
              </w:rPr>
            </w:pPr>
            <w:r>
              <w:rPr>
                <w:color w:val="000000"/>
                <w:sz w:val="16"/>
                <w:szCs w:val="16"/>
              </w:rPr>
              <w:t>-11.16 ±0.06</w:t>
            </w:r>
          </w:p>
        </w:tc>
        <w:tc>
          <w:tcPr>
            <w:tcW w:w="1109" w:type="dxa"/>
            <w:vAlign w:val="center"/>
            <w:hideMark/>
          </w:tcPr>
          <w:p w14:paraId="0C0C3F1E" w14:textId="77777777" w:rsidR="00722B14" w:rsidRDefault="00722B14" w:rsidP="00DD3BAE">
            <w:pPr>
              <w:spacing w:before="0" w:after="0"/>
              <w:jc w:val="center"/>
              <w:rPr>
                <w:color w:val="000000"/>
                <w:sz w:val="16"/>
                <w:szCs w:val="16"/>
              </w:rPr>
            </w:pPr>
            <w:r>
              <w:rPr>
                <w:color w:val="000000"/>
                <w:sz w:val="16"/>
                <w:szCs w:val="16"/>
              </w:rPr>
              <w:t>1.82 ±0.10</w:t>
            </w:r>
          </w:p>
        </w:tc>
        <w:tc>
          <w:tcPr>
            <w:tcW w:w="797" w:type="dxa"/>
            <w:vAlign w:val="center"/>
          </w:tcPr>
          <w:p w14:paraId="4CDE1D9E" w14:textId="77777777" w:rsidR="00722B14" w:rsidRDefault="00722B14" w:rsidP="00DD3BAE">
            <w:pPr>
              <w:spacing w:before="0" w:after="0"/>
              <w:jc w:val="center"/>
              <w:rPr>
                <w:i/>
                <w:color w:val="000000"/>
                <w:sz w:val="16"/>
                <w:szCs w:val="16"/>
              </w:rPr>
            </w:pPr>
          </w:p>
        </w:tc>
        <w:tc>
          <w:tcPr>
            <w:tcW w:w="1557" w:type="dxa"/>
            <w:noWrap/>
            <w:vAlign w:val="center"/>
          </w:tcPr>
          <w:p w14:paraId="00230753" w14:textId="77777777" w:rsidR="00722B14" w:rsidRDefault="00722B14" w:rsidP="00DD3BAE">
            <w:pPr>
              <w:spacing w:before="0" w:after="0"/>
              <w:jc w:val="center"/>
              <w:rPr>
                <w:i/>
                <w:color w:val="000000"/>
                <w:sz w:val="16"/>
                <w:szCs w:val="16"/>
              </w:rPr>
            </w:pPr>
          </w:p>
        </w:tc>
      </w:tr>
      <w:tr w:rsidR="00722B14" w14:paraId="21021A57" w14:textId="77777777" w:rsidTr="00DE79BD">
        <w:trPr>
          <w:cantSplit/>
          <w:trHeight w:val="227"/>
          <w:jc w:val="center"/>
        </w:trPr>
        <w:tc>
          <w:tcPr>
            <w:tcW w:w="1077" w:type="dxa"/>
            <w:vAlign w:val="center"/>
          </w:tcPr>
          <w:p w14:paraId="60211CC7" w14:textId="77777777" w:rsidR="00722B14" w:rsidRDefault="00722B14" w:rsidP="00DD3BAE">
            <w:pPr>
              <w:spacing w:before="0" w:after="0"/>
              <w:jc w:val="center"/>
              <w:rPr>
                <w:color w:val="000000"/>
                <w:sz w:val="16"/>
                <w:szCs w:val="16"/>
              </w:rPr>
            </w:pPr>
          </w:p>
        </w:tc>
        <w:tc>
          <w:tcPr>
            <w:tcW w:w="1115" w:type="dxa"/>
            <w:noWrap/>
            <w:vAlign w:val="center"/>
          </w:tcPr>
          <w:p w14:paraId="7159FB0C" w14:textId="77777777" w:rsidR="00722B14" w:rsidRDefault="00722B14" w:rsidP="00DD3BAE">
            <w:pPr>
              <w:spacing w:before="0" w:after="0"/>
              <w:jc w:val="center"/>
              <w:rPr>
                <w:color w:val="000000"/>
                <w:sz w:val="16"/>
                <w:szCs w:val="16"/>
              </w:rPr>
            </w:pPr>
          </w:p>
        </w:tc>
        <w:tc>
          <w:tcPr>
            <w:tcW w:w="789" w:type="dxa"/>
            <w:noWrap/>
            <w:vAlign w:val="center"/>
          </w:tcPr>
          <w:p w14:paraId="2400E5C2" w14:textId="77777777" w:rsidR="00722B14" w:rsidRDefault="00722B14" w:rsidP="00DD3BAE">
            <w:pPr>
              <w:spacing w:before="0" w:after="0"/>
              <w:jc w:val="center"/>
              <w:rPr>
                <w:color w:val="000000"/>
                <w:sz w:val="16"/>
                <w:szCs w:val="16"/>
              </w:rPr>
            </w:pPr>
          </w:p>
        </w:tc>
        <w:tc>
          <w:tcPr>
            <w:tcW w:w="621" w:type="dxa"/>
            <w:vAlign w:val="center"/>
            <w:hideMark/>
          </w:tcPr>
          <w:p w14:paraId="517B1A9E"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7AB902C0" w14:textId="77777777" w:rsidR="00722B14" w:rsidRDefault="00722B14" w:rsidP="00DD3BAE">
            <w:pPr>
              <w:spacing w:before="0" w:after="0"/>
              <w:jc w:val="center"/>
              <w:rPr>
                <w:color w:val="000000"/>
                <w:sz w:val="16"/>
                <w:szCs w:val="16"/>
              </w:rPr>
            </w:pPr>
            <w:r>
              <w:rPr>
                <w:color w:val="000000"/>
                <w:sz w:val="16"/>
                <w:szCs w:val="16"/>
              </w:rPr>
              <w:t>40.41</w:t>
            </w:r>
          </w:p>
        </w:tc>
        <w:tc>
          <w:tcPr>
            <w:tcW w:w="661" w:type="dxa"/>
            <w:vAlign w:val="center"/>
            <w:hideMark/>
          </w:tcPr>
          <w:p w14:paraId="26AB7A69" w14:textId="77777777" w:rsidR="00722B14" w:rsidRDefault="00722B14" w:rsidP="00DD3BAE">
            <w:pPr>
              <w:spacing w:before="0" w:after="0"/>
              <w:jc w:val="center"/>
              <w:rPr>
                <w:color w:val="000000"/>
                <w:sz w:val="16"/>
                <w:szCs w:val="16"/>
              </w:rPr>
            </w:pPr>
            <w:r>
              <w:rPr>
                <w:color w:val="000000"/>
                <w:sz w:val="16"/>
                <w:szCs w:val="16"/>
              </w:rPr>
              <w:t>22.55</w:t>
            </w:r>
          </w:p>
        </w:tc>
        <w:tc>
          <w:tcPr>
            <w:tcW w:w="1109" w:type="dxa"/>
            <w:noWrap/>
            <w:vAlign w:val="center"/>
            <w:hideMark/>
          </w:tcPr>
          <w:p w14:paraId="1B83CEF6" w14:textId="77777777" w:rsidR="00722B14" w:rsidRDefault="00722B14" w:rsidP="00DD3BAE">
            <w:pPr>
              <w:spacing w:before="0" w:after="0"/>
              <w:jc w:val="center"/>
              <w:rPr>
                <w:color w:val="000000"/>
                <w:sz w:val="16"/>
                <w:szCs w:val="16"/>
              </w:rPr>
            </w:pPr>
            <w:r>
              <w:rPr>
                <w:color w:val="000000"/>
                <w:sz w:val="16"/>
                <w:szCs w:val="16"/>
              </w:rPr>
              <w:t>-11.62 ±0.15</w:t>
            </w:r>
          </w:p>
        </w:tc>
        <w:tc>
          <w:tcPr>
            <w:tcW w:w="1109" w:type="dxa"/>
            <w:vAlign w:val="center"/>
            <w:hideMark/>
          </w:tcPr>
          <w:p w14:paraId="2AA76B6A" w14:textId="77777777" w:rsidR="00722B14" w:rsidRDefault="00722B14" w:rsidP="00DD3BAE">
            <w:pPr>
              <w:spacing w:before="0" w:after="0"/>
              <w:jc w:val="center"/>
              <w:rPr>
                <w:color w:val="000000"/>
                <w:sz w:val="16"/>
                <w:szCs w:val="16"/>
              </w:rPr>
            </w:pPr>
            <w:r>
              <w:rPr>
                <w:color w:val="000000"/>
                <w:sz w:val="16"/>
                <w:szCs w:val="16"/>
              </w:rPr>
              <w:t>3.02 ±0.04</w:t>
            </w:r>
          </w:p>
        </w:tc>
        <w:tc>
          <w:tcPr>
            <w:tcW w:w="797" w:type="dxa"/>
            <w:vAlign w:val="center"/>
          </w:tcPr>
          <w:p w14:paraId="73D09640" w14:textId="77777777" w:rsidR="00722B14" w:rsidRDefault="00722B14" w:rsidP="00DD3BAE">
            <w:pPr>
              <w:spacing w:before="0" w:after="0"/>
              <w:jc w:val="center"/>
              <w:rPr>
                <w:i/>
                <w:color w:val="000000"/>
                <w:sz w:val="16"/>
                <w:szCs w:val="16"/>
              </w:rPr>
            </w:pPr>
          </w:p>
        </w:tc>
        <w:tc>
          <w:tcPr>
            <w:tcW w:w="1557" w:type="dxa"/>
            <w:noWrap/>
            <w:vAlign w:val="center"/>
          </w:tcPr>
          <w:p w14:paraId="2420FFCD" w14:textId="77777777" w:rsidR="00722B14" w:rsidRDefault="00722B14" w:rsidP="00DD3BAE">
            <w:pPr>
              <w:spacing w:before="0" w:after="0"/>
              <w:jc w:val="center"/>
              <w:rPr>
                <w:i/>
                <w:color w:val="000000"/>
                <w:sz w:val="16"/>
                <w:szCs w:val="16"/>
              </w:rPr>
            </w:pPr>
          </w:p>
        </w:tc>
      </w:tr>
      <w:tr w:rsidR="00722B14" w14:paraId="3644A383" w14:textId="77777777" w:rsidTr="00DE79BD">
        <w:trPr>
          <w:cantSplit/>
          <w:trHeight w:val="227"/>
          <w:jc w:val="center"/>
        </w:trPr>
        <w:tc>
          <w:tcPr>
            <w:tcW w:w="1077" w:type="dxa"/>
            <w:tcBorders>
              <w:top w:val="nil"/>
              <w:left w:val="nil"/>
              <w:right w:val="nil"/>
            </w:tcBorders>
            <w:vAlign w:val="center"/>
          </w:tcPr>
          <w:p w14:paraId="68B93E4A"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2597900D"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427DFD2B"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7666282B"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481FF9C0" w14:textId="77777777" w:rsidR="00722B14" w:rsidRDefault="00722B14" w:rsidP="00DD3BAE">
            <w:pPr>
              <w:spacing w:before="0" w:after="0"/>
              <w:jc w:val="center"/>
              <w:rPr>
                <w:color w:val="000000"/>
                <w:sz w:val="16"/>
                <w:szCs w:val="16"/>
              </w:rPr>
            </w:pPr>
            <w:r>
              <w:rPr>
                <w:color w:val="000000"/>
                <w:sz w:val="16"/>
                <w:szCs w:val="16"/>
              </w:rPr>
              <w:t>41.01</w:t>
            </w:r>
          </w:p>
        </w:tc>
        <w:tc>
          <w:tcPr>
            <w:tcW w:w="661" w:type="dxa"/>
            <w:tcBorders>
              <w:top w:val="nil"/>
              <w:left w:val="nil"/>
              <w:right w:val="nil"/>
            </w:tcBorders>
            <w:vAlign w:val="center"/>
            <w:hideMark/>
          </w:tcPr>
          <w:p w14:paraId="0DBD059B" w14:textId="77777777" w:rsidR="00722B14" w:rsidRDefault="00722B14" w:rsidP="00DD3BAE">
            <w:pPr>
              <w:spacing w:before="0" w:after="0"/>
              <w:jc w:val="center"/>
              <w:rPr>
                <w:color w:val="000000"/>
                <w:sz w:val="16"/>
                <w:szCs w:val="16"/>
              </w:rPr>
            </w:pPr>
            <w:r>
              <w:rPr>
                <w:color w:val="000000"/>
                <w:sz w:val="16"/>
                <w:szCs w:val="16"/>
              </w:rPr>
              <w:t>23.26</w:t>
            </w:r>
          </w:p>
        </w:tc>
        <w:tc>
          <w:tcPr>
            <w:tcW w:w="1109" w:type="dxa"/>
            <w:tcBorders>
              <w:top w:val="nil"/>
              <w:left w:val="nil"/>
              <w:right w:val="nil"/>
            </w:tcBorders>
            <w:shd w:val="clear" w:color="auto" w:fill="CCFFCC"/>
            <w:noWrap/>
            <w:vAlign w:val="center"/>
            <w:hideMark/>
          </w:tcPr>
          <w:p w14:paraId="278CD065" w14:textId="77777777" w:rsidR="00722B14" w:rsidRDefault="00722B14" w:rsidP="00DD3BAE">
            <w:pPr>
              <w:spacing w:before="0" w:after="0"/>
              <w:jc w:val="center"/>
              <w:rPr>
                <w:color w:val="000000"/>
                <w:sz w:val="16"/>
                <w:szCs w:val="16"/>
              </w:rPr>
            </w:pPr>
            <w:r>
              <w:rPr>
                <w:color w:val="000000"/>
                <w:sz w:val="16"/>
                <w:szCs w:val="16"/>
              </w:rPr>
              <w:t>-9.47 ±0.14</w:t>
            </w:r>
          </w:p>
        </w:tc>
        <w:tc>
          <w:tcPr>
            <w:tcW w:w="1109" w:type="dxa"/>
            <w:tcBorders>
              <w:top w:val="nil"/>
              <w:left w:val="nil"/>
              <w:right w:val="nil"/>
            </w:tcBorders>
            <w:vAlign w:val="center"/>
            <w:hideMark/>
          </w:tcPr>
          <w:p w14:paraId="6023784C" w14:textId="77777777" w:rsidR="00722B14" w:rsidRDefault="00722B14" w:rsidP="00DD3BAE">
            <w:pPr>
              <w:spacing w:before="0" w:after="0"/>
              <w:jc w:val="center"/>
              <w:rPr>
                <w:color w:val="000000"/>
                <w:sz w:val="16"/>
                <w:szCs w:val="16"/>
              </w:rPr>
            </w:pPr>
            <w:r>
              <w:rPr>
                <w:color w:val="000000"/>
                <w:sz w:val="16"/>
                <w:szCs w:val="16"/>
              </w:rPr>
              <w:t>3.17 ±0.07</w:t>
            </w:r>
          </w:p>
        </w:tc>
        <w:tc>
          <w:tcPr>
            <w:tcW w:w="797" w:type="dxa"/>
            <w:tcBorders>
              <w:top w:val="nil"/>
              <w:left w:val="nil"/>
              <w:right w:val="nil"/>
            </w:tcBorders>
            <w:vAlign w:val="center"/>
          </w:tcPr>
          <w:p w14:paraId="4BCAF1FF"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43B29D2D" w14:textId="77777777" w:rsidR="00722B14" w:rsidRDefault="00722B14" w:rsidP="00DD3BAE">
            <w:pPr>
              <w:spacing w:before="0" w:after="0"/>
              <w:jc w:val="center"/>
              <w:rPr>
                <w:i/>
                <w:color w:val="000000"/>
                <w:sz w:val="16"/>
                <w:szCs w:val="16"/>
              </w:rPr>
            </w:pPr>
          </w:p>
        </w:tc>
      </w:tr>
      <w:tr w:rsidR="00722B14" w14:paraId="1B4AA785" w14:textId="77777777" w:rsidTr="00DE79BD">
        <w:trPr>
          <w:cantSplit/>
          <w:trHeight w:val="227"/>
          <w:jc w:val="center"/>
        </w:trPr>
        <w:tc>
          <w:tcPr>
            <w:tcW w:w="1077" w:type="dxa"/>
            <w:tcBorders>
              <w:top w:val="nil"/>
              <w:left w:val="nil"/>
              <w:right w:val="nil"/>
            </w:tcBorders>
            <w:shd w:val="clear" w:color="auto" w:fill="auto"/>
            <w:vAlign w:val="center"/>
          </w:tcPr>
          <w:p w14:paraId="02419C1B"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2A0E5E2C"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043F97D4"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6B06254"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07B900D8" w14:textId="77777777" w:rsidR="00722B14" w:rsidRPr="007C770B" w:rsidRDefault="00722B14" w:rsidP="00DD3BAE">
            <w:pPr>
              <w:spacing w:before="0" w:after="0"/>
              <w:jc w:val="center"/>
              <w:rPr>
                <w:color w:val="000000"/>
                <w:sz w:val="16"/>
                <w:szCs w:val="16"/>
              </w:rPr>
            </w:pPr>
            <w:r w:rsidRPr="007C770B">
              <w:rPr>
                <w:color w:val="000000"/>
                <w:sz w:val="16"/>
                <w:szCs w:val="16"/>
              </w:rPr>
              <w:t>41.47</w:t>
            </w:r>
          </w:p>
        </w:tc>
        <w:tc>
          <w:tcPr>
            <w:tcW w:w="661" w:type="dxa"/>
            <w:tcBorders>
              <w:top w:val="nil"/>
              <w:left w:val="nil"/>
              <w:right w:val="nil"/>
            </w:tcBorders>
            <w:shd w:val="clear" w:color="auto" w:fill="CCFFCC"/>
            <w:vAlign w:val="center"/>
          </w:tcPr>
          <w:p w14:paraId="5F620727" w14:textId="77777777" w:rsidR="00722B14" w:rsidRPr="007C770B" w:rsidRDefault="00722B14" w:rsidP="00DD3BAE">
            <w:pPr>
              <w:spacing w:before="0" w:after="0"/>
              <w:jc w:val="center"/>
              <w:rPr>
                <w:color w:val="000000"/>
                <w:sz w:val="16"/>
                <w:szCs w:val="16"/>
              </w:rPr>
            </w:pPr>
            <w:r w:rsidRPr="007C770B">
              <w:rPr>
                <w:color w:val="000000"/>
                <w:sz w:val="16"/>
                <w:szCs w:val="16"/>
              </w:rPr>
              <w:t>19.62</w:t>
            </w:r>
          </w:p>
        </w:tc>
        <w:tc>
          <w:tcPr>
            <w:tcW w:w="1109" w:type="dxa"/>
            <w:tcBorders>
              <w:top w:val="nil"/>
              <w:left w:val="nil"/>
              <w:right w:val="nil"/>
            </w:tcBorders>
            <w:shd w:val="clear" w:color="auto" w:fill="CCFFCC"/>
            <w:noWrap/>
            <w:vAlign w:val="center"/>
          </w:tcPr>
          <w:p w14:paraId="4EB95535" w14:textId="77777777" w:rsidR="00722B14" w:rsidRPr="007C770B" w:rsidRDefault="00722B14" w:rsidP="00DD3BAE">
            <w:pPr>
              <w:spacing w:before="0" w:after="0"/>
              <w:jc w:val="center"/>
              <w:rPr>
                <w:color w:val="000000"/>
                <w:sz w:val="16"/>
                <w:szCs w:val="16"/>
              </w:rPr>
            </w:pPr>
            <w:r w:rsidRPr="007C770B">
              <w:rPr>
                <w:color w:val="000000"/>
                <w:sz w:val="16"/>
                <w:szCs w:val="16"/>
              </w:rPr>
              <w:t>-9.93 ±0.19</w:t>
            </w:r>
          </w:p>
        </w:tc>
        <w:tc>
          <w:tcPr>
            <w:tcW w:w="1109" w:type="dxa"/>
            <w:tcBorders>
              <w:top w:val="nil"/>
              <w:left w:val="nil"/>
              <w:right w:val="nil"/>
            </w:tcBorders>
            <w:shd w:val="clear" w:color="auto" w:fill="auto"/>
            <w:vAlign w:val="center"/>
          </w:tcPr>
          <w:p w14:paraId="3706BDA1" w14:textId="77777777" w:rsidR="00722B14" w:rsidRPr="007C770B" w:rsidRDefault="00722B14" w:rsidP="00DD3BAE">
            <w:pPr>
              <w:spacing w:before="0" w:after="0"/>
              <w:jc w:val="center"/>
              <w:rPr>
                <w:color w:val="000000"/>
                <w:sz w:val="16"/>
                <w:szCs w:val="16"/>
              </w:rPr>
            </w:pPr>
            <w:r w:rsidRPr="007C770B">
              <w:rPr>
                <w:color w:val="000000"/>
                <w:sz w:val="16"/>
                <w:szCs w:val="16"/>
              </w:rPr>
              <w:t>3.61 ±0.06</w:t>
            </w:r>
          </w:p>
        </w:tc>
        <w:tc>
          <w:tcPr>
            <w:tcW w:w="797" w:type="dxa"/>
            <w:tcBorders>
              <w:top w:val="nil"/>
              <w:left w:val="nil"/>
              <w:right w:val="nil"/>
            </w:tcBorders>
            <w:shd w:val="clear" w:color="auto" w:fill="auto"/>
            <w:vAlign w:val="center"/>
          </w:tcPr>
          <w:p w14:paraId="18A58822"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21642E23" w14:textId="77777777" w:rsidR="00722B14" w:rsidRDefault="00722B14" w:rsidP="00DD3BAE">
            <w:pPr>
              <w:spacing w:before="0" w:after="0"/>
              <w:jc w:val="center"/>
              <w:rPr>
                <w:i/>
                <w:color w:val="000000"/>
                <w:sz w:val="16"/>
                <w:szCs w:val="16"/>
              </w:rPr>
            </w:pPr>
          </w:p>
        </w:tc>
      </w:tr>
      <w:tr w:rsidR="00722B14" w14:paraId="4C62CFDA" w14:textId="77777777" w:rsidTr="00DE79BD">
        <w:trPr>
          <w:cantSplit/>
          <w:trHeight w:val="227"/>
          <w:jc w:val="center"/>
        </w:trPr>
        <w:tc>
          <w:tcPr>
            <w:tcW w:w="1077" w:type="dxa"/>
            <w:tcBorders>
              <w:left w:val="nil"/>
              <w:bottom w:val="single" w:sz="4" w:space="0" w:color="auto"/>
              <w:right w:val="nil"/>
            </w:tcBorders>
            <w:shd w:val="clear" w:color="auto" w:fill="auto"/>
            <w:vAlign w:val="center"/>
          </w:tcPr>
          <w:p w14:paraId="1A0952A4"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72B40F54"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00BCFABD"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6CEBC374"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2BB62C15" w14:textId="77777777" w:rsidR="00722B14" w:rsidRPr="005C517D" w:rsidRDefault="00722B14" w:rsidP="00DD3BAE">
            <w:pPr>
              <w:spacing w:before="0" w:after="0"/>
              <w:jc w:val="center"/>
              <w:rPr>
                <w:color w:val="000000"/>
                <w:sz w:val="16"/>
                <w:szCs w:val="16"/>
              </w:rPr>
            </w:pPr>
            <w:r w:rsidRPr="005C517D">
              <w:rPr>
                <w:color w:val="000000"/>
                <w:sz w:val="16"/>
                <w:szCs w:val="16"/>
              </w:rPr>
              <w:t>42.24</w:t>
            </w:r>
          </w:p>
        </w:tc>
        <w:tc>
          <w:tcPr>
            <w:tcW w:w="661" w:type="dxa"/>
            <w:tcBorders>
              <w:left w:val="nil"/>
              <w:bottom w:val="single" w:sz="4" w:space="0" w:color="auto"/>
              <w:right w:val="nil"/>
            </w:tcBorders>
            <w:shd w:val="clear" w:color="auto" w:fill="CCFFCC"/>
            <w:vAlign w:val="center"/>
          </w:tcPr>
          <w:p w14:paraId="06C5F913" w14:textId="77777777" w:rsidR="00722B14" w:rsidRPr="005C517D" w:rsidRDefault="00722B14" w:rsidP="00DD3BAE">
            <w:pPr>
              <w:spacing w:before="0" w:after="0"/>
              <w:jc w:val="center"/>
              <w:rPr>
                <w:color w:val="000000"/>
                <w:sz w:val="16"/>
                <w:szCs w:val="16"/>
              </w:rPr>
            </w:pPr>
            <w:r w:rsidRPr="005C517D">
              <w:rPr>
                <w:color w:val="000000"/>
                <w:sz w:val="16"/>
                <w:szCs w:val="16"/>
              </w:rPr>
              <w:t>18.74</w:t>
            </w:r>
          </w:p>
        </w:tc>
        <w:tc>
          <w:tcPr>
            <w:tcW w:w="1109" w:type="dxa"/>
            <w:tcBorders>
              <w:left w:val="nil"/>
              <w:bottom w:val="single" w:sz="4" w:space="0" w:color="auto"/>
              <w:right w:val="nil"/>
            </w:tcBorders>
            <w:shd w:val="clear" w:color="auto" w:fill="CCFFCC"/>
            <w:noWrap/>
            <w:vAlign w:val="center"/>
          </w:tcPr>
          <w:p w14:paraId="73F10067" w14:textId="77777777" w:rsidR="00722B14" w:rsidRPr="005C517D" w:rsidRDefault="00722B14" w:rsidP="00DD3BAE">
            <w:pPr>
              <w:spacing w:before="0" w:after="0"/>
              <w:jc w:val="center"/>
              <w:rPr>
                <w:color w:val="000000"/>
                <w:sz w:val="16"/>
                <w:szCs w:val="16"/>
              </w:rPr>
            </w:pPr>
            <w:r w:rsidRPr="005C517D">
              <w:rPr>
                <w:color w:val="000000"/>
                <w:sz w:val="16"/>
                <w:szCs w:val="16"/>
              </w:rPr>
              <w:t>-10.00 ±0.22</w:t>
            </w:r>
          </w:p>
        </w:tc>
        <w:tc>
          <w:tcPr>
            <w:tcW w:w="1109" w:type="dxa"/>
            <w:tcBorders>
              <w:left w:val="nil"/>
              <w:bottom w:val="single" w:sz="4" w:space="0" w:color="auto"/>
              <w:right w:val="nil"/>
            </w:tcBorders>
            <w:shd w:val="clear" w:color="auto" w:fill="auto"/>
            <w:vAlign w:val="center"/>
          </w:tcPr>
          <w:p w14:paraId="7FA95996" w14:textId="77777777" w:rsidR="00722B14" w:rsidRPr="005C517D" w:rsidRDefault="00722B14" w:rsidP="00DD3BAE">
            <w:pPr>
              <w:spacing w:before="0" w:after="0"/>
              <w:jc w:val="center"/>
              <w:rPr>
                <w:color w:val="000000"/>
                <w:sz w:val="16"/>
                <w:szCs w:val="16"/>
              </w:rPr>
            </w:pPr>
            <w:r w:rsidRPr="005C517D">
              <w:rPr>
                <w:color w:val="000000"/>
                <w:sz w:val="16"/>
                <w:szCs w:val="16"/>
              </w:rPr>
              <w:t>3.20 ±0.04</w:t>
            </w:r>
          </w:p>
        </w:tc>
        <w:tc>
          <w:tcPr>
            <w:tcW w:w="797" w:type="dxa"/>
            <w:tcBorders>
              <w:left w:val="nil"/>
              <w:bottom w:val="single" w:sz="4" w:space="0" w:color="auto"/>
              <w:right w:val="nil"/>
            </w:tcBorders>
            <w:shd w:val="clear" w:color="auto" w:fill="auto"/>
            <w:vAlign w:val="center"/>
          </w:tcPr>
          <w:p w14:paraId="1EDEDE88"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70BD7CD" w14:textId="77777777" w:rsidR="00722B14" w:rsidRDefault="00722B14" w:rsidP="00DD3BAE">
            <w:pPr>
              <w:spacing w:before="0" w:after="0"/>
              <w:jc w:val="center"/>
              <w:rPr>
                <w:i/>
                <w:color w:val="000000"/>
                <w:sz w:val="16"/>
                <w:szCs w:val="16"/>
              </w:rPr>
            </w:pPr>
          </w:p>
        </w:tc>
      </w:tr>
      <w:tr w:rsidR="00722B14" w14:paraId="16CAC215" w14:textId="77777777" w:rsidTr="00DE79BD">
        <w:trPr>
          <w:cantSplit/>
          <w:trHeight w:val="227"/>
          <w:jc w:val="center"/>
        </w:trPr>
        <w:tc>
          <w:tcPr>
            <w:tcW w:w="1077" w:type="dxa"/>
            <w:tcBorders>
              <w:top w:val="single" w:sz="4" w:space="0" w:color="auto"/>
            </w:tcBorders>
            <w:vAlign w:val="center"/>
            <w:hideMark/>
          </w:tcPr>
          <w:p w14:paraId="05CCCC1E" w14:textId="77777777" w:rsidR="00722B14" w:rsidRDefault="00722B14" w:rsidP="00DD3BAE">
            <w:pPr>
              <w:spacing w:before="0" w:after="0"/>
              <w:jc w:val="center"/>
              <w:rPr>
                <w:color w:val="000000"/>
                <w:sz w:val="16"/>
                <w:szCs w:val="16"/>
              </w:rPr>
            </w:pPr>
            <w:r>
              <w:rPr>
                <w:color w:val="000000"/>
                <w:sz w:val="16"/>
                <w:szCs w:val="16"/>
              </w:rPr>
              <w:t>Mackay</w:t>
            </w:r>
          </w:p>
        </w:tc>
        <w:tc>
          <w:tcPr>
            <w:tcW w:w="1115" w:type="dxa"/>
            <w:tcBorders>
              <w:top w:val="single" w:sz="4" w:space="0" w:color="auto"/>
              <w:left w:val="nil"/>
              <w:bottom w:val="nil"/>
              <w:right w:val="nil"/>
            </w:tcBorders>
            <w:noWrap/>
            <w:vAlign w:val="center"/>
            <w:hideMark/>
          </w:tcPr>
          <w:p w14:paraId="1CBF6049" w14:textId="77777777" w:rsidR="00722B14" w:rsidRDefault="00722B14" w:rsidP="00DD3BAE">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single" w:sz="4" w:space="0" w:color="auto"/>
              <w:right w:val="nil"/>
            </w:tcBorders>
            <w:shd w:val="clear" w:color="auto" w:fill="auto"/>
            <w:noWrap/>
            <w:vAlign w:val="center"/>
          </w:tcPr>
          <w:p w14:paraId="74DD8BA3"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single" w:sz="4" w:space="0" w:color="auto"/>
              <w:right w:val="nil"/>
            </w:tcBorders>
            <w:shd w:val="clear" w:color="auto" w:fill="auto"/>
            <w:vAlign w:val="center"/>
          </w:tcPr>
          <w:p w14:paraId="7242D21D" w14:textId="77777777" w:rsidR="00722B14" w:rsidRDefault="00722B14" w:rsidP="00DD3BAE">
            <w:pPr>
              <w:spacing w:before="0" w:after="0"/>
              <w:jc w:val="center"/>
              <w:rPr>
                <w:color w:val="000000"/>
                <w:sz w:val="16"/>
                <w:szCs w:val="16"/>
              </w:rPr>
            </w:pPr>
            <w:r>
              <w:rPr>
                <w:color w:val="000000"/>
                <w:sz w:val="16"/>
                <w:szCs w:val="16"/>
              </w:rPr>
              <w:t>2016</w:t>
            </w:r>
          </w:p>
        </w:tc>
        <w:tc>
          <w:tcPr>
            <w:tcW w:w="661" w:type="dxa"/>
            <w:tcBorders>
              <w:top w:val="single" w:sz="4" w:space="0" w:color="auto"/>
              <w:left w:val="nil"/>
              <w:bottom w:val="single" w:sz="4" w:space="0" w:color="auto"/>
              <w:right w:val="nil"/>
            </w:tcBorders>
            <w:shd w:val="clear" w:color="auto" w:fill="auto"/>
            <w:vAlign w:val="center"/>
          </w:tcPr>
          <w:p w14:paraId="0883A3F1" w14:textId="77777777" w:rsidR="00722B14" w:rsidRPr="0087784B" w:rsidRDefault="00722B14" w:rsidP="00DD3BAE">
            <w:pPr>
              <w:spacing w:before="0" w:after="0"/>
              <w:jc w:val="center"/>
              <w:rPr>
                <w:color w:val="000000"/>
                <w:sz w:val="16"/>
                <w:szCs w:val="16"/>
              </w:rPr>
            </w:pPr>
            <w:r w:rsidRPr="0087784B">
              <w:rPr>
                <w:color w:val="000000"/>
                <w:sz w:val="16"/>
                <w:szCs w:val="16"/>
              </w:rPr>
              <w:t>42.93</w:t>
            </w:r>
          </w:p>
        </w:tc>
        <w:tc>
          <w:tcPr>
            <w:tcW w:w="661" w:type="dxa"/>
            <w:tcBorders>
              <w:top w:val="single" w:sz="4" w:space="0" w:color="auto"/>
              <w:left w:val="nil"/>
              <w:bottom w:val="single" w:sz="4" w:space="0" w:color="auto"/>
              <w:right w:val="nil"/>
            </w:tcBorders>
            <w:shd w:val="clear" w:color="auto" w:fill="CCFFCC"/>
            <w:vAlign w:val="center"/>
          </w:tcPr>
          <w:p w14:paraId="3D34FC57" w14:textId="77777777" w:rsidR="00722B14" w:rsidRPr="0087784B" w:rsidRDefault="00722B14" w:rsidP="00DD3BAE">
            <w:pPr>
              <w:spacing w:before="0" w:after="0"/>
              <w:jc w:val="center"/>
              <w:rPr>
                <w:color w:val="000000"/>
                <w:sz w:val="16"/>
                <w:szCs w:val="16"/>
              </w:rPr>
            </w:pPr>
            <w:r w:rsidRPr="0087784B">
              <w:rPr>
                <w:color w:val="000000"/>
                <w:sz w:val="16"/>
                <w:szCs w:val="16"/>
              </w:rPr>
              <w:t>12.16</w:t>
            </w:r>
          </w:p>
        </w:tc>
        <w:tc>
          <w:tcPr>
            <w:tcW w:w="1109" w:type="dxa"/>
            <w:tcBorders>
              <w:top w:val="single" w:sz="4" w:space="0" w:color="auto"/>
              <w:left w:val="nil"/>
              <w:bottom w:val="single" w:sz="4" w:space="0" w:color="auto"/>
              <w:right w:val="nil"/>
            </w:tcBorders>
            <w:shd w:val="clear" w:color="auto" w:fill="auto"/>
            <w:noWrap/>
            <w:vAlign w:val="center"/>
          </w:tcPr>
          <w:p w14:paraId="34C15A64" w14:textId="77777777" w:rsidR="00722B14" w:rsidRPr="0087784B" w:rsidRDefault="00722B14" w:rsidP="00DD3BAE">
            <w:pPr>
              <w:spacing w:before="0" w:after="0"/>
              <w:jc w:val="center"/>
              <w:rPr>
                <w:color w:val="000000"/>
                <w:sz w:val="16"/>
                <w:szCs w:val="16"/>
              </w:rPr>
            </w:pPr>
            <w:r w:rsidRPr="0087784B">
              <w:rPr>
                <w:color w:val="000000"/>
                <w:sz w:val="16"/>
                <w:szCs w:val="16"/>
              </w:rPr>
              <w:t>-12.26 ±0.00</w:t>
            </w:r>
          </w:p>
        </w:tc>
        <w:tc>
          <w:tcPr>
            <w:tcW w:w="1109" w:type="dxa"/>
            <w:tcBorders>
              <w:top w:val="single" w:sz="4" w:space="0" w:color="auto"/>
              <w:left w:val="nil"/>
              <w:bottom w:val="single" w:sz="4" w:space="0" w:color="auto"/>
              <w:right w:val="nil"/>
            </w:tcBorders>
            <w:shd w:val="clear" w:color="auto" w:fill="auto"/>
            <w:vAlign w:val="center"/>
          </w:tcPr>
          <w:p w14:paraId="78B57E6C" w14:textId="77777777" w:rsidR="00722B14" w:rsidRPr="0087784B" w:rsidRDefault="00722B14" w:rsidP="00DD3BAE">
            <w:pPr>
              <w:spacing w:before="0" w:after="0"/>
              <w:jc w:val="center"/>
              <w:rPr>
                <w:color w:val="000000"/>
                <w:sz w:val="16"/>
                <w:szCs w:val="16"/>
              </w:rPr>
            </w:pPr>
            <w:r w:rsidRPr="0087784B">
              <w:rPr>
                <w:color w:val="000000"/>
                <w:sz w:val="16"/>
                <w:szCs w:val="16"/>
              </w:rPr>
              <w:t>1.86 ±0.00</w:t>
            </w:r>
          </w:p>
        </w:tc>
        <w:tc>
          <w:tcPr>
            <w:tcW w:w="797" w:type="dxa"/>
            <w:tcBorders>
              <w:top w:val="single" w:sz="4" w:space="0" w:color="auto"/>
              <w:left w:val="nil"/>
              <w:bottom w:val="single" w:sz="4" w:space="0" w:color="auto"/>
              <w:right w:val="nil"/>
            </w:tcBorders>
            <w:shd w:val="clear" w:color="auto" w:fill="auto"/>
            <w:vAlign w:val="center"/>
          </w:tcPr>
          <w:p w14:paraId="65BFFC1A"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single" w:sz="4" w:space="0" w:color="auto"/>
              <w:right w:val="nil"/>
            </w:tcBorders>
            <w:shd w:val="clear" w:color="auto" w:fill="auto"/>
            <w:noWrap/>
            <w:vAlign w:val="center"/>
          </w:tcPr>
          <w:p w14:paraId="11376FDA"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24285601" w14:textId="77777777" w:rsidTr="00DE79BD">
        <w:trPr>
          <w:cantSplit/>
          <w:trHeight w:val="227"/>
          <w:jc w:val="center"/>
        </w:trPr>
        <w:tc>
          <w:tcPr>
            <w:tcW w:w="1077" w:type="dxa"/>
            <w:vAlign w:val="center"/>
            <w:hideMark/>
          </w:tcPr>
          <w:p w14:paraId="7B8468D5" w14:textId="77777777" w:rsidR="00722B14" w:rsidRDefault="00722B14" w:rsidP="00DD3BAE">
            <w:pPr>
              <w:spacing w:before="0" w:after="0"/>
              <w:jc w:val="center"/>
              <w:rPr>
                <w:color w:val="000000"/>
                <w:sz w:val="16"/>
                <w:szCs w:val="16"/>
              </w:rPr>
            </w:pPr>
            <w:r>
              <w:rPr>
                <w:color w:val="000000"/>
                <w:sz w:val="16"/>
                <w:szCs w:val="16"/>
              </w:rPr>
              <w:t>Whitsunday</w:t>
            </w:r>
          </w:p>
        </w:tc>
        <w:tc>
          <w:tcPr>
            <w:tcW w:w="1115" w:type="dxa"/>
            <w:noWrap/>
            <w:vAlign w:val="center"/>
          </w:tcPr>
          <w:p w14:paraId="21B69EFA"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tcBorders>
              <w:top w:val="single" w:sz="4" w:space="0" w:color="auto"/>
            </w:tcBorders>
            <w:noWrap/>
            <w:vAlign w:val="center"/>
          </w:tcPr>
          <w:p w14:paraId="75FDB05D"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tcBorders>
            <w:vAlign w:val="center"/>
          </w:tcPr>
          <w:p w14:paraId="2063CDEF"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tcBorders>
            <w:vAlign w:val="center"/>
          </w:tcPr>
          <w:p w14:paraId="2FDFFDE7" w14:textId="77777777" w:rsidR="00722B14" w:rsidRDefault="00722B14" w:rsidP="00DD3BAE">
            <w:pPr>
              <w:spacing w:before="0" w:after="0"/>
              <w:jc w:val="center"/>
              <w:rPr>
                <w:color w:val="000000"/>
                <w:sz w:val="16"/>
                <w:szCs w:val="16"/>
              </w:rPr>
            </w:pPr>
            <w:r>
              <w:rPr>
                <w:color w:val="000000"/>
                <w:sz w:val="16"/>
                <w:szCs w:val="16"/>
              </w:rPr>
              <w:t>43.22</w:t>
            </w:r>
          </w:p>
        </w:tc>
        <w:tc>
          <w:tcPr>
            <w:tcW w:w="661" w:type="dxa"/>
            <w:tcBorders>
              <w:top w:val="single" w:sz="4" w:space="0" w:color="auto"/>
            </w:tcBorders>
            <w:shd w:val="clear" w:color="auto" w:fill="CCFFCC"/>
            <w:vAlign w:val="center"/>
          </w:tcPr>
          <w:p w14:paraId="3F1C439C" w14:textId="77777777" w:rsidR="00722B14" w:rsidRDefault="00722B14" w:rsidP="00DD3BAE">
            <w:pPr>
              <w:spacing w:before="0" w:after="0"/>
              <w:jc w:val="center"/>
              <w:rPr>
                <w:color w:val="000000"/>
                <w:sz w:val="16"/>
                <w:szCs w:val="16"/>
              </w:rPr>
            </w:pPr>
            <w:r>
              <w:rPr>
                <w:color w:val="000000"/>
                <w:sz w:val="16"/>
                <w:szCs w:val="16"/>
              </w:rPr>
              <w:t>12.13</w:t>
            </w:r>
          </w:p>
        </w:tc>
        <w:tc>
          <w:tcPr>
            <w:tcW w:w="1109" w:type="dxa"/>
            <w:tcBorders>
              <w:top w:val="single" w:sz="4" w:space="0" w:color="auto"/>
            </w:tcBorders>
            <w:shd w:val="clear" w:color="auto" w:fill="CCFFCC"/>
            <w:noWrap/>
            <w:vAlign w:val="center"/>
          </w:tcPr>
          <w:p w14:paraId="3A5A9675" w14:textId="77777777" w:rsidR="00722B14" w:rsidRDefault="00722B14" w:rsidP="00DD3BAE">
            <w:pPr>
              <w:spacing w:before="0" w:after="0"/>
              <w:jc w:val="center"/>
              <w:rPr>
                <w:color w:val="000000"/>
                <w:sz w:val="16"/>
                <w:szCs w:val="16"/>
              </w:rPr>
            </w:pPr>
            <w:r>
              <w:rPr>
                <w:color w:val="000000"/>
                <w:sz w:val="16"/>
                <w:szCs w:val="16"/>
              </w:rPr>
              <w:t>-10.02 ±0.12</w:t>
            </w:r>
          </w:p>
        </w:tc>
        <w:tc>
          <w:tcPr>
            <w:tcW w:w="1109" w:type="dxa"/>
            <w:tcBorders>
              <w:top w:val="single" w:sz="4" w:space="0" w:color="auto"/>
            </w:tcBorders>
            <w:vAlign w:val="center"/>
          </w:tcPr>
          <w:p w14:paraId="404AD7BA" w14:textId="77777777" w:rsidR="00722B14" w:rsidRDefault="00722B14" w:rsidP="00DD3BAE">
            <w:pPr>
              <w:spacing w:before="0" w:after="0"/>
              <w:jc w:val="center"/>
              <w:rPr>
                <w:color w:val="000000"/>
                <w:sz w:val="16"/>
                <w:szCs w:val="16"/>
              </w:rPr>
            </w:pPr>
            <w:r>
              <w:rPr>
                <w:color w:val="000000"/>
                <w:sz w:val="16"/>
                <w:szCs w:val="16"/>
              </w:rPr>
              <w:t>0.53 ±0.47</w:t>
            </w:r>
          </w:p>
        </w:tc>
        <w:tc>
          <w:tcPr>
            <w:tcW w:w="797" w:type="dxa"/>
            <w:tcBorders>
              <w:top w:val="single" w:sz="4" w:space="0" w:color="auto"/>
            </w:tcBorders>
            <w:vAlign w:val="center"/>
          </w:tcPr>
          <w:p w14:paraId="1242D084"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tcBorders>
            <w:noWrap/>
            <w:vAlign w:val="center"/>
          </w:tcPr>
          <w:p w14:paraId="2846188B"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09A2EC1F" w14:textId="77777777" w:rsidTr="00DE79BD">
        <w:trPr>
          <w:cantSplit/>
          <w:trHeight w:val="227"/>
          <w:jc w:val="center"/>
        </w:trPr>
        <w:tc>
          <w:tcPr>
            <w:tcW w:w="1077" w:type="dxa"/>
            <w:vAlign w:val="center"/>
          </w:tcPr>
          <w:p w14:paraId="3A781F1C" w14:textId="77777777" w:rsidR="00722B14" w:rsidRDefault="00722B14" w:rsidP="00DD3BAE">
            <w:pPr>
              <w:spacing w:before="0" w:after="0"/>
              <w:jc w:val="center"/>
              <w:rPr>
                <w:color w:val="000000"/>
                <w:sz w:val="16"/>
                <w:szCs w:val="16"/>
              </w:rPr>
            </w:pPr>
          </w:p>
        </w:tc>
        <w:tc>
          <w:tcPr>
            <w:tcW w:w="1115" w:type="dxa"/>
            <w:noWrap/>
            <w:vAlign w:val="center"/>
          </w:tcPr>
          <w:p w14:paraId="2D4E383C" w14:textId="77777777" w:rsidR="00722B14" w:rsidRDefault="00722B14" w:rsidP="00DD3BAE">
            <w:pPr>
              <w:spacing w:before="0" w:after="0"/>
              <w:jc w:val="center"/>
              <w:rPr>
                <w:color w:val="000000"/>
                <w:sz w:val="16"/>
                <w:szCs w:val="16"/>
              </w:rPr>
            </w:pPr>
          </w:p>
        </w:tc>
        <w:tc>
          <w:tcPr>
            <w:tcW w:w="789" w:type="dxa"/>
            <w:noWrap/>
            <w:vAlign w:val="center"/>
          </w:tcPr>
          <w:p w14:paraId="2CD01F14" w14:textId="77777777" w:rsidR="00722B14" w:rsidRDefault="00722B14" w:rsidP="00DD3BAE">
            <w:pPr>
              <w:spacing w:before="0" w:after="0"/>
              <w:jc w:val="center"/>
              <w:rPr>
                <w:color w:val="000000"/>
                <w:sz w:val="16"/>
                <w:szCs w:val="16"/>
              </w:rPr>
            </w:pPr>
          </w:p>
        </w:tc>
        <w:tc>
          <w:tcPr>
            <w:tcW w:w="621" w:type="dxa"/>
            <w:vAlign w:val="center"/>
          </w:tcPr>
          <w:p w14:paraId="47450E78"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tcPr>
          <w:p w14:paraId="3F48E105" w14:textId="77777777" w:rsidR="00722B14" w:rsidRDefault="00722B14" w:rsidP="00DD3BAE">
            <w:pPr>
              <w:spacing w:before="0" w:after="0"/>
              <w:jc w:val="center"/>
              <w:rPr>
                <w:color w:val="000000"/>
                <w:sz w:val="16"/>
                <w:szCs w:val="16"/>
              </w:rPr>
            </w:pPr>
            <w:r>
              <w:rPr>
                <w:color w:val="000000"/>
                <w:sz w:val="16"/>
                <w:szCs w:val="16"/>
              </w:rPr>
              <w:t>40.47</w:t>
            </w:r>
          </w:p>
        </w:tc>
        <w:tc>
          <w:tcPr>
            <w:tcW w:w="661" w:type="dxa"/>
            <w:shd w:val="clear" w:color="auto" w:fill="CCFFCC"/>
            <w:vAlign w:val="center"/>
          </w:tcPr>
          <w:p w14:paraId="69ED44F8" w14:textId="77777777" w:rsidR="00722B14" w:rsidRDefault="00722B14" w:rsidP="00DD3BAE">
            <w:pPr>
              <w:spacing w:before="0" w:after="0"/>
              <w:jc w:val="center"/>
              <w:rPr>
                <w:color w:val="000000"/>
                <w:sz w:val="16"/>
                <w:szCs w:val="16"/>
              </w:rPr>
            </w:pPr>
            <w:r>
              <w:rPr>
                <w:color w:val="000000"/>
                <w:sz w:val="16"/>
                <w:szCs w:val="16"/>
              </w:rPr>
              <w:t>12.92</w:t>
            </w:r>
          </w:p>
        </w:tc>
        <w:tc>
          <w:tcPr>
            <w:tcW w:w="1109" w:type="dxa"/>
            <w:shd w:val="clear" w:color="auto" w:fill="CCFFCC"/>
            <w:noWrap/>
            <w:vAlign w:val="center"/>
          </w:tcPr>
          <w:p w14:paraId="4E7BDB39" w14:textId="77777777" w:rsidR="00722B14" w:rsidRDefault="00722B14" w:rsidP="00DD3BAE">
            <w:pPr>
              <w:spacing w:before="0" w:after="0"/>
              <w:jc w:val="center"/>
              <w:rPr>
                <w:color w:val="000000"/>
                <w:sz w:val="16"/>
                <w:szCs w:val="16"/>
              </w:rPr>
            </w:pPr>
            <w:r>
              <w:rPr>
                <w:color w:val="000000"/>
                <w:sz w:val="16"/>
                <w:szCs w:val="16"/>
              </w:rPr>
              <w:t>-10.45 ±0.19</w:t>
            </w:r>
          </w:p>
        </w:tc>
        <w:tc>
          <w:tcPr>
            <w:tcW w:w="1109" w:type="dxa"/>
            <w:vAlign w:val="center"/>
          </w:tcPr>
          <w:p w14:paraId="00960096" w14:textId="77777777" w:rsidR="00722B14" w:rsidRDefault="00722B14" w:rsidP="00DD3BAE">
            <w:pPr>
              <w:spacing w:before="0" w:after="0"/>
              <w:jc w:val="center"/>
              <w:rPr>
                <w:color w:val="000000"/>
                <w:sz w:val="16"/>
                <w:szCs w:val="16"/>
              </w:rPr>
            </w:pPr>
            <w:r>
              <w:rPr>
                <w:color w:val="000000"/>
                <w:sz w:val="16"/>
                <w:szCs w:val="16"/>
              </w:rPr>
              <w:t>2.08 ±0.22</w:t>
            </w:r>
          </w:p>
        </w:tc>
        <w:tc>
          <w:tcPr>
            <w:tcW w:w="797" w:type="dxa"/>
            <w:vAlign w:val="center"/>
          </w:tcPr>
          <w:p w14:paraId="15A13D08" w14:textId="77777777" w:rsidR="00722B14" w:rsidRDefault="00722B14" w:rsidP="00DD3BAE">
            <w:pPr>
              <w:spacing w:before="0" w:after="0"/>
              <w:jc w:val="center"/>
              <w:rPr>
                <w:i/>
                <w:color w:val="000000"/>
                <w:sz w:val="16"/>
                <w:szCs w:val="16"/>
              </w:rPr>
            </w:pPr>
          </w:p>
        </w:tc>
        <w:tc>
          <w:tcPr>
            <w:tcW w:w="1557" w:type="dxa"/>
            <w:noWrap/>
            <w:vAlign w:val="center"/>
          </w:tcPr>
          <w:p w14:paraId="65AF1AC5" w14:textId="77777777" w:rsidR="00722B14" w:rsidRDefault="00722B14" w:rsidP="00DD3BAE">
            <w:pPr>
              <w:spacing w:before="0" w:after="0"/>
              <w:jc w:val="center"/>
              <w:rPr>
                <w:i/>
                <w:color w:val="000000"/>
                <w:sz w:val="16"/>
                <w:szCs w:val="16"/>
              </w:rPr>
            </w:pPr>
          </w:p>
        </w:tc>
      </w:tr>
      <w:tr w:rsidR="00722B14" w14:paraId="6BD9DA67" w14:textId="77777777" w:rsidTr="00DE79BD">
        <w:trPr>
          <w:cantSplit/>
          <w:trHeight w:val="227"/>
          <w:jc w:val="center"/>
        </w:trPr>
        <w:tc>
          <w:tcPr>
            <w:tcW w:w="1077" w:type="dxa"/>
            <w:tcBorders>
              <w:top w:val="nil"/>
              <w:left w:val="nil"/>
              <w:bottom w:val="nil"/>
              <w:right w:val="nil"/>
            </w:tcBorders>
            <w:shd w:val="clear" w:color="auto" w:fill="auto"/>
            <w:vAlign w:val="bottom"/>
          </w:tcPr>
          <w:p w14:paraId="4A491650"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70E9C59D"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534F0DF9"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1AD7DFB4"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center"/>
          </w:tcPr>
          <w:p w14:paraId="66ADB27D" w14:textId="77777777" w:rsidR="00722B14" w:rsidRPr="007C770B" w:rsidRDefault="00722B14" w:rsidP="00DD3BAE">
            <w:pPr>
              <w:spacing w:before="0" w:after="0"/>
              <w:jc w:val="center"/>
              <w:rPr>
                <w:color w:val="000000"/>
                <w:sz w:val="16"/>
                <w:szCs w:val="16"/>
              </w:rPr>
            </w:pPr>
            <w:r w:rsidRPr="007C770B">
              <w:rPr>
                <w:color w:val="000000"/>
                <w:sz w:val="16"/>
                <w:szCs w:val="16"/>
              </w:rPr>
              <w:t>37.60</w:t>
            </w:r>
          </w:p>
        </w:tc>
        <w:tc>
          <w:tcPr>
            <w:tcW w:w="661" w:type="dxa"/>
            <w:tcBorders>
              <w:top w:val="nil"/>
              <w:left w:val="nil"/>
              <w:bottom w:val="nil"/>
              <w:right w:val="nil"/>
            </w:tcBorders>
            <w:shd w:val="clear" w:color="auto" w:fill="CCFFCC"/>
            <w:vAlign w:val="center"/>
          </w:tcPr>
          <w:p w14:paraId="30A544CC" w14:textId="77777777" w:rsidR="00722B14" w:rsidRPr="007C770B" w:rsidRDefault="00722B14" w:rsidP="00DD3BAE">
            <w:pPr>
              <w:spacing w:before="0" w:after="0"/>
              <w:jc w:val="center"/>
              <w:rPr>
                <w:color w:val="000000"/>
                <w:sz w:val="16"/>
                <w:szCs w:val="16"/>
              </w:rPr>
            </w:pPr>
            <w:r w:rsidRPr="007C770B">
              <w:rPr>
                <w:color w:val="000000"/>
                <w:sz w:val="16"/>
                <w:szCs w:val="16"/>
              </w:rPr>
              <w:t>17.39</w:t>
            </w:r>
          </w:p>
        </w:tc>
        <w:tc>
          <w:tcPr>
            <w:tcW w:w="1109" w:type="dxa"/>
            <w:tcBorders>
              <w:top w:val="nil"/>
              <w:left w:val="nil"/>
              <w:bottom w:val="nil"/>
              <w:right w:val="nil"/>
            </w:tcBorders>
            <w:shd w:val="clear" w:color="auto" w:fill="auto"/>
            <w:noWrap/>
            <w:vAlign w:val="center"/>
          </w:tcPr>
          <w:p w14:paraId="4F4D025A" w14:textId="77777777" w:rsidR="00722B14" w:rsidRPr="007C770B" w:rsidRDefault="00722B14" w:rsidP="00DD3BAE">
            <w:pPr>
              <w:spacing w:before="0" w:after="0"/>
              <w:jc w:val="center"/>
              <w:rPr>
                <w:color w:val="000000"/>
                <w:sz w:val="16"/>
                <w:szCs w:val="16"/>
              </w:rPr>
            </w:pPr>
            <w:r w:rsidRPr="007C770B">
              <w:rPr>
                <w:color w:val="000000"/>
                <w:sz w:val="16"/>
                <w:szCs w:val="16"/>
              </w:rPr>
              <w:t>-10.57 ±0.2</w:t>
            </w:r>
          </w:p>
        </w:tc>
        <w:tc>
          <w:tcPr>
            <w:tcW w:w="1109" w:type="dxa"/>
            <w:tcBorders>
              <w:top w:val="nil"/>
              <w:left w:val="nil"/>
              <w:bottom w:val="nil"/>
              <w:right w:val="nil"/>
            </w:tcBorders>
            <w:shd w:val="clear" w:color="auto" w:fill="auto"/>
            <w:vAlign w:val="center"/>
          </w:tcPr>
          <w:p w14:paraId="58601208" w14:textId="77777777" w:rsidR="00722B14" w:rsidRPr="007C770B" w:rsidRDefault="00722B14" w:rsidP="00DD3BAE">
            <w:pPr>
              <w:spacing w:before="0" w:after="0"/>
              <w:jc w:val="center"/>
              <w:rPr>
                <w:color w:val="000000"/>
                <w:sz w:val="16"/>
                <w:szCs w:val="16"/>
              </w:rPr>
            </w:pPr>
            <w:r w:rsidRPr="007C770B">
              <w:rPr>
                <w:color w:val="000000"/>
                <w:sz w:val="16"/>
                <w:szCs w:val="16"/>
              </w:rPr>
              <w:t>1.29 ±0.54</w:t>
            </w:r>
          </w:p>
        </w:tc>
        <w:tc>
          <w:tcPr>
            <w:tcW w:w="797" w:type="dxa"/>
            <w:tcBorders>
              <w:top w:val="nil"/>
              <w:left w:val="nil"/>
              <w:bottom w:val="nil"/>
              <w:right w:val="nil"/>
            </w:tcBorders>
            <w:shd w:val="clear" w:color="auto" w:fill="auto"/>
            <w:vAlign w:val="center"/>
          </w:tcPr>
          <w:p w14:paraId="78A0A6DA"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462DF341" w14:textId="77777777" w:rsidR="00722B14" w:rsidRDefault="00722B14" w:rsidP="00DD3BAE">
            <w:pPr>
              <w:spacing w:before="0" w:after="0"/>
              <w:jc w:val="center"/>
              <w:rPr>
                <w:i/>
                <w:color w:val="000000"/>
                <w:sz w:val="16"/>
                <w:szCs w:val="16"/>
              </w:rPr>
            </w:pPr>
          </w:p>
        </w:tc>
      </w:tr>
      <w:tr w:rsidR="00722B14" w14:paraId="717EAEFB" w14:textId="77777777" w:rsidTr="00DE79BD">
        <w:trPr>
          <w:cantSplit/>
          <w:trHeight w:val="227"/>
          <w:jc w:val="center"/>
        </w:trPr>
        <w:tc>
          <w:tcPr>
            <w:tcW w:w="1077" w:type="dxa"/>
            <w:tcBorders>
              <w:top w:val="nil"/>
              <w:left w:val="nil"/>
              <w:bottom w:val="nil"/>
              <w:right w:val="nil"/>
            </w:tcBorders>
            <w:shd w:val="clear" w:color="auto" w:fill="auto"/>
            <w:vAlign w:val="center"/>
          </w:tcPr>
          <w:p w14:paraId="1F9CA0CC"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56D183DB" w14:textId="77777777" w:rsidR="00722B14" w:rsidRPr="007C770B"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3EBC48EB"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58462979"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nil"/>
              <w:left w:val="nil"/>
              <w:bottom w:val="nil"/>
              <w:right w:val="nil"/>
            </w:tcBorders>
            <w:shd w:val="clear" w:color="auto" w:fill="auto"/>
            <w:vAlign w:val="center"/>
          </w:tcPr>
          <w:p w14:paraId="16B1F973" w14:textId="77777777" w:rsidR="00722B14" w:rsidRPr="0087784B" w:rsidRDefault="00722B14" w:rsidP="00DD3BAE">
            <w:pPr>
              <w:spacing w:before="0" w:after="0"/>
              <w:jc w:val="center"/>
              <w:rPr>
                <w:color w:val="000000"/>
                <w:sz w:val="16"/>
                <w:szCs w:val="16"/>
              </w:rPr>
            </w:pPr>
            <w:r w:rsidRPr="0087784B">
              <w:rPr>
                <w:color w:val="000000"/>
                <w:sz w:val="16"/>
                <w:szCs w:val="16"/>
              </w:rPr>
              <w:t>40.39</w:t>
            </w:r>
          </w:p>
        </w:tc>
        <w:tc>
          <w:tcPr>
            <w:tcW w:w="661" w:type="dxa"/>
            <w:tcBorders>
              <w:top w:val="nil"/>
              <w:left w:val="nil"/>
              <w:bottom w:val="nil"/>
              <w:right w:val="nil"/>
            </w:tcBorders>
            <w:shd w:val="clear" w:color="auto" w:fill="auto"/>
            <w:vAlign w:val="center"/>
          </w:tcPr>
          <w:p w14:paraId="44BB793C" w14:textId="77777777" w:rsidR="00722B14" w:rsidRPr="0087784B" w:rsidRDefault="00722B14" w:rsidP="00DD3BAE">
            <w:pPr>
              <w:spacing w:before="0" w:after="0"/>
              <w:jc w:val="center"/>
              <w:rPr>
                <w:color w:val="000000"/>
                <w:sz w:val="16"/>
                <w:szCs w:val="16"/>
              </w:rPr>
            </w:pPr>
            <w:r w:rsidRPr="0087784B">
              <w:rPr>
                <w:color w:val="000000"/>
                <w:sz w:val="16"/>
                <w:szCs w:val="16"/>
              </w:rPr>
              <w:t>17.07</w:t>
            </w:r>
          </w:p>
        </w:tc>
        <w:tc>
          <w:tcPr>
            <w:tcW w:w="1109" w:type="dxa"/>
            <w:tcBorders>
              <w:top w:val="nil"/>
              <w:left w:val="nil"/>
              <w:bottom w:val="nil"/>
              <w:right w:val="nil"/>
            </w:tcBorders>
            <w:shd w:val="clear" w:color="auto" w:fill="CCFFCC"/>
            <w:noWrap/>
            <w:vAlign w:val="center"/>
          </w:tcPr>
          <w:p w14:paraId="6726BF12" w14:textId="77777777" w:rsidR="00722B14" w:rsidRPr="0087784B" w:rsidRDefault="00722B14" w:rsidP="00DD3BAE">
            <w:pPr>
              <w:spacing w:before="0" w:after="0"/>
              <w:jc w:val="center"/>
              <w:rPr>
                <w:color w:val="000000"/>
                <w:sz w:val="16"/>
                <w:szCs w:val="16"/>
              </w:rPr>
            </w:pPr>
            <w:r w:rsidRPr="0087784B">
              <w:rPr>
                <w:color w:val="000000"/>
                <w:sz w:val="16"/>
                <w:szCs w:val="16"/>
              </w:rPr>
              <w:t>-11.25 ±0.42</w:t>
            </w:r>
          </w:p>
        </w:tc>
        <w:tc>
          <w:tcPr>
            <w:tcW w:w="1109" w:type="dxa"/>
            <w:tcBorders>
              <w:top w:val="nil"/>
              <w:left w:val="nil"/>
              <w:bottom w:val="nil"/>
              <w:right w:val="nil"/>
            </w:tcBorders>
            <w:shd w:val="clear" w:color="auto" w:fill="auto"/>
            <w:vAlign w:val="center"/>
          </w:tcPr>
          <w:p w14:paraId="547D124B" w14:textId="77777777" w:rsidR="00722B14" w:rsidRPr="0087784B" w:rsidRDefault="00722B14" w:rsidP="00DD3BAE">
            <w:pPr>
              <w:spacing w:before="0" w:after="0"/>
              <w:jc w:val="center"/>
              <w:rPr>
                <w:color w:val="000000"/>
                <w:sz w:val="16"/>
                <w:szCs w:val="16"/>
              </w:rPr>
            </w:pPr>
            <w:r w:rsidRPr="0087784B">
              <w:rPr>
                <w:color w:val="000000"/>
                <w:sz w:val="16"/>
                <w:szCs w:val="16"/>
              </w:rPr>
              <w:t>1.98 ±0.19</w:t>
            </w:r>
          </w:p>
        </w:tc>
        <w:tc>
          <w:tcPr>
            <w:tcW w:w="797" w:type="dxa"/>
            <w:tcBorders>
              <w:top w:val="nil"/>
              <w:left w:val="nil"/>
              <w:bottom w:val="nil"/>
              <w:right w:val="nil"/>
            </w:tcBorders>
            <w:shd w:val="clear" w:color="auto" w:fill="auto"/>
            <w:vAlign w:val="center"/>
          </w:tcPr>
          <w:p w14:paraId="5D33B1A5"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2332DE16" w14:textId="77777777" w:rsidR="00722B14" w:rsidRDefault="00722B14" w:rsidP="00DD3BAE">
            <w:pPr>
              <w:spacing w:before="0" w:after="0"/>
              <w:jc w:val="center"/>
              <w:rPr>
                <w:i/>
                <w:color w:val="000000"/>
                <w:sz w:val="16"/>
                <w:szCs w:val="16"/>
              </w:rPr>
            </w:pPr>
          </w:p>
        </w:tc>
      </w:tr>
      <w:tr w:rsidR="00722B14" w14:paraId="75F00976" w14:textId="77777777" w:rsidTr="00DE79BD">
        <w:trPr>
          <w:cantSplit/>
          <w:trHeight w:val="227"/>
          <w:jc w:val="center"/>
        </w:trPr>
        <w:tc>
          <w:tcPr>
            <w:tcW w:w="1077" w:type="dxa"/>
            <w:vAlign w:val="center"/>
          </w:tcPr>
          <w:p w14:paraId="240BCDD8"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73E49847" w14:textId="77777777" w:rsidR="00722B14" w:rsidRDefault="00722B14" w:rsidP="00DD3BAE">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14:paraId="23B2E091"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205DEF6C"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4EB6C66B" w14:textId="77777777" w:rsidR="00722B14" w:rsidRDefault="00722B14" w:rsidP="00DD3BAE">
            <w:pPr>
              <w:spacing w:before="0" w:after="0"/>
              <w:jc w:val="center"/>
              <w:rPr>
                <w:color w:val="000000"/>
                <w:sz w:val="16"/>
                <w:szCs w:val="16"/>
              </w:rPr>
            </w:pPr>
            <w:r>
              <w:rPr>
                <w:color w:val="000000"/>
                <w:sz w:val="16"/>
                <w:szCs w:val="16"/>
              </w:rPr>
              <w:t>43.02</w:t>
            </w:r>
          </w:p>
        </w:tc>
        <w:tc>
          <w:tcPr>
            <w:tcW w:w="661" w:type="dxa"/>
            <w:tcBorders>
              <w:top w:val="single" w:sz="4" w:space="0" w:color="auto"/>
              <w:left w:val="nil"/>
              <w:bottom w:val="nil"/>
              <w:right w:val="nil"/>
            </w:tcBorders>
            <w:shd w:val="clear" w:color="auto" w:fill="CCFFCC"/>
            <w:vAlign w:val="center"/>
            <w:hideMark/>
          </w:tcPr>
          <w:p w14:paraId="54E6DBF3" w14:textId="77777777" w:rsidR="00722B14" w:rsidRDefault="00722B14" w:rsidP="00DD3BAE">
            <w:pPr>
              <w:spacing w:before="0" w:after="0"/>
              <w:jc w:val="center"/>
              <w:rPr>
                <w:color w:val="000000"/>
                <w:sz w:val="16"/>
                <w:szCs w:val="16"/>
              </w:rPr>
            </w:pPr>
            <w:r>
              <w:rPr>
                <w:color w:val="000000"/>
                <w:sz w:val="16"/>
                <w:szCs w:val="16"/>
              </w:rPr>
              <w:t>10.84</w:t>
            </w:r>
          </w:p>
        </w:tc>
        <w:tc>
          <w:tcPr>
            <w:tcW w:w="1109" w:type="dxa"/>
            <w:tcBorders>
              <w:top w:val="single" w:sz="4" w:space="0" w:color="auto"/>
              <w:left w:val="nil"/>
              <w:bottom w:val="nil"/>
              <w:right w:val="nil"/>
            </w:tcBorders>
            <w:noWrap/>
            <w:vAlign w:val="center"/>
            <w:hideMark/>
          </w:tcPr>
          <w:p w14:paraId="3790D464" w14:textId="77777777" w:rsidR="00722B14" w:rsidRDefault="00722B14" w:rsidP="00DD3BAE">
            <w:pPr>
              <w:spacing w:before="0" w:after="0"/>
              <w:jc w:val="center"/>
              <w:rPr>
                <w:color w:val="000000"/>
                <w:sz w:val="16"/>
                <w:szCs w:val="16"/>
              </w:rPr>
            </w:pPr>
            <w:r>
              <w:rPr>
                <w:color w:val="000000"/>
                <w:sz w:val="16"/>
                <w:szCs w:val="16"/>
              </w:rPr>
              <w:t>-11.42 ±0.06</w:t>
            </w:r>
          </w:p>
        </w:tc>
        <w:tc>
          <w:tcPr>
            <w:tcW w:w="1109" w:type="dxa"/>
            <w:tcBorders>
              <w:top w:val="single" w:sz="4" w:space="0" w:color="auto"/>
              <w:left w:val="nil"/>
              <w:bottom w:val="nil"/>
              <w:right w:val="nil"/>
            </w:tcBorders>
            <w:vAlign w:val="center"/>
            <w:hideMark/>
          </w:tcPr>
          <w:p w14:paraId="4A30D55F" w14:textId="77777777" w:rsidR="00722B14" w:rsidRDefault="00722B14" w:rsidP="00DD3BAE">
            <w:pPr>
              <w:spacing w:before="0" w:after="0"/>
              <w:jc w:val="center"/>
              <w:rPr>
                <w:color w:val="000000"/>
                <w:sz w:val="16"/>
                <w:szCs w:val="16"/>
              </w:rPr>
            </w:pPr>
            <w:r>
              <w:rPr>
                <w:color w:val="000000"/>
                <w:sz w:val="16"/>
                <w:szCs w:val="16"/>
              </w:rPr>
              <w:t>-0.98 ±0.15</w:t>
            </w:r>
          </w:p>
        </w:tc>
        <w:tc>
          <w:tcPr>
            <w:tcW w:w="797" w:type="dxa"/>
            <w:tcBorders>
              <w:top w:val="single" w:sz="4" w:space="0" w:color="auto"/>
              <w:left w:val="nil"/>
              <w:bottom w:val="nil"/>
              <w:right w:val="nil"/>
            </w:tcBorders>
            <w:vAlign w:val="center"/>
            <w:hideMark/>
          </w:tcPr>
          <w:p w14:paraId="4E767D92"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32BC1EA2"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13486B4E" w14:textId="77777777" w:rsidTr="00DE79BD">
        <w:trPr>
          <w:cantSplit/>
          <w:trHeight w:val="227"/>
          <w:jc w:val="center"/>
        </w:trPr>
        <w:tc>
          <w:tcPr>
            <w:tcW w:w="1077" w:type="dxa"/>
            <w:vAlign w:val="center"/>
          </w:tcPr>
          <w:p w14:paraId="14A7E131" w14:textId="77777777" w:rsidR="00722B14" w:rsidRDefault="00722B14" w:rsidP="00DD3BAE">
            <w:pPr>
              <w:spacing w:before="0" w:after="0"/>
              <w:jc w:val="center"/>
              <w:rPr>
                <w:color w:val="000000"/>
                <w:sz w:val="16"/>
                <w:szCs w:val="16"/>
              </w:rPr>
            </w:pPr>
          </w:p>
        </w:tc>
        <w:tc>
          <w:tcPr>
            <w:tcW w:w="1115" w:type="dxa"/>
            <w:noWrap/>
            <w:vAlign w:val="center"/>
          </w:tcPr>
          <w:p w14:paraId="0776C8E1"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73051C6D" w14:textId="77777777" w:rsidR="00722B14" w:rsidRDefault="00722B14" w:rsidP="00DD3BAE">
            <w:pPr>
              <w:spacing w:before="0" w:after="0"/>
              <w:jc w:val="center"/>
              <w:rPr>
                <w:color w:val="000000"/>
                <w:sz w:val="16"/>
                <w:szCs w:val="16"/>
              </w:rPr>
            </w:pPr>
          </w:p>
        </w:tc>
        <w:tc>
          <w:tcPr>
            <w:tcW w:w="621" w:type="dxa"/>
            <w:vAlign w:val="center"/>
            <w:hideMark/>
          </w:tcPr>
          <w:p w14:paraId="262086BF"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48DE1EAF" w14:textId="77777777" w:rsidR="00722B14" w:rsidRDefault="00722B14" w:rsidP="00DD3BAE">
            <w:pPr>
              <w:spacing w:before="0" w:after="0"/>
              <w:jc w:val="center"/>
              <w:rPr>
                <w:color w:val="000000"/>
                <w:sz w:val="16"/>
                <w:szCs w:val="16"/>
              </w:rPr>
            </w:pPr>
            <w:r>
              <w:rPr>
                <w:color w:val="000000"/>
                <w:sz w:val="16"/>
                <w:szCs w:val="16"/>
              </w:rPr>
              <w:t>42.31</w:t>
            </w:r>
          </w:p>
        </w:tc>
        <w:tc>
          <w:tcPr>
            <w:tcW w:w="661" w:type="dxa"/>
            <w:shd w:val="clear" w:color="auto" w:fill="CCFFCC"/>
            <w:vAlign w:val="center"/>
            <w:hideMark/>
          </w:tcPr>
          <w:p w14:paraId="0C4BFC7D" w14:textId="77777777" w:rsidR="00722B14" w:rsidRDefault="00722B14" w:rsidP="00DD3BAE">
            <w:pPr>
              <w:spacing w:before="0" w:after="0"/>
              <w:jc w:val="center"/>
              <w:rPr>
                <w:color w:val="000000"/>
                <w:sz w:val="16"/>
                <w:szCs w:val="16"/>
              </w:rPr>
            </w:pPr>
            <w:r>
              <w:rPr>
                <w:color w:val="000000"/>
                <w:sz w:val="16"/>
                <w:szCs w:val="16"/>
              </w:rPr>
              <w:t>12.84</w:t>
            </w:r>
          </w:p>
        </w:tc>
        <w:tc>
          <w:tcPr>
            <w:tcW w:w="1109" w:type="dxa"/>
            <w:shd w:val="clear" w:color="auto" w:fill="CCFFCC"/>
            <w:noWrap/>
            <w:vAlign w:val="center"/>
            <w:hideMark/>
          </w:tcPr>
          <w:p w14:paraId="5A2203E0" w14:textId="77777777" w:rsidR="00722B14" w:rsidRDefault="00722B14" w:rsidP="00DD3BAE">
            <w:pPr>
              <w:spacing w:before="0" w:after="0"/>
              <w:jc w:val="center"/>
              <w:rPr>
                <w:color w:val="000000"/>
                <w:sz w:val="16"/>
                <w:szCs w:val="16"/>
              </w:rPr>
            </w:pPr>
            <w:r>
              <w:rPr>
                <w:color w:val="000000"/>
                <w:sz w:val="16"/>
                <w:szCs w:val="16"/>
              </w:rPr>
              <w:t>-10.93 ±0.19</w:t>
            </w:r>
          </w:p>
        </w:tc>
        <w:tc>
          <w:tcPr>
            <w:tcW w:w="1109" w:type="dxa"/>
            <w:vAlign w:val="center"/>
            <w:hideMark/>
          </w:tcPr>
          <w:p w14:paraId="65FB989E" w14:textId="77777777" w:rsidR="00722B14" w:rsidRDefault="00722B14" w:rsidP="00DD3BAE">
            <w:pPr>
              <w:spacing w:before="0" w:after="0"/>
              <w:jc w:val="center"/>
              <w:rPr>
                <w:color w:val="000000"/>
                <w:sz w:val="16"/>
                <w:szCs w:val="16"/>
              </w:rPr>
            </w:pPr>
            <w:r>
              <w:rPr>
                <w:color w:val="000000"/>
                <w:sz w:val="16"/>
                <w:szCs w:val="16"/>
              </w:rPr>
              <w:t>3.25 ±0.10</w:t>
            </w:r>
          </w:p>
        </w:tc>
        <w:tc>
          <w:tcPr>
            <w:tcW w:w="797" w:type="dxa"/>
            <w:vAlign w:val="center"/>
          </w:tcPr>
          <w:p w14:paraId="001AC2FD" w14:textId="77777777" w:rsidR="00722B14" w:rsidRDefault="00722B14" w:rsidP="00DD3BAE">
            <w:pPr>
              <w:spacing w:before="0" w:after="0"/>
              <w:jc w:val="center"/>
              <w:rPr>
                <w:i/>
                <w:color w:val="000000"/>
                <w:sz w:val="16"/>
                <w:szCs w:val="16"/>
              </w:rPr>
            </w:pPr>
          </w:p>
        </w:tc>
        <w:tc>
          <w:tcPr>
            <w:tcW w:w="1557" w:type="dxa"/>
            <w:noWrap/>
            <w:vAlign w:val="center"/>
          </w:tcPr>
          <w:p w14:paraId="1DB7125E" w14:textId="77777777" w:rsidR="00722B14" w:rsidRDefault="00722B14" w:rsidP="00DD3BAE">
            <w:pPr>
              <w:spacing w:before="0" w:after="0"/>
              <w:jc w:val="center"/>
              <w:rPr>
                <w:i/>
                <w:color w:val="000000"/>
                <w:sz w:val="16"/>
                <w:szCs w:val="16"/>
              </w:rPr>
            </w:pPr>
          </w:p>
        </w:tc>
      </w:tr>
      <w:tr w:rsidR="00722B14" w14:paraId="0D8CFB46" w14:textId="77777777" w:rsidTr="00DE79BD">
        <w:trPr>
          <w:cantSplit/>
          <w:trHeight w:val="227"/>
          <w:jc w:val="center"/>
        </w:trPr>
        <w:tc>
          <w:tcPr>
            <w:tcW w:w="1077" w:type="dxa"/>
            <w:vAlign w:val="center"/>
          </w:tcPr>
          <w:p w14:paraId="5C495851" w14:textId="77777777" w:rsidR="00722B14" w:rsidRDefault="00722B14" w:rsidP="00DD3BAE">
            <w:pPr>
              <w:spacing w:before="0" w:after="0"/>
              <w:jc w:val="center"/>
              <w:rPr>
                <w:color w:val="000000"/>
                <w:sz w:val="16"/>
                <w:szCs w:val="16"/>
              </w:rPr>
            </w:pPr>
          </w:p>
        </w:tc>
        <w:tc>
          <w:tcPr>
            <w:tcW w:w="1115" w:type="dxa"/>
            <w:noWrap/>
            <w:vAlign w:val="center"/>
          </w:tcPr>
          <w:p w14:paraId="04CDF21F" w14:textId="77777777" w:rsidR="00722B14" w:rsidRDefault="00722B14" w:rsidP="00DD3BAE">
            <w:pPr>
              <w:spacing w:before="0" w:after="0"/>
              <w:jc w:val="center"/>
              <w:rPr>
                <w:color w:val="000000"/>
                <w:sz w:val="16"/>
                <w:szCs w:val="16"/>
              </w:rPr>
            </w:pPr>
          </w:p>
        </w:tc>
        <w:tc>
          <w:tcPr>
            <w:tcW w:w="789" w:type="dxa"/>
            <w:noWrap/>
            <w:vAlign w:val="center"/>
          </w:tcPr>
          <w:p w14:paraId="6BCE48CE" w14:textId="77777777" w:rsidR="00722B14" w:rsidRDefault="00722B14" w:rsidP="00DD3BAE">
            <w:pPr>
              <w:spacing w:before="0" w:after="0"/>
              <w:jc w:val="center"/>
              <w:rPr>
                <w:color w:val="000000"/>
                <w:sz w:val="16"/>
                <w:szCs w:val="16"/>
              </w:rPr>
            </w:pPr>
          </w:p>
        </w:tc>
        <w:tc>
          <w:tcPr>
            <w:tcW w:w="621" w:type="dxa"/>
            <w:vAlign w:val="center"/>
            <w:hideMark/>
          </w:tcPr>
          <w:p w14:paraId="63CBF3DB" w14:textId="77777777" w:rsidR="00722B14" w:rsidRDefault="00722B14" w:rsidP="00DD3BAE">
            <w:pPr>
              <w:spacing w:before="0" w:after="0"/>
              <w:jc w:val="center"/>
              <w:rPr>
                <w:color w:val="000000"/>
                <w:sz w:val="16"/>
                <w:szCs w:val="16"/>
              </w:rPr>
            </w:pPr>
            <w:r>
              <w:rPr>
                <w:color w:val="000000"/>
                <w:sz w:val="16"/>
                <w:szCs w:val="16"/>
              </w:rPr>
              <w:t>2014</w:t>
            </w:r>
          </w:p>
        </w:tc>
        <w:tc>
          <w:tcPr>
            <w:tcW w:w="661" w:type="dxa"/>
            <w:vAlign w:val="center"/>
            <w:hideMark/>
          </w:tcPr>
          <w:p w14:paraId="2256FD7D" w14:textId="77777777" w:rsidR="00722B14" w:rsidRDefault="00722B14" w:rsidP="00DD3BAE">
            <w:pPr>
              <w:spacing w:before="0" w:after="0"/>
              <w:jc w:val="center"/>
              <w:rPr>
                <w:color w:val="000000"/>
                <w:sz w:val="16"/>
                <w:szCs w:val="16"/>
              </w:rPr>
            </w:pPr>
            <w:r>
              <w:rPr>
                <w:color w:val="000000"/>
                <w:sz w:val="16"/>
                <w:szCs w:val="16"/>
              </w:rPr>
              <w:t>40.88</w:t>
            </w:r>
          </w:p>
        </w:tc>
        <w:tc>
          <w:tcPr>
            <w:tcW w:w="661" w:type="dxa"/>
            <w:shd w:val="clear" w:color="auto" w:fill="CCFFCC"/>
            <w:vAlign w:val="center"/>
            <w:hideMark/>
          </w:tcPr>
          <w:p w14:paraId="7E477195" w14:textId="77777777" w:rsidR="00722B14" w:rsidRDefault="00722B14" w:rsidP="00DD3BAE">
            <w:pPr>
              <w:spacing w:before="0" w:after="0"/>
              <w:jc w:val="center"/>
              <w:rPr>
                <w:color w:val="000000"/>
                <w:sz w:val="16"/>
                <w:szCs w:val="16"/>
              </w:rPr>
            </w:pPr>
            <w:r>
              <w:rPr>
                <w:color w:val="000000"/>
                <w:sz w:val="16"/>
                <w:szCs w:val="16"/>
              </w:rPr>
              <w:t>13.86</w:t>
            </w:r>
          </w:p>
        </w:tc>
        <w:tc>
          <w:tcPr>
            <w:tcW w:w="1109" w:type="dxa"/>
            <w:noWrap/>
            <w:vAlign w:val="center"/>
            <w:hideMark/>
          </w:tcPr>
          <w:p w14:paraId="15DD64C8" w14:textId="77777777" w:rsidR="00722B14" w:rsidRDefault="00722B14" w:rsidP="00DD3BAE">
            <w:pPr>
              <w:spacing w:before="0" w:after="0"/>
              <w:jc w:val="center"/>
              <w:rPr>
                <w:color w:val="000000"/>
                <w:sz w:val="16"/>
                <w:szCs w:val="16"/>
              </w:rPr>
            </w:pPr>
            <w:r>
              <w:rPr>
                <w:color w:val="000000"/>
                <w:sz w:val="16"/>
                <w:szCs w:val="16"/>
              </w:rPr>
              <w:t>-11.56 ±0.15</w:t>
            </w:r>
          </w:p>
        </w:tc>
        <w:tc>
          <w:tcPr>
            <w:tcW w:w="1109" w:type="dxa"/>
            <w:vAlign w:val="center"/>
            <w:hideMark/>
          </w:tcPr>
          <w:p w14:paraId="697005AD" w14:textId="77777777" w:rsidR="00722B14" w:rsidRDefault="00722B14" w:rsidP="00DD3BAE">
            <w:pPr>
              <w:spacing w:before="0" w:after="0"/>
              <w:jc w:val="center"/>
              <w:rPr>
                <w:color w:val="000000"/>
                <w:sz w:val="16"/>
                <w:szCs w:val="16"/>
              </w:rPr>
            </w:pPr>
            <w:r>
              <w:rPr>
                <w:color w:val="000000"/>
                <w:sz w:val="16"/>
                <w:szCs w:val="16"/>
              </w:rPr>
              <w:t>2.20 ±0.24</w:t>
            </w:r>
          </w:p>
        </w:tc>
        <w:tc>
          <w:tcPr>
            <w:tcW w:w="797" w:type="dxa"/>
            <w:vAlign w:val="center"/>
          </w:tcPr>
          <w:p w14:paraId="0996A075" w14:textId="77777777" w:rsidR="00722B14" w:rsidRDefault="00722B14" w:rsidP="00DD3BAE">
            <w:pPr>
              <w:spacing w:before="0" w:after="0"/>
              <w:jc w:val="center"/>
              <w:rPr>
                <w:i/>
                <w:color w:val="000000"/>
                <w:sz w:val="16"/>
                <w:szCs w:val="16"/>
              </w:rPr>
            </w:pPr>
          </w:p>
        </w:tc>
        <w:tc>
          <w:tcPr>
            <w:tcW w:w="1557" w:type="dxa"/>
            <w:noWrap/>
            <w:vAlign w:val="center"/>
          </w:tcPr>
          <w:p w14:paraId="72965D7A" w14:textId="77777777" w:rsidR="00722B14" w:rsidRDefault="00722B14" w:rsidP="00DD3BAE">
            <w:pPr>
              <w:spacing w:before="0" w:after="0"/>
              <w:jc w:val="center"/>
              <w:rPr>
                <w:i/>
                <w:color w:val="000000"/>
                <w:sz w:val="16"/>
                <w:szCs w:val="16"/>
              </w:rPr>
            </w:pPr>
          </w:p>
        </w:tc>
      </w:tr>
      <w:tr w:rsidR="00722B14" w14:paraId="7151D418" w14:textId="77777777" w:rsidTr="00DE79BD">
        <w:trPr>
          <w:cantSplit/>
          <w:trHeight w:val="227"/>
          <w:jc w:val="center"/>
        </w:trPr>
        <w:tc>
          <w:tcPr>
            <w:tcW w:w="1077" w:type="dxa"/>
            <w:shd w:val="clear" w:color="auto" w:fill="auto"/>
            <w:vAlign w:val="center"/>
          </w:tcPr>
          <w:p w14:paraId="749059E9" w14:textId="77777777" w:rsidR="00722B14" w:rsidRDefault="00722B14" w:rsidP="00DD3BAE">
            <w:pPr>
              <w:spacing w:before="0" w:after="0"/>
              <w:jc w:val="center"/>
              <w:rPr>
                <w:color w:val="000000"/>
                <w:sz w:val="16"/>
                <w:szCs w:val="16"/>
              </w:rPr>
            </w:pPr>
          </w:p>
        </w:tc>
        <w:tc>
          <w:tcPr>
            <w:tcW w:w="1115" w:type="dxa"/>
            <w:shd w:val="clear" w:color="auto" w:fill="auto"/>
            <w:noWrap/>
            <w:vAlign w:val="center"/>
          </w:tcPr>
          <w:p w14:paraId="60D6234C" w14:textId="77777777" w:rsidR="00722B14" w:rsidRDefault="00722B14" w:rsidP="00DD3BAE">
            <w:pPr>
              <w:spacing w:before="0" w:after="0"/>
              <w:jc w:val="center"/>
              <w:rPr>
                <w:color w:val="000000"/>
                <w:sz w:val="16"/>
                <w:szCs w:val="16"/>
              </w:rPr>
            </w:pPr>
          </w:p>
        </w:tc>
        <w:tc>
          <w:tcPr>
            <w:tcW w:w="789" w:type="dxa"/>
            <w:shd w:val="clear" w:color="auto" w:fill="auto"/>
            <w:noWrap/>
            <w:vAlign w:val="center"/>
          </w:tcPr>
          <w:p w14:paraId="12150AEE" w14:textId="77777777" w:rsidR="00722B14" w:rsidRDefault="00722B14" w:rsidP="00DD3BAE">
            <w:pPr>
              <w:spacing w:before="0" w:after="0"/>
              <w:jc w:val="center"/>
              <w:rPr>
                <w:color w:val="000000"/>
                <w:sz w:val="16"/>
                <w:szCs w:val="16"/>
              </w:rPr>
            </w:pPr>
          </w:p>
        </w:tc>
        <w:tc>
          <w:tcPr>
            <w:tcW w:w="621" w:type="dxa"/>
            <w:shd w:val="clear" w:color="auto" w:fill="auto"/>
            <w:vAlign w:val="center"/>
          </w:tcPr>
          <w:p w14:paraId="4C510AA7" w14:textId="77777777" w:rsidR="00722B14" w:rsidRDefault="00722B14" w:rsidP="00DD3BAE">
            <w:pPr>
              <w:spacing w:before="0" w:after="0"/>
              <w:jc w:val="center"/>
              <w:rPr>
                <w:color w:val="000000"/>
                <w:sz w:val="16"/>
                <w:szCs w:val="16"/>
              </w:rPr>
            </w:pPr>
            <w:r>
              <w:rPr>
                <w:color w:val="000000"/>
                <w:sz w:val="16"/>
                <w:szCs w:val="16"/>
              </w:rPr>
              <w:t>2016</w:t>
            </w:r>
          </w:p>
        </w:tc>
        <w:tc>
          <w:tcPr>
            <w:tcW w:w="661" w:type="dxa"/>
            <w:shd w:val="clear" w:color="auto" w:fill="auto"/>
            <w:vAlign w:val="center"/>
          </w:tcPr>
          <w:p w14:paraId="5C12795D" w14:textId="77777777" w:rsidR="00722B14" w:rsidRPr="0087784B" w:rsidRDefault="00722B14" w:rsidP="00DD3BAE">
            <w:pPr>
              <w:spacing w:before="0" w:after="0"/>
              <w:jc w:val="center"/>
              <w:rPr>
                <w:color w:val="000000"/>
                <w:sz w:val="16"/>
                <w:szCs w:val="16"/>
              </w:rPr>
            </w:pPr>
            <w:r w:rsidRPr="0087784B">
              <w:rPr>
                <w:color w:val="000000"/>
                <w:sz w:val="16"/>
                <w:szCs w:val="16"/>
              </w:rPr>
              <w:t>40.82</w:t>
            </w:r>
          </w:p>
        </w:tc>
        <w:tc>
          <w:tcPr>
            <w:tcW w:w="661" w:type="dxa"/>
            <w:shd w:val="clear" w:color="auto" w:fill="CCFFCC"/>
            <w:vAlign w:val="center"/>
          </w:tcPr>
          <w:p w14:paraId="4BC6D6AD" w14:textId="77777777" w:rsidR="00722B14" w:rsidRPr="0087784B" w:rsidRDefault="00722B14" w:rsidP="00DD3BAE">
            <w:pPr>
              <w:spacing w:before="0" w:after="0"/>
              <w:jc w:val="center"/>
              <w:rPr>
                <w:color w:val="000000"/>
                <w:sz w:val="16"/>
                <w:szCs w:val="16"/>
              </w:rPr>
            </w:pPr>
            <w:r w:rsidRPr="0087784B">
              <w:rPr>
                <w:color w:val="000000"/>
                <w:sz w:val="16"/>
                <w:szCs w:val="16"/>
              </w:rPr>
              <w:t>18.92</w:t>
            </w:r>
          </w:p>
        </w:tc>
        <w:tc>
          <w:tcPr>
            <w:tcW w:w="1109" w:type="dxa"/>
            <w:shd w:val="clear" w:color="auto" w:fill="CCFFCC"/>
            <w:noWrap/>
            <w:vAlign w:val="center"/>
          </w:tcPr>
          <w:p w14:paraId="26268849" w14:textId="77777777" w:rsidR="00722B14" w:rsidRPr="0087784B" w:rsidRDefault="00722B14" w:rsidP="00DD3BAE">
            <w:pPr>
              <w:spacing w:before="0" w:after="0"/>
              <w:jc w:val="center"/>
              <w:rPr>
                <w:color w:val="000000"/>
                <w:sz w:val="16"/>
                <w:szCs w:val="16"/>
              </w:rPr>
            </w:pPr>
            <w:r w:rsidRPr="0087784B">
              <w:rPr>
                <w:color w:val="000000"/>
                <w:sz w:val="16"/>
                <w:szCs w:val="16"/>
              </w:rPr>
              <w:t>-10.75 ±0.12</w:t>
            </w:r>
          </w:p>
        </w:tc>
        <w:tc>
          <w:tcPr>
            <w:tcW w:w="1109" w:type="dxa"/>
            <w:shd w:val="clear" w:color="auto" w:fill="auto"/>
            <w:vAlign w:val="center"/>
          </w:tcPr>
          <w:p w14:paraId="2F471F67" w14:textId="77777777" w:rsidR="00722B14" w:rsidRPr="0087784B" w:rsidRDefault="00722B14" w:rsidP="00DD3BAE">
            <w:pPr>
              <w:spacing w:before="0" w:after="0"/>
              <w:jc w:val="center"/>
              <w:rPr>
                <w:color w:val="000000"/>
                <w:sz w:val="16"/>
                <w:szCs w:val="16"/>
              </w:rPr>
            </w:pPr>
            <w:r w:rsidRPr="0087784B">
              <w:rPr>
                <w:color w:val="000000"/>
                <w:sz w:val="16"/>
                <w:szCs w:val="16"/>
              </w:rPr>
              <w:t>1.71 ±0.08</w:t>
            </w:r>
          </w:p>
        </w:tc>
        <w:tc>
          <w:tcPr>
            <w:tcW w:w="797" w:type="dxa"/>
            <w:shd w:val="clear" w:color="auto" w:fill="auto"/>
            <w:vAlign w:val="center"/>
          </w:tcPr>
          <w:p w14:paraId="568C85D0" w14:textId="77777777" w:rsidR="00722B14" w:rsidRDefault="00722B14" w:rsidP="00DD3BAE">
            <w:pPr>
              <w:spacing w:before="0" w:after="0"/>
              <w:jc w:val="center"/>
              <w:rPr>
                <w:i/>
                <w:color w:val="000000"/>
                <w:sz w:val="16"/>
                <w:szCs w:val="16"/>
              </w:rPr>
            </w:pPr>
          </w:p>
        </w:tc>
        <w:tc>
          <w:tcPr>
            <w:tcW w:w="1557" w:type="dxa"/>
            <w:shd w:val="clear" w:color="auto" w:fill="auto"/>
            <w:noWrap/>
            <w:vAlign w:val="center"/>
          </w:tcPr>
          <w:p w14:paraId="67F65CC5" w14:textId="77777777" w:rsidR="00722B14" w:rsidRDefault="00722B14" w:rsidP="00DD3BAE">
            <w:pPr>
              <w:spacing w:before="0" w:after="0"/>
              <w:jc w:val="center"/>
              <w:rPr>
                <w:i/>
                <w:color w:val="000000"/>
                <w:sz w:val="16"/>
                <w:szCs w:val="16"/>
              </w:rPr>
            </w:pPr>
          </w:p>
        </w:tc>
      </w:tr>
      <w:tr w:rsidR="00722B14" w14:paraId="6E9E3602" w14:textId="77777777" w:rsidTr="00DE79BD">
        <w:trPr>
          <w:cantSplit/>
          <w:trHeight w:val="227"/>
          <w:jc w:val="center"/>
        </w:trPr>
        <w:tc>
          <w:tcPr>
            <w:tcW w:w="1077" w:type="dxa"/>
            <w:vAlign w:val="center"/>
          </w:tcPr>
          <w:p w14:paraId="6B429773" w14:textId="77777777" w:rsidR="00722B14" w:rsidRDefault="00722B14" w:rsidP="00DD3BAE">
            <w:pPr>
              <w:spacing w:before="0" w:after="0"/>
              <w:jc w:val="center"/>
              <w:rPr>
                <w:color w:val="000000"/>
                <w:sz w:val="16"/>
                <w:szCs w:val="16"/>
              </w:rPr>
            </w:pPr>
          </w:p>
        </w:tc>
        <w:tc>
          <w:tcPr>
            <w:tcW w:w="1115" w:type="dxa"/>
            <w:noWrap/>
            <w:vAlign w:val="center"/>
          </w:tcPr>
          <w:p w14:paraId="74B904FE"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79018BF7"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4B638122"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435DDFAD" w14:textId="77777777" w:rsidR="00722B14" w:rsidRDefault="00722B14" w:rsidP="00DD3BAE">
            <w:pPr>
              <w:spacing w:before="0" w:after="0"/>
              <w:jc w:val="center"/>
              <w:rPr>
                <w:color w:val="000000"/>
                <w:sz w:val="16"/>
                <w:szCs w:val="16"/>
              </w:rPr>
            </w:pPr>
            <w:r>
              <w:rPr>
                <w:color w:val="000000"/>
                <w:sz w:val="16"/>
                <w:szCs w:val="16"/>
              </w:rPr>
              <w:t>40.00</w:t>
            </w:r>
          </w:p>
        </w:tc>
        <w:tc>
          <w:tcPr>
            <w:tcW w:w="661" w:type="dxa"/>
            <w:tcBorders>
              <w:top w:val="single" w:sz="4" w:space="0" w:color="auto"/>
              <w:left w:val="nil"/>
              <w:bottom w:val="nil"/>
              <w:right w:val="nil"/>
            </w:tcBorders>
            <w:shd w:val="clear" w:color="auto" w:fill="CCFFCC"/>
            <w:vAlign w:val="center"/>
            <w:hideMark/>
          </w:tcPr>
          <w:p w14:paraId="035AC006" w14:textId="77777777" w:rsidR="00722B14" w:rsidRDefault="00722B14" w:rsidP="00DD3BAE">
            <w:pPr>
              <w:spacing w:before="0" w:after="0"/>
              <w:jc w:val="center"/>
              <w:rPr>
                <w:color w:val="000000"/>
                <w:sz w:val="16"/>
                <w:szCs w:val="16"/>
              </w:rPr>
            </w:pPr>
            <w:r>
              <w:rPr>
                <w:color w:val="000000"/>
                <w:sz w:val="16"/>
                <w:szCs w:val="16"/>
              </w:rPr>
              <w:t>12.85</w:t>
            </w:r>
          </w:p>
        </w:tc>
        <w:tc>
          <w:tcPr>
            <w:tcW w:w="1109" w:type="dxa"/>
            <w:tcBorders>
              <w:top w:val="single" w:sz="4" w:space="0" w:color="auto"/>
              <w:left w:val="nil"/>
              <w:bottom w:val="nil"/>
              <w:right w:val="nil"/>
            </w:tcBorders>
            <w:noWrap/>
            <w:vAlign w:val="center"/>
            <w:hideMark/>
          </w:tcPr>
          <w:p w14:paraId="4B85674B" w14:textId="77777777" w:rsidR="00722B14" w:rsidRDefault="00722B14" w:rsidP="00DD3BAE">
            <w:pPr>
              <w:spacing w:before="0" w:after="0"/>
              <w:jc w:val="center"/>
              <w:rPr>
                <w:color w:val="000000"/>
                <w:sz w:val="16"/>
                <w:szCs w:val="16"/>
              </w:rPr>
            </w:pPr>
            <w:r>
              <w:rPr>
                <w:color w:val="000000"/>
                <w:sz w:val="16"/>
                <w:szCs w:val="16"/>
              </w:rPr>
              <w:t>-11.10 ±0.13</w:t>
            </w:r>
          </w:p>
        </w:tc>
        <w:tc>
          <w:tcPr>
            <w:tcW w:w="1109" w:type="dxa"/>
            <w:tcBorders>
              <w:top w:val="single" w:sz="4" w:space="0" w:color="auto"/>
              <w:left w:val="nil"/>
              <w:bottom w:val="nil"/>
              <w:right w:val="nil"/>
            </w:tcBorders>
            <w:vAlign w:val="center"/>
            <w:hideMark/>
          </w:tcPr>
          <w:p w14:paraId="57D87C2A" w14:textId="77777777" w:rsidR="00722B14" w:rsidRDefault="00722B14" w:rsidP="00DD3BAE">
            <w:pPr>
              <w:spacing w:before="0" w:after="0"/>
              <w:jc w:val="center"/>
              <w:rPr>
                <w:color w:val="000000"/>
                <w:sz w:val="16"/>
                <w:szCs w:val="16"/>
              </w:rPr>
            </w:pPr>
            <w:r>
              <w:rPr>
                <w:color w:val="000000"/>
                <w:sz w:val="16"/>
                <w:szCs w:val="16"/>
              </w:rPr>
              <w:t>4.13 ±0.33</w:t>
            </w:r>
          </w:p>
        </w:tc>
        <w:tc>
          <w:tcPr>
            <w:tcW w:w="797" w:type="dxa"/>
            <w:tcBorders>
              <w:top w:val="single" w:sz="4" w:space="0" w:color="auto"/>
              <w:left w:val="nil"/>
              <w:bottom w:val="nil"/>
              <w:right w:val="nil"/>
            </w:tcBorders>
            <w:vAlign w:val="center"/>
            <w:hideMark/>
          </w:tcPr>
          <w:p w14:paraId="272041E2"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1B8C40CA"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3F180D17" w14:textId="77777777" w:rsidTr="00DE79BD">
        <w:trPr>
          <w:cantSplit/>
          <w:trHeight w:val="227"/>
          <w:jc w:val="center"/>
        </w:trPr>
        <w:tc>
          <w:tcPr>
            <w:tcW w:w="1077" w:type="dxa"/>
            <w:vAlign w:val="center"/>
          </w:tcPr>
          <w:p w14:paraId="468AE682" w14:textId="77777777" w:rsidR="00722B14" w:rsidRDefault="00722B14" w:rsidP="00DD3BAE">
            <w:pPr>
              <w:spacing w:before="0" w:after="0"/>
              <w:jc w:val="center"/>
              <w:rPr>
                <w:color w:val="000000"/>
                <w:sz w:val="16"/>
                <w:szCs w:val="16"/>
              </w:rPr>
            </w:pPr>
          </w:p>
        </w:tc>
        <w:tc>
          <w:tcPr>
            <w:tcW w:w="1115" w:type="dxa"/>
            <w:noWrap/>
            <w:vAlign w:val="center"/>
          </w:tcPr>
          <w:p w14:paraId="59B9E5C3" w14:textId="77777777" w:rsidR="00722B14" w:rsidRDefault="00722B14" w:rsidP="00DD3BAE">
            <w:pPr>
              <w:spacing w:before="0" w:after="0"/>
              <w:jc w:val="center"/>
              <w:rPr>
                <w:color w:val="000000"/>
                <w:sz w:val="16"/>
                <w:szCs w:val="16"/>
              </w:rPr>
            </w:pPr>
          </w:p>
        </w:tc>
        <w:tc>
          <w:tcPr>
            <w:tcW w:w="789" w:type="dxa"/>
            <w:noWrap/>
            <w:vAlign w:val="center"/>
          </w:tcPr>
          <w:p w14:paraId="4BB05031" w14:textId="77777777" w:rsidR="00722B14" w:rsidRDefault="00722B14" w:rsidP="00DD3BAE">
            <w:pPr>
              <w:spacing w:before="0" w:after="0"/>
              <w:jc w:val="center"/>
              <w:rPr>
                <w:color w:val="000000"/>
                <w:sz w:val="16"/>
                <w:szCs w:val="16"/>
              </w:rPr>
            </w:pPr>
          </w:p>
        </w:tc>
        <w:tc>
          <w:tcPr>
            <w:tcW w:w="621" w:type="dxa"/>
            <w:vAlign w:val="center"/>
            <w:hideMark/>
          </w:tcPr>
          <w:p w14:paraId="46014649"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39F23A3C" w14:textId="77777777" w:rsidR="00722B14" w:rsidRDefault="00722B14" w:rsidP="00DD3BAE">
            <w:pPr>
              <w:spacing w:before="0" w:after="0"/>
              <w:jc w:val="center"/>
              <w:rPr>
                <w:color w:val="000000"/>
                <w:sz w:val="16"/>
                <w:szCs w:val="16"/>
              </w:rPr>
            </w:pPr>
            <w:r>
              <w:rPr>
                <w:color w:val="000000"/>
                <w:sz w:val="16"/>
                <w:szCs w:val="16"/>
              </w:rPr>
              <w:t>41.05</w:t>
            </w:r>
          </w:p>
        </w:tc>
        <w:tc>
          <w:tcPr>
            <w:tcW w:w="661" w:type="dxa"/>
            <w:shd w:val="clear" w:color="auto" w:fill="CCFFCC"/>
            <w:vAlign w:val="center"/>
            <w:hideMark/>
          </w:tcPr>
          <w:p w14:paraId="1CB0CFDD" w14:textId="77777777" w:rsidR="00722B14" w:rsidRDefault="00722B14" w:rsidP="00DD3BAE">
            <w:pPr>
              <w:spacing w:before="0" w:after="0"/>
              <w:jc w:val="center"/>
              <w:rPr>
                <w:color w:val="000000"/>
                <w:sz w:val="16"/>
                <w:szCs w:val="16"/>
              </w:rPr>
            </w:pPr>
            <w:r>
              <w:rPr>
                <w:color w:val="000000"/>
                <w:sz w:val="16"/>
                <w:szCs w:val="16"/>
              </w:rPr>
              <w:t>13.56</w:t>
            </w:r>
          </w:p>
        </w:tc>
        <w:tc>
          <w:tcPr>
            <w:tcW w:w="1109" w:type="dxa"/>
            <w:noWrap/>
            <w:vAlign w:val="center"/>
            <w:hideMark/>
          </w:tcPr>
          <w:p w14:paraId="46231060" w14:textId="77777777" w:rsidR="00722B14" w:rsidRDefault="00722B14" w:rsidP="00DD3BAE">
            <w:pPr>
              <w:spacing w:before="0" w:after="0"/>
              <w:jc w:val="center"/>
              <w:rPr>
                <w:color w:val="000000"/>
                <w:sz w:val="16"/>
                <w:szCs w:val="16"/>
              </w:rPr>
            </w:pPr>
            <w:r>
              <w:rPr>
                <w:color w:val="000000"/>
                <w:sz w:val="16"/>
                <w:szCs w:val="16"/>
              </w:rPr>
              <w:t>-11.47 ±0.14</w:t>
            </w:r>
          </w:p>
        </w:tc>
        <w:tc>
          <w:tcPr>
            <w:tcW w:w="1109" w:type="dxa"/>
            <w:vAlign w:val="center"/>
            <w:hideMark/>
          </w:tcPr>
          <w:p w14:paraId="4A380A77" w14:textId="77777777" w:rsidR="00722B14" w:rsidRDefault="00722B14" w:rsidP="00DD3BAE">
            <w:pPr>
              <w:spacing w:before="0" w:after="0"/>
              <w:jc w:val="center"/>
              <w:rPr>
                <w:color w:val="000000"/>
                <w:sz w:val="16"/>
                <w:szCs w:val="16"/>
              </w:rPr>
            </w:pPr>
            <w:r>
              <w:rPr>
                <w:color w:val="000000"/>
                <w:sz w:val="16"/>
                <w:szCs w:val="16"/>
              </w:rPr>
              <w:t>4.15 ±0.55</w:t>
            </w:r>
          </w:p>
        </w:tc>
        <w:tc>
          <w:tcPr>
            <w:tcW w:w="797" w:type="dxa"/>
            <w:vAlign w:val="center"/>
          </w:tcPr>
          <w:p w14:paraId="62F65E08" w14:textId="77777777" w:rsidR="00722B14" w:rsidRDefault="00722B14" w:rsidP="00DD3BAE">
            <w:pPr>
              <w:spacing w:before="0" w:after="0"/>
              <w:jc w:val="center"/>
              <w:rPr>
                <w:i/>
                <w:color w:val="000000"/>
                <w:sz w:val="16"/>
                <w:szCs w:val="16"/>
              </w:rPr>
            </w:pPr>
          </w:p>
        </w:tc>
        <w:tc>
          <w:tcPr>
            <w:tcW w:w="1557" w:type="dxa"/>
            <w:noWrap/>
            <w:vAlign w:val="center"/>
          </w:tcPr>
          <w:p w14:paraId="20823AD7" w14:textId="77777777" w:rsidR="00722B14" w:rsidRDefault="00722B14" w:rsidP="00DD3BAE">
            <w:pPr>
              <w:spacing w:before="0" w:after="0"/>
              <w:jc w:val="center"/>
              <w:rPr>
                <w:i/>
                <w:color w:val="000000"/>
                <w:sz w:val="16"/>
                <w:szCs w:val="16"/>
              </w:rPr>
            </w:pPr>
          </w:p>
        </w:tc>
      </w:tr>
      <w:tr w:rsidR="00722B14" w14:paraId="22D739DF" w14:textId="77777777" w:rsidTr="00DE79BD">
        <w:trPr>
          <w:cantSplit/>
          <w:trHeight w:val="227"/>
          <w:jc w:val="center"/>
        </w:trPr>
        <w:tc>
          <w:tcPr>
            <w:tcW w:w="1077" w:type="dxa"/>
            <w:vAlign w:val="center"/>
          </w:tcPr>
          <w:p w14:paraId="18BB1408"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5BFC473A"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7845717B"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1B1F6DBA"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FC13DBB" w14:textId="77777777" w:rsidR="00722B14" w:rsidRDefault="00722B14" w:rsidP="00DD3BAE">
            <w:pPr>
              <w:spacing w:before="0" w:after="0"/>
              <w:jc w:val="center"/>
              <w:rPr>
                <w:color w:val="000000"/>
                <w:sz w:val="16"/>
                <w:szCs w:val="16"/>
              </w:rPr>
            </w:pPr>
            <w:r>
              <w:rPr>
                <w:color w:val="000000"/>
                <w:sz w:val="16"/>
                <w:szCs w:val="16"/>
              </w:rPr>
              <w:t>39.53</w:t>
            </w:r>
          </w:p>
        </w:tc>
        <w:tc>
          <w:tcPr>
            <w:tcW w:w="661" w:type="dxa"/>
            <w:tcBorders>
              <w:top w:val="nil"/>
              <w:left w:val="nil"/>
              <w:right w:val="nil"/>
            </w:tcBorders>
            <w:shd w:val="clear" w:color="auto" w:fill="CCFFCC"/>
            <w:vAlign w:val="center"/>
            <w:hideMark/>
          </w:tcPr>
          <w:p w14:paraId="5369FB82" w14:textId="77777777" w:rsidR="00722B14" w:rsidRDefault="00722B14" w:rsidP="00DD3BAE">
            <w:pPr>
              <w:spacing w:before="0" w:after="0"/>
              <w:jc w:val="center"/>
              <w:rPr>
                <w:color w:val="000000"/>
                <w:sz w:val="16"/>
                <w:szCs w:val="16"/>
              </w:rPr>
            </w:pPr>
            <w:r>
              <w:rPr>
                <w:color w:val="000000"/>
                <w:sz w:val="16"/>
                <w:szCs w:val="16"/>
              </w:rPr>
              <w:t>19.60</w:t>
            </w:r>
          </w:p>
        </w:tc>
        <w:tc>
          <w:tcPr>
            <w:tcW w:w="1109" w:type="dxa"/>
            <w:tcBorders>
              <w:top w:val="nil"/>
              <w:left w:val="nil"/>
              <w:right w:val="nil"/>
            </w:tcBorders>
            <w:shd w:val="clear" w:color="auto" w:fill="CCFFCC"/>
            <w:noWrap/>
            <w:vAlign w:val="center"/>
            <w:hideMark/>
          </w:tcPr>
          <w:p w14:paraId="23E29C7F" w14:textId="77777777" w:rsidR="00722B14" w:rsidRDefault="00722B14" w:rsidP="00DD3BAE">
            <w:pPr>
              <w:spacing w:before="0" w:after="0"/>
              <w:jc w:val="center"/>
              <w:rPr>
                <w:color w:val="000000"/>
                <w:sz w:val="16"/>
                <w:szCs w:val="16"/>
              </w:rPr>
            </w:pPr>
            <w:r>
              <w:rPr>
                <w:color w:val="000000"/>
                <w:sz w:val="16"/>
                <w:szCs w:val="16"/>
              </w:rPr>
              <w:t>-10.16 ±0.22</w:t>
            </w:r>
          </w:p>
        </w:tc>
        <w:tc>
          <w:tcPr>
            <w:tcW w:w="1109" w:type="dxa"/>
            <w:tcBorders>
              <w:top w:val="nil"/>
              <w:left w:val="nil"/>
              <w:right w:val="nil"/>
            </w:tcBorders>
            <w:vAlign w:val="center"/>
            <w:hideMark/>
          </w:tcPr>
          <w:p w14:paraId="479A67B0" w14:textId="77777777" w:rsidR="00722B14" w:rsidRDefault="00722B14" w:rsidP="00DD3BAE">
            <w:pPr>
              <w:spacing w:before="0" w:after="0"/>
              <w:jc w:val="center"/>
              <w:rPr>
                <w:color w:val="000000"/>
                <w:sz w:val="16"/>
                <w:szCs w:val="16"/>
              </w:rPr>
            </w:pPr>
            <w:r>
              <w:rPr>
                <w:color w:val="000000"/>
                <w:sz w:val="16"/>
                <w:szCs w:val="16"/>
              </w:rPr>
              <w:t>2.97 ±0.13</w:t>
            </w:r>
          </w:p>
        </w:tc>
        <w:tc>
          <w:tcPr>
            <w:tcW w:w="797" w:type="dxa"/>
            <w:tcBorders>
              <w:top w:val="nil"/>
              <w:left w:val="nil"/>
              <w:right w:val="nil"/>
            </w:tcBorders>
            <w:vAlign w:val="center"/>
          </w:tcPr>
          <w:p w14:paraId="0988A39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59F83A08" w14:textId="77777777" w:rsidR="00722B14" w:rsidRDefault="00722B14" w:rsidP="00DD3BAE">
            <w:pPr>
              <w:spacing w:before="0" w:after="0"/>
              <w:jc w:val="center"/>
              <w:rPr>
                <w:i/>
                <w:color w:val="000000"/>
                <w:sz w:val="16"/>
                <w:szCs w:val="16"/>
              </w:rPr>
            </w:pPr>
          </w:p>
        </w:tc>
      </w:tr>
      <w:tr w:rsidR="00722B14" w14:paraId="5A0BFECE" w14:textId="77777777" w:rsidTr="00DE79BD">
        <w:trPr>
          <w:cantSplit/>
          <w:trHeight w:val="227"/>
          <w:jc w:val="center"/>
        </w:trPr>
        <w:tc>
          <w:tcPr>
            <w:tcW w:w="1077" w:type="dxa"/>
            <w:tcBorders>
              <w:top w:val="nil"/>
              <w:left w:val="nil"/>
              <w:right w:val="nil"/>
            </w:tcBorders>
            <w:shd w:val="clear" w:color="auto" w:fill="auto"/>
            <w:vAlign w:val="center"/>
          </w:tcPr>
          <w:p w14:paraId="35D3E83E"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1D817043"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09BC76BC"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E23CD36"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5E844BF5" w14:textId="77777777" w:rsidR="00722B14" w:rsidRPr="007C770B" w:rsidRDefault="00722B14" w:rsidP="00DD3BAE">
            <w:pPr>
              <w:spacing w:before="0" w:after="0"/>
              <w:jc w:val="center"/>
              <w:rPr>
                <w:color w:val="000000"/>
                <w:sz w:val="16"/>
                <w:szCs w:val="16"/>
              </w:rPr>
            </w:pPr>
            <w:r w:rsidRPr="007C770B">
              <w:rPr>
                <w:color w:val="000000"/>
                <w:sz w:val="16"/>
                <w:szCs w:val="16"/>
              </w:rPr>
              <w:t>36.48</w:t>
            </w:r>
          </w:p>
        </w:tc>
        <w:tc>
          <w:tcPr>
            <w:tcW w:w="661" w:type="dxa"/>
            <w:tcBorders>
              <w:top w:val="nil"/>
              <w:left w:val="nil"/>
              <w:right w:val="nil"/>
            </w:tcBorders>
            <w:shd w:val="clear" w:color="auto" w:fill="CCFFCC"/>
            <w:vAlign w:val="center"/>
          </w:tcPr>
          <w:p w14:paraId="1462F0D0" w14:textId="77777777" w:rsidR="00722B14" w:rsidRPr="007C770B" w:rsidRDefault="00722B14" w:rsidP="00DD3BAE">
            <w:pPr>
              <w:spacing w:before="0" w:after="0"/>
              <w:jc w:val="center"/>
              <w:rPr>
                <w:color w:val="000000"/>
                <w:sz w:val="16"/>
                <w:szCs w:val="16"/>
              </w:rPr>
            </w:pPr>
            <w:r w:rsidRPr="007C770B">
              <w:rPr>
                <w:color w:val="000000"/>
                <w:sz w:val="16"/>
                <w:szCs w:val="16"/>
              </w:rPr>
              <w:t>19.93</w:t>
            </w:r>
          </w:p>
        </w:tc>
        <w:tc>
          <w:tcPr>
            <w:tcW w:w="1109" w:type="dxa"/>
            <w:tcBorders>
              <w:top w:val="nil"/>
              <w:left w:val="nil"/>
              <w:right w:val="nil"/>
            </w:tcBorders>
            <w:shd w:val="clear" w:color="auto" w:fill="CCFFCC"/>
            <w:noWrap/>
            <w:vAlign w:val="center"/>
          </w:tcPr>
          <w:p w14:paraId="32BD2A3D" w14:textId="77777777" w:rsidR="00722B14" w:rsidRPr="007C770B" w:rsidRDefault="00722B14" w:rsidP="00DD3BAE">
            <w:pPr>
              <w:spacing w:before="0" w:after="0"/>
              <w:jc w:val="center"/>
              <w:rPr>
                <w:color w:val="000000"/>
                <w:sz w:val="16"/>
                <w:szCs w:val="16"/>
              </w:rPr>
            </w:pPr>
            <w:r w:rsidRPr="007C770B">
              <w:rPr>
                <w:color w:val="000000"/>
                <w:sz w:val="16"/>
                <w:szCs w:val="16"/>
              </w:rPr>
              <w:t>-9.43 ±0.76</w:t>
            </w:r>
          </w:p>
        </w:tc>
        <w:tc>
          <w:tcPr>
            <w:tcW w:w="1109" w:type="dxa"/>
            <w:tcBorders>
              <w:top w:val="nil"/>
              <w:left w:val="nil"/>
              <w:right w:val="nil"/>
            </w:tcBorders>
            <w:shd w:val="clear" w:color="auto" w:fill="auto"/>
            <w:vAlign w:val="center"/>
          </w:tcPr>
          <w:p w14:paraId="1E0A355D" w14:textId="77777777" w:rsidR="00722B14" w:rsidRPr="007C770B" w:rsidRDefault="00722B14" w:rsidP="00DD3BAE">
            <w:pPr>
              <w:spacing w:before="0" w:after="0"/>
              <w:jc w:val="center"/>
              <w:rPr>
                <w:color w:val="000000"/>
                <w:sz w:val="16"/>
                <w:szCs w:val="16"/>
              </w:rPr>
            </w:pPr>
            <w:r w:rsidRPr="007C770B">
              <w:rPr>
                <w:color w:val="000000"/>
                <w:sz w:val="16"/>
                <w:szCs w:val="16"/>
              </w:rPr>
              <w:t>1.6 ±0.26</w:t>
            </w:r>
          </w:p>
        </w:tc>
        <w:tc>
          <w:tcPr>
            <w:tcW w:w="797" w:type="dxa"/>
            <w:tcBorders>
              <w:top w:val="nil"/>
              <w:left w:val="nil"/>
              <w:right w:val="nil"/>
            </w:tcBorders>
            <w:shd w:val="clear" w:color="auto" w:fill="auto"/>
            <w:vAlign w:val="center"/>
          </w:tcPr>
          <w:p w14:paraId="08ADE40A"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12121067" w14:textId="77777777" w:rsidR="00722B14" w:rsidRDefault="00722B14" w:rsidP="00DD3BAE">
            <w:pPr>
              <w:spacing w:before="0" w:after="0"/>
              <w:jc w:val="center"/>
              <w:rPr>
                <w:i/>
                <w:color w:val="000000"/>
                <w:sz w:val="16"/>
                <w:szCs w:val="16"/>
              </w:rPr>
            </w:pPr>
          </w:p>
        </w:tc>
      </w:tr>
      <w:tr w:rsidR="00722B14" w14:paraId="75E7BEC3" w14:textId="77777777" w:rsidTr="00DE79BD">
        <w:trPr>
          <w:cantSplit/>
          <w:trHeight w:val="227"/>
          <w:jc w:val="center"/>
        </w:trPr>
        <w:tc>
          <w:tcPr>
            <w:tcW w:w="1077" w:type="dxa"/>
            <w:tcBorders>
              <w:left w:val="nil"/>
              <w:right w:val="nil"/>
            </w:tcBorders>
            <w:shd w:val="clear" w:color="auto" w:fill="auto"/>
            <w:vAlign w:val="center"/>
          </w:tcPr>
          <w:p w14:paraId="193B184E"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0B20184B"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6950B24F"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57D58253"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34F58D22" w14:textId="77777777" w:rsidR="00722B14" w:rsidRPr="0087784B" w:rsidRDefault="00722B14" w:rsidP="00DD3BAE">
            <w:pPr>
              <w:spacing w:before="0" w:after="0"/>
              <w:jc w:val="center"/>
              <w:rPr>
                <w:color w:val="000000"/>
                <w:sz w:val="16"/>
                <w:szCs w:val="16"/>
              </w:rPr>
            </w:pPr>
            <w:r w:rsidRPr="0087784B">
              <w:rPr>
                <w:color w:val="000000"/>
                <w:sz w:val="16"/>
                <w:szCs w:val="16"/>
              </w:rPr>
              <w:t>39.48</w:t>
            </w:r>
          </w:p>
        </w:tc>
        <w:tc>
          <w:tcPr>
            <w:tcW w:w="661" w:type="dxa"/>
            <w:tcBorders>
              <w:left w:val="nil"/>
              <w:bottom w:val="single" w:sz="4" w:space="0" w:color="auto"/>
              <w:right w:val="nil"/>
            </w:tcBorders>
            <w:shd w:val="clear" w:color="auto" w:fill="auto"/>
            <w:vAlign w:val="center"/>
          </w:tcPr>
          <w:p w14:paraId="4B34292B" w14:textId="77777777" w:rsidR="00722B14" w:rsidRPr="0087784B" w:rsidRDefault="00722B14" w:rsidP="00DD3BAE">
            <w:pPr>
              <w:spacing w:before="0" w:after="0"/>
              <w:jc w:val="center"/>
              <w:rPr>
                <w:color w:val="000000"/>
                <w:sz w:val="16"/>
                <w:szCs w:val="16"/>
              </w:rPr>
            </w:pPr>
            <w:r w:rsidRPr="0087784B">
              <w:rPr>
                <w:color w:val="000000"/>
                <w:sz w:val="16"/>
                <w:szCs w:val="16"/>
              </w:rPr>
              <w:t>20.28</w:t>
            </w:r>
          </w:p>
        </w:tc>
        <w:tc>
          <w:tcPr>
            <w:tcW w:w="1109" w:type="dxa"/>
            <w:tcBorders>
              <w:left w:val="nil"/>
              <w:bottom w:val="single" w:sz="4" w:space="0" w:color="auto"/>
              <w:right w:val="nil"/>
            </w:tcBorders>
            <w:shd w:val="clear" w:color="auto" w:fill="auto"/>
            <w:noWrap/>
            <w:vAlign w:val="center"/>
          </w:tcPr>
          <w:p w14:paraId="2B1C2BF7" w14:textId="77777777" w:rsidR="00722B14" w:rsidRPr="0087784B" w:rsidRDefault="00722B14" w:rsidP="00DD3BAE">
            <w:pPr>
              <w:spacing w:before="0" w:after="0"/>
              <w:jc w:val="center"/>
              <w:rPr>
                <w:color w:val="000000"/>
                <w:sz w:val="16"/>
                <w:szCs w:val="16"/>
              </w:rPr>
            </w:pPr>
            <w:r w:rsidRPr="0087784B">
              <w:rPr>
                <w:color w:val="000000"/>
                <w:sz w:val="16"/>
                <w:szCs w:val="16"/>
              </w:rPr>
              <w:t>-11.03 ±0.45</w:t>
            </w:r>
          </w:p>
        </w:tc>
        <w:tc>
          <w:tcPr>
            <w:tcW w:w="1109" w:type="dxa"/>
            <w:tcBorders>
              <w:left w:val="nil"/>
              <w:bottom w:val="single" w:sz="4" w:space="0" w:color="auto"/>
              <w:right w:val="nil"/>
            </w:tcBorders>
            <w:shd w:val="clear" w:color="auto" w:fill="auto"/>
            <w:vAlign w:val="center"/>
          </w:tcPr>
          <w:p w14:paraId="72CF784C" w14:textId="77777777" w:rsidR="00722B14" w:rsidRPr="0087784B" w:rsidRDefault="00722B14" w:rsidP="00DD3BAE">
            <w:pPr>
              <w:spacing w:before="0" w:after="0"/>
              <w:jc w:val="center"/>
              <w:rPr>
                <w:color w:val="000000"/>
                <w:sz w:val="16"/>
                <w:szCs w:val="16"/>
              </w:rPr>
            </w:pPr>
            <w:r w:rsidRPr="0087784B">
              <w:rPr>
                <w:color w:val="000000"/>
                <w:sz w:val="16"/>
                <w:szCs w:val="16"/>
              </w:rPr>
              <w:t>1.99 ±0.18</w:t>
            </w:r>
          </w:p>
        </w:tc>
        <w:tc>
          <w:tcPr>
            <w:tcW w:w="797" w:type="dxa"/>
            <w:tcBorders>
              <w:left w:val="nil"/>
              <w:bottom w:val="single" w:sz="4" w:space="0" w:color="auto"/>
              <w:right w:val="nil"/>
            </w:tcBorders>
            <w:shd w:val="clear" w:color="auto" w:fill="auto"/>
            <w:vAlign w:val="center"/>
          </w:tcPr>
          <w:p w14:paraId="1C46E616"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6F591D0" w14:textId="77777777" w:rsidR="00722B14" w:rsidRDefault="00722B14" w:rsidP="00DD3BAE">
            <w:pPr>
              <w:spacing w:before="0" w:after="0"/>
              <w:jc w:val="center"/>
              <w:rPr>
                <w:i/>
                <w:color w:val="000000"/>
                <w:sz w:val="16"/>
                <w:szCs w:val="16"/>
              </w:rPr>
            </w:pPr>
          </w:p>
        </w:tc>
      </w:tr>
      <w:tr w:rsidR="00722B14" w14:paraId="55574710" w14:textId="77777777" w:rsidTr="00DE79BD">
        <w:trPr>
          <w:cantSplit/>
          <w:trHeight w:val="227"/>
          <w:jc w:val="center"/>
        </w:trPr>
        <w:tc>
          <w:tcPr>
            <w:tcW w:w="1077" w:type="dxa"/>
            <w:vAlign w:val="center"/>
          </w:tcPr>
          <w:p w14:paraId="568E35C0"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28B0EAC8" w14:textId="77777777" w:rsidR="00722B14" w:rsidRDefault="00722B14" w:rsidP="00DD3BAE">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262BC0F1"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77959F8F"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42173220" w14:textId="77777777" w:rsidR="00722B14" w:rsidRDefault="00722B14" w:rsidP="00DD3BAE">
            <w:pPr>
              <w:spacing w:before="0" w:after="0"/>
              <w:jc w:val="center"/>
              <w:rPr>
                <w:color w:val="000000"/>
                <w:sz w:val="16"/>
                <w:szCs w:val="16"/>
              </w:rPr>
            </w:pPr>
            <w:r>
              <w:rPr>
                <w:color w:val="000000"/>
                <w:sz w:val="16"/>
                <w:szCs w:val="16"/>
              </w:rPr>
              <w:t>45.40</w:t>
            </w:r>
          </w:p>
        </w:tc>
        <w:tc>
          <w:tcPr>
            <w:tcW w:w="661" w:type="dxa"/>
            <w:tcBorders>
              <w:top w:val="single" w:sz="4" w:space="0" w:color="auto"/>
              <w:left w:val="nil"/>
              <w:bottom w:val="nil"/>
              <w:right w:val="nil"/>
            </w:tcBorders>
            <w:shd w:val="clear" w:color="auto" w:fill="CCFFCC"/>
            <w:vAlign w:val="center"/>
            <w:hideMark/>
          </w:tcPr>
          <w:p w14:paraId="0EEAD529" w14:textId="77777777" w:rsidR="00722B14" w:rsidRDefault="00722B14" w:rsidP="00DD3BAE">
            <w:pPr>
              <w:spacing w:before="0" w:after="0"/>
              <w:jc w:val="center"/>
              <w:rPr>
                <w:color w:val="000000"/>
                <w:sz w:val="16"/>
                <w:szCs w:val="16"/>
              </w:rPr>
            </w:pPr>
            <w:r>
              <w:rPr>
                <w:color w:val="000000"/>
                <w:sz w:val="16"/>
                <w:szCs w:val="16"/>
              </w:rPr>
              <w:t>9.81</w:t>
            </w:r>
          </w:p>
        </w:tc>
        <w:tc>
          <w:tcPr>
            <w:tcW w:w="1109" w:type="dxa"/>
            <w:tcBorders>
              <w:top w:val="single" w:sz="4" w:space="0" w:color="auto"/>
              <w:left w:val="nil"/>
              <w:bottom w:val="nil"/>
              <w:right w:val="nil"/>
            </w:tcBorders>
            <w:shd w:val="clear" w:color="auto" w:fill="CCFFCC"/>
            <w:noWrap/>
            <w:vAlign w:val="center"/>
            <w:hideMark/>
          </w:tcPr>
          <w:p w14:paraId="62005012" w14:textId="77777777" w:rsidR="00722B14" w:rsidRDefault="00722B14" w:rsidP="00DD3BAE">
            <w:pPr>
              <w:spacing w:before="0" w:after="0"/>
              <w:jc w:val="center"/>
              <w:rPr>
                <w:color w:val="000000"/>
                <w:sz w:val="16"/>
                <w:szCs w:val="16"/>
              </w:rPr>
            </w:pPr>
            <w:r>
              <w:rPr>
                <w:color w:val="000000"/>
                <w:sz w:val="16"/>
                <w:szCs w:val="16"/>
              </w:rPr>
              <w:t>-10.23</w:t>
            </w:r>
          </w:p>
        </w:tc>
        <w:tc>
          <w:tcPr>
            <w:tcW w:w="1109" w:type="dxa"/>
            <w:tcBorders>
              <w:top w:val="single" w:sz="4" w:space="0" w:color="auto"/>
              <w:left w:val="nil"/>
              <w:bottom w:val="nil"/>
              <w:right w:val="nil"/>
            </w:tcBorders>
            <w:vAlign w:val="center"/>
            <w:hideMark/>
          </w:tcPr>
          <w:p w14:paraId="410CBC00" w14:textId="77777777" w:rsidR="00722B14" w:rsidRDefault="00722B14" w:rsidP="00DD3BAE">
            <w:pPr>
              <w:spacing w:before="0" w:after="0"/>
              <w:jc w:val="center"/>
              <w:rPr>
                <w:color w:val="000000"/>
                <w:sz w:val="16"/>
                <w:szCs w:val="16"/>
              </w:rPr>
            </w:pPr>
            <w:r>
              <w:rPr>
                <w:color w:val="000000"/>
                <w:sz w:val="16"/>
                <w:szCs w:val="16"/>
              </w:rPr>
              <w:t>1.44</w:t>
            </w:r>
          </w:p>
        </w:tc>
        <w:tc>
          <w:tcPr>
            <w:tcW w:w="797" w:type="dxa"/>
            <w:tcBorders>
              <w:top w:val="single" w:sz="4" w:space="0" w:color="auto"/>
              <w:left w:val="nil"/>
              <w:bottom w:val="nil"/>
              <w:right w:val="nil"/>
            </w:tcBorders>
            <w:vAlign w:val="center"/>
            <w:hideMark/>
          </w:tcPr>
          <w:p w14:paraId="20951056"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11A07FE6"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10157F02" w14:textId="77777777" w:rsidTr="00DE79BD">
        <w:trPr>
          <w:cantSplit/>
          <w:trHeight w:val="227"/>
          <w:jc w:val="center"/>
        </w:trPr>
        <w:tc>
          <w:tcPr>
            <w:tcW w:w="1077" w:type="dxa"/>
            <w:vAlign w:val="center"/>
          </w:tcPr>
          <w:p w14:paraId="104E069C" w14:textId="77777777" w:rsidR="00722B14" w:rsidRDefault="00722B14" w:rsidP="00DD3BAE">
            <w:pPr>
              <w:spacing w:before="0" w:after="0"/>
              <w:jc w:val="center"/>
              <w:rPr>
                <w:color w:val="000000"/>
                <w:sz w:val="16"/>
                <w:szCs w:val="16"/>
              </w:rPr>
            </w:pPr>
          </w:p>
        </w:tc>
        <w:tc>
          <w:tcPr>
            <w:tcW w:w="1115" w:type="dxa"/>
            <w:noWrap/>
            <w:vAlign w:val="center"/>
          </w:tcPr>
          <w:p w14:paraId="1C604153"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33B6DEE6" w14:textId="77777777" w:rsidR="00722B14" w:rsidRDefault="00722B14" w:rsidP="00DD3BAE">
            <w:pPr>
              <w:spacing w:before="0" w:after="0"/>
              <w:jc w:val="center"/>
              <w:rPr>
                <w:color w:val="000000"/>
                <w:sz w:val="16"/>
                <w:szCs w:val="16"/>
              </w:rPr>
            </w:pPr>
          </w:p>
        </w:tc>
        <w:tc>
          <w:tcPr>
            <w:tcW w:w="621" w:type="dxa"/>
            <w:vAlign w:val="center"/>
            <w:hideMark/>
          </w:tcPr>
          <w:p w14:paraId="0991FDEB"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40C6C41D" w14:textId="77777777" w:rsidR="00722B14" w:rsidRDefault="00722B14" w:rsidP="00DD3BAE">
            <w:pPr>
              <w:spacing w:before="0" w:after="0"/>
              <w:jc w:val="center"/>
              <w:rPr>
                <w:color w:val="000000"/>
                <w:sz w:val="16"/>
                <w:szCs w:val="16"/>
              </w:rPr>
            </w:pPr>
            <w:r>
              <w:rPr>
                <w:color w:val="000000"/>
                <w:sz w:val="16"/>
                <w:szCs w:val="16"/>
              </w:rPr>
              <w:t>42.80</w:t>
            </w:r>
          </w:p>
        </w:tc>
        <w:tc>
          <w:tcPr>
            <w:tcW w:w="661" w:type="dxa"/>
            <w:shd w:val="clear" w:color="auto" w:fill="CCFFCC"/>
            <w:vAlign w:val="center"/>
            <w:hideMark/>
          </w:tcPr>
          <w:p w14:paraId="245E58AA" w14:textId="77777777" w:rsidR="00722B14" w:rsidRDefault="00722B14" w:rsidP="00DD3BAE">
            <w:pPr>
              <w:spacing w:before="0" w:after="0"/>
              <w:jc w:val="center"/>
              <w:rPr>
                <w:color w:val="000000"/>
                <w:sz w:val="16"/>
                <w:szCs w:val="16"/>
              </w:rPr>
            </w:pPr>
            <w:r>
              <w:rPr>
                <w:color w:val="000000"/>
                <w:sz w:val="16"/>
                <w:szCs w:val="16"/>
              </w:rPr>
              <w:t>10.04</w:t>
            </w:r>
          </w:p>
        </w:tc>
        <w:tc>
          <w:tcPr>
            <w:tcW w:w="1109" w:type="dxa"/>
            <w:shd w:val="clear" w:color="auto" w:fill="CCFFCC"/>
            <w:noWrap/>
            <w:vAlign w:val="center"/>
            <w:hideMark/>
          </w:tcPr>
          <w:p w14:paraId="527C3A36" w14:textId="77777777" w:rsidR="00722B14" w:rsidRDefault="00722B14" w:rsidP="00DD3BAE">
            <w:pPr>
              <w:spacing w:before="0" w:after="0"/>
              <w:jc w:val="center"/>
              <w:rPr>
                <w:color w:val="000000"/>
                <w:sz w:val="16"/>
                <w:szCs w:val="16"/>
              </w:rPr>
            </w:pPr>
            <w:r>
              <w:rPr>
                <w:color w:val="000000"/>
                <w:sz w:val="16"/>
                <w:szCs w:val="16"/>
              </w:rPr>
              <w:t>-9.22 ±0.03</w:t>
            </w:r>
          </w:p>
        </w:tc>
        <w:tc>
          <w:tcPr>
            <w:tcW w:w="1109" w:type="dxa"/>
            <w:vAlign w:val="center"/>
            <w:hideMark/>
          </w:tcPr>
          <w:p w14:paraId="02D21C43" w14:textId="77777777" w:rsidR="00722B14" w:rsidRDefault="00722B14" w:rsidP="00DD3BAE">
            <w:pPr>
              <w:spacing w:before="0" w:after="0"/>
              <w:jc w:val="center"/>
              <w:rPr>
                <w:color w:val="000000"/>
                <w:sz w:val="16"/>
                <w:szCs w:val="16"/>
              </w:rPr>
            </w:pPr>
            <w:r>
              <w:rPr>
                <w:color w:val="000000"/>
                <w:sz w:val="16"/>
                <w:szCs w:val="16"/>
              </w:rPr>
              <w:t>-0.20 ±0.19</w:t>
            </w:r>
          </w:p>
        </w:tc>
        <w:tc>
          <w:tcPr>
            <w:tcW w:w="797" w:type="dxa"/>
            <w:vAlign w:val="center"/>
          </w:tcPr>
          <w:p w14:paraId="5192E65E" w14:textId="77777777" w:rsidR="00722B14" w:rsidRDefault="00722B14" w:rsidP="00DD3BAE">
            <w:pPr>
              <w:spacing w:before="0" w:after="0"/>
              <w:jc w:val="center"/>
              <w:rPr>
                <w:i/>
                <w:color w:val="000000"/>
                <w:sz w:val="16"/>
                <w:szCs w:val="16"/>
              </w:rPr>
            </w:pPr>
          </w:p>
        </w:tc>
        <w:tc>
          <w:tcPr>
            <w:tcW w:w="1557" w:type="dxa"/>
            <w:noWrap/>
            <w:vAlign w:val="center"/>
          </w:tcPr>
          <w:p w14:paraId="0B9C8E8D" w14:textId="77777777" w:rsidR="00722B14" w:rsidRDefault="00722B14" w:rsidP="00DD3BAE">
            <w:pPr>
              <w:spacing w:before="0" w:after="0"/>
              <w:jc w:val="center"/>
              <w:rPr>
                <w:i/>
                <w:color w:val="000000"/>
                <w:sz w:val="16"/>
                <w:szCs w:val="16"/>
              </w:rPr>
            </w:pPr>
          </w:p>
        </w:tc>
      </w:tr>
      <w:tr w:rsidR="00722B14" w14:paraId="224729A3" w14:textId="77777777" w:rsidTr="00DE79BD">
        <w:trPr>
          <w:cantSplit/>
          <w:trHeight w:val="227"/>
          <w:jc w:val="center"/>
        </w:trPr>
        <w:tc>
          <w:tcPr>
            <w:tcW w:w="1077" w:type="dxa"/>
            <w:vAlign w:val="center"/>
          </w:tcPr>
          <w:p w14:paraId="23B623A7" w14:textId="77777777" w:rsidR="00722B14" w:rsidRDefault="00722B14" w:rsidP="00DD3BAE">
            <w:pPr>
              <w:spacing w:before="0" w:after="0"/>
              <w:jc w:val="center"/>
              <w:rPr>
                <w:color w:val="000000"/>
                <w:sz w:val="16"/>
                <w:szCs w:val="16"/>
              </w:rPr>
            </w:pPr>
          </w:p>
        </w:tc>
        <w:tc>
          <w:tcPr>
            <w:tcW w:w="1115" w:type="dxa"/>
            <w:noWrap/>
            <w:vAlign w:val="center"/>
          </w:tcPr>
          <w:p w14:paraId="1D8292CA" w14:textId="77777777" w:rsidR="00722B14" w:rsidRDefault="00722B14" w:rsidP="00DD3BAE">
            <w:pPr>
              <w:spacing w:before="0" w:after="0"/>
              <w:jc w:val="center"/>
              <w:rPr>
                <w:color w:val="000000"/>
                <w:sz w:val="16"/>
                <w:szCs w:val="16"/>
              </w:rPr>
            </w:pPr>
          </w:p>
        </w:tc>
        <w:tc>
          <w:tcPr>
            <w:tcW w:w="789" w:type="dxa"/>
            <w:noWrap/>
            <w:vAlign w:val="center"/>
          </w:tcPr>
          <w:p w14:paraId="3546100C" w14:textId="77777777" w:rsidR="00722B14" w:rsidRDefault="00722B14" w:rsidP="00DD3BAE">
            <w:pPr>
              <w:spacing w:before="0" w:after="0"/>
              <w:jc w:val="center"/>
              <w:rPr>
                <w:color w:val="000000"/>
                <w:sz w:val="16"/>
                <w:szCs w:val="16"/>
              </w:rPr>
            </w:pPr>
          </w:p>
        </w:tc>
        <w:tc>
          <w:tcPr>
            <w:tcW w:w="621" w:type="dxa"/>
            <w:vAlign w:val="center"/>
            <w:hideMark/>
          </w:tcPr>
          <w:p w14:paraId="5BE26CD5"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1876045E" w14:textId="77777777" w:rsidR="00722B14" w:rsidRDefault="00722B14" w:rsidP="00DD3BAE">
            <w:pPr>
              <w:spacing w:before="0" w:after="0"/>
              <w:jc w:val="center"/>
              <w:rPr>
                <w:color w:val="000000"/>
                <w:sz w:val="16"/>
                <w:szCs w:val="16"/>
              </w:rPr>
            </w:pPr>
            <w:r>
              <w:rPr>
                <w:color w:val="000000"/>
                <w:sz w:val="16"/>
                <w:szCs w:val="16"/>
              </w:rPr>
              <w:t>42.19</w:t>
            </w:r>
          </w:p>
        </w:tc>
        <w:tc>
          <w:tcPr>
            <w:tcW w:w="661" w:type="dxa"/>
            <w:shd w:val="clear" w:color="auto" w:fill="CCFFCC"/>
            <w:vAlign w:val="center"/>
            <w:hideMark/>
          </w:tcPr>
          <w:p w14:paraId="02924D97" w14:textId="77777777" w:rsidR="00722B14" w:rsidRDefault="00722B14" w:rsidP="00DD3BAE">
            <w:pPr>
              <w:spacing w:before="0" w:after="0"/>
              <w:jc w:val="center"/>
              <w:rPr>
                <w:color w:val="000000"/>
                <w:sz w:val="16"/>
                <w:szCs w:val="16"/>
              </w:rPr>
            </w:pPr>
            <w:r>
              <w:rPr>
                <w:color w:val="000000"/>
                <w:sz w:val="16"/>
                <w:szCs w:val="16"/>
              </w:rPr>
              <w:t>10.67</w:t>
            </w:r>
          </w:p>
        </w:tc>
        <w:tc>
          <w:tcPr>
            <w:tcW w:w="1109" w:type="dxa"/>
            <w:shd w:val="clear" w:color="auto" w:fill="CCFFCC"/>
            <w:noWrap/>
            <w:vAlign w:val="center"/>
            <w:hideMark/>
          </w:tcPr>
          <w:p w14:paraId="41B73940" w14:textId="77777777" w:rsidR="00722B14" w:rsidRDefault="00722B14" w:rsidP="00DD3BAE">
            <w:pPr>
              <w:spacing w:before="0" w:after="0"/>
              <w:jc w:val="center"/>
              <w:rPr>
                <w:color w:val="000000"/>
                <w:sz w:val="16"/>
                <w:szCs w:val="16"/>
              </w:rPr>
            </w:pPr>
            <w:r>
              <w:rPr>
                <w:color w:val="000000"/>
                <w:sz w:val="16"/>
                <w:szCs w:val="16"/>
              </w:rPr>
              <w:t>-8.91 ±0.08</w:t>
            </w:r>
          </w:p>
        </w:tc>
        <w:tc>
          <w:tcPr>
            <w:tcW w:w="1109" w:type="dxa"/>
            <w:vAlign w:val="center"/>
            <w:hideMark/>
          </w:tcPr>
          <w:p w14:paraId="2D1C2A37" w14:textId="77777777" w:rsidR="00722B14" w:rsidRDefault="00722B14" w:rsidP="00DD3BAE">
            <w:pPr>
              <w:spacing w:before="0" w:after="0"/>
              <w:jc w:val="center"/>
              <w:rPr>
                <w:color w:val="000000"/>
                <w:sz w:val="16"/>
                <w:szCs w:val="16"/>
              </w:rPr>
            </w:pPr>
            <w:r>
              <w:rPr>
                <w:color w:val="000000"/>
                <w:sz w:val="16"/>
                <w:szCs w:val="16"/>
              </w:rPr>
              <w:t>0.80 ±0.72</w:t>
            </w:r>
          </w:p>
        </w:tc>
        <w:tc>
          <w:tcPr>
            <w:tcW w:w="797" w:type="dxa"/>
            <w:vAlign w:val="center"/>
          </w:tcPr>
          <w:p w14:paraId="2C8C41EB" w14:textId="77777777" w:rsidR="00722B14" w:rsidRDefault="00722B14" w:rsidP="00DD3BAE">
            <w:pPr>
              <w:spacing w:before="0" w:after="0"/>
              <w:jc w:val="center"/>
              <w:rPr>
                <w:i/>
                <w:color w:val="000000"/>
                <w:sz w:val="16"/>
                <w:szCs w:val="16"/>
              </w:rPr>
            </w:pPr>
          </w:p>
        </w:tc>
        <w:tc>
          <w:tcPr>
            <w:tcW w:w="1557" w:type="dxa"/>
            <w:noWrap/>
            <w:vAlign w:val="center"/>
          </w:tcPr>
          <w:p w14:paraId="1BC9A838" w14:textId="77777777" w:rsidR="00722B14" w:rsidRDefault="00722B14" w:rsidP="00DD3BAE">
            <w:pPr>
              <w:spacing w:before="0" w:after="0"/>
              <w:jc w:val="center"/>
              <w:rPr>
                <w:i/>
                <w:color w:val="000000"/>
                <w:sz w:val="16"/>
                <w:szCs w:val="16"/>
              </w:rPr>
            </w:pPr>
          </w:p>
        </w:tc>
      </w:tr>
      <w:tr w:rsidR="00722B14" w14:paraId="1A8A1F36" w14:textId="77777777" w:rsidTr="00DE79BD">
        <w:trPr>
          <w:cantSplit/>
          <w:trHeight w:val="227"/>
          <w:jc w:val="center"/>
        </w:trPr>
        <w:tc>
          <w:tcPr>
            <w:tcW w:w="1077" w:type="dxa"/>
            <w:vAlign w:val="center"/>
          </w:tcPr>
          <w:p w14:paraId="1F151C06" w14:textId="77777777" w:rsidR="00722B14" w:rsidRDefault="00722B14" w:rsidP="00DD3BAE">
            <w:pPr>
              <w:spacing w:before="0" w:after="0"/>
              <w:jc w:val="center"/>
              <w:rPr>
                <w:color w:val="000000"/>
                <w:sz w:val="16"/>
                <w:szCs w:val="16"/>
              </w:rPr>
            </w:pPr>
          </w:p>
        </w:tc>
        <w:tc>
          <w:tcPr>
            <w:tcW w:w="1115" w:type="dxa"/>
            <w:noWrap/>
            <w:vAlign w:val="center"/>
          </w:tcPr>
          <w:p w14:paraId="07E0C270"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548FF543"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31C0FC7C"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53A2DF29" w14:textId="77777777" w:rsidR="00722B14" w:rsidRDefault="00722B14" w:rsidP="00DD3BAE">
            <w:pPr>
              <w:spacing w:before="0" w:after="0"/>
              <w:jc w:val="center"/>
              <w:rPr>
                <w:color w:val="000000"/>
                <w:sz w:val="16"/>
                <w:szCs w:val="16"/>
              </w:rPr>
            </w:pPr>
            <w:r>
              <w:rPr>
                <w:color w:val="000000"/>
                <w:sz w:val="16"/>
                <w:szCs w:val="16"/>
              </w:rPr>
              <w:t>43.89</w:t>
            </w:r>
          </w:p>
        </w:tc>
        <w:tc>
          <w:tcPr>
            <w:tcW w:w="661" w:type="dxa"/>
            <w:tcBorders>
              <w:top w:val="nil"/>
              <w:left w:val="nil"/>
              <w:right w:val="nil"/>
            </w:tcBorders>
            <w:shd w:val="clear" w:color="auto" w:fill="CCFFCC"/>
            <w:vAlign w:val="center"/>
            <w:hideMark/>
          </w:tcPr>
          <w:p w14:paraId="2A5817FD" w14:textId="77777777" w:rsidR="00722B14" w:rsidRDefault="00722B14" w:rsidP="00DD3BAE">
            <w:pPr>
              <w:spacing w:before="0" w:after="0"/>
              <w:jc w:val="center"/>
              <w:rPr>
                <w:color w:val="000000"/>
                <w:sz w:val="16"/>
                <w:szCs w:val="16"/>
              </w:rPr>
            </w:pPr>
            <w:r>
              <w:rPr>
                <w:color w:val="000000"/>
                <w:sz w:val="16"/>
                <w:szCs w:val="16"/>
              </w:rPr>
              <w:t>11.24</w:t>
            </w:r>
          </w:p>
        </w:tc>
        <w:tc>
          <w:tcPr>
            <w:tcW w:w="1109" w:type="dxa"/>
            <w:tcBorders>
              <w:top w:val="nil"/>
              <w:left w:val="nil"/>
              <w:right w:val="nil"/>
            </w:tcBorders>
            <w:shd w:val="clear" w:color="auto" w:fill="CCFFCC"/>
            <w:noWrap/>
            <w:vAlign w:val="center"/>
            <w:hideMark/>
          </w:tcPr>
          <w:p w14:paraId="109D1490" w14:textId="77777777" w:rsidR="00722B14" w:rsidRDefault="00722B14" w:rsidP="00DD3BAE">
            <w:pPr>
              <w:spacing w:before="0" w:after="0"/>
              <w:jc w:val="center"/>
              <w:rPr>
                <w:color w:val="000000"/>
                <w:sz w:val="16"/>
                <w:szCs w:val="16"/>
              </w:rPr>
            </w:pPr>
            <w:r>
              <w:rPr>
                <w:color w:val="000000"/>
                <w:sz w:val="16"/>
                <w:szCs w:val="16"/>
              </w:rPr>
              <w:t>-8.79 ±0.09</w:t>
            </w:r>
          </w:p>
        </w:tc>
        <w:tc>
          <w:tcPr>
            <w:tcW w:w="1109" w:type="dxa"/>
            <w:tcBorders>
              <w:top w:val="nil"/>
              <w:left w:val="nil"/>
              <w:right w:val="nil"/>
            </w:tcBorders>
            <w:vAlign w:val="center"/>
            <w:hideMark/>
          </w:tcPr>
          <w:p w14:paraId="752A8F02" w14:textId="77777777" w:rsidR="00722B14" w:rsidRDefault="00722B14" w:rsidP="00DD3BAE">
            <w:pPr>
              <w:spacing w:before="0" w:after="0"/>
              <w:jc w:val="center"/>
              <w:rPr>
                <w:color w:val="000000"/>
                <w:sz w:val="16"/>
                <w:szCs w:val="16"/>
              </w:rPr>
            </w:pPr>
            <w:r>
              <w:rPr>
                <w:color w:val="000000"/>
                <w:sz w:val="16"/>
                <w:szCs w:val="16"/>
              </w:rPr>
              <w:t>0.89 ±0.25</w:t>
            </w:r>
          </w:p>
        </w:tc>
        <w:tc>
          <w:tcPr>
            <w:tcW w:w="797" w:type="dxa"/>
            <w:tcBorders>
              <w:top w:val="nil"/>
              <w:left w:val="nil"/>
              <w:right w:val="nil"/>
            </w:tcBorders>
            <w:vAlign w:val="center"/>
          </w:tcPr>
          <w:p w14:paraId="7CBD307E"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00FA39DA" w14:textId="77777777" w:rsidR="00722B14" w:rsidRDefault="00722B14" w:rsidP="00DD3BAE">
            <w:pPr>
              <w:spacing w:before="0" w:after="0"/>
              <w:jc w:val="center"/>
              <w:rPr>
                <w:i/>
                <w:color w:val="000000"/>
                <w:sz w:val="16"/>
                <w:szCs w:val="16"/>
              </w:rPr>
            </w:pPr>
          </w:p>
        </w:tc>
      </w:tr>
      <w:tr w:rsidR="00722B14" w14:paraId="643CA1D0" w14:textId="77777777" w:rsidTr="00DE79BD">
        <w:trPr>
          <w:cantSplit/>
          <w:trHeight w:val="227"/>
          <w:jc w:val="center"/>
        </w:trPr>
        <w:tc>
          <w:tcPr>
            <w:tcW w:w="1077" w:type="dxa"/>
            <w:tcBorders>
              <w:top w:val="nil"/>
              <w:left w:val="nil"/>
              <w:right w:val="nil"/>
            </w:tcBorders>
            <w:shd w:val="clear" w:color="auto" w:fill="auto"/>
            <w:vAlign w:val="center"/>
          </w:tcPr>
          <w:p w14:paraId="3FDC2B3E"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7C73B995"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7EA3795E"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60740F3F"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5F79C6B7" w14:textId="77777777" w:rsidR="00722B14" w:rsidRPr="007C770B" w:rsidRDefault="00722B14" w:rsidP="00DD3BAE">
            <w:pPr>
              <w:spacing w:before="0" w:after="0"/>
              <w:jc w:val="center"/>
              <w:rPr>
                <w:color w:val="000000"/>
                <w:sz w:val="16"/>
                <w:szCs w:val="16"/>
              </w:rPr>
            </w:pPr>
            <w:r w:rsidRPr="007C770B">
              <w:rPr>
                <w:color w:val="000000"/>
                <w:sz w:val="16"/>
                <w:szCs w:val="16"/>
              </w:rPr>
              <w:t>44.55</w:t>
            </w:r>
          </w:p>
        </w:tc>
        <w:tc>
          <w:tcPr>
            <w:tcW w:w="661" w:type="dxa"/>
            <w:tcBorders>
              <w:top w:val="nil"/>
              <w:left w:val="nil"/>
              <w:right w:val="nil"/>
            </w:tcBorders>
            <w:shd w:val="clear" w:color="auto" w:fill="CCFFCC"/>
            <w:vAlign w:val="center"/>
          </w:tcPr>
          <w:p w14:paraId="5DC94AB9" w14:textId="77777777" w:rsidR="00722B14" w:rsidRPr="007C770B" w:rsidRDefault="00722B14" w:rsidP="00DD3BAE">
            <w:pPr>
              <w:spacing w:before="0" w:after="0"/>
              <w:jc w:val="center"/>
              <w:rPr>
                <w:color w:val="000000"/>
                <w:sz w:val="16"/>
                <w:szCs w:val="16"/>
              </w:rPr>
            </w:pPr>
            <w:r w:rsidRPr="007C770B">
              <w:rPr>
                <w:color w:val="000000"/>
                <w:sz w:val="16"/>
                <w:szCs w:val="16"/>
              </w:rPr>
              <w:t>10.57</w:t>
            </w:r>
          </w:p>
        </w:tc>
        <w:tc>
          <w:tcPr>
            <w:tcW w:w="1109" w:type="dxa"/>
            <w:tcBorders>
              <w:top w:val="nil"/>
              <w:left w:val="nil"/>
              <w:right w:val="nil"/>
            </w:tcBorders>
            <w:shd w:val="clear" w:color="auto" w:fill="CCFFCC"/>
            <w:noWrap/>
            <w:vAlign w:val="center"/>
          </w:tcPr>
          <w:p w14:paraId="0E4478CC" w14:textId="77777777" w:rsidR="00722B14" w:rsidRPr="007C770B" w:rsidRDefault="00722B14" w:rsidP="00DD3BAE">
            <w:pPr>
              <w:spacing w:before="0" w:after="0"/>
              <w:jc w:val="center"/>
              <w:rPr>
                <w:color w:val="000000"/>
                <w:sz w:val="16"/>
                <w:szCs w:val="16"/>
              </w:rPr>
            </w:pPr>
            <w:r w:rsidRPr="007C770B">
              <w:rPr>
                <w:color w:val="000000"/>
                <w:sz w:val="16"/>
                <w:szCs w:val="16"/>
              </w:rPr>
              <w:t>-9.66 ±0.17</w:t>
            </w:r>
          </w:p>
        </w:tc>
        <w:tc>
          <w:tcPr>
            <w:tcW w:w="1109" w:type="dxa"/>
            <w:tcBorders>
              <w:top w:val="nil"/>
              <w:left w:val="nil"/>
              <w:right w:val="nil"/>
            </w:tcBorders>
            <w:shd w:val="clear" w:color="auto" w:fill="auto"/>
            <w:vAlign w:val="center"/>
          </w:tcPr>
          <w:p w14:paraId="73DAD890" w14:textId="77777777" w:rsidR="00722B14" w:rsidRPr="007C770B" w:rsidRDefault="00722B14" w:rsidP="00DD3BAE">
            <w:pPr>
              <w:spacing w:before="0" w:after="0"/>
              <w:jc w:val="center"/>
              <w:rPr>
                <w:color w:val="000000"/>
                <w:sz w:val="16"/>
                <w:szCs w:val="16"/>
              </w:rPr>
            </w:pPr>
            <w:r w:rsidRPr="007C770B">
              <w:rPr>
                <w:color w:val="000000"/>
                <w:sz w:val="16"/>
                <w:szCs w:val="16"/>
              </w:rPr>
              <w:t>1.91 ±0.16</w:t>
            </w:r>
          </w:p>
        </w:tc>
        <w:tc>
          <w:tcPr>
            <w:tcW w:w="797" w:type="dxa"/>
            <w:tcBorders>
              <w:top w:val="nil"/>
              <w:left w:val="nil"/>
              <w:right w:val="nil"/>
            </w:tcBorders>
            <w:shd w:val="clear" w:color="auto" w:fill="auto"/>
            <w:vAlign w:val="center"/>
          </w:tcPr>
          <w:p w14:paraId="2DB2FDD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46C08F0C" w14:textId="77777777" w:rsidR="00722B14" w:rsidRDefault="00722B14" w:rsidP="00DD3BAE">
            <w:pPr>
              <w:spacing w:before="0" w:after="0"/>
              <w:jc w:val="center"/>
              <w:rPr>
                <w:i/>
                <w:color w:val="000000"/>
                <w:sz w:val="16"/>
                <w:szCs w:val="16"/>
              </w:rPr>
            </w:pPr>
          </w:p>
        </w:tc>
      </w:tr>
      <w:tr w:rsidR="00722B14" w14:paraId="4109B814" w14:textId="77777777" w:rsidTr="00DE79BD">
        <w:trPr>
          <w:cantSplit/>
          <w:trHeight w:val="227"/>
          <w:jc w:val="center"/>
        </w:trPr>
        <w:tc>
          <w:tcPr>
            <w:tcW w:w="1077" w:type="dxa"/>
            <w:tcBorders>
              <w:left w:val="nil"/>
              <w:right w:val="nil"/>
            </w:tcBorders>
            <w:shd w:val="clear" w:color="auto" w:fill="auto"/>
            <w:vAlign w:val="center"/>
          </w:tcPr>
          <w:p w14:paraId="05189C55"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1C320E58"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475D18EA"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5991A5C5"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43914B76" w14:textId="77777777" w:rsidR="00722B14" w:rsidRPr="0087784B" w:rsidRDefault="00722B14" w:rsidP="00DD3BAE">
            <w:pPr>
              <w:spacing w:before="0" w:after="0"/>
              <w:jc w:val="center"/>
              <w:rPr>
                <w:color w:val="000000"/>
                <w:sz w:val="16"/>
                <w:szCs w:val="16"/>
              </w:rPr>
            </w:pPr>
            <w:r w:rsidRPr="0087784B">
              <w:rPr>
                <w:color w:val="000000"/>
                <w:sz w:val="16"/>
                <w:szCs w:val="16"/>
              </w:rPr>
              <w:t>45.82</w:t>
            </w:r>
          </w:p>
        </w:tc>
        <w:tc>
          <w:tcPr>
            <w:tcW w:w="661" w:type="dxa"/>
            <w:tcBorders>
              <w:left w:val="nil"/>
              <w:bottom w:val="single" w:sz="4" w:space="0" w:color="auto"/>
              <w:right w:val="nil"/>
            </w:tcBorders>
            <w:shd w:val="clear" w:color="auto" w:fill="CCFFCC"/>
            <w:vAlign w:val="center"/>
          </w:tcPr>
          <w:p w14:paraId="3808BFFD" w14:textId="77777777" w:rsidR="00722B14" w:rsidRPr="0087784B" w:rsidRDefault="00722B14" w:rsidP="00DD3BAE">
            <w:pPr>
              <w:spacing w:before="0" w:after="0"/>
              <w:jc w:val="center"/>
              <w:rPr>
                <w:color w:val="000000"/>
                <w:sz w:val="16"/>
                <w:szCs w:val="16"/>
              </w:rPr>
            </w:pPr>
            <w:r w:rsidRPr="0087784B">
              <w:rPr>
                <w:color w:val="000000"/>
                <w:sz w:val="16"/>
                <w:szCs w:val="16"/>
              </w:rPr>
              <w:t>9.17</w:t>
            </w:r>
          </w:p>
        </w:tc>
        <w:tc>
          <w:tcPr>
            <w:tcW w:w="1109" w:type="dxa"/>
            <w:tcBorders>
              <w:left w:val="nil"/>
              <w:bottom w:val="single" w:sz="4" w:space="0" w:color="auto"/>
              <w:right w:val="nil"/>
            </w:tcBorders>
            <w:shd w:val="clear" w:color="auto" w:fill="CCFFCC"/>
            <w:noWrap/>
            <w:vAlign w:val="center"/>
          </w:tcPr>
          <w:p w14:paraId="42BA29BF" w14:textId="77777777" w:rsidR="00722B14" w:rsidRPr="0087784B" w:rsidRDefault="00722B14" w:rsidP="00DD3BAE">
            <w:pPr>
              <w:spacing w:before="0" w:after="0"/>
              <w:jc w:val="center"/>
              <w:rPr>
                <w:color w:val="000000"/>
                <w:sz w:val="16"/>
                <w:szCs w:val="16"/>
              </w:rPr>
            </w:pPr>
            <w:r w:rsidRPr="0087784B">
              <w:rPr>
                <w:color w:val="000000"/>
                <w:sz w:val="16"/>
                <w:szCs w:val="16"/>
              </w:rPr>
              <w:t>-10.24 ±0.04</w:t>
            </w:r>
          </w:p>
        </w:tc>
        <w:tc>
          <w:tcPr>
            <w:tcW w:w="1109" w:type="dxa"/>
            <w:tcBorders>
              <w:left w:val="nil"/>
              <w:bottom w:val="single" w:sz="4" w:space="0" w:color="auto"/>
              <w:right w:val="nil"/>
            </w:tcBorders>
            <w:shd w:val="clear" w:color="auto" w:fill="auto"/>
            <w:vAlign w:val="center"/>
          </w:tcPr>
          <w:p w14:paraId="7AE0603F" w14:textId="77777777" w:rsidR="00722B14" w:rsidRPr="0087784B" w:rsidRDefault="00722B14" w:rsidP="00DD3BAE">
            <w:pPr>
              <w:spacing w:before="0" w:after="0"/>
              <w:jc w:val="center"/>
              <w:rPr>
                <w:color w:val="000000"/>
                <w:sz w:val="16"/>
                <w:szCs w:val="16"/>
              </w:rPr>
            </w:pPr>
            <w:r w:rsidRPr="0087784B">
              <w:rPr>
                <w:color w:val="000000"/>
                <w:sz w:val="16"/>
                <w:szCs w:val="16"/>
              </w:rPr>
              <w:t>-2.69 ±0.87</w:t>
            </w:r>
          </w:p>
        </w:tc>
        <w:tc>
          <w:tcPr>
            <w:tcW w:w="797" w:type="dxa"/>
            <w:tcBorders>
              <w:left w:val="nil"/>
              <w:bottom w:val="single" w:sz="4" w:space="0" w:color="auto"/>
              <w:right w:val="nil"/>
            </w:tcBorders>
            <w:shd w:val="clear" w:color="auto" w:fill="auto"/>
            <w:vAlign w:val="center"/>
          </w:tcPr>
          <w:p w14:paraId="0CD94541"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0642858A" w14:textId="77777777" w:rsidR="00722B14" w:rsidRDefault="00722B14" w:rsidP="00DD3BAE">
            <w:pPr>
              <w:spacing w:before="0" w:after="0"/>
              <w:jc w:val="center"/>
              <w:rPr>
                <w:i/>
                <w:color w:val="000000"/>
                <w:sz w:val="16"/>
                <w:szCs w:val="16"/>
              </w:rPr>
            </w:pPr>
          </w:p>
        </w:tc>
      </w:tr>
      <w:tr w:rsidR="00722B14" w14:paraId="56A2C7EE" w14:textId="77777777" w:rsidTr="00DE79BD">
        <w:trPr>
          <w:cantSplit/>
          <w:trHeight w:val="227"/>
          <w:jc w:val="center"/>
        </w:trPr>
        <w:tc>
          <w:tcPr>
            <w:tcW w:w="1077" w:type="dxa"/>
            <w:vAlign w:val="center"/>
          </w:tcPr>
          <w:p w14:paraId="2CE7B2E8" w14:textId="77777777" w:rsidR="00722B14" w:rsidRDefault="00722B14" w:rsidP="00DD3BAE">
            <w:pPr>
              <w:spacing w:before="0" w:after="0"/>
              <w:jc w:val="center"/>
              <w:rPr>
                <w:color w:val="000000"/>
                <w:sz w:val="16"/>
                <w:szCs w:val="16"/>
              </w:rPr>
            </w:pPr>
          </w:p>
        </w:tc>
        <w:tc>
          <w:tcPr>
            <w:tcW w:w="1115" w:type="dxa"/>
            <w:noWrap/>
            <w:vAlign w:val="center"/>
          </w:tcPr>
          <w:p w14:paraId="4FC72760"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63E7773"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45794DFE"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59B1F398" w14:textId="77777777" w:rsidR="00722B14" w:rsidRDefault="00722B14" w:rsidP="00DD3BAE">
            <w:pPr>
              <w:spacing w:before="0" w:after="0"/>
              <w:jc w:val="center"/>
              <w:rPr>
                <w:color w:val="000000"/>
                <w:sz w:val="16"/>
                <w:szCs w:val="16"/>
              </w:rPr>
            </w:pPr>
            <w:r>
              <w:rPr>
                <w:color w:val="000000"/>
                <w:sz w:val="16"/>
                <w:szCs w:val="16"/>
              </w:rPr>
              <w:t>42.50</w:t>
            </w:r>
          </w:p>
        </w:tc>
        <w:tc>
          <w:tcPr>
            <w:tcW w:w="661" w:type="dxa"/>
            <w:tcBorders>
              <w:top w:val="single" w:sz="4" w:space="0" w:color="auto"/>
              <w:left w:val="nil"/>
              <w:bottom w:val="nil"/>
              <w:right w:val="nil"/>
            </w:tcBorders>
            <w:shd w:val="clear" w:color="auto" w:fill="CCFFCC"/>
            <w:vAlign w:val="center"/>
            <w:hideMark/>
          </w:tcPr>
          <w:p w14:paraId="1ADB04C2" w14:textId="77777777" w:rsidR="00722B14" w:rsidRDefault="00722B14" w:rsidP="00DD3BAE">
            <w:pPr>
              <w:spacing w:before="0" w:after="0"/>
              <w:jc w:val="center"/>
              <w:rPr>
                <w:color w:val="000000"/>
                <w:sz w:val="16"/>
                <w:szCs w:val="16"/>
              </w:rPr>
            </w:pPr>
            <w:r>
              <w:rPr>
                <w:color w:val="000000"/>
                <w:sz w:val="16"/>
                <w:szCs w:val="16"/>
              </w:rPr>
              <w:t>13.77</w:t>
            </w:r>
          </w:p>
        </w:tc>
        <w:tc>
          <w:tcPr>
            <w:tcW w:w="1109" w:type="dxa"/>
            <w:tcBorders>
              <w:top w:val="single" w:sz="4" w:space="0" w:color="auto"/>
              <w:left w:val="nil"/>
              <w:bottom w:val="nil"/>
              <w:right w:val="nil"/>
            </w:tcBorders>
            <w:shd w:val="clear" w:color="auto" w:fill="CCFFCC"/>
            <w:noWrap/>
            <w:vAlign w:val="center"/>
            <w:hideMark/>
          </w:tcPr>
          <w:p w14:paraId="5F524796" w14:textId="77777777" w:rsidR="00722B14" w:rsidRDefault="00722B14" w:rsidP="00DD3BAE">
            <w:pPr>
              <w:spacing w:before="0" w:after="0"/>
              <w:jc w:val="center"/>
              <w:rPr>
                <w:color w:val="000000"/>
                <w:sz w:val="16"/>
                <w:szCs w:val="16"/>
              </w:rPr>
            </w:pPr>
            <w:r>
              <w:rPr>
                <w:color w:val="000000"/>
                <w:sz w:val="16"/>
                <w:szCs w:val="16"/>
              </w:rPr>
              <w:t>-9.3</w:t>
            </w:r>
          </w:p>
        </w:tc>
        <w:tc>
          <w:tcPr>
            <w:tcW w:w="1109" w:type="dxa"/>
            <w:tcBorders>
              <w:top w:val="single" w:sz="4" w:space="0" w:color="auto"/>
              <w:left w:val="nil"/>
              <w:bottom w:val="nil"/>
              <w:right w:val="nil"/>
            </w:tcBorders>
            <w:vAlign w:val="center"/>
            <w:hideMark/>
          </w:tcPr>
          <w:p w14:paraId="72913FC6" w14:textId="77777777" w:rsidR="00722B14" w:rsidRDefault="00722B14" w:rsidP="00DD3BAE">
            <w:pPr>
              <w:spacing w:before="0" w:after="0"/>
              <w:jc w:val="center"/>
              <w:rPr>
                <w:color w:val="000000"/>
                <w:sz w:val="16"/>
                <w:szCs w:val="16"/>
              </w:rPr>
            </w:pPr>
            <w:r>
              <w:rPr>
                <w:color w:val="000000"/>
                <w:sz w:val="16"/>
                <w:szCs w:val="16"/>
              </w:rPr>
              <w:t>0.74</w:t>
            </w:r>
          </w:p>
        </w:tc>
        <w:tc>
          <w:tcPr>
            <w:tcW w:w="797" w:type="dxa"/>
            <w:tcBorders>
              <w:top w:val="single" w:sz="4" w:space="0" w:color="auto"/>
              <w:left w:val="nil"/>
              <w:bottom w:val="nil"/>
              <w:right w:val="nil"/>
            </w:tcBorders>
            <w:vAlign w:val="center"/>
            <w:hideMark/>
          </w:tcPr>
          <w:p w14:paraId="4948798D"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7C6C0257"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4F3B77BB" w14:textId="77777777" w:rsidTr="00DE79BD">
        <w:trPr>
          <w:cantSplit/>
          <w:trHeight w:val="227"/>
          <w:jc w:val="center"/>
        </w:trPr>
        <w:tc>
          <w:tcPr>
            <w:tcW w:w="1077" w:type="dxa"/>
            <w:vAlign w:val="center"/>
          </w:tcPr>
          <w:p w14:paraId="3DDCC6E9" w14:textId="77777777" w:rsidR="00722B14" w:rsidRDefault="00722B14" w:rsidP="00DD3BAE">
            <w:pPr>
              <w:spacing w:before="0" w:after="0"/>
              <w:jc w:val="center"/>
              <w:rPr>
                <w:color w:val="000000"/>
                <w:sz w:val="16"/>
                <w:szCs w:val="16"/>
              </w:rPr>
            </w:pPr>
          </w:p>
        </w:tc>
        <w:tc>
          <w:tcPr>
            <w:tcW w:w="1115" w:type="dxa"/>
            <w:noWrap/>
            <w:vAlign w:val="center"/>
          </w:tcPr>
          <w:p w14:paraId="59C79D21" w14:textId="77777777" w:rsidR="00722B14" w:rsidRDefault="00722B14" w:rsidP="00DD3BAE">
            <w:pPr>
              <w:spacing w:before="0" w:after="0"/>
              <w:jc w:val="center"/>
              <w:rPr>
                <w:color w:val="000000"/>
                <w:sz w:val="16"/>
                <w:szCs w:val="16"/>
              </w:rPr>
            </w:pPr>
          </w:p>
        </w:tc>
        <w:tc>
          <w:tcPr>
            <w:tcW w:w="789" w:type="dxa"/>
            <w:noWrap/>
            <w:vAlign w:val="center"/>
          </w:tcPr>
          <w:p w14:paraId="59E3D593" w14:textId="77777777" w:rsidR="00722B14" w:rsidRDefault="00722B14" w:rsidP="00DD3BAE">
            <w:pPr>
              <w:spacing w:before="0" w:after="0"/>
              <w:jc w:val="center"/>
              <w:rPr>
                <w:color w:val="000000"/>
                <w:sz w:val="16"/>
                <w:szCs w:val="16"/>
              </w:rPr>
            </w:pPr>
          </w:p>
        </w:tc>
        <w:tc>
          <w:tcPr>
            <w:tcW w:w="621" w:type="dxa"/>
            <w:vAlign w:val="center"/>
            <w:hideMark/>
          </w:tcPr>
          <w:p w14:paraId="14855966"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5AC34E3B" w14:textId="77777777" w:rsidR="00722B14" w:rsidRDefault="00722B14" w:rsidP="00DD3BAE">
            <w:pPr>
              <w:spacing w:before="0" w:after="0"/>
              <w:jc w:val="center"/>
              <w:rPr>
                <w:color w:val="000000"/>
                <w:sz w:val="16"/>
                <w:szCs w:val="16"/>
              </w:rPr>
            </w:pPr>
            <w:r>
              <w:rPr>
                <w:color w:val="000000"/>
                <w:sz w:val="16"/>
                <w:szCs w:val="16"/>
              </w:rPr>
              <w:t>39.80</w:t>
            </w:r>
          </w:p>
        </w:tc>
        <w:tc>
          <w:tcPr>
            <w:tcW w:w="661" w:type="dxa"/>
            <w:shd w:val="clear" w:color="auto" w:fill="CCFFCC"/>
            <w:vAlign w:val="center"/>
            <w:hideMark/>
          </w:tcPr>
          <w:p w14:paraId="119D25C6" w14:textId="77777777" w:rsidR="00722B14" w:rsidRDefault="00722B14" w:rsidP="00DD3BAE">
            <w:pPr>
              <w:spacing w:before="0" w:after="0"/>
              <w:jc w:val="center"/>
              <w:rPr>
                <w:color w:val="000000"/>
                <w:sz w:val="16"/>
                <w:szCs w:val="16"/>
              </w:rPr>
            </w:pPr>
            <w:r>
              <w:rPr>
                <w:color w:val="000000"/>
                <w:sz w:val="16"/>
                <w:szCs w:val="16"/>
              </w:rPr>
              <w:t>14.35</w:t>
            </w:r>
          </w:p>
        </w:tc>
        <w:tc>
          <w:tcPr>
            <w:tcW w:w="1109" w:type="dxa"/>
            <w:shd w:val="clear" w:color="auto" w:fill="CCFFCC"/>
            <w:noWrap/>
            <w:vAlign w:val="center"/>
            <w:hideMark/>
          </w:tcPr>
          <w:p w14:paraId="54BEC577" w14:textId="77777777" w:rsidR="00722B14" w:rsidRDefault="00722B14" w:rsidP="00DD3BAE">
            <w:pPr>
              <w:spacing w:before="0" w:after="0"/>
              <w:jc w:val="center"/>
              <w:rPr>
                <w:color w:val="000000"/>
                <w:sz w:val="16"/>
                <w:szCs w:val="16"/>
              </w:rPr>
            </w:pPr>
            <w:r>
              <w:rPr>
                <w:color w:val="000000"/>
                <w:sz w:val="16"/>
                <w:szCs w:val="16"/>
              </w:rPr>
              <w:t>-9.15 ±0.05</w:t>
            </w:r>
          </w:p>
        </w:tc>
        <w:tc>
          <w:tcPr>
            <w:tcW w:w="1109" w:type="dxa"/>
            <w:vAlign w:val="center"/>
            <w:hideMark/>
          </w:tcPr>
          <w:p w14:paraId="35AA4A56" w14:textId="77777777" w:rsidR="00722B14" w:rsidRDefault="00722B14" w:rsidP="00DD3BAE">
            <w:pPr>
              <w:spacing w:before="0" w:after="0"/>
              <w:jc w:val="center"/>
              <w:rPr>
                <w:color w:val="000000"/>
                <w:sz w:val="16"/>
                <w:szCs w:val="16"/>
              </w:rPr>
            </w:pPr>
            <w:r>
              <w:rPr>
                <w:color w:val="000000"/>
                <w:sz w:val="16"/>
                <w:szCs w:val="16"/>
              </w:rPr>
              <w:t>2.47 ±0.34</w:t>
            </w:r>
          </w:p>
        </w:tc>
        <w:tc>
          <w:tcPr>
            <w:tcW w:w="797" w:type="dxa"/>
            <w:vAlign w:val="center"/>
          </w:tcPr>
          <w:p w14:paraId="60F2927E" w14:textId="77777777" w:rsidR="00722B14" w:rsidRDefault="00722B14" w:rsidP="00DD3BAE">
            <w:pPr>
              <w:spacing w:before="0" w:after="0"/>
              <w:jc w:val="center"/>
              <w:rPr>
                <w:i/>
                <w:color w:val="000000"/>
                <w:sz w:val="16"/>
                <w:szCs w:val="16"/>
              </w:rPr>
            </w:pPr>
          </w:p>
        </w:tc>
        <w:tc>
          <w:tcPr>
            <w:tcW w:w="1557" w:type="dxa"/>
            <w:noWrap/>
            <w:vAlign w:val="center"/>
          </w:tcPr>
          <w:p w14:paraId="54EAD007" w14:textId="77777777" w:rsidR="00722B14" w:rsidRDefault="00722B14" w:rsidP="00DD3BAE">
            <w:pPr>
              <w:spacing w:before="0" w:after="0"/>
              <w:jc w:val="center"/>
              <w:rPr>
                <w:i/>
                <w:color w:val="000000"/>
                <w:sz w:val="16"/>
                <w:szCs w:val="16"/>
              </w:rPr>
            </w:pPr>
          </w:p>
        </w:tc>
      </w:tr>
      <w:tr w:rsidR="00722B14" w14:paraId="1F4DA726" w14:textId="77777777" w:rsidTr="00DE79BD">
        <w:trPr>
          <w:cantSplit/>
          <w:trHeight w:val="227"/>
          <w:jc w:val="center"/>
        </w:trPr>
        <w:tc>
          <w:tcPr>
            <w:tcW w:w="1077" w:type="dxa"/>
            <w:vAlign w:val="center"/>
          </w:tcPr>
          <w:p w14:paraId="376D1CF2" w14:textId="77777777" w:rsidR="00722B14" w:rsidRDefault="00722B14" w:rsidP="00DD3BAE">
            <w:pPr>
              <w:spacing w:before="0" w:after="0"/>
              <w:jc w:val="center"/>
              <w:rPr>
                <w:color w:val="000000"/>
                <w:sz w:val="16"/>
                <w:szCs w:val="16"/>
              </w:rPr>
            </w:pPr>
          </w:p>
        </w:tc>
        <w:tc>
          <w:tcPr>
            <w:tcW w:w="1115" w:type="dxa"/>
            <w:noWrap/>
            <w:vAlign w:val="center"/>
          </w:tcPr>
          <w:p w14:paraId="6FFC4BD9" w14:textId="77777777" w:rsidR="00722B14" w:rsidRDefault="00722B14" w:rsidP="00DD3BAE">
            <w:pPr>
              <w:spacing w:before="0" w:after="0"/>
              <w:jc w:val="center"/>
              <w:rPr>
                <w:color w:val="000000"/>
                <w:sz w:val="16"/>
                <w:szCs w:val="16"/>
              </w:rPr>
            </w:pPr>
          </w:p>
        </w:tc>
        <w:tc>
          <w:tcPr>
            <w:tcW w:w="789" w:type="dxa"/>
            <w:noWrap/>
            <w:vAlign w:val="center"/>
          </w:tcPr>
          <w:p w14:paraId="3CF6BF2A" w14:textId="77777777" w:rsidR="00722B14" w:rsidRDefault="00722B14" w:rsidP="00DD3BAE">
            <w:pPr>
              <w:spacing w:before="0" w:after="0"/>
              <w:jc w:val="center"/>
              <w:rPr>
                <w:color w:val="000000"/>
                <w:sz w:val="16"/>
                <w:szCs w:val="16"/>
              </w:rPr>
            </w:pPr>
          </w:p>
        </w:tc>
        <w:tc>
          <w:tcPr>
            <w:tcW w:w="621" w:type="dxa"/>
            <w:vAlign w:val="center"/>
            <w:hideMark/>
          </w:tcPr>
          <w:p w14:paraId="6110877F"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522AF9CA" w14:textId="77777777" w:rsidR="00722B14" w:rsidRDefault="00722B14" w:rsidP="00DD3BAE">
            <w:pPr>
              <w:spacing w:before="0" w:after="0"/>
              <w:jc w:val="center"/>
              <w:rPr>
                <w:color w:val="000000"/>
                <w:sz w:val="16"/>
                <w:szCs w:val="16"/>
              </w:rPr>
            </w:pPr>
            <w:r>
              <w:rPr>
                <w:color w:val="000000"/>
                <w:sz w:val="16"/>
                <w:szCs w:val="16"/>
              </w:rPr>
              <w:t>36.06</w:t>
            </w:r>
          </w:p>
        </w:tc>
        <w:tc>
          <w:tcPr>
            <w:tcW w:w="661" w:type="dxa"/>
            <w:shd w:val="clear" w:color="auto" w:fill="CCFFCC"/>
            <w:vAlign w:val="center"/>
            <w:hideMark/>
          </w:tcPr>
          <w:p w14:paraId="55BD8E60" w14:textId="77777777" w:rsidR="00722B14" w:rsidRDefault="00722B14" w:rsidP="00DD3BAE">
            <w:pPr>
              <w:spacing w:before="0" w:after="0"/>
              <w:jc w:val="center"/>
              <w:rPr>
                <w:color w:val="000000"/>
                <w:sz w:val="16"/>
                <w:szCs w:val="16"/>
              </w:rPr>
            </w:pPr>
            <w:r>
              <w:rPr>
                <w:color w:val="000000"/>
                <w:sz w:val="16"/>
                <w:szCs w:val="16"/>
              </w:rPr>
              <w:t>19.49</w:t>
            </w:r>
          </w:p>
        </w:tc>
        <w:tc>
          <w:tcPr>
            <w:tcW w:w="1109" w:type="dxa"/>
            <w:shd w:val="clear" w:color="auto" w:fill="CCFFCC"/>
            <w:noWrap/>
            <w:vAlign w:val="center"/>
            <w:hideMark/>
          </w:tcPr>
          <w:p w14:paraId="640BEA77" w14:textId="77777777" w:rsidR="00722B14" w:rsidRDefault="00722B14" w:rsidP="00DD3BAE">
            <w:pPr>
              <w:spacing w:before="0" w:after="0"/>
              <w:jc w:val="center"/>
              <w:rPr>
                <w:color w:val="000000"/>
                <w:sz w:val="16"/>
                <w:szCs w:val="16"/>
              </w:rPr>
            </w:pPr>
            <w:r>
              <w:rPr>
                <w:color w:val="000000"/>
                <w:sz w:val="16"/>
                <w:szCs w:val="16"/>
              </w:rPr>
              <w:t>-9.94 ±0.08</w:t>
            </w:r>
          </w:p>
        </w:tc>
        <w:tc>
          <w:tcPr>
            <w:tcW w:w="1109" w:type="dxa"/>
            <w:vAlign w:val="center"/>
            <w:hideMark/>
          </w:tcPr>
          <w:p w14:paraId="382EBF28" w14:textId="77777777" w:rsidR="00722B14" w:rsidRDefault="00722B14" w:rsidP="00DD3BAE">
            <w:pPr>
              <w:spacing w:before="0" w:after="0"/>
              <w:jc w:val="center"/>
              <w:rPr>
                <w:color w:val="000000"/>
                <w:sz w:val="16"/>
                <w:szCs w:val="16"/>
              </w:rPr>
            </w:pPr>
            <w:r>
              <w:rPr>
                <w:color w:val="000000"/>
                <w:sz w:val="16"/>
                <w:szCs w:val="16"/>
              </w:rPr>
              <w:t>2.34 ±0.19</w:t>
            </w:r>
          </w:p>
        </w:tc>
        <w:tc>
          <w:tcPr>
            <w:tcW w:w="797" w:type="dxa"/>
            <w:vAlign w:val="center"/>
          </w:tcPr>
          <w:p w14:paraId="746838E5" w14:textId="77777777" w:rsidR="00722B14" w:rsidRDefault="00722B14" w:rsidP="00DD3BAE">
            <w:pPr>
              <w:spacing w:before="0" w:after="0"/>
              <w:jc w:val="center"/>
              <w:rPr>
                <w:i/>
                <w:color w:val="000000"/>
                <w:sz w:val="16"/>
                <w:szCs w:val="16"/>
              </w:rPr>
            </w:pPr>
          </w:p>
        </w:tc>
        <w:tc>
          <w:tcPr>
            <w:tcW w:w="1557" w:type="dxa"/>
            <w:noWrap/>
            <w:vAlign w:val="center"/>
          </w:tcPr>
          <w:p w14:paraId="5D5BA173" w14:textId="77777777" w:rsidR="00722B14" w:rsidRDefault="00722B14" w:rsidP="00DD3BAE">
            <w:pPr>
              <w:spacing w:before="0" w:after="0"/>
              <w:jc w:val="center"/>
              <w:rPr>
                <w:i/>
                <w:color w:val="000000"/>
                <w:sz w:val="16"/>
                <w:szCs w:val="16"/>
              </w:rPr>
            </w:pPr>
          </w:p>
        </w:tc>
      </w:tr>
      <w:tr w:rsidR="00722B14" w14:paraId="38DAF6E4" w14:textId="77777777" w:rsidTr="00DE79BD">
        <w:trPr>
          <w:cantSplit/>
          <w:trHeight w:val="227"/>
          <w:jc w:val="center"/>
        </w:trPr>
        <w:tc>
          <w:tcPr>
            <w:tcW w:w="1077" w:type="dxa"/>
            <w:tcBorders>
              <w:top w:val="nil"/>
              <w:left w:val="nil"/>
              <w:right w:val="nil"/>
            </w:tcBorders>
            <w:vAlign w:val="center"/>
          </w:tcPr>
          <w:p w14:paraId="011225A4"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303AA6F9"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5524603F"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6F8D224B"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46991D5" w14:textId="77777777" w:rsidR="00722B14" w:rsidRDefault="00722B14" w:rsidP="00DD3BAE">
            <w:pPr>
              <w:spacing w:before="0" w:after="0"/>
              <w:jc w:val="center"/>
              <w:rPr>
                <w:color w:val="000000"/>
                <w:sz w:val="16"/>
                <w:szCs w:val="16"/>
              </w:rPr>
            </w:pPr>
            <w:r>
              <w:rPr>
                <w:color w:val="000000"/>
                <w:sz w:val="16"/>
                <w:szCs w:val="16"/>
              </w:rPr>
              <w:t>38.90</w:t>
            </w:r>
          </w:p>
        </w:tc>
        <w:tc>
          <w:tcPr>
            <w:tcW w:w="661" w:type="dxa"/>
            <w:tcBorders>
              <w:top w:val="nil"/>
              <w:left w:val="nil"/>
              <w:right w:val="nil"/>
            </w:tcBorders>
            <w:vAlign w:val="center"/>
            <w:hideMark/>
          </w:tcPr>
          <w:p w14:paraId="310C5226" w14:textId="77777777" w:rsidR="00722B14" w:rsidRDefault="00722B14" w:rsidP="00DD3BAE">
            <w:pPr>
              <w:spacing w:before="0" w:after="0"/>
              <w:jc w:val="center"/>
              <w:rPr>
                <w:color w:val="000000"/>
                <w:sz w:val="16"/>
                <w:szCs w:val="16"/>
              </w:rPr>
            </w:pPr>
            <w:r>
              <w:rPr>
                <w:color w:val="000000"/>
                <w:sz w:val="16"/>
                <w:szCs w:val="16"/>
              </w:rPr>
              <w:t>20.28</w:t>
            </w:r>
          </w:p>
        </w:tc>
        <w:tc>
          <w:tcPr>
            <w:tcW w:w="1109" w:type="dxa"/>
            <w:tcBorders>
              <w:top w:val="nil"/>
              <w:left w:val="nil"/>
              <w:right w:val="nil"/>
            </w:tcBorders>
            <w:shd w:val="clear" w:color="auto" w:fill="CCFFCC"/>
            <w:noWrap/>
            <w:vAlign w:val="center"/>
            <w:hideMark/>
          </w:tcPr>
          <w:p w14:paraId="40B8575E" w14:textId="77777777" w:rsidR="00722B14" w:rsidRDefault="00722B14" w:rsidP="00DD3BAE">
            <w:pPr>
              <w:spacing w:before="0" w:after="0"/>
              <w:jc w:val="center"/>
              <w:rPr>
                <w:color w:val="000000"/>
                <w:sz w:val="16"/>
                <w:szCs w:val="16"/>
              </w:rPr>
            </w:pPr>
            <w:r>
              <w:rPr>
                <w:color w:val="000000"/>
                <w:sz w:val="16"/>
                <w:szCs w:val="16"/>
              </w:rPr>
              <w:t>-9.30 ±0.22</w:t>
            </w:r>
          </w:p>
        </w:tc>
        <w:tc>
          <w:tcPr>
            <w:tcW w:w="1109" w:type="dxa"/>
            <w:tcBorders>
              <w:top w:val="nil"/>
              <w:left w:val="nil"/>
              <w:right w:val="nil"/>
            </w:tcBorders>
            <w:vAlign w:val="center"/>
            <w:hideMark/>
          </w:tcPr>
          <w:p w14:paraId="7AFC89A3" w14:textId="77777777" w:rsidR="00722B14" w:rsidRDefault="00722B14" w:rsidP="00DD3BAE">
            <w:pPr>
              <w:spacing w:before="0" w:after="0"/>
              <w:jc w:val="center"/>
              <w:rPr>
                <w:color w:val="000000"/>
                <w:sz w:val="16"/>
                <w:szCs w:val="16"/>
              </w:rPr>
            </w:pPr>
            <w:r>
              <w:rPr>
                <w:color w:val="000000"/>
                <w:sz w:val="16"/>
                <w:szCs w:val="16"/>
              </w:rPr>
              <w:t>2.87 ±0.11</w:t>
            </w:r>
          </w:p>
        </w:tc>
        <w:tc>
          <w:tcPr>
            <w:tcW w:w="797" w:type="dxa"/>
            <w:tcBorders>
              <w:top w:val="nil"/>
              <w:left w:val="nil"/>
              <w:right w:val="nil"/>
            </w:tcBorders>
            <w:vAlign w:val="center"/>
          </w:tcPr>
          <w:p w14:paraId="45391FE9"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3B8A047D" w14:textId="77777777" w:rsidR="00722B14" w:rsidRDefault="00722B14" w:rsidP="00DD3BAE">
            <w:pPr>
              <w:spacing w:before="0" w:after="0"/>
              <w:jc w:val="center"/>
              <w:rPr>
                <w:i/>
                <w:color w:val="000000"/>
                <w:sz w:val="16"/>
                <w:szCs w:val="16"/>
              </w:rPr>
            </w:pPr>
          </w:p>
        </w:tc>
      </w:tr>
      <w:tr w:rsidR="00722B14" w14:paraId="56B2D6DE" w14:textId="77777777" w:rsidTr="00DE79BD">
        <w:trPr>
          <w:cantSplit/>
          <w:trHeight w:val="227"/>
          <w:jc w:val="center"/>
        </w:trPr>
        <w:tc>
          <w:tcPr>
            <w:tcW w:w="1077" w:type="dxa"/>
            <w:tcBorders>
              <w:top w:val="nil"/>
              <w:left w:val="nil"/>
              <w:right w:val="nil"/>
            </w:tcBorders>
            <w:shd w:val="clear" w:color="auto" w:fill="auto"/>
            <w:vAlign w:val="center"/>
          </w:tcPr>
          <w:p w14:paraId="433E6D9B"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4CFFB8E9"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0965A82D"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BF17E8C"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1A907D2E" w14:textId="77777777" w:rsidR="00722B14" w:rsidRPr="007C770B" w:rsidRDefault="00722B14" w:rsidP="00DD3BAE">
            <w:pPr>
              <w:spacing w:before="0" w:after="0"/>
              <w:jc w:val="center"/>
              <w:rPr>
                <w:color w:val="000000"/>
                <w:sz w:val="16"/>
                <w:szCs w:val="16"/>
              </w:rPr>
            </w:pPr>
            <w:r w:rsidRPr="007C770B">
              <w:rPr>
                <w:color w:val="000000"/>
                <w:sz w:val="16"/>
                <w:szCs w:val="16"/>
              </w:rPr>
              <w:t>42.63</w:t>
            </w:r>
          </w:p>
        </w:tc>
        <w:tc>
          <w:tcPr>
            <w:tcW w:w="661" w:type="dxa"/>
            <w:tcBorders>
              <w:top w:val="nil"/>
              <w:left w:val="nil"/>
              <w:right w:val="nil"/>
            </w:tcBorders>
            <w:shd w:val="clear" w:color="auto" w:fill="CCFFCC"/>
            <w:vAlign w:val="center"/>
          </w:tcPr>
          <w:p w14:paraId="341F09A8" w14:textId="77777777" w:rsidR="00722B14" w:rsidRPr="007C770B" w:rsidRDefault="00722B14" w:rsidP="00DD3BAE">
            <w:pPr>
              <w:spacing w:before="0" w:after="0"/>
              <w:jc w:val="center"/>
              <w:rPr>
                <w:color w:val="000000"/>
                <w:sz w:val="16"/>
                <w:szCs w:val="16"/>
              </w:rPr>
            </w:pPr>
            <w:r w:rsidRPr="007C770B">
              <w:rPr>
                <w:color w:val="000000"/>
                <w:sz w:val="16"/>
                <w:szCs w:val="16"/>
              </w:rPr>
              <w:t>12.74</w:t>
            </w:r>
          </w:p>
        </w:tc>
        <w:tc>
          <w:tcPr>
            <w:tcW w:w="1109" w:type="dxa"/>
            <w:tcBorders>
              <w:top w:val="nil"/>
              <w:left w:val="nil"/>
              <w:right w:val="nil"/>
            </w:tcBorders>
            <w:shd w:val="clear" w:color="auto" w:fill="CCFFCC"/>
            <w:noWrap/>
            <w:vAlign w:val="center"/>
          </w:tcPr>
          <w:p w14:paraId="25C2317F" w14:textId="77777777" w:rsidR="00722B14" w:rsidRPr="007C770B" w:rsidRDefault="00722B14" w:rsidP="00DD3BAE">
            <w:pPr>
              <w:spacing w:before="0" w:after="0"/>
              <w:jc w:val="center"/>
              <w:rPr>
                <w:color w:val="000000"/>
                <w:sz w:val="16"/>
                <w:szCs w:val="16"/>
              </w:rPr>
            </w:pPr>
            <w:r w:rsidRPr="007C770B">
              <w:rPr>
                <w:color w:val="000000"/>
                <w:sz w:val="16"/>
                <w:szCs w:val="16"/>
              </w:rPr>
              <w:t>-7.93 ±0.58</w:t>
            </w:r>
          </w:p>
        </w:tc>
        <w:tc>
          <w:tcPr>
            <w:tcW w:w="1109" w:type="dxa"/>
            <w:tcBorders>
              <w:top w:val="nil"/>
              <w:left w:val="nil"/>
              <w:right w:val="nil"/>
            </w:tcBorders>
            <w:shd w:val="clear" w:color="auto" w:fill="auto"/>
            <w:vAlign w:val="center"/>
          </w:tcPr>
          <w:p w14:paraId="25F1A935" w14:textId="77777777" w:rsidR="00722B14" w:rsidRPr="007C770B" w:rsidRDefault="00722B14" w:rsidP="00DD3BAE">
            <w:pPr>
              <w:spacing w:before="0" w:after="0"/>
              <w:jc w:val="center"/>
              <w:rPr>
                <w:color w:val="000000"/>
                <w:sz w:val="16"/>
                <w:szCs w:val="16"/>
              </w:rPr>
            </w:pPr>
            <w:r w:rsidRPr="007C770B">
              <w:rPr>
                <w:color w:val="000000"/>
                <w:sz w:val="16"/>
                <w:szCs w:val="16"/>
              </w:rPr>
              <w:t>0.9 ±1.41</w:t>
            </w:r>
          </w:p>
        </w:tc>
        <w:tc>
          <w:tcPr>
            <w:tcW w:w="797" w:type="dxa"/>
            <w:tcBorders>
              <w:top w:val="nil"/>
              <w:left w:val="nil"/>
              <w:right w:val="nil"/>
            </w:tcBorders>
            <w:shd w:val="clear" w:color="auto" w:fill="auto"/>
            <w:vAlign w:val="center"/>
          </w:tcPr>
          <w:p w14:paraId="42F52873"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521DA795" w14:textId="77777777" w:rsidR="00722B14" w:rsidRDefault="00722B14" w:rsidP="00DD3BAE">
            <w:pPr>
              <w:spacing w:before="0" w:after="0"/>
              <w:jc w:val="center"/>
              <w:rPr>
                <w:i/>
                <w:color w:val="000000"/>
                <w:sz w:val="16"/>
                <w:szCs w:val="16"/>
              </w:rPr>
            </w:pPr>
          </w:p>
        </w:tc>
      </w:tr>
      <w:tr w:rsidR="00722B14" w14:paraId="3B808F7F" w14:textId="77777777" w:rsidTr="00DE79BD">
        <w:trPr>
          <w:cantSplit/>
          <w:trHeight w:val="227"/>
          <w:jc w:val="center"/>
        </w:trPr>
        <w:tc>
          <w:tcPr>
            <w:tcW w:w="1077" w:type="dxa"/>
            <w:tcBorders>
              <w:left w:val="nil"/>
              <w:bottom w:val="single" w:sz="4" w:space="0" w:color="auto"/>
              <w:right w:val="nil"/>
            </w:tcBorders>
            <w:shd w:val="clear" w:color="auto" w:fill="auto"/>
            <w:vAlign w:val="center"/>
          </w:tcPr>
          <w:p w14:paraId="25E9F763"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1BC46AA8"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593C72C4"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7F0BAAD5"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7DA5A137" w14:textId="77777777" w:rsidR="00722B14" w:rsidRPr="0087784B" w:rsidRDefault="00722B14" w:rsidP="00DD3BAE">
            <w:pPr>
              <w:spacing w:before="0" w:after="0"/>
              <w:jc w:val="center"/>
              <w:rPr>
                <w:color w:val="000000"/>
                <w:sz w:val="16"/>
                <w:szCs w:val="16"/>
              </w:rPr>
            </w:pPr>
            <w:r w:rsidRPr="0087784B">
              <w:rPr>
                <w:color w:val="000000"/>
                <w:sz w:val="16"/>
                <w:szCs w:val="16"/>
              </w:rPr>
              <w:t>43.11</w:t>
            </w:r>
          </w:p>
        </w:tc>
        <w:tc>
          <w:tcPr>
            <w:tcW w:w="661" w:type="dxa"/>
            <w:tcBorders>
              <w:left w:val="nil"/>
              <w:bottom w:val="single" w:sz="4" w:space="0" w:color="auto"/>
              <w:right w:val="nil"/>
            </w:tcBorders>
            <w:shd w:val="clear" w:color="auto" w:fill="CCFFCC"/>
            <w:vAlign w:val="center"/>
          </w:tcPr>
          <w:p w14:paraId="5626B44A" w14:textId="77777777" w:rsidR="00722B14" w:rsidRPr="0087784B" w:rsidRDefault="00722B14" w:rsidP="00DD3BAE">
            <w:pPr>
              <w:spacing w:before="0" w:after="0"/>
              <w:jc w:val="center"/>
              <w:rPr>
                <w:color w:val="000000"/>
                <w:sz w:val="16"/>
                <w:szCs w:val="16"/>
              </w:rPr>
            </w:pPr>
            <w:r w:rsidRPr="0087784B">
              <w:rPr>
                <w:color w:val="000000"/>
                <w:sz w:val="16"/>
                <w:szCs w:val="16"/>
              </w:rPr>
              <w:t>12.56</w:t>
            </w:r>
          </w:p>
        </w:tc>
        <w:tc>
          <w:tcPr>
            <w:tcW w:w="1109" w:type="dxa"/>
            <w:tcBorders>
              <w:left w:val="nil"/>
              <w:bottom w:val="single" w:sz="4" w:space="0" w:color="auto"/>
              <w:right w:val="nil"/>
            </w:tcBorders>
            <w:shd w:val="clear" w:color="auto" w:fill="CCFFCC"/>
            <w:noWrap/>
            <w:vAlign w:val="center"/>
          </w:tcPr>
          <w:p w14:paraId="25DF57B9" w14:textId="77777777" w:rsidR="00722B14" w:rsidRPr="0087784B" w:rsidRDefault="00722B14" w:rsidP="00DD3BAE">
            <w:pPr>
              <w:spacing w:before="0" w:after="0"/>
              <w:jc w:val="center"/>
              <w:rPr>
                <w:color w:val="000000"/>
                <w:sz w:val="16"/>
                <w:szCs w:val="16"/>
              </w:rPr>
            </w:pPr>
            <w:r w:rsidRPr="0087784B">
              <w:rPr>
                <w:color w:val="000000"/>
                <w:sz w:val="16"/>
                <w:szCs w:val="16"/>
              </w:rPr>
              <w:t>-9.33 ±0.14</w:t>
            </w:r>
          </w:p>
        </w:tc>
        <w:tc>
          <w:tcPr>
            <w:tcW w:w="1109" w:type="dxa"/>
            <w:tcBorders>
              <w:left w:val="nil"/>
              <w:bottom w:val="single" w:sz="4" w:space="0" w:color="auto"/>
              <w:right w:val="nil"/>
            </w:tcBorders>
            <w:shd w:val="clear" w:color="auto" w:fill="auto"/>
            <w:vAlign w:val="center"/>
          </w:tcPr>
          <w:p w14:paraId="043509B6" w14:textId="77777777" w:rsidR="00722B14" w:rsidRPr="0087784B" w:rsidRDefault="00722B14" w:rsidP="00DD3BAE">
            <w:pPr>
              <w:spacing w:before="0" w:after="0"/>
              <w:jc w:val="center"/>
              <w:rPr>
                <w:color w:val="000000"/>
                <w:sz w:val="16"/>
                <w:szCs w:val="16"/>
              </w:rPr>
            </w:pPr>
            <w:r w:rsidRPr="0087784B">
              <w:rPr>
                <w:color w:val="000000"/>
                <w:sz w:val="16"/>
                <w:szCs w:val="16"/>
              </w:rPr>
              <w:t>0.25 ±1.28</w:t>
            </w:r>
          </w:p>
        </w:tc>
        <w:tc>
          <w:tcPr>
            <w:tcW w:w="797" w:type="dxa"/>
            <w:tcBorders>
              <w:left w:val="nil"/>
              <w:bottom w:val="single" w:sz="4" w:space="0" w:color="auto"/>
              <w:right w:val="nil"/>
            </w:tcBorders>
            <w:shd w:val="clear" w:color="auto" w:fill="auto"/>
            <w:vAlign w:val="center"/>
          </w:tcPr>
          <w:p w14:paraId="01C232C2"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1221F354" w14:textId="77777777" w:rsidR="00722B14" w:rsidRDefault="00722B14" w:rsidP="00DD3BAE">
            <w:pPr>
              <w:spacing w:before="0" w:after="0"/>
              <w:jc w:val="center"/>
              <w:rPr>
                <w:i/>
                <w:color w:val="000000"/>
                <w:sz w:val="16"/>
                <w:szCs w:val="16"/>
              </w:rPr>
            </w:pPr>
          </w:p>
        </w:tc>
      </w:tr>
      <w:tr w:rsidR="00722B14" w14:paraId="7A859417" w14:textId="77777777" w:rsidTr="00DE79BD">
        <w:trPr>
          <w:cantSplit/>
          <w:trHeight w:val="227"/>
          <w:jc w:val="center"/>
        </w:trPr>
        <w:tc>
          <w:tcPr>
            <w:tcW w:w="1077" w:type="dxa"/>
            <w:tcBorders>
              <w:top w:val="single" w:sz="4" w:space="0" w:color="auto"/>
            </w:tcBorders>
            <w:vAlign w:val="center"/>
            <w:hideMark/>
          </w:tcPr>
          <w:p w14:paraId="4E0DCB89" w14:textId="77777777" w:rsidR="00722B14" w:rsidRDefault="00722B14" w:rsidP="00DD3BAE">
            <w:pPr>
              <w:spacing w:before="0" w:after="0"/>
              <w:jc w:val="center"/>
              <w:rPr>
                <w:color w:val="000000"/>
                <w:sz w:val="16"/>
                <w:szCs w:val="16"/>
              </w:rPr>
            </w:pPr>
            <w:r>
              <w:rPr>
                <w:color w:val="000000"/>
                <w:sz w:val="16"/>
                <w:szCs w:val="16"/>
              </w:rPr>
              <w:t>Fitzroy</w:t>
            </w:r>
          </w:p>
        </w:tc>
        <w:tc>
          <w:tcPr>
            <w:tcW w:w="1115" w:type="dxa"/>
            <w:tcBorders>
              <w:top w:val="single" w:sz="4" w:space="0" w:color="auto"/>
              <w:left w:val="nil"/>
              <w:bottom w:val="nil"/>
              <w:right w:val="nil"/>
            </w:tcBorders>
            <w:noWrap/>
            <w:vAlign w:val="center"/>
            <w:hideMark/>
          </w:tcPr>
          <w:p w14:paraId="02461CCB" w14:textId="77777777" w:rsidR="00722B14" w:rsidRDefault="00722B14" w:rsidP="00DD3BAE">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nil"/>
              <w:right w:val="nil"/>
            </w:tcBorders>
            <w:noWrap/>
            <w:vAlign w:val="center"/>
            <w:hideMark/>
          </w:tcPr>
          <w:p w14:paraId="56CB38F0"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4D543AF0"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3365DB4F" w14:textId="77777777" w:rsidR="00722B14" w:rsidRDefault="00722B14" w:rsidP="00DD3BAE">
            <w:pPr>
              <w:spacing w:before="0" w:after="0"/>
              <w:jc w:val="center"/>
              <w:rPr>
                <w:color w:val="000000"/>
                <w:sz w:val="16"/>
                <w:szCs w:val="16"/>
              </w:rPr>
            </w:pPr>
            <w:r>
              <w:rPr>
                <w:color w:val="000000"/>
                <w:sz w:val="16"/>
                <w:szCs w:val="16"/>
              </w:rPr>
              <w:t>39.56</w:t>
            </w:r>
          </w:p>
        </w:tc>
        <w:tc>
          <w:tcPr>
            <w:tcW w:w="661" w:type="dxa"/>
            <w:tcBorders>
              <w:top w:val="single" w:sz="4" w:space="0" w:color="auto"/>
              <w:left w:val="nil"/>
              <w:bottom w:val="nil"/>
              <w:right w:val="nil"/>
            </w:tcBorders>
            <w:vAlign w:val="center"/>
            <w:hideMark/>
          </w:tcPr>
          <w:p w14:paraId="659B4289" w14:textId="77777777" w:rsidR="00722B14" w:rsidRDefault="00722B14" w:rsidP="00DD3BAE">
            <w:pPr>
              <w:spacing w:before="0" w:after="0"/>
              <w:jc w:val="center"/>
              <w:rPr>
                <w:color w:val="000000"/>
                <w:sz w:val="16"/>
                <w:szCs w:val="16"/>
              </w:rPr>
            </w:pPr>
            <w:r>
              <w:rPr>
                <w:color w:val="000000"/>
                <w:sz w:val="16"/>
                <w:szCs w:val="16"/>
              </w:rPr>
              <w:t>22.70</w:t>
            </w:r>
          </w:p>
        </w:tc>
        <w:tc>
          <w:tcPr>
            <w:tcW w:w="1109" w:type="dxa"/>
            <w:tcBorders>
              <w:top w:val="single" w:sz="4" w:space="0" w:color="auto"/>
              <w:left w:val="nil"/>
              <w:bottom w:val="nil"/>
              <w:right w:val="nil"/>
            </w:tcBorders>
            <w:shd w:val="clear" w:color="auto" w:fill="CCFFCC"/>
            <w:noWrap/>
            <w:vAlign w:val="center"/>
            <w:hideMark/>
          </w:tcPr>
          <w:p w14:paraId="10545DA3" w14:textId="77777777" w:rsidR="00722B14" w:rsidRDefault="00722B14" w:rsidP="00DD3BAE">
            <w:pPr>
              <w:spacing w:before="0" w:after="0"/>
              <w:jc w:val="center"/>
              <w:rPr>
                <w:color w:val="000000"/>
                <w:sz w:val="16"/>
                <w:szCs w:val="16"/>
              </w:rPr>
            </w:pPr>
            <w:r>
              <w:rPr>
                <w:color w:val="000000"/>
                <w:sz w:val="16"/>
                <w:szCs w:val="16"/>
              </w:rPr>
              <w:t>-9.51 ±0.23</w:t>
            </w:r>
          </w:p>
        </w:tc>
        <w:tc>
          <w:tcPr>
            <w:tcW w:w="1109" w:type="dxa"/>
            <w:tcBorders>
              <w:top w:val="single" w:sz="4" w:space="0" w:color="auto"/>
              <w:left w:val="nil"/>
              <w:bottom w:val="nil"/>
              <w:right w:val="nil"/>
            </w:tcBorders>
            <w:vAlign w:val="center"/>
            <w:hideMark/>
          </w:tcPr>
          <w:p w14:paraId="0F98DDDB" w14:textId="77777777" w:rsidR="00722B14" w:rsidRDefault="00722B14" w:rsidP="00DD3BAE">
            <w:pPr>
              <w:spacing w:before="0" w:after="0"/>
              <w:jc w:val="center"/>
              <w:rPr>
                <w:color w:val="000000"/>
                <w:sz w:val="16"/>
                <w:szCs w:val="16"/>
              </w:rPr>
            </w:pPr>
            <w:r>
              <w:rPr>
                <w:color w:val="000000"/>
                <w:sz w:val="16"/>
                <w:szCs w:val="16"/>
              </w:rPr>
              <w:t>2.27 ±0.13</w:t>
            </w:r>
          </w:p>
        </w:tc>
        <w:tc>
          <w:tcPr>
            <w:tcW w:w="797" w:type="dxa"/>
            <w:tcBorders>
              <w:top w:val="single" w:sz="4" w:space="0" w:color="auto"/>
              <w:left w:val="nil"/>
              <w:bottom w:val="nil"/>
              <w:right w:val="nil"/>
            </w:tcBorders>
            <w:vAlign w:val="center"/>
            <w:hideMark/>
          </w:tcPr>
          <w:p w14:paraId="7683D167"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3A055B1F"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4B02138C" w14:textId="77777777" w:rsidTr="00DE79BD">
        <w:trPr>
          <w:cantSplit/>
          <w:trHeight w:val="227"/>
          <w:jc w:val="center"/>
        </w:trPr>
        <w:tc>
          <w:tcPr>
            <w:tcW w:w="1077" w:type="dxa"/>
            <w:vAlign w:val="center"/>
          </w:tcPr>
          <w:p w14:paraId="718F42C5" w14:textId="77777777" w:rsidR="00722B14" w:rsidRDefault="00722B14" w:rsidP="00DD3BAE">
            <w:pPr>
              <w:spacing w:before="0" w:after="0"/>
              <w:jc w:val="center"/>
              <w:rPr>
                <w:color w:val="000000"/>
                <w:sz w:val="16"/>
                <w:szCs w:val="16"/>
              </w:rPr>
            </w:pPr>
          </w:p>
        </w:tc>
        <w:tc>
          <w:tcPr>
            <w:tcW w:w="1115" w:type="dxa"/>
            <w:noWrap/>
            <w:vAlign w:val="center"/>
          </w:tcPr>
          <w:p w14:paraId="200168B1"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711A2225" w14:textId="77777777" w:rsidR="00722B14" w:rsidRDefault="00722B14" w:rsidP="00DD3BAE">
            <w:pPr>
              <w:spacing w:before="0" w:after="0"/>
              <w:jc w:val="center"/>
              <w:rPr>
                <w:color w:val="000000"/>
                <w:sz w:val="16"/>
                <w:szCs w:val="16"/>
              </w:rPr>
            </w:pPr>
          </w:p>
        </w:tc>
        <w:tc>
          <w:tcPr>
            <w:tcW w:w="621" w:type="dxa"/>
            <w:vAlign w:val="center"/>
            <w:hideMark/>
          </w:tcPr>
          <w:p w14:paraId="129CC919"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23DB8E0A" w14:textId="77777777" w:rsidR="00722B14" w:rsidRDefault="00722B14" w:rsidP="00DD3BAE">
            <w:pPr>
              <w:spacing w:before="0" w:after="0"/>
              <w:jc w:val="center"/>
              <w:rPr>
                <w:color w:val="000000"/>
                <w:sz w:val="16"/>
                <w:szCs w:val="16"/>
              </w:rPr>
            </w:pPr>
            <w:r>
              <w:rPr>
                <w:color w:val="000000"/>
                <w:sz w:val="16"/>
                <w:szCs w:val="16"/>
              </w:rPr>
              <w:t>36.53</w:t>
            </w:r>
          </w:p>
        </w:tc>
        <w:tc>
          <w:tcPr>
            <w:tcW w:w="661" w:type="dxa"/>
            <w:shd w:val="clear" w:color="auto" w:fill="CCFFCC"/>
            <w:vAlign w:val="center"/>
            <w:hideMark/>
          </w:tcPr>
          <w:p w14:paraId="38E4D3D3" w14:textId="77777777" w:rsidR="00722B14" w:rsidRDefault="00722B14" w:rsidP="00DD3BAE">
            <w:pPr>
              <w:spacing w:before="0" w:after="0"/>
              <w:jc w:val="center"/>
              <w:rPr>
                <w:color w:val="000000"/>
                <w:sz w:val="16"/>
                <w:szCs w:val="16"/>
              </w:rPr>
            </w:pPr>
            <w:r>
              <w:rPr>
                <w:color w:val="000000"/>
                <w:sz w:val="16"/>
                <w:szCs w:val="16"/>
              </w:rPr>
              <w:t>18.45</w:t>
            </w:r>
          </w:p>
        </w:tc>
        <w:tc>
          <w:tcPr>
            <w:tcW w:w="1109" w:type="dxa"/>
            <w:shd w:val="clear" w:color="auto" w:fill="CCFFCC"/>
            <w:noWrap/>
            <w:vAlign w:val="center"/>
            <w:hideMark/>
          </w:tcPr>
          <w:p w14:paraId="3D9F165A" w14:textId="77777777" w:rsidR="00722B14" w:rsidRDefault="00722B14" w:rsidP="00DD3BAE">
            <w:pPr>
              <w:spacing w:before="0" w:after="0"/>
              <w:jc w:val="center"/>
              <w:rPr>
                <w:color w:val="000000"/>
                <w:sz w:val="16"/>
                <w:szCs w:val="16"/>
              </w:rPr>
            </w:pPr>
            <w:r>
              <w:rPr>
                <w:color w:val="000000"/>
                <w:sz w:val="16"/>
                <w:szCs w:val="16"/>
              </w:rPr>
              <w:t>-9.19 ±0.25</w:t>
            </w:r>
          </w:p>
        </w:tc>
        <w:tc>
          <w:tcPr>
            <w:tcW w:w="1109" w:type="dxa"/>
            <w:vAlign w:val="center"/>
            <w:hideMark/>
          </w:tcPr>
          <w:p w14:paraId="1B29463A" w14:textId="77777777" w:rsidR="00722B14" w:rsidRDefault="00722B14" w:rsidP="00DD3BAE">
            <w:pPr>
              <w:spacing w:before="0" w:after="0"/>
              <w:jc w:val="center"/>
              <w:rPr>
                <w:color w:val="000000"/>
                <w:sz w:val="16"/>
                <w:szCs w:val="16"/>
              </w:rPr>
            </w:pPr>
            <w:r>
              <w:rPr>
                <w:color w:val="000000"/>
                <w:sz w:val="16"/>
                <w:szCs w:val="16"/>
              </w:rPr>
              <w:t>2.27 ±0.28</w:t>
            </w:r>
          </w:p>
        </w:tc>
        <w:tc>
          <w:tcPr>
            <w:tcW w:w="797" w:type="dxa"/>
            <w:vAlign w:val="center"/>
          </w:tcPr>
          <w:p w14:paraId="1977D625" w14:textId="77777777" w:rsidR="00722B14" w:rsidRDefault="00722B14" w:rsidP="00DD3BAE">
            <w:pPr>
              <w:spacing w:before="0" w:after="0"/>
              <w:jc w:val="center"/>
              <w:rPr>
                <w:i/>
                <w:color w:val="000000"/>
                <w:sz w:val="16"/>
                <w:szCs w:val="16"/>
              </w:rPr>
            </w:pPr>
          </w:p>
        </w:tc>
        <w:tc>
          <w:tcPr>
            <w:tcW w:w="1557" w:type="dxa"/>
            <w:noWrap/>
            <w:vAlign w:val="center"/>
          </w:tcPr>
          <w:p w14:paraId="255F1053" w14:textId="77777777" w:rsidR="00722B14" w:rsidRDefault="00722B14" w:rsidP="00DD3BAE">
            <w:pPr>
              <w:spacing w:before="0" w:after="0"/>
              <w:jc w:val="center"/>
              <w:rPr>
                <w:i/>
                <w:color w:val="000000"/>
                <w:sz w:val="16"/>
                <w:szCs w:val="16"/>
              </w:rPr>
            </w:pPr>
          </w:p>
        </w:tc>
      </w:tr>
      <w:tr w:rsidR="00722B14" w14:paraId="7143BDC6" w14:textId="77777777" w:rsidTr="00DE79BD">
        <w:trPr>
          <w:cantSplit/>
          <w:trHeight w:val="227"/>
          <w:jc w:val="center"/>
        </w:trPr>
        <w:tc>
          <w:tcPr>
            <w:tcW w:w="1077" w:type="dxa"/>
            <w:vAlign w:val="center"/>
          </w:tcPr>
          <w:p w14:paraId="29B4C212"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1685E8B6"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2A3D3C20"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0A385F56"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2FAE1333" w14:textId="77777777" w:rsidR="00722B14" w:rsidRDefault="00722B14" w:rsidP="00DD3BAE">
            <w:pPr>
              <w:spacing w:before="0" w:after="0"/>
              <w:jc w:val="center"/>
              <w:rPr>
                <w:color w:val="000000"/>
                <w:sz w:val="16"/>
                <w:szCs w:val="16"/>
              </w:rPr>
            </w:pPr>
            <w:r>
              <w:rPr>
                <w:color w:val="000000"/>
                <w:sz w:val="16"/>
                <w:szCs w:val="16"/>
              </w:rPr>
              <w:t>35.59</w:t>
            </w:r>
          </w:p>
        </w:tc>
        <w:tc>
          <w:tcPr>
            <w:tcW w:w="661" w:type="dxa"/>
            <w:tcBorders>
              <w:top w:val="nil"/>
              <w:left w:val="nil"/>
              <w:right w:val="nil"/>
            </w:tcBorders>
            <w:vAlign w:val="center"/>
            <w:hideMark/>
          </w:tcPr>
          <w:p w14:paraId="442364C4" w14:textId="77777777" w:rsidR="00722B14" w:rsidRDefault="00722B14" w:rsidP="00DD3BAE">
            <w:pPr>
              <w:spacing w:before="0" w:after="0"/>
              <w:jc w:val="center"/>
              <w:rPr>
                <w:color w:val="000000"/>
                <w:sz w:val="16"/>
                <w:szCs w:val="16"/>
              </w:rPr>
            </w:pPr>
            <w:r>
              <w:rPr>
                <w:color w:val="000000"/>
                <w:sz w:val="16"/>
                <w:szCs w:val="16"/>
              </w:rPr>
              <w:t>20.27</w:t>
            </w:r>
          </w:p>
        </w:tc>
        <w:tc>
          <w:tcPr>
            <w:tcW w:w="1109" w:type="dxa"/>
            <w:tcBorders>
              <w:top w:val="nil"/>
              <w:left w:val="nil"/>
              <w:right w:val="nil"/>
            </w:tcBorders>
            <w:shd w:val="clear" w:color="auto" w:fill="CCFFCC"/>
            <w:noWrap/>
            <w:vAlign w:val="center"/>
            <w:hideMark/>
          </w:tcPr>
          <w:p w14:paraId="1CDD99DB" w14:textId="77777777" w:rsidR="00722B14" w:rsidRDefault="00722B14" w:rsidP="00DD3BAE">
            <w:pPr>
              <w:spacing w:before="0" w:after="0"/>
              <w:jc w:val="center"/>
              <w:rPr>
                <w:color w:val="000000"/>
                <w:sz w:val="16"/>
                <w:szCs w:val="16"/>
              </w:rPr>
            </w:pPr>
            <w:r>
              <w:rPr>
                <w:color w:val="000000"/>
                <w:sz w:val="16"/>
                <w:szCs w:val="16"/>
              </w:rPr>
              <w:t>-9.27 ±0.17</w:t>
            </w:r>
          </w:p>
        </w:tc>
        <w:tc>
          <w:tcPr>
            <w:tcW w:w="1109" w:type="dxa"/>
            <w:tcBorders>
              <w:top w:val="nil"/>
              <w:left w:val="nil"/>
              <w:right w:val="nil"/>
            </w:tcBorders>
            <w:vAlign w:val="center"/>
            <w:hideMark/>
          </w:tcPr>
          <w:p w14:paraId="7C643A8D" w14:textId="77777777" w:rsidR="00722B14" w:rsidRDefault="00722B14" w:rsidP="00DD3BAE">
            <w:pPr>
              <w:spacing w:before="0" w:after="0"/>
              <w:jc w:val="center"/>
              <w:rPr>
                <w:color w:val="000000"/>
                <w:sz w:val="16"/>
                <w:szCs w:val="16"/>
              </w:rPr>
            </w:pPr>
            <w:r>
              <w:rPr>
                <w:color w:val="000000"/>
                <w:sz w:val="16"/>
                <w:szCs w:val="16"/>
              </w:rPr>
              <w:t>1.84 ±0.13</w:t>
            </w:r>
          </w:p>
        </w:tc>
        <w:tc>
          <w:tcPr>
            <w:tcW w:w="797" w:type="dxa"/>
            <w:tcBorders>
              <w:top w:val="nil"/>
              <w:left w:val="nil"/>
              <w:right w:val="nil"/>
            </w:tcBorders>
            <w:vAlign w:val="center"/>
          </w:tcPr>
          <w:p w14:paraId="2C2724D1"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74BC277C" w14:textId="77777777" w:rsidR="00722B14" w:rsidRDefault="00722B14" w:rsidP="00DD3BAE">
            <w:pPr>
              <w:spacing w:before="0" w:after="0"/>
              <w:jc w:val="center"/>
              <w:rPr>
                <w:i/>
                <w:color w:val="000000"/>
                <w:sz w:val="16"/>
                <w:szCs w:val="16"/>
              </w:rPr>
            </w:pPr>
          </w:p>
        </w:tc>
      </w:tr>
      <w:tr w:rsidR="00722B14" w14:paraId="3DFF8982" w14:textId="77777777" w:rsidTr="00DE79BD">
        <w:trPr>
          <w:cantSplit/>
          <w:trHeight w:val="227"/>
          <w:jc w:val="center"/>
        </w:trPr>
        <w:tc>
          <w:tcPr>
            <w:tcW w:w="1077" w:type="dxa"/>
            <w:tcBorders>
              <w:top w:val="nil"/>
              <w:left w:val="nil"/>
              <w:right w:val="nil"/>
            </w:tcBorders>
            <w:shd w:val="clear" w:color="auto" w:fill="auto"/>
            <w:vAlign w:val="center"/>
          </w:tcPr>
          <w:p w14:paraId="4ED44D57"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41A7D88C"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5F2B59CF"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1D214A12"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21234F49" w14:textId="77777777" w:rsidR="00722B14" w:rsidRPr="007C770B" w:rsidRDefault="00722B14" w:rsidP="00DD3BAE">
            <w:pPr>
              <w:spacing w:before="0" w:after="0"/>
              <w:jc w:val="center"/>
              <w:rPr>
                <w:color w:val="000000"/>
                <w:sz w:val="16"/>
                <w:szCs w:val="16"/>
              </w:rPr>
            </w:pPr>
            <w:r w:rsidRPr="007C770B">
              <w:rPr>
                <w:color w:val="000000"/>
                <w:sz w:val="16"/>
                <w:szCs w:val="16"/>
              </w:rPr>
              <w:t>35.02</w:t>
            </w:r>
          </w:p>
        </w:tc>
        <w:tc>
          <w:tcPr>
            <w:tcW w:w="661" w:type="dxa"/>
            <w:tcBorders>
              <w:top w:val="nil"/>
              <w:left w:val="nil"/>
              <w:right w:val="nil"/>
            </w:tcBorders>
            <w:shd w:val="clear" w:color="auto" w:fill="CCFFCC"/>
            <w:vAlign w:val="center"/>
          </w:tcPr>
          <w:p w14:paraId="62A56694" w14:textId="77777777" w:rsidR="00722B14" w:rsidRPr="007C770B" w:rsidRDefault="00722B14" w:rsidP="00DD3BAE">
            <w:pPr>
              <w:spacing w:before="0" w:after="0"/>
              <w:jc w:val="center"/>
              <w:rPr>
                <w:color w:val="000000"/>
                <w:sz w:val="16"/>
                <w:szCs w:val="16"/>
              </w:rPr>
            </w:pPr>
            <w:r w:rsidRPr="007C770B">
              <w:rPr>
                <w:color w:val="000000"/>
                <w:sz w:val="16"/>
                <w:szCs w:val="16"/>
              </w:rPr>
              <w:t>19.46</w:t>
            </w:r>
          </w:p>
        </w:tc>
        <w:tc>
          <w:tcPr>
            <w:tcW w:w="1109" w:type="dxa"/>
            <w:tcBorders>
              <w:top w:val="nil"/>
              <w:left w:val="nil"/>
              <w:right w:val="nil"/>
            </w:tcBorders>
            <w:shd w:val="clear" w:color="auto" w:fill="CCFFCC"/>
            <w:noWrap/>
            <w:vAlign w:val="center"/>
          </w:tcPr>
          <w:p w14:paraId="7E5D2B68" w14:textId="77777777" w:rsidR="00722B14" w:rsidRPr="007C770B" w:rsidRDefault="00722B14" w:rsidP="00DD3BAE">
            <w:pPr>
              <w:spacing w:before="0" w:after="0"/>
              <w:jc w:val="center"/>
              <w:rPr>
                <w:color w:val="000000"/>
                <w:sz w:val="16"/>
                <w:szCs w:val="16"/>
              </w:rPr>
            </w:pPr>
            <w:r w:rsidRPr="007C770B">
              <w:rPr>
                <w:color w:val="000000"/>
                <w:sz w:val="16"/>
                <w:szCs w:val="16"/>
              </w:rPr>
              <w:t>-10.53 ±0.4</w:t>
            </w:r>
          </w:p>
        </w:tc>
        <w:tc>
          <w:tcPr>
            <w:tcW w:w="1109" w:type="dxa"/>
            <w:tcBorders>
              <w:top w:val="nil"/>
              <w:left w:val="nil"/>
              <w:right w:val="nil"/>
            </w:tcBorders>
            <w:shd w:val="clear" w:color="auto" w:fill="auto"/>
            <w:vAlign w:val="center"/>
          </w:tcPr>
          <w:p w14:paraId="57572758" w14:textId="77777777" w:rsidR="00722B14" w:rsidRPr="007C770B" w:rsidRDefault="00722B14" w:rsidP="00DD3BAE">
            <w:pPr>
              <w:spacing w:before="0" w:after="0"/>
              <w:jc w:val="center"/>
              <w:rPr>
                <w:color w:val="000000"/>
                <w:sz w:val="16"/>
                <w:szCs w:val="16"/>
              </w:rPr>
            </w:pPr>
            <w:r w:rsidRPr="007C770B">
              <w:rPr>
                <w:color w:val="000000"/>
                <w:sz w:val="16"/>
                <w:szCs w:val="16"/>
              </w:rPr>
              <w:t>0.39 ±1.17</w:t>
            </w:r>
          </w:p>
        </w:tc>
        <w:tc>
          <w:tcPr>
            <w:tcW w:w="797" w:type="dxa"/>
            <w:tcBorders>
              <w:top w:val="nil"/>
              <w:left w:val="nil"/>
              <w:right w:val="nil"/>
            </w:tcBorders>
            <w:shd w:val="clear" w:color="auto" w:fill="auto"/>
            <w:vAlign w:val="center"/>
          </w:tcPr>
          <w:p w14:paraId="458D50D5"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5962CA81" w14:textId="77777777" w:rsidR="00722B14" w:rsidRDefault="00722B14" w:rsidP="00DD3BAE">
            <w:pPr>
              <w:spacing w:before="0" w:after="0"/>
              <w:jc w:val="center"/>
              <w:rPr>
                <w:i/>
                <w:color w:val="000000"/>
                <w:sz w:val="16"/>
                <w:szCs w:val="16"/>
              </w:rPr>
            </w:pPr>
          </w:p>
        </w:tc>
      </w:tr>
      <w:tr w:rsidR="00722B14" w14:paraId="762E5AE8" w14:textId="77777777" w:rsidTr="00DE79BD">
        <w:trPr>
          <w:cantSplit/>
          <w:trHeight w:val="227"/>
          <w:jc w:val="center"/>
        </w:trPr>
        <w:tc>
          <w:tcPr>
            <w:tcW w:w="1077" w:type="dxa"/>
            <w:tcBorders>
              <w:left w:val="nil"/>
              <w:right w:val="nil"/>
            </w:tcBorders>
            <w:shd w:val="clear" w:color="auto" w:fill="auto"/>
            <w:vAlign w:val="center"/>
          </w:tcPr>
          <w:p w14:paraId="0F4B277B"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513658B3"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2CF59BA7"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65611A3A"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593804A0" w14:textId="77777777" w:rsidR="00722B14" w:rsidRPr="0087784B" w:rsidRDefault="00722B14" w:rsidP="00DD3BAE">
            <w:pPr>
              <w:spacing w:before="0" w:after="0"/>
              <w:jc w:val="center"/>
              <w:rPr>
                <w:color w:val="000000"/>
                <w:sz w:val="16"/>
                <w:szCs w:val="16"/>
              </w:rPr>
            </w:pPr>
            <w:r w:rsidRPr="0087784B">
              <w:rPr>
                <w:color w:val="000000"/>
                <w:sz w:val="16"/>
                <w:szCs w:val="16"/>
              </w:rPr>
              <w:t>38.95</w:t>
            </w:r>
          </w:p>
        </w:tc>
        <w:tc>
          <w:tcPr>
            <w:tcW w:w="661" w:type="dxa"/>
            <w:tcBorders>
              <w:left w:val="nil"/>
              <w:bottom w:val="single" w:sz="4" w:space="0" w:color="auto"/>
              <w:right w:val="nil"/>
            </w:tcBorders>
            <w:shd w:val="clear" w:color="auto" w:fill="CCFFCC"/>
            <w:vAlign w:val="center"/>
          </w:tcPr>
          <w:p w14:paraId="55165AFF" w14:textId="77777777" w:rsidR="00722B14" w:rsidRPr="0087784B" w:rsidRDefault="00722B14" w:rsidP="00DD3BAE">
            <w:pPr>
              <w:spacing w:before="0" w:after="0"/>
              <w:jc w:val="center"/>
              <w:rPr>
                <w:color w:val="000000"/>
                <w:sz w:val="16"/>
                <w:szCs w:val="16"/>
              </w:rPr>
            </w:pPr>
            <w:r w:rsidRPr="0087784B">
              <w:rPr>
                <w:color w:val="000000"/>
                <w:sz w:val="16"/>
                <w:szCs w:val="16"/>
              </w:rPr>
              <w:t>17.58</w:t>
            </w:r>
          </w:p>
        </w:tc>
        <w:tc>
          <w:tcPr>
            <w:tcW w:w="1109" w:type="dxa"/>
            <w:tcBorders>
              <w:left w:val="nil"/>
              <w:bottom w:val="single" w:sz="4" w:space="0" w:color="auto"/>
              <w:right w:val="nil"/>
            </w:tcBorders>
            <w:shd w:val="clear" w:color="auto" w:fill="CCFFCC"/>
            <w:noWrap/>
            <w:vAlign w:val="center"/>
          </w:tcPr>
          <w:p w14:paraId="55ADBF8D" w14:textId="77777777" w:rsidR="00722B14" w:rsidRPr="0087784B" w:rsidRDefault="00722B14" w:rsidP="00DD3BAE">
            <w:pPr>
              <w:spacing w:before="0" w:after="0"/>
              <w:jc w:val="center"/>
              <w:rPr>
                <w:color w:val="000000"/>
                <w:sz w:val="16"/>
                <w:szCs w:val="16"/>
              </w:rPr>
            </w:pPr>
            <w:r w:rsidRPr="0087784B">
              <w:rPr>
                <w:color w:val="000000"/>
                <w:sz w:val="16"/>
                <w:szCs w:val="16"/>
              </w:rPr>
              <w:t>-9.52 ±0.18</w:t>
            </w:r>
          </w:p>
        </w:tc>
        <w:tc>
          <w:tcPr>
            <w:tcW w:w="1109" w:type="dxa"/>
            <w:tcBorders>
              <w:left w:val="nil"/>
              <w:bottom w:val="single" w:sz="4" w:space="0" w:color="auto"/>
              <w:right w:val="nil"/>
            </w:tcBorders>
            <w:shd w:val="clear" w:color="auto" w:fill="auto"/>
            <w:vAlign w:val="center"/>
          </w:tcPr>
          <w:p w14:paraId="059A790A" w14:textId="77777777" w:rsidR="00722B14" w:rsidRPr="0087784B" w:rsidRDefault="00722B14" w:rsidP="00DD3BAE">
            <w:pPr>
              <w:spacing w:before="0" w:after="0"/>
              <w:jc w:val="center"/>
              <w:rPr>
                <w:color w:val="000000"/>
                <w:sz w:val="16"/>
                <w:szCs w:val="16"/>
              </w:rPr>
            </w:pPr>
            <w:r w:rsidRPr="0087784B">
              <w:rPr>
                <w:color w:val="000000"/>
                <w:sz w:val="16"/>
                <w:szCs w:val="16"/>
              </w:rPr>
              <w:t>2.32 ±0.24</w:t>
            </w:r>
          </w:p>
        </w:tc>
        <w:tc>
          <w:tcPr>
            <w:tcW w:w="797" w:type="dxa"/>
            <w:tcBorders>
              <w:left w:val="nil"/>
              <w:bottom w:val="single" w:sz="4" w:space="0" w:color="auto"/>
              <w:right w:val="nil"/>
            </w:tcBorders>
            <w:shd w:val="clear" w:color="auto" w:fill="auto"/>
            <w:vAlign w:val="center"/>
          </w:tcPr>
          <w:p w14:paraId="12222EEE"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446F2013" w14:textId="77777777" w:rsidR="00722B14" w:rsidRDefault="00722B14" w:rsidP="00DD3BAE">
            <w:pPr>
              <w:spacing w:before="0" w:after="0"/>
              <w:jc w:val="center"/>
              <w:rPr>
                <w:i/>
                <w:color w:val="000000"/>
                <w:sz w:val="16"/>
                <w:szCs w:val="16"/>
              </w:rPr>
            </w:pPr>
          </w:p>
        </w:tc>
      </w:tr>
      <w:tr w:rsidR="00722B14" w14:paraId="21D094AB" w14:textId="77777777" w:rsidTr="00DE79BD">
        <w:trPr>
          <w:cantSplit/>
          <w:trHeight w:val="227"/>
          <w:jc w:val="center"/>
        </w:trPr>
        <w:tc>
          <w:tcPr>
            <w:tcW w:w="1077" w:type="dxa"/>
            <w:vAlign w:val="center"/>
          </w:tcPr>
          <w:p w14:paraId="6B626699" w14:textId="77777777" w:rsidR="00722B14" w:rsidRDefault="00722B14" w:rsidP="00DD3BAE">
            <w:pPr>
              <w:spacing w:before="0" w:after="0"/>
              <w:jc w:val="center"/>
              <w:rPr>
                <w:color w:val="000000"/>
                <w:sz w:val="16"/>
                <w:szCs w:val="16"/>
              </w:rPr>
            </w:pPr>
          </w:p>
        </w:tc>
        <w:tc>
          <w:tcPr>
            <w:tcW w:w="1115" w:type="dxa"/>
            <w:tcBorders>
              <w:top w:val="single" w:sz="4" w:space="0" w:color="auto"/>
              <w:left w:val="nil"/>
              <w:right w:val="nil"/>
            </w:tcBorders>
            <w:noWrap/>
            <w:vAlign w:val="center"/>
            <w:hideMark/>
          </w:tcPr>
          <w:p w14:paraId="3906E036" w14:textId="77777777" w:rsidR="00722B14" w:rsidRDefault="00722B14" w:rsidP="00DD3BAE">
            <w:pPr>
              <w:spacing w:before="0" w:after="0"/>
              <w:jc w:val="center"/>
              <w:rPr>
                <w:color w:val="000000"/>
                <w:sz w:val="16"/>
                <w:szCs w:val="16"/>
              </w:rPr>
            </w:pPr>
            <w:r>
              <w:rPr>
                <w:color w:val="000000"/>
                <w:sz w:val="16"/>
                <w:szCs w:val="16"/>
              </w:rPr>
              <w:t>coastal</w:t>
            </w:r>
          </w:p>
        </w:tc>
        <w:tc>
          <w:tcPr>
            <w:tcW w:w="789" w:type="dxa"/>
            <w:tcBorders>
              <w:top w:val="single" w:sz="4" w:space="0" w:color="auto"/>
              <w:left w:val="nil"/>
              <w:right w:val="nil"/>
            </w:tcBorders>
            <w:noWrap/>
            <w:vAlign w:val="center"/>
            <w:hideMark/>
          </w:tcPr>
          <w:p w14:paraId="57D44F5B"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right w:val="nil"/>
            </w:tcBorders>
            <w:vAlign w:val="center"/>
            <w:hideMark/>
          </w:tcPr>
          <w:p w14:paraId="06F54ACD"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single" w:sz="4" w:space="0" w:color="auto"/>
              <w:left w:val="nil"/>
              <w:right w:val="nil"/>
            </w:tcBorders>
            <w:vAlign w:val="center"/>
            <w:hideMark/>
          </w:tcPr>
          <w:p w14:paraId="0B434DCD" w14:textId="77777777" w:rsidR="00722B14" w:rsidRDefault="00722B14" w:rsidP="00DD3BAE">
            <w:pPr>
              <w:spacing w:before="0" w:after="0"/>
              <w:jc w:val="center"/>
              <w:rPr>
                <w:color w:val="000000"/>
                <w:sz w:val="16"/>
                <w:szCs w:val="16"/>
              </w:rPr>
            </w:pPr>
            <w:r>
              <w:rPr>
                <w:color w:val="000000"/>
                <w:sz w:val="16"/>
                <w:szCs w:val="16"/>
              </w:rPr>
              <w:t>40.34</w:t>
            </w:r>
          </w:p>
        </w:tc>
        <w:tc>
          <w:tcPr>
            <w:tcW w:w="661" w:type="dxa"/>
            <w:tcBorders>
              <w:top w:val="single" w:sz="4" w:space="0" w:color="auto"/>
              <w:left w:val="nil"/>
              <w:right w:val="nil"/>
            </w:tcBorders>
            <w:vAlign w:val="center"/>
            <w:hideMark/>
          </w:tcPr>
          <w:p w14:paraId="300C7536" w14:textId="77777777" w:rsidR="00722B14" w:rsidRDefault="00722B14" w:rsidP="00DD3BAE">
            <w:pPr>
              <w:spacing w:before="0" w:after="0"/>
              <w:jc w:val="center"/>
              <w:rPr>
                <w:color w:val="000000"/>
                <w:sz w:val="16"/>
                <w:szCs w:val="16"/>
              </w:rPr>
            </w:pPr>
            <w:r>
              <w:rPr>
                <w:color w:val="000000"/>
                <w:sz w:val="16"/>
                <w:szCs w:val="16"/>
              </w:rPr>
              <w:t>20.40</w:t>
            </w:r>
          </w:p>
        </w:tc>
        <w:tc>
          <w:tcPr>
            <w:tcW w:w="1109" w:type="dxa"/>
            <w:tcBorders>
              <w:top w:val="single" w:sz="4" w:space="0" w:color="auto"/>
              <w:left w:val="nil"/>
              <w:right w:val="nil"/>
            </w:tcBorders>
            <w:shd w:val="clear" w:color="auto" w:fill="CCFFCC"/>
            <w:noWrap/>
            <w:vAlign w:val="center"/>
            <w:hideMark/>
          </w:tcPr>
          <w:p w14:paraId="68F953E2" w14:textId="77777777" w:rsidR="00722B14" w:rsidRDefault="00722B14" w:rsidP="00DD3BAE">
            <w:pPr>
              <w:spacing w:before="0" w:after="0"/>
              <w:jc w:val="center"/>
              <w:rPr>
                <w:color w:val="000000"/>
                <w:sz w:val="16"/>
                <w:szCs w:val="16"/>
              </w:rPr>
            </w:pPr>
            <w:r>
              <w:rPr>
                <w:color w:val="000000"/>
                <w:sz w:val="16"/>
                <w:szCs w:val="16"/>
              </w:rPr>
              <w:t>-11.17</w:t>
            </w:r>
          </w:p>
        </w:tc>
        <w:tc>
          <w:tcPr>
            <w:tcW w:w="1109" w:type="dxa"/>
            <w:tcBorders>
              <w:top w:val="single" w:sz="4" w:space="0" w:color="auto"/>
              <w:left w:val="nil"/>
              <w:right w:val="nil"/>
            </w:tcBorders>
            <w:vAlign w:val="center"/>
            <w:hideMark/>
          </w:tcPr>
          <w:p w14:paraId="4013F8F1" w14:textId="77777777" w:rsidR="00722B14" w:rsidRDefault="00722B14" w:rsidP="00DD3BAE">
            <w:pPr>
              <w:spacing w:before="0" w:after="0"/>
              <w:jc w:val="center"/>
              <w:rPr>
                <w:color w:val="000000"/>
                <w:sz w:val="16"/>
                <w:szCs w:val="16"/>
              </w:rPr>
            </w:pPr>
            <w:r>
              <w:rPr>
                <w:color w:val="000000"/>
                <w:sz w:val="16"/>
                <w:szCs w:val="16"/>
              </w:rPr>
              <w:t>1.07</w:t>
            </w:r>
          </w:p>
        </w:tc>
        <w:tc>
          <w:tcPr>
            <w:tcW w:w="797" w:type="dxa"/>
            <w:tcBorders>
              <w:top w:val="single" w:sz="4" w:space="0" w:color="auto"/>
              <w:left w:val="nil"/>
              <w:right w:val="nil"/>
            </w:tcBorders>
            <w:vAlign w:val="center"/>
            <w:hideMark/>
          </w:tcPr>
          <w:p w14:paraId="59420858"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right w:val="nil"/>
            </w:tcBorders>
            <w:noWrap/>
            <w:vAlign w:val="center"/>
            <w:hideMark/>
          </w:tcPr>
          <w:p w14:paraId="55470D28"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3876ED0B" w14:textId="77777777" w:rsidTr="00DE79BD">
        <w:trPr>
          <w:cantSplit/>
          <w:trHeight w:val="227"/>
          <w:jc w:val="center"/>
        </w:trPr>
        <w:tc>
          <w:tcPr>
            <w:tcW w:w="1077" w:type="dxa"/>
            <w:tcBorders>
              <w:top w:val="nil"/>
              <w:left w:val="nil"/>
              <w:bottom w:val="nil"/>
              <w:right w:val="nil"/>
            </w:tcBorders>
            <w:shd w:val="clear" w:color="auto" w:fill="auto"/>
            <w:vAlign w:val="bottom"/>
          </w:tcPr>
          <w:p w14:paraId="59E4357E"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22E506A8" w14:textId="77777777" w:rsidR="00722B14" w:rsidRPr="007C770B" w:rsidRDefault="00722B14" w:rsidP="00DD3BAE">
            <w:pPr>
              <w:spacing w:before="0" w:after="0"/>
              <w:jc w:val="center"/>
              <w:rPr>
                <w:color w:val="000000"/>
                <w:sz w:val="16"/>
                <w:szCs w:val="16"/>
              </w:rPr>
            </w:pPr>
            <w:r>
              <w:rPr>
                <w:color w:val="000000"/>
                <w:sz w:val="16"/>
                <w:szCs w:val="16"/>
              </w:rPr>
              <w:t>intertidal</w:t>
            </w:r>
          </w:p>
        </w:tc>
        <w:tc>
          <w:tcPr>
            <w:tcW w:w="789" w:type="dxa"/>
            <w:tcBorders>
              <w:top w:val="nil"/>
              <w:left w:val="nil"/>
              <w:bottom w:val="nil"/>
              <w:right w:val="nil"/>
            </w:tcBorders>
            <w:shd w:val="clear" w:color="auto" w:fill="auto"/>
            <w:noWrap/>
            <w:vAlign w:val="center"/>
          </w:tcPr>
          <w:p w14:paraId="473D1361"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0D1D3A7F"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CCFFCC"/>
            <w:vAlign w:val="center"/>
          </w:tcPr>
          <w:p w14:paraId="3559CDD7" w14:textId="77777777" w:rsidR="00722B14" w:rsidRPr="007C770B" w:rsidRDefault="00722B14" w:rsidP="00DD3BAE">
            <w:pPr>
              <w:spacing w:before="0" w:after="0"/>
              <w:jc w:val="center"/>
              <w:rPr>
                <w:color w:val="000000"/>
                <w:sz w:val="16"/>
                <w:szCs w:val="16"/>
              </w:rPr>
            </w:pPr>
            <w:r w:rsidRPr="007C770B">
              <w:rPr>
                <w:color w:val="000000"/>
                <w:sz w:val="16"/>
                <w:szCs w:val="16"/>
              </w:rPr>
              <w:t>36.55</w:t>
            </w:r>
          </w:p>
        </w:tc>
        <w:tc>
          <w:tcPr>
            <w:tcW w:w="661" w:type="dxa"/>
            <w:tcBorders>
              <w:top w:val="nil"/>
              <w:left w:val="nil"/>
              <w:bottom w:val="nil"/>
              <w:right w:val="nil"/>
            </w:tcBorders>
            <w:shd w:val="clear" w:color="auto" w:fill="CCFFCC"/>
            <w:vAlign w:val="center"/>
          </w:tcPr>
          <w:p w14:paraId="513A7151" w14:textId="77777777" w:rsidR="00722B14" w:rsidRPr="007C770B" w:rsidRDefault="00722B14" w:rsidP="00DD3BAE">
            <w:pPr>
              <w:spacing w:before="0" w:after="0"/>
              <w:jc w:val="center"/>
              <w:rPr>
                <w:color w:val="000000"/>
                <w:sz w:val="16"/>
                <w:szCs w:val="16"/>
              </w:rPr>
            </w:pPr>
            <w:r w:rsidRPr="007C770B">
              <w:rPr>
                <w:color w:val="000000"/>
                <w:sz w:val="16"/>
                <w:szCs w:val="16"/>
              </w:rPr>
              <w:t>14.49</w:t>
            </w:r>
          </w:p>
        </w:tc>
        <w:tc>
          <w:tcPr>
            <w:tcW w:w="1109" w:type="dxa"/>
            <w:tcBorders>
              <w:top w:val="nil"/>
              <w:left w:val="nil"/>
              <w:bottom w:val="nil"/>
              <w:right w:val="nil"/>
            </w:tcBorders>
            <w:shd w:val="clear" w:color="auto" w:fill="CCFFCC"/>
            <w:noWrap/>
            <w:vAlign w:val="center"/>
          </w:tcPr>
          <w:p w14:paraId="4A1A23D1" w14:textId="77777777" w:rsidR="00722B14" w:rsidRPr="007C770B" w:rsidRDefault="00722B14" w:rsidP="00DD3BAE">
            <w:pPr>
              <w:spacing w:before="0" w:after="0"/>
              <w:jc w:val="center"/>
              <w:rPr>
                <w:color w:val="000000"/>
                <w:sz w:val="16"/>
                <w:szCs w:val="16"/>
              </w:rPr>
            </w:pPr>
            <w:r w:rsidRPr="007C770B">
              <w:rPr>
                <w:color w:val="000000"/>
                <w:sz w:val="16"/>
                <w:szCs w:val="16"/>
              </w:rPr>
              <w:t>-8.82 ±0.15</w:t>
            </w:r>
          </w:p>
        </w:tc>
        <w:tc>
          <w:tcPr>
            <w:tcW w:w="1109" w:type="dxa"/>
            <w:tcBorders>
              <w:top w:val="nil"/>
              <w:left w:val="nil"/>
              <w:bottom w:val="nil"/>
              <w:right w:val="nil"/>
            </w:tcBorders>
            <w:shd w:val="clear" w:color="auto" w:fill="auto"/>
            <w:vAlign w:val="center"/>
          </w:tcPr>
          <w:p w14:paraId="67DCD846" w14:textId="77777777" w:rsidR="00722B14" w:rsidRPr="007C770B" w:rsidRDefault="00722B14" w:rsidP="00DD3BAE">
            <w:pPr>
              <w:spacing w:before="0" w:after="0"/>
              <w:jc w:val="center"/>
              <w:rPr>
                <w:color w:val="000000"/>
                <w:sz w:val="16"/>
                <w:szCs w:val="16"/>
              </w:rPr>
            </w:pPr>
            <w:r w:rsidRPr="007C770B">
              <w:rPr>
                <w:color w:val="000000"/>
                <w:sz w:val="16"/>
                <w:szCs w:val="16"/>
              </w:rPr>
              <w:t>0.73 ±0.27</w:t>
            </w:r>
          </w:p>
        </w:tc>
        <w:tc>
          <w:tcPr>
            <w:tcW w:w="797" w:type="dxa"/>
            <w:tcBorders>
              <w:top w:val="nil"/>
              <w:left w:val="nil"/>
              <w:bottom w:val="nil"/>
              <w:right w:val="nil"/>
            </w:tcBorders>
            <w:shd w:val="clear" w:color="auto" w:fill="auto"/>
            <w:vAlign w:val="center"/>
          </w:tcPr>
          <w:p w14:paraId="1E61DCFC"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2B676413" w14:textId="77777777" w:rsidR="00722B14" w:rsidRDefault="00722B14" w:rsidP="00DD3BAE">
            <w:pPr>
              <w:spacing w:before="0" w:after="0"/>
              <w:jc w:val="center"/>
              <w:rPr>
                <w:i/>
                <w:color w:val="000000"/>
                <w:sz w:val="16"/>
                <w:szCs w:val="16"/>
              </w:rPr>
            </w:pPr>
          </w:p>
        </w:tc>
      </w:tr>
      <w:tr w:rsidR="00722B14" w14:paraId="050152FE" w14:textId="77777777" w:rsidTr="00DE79BD">
        <w:trPr>
          <w:cantSplit/>
          <w:trHeight w:val="227"/>
          <w:jc w:val="center"/>
        </w:trPr>
        <w:tc>
          <w:tcPr>
            <w:tcW w:w="1077" w:type="dxa"/>
            <w:tcBorders>
              <w:top w:val="nil"/>
              <w:left w:val="nil"/>
              <w:bottom w:val="nil"/>
              <w:right w:val="nil"/>
            </w:tcBorders>
            <w:shd w:val="clear" w:color="auto" w:fill="auto"/>
            <w:vAlign w:val="center"/>
          </w:tcPr>
          <w:p w14:paraId="4570850E" w14:textId="77777777" w:rsidR="00722B14" w:rsidRPr="007C770B" w:rsidRDefault="00722B14" w:rsidP="00DD3BAE">
            <w:pPr>
              <w:spacing w:before="0" w:after="0"/>
              <w:jc w:val="center"/>
              <w:rPr>
                <w:color w:val="000000"/>
                <w:sz w:val="16"/>
                <w:szCs w:val="16"/>
              </w:rPr>
            </w:pPr>
          </w:p>
        </w:tc>
        <w:tc>
          <w:tcPr>
            <w:tcW w:w="1115" w:type="dxa"/>
            <w:tcBorders>
              <w:top w:val="nil"/>
              <w:left w:val="nil"/>
              <w:bottom w:val="nil"/>
              <w:right w:val="nil"/>
            </w:tcBorders>
            <w:shd w:val="clear" w:color="auto" w:fill="auto"/>
            <w:noWrap/>
            <w:vAlign w:val="center"/>
          </w:tcPr>
          <w:p w14:paraId="08AD3D8F" w14:textId="77777777" w:rsidR="00722B14" w:rsidRDefault="00722B14" w:rsidP="00DD3BAE">
            <w:pPr>
              <w:spacing w:before="0" w:after="0"/>
              <w:jc w:val="center"/>
              <w:rPr>
                <w:color w:val="000000"/>
                <w:sz w:val="16"/>
                <w:szCs w:val="16"/>
              </w:rPr>
            </w:pPr>
          </w:p>
        </w:tc>
        <w:tc>
          <w:tcPr>
            <w:tcW w:w="789" w:type="dxa"/>
            <w:tcBorders>
              <w:top w:val="nil"/>
              <w:left w:val="nil"/>
              <w:bottom w:val="nil"/>
              <w:right w:val="nil"/>
            </w:tcBorders>
            <w:shd w:val="clear" w:color="auto" w:fill="auto"/>
            <w:noWrap/>
            <w:vAlign w:val="center"/>
          </w:tcPr>
          <w:p w14:paraId="791F57C2" w14:textId="77777777" w:rsidR="00722B14" w:rsidRPr="007C770B" w:rsidRDefault="00722B14" w:rsidP="00DD3BAE">
            <w:pPr>
              <w:spacing w:before="0" w:after="0"/>
              <w:jc w:val="center"/>
              <w:rPr>
                <w:color w:val="000000"/>
                <w:sz w:val="16"/>
                <w:szCs w:val="16"/>
              </w:rPr>
            </w:pPr>
          </w:p>
        </w:tc>
        <w:tc>
          <w:tcPr>
            <w:tcW w:w="621" w:type="dxa"/>
            <w:tcBorders>
              <w:top w:val="nil"/>
              <w:left w:val="nil"/>
              <w:bottom w:val="nil"/>
              <w:right w:val="nil"/>
            </w:tcBorders>
            <w:shd w:val="clear" w:color="auto" w:fill="auto"/>
            <w:vAlign w:val="center"/>
          </w:tcPr>
          <w:p w14:paraId="4276B240"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nil"/>
              <w:left w:val="nil"/>
              <w:bottom w:val="nil"/>
              <w:right w:val="nil"/>
            </w:tcBorders>
            <w:shd w:val="clear" w:color="auto" w:fill="auto"/>
            <w:vAlign w:val="center"/>
          </w:tcPr>
          <w:p w14:paraId="5EA115FE" w14:textId="77777777" w:rsidR="00722B14" w:rsidRPr="0087784B" w:rsidRDefault="00722B14" w:rsidP="00DD3BAE">
            <w:pPr>
              <w:spacing w:before="0" w:after="0"/>
              <w:jc w:val="center"/>
              <w:rPr>
                <w:color w:val="000000"/>
                <w:sz w:val="16"/>
                <w:szCs w:val="16"/>
              </w:rPr>
            </w:pPr>
            <w:r w:rsidRPr="0087784B">
              <w:rPr>
                <w:color w:val="000000"/>
                <w:sz w:val="16"/>
                <w:szCs w:val="16"/>
              </w:rPr>
              <w:t>41.79</w:t>
            </w:r>
          </w:p>
        </w:tc>
        <w:tc>
          <w:tcPr>
            <w:tcW w:w="661" w:type="dxa"/>
            <w:tcBorders>
              <w:top w:val="nil"/>
              <w:left w:val="nil"/>
              <w:bottom w:val="nil"/>
              <w:right w:val="nil"/>
            </w:tcBorders>
            <w:shd w:val="clear" w:color="auto" w:fill="CCFFCC"/>
            <w:vAlign w:val="center"/>
          </w:tcPr>
          <w:p w14:paraId="64D59BD2" w14:textId="77777777" w:rsidR="00722B14" w:rsidRPr="0087784B" w:rsidRDefault="00722B14" w:rsidP="00DD3BAE">
            <w:pPr>
              <w:spacing w:before="0" w:after="0"/>
              <w:jc w:val="center"/>
              <w:rPr>
                <w:color w:val="000000"/>
                <w:sz w:val="16"/>
                <w:szCs w:val="16"/>
              </w:rPr>
            </w:pPr>
            <w:r w:rsidRPr="0087784B">
              <w:rPr>
                <w:color w:val="000000"/>
                <w:sz w:val="16"/>
                <w:szCs w:val="16"/>
              </w:rPr>
              <w:t>13.72</w:t>
            </w:r>
          </w:p>
        </w:tc>
        <w:tc>
          <w:tcPr>
            <w:tcW w:w="1109" w:type="dxa"/>
            <w:tcBorders>
              <w:top w:val="nil"/>
              <w:left w:val="nil"/>
              <w:bottom w:val="nil"/>
              <w:right w:val="nil"/>
            </w:tcBorders>
            <w:shd w:val="clear" w:color="auto" w:fill="CCFFCC"/>
            <w:noWrap/>
            <w:vAlign w:val="center"/>
          </w:tcPr>
          <w:p w14:paraId="71C7AC5D" w14:textId="77777777" w:rsidR="00722B14" w:rsidRPr="0087784B" w:rsidRDefault="00722B14" w:rsidP="00DD3BAE">
            <w:pPr>
              <w:spacing w:before="0" w:after="0"/>
              <w:jc w:val="center"/>
              <w:rPr>
                <w:color w:val="000000"/>
                <w:sz w:val="16"/>
                <w:szCs w:val="16"/>
              </w:rPr>
            </w:pPr>
            <w:r w:rsidRPr="0087784B">
              <w:rPr>
                <w:color w:val="000000"/>
                <w:sz w:val="16"/>
                <w:szCs w:val="16"/>
              </w:rPr>
              <w:t>-8.45 ±0.08</w:t>
            </w:r>
          </w:p>
        </w:tc>
        <w:tc>
          <w:tcPr>
            <w:tcW w:w="1109" w:type="dxa"/>
            <w:tcBorders>
              <w:top w:val="nil"/>
              <w:left w:val="nil"/>
              <w:bottom w:val="nil"/>
              <w:right w:val="nil"/>
            </w:tcBorders>
            <w:shd w:val="clear" w:color="auto" w:fill="auto"/>
            <w:vAlign w:val="center"/>
          </w:tcPr>
          <w:p w14:paraId="142C6D44" w14:textId="77777777" w:rsidR="00722B14" w:rsidRPr="0087784B" w:rsidRDefault="00722B14" w:rsidP="00DD3BAE">
            <w:pPr>
              <w:spacing w:before="0" w:after="0"/>
              <w:jc w:val="center"/>
              <w:rPr>
                <w:color w:val="000000"/>
                <w:sz w:val="16"/>
                <w:szCs w:val="16"/>
              </w:rPr>
            </w:pPr>
            <w:r w:rsidRPr="0087784B">
              <w:rPr>
                <w:color w:val="000000"/>
                <w:sz w:val="16"/>
                <w:szCs w:val="16"/>
              </w:rPr>
              <w:t>-0.83 ±0.63</w:t>
            </w:r>
          </w:p>
        </w:tc>
        <w:tc>
          <w:tcPr>
            <w:tcW w:w="797" w:type="dxa"/>
            <w:tcBorders>
              <w:top w:val="nil"/>
              <w:left w:val="nil"/>
              <w:bottom w:val="nil"/>
              <w:right w:val="nil"/>
            </w:tcBorders>
            <w:shd w:val="clear" w:color="auto" w:fill="auto"/>
            <w:vAlign w:val="center"/>
          </w:tcPr>
          <w:p w14:paraId="07687863" w14:textId="77777777" w:rsidR="00722B14" w:rsidRDefault="00722B14" w:rsidP="00DD3BAE">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4DDF27A9" w14:textId="77777777" w:rsidR="00722B14" w:rsidRDefault="00722B14" w:rsidP="00DD3BAE">
            <w:pPr>
              <w:spacing w:before="0" w:after="0"/>
              <w:jc w:val="center"/>
              <w:rPr>
                <w:i/>
                <w:color w:val="000000"/>
                <w:sz w:val="16"/>
                <w:szCs w:val="16"/>
              </w:rPr>
            </w:pPr>
          </w:p>
        </w:tc>
      </w:tr>
      <w:tr w:rsidR="00722B14" w14:paraId="19D78BE4" w14:textId="77777777" w:rsidTr="00DE79BD">
        <w:trPr>
          <w:cantSplit/>
          <w:trHeight w:val="227"/>
          <w:jc w:val="center"/>
        </w:trPr>
        <w:tc>
          <w:tcPr>
            <w:tcW w:w="1077" w:type="dxa"/>
            <w:vAlign w:val="center"/>
          </w:tcPr>
          <w:p w14:paraId="1ED99086" w14:textId="77777777" w:rsidR="00722B14" w:rsidRDefault="00722B14" w:rsidP="00DD3BAE">
            <w:pPr>
              <w:spacing w:before="0" w:after="0"/>
              <w:jc w:val="center"/>
              <w:rPr>
                <w:color w:val="000000"/>
                <w:sz w:val="16"/>
                <w:szCs w:val="16"/>
              </w:rPr>
            </w:pPr>
          </w:p>
        </w:tc>
        <w:tc>
          <w:tcPr>
            <w:tcW w:w="1115" w:type="dxa"/>
            <w:noWrap/>
            <w:vAlign w:val="center"/>
          </w:tcPr>
          <w:p w14:paraId="1B8A2BA4"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1EB8E695"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367297DA"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65386919" w14:textId="77777777" w:rsidR="00722B14" w:rsidRDefault="00722B14" w:rsidP="00DD3BAE">
            <w:pPr>
              <w:spacing w:before="0" w:after="0"/>
              <w:jc w:val="center"/>
              <w:rPr>
                <w:color w:val="000000"/>
                <w:sz w:val="16"/>
                <w:szCs w:val="16"/>
              </w:rPr>
            </w:pPr>
            <w:r>
              <w:rPr>
                <w:color w:val="000000"/>
                <w:sz w:val="16"/>
                <w:szCs w:val="16"/>
              </w:rPr>
              <w:t>40.08</w:t>
            </w:r>
          </w:p>
        </w:tc>
        <w:tc>
          <w:tcPr>
            <w:tcW w:w="661" w:type="dxa"/>
            <w:tcBorders>
              <w:top w:val="single" w:sz="4" w:space="0" w:color="auto"/>
              <w:left w:val="nil"/>
              <w:bottom w:val="nil"/>
              <w:right w:val="nil"/>
            </w:tcBorders>
            <w:shd w:val="clear" w:color="auto" w:fill="CCFFCC"/>
            <w:vAlign w:val="center"/>
            <w:hideMark/>
          </w:tcPr>
          <w:p w14:paraId="4024DB4B" w14:textId="77777777" w:rsidR="00722B14" w:rsidRDefault="00722B14" w:rsidP="00DD3BAE">
            <w:pPr>
              <w:spacing w:before="0" w:after="0"/>
              <w:jc w:val="center"/>
              <w:rPr>
                <w:color w:val="000000"/>
                <w:sz w:val="16"/>
                <w:szCs w:val="16"/>
              </w:rPr>
            </w:pPr>
            <w:r>
              <w:rPr>
                <w:color w:val="000000"/>
                <w:sz w:val="16"/>
                <w:szCs w:val="16"/>
              </w:rPr>
              <w:t>18.36</w:t>
            </w:r>
          </w:p>
        </w:tc>
        <w:tc>
          <w:tcPr>
            <w:tcW w:w="1109" w:type="dxa"/>
            <w:tcBorders>
              <w:top w:val="single" w:sz="4" w:space="0" w:color="auto"/>
              <w:left w:val="nil"/>
              <w:bottom w:val="nil"/>
              <w:right w:val="nil"/>
            </w:tcBorders>
            <w:shd w:val="clear" w:color="auto" w:fill="CCFFCC"/>
            <w:noWrap/>
            <w:vAlign w:val="center"/>
            <w:hideMark/>
          </w:tcPr>
          <w:p w14:paraId="60FDA5B5" w14:textId="77777777" w:rsidR="00722B14" w:rsidRDefault="00722B14" w:rsidP="00DD3BAE">
            <w:pPr>
              <w:spacing w:before="0" w:after="0"/>
              <w:jc w:val="center"/>
              <w:rPr>
                <w:color w:val="000000"/>
                <w:sz w:val="16"/>
                <w:szCs w:val="16"/>
              </w:rPr>
            </w:pPr>
            <w:r>
              <w:rPr>
                <w:color w:val="000000"/>
                <w:sz w:val="16"/>
                <w:szCs w:val="16"/>
              </w:rPr>
              <w:t>-9.28 ±0.07</w:t>
            </w:r>
          </w:p>
        </w:tc>
        <w:tc>
          <w:tcPr>
            <w:tcW w:w="1109" w:type="dxa"/>
            <w:tcBorders>
              <w:top w:val="single" w:sz="4" w:space="0" w:color="auto"/>
              <w:left w:val="nil"/>
              <w:bottom w:val="nil"/>
              <w:right w:val="nil"/>
            </w:tcBorders>
            <w:vAlign w:val="center"/>
            <w:hideMark/>
          </w:tcPr>
          <w:p w14:paraId="7DCB0C4F" w14:textId="77777777" w:rsidR="00722B14" w:rsidRDefault="00722B14" w:rsidP="00DD3BAE">
            <w:pPr>
              <w:spacing w:before="0" w:after="0"/>
              <w:jc w:val="center"/>
              <w:rPr>
                <w:color w:val="000000"/>
                <w:sz w:val="16"/>
                <w:szCs w:val="16"/>
              </w:rPr>
            </w:pPr>
            <w:r>
              <w:rPr>
                <w:color w:val="000000"/>
                <w:sz w:val="16"/>
                <w:szCs w:val="16"/>
              </w:rPr>
              <w:t>0.72 ±0.10</w:t>
            </w:r>
          </w:p>
        </w:tc>
        <w:tc>
          <w:tcPr>
            <w:tcW w:w="797" w:type="dxa"/>
            <w:tcBorders>
              <w:top w:val="single" w:sz="4" w:space="0" w:color="auto"/>
              <w:left w:val="nil"/>
              <w:bottom w:val="nil"/>
              <w:right w:val="nil"/>
            </w:tcBorders>
            <w:vAlign w:val="center"/>
            <w:hideMark/>
          </w:tcPr>
          <w:p w14:paraId="71A420B1"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40871904"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6D94DC6B" w14:textId="77777777" w:rsidTr="00DE79BD">
        <w:trPr>
          <w:cantSplit/>
          <w:trHeight w:val="227"/>
          <w:jc w:val="center"/>
        </w:trPr>
        <w:tc>
          <w:tcPr>
            <w:tcW w:w="1077" w:type="dxa"/>
            <w:vAlign w:val="center"/>
          </w:tcPr>
          <w:p w14:paraId="7D1E70B5" w14:textId="77777777" w:rsidR="00722B14" w:rsidRDefault="00722B14" w:rsidP="00DD3BAE">
            <w:pPr>
              <w:spacing w:before="0" w:after="0"/>
              <w:jc w:val="center"/>
              <w:rPr>
                <w:color w:val="000000"/>
                <w:sz w:val="16"/>
                <w:szCs w:val="16"/>
              </w:rPr>
            </w:pPr>
          </w:p>
        </w:tc>
        <w:tc>
          <w:tcPr>
            <w:tcW w:w="1115" w:type="dxa"/>
            <w:noWrap/>
            <w:vAlign w:val="center"/>
          </w:tcPr>
          <w:p w14:paraId="13D6C984" w14:textId="77777777" w:rsidR="00722B14" w:rsidRDefault="00722B14" w:rsidP="00DD3BAE">
            <w:pPr>
              <w:spacing w:before="0" w:after="0"/>
              <w:jc w:val="center"/>
              <w:rPr>
                <w:color w:val="000000"/>
                <w:sz w:val="16"/>
                <w:szCs w:val="16"/>
              </w:rPr>
            </w:pPr>
          </w:p>
        </w:tc>
        <w:tc>
          <w:tcPr>
            <w:tcW w:w="789" w:type="dxa"/>
            <w:noWrap/>
            <w:vAlign w:val="center"/>
          </w:tcPr>
          <w:p w14:paraId="31FD86E0" w14:textId="77777777" w:rsidR="00722B14" w:rsidRDefault="00722B14" w:rsidP="00DD3BAE">
            <w:pPr>
              <w:spacing w:before="0" w:after="0"/>
              <w:jc w:val="center"/>
              <w:rPr>
                <w:color w:val="000000"/>
                <w:sz w:val="16"/>
                <w:szCs w:val="16"/>
              </w:rPr>
            </w:pPr>
          </w:p>
        </w:tc>
        <w:tc>
          <w:tcPr>
            <w:tcW w:w="621" w:type="dxa"/>
            <w:vAlign w:val="center"/>
            <w:hideMark/>
          </w:tcPr>
          <w:p w14:paraId="662C0282"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41692BD7" w14:textId="77777777" w:rsidR="00722B14" w:rsidRDefault="00722B14" w:rsidP="00DD3BAE">
            <w:pPr>
              <w:spacing w:before="0" w:after="0"/>
              <w:jc w:val="center"/>
              <w:rPr>
                <w:color w:val="000000"/>
                <w:sz w:val="16"/>
                <w:szCs w:val="16"/>
              </w:rPr>
            </w:pPr>
            <w:r>
              <w:rPr>
                <w:color w:val="000000"/>
                <w:sz w:val="16"/>
                <w:szCs w:val="16"/>
              </w:rPr>
              <w:t>37.64</w:t>
            </w:r>
          </w:p>
        </w:tc>
        <w:tc>
          <w:tcPr>
            <w:tcW w:w="661" w:type="dxa"/>
            <w:shd w:val="clear" w:color="auto" w:fill="CCFFCC"/>
            <w:vAlign w:val="center"/>
            <w:hideMark/>
          </w:tcPr>
          <w:p w14:paraId="7AC39F2F" w14:textId="77777777" w:rsidR="00722B14" w:rsidRDefault="00722B14" w:rsidP="00DD3BAE">
            <w:pPr>
              <w:spacing w:before="0" w:after="0"/>
              <w:jc w:val="center"/>
              <w:rPr>
                <w:color w:val="000000"/>
                <w:sz w:val="16"/>
                <w:szCs w:val="16"/>
              </w:rPr>
            </w:pPr>
            <w:r>
              <w:rPr>
                <w:color w:val="000000"/>
                <w:sz w:val="16"/>
                <w:szCs w:val="16"/>
              </w:rPr>
              <w:t>16.57</w:t>
            </w:r>
          </w:p>
        </w:tc>
        <w:tc>
          <w:tcPr>
            <w:tcW w:w="1109" w:type="dxa"/>
            <w:shd w:val="clear" w:color="auto" w:fill="CCFFCC"/>
            <w:noWrap/>
            <w:vAlign w:val="center"/>
            <w:hideMark/>
          </w:tcPr>
          <w:p w14:paraId="3DBEC43D" w14:textId="77777777" w:rsidR="00722B14" w:rsidRDefault="00722B14" w:rsidP="00DD3BAE">
            <w:pPr>
              <w:spacing w:before="0" w:after="0"/>
              <w:jc w:val="center"/>
              <w:rPr>
                <w:color w:val="000000"/>
                <w:sz w:val="16"/>
                <w:szCs w:val="16"/>
              </w:rPr>
            </w:pPr>
            <w:r>
              <w:rPr>
                <w:color w:val="000000"/>
                <w:sz w:val="16"/>
                <w:szCs w:val="16"/>
              </w:rPr>
              <w:t>-8.24 ±0.17</w:t>
            </w:r>
          </w:p>
        </w:tc>
        <w:tc>
          <w:tcPr>
            <w:tcW w:w="1109" w:type="dxa"/>
            <w:vAlign w:val="center"/>
            <w:hideMark/>
          </w:tcPr>
          <w:p w14:paraId="5A7B1CDE" w14:textId="77777777" w:rsidR="00722B14" w:rsidRDefault="00722B14" w:rsidP="00DD3BAE">
            <w:pPr>
              <w:spacing w:before="0" w:after="0"/>
              <w:jc w:val="center"/>
              <w:rPr>
                <w:color w:val="000000"/>
                <w:sz w:val="16"/>
                <w:szCs w:val="16"/>
              </w:rPr>
            </w:pPr>
            <w:r>
              <w:rPr>
                <w:color w:val="000000"/>
                <w:sz w:val="16"/>
                <w:szCs w:val="16"/>
              </w:rPr>
              <w:t>0.94 ±0.35</w:t>
            </w:r>
          </w:p>
        </w:tc>
        <w:tc>
          <w:tcPr>
            <w:tcW w:w="797" w:type="dxa"/>
            <w:vAlign w:val="center"/>
          </w:tcPr>
          <w:p w14:paraId="400F6024" w14:textId="77777777" w:rsidR="00722B14" w:rsidRDefault="00722B14" w:rsidP="00DD3BAE">
            <w:pPr>
              <w:spacing w:before="0" w:after="0"/>
              <w:jc w:val="center"/>
              <w:rPr>
                <w:i/>
                <w:color w:val="000000"/>
                <w:sz w:val="16"/>
                <w:szCs w:val="16"/>
              </w:rPr>
            </w:pPr>
          </w:p>
        </w:tc>
        <w:tc>
          <w:tcPr>
            <w:tcW w:w="1557" w:type="dxa"/>
            <w:noWrap/>
            <w:vAlign w:val="center"/>
          </w:tcPr>
          <w:p w14:paraId="28E829B5" w14:textId="77777777" w:rsidR="00722B14" w:rsidRDefault="00722B14" w:rsidP="00DD3BAE">
            <w:pPr>
              <w:spacing w:before="0" w:after="0"/>
              <w:jc w:val="center"/>
              <w:rPr>
                <w:i/>
                <w:color w:val="000000"/>
                <w:sz w:val="16"/>
                <w:szCs w:val="16"/>
              </w:rPr>
            </w:pPr>
          </w:p>
        </w:tc>
      </w:tr>
      <w:tr w:rsidR="00722B14" w14:paraId="064F4D81" w14:textId="77777777" w:rsidTr="00DE79BD">
        <w:trPr>
          <w:cantSplit/>
          <w:trHeight w:val="227"/>
          <w:jc w:val="center"/>
        </w:trPr>
        <w:tc>
          <w:tcPr>
            <w:tcW w:w="1077" w:type="dxa"/>
            <w:vAlign w:val="center"/>
          </w:tcPr>
          <w:p w14:paraId="02D8E2A5" w14:textId="77777777" w:rsidR="00722B14" w:rsidRDefault="00722B14" w:rsidP="00DD3BAE">
            <w:pPr>
              <w:spacing w:before="0" w:after="0"/>
              <w:jc w:val="center"/>
              <w:rPr>
                <w:color w:val="000000"/>
                <w:sz w:val="16"/>
                <w:szCs w:val="16"/>
              </w:rPr>
            </w:pPr>
          </w:p>
        </w:tc>
        <w:tc>
          <w:tcPr>
            <w:tcW w:w="1115" w:type="dxa"/>
            <w:noWrap/>
            <w:vAlign w:val="center"/>
          </w:tcPr>
          <w:p w14:paraId="557B8B76" w14:textId="77777777" w:rsidR="00722B14" w:rsidRDefault="00722B14" w:rsidP="00DD3BAE">
            <w:pPr>
              <w:spacing w:before="0" w:after="0"/>
              <w:jc w:val="center"/>
              <w:rPr>
                <w:color w:val="000000"/>
                <w:sz w:val="16"/>
                <w:szCs w:val="16"/>
              </w:rPr>
            </w:pPr>
          </w:p>
        </w:tc>
        <w:tc>
          <w:tcPr>
            <w:tcW w:w="789" w:type="dxa"/>
            <w:noWrap/>
            <w:vAlign w:val="center"/>
          </w:tcPr>
          <w:p w14:paraId="7FA21E8F" w14:textId="77777777" w:rsidR="00722B14" w:rsidRDefault="00722B14" w:rsidP="00DD3BAE">
            <w:pPr>
              <w:spacing w:before="0" w:after="0"/>
              <w:jc w:val="center"/>
              <w:rPr>
                <w:color w:val="000000"/>
                <w:sz w:val="16"/>
                <w:szCs w:val="16"/>
              </w:rPr>
            </w:pPr>
          </w:p>
        </w:tc>
        <w:tc>
          <w:tcPr>
            <w:tcW w:w="621" w:type="dxa"/>
            <w:vAlign w:val="center"/>
            <w:hideMark/>
          </w:tcPr>
          <w:p w14:paraId="097B4BFD"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5A1EDC16" w14:textId="77777777" w:rsidR="00722B14" w:rsidRDefault="00722B14" w:rsidP="00DD3BAE">
            <w:pPr>
              <w:spacing w:before="0" w:after="0"/>
              <w:jc w:val="center"/>
              <w:rPr>
                <w:color w:val="000000"/>
                <w:sz w:val="16"/>
                <w:szCs w:val="16"/>
              </w:rPr>
            </w:pPr>
            <w:r>
              <w:rPr>
                <w:color w:val="000000"/>
                <w:sz w:val="16"/>
                <w:szCs w:val="16"/>
              </w:rPr>
              <w:t>36.59</w:t>
            </w:r>
          </w:p>
        </w:tc>
        <w:tc>
          <w:tcPr>
            <w:tcW w:w="661" w:type="dxa"/>
            <w:shd w:val="clear" w:color="auto" w:fill="CCFFCC"/>
            <w:vAlign w:val="center"/>
            <w:hideMark/>
          </w:tcPr>
          <w:p w14:paraId="6CEE1427" w14:textId="77777777" w:rsidR="00722B14" w:rsidRDefault="00722B14" w:rsidP="00DD3BAE">
            <w:pPr>
              <w:spacing w:before="0" w:after="0"/>
              <w:jc w:val="center"/>
              <w:rPr>
                <w:color w:val="000000"/>
                <w:sz w:val="16"/>
                <w:szCs w:val="16"/>
              </w:rPr>
            </w:pPr>
            <w:r>
              <w:rPr>
                <w:color w:val="000000"/>
                <w:sz w:val="16"/>
                <w:szCs w:val="16"/>
              </w:rPr>
              <w:t>18.26</w:t>
            </w:r>
          </w:p>
        </w:tc>
        <w:tc>
          <w:tcPr>
            <w:tcW w:w="1109" w:type="dxa"/>
            <w:shd w:val="clear" w:color="auto" w:fill="CCFFCC"/>
            <w:noWrap/>
            <w:vAlign w:val="center"/>
            <w:hideMark/>
          </w:tcPr>
          <w:p w14:paraId="0488060C" w14:textId="77777777" w:rsidR="00722B14" w:rsidRDefault="00722B14" w:rsidP="00DD3BAE">
            <w:pPr>
              <w:spacing w:before="0" w:after="0"/>
              <w:jc w:val="center"/>
              <w:rPr>
                <w:color w:val="000000"/>
                <w:sz w:val="16"/>
                <w:szCs w:val="16"/>
              </w:rPr>
            </w:pPr>
            <w:r>
              <w:rPr>
                <w:color w:val="000000"/>
                <w:sz w:val="16"/>
                <w:szCs w:val="16"/>
              </w:rPr>
              <w:t>-9.58 ±0.16</w:t>
            </w:r>
          </w:p>
        </w:tc>
        <w:tc>
          <w:tcPr>
            <w:tcW w:w="1109" w:type="dxa"/>
            <w:vAlign w:val="center"/>
            <w:hideMark/>
          </w:tcPr>
          <w:p w14:paraId="715CA0CB" w14:textId="77777777" w:rsidR="00722B14" w:rsidRDefault="00722B14" w:rsidP="00DD3BAE">
            <w:pPr>
              <w:spacing w:before="0" w:after="0"/>
              <w:jc w:val="center"/>
              <w:rPr>
                <w:color w:val="000000"/>
                <w:sz w:val="16"/>
                <w:szCs w:val="16"/>
              </w:rPr>
            </w:pPr>
            <w:r>
              <w:rPr>
                <w:color w:val="000000"/>
                <w:sz w:val="16"/>
                <w:szCs w:val="16"/>
              </w:rPr>
              <w:t>0.90 ±0.12</w:t>
            </w:r>
          </w:p>
        </w:tc>
        <w:tc>
          <w:tcPr>
            <w:tcW w:w="797" w:type="dxa"/>
            <w:vAlign w:val="center"/>
          </w:tcPr>
          <w:p w14:paraId="099192EC" w14:textId="77777777" w:rsidR="00722B14" w:rsidRDefault="00722B14" w:rsidP="00DD3BAE">
            <w:pPr>
              <w:spacing w:before="0" w:after="0"/>
              <w:jc w:val="center"/>
              <w:rPr>
                <w:i/>
                <w:color w:val="000000"/>
                <w:sz w:val="16"/>
                <w:szCs w:val="16"/>
              </w:rPr>
            </w:pPr>
          </w:p>
        </w:tc>
        <w:tc>
          <w:tcPr>
            <w:tcW w:w="1557" w:type="dxa"/>
            <w:noWrap/>
            <w:vAlign w:val="center"/>
          </w:tcPr>
          <w:p w14:paraId="30BE0EEC" w14:textId="77777777" w:rsidR="00722B14" w:rsidRDefault="00722B14" w:rsidP="00DD3BAE">
            <w:pPr>
              <w:spacing w:before="0" w:after="0"/>
              <w:jc w:val="center"/>
              <w:rPr>
                <w:i/>
                <w:color w:val="000000"/>
                <w:sz w:val="16"/>
                <w:szCs w:val="16"/>
              </w:rPr>
            </w:pPr>
          </w:p>
        </w:tc>
      </w:tr>
      <w:tr w:rsidR="00722B14" w14:paraId="44987443" w14:textId="77777777" w:rsidTr="00DE79BD">
        <w:trPr>
          <w:cantSplit/>
          <w:trHeight w:val="227"/>
          <w:jc w:val="center"/>
        </w:trPr>
        <w:tc>
          <w:tcPr>
            <w:tcW w:w="1077" w:type="dxa"/>
            <w:vAlign w:val="center"/>
          </w:tcPr>
          <w:p w14:paraId="2B5CF235"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27C49267"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3B314745"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6C87F157"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36427730" w14:textId="77777777" w:rsidR="00722B14" w:rsidRDefault="00722B14" w:rsidP="00DD3BAE">
            <w:pPr>
              <w:spacing w:before="0" w:after="0"/>
              <w:jc w:val="center"/>
              <w:rPr>
                <w:color w:val="000000"/>
                <w:sz w:val="16"/>
                <w:szCs w:val="16"/>
              </w:rPr>
            </w:pPr>
            <w:r>
              <w:rPr>
                <w:color w:val="000000"/>
                <w:sz w:val="16"/>
                <w:szCs w:val="16"/>
              </w:rPr>
              <w:t>33.38</w:t>
            </w:r>
          </w:p>
        </w:tc>
        <w:tc>
          <w:tcPr>
            <w:tcW w:w="661" w:type="dxa"/>
            <w:tcBorders>
              <w:top w:val="nil"/>
              <w:left w:val="nil"/>
              <w:right w:val="nil"/>
            </w:tcBorders>
            <w:shd w:val="clear" w:color="auto" w:fill="CCFFCC"/>
            <w:vAlign w:val="center"/>
            <w:hideMark/>
          </w:tcPr>
          <w:p w14:paraId="2EE34B86" w14:textId="77777777" w:rsidR="00722B14" w:rsidRDefault="00722B14" w:rsidP="00DD3BAE">
            <w:pPr>
              <w:spacing w:before="0" w:after="0"/>
              <w:jc w:val="center"/>
              <w:rPr>
                <w:color w:val="000000"/>
                <w:sz w:val="16"/>
                <w:szCs w:val="16"/>
              </w:rPr>
            </w:pPr>
            <w:r>
              <w:rPr>
                <w:color w:val="000000"/>
                <w:sz w:val="16"/>
                <w:szCs w:val="16"/>
              </w:rPr>
              <w:t>17.31</w:t>
            </w:r>
          </w:p>
        </w:tc>
        <w:tc>
          <w:tcPr>
            <w:tcW w:w="1109" w:type="dxa"/>
            <w:tcBorders>
              <w:top w:val="nil"/>
              <w:left w:val="nil"/>
              <w:right w:val="nil"/>
            </w:tcBorders>
            <w:shd w:val="clear" w:color="auto" w:fill="CCFFCC"/>
            <w:noWrap/>
            <w:vAlign w:val="center"/>
            <w:hideMark/>
          </w:tcPr>
          <w:p w14:paraId="60D51A69" w14:textId="77777777" w:rsidR="00722B14" w:rsidRDefault="00722B14" w:rsidP="00DD3BAE">
            <w:pPr>
              <w:spacing w:before="0" w:after="0"/>
              <w:jc w:val="center"/>
              <w:rPr>
                <w:color w:val="000000"/>
                <w:sz w:val="16"/>
                <w:szCs w:val="16"/>
              </w:rPr>
            </w:pPr>
            <w:r>
              <w:rPr>
                <w:color w:val="000000"/>
                <w:sz w:val="16"/>
                <w:szCs w:val="16"/>
              </w:rPr>
              <w:t>-8.49 ±0.15</w:t>
            </w:r>
          </w:p>
        </w:tc>
        <w:tc>
          <w:tcPr>
            <w:tcW w:w="1109" w:type="dxa"/>
            <w:tcBorders>
              <w:top w:val="nil"/>
              <w:left w:val="nil"/>
              <w:right w:val="nil"/>
            </w:tcBorders>
            <w:vAlign w:val="center"/>
            <w:hideMark/>
          </w:tcPr>
          <w:p w14:paraId="6A6319F7" w14:textId="77777777" w:rsidR="00722B14" w:rsidRDefault="00722B14" w:rsidP="00DD3BAE">
            <w:pPr>
              <w:spacing w:before="0" w:after="0"/>
              <w:jc w:val="center"/>
              <w:rPr>
                <w:color w:val="000000"/>
                <w:sz w:val="16"/>
                <w:szCs w:val="16"/>
              </w:rPr>
            </w:pPr>
            <w:r>
              <w:rPr>
                <w:color w:val="000000"/>
                <w:sz w:val="16"/>
                <w:szCs w:val="16"/>
              </w:rPr>
              <w:t>1.03 ±0.17</w:t>
            </w:r>
          </w:p>
        </w:tc>
        <w:tc>
          <w:tcPr>
            <w:tcW w:w="797" w:type="dxa"/>
            <w:tcBorders>
              <w:top w:val="nil"/>
              <w:left w:val="nil"/>
              <w:right w:val="nil"/>
            </w:tcBorders>
            <w:vAlign w:val="center"/>
          </w:tcPr>
          <w:p w14:paraId="76E8012D"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noWrap/>
            <w:vAlign w:val="center"/>
          </w:tcPr>
          <w:p w14:paraId="3D82237E" w14:textId="77777777" w:rsidR="00722B14" w:rsidRDefault="00722B14" w:rsidP="00DD3BAE">
            <w:pPr>
              <w:spacing w:before="0" w:after="0"/>
              <w:jc w:val="center"/>
              <w:rPr>
                <w:i/>
                <w:color w:val="000000"/>
                <w:sz w:val="16"/>
                <w:szCs w:val="16"/>
              </w:rPr>
            </w:pPr>
          </w:p>
        </w:tc>
      </w:tr>
      <w:tr w:rsidR="00722B14" w14:paraId="61EEC251" w14:textId="77777777" w:rsidTr="00DE79BD">
        <w:trPr>
          <w:cantSplit/>
          <w:trHeight w:val="227"/>
          <w:jc w:val="center"/>
        </w:trPr>
        <w:tc>
          <w:tcPr>
            <w:tcW w:w="1077" w:type="dxa"/>
            <w:tcBorders>
              <w:top w:val="nil"/>
              <w:left w:val="nil"/>
              <w:right w:val="nil"/>
            </w:tcBorders>
            <w:shd w:val="clear" w:color="auto" w:fill="auto"/>
            <w:vAlign w:val="center"/>
          </w:tcPr>
          <w:p w14:paraId="27B0FFDD"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4C548CBD"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62A80520"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62D98DFD"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4F291C4B" w14:textId="77777777" w:rsidR="00722B14" w:rsidRPr="007C770B" w:rsidRDefault="00722B14" w:rsidP="00DD3BAE">
            <w:pPr>
              <w:spacing w:before="0" w:after="0"/>
              <w:jc w:val="center"/>
              <w:rPr>
                <w:color w:val="000000"/>
                <w:sz w:val="16"/>
                <w:szCs w:val="16"/>
              </w:rPr>
            </w:pPr>
            <w:r w:rsidRPr="007C770B">
              <w:rPr>
                <w:color w:val="000000"/>
                <w:sz w:val="16"/>
                <w:szCs w:val="16"/>
              </w:rPr>
              <w:t>37.73</w:t>
            </w:r>
          </w:p>
        </w:tc>
        <w:tc>
          <w:tcPr>
            <w:tcW w:w="661" w:type="dxa"/>
            <w:tcBorders>
              <w:top w:val="nil"/>
              <w:left w:val="nil"/>
              <w:right w:val="nil"/>
            </w:tcBorders>
            <w:shd w:val="clear" w:color="auto" w:fill="CCFFCC"/>
            <w:vAlign w:val="center"/>
          </w:tcPr>
          <w:p w14:paraId="772F4CF9" w14:textId="77777777" w:rsidR="00722B14" w:rsidRPr="007C770B" w:rsidRDefault="00722B14" w:rsidP="00DD3BAE">
            <w:pPr>
              <w:spacing w:before="0" w:after="0"/>
              <w:jc w:val="center"/>
              <w:rPr>
                <w:color w:val="000000"/>
                <w:sz w:val="16"/>
                <w:szCs w:val="16"/>
              </w:rPr>
            </w:pPr>
            <w:r w:rsidRPr="007C770B">
              <w:rPr>
                <w:color w:val="000000"/>
                <w:sz w:val="16"/>
                <w:szCs w:val="16"/>
              </w:rPr>
              <w:t>16.83</w:t>
            </w:r>
          </w:p>
        </w:tc>
        <w:tc>
          <w:tcPr>
            <w:tcW w:w="1109" w:type="dxa"/>
            <w:tcBorders>
              <w:top w:val="nil"/>
              <w:left w:val="nil"/>
              <w:right w:val="nil"/>
            </w:tcBorders>
            <w:shd w:val="clear" w:color="auto" w:fill="CCFFCC"/>
            <w:noWrap/>
            <w:vAlign w:val="center"/>
          </w:tcPr>
          <w:p w14:paraId="6CA8E397" w14:textId="77777777" w:rsidR="00722B14" w:rsidRPr="007C770B" w:rsidRDefault="00722B14" w:rsidP="00DD3BAE">
            <w:pPr>
              <w:spacing w:before="0" w:after="0"/>
              <w:jc w:val="center"/>
              <w:rPr>
                <w:color w:val="000000"/>
                <w:sz w:val="16"/>
                <w:szCs w:val="16"/>
              </w:rPr>
            </w:pPr>
            <w:r w:rsidRPr="007C770B">
              <w:rPr>
                <w:color w:val="000000"/>
                <w:sz w:val="16"/>
                <w:szCs w:val="16"/>
              </w:rPr>
              <w:t>-8.62 ±0.59</w:t>
            </w:r>
          </w:p>
        </w:tc>
        <w:tc>
          <w:tcPr>
            <w:tcW w:w="1109" w:type="dxa"/>
            <w:tcBorders>
              <w:top w:val="nil"/>
              <w:left w:val="nil"/>
              <w:right w:val="nil"/>
            </w:tcBorders>
            <w:shd w:val="clear" w:color="auto" w:fill="auto"/>
            <w:vAlign w:val="center"/>
          </w:tcPr>
          <w:p w14:paraId="263010DE" w14:textId="77777777" w:rsidR="00722B14" w:rsidRPr="007C770B" w:rsidRDefault="00722B14" w:rsidP="00DD3BAE">
            <w:pPr>
              <w:spacing w:before="0" w:after="0"/>
              <w:jc w:val="center"/>
              <w:rPr>
                <w:color w:val="000000"/>
                <w:sz w:val="16"/>
                <w:szCs w:val="16"/>
              </w:rPr>
            </w:pPr>
            <w:r w:rsidRPr="007C770B">
              <w:rPr>
                <w:color w:val="000000"/>
                <w:sz w:val="16"/>
                <w:szCs w:val="16"/>
              </w:rPr>
              <w:t>0.48 ±0.51</w:t>
            </w:r>
          </w:p>
        </w:tc>
        <w:tc>
          <w:tcPr>
            <w:tcW w:w="797" w:type="dxa"/>
            <w:tcBorders>
              <w:top w:val="nil"/>
              <w:left w:val="nil"/>
              <w:right w:val="nil"/>
            </w:tcBorders>
            <w:shd w:val="clear" w:color="auto" w:fill="auto"/>
            <w:vAlign w:val="center"/>
          </w:tcPr>
          <w:p w14:paraId="1D03D59D"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3726AE05" w14:textId="77777777" w:rsidR="00722B14" w:rsidRDefault="00722B14" w:rsidP="00DD3BAE">
            <w:pPr>
              <w:spacing w:before="0" w:after="0"/>
              <w:jc w:val="center"/>
              <w:rPr>
                <w:i/>
                <w:color w:val="000000"/>
                <w:sz w:val="16"/>
                <w:szCs w:val="16"/>
              </w:rPr>
            </w:pPr>
          </w:p>
        </w:tc>
      </w:tr>
      <w:tr w:rsidR="00722B14" w14:paraId="3AC764A4" w14:textId="77777777" w:rsidTr="00DE79BD">
        <w:trPr>
          <w:cantSplit/>
          <w:trHeight w:val="227"/>
          <w:jc w:val="center"/>
        </w:trPr>
        <w:tc>
          <w:tcPr>
            <w:tcW w:w="1077" w:type="dxa"/>
            <w:tcBorders>
              <w:left w:val="nil"/>
              <w:right w:val="nil"/>
            </w:tcBorders>
            <w:shd w:val="clear" w:color="auto" w:fill="auto"/>
            <w:vAlign w:val="center"/>
          </w:tcPr>
          <w:p w14:paraId="1FA188BA"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1306FF3F"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0E7AC5CB"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702AF2D"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5D070E30" w14:textId="77777777" w:rsidR="00722B14" w:rsidRPr="0087784B" w:rsidRDefault="00722B14" w:rsidP="00DD3BAE">
            <w:pPr>
              <w:spacing w:before="0" w:after="0"/>
              <w:jc w:val="center"/>
              <w:rPr>
                <w:color w:val="000000"/>
                <w:sz w:val="16"/>
                <w:szCs w:val="16"/>
              </w:rPr>
            </w:pPr>
            <w:r w:rsidRPr="0087784B">
              <w:rPr>
                <w:color w:val="000000"/>
                <w:sz w:val="16"/>
                <w:szCs w:val="16"/>
              </w:rPr>
              <w:t>38.59</w:t>
            </w:r>
          </w:p>
        </w:tc>
        <w:tc>
          <w:tcPr>
            <w:tcW w:w="661" w:type="dxa"/>
            <w:tcBorders>
              <w:left w:val="nil"/>
              <w:bottom w:val="single" w:sz="4" w:space="0" w:color="auto"/>
              <w:right w:val="nil"/>
            </w:tcBorders>
            <w:shd w:val="clear" w:color="auto" w:fill="CCFFCC"/>
            <w:vAlign w:val="center"/>
          </w:tcPr>
          <w:p w14:paraId="72B83428" w14:textId="77777777" w:rsidR="00722B14" w:rsidRPr="0087784B" w:rsidRDefault="00722B14" w:rsidP="00DD3BAE">
            <w:pPr>
              <w:spacing w:before="0" w:after="0"/>
              <w:jc w:val="center"/>
              <w:rPr>
                <w:color w:val="000000"/>
                <w:sz w:val="16"/>
                <w:szCs w:val="16"/>
              </w:rPr>
            </w:pPr>
            <w:r w:rsidRPr="0087784B">
              <w:rPr>
                <w:color w:val="000000"/>
                <w:sz w:val="16"/>
                <w:szCs w:val="16"/>
              </w:rPr>
              <w:t>17.93</w:t>
            </w:r>
          </w:p>
        </w:tc>
        <w:tc>
          <w:tcPr>
            <w:tcW w:w="1109" w:type="dxa"/>
            <w:tcBorders>
              <w:left w:val="nil"/>
              <w:bottom w:val="single" w:sz="4" w:space="0" w:color="auto"/>
              <w:right w:val="nil"/>
            </w:tcBorders>
            <w:shd w:val="clear" w:color="auto" w:fill="CCFFCC"/>
            <w:noWrap/>
            <w:vAlign w:val="center"/>
          </w:tcPr>
          <w:p w14:paraId="1FB5D1E1" w14:textId="77777777" w:rsidR="00722B14" w:rsidRPr="0087784B" w:rsidRDefault="00722B14" w:rsidP="00DD3BAE">
            <w:pPr>
              <w:spacing w:before="0" w:after="0"/>
              <w:jc w:val="center"/>
              <w:rPr>
                <w:color w:val="000000"/>
                <w:sz w:val="16"/>
                <w:szCs w:val="16"/>
              </w:rPr>
            </w:pPr>
            <w:r w:rsidRPr="0087784B">
              <w:rPr>
                <w:color w:val="000000"/>
                <w:sz w:val="16"/>
                <w:szCs w:val="16"/>
              </w:rPr>
              <w:t>-9.42 ±0.09</w:t>
            </w:r>
          </w:p>
        </w:tc>
        <w:tc>
          <w:tcPr>
            <w:tcW w:w="1109" w:type="dxa"/>
            <w:tcBorders>
              <w:left w:val="nil"/>
              <w:bottom w:val="single" w:sz="4" w:space="0" w:color="auto"/>
              <w:right w:val="nil"/>
            </w:tcBorders>
            <w:shd w:val="clear" w:color="auto" w:fill="auto"/>
            <w:vAlign w:val="center"/>
          </w:tcPr>
          <w:p w14:paraId="1D415538" w14:textId="77777777" w:rsidR="00722B14" w:rsidRPr="0087784B" w:rsidRDefault="00722B14" w:rsidP="00DD3BAE">
            <w:pPr>
              <w:spacing w:before="0" w:after="0"/>
              <w:jc w:val="center"/>
              <w:rPr>
                <w:color w:val="000000"/>
                <w:sz w:val="16"/>
                <w:szCs w:val="16"/>
              </w:rPr>
            </w:pPr>
            <w:r w:rsidRPr="0087784B">
              <w:rPr>
                <w:color w:val="000000"/>
                <w:sz w:val="16"/>
                <w:szCs w:val="16"/>
              </w:rPr>
              <w:t>1.53 ±0.08</w:t>
            </w:r>
          </w:p>
        </w:tc>
        <w:tc>
          <w:tcPr>
            <w:tcW w:w="797" w:type="dxa"/>
            <w:tcBorders>
              <w:left w:val="nil"/>
              <w:bottom w:val="single" w:sz="4" w:space="0" w:color="auto"/>
              <w:right w:val="nil"/>
            </w:tcBorders>
            <w:shd w:val="clear" w:color="auto" w:fill="auto"/>
            <w:vAlign w:val="center"/>
          </w:tcPr>
          <w:p w14:paraId="6E6F0CD3"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354BDF6F" w14:textId="77777777" w:rsidR="00722B14" w:rsidRDefault="00722B14" w:rsidP="00DD3BAE">
            <w:pPr>
              <w:spacing w:before="0" w:after="0"/>
              <w:jc w:val="center"/>
              <w:rPr>
                <w:i/>
                <w:color w:val="000000"/>
                <w:sz w:val="16"/>
                <w:szCs w:val="16"/>
              </w:rPr>
            </w:pPr>
          </w:p>
        </w:tc>
      </w:tr>
      <w:tr w:rsidR="00722B14" w14:paraId="27BE19F5" w14:textId="77777777" w:rsidTr="00DE79BD">
        <w:trPr>
          <w:cantSplit/>
          <w:trHeight w:val="227"/>
          <w:jc w:val="center"/>
        </w:trPr>
        <w:tc>
          <w:tcPr>
            <w:tcW w:w="1077" w:type="dxa"/>
            <w:vAlign w:val="center"/>
          </w:tcPr>
          <w:p w14:paraId="0E6CADB7"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7A50F98D" w14:textId="77777777" w:rsidR="00722B14" w:rsidRDefault="00722B14" w:rsidP="00DD3BAE">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0F829FA5"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21333584" w14:textId="77777777" w:rsidR="00722B14" w:rsidRDefault="00722B14" w:rsidP="00DD3BAE">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4498C1C0" w14:textId="77777777" w:rsidR="00722B14" w:rsidRDefault="00722B14" w:rsidP="00DD3BAE">
            <w:pPr>
              <w:spacing w:before="0" w:after="0"/>
              <w:jc w:val="center"/>
              <w:rPr>
                <w:color w:val="000000"/>
                <w:sz w:val="16"/>
                <w:szCs w:val="16"/>
              </w:rPr>
            </w:pPr>
            <w:r>
              <w:rPr>
                <w:color w:val="000000"/>
                <w:sz w:val="16"/>
                <w:szCs w:val="16"/>
              </w:rPr>
              <w:t>41.22</w:t>
            </w:r>
          </w:p>
        </w:tc>
        <w:tc>
          <w:tcPr>
            <w:tcW w:w="661" w:type="dxa"/>
            <w:tcBorders>
              <w:top w:val="single" w:sz="4" w:space="0" w:color="auto"/>
              <w:left w:val="nil"/>
              <w:bottom w:val="nil"/>
              <w:right w:val="nil"/>
            </w:tcBorders>
            <w:shd w:val="clear" w:color="auto" w:fill="CCFFCC"/>
            <w:vAlign w:val="center"/>
            <w:hideMark/>
          </w:tcPr>
          <w:p w14:paraId="334DB074" w14:textId="77777777" w:rsidR="00722B14" w:rsidRDefault="00722B14" w:rsidP="00DD3BAE">
            <w:pPr>
              <w:spacing w:before="0" w:after="0"/>
              <w:jc w:val="center"/>
              <w:rPr>
                <w:color w:val="000000"/>
                <w:sz w:val="16"/>
                <w:szCs w:val="16"/>
              </w:rPr>
            </w:pPr>
            <w:r>
              <w:rPr>
                <w:color w:val="000000"/>
                <w:sz w:val="16"/>
                <w:szCs w:val="16"/>
              </w:rPr>
              <w:t>17.15</w:t>
            </w:r>
          </w:p>
        </w:tc>
        <w:tc>
          <w:tcPr>
            <w:tcW w:w="1109" w:type="dxa"/>
            <w:tcBorders>
              <w:top w:val="single" w:sz="4" w:space="0" w:color="auto"/>
              <w:left w:val="nil"/>
              <w:bottom w:val="nil"/>
              <w:right w:val="nil"/>
            </w:tcBorders>
            <w:shd w:val="clear" w:color="auto" w:fill="CCFFCC"/>
            <w:noWrap/>
            <w:vAlign w:val="center"/>
            <w:hideMark/>
          </w:tcPr>
          <w:p w14:paraId="4677137A" w14:textId="77777777" w:rsidR="00722B14" w:rsidRDefault="00722B14" w:rsidP="00DD3BAE">
            <w:pPr>
              <w:spacing w:before="0" w:after="0"/>
              <w:jc w:val="center"/>
              <w:rPr>
                <w:color w:val="000000"/>
                <w:sz w:val="16"/>
                <w:szCs w:val="16"/>
              </w:rPr>
            </w:pPr>
            <w:r>
              <w:rPr>
                <w:color w:val="000000"/>
                <w:sz w:val="16"/>
                <w:szCs w:val="16"/>
              </w:rPr>
              <w:t>-9.40</w:t>
            </w:r>
          </w:p>
        </w:tc>
        <w:tc>
          <w:tcPr>
            <w:tcW w:w="1109" w:type="dxa"/>
            <w:tcBorders>
              <w:top w:val="single" w:sz="4" w:space="0" w:color="auto"/>
              <w:left w:val="nil"/>
              <w:bottom w:val="nil"/>
              <w:right w:val="nil"/>
            </w:tcBorders>
            <w:vAlign w:val="center"/>
            <w:hideMark/>
          </w:tcPr>
          <w:p w14:paraId="61331825" w14:textId="77777777" w:rsidR="00722B14" w:rsidRDefault="00722B14" w:rsidP="00DD3BAE">
            <w:pPr>
              <w:spacing w:before="0" w:after="0"/>
              <w:jc w:val="center"/>
              <w:rPr>
                <w:color w:val="000000"/>
                <w:sz w:val="16"/>
                <w:szCs w:val="16"/>
              </w:rPr>
            </w:pPr>
            <w:r>
              <w:rPr>
                <w:color w:val="000000"/>
                <w:sz w:val="16"/>
                <w:szCs w:val="16"/>
              </w:rPr>
              <w:t>-0.72</w:t>
            </w:r>
          </w:p>
        </w:tc>
        <w:tc>
          <w:tcPr>
            <w:tcW w:w="797" w:type="dxa"/>
            <w:tcBorders>
              <w:top w:val="single" w:sz="4" w:space="0" w:color="auto"/>
              <w:left w:val="nil"/>
              <w:bottom w:val="nil"/>
              <w:right w:val="nil"/>
            </w:tcBorders>
            <w:vAlign w:val="center"/>
            <w:hideMark/>
          </w:tcPr>
          <w:p w14:paraId="003221B5"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1E43BD33"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435EC353" w14:textId="77777777" w:rsidTr="00DE79BD">
        <w:trPr>
          <w:cantSplit/>
          <w:trHeight w:val="227"/>
          <w:jc w:val="center"/>
        </w:trPr>
        <w:tc>
          <w:tcPr>
            <w:tcW w:w="1077" w:type="dxa"/>
            <w:vAlign w:val="center"/>
          </w:tcPr>
          <w:p w14:paraId="42F6985B" w14:textId="77777777" w:rsidR="00722B14" w:rsidRDefault="00722B14" w:rsidP="00DD3BAE">
            <w:pPr>
              <w:spacing w:before="0" w:after="0"/>
              <w:jc w:val="center"/>
              <w:rPr>
                <w:color w:val="000000"/>
                <w:sz w:val="16"/>
                <w:szCs w:val="16"/>
              </w:rPr>
            </w:pPr>
          </w:p>
        </w:tc>
        <w:tc>
          <w:tcPr>
            <w:tcW w:w="1115" w:type="dxa"/>
            <w:noWrap/>
            <w:vAlign w:val="center"/>
          </w:tcPr>
          <w:p w14:paraId="093FB86C"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noWrap/>
            <w:vAlign w:val="center"/>
          </w:tcPr>
          <w:p w14:paraId="6C92C725" w14:textId="77777777" w:rsidR="00722B14" w:rsidRDefault="00722B14" w:rsidP="00DD3BAE">
            <w:pPr>
              <w:spacing w:before="0" w:after="0"/>
              <w:jc w:val="center"/>
              <w:rPr>
                <w:color w:val="000000"/>
                <w:sz w:val="16"/>
                <w:szCs w:val="16"/>
              </w:rPr>
            </w:pPr>
          </w:p>
        </w:tc>
        <w:tc>
          <w:tcPr>
            <w:tcW w:w="621" w:type="dxa"/>
            <w:vAlign w:val="center"/>
            <w:hideMark/>
          </w:tcPr>
          <w:p w14:paraId="55EED452" w14:textId="77777777" w:rsidR="00722B14" w:rsidRDefault="00722B14" w:rsidP="00DD3BAE">
            <w:pPr>
              <w:spacing w:before="0" w:after="0"/>
              <w:jc w:val="center"/>
              <w:rPr>
                <w:color w:val="000000"/>
                <w:sz w:val="16"/>
                <w:szCs w:val="16"/>
              </w:rPr>
            </w:pPr>
            <w:r>
              <w:rPr>
                <w:color w:val="000000"/>
                <w:sz w:val="16"/>
                <w:szCs w:val="16"/>
              </w:rPr>
              <w:t>2014</w:t>
            </w:r>
          </w:p>
        </w:tc>
        <w:tc>
          <w:tcPr>
            <w:tcW w:w="661" w:type="dxa"/>
            <w:vAlign w:val="center"/>
            <w:hideMark/>
          </w:tcPr>
          <w:p w14:paraId="46542D9F" w14:textId="77777777" w:rsidR="00722B14" w:rsidRDefault="00722B14" w:rsidP="00DD3BAE">
            <w:pPr>
              <w:spacing w:before="0" w:after="0"/>
              <w:jc w:val="center"/>
              <w:rPr>
                <w:color w:val="000000"/>
                <w:sz w:val="16"/>
                <w:szCs w:val="16"/>
              </w:rPr>
            </w:pPr>
            <w:r>
              <w:rPr>
                <w:color w:val="000000"/>
                <w:sz w:val="16"/>
                <w:szCs w:val="16"/>
              </w:rPr>
              <w:t>40.66</w:t>
            </w:r>
          </w:p>
        </w:tc>
        <w:tc>
          <w:tcPr>
            <w:tcW w:w="661" w:type="dxa"/>
            <w:shd w:val="clear" w:color="auto" w:fill="CCFFCC"/>
            <w:vAlign w:val="center"/>
            <w:hideMark/>
          </w:tcPr>
          <w:p w14:paraId="266712D1" w14:textId="77777777" w:rsidR="00722B14" w:rsidRDefault="00722B14" w:rsidP="00DD3BAE">
            <w:pPr>
              <w:spacing w:before="0" w:after="0"/>
              <w:jc w:val="center"/>
              <w:rPr>
                <w:color w:val="000000"/>
                <w:sz w:val="16"/>
                <w:szCs w:val="16"/>
              </w:rPr>
            </w:pPr>
            <w:r>
              <w:rPr>
                <w:color w:val="000000"/>
                <w:sz w:val="16"/>
                <w:szCs w:val="16"/>
              </w:rPr>
              <w:t>16.07</w:t>
            </w:r>
          </w:p>
        </w:tc>
        <w:tc>
          <w:tcPr>
            <w:tcW w:w="1109" w:type="dxa"/>
            <w:shd w:val="clear" w:color="auto" w:fill="CCFFCC"/>
            <w:noWrap/>
            <w:vAlign w:val="center"/>
            <w:hideMark/>
          </w:tcPr>
          <w:p w14:paraId="5B499E89" w14:textId="77777777" w:rsidR="00722B14" w:rsidRDefault="00722B14" w:rsidP="00DD3BAE">
            <w:pPr>
              <w:spacing w:before="0" w:after="0"/>
              <w:jc w:val="center"/>
              <w:rPr>
                <w:color w:val="000000"/>
                <w:sz w:val="16"/>
                <w:szCs w:val="16"/>
              </w:rPr>
            </w:pPr>
            <w:r>
              <w:rPr>
                <w:color w:val="000000"/>
                <w:sz w:val="16"/>
                <w:szCs w:val="16"/>
              </w:rPr>
              <w:t>-7.14 ±0.10</w:t>
            </w:r>
          </w:p>
        </w:tc>
        <w:tc>
          <w:tcPr>
            <w:tcW w:w="1109" w:type="dxa"/>
            <w:vAlign w:val="center"/>
            <w:hideMark/>
          </w:tcPr>
          <w:p w14:paraId="3253D9F8" w14:textId="77777777" w:rsidR="00722B14" w:rsidRDefault="00722B14" w:rsidP="00DD3BAE">
            <w:pPr>
              <w:spacing w:before="0" w:after="0"/>
              <w:jc w:val="center"/>
              <w:rPr>
                <w:color w:val="000000"/>
                <w:sz w:val="16"/>
                <w:szCs w:val="16"/>
              </w:rPr>
            </w:pPr>
            <w:r>
              <w:rPr>
                <w:color w:val="000000"/>
                <w:sz w:val="16"/>
                <w:szCs w:val="16"/>
              </w:rPr>
              <w:t>0.56 ±0.12</w:t>
            </w:r>
          </w:p>
        </w:tc>
        <w:tc>
          <w:tcPr>
            <w:tcW w:w="797" w:type="dxa"/>
            <w:vAlign w:val="center"/>
          </w:tcPr>
          <w:p w14:paraId="55DDBDA8" w14:textId="77777777" w:rsidR="00722B14" w:rsidRDefault="00722B14" w:rsidP="00DD3BAE">
            <w:pPr>
              <w:spacing w:before="0" w:after="0"/>
              <w:jc w:val="center"/>
              <w:rPr>
                <w:i/>
                <w:color w:val="000000"/>
                <w:sz w:val="16"/>
                <w:szCs w:val="16"/>
              </w:rPr>
            </w:pPr>
          </w:p>
        </w:tc>
        <w:tc>
          <w:tcPr>
            <w:tcW w:w="1557" w:type="dxa"/>
            <w:noWrap/>
            <w:vAlign w:val="center"/>
          </w:tcPr>
          <w:p w14:paraId="36C1C992" w14:textId="77777777" w:rsidR="00722B14" w:rsidRDefault="00722B14" w:rsidP="00DD3BAE">
            <w:pPr>
              <w:spacing w:before="0" w:after="0"/>
              <w:jc w:val="center"/>
              <w:rPr>
                <w:i/>
                <w:color w:val="000000"/>
                <w:sz w:val="16"/>
                <w:szCs w:val="16"/>
              </w:rPr>
            </w:pPr>
          </w:p>
        </w:tc>
      </w:tr>
      <w:tr w:rsidR="00722B14" w14:paraId="5F9B6DD9" w14:textId="77777777" w:rsidTr="00DE79BD">
        <w:trPr>
          <w:cantSplit/>
          <w:trHeight w:val="227"/>
          <w:jc w:val="center"/>
        </w:trPr>
        <w:tc>
          <w:tcPr>
            <w:tcW w:w="1077" w:type="dxa"/>
            <w:tcBorders>
              <w:top w:val="nil"/>
              <w:left w:val="nil"/>
              <w:right w:val="nil"/>
            </w:tcBorders>
            <w:shd w:val="clear" w:color="auto" w:fill="auto"/>
            <w:vAlign w:val="center"/>
          </w:tcPr>
          <w:p w14:paraId="25782677"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0D685882"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77182C52"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75692F5C"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5F4ADA13" w14:textId="77777777" w:rsidR="00722B14" w:rsidRPr="007C770B" w:rsidRDefault="00722B14" w:rsidP="00DD3BAE">
            <w:pPr>
              <w:spacing w:before="0" w:after="0"/>
              <w:jc w:val="center"/>
              <w:rPr>
                <w:color w:val="000000"/>
                <w:sz w:val="16"/>
                <w:szCs w:val="16"/>
              </w:rPr>
            </w:pPr>
            <w:r w:rsidRPr="007C770B">
              <w:rPr>
                <w:color w:val="000000"/>
                <w:sz w:val="16"/>
                <w:szCs w:val="16"/>
              </w:rPr>
              <w:t>40.80</w:t>
            </w:r>
          </w:p>
        </w:tc>
        <w:tc>
          <w:tcPr>
            <w:tcW w:w="661" w:type="dxa"/>
            <w:tcBorders>
              <w:top w:val="nil"/>
              <w:left w:val="nil"/>
              <w:right w:val="nil"/>
            </w:tcBorders>
            <w:shd w:val="clear" w:color="auto" w:fill="CCFFCC"/>
            <w:vAlign w:val="center"/>
          </w:tcPr>
          <w:p w14:paraId="559CFC45" w14:textId="77777777" w:rsidR="00722B14" w:rsidRPr="007C770B" w:rsidRDefault="00722B14" w:rsidP="00DD3BAE">
            <w:pPr>
              <w:spacing w:before="0" w:after="0"/>
              <w:jc w:val="center"/>
              <w:rPr>
                <w:color w:val="000000"/>
                <w:sz w:val="16"/>
                <w:szCs w:val="16"/>
              </w:rPr>
            </w:pPr>
            <w:r w:rsidRPr="007C770B">
              <w:rPr>
                <w:color w:val="000000"/>
                <w:sz w:val="16"/>
                <w:szCs w:val="16"/>
              </w:rPr>
              <w:t>16.47</w:t>
            </w:r>
          </w:p>
        </w:tc>
        <w:tc>
          <w:tcPr>
            <w:tcW w:w="1109" w:type="dxa"/>
            <w:tcBorders>
              <w:top w:val="nil"/>
              <w:left w:val="nil"/>
              <w:right w:val="nil"/>
            </w:tcBorders>
            <w:shd w:val="clear" w:color="auto" w:fill="CCFFCC"/>
            <w:noWrap/>
            <w:vAlign w:val="center"/>
          </w:tcPr>
          <w:p w14:paraId="0286B617" w14:textId="77777777" w:rsidR="00722B14" w:rsidRPr="007C770B" w:rsidRDefault="00722B14" w:rsidP="00DD3BAE">
            <w:pPr>
              <w:spacing w:before="0" w:after="0"/>
              <w:jc w:val="center"/>
              <w:rPr>
                <w:color w:val="000000"/>
                <w:sz w:val="16"/>
                <w:szCs w:val="16"/>
              </w:rPr>
            </w:pPr>
            <w:r w:rsidRPr="007C770B">
              <w:rPr>
                <w:color w:val="000000"/>
                <w:sz w:val="16"/>
                <w:szCs w:val="16"/>
              </w:rPr>
              <w:t>-10.1 ±0.56</w:t>
            </w:r>
          </w:p>
        </w:tc>
        <w:tc>
          <w:tcPr>
            <w:tcW w:w="1109" w:type="dxa"/>
            <w:tcBorders>
              <w:top w:val="nil"/>
              <w:left w:val="nil"/>
              <w:right w:val="nil"/>
            </w:tcBorders>
            <w:shd w:val="clear" w:color="auto" w:fill="auto"/>
            <w:vAlign w:val="center"/>
          </w:tcPr>
          <w:p w14:paraId="05044DBA" w14:textId="77777777" w:rsidR="00722B14" w:rsidRPr="007C770B" w:rsidRDefault="00722B14" w:rsidP="00DD3BAE">
            <w:pPr>
              <w:spacing w:before="0" w:after="0"/>
              <w:jc w:val="center"/>
              <w:rPr>
                <w:color w:val="000000"/>
                <w:sz w:val="16"/>
                <w:szCs w:val="16"/>
              </w:rPr>
            </w:pPr>
            <w:r w:rsidRPr="007C770B">
              <w:rPr>
                <w:color w:val="000000"/>
                <w:sz w:val="16"/>
                <w:szCs w:val="16"/>
              </w:rPr>
              <w:t>-0.95 ±1.03</w:t>
            </w:r>
          </w:p>
        </w:tc>
        <w:tc>
          <w:tcPr>
            <w:tcW w:w="797" w:type="dxa"/>
            <w:tcBorders>
              <w:top w:val="nil"/>
              <w:left w:val="nil"/>
              <w:right w:val="nil"/>
            </w:tcBorders>
            <w:shd w:val="clear" w:color="auto" w:fill="auto"/>
            <w:vAlign w:val="center"/>
          </w:tcPr>
          <w:p w14:paraId="112682FC"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0D7BC0AD" w14:textId="77777777" w:rsidR="00722B14" w:rsidRDefault="00722B14" w:rsidP="00DD3BAE">
            <w:pPr>
              <w:spacing w:before="0" w:after="0"/>
              <w:jc w:val="center"/>
              <w:rPr>
                <w:i/>
                <w:color w:val="000000"/>
                <w:sz w:val="16"/>
                <w:szCs w:val="16"/>
              </w:rPr>
            </w:pPr>
          </w:p>
        </w:tc>
      </w:tr>
      <w:tr w:rsidR="00722B14" w14:paraId="3AED945A" w14:textId="77777777" w:rsidTr="00DE79BD">
        <w:trPr>
          <w:cantSplit/>
          <w:trHeight w:val="227"/>
          <w:jc w:val="center"/>
        </w:trPr>
        <w:tc>
          <w:tcPr>
            <w:tcW w:w="1077" w:type="dxa"/>
            <w:tcBorders>
              <w:left w:val="nil"/>
              <w:right w:val="nil"/>
            </w:tcBorders>
            <w:shd w:val="clear" w:color="auto" w:fill="auto"/>
            <w:vAlign w:val="center"/>
          </w:tcPr>
          <w:p w14:paraId="68D1FA7B" w14:textId="77777777" w:rsidR="00722B14" w:rsidRPr="007C770B" w:rsidRDefault="00722B14" w:rsidP="00DD3BAE">
            <w:pPr>
              <w:spacing w:before="0" w:after="0"/>
              <w:jc w:val="center"/>
              <w:rPr>
                <w:color w:val="000000"/>
                <w:sz w:val="16"/>
                <w:szCs w:val="16"/>
              </w:rPr>
            </w:pPr>
          </w:p>
        </w:tc>
        <w:tc>
          <w:tcPr>
            <w:tcW w:w="1115" w:type="dxa"/>
            <w:tcBorders>
              <w:left w:val="nil"/>
              <w:right w:val="nil"/>
            </w:tcBorders>
            <w:shd w:val="clear" w:color="auto" w:fill="auto"/>
            <w:noWrap/>
            <w:vAlign w:val="center"/>
          </w:tcPr>
          <w:p w14:paraId="5A831E58"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732FF1C1"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115A6683"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541B6A8F" w14:textId="77777777" w:rsidR="00722B14" w:rsidRPr="0087784B" w:rsidRDefault="00722B14" w:rsidP="00DD3BAE">
            <w:pPr>
              <w:spacing w:before="0" w:after="0"/>
              <w:jc w:val="center"/>
              <w:rPr>
                <w:color w:val="000000"/>
                <w:sz w:val="16"/>
                <w:szCs w:val="16"/>
              </w:rPr>
            </w:pPr>
            <w:r w:rsidRPr="0087784B">
              <w:rPr>
                <w:color w:val="000000"/>
                <w:sz w:val="16"/>
                <w:szCs w:val="16"/>
              </w:rPr>
              <w:t>42.37</w:t>
            </w:r>
          </w:p>
        </w:tc>
        <w:tc>
          <w:tcPr>
            <w:tcW w:w="661" w:type="dxa"/>
            <w:tcBorders>
              <w:left w:val="nil"/>
              <w:bottom w:val="single" w:sz="4" w:space="0" w:color="auto"/>
              <w:right w:val="nil"/>
            </w:tcBorders>
            <w:shd w:val="clear" w:color="auto" w:fill="CCFFCC"/>
            <w:vAlign w:val="center"/>
          </w:tcPr>
          <w:p w14:paraId="3AD3C7EA" w14:textId="77777777" w:rsidR="00722B14" w:rsidRPr="0087784B" w:rsidRDefault="00722B14" w:rsidP="00DD3BAE">
            <w:pPr>
              <w:spacing w:before="0" w:after="0"/>
              <w:jc w:val="center"/>
              <w:rPr>
                <w:color w:val="000000"/>
                <w:sz w:val="16"/>
                <w:szCs w:val="16"/>
              </w:rPr>
            </w:pPr>
            <w:r w:rsidRPr="0087784B">
              <w:rPr>
                <w:color w:val="000000"/>
                <w:sz w:val="16"/>
                <w:szCs w:val="16"/>
              </w:rPr>
              <w:t>14.48</w:t>
            </w:r>
          </w:p>
        </w:tc>
        <w:tc>
          <w:tcPr>
            <w:tcW w:w="1109" w:type="dxa"/>
            <w:tcBorders>
              <w:left w:val="nil"/>
              <w:bottom w:val="single" w:sz="4" w:space="0" w:color="auto"/>
              <w:right w:val="nil"/>
            </w:tcBorders>
            <w:shd w:val="clear" w:color="auto" w:fill="CCFFCC"/>
            <w:noWrap/>
            <w:vAlign w:val="center"/>
          </w:tcPr>
          <w:p w14:paraId="69A93F49" w14:textId="77777777" w:rsidR="00722B14" w:rsidRPr="0087784B" w:rsidRDefault="00722B14" w:rsidP="00DD3BAE">
            <w:pPr>
              <w:spacing w:before="0" w:after="0"/>
              <w:jc w:val="center"/>
              <w:rPr>
                <w:color w:val="000000"/>
                <w:sz w:val="16"/>
                <w:szCs w:val="16"/>
              </w:rPr>
            </w:pPr>
            <w:r w:rsidRPr="0087784B">
              <w:rPr>
                <w:color w:val="000000"/>
                <w:sz w:val="16"/>
                <w:szCs w:val="16"/>
              </w:rPr>
              <w:t>-8.15 ±0.14</w:t>
            </w:r>
          </w:p>
        </w:tc>
        <w:tc>
          <w:tcPr>
            <w:tcW w:w="1109" w:type="dxa"/>
            <w:tcBorders>
              <w:left w:val="nil"/>
              <w:bottom w:val="single" w:sz="4" w:space="0" w:color="auto"/>
              <w:right w:val="nil"/>
            </w:tcBorders>
            <w:shd w:val="clear" w:color="auto" w:fill="auto"/>
            <w:vAlign w:val="center"/>
          </w:tcPr>
          <w:p w14:paraId="1CEDC736" w14:textId="77777777" w:rsidR="00722B14" w:rsidRPr="0087784B" w:rsidRDefault="00722B14" w:rsidP="00DD3BAE">
            <w:pPr>
              <w:spacing w:before="0" w:after="0"/>
              <w:jc w:val="center"/>
              <w:rPr>
                <w:color w:val="000000"/>
                <w:sz w:val="16"/>
                <w:szCs w:val="16"/>
              </w:rPr>
            </w:pPr>
            <w:r w:rsidRPr="0087784B">
              <w:rPr>
                <w:color w:val="000000"/>
                <w:sz w:val="16"/>
                <w:szCs w:val="16"/>
              </w:rPr>
              <w:t>-1.76 ±0.16</w:t>
            </w:r>
          </w:p>
        </w:tc>
        <w:tc>
          <w:tcPr>
            <w:tcW w:w="797" w:type="dxa"/>
            <w:tcBorders>
              <w:left w:val="nil"/>
              <w:bottom w:val="single" w:sz="4" w:space="0" w:color="auto"/>
              <w:right w:val="nil"/>
            </w:tcBorders>
            <w:shd w:val="clear" w:color="auto" w:fill="auto"/>
            <w:vAlign w:val="center"/>
          </w:tcPr>
          <w:p w14:paraId="69002779"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45F74A63" w14:textId="77777777" w:rsidR="00722B14" w:rsidRDefault="00722B14" w:rsidP="00DD3BAE">
            <w:pPr>
              <w:spacing w:before="0" w:after="0"/>
              <w:jc w:val="center"/>
              <w:rPr>
                <w:i/>
                <w:color w:val="000000"/>
                <w:sz w:val="16"/>
                <w:szCs w:val="16"/>
              </w:rPr>
            </w:pPr>
          </w:p>
        </w:tc>
      </w:tr>
      <w:tr w:rsidR="00722B14" w14:paraId="2D4EF6C2" w14:textId="77777777" w:rsidTr="00DE79BD">
        <w:trPr>
          <w:cantSplit/>
          <w:trHeight w:val="227"/>
          <w:jc w:val="center"/>
        </w:trPr>
        <w:tc>
          <w:tcPr>
            <w:tcW w:w="1077" w:type="dxa"/>
            <w:vAlign w:val="center"/>
          </w:tcPr>
          <w:p w14:paraId="4761191C" w14:textId="77777777" w:rsidR="00722B14" w:rsidRDefault="00722B14" w:rsidP="00DD3BAE">
            <w:pPr>
              <w:spacing w:before="0" w:after="0"/>
              <w:jc w:val="center"/>
              <w:rPr>
                <w:color w:val="000000"/>
                <w:sz w:val="16"/>
                <w:szCs w:val="16"/>
              </w:rPr>
            </w:pPr>
          </w:p>
        </w:tc>
        <w:tc>
          <w:tcPr>
            <w:tcW w:w="1115" w:type="dxa"/>
            <w:noWrap/>
            <w:vAlign w:val="center"/>
          </w:tcPr>
          <w:p w14:paraId="730D2DE5" w14:textId="77777777" w:rsidR="00722B14" w:rsidRDefault="00722B14" w:rsidP="00DD3BAE">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5BA6AB84"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240ED493" w14:textId="77777777" w:rsidR="00722B14" w:rsidRDefault="00722B14" w:rsidP="00DD3BAE">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67FDDB46" w14:textId="77777777" w:rsidR="00722B14" w:rsidRDefault="00722B14" w:rsidP="00DD3BAE">
            <w:pPr>
              <w:spacing w:before="0" w:after="0"/>
              <w:jc w:val="center"/>
              <w:rPr>
                <w:color w:val="000000"/>
                <w:sz w:val="16"/>
                <w:szCs w:val="16"/>
              </w:rPr>
            </w:pPr>
            <w:r>
              <w:rPr>
                <w:color w:val="000000"/>
                <w:sz w:val="16"/>
                <w:szCs w:val="16"/>
              </w:rPr>
              <w:t>39.88</w:t>
            </w:r>
          </w:p>
        </w:tc>
        <w:tc>
          <w:tcPr>
            <w:tcW w:w="661" w:type="dxa"/>
            <w:tcBorders>
              <w:top w:val="single" w:sz="4" w:space="0" w:color="auto"/>
              <w:left w:val="nil"/>
              <w:bottom w:val="nil"/>
              <w:right w:val="nil"/>
            </w:tcBorders>
            <w:shd w:val="clear" w:color="auto" w:fill="CCFFCC"/>
            <w:vAlign w:val="center"/>
            <w:hideMark/>
          </w:tcPr>
          <w:p w14:paraId="10D1FE66" w14:textId="77777777" w:rsidR="00722B14" w:rsidRDefault="00722B14" w:rsidP="00DD3BAE">
            <w:pPr>
              <w:spacing w:before="0" w:after="0"/>
              <w:jc w:val="center"/>
              <w:rPr>
                <w:color w:val="000000"/>
                <w:sz w:val="16"/>
                <w:szCs w:val="16"/>
              </w:rPr>
            </w:pPr>
            <w:r>
              <w:rPr>
                <w:color w:val="000000"/>
                <w:sz w:val="16"/>
                <w:szCs w:val="16"/>
              </w:rPr>
              <w:t>13.38</w:t>
            </w:r>
          </w:p>
        </w:tc>
        <w:tc>
          <w:tcPr>
            <w:tcW w:w="1109" w:type="dxa"/>
            <w:tcBorders>
              <w:top w:val="single" w:sz="4" w:space="0" w:color="auto"/>
              <w:left w:val="nil"/>
              <w:bottom w:val="nil"/>
              <w:right w:val="nil"/>
            </w:tcBorders>
            <w:shd w:val="clear" w:color="auto" w:fill="CCFFCC"/>
            <w:noWrap/>
            <w:vAlign w:val="center"/>
            <w:hideMark/>
          </w:tcPr>
          <w:p w14:paraId="63194D18" w14:textId="77777777" w:rsidR="00722B14" w:rsidRDefault="00722B14" w:rsidP="00DD3BAE">
            <w:pPr>
              <w:spacing w:before="0" w:after="0"/>
              <w:jc w:val="center"/>
              <w:rPr>
                <w:color w:val="000000"/>
                <w:sz w:val="16"/>
                <w:szCs w:val="16"/>
              </w:rPr>
            </w:pPr>
            <w:r>
              <w:rPr>
                <w:color w:val="000000"/>
                <w:sz w:val="16"/>
                <w:szCs w:val="16"/>
              </w:rPr>
              <w:t>-6.39 ±0.19</w:t>
            </w:r>
          </w:p>
        </w:tc>
        <w:tc>
          <w:tcPr>
            <w:tcW w:w="1109" w:type="dxa"/>
            <w:tcBorders>
              <w:top w:val="single" w:sz="4" w:space="0" w:color="auto"/>
              <w:left w:val="nil"/>
              <w:bottom w:val="nil"/>
              <w:right w:val="nil"/>
            </w:tcBorders>
            <w:vAlign w:val="center"/>
            <w:hideMark/>
          </w:tcPr>
          <w:p w14:paraId="5CAF7AD7" w14:textId="77777777" w:rsidR="00722B14" w:rsidRDefault="00722B14" w:rsidP="00DD3BAE">
            <w:pPr>
              <w:spacing w:before="0" w:after="0"/>
              <w:jc w:val="center"/>
              <w:rPr>
                <w:color w:val="000000"/>
                <w:sz w:val="16"/>
                <w:szCs w:val="16"/>
              </w:rPr>
            </w:pPr>
            <w:r>
              <w:rPr>
                <w:color w:val="000000"/>
                <w:sz w:val="16"/>
                <w:szCs w:val="16"/>
              </w:rPr>
              <w:t>-0.47 ±0.29</w:t>
            </w:r>
          </w:p>
        </w:tc>
        <w:tc>
          <w:tcPr>
            <w:tcW w:w="797" w:type="dxa"/>
            <w:tcBorders>
              <w:top w:val="single" w:sz="4" w:space="0" w:color="auto"/>
              <w:left w:val="nil"/>
              <w:bottom w:val="nil"/>
              <w:right w:val="nil"/>
            </w:tcBorders>
            <w:vAlign w:val="center"/>
            <w:hideMark/>
          </w:tcPr>
          <w:p w14:paraId="5308843D"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08C5F4DA"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2EE8F8C4" w14:textId="77777777" w:rsidTr="00DE79BD">
        <w:trPr>
          <w:cantSplit/>
          <w:trHeight w:val="227"/>
          <w:jc w:val="center"/>
        </w:trPr>
        <w:tc>
          <w:tcPr>
            <w:tcW w:w="1077" w:type="dxa"/>
            <w:vAlign w:val="center"/>
          </w:tcPr>
          <w:p w14:paraId="495D46B8" w14:textId="77777777" w:rsidR="00722B14" w:rsidRDefault="00722B14" w:rsidP="00DD3BAE">
            <w:pPr>
              <w:spacing w:before="0" w:after="0"/>
              <w:jc w:val="center"/>
              <w:rPr>
                <w:color w:val="000000"/>
                <w:sz w:val="16"/>
                <w:szCs w:val="16"/>
              </w:rPr>
            </w:pPr>
          </w:p>
        </w:tc>
        <w:tc>
          <w:tcPr>
            <w:tcW w:w="1115" w:type="dxa"/>
            <w:noWrap/>
            <w:vAlign w:val="center"/>
          </w:tcPr>
          <w:p w14:paraId="1A6EDD4F" w14:textId="77777777" w:rsidR="00722B14" w:rsidRDefault="00722B14" w:rsidP="00DD3BAE">
            <w:pPr>
              <w:spacing w:before="0" w:after="0"/>
              <w:jc w:val="center"/>
              <w:rPr>
                <w:color w:val="000000"/>
                <w:sz w:val="16"/>
                <w:szCs w:val="16"/>
              </w:rPr>
            </w:pPr>
          </w:p>
        </w:tc>
        <w:tc>
          <w:tcPr>
            <w:tcW w:w="789" w:type="dxa"/>
            <w:noWrap/>
            <w:vAlign w:val="center"/>
          </w:tcPr>
          <w:p w14:paraId="2A2CD8B9" w14:textId="77777777" w:rsidR="00722B14" w:rsidRDefault="00722B14" w:rsidP="00DD3BAE">
            <w:pPr>
              <w:spacing w:before="0" w:after="0"/>
              <w:jc w:val="center"/>
              <w:rPr>
                <w:color w:val="000000"/>
                <w:sz w:val="16"/>
                <w:szCs w:val="16"/>
              </w:rPr>
            </w:pPr>
          </w:p>
        </w:tc>
        <w:tc>
          <w:tcPr>
            <w:tcW w:w="621" w:type="dxa"/>
            <w:vAlign w:val="center"/>
            <w:hideMark/>
          </w:tcPr>
          <w:p w14:paraId="1582ED74"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5ADC301D" w14:textId="77777777" w:rsidR="00722B14" w:rsidRDefault="00722B14" w:rsidP="00DD3BAE">
            <w:pPr>
              <w:spacing w:before="0" w:after="0"/>
              <w:jc w:val="center"/>
              <w:rPr>
                <w:color w:val="000000"/>
                <w:sz w:val="16"/>
                <w:szCs w:val="16"/>
              </w:rPr>
            </w:pPr>
            <w:r>
              <w:rPr>
                <w:color w:val="000000"/>
                <w:sz w:val="16"/>
                <w:szCs w:val="16"/>
              </w:rPr>
              <w:t>39.79</w:t>
            </w:r>
          </w:p>
        </w:tc>
        <w:tc>
          <w:tcPr>
            <w:tcW w:w="661" w:type="dxa"/>
            <w:shd w:val="clear" w:color="auto" w:fill="CCFFCC"/>
            <w:vAlign w:val="center"/>
            <w:hideMark/>
          </w:tcPr>
          <w:p w14:paraId="4C2EB27C" w14:textId="77777777" w:rsidR="00722B14" w:rsidRDefault="00722B14" w:rsidP="00DD3BAE">
            <w:pPr>
              <w:spacing w:before="0" w:after="0"/>
              <w:jc w:val="center"/>
              <w:rPr>
                <w:color w:val="000000"/>
                <w:sz w:val="16"/>
                <w:szCs w:val="16"/>
              </w:rPr>
            </w:pPr>
            <w:r>
              <w:rPr>
                <w:color w:val="000000"/>
                <w:sz w:val="16"/>
                <w:szCs w:val="16"/>
              </w:rPr>
              <w:t>16.05</w:t>
            </w:r>
          </w:p>
        </w:tc>
        <w:tc>
          <w:tcPr>
            <w:tcW w:w="1109" w:type="dxa"/>
            <w:shd w:val="clear" w:color="auto" w:fill="CCFFCC"/>
            <w:noWrap/>
            <w:vAlign w:val="center"/>
            <w:hideMark/>
          </w:tcPr>
          <w:p w14:paraId="368212BE" w14:textId="77777777" w:rsidR="00722B14" w:rsidRDefault="00722B14" w:rsidP="00DD3BAE">
            <w:pPr>
              <w:spacing w:before="0" w:after="0"/>
              <w:jc w:val="center"/>
              <w:rPr>
                <w:color w:val="000000"/>
                <w:sz w:val="16"/>
                <w:szCs w:val="16"/>
              </w:rPr>
            </w:pPr>
            <w:r>
              <w:rPr>
                <w:color w:val="000000"/>
                <w:sz w:val="16"/>
                <w:szCs w:val="16"/>
              </w:rPr>
              <w:t>-7.36 ±0.15</w:t>
            </w:r>
          </w:p>
        </w:tc>
        <w:tc>
          <w:tcPr>
            <w:tcW w:w="1109" w:type="dxa"/>
            <w:vAlign w:val="center"/>
            <w:hideMark/>
          </w:tcPr>
          <w:p w14:paraId="3715D8BE" w14:textId="77777777" w:rsidR="00722B14" w:rsidRDefault="00722B14" w:rsidP="00DD3BAE">
            <w:pPr>
              <w:spacing w:before="0" w:after="0"/>
              <w:jc w:val="center"/>
              <w:rPr>
                <w:color w:val="000000"/>
                <w:sz w:val="16"/>
                <w:szCs w:val="16"/>
              </w:rPr>
            </w:pPr>
            <w:r>
              <w:rPr>
                <w:color w:val="000000"/>
                <w:sz w:val="16"/>
                <w:szCs w:val="16"/>
              </w:rPr>
              <w:t>0.92 ±0.37</w:t>
            </w:r>
          </w:p>
        </w:tc>
        <w:tc>
          <w:tcPr>
            <w:tcW w:w="797" w:type="dxa"/>
            <w:vAlign w:val="center"/>
          </w:tcPr>
          <w:p w14:paraId="5C28C312" w14:textId="77777777" w:rsidR="00722B14" w:rsidRDefault="00722B14" w:rsidP="00DD3BAE">
            <w:pPr>
              <w:spacing w:before="0" w:after="0"/>
              <w:jc w:val="center"/>
              <w:rPr>
                <w:i/>
                <w:color w:val="000000"/>
                <w:sz w:val="16"/>
                <w:szCs w:val="16"/>
              </w:rPr>
            </w:pPr>
          </w:p>
        </w:tc>
        <w:tc>
          <w:tcPr>
            <w:tcW w:w="1557" w:type="dxa"/>
            <w:noWrap/>
            <w:vAlign w:val="center"/>
          </w:tcPr>
          <w:p w14:paraId="22D05F69" w14:textId="77777777" w:rsidR="00722B14" w:rsidRDefault="00722B14" w:rsidP="00DD3BAE">
            <w:pPr>
              <w:spacing w:before="0" w:after="0"/>
              <w:jc w:val="center"/>
              <w:rPr>
                <w:i/>
                <w:color w:val="000000"/>
                <w:sz w:val="16"/>
                <w:szCs w:val="16"/>
              </w:rPr>
            </w:pPr>
          </w:p>
        </w:tc>
      </w:tr>
      <w:tr w:rsidR="00722B14" w14:paraId="4D844D59" w14:textId="77777777" w:rsidTr="00DE79BD">
        <w:trPr>
          <w:cantSplit/>
          <w:trHeight w:val="227"/>
          <w:jc w:val="center"/>
        </w:trPr>
        <w:tc>
          <w:tcPr>
            <w:tcW w:w="1077" w:type="dxa"/>
            <w:vAlign w:val="center"/>
          </w:tcPr>
          <w:p w14:paraId="3A9C44D4" w14:textId="77777777" w:rsidR="00722B14" w:rsidRDefault="00722B14" w:rsidP="00DD3BAE">
            <w:pPr>
              <w:spacing w:before="0" w:after="0"/>
              <w:jc w:val="center"/>
              <w:rPr>
                <w:color w:val="000000"/>
                <w:sz w:val="16"/>
                <w:szCs w:val="16"/>
              </w:rPr>
            </w:pPr>
          </w:p>
        </w:tc>
        <w:tc>
          <w:tcPr>
            <w:tcW w:w="1115" w:type="dxa"/>
            <w:noWrap/>
            <w:vAlign w:val="center"/>
          </w:tcPr>
          <w:p w14:paraId="180959C0" w14:textId="77777777" w:rsidR="00722B14" w:rsidRDefault="00722B14" w:rsidP="00DD3BAE">
            <w:pPr>
              <w:spacing w:before="0" w:after="0"/>
              <w:jc w:val="center"/>
              <w:rPr>
                <w:color w:val="000000"/>
                <w:sz w:val="16"/>
                <w:szCs w:val="16"/>
              </w:rPr>
            </w:pPr>
          </w:p>
        </w:tc>
        <w:tc>
          <w:tcPr>
            <w:tcW w:w="789" w:type="dxa"/>
            <w:noWrap/>
            <w:vAlign w:val="center"/>
          </w:tcPr>
          <w:p w14:paraId="39C4E155" w14:textId="77777777" w:rsidR="00722B14" w:rsidRDefault="00722B14" w:rsidP="00DD3BAE">
            <w:pPr>
              <w:spacing w:before="0" w:after="0"/>
              <w:jc w:val="center"/>
              <w:rPr>
                <w:color w:val="000000"/>
                <w:sz w:val="16"/>
                <w:szCs w:val="16"/>
              </w:rPr>
            </w:pPr>
          </w:p>
        </w:tc>
        <w:tc>
          <w:tcPr>
            <w:tcW w:w="621" w:type="dxa"/>
            <w:vAlign w:val="center"/>
            <w:hideMark/>
          </w:tcPr>
          <w:p w14:paraId="510557C3" w14:textId="77777777" w:rsidR="00722B14" w:rsidRDefault="00722B14" w:rsidP="00DD3BAE">
            <w:pPr>
              <w:spacing w:before="0" w:after="0"/>
              <w:jc w:val="center"/>
              <w:rPr>
                <w:color w:val="000000"/>
                <w:sz w:val="16"/>
                <w:szCs w:val="16"/>
              </w:rPr>
            </w:pPr>
            <w:r>
              <w:rPr>
                <w:color w:val="000000"/>
                <w:sz w:val="16"/>
                <w:szCs w:val="16"/>
              </w:rPr>
              <w:t>2014</w:t>
            </w:r>
          </w:p>
        </w:tc>
        <w:tc>
          <w:tcPr>
            <w:tcW w:w="661" w:type="dxa"/>
            <w:vAlign w:val="center"/>
            <w:hideMark/>
          </w:tcPr>
          <w:p w14:paraId="5504C488" w14:textId="77777777" w:rsidR="00722B14" w:rsidRDefault="00722B14" w:rsidP="00DD3BAE">
            <w:pPr>
              <w:spacing w:before="0" w:after="0"/>
              <w:jc w:val="center"/>
              <w:rPr>
                <w:color w:val="000000"/>
                <w:sz w:val="16"/>
                <w:szCs w:val="16"/>
              </w:rPr>
            </w:pPr>
            <w:r>
              <w:rPr>
                <w:color w:val="000000"/>
                <w:sz w:val="16"/>
                <w:szCs w:val="16"/>
              </w:rPr>
              <w:t>36.19</w:t>
            </w:r>
          </w:p>
        </w:tc>
        <w:tc>
          <w:tcPr>
            <w:tcW w:w="661" w:type="dxa"/>
            <w:vAlign w:val="center"/>
            <w:hideMark/>
          </w:tcPr>
          <w:p w14:paraId="32F47671" w14:textId="77777777" w:rsidR="00722B14" w:rsidRDefault="00722B14" w:rsidP="00DD3BAE">
            <w:pPr>
              <w:spacing w:before="0" w:after="0"/>
              <w:jc w:val="center"/>
              <w:rPr>
                <w:color w:val="000000"/>
                <w:sz w:val="16"/>
                <w:szCs w:val="16"/>
              </w:rPr>
            </w:pPr>
            <w:r>
              <w:rPr>
                <w:color w:val="000000"/>
                <w:sz w:val="16"/>
                <w:szCs w:val="16"/>
              </w:rPr>
              <w:t>21.48</w:t>
            </w:r>
          </w:p>
        </w:tc>
        <w:tc>
          <w:tcPr>
            <w:tcW w:w="1109" w:type="dxa"/>
            <w:shd w:val="clear" w:color="auto" w:fill="CCFFCC"/>
            <w:noWrap/>
            <w:vAlign w:val="center"/>
            <w:hideMark/>
          </w:tcPr>
          <w:p w14:paraId="67708924" w14:textId="77777777" w:rsidR="00722B14" w:rsidRDefault="00722B14" w:rsidP="00DD3BAE">
            <w:pPr>
              <w:spacing w:before="0" w:after="0"/>
              <w:jc w:val="center"/>
              <w:rPr>
                <w:color w:val="000000"/>
                <w:sz w:val="16"/>
                <w:szCs w:val="16"/>
              </w:rPr>
            </w:pPr>
            <w:r>
              <w:rPr>
                <w:color w:val="000000"/>
                <w:sz w:val="16"/>
                <w:szCs w:val="16"/>
              </w:rPr>
              <w:t>-7.43 ±0.00</w:t>
            </w:r>
          </w:p>
        </w:tc>
        <w:tc>
          <w:tcPr>
            <w:tcW w:w="1109" w:type="dxa"/>
            <w:vAlign w:val="center"/>
            <w:hideMark/>
          </w:tcPr>
          <w:p w14:paraId="634A1DD7" w14:textId="77777777" w:rsidR="00722B14" w:rsidRDefault="00722B14" w:rsidP="00DD3BAE">
            <w:pPr>
              <w:spacing w:before="0" w:after="0"/>
              <w:jc w:val="center"/>
              <w:rPr>
                <w:color w:val="000000"/>
                <w:sz w:val="16"/>
                <w:szCs w:val="16"/>
              </w:rPr>
            </w:pPr>
            <w:r>
              <w:rPr>
                <w:color w:val="000000"/>
                <w:sz w:val="16"/>
                <w:szCs w:val="16"/>
              </w:rPr>
              <w:t>-0.08 ±0.00</w:t>
            </w:r>
          </w:p>
        </w:tc>
        <w:tc>
          <w:tcPr>
            <w:tcW w:w="797" w:type="dxa"/>
            <w:vAlign w:val="center"/>
          </w:tcPr>
          <w:p w14:paraId="2D67B34C" w14:textId="77777777" w:rsidR="00722B14" w:rsidRDefault="00722B14" w:rsidP="00DD3BAE">
            <w:pPr>
              <w:spacing w:before="0" w:after="0"/>
              <w:jc w:val="center"/>
              <w:rPr>
                <w:i/>
                <w:color w:val="000000"/>
                <w:sz w:val="16"/>
                <w:szCs w:val="16"/>
              </w:rPr>
            </w:pPr>
          </w:p>
        </w:tc>
        <w:tc>
          <w:tcPr>
            <w:tcW w:w="1557" w:type="dxa"/>
            <w:noWrap/>
            <w:vAlign w:val="center"/>
          </w:tcPr>
          <w:p w14:paraId="7E563D8D" w14:textId="77777777" w:rsidR="00722B14" w:rsidRDefault="00722B14" w:rsidP="00DD3BAE">
            <w:pPr>
              <w:spacing w:before="0" w:after="0"/>
              <w:jc w:val="center"/>
              <w:rPr>
                <w:i/>
                <w:color w:val="000000"/>
                <w:sz w:val="16"/>
                <w:szCs w:val="16"/>
              </w:rPr>
            </w:pPr>
          </w:p>
        </w:tc>
      </w:tr>
      <w:tr w:rsidR="00722B14" w14:paraId="626AB17D" w14:textId="77777777" w:rsidTr="00DE79BD">
        <w:trPr>
          <w:cantSplit/>
          <w:trHeight w:val="227"/>
          <w:jc w:val="center"/>
        </w:trPr>
        <w:tc>
          <w:tcPr>
            <w:tcW w:w="1077" w:type="dxa"/>
            <w:tcBorders>
              <w:top w:val="nil"/>
              <w:left w:val="nil"/>
              <w:right w:val="nil"/>
            </w:tcBorders>
            <w:shd w:val="clear" w:color="auto" w:fill="auto"/>
            <w:vAlign w:val="center"/>
          </w:tcPr>
          <w:p w14:paraId="67982460" w14:textId="77777777" w:rsidR="00722B14" w:rsidRPr="007C770B"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52B856EF" w14:textId="77777777" w:rsidR="00722B14" w:rsidRPr="007C770B"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04EBE36C" w14:textId="77777777" w:rsidR="00722B14" w:rsidRPr="007C770B"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68805C7B"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1F68C802" w14:textId="77777777" w:rsidR="00722B14" w:rsidRPr="007C770B" w:rsidRDefault="00722B14" w:rsidP="00DD3BAE">
            <w:pPr>
              <w:spacing w:before="0" w:after="0"/>
              <w:jc w:val="center"/>
              <w:rPr>
                <w:color w:val="000000"/>
                <w:sz w:val="16"/>
                <w:szCs w:val="16"/>
              </w:rPr>
            </w:pPr>
            <w:r w:rsidRPr="007C770B">
              <w:rPr>
                <w:color w:val="000000"/>
                <w:sz w:val="16"/>
                <w:szCs w:val="16"/>
              </w:rPr>
              <w:t>37.70</w:t>
            </w:r>
          </w:p>
        </w:tc>
        <w:tc>
          <w:tcPr>
            <w:tcW w:w="661" w:type="dxa"/>
            <w:tcBorders>
              <w:top w:val="nil"/>
              <w:left w:val="nil"/>
              <w:right w:val="nil"/>
            </w:tcBorders>
            <w:shd w:val="clear" w:color="auto" w:fill="CCFFCC"/>
            <w:vAlign w:val="center"/>
          </w:tcPr>
          <w:p w14:paraId="11CDA8BB" w14:textId="77777777" w:rsidR="00722B14" w:rsidRPr="007C770B" w:rsidRDefault="00722B14" w:rsidP="00DD3BAE">
            <w:pPr>
              <w:spacing w:before="0" w:after="0"/>
              <w:jc w:val="center"/>
              <w:rPr>
                <w:color w:val="000000"/>
                <w:sz w:val="16"/>
                <w:szCs w:val="16"/>
              </w:rPr>
            </w:pPr>
            <w:r w:rsidRPr="007C770B">
              <w:rPr>
                <w:color w:val="000000"/>
                <w:sz w:val="16"/>
                <w:szCs w:val="16"/>
              </w:rPr>
              <w:t>16.41</w:t>
            </w:r>
          </w:p>
        </w:tc>
        <w:tc>
          <w:tcPr>
            <w:tcW w:w="1109" w:type="dxa"/>
            <w:tcBorders>
              <w:top w:val="nil"/>
              <w:left w:val="nil"/>
              <w:right w:val="nil"/>
            </w:tcBorders>
            <w:shd w:val="clear" w:color="auto" w:fill="CCFFCC"/>
            <w:noWrap/>
            <w:vAlign w:val="center"/>
          </w:tcPr>
          <w:p w14:paraId="19CEC3A9" w14:textId="77777777" w:rsidR="00722B14" w:rsidRPr="007C770B" w:rsidRDefault="00722B14" w:rsidP="00DD3BAE">
            <w:pPr>
              <w:spacing w:before="0" w:after="0"/>
              <w:jc w:val="center"/>
              <w:rPr>
                <w:color w:val="000000"/>
                <w:sz w:val="16"/>
                <w:szCs w:val="16"/>
              </w:rPr>
            </w:pPr>
            <w:r w:rsidRPr="007C770B">
              <w:rPr>
                <w:color w:val="000000"/>
                <w:sz w:val="16"/>
                <w:szCs w:val="16"/>
              </w:rPr>
              <w:t>-8.68 ±0.89</w:t>
            </w:r>
          </w:p>
        </w:tc>
        <w:tc>
          <w:tcPr>
            <w:tcW w:w="1109" w:type="dxa"/>
            <w:tcBorders>
              <w:top w:val="nil"/>
              <w:left w:val="nil"/>
              <w:right w:val="nil"/>
            </w:tcBorders>
            <w:shd w:val="clear" w:color="auto" w:fill="auto"/>
            <w:vAlign w:val="center"/>
          </w:tcPr>
          <w:p w14:paraId="2C34E6F0" w14:textId="77777777" w:rsidR="00722B14" w:rsidRPr="007C770B" w:rsidRDefault="00722B14" w:rsidP="00DD3BAE">
            <w:pPr>
              <w:spacing w:before="0" w:after="0"/>
              <w:jc w:val="center"/>
              <w:rPr>
                <w:color w:val="000000"/>
                <w:sz w:val="16"/>
                <w:szCs w:val="16"/>
              </w:rPr>
            </w:pPr>
            <w:r w:rsidRPr="007C770B">
              <w:rPr>
                <w:color w:val="000000"/>
                <w:sz w:val="16"/>
                <w:szCs w:val="16"/>
              </w:rPr>
              <w:t>-0.45 ±0.78</w:t>
            </w:r>
          </w:p>
        </w:tc>
        <w:tc>
          <w:tcPr>
            <w:tcW w:w="797" w:type="dxa"/>
            <w:tcBorders>
              <w:top w:val="nil"/>
              <w:left w:val="nil"/>
              <w:right w:val="nil"/>
            </w:tcBorders>
            <w:shd w:val="clear" w:color="auto" w:fill="auto"/>
            <w:vAlign w:val="center"/>
          </w:tcPr>
          <w:p w14:paraId="048C560A"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16CD70BD" w14:textId="77777777" w:rsidR="00722B14" w:rsidRDefault="00722B14" w:rsidP="00DD3BAE">
            <w:pPr>
              <w:spacing w:before="0" w:after="0"/>
              <w:jc w:val="center"/>
              <w:rPr>
                <w:i/>
                <w:color w:val="000000"/>
                <w:sz w:val="16"/>
                <w:szCs w:val="16"/>
              </w:rPr>
            </w:pPr>
          </w:p>
        </w:tc>
      </w:tr>
      <w:tr w:rsidR="00722B14" w14:paraId="1857351C" w14:textId="77777777" w:rsidTr="00DE79BD">
        <w:trPr>
          <w:cantSplit/>
          <w:trHeight w:val="227"/>
          <w:jc w:val="center"/>
        </w:trPr>
        <w:tc>
          <w:tcPr>
            <w:tcW w:w="1077" w:type="dxa"/>
            <w:tcBorders>
              <w:left w:val="nil"/>
              <w:bottom w:val="single" w:sz="4" w:space="0" w:color="auto"/>
              <w:right w:val="nil"/>
            </w:tcBorders>
            <w:shd w:val="clear" w:color="auto" w:fill="auto"/>
            <w:vAlign w:val="center"/>
          </w:tcPr>
          <w:p w14:paraId="3227F668" w14:textId="77777777" w:rsidR="00722B14" w:rsidRPr="007C770B" w:rsidRDefault="00722B14" w:rsidP="00DD3BAE">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center"/>
          </w:tcPr>
          <w:p w14:paraId="4224C022" w14:textId="77777777" w:rsidR="00722B14" w:rsidRPr="007C770B" w:rsidRDefault="00722B14" w:rsidP="00DD3BAE">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center"/>
          </w:tcPr>
          <w:p w14:paraId="16EBB5B7" w14:textId="77777777" w:rsidR="00722B14" w:rsidRPr="007C770B" w:rsidRDefault="00722B14" w:rsidP="00DD3BAE">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center"/>
          </w:tcPr>
          <w:p w14:paraId="6BA6ED64"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left w:val="nil"/>
              <w:bottom w:val="single" w:sz="4" w:space="0" w:color="auto"/>
              <w:right w:val="nil"/>
            </w:tcBorders>
            <w:shd w:val="clear" w:color="auto" w:fill="auto"/>
            <w:vAlign w:val="center"/>
          </w:tcPr>
          <w:p w14:paraId="7DEE1334" w14:textId="77777777" w:rsidR="00722B14" w:rsidRPr="0087784B" w:rsidRDefault="00722B14" w:rsidP="00DD3BAE">
            <w:pPr>
              <w:spacing w:before="0" w:after="0"/>
              <w:jc w:val="center"/>
              <w:rPr>
                <w:color w:val="000000"/>
                <w:sz w:val="16"/>
                <w:szCs w:val="16"/>
              </w:rPr>
            </w:pPr>
            <w:r w:rsidRPr="0087784B">
              <w:rPr>
                <w:color w:val="000000"/>
                <w:sz w:val="16"/>
                <w:szCs w:val="16"/>
              </w:rPr>
              <w:t>39.72</w:t>
            </w:r>
          </w:p>
        </w:tc>
        <w:tc>
          <w:tcPr>
            <w:tcW w:w="661" w:type="dxa"/>
            <w:tcBorders>
              <w:left w:val="nil"/>
              <w:bottom w:val="single" w:sz="4" w:space="0" w:color="auto"/>
              <w:right w:val="nil"/>
            </w:tcBorders>
            <w:shd w:val="clear" w:color="auto" w:fill="CCFFCC"/>
            <w:vAlign w:val="center"/>
          </w:tcPr>
          <w:p w14:paraId="3163B817" w14:textId="77777777" w:rsidR="00722B14" w:rsidRPr="0087784B" w:rsidRDefault="00722B14" w:rsidP="00DD3BAE">
            <w:pPr>
              <w:spacing w:before="0" w:after="0"/>
              <w:jc w:val="center"/>
              <w:rPr>
                <w:color w:val="000000"/>
                <w:sz w:val="16"/>
                <w:szCs w:val="16"/>
              </w:rPr>
            </w:pPr>
            <w:r w:rsidRPr="0087784B">
              <w:rPr>
                <w:color w:val="000000"/>
                <w:sz w:val="16"/>
                <w:szCs w:val="16"/>
              </w:rPr>
              <w:t>16.58</w:t>
            </w:r>
          </w:p>
        </w:tc>
        <w:tc>
          <w:tcPr>
            <w:tcW w:w="1109" w:type="dxa"/>
            <w:tcBorders>
              <w:left w:val="nil"/>
              <w:bottom w:val="single" w:sz="4" w:space="0" w:color="auto"/>
              <w:right w:val="nil"/>
            </w:tcBorders>
            <w:shd w:val="clear" w:color="auto" w:fill="CCFFCC"/>
            <w:noWrap/>
            <w:vAlign w:val="center"/>
          </w:tcPr>
          <w:p w14:paraId="599A0A1E" w14:textId="77777777" w:rsidR="00722B14" w:rsidRPr="0087784B" w:rsidRDefault="00722B14" w:rsidP="00DD3BAE">
            <w:pPr>
              <w:spacing w:before="0" w:after="0"/>
              <w:jc w:val="center"/>
              <w:rPr>
                <w:color w:val="000000"/>
                <w:sz w:val="16"/>
                <w:szCs w:val="16"/>
              </w:rPr>
            </w:pPr>
            <w:r w:rsidRPr="0087784B">
              <w:rPr>
                <w:color w:val="000000"/>
                <w:sz w:val="16"/>
                <w:szCs w:val="16"/>
              </w:rPr>
              <w:t>-7.58 ±0.24</w:t>
            </w:r>
          </w:p>
        </w:tc>
        <w:tc>
          <w:tcPr>
            <w:tcW w:w="1109" w:type="dxa"/>
            <w:tcBorders>
              <w:left w:val="nil"/>
              <w:bottom w:val="single" w:sz="4" w:space="0" w:color="auto"/>
              <w:right w:val="nil"/>
            </w:tcBorders>
            <w:shd w:val="clear" w:color="auto" w:fill="auto"/>
            <w:vAlign w:val="center"/>
          </w:tcPr>
          <w:p w14:paraId="058310D8" w14:textId="77777777" w:rsidR="00722B14" w:rsidRPr="0087784B" w:rsidRDefault="00722B14" w:rsidP="00DD3BAE">
            <w:pPr>
              <w:spacing w:before="0" w:after="0"/>
              <w:jc w:val="center"/>
              <w:rPr>
                <w:color w:val="000000"/>
                <w:sz w:val="16"/>
                <w:szCs w:val="16"/>
              </w:rPr>
            </w:pPr>
            <w:r w:rsidRPr="0087784B">
              <w:rPr>
                <w:color w:val="000000"/>
                <w:sz w:val="16"/>
                <w:szCs w:val="16"/>
              </w:rPr>
              <w:t>-0.15 ±0.76</w:t>
            </w:r>
          </w:p>
        </w:tc>
        <w:tc>
          <w:tcPr>
            <w:tcW w:w="797" w:type="dxa"/>
            <w:tcBorders>
              <w:left w:val="nil"/>
              <w:bottom w:val="single" w:sz="4" w:space="0" w:color="auto"/>
              <w:right w:val="nil"/>
            </w:tcBorders>
            <w:shd w:val="clear" w:color="auto" w:fill="auto"/>
            <w:vAlign w:val="center"/>
          </w:tcPr>
          <w:p w14:paraId="1029F02F" w14:textId="77777777" w:rsidR="00722B14" w:rsidRDefault="00722B14" w:rsidP="00DD3BAE">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33EFFA04" w14:textId="77777777" w:rsidR="00722B14" w:rsidRDefault="00722B14" w:rsidP="00DD3BAE">
            <w:pPr>
              <w:spacing w:before="0" w:after="0"/>
              <w:jc w:val="center"/>
              <w:rPr>
                <w:i/>
                <w:color w:val="000000"/>
                <w:sz w:val="16"/>
                <w:szCs w:val="16"/>
              </w:rPr>
            </w:pPr>
          </w:p>
        </w:tc>
      </w:tr>
      <w:tr w:rsidR="00722B14" w14:paraId="3F20DB67" w14:textId="77777777" w:rsidTr="00DE79BD">
        <w:trPr>
          <w:cantSplit/>
          <w:trHeight w:val="227"/>
          <w:jc w:val="center"/>
        </w:trPr>
        <w:tc>
          <w:tcPr>
            <w:tcW w:w="1077" w:type="dxa"/>
            <w:tcBorders>
              <w:top w:val="single" w:sz="4" w:space="0" w:color="auto"/>
              <w:left w:val="nil"/>
              <w:bottom w:val="nil"/>
              <w:right w:val="nil"/>
            </w:tcBorders>
            <w:vAlign w:val="center"/>
            <w:hideMark/>
          </w:tcPr>
          <w:p w14:paraId="649D3BDA" w14:textId="77777777" w:rsidR="00722B14" w:rsidRDefault="00722B14" w:rsidP="00DD3BAE">
            <w:pPr>
              <w:spacing w:before="0" w:after="0"/>
              <w:jc w:val="center"/>
              <w:rPr>
                <w:color w:val="000000"/>
                <w:sz w:val="16"/>
                <w:szCs w:val="16"/>
              </w:rPr>
            </w:pPr>
            <w:r>
              <w:rPr>
                <w:color w:val="000000"/>
                <w:sz w:val="16"/>
                <w:szCs w:val="16"/>
              </w:rPr>
              <w:t>Burnett</w:t>
            </w:r>
          </w:p>
        </w:tc>
        <w:tc>
          <w:tcPr>
            <w:tcW w:w="1115" w:type="dxa"/>
            <w:tcBorders>
              <w:top w:val="single" w:sz="4" w:space="0" w:color="auto"/>
              <w:left w:val="nil"/>
              <w:bottom w:val="nil"/>
              <w:right w:val="nil"/>
            </w:tcBorders>
            <w:noWrap/>
            <w:vAlign w:val="center"/>
            <w:hideMark/>
          </w:tcPr>
          <w:p w14:paraId="7F0DFB60" w14:textId="77777777" w:rsidR="00722B14" w:rsidRDefault="00722B14" w:rsidP="00DD3BAE">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single" w:sz="4" w:space="0" w:color="auto"/>
              <w:right w:val="nil"/>
            </w:tcBorders>
            <w:noWrap/>
            <w:vAlign w:val="center"/>
            <w:hideMark/>
          </w:tcPr>
          <w:p w14:paraId="56718244" w14:textId="77777777" w:rsidR="00722B14" w:rsidRDefault="00722B14" w:rsidP="00DD3BAE">
            <w:pPr>
              <w:spacing w:before="0" w:after="0"/>
              <w:jc w:val="center"/>
              <w:rPr>
                <w:color w:val="000000"/>
                <w:sz w:val="16"/>
                <w:szCs w:val="16"/>
              </w:rPr>
            </w:pPr>
            <w:r>
              <w:rPr>
                <w:color w:val="000000"/>
                <w:sz w:val="16"/>
                <w:szCs w:val="16"/>
              </w:rPr>
              <w:t>HO</w:t>
            </w:r>
          </w:p>
        </w:tc>
        <w:tc>
          <w:tcPr>
            <w:tcW w:w="621" w:type="dxa"/>
            <w:tcBorders>
              <w:top w:val="single" w:sz="4" w:space="0" w:color="auto"/>
              <w:left w:val="nil"/>
              <w:bottom w:val="single" w:sz="4" w:space="0" w:color="auto"/>
              <w:right w:val="nil"/>
            </w:tcBorders>
            <w:vAlign w:val="center"/>
            <w:hideMark/>
          </w:tcPr>
          <w:p w14:paraId="5B9F5639"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single" w:sz="4" w:space="0" w:color="auto"/>
              <w:right w:val="nil"/>
            </w:tcBorders>
            <w:vAlign w:val="center"/>
            <w:hideMark/>
          </w:tcPr>
          <w:p w14:paraId="0ABBBBA7" w14:textId="77777777" w:rsidR="00722B14" w:rsidRDefault="00722B14" w:rsidP="00DD3BAE">
            <w:pPr>
              <w:spacing w:before="0" w:after="0"/>
              <w:jc w:val="center"/>
              <w:rPr>
                <w:color w:val="000000"/>
                <w:sz w:val="16"/>
                <w:szCs w:val="16"/>
              </w:rPr>
            </w:pPr>
            <w:r>
              <w:rPr>
                <w:color w:val="000000"/>
                <w:sz w:val="16"/>
                <w:szCs w:val="16"/>
              </w:rPr>
              <w:t>36.90</w:t>
            </w:r>
          </w:p>
        </w:tc>
        <w:tc>
          <w:tcPr>
            <w:tcW w:w="661" w:type="dxa"/>
            <w:tcBorders>
              <w:top w:val="single" w:sz="4" w:space="0" w:color="auto"/>
              <w:left w:val="nil"/>
              <w:bottom w:val="single" w:sz="4" w:space="0" w:color="auto"/>
              <w:right w:val="nil"/>
            </w:tcBorders>
            <w:shd w:val="clear" w:color="auto" w:fill="CCFFCC"/>
            <w:vAlign w:val="center"/>
            <w:hideMark/>
          </w:tcPr>
          <w:p w14:paraId="5F1A9B35" w14:textId="77777777" w:rsidR="00722B14" w:rsidRDefault="00722B14" w:rsidP="00DD3BAE">
            <w:pPr>
              <w:spacing w:before="0" w:after="0"/>
              <w:jc w:val="center"/>
              <w:rPr>
                <w:color w:val="000000"/>
                <w:sz w:val="16"/>
                <w:szCs w:val="16"/>
              </w:rPr>
            </w:pPr>
            <w:r>
              <w:rPr>
                <w:color w:val="000000"/>
                <w:sz w:val="16"/>
                <w:szCs w:val="16"/>
              </w:rPr>
              <w:t>15.89</w:t>
            </w:r>
          </w:p>
        </w:tc>
        <w:tc>
          <w:tcPr>
            <w:tcW w:w="1109" w:type="dxa"/>
            <w:tcBorders>
              <w:top w:val="single" w:sz="4" w:space="0" w:color="auto"/>
              <w:left w:val="nil"/>
              <w:bottom w:val="single" w:sz="4" w:space="0" w:color="auto"/>
              <w:right w:val="nil"/>
            </w:tcBorders>
            <w:shd w:val="clear" w:color="auto" w:fill="CCFFCC"/>
            <w:noWrap/>
            <w:vAlign w:val="center"/>
            <w:hideMark/>
          </w:tcPr>
          <w:p w14:paraId="1AC11A2C" w14:textId="77777777" w:rsidR="00722B14" w:rsidRDefault="00722B14" w:rsidP="00DD3BAE">
            <w:pPr>
              <w:spacing w:before="0" w:after="0"/>
              <w:jc w:val="center"/>
              <w:rPr>
                <w:color w:val="000000"/>
                <w:sz w:val="16"/>
                <w:szCs w:val="16"/>
              </w:rPr>
            </w:pPr>
            <w:r>
              <w:rPr>
                <w:color w:val="000000"/>
                <w:sz w:val="16"/>
                <w:szCs w:val="16"/>
              </w:rPr>
              <w:t>-10.46 ±</w:t>
            </w:r>
          </w:p>
        </w:tc>
        <w:tc>
          <w:tcPr>
            <w:tcW w:w="1109" w:type="dxa"/>
            <w:tcBorders>
              <w:top w:val="single" w:sz="4" w:space="0" w:color="auto"/>
              <w:left w:val="nil"/>
              <w:bottom w:val="single" w:sz="4" w:space="0" w:color="auto"/>
              <w:right w:val="nil"/>
            </w:tcBorders>
            <w:vAlign w:val="center"/>
            <w:hideMark/>
          </w:tcPr>
          <w:p w14:paraId="7D15BC42" w14:textId="77777777" w:rsidR="00722B14" w:rsidRDefault="00722B14" w:rsidP="00DD3BAE">
            <w:pPr>
              <w:spacing w:before="0" w:after="0"/>
              <w:jc w:val="center"/>
              <w:rPr>
                <w:color w:val="000000"/>
                <w:sz w:val="16"/>
                <w:szCs w:val="16"/>
              </w:rPr>
            </w:pPr>
            <w:r>
              <w:rPr>
                <w:color w:val="000000"/>
                <w:sz w:val="16"/>
                <w:szCs w:val="16"/>
              </w:rPr>
              <w:t>4.55</w:t>
            </w:r>
          </w:p>
        </w:tc>
        <w:tc>
          <w:tcPr>
            <w:tcW w:w="797" w:type="dxa"/>
            <w:tcBorders>
              <w:top w:val="single" w:sz="4" w:space="0" w:color="auto"/>
              <w:left w:val="nil"/>
              <w:bottom w:val="single" w:sz="4" w:space="0" w:color="auto"/>
              <w:right w:val="nil"/>
            </w:tcBorders>
            <w:vAlign w:val="center"/>
            <w:hideMark/>
          </w:tcPr>
          <w:p w14:paraId="45E42B9C" w14:textId="77777777" w:rsidR="00722B14" w:rsidRDefault="00722B14" w:rsidP="00DD3BAE">
            <w:pPr>
              <w:spacing w:before="0" w:after="0"/>
              <w:jc w:val="center"/>
              <w:rPr>
                <w:i/>
                <w:color w:val="000000"/>
                <w:sz w:val="16"/>
                <w:szCs w:val="16"/>
              </w:rPr>
            </w:pPr>
            <w:r>
              <w:rPr>
                <w:i/>
                <w:color w:val="000000"/>
                <w:sz w:val="16"/>
                <w:szCs w:val="16"/>
              </w:rPr>
              <w:t>30.5</w:t>
            </w:r>
          </w:p>
        </w:tc>
        <w:tc>
          <w:tcPr>
            <w:tcW w:w="1557" w:type="dxa"/>
            <w:tcBorders>
              <w:top w:val="single" w:sz="4" w:space="0" w:color="auto"/>
              <w:left w:val="nil"/>
              <w:bottom w:val="single" w:sz="4" w:space="0" w:color="auto"/>
              <w:right w:val="nil"/>
            </w:tcBorders>
            <w:noWrap/>
            <w:vAlign w:val="center"/>
            <w:hideMark/>
          </w:tcPr>
          <w:p w14:paraId="5D69CE6C" w14:textId="77777777" w:rsidR="00722B14" w:rsidRDefault="00722B14" w:rsidP="00DD3BAE">
            <w:pPr>
              <w:spacing w:before="0" w:after="0"/>
              <w:jc w:val="center"/>
              <w:rPr>
                <w:i/>
                <w:color w:val="000000"/>
                <w:sz w:val="16"/>
                <w:szCs w:val="16"/>
              </w:rPr>
            </w:pPr>
            <w:r>
              <w:rPr>
                <w:i/>
                <w:color w:val="000000"/>
                <w:sz w:val="16"/>
                <w:szCs w:val="16"/>
              </w:rPr>
              <w:t>-10 (-15.5 to -6.4)</w:t>
            </w:r>
          </w:p>
        </w:tc>
      </w:tr>
      <w:tr w:rsidR="00722B14" w14:paraId="68A5798C" w14:textId="77777777" w:rsidTr="00DE79BD">
        <w:trPr>
          <w:cantSplit/>
          <w:trHeight w:val="227"/>
          <w:jc w:val="center"/>
        </w:trPr>
        <w:tc>
          <w:tcPr>
            <w:tcW w:w="1077" w:type="dxa"/>
            <w:vAlign w:val="center"/>
            <w:hideMark/>
          </w:tcPr>
          <w:p w14:paraId="6A8DD3E9" w14:textId="77777777" w:rsidR="00722B14" w:rsidRDefault="00722B14" w:rsidP="00DD3BAE">
            <w:pPr>
              <w:spacing w:before="0" w:after="0"/>
              <w:jc w:val="center"/>
              <w:rPr>
                <w:color w:val="000000"/>
                <w:sz w:val="16"/>
                <w:szCs w:val="16"/>
              </w:rPr>
            </w:pPr>
            <w:r>
              <w:rPr>
                <w:color w:val="000000"/>
                <w:sz w:val="16"/>
                <w:szCs w:val="16"/>
              </w:rPr>
              <w:t>Mary</w:t>
            </w:r>
          </w:p>
        </w:tc>
        <w:tc>
          <w:tcPr>
            <w:tcW w:w="1115" w:type="dxa"/>
            <w:noWrap/>
            <w:vAlign w:val="center"/>
          </w:tcPr>
          <w:p w14:paraId="5E077526" w14:textId="77777777" w:rsidR="00722B14" w:rsidRDefault="00722B14" w:rsidP="00DD3BAE">
            <w:pPr>
              <w:spacing w:before="0" w:after="0"/>
              <w:jc w:val="center"/>
              <w:rPr>
                <w:color w:val="000000"/>
                <w:sz w:val="16"/>
                <w:szCs w:val="16"/>
              </w:rPr>
            </w:pPr>
            <w:r>
              <w:rPr>
                <w:color w:val="000000"/>
                <w:sz w:val="16"/>
                <w:szCs w:val="16"/>
              </w:rPr>
              <w:t>intertidal</w:t>
            </w:r>
          </w:p>
        </w:tc>
        <w:tc>
          <w:tcPr>
            <w:tcW w:w="789" w:type="dxa"/>
            <w:tcBorders>
              <w:top w:val="single" w:sz="4" w:space="0" w:color="auto"/>
              <w:left w:val="nil"/>
              <w:bottom w:val="nil"/>
              <w:right w:val="nil"/>
            </w:tcBorders>
            <w:noWrap/>
            <w:vAlign w:val="center"/>
            <w:hideMark/>
          </w:tcPr>
          <w:p w14:paraId="5F261509"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5301D921" w14:textId="77777777" w:rsidR="00722B14" w:rsidRDefault="00722B14" w:rsidP="00DD3BAE">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08F39F2F" w14:textId="77777777" w:rsidR="00722B14" w:rsidRDefault="00722B14" w:rsidP="00DD3BAE">
            <w:pPr>
              <w:spacing w:before="0" w:after="0"/>
              <w:jc w:val="center"/>
              <w:rPr>
                <w:color w:val="000000"/>
                <w:sz w:val="16"/>
                <w:szCs w:val="16"/>
              </w:rPr>
            </w:pPr>
            <w:r>
              <w:rPr>
                <w:color w:val="000000"/>
                <w:sz w:val="16"/>
                <w:szCs w:val="16"/>
              </w:rPr>
              <w:t>41.03</w:t>
            </w:r>
          </w:p>
        </w:tc>
        <w:tc>
          <w:tcPr>
            <w:tcW w:w="661" w:type="dxa"/>
            <w:tcBorders>
              <w:top w:val="single" w:sz="4" w:space="0" w:color="auto"/>
              <w:left w:val="nil"/>
              <w:bottom w:val="nil"/>
              <w:right w:val="nil"/>
            </w:tcBorders>
            <w:shd w:val="clear" w:color="auto" w:fill="CCFFCC"/>
            <w:vAlign w:val="center"/>
            <w:hideMark/>
          </w:tcPr>
          <w:p w14:paraId="052E7989" w14:textId="77777777" w:rsidR="00722B14" w:rsidRDefault="00722B14" w:rsidP="00DD3BAE">
            <w:pPr>
              <w:spacing w:before="0" w:after="0"/>
              <w:jc w:val="center"/>
              <w:rPr>
                <w:color w:val="000000"/>
                <w:sz w:val="16"/>
                <w:szCs w:val="16"/>
              </w:rPr>
            </w:pPr>
            <w:r>
              <w:rPr>
                <w:color w:val="000000"/>
                <w:sz w:val="16"/>
                <w:szCs w:val="16"/>
              </w:rPr>
              <w:t>17.80</w:t>
            </w:r>
          </w:p>
        </w:tc>
        <w:tc>
          <w:tcPr>
            <w:tcW w:w="1109" w:type="dxa"/>
            <w:tcBorders>
              <w:top w:val="single" w:sz="4" w:space="0" w:color="auto"/>
              <w:left w:val="nil"/>
              <w:bottom w:val="nil"/>
              <w:right w:val="nil"/>
            </w:tcBorders>
            <w:shd w:val="clear" w:color="auto" w:fill="CCFFCC"/>
            <w:noWrap/>
            <w:vAlign w:val="center"/>
            <w:hideMark/>
          </w:tcPr>
          <w:p w14:paraId="62F93DBB" w14:textId="77777777" w:rsidR="00722B14" w:rsidRDefault="00722B14" w:rsidP="00DD3BAE">
            <w:pPr>
              <w:spacing w:before="0" w:after="0"/>
              <w:jc w:val="center"/>
              <w:rPr>
                <w:color w:val="000000"/>
                <w:sz w:val="16"/>
                <w:szCs w:val="16"/>
              </w:rPr>
            </w:pPr>
            <w:r>
              <w:rPr>
                <w:color w:val="000000"/>
                <w:sz w:val="16"/>
                <w:szCs w:val="16"/>
              </w:rPr>
              <w:t>-8.94 ±0.21</w:t>
            </w:r>
          </w:p>
        </w:tc>
        <w:tc>
          <w:tcPr>
            <w:tcW w:w="1109" w:type="dxa"/>
            <w:tcBorders>
              <w:top w:val="single" w:sz="4" w:space="0" w:color="auto"/>
              <w:left w:val="nil"/>
              <w:bottom w:val="nil"/>
              <w:right w:val="nil"/>
            </w:tcBorders>
            <w:vAlign w:val="center"/>
            <w:hideMark/>
          </w:tcPr>
          <w:p w14:paraId="0EC21B49" w14:textId="77777777" w:rsidR="00722B14" w:rsidRDefault="00722B14" w:rsidP="00DD3BAE">
            <w:pPr>
              <w:spacing w:before="0" w:after="0"/>
              <w:jc w:val="center"/>
              <w:rPr>
                <w:color w:val="000000"/>
                <w:sz w:val="16"/>
                <w:szCs w:val="16"/>
              </w:rPr>
            </w:pPr>
            <w:r>
              <w:rPr>
                <w:color w:val="000000"/>
                <w:sz w:val="16"/>
                <w:szCs w:val="16"/>
              </w:rPr>
              <w:t>3.11 ±0.42</w:t>
            </w:r>
          </w:p>
        </w:tc>
        <w:tc>
          <w:tcPr>
            <w:tcW w:w="797" w:type="dxa"/>
            <w:tcBorders>
              <w:top w:val="single" w:sz="4" w:space="0" w:color="auto"/>
              <w:left w:val="nil"/>
              <w:bottom w:val="nil"/>
              <w:right w:val="nil"/>
            </w:tcBorders>
            <w:vAlign w:val="center"/>
            <w:hideMark/>
          </w:tcPr>
          <w:p w14:paraId="479D65A8"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7C51C953" w14:textId="77777777" w:rsidR="00722B14" w:rsidRDefault="00722B14" w:rsidP="00DD3BAE">
            <w:pPr>
              <w:spacing w:before="0" w:after="0"/>
              <w:jc w:val="center"/>
              <w:rPr>
                <w:i/>
                <w:color w:val="000000"/>
                <w:sz w:val="16"/>
                <w:szCs w:val="16"/>
              </w:rPr>
            </w:pPr>
            <w:r>
              <w:rPr>
                <w:i/>
                <w:color w:val="000000"/>
                <w:sz w:val="16"/>
                <w:szCs w:val="16"/>
              </w:rPr>
              <w:t>-10.8 (-12.4 to -9.2)</w:t>
            </w:r>
          </w:p>
        </w:tc>
      </w:tr>
      <w:tr w:rsidR="00722B14" w14:paraId="31BD178E" w14:textId="77777777" w:rsidTr="00DE79BD">
        <w:trPr>
          <w:cantSplit/>
          <w:trHeight w:val="227"/>
          <w:jc w:val="center"/>
        </w:trPr>
        <w:tc>
          <w:tcPr>
            <w:tcW w:w="1077" w:type="dxa"/>
            <w:vAlign w:val="center"/>
          </w:tcPr>
          <w:p w14:paraId="2F34EE91" w14:textId="77777777" w:rsidR="00722B14" w:rsidRDefault="00722B14" w:rsidP="00DD3BAE">
            <w:pPr>
              <w:spacing w:before="0" w:after="0"/>
              <w:jc w:val="center"/>
              <w:rPr>
                <w:color w:val="000000"/>
                <w:sz w:val="16"/>
                <w:szCs w:val="16"/>
              </w:rPr>
            </w:pPr>
          </w:p>
        </w:tc>
        <w:tc>
          <w:tcPr>
            <w:tcW w:w="1115" w:type="dxa"/>
            <w:noWrap/>
            <w:vAlign w:val="center"/>
          </w:tcPr>
          <w:p w14:paraId="1CB0EA13" w14:textId="77777777" w:rsidR="00722B14" w:rsidRDefault="00722B14" w:rsidP="00DD3BAE">
            <w:pPr>
              <w:spacing w:before="0" w:after="0"/>
              <w:jc w:val="center"/>
              <w:rPr>
                <w:color w:val="000000"/>
                <w:sz w:val="16"/>
                <w:szCs w:val="16"/>
              </w:rPr>
            </w:pPr>
          </w:p>
        </w:tc>
        <w:tc>
          <w:tcPr>
            <w:tcW w:w="789" w:type="dxa"/>
            <w:noWrap/>
            <w:vAlign w:val="center"/>
          </w:tcPr>
          <w:p w14:paraId="4A10939F" w14:textId="77777777" w:rsidR="00722B14" w:rsidRDefault="00722B14" w:rsidP="00DD3BAE">
            <w:pPr>
              <w:spacing w:before="0" w:after="0"/>
              <w:jc w:val="center"/>
              <w:rPr>
                <w:color w:val="000000"/>
                <w:sz w:val="16"/>
                <w:szCs w:val="16"/>
              </w:rPr>
            </w:pPr>
          </w:p>
        </w:tc>
        <w:tc>
          <w:tcPr>
            <w:tcW w:w="621" w:type="dxa"/>
            <w:vAlign w:val="center"/>
            <w:hideMark/>
          </w:tcPr>
          <w:p w14:paraId="78FC27DB" w14:textId="77777777" w:rsidR="00722B14" w:rsidRDefault="00722B14" w:rsidP="00DD3BAE">
            <w:pPr>
              <w:spacing w:before="0" w:after="0"/>
              <w:jc w:val="center"/>
              <w:rPr>
                <w:color w:val="000000"/>
                <w:sz w:val="16"/>
                <w:szCs w:val="16"/>
              </w:rPr>
            </w:pPr>
            <w:r>
              <w:rPr>
                <w:color w:val="000000"/>
                <w:sz w:val="16"/>
                <w:szCs w:val="16"/>
              </w:rPr>
              <w:t>2012</w:t>
            </w:r>
          </w:p>
        </w:tc>
        <w:tc>
          <w:tcPr>
            <w:tcW w:w="661" w:type="dxa"/>
            <w:vAlign w:val="center"/>
            <w:hideMark/>
          </w:tcPr>
          <w:p w14:paraId="7C91E861" w14:textId="77777777" w:rsidR="00722B14" w:rsidRDefault="00722B14" w:rsidP="00DD3BAE">
            <w:pPr>
              <w:spacing w:before="0" w:after="0"/>
              <w:jc w:val="center"/>
              <w:rPr>
                <w:color w:val="000000"/>
                <w:sz w:val="16"/>
                <w:szCs w:val="16"/>
              </w:rPr>
            </w:pPr>
            <w:r>
              <w:rPr>
                <w:color w:val="000000"/>
                <w:sz w:val="16"/>
                <w:szCs w:val="16"/>
              </w:rPr>
              <w:t>39.48</w:t>
            </w:r>
          </w:p>
        </w:tc>
        <w:tc>
          <w:tcPr>
            <w:tcW w:w="661" w:type="dxa"/>
            <w:shd w:val="clear" w:color="auto" w:fill="CCFFCC"/>
            <w:vAlign w:val="center"/>
            <w:hideMark/>
          </w:tcPr>
          <w:p w14:paraId="048CB9C4" w14:textId="77777777" w:rsidR="00722B14" w:rsidRDefault="00722B14" w:rsidP="00DD3BAE">
            <w:pPr>
              <w:spacing w:before="0" w:after="0"/>
              <w:jc w:val="center"/>
              <w:rPr>
                <w:color w:val="000000"/>
                <w:sz w:val="16"/>
                <w:szCs w:val="16"/>
              </w:rPr>
            </w:pPr>
            <w:r>
              <w:rPr>
                <w:color w:val="000000"/>
                <w:sz w:val="16"/>
                <w:szCs w:val="16"/>
              </w:rPr>
              <w:t>15.75</w:t>
            </w:r>
          </w:p>
        </w:tc>
        <w:tc>
          <w:tcPr>
            <w:tcW w:w="1109" w:type="dxa"/>
            <w:shd w:val="clear" w:color="auto" w:fill="CCFFCC"/>
            <w:noWrap/>
            <w:vAlign w:val="center"/>
            <w:hideMark/>
          </w:tcPr>
          <w:p w14:paraId="25BF56AB" w14:textId="77777777" w:rsidR="00722B14" w:rsidRDefault="00722B14" w:rsidP="00DD3BAE">
            <w:pPr>
              <w:spacing w:before="0" w:after="0"/>
              <w:jc w:val="center"/>
              <w:rPr>
                <w:color w:val="000000"/>
                <w:sz w:val="16"/>
                <w:szCs w:val="16"/>
              </w:rPr>
            </w:pPr>
            <w:r>
              <w:rPr>
                <w:color w:val="000000"/>
                <w:sz w:val="16"/>
                <w:szCs w:val="16"/>
              </w:rPr>
              <w:t>-10.78 ±0.05</w:t>
            </w:r>
          </w:p>
        </w:tc>
        <w:tc>
          <w:tcPr>
            <w:tcW w:w="1109" w:type="dxa"/>
            <w:vAlign w:val="center"/>
            <w:hideMark/>
          </w:tcPr>
          <w:p w14:paraId="386C9605" w14:textId="77777777" w:rsidR="00722B14" w:rsidRDefault="00722B14" w:rsidP="00DD3BAE">
            <w:pPr>
              <w:spacing w:before="0" w:after="0"/>
              <w:jc w:val="center"/>
              <w:rPr>
                <w:color w:val="000000"/>
                <w:sz w:val="16"/>
                <w:szCs w:val="16"/>
              </w:rPr>
            </w:pPr>
            <w:r>
              <w:rPr>
                <w:color w:val="000000"/>
                <w:sz w:val="16"/>
                <w:szCs w:val="16"/>
              </w:rPr>
              <w:t>1.72 ±0.33</w:t>
            </w:r>
          </w:p>
        </w:tc>
        <w:tc>
          <w:tcPr>
            <w:tcW w:w="797" w:type="dxa"/>
            <w:vAlign w:val="center"/>
          </w:tcPr>
          <w:p w14:paraId="38C404A0" w14:textId="77777777" w:rsidR="00722B14" w:rsidRDefault="00722B14" w:rsidP="00DD3BAE">
            <w:pPr>
              <w:spacing w:before="0" w:after="0"/>
              <w:jc w:val="center"/>
              <w:rPr>
                <w:i/>
                <w:color w:val="000000"/>
                <w:sz w:val="16"/>
                <w:szCs w:val="16"/>
              </w:rPr>
            </w:pPr>
          </w:p>
        </w:tc>
        <w:tc>
          <w:tcPr>
            <w:tcW w:w="1557" w:type="dxa"/>
            <w:noWrap/>
            <w:vAlign w:val="center"/>
          </w:tcPr>
          <w:p w14:paraId="52F23A8D" w14:textId="77777777" w:rsidR="00722B14" w:rsidRDefault="00722B14" w:rsidP="00DD3BAE">
            <w:pPr>
              <w:spacing w:before="0" w:after="0"/>
              <w:jc w:val="center"/>
              <w:rPr>
                <w:i/>
                <w:color w:val="000000"/>
                <w:sz w:val="16"/>
                <w:szCs w:val="16"/>
              </w:rPr>
            </w:pPr>
          </w:p>
        </w:tc>
      </w:tr>
      <w:tr w:rsidR="00722B14" w14:paraId="25405F15" w14:textId="77777777" w:rsidTr="00DE79BD">
        <w:trPr>
          <w:cantSplit/>
          <w:trHeight w:val="227"/>
          <w:jc w:val="center"/>
        </w:trPr>
        <w:tc>
          <w:tcPr>
            <w:tcW w:w="1077" w:type="dxa"/>
            <w:vAlign w:val="center"/>
          </w:tcPr>
          <w:p w14:paraId="3E3D5E61" w14:textId="77777777" w:rsidR="00722B14" w:rsidRDefault="00722B14" w:rsidP="00DD3BAE">
            <w:pPr>
              <w:spacing w:before="0" w:after="0"/>
              <w:jc w:val="center"/>
              <w:rPr>
                <w:color w:val="000000"/>
                <w:sz w:val="16"/>
                <w:szCs w:val="16"/>
              </w:rPr>
            </w:pPr>
          </w:p>
        </w:tc>
        <w:tc>
          <w:tcPr>
            <w:tcW w:w="1115" w:type="dxa"/>
            <w:noWrap/>
            <w:vAlign w:val="center"/>
          </w:tcPr>
          <w:p w14:paraId="535A8721" w14:textId="77777777" w:rsidR="00722B14" w:rsidRDefault="00722B14" w:rsidP="00DD3BAE">
            <w:pPr>
              <w:spacing w:before="0" w:after="0"/>
              <w:jc w:val="center"/>
              <w:rPr>
                <w:color w:val="000000"/>
                <w:sz w:val="16"/>
                <w:szCs w:val="16"/>
              </w:rPr>
            </w:pPr>
          </w:p>
        </w:tc>
        <w:tc>
          <w:tcPr>
            <w:tcW w:w="789" w:type="dxa"/>
            <w:noWrap/>
            <w:vAlign w:val="center"/>
          </w:tcPr>
          <w:p w14:paraId="52FED94D" w14:textId="77777777" w:rsidR="00722B14" w:rsidRDefault="00722B14" w:rsidP="00DD3BAE">
            <w:pPr>
              <w:spacing w:before="0" w:after="0"/>
              <w:jc w:val="center"/>
              <w:rPr>
                <w:color w:val="000000"/>
                <w:sz w:val="16"/>
                <w:szCs w:val="16"/>
              </w:rPr>
            </w:pPr>
          </w:p>
        </w:tc>
        <w:tc>
          <w:tcPr>
            <w:tcW w:w="621" w:type="dxa"/>
            <w:vAlign w:val="center"/>
            <w:hideMark/>
          </w:tcPr>
          <w:p w14:paraId="15E3306C" w14:textId="77777777" w:rsidR="00722B14" w:rsidRDefault="00722B14" w:rsidP="00DD3BAE">
            <w:pPr>
              <w:spacing w:before="0" w:after="0"/>
              <w:jc w:val="center"/>
              <w:rPr>
                <w:color w:val="000000"/>
                <w:sz w:val="16"/>
                <w:szCs w:val="16"/>
              </w:rPr>
            </w:pPr>
            <w:r>
              <w:rPr>
                <w:color w:val="000000"/>
                <w:sz w:val="16"/>
                <w:szCs w:val="16"/>
              </w:rPr>
              <w:t>2013</w:t>
            </w:r>
          </w:p>
        </w:tc>
        <w:tc>
          <w:tcPr>
            <w:tcW w:w="661" w:type="dxa"/>
            <w:vAlign w:val="center"/>
            <w:hideMark/>
          </w:tcPr>
          <w:p w14:paraId="47C563B8" w14:textId="77777777" w:rsidR="00722B14" w:rsidRDefault="00722B14" w:rsidP="00DD3BAE">
            <w:pPr>
              <w:spacing w:before="0" w:after="0"/>
              <w:jc w:val="center"/>
              <w:rPr>
                <w:color w:val="000000"/>
                <w:sz w:val="16"/>
                <w:szCs w:val="16"/>
              </w:rPr>
            </w:pPr>
            <w:r>
              <w:rPr>
                <w:color w:val="000000"/>
                <w:sz w:val="16"/>
                <w:szCs w:val="16"/>
              </w:rPr>
              <w:t>35.02</w:t>
            </w:r>
          </w:p>
        </w:tc>
        <w:tc>
          <w:tcPr>
            <w:tcW w:w="661" w:type="dxa"/>
            <w:shd w:val="clear" w:color="auto" w:fill="CCFFCC"/>
            <w:vAlign w:val="center"/>
            <w:hideMark/>
          </w:tcPr>
          <w:p w14:paraId="7A8F646E" w14:textId="77777777" w:rsidR="00722B14" w:rsidRDefault="00722B14" w:rsidP="00DD3BAE">
            <w:pPr>
              <w:spacing w:before="0" w:after="0"/>
              <w:jc w:val="center"/>
              <w:rPr>
                <w:color w:val="000000"/>
                <w:sz w:val="16"/>
                <w:szCs w:val="16"/>
              </w:rPr>
            </w:pPr>
            <w:r>
              <w:rPr>
                <w:color w:val="000000"/>
                <w:sz w:val="16"/>
                <w:szCs w:val="16"/>
              </w:rPr>
              <w:t>18.92</w:t>
            </w:r>
          </w:p>
        </w:tc>
        <w:tc>
          <w:tcPr>
            <w:tcW w:w="1109" w:type="dxa"/>
            <w:shd w:val="clear" w:color="auto" w:fill="CCFFCC"/>
            <w:noWrap/>
            <w:vAlign w:val="center"/>
            <w:hideMark/>
          </w:tcPr>
          <w:p w14:paraId="6A0CC0F3" w14:textId="77777777" w:rsidR="00722B14" w:rsidRDefault="00722B14" w:rsidP="00DD3BAE">
            <w:pPr>
              <w:spacing w:before="0" w:after="0"/>
              <w:jc w:val="center"/>
              <w:rPr>
                <w:color w:val="000000"/>
                <w:sz w:val="16"/>
                <w:szCs w:val="16"/>
              </w:rPr>
            </w:pPr>
            <w:r>
              <w:rPr>
                <w:color w:val="000000"/>
                <w:sz w:val="16"/>
                <w:szCs w:val="16"/>
              </w:rPr>
              <w:t>-10.540.08</w:t>
            </w:r>
          </w:p>
        </w:tc>
        <w:tc>
          <w:tcPr>
            <w:tcW w:w="1109" w:type="dxa"/>
            <w:vAlign w:val="center"/>
            <w:hideMark/>
          </w:tcPr>
          <w:p w14:paraId="06532730" w14:textId="77777777" w:rsidR="00722B14" w:rsidRDefault="00722B14" w:rsidP="00DD3BAE">
            <w:pPr>
              <w:spacing w:before="0" w:after="0"/>
              <w:jc w:val="center"/>
              <w:rPr>
                <w:color w:val="000000"/>
                <w:sz w:val="16"/>
                <w:szCs w:val="16"/>
              </w:rPr>
            </w:pPr>
            <w:r>
              <w:rPr>
                <w:color w:val="000000"/>
                <w:sz w:val="16"/>
                <w:szCs w:val="16"/>
              </w:rPr>
              <w:t>3.79 ±0.30</w:t>
            </w:r>
          </w:p>
        </w:tc>
        <w:tc>
          <w:tcPr>
            <w:tcW w:w="797" w:type="dxa"/>
            <w:vAlign w:val="center"/>
          </w:tcPr>
          <w:p w14:paraId="3F13080C" w14:textId="77777777" w:rsidR="00722B14" w:rsidRDefault="00722B14" w:rsidP="00DD3BAE">
            <w:pPr>
              <w:spacing w:before="0" w:after="0"/>
              <w:jc w:val="center"/>
              <w:rPr>
                <w:i/>
                <w:color w:val="000000"/>
                <w:sz w:val="16"/>
                <w:szCs w:val="16"/>
              </w:rPr>
            </w:pPr>
          </w:p>
        </w:tc>
        <w:tc>
          <w:tcPr>
            <w:tcW w:w="1557" w:type="dxa"/>
            <w:noWrap/>
            <w:vAlign w:val="center"/>
          </w:tcPr>
          <w:p w14:paraId="58288342" w14:textId="77777777" w:rsidR="00722B14" w:rsidRDefault="00722B14" w:rsidP="00DD3BAE">
            <w:pPr>
              <w:spacing w:before="0" w:after="0"/>
              <w:jc w:val="center"/>
              <w:rPr>
                <w:i/>
                <w:color w:val="000000"/>
                <w:sz w:val="16"/>
                <w:szCs w:val="16"/>
              </w:rPr>
            </w:pPr>
          </w:p>
        </w:tc>
      </w:tr>
      <w:tr w:rsidR="00722B14" w:rsidRPr="007C770B" w14:paraId="66585A17" w14:textId="77777777" w:rsidTr="00DE79BD">
        <w:trPr>
          <w:cantSplit/>
          <w:trHeight w:val="227"/>
          <w:jc w:val="center"/>
        </w:trPr>
        <w:tc>
          <w:tcPr>
            <w:tcW w:w="1077" w:type="dxa"/>
            <w:tcBorders>
              <w:top w:val="nil"/>
              <w:left w:val="nil"/>
              <w:right w:val="nil"/>
            </w:tcBorders>
            <w:vAlign w:val="center"/>
          </w:tcPr>
          <w:p w14:paraId="318C75E2" w14:textId="77777777" w:rsidR="00722B14" w:rsidRDefault="00722B14" w:rsidP="00DD3BAE">
            <w:pPr>
              <w:spacing w:before="0" w:after="0"/>
              <w:jc w:val="center"/>
              <w:rPr>
                <w:color w:val="000000"/>
                <w:sz w:val="16"/>
                <w:szCs w:val="16"/>
              </w:rPr>
            </w:pPr>
          </w:p>
        </w:tc>
        <w:tc>
          <w:tcPr>
            <w:tcW w:w="1115" w:type="dxa"/>
            <w:tcBorders>
              <w:top w:val="nil"/>
              <w:left w:val="nil"/>
              <w:right w:val="nil"/>
            </w:tcBorders>
            <w:noWrap/>
            <w:vAlign w:val="center"/>
          </w:tcPr>
          <w:p w14:paraId="74931CFD" w14:textId="77777777" w:rsidR="00722B14" w:rsidRDefault="00722B14" w:rsidP="00DD3BAE">
            <w:pPr>
              <w:spacing w:before="0" w:after="0"/>
              <w:jc w:val="center"/>
              <w:rPr>
                <w:color w:val="000000"/>
                <w:sz w:val="16"/>
                <w:szCs w:val="16"/>
              </w:rPr>
            </w:pPr>
          </w:p>
        </w:tc>
        <w:tc>
          <w:tcPr>
            <w:tcW w:w="789" w:type="dxa"/>
            <w:tcBorders>
              <w:top w:val="nil"/>
              <w:left w:val="nil"/>
              <w:right w:val="nil"/>
            </w:tcBorders>
            <w:noWrap/>
            <w:vAlign w:val="center"/>
          </w:tcPr>
          <w:p w14:paraId="4ACC1776" w14:textId="77777777" w:rsidR="00722B14" w:rsidRDefault="00722B14" w:rsidP="00DD3BAE">
            <w:pPr>
              <w:spacing w:before="0" w:after="0"/>
              <w:jc w:val="center"/>
              <w:rPr>
                <w:color w:val="000000"/>
                <w:sz w:val="16"/>
                <w:szCs w:val="16"/>
              </w:rPr>
            </w:pPr>
          </w:p>
        </w:tc>
        <w:tc>
          <w:tcPr>
            <w:tcW w:w="621" w:type="dxa"/>
            <w:tcBorders>
              <w:top w:val="nil"/>
              <w:left w:val="nil"/>
              <w:right w:val="nil"/>
            </w:tcBorders>
            <w:vAlign w:val="center"/>
            <w:hideMark/>
          </w:tcPr>
          <w:p w14:paraId="12ACE5F5" w14:textId="77777777" w:rsidR="00722B14" w:rsidRDefault="00722B14" w:rsidP="00DD3BAE">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0DFEA48D" w14:textId="77777777" w:rsidR="00722B14" w:rsidRDefault="00722B14" w:rsidP="00DD3BAE">
            <w:pPr>
              <w:spacing w:before="0" w:after="0"/>
              <w:jc w:val="center"/>
              <w:rPr>
                <w:color w:val="000000"/>
                <w:sz w:val="16"/>
                <w:szCs w:val="16"/>
              </w:rPr>
            </w:pPr>
            <w:r>
              <w:rPr>
                <w:color w:val="000000"/>
                <w:sz w:val="16"/>
                <w:szCs w:val="16"/>
              </w:rPr>
              <w:t>37.86</w:t>
            </w:r>
          </w:p>
        </w:tc>
        <w:tc>
          <w:tcPr>
            <w:tcW w:w="661" w:type="dxa"/>
            <w:tcBorders>
              <w:top w:val="nil"/>
              <w:left w:val="nil"/>
              <w:right w:val="nil"/>
            </w:tcBorders>
            <w:shd w:val="clear" w:color="auto" w:fill="CCFFCC"/>
            <w:vAlign w:val="center"/>
            <w:hideMark/>
          </w:tcPr>
          <w:p w14:paraId="7CFB5FB4" w14:textId="77777777" w:rsidR="00722B14" w:rsidRDefault="00722B14" w:rsidP="00DD3BAE">
            <w:pPr>
              <w:spacing w:before="0" w:after="0"/>
              <w:jc w:val="center"/>
              <w:rPr>
                <w:color w:val="000000"/>
                <w:sz w:val="16"/>
                <w:szCs w:val="16"/>
              </w:rPr>
            </w:pPr>
            <w:r>
              <w:rPr>
                <w:color w:val="000000"/>
                <w:sz w:val="16"/>
                <w:szCs w:val="16"/>
              </w:rPr>
              <w:t>18.67</w:t>
            </w:r>
          </w:p>
        </w:tc>
        <w:tc>
          <w:tcPr>
            <w:tcW w:w="1109" w:type="dxa"/>
            <w:tcBorders>
              <w:top w:val="nil"/>
              <w:left w:val="nil"/>
              <w:right w:val="nil"/>
            </w:tcBorders>
            <w:shd w:val="clear" w:color="auto" w:fill="CCFFCC"/>
            <w:noWrap/>
            <w:vAlign w:val="center"/>
            <w:hideMark/>
          </w:tcPr>
          <w:p w14:paraId="52937C38" w14:textId="77777777" w:rsidR="00722B14" w:rsidRDefault="00722B14" w:rsidP="00DD3BAE">
            <w:pPr>
              <w:spacing w:before="0" w:after="0"/>
              <w:jc w:val="center"/>
              <w:rPr>
                <w:color w:val="000000"/>
                <w:sz w:val="16"/>
                <w:szCs w:val="16"/>
              </w:rPr>
            </w:pPr>
            <w:r>
              <w:rPr>
                <w:color w:val="000000"/>
                <w:sz w:val="16"/>
                <w:szCs w:val="16"/>
              </w:rPr>
              <w:t>-10.75 ±0.24</w:t>
            </w:r>
          </w:p>
        </w:tc>
        <w:tc>
          <w:tcPr>
            <w:tcW w:w="1109" w:type="dxa"/>
            <w:tcBorders>
              <w:top w:val="nil"/>
              <w:left w:val="nil"/>
              <w:right w:val="nil"/>
            </w:tcBorders>
            <w:vAlign w:val="center"/>
            <w:hideMark/>
          </w:tcPr>
          <w:p w14:paraId="7F1145AF" w14:textId="77777777" w:rsidR="00722B14" w:rsidRDefault="00722B14" w:rsidP="00DD3BAE">
            <w:pPr>
              <w:spacing w:before="0" w:after="0"/>
              <w:jc w:val="center"/>
              <w:rPr>
                <w:color w:val="000000"/>
                <w:sz w:val="16"/>
                <w:szCs w:val="16"/>
              </w:rPr>
            </w:pPr>
            <w:r>
              <w:rPr>
                <w:color w:val="000000"/>
                <w:sz w:val="16"/>
                <w:szCs w:val="16"/>
              </w:rPr>
              <w:t>2.26 ±0.10</w:t>
            </w:r>
          </w:p>
        </w:tc>
        <w:tc>
          <w:tcPr>
            <w:tcW w:w="797" w:type="dxa"/>
            <w:tcBorders>
              <w:top w:val="nil"/>
              <w:left w:val="nil"/>
              <w:right w:val="nil"/>
            </w:tcBorders>
            <w:vAlign w:val="center"/>
          </w:tcPr>
          <w:p w14:paraId="54AB4681" w14:textId="77777777" w:rsidR="00722B14" w:rsidRPr="007C770B" w:rsidRDefault="00722B14" w:rsidP="00DD3BAE">
            <w:pPr>
              <w:spacing w:before="0" w:after="0"/>
              <w:jc w:val="center"/>
              <w:rPr>
                <w:color w:val="000000"/>
                <w:sz w:val="16"/>
                <w:szCs w:val="16"/>
              </w:rPr>
            </w:pPr>
          </w:p>
        </w:tc>
        <w:tc>
          <w:tcPr>
            <w:tcW w:w="1557" w:type="dxa"/>
            <w:tcBorders>
              <w:top w:val="nil"/>
              <w:left w:val="nil"/>
              <w:right w:val="nil"/>
            </w:tcBorders>
            <w:noWrap/>
            <w:vAlign w:val="center"/>
          </w:tcPr>
          <w:p w14:paraId="49BCAD7C" w14:textId="77777777" w:rsidR="00722B14" w:rsidRPr="007C770B" w:rsidRDefault="00722B14" w:rsidP="00DD3BAE">
            <w:pPr>
              <w:spacing w:before="0" w:after="0"/>
              <w:jc w:val="center"/>
              <w:rPr>
                <w:color w:val="000000"/>
                <w:sz w:val="16"/>
                <w:szCs w:val="16"/>
              </w:rPr>
            </w:pPr>
          </w:p>
        </w:tc>
      </w:tr>
      <w:tr w:rsidR="00722B14" w14:paraId="6A882075" w14:textId="77777777" w:rsidTr="00DE79BD">
        <w:trPr>
          <w:cantSplit/>
          <w:trHeight w:val="227"/>
          <w:jc w:val="center"/>
        </w:trPr>
        <w:tc>
          <w:tcPr>
            <w:tcW w:w="1077" w:type="dxa"/>
            <w:tcBorders>
              <w:top w:val="nil"/>
              <w:left w:val="nil"/>
              <w:bottom w:val="nil"/>
              <w:right w:val="nil"/>
            </w:tcBorders>
            <w:shd w:val="clear" w:color="auto" w:fill="auto"/>
            <w:vAlign w:val="center"/>
          </w:tcPr>
          <w:p w14:paraId="668521B5" w14:textId="77777777" w:rsidR="00722B14" w:rsidRDefault="00722B14" w:rsidP="00DD3BAE">
            <w:pPr>
              <w:spacing w:before="0" w:after="0"/>
              <w:jc w:val="center"/>
              <w:rPr>
                <w:color w:val="000000"/>
                <w:sz w:val="16"/>
                <w:szCs w:val="16"/>
              </w:rPr>
            </w:pPr>
          </w:p>
        </w:tc>
        <w:tc>
          <w:tcPr>
            <w:tcW w:w="1115" w:type="dxa"/>
            <w:tcBorders>
              <w:top w:val="nil"/>
              <w:left w:val="nil"/>
              <w:right w:val="nil"/>
            </w:tcBorders>
            <w:shd w:val="clear" w:color="auto" w:fill="auto"/>
            <w:noWrap/>
            <w:vAlign w:val="center"/>
          </w:tcPr>
          <w:p w14:paraId="1C6B188A" w14:textId="77777777" w:rsidR="00722B14" w:rsidRDefault="00722B14" w:rsidP="00DD3BAE">
            <w:pPr>
              <w:spacing w:before="0" w:after="0"/>
              <w:jc w:val="center"/>
              <w:rPr>
                <w:color w:val="000000"/>
                <w:sz w:val="16"/>
                <w:szCs w:val="16"/>
              </w:rPr>
            </w:pPr>
          </w:p>
        </w:tc>
        <w:tc>
          <w:tcPr>
            <w:tcW w:w="789" w:type="dxa"/>
            <w:tcBorders>
              <w:top w:val="nil"/>
              <w:left w:val="nil"/>
              <w:right w:val="nil"/>
            </w:tcBorders>
            <w:shd w:val="clear" w:color="auto" w:fill="auto"/>
            <w:noWrap/>
            <w:vAlign w:val="center"/>
          </w:tcPr>
          <w:p w14:paraId="53991C4E" w14:textId="77777777" w:rsidR="00722B14" w:rsidRDefault="00722B14" w:rsidP="00DD3BAE">
            <w:pPr>
              <w:spacing w:before="0" w:after="0"/>
              <w:jc w:val="center"/>
              <w:rPr>
                <w:color w:val="000000"/>
                <w:sz w:val="16"/>
                <w:szCs w:val="16"/>
              </w:rPr>
            </w:pPr>
          </w:p>
        </w:tc>
        <w:tc>
          <w:tcPr>
            <w:tcW w:w="621" w:type="dxa"/>
            <w:tcBorders>
              <w:top w:val="nil"/>
              <w:left w:val="nil"/>
              <w:right w:val="nil"/>
            </w:tcBorders>
            <w:shd w:val="clear" w:color="auto" w:fill="auto"/>
            <w:vAlign w:val="center"/>
          </w:tcPr>
          <w:p w14:paraId="33DFC2B0" w14:textId="77777777" w:rsidR="00722B14" w:rsidRPr="007C770B" w:rsidRDefault="00722B14" w:rsidP="00DD3BAE">
            <w:pPr>
              <w:spacing w:before="0" w:after="0"/>
              <w:jc w:val="center"/>
              <w:rPr>
                <w:color w:val="000000"/>
                <w:sz w:val="16"/>
                <w:szCs w:val="16"/>
              </w:rPr>
            </w:pPr>
            <w:r w:rsidRPr="007C770B">
              <w:rPr>
                <w:color w:val="000000"/>
                <w:sz w:val="16"/>
                <w:szCs w:val="16"/>
              </w:rPr>
              <w:t>2015</w:t>
            </w:r>
          </w:p>
        </w:tc>
        <w:tc>
          <w:tcPr>
            <w:tcW w:w="661" w:type="dxa"/>
            <w:tcBorders>
              <w:top w:val="nil"/>
              <w:left w:val="nil"/>
              <w:right w:val="nil"/>
            </w:tcBorders>
            <w:shd w:val="clear" w:color="auto" w:fill="auto"/>
            <w:vAlign w:val="center"/>
          </w:tcPr>
          <w:p w14:paraId="2A3CB86C" w14:textId="77777777" w:rsidR="00722B14" w:rsidRPr="007C770B" w:rsidRDefault="00722B14" w:rsidP="00DD3BAE">
            <w:pPr>
              <w:spacing w:before="0" w:after="0"/>
              <w:jc w:val="center"/>
              <w:rPr>
                <w:color w:val="000000"/>
                <w:sz w:val="16"/>
                <w:szCs w:val="16"/>
              </w:rPr>
            </w:pPr>
            <w:r w:rsidRPr="007C770B">
              <w:rPr>
                <w:color w:val="000000"/>
                <w:sz w:val="16"/>
                <w:szCs w:val="16"/>
              </w:rPr>
              <w:t>39.19</w:t>
            </w:r>
          </w:p>
        </w:tc>
        <w:tc>
          <w:tcPr>
            <w:tcW w:w="661" w:type="dxa"/>
            <w:tcBorders>
              <w:top w:val="nil"/>
              <w:left w:val="nil"/>
              <w:right w:val="nil"/>
            </w:tcBorders>
            <w:shd w:val="clear" w:color="auto" w:fill="auto"/>
            <w:vAlign w:val="center"/>
          </w:tcPr>
          <w:p w14:paraId="767BE2F2" w14:textId="77777777" w:rsidR="00722B14" w:rsidRPr="007C770B" w:rsidRDefault="00722B14" w:rsidP="00DD3BAE">
            <w:pPr>
              <w:spacing w:before="0" w:after="0"/>
              <w:jc w:val="center"/>
              <w:rPr>
                <w:color w:val="000000"/>
                <w:sz w:val="16"/>
                <w:szCs w:val="16"/>
              </w:rPr>
            </w:pPr>
            <w:r w:rsidRPr="007C770B">
              <w:rPr>
                <w:color w:val="000000"/>
                <w:sz w:val="16"/>
                <w:szCs w:val="16"/>
              </w:rPr>
              <w:t>20.02</w:t>
            </w:r>
          </w:p>
        </w:tc>
        <w:tc>
          <w:tcPr>
            <w:tcW w:w="1109" w:type="dxa"/>
            <w:tcBorders>
              <w:top w:val="nil"/>
              <w:left w:val="nil"/>
              <w:right w:val="nil"/>
            </w:tcBorders>
            <w:shd w:val="clear" w:color="auto" w:fill="CCFFCC"/>
            <w:noWrap/>
            <w:vAlign w:val="center"/>
          </w:tcPr>
          <w:p w14:paraId="09BE4458" w14:textId="77777777" w:rsidR="00722B14" w:rsidRPr="007C770B" w:rsidRDefault="00722B14" w:rsidP="00DD3BAE">
            <w:pPr>
              <w:spacing w:before="0" w:after="0"/>
              <w:jc w:val="center"/>
              <w:rPr>
                <w:color w:val="000000"/>
                <w:sz w:val="16"/>
                <w:szCs w:val="16"/>
              </w:rPr>
            </w:pPr>
            <w:r w:rsidRPr="007C770B">
              <w:rPr>
                <w:color w:val="000000"/>
                <w:sz w:val="16"/>
                <w:szCs w:val="16"/>
              </w:rPr>
              <w:t>-9.81 ±0.89</w:t>
            </w:r>
          </w:p>
        </w:tc>
        <w:tc>
          <w:tcPr>
            <w:tcW w:w="1109" w:type="dxa"/>
            <w:tcBorders>
              <w:top w:val="nil"/>
              <w:left w:val="nil"/>
              <w:right w:val="nil"/>
            </w:tcBorders>
            <w:shd w:val="clear" w:color="auto" w:fill="auto"/>
            <w:vAlign w:val="center"/>
          </w:tcPr>
          <w:p w14:paraId="6350A322" w14:textId="77777777" w:rsidR="00722B14" w:rsidRPr="007C770B" w:rsidRDefault="00722B14" w:rsidP="00DD3BAE">
            <w:pPr>
              <w:spacing w:before="0" w:after="0"/>
              <w:jc w:val="center"/>
              <w:rPr>
                <w:color w:val="000000"/>
                <w:sz w:val="16"/>
                <w:szCs w:val="16"/>
              </w:rPr>
            </w:pPr>
            <w:r w:rsidRPr="007C770B">
              <w:rPr>
                <w:color w:val="000000"/>
                <w:sz w:val="16"/>
                <w:szCs w:val="16"/>
              </w:rPr>
              <w:t>1.75 ±0.7</w:t>
            </w:r>
          </w:p>
        </w:tc>
        <w:tc>
          <w:tcPr>
            <w:tcW w:w="797" w:type="dxa"/>
            <w:tcBorders>
              <w:top w:val="nil"/>
              <w:left w:val="nil"/>
              <w:right w:val="nil"/>
            </w:tcBorders>
            <w:shd w:val="clear" w:color="auto" w:fill="auto"/>
            <w:vAlign w:val="center"/>
          </w:tcPr>
          <w:p w14:paraId="278F2DEA" w14:textId="77777777" w:rsidR="00722B14" w:rsidRDefault="00722B14" w:rsidP="00DD3BAE">
            <w:pPr>
              <w:spacing w:before="0" w:after="0"/>
              <w:jc w:val="center"/>
              <w:rPr>
                <w:i/>
                <w:color w:val="000000"/>
                <w:sz w:val="16"/>
                <w:szCs w:val="16"/>
              </w:rPr>
            </w:pPr>
          </w:p>
        </w:tc>
        <w:tc>
          <w:tcPr>
            <w:tcW w:w="1557" w:type="dxa"/>
            <w:tcBorders>
              <w:top w:val="nil"/>
              <w:left w:val="nil"/>
              <w:right w:val="nil"/>
            </w:tcBorders>
            <w:shd w:val="clear" w:color="auto" w:fill="auto"/>
            <w:noWrap/>
            <w:vAlign w:val="center"/>
          </w:tcPr>
          <w:p w14:paraId="3AE12653" w14:textId="77777777" w:rsidR="00722B14" w:rsidRDefault="00722B14" w:rsidP="00DD3BAE">
            <w:pPr>
              <w:spacing w:before="0" w:after="0"/>
              <w:jc w:val="center"/>
              <w:rPr>
                <w:i/>
                <w:color w:val="000000"/>
                <w:sz w:val="16"/>
                <w:szCs w:val="16"/>
              </w:rPr>
            </w:pPr>
          </w:p>
        </w:tc>
      </w:tr>
      <w:tr w:rsidR="00722B14" w14:paraId="61A3C94E" w14:textId="77777777" w:rsidTr="00DE79BD">
        <w:trPr>
          <w:cantSplit/>
          <w:trHeight w:val="227"/>
          <w:jc w:val="center"/>
        </w:trPr>
        <w:tc>
          <w:tcPr>
            <w:tcW w:w="1077" w:type="dxa"/>
            <w:tcBorders>
              <w:top w:val="nil"/>
              <w:left w:val="nil"/>
              <w:bottom w:val="nil"/>
              <w:right w:val="nil"/>
            </w:tcBorders>
            <w:shd w:val="clear" w:color="auto" w:fill="auto"/>
            <w:vAlign w:val="center"/>
          </w:tcPr>
          <w:p w14:paraId="03520E56" w14:textId="77777777" w:rsidR="00722B14" w:rsidRDefault="00722B14" w:rsidP="00DD3BAE">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center"/>
          </w:tcPr>
          <w:p w14:paraId="7DFCA6F2" w14:textId="77777777" w:rsidR="00722B14" w:rsidRDefault="00722B14" w:rsidP="00DD3BAE">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center"/>
          </w:tcPr>
          <w:p w14:paraId="609D8A79" w14:textId="77777777" w:rsidR="00722B14" w:rsidRDefault="00722B14" w:rsidP="00DD3BAE">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center"/>
          </w:tcPr>
          <w:p w14:paraId="16D63EC4"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nil"/>
              <w:left w:val="nil"/>
              <w:bottom w:val="single" w:sz="4" w:space="0" w:color="auto"/>
              <w:right w:val="nil"/>
            </w:tcBorders>
            <w:shd w:val="clear" w:color="auto" w:fill="auto"/>
            <w:vAlign w:val="center"/>
          </w:tcPr>
          <w:p w14:paraId="3432B3E1" w14:textId="77777777" w:rsidR="00722B14" w:rsidRPr="005E6D93" w:rsidRDefault="00722B14" w:rsidP="00DD3BAE">
            <w:pPr>
              <w:spacing w:before="0" w:after="0"/>
              <w:jc w:val="center"/>
              <w:rPr>
                <w:color w:val="000000"/>
                <w:sz w:val="16"/>
                <w:szCs w:val="16"/>
              </w:rPr>
            </w:pPr>
            <w:r w:rsidRPr="005E6D93">
              <w:rPr>
                <w:color w:val="000000"/>
                <w:sz w:val="16"/>
                <w:szCs w:val="16"/>
              </w:rPr>
              <w:t>40.78</w:t>
            </w:r>
          </w:p>
        </w:tc>
        <w:tc>
          <w:tcPr>
            <w:tcW w:w="661" w:type="dxa"/>
            <w:tcBorders>
              <w:top w:val="nil"/>
              <w:left w:val="nil"/>
              <w:bottom w:val="single" w:sz="4" w:space="0" w:color="auto"/>
              <w:right w:val="nil"/>
            </w:tcBorders>
            <w:shd w:val="clear" w:color="auto" w:fill="CCFFCC"/>
            <w:vAlign w:val="center"/>
          </w:tcPr>
          <w:p w14:paraId="182B8DF1" w14:textId="77777777" w:rsidR="00722B14" w:rsidRPr="005E6D93" w:rsidRDefault="00722B14" w:rsidP="00DD3BAE">
            <w:pPr>
              <w:spacing w:before="0" w:after="0"/>
              <w:jc w:val="center"/>
              <w:rPr>
                <w:color w:val="000000"/>
                <w:sz w:val="16"/>
                <w:szCs w:val="16"/>
              </w:rPr>
            </w:pPr>
            <w:r w:rsidRPr="005E6D93">
              <w:rPr>
                <w:color w:val="000000"/>
                <w:sz w:val="16"/>
                <w:szCs w:val="16"/>
              </w:rPr>
              <w:t>17.24</w:t>
            </w:r>
          </w:p>
        </w:tc>
        <w:tc>
          <w:tcPr>
            <w:tcW w:w="1109" w:type="dxa"/>
            <w:tcBorders>
              <w:top w:val="nil"/>
              <w:left w:val="nil"/>
              <w:bottom w:val="single" w:sz="4" w:space="0" w:color="auto"/>
              <w:right w:val="nil"/>
            </w:tcBorders>
            <w:shd w:val="clear" w:color="auto" w:fill="auto"/>
            <w:noWrap/>
            <w:vAlign w:val="center"/>
          </w:tcPr>
          <w:p w14:paraId="59F109CD" w14:textId="77777777" w:rsidR="00722B14" w:rsidRPr="005E6D93" w:rsidRDefault="00722B14" w:rsidP="00DD3BAE">
            <w:pPr>
              <w:spacing w:before="0" w:after="0"/>
              <w:jc w:val="center"/>
              <w:rPr>
                <w:color w:val="000000"/>
                <w:sz w:val="16"/>
                <w:szCs w:val="16"/>
              </w:rPr>
            </w:pPr>
            <w:r w:rsidRPr="005E6D93">
              <w:rPr>
                <w:color w:val="000000"/>
                <w:sz w:val="16"/>
                <w:szCs w:val="16"/>
              </w:rPr>
              <w:t>-10.82 ±0.18</w:t>
            </w:r>
          </w:p>
        </w:tc>
        <w:tc>
          <w:tcPr>
            <w:tcW w:w="1109" w:type="dxa"/>
            <w:tcBorders>
              <w:top w:val="nil"/>
              <w:left w:val="nil"/>
              <w:bottom w:val="single" w:sz="4" w:space="0" w:color="auto"/>
              <w:right w:val="nil"/>
            </w:tcBorders>
            <w:shd w:val="clear" w:color="auto" w:fill="auto"/>
            <w:vAlign w:val="center"/>
          </w:tcPr>
          <w:p w14:paraId="0F11E09B" w14:textId="77777777" w:rsidR="00722B14" w:rsidRPr="005E6D93" w:rsidRDefault="00722B14" w:rsidP="00DD3BAE">
            <w:pPr>
              <w:spacing w:before="0" w:after="0"/>
              <w:jc w:val="center"/>
              <w:rPr>
                <w:color w:val="000000"/>
                <w:sz w:val="16"/>
                <w:szCs w:val="16"/>
              </w:rPr>
            </w:pPr>
            <w:r w:rsidRPr="005E6D93">
              <w:rPr>
                <w:color w:val="000000"/>
                <w:sz w:val="16"/>
                <w:szCs w:val="16"/>
              </w:rPr>
              <w:t>1.70 ±0.40</w:t>
            </w:r>
          </w:p>
        </w:tc>
        <w:tc>
          <w:tcPr>
            <w:tcW w:w="797" w:type="dxa"/>
            <w:tcBorders>
              <w:top w:val="nil"/>
              <w:left w:val="nil"/>
              <w:bottom w:val="single" w:sz="4" w:space="0" w:color="auto"/>
              <w:right w:val="nil"/>
            </w:tcBorders>
            <w:shd w:val="clear" w:color="auto" w:fill="auto"/>
            <w:vAlign w:val="center"/>
          </w:tcPr>
          <w:p w14:paraId="3BE259B3" w14:textId="77777777" w:rsidR="00722B14" w:rsidRDefault="00722B14" w:rsidP="00DD3BAE">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7597F520" w14:textId="77777777" w:rsidR="00722B14" w:rsidRDefault="00722B14" w:rsidP="00DD3BAE">
            <w:pPr>
              <w:spacing w:before="0" w:after="0"/>
              <w:jc w:val="center"/>
              <w:rPr>
                <w:i/>
                <w:color w:val="000000"/>
                <w:sz w:val="16"/>
                <w:szCs w:val="16"/>
              </w:rPr>
            </w:pPr>
          </w:p>
        </w:tc>
      </w:tr>
      <w:tr w:rsidR="00722B14" w14:paraId="14F4E8E1" w14:textId="77777777" w:rsidTr="00DE79BD">
        <w:trPr>
          <w:cantSplit/>
          <w:trHeight w:val="227"/>
          <w:jc w:val="center"/>
        </w:trPr>
        <w:tc>
          <w:tcPr>
            <w:tcW w:w="1077" w:type="dxa"/>
            <w:tcBorders>
              <w:top w:val="nil"/>
              <w:left w:val="nil"/>
              <w:bottom w:val="nil"/>
              <w:right w:val="nil"/>
            </w:tcBorders>
            <w:shd w:val="clear" w:color="auto" w:fill="auto"/>
            <w:vAlign w:val="center"/>
          </w:tcPr>
          <w:p w14:paraId="636E98C4" w14:textId="77777777" w:rsidR="00722B14" w:rsidRDefault="00722B14" w:rsidP="00DD3BAE">
            <w:pPr>
              <w:spacing w:before="0" w:after="0"/>
              <w:jc w:val="center"/>
              <w:rPr>
                <w:color w:val="000000"/>
                <w:sz w:val="16"/>
                <w:szCs w:val="16"/>
              </w:rPr>
            </w:pPr>
          </w:p>
        </w:tc>
        <w:tc>
          <w:tcPr>
            <w:tcW w:w="1115" w:type="dxa"/>
            <w:tcBorders>
              <w:top w:val="single" w:sz="4" w:space="0" w:color="auto"/>
              <w:left w:val="nil"/>
              <w:bottom w:val="nil"/>
              <w:right w:val="nil"/>
            </w:tcBorders>
            <w:shd w:val="clear" w:color="auto" w:fill="auto"/>
            <w:noWrap/>
            <w:vAlign w:val="center"/>
          </w:tcPr>
          <w:p w14:paraId="24E77278" w14:textId="77777777" w:rsidR="00722B14" w:rsidRDefault="00722B14" w:rsidP="00DD3BAE">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single" w:sz="4" w:space="0" w:color="auto"/>
              <w:right w:val="nil"/>
            </w:tcBorders>
            <w:shd w:val="clear" w:color="auto" w:fill="auto"/>
            <w:noWrap/>
            <w:vAlign w:val="center"/>
          </w:tcPr>
          <w:p w14:paraId="5E1F2236" w14:textId="77777777" w:rsidR="00722B14" w:rsidRDefault="00722B14" w:rsidP="00DD3BAE">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single" w:sz="4" w:space="0" w:color="auto"/>
              <w:right w:val="nil"/>
            </w:tcBorders>
            <w:shd w:val="clear" w:color="auto" w:fill="auto"/>
            <w:vAlign w:val="center"/>
          </w:tcPr>
          <w:p w14:paraId="6B70496E"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single" w:sz="4" w:space="0" w:color="auto"/>
              <w:left w:val="nil"/>
              <w:bottom w:val="single" w:sz="4" w:space="0" w:color="auto"/>
              <w:right w:val="nil"/>
            </w:tcBorders>
            <w:shd w:val="clear" w:color="auto" w:fill="auto"/>
            <w:vAlign w:val="center"/>
          </w:tcPr>
          <w:p w14:paraId="4DBDFCAB" w14:textId="77777777" w:rsidR="00722B14" w:rsidRPr="005E6D93" w:rsidRDefault="00722B14" w:rsidP="00DD3BAE">
            <w:pPr>
              <w:spacing w:before="0" w:after="0"/>
              <w:jc w:val="center"/>
              <w:rPr>
                <w:color w:val="000000"/>
                <w:sz w:val="16"/>
                <w:szCs w:val="16"/>
              </w:rPr>
            </w:pPr>
            <w:r w:rsidRPr="005E6D93">
              <w:rPr>
                <w:color w:val="000000"/>
                <w:sz w:val="16"/>
                <w:szCs w:val="16"/>
              </w:rPr>
              <w:t>43.51</w:t>
            </w:r>
          </w:p>
        </w:tc>
        <w:tc>
          <w:tcPr>
            <w:tcW w:w="661" w:type="dxa"/>
            <w:tcBorders>
              <w:top w:val="single" w:sz="4" w:space="0" w:color="auto"/>
              <w:left w:val="nil"/>
              <w:bottom w:val="single" w:sz="4" w:space="0" w:color="auto"/>
              <w:right w:val="nil"/>
            </w:tcBorders>
            <w:shd w:val="clear" w:color="auto" w:fill="CCFFCC"/>
            <w:vAlign w:val="center"/>
          </w:tcPr>
          <w:p w14:paraId="0C9301C5" w14:textId="77777777" w:rsidR="00722B14" w:rsidRPr="005E6D93" w:rsidRDefault="00722B14" w:rsidP="00DD3BAE">
            <w:pPr>
              <w:spacing w:before="0" w:after="0"/>
              <w:jc w:val="center"/>
              <w:rPr>
                <w:color w:val="000000"/>
                <w:sz w:val="16"/>
                <w:szCs w:val="16"/>
              </w:rPr>
            </w:pPr>
            <w:r w:rsidRPr="005E6D93">
              <w:rPr>
                <w:color w:val="000000"/>
                <w:sz w:val="16"/>
                <w:szCs w:val="16"/>
              </w:rPr>
              <w:t>13.57</w:t>
            </w:r>
          </w:p>
        </w:tc>
        <w:tc>
          <w:tcPr>
            <w:tcW w:w="1109" w:type="dxa"/>
            <w:tcBorders>
              <w:top w:val="single" w:sz="4" w:space="0" w:color="auto"/>
              <w:left w:val="nil"/>
              <w:bottom w:val="single" w:sz="4" w:space="0" w:color="auto"/>
              <w:right w:val="nil"/>
            </w:tcBorders>
            <w:shd w:val="clear" w:color="auto" w:fill="CCFFCC"/>
            <w:noWrap/>
            <w:vAlign w:val="center"/>
          </w:tcPr>
          <w:p w14:paraId="7EB78747" w14:textId="77777777" w:rsidR="00722B14" w:rsidRPr="005E6D93" w:rsidRDefault="00722B14" w:rsidP="00DD3BAE">
            <w:pPr>
              <w:spacing w:before="0" w:after="0"/>
              <w:jc w:val="center"/>
              <w:rPr>
                <w:color w:val="000000"/>
                <w:sz w:val="16"/>
                <w:szCs w:val="16"/>
              </w:rPr>
            </w:pPr>
            <w:r w:rsidRPr="005E6D93">
              <w:rPr>
                <w:color w:val="000000"/>
                <w:sz w:val="16"/>
                <w:szCs w:val="16"/>
              </w:rPr>
              <w:t>-9.44 ±0.16</w:t>
            </w:r>
          </w:p>
        </w:tc>
        <w:tc>
          <w:tcPr>
            <w:tcW w:w="1109" w:type="dxa"/>
            <w:tcBorders>
              <w:top w:val="single" w:sz="4" w:space="0" w:color="auto"/>
              <w:left w:val="nil"/>
              <w:bottom w:val="single" w:sz="4" w:space="0" w:color="auto"/>
              <w:right w:val="nil"/>
            </w:tcBorders>
            <w:shd w:val="clear" w:color="auto" w:fill="auto"/>
            <w:vAlign w:val="center"/>
          </w:tcPr>
          <w:p w14:paraId="61CDAF25" w14:textId="77777777" w:rsidR="00722B14" w:rsidRPr="005E6D93" w:rsidRDefault="00722B14" w:rsidP="00DD3BAE">
            <w:pPr>
              <w:spacing w:before="0" w:after="0"/>
              <w:jc w:val="center"/>
              <w:rPr>
                <w:color w:val="000000"/>
                <w:sz w:val="16"/>
                <w:szCs w:val="16"/>
              </w:rPr>
            </w:pPr>
            <w:r w:rsidRPr="005E6D93">
              <w:rPr>
                <w:color w:val="000000"/>
                <w:sz w:val="16"/>
                <w:szCs w:val="16"/>
              </w:rPr>
              <w:t>-2.00 ±0.46</w:t>
            </w:r>
          </w:p>
        </w:tc>
        <w:tc>
          <w:tcPr>
            <w:tcW w:w="797" w:type="dxa"/>
            <w:tcBorders>
              <w:top w:val="single" w:sz="4" w:space="0" w:color="auto"/>
              <w:left w:val="nil"/>
              <w:bottom w:val="single" w:sz="4" w:space="0" w:color="auto"/>
              <w:right w:val="nil"/>
            </w:tcBorders>
            <w:shd w:val="clear" w:color="auto" w:fill="auto"/>
            <w:vAlign w:val="center"/>
          </w:tcPr>
          <w:p w14:paraId="2AC4FE20" w14:textId="77777777" w:rsidR="00722B14" w:rsidRDefault="00722B14" w:rsidP="00DD3BAE">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single" w:sz="4" w:space="0" w:color="auto"/>
              <w:right w:val="nil"/>
            </w:tcBorders>
            <w:shd w:val="clear" w:color="auto" w:fill="auto"/>
            <w:noWrap/>
            <w:vAlign w:val="center"/>
          </w:tcPr>
          <w:p w14:paraId="6255E9BD" w14:textId="77777777" w:rsidR="00722B14" w:rsidRDefault="00722B14" w:rsidP="00DD3BAE">
            <w:pPr>
              <w:spacing w:before="0" w:after="0"/>
              <w:jc w:val="center"/>
              <w:rPr>
                <w:i/>
                <w:color w:val="000000"/>
                <w:sz w:val="16"/>
                <w:szCs w:val="16"/>
              </w:rPr>
            </w:pPr>
            <w:r>
              <w:rPr>
                <w:i/>
                <w:color w:val="000000"/>
                <w:sz w:val="16"/>
                <w:szCs w:val="16"/>
              </w:rPr>
              <w:t>-11.2 (-13.0 to -7.8)</w:t>
            </w:r>
          </w:p>
        </w:tc>
      </w:tr>
      <w:tr w:rsidR="00722B14" w14:paraId="3E5AB5D7" w14:textId="77777777" w:rsidTr="00DE79BD">
        <w:trPr>
          <w:cantSplit/>
          <w:trHeight w:val="227"/>
          <w:jc w:val="center"/>
        </w:trPr>
        <w:tc>
          <w:tcPr>
            <w:tcW w:w="1077" w:type="dxa"/>
            <w:tcBorders>
              <w:top w:val="nil"/>
              <w:left w:val="nil"/>
              <w:bottom w:val="single" w:sz="4" w:space="0" w:color="auto"/>
              <w:right w:val="nil"/>
            </w:tcBorders>
            <w:shd w:val="clear" w:color="auto" w:fill="auto"/>
            <w:vAlign w:val="center"/>
          </w:tcPr>
          <w:p w14:paraId="1296C4D3" w14:textId="77777777" w:rsidR="00722B14" w:rsidRDefault="00722B14" w:rsidP="00DD3BAE">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3D099843" w14:textId="77777777" w:rsidR="00722B14" w:rsidRPr="007C770B" w:rsidRDefault="00722B14" w:rsidP="00DD3BAE">
            <w:pPr>
              <w:spacing w:before="0" w:after="0"/>
              <w:jc w:val="center"/>
              <w:rPr>
                <w:color w:val="000000"/>
                <w:sz w:val="16"/>
                <w:szCs w:val="16"/>
              </w:rPr>
            </w:pPr>
            <w:r>
              <w:rPr>
                <w:color w:val="000000"/>
                <w:sz w:val="16"/>
                <w:szCs w:val="16"/>
              </w:rPr>
              <w:t>intertidal</w:t>
            </w:r>
          </w:p>
        </w:tc>
        <w:tc>
          <w:tcPr>
            <w:tcW w:w="789" w:type="dxa"/>
            <w:tcBorders>
              <w:top w:val="single" w:sz="4" w:space="0" w:color="auto"/>
              <w:left w:val="nil"/>
              <w:bottom w:val="single" w:sz="4" w:space="0" w:color="auto"/>
              <w:right w:val="nil"/>
            </w:tcBorders>
            <w:shd w:val="clear" w:color="auto" w:fill="auto"/>
            <w:noWrap/>
            <w:vAlign w:val="center"/>
          </w:tcPr>
          <w:p w14:paraId="3423125D" w14:textId="77777777" w:rsidR="00722B14" w:rsidRDefault="00722B14" w:rsidP="00DD3BAE">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single" w:sz="4" w:space="0" w:color="auto"/>
              <w:right w:val="nil"/>
            </w:tcBorders>
            <w:shd w:val="clear" w:color="auto" w:fill="auto"/>
            <w:vAlign w:val="center"/>
          </w:tcPr>
          <w:p w14:paraId="40845353" w14:textId="77777777" w:rsidR="00722B14" w:rsidRPr="007C770B" w:rsidRDefault="00722B14" w:rsidP="00DD3BAE">
            <w:pPr>
              <w:spacing w:before="0" w:after="0"/>
              <w:jc w:val="center"/>
              <w:rPr>
                <w:color w:val="000000"/>
                <w:sz w:val="16"/>
                <w:szCs w:val="16"/>
              </w:rPr>
            </w:pPr>
            <w:r>
              <w:rPr>
                <w:color w:val="000000"/>
                <w:sz w:val="16"/>
                <w:szCs w:val="16"/>
              </w:rPr>
              <w:t>2016</w:t>
            </w:r>
          </w:p>
        </w:tc>
        <w:tc>
          <w:tcPr>
            <w:tcW w:w="661" w:type="dxa"/>
            <w:tcBorders>
              <w:top w:val="single" w:sz="4" w:space="0" w:color="auto"/>
              <w:left w:val="nil"/>
              <w:bottom w:val="single" w:sz="4" w:space="0" w:color="auto"/>
              <w:right w:val="nil"/>
            </w:tcBorders>
            <w:shd w:val="clear" w:color="auto" w:fill="auto"/>
            <w:vAlign w:val="center"/>
          </w:tcPr>
          <w:p w14:paraId="2F7D7351" w14:textId="77777777" w:rsidR="00722B14" w:rsidRPr="005E6D93" w:rsidRDefault="00722B14" w:rsidP="00DD3BAE">
            <w:pPr>
              <w:spacing w:before="0" w:after="0"/>
              <w:jc w:val="center"/>
              <w:rPr>
                <w:color w:val="000000"/>
                <w:sz w:val="16"/>
                <w:szCs w:val="16"/>
              </w:rPr>
            </w:pPr>
            <w:r w:rsidRPr="005E6D93">
              <w:rPr>
                <w:color w:val="000000"/>
                <w:sz w:val="16"/>
                <w:szCs w:val="16"/>
              </w:rPr>
              <w:t>43.01</w:t>
            </w:r>
          </w:p>
        </w:tc>
        <w:tc>
          <w:tcPr>
            <w:tcW w:w="661" w:type="dxa"/>
            <w:tcBorders>
              <w:top w:val="single" w:sz="4" w:space="0" w:color="auto"/>
              <w:left w:val="nil"/>
              <w:bottom w:val="single" w:sz="4" w:space="0" w:color="auto"/>
              <w:right w:val="nil"/>
            </w:tcBorders>
            <w:shd w:val="clear" w:color="auto" w:fill="CCFFCC"/>
            <w:vAlign w:val="center"/>
          </w:tcPr>
          <w:p w14:paraId="7ABDADEF" w14:textId="77777777" w:rsidR="00722B14" w:rsidRPr="005E6D93" w:rsidRDefault="00722B14" w:rsidP="00DD3BAE">
            <w:pPr>
              <w:spacing w:before="0" w:after="0"/>
              <w:jc w:val="center"/>
              <w:rPr>
                <w:color w:val="000000"/>
                <w:sz w:val="16"/>
                <w:szCs w:val="16"/>
              </w:rPr>
            </w:pPr>
            <w:r w:rsidRPr="005E6D93">
              <w:rPr>
                <w:color w:val="000000"/>
                <w:sz w:val="16"/>
                <w:szCs w:val="16"/>
              </w:rPr>
              <w:t>16.28</w:t>
            </w:r>
          </w:p>
        </w:tc>
        <w:tc>
          <w:tcPr>
            <w:tcW w:w="1109" w:type="dxa"/>
            <w:tcBorders>
              <w:top w:val="single" w:sz="4" w:space="0" w:color="auto"/>
              <w:left w:val="nil"/>
              <w:bottom w:val="single" w:sz="4" w:space="0" w:color="auto"/>
              <w:right w:val="nil"/>
            </w:tcBorders>
            <w:shd w:val="clear" w:color="auto" w:fill="auto"/>
            <w:noWrap/>
            <w:vAlign w:val="center"/>
          </w:tcPr>
          <w:p w14:paraId="59C69CEA" w14:textId="77777777" w:rsidR="00722B14" w:rsidRPr="005E6D93" w:rsidRDefault="00722B14" w:rsidP="00DD3BAE">
            <w:pPr>
              <w:spacing w:before="0" w:after="0"/>
              <w:jc w:val="center"/>
              <w:rPr>
                <w:color w:val="000000"/>
                <w:sz w:val="16"/>
                <w:szCs w:val="16"/>
              </w:rPr>
            </w:pPr>
            <w:r w:rsidRPr="005E6D93">
              <w:rPr>
                <w:color w:val="000000"/>
                <w:sz w:val="16"/>
                <w:szCs w:val="16"/>
              </w:rPr>
              <w:t>-11.10 ±0.00</w:t>
            </w:r>
          </w:p>
        </w:tc>
        <w:tc>
          <w:tcPr>
            <w:tcW w:w="1109" w:type="dxa"/>
            <w:tcBorders>
              <w:top w:val="single" w:sz="4" w:space="0" w:color="auto"/>
              <w:left w:val="nil"/>
              <w:bottom w:val="single" w:sz="4" w:space="0" w:color="auto"/>
              <w:right w:val="nil"/>
            </w:tcBorders>
            <w:shd w:val="clear" w:color="auto" w:fill="auto"/>
            <w:vAlign w:val="center"/>
          </w:tcPr>
          <w:p w14:paraId="337E96D9" w14:textId="77777777" w:rsidR="00722B14" w:rsidRPr="005E6D93" w:rsidRDefault="00722B14" w:rsidP="00DD3BAE">
            <w:pPr>
              <w:spacing w:before="0" w:after="0"/>
              <w:jc w:val="center"/>
              <w:rPr>
                <w:color w:val="000000"/>
                <w:sz w:val="16"/>
                <w:szCs w:val="16"/>
              </w:rPr>
            </w:pPr>
            <w:r w:rsidRPr="005E6D93">
              <w:rPr>
                <w:color w:val="000000"/>
                <w:sz w:val="16"/>
                <w:szCs w:val="16"/>
              </w:rPr>
              <w:t>-0.78 ±0.00</w:t>
            </w:r>
          </w:p>
        </w:tc>
        <w:tc>
          <w:tcPr>
            <w:tcW w:w="797" w:type="dxa"/>
            <w:tcBorders>
              <w:top w:val="single" w:sz="4" w:space="0" w:color="auto"/>
              <w:left w:val="nil"/>
              <w:bottom w:val="single" w:sz="4" w:space="0" w:color="auto"/>
              <w:right w:val="nil"/>
            </w:tcBorders>
            <w:shd w:val="clear" w:color="auto" w:fill="auto"/>
            <w:vAlign w:val="center"/>
          </w:tcPr>
          <w:p w14:paraId="1A6DD482" w14:textId="77777777" w:rsidR="00722B14" w:rsidRDefault="00722B14" w:rsidP="00DD3BAE">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single" w:sz="4" w:space="0" w:color="auto"/>
              <w:right w:val="nil"/>
            </w:tcBorders>
            <w:shd w:val="clear" w:color="auto" w:fill="auto"/>
            <w:noWrap/>
            <w:vAlign w:val="center"/>
          </w:tcPr>
          <w:p w14:paraId="027E3242" w14:textId="77777777" w:rsidR="00722B14" w:rsidRDefault="00722B14" w:rsidP="00DD3BAE">
            <w:pPr>
              <w:spacing w:before="0" w:after="0"/>
              <w:jc w:val="center"/>
              <w:rPr>
                <w:i/>
                <w:color w:val="000000"/>
                <w:sz w:val="16"/>
                <w:szCs w:val="16"/>
              </w:rPr>
            </w:pPr>
            <w:r>
              <w:rPr>
                <w:i/>
                <w:color w:val="000000"/>
                <w:sz w:val="16"/>
                <w:szCs w:val="16"/>
              </w:rPr>
              <w:t>-10.8 (-12.4 to -9.2)</w:t>
            </w:r>
          </w:p>
        </w:tc>
      </w:tr>
    </w:tbl>
    <w:p w14:paraId="566D02B2" w14:textId="77777777" w:rsidR="00F87843" w:rsidRDefault="00F87843" w:rsidP="00F87843">
      <w:pPr>
        <w:rPr>
          <w:color w:val="000000"/>
          <w:szCs w:val="22"/>
        </w:rPr>
      </w:pPr>
    </w:p>
    <w:p w14:paraId="3E4B7F77" w14:textId="6AB32E98" w:rsidR="00F87843" w:rsidRDefault="00F87843">
      <w:pPr>
        <w:spacing w:before="0" w:after="0"/>
        <w:rPr>
          <w:color w:val="000000"/>
          <w:szCs w:val="22"/>
        </w:rPr>
      </w:pPr>
      <w:r>
        <w:rPr>
          <w:color w:val="000000"/>
          <w:szCs w:val="22"/>
        </w:rPr>
        <w:br w:type="page"/>
      </w:r>
    </w:p>
    <w:p w14:paraId="770F7D31" w14:textId="77777777" w:rsidR="00F87843" w:rsidRDefault="00F87843" w:rsidP="00F87843">
      <w:pPr>
        <w:rPr>
          <w:color w:val="000000"/>
          <w:szCs w:val="22"/>
        </w:rPr>
      </w:pPr>
    </w:p>
    <w:p w14:paraId="5F1E3D40" w14:textId="7CC575F7" w:rsidR="00620C8B" w:rsidRDefault="00620C8B" w:rsidP="00620C8B">
      <w:pPr>
        <w:keepNext/>
        <w:jc w:val="center"/>
        <w:rPr>
          <w:color w:val="000000"/>
          <w:szCs w:val="22"/>
        </w:rPr>
      </w:pPr>
      <w:bookmarkStart w:id="1253" w:name="_Toc516053479"/>
      <w:r>
        <w:rPr>
          <w:color w:val="000000"/>
          <w:szCs w:val="22"/>
        </w:rPr>
        <w:t xml:space="preserve">Table </w:t>
      </w:r>
      <w:r>
        <w:fldChar w:fldCharType="begin"/>
      </w:r>
      <w:r>
        <w:rPr>
          <w:color w:val="000000"/>
          <w:szCs w:val="22"/>
        </w:rPr>
        <w:instrText xml:space="preserve"> SEQ Table \* ARABIC </w:instrText>
      </w:r>
      <w:r>
        <w:fldChar w:fldCharType="separate"/>
      </w:r>
      <w:r w:rsidR="00F87DF9">
        <w:rPr>
          <w:noProof/>
          <w:color w:val="000000"/>
          <w:szCs w:val="22"/>
        </w:rPr>
        <w:t>55</w:t>
      </w:r>
      <w:r>
        <w:fldChar w:fldCharType="end"/>
      </w:r>
      <w:r>
        <w:rPr>
          <w:color w:val="000000"/>
          <w:szCs w:val="22"/>
        </w:rPr>
        <w:t xml:space="preserve">. </w:t>
      </w:r>
      <w:r>
        <w:rPr>
          <w:i/>
          <w:color w:val="000000"/>
          <w:szCs w:val="22"/>
        </w:rPr>
        <w:t>Percent carbon</w:t>
      </w:r>
      <w:r w:rsidR="00A314E9">
        <w:rPr>
          <w:i/>
          <w:color w:val="000000"/>
          <w:szCs w:val="22"/>
        </w:rPr>
        <w:t xml:space="preserve"> (</w:t>
      </w:r>
      <w:r w:rsidR="00A314E9">
        <w:rPr>
          <w:rFonts w:cs="Calibri"/>
          <w:i/>
          <w:color w:val="000000"/>
          <w:szCs w:val="22"/>
        </w:rPr>
        <w:t>±</w:t>
      </w:r>
      <w:r w:rsidR="00A314E9">
        <w:rPr>
          <w:i/>
          <w:color w:val="000000"/>
          <w:szCs w:val="22"/>
        </w:rPr>
        <w:t xml:space="preserve"> SE)</w:t>
      </w:r>
      <w:r>
        <w:rPr>
          <w:i/>
          <w:color w:val="000000"/>
          <w:szCs w:val="22"/>
        </w:rPr>
        <w:t xml:space="preserve"> in seagrass leaf tissue from published literature.</w:t>
      </w:r>
      <w:bookmarkEnd w:id="1253"/>
      <w:r>
        <w:rPr>
          <w:i/>
          <w:color w:val="000000"/>
          <w:szCs w:val="22"/>
        </w:rPr>
        <w:t xml:space="preserve"> </w:t>
      </w:r>
    </w:p>
    <w:tbl>
      <w:tblPr>
        <w:tblW w:w="8334" w:type="dxa"/>
        <w:jc w:val="center"/>
        <w:tblLook w:val="01E0" w:firstRow="1" w:lastRow="1" w:firstColumn="1" w:lastColumn="1" w:noHBand="0" w:noVBand="0"/>
      </w:tblPr>
      <w:tblGrid>
        <w:gridCol w:w="2124"/>
        <w:gridCol w:w="979"/>
        <w:gridCol w:w="2231"/>
        <w:gridCol w:w="3000"/>
      </w:tblGrid>
      <w:tr w:rsidR="00620C8B" w14:paraId="303114AC" w14:textId="77777777" w:rsidTr="003A1357">
        <w:trPr>
          <w:jc w:val="center"/>
        </w:trPr>
        <w:tc>
          <w:tcPr>
            <w:tcW w:w="2124" w:type="dxa"/>
            <w:tcBorders>
              <w:top w:val="single" w:sz="4" w:space="0" w:color="auto"/>
              <w:left w:val="nil"/>
              <w:bottom w:val="single" w:sz="4" w:space="0" w:color="auto"/>
              <w:right w:val="nil"/>
            </w:tcBorders>
            <w:shd w:val="clear" w:color="auto" w:fill="BBE0E3"/>
            <w:hideMark/>
          </w:tcPr>
          <w:p w14:paraId="2620B3B7" w14:textId="77777777" w:rsidR="00620C8B" w:rsidRDefault="00620C8B" w:rsidP="00DD3BAE">
            <w:pPr>
              <w:autoSpaceDE w:val="0"/>
              <w:autoSpaceDN w:val="0"/>
              <w:adjustRightInd w:val="0"/>
              <w:spacing w:before="0" w:after="0"/>
              <w:jc w:val="center"/>
              <w:rPr>
                <w:rFonts w:cs="TimesNewRoman"/>
                <w:b/>
                <w:color w:val="000000"/>
                <w:sz w:val="16"/>
                <w:szCs w:val="16"/>
              </w:rPr>
            </w:pPr>
            <w:r>
              <w:rPr>
                <w:rFonts w:cs="TimesNewRoman"/>
                <w:b/>
                <w:color w:val="000000"/>
                <w:sz w:val="16"/>
                <w:szCs w:val="16"/>
              </w:rPr>
              <w:t>Species</w:t>
            </w:r>
          </w:p>
        </w:tc>
        <w:tc>
          <w:tcPr>
            <w:tcW w:w="979" w:type="dxa"/>
            <w:tcBorders>
              <w:top w:val="single" w:sz="4" w:space="0" w:color="auto"/>
              <w:left w:val="nil"/>
              <w:bottom w:val="single" w:sz="4" w:space="0" w:color="auto"/>
              <w:right w:val="nil"/>
            </w:tcBorders>
            <w:shd w:val="clear" w:color="auto" w:fill="BBE0E3"/>
            <w:hideMark/>
          </w:tcPr>
          <w:p w14:paraId="4F9B49CC" w14:textId="7401B638" w:rsidR="00620C8B" w:rsidRDefault="0063478C" w:rsidP="00DD3BAE">
            <w:pPr>
              <w:autoSpaceDE w:val="0"/>
              <w:autoSpaceDN w:val="0"/>
              <w:adjustRightInd w:val="0"/>
              <w:spacing w:before="0" w:after="0"/>
              <w:jc w:val="center"/>
              <w:rPr>
                <w:rFonts w:cs="TimesNewRoman"/>
                <w:b/>
                <w:color w:val="000000"/>
                <w:sz w:val="16"/>
                <w:szCs w:val="16"/>
              </w:rPr>
            </w:pPr>
            <w:r>
              <w:rPr>
                <w:rFonts w:cs="TimesNewRoman"/>
                <w:b/>
                <w:color w:val="000000"/>
                <w:sz w:val="16"/>
                <w:szCs w:val="16"/>
              </w:rPr>
              <w:t xml:space="preserve"> per cent</w:t>
            </w:r>
            <w:r w:rsidR="00620C8B">
              <w:rPr>
                <w:rFonts w:cs="TimesNewRoman"/>
                <w:b/>
                <w:color w:val="000000"/>
                <w:sz w:val="16"/>
                <w:szCs w:val="16"/>
              </w:rPr>
              <w:t>C</w:t>
            </w:r>
          </w:p>
        </w:tc>
        <w:tc>
          <w:tcPr>
            <w:tcW w:w="2231" w:type="dxa"/>
            <w:tcBorders>
              <w:top w:val="single" w:sz="4" w:space="0" w:color="auto"/>
              <w:left w:val="nil"/>
              <w:bottom w:val="single" w:sz="4" w:space="0" w:color="auto"/>
              <w:right w:val="nil"/>
            </w:tcBorders>
            <w:shd w:val="clear" w:color="auto" w:fill="BBE0E3"/>
            <w:hideMark/>
          </w:tcPr>
          <w:p w14:paraId="136AFA8B" w14:textId="77777777" w:rsidR="00620C8B" w:rsidRDefault="00620C8B" w:rsidP="00DD3BAE">
            <w:pPr>
              <w:autoSpaceDE w:val="0"/>
              <w:autoSpaceDN w:val="0"/>
              <w:adjustRightInd w:val="0"/>
              <w:spacing w:before="0" w:after="0"/>
              <w:jc w:val="center"/>
              <w:rPr>
                <w:rFonts w:cs="TimesNewRoman"/>
                <w:b/>
                <w:color w:val="000000"/>
                <w:sz w:val="16"/>
                <w:szCs w:val="16"/>
              </w:rPr>
            </w:pPr>
            <w:r>
              <w:rPr>
                <w:rFonts w:cs="TimesNewRoman"/>
                <w:b/>
                <w:color w:val="000000"/>
                <w:sz w:val="16"/>
                <w:szCs w:val="16"/>
              </w:rPr>
              <w:t>Citation</w:t>
            </w:r>
          </w:p>
        </w:tc>
        <w:tc>
          <w:tcPr>
            <w:tcW w:w="3000" w:type="dxa"/>
            <w:tcBorders>
              <w:top w:val="single" w:sz="4" w:space="0" w:color="auto"/>
              <w:left w:val="nil"/>
              <w:bottom w:val="single" w:sz="4" w:space="0" w:color="auto"/>
              <w:right w:val="nil"/>
            </w:tcBorders>
            <w:shd w:val="clear" w:color="auto" w:fill="BBE0E3"/>
            <w:hideMark/>
          </w:tcPr>
          <w:p w14:paraId="0A1A5B66" w14:textId="77777777" w:rsidR="00620C8B" w:rsidRDefault="00620C8B" w:rsidP="00DD3BAE">
            <w:pPr>
              <w:autoSpaceDE w:val="0"/>
              <w:autoSpaceDN w:val="0"/>
              <w:adjustRightInd w:val="0"/>
              <w:spacing w:before="0" w:after="0"/>
              <w:jc w:val="center"/>
              <w:rPr>
                <w:rFonts w:cs="TimesNewRoman"/>
                <w:b/>
                <w:color w:val="000000"/>
                <w:sz w:val="16"/>
                <w:szCs w:val="16"/>
              </w:rPr>
            </w:pPr>
            <w:r>
              <w:rPr>
                <w:rFonts w:cs="TimesNewRoman"/>
                <w:b/>
                <w:color w:val="000000"/>
                <w:sz w:val="16"/>
                <w:szCs w:val="16"/>
              </w:rPr>
              <w:t>Location</w:t>
            </w:r>
          </w:p>
        </w:tc>
      </w:tr>
      <w:tr w:rsidR="00620C8B" w14:paraId="5E67647F" w14:textId="77777777" w:rsidTr="003A1357">
        <w:trPr>
          <w:jc w:val="center"/>
        </w:trPr>
        <w:tc>
          <w:tcPr>
            <w:tcW w:w="2124" w:type="dxa"/>
            <w:tcBorders>
              <w:top w:val="single" w:sz="4" w:space="0" w:color="auto"/>
              <w:left w:val="nil"/>
              <w:bottom w:val="nil"/>
              <w:right w:val="nil"/>
            </w:tcBorders>
            <w:shd w:val="clear" w:color="auto" w:fill="E7F3F4"/>
            <w:hideMark/>
          </w:tcPr>
          <w:p w14:paraId="65F2E24C"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Cymodocea rotundata</w:t>
            </w:r>
          </w:p>
        </w:tc>
        <w:tc>
          <w:tcPr>
            <w:tcW w:w="979" w:type="dxa"/>
            <w:tcBorders>
              <w:top w:val="single" w:sz="4" w:space="0" w:color="auto"/>
              <w:left w:val="nil"/>
              <w:bottom w:val="nil"/>
              <w:right w:val="nil"/>
            </w:tcBorders>
            <w:shd w:val="clear" w:color="auto" w:fill="E7F3F4"/>
            <w:hideMark/>
          </w:tcPr>
          <w:p w14:paraId="31E07951"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38.9</w:t>
            </w:r>
          </w:p>
        </w:tc>
        <w:tc>
          <w:tcPr>
            <w:tcW w:w="2231" w:type="dxa"/>
            <w:tcBorders>
              <w:top w:val="single" w:sz="4" w:space="0" w:color="auto"/>
              <w:left w:val="nil"/>
              <w:bottom w:val="nil"/>
              <w:right w:val="nil"/>
            </w:tcBorders>
            <w:shd w:val="clear" w:color="auto" w:fill="E7F3F4"/>
            <w:hideMark/>
          </w:tcPr>
          <w:p w14:paraId="0B9AEDF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Yamamuro &amp; Chirapart 2005</w:t>
            </w:r>
          </w:p>
        </w:tc>
        <w:tc>
          <w:tcPr>
            <w:tcW w:w="3000" w:type="dxa"/>
            <w:tcBorders>
              <w:top w:val="single" w:sz="4" w:space="0" w:color="auto"/>
              <w:left w:val="nil"/>
              <w:bottom w:val="nil"/>
              <w:right w:val="nil"/>
            </w:tcBorders>
            <w:shd w:val="clear" w:color="auto" w:fill="E7F3F4"/>
            <w:hideMark/>
          </w:tcPr>
          <w:p w14:paraId="51A913B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Trang, Thailand</w:t>
            </w:r>
          </w:p>
        </w:tc>
      </w:tr>
      <w:tr w:rsidR="00620C8B" w14:paraId="6DEB885D" w14:textId="77777777" w:rsidTr="003A1357">
        <w:trPr>
          <w:jc w:val="center"/>
        </w:trPr>
        <w:tc>
          <w:tcPr>
            <w:tcW w:w="2124" w:type="dxa"/>
            <w:tcBorders>
              <w:top w:val="nil"/>
              <w:left w:val="nil"/>
              <w:bottom w:val="single" w:sz="4" w:space="0" w:color="auto"/>
              <w:right w:val="nil"/>
            </w:tcBorders>
            <w:shd w:val="clear" w:color="auto" w:fill="F3F9FA"/>
          </w:tcPr>
          <w:p w14:paraId="3F873B5F"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9FA"/>
          </w:tcPr>
          <w:p w14:paraId="41FD802E" w14:textId="77777777" w:rsidR="00620C8B" w:rsidRDefault="00620C8B" w:rsidP="00DD3BAE">
            <w:pPr>
              <w:autoSpaceDE w:val="0"/>
              <w:autoSpaceDN w:val="0"/>
              <w:adjustRightInd w:val="0"/>
              <w:spacing w:before="0" w:after="0"/>
              <w:rPr>
                <w:rFonts w:cs="TimesNewRoman"/>
                <w:color w:val="000000"/>
                <w:sz w:val="16"/>
                <w:szCs w:val="16"/>
              </w:rPr>
            </w:pPr>
          </w:p>
        </w:tc>
        <w:tc>
          <w:tcPr>
            <w:tcW w:w="2231" w:type="dxa"/>
            <w:tcBorders>
              <w:top w:val="nil"/>
              <w:left w:val="nil"/>
              <w:bottom w:val="single" w:sz="4" w:space="0" w:color="auto"/>
              <w:right w:val="nil"/>
            </w:tcBorders>
            <w:shd w:val="clear" w:color="auto" w:fill="F3F9FA"/>
          </w:tcPr>
          <w:p w14:paraId="352B484B" w14:textId="77777777" w:rsidR="00620C8B" w:rsidRDefault="00620C8B" w:rsidP="00DD3BAE">
            <w:pPr>
              <w:autoSpaceDE w:val="0"/>
              <w:autoSpaceDN w:val="0"/>
              <w:adjustRightInd w:val="0"/>
              <w:spacing w:before="0" w:after="0"/>
              <w:rPr>
                <w:rFonts w:cs="TimesNewRoman"/>
                <w:color w:val="000000"/>
                <w:sz w:val="16"/>
                <w:szCs w:val="16"/>
              </w:rPr>
            </w:pPr>
          </w:p>
        </w:tc>
        <w:tc>
          <w:tcPr>
            <w:tcW w:w="3000" w:type="dxa"/>
            <w:tcBorders>
              <w:top w:val="nil"/>
              <w:left w:val="nil"/>
              <w:bottom w:val="single" w:sz="4" w:space="0" w:color="auto"/>
              <w:right w:val="nil"/>
            </w:tcBorders>
            <w:shd w:val="clear" w:color="auto" w:fill="F3F9FA"/>
          </w:tcPr>
          <w:p w14:paraId="58812815"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7D1EAC6B" w14:textId="77777777" w:rsidTr="003A1357">
        <w:trPr>
          <w:jc w:val="center"/>
        </w:trPr>
        <w:tc>
          <w:tcPr>
            <w:tcW w:w="2124" w:type="dxa"/>
            <w:tcBorders>
              <w:top w:val="single" w:sz="4" w:space="0" w:color="auto"/>
              <w:left w:val="nil"/>
              <w:bottom w:val="nil"/>
              <w:right w:val="nil"/>
            </w:tcBorders>
            <w:shd w:val="clear" w:color="auto" w:fill="E7F3F4"/>
            <w:hideMark/>
          </w:tcPr>
          <w:p w14:paraId="7FDB56B6"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Cymodocea serrulata</w:t>
            </w:r>
          </w:p>
        </w:tc>
        <w:tc>
          <w:tcPr>
            <w:tcW w:w="979" w:type="dxa"/>
            <w:tcBorders>
              <w:top w:val="single" w:sz="4" w:space="0" w:color="auto"/>
              <w:left w:val="nil"/>
              <w:bottom w:val="nil"/>
              <w:right w:val="nil"/>
            </w:tcBorders>
            <w:shd w:val="clear" w:color="auto" w:fill="E7F3F4"/>
            <w:hideMark/>
          </w:tcPr>
          <w:p w14:paraId="1C9A78E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42.7</w:t>
            </w:r>
          </w:p>
        </w:tc>
        <w:tc>
          <w:tcPr>
            <w:tcW w:w="2231" w:type="dxa"/>
            <w:tcBorders>
              <w:top w:val="single" w:sz="4" w:space="0" w:color="auto"/>
              <w:left w:val="nil"/>
              <w:bottom w:val="nil"/>
              <w:right w:val="nil"/>
            </w:tcBorders>
            <w:shd w:val="clear" w:color="auto" w:fill="E7F3F4"/>
            <w:hideMark/>
          </w:tcPr>
          <w:p w14:paraId="6D1E2331"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 xml:space="preserve">Grice </w:t>
            </w:r>
            <w:r w:rsidRPr="009B09C9">
              <w:rPr>
                <w:rFonts w:cs="TimesNewRoman"/>
                <w:i/>
                <w:color w:val="000000"/>
                <w:sz w:val="16"/>
                <w:szCs w:val="16"/>
              </w:rPr>
              <w:t>et al</w:t>
            </w:r>
            <w:r>
              <w:rPr>
                <w:rFonts w:cs="TimesNewRoman"/>
                <w:color w:val="000000"/>
                <w:sz w:val="16"/>
                <w:szCs w:val="16"/>
              </w:rPr>
              <w:t>. (1996)</w:t>
            </w:r>
          </w:p>
        </w:tc>
        <w:tc>
          <w:tcPr>
            <w:tcW w:w="3000" w:type="dxa"/>
            <w:tcBorders>
              <w:top w:val="single" w:sz="4" w:space="0" w:color="auto"/>
              <w:left w:val="nil"/>
              <w:bottom w:val="nil"/>
              <w:right w:val="nil"/>
            </w:tcBorders>
            <w:shd w:val="clear" w:color="auto" w:fill="E7F3F4"/>
            <w:hideMark/>
          </w:tcPr>
          <w:p w14:paraId="3838FBB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14:paraId="24B14D9C" w14:textId="77777777" w:rsidTr="003A1357">
        <w:trPr>
          <w:jc w:val="center"/>
        </w:trPr>
        <w:tc>
          <w:tcPr>
            <w:tcW w:w="2124" w:type="dxa"/>
            <w:shd w:val="clear" w:color="auto" w:fill="E7F3F4"/>
          </w:tcPr>
          <w:p w14:paraId="1CC98381"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9C69E70"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38</w:t>
            </w:r>
          </w:p>
        </w:tc>
        <w:tc>
          <w:tcPr>
            <w:tcW w:w="2231" w:type="dxa"/>
            <w:shd w:val="clear" w:color="auto" w:fill="E7F3F4"/>
            <w:hideMark/>
          </w:tcPr>
          <w:p w14:paraId="53B91FD4"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14:paraId="0006ECA6"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Cockle Bay</w:t>
            </w:r>
          </w:p>
        </w:tc>
      </w:tr>
      <w:tr w:rsidR="00620C8B" w14:paraId="32B801A6" w14:textId="77777777" w:rsidTr="00805748">
        <w:trPr>
          <w:jc w:val="center"/>
        </w:trPr>
        <w:tc>
          <w:tcPr>
            <w:tcW w:w="2124" w:type="dxa"/>
            <w:tcBorders>
              <w:top w:val="nil"/>
              <w:left w:val="nil"/>
              <w:bottom w:val="single" w:sz="4" w:space="0" w:color="auto"/>
              <w:right w:val="nil"/>
            </w:tcBorders>
            <w:shd w:val="clear" w:color="auto" w:fill="F3F3F3"/>
          </w:tcPr>
          <w:p w14:paraId="40FB2115" w14:textId="77777777" w:rsidR="00620C8B" w:rsidRDefault="00620C8B" w:rsidP="00DD3BAE">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14:paraId="7D30E7B6"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40.4</w:t>
            </w:r>
          </w:p>
        </w:tc>
        <w:tc>
          <w:tcPr>
            <w:tcW w:w="2231" w:type="dxa"/>
            <w:tcBorders>
              <w:top w:val="nil"/>
              <w:left w:val="nil"/>
              <w:bottom w:val="single" w:sz="4" w:space="0" w:color="auto"/>
              <w:right w:val="nil"/>
            </w:tcBorders>
            <w:shd w:val="clear" w:color="auto" w:fill="F3F3F3"/>
            <w:hideMark/>
          </w:tcPr>
          <w:p w14:paraId="58361D16"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14:paraId="2F06CB75"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6B29C5EB" w14:textId="77777777" w:rsidTr="003A1357">
        <w:trPr>
          <w:jc w:val="center"/>
        </w:trPr>
        <w:tc>
          <w:tcPr>
            <w:tcW w:w="2124" w:type="dxa"/>
            <w:tcBorders>
              <w:top w:val="single" w:sz="4" w:space="0" w:color="auto"/>
              <w:left w:val="nil"/>
              <w:bottom w:val="nil"/>
              <w:right w:val="nil"/>
            </w:tcBorders>
            <w:shd w:val="clear" w:color="auto" w:fill="E7F3F4"/>
            <w:hideMark/>
          </w:tcPr>
          <w:p w14:paraId="58241558"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Enhalus acoroides</w:t>
            </w:r>
          </w:p>
        </w:tc>
        <w:tc>
          <w:tcPr>
            <w:tcW w:w="979" w:type="dxa"/>
            <w:tcBorders>
              <w:top w:val="single" w:sz="4" w:space="0" w:color="auto"/>
              <w:left w:val="nil"/>
              <w:bottom w:val="nil"/>
              <w:right w:val="nil"/>
            </w:tcBorders>
            <w:shd w:val="clear" w:color="auto" w:fill="E7F3F4"/>
            <w:hideMark/>
          </w:tcPr>
          <w:p w14:paraId="7B53BB37"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38.3</w:t>
            </w:r>
          </w:p>
        </w:tc>
        <w:tc>
          <w:tcPr>
            <w:tcW w:w="2231" w:type="dxa"/>
            <w:tcBorders>
              <w:top w:val="single" w:sz="4" w:space="0" w:color="auto"/>
              <w:left w:val="nil"/>
              <w:bottom w:val="nil"/>
              <w:right w:val="nil"/>
            </w:tcBorders>
            <w:shd w:val="clear" w:color="auto" w:fill="E7F3F4"/>
            <w:hideMark/>
          </w:tcPr>
          <w:p w14:paraId="56421C8C"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Duarte (1990)</w:t>
            </w:r>
          </w:p>
        </w:tc>
        <w:tc>
          <w:tcPr>
            <w:tcW w:w="3000" w:type="dxa"/>
            <w:tcBorders>
              <w:top w:val="single" w:sz="4" w:space="0" w:color="auto"/>
              <w:left w:val="nil"/>
              <w:bottom w:val="nil"/>
              <w:right w:val="nil"/>
            </w:tcBorders>
            <w:shd w:val="clear" w:color="auto" w:fill="E7F3F4"/>
            <w:hideMark/>
          </w:tcPr>
          <w:p w14:paraId="414E1288"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Palau</w:t>
            </w:r>
          </w:p>
        </w:tc>
      </w:tr>
      <w:tr w:rsidR="00620C8B" w14:paraId="5E987EB0" w14:textId="77777777" w:rsidTr="00805748">
        <w:trPr>
          <w:jc w:val="center"/>
        </w:trPr>
        <w:tc>
          <w:tcPr>
            <w:tcW w:w="2124" w:type="dxa"/>
            <w:tcBorders>
              <w:top w:val="nil"/>
              <w:left w:val="nil"/>
              <w:bottom w:val="single" w:sz="4" w:space="0" w:color="auto"/>
              <w:right w:val="nil"/>
            </w:tcBorders>
            <w:shd w:val="clear" w:color="auto" w:fill="F3F3F3"/>
          </w:tcPr>
          <w:p w14:paraId="3C9AB265"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3F3"/>
          </w:tcPr>
          <w:p w14:paraId="15BAA76F" w14:textId="77777777" w:rsidR="00620C8B" w:rsidRDefault="00620C8B" w:rsidP="00DD3BAE">
            <w:pPr>
              <w:autoSpaceDE w:val="0"/>
              <w:autoSpaceDN w:val="0"/>
              <w:adjustRightInd w:val="0"/>
              <w:spacing w:before="0" w:after="0"/>
              <w:rPr>
                <w:rFonts w:cs="TimesNewRoman"/>
                <w:color w:val="000000"/>
                <w:sz w:val="16"/>
                <w:szCs w:val="16"/>
              </w:rPr>
            </w:pPr>
          </w:p>
        </w:tc>
        <w:tc>
          <w:tcPr>
            <w:tcW w:w="2231" w:type="dxa"/>
            <w:tcBorders>
              <w:top w:val="nil"/>
              <w:left w:val="nil"/>
              <w:bottom w:val="single" w:sz="4" w:space="0" w:color="auto"/>
              <w:right w:val="nil"/>
            </w:tcBorders>
            <w:shd w:val="clear" w:color="auto" w:fill="F3F3F3"/>
          </w:tcPr>
          <w:p w14:paraId="34B5FF87" w14:textId="77777777" w:rsidR="00620C8B" w:rsidRDefault="00620C8B" w:rsidP="00DD3BAE">
            <w:pPr>
              <w:autoSpaceDE w:val="0"/>
              <w:autoSpaceDN w:val="0"/>
              <w:adjustRightInd w:val="0"/>
              <w:spacing w:before="0" w:after="0"/>
              <w:rPr>
                <w:rFonts w:cs="TimesNewRoman"/>
                <w:color w:val="000000"/>
                <w:sz w:val="16"/>
                <w:szCs w:val="16"/>
              </w:rPr>
            </w:pPr>
          </w:p>
        </w:tc>
        <w:tc>
          <w:tcPr>
            <w:tcW w:w="3000" w:type="dxa"/>
            <w:tcBorders>
              <w:top w:val="nil"/>
              <w:left w:val="nil"/>
              <w:bottom w:val="single" w:sz="4" w:space="0" w:color="auto"/>
              <w:right w:val="nil"/>
            </w:tcBorders>
            <w:shd w:val="clear" w:color="auto" w:fill="F3F3F3"/>
          </w:tcPr>
          <w:p w14:paraId="4518AC58"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16930588" w14:textId="77777777" w:rsidTr="003A1357">
        <w:trPr>
          <w:jc w:val="center"/>
        </w:trPr>
        <w:tc>
          <w:tcPr>
            <w:tcW w:w="2124" w:type="dxa"/>
            <w:tcBorders>
              <w:top w:val="single" w:sz="4" w:space="0" w:color="auto"/>
              <w:left w:val="nil"/>
              <w:bottom w:val="nil"/>
              <w:right w:val="nil"/>
            </w:tcBorders>
            <w:shd w:val="clear" w:color="auto" w:fill="E7F3F4"/>
            <w:hideMark/>
          </w:tcPr>
          <w:p w14:paraId="1B411429"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Halophila ovalis</w:t>
            </w:r>
          </w:p>
        </w:tc>
        <w:tc>
          <w:tcPr>
            <w:tcW w:w="979" w:type="dxa"/>
            <w:tcBorders>
              <w:top w:val="single" w:sz="4" w:space="0" w:color="auto"/>
              <w:left w:val="nil"/>
              <w:bottom w:val="nil"/>
              <w:right w:val="nil"/>
            </w:tcBorders>
            <w:shd w:val="clear" w:color="auto" w:fill="E7F3F4"/>
            <w:hideMark/>
          </w:tcPr>
          <w:p w14:paraId="2AAF23CA"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32 ± 0.5</w:t>
            </w:r>
          </w:p>
        </w:tc>
        <w:tc>
          <w:tcPr>
            <w:tcW w:w="2231" w:type="dxa"/>
            <w:tcBorders>
              <w:top w:val="single" w:sz="4" w:space="0" w:color="auto"/>
              <w:left w:val="nil"/>
              <w:bottom w:val="nil"/>
              <w:right w:val="nil"/>
            </w:tcBorders>
            <w:shd w:val="clear" w:color="auto" w:fill="E7F3F4"/>
            <w:hideMark/>
          </w:tcPr>
          <w:p w14:paraId="1BFCCD62"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tcBorders>
              <w:top w:val="single" w:sz="4" w:space="0" w:color="auto"/>
              <w:left w:val="nil"/>
              <w:bottom w:val="nil"/>
              <w:right w:val="nil"/>
            </w:tcBorders>
            <w:shd w:val="clear" w:color="auto" w:fill="E7F3F4"/>
            <w:hideMark/>
          </w:tcPr>
          <w:p w14:paraId="4C5FE9A4"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Moreton Bay - Aug</w:t>
            </w:r>
          </w:p>
        </w:tc>
      </w:tr>
      <w:tr w:rsidR="00620C8B" w14:paraId="500FA228" w14:textId="77777777" w:rsidTr="003A1357">
        <w:trPr>
          <w:jc w:val="center"/>
        </w:trPr>
        <w:tc>
          <w:tcPr>
            <w:tcW w:w="2124" w:type="dxa"/>
            <w:shd w:val="clear" w:color="auto" w:fill="E7F3F4"/>
          </w:tcPr>
          <w:p w14:paraId="2147FACA"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616CDCB1"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29 ± 0.4</w:t>
            </w:r>
          </w:p>
        </w:tc>
        <w:tc>
          <w:tcPr>
            <w:tcW w:w="2231" w:type="dxa"/>
            <w:shd w:val="clear" w:color="auto" w:fill="E7F3F4"/>
            <w:hideMark/>
          </w:tcPr>
          <w:p w14:paraId="285B4CD1"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14:paraId="519EB196"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Moreton Bay - Jan</w:t>
            </w:r>
          </w:p>
        </w:tc>
      </w:tr>
      <w:tr w:rsidR="00620C8B" w14:paraId="52EBDB7E" w14:textId="77777777" w:rsidTr="00805748">
        <w:trPr>
          <w:jc w:val="center"/>
        </w:trPr>
        <w:tc>
          <w:tcPr>
            <w:tcW w:w="2124" w:type="dxa"/>
            <w:tcBorders>
              <w:top w:val="nil"/>
              <w:left w:val="nil"/>
              <w:bottom w:val="single" w:sz="4" w:space="0" w:color="auto"/>
              <w:right w:val="nil"/>
            </w:tcBorders>
            <w:shd w:val="clear" w:color="auto" w:fill="F3F3F3"/>
          </w:tcPr>
          <w:p w14:paraId="02CCAA22" w14:textId="77777777" w:rsidR="00620C8B" w:rsidRDefault="00620C8B" w:rsidP="00DD3BAE">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14:paraId="00A7866A"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30.5</w:t>
            </w:r>
          </w:p>
        </w:tc>
        <w:tc>
          <w:tcPr>
            <w:tcW w:w="2231" w:type="dxa"/>
            <w:tcBorders>
              <w:top w:val="nil"/>
              <w:left w:val="nil"/>
              <w:bottom w:val="single" w:sz="4" w:space="0" w:color="auto"/>
              <w:right w:val="nil"/>
            </w:tcBorders>
            <w:shd w:val="clear" w:color="auto" w:fill="F3F3F3"/>
            <w:hideMark/>
          </w:tcPr>
          <w:p w14:paraId="35DC3C7E"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14:paraId="5D099026"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755CF305" w14:textId="77777777" w:rsidTr="003A1357">
        <w:trPr>
          <w:jc w:val="center"/>
        </w:trPr>
        <w:tc>
          <w:tcPr>
            <w:tcW w:w="2124" w:type="dxa"/>
            <w:tcBorders>
              <w:top w:val="single" w:sz="4" w:space="0" w:color="auto"/>
              <w:left w:val="nil"/>
              <w:bottom w:val="nil"/>
              <w:right w:val="nil"/>
            </w:tcBorders>
            <w:shd w:val="clear" w:color="auto" w:fill="E7F3F4"/>
            <w:hideMark/>
          </w:tcPr>
          <w:p w14:paraId="3D505ADF"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Halophila spinulosa</w:t>
            </w:r>
          </w:p>
        </w:tc>
        <w:tc>
          <w:tcPr>
            <w:tcW w:w="979" w:type="dxa"/>
            <w:tcBorders>
              <w:top w:val="single" w:sz="4" w:space="0" w:color="auto"/>
              <w:left w:val="nil"/>
              <w:bottom w:val="nil"/>
              <w:right w:val="nil"/>
            </w:tcBorders>
            <w:shd w:val="clear" w:color="auto" w:fill="E7F3F4"/>
          </w:tcPr>
          <w:p w14:paraId="4EBAFEA5" w14:textId="77777777" w:rsidR="00620C8B" w:rsidRDefault="00620C8B" w:rsidP="00DD3BAE">
            <w:pPr>
              <w:autoSpaceDE w:val="0"/>
              <w:autoSpaceDN w:val="0"/>
              <w:adjustRightInd w:val="0"/>
              <w:spacing w:before="0" w:after="0"/>
              <w:rPr>
                <w:rFonts w:cs="TimesNewRoman"/>
                <w:color w:val="000000"/>
                <w:sz w:val="16"/>
                <w:szCs w:val="16"/>
              </w:rPr>
            </w:pPr>
          </w:p>
        </w:tc>
        <w:tc>
          <w:tcPr>
            <w:tcW w:w="2231" w:type="dxa"/>
            <w:tcBorders>
              <w:top w:val="single" w:sz="4" w:space="0" w:color="auto"/>
              <w:left w:val="nil"/>
              <w:bottom w:val="nil"/>
              <w:right w:val="nil"/>
            </w:tcBorders>
            <w:shd w:val="clear" w:color="auto" w:fill="E7F3F4"/>
          </w:tcPr>
          <w:p w14:paraId="76C7CD6A" w14:textId="77777777" w:rsidR="00620C8B" w:rsidRDefault="00620C8B" w:rsidP="00DD3BAE">
            <w:pPr>
              <w:autoSpaceDE w:val="0"/>
              <w:autoSpaceDN w:val="0"/>
              <w:adjustRightInd w:val="0"/>
              <w:spacing w:before="0" w:after="0"/>
              <w:rPr>
                <w:rFonts w:cs="TimesNewRoman"/>
                <w:color w:val="000000"/>
                <w:sz w:val="16"/>
                <w:szCs w:val="16"/>
              </w:rPr>
            </w:pPr>
          </w:p>
        </w:tc>
        <w:tc>
          <w:tcPr>
            <w:tcW w:w="3000" w:type="dxa"/>
            <w:tcBorders>
              <w:top w:val="single" w:sz="4" w:space="0" w:color="auto"/>
              <w:left w:val="nil"/>
              <w:bottom w:val="nil"/>
              <w:right w:val="nil"/>
            </w:tcBorders>
            <w:shd w:val="clear" w:color="auto" w:fill="E7F3F4"/>
          </w:tcPr>
          <w:p w14:paraId="6A2054AA"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17D59169" w14:textId="77777777" w:rsidTr="00805748">
        <w:trPr>
          <w:jc w:val="center"/>
        </w:trPr>
        <w:tc>
          <w:tcPr>
            <w:tcW w:w="2124" w:type="dxa"/>
            <w:shd w:val="clear" w:color="auto" w:fill="F3F3F3"/>
          </w:tcPr>
          <w:p w14:paraId="09E3EAED"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F3F3F3"/>
          </w:tcPr>
          <w:p w14:paraId="07B82CFD" w14:textId="77777777" w:rsidR="00620C8B" w:rsidRDefault="00620C8B" w:rsidP="00DD3BAE">
            <w:pPr>
              <w:autoSpaceDE w:val="0"/>
              <w:autoSpaceDN w:val="0"/>
              <w:adjustRightInd w:val="0"/>
              <w:spacing w:before="0" w:after="0"/>
              <w:rPr>
                <w:rFonts w:cs="TimesNewRoman"/>
                <w:color w:val="000000"/>
                <w:sz w:val="16"/>
                <w:szCs w:val="16"/>
              </w:rPr>
            </w:pPr>
          </w:p>
        </w:tc>
        <w:tc>
          <w:tcPr>
            <w:tcW w:w="2231" w:type="dxa"/>
            <w:shd w:val="clear" w:color="auto" w:fill="F3F3F3"/>
          </w:tcPr>
          <w:p w14:paraId="3FA2A3CD" w14:textId="77777777" w:rsidR="00620C8B" w:rsidRDefault="00620C8B" w:rsidP="00DD3BAE">
            <w:pPr>
              <w:autoSpaceDE w:val="0"/>
              <w:autoSpaceDN w:val="0"/>
              <w:adjustRightInd w:val="0"/>
              <w:spacing w:before="0" w:after="0"/>
              <w:rPr>
                <w:rFonts w:cs="TimesNewRoman"/>
                <w:color w:val="000000"/>
                <w:sz w:val="16"/>
                <w:szCs w:val="16"/>
              </w:rPr>
            </w:pPr>
          </w:p>
        </w:tc>
        <w:tc>
          <w:tcPr>
            <w:tcW w:w="3000" w:type="dxa"/>
            <w:shd w:val="clear" w:color="auto" w:fill="F3F3F3"/>
          </w:tcPr>
          <w:p w14:paraId="5D72CAA9"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6A2C079E" w14:textId="77777777" w:rsidTr="003A1357">
        <w:trPr>
          <w:jc w:val="center"/>
        </w:trPr>
        <w:tc>
          <w:tcPr>
            <w:tcW w:w="2124" w:type="dxa"/>
            <w:tcBorders>
              <w:top w:val="single" w:sz="4" w:space="0" w:color="auto"/>
              <w:left w:val="nil"/>
              <w:bottom w:val="nil"/>
              <w:right w:val="nil"/>
            </w:tcBorders>
            <w:shd w:val="clear" w:color="auto" w:fill="E7F3F4"/>
            <w:hideMark/>
          </w:tcPr>
          <w:p w14:paraId="77381EB7"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Halodule uninervis</w:t>
            </w:r>
          </w:p>
        </w:tc>
        <w:tc>
          <w:tcPr>
            <w:tcW w:w="979" w:type="dxa"/>
            <w:tcBorders>
              <w:top w:val="single" w:sz="4" w:space="0" w:color="auto"/>
              <w:left w:val="nil"/>
              <w:bottom w:val="nil"/>
              <w:right w:val="nil"/>
            </w:tcBorders>
            <w:shd w:val="clear" w:color="auto" w:fill="E7F3F4"/>
            <w:hideMark/>
          </w:tcPr>
          <w:p w14:paraId="3EFF4DD0"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40.9</w:t>
            </w:r>
          </w:p>
        </w:tc>
        <w:tc>
          <w:tcPr>
            <w:tcW w:w="2231" w:type="dxa"/>
            <w:tcBorders>
              <w:top w:val="single" w:sz="4" w:space="0" w:color="auto"/>
              <w:left w:val="nil"/>
              <w:bottom w:val="nil"/>
              <w:right w:val="nil"/>
            </w:tcBorders>
            <w:shd w:val="clear" w:color="auto" w:fill="E7F3F4"/>
            <w:hideMark/>
          </w:tcPr>
          <w:p w14:paraId="6358FDCD"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 xml:space="preserve">Grice </w:t>
            </w:r>
            <w:r w:rsidRPr="009B09C9">
              <w:rPr>
                <w:rFonts w:cs="TimesNewRoman"/>
                <w:i/>
                <w:color w:val="000000"/>
                <w:sz w:val="16"/>
                <w:szCs w:val="16"/>
              </w:rPr>
              <w:t>et al</w:t>
            </w:r>
            <w:r>
              <w:rPr>
                <w:rFonts w:cs="TimesNewRoman"/>
                <w:color w:val="000000"/>
                <w:sz w:val="16"/>
                <w:szCs w:val="16"/>
              </w:rPr>
              <w:t>. 1996</w:t>
            </w:r>
          </w:p>
        </w:tc>
        <w:tc>
          <w:tcPr>
            <w:tcW w:w="3000" w:type="dxa"/>
            <w:tcBorders>
              <w:top w:val="single" w:sz="4" w:space="0" w:color="auto"/>
              <w:left w:val="nil"/>
              <w:bottom w:val="nil"/>
              <w:right w:val="nil"/>
            </w:tcBorders>
            <w:shd w:val="clear" w:color="auto" w:fill="E7F3F4"/>
            <w:hideMark/>
          </w:tcPr>
          <w:p w14:paraId="680D881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14:paraId="50C72D49" w14:textId="77777777" w:rsidTr="003A1357">
        <w:trPr>
          <w:jc w:val="center"/>
        </w:trPr>
        <w:tc>
          <w:tcPr>
            <w:tcW w:w="2124" w:type="dxa"/>
            <w:shd w:val="clear" w:color="auto" w:fill="E7F3F4"/>
          </w:tcPr>
          <w:p w14:paraId="362D29FE"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DB0B6D5"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36</w:t>
            </w:r>
          </w:p>
        </w:tc>
        <w:tc>
          <w:tcPr>
            <w:tcW w:w="2231" w:type="dxa"/>
            <w:shd w:val="clear" w:color="auto" w:fill="E7F3F4"/>
            <w:hideMark/>
          </w:tcPr>
          <w:p w14:paraId="7F63071B"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14:paraId="15148F39"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N Queensland</w:t>
            </w:r>
          </w:p>
        </w:tc>
      </w:tr>
      <w:tr w:rsidR="00620C8B" w14:paraId="160F6A62" w14:textId="77777777" w:rsidTr="00805748">
        <w:trPr>
          <w:jc w:val="center"/>
        </w:trPr>
        <w:tc>
          <w:tcPr>
            <w:tcW w:w="2124" w:type="dxa"/>
            <w:tcBorders>
              <w:top w:val="nil"/>
              <w:left w:val="nil"/>
              <w:bottom w:val="single" w:sz="4" w:space="0" w:color="auto"/>
              <w:right w:val="nil"/>
            </w:tcBorders>
            <w:shd w:val="clear" w:color="auto" w:fill="F3F3F3"/>
          </w:tcPr>
          <w:p w14:paraId="0421307A" w14:textId="77777777" w:rsidR="00620C8B" w:rsidRDefault="00620C8B" w:rsidP="00DD3BAE">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14:paraId="084D5B77"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38.5</w:t>
            </w:r>
          </w:p>
        </w:tc>
        <w:tc>
          <w:tcPr>
            <w:tcW w:w="2231" w:type="dxa"/>
            <w:tcBorders>
              <w:top w:val="nil"/>
              <w:left w:val="nil"/>
              <w:bottom w:val="single" w:sz="4" w:space="0" w:color="auto"/>
              <w:right w:val="nil"/>
            </w:tcBorders>
            <w:shd w:val="clear" w:color="auto" w:fill="F3F3F3"/>
            <w:hideMark/>
          </w:tcPr>
          <w:p w14:paraId="1ABA9EFA"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14:paraId="04719FE3"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687FFFCB" w14:textId="77777777" w:rsidTr="00805748">
        <w:trPr>
          <w:jc w:val="center"/>
        </w:trPr>
        <w:tc>
          <w:tcPr>
            <w:tcW w:w="2124" w:type="dxa"/>
            <w:hideMark/>
          </w:tcPr>
          <w:p w14:paraId="6870FDCD"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Syringodium isoetifolium</w:t>
            </w:r>
          </w:p>
        </w:tc>
        <w:tc>
          <w:tcPr>
            <w:tcW w:w="979" w:type="dxa"/>
            <w:hideMark/>
          </w:tcPr>
          <w:p w14:paraId="51C59742"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28</w:t>
            </w:r>
          </w:p>
        </w:tc>
        <w:tc>
          <w:tcPr>
            <w:tcW w:w="2231" w:type="dxa"/>
            <w:hideMark/>
          </w:tcPr>
          <w:p w14:paraId="2448AD7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 xml:space="preserve">Grice </w:t>
            </w:r>
            <w:r w:rsidRPr="009B09C9">
              <w:rPr>
                <w:rFonts w:cs="TimesNewRoman"/>
                <w:i/>
                <w:color w:val="000000"/>
                <w:sz w:val="16"/>
                <w:szCs w:val="16"/>
              </w:rPr>
              <w:t>et al</w:t>
            </w:r>
            <w:r>
              <w:rPr>
                <w:rFonts w:cs="TimesNewRoman"/>
                <w:color w:val="000000"/>
                <w:sz w:val="16"/>
                <w:szCs w:val="16"/>
              </w:rPr>
              <w:t>. 1996</w:t>
            </w:r>
          </w:p>
        </w:tc>
        <w:tc>
          <w:tcPr>
            <w:tcW w:w="3000" w:type="dxa"/>
            <w:hideMark/>
          </w:tcPr>
          <w:p w14:paraId="1334B7E8"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14:paraId="0973A455" w14:textId="77777777" w:rsidTr="00805748">
        <w:trPr>
          <w:jc w:val="center"/>
        </w:trPr>
        <w:tc>
          <w:tcPr>
            <w:tcW w:w="2124" w:type="dxa"/>
            <w:shd w:val="clear" w:color="auto" w:fill="F3F3F3"/>
          </w:tcPr>
          <w:p w14:paraId="1184F7A6"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F3F3F3"/>
          </w:tcPr>
          <w:p w14:paraId="351D5A2C" w14:textId="77777777" w:rsidR="00620C8B" w:rsidRDefault="00620C8B" w:rsidP="00DD3BAE">
            <w:pPr>
              <w:autoSpaceDE w:val="0"/>
              <w:autoSpaceDN w:val="0"/>
              <w:adjustRightInd w:val="0"/>
              <w:spacing w:before="0" w:after="0"/>
              <w:rPr>
                <w:rFonts w:cs="TimesNewRoman"/>
                <w:color w:val="000000"/>
                <w:sz w:val="16"/>
                <w:szCs w:val="16"/>
              </w:rPr>
            </w:pPr>
          </w:p>
        </w:tc>
        <w:tc>
          <w:tcPr>
            <w:tcW w:w="2231" w:type="dxa"/>
            <w:shd w:val="clear" w:color="auto" w:fill="F3F3F3"/>
          </w:tcPr>
          <w:p w14:paraId="42190CAC" w14:textId="77777777" w:rsidR="00620C8B" w:rsidRDefault="00620C8B" w:rsidP="00DD3BAE">
            <w:pPr>
              <w:autoSpaceDE w:val="0"/>
              <w:autoSpaceDN w:val="0"/>
              <w:adjustRightInd w:val="0"/>
              <w:spacing w:before="0" w:after="0"/>
              <w:rPr>
                <w:rFonts w:cs="TimesNewRoman"/>
                <w:color w:val="000000"/>
                <w:sz w:val="16"/>
                <w:szCs w:val="16"/>
              </w:rPr>
            </w:pPr>
          </w:p>
        </w:tc>
        <w:tc>
          <w:tcPr>
            <w:tcW w:w="3000" w:type="dxa"/>
            <w:shd w:val="clear" w:color="auto" w:fill="F3F3F3"/>
          </w:tcPr>
          <w:p w14:paraId="5607EF49"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22A2817A" w14:textId="77777777" w:rsidTr="003A1357">
        <w:trPr>
          <w:jc w:val="center"/>
        </w:trPr>
        <w:tc>
          <w:tcPr>
            <w:tcW w:w="2124" w:type="dxa"/>
            <w:tcBorders>
              <w:top w:val="single" w:sz="4" w:space="0" w:color="auto"/>
              <w:left w:val="nil"/>
              <w:bottom w:val="nil"/>
              <w:right w:val="nil"/>
            </w:tcBorders>
            <w:shd w:val="clear" w:color="auto" w:fill="E7F3F4"/>
            <w:hideMark/>
          </w:tcPr>
          <w:p w14:paraId="3473F811"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Thalassia hemprichii</w:t>
            </w:r>
          </w:p>
        </w:tc>
        <w:tc>
          <w:tcPr>
            <w:tcW w:w="979" w:type="dxa"/>
            <w:tcBorders>
              <w:top w:val="single" w:sz="4" w:space="0" w:color="auto"/>
              <w:left w:val="nil"/>
              <w:bottom w:val="nil"/>
              <w:right w:val="nil"/>
            </w:tcBorders>
            <w:shd w:val="clear" w:color="auto" w:fill="E7F3F4"/>
            <w:hideMark/>
          </w:tcPr>
          <w:p w14:paraId="60007DF0"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 xml:space="preserve">32..61 </w:t>
            </w:r>
          </w:p>
        </w:tc>
        <w:tc>
          <w:tcPr>
            <w:tcW w:w="2231" w:type="dxa"/>
            <w:tcBorders>
              <w:top w:val="single" w:sz="4" w:space="0" w:color="auto"/>
              <w:left w:val="nil"/>
              <w:bottom w:val="nil"/>
              <w:right w:val="nil"/>
            </w:tcBorders>
            <w:shd w:val="clear" w:color="auto" w:fill="E7F3F4"/>
            <w:hideMark/>
          </w:tcPr>
          <w:p w14:paraId="0DEC5142"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Erftemeijer and Herman 1994</w:t>
            </w:r>
          </w:p>
        </w:tc>
        <w:tc>
          <w:tcPr>
            <w:tcW w:w="3000" w:type="dxa"/>
            <w:tcBorders>
              <w:top w:val="single" w:sz="4" w:space="0" w:color="auto"/>
              <w:left w:val="nil"/>
              <w:bottom w:val="nil"/>
              <w:right w:val="nil"/>
            </w:tcBorders>
            <w:shd w:val="clear" w:color="auto" w:fill="E7F3F4"/>
            <w:hideMark/>
          </w:tcPr>
          <w:p w14:paraId="3DF60820"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Kudingareng, Indonesia</w:t>
            </w:r>
          </w:p>
        </w:tc>
      </w:tr>
      <w:tr w:rsidR="00620C8B" w14:paraId="6BB47F24" w14:textId="77777777" w:rsidTr="003A1357">
        <w:trPr>
          <w:jc w:val="center"/>
        </w:trPr>
        <w:tc>
          <w:tcPr>
            <w:tcW w:w="2124" w:type="dxa"/>
            <w:shd w:val="clear" w:color="auto" w:fill="E7F3F4"/>
          </w:tcPr>
          <w:p w14:paraId="4F4DF498"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CAD4BCC"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35.58</w:t>
            </w:r>
          </w:p>
        </w:tc>
        <w:tc>
          <w:tcPr>
            <w:tcW w:w="2231" w:type="dxa"/>
            <w:shd w:val="clear" w:color="auto" w:fill="E7F3F4"/>
            <w:hideMark/>
          </w:tcPr>
          <w:p w14:paraId="1F41D67C"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Erftemeijer and Herman 1994</w:t>
            </w:r>
          </w:p>
        </w:tc>
        <w:tc>
          <w:tcPr>
            <w:tcW w:w="3000" w:type="dxa"/>
            <w:shd w:val="clear" w:color="auto" w:fill="E7F3F4"/>
            <w:hideMark/>
          </w:tcPr>
          <w:p w14:paraId="3BCE12D0" w14:textId="77777777" w:rsidR="00620C8B" w:rsidRDefault="00620C8B" w:rsidP="00DD3BAE">
            <w:pPr>
              <w:autoSpaceDE w:val="0"/>
              <w:autoSpaceDN w:val="0"/>
              <w:adjustRightInd w:val="0"/>
              <w:spacing w:before="0" w:after="0"/>
              <w:rPr>
                <w:rFonts w:cs="TimesNewRoman"/>
                <w:color w:val="000000"/>
                <w:sz w:val="16"/>
                <w:szCs w:val="16"/>
                <w:lang w:val="it-IT"/>
              </w:rPr>
            </w:pPr>
            <w:r>
              <w:rPr>
                <w:rFonts w:cs="TimesNewRoman"/>
                <w:color w:val="000000"/>
                <w:sz w:val="16"/>
                <w:szCs w:val="16"/>
                <w:lang w:val="it-IT"/>
              </w:rPr>
              <w:t>Barang Lompo, South Sulawesi, Indonesia</w:t>
            </w:r>
          </w:p>
        </w:tc>
      </w:tr>
      <w:tr w:rsidR="00620C8B" w14:paraId="7073F4DD" w14:textId="77777777" w:rsidTr="003A1357">
        <w:trPr>
          <w:jc w:val="center"/>
        </w:trPr>
        <w:tc>
          <w:tcPr>
            <w:tcW w:w="2124" w:type="dxa"/>
            <w:shd w:val="clear" w:color="auto" w:fill="E7F3F4"/>
          </w:tcPr>
          <w:p w14:paraId="067E7028" w14:textId="77777777" w:rsidR="00620C8B" w:rsidRDefault="00620C8B" w:rsidP="00DD3BAE">
            <w:pPr>
              <w:autoSpaceDE w:val="0"/>
              <w:autoSpaceDN w:val="0"/>
              <w:adjustRightInd w:val="0"/>
              <w:spacing w:before="0" w:after="0"/>
              <w:rPr>
                <w:rFonts w:cs="TimesNewRoman"/>
                <w:i/>
                <w:color w:val="000000"/>
                <w:sz w:val="16"/>
                <w:szCs w:val="16"/>
                <w:lang w:val="it-IT"/>
              </w:rPr>
            </w:pPr>
          </w:p>
        </w:tc>
        <w:tc>
          <w:tcPr>
            <w:tcW w:w="979" w:type="dxa"/>
            <w:shd w:val="clear" w:color="auto" w:fill="E7F3F4"/>
            <w:hideMark/>
          </w:tcPr>
          <w:p w14:paraId="3BA16D8C"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37.4</w:t>
            </w:r>
          </w:p>
        </w:tc>
        <w:tc>
          <w:tcPr>
            <w:tcW w:w="2231" w:type="dxa"/>
            <w:shd w:val="clear" w:color="auto" w:fill="E7F3F4"/>
            <w:hideMark/>
          </w:tcPr>
          <w:p w14:paraId="3AF4647C"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 xml:space="preserve">Koike </w:t>
            </w:r>
            <w:r w:rsidRPr="009B09C9">
              <w:rPr>
                <w:rFonts w:cs="TimesNewRoman"/>
                <w:i/>
                <w:color w:val="000000"/>
                <w:sz w:val="16"/>
                <w:szCs w:val="16"/>
              </w:rPr>
              <w:t>et al</w:t>
            </w:r>
            <w:r>
              <w:rPr>
                <w:rFonts w:cs="TimesNewRoman"/>
                <w:color w:val="000000"/>
                <w:sz w:val="16"/>
                <w:szCs w:val="16"/>
              </w:rPr>
              <w:t xml:space="preserve"> (1987)</w:t>
            </w:r>
          </w:p>
        </w:tc>
        <w:tc>
          <w:tcPr>
            <w:tcW w:w="3000" w:type="dxa"/>
            <w:shd w:val="clear" w:color="auto" w:fill="E7F3F4"/>
            <w:hideMark/>
          </w:tcPr>
          <w:p w14:paraId="4CBFAD9B"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Port Moresby, PNG</w:t>
            </w:r>
          </w:p>
        </w:tc>
      </w:tr>
      <w:tr w:rsidR="00620C8B" w14:paraId="151BA4C1" w14:textId="77777777" w:rsidTr="003A1357">
        <w:trPr>
          <w:jc w:val="center"/>
        </w:trPr>
        <w:tc>
          <w:tcPr>
            <w:tcW w:w="2124" w:type="dxa"/>
            <w:shd w:val="clear" w:color="auto" w:fill="E7F3F4"/>
          </w:tcPr>
          <w:p w14:paraId="2B85AF28"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429D6886"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40.4</w:t>
            </w:r>
          </w:p>
        </w:tc>
        <w:tc>
          <w:tcPr>
            <w:tcW w:w="2231" w:type="dxa"/>
            <w:shd w:val="clear" w:color="auto" w:fill="E7F3F4"/>
            <w:hideMark/>
          </w:tcPr>
          <w:p w14:paraId="2BBFB219"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 xml:space="preserve">Koike </w:t>
            </w:r>
            <w:r w:rsidRPr="009B09C9">
              <w:rPr>
                <w:rFonts w:cs="TimesNewRoman"/>
                <w:i/>
                <w:color w:val="000000"/>
                <w:sz w:val="16"/>
                <w:szCs w:val="16"/>
              </w:rPr>
              <w:t>et al</w:t>
            </w:r>
            <w:r>
              <w:rPr>
                <w:rFonts w:cs="TimesNewRoman"/>
                <w:color w:val="000000"/>
                <w:sz w:val="16"/>
                <w:szCs w:val="16"/>
              </w:rPr>
              <w:t xml:space="preserve"> (1987)</w:t>
            </w:r>
          </w:p>
        </w:tc>
        <w:tc>
          <w:tcPr>
            <w:tcW w:w="3000" w:type="dxa"/>
            <w:shd w:val="clear" w:color="auto" w:fill="E7F3F4"/>
            <w:hideMark/>
          </w:tcPr>
          <w:p w14:paraId="7420459E"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Port Moresby, PNG</w:t>
            </w:r>
          </w:p>
        </w:tc>
      </w:tr>
      <w:tr w:rsidR="00620C8B" w14:paraId="6A24E576" w14:textId="77777777" w:rsidTr="003A1357">
        <w:trPr>
          <w:jc w:val="center"/>
        </w:trPr>
        <w:tc>
          <w:tcPr>
            <w:tcW w:w="2124" w:type="dxa"/>
            <w:shd w:val="clear" w:color="auto" w:fill="E7F3F4"/>
          </w:tcPr>
          <w:p w14:paraId="608C3862"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E5BF13F"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33</w:t>
            </w:r>
          </w:p>
        </w:tc>
        <w:tc>
          <w:tcPr>
            <w:tcW w:w="2231" w:type="dxa"/>
            <w:shd w:val="clear" w:color="auto" w:fill="E7F3F4"/>
            <w:hideMark/>
          </w:tcPr>
          <w:p w14:paraId="28430270"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14:paraId="2DC1429A"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Cockle Bay</w:t>
            </w:r>
          </w:p>
        </w:tc>
      </w:tr>
      <w:tr w:rsidR="00620C8B" w14:paraId="0AFCEBDC" w14:textId="77777777" w:rsidTr="003A1357">
        <w:trPr>
          <w:jc w:val="center"/>
        </w:trPr>
        <w:tc>
          <w:tcPr>
            <w:tcW w:w="2124" w:type="dxa"/>
            <w:shd w:val="clear" w:color="auto" w:fill="E7F3F4"/>
          </w:tcPr>
          <w:p w14:paraId="2483BFB4"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6D5E1C14"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33.5</w:t>
            </w:r>
          </w:p>
        </w:tc>
        <w:tc>
          <w:tcPr>
            <w:tcW w:w="2231" w:type="dxa"/>
            <w:shd w:val="clear" w:color="auto" w:fill="E7F3F4"/>
            <w:hideMark/>
          </w:tcPr>
          <w:p w14:paraId="4E68143D"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Yamamuro &amp; Chirapart 2005</w:t>
            </w:r>
          </w:p>
        </w:tc>
        <w:tc>
          <w:tcPr>
            <w:tcW w:w="3000" w:type="dxa"/>
            <w:shd w:val="clear" w:color="auto" w:fill="E7F3F4"/>
          </w:tcPr>
          <w:p w14:paraId="09DD546F"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7802001C" w14:textId="77777777" w:rsidTr="00805748">
        <w:trPr>
          <w:jc w:val="center"/>
        </w:trPr>
        <w:tc>
          <w:tcPr>
            <w:tcW w:w="2124" w:type="dxa"/>
            <w:shd w:val="clear" w:color="auto" w:fill="F3F3F3"/>
          </w:tcPr>
          <w:p w14:paraId="23F11FFB" w14:textId="77777777" w:rsidR="00620C8B" w:rsidRDefault="00620C8B" w:rsidP="00DD3BAE">
            <w:pPr>
              <w:autoSpaceDE w:val="0"/>
              <w:autoSpaceDN w:val="0"/>
              <w:adjustRightInd w:val="0"/>
              <w:spacing w:before="0" w:after="0"/>
              <w:jc w:val="right"/>
              <w:rPr>
                <w:rFonts w:cs="TimesNewRoman"/>
                <w:color w:val="000000"/>
                <w:sz w:val="16"/>
                <w:szCs w:val="16"/>
              </w:rPr>
            </w:pPr>
          </w:p>
        </w:tc>
        <w:tc>
          <w:tcPr>
            <w:tcW w:w="979" w:type="dxa"/>
            <w:shd w:val="clear" w:color="auto" w:fill="F3F3F3"/>
            <w:hideMark/>
          </w:tcPr>
          <w:p w14:paraId="7464977A"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35.6</w:t>
            </w:r>
          </w:p>
        </w:tc>
        <w:tc>
          <w:tcPr>
            <w:tcW w:w="2231" w:type="dxa"/>
            <w:shd w:val="clear" w:color="auto" w:fill="F3F3F3"/>
            <w:hideMark/>
          </w:tcPr>
          <w:p w14:paraId="52142578"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shd w:val="clear" w:color="auto" w:fill="F3F3F3"/>
          </w:tcPr>
          <w:p w14:paraId="69EE5A10" w14:textId="77777777" w:rsidR="00620C8B" w:rsidRDefault="00620C8B" w:rsidP="00DD3BAE">
            <w:pPr>
              <w:autoSpaceDE w:val="0"/>
              <w:autoSpaceDN w:val="0"/>
              <w:adjustRightInd w:val="0"/>
              <w:spacing w:before="0" w:after="0"/>
              <w:rPr>
                <w:rFonts w:cs="TimesNewRoman"/>
                <w:color w:val="000000"/>
                <w:sz w:val="16"/>
                <w:szCs w:val="16"/>
              </w:rPr>
            </w:pPr>
          </w:p>
        </w:tc>
      </w:tr>
      <w:tr w:rsidR="00620C8B" w14:paraId="11CC7BA6" w14:textId="77777777" w:rsidTr="003A1357">
        <w:trPr>
          <w:jc w:val="center"/>
        </w:trPr>
        <w:tc>
          <w:tcPr>
            <w:tcW w:w="2124" w:type="dxa"/>
            <w:tcBorders>
              <w:top w:val="single" w:sz="4" w:space="0" w:color="auto"/>
              <w:left w:val="nil"/>
              <w:bottom w:val="nil"/>
              <w:right w:val="nil"/>
            </w:tcBorders>
            <w:shd w:val="clear" w:color="auto" w:fill="E7F3F4"/>
            <w:hideMark/>
          </w:tcPr>
          <w:p w14:paraId="7FCB2C60"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Zostera muelleri (capricorni)</w:t>
            </w:r>
          </w:p>
        </w:tc>
        <w:tc>
          <w:tcPr>
            <w:tcW w:w="979" w:type="dxa"/>
            <w:tcBorders>
              <w:top w:val="single" w:sz="4" w:space="0" w:color="auto"/>
              <w:left w:val="nil"/>
              <w:bottom w:val="nil"/>
              <w:right w:val="nil"/>
            </w:tcBorders>
            <w:shd w:val="clear" w:color="auto" w:fill="E7F3F4"/>
            <w:hideMark/>
          </w:tcPr>
          <w:p w14:paraId="307268F8"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32</w:t>
            </w:r>
          </w:p>
        </w:tc>
        <w:tc>
          <w:tcPr>
            <w:tcW w:w="2231" w:type="dxa"/>
            <w:tcBorders>
              <w:top w:val="single" w:sz="4" w:space="0" w:color="auto"/>
              <w:left w:val="nil"/>
              <w:bottom w:val="nil"/>
              <w:right w:val="nil"/>
            </w:tcBorders>
            <w:shd w:val="clear" w:color="auto" w:fill="E7F3F4"/>
            <w:hideMark/>
          </w:tcPr>
          <w:p w14:paraId="3031C2F1"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tcBorders>
              <w:top w:val="single" w:sz="4" w:space="0" w:color="auto"/>
              <w:left w:val="nil"/>
              <w:bottom w:val="nil"/>
              <w:right w:val="nil"/>
            </w:tcBorders>
            <w:shd w:val="clear" w:color="auto" w:fill="E7F3F4"/>
            <w:hideMark/>
          </w:tcPr>
          <w:p w14:paraId="00107105"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Pallerenda</w:t>
            </w:r>
          </w:p>
        </w:tc>
      </w:tr>
      <w:tr w:rsidR="00620C8B" w14:paraId="752AEC80" w14:textId="77777777" w:rsidTr="003A1357">
        <w:trPr>
          <w:jc w:val="center"/>
        </w:trPr>
        <w:tc>
          <w:tcPr>
            <w:tcW w:w="2124" w:type="dxa"/>
            <w:shd w:val="clear" w:color="auto" w:fill="E7F3F4"/>
          </w:tcPr>
          <w:p w14:paraId="6CB056EF" w14:textId="77777777" w:rsidR="00620C8B" w:rsidRDefault="00620C8B" w:rsidP="00DD3BAE">
            <w:pPr>
              <w:autoSpaceDE w:val="0"/>
              <w:autoSpaceDN w:val="0"/>
              <w:adjustRightInd w:val="0"/>
              <w:spacing w:before="0" w:after="0"/>
              <w:rPr>
                <w:rFonts w:cs="TimesNewRoman"/>
                <w:color w:val="000000"/>
                <w:sz w:val="16"/>
                <w:szCs w:val="16"/>
              </w:rPr>
            </w:pPr>
          </w:p>
        </w:tc>
        <w:tc>
          <w:tcPr>
            <w:tcW w:w="979" w:type="dxa"/>
            <w:shd w:val="clear" w:color="auto" w:fill="E7F3F4"/>
            <w:hideMark/>
          </w:tcPr>
          <w:p w14:paraId="44040F32"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32 ±04</w:t>
            </w:r>
          </w:p>
        </w:tc>
        <w:tc>
          <w:tcPr>
            <w:tcW w:w="2231" w:type="dxa"/>
            <w:shd w:val="clear" w:color="auto" w:fill="E7F3F4"/>
            <w:hideMark/>
          </w:tcPr>
          <w:p w14:paraId="6AC7C90D"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14:paraId="0D78FA67"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Urangan - April</w:t>
            </w:r>
          </w:p>
        </w:tc>
      </w:tr>
      <w:tr w:rsidR="00620C8B" w14:paraId="547FF3A2" w14:textId="77777777" w:rsidTr="003A1357">
        <w:trPr>
          <w:jc w:val="center"/>
        </w:trPr>
        <w:tc>
          <w:tcPr>
            <w:tcW w:w="2124" w:type="dxa"/>
            <w:shd w:val="clear" w:color="auto" w:fill="E7F3F4"/>
          </w:tcPr>
          <w:p w14:paraId="0ABFD55A" w14:textId="77777777" w:rsidR="00620C8B" w:rsidRDefault="00620C8B" w:rsidP="00DD3BAE">
            <w:pPr>
              <w:autoSpaceDE w:val="0"/>
              <w:autoSpaceDN w:val="0"/>
              <w:adjustRightInd w:val="0"/>
              <w:spacing w:before="0" w:after="0"/>
              <w:rPr>
                <w:rFonts w:cs="TimesNewRoman"/>
                <w:color w:val="000000"/>
                <w:sz w:val="16"/>
                <w:szCs w:val="16"/>
              </w:rPr>
            </w:pPr>
          </w:p>
        </w:tc>
        <w:tc>
          <w:tcPr>
            <w:tcW w:w="979" w:type="dxa"/>
            <w:shd w:val="clear" w:color="auto" w:fill="E7F3F4"/>
            <w:hideMark/>
          </w:tcPr>
          <w:p w14:paraId="7C689211"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25 ±1.8</w:t>
            </w:r>
          </w:p>
        </w:tc>
        <w:tc>
          <w:tcPr>
            <w:tcW w:w="2231" w:type="dxa"/>
            <w:shd w:val="clear" w:color="auto" w:fill="E7F3F4"/>
            <w:hideMark/>
          </w:tcPr>
          <w:p w14:paraId="52B8951A"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14:paraId="0E3CFB43"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Urangan -Dec</w:t>
            </w:r>
          </w:p>
        </w:tc>
      </w:tr>
      <w:tr w:rsidR="00620C8B" w14:paraId="4D1B76FB" w14:textId="77777777" w:rsidTr="00805748">
        <w:trPr>
          <w:jc w:val="center"/>
        </w:trPr>
        <w:tc>
          <w:tcPr>
            <w:tcW w:w="2124" w:type="dxa"/>
            <w:tcBorders>
              <w:top w:val="nil"/>
              <w:left w:val="nil"/>
              <w:bottom w:val="single" w:sz="4" w:space="0" w:color="auto"/>
              <w:right w:val="nil"/>
            </w:tcBorders>
            <w:shd w:val="clear" w:color="auto" w:fill="F3F3F3"/>
          </w:tcPr>
          <w:p w14:paraId="4BB273D4" w14:textId="77777777" w:rsidR="00620C8B" w:rsidRDefault="00620C8B" w:rsidP="00DD3BAE">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3F3"/>
            <w:hideMark/>
          </w:tcPr>
          <w:p w14:paraId="18126E06"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32</w:t>
            </w:r>
          </w:p>
        </w:tc>
        <w:tc>
          <w:tcPr>
            <w:tcW w:w="2231" w:type="dxa"/>
            <w:tcBorders>
              <w:top w:val="nil"/>
              <w:left w:val="nil"/>
              <w:bottom w:val="single" w:sz="4" w:space="0" w:color="auto"/>
              <w:right w:val="nil"/>
            </w:tcBorders>
            <w:shd w:val="clear" w:color="auto" w:fill="F3F3F3"/>
            <w:hideMark/>
          </w:tcPr>
          <w:p w14:paraId="1613A623" w14:textId="77777777" w:rsidR="00620C8B" w:rsidRDefault="00620C8B" w:rsidP="00DD3BAE">
            <w:pPr>
              <w:autoSpaceDE w:val="0"/>
              <w:autoSpaceDN w:val="0"/>
              <w:adjustRightInd w:val="0"/>
              <w:spacing w:before="0" w:after="0"/>
              <w:rPr>
                <w:rFonts w:cs="TimesNewRoman"/>
                <w:i/>
                <w:color w:val="000000"/>
                <w:sz w:val="16"/>
                <w:szCs w:val="16"/>
              </w:rPr>
            </w:pPr>
            <w:r>
              <w:rPr>
                <w:rFonts w:cs="TimesNewRoman"/>
                <w:i/>
                <w:color w:val="000000"/>
                <w:sz w:val="16"/>
                <w:szCs w:val="16"/>
              </w:rPr>
              <w:t>median</w:t>
            </w:r>
          </w:p>
        </w:tc>
        <w:tc>
          <w:tcPr>
            <w:tcW w:w="3000" w:type="dxa"/>
            <w:tcBorders>
              <w:top w:val="nil"/>
              <w:left w:val="nil"/>
              <w:bottom w:val="single" w:sz="4" w:space="0" w:color="auto"/>
              <w:right w:val="nil"/>
            </w:tcBorders>
            <w:shd w:val="clear" w:color="auto" w:fill="F3F3F3"/>
          </w:tcPr>
          <w:p w14:paraId="0AD94AE9" w14:textId="77777777" w:rsidR="00620C8B" w:rsidRDefault="00620C8B" w:rsidP="00DD3BAE">
            <w:pPr>
              <w:autoSpaceDE w:val="0"/>
              <w:autoSpaceDN w:val="0"/>
              <w:adjustRightInd w:val="0"/>
              <w:spacing w:before="0" w:after="0"/>
              <w:rPr>
                <w:rFonts w:cs="TimesNewRoman"/>
                <w:i/>
                <w:color w:val="000000"/>
                <w:sz w:val="16"/>
                <w:szCs w:val="16"/>
              </w:rPr>
            </w:pPr>
          </w:p>
        </w:tc>
      </w:tr>
      <w:tr w:rsidR="00620C8B" w14:paraId="653E731E" w14:textId="77777777" w:rsidTr="003A1357">
        <w:trPr>
          <w:jc w:val="center"/>
        </w:trPr>
        <w:tc>
          <w:tcPr>
            <w:tcW w:w="2124" w:type="dxa"/>
            <w:tcBorders>
              <w:top w:val="single" w:sz="4" w:space="0" w:color="auto"/>
              <w:left w:val="nil"/>
              <w:bottom w:val="single" w:sz="4" w:space="0" w:color="auto"/>
              <w:right w:val="nil"/>
            </w:tcBorders>
            <w:shd w:val="clear" w:color="auto" w:fill="E7F3F4"/>
            <w:hideMark/>
          </w:tcPr>
          <w:p w14:paraId="31B046B6"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Global</w:t>
            </w:r>
          </w:p>
        </w:tc>
        <w:tc>
          <w:tcPr>
            <w:tcW w:w="979" w:type="dxa"/>
            <w:tcBorders>
              <w:top w:val="single" w:sz="4" w:space="0" w:color="auto"/>
              <w:left w:val="nil"/>
              <w:bottom w:val="single" w:sz="4" w:space="0" w:color="auto"/>
              <w:right w:val="nil"/>
            </w:tcBorders>
            <w:shd w:val="clear" w:color="auto" w:fill="E7F3F4"/>
            <w:hideMark/>
          </w:tcPr>
          <w:p w14:paraId="5295918D"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33.6 ±0.31</w:t>
            </w:r>
          </w:p>
        </w:tc>
        <w:tc>
          <w:tcPr>
            <w:tcW w:w="2231" w:type="dxa"/>
            <w:tcBorders>
              <w:top w:val="single" w:sz="4" w:space="0" w:color="auto"/>
              <w:left w:val="nil"/>
              <w:bottom w:val="single" w:sz="4" w:space="0" w:color="auto"/>
              <w:right w:val="nil"/>
            </w:tcBorders>
            <w:shd w:val="clear" w:color="auto" w:fill="E7F3F4"/>
            <w:hideMark/>
          </w:tcPr>
          <w:p w14:paraId="4EFDBB78" w14:textId="77777777" w:rsidR="00620C8B" w:rsidRDefault="00620C8B" w:rsidP="00DD3BAE">
            <w:pPr>
              <w:autoSpaceDE w:val="0"/>
              <w:autoSpaceDN w:val="0"/>
              <w:adjustRightInd w:val="0"/>
              <w:spacing w:before="0" w:after="0"/>
              <w:rPr>
                <w:rFonts w:cs="TimesNewRoman"/>
                <w:color w:val="000000"/>
                <w:sz w:val="16"/>
                <w:szCs w:val="16"/>
              </w:rPr>
            </w:pPr>
            <w:r>
              <w:rPr>
                <w:rFonts w:cs="TimesNewRoman"/>
                <w:color w:val="000000"/>
                <w:sz w:val="16"/>
                <w:szCs w:val="16"/>
              </w:rPr>
              <w:t>Duarte 1990</w:t>
            </w:r>
          </w:p>
        </w:tc>
        <w:tc>
          <w:tcPr>
            <w:tcW w:w="3000" w:type="dxa"/>
            <w:tcBorders>
              <w:top w:val="single" w:sz="4" w:space="0" w:color="auto"/>
              <w:left w:val="nil"/>
              <w:bottom w:val="single" w:sz="4" w:space="0" w:color="auto"/>
              <w:right w:val="nil"/>
            </w:tcBorders>
            <w:shd w:val="clear" w:color="auto" w:fill="E7F3F4"/>
          </w:tcPr>
          <w:p w14:paraId="770DBDFC" w14:textId="77777777" w:rsidR="00620C8B" w:rsidRDefault="00620C8B" w:rsidP="00DD3BAE">
            <w:pPr>
              <w:autoSpaceDE w:val="0"/>
              <w:autoSpaceDN w:val="0"/>
              <w:adjustRightInd w:val="0"/>
              <w:spacing w:before="0" w:after="0"/>
              <w:rPr>
                <w:rFonts w:cs="TimesNewRoman"/>
                <w:color w:val="000000"/>
                <w:sz w:val="16"/>
                <w:szCs w:val="16"/>
              </w:rPr>
            </w:pPr>
          </w:p>
        </w:tc>
      </w:tr>
    </w:tbl>
    <w:p w14:paraId="27D3286E" w14:textId="77777777" w:rsidR="00620C8B" w:rsidRDefault="00620C8B" w:rsidP="00620C8B">
      <w:pPr>
        <w:rPr>
          <w:color w:val="000000"/>
          <w:szCs w:val="22"/>
        </w:rPr>
      </w:pPr>
    </w:p>
    <w:p w14:paraId="6AC2D854" w14:textId="77777777" w:rsidR="00902825" w:rsidRDefault="00902825">
      <w:pPr>
        <w:spacing w:before="0" w:after="0"/>
        <w:rPr>
          <w:color w:val="000000"/>
          <w:szCs w:val="22"/>
        </w:rPr>
      </w:pPr>
      <w:r>
        <w:rPr>
          <w:color w:val="000000"/>
          <w:szCs w:val="22"/>
        </w:rPr>
        <w:br w:type="page"/>
      </w:r>
    </w:p>
    <w:p w14:paraId="4FF1FC96" w14:textId="77777777" w:rsidR="00902825" w:rsidRDefault="00902825" w:rsidP="00620C8B">
      <w:pPr>
        <w:rPr>
          <w:color w:val="000000"/>
          <w:szCs w:val="22"/>
        </w:rPr>
      </w:pPr>
    </w:p>
    <w:p w14:paraId="1173D9D1" w14:textId="77777777" w:rsidR="00902825" w:rsidRDefault="00902825" w:rsidP="00620C8B">
      <w:pPr>
        <w:rPr>
          <w:color w:val="000000"/>
          <w:szCs w:val="22"/>
        </w:rPr>
      </w:pPr>
    </w:p>
    <w:p w14:paraId="2477D9CE" w14:textId="77777777" w:rsidR="00902825" w:rsidRDefault="00902825" w:rsidP="00620C8B">
      <w:pPr>
        <w:rPr>
          <w:color w:val="000000"/>
          <w:szCs w:val="22"/>
        </w:rPr>
      </w:pPr>
    </w:p>
    <w:p w14:paraId="24EB7420" w14:textId="77777777" w:rsidR="00902825" w:rsidRDefault="00902825" w:rsidP="00620C8B">
      <w:pPr>
        <w:rPr>
          <w:color w:val="000000"/>
          <w:szCs w:val="22"/>
        </w:rPr>
      </w:pPr>
    </w:p>
    <w:p w14:paraId="77D2C39E" w14:textId="77777777" w:rsidR="00902825" w:rsidRDefault="00902825" w:rsidP="00620C8B">
      <w:pPr>
        <w:rPr>
          <w:color w:val="000000"/>
          <w:szCs w:val="22"/>
        </w:rPr>
      </w:pPr>
    </w:p>
    <w:p w14:paraId="6BA775FD" w14:textId="77777777" w:rsidR="00902825" w:rsidRDefault="00902825" w:rsidP="00620C8B">
      <w:pPr>
        <w:rPr>
          <w:color w:val="000000"/>
          <w:szCs w:val="22"/>
        </w:rPr>
      </w:pPr>
    </w:p>
    <w:p w14:paraId="126652D7" w14:textId="77777777" w:rsidR="00620C8B" w:rsidRDefault="00620C8B" w:rsidP="001A5B75">
      <w:pPr>
        <w:pStyle w:val="Heading1"/>
        <w:pageBreakBefore w:val="0"/>
        <w:numPr>
          <w:ilvl w:val="0"/>
          <w:numId w:val="17"/>
        </w:numPr>
      </w:pPr>
      <w:bookmarkStart w:id="1254" w:name="_Ref511310034"/>
      <w:bookmarkStart w:id="1255" w:name="_Toc516053210"/>
      <w:r>
        <w:t>Results of statistical analysis</w:t>
      </w:r>
      <w:bookmarkEnd w:id="1254"/>
      <w:bookmarkEnd w:id="1255"/>
    </w:p>
    <w:p w14:paraId="7A84B32E" w14:textId="77777777" w:rsidR="00902825" w:rsidRDefault="00902825" w:rsidP="00902825"/>
    <w:p w14:paraId="4FDAEAF0" w14:textId="77777777" w:rsidR="00902825" w:rsidRDefault="00902825">
      <w:pPr>
        <w:spacing w:before="0" w:after="0"/>
      </w:pPr>
      <w:r>
        <w:br w:type="page"/>
      </w:r>
    </w:p>
    <w:p w14:paraId="1C73E383" w14:textId="7CAFBB9E" w:rsidR="00CE1FF0" w:rsidRPr="007D5603" w:rsidRDefault="003A1357" w:rsidP="00CE1FF0">
      <w:pPr>
        <w:jc w:val="center"/>
        <w:rPr>
          <w:i/>
          <w:vanish/>
          <w:szCs w:val="22"/>
          <w:specVanish/>
        </w:rPr>
      </w:pPr>
      <w:bookmarkStart w:id="1256" w:name="_Toc516053480"/>
      <w:r w:rsidRPr="007D5603">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56</w:t>
      </w:r>
      <w:r w:rsidR="00C506C7">
        <w:rPr>
          <w:noProof/>
        </w:rPr>
        <w:fldChar w:fldCharType="end"/>
      </w:r>
      <w:r w:rsidR="0061638E" w:rsidRPr="007D5603">
        <w:t xml:space="preserve">. </w:t>
      </w:r>
      <w:r w:rsidR="00123944" w:rsidRPr="007D5603">
        <w:rPr>
          <w:i/>
        </w:rPr>
        <w:t xml:space="preserve">Summary of GAMM for average cover vs time analysis for </w:t>
      </w:r>
      <w:r w:rsidR="008574EC">
        <w:rPr>
          <w:i/>
        </w:rPr>
        <w:t>2016–17</w:t>
      </w:r>
      <w:r w:rsidR="007C754F" w:rsidRPr="007D5603">
        <w:rPr>
          <w:i/>
        </w:rPr>
        <w:t>.</w:t>
      </w:r>
      <w:bookmarkEnd w:id="1256"/>
      <w:r w:rsidR="007C754F" w:rsidRPr="007D5603">
        <w:rPr>
          <w:i/>
        </w:rPr>
        <w:t xml:space="preserve"> </w:t>
      </w:r>
    </w:p>
    <w:p w14:paraId="24EBE8C4" w14:textId="77777777" w:rsidR="003A1357" w:rsidRPr="007D5603" w:rsidRDefault="007C754F" w:rsidP="0041685B">
      <w:pPr>
        <w:jc w:val="center"/>
        <w:rPr>
          <w:rFonts w:asciiTheme="minorHAnsi" w:hAnsiTheme="minorHAnsi" w:cs="Times"/>
        </w:rPr>
      </w:pPr>
      <w:r w:rsidRPr="007D5603">
        <w:rPr>
          <w:i/>
        </w:rPr>
        <w:t xml:space="preserve">For site/location details, see Tables 3 &amp; 4. </w:t>
      </w:r>
      <w:r w:rsidR="0041685B" w:rsidRPr="007D5603">
        <w:rPr>
          <w:i/>
        </w:rPr>
        <w:t>n = number of data points analysed, EDF = array of estimated degrees of freedom for the model terms.</w:t>
      </w:r>
    </w:p>
    <w:tbl>
      <w:tblPr>
        <w:tblW w:w="9209" w:type="dxa"/>
        <w:tblLayout w:type="fixed"/>
        <w:tblLook w:val="04A0" w:firstRow="1" w:lastRow="0" w:firstColumn="1" w:lastColumn="0" w:noHBand="0" w:noVBand="1"/>
      </w:tblPr>
      <w:tblGrid>
        <w:gridCol w:w="4528"/>
        <w:gridCol w:w="850"/>
        <w:gridCol w:w="992"/>
        <w:gridCol w:w="992"/>
        <w:gridCol w:w="997"/>
        <w:gridCol w:w="850"/>
      </w:tblGrid>
      <w:tr w:rsidR="007C508F" w:rsidRPr="00BC7288" w14:paraId="36812F8D" w14:textId="77777777" w:rsidTr="00245D08">
        <w:trPr>
          <w:trHeight w:val="293"/>
          <w:tblHeader/>
        </w:trPr>
        <w:tc>
          <w:tcPr>
            <w:tcW w:w="4528" w:type="dxa"/>
            <w:tcBorders>
              <w:top w:val="single" w:sz="4" w:space="0" w:color="auto"/>
              <w:bottom w:val="single" w:sz="4" w:space="0" w:color="auto"/>
            </w:tcBorders>
            <w:shd w:val="clear" w:color="auto" w:fill="BBE0E3"/>
            <w:vAlign w:val="center"/>
          </w:tcPr>
          <w:p w14:paraId="094D6852" w14:textId="77777777" w:rsidR="007C508F" w:rsidRPr="00BC7288" w:rsidRDefault="003A1357"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M</w:t>
            </w:r>
            <w:r w:rsidR="007C508F" w:rsidRPr="00BC7288">
              <w:rPr>
                <w:rFonts w:cs="TimesNewRoman"/>
                <w:b/>
                <w:caps/>
                <w:color w:val="000000"/>
                <w:sz w:val="20"/>
                <w:szCs w:val="20"/>
              </w:rPr>
              <w:t>odels</w:t>
            </w:r>
          </w:p>
        </w:tc>
        <w:tc>
          <w:tcPr>
            <w:tcW w:w="850" w:type="dxa"/>
            <w:tcBorders>
              <w:top w:val="single" w:sz="4" w:space="0" w:color="auto"/>
              <w:bottom w:val="single" w:sz="4" w:space="0" w:color="auto"/>
            </w:tcBorders>
            <w:shd w:val="clear" w:color="auto" w:fill="BBE0E3"/>
            <w:vAlign w:val="center"/>
          </w:tcPr>
          <w:p w14:paraId="79A7BF58" w14:textId="77777777" w:rsidR="007C508F" w:rsidRPr="00BC7288" w:rsidRDefault="003A1357"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n</w:t>
            </w:r>
          </w:p>
        </w:tc>
        <w:tc>
          <w:tcPr>
            <w:tcW w:w="992" w:type="dxa"/>
            <w:tcBorders>
              <w:top w:val="single" w:sz="4" w:space="0" w:color="auto"/>
              <w:bottom w:val="single" w:sz="4" w:space="0" w:color="auto"/>
            </w:tcBorders>
            <w:shd w:val="clear" w:color="auto" w:fill="BBE0E3"/>
            <w:vAlign w:val="center"/>
          </w:tcPr>
          <w:p w14:paraId="33647D98" w14:textId="77777777" w:rsidR="007C508F" w:rsidRPr="00BC7288" w:rsidRDefault="007C508F" w:rsidP="00245D08">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E</w:t>
            </w:r>
            <w:r w:rsidR="00245D08" w:rsidRPr="00BC7288">
              <w:rPr>
                <w:rFonts w:cs="TimesNewRoman"/>
                <w:b/>
                <w:caps/>
                <w:color w:val="000000"/>
                <w:sz w:val="20"/>
                <w:szCs w:val="20"/>
              </w:rPr>
              <w:t>df</w:t>
            </w:r>
          </w:p>
        </w:tc>
        <w:tc>
          <w:tcPr>
            <w:tcW w:w="992" w:type="dxa"/>
            <w:tcBorders>
              <w:top w:val="single" w:sz="4" w:space="0" w:color="auto"/>
              <w:bottom w:val="single" w:sz="4" w:space="0" w:color="auto"/>
            </w:tcBorders>
            <w:shd w:val="clear" w:color="auto" w:fill="BBE0E3"/>
            <w:vAlign w:val="center"/>
          </w:tcPr>
          <w:p w14:paraId="3132F5FA" w14:textId="77777777"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F</w:t>
            </w:r>
          </w:p>
        </w:tc>
        <w:tc>
          <w:tcPr>
            <w:tcW w:w="997" w:type="dxa"/>
            <w:tcBorders>
              <w:top w:val="single" w:sz="4" w:space="0" w:color="auto"/>
              <w:bottom w:val="single" w:sz="4" w:space="0" w:color="auto"/>
            </w:tcBorders>
            <w:shd w:val="clear" w:color="auto" w:fill="BBE0E3"/>
            <w:vAlign w:val="center"/>
          </w:tcPr>
          <w:p w14:paraId="0B1355C9" w14:textId="77777777"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i/>
                <w:caps/>
                <w:color w:val="000000"/>
                <w:sz w:val="20"/>
                <w:szCs w:val="20"/>
              </w:rPr>
              <w:t>p</w:t>
            </w:r>
            <w:r w:rsidRPr="00BC7288">
              <w:rPr>
                <w:rFonts w:cs="TimesNewRoman"/>
                <w:b/>
                <w:caps/>
                <w:color w:val="000000"/>
                <w:sz w:val="20"/>
                <w:szCs w:val="20"/>
              </w:rPr>
              <w:t>-value</w:t>
            </w:r>
          </w:p>
        </w:tc>
        <w:tc>
          <w:tcPr>
            <w:tcW w:w="850" w:type="dxa"/>
            <w:tcBorders>
              <w:top w:val="single" w:sz="4" w:space="0" w:color="auto"/>
              <w:bottom w:val="single" w:sz="4" w:space="0" w:color="auto"/>
            </w:tcBorders>
            <w:shd w:val="clear" w:color="auto" w:fill="BBE0E3"/>
            <w:vAlign w:val="center"/>
          </w:tcPr>
          <w:p w14:paraId="7FCEAAF3" w14:textId="77777777"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 xml:space="preserve">R-sq </w:t>
            </w:r>
            <w:r w:rsidRPr="00BC7288">
              <w:rPr>
                <w:rFonts w:cs="TimesNewRoman"/>
                <w:b/>
                <w:caps/>
                <w:color w:val="000000"/>
                <w:sz w:val="16"/>
                <w:szCs w:val="16"/>
              </w:rPr>
              <w:t>(adj)</w:t>
            </w:r>
          </w:p>
        </w:tc>
      </w:tr>
      <w:tr w:rsidR="00123944" w:rsidRPr="00BC7288" w14:paraId="25485A37" w14:textId="77777777" w:rsidTr="00245D08">
        <w:trPr>
          <w:trHeight w:val="298"/>
        </w:trPr>
        <w:tc>
          <w:tcPr>
            <w:tcW w:w="4528" w:type="dxa"/>
            <w:tcBorders>
              <w:top w:val="single" w:sz="4" w:space="0" w:color="auto"/>
            </w:tcBorders>
            <w:shd w:val="clear" w:color="auto" w:fill="E7F3F4"/>
            <w:vAlign w:val="center"/>
          </w:tcPr>
          <w:p w14:paraId="150A170E" w14:textId="77777777" w:rsidR="00123944" w:rsidRPr="00BC7288" w:rsidRDefault="00123944" w:rsidP="00810B9D">
            <w:pPr>
              <w:spacing w:before="0" w:after="0" w:line="200" w:lineRule="exact"/>
              <w:rPr>
                <w:b/>
                <w:caps/>
                <w:sz w:val="20"/>
                <w:szCs w:val="20"/>
              </w:rPr>
            </w:pPr>
            <w:r w:rsidRPr="00BC7288">
              <w:rPr>
                <w:b/>
                <w:caps/>
                <w:sz w:val="20"/>
                <w:szCs w:val="20"/>
              </w:rPr>
              <w:t>GBR-wide</w:t>
            </w:r>
          </w:p>
        </w:tc>
        <w:tc>
          <w:tcPr>
            <w:tcW w:w="850" w:type="dxa"/>
            <w:tcBorders>
              <w:top w:val="single" w:sz="4" w:space="0" w:color="auto"/>
            </w:tcBorders>
            <w:shd w:val="clear" w:color="auto" w:fill="E7F3F4"/>
            <w:vAlign w:val="center"/>
          </w:tcPr>
          <w:p w14:paraId="3F233DF7" w14:textId="77777777" w:rsidR="00123944" w:rsidRPr="00BC7288" w:rsidRDefault="00123944" w:rsidP="00810B9D">
            <w:pPr>
              <w:spacing w:before="0" w:after="0" w:line="200" w:lineRule="exact"/>
              <w:jc w:val="center"/>
              <w:rPr>
                <w:b/>
                <w:sz w:val="20"/>
                <w:szCs w:val="20"/>
              </w:rPr>
            </w:pPr>
          </w:p>
        </w:tc>
        <w:tc>
          <w:tcPr>
            <w:tcW w:w="992" w:type="dxa"/>
            <w:tcBorders>
              <w:top w:val="single" w:sz="4" w:space="0" w:color="auto"/>
            </w:tcBorders>
            <w:shd w:val="clear" w:color="auto" w:fill="E7F3F4"/>
            <w:vAlign w:val="center"/>
          </w:tcPr>
          <w:p w14:paraId="460D0A51" w14:textId="77777777" w:rsidR="00123944" w:rsidRPr="00BC7288" w:rsidRDefault="00123944" w:rsidP="00810B9D">
            <w:pPr>
              <w:spacing w:before="0" w:after="0" w:line="200" w:lineRule="exact"/>
              <w:jc w:val="center"/>
              <w:rPr>
                <w:b/>
                <w:sz w:val="20"/>
                <w:szCs w:val="20"/>
              </w:rPr>
            </w:pPr>
          </w:p>
        </w:tc>
        <w:tc>
          <w:tcPr>
            <w:tcW w:w="992" w:type="dxa"/>
            <w:tcBorders>
              <w:top w:val="single" w:sz="4" w:space="0" w:color="auto"/>
            </w:tcBorders>
            <w:shd w:val="clear" w:color="auto" w:fill="E7F3F4"/>
            <w:vAlign w:val="center"/>
          </w:tcPr>
          <w:p w14:paraId="7D519A3E" w14:textId="77777777" w:rsidR="00123944" w:rsidRPr="00BC7288" w:rsidRDefault="00123944" w:rsidP="00810B9D">
            <w:pPr>
              <w:spacing w:before="0" w:after="0" w:line="200" w:lineRule="exact"/>
              <w:jc w:val="center"/>
              <w:rPr>
                <w:b/>
                <w:sz w:val="20"/>
                <w:szCs w:val="20"/>
              </w:rPr>
            </w:pPr>
          </w:p>
        </w:tc>
        <w:tc>
          <w:tcPr>
            <w:tcW w:w="997" w:type="dxa"/>
            <w:tcBorders>
              <w:top w:val="single" w:sz="4" w:space="0" w:color="auto"/>
            </w:tcBorders>
            <w:shd w:val="clear" w:color="auto" w:fill="E7F3F4"/>
            <w:vAlign w:val="center"/>
          </w:tcPr>
          <w:p w14:paraId="3E972E0A" w14:textId="77777777" w:rsidR="00123944" w:rsidRPr="00BC7288" w:rsidRDefault="00123944" w:rsidP="00810B9D">
            <w:pPr>
              <w:spacing w:before="0" w:after="0" w:line="200" w:lineRule="exact"/>
              <w:jc w:val="center"/>
              <w:rPr>
                <w:b/>
                <w:sz w:val="20"/>
                <w:szCs w:val="20"/>
              </w:rPr>
            </w:pPr>
          </w:p>
        </w:tc>
        <w:tc>
          <w:tcPr>
            <w:tcW w:w="850" w:type="dxa"/>
            <w:tcBorders>
              <w:top w:val="single" w:sz="4" w:space="0" w:color="auto"/>
            </w:tcBorders>
            <w:shd w:val="clear" w:color="auto" w:fill="E7F3F4"/>
            <w:vAlign w:val="center"/>
          </w:tcPr>
          <w:p w14:paraId="48CE16AA" w14:textId="77777777" w:rsidR="00123944" w:rsidRPr="00BC7288" w:rsidRDefault="00123944" w:rsidP="00810B9D">
            <w:pPr>
              <w:spacing w:before="0" w:after="0" w:line="200" w:lineRule="exact"/>
              <w:jc w:val="center"/>
              <w:rPr>
                <w:b/>
                <w:sz w:val="20"/>
                <w:szCs w:val="20"/>
              </w:rPr>
            </w:pPr>
          </w:p>
        </w:tc>
      </w:tr>
      <w:tr w:rsidR="007D5603" w:rsidRPr="00BC7288" w14:paraId="1C2777C5" w14:textId="77777777" w:rsidTr="00C362ED">
        <w:trPr>
          <w:trHeight w:val="298"/>
        </w:trPr>
        <w:tc>
          <w:tcPr>
            <w:tcW w:w="4528" w:type="dxa"/>
            <w:shd w:val="clear" w:color="auto" w:fill="F3F9FA"/>
            <w:vAlign w:val="center"/>
          </w:tcPr>
          <w:p w14:paraId="63B9BD61" w14:textId="00B868B3" w:rsidR="007D5603" w:rsidRPr="00BC7288" w:rsidRDefault="0063478C" w:rsidP="007D5603">
            <w:pPr>
              <w:spacing w:before="0" w:after="0" w:line="200" w:lineRule="exact"/>
              <w:rPr>
                <w:sz w:val="20"/>
                <w:szCs w:val="20"/>
              </w:rPr>
            </w:pPr>
            <w:r>
              <w:rPr>
                <w:sz w:val="20"/>
                <w:szCs w:val="20"/>
              </w:rPr>
              <w:t xml:space="preserve"> per cent</w:t>
            </w:r>
            <w:r w:rsidR="007D5603" w:rsidRPr="00BC7288">
              <w:rPr>
                <w:sz w:val="20"/>
                <w:szCs w:val="20"/>
              </w:rPr>
              <w:t xml:space="preserve"> </w:t>
            </w:r>
            <w:r w:rsidR="007D5603" w:rsidRPr="00BC7288">
              <w:rPr>
                <w:caps/>
                <w:sz w:val="20"/>
                <w:szCs w:val="20"/>
              </w:rPr>
              <w:t>cover = s(date) + random(site)</w:t>
            </w:r>
          </w:p>
        </w:tc>
        <w:tc>
          <w:tcPr>
            <w:tcW w:w="850" w:type="dxa"/>
            <w:shd w:val="clear" w:color="auto" w:fill="F3F9FA"/>
          </w:tcPr>
          <w:p w14:paraId="67A3246D" w14:textId="0FD06A9A" w:rsidR="007D5603" w:rsidRPr="00BC7288" w:rsidRDefault="007D5603" w:rsidP="007D5603">
            <w:pPr>
              <w:spacing w:before="0" w:after="0" w:line="200" w:lineRule="exact"/>
              <w:jc w:val="center"/>
              <w:rPr>
                <w:sz w:val="20"/>
                <w:szCs w:val="20"/>
              </w:rPr>
            </w:pPr>
            <w:r w:rsidRPr="007D5603">
              <w:rPr>
                <w:caps/>
                <w:sz w:val="20"/>
                <w:szCs w:val="20"/>
              </w:rPr>
              <w:t>55851</w:t>
            </w:r>
          </w:p>
        </w:tc>
        <w:tc>
          <w:tcPr>
            <w:tcW w:w="992" w:type="dxa"/>
            <w:shd w:val="clear" w:color="auto" w:fill="F3F9FA"/>
          </w:tcPr>
          <w:p w14:paraId="78B962E7" w14:textId="25970564" w:rsidR="007D5603" w:rsidRPr="00BC7288" w:rsidRDefault="007D5603" w:rsidP="007D5603">
            <w:pPr>
              <w:spacing w:before="0" w:after="0" w:line="200" w:lineRule="exact"/>
              <w:jc w:val="center"/>
              <w:rPr>
                <w:sz w:val="20"/>
                <w:szCs w:val="20"/>
              </w:rPr>
            </w:pPr>
            <w:r w:rsidRPr="007D5603">
              <w:rPr>
                <w:caps/>
                <w:sz w:val="20"/>
                <w:szCs w:val="20"/>
              </w:rPr>
              <w:t>8.953</w:t>
            </w:r>
          </w:p>
        </w:tc>
        <w:tc>
          <w:tcPr>
            <w:tcW w:w="992" w:type="dxa"/>
            <w:shd w:val="clear" w:color="auto" w:fill="F3F9FA"/>
          </w:tcPr>
          <w:p w14:paraId="7B143B0A" w14:textId="50AE4B85" w:rsidR="007D5603" w:rsidRPr="00BC7288" w:rsidRDefault="007D5603" w:rsidP="007D5603">
            <w:pPr>
              <w:spacing w:before="0" w:after="0" w:line="200" w:lineRule="exact"/>
              <w:jc w:val="center"/>
              <w:rPr>
                <w:sz w:val="20"/>
                <w:szCs w:val="20"/>
              </w:rPr>
            </w:pPr>
            <w:r w:rsidRPr="007D5603">
              <w:rPr>
                <w:caps/>
                <w:sz w:val="20"/>
                <w:szCs w:val="20"/>
              </w:rPr>
              <w:t>602.1</w:t>
            </w:r>
          </w:p>
        </w:tc>
        <w:tc>
          <w:tcPr>
            <w:tcW w:w="997" w:type="dxa"/>
            <w:shd w:val="clear" w:color="auto" w:fill="F3F9FA"/>
          </w:tcPr>
          <w:p w14:paraId="5229EA0A" w14:textId="506A499D"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2D0461C4" w14:textId="722B3AF4" w:rsidR="007D5603" w:rsidRPr="00BC7288" w:rsidRDefault="007D5603" w:rsidP="007D5603">
            <w:pPr>
              <w:spacing w:before="0" w:after="0" w:line="200" w:lineRule="exact"/>
              <w:jc w:val="center"/>
              <w:rPr>
                <w:sz w:val="20"/>
                <w:szCs w:val="20"/>
              </w:rPr>
            </w:pPr>
            <w:r w:rsidRPr="007D5603">
              <w:rPr>
                <w:caps/>
                <w:sz w:val="20"/>
                <w:szCs w:val="20"/>
              </w:rPr>
              <w:t>0.0695</w:t>
            </w:r>
          </w:p>
        </w:tc>
      </w:tr>
      <w:tr w:rsidR="007D5603" w:rsidRPr="00BC7288" w14:paraId="5D82CA8A" w14:textId="77777777" w:rsidTr="00C362ED">
        <w:trPr>
          <w:trHeight w:val="322"/>
        </w:trPr>
        <w:tc>
          <w:tcPr>
            <w:tcW w:w="4528" w:type="dxa"/>
            <w:shd w:val="clear" w:color="auto" w:fill="F3F9FA"/>
            <w:vAlign w:val="center"/>
          </w:tcPr>
          <w:p w14:paraId="312A72B2" w14:textId="3D95534D" w:rsidR="007D5603" w:rsidRPr="00BC7288" w:rsidRDefault="0063478C" w:rsidP="007D5603">
            <w:pPr>
              <w:spacing w:before="0" w:after="0" w:line="200" w:lineRule="exact"/>
              <w:rPr>
                <w:sz w:val="20"/>
                <w:szCs w:val="20"/>
              </w:rPr>
            </w:pPr>
            <w:r>
              <w:rPr>
                <w:sz w:val="20"/>
                <w:szCs w:val="20"/>
              </w:rPr>
              <w:t xml:space="preserve"> per cent</w:t>
            </w:r>
            <w:r w:rsidR="007D5603" w:rsidRPr="00BC7288">
              <w:rPr>
                <w:sz w:val="20"/>
                <w:szCs w:val="20"/>
              </w:rPr>
              <w:t xml:space="preserve"> </w:t>
            </w:r>
            <w:r w:rsidR="007D5603" w:rsidRPr="00BC7288">
              <w:rPr>
                <w:caps/>
                <w:sz w:val="20"/>
                <w:szCs w:val="20"/>
              </w:rPr>
              <w:t>cover = s(date) + habitat + random(site)</w:t>
            </w:r>
          </w:p>
        </w:tc>
        <w:tc>
          <w:tcPr>
            <w:tcW w:w="850" w:type="dxa"/>
            <w:shd w:val="clear" w:color="auto" w:fill="F3F9FA"/>
          </w:tcPr>
          <w:p w14:paraId="447EDDFF" w14:textId="2C2B8063" w:rsidR="007D5603" w:rsidRPr="00BC7288" w:rsidRDefault="007D5603" w:rsidP="007D5603">
            <w:pPr>
              <w:spacing w:before="0" w:after="0" w:line="200" w:lineRule="exact"/>
              <w:jc w:val="center"/>
              <w:rPr>
                <w:sz w:val="20"/>
                <w:szCs w:val="20"/>
              </w:rPr>
            </w:pPr>
            <w:r w:rsidRPr="007D5603">
              <w:rPr>
                <w:caps/>
                <w:sz w:val="20"/>
                <w:szCs w:val="20"/>
              </w:rPr>
              <w:t>55851</w:t>
            </w:r>
          </w:p>
        </w:tc>
        <w:tc>
          <w:tcPr>
            <w:tcW w:w="992" w:type="dxa"/>
            <w:shd w:val="clear" w:color="auto" w:fill="F3F9FA"/>
          </w:tcPr>
          <w:p w14:paraId="5217567A"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645D742A" w14:textId="77777777" w:rsidR="007D5603" w:rsidRPr="00BC7288" w:rsidRDefault="007D5603" w:rsidP="007D5603">
            <w:pPr>
              <w:spacing w:before="0" w:after="0" w:line="200" w:lineRule="exact"/>
              <w:jc w:val="center"/>
              <w:rPr>
                <w:sz w:val="20"/>
                <w:szCs w:val="20"/>
              </w:rPr>
            </w:pPr>
          </w:p>
        </w:tc>
        <w:tc>
          <w:tcPr>
            <w:tcW w:w="997" w:type="dxa"/>
            <w:shd w:val="clear" w:color="auto" w:fill="F3F9FA"/>
          </w:tcPr>
          <w:p w14:paraId="703E5409" w14:textId="77777777" w:rsidR="007D5603" w:rsidRPr="00BC7288" w:rsidRDefault="007D5603" w:rsidP="007D5603">
            <w:pPr>
              <w:spacing w:before="0" w:after="0" w:line="200" w:lineRule="exact"/>
              <w:jc w:val="center"/>
              <w:rPr>
                <w:sz w:val="20"/>
                <w:szCs w:val="20"/>
              </w:rPr>
            </w:pPr>
          </w:p>
        </w:tc>
        <w:tc>
          <w:tcPr>
            <w:tcW w:w="850" w:type="dxa"/>
            <w:shd w:val="clear" w:color="auto" w:fill="F3F9FA"/>
          </w:tcPr>
          <w:p w14:paraId="222AC2E0" w14:textId="5BE742FD" w:rsidR="007D5603" w:rsidRPr="00BC7288" w:rsidRDefault="007D5603" w:rsidP="007D5603">
            <w:pPr>
              <w:spacing w:before="0" w:after="0" w:line="200" w:lineRule="exact"/>
              <w:jc w:val="center"/>
              <w:rPr>
                <w:sz w:val="20"/>
                <w:szCs w:val="20"/>
              </w:rPr>
            </w:pPr>
            <w:r w:rsidRPr="007D5603">
              <w:rPr>
                <w:caps/>
                <w:sz w:val="20"/>
                <w:szCs w:val="20"/>
              </w:rPr>
              <w:t>0.0758</w:t>
            </w:r>
          </w:p>
        </w:tc>
      </w:tr>
      <w:tr w:rsidR="007D5603" w:rsidRPr="00BC7288" w14:paraId="79BD52A9" w14:textId="77777777" w:rsidTr="00C362ED">
        <w:tc>
          <w:tcPr>
            <w:tcW w:w="4528" w:type="dxa"/>
            <w:shd w:val="clear" w:color="auto" w:fill="F3F9FA"/>
            <w:vAlign w:val="center"/>
          </w:tcPr>
          <w:p w14:paraId="7DA0EEB0"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21F1DEFC"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57042590" w14:textId="2B0F5B70" w:rsidR="007D5603" w:rsidRPr="00BC7288" w:rsidRDefault="007D5603" w:rsidP="007D5603">
            <w:pPr>
              <w:spacing w:before="0" w:after="0" w:line="200" w:lineRule="exact"/>
              <w:jc w:val="center"/>
              <w:rPr>
                <w:sz w:val="20"/>
                <w:szCs w:val="20"/>
              </w:rPr>
            </w:pPr>
            <w:r w:rsidRPr="007D5603">
              <w:rPr>
                <w:caps/>
                <w:sz w:val="20"/>
                <w:szCs w:val="20"/>
              </w:rPr>
              <w:t>8.886</w:t>
            </w:r>
          </w:p>
        </w:tc>
        <w:tc>
          <w:tcPr>
            <w:tcW w:w="992" w:type="dxa"/>
            <w:shd w:val="clear" w:color="auto" w:fill="F3F9FA"/>
          </w:tcPr>
          <w:p w14:paraId="5521F21B" w14:textId="60F58A57" w:rsidR="007D5603" w:rsidRPr="00BC7288" w:rsidRDefault="007D5603" w:rsidP="007D5603">
            <w:pPr>
              <w:spacing w:before="0" w:after="0" w:line="200" w:lineRule="exact"/>
              <w:jc w:val="center"/>
              <w:rPr>
                <w:sz w:val="20"/>
                <w:szCs w:val="20"/>
              </w:rPr>
            </w:pPr>
            <w:r w:rsidRPr="007D5603">
              <w:rPr>
                <w:caps/>
                <w:sz w:val="20"/>
                <w:szCs w:val="20"/>
              </w:rPr>
              <w:t>284.8</w:t>
            </w:r>
          </w:p>
        </w:tc>
        <w:tc>
          <w:tcPr>
            <w:tcW w:w="997" w:type="dxa"/>
            <w:shd w:val="clear" w:color="auto" w:fill="F3F9FA"/>
          </w:tcPr>
          <w:p w14:paraId="1251EC20" w14:textId="2B105F00"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6BDC33D5" w14:textId="77777777" w:rsidR="007D5603" w:rsidRPr="00BC7288" w:rsidRDefault="007D5603" w:rsidP="007D5603">
            <w:pPr>
              <w:spacing w:before="0" w:after="0" w:line="200" w:lineRule="exact"/>
              <w:jc w:val="center"/>
              <w:rPr>
                <w:sz w:val="20"/>
                <w:szCs w:val="20"/>
              </w:rPr>
            </w:pPr>
          </w:p>
        </w:tc>
      </w:tr>
      <w:tr w:rsidR="007D5603" w:rsidRPr="00BC7288" w14:paraId="565CA7D1" w14:textId="77777777" w:rsidTr="00C362ED">
        <w:tc>
          <w:tcPr>
            <w:tcW w:w="4528" w:type="dxa"/>
            <w:shd w:val="clear" w:color="auto" w:fill="F3F9FA"/>
            <w:vAlign w:val="center"/>
          </w:tcPr>
          <w:p w14:paraId="6F1906F7"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Estuarine intertidal</w:t>
            </w:r>
          </w:p>
        </w:tc>
        <w:tc>
          <w:tcPr>
            <w:tcW w:w="850" w:type="dxa"/>
            <w:shd w:val="clear" w:color="auto" w:fill="F3F9FA"/>
          </w:tcPr>
          <w:p w14:paraId="2E2D2F63"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167FB3F9" w14:textId="19262E2B" w:rsidR="007D5603" w:rsidRPr="00BC7288" w:rsidRDefault="007D5603" w:rsidP="007D5603">
            <w:pPr>
              <w:spacing w:before="0" w:after="0" w:line="200" w:lineRule="exact"/>
              <w:jc w:val="center"/>
              <w:rPr>
                <w:sz w:val="20"/>
                <w:szCs w:val="20"/>
              </w:rPr>
            </w:pPr>
            <w:r w:rsidRPr="007D5603">
              <w:rPr>
                <w:caps/>
                <w:sz w:val="20"/>
                <w:szCs w:val="20"/>
              </w:rPr>
              <w:t>8.916</w:t>
            </w:r>
          </w:p>
        </w:tc>
        <w:tc>
          <w:tcPr>
            <w:tcW w:w="992" w:type="dxa"/>
            <w:shd w:val="clear" w:color="auto" w:fill="F3F9FA"/>
          </w:tcPr>
          <w:p w14:paraId="3C28041D" w14:textId="08706B66" w:rsidR="007D5603" w:rsidRPr="00BC7288" w:rsidRDefault="007D5603" w:rsidP="007D5603">
            <w:pPr>
              <w:spacing w:before="0" w:after="0" w:line="200" w:lineRule="exact"/>
              <w:jc w:val="center"/>
              <w:rPr>
                <w:sz w:val="20"/>
                <w:szCs w:val="20"/>
              </w:rPr>
            </w:pPr>
            <w:r w:rsidRPr="007D5603">
              <w:rPr>
                <w:caps/>
                <w:sz w:val="20"/>
                <w:szCs w:val="20"/>
              </w:rPr>
              <w:t>357.6</w:t>
            </w:r>
          </w:p>
        </w:tc>
        <w:tc>
          <w:tcPr>
            <w:tcW w:w="997" w:type="dxa"/>
            <w:shd w:val="clear" w:color="auto" w:fill="F3F9FA"/>
          </w:tcPr>
          <w:p w14:paraId="6632B043" w14:textId="0DFCD8D8"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41A0F17A" w14:textId="77777777" w:rsidR="007D5603" w:rsidRPr="00BC7288" w:rsidRDefault="007D5603" w:rsidP="007D5603">
            <w:pPr>
              <w:spacing w:before="0" w:after="0" w:line="200" w:lineRule="exact"/>
              <w:jc w:val="center"/>
              <w:rPr>
                <w:sz w:val="20"/>
                <w:szCs w:val="20"/>
              </w:rPr>
            </w:pPr>
          </w:p>
        </w:tc>
      </w:tr>
      <w:tr w:rsidR="007D5603" w:rsidRPr="00BC7288" w14:paraId="615E6A32" w14:textId="77777777" w:rsidTr="00C362ED">
        <w:tc>
          <w:tcPr>
            <w:tcW w:w="4528" w:type="dxa"/>
            <w:shd w:val="clear" w:color="auto" w:fill="F3F9FA"/>
            <w:vAlign w:val="center"/>
          </w:tcPr>
          <w:p w14:paraId="3B9ED63E"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578DCFC7"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7668FB87" w14:textId="7978A191" w:rsidR="007D5603" w:rsidRPr="00BC7288" w:rsidRDefault="007D5603" w:rsidP="007D5603">
            <w:pPr>
              <w:spacing w:before="0" w:after="0" w:line="200" w:lineRule="exact"/>
              <w:jc w:val="center"/>
              <w:rPr>
                <w:sz w:val="20"/>
                <w:szCs w:val="20"/>
              </w:rPr>
            </w:pPr>
            <w:r w:rsidRPr="007D5603">
              <w:rPr>
                <w:caps/>
                <w:sz w:val="20"/>
                <w:szCs w:val="20"/>
              </w:rPr>
              <w:t>8.649</w:t>
            </w:r>
          </w:p>
        </w:tc>
        <w:tc>
          <w:tcPr>
            <w:tcW w:w="992" w:type="dxa"/>
            <w:shd w:val="clear" w:color="auto" w:fill="F3F9FA"/>
          </w:tcPr>
          <w:p w14:paraId="34865C03" w14:textId="2AC51274" w:rsidR="007D5603" w:rsidRPr="00BC7288" w:rsidRDefault="007D5603" w:rsidP="007D5603">
            <w:pPr>
              <w:spacing w:before="0" w:after="0" w:line="200" w:lineRule="exact"/>
              <w:jc w:val="center"/>
              <w:rPr>
                <w:sz w:val="20"/>
                <w:szCs w:val="20"/>
              </w:rPr>
            </w:pPr>
            <w:r w:rsidRPr="007D5603">
              <w:rPr>
                <w:caps/>
                <w:sz w:val="20"/>
                <w:szCs w:val="20"/>
              </w:rPr>
              <w:t>193.3</w:t>
            </w:r>
          </w:p>
        </w:tc>
        <w:tc>
          <w:tcPr>
            <w:tcW w:w="997" w:type="dxa"/>
            <w:shd w:val="clear" w:color="auto" w:fill="F3F9FA"/>
          </w:tcPr>
          <w:p w14:paraId="21849D35" w14:textId="71A4AEFC"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778FC3FB" w14:textId="77777777" w:rsidR="007D5603" w:rsidRPr="00BC7288" w:rsidRDefault="007D5603" w:rsidP="007D5603">
            <w:pPr>
              <w:spacing w:before="0" w:after="0" w:line="200" w:lineRule="exact"/>
              <w:jc w:val="center"/>
              <w:rPr>
                <w:sz w:val="20"/>
                <w:szCs w:val="20"/>
              </w:rPr>
            </w:pPr>
          </w:p>
        </w:tc>
      </w:tr>
      <w:tr w:rsidR="007D5603" w:rsidRPr="00BC7288" w14:paraId="311CD7E1" w14:textId="77777777" w:rsidTr="00C362ED">
        <w:tc>
          <w:tcPr>
            <w:tcW w:w="4528" w:type="dxa"/>
            <w:shd w:val="clear" w:color="auto" w:fill="F3F9FA"/>
            <w:vAlign w:val="center"/>
          </w:tcPr>
          <w:p w14:paraId="7E1CDD4C"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w:t>
            </w:r>
          </w:p>
        </w:tc>
        <w:tc>
          <w:tcPr>
            <w:tcW w:w="850" w:type="dxa"/>
            <w:shd w:val="clear" w:color="auto" w:fill="F3F9FA"/>
          </w:tcPr>
          <w:p w14:paraId="3462A459"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4747A7FF" w14:textId="23C289C8" w:rsidR="007D5603" w:rsidRPr="00BC7288" w:rsidRDefault="007D5603" w:rsidP="007D5603">
            <w:pPr>
              <w:spacing w:before="0" w:after="0" w:line="200" w:lineRule="exact"/>
              <w:jc w:val="center"/>
              <w:rPr>
                <w:sz w:val="20"/>
                <w:szCs w:val="20"/>
              </w:rPr>
            </w:pPr>
            <w:r w:rsidRPr="007D5603">
              <w:rPr>
                <w:caps/>
                <w:sz w:val="20"/>
                <w:szCs w:val="20"/>
              </w:rPr>
              <w:t>4.837</w:t>
            </w:r>
          </w:p>
        </w:tc>
        <w:tc>
          <w:tcPr>
            <w:tcW w:w="992" w:type="dxa"/>
            <w:shd w:val="clear" w:color="auto" w:fill="F3F9FA"/>
          </w:tcPr>
          <w:p w14:paraId="2304CE49" w14:textId="3B21FE53" w:rsidR="007D5603" w:rsidRPr="00BC7288" w:rsidRDefault="007D5603" w:rsidP="007D5603">
            <w:pPr>
              <w:spacing w:before="0" w:after="0" w:line="200" w:lineRule="exact"/>
              <w:jc w:val="center"/>
              <w:rPr>
                <w:sz w:val="20"/>
                <w:szCs w:val="20"/>
              </w:rPr>
            </w:pPr>
            <w:r w:rsidRPr="007D5603">
              <w:rPr>
                <w:caps/>
                <w:sz w:val="20"/>
                <w:szCs w:val="20"/>
              </w:rPr>
              <w:t>110.4</w:t>
            </w:r>
          </w:p>
        </w:tc>
        <w:tc>
          <w:tcPr>
            <w:tcW w:w="997" w:type="dxa"/>
            <w:shd w:val="clear" w:color="auto" w:fill="F3F9FA"/>
          </w:tcPr>
          <w:p w14:paraId="0A6A8889" w14:textId="3966B7DD"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3404A438" w14:textId="77777777" w:rsidR="007D5603" w:rsidRPr="00BC7288" w:rsidRDefault="007D5603" w:rsidP="007D5603">
            <w:pPr>
              <w:spacing w:before="0" w:after="0" w:line="200" w:lineRule="exact"/>
              <w:jc w:val="center"/>
              <w:rPr>
                <w:sz w:val="20"/>
                <w:szCs w:val="20"/>
              </w:rPr>
            </w:pPr>
          </w:p>
        </w:tc>
      </w:tr>
      <w:tr w:rsidR="007D5603" w:rsidRPr="00BC7288" w14:paraId="2D51426B" w14:textId="77777777" w:rsidTr="00C362ED">
        <w:trPr>
          <w:trHeight w:val="308"/>
        </w:trPr>
        <w:tc>
          <w:tcPr>
            <w:tcW w:w="4528" w:type="dxa"/>
            <w:shd w:val="clear" w:color="auto" w:fill="F3F9FA"/>
            <w:vAlign w:val="center"/>
          </w:tcPr>
          <w:p w14:paraId="3A929CEB" w14:textId="24A97443" w:rsidR="007D5603" w:rsidRPr="00BC7288" w:rsidRDefault="0063478C" w:rsidP="007D5603">
            <w:pPr>
              <w:spacing w:before="0" w:after="0" w:line="200" w:lineRule="exact"/>
              <w:rPr>
                <w:sz w:val="20"/>
                <w:szCs w:val="20"/>
              </w:rPr>
            </w:pPr>
            <w:r>
              <w:rPr>
                <w:sz w:val="20"/>
                <w:szCs w:val="20"/>
              </w:rPr>
              <w:t xml:space="preserve"> per cent</w:t>
            </w:r>
            <w:r w:rsidR="007D5603" w:rsidRPr="00BC7288">
              <w:rPr>
                <w:sz w:val="20"/>
                <w:szCs w:val="20"/>
              </w:rPr>
              <w:t xml:space="preserve"> </w:t>
            </w:r>
            <w:r w:rsidR="007D5603" w:rsidRPr="00BC7288">
              <w:rPr>
                <w:caps/>
                <w:sz w:val="20"/>
                <w:szCs w:val="20"/>
              </w:rPr>
              <w:t>cover = s(date) + NRM region + random(site)</w:t>
            </w:r>
          </w:p>
        </w:tc>
        <w:tc>
          <w:tcPr>
            <w:tcW w:w="850" w:type="dxa"/>
            <w:shd w:val="clear" w:color="auto" w:fill="F3F9FA"/>
          </w:tcPr>
          <w:p w14:paraId="259AB678" w14:textId="3D49E4D1" w:rsidR="007D5603" w:rsidRPr="00BC7288" w:rsidRDefault="007D5603" w:rsidP="007D5603">
            <w:pPr>
              <w:spacing w:before="0" w:after="0" w:line="200" w:lineRule="exact"/>
              <w:jc w:val="center"/>
              <w:rPr>
                <w:sz w:val="20"/>
                <w:szCs w:val="20"/>
              </w:rPr>
            </w:pPr>
            <w:r w:rsidRPr="007D5603">
              <w:rPr>
                <w:caps/>
                <w:sz w:val="20"/>
                <w:szCs w:val="20"/>
              </w:rPr>
              <w:t>55851</w:t>
            </w:r>
          </w:p>
        </w:tc>
        <w:tc>
          <w:tcPr>
            <w:tcW w:w="992" w:type="dxa"/>
            <w:shd w:val="clear" w:color="auto" w:fill="F3F9FA"/>
          </w:tcPr>
          <w:p w14:paraId="3B56DDEE" w14:textId="56DBE96F" w:rsidR="007D5603" w:rsidRPr="00BC7288" w:rsidRDefault="007D5603" w:rsidP="007D5603">
            <w:pPr>
              <w:spacing w:before="0" w:after="0" w:line="200" w:lineRule="exact"/>
              <w:jc w:val="center"/>
              <w:rPr>
                <w:sz w:val="20"/>
                <w:szCs w:val="20"/>
              </w:rPr>
            </w:pPr>
          </w:p>
        </w:tc>
        <w:tc>
          <w:tcPr>
            <w:tcW w:w="992" w:type="dxa"/>
            <w:shd w:val="clear" w:color="auto" w:fill="F3F9FA"/>
          </w:tcPr>
          <w:p w14:paraId="0E8CC01E" w14:textId="4D973A6A" w:rsidR="007D5603" w:rsidRPr="00BC7288" w:rsidRDefault="007D5603" w:rsidP="007D5603">
            <w:pPr>
              <w:spacing w:before="0" w:after="0" w:line="200" w:lineRule="exact"/>
              <w:jc w:val="center"/>
              <w:rPr>
                <w:sz w:val="20"/>
                <w:szCs w:val="20"/>
              </w:rPr>
            </w:pPr>
          </w:p>
        </w:tc>
        <w:tc>
          <w:tcPr>
            <w:tcW w:w="997" w:type="dxa"/>
            <w:shd w:val="clear" w:color="auto" w:fill="F3F9FA"/>
          </w:tcPr>
          <w:p w14:paraId="48B2EB68" w14:textId="3DA8CE59" w:rsidR="007D5603" w:rsidRPr="00BC7288" w:rsidRDefault="007D5603" w:rsidP="007D5603">
            <w:pPr>
              <w:spacing w:before="0" w:after="0" w:line="200" w:lineRule="exact"/>
              <w:jc w:val="center"/>
              <w:rPr>
                <w:sz w:val="20"/>
                <w:szCs w:val="20"/>
              </w:rPr>
            </w:pPr>
          </w:p>
        </w:tc>
        <w:tc>
          <w:tcPr>
            <w:tcW w:w="850" w:type="dxa"/>
            <w:shd w:val="clear" w:color="auto" w:fill="F3F9FA"/>
          </w:tcPr>
          <w:p w14:paraId="12FDCA94" w14:textId="111D45C2" w:rsidR="007D5603" w:rsidRPr="00BC7288" w:rsidRDefault="007D5603" w:rsidP="007D5603">
            <w:pPr>
              <w:spacing w:before="0" w:after="0" w:line="200" w:lineRule="exact"/>
              <w:jc w:val="center"/>
              <w:rPr>
                <w:sz w:val="20"/>
                <w:szCs w:val="20"/>
              </w:rPr>
            </w:pPr>
            <w:r w:rsidRPr="007D5603">
              <w:rPr>
                <w:caps/>
                <w:sz w:val="20"/>
                <w:szCs w:val="20"/>
              </w:rPr>
              <w:t>0.107</w:t>
            </w:r>
          </w:p>
        </w:tc>
      </w:tr>
      <w:tr w:rsidR="007D5603" w:rsidRPr="00BC7288" w14:paraId="78AE6556" w14:textId="77777777" w:rsidTr="00C362ED">
        <w:trPr>
          <w:trHeight w:val="20"/>
        </w:trPr>
        <w:tc>
          <w:tcPr>
            <w:tcW w:w="4528" w:type="dxa"/>
            <w:shd w:val="clear" w:color="auto" w:fill="F3F9FA"/>
            <w:vAlign w:val="center"/>
          </w:tcPr>
          <w:p w14:paraId="216DD49F"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Cape York</w:t>
            </w:r>
          </w:p>
        </w:tc>
        <w:tc>
          <w:tcPr>
            <w:tcW w:w="850" w:type="dxa"/>
            <w:shd w:val="clear" w:color="auto" w:fill="F3F9FA"/>
          </w:tcPr>
          <w:p w14:paraId="0D8291C2" w14:textId="2B09CB57" w:rsidR="007D5603" w:rsidRPr="00BC7288" w:rsidRDefault="007D5603" w:rsidP="007D5603">
            <w:pPr>
              <w:spacing w:before="0" w:after="0" w:line="200" w:lineRule="exact"/>
              <w:jc w:val="center"/>
              <w:rPr>
                <w:sz w:val="20"/>
                <w:szCs w:val="20"/>
              </w:rPr>
            </w:pPr>
          </w:p>
        </w:tc>
        <w:tc>
          <w:tcPr>
            <w:tcW w:w="992" w:type="dxa"/>
            <w:shd w:val="clear" w:color="auto" w:fill="F3F9FA"/>
          </w:tcPr>
          <w:p w14:paraId="651E8994" w14:textId="31CA945C" w:rsidR="007D5603" w:rsidRPr="00BC7288" w:rsidRDefault="007D5603" w:rsidP="007D5603">
            <w:pPr>
              <w:spacing w:before="0" w:after="0" w:line="200" w:lineRule="exact"/>
              <w:jc w:val="center"/>
              <w:rPr>
                <w:sz w:val="20"/>
                <w:szCs w:val="20"/>
              </w:rPr>
            </w:pPr>
            <w:r w:rsidRPr="007D5603">
              <w:rPr>
                <w:caps/>
                <w:sz w:val="20"/>
                <w:szCs w:val="20"/>
              </w:rPr>
              <w:t>5.903</w:t>
            </w:r>
          </w:p>
        </w:tc>
        <w:tc>
          <w:tcPr>
            <w:tcW w:w="992" w:type="dxa"/>
            <w:shd w:val="clear" w:color="auto" w:fill="F3F9FA"/>
          </w:tcPr>
          <w:p w14:paraId="5F90E541" w14:textId="43AA5966" w:rsidR="007D5603" w:rsidRPr="00BC7288" w:rsidRDefault="007D5603" w:rsidP="007D5603">
            <w:pPr>
              <w:spacing w:before="0" w:after="0" w:line="200" w:lineRule="exact"/>
              <w:jc w:val="center"/>
              <w:rPr>
                <w:sz w:val="20"/>
                <w:szCs w:val="20"/>
              </w:rPr>
            </w:pPr>
            <w:r w:rsidRPr="007D5603">
              <w:rPr>
                <w:caps/>
                <w:sz w:val="20"/>
                <w:szCs w:val="20"/>
              </w:rPr>
              <w:t>46.97</w:t>
            </w:r>
          </w:p>
        </w:tc>
        <w:tc>
          <w:tcPr>
            <w:tcW w:w="997" w:type="dxa"/>
            <w:shd w:val="clear" w:color="auto" w:fill="F3F9FA"/>
          </w:tcPr>
          <w:p w14:paraId="54B7DD6E" w14:textId="79347EEF"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2CB6B79A" w14:textId="6DF691B4" w:rsidR="007D5603" w:rsidRPr="00BC7288" w:rsidRDefault="007D5603" w:rsidP="007D5603">
            <w:pPr>
              <w:spacing w:before="0" w:after="0" w:line="200" w:lineRule="exact"/>
              <w:jc w:val="center"/>
              <w:rPr>
                <w:sz w:val="20"/>
                <w:szCs w:val="20"/>
              </w:rPr>
            </w:pPr>
          </w:p>
        </w:tc>
      </w:tr>
      <w:tr w:rsidR="007D5603" w:rsidRPr="00BC7288" w14:paraId="2B43BA82" w14:textId="77777777" w:rsidTr="00C362ED">
        <w:trPr>
          <w:trHeight w:val="20"/>
        </w:trPr>
        <w:tc>
          <w:tcPr>
            <w:tcW w:w="4528" w:type="dxa"/>
            <w:shd w:val="clear" w:color="auto" w:fill="F3F9FA"/>
            <w:vAlign w:val="center"/>
          </w:tcPr>
          <w:p w14:paraId="55727EA4"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Wet Tropics</w:t>
            </w:r>
          </w:p>
        </w:tc>
        <w:tc>
          <w:tcPr>
            <w:tcW w:w="850" w:type="dxa"/>
            <w:shd w:val="clear" w:color="auto" w:fill="F3F9FA"/>
          </w:tcPr>
          <w:p w14:paraId="247130B9"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2566E633" w14:textId="75A2EE34" w:rsidR="007D5603" w:rsidRPr="00BC7288" w:rsidRDefault="007D5603" w:rsidP="007D5603">
            <w:pPr>
              <w:spacing w:before="0" w:after="0" w:line="200" w:lineRule="exact"/>
              <w:jc w:val="center"/>
              <w:rPr>
                <w:sz w:val="20"/>
                <w:szCs w:val="20"/>
              </w:rPr>
            </w:pPr>
            <w:r w:rsidRPr="007D5603">
              <w:rPr>
                <w:caps/>
                <w:sz w:val="20"/>
                <w:szCs w:val="20"/>
              </w:rPr>
              <w:t>8.485</w:t>
            </w:r>
          </w:p>
        </w:tc>
        <w:tc>
          <w:tcPr>
            <w:tcW w:w="992" w:type="dxa"/>
            <w:shd w:val="clear" w:color="auto" w:fill="F3F9FA"/>
          </w:tcPr>
          <w:p w14:paraId="779A06D2" w14:textId="41741B41" w:rsidR="007D5603" w:rsidRPr="00BC7288" w:rsidRDefault="007D5603" w:rsidP="007D5603">
            <w:pPr>
              <w:spacing w:before="0" w:after="0" w:line="200" w:lineRule="exact"/>
              <w:jc w:val="center"/>
              <w:rPr>
                <w:sz w:val="20"/>
                <w:szCs w:val="20"/>
              </w:rPr>
            </w:pPr>
            <w:r w:rsidRPr="007D5603">
              <w:rPr>
                <w:caps/>
                <w:sz w:val="20"/>
                <w:szCs w:val="20"/>
              </w:rPr>
              <w:t>180.09</w:t>
            </w:r>
          </w:p>
        </w:tc>
        <w:tc>
          <w:tcPr>
            <w:tcW w:w="997" w:type="dxa"/>
            <w:shd w:val="clear" w:color="auto" w:fill="F3F9FA"/>
          </w:tcPr>
          <w:p w14:paraId="6B048D63" w14:textId="0EACD81E"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28B10CC5" w14:textId="77777777" w:rsidR="007D5603" w:rsidRPr="00BC7288" w:rsidRDefault="007D5603" w:rsidP="007D5603">
            <w:pPr>
              <w:spacing w:before="0" w:after="0" w:line="200" w:lineRule="exact"/>
              <w:jc w:val="center"/>
              <w:rPr>
                <w:sz w:val="20"/>
                <w:szCs w:val="20"/>
              </w:rPr>
            </w:pPr>
          </w:p>
        </w:tc>
      </w:tr>
      <w:tr w:rsidR="007D5603" w:rsidRPr="00BC7288" w14:paraId="249789DD" w14:textId="77777777" w:rsidTr="00C362ED">
        <w:trPr>
          <w:trHeight w:val="20"/>
        </w:trPr>
        <w:tc>
          <w:tcPr>
            <w:tcW w:w="4528" w:type="dxa"/>
            <w:shd w:val="clear" w:color="auto" w:fill="F3F9FA"/>
            <w:vAlign w:val="center"/>
          </w:tcPr>
          <w:p w14:paraId="6056D801"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Burdekin</w:t>
            </w:r>
          </w:p>
        </w:tc>
        <w:tc>
          <w:tcPr>
            <w:tcW w:w="850" w:type="dxa"/>
            <w:shd w:val="clear" w:color="auto" w:fill="F3F9FA"/>
          </w:tcPr>
          <w:p w14:paraId="7EA982D7"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480D6233" w14:textId="468F5B13" w:rsidR="007D5603" w:rsidRPr="00BC7288" w:rsidRDefault="007D5603" w:rsidP="007D5603">
            <w:pPr>
              <w:spacing w:before="0" w:after="0" w:line="200" w:lineRule="exact"/>
              <w:jc w:val="center"/>
              <w:rPr>
                <w:sz w:val="20"/>
                <w:szCs w:val="20"/>
              </w:rPr>
            </w:pPr>
            <w:r w:rsidRPr="007D5603">
              <w:rPr>
                <w:caps/>
                <w:sz w:val="20"/>
                <w:szCs w:val="20"/>
              </w:rPr>
              <w:t>8.926</w:t>
            </w:r>
          </w:p>
        </w:tc>
        <w:tc>
          <w:tcPr>
            <w:tcW w:w="992" w:type="dxa"/>
            <w:shd w:val="clear" w:color="auto" w:fill="F3F9FA"/>
          </w:tcPr>
          <w:p w14:paraId="447D0E2D" w14:textId="64939860" w:rsidR="007D5603" w:rsidRPr="00BC7288" w:rsidRDefault="007D5603" w:rsidP="007D5603">
            <w:pPr>
              <w:spacing w:before="0" w:after="0" w:line="200" w:lineRule="exact"/>
              <w:jc w:val="center"/>
              <w:rPr>
                <w:sz w:val="20"/>
                <w:szCs w:val="20"/>
              </w:rPr>
            </w:pPr>
            <w:r w:rsidRPr="007D5603">
              <w:rPr>
                <w:caps/>
                <w:sz w:val="20"/>
                <w:szCs w:val="20"/>
              </w:rPr>
              <w:t>453.15</w:t>
            </w:r>
          </w:p>
        </w:tc>
        <w:tc>
          <w:tcPr>
            <w:tcW w:w="997" w:type="dxa"/>
            <w:shd w:val="clear" w:color="auto" w:fill="F3F9FA"/>
          </w:tcPr>
          <w:p w14:paraId="0C95B169" w14:textId="5AEC0A27"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65C3D38C" w14:textId="77777777" w:rsidR="007D5603" w:rsidRPr="00BC7288" w:rsidRDefault="007D5603" w:rsidP="007D5603">
            <w:pPr>
              <w:spacing w:before="0" w:after="0" w:line="200" w:lineRule="exact"/>
              <w:jc w:val="center"/>
              <w:rPr>
                <w:sz w:val="20"/>
                <w:szCs w:val="20"/>
              </w:rPr>
            </w:pPr>
          </w:p>
        </w:tc>
      </w:tr>
      <w:tr w:rsidR="007D5603" w:rsidRPr="00BC7288" w14:paraId="089F1A81" w14:textId="77777777" w:rsidTr="00C362ED">
        <w:trPr>
          <w:trHeight w:val="20"/>
        </w:trPr>
        <w:tc>
          <w:tcPr>
            <w:tcW w:w="4528" w:type="dxa"/>
            <w:shd w:val="clear" w:color="auto" w:fill="F3F9FA"/>
            <w:vAlign w:val="center"/>
          </w:tcPr>
          <w:p w14:paraId="64909B41"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Mackay Whitsunday</w:t>
            </w:r>
          </w:p>
        </w:tc>
        <w:tc>
          <w:tcPr>
            <w:tcW w:w="850" w:type="dxa"/>
            <w:shd w:val="clear" w:color="auto" w:fill="F3F9FA"/>
          </w:tcPr>
          <w:p w14:paraId="1AA100C1"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2DA6B46C" w14:textId="56B422F9" w:rsidR="007D5603" w:rsidRPr="00BC7288" w:rsidRDefault="007D5603" w:rsidP="007D5603">
            <w:pPr>
              <w:spacing w:before="0" w:after="0" w:line="200" w:lineRule="exact"/>
              <w:jc w:val="center"/>
              <w:rPr>
                <w:sz w:val="20"/>
                <w:szCs w:val="20"/>
              </w:rPr>
            </w:pPr>
            <w:r w:rsidRPr="007D5603">
              <w:rPr>
                <w:caps/>
                <w:sz w:val="20"/>
                <w:szCs w:val="20"/>
              </w:rPr>
              <w:t>8.831</w:t>
            </w:r>
          </w:p>
        </w:tc>
        <w:tc>
          <w:tcPr>
            <w:tcW w:w="992" w:type="dxa"/>
            <w:shd w:val="clear" w:color="auto" w:fill="F3F9FA"/>
          </w:tcPr>
          <w:p w14:paraId="6F645192" w14:textId="5C6C90E9" w:rsidR="007D5603" w:rsidRPr="00BC7288" w:rsidRDefault="007D5603" w:rsidP="007D5603">
            <w:pPr>
              <w:spacing w:before="0" w:after="0" w:line="200" w:lineRule="exact"/>
              <w:jc w:val="center"/>
              <w:rPr>
                <w:sz w:val="20"/>
                <w:szCs w:val="20"/>
              </w:rPr>
            </w:pPr>
            <w:r w:rsidRPr="007D5603">
              <w:rPr>
                <w:caps/>
                <w:sz w:val="20"/>
                <w:szCs w:val="20"/>
              </w:rPr>
              <w:t>119.21</w:t>
            </w:r>
          </w:p>
        </w:tc>
        <w:tc>
          <w:tcPr>
            <w:tcW w:w="997" w:type="dxa"/>
            <w:shd w:val="clear" w:color="auto" w:fill="F3F9FA"/>
          </w:tcPr>
          <w:p w14:paraId="769A5309" w14:textId="3BFEB51F"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197069FF" w14:textId="77777777" w:rsidR="007D5603" w:rsidRPr="00BC7288" w:rsidRDefault="007D5603" w:rsidP="007D5603">
            <w:pPr>
              <w:spacing w:before="0" w:after="0" w:line="200" w:lineRule="exact"/>
              <w:jc w:val="center"/>
              <w:rPr>
                <w:sz w:val="20"/>
                <w:szCs w:val="20"/>
              </w:rPr>
            </w:pPr>
          </w:p>
        </w:tc>
      </w:tr>
      <w:tr w:rsidR="007D5603" w:rsidRPr="00BC7288" w14:paraId="69750A18" w14:textId="77777777" w:rsidTr="00C362ED">
        <w:trPr>
          <w:trHeight w:val="20"/>
        </w:trPr>
        <w:tc>
          <w:tcPr>
            <w:tcW w:w="4528" w:type="dxa"/>
            <w:shd w:val="clear" w:color="auto" w:fill="F3F9FA"/>
            <w:vAlign w:val="center"/>
          </w:tcPr>
          <w:p w14:paraId="5AC8898C"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Fitzroy</w:t>
            </w:r>
          </w:p>
        </w:tc>
        <w:tc>
          <w:tcPr>
            <w:tcW w:w="850" w:type="dxa"/>
            <w:shd w:val="clear" w:color="auto" w:fill="F3F9FA"/>
          </w:tcPr>
          <w:p w14:paraId="5A51B306"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0B4DCDFE" w14:textId="3B2AD3E2" w:rsidR="007D5603" w:rsidRPr="00BC7288" w:rsidRDefault="007D5603" w:rsidP="007D5603">
            <w:pPr>
              <w:spacing w:before="0" w:after="0" w:line="200" w:lineRule="exact"/>
              <w:jc w:val="center"/>
              <w:rPr>
                <w:sz w:val="20"/>
                <w:szCs w:val="20"/>
              </w:rPr>
            </w:pPr>
            <w:r w:rsidRPr="007D5603">
              <w:rPr>
                <w:caps/>
                <w:sz w:val="20"/>
                <w:szCs w:val="20"/>
              </w:rPr>
              <w:t>7.469</w:t>
            </w:r>
          </w:p>
        </w:tc>
        <w:tc>
          <w:tcPr>
            <w:tcW w:w="992" w:type="dxa"/>
            <w:shd w:val="clear" w:color="auto" w:fill="F3F9FA"/>
          </w:tcPr>
          <w:p w14:paraId="42E43076" w14:textId="6B77A12D" w:rsidR="007D5603" w:rsidRPr="00BC7288" w:rsidRDefault="007D5603" w:rsidP="007D5603">
            <w:pPr>
              <w:spacing w:before="0" w:after="0" w:line="200" w:lineRule="exact"/>
              <w:jc w:val="center"/>
              <w:rPr>
                <w:sz w:val="20"/>
                <w:szCs w:val="20"/>
              </w:rPr>
            </w:pPr>
            <w:r w:rsidRPr="007D5603">
              <w:rPr>
                <w:caps/>
                <w:sz w:val="20"/>
                <w:szCs w:val="20"/>
              </w:rPr>
              <w:t>34.37</w:t>
            </w:r>
          </w:p>
        </w:tc>
        <w:tc>
          <w:tcPr>
            <w:tcW w:w="997" w:type="dxa"/>
            <w:shd w:val="clear" w:color="auto" w:fill="F3F9FA"/>
          </w:tcPr>
          <w:p w14:paraId="4723F8A2" w14:textId="2D80CDAF"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4A06298E" w14:textId="77777777" w:rsidR="007D5603" w:rsidRPr="00BC7288" w:rsidRDefault="007D5603" w:rsidP="007D5603">
            <w:pPr>
              <w:spacing w:before="0" w:after="0" w:line="200" w:lineRule="exact"/>
              <w:jc w:val="center"/>
              <w:rPr>
                <w:sz w:val="20"/>
                <w:szCs w:val="20"/>
              </w:rPr>
            </w:pPr>
          </w:p>
        </w:tc>
      </w:tr>
      <w:tr w:rsidR="007D5603" w:rsidRPr="00BC7288" w14:paraId="27057095" w14:textId="77777777" w:rsidTr="00C362ED">
        <w:trPr>
          <w:trHeight w:val="20"/>
        </w:trPr>
        <w:tc>
          <w:tcPr>
            <w:tcW w:w="4528" w:type="dxa"/>
            <w:tcBorders>
              <w:bottom w:val="single" w:sz="4" w:space="0" w:color="auto"/>
            </w:tcBorders>
            <w:shd w:val="clear" w:color="auto" w:fill="F3F9FA"/>
            <w:vAlign w:val="center"/>
          </w:tcPr>
          <w:p w14:paraId="4A112EEF"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Burnett Mary</w:t>
            </w:r>
          </w:p>
        </w:tc>
        <w:tc>
          <w:tcPr>
            <w:tcW w:w="850" w:type="dxa"/>
            <w:tcBorders>
              <w:bottom w:val="single" w:sz="4" w:space="0" w:color="auto"/>
            </w:tcBorders>
            <w:shd w:val="clear" w:color="auto" w:fill="F3F9FA"/>
          </w:tcPr>
          <w:p w14:paraId="1042561A" w14:textId="415F7868" w:rsidR="007D5603" w:rsidRPr="00BC7288" w:rsidRDefault="007D5603" w:rsidP="007D5603">
            <w:pPr>
              <w:spacing w:before="0" w:after="0" w:line="200" w:lineRule="exact"/>
              <w:jc w:val="center"/>
              <w:rPr>
                <w:sz w:val="20"/>
                <w:szCs w:val="20"/>
              </w:rPr>
            </w:pPr>
          </w:p>
        </w:tc>
        <w:tc>
          <w:tcPr>
            <w:tcW w:w="992" w:type="dxa"/>
            <w:tcBorders>
              <w:bottom w:val="single" w:sz="4" w:space="0" w:color="auto"/>
            </w:tcBorders>
            <w:shd w:val="clear" w:color="auto" w:fill="F3F9FA"/>
          </w:tcPr>
          <w:p w14:paraId="5BEDDDAA" w14:textId="06299D4C" w:rsidR="007D5603" w:rsidRPr="00BC7288" w:rsidRDefault="007D5603" w:rsidP="007D5603">
            <w:pPr>
              <w:spacing w:before="0" w:after="0" w:line="200" w:lineRule="exact"/>
              <w:jc w:val="center"/>
              <w:rPr>
                <w:sz w:val="20"/>
                <w:szCs w:val="20"/>
              </w:rPr>
            </w:pPr>
            <w:r w:rsidRPr="007D5603">
              <w:rPr>
                <w:caps/>
                <w:sz w:val="20"/>
                <w:szCs w:val="20"/>
              </w:rPr>
              <w:t>8.782</w:t>
            </w:r>
          </w:p>
        </w:tc>
        <w:tc>
          <w:tcPr>
            <w:tcW w:w="992" w:type="dxa"/>
            <w:tcBorders>
              <w:bottom w:val="single" w:sz="4" w:space="0" w:color="auto"/>
            </w:tcBorders>
            <w:shd w:val="clear" w:color="auto" w:fill="F3F9FA"/>
          </w:tcPr>
          <w:p w14:paraId="4F5DA1C4" w14:textId="3953F7B7" w:rsidR="007D5603" w:rsidRPr="00BC7288" w:rsidRDefault="007D5603" w:rsidP="007D5603">
            <w:pPr>
              <w:spacing w:before="0" w:after="0" w:line="200" w:lineRule="exact"/>
              <w:jc w:val="center"/>
              <w:rPr>
                <w:sz w:val="20"/>
                <w:szCs w:val="20"/>
              </w:rPr>
            </w:pPr>
            <w:r w:rsidRPr="007D5603">
              <w:rPr>
                <w:caps/>
                <w:sz w:val="20"/>
                <w:szCs w:val="20"/>
              </w:rPr>
              <w:t>337.42</w:t>
            </w:r>
          </w:p>
        </w:tc>
        <w:tc>
          <w:tcPr>
            <w:tcW w:w="997" w:type="dxa"/>
            <w:tcBorders>
              <w:bottom w:val="single" w:sz="4" w:space="0" w:color="auto"/>
            </w:tcBorders>
            <w:shd w:val="clear" w:color="auto" w:fill="F3F9FA"/>
          </w:tcPr>
          <w:p w14:paraId="5613C254" w14:textId="3CAB755C"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tcBorders>
              <w:bottom w:val="single" w:sz="4" w:space="0" w:color="auto"/>
            </w:tcBorders>
            <w:shd w:val="clear" w:color="auto" w:fill="F3F9FA"/>
          </w:tcPr>
          <w:p w14:paraId="4F130075" w14:textId="18C20DA3" w:rsidR="007D5603" w:rsidRPr="00BC7288" w:rsidRDefault="007D5603" w:rsidP="007D5603">
            <w:pPr>
              <w:spacing w:before="0" w:after="0" w:line="200" w:lineRule="exact"/>
              <w:jc w:val="center"/>
              <w:rPr>
                <w:sz w:val="20"/>
                <w:szCs w:val="20"/>
              </w:rPr>
            </w:pPr>
          </w:p>
        </w:tc>
      </w:tr>
      <w:tr w:rsidR="00810B9D" w:rsidRPr="00BC7288" w14:paraId="1EA327E8" w14:textId="77777777" w:rsidTr="00245D08">
        <w:trPr>
          <w:trHeight w:val="20"/>
        </w:trPr>
        <w:tc>
          <w:tcPr>
            <w:tcW w:w="4528" w:type="dxa"/>
            <w:tcBorders>
              <w:top w:val="single" w:sz="4" w:space="0" w:color="auto"/>
            </w:tcBorders>
            <w:shd w:val="clear" w:color="auto" w:fill="E7F3F4"/>
            <w:vAlign w:val="center"/>
          </w:tcPr>
          <w:p w14:paraId="16BCC312" w14:textId="77777777" w:rsidR="007C508F" w:rsidRPr="00BC7288" w:rsidRDefault="007C508F" w:rsidP="00810B9D">
            <w:pPr>
              <w:spacing w:before="0" w:after="0" w:line="200" w:lineRule="exact"/>
              <w:rPr>
                <w:b/>
                <w:caps/>
                <w:sz w:val="20"/>
                <w:szCs w:val="20"/>
              </w:rPr>
            </w:pPr>
            <w:r w:rsidRPr="00BC7288">
              <w:rPr>
                <w:b/>
                <w:caps/>
                <w:sz w:val="20"/>
                <w:szCs w:val="20"/>
              </w:rPr>
              <w:t>Cape York</w:t>
            </w:r>
          </w:p>
        </w:tc>
        <w:tc>
          <w:tcPr>
            <w:tcW w:w="850" w:type="dxa"/>
            <w:tcBorders>
              <w:top w:val="single" w:sz="4" w:space="0" w:color="auto"/>
            </w:tcBorders>
            <w:shd w:val="clear" w:color="auto" w:fill="E7F3F4"/>
            <w:vAlign w:val="center"/>
          </w:tcPr>
          <w:p w14:paraId="62945331" w14:textId="77777777" w:rsidR="007C508F" w:rsidRPr="00BC7288" w:rsidRDefault="007C508F" w:rsidP="00810B9D">
            <w:pPr>
              <w:spacing w:before="0" w:after="0" w:line="200" w:lineRule="exact"/>
              <w:jc w:val="center"/>
              <w:rPr>
                <w:b/>
                <w:caps/>
                <w:sz w:val="20"/>
                <w:szCs w:val="20"/>
              </w:rPr>
            </w:pPr>
          </w:p>
        </w:tc>
        <w:tc>
          <w:tcPr>
            <w:tcW w:w="992" w:type="dxa"/>
            <w:tcBorders>
              <w:top w:val="single" w:sz="4" w:space="0" w:color="auto"/>
            </w:tcBorders>
            <w:shd w:val="clear" w:color="auto" w:fill="E7F3F4"/>
            <w:vAlign w:val="center"/>
          </w:tcPr>
          <w:p w14:paraId="6F486DD8" w14:textId="77777777" w:rsidR="007C508F" w:rsidRPr="00BC7288" w:rsidRDefault="007C508F" w:rsidP="00810B9D">
            <w:pPr>
              <w:spacing w:before="0" w:after="0" w:line="200" w:lineRule="exact"/>
              <w:jc w:val="center"/>
              <w:rPr>
                <w:b/>
                <w:caps/>
                <w:sz w:val="20"/>
                <w:szCs w:val="20"/>
              </w:rPr>
            </w:pPr>
          </w:p>
        </w:tc>
        <w:tc>
          <w:tcPr>
            <w:tcW w:w="992" w:type="dxa"/>
            <w:tcBorders>
              <w:top w:val="single" w:sz="4" w:space="0" w:color="auto"/>
            </w:tcBorders>
            <w:shd w:val="clear" w:color="auto" w:fill="E7F3F4"/>
            <w:vAlign w:val="center"/>
          </w:tcPr>
          <w:p w14:paraId="48AAD8A7" w14:textId="77777777" w:rsidR="007C508F" w:rsidRPr="00BC7288" w:rsidRDefault="007C508F" w:rsidP="00810B9D">
            <w:pPr>
              <w:spacing w:before="0" w:after="0" w:line="200" w:lineRule="exact"/>
              <w:jc w:val="center"/>
              <w:rPr>
                <w:b/>
                <w:caps/>
                <w:sz w:val="20"/>
                <w:szCs w:val="20"/>
              </w:rPr>
            </w:pPr>
          </w:p>
        </w:tc>
        <w:tc>
          <w:tcPr>
            <w:tcW w:w="997" w:type="dxa"/>
            <w:tcBorders>
              <w:top w:val="single" w:sz="4" w:space="0" w:color="auto"/>
            </w:tcBorders>
            <w:shd w:val="clear" w:color="auto" w:fill="E7F3F4"/>
            <w:vAlign w:val="center"/>
          </w:tcPr>
          <w:p w14:paraId="5D4648C5" w14:textId="77777777" w:rsidR="007C508F" w:rsidRPr="00BC7288" w:rsidRDefault="007C508F" w:rsidP="00810B9D">
            <w:pPr>
              <w:spacing w:before="0" w:after="0" w:line="200" w:lineRule="exact"/>
              <w:jc w:val="center"/>
              <w:rPr>
                <w:b/>
                <w:caps/>
                <w:sz w:val="20"/>
                <w:szCs w:val="20"/>
              </w:rPr>
            </w:pPr>
          </w:p>
        </w:tc>
        <w:tc>
          <w:tcPr>
            <w:tcW w:w="850" w:type="dxa"/>
            <w:tcBorders>
              <w:top w:val="single" w:sz="4" w:space="0" w:color="auto"/>
            </w:tcBorders>
            <w:shd w:val="clear" w:color="auto" w:fill="E7F3F4"/>
            <w:vAlign w:val="center"/>
          </w:tcPr>
          <w:p w14:paraId="6C62A00E" w14:textId="77777777" w:rsidR="007C508F" w:rsidRPr="00BC7288" w:rsidRDefault="007C508F" w:rsidP="00810B9D">
            <w:pPr>
              <w:spacing w:before="0" w:after="0" w:line="200" w:lineRule="exact"/>
              <w:jc w:val="center"/>
              <w:rPr>
                <w:b/>
                <w:caps/>
                <w:sz w:val="20"/>
                <w:szCs w:val="20"/>
              </w:rPr>
            </w:pPr>
          </w:p>
        </w:tc>
      </w:tr>
      <w:tr w:rsidR="007D5603" w:rsidRPr="00BC7288" w14:paraId="3D236F36" w14:textId="77777777" w:rsidTr="00C362ED">
        <w:trPr>
          <w:trHeight w:val="20"/>
        </w:trPr>
        <w:tc>
          <w:tcPr>
            <w:tcW w:w="4528" w:type="dxa"/>
            <w:shd w:val="clear" w:color="auto" w:fill="F3F9FA"/>
            <w:vAlign w:val="center"/>
          </w:tcPr>
          <w:p w14:paraId="743EBBA1" w14:textId="13DDF1A1"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random(site)</w:t>
            </w:r>
          </w:p>
        </w:tc>
        <w:tc>
          <w:tcPr>
            <w:tcW w:w="850" w:type="dxa"/>
            <w:shd w:val="clear" w:color="auto" w:fill="F3F9FA"/>
          </w:tcPr>
          <w:p w14:paraId="25B11337" w14:textId="375AD9D2" w:rsidR="007D5603" w:rsidRPr="00BC7288" w:rsidRDefault="007D5603" w:rsidP="007D5603">
            <w:pPr>
              <w:spacing w:before="0" w:after="0" w:line="200" w:lineRule="exact"/>
              <w:jc w:val="center"/>
              <w:rPr>
                <w:rFonts w:asciiTheme="minorHAnsi" w:hAnsiTheme="minorHAnsi"/>
                <w:sz w:val="20"/>
                <w:szCs w:val="20"/>
              </w:rPr>
            </w:pPr>
            <w:r>
              <w:t>3911</w:t>
            </w:r>
          </w:p>
        </w:tc>
        <w:tc>
          <w:tcPr>
            <w:tcW w:w="992" w:type="dxa"/>
            <w:shd w:val="clear" w:color="auto" w:fill="F3F9FA"/>
          </w:tcPr>
          <w:p w14:paraId="153AE50C" w14:textId="7A49180B" w:rsidR="007D5603" w:rsidRPr="00BC7288" w:rsidRDefault="007D5603" w:rsidP="007D5603">
            <w:pPr>
              <w:spacing w:before="0" w:after="0" w:line="200" w:lineRule="exact"/>
              <w:jc w:val="center"/>
              <w:rPr>
                <w:rFonts w:asciiTheme="minorHAnsi" w:hAnsiTheme="minorHAnsi"/>
                <w:sz w:val="20"/>
                <w:szCs w:val="20"/>
              </w:rPr>
            </w:pPr>
            <w:r>
              <w:t>6.812</w:t>
            </w:r>
          </w:p>
        </w:tc>
        <w:tc>
          <w:tcPr>
            <w:tcW w:w="992" w:type="dxa"/>
            <w:shd w:val="clear" w:color="auto" w:fill="F3F9FA"/>
          </w:tcPr>
          <w:p w14:paraId="0F71BC74" w14:textId="7A7D866E" w:rsidR="007D5603" w:rsidRPr="00BC7288" w:rsidRDefault="007D5603" w:rsidP="007D5603">
            <w:pPr>
              <w:spacing w:before="0" w:after="0" w:line="200" w:lineRule="exact"/>
              <w:jc w:val="center"/>
              <w:rPr>
                <w:rFonts w:asciiTheme="minorHAnsi" w:hAnsiTheme="minorHAnsi"/>
                <w:sz w:val="20"/>
                <w:szCs w:val="20"/>
              </w:rPr>
            </w:pPr>
            <w:r>
              <w:t>55.88</w:t>
            </w:r>
          </w:p>
        </w:tc>
        <w:tc>
          <w:tcPr>
            <w:tcW w:w="997" w:type="dxa"/>
            <w:shd w:val="clear" w:color="auto" w:fill="F3F9FA"/>
          </w:tcPr>
          <w:p w14:paraId="19575F5F" w14:textId="28C43263"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47F27FF3" w14:textId="36AE4217" w:rsidR="007D5603" w:rsidRPr="00BC7288" w:rsidRDefault="007D5603" w:rsidP="007D5603">
            <w:pPr>
              <w:spacing w:before="0" w:after="0" w:line="200" w:lineRule="exact"/>
              <w:jc w:val="center"/>
              <w:rPr>
                <w:rFonts w:asciiTheme="minorHAnsi" w:hAnsiTheme="minorHAnsi"/>
                <w:sz w:val="20"/>
                <w:szCs w:val="20"/>
              </w:rPr>
            </w:pPr>
            <w:r>
              <w:t>0.034</w:t>
            </w:r>
          </w:p>
        </w:tc>
      </w:tr>
      <w:tr w:rsidR="007D5603" w:rsidRPr="00BC7288" w14:paraId="408D4274" w14:textId="77777777" w:rsidTr="00C362ED">
        <w:trPr>
          <w:trHeight w:val="20"/>
        </w:trPr>
        <w:tc>
          <w:tcPr>
            <w:tcW w:w="4528" w:type="dxa"/>
            <w:shd w:val="clear" w:color="auto" w:fill="F3F9FA"/>
            <w:vAlign w:val="center"/>
          </w:tcPr>
          <w:p w14:paraId="136E2D9B" w14:textId="448B654F" w:rsidR="007D5603" w:rsidRPr="00BC7288" w:rsidRDefault="0063478C" w:rsidP="007D5603">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habitat + random(site)</w:t>
            </w:r>
          </w:p>
        </w:tc>
        <w:tc>
          <w:tcPr>
            <w:tcW w:w="850" w:type="dxa"/>
            <w:shd w:val="clear" w:color="auto" w:fill="F3F9FA"/>
          </w:tcPr>
          <w:p w14:paraId="04D855A0" w14:textId="2D442FD0" w:rsidR="007D5603" w:rsidRPr="00BC7288" w:rsidRDefault="007D5603" w:rsidP="007D5603">
            <w:pPr>
              <w:spacing w:before="0" w:after="0" w:line="200" w:lineRule="exact"/>
              <w:jc w:val="center"/>
              <w:rPr>
                <w:rFonts w:asciiTheme="minorHAnsi" w:hAnsiTheme="minorHAnsi"/>
                <w:sz w:val="20"/>
                <w:szCs w:val="20"/>
              </w:rPr>
            </w:pPr>
            <w:r>
              <w:t>3911</w:t>
            </w:r>
          </w:p>
        </w:tc>
        <w:tc>
          <w:tcPr>
            <w:tcW w:w="992" w:type="dxa"/>
            <w:shd w:val="clear" w:color="auto" w:fill="F3F9FA"/>
          </w:tcPr>
          <w:p w14:paraId="7A598515"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7536C0A"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3664ADC0"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4F6A6ABA" w14:textId="749E1E64" w:rsidR="007D5603" w:rsidRPr="00BC7288" w:rsidRDefault="007D5603" w:rsidP="007D5603">
            <w:pPr>
              <w:spacing w:before="0" w:after="0" w:line="200" w:lineRule="exact"/>
              <w:jc w:val="center"/>
              <w:rPr>
                <w:rFonts w:asciiTheme="minorHAnsi" w:hAnsiTheme="minorHAnsi"/>
                <w:sz w:val="20"/>
                <w:szCs w:val="20"/>
              </w:rPr>
            </w:pPr>
            <w:r w:rsidRPr="004E412C">
              <w:t>0.092</w:t>
            </w:r>
          </w:p>
        </w:tc>
      </w:tr>
      <w:tr w:rsidR="007D5603" w:rsidRPr="00BC7288" w14:paraId="501CF2DD" w14:textId="77777777" w:rsidTr="00C362ED">
        <w:trPr>
          <w:trHeight w:val="20"/>
        </w:trPr>
        <w:tc>
          <w:tcPr>
            <w:tcW w:w="4528" w:type="dxa"/>
            <w:shd w:val="clear" w:color="auto" w:fill="F3F9FA"/>
            <w:vAlign w:val="center"/>
          </w:tcPr>
          <w:p w14:paraId="063B30AA"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27C6990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8E9DFB7" w14:textId="4681554C" w:rsidR="007D5603" w:rsidRPr="00BC7288" w:rsidRDefault="007D5603" w:rsidP="007D5603">
            <w:pPr>
              <w:spacing w:before="0" w:after="0" w:line="200" w:lineRule="exact"/>
              <w:jc w:val="center"/>
              <w:rPr>
                <w:rFonts w:asciiTheme="minorHAnsi" w:hAnsiTheme="minorHAnsi"/>
                <w:sz w:val="20"/>
                <w:szCs w:val="20"/>
              </w:rPr>
            </w:pPr>
            <w:r w:rsidRPr="004E412C">
              <w:t>1.000</w:t>
            </w:r>
          </w:p>
        </w:tc>
        <w:tc>
          <w:tcPr>
            <w:tcW w:w="992" w:type="dxa"/>
            <w:shd w:val="clear" w:color="auto" w:fill="F3F9FA"/>
          </w:tcPr>
          <w:p w14:paraId="0F38231C" w14:textId="50915911" w:rsidR="007D5603" w:rsidRPr="00BC7288" w:rsidRDefault="007D5603" w:rsidP="007D5603">
            <w:pPr>
              <w:spacing w:before="0" w:after="0" w:line="200" w:lineRule="exact"/>
              <w:jc w:val="center"/>
              <w:rPr>
                <w:rFonts w:asciiTheme="minorHAnsi" w:hAnsiTheme="minorHAnsi"/>
                <w:sz w:val="20"/>
                <w:szCs w:val="20"/>
              </w:rPr>
            </w:pPr>
            <w:r>
              <w:t>8.066</w:t>
            </w:r>
          </w:p>
        </w:tc>
        <w:tc>
          <w:tcPr>
            <w:tcW w:w="997" w:type="dxa"/>
            <w:shd w:val="clear" w:color="auto" w:fill="F3F9FA"/>
          </w:tcPr>
          <w:p w14:paraId="77A7A26A" w14:textId="310A9536" w:rsidR="007D5603" w:rsidRPr="00BC7288" w:rsidRDefault="007D5603" w:rsidP="007D5603">
            <w:pPr>
              <w:spacing w:before="0" w:after="0" w:line="200" w:lineRule="exact"/>
              <w:jc w:val="center"/>
              <w:rPr>
                <w:rFonts w:asciiTheme="minorHAnsi" w:hAnsiTheme="minorHAnsi"/>
                <w:sz w:val="20"/>
                <w:szCs w:val="20"/>
              </w:rPr>
            </w:pPr>
            <w:r>
              <w:t>0.0045</w:t>
            </w:r>
          </w:p>
        </w:tc>
        <w:tc>
          <w:tcPr>
            <w:tcW w:w="850" w:type="dxa"/>
            <w:shd w:val="clear" w:color="auto" w:fill="F3F9FA"/>
          </w:tcPr>
          <w:p w14:paraId="750EB404"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71ED67A" w14:textId="77777777" w:rsidTr="00C362ED">
        <w:trPr>
          <w:trHeight w:val="20"/>
        </w:trPr>
        <w:tc>
          <w:tcPr>
            <w:tcW w:w="4528" w:type="dxa"/>
            <w:shd w:val="clear" w:color="auto" w:fill="F3F9FA"/>
            <w:vAlign w:val="center"/>
          </w:tcPr>
          <w:p w14:paraId="019DFA68"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249C0D66"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11BABC94" w14:textId="0945EA63" w:rsidR="007D5603" w:rsidRPr="00BC7288" w:rsidRDefault="007D5603" w:rsidP="007D5603">
            <w:pPr>
              <w:spacing w:before="0" w:after="0" w:line="200" w:lineRule="exact"/>
              <w:jc w:val="center"/>
              <w:rPr>
                <w:rFonts w:asciiTheme="minorHAnsi" w:hAnsiTheme="minorHAnsi"/>
                <w:sz w:val="20"/>
                <w:szCs w:val="20"/>
              </w:rPr>
            </w:pPr>
            <w:r>
              <w:t>6.688</w:t>
            </w:r>
          </w:p>
        </w:tc>
        <w:tc>
          <w:tcPr>
            <w:tcW w:w="992" w:type="dxa"/>
            <w:shd w:val="clear" w:color="auto" w:fill="F3F9FA"/>
          </w:tcPr>
          <w:p w14:paraId="43E1336C" w14:textId="06F5B5E6" w:rsidR="007D5603" w:rsidRPr="00BC7288" w:rsidRDefault="007D5603" w:rsidP="007D5603">
            <w:pPr>
              <w:spacing w:before="0" w:after="0" w:line="200" w:lineRule="exact"/>
              <w:jc w:val="center"/>
              <w:rPr>
                <w:rFonts w:asciiTheme="minorHAnsi" w:hAnsiTheme="minorHAnsi"/>
                <w:sz w:val="20"/>
                <w:szCs w:val="20"/>
              </w:rPr>
            </w:pPr>
            <w:r>
              <w:t>58.807</w:t>
            </w:r>
          </w:p>
        </w:tc>
        <w:tc>
          <w:tcPr>
            <w:tcW w:w="997" w:type="dxa"/>
            <w:shd w:val="clear" w:color="auto" w:fill="F3F9FA"/>
          </w:tcPr>
          <w:p w14:paraId="317E9A87" w14:textId="631C0C37"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60FAF892"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4EFB553F" w14:textId="77777777" w:rsidTr="00C362ED">
        <w:trPr>
          <w:trHeight w:val="20"/>
        </w:trPr>
        <w:tc>
          <w:tcPr>
            <w:tcW w:w="4528" w:type="dxa"/>
            <w:shd w:val="clear" w:color="auto" w:fill="F3F9FA"/>
            <w:vAlign w:val="center"/>
          </w:tcPr>
          <w:p w14:paraId="1516CD35" w14:textId="32BA6DE7"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Location + random(site)</w:t>
            </w:r>
          </w:p>
        </w:tc>
        <w:tc>
          <w:tcPr>
            <w:tcW w:w="850" w:type="dxa"/>
            <w:shd w:val="clear" w:color="auto" w:fill="F3F9FA"/>
          </w:tcPr>
          <w:p w14:paraId="26CB174A" w14:textId="10E6E583" w:rsidR="007D5603" w:rsidRPr="00BC7288" w:rsidRDefault="007D5603" w:rsidP="007D5603">
            <w:pPr>
              <w:spacing w:before="0" w:after="0" w:line="200" w:lineRule="exact"/>
              <w:jc w:val="center"/>
              <w:rPr>
                <w:rFonts w:asciiTheme="minorHAnsi" w:hAnsiTheme="minorHAnsi"/>
                <w:sz w:val="20"/>
                <w:szCs w:val="20"/>
              </w:rPr>
            </w:pPr>
            <w:r>
              <w:t>3911</w:t>
            </w:r>
          </w:p>
        </w:tc>
        <w:tc>
          <w:tcPr>
            <w:tcW w:w="992" w:type="dxa"/>
            <w:shd w:val="clear" w:color="auto" w:fill="F3F9FA"/>
          </w:tcPr>
          <w:p w14:paraId="58492BB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A1F611B"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70DCF6D0"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67F577A1" w14:textId="592BD2D4" w:rsidR="007D5603" w:rsidRPr="00BC7288" w:rsidRDefault="007D5603" w:rsidP="007D5603">
            <w:pPr>
              <w:spacing w:before="0" w:after="0" w:line="200" w:lineRule="exact"/>
              <w:jc w:val="center"/>
              <w:rPr>
                <w:rFonts w:asciiTheme="minorHAnsi" w:hAnsiTheme="minorHAnsi"/>
                <w:sz w:val="20"/>
                <w:szCs w:val="20"/>
              </w:rPr>
            </w:pPr>
            <w:r>
              <w:t>0.177</w:t>
            </w:r>
          </w:p>
        </w:tc>
      </w:tr>
      <w:tr w:rsidR="007D5603" w:rsidRPr="00BC7288" w14:paraId="60163A89" w14:textId="77777777" w:rsidTr="00C362ED">
        <w:trPr>
          <w:trHeight w:val="20"/>
        </w:trPr>
        <w:tc>
          <w:tcPr>
            <w:tcW w:w="4528" w:type="dxa"/>
            <w:shd w:val="clear" w:color="auto" w:fill="F3F9FA"/>
            <w:vAlign w:val="center"/>
          </w:tcPr>
          <w:p w14:paraId="1B023219"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[SR]</w:t>
            </w:r>
          </w:p>
        </w:tc>
        <w:tc>
          <w:tcPr>
            <w:tcW w:w="850" w:type="dxa"/>
            <w:shd w:val="clear" w:color="auto" w:fill="F3F9FA"/>
          </w:tcPr>
          <w:p w14:paraId="3E48A540"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3F85CA0" w14:textId="29D236FC" w:rsidR="007D5603" w:rsidRPr="00BC7288" w:rsidRDefault="007D5603" w:rsidP="007D5603">
            <w:pPr>
              <w:spacing w:before="0" w:after="0" w:line="200" w:lineRule="exact"/>
              <w:jc w:val="center"/>
              <w:rPr>
                <w:rFonts w:asciiTheme="minorHAnsi" w:hAnsiTheme="minorHAnsi"/>
                <w:sz w:val="20"/>
                <w:szCs w:val="20"/>
              </w:rPr>
            </w:pPr>
            <w:r w:rsidRPr="00B42580">
              <w:t xml:space="preserve">1.000  </w:t>
            </w:r>
          </w:p>
        </w:tc>
        <w:tc>
          <w:tcPr>
            <w:tcW w:w="992" w:type="dxa"/>
            <w:shd w:val="clear" w:color="auto" w:fill="F3F9FA"/>
          </w:tcPr>
          <w:p w14:paraId="6A060777" w14:textId="4F5B7D4C" w:rsidR="007D5603" w:rsidRPr="00BC7288" w:rsidRDefault="007D5603" w:rsidP="007D5603">
            <w:pPr>
              <w:spacing w:before="0" w:after="0" w:line="200" w:lineRule="exact"/>
              <w:jc w:val="center"/>
              <w:rPr>
                <w:rFonts w:asciiTheme="minorHAnsi" w:hAnsiTheme="minorHAnsi"/>
                <w:sz w:val="20"/>
                <w:szCs w:val="20"/>
              </w:rPr>
            </w:pPr>
            <w:r>
              <w:t>4.621</w:t>
            </w:r>
          </w:p>
        </w:tc>
        <w:tc>
          <w:tcPr>
            <w:tcW w:w="997" w:type="dxa"/>
            <w:shd w:val="clear" w:color="auto" w:fill="F3F9FA"/>
          </w:tcPr>
          <w:p w14:paraId="045959EB" w14:textId="28AF7BAC" w:rsidR="007D5603" w:rsidRPr="00BC7288" w:rsidRDefault="007D5603" w:rsidP="007D5603">
            <w:pPr>
              <w:spacing w:before="0" w:after="0" w:line="200" w:lineRule="exact"/>
              <w:jc w:val="center"/>
              <w:rPr>
                <w:rFonts w:asciiTheme="minorHAnsi" w:hAnsiTheme="minorHAnsi"/>
                <w:sz w:val="20"/>
                <w:szCs w:val="20"/>
              </w:rPr>
            </w:pPr>
            <w:r>
              <w:t>0.032</w:t>
            </w:r>
          </w:p>
        </w:tc>
        <w:tc>
          <w:tcPr>
            <w:tcW w:w="850" w:type="dxa"/>
            <w:shd w:val="clear" w:color="auto" w:fill="F3F9FA"/>
          </w:tcPr>
          <w:p w14:paraId="72DB3F3F"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57F2CE1E" w14:textId="77777777" w:rsidTr="00C362ED">
        <w:trPr>
          <w:trHeight w:val="20"/>
        </w:trPr>
        <w:tc>
          <w:tcPr>
            <w:tcW w:w="4528" w:type="dxa"/>
            <w:shd w:val="clear" w:color="auto" w:fill="F3F9FA"/>
            <w:vAlign w:val="center"/>
          </w:tcPr>
          <w:p w14:paraId="4FD09447"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[FR]</w:t>
            </w:r>
          </w:p>
        </w:tc>
        <w:tc>
          <w:tcPr>
            <w:tcW w:w="850" w:type="dxa"/>
            <w:shd w:val="clear" w:color="auto" w:fill="F3F9FA"/>
          </w:tcPr>
          <w:p w14:paraId="0FD540F6"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329D6B1" w14:textId="774462A9" w:rsidR="007D5603" w:rsidRPr="00BC7288" w:rsidRDefault="007D5603" w:rsidP="007D5603">
            <w:pPr>
              <w:spacing w:before="0" w:after="0" w:line="200" w:lineRule="exact"/>
              <w:jc w:val="center"/>
              <w:rPr>
                <w:rFonts w:asciiTheme="minorHAnsi" w:hAnsiTheme="minorHAnsi"/>
                <w:sz w:val="20"/>
                <w:szCs w:val="20"/>
              </w:rPr>
            </w:pPr>
            <w:r>
              <w:t>1.00</w:t>
            </w:r>
            <w:r w:rsidRPr="00B42580">
              <w:t>0</w:t>
            </w:r>
          </w:p>
        </w:tc>
        <w:tc>
          <w:tcPr>
            <w:tcW w:w="992" w:type="dxa"/>
            <w:shd w:val="clear" w:color="auto" w:fill="F3F9FA"/>
          </w:tcPr>
          <w:p w14:paraId="771DF60D" w14:textId="6475FA78" w:rsidR="007D5603" w:rsidRPr="00BC7288" w:rsidRDefault="007D5603" w:rsidP="007D5603">
            <w:pPr>
              <w:spacing w:before="0" w:after="0" w:line="200" w:lineRule="exact"/>
              <w:jc w:val="center"/>
              <w:rPr>
                <w:rFonts w:asciiTheme="minorHAnsi" w:hAnsiTheme="minorHAnsi"/>
                <w:sz w:val="20"/>
                <w:szCs w:val="20"/>
              </w:rPr>
            </w:pPr>
            <w:r>
              <w:t>11.072</w:t>
            </w:r>
          </w:p>
        </w:tc>
        <w:tc>
          <w:tcPr>
            <w:tcW w:w="997" w:type="dxa"/>
            <w:shd w:val="clear" w:color="auto" w:fill="F3F9FA"/>
          </w:tcPr>
          <w:p w14:paraId="537541F1" w14:textId="0C2D1BF4" w:rsidR="007D5603" w:rsidRPr="00BC7288" w:rsidRDefault="007D5603" w:rsidP="007D5603">
            <w:pPr>
              <w:spacing w:before="0" w:after="0" w:line="200" w:lineRule="exact"/>
              <w:jc w:val="center"/>
              <w:rPr>
                <w:rFonts w:asciiTheme="minorHAnsi" w:hAnsiTheme="minorHAnsi"/>
                <w:sz w:val="20"/>
                <w:szCs w:val="20"/>
              </w:rPr>
            </w:pPr>
            <w:r>
              <w:t>&lt;0.001</w:t>
            </w:r>
          </w:p>
        </w:tc>
        <w:tc>
          <w:tcPr>
            <w:tcW w:w="850" w:type="dxa"/>
            <w:shd w:val="clear" w:color="auto" w:fill="F3F9FA"/>
          </w:tcPr>
          <w:p w14:paraId="546F96A3"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B126540" w14:textId="77777777" w:rsidTr="00C362ED">
        <w:trPr>
          <w:trHeight w:val="20"/>
        </w:trPr>
        <w:tc>
          <w:tcPr>
            <w:tcW w:w="4528" w:type="dxa"/>
            <w:shd w:val="clear" w:color="auto" w:fill="F3F9FA"/>
            <w:vAlign w:val="center"/>
          </w:tcPr>
          <w:p w14:paraId="18DA4C1D"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[ST]</w:t>
            </w:r>
          </w:p>
        </w:tc>
        <w:tc>
          <w:tcPr>
            <w:tcW w:w="850" w:type="dxa"/>
            <w:shd w:val="clear" w:color="auto" w:fill="F3F9FA"/>
          </w:tcPr>
          <w:p w14:paraId="09A6A7A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979ED68" w14:textId="4CB31FB8" w:rsidR="007D5603" w:rsidRPr="00BC7288" w:rsidRDefault="007D5603" w:rsidP="007D5603">
            <w:pPr>
              <w:spacing w:before="0" w:after="0" w:line="200" w:lineRule="exact"/>
              <w:jc w:val="center"/>
              <w:rPr>
                <w:rFonts w:asciiTheme="minorHAnsi" w:hAnsiTheme="minorHAnsi"/>
                <w:sz w:val="20"/>
                <w:szCs w:val="20"/>
              </w:rPr>
            </w:pPr>
            <w:r w:rsidRPr="00B42580">
              <w:t>1.000</w:t>
            </w:r>
          </w:p>
        </w:tc>
        <w:tc>
          <w:tcPr>
            <w:tcW w:w="992" w:type="dxa"/>
            <w:shd w:val="clear" w:color="auto" w:fill="F3F9FA"/>
          </w:tcPr>
          <w:p w14:paraId="35959CC7" w14:textId="0EFD4E6A" w:rsidR="007D5603" w:rsidRPr="00BC7288" w:rsidRDefault="007D5603" w:rsidP="007D5603">
            <w:pPr>
              <w:spacing w:before="0" w:after="0" w:line="200" w:lineRule="exact"/>
              <w:jc w:val="center"/>
              <w:rPr>
                <w:rFonts w:asciiTheme="minorHAnsi" w:hAnsiTheme="minorHAnsi"/>
                <w:sz w:val="20"/>
                <w:szCs w:val="20"/>
              </w:rPr>
            </w:pPr>
            <w:r w:rsidRPr="00B42580">
              <w:t>3</w:t>
            </w:r>
            <w:r>
              <w:t>0.292</w:t>
            </w:r>
          </w:p>
        </w:tc>
        <w:tc>
          <w:tcPr>
            <w:tcW w:w="997" w:type="dxa"/>
            <w:shd w:val="clear" w:color="auto" w:fill="F3F9FA"/>
          </w:tcPr>
          <w:p w14:paraId="47AC4AA5" w14:textId="2E8F38AC" w:rsidR="007D5603" w:rsidRPr="00BC7288" w:rsidRDefault="007D5603" w:rsidP="007D5603">
            <w:pPr>
              <w:spacing w:before="0" w:after="0" w:line="200" w:lineRule="exact"/>
              <w:jc w:val="center"/>
              <w:rPr>
                <w:rFonts w:asciiTheme="minorHAnsi" w:hAnsiTheme="minorHAnsi"/>
                <w:sz w:val="20"/>
                <w:szCs w:val="20"/>
              </w:rPr>
            </w:pPr>
            <w:r>
              <w:t>&lt;0.001</w:t>
            </w:r>
          </w:p>
        </w:tc>
        <w:tc>
          <w:tcPr>
            <w:tcW w:w="850" w:type="dxa"/>
            <w:shd w:val="clear" w:color="auto" w:fill="F3F9FA"/>
          </w:tcPr>
          <w:p w14:paraId="37B8794E"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4003C7B4" w14:textId="77777777" w:rsidTr="00C362ED">
        <w:trPr>
          <w:trHeight w:val="20"/>
        </w:trPr>
        <w:tc>
          <w:tcPr>
            <w:tcW w:w="4528" w:type="dxa"/>
            <w:shd w:val="clear" w:color="auto" w:fill="F3F9FA"/>
            <w:vAlign w:val="center"/>
          </w:tcPr>
          <w:p w14:paraId="4BC31FC4"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[BY]</w:t>
            </w:r>
          </w:p>
        </w:tc>
        <w:tc>
          <w:tcPr>
            <w:tcW w:w="850" w:type="dxa"/>
            <w:shd w:val="clear" w:color="auto" w:fill="F3F9FA"/>
          </w:tcPr>
          <w:p w14:paraId="17A6820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9D77952" w14:textId="474A72B6" w:rsidR="007D5603" w:rsidRPr="00BC7288" w:rsidRDefault="007D5603" w:rsidP="007D5603">
            <w:pPr>
              <w:spacing w:before="0" w:after="0" w:line="200" w:lineRule="exact"/>
              <w:jc w:val="center"/>
              <w:rPr>
                <w:rFonts w:asciiTheme="minorHAnsi" w:hAnsiTheme="minorHAnsi"/>
                <w:sz w:val="20"/>
                <w:szCs w:val="20"/>
              </w:rPr>
            </w:pPr>
            <w:r>
              <w:t>2.021</w:t>
            </w:r>
          </w:p>
        </w:tc>
        <w:tc>
          <w:tcPr>
            <w:tcW w:w="992" w:type="dxa"/>
            <w:shd w:val="clear" w:color="auto" w:fill="F3F9FA"/>
          </w:tcPr>
          <w:p w14:paraId="0A5627C4" w14:textId="6B72285F" w:rsidR="007D5603" w:rsidRPr="00BC7288" w:rsidRDefault="007D5603" w:rsidP="007D5603">
            <w:pPr>
              <w:spacing w:before="0" w:after="0" w:line="200" w:lineRule="exact"/>
              <w:jc w:val="center"/>
              <w:rPr>
                <w:rFonts w:asciiTheme="minorHAnsi" w:hAnsiTheme="minorHAnsi"/>
                <w:sz w:val="20"/>
                <w:szCs w:val="20"/>
              </w:rPr>
            </w:pPr>
            <w:r>
              <w:t>6.748</w:t>
            </w:r>
          </w:p>
        </w:tc>
        <w:tc>
          <w:tcPr>
            <w:tcW w:w="997" w:type="dxa"/>
            <w:shd w:val="clear" w:color="auto" w:fill="F3F9FA"/>
          </w:tcPr>
          <w:p w14:paraId="2640500A" w14:textId="78BA2DD8" w:rsidR="007D5603" w:rsidRPr="00BC7288" w:rsidRDefault="007D5603" w:rsidP="007D5603">
            <w:pPr>
              <w:spacing w:before="0" w:after="0" w:line="200" w:lineRule="exact"/>
              <w:jc w:val="center"/>
              <w:rPr>
                <w:rFonts w:asciiTheme="minorHAnsi" w:hAnsiTheme="minorHAnsi"/>
                <w:sz w:val="20"/>
                <w:szCs w:val="20"/>
              </w:rPr>
            </w:pPr>
            <w:r>
              <w:t>&lt;0.001</w:t>
            </w:r>
          </w:p>
        </w:tc>
        <w:tc>
          <w:tcPr>
            <w:tcW w:w="850" w:type="dxa"/>
            <w:shd w:val="clear" w:color="auto" w:fill="F3F9FA"/>
          </w:tcPr>
          <w:p w14:paraId="0C4B4E34"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7870731C" w14:textId="77777777" w:rsidTr="00C362ED">
        <w:trPr>
          <w:trHeight w:val="20"/>
        </w:trPr>
        <w:tc>
          <w:tcPr>
            <w:tcW w:w="4528" w:type="dxa"/>
            <w:tcBorders>
              <w:bottom w:val="single" w:sz="4" w:space="0" w:color="auto"/>
            </w:tcBorders>
            <w:shd w:val="clear" w:color="auto" w:fill="F3F9FA"/>
            <w:vAlign w:val="center"/>
          </w:tcPr>
          <w:p w14:paraId="6C1121AD"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[AP]</w:t>
            </w:r>
          </w:p>
        </w:tc>
        <w:tc>
          <w:tcPr>
            <w:tcW w:w="850" w:type="dxa"/>
            <w:tcBorders>
              <w:bottom w:val="single" w:sz="4" w:space="0" w:color="auto"/>
            </w:tcBorders>
            <w:shd w:val="clear" w:color="auto" w:fill="F3F9FA"/>
          </w:tcPr>
          <w:p w14:paraId="6845C928"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5842DF2B" w14:textId="085223EC" w:rsidR="007D5603" w:rsidRPr="00BC7288" w:rsidRDefault="007D5603" w:rsidP="007D5603">
            <w:pPr>
              <w:spacing w:before="0" w:after="0" w:line="200" w:lineRule="exact"/>
              <w:jc w:val="center"/>
              <w:rPr>
                <w:rFonts w:asciiTheme="minorHAnsi" w:hAnsiTheme="minorHAnsi"/>
                <w:sz w:val="20"/>
                <w:szCs w:val="20"/>
              </w:rPr>
            </w:pPr>
            <w:r>
              <w:t>7.764</w:t>
            </w:r>
          </w:p>
        </w:tc>
        <w:tc>
          <w:tcPr>
            <w:tcW w:w="992" w:type="dxa"/>
            <w:tcBorders>
              <w:bottom w:val="single" w:sz="4" w:space="0" w:color="auto"/>
            </w:tcBorders>
            <w:shd w:val="clear" w:color="auto" w:fill="F3F9FA"/>
          </w:tcPr>
          <w:p w14:paraId="18785415" w14:textId="64EA4DDE" w:rsidR="007D5603" w:rsidRPr="00BC7288" w:rsidRDefault="007D5603" w:rsidP="007D5603">
            <w:pPr>
              <w:spacing w:before="0" w:after="0" w:line="200" w:lineRule="exact"/>
              <w:jc w:val="center"/>
              <w:rPr>
                <w:rFonts w:asciiTheme="minorHAnsi" w:hAnsiTheme="minorHAnsi"/>
                <w:sz w:val="20"/>
                <w:szCs w:val="20"/>
              </w:rPr>
            </w:pPr>
            <w:r>
              <w:t>53.53</w:t>
            </w:r>
          </w:p>
        </w:tc>
        <w:tc>
          <w:tcPr>
            <w:tcW w:w="997" w:type="dxa"/>
            <w:tcBorders>
              <w:bottom w:val="single" w:sz="4" w:space="0" w:color="auto"/>
            </w:tcBorders>
            <w:shd w:val="clear" w:color="auto" w:fill="F3F9FA"/>
          </w:tcPr>
          <w:p w14:paraId="5B3E6CD7" w14:textId="015417D9"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tcBorders>
              <w:bottom w:val="single" w:sz="4" w:space="0" w:color="auto"/>
            </w:tcBorders>
            <w:shd w:val="clear" w:color="auto" w:fill="F3F9FA"/>
          </w:tcPr>
          <w:p w14:paraId="04E24B53" w14:textId="77777777" w:rsidR="007D5603" w:rsidRPr="00BC7288" w:rsidRDefault="007D5603" w:rsidP="007D5603">
            <w:pPr>
              <w:spacing w:before="0" w:after="0" w:line="200" w:lineRule="exact"/>
              <w:jc w:val="center"/>
              <w:rPr>
                <w:rFonts w:asciiTheme="minorHAnsi" w:hAnsiTheme="minorHAnsi"/>
                <w:sz w:val="20"/>
                <w:szCs w:val="20"/>
              </w:rPr>
            </w:pPr>
          </w:p>
        </w:tc>
      </w:tr>
      <w:tr w:rsidR="00810B9D" w:rsidRPr="00BC7288" w14:paraId="155D1483" w14:textId="77777777" w:rsidTr="00245D08">
        <w:trPr>
          <w:trHeight w:val="20"/>
        </w:trPr>
        <w:tc>
          <w:tcPr>
            <w:tcW w:w="4528" w:type="dxa"/>
            <w:tcBorders>
              <w:top w:val="single" w:sz="4" w:space="0" w:color="auto"/>
            </w:tcBorders>
            <w:shd w:val="clear" w:color="auto" w:fill="E7F3F4"/>
            <w:vAlign w:val="center"/>
          </w:tcPr>
          <w:p w14:paraId="0CFCEFB6" w14:textId="655E3AC7" w:rsidR="007C508F" w:rsidRPr="00BC7288" w:rsidRDefault="007D5603" w:rsidP="00810B9D">
            <w:pPr>
              <w:spacing w:before="0" w:after="0" w:line="200" w:lineRule="exact"/>
              <w:rPr>
                <w:rFonts w:asciiTheme="minorHAnsi" w:hAnsiTheme="minorHAnsi"/>
                <w:b/>
                <w:sz w:val="20"/>
                <w:szCs w:val="20"/>
              </w:rPr>
            </w:pPr>
            <w:r w:rsidRPr="007D5603">
              <w:rPr>
                <w:rFonts w:asciiTheme="minorHAnsi" w:hAnsiTheme="minorHAnsi"/>
                <w:b/>
                <w:caps/>
                <w:sz w:val="20"/>
                <w:szCs w:val="20"/>
              </w:rPr>
              <w:t>Northern Wet Tropics</w:t>
            </w:r>
          </w:p>
        </w:tc>
        <w:tc>
          <w:tcPr>
            <w:tcW w:w="850" w:type="dxa"/>
            <w:tcBorders>
              <w:top w:val="single" w:sz="4" w:space="0" w:color="auto"/>
            </w:tcBorders>
            <w:shd w:val="clear" w:color="auto" w:fill="E7F3F4"/>
            <w:vAlign w:val="center"/>
          </w:tcPr>
          <w:p w14:paraId="5E84DA61" w14:textId="77777777"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29BA9D19" w14:textId="77777777"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7298419" w14:textId="77777777"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0EBD9FE2" w14:textId="77777777"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1BAB4AB0" w14:textId="77777777"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14:paraId="04422C20" w14:textId="77777777" w:rsidTr="00245D08">
        <w:trPr>
          <w:trHeight w:val="20"/>
        </w:trPr>
        <w:tc>
          <w:tcPr>
            <w:tcW w:w="4528" w:type="dxa"/>
            <w:shd w:val="clear" w:color="auto" w:fill="F3F9FA"/>
            <w:vAlign w:val="center"/>
          </w:tcPr>
          <w:p w14:paraId="2EE89F83" w14:textId="35170778" w:rsidR="007C508F" w:rsidRPr="00BC7288" w:rsidRDefault="0063478C" w:rsidP="00810B9D">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C508F" w:rsidRPr="00BC7288">
              <w:rPr>
                <w:rFonts w:asciiTheme="minorHAnsi" w:hAnsiTheme="minorHAnsi"/>
                <w:sz w:val="20"/>
                <w:szCs w:val="20"/>
              </w:rPr>
              <w:t xml:space="preserve"> </w:t>
            </w:r>
            <w:r w:rsidR="007C508F" w:rsidRPr="00BC7288">
              <w:rPr>
                <w:rFonts w:asciiTheme="minorHAnsi" w:hAnsiTheme="minorHAnsi"/>
                <w:caps/>
                <w:sz w:val="20"/>
                <w:szCs w:val="20"/>
              </w:rPr>
              <w:t>cover = s(date) + random(site)</w:t>
            </w:r>
          </w:p>
        </w:tc>
        <w:tc>
          <w:tcPr>
            <w:tcW w:w="850" w:type="dxa"/>
            <w:shd w:val="clear" w:color="auto" w:fill="F3F9FA"/>
            <w:vAlign w:val="center"/>
          </w:tcPr>
          <w:p w14:paraId="2D3C27BA"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14:paraId="77CCDAD1"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8.733</w:t>
            </w:r>
          </w:p>
        </w:tc>
        <w:tc>
          <w:tcPr>
            <w:tcW w:w="992" w:type="dxa"/>
            <w:shd w:val="clear" w:color="auto" w:fill="F3F9FA"/>
            <w:vAlign w:val="center"/>
          </w:tcPr>
          <w:p w14:paraId="08F3726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188.8</w:t>
            </w:r>
          </w:p>
        </w:tc>
        <w:tc>
          <w:tcPr>
            <w:tcW w:w="997" w:type="dxa"/>
            <w:shd w:val="clear" w:color="auto" w:fill="F3F9FA"/>
            <w:vAlign w:val="center"/>
          </w:tcPr>
          <w:p w14:paraId="7E777675"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48085F7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0.0467</w:t>
            </w:r>
          </w:p>
        </w:tc>
      </w:tr>
      <w:tr w:rsidR="00810B9D" w:rsidRPr="00BC7288" w14:paraId="5376333B" w14:textId="77777777" w:rsidTr="00245D08">
        <w:trPr>
          <w:trHeight w:val="20"/>
        </w:trPr>
        <w:tc>
          <w:tcPr>
            <w:tcW w:w="4528" w:type="dxa"/>
            <w:shd w:val="clear" w:color="auto" w:fill="F3F9FA"/>
            <w:vAlign w:val="center"/>
          </w:tcPr>
          <w:p w14:paraId="79A37255" w14:textId="4F86442F" w:rsidR="007C508F" w:rsidRPr="00BC7288" w:rsidRDefault="0063478C" w:rsidP="00810B9D">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C508F" w:rsidRPr="00BC7288">
              <w:rPr>
                <w:rFonts w:asciiTheme="minorHAnsi" w:hAnsiTheme="minorHAnsi"/>
                <w:sz w:val="20"/>
                <w:szCs w:val="20"/>
              </w:rPr>
              <w:t xml:space="preserve"> </w:t>
            </w:r>
            <w:r w:rsidR="007C508F" w:rsidRPr="00BC7288">
              <w:rPr>
                <w:rFonts w:asciiTheme="minorHAnsi" w:hAnsiTheme="minorHAnsi"/>
                <w:caps/>
                <w:sz w:val="20"/>
                <w:szCs w:val="20"/>
              </w:rPr>
              <w:t>cover = s(date) + habitat + random(site)</w:t>
            </w:r>
          </w:p>
        </w:tc>
        <w:tc>
          <w:tcPr>
            <w:tcW w:w="850" w:type="dxa"/>
            <w:shd w:val="clear" w:color="auto" w:fill="F3F9FA"/>
            <w:vAlign w:val="center"/>
          </w:tcPr>
          <w:p w14:paraId="0E66154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14:paraId="7D4A0127"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1B1B2B42" w14:textId="77777777"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14:paraId="7C5740A4" w14:textId="77777777"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14:paraId="3A57C03A"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0.138</w:t>
            </w:r>
          </w:p>
        </w:tc>
      </w:tr>
      <w:tr w:rsidR="00810B9D" w:rsidRPr="00BC7288" w14:paraId="58899D30" w14:textId="77777777" w:rsidTr="00245D08">
        <w:trPr>
          <w:trHeight w:val="20"/>
        </w:trPr>
        <w:tc>
          <w:tcPr>
            <w:tcW w:w="4528" w:type="dxa"/>
            <w:shd w:val="clear" w:color="auto" w:fill="F3F9FA"/>
            <w:vAlign w:val="center"/>
          </w:tcPr>
          <w:p w14:paraId="7898472E"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14:paraId="04EFAD5F"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79DABA26"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8.557</w:t>
            </w:r>
          </w:p>
        </w:tc>
        <w:tc>
          <w:tcPr>
            <w:tcW w:w="992" w:type="dxa"/>
            <w:shd w:val="clear" w:color="auto" w:fill="F3F9FA"/>
            <w:vAlign w:val="center"/>
          </w:tcPr>
          <w:p w14:paraId="57243D3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158.40</w:t>
            </w:r>
          </w:p>
        </w:tc>
        <w:tc>
          <w:tcPr>
            <w:tcW w:w="997" w:type="dxa"/>
            <w:shd w:val="clear" w:color="auto" w:fill="F3F9FA"/>
            <w:vAlign w:val="center"/>
          </w:tcPr>
          <w:p w14:paraId="244C3E2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1BF9C865"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67007219" w14:textId="77777777" w:rsidTr="00245D08">
        <w:trPr>
          <w:trHeight w:val="20"/>
        </w:trPr>
        <w:tc>
          <w:tcPr>
            <w:tcW w:w="4528" w:type="dxa"/>
            <w:shd w:val="clear" w:color="auto" w:fill="F3F9FA"/>
            <w:vAlign w:val="center"/>
          </w:tcPr>
          <w:p w14:paraId="326013C1"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14:paraId="2AE29A5F"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5248FE62"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7.786</w:t>
            </w:r>
          </w:p>
        </w:tc>
        <w:tc>
          <w:tcPr>
            <w:tcW w:w="992" w:type="dxa"/>
            <w:shd w:val="clear" w:color="auto" w:fill="F3F9FA"/>
            <w:vAlign w:val="center"/>
          </w:tcPr>
          <w:p w14:paraId="5553E791"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79.88</w:t>
            </w:r>
          </w:p>
        </w:tc>
        <w:tc>
          <w:tcPr>
            <w:tcW w:w="997" w:type="dxa"/>
            <w:shd w:val="clear" w:color="auto" w:fill="F3F9FA"/>
            <w:vAlign w:val="center"/>
          </w:tcPr>
          <w:p w14:paraId="0EE78A15"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63A90A63"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2A9C7709" w14:textId="77777777" w:rsidTr="00245D08">
        <w:trPr>
          <w:trHeight w:val="20"/>
        </w:trPr>
        <w:tc>
          <w:tcPr>
            <w:tcW w:w="4528" w:type="dxa"/>
            <w:shd w:val="clear" w:color="auto" w:fill="F3F9FA"/>
            <w:vAlign w:val="center"/>
          </w:tcPr>
          <w:p w14:paraId="172605C5"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w:t>
            </w:r>
          </w:p>
        </w:tc>
        <w:tc>
          <w:tcPr>
            <w:tcW w:w="850" w:type="dxa"/>
            <w:shd w:val="clear" w:color="auto" w:fill="F3F9FA"/>
            <w:vAlign w:val="center"/>
          </w:tcPr>
          <w:p w14:paraId="28B8247E"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3B5CCC0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6.173</w:t>
            </w:r>
          </w:p>
        </w:tc>
        <w:tc>
          <w:tcPr>
            <w:tcW w:w="992" w:type="dxa"/>
            <w:shd w:val="clear" w:color="auto" w:fill="F3F9FA"/>
            <w:vAlign w:val="center"/>
          </w:tcPr>
          <w:p w14:paraId="720B91E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33.37</w:t>
            </w:r>
          </w:p>
        </w:tc>
        <w:tc>
          <w:tcPr>
            <w:tcW w:w="997" w:type="dxa"/>
            <w:shd w:val="clear" w:color="auto" w:fill="F3F9FA"/>
            <w:vAlign w:val="center"/>
          </w:tcPr>
          <w:p w14:paraId="40E99D6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5D47E802"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4252327B" w14:textId="77777777" w:rsidTr="00245D08">
        <w:trPr>
          <w:trHeight w:val="20"/>
        </w:trPr>
        <w:tc>
          <w:tcPr>
            <w:tcW w:w="4528" w:type="dxa"/>
            <w:shd w:val="clear" w:color="auto" w:fill="F3F9FA"/>
            <w:vAlign w:val="center"/>
          </w:tcPr>
          <w:p w14:paraId="4F8F53BC" w14:textId="6CF2A4C0" w:rsidR="007C508F" w:rsidRPr="00BC7288" w:rsidRDefault="0063478C" w:rsidP="00810B9D">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C508F" w:rsidRPr="00BC7288">
              <w:rPr>
                <w:rFonts w:asciiTheme="minorHAnsi" w:hAnsiTheme="minorHAnsi"/>
                <w:sz w:val="20"/>
                <w:szCs w:val="20"/>
              </w:rPr>
              <w:t xml:space="preserve"> </w:t>
            </w:r>
            <w:r w:rsidR="007C508F" w:rsidRPr="00BC7288">
              <w:rPr>
                <w:rFonts w:asciiTheme="minorHAnsi" w:hAnsiTheme="minorHAnsi"/>
                <w:caps/>
                <w:sz w:val="20"/>
                <w:szCs w:val="20"/>
              </w:rPr>
              <w:t>cover = s(date) + Location + random(site)</w:t>
            </w:r>
          </w:p>
        </w:tc>
        <w:tc>
          <w:tcPr>
            <w:tcW w:w="850" w:type="dxa"/>
            <w:shd w:val="clear" w:color="auto" w:fill="F3F9FA"/>
            <w:vAlign w:val="center"/>
          </w:tcPr>
          <w:p w14:paraId="488C275E"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14:paraId="43CF1358"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7A25FAC5" w14:textId="77777777"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14:paraId="1E1255AC" w14:textId="77777777"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14:paraId="406D75EF"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0.608</w:t>
            </w:r>
          </w:p>
        </w:tc>
      </w:tr>
      <w:tr w:rsidR="00810B9D" w:rsidRPr="00BC7288" w14:paraId="40468423" w14:textId="77777777" w:rsidTr="00245D08">
        <w:trPr>
          <w:trHeight w:val="20"/>
        </w:trPr>
        <w:tc>
          <w:tcPr>
            <w:tcW w:w="4528" w:type="dxa"/>
            <w:shd w:val="clear" w:color="auto" w:fill="F3F9FA"/>
            <w:vAlign w:val="center"/>
          </w:tcPr>
          <w:p w14:paraId="66677EA9"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[LI1]</w:t>
            </w:r>
          </w:p>
        </w:tc>
        <w:tc>
          <w:tcPr>
            <w:tcW w:w="850" w:type="dxa"/>
            <w:shd w:val="clear" w:color="auto" w:fill="F3F9FA"/>
            <w:vAlign w:val="center"/>
          </w:tcPr>
          <w:p w14:paraId="2B72FB67"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7523685F"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5.484</w:t>
            </w:r>
          </w:p>
        </w:tc>
        <w:tc>
          <w:tcPr>
            <w:tcW w:w="992" w:type="dxa"/>
            <w:shd w:val="clear" w:color="auto" w:fill="F3F9FA"/>
            <w:vAlign w:val="center"/>
          </w:tcPr>
          <w:p w14:paraId="6A67E91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31.34</w:t>
            </w:r>
          </w:p>
        </w:tc>
        <w:tc>
          <w:tcPr>
            <w:tcW w:w="997" w:type="dxa"/>
            <w:shd w:val="clear" w:color="auto" w:fill="F3F9FA"/>
            <w:vAlign w:val="center"/>
          </w:tcPr>
          <w:p w14:paraId="2F650206"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510B79A5"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2C368C3F" w14:textId="77777777" w:rsidTr="00245D08">
        <w:trPr>
          <w:trHeight w:val="20"/>
        </w:trPr>
        <w:tc>
          <w:tcPr>
            <w:tcW w:w="4528" w:type="dxa"/>
            <w:shd w:val="clear" w:color="auto" w:fill="F3F9FA"/>
            <w:vAlign w:val="center"/>
          </w:tcPr>
          <w:p w14:paraId="6C47FA58"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[LI2]</w:t>
            </w:r>
          </w:p>
        </w:tc>
        <w:tc>
          <w:tcPr>
            <w:tcW w:w="850" w:type="dxa"/>
            <w:shd w:val="clear" w:color="auto" w:fill="F3F9FA"/>
            <w:vAlign w:val="center"/>
          </w:tcPr>
          <w:p w14:paraId="205BF4B0"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02C6BB0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5.536</w:t>
            </w:r>
          </w:p>
        </w:tc>
        <w:tc>
          <w:tcPr>
            <w:tcW w:w="992" w:type="dxa"/>
            <w:shd w:val="clear" w:color="auto" w:fill="F3F9FA"/>
            <w:vAlign w:val="center"/>
          </w:tcPr>
          <w:p w14:paraId="1D0128F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30.07</w:t>
            </w:r>
          </w:p>
        </w:tc>
        <w:tc>
          <w:tcPr>
            <w:tcW w:w="997" w:type="dxa"/>
            <w:shd w:val="clear" w:color="auto" w:fill="F3F9FA"/>
            <w:vAlign w:val="center"/>
          </w:tcPr>
          <w:p w14:paraId="508DABD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6606C167"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1F0066D6" w14:textId="77777777" w:rsidTr="00245D08">
        <w:trPr>
          <w:trHeight w:val="20"/>
        </w:trPr>
        <w:tc>
          <w:tcPr>
            <w:tcW w:w="4528" w:type="dxa"/>
            <w:shd w:val="clear" w:color="auto" w:fill="F3F9FA"/>
            <w:vAlign w:val="center"/>
          </w:tcPr>
          <w:p w14:paraId="43AF2215"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[YP]</w:t>
            </w:r>
          </w:p>
        </w:tc>
        <w:tc>
          <w:tcPr>
            <w:tcW w:w="850" w:type="dxa"/>
            <w:shd w:val="clear" w:color="auto" w:fill="F3F9FA"/>
            <w:vAlign w:val="center"/>
          </w:tcPr>
          <w:p w14:paraId="30BB4743"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1BA9A1B2"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8.605</w:t>
            </w:r>
          </w:p>
        </w:tc>
        <w:tc>
          <w:tcPr>
            <w:tcW w:w="992" w:type="dxa"/>
            <w:shd w:val="clear" w:color="auto" w:fill="F3F9FA"/>
            <w:vAlign w:val="center"/>
          </w:tcPr>
          <w:p w14:paraId="55ACE0A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134.90</w:t>
            </w:r>
          </w:p>
        </w:tc>
        <w:tc>
          <w:tcPr>
            <w:tcW w:w="997" w:type="dxa"/>
            <w:shd w:val="clear" w:color="auto" w:fill="F3F9FA"/>
            <w:vAlign w:val="center"/>
          </w:tcPr>
          <w:p w14:paraId="643399A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2A9B3301"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58E15942" w14:textId="77777777" w:rsidTr="00245D08">
        <w:trPr>
          <w:trHeight w:val="20"/>
        </w:trPr>
        <w:tc>
          <w:tcPr>
            <w:tcW w:w="4528" w:type="dxa"/>
            <w:shd w:val="clear" w:color="auto" w:fill="F3F9FA"/>
            <w:vAlign w:val="center"/>
          </w:tcPr>
          <w:p w14:paraId="6D75DF6E"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[GI]</w:t>
            </w:r>
          </w:p>
        </w:tc>
        <w:tc>
          <w:tcPr>
            <w:tcW w:w="850" w:type="dxa"/>
            <w:shd w:val="clear" w:color="auto" w:fill="F3F9FA"/>
            <w:vAlign w:val="center"/>
          </w:tcPr>
          <w:p w14:paraId="5E0967EF"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29E5281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6.924</w:t>
            </w:r>
          </w:p>
        </w:tc>
        <w:tc>
          <w:tcPr>
            <w:tcW w:w="992" w:type="dxa"/>
            <w:shd w:val="clear" w:color="auto" w:fill="F3F9FA"/>
            <w:vAlign w:val="center"/>
          </w:tcPr>
          <w:p w14:paraId="57400C9D"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37.14</w:t>
            </w:r>
          </w:p>
        </w:tc>
        <w:tc>
          <w:tcPr>
            <w:tcW w:w="997" w:type="dxa"/>
            <w:shd w:val="clear" w:color="auto" w:fill="F3F9FA"/>
            <w:vAlign w:val="center"/>
          </w:tcPr>
          <w:p w14:paraId="4F30D27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1F0689CE"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45F596F8" w14:textId="77777777" w:rsidTr="00245D08">
        <w:trPr>
          <w:trHeight w:val="20"/>
        </w:trPr>
        <w:tc>
          <w:tcPr>
            <w:tcW w:w="4528" w:type="dxa"/>
            <w:shd w:val="clear" w:color="auto" w:fill="F3F9FA"/>
            <w:vAlign w:val="center"/>
          </w:tcPr>
          <w:p w14:paraId="582A265F"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[GI3]</w:t>
            </w:r>
          </w:p>
        </w:tc>
        <w:tc>
          <w:tcPr>
            <w:tcW w:w="850" w:type="dxa"/>
            <w:shd w:val="clear" w:color="auto" w:fill="F3F9FA"/>
            <w:vAlign w:val="center"/>
          </w:tcPr>
          <w:p w14:paraId="640EEBD7"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2B7A957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5.917</w:t>
            </w:r>
          </w:p>
        </w:tc>
        <w:tc>
          <w:tcPr>
            <w:tcW w:w="992" w:type="dxa"/>
            <w:shd w:val="clear" w:color="auto" w:fill="F3F9FA"/>
            <w:vAlign w:val="center"/>
          </w:tcPr>
          <w:p w14:paraId="18C3A69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25.27</w:t>
            </w:r>
          </w:p>
        </w:tc>
        <w:tc>
          <w:tcPr>
            <w:tcW w:w="997" w:type="dxa"/>
            <w:shd w:val="clear" w:color="auto" w:fill="F3F9FA"/>
            <w:vAlign w:val="center"/>
          </w:tcPr>
          <w:p w14:paraId="24DB55A3"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0D711314" w14:textId="77777777" w:rsidR="007C508F" w:rsidRPr="00BC7288" w:rsidRDefault="007C508F" w:rsidP="00810B9D">
            <w:pPr>
              <w:spacing w:before="0" w:after="0" w:line="200" w:lineRule="exact"/>
              <w:jc w:val="center"/>
              <w:rPr>
                <w:rFonts w:asciiTheme="minorHAnsi" w:hAnsiTheme="minorHAnsi"/>
                <w:sz w:val="20"/>
                <w:szCs w:val="20"/>
              </w:rPr>
            </w:pPr>
          </w:p>
        </w:tc>
      </w:tr>
      <w:tr w:rsidR="007D5603" w:rsidRPr="007D5603" w14:paraId="0117B88D" w14:textId="77777777" w:rsidTr="001A3E45">
        <w:trPr>
          <w:trHeight w:val="20"/>
        </w:trPr>
        <w:tc>
          <w:tcPr>
            <w:tcW w:w="4528" w:type="dxa"/>
            <w:shd w:val="clear" w:color="auto" w:fill="E7F3F4"/>
            <w:vAlign w:val="center"/>
          </w:tcPr>
          <w:p w14:paraId="60EEBD8C" w14:textId="7365D5EB" w:rsidR="007D5603" w:rsidRPr="007D5603" w:rsidRDefault="007D5603" w:rsidP="007D5603">
            <w:pPr>
              <w:spacing w:before="0" w:after="0" w:line="200" w:lineRule="exact"/>
              <w:rPr>
                <w:rFonts w:asciiTheme="minorHAnsi" w:hAnsiTheme="minorHAnsi"/>
                <w:b/>
                <w:caps/>
                <w:sz w:val="20"/>
                <w:szCs w:val="20"/>
              </w:rPr>
            </w:pPr>
            <w:r w:rsidRPr="007D5603">
              <w:rPr>
                <w:rFonts w:asciiTheme="minorHAnsi" w:hAnsiTheme="minorHAnsi"/>
                <w:b/>
                <w:caps/>
                <w:sz w:val="20"/>
                <w:szCs w:val="20"/>
              </w:rPr>
              <w:t>Southern Wet Tropics</w:t>
            </w:r>
          </w:p>
        </w:tc>
        <w:tc>
          <w:tcPr>
            <w:tcW w:w="850" w:type="dxa"/>
            <w:shd w:val="clear" w:color="auto" w:fill="E7F3F4"/>
          </w:tcPr>
          <w:p w14:paraId="41EA8F75" w14:textId="71AB2DF4" w:rsidR="007D5603" w:rsidRPr="007D5603" w:rsidRDefault="007D5603" w:rsidP="007D5603">
            <w:pPr>
              <w:spacing w:before="0" w:after="0" w:line="200" w:lineRule="exact"/>
              <w:jc w:val="center"/>
              <w:rPr>
                <w:rFonts w:asciiTheme="minorHAnsi" w:hAnsiTheme="minorHAnsi"/>
                <w:b/>
                <w:sz w:val="20"/>
                <w:szCs w:val="20"/>
              </w:rPr>
            </w:pPr>
          </w:p>
        </w:tc>
        <w:tc>
          <w:tcPr>
            <w:tcW w:w="992" w:type="dxa"/>
            <w:shd w:val="clear" w:color="auto" w:fill="E7F3F4"/>
          </w:tcPr>
          <w:p w14:paraId="5E8E4F0C" w14:textId="46742B3A" w:rsidR="007D5603" w:rsidRPr="007D5603" w:rsidRDefault="007D5603" w:rsidP="007D5603">
            <w:pPr>
              <w:spacing w:before="0" w:after="0" w:line="200" w:lineRule="exact"/>
              <w:jc w:val="center"/>
              <w:rPr>
                <w:rFonts w:asciiTheme="minorHAnsi" w:hAnsiTheme="minorHAnsi"/>
                <w:b/>
                <w:sz w:val="20"/>
                <w:szCs w:val="20"/>
              </w:rPr>
            </w:pPr>
          </w:p>
        </w:tc>
        <w:tc>
          <w:tcPr>
            <w:tcW w:w="992" w:type="dxa"/>
            <w:shd w:val="clear" w:color="auto" w:fill="E7F3F4"/>
          </w:tcPr>
          <w:p w14:paraId="147B6D82" w14:textId="3FDAC2E9" w:rsidR="007D5603" w:rsidRPr="007D5603" w:rsidRDefault="007D5603" w:rsidP="007D5603">
            <w:pPr>
              <w:spacing w:before="0" w:after="0" w:line="200" w:lineRule="exact"/>
              <w:jc w:val="center"/>
              <w:rPr>
                <w:rFonts w:asciiTheme="minorHAnsi" w:hAnsiTheme="minorHAnsi"/>
                <w:b/>
                <w:sz w:val="20"/>
                <w:szCs w:val="20"/>
              </w:rPr>
            </w:pPr>
          </w:p>
        </w:tc>
        <w:tc>
          <w:tcPr>
            <w:tcW w:w="997" w:type="dxa"/>
            <w:shd w:val="clear" w:color="auto" w:fill="E7F3F4"/>
          </w:tcPr>
          <w:p w14:paraId="5E24C826" w14:textId="55D74E11" w:rsidR="007D5603" w:rsidRPr="007D5603" w:rsidRDefault="007D5603" w:rsidP="007D5603">
            <w:pPr>
              <w:spacing w:before="0" w:after="0" w:line="200" w:lineRule="exact"/>
              <w:jc w:val="center"/>
              <w:rPr>
                <w:rFonts w:asciiTheme="minorHAnsi" w:hAnsiTheme="minorHAnsi"/>
                <w:b/>
                <w:sz w:val="20"/>
                <w:szCs w:val="20"/>
              </w:rPr>
            </w:pPr>
          </w:p>
        </w:tc>
        <w:tc>
          <w:tcPr>
            <w:tcW w:w="850" w:type="dxa"/>
            <w:shd w:val="clear" w:color="auto" w:fill="E7F3F4"/>
          </w:tcPr>
          <w:p w14:paraId="441F5549" w14:textId="77D58835" w:rsidR="007D5603" w:rsidRPr="007D5603" w:rsidRDefault="007D5603" w:rsidP="007D5603">
            <w:pPr>
              <w:spacing w:before="0" w:after="0" w:line="200" w:lineRule="exact"/>
              <w:jc w:val="center"/>
              <w:rPr>
                <w:rFonts w:asciiTheme="minorHAnsi" w:hAnsiTheme="minorHAnsi"/>
                <w:b/>
                <w:sz w:val="20"/>
                <w:szCs w:val="20"/>
              </w:rPr>
            </w:pPr>
          </w:p>
        </w:tc>
      </w:tr>
      <w:tr w:rsidR="007D5603" w:rsidRPr="00BC7288" w14:paraId="0D00E41D" w14:textId="77777777" w:rsidTr="00C362ED">
        <w:trPr>
          <w:trHeight w:val="20"/>
        </w:trPr>
        <w:tc>
          <w:tcPr>
            <w:tcW w:w="4528" w:type="dxa"/>
            <w:shd w:val="clear" w:color="auto" w:fill="F3F9FA"/>
            <w:vAlign w:val="center"/>
          </w:tcPr>
          <w:p w14:paraId="7F34624B" w14:textId="33A7463F" w:rsidR="007D5603" w:rsidRPr="00BC7288" w:rsidRDefault="0063478C" w:rsidP="007D5603">
            <w:pPr>
              <w:tabs>
                <w:tab w:val="left" w:pos="548"/>
              </w:tabs>
              <w:spacing w:before="0" w:after="0" w:line="200" w:lineRule="exact"/>
              <w:rPr>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random(site)</w:t>
            </w:r>
          </w:p>
        </w:tc>
        <w:tc>
          <w:tcPr>
            <w:tcW w:w="850" w:type="dxa"/>
            <w:shd w:val="clear" w:color="auto" w:fill="F3F9FA"/>
          </w:tcPr>
          <w:p w14:paraId="17ABDF3E" w14:textId="07FE6843" w:rsidR="007D5603" w:rsidRDefault="007D5603" w:rsidP="007D5603">
            <w:pPr>
              <w:spacing w:before="0" w:after="0" w:line="200" w:lineRule="exact"/>
              <w:jc w:val="center"/>
            </w:pPr>
            <w:r>
              <w:t>5187</w:t>
            </w:r>
          </w:p>
        </w:tc>
        <w:tc>
          <w:tcPr>
            <w:tcW w:w="992" w:type="dxa"/>
            <w:shd w:val="clear" w:color="auto" w:fill="F3F9FA"/>
          </w:tcPr>
          <w:p w14:paraId="37A01B13" w14:textId="45F2813F" w:rsidR="007D5603" w:rsidRPr="00BC7288" w:rsidRDefault="007D5603" w:rsidP="007D5603">
            <w:pPr>
              <w:spacing w:before="0" w:after="0" w:line="200" w:lineRule="exact"/>
              <w:jc w:val="center"/>
              <w:rPr>
                <w:rFonts w:asciiTheme="minorHAnsi" w:hAnsiTheme="minorHAnsi"/>
                <w:sz w:val="20"/>
                <w:szCs w:val="20"/>
              </w:rPr>
            </w:pPr>
            <w:r>
              <w:t>8.349</w:t>
            </w:r>
          </w:p>
        </w:tc>
        <w:tc>
          <w:tcPr>
            <w:tcW w:w="992" w:type="dxa"/>
            <w:shd w:val="clear" w:color="auto" w:fill="F3F9FA"/>
          </w:tcPr>
          <w:p w14:paraId="143B81AB" w14:textId="03551C7E" w:rsidR="007D5603" w:rsidRPr="00BC7288" w:rsidRDefault="007D5603" w:rsidP="007D5603">
            <w:pPr>
              <w:spacing w:before="0" w:after="0" w:line="200" w:lineRule="exact"/>
              <w:jc w:val="center"/>
              <w:rPr>
                <w:rFonts w:asciiTheme="minorHAnsi" w:hAnsiTheme="minorHAnsi"/>
                <w:sz w:val="20"/>
                <w:szCs w:val="20"/>
              </w:rPr>
            </w:pPr>
            <w:r w:rsidRPr="00B42580">
              <w:t>188.8</w:t>
            </w:r>
          </w:p>
        </w:tc>
        <w:tc>
          <w:tcPr>
            <w:tcW w:w="997" w:type="dxa"/>
            <w:shd w:val="clear" w:color="auto" w:fill="F3F9FA"/>
          </w:tcPr>
          <w:p w14:paraId="49EA47D3" w14:textId="7332AFA3"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3BD2472A" w14:textId="7A890450" w:rsidR="007D5603" w:rsidRDefault="007D5603" w:rsidP="007D5603">
            <w:pPr>
              <w:spacing w:before="0" w:after="0" w:line="200" w:lineRule="exact"/>
              <w:jc w:val="center"/>
            </w:pPr>
            <w:r>
              <w:t>0.279</w:t>
            </w:r>
          </w:p>
        </w:tc>
      </w:tr>
      <w:tr w:rsidR="007D5603" w:rsidRPr="00BC7288" w14:paraId="02C3E01D" w14:textId="77777777" w:rsidTr="00C362ED">
        <w:trPr>
          <w:trHeight w:val="20"/>
        </w:trPr>
        <w:tc>
          <w:tcPr>
            <w:tcW w:w="4528" w:type="dxa"/>
            <w:shd w:val="clear" w:color="auto" w:fill="F3F9FA"/>
            <w:vAlign w:val="center"/>
          </w:tcPr>
          <w:p w14:paraId="66F89E84" w14:textId="333EB954" w:rsidR="007D5603" w:rsidRPr="00BC7288" w:rsidRDefault="0063478C" w:rsidP="007D5603">
            <w:pPr>
              <w:tabs>
                <w:tab w:val="left" w:pos="548"/>
              </w:tabs>
              <w:spacing w:before="0" w:after="0" w:line="200" w:lineRule="exact"/>
              <w:rPr>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habitat + random(site)</w:t>
            </w:r>
          </w:p>
        </w:tc>
        <w:tc>
          <w:tcPr>
            <w:tcW w:w="850" w:type="dxa"/>
            <w:shd w:val="clear" w:color="auto" w:fill="F3F9FA"/>
          </w:tcPr>
          <w:p w14:paraId="6AE60E62" w14:textId="75776AD1" w:rsidR="007D5603" w:rsidRDefault="007D5603" w:rsidP="007D5603">
            <w:pPr>
              <w:spacing w:before="0" w:after="0" w:line="200" w:lineRule="exact"/>
              <w:jc w:val="center"/>
            </w:pPr>
            <w:r>
              <w:t>5187</w:t>
            </w:r>
          </w:p>
        </w:tc>
        <w:tc>
          <w:tcPr>
            <w:tcW w:w="992" w:type="dxa"/>
            <w:shd w:val="clear" w:color="auto" w:fill="F3F9FA"/>
          </w:tcPr>
          <w:p w14:paraId="16C2BD0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47DAF0CA"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35544C27"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7DFA34AE" w14:textId="0149DA93" w:rsidR="007D5603" w:rsidRDefault="007D5603" w:rsidP="007D5603">
            <w:pPr>
              <w:spacing w:before="0" w:after="0" w:line="200" w:lineRule="exact"/>
              <w:jc w:val="center"/>
            </w:pPr>
            <w:r>
              <w:t>0.368</w:t>
            </w:r>
          </w:p>
        </w:tc>
      </w:tr>
      <w:tr w:rsidR="007D5603" w:rsidRPr="00BC7288" w14:paraId="553E6B52" w14:textId="77777777" w:rsidTr="00C362ED">
        <w:trPr>
          <w:trHeight w:val="20"/>
        </w:trPr>
        <w:tc>
          <w:tcPr>
            <w:tcW w:w="4528" w:type="dxa"/>
            <w:shd w:val="clear" w:color="auto" w:fill="F3F9FA"/>
            <w:vAlign w:val="center"/>
          </w:tcPr>
          <w:p w14:paraId="5B801CC8" w14:textId="35F44702"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5CDD0F9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27AB8253" w14:textId="303E2E2D" w:rsidR="007D5603" w:rsidRPr="00BC7288" w:rsidRDefault="007D5603" w:rsidP="007D5603">
            <w:pPr>
              <w:spacing w:before="0" w:after="0" w:line="200" w:lineRule="exact"/>
              <w:jc w:val="center"/>
              <w:rPr>
                <w:rFonts w:asciiTheme="minorHAnsi" w:hAnsiTheme="minorHAnsi"/>
                <w:sz w:val="20"/>
                <w:szCs w:val="20"/>
              </w:rPr>
            </w:pPr>
            <w:r>
              <w:t>4.933</w:t>
            </w:r>
          </w:p>
        </w:tc>
        <w:tc>
          <w:tcPr>
            <w:tcW w:w="992" w:type="dxa"/>
            <w:shd w:val="clear" w:color="auto" w:fill="F3F9FA"/>
          </w:tcPr>
          <w:p w14:paraId="79B370A8" w14:textId="5C7E4784" w:rsidR="007D5603" w:rsidRPr="00BC7288" w:rsidRDefault="007D5603" w:rsidP="007D5603">
            <w:pPr>
              <w:spacing w:before="0" w:after="0" w:line="200" w:lineRule="exact"/>
              <w:jc w:val="center"/>
              <w:rPr>
                <w:rFonts w:asciiTheme="minorHAnsi" w:hAnsiTheme="minorHAnsi"/>
                <w:sz w:val="20"/>
                <w:szCs w:val="20"/>
              </w:rPr>
            </w:pPr>
            <w:r>
              <w:t>66.08</w:t>
            </w:r>
          </w:p>
        </w:tc>
        <w:tc>
          <w:tcPr>
            <w:tcW w:w="997" w:type="dxa"/>
            <w:shd w:val="clear" w:color="auto" w:fill="F3F9FA"/>
          </w:tcPr>
          <w:p w14:paraId="73F5DA4F" w14:textId="738A849E" w:rsidR="007D5603" w:rsidRPr="00BC7288" w:rsidRDefault="007D5603" w:rsidP="007D5603">
            <w:pPr>
              <w:spacing w:before="0" w:after="0" w:line="200" w:lineRule="exact"/>
              <w:jc w:val="center"/>
              <w:rPr>
                <w:rFonts w:asciiTheme="minorHAnsi" w:hAnsiTheme="minorHAnsi"/>
                <w:sz w:val="20"/>
                <w:szCs w:val="20"/>
              </w:rPr>
            </w:pPr>
            <w:r w:rsidRPr="00B42580">
              <w:t>&lt;2e-16</w:t>
            </w:r>
          </w:p>
        </w:tc>
        <w:tc>
          <w:tcPr>
            <w:tcW w:w="850" w:type="dxa"/>
            <w:shd w:val="clear" w:color="auto" w:fill="F3F9FA"/>
          </w:tcPr>
          <w:p w14:paraId="39C4FD83"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DE5F172" w14:textId="77777777" w:rsidTr="00C362ED">
        <w:trPr>
          <w:trHeight w:val="20"/>
        </w:trPr>
        <w:tc>
          <w:tcPr>
            <w:tcW w:w="4528" w:type="dxa"/>
            <w:shd w:val="clear" w:color="auto" w:fill="F3F9FA"/>
            <w:vAlign w:val="center"/>
          </w:tcPr>
          <w:p w14:paraId="721656D5" w14:textId="7754F396"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5E0E2B1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097884A" w14:textId="240E904B" w:rsidR="007D5603" w:rsidRPr="00BC7288" w:rsidRDefault="007D5603" w:rsidP="007D5603">
            <w:pPr>
              <w:spacing w:before="0" w:after="0" w:line="200" w:lineRule="exact"/>
              <w:jc w:val="center"/>
              <w:rPr>
                <w:rFonts w:asciiTheme="minorHAnsi" w:hAnsiTheme="minorHAnsi"/>
                <w:sz w:val="20"/>
                <w:szCs w:val="20"/>
              </w:rPr>
            </w:pPr>
            <w:r>
              <w:t>7.435</w:t>
            </w:r>
          </w:p>
        </w:tc>
        <w:tc>
          <w:tcPr>
            <w:tcW w:w="992" w:type="dxa"/>
            <w:shd w:val="clear" w:color="auto" w:fill="F3F9FA"/>
          </w:tcPr>
          <w:p w14:paraId="3054598C" w14:textId="5DC2607D" w:rsidR="007D5603" w:rsidRPr="00BC7288" w:rsidRDefault="007D5603" w:rsidP="007D5603">
            <w:pPr>
              <w:spacing w:before="0" w:after="0" w:line="200" w:lineRule="exact"/>
              <w:jc w:val="center"/>
              <w:rPr>
                <w:rFonts w:asciiTheme="minorHAnsi" w:hAnsiTheme="minorHAnsi"/>
                <w:sz w:val="20"/>
                <w:szCs w:val="20"/>
              </w:rPr>
            </w:pPr>
            <w:r>
              <w:t>244.37</w:t>
            </w:r>
          </w:p>
        </w:tc>
        <w:tc>
          <w:tcPr>
            <w:tcW w:w="997" w:type="dxa"/>
            <w:shd w:val="clear" w:color="auto" w:fill="F3F9FA"/>
          </w:tcPr>
          <w:p w14:paraId="2EFC2175" w14:textId="04FC940C" w:rsidR="007D5603" w:rsidRPr="00BC7288" w:rsidRDefault="007D5603" w:rsidP="007D5603">
            <w:pPr>
              <w:spacing w:before="0" w:after="0" w:line="200" w:lineRule="exact"/>
              <w:jc w:val="center"/>
              <w:rPr>
                <w:rFonts w:asciiTheme="minorHAnsi" w:hAnsiTheme="minorHAnsi"/>
                <w:sz w:val="20"/>
                <w:szCs w:val="20"/>
              </w:rPr>
            </w:pPr>
            <w:r w:rsidRPr="00B42580">
              <w:t>&lt;2e-16</w:t>
            </w:r>
          </w:p>
        </w:tc>
        <w:tc>
          <w:tcPr>
            <w:tcW w:w="850" w:type="dxa"/>
            <w:shd w:val="clear" w:color="auto" w:fill="F3F9FA"/>
          </w:tcPr>
          <w:p w14:paraId="199C57ED"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6B613C5" w14:textId="77777777" w:rsidTr="00C362ED">
        <w:trPr>
          <w:trHeight w:val="20"/>
        </w:trPr>
        <w:tc>
          <w:tcPr>
            <w:tcW w:w="4528" w:type="dxa"/>
            <w:shd w:val="clear" w:color="auto" w:fill="F3F9FA"/>
            <w:vAlign w:val="center"/>
          </w:tcPr>
          <w:p w14:paraId="327FB2A7" w14:textId="1111B5DC"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w:t>
            </w:r>
          </w:p>
        </w:tc>
        <w:tc>
          <w:tcPr>
            <w:tcW w:w="850" w:type="dxa"/>
            <w:shd w:val="clear" w:color="auto" w:fill="F3F9FA"/>
          </w:tcPr>
          <w:p w14:paraId="67F5748D"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4E8534CA" w14:textId="68C854C4" w:rsidR="007D5603" w:rsidRPr="00BC7288" w:rsidRDefault="007D5603" w:rsidP="007D5603">
            <w:pPr>
              <w:spacing w:before="0" w:after="0" w:line="200" w:lineRule="exact"/>
              <w:jc w:val="center"/>
              <w:rPr>
                <w:rFonts w:asciiTheme="minorHAnsi" w:hAnsiTheme="minorHAnsi"/>
                <w:sz w:val="20"/>
                <w:szCs w:val="20"/>
              </w:rPr>
            </w:pPr>
            <w:r>
              <w:t>7.238</w:t>
            </w:r>
          </w:p>
        </w:tc>
        <w:tc>
          <w:tcPr>
            <w:tcW w:w="992" w:type="dxa"/>
            <w:shd w:val="clear" w:color="auto" w:fill="F3F9FA"/>
          </w:tcPr>
          <w:p w14:paraId="674714FA" w14:textId="6868DD2F" w:rsidR="007D5603" w:rsidRPr="00BC7288" w:rsidRDefault="007D5603" w:rsidP="007D5603">
            <w:pPr>
              <w:spacing w:before="0" w:after="0" w:line="200" w:lineRule="exact"/>
              <w:jc w:val="center"/>
              <w:rPr>
                <w:rFonts w:asciiTheme="minorHAnsi" w:hAnsiTheme="minorHAnsi"/>
                <w:sz w:val="20"/>
                <w:szCs w:val="20"/>
              </w:rPr>
            </w:pPr>
            <w:r>
              <w:t>29.88</w:t>
            </w:r>
          </w:p>
        </w:tc>
        <w:tc>
          <w:tcPr>
            <w:tcW w:w="997" w:type="dxa"/>
            <w:shd w:val="clear" w:color="auto" w:fill="F3F9FA"/>
          </w:tcPr>
          <w:p w14:paraId="2CFCB4BB" w14:textId="19FA4931" w:rsidR="007D5603" w:rsidRPr="00BC7288" w:rsidRDefault="007D5603" w:rsidP="007D5603">
            <w:pPr>
              <w:spacing w:before="0" w:after="0" w:line="200" w:lineRule="exact"/>
              <w:jc w:val="center"/>
              <w:rPr>
                <w:rFonts w:asciiTheme="minorHAnsi" w:hAnsiTheme="minorHAnsi"/>
                <w:sz w:val="20"/>
                <w:szCs w:val="20"/>
              </w:rPr>
            </w:pPr>
            <w:r w:rsidRPr="00B42580">
              <w:t>&lt;2e-16</w:t>
            </w:r>
          </w:p>
        </w:tc>
        <w:tc>
          <w:tcPr>
            <w:tcW w:w="850" w:type="dxa"/>
            <w:shd w:val="clear" w:color="auto" w:fill="F3F9FA"/>
          </w:tcPr>
          <w:p w14:paraId="75AE31B6"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624F6A4A" w14:textId="77777777" w:rsidTr="00C362ED">
        <w:trPr>
          <w:trHeight w:val="20"/>
        </w:trPr>
        <w:tc>
          <w:tcPr>
            <w:tcW w:w="4528" w:type="dxa"/>
            <w:shd w:val="clear" w:color="auto" w:fill="F3F9FA"/>
            <w:vAlign w:val="center"/>
          </w:tcPr>
          <w:p w14:paraId="653CFA66" w14:textId="08588836" w:rsidR="007D5603" w:rsidRPr="00BC7288" w:rsidRDefault="0063478C" w:rsidP="007D5603">
            <w:pPr>
              <w:tabs>
                <w:tab w:val="left" w:pos="548"/>
              </w:tabs>
              <w:spacing w:before="0" w:after="0" w:line="200" w:lineRule="exact"/>
              <w:rPr>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Location + random(site)</w:t>
            </w:r>
          </w:p>
        </w:tc>
        <w:tc>
          <w:tcPr>
            <w:tcW w:w="850" w:type="dxa"/>
            <w:shd w:val="clear" w:color="auto" w:fill="F3F9FA"/>
          </w:tcPr>
          <w:p w14:paraId="6F5EFBEF" w14:textId="31D68C9B" w:rsidR="007D5603" w:rsidRPr="00BC7288" w:rsidRDefault="007D5603" w:rsidP="007D5603">
            <w:pPr>
              <w:spacing w:before="0" w:after="0" w:line="200" w:lineRule="exact"/>
              <w:jc w:val="center"/>
              <w:rPr>
                <w:rFonts w:asciiTheme="minorHAnsi" w:hAnsiTheme="minorHAnsi"/>
                <w:sz w:val="20"/>
                <w:szCs w:val="20"/>
              </w:rPr>
            </w:pPr>
            <w:r>
              <w:t>5187</w:t>
            </w:r>
          </w:p>
        </w:tc>
        <w:tc>
          <w:tcPr>
            <w:tcW w:w="992" w:type="dxa"/>
            <w:shd w:val="clear" w:color="auto" w:fill="F3F9FA"/>
          </w:tcPr>
          <w:p w14:paraId="29F3FAB5"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FE5C766"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7D1F5F21"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37917557" w14:textId="0EDCEBCE" w:rsidR="007D5603" w:rsidRPr="00BC7288" w:rsidRDefault="007D5603" w:rsidP="007D5603">
            <w:pPr>
              <w:spacing w:before="0" w:after="0" w:line="200" w:lineRule="exact"/>
              <w:jc w:val="center"/>
              <w:rPr>
                <w:rFonts w:asciiTheme="minorHAnsi" w:hAnsiTheme="minorHAnsi"/>
                <w:sz w:val="20"/>
                <w:szCs w:val="20"/>
              </w:rPr>
            </w:pPr>
            <w:r>
              <w:t>0.449</w:t>
            </w:r>
          </w:p>
        </w:tc>
      </w:tr>
      <w:tr w:rsidR="007D5603" w:rsidRPr="00BC7288" w14:paraId="3E544670" w14:textId="77777777" w:rsidTr="00C362ED">
        <w:trPr>
          <w:trHeight w:val="20"/>
        </w:trPr>
        <w:tc>
          <w:tcPr>
            <w:tcW w:w="4528" w:type="dxa"/>
            <w:shd w:val="clear" w:color="auto" w:fill="F3F9FA"/>
            <w:vAlign w:val="center"/>
          </w:tcPr>
          <w:p w14:paraId="3F27A708" w14:textId="59B0195E"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[LB]</w:t>
            </w:r>
          </w:p>
        </w:tc>
        <w:tc>
          <w:tcPr>
            <w:tcW w:w="850" w:type="dxa"/>
            <w:shd w:val="clear" w:color="auto" w:fill="F3F9FA"/>
          </w:tcPr>
          <w:p w14:paraId="6F3FB0ED"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797357D3" w14:textId="4C4EFAFA" w:rsidR="007D5603" w:rsidRPr="00BC7288" w:rsidRDefault="007D5603" w:rsidP="007D5603">
            <w:pPr>
              <w:spacing w:before="0" w:after="0" w:line="200" w:lineRule="exact"/>
              <w:jc w:val="center"/>
              <w:rPr>
                <w:rFonts w:asciiTheme="minorHAnsi" w:hAnsiTheme="minorHAnsi"/>
                <w:sz w:val="20"/>
                <w:szCs w:val="20"/>
              </w:rPr>
            </w:pPr>
            <w:r>
              <w:t>5.084</w:t>
            </w:r>
          </w:p>
        </w:tc>
        <w:tc>
          <w:tcPr>
            <w:tcW w:w="992" w:type="dxa"/>
            <w:shd w:val="clear" w:color="auto" w:fill="F3F9FA"/>
          </w:tcPr>
          <w:p w14:paraId="58FD30DD" w14:textId="0CFF2B0E" w:rsidR="007D5603" w:rsidRPr="00BC7288" w:rsidRDefault="007D5603" w:rsidP="007D5603">
            <w:pPr>
              <w:spacing w:before="0" w:after="0" w:line="200" w:lineRule="exact"/>
              <w:jc w:val="center"/>
              <w:rPr>
                <w:rFonts w:asciiTheme="minorHAnsi" w:hAnsiTheme="minorHAnsi"/>
                <w:sz w:val="20"/>
                <w:szCs w:val="20"/>
              </w:rPr>
            </w:pPr>
            <w:r>
              <w:t>57.56</w:t>
            </w:r>
          </w:p>
        </w:tc>
        <w:tc>
          <w:tcPr>
            <w:tcW w:w="997" w:type="dxa"/>
            <w:shd w:val="clear" w:color="auto" w:fill="F3F9FA"/>
          </w:tcPr>
          <w:p w14:paraId="044867D4" w14:textId="34237095"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68C3E5D0"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8E0615A" w14:textId="77777777" w:rsidTr="00C362ED">
        <w:trPr>
          <w:trHeight w:val="20"/>
        </w:trPr>
        <w:tc>
          <w:tcPr>
            <w:tcW w:w="4528" w:type="dxa"/>
            <w:shd w:val="clear" w:color="auto" w:fill="F3F9FA"/>
            <w:vAlign w:val="center"/>
          </w:tcPr>
          <w:p w14:paraId="538A7D6F" w14:textId="53CA1D7D"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[DI]</w:t>
            </w:r>
          </w:p>
        </w:tc>
        <w:tc>
          <w:tcPr>
            <w:tcW w:w="850" w:type="dxa"/>
            <w:shd w:val="clear" w:color="auto" w:fill="F3F9FA"/>
          </w:tcPr>
          <w:p w14:paraId="02FADA9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CA1002A" w14:textId="4EA2DC52" w:rsidR="007D5603" w:rsidRPr="00BC7288" w:rsidRDefault="007D5603" w:rsidP="007D5603">
            <w:pPr>
              <w:spacing w:before="0" w:after="0" w:line="200" w:lineRule="exact"/>
              <w:jc w:val="center"/>
              <w:rPr>
                <w:rFonts w:asciiTheme="minorHAnsi" w:hAnsiTheme="minorHAnsi"/>
                <w:sz w:val="20"/>
                <w:szCs w:val="20"/>
              </w:rPr>
            </w:pPr>
            <w:r>
              <w:t>7.511</w:t>
            </w:r>
          </w:p>
        </w:tc>
        <w:tc>
          <w:tcPr>
            <w:tcW w:w="992" w:type="dxa"/>
            <w:shd w:val="clear" w:color="auto" w:fill="F3F9FA"/>
          </w:tcPr>
          <w:p w14:paraId="77902A44" w14:textId="58EB079C" w:rsidR="007D5603" w:rsidRPr="00BC7288" w:rsidRDefault="007D5603" w:rsidP="007D5603">
            <w:pPr>
              <w:spacing w:before="0" w:after="0" w:line="200" w:lineRule="exact"/>
              <w:jc w:val="center"/>
              <w:rPr>
                <w:rFonts w:asciiTheme="minorHAnsi" w:hAnsiTheme="minorHAnsi"/>
                <w:sz w:val="20"/>
                <w:szCs w:val="20"/>
              </w:rPr>
            </w:pPr>
            <w:r>
              <w:t>122.61</w:t>
            </w:r>
          </w:p>
        </w:tc>
        <w:tc>
          <w:tcPr>
            <w:tcW w:w="997" w:type="dxa"/>
            <w:shd w:val="clear" w:color="auto" w:fill="F3F9FA"/>
          </w:tcPr>
          <w:p w14:paraId="70B26FE8" w14:textId="4B8FD2FF"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087C0534"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9748BC7" w14:textId="77777777" w:rsidTr="00C362ED">
        <w:trPr>
          <w:trHeight w:val="20"/>
        </w:trPr>
        <w:tc>
          <w:tcPr>
            <w:tcW w:w="4528" w:type="dxa"/>
            <w:shd w:val="clear" w:color="auto" w:fill="F3F9FA"/>
            <w:vAlign w:val="center"/>
          </w:tcPr>
          <w:p w14:paraId="472A087A" w14:textId="0BDA254C"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 [DI3]</w:t>
            </w:r>
          </w:p>
        </w:tc>
        <w:tc>
          <w:tcPr>
            <w:tcW w:w="850" w:type="dxa"/>
            <w:shd w:val="clear" w:color="auto" w:fill="F3F9FA"/>
          </w:tcPr>
          <w:p w14:paraId="3294049E"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7381E222" w14:textId="679E6CFB" w:rsidR="007D5603" w:rsidRPr="00BC7288" w:rsidRDefault="007D5603" w:rsidP="007D5603">
            <w:pPr>
              <w:spacing w:before="0" w:after="0" w:line="200" w:lineRule="exact"/>
              <w:jc w:val="center"/>
              <w:rPr>
                <w:rFonts w:asciiTheme="minorHAnsi" w:hAnsiTheme="minorHAnsi"/>
                <w:sz w:val="20"/>
                <w:szCs w:val="20"/>
              </w:rPr>
            </w:pPr>
            <w:r>
              <w:t>7.468</w:t>
            </w:r>
          </w:p>
        </w:tc>
        <w:tc>
          <w:tcPr>
            <w:tcW w:w="992" w:type="dxa"/>
            <w:shd w:val="clear" w:color="auto" w:fill="F3F9FA"/>
          </w:tcPr>
          <w:p w14:paraId="58CD3028" w14:textId="43C7CC0C" w:rsidR="007D5603" w:rsidRPr="00BC7288" w:rsidRDefault="007D5603" w:rsidP="007D5603">
            <w:pPr>
              <w:spacing w:before="0" w:after="0" w:line="200" w:lineRule="exact"/>
              <w:jc w:val="center"/>
              <w:rPr>
                <w:rFonts w:asciiTheme="minorHAnsi" w:hAnsiTheme="minorHAnsi"/>
                <w:sz w:val="20"/>
                <w:szCs w:val="20"/>
              </w:rPr>
            </w:pPr>
            <w:r>
              <w:t>21.89</w:t>
            </w:r>
          </w:p>
        </w:tc>
        <w:tc>
          <w:tcPr>
            <w:tcW w:w="997" w:type="dxa"/>
            <w:shd w:val="clear" w:color="auto" w:fill="F3F9FA"/>
          </w:tcPr>
          <w:p w14:paraId="52BD4778" w14:textId="62EBD3A8"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426BB7BC"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2F174993" w14:textId="77777777" w:rsidTr="00C362ED">
        <w:trPr>
          <w:trHeight w:val="20"/>
        </w:trPr>
        <w:tc>
          <w:tcPr>
            <w:tcW w:w="4528" w:type="dxa"/>
            <w:shd w:val="clear" w:color="auto" w:fill="F3F9FA"/>
            <w:vAlign w:val="center"/>
          </w:tcPr>
          <w:p w14:paraId="3B39BEC2" w14:textId="7A6F1629" w:rsidR="007D5603" w:rsidRPr="00BC7288" w:rsidRDefault="007D5603" w:rsidP="007D5603">
            <w:pPr>
              <w:tabs>
                <w:tab w:val="left" w:pos="548"/>
              </w:tabs>
              <w:spacing w:before="0" w:after="0" w:line="200" w:lineRule="exact"/>
              <w:rPr>
                <w:caps/>
                <w:sz w:val="20"/>
                <w:szCs w:val="20"/>
              </w:rPr>
            </w:pPr>
            <w:r w:rsidRPr="00BC7288">
              <w:rPr>
                <w:caps/>
                <w:sz w:val="20"/>
                <w:szCs w:val="20"/>
              </w:rPr>
              <w:tab/>
            </w:r>
            <w:r w:rsidRPr="007D5603">
              <w:rPr>
                <w:caps/>
                <w:sz w:val="20"/>
                <w:szCs w:val="20"/>
              </w:rPr>
              <w:t>Reef intertidal [GO]</w:t>
            </w:r>
          </w:p>
        </w:tc>
        <w:tc>
          <w:tcPr>
            <w:tcW w:w="850" w:type="dxa"/>
            <w:shd w:val="clear" w:color="auto" w:fill="F3F9FA"/>
          </w:tcPr>
          <w:p w14:paraId="3157E38E"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13C19894" w14:textId="0C23B212" w:rsidR="007D5603" w:rsidRPr="00BC7288" w:rsidRDefault="007D5603" w:rsidP="007D5603">
            <w:pPr>
              <w:spacing w:before="0" w:after="0" w:line="200" w:lineRule="exact"/>
              <w:jc w:val="center"/>
              <w:rPr>
                <w:rFonts w:asciiTheme="minorHAnsi" w:hAnsiTheme="minorHAnsi"/>
                <w:sz w:val="20"/>
                <w:szCs w:val="20"/>
              </w:rPr>
            </w:pPr>
            <w:r>
              <w:t>5.084</w:t>
            </w:r>
          </w:p>
        </w:tc>
        <w:tc>
          <w:tcPr>
            <w:tcW w:w="992" w:type="dxa"/>
            <w:shd w:val="clear" w:color="auto" w:fill="F3F9FA"/>
          </w:tcPr>
          <w:p w14:paraId="05071F04" w14:textId="50730E71" w:rsidR="007D5603" w:rsidRPr="00BC7288" w:rsidRDefault="007D5603" w:rsidP="007D5603">
            <w:pPr>
              <w:spacing w:before="0" w:after="0" w:line="200" w:lineRule="exact"/>
              <w:jc w:val="center"/>
              <w:rPr>
                <w:rFonts w:asciiTheme="minorHAnsi" w:hAnsiTheme="minorHAnsi"/>
                <w:sz w:val="20"/>
                <w:szCs w:val="20"/>
              </w:rPr>
            </w:pPr>
            <w:r>
              <w:t>57.56</w:t>
            </w:r>
          </w:p>
        </w:tc>
        <w:tc>
          <w:tcPr>
            <w:tcW w:w="997" w:type="dxa"/>
            <w:shd w:val="clear" w:color="auto" w:fill="F3F9FA"/>
          </w:tcPr>
          <w:p w14:paraId="7D3D873C" w14:textId="68FDDDD7"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3C79FE23"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5359D855" w14:textId="77777777" w:rsidTr="00245D08">
        <w:trPr>
          <w:trHeight w:val="20"/>
        </w:trPr>
        <w:tc>
          <w:tcPr>
            <w:tcW w:w="4528" w:type="dxa"/>
            <w:tcBorders>
              <w:top w:val="single" w:sz="4" w:space="0" w:color="auto"/>
            </w:tcBorders>
            <w:shd w:val="clear" w:color="auto" w:fill="E7F3F4"/>
            <w:vAlign w:val="center"/>
          </w:tcPr>
          <w:p w14:paraId="0C05933F"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Burdekin</w:t>
            </w:r>
          </w:p>
        </w:tc>
        <w:tc>
          <w:tcPr>
            <w:tcW w:w="850" w:type="dxa"/>
            <w:tcBorders>
              <w:top w:val="single" w:sz="4" w:space="0" w:color="auto"/>
            </w:tcBorders>
            <w:shd w:val="clear" w:color="auto" w:fill="E7F3F4"/>
            <w:vAlign w:val="center"/>
          </w:tcPr>
          <w:p w14:paraId="4CEE964D"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808ED93"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098F05EF"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4EE35A18"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0304345F" w14:textId="77777777" w:rsidR="007D5603" w:rsidRPr="00BC7288" w:rsidRDefault="007D5603" w:rsidP="007D5603">
            <w:pPr>
              <w:spacing w:before="0" w:after="0" w:line="200" w:lineRule="exact"/>
              <w:jc w:val="center"/>
              <w:rPr>
                <w:rFonts w:asciiTheme="minorHAnsi" w:hAnsiTheme="minorHAnsi"/>
                <w:b/>
                <w:sz w:val="20"/>
                <w:szCs w:val="20"/>
              </w:rPr>
            </w:pPr>
          </w:p>
        </w:tc>
      </w:tr>
      <w:tr w:rsidR="007D5603" w:rsidRPr="00BC7288" w14:paraId="40690DFA" w14:textId="77777777" w:rsidTr="00C362ED">
        <w:trPr>
          <w:trHeight w:val="20"/>
        </w:trPr>
        <w:tc>
          <w:tcPr>
            <w:tcW w:w="4528" w:type="dxa"/>
            <w:shd w:val="clear" w:color="auto" w:fill="F3F9FA"/>
            <w:vAlign w:val="center"/>
          </w:tcPr>
          <w:p w14:paraId="38CD1B16" w14:textId="476E380A"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random(site)</w:t>
            </w:r>
          </w:p>
        </w:tc>
        <w:tc>
          <w:tcPr>
            <w:tcW w:w="850" w:type="dxa"/>
            <w:shd w:val="clear" w:color="auto" w:fill="F3F9FA"/>
          </w:tcPr>
          <w:p w14:paraId="2F94DC2E" w14:textId="33D93103"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shd w:val="clear" w:color="auto" w:fill="F3F9FA"/>
          </w:tcPr>
          <w:p w14:paraId="7CCFAB98" w14:textId="03EDC910" w:rsidR="007D5603" w:rsidRPr="00BC7288" w:rsidRDefault="007D5603" w:rsidP="007D5603">
            <w:pPr>
              <w:spacing w:before="0" w:after="0" w:line="200" w:lineRule="exact"/>
              <w:jc w:val="center"/>
              <w:rPr>
                <w:rFonts w:asciiTheme="minorHAnsi" w:hAnsiTheme="minorHAnsi"/>
                <w:sz w:val="20"/>
                <w:szCs w:val="20"/>
              </w:rPr>
            </w:pPr>
            <w:r>
              <w:t>8.952</w:t>
            </w:r>
          </w:p>
        </w:tc>
        <w:tc>
          <w:tcPr>
            <w:tcW w:w="992" w:type="dxa"/>
            <w:shd w:val="clear" w:color="auto" w:fill="F3F9FA"/>
          </w:tcPr>
          <w:p w14:paraId="45F6F315" w14:textId="4695B7BD" w:rsidR="007D5603" w:rsidRPr="00BC7288" w:rsidRDefault="007D5603" w:rsidP="007D5603">
            <w:pPr>
              <w:spacing w:before="0" w:after="0" w:line="200" w:lineRule="exact"/>
              <w:jc w:val="center"/>
              <w:rPr>
                <w:rFonts w:asciiTheme="minorHAnsi" w:hAnsiTheme="minorHAnsi"/>
                <w:sz w:val="20"/>
                <w:szCs w:val="20"/>
              </w:rPr>
            </w:pPr>
            <w:r>
              <w:t>363.9</w:t>
            </w:r>
          </w:p>
        </w:tc>
        <w:tc>
          <w:tcPr>
            <w:tcW w:w="997" w:type="dxa"/>
            <w:shd w:val="clear" w:color="auto" w:fill="F3F9FA"/>
          </w:tcPr>
          <w:p w14:paraId="2DD8590D" w14:textId="100E64A7"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5FDD1B31" w14:textId="6963A906" w:rsidR="007D5603" w:rsidRPr="00BC7288" w:rsidRDefault="007D5603" w:rsidP="007D5603">
            <w:pPr>
              <w:spacing w:before="0" w:after="0" w:line="200" w:lineRule="exact"/>
              <w:jc w:val="center"/>
              <w:rPr>
                <w:rFonts w:asciiTheme="minorHAnsi" w:hAnsiTheme="minorHAnsi"/>
                <w:sz w:val="20"/>
                <w:szCs w:val="20"/>
              </w:rPr>
            </w:pPr>
            <w:r w:rsidRPr="00C97F70">
              <w:t>0.2</w:t>
            </w:r>
            <w:r>
              <w:t>04</w:t>
            </w:r>
          </w:p>
        </w:tc>
      </w:tr>
      <w:tr w:rsidR="007D5603" w:rsidRPr="00BC7288" w14:paraId="50A6132C" w14:textId="77777777" w:rsidTr="00C362ED">
        <w:trPr>
          <w:trHeight w:val="20"/>
        </w:trPr>
        <w:tc>
          <w:tcPr>
            <w:tcW w:w="4528" w:type="dxa"/>
            <w:shd w:val="clear" w:color="auto" w:fill="F3F9FA"/>
            <w:vAlign w:val="center"/>
          </w:tcPr>
          <w:p w14:paraId="194A0E3C" w14:textId="6A68A8DA"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habitat + random(site)</w:t>
            </w:r>
          </w:p>
        </w:tc>
        <w:tc>
          <w:tcPr>
            <w:tcW w:w="850" w:type="dxa"/>
            <w:shd w:val="clear" w:color="auto" w:fill="F3F9FA"/>
          </w:tcPr>
          <w:p w14:paraId="4910C22D" w14:textId="6711DA23"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shd w:val="clear" w:color="auto" w:fill="F3F9FA"/>
          </w:tcPr>
          <w:p w14:paraId="22F622E6"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7A59045"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059C822F"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603AF3C1" w14:textId="63F29BF6" w:rsidR="007D5603" w:rsidRPr="00BC7288" w:rsidRDefault="007D5603" w:rsidP="007D5603">
            <w:pPr>
              <w:spacing w:before="0" w:after="0" w:line="200" w:lineRule="exact"/>
              <w:jc w:val="center"/>
              <w:rPr>
                <w:rFonts w:asciiTheme="minorHAnsi" w:hAnsiTheme="minorHAnsi"/>
                <w:sz w:val="20"/>
                <w:szCs w:val="20"/>
              </w:rPr>
            </w:pPr>
            <w:r>
              <w:t>0.361</w:t>
            </w:r>
          </w:p>
        </w:tc>
      </w:tr>
      <w:tr w:rsidR="007D5603" w:rsidRPr="00BC7288" w14:paraId="1CEFEA3F" w14:textId="77777777" w:rsidTr="00C362ED">
        <w:trPr>
          <w:trHeight w:val="20"/>
        </w:trPr>
        <w:tc>
          <w:tcPr>
            <w:tcW w:w="4528" w:type="dxa"/>
            <w:shd w:val="clear" w:color="auto" w:fill="F3F9FA"/>
            <w:vAlign w:val="center"/>
          </w:tcPr>
          <w:p w14:paraId="0E3A5395"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6EA53160"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2641D32" w14:textId="182D7172" w:rsidR="007D5603" w:rsidRPr="00BC7288" w:rsidRDefault="007D5603" w:rsidP="007D5603">
            <w:pPr>
              <w:spacing w:before="0" w:after="0" w:line="200" w:lineRule="exact"/>
              <w:jc w:val="center"/>
              <w:rPr>
                <w:rFonts w:asciiTheme="minorHAnsi" w:hAnsiTheme="minorHAnsi"/>
                <w:sz w:val="20"/>
                <w:szCs w:val="20"/>
              </w:rPr>
            </w:pPr>
            <w:r>
              <w:t>8.97</w:t>
            </w:r>
          </w:p>
        </w:tc>
        <w:tc>
          <w:tcPr>
            <w:tcW w:w="992" w:type="dxa"/>
            <w:shd w:val="clear" w:color="auto" w:fill="F3F9FA"/>
          </w:tcPr>
          <w:p w14:paraId="65C0E19A" w14:textId="3A384191" w:rsidR="007D5603" w:rsidRPr="00BC7288" w:rsidRDefault="007D5603" w:rsidP="007D5603">
            <w:pPr>
              <w:spacing w:before="0" w:after="0" w:line="200" w:lineRule="exact"/>
              <w:jc w:val="center"/>
              <w:rPr>
                <w:rFonts w:asciiTheme="minorHAnsi" w:hAnsiTheme="minorHAnsi"/>
                <w:sz w:val="20"/>
                <w:szCs w:val="20"/>
              </w:rPr>
            </w:pPr>
            <w:r>
              <w:t>164.5</w:t>
            </w:r>
          </w:p>
        </w:tc>
        <w:tc>
          <w:tcPr>
            <w:tcW w:w="997" w:type="dxa"/>
            <w:shd w:val="clear" w:color="auto" w:fill="F3F9FA"/>
          </w:tcPr>
          <w:p w14:paraId="339BB400" w14:textId="549434DA"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775542C8"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7864F4C" w14:textId="77777777" w:rsidTr="00C362ED">
        <w:trPr>
          <w:trHeight w:val="20"/>
        </w:trPr>
        <w:tc>
          <w:tcPr>
            <w:tcW w:w="4528" w:type="dxa"/>
            <w:shd w:val="clear" w:color="auto" w:fill="F3F9FA"/>
            <w:vAlign w:val="center"/>
          </w:tcPr>
          <w:p w14:paraId="3AFA2278"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2909162F"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CA4D294" w14:textId="59F6DCDF" w:rsidR="007D5603" w:rsidRPr="00BC7288" w:rsidRDefault="007D5603" w:rsidP="007D5603">
            <w:pPr>
              <w:spacing w:before="0" w:after="0" w:line="200" w:lineRule="exact"/>
              <w:jc w:val="center"/>
              <w:rPr>
                <w:rFonts w:asciiTheme="minorHAnsi" w:hAnsiTheme="minorHAnsi"/>
                <w:sz w:val="20"/>
                <w:szCs w:val="20"/>
              </w:rPr>
            </w:pPr>
            <w:r>
              <w:t>7.691</w:t>
            </w:r>
          </w:p>
        </w:tc>
        <w:tc>
          <w:tcPr>
            <w:tcW w:w="992" w:type="dxa"/>
            <w:shd w:val="clear" w:color="auto" w:fill="F3F9FA"/>
          </w:tcPr>
          <w:p w14:paraId="3A2F58E0" w14:textId="6485FC7F" w:rsidR="007D5603" w:rsidRPr="00BC7288" w:rsidRDefault="007D5603" w:rsidP="007D5603">
            <w:pPr>
              <w:spacing w:before="0" w:after="0" w:line="200" w:lineRule="exact"/>
              <w:jc w:val="center"/>
              <w:rPr>
                <w:rFonts w:asciiTheme="minorHAnsi" w:hAnsiTheme="minorHAnsi"/>
                <w:sz w:val="20"/>
                <w:szCs w:val="20"/>
              </w:rPr>
            </w:pPr>
            <w:r>
              <w:t>161.7</w:t>
            </w:r>
          </w:p>
        </w:tc>
        <w:tc>
          <w:tcPr>
            <w:tcW w:w="997" w:type="dxa"/>
            <w:shd w:val="clear" w:color="auto" w:fill="F3F9FA"/>
          </w:tcPr>
          <w:p w14:paraId="45714C70" w14:textId="1217ABB2"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268E2DF8"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FFE9E02" w14:textId="77777777" w:rsidTr="00C362ED">
        <w:trPr>
          <w:trHeight w:val="20"/>
        </w:trPr>
        <w:tc>
          <w:tcPr>
            <w:tcW w:w="4528" w:type="dxa"/>
            <w:shd w:val="clear" w:color="auto" w:fill="F3F9FA"/>
            <w:vAlign w:val="center"/>
          </w:tcPr>
          <w:p w14:paraId="369CE609"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w:t>
            </w:r>
          </w:p>
        </w:tc>
        <w:tc>
          <w:tcPr>
            <w:tcW w:w="850" w:type="dxa"/>
            <w:shd w:val="clear" w:color="auto" w:fill="F3F9FA"/>
          </w:tcPr>
          <w:p w14:paraId="3C31AF6D"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923BF5D" w14:textId="152F1CD7" w:rsidR="007D5603" w:rsidRPr="00BC7288" w:rsidRDefault="007D5603" w:rsidP="007D5603">
            <w:pPr>
              <w:spacing w:before="0" w:after="0" w:line="200" w:lineRule="exact"/>
              <w:jc w:val="center"/>
              <w:rPr>
                <w:rFonts w:asciiTheme="minorHAnsi" w:hAnsiTheme="minorHAnsi"/>
                <w:sz w:val="20"/>
                <w:szCs w:val="20"/>
              </w:rPr>
            </w:pPr>
            <w:r>
              <w:t>5.869</w:t>
            </w:r>
          </w:p>
        </w:tc>
        <w:tc>
          <w:tcPr>
            <w:tcW w:w="992" w:type="dxa"/>
            <w:shd w:val="clear" w:color="auto" w:fill="F3F9FA"/>
          </w:tcPr>
          <w:p w14:paraId="4B7139A9" w14:textId="743312F6" w:rsidR="007D5603" w:rsidRPr="00BC7288" w:rsidRDefault="007D5603" w:rsidP="007D5603">
            <w:pPr>
              <w:spacing w:before="0" w:after="0" w:line="200" w:lineRule="exact"/>
              <w:jc w:val="center"/>
              <w:rPr>
                <w:rFonts w:asciiTheme="minorHAnsi" w:hAnsiTheme="minorHAnsi"/>
                <w:sz w:val="20"/>
                <w:szCs w:val="20"/>
              </w:rPr>
            </w:pPr>
            <w:r>
              <w:t>189.8</w:t>
            </w:r>
          </w:p>
        </w:tc>
        <w:tc>
          <w:tcPr>
            <w:tcW w:w="997" w:type="dxa"/>
            <w:shd w:val="clear" w:color="auto" w:fill="F3F9FA"/>
          </w:tcPr>
          <w:p w14:paraId="51BDF14B" w14:textId="3E889F35"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7EDEAF79"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8C6C80B" w14:textId="77777777" w:rsidTr="00C362ED">
        <w:trPr>
          <w:trHeight w:val="20"/>
        </w:trPr>
        <w:tc>
          <w:tcPr>
            <w:tcW w:w="4528" w:type="dxa"/>
            <w:shd w:val="clear" w:color="auto" w:fill="F3F9FA"/>
            <w:vAlign w:val="center"/>
          </w:tcPr>
          <w:p w14:paraId="26007FAE" w14:textId="4C22AF80" w:rsidR="007D5603" w:rsidRPr="00BC7288" w:rsidRDefault="0063478C" w:rsidP="007D5603">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Location + random(site)</w:t>
            </w:r>
          </w:p>
        </w:tc>
        <w:tc>
          <w:tcPr>
            <w:tcW w:w="850" w:type="dxa"/>
            <w:shd w:val="clear" w:color="auto" w:fill="F3F9FA"/>
          </w:tcPr>
          <w:p w14:paraId="7C2EFE97" w14:textId="1E512CF0"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shd w:val="clear" w:color="auto" w:fill="F3F9FA"/>
          </w:tcPr>
          <w:p w14:paraId="31E9D287"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723E5FA1"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5DE7947B"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1838093B" w14:textId="46A05E67" w:rsidR="007D5603" w:rsidRPr="00BC7288" w:rsidRDefault="007D5603" w:rsidP="007D5603">
            <w:pPr>
              <w:spacing w:before="0" w:after="0" w:line="200" w:lineRule="exact"/>
              <w:jc w:val="center"/>
              <w:rPr>
                <w:rFonts w:asciiTheme="minorHAnsi" w:hAnsiTheme="minorHAnsi"/>
                <w:sz w:val="20"/>
                <w:szCs w:val="20"/>
              </w:rPr>
            </w:pPr>
            <w:r>
              <w:t>0.366</w:t>
            </w:r>
            <w:r w:rsidRPr="007562B1">
              <w:t xml:space="preserve">  </w:t>
            </w:r>
          </w:p>
        </w:tc>
      </w:tr>
      <w:tr w:rsidR="007D5603" w:rsidRPr="00BC7288" w14:paraId="587A3598" w14:textId="77777777" w:rsidTr="00C362ED">
        <w:trPr>
          <w:trHeight w:val="20"/>
        </w:trPr>
        <w:tc>
          <w:tcPr>
            <w:tcW w:w="4528" w:type="dxa"/>
            <w:shd w:val="clear" w:color="auto" w:fill="F3F9FA"/>
            <w:vAlign w:val="center"/>
          </w:tcPr>
          <w:p w14:paraId="3CF51CE5"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[JR]</w:t>
            </w:r>
          </w:p>
        </w:tc>
        <w:tc>
          <w:tcPr>
            <w:tcW w:w="850" w:type="dxa"/>
            <w:shd w:val="clear" w:color="auto" w:fill="F3F9FA"/>
          </w:tcPr>
          <w:p w14:paraId="2262614C"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333B6DDD" w14:textId="1FD9C74D" w:rsidR="007D5603" w:rsidRPr="00BC7288" w:rsidRDefault="007D5603" w:rsidP="007D5603">
            <w:pPr>
              <w:spacing w:before="0" w:after="0" w:line="200" w:lineRule="exact"/>
              <w:jc w:val="center"/>
              <w:rPr>
                <w:rFonts w:asciiTheme="minorHAnsi" w:hAnsiTheme="minorHAnsi"/>
                <w:sz w:val="20"/>
                <w:szCs w:val="20"/>
              </w:rPr>
            </w:pPr>
            <w:r>
              <w:t>2.667</w:t>
            </w:r>
          </w:p>
        </w:tc>
        <w:tc>
          <w:tcPr>
            <w:tcW w:w="992" w:type="dxa"/>
            <w:shd w:val="clear" w:color="auto" w:fill="F3F9FA"/>
          </w:tcPr>
          <w:p w14:paraId="09F2752E" w14:textId="5174B7D5" w:rsidR="007D5603" w:rsidRPr="00BC7288" w:rsidRDefault="007D5603" w:rsidP="007D5603">
            <w:pPr>
              <w:spacing w:before="0" w:after="0" w:line="200" w:lineRule="exact"/>
              <w:jc w:val="center"/>
              <w:rPr>
                <w:rFonts w:asciiTheme="minorHAnsi" w:hAnsiTheme="minorHAnsi"/>
                <w:sz w:val="20"/>
                <w:szCs w:val="20"/>
              </w:rPr>
            </w:pPr>
            <w:r>
              <w:t>22.6</w:t>
            </w:r>
          </w:p>
        </w:tc>
        <w:tc>
          <w:tcPr>
            <w:tcW w:w="997" w:type="dxa"/>
            <w:shd w:val="clear" w:color="auto" w:fill="F3F9FA"/>
          </w:tcPr>
          <w:p w14:paraId="35861A89" w14:textId="4A9187BE" w:rsidR="007D5603" w:rsidRPr="00BC7288" w:rsidRDefault="007D5603" w:rsidP="007D5603">
            <w:pPr>
              <w:spacing w:before="0" w:after="0" w:line="200" w:lineRule="exact"/>
              <w:jc w:val="center"/>
              <w:rPr>
                <w:rFonts w:asciiTheme="minorHAnsi" w:hAnsiTheme="minorHAnsi"/>
                <w:sz w:val="20"/>
                <w:szCs w:val="20"/>
              </w:rPr>
            </w:pPr>
            <w:r>
              <w:t>&lt;6</w:t>
            </w:r>
            <w:r w:rsidRPr="00092D17">
              <w:t>e-1</w:t>
            </w:r>
            <w:r>
              <w:t>3</w:t>
            </w:r>
          </w:p>
        </w:tc>
        <w:tc>
          <w:tcPr>
            <w:tcW w:w="850" w:type="dxa"/>
            <w:shd w:val="clear" w:color="auto" w:fill="F3F9FA"/>
          </w:tcPr>
          <w:p w14:paraId="74B4D5C7"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C729208" w14:textId="77777777" w:rsidTr="00C362ED">
        <w:trPr>
          <w:trHeight w:val="20"/>
        </w:trPr>
        <w:tc>
          <w:tcPr>
            <w:tcW w:w="4528" w:type="dxa"/>
            <w:shd w:val="clear" w:color="auto" w:fill="F3F9FA"/>
            <w:vAlign w:val="center"/>
          </w:tcPr>
          <w:p w14:paraId="6366DD43"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[TSV]</w:t>
            </w:r>
          </w:p>
        </w:tc>
        <w:tc>
          <w:tcPr>
            <w:tcW w:w="850" w:type="dxa"/>
            <w:shd w:val="clear" w:color="auto" w:fill="F3F9FA"/>
          </w:tcPr>
          <w:p w14:paraId="7C433365"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3917A4A6" w14:textId="539ADE51" w:rsidR="007D5603" w:rsidRPr="00BC7288" w:rsidRDefault="007D5603" w:rsidP="007D5603">
            <w:pPr>
              <w:spacing w:before="0" w:after="0" w:line="200" w:lineRule="exact"/>
              <w:jc w:val="center"/>
              <w:rPr>
                <w:rFonts w:asciiTheme="minorHAnsi" w:hAnsiTheme="minorHAnsi"/>
                <w:sz w:val="20"/>
                <w:szCs w:val="20"/>
              </w:rPr>
            </w:pPr>
            <w:r>
              <w:t>8.971</w:t>
            </w:r>
          </w:p>
        </w:tc>
        <w:tc>
          <w:tcPr>
            <w:tcW w:w="992" w:type="dxa"/>
            <w:shd w:val="clear" w:color="auto" w:fill="F3F9FA"/>
          </w:tcPr>
          <w:p w14:paraId="5B1450FD" w14:textId="446842B0" w:rsidR="007D5603" w:rsidRPr="00BC7288" w:rsidRDefault="007D5603" w:rsidP="007D5603">
            <w:pPr>
              <w:spacing w:before="0" w:after="0" w:line="200" w:lineRule="exact"/>
              <w:jc w:val="center"/>
              <w:rPr>
                <w:rFonts w:asciiTheme="minorHAnsi" w:hAnsiTheme="minorHAnsi"/>
                <w:sz w:val="20"/>
                <w:szCs w:val="20"/>
              </w:rPr>
            </w:pPr>
            <w:r>
              <w:t>151.5</w:t>
            </w:r>
          </w:p>
        </w:tc>
        <w:tc>
          <w:tcPr>
            <w:tcW w:w="997" w:type="dxa"/>
            <w:shd w:val="clear" w:color="auto" w:fill="F3F9FA"/>
          </w:tcPr>
          <w:p w14:paraId="3573EE33" w14:textId="35E3BD12"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3B85F0C5"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28BBAD3F" w14:textId="77777777" w:rsidTr="00C362ED">
        <w:trPr>
          <w:trHeight w:val="20"/>
        </w:trPr>
        <w:tc>
          <w:tcPr>
            <w:tcW w:w="4528" w:type="dxa"/>
            <w:shd w:val="clear" w:color="auto" w:fill="F3F9FA"/>
            <w:vAlign w:val="center"/>
          </w:tcPr>
          <w:p w14:paraId="7258F5ED"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[MI1]</w:t>
            </w:r>
          </w:p>
        </w:tc>
        <w:tc>
          <w:tcPr>
            <w:tcW w:w="850" w:type="dxa"/>
            <w:shd w:val="clear" w:color="auto" w:fill="F3F9FA"/>
          </w:tcPr>
          <w:p w14:paraId="59DF67B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A9A3FBA" w14:textId="340F99D8" w:rsidR="007D5603" w:rsidRPr="00BC7288" w:rsidRDefault="007D5603" w:rsidP="007D5603">
            <w:pPr>
              <w:spacing w:before="0" w:after="0" w:line="200" w:lineRule="exact"/>
              <w:jc w:val="center"/>
              <w:rPr>
                <w:rFonts w:asciiTheme="minorHAnsi" w:hAnsiTheme="minorHAnsi"/>
                <w:sz w:val="20"/>
                <w:szCs w:val="20"/>
              </w:rPr>
            </w:pPr>
            <w:r>
              <w:t>7.691</w:t>
            </w:r>
          </w:p>
        </w:tc>
        <w:tc>
          <w:tcPr>
            <w:tcW w:w="992" w:type="dxa"/>
            <w:shd w:val="clear" w:color="auto" w:fill="F3F9FA"/>
          </w:tcPr>
          <w:p w14:paraId="3A8BAC85" w14:textId="37DCD17B" w:rsidR="007D5603" w:rsidRPr="00BC7288" w:rsidRDefault="007D5603" w:rsidP="007D5603">
            <w:pPr>
              <w:spacing w:before="0" w:after="0" w:line="200" w:lineRule="exact"/>
              <w:jc w:val="center"/>
              <w:rPr>
                <w:rFonts w:asciiTheme="minorHAnsi" w:hAnsiTheme="minorHAnsi"/>
                <w:sz w:val="20"/>
                <w:szCs w:val="20"/>
              </w:rPr>
            </w:pPr>
            <w:r>
              <w:t>161.9</w:t>
            </w:r>
          </w:p>
        </w:tc>
        <w:tc>
          <w:tcPr>
            <w:tcW w:w="997" w:type="dxa"/>
            <w:shd w:val="clear" w:color="auto" w:fill="F3F9FA"/>
          </w:tcPr>
          <w:p w14:paraId="1B663E04" w14:textId="6B906AB6"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3C65CECF"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ED5DD39" w14:textId="77777777" w:rsidTr="00C362ED">
        <w:trPr>
          <w:trHeight w:val="20"/>
        </w:trPr>
        <w:tc>
          <w:tcPr>
            <w:tcW w:w="4528" w:type="dxa"/>
            <w:shd w:val="clear" w:color="auto" w:fill="F3F9FA"/>
            <w:vAlign w:val="center"/>
          </w:tcPr>
          <w:p w14:paraId="42F21FC1"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[MI2]</w:t>
            </w:r>
          </w:p>
        </w:tc>
        <w:tc>
          <w:tcPr>
            <w:tcW w:w="850" w:type="dxa"/>
            <w:shd w:val="clear" w:color="auto" w:fill="F3F9FA"/>
          </w:tcPr>
          <w:p w14:paraId="5DB90F18"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1F84FFB6" w14:textId="1A81D206" w:rsidR="007D5603" w:rsidRPr="00BC7288" w:rsidRDefault="007D5603" w:rsidP="007D5603">
            <w:pPr>
              <w:spacing w:before="0" w:after="0" w:line="200" w:lineRule="exact"/>
              <w:jc w:val="center"/>
              <w:rPr>
                <w:rFonts w:asciiTheme="minorHAnsi" w:hAnsiTheme="minorHAnsi"/>
                <w:sz w:val="20"/>
                <w:szCs w:val="20"/>
              </w:rPr>
            </w:pPr>
            <w:r>
              <w:t>5.869</w:t>
            </w:r>
          </w:p>
        </w:tc>
        <w:tc>
          <w:tcPr>
            <w:tcW w:w="992" w:type="dxa"/>
            <w:shd w:val="clear" w:color="auto" w:fill="F3F9FA"/>
          </w:tcPr>
          <w:p w14:paraId="4C52A37C" w14:textId="4AEC8862" w:rsidR="007D5603" w:rsidRPr="00BC7288" w:rsidRDefault="007D5603" w:rsidP="007D5603">
            <w:pPr>
              <w:spacing w:before="0" w:after="0" w:line="200" w:lineRule="exact"/>
              <w:jc w:val="center"/>
              <w:rPr>
                <w:rFonts w:asciiTheme="minorHAnsi" w:hAnsiTheme="minorHAnsi"/>
                <w:sz w:val="20"/>
                <w:szCs w:val="20"/>
              </w:rPr>
            </w:pPr>
            <w:r>
              <w:t>191.1</w:t>
            </w:r>
          </w:p>
        </w:tc>
        <w:tc>
          <w:tcPr>
            <w:tcW w:w="997" w:type="dxa"/>
            <w:shd w:val="clear" w:color="auto" w:fill="F3F9FA"/>
          </w:tcPr>
          <w:p w14:paraId="1956B8FF" w14:textId="76233E3A"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2F03C629"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4DDDC9BF" w14:textId="77777777" w:rsidTr="00C362ED">
        <w:trPr>
          <w:trHeight w:val="20"/>
        </w:trPr>
        <w:tc>
          <w:tcPr>
            <w:tcW w:w="4528" w:type="dxa"/>
            <w:tcBorders>
              <w:bottom w:val="single" w:sz="4" w:space="0" w:color="auto"/>
            </w:tcBorders>
            <w:shd w:val="clear" w:color="auto" w:fill="F3F9FA"/>
            <w:vAlign w:val="center"/>
          </w:tcPr>
          <w:p w14:paraId="2D94B4BE"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 [MI3]</w:t>
            </w:r>
          </w:p>
        </w:tc>
        <w:tc>
          <w:tcPr>
            <w:tcW w:w="850" w:type="dxa"/>
            <w:tcBorders>
              <w:bottom w:val="single" w:sz="4" w:space="0" w:color="auto"/>
            </w:tcBorders>
            <w:shd w:val="clear" w:color="auto" w:fill="F3F9FA"/>
          </w:tcPr>
          <w:p w14:paraId="3CE6991E" w14:textId="41173613"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tcBorders>
              <w:bottom w:val="single" w:sz="4" w:space="0" w:color="auto"/>
            </w:tcBorders>
            <w:shd w:val="clear" w:color="auto" w:fill="F3F9FA"/>
          </w:tcPr>
          <w:p w14:paraId="758CE14C" w14:textId="4BB3E274" w:rsidR="007D5603" w:rsidRPr="00BC7288" w:rsidRDefault="007D5603" w:rsidP="007D5603">
            <w:pPr>
              <w:spacing w:before="0" w:after="0" w:line="200" w:lineRule="exact"/>
              <w:jc w:val="center"/>
              <w:rPr>
                <w:rFonts w:asciiTheme="minorHAnsi" w:hAnsiTheme="minorHAnsi"/>
                <w:sz w:val="20"/>
                <w:szCs w:val="20"/>
              </w:rPr>
            </w:pPr>
            <w:r>
              <w:t>8.952</w:t>
            </w:r>
          </w:p>
        </w:tc>
        <w:tc>
          <w:tcPr>
            <w:tcW w:w="992" w:type="dxa"/>
            <w:tcBorders>
              <w:bottom w:val="single" w:sz="4" w:space="0" w:color="auto"/>
            </w:tcBorders>
            <w:shd w:val="clear" w:color="auto" w:fill="F3F9FA"/>
          </w:tcPr>
          <w:p w14:paraId="38AC12CD" w14:textId="50847325" w:rsidR="007D5603" w:rsidRPr="00BC7288" w:rsidRDefault="007D5603" w:rsidP="007D5603">
            <w:pPr>
              <w:spacing w:before="0" w:after="0" w:line="200" w:lineRule="exact"/>
              <w:jc w:val="center"/>
              <w:rPr>
                <w:rFonts w:asciiTheme="minorHAnsi" w:hAnsiTheme="minorHAnsi"/>
                <w:sz w:val="20"/>
                <w:szCs w:val="20"/>
              </w:rPr>
            </w:pPr>
            <w:r>
              <w:t>363.9</w:t>
            </w:r>
          </w:p>
        </w:tc>
        <w:tc>
          <w:tcPr>
            <w:tcW w:w="997" w:type="dxa"/>
            <w:tcBorders>
              <w:bottom w:val="single" w:sz="4" w:space="0" w:color="auto"/>
            </w:tcBorders>
            <w:shd w:val="clear" w:color="auto" w:fill="F3F9FA"/>
          </w:tcPr>
          <w:p w14:paraId="3C5A156B" w14:textId="7A788E83"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tcBorders>
              <w:bottom w:val="single" w:sz="4" w:space="0" w:color="auto"/>
            </w:tcBorders>
            <w:shd w:val="clear" w:color="auto" w:fill="F3F9FA"/>
          </w:tcPr>
          <w:p w14:paraId="66F486A1" w14:textId="7E004188" w:rsidR="007D5603" w:rsidRPr="00BC7288" w:rsidRDefault="007D5603" w:rsidP="007D5603">
            <w:pPr>
              <w:spacing w:before="0" w:after="0" w:line="200" w:lineRule="exact"/>
              <w:jc w:val="center"/>
              <w:rPr>
                <w:rFonts w:asciiTheme="minorHAnsi" w:hAnsiTheme="minorHAnsi"/>
                <w:sz w:val="20"/>
                <w:szCs w:val="20"/>
              </w:rPr>
            </w:pPr>
            <w:r w:rsidRPr="00C97F70">
              <w:t>0.2</w:t>
            </w:r>
            <w:r>
              <w:t>04</w:t>
            </w:r>
          </w:p>
        </w:tc>
      </w:tr>
      <w:tr w:rsidR="007D5603" w:rsidRPr="00BC7288" w14:paraId="7C3F4D4C" w14:textId="77777777" w:rsidTr="001A3E45">
        <w:trPr>
          <w:trHeight w:val="20"/>
        </w:trPr>
        <w:tc>
          <w:tcPr>
            <w:tcW w:w="4528" w:type="dxa"/>
            <w:tcBorders>
              <w:top w:val="single" w:sz="4" w:space="0" w:color="auto"/>
            </w:tcBorders>
            <w:shd w:val="clear" w:color="auto" w:fill="E7F3F4"/>
            <w:vAlign w:val="center"/>
          </w:tcPr>
          <w:p w14:paraId="50917682"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Mackay Whitsunday</w:t>
            </w:r>
          </w:p>
        </w:tc>
        <w:tc>
          <w:tcPr>
            <w:tcW w:w="850" w:type="dxa"/>
            <w:tcBorders>
              <w:top w:val="single" w:sz="4" w:space="0" w:color="auto"/>
            </w:tcBorders>
            <w:shd w:val="clear" w:color="auto" w:fill="E7F3F4"/>
            <w:vAlign w:val="center"/>
          </w:tcPr>
          <w:p w14:paraId="777C360F"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332DFAC"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01BBBE01"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1A74CADD"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0D9730FF" w14:textId="77777777" w:rsidR="007D5603" w:rsidRPr="00BC7288" w:rsidRDefault="007D5603" w:rsidP="007D5603">
            <w:pPr>
              <w:spacing w:before="0" w:after="0" w:line="200" w:lineRule="exact"/>
              <w:jc w:val="center"/>
              <w:rPr>
                <w:rFonts w:asciiTheme="minorHAnsi" w:hAnsiTheme="minorHAnsi"/>
                <w:b/>
                <w:sz w:val="20"/>
                <w:szCs w:val="20"/>
              </w:rPr>
            </w:pPr>
          </w:p>
        </w:tc>
      </w:tr>
      <w:tr w:rsidR="00800C8B" w:rsidRPr="00BC7288" w14:paraId="705F45D6" w14:textId="77777777" w:rsidTr="00C362ED">
        <w:trPr>
          <w:trHeight w:val="20"/>
        </w:trPr>
        <w:tc>
          <w:tcPr>
            <w:tcW w:w="4528" w:type="dxa"/>
            <w:shd w:val="clear" w:color="auto" w:fill="F3F9FA"/>
            <w:vAlign w:val="center"/>
          </w:tcPr>
          <w:p w14:paraId="23855253" w14:textId="69B3A873"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random(site)</w:t>
            </w:r>
          </w:p>
        </w:tc>
        <w:tc>
          <w:tcPr>
            <w:tcW w:w="850" w:type="dxa"/>
            <w:shd w:val="clear" w:color="auto" w:fill="F3F9FA"/>
          </w:tcPr>
          <w:p w14:paraId="4CB3FB6A" w14:textId="45D22332" w:rsidR="00800C8B" w:rsidRPr="00BC7288" w:rsidRDefault="00800C8B" w:rsidP="00800C8B">
            <w:pPr>
              <w:spacing w:before="0" w:after="0" w:line="200" w:lineRule="exact"/>
              <w:jc w:val="center"/>
              <w:rPr>
                <w:rFonts w:asciiTheme="minorHAnsi" w:hAnsiTheme="minorHAnsi"/>
                <w:sz w:val="20"/>
                <w:szCs w:val="20"/>
              </w:rPr>
            </w:pPr>
            <w:r>
              <w:t>10727</w:t>
            </w:r>
          </w:p>
        </w:tc>
        <w:tc>
          <w:tcPr>
            <w:tcW w:w="992" w:type="dxa"/>
            <w:shd w:val="clear" w:color="auto" w:fill="F3F9FA"/>
          </w:tcPr>
          <w:p w14:paraId="2FC0F35E" w14:textId="0AA5BBE8" w:rsidR="00800C8B" w:rsidRPr="00BC7288" w:rsidRDefault="00800C8B" w:rsidP="00800C8B">
            <w:pPr>
              <w:spacing w:before="0" w:after="0" w:line="200" w:lineRule="exact"/>
              <w:jc w:val="center"/>
              <w:rPr>
                <w:rFonts w:asciiTheme="minorHAnsi" w:hAnsiTheme="minorHAnsi"/>
                <w:sz w:val="20"/>
                <w:szCs w:val="20"/>
              </w:rPr>
            </w:pPr>
            <w:r>
              <w:t>8.805</w:t>
            </w:r>
          </w:p>
        </w:tc>
        <w:tc>
          <w:tcPr>
            <w:tcW w:w="992" w:type="dxa"/>
            <w:shd w:val="clear" w:color="auto" w:fill="F3F9FA"/>
          </w:tcPr>
          <w:p w14:paraId="1845192B" w14:textId="45AAF658" w:rsidR="00800C8B" w:rsidRPr="00BC7288" w:rsidRDefault="00800C8B" w:rsidP="00800C8B">
            <w:pPr>
              <w:spacing w:before="0" w:after="0" w:line="200" w:lineRule="exact"/>
              <w:jc w:val="center"/>
              <w:rPr>
                <w:rFonts w:asciiTheme="minorHAnsi" w:hAnsiTheme="minorHAnsi"/>
                <w:sz w:val="20"/>
                <w:szCs w:val="20"/>
              </w:rPr>
            </w:pPr>
            <w:r>
              <w:t>120.5</w:t>
            </w:r>
          </w:p>
        </w:tc>
        <w:tc>
          <w:tcPr>
            <w:tcW w:w="997" w:type="dxa"/>
            <w:shd w:val="clear" w:color="auto" w:fill="F3F9FA"/>
          </w:tcPr>
          <w:p w14:paraId="2DE34D0E" w14:textId="453228FC" w:rsidR="00800C8B" w:rsidRPr="00BC7288" w:rsidRDefault="00800C8B" w:rsidP="00800C8B">
            <w:pPr>
              <w:spacing w:before="0" w:after="0" w:line="200" w:lineRule="exact"/>
              <w:jc w:val="center"/>
              <w:rPr>
                <w:rFonts w:asciiTheme="minorHAnsi" w:hAnsiTheme="minorHAnsi"/>
                <w:sz w:val="20"/>
                <w:szCs w:val="20"/>
              </w:rPr>
            </w:pPr>
            <w:r w:rsidRPr="00563FCE">
              <w:t>&lt;2e-16</w:t>
            </w:r>
          </w:p>
        </w:tc>
        <w:tc>
          <w:tcPr>
            <w:tcW w:w="850" w:type="dxa"/>
            <w:shd w:val="clear" w:color="auto" w:fill="F3F9FA"/>
          </w:tcPr>
          <w:p w14:paraId="040FE20A" w14:textId="331DBF7E" w:rsidR="00800C8B" w:rsidRPr="00BC7288" w:rsidRDefault="00800C8B" w:rsidP="00800C8B">
            <w:pPr>
              <w:spacing w:before="0" w:after="0" w:line="200" w:lineRule="exact"/>
              <w:jc w:val="center"/>
              <w:rPr>
                <w:rFonts w:asciiTheme="minorHAnsi" w:hAnsiTheme="minorHAnsi"/>
                <w:sz w:val="20"/>
                <w:szCs w:val="20"/>
              </w:rPr>
            </w:pPr>
            <w:r>
              <w:t>0.0831</w:t>
            </w:r>
          </w:p>
        </w:tc>
      </w:tr>
      <w:tr w:rsidR="00800C8B" w:rsidRPr="00BC7288" w14:paraId="5C08A1E2" w14:textId="77777777" w:rsidTr="00C362ED">
        <w:trPr>
          <w:trHeight w:val="20"/>
        </w:trPr>
        <w:tc>
          <w:tcPr>
            <w:tcW w:w="4528" w:type="dxa"/>
            <w:shd w:val="clear" w:color="auto" w:fill="F3F9FA"/>
            <w:vAlign w:val="center"/>
          </w:tcPr>
          <w:p w14:paraId="12072964" w14:textId="2C5233A6"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habitat + random(site)</w:t>
            </w:r>
          </w:p>
        </w:tc>
        <w:tc>
          <w:tcPr>
            <w:tcW w:w="850" w:type="dxa"/>
            <w:shd w:val="clear" w:color="auto" w:fill="F3F9FA"/>
          </w:tcPr>
          <w:p w14:paraId="37CBA48A" w14:textId="42F6B3CA" w:rsidR="00800C8B" w:rsidRPr="00BC7288" w:rsidRDefault="00800C8B" w:rsidP="00800C8B">
            <w:pPr>
              <w:spacing w:before="0" w:after="0" w:line="200" w:lineRule="exact"/>
              <w:jc w:val="center"/>
              <w:rPr>
                <w:rFonts w:asciiTheme="minorHAnsi" w:hAnsiTheme="minorHAnsi"/>
                <w:sz w:val="20"/>
                <w:szCs w:val="20"/>
              </w:rPr>
            </w:pPr>
            <w:r>
              <w:t>10727</w:t>
            </w:r>
          </w:p>
        </w:tc>
        <w:tc>
          <w:tcPr>
            <w:tcW w:w="992" w:type="dxa"/>
            <w:shd w:val="clear" w:color="auto" w:fill="F3F9FA"/>
          </w:tcPr>
          <w:p w14:paraId="1A74195A"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72FD55A7"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7BCBDE34"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57185884" w14:textId="20506B9E" w:rsidR="00800C8B" w:rsidRPr="00BC7288" w:rsidRDefault="00800C8B" w:rsidP="00800C8B">
            <w:pPr>
              <w:spacing w:before="0" w:after="0" w:line="200" w:lineRule="exact"/>
              <w:jc w:val="center"/>
              <w:rPr>
                <w:rFonts w:asciiTheme="minorHAnsi" w:hAnsiTheme="minorHAnsi"/>
                <w:sz w:val="20"/>
                <w:szCs w:val="20"/>
              </w:rPr>
            </w:pPr>
            <w:r>
              <w:t>0.263</w:t>
            </w:r>
          </w:p>
        </w:tc>
      </w:tr>
      <w:tr w:rsidR="00800C8B" w:rsidRPr="00BC7288" w14:paraId="213763C2" w14:textId="77777777" w:rsidTr="00C362ED">
        <w:trPr>
          <w:trHeight w:val="20"/>
        </w:trPr>
        <w:tc>
          <w:tcPr>
            <w:tcW w:w="4528" w:type="dxa"/>
            <w:shd w:val="clear" w:color="auto" w:fill="F3F9FA"/>
            <w:vAlign w:val="center"/>
          </w:tcPr>
          <w:p w14:paraId="52374473"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2D49D874"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0501AA78" w14:textId="7434FE99" w:rsidR="00800C8B" w:rsidRPr="00BC7288" w:rsidRDefault="00800C8B" w:rsidP="00800C8B">
            <w:pPr>
              <w:spacing w:before="0" w:after="0" w:line="200" w:lineRule="exact"/>
              <w:jc w:val="center"/>
              <w:rPr>
                <w:rFonts w:asciiTheme="minorHAnsi" w:hAnsiTheme="minorHAnsi"/>
                <w:sz w:val="20"/>
                <w:szCs w:val="20"/>
              </w:rPr>
            </w:pPr>
            <w:r>
              <w:t>8.835</w:t>
            </w:r>
          </w:p>
        </w:tc>
        <w:tc>
          <w:tcPr>
            <w:tcW w:w="992" w:type="dxa"/>
            <w:shd w:val="clear" w:color="auto" w:fill="F3F9FA"/>
          </w:tcPr>
          <w:p w14:paraId="2BF56648" w14:textId="2CD208F8" w:rsidR="00800C8B" w:rsidRPr="00BC7288" w:rsidRDefault="00800C8B" w:rsidP="00800C8B">
            <w:pPr>
              <w:spacing w:before="0" w:after="0" w:line="200" w:lineRule="exact"/>
              <w:jc w:val="center"/>
              <w:rPr>
                <w:rFonts w:asciiTheme="minorHAnsi" w:hAnsiTheme="minorHAnsi"/>
                <w:sz w:val="20"/>
                <w:szCs w:val="20"/>
              </w:rPr>
            </w:pPr>
            <w:r>
              <w:t>81.45</w:t>
            </w:r>
          </w:p>
        </w:tc>
        <w:tc>
          <w:tcPr>
            <w:tcW w:w="997" w:type="dxa"/>
            <w:shd w:val="clear" w:color="auto" w:fill="F3F9FA"/>
          </w:tcPr>
          <w:p w14:paraId="0061A3D7" w14:textId="219B21A1" w:rsidR="00800C8B" w:rsidRPr="00BC7288" w:rsidRDefault="00800C8B" w:rsidP="00800C8B">
            <w:pPr>
              <w:spacing w:before="0" w:after="0" w:line="200" w:lineRule="exact"/>
              <w:jc w:val="center"/>
              <w:rPr>
                <w:rFonts w:asciiTheme="minorHAnsi" w:hAnsiTheme="minorHAnsi"/>
                <w:sz w:val="20"/>
                <w:szCs w:val="20"/>
              </w:rPr>
            </w:pPr>
            <w:r w:rsidRPr="00563FCE">
              <w:t>&lt;2e-16</w:t>
            </w:r>
          </w:p>
        </w:tc>
        <w:tc>
          <w:tcPr>
            <w:tcW w:w="850" w:type="dxa"/>
            <w:shd w:val="clear" w:color="auto" w:fill="F3F9FA"/>
          </w:tcPr>
          <w:p w14:paraId="3CD70DC0"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2200CE25" w14:textId="77777777" w:rsidTr="00C362ED">
        <w:trPr>
          <w:trHeight w:val="20"/>
        </w:trPr>
        <w:tc>
          <w:tcPr>
            <w:tcW w:w="4528" w:type="dxa"/>
            <w:shd w:val="clear" w:color="auto" w:fill="F3F9FA"/>
            <w:vAlign w:val="center"/>
          </w:tcPr>
          <w:p w14:paraId="64FAC5A4"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w:t>
            </w:r>
          </w:p>
        </w:tc>
        <w:tc>
          <w:tcPr>
            <w:tcW w:w="850" w:type="dxa"/>
            <w:shd w:val="clear" w:color="auto" w:fill="F3F9FA"/>
          </w:tcPr>
          <w:p w14:paraId="037D1F51"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722707C4" w14:textId="789B3F10" w:rsidR="00800C8B" w:rsidRPr="00BC7288" w:rsidRDefault="00800C8B" w:rsidP="00800C8B">
            <w:pPr>
              <w:spacing w:before="0" w:after="0" w:line="200" w:lineRule="exact"/>
              <w:jc w:val="center"/>
              <w:rPr>
                <w:rFonts w:asciiTheme="minorHAnsi" w:hAnsiTheme="minorHAnsi"/>
                <w:sz w:val="20"/>
                <w:szCs w:val="20"/>
              </w:rPr>
            </w:pPr>
            <w:r>
              <w:t>6.979</w:t>
            </w:r>
          </w:p>
        </w:tc>
        <w:tc>
          <w:tcPr>
            <w:tcW w:w="992" w:type="dxa"/>
            <w:shd w:val="clear" w:color="auto" w:fill="F3F9FA"/>
          </w:tcPr>
          <w:p w14:paraId="5E61E3E3" w14:textId="079BA283" w:rsidR="00800C8B" w:rsidRPr="00BC7288" w:rsidRDefault="00800C8B" w:rsidP="00800C8B">
            <w:pPr>
              <w:spacing w:before="0" w:after="0" w:line="200" w:lineRule="exact"/>
              <w:jc w:val="center"/>
              <w:rPr>
                <w:rFonts w:asciiTheme="minorHAnsi" w:hAnsiTheme="minorHAnsi"/>
                <w:sz w:val="20"/>
                <w:szCs w:val="20"/>
              </w:rPr>
            </w:pPr>
            <w:r>
              <w:t>100.73</w:t>
            </w:r>
          </w:p>
        </w:tc>
        <w:tc>
          <w:tcPr>
            <w:tcW w:w="997" w:type="dxa"/>
            <w:shd w:val="clear" w:color="auto" w:fill="F3F9FA"/>
          </w:tcPr>
          <w:p w14:paraId="6C7054B4" w14:textId="03184FBF" w:rsidR="00800C8B" w:rsidRPr="00BC7288" w:rsidRDefault="00800C8B" w:rsidP="00800C8B">
            <w:pPr>
              <w:spacing w:before="0" w:after="0" w:line="200" w:lineRule="exact"/>
              <w:jc w:val="center"/>
              <w:rPr>
                <w:rFonts w:asciiTheme="minorHAnsi" w:hAnsiTheme="minorHAnsi"/>
                <w:sz w:val="20"/>
                <w:szCs w:val="20"/>
              </w:rPr>
            </w:pPr>
            <w:r w:rsidRPr="00563FCE">
              <w:t>&lt;2e-16</w:t>
            </w:r>
          </w:p>
        </w:tc>
        <w:tc>
          <w:tcPr>
            <w:tcW w:w="850" w:type="dxa"/>
            <w:shd w:val="clear" w:color="auto" w:fill="F3F9FA"/>
          </w:tcPr>
          <w:p w14:paraId="2C6E640B"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4DB941CE" w14:textId="77777777" w:rsidTr="00C362ED">
        <w:trPr>
          <w:trHeight w:val="20"/>
        </w:trPr>
        <w:tc>
          <w:tcPr>
            <w:tcW w:w="4528" w:type="dxa"/>
            <w:shd w:val="clear" w:color="auto" w:fill="F3F9FA"/>
            <w:vAlign w:val="center"/>
          </w:tcPr>
          <w:p w14:paraId="13F1143F"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22A26E3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4C6ABF5F" w14:textId="69DA6295" w:rsidR="00800C8B" w:rsidRPr="00BC7288" w:rsidRDefault="00800C8B" w:rsidP="00800C8B">
            <w:pPr>
              <w:spacing w:before="0" w:after="0" w:line="200" w:lineRule="exact"/>
              <w:jc w:val="center"/>
              <w:rPr>
                <w:rFonts w:asciiTheme="minorHAnsi" w:hAnsiTheme="minorHAnsi"/>
                <w:sz w:val="20"/>
                <w:szCs w:val="20"/>
              </w:rPr>
            </w:pPr>
            <w:r>
              <w:t>6.913</w:t>
            </w:r>
          </w:p>
        </w:tc>
        <w:tc>
          <w:tcPr>
            <w:tcW w:w="992" w:type="dxa"/>
            <w:shd w:val="clear" w:color="auto" w:fill="F3F9FA"/>
          </w:tcPr>
          <w:p w14:paraId="363C6A5E" w14:textId="2772047F" w:rsidR="00800C8B" w:rsidRPr="00BC7288" w:rsidRDefault="00800C8B" w:rsidP="00800C8B">
            <w:pPr>
              <w:spacing w:before="0" w:after="0" w:line="200" w:lineRule="exact"/>
              <w:jc w:val="center"/>
              <w:rPr>
                <w:rFonts w:asciiTheme="minorHAnsi" w:hAnsiTheme="minorHAnsi"/>
                <w:sz w:val="20"/>
                <w:szCs w:val="20"/>
              </w:rPr>
            </w:pPr>
            <w:r>
              <w:t>48.33</w:t>
            </w:r>
          </w:p>
        </w:tc>
        <w:tc>
          <w:tcPr>
            <w:tcW w:w="997" w:type="dxa"/>
            <w:shd w:val="clear" w:color="auto" w:fill="F3F9FA"/>
          </w:tcPr>
          <w:p w14:paraId="46C95D3B" w14:textId="10CB069E" w:rsidR="00800C8B" w:rsidRPr="00BC7288" w:rsidRDefault="00800C8B" w:rsidP="00800C8B">
            <w:pPr>
              <w:spacing w:before="0" w:after="0" w:line="200" w:lineRule="exact"/>
              <w:jc w:val="center"/>
              <w:rPr>
                <w:rFonts w:asciiTheme="minorHAnsi" w:hAnsiTheme="minorHAnsi"/>
                <w:sz w:val="20"/>
                <w:szCs w:val="20"/>
              </w:rPr>
            </w:pPr>
            <w:r w:rsidRPr="00563FCE">
              <w:t>1.3e-12</w:t>
            </w:r>
          </w:p>
        </w:tc>
        <w:tc>
          <w:tcPr>
            <w:tcW w:w="850" w:type="dxa"/>
            <w:shd w:val="clear" w:color="auto" w:fill="F3F9FA"/>
          </w:tcPr>
          <w:p w14:paraId="360A8C68"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45F3F586" w14:textId="77777777" w:rsidTr="00C362ED">
        <w:trPr>
          <w:trHeight w:val="20"/>
        </w:trPr>
        <w:tc>
          <w:tcPr>
            <w:tcW w:w="4528" w:type="dxa"/>
            <w:shd w:val="clear" w:color="auto" w:fill="F3F9FA"/>
            <w:vAlign w:val="center"/>
          </w:tcPr>
          <w:p w14:paraId="571E5560" w14:textId="6894220C"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Location + random(site)</w:t>
            </w:r>
          </w:p>
        </w:tc>
        <w:tc>
          <w:tcPr>
            <w:tcW w:w="850" w:type="dxa"/>
            <w:shd w:val="clear" w:color="auto" w:fill="F3F9FA"/>
          </w:tcPr>
          <w:p w14:paraId="41BE2009" w14:textId="2E5AC802" w:rsidR="00800C8B" w:rsidRPr="00BC7288" w:rsidRDefault="00800C8B" w:rsidP="00800C8B">
            <w:pPr>
              <w:spacing w:before="0" w:after="0" w:line="200" w:lineRule="exact"/>
              <w:jc w:val="center"/>
              <w:rPr>
                <w:rFonts w:asciiTheme="minorHAnsi" w:hAnsiTheme="minorHAnsi"/>
                <w:sz w:val="20"/>
                <w:szCs w:val="20"/>
              </w:rPr>
            </w:pPr>
            <w:r>
              <w:t>10727</w:t>
            </w:r>
          </w:p>
        </w:tc>
        <w:tc>
          <w:tcPr>
            <w:tcW w:w="992" w:type="dxa"/>
            <w:shd w:val="clear" w:color="auto" w:fill="F3F9FA"/>
          </w:tcPr>
          <w:p w14:paraId="35DFE32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6919CF2A"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1E2D7E76"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5259468A" w14:textId="05AA6048" w:rsidR="00800C8B" w:rsidRPr="00BC7288" w:rsidRDefault="00800C8B" w:rsidP="00800C8B">
            <w:pPr>
              <w:spacing w:before="0" w:after="0" w:line="200" w:lineRule="exact"/>
              <w:jc w:val="center"/>
              <w:rPr>
                <w:rFonts w:asciiTheme="minorHAnsi" w:hAnsiTheme="minorHAnsi"/>
                <w:sz w:val="20"/>
                <w:szCs w:val="20"/>
              </w:rPr>
            </w:pPr>
            <w:r>
              <w:t>0.352</w:t>
            </w:r>
          </w:p>
        </w:tc>
      </w:tr>
      <w:tr w:rsidR="00800C8B" w:rsidRPr="00BC7288" w14:paraId="7AFD245D" w14:textId="77777777" w:rsidTr="00C362ED">
        <w:trPr>
          <w:trHeight w:val="20"/>
        </w:trPr>
        <w:tc>
          <w:tcPr>
            <w:tcW w:w="4528" w:type="dxa"/>
            <w:shd w:val="clear" w:color="auto" w:fill="F3F9FA"/>
            <w:vAlign w:val="center"/>
          </w:tcPr>
          <w:p w14:paraId="3B1EE3E8"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 [MP]</w:t>
            </w:r>
          </w:p>
        </w:tc>
        <w:tc>
          <w:tcPr>
            <w:tcW w:w="850" w:type="dxa"/>
            <w:shd w:val="clear" w:color="auto" w:fill="F3F9FA"/>
          </w:tcPr>
          <w:p w14:paraId="2B1A0709"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208CB040" w14:textId="4C734F6B" w:rsidR="00800C8B" w:rsidRPr="00BC7288" w:rsidRDefault="00800C8B" w:rsidP="00800C8B">
            <w:pPr>
              <w:spacing w:before="0" w:after="0" w:line="200" w:lineRule="exact"/>
              <w:jc w:val="center"/>
              <w:rPr>
                <w:rFonts w:asciiTheme="minorHAnsi" w:hAnsiTheme="minorHAnsi"/>
                <w:sz w:val="20"/>
                <w:szCs w:val="20"/>
              </w:rPr>
            </w:pPr>
            <w:r>
              <w:t>7.766</w:t>
            </w:r>
          </w:p>
        </w:tc>
        <w:tc>
          <w:tcPr>
            <w:tcW w:w="992" w:type="dxa"/>
            <w:shd w:val="clear" w:color="auto" w:fill="F3F9FA"/>
          </w:tcPr>
          <w:p w14:paraId="505241C5" w14:textId="56C93BE4" w:rsidR="00800C8B" w:rsidRPr="00BC7288" w:rsidRDefault="00800C8B" w:rsidP="00800C8B">
            <w:pPr>
              <w:spacing w:before="0" w:after="0" w:line="200" w:lineRule="exact"/>
              <w:jc w:val="center"/>
              <w:rPr>
                <w:rFonts w:asciiTheme="minorHAnsi" w:hAnsiTheme="minorHAnsi"/>
                <w:sz w:val="20"/>
                <w:szCs w:val="20"/>
              </w:rPr>
            </w:pPr>
            <w:r>
              <w:t>14.15</w:t>
            </w:r>
          </w:p>
        </w:tc>
        <w:tc>
          <w:tcPr>
            <w:tcW w:w="997" w:type="dxa"/>
            <w:shd w:val="clear" w:color="auto" w:fill="F3F9FA"/>
          </w:tcPr>
          <w:p w14:paraId="7EB1F715" w14:textId="32A89308"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0C60DCA4"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7142D070" w14:textId="77777777" w:rsidTr="00C362ED">
        <w:trPr>
          <w:trHeight w:val="20"/>
        </w:trPr>
        <w:tc>
          <w:tcPr>
            <w:tcW w:w="4528" w:type="dxa"/>
            <w:shd w:val="clear" w:color="auto" w:fill="F3F9FA"/>
            <w:vAlign w:val="center"/>
          </w:tcPr>
          <w:p w14:paraId="5C690B1B"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 [PI]</w:t>
            </w:r>
          </w:p>
        </w:tc>
        <w:tc>
          <w:tcPr>
            <w:tcW w:w="850" w:type="dxa"/>
            <w:shd w:val="clear" w:color="auto" w:fill="F3F9FA"/>
          </w:tcPr>
          <w:p w14:paraId="44DBE672"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432482DF" w14:textId="6AC09CA6" w:rsidR="00800C8B" w:rsidRPr="00BC7288" w:rsidRDefault="00800C8B" w:rsidP="00800C8B">
            <w:pPr>
              <w:spacing w:before="0" w:after="0" w:line="200" w:lineRule="exact"/>
              <w:jc w:val="center"/>
              <w:rPr>
                <w:rFonts w:asciiTheme="minorHAnsi" w:hAnsiTheme="minorHAnsi"/>
                <w:sz w:val="20"/>
                <w:szCs w:val="20"/>
              </w:rPr>
            </w:pPr>
            <w:r>
              <w:t>8.929</w:t>
            </w:r>
          </w:p>
        </w:tc>
        <w:tc>
          <w:tcPr>
            <w:tcW w:w="992" w:type="dxa"/>
            <w:shd w:val="clear" w:color="auto" w:fill="F3F9FA"/>
          </w:tcPr>
          <w:p w14:paraId="6ABD8E95" w14:textId="7AFE6D3F" w:rsidR="00800C8B" w:rsidRPr="00BC7288" w:rsidRDefault="00800C8B" w:rsidP="00800C8B">
            <w:pPr>
              <w:spacing w:before="0" w:after="0" w:line="200" w:lineRule="exact"/>
              <w:jc w:val="center"/>
              <w:rPr>
                <w:rFonts w:asciiTheme="minorHAnsi" w:hAnsiTheme="minorHAnsi"/>
                <w:sz w:val="20"/>
                <w:szCs w:val="20"/>
              </w:rPr>
            </w:pPr>
            <w:r>
              <w:t>108.67</w:t>
            </w:r>
          </w:p>
        </w:tc>
        <w:tc>
          <w:tcPr>
            <w:tcW w:w="997" w:type="dxa"/>
            <w:shd w:val="clear" w:color="auto" w:fill="F3F9FA"/>
          </w:tcPr>
          <w:p w14:paraId="0513E7B6" w14:textId="7F880523"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67ACF513"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1BC04644" w14:textId="77777777" w:rsidTr="00800C8B">
        <w:trPr>
          <w:trHeight w:val="20"/>
        </w:trPr>
        <w:tc>
          <w:tcPr>
            <w:tcW w:w="4528" w:type="dxa"/>
            <w:shd w:val="clear" w:color="auto" w:fill="F3F9FA"/>
            <w:vAlign w:val="center"/>
          </w:tcPr>
          <w:p w14:paraId="2B43402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Reef intertidal [HM]</w:t>
            </w:r>
          </w:p>
        </w:tc>
        <w:tc>
          <w:tcPr>
            <w:tcW w:w="850" w:type="dxa"/>
            <w:shd w:val="clear" w:color="auto" w:fill="F3F9FA"/>
          </w:tcPr>
          <w:p w14:paraId="4E015F40"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25B00BD8" w14:textId="6E399F6C" w:rsidR="00800C8B" w:rsidRPr="00BC7288" w:rsidRDefault="00800C8B" w:rsidP="00800C8B">
            <w:pPr>
              <w:spacing w:before="0" w:after="0" w:line="200" w:lineRule="exact"/>
              <w:jc w:val="center"/>
              <w:rPr>
                <w:rFonts w:asciiTheme="minorHAnsi" w:hAnsiTheme="minorHAnsi"/>
                <w:sz w:val="20"/>
                <w:szCs w:val="20"/>
              </w:rPr>
            </w:pPr>
            <w:r>
              <w:t>4.081</w:t>
            </w:r>
          </w:p>
        </w:tc>
        <w:tc>
          <w:tcPr>
            <w:tcW w:w="992" w:type="dxa"/>
            <w:shd w:val="clear" w:color="auto" w:fill="F3F9FA"/>
          </w:tcPr>
          <w:p w14:paraId="6DC31F07" w14:textId="0089220E" w:rsidR="00800C8B" w:rsidRPr="00BC7288" w:rsidRDefault="00800C8B" w:rsidP="00800C8B">
            <w:pPr>
              <w:spacing w:before="0" w:after="0" w:line="200" w:lineRule="exact"/>
              <w:jc w:val="center"/>
              <w:rPr>
                <w:rFonts w:asciiTheme="minorHAnsi" w:hAnsiTheme="minorHAnsi"/>
                <w:sz w:val="20"/>
                <w:szCs w:val="20"/>
              </w:rPr>
            </w:pPr>
            <w:r>
              <w:t>25.66</w:t>
            </w:r>
          </w:p>
        </w:tc>
        <w:tc>
          <w:tcPr>
            <w:tcW w:w="997" w:type="dxa"/>
            <w:shd w:val="clear" w:color="auto" w:fill="F3F9FA"/>
          </w:tcPr>
          <w:p w14:paraId="718A4D45" w14:textId="2B593F6D"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61C34879"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4C331387" w14:textId="77777777" w:rsidTr="00800C8B">
        <w:trPr>
          <w:trHeight w:val="20"/>
        </w:trPr>
        <w:tc>
          <w:tcPr>
            <w:tcW w:w="4528" w:type="dxa"/>
            <w:shd w:val="clear" w:color="auto" w:fill="F3F9FA"/>
            <w:vAlign w:val="center"/>
          </w:tcPr>
          <w:p w14:paraId="3A545F4B"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[SI]</w:t>
            </w:r>
          </w:p>
        </w:tc>
        <w:tc>
          <w:tcPr>
            <w:tcW w:w="850" w:type="dxa"/>
            <w:shd w:val="clear" w:color="auto" w:fill="F3F9FA"/>
          </w:tcPr>
          <w:p w14:paraId="51D889C0"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7B296BDB" w14:textId="32B988CD" w:rsidR="00800C8B" w:rsidRPr="00BC7288" w:rsidRDefault="00800C8B" w:rsidP="00800C8B">
            <w:pPr>
              <w:spacing w:before="0" w:after="0" w:line="200" w:lineRule="exact"/>
              <w:jc w:val="center"/>
              <w:rPr>
                <w:rFonts w:asciiTheme="minorHAnsi" w:hAnsiTheme="minorHAnsi"/>
                <w:sz w:val="20"/>
                <w:szCs w:val="20"/>
              </w:rPr>
            </w:pPr>
            <w:r>
              <w:t>6.980</w:t>
            </w:r>
          </w:p>
        </w:tc>
        <w:tc>
          <w:tcPr>
            <w:tcW w:w="992" w:type="dxa"/>
            <w:shd w:val="clear" w:color="auto" w:fill="F3F9FA"/>
          </w:tcPr>
          <w:p w14:paraId="7F1B99FB" w14:textId="36F30D91" w:rsidR="00800C8B" w:rsidRPr="00BC7288" w:rsidRDefault="00800C8B" w:rsidP="00800C8B">
            <w:pPr>
              <w:spacing w:before="0" w:after="0" w:line="200" w:lineRule="exact"/>
              <w:jc w:val="center"/>
              <w:rPr>
                <w:rFonts w:asciiTheme="minorHAnsi" w:hAnsiTheme="minorHAnsi"/>
                <w:sz w:val="20"/>
                <w:szCs w:val="20"/>
              </w:rPr>
            </w:pPr>
            <w:r>
              <w:t>109.12</w:t>
            </w:r>
          </w:p>
        </w:tc>
        <w:tc>
          <w:tcPr>
            <w:tcW w:w="997" w:type="dxa"/>
            <w:shd w:val="clear" w:color="auto" w:fill="F3F9FA"/>
          </w:tcPr>
          <w:p w14:paraId="60EF21E6" w14:textId="60434C17"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50F46E2A"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04CAAA60" w14:textId="77777777" w:rsidTr="00C362ED">
        <w:trPr>
          <w:trHeight w:val="20"/>
        </w:trPr>
        <w:tc>
          <w:tcPr>
            <w:tcW w:w="4528" w:type="dxa"/>
            <w:tcBorders>
              <w:bottom w:val="single" w:sz="4" w:space="0" w:color="auto"/>
            </w:tcBorders>
            <w:shd w:val="clear" w:color="auto" w:fill="F3F9FA"/>
          </w:tcPr>
          <w:p w14:paraId="04B186B2" w14:textId="355DC631" w:rsidR="00800C8B" w:rsidRPr="00BC7288" w:rsidRDefault="00800C8B" w:rsidP="00800C8B">
            <w:pPr>
              <w:tabs>
                <w:tab w:val="left" w:pos="548"/>
              </w:tabs>
              <w:spacing w:before="0" w:after="0" w:line="200" w:lineRule="exact"/>
              <w:rPr>
                <w:caps/>
                <w:sz w:val="20"/>
                <w:szCs w:val="20"/>
              </w:rPr>
            </w:pPr>
            <w:r w:rsidRPr="00BC7288">
              <w:rPr>
                <w:caps/>
                <w:sz w:val="20"/>
                <w:szCs w:val="20"/>
              </w:rPr>
              <w:tab/>
            </w:r>
            <w:r w:rsidRPr="00800C8B">
              <w:rPr>
                <w:caps/>
                <w:sz w:val="20"/>
                <w:szCs w:val="20"/>
              </w:rPr>
              <w:t>Reef intertidal [HB]</w:t>
            </w:r>
          </w:p>
        </w:tc>
        <w:tc>
          <w:tcPr>
            <w:tcW w:w="850" w:type="dxa"/>
            <w:tcBorders>
              <w:bottom w:val="single" w:sz="4" w:space="0" w:color="auto"/>
            </w:tcBorders>
            <w:shd w:val="clear" w:color="auto" w:fill="F3F9FA"/>
          </w:tcPr>
          <w:p w14:paraId="29891C87"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0C1833EC" w14:textId="3A1673B9" w:rsidR="00800C8B" w:rsidRDefault="00800C8B" w:rsidP="00800C8B">
            <w:pPr>
              <w:spacing w:before="0" w:after="0" w:line="200" w:lineRule="exact"/>
              <w:jc w:val="center"/>
            </w:pPr>
            <w:r>
              <w:t>7.985</w:t>
            </w:r>
          </w:p>
        </w:tc>
        <w:tc>
          <w:tcPr>
            <w:tcW w:w="992" w:type="dxa"/>
            <w:tcBorders>
              <w:bottom w:val="single" w:sz="4" w:space="0" w:color="auto"/>
            </w:tcBorders>
            <w:shd w:val="clear" w:color="auto" w:fill="F3F9FA"/>
          </w:tcPr>
          <w:p w14:paraId="178CA626" w14:textId="0A624345" w:rsidR="00800C8B" w:rsidRDefault="00800C8B" w:rsidP="00800C8B">
            <w:pPr>
              <w:spacing w:before="0" w:after="0" w:line="200" w:lineRule="exact"/>
              <w:jc w:val="center"/>
            </w:pPr>
            <w:r>
              <w:t>41.21</w:t>
            </w:r>
          </w:p>
        </w:tc>
        <w:tc>
          <w:tcPr>
            <w:tcW w:w="997" w:type="dxa"/>
            <w:tcBorders>
              <w:bottom w:val="single" w:sz="4" w:space="0" w:color="auto"/>
            </w:tcBorders>
            <w:shd w:val="clear" w:color="auto" w:fill="F3F9FA"/>
          </w:tcPr>
          <w:p w14:paraId="09CEC93D" w14:textId="76BB7758" w:rsidR="00800C8B" w:rsidRPr="00E4505F" w:rsidRDefault="00800C8B" w:rsidP="00800C8B">
            <w:pPr>
              <w:spacing w:before="0" w:after="0" w:line="200" w:lineRule="exact"/>
              <w:jc w:val="center"/>
            </w:pPr>
            <w:r w:rsidRPr="00E4505F">
              <w:t>&lt; 2e-16</w:t>
            </w:r>
          </w:p>
        </w:tc>
        <w:tc>
          <w:tcPr>
            <w:tcW w:w="850" w:type="dxa"/>
            <w:tcBorders>
              <w:bottom w:val="single" w:sz="4" w:space="0" w:color="auto"/>
            </w:tcBorders>
            <w:shd w:val="clear" w:color="auto" w:fill="F3F9FA"/>
          </w:tcPr>
          <w:p w14:paraId="5D0ADCEF" w14:textId="77777777" w:rsidR="00800C8B" w:rsidRPr="00BC7288" w:rsidRDefault="00800C8B" w:rsidP="00800C8B">
            <w:pPr>
              <w:spacing w:before="0" w:after="0" w:line="200" w:lineRule="exact"/>
              <w:jc w:val="center"/>
              <w:rPr>
                <w:rFonts w:asciiTheme="minorHAnsi" w:hAnsiTheme="minorHAnsi"/>
                <w:sz w:val="20"/>
                <w:szCs w:val="20"/>
              </w:rPr>
            </w:pPr>
          </w:p>
        </w:tc>
      </w:tr>
      <w:tr w:rsidR="007D5603" w:rsidRPr="00BC7288" w14:paraId="2C5BB802" w14:textId="77777777" w:rsidTr="00245D08">
        <w:trPr>
          <w:trHeight w:val="20"/>
        </w:trPr>
        <w:tc>
          <w:tcPr>
            <w:tcW w:w="4528" w:type="dxa"/>
            <w:tcBorders>
              <w:top w:val="single" w:sz="4" w:space="0" w:color="auto"/>
            </w:tcBorders>
            <w:shd w:val="clear" w:color="auto" w:fill="E7F3F4"/>
            <w:vAlign w:val="center"/>
          </w:tcPr>
          <w:p w14:paraId="5E810CD0"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Fitzroy</w:t>
            </w:r>
          </w:p>
        </w:tc>
        <w:tc>
          <w:tcPr>
            <w:tcW w:w="850" w:type="dxa"/>
            <w:tcBorders>
              <w:top w:val="single" w:sz="4" w:space="0" w:color="auto"/>
            </w:tcBorders>
            <w:shd w:val="clear" w:color="auto" w:fill="E7F3F4"/>
            <w:vAlign w:val="center"/>
          </w:tcPr>
          <w:p w14:paraId="17D5818C"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4D7A69B"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101F84D8"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243801C0"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13A7EDD5" w14:textId="77777777" w:rsidR="007D5603" w:rsidRPr="00BC7288" w:rsidRDefault="007D5603" w:rsidP="007D5603">
            <w:pPr>
              <w:spacing w:before="0" w:after="0" w:line="200" w:lineRule="exact"/>
              <w:jc w:val="center"/>
              <w:rPr>
                <w:rFonts w:asciiTheme="minorHAnsi" w:hAnsiTheme="minorHAnsi"/>
                <w:b/>
                <w:sz w:val="20"/>
                <w:szCs w:val="20"/>
              </w:rPr>
            </w:pPr>
          </w:p>
        </w:tc>
      </w:tr>
      <w:tr w:rsidR="00800C8B" w:rsidRPr="00BC7288" w14:paraId="61D2314A" w14:textId="77777777" w:rsidTr="00C362ED">
        <w:trPr>
          <w:trHeight w:val="20"/>
        </w:trPr>
        <w:tc>
          <w:tcPr>
            <w:tcW w:w="4528" w:type="dxa"/>
            <w:shd w:val="clear" w:color="auto" w:fill="F3F9FA"/>
            <w:vAlign w:val="center"/>
          </w:tcPr>
          <w:p w14:paraId="55AEDDF9" w14:textId="15EB0FC9"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w:t>
            </w:r>
          </w:p>
        </w:tc>
        <w:tc>
          <w:tcPr>
            <w:tcW w:w="850" w:type="dxa"/>
            <w:shd w:val="clear" w:color="auto" w:fill="F3F9FA"/>
          </w:tcPr>
          <w:p w14:paraId="30866A9B" w14:textId="2448CA60" w:rsidR="00800C8B" w:rsidRPr="00BC7288" w:rsidRDefault="00800C8B" w:rsidP="00800C8B">
            <w:pPr>
              <w:spacing w:before="0" w:after="0" w:line="200" w:lineRule="exact"/>
              <w:jc w:val="center"/>
              <w:rPr>
                <w:rFonts w:asciiTheme="minorHAnsi" w:hAnsiTheme="minorHAnsi"/>
                <w:sz w:val="20"/>
                <w:szCs w:val="20"/>
              </w:rPr>
            </w:pPr>
            <w:r>
              <w:t>7390</w:t>
            </w:r>
          </w:p>
        </w:tc>
        <w:tc>
          <w:tcPr>
            <w:tcW w:w="992" w:type="dxa"/>
            <w:shd w:val="clear" w:color="auto" w:fill="F3F9FA"/>
          </w:tcPr>
          <w:p w14:paraId="2FB48B49" w14:textId="6C3E26AE" w:rsidR="00800C8B" w:rsidRPr="00BC7288" w:rsidRDefault="00800C8B" w:rsidP="00800C8B">
            <w:pPr>
              <w:spacing w:before="0" w:after="0" w:line="200" w:lineRule="exact"/>
              <w:jc w:val="center"/>
              <w:rPr>
                <w:rFonts w:asciiTheme="minorHAnsi" w:hAnsiTheme="minorHAnsi"/>
                <w:sz w:val="20"/>
                <w:szCs w:val="20"/>
              </w:rPr>
            </w:pPr>
            <w:r>
              <w:t>8.824</w:t>
            </w:r>
          </w:p>
        </w:tc>
        <w:tc>
          <w:tcPr>
            <w:tcW w:w="992" w:type="dxa"/>
            <w:shd w:val="clear" w:color="auto" w:fill="F3F9FA"/>
          </w:tcPr>
          <w:p w14:paraId="3C50343B" w14:textId="7C14A72F" w:rsidR="00800C8B" w:rsidRPr="00BC7288" w:rsidRDefault="00800C8B" w:rsidP="00800C8B">
            <w:pPr>
              <w:spacing w:before="0" w:after="0" w:line="200" w:lineRule="exact"/>
              <w:jc w:val="center"/>
              <w:rPr>
                <w:rFonts w:asciiTheme="minorHAnsi" w:hAnsiTheme="minorHAnsi"/>
                <w:sz w:val="20"/>
                <w:szCs w:val="20"/>
              </w:rPr>
            </w:pPr>
            <w:r>
              <w:t>43.54</w:t>
            </w:r>
          </w:p>
        </w:tc>
        <w:tc>
          <w:tcPr>
            <w:tcW w:w="997" w:type="dxa"/>
            <w:shd w:val="clear" w:color="auto" w:fill="F3F9FA"/>
          </w:tcPr>
          <w:p w14:paraId="6BF08490" w14:textId="2CAC5456" w:rsidR="00800C8B" w:rsidRPr="00BC7288" w:rsidRDefault="00800C8B" w:rsidP="00800C8B">
            <w:pPr>
              <w:spacing w:before="0" w:after="0" w:line="200" w:lineRule="exact"/>
              <w:jc w:val="center"/>
              <w:rPr>
                <w:rFonts w:asciiTheme="minorHAnsi" w:hAnsiTheme="minorHAnsi"/>
                <w:sz w:val="20"/>
                <w:szCs w:val="20"/>
              </w:rPr>
            </w:pPr>
            <w:r w:rsidRPr="00E4505F">
              <w:t>&lt;2e-16</w:t>
            </w:r>
          </w:p>
        </w:tc>
        <w:tc>
          <w:tcPr>
            <w:tcW w:w="850" w:type="dxa"/>
            <w:shd w:val="clear" w:color="auto" w:fill="F3F9FA"/>
          </w:tcPr>
          <w:p w14:paraId="051A6CF2" w14:textId="3C14D378" w:rsidR="00800C8B" w:rsidRPr="00BC7288" w:rsidRDefault="00800C8B" w:rsidP="00800C8B">
            <w:pPr>
              <w:spacing w:before="0" w:after="0" w:line="200" w:lineRule="exact"/>
              <w:jc w:val="center"/>
              <w:rPr>
                <w:rFonts w:asciiTheme="minorHAnsi" w:hAnsiTheme="minorHAnsi"/>
                <w:sz w:val="20"/>
                <w:szCs w:val="20"/>
              </w:rPr>
            </w:pPr>
            <w:r>
              <w:t>0.0223</w:t>
            </w:r>
          </w:p>
        </w:tc>
      </w:tr>
      <w:tr w:rsidR="00800C8B" w:rsidRPr="00BC7288" w14:paraId="3E5356C3" w14:textId="77777777" w:rsidTr="00C362ED">
        <w:trPr>
          <w:trHeight w:val="20"/>
        </w:trPr>
        <w:tc>
          <w:tcPr>
            <w:tcW w:w="4528" w:type="dxa"/>
            <w:shd w:val="clear" w:color="auto" w:fill="F3F9FA"/>
            <w:vAlign w:val="center"/>
          </w:tcPr>
          <w:p w14:paraId="57B9D89F" w14:textId="75C95B4C"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Location</w:t>
            </w:r>
          </w:p>
        </w:tc>
        <w:tc>
          <w:tcPr>
            <w:tcW w:w="850" w:type="dxa"/>
            <w:shd w:val="clear" w:color="auto" w:fill="F3F9FA"/>
          </w:tcPr>
          <w:p w14:paraId="0FB82574" w14:textId="015A6826" w:rsidR="00800C8B" w:rsidRPr="00BC7288" w:rsidRDefault="00800C8B" w:rsidP="00800C8B">
            <w:pPr>
              <w:spacing w:before="0" w:after="0" w:line="200" w:lineRule="exact"/>
              <w:jc w:val="center"/>
              <w:rPr>
                <w:rFonts w:asciiTheme="minorHAnsi" w:hAnsiTheme="minorHAnsi"/>
                <w:sz w:val="20"/>
                <w:szCs w:val="20"/>
              </w:rPr>
            </w:pPr>
            <w:r>
              <w:t>7390</w:t>
            </w:r>
          </w:p>
        </w:tc>
        <w:tc>
          <w:tcPr>
            <w:tcW w:w="992" w:type="dxa"/>
            <w:shd w:val="clear" w:color="auto" w:fill="F3F9FA"/>
          </w:tcPr>
          <w:p w14:paraId="268196E1"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5485F101"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317BA734"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6FCA48AF" w14:textId="1120A500" w:rsidR="00800C8B" w:rsidRPr="00BC7288" w:rsidRDefault="00800C8B" w:rsidP="00800C8B">
            <w:pPr>
              <w:spacing w:before="0" w:after="0" w:line="200" w:lineRule="exact"/>
              <w:jc w:val="center"/>
              <w:rPr>
                <w:rFonts w:asciiTheme="minorHAnsi" w:hAnsiTheme="minorHAnsi"/>
                <w:sz w:val="20"/>
                <w:szCs w:val="20"/>
              </w:rPr>
            </w:pPr>
            <w:r>
              <w:t>0.321</w:t>
            </w:r>
          </w:p>
        </w:tc>
      </w:tr>
      <w:tr w:rsidR="00800C8B" w:rsidRPr="00BC7288" w14:paraId="5A735008" w14:textId="77777777" w:rsidTr="00C362ED">
        <w:trPr>
          <w:trHeight w:val="20"/>
        </w:trPr>
        <w:tc>
          <w:tcPr>
            <w:tcW w:w="4528" w:type="dxa"/>
            <w:shd w:val="clear" w:color="auto" w:fill="F3F9FA"/>
            <w:vAlign w:val="center"/>
          </w:tcPr>
          <w:p w14:paraId="1E3453F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 [SWB]</w:t>
            </w:r>
          </w:p>
        </w:tc>
        <w:tc>
          <w:tcPr>
            <w:tcW w:w="850" w:type="dxa"/>
            <w:shd w:val="clear" w:color="auto" w:fill="F3F9FA"/>
          </w:tcPr>
          <w:p w14:paraId="58866F31"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38648EAE" w14:textId="771E42D2" w:rsidR="00800C8B" w:rsidRPr="00BC7288" w:rsidRDefault="00800C8B" w:rsidP="00800C8B">
            <w:pPr>
              <w:spacing w:before="0" w:after="0" w:line="200" w:lineRule="exact"/>
              <w:jc w:val="center"/>
              <w:rPr>
                <w:rFonts w:asciiTheme="minorHAnsi" w:hAnsiTheme="minorHAnsi"/>
                <w:sz w:val="20"/>
                <w:szCs w:val="20"/>
              </w:rPr>
            </w:pPr>
            <w:r>
              <w:t>8.003</w:t>
            </w:r>
          </w:p>
        </w:tc>
        <w:tc>
          <w:tcPr>
            <w:tcW w:w="992" w:type="dxa"/>
            <w:shd w:val="clear" w:color="auto" w:fill="F3F9FA"/>
          </w:tcPr>
          <w:p w14:paraId="04C287ED" w14:textId="2C0C8621" w:rsidR="00800C8B" w:rsidRPr="00BC7288" w:rsidRDefault="00800C8B" w:rsidP="00800C8B">
            <w:pPr>
              <w:spacing w:before="0" w:after="0" w:line="200" w:lineRule="exact"/>
              <w:jc w:val="center"/>
              <w:rPr>
                <w:rFonts w:asciiTheme="minorHAnsi" w:hAnsiTheme="minorHAnsi"/>
                <w:sz w:val="20"/>
                <w:szCs w:val="20"/>
              </w:rPr>
            </w:pPr>
            <w:r>
              <w:t>90.543</w:t>
            </w:r>
          </w:p>
        </w:tc>
        <w:tc>
          <w:tcPr>
            <w:tcW w:w="997" w:type="dxa"/>
            <w:shd w:val="clear" w:color="auto" w:fill="F3F9FA"/>
          </w:tcPr>
          <w:p w14:paraId="35E532FD" w14:textId="62F5F248"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34E1EDFA"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0191FB92" w14:textId="77777777" w:rsidTr="00C362ED">
        <w:trPr>
          <w:trHeight w:val="20"/>
        </w:trPr>
        <w:tc>
          <w:tcPr>
            <w:tcW w:w="4528" w:type="dxa"/>
            <w:shd w:val="clear" w:color="auto" w:fill="F3F9FA"/>
            <w:vAlign w:val="center"/>
          </w:tcPr>
          <w:p w14:paraId="14D2364C"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Reef intertidal [GK]</w:t>
            </w:r>
          </w:p>
        </w:tc>
        <w:tc>
          <w:tcPr>
            <w:tcW w:w="850" w:type="dxa"/>
            <w:shd w:val="clear" w:color="auto" w:fill="F3F9FA"/>
          </w:tcPr>
          <w:p w14:paraId="5F79D0F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5F522E8E" w14:textId="4C722245" w:rsidR="00800C8B" w:rsidRPr="00BC7288" w:rsidRDefault="00800C8B" w:rsidP="00800C8B">
            <w:pPr>
              <w:spacing w:before="0" w:after="0" w:line="200" w:lineRule="exact"/>
              <w:jc w:val="center"/>
              <w:rPr>
                <w:rFonts w:asciiTheme="minorHAnsi" w:hAnsiTheme="minorHAnsi"/>
                <w:sz w:val="20"/>
                <w:szCs w:val="20"/>
              </w:rPr>
            </w:pPr>
            <w:r>
              <w:t>4.449</w:t>
            </w:r>
          </w:p>
        </w:tc>
        <w:tc>
          <w:tcPr>
            <w:tcW w:w="992" w:type="dxa"/>
            <w:shd w:val="clear" w:color="auto" w:fill="F3F9FA"/>
          </w:tcPr>
          <w:p w14:paraId="6ED0D879" w14:textId="0BA36A40" w:rsidR="00800C8B" w:rsidRPr="00BC7288" w:rsidRDefault="00800C8B" w:rsidP="00800C8B">
            <w:pPr>
              <w:spacing w:before="0" w:after="0" w:line="200" w:lineRule="exact"/>
              <w:jc w:val="center"/>
              <w:rPr>
                <w:rFonts w:asciiTheme="minorHAnsi" w:hAnsiTheme="minorHAnsi"/>
                <w:sz w:val="20"/>
                <w:szCs w:val="20"/>
              </w:rPr>
            </w:pPr>
            <w:r>
              <w:t>9.606</w:t>
            </w:r>
          </w:p>
        </w:tc>
        <w:tc>
          <w:tcPr>
            <w:tcW w:w="997" w:type="dxa"/>
            <w:shd w:val="clear" w:color="auto" w:fill="F3F9FA"/>
          </w:tcPr>
          <w:p w14:paraId="5D0D8075" w14:textId="1D8367A1" w:rsidR="00800C8B" w:rsidRPr="00BC7288" w:rsidRDefault="00800C8B" w:rsidP="00800C8B">
            <w:pPr>
              <w:spacing w:before="0" w:after="0" w:line="200" w:lineRule="exact"/>
              <w:jc w:val="center"/>
              <w:rPr>
                <w:rFonts w:asciiTheme="minorHAnsi" w:hAnsiTheme="minorHAnsi"/>
                <w:sz w:val="20"/>
                <w:szCs w:val="20"/>
              </w:rPr>
            </w:pPr>
            <w:r>
              <w:t>&lt;0.001</w:t>
            </w:r>
          </w:p>
        </w:tc>
        <w:tc>
          <w:tcPr>
            <w:tcW w:w="850" w:type="dxa"/>
            <w:shd w:val="clear" w:color="auto" w:fill="F3F9FA"/>
          </w:tcPr>
          <w:p w14:paraId="6A05F4EC"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7B6FB315" w14:textId="77777777" w:rsidTr="00C362ED">
        <w:trPr>
          <w:trHeight w:val="20"/>
        </w:trPr>
        <w:tc>
          <w:tcPr>
            <w:tcW w:w="4528" w:type="dxa"/>
            <w:tcBorders>
              <w:bottom w:val="single" w:sz="4" w:space="0" w:color="auto"/>
            </w:tcBorders>
            <w:shd w:val="clear" w:color="auto" w:fill="F3F9FA"/>
            <w:vAlign w:val="center"/>
          </w:tcPr>
          <w:p w14:paraId="586CD0D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[GH]</w:t>
            </w:r>
          </w:p>
        </w:tc>
        <w:tc>
          <w:tcPr>
            <w:tcW w:w="850" w:type="dxa"/>
            <w:tcBorders>
              <w:bottom w:val="single" w:sz="4" w:space="0" w:color="auto"/>
            </w:tcBorders>
            <w:shd w:val="clear" w:color="auto" w:fill="F3F9FA"/>
          </w:tcPr>
          <w:p w14:paraId="6195199B"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30042F85" w14:textId="768BA1DE" w:rsidR="00800C8B" w:rsidRPr="00BC7288" w:rsidRDefault="00800C8B" w:rsidP="00800C8B">
            <w:pPr>
              <w:spacing w:before="0" w:after="0" w:line="200" w:lineRule="exact"/>
              <w:jc w:val="center"/>
              <w:rPr>
                <w:rFonts w:asciiTheme="minorHAnsi" w:hAnsiTheme="minorHAnsi"/>
                <w:sz w:val="20"/>
                <w:szCs w:val="20"/>
              </w:rPr>
            </w:pPr>
            <w:r>
              <w:t>7.956</w:t>
            </w:r>
          </w:p>
        </w:tc>
        <w:tc>
          <w:tcPr>
            <w:tcW w:w="992" w:type="dxa"/>
            <w:tcBorders>
              <w:bottom w:val="single" w:sz="4" w:space="0" w:color="auto"/>
            </w:tcBorders>
            <w:shd w:val="clear" w:color="auto" w:fill="F3F9FA"/>
          </w:tcPr>
          <w:p w14:paraId="2B9FBD7C" w14:textId="1DE3C45D" w:rsidR="00800C8B" w:rsidRPr="00BC7288" w:rsidRDefault="00800C8B" w:rsidP="00800C8B">
            <w:pPr>
              <w:spacing w:before="0" w:after="0" w:line="200" w:lineRule="exact"/>
              <w:jc w:val="center"/>
              <w:rPr>
                <w:rFonts w:asciiTheme="minorHAnsi" w:hAnsiTheme="minorHAnsi"/>
                <w:sz w:val="20"/>
                <w:szCs w:val="20"/>
              </w:rPr>
            </w:pPr>
            <w:r>
              <w:t>90.543</w:t>
            </w:r>
          </w:p>
        </w:tc>
        <w:tc>
          <w:tcPr>
            <w:tcW w:w="997" w:type="dxa"/>
            <w:tcBorders>
              <w:bottom w:val="single" w:sz="4" w:space="0" w:color="auto"/>
            </w:tcBorders>
            <w:shd w:val="clear" w:color="auto" w:fill="F3F9FA"/>
          </w:tcPr>
          <w:p w14:paraId="2A35126B" w14:textId="45D1FC3E"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tcBorders>
              <w:bottom w:val="single" w:sz="4" w:space="0" w:color="auto"/>
            </w:tcBorders>
            <w:shd w:val="clear" w:color="auto" w:fill="F3F9FA"/>
          </w:tcPr>
          <w:p w14:paraId="51105A94" w14:textId="77777777" w:rsidR="00800C8B" w:rsidRPr="00BC7288" w:rsidRDefault="00800C8B" w:rsidP="00800C8B">
            <w:pPr>
              <w:spacing w:before="0" w:after="0" w:line="200" w:lineRule="exact"/>
              <w:jc w:val="center"/>
              <w:rPr>
                <w:rFonts w:asciiTheme="minorHAnsi" w:hAnsiTheme="minorHAnsi"/>
                <w:sz w:val="20"/>
                <w:szCs w:val="20"/>
              </w:rPr>
            </w:pPr>
          </w:p>
        </w:tc>
      </w:tr>
      <w:tr w:rsidR="007D5603" w:rsidRPr="00BC7288" w14:paraId="5AF3BAB7" w14:textId="77777777" w:rsidTr="00245D08">
        <w:trPr>
          <w:trHeight w:val="20"/>
        </w:trPr>
        <w:tc>
          <w:tcPr>
            <w:tcW w:w="4528" w:type="dxa"/>
            <w:tcBorders>
              <w:top w:val="single" w:sz="4" w:space="0" w:color="auto"/>
            </w:tcBorders>
            <w:shd w:val="clear" w:color="auto" w:fill="E7F3F4"/>
            <w:vAlign w:val="center"/>
          </w:tcPr>
          <w:p w14:paraId="07362C3C"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Burnett Mary</w:t>
            </w:r>
          </w:p>
        </w:tc>
        <w:tc>
          <w:tcPr>
            <w:tcW w:w="850" w:type="dxa"/>
            <w:tcBorders>
              <w:top w:val="single" w:sz="4" w:space="0" w:color="auto"/>
            </w:tcBorders>
            <w:shd w:val="clear" w:color="auto" w:fill="E7F3F4"/>
            <w:vAlign w:val="center"/>
          </w:tcPr>
          <w:p w14:paraId="444BBA29"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283191DC"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10B56C08"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1AFE30D9"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24A4A251" w14:textId="77777777" w:rsidR="007D5603" w:rsidRPr="00BC7288" w:rsidRDefault="007D5603" w:rsidP="007D5603">
            <w:pPr>
              <w:spacing w:before="0" w:after="0" w:line="200" w:lineRule="exact"/>
              <w:jc w:val="center"/>
              <w:rPr>
                <w:rFonts w:asciiTheme="minorHAnsi" w:hAnsiTheme="minorHAnsi"/>
                <w:b/>
                <w:sz w:val="20"/>
                <w:szCs w:val="20"/>
              </w:rPr>
            </w:pPr>
          </w:p>
        </w:tc>
      </w:tr>
      <w:tr w:rsidR="00800C8B" w:rsidRPr="00BC7288" w14:paraId="5F0A7648" w14:textId="77777777" w:rsidTr="00C362ED">
        <w:trPr>
          <w:trHeight w:val="20"/>
        </w:trPr>
        <w:tc>
          <w:tcPr>
            <w:tcW w:w="4528" w:type="dxa"/>
            <w:shd w:val="clear" w:color="auto" w:fill="F3F9FA"/>
            <w:vAlign w:val="center"/>
          </w:tcPr>
          <w:p w14:paraId="534EEEA6" w14:textId="48C0652D"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w:t>
            </w:r>
          </w:p>
        </w:tc>
        <w:tc>
          <w:tcPr>
            <w:tcW w:w="850" w:type="dxa"/>
            <w:shd w:val="clear" w:color="auto" w:fill="F3F9FA"/>
          </w:tcPr>
          <w:p w14:paraId="16262CED" w14:textId="06082CD2" w:rsidR="00800C8B" w:rsidRPr="00BC7288" w:rsidRDefault="00800C8B" w:rsidP="00800C8B">
            <w:pPr>
              <w:spacing w:before="0" w:after="0" w:line="200" w:lineRule="exact"/>
              <w:jc w:val="center"/>
              <w:rPr>
                <w:rFonts w:asciiTheme="minorHAnsi" w:hAnsiTheme="minorHAnsi"/>
                <w:sz w:val="20"/>
                <w:szCs w:val="20"/>
              </w:rPr>
            </w:pPr>
            <w:r>
              <w:t>8262</w:t>
            </w:r>
          </w:p>
        </w:tc>
        <w:tc>
          <w:tcPr>
            <w:tcW w:w="992" w:type="dxa"/>
            <w:shd w:val="clear" w:color="auto" w:fill="F3F9FA"/>
          </w:tcPr>
          <w:p w14:paraId="519632AC" w14:textId="21FCD630" w:rsidR="00800C8B" w:rsidRPr="00BC7288" w:rsidRDefault="00800C8B" w:rsidP="00800C8B">
            <w:pPr>
              <w:spacing w:before="0" w:after="0" w:line="200" w:lineRule="exact"/>
              <w:jc w:val="center"/>
              <w:rPr>
                <w:rFonts w:asciiTheme="minorHAnsi" w:hAnsiTheme="minorHAnsi"/>
                <w:sz w:val="20"/>
                <w:szCs w:val="20"/>
              </w:rPr>
            </w:pPr>
            <w:r>
              <w:t>8.603</w:t>
            </w:r>
          </w:p>
        </w:tc>
        <w:tc>
          <w:tcPr>
            <w:tcW w:w="992" w:type="dxa"/>
            <w:shd w:val="clear" w:color="auto" w:fill="F3F9FA"/>
          </w:tcPr>
          <w:p w14:paraId="0A22E1A1" w14:textId="6A45025A" w:rsidR="00800C8B" w:rsidRPr="00BC7288" w:rsidRDefault="00800C8B" w:rsidP="00800C8B">
            <w:pPr>
              <w:spacing w:before="0" w:after="0" w:line="200" w:lineRule="exact"/>
              <w:jc w:val="center"/>
              <w:rPr>
                <w:rFonts w:asciiTheme="minorHAnsi" w:hAnsiTheme="minorHAnsi"/>
                <w:sz w:val="20"/>
                <w:szCs w:val="20"/>
              </w:rPr>
            </w:pPr>
            <w:r>
              <w:t>203.2</w:t>
            </w:r>
          </w:p>
        </w:tc>
        <w:tc>
          <w:tcPr>
            <w:tcW w:w="997" w:type="dxa"/>
            <w:shd w:val="clear" w:color="auto" w:fill="F3F9FA"/>
          </w:tcPr>
          <w:p w14:paraId="77369B9A" w14:textId="3F3011A5" w:rsidR="00800C8B" w:rsidRPr="00BC7288" w:rsidRDefault="00800C8B" w:rsidP="00800C8B">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04FC530B" w14:textId="553AFB53" w:rsidR="00800C8B" w:rsidRPr="00BC7288" w:rsidRDefault="00800C8B" w:rsidP="00800C8B">
            <w:pPr>
              <w:spacing w:before="0" w:after="0" w:line="200" w:lineRule="exact"/>
              <w:jc w:val="center"/>
              <w:rPr>
                <w:rFonts w:asciiTheme="minorHAnsi" w:hAnsiTheme="minorHAnsi"/>
                <w:sz w:val="20"/>
                <w:szCs w:val="20"/>
              </w:rPr>
            </w:pPr>
            <w:r>
              <w:t>0.199</w:t>
            </w:r>
          </w:p>
        </w:tc>
      </w:tr>
      <w:tr w:rsidR="00800C8B" w:rsidRPr="00BC7288" w14:paraId="209E30CB" w14:textId="77777777" w:rsidTr="00C362ED">
        <w:trPr>
          <w:trHeight w:val="20"/>
        </w:trPr>
        <w:tc>
          <w:tcPr>
            <w:tcW w:w="4528" w:type="dxa"/>
            <w:shd w:val="clear" w:color="auto" w:fill="F3F9FA"/>
            <w:vAlign w:val="center"/>
          </w:tcPr>
          <w:p w14:paraId="2F688538" w14:textId="17F63ED9"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Location</w:t>
            </w:r>
          </w:p>
        </w:tc>
        <w:tc>
          <w:tcPr>
            <w:tcW w:w="850" w:type="dxa"/>
            <w:shd w:val="clear" w:color="auto" w:fill="F3F9FA"/>
          </w:tcPr>
          <w:p w14:paraId="57CB7FBF" w14:textId="72DE9706" w:rsidR="00800C8B" w:rsidRPr="00BC7288" w:rsidRDefault="00800C8B" w:rsidP="00800C8B">
            <w:pPr>
              <w:spacing w:before="0" w:after="0" w:line="200" w:lineRule="exact"/>
              <w:jc w:val="center"/>
              <w:rPr>
                <w:rFonts w:asciiTheme="minorHAnsi" w:hAnsiTheme="minorHAnsi"/>
                <w:sz w:val="20"/>
                <w:szCs w:val="20"/>
              </w:rPr>
            </w:pPr>
            <w:r>
              <w:t>8262</w:t>
            </w:r>
          </w:p>
        </w:tc>
        <w:tc>
          <w:tcPr>
            <w:tcW w:w="992" w:type="dxa"/>
            <w:shd w:val="clear" w:color="auto" w:fill="F3F9FA"/>
          </w:tcPr>
          <w:p w14:paraId="34F0AA63"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0FC5764E"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255835C0"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4412CF0E" w14:textId="2E749F62" w:rsidR="00800C8B" w:rsidRPr="00BC7288" w:rsidRDefault="00800C8B" w:rsidP="00800C8B">
            <w:pPr>
              <w:spacing w:before="0" w:after="0" w:line="200" w:lineRule="exact"/>
              <w:jc w:val="center"/>
              <w:rPr>
                <w:rFonts w:asciiTheme="minorHAnsi" w:hAnsiTheme="minorHAnsi"/>
                <w:sz w:val="20"/>
                <w:szCs w:val="20"/>
              </w:rPr>
            </w:pPr>
            <w:r>
              <w:t>0.307</w:t>
            </w:r>
          </w:p>
        </w:tc>
      </w:tr>
      <w:tr w:rsidR="00800C8B" w:rsidRPr="00BC7288" w14:paraId="51400D6F" w14:textId="77777777" w:rsidTr="00C362ED">
        <w:trPr>
          <w:trHeight w:val="20"/>
        </w:trPr>
        <w:tc>
          <w:tcPr>
            <w:tcW w:w="4528" w:type="dxa"/>
            <w:shd w:val="clear" w:color="auto" w:fill="F3F9FA"/>
            <w:vAlign w:val="center"/>
          </w:tcPr>
          <w:p w14:paraId="6FC29404"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[RD]</w:t>
            </w:r>
          </w:p>
        </w:tc>
        <w:tc>
          <w:tcPr>
            <w:tcW w:w="850" w:type="dxa"/>
            <w:shd w:val="clear" w:color="auto" w:fill="F3F9FA"/>
          </w:tcPr>
          <w:p w14:paraId="16B5471B"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43758EC8" w14:textId="3E937AC8" w:rsidR="00800C8B" w:rsidRPr="00BC7288" w:rsidRDefault="00800C8B" w:rsidP="00800C8B">
            <w:pPr>
              <w:spacing w:before="0" w:after="0" w:line="200" w:lineRule="exact"/>
              <w:jc w:val="center"/>
              <w:rPr>
                <w:rFonts w:asciiTheme="minorHAnsi" w:hAnsiTheme="minorHAnsi"/>
                <w:sz w:val="20"/>
                <w:szCs w:val="20"/>
              </w:rPr>
            </w:pPr>
            <w:r>
              <w:t>7.605</w:t>
            </w:r>
          </w:p>
        </w:tc>
        <w:tc>
          <w:tcPr>
            <w:tcW w:w="992" w:type="dxa"/>
            <w:shd w:val="clear" w:color="auto" w:fill="F3F9FA"/>
          </w:tcPr>
          <w:p w14:paraId="0FF35C6F" w14:textId="5FE1B4D9" w:rsidR="00800C8B" w:rsidRPr="00BC7288" w:rsidRDefault="00800C8B" w:rsidP="00800C8B">
            <w:pPr>
              <w:spacing w:before="0" w:after="0" w:line="200" w:lineRule="exact"/>
              <w:jc w:val="center"/>
              <w:rPr>
                <w:rFonts w:asciiTheme="minorHAnsi" w:hAnsiTheme="minorHAnsi"/>
                <w:sz w:val="20"/>
                <w:szCs w:val="20"/>
              </w:rPr>
            </w:pPr>
            <w:r>
              <w:t>45.12</w:t>
            </w:r>
          </w:p>
        </w:tc>
        <w:tc>
          <w:tcPr>
            <w:tcW w:w="997" w:type="dxa"/>
            <w:shd w:val="clear" w:color="auto" w:fill="F3F9FA"/>
          </w:tcPr>
          <w:p w14:paraId="062DD6A2" w14:textId="6E28A136" w:rsidR="00800C8B" w:rsidRPr="00BC7288" w:rsidRDefault="00800C8B" w:rsidP="00800C8B">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278FC332"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20C6B9F1" w14:textId="77777777" w:rsidTr="00811FA5">
        <w:trPr>
          <w:trHeight w:val="20"/>
        </w:trPr>
        <w:tc>
          <w:tcPr>
            <w:tcW w:w="4528" w:type="dxa"/>
            <w:shd w:val="clear" w:color="auto" w:fill="F3F9FA"/>
            <w:vAlign w:val="center"/>
          </w:tcPr>
          <w:p w14:paraId="215044F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[UG]</w:t>
            </w:r>
          </w:p>
        </w:tc>
        <w:tc>
          <w:tcPr>
            <w:tcW w:w="850" w:type="dxa"/>
            <w:shd w:val="clear" w:color="auto" w:fill="F3F9FA"/>
          </w:tcPr>
          <w:p w14:paraId="1F72E2A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156D93C9" w14:textId="2E8A5378" w:rsidR="00800C8B" w:rsidRPr="00BC7288" w:rsidRDefault="00800C8B" w:rsidP="00800C8B">
            <w:pPr>
              <w:spacing w:before="0" w:after="0" w:line="200" w:lineRule="exact"/>
              <w:jc w:val="center"/>
              <w:rPr>
                <w:rFonts w:asciiTheme="minorHAnsi" w:hAnsiTheme="minorHAnsi"/>
                <w:sz w:val="20"/>
                <w:szCs w:val="20"/>
              </w:rPr>
            </w:pPr>
            <w:r>
              <w:t>8.831</w:t>
            </w:r>
          </w:p>
        </w:tc>
        <w:tc>
          <w:tcPr>
            <w:tcW w:w="992" w:type="dxa"/>
            <w:shd w:val="clear" w:color="auto" w:fill="F3F9FA"/>
          </w:tcPr>
          <w:p w14:paraId="27CB3035" w14:textId="1DFC7514" w:rsidR="00800C8B" w:rsidRPr="00BC7288" w:rsidRDefault="00800C8B" w:rsidP="00800C8B">
            <w:pPr>
              <w:spacing w:before="0" w:after="0" w:line="200" w:lineRule="exact"/>
              <w:jc w:val="center"/>
              <w:rPr>
                <w:rFonts w:asciiTheme="minorHAnsi" w:hAnsiTheme="minorHAnsi"/>
                <w:sz w:val="20"/>
                <w:szCs w:val="20"/>
              </w:rPr>
            </w:pPr>
            <w:r>
              <w:t>228.83</w:t>
            </w:r>
          </w:p>
        </w:tc>
        <w:tc>
          <w:tcPr>
            <w:tcW w:w="997" w:type="dxa"/>
            <w:shd w:val="clear" w:color="auto" w:fill="F3F9FA"/>
          </w:tcPr>
          <w:p w14:paraId="39051ED9" w14:textId="7FBED0B7" w:rsidR="00800C8B" w:rsidRPr="00BC7288" w:rsidRDefault="00800C8B" w:rsidP="00800C8B">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147D2A26" w14:textId="77777777" w:rsidR="00800C8B" w:rsidRPr="00BC7288" w:rsidRDefault="00800C8B" w:rsidP="00800C8B">
            <w:pPr>
              <w:spacing w:before="0" w:after="0" w:line="200" w:lineRule="exact"/>
              <w:jc w:val="center"/>
              <w:rPr>
                <w:rFonts w:asciiTheme="minorHAnsi" w:hAnsiTheme="minorHAnsi"/>
                <w:sz w:val="20"/>
                <w:szCs w:val="20"/>
              </w:rPr>
            </w:pPr>
          </w:p>
        </w:tc>
      </w:tr>
      <w:tr w:rsidR="00811FA5" w:rsidRPr="00811FA5" w14:paraId="58CEDC72" w14:textId="77777777" w:rsidTr="00811FA5">
        <w:trPr>
          <w:trHeight w:val="20"/>
        </w:trPr>
        <w:tc>
          <w:tcPr>
            <w:tcW w:w="4528" w:type="dxa"/>
            <w:shd w:val="clear" w:color="auto" w:fill="F3F9FA"/>
          </w:tcPr>
          <w:p w14:paraId="0ED52889" w14:textId="5CD5D9F4" w:rsidR="00811FA5" w:rsidRPr="00BC7288" w:rsidRDefault="0063478C" w:rsidP="00811FA5">
            <w:pPr>
              <w:tabs>
                <w:tab w:val="left" w:pos="548"/>
              </w:tabs>
              <w:spacing w:before="0" w:after="0" w:line="200" w:lineRule="exact"/>
              <w:rPr>
                <w:caps/>
                <w:sz w:val="20"/>
                <w:szCs w:val="20"/>
              </w:rPr>
            </w:pPr>
            <w:r>
              <w:rPr>
                <w:caps/>
                <w:sz w:val="20"/>
                <w:szCs w:val="20"/>
              </w:rPr>
              <w:t xml:space="preserve"> per cent</w:t>
            </w:r>
            <w:r w:rsidR="00811FA5" w:rsidRPr="00811FA5">
              <w:rPr>
                <w:caps/>
                <w:sz w:val="20"/>
                <w:szCs w:val="20"/>
              </w:rPr>
              <w:t xml:space="preserve"> cover = s(date) + </w:t>
            </w:r>
            <w:r w:rsidR="00811FA5">
              <w:rPr>
                <w:caps/>
                <w:sz w:val="20"/>
                <w:szCs w:val="20"/>
              </w:rPr>
              <w:t>Loc</w:t>
            </w:r>
            <w:r w:rsidR="00811FA5" w:rsidRPr="00811FA5">
              <w:rPr>
                <w:caps/>
                <w:sz w:val="20"/>
                <w:szCs w:val="20"/>
              </w:rPr>
              <w:t xml:space="preserve">tn </w:t>
            </w:r>
            <w:r w:rsidR="00811FA5" w:rsidRPr="00811FA5">
              <w:rPr>
                <w:sz w:val="20"/>
                <w:szCs w:val="20"/>
              </w:rPr>
              <w:t>(no rand – convrg pb)</w:t>
            </w:r>
          </w:p>
        </w:tc>
        <w:tc>
          <w:tcPr>
            <w:tcW w:w="850" w:type="dxa"/>
            <w:shd w:val="clear" w:color="auto" w:fill="F3F9FA"/>
          </w:tcPr>
          <w:p w14:paraId="2280D993" w14:textId="59E53D95" w:rsidR="00811FA5" w:rsidRPr="00811FA5" w:rsidRDefault="00811FA5" w:rsidP="00811FA5">
            <w:pPr>
              <w:tabs>
                <w:tab w:val="left" w:pos="548"/>
              </w:tabs>
              <w:spacing w:before="0" w:after="0" w:line="200" w:lineRule="exact"/>
              <w:rPr>
                <w:caps/>
                <w:sz w:val="20"/>
                <w:szCs w:val="20"/>
              </w:rPr>
            </w:pPr>
            <w:r w:rsidRPr="00811FA5">
              <w:rPr>
                <w:caps/>
                <w:sz w:val="20"/>
                <w:szCs w:val="20"/>
              </w:rPr>
              <w:t>8262</w:t>
            </w:r>
          </w:p>
        </w:tc>
        <w:tc>
          <w:tcPr>
            <w:tcW w:w="992" w:type="dxa"/>
            <w:shd w:val="clear" w:color="auto" w:fill="F3F9FA"/>
          </w:tcPr>
          <w:p w14:paraId="4427B305" w14:textId="77777777" w:rsidR="00811FA5" w:rsidRPr="00811FA5" w:rsidRDefault="00811FA5" w:rsidP="00811FA5">
            <w:pPr>
              <w:tabs>
                <w:tab w:val="left" w:pos="548"/>
              </w:tabs>
              <w:spacing w:before="0" w:after="0" w:line="200" w:lineRule="exact"/>
              <w:rPr>
                <w:caps/>
                <w:sz w:val="20"/>
                <w:szCs w:val="20"/>
              </w:rPr>
            </w:pPr>
          </w:p>
        </w:tc>
        <w:tc>
          <w:tcPr>
            <w:tcW w:w="992" w:type="dxa"/>
            <w:shd w:val="clear" w:color="auto" w:fill="F3F9FA"/>
          </w:tcPr>
          <w:p w14:paraId="420B9FC2" w14:textId="77777777" w:rsidR="00811FA5" w:rsidRPr="00811FA5" w:rsidRDefault="00811FA5" w:rsidP="00811FA5">
            <w:pPr>
              <w:tabs>
                <w:tab w:val="left" w:pos="548"/>
              </w:tabs>
              <w:spacing w:before="0" w:after="0" w:line="200" w:lineRule="exact"/>
              <w:rPr>
                <w:caps/>
                <w:sz w:val="20"/>
                <w:szCs w:val="20"/>
              </w:rPr>
            </w:pPr>
          </w:p>
        </w:tc>
        <w:tc>
          <w:tcPr>
            <w:tcW w:w="997" w:type="dxa"/>
            <w:shd w:val="clear" w:color="auto" w:fill="F3F9FA"/>
          </w:tcPr>
          <w:p w14:paraId="52FCA041" w14:textId="77777777" w:rsidR="00811FA5" w:rsidRPr="00811FA5" w:rsidRDefault="00811FA5" w:rsidP="00811FA5">
            <w:pPr>
              <w:tabs>
                <w:tab w:val="left" w:pos="548"/>
              </w:tabs>
              <w:spacing w:before="0" w:after="0" w:line="200" w:lineRule="exact"/>
              <w:rPr>
                <w:caps/>
                <w:sz w:val="20"/>
                <w:szCs w:val="20"/>
              </w:rPr>
            </w:pPr>
          </w:p>
        </w:tc>
        <w:tc>
          <w:tcPr>
            <w:tcW w:w="850" w:type="dxa"/>
            <w:shd w:val="clear" w:color="auto" w:fill="F3F9FA"/>
          </w:tcPr>
          <w:p w14:paraId="409CC218" w14:textId="4A785266" w:rsidR="00811FA5" w:rsidRPr="00811FA5" w:rsidRDefault="00811FA5" w:rsidP="00811FA5">
            <w:pPr>
              <w:tabs>
                <w:tab w:val="left" w:pos="548"/>
              </w:tabs>
              <w:spacing w:before="0" w:after="0" w:line="200" w:lineRule="exact"/>
              <w:rPr>
                <w:caps/>
                <w:sz w:val="20"/>
                <w:szCs w:val="20"/>
              </w:rPr>
            </w:pPr>
            <w:r w:rsidRPr="00811FA5">
              <w:rPr>
                <w:caps/>
                <w:sz w:val="20"/>
                <w:szCs w:val="20"/>
              </w:rPr>
              <w:t>0.447</w:t>
            </w:r>
          </w:p>
        </w:tc>
      </w:tr>
      <w:tr w:rsidR="00811FA5" w:rsidRPr="00811FA5" w14:paraId="5F7581D1" w14:textId="77777777" w:rsidTr="00811FA5">
        <w:trPr>
          <w:trHeight w:val="20"/>
        </w:trPr>
        <w:tc>
          <w:tcPr>
            <w:tcW w:w="4528" w:type="dxa"/>
            <w:shd w:val="clear" w:color="auto" w:fill="F3F9FA"/>
          </w:tcPr>
          <w:p w14:paraId="08C6AB84" w14:textId="62DC8DEF" w:rsidR="00811FA5" w:rsidRPr="00BC7288" w:rsidRDefault="00811FA5" w:rsidP="00811FA5">
            <w:pPr>
              <w:tabs>
                <w:tab w:val="left" w:pos="548"/>
              </w:tabs>
              <w:spacing w:before="0" w:after="0" w:line="200" w:lineRule="exact"/>
              <w:rPr>
                <w:caps/>
                <w:sz w:val="20"/>
                <w:szCs w:val="20"/>
              </w:rPr>
            </w:pPr>
            <w:r w:rsidRPr="00BC7288">
              <w:rPr>
                <w:caps/>
                <w:sz w:val="20"/>
                <w:szCs w:val="20"/>
              </w:rPr>
              <w:tab/>
            </w:r>
            <w:r w:rsidRPr="00811FA5">
              <w:rPr>
                <w:caps/>
                <w:sz w:val="20"/>
                <w:szCs w:val="20"/>
              </w:rPr>
              <w:t>Estuarine intertidal [RD]</w:t>
            </w:r>
          </w:p>
        </w:tc>
        <w:tc>
          <w:tcPr>
            <w:tcW w:w="850" w:type="dxa"/>
            <w:shd w:val="clear" w:color="auto" w:fill="F3F9FA"/>
          </w:tcPr>
          <w:p w14:paraId="48AE99AE" w14:textId="77777777" w:rsidR="00811FA5" w:rsidRPr="00811FA5" w:rsidRDefault="00811FA5" w:rsidP="00811FA5">
            <w:pPr>
              <w:tabs>
                <w:tab w:val="left" w:pos="548"/>
              </w:tabs>
              <w:spacing w:before="0" w:after="0" w:line="200" w:lineRule="exact"/>
              <w:rPr>
                <w:caps/>
                <w:sz w:val="20"/>
                <w:szCs w:val="20"/>
              </w:rPr>
            </w:pPr>
          </w:p>
        </w:tc>
        <w:tc>
          <w:tcPr>
            <w:tcW w:w="992" w:type="dxa"/>
            <w:shd w:val="clear" w:color="auto" w:fill="F3F9FA"/>
          </w:tcPr>
          <w:p w14:paraId="6D4A80EC" w14:textId="386EDD19" w:rsidR="00811FA5" w:rsidRPr="00811FA5" w:rsidRDefault="00811FA5" w:rsidP="00811FA5">
            <w:pPr>
              <w:tabs>
                <w:tab w:val="left" w:pos="548"/>
              </w:tabs>
              <w:spacing w:before="0" w:after="0" w:line="200" w:lineRule="exact"/>
              <w:rPr>
                <w:caps/>
                <w:sz w:val="20"/>
                <w:szCs w:val="20"/>
              </w:rPr>
            </w:pPr>
            <w:r w:rsidRPr="00811FA5">
              <w:rPr>
                <w:caps/>
                <w:sz w:val="20"/>
                <w:szCs w:val="20"/>
              </w:rPr>
              <w:t>4.721</w:t>
            </w:r>
          </w:p>
        </w:tc>
        <w:tc>
          <w:tcPr>
            <w:tcW w:w="992" w:type="dxa"/>
            <w:shd w:val="clear" w:color="auto" w:fill="F3F9FA"/>
          </w:tcPr>
          <w:p w14:paraId="5E40E055" w14:textId="1024E00D" w:rsidR="00811FA5" w:rsidRPr="00811FA5" w:rsidRDefault="00811FA5" w:rsidP="00811FA5">
            <w:pPr>
              <w:tabs>
                <w:tab w:val="left" w:pos="548"/>
              </w:tabs>
              <w:spacing w:before="0" w:after="0" w:line="200" w:lineRule="exact"/>
              <w:rPr>
                <w:caps/>
                <w:sz w:val="20"/>
                <w:szCs w:val="20"/>
              </w:rPr>
            </w:pPr>
            <w:r w:rsidRPr="00811FA5">
              <w:rPr>
                <w:caps/>
                <w:sz w:val="20"/>
                <w:szCs w:val="20"/>
              </w:rPr>
              <w:t>173.82</w:t>
            </w:r>
          </w:p>
        </w:tc>
        <w:tc>
          <w:tcPr>
            <w:tcW w:w="997" w:type="dxa"/>
            <w:shd w:val="clear" w:color="auto" w:fill="F3F9FA"/>
          </w:tcPr>
          <w:p w14:paraId="79EB0DCB" w14:textId="71B40FA3" w:rsidR="00811FA5" w:rsidRPr="00811FA5" w:rsidRDefault="00811FA5" w:rsidP="00811FA5">
            <w:pPr>
              <w:tabs>
                <w:tab w:val="left" w:pos="548"/>
              </w:tabs>
              <w:spacing w:before="0" w:after="0" w:line="200" w:lineRule="exact"/>
              <w:rPr>
                <w:caps/>
                <w:sz w:val="20"/>
                <w:szCs w:val="20"/>
              </w:rPr>
            </w:pPr>
            <w:r w:rsidRPr="00811FA5">
              <w:rPr>
                <w:caps/>
                <w:sz w:val="20"/>
                <w:szCs w:val="20"/>
              </w:rPr>
              <w:t>&lt;2e-16</w:t>
            </w:r>
          </w:p>
        </w:tc>
        <w:tc>
          <w:tcPr>
            <w:tcW w:w="850" w:type="dxa"/>
            <w:shd w:val="clear" w:color="auto" w:fill="F3F9FA"/>
          </w:tcPr>
          <w:p w14:paraId="497D1AAF" w14:textId="77777777" w:rsidR="00811FA5" w:rsidRPr="00811FA5" w:rsidRDefault="00811FA5" w:rsidP="00811FA5">
            <w:pPr>
              <w:tabs>
                <w:tab w:val="left" w:pos="548"/>
              </w:tabs>
              <w:spacing w:before="0" w:after="0" w:line="200" w:lineRule="exact"/>
              <w:rPr>
                <w:caps/>
                <w:sz w:val="20"/>
                <w:szCs w:val="20"/>
              </w:rPr>
            </w:pPr>
          </w:p>
        </w:tc>
      </w:tr>
      <w:tr w:rsidR="00811FA5" w:rsidRPr="00811FA5" w14:paraId="64CB5EAC" w14:textId="77777777" w:rsidTr="00811FA5">
        <w:trPr>
          <w:trHeight w:val="20"/>
        </w:trPr>
        <w:tc>
          <w:tcPr>
            <w:tcW w:w="4528" w:type="dxa"/>
            <w:shd w:val="clear" w:color="auto" w:fill="F3F9FA"/>
          </w:tcPr>
          <w:p w14:paraId="375E4C66" w14:textId="77D75B22" w:rsidR="00811FA5" w:rsidRPr="00BC7288" w:rsidRDefault="00811FA5" w:rsidP="00811FA5">
            <w:pPr>
              <w:tabs>
                <w:tab w:val="left" w:pos="548"/>
              </w:tabs>
              <w:spacing w:before="0" w:after="0" w:line="200" w:lineRule="exact"/>
              <w:rPr>
                <w:caps/>
                <w:sz w:val="20"/>
                <w:szCs w:val="20"/>
              </w:rPr>
            </w:pPr>
            <w:r w:rsidRPr="00BC7288">
              <w:rPr>
                <w:caps/>
                <w:sz w:val="20"/>
                <w:szCs w:val="20"/>
              </w:rPr>
              <w:tab/>
            </w:r>
            <w:r w:rsidRPr="00811FA5">
              <w:rPr>
                <w:caps/>
                <w:sz w:val="20"/>
                <w:szCs w:val="20"/>
              </w:rPr>
              <w:t>Estuarine intertidal [UG]</w:t>
            </w:r>
          </w:p>
        </w:tc>
        <w:tc>
          <w:tcPr>
            <w:tcW w:w="850" w:type="dxa"/>
            <w:shd w:val="clear" w:color="auto" w:fill="F3F9FA"/>
          </w:tcPr>
          <w:p w14:paraId="37A5A98A" w14:textId="77777777" w:rsidR="00811FA5" w:rsidRPr="00811FA5" w:rsidRDefault="00811FA5" w:rsidP="00811FA5">
            <w:pPr>
              <w:tabs>
                <w:tab w:val="left" w:pos="548"/>
              </w:tabs>
              <w:spacing w:before="0" w:after="0" w:line="200" w:lineRule="exact"/>
              <w:rPr>
                <w:caps/>
                <w:sz w:val="20"/>
                <w:szCs w:val="20"/>
              </w:rPr>
            </w:pPr>
          </w:p>
        </w:tc>
        <w:tc>
          <w:tcPr>
            <w:tcW w:w="992" w:type="dxa"/>
            <w:shd w:val="clear" w:color="auto" w:fill="F3F9FA"/>
          </w:tcPr>
          <w:p w14:paraId="6965EDB8" w14:textId="6A763023" w:rsidR="00811FA5" w:rsidRPr="00811FA5" w:rsidRDefault="00811FA5" w:rsidP="00811FA5">
            <w:pPr>
              <w:tabs>
                <w:tab w:val="left" w:pos="548"/>
              </w:tabs>
              <w:spacing w:before="0" w:after="0" w:line="200" w:lineRule="exact"/>
              <w:rPr>
                <w:caps/>
                <w:sz w:val="20"/>
                <w:szCs w:val="20"/>
              </w:rPr>
            </w:pPr>
            <w:r w:rsidRPr="00811FA5">
              <w:rPr>
                <w:caps/>
                <w:sz w:val="20"/>
                <w:szCs w:val="20"/>
              </w:rPr>
              <w:t>8.917</w:t>
            </w:r>
          </w:p>
        </w:tc>
        <w:tc>
          <w:tcPr>
            <w:tcW w:w="992" w:type="dxa"/>
            <w:shd w:val="clear" w:color="auto" w:fill="F3F9FA"/>
          </w:tcPr>
          <w:p w14:paraId="065D9CD7" w14:textId="5321AC25" w:rsidR="00811FA5" w:rsidRPr="00811FA5" w:rsidRDefault="00811FA5" w:rsidP="00811FA5">
            <w:pPr>
              <w:tabs>
                <w:tab w:val="left" w:pos="548"/>
              </w:tabs>
              <w:spacing w:before="0" w:after="0" w:line="200" w:lineRule="exact"/>
              <w:rPr>
                <w:caps/>
                <w:sz w:val="20"/>
                <w:szCs w:val="20"/>
              </w:rPr>
            </w:pPr>
            <w:r w:rsidRPr="00811FA5">
              <w:rPr>
                <w:caps/>
                <w:sz w:val="20"/>
                <w:szCs w:val="20"/>
              </w:rPr>
              <w:t>12.04</w:t>
            </w:r>
          </w:p>
        </w:tc>
        <w:tc>
          <w:tcPr>
            <w:tcW w:w="997" w:type="dxa"/>
            <w:shd w:val="clear" w:color="auto" w:fill="F3F9FA"/>
          </w:tcPr>
          <w:p w14:paraId="50569449" w14:textId="4DD5E3D4" w:rsidR="00811FA5" w:rsidRPr="00811FA5" w:rsidRDefault="00811FA5" w:rsidP="00811FA5">
            <w:pPr>
              <w:tabs>
                <w:tab w:val="left" w:pos="548"/>
              </w:tabs>
              <w:spacing w:before="0" w:after="0" w:line="200" w:lineRule="exact"/>
              <w:rPr>
                <w:caps/>
                <w:sz w:val="20"/>
                <w:szCs w:val="20"/>
              </w:rPr>
            </w:pPr>
            <w:r w:rsidRPr="00811FA5">
              <w:rPr>
                <w:caps/>
                <w:sz w:val="20"/>
                <w:szCs w:val="20"/>
              </w:rPr>
              <w:t>&lt; 2e-16</w:t>
            </w:r>
          </w:p>
        </w:tc>
        <w:tc>
          <w:tcPr>
            <w:tcW w:w="850" w:type="dxa"/>
            <w:shd w:val="clear" w:color="auto" w:fill="F3F9FA"/>
          </w:tcPr>
          <w:p w14:paraId="2483867E" w14:textId="77777777" w:rsidR="00811FA5" w:rsidRPr="00811FA5" w:rsidRDefault="00811FA5" w:rsidP="00811FA5">
            <w:pPr>
              <w:tabs>
                <w:tab w:val="left" w:pos="548"/>
              </w:tabs>
              <w:spacing w:before="0" w:after="0" w:line="200" w:lineRule="exact"/>
              <w:rPr>
                <w:caps/>
                <w:sz w:val="20"/>
                <w:szCs w:val="20"/>
              </w:rPr>
            </w:pPr>
          </w:p>
        </w:tc>
      </w:tr>
      <w:tr w:rsidR="00811FA5" w:rsidRPr="00811FA5" w14:paraId="7F5BA141" w14:textId="77777777" w:rsidTr="00811FA5">
        <w:trPr>
          <w:trHeight w:val="20"/>
        </w:trPr>
        <w:tc>
          <w:tcPr>
            <w:tcW w:w="4528" w:type="dxa"/>
            <w:tcBorders>
              <w:bottom w:val="single" w:sz="4" w:space="0" w:color="auto"/>
            </w:tcBorders>
            <w:shd w:val="clear" w:color="auto" w:fill="F3F9FA"/>
          </w:tcPr>
          <w:p w14:paraId="0094C4C8" w14:textId="1C78D9AD" w:rsidR="00811FA5" w:rsidRPr="00BC7288" w:rsidRDefault="00811FA5" w:rsidP="00811FA5">
            <w:pPr>
              <w:tabs>
                <w:tab w:val="left" w:pos="548"/>
              </w:tabs>
              <w:spacing w:before="0" w:after="0" w:line="200" w:lineRule="exact"/>
              <w:rPr>
                <w:caps/>
                <w:sz w:val="20"/>
                <w:szCs w:val="20"/>
              </w:rPr>
            </w:pPr>
            <w:r w:rsidRPr="00BC7288">
              <w:rPr>
                <w:caps/>
                <w:sz w:val="20"/>
                <w:szCs w:val="20"/>
              </w:rPr>
              <w:tab/>
            </w:r>
            <w:r w:rsidRPr="00811FA5">
              <w:rPr>
                <w:caps/>
                <w:sz w:val="20"/>
                <w:szCs w:val="20"/>
              </w:rPr>
              <w:t>Coastal intertidal [BH]</w:t>
            </w:r>
          </w:p>
        </w:tc>
        <w:tc>
          <w:tcPr>
            <w:tcW w:w="850" w:type="dxa"/>
            <w:tcBorders>
              <w:bottom w:val="single" w:sz="4" w:space="0" w:color="auto"/>
            </w:tcBorders>
            <w:shd w:val="clear" w:color="auto" w:fill="F3F9FA"/>
          </w:tcPr>
          <w:p w14:paraId="664DE1EE" w14:textId="77777777" w:rsidR="00811FA5" w:rsidRPr="00811FA5" w:rsidRDefault="00811FA5" w:rsidP="00811FA5">
            <w:pPr>
              <w:tabs>
                <w:tab w:val="left" w:pos="548"/>
              </w:tabs>
              <w:spacing w:before="0" w:after="0" w:line="200" w:lineRule="exact"/>
              <w:rPr>
                <w:caps/>
                <w:sz w:val="20"/>
                <w:szCs w:val="20"/>
              </w:rPr>
            </w:pPr>
          </w:p>
        </w:tc>
        <w:tc>
          <w:tcPr>
            <w:tcW w:w="992" w:type="dxa"/>
            <w:tcBorders>
              <w:bottom w:val="single" w:sz="4" w:space="0" w:color="auto"/>
            </w:tcBorders>
            <w:shd w:val="clear" w:color="auto" w:fill="F3F9FA"/>
          </w:tcPr>
          <w:p w14:paraId="54E146EB" w14:textId="7C26A6AF" w:rsidR="00811FA5" w:rsidRPr="00811FA5" w:rsidRDefault="00811FA5" w:rsidP="00811FA5">
            <w:pPr>
              <w:tabs>
                <w:tab w:val="left" w:pos="548"/>
              </w:tabs>
              <w:spacing w:before="0" w:after="0" w:line="200" w:lineRule="exact"/>
              <w:rPr>
                <w:caps/>
                <w:sz w:val="20"/>
                <w:szCs w:val="20"/>
              </w:rPr>
            </w:pPr>
            <w:r w:rsidRPr="00811FA5">
              <w:rPr>
                <w:caps/>
                <w:sz w:val="20"/>
                <w:szCs w:val="20"/>
              </w:rPr>
              <w:t>8.258</w:t>
            </w:r>
          </w:p>
        </w:tc>
        <w:tc>
          <w:tcPr>
            <w:tcW w:w="992" w:type="dxa"/>
            <w:tcBorders>
              <w:bottom w:val="single" w:sz="4" w:space="0" w:color="auto"/>
            </w:tcBorders>
            <w:shd w:val="clear" w:color="auto" w:fill="F3F9FA"/>
          </w:tcPr>
          <w:p w14:paraId="616A9A68" w14:textId="71D588E6" w:rsidR="00811FA5" w:rsidRPr="00811FA5" w:rsidRDefault="00811FA5" w:rsidP="00811FA5">
            <w:pPr>
              <w:tabs>
                <w:tab w:val="left" w:pos="548"/>
              </w:tabs>
              <w:spacing w:before="0" w:after="0" w:line="200" w:lineRule="exact"/>
              <w:rPr>
                <w:caps/>
                <w:sz w:val="20"/>
                <w:szCs w:val="20"/>
              </w:rPr>
            </w:pPr>
            <w:r w:rsidRPr="00811FA5">
              <w:rPr>
                <w:caps/>
                <w:sz w:val="20"/>
                <w:szCs w:val="20"/>
              </w:rPr>
              <w:t>64.74</w:t>
            </w:r>
          </w:p>
        </w:tc>
        <w:tc>
          <w:tcPr>
            <w:tcW w:w="997" w:type="dxa"/>
            <w:tcBorders>
              <w:bottom w:val="single" w:sz="4" w:space="0" w:color="auto"/>
            </w:tcBorders>
            <w:shd w:val="clear" w:color="auto" w:fill="F3F9FA"/>
          </w:tcPr>
          <w:p w14:paraId="51B27D58" w14:textId="27F1CD2D" w:rsidR="00811FA5" w:rsidRPr="00811FA5" w:rsidRDefault="00811FA5" w:rsidP="00811FA5">
            <w:pPr>
              <w:tabs>
                <w:tab w:val="left" w:pos="548"/>
              </w:tabs>
              <w:spacing w:before="0" w:after="0" w:line="200" w:lineRule="exact"/>
              <w:rPr>
                <w:caps/>
                <w:sz w:val="20"/>
                <w:szCs w:val="20"/>
              </w:rPr>
            </w:pPr>
            <w:r w:rsidRPr="00811FA5">
              <w:rPr>
                <w:caps/>
                <w:sz w:val="20"/>
                <w:szCs w:val="20"/>
              </w:rPr>
              <w:t>&lt;2e-16</w:t>
            </w:r>
          </w:p>
        </w:tc>
        <w:tc>
          <w:tcPr>
            <w:tcW w:w="850" w:type="dxa"/>
            <w:tcBorders>
              <w:bottom w:val="single" w:sz="4" w:space="0" w:color="auto"/>
            </w:tcBorders>
            <w:shd w:val="clear" w:color="auto" w:fill="F3F9FA"/>
          </w:tcPr>
          <w:p w14:paraId="477F7295" w14:textId="77777777" w:rsidR="00811FA5" w:rsidRPr="00811FA5" w:rsidRDefault="00811FA5" w:rsidP="00811FA5">
            <w:pPr>
              <w:tabs>
                <w:tab w:val="left" w:pos="548"/>
              </w:tabs>
              <w:spacing w:before="0" w:after="0" w:line="200" w:lineRule="exact"/>
              <w:rPr>
                <w:caps/>
                <w:sz w:val="20"/>
                <w:szCs w:val="20"/>
              </w:rPr>
            </w:pPr>
          </w:p>
        </w:tc>
      </w:tr>
    </w:tbl>
    <w:p w14:paraId="02D806A1" w14:textId="77777777" w:rsidR="00123944" w:rsidRDefault="00123944">
      <w:pPr>
        <w:spacing w:before="0" w:after="0"/>
        <w:rPr>
          <w:color w:val="000000"/>
        </w:rPr>
      </w:pPr>
    </w:p>
    <w:p w14:paraId="07ECB6C7" w14:textId="77777777" w:rsidR="007D5603" w:rsidRPr="00E95049" w:rsidRDefault="007D5603">
      <w:pPr>
        <w:spacing w:before="0" w:after="0"/>
      </w:pPr>
    </w:p>
    <w:p w14:paraId="34830B2E" w14:textId="14FB4BBC" w:rsidR="00CE1FF0" w:rsidRPr="00E95049" w:rsidRDefault="00FF73F0" w:rsidP="00CE1FF0">
      <w:pPr>
        <w:jc w:val="center"/>
        <w:rPr>
          <w:i/>
          <w:vanish/>
          <w:szCs w:val="22"/>
          <w:specVanish/>
        </w:rPr>
      </w:pPr>
      <w:bookmarkStart w:id="1257" w:name="_Toc516053481"/>
      <w:r w:rsidRPr="00E95049">
        <w:t xml:space="preserve">Table </w:t>
      </w:r>
      <w:r w:rsidR="00C506C7">
        <w:rPr>
          <w:noProof/>
        </w:rPr>
        <w:fldChar w:fldCharType="begin"/>
      </w:r>
      <w:r w:rsidR="00C506C7">
        <w:rPr>
          <w:noProof/>
        </w:rPr>
        <w:instrText xml:space="preserve"> SEQ Table \* ARABIC </w:instrText>
      </w:r>
      <w:r w:rsidR="00C506C7">
        <w:rPr>
          <w:noProof/>
        </w:rPr>
        <w:fldChar w:fldCharType="separate"/>
      </w:r>
      <w:r w:rsidR="00F87DF9">
        <w:rPr>
          <w:noProof/>
        </w:rPr>
        <w:t>57</w:t>
      </w:r>
      <w:r w:rsidR="00C506C7">
        <w:rPr>
          <w:noProof/>
        </w:rPr>
        <w:fldChar w:fldCharType="end"/>
      </w:r>
      <w:r w:rsidRPr="00E95049">
        <w:t xml:space="preserve">. </w:t>
      </w:r>
      <w:r w:rsidRPr="00E95049">
        <w:rPr>
          <w:i/>
        </w:rPr>
        <w:t xml:space="preserve"> Summary of GAMM statistical output for light vs time analysis for </w:t>
      </w:r>
      <w:r w:rsidR="008574EC">
        <w:rPr>
          <w:i/>
        </w:rPr>
        <w:t>2016–17</w:t>
      </w:r>
      <w:r w:rsidR="0041685B" w:rsidRPr="00E95049">
        <w:rPr>
          <w:i/>
        </w:rPr>
        <w:t>.</w:t>
      </w:r>
      <w:bookmarkEnd w:id="1257"/>
      <w:r w:rsidR="00CE1FF0" w:rsidRPr="00E95049">
        <w:rPr>
          <w:i/>
          <w:vanish/>
          <w:szCs w:val="22"/>
          <w:specVanish/>
        </w:rPr>
        <w:t xml:space="preserve"> </w:t>
      </w:r>
    </w:p>
    <w:p w14:paraId="2250C280" w14:textId="77777777" w:rsidR="00FF73F0" w:rsidRPr="00E95049" w:rsidRDefault="0041685B" w:rsidP="00FF73F0">
      <w:pPr>
        <w:jc w:val="center"/>
        <w:rPr>
          <w:i/>
        </w:rPr>
      </w:pPr>
      <w:r w:rsidRPr="00E95049">
        <w:rPr>
          <w:i/>
        </w:rPr>
        <w:t>For site/location details, see Tables 3 &amp; 4. n = number of data points analysed, EDF = array of estimated degrees of freedom for the model terms.</w:t>
      </w:r>
    </w:p>
    <w:tbl>
      <w:tblPr>
        <w:tblW w:w="9209" w:type="dxa"/>
        <w:tblLayout w:type="fixed"/>
        <w:tblLook w:val="04A0" w:firstRow="1" w:lastRow="0" w:firstColumn="1" w:lastColumn="0" w:noHBand="0" w:noVBand="1"/>
      </w:tblPr>
      <w:tblGrid>
        <w:gridCol w:w="4531"/>
        <w:gridCol w:w="851"/>
        <w:gridCol w:w="992"/>
        <w:gridCol w:w="992"/>
        <w:gridCol w:w="993"/>
        <w:gridCol w:w="850"/>
      </w:tblGrid>
      <w:tr w:rsidR="00245D08" w:rsidRPr="00BC7288" w14:paraId="15281C4E" w14:textId="77777777" w:rsidTr="00245D08">
        <w:trPr>
          <w:trHeight w:val="260"/>
          <w:tblHeader/>
        </w:trPr>
        <w:tc>
          <w:tcPr>
            <w:tcW w:w="4531" w:type="dxa"/>
            <w:tcBorders>
              <w:top w:val="single" w:sz="4" w:space="0" w:color="auto"/>
              <w:bottom w:val="single" w:sz="4" w:space="0" w:color="auto"/>
            </w:tcBorders>
            <w:shd w:val="clear" w:color="auto" w:fill="BBE0E3"/>
            <w:vAlign w:val="center"/>
          </w:tcPr>
          <w:p w14:paraId="0F426A5E" w14:textId="77777777" w:rsidR="00123944" w:rsidRPr="00BC7288" w:rsidRDefault="00245D08" w:rsidP="00245D08">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models</w:t>
            </w:r>
          </w:p>
        </w:tc>
        <w:tc>
          <w:tcPr>
            <w:tcW w:w="851" w:type="dxa"/>
            <w:tcBorders>
              <w:top w:val="single" w:sz="4" w:space="0" w:color="auto"/>
              <w:bottom w:val="single" w:sz="4" w:space="0" w:color="auto"/>
            </w:tcBorders>
            <w:shd w:val="clear" w:color="auto" w:fill="BBE0E3"/>
            <w:vAlign w:val="center"/>
          </w:tcPr>
          <w:p w14:paraId="01F73EAA"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n</w:t>
            </w:r>
          </w:p>
        </w:tc>
        <w:tc>
          <w:tcPr>
            <w:tcW w:w="992" w:type="dxa"/>
            <w:tcBorders>
              <w:top w:val="single" w:sz="4" w:space="0" w:color="auto"/>
              <w:bottom w:val="single" w:sz="4" w:space="0" w:color="auto"/>
            </w:tcBorders>
            <w:shd w:val="clear" w:color="auto" w:fill="BBE0E3"/>
            <w:vAlign w:val="center"/>
          </w:tcPr>
          <w:p w14:paraId="052BC12D" w14:textId="77777777" w:rsidR="00123944" w:rsidRPr="00BC7288" w:rsidRDefault="00123944" w:rsidP="00245D08">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E</w:t>
            </w:r>
            <w:r w:rsidR="00245D08" w:rsidRPr="00BC7288">
              <w:rPr>
                <w:rFonts w:asciiTheme="minorHAnsi" w:hAnsiTheme="minorHAnsi" w:cs="TimesNewRoman"/>
                <w:b/>
                <w:caps/>
                <w:color w:val="000000"/>
                <w:sz w:val="20"/>
                <w:szCs w:val="20"/>
              </w:rPr>
              <w:t>df</w:t>
            </w:r>
          </w:p>
        </w:tc>
        <w:tc>
          <w:tcPr>
            <w:tcW w:w="992" w:type="dxa"/>
            <w:tcBorders>
              <w:top w:val="single" w:sz="4" w:space="0" w:color="auto"/>
              <w:bottom w:val="single" w:sz="4" w:space="0" w:color="auto"/>
            </w:tcBorders>
            <w:shd w:val="clear" w:color="auto" w:fill="BBE0E3"/>
            <w:vAlign w:val="center"/>
          </w:tcPr>
          <w:p w14:paraId="7A9E7E6A"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F</w:t>
            </w:r>
          </w:p>
        </w:tc>
        <w:tc>
          <w:tcPr>
            <w:tcW w:w="993" w:type="dxa"/>
            <w:tcBorders>
              <w:top w:val="single" w:sz="4" w:space="0" w:color="auto"/>
              <w:bottom w:val="single" w:sz="4" w:space="0" w:color="auto"/>
            </w:tcBorders>
            <w:shd w:val="clear" w:color="auto" w:fill="BBE0E3"/>
            <w:vAlign w:val="center"/>
          </w:tcPr>
          <w:p w14:paraId="2D6499A4"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i/>
                <w:caps/>
                <w:color w:val="000000"/>
                <w:sz w:val="20"/>
                <w:szCs w:val="20"/>
              </w:rPr>
              <w:t>p</w:t>
            </w:r>
            <w:r w:rsidRPr="00BC7288">
              <w:rPr>
                <w:rFonts w:asciiTheme="minorHAnsi" w:hAnsiTheme="minorHAnsi" w:cs="TimesNewRoman"/>
                <w:b/>
                <w:caps/>
                <w:color w:val="000000"/>
                <w:sz w:val="20"/>
                <w:szCs w:val="20"/>
              </w:rPr>
              <w:t>-value</w:t>
            </w:r>
          </w:p>
        </w:tc>
        <w:tc>
          <w:tcPr>
            <w:tcW w:w="850" w:type="dxa"/>
            <w:tcBorders>
              <w:top w:val="single" w:sz="4" w:space="0" w:color="auto"/>
              <w:bottom w:val="single" w:sz="4" w:space="0" w:color="auto"/>
            </w:tcBorders>
            <w:shd w:val="clear" w:color="auto" w:fill="BBE0E3"/>
            <w:vAlign w:val="center"/>
          </w:tcPr>
          <w:p w14:paraId="0766FDED"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R-sq (adj)</w:t>
            </w:r>
          </w:p>
        </w:tc>
      </w:tr>
      <w:tr w:rsidR="00245D08" w:rsidRPr="00BC7288" w14:paraId="164AB5DA" w14:textId="77777777" w:rsidTr="00245D08">
        <w:trPr>
          <w:trHeight w:val="198"/>
        </w:trPr>
        <w:tc>
          <w:tcPr>
            <w:tcW w:w="4531" w:type="dxa"/>
            <w:tcBorders>
              <w:top w:val="single" w:sz="4" w:space="0" w:color="auto"/>
            </w:tcBorders>
            <w:shd w:val="clear" w:color="auto" w:fill="E7F3F4"/>
          </w:tcPr>
          <w:p w14:paraId="3ED2A072" w14:textId="77777777" w:rsidR="001D7DCF" w:rsidRPr="00BC7288" w:rsidRDefault="001D7DCF"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GBR-wide</w:t>
            </w:r>
          </w:p>
        </w:tc>
        <w:tc>
          <w:tcPr>
            <w:tcW w:w="851" w:type="dxa"/>
            <w:tcBorders>
              <w:top w:val="single" w:sz="4" w:space="0" w:color="auto"/>
            </w:tcBorders>
            <w:shd w:val="clear" w:color="auto" w:fill="E7F3F4"/>
          </w:tcPr>
          <w:p w14:paraId="31621386" w14:textId="77777777" w:rsidR="001D7DCF" w:rsidRPr="00BC7288" w:rsidRDefault="001D7DCF"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1A93DAEB" w14:textId="77777777" w:rsidR="001D7DCF" w:rsidRPr="00BC7288" w:rsidRDefault="001D7DCF"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354217AE" w14:textId="77777777" w:rsidR="001D7DCF" w:rsidRPr="00BC7288" w:rsidRDefault="001D7DCF"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43932B6D" w14:textId="77777777" w:rsidR="001D7DCF" w:rsidRPr="00BC7288" w:rsidRDefault="001D7DCF"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7FF5DDCB" w14:textId="77777777" w:rsidR="001D7DCF" w:rsidRPr="00BC7288" w:rsidRDefault="001D7DCF" w:rsidP="001D7DCF">
            <w:pPr>
              <w:spacing w:before="0" w:after="0" w:line="200" w:lineRule="exact"/>
              <w:jc w:val="center"/>
              <w:rPr>
                <w:rFonts w:asciiTheme="minorHAnsi" w:hAnsiTheme="minorHAnsi"/>
                <w:b/>
                <w:sz w:val="20"/>
                <w:szCs w:val="20"/>
              </w:rPr>
            </w:pPr>
          </w:p>
        </w:tc>
      </w:tr>
      <w:tr w:rsidR="009B4F14" w:rsidRPr="00BC7288" w14:paraId="2038DDB9" w14:textId="77777777" w:rsidTr="00245D08">
        <w:trPr>
          <w:trHeight w:val="174"/>
        </w:trPr>
        <w:tc>
          <w:tcPr>
            <w:tcW w:w="4531" w:type="dxa"/>
            <w:shd w:val="clear" w:color="auto" w:fill="F3F9FA"/>
          </w:tcPr>
          <w:p w14:paraId="4B2F1E79"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69B0DD39" w14:textId="702FBE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41130</w:t>
            </w:r>
          </w:p>
        </w:tc>
        <w:tc>
          <w:tcPr>
            <w:tcW w:w="992" w:type="dxa"/>
            <w:shd w:val="clear" w:color="auto" w:fill="F3F9FA"/>
          </w:tcPr>
          <w:p w14:paraId="4123C8AC" w14:textId="13328C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15.96</w:t>
            </w:r>
          </w:p>
        </w:tc>
        <w:tc>
          <w:tcPr>
            <w:tcW w:w="992" w:type="dxa"/>
            <w:shd w:val="clear" w:color="auto" w:fill="F3F9FA"/>
          </w:tcPr>
          <w:p w14:paraId="14D636B8" w14:textId="4E9E1B4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194.9</w:t>
            </w:r>
          </w:p>
        </w:tc>
        <w:tc>
          <w:tcPr>
            <w:tcW w:w="993" w:type="dxa"/>
            <w:shd w:val="clear" w:color="auto" w:fill="F3F9FA"/>
          </w:tcPr>
          <w:p w14:paraId="78FDE836" w14:textId="6D88E8D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FC268BC" w14:textId="5195677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0.0728   </w:t>
            </w:r>
          </w:p>
        </w:tc>
      </w:tr>
      <w:tr w:rsidR="009B4F14" w:rsidRPr="00BC7288" w14:paraId="2F726349" w14:textId="77777777" w:rsidTr="00245D08">
        <w:trPr>
          <w:trHeight w:val="150"/>
        </w:trPr>
        <w:tc>
          <w:tcPr>
            <w:tcW w:w="4531" w:type="dxa"/>
            <w:shd w:val="clear" w:color="auto" w:fill="F3F9FA"/>
          </w:tcPr>
          <w:p w14:paraId="409ECB7D"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26F1469D" w14:textId="18D237E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41130</w:t>
            </w:r>
          </w:p>
        </w:tc>
        <w:tc>
          <w:tcPr>
            <w:tcW w:w="992" w:type="dxa"/>
            <w:shd w:val="clear" w:color="auto" w:fill="F3F9FA"/>
          </w:tcPr>
          <w:p w14:paraId="112EC47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A33AB06"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3B34DBF3"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75E6B9CA" w14:textId="5582D34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0.268</w:t>
            </w:r>
          </w:p>
        </w:tc>
      </w:tr>
      <w:tr w:rsidR="009B4F14" w:rsidRPr="00BC7288" w14:paraId="331D72A0" w14:textId="77777777" w:rsidTr="00245D08">
        <w:tc>
          <w:tcPr>
            <w:tcW w:w="4531" w:type="dxa"/>
            <w:shd w:val="clear" w:color="auto" w:fill="F3F9FA"/>
          </w:tcPr>
          <w:p w14:paraId="5257A66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0796E6A8"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31B6178" w14:textId="769FD2C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14.04</w:t>
            </w:r>
          </w:p>
        </w:tc>
        <w:tc>
          <w:tcPr>
            <w:tcW w:w="992" w:type="dxa"/>
            <w:shd w:val="clear" w:color="auto" w:fill="F3F9FA"/>
          </w:tcPr>
          <w:p w14:paraId="0C771968" w14:textId="7F46B12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64.46</w:t>
            </w:r>
          </w:p>
        </w:tc>
        <w:tc>
          <w:tcPr>
            <w:tcW w:w="993" w:type="dxa"/>
            <w:shd w:val="clear" w:color="auto" w:fill="F3F9FA"/>
          </w:tcPr>
          <w:p w14:paraId="501651F8" w14:textId="087A2DF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35370DD"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B2AC936" w14:textId="77777777" w:rsidTr="00245D08">
        <w:tc>
          <w:tcPr>
            <w:tcW w:w="4531" w:type="dxa"/>
            <w:shd w:val="clear" w:color="auto" w:fill="F3F9FA"/>
          </w:tcPr>
          <w:p w14:paraId="0BC341A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w:t>
            </w:r>
          </w:p>
        </w:tc>
        <w:tc>
          <w:tcPr>
            <w:tcW w:w="851" w:type="dxa"/>
            <w:shd w:val="clear" w:color="auto" w:fill="F3F9FA"/>
          </w:tcPr>
          <w:p w14:paraId="5CB9EF11"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4154BBF" w14:textId="6287A92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12.97</w:t>
            </w:r>
          </w:p>
        </w:tc>
        <w:tc>
          <w:tcPr>
            <w:tcW w:w="992" w:type="dxa"/>
            <w:shd w:val="clear" w:color="auto" w:fill="F3F9FA"/>
          </w:tcPr>
          <w:p w14:paraId="2007BFCC" w14:textId="5F67C5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50.03</w:t>
            </w:r>
          </w:p>
        </w:tc>
        <w:tc>
          <w:tcPr>
            <w:tcW w:w="993" w:type="dxa"/>
            <w:shd w:val="clear" w:color="auto" w:fill="F3F9FA"/>
          </w:tcPr>
          <w:p w14:paraId="6455ADAE" w14:textId="2E54F6C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5F4CB5F"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35F063F" w14:textId="77777777" w:rsidTr="00245D08">
        <w:tc>
          <w:tcPr>
            <w:tcW w:w="4531" w:type="dxa"/>
            <w:shd w:val="clear" w:color="auto" w:fill="F3F9FA"/>
          </w:tcPr>
          <w:p w14:paraId="1376045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3190804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F94F583" w14:textId="1EB0F9B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15.91</w:t>
            </w:r>
          </w:p>
        </w:tc>
        <w:tc>
          <w:tcPr>
            <w:tcW w:w="992" w:type="dxa"/>
            <w:shd w:val="clear" w:color="auto" w:fill="F3F9FA"/>
          </w:tcPr>
          <w:p w14:paraId="609B6965" w14:textId="126D1B8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93.08</w:t>
            </w:r>
          </w:p>
        </w:tc>
        <w:tc>
          <w:tcPr>
            <w:tcW w:w="993" w:type="dxa"/>
            <w:shd w:val="clear" w:color="auto" w:fill="F3F9FA"/>
          </w:tcPr>
          <w:p w14:paraId="45273A7B" w14:textId="02AB4D0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CFB650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31E36E65" w14:textId="77777777" w:rsidTr="00245D08">
        <w:tc>
          <w:tcPr>
            <w:tcW w:w="4531" w:type="dxa"/>
            <w:shd w:val="clear" w:color="auto" w:fill="F3F9FA"/>
          </w:tcPr>
          <w:p w14:paraId="0F7F76C8"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w:t>
            </w:r>
          </w:p>
        </w:tc>
        <w:tc>
          <w:tcPr>
            <w:tcW w:w="851" w:type="dxa"/>
            <w:shd w:val="clear" w:color="auto" w:fill="F3F9FA"/>
          </w:tcPr>
          <w:p w14:paraId="27FC8C9B"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EAAE7C2" w14:textId="567E00C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15.91</w:t>
            </w:r>
          </w:p>
        </w:tc>
        <w:tc>
          <w:tcPr>
            <w:tcW w:w="992" w:type="dxa"/>
            <w:shd w:val="clear" w:color="auto" w:fill="F3F9FA"/>
          </w:tcPr>
          <w:p w14:paraId="1D89C1F7" w14:textId="495C8A1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103.61</w:t>
            </w:r>
          </w:p>
        </w:tc>
        <w:tc>
          <w:tcPr>
            <w:tcW w:w="993" w:type="dxa"/>
            <w:shd w:val="clear" w:color="auto" w:fill="F3F9FA"/>
          </w:tcPr>
          <w:p w14:paraId="48E2D4F5" w14:textId="163202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11085A2"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31D3EAD" w14:textId="77777777" w:rsidTr="00245D08">
        <w:trPr>
          <w:trHeight w:val="47"/>
        </w:trPr>
        <w:tc>
          <w:tcPr>
            <w:tcW w:w="4531" w:type="dxa"/>
            <w:shd w:val="clear" w:color="auto" w:fill="F3F9FA"/>
          </w:tcPr>
          <w:p w14:paraId="7D0EEAA9"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NRM region</w:t>
            </w:r>
          </w:p>
        </w:tc>
        <w:tc>
          <w:tcPr>
            <w:tcW w:w="851" w:type="dxa"/>
            <w:shd w:val="clear" w:color="auto" w:fill="F3F9FA"/>
          </w:tcPr>
          <w:p w14:paraId="404D4AA8" w14:textId="4CDE78C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41130</w:t>
            </w:r>
          </w:p>
        </w:tc>
        <w:tc>
          <w:tcPr>
            <w:tcW w:w="992" w:type="dxa"/>
            <w:shd w:val="clear" w:color="auto" w:fill="F3F9FA"/>
          </w:tcPr>
          <w:p w14:paraId="7035F33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0C032D6"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86B1BE0"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50193BF0" w14:textId="1402438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0.183   </w:t>
            </w:r>
          </w:p>
        </w:tc>
      </w:tr>
      <w:tr w:rsidR="009B4F14" w:rsidRPr="00BC7288" w14:paraId="34170EC5" w14:textId="77777777" w:rsidTr="00245D08">
        <w:trPr>
          <w:trHeight w:val="185"/>
        </w:trPr>
        <w:tc>
          <w:tcPr>
            <w:tcW w:w="4531" w:type="dxa"/>
            <w:shd w:val="clear" w:color="auto" w:fill="F3F9FA"/>
          </w:tcPr>
          <w:p w14:paraId="43FA608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Cape York</w:t>
            </w:r>
          </w:p>
        </w:tc>
        <w:tc>
          <w:tcPr>
            <w:tcW w:w="851" w:type="dxa"/>
            <w:shd w:val="clear" w:color="auto" w:fill="F3F9FA"/>
          </w:tcPr>
          <w:p w14:paraId="77568B5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E2C5016" w14:textId="549583D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7.41</w:t>
            </w:r>
          </w:p>
        </w:tc>
        <w:tc>
          <w:tcPr>
            <w:tcW w:w="992" w:type="dxa"/>
            <w:shd w:val="clear" w:color="auto" w:fill="F3F9FA"/>
          </w:tcPr>
          <w:p w14:paraId="150940EC" w14:textId="3A7D898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44.28</w:t>
            </w:r>
          </w:p>
        </w:tc>
        <w:tc>
          <w:tcPr>
            <w:tcW w:w="993" w:type="dxa"/>
            <w:shd w:val="clear" w:color="auto" w:fill="F3F9FA"/>
          </w:tcPr>
          <w:p w14:paraId="1F0C6AEA" w14:textId="2C123C2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A6E49E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BECB1D9" w14:textId="77777777" w:rsidTr="00245D08">
        <w:trPr>
          <w:trHeight w:val="118"/>
        </w:trPr>
        <w:tc>
          <w:tcPr>
            <w:tcW w:w="4531" w:type="dxa"/>
            <w:shd w:val="clear" w:color="auto" w:fill="F3F9FA"/>
          </w:tcPr>
          <w:p w14:paraId="739E773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Wet Tropics</w:t>
            </w:r>
          </w:p>
        </w:tc>
        <w:tc>
          <w:tcPr>
            <w:tcW w:w="851" w:type="dxa"/>
            <w:shd w:val="clear" w:color="auto" w:fill="F3F9FA"/>
          </w:tcPr>
          <w:p w14:paraId="214FE55A"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11E710F" w14:textId="6374B5F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15.91</w:t>
            </w:r>
          </w:p>
        </w:tc>
        <w:tc>
          <w:tcPr>
            <w:tcW w:w="992" w:type="dxa"/>
            <w:shd w:val="clear" w:color="auto" w:fill="F3F9FA"/>
          </w:tcPr>
          <w:p w14:paraId="57E40B3D" w14:textId="382167A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111.86</w:t>
            </w:r>
          </w:p>
        </w:tc>
        <w:tc>
          <w:tcPr>
            <w:tcW w:w="993" w:type="dxa"/>
            <w:shd w:val="clear" w:color="auto" w:fill="F3F9FA"/>
          </w:tcPr>
          <w:p w14:paraId="6290053D" w14:textId="543B35A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A25EC72"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425D23DD" w14:textId="77777777" w:rsidTr="00245D08">
        <w:trPr>
          <w:trHeight w:val="192"/>
        </w:trPr>
        <w:tc>
          <w:tcPr>
            <w:tcW w:w="4531" w:type="dxa"/>
            <w:shd w:val="clear" w:color="auto" w:fill="F3F9FA"/>
          </w:tcPr>
          <w:p w14:paraId="326FA2E8"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Burdekin</w:t>
            </w:r>
          </w:p>
        </w:tc>
        <w:tc>
          <w:tcPr>
            <w:tcW w:w="851" w:type="dxa"/>
            <w:shd w:val="clear" w:color="auto" w:fill="F3F9FA"/>
          </w:tcPr>
          <w:p w14:paraId="7FC9664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C65EDB6" w14:textId="1415262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15.82</w:t>
            </w:r>
          </w:p>
        </w:tc>
        <w:tc>
          <w:tcPr>
            <w:tcW w:w="992" w:type="dxa"/>
            <w:shd w:val="clear" w:color="auto" w:fill="F3F9FA"/>
          </w:tcPr>
          <w:p w14:paraId="1D5D4E3D" w14:textId="5FA7FC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85.03</w:t>
            </w:r>
          </w:p>
        </w:tc>
        <w:tc>
          <w:tcPr>
            <w:tcW w:w="993" w:type="dxa"/>
            <w:shd w:val="clear" w:color="auto" w:fill="F3F9FA"/>
          </w:tcPr>
          <w:p w14:paraId="1F8F3C06" w14:textId="5446AFB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54FE7F0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68840A4E" w14:textId="77777777" w:rsidTr="00245D08">
        <w:trPr>
          <w:trHeight w:val="124"/>
        </w:trPr>
        <w:tc>
          <w:tcPr>
            <w:tcW w:w="4531" w:type="dxa"/>
            <w:shd w:val="clear" w:color="auto" w:fill="F3F9FA"/>
          </w:tcPr>
          <w:p w14:paraId="0A359EB8"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Mackay Whitsunday</w:t>
            </w:r>
          </w:p>
        </w:tc>
        <w:tc>
          <w:tcPr>
            <w:tcW w:w="851" w:type="dxa"/>
            <w:shd w:val="clear" w:color="auto" w:fill="F3F9FA"/>
          </w:tcPr>
          <w:p w14:paraId="4616AC9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EE916F1" w14:textId="3D38736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13.37</w:t>
            </w:r>
          </w:p>
        </w:tc>
        <w:tc>
          <w:tcPr>
            <w:tcW w:w="992" w:type="dxa"/>
            <w:shd w:val="clear" w:color="auto" w:fill="F3F9FA"/>
          </w:tcPr>
          <w:p w14:paraId="7F220AD1" w14:textId="34B12B8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92.83  </w:t>
            </w:r>
          </w:p>
        </w:tc>
        <w:tc>
          <w:tcPr>
            <w:tcW w:w="993" w:type="dxa"/>
            <w:shd w:val="clear" w:color="auto" w:fill="F3F9FA"/>
          </w:tcPr>
          <w:p w14:paraId="5805EA16" w14:textId="1BEE65D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5F23910"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474FF07" w14:textId="77777777" w:rsidTr="00245D08">
        <w:trPr>
          <w:trHeight w:val="198"/>
        </w:trPr>
        <w:tc>
          <w:tcPr>
            <w:tcW w:w="4531" w:type="dxa"/>
            <w:shd w:val="clear" w:color="auto" w:fill="F3F9FA"/>
          </w:tcPr>
          <w:p w14:paraId="2C8C36F7"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Fitzroy</w:t>
            </w:r>
          </w:p>
        </w:tc>
        <w:tc>
          <w:tcPr>
            <w:tcW w:w="851" w:type="dxa"/>
            <w:shd w:val="clear" w:color="auto" w:fill="F3F9FA"/>
          </w:tcPr>
          <w:p w14:paraId="1A25796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AAF0577" w14:textId="00D8453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13.28</w:t>
            </w:r>
          </w:p>
        </w:tc>
        <w:tc>
          <w:tcPr>
            <w:tcW w:w="992" w:type="dxa"/>
            <w:shd w:val="clear" w:color="auto" w:fill="F3F9FA"/>
          </w:tcPr>
          <w:p w14:paraId="17715DAE" w14:textId="57C4534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31.05</w:t>
            </w:r>
          </w:p>
        </w:tc>
        <w:tc>
          <w:tcPr>
            <w:tcW w:w="993" w:type="dxa"/>
            <w:shd w:val="clear" w:color="auto" w:fill="F3F9FA"/>
          </w:tcPr>
          <w:p w14:paraId="73239F92" w14:textId="463BDB1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8AD8931"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D4D320E" w14:textId="77777777" w:rsidTr="00245D08">
        <w:trPr>
          <w:trHeight w:val="129"/>
        </w:trPr>
        <w:tc>
          <w:tcPr>
            <w:tcW w:w="4531" w:type="dxa"/>
            <w:tcBorders>
              <w:bottom w:val="single" w:sz="4" w:space="0" w:color="auto"/>
            </w:tcBorders>
            <w:shd w:val="clear" w:color="auto" w:fill="F3F9FA"/>
          </w:tcPr>
          <w:p w14:paraId="4768B4C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Burnett Mary</w:t>
            </w:r>
          </w:p>
        </w:tc>
        <w:tc>
          <w:tcPr>
            <w:tcW w:w="851" w:type="dxa"/>
            <w:tcBorders>
              <w:bottom w:val="single" w:sz="4" w:space="0" w:color="auto"/>
            </w:tcBorders>
            <w:shd w:val="clear" w:color="auto" w:fill="F3F9FA"/>
          </w:tcPr>
          <w:p w14:paraId="16EB9B8C"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67BB0341" w14:textId="3B59F0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11.72</w:t>
            </w:r>
          </w:p>
        </w:tc>
        <w:tc>
          <w:tcPr>
            <w:tcW w:w="992" w:type="dxa"/>
            <w:tcBorders>
              <w:bottom w:val="single" w:sz="4" w:space="0" w:color="auto"/>
            </w:tcBorders>
            <w:shd w:val="clear" w:color="auto" w:fill="F3F9FA"/>
          </w:tcPr>
          <w:p w14:paraId="0C78B3B3" w14:textId="70E1E24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29.38</w:t>
            </w:r>
          </w:p>
        </w:tc>
        <w:tc>
          <w:tcPr>
            <w:tcW w:w="993" w:type="dxa"/>
            <w:tcBorders>
              <w:bottom w:val="single" w:sz="4" w:space="0" w:color="auto"/>
            </w:tcBorders>
            <w:shd w:val="clear" w:color="auto" w:fill="F3F9FA"/>
          </w:tcPr>
          <w:p w14:paraId="0D92A0C3" w14:textId="4E73322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4D2E1E4C"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090B8DD4" w14:textId="77777777" w:rsidTr="00245D08">
        <w:trPr>
          <w:trHeight w:val="204"/>
        </w:trPr>
        <w:tc>
          <w:tcPr>
            <w:tcW w:w="4531" w:type="dxa"/>
            <w:tcBorders>
              <w:top w:val="single" w:sz="4" w:space="0" w:color="auto"/>
            </w:tcBorders>
            <w:shd w:val="clear" w:color="auto" w:fill="E7F3F4"/>
          </w:tcPr>
          <w:p w14:paraId="15864B3C"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Cape York</w:t>
            </w:r>
          </w:p>
        </w:tc>
        <w:tc>
          <w:tcPr>
            <w:tcW w:w="851" w:type="dxa"/>
            <w:tcBorders>
              <w:top w:val="single" w:sz="4" w:space="0" w:color="auto"/>
            </w:tcBorders>
            <w:shd w:val="clear" w:color="auto" w:fill="E7F3F4"/>
          </w:tcPr>
          <w:p w14:paraId="5C00F1EB"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2B4DBC42"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603BFB6D"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7829816D"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B5723F6"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709AB0A8" w14:textId="77777777" w:rsidTr="00245D08">
        <w:trPr>
          <w:trHeight w:val="136"/>
        </w:trPr>
        <w:tc>
          <w:tcPr>
            <w:tcW w:w="4531" w:type="dxa"/>
            <w:shd w:val="clear" w:color="auto" w:fill="F3F9FA"/>
          </w:tcPr>
          <w:p w14:paraId="1B4CC26D"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6ACBA337" w14:textId="730745B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3380</w:t>
            </w:r>
          </w:p>
        </w:tc>
        <w:tc>
          <w:tcPr>
            <w:tcW w:w="992" w:type="dxa"/>
            <w:shd w:val="clear" w:color="auto" w:fill="F3F9FA"/>
          </w:tcPr>
          <w:p w14:paraId="21416A18" w14:textId="3FD2E2C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5.948</w:t>
            </w:r>
          </w:p>
        </w:tc>
        <w:tc>
          <w:tcPr>
            <w:tcW w:w="992" w:type="dxa"/>
            <w:shd w:val="clear" w:color="auto" w:fill="F3F9FA"/>
          </w:tcPr>
          <w:p w14:paraId="658FF0F6" w14:textId="3F22630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87.31</w:t>
            </w:r>
          </w:p>
        </w:tc>
        <w:tc>
          <w:tcPr>
            <w:tcW w:w="993" w:type="dxa"/>
            <w:shd w:val="clear" w:color="auto" w:fill="F3F9FA"/>
          </w:tcPr>
          <w:p w14:paraId="5E1BE9D4" w14:textId="28D41D6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FE64966" w14:textId="6C61821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0.113</w:t>
            </w:r>
          </w:p>
        </w:tc>
      </w:tr>
      <w:tr w:rsidR="009B4F14" w:rsidRPr="00BC7288" w14:paraId="69AD9466" w14:textId="77777777" w:rsidTr="00245D08">
        <w:trPr>
          <w:trHeight w:val="195"/>
        </w:trPr>
        <w:tc>
          <w:tcPr>
            <w:tcW w:w="4531" w:type="dxa"/>
            <w:shd w:val="clear" w:color="auto" w:fill="F3F9FA"/>
          </w:tcPr>
          <w:p w14:paraId="79781EBB"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103FD5F6" w14:textId="1DF9DEB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3380</w:t>
            </w:r>
          </w:p>
        </w:tc>
        <w:tc>
          <w:tcPr>
            <w:tcW w:w="992" w:type="dxa"/>
            <w:shd w:val="clear" w:color="auto" w:fill="F3F9FA"/>
          </w:tcPr>
          <w:p w14:paraId="7BFFF2B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5103B97"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7ACADE4D"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53BF36FE" w14:textId="3F7207F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0.403   </w:t>
            </w:r>
          </w:p>
        </w:tc>
      </w:tr>
      <w:tr w:rsidR="009B4F14" w:rsidRPr="00BC7288" w14:paraId="5BB8122C" w14:textId="77777777" w:rsidTr="00245D08">
        <w:tc>
          <w:tcPr>
            <w:tcW w:w="4531" w:type="dxa"/>
            <w:shd w:val="clear" w:color="auto" w:fill="F3F9FA"/>
          </w:tcPr>
          <w:p w14:paraId="4322FCFF"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3050AAB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1B1ED6C" w14:textId="102FBFE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5.912</w:t>
            </w:r>
          </w:p>
        </w:tc>
        <w:tc>
          <w:tcPr>
            <w:tcW w:w="992" w:type="dxa"/>
            <w:shd w:val="clear" w:color="auto" w:fill="F3F9FA"/>
          </w:tcPr>
          <w:p w14:paraId="41EE11E4" w14:textId="1274A59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257.48</w:t>
            </w:r>
          </w:p>
        </w:tc>
        <w:tc>
          <w:tcPr>
            <w:tcW w:w="993" w:type="dxa"/>
            <w:shd w:val="clear" w:color="auto" w:fill="F3F9FA"/>
          </w:tcPr>
          <w:p w14:paraId="65312082" w14:textId="03DACA8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8B8FC69"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E9F142D" w14:textId="77777777" w:rsidTr="00245D08">
        <w:tc>
          <w:tcPr>
            <w:tcW w:w="4531" w:type="dxa"/>
            <w:shd w:val="clear" w:color="auto" w:fill="F3F9FA"/>
          </w:tcPr>
          <w:p w14:paraId="3F9E0D8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2D7900C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620AABE" w14:textId="2DF4109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5.912</w:t>
            </w:r>
          </w:p>
        </w:tc>
        <w:tc>
          <w:tcPr>
            <w:tcW w:w="992" w:type="dxa"/>
            <w:shd w:val="clear" w:color="auto" w:fill="F3F9FA"/>
          </w:tcPr>
          <w:p w14:paraId="7E42EE92" w14:textId="69E3220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45.17</w:t>
            </w:r>
          </w:p>
        </w:tc>
        <w:tc>
          <w:tcPr>
            <w:tcW w:w="993" w:type="dxa"/>
            <w:shd w:val="clear" w:color="auto" w:fill="F3F9FA"/>
          </w:tcPr>
          <w:p w14:paraId="68C7560A" w14:textId="39B19A1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23CB957"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A0ADC25" w14:textId="77777777" w:rsidTr="00245D08">
        <w:trPr>
          <w:trHeight w:val="133"/>
        </w:trPr>
        <w:tc>
          <w:tcPr>
            <w:tcW w:w="4531" w:type="dxa"/>
            <w:shd w:val="clear" w:color="auto" w:fill="F3F9FA"/>
          </w:tcPr>
          <w:p w14:paraId="27D5C676"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4F2B549D" w14:textId="11340F5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3380</w:t>
            </w:r>
          </w:p>
        </w:tc>
        <w:tc>
          <w:tcPr>
            <w:tcW w:w="992" w:type="dxa"/>
            <w:shd w:val="clear" w:color="auto" w:fill="F3F9FA"/>
          </w:tcPr>
          <w:p w14:paraId="4C59EA4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07D2DBD"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D5068E0"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20D44294" w14:textId="529ED6D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0.5   </w:t>
            </w:r>
          </w:p>
        </w:tc>
      </w:tr>
      <w:tr w:rsidR="009B4F14" w:rsidRPr="00BC7288" w14:paraId="18386692" w14:textId="77777777" w:rsidTr="00245D08">
        <w:trPr>
          <w:trHeight w:val="223"/>
        </w:trPr>
        <w:tc>
          <w:tcPr>
            <w:tcW w:w="4531" w:type="dxa"/>
            <w:shd w:val="clear" w:color="auto" w:fill="F3F9FA"/>
          </w:tcPr>
          <w:p w14:paraId="5DAC29A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[SR]</w:t>
            </w:r>
          </w:p>
        </w:tc>
        <w:tc>
          <w:tcPr>
            <w:tcW w:w="851" w:type="dxa"/>
            <w:shd w:val="clear" w:color="auto" w:fill="F3F9FA"/>
          </w:tcPr>
          <w:p w14:paraId="30C66D3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759B63F" w14:textId="4F2A5C7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4.126</w:t>
            </w:r>
          </w:p>
        </w:tc>
        <w:tc>
          <w:tcPr>
            <w:tcW w:w="992" w:type="dxa"/>
            <w:shd w:val="clear" w:color="auto" w:fill="F3F9FA"/>
          </w:tcPr>
          <w:p w14:paraId="57B156BE" w14:textId="35CADD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275.35</w:t>
            </w:r>
          </w:p>
        </w:tc>
        <w:tc>
          <w:tcPr>
            <w:tcW w:w="993" w:type="dxa"/>
            <w:shd w:val="clear" w:color="auto" w:fill="F3F9FA"/>
          </w:tcPr>
          <w:p w14:paraId="49599848" w14:textId="5BE49C8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D33D328"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F1C5BA7" w14:textId="77777777" w:rsidTr="00245D08">
        <w:tc>
          <w:tcPr>
            <w:tcW w:w="4531" w:type="dxa"/>
            <w:shd w:val="clear" w:color="auto" w:fill="F3F9FA"/>
          </w:tcPr>
          <w:p w14:paraId="46C3BBF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[FR]</w:t>
            </w:r>
          </w:p>
        </w:tc>
        <w:tc>
          <w:tcPr>
            <w:tcW w:w="851" w:type="dxa"/>
            <w:shd w:val="clear" w:color="auto" w:fill="F3F9FA"/>
          </w:tcPr>
          <w:p w14:paraId="5E0FC7A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E6B3D58" w14:textId="4517067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4.527</w:t>
            </w:r>
          </w:p>
        </w:tc>
        <w:tc>
          <w:tcPr>
            <w:tcW w:w="992" w:type="dxa"/>
            <w:shd w:val="clear" w:color="auto" w:fill="F3F9FA"/>
          </w:tcPr>
          <w:p w14:paraId="131D0D1F" w14:textId="429B7D8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66.04</w:t>
            </w:r>
          </w:p>
        </w:tc>
        <w:tc>
          <w:tcPr>
            <w:tcW w:w="993" w:type="dxa"/>
            <w:shd w:val="clear" w:color="auto" w:fill="F3F9FA"/>
          </w:tcPr>
          <w:p w14:paraId="5C8D21EC" w14:textId="553999D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D5B356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8DBC844" w14:textId="77777777" w:rsidTr="00245D08">
        <w:tc>
          <w:tcPr>
            <w:tcW w:w="4531" w:type="dxa"/>
            <w:shd w:val="clear" w:color="auto" w:fill="F3F9FA"/>
          </w:tcPr>
          <w:p w14:paraId="1DF4E817"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[ST]</w:t>
            </w:r>
          </w:p>
        </w:tc>
        <w:tc>
          <w:tcPr>
            <w:tcW w:w="851" w:type="dxa"/>
            <w:shd w:val="clear" w:color="auto" w:fill="F3F9FA"/>
          </w:tcPr>
          <w:p w14:paraId="57788CB3"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6BAA0C5" w14:textId="59C1D50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4.384</w:t>
            </w:r>
          </w:p>
        </w:tc>
        <w:tc>
          <w:tcPr>
            <w:tcW w:w="992" w:type="dxa"/>
            <w:shd w:val="clear" w:color="auto" w:fill="F3F9FA"/>
          </w:tcPr>
          <w:p w14:paraId="00B67512" w14:textId="0ABDF68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25.85</w:t>
            </w:r>
          </w:p>
        </w:tc>
        <w:tc>
          <w:tcPr>
            <w:tcW w:w="993" w:type="dxa"/>
            <w:shd w:val="clear" w:color="auto" w:fill="F3F9FA"/>
          </w:tcPr>
          <w:p w14:paraId="72B5DC4C" w14:textId="0359FB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5D1489F"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379DD419" w14:textId="77777777" w:rsidTr="00245D08">
        <w:tc>
          <w:tcPr>
            <w:tcW w:w="4531" w:type="dxa"/>
            <w:shd w:val="clear" w:color="auto" w:fill="F3F9FA"/>
          </w:tcPr>
          <w:p w14:paraId="729E9DA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[BY]</w:t>
            </w:r>
          </w:p>
        </w:tc>
        <w:tc>
          <w:tcPr>
            <w:tcW w:w="851" w:type="dxa"/>
            <w:shd w:val="clear" w:color="auto" w:fill="F3F9FA"/>
          </w:tcPr>
          <w:p w14:paraId="4A12544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C36F397" w14:textId="7F96A86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5.813</w:t>
            </w:r>
          </w:p>
        </w:tc>
        <w:tc>
          <w:tcPr>
            <w:tcW w:w="992" w:type="dxa"/>
            <w:shd w:val="clear" w:color="auto" w:fill="F3F9FA"/>
          </w:tcPr>
          <w:p w14:paraId="232BC79E" w14:textId="53B37B7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54.46</w:t>
            </w:r>
          </w:p>
        </w:tc>
        <w:tc>
          <w:tcPr>
            <w:tcW w:w="993" w:type="dxa"/>
            <w:shd w:val="clear" w:color="auto" w:fill="F3F9FA"/>
          </w:tcPr>
          <w:p w14:paraId="6195B11E" w14:textId="0E9CB7F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6B8B8F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AFA2A55" w14:textId="77777777" w:rsidTr="00245D08">
        <w:tc>
          <w:tcPr>
            <w:tcW w:w="4531" w:type="dxa"/>
            <w:tcBorders>
              <w:bottom w:val="single" w:sz="4" w:space="0" w:color="auto"/>
            </w:tcBorders>
            <w:shd w:val="clear" w:color="auto" w:fill="F3F9FA"/>
          </w:tcPr>
          <w:p w14:paraId="3CDE852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[AP]</w:t>
            </w:r>
          </w:p>
        </w:tc>
        <w:tc>
          <w:tcPr>
            <w:tcW w:w="851" w:type="dxa"/>
            <w:tcBorders>
              <w:bottom w:val="single" w:sz="4" w:space="0" w:color="auto"/>
            </w:tcBorders>
            <w:shd w:val="clear" w:color="auto" w:fill="F3F9FA"/>
          </w:tcPr>
          <w:p w14:paraId="3FA7A46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1D5ADED5" w14:textId="788D774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2.680</w:t>
            </w:r>
          </w:p>
        </w:tc>
        <w:tc>
          <w:tcPr>
            <w:tcW w:w="992" w:type="dxa"/>
            <w:tcBorders>
              <w:bottom w:val="single" w:sz="4" w:space="0" w:color="auto"/>
            </w:tcBorders>
            <w:shd w:val="clear" w:color="auto" w:fill="F3F9FA"/>
          </w:tcPr>
          <w:p w14:paraId="42235BEF" w14:textId="54D1DB0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21.58</w:t>
            </w:r>
          </w:p>
        </w:tc>
        <w:tc>
          <w:tcPr>
            <w:tcW w:w="993" w:type="dxa"/>
            <w:tcBorders>
              <w:bottom w:val="single" w:sz="4" w:space="0" w:color="auto"/>
            </w:tcBorders>
            <w:shd w:val="clear" w:color="auto" w:fill="F3F9FA"/>
          </w:tcPr>
          <w:p w14:paraId="618AAF65" w14:textId="47F13EB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5.43e-14</w:t>
            </w:r>
          </w:p>
        </w:tc>
        <w:tc>
          <w:tcPr>
            <w:tcW w:w="850" w:type="dxa"/>
            <w:tcBorders>
              <w:bottom w:val="single" w:sz="4" w:space="0" w:color="auto"/>
            </w:tcBorders>
            <w:shd w:val="clear" w:color="auto" w:fill="F3F9FA"/>
          </w:tcPr>
          <w:p w14:paraId="2077B226"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2F824D94" w14:textId="77777777" w:rsidTr="00245D08">
        <w:tc>
          <w:tcPr>
            <w:tcW w:w="4531" w:type="dxa"/>
            <w:tcBorders>
              <w:top w:val="single" w:sz="4" w:space="0" w:color="auto"/>
            </w:tcBorders>
            <w:shd w:val="clear" w:color="auto" w:fill="E7F3F4"/>
          </w:tcPr>
          <w:p w14:paraId="5A36C024"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Wet Tropics</w:t>
            </w:r>
          </w:p>
        </w:tc>
        <w:tc>
          <w:tcPr>
            <w:tcW w:w="851" w:type="dxa"/>
            <w:tcBorders>
              <w:top w:val="single" w:sz="4" w:space="0" w:color="auto"/>
            </w:tcBorders>
            <w:shd w:val="clear" w:color="auto" w:fill="E7F3F4"/>
          </w:tcPr>
          <w:p w14:paraId="017606F0"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27F4E135"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787074AF"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0D395F64"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D0D3A4B"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3C46CC12" w14:textId="77777777" w:rsidTr="00245D08">
        <w:tc>
          <w:tcPr>
            <w:tcW w:w="4531" w:type="dxa"/>
            <w:shd w:val="clear" w:color="auto" w:fill="F3F9FA"/>
          </w:tcPr>
          <w:p w14:paraId="34E6E3D5"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18BF3DA5" w14:textId="68A4409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14869</w:t>
            </w:r>
          </w:p>
        </w:tc>
        <w:tc>
          <w:tcPr>
            <w:tcW w:w="992" w:type="dxa"/>
            <w:shd w:val="clear" w:color="auto" w:fill="F3F9FA"/>
          </w:tcPr>
          <w:p w14:paraId="7BAC9F8E" w14:textId="720AB55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14.91</w:t>
            </w:r>
          </w:p>
        </w:tc>
        <w:tc>
          <w:tcPr>
            <w:tcW w:w="992" w:type="dxa"/>
            <w:shd w:val="clear" w:color="auto" w:fill="F3F9FA"/>
          </w:tcPr>
          <w:p w14:paraId="287208C4" w14:textId="52C5F04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93.76</w:t>
            </w:r>
          </w:p>
        </w:tc>
        <w:tc>
          <w:tcPr>
            <w:tcW w:w="993" w:type="dxa"/>
            <w:shd w:val="clear" w:color="auto" w:fill="F3F9FA"/>
          </w:tcPr>
          <w:p w14:paraId="39C71C8C" w14:textId="37077AD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69EFC6E" w14:textId="56DF54B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0.0712</w:t>
            </w:r>
          </w:p>
        </w:tc>
      </w:tr>
      <w:tr w:rsidR="009B4F14" w:rsidRPr="00BC7288" w14:paraId="59ED4F09" w14:textId="77777777" w:rsidTr="00245D08">
        <w:tc>
          <w:tcPr>
            <w:tcW w:w="4531" w:type="dxa"/>
            <w:shd w:val="clear" w:color="auto" w:fill="F3F9FA"/>
          </w:tcPr>
          <w:p w14:paraId="030FACA7"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0B5F3B8B" w14:textId="45A3E35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14869</w:t>
            </w:r>
          </w:p>
        </w:tc>
        <w:tc>
          <w:tcPr>
            <w:tcW w:w="992" w:type="dxa"/>
            <w:shd w:val="clear" w:color="auto" w:fill="F3F9FA"/>
          </w:tcPr>
          <w:p w14:paraId="5F7BF1C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0F8400C"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3EBDDD35"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14DC13B9" w14:textId="739312F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0.41</w:t>
            </w:r>
          </w:p>
        </w:tc>
      </w:tr>
      <w:tr w:rsidR="009B4F14" w:rsidRPr="00BC7288" w14:paraId="2E9001E6" w14:textId="77777777" w:rsidTr="00245D08">
        <w:tc>
          <w:tcPr>
            <w:tcW w:w="4531" w:type="dxa"/>
            <w:shd w:val="clear" w:color="auto" w:fill="F3F9FA"/>
          </w:tcPr>
          <w:p w14:paraId="7FFDFA4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4D76CF0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1F22985" w14:textId="3DE6917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12.45</w:t>
            </w:r>
          </w:p>
        </w:tc>
        <w:tc>
          <w:tcPr>
            <w:tcW w:w="992" w:type="dxa"/>
            <w:shd w:val="clear" w:color="auto" w:fill="F3F9FA"/>
          </w:tcPr>
          <w:p w14:paraId="222FC090" w14:textId="5BF1CC2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44.06</w:t>
            </w:r>
          </w:p>
        </w:tc>
        <w:tc>
          <w:tcPr>
            <w:tcW w:w="993" w:type="dxa"/>
            <w:shd w:val="clear" w:color="auto" w:fill="F3F9FA"/>
          </w:tcPr>
          <w:p w14:paraId="1CFB27B6" w14:textId="7EF52D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A2F2AF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344154D6" w14:textId="77777777" w:rsidTr="00245D08">
        <w:tc>
          <w:tcPr>
            <w:tcW w:w="4531" w:type="dxa"/>
            <w:shd w:val="clear" w:color="auto" w:fill="F3F9FA"/>
          </w:tcPr>
          <w:p w14:paraId="65A5A8E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1F4E53C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AF1D929" w14:textId="09E3A20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14.85</w:t>
            </w:r>
          </w:p>
        </w:tc>
        <w:tc>
          <w:tcPr>
            <w:tcW w:w="992" w:type="dxa"/>
            <w:shd w:val="clear" w:color="auto" w:fill="F3F9FA"/>
          </w:tcPr>
          <w:p w14:paraId="4B24ACC5" w14:textId="44C4EDC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56.96</w:t>
            </w:r>
          </w:p>
        </w:tc>
        <w:tc>
          <w:tcPr>
            <w:tcW w:w="993" w:type="dxa"/>
            <w:shd w:val="clear" w:color="auto" w:fill="F3F9FA"/>
          </w:tcPr>
          <w:p w14:paraId="5904E838" w14:textId="5F8F5B3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C4D8057"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F0CCBC1" w14:textId="77777777" w:rsidTr="00245D08">
        <w:tc>
          <w:tcPr>
            <w:tcW w:w="4531" w:type="dxa"/>
            <w:shd w:val="clear" w:color="auto" w:fill="F3F9FA"/>
          </w:tcPr>
          <w:p w14:paraId="4960574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w:t>
            </w:r>
          </w:p>
        </w:tc>
        <w:tc>
          <w:tcPr>
            <w:tcW w:w="851" w:type="dxa"/>
            <w:shd w:val="clear" w:color="auto" w:fill="F3F9FA"/>
          </w:tcPr>
          <w:p w14:paraId="100222B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CFA254A" w14:textId="375B78C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14.90</w:t>
            </w:r>
          </w:p>
        </w:tc>
        <w:tc>
          <w:tcPr>
            <w:tcW w:w="992" w:type="dxa"/>
            <w:shd w:val="clear" w:color="auto" w:fill="F3F9FA"/>
          </w:tcPr>
          <w:p w14:paraId="63754FD0" w14:textId="3EB8648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124.68</w:t>
            </w:r>
          </w:p>
        </w:tc>
        <w:tc>
          <w:tcPr>
            <w:tcW w:w="993" w:type="dxa"/>
            <w:shd w:val="clear" w:color="auto" w:fill="F3F9FA"/>
          </w:tcPr>
          <w:p w14:paraId="2683C6CA" w14:textId="045424A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86E0043"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460B82A7" w14:textId="77777777" w:rsidTr="00245D08">
        <w:tc>
          <w:tcPr>
            <w:tcW w:w="4531" w:type="dxa"/>
            <w:shd w:val="clear" w:color="auto" w:fill="F3F9FA"/>
          </w:tcPr>
          <w:p w14:paraId="48F1748B"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7210D2A2" w14:textId="71EA746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14869</w:t>
            </w:r>
          </w:p>
        </w:tc>
        <w:tc>
          <w:tcPr>
            <w:tcW w:w="992" w:type="dxa"/>
            <w:shd w:val="clear" w:color="auto" w:fill="F3F9FA"/>
          </w:tcPr>
          <w:p w14:paraId="0A6D7E6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596D81D"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26ED87D6"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0180D22C" w14:textId="4208085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0.479   </w:t>
            </w:r>
          </w:p>
        </w:tc>
      </w:tr>
      <w:tr w:rsidR="009B4F14" w:rsidRPr="00BC7288" w14:paraId="79C24B12" w14:textId="77777777" w:rsidTr="00245D08">
        <w:tc>
          <w:tcPr>
            <w:tcW w:w="4531" w:type="dxa"/>
            <w:shd w:val="clear" w:color="auto" w:fill="F3F9FA"/>
          </w:tcPr>
          <w:p w14:paraId="42A0220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[LI1]</w:t>
            </w:r>
          </w:p>
        </w:tc>
        <w:tc>
          <w:tcPr>
            <w:tcW w:w="851" w:type="dxa"/>
            <w:shd w:val="clear" w:color="auto" w:fill="F3F9FA"/>
          </w:tcPr>
          <w:p w14:paraId="14453D6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F528039" w14:textId="35E1C61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14.76</w:t>
            </w:r>
          </w:p>
        </w:tc>
        <w:tc>
          <w:tcPr>
            <w:tcW w:w="992" w:type="dxa"/>
            <w:shd w:val="clear" w:color="auto" w:fill="F3F9FA"/>
          </w:tcPr>
          <w:p w14:paraId="5B0DEDB0" w14:textId="0B48979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73.90</w:t>
            </w:r>
          </w:p>
        </w:tc>
        <w:tc>
          <w:tcPr>
            <w:tcW w:w="993" w:type="dxa"/>
            <w:shd w:val="clear" w:color="auto" w:fill="F3F9FA"/>
          </w:tcPr>
          <w:p w14:paraId="406450C1" w14:textId="4794B82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37AD17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345A588" w14:textId="77777777" w:rsidTr="00245D08">
        <w:tc>
          <w:tcPr>
            <w:tcW w:w="4531" w:type="dxa"/>
            <w:shd w:val="clear" w:color="auto" w:fill="F3F9FA"/>
          </w:tcPr>
          <w:p w14:paraId="2DC6DC0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[LI2]</w:t>
            </w:r>
          </w:p>
        </w:tc>
        <w:tc>
          <w:tcPr>
            <w:tcW w:w="851" w:type="dxa"/>
            <w:shd w:val="clear" w:color="auto" w:fill="F3F9FA"/>
          </w:tcPr>
          <w:p w14:paraId="40F33D4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E828CA2" w14:textId="707B263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14.72</w:t>
            </w:r>
          </w:p>
        </w:tc>
        <w:tc>
          <w:tcPr>
            <w:tcW w:w="992" w:type="dxa"/>
            <w:shd w:val="clear" w:color="auto" w:fill="F3F9FA"/>
          </w:tcPr>
          <w:p w14:paraId="0159F367" w14:textId="0A8AD9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40.75</w:t>
            </w:r>
          </w:p>
        </w:tc>
        <w:tc>
          <w:tcPr>
            <w:tcW w:w="993" w:type="dxa"/>
            <w:shd w:val="clear" w:color="auto" w:fill="F3F9FA"/>
          </w:tcPr>
          <w:p w14:paraId="72DB7402" w14:textId="70F18CB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7FE5667"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B1E88C1" w14:textId="77777777" w:rsidTr="00245D08">
        <w:tc>
          <w:tcPr>
            <w:tcW w:w="4531" w:type="dxa"/>
            <w:shd w:val="clear" w:color="auto" w:fill="F3F9FA"/>
          </w:tcPr>
          <w:p w14:paraId="41EC0C67"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[YP]</w:t>
            </w:r>
          </w:p>
        </w:tc>
        <w:tc>
          <w:tcPr>
            <w:tcW w:w="851" w:type="dxa"/>
            <w:shd w:val="clear" w:color="auto" w:fill="F3F9FA"/>
          </w:tcPr>
          <w:p w14:paraId="17A4958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00901CF" w14:textId="444FFD8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12.51</w:t>
            </w:r>
          </w:p>
        </w:tc>
        <w:tc>
          <w:tcPr>
            <w:tcW w:w="992" w:type="dxa"/>
            <w:shd w:val="clear" w:color="auto" w:fill="F3F9FA"/>
          </w:tcPr>
          <w:p w14:paraId="14972AA8" w14:textId="488F8E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50.47</w:t>
            </w:r>
          </w:p>
        </w:tc>
        <w:tc>
          <w:tcPr>
            <w:tcW w:w="993" w:type="dxa"/>
            <w:shd w:val="clear" w:color="auto" w:fill="F3F9FA"/>
          </w:tcPr>
          <w:p w14:paraId="064C3B50" w14:textId="65D548E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58C1C18"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20FBFAA" w14:textId="77777777" w:rsidTr="00245D08">
        <w:tc>
          <w:tcPr>
            <w:tcW w:w="4531" w:type="dxa"/>
            <w:shd w:val="clear" w:color="auto" w:fill="F3F9FA"/>
          </w:tcPr>
          <w:p w14:paraId="3D712B41"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[GI]</w:t>
            </w:r>
          </w:p>
        </w:tc>
        <w:tc>
          <w:tcPr>
            <w:tcW w:w="851" w:type="dxa"/>
            <w:shd w:val="clear" w:color="auto" w:fill="F3F9FA"/>
          </w:tcPr>
          <w:p w14:paraId="39953FF8"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DC3E164" w14:textId="2998A82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14.40</w:t>
            </w:r>
          </w:p>
        </w:tc>
        <w:tc>
          <w:tcPr>
            <w:tcW w:w="992" w:type="dxa"/>
            <w:shd w:val="clear" w:color="auto" w:fill="F3F9FA"/>
          </w:tcPr>
          <w:p w14:paraId="4EAA7A11" w14:textId="194568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26.22</w:t>
            </w:r>
          </w:p>
        </w:tc>
        <w:tc>
          <w:tcPr>
            <w:tcW w:w="993" w:type="dxa"/>
            <w:shd w:val="clear" w:color="auto" w:fill="F3F9FA"/>
          </w:tcPr>
          <w:p w14:paraId="7D19B59D" w14:textId="6D3E3C5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5E594743"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2C15942" w14:textId="77777777" w:rsidTr="00245D08">
        <w:tc>
          <w:tcPr>
            <w:tcW w:w="4531" w:type="dxa"/>
            <w:shd w:val="clear" w:color="auto" w:fill="F3F9FA"/>
          </w:tcPr>
          <w:p w14:paraId="5138ACE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[GI3]</w:t>
            </w:r>
          </w:p>
        </w:tc>
        <w:tc>
          <w:tcPr>
            <w:tcW w:w="851" w:type="dxa"/>
            <w:shd w:val="clear" w:color="auto" w:fill="F3F9FA"/>
          </w:tcPr>
          <w:p w14:paraId="064F0DF1"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1D6841C" w14:textId="5D2EBF0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14.10</w:t>
            </w:r>
          </w:p>
        </w:tc>
        <w:tc>
          <w:tcPr>
            <w:tcW w:w="992" w:type="dxa"/>
            <w:shd w:val="clear" w:color="auto" w:fill="F3F9FA"/>
          </w:tcPr>
          <w:p w14:paraId="3D96EA6F" w14:textId="13778C7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30.71</w:t>
            </w:r>
          </w:p>
        </w:tc>
        <w:tc>
          <w:tcPr>
            <w:tcW w:w="993" w:type="dxa"/>
            <w:shd w:val="clear" w:color="auto" w:fill="F3F9FA"/>
          </w:tcPr>
          <w:p w14:paraId="61AC6A01" w14:textId="270B7D3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E6BA5B8"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0A2FD85" w14:textId="77777777" w:rsidTr="00245D08">
        <w:tc>
          <w:tcPr>
            <w:tcW w:w="4531" w:type="dxa"/>
            <w:shd w:val="clear" w:color="auto" w:fill="F3F9FA"/>
          </w:tcPr>
          <w:p w14:paraId="7E8A3BDF"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[DI]</w:t>
            </w:r>
          </w:p>
        </w:tc>
        <w:tc>
          <w:tcPr>
            <w:tcW w:w="851" w:type="dxa"/>
            <w:shd w:val="clear" w:color="auto" w:fill="F3F9FA"/>
          </w:tcPr>
          <w:p w14:paraId="1827E6C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DCE2C00" w14:textId="0205287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14.41</w:t>
            </w:r>
          </w:p>
        </w:tc>
        <w:tc>
          <w:tcPr>
            <w:tcW w:w="992" w:type="dxa"/>
            <w:shd w:val="clear" w:color="auto" w:fill="F3F9FA"/>
          </w:tcPr>
          <w:p w14:paraId="797ADA8E" w14:textId="28B9089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24.03</w:t>
            </w:r>
          </w:p>
        </w:tc>
        <w:tc>
          <w:tcPr>
            <w:tcW w:w="993" w:type="dxa"/>
            <w:shd w:val="clear" w:color="auto" w:fill="F3F9FA"/>
          </w:tcPr>
          <w:p w14:paraId="791F82A0" w14:textId="476FF72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8E33CD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AB78F20" w14:textId="77777777" w:rsidTr="00245D08">
        <w:tc>
          <w:tcPr>
            <w:tcW w:w="4531" w:type="dxa"/>
            <w:tcBorders>
              <w:bottom w:val="single" w:sz="4" w:space="0" w:color="auto"/>
            </w:tcBorders>
            <w:shd w:val="clear" w:color="auto" w:fill="F3F9FA"/>
          </w:tcPr>
          <w:p w14:paraId="17E4AE3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[DI3]</w:t>
            </w:r>
          </w:p>
        </w:tc>
        <w:tc>
          <w:tcPr>
            <w:tcW w:w="851" w:type="dxa"/>
            <w:tcBorders>
              <w:bottom w:val="single" w:sz="4" w:space="0" w:color="auto"/>
            </w:tcBorders>
            <w:shd w:val="clear" w:color="auto" w:fill="F3F9FA"/>
          </w:tcPr>
          <w:p w14:paraId="3AFD023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174C0B8C" w14:textId="5D660AE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14.83</w:t>
            </w:r>
          </w:p>
        </w:tc>
        <w:tc>
          <w:tcPr>
            <w:tcW w:w="992" w:type="dxa"/>
            <w:tcBorders>
              <w:bottom w:val="single" w:sz="4" w:space="0" w:color="auto"/>
            </w:tcBorders>
            <w:shd w:val="clear" w:color="auto" w:fill="F3F9FA"/>
          </w:tcPr>
          <w:p w14:paraId="5B63B979" w14:textId="267565F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81.94</w:t>
            </w:r>
          </w:p>
        </w:tc>
        <w:tc>
          <w:tcPr>
            <w:tcW w:w="993" w:type="dxa"/>
            <w:tcBorders>
              <w:bottom w:val="single" w:sz="4" w:space="0" w:color="auto"/>
            </w:tcBorders>
            <w:shd w:val="clear" w:color="auto" w:fill="F3F9FA"/>
          </w:tcPr>
          <w:p w14:paraId="1BCF38F7" w14:textId="086148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77C925AE"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6ECCFE30" w14:textId="77777777" w:rsidTr="00245D08">
        <w:tc>
          <w:tcPr>
            <w:tcW w:w="4531" w:type="dxa"/>
            <w:tcBorders>
              <w:top w:val="single" w:sz="4" w:space="0" w:color="auto"/>
            </w:tcBorders>
            <w:shd w:val="clear" w:color="auto" w:fill="E7F3F4"/>
          </w:tcPr>
          <w:p w14:paraId="6EFAB5D5"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Burdekin</w:t>
            </w:r>
          </w:p>
        </w:tc>
        <w:tc>
          <w:tcPr>
            <w:tcW w:w="851" w:type="dxa"/>
            <w:tcBorders>
              <w:top w:val="single" w:sz="4" w:space="0" w:color="auto"/>
            </w:tcBorders>
            <w:shd w:val="clear" w:color="auto" w:fill="E7F3F4"/>
          </w:tcPr>
          <w:p w14:paraId="231EAC49"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6AC42264"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0168472D"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187F2B98"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1B81A12"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3F70AFF2" w14:textId="77777777" w:rsidTr="00245D08">
        <w:tc>
          <w:tcPr>
            <w:tcW w:w="4531" w:type="dxa"/>
            <w:shd w:val="clear" w:color="auto" w:fill="F3F9FA"/>
          </w:tcPr>
          <w:p w14:paraId="49407145"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48464B64" w14:textId="3DE6C2B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10446</w:t>
            </w:r>
          </w:p>
        </w:tc>
        <w:tc>
          <w:tcPr>
            <w:tcW w:w="992" w:type="dxa"/>
            <w:shd w:val="clear" w:color="auto" w:fill="F3F9FA"/>
          </w:tcPr>
          <w:p w14:paraId="4BC727AD" w14:textId="1C078B6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15.74</w:t>
            </w:r>
          </w:p>
        </w:tc>
        <w:tc>
          <w:tcPr>
            <w:tcW w:w="992" w:type="dxa"/>
            <w:shd w:val="clear" w:color="auto" w:fill="F3F9FA"/>
          </w:tcPr>
          <w:p w14:paraId="3249E45A" w14:textId="6D265B8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62.84</w:t>
            </w:r>
          </w:p>
        </w:tc>
        <w:tc>
          <w:tcPr>
            <w:tcW w:w="993" w:type="dxa"/>
            <w:shd w:val="clear" w:color="auto" w:fill="F3F9FA"/>
          </w:tcPr>
          <w:p w14:paraId="57CA15A1" w14:textId="419556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EAC9F85" w14:textId="662A265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0.0946</w:t>
            </w:r>
          </w:p>
        </w:tc>
      </w:tr>
      <w:tr w:rsidR="009B4F14" w:rsidRPr="00BC7288" w14:paraId="3257193E" w14:textId="77777777" w:rsidTr="00245D08">
        <w:tc>
          <w:tcPr>
            <w:tcW w:w="4531" w:type="dxa"/>
            <w:shd w:val="clear" w:color="auto" w:fill="F3F9FA"/>
          </w:tcPr>
          <w:p w14:paraId="611AAFDA"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57D92F56" w14:textId="274CEE8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10446</w:t>
            </w:r>
          </w:p>
        </w:tc>
        <w:tc>
          <w:tcPr>
            <w:tcW w:w="992" w:type="dxa"/>
            <w:shd w:val="clear" w:color="auto" w:fill="F3F9FA"/>
          </w:tcPr>
          <w:p w14:paraId="41F9DAB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948B4F0"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65522AD6"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1C4230CE" w14:textId="13068E4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0.435   </w:t>
            </w:r>
          </w:p>
        </w:tc>
      </w:tr>
      <w:tr w:rsidR="009B4F14" w:rsidRPr="00BC7288" w14:paraId="0586C071" w14:textId="77777777" w:rsidTr="00245D08">
        <w:tc>
          <w:tcPr>
            <w:tcW w:w="4531" w:type="dxa"/>
            <w:shd w:val="clear" w:color="auto" w:fill="F3F9FA"/>
          </w:tcPr>
          <w:p w14:paraId="52702129"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32B5003B"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4D6A535" w14:textId="4676E31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13.13  </w:t>
            </w:r>
          </w:p>
        </w:tc>
        <w:tc>
          <w:tcPr>
            <w:tcW w:w="992" w:type="dxa"/>
            <w:shd w:val="clear" w:color="auto" w:fill="F3F9FA"/>
          </w:tcPr>
          <w:p w14:paraId="198CD0ED" w14:textId="7CDF300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55.04</w:t>
            </w:r>
          </w:p>
        </w:tc>
        <w:tc>
          <w:tcPr>
            <w:tcW w:w="993" w:type="dxa"/>
            <w:shd w:val="clear" w:color="auto" w:fill="F3F9FA"/>
          </w:tcPr>
          <w:p w14:paraId="4A37D270" w14:textId="11A2300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5A90F152"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93630AA" w14:textId="77777777" w:rsidTr="00245D08">
        <w:trPr>
          <w:trHeight w:val="47"/>
        </w:trPr>
        <w:tc>
          <w:tcPr>
            <w:tcW w:w="4531" w:type="dxa"/>
            <w:shd w:val="clear" w:color="auto" w:fill="F3F9FA"/>
          </w:tcPr>
          <w:p w14:paraId="1D9166E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6E245F3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4659188" w14:textId="47CDF06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15.29</w:t>
            </w:r>
          </w:p>
        </w:tc>
        <w:tc>
          <w:tcPr>
            <w:tcW w:w="992" w:type="dxa"/>
            <w:shd w:val="clear" w:color="auto" w:fill="F3F9FA"/>
          </w:tcPr>
          <w:p w14:paraId="478CCC12" w14:textId="44C9BAE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26.99</w:t>
            </w:r>
          </w:p>
        </w:tc>
        <w:tc>
          <w:tcPr>
            <w:tcW w:w="993" w:type="dxa"/>
            <w:shd w:val="clear" w:color="auto" w:fill="F3F9FA"/>
          </w:tcPr>
          <w:p w14:paraId="7F7DBB2E" w14:textId="3D798CA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1582E27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BEF4C4B" w14:textId="77777777" w:rsidTr="00245D08">
        <w:tc>
          <w:tcPr>
            <w:tcW w:w="4531" w:type="dxa"/>
            <w:shd w:val="clear" w:color="auto" w:fill="F3F9FA"/>
          </w:tcPr>
          <w:p w14:paraId="0EF5D04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w:t>
            </w:r>
          </w:p>
        </w:tc>
        <w:tc>
          <w:tcPr>
            <w:tcW w:w="851" w:type="dxa"/>
            <w:shd w:val="clear" w:color="auto" w:fill="F3F9FA"/>
          </w:tcPr>
          <w:p w14:paraId="0743606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ED5FC86" w14:textId="7A0A86E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15.66</w:t>
            </w:r>
          </w:p>
        </w:tc>
        <w:tc>
          <w:tcPr>
            <w:tcW w:w="992" w:type="dxa"/>
            <w:shd w:val="clear" w:color="auto" w:fill="F3F9FA"/>
          </w:tcPr>
          <w:p w14:paraId="324587DB" w14:textId="2A29471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28.17  </w:t>
            </w:r>
          </w:p>
        </w:tc>
        <w:tc>
          <w:tcPr>
            <w:tcW w:w="993" w:type="dxa"/>
            <w:shd w:val="clear" w:color="auto" w:fill="F3F9FA"/>
          </w:tcPr>
          <w:p w14:paraId="3079BAF8" w14:textId="568360F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90690D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21AAD7C" w14:textId="77777777" w:rsidTr="00245D08">
        <w:tc>
          <w:tcPr>
            <w:tcW w:w="4531" w:type="dxa"/>
            <w:shd w:val="clear" w:color="auto" w:fill="F3F9FA"/>
          </w:tcPr>
          <w:p w14:paraId="464E97F6"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5028937B" w14:textId="1499500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10446</w:t>
            </w:r>
          </w:p>
        </w:tc>
        <w:tc>
          <w:tcPr>
            <w:tcW w:w="992" w:type="dxa"/>
            <w:shd w:val="clear" w:color="auto" w:fill="F3F9FA"/>
          </w:tcPr>
          <w:p w14:paraId="3FAEAABA"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AD881A1"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EF1D215"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2E154C3E" w14:textId="02758A1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0.448</w:t>
            </w:r>
          </w:p>
        </w:tc>
      </w:tr>
      <w:tr w:rsidR="009B4F14" w:rsidRPr="00BC7288" w14:paraId="46FF897A" w14:textId="77777777" w:rsidTr="00245D08">
        <w:tc>
          <w:tcPr>
            <w:tcW w:w="4531" w:type="dxa"/>
            <w:shd w:val="clear" w:color="auto" w:fill="F3F9FA"/>
          </w:tcPr>
          <w:p w14:paraId="547E220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[TSV]</w:t>
            </w:r>
          </w:p>
        </w:tc>
        <w:tc>
          <w:tcPr>
            <w:tcW w:w="851" w:type="dxa"/>
            <w:shd w:val="clear" w:color="auto" w:fill="F3F9FA"/>
          </w:tcPr>
          <w:p w14:paraId="05ED0274"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7083C952" w14:textId="1054D40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13.18</w:t>
            </w:r>
          </w:p>
        </w:tc>
        <w:tc>
          <w:tcPr>
            <w:tcW w:w="992" w:type="dxa"/>
            <w:shd w:val="clear" w:color="auto" w:fill="F3F9FA"/>
          </w:tcPr>
          <w:p w14:paraId="0ACF3CF0" w14:textId="24807D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42.46</w:t>
            </w:r>
          </w:p>
        </w:tc>
        <w:tc>
          <w:tcPr>
            <w:tcW w:w="993" w:type="dxa"/>
            <w:shd w:val="clear" w:color="auto" w:fill="F3F9FA"/>
          </w:tcPr>
          <w:p w14:paraId="4B617743" w14:textId="26542D6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529286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67EB59A4" w14:textId="77777777" w:rsidTr="00245D08">
        <w:tc>
          <w:tcPr>
            <w:tcW w:w="4531" w:type="dxa"/>
            <w:shd w:val="clear" w:color="auto" w:fill="F3F9FA"/>
          </w:tcPr>
          <w:p w14:paraId="5449DE9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[MI1]</w:t>
            </w:r>
          </w:p>
        </w:tc>
        <w:tc>
          <w:tcPr>
            <w:tcW w:w="851" w:type="dxa"/>
            <w:shd w:val="clear" w:color="auto" w:fill="F3F9FA"/>
          </w:tcPr>
          <w:p w14:paraId="30EE305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CC02988" w14:textId="081650C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15.18</w:t>
            </w:r>
          </w:p>
        </w:tc>
        <w:tc>
          <w:tcPr>
            <w:tcW w:w="992" w:type="dxa"/>
            <w:shd w:val="clear" w:color="auto" w:fill="F3F9FA"/>
          </w:tcPr>
          <w:p w14:paraId="33061049" w14:textId="3D2E622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15.58</w:t>
            </w:r>
          </w:p>
        </w:tc>
        <w:tc>
          <w:tcPr>
            <w:tcW w:w="993" w:type="dxa"/>
            <w:shd w:val="clear" w:color="auto" w:fill="F3F9FA"/>
          </w:tcPr>
          <w:p w14:paraId="0AAB9E1C" w14:textId="3A96660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4DD46A0"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6860386" w14:textId="77777777" w:rsidTr="00245D08">
        <w:tc>
          <w:tcPr>
            <w:tcW w:w="4531" w:type="dxa"/>
            <w:shd w:val="clear" w:color="auto" w:fill="F3F9FA"/>
          </w:tcPr>
          <w:p w14:paraId="4ADAC99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[MI2]</w:t>
            </w:r>
          </w:p>
        </w:tc>
        <w:tc>
          <w:tcPr>
            <w:tcW w:w="851" w:type="dxa"/>
            <w:shd w:val="clear" w:color="auto" w:fill="F3F9FA"/>
          </w:tcPr>
          <w:p w14:paraId="46754821"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C5CE764" w14:textId="0D26DD5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11.51</w:t>
            </w:r>
          </w:p>
        </w:tc>
        <w:tc>
          <w:tcPr>
            <w:tcW w:w="992" w:type="dxa"/>
            <w:shd w:val="clear" w:color="auto" w:fill="F3F9FA"/>
          </w:tcPr>
          <w:p w14:paraId="3325B328" w14:textId="1647AC9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21.76</w:t>
            </w:r>
          </w:p>
        </w:tc>
        <w:tc>
          <w:tcPr>
            <w:tcW w:w="993" w:type="dxa"/>
            <w:shd w:val="clear" w:color="auto" w:fill="F3F9FA"/>
          </w:tcPr>
          <w:p w14:paraId="4856D87A" w14:textId="126CE5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6BB9D15"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02229B3" w14:textId="77777777" w:rsidTr="00245D08">
        <w:tc>
          <w:tcPr>
            <w:tcW w:w="4531" w:type="dxa"/>
            <w:tcBorders>
              <w:bottom w:val="single" w:sz="4" w:space="0" w:color="auto"/>
            </w:tcBorders>
            <w:shd w:val="clear" w:color="auto" w:fill="F3F9FA"/>
          </w:tcPr>
          <w:p w14:paraId="7E41FDC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[MI3]</w:t>
            </w:r>
          </w:p>
        </w:tc>
        <w:tc>
          <w:tcPr>
            <w:tcW w:w="851" w:type="dxa"/>
            <w:tcBorders>
              <w:bottom w:val="single" w:sz="4" w:space="0" w:color="auto"/>
            </w:tcBorders>
            <w:shd w:val="clear" w:color="auto" w:fill="F3F9FA"/>
          </w:tcPr>
          <w:p w14:paraId="44B27E4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0EA478A4" w14:textId="1460E4F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15.66</w:t>
            </w:r>
          </w:p>
        </w:tc>
        <w:tc>
          <w:tcPr>
            <w:tcW w:w="992" w:type="dxa"/>
            <w:tcBorders>
              <w:bottom w:val="single" w:sz="4" w:space="0" w:color="auto"/>
            </w:tcBorders>
            <w:shd w:val="clear" w:color="auto" w:fill="F3F9FA"/>
          </w:tcPr>
          <w:p w14:paraId="56B4DA2F" w14:textId="5829A06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28.57</w:t>
            </w:r>
          </w:p>
        </w:tc>
        <w:tc>
          <w:tcPr>
            <w:tcW w:w="993" w:type="dxa"/>
            <w:tcBorders>
              <w:bottom w:val="single" w:sz="4" w:space="0" w:color="auto"/>
            </w:tcBorders>
            <w:shd w:val="clear" w:color="auto" w:fill="F3F9FA"/>
          </w:tcPr>
          <w:p w14:paraId="73231629" w14:textId="25D52D6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241621FA"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137ABEC5" w14:textId="77777777" w:rsidTr="00245D08">
        <w:tc>
          <w:tcPr>
            <w:tcW w:w="4531" w:type="dxa"/>
            <w:tcBorders>
              <w:top w:val="single" w:sz="4" w:space="0" w:color="auto"/>
            </w:tcBorders>
            <w:shd w:val="clear" w:color="auto" w:fill="E7F3F4"/>
          </w:tcPr>
          <w:p w14:paraId="39A65C25"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Mackay Whitsunday</w:t>
            </w:r>
          </w:p>
        </w:tc>
        <w:tc>
          <w:tcPr>
            <w:tcW w:w="851" w:type="dxa"/>
            <w:tcBorders>
              <w:top w:val="single" w:sz="4" w:space="0" w:color="auto"/>
            </w:tcBorders>
            <w:shd w:val="clear" w:color="auto" w:fill="E7F3F4"/>
          </w:tcPr>
          <w:p w14:paraId="3E29C00C"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62B974F5"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7FC8CAB8"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5515EE60"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4566CAB1"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7C7BE0D6" w14:textId="77777777" w:rsidTr="00245D08">
        <w:tc>
          <w:tcPr>
            <w:tcW w:w="4531" w:type="dxa"/>
            <w:shd w:val="clear" w:color="auto" w:fill="F3F9FA"/>
          </w:tcPr>
          <w:p w14:paraId="66F55691"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6D06F20F" w14:textId="3ABAC72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4829</w:t>
            </w:r>
          </w:p>
        </w:tc>
        <w:tc>
          <w:tcPr>
            <w:tcW w:w="992" w:type="dxa"/>
            <w:shd w:val="clear" w:color="auto" w:fill="F3F9FA"/>
          </w:tcPr>
          <w:p w14:paraId="3E810D2E" w14:textId="2FAD203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11.9</w:t>
            </w:r>
          </w:p>
        </w:tc>
        <w:tc>
          <w:tcPr>
            <w:tcW w:w="992" w:type="dxa"/>
            <w:shd w:val="clear" w:color="auto" w:fill="F3F9FA"/>
          </w:tcPr>
          <w:p w14:paraId="77E36E8E" w14:textId="479395B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102.4</w:t>
            </w:r>
          </w:p>
        </w:tc>
        <w:tc>
          <w:tcPr>
            <w:tcW w:w="993" w:type="dxa"/>
            <w:shd w:val="clear" w:color="auto" w:fill="F3F9FA"/>
          </w:tcPr>
          <w:p w14:paraId="6B153D69" w14:textId="3BFB79D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8E1E0DA" w14:textId="1504DB5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0.195</w:t>
            </w:r>
          </w:p>
        </w:tc>
      </w:tr>
      <w:tr w:rsidR="009B4F14" w:rsidRPr="00BC7288" w14:paraId="6D3F1C21" w14:textId="77777777" w:rsidTr="00245D08">
        <w:tc>
          <w:tcPr>
            <w:tcW w:w="4531" w:type="dxa"/>
            <w:shd w:val="clear" w:color="auto" w:fill="F3F9FA"/>
          </w:tcPr>
          <w:p w14:paraId="376D632F"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7A82DC36" w14:textId="3E2DB36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4829</w:t>
            </w:r>
          </w:p>
        </w:tc>
        <w:tc>
          <w:tcPr>
            <w:tcW w:w="992" w:type="dxa"/>
            <w:shd w:val="clear" w:color="auto" w:fill="F3F9FA"/>
          </w:tcPr>
          <w:p w14:paraId="0946F12B"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19EA151"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3D9F57B9"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24F52FFF" w14:textId="18E12D7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0.313</w:t>
            </w:r>
          </w:p>
        </w:tc>
      </w:tr>
      <w:tr w:rsidR="009B4F14" w:rsidRPr="00BC7288" w14:paraId="4556F3D7" w14:textId="77777777" w:rsidTr="00245D08">
        <w:tc>
          <w:tcPr>
            <w:tcW w:w="4531" w:type="dxa"/>
            <w:shd w:val="clear" w:color="auto" w:fill="F3F9FA"/>
          </w:tcPr>
          <w:p w14:paraId="29271DA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5CA9F06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7E77891C" w14:textId="5E485FC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10.75</w:t>
            </w:r>
          </w:p>
        </w:tc>
        <w:tc>
          <w:tcPr>
            <w:tcW w:w="992" w:type="dxa"/>
            <w:shd w:val="clear" w:color="auto" w:fill="F3F9FA"/>
          </w:tcPr>
          <w:p w14:paraId="4AD3E923" w14:textId="3FF1876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102.11</w:t>
            </w:r>
          </w:p>
        </w:tc>
        <w:tc>
          <w:tcPr>
            <w:tcW w:w="993" w:type="dxa"/>
            <w:shd w:val="clear" w:color="auto" w:fill="F3F9FA"/>
          </w:tcPr>
          <w:p w14:paraId="3EA3C832" w14:textId="7B77BCA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C43EFE5"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4E239E85" w14:textId="77777777" w:rsidTr="00245D08">
        <w:tc>
          <w:tcPr>
            <w:tcW w:w="4531" w:type="dxa"/>
            <w:shd w:val="clear" w:color="auto" w:fill="F3F9FA"/>
          </w:tcPr>
          <w:p w14:paraId="33D55C2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w:t>
            </w:r>
          </w:p>
        </w:tc>
        <w:tc>
          <w:tcPr>
            <w:tcW w:w="851" w:type="dxa"/>
            <w:shd w:val="clear" w:color="auto" w:fill="F3F9FA"/>
          </w:tcPr>
          <w:p w14:paraId="1B3DA80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763D62F" w14:textId="64F13D9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9.496</w:t>
            </w:r>
          </w:p>
        </w:tc>
        <w:tc>
          <w:tcPr>
            <w:tcW w:w="992" w:type="dxa"/>
            <w:shd w:val="clear" w:color="auto" w:fill="F3F9FA"/>
          </w:tcPr>
          <w:p w14:paraId="3C1C810C" w14:textId="04180D0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28.14</w:t>
            </w:r>
          </w:p>
        </w:tc>
        <w:tc>
          <w:tcPr>
            <w:tcW w:w="993" w:type="dxa"/>
            <w:shd w:val="clear" w:color="auto" w:fill="F3F9FA"/>
          </w:tcPr>
          <w:p w14:paraId="2C8F7723" w14:textId="7B1189C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16DA420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D4D1409" w14:textId="77777777" w:rsidTr="00245D08">
        <w:tc>
          <w:tcPr>
            <w:tcW w:w="4531" w:type="dxa"/>
            <w:shd w:val="clear" w:color="auto" w:fill="F3F9FA"/>
          </w:tcPr>
          <w:p w14:paraId="478532F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5C007DE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9EBCB49" w14:textId="1B73BAF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10.70</w:t>
            </w:r>
          </w:p>
        </w:tc>
        <w:tc>
          <w:tcPr>
            <w:tcW w:w="992" w:type="dxa"/>
            <w:shd w:val="clear" w:color="auto" w:fill="F3F9FA"/>
          </w:tcPr>
          <w:p w14:paraId="05E26F5D" w14:textId="1FA5DD2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17.93</w:t>
            </w:r>
          </w:p>
        </w:tc>
        <w:tc>
          <w:tcPr>
            <w:tcW w:w="993" w:type="dxa"/>
            <w:shd w:val="clear" w:color="auto" w:fill="F3F9FA"/>
          </w:tcPr>
          <w:p w14:paraId="5AD6ECF8" w14:textId="4E63B06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24DCA0D"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9FECFA0" w14:textId="77777777" w:rsidTr="00245D08">
        <w:tc>
          <w:tcPr>
            <w:tcW w:w="4531" w:type="dxa"/>
            <w:shd w:val="clear" w:color="auto" w:fill="F3F9FA"/>
          </w:tcPr>
          <w:p w14:paraId="110689C5"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42E015B8" w14:textId="7DDDCA6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4829</w:t>
            </w:r>
          </w:p>
        </w:tc>
        <w:tc>
          <w:tcPr>
            <w:tcW w:w="992" w:type="dxa"/>
            <w:shd w:val="clear" w:color="auto" w:fill="F3F9FA"/>
          </w:tcPr>
          <w:p w14:paraId="29AE14C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660D7F7"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1C49C9E4"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55D2FB48" w14:textId="00BAC27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0.342</w:t>
            </w:r>
          </w:p>
        </w:tc>
      </w:tr>
      <w:tr w:rsidR="009B4F14" w:rsidRPr="00BC7288" w14:paraId="43B5A7BB" w14:textId="77777777" w:rsidTr="00245D08">
        <w:tc>
          <w:tcPr>
            <w:tcW w:w="4531" w:type="dxa"/>
            <w:shd w:val="clear" w:color="auto" w:fill="F3F9FA"/>
          </w:tcPr>
          <w:p w14:paraId="5F6FF82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[MP]</w:t>
            </w:r>
          </w:p>
        </w:tc>
        <w:tc>
          <w:tcPr>
            <w:tcW w:w="851" w:type="dxa"/>
            <w:shd w:val="clear" w:color="auto" w:fill="F3F9FA"/>
          </w:tcPr>
          <w:p w14:paraId="658EDD02"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4C17975" w14:textId="0FAFF77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4.771</w:t>
            </w:r>
          </w:p>
        </w:tc>
        <w:tc>
          <w:tcPr>
            <w:tcW w:w="992" w:type="dxa"/>
            <w:shd w:val="clear" w:color="auto" w:fill="F3F9FA"/>
          </w:tcPr>
          <w:p w14:paraId="7D5D4E46" w14:textId="1BDC028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36.57</w:t>
            </w:r>
          </w:p>
        </w:tc>
        <w:tc>
          <w:tcPr>
            <w:tcW w:w="993" w:type="dxa"/>
            <w:shd w:val="clear" w:color="auto" w:fill="F3F9FA"/>
          </w:tcPr>
          <w:p w14:paraId="7F90CC49" w14:textId="7CB513D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0FA0C45"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D50E70F" w14:textId="77777777" w:rsidTr="00245D08">
        <w:tc>
          <w:tcPr>
            <w:tcW w:w="4531" w:type="dxa"/>
            <w:shd w:val="clear" w:color="auto" w:fill="F3F9FA"/>
          </w:tcPr>
          <w:p w14:paraId="2AF083B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[PI]</w:t>
            </w:r>
          </w:p>
        </w:tc>
        <w:tc>
          <w:tcPr>
            <w:tcW w:w="851" w:type="dxa"/>
            <w:shd w:val="clear" w:color="auto" w:fill="F3F9FA"/>
          </w:tcPr>
          <w:p w14:paraId="67FA6BC2"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D04CE9E" w14:textId="1F2A5D3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9.539</w:t>
            </w:r>
          </w:p>
        </w:tc>
        <w:tc>
          <w:tcPr>
            <w:tcW w:w="992" w:type="dxa"/>
            <w:shd w:val="clear" w:color="auto" w:fill="F3F9FA"/>
          </w:tcPr>
          <w:p w14:paraId="0C772E69" w14:textId="5351AE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58.89</w:t>
            </w:r>
          </w:p>
        </w:tc>
        <w:tc>
          <w:tcPr>
            <w:tcW w:w="993" w:type="dxa"/>
            <w:shd w:val="clear" w:color="auto" w:fill="F3F9FA"/>
          </w:tcPr>
          <w:p w14:paraId="533C2FA9" w14:textId="06AEE02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6FD451B"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90812BA" w14:textId="77777777" w:rsidTr="00245D08">
        <w:tc>
          <w:tcPr>
            <w:tcW w:w="4531" w:type="dxa"/>
            <w:shd w:val="clear" w:color="auto" w:fill="F3F9FA"/>
          </w:tcPr>
          <w:p w14:paraId="23BD2AE1"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[HM]</w:t>
            </w:r>
          </w:p>
        </w:tc>
        <w:tc>
          <w:tcPr>
            <w:tcW w:w="851" w:type="dxa"/>
            <w:shd w:val="clear" w:color="auto" w:fill="F3F9FA"/>
          </w:tcPr>
          <w:p w14:paraId="2B22BA1A"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E4A5268" w14:textId="105EEB1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10.71</w:t>
            </w:r>
          </w:p>
        </w:tc>
        <w:tc>
          <w:tcPr>
            <w:tcW w:w="992" w:type="dxa"/>
            <w:shd w:val="clear" w:color="auto" w:fill="F3F9FA"/>
          </w:tcPr>
          <w:p w14:paraId="34484D41" w14:textId="13D6675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18.42</w:t>
            </w:r>
          </w:p>
        </w:tc>
        <w:tc>
          <w:tcPr>
            <w:tcW w:w="993" w:type="dxa"/>
            <w:shd w:val="clear" w:color="auto" w:fill="F3F9FA"/>
          </w:tcPr>
          <w:p w14:paraId="54C878A0" w14:textId="2A72A69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9C86CF1"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EC5C999" w14:textId="77777777" w:rsidTr="00245D08">
        <w:tc>
          <w:tcPr>
            <w:tcW w:w="4531" w:type="dxa"/>
            <w:tcBorders>
              <w:bottom w:val="single" w:sz="4" w:space="0" w:color="auto"/>
            </w:tcBorders>
            <w:shd w:val="clear" w:color="auto" w:fill="F3F9FA"/>
          </w:tcPr>
          <w:p w14:paraId="15C30D6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[SI]</w:t>
            </w:r>
          </w:p>
        </w:tc>
        <w:tc>
          <w:tcPr>
            <w:tcW w:w="851" w:type="dxa"/>
            <w:tcBorders>
              <w:bottom w:val="single" w:sz="4" w:space="0" w:color="auto"/>
            </w:tcBorders>
            <w:shd w:val="clear" w:color="auto" w:fill="F3F9FA"/>
          </w:tcPr>
          <w:p w14:paraId="76E5620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58EFC425" w14:textId="1A4C957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9.507</w:t>
            </w:r>
          </w:p>
        </w:tc>
        <w:tc>
          <w:tcPr>
            <w:tcW w:w="992" w:type="dxa"/>
            <w:tcBorders>
              <w:bottom w:val="single" w:sz="4" w:space="0" w:color="auto"/>
            </w:tcBorders>
            <w:shd w:val="clear" w:color="auto" w:fill="F3F9FA"/>
          </w:tcPr>
          <w:p w14:paraId="0144B276" w14:textId="04B21A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28.68</w:t>
            </w:r>
          </w:p>
        </w:tc>
        <w:tc>
          <w:tcPr>
            <w:tcW w:w="993" w:type="dxa"/>
            <w:tcBorders>
              <w:bottom w:val="single" w:sz="4" w:space="0" w:color="auto"/>
            </w:tcBorders>
            <w:shd w:val="clear" w:color="auto" w:fill="F3F9FA"/>
          </w:tcPr>
          <w:p w14:paraId="437F0560" w14:textId="6BC2310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7AFE09AA"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7B8A199D" w14:textId="77777777" w:rsidTr="00245D08">
        <w:trPr>
          <w:trHeight w:val="84"/>
        </w:trPr>
        <w:tc>
          <w:tcPr>
            <w:tcW w:w="4531" w:type="dxa"/>
            <w:tcBorders>
              <w:top w:val="single" w:sz="4" w:space="0" w:color="auto"/>
            </w:tcBorders>
            <w:shd w:val="clear" w:color="auto" w:fill="E7F3F4"/>
          </w:tcPr>
          <w:p w14:paraId="04D3E2C1"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Fitzroy</w:t>
            </w:r>
          </w:p>
        </w:tc>
        <w:tc>
          <w:tcPr>
            <w:tcW w:w="851" w:type="dxa"/>
            <w:tcBorders>
              <w:top w:val="single" w:sz="4" w:space="0" w:color="auto"/>
            </w:tcBorders>
            <w:shd w:val="clear" w:color="auto" w:fill="E7F3F4"/>
          </w:tcPr>
          <w:p w14:paraId="4FAEB671"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7C99ECF5"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38246006"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6684AB1B"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0AA51E5A"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41D9CD0D" w14:textId="77777777" w:rsidTr="00245D08">
        <w:trPr>
          <w:trHeight w:val="143"/>
        </w:trPr>
        <w:tc>
          <w:tcPr>
            <w:tcW w:w="4531" w:type="dxa"/>
            <w:shd w:val="clear" w:color="auto" w:fill="F3F9FA"/>
          </w:tcPr>
          <w:p w14:paraId="7C05A1B4"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7F197863" w14:textId="1B62E42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4982</w:t>
            </w:r>
          </w:p>
        </w:tc>
        <w:tc>
          <w:tcPr>
            <w:tcW w:w="992" w:type="dxa"/>
            <w:shd w:val="clear" w:color="auto" w:fill="F3F9FA"/>
          </w:tcPr>
          <w:p w14:paraId="0F2C73DD" w14:textId="4D9D2F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8.353</w:t>
            </w:r>
          </w:p>
        </w:tc>
        <w:tc>
          <w:tcPr>
            <w:tcW w:w="992" w:type="dxa"/>
            <w:shd w:val="clear" w:color="auto" w:fill="F3F9FA"/>
          </w:tcPr>
          <w:p w14:paraId="3765AF8A" w14:textId="08C9CDE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14.15</w:t>
            </w:r>
          </w:p>
        </w:tc>
        <w:tc>
          <w:tcPr>
            <w:tcW w:w="993" w:type="dxa"/>
            <w:shd w:val="clear" w:color="auto" w:fill="F3F9FA"/>
          </w:tcPr>
          <w:p w14:paraId="530C1B32" w14:textId="6EDFC4B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127C33BE" w14:textId="68F204B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0.035</w:t>
            </w:r>
          </w:p>
        </w:tc>
      </w:tr>
      <w:tr w:rsidR="009B4F14" w:rsidRPr="00BC7288" w14:paraId="2B149D8E" w14:textId="77777777" w:rsidTr="00245D08">
        <w:tc>
          <w:tcPr>
            <w:tcW w:w="4531" w:type="dxa"/>
            <w:shd w:val="clear" w:color="auto" w:fill="F3F9FA"/>
          </w:tcPr>
          <w:p w14:paraId="5B9C3B12"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13930918" w14:textId="6E62F06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4982</w:t>
            </w:r>
          </w:p>
        </w:tc>
        <w:tc>
          <w:tcPr>
            <w:tcW w:w="992" w:type="dxa"/>
            <w:shd w:val="clear" w:color="auto" w:fill="F3F9FA"/>
          </w:tcPr>
          <w:p w14:paraId="0AD0923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7E873B06"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24F0419A"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3011847E" w14:textId="13841B8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0.284</w:t>
            </w:r>
          </w:p>
        </w:tc>
      </w:tr>
      <w:tr w:rsidR="009B4F14" w:rsidRPr="00BC7288" w14:paraId="0E923DD3" w14:textId="77777777" w:rsidTr="00245D08">
        <w:tc>
          <w:tcPr>
            <w:tcW w:w="4531" w:type="dxa"/>
            <w:shd w:val="clear" w:color="auto" w:fill="F3F9FA"/>
          </w:tcPr>
          <w:p w14:paraId="50ED2AE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[SWB]</w:t>
            </w:r>
          </w:p>
        </w:tc>
        <w:tc>
          <w:tcPr>
            <w:tcW w:w="851" w:type="dxa"/>
            <w:shd w:val="clear" w:color="auto" w:fill="F3F9FA"/>
          </w:tcPr>
          <w:p w14:paraId="3592A87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5656D0CC" w14:textId="3167D1E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9.28</w:t>
            </w:r>
          </w:p>
        </w:tc>
        <w:tc>
          <w:tcPr>
            <w:tcW w:w="992" w:type="dxa"/>
            <w:shd w:val="clear" w:color="auto" w:fill="F3F9FA"/>
          </w:tcPr>
          <w:p w14:paraId="5B9518F2" w14:textId="5D50FAD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18.15</w:t>
            </w:r>
          </w:p>
        </w:tc>
        <w:tc>
          <w:tcPr>
            <w:tcW w:w="993" w:type="dxa"/>
            <w:shd w:val="clear" w:color="auto" w:fill="F3F9FA"/>
          </w:tcPr>
          <w:p w14:paraId="01EAD8E7" w14:textId="26F8988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98FD95B"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86F0FCE" w14:textId="77777777" w:rsidTr="00245D08">
        <w:trPr>
          <w:trHeight w:val="96"/>
        </w:trPr>
        <w:tc>
          <w:tcPr>
            <w:tcW w:w="4531" w:type="dxa"/>
            <w:shd w:val="clear" w:color="auto" w:fill="F3F9FA"/>
          </w:tcPr>
          <w:p w14:paraId="1B5A6FE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[GK]</w:t>
            </w:r>
          </w:p>
        </w:tc>
        <w:tc>
          <w:tcPr>
            <w:tcW w:w="851" w:type="dxa"/>
            <w:shd w:val="clear" w:color="auto" w:fill="F3F9FA"/>
          </w:tcPr>
          <w:p w14:paraId="7783460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2238B30" w14:textId="08929B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10.81</w:t>
            </w:r>
          </w:p>
        </w:tc>
        <w:tc>
          <w:tcPr>
            <w:tcW w:w="992" w:type="dxa"/>
            <w:shd w:val="clear" w:color="auto" w:fill="F3F9FA"/>
          </w:tcPr>
          <w:p w14:paraId="289F6CE8" w14:textId="121A2DE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110.58</w:t>
            </w:r>
          </w:p>
        </w:tc>
        <w:tc>
          <w:tcPr>
            <w:tcW w:w="993" w:type="dxa"/>
            <w:shd w:val="clear" w:color="auto" w:fill="F3F9FA"/>
          </w:tcPr>
          <w:p w14:paraId="0721CA2B" w14:textId="1E2FB55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6557B7C"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243B07D" w14:textId="77777777" w:rsidTr="00245D08">
        <w:tc>
          <w:tcPr>
            <w:tcW w:w="4531" w:type="dxa"/>
            <w:tcBorders>
              <w:bottom w:val="single" w:sz="4" w:space="0" w:color="auto"/>
            </w:tcBorders>
            <w:shd w:val="clear" w:color="auto" w:fill="F3F9FA"/>
          </w:tcPr>
          <w:p w14:paraId="27BDF77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[GH]</w:t>
            </w:r>
          </w:p>
        </w:tc>
        <w:tc>
          <w:tcPr>
            <w:tcW w:w="851" w:type="dxa"/>
            <w:tcBorders>
              <w:bottom w:val="single" w:sz="4" w:space="0" w:color="auto"/>
            </w:tcBorders>
            <w:shd w:val="clear" w:color="auto" w:fill="F3F9FA"/>
          </w:tcPr>
          <w:p w14:paraId="3DCAD7A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29C042EA" w14:textId="31CBF93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9.68</w:t>
            </w:r>
          </w:p>
        </w:tc>
        <w:tc>
          <w:tcPr>
            <w:tcW w:w="992" w:type="dxa"/>
            <w:tcBorders>
              <w:bottom w:val="single" w:sz="4" w:space="0" w:color="auto"/>
            </w:tcBorders>
            <w:shd w:val="clear" w:color="auto" w:fill="F3F9FA"/>
          </w:tcPr>
          <w:p w14:paraId="4FD3E0A6" w14:textId="6CE6F7C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26.06</w:t>
            </w:r>
          </w:p>
        </w:tc>
        <w:tc>
          <w:tcPr>
            <w:tcW w:w="993" w:type="dxa"/>
            <w:tcBorders>
              <w:bottom w:val="single" w:sz="4" w:space="0" w:color="auto"/>
            </w:tcBorders>
            <w:shd w:val="clear" w:color="auto" w:fill="F3F9FA"/>
          </w:tcPr>
          <w:p w14:paraId="0E5E31C0" w14:textId="046179E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4EA74660"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22E5C826" w14:textId="77777777" w:rsidTr="00245D08">
        <w:tc>
          <w:tcPr>
            <w:tcW w:w="4531" w:type="dxa"/>
            <w:tcBorders>
              <w:top w:val="single" w:sz="4" w:space="0" w:color="auto"/>
            </w:tcBorders>
            <w:shd w:val="clear" w:color="auto" w:fill="E7F3F4"/>
          </w:tcPr>
          <w:p w14:paraId="79D65631"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Burnett Mary</w:t>
            </w:r>
          </w:p>
        </w:tc>
        <w:tc>
          <w:tcPr>
            <w:tcW w:w="851" w:type="dxa"/>
            <w:tcBorders>
              <w:top w:val="single" w:sz="4" w:space="0" w:color="auto"/>
            </w:tcBorders>
            <w:shd w:val="clear" w:color="auto" w:fill="E7F3F4"/>
          </w:tcPr>
          <w:p w14:paraId="2EB58B24"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05A7BFDF"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0F786EAF"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1A3AEA8C"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144AE76"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6C7829B6" w14:textId="77777777" w:rsidTr="00245D08">
        <w:tc>
          <w:tcPr>
            <w:tcW w:w="4531" w:type="dxa"/>
            <w:shd w:val="clear" w:color="auto" w:fill="F3F9FA"/>
          </w:tcPr>
          <w:p w14:paraId="643C2721"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72B60835" w14:textId="4A485C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2624</w:t>
            </w:r>
          </w:p>
        </w:tc>
        <w:tc>
          <w:tcPr>
            <w:tcW w:w="992" w:type="dxa"/>
            <w:shd w:val="clear" w:color="auto" w:fill="F3F9FA"/>
          </w:tcPr>
          <w:p w14:paraId="4C65D6AF" w14:textId="132BEE8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10.83</w:t>
            </w:r>
          </w:p>
        </w:tc>
        <w:tc>
          <w:tcPr>
            <w:tcW w:w="992" w:type="dxa"/>
            <w:shd w:val="clear" w:color="auto" w:fill="F3F9FA"/>
          </w:tcPr>
          <w:p w14:paraId="79E9D41C" w14:textId="6E75A53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41.7</w:t>
            </w:r>
          </w:p>
        </w:tc>
        <w:tc>
          <w:tcPr>
            <w:tcW w:w="993" w:type="dxa"/>
            <w:shd w:val="clear" w:color="auto" w:fill="F3F9FA"/>
          </w:tcPr>
          <w:p w14:paraId="1A7B1C87" w14:textId="57F2E5D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0021F51" w14:textId="5BE4ADF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0.179</w:t>
            </w:r>
          </w:p>
        </w:tc>
      </w:tr>
      <w:tr w:rsidR="009B4F14" w:rsidRPr="00BC7288" w14:paraId="721A8248" w14:textId="77777777" w:rsidTr="00245D08">
        <w:tc>
          <w:tcPr>
            <w:tcW w:w="4531" w:type="dxa"/>
            <w:shd w:val="clear" w:color="auto" w:fill="F3F9FA"/>
          </w:tcPr>
          <w:p w14:paraId="58E5094D"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65A2C309" w14:textId="47BB843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2624</w:t>
            </w:r>
          </w:p>
        </w:tc>
        <w:tc>
          <w:tcPr>
            <w:tcW w:w="992" w:type="dxa"/>
            <w:shd w:val="clear" w:color="auto" w:fill="F3F9FA"/>
          </w:tcPr>
          <w:p w14:paraId="302117F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0A16DEC"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C02AEA1"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1DF243AA" w14:textId="5F452F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0.331</w:t>
            </w:r>
          </w:p>
        </w:tc>
      </w:tr>
      <w:tr w:rsidR="009B4F14" w:rsidRPr="00BC7288" w14:paraId="05F4D1B3" w14:textId="77777777" w:rsidTr="00245D08">
        <w:tc>
          <w:tcPr>
            <w:tcW w:w="4531" w:type="dxa"/>
            <w:shd w:val="clear" w:color="auto" w:fill="F3F9FA"/>
          </w:tcPr>
          <w:p w14:paraId="7E0506D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[RD]</w:t>
            </w:r>
          </w:p>
        </w:tc>
        <w:tc>
          <w:tcPr>
            <w:tcW w:w="851" w:type="dxa"/>
            <w:shd w:val="clear" w:color="auto" w:fill="F3F9FA"/>
          </w:tcPr>
          <w:p w14:paraId="21E3EAD4"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FB48B93" w14:textId="22A5775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w:t>
            </w:r>
          </w:p>
        </w:tc>
        <w:tc>
          <w:tcPr>
            <w:tcW w:w="992" w:type="dxa"/>
            <w:shd w:val="clear" w:color="auto" w:fill="F3F9FA"/>
          </w:tcPr>
          <w:p w14:paraId="0C5B67F6" w14:textId="61D9FB6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35.95</w:t>
            </w:r>
          </w:p>
        </w:tc>
        <w:tc>
          <w:tcPr>
            <w:tcW w:w="993" w:type="dxa"/>
            <w:shd w:val="clear" w:color="auto" w:fill="F3F9FA"/>
          </w:tcPr>
          <w:p w14:paraId="29B00EE0" w14:textId="4476927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2377E4A"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66F16DE6" w14:textId="77777777" w:rsidTr="00245D08">
        <w:tc>
          <w:tcPr>
            <w:tcW w:w="4531" w:type="dxa"/>
            <w:tcBorders>
              <w:bottom w:val="single" w:sz="4" w:space="0" w:color="auto"/>
            </w:tcBorders>
            <w:shd w:val="clear" w:color="auto" w:fill="F3F9FA"/>
          </w:tcPr>
          <w:p w14:paraId="1C1D7A5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[UG]</w:t>
            </w:r>
          </w:p>
        </w:tc>
        <w:tc>
          <w:tcPr>
            <w:tcW w:w="851" w:type="dxa"/>
            <w:tcBorders>
              <w:bottom w:val="single" w:sz="4" w:space="0" w:color="auto"/>
            </w:tcBorders>
            <w:shd w:val="clear" w:color="auto" w:fill="F3F9FA"/>
          </w:tcPr>
          <w:p w14:paraId="31EA81C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0C811E36" w14:textId="6C37A5A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11.2</w:t>
            </w:r>
          </w:p>
        </w:tc>
        <w:tc>
          <w:tcPr>
            <w:tcW w:w="992" w:type="dxa"/>
            <w:tcBorders>
              <w:bottom w:val="single" w:sz="4" w:space="0" w:color="auto"/>
            </w:tcBorders>
            <w:shd w:val="clear" w:color="auto" w:fill="F3F9FA"/>
          </w:tcPr>
          <w:p w14:paraId="5070C792" w14:textId="509E4AD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19.94</w:t>
            </w:r>
          </w:p>
        </w:tc>
        <w:tc>
          <w:tcPr>
            <w:tcW w:w="993" w:type="dxa"/>
            <w:tcBorders>
              <w:bottom w:val="single" w:sz="4" w:space="0" w:color="auto"/>
            </w:tcBorders>
            <w:shd w:val="clear" w:color="auto" w:fill="F3F9FA"/>
          </w:tcPr>
          <w:p w14:paraId="11A51099" w14:textId="158877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047A67EC" w14:textId="77777777" w:rsidR="009B4F14" w:rsidRPr="00BC7288" w:rsidRDefault="009B4F14" w:rsidP="009B4F14">
            <w:pPr>
              <w:spacing w:before="0" w:after="0" w:line="200" w:lineRule="exact"/>
              <w:jc w:val="center"/>
              <w:rPr>
                <w:rFonts w:asciiTheme="minorHAnsi" w:hAnsiTheme="minorHAnsi"/>
                <w:sz w:val="20"/>
                <w:szCs w:val="20"/>
              </w:rPr>
            </w:pPr>
          </w:p>
        </w:tc>
      </w:tr>
    </w:tbl>
    <w:p w14:paraId="5711EDFD" w14:textId="77777777" w:rsidR="00123944" w:rsidRDefault="00123944">
      <w:pPr>
        <w:spacing w:before="0" w:after="0"/>
        <w:rPr>
          <w:color w:val="000000"/>
        </w:rPr>
      </w:pPr>
    </w:p>
    <w:p w14:paraId="0BF51154" w14:textId="77777777" w:rsidR="00306220" w:rsidRDefault="00306220" w:rsidP="00306220">
      <w:pPr>
        <w:pStyle w:val="BodyText"/>
        <w:spacing w:before="240" w:after="240"/>
      </w:pPr>
    </w:p>
    <w:p w14:paraId="53A68886" w14:textId="77777777" w:rsidR="00306220" w:rsidRDefault="00306220" w:rsidP="00306220">
      <w:pPr>
        <w:pStyle w:val="BodyText"/>
        <w:spacing w:before="240" w:after="240"/>
      </w:pPr>
    </w:p>
    <w:p w14:paraId="36D061AF" w14:textId="77777777" w:rsidR="00306220" w:rsidRDefault="00306220" w:rsidP="00306220">
      <w:pPr>
        <w:rPr>
          <w:color w:val="000000"/>
        </w:rPr>
        <w:sectPr w:rsidR="00306220">
          <w:pgSz w:w="11906" w:h="16838"/>
          <w:pgMar w:top="1440" w:right="1440" w:bottom="1440" w:left="1440" w:header="708" w:footer="708" w:gutter="0"/>
          <w:cols w:space="708"/>
          <w:docGrid w:linePitch="360"/>
        </w:sectPr>
      </w:pPr>
    </w:p>
    <w:p w14:paraId="047F4E03" w14:textId="6866DC93" w:rsidR="00306220" w:rsidRPr="009A66FC" w:rsidRDefault="00306220" w:rsidP="00306220">
      <w:pPr>
        <w:pStyle w:val="Caption"/>
        <w:jc w:val="center"/>
        <w:rPr>
          <w:i/>
          <w:iCs/>
          <w:vanish/>
          <w:color w:val="000000"/>
          <w:specVanish/>
        </w:rPr>
      </w:pPr>
      <w:bookmarkStart w:id="1258" w:name="_Ref511310045"/>
      <w:bookmarkStart w:id="1259" w:name="_Toc516053482"/>
      <w:r>
        <w:t xml:space="preserve">Table </w:t>
      </w:r>
      <w:r>
        <w:fldChar w:fldCharType="begin"/>
      </w:r>
      <w:r>
        <w:instrText xml:space="preserve"> SEQ Table \* ARABIC </w:instrText>
      </w:r>
      <w:r>
        <w:fldChar w:fldCharType="separate"/>
      </w:r>
      <w:r w:rsidR="00F87DF9">
        <w:rPr>
          <w:noProof/>
        </w:rPr>
        <w:t>58</w:t>
      </w:r>
      <w:r>
        <w:fldChar w:fldCharType="end"/>
      </w:r>
      <w:bookmarkEnd w:id="1258"/>
      <w:r>
        <w:t xml:space="preserve">. </w:t>
      </w:r>
      <w:bookmarkStart w:id="1260" w:name="_Toc487023257"/>
      <w:r w:rsidRPr="001012AD">
        <w:rPr>
          <w:i/>
        </w:rPr>
        <w:t>Results of</w:t>
      </w:r>
      <w:r w:rsidRPr="001012AD">
        <w:t xml:space="preserve"> </w:t>
      </w:r>
      <w:r w:rsidRPr="001012AD">
        <w:rPr>
          <w:i/>
        </w:rPr>
        <w:t xml:space="preserve">Mann­Kendall analysis to assess if there was a significant trend (decline or increase) over time in seagrass </w:t>
      </w:r>
      <w:r>
        <w:rPr>
          <w:i/>
        </w:rPr>
        <w:t>abundance (per cent cover)</w:t>
      </w:r>
      <w:r w:rsidRPr="001012AD">
        <w:rPr>
          <w:i/>
        </w:rPr>
        <w:t>.</w:t>
      </w:r>
      <w:bookmarkEnd w:id="1259"/>
      <w:bookmarkEnd w:id="1260"/>
    </w:p>
    <w:p w14:paraId="22E08290" w14:textId="4D28E3CB" w:rsidR="00306220" w:rsidRPr="001012AD" w:rsidRDefault="00306220" w:rsidP="00306220">
      <w:pPr>
        <w:pStyle w:val="Caption"/>
        <w:keepNext/>
        <w:jc w:val="center"/>
        <w:rPr>
          <w:szCs w:val="22"/>
        </w:rPr>
      </w:pPr>
      <w:r w:rsidRPr="001012AD">
        <w:rPr>
          <w:i/>
          <w:szCs w:val="22"/>
        </w:rPr>
        <w:t xml:space="preserve">The reported output of the tests performed are Kendall’s tau </w:t>
      </w:r>
      <w:r>
        <w:rPr>
          <w:i/>
          <w:szCs w:val="22"/>
        </w:rPr>
        <w:t>coefficient (</w:t>
      </w:r>
      <w:r w:rsidRPr="00F916E7">
        <w:rPr>
          <w:i/>
          <w:szCs w:val="22"/>
        </w:rPr>
        <w:t>Kendall-τ</w:t>
      </w:r>
      <w:r>
        <w:rPr>
          <w:i/>
          <w:szCs w:val="22"/>
        </w:rPr>
        <w:t>)</w:t>
      </w:r>
      <w:r w:rsidRPr="001012AD">
        <w:rPr>
          <w:i/>
          <w:szCs w:val="22"/>
        </w:rPr>
        <w:t>, the two-sided p-value</w:t>
      </w:r>
      <w:r>
        <w:rPr>
          <w:i/>
          <w:szCs w:val="22"/>
        </w:rPr>
        <w:t xml:space="preserve"> (</w:t>
      </w:r>
      <w:r w:rsidRPr="00427578">
        <w:rPr>
          <w:i/>
          <w:szCs w:val="22"/>
        </w:rPr>
        <w:t>significant at α =</w:t>
      </w:r>
      <w:r>
        <w:rPr>
          <w:i/>
          <w:szCs w:val="22"/>
        </w:rPr>
        <w:t xml:space="preserve"> </w:t>
      </w:r>
      <w:r w:rsidRPr="00427578">
        <w:rPr>
          <w:i/>
          <w:szCs w:val="22"/>
        </w:rPr>
        <w:t>0.05</w:t>
      </w:r>
      <w:r>
        <w:rPr>
          <w:i/>
          <w:szCs w:val="22"/>
        </w:rPr>
        <w:t xml:space="preserve"> in bold)</w:t>
      </w:r>
      <w:r w:rsidRPr="001012AD">
        <w:rPr>
          <w:i/>
          <w:szCs w:val="22"/>
        </w:rPr>
        <w:t xml:space="preserve">, the Sen’s slope (showing the sign and strength of the trend) and the </w:t>
      </w:r>
      <w:r>
        <w:rPr>
          <w:i/>
          <w:szCs w:val="22"/>
        </w:rPr>
        <w:t>long-term trend</w:t>
      </w:r>
      <w:r w:rsidRPr="001012AD">
        <w:rPr>
          <w:i/>
          <w:szCs w:val="22"/>
        </w:rPr>
        <w:t>.</w:t>
      </w:r>
    </w:p>
    <w:tbl>
      <w:tblPr>
        <w:tblW w:w="12994" w:type="dxa"/>
        <w:jc w:val="center"/>
        <w:tblLayout w:type="fixed"/>
        <w:tblLook w:val="04A0" w:firstRow="1" w:lastRow="0" w:firstColumn="1" w:lastColumn="0" w:noHBand="0" w:noVBand="1"/>
      </w:tblPr>
      <w:tblGrid>
        <w:gridCol w:w="2028"/>
        <w:gridCol w:w="1874"/>
        <w:gridCol w:w="720"/>
        <w:gridCol w:w="1078"/>
        <w:gridCol w:w="1078"/>
        <w:gridCol w:w="519"/>
        <w:gridCol w:w="1078"/>
        <w:gridCol w:w="1076"/>
        <w:gridCol w:w="2475"/>
        <w:gridCol w:w="1068"/>
      </w:tblGrid>
      <w:tr w:rsidR="00306220" w:rsidRPr="00625DAC" w14:paraId="5CBE5DBA" w14:textId="77777777" w:rsidTr="00D64955">
        <w:trPr>
          <w:cantSplit/>
          <w:trHeight w:val="312"/>
          <w:tblHeader/>
          <w:jc w:val="center"/>
        </w:trPr>
        <w:tc>
          <w:tcPr>
            <w:tcW w:w="2028" w:type="dxa"/>
            <w:tcBorders>
              <w:top w:val="single" w:sz="4" w:space="0" w:color="auto"/>
              <w:bottom w:val="single" w:sz="4" w:space="0" w:color="auto"/>
            </w:tcBorders>
            <w:shd w:val="clear" w:color="000000" w:fill="C0C0C0"/>
            <w:noWrap/>
            <w:vAlign w:val="center"/>
            <w:hideMark/>
          </w:tcPr>
          <w:p w14:paraId="19FD8E01" w14:textId="77777777" w:rsidR="00306220" w:rsidRPr="00625DAC" w:rsidRDefault="00306220" w:rsidP="00D64955">
            <w:pPr>
              <w:pStyle w:val="BodyText"/>
              <w:spacing w:after="0"/>
              <w:jc w:val="center"/>
              <w:rPr>
                <w:rFonts w:asciiTheme="minorHAnsi" w:hAnsiTheme="minorHAnsi"/>
                <w:b/>
                <w:color w:val="000000"/>
                <w:sz w:val="20"/>
                <w:szCs w:val="20"/>
              </w:rPr>
            </w:pPr>
            <w:r w:rsidRPr="00625DAC">
              <w:rPr>
                <w:rFonts w:asciiTheme="minorHAnsi" w:hAnsiTheme="minorHAnsi"/>
                <w:b/>
                <w:color w:val="000000"/>
                <w:sz w:val="20"/>
                <w:szCs w:val="20"/>
              </w:rPr>
              <w:t>NRM</w:t>
            </w:r>
            <w:r>
              <w:rPr>
                <w:rFonts w:asciiTheme="minorHAnsi" w:hAnsiTheme="minorHAnsi"/>
                <w:b/>
                <w:color w:val="000000"/>
                <w:sz w:val="20"/>
                <w:szCs w:val="20"/>
              </w:rPr>
              <w:t xml:space="preserve"> </w:t>
            </w:r>
            <w:r w:rsidRPr="00625DAC">
              <w:rPr>
                <w:rFonts w:asciiTheme="minorHAnsi" w:hAnsiTheme="minorHAnsi"/>
                <w:b/>
                <w:color w:val="000000"/>
                <w:sz w:val="20"/>
                <w:szCs w:val="20"/>
              </w:rPr>
              <w:t>region</w:t>
            </w:r>
          </w:p>
        </w:tc>
        <w:tc>
          <w:tcPr>
            <w:tcW w:w="1874" w:type="dxa"/>
            <w:tcBorders>
              <w:top w:val="single" w:sz="4" w:space="0" w:color="auto"/>
              <w:bottom w:val="single" w:sz="4" w:space="0" w:color="auto"/>
            </w:tcBorders>
            <w:shd w:val="clear" w:color="000000" w:fill="C0C0C0"/>
            <w:noWrap/>
            <w:vAlign w:val="center"/>
            <w:hideMark/>
          </w:tcPr>
          <w:p w14:paraId="2F3D7EFA" w14:textId="77777777" w:rsidR="00306220" w:rsidRPr="00625DAC" w:rsidRDefault="00306220" w:rsidP="00D64955">
            <w:pPr>
              <w:pStyle w:val="BodyText"/>
              <w:spacing w:after="0"/>
              <w:jc w:val="center"/>
              <w:rPr>
                <w:rFonts w:asciiTheme="minorHAnsi" w:hAnsiTheme="minorHAnsi"/>
                <w:b/>
                <w:color w:val="000000"/>
                <w:sz w:val="20"/>
                <w:szCs w:val="20"/>
              </w:rPr>
            </w:pPr>
            <w:r w:rsidRPr="00625DAC">
              <w:rPr>
                <w:rFonts w:asciiTheme="minorHAnsi" w:hAnsiTheme="minorHAnsi"/>
                <w:b/>
                <w:color w:val="000000"/>
                <w:sz w:val="20"/>
                <w:szCs w:val="20"/>
              </w:rPr>
              <w:t>Habitat</w:t>
            </w:r>
          </w:p>
        </w:tc>
        <w:tc>
          <w:tcPr>
            <w:tcW w:w="720" w:type="dxa"/>
            <w:tcBorders>
              <w:top w:val="single" w:sz="4" w:space="0" w:color="auto"/>
              <w:bottom w:val="single" w:sz="4" w:space="0" w:color="auto"/>
            </w:tcBorders>
            <w:shd w:val="clear" w:color="000000" w:fill="C0C0C0"/>
            <w:noWrap/>
            <w:vAlign w:val="center"/>
            <w:hideMark/>
          </w:tcPr>
          <w:p w14:paraId="653D02A7" w14:textId="77777777" w:rsidR="00306220" w:rsidRPr="00625DAC" w:rsidRDefault="00306220" w:rsidP="00D64955">
            <w:pPr>
              <w:pStyle w:val="BodyText"/>
              <w:spacing w:after="0"/>
              <w:jc w:val="center"/>
              <w:rPr>
                <w:rFonts w:asciiTheme="minorHAnsi" w:hAnsiTheme="minorHAnsi"/>
                <w:b/>
                <w:color w:val="000000"/>
                <w:sz w:val="20"/>
                <w:szCs w:val="20"/>
              </w:rPr>
            </w:pPr>
            <w:r w:rsidRPr="00625DAC">
              <w:rPr>
                <w:rFonts w:asciiTheme="minorHAnsi" w:hAnsiTheme="minorHAnsi"/>
                <w:b/>
                <w:color w:val="000000"/>
                <w:sz w:val="20"/>
                <w:szCs w:val="20"/>
              </w:rPr>
              <w:t>Site</w:t>
            </w:r>
          </w:p>
        </w:tc>
        <w:tc>
          <w:tcPr>
            <w:tcW w:w="1078" w:type="dxa"/>
            <w:tcBorders>
              <w:top w:val="single" w:sz="4" w:space="0" w:color="auto"/>
              <w:bottom w:val="single" w:sz="4" w:space="0" w:color="auto"/>
            </w:tcBorders>
            <w:shd w:val="clear" w:color="000000" w:fill="C0C0C0"/>
            <w:vAlign w:val="center"/>
          </w:tcPr>
          <w:p w14:paraId="709BA598" w14:textId="77777777" w:rsidR="00306220" w:rsidRPr="006328F6" w:rsidRDefault="00306220" w:rsidP="00D64955">
            <w:pPr>
              <w:pStyle w:val="BodyText"/>
              <w:spacing w:after="0"/>
              <w:jc w:val="center"/>
              <w:rPr>
                <w:rFonts w:asciiTheme="minorHAnsi" w:hAnsiTheme="minorHAnsi"/>
                <w:b/>
                <w:color w:val="000000"/>
                <w:sz w:val="20"/>
                <w:szCs w:val="20"/>
              </w:rPr>
            </w:pPr>
            <w:r w:rsidRPr="006328F6">
              <w:rPr>
                <w:rFonts w:asciiTheme="minorHAnsi" w:hAnsiTheme="minorHAnsi"/>
                <w:b/>
                <w:color w:val="000000"/>
                <w:sz w:val="20"/>
                <w:szCs w:val="20"/>
              </w:rPr>
              <w:t>First Year</w:t>
            </w:r>
          </w:p>
        </w:tc>
        <w:tc>
          <w:tcPr>
            <w:tcW w:w="1078" w:type="dxa"/>
            <w:tcBorders>
              <w:top w:val="single" w:sz="4" w:space="0" w:color="auto"/>
              <w:bottom w:val="single" w:sz="4" w:space="0" w:color="auto"/>
            </w:tcBorders>
            <w:shd w:val="clear" w:color="000000" w:fill="C0C0C0"/>
            <w:vAlign w:val="center"/>
          </w:tcPr>
          <w:p w14:paraId="1E2CABC3" w14:textId="77777777" w:rsidR="00306220" w:rsidRPr="006328F6" w:rsidRDefault="00306220" w:rsidP="00D64955">
            <w:pPr>
              <w:pStyle w:val="BodyText"/>
              <w:spacing w:after="0"/>
              <w:jc w:val="center"/>
              <w:rPr>
                <w:rFonts w:asciiTheme="minorHAnsi" w:hAnsiTheme="minorHAnsi"/>
                <w:b/>
                <w:color w:val="000000"/>
                <w:sz w:val="20"/>
                <w:szCs w:val="20"/>
              </w:rPr>
            </w:pPr>
            <w:r w:rsidRPr="006328F6">
              <w:rPr>
                <w:rFonts w:asciiTheme="minorHAnsi" w:hAnsiTheme="minorHAnsi"/>
                <w:b/>
                <w:color w:val="000000"/>
                <w:sz w:val="20"/>
                <w:szCs w:val="20"/>
              </w:rPr>
              <w:t>Last Year</w:t>
            </w:r>
          </w:p>
        </w:tc>
        <w:tc>
          <w:tcPr>
            <w:tcW w:w="519" w:type="dxa"/>
            <w:tcBorders>
              <w:top w:val="single" w:sz="4" w:space="0" w:color="auto"/>
              <w:bottom w:val="single" w:sz="4" w:space="0" w:color="auto"/>
            </w:tcBorders>
            <w:shd w:val="clear" w:color="000000" w:fill="C0C0C0"/>
            <w:vAlign w:val="center"/>
          </w:tcPr>
          <w:p w14:paraId="32C60EEA" w14:textId="77777777" w:rsidR="00306220" w:rsidRPr="006328F6" w:rsidRDefault="00306220" w:rsidP="00D64955">
            <w:pPr>
              <w:pStyle w:val="BodyText"/>
              <w:spacing w:after="0"/>
              <w:jc w:val="center"/>
              <w:rPr>
                <w:rFonts w:asciiTheme="minorHAnsi" w:hAnsiTheme="minorHAnsi"/>
                <w:b/>
                <w:i/>
                <w:color w:val="000000"/>
                <w:sz w:val="20"/>
                <w:szCs w:val="20"/>
              </w:rPr>
            </w:pPr>
            <w:r w:rsidRPr="006328F6">
              <w:rPr>
                <w:rFonts w:asciiTheme="minorHAnsi" w:hAnsiTheme="minorHAnsi"/>
                <w:b/>
                <w:i/>
                <w:color w:val="000000"/>
                <w:sz w:val="20"/>
                <w:szCs w:val="20"/>
              </w:rPr>
              <w:t>n</w:t>
            </w:r>
          </w:p>
        </w:tc>
        <w:tc>
          <w:tcPr>
            <w:tcW w:w="1078" w:type="dxa"/>
            <w:tcBorders>
              <w:top w:val="single" w:sz="4" w:space="0" w:color="auto"/>
              <w:bottom w:val="single" w:sz="4" w:space="0" w:color="auto"/>
            </w:tcBorders>
            <w:shd w:val="clear" w:color="000000" w:fill="C0C0C0"/>
            <w:noWrap/>
            <w:vAlign w:val="center"/>
            <w:hideMark/>
          </w:tcPr>
          <w:p w14:paraId="7336EDE3" w14:textId="77777777" w:rsidR="00306220" w:rsidRPr="00625DAC" w:rsidRDefault="00306220" w:rsidP="00D64955">
            <w:pPr>
              <w:pStyle w:val="BodyText"/>
              <w:spacing w:after="0"/>
              <w:jc w:val="center"/>
              <w:rPr>
                <w:rFonts w:asciiTheme="minorHAnsi" w:hAnsiTheme="minorHAnsi"/>
                <w:b/>
                <w:color w:val="000000"/>
                <w:sz w:val="20"/>
                <w:szCs w:val="20"/>
              </w:rPr>
            </w:pPr>
            <w:r w:rsidRPr="00F916E7">
              <w:rPr>
                <w:b/>
                <w:i/>
                <w:color w:val="000000"/>
                <w:sz w:val="20"/>
                <w:szCs w:val="20"/>
              </w:rPr>
              <w:t>Kendall-τ</w:t>
            </w:r>
          </w:p>
        </w:tc>
        <w:tc>
          <w:tcPr>
            <w:tcW w:w="1076" w:type="dxa"/>
            <w:tcBorders>
              <w:top w:val="single" w:sz="4" w:space="0" w:color="auto"/>
              <w:bottom w:val="single" w:sz="4" w:space="0" w:color="auto"/>
            </w:tcBorders>
            <w:shd w:val="clear" w:color="000000" w:fill="C0C0C0"/>
            <w:noWrap/>
            <w:vAlign w:val="center"/>
            <w:hideMark/>
          </w:tcPr>
          <w:p w14:paraId="1D51173A" w14:textId="77777777" w:rsidR="00306220" w:rsidRPr="00DE02BF" w:rsidRDefault="00306220" w:rsidP="00D64955">
            <w:pPr>
              <w:pStyle w:val="BodyText"/>
              <w:spacing w:after="0"/>
              <w:jc w:val="center"/>
              <w:rPr>
                <w:b/>
                <w:i/>
                <w:color w:val="000000"/>
                <w:sz w:val="20"/>
                <w:szCs w:val="20"/>
              </w:rPr>
            </w:pPr>
            <w:r w:rsidRPr="00DE02BF">
              <w:rPr>
                <w:b/>
                <w:i/>
                <w:color w:val="000000"/>
                <w:sz w:val="20"/>
                <w:szCs w:val="20"/>
              </w:rPr>
              <w:t>p</w:t>
            </w:r>
          </w:p>
          <w:p w14:paraId="4AF4C5FD" w14:textId="77777777" w:rsidR="00306220" w:rsidRPr="00625DAC" w:rsidRDefault="00306220" w:rsidP="00D64955">
            <w:pPr>
              <w:pStyle w:val="BodyText"/>
              <w:spacing w:after="0"/>
              <w:jc w:val="center"/>
              <w:rPr>
                <w:rFonts w:asciiTheme="minorHAnsi" w:hAnsiTheme="minorHAnsi"/>
                <w:b/>
                <w:color w:val="000000"/>
                <w:sz w:val="20"/>
                <w:szCs w:val="20"/>
              </w:rPr>
            </w:pPr>
            <w:r w:rsidRPr="005A06B1">
              <w:rPr>
                <w:color w:val="000000"/>
                <w:sz w:val="16"/>
                <w:szCs w:val="16"/>
              </w:rPr>
              <w:t>(2-sided)</w:t>
            </w:r>
          </w:p>
        </w:tc>
        <w:tc>
          <w:tcPr>
            <w:tcW w:w="2475" w:type="dxa"/>
            <w:tcBorders>
              <w:top w:val="single" w:sz="4" w:space="0" w:color="auto"/>
              <w:bottom w:val="single" w:sz="4" w:space="0" w:color="auto"/>
            </w:tcBorders>
            <w:shd w:val="clear" w:color="000000" w:fill="C0C0C0"/>
            <w:noWrap/>
            <w:vAlign w:val="center"/>
            <w:hideMark/>
          </w:tcPr>
          <w:p w14:paraId="2B5C6469" w14:textId="77777777" w:rsidR="00306220" w:rsidRDefault="00306220" w:rsidP="00D64955">
            <w:pPr>
              <w:pStyle w:val="BodyText"/>
              <w:spacing w:after="0"/>
              <w:jc w:val="center"/>
              <w:rPr>
                <w:b/>
                <w:color w:val="000000"/>
                <w:sz w:val="20"/>
                <w:szCs w:val="20"/>
              </w:rPr>
            </w:pPr>
            <w:r>
              <w:rPr>
                <w:b/>
                <w:color w:val="000000"/>
                <w:sz w:val="20"/>
                <w:szCs w:val="20"/>
              </w:rPr>
              <w:t xml:space="preserve">Sen’s </w:t>
            </w:r>
            <w:r w:rsidRPr="00DE02BF">
              <w:rPr>
                <w:b/>
                <w:color w:val="000000"/>
                <w:sz w:val="20"/>
                <w:szCs w:val="20"/>
              </w:rPr>
              <w:t>slope</w:t>
            </w:r>
          </w:p>
          <w:p w14:paraId="1284E065" w14:textId="77777777" w:rsidR="00306220" w:rsidRPr="00664ECE" w:rsidRDefault="00306220" w:rsidP="00D64955">
            <w:pPr>
              <w:pStyle w:val="BodyText"/>
              <w:spacing w:after="0"/>
              <w:jc w:val="center"/>
              <w:rPr>
                <w:rFonts w:asciiTheme="minorHAnsi" w:hAnsiTheme="minorHAnsi"/>
                <w:color w:val="000000"/>
                <w:sz w:val="16"/>
                <w:szCs w:val="16"/>
              </w:rPr>
            </w:pPr>
            <w:r w:rsidRPr="00664ECE">
              <w:rPr>
                <w:color w:val="000000"/>
                <w:sz w:val="16"/>
                <w:szCs w:val="16"/>
              </w:rPr>
              <w:t>(confidence interval)</w:t>
            </w:r>
          </w:p>
        </w:tc>
        <w:tc>
          <w:tcPr>
            <w:tcW w:w="1068" w:type="dxa"/>
            <w:tcBorders>
              <w:top w:val="single" w:sz="4" w:space="0" w:color="auto"/>
              <w:bottom w:val="single" w:sz="4" w:space="0" w:color="auto"/>
            </w:tcBorders>
            <w:shd w:val="clear" w:color="000000" w:fill="C0C0C0"/>
            <w:noWrap/>
            <w:vAlign w:val="center"/>
            <w:hideMark/>
          </w:tcPr>
          <w:p w14:paraId="0EA14AC7" w14:textId="77777777" w:rsidR="00306220" w:rsidRPr="00625DAC" w:rsidRDefault="00306220" w:rsidP="00D64955">
            <w:pPr>
              <w:pStyle w:val="BodyText"/>
              <w:spacing w:after="0"/>
              <w:jc w:val="center"/>
              <w:rPr>
                <w:rFonts w:asciiTheme="minorHAnsi" w:hAnsiTheme="minorHAnsi"/>
                <w:b/>
                <w:color w:val="000000"/>
                <w:sz w:val="20"/>
                <w:szCs w:val="20"/>
              </w:rPr>
            </w:pPr>
            <w:r w:rsidRPr="00625DAC">
              <w:rPr>
                <w:rFonts w:asciiTheme="minorHAnsi" w:hAnsiTheme="minorHAnsi"/>
                <w:b/>
                <w:color w:val="000000"/>
                <w:sz w:val="20"/>
                <w:szCs w:val="20"/>
              </w:rPr>
              <w:t>trend</w:t>
            </w:r>
          </w:p>
        </w:tc>
      </w:tr>
      <w:tr w:rsidR="00306220" w:rsidRPr="00625DAC" w14:paraId="264BD177" w14:textId="77777777" w:rsidTr="00D64955">
        <w:trPr>
          <w:cantSplit/>
          <w:trHeight w:val="312"/>
          <w:jc w:val="center"/>
        </w:trPr>
        <w:tc>
          <w:tcPr>
            <w:tcW w:w="2028" w:type="dxa"/>
            <w:vMerge w:val="restart"/>
            <w:tcBorders>
              <w:top w:val="single" w:sz="4" w:space="0" w:color="auto"/>
            </w:tcBorders>
            <w:shd w:val="clear" w:color="auto" w:fill="E7F3F4"/>
            <w:noWrap/>
            <w:vAlign w:val="center"/>
          </w:tcPr>
          <w:p w14:paraId="0E1E9392"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Cape York</w:t>
            </w:r>
          </w:p>
        </w:tc>
        <w:tc>
          <w:tcPr>
            <w:tcW w:w="1874" w:type="dxa"/>
            <w:vMerge w:val="restart"/>
            <w:tcBorders>
              <w:top w:val="single" w:sz="4" w:space="0" w:color="auto"/>
            </w:tcBorders>
            <w:shd w:val="clear" w:color="auto" w:fill="E7F3F4"/>
            <w:noWrap/>
            <w:vAlign w:val="center"/>
            <w:hideMark/>
          </w:tcPr>
          <w:p w14:paraId="46100A33"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coastal intertidal</w:t>
            </w:r>
          </w:p>
        </w:tc>
        <w:tc>
          <w:tcPr>
            <w:tcW w:w="720" w:type="dxa"/>
            <w:tcBorders>
              <w:top w:val="single" w:sz="4" w:space="0" w:color="auto"/>
            </w:tcBorders>
            <w:shd w:val="clear" w:color="auto" w:fill="E7F3F4"/>
            <w:noWrap/>
            <w:vAlign w:val="center"/>
            <w:hideMark/>
          </w:tcPr>
          <w:p w14:paraId="70642F46"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BY1</w:t>
            </w:r>
          </w:p>
        </w:tc>
        <w:tc>
          <w:tcPr>
            <w:tcW w:w="1078" w:type="dxa"/>
            <w:tcBorders>
              <w:top w:val="single" w:sz="4" w:space="0" w:color="auto"/>
            </w:tcBorders>
            <w:shd w:val="clear" w:color="auto" w:fill="E7F3F4"/>
            <w:vAlign w:val="center"/>
          </w:tcPr>
          <w:p w14:paraId="4E768E15"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top w:val="single" w:sz="4" w:space="0" w:color="auto"/>
            </w:tcBorders>
            <w:shd w:val="clear" w:color="auto" w:fill="E7F3F4"/>
            <w:vAlign w:val="center"/>
          </w:tcPr>
          <w:p w14:paraId="3535ACFF"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E7F3F4"/>
            <w:vAlign w:val="center"/>
          </w:tcPr>
          <w:p w14:paraId="673A85A8"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9</w:t>
            </w:r>
          </w:p>
        </w:tc>
        <w:tc>
          <w:tcPr>
            <w:tcW w:w="1078" w:type="dxa"/>
            <w:tcBorders>
              <w:top w:val="single" w:sz="4" w:space="0" w:color="auto"/>
            </w:tcBorders>
            <w:shd w:val="clear" w:color="auto" w:fill="E7F3F4"/>
            <w:noWrap/>
            <w:vAlign w:val="center"/>
            <w:hideMark/>
          </w:tcPr>
          <w:p w14:paraId="4B2661C3"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0.333</w:t>
            </w:r>
          </w:p>
        </w:tc>
        <w:tc>
          <w:tcPr>
            <w:tcW w:w="1076" w:type="dxa"/>
            <w:tcBorders>
              <w:top w:val="single" w:sz="4" w:space="0" w:color="auto"/>
            </w:tcBorders>
            <w:shd w:val="clear" w:color="auto" w:fill="E7F3F4"/>
            <w:noWrap/>
            <w:vAlign w:val="center"/>
            <w:hideMark/>
          </w:tcPr>
          <w:p w14:paraId="1A81469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0.2515</w:t>
            </w:r>
          </w:p>
        </w:tc>
        <w:tc>
          <w:tcPr>
            <w:tcW w:w="2475" w:type="dxa"/>
            <w:tcBorders>
              <w:top w:val="single" w:sz="4" w:space="0" w:color="auto"/>
            </w:tcBorders>
            <w:shd w:val="clear" w:color="auto" w:fill="E7F3F4"/>
            <w:noWrap/>
            <w:vAlign w:val="center"/>
            <w:hideMark/>
          </w:tcPr>
          <w:p w14:paraId="6C7EC787"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0.0127</w:t>
            </w:r>
          </w:p>
        </w:tc>
        <w:tc>
          <w:tcPr>
            <w:tcW w:w="1068" w:type="dxa"/>
            <w:tcBorders>
              <w:top w:val="single" w:sz="4" w:space="0" w:color="auto"/>
            </w:tcBorders>
            <w:shd w:val="clear" w:color="auto" w:fill="E7F3F4"/>
            <w:noWrap/>
            <w:vAlign w:val="center"/>
          </w:tcPr>
          <w:p w14:paraId="56B985B8"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5472FDC5" w14:textId="77777777" w:rsidTr="00D64955">
        <w:trPr>
          <w:cantSplit/>
          <w:trHeight w:val="312"/>
          <w:jc w:val="center"/>
        </w:trPr>
        <w:tc>
          <w:tcPr>
            <w:tcW w:w="2028" w:type="dxa"/>
            <w:vMerge/>
            <w:shd w:val="clear" w:color="auto" w:fill="E7F3F4"/>
            <w:noWrap/>
            <w:vAlign w:val="center"/>
          </w:tcPr>
          <w:p w14:paraId="45AF921B"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E7F3F4"/>
            <w:noWrap/>
            <w:vAlign w:val="center"/>
            <w:hideMark/>
          </w:tcPr>
          <w:p w14:paraId="7B84E168"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3C85D8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BY2</w:t>
            </w:r>
          </w:p>
        </w:tc>
        <w:tc>
          <w:tcPr>
            <w:tcW w:w="1078" w:type="dxa"/>
            <w:tcBorders>
              <w:bottom w:val="single" w:sz="4" w:space="0" w:color="auto"/>
            </w:tcBorders>
            <w:shd w:val="clear" w:color="auto" w:fill="E7F3F4"/>
            <w:vAlign w:val="center"/>
          </w:tcPr>
          <w:p w14:paraId="28B9ACF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bottom w:val="single" w:sz="4" w:space="0" w:color="auto"/>
            </w:tcBorders>
            <w:shd w:val="clear" w:color="auto" w:fill="E7F3F4"/>
            <w:vAlign w:val="center"/>
          </w:tcPr>
          <w:p w14:paraId="762E1350"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E7F3F4"/>
            <w:vAlign w:val="center"/>
          </w:tcPr>
          <w:p w14:paraId="60A7E71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9</w:t>
            </w:r>
          </w:p>
        </w:tc>
        <w:tc>
          <w:tcPr>
            <w:tcW w:w="1078" w:type="dxa"/>
            <w:tcBorders>
              <w:bottom w:val="single" w:sz="4" w:space="0" w:color="auto"/>
            </w:tcBorders>
            <w:shd w:val="clear" w:color="auto" w:fill="E7F3F4"/>
            <w:noWrap/>
            <w:vAlign w:val="center"/>
            <w:hideMark/>
          </w:tcPr>
          <w:p w14:paraId="245A118A"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0.5</w:t>
            </w:r>
          </w:p>
        </w:tc>
        <w:tc>
          <w:tcPr>
            <w:tcW w:w="1076" w:type="dxa"/>
            <w:tcBorders>
              <w:bottom w:val="single" w:sz="4" w:space="0" w:color="auto"/>
            </w:tcBorders>
            <w:shd w:val="clear" w:color="auto" w:fill="E7F3F4"/>
            <w:noWrap/>
            <w:vAlign w:val="center"/>
            <w:hideMark/>
          </w:tcPr>
          <w:p w14:paraId="2E5F91FB"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0.0763</w:t>
            </w:r>
          </w:p>
        </w:tc>
        <w:tc>
          <w:tcPr>
            <w:tcW w:w="2475" w:type="dxa"/>
            <w:tcBorders>
              <w:bottom w:val="single" w:sz="4" w:space="0" w:color="auto"/>
            </w:tcBorders>
            <w:shd w:val="clear" w:color="auto" w:fill="E7F3F4"/>
            <w:noWrap/>
            <w:vAlign w:val="center"/>
            <w:hideMark/>
          </w:tcPr>
          <w:p w14:paraId="23702287"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0.0119</w:t>
            </w:r>
          </w:p>
        </w:tc>
        <w:tc>
          <w:tcPr>
            <w:tcW w:w="1068" w:type="dxa"/>
            <w:tcBorders>
              <w:bottom w:val="single" w:sz="4" w:space="0" w:color="auto"/>
            </w:tcBorders>
            <w:shd w:val="clear" w:color="auto" w:fill="E7F3F4"/>
            <w:noWrap/>
            <w:vAlign w:val="center"/>
          </w:tcPr>
          <w:p w14:paraId="1FE94E71"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1019C750" w14:textId="77777777" w:rsidTr="00D64955">
        <w:trPr>
          <w:cantSplit/>
          <w:trHeight w:val="312"/>
          <w:jc w:val="center"/>
        </w:trPr>
        <w:tc>
          <w:tcPr>
            <w:tcW w:w="2028" w:type="dxa"/>
            <w:vMerge/>
            <w:shd w:val="clear" w:color="auto" w:fill="E7F3F4"/>
            <w:noWrap/>
            <w:vAlign w:val="center"/>
          </w:tcPr>
          <w:p w14:paraId="5A7E5BA9"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E7F3F4"/>
            <w:noWrap/>
            <w:vAlign w:val="center"/>
          </w:tcPr>
          <w:p w14:paraId="3C8F4E38"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E7F3F4"/>
            <w:noWrap/>
            <w:vAlign w:val="center"/>
            <w:hideMark/>
          </w:tcPr>
          <w:p w14:paraId="60B87C6E"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SR1</w:t>
            </w:r>
          </w:p>
        </w:tc>
        <w:tc>
          <w:tcPr>
            <w:tcW w:w="1078" w:type="dxa"/>
            <w:tcBorders>
              <w:top w:val="single" w:sz="4" w:space="0" w:color="auto"/>
            </w:tcBorders>
            <w:shd w:val="clear" w:color="auto" w:fill="E7F3F4"/>
            <w:vAlign w:val="center"/>
          </w:tcPr>
          <w:p w14:paraId="208A69BF"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top w:val="single" w:sz="4" w:space="0" w:color="auto"/>
            </w:tcBorders>
            <w:shd w:val="clear" w:color="auto" w:fill="E7F3F4"/>
            <w:vAlign w:val="center"/>
          </w:tcPr>
          <w:p w14:paraId="7907796F"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2015</w:t>
            </w:r>
          </w:p>
        </w:tc>
        <w:tc>
          <w:tcPr>
            <w:tcW w:w="519" w:type="dxa"/>
            <w:tcBorders>
              <w:top w:val="single" w:sz="4" w:space="0" w:color="auto"/>
            </w:tcBorders>
            <w:shd w:val="clear" w:color="auto" w:fill="E7F3F4"/>
            <w:vAlign w:val="center"/>
          </w:tcPr>
          <w:p w14:paraId="2ECA883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7</w:t>
            </w:r>
          </w:p>
        </w:tc>
        <w:tc>
          <w:tcPr>
            <w:tcW w:w="1078" w:type="dxa"/>
            <w:tcBorders>
              <w:top w:val="single" w:sz="4" w:space="0" w:color="auto"/>
            </w:tcBorders>
            <w:shd w:val="clear" w:color="auto" w:fill="E7F3F4"/>
            <w:noWrap/>
            <w:vAlign w:val="center"/>
            <w:hideMark/>
          </w:tcPr>
          <w:p w14:paraId="2AD9822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-0.524</w:t>
            </w:r>
          </w:p>
        </w:tc>
        <w:tc>
          <w:tcPr>
            <w:tcW w:w="1076" w:type="dxa"/>
            <w:tcBorders>
              <w:top w:val="single" w:sz="4" w:space="0" w:color="auto"/>
            </w:tcBorders>
            <w:shd w:val="clear" w:color="auto" w:fill="E7F3F4"/>
            <w:noWrap/>
            <w:vAlign w:val="center"/>
            <w:hideMark/>
          </w:tcPr>
          <w:p w14:paraId="7563AF0B"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0.1331</w:t>
            </w:r>
          </w:p>
        </w:tc>
        <w:tc>
          <w:tcPr>
            <w:tcW w:w="2475" w:type="dxa"/>
            <w:tcBorders>
              <w:top w:val="single" w:sz="4" w:space="0" w:color="auto"/>
            </w:tcBorders>
            <w:shd w:val="clear" w:color="auto" w:fill="E7F3F4"/>
            <w:noWrap/>
            <w:vAlign w:val="center"/>
            <w:hideMark/>
          </w:tcPr>
          <w:p w14:paraId="0C3F29C4"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-0.0129</w:t>
            </w:r>
          </w:p>
        </w:tc>
        <w:tc>
          <w:tcPr>
            <w:tcW w:w="1068" w:type="dxa"/>
            <w:tcBorders>
              <w:top w:val="single" w:sz="4" w:space="0" w:color="auto"/>
            </w:tcBorders>
            <w:shd w:val="clear" w:color="auto" w:fill="E7F3F4"/>
            <w:noWrap/>
            <w:vAlign w:val="center"/>
            <w:hideMark/>
          </w:tcPr>
          <w:p w14:paraId="6E3205EA"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33B45E42" w14:textId="77777777" w:rsidTr="00D64955">
        <w:trPr>
          <w:cantSplit/>
          <w:trHeight w:val="312"/>
          <w:jc w:val="center"/>
        </w:trPr>
        <w:tc>
          <w:tcPr>
            <w:tcW w:w="2028" w:type="dxa"/>
            <w:vMerge/>
            <w:shd w:val="clear" w:color="auto" w:fill="E7F3F4"/>
            <w:noWrap/>
            <w:vAlign w:val="center"/>
          </w:tcPr>
          <w:p w14:paraId="480011B8"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45B48886"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9E65DD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SR2</w:t>
            </w:r>
          </w:p>
        </w:tc>
        <w:tc>
          <w:tcPr>
            <w:tcW w:w="1078" w:type="dxa"/>
            <w:tcBorders>
              <w:bottom w:val="single" w:sz="4" w:space="0" w:color="auto"/>
            </w:tcBorders>
            <w:shd w:val="clear" w:color="auto" w:fill="E7F3F4"/>
            <w:vAlign w:val="center"/>
          </w:tcPr>
          <w:p w14:paraId="55ABB150"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bottom w:val="single" w:sz="4" w:space="0" w:color="auto"/>
            </w:tcBorders>
            <w:shd w:val="clear" w:color="auto" w:fill="E7F3F4"/>
            <w:vAlign w:val="center"/>
          </w:tcPr>
          <w:p w14:paraId="36BE3596"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2015</w:t>
            </w:r>
          </w:p>
        </w:tc>
        <w:tc>
          <w:tcPr>
            <w:tcW w:w="519" w:type="dxa"/>
            <w:tcBorders>
              <w:bottom w:val="single" w:sz="4" w:space="0" w:color="auto"/>
            </w:tcBorders>
            <w:shd w:val="clear" w:color="auto" w:fill="E7F3F4"/>
            <w:vAlign w:val="center"/>
          </w:tcPr>
          <w:p w14:paraId="3A1A8812"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7</w:t>
            </w:r>
          </w:p>
        </w:tc>
        <w:tc>
          <w:tcPr>
            <w:tcW w:w="1078" w:type="dxa"/>
            <w:tcBorders>
              <w:bottom w:val="single" w:sz="4" w:space="0" w:color="auto"/>
            </w:tcBorders>
            <w:shd w:val="clear" w:color="auto" w:fill="E7F3F4"/>
            <w:noWrap/>
            <w:vAlign w:val="center"/>
            <w:hideMark/>
          </w:tcPr>
          <w:p w14:paraId="26E2E67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0.0476</w:t>
            </w:r>
          </w:p>
        </w:tc>
        <w:tc>
          <w:tcPr>
            <w:tcW w:w="1076" w:type="dxa"/>
            <w:tcBorders>
              <w:bottom w:val="single" w:sz="4" w:space="0" w:color="auto"/>
            </w:tcBorders>
            <w:shd w:val="clear" w:color="auto" w:fill="E7F3F4"/>
            <w:noWrap/>
            <w:vAlign w:val="center"/>
            <w:hideMark/>
          </w:tcPr>
          <w:p w14:paraId="69AF56F6"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1</w:t>
            </w:r>
          </w:p>
        </w:tc>
        <w:tc>
          <w:tcPr>
            <w:tcW w:w="2475" w:type="dxa"/>
            <w:tcBorders>
              <w:bottom w:val="single" w:sz="4" w:space="0" w:color="auto"/>
            </w:tcBorders>
            <w:shd w:val="clear" w:color="auto" w:fill="E7F3F4"/>
            <w:noWrap/>
            <w:vAlign w:val="center"/>
            <w:hideMark/>
          </w:tcPr>
          <w:p w14:paraId="06A81A60"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0.0001</w:t>
            </w:r>
          </w:p>
        </w:tc>
        <w:tc>
          <w:tcPr>
            <w:tcW w:w="1068" w:type="dxa"/>
            <w:tcBorders>
              <w:bottom w:val="single" w:sz="4" w:space="0" w:color="auto"/>
            </w:tcBorders>
            <w:shd w:val="clear" w:color="auto" w:fill="E7F3F4"/>
            <w:noWrap/>
            <w:vAlign w:val="center"/>
            <w:hideMark/>
          </w:tcPr>
          <w:p w14:paraId="7A0883C7"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4AC51353" w14:textId="77777777" w:rsidTr="00D64955">
        <w:trPr>
          <w:cantSplit/>
          <w:trHeight w:val="312"/>
          <w:jc w:val="center"/>
        </w:trPr>
        <w:tc>
          <w:tcPr>
            <w:tcW w:w="2028" w:type="dxa"/>
            <w:vMerge/>
            <w:shd w:val="clear" w:color="auto" w:fill="E7F3F4"/>
            <w:noWrap/>
            <w:vAlign w:val="center"/>
          </w:tcPr>
          <w:p w14:paraId="2990D249"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val="restart"/>
            <w:tcBorders>
              <w:top w:val="single" w:sz="4" w:space="0" w:color="auto"/>
              <w:bottom w:val="single" w:sz="4" w:space="0" w:color="auto"/>
            </w:tcBorders>
            <w:shd w:val="clear" w:color="auto" w:fill="E7F3F4"/>
            <w:noWrap/>
            <w:vAlign w:val="center"/>
            <w:hideMark/>
          </w:tcPr>
          <w:p w14:paraId="33DFF8DC"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reef intertidal</w:t>
            </w:r>
          </w:p>
        </w:tc>
        <w:tc>
          <w:tcPr>
            <w:tcW w:w="720" w:type="dxa"/>
            <w:tcBorders>
              <w:top w:val="single" w:sz="4" w:space="0" w:color="auto"/>
            </w:tcBorders>
            <w:shd w:val="clear" w:color="auto" w:fill="E7F3F4"/>
            <w:noWrap/>
            <w:vAlign w:val="center"/>
            <w:hideMark/>
          </w:tcPr>
          <w:p w14:paraId="325AEE8F"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AP1</w:t>
            </w:r>
          </w:p>
        </w:tc>
        <w:tc>
          <w:tcPr>
            <w:tcW w:w="1078" w:type="dxa"/>
            <w:tcBorders>
              <w:top w:val="single" w:sz="4" w:space="0" w:color="auto"/>
            </w:tcBorders>
            <w:shd w:val="clear" w:color="auto" w:fill="E7F3F4"/>
            <w:vAlign w:val="center"/>
          </w:tcPr>
          <w:p w14:paraId="657EA73C" w14:textId="77777777" w:rsidR="00306220" w:rsidRPr="00E15C25" w:rsidRDefault="00306220" w:rsidP="00D64955">
            <w:pPr>
              <w:pStyle w:val="BodyText"/>
              <w:spacing w:after="0"/>
              <w:jc w:val="center"/>
              <w:rPr>
                <w:rFonts w:asciiTheme="minorHAnsi" w:hAnsiTheme="minorHAnsi"/>
                <w:color w:val="000000"/>
                <w:sz w:val="20"/>
                <w:szCs w:val="20"/>
              </w:rPr>
            </w:pPr>
            <w:r w:rsidRPr="00E15C25">
              <w:rPr>
                <w:rFonts w:asciiTheme="minorHAnsi" w:hAnsiTheme="minorHAnsi"/>
                <w:color w:val="000000"/>
                <w:sz w:val="20"/>
                <w:szCs w:val="20"/>
              </w:rPr>
              <w:t>2003</w:t>
            </w:r>
          </w:p>
        </w:tc>
        <w:tc>
          <w:tcPr>
            <w:tcW w:w="1078" w:type="dxa"/>
            <w:tcBorders>
              <w:top w:val="single" w:sz="4" w:space="0" w:color="auto"/>
            </w:tcBorders>
            <w:shd w:val="clear" w:color="auto" w:fill="E7F3F4"/>
            <w:vAlign w:val="center"/>
          </w:tcPr>
          <w:p w14:paraId="46E286FB" w14:textId="77777777" w:rsidR="00306220" w:rsidRPr="00E15C25" w:rsidRDefault="00306220" w:rsidP="00D64955">
            <w:pPr>
              <w:pStyle w:val="BodyText"/>
              <w:spacing w:after="0"/>
              <w:jc w:val="center"/>
              <w:rPr>
                <w:rFonts w:asciiTheme="minorHAnsi" w:hAnsiTheme="minorHAnsi"/>
                <w:color w:val="000000"/>
                <w:sz w:val="20"/>
                <w:szCs w:val="20"/>
              </w:rPr>
            </w:pPr>
            <w:r w:rsidRPr="00E15C25">
              <w:rPr>
                <w:rFonts w:asciiTheme="minorHAnsi" w:hAnsiTheme="minorHAnsi"/>
                <w:color w:val="000000"/>
                <w:sz w:val="20"/>
                <w:szCs w:val="20"/>
              </w:rPr>
              <w:t>2016</w:t>
            </w:r>
          </w:p>
        </w:tc>
        <w:tc>
          <w:tcPr>
            <w:tcW w:w="519" w:type="dxa"/>
            <w:tcBorders>
              <w:top w:val="single" w:sz="4" w:space="0" w:color="auto"/>
            </w:tcBorders>
            <w:shd w:val="clear" w:color="auto" w:fill="E7F3F4"/>
            <w:vAlign w:val="center"/>
          </w:tcPr>
          <w:p w14:paraId="7B613162" w14:textId="77777777" w:rsidR="00306220" w:rsidRPr="00E15C25" w:rsidRDefault="00306220" w:rsidP="00D64955">
            <w:pPr>
              <w:pStyle w:val="BodyText"/>
              <w:spacing w:after="0"/>
              <w:jc w:val="center"/>
              <w:rPr>
                <w:rFonts w:asciiTheme="minorHAnsi" w:hAnsiTheme="minorHAnsi"/>
                <w:color w:val="000000"/>
                <w:sz w:val="20"/>
                <w:szCs w:val="20"/>
              </w:rPr>
            </w:pPr>
            <w:r w:rsidRPr="00E15C25">
              <w:rPr>
                <w:rFonts w:asciiTheme="minorHAnsi" w:hAnsiTheme="minorHAnsi"/>
                <w:color w:val="000000"/>
                <w:sz w:val="20"/>
                <w:szCs w:val="20"/>
              </w:rPr>
              <w:t>36</w:t>
            </w:r>
          </w:p>
        </w:tc>
        <w:tc>
          <w:tcPr>
            <w:tcW w:w="1078" w:type="dxa"/>
            <w:tcBorders>
              <w:top w:val="single" w:sz="4" w:space="0" w:color="auto"/>
            </w:tcBorders>
            <w:shd w:val="clear" w:color="auto" w:fill="E7F3F4"/>
            <w:noWrap/>
            <w:vAlign w:val="center"/>
            <w:hideMark/>
          </w:tcPr>
          <w:p w14:paraId="5AB07383"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-0.473</w:t>
            </w:r>
          </w:p>
        </w:tc>
        <w:tc>
          <w:tcPr>
            <w:tcW w:w="1076" w:type="dxa"/>
            <w:tcBorders>
              <w:top w:val="single" w:sz="4" w:space="0" w:color="auto"/>
            </w:tcBorders>
            <w:shd w:val="clear" w:color="auto" w:fill="E7F3F4"/>
            <w:noWrap/>
            <w:vAlign w:val="center"/>
            <w:hideMark/>
          </w:tcPr>
          <w:p w14:paraId="3E4C4C9F" w14:textId="77777777" w:rsidR="00306220" w:rsidRPr="005B7EF2" w:rsidRDefault="00306220" w:rsidP="00D64955">
            <w:pPr>
              <w:pStyle w:val="BodyText"/>
              <w:spacing w:after="0"/>
              <w:jc w:val="center"/>
              <w:rPr>
                <w:rFonts w:asciiTheme="minorHAnsi" w:hAnsiTheme="minorHAnsi"/>
                <w:b/>
                <w:color w:val="000000"/>
                <w:sz w:val="20"/>
                <w:szCs w:val="20"/>
              </w:rPr>
            </w:pPr>
            <w:r>
              <w:rPr>
                <w:rFonts w:asciiTheme="minorHAnsi" w:hAnsiTheme="minorHAnsi"/>
                <w:b/>
                <w:color w:val="000000"/>
                <w:sz w:val="20"/>
                <w:szCs w:val="20"/>
              </w:rPr>
              <w:t>&lt;</w:t>
            </w:r>
            <w:r w:rsidRPr="005B7EF2">
              <w:rPr>
                <w:rFonts w:asciiTheme="minorHAnsi" w:hAnsiTheme="minorHAnsi"/>
                <w:b/>
                <w:color w:val="000000"/>
                <w:sz w:val="20"/>
                <w:szCs w:val="20"/>
              </w:rPr>
              <w:t>0.000</w:t>
            </w:r>
            <w:r>
              <w:rPr>
                <w:rFonts w:asciiTheme="minorHAnsi" w:hAnsiTheme="minorHAnsi"/>
                <w:b/>
                <w:color w:val="000000"/>
                <w:sz w:val="20"/>
                <w:szCs w:val="20"/>
              </w:rPr>
              <w:t>1</w:t>
            </w:r>
          </w:p>
        </w:tc>
        <w:tc>
          <w:tcPr>
            <w:tcW w:w="2475" w:type="dxa"/>
            <w:tcBorders>
              <w:top w:val="single" w:sz="4" w:space="0" w:color="auto"/>
            </w:tcBorders>
            <w:shd w:val="clear" w:color="auto" w:fill="E7F3F4"/>
            <w:noWrap/>
            <w:vAlign w:val="center"/>
            <w:hideMark/>
          </w:tcPr>
          <w:p w14:paraId="1024360C"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-0.0050 </w:t>
            </w:r>
            <w:r w:rsidRPr="00664ECE">
              <w:rPr>
                <w:rFonts w:asciiTheme="minorHAnsi" w:hAnsiTheme="minorHAnsi"/>
                <w:color w:val="000000"/>
                <w:sz w:val="16"/>
                <w:szCs w:val="16"/>
              </w:rPr>
              <w:t>(-0.0073 to -0.0027)</w:t>
            </w:r>
          </w:p>
        </w:tc>
        <w:tc>
          <w:tcPr>
            <w:tcW w:w="1068" w:type="dxa"/>
            <w:tcBorders>
              <w:top w:val="single" w:sz="4" w:space="0" w:color="auto"/>
            </w:tcBorders>
            <w:shd w:val="clear" w:color="auto" w:fill="E7F3F4"/>
            <w:noWrap/>
            <w:vAlign w:val="center"/>
            <w:hideMark/>
          </w:tcPr>
          <w:p w14:paraId="583A2C5F"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7301E97B" w14:textId="77777777" w:rsidTr="00D64955">
        <w:trPr>
          <w:cantSplit/>
          <w:trHeight w:val="312"/>
          <w:jc w:val="center"/>
        </w:trPr>
        <w:tc>
          <w:tcPr>
            <w:tcW w:w="2028" w:type="dxa"/>
            <w:vMerge/>
            <w:shd w:val="clear" w:color="auto" w:fill="E7F3F4"/>
            <w:noWrap/>
            <w:vAlign w:val="center"/>
          </w:tcPr>
          <w:p w14:paraId="058336B1"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15D5C81F"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456AF9FE"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AP2</w:t>
            </w:r>
          </w:p>
        </w:tc>
        <w:tc>
          <w:tcPr>
            <w:tcW w:w="1078" w:type="dxa"/>
            <w:tcBorders>
              <w:bottom w:val="single" w:sz="4" w:space="0" w:color="auto"/>
            </w:tcBorders>
            <w:shd w:val="clear" w:color="auto" w:fill="E7F3F4"/>
            <w:vAlign w:val="center"/>
          </w:tcPr>
          <w:p w14:paraId="34056FF9" w14:textId="77777777" w:rsidR="00306220" w:rsidRPr="00E15C25" w:rsidRDefault="00306220" w:rsidP="00D64955">
            <w:pPr>
              <w:pStyle w:val="BodyText"/>
              <w:spacing w:after="0"/>
              <w:jc w:val="center"/>
              <w:rPr>
                <w:rFonts w:asciiTheme="minorHAnsi" w:hAnsiTheme="minorHAnsi"/>
                <w:color w:val="000000"/>
                <w:sz w:val="20"/>
                <w:szCs w:val="20"/>
              </w:rPr>
            </w:pPr>
            <w:r w:rsidRPr="00E15C25">
              <w:rPr>
                <w:rFonts w:asciiTheme="minorHAnsi" w:hAnsiTheme="minorHAnsi"/>
                <w:color w:val="000000"/>
                <w:sz w:val="20"/>
                <w:szCs w:val="20"/>
              </w:rPr>
              <w:t>2005</w:t>
            </w:r>
          </w:p>
        </w:tc>
        <w:tc>
          <w:tcPr>
            <w:tcW w:w="1078" w:type="dxa"/>
            <w:tcBorders>
              <w:bottom w:val="single" w:sz="4" w:space="0" w:color="auto"/>
            </w:tcBorders>
            <w:shd w:val="clear" w:color="auto" w:fill="E7F3F4"/>
            <w:vAlign w:val="center"/>
          </w:tcPr>
          <w:p w14:paraId="4FA5701C" w14:textId="77777777" w:rsidR="00306220" w:rsidRPr="00E15C25" w:rsidRDefault="00306220" w:rsidP="00D64955">
            <w:pPr>
              <w:pStyle w:val="BodyText"/>
              <w:spacing w:after="0"/>
              <w:jc w:val="center"/>
              <w:rPr>
                <w:rFonts w:asciiTheme="minorHAnsi" w:hAnsiTheme="minorHAnsi"/>
                <w:color w:val="000000"/>
                <w:sz w:val="20"/>
                <w:szCs w:val="20"/>
              </w:rPr>
            </w:pPr>
            <w:r w:rsidRPr="00E15C25">
              <w:rPr>
                <w:rFonts w:asciiTheme="minorHAnsi" w:hAnsiTheme="minorHAnsi"/>
                <w:color w:val="000000"/>
                <w:sz w:val="20"/>
                <w:szCs w:val="20"/>
              </w:rPr>
              <w:t>2016</w:t>
            </w:r>
          </w:p>
        </w:tc>
        <w:tc>
          <w:tcPr>
            <w:tcW w:w="519" w:type="dxa"/>
            <w:tcBorders>
              <w:bottom w:val="single" w:sz="4" w:space="0" w:color="auto"/>
            </w:tcBorders>
            <w:shd w:val="clear" w:color="auto" w:fill="E7F3F4"/>
            <w:vAlign w:val="center"/>
          </w:tcPr>
          <w:p w14:paraId="18CAB50C" w14:textId="77777777" w:rsidR="00306220" w:rsidRPr="00E15C25" w:rsidRDefault="00306220" w:rsidP="00D64955">
            <w:pPr>
              <w:pStyle w:val="BodyText"/>
              <w:spacing w:after="0"/>
              <w:jc w:val="center"/>
              <w:rPr>
                <w:rFonts w:asciiTheme="minorHAnsi" w:hAnsiTheme="minorHAnsi"/>
                <w:color w:val="000000"/>
                <w:sz w:val="20"/>
                <w:szCs w:val="20"/>
              </w:rPr>
            </w:pPr>
            <w:r w:rsidRPr="00E15C25">
              <w:rPr>
                <w:rFonts w:asciiTheme="minorHAnsi" w:hAnsiTheme="minorHAnsi"/>
                <w:color w:val="000000"/>
                <w:sz w:val="20"/>
                <w:szCs w:val="20"/>
              </w:rPr>
              <w:t>23</w:t>
            </w:r>
          </w:p>
        </w:tc>
        <w:tc>
          <w:tcPr>
            <w:tcW w:w="1078" w:type="dxa"/>
            <w:tcBorders>
              <w:bottom w:val="single" w:sz="4" w:space="0" w:color="auto"/>
            </w:tcBorders>
            <w:shd w:val="clear" w:color="auto" w:fill="E7F3F4"/>
            <w:noWrap/>
            <w:vAlign w:val="center"/>
            <w:hideMark/>
          </w:tcPr>
          <w:p w14:paraId="33903CCA"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-0.0435</w:t>
            </w:r>
          </w:p>
        </w:tc>
        <w:tc>
          <w:tcPr>
            <w:tcW w:w="1076" w:type="dxa"/>
            <w:tcBorders>
              <w:bottom w:val="single" w:sz="4" w:space="0" w:color="auto"/>
            </w:tcBorders>
            <w:shd w:val="clear" w:color="auto" w:fill="E7F3F4"/>
            <w:noWrap/>
            <w:vAlign w:val="center"/>
            <w:hideMark/>
          </w:tcPr>
          <w:p w14:paraId="3F78EA66"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0.7917</w:t>
            </w:r>
          </w:p>
        </w:tc>
        <w:tc>
          <w:tcPr>
            <w:tcW w:w="2475" w:type="dxa"/>
            <w:tcBorders>
              <w:bottom w:val="single" w:sz="4" w:space="0" w:color="auto"/>
            </w:tcBorders>
            <w:shd w:val="clear" w:color="auto" w:fill="E7F3F4"/>
            <w:noWrap/>
            <w:vAlign w:val="center"/>
            <w:hideMark/>
          </w:tcPr>
          <w:p w14:paraId="1CC51CCE"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-0.0010</w:t>
            </w:r>
          </w:p>
        </w:tc>
        <w:tc>
          <w:tcPr>
            <w:tcW w:w="1068" w:type="dxa"/>
            <w:tcBorders>
              <w:bottom w:val="single" w:sz="4" w:space="0" w:color="auto"/>
            </w:tcBorders>
            <w:shd w:val="clear" w:color="auto" w:fill="E7F3F4"/>
            <w:noWrap/>
            <w:vAlign w:val="center"/>
            <w:hideMark/>
          </w:tcPr>
          <w:p w14:paraId="50EEC4D4"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0E11EE28" w14:textId="77777777" w:rsidTr="00D64955">
        <w:trPr>
          <w:cantSplit/>
          <w:trHeight w:val="312"/>
          <w:jc w:val="center"/>
        </w:trPr>
        <w:tc>
          <w:tcPr>
            <w:tcW w:w="2028" w:type="dxa"/>
            <w:vMerge/>
            <w:shd w:val="clear" w:color="auto" w:fill="E7F3F4"/>
            <w:noWrap/>
            <w:vAlign w:val="center"/>
          </w:tcPr>
          <w:p w14:paraId="2B67062D"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hideMark/>
          </w:tcPr>
          <w:p w14:paraId="2A64B4CE"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E7F3F4"/>
            <w:noWrap/>
            <w:vAlign w:val="center"/>
            <w:hideMark/>
          </w:tcPr>
          <w:p w14:paraId="74790F1C"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FR1</w:t>
            </w:r>
          </w:p>
        </w:tc>
        <w:tc>
          <w:tcPr>
            <w:tcW w:w="1078" w:type="dxa"/>
            <w:tcBorders>
              <w:top w:val="single" w:sz="4" w:space="0" w:color="auto"/>
            </w:tcBorders>
            <w:shd w:val="clear" w:color="auto" w:fill="E7F3F4"/>
            <w:vAlign w:val="center"/>
          </w:tcPr>
          <w:p w14:paraId="6345A1ED"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top w:val="single" w:sz="4" w:space="0" w:color="auto"/>
            </w:tcBorders>
            <w:shd w:val="clear" w:color="auto" w:fill="E7F3F4"/>
            <w:vAlign w:val="center"/>
          </w:tcPr>
          <w:p w14:paraId="0161EB93"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E7F3F4"/>
            <w:vAlign w:val="center"/>
          </w:tcPr>
          <w:p w14:paraId="24971E2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8</w:t>
            </w:r>
          </w:p>
        </w:tc>
        <w:tc>
          <w:tcPr>
            <w:tcW w:w="1078" w:type="dxa"/>
            <w:tcBorders>
              <w:top w:val="single" w:sz="4" w:space="0" w:color="auto"/>
            </w:tcBorders>
            <w:shd w:val="clear" w:color="auto" w:fill="E7F3F4"/>
            <w:noWrap/>
            <w:vAlign w:val="center"/>
            <w:hideMark/>
          </w:tcPr>
          <w:p w14:paraId="546C770A"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-0.357</w:t>
            </w:r>
          </w:p>
        </w:tc>
        <w:tc>
          <w:tcPr>
            <w:tcW w:w="1076" w:type="dxa"/>
            <w:tcBorders>
              <w:top w:val="single" w:sz="4" w:space="0" w:color="auto"/>
            </w:tcBorders>
            <w:shd w:val="clear" w:color="auto" w:fill="E7F3F4"/>
            <w:noWrap/>
            <w:vAlign w:val="center"/>
            <w:hideMark/>
          </w:tcPr>
          <w:p w14:paraId="601F9AC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0.2655</w:t>
            </w:r>
          </w:p>
        </w:tc>
        <w:tc>
          <w:tcPr>
            <w:tcW w:w="2475" w:type="dxa"/>
            <w:tcBorders>
              <w:top w:val="single" w:sz="4" w:space="0" w:color="auto"/>
            </w:tcBorders>
            <w:shd w:val="clear" w:color="auto" w:fill="E7F3F4"/>
            <w:noWrap/>
            <w:vAlign w:val="center"/>
            <w:hideMark/>
          </w:tcPr>
          <w:p w14:paraId="37829CAA"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-0.0049</w:t>
            </w:r>
          </w:p>
        </w:tc>
        <w:tc>
          <w:tcPr>
            <w:tcW w:w="1068" w:type="dxa"/>
            <w:tcBorders>
              <w:top w:val="single" w:sz="4" w:space="0" w:color="auto"/>
            </w:tcBorders>
            <w:shd w:val="clear" w:color="auto" w:fill="E7F3F4"/>
            <w:noWrap/>
            <w:vAlign w:val="center"/>
          </w:tcPr>
          <w:p w14:paraId="28C0F8B5"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749AA740" w14:textId="77777777" w:rsidTr="00D64955">
        <w:trPr>
          <w:cantSplit/>
          <w:trHeight w:val="312"/>
          <w:jc w:val="center"/>
        </w:trPr>
        <w:tc>
          <w:tcPr>
            <w:tcW w:w="2028" w:type="dxa"/>
            <w:vMerge/>
            <w:shd w:val="clear" w:color="auto" w:fill="E7F3F4"/>
            <w:noWrap/>
            <w:vAlign w:val="center"/>
          </w:tcPr>
          <w:p w14:paraId="60EA230F"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114FEEF0"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428E23A9"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FR2</w:t>
            </w:r>
          </w:p>
        </w:tc>
        <w:tc>
          <w:tcPr>
            <w:tcW w:w="1078" w:type="dxa"/>
            <w:tcBorders>
              <w:bottom w:val="single" w:sz="4" w:space="0" w:color="auto"/>
            </w:tcBorders>
            <w:shd w:val="clear" w:color="auto" w:fill="E7F3F4"/>
            <w:vAlign w:val="center"/>
          </w:tcPr>
          <w:p w14:paraId="61FAE641"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bottom w:val="single" w:sz="4" w:space="0" w:color="auto"/>
            </w:tcBorders>
            <w:shd w:val="clear" w:color="auto" w:fill="E7F3F4"/>
            <w:vAlign w:val="center"/>
          </w:tcPr>
          <w:p w14:paraId="71603FF9"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E7F3F4"/>
            <w:vAlign w:val="center"/>
          </w:tcPr>
          <w:p w14:paraId="14833709"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7</w:t>
            </w:r>
          </w:p>
        </w:tc>
        <w:tc>
          <w:tcPr>
            <w:tcW w:w="1078" w:type="dxa"/>
            <w:tcBorders>
              <w:bottom w:val="single" w:sz="4" w:space="0" w:color="auto"/>
            </w:tcBorders>
            <w:shd w:val="clear" w:color="auto" w:fill="E7F3F4"/>
            <w:noWrap/>
            <w:vAlign w:val="center"/>
            <w:hideMark/>
          </w:tcPr>
          <w:p w14:paraId="08E30640"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-0.0476</w:t>
            </w:r>
          </w:p>
        </w:tc>
        <w:tc>
          <w:tcPr>
            <w:tcW w:w="1076" w:type="dxa"/>
            <w:tcBorders>
              <w:bottom w:val="single" w:sz="4" w:space="0" w:color="auto"/>
            </w:tcBorders>
            <w:shd w:val="clear" w:color="auto" w:fill="E7F3F4"/>
            <w:noWrap/>
            <w:vAlign w:val="center"/>
            <w:hideMark/>
          </w:tcPr>
          <w:p w14:paraId="08737EA6"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1</w:t>
            </w:r>
          </w:p>
        </w:tc>
        <w:tc>
          <w:tcPr>
            <w:tcW w:w="2475" w:type="dxa"/>
            <w:tcBorders>
              <w:bottom w:val="single" w:sz="4" w:space="0" w:color="auto"/>
            </w:tcBorders>
            <w:shd w:val="clear" w:color="auto" w:fill="E7F3F4"/>
            <w:noWrap/>
            <w:vAlign w:val="center"/>
            <w:hideMark/>
          </w:tcPr>
          <w:p w14:paraId="51CE5F06"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-0.0103</w:t>
            </w:r>
          </w:p>
        </w:tc>
        <w:tc>
          <w:tcPr>
            <w:tcW w:w="1068" w:type="dxa"/>
            <w:tcBorders>
              <w:bottom w:val="single" w:sz="4" w:space="0" w:color="auto"/>
            </w:tcBorders>
            <w:shd w:val="clear" w:color="auto" w:fill="E7F3F4"/>
            <w:noWrap/>
            <w:vAlign w:val="center"/>
          </w:tcPr>
          <w:p w14:paraId="75205646"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1B5D298C" w14:textId="77777777" w:rsidTr="00D64955">
        <w:trPr>
          <w:cantSplit/>
          <w:trHeight w:val="312"/>
          <w:jc w:val="center"/>
        </w:trPr>
        <w:tc>
          <w:tcPr>
            <w:tcW w:w="2028" w:type="dxa"/>
            <w:vMerge/>
            <w:shd w:val="clear" w:color="auto" w:fill="E7F3F4"/>
            <w:noWrap/>
            <w:vAlign w:val="center"/>
          </w:tcPr>
          <w:p w14:paraId="6C0F2AC6"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1CE8D6C2"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E7F3F4"/>
            <w:noWrap/>
            <w:vAlign w:val="center"/>
            <w:hideMark/>
          </w:tcPr>
          <w:p w14:paraId="2B838873"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ST1</w:t>
            </w:r>
          </w:p>
        </w:tc>
        <w:tc>
          <w:tcPr>
            <w:tcW w:w="1078" w:type="dxa"/>
            <w:tcBorders>
              <w:top w:val="single" w:sz="4" w:space="0" w:color="auto"/>
            </w:tcBorders>
            <w:shd w:val="clear" w:color="auto" w:fill="E7F3F4"/>
            <w:vAlign w:val="center"/>
          </w:tcPr>
          <w:p w14:paraId="7016718D"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top w:val="single" w:sz="4" w:space="0" w:color="auto"/>
            </w:tcBorders>
            <w:shd w:val="clear" w:color="auto" w:fill="E7F3F4"/>
            <w:vAlign w:val="center"/>
          </w:tcPr>
          <w:p w14:paraId="280F1CE5"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E7F3F4"/>
            <w:vAlign w:val="center"/>
          </w:tcPr>
          <w:p w14:paraId="66D43B9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9</w:t>
            </w:r>
          </w:p>
        </w:tc>
        <w:tc>
          <w:tcPr>
            <w:tcW w:w="1078" w:type="dxa"/>
            <w:tcBorders>
              <w:top w:val="single" w:sz="4" w:space="0" w:color="auto"/>
            </w:tcBorders>
            <w:shd w:val="clear" w:color="auto" w:fill="E7F3F4"/>
            <w:noWrap/>
            <w:vAlign w:val="center"/>
            <w:hideMark/>
          </w:tcPr>
          <w:p w14:paraId="76FF8EE9"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0.389</w:t>
            </w:r>
          </w:p>
        </w:tc>
        <w:tc>
          <w:tcPr>
            <w:tcW w:w="1076" w:type="dxa"/>
            <w:tcBorders>
              <w:top w:val="single" w:sz="4" w:space="0" w:color="auto"/>
            </w:tcBorders>
            <w:shd w:val="clear" w:color="auto" w:fill="E7F3F4"/>
            <w:noWrap/>
            <w:vAlign w:val="center"/>
            <w:hideMark/>
          </w:tcPr>
          <w:p w14:paraId="451A662C"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0.1753</w:t>
            </w:r>
          </w:p>
        </w:tc>
        <w:tc>
          <w:tcPr>
            <w:tcW w:w="2475" w:type="dxa"/>
            <w:tcBorders>
              <w:top w:val="single" w:sz="4" w:space="0" w:color="auto"/>
            </w:tcBorders>
            <w:shd w:val="clear" w:color="auto" w:fill="E7F3F4"/>
            <w:noWrap/>
            <w:vAlign w:val="center"/>
            <w:hideMark/>
          </w:tcPr>
          <w:p w14:paraId="20CE849F"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0.0051</w:t>
            </w:r>
          </w:p>
        </w:tc>
        <w:tc>
          <w:tcPr>
            <w:tcW w:w="1068" w:type="dxa"/>
            <w:tcBorders>
              <w:top w:val="single" w:sz="4" w:space="0" w:color="auto"/>
            </w:tcBorders>
            <w:shd w:val="clear" w:color="auto" w:fill="E7F3F4"/>
            <w:noWrap/>
            <w:vAlign w:val="center"/>
          </w:tcPr>
          <w:p w14:paraId="2DC28B0C"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0884BC30" w14:textId="77777777" w:rsidTr="00D64955">
        <w:trPr>
          <w:cantSplit/>
          <w:trHeight w:val="312"/>
          <w:jc w:val="center"/>
        </w:trPr>
        <w:tc>
          <w:tcPr>
            <w:tcW w:w="2028" w:type="dxa"/>
            <w:vMerge/>
            <w:shd w:val="clear" w:color="auto" w:fill="E7F3F4"/>
            <w:noWrap/>
            <w:vAlign w:val="center"/>
          </w:tcPr>
          <w:p w14:paraId="600F9FB2"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526E6693"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7061F95B"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ST2</w:t>
            </w:r>
          </w:p>
        </w:tc>
        <w:tc>
          <w:tcPr>
            <w:tcW w:w="1078" w:type="dxa"/>
            <w:tcBorders>
              <w:bottom w:val="single" w:sz="4" w:space="0" w:color="auto"/>
            </w:tcBorders>
            <w:shd w:val="clear" w:color="auto" w:fill="E7F3F4"/>
            <w:vAlign w:val="center"/>
          </w:tcPr>
          <w:p w14:paraId="79A7FDB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bottom w:val="single" w:sz="4" w:space="0" w:color="auto"/>
            </w:tcBorders>
            <w:shd w:val="clear" w:color="auto" w:fill="E7F3F4"/>
            <w:vAlign w:val="center"/>
          </w:tcPr>
          <w:p w14:paraId="3CBE01D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E7F3F4"/>
            <w:vAlign w:val="center"/>
          </w:tcPr>
          <w:p w14:paraId="605A8321"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9</w:t>
            </w:r>
          </w:p>
        </w:tc>
        <w:tc>
          <w:tcPr>
            <w:tcW w:w="1078" w:type="dxa"/>
            <w:tcBorders>
              <w:bottom w:val="single" w:sz="4" w:space="0" w:color="auto"/>
            </w:tcBorders>
            <w:shd w:val="clear" w:color="auto" w:fill="E7F3F4"/>
            <w:noWrap/>
            <w:vAlign w:val="center"/>
            <w:hideMark/>
          </w:tcPr>
          <w:p w14:paraId="0B656EE5"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0.704</w:t>
            </w:r>
          </w:p>
        </w:tc>
        <w:tc>
          <w:tcPr>
            <w:tcW w:w="1076" w:type="dxa"/>
            <w:tcBorders>
              <w:bottom w:val="single" w:sz="4" w:space="0" w:color="auto"/>
            </w:tcBorders>
            <w:shd w:val="clear" w:color="auto" w:fill="E7F3F4"/>
            <w:noWrap/>
            <w:vAlign w:val="center"/>
            <w:hideMark/>
          </w:tcPr>
          <w:p w14:paraId="4D5BFBDE"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0.011</w:t>
            </w:r>
            <w:r>
              <w:rPr>
                <w:rFonts w:asciiTheme="minorHAnsi" w:hAnsiTheme="minorHAnsi"/>
                <w:b/>
                <w:color w:val="000000"/>
                <w:sz w:val="20"/>
                <w:szCs w:val="20"/>
              </w:rPr>
              <w:t>9</w:t>
            </w:r>
          </w:p>
        </w:tc>
        <w:tc>
          <w:tcPr>
            <w:tcW w:w="2475" w:type="dxa"/>
            <w:tcBorders>
              <w:bottom w:val="single" w:sz="4" w:space="0" w:color="auto"/>
            </w:tcBorders>
            <w:shd w:val="clear" w:color="auto" w:fill="E7F3F4"/>
            <w:noWrap/>
            <w:vAlign w:val="center"/>
            <w:hideMark/>
          </w:tcPr>
          <w:p w14:paraId="5CDA41B9"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0.0070 </w:t>
            </w:r>
            <w:r w:rsidRPr="00664ECE">
              <w:rPr>
                <w:rFonts w:asciiTheme="minorHAnsi" w:hAnsiTheme="minorHAnsi"/>
                <w:color w:val="000000"/>
                <w:sz w:val="16"/>
                <w:szCs w:val="16"/>
              </w:rPr>
              <w:t>(0.0041 to 0.0136)</w:t>
            </w:r>
          </w:p>
        </w:tc>
        <w:tc>
          <w:tcPr>
            <w:tcW w:w="1068" w:type="dxa"/>
            <w:tcBorders>
              <w:bottom w:val="single" w:sz="4" w:space="0" w:color="auto"/>
            </w:tcBorders>
            <w:shd w:val="clear" w:color="auto" w:fill="E7F3F4"/>
            <w:noWrap/>
            <w:vAlign w:val="center"/>
            <w:hideMark/>
          </w:tcPr>
          <w:p w14:paraId="3C183A63"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increase</w:t>
            </w:r>
          </w:p>
        </w:tc>
      </w:tr>
      <w:tr w:rsidR="00306220" w:rsidRPr="00625DAC" w14:paraId="1FEF5A21" w14:textId="77777777" w:rsidTr="00D64955">
        <w:trPr>
          <w:cantSplit/>
          <w:trHeight w:val="312"/>
          <w:jc w:val="center"/>
        </w:trPr>
        <w:tc>
          <w:tcPr>
            <w:tcW w:w="2028" w:type="dxa"/>
            <w:vMerge/>
            <w:shd w:val="clear" w:color="auto" w:fill="E7F3F4"/>
            <w:noWrap/>
            <w:vAlign w:val="center"/>
          </w:tcPr>
          <w:p w14:paraId="67343735"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5936C7D1"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bottom w:val="single" w:sz="4" w:space="0" w:color="auto"/>
            </w:tcBorders>
            <w:shd w:val="clear" w:color="auto" w:fill="E7F3F4"/>
            <w:noWrap/>
            <w:vAlign w:val="center"/>
            <w:hideMark/>
          </w:tcPr>
          <w:p w14:paraId="259C756B"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YY1</w:t>
            </w:r>
          </w:p>
        </w:tc>
        <w:tc>
          <w:tcPr>
            <w:tcW w:w="1078" w:type="dxa"/>
            <w:tcBorders>
              <w:top w:val="single" w:sz="4" w:space="0" w:color="auto"/>
              <w:bottom w:val="single" w:sz="4" w:space="0" w:color="auto"/>
            </w:tcBorders>
            <w:shd w:val="clear" w:color="auto" w:fill="E7F3F4"/>
            <w:vAlign w:val="center"/>
          </w:tcPr>
          <w:p w14:paraId="7E515133"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top w:val="single" w:sz="4" w:space="0" w:color="auto"/>
              <w:bottom w:val="single" w:sz="4" w:space="0" w:color="auto"/>
            </w:tcBorders>
            <w:shd w:val="clear" w:color="auto" w:fill="E7F3F4"/>
            <w:vAlign w:val="center"/>
          </w:tcPr>
          <w:p w14:paraId="10A50EB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2014</w:t>
            </w:r>
          </w:p>
        </w:tc>
        <w:tc>
          <w:tcPr>
            <w:tcW w:w="519" w:type="dxa"/>
            <w:tcBorders>
              <w:top w:val="single" w:sz="4" w:space="0" w:color="auto"/>
              <w:bottom w:val="single" w:sz="4" w:space="0" w:color="auto"/>
            </w:tcBorders>
            <w:shd w:val="clear" w:color="auto" w:fill="E7F3F4"/>
            <w:vAlign w:val="center"/>
          </w:tcPr>
          <w:p w14:paraId="273309D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w:t>
            </w:r>
          </w:p>
        </w:tc>
        <w:tc>
          <w:tcPr>
            <w:tcW w:w="1078" w:type="dxa"/>
            <w:tcBorders>
              <w:top w:val="single" w:sz="4" w:space="0" w:color="auto"/>
              <w:bottom w:val="single" w:sz="4" w:space="0" w:color="auto"/>
            </w:tcBorders>
            <w:shd w:val="clear" w:color="auto" w:fill="E7F3F4"/>
            <w:noWrap/>
            <w:vAlign w:val="center"/>
            <w:hideMark/>
          </w:tcPr>
          <w:p w14:paraId="6C0DDBF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0.333</w:t>
            </w:r>
          </w:p>
        </w:tc>
        <w:tc>
          <w:tcPr>
            <w:tcW w:w="1076" w:type="dxa"/>
            <w:tcBorders>
              <w:top w:val="single" w:sz="4" w:space="0" w:color="auto"/>
              <w:bottom w:val="single" w:sz="4" w:space="0" w:color="auto"/>
            </w:tcBorders>
            <w:shd w:val="clear" w:color="auto" w:fill="E7F3F4"/>
            <w:noWrap/>
            <w:vAlign w:val="center"/>
            <w:hideMark/>
          </w:tcPr>
          <w:p w14:paraId="6ABB8E08"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1</w:t>
            </w:r>
          </w:p>
        </w:tc>
        <w:tc>
          <w:tcPr>
            <w:tcW w:w="2475" w:type="dxa"/>
            <w:tcBorders>
              <w:top w:val="single" w:sz="4" w:space="0" w:color="auto"/>
              <w:bottom w:val="single" w:sz="4" w:space="0" w:color="auto"/>
            </w:tcBorders>
            <w:shd w:val="clear" w:color="auto" w:fill="E7F3F4"/>
            <w:noWrap/>
            <w:vAlign w:val="center"/>
            <w:hideMark/>
          </w:tcPr>
          <w:p w14:paraId="3844AEE2"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0.0105</w:t>
            </w:r>
          </w:p>
        </w:tc>
        <w:tc>
          <w:tcPr>
            <w:tcW w:w="1068" w:type="dxa"/>
            <w:tcBorders>
              <w:top w:val="single" w:sz="4" w:space="0" w:color="auto"/>
              <w:bottom w:val="single" w:sz="4" w:space="0" w:color="auto"/>
            </w:tcBorders>
            <w:shd w:val="clear" w:color="auto" w:fill="E7F3F4"/>
            <w:noWrap/>
            <w:vAlign w:val="center"/>
          </w:tcPr>
          <w:p w14:paraId="3DF5F61C"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6BECD799" w14:textId="77777777" w:rsidTr="00D64955">
        <w:trPr>
          <w:cantSplit/>
          <w:trHeight w:val="312"/>
          <w:jc w:val="center"/>
        </w:trPr>
        <w:tc>
          <w:tcPr>
            <w:tcW w:w="2028" w:type="dxa"/>
            <w:tcBorders>
              <w:bottom w:val="single" w:sz="4" w:space="0" w:color="auto"/>
            </w:tcBorders>
            <w:shd w:val="clear" w:color="auto" w:fill="E7F3F4"/>
            <w:noWrap/>
            <w:vAlign w:val="center"/>
          </w:tcPr>
          <w:p w14:paraId="3C61622E"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D9D9D9" w:themeFill="background1" w:themeFillShade="D9"/>
            <w:noWrap/>
            <w:vAlign w:val="center"/>
          </w:tcPr>
          <w:p w14:paraId="7F004F68" w14:textId="77777777" w:rsidR="00306220" w:rsidRPr="00625DAC" w:rsidRDefault="00306220" w:rsidP="00D64955">
            <w:pPr>
              <w:pStyle w:val="BodyText"/>
              <w:spacing w:after="0"/>
              <w:jc w:val="left"/>
              <w:rPr>
                <w:rFonts w:asciiTheme="minorHAnsi" w:hAnsiTheme="minorHAnsi"/>
                <w:color w:val="000000"/>
                <w:sz w:val="20"/>
                <w:szCs w:val="20"/>
              </w:rPr>
            </w:pPr>
            <w:r>
              <w:rPr>
                <w:rFonts w:asciiTheme="minorHAnsi" w:hAnsiTheme="minorHAnsi"/>
                <w:color w:val="000000"/>
                <w:sz w:val="20"/>
                <w:szCs w:val="2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49F33AAC" w14:textId="77777777" w:rsidR="00306220" w:rsidRPr="00625DAC" w:rsidRDefault="00306220" w:rsidP="00D64955">
            <w:pPr>
              <w:pStyle w:val="BodyText"/>
              <w:spacing w:after="0"/>
              <w:jc w:val="center"/>
              <w:rPr>
                <w:rFonts w:asciiTheme="minorHAnsi" w:hAnsiTheme="minorHAnsi"/>
                <w:color w:val="000000"/>
                <w:sz w:val="20"/>
                <w:szCs w:val="20"/>
              </w:rPr>
            </w:pPr>
          </w:p>
        </w:tc>
        <w:tc>
          <w:tcPr>
            <w:tcW w:w="1078" w:type="dxa"/>
            <w:tcBorders>
              <w:top w:val="single" w:sz="4" w:space="0" w:color="auto"/>
              <w:bottom w:val="single" w:sz="4" w:space="0" w:color="auto"/>
            </w:tcBorders>
            <w:shd w:val="clear" w:color="auto" w:fill="D9D9D9" w:themeFill="background1" w:themeFillShade="D9"/>
            <w:vAlign w:val="center"/>
          </w:tcPr>
          <w:p w14:paraId="131EB5EC"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2003</w:t>
            </w:r>
          </w:p>
        </w:tc>
        <w:tc>
          <w:tcPr>
            <w:tcW w:w="1078" w:type="dxa"/>
            <w:tcBorders>
              <w:top w:val="single" w:sz="4" w:space="0" w:color="auto"/>
              <w:bottom w:val="single" w:sz="4" w:space="0" w:color="auto"/>
            </w:tcBorders>
            <w:shd w:val="clear" w:color="auto" w:fill="D9D9D9" w:themeFill="background1" w:themeFillShade="D9"/>
            <w:vAlign w:val="center"/>
          </w:tcPr>
          <w:p w14:paraId="1C35E59E"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2016</w:t>
            </w:r>
          </w:p>
        </w:tc>
        <w:tc>
          <w:tcPr>
            <w:tcW w:w="519" w:type="dxa"/>
            <w:tcBorders>
              <w:top w:val="single" w:sz="4" w:space="0" w:color="auto"/>
              <w:bottom w:val="single" w:sz="4" w:space="0" w:color="auto"/>
            </w:tcBorders>
            <w:shd w:val="clear" w:color="auto" w:fill="D9D9D9" w:themeFill="background1" w:themeFillShade="D9"/>
            <w:vAlign w:val="center"/>
          </w:tcPr>
          <w:p w14:paraId="5AB6B1CB"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36</w:t>
            </w:r>
          </w:p>
        </w:tc>
        <w:tc>
          <w:tcPr>
            <w:tcW w:w="1078" w:type="dxa"/>
            <w:tcBorders>
              <w:top w:val="single" w:sz="4" w:space="0" w:color="auto"/>
              <w:bottom w:val="single" w:sz="4" w:space="0" w:color="auto"/>
            </w:tcBorders>
            <w:shd w:val="clear" w:color="auto" w:fill="D9D9D9" w:themeFill="background1" w:themeFillShade="D9"/>
            <w:noWrap/>
            <w:vAlign w:val="center"/>
          </w:tcPr>
          <w:p w14:paraId="2DCF98F5" w14:textId="77777777" w:rsidR="00306220" w:rsidRPr="000978B6"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-0.382</w:t>
            </w:r>
          </w:p>
        </w:tc>
        <w:tc>
          <w:tcPr>
            <w:tcW w:w="1076" w:type="dxa"/>
            <w:tcBorders>
              <w:top w:val="single" w:sz="4" w:space="0" w:color="auto"/>
              <w:bottom w:val="single" w:sz="4" w:space="0" w:color="auto"/>
            </w:tcBorders>
            <w:shd w:val="clear" w:color="auto" w:fill="D9D9D9" w:themeFill="background1" w:themeFillShade="D9"/>
            <w:noWrap/>
            <w:vAlign w:val="center"/>
          </w:tcPr>
          <w:p w14:paraId="102BAB2D" w14:textId="77777777" w:rsidR="00306220" w:rsidRPr="000978B6"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0.0005</w:t>
            </w:r>
          </w:p>
        </w:tc>
        <w:tc>
          <w:tcPr>
            <w:tcW w:w="2475" w:type="dxa"/>
            <w:tcBorders>
              <w:top w:val="single" w:sz="4" w:space="0" w:color="auto"/>
              <w:bottom w:val="single" w:sz="4" w:space="0" w:color="auto"/>
            </w:tcBorders>
            <w:shd w:val="clear" w:color="auto" w:fill="D9D9D9" w:themeFill="background1" w:themeFillShade="D9"/>
            <w:noWrap/>
            <w:vAlign w:val="center"/>
          </w:tcPr>
          <w:p w14:paraId="76528B5A" w14:textId="77777777" w:rsidR="00306220" w:rsidRDefault="00306220" w:rsidP="00D64955">
            <w:pPr>
              <w:pStyle w:val="BodyText"/>
              <w:spacing w:after="0"/>
              <w:jc w:val="center"/>
              <w:rPr>
                <w:rFonts w:asciiTheme="minorHAnsi" w:hAnsiTheme="minorHAnsi"/>
                <w:color w:val="000000"/>
                <w:sz w:val="20"/>
                <w:szCs w:val="20"/>
              </w:rPr>
            </w:pPr>
            <w:r w:rsidRPr="002D058B">
              <w:rPr>
                <w:rFonts w:asciiTheme="minorHAnsi" w:hAnsiTheme="minorHAnsi"/>
                <w:b/>
                <w:color w:val="000000"/>
                <w:sz w:val="20"/>
                <w:szCs w:val="20"/>
              </w:rPr>
              <w:t>-0.002</w:t>
            </w:r>
            <w:r w:rsidRPr="000978B6">
              <w:rPr>
                <w:rFonts w:asciiTheme="minorHAnsi" w:hAnsiTheme="minorHAnsi"/>
                <w:b/>
                <w:color w:val="000000"/>
                <w:sz w:val="20"/>
                <w:szCs w:val="20"/>
              </w:rPr>
              <w:t>8</w:t>
            </w:r>
            <w:r>
              <w:rPr>
                <w:rFonts w:asciiTheme="minorHAnsi" w:hAnsiTheme="minorHAnsi"/>
                <w:color w:val="000000"/>
                <w:sz w:val="20"/>
                <w:szCs w:val="20"/>
              </w:rPr>
              <w:t xml:space="preserve"> </w:t>
            </w:r>
            <w:r w:rsidRPr="000978B6">
              <w:rPr>
                <w:rFonts w:asciiTheme="minorHAnsi" w:hAnsiTheme="minorHAnsi"/>
                <w:color w:val="000000"/>
                <w:sz w:val="16"/>
                <w:szCs w:val="16"/>
              </w:rPr>
              <w:t>(</w:t>
            </w:r>
            <w:r w:rsidRPr="002D058B">
              <w:rPr>
                <w:rFonts w:asciiTheme="minorHAnsi" w:hAnsiTheme="minorHAnsi"/>
                <w:color w:val="000000"/>
                <w:sz w:val="16"/>
                <w:szCs w:val="16"/>
              </w:rPr>
              <w:t>-0.004</w:t>
            </w:r>
            <w:r w:rsidRPr="000978B6">
              <w:rPr>
                <w:rFonts w:asciiTheme="minorHAnsi" w:hAnsiTheme="minorHAnsi"/>
                <w:color w:val="000000"/>
                <w:sz w:val="16"/>
                <w:szCs w:val="16"/>
              </w:rPr>
              <w:t xml:space="preserve">3 to </w:t>
            </w:r>
            <w:r w:rsidRPr="002D058B">
              <w:rPr>
                <w:rFonts w:asciiTheme="minorHAnsi" w:hAnsiTheme="minorHAnsi"/>
                <w:color w:val="000000"/>
                <w:sz w:val="16"/>
                <w:szCs w:val="16"/>
              </w:rPr>
              <w:t>-0.001</w:t>
            </w:r>
            <w:r w:rsidRPr="000978B6">
              <w:rPr>
                <w:rFonts w:asciiTheme="minorHAnsi" w:hAnsiTheme="minorHAnsi"/>
                <w:color w:val="000000"/>
                <w:sz w:val="16"/>
                <w:szCs w:val="16"/>
              </w:rPr>
              <w:t>4)</w:t>
            </w:r>
          </w:p>
        </w:tc>
        <w:tc>
          <w:tcPr>
            <w:tcW w:w="1068" w:type="dxa"/>
            <w:tcBorders>
              <w:top w:val="single" w:sz="4" w:space="0" w:color="auto"/>
              <w:bottom w:val="single" w:sz="4" w:space="0" w:color="auto"/>
            </w:tcBorders>
            <w:shd w:val="clear" w:color="auto" w:fill="D9D9D9" w:themeFill="background1" w:themeFillShade="D9"/>
            <w:noWrap/>
            <w:vAlign w:val="center"/>
          </w:tcPr>
          <w:p w14:paraId="57B8E9C4" w14:textId="77777777" w:rsidR="00306220" w:rsidRDefault="00306220" w:rsidP="00D64955">
            <w:pPr>
              <w:pStyle w:val="BodyText"/>
              <w:spacing w:after="0"/>
              <w:jc w:val="center"/>
              <w:rPr>
                <w:rFonts w:asciiTheme="minorHAnsi" w:hAnsiTheme="minorHAnsi"/>
                <w:color w:val="000000"/>
                <w:sz w:val="20"/>
                <w:szCs w:val="20"/>
              </w:rPr>
            </w:pPr>
            <w:r w:rsidRPr="005B7EF2">
              <w:rPr>
                <w:rFonts w:asciiTheme="minorHAnsi" w:hAnsiTheme="minorHAnsi"/>
                <w:b/>
                <w:color w:val="000000"/>
                <w:sz w:val="20"/>
                <w:szCs w:val="20"/>
              </w:rPr>
              <w:t>decrease</w:t>
            </w:r>
          </w:p>
        </w:tc>
      </w:tr>
      <w:tr w:rsidR="00306220" w:rsidRPr="00625DAC" w14:paraId="0E3170BC" w14:textId="77777777" w:rsidTr="00D64955">
        <w:trPr>
          <w:cantSplit/>
          <w:trHeight w:val="312"/>
          <w:jc w:val="center"/>
        </w:trPr>
        <w:tc>
          <w:tcPr>
            <w:tcW w:w="2028" w:type="dxa"/>
            <w:vMerge w:val="restart"/>
            <w:tcBorders>
              <w:top w:val="single" w:sz="4" w:space="0" w:color="auto"/>
            </w:tcBorders>
            <w:shd w:val="clear" w:color="auto" w:fill="F3F9FA"/>
            <w:noWrap/>
            <w:vAlign w:val="center"/>
            <w:hideMark/>
          </w:tcPr>
          <w:p w14:paraId="7817E8C9"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Wet Tropics</w:t>
            </w:r>
          </w:p>
        </w:tc>
        <w:tc>
          <w:tcPr>
            <w:tcW w:w="1874" w:type="dxa"/>
            <w:vMerge w:val="restart"/>
            <w:tcBorders>
              <w:top w:val="single" w:sz="4" w:space="0" w:color="auto"/>
            </w:tcBorders>
            <w:shd w:val="clear" w:color="auto" w:fill="F3F9FA"/>
            <w:noWrap/>
            <w:vAlign w:val="center"/>
            <w:hideMark/>
          </w:tcPr>
          <w:p w14:paraId="484A6FEA"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coastal intertidal</w:t>
            </w:r>
          </w:p>
        </w:tc>
        <w:tc>
          <w:tcPr>
            <w:tcW w:w="720" w:type="dxa"/>
            <w:tcBorders>
              <w:top w:val="single" w:sz="4" w:space="0" w:color="auto"/>
            </w:tcBorders>
            <w:shd w:val="clear" w:color="auto" w:fill="F3F9FA"/>
            <w:noWrap/>
            <w:vAlign w:val="center"/>
            <w:hideMark/>
          </w:tcPr>
          <w:p w14:paraId="6AB43873"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LB1</w:t>
            </w:r>
          </w:p>
        </w:tc>
        <w:tc>
          <w:tcPr>
            <w:tcW w:w="1078" w:type="dxa"/>
            <w:tcBorders>
              <w:top w:val="single" w:sz="4" w:space="0" w:color="auto"/>
            </w:tcBorders>
            <w:shd w:val="clear" w:color="auto" w:fill="F3F9FA"/>
            <w:vAlign w:val="center"/>
          </w:tcPr>
          <w:p w14:paraId="1EE688D1"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top w:val="single" w:sz="4" w:space="0" w:color="auto"/>
            </w:tcBorders>
            <w:shd w:val="clear" w:color="auto" w:fill="F3F9FA"/>
            <w:vAlign w:val="center"/>
          </w:tcPr>
          <w:p w14:paraId="0D1B8921"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74686A3D"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37</w:t>
            </w:r>
          </w:p>
        </w:tc>
        <w:tc>
          <w:tcPr>
            <w:tcW w:w="1078" w:type="dxa"/>
            <w:tcBorders>
              <w:top w:val="single" w:sz="4" w:space="0" w:color="auto"/>
            </w:tcBorders>
            <w:shd w:val="clear" w:color="auto" w:fill="F3F9FA"/>
            <w:noWrap/>
            <w:vAlign w:val="center"/>
            <w:hideMark/>
          </w:tcPr>
          <w:p w14:paraId="64C0894A"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-0.592</w:t>
            </w:r>
          </w:p>
        </w:tc>
        <w:tc>
          <w:tcPr>
            <w:tcW w:w="1076" w:type="dxa"/>
            <w:tcBorders>
              <w:top w:val="single" w:sz="4" w:space="0" w:color="auto"/>
            </w:tcBorders>
            <w:shd w:val="clear" w:color="auto" w:fill="F3F9FA"/>
            <w:noWrap/>
            <w:vAlign w:val="center"/>
            <w:hideMark/>
          </w:tcPr>
          <w:p w14:paraId="495FC1B6" w14:textId="77777777" w:rsidR="00306220" w:rsidRPr="005B7EF2" w:rsidRDefault="00306220" w:rsidP="00D64955">
            <w:pPr>
              <w:pStyle w:val="BodyText"/>
              <w:spacing w:after="0"/>
              <w:jc w:val="center"/>
              <w:rPr>
                <w:rFonts w:asciiTheme="minorHAnsi" w:hAnsiTheme="minorHAnsi"/>
                <w:b/>
                <w:color w:val="000000"/>
                <w:sz w:val="20"/>
                <w:szCs w:val="20"/>
              </w:rPr>
            </w:pPr>
            <w:r>
              <w:rPr>
                <w:rFonts w:asciiTheme="minorHAnsi" w:hAnsiTheme="minorHAnsi"/>
                <w:b/>
                <w:color w:val="000000"/>
                <w:sz w:val="20"/>
                <w:szCs w:val="20"/>
              </w:rPr>
              <w:t>&lt;</w:t>
            </w:r>
            <w:r w:rsidRPr="005B7EF2">
              <w:rPr>
                <w:rFonts w:asciiTheme="minorHAnsi" w:hAnsiTheme="minorHAnsi"/>
                <w:b/>
                <w:color w:val="000000"/>
                <w:sz w:val="20"/>
                <w:szCs w:val="20"/>
              </w:rPr>
              <w:t>0.000</w:t>
            </w:r>
            <w:r>
              <w:rPr>
                <w:rFonts w:asciiTheme="minorHAnsi" w:hAnsiTheme="minorHAnsi"/>
                <w:b/>
                <w:color w:val="000000"/>
                <w:sz w:val="20"/>
                <w:szCs w:val="20"/>
              </w:rPr>
              <w:t>1</w:t>
            </w:r>
          </w:p>
        </w:tc>
        <w:tc>
          <w:tcPr>
            <w:tcW w:w="2475" w:type="dxa"/>
            <w:tcBorders>
              <w:top w:val="single" w:sz="4" w:space="0" w:color="auto"/>
            </w:tcBorders>
            <w:shd w:val="clear" w:color="auto" w:fill="F3F9FA"/>
            <w:noWrap/>
            <w:vAlign w:val="center"/>
            <w:hideMark/>
          </w:tcPr>
          <w:p w14:paraId="7997372F"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-0.0007 </w:t>
            </w:r>
            <w:r w:rsidRPr="00664ECE">
              <w:rPr>
                <w:rFonts w:asciiTheme="minorHAnsi" w:hAnsiTheme="minorHAnsi"/>
                <w:color w:val="000000"/>
                <w:sz w:val="16"/>
                <w:szCs w:val="16"/>
              </w:rPr>
              <w:t>(-0.0017 to -0.0002)</w:t>
            </w:r>
          </w:p>
        </w:tc>
        <w:tc>
          <w:tcPr>
            <w:tcW w:w="1068" w:type="dxa"/>
            <w:tcBorders>
              <w:top w:val="single" w:sz="4" w:space="0" w:color="auto"/>
            </w:tcBorders>
            <w:shd w:val="clear" w:color="auto" w:fill="F3F9FA"/>
            <w:noWrap/>
            <w:vAlign w:val="center"/>
            <w:hideMark/>
          </w:tcPr>
          <w:p w14:paraId="392CFEA2"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308285C3" w14:textId="77777777" w:rsidTr="00D64955">
        <w:trPr>
          <w:cantSplit/>
          <w:trHeight w:val="312"/>
          <w:jc w:val="center"/>
        </w:trPr>
        <w:tc>
          <w:tcPr>
            <w:tcW w:w="2028" w:type="dxa"/>
            <w:vMerge/>
            <w:shd w:val="clear" w:color="auto" w:fill="F3F9FA"/>
            <w:noWrap/>
            <w:vAlign w:val="center"/>
          </w:tcPr>
          <w:p w14:paraId="19BE94A5"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F3F9FA"/>
            <w:noWrap/>
            <w:vAlign w:val="center"/>
          </w:tcPr>
          <w:p w14:paraId="3F594832"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5F33803A"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LB2</w:t>
            </w:r>
          </w:p>
        </w:tc>
        <w:tc>
          <w:tcPr>
            <w:tcW w:w="1078" w:type="dxa"/>
            <w:tcBorders>
              <w:bottom w:val="single" w:sz="4" w:space="0" w:color="auto"/>
            </w:tcBorders>
            <w:shd w:val="clear" w:color="auto" w:fill="F3F9FA"/>
            <w:vAlign w:val="center"/>
          </w:tcPr>
          <w:p w14:paraId="55CB17A5"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bottom w:val="single" w:sz="4" w:space="0" w:color="auto"/>
            </w:tcBorders>
            <w:shd w:val="clear" w:color="auto" w:fill="F3F9FA"/>
            <w:vAlign w:val="center"/>
          </w:tcPr>
          <w:p w14:paraId="6B570854"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04E7743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36</w:t>
            </w:r>
          </w:p>
        </w:tc>
        <w:tc>
          <w:tcPr>
            <w:tcW w:w="1078" w:type="dxa"/>
            <w:tcBorders>
              <w:bottom w:val="single" w:sz="4" w:space="0" w:color="auto"/>
            </w:tcBorders>
            <w:shd w:val="clear" w:color="auto" w:fill="F3F9FA"/>
            <w:noWrap/>
            <w:vAlign w:val="center"/>
            <w:hideMark/>
          </w:tcPr>
          <w:p w14:paraId="3E62BCB2"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-0.522</w:t>
            </w:r>
          </w:p>
        </w:tc>
        <w:tc>
          <w:tcPr>
            <w:tcW w:w="1076" w:type="dxa"/>
            <w:tcBorders>
              <w:bottom w:val="single" w:sz="4" w:space="0" w:color="auto"/>
            </w:tcBorders>
            <w:shd w:val="clear" w:color="auto" w:fill="F3F9FA"/>
            <w:noWrap/>
            <w:vAlign w:val="center"/>
            <w:hideMark/>
          </w:tcPr>
          <w:p w14:paraId="6CEDDA85" w14:textId="77777777" w:rsidR="00306220" w:rsidRPr="005B7EF2" w:rsidRDefault="00306220" w:rsidP="00D64955">
            <w:pPr>
              <w:pStyle w:val="BodyText"/>
              <w:spacing w:after="0"/>
              <w:jc w:val="center"/>
              <w:rPr>
                <w:rFonts w:asciiTheme="minorHAnsi" w:hAnsiTheme="minorHAnsi"/>
                <w:b/>
                <w:color w:val="000000"/>
                <w:sz w:val="20"/>
                <w:szCs w:val="20"/>
              </w:rPr>
            </w:pPr>
            <w:r>
              <w:rPr>
                <w:rFonts w:asciiTheme="minorHAnsi" w:hAnsiTheme="minorHAnsi"/>
                <w:b/>
                <w:color w:val="000000"/>
                <w:sz w:val="20"/>
                <w:szCs w:val="20"/>
              </w:rPr>
              <w:t>&lt;</w:t>
            </w:r>
            <w:r w:rsidRPr="005B7EF2">
              <w:rPr>
                <w:rFonts w:asciiTheme="minorHAnsi" w:hAnsiTheme="minorHAnsi"/>
                <w:b/>
                <w:color w:val="000000"/>
                <w:sz w:val="20"/>
                <w:szCs w:val="20"/>
              </w:rPr>
              <w:t>0.000</w:t>
            </w:r>
            <w:r>
              <w:rPr>
                <w:rFonts w:asciiTheme="minorHAnsi" w:hAnsiTheme="minorHAnsi"/>
                <w:b/>
                <w:color w:val="000000"/>
                <w:sz w:val="20"/>
                <w:szCs w:val="20"/>
              </w:rPr>
              <w:t>1</w:t>
            </w:r>
          </w:p>
        </w:tc>
        <w:tc>
          <w:tcPr>
            <w:tcW w:w="2475" w:type="dxa"/>
            <w:tcBorders>
              <w:bottom w:val="single" w:sz="4" w:space="0" w:color="auto"/>
            </w:tcBorders>
            <w:shd w:val="clear" w:color="auto" w:fill="F3F9FA"/>
            <w:noWrap/>
            <w:vAlign w:val="center"/>
            <w:hideMark/>
          </w:tcPr>
          <w:p w14:paraId="7BE502B2"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-0.0006 </w:t>
            </w:r>
            <w:r w:rsidRPr="00664ECE">
              <w:rPr>
                <w:rFonts w:asciiTheme="minorHAnsi" w:hAnsiTheme="minorHAnsi"/>
                <w:color w:val="000000"/>
                <w:sz w:val="16"/>
                <w:szCs w:val="16"/>
              </w:rPr>
              <w:t>(-0.0014 to -0.0001)</w:t>
            </w:r>
          </w:p>
        </w:tc>
        <w:tc>
          <w:tcPr>
            <w:tcW w:w="1068" w:type="dxa"/>
            <w:tcBorders>
              <w:bottom w:val="single" w:sz="4" w:space="0" w:color="auto"/>
            </w:tcBorders>
            <w:shd w:val="clear" w:color="auto" w:fill="F3F9FA"/>
            <w:noWrap/>
            <w:vAlign w:val="center"/>
            <w:hideMark/>
          </w:tcPr>
          <w:p w14:paraId="1BA5538A"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6C1F743F" w14:textId="77777777" w:rsidTr="00D64955">
        <w:trPr>
          <w:cantSplit/>
          <w:trHeight w:val="312"/>
          <w:jc w:val="center"/>
        </w:trPr>
        <w:tc>
          <w:tcPr>
            <w:tcW w:w="2028" w:type="dxa"/>
            <w:vMerge/>
            <w:shd w:val="clear" w:color="auto" w:fill="F3F9FA"/>
            <w:noWrap/>
            <w:vAlign w:val="center"/>
          </w:tcPr>
          <w:p w14:paraId="1A525F43"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F3F9FA"/>
            <w:noWrap/>
            <w:vAlign w:val="center"/>
          </w:tcPr>
          <w:p w14:paraId="651D4383"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F3F9FA"/>
            <w:noWrap/>
            <w:vAlign w:val="center"/>
            <w:hideMark/>
          </w:tcPr>
          <w:p w14:paraId="2EB3DEF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YP1</w:t>
            </w:r>
          </w:p>
        </w:tc>
        <w:tc>
          <w:tcPr>
            <w:tcW w:w="1078" w:type="dxa"/>
            <w:tcBorders>
              <w:top w:val="single" w:sz="4" w:space="0" w:color="auto"/>
            </w:tcBorders>
            <w:shd w:val="clear" w:color="auto" w:fill="F3F9FA"/>
            <w:vAlign w:val="center"/>
          </w:tcPr>
          <w:p w14:paraId="457CA209"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2000</w:t>
            </w:r>
          </w:p>
        </w:tc>
        <w:tc>
          <w:tcPr>
            <w:tcW w:w="1078" w:type="dxa"/>
            <w:tcBorders>
              <w:top w:val="single" w:sz="4" w:space="0" w:color="auto"/>
            </w:tcBorders>
            <w:shd w:val="clear" w:color="auto" w:fill="F3F9FA"/>
            <w:vAlign w:val="center"/>
          </w:tcPr>
          <w:p w14:paraId="59610EF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7B88999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71</w:t>
            </w:r>
          </w:p>
        </w:tc>
        <w:tc>
          <w:tcPr>
            <w:tcW w:w="1078" w:type="dxa"/>
            <w:tcBorders>
              <w:top w:val="single" w:sz="4" w:space="0" w:color="auto"/>
            </w:tcBorders>
            <w:shd w:val="clear" w:color="auto" w:fill="F3F9FA"/>
            <w:noWrap/>
            <w:vAlign w:val="center"/>
            <w:hideMark/>
          </w:tcPr>
          <w:p w14:paraId="4279DB20"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-0.00362</w:t>
            </w:r>
          </w:p>
        </w:tc>
        <w:tc>
          <w:tcPr>
            <w:tcW w:w="1076" w:type="dxa"/>
            <w:tcBorders>
              <w:top w:val="single" w:sz="4" w:space="0" w:color="auto"/>
            </w:tcBorders>
            <w:shd w:val="clear" w:color="auto" w:fill="F3F9FA"/>
            <w:noWrap/>
            <w:vAlign w:val="center"/>
            <w:hideMark/>
          </w:tcPr>
          <w:p w14:paraId="57D8325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0.9683</w:t>
            </w:r>
          </w:p>
        </w:tc>
        <w:tc>
          <w:tcPr>
            <w:tcW w:w="2475" w:type="dxa"/>
            <w:tcBorders>
              <w:top w:val="single" w:sz="4" w:space="0" w:color="auto"/>
            </w:tcBorders>
            <w:shd w:val="clear" w:color="auto" w:fill="F3F9FA"/>
            <w:noWrap/>
            <w:vAlign w:val="center"/>
            <w:hideMark/>
          </w:tcPr>
          <w:p w14:paraId="1C110E87"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-0.00001</w:t>
            </w:r>
          </w:p>
        </w:tc>
        <w:tc>
          <w:tcPr>
            <w:tcW w:w="1068" w:type="dxa"/>
            <w:tcBorders>
              <w:top w:val="single" w:sz="4" w:space="0" w:color="auto"/>
            </w:tcBorders>
            <w:shd w:val="clear" w:color="auto" w:fill="F3F9FA"/>
            <w:noWrap/>
            <w:vAlign w:val="center"/>
          </w:tcPr>
          <w:p w14:paraId="5567045E"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02596E78" w14:textId="77777777" w:rsidTr="00D64955">
        <w:trPr>
          <w:cantSplit/>
          <w:trHeight w:val="312"/>
          <w:jc w:val="center"/>
        </w:trPr>
        <w:tc>
          <w:tcPr>
            <w:tcW w:w="2028" w:type="dxa"/>
            <w:vMerge/>
            <w:shd w:val="clear" w:color="auto" w:fill="F3F9FA"/>
            <w:noWrap/>
            <w:vAlign w:val="center"/>
          </w:tcPr>
          <w:p w14:paraId="0DBB7686"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F3F9FA"/>
            <w:noWrap/>
            <w:vAlign w:val="center"/>
          </w:tcPr>
          <w:p w14:paraId="6BBE99DD"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0A21B36B"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YP2</w:t>
            </w:r>
          </w:p>
        </w:tc>
        <w:tc>
          <w:tcPr>
            <w:tcW w:w="1078" w:type="dxa"/>
            <w:tcBorders>
              <w:bottom w:val="single" w:sz="4" w:space="0" w:color="auto"/>
            </w:tcBorders>
            <w:shd w:val="clear" w:color="auto" w:fill="F3F9FA"/>
            <w:vAlign w:val="center"/>
          </w:tcPr>
          <w:p w14:paraId="49ECB45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2001</w:t>
            </w:r>
          </w:p>
        </w:tc>
        <w:tc>
          <w:tcPr>
            <w:tcW w:w="1078" w:type="dxa"/>
            <w:tcBorders>
              <w:bottom w:val="single" w:sz="4" w:space="0" w:color="auto"/>
            </w:tcBorders>
            <w:shd w:val="clear" w:color="auto" w:fill="F3F9FA"/>
            <w:vAlign w:val="center"/>
          </w:tcPr>
          <w:p w14:paraId="18D018DF"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0256E8A0"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64</w:t>
            </w:r>
          </w:p>
        </w:tc>
        <w:tc>
          <w:tcPr>
            <w:tcW w:w="1078" w:type="dxa"/>
            <w:tcBorders>
              <w:bottom w:val="single" w:sz="4" w:space="0" w:color="auto"/>
            </w:tcBorders>
            <w:shd w:val="clear" w:color="auto" w:fill="F3F9FA"/>
            <w:noWrap/>
            <w:vAlign w:val="center"/>
            <w:hideMark/>
          </w:tcPr>
          <w:p w14:paraId="5B26EBC9"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0.0327</w:t>
            </w:r>
          </w:p>
        </w:tc>
        <w:tc>
          <w:tcPr>
            <w:tcW w:w="1076" w:type="dxa"/>
            <w:tcBorders>
              <w:bottom w:val="single" w:sz="4" w:space="0" w:color="auto"/>
            </w:tcBorders>
            <w:shd w:val="clear" w:color="auto" w:fill="F3F9FA"/>
            <w:noWrap/>
            <w:vAlign w:val="center"/>
            <w:hideMark/>
          </w:tcPr>
          <w:p w14:paraId="7F30578F"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0.706</w:t>
            </w:r>
            <w:r>
              <w:rPr>
                <w:rFonts w:asciiTheme="minorHAnsi" w:hAnsiTheme="minorHAnsi"/>
                <w:color w:val="000000"/>
                <w:sz w:val="20"/>
                <w:szCs w:val="20"/>
              </w:rPr>
              <w:t>5</w:t>
            </w:r>
          </w:p>
        </w:tc>
        <w:tc>
          <w:tcPr>
            <w:tcW w:w="2475" w:type="dxa"/>
            <w:tcBorders>
              <w:bottom w:val="single" w:sz="4" w:space="0" w:color="auto"/>
            </w:tcBorders>
            <w:shd w:val="clear" w:color="auto" w:fill="F3F9FA"/>
            <w:noWrap/>
            <w:vAlign w:val="center"/>
            <w:hideMark/>
          </w:tcPr>
          <w:p w14:paraId="7C9BFC1C"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0.0002</w:t>
            </w:r>
          </w:p>
        </w:tc>
        <w:tc>
          <w:tcPr>
            <w:tcW w:w="1068" w:type="dxa"/>
            <w:tcBorders>
              <w:bottom w:val="single" w:sz="4" w:space="0" w:color="auto"/>
            </w:tcBorders>
            <w:shd w:val="clear" w:color="auto" w:fill="F3F9FA"/>
            <w:noWrap/>
            <w:vAlign w:val="center"/>
          </w:tcPr>
          <w:p w14:paraId="0723C56C"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7FC9D3B4" w14:textId="77777777" w:rsidTr="00D64955">
        <w:trPr>
          <w:cantSplit/>
          <w:trHeight w:val="312"/>
          <w:jc w:val="center"/>
        </w:trPr>
        <w:tc>
          <w:tcPr>
            <w:tcW w:w="2028" w:type="dxa"/>
            <w:vMerge/>
            <w:shd w:val="clear" w:color="auto" w:fill="F3F9FA"/>
            <w:noWrap/>
            <w:vAlign w:val="center"/>
          </w:tcPr>
          <w:p w14:paraId="3BEFA7D8"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val="restart"/>
            <w:tcBorders>
              <w:top w:val="single" w:sz="4" w:space="0" w:color="auto"/>
            </w:tcBorders>
            <w:shd w:val="clear" w:color="auto" w:fill="F3F9FA"/>
            <w:noWrap/>
            <w:vAlign w:val="center"/>
            <w:hideMark/>
          </w:tcPr>
          <w:p w14:paraId="7406D06D"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reef intertidal</w:t>
            </w:r>
          </w:p>
        </w:tc>
        <w:tc>
          <w:tcPr>
            <w:tcW w:w="720" w:type="dxa"/>
            <w:tcBorders>
              <w:top w:val="single" w:sz="4" w:space="0" w:color="auto"/>
            </w:tcBorders>
            <w:shd w:val="clear" w:color="auto" w:fill="F3F9FA"/>
            <w:noWrap/>
            <w:vAlign w:val="center"/>
            <w:hideMark/>
          </w:tcPr>
          <w:p w14:paraId="4476D6F7"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DI1</w:t>
            </w:r>
          </w:p>
        </w:tc>
        <w:tc>
          <w:tcPr>
            <w:tcW w:w="1078" w:type="dxa"/>
            <w:tcBorders>
              <w:top w:val="single" w:sz="4" w:space="0" w:color="auto"/>
            </w:tcBorders>
            <w:shd w:val="clear" w:color="auto" w:fill="F3F9FA"/>
            <w:vAlign w:val="center"/>
          </w:tcPr>
          <w:p w14:paraId="1E2194D4"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top w:val="single" w:sz="4" w:space="0" w:color="auto"/>
            </w:tcBorders>
            <w:shd w:val="clear" w:color="auto" w:fill="F3F9FA"/>
            <w:vAlign w:val="center"/>
          </w:tcPr>
          <w:p w14:paraId="09574D5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753F4258"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30</w:t>
            </w:r>
          </w:p>
        </w:tc>
        <w:tc>
          <w:tcPr>
            <w:tcW w:w="1078" w:type="dxa"/>
            <w:tcBorders>
              <w:top w:val="single" w:sz="4" w:space="0" w:color="auto"/>
            </w:tcBorders>
            <w:shd w:val="clear" w:color="auto" w:fill="F3F9FA"/>
            <w:noWrap/>
            <w:vAlign w:val="center"/>
            <w:hideMark/>
          </w:tcPr>
          <w:p w14:paraId="16E12335"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-0.311</w:t>
            </w:r>
          </w:p>
        </w:tc>
        <w:tc>
          <w:tcPr>
            <w:tcW w:w="1076" w:type="dxa"/>
            <w:tcBorders>
              <w:top w:val="single" w:sz="4" w:space="0" w:color="auto"/>
            </w:tcBorders>
            <w:shd w:val="clear" w:color="auto" w:fill="F3F9FA"/>
            <w:noWrap/>
            <w:vAlign w:val="center"/>
            <w:hideMark/>
          </w:tcPr>
          <w:p w14:paraId="561057D5"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0.0168</w:t>
            </w:r>
          </w:p>
        </w:tc>
        <w:tc>
          <w:tcPr>
            <w:tcW w:w="2475" w:type="dxa"/>
            <w:tcBorders>
              <w:top w:val="single" w:sz="4" w:space="0" w:color="auto"/>
            </w:tcBorders>
            <w:shd w:val="clear" w:color="auto" w:fill="F3F9FA"/>
            <w:noWrap/>
            <w:vAlign w:val="center"/>
            <w:hideMark/>
          </w:tcPr>
          <w:p w14:paraId="4C066D54"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-0.00223</w:t>
            </w:r>
          </w:p>
        </w:tc>
        <w:tc>
          <w:tcPr>
            <w:tcW w:w="1068" w:type="dxa"/>
            <w:tcBorders>
              <w:top w:val="single" w:sz="4" w:space="0" w:color="auto"/>
            </w:tcBorders>
            <w:shd w:val="clear" w:color="auto" w:fill="F3F9FA"/>
            <w:noWrap/>
            <w:vAlign w:val="center"/>
          </w:tcPr>
          <w:p w14:paraId="2D9D1F63"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362FB7A3" w14:textId="77777777" w:rsidTr="00D64955">
        <w:trPr>
          <w:cantSplit/>
          <w:trHeight w:val="312"/>
          <w:jc w:val="center"/>
        </w:trPr>
        <w:tc>
          <w:tcPr>
            <w:tcW w:w="2028" w:type="dxa"/>
            <w:vMerge/>
            <w:shd w:val="clear" w:color="auto" w:fill="F3F9FA"/>
            <w:noWrap/>
            <w:vAlign w:val="center"/>
          </w:tcPr>
          <w:p w14:paraId="7CCBB02D"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F3F9FA"/>
            <w:noWrap/>
            <w:vAlign w:val="center"/>
          </w:tcPr>
          <w:p w14:paraId="2D329E11"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09E6C56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DI2</w:t>
            </w:r>
          </w:p>
        </w:tc>
        <w:tc>
          <w:tcPr>
            <w:tcW w:w="1078" w:type="dxa"/>
            <w:tcBorders>
              <w:bottom w:val="single" w:sz="4" w:space="0" w:color="auto"/>
            </w:tcBorders>
            <w:shd w:val="clear" w:color="auto" w:fill="F3F9FA"/>
            <w:vAlign w:val="center"/>
          </w:tcPr>
          <w:p w14:paraId="75309281"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bottom w:val="single" w:sz="4" w:space="0" w:color="auto"/>
            </w:tcBorders>
            <w:shd w:val="clear" w:color="auto" w:fill="F3F9FA"/>
            <w:vAlign w:val="center"/>
          </w:tcPr>
          <w:p w14:paraId="637149A2"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0C22C5EA"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30</w:t>
            </w:r>
          </w:p>
        </w:tc>
        <w:tc>
          <w:tcPr>
            <w:tcW w:w="1078" w:type="dxa"/>
            <w:tcBorders>
              <w:bottom w:val="single" w:sz="4" w:space="0" w:color="auto"/>
            </w:tcBorders>
            <w:shd w:val="clear" w:color="auto" w:fill="F3F9FA"/>
            <w:noWrap/>
            <w:vAlign w:val="center"/>
            <w:hideMark/>
          </w:tcPr>
          <w:p w14:paraId="2D0F515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-0.268</w:t>
            </w:r>
          </w:p>
        </w:tc>
        <w:tc>
          <w:tcPr>
            <w:tcW w:w="1076" w:type="dxa"/>
            <w:tcBorders>
              <w:bottom w:val="single" w:sz="4" w:space="0" w:color="auto"/>
            </w:tcBorders>
            <w:shd w:val="clear" w:color="auto" w:fill="F3F9FA"/>
            <w:noWrap/>
            <w:vAlign w:val="center"/>
            <w:hideMark/>
          </w:tcPr>
          <w:p w14:paraId="3FB12ED5"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0.0401</w:t>
            </w:r>
          </w:p>
        </w:tc>
        <w:tc>
          <w:tcPr>
            <w:tcW w:w="2475" w:type="dxa"/>
            <w:tcBorders>
              <w:bottom w:val="single" w:sz="4" w:space="0" w:color="auto"/>
            </w:tcBorders>
            <w:shd w:val="clear" w:color="auto" w:fill="F3F9FA"/>
            <w:noWrap/>
            <w:vAlign w:val="center"/>
            <w:hideMark/>
          </w:tcPr>
          <w:p w14:paraId="0B5E7740"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-0.00227</w:t>
            </w:r>
          </w:p>
        </w:tc>
        <w:tc>
          <w:tcPr>
            <w:tcW w:w="1068" w:type="dxa"/>
            <w:tcBorders>
              <w:bottom w:val="single" w:sz="4" w:space="0" w:color="auto"/>
            </w:tcBorders>
            <w:shd w:val="clear" w:color="auto" w:fill="F3F9FA"/>
            <w:noWrap/>
            <w:vAlign w:val="center"/>
          </w:tcPr>
          <w:p w14:paraId="42118BDF"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596FD7E1" w14:textId="77777777" w:rsidTr="00D64955">
        <w:trPr>
          <w:cantSplit/>
          <w:trHeight w:val="312"/>
          <w:jc w:val="center"/>
        </w:trPr>
        <w:tc>
          <w:tcPr>
            <w:tcW w:w="2028" w:type="dxa"/>
            <w:vMerge/>
            <w:shd w:val="clear" w:color="auto" w:fill="F3F9FA"/>
            <w:noWrap/>
            <w:vAlign w:val="center"/>
          </w:tcPr>
          <w:p w14:paraId="5FA4C8F2"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F3F9FA"/>
            <w:noWrap/>
            <w:vAlign w:val="center"/>
          </w:tcPr>
          <w:p w14:paraId="4FBDD8DC"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F3F9FA"/>
            <w:noWrap/>
            <w:vAlign w:val="center"/>
            <w:hideMark/>
          </w:tcPr>
          <w:p w14:paraId="41354DCF"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GI1</w:t>
            </w:r>
          </w:p>
        </w:tc>
        <w:tc>
          <w:tcPr>
            <w:tcW w:w="1078" w:type="dxa"/>
            <w:tcBorders>
              <w:top w:val="single" w:sz="4" w:space="0" w:color="auto"/>
            </w:tcBorders>
            <w:shd w:val="clear" w:color="auto" w:fill="F3F9FA"/>
            <w:vAlign w:val="center"/>
          </w:tcPr>
          <w:p w14:paraId="34F6C88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2001</w:t>
            </w:r>
          </w:p>
        </w:tc>
        <w:tc>
          <w:tcPr>
            <w:tcW w:w="1078" w:type="dxa"/>
            <w:tcBorders>
              <w:top w:val="single" w:sz="4" w:space="0" w:color="auto"/>
            </w:tcBorders>
            <w:shd w:val="clear" w:color="auto" w:fill="F3F9FA"/>
            <w:vAlign w:val="center"/>
          </w:tcPr>
          <w:p w14:paraId="7A77C412"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5FA9EF5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63</w:t>
            </w:r>
          </w:p>
        </w:tc>
        <w:tc>
          <w:tcPr>
            <w:tcW w:w="1078" w:type="dxa"/>
            <w:tcBorders>
              <w:top w:val="single" w:sz="4" w:space="0" w:color="auto"/>
            </w:tcBorders>
            <w:shd w:val="clear" w:color="auto" w:fill="F3F9FA"/>
            <w:noWrap/>
            <w:vAlign w:val="center"/>
            <w:hideMark/>
          </w:tcPr>
          <w:p w14:paraId="155069FA"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-0.188</w:t>
            </w:r>
          </w:p>
        </w:tc>
        <w:tc>
          <w:tcPr>
            <w:tcW w:w="1076" w:type="dxa"/>
            <w:tcBorders>
              <w:top w:val="single" w:sz="4" w:space="0" w:color="auto"/>
            </w:tcBorders>
            <w:shd w:val="clear" w:color="auto" w:fill="F3F9FA"/>
            <w:noWrap/>
            <w:vAlign w:val="center"/>
            <w:hideMark/>
          </w:tcPr>
          <w:p w14:paraId="48FE4F39"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0.02</w:t>
            </w:r>
            <w:r>
              <w:rPr>
                <w:rFonts w:asciiTheme="minorHAnsi" w:hAnsiTheme="minorHAnsi"/>
                <w:b/>
                <w:color w:val="000000"/>
                <w:sz w:val="20"/>
                <w:szCs w:val="20"/>
              </w:rPr>
              <w:t>30</w:t>
            </w:r>
          </w:p>
        </w:tc>
        <w:tc>
          <w:tcPr>
            <w:tcW w:w="2475" w:type="dxa"/>
            <w:tcBorders>
              <w:top w:val="single" w:sz="4" w:space="0" w:color="auto"/>
            </w:tcBorders>
            <w:shd w:val="clear" w:color="auto" w:fill="F3F9FA"/>
            <w:noWrap/>
            <w:vAlign w:val="center"/>
            <w:hideMark/>
          </w:tcPr>
          <w:p w14:paraId="5F320869"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-0.0012 </w:t>
            </w:r>
            <w:r w:rsidRPr="00664ECE">
              <w:rPr>
                <w:rFonts w:asciiTheme="minorHAnsi" w:hAnsiTheme="minorHAnsi"/>
                <w:color w:val="000000"/>
                <w:sz w:val="16"/>
                <w:szCs w:val="16"/>
              </w:rPr>
              <w:t>(-0.0024 to -0.0002)</w:t>
            </w:r>
          </w:p>
        </w:tc>
        <w:tc>
          <w:tcPr>
            <w:tcW w:w="1068" w:type="dxa"/>
            <w:tcBorders>
              <w:top w:val="single" w:sz="4" w:space="0" w:color="auto"/>
            </w:tcBorders>
            <w:shd w:val="clear" w:color="auto" w:fill="F3F9FA"/>
            <w:noWrap/>
            <w:vAlign w:val="center"/>
            <w:hideMark/>
          </w:tcPr>
          <w:p w14:paraId="1D7981A8"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6B2BF6B5" w14:textId="77777777" w:rsidTr="00D64955">
        <w:trPr>
          <w:cantSplit/>
          <w:trHeight w:val="312"/>
          <w:jc w:val="center"/>
        </w:trPr>
        <w:tc>
          <w:tcPr>
            <w:tcW w:w="2028" w:type="dxa"/>
            <w:vMerge/>
            <w:shd w:val="clear" w:color="auto" w:fill="F3F9FA"/>
            <w:noWrap/>
            <w:vAlign w:val="center"/>
          </w:tcPr>
          <w:p w14:paraId="32B9C860"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F3F9FA"/>
            <w:noWrap/>
            <w:vAlign w:val="center"/>
          </w:tcPr>
          <w:p w14:paraId="1C48EB76"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347DC684"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GI2</w:t>
            </w:r>
          </w:p>
        </w:tc>
        <w:tc>
          <w:tcPr>
            <w:tcW w:w="1078" w:type="dxa"/>
            <w:tcBorders>
              <w:bottom w:val="single" w:sz="4" w:space="0" w:color="auto"/>
            </w:tcBorders>
            <w:shd w:val="clear" w:color="auto" w:fill="F3F9FA"/>
            <w:vAlign w:val="center"/>
          </w:tcPr>
          <w:p w14:paraId="583575B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bottom w:val="single" w:sz="4" w:space="0" w:color="auto"/>
            </w:tcBorders>
            <w:shd w:val="clear" w:color="auto" w:fill="F3F9FA"/>
            <w:vAlign w:val="center"/>
          </w:tcPr>
          <w:p w14:paraId="15F1DD6D"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7AC8604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49</w:t>
            </w:r>
          </w:p>
        </w:tc>
        <w:tc>
          <w:tcPr>
            <w:tcW w:w="1078" w:type="dxa"/>
            <w:tcBorders>
              <w:bottom w:val="single" w:sz="4" w:space="0" w:color="auto"/>
            </w:tcBorders>
            <w:shd w:val="clear" w:color="auto" w:fill="F3F9FA"/>
            <w:noWrap/>
            <w:vAlign w:val="center"/>
            <w:hideMark/>
          </w:tcPr>
          <w:p w14:paraId="74239C00"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-0.159</w:t>
            </w:r>
          </w:p>
        </w:tc>
        <w:tc>
          <w:tcPr>
            <w:tcW w:w="1076" w:type="dxa"/>
            <w:tcBorders>
              <w:bottom w:val="single" w:sz="4" w:space="0" w:color="auto"/>
            </w:tcBorders>
            <w:shd w:val="clear" w:color="auto" w:fill="F3F9FA"/>
            <w:noWrap/>
            <w:vAlign w:val="center"/>
            <w:hideMark/>
          </w:tcPr>
          <w:p w14:paraId="15249C05"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0.108</w:t>
            </w:r>
            <w:r>
              <w:rPr>
                <w:rFonts w:asciiTheme="minorHAnsi" w:hAnsiTheme="minorHAnsi"/>
                <w:color w:val="000000"/>
                <w:sz w:val="20"/>
                <w:szCs w:val="20"/>
              </w:rPr>
              <w:t>9</w:t>
            </w:r>
          </w:p>
        </w:tc>
        <w:tc>
          <w:tcPr>
            <w:tcW w:w="2475" w:type="dxa"/>
            <w:tcBorders>
              <w:bottom w:val="single" w:sz="4" w:space="0" w:color="auto"/>
            </w:tcBorders>
            <w:shd w:val="clear" w:color="auto" w:fill="F3F9FA"/>
            <w:noWrap/>
            <w:vAlign w:val="center"/>
            <w:hideMark/>
          </w:tcPr>
          <w:p w14:paraId="38823493"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-0.00156</w:t>
            </w:r>
          </w:p>
        </w:tc>
        <w:tc>
          <w:tcPr>
            <w:tcW w:w="1068" w:type="dxa"/>
            <w:tcBorders>
              <w:bottom w:val="single" w:sz="4" w:space="0" w:color="auto"/>
            </w:tcBorders>
            <w:shd w:val="clear" w:color="auto" w:fill="F3F9FA"/>
            <w:noWrap/>
            <w:vAlign w:val="center"/>
          </w:tcPr>
          <w:p w14:paraId="7627AD30"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1CA2F5F5" w14:textId="77777777" w:rsidTr="00D64955">
        <w:trPr>
          <w:cantSplit/>
          <w:trHeight w:val="312"/>
          <w:jc w:val="center"/>
        </w:trPr>
        <w:tc>
          <w:tcPr>
            <w:tcW w:w="2028" w:type="dxa"/>
            <w:vMerge/>
            <w:shd w:val="clear" w:color="auto" w:fill="F3F9FA"/>
            <w:noWrap/>
            <w:vAlign w:val="center"/>
          </w:tcPr>
          <w:p w14:paraId="10A469BB"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F3F9FA"/>
            <w:noWrap/>
            <w:vAlign w:val="center"/>
          </w:tcPr>
          <w:p w14:paraId="0E78D4AC"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bottom w:val="single" w:sz="4" w:space="0" w:color="auto"/>
            </w:tcBorders>
            <w:shd w:val="clear" w:color="auto" w:fill="F3F9FA"/>
            <w:noWrap/>
            <w:vAlign w:val="center"/>
            <w:hideMark/>
          </w:tcPr>
          <w:p w14:paraId="4C8384A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GO1</w:t>
            </w:r>
          </w:p>
        </w:tc>
        <w:tc>
          <w:tcPr>
            <w:tcW w:w="1078" w:type="dxa"/>
            <w:tcBorders>
              <w:top w:val="single" w:sz="4" w:space="0" w:color="auto"/>
              <w:bottom w:val="single" w:sz="4" w:space="0" w:color="auto"/>
            </w:tcBorders>
            <w:shd w:val="clear" w:color="auto" w:fill="F3F9FA"/>
            <w:vAlign w:val="center"/>
          </w:tcPr>
          <w:p w14:paraId="6C83EC8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2008</w:t>
            </w:r>
          </w:p>
        </w:tc>
        <w:tc>
          <w:tcPr>
            <w:tcW w:w="1078" w:type="dxa"/>
            <w:tcBorders>
              <w:top w:val="single" w:sz="4" w:space="0" w:color="auto"/>
              <w:bottom w:val="single" w:sz="4" w:space="0" w:color="auto"/>
            </w:tcBorders>
            <w:shd w:val="clear" w:color="auto" w:fill="F3F9FA"/>
            <w:vAlign w:val="center"/>
          </w:tcPr>
          <w:p w14:paraId="1C15E14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bottom w:val="single" w:sz="4" w:space="0" w:color="auto"/>
            </w:tcBorders>
            <w:shd w:val="clear" w:color="auto" w:fill="F3F9FA"/>
            <w:vAlign w:val="center"/>
          </w:tcPr>
          <w:p w14:paraId="0E70C39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7</w:t>
            </w:r>
          </w:p>
        </w:tc>
        <w:tc>
          <w:tcPr>
            <w:tcW w:w="1078" w:type="dxa"/>
            <w:tcBorders>
              <w:top w:val="single" w:sz="4" w:space="0" w:color="auto"/>
              <w:bottom w:val="single" w:sz="4" w:space="0" w:color="auto"/>
            </w:tcBorders>
            <w:shd w:val="clear" w:color="auto" w:fill="F3F9FA"/>
            <w:noWrap/>
            <w:vAlign w:val="center"/>
            <w:hideMark/>
          </w:tcPr>
          <w:p w14:paraId="170CBE1E"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-0.429</w:t>
            </w:r>
          </w:p>
        </w:tc>
        <w:tc>
          <w:tcPr>
            <w:tcW w:w="1076" w:type="dxa"/>
            <w:tcBorders>
              <w:top w:val="single" w:sz="4" w:space="0" w:color="auto"/>
              <w:bottom w:val="single" w:sz="4" w:space="0" w:color="auto"/>
            </w:tcBorders>
            <w:shd w:val="clear" w:color="auto" w:fill="F3F9FA"/>
            <w:noWrap/>
            <w:vAlign w:val="center"/>
            <w:hideMark/>
          </w:tcPr>
          <w:p w14:paraId="5EE65033"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0.2296</w:t>
            </w:r>
          </w:p>
        </w:tc>
        <w:tc>
          <w:tcPr>
            <w:tcW w:w="2475" w:type="dxa"/>
            <w:tcBorders>
              <w:top w:val="single" w:sz="4" w:space="0" w:color="auto"/>
              <w:bottom w:val="single" w:sz="4" w:space="0" w:color="auto"/>
            </w:tcBorders>
            <w:shd w:val="clear" w:color="auto" w:fill="F3F9FA"/>
            <w:noWrap/>
            <w:vAlign w:val="center"/>
            <w:hideMark/>
          </w:tcPr>
          <w:p w14:paraId="449FA36C"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-0.0168</w:t>
            </w:r>
          </w:p>
        </w:tc>
        <w:tc>
          <w:tcPr>
            <w:tcW w:w="1068" w:type="dxa"/>
            <w:tcBorders>
              <w:top w:val="single" w:sz="4" w:space="0" w:color="auto"/>
              <w:bottom w:val="single" w:sz="4" w:space="0" w:color="auto"/>
            </w:tcBorders>
            <w:shd w:val="clear" w:color="auto" w:fill="F3F9FA"/>
            <w:noWrap/>
            <w:vAlign w:val="center"/>
          </w:tcPr>
          <w:p w14:paraId="3B4D397B"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5C29F794" w14:textId="77777777" w:rsidTr="00D64955">
        <w:trPr>
          <w:cantSplit/>
          <w:trHeight w:val="312"/>
          <w:jc w:val="center"/>
        </w:trPr>
        <w:tc>
          <w:tcPr>
            <w:tcW w:w="2028" w:type="dxa"/>
            <w:vMerge/>
            <w:shd w:val="clear" w:color="auto" w:fill="F3F9FA"/>
            <w:noWrap/>
            <w:vAlign w:val="center"/>
          </w:tcPr>
          <w:p w14:paraId="32C27C6A"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F3F9FA"/>
            <w:noWrap/>
            <w:vAlign w:val="center"/>
          </w:tcPr>
          <w:p w14:paraId="6A2BC220"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bottom w:val="single" w:sz="4" w:space="0" w:color="auto"/>
            </w:tcBorders>
            <w:shd w:val="clear" w:color="auto" w:fill="F3F9FA"/>
            <w:noWrap/>
            <w:vAlign w:val="center"/>
            <w:hideMark/>
          </w:tcPr>
          <w:p w14:paraId="2BC33ABD"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LI1</w:t>
            </w:r>
          </w:p>
        </w:tc>
        <w:tc>
          <w:tcPr>
            <w:tcW w:w="1078" w:type="dxa"/>
            <w:tcBorders>
              <w:top w:val="single" w:sz="4" w:space="0" w:color="auto"/>
              <w:bottom w:val="single" w:sz="4" w:space="0" w:color="auto"/>
            </w:tcBorders>
            <w:shd w:val="clear" w:color="auto" w:fill="F3F9FA"/>
            <w:vAlign w:val="center"/>
          </w:tcPr>
          <w:p w14:paraId="7BB13AD3"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2008</w:t>
            </w:r>
          </w:p>
        </w:tc>
        <w:tc>
          <w:tcPr>
            <w:tcW w:w="1078" w:type="dxa"/>
            <w:tcBorders>
              <w:top w:val="single" w:sz="4" w:space="0" w:color="auto"/>
              <w:bottom w:val="single" w:sz="4" w:space="0" w:color="auto"/>
            </w:tcBorders>
            <w:shd w:val="clear" w:color="auto" w:fill="F3F9FA"/>
            <w:vAlign w:val="center"/>
          </w:tcPr>
          <w:p w14:paraId="592AAC82"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F3F9FA"/>
            <w:vAlign w:val="center"/>
          </w:tcPr>
          <w:p w14:paraId="5528DAC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32</w:t>
            </w:r>
          </w:p>
        </w:tc>
        <w:tc>
          <w:tcPr>
            <w:tcW w:w="1078" w:type="dxa"/>
            <w:tcBorders>
              <w:top w:val="single" w:sz="4" w:space="0" w:color="auto"/>
              <w:bottom w:val="single" w:sz="4" w:space="0" w:color="auto"/>
            </w:tcBorders>
            <w:shd w:val="clear" w:color="auto" w:fill="F3F9FA"/>
            <w:noWrap/>
            <w:vAlign w:val="center"/>
            <w:hideMark/>
          </w:tcPr>
          <w:p w14:paraId="1B5EFA0A"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-0.519</w:t>
            </w:r>
          </w:p>
        </w:tc>
        <w:tc>
          <w:tcPr>
            <w:tcW w:w="1076" w:type="dxa"/>
            <w:tcBorders>
              <w:top w:val="single" w:sz="4" w:space="0" w:color="auto"/>
              <w:bottom w:val="single" w:sz="4" w:space="0" w:color="auto"/>
            </w:tcBorders>
            <w:shd w:val="clear" w:color="auto" w:fill="F3F9FA"/>
            <w:noWrap/>
            <w:vAlign w:val="center"/>
            <w:hideMark/>
          </w:tcPr>
          <w:p w14:paraId="25AB0602" w14:textId="77777777" w:rsidR="00306220" w:rsidRPr="005B7EF2" w:rsidRDefault="00306220" w:rsidP="00D64955">
            <w:pPr>
              <w:pStyle w:val="BodyText"/>
              <w:spacing w:after="0"/>
              <w:jc w:val="center"/>
              <w:rPr>
                <w:rFonts w:asciiTheme="minorHAnsi" w:hAnsiTheme="minorHAnsi"/>
                <w:b/>
                <w:color w:val="000000"/>
                <w:sz w:val="20"/>
                <w:szCs w:val="20"/>
              </w:rPr>
            </w:pPr>
            <w:r>
              <w:rPr>
                <w:rFonts w:asciiTheme="minorHAnsi" w:hAnsiTheme="minorHAnsi"/>
                <w:b/>
                <w:color w:val="000000"/>
                <w:sz w:val="20"/>
                <w:szCs w:val="20"/>
              </w:rPr>
              <w:t>&lt;</w:t>
            </w:r>
            <w:r w:rsidRPr="005B7EF2">
              <w:rPr>
                <w:rFonts w:asciiTheme="minorHAnsi" w:hAnsiTheme="minorHAnsi"/>
                <w:b/>
                <w:color w:val="000000"/>
                <w:sz w:val="20"/>
                <w:szCs w:val="20"/>
              </w:rPr>
              <w:t>0.000</w:t>
            </w:r>
            <w:r>
              <w:rPr>
                <w:rFonts w:asciiTheme="minorHAnsi" w:hAnsiTheme="minorHAnsi"/>
                <w:b/>
                <w:color w:val="000000"/>
                <w:sz w:val="20"/>
                <w:szCs w:val="20"/>
              </w:rPr>
              <w:t>1</w:t>
            </w:r>
          </w:p>
        </w:tc>
        <w:tc>
          <w:tcPr>
            <w:tcW w:w="2475" w:type="dxa"/>
            <w:tcBorders>
              <w:top w:val="single" w:sz="4" w:space="0" w:color="auto"/>
              <w:bottom w:val="single" w:sz="4" w:space="0" w:color="auto"/>
            </w:tcBorders>
            <w:shd w:val="clear" w:color="auto" w:fill="F3F9FA"/>
            <w:noWrap/>
            <w:vAlign w:val="center"/>
            <w:hideMark/>
          </w:tcPr>
          <w:p w14:paraId="2D12534B"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-0.0023 </w:t>
            </w:r>
            <w:r w:rsidRPr="00664ECE">
              <w:rPr>
                <w:rFonts w:asciiTheme="minorHAnsi" w:hAnsiTheme="minorHAnsi"/>
                <w:color w:val="000000"/>
                <w:sz w:val="16"/>
                <w:szCs w:val="16"/>
              </w:rPr>
              <w:t>(-0.0042 to -0.0013)</w:t>
            </w:r>
          </w:p>
        </w:tc>
        <w:tc>
          <w:tcPr>
            <w:tcW w:w="1068" w:type="dxa"/>
            <w:tcBorders>
              <w:top w:val="single" w:sz="4" w:space="0" w:color="auto"/>
              <w:bottom w:val="single" w:sz="4" w:space="0" w:color="auto"/>
            </w:tcBorders>
            <w:shd w:val="clear" w:color="auto" w:fill="F3F9FA"/>
            <w:noWrap/>
            <w:vAlign w:val="center"/>
            <w:hideMark/>
          </w:tcPr>
          <w:p w14:paraId="3312328C"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43C5E616" w14:textId="77777777" w:rsidTr="00D64955">
        <w:trPr>
          <w:cantSplit/>
          <w:trHeight w:val="312"/>
          <w:jc w:val="center"/>
        </w:trPr>
        <w:tc>
          <w:tcPr>
            <w:tcW w:w="2028" w:type="dxa"/>
            <w:vMerge/>
            <w:shd w:val="clear" w:color="auto" w:fill="F3F9FA"/>
            <w:noWrap/>
            <w:vAlign w:val="center"/>
          </w:tcPr>
          <w:p w14:paraId="510BD6FC"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val="restart"/>
            <w:tcBorders>
              <w:top w:val="single" w:sz="4" w:space="0" w:color="auto"/>
              <w:bottom w:val="single" w:sz="4" w:space="0" w:color="auto"/>
            </w:tcBorders>
            <w:shd w:val="clear" w:color="auto" w:fill="F3F9FA"/>
            <w:noWrap/>
            <w:vAlign w:val="center"/>
            <w:hideMark/>
          </w:tcPr>
          <w:p w14:paraId="4E4362CE"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reef subtidal</w:t>
            </w:r>
          </w:p>
        </w:tc>
        <w:tc>
          <w:tcPr>
            <w:tcW w:w="720" w:type="dxa"/>
            <w:tcBorders>
              <w:top w:val="single" w:sz="4" w:space="0" w:color="auto"/>
            </w:tcBorders>
            <w:shd w:val="clear" w:color="auto" w:fill="F3F9FA"/>
            <w:noWrap/>
            <w:vAlign w:val="center"/>
            <w:hideMark/>
          </w:tcPr>
          <w:p w14:paraId="0A3249D6"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DI3</w:t>
            </w:r>
          </w:p>
        </w:tc>
        <w:tc>
          <w:tcPr>
            <w:tcW w:w="1078" w:type="dxa"/>
            <w:tcBorders>
              <w:top w:val="single" w:sz="4" w:space="0" w:color="auto"/>
            </w:tcBorders>
            <w:shd w:val="clear" w:color="auto" w:fill="F3F9FA"/>
            <w:vAlign w:val="center"/>
          </w:tcPr>
          <w:p w14:paraId="464757C8"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2008</w:t>
            </w:r>
          </w:p>
        </w:tc>
        <w:tc>
          <w:tcPr>
            <w:tcW w:w="1078" w:type="dxa"/>
            <w:tcBorders>
              <w:top w:val="single" w:sz="4" w:space="0" w:color="auto"/>
            </w:tcBorders>
            <w:shd w:val="clear" w:color="auto" w:fill="F3F9FA"/>
            <w:vAlign w:val="center"/>
          </w:tcPr>
          <w:p w14:paraId="39FF609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152A090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36</w:t>
            </w:r>
          </w:p>
        </w:tc>
        <w:tc>
          <w:tcPr>
            <w:tcW w:w="1078" w:type="dxa"/>
            <w:tcBorders>
              <w:top w:val="single" w:sz="4" w:space="0" w:color="auto"/>
            </w:tcBorders>
            <w:shd w:val="clear" w:color="auto" w:fill="F3F9FA"/>
            <w:noWrap/>
            <w:vAlign w:val="center"/>
            <w:hideMark/>
          </w:tcPr>
          <w:p w14:paraId="08AA2366"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-0.00484</w:t>
            </w:r>
          </w:p>
        </w:tc>
        <w:tc>
          <w:tcPr>
            <w:tcW w:w="1076" w:type="dxa"/>
            <w:tcBorders>
              <w:top w:val="single" w:sz="4" w:space="0" w:color="auto"/>
            </w:tcBorders>
            <w:shd w:val="clear" w:color="auto" w:fill="F3F9FA"/>
            <w:noWrap/>
            <w:vAlign w:val="center"/>
            <w:hideMark/>
          </w:tcPr>
          <w:p w14:paraId="021CB435"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0.978</w:t>
            </w:r>
            <w:r>
              <w:rPr>
                <w:rFonts w:asciiTheme="minorHAnsi" w:hAnsiTheme="minorHAnsi"/>
                <w:color w:val="000000"/>
                <w:sz w:val="20"/>
                <w:szCs w:val="20"/>
              </w:rPr>
              <w:t>2</w:t>
            </w:r>
          </w:p>
        </w:tc>
        <w:tc>
          <w:tcPr>
            <w:tcW w:w="2475" w:type="dxa"/>
            <w:tcBorders>
              <w:top w:val="single" w:sz="4" w:space="0" w:color="auto"/>
            </w:tcBorders>
            <w:shd w:val="clear" w:color="auto" w:fill="F3F9FA"/>
            <w:noWrap/>
            <w:vAlign w:val="center"/>
            <w:hideMark/>
          </w:tcPr>
          <w:p w14:paraId="223A18EB"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0.0000</w:t>
            </w:r>
          </w:p>
        </w:tc>
        <w:tc>
          <w:tcPr>
            <w:tcW w:w="1068" w:type="dxa"/>
            <w:tcBorders>
              <w:top w:val="single" w:sz="4" w:space="0" w:color="auto"/>
            </w:tcBorders>
            <w:shd w:val="clear" w:color="auto" w:fill="F3F9FA"/>
            <w:noWrap/>
            <w:vAlign w:val="center"/>
            <w:hideMark/>
          </w:tcPr>
          <w:p w14:paraId="29DAA3AD"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5CCFBED9" w14:textId="77777777" w:rsidTr="00D64955">
        <w:trPr>
          <w:cantSplit/>
          <w:trHeight w:val="312"/>
          <w:jc w:val="center"/>
        </w:trPr>
        <w:tc>
          <w:tcPr>
            <w:tcW w:w="2028" w:type="dxa"/>
            <w:vMerge/>
            <w:shd w:val="clear" w:color="auto" w:fill="F3F9FA"/>
            <w:noWrap/>
            <w:vAlign w:val="center"/>
          </w:tcPr>
          <w:p w14:paraId="1A18A35A"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F3F9FA"/>
            <w:noWrap/>
            <w:vAlign w:val="center"/>
            <w:hideMark/>
          </w:tcPr>
          <w:p w14:paraId="3E3F6081"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shd w:val="clear" w:color="auto" w:fill="F3F9FA"/>
            <w:noWrap/>
            <w:vAlign w:val="center"/>
            <w:hideMark/>
          </w:tcPr>
          <w:p w14:paraId="2066002B"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GI3</w:t>
            </w:r>
          </w:p>
        </w:tc>
        <w:tc>
          <w:tcPr>
            <w:tcW w:w="1078" w:type="dxa"/>
            <w:shd w:val="clear" w:color="auto" w:fill="F3F9FA"/>
            <w:vAlign w:val="center"/>
          </w:tcPr>
          <w:p w14:paraId="04213A28"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2008</w:t>
            </w:r>
          </w:p>
        </w:tc>
        <w:tc>
          <w:tcPr>
            <w:tcW w:w="1078" w:type="dxa"/>
            <w:shd w:val="clear" w:color="auto" w:fill="F3F9FA"/>
            <w:vAlign w:val="center"/>
          </w:tcPr>
          <w:p w14:paraId="09C0BD6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shd w:val="clear" w:color="auto" w:fill="F3F9FA"/>
            <w:vAlign w:val="center"/>
          </w:tcPr>
          <w:p w14:paraId="422F5DC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34</w:t>
            </w:r>
          </w:p>
        </w:tc>
        <w:tc>
          <w:tcPr>
            <w:tcW w:w="1078" w:type="dxa"/>
            <w:shd w:val="clear" w:color="auto" w:fill="F3F9FA"/>
            <w:noWrap/>
            <w:vAlign w:val="center"/>
            <w:hideMark/>
          </w:tcPr>
          <w:p w14:paraId="2E2D861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-0.472</w:t>
            </w:r>
          </w:p>
        </w:tc>
        <w:tc>
          <w:tcPr>
            <w:tcW w:w="1076" w:type="dxa"/>
            <w:shd w:val="clear" w:color="auto" w:fill="F3F9FA"/>
            <w:noWrap/>
            <w:vAlign w:val="center"/>
            <w:hideMark/>
          </w:tcPr>
          <w:p w14:paraId="237D0DCC"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0.0001</w:t>
            </w:r>
          </w:p>
        </w:tc>
        <w:tc>
          <w:tcPr>
            <w:tcW w:w="2475" w:type="dxa"/>
            <w:shd w:val="clear" w:color="auto" w:fill="F3F9FA"/>
            <w:noWrap/>
            <w:vAlign w:val="center"/>
            <w:hideMark/>
          </w:tcPr>
          <w:p w14:paraId="0F8719DD"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-0.00830</w:t>
            </w:r>
          </w:p>
        </w:tc>
        <w:tc>
          <w:tcPr>
            <w:tcW w:w="1068" w:type="dxa"/>
            <w:shd w:val="clear" w:color="auto" w:fill="F3F9FA"/>
            <w:noWrap/>
            <w:vAlign w:val="center"/>
          </w:tcPr>
          <w:p w14:paraId="4CF7E317"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6E718A55" w14:textId="77777777" w:rsidTr="00D64955">
        <w:trPr>
          <w:cantSplit/>
          <w:trHeight w:val="312"/>
          <w:jc w:val="center"/>
        </w:trPr>
        <w:tc>
          <w:tcPr>
            <w:tcW w:w="2028" w:type="dxa"/>
            <w:vMerge/>
            <w:shd w:val="clear" w:color="auto" w:fill="F3F9FA"/>
            <w:noWrap/>
            <w:vAlign w:val="center"/>
          </w:tcPr>
          <w:p w14:paraId="28D96E57"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F3F9FA"/>
            <w:noWrap/>
            <w:vAlign w:val="center"/>
            <w:hideMark/>
          </w:tcPr>
          <w:p w14:paraId="386ABB79"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71A6EFD0"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LI2</w:t>
            </w:r>
          </w:p>
        </w:tc>
        <w:tc>
          <w:tcPr>
            <w:tcW w:w="1078" w:type="dxa"/>
            <w:tcBorders>
              <w:bottom w:val="single" w:sz="4" w:space="0" w:color="auto"/>
            </w:tcBorders>
            <w:shd w:val="clear" w:color="auto" w:fill="F3F9FA"/>
            <w:vAlign w:val="center"/>
          </w:tcPr>
          <w:p w14:paraId="2C4AFD1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2008</w:t>
            </w:r>
          </w:p>
        </w:tc>
        <w:tc>
          <w:tcPr>
            <w:tcW w:w="1078" w:type="dxa"/>
            <w:tcBorders>
              <w:bottom w:val="single" w:sz="4" w:space="0" w:color="auto"/>
            </w:tcBorders>
            <w:shd w:val="clear" w:color="auto" w:fill="F3F9FA"/>
            <w:vAlign w:val="center"/>
          </w:tcPr>
          <w:p w14:paraId="53DD39C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68FF0F0A"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31</w:t>
            </w:r>
          </w:p>
        </w:tc>
        <w:tc>
          <w:tcPr>
            <w:tcW w:w="1078" w:type="dxa"/>
            <w:tcBorders>
              <w:bottom w:val="single" w:sz="4" w:space="0" w:color="auto"/>
            </w:tcBorders>
            <w:shd w:val="clear" w:color="auto" w:fill="F3F9FA"/>
            <w:noWrap/>
            <w:vAlign w:val="center"/>
            <w:hideMark/>
          </w:tcPr>
          <w:p w14:paraId="1BF0DADC"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-0.255</w:t>
            </w:r>
          </w:p>
        </w:tc>
        <w:tc>
          <w:tcPr>
            <w:tcW w:w="1076" w:type="dxa"/>
            <w:tcBorders>
              <w:bottom w:val="single" w:sz="4" w:space="0" w:color="auto"/>
            </w:tcBorders>
            <w:shd w:val="clear" w:color="auto" w:fill="F3F9FA"/>
            <w:noWrap/>
            <w:vAlign w:val="center"/>
            <w:hideMark/>
          </w:tcPr>
          <w:p w14:paraId="0208F6CD"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0.0466</w:t>
            </w:r>
          </w:p>
        </w:tc>
        <w:tc>
          <w:tcPr>
            <w:tcW w:w="2475" w:type="dxa"/>
            <w:tcBorders>
              <w:bottom w:val="single" w:sz="4" w:space="0" w:color="auto"/>
            </w:tcBorders>
            <w:shd w:val="clear" w:color="auto" w:fill="F3F9FA"/>
            <w:noWrap/>
            <w:vAlign w:val="center"/>
            <w:hideMark/>
          </w:tcPr>
          <w:p w14:paraId="2CF0D7E3"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-0.0008 </w:t>
            </w:r>
            <w:r w:rsidRPr="00664ECE">
              <w:rPr>
                <w:rFonts w:asciiTheme="minorHAnsi" w:hAnsiTheme="minorHAnsi"/>
                <w:color w:val="000000"/>
                <w:sz w:val="16"/>
                <w:szCs w:val="16"/>
              </w:rPr>
              <w:t>(-0.0018 to 0.0000)</w:t>
            </w:r>
          </w:p>
        </w:tc>
        <w:tc>
          <w:tcPr>
            <w:tcW w:w="1068" w:type="dxa"/>
            <w:tcBorders>
              <w:bottom w:val="single" w:sz="4" w:space="0" w:color="auto"/>
            </w:tcBorders>
            <w:shd w:val="clear" w:color="auto" w:fill="F3F9FA"/>
            <w:noWrap/>
            <w:vAlign w:val="center"/>
            <w:hideMark/>
          </w:tcPr>
          <w:p w14:paraId="2E96E8E6"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6AD0E1A7" w14:textId="77777777" w:rsidTr="00D64955">
        <w:trPr>
          <w:cantSplit/>
          <w:trHeight w:val="312"/>
          <w:jc w:val="center"/>
        </w:trPr>
        <w:tc>
          <w:tcPr>
            <w:tcW w:w="2028" w:type="dxa"/>
            <w:tcBorders>
              <w:bottom w:val="single" w:sz="4" w:space="0" w:color="auto"/>
            </w:tcBorders>
            <w:shd w:val="clear" w:color="auto" w:fill="F3F9FA"/>
            <w:noWrap/>
            <w:vAlign w:val="center"/>
          </w:tcPr>
          <w:p w14:paraId="14D4C35C"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D9D9D9" w:themeFill="background1" w:themeFillShade="D9"/>
            <w:noWrap/>
            <w:vAlign w:val="center"/>
          </w:tcPr>
          <w:p w14:paraId="41576A3A" w14:textId="77777777" w:rsidR="00306220" w:rsidRPr="00625DAC" w:rsidRDefault="00306220" w:rsidP="00D64955">
            <w:pPr>
              <w:pStyle w:val="BodyText"/>
              <w:spacing w:after="0"/>
              <w:jc w:val="left"/>
              <w:rPr>
                <w:rFonts w:asciiTheme="minorHAnsi" w:hAnsiTheme="minorHAnsi"/>
                <w:color w:val="000000"/>
                <w:sz w:val="20"/>
                <w:szCs w:val="20"/>
              </w:rPr>
            </w:pPr>
            <w:r>
              <w:rPr>
                <w:rFonts w:asciiTheme="minorHAnsi" w:hAnsiTheme="minorHAnsi"/>
                <w:color w:val="000000"/>
                <w:sz w:val="20"/>
                <w:szCs w:val="2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519309B0" w14:textId="77777777" w:rsidR="00306220" w:rsidRPr="005B7EF2" w:rsidRDefault="00306220" w:rsidP="00D64955">
            <w:pPr>
              <w:pStyle w:val="BodyText"/>
              <w:spacing w:after="0"/>
              <w:jc w:val="center"/>
              <w:rPr>
                <w:rFonts w:asciiTheme="minorHAnsi" w:hAnsiTheme="minorHAnsi"/>
                <w:b/>
                <w:color w:val="000000"/>
                <w:sz w:val="20"/>
                <w:szCs w:val="20"/>
              </w:rPr>
            </w:pPr>
          </w:p>
        </w:tc>
        <w:tc>
          <w:tcPr>
            <w:tcW w:w="1078" w:type="dxa"/>
            <w:tcBorders>
              <w:top w:val="single" w:sz="4" w:space="0" w:color="auto"/>
              <w:bottom w:val="single" w:sz="4" w:space="0" w:color="auto"/>
            </w:tcBorders>
            <w:shd w:val="clear" w:color="auto" w:fill="D9D9D9" w:themeFill="background1" w:themeFillShade="D9"/>
            <w:vAlign w:val="center"/>
          </w:tcPr>
          <w:p w14:paraId="10E77DE1"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2000</w:t>
            </w:r>
          </w:p>
        </w:tc>
        <w:tc>
          <w:tcPr>
            <w:tcW w:w="1078" w:type="dxa"/>
            <w:tcBorders>
              <w:top w:val="single" w:sz="4" w:space="0" w:color="auto"/>
              <w:bottom w:val="single" w:sz="4" w:space="0" w:color="auto"/>
            </w:tcBorders>
            <w:shd w:val="clear" w:color="auto" w:fill="D9D9D9" w:themeFill="background1" w:themeFillShade="D9"/>
            <w:vAlign w:val="center"/>
          </w:tcPr>
          <w:p w14:paraId="1BD4EB85"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D9D9D9" w:themeFill="background1" w:themeFillShade="D9"/>
            <w:vAlign w:val="center"/>
          </w:tcPr>
          <w:p w14:paraId="525C0B6E"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71</w:t>
            </w:r>
          </w:p>
        </w:tc>
        <w:tc>
          <w:tcPr>
            <w:tcW w:w="1078" w:type="dxa"/>
            <w:tcBorders>
              <w:top w:val="single" w:sz="4" w:space="0" w:color="auto"/>
              <w:bottom w:val="single" w:sz="4" w:space="0" w:color="auto"/>
            </w:tcBorders>
            <w:shd w:val="clear" w:color="auto" w:fill="D9D9D9" w:themeFill="background1" w:themeFillShade="D9"/>
            <w:noWrap/>
            <w:vAlign w:val="bottom"/>
          </w:tcPr>
          <w:p w14:paraId="302F6B0E" w14:textId="77777777" w:rsidR="00306220" w:rsidRPr="002D058B"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-0.237</w:t>
            </w:r>
          </w:p>
        </w:tc>
        <w:tc>
          <w:tcPr>
            <w:tcW w:w="1076" w:type="dxa"/>
            <w:tcBorders>
              <w:top w:val="single" w:sz="4" w:space="0" w:color="auto"/>
              <w:bottom w:val="single" w:sz="4" w:space="0" w:color="auto"/>
            </w:tcBorders>
            <w:shd w:val="clear" w:color="auto" w:fill="D9D9D9" w:themeFill="background1" w:themeFillShade="D9"/>
            <w:noWrap/>
            <w:vAlign w:val="bottom"/>
          </w:tcPr>
          <w:p w14:paraId="262AC7BD" w14:textId="77777777" w:rsidR="00306220" w:rsidRPr="002D058B"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0.0001</w:t>
            </w:r>
          </w:p>
        </w:tc>
        <w:tc>
          <w:tcPr>
            <w:tcW w:w="2475" w:type="dxa"/>
            <w:tcBorders>
              <w:top w:val="single" w:sz="4" w:space="0" w:color="auto"/>
              <w:bottom w:val="single" w:sz="4" w:space="0" w:color="auto"/>
            </w:tcBorders>
            <w:shd w:val="clear" w:color="auto" w:fill="D9D9D9" w:themeFill="background1" w:themeFillShade="D9"/>
            <w:noWrap/>
            <w:vAlign w:val="bottom"/>
          </w:tcPr>
          <w:p w14:paraId="523D545B" w14:textId="77777777" w:rsidR="00306220" w:rsidRPr="002D058B" w:rsidRDefault="00306220" w:rsidP="00D64955">
            <w:pPr>
              <w:pStyle w:val="BodyText"/>
              <w:spacing w:after="0"/>
              <w:jc w:val="center"/>
              <w:rPr>
                <w:rFonts w:asciiTheme="minorHAnsi" w:hAnsiTheme="minorHAnsi"/>
                <w:color w:val="000000"/>
                <w:sz w:val="20"/>
                <w:szCs w:val="20"/>
              </w:rPr>
            </w:pPr>
            <w:r w:rsidRPr="002D058B">
              <w:rPr>
                <w:rFonts w:asciiTheme="minorHAnsi" w:hAnsiTheme="minorHAnsi"/>
                <w:b/>
                <w:color w:val="000000"/>
                <w:sz w:val="20"/>
                <w:szCs w:val="20"/>
              </w:rPr>
              <w:t>-0.0011</w:t>
            </w:r>
            <w:r>
              <w:rPr>
                <w:rFonts w:asciiTheme="minorHAnsi" w:hAnsiTheme="minorHAnsi"/>
                <w:color w:val="000000"/>
                <w:sz w:val="20"/>
                <w:szCs w:val="20"/>
              </w:rPr>
              <w:t xml:space="preserve"> </w:t>
            </w:r>
            <w:r w:rsidRPr="000978B6">
              <w:rPr>
                <w:rFonts w:asciiTheme="minorHAnsi" w:hAnsiTheme="minorHAnsi"/>
                <w:color w:val="000000"/>
                <w:sz w:val="16"/>
                <w:szCs w:val="16"/>
              </w:rPr>
              <w:t>(</w:t>
            </w:r>
            <w:r w:rsidRPr="002D058B">
              <w:rPr>
                <w:rFonts w:asciiTheme="minorHAnsi" w:hAnsiTheme="minorHAnsi"/>
                <w:color w:val="000000"/>
                <w:sz w:val="16"/>
                <w:szCs w:val="16"/>
              </w:rPr>
              <w:t>-0.001</w:t>
            </w:r>
            <w:r w:rsidRPr="000978B6">
              <w:rPr>
                <w:rFonts w:asciiTheme="minorHAnsi" w:hAnsiTheme="minorHAnsi"/>
                <w:color w:val="000000"/>
                <w:sz w:val="16"/>
                <w:szCs w:val="16"/>
              </w:rPr>
              <w:t xml:space="preserve">8 to </w:t>
            </w:r>
            <w:r w:rsidRPr="002D058B">
              <w:rPr>
                <w:rFonts w:asciiTheme="minorHAnsi" w:hAnsiTheme="minorHAnsi"/>
                <w:color w:val="000000"/>
                <w:sz w:val="16"/>
                <w:szCs w:val="16"/>
              </w:rPr>
              <w:t>-0.000</w:t>
            </w:r>
            <w:r w:rsidRPr="000978B6">
              <w:rPr>
                <w:rFonts w:asciiTheme="minorHAnsi" w:hAnsiTheme="minorHAnsi"/>
                <w:color w:val="000000"/>
                <w:sz w:val="16"/>
                <w:szCs w:val="16"/>
              </w:rPr>
              <w:t>6)</w:t>
            </w:r>
          </w:p>
        </w:tc>
        <w:tc>
          <w:tcPr>
            <w:tcW w:w="1068" w:type="dxa"/>
            <w:tcBorders>
              <w:top w:val="single" w:sz="4" w:space="0" w:color="auto"/>
              <w:bottom w:val="single" w:sz="4" w:space="0" w:color="auto"/>
            </w:tcBorders>
            <w:shd w:val="clear" w:color="auto" w:fill="D9D9D9" w:themeFill="background1" w:themeFillShade="D9"/>
            <w:noWrap/>
            <w:vAlign w:val="center"/>
          </w:tcPr>
          <w:p w14:paraId="15DA17D4"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5DC89468" w14:textId="77777777" w:rsidTr="00D64955">
        <w:trPr>
          <w:cantSplit/>
          <w:trHeight w:val="312"/>
          <w:jc w:val="center"/>
        </w:trPr>
        <w:tc>
          <w:tcPr>
            <w:tcW w:w="2028" w:type="dxa"/>
            <w:vMerge w:val="restart"/>
            <w:tcBorders>
              <w:top w:val="single" w:sz="4" w:space="0" w:color="auto"/>
            </w:tcBorders>
            <w:shd w:val="clear" w:color="auto" w:fill="E7F3F4"/>
            <w:noWrap/>
            <w:vAlign w:val="center"/>
            <w:hideMark/>
          </w:tcPr>
          <w:p w14:paraId="6A6DA200"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Burdekin</w:t>
            </w:r>
          </w:p>
        </w:tc>
        <w:tc>
          <w:tcPr>
            <w:tcW w:w="1874" w:type="dxa"/>
            <w:vMerge w:val="restart"/>
            <w:tcBorders>
              <w:top w:val="single" w:sz="4" w:space="0" w:color="auto"/>
            </w:tcBorders>
            <w:shd w:val="clear" w:color="auto" w:fill="E7F3F4"/>
            <w:noWrap/>
            <w:vAlign w:val="center"/>
            <w:hideMark/>
          </w:tcPr>
          <w:p w14:paraId="0AECCE38"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coastal intertidal</w:t>
            </w:r>
          </w:p>
        </w:tc>
        <w:tc>
          <w:tcPr>
            <w:tcW w:w="720" w:type="dxa"/>
            <w:tcBorders>
              <w:top w:val="single" w:sz="4" w:space="0" w:color="auto"/>
            </w:tcBorders>
            <w:shd w:val="clear" w:color="auto" w:fill="E7F3F4"/>
            <w:noWrap/>
            <w:vAlign w:val="center"/>
            <w:hideMark/>
          </w:tcPr>
          <w:p w14:paraId="39AFE34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BB1</w:t>
            </w:r>
          </w:p>
        </w:tc>
        <w:tc>
          <w:tcPr>
            <w:tcW w:w="1078" w:type="dxa"/>
            <w:tcBorders>
              <w:top w:val="single" w:sz="4" w:space="0" w:color="auto"/>
            </w:tcBorders>
            <w:shd w:val="clear" w:color="auto" w:fill="E7F3F4"/>
            <w:vAlign w:val="center"/>
          </w:tcPr>
          <w:p w14:paraId="2BAE1533"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2002</w:t>
            </w:r>
          </w:p>
        </w:tc>
        <w:tc>
          <w:tcPr>
            <w:tcW w:w="1078" w:type="dxa"/>
            <w:tcBorders>
              <w:top w:val="single" w:sz="4" w:space="0" w:color="auto"/>
            </w:tcBorders>
            <w:shd w:val="clear" w:color="auto" w:fill="E7F3F4"/>
            <w:vAlign w:val="center"/>
          </w:tcPr>
          <w:p w14:paraId="506FFE2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E7F3F4"/>
            <w:vAlign w:val="center"/>
          </w:tcPr>
          <w:p w14:paraId="7376C41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56</w:t>
            </w:r>
          </w:p>
        </w:tc>
        <w:tc>
          <w:tcPr>
            <w:tcW w:w="1078" w:type="dxa"/>
            <w:tcBorders>
              <w:top w:val="single" w:sz="4" w:space="0" w:color="auto"/>
            </w:tcBorders>
            <w:shd w:val="clear" w:color="auto" w:fill="E7F3F4"/>
            <w:noWrap/>
            <w:vAlign w:val="center"/>
            <w:hideMark/>
          </w:tcPr>
          <w:p w14:paraId="2E4E561E"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-0.087</w:t>
            </w:r>
          </w:p>
        </w:tc>
        <w:tc>
          <w:tcPr>
            <w:tcW w:w="1076" w:type="dxa"/>
            <w:tcBorders>
              <w:top w:val="single" w:sz="4" w:space="0" w:color="auto"/>
            </w:tcBorders>
            <w:shd w:val="clear" w:color="auto" w:fill="E7F3F4"/>
            <w:noWrap/>
            <w:vAlign w:val="center"/>
            <w:hideMark/>
          </w:tcPr>
          <w:p w14:paraId="0E4A7EC4"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0.3472</w:t>
            </w:r>
          </w:p>
        </w:tc>
        <w:tc>
          <w:tcPr>
            <w:tcW w:w="2475" w:type="dxa"/>
            <w:tcBorders>
              <w:top w:val="single" w:sz="4" w:space="0" w:color="auto"/>
            </w:tcBorders>
            <w:shd w:val="clear" w:color="auto" w:fill="E7F3F4"/>
            <w:noWrap/>
            <w:vAlign w:val="center"/>
            <w:hideMark/>
          </w:tcPr>
          <w:p w14:paraId="5AEDCBB7"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-0.0007</w:t>
            </w:r>
          </w:p>
        </w:tc>
        <w:tc>
          <w:tcPr>
            <w:tcW w:w="1068" w:type="dxa"/>
            <w:tcBorders>
              <w:top w:val="single" w:sz="4" w:space="0" w:color="auto"/>
            </w:tcBorders>
            <w:shd w:val="clear" w:color="auto" w:fill="E7F3F4"/>
            <w:noWrap/>
            <w:vAlign w:val="center"/>
          </w:tcPr>
          <w:p w14:paraId="6FAD1341"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05E993AD" w14:textId="77777777" w:rsidTr="00D64955">
        <w:trPr>
          <w:cantSplit/>
          <w:trHeight w:val="312"/>
          <w:jc w:val="center"/>
        </w:trPr>
        <w:tc>
          <w:tcPr>
            <w:tcW w:w="2028" w:type="dxa"/>
            <w:vMerge/>
            <w:shd w:val="clear" w:color="auto" w:fill="E7F3F4"/>
            <w:noWrap/>
            <w:vAlign w:val="center"/>
          </w:tcPr>
          <w:p w14:paraId="72F233EB"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E7F3F4"/>
            <w:noWrap/>
            <w:vAlign w:val="center"/>
          </w:tcPr>
          <w:p w14:paraId="50BEABEA"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shd w:val="clear" w:color="auto" w:fill="E7F3F4"/>
            <w:noWrap/>
            <w:vAlign w:val="center"/>
            <w:hideMark/>
          </w:tcPr>
          <w:p w14:paraId="3DD61F6D"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SB1</w:t>
            </w:r>
          </w:p>
        </w:tc>
        <w:tc>
          <w:tcPr>
            <w:tcW w:w="1078" w:type="dxa"/>
            <w:shd w:val="clear" w:color="auto" w:fill="E7F3F4"/>
            <w:vAlign w:val="center"/>
          </w:tcPr>
          <w:p w14:paraId="5A807642"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2001</w:t>
            </w:r>
          </w:p>
        </w:tc>
        <w:tc>
          <w:tcPr>
            <w:tcW w:w="1078" w:type="dxa"/>
            <w:shd w:val="clear" w:color="auto" w:fill="E7F3F4"/>
            <w:vAlign w:val="center"/>
          </w:tcPr>
          <w:p w14:paraId="0D459DC4"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shd w:val="clear" w:color="auto" w:fill="E7F3F4"/>
            <w:vAlign w:val="center"/>
          </w:tcPr>
          <w:p w14:paraId="42C22F3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62</w:t>
            </w:r>
          </w:p>
        </w:tc>
        <w:tc>
          <w:tcPr>
            <w:tcW w:w="1078" w:type="dxa"/>
            <w:shd w:val="clear" w:color="auto" w:fill="E7F3F4"/>
            <w:noWrap/>
            <w:vAlign w:val="center"/>
            <w:hideMark/>
          </w:tcPr>
          <w:p w14:paraId="2E9AF22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-0.101</w:t>
            </w:r>
          </w:p>
        </w:tc>
        <w:tc>
          <w:tcPr>
            <w:tcW w:w="1076" w:type="dxa"/>
            <w:shd w:val="clear" w:color="auto" w:fill="E7F3F4"/>
            <w:noWrap/>
            <w:vAlign w:val="center"/>
            <w:hideMark/>
          </w:tcPr>
          <w:p w14:paraId="0947B3F5"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0.25</w:t>
            </w:r>
            <w:r>
              <w:rPr>
                <w:rFonts w:asciiTheme="minorHAnsi" w:hAnsiTheme="minorHAnsi"/>
                <w:color w:val="000000"/>
                <w:sz w:val="20"/>
                <w:szCs w:val="20"/>
              </w:rPr>
              <w:t>10</w:t>
            </w:r>
          </w:p>
        </w:tc>
        <w:tc>
          <w:tcPr>
            <w:tcW w:w="2475" w:type="dxa"/>
            <w:shd w:val="clear" w:color="auto" w:fill="E7F3F4"/>
            <w:noWrap/>
            <w:vAlign w:val="center"/>
            <w:hideMark/>
          </w:tcPr>
          <w:p w14:paraId="1ECF7AEC"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-0.0007</w:t>
            </w:r>
          </w:p>
        </w:tc>
        <w:tc>
          <w:tcPr>
            <w:tcW w:w="1068" w:type="dxa"/>
            <w:shd w:val="clear" w:color="auto" w:fill="E7F3F4"/>
            <w:noWrap/>
            <w:vAlign w:val="center"/>
            <w:hideMark/>
          </w:tcPr>
          <w:p w14:paraId="18AB7D10"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24B43444" w14:textId="77777777" w:rsidTr="00D64955">
        <w:trPr>
          <w:cantSplit/>
          <w:trHeight w:val="312"/>
          <w:jc w:val="center"/>
        </w:trPr>
        <w:tc>
          <w:tcPr>
            <w:tcW w:w="2028" w:type="dxa"/>
            <w:vMerge/>
            <w:shd w:val="clear" w:color="auto" w:fill="E7F3F4"/>
            <w:noWrap/>
            <w:vAlign w:val="center"/>
          </w:tcPr>
          <w:p w14:paraId="6CD3048C"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E7F3F4"/>
            <w:noWrap/>
            <w:vAlign w:val="center"/>
          </w:tcPr>
          <w:p w14:paraId="7662719B"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9AD462A"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SB2</w:t>
            </w:r>
          </w:p>
        </w:tc>
        <w:tc>
          <w:tcPr>
            <w:tcW w:w="1078" w:type="dxa"/>
            <w:tcBorders>
              <w:bottom w:val="single" w:sz="4" w:space="0" w:color="auto"/>
            </w:tcBorders>
            <w:shd w:val="clear" w:color="auto" w:fill="E7F3F4"/>
            <w:vAlign w:val="center"/>
          </w:tcPr>
          <w:p w14:paraId="476980AA"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2001</w:t>
            </w:r>
          </w:p>
        </w:tc>
        <w:tc>
          <w:tcPr>
            <w:tcW w:w="1078" w:type="dxa"/>
            <w:tcBorders>
              <w:bottom w:val="single" w:sz="4" w:space="0" w:color="auto"/>
            </w:tcBorders>
            <w:shd w:val="clear" w:color="auto" w:fill="E7F3F4"/>
            <w:vAlign w:val="center"/>
          </w:tcPr>
          <w:p w14:paraId="3579D792"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E7F3F4"/>
            <w:vAlign w:val="center"/>
          </w:tcPr>
          <w:p w14:paraId="1E4FBF6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62</w:t>
            </w:r>
          </w:p>
        </w:tc>
        <w:tc>
          <w:tcPr>
            <w:tcW w:w="1078" w:type="dxa"/>
            <w:tcBorders>
              <w:bottom w:val="single" w:sz="4" w:space="0" w:color="auto"/>
            </w:tcBorders>
            <w:shd w:val="clear" w:color="auto" w:fill="E7F3F4"/>
            <w:noWrap/>
            <w:vAlign w:val="center"/>
            <w:hideMark/>
          </w:tcPr>
          <w:p w14:paraId="746E9134"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-0.268</w:t>
            </w:r>
          </w:p>
        </w:tc>
        <w:tc>
          <w:tcPr>
            <w:tcW w:w="1076" w:type="dxa"/>
            <w:tcBorders>
              <w:bottom w:val="single" w:sz="4" w:space="0" w:color="auto"/>
            </w:tcBorders>
            <w:shd w:val="clear" w:color="auto" w:fill="E7F3F4"/>
            <w:noWrap/>
            <w:vAlign w:val="center"/>
            <w:hideMark/>
          </w:tcPr>
          <w:p w14:paraId="50C58056"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0.002</w:t>
            </w:r>
            <w:r>
              <w:rPr>
                <w:rFonts w:asciiTheme="minorHAnsi" w:hAnsiTheme="minorHAnsi"/>
                <w:b/>
                <w:color w:val="000000"/>
                <w:sz w:val="20"/>
                <w:szCs w:val="20"/>
              </w:rPr>
              <w:t>2</w:t>
            </w:r>
          </w:p>
        </w:tc>
        <w:tc>
          <w:tcPr>
            <w:tcW w:w="2475" w:type="dxa"/>
            <w:tcBorders>
              <w:bottom w:val="single" w:sz="4" w:space="0" w:color="auto"/>
            </w:tcBorders>
            <w:shd w:val="clear" w:color="auto" w:fill="E7F3F4"/>
            <w:noWrap/>
            <w:vAlign w:val="center"/>
            <w:hideMark/>
          </w:tcPr>
          <w:p w14:paraId="43D9343D"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-0.0029 </w:t>
            </w:r>
            <w:r w:rsidRPr="00664ECE">
              <w:rPr>
                <w:rFonts w:asciiTheme="minorHAnsi" w:hAnsiTheme="minorHAnsi"/>
                <w:color w:val="000000"/>
                <w:sz w:val="16"/>
                <w:szCs w:val="16"/>
              </w:rPr>
              <w:t>(-0.0046 to -0.0011)</w:t>
            </w:r>
          </w:p>
        </w:tc>
        <w:tc>
          <w:tcPr>
            <w:tcW w:w="1068" w:type="dxa"/>
            <w:tcBorders>
              <w:bottom w:val="single" w:sz="4" w:space="0" w:color="auto"/>
            </w:tcBorders>
            <w:shd w:val="clear" w:color="auto" w:fill="E7F3F4"/>
            <w:noWrap/>
            <w:vAlign w:val="center"/>
            <w:hideMark/>
          </w:tcPr>
          <w:p w14:paraId="7EB5EF8F"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1DA1D8EB" w14:textId="77777777" w:rsidTr="00D64955">
        <w:trPr>
          <w:cantSplit/>
          <w:trHeight w:val="312"/>
          <w:jc w:val="center"/>
        </w:trPr>
        <w:tc>
          <w:tcPr>
            <w:tcW w:w="2028" w:type="dxa"/>
            <w:vMerge/>
            <w:shd w:val="clear" w:color="auto" w:fill="E7F3F4"/>
            <w:noWrap/>
            <w:vAlign w:val="center"/>
          </w:tcPr>
          <w:p w14:paraId="3045DD29"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shd w:val="clear" w:color="auto" w:fill="E7F3F4"/>
            <w:noWrap/>
            <w:vAlign w:val="center"/>
          </w:tcPr>
          <w:p w14:paraId="03423A2D"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E7F3F4"/>
            <w:noWrap/>
            <w:vAlign w:val="center"/>
            <w:hideMark/>
          </w:tcPr>
          <w:p w14:paraId="1EBE8061"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JR1</w:t>
            </w:r>
          </w:p>
        </w:tc>
        <w:tc>
          <w:tcPr>
            <w:tcW w:w="1078" w:type="dxa"/>
            <w:tcBorders>
              <w:top w:val="single" w:sz="4" w:space="0" w:color="auto"/>
            </w:tcBorders>
            <w:shd w:val="clear" w:color="auto" w:fill="E7F3F4"/>
            <w:vAlign w:val="center"/>
          </w:tcPr>
          <w:p w14:paraId="0D4FCD4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top w:val="single" w:sz="4" w:space="0" w:color="auto"/>
            </w:tcBorders>
            <w:shd w:val="clear" w:color="auto" w:fill="E7F3F4"/>
            <w:vAlign w:val="center"/>
          </w:tcPr>
          <w:p w14:paraId="4982E493"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E7F3F4"/>
            <w:vAlign w:val="center"/>
          </w:tcPr>
          <w:p w14:paraId="3D87B5B1"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11</w:t>
            </w:r>
          </w:p>
        </w:tc>
        <w:tc>
          <w:tcPr>
            <w:tcW w:w="1078" w:type="dxa"/>
            <w:tcBorders>
              <w:top w:val="single" w:sz="4" w:space="0" w:color="auto"/>
            </w:tcBorders>
            <w:shd w:val="clear" w:color="auto" w:fill="E7F3F4"/>
            <w:noWrap/>
            <w:vAlign w:val="center"/>
            <w:hideMark/>
          </w:tcPr>
          <w:p w14:paraId="1A521C6C"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0.527</w:t>
            </w:r>
          </w:p>
        </w:tc>
        <w:tc>
          <w:tcPr>
            <w:tcW w:w="1076" w:type="dxa"/>
            <w:tcBorders>
              <w:top w:val="single" w:sz="4" w:space="0" w:color="auto"/>
            </w:tcBorders>
            <w:shd w:val="clear" w:color="auto" w:fill="E7F3F4"/>
            <w:noWrap/>
            <w:vAlign w:val="center"/>
            <w:hideMark/>
          </w:tcPr>
          <w:p w14:paraId="5B191BE5"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0.029</w:t>
            </w:r>
            <w:r>
              <w:rPr>
                <w:rFonts w:asciiTheme="minorHAnsi" w:hAnsiTheme="minorHAnsi"/>
                <w:b/>
                <w:color w:val="000000"/>
                <w:sz w:val="20"/>
                <w:szCs w:val="20"/>
              </w:rPr>
              <w:t>3</w:t>
            </w:r>
          </w:p>
        </w:tc>
        <w:tc>
          <w:tcPr>
            <w:tcW w:w="2475" w:type="dxa"/>
            <w:tcBorders>
              <w:top w:val="single" w:sz="4" w:space="0" w:color="auto"/>
            </w:tcBorders>
            <w:shd w:val="clear" w:color="auto" w:fill="E7F3F4"/>
            <w:noWrap/>
            <w:vAlign w:val="center"/>
            <w:hideMark/>
          </w:tcPr>
          <w:p w14:paraId="6D501706"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0.0292 </w:t>
            </w:r>
            <w:r w:rsidRPr="00664ECE">
              <w:rPr>
                <w:rFonts w:asciiTheme="minorHAnsi" w:hAnsiTheme="minorHAnsi"/>
                <w:color w:val="000000"/>
                <w:sz w:val="16"/>
                <w:szCs w:val="16"/>
              </w:rPr>
              <w:t>(0.0144 to 0.0677)</w:t>
            </w:r>
          </w:p>
        </w:tc>
        <w:tc>
          <w:tcPr>
            <w:tcW w:w="1068" w:type="dxa"/>
            <w:tcBorders>
              <w:top w:val="single" w:sz="4" w:space="0" w:color="auto"/>
            </w:tcBorders>
            <w:shd w:val="clear" w:color="auto" w:fill="E7F3F4"/>
            <w:noWrap/>
            <w:vAlign w:val="center"/>
            <w:hideMark/>
          </w:tcPr>
          <w:p w14:paraId="34904488"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increase</w:t>
            </w:r>
          </w:p>
        </w:tc>
      </w:tr>
      <w:tr w:rsidR="00306220" w:rsidRPr="00625DAC" w14:paraId="0792FBEA" w14:textId="77777777" w:rsidTr="00D64955">
        <w:trPr>
          <w:cantSplit/>
          <w:trHeight w:val="312"/>
          <w:jc w:val="center"/>
        </w:trPr>
        <w:tc>
          <w:tcPr>
            <w:tcW w:w="2028" w:type="dxa"/>
            <w:vMerge/>
            <w:shd w:val="clear" w:color="auto" w:fill="E7F3F4"/>
            <w:noWrap/>
            <w:vAlign w:val="center"/>
          </w:tcPr>
          <w:p w14:paraId="650B7C19"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04A4A4ED"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B57C368"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JR2</w:t>
            </w:r>
          </w:p>
        </w:tc>
        <w:tc>
          <w:tcPr>
            <w:tcW w:w="1078" w:type="dxa"/>
            <w:tcBorders>
              <w:bottom w:val="single" w:sz="4" w:space="0" w:color="auto"/>
            </w:tcBorders>
            <w:shd w:val="clear" w:color="auto" w:fill="E7F3F4"/>
            <w:vAlign w:val="center"/>
          </w:tcPr>
          <w:p w14:paraId="30F0462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2012</w:t>
            </w:r>
          </w:p>
        </w:tc>
        <w:tc>
          <w:tcPr>
            <w:tcW w:w="1078" w:type="dxa"/>
            <w:tcBorders>
              <w:bottom w:val="single" w:sz="4" w:space="0" w:color="auto"/>
            </w:tcBorders>
            <w:shd w:val="clear" w:color="auto" w:fill="E7F3F4"/>
            <w:vAlign w:val="center"/>
          </w:tcPr>
          <w:p w14:paraId="0CC0D43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E7F3F4"/>
            <w:vAlign w:val="center"/>
          </w:tcPr>
          <w:p w14:paraId="5C99E75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11</w:t>
            </w:r>
          </w:p>
        </w:tc>
        <w:tc>
          <w:tcPr>
            <w:tcW w:w="1078" w:type="dxa"/>
            <w:tcBorders>
              <w:bottom w:val="single" w:sz="4" w:space="0" w:color="auto"/>
            </w:tcBorders>
            <w:shd w:val="clear" w:color="auto" w:fill="E7F3F4"/>
            <w:noWrap/>
            <w:vAlign w:val="center"/>
            <w:hideMark/>
          </w:tcPr>
          <w:p w14:paraId="174DF37E"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0.709</w:t>
            </w:r>
          </w:p>
        </w:tc>
        <w:tc>
          <w:tcPr>
            <w:tcW w:w="1076" w:type="dxa"/>
            <w:tcBorders>
              <w:bottom w:val="single" w:sz="4" w:space="0" w:color="auto"/>
            </w:tcBorders>
            <w:shd w:val="clear" w:color="auto" w:fill="E7F3F4"/>
            <w:noWrap/>
            <w:vAlign w:val="center"/>
            <w:hideMark/>
          </w:tcPr>
          <w:p w14:paraId="2482E34B"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0.003</w:t>
            </w:r>
            <w:r>
              <w:rPr>
                <w:rFonts w:asciiTheme="minorHAnsi" w:hAnsiTheme="minorHAnsi"/>
                <w:b/>
                <w:color w:val="000000"/>
                <w:sz w:val="20"/>
                <w:szCs w:val="20"/>
              </w:rPr>
              <w:t>1</w:t>
            </w:r>
          </w:p>
        </w:tc>
        <w:tc>
          <w:tcPr>
            <w:tcW w:w="2475" w:type="dxa"/>
            <w:tcBorders>
              <w:bottom w:val="single" w:sz="4" w:space="0" w:color="auto"/>
            </w:tcBorders>
            <w:shd w:val="clear" w:color="auto" w:fill="E7F3F4"/>
            <w:noWrap/>
            <w:vAlign w:val="center"/>
            <w:hideMark/>
          </w:tcPr>
          <w:p w14:paraId="4C5688C4"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0.0327 </w:t>
            </w:r>
            <w:r w:rsidRPr="00664ECE">
              <w:rPr>
                <w:rFonts w:asciiTheme="minorHAnsi" w:hAnsiTheme="minorHAnsi"/>
                <w:color w:val="000000"/>
                <w:sz w:val="16"/>
                <w:szCs w:val="16"/>
              </w:rPr>
              <w:t>(0.0200 to 0.0585)</w:t>
            </w:r>
          </w:p>
        </w:tc>
        <w:tc>
          <w:tcPr>
            <w:tcW w:w="1068" w:type="dxa"/>
            <w:tcBorders>
              <w:bottom w:val="single" w:sz="4" w:space="0" w:color="auto"/>
            </w:tcBorders>
            <w:shd w:val="clear" w:color="auto" w:fill="E7F3F4"/>
            <w:noWrap/>
            <w:vAlign w:val="center"/>
            <w:hideMark/>
          </w:tcPr>
          <w:p w14:paraId="2EC99CD9"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increase</w:t>
            </w:r>
          </w:p>
        </w:tc>
      </w:tr>
      <w:tr w:rsidR="00306220" w:rsidRPr="00625DAC" w14:paraId="2A7F627E" w14:textId="77777777" w:rsidTr="00D64955">
        <w:trPr>
          <w:cantSplit/>
          <w:trHeight w:val="312"/>
          <w:jc w:val="center"/>
        </w:trPr>
        <w:tc>
          <w:tcPr>
            <w:tcW w:w="2028" w:type="dxa"/>
            <w:vMerge/>
            <w:shd w:val="clear" w:color="auto" w:fill="E7F3F4"/>
            <w:noWrap/>
            <w:vAlign w:val="center"/>
          </w:tcPr>
          <w:p w14:paraId="2CD6F3A3"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val="restart"/>
            <w:tcBorders>
              <w:top w:val="single" w:sz="4" w:space="0" w:color="auto"/>
            </w:tcBorders>
            <w:shd w:val="clear" w:color="auto" w:fill="E7F3F4"/>
            <w:noWrap/>
            <w:vAlign w:val="center"/>
            <w:hideMark/>
          </w:tcPr>
          <w:p w14:paraId="4D4D6D76" w14:textId="77777777" w:rsidR="00306220" w:rsidRPr="00625DAC" w:rsidRDefault="00306220"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reef intertidal</w:t>
            </w:r>
          </w:p>
        </w:tc>
        <w:tc>
          <w:tcPr>
            <w:tcW w:w="720" w:type="dxa"/>
            <w:tcBorders>
              <w:top w:val="single" w:sz="4" w:space="0" w:color="auto"/>
            </w:tcBorders>
            <w:shd w:val="clear" w:color="auto" w:fill="E7F3F4"/>
            <w:noWrap/>
            <w:vAlign w:val="center"/>
            <w:hideMark/>
          </w:tcPr>
          <w:p w14:paraId="2E6D1904"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MI1</w:t>
            </w:r>
          </w:p>
        </w:tc>
        <w:tc>
          <w:tcPr>
            <w:tcW w:w="1078" w:type="dxa"/>
            <w:tcBorders>
              <w:top w:val="single" w:sz="4" w:space="0" w:color="auto"/>
            </w:tcBorders>
            <w:shd w:val="clear" w:color="auto" w:fill="E7F3F4"/>
            <w:vAlign w:val="center"/>
          </w:tcPr>
          <w:p w14:paraId="2A657D6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top w:val="single" w:sz="4" w:space="0" w:color="auto"/>
            </w:tcBorders>
            <w:shd w:val="clear" w:color="auto" w:fill="E7F3F4"/>
            <w:vAlign w:val="center"/>
          </w:tcPr>
          <w:p w14:paraId="1289A9A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E7F3F4"/>
            <w:vAlign w:val="center"/>
          </w:tcPr>
          <w:p w14:paraId="463EF49D"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48</w:t>
            </w:r>
          </w:p>
        </w:tc>
        <w:tc>
          <w:tcPr>
            <w:tcW w:w="1078" w:type="dxa"/>
            <w:tcBorders>
              <w:top w:val="single" w:sz="4" w:space="0" w:color="auto"/>
            </w:tcBorders>
            <w:shd w:val="clear" w:color="auto" w:fill="E7F3F4"/>
            <w:noWrap/>
            <w:vAlign w:val="center"/>
            <w:hideMark/>
          </w:tcPr>
          <w:p w14:paraId="783B0FA9"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-0.239</w:t>
            </w:r>
          </w:p>
        </w:tc>
        <w:tc>
          <w:tcPr>
            <w:tcW w:w="1076" w:type="dxa"/>
            <w:tcBorders>
              <w:top w:val="single" w:sz="4" w:space="0" w:color="auto"/>
            </w:tcBorders>
            <w:shd w:val="clear" w:color="auto" w:fill="E7F3F4"/>
            <w:noWrap/>
            <w:vAlign w:val="center"/>
            <w:hideMark/>
          </w:tcPr>
          <w:p w14:paraId="0CD4C46D"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0.0168</w:t>
            </w:r>
          </w:p>
        </w:tc>
        <w:tc>
          <w:tcPr>
            <w:tcW w:w="2475" w:type="dxa"/>
            <w:tcBorders>
              <w:top w:val="single" w:sz="4" w:space="0" w:color="auto"/>
            </w:tcBorders>
            <w:shd w:val="clear" w:color="auto" w:fill="E7F3F4"/>
            <w:noWrap/>
            <w:vAlign w:val="center"/>
            <w:hideMark/>
          </w:tcPr>
          <w:p w14:paraId="59805127"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-0.0034 </w:t>
            </w:r>
            <w:r w:rsidRPr="00664ECE">
              <w:rPr>
                <w:rFonts w:asciiTheme="minorHAnsi" w:hAnsiTheme="minorHAnsi"/>
                <w:color w:val="000000"/>
                <w:sz w:val="16"/>
                <w:szCs w:val="16"/>
              </w:rPr>
              <w:t>(-0.0061 to -0.0007)</w:t>
            </w:r>
          </w:p>
        </w:tc>
        <w:tc>
          <w:tcPr>
            <w:tcW w:w="1068" w:type="dxa"/>
            <w:tcBorders>
              <w:top w:val="single" w:sz="4" w:space="0" w:color="auto"/>
            </w:tcBorders>
            <w:shd w:val="clear" w:color="auto" w:fill="E7F3F4"/>
            <w:noWrap/>
            <w:vAlign w:val="center"/>
            <w:hideMark/>
          </w:tcPr>
          <w:p w14:paraId="2AB630EB"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306220" w:rsidRPr="00625DAC" w14:paraId="5ECC5BD1" w14:textId="77777777" w:rsidTr="00D64955">
        <w:trPr>
          <w:cantSplit/>
          <w:trHeight w:val="312"/>
          <w:jc w:val="center"/>
        </w:trPr>
        <w:tc>
          <w:tcPr>
            <w:tcW w:w="2028" w:type="dxa"/>
            <w:vMerge/>
            <w:shd w:val="clear" w:color="auto" w:fill="E7F3F4"/>
            <w:noWrap/>
            <w:vAlign w:val="center"/>
          </w:tcPr>
          <w:p w14:paraId="73F23B4F"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vMerge/>
            <w:tcBorders>
              <w:bottom w:val="single" w:sz="4" w:space="0" w:color="auto"/>
            </w:tcBorders>
            <w:shd w:val="clear" w:color="auto" w:fill="E7F3F4"/>
            <w:noWrap/>
            <w:vAlign w:val="center"/>
          </w:tcPr>
          <w:p w14:paraId="2EDA471A" w14:textId="77777777" w:rsidR="00306220" w:rsidRPr="00625DAC" w:rsidRDefault="00306220"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06E67E99"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MI2</w:t>
            </w:r>
          </w:p>
        </w:tc>
        <w:tc>
          <w:tcPr>
            <w:tcW w:w="1078" w:type="dxa"/>
            <w:tcBorders>
              <w:bottom w:val="single" w:sz="4" w:space="0" w:color="auto"/>
            </w:tcBorders>
            <w:shd w:val="clear" w:color="auto" w:fill="E7F3F4"/>
            <w:vAlign w:val="center"/>
          </w:tcPr>
          <w:p w14:paraId="5393785E"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bottom w:val="single" w:sz="4" w:space="0" w:color="auto"/>
            </w:tcBorders>
            <w:shd w:val="clear" w:color="auto" w:fill="E7F3F4"/>
            <w:vAlign w:val="center"/>
          </w:tcPr>
          <w:p w14:paraId="5B7D7E3F"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E7F3F4"/>
            <w:vAlign w:val="center"/>
          </w:tcPr>
          <w:p w14:paraId="78611764"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46</w:t>
            </w:r>
          </w:p>
        </w:tc>
        <w:tc>
          <w:tcPr>
            <w:tcW w:w="1078" w:type="dxa"/>
            <w:tcBorders>
              <w:bottom w:val="single" w:sz="4" w:space="0" w:color="auto"/>
            </w:tcBorders>
            <w:shd w:val="clear" w:color="auto" w:fill="E7F3F4"/>
            <w:noWrap/>
            <w:vAlign w:val="center"/>
            <w:hideMark/>
          </w:tcPr>
          <w:p w14:paraId="3FCB55BC"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0.0164</w:t>
            </w:r>
          </w:p>
        </w:tc>
        <w:tc>
          <w:tcPr>
            <w:tcW w:w="1076" w:type="dxa"/>
            <w:tcBorders>
              <w:bottom w:val="single" w:sz="4" w:space="0" w:color="auto"/>
            </w:tcBorders>
            <w:shd w:val="clear" w:color="auto" w:fill="E7F3F4"/>
            <w:noWrap/>
            <w:vAlign w:val="center"/>
            <w:hideMark/>
          </w:tcPr>
          <w:p w14:paraId="76A4D141" w14:textId="77777777" w:rsidR="00306220" w:rsidRPr="00625DAC" w:rsidRDefault="00306220"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0.879</w:t>
            </w:r>
            <w:r>
              <w:rPr>
                <w:rFonts w:asciiTheme="minorHAnsi" w:hAnsiTheme="minorHAnsi"/>
                <w:color w:val="000000"/>
                <w:sz w:val="20"/>
                <w:szCs w:val="20"/>
              </w:rPr>
              <w:t>6</w:t>
            </w:r>
          </w:p>
        </w:tc>
        <w:tc>
          <w:tcPr>
            <w:tcW w:w="2475" w:type="dxa"/>
            <w:tcBorders>
              <w:bottom w:val="single" w:sz="4" w:space="0" w:color="auto"/>
            </w:tcBorders>
            <w:shd w:val="clear" w:color="auto" w:fill="E7F3F4"/>
            <w:noWrap/>
            <w:vAlign w:val="center"/>
            <w:hideMark/>
          </w:tcPr>
          <w:p w14:paraId="2BFCA127" w14:textId="77777777" w:rsidR="00306220" w:rsidRPr="00F64697"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0.0003</w:t>
            </w:r>
          </w:p>
        </w:tc>
        <w:tc>
          <w:tcPr>
            <w:tcW w:w="1068" w:type="dxa"/>
            <w:tcBorders>
              <w:bottom w:val="single" w:sz="4" w:space="0" w:color="auto"/>
            </w:tcBorders>
            <w:shd w:val="clear" w:color="auto" w:fill="E7F3F4"/>
            <w:noWrap/>
            <w:vAlign w:val="center"/>
            <w:hideMark/>
          </w:tcPr>
          <w:p w14:paraId="15BF166F" w14:textId="77777777" w:rsidR="00306220" w:rsidRPr="00625DAC"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306220" w:rsidRPr="00625DAC" w14:paraId="5B2413ED" w14:textId="77777777" w:rsidTr="00D64955">
        <w:trPr>
          <w:cantSplit/>
          <w:trHeight w:val="312"/>
          <w:jc w:val="center"/>
        </w:trPr>
        <w:tc>
          <w:tcPr>
            <w:tcW w:w="2028" w:type="dxa"/>
            <w:vMerge/>
            <w:shd w:val="clear" w:color="auto" w:fill="E7F3F4"/>
            <w:noWrap/>
            <w:vAlign w:val="center"/>
          </w:tcPr>
          <w:p w14:paraId="60EB434E"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E7F3F4"/>
            <w:noWrap/>
            <w:vAlign w:val="center"/>
          </w:tcPr>
          <w:p w14:paraId="3C81F422" w14:textId="77777777" w:rsidR="00306220" w:rsidRPr="00625DAC" w:rsidRDefault="00306220" w:rsidP="00D64955">
            <w:pPr>
              <w:pStyle w:val="BodyText"/>
              <w:spacing w:after="0"/>
              <w:jc w:val="left"/>
              <w:rPr>
                <w:rFonts w:asciiTheme="minorHAnsi" w:hAnsiTheme="minorHAnsi"/>
                <w:color w:val="000000"/>
                <w:sz w:val="20"/>
                <w:szCs w:val="20"/>
              </w:rPr>
            </w:pPr>
            <w:r>
              <w:rPr>
                <w:rFonts w:asciiTheme="minorHAnsi" w:hAnsiTheme="minorHAnsi"/>
                <w:color w:val="000000"/>
                <w:sz w:val="20"/>
                <w:szCs w:val="20"/>
              </w:rPr>
              <w:t>reef subtidal</w:t>
            </w:r>
          </w:p>
        </w:tc>
        <w:tc>
          <w:tcPr>
            <w:tcW w:w="720" w:type="dxa"/>
            <w:tcBorders>
              <w:top w:val="single" w:sz="4" w:space="0" w:color="auto"/>
              <w:bottom w:val="single" w:sz="4" w:space="0" w:color="auto"/>
            </w:tcBorders>
            <w:shd w:val="clear" w:color="auto" w:fill="E7F3F4"/>
            <w:noWrap/>
            <w:vAlign w:val="center"/>
            <w:hideMark/>
          </w:tcPr>
          <w:p w14:paraId="607F8C4C"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MI3</w:t>
            </w:r>
          </w:p>
        </w:tc>
        <w:tc>
          <w:tcPr>
            <w:tcW w:w="1078" w:type="dxa"/>
            <w:tcBorders>
              <w:top w:val="single" w:sz="4" w:space="0" w:color="auto"/>
              <w:bottom w:val="single" w:sz="4" w:space="0" w:color="auto"/>
            </w:tcBorders>
            <w:shd w:val="clear" w:color="auto" w:fill="E7F3F4"/>
            <w:vAlign w:val="center"/>
          </w:tcPr>
          <w:p w14:paraId="1836388C"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2008</w:t>
            </w:r>
          </w:p>
        </w:tc>
        <w:tc>
          <w:tcPr>
            <w:tcW w:w="1078" w:type="dxa"/>
            <w:tcBorders>
              <w:top w:val="single" w:sz="4" w:space="0" w:color="auto"/>
              <w:bottom w:val="single" w:sz="4" w:space="0" w:color="auto"/>
            </w:tcBorders>
            <w:shd w:val="clear" w:color="auto" w:fill="E7F3F4"/>
            <w:vAlign w:val="center"/>
          </w:tcPr>
          <w:p w14:paraId="73240CC7"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E7F3F4"/>
            <w:vAlign w:val="center"/>
          </w:tcPr>
          <w:p w14:paraId="490B17CB" w14:textId="77777777" w:rsidR="00306220" w:rsidRPr="0080212E" w:rsidRDefault="00306220"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39</w:t>
            </w:r>
          </w:p>
        </w:tc>
        <w:tc>
          <w:tcPr>
            <w:tcW w:w="1078" w:type="dxa"/>
            <w:tcBorders>
              <w:top w:val="single" w:sz="4" w:space="0" w:color="auto"/>
              <w:bottom w:val="single" w:sz="4" w:space="0" w:color="auto"/>
            </w:tcBorders>
            <w:shd w:val="clear" w:color="auto" w:fill="E7F3F4"/>
            <w:noWrap/>
            <w:vAlign w:val="center"/>
            <w:hideMark/>
          </w:tcPr>
          <w:p w14:paraId="499C96FE"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0.252</w:t>
            </w:r>
          </w:p>
        </w:tc>
        <w:tc>
          <w:tcPr>
            <w:tcW w:w="1076" w:type="dxa"/>
            <w:tcBorders>
              <w:top w:val="single" w:sz="4" w:space="0" w:color="auto"/>
              <w:bottom w:val="single" w:sz="4" w:space="0" w:color="auto"/>
            </w:tcBorders>
            <w:shd w:val="clear" w:color="auto" w:fill="E7F3F4"/>
            <w:noWrap/>
            <w:vAlign w:val="center"/>
            <w:hideMark/>
          </w:tcPr>
          <w:p w14:paraId="17597CB8"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0.0245</w:t>
            </w:r>
          </w:p>
        </w:tc>
        <w:tc>
          <w:tcPr>
            <w:tcW w:w="2475" w:type="dxa"/>
            <w:tcBorders>
              <w:top w:val="single" w:sz="4" w:space="0" w:color="auto"/>
              <w:bottom w:val="single" w:sz="4" w:space="0" w:color="auto"/>
            </w:tcBorders>
            <w:shd w:val="clear" w:color="auto" w:fill="E7F3F4"/>
            <w:noWrap/>
            <w:vAlign w:val="center"/>
            <w:hideMark/>
          </w:tcPr>
          <w:p w14:paraId="5F126EA4"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0.0075 </w:t>
            </w:r>
            <w:r w:rsidRPr="00664ECE">
              <w:rPr>
                <w:rFonts w:asciiTheme="minorHAnsi" w:hAnsiTheme="minorHAnsi"/>
                <w:color w:val="000000"/>
                <w:sz w:val="16"/>
                <w:szCs w:val="16"/>
              </w:rPr>
              <w:t>(0.0010 to 0.0135)</w:t>
            </w:r>
          </w:p>
        </w:tc>
        <w:tc>
          <w:tcPr>
            <w:tcW w:w="1068" w:type="dxa"/>
            <w:tcBorders>
              <w:top w:val="single" w:sz="4" w:space="0" w:color="auto"/>
              <w:bottom w:val="single" w:sz="4" w:space="0" w:color="auto"/>
            </w:tcBorders>
            <w:shd w:val="clear" w:color="auto" w:fill="E7F3F4"/>
            <w:noWrap/>
            <w:vAlign w:val="center"/>
            <w:hideMark/>
          </w:tcPr>
          <w:p w14:paraId="612B7493" w14:textId="77777777" w:rsidR="00306220" w:rsidRPr="005B7EF2" w:rsidRDefault="00306220"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increase</w:t>
            </w:r>
          </w:p>
        </w:tc>
      </w:tr>
      <w:tr w:rsidR="00306220" w:rsidRPr="00625DAC" w14:paraId="39ADA1B5" w14:textId="77777777" w:rsidTr="00D64955">
        <w:trPr>
          <w:cantSplit/>
          <w:trHeight w:val="312"/>
          <w:jc w:val="center"/>
        </w:trPr>
        <w:tc>
          <w:tcPr>
            <w:tcW w:w="2028" w:type="dxa"/>
            <w:tcBorders>
              <w:bottom w:val="single" w:sz="4" w:space="0" w:color="auto"/>
            </w:tcBorders>
            <w:shd w:val="clear" w:color="auto" w:fill="E7F3F4"/>
            <w:noWrap/>
            <w:vAlign w:val="center"/>
          </w:tcPr>
          <w:p w14:paraId="121D53DA" w14:textId="77777777" w:rsidR="00306220" w:rsidRPr="00625DAC" w:rsidRDefault="00306220" w:rsidP="00D64955">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D9D9D9" w:themeFill="background1" w:themeFillShade="D9"/>
            <w:noWrap/>
            <w:vAlign w:val="center"/>
          </w:tcPr>
          <w:p w14:paraId="0A268321" w14:textId="77777777" w:rsidR="00306220" w:rsidRDefault="00306220" w:rsidP="00D64955">
            <w:pPr>
              <w:pStyle w:val="BodyText"/>
              <w:spacing w:after="0"/>
              <w:jc w:val="left"/>
              <w:rPr>
                <w:rFonts w:asciiTheme="minorHAnsi" w:hAnsiTheme="minorHAnsi"/>
                <w:color w:val="000000"/>
                <w:sz w:val="20"/>
                <w:szCs w:val="20"/>
              </w:rPr>
            </w:pPr>
            <w:r>
              <w:rPr>
                <w:rFonts w:asciiTheme="minorHAnsi" w:hAnsiTheme="minorHAnsi"/>
                <w:color w:val="000000"/>
                <w:sz w:val="20"/>
                <w:szCs w:val="2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02812D8F" w14:textId="77777777" w:rsidR="00306220" w:rsidRPr="005B7EF2" w:rsidRDefault="00306220" w:rsidP="00D64955">
            <w:pPr>
              <w:pStyle w:val="BodyText"/>
              <w:spacing w:after="0"/>
              <w:jc w:val="center"/>
              <w:rPr>
                <w:rFonts w:asciiTheme="minorHAnsi" w:hAnsiTheme="minorHAnsi"/>
                <w:b/>
                <w:color w:val="000000"/>
                <w:sz w:val="20"/>
                <w:szCs w:val="20"/>
              </w:rPr>
            </w:pPr>
          </w:p>
        </w:tc>
        <w:tc>
          <w:tcPr>
            <w:tcW w:w="1078" w:type="dxa"/>
            <w:tcBorders>
              <w:top w:val="single" w:sz="4" w:space="0" w:color="auto"/>
              <w:bottom w:val="single" w:sz="4" w:space="0" w:color="auto"/>
            </w:tcBorders>
            <w:shd w:val="clear" w:color="auto" w:fill="D9D9D9" w:themeFill="background1" w:themeFillShade="D9"/>
            <w:vAlign w:val="center"/>
          </w:tcPr>
          <w:p w14:paraId="30BD6CA4"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2001</w:t>
            </w:r>
          </w:p>
        </w:tc>
        <w:tc>
          <w:tcPr>
            <w:tcW w:w="1078" w:type="dxa"/>
            <w:tcBorders>
              <w:top w:val="single" w:sz="4" w:space="0" w:color="auto"/>
              <w:bottom w:val="single" w:sz="4" w:space="0" w:color="auto"/>
            </w:tcBorders>
            <w:shd w:val="clear" w:color="auto" w:fill="D9D9D9" w:themeFill="background1" w:themeFillShade="D9"/>
            <w:vAlign w:val="center"/>
          </w:tcPr>
          <w:p w14:paraId="6DFD9111"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D9D9D9" w:themeFill="background1" w:themeFillShade="D9"/>
            <w:vAlign w:val="center"/>
          </w:tcPr>
          <w:p w14:paraId="33B32094" w14:textId="77777777" w:rsidR="00306220" w:rsidRPr="0080212E" w:rsidRDefault="00306220"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62</w:t>
            </w:r>
          </w:p>
        </w:tc>
        <w:tc>
          <w:tcPr>
            <w:tcW w:w="1078" w:type="dxa"/>
            <w:tcBorders>
              <w:top w:val="single" w:sz="4" w:space="0" w:color="auto"/>
              <w:bottom w:val="single" w:sz="4" w:space="0" w:color="auto"/>
            </w:tcBorders>
            <w:shd w:val="clear" w:color="auto" w:fill="D9D9D9" w:themeFill="background1" w:themeFillShade="D9"/>
            <w:noWrap/>
            <w:vAlign w:val="center"/>
          </w:tcPr>
          <w:p w14:paraId="79F59AB7" w14:textId="77777777" w:rsidR="00306220" w:rsidRPr="005B7EF2"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color w:val="000000"/>
                <w:sz w:val="20"/>
                <w:szCs w:val="20"/>
              </w:rPr>
              <w:t>0.022</w:t>
            </w:r>
          </w:p>
        </w:tc>
        <w:tc>
          <w:tcPr>
            <w:tcW w:w="1076" w:type="dxa"/>
            <w:tcBorders>
              <w:top w:val="single" w:sz="4" w:space="0" w:color="auto"/>
              <w:bottom w:val="single" w:sz="4" w:space="0" w:color="auto"/>
            </w:tcBorders>
            <w:shd w:val="clear" w:color="auto" w:fill="D9D9D9" w:themeFill="background1" w:themeFillShade="D9"/>
            <w:noWrap/>
            <w:vAlign w:val="center"/>
          </w:tcPr>
          <w:p w14:paraId="5E3D4D39" w14:textId="77777777" w:rsidR="00306220" w:rsidRPr="005B7EF2"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color w:val="000000"/>
                <w:sz w:val="20"/>
                <w:szCs w:val="20"/>
              </w:rPr>
              <w:t>0.74687</w:t>
            </w:r>
          </w:p>
        </w:tc>
        <w:tc>
          <w:tcPr>
            <w:tcW w:w="2475" w:type="dxa"/>
            <w:tcBorders>
              <w:top w:val="single" w:sz="4" w:space="0" w:color="auto"/>
              <w:bottom w:val="single" w:sz="4" w:space="0" w:color="auto"/>
            </w:tcBorders>
            <w:shd w:val="clear" w:color="auto" w:fill="D9D9D9" w:themeFill="background1" w:themeFillShade="D9"/>
            <w:noWrap/>
            <w:vAlign w:val="center"/>
          </w:tcPr>
          <w:p w14:paraId="70C86F87" w14:textId="77777777" w:rsidR="00306220" w:rsidRPr="005B7EF2" w:rsidRDefault="00306220" w:rsidP="00D64955">
            <w:pPr>
              <w:pStyle w:val="BodyText"/>
              <w:spacing w:after="0"/>
              <w:jc w:val="center"/>
              <w:rPr>
                <w:rFonts w:asciiTheme="minorHAnsi" w:hAnsiTheme="minorHAnsi"/>
                <w:b/>
                <w:color w:val="000000"/>
                <w:sz w:val="20"/>
                <w:szCs w:val="20"/>
              </w:rPr>
            </w:pPr>
            <w:r w:rsidRPr="002D058B">
              <w:rPr>
                <w:rFonts w:asciiTheme="minorHAnsi" w:hAnsiTheme="minorHAnsi"/>
                <w:color w:val="000000"/>
                <w:sz w:val="20"/>
                <w:szCs w:val="20"/>
              </w:rPr>
              <w:t>0.000</w:t>
            </w:r>
            <w:r>
              <w:rPr>
                <w:rFonts w:asciiTheme="minorHAnsi" w:hAnsiTheme="minorHAnsi"/>
                <w:color w:val="000000"/>
                <w:sz w:val="20"/>
                <w:szCs w:val="20"/>
              </w:rPr>
              <w:t>2</w:t>
            </w:r>
          </w:p>
        </w:tc>
        <w:tc>
          <w:tcPr>
            <w:tcW w:w="1068" w:type="dxa"/>
            <w:tcBorders>
              <w:top w:val="single" w:sz="4" w:space="0" w:color="auto"/>
              <w:bottom w:val="single" w:sz="4" w:space="0" w:color="auto"/>
            </w:tcBorders>
            <w:shd w:val="clear" w:color="auto" w:fill="D9D9D9" w:themeFill="background1" w:themeFillShade="D9"/>
            <w:noWrap/>
            <w:vAlign w:val="center"/>
          </w:tcPr>
          <w:p w14:paraId="546B767E" w14:textId="77777777" w:rsidR="00306220" w:rsidRPr="005B7EF2" w:rsidRDefault="00306220" w:rsidP="00D64955">
            <w:pPr>
              <w:pStyle w:val="BodyText"/>
              <w:spacing w:after="0"/>
              <w:jc w:val="center"/>
              <w:rPr>
                <w:rFonts w:asciiTheme="minorHAnsi" w:hAnsiTheme="minorHAnsi"/>
                <w:b/>
                <w:color w:val="000000"/>
                <w:sz w:val="20"/>
                <w:szCs w:val="20"/>
              </w:rPr>
            </w:pPr>
            <w:r>
              <w:rPr>
                <w:rFonts w:asciiTheme="minorHAnsi" w:hAnsiTheme="minorHAnsi"/>
                <w:color w:val="000000"/>
                <w:sz w:val="20"/>
                <w:szCs w:val="20"/>
              </w:rPr>
              <w:t>no trend</w:t>
            </w:r>
          </w:p>
        </w:tc>
      </w:tr>
      <w:tr w:rsidR="001251BB" w:rsidRPr="00625DAC" w14:paraId="6416EC76" w14:textId="77777777" w:rsidTr="001251BB">
        <w:trPr>
          <w:cantSplit/>
          <w:trHeight w:val="312"/>
          <w:jc w:val="center"/>
        </w:trPr>
        <w:tc>
          <w:tcPr>
            <w:tcW w:w="2028" w:type="dxa"/>
            <w:vMerge w:val="restart"/>
            <w:tcBorders>
              <w:top w:val="single" w:sz="4" w:space="0" w:color="auto"/>
            </w:tcBorders>
            <w:shd w:val="clear" w:color="auto" w:fill="F3F9FA"/>
            <w:noWrap/>
            <w:vAlign w:val="center"/>
          </w:tcPr>
          <w:p w14:paraId="55215FBD" w14:textId="00ACFEF3"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Mackay Whitsunday</w:t>
            </w:r>
          </w:p>
        </w:tc>
        <w:tc>
          <w:tcPr>
            <w:tcW w:w="1874" w:type="dxa"/>
            <w:tcBorders>
              <w:top w:val="single" w:sz="4" w:space="0" w:color="auto"/>
            </w:tcBorders>
            <w:shd w:val="clear" w:color="auto" w:fill="F3F9FA"/>
            <w:noWrap/>
            <w:vAlign w:val="center"/>
            <w:hideMark/>
          </w:tcPr>
          <w:p w14:paraId="7C62BE55" w14:textId="77777777" w:rsidR="001251BB" w:rsidRPr="00625DAC" w:rsidRDefault="001251BB"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estuarine intertidal</w:t>
            </w:r>
          </w:p>
        </w:tc>
        <w:tc>
          <w:tcPr>
            <w:tcW w:w="720" w:type="dxa"/>
            <w:tcBorders>
              <w:top w:val="single" w:sz="4" w:space="0" w:color="auto"/>
            </w:tcBorders>
            <w:shd w:val="clear" w:color="auto" w:fill="F3F9FA"/>
            <w:noWrap/>
            <w:vAlign w:val="center"/>
            <w:hideMark/>
          </w:tcPr>
          <w:p w14:paraId="732CB990"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SI1</w:t>
            </w:r>
          </w:p>
        </w:tc>
        <w:tc>
          <w:tcPr>
            <w:tcW w:w="1078" w:type="dxa"/>
            <w:tcBorders>
              <w:top w:val="single" w:sz="4" w:space="0" w:color="auto"/>
            </w:tcBorders>
            <w:shd w:val="clear" w:color="auto" w:fill="F3F9FA"/>
            <w:vAlign w:val="center"/>
          </w:tcPr>
          <w:p w14:paraId="15D7BEBA"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top w:val="single" w:sz="4" w:space="0" w:color="auto"/>
            </w:tcBorders>
            <w:shd w:val="clear" w:color="auto" w:fill="F3F9FA"/>
            <w:vAlign w:val="center"/>
          </w:tcPr>
          <w:p w14:paraId="10BCB153"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31EB8921"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30</w:t>
            </w:r>
          </w:p>
        </w:tc>
        <w:tc>
          <w:tcPr>
            <w:tcW w:w="1078" w:type="dxa"/>
            <w:tcBorders>
              <w:top w:val="single" w:sz="4" w:space="0" w:color="auto"/>
            </w:tcBorders>
            <w:shd w:val="clear" w:color="auto" w:fill="F3F9FA"/>
            <w:noWrap/>
            <w:vAlign w:val="center"/>
            <w:hideMark/>
          </w:tcPr>
          <w:p w14:paraId="33F897DF"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-0.0837</w:t>
            </w:r>
          </w:p>
        </w:tc>
        <w:tc>
          <w:tcPr>
            <w:tcW w:w="1076" w:type="dxa"/>
            <w:tcBorders>
              <w:top w:val="single" w:sz="4" w:space="0" w:color="auto"/>
            </w:tcBorders>
            <w:shd w:val="clear" w:color="auto" w:fill="F3F9FA"/>
            <w:noWrap/>
            <w:vAlign w:val="center"/>
            <w:hideMark/>
          </w:tcPr>
          <w:p w14:paraId="62E71A87"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0.5359</w:t>
            </w:r>
          </w:p>
        </w:tc>
        <w:tc>
          <w:tcPr>
            <w:tcW w:w="2475" w:type="dxa"/>
            <w:tcBorders>
              <w:top w:val="single" w:sz="4" w:space="0" w:color="auto"/>
            </w:tcBorders>
            <w:shd w:val="clear" w:color="auto" w:fill="F3F9FA"/>
            <w:noWrap/>
            <w:vAlign w:val="center"/>
            <w:hideMark/>
          </w:tcPr>
          <w:p w14:paraId="56F1A90C" w14:textId="77777777" w:rsidR="001251BB" w:rsidRPr="00F64697" w:rsidRDefault="001251BB" w:rsidP="00D64955">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0.011</w:t>
            </w:r>
            <w:r>
              <w:rPr>
                <w:rFonts w:asciiTheme="minorHAnsi" w:hAnsiTheme="minorHAnsi"/>
                <w:color w:val="000000"/>
                <w:sz w:val="20"/>
                <w:szCs w:val="20"/>
              </w:rPr>
              <w:t>9</w:t>
            </w:r>
          </w:p>
        </w:tc>
        <w:tc>
          <w:tcPr>
            <w:tcW w:w="1068" w:type="dxa"/>
            <w:tcBorders>
              <w:top w:val="single" w:sz="4" w:space="0" w:color="auto"/>
            </w:tcBorders>
            <w:shd w:val="clear" w:color="auto" w:fill="F3F9FA"/>
            <w:noWrap/>
            <w:vAlign w:val="center"/>
          </w:tcPr>
          <w:p w14:paraId="0FEF22CE" w14:textId="77777777" w:rsidR="001251BB" w:rsidRPr="00625DAC" w:rsidRDefault="001251BB"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24EB0D8D" w14:textId="77777777" w:rsidTr="00D64955">
        <w:trPr>
          <w:cantSplit/>
          <w:trHeight w:val="312"/>
          <w:jc w:val="center"/>
        </w:trPr>
        <w:tc>
          <w:tcPr>
            <w:tcW w:w="2028" w:type="dxa"/>
            <w:vMerge/>
            <w:shd w:val="clear" w:color="auto" w:fill="F3F9FA"/>
            <w:noWrap/>
            <w:vAlign w:val="center"/>
          </w:tcPr>
          <w:p w14:paraId="5E7A4A79" w14:textId="304C7839"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F3F9FA"/>
            <w:noWrap/>
            <w:vAlign w:val="center"/>
            <w:hideMark/>
          </w:tcPr>
          <w:p w14:paraId="1487FB78" w14:textId="77777777" w:rsidR="001251BB" w:rsidRPr="00625DAC" w:rsidRDefault="001251BB"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3FC6F992"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SI2</w:t>
            </w:r>
          </w:p>
        </w:tc>
        <w:tc>
          <w:tcPr>
            <w:tcW w:w="1078" w:type="dxa"/>
            <w:tcBorders>
              <w:bottom w:val="single" w:sz="4" w:space="0" w:color="auto"/>
            </w:tcBorders>
            <w:shd w:val="clear" w:color="auto" w:fill="F3F9FA"/>
            <w:vAlign w:val="center"/>
          </w:tcPr>
          <w:p w14:paraId="4F611ABF"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bottom w:val="single" w:sz="4" w:space="0" w:color="auto"/>
            </w:tcBorders>
            <w:shd w:val="clear" w:color="auto" w:fill="F3F9FA"/>
            <w:vAlign w:val="center"/>
          </w:tcPr>
          <w:p w14:paraId="5B4C00E1"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0DCA9C5F"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24</w:t>
            </w:r>
          </w:p>
        </w:tc>
        <w:tc>
          <w:tcPr>
            <w:tcW w:w="1078" w:type="dxa"/>
            <w:tcBorders>
              <w:bottom w:val="single" w:sz="4" w:space="0" w:color="auto"/>
            </w:tcBorders>
            <w:shd w:val="clear" w:color="auto" w:fill="F3F9FA"/>
            <w:noWrap/>
            <w:vAlign w:val="center"/>
            <w:hideMark/>
          </w:tcPr>
          <w:p w14:paraId="30DD99D1"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0.0652</w:t>
            </w:r>
          </w:p>
        </w:tc>
        <w:tc>
          <w:tcPr>
            <w:tcW w:w="1076" w:type="dxa"/>
            <w:tcBorders>
              <w:bottom w:val="single" w:sz="4" w:space="0" w:color="auto"/>
            </w:tcBorders>
            <w:shd w:val="clear" w:color="auto" w:fill="F3F9FA"/>
            <w:noWrap/>
            <w:vAlign w:val="center"/>
            <w:hideMark/>
          </w:tcPr>
          <w:p w14:paraId="4062AE55"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0.673</w:t>
            </w:r>
            <w:r>
              <w:rPr>
                <w:rFonts w:asciiTheme="minorHAnsi" w:hAnsiTheme="minorHAnsi"/>
                <w:color w:val="000000"/>
                <w:sz w:val="20"/>
                <w:szCs w:val="20"/>
              </w:rPr>
              <w:t>3</w:t>
            </w:r>
          </w:p>
        </w:tc>
        <w:tc>
          <w:tcPr>
            <w:tcW w:w="2475" w:type="dxa"/>
            <w:tcBorders>
              <w:bottom w:val="single" w:sz="4" w:space="0" w:color="auto"/>
            </w:tcBorders>
            <w:shd w:val="clear" w:color="auto" w:fill="F3F9FA"/>
            <w:noWrap/>
            <w:vAlign w:val="center"/>
            <w:hideMark/>
          </w:tcPr>
          <w:p w14:paraId="24C6D0B1" w14:textId="77777777" w:rsidR="001251BB" w:rsidRPr="00F64697" w:rsidRDefault="001251BB" w:rsidP="00D64955">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-0.0050</w:t>
            </w:r>
          </w:p>
        </w:tc>
        <w:tc>
          <w:tcPr>
            <w:tcW w:w="1068" w:type="dxa"/>
            <w:tcBorders>
              <w:bottom w:val="single" w:sz="4" w:space="0" w:color="auto"/>
            </w:tcBorders>
            <w:shd w:val="clear" w:color="auto" w:fill="F3F9FA"/>
            <w:noWrap/>
            <w:vAlign w:val="center"/>
          </w:tcPr>
          <w:p w14:paraId="7A40D9A8" w14:textId="77777777" w:rsidR="001251BB" w:rsidRPr="00625DAC" w:rsidRDefault="001251BB"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214B22D1" w14:textId="77777777" w:rsidTr="00D64955">
        <w:trPr>
          <w:cantSplit/>
          <w:trHeight w:val="312"/>
          <w:jc w:val="center"/>
        </w:trPr>
        <w:tc>
          <w:tcPr>
            <w:tcW w:w="2028" w:type="dxa"/>
            <w:vMerge/>
            <w:shd w:val="clear" w:color="auto" w:fill="F3F9FA"/>
            <w:noWrap/>
            <w:vAlign w:val="center"/>
          </w:tcPr>
          <w:p w14:paraId="68739617" w14:textId="0F234090"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tcBorders>
            <w:shd w:val="clear" w:color="auto" w:fill="F3F9FA"/>
            <w:noWrap/>
            <w:vAlign w:val="center"/>
            <w:hideMark/>
          </w:tcPr>
          <w:p w14:paraId="3551CF37" w14:textId="77777777" w:rsidR="001251BB" w:rsidRPr="00625DAC" w:rsidRDefault="001251BB" w:rsidP="00D64955">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coastal intertidal</w:t>
            </w:r>
          </w:p>
        </w:tc>
        <w:tc>
          <w:tcPr>
            <w:tcW w:w="720" w:type="dxa"/>
            <w:tcBorders>
              <w:top w:val="single" w:sz="4" w:space="0" w:color="auto"/>
            </w:tcBorders>
            <w:shd w:val="clear" w:color="auto" w:fill="F3F9FA"/>
            <w:noWrap/>
            <w:vAlign w:val="center"/>
            <w:hideMark/>
          </w:tcPr>
          <w:p w14:paraId="1E87492C"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MP2</w:t>
            </w:r>
          </w:p>
        </w:tc>
        <w:tc>
          <w:tcPr>
            <w:tcW w:w="1078" w:type="dxa"/>
            <w:tcBorders>
              <w:top w:val="single" w:sz="4" w:space="0" w:color="auto"/>
            </w:tcBorders>
            <w:shd w:val="clear" w:color="auto" w:fill="F3F9FA"/>
            <w:vAlign w:val="center"/>
          </w:tcPr>
          <w:p w14:paraId="470EEECE"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2000</w:t>
            </w:r>
          </w:p>
        </w:tc>
        <w:tc>
          <w:tcPr>
            <w:tcW w:w="1078" w:type="dxa"/>
            <w:tcBorders>
              <w:top w:val="single" w:sz="4" w:space="0" w:color="auto"/>
            </w:tcBorders>
            <w:shd w:val="clear" w:color="auto" w:fill="F3F9FA"/>
            <w:vAlign w:val="center"/>
          </w:tcPr>
          <w:p w14:paraId="22EC3C2A"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5BCCDD3D"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36</w:t>
            </w:r>
          </w:p>
        </w:tc>
        <w:tc>
          <w:tcPr>
            <w:tcW w:w="1078" w:type="dxa"/>
            <w:tcBorders>
              <w:top w:val="single" w:sz="4" w:space="0" w:color="auto"/>
            </w:tcBorders>
            <w:shd w:val="clear" w:color="auto" w:fill="F3F9FA"/>
            <w:noWrap/>
            <w:vAlign w:val="center"/>
            <w:hideMark/>
          </w:tcPr>
          <w:p w14:paraId="5D506006"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0.218</w:t>
            </w:r>
          </w:p>
        </w:tc>
        <w:tc>
          <w:tcPr>
            <w:tcW w:w="1076" w:type="dxa"/>
            <w:tcBorders>
              <w:top w:val="single" w:sz="4" w:space="0" w:color="auto"/>
            </w:tcBorders>
            <w:shd w:val="clear" w:color="auto" w:fill="F3F9FA"/>
            <w:noWrap/>
            <w:vAlign w:val="center"/>
            <w:hideMark/>
          </w:tcPr>
          <w:p w14:paraId="6F80B179"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0.0639</w:t>
            </w:r>
          </w:p>
        </w:tc>
        <w:tc>
          <w:tcPr>
            <w:tcW w:w="2475" w:type="dxa"/>
            <w:tcBorders>
              <w:top w:val="single" w:sz="4" w:space="0" w:color="auto"/>
            </w:tcBorders>
            <w:shd w:val="clear" w:color="auto" w:fill="F3F9FA"/>
            <w:noWrap/>
            <w:vAlign w:val="center"/>
            <w:hideMark/>
          </w:tcPr>
          <w:p w14:paraId="3725735B" w14:textId="77777777" w:rsidR="001251BB" w:rsidRPr="00F64697" w:rsidRDefault="001251BB" w:rsidP="00D64955">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0.0070</w:t>
            </w:r>
          </w:p>
        </w:tc>
        <w:tc>
          <w:tcPr>
            <w:tcW w:w="1068" w:type="dxa"/>
            <w:tcBorders>
              <w:top w:val="single" w:sz="4" w:space="0" w:color="auto"/>
            </w:tcBorders>
            <w:shd w:val="clear" w:color="auto" w:fill="F3F9FA"/>
            <w:noWrap/>
            <w:vAlign w:val="center"/>
          </w:tcPr>
          <w:p w14:paraId="32C74266" w14:textId="77777777" w:rsidR="001251BB" w:rsidRPr="00625DAC" w:rsidRDefault="001251BB"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7FF70BCD" w14:textId="77777777" w:rsidTr="00D64955">
        <w:trPr>
          <w:cantSplit/>
          <w:trHeight w:val="312"/>
          <w:jc w:val="center"/>
        </w:trPr>
        <w:tc>
          <w:tcPr>
            <w:tcW w:w="2028" w:type="dxa"/>
            <w:vMerge/>
            <w:shd w:val="clear" w:color="auto" w:fill="F3F9FA"/>
            <w:noWrap/>
            <w:vAlign w:val="center"/>
          </w:tcPr>
          <w:p w14:paraId="5A8364A5" w14:textId="28A2C863" w:rsidR="001251BB" w:rsidRPr="00625DAC" w:rsidRDefault="001251BB" w:rsidP="001251BB">
            <w:pPr>
              <w:pStyle w:val="BodyText"/>
              <w:spacing w:after="0"/>
              <w:jc w:val="left"/>
              <w:rPr>
                <w:rFonts w:asciiTheme="minorHAnsi" w:hAnsiTheme="minorHAnsi"/>
                <w:color w:val="000000"/>
                <w:sz w:val="20"/>
                <w:szCs w:val="20"/>
              </w:rPr>
            </w:pPr>
          </w:p>
        </w:tc>
        <w:tc>
          <w:tcPr>
            <w:tcW w:w="1874" w:type="dxa"/>
            <w:shd w:val="clear" w:color="auto" w:fill="F3F9FA"/>
            <w:noWrap/>
            <w:vAlign w:val="center"/>
          </w:tcPr>
          <w:p w14:paraId="7DB8FB09" w14:textId="77777777" w:rsidR="001251BB" w:rsidRPr="00625DAC" w:rsidRDefault="001251BB" w:rsidP="00D64955">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3C837418"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MP3</w:t>
            </w:r>
          </w:p>
        </w:tc>
        <w:tc>
          <w:tcPr>
            <w:tcW w:w="1078" w:type="dxa"/>
            <w:tcBorders>
              <w:bottom w:val="single" w:sz="4" w:space="0" w:color="auto"/>
            </w:tcBorders>
            <w:shd w:val="clear" w:color="auto" w:fill="F3F9FA"/>
            <w:vAlign w:val="center"/>
          </w:tcPr>
          <w:p w14:paraId="1A097EE2"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2000</w:t>
            </w:r>
          </w:p>
        </w:tc>
        <w:tc>
          <w:tcPr>
            <w:tcW w:w="1078" w:type="dxa"/>
            <w:tcBorders>
              <w:bottom w:val="single" w:sz="4" w:space="0" w:color="auto"/>
            </w:tcBorders>
            <w:shd w:val="clear" w:color="auto" w:fill="F3F9FA"/>
            <w:vAlign w:val="center"/>
          </w:tcPr>
          <w:p w14:paraId="7955667C"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5C49A0B3"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34</w:t>
            </w:r>
          </w:p>
        </w:tc>
        <w:tc>
          <w:tcPr>
            <w:tcW w:w="1078" w:type="dxa"/>
            <w:tcBorders>
              <w:bottom w:val="single" w:sz="4" w:space="0" w:color="auto"/>
            </w:tcBorders>
            <w:shd w:val="clear" w:color="auto" w:fill="F3F9FA"/>
            <w:noWrap/>
            <w:vAlign w:val="center"/>
            <w:hideMark/>
          </w:tcPr>
          <w:p w14:paraId="0FA6E466"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0.098</w:t>
            </w:r>
          </w:p>
        </w:tc>
        <w:tc>
          <w:tcPr>
            <w:tcW w:w="1076" w:type="dxa"/>
            <w:tcBorders>
              <w:bottom w:val="single" w:sz="4" w:space="0" w:color="auto"/>
            </w:tcBorders>
            <w:shd w:val="clear" w:color="auto" w:fill="F3F9FA"/>
            <w:noWrap/>
            <w:vAlign w:val="center"/>
            <w:hideMark/>
          </w:tcPr>
          <w:p w14:paraId="1094C9B7" w14:textId="77777777" w:rsidR="001251BB" w:rsidRPr="00625DAC" w:rsidRDefault="001251BB" w:rsidP="00D64955">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0.4234</w:t>
            </w:r>
          </w:p>
        </w:tc>
        <w:tc>
          <w:tcPr>
            <w:tcW w:w="2475" w:type="dxa"/>
            <w:tcBorders>
              <w:bottom w:val="single" w:sz="4" w:space="0" w:color="auto"/>
            </w:tcBorders>
            <w:shd w:val="clear" w:color="auto" w:fill="F3F9FA"/>
            <w:noWrap/>
            <w:vAlign w:val="center"/>
            <w:hideMark/>
          </w:tcPr>
          <w:p w14:paraId="370B2ED9" w14:textId="77777777" w:rsidR="001251BB" w:rsidRPr="00F64697" w:rsidRDefault="001251BB" w:rsidP="00D64955">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0.0127</w:t>
            </w:r>
          </w:p>
        </w:tc>
        <w:tc>
          <w:tcPr>
            <w:tcW w:w="1068" w:type="dxa"/>
            <w:tcBorders>
              <w:bottom w:val="single" w:sz="4" w:space="0" w:color="auto"/>
            </w:tcBorders>
            <w:shd w:val="clear" w:color="auto" w:fill="F3F9FA"/>
            <w:noWrap/>
            <w:vAlign w:val="center"/>
          </w:tcPr>
          <w:p w14:paraId="43110B9B" w14:textId="77777777" w:rsidR="001251BB" w:rsidRPr="00625DAC" w:rsidRDefault="001251BB" w:rsidP="00D64955">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4B0468C0" w14:textId="77777777" w:rsidTr="00D64955">
        <w:trPr>
          <w:cantSplit/>
          <w:trHeight w:val="312"/>
          <w:jc w:val="center"/>
        </w:trPr>
        <w:tc>
          <w:tcPr>
            <w:tcW w:w="2028" w:type="dxa"/>
            <w:vMerge/>
            <w:shd w:val="clear" w:color="auto" w:fill="F3F9FA"/>
            <w:noWrap/>
            <w:vAlign w:val="center"/>
          </w:tcPr>
          <w:p w14:paraId="438CB727" w14:textId="3D1E96E2" w:rsidR="001251BB" w:rsidRPr="00625DAC" w:rsidRDefault="001251BB" w:rsidP="001251BB">
            <w:pPr>
              <w:pStyle w:val="BodyText"/>
              <w:spacing w:after="0"/>
              <w:jc w:val="left"/>
              <w:rPr>
                <w:rFonts w:asciiTheme="minorHAnsi" w:hAnsiTheme="minorHAnsi"/>
                <w:color w:val="000000"/>
                <w:sz w:val="20"/>
                <w:szCs w:val="20"/>
              </w:rPr>
            </w:pPr>
          </w:p>
        </w:tc>
        <w:tc>
          <w:tcPr>
            <w:tcW w:w="1874" w:type="dxa"/>
            <w:shd w:val="clear" w:color="auto" w:fill="F3F9FA"/>
            <w:noWrap/>
            <w:vAlign w:val="center"/>
          </w:tcPr>
          <w:p w14:paraId="085B1A6E" w14:textId="77777777" w:rsidR="001251BB" w:rsidRPr="00625DAC" w:rsidRDefault="001251BB" w:rsidP="00D64955">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F3F9FA"/>
            <w:noWrap/>
            <w:vAlign w:val="center"/>
            <w:hideMark/>
          </w:tcPr>
          <w:p w14:paraId="2A119779" w14:textId="77777777" w:rsidR="001251BB" w:rsidRPr="005B7EF2" w:rsidRDefault="001251BB"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PI2</w:t>
            </w:r>
          </w:p>
        </w:tc>
        <w:tc>
          <w:tcPr>
            <w:tcW w:w="1078" w:type="dxa"/>
            <w:tcBorders>
              <w:top w:val="single" w:sz="4" w:space="0" w:color="auto"/>
            </w:tcBorders>
            <w:shd w:val="clear" w:color="auto" w:fill="F3F9FA"/>
            <w:vAlign w:val="center"/>
          </w:tcPr>
          <w:p w14:paraId="7FECC88E"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1999</w:t>
            </w:r>
          </w:p>
        </w:tc>
        <w:tc>
          <w:tcPr>
            <w:tcW w:w="1078" w:type="dxa"/>
            <w:tcBorders>
              <w:top w:val="single" w:sz="4" w:space="0" w:color="auto"/>
            </w:tcBorders>
            <w:shd w:val="clear" w:color="auto" w:fill="F3F9FA"/>
            <w:vAlign w:val="center"/>
          </w:tcPr>
          <w:p w14:paraId="39D6FA5B"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F3F9FA"/>
            <w:vAlign w:val="center"/>
          </w:tcPr>
          <w:p w14:paraId="074F37D3" w14:textId="77777777" w:rsidR="001251BB" w:rsidRPr="0080212E" w:rsidRDefault="001251BB" w:rsidP="00D64955">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53</w:t>
            </w:r>
          </w:p>
        </w:tc>
        <w:tc>
          <w:tcPr>
            <w:tcW w:w="1078" w:type="dxa"/>
            <w:tcBorders>
              <w:top w:val="single" w:sz="4" w:space="0" w:color="auto"/>
            </w:tcBorders>
            <w:shd w:val="clear" w:color="auto" w:fill="F3F9FA"/>
            <w:noWrap/>
            <w:vAlign w:val="center"/>
            <w:hideMark/>
          </w:tcPr>
          <w:p w14:paraId="051D4710" w14:textId="77777777" w:rsidR="001251BB" w:rsidRPr="005B7EF2" w:rsidRDefault="001251BB"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-0.315</w:t>
            </w:r>
          </w:p>
        </w:tc>
        <w:tc>
          <w:tcPr>
            <w:tcW w:w="1076" w:type="dxa"/>
            <w:tcBorders>
              <w:top w:val="single" w:sz="4" w:space="0" w:color="auto"/>
            </w:tcBorders>
            <w:shd w:val="clear" w:color="auto" w:fill="F3F9FA"/>
            <w:noWrap/>
            <w:vAlign w:val="center"/>
            <w:hideMark/>
          </w:tcPr>
          <w:p w14:paraId="4F3BE723" w14:textId="77777777" w:rsidR="001251BB" w:rsidRPr="005B7EF2" w:rsidRDefault="001251BB"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0.0009</w:t>
            </w:r>
          </w:p>
        </w:tc>
        <w:tc>
          <w:tcPr>
            <w:tcW w:w="2475" w:type="dxa"/>
            <w:tcBorders>
              <w:top w:val="single" w:sz="4" w:space="0" w:color="auto"/>
            </w:tcBorders>
            <w:shd w:val="clear" w:color="auto" w:fill="F3F9FA"/>
            <w:noWrap/>
            <w:vAlign w:val="center"/>
            <w:hideMark/>
          </w:tcPr>
          <w:p w14:paraId="481EF7A4" w14:textId="77777777" w:rsidR="001251BB" w:rsidRPr="005B7EF2" w:rsidRDefault="001251BB"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-0.0049 </w:t>
            </w:r>
            <w:r w:rsidRPr="00664ECE">
              <w:rPr>
                <w:rFonts w:asciiTheme="minorHAnsi" w:hAnsiTheme="minorHAnsi"/>
                <w:color w:val="000000"/>
                <w:sz w:val="16"/>
                <w:szCs w:val="16"/>
              </w:rPr>
              <w:t>(-0.0130 to 0.0034)</w:t>
            </w:r>
          </w:p>
        </w:tc>
        <w:tc>
          <w:tcPr>
            <w:tcW w:w="1068" w:type="dxa"/>
            <w:tcBorders>
              <w:top w:val="single" w:sz="4" w:space="0" w:color="auto"/>
            </w:tcBorders>
            <w:shd w:val="clear" w:color="auto" w:fill="F3F9FA"/>
            <w:noWrap/>
            <w:vAlign w:val="center"/>
            <w:hideMark/>
          </w:tcPr>
          <w:p w14:paraId="670F24D2" w14:textId="77777777" w:rsidR="001251BB" w:rsidRPr="005B7EF2" w:rsidRDefault="001251BB" w:rsidP="00D64955">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1251BB" w:rsidRPr="00625DAC" w14:paraId="38384110" w14:textId="77777777" w:rsidTr="00D64955">
        <w:trPr>
          <w:cantSplit/>
          <w:trHeight w:val="312"/>
          <w:jc w:val="center"/>
        </w:trPr>
        <w:tc>
          <w:tcPr>
            <w:tcW w:w="2028" w:type="dxa"/>
            <w:vMerge/>
            <w:shd w:val="clear" w:color="auto" w:fill="F3F9FA"/>
            <w:noWrap/>
            <w:vAlign w:val="center"/>
          </w:tcPr>
          <w:p w14:paraId="03336D23" w14:textId="61629832"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F3F9FA"/>
            <w:noWrap/>
            <w:vAlign w:val="center"/>
          </w:tcPr>
          <w:p w14:paraId="66EE93F5"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69AEF95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PI3</w:t>
            </w:r>
          </w:p>
        </w:tc>
        <w:tc>
          <w:tcPr>
            <w:tcW w:w="1078" w:type="dxa"/>
            <w:tcBorders>
              <w:bottom w:val="single" w:sz="4" w:space="0" w:color="auto"/>
            </w:tcBorders>
            <w:shd w:val="clear" w:color="auto" w:fill="F3F9FA"/>
            <w:vAlign w:val="center"/>
          </w:tcPr>
          <w:p w14:paraId="78A07F8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1999</w:t>
            </w:r>
          </w:p>
        </w:tc>
        <w:tc>
          <w:tcPr>
            <w:tcW w:w="1078" w:type="dxa"/>
            <w:tcBorders>
              <w:bottom w:val="single" w:sz="4" w:space="0" w:color="auto"/>
            </w:tcBorders>
            <w:shd w:val="clear" w:color="auto" w:fill="F3F9FA"/>
            <w:vAlign w:val="center"/>
          </w:tcPr>
          <w:p w14:paraId="404A5B94"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F3F9FA"/>
            <w:vAlign w:val="center"/>
          </w:tcPr>
          <w:p w14:paraId="7FA8134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52</w:t>
            </w:r>
          </w:p>
        </w:tc>
        <w:tc>
          <w:tcPr>
            <w:tcW w:w="1078" w:type="dxa"/>
            <w:tcBorders>
              <w:bottom w:val="single" w:sz="4" w:space="0" w:color="auto"/>
            </w:tcBorders>
            <w:shd w:val="clear" w:color="auto" w:fill="F3F9FA"/>
            <w:noWrap/>
            <w:vAlign w:val="center"/>
            <w:hideMark/>
          </w:tcPr>
          <w:p w14:paraId="6DF98FAB"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-0.0596</w:t>
            </w:r>
          </w:p>
        </w:tc>
        <w:tc>
          <w:tcPr>
            <w:tcW w:w="1076" w:type="dxa"/>
            <w:tcBorders>
              <w:bottom w:val="single" w:sz="4" w:space="0" w:color="auto"/>
            </w:tcBorders>
            <w:shd w:val="clear" w:color="auto" w:fill="F3F9FA"/>
            <w:noWrap/>
            <w:vAlign w:val="center"/>
            <w:hideMark/>
          </w:tcPr>
          <w:p w14:paraId="1A098889"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0.5382</w:t>
            </w:r>
          </w:p>
        </w:tc>
        <w:tc>
          <w:tcPr>
            <w:tcW w:w="2475" w:type="dxa"/>
            <w:tcBorders>
              <w:bottom w:val="single" w:sz="4" w:space="0" w:color="auto"/>
            </w:tcBorders>
            <w:shd w:val="clear" w:color="auto" w:fill="F3F9FA"/>
            <w:noWrap/>
            <w:vAlign w:val="center"/>
            <w:hideMark/>
          </w:tcPr>
          <w:p w14:paraId="7AC7BB85" w14:textId="77777777" w:rsidR="001251BB" w:rsidRPr="00F64697" w:rsidRDefault="001251BB" w:rsidP="001251BB">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-0.010</w:t>
            </w:r>
            <w:r>
              <w:rPr>
                <w:rFonts w:asciiTheme="minorHAnsi" w:hAnsiTheme="minorHAnsi"/>
                <w:color w:val="000000"/>
                <w:sz w:val="20"/>
                <w:szCs w:val="20"/>
              </w:rPr>
              <w:t>3</w:t>
            </w:r>
          </w:p>
        </w:tc>
        <w:tc>
          <w:tcPr>
            <w:tcW w:w="1068" w:type="dxa"/>
            <w:tcBorders>
              <w:bottom w:val="single" w:sz="4" w:space="0" w:color="auto"/>
            </w:tcBorders>
            <w:shd w:val="clear" w:color="auto" w:fill="F3F9FA"/>
            <w:noWrap/>
            <w:vAlign w:val="center"/>
            <w:hideMark/>
          </w:tcPr>
          <w:p w14:paraId="5B71CFA8"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32730BC8" w14:textId="77777777" w:rsidTr="00D64955">
        <w:trPr>
          <w:cantSplit/>
          <w:trHeight w:val="312"/>
          <w:jc w:val="center"/>
        </w:trPr>
        <w:tc>
          <w:tcPr>
            <w:tcW w:w="2028" w:type="dxa"/>
            <w:vMerge/>
            <w:shd w:val="clear" w:color="auto" w:fill="F3F9FA"/>
            <w:noWrap/>
            <w:vAlign w:val="center"/>
          </w:tcPr>
          <w:p w14:paraId="6124E544"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tcBorders>
            <w:shd w:val="clear" w:color="auto" w:fill="F3F9FA"/>
            <w:noWrap/>
            <w:vAlign w:val="center"/>
            <w:hideMark/>
          </w:tcPr>
          <w:p w14:paraId="5F7C5577" w14:textId="77777777"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reef intertidal</w:t>
            </w:r>
          </w:p>
        </w:tc>
        <w:tc>
          <w:tcPr>
            <w:tcW w:w="720" w:type="dxa"/>
            <w:tcBorders>
              <w:top w:val="single" w:sz="4" w:space="0" w:color="auto"/>
            </w:tcBorders>
            <w:shd w:val="clear" w:color="auto" w:fill="F3F9FA"/>
            <w:noWrap/>
            <w:vAlign w:val="center"/>
            <w:hideMark/>
          </w:tcPr>
          <w:p w14:paraId="3FE7A86C"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HB1</w:t>
            </w:r>
          </w:p>
        </w:tc>
        <w:tc>
          <w:tcPr>
            <w:tcW w:w="1078" w:type="dxa"/>
            <w:tcBorders>
              <w:top w:val="single" w:sz="4" w:space="0" w:color="auto"/>
            </w:tcBorders>
            <w:shd w:val="clear" w:color="auto" w:fill="F3F9FA"/>
            <w:vAlign w:val="center"/>
          </w:tcPr>
          <w:p w14:paraId="35350A2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2000</w:t>
            </w:r>
          </w:p>
        </w:tc>
        <w:tc>
          <w:tcPr>
            <w:tcW w:w="1078" w:type="dxa"/>
            <w:tcBorders>
              <w:top w:val="single" w:sz="4" w:space="0" w:color="auto"/>
            </w:tcBorders>
            <w:shd w:val="clear" w:color="auto" w:fill="F3F9FA"/>
            <w:vAlign w:val="center"/>
          </w:tcPr>
          <w:p w14:paraId="4ED46379"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F3F9FA"/>
            <w:vAlign w:val="center"/>
          </w:tcPr>
          <w:p w14:paraId="44F8EDDA"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39</w:t>
            </w:r>
          </w:p>
        </w:tc>
        <w:tc>
          <w:tcPr>
            <w:tcW w:w="1078" w:type="dxa"/>
            <w:tcBorders>
              <w:top w:val="single" w:sz="4" w:space="0" w:color="auto"/>
            </w:tcBorders>
            <w:shd w:val="clear" w:color="auto" w:fill="F3F9FA"/>
            <w:noWrap/>
            <w:vAlign w:val="center"/>
            <w:hideMark/>
          </w:tcPr>
          <w:p w14:paraId="1CC99652"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-0.301</w:t>
            </w:r>
          </w:p>
        </w:tc>
        <w:tc>
          <w:tcPr>
            <w:tcW w:w="1076" w:type="dxa"/>
            <w:tcBorders>
              <w:top w:val="single" w:sz="4" w:space="0" w:color="auto"/>
            </w:tcBorders>
            <w:shd w:val="clear" w:color="auto" w:fill="F3F9FA"/>
            <w:noWrap/>
            <w:vAlign w:val="center"/>
            <w:hideMark/>
          </w:tcPr>
          <w:p w14:paraId="7C987E42"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0.0072</w:t>
            </w:r>
          </w:p>
        </w:tc>
        <w:tc>
          <w:tcPr>
            <w:tcW w:w="2475" w:type="dxa"/>
            <w:tcBorders>
              <w:top w:val="single" w:sz="4" w:space="0" w:color="auto"/>
            </w:tcBorders>
            <w:shd w:val="clear" w:color="auto" w:fill="F3F9FA"/>
            <w:noWrap/>
            <w:vAlign w:val="center"/>
            <w:hideMark/>
          </w:tcPr>
          <w:p w14:paraId="0130AC35"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-0.0129 </w:t>
            </w:r>
            <w:r w:rsidRPr="00664ECE">
              <w:rPr>
                <w:rFonts w:asciiTheme="minorHAnsi" w:hAnsiTheme="minorHAnsi"/>
                <w:color w:val="000000"/>
                <w:sz w:val="16"/>
                <w:szCs w:val="16"/>
              </w:rPr>
              <w:t>(-0.0282 to 0.0096)</w:t>
            </w:r>
          </w:p>
        </w:tc>
        <w:tc>
          <w:tcPr>
            <w:tcW w:w="1068" w:type="dxa"/>
            <w:tcBorders>
              <w:top w:val="single" w:sz="4" w:space="0" w:color="auto"/>
            </w:tcBorders>
            <w:shd w:val="clear" w:color="auto" w:fill="F3F9FA"/>
            <w:noWrap/>
            <w:vAlign w:val="center"/>
            <w:hideMark/>
          </w:tcPr>
          <w:p w14:paraId="434B150A"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1251BB" w:rsidRPr="00625DAC" w14:paraId="3E952376" w14:textId="77777777" w:rsidTr="00D64955">
        <w:trPr>
          <w:cantSplit/>
          <w:trHeight w:val="312"/>
          <w:jc w:val="center"/>
        </w:trPr>
        <w:tc>
          <w:tcPr>
            <w:tcW w:w="2028" w:type="dxa"/>
            <w:vMerge/>
            <w:shd w:val="clear" w:color="auto" w:fill="F3F9FA"/>
            <w:noWrap/>
            <w:vAlign w:val="center"/>
          </w:tcPr>
          <w:p w14:paraId="0297D339"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F3F9FA"/>
            <w:noWrap/>
            <w:vAlign w:val="center"/>
          </w:tcPr>
          <w:p w14:paraId="158EE3D6"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25C75014"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HB2</w:t>
            </w:r>
          </w:p>
        </w:tc>
        <w:tc>
          <w:tcPr>
            <w:tcW w:w="1078" w:type="dxa"/>
            <w:tcBorders>
              <w:bottom w:val="single" w:sz="4" w:space="0" w:color="auto"/>
            </w:tcBorders>
            <w:shd w:val="clear" w:color="auto" w:fill="F3F9FA"/>
            <w:vAlign w:val="center"/>
          </w:tcPr>
          <w:p w14:paraId="6A57D6BF"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2000</w:t>
            </w:r>
          </w:p>
        </w:tc>
        <w:tc>
          <w:tcPr>
            <w:tcW w:w="1078" w:type="dxa"/>
            <w:tcBorders>
              <w:bottom w:val="single" w:sz="4" w:space="0" w:color="auto"/>
            </w:tcBorders>
            <w:shd w:val="clear" w:color="auto" w:fill="F3F9FA"/>
            <w:vAlign w:val="center"/>
          </w:tcPr>
          <w:p w14:paraId="46D6422A"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F3F9FA"/>
            <w:vAlign w:val="center"/>
          </w:tcPr>
          <w:p w14:paraId="24B52ADD"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38</w:t>
            </w:r>
          </w:p>
        </w:tc>
        <w:tc>
          <w:tcPr>
            <w:tcW w:w="1078" w:type="dxa"/>
            <w:tcBorders>
              <w:bottom w:val="single" w:sz="4" w:space="0" w:color="auto"/>
            </w:tcBorders>
            <w:shd w:val="clear" w:color="auto" w:fill="F3F9FA"/>
            <w:noWrap/>
            <w:vAlign w:val="center"/>
            <w:hideMark/>
          </w:tcPr>
          <w:p w14:paraId="553A1F73"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-0.105</w:t>
            </w:r>
          </w:p>
        </w:tc>
        <w:tc>
          <w:tcPr>
            <w:tcW w:w="1076" w:type="dxa"/>
            <w:tcBorders>
              <w:bottom w:val="single" w:sz="4" w:space="0" w:color="auto"/>
            </w:tcBorders>
            <w:shd w:val="clear" w:color="auto" w:fill="F3F9FA"/>
            <w:noWrap/>
            <w:vAlign w:val="center"/>
            <w:hideMark/>
          </w:tcPr>
          <w:p w14:paraId="31D55D5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0.3587</w:t>
            </w:r>
          </w:p>
        </w:tc>
        <w:tc>
          <w:tcPr>
            <w:tcW w:w="2475" w:type="dxa"/>
            <w:tcBorders>
              <w:bottom w:val="single" w:sz="4" w:space="0" w:color="auto"/>
            </w:tcBorders>
            <w:shd w:val="clear" w:color="auto" w:fill="F3F9FA"/>
            <w:noWrap/>
            <w:vAlign w:val="center"/>
            <w:hideMark/>
          </w:tcPr>
          <w:p w14:paraId="616A8EEC" w14:textId="77777777" w:rsidR="001251BB" w:rsidRPr="00F64697" w:rsidRDefault="001251BB" w:rsidP="001251BB">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w:t>
            </w:r>
            <w:r>
              <w:rPr>
                <w:rFonts w:asciiTheme="minorHAnsi" w:hAnsiTheme="minorHAnsi"/>
                <w:color w:val="000000"/>
                <w:sz w:val="20"/>
                <w:szCs w:val="20"/>
              </w:rPr>
              <w:t>10</w:t>
            </w:r>
          </w:p>
        </w:tc>
        <w:tc>
          <w:tcPr>
            <w:tcW w:w="1068" w:type="dxa"/>
            <w:tcBorders>
              <w:bottom w:val="single" w:sz="4" w:space="0" w:color="auto"/>
            </w:tcBorders>
            <w:shd w:val="clear" w:color="auto" w:fill="F3F9FA"/>
            <w:noWrap/>
            <w:vAlign w:val="center"/>
            <w:hideMark/>
          </w:tcPr>
          <w:p w14:paraId="4FF9D60A"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7893AB99" w14:textId="77777777" w:rsidTr="00D64955">
        <w:trPr>
          <w:cantSplit/>
          <w:trHeight w:val="312"/>
          <w:jc w:val="center"/>
        </w:trPr>
        <w:tc>
          <w:tcPr>
            <w:tcW w:w="2028" w:type="dxa"/>
            <w:vMerge/>
            <w:shd w:val="clear" w:color="auto" w:fill="F3F9FA"/>
            <w:noWrap/>
            <w:vAlign w:val="center"/>
          </w:tcPr>
          <w:p w14:paraId="7A7E39EF"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tcBorders>
            <w:shd w:val="clear" w:color="auto" w:fill="F3F9FA"/>
            <w:noWrap/>
            <w:vAlign w:val="center"/>
          </w:tcPr>
          <w:p w14:paraId="57817E62"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F3F9FA"/>
            <w:noWrap/>
            <w:vAlign w:val="center"/>
            <w:hideMark/>
          </w:tcPr>
          <w:p w14:paraId="1DDA597C" w14:textId="77777777" w:rsidR="001251BB" w:rsidRPr="00095FD9" w:rsidRDefault="001251BB" w:rsidP="001251BB">
            <w:pPr>
              <w:pStyle w:val="BodyText"/>
              <w:spacing w:after="0"/>
              <w:jc w:val="center"/>
              <w:rPr>
                <w:rFonts w:asciiTheme="minorHAnsi" w:hAnsiTheme="minorHAnsi"/>
                <w:b/>
                <w:color w:val="000000"/>
                <w:sz w:val="20"/>
                <w:szCs w:val="20"/>
              </w:rPr>
            </w:pPr>
            <w:r w:rsidRPr="00095FD9">
              <w:rPr>
                <w:rFonts w:asciiTheme="minorHAnsi" w:hAnsiTheme="minorHAnsi"/>
                <w:b/>
                <w:color w:val="000000"/>
                <w:sz w:val="20"/>
                <w:szCs w:val="20"/>
              </w:rPr>
              <w:t>HM1</w:t>
            </w:r>
          </w:p>
        </w:tc>
        <w:tc>
          <w:tcPr>
            <w:tcW w:w="1078" w:type="dxa"/>
            <w:tcBorders>
              <w:top w:val="single" w:sz="4" w:space="0" w:color="auto"/>
            </w:tcBorders>
            <w:shd w:val="clear" w:color="auto" w:fill="F3F9FA"/>
            <w:vAlign w:val="center"/>
          </w:tcPr>
          <w:p w14:paraId="5CA7A264"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top w:val="single" w:sz="4" w:space="0" w:color="auto"/>
            </w:tcBorders>
            <w:shd w:val="clear" w:color="auto" w:fill="F3F9FA"/>
            <w:vAlign w:val="center"/>
          </w:tcPr>
          <w:p w14:paraId="260DC6F2"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79960BFA"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21</w:t>
            </w:r>
          </w:p>
        </w:tc>
        <w:tc>
          <w:tcPr>
            <w:tcW w:w="1078" w:type="dxa"/>
            <w:tcBorders>
              <w:top w:val="single" w:sz="4" w:space="0" w:color="auto"/>
            </w:tcBorders>
            <w:shd w:val="clear" w:color="auto" w:fill="F3F9FA"/>
            <w:noWrap/>
            <w:vAlign w:val="center"/>
            <w:hideMark/>
          </w:tcPr>
          <w:p w14:paraId="0C565C67" w14:textId="77777777" w:rsidR="001251BB" w:rsidRPr="00095FD9" w:rsidRDefault="001251BB" w:rsidP="001251BB">
            <w:pPr>
              <w:pStyle w:val="BodyText"/>
              <w:spacing w:after="0"/>
              <w:jc w:val="center"/>
              <w:rPr>
                <w:rFonts w:asciiTheme="minorHAnsi" w:hAnsiTheme="minorHAnsi"/>
                <w:b/>
                <w:color w:val="000000"/>
                <w:sz w:val="20"/>
                <w:szCs w:val="20"/>
              </w:rPr>
            </w:pPr>
            <w:r w:rsidRPr="00095FD9">
              <w:rPr>
                <w:rFonts w:asciiTheme="minorHAnsi" w:hAnsiTheme="minorHAnsi"/>
                <w:b/>
                <w:color w:val="000000"/>
                <w:sz w:val="20"/>
                <w:szCs w:val="20"/>
              </w:rPr>
              <w:t>-0.476</w:t>
            </w:r>
          </w:p>
        </w:tc>
        <w:tc>
          <w:tcPr>
            <w:tcW w:w="1076" w:type="dxa"/>
            <w:tcBorders>
              <w:top w:val="single" w:sz="4" w:space="0" w:color="auto"/>
            </w:tcBorders>
            <w:shd w:val="clear" w:color="auto" w:fill="F3F9FA"/>
            <w:noWrap/>
            <w:vAlign w:val="center"/>
            <w:hideMark/>
          </w:tcPr>
          <w:p w14:paraId="68238227" w14:textId="77777777" w:rsidR="001251BB" w:rsidRPr="00095FD9" w:rsidRDefault="001251BB" w:rsidP="001251BB">
            <w:pPr>
              <w:pStyle w:val="BodyText"/>
              <w:spacing w:after="0"/>
              <w:jc w:val="center"/>
              <w:rPr>
                <w:rFonts w:asciiTheme="minorHAnsi" w:hAnsiTheme="minorHAnsi"/>
                <w:b/>
                <w:color w:val="000000"/>
                <w:sz w:val="20"/>
                <w:szCs w:val="20"/>
              </w:rPr>
            </w:pPr>
            <w:r w:rsidRPr="00095FD9">
              <w:rPr>
                <w:rFonts w:asciiTheme="minorHAnsi" w:hAnsiTheme="minorHAnsi"/>
                <w:b/>
                <w:color w:val="000000"/>
                <w:sz w:val="20"/>
                <w:szCs w:val="20"/>
              </w:rPr>
              <w:t>0.002</w:t>
            </w:r>
            <w:r>
              <w:rPr>
                <w:rFonts w:asciiTheme="minorHAnsi" w:hAnsiTheme="minorHAnsi"/>
                <w:b/>
                <w:color w:val="000000"/>
                <w:sz w:val="20"/>
                <w:szCs w:val="20"/>
              </w:rPr>
              <w:t>3</w:t>
            </w:r>
          </w:p>
        </w:tc>
        <w:tc>
          <w:tcPr>
            <w:tcW w:w="2475" w:type="dxa"/>
            <w:tcBorders>
              <w:top w:val="single" w:sz="4" w:space="0" w:color="auto"/>
            </w:tcBorders>
            <w:shd w:val="clear" w:color="auto" w:fill="F3F9FA"/>
            <w:noWrap/>
            <w:vAlign w:val="center"/>
            <w:hideMark/>
          </w:tcPr>
          <w:p w14:paraId="35450EDA" w14:textId="77777777" w:rsidR="001251BB" w:rsidRPr="00095FD9" w:rsidRDefault="001251BB" w:rsidP="001251BB">
            <w:pPr>
              <w:pStyle w:val="BodyText"/>
              <w:spacing w:after="0"/>
              <w:jc w:val="center"/>
              <w:rPr>
                <w:rFonts w:asciiTheme="minorHAnsi" w:hAnsiTheme="minorHAnsi"/>
                <w:b/>
                <w:color w:val="000000"/>
                <w:sz w:val="16"/>
                <w:szCs w:val="16"/>
              </w:rPr>
            </w:pPr>
            <w:r w:rsidRPr="00095FD9">
              <w:rPr>
                <w:rFonts w:asciiTheme="minorHAnsi" w:hAnsiTheme="minorHAnsi"/>
                <w:b/>
                <w:color w:val="000000"/>
                <w:sz w:val="20"/>
                <w:szCs w:val="20"/>
              </w:rPr>
              <w:t>0.0105</w:t>
            </w:r>
            <w:r>
              <w:rPr>
                <w:rFonts w:asciiTheme="minorHAnsi" w:hAnsiTheme="minorHAnsi"/>
                <w:b/>
                <w:color w:val="000000"/>
                <w:sz w:val="20"/>
                <w:szCs w:val="20"/>
              </w:rPr>
              <w:t xml:space="preserve"> </w:t>
            </w:r>
            <w:r w:rsidRPr="00664ECE">
              <w:rPr>
                <w:rFonts w:asciiTheme="minorHAnsi" w:hAnsiTheme="minorHAnsi"/>
                <w:color w:val="000000"/>
                <w:sz w:val="16"/>
                <w:szCs w:val="16"/>
              </w:rPr>
              <w:t>(-0.0054 to -0.0016)</w:t>
            </w:r>
          </w:p>
        </w:tc>
        <w:tc>
          <w:tcPr>
            <w:tcW w:w="1068" w:type="dxa"/>
            <w:tcBorders>
              <w:top w:val="single" w:sz="4" w:space="0" w:color="auto"/>
            </w:tcBorders>
            <w:shd w:val="clear" w:color="auto" w:fill="F3F9FA"/>
            <w:noWrap/>
            <w:vAlign w:val="center"/>
            <w:hideMark/>
          </w:tcPr>
          <w:p w14:paraId="35577E43" w14:textId="77777777" w:rsidR="001251BB" w:rsidRPr="00095FD9" w:rsidRDefault="001251BB" w:rsidP="001251BB">
            <w:pPr>
              <w:pStyle w:val="BodyText"/>
              <w:spacing w:after="0"/>
              <w:jc w:val="center"/>
              <w:rPr>
                <w:rFonts w:asciiTheme="minorHAnsi" w:hAnsiTheme="minorHAnsi"/>
                <w:b/>
                <w:color w:val="000000"/>
                <w:sz w:val="20"/>
                <w:szCs w:val="20"/>
              </w:rPr>
            </w:pPr>
            <w:r w:rsidRPr="00095FD9">
              <w:rPr>
                <w:rFonts w:asciiTheme="minorHAnsi" w:hAnsiTheme="minorHAnsi"/>
                <w:b/>
                <w:color w:val="000000"/>
                <w:sz w:val="20"/>
                <w:szCs w:val="20"/>
              </w:rPr>
              <w:t>decrease</w:t>
            </w:r>
          </w:p>
        </w:tc>
      </w:tr>
      <w:tr w:rsidR="001251BB" w:rsidRPr="00625DAC" w14:paraId="581A8B80" w14:textId="77777777" w:rsidTr="00D64955">
        <w:trPr>
          <w:cantSplit/>
          <w:trHeight w:val="312"/>
          <w:jc w:val="center"/>
        </w:trPr>
        <w:tc>
          <w:tcPr>
            <w:tcW w:w="2028" w:type="dxa"/>
            <w:vMerge/>
            <w:shd w:val="clear" w:color="auto" w:fill="F3F9FA"/>
            <w:noWrap/>
            <w:vAlign w:val="center"/>
          </w:tcPr>
          <w:p w14:paraId="542B15ED"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F3F9FA"/>
            <w:noWrap/>
            <w:vAlign w:val="center"/>
          </w:tcPr>
          <w:p w14:paraId="13F4FCFE"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389A5239"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HM2</w:t>
            </w:r>
          </w:p>
        </w:tc>
        <w:tc>
          <w:tcPr>
            <w:tcW w:w="1078" w:type="dxa"/>
            <w:tcBorders>
              <w:bottom w:val="single" w:sz="4" w:space="0" w:color="auto"/>
            </w:tcBorders>
            <w:shd w:val="clear" w:color="auto" w:fill="F3F9FA"/>
            <w:vAlign w:val="center"/>
          </w:tcPr>
          <w:p w14:paraId="13512628"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bottom w:val="single" w:sz="4" w:space="0" w:color="auto"/>
            </w:tcBorders>
            <w:shd w:val="clear" w:color="auto" w:fill="F3F9FA"/>
            <w:vAlign w:val="center"/>
          </w:tcPr>
          <w:p w14:paraId="2B319104"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2795210B"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w:t>
            </w:r>
          </w:p>
        </w:tc>
        <w:tc>
          <w:tcPr>
            <w:tcW w:w="1078" w:type="dxa"/>
            <w:tcBorders>
              <w:bottom w:val="single" w:sz="4" w:space="0" w:color="auto"/>
            </w:tcBorders>
            <w:shd w:val="clear" w:color="auto" w:fill="F3F9FA"/>
            <w:noWrap/>
            <w:vAlign w:val="center"/>
            <w:hideMark/>
          </w:tcPr>
          <w:p w14:paraId="1F216DA1"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-0.168</w:t>
            </w:r>
          </w:p>
        </w:tc>
        <w:tc>
          <w:tcPr>
            <w:tcW w:w="1076" w:type="dxa"/>
            <w:tcBorders>
              <w:bottom w:val="single" w:sz="4" w:space="0" w:color="auto"/>
            </w:tcBorders>
            <w:shd w:val="clear" w:color="auto" w:fill="F3F9FA"/>
            <w:noWrap/>
            <w:vAlign w:val="center"/>
            <w:hideMark/>
          </w:tcPr>
          <w:p w14:paraId="607769AA"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0.3145</w:t>
            </w:r>
          </w:p>
        </w:tc>
        <w:tc>
          <w:tcPr>
            <w:tcW w:w="2475" w:type="dxa"/>
            <w:tcBorders>
              <w:bottom w:val="single" w:sz="4" w:space="0" w:color="auto"/>
            </w:tcBorders>
            <w:shd w:val="clear" w:color="auto" w:fill="F3F9FA"/>
            <w:noWrap/>
            <w:vAlign w:val="center"/>
            <w:hideMark/>
          </w:tcPr>
          <w:p w14:paraId="601D9717" w14:textId="77777777" w:rsidR="001251BB" w:rsidRPr="00F64697" w:rsidRDefault="001251BB" w:rsidP="001251BB">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0.0051</w:t>
            </w:r>
          </w:p>
        </w:tc>
        <w:tc>
          <w:tcPr>
            <w:tcW w:w="1068" w:type="dxa"/>
            <w:tcBorders>
              <w:bottom w:val="single" w:sz="4" w:space="0" w:color="auto"/>
            </w:tcBorders>
            <w:shd w:val="clear" w:color="auto" w:fill="F3F9FA"/>
            <w:noWrap/>
            <w:vAlign w:val="center"/>
          </w:tcPr>
          <w:p w14:paraId="6A3A429E"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785DFB92" w14:textId="77777777" w:rsidTr="00D64955">
        <w:trPr>
          <w:cantSplit/>
          <w:trHeight w:val="312"/>
          <w:jc w:val="center"/>
        </w:trPr>
        <w:tc>
          <w:tcPr>
            <w:tcW w:w="2028" w:type="dxa"/>
            <w:vMerge/>
            <w:tcBorders>
              <w:bottom w:val="single" w:sz="4" w:space="0" w:color="auto"/>
            </w:tcBorders>
            <w:shd w:val="clear" w:color="auto" w:fill="F3F9FA"/>
            <w:noWrap/>
            <w:vAlign w:val="center"/>
          </w:tcPr>
          <w:p w14:paraId="0D66A11E"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D9D9D9" w:themeFill="background1" w:themeFillShade="D9"/>
            <w:noWrap/>
            <w:vAlign w:val="center"/>
          </w:tcPr>
          <w:p w14:paraId="353FB9CA" w14:textId="77777777" w:rsidR="001251BB" w:rsidRPr="00625DAC" w:rsidRDefault="001251BB" w:rsidP="001251BB">
            <w:pPr>
              <w:pStyle w:val="BodyText"/>
              <w:spacing w:after="0"/>
              <w:jc w:val="left"/>
              <w:rPr>
                <w:rFonts w:asciiTheme="minorHAnsi" w:hAnsiTheme="minorHAnsi"/>
                <w:color w:val="000000"/>
                <w:sz w:val="20"/>
                <w:szCs w:val="20"/>
              </w:rPr>
            </w:pPr>
            <w:r>
              <w:rPr>
                <w:rFonts w:asciiTheme="minorHAnsi" w:hAnsiTheme="minorHAnsi"/>
                <w:color w:val="000000"/>
                <w:sz w:val="20"/>
                <w:szCs w:val="2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68C75592" w14:textId="77777777" w:rsidR="001251BB" w:rsidRPr="00625DAC" w:rsidRDefault="001251BB" w:rsidP="001251BB">
            <w:pPr>
              <w:pStyle w:val="BodyText"/>
              <w:spacing w:after="0"/>
              <w:jc w:val="center"/>
              <w:rPr>
                <w:rFonts w:asciiTheme="minorHAnsi" w:hAnsiTheme="minorHAnsi"/>
                <w:color w:val="000000"/>
                <w:sz w:val="20"/>
                <w:szCs w:val="20"/>
              </w:rPr>
            </w:pPr>
          </w:p>
        </w:tc>
        <w:tc>
          <w:tcPr>
            <w:tcW w:w="1078" w:type="dxa"/>
            <w:tcBorders>
              <w:top w:val="single" w:sz="4" w:space="0" w:color="auto"/>
              <w:bottom w:val="single" w:sz="4" w:space="0" w:color="auto"/>
            </w:tcBorders>
            <w:shd w:val="clear" w:color="auto" w:fill="D9D9D9" w:themeFill="background1" w:themeFillShade="D9"/>
            <w:vAlign w:val="center"/>
          </w:tcPr>
          <w:p w14:paraId="422A9E0D"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1999</w:t>
            </w:r>
          </w:p>
        </w:tc>
        <w:tc>
          <w:tcPr>
            <w:tcW w:w="1078" w:type="dxa"/>
            <w:tcBorders>
              <w:top w:val="single" w:sz="4" w:space="0" w:color="auto"/>
              <w:bottom w:val="single" w:sz="4" w:space="0" w:color="auto"/>
            </w:tcBorders>
            <w:shd w:val="clear" w:color="auto" w:fill="D9D9D9" w:themeFill="background1" w:themeFillShade="D9"/>
            <w:vAlign w:val="center"/>
          </w:tcPr>
          <w:p w14:paraId="77FE34A8"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D9D9D9" w:themeFill="background1" w:themeFillShade="D9"/>
            <w:vAlign w:val="center"/>
          </w:tcPr>
          <w:p w14:paraId="6E370C5C"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53</w:t>
            </w:r>
          </w:p>
        </w:tc>
        <w:tc>
          <w:tcPr>
            <w:tcW w:w="1078" w:type="dxa"/>
            <w:tcBorders>
              <w:top w:val="single" w:sz="4" w:space="0" w:color="auto"/>
              <w:bottom w:val="single" w:sz="4" w:space="0" w:color="auto"/>
            </w:tcBorders>
            <w:shd w:val="clear" w:color="auto" w:fill="D9D9D9" w:themeFill="background1" w:themeFillShade="D9"/>
            <w:noWrap/>
            <w:vAlign w:val="center"/>
          </w:tcPr>
          <w:p w14:paraId="50E22506" w14:textId="77777777" w:rsidR="001251BB" w:rsidRPr="000978B6" w:rsidRDefault="001251BB" w:rsidP="001251BB">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-0.298</w:t>
            </w:r>
          </w:p>
        </w:tc>
        <w:tc>
          <w:tcPr>
            <w:tcW w:w="1076" w:type="dxa"/>
            <w:tcBorders>
              <w:top w:val="single" w:sz="4" w:space="0" w:color="auto"/>
              <w:bottom w:val="single" w:sz="4" w:space="0" w:color="auto"/>
            </w:tcBorders>
            <w:shd w:val="clear" w:color="auto" w:fill="D9D9D9" w:themeFill="background1" w:themeFillShade="D9"/>
            <w:noWrap/>
            <w:vAlign w:val="center"/>
          </w:tcPr>
          <w:p w14:paraId="0EB33DE9"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b/>
                <w:color w:val="000000"/>
                <w:sz w:val="20"/>
                <w:szCs w:val="20"/>
              </w:rPr>
              <w:t>&lt;</w:t>
            </w:r>
            <w:r w:rsidRPr="005B7EF2">
              <w:rPr>
                <w:rFonts w:asciiTheme="minorHAnsi" w:hAnsiTheme="minorHAnsi"/>
                <w:b/>
                <w:color w:val="000000"/>
                <w:sz w:val="20"/>
                <w:szCs w:val="20"/>
              </w:rPr>
              <w:t>0.000</w:t>
            </w:r>
            <w:r>
              <w:rPr>
                <w:rFonts w:asciiTheme="minorHAnsi" w:hAnsiTheme="minorHAnsi"/>
                <w:b/>
                <w:color w:val="000000"/>
                <w:sz w:val="20"/>
                <w:szCs w:val="20"/>
              </w:rPr>
              <w:t>1</w:t>
            </w:r>
          </w:p>
        </w:tc>
        <w:tc>
          <w:tcPr>
            <w:tcW w:w="2475" w:type="dxa"/>
            <w:tcBorders>
              <w:top w:val="single" w:sz="4" w:space="0" w:color="auto"/>
              <w:bottom w:val="single" w:sz="4" w:space="0" w:color="auto"/>
            </w:tcBorders>
            <w:shd w:val="clear" w:color="auto" w:fill="D9D9D9" w:themeFill="background1" w:themeFillShade="D9"/>
            <w:noWrap/>
            <w:vAlign w:val="center"/>
          </w:tcPr>
          <w:p w14:paraId="0D5AC83F" w14:textId="77777777" w:rsidR="001251BB" w:rsidRPr="00F64697" w:rsidRDefault="001251BB" w:rsidP="001251BB">
            <w:pPr>
              <w:pStyle w:val="BodyText"/>
              <w:spacing w:after="0"/>
              <w:jc w:val="center"/>
              <w:rPr>
                <w:rFonts w:asciiTheme="minorHAnsi" w:hAnsiTheme="minorHAnsi"/>
                <w:color w:val="000000"/>
                <w:sz w:val="20"/>
                <w:szCs w:val="20"/>
              </w:rPr>
            </w:pPr>
            <w:r w:rsidRPr="002D058B">
              <w:rPr>
                <w:rFonts w:asciiTheme="minorHAnsi" w:hAnsiTheme="minorHAnsi"/>
                <w:b/>
                <w:color w:val="000000"/>
                <w:sz w:val="20"/>
                <w:szCs w:val="20"/>
              </w:rPr>
              <w:t>-0.0012</w:t>
            </w:r>
            <w:r>
              <w:rPr>
                <w:rFonts w:asciiTheme="minorHAnsi" w:hAnsiTheme="minorHAnsi"/>
                <w:color w:val="000000"/>
                <w:sz w:val="20"/>
                <w:szCs w:val="20"/>
              </w:rPr>
              <w:t xml:space="preserve"> </w:t>
            </w:r>
            <w:r w:rsidRPr="000978B6">
              <w:rPr>
                <w:rFonts w:asciiTheme="minorHAnsi" w:hAnsiTheme="minorHAnsi"/>
                <w:color w:val="000000"/>
                <w:sz w:val="16"/>
                <w:szCs w:val="16"/>
              </w:rPr>
              <w:t>(</w:t>
            </w:r>
            <w:r w:rsidRPr="002D058B">
              <w:rPr>
                <w:rFonts w:asciiTheme="minorHAnsi" w:hAnsiTheme="minorHAnsi"/>
                <w:color w:val="000000"/>
                <w:sz w:val="16"/>
                <w:szCs w:val="16"/>
              </w:rPr>
              <w:t>-0.001</w:t>
            </w:r>
            <w:r w:rsidRPr="000978B6">
              <w:rPr>
                <w:rFonts w:asciiTheme="minorHAnsi" w:hAnsiTheme="minorHAnsi"/>
                <w:color w:val="000000"/>
                <w:sz w:val="16"/>
                <w:szCs w:val="16"/>
              </w:rPr>
              <w:t xml:space="preserve">8 to </w:t>
            </w:r>
            <w:r w:rsidRPr="002D058B">
              <w:rPr>
                <w:rFonts w:asciiTheme="minorHAnsi" w:hAnsiTheme="minorHAnsi"/>
                <w:color w:val="000000"/>
                <w:sz w:val="16"/>
                <w:szCs w:val="16"/>
              </w:rPr>
              <w:t>-0.0006</w:t>
            </w:r>
            <w:r w:rsidRPr="000978B6">
              <w:rPr>
                <w:rFonts w:asciiTheme="minorHAnsi" w:hAnsiTheme="minorHAnsi"/>
                <w:color w:val="000000"/>
                <w:sz w:val="16"/>
                <w:szCs w:val="16"/>
              </w:rPr>
              <w:t>)</w:t>
            </w:r>
          </w:p>
        </w:tc>
        <w:tc>
          <w:tcPr>
            <w:tcW w:w="1068" w:type="dxa"/>
            <w:tcBorders>
              <w:top w:val="single" w:sz="4" w:space="0" w:color="auto"/>
              <w:bottom w:val="single" w:sz="4" w:space="0" w:color="auto"/>
            </w:tcBorders>
            <w:shd w:val="clear" w:color="auto" w:fill="D9D9D9" w:themeFill="background1" w:themeFillShade="D9"/>
            <w:noWrap/>
            <w:vAlign w:val="center"/>
          </w:tcPr>
          <w:p w14:paraId="6EC0DFFE" w14:textId="77777777" w:rsidR="001251BB" w:rsidRDefault="001251BB" w:rsidP="001251BB">
            <w:pPr>
              <w:pStyle w:val="BodyText"/>
              <w:spacing w:after="0"/>
              <w:jc w:val="center"/>
              <w:rPr>
                <w:rFonts w:asciiTheme="minorHAnsi" w:hAnsiTheme="minorHAnsi"/>
                <w:color w:val="000000"/>
                <w:sz w:val="20"/>
                <w:szCs w:val="20"/>
              </w:rPr>
            </w:pPr>
            <w:r w:rsidRPr="00095FD9">
              <w:rPr>
                <w:rFonts w:asciiTheme="minorHAnsi" w:hAnsiTheme="minorHAnsi"/>
                <w:b/>
                <w:color w:val="000000"/>
                <w:sz w:val="20"/>
                <w:szCs w:val="20"/>
              </w:rPr>
              <w:t>decrease</w:t>
            </w:r>
          </w:p>
        </w:tc>
      </w:tr>
      <w:tr w:rsidR="001251BB" w:rsidRPr="00625DAC" w14:paraId="11E5CA41" w14:textId="77777777" w:rsidTr="00D64955">
        <w:trPr>
          <w:cantSplit/>
          <w:trHeight w:val="312"/>
          <w:jc w:val="center"/>
        </w:trPr>
        <w:tc>
          <w:tcPr>
            <w:tcW w:w="2028" w:type="dxa"/>
            <w:vMerge w:val="restart"/>
            <w:tcBorders>
              <w:top w:val="single" w:sz="4" w:space="0" w:color="auto"/>
            </w:tcBorders>
            <w:shd w:val="clear" w:color="auto" w:fill="E7F3F4"/>
            <w:noWrap/>
            <w:vAlign w:val="center"/>
            <w:hideMark/>
          </w:tcPr>
          <w:p w14:paraId="11C7048A" w14:textId="77777777" w:rsidR="001251BB" w:rsidRDefault="001251BB" w:rsidP="001251BB">
            <w:pPr>
              <w:pStyle w:val="BodyText"/>
              <w:spacing w:after="0"/>
              <w:jc w:val="left"/>
              <w:rPr>
                <w:rFonts w:asciiTheme="minorHAnsi" w:hAnsiTheme="minorHAnsi"/>
                <w:color w:val="000000"/>
                <w:sz w:val="20"/>
                <w:szCs w:val="20"/>
              </w:rPr>
            </w:pPr>
          </w:p>
          <w:p w14:paraId="1B05DF34" w14:textId="77777777" w:rsidR="001251BB" w:rsidRDefault="001251BB" w:rsidP="001251BB">
            <w:pPr>
              <w:pStyle w:val="BodyText"/>
              <w:spacing w:after="0"/>
              <w:jc w:val="left"/>
              <w:rPr>
                <w:rFonts w:asciiTheme="minorHAnsi" w:hAnsiTheme="minorHAnsi"/>
                <w:color w:val="000000"/>
                <w:sz w:val="20"/>
                <w:szCs w:val="20"/>
              </w:rPr>
            </w:pPr>
          </w:p>
          <w:p w14:paraId="48890A3F" w14:textId="796A4D41"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Fitzroy</w:t>
            </w:r>
          </w:p>
        </w:tc>
        <w:tc>
          <w:tcPr>
            <w:tcW w:w="1874" w:type="dxa"/>
            <w:tcBorders>
              <w:top w:val="single" w:sz="4" w:space="0" w:color="auto"/>
            </w:tcBorders>
            <w:shd w:val="clear" w:color="auto" w:fill="E7F3F4"/>
            <w:noWrap/>
            <w:vAlign w:val="center"/>
            <w:hideMark/>
          </w:tcPr>
          <w:p w14:paraId="4C5AF69E" w14:textId="77777777"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estuarine intertidal</w:t>
            </w:r>
          </w:p>
        </w:tc>
        <w:tc>
          <w:tcPr>
            <w:tcW w:w="720" w:type="dxa"/>
            <w:tcBorders>
              <w:top w:val="single" w:sz="4" w:space="0" w:color="auto"/>
            </w:tcBorders>
            <w:shd w:val="clear" w:color="auto" w:fill="E7F3F4"/>
            <w:noWrap/>
            <w:vAlign w:val="center"/>
            <w:hideMark/>
          </w:tcPr>
          <w:p w14:paraId="58B3DC2C"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GH1</w:t>
            </w:r>
          </w:p>
        </w:tc>
        <w:tc>
          <w:tcPr>
            <w:tcW w:w="1078" w:type="dxa"/>
            <w:tcBorders>
              <w:top w:val="single" w:sz="4" w:space="0" w:color="auto"/>
            </w:tcBorders>
            <w:shd w:val="clear" w:color="auto" w:fill="E7F3F4"/>
            <w:vAlign w:val="center"/>
          </w:tcPr>
          <w:p w14:paraId="0712567C"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top w:val="single" w:sz="4" w:space="0" w:color="auto"/>
            </w:tcBorders>
            <w:shd w:val="clear" w:color="auto" w:fill="E7F3F4"/>
            <w:vAlign w:val="center"/>
          </w:tcPr>
          <w:p w14:paraId="658C85FF"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E7F3F4"/>
            <w:vAlign w:val="center"/>
          </w:tcPr>
          <w:p w14:paraId="5AFD7541"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34</w:t>
            </w:r>
          </w:p>
        </w:tc>
        <w:tc>
          <w:tcPr>
            <w:tcW w:w="1078" w:type="dxa"/>
            <w:tcBorders>
              <w:top w:val="single" w:sz="4" w:space="0" w:color="auto"/>
            </w:tcBorders>
            <w:shd w:val="clear" w:color="auto" w:fill="E7F3F4"/>
            <w:noWrap/>
            <w:vAlign w:val="center"/>
            <w:hideMark/>
          </w:tcPr>
          <w:p w14:paraId="488834DA"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-0.23</w:t>
            </w:r>
          </w:p>
        </w:tc>
        <w:tc>
          <w:tcPr>
            <w:tcW w:w="1076" w:type="dxa"/>
            <w:tcBorders>
              <w:top w:val="single" w:sz="4" w:space="0" w:color="auto"/>
            </w:tcBorders>
            <w:shd w:val="clear" w:color="auto" w:fill="E7F3F4"/>
            <w:noWrap/>
            <w:vAlign w:val="center"/>
            <w:hideMark/>
          </w:tcPr>
          <w:p w14:paraId="2C605ACD"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0.057</w:t>
            </w:r>
            <w:r>
              <w:rPr>
                <w:rFonts w:asciiTheme="minorHAnsi" w:hAnsiTheme="minorHAnsi"/>
                <w:color w:val="000000"/>
                <w:sz w:val="20"/>
                <w:szCs w:val="20"/>
              </w:rPr>
              <w:t>8</w:t>
            </w:r>
          </w:p>
        </w:tc>
        <w:tc>
          <w:tcPr>
            <w:tcW w:w="2475" w:type="dxa"/>
            <w:tcBorders>
              <w:top w:val="single" w:sz="4" w:space="0" w:color="auto"/>
            </w:tcBorders>
            <w:shd w:val="clear" w:color="auto" w:fill="E7F3F4"/>
            <w:noWrap/>
            <w:vAlign w:val="center"/>
            <w:hideMark/>
          </w:tcPr>
          <w:p w14:paraId="07882884" w14:textId="77777777" w:rsidR="001251BB" w:rsidRPr="00F64697"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0.0002</w:t>
            </w:r>
          </w:p>
        </w:tc>
        <w:tc>
          <w:tcPr>
            <w:tcW w:w="1068" w:type="dxa"/>
            <w:tcBorders>
              <w:top w:val="single" w:sz="4" w:space="0" w:color="auto"/>
            </w:tcBorders>
            <w:shd w:val="clear" w:color="auto" w:fill="E7F3F4"/>
            <w:noWrap/>
            <w:vAlign w:val="center"/>
          </w:tcPr>
          <w:p w14:paraId="0D8712B8"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32722D7C" w14:textId="77777777" w:rsidTr="00D64955">
        <w:trPr>
          <w:cantSplit/>
          <w:trHeight w:val="312"/>
          <w:jc w:val="center"/>
        </w:trPr>
        <w:tc>
          <w:tcPr>
            <w:tcW w:w="2028" w:type="dxa"/>
            <w:vMerge/>
            <w:shd w:val="clear" w:color="auto" w:fill="E7F3F4"/>
            <w:noWrap/>
            <w:vAlign w:val="center"/>
          </w:tcPr>
          <w:p w14:paraId="378CD5F0" w14:textId="23E73F0B"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E7F3F4"/>
            <w:noWrap/>
            <w:vAlign w:val="center"/>
            <w:hideMark/>
          </w:tcPr>
          <w:p w14:paraId="30F8261D"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ADAFCC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GH2</w:t>
            </w:r>
          </w:p>
        </w:tc>
        <w:tc>
          <w:tcPr>
            <w:tcW w:w="1078" w:type="dxa"/>
            <w:tcBorders>
              <w:bottom w:val="single" w:sz="4" w:space="0" w:color="auto"/>
            </w:tcBorders>
            <w:shd w:val="clear" w:color="auto" w:fill="E7F3F4"/>
            <w:vAlign w:val="center"/>
          </w:tcPr>
          <w:p w14:paraId="7E203AC0"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2005</w:t>
            </w:r>
          </w:p>
        </w:tc>
        <w:tc>
          <w:tcPr>
            <w:tcW w:w="1078" w:type="dxa"/>
            <w:tcBorders>
              <w:bottom w:val="single" w:sz="4" w:space="0" w:color="auto"/>
            </w:tcBorders>
            <w:shd w:val="clear" w:color="auto" w:fill="E7F3F4"/>
            <w:vAlign w:val="center"/>
          </w:tcPr>
          <w:p w14:paraId="357ADD7F"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E7F3F4"/>
            <w:vAlign w:val="center"/>
          </w:tcPr>
          <w:p w14:paraId="459033D1"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34</w:t>
            </w:r>
          </w:p>
        </w:tc>
        <w:tc>
          <w:tcPr>
            <w:tcW w:w="1078" w:type="dxa"/>
            <w:tcBorders>
              <w:bottom w:val="single" w:sz="4" w:space="0" w:color="auto"/>
            </w:tcBorders>
            <w:shd w:val="clear" w:color="auto" w:fill="E7F3F4"/>
            <w:noWrap/>
            <w:vAlign w:val="center"/>
            <w:hideMark/>
          </w:tcPr>
          <w:p w14:paraId="4820BB3B"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0.105</w:t>
            </w:r>
          </w:p>
        </w:tc>
        <w:tc>
          <w:tcPr>
            <w:tcW w:w="1076" w:type="dxa"/>
            <w:tcBorders>
              <w:bottom w:val="single" w:sz="4" w:space="0" w:color="auto"/>
            </w:tcBorders>
            <w:shd w:val="clear" w:color="auto" w:fill="E7F3F4"/>
            <w:noWrap/>
            <w:vAlign w:val="center"/>
            <w:hideMark/>
          </w:tcPr>
          <w:p w14:paraId="2ABBAC43"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0.3899</w:t>
            </w:r>
          </w:p>
        </w:tc>
        <w:tc>
          <w:tcPr>
            <w:tcW w:w="2475" w:type="dxa"/>
            <w:tcBorders>
              <w:bottom w:val="single" w:sz="4" w:space="0" w:color="auto"/>
            </w:tcBorders>
            <w:shd w:val="clear" w:color="auto" w:fill="E7F3F4"/>
            <w:noWrap/>
            <w:vAlign w:val="center"/>
            <w:hideMark/>
          </w:tcPr>
          <w:p w14:paraId="7CCC5A68" w14:textId="77777777" w:rsidR="001251BB" w:rsidRPr="00F64697"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-0.0012</w:t>
            </w:r>
          </w:p>
        </w:tc>
        <w:tc>
          <w:tcPr>
            <w:tcW w:w="1068" w:type="dxa"/>
            <w:tcBorders>
              <w:bottom w:val="single" w:sz="4" w:space="0" w:color="auto"/>
            </w:tcBorders>
            <w:shd w:val="clear" w:color="auto" w:fill="E7F3F4"/>
            <w:noWrap/>
            <w:vAlign w:val="center"/>
          </w:tcPr>
          <w:p w14:paraId="46B54057"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3BE8C33C" w14:textId="77777777" w:rsidTr="00D64955">
        <w:trPr>
          <w:cantSplit/>
          <w:trHeight w:val="312"/>
          <w:jc w:val="center"/>
        </w:trPr>
        <w:tc>
          <w:tcPr>
            <w:tcW w:w="2028" w:type="dxa"/>
            <w:vMerge/>
            <w:shd w:val="clear" w:color="auto" w:fill="E7F3F4"/>
            <w:noWrap/>
            <w:vAlign w:val="center"/>
          </w:tcPr>
          <w:p w14:paraId="6147CCC1" w14:textId="557EAAB1"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tcBorders>
            <w:shd w:val="clear" w:color="auto" w:fill="E7F3F4"/>
            <w:noWrap/>
            <w:vAlign w:val="center"/>
            <w:hideMark/>
          </w:tcPr>
          <w:p w14:paraId="1A86F8BC" w14:textId="77777777"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coastal intertidal</w:t>
            </w:r>
          </w:p>
        </w:tc>
        <w:tc>
          <w:tcPr>
            <w:tcW w:w="720" w:type="dxa"/>
            <w:tcBorders>
              <w:top w:val="single" w:sz="4" w:space="0" w:color="auto"/>
            </w:tcBorders>
            <w:shd w:val="clear" w:color="auto" w:fill="E7F3F4"/>
            <w:noWrap/>
            <w:vAlign w:val="center"/>
            <w:hideMark/>
          </w:tcPr>
          <w:p w14:paraId="4700F7FF"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RC1</w:t>
            </w:r>
          </w:p>
        </w:tc>
        <w:tc>
          <w:tcPr>
            <w:tcW w:w="1078" w:type="dxa"/>
            <w:tcBorders>
              <w:top w:val="single" w:sz="4" w:space="0" w:color="auto"/>
            </w:tcBorders>
            <w:shd w:val="clear" w:color="auto" w:fill="E7F3F4"/>
            <w:vAlign w:val="center"/>
          </w:tcPr>
          <w:p w14:paraId="0B36D838"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2002</w:t>
            </w:r>
          </w:p>
        </w:tc>
        <w:tc>
          <w:tcPr>
            <w:tcW w:w="1078" w:type="dxa"/>
            <w:tcBorders>
              <w:top w:val="single" w:sz="4" w:space="0" w:color="auto"/>
            </w:tcBorders>
            <w:shd w:val="clear" w:color="auto" w:fill="E7F3F4"/>
            <w:vAlign w:val="center"/>
          </w:tcPr>
          <w:p w14:paraId="52118302"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E7F3F4"/>
            <w:vAlign w:val="center"/>
          </w:tcPr>
          <w:p w14:paraId="04DBB314"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29</w:t>
            </w:r>
          </w:p>
        </w:tc>
        <w:tc>
          <w:tcPr>
            <w:tcW w:w="1078" w:type="dxa"/>
            <w:tcBorders>
              <w:top w:val="single" w:sz="4" w:space="0" w:color="auto"/>
            </w:tcBorders>
            <w:shd w:val="clear" w:color="auto" w:fill="E7F3F4"/>
            <w:noWrap/>
            <w:vAlign w:val="center"/>
            <w:hideMark/>
          </w:tcPr>
          <w:p w14:paraId="7B71C773"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-0.182</w:t>
            </w:r>
          </w:p>
        </w:tc>
        <w:tc>
          <w:tcPr>
            <w:tcW w:w="1076" w:type="dxa"/>
            <w:tcBorders>
              <w:top w:val="single" w:sz="4" w:space="0" w:color="auto"/>
            </w:tcBorders>
            <w:shd w:val="clear" w:color="auto" w:fill="E7F3F4"/>
            <w:noWrap/>
            <w:vAlign w:val="center"/>
            <w:hideMark/>
          </w:tcPr>
          <w:p w14:paraId="56FD880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0.1709</w:t>
            </w:r>
          </w:p>
        </w:tc>
        <w:tc>
          <w:tcPr>
            <w:tcW w:w="2475" w:type="dxa"/>
            <w:tcBorders>
              <w:top w:val="single" w:sz="4" w:space="0" w:color="auto"/>
            </w:tcBorders>
            <w:shd w:val="clear" w:color="auto" w:fill="E7F3F4"/>
            <w:noWrap/>
            <w:vAlign w:val="center"/>
            <w:hideMark/>
          </w:tcPr>
          <w:p w14:paraId="57585B1E" w14:textId="77777777" w:rsidR="001251BB" w:rsidRPr="00F64697" w:rsidRDefault="001251BB" w:rsidP="001251BB">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-0.0010</w:t>
            </w:r>
          </w:p>
        </w:tc>
        <w:tc>
          <w:tcPr>
            <w:tcW w:w="1068" w:type="dxa"/>
            <w:tcBorders>
              <w:top w:val="single" w:sz="4" w:space="0" w:color="auto"/>
            </w:tcBorders>
            <w:shd w:val="clear" w:color="auto" w:fill="E7F3F4"/>
            <w:noWrap/>
            <w:vAlign w:val="center"/>
          </w:tcPr>
          <w:p w14:paraId="73AC8149"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2B6863F7" w14:textId="77777777" w:rsidTr="00D64955">
        <w:trPr>
          <w:cantSplit/>
          <w:trHeight w:val="312"/>
          <w:jc w:val="center"/>
        </w:trPr>
        <w:tc>
          <w:tcPr>
            <w:tcW w:w="2028" w:type="dxa"/>
            <w:vMerge/>
            <w:shd w:val="clear" w:color="auto" w:fill="E7F3F4"/>
            <w:noWrap/>
            <w:vAlign w:val="center"/>
          </w:tcPr>
          <w:p w14:paraId="6B96960F" w14:textId="13855BE1"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E7F3F4"/>
            <w:noWrap/>
            <w:vAlign w:val="center"/>
          </w:tcPr>
          <w:p w14:paraId="0B079F4F"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E7755DE"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WH1</w:t>
            </w:r>
          </w:p>
        </w:tc>
        <w:tc>
          <w:tcPr>
            <w:tcW w:w="1078" w:type="dxa"/>
            <w:tcBorders>
              <w:bottom w:val="single" w:sz="4" w:space="0" w:color="auto"/>
            </w:tcBorders>
            <w:shd w:val="clear" w:color="auto" w:fill="E7F3F4"/>
            <w:vAlign w:val="center"/>
          </w:tcPr>
          <w:p w14:paraId="0325FA06"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2002</w:t>
            </w:r>
          </w:p>
        </w:tc>
        <w:tc>
          <w:tcPr>
            <w:tcW w:w="1078" w:type="dxa"/>
            <w:tcBorders>
              <w:bottom w:val="single" w:sz="4" w:space="0" w:color="auto"/>
            </w:tcBorders>
            <w:shd w:val="clear" w:color="auto" w:fill="E7F3F4"/>
            <w:vAlign w:val="center"/>
          </w:tcPr>
          <w:p w14:paraId="62F55985"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E7F3F4"/>
            <w:vAlign w:val="center"/>
          </w:tcPr>
          <w:p w14:paraId="79783D00"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31</w:t>
            </w:r>
          </w:p>
        </w:tc>
        <w:tc>
          <w:tcPr>
            <w:tcW w:w="1078" w:type="dxa"/>
            <w:tcBorders>
              <w:bottom w:val="single" w:sz="4" w:space="0" w:color="auto"/>
            </w:tcBorders>
            <w:shd w:val="clear" w:color="auto" w:fill="E7F3F4"/>
            <w:noWrap/>
            <w:vAlign w:val="center"/>
            <w:hideMark/>
          </w:tcPr>
          <w:p w14:paraId="14C9193F"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-0.191</w:t>
            </w:r>
          </w:p>
        </w:tc>
        <w:tc>
          <w:tcPr>
            <w:tcW w:w="1076" w:type="dxa"/>
            <w:tcBorders>
              <w:bottom w:val="single" w:sz="4" w:space="0" w:color="auto"/>
            </w:tcBorders>
            <w:shd w:val="clear" w:color="auto" w:fill="E7F3F4"/>
            <w:noWrap/>
            <w:vAlign w:val="center"/>
            <w:hideMark/>
          </w:tcPr>
          <w:p w14:paraId="01DA3D43"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0.1347</w:t>
            </w:r>
          </w:p>
        </w:tc>
        <w:tc>
          <w:tcPr>
            <w:tcW w:w="2475" w:type="dxa"/>
            <w:tcBorders>
              <w:bottom w:val="single" w:sz="4" w:space="0" w:color="auto"/>
            </w:tcBorders>
            <w:shd w:val="clear" w:color="auto" w:fill="E7F3F4"/>
            <w:noWrap/>
            <w:vAlign w:val="center"/>
            <w:hideMark/>
          </w:tcPr>
          <w:p w14:paraId="2C6CEFBC" w14:textId="77777777" w:rsidR="001251BB" w:rsidRPr="00F64697" w:rsidRDefault="001251BB" w:rsidP="001251BB">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-0.0023</w:t>
            </w:r>
          </w:p>
        </w:tc>
        <w:tc>
          <w:tcPr>
            <w:tcW w:w="1068" w:type="dxa"/>
            <w:tcBorders>
              <w:bottom w:val="single" w:sz="4" w:space="0" w:color="auto"/>
            </w:tcBorders>
            <w:shd w:val="clear" w:color="auto" w:fill="E7F3F4"/>
            <w:noWrap/>
            <w:vAlign w:val="center"/>
          </w:tcPr>
          <w:p w14:paraId="6A35C235"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0DA1F68A" w14:textId="77777777" w:rsidTr="00D64955">
        <w:trPr>
          <w:cantSplit/>
          <w:trHeight w:val="312"/>
          <w:jc w:val="center"/>
        </w:trPr>
        <w:tc>
          <w:tcPr>
            <w:tcW w:w="2028" w:type="dxa"/>
            <w:vMerge/>
            <w:shd w:val="clear" w:color="auto" w:fill="E7F3F4"/>
            <w:noWrap/>
            <w:vAlign w:val="center"/>
          </w:tcPr>
          <w:p w14:paraId="5ECFC61B"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tcBorders>
            <w:shd w:val="clear" w:color="auto" w:fill="E7F3F4"/>
            <w:noWrap/>
            <w:vAlign w:val="center"/>
            <w:hideMark/>
          </w:tcPr>
          <w:p w14:paraId="63EFEFAB" w14:textId="77777777"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reef intertidal</w:t>
            </w:r>
          </w:p>
        </w:tc>
        <w:tc>
          <w:tcPr>
            <w:tcW w:w="720" w:type="dxa"/>
            <w:tcBorders>
              <w:top w:val="single" w:sz="4" w:space="0" w:color="auto"/>
            </w:tcBorders>
            <w:shd w:val="clear" w:color="auto" w:fill="E7F3F4"/>
            <w:noWrap/>
            <w:vAlign w:val="center"/>
            <w:hideMark/>
          </w:tcPr>
          <w:p w14:paraId="06CA689D"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GK1</w:t>
            </w:r>
          </w:p>
        </w:tc>
        <w:tc>
          <w:tcPr>
            <w:tcW w:w="1078" w:type="dxa"/>
            <w:tcBorders>
              <w:top w:val="single" w:sz="4" w:space="0" w:color="auto"/>
            </w:tcBorders>
            <w:shd w:val="clear" w:color="auto" w:fill="E7F3F4"/>
            <w:vAlign w:val="center"/>
          </w:tcPr>
          <w:p w14:paraId="1E1BFB52"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top w:val="single" w:sz="4" w:space="0" w:color="auto"/>
            </w:tcBorders>
            <w:shd w:val="clear" w:color="auto" w:fill="E7F3F4"/>
            <w:vAlign w:val="center"/>
          </w:tcPr>
          <w:p w14:paraId="328539A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top w:val="single" w:sz="4" w:space="0" w:color="auto"/>
            </w:tcBorders>
            <w:shd w:val="clear" w:color="auto" w:fill="E7F3F4"/>
            <w:vAlign w:val="center"/>
          </w:tcPr>
          <w:p w14:paraId="3C02873A"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17</w:t>
            </w:r>
          </w:p>
        </w:tc>
        <w:tc>
          <w:tcPr>
            <w:tcW w:w="1078" w:type="dxa"/>
            <w:tcBorders>
              <w:top w:val="single" w:sz="4" w:space="0" w:color="auto"/>
            </w:tcBorders>
            <w:shd w:val="clear" w:color="auto" w:fill="E7F3F4"/>
            <w:noWrap/>
            <w:vAlign w:val="center"/>
            <w:hideMark/>
          </w:tcPr>
          <w:p w14:paraId="480A8CB1"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-0.332</w:t>
            </w:r>
          </w:p>
        </w:tc>
        <w:tc>
          <w:tcPr>
            <w:tcW w:w="1076" w:type="dxa"/>
            <w:tcBorders>
              <w:top w:val="single" w:sz="4" w:space="0" w:color="auto"/>
            </w:tcBorders>
            <w:shd w:val="clear" w:color="auto" w:fill="E7F3F4"/>
            <w:noWrap/>
            <w:vAlign w:val="center"/>
            <w:hideMark/>
          </w:tcPr>
          <w:p w14:paraId="57C44D39"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0.069</w:t>
            </w:r>
            <w:r>
              <w:rPr>
                <w:rFonts w:asciiTheme="minorHAnsi" w:hAnsiTheme="minorHAnsi"/>
                <w:color w:val="000000"/>
                <w:sz w:val="20"/>
                <w:szCs w:val="20"/>
              </w:rPr>
              <w:t>7</w:t>
            </w:r>
          </w:p>
        </w:tc>
        <w:tc>
          <w:tcPr>
            <w:tcW w:w="2475" w:type="dxa"/>
            <w:tcBorders>
              <w:top w:val="single" w:sz="4" w:space="0" w:color="auto"/>
            </w:tcBorders>
            <w:shd w:val="clear" w:color="auto" w:fill="E7F3F4"/>
            <w:noWrap/>
            <w:vAlign w:val="center"/>
            <w:hideMark/>
          </w:tcPr>
          <w:p w14:paraId="20D36544" w14:textId="77777777" w:rsidR="001251BB" w:rsidRPr="00F64697" w:rsidRDefault="001251BB" w:rsidP="001251BB">
            <w:pPr>
              <w:pStyle w:val="BodyText"/>
              <w:spacing w:after="0"/>
              <w:jc w:val="center"/>
              <w:rPr>
                <w:rFonts w:asciiTheme="minorHAnsi" w:hAnsiTheme="minorHAnsi"/>
                <w:color w:val="000000"/>
                <w:sz w:val="20"/>
                <w:szCs w:val="20"/>
              </w:rPr>
            </w:pPr>
            <w:r w:rsidRPr="00F64697">
              <w:rPr>
                <w:rFonts w:asciiTheme="minorHAnsi" w:hAnsiTheme="minorHAnsi"/>
                <w:color w:val="000000"/>
                <w:sz w:val="20"/>
                <w:szCs w:val="20"/>
              </w:rPr>
              <w:t>-0.0008</w:t>
            </w:r>
          </w:p>
        </w:tc>
        <w:tc>
          <w:tcPr>
            <w:tcW w:w="1068" w:type="dxa"/>
            <w:tcBorders>
              <w:top w:val="single" w:sz="4" w:space="0" w:color="auto"/>
            </w:tcBorders>
            <w:shd w:val="clear" w:color="auto" w:fill="E7F3F4"/>
            <w:noWrap/>
            <w:vAlign w:val="center"/>
          </w:tcPr>
          <w:p w14:paraId="68E0A835"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49691CE3" w14:textId="77777777" w:rsidTr="00D64955">
        <w:trPr>
          <w:cantSplit/>
          <w:trHeight w:val="312"/>
          <w:jc w:val="center"/>
        </w:trPr>
        <w:tc>
          <w:tcPr>
            <w:tcW w:w="2028" w:type="dxa"/>
            <w:vMerge/>
            <w:shd w:val="clear" w:color="auto" w:fill="E7F3F4"/>
            <w:noWrap/>
            <w:vAlign w:val="center"/>
          </w:tcPr>
          <w:p w14:paraId="197BB439"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E7F3F4"/>
            <w:noWrap/>
            <w:vAlign w:val="center"/>
            <w:hideMark/>
          </w:tcPr>
          <w:p w14:paraId="39BDA901"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E7F3F4"/>
            <w:noWrap/>
            <w:vAlign w:val="center"/>
            <w:hideMark/>
          </w:tcPr>
          <w:p w14:paraId="3C094AFA"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GK2</w:t>
            </w:r>
          </w:p>
        </w:tc>
        <w:tc>
          <w:tcPr>
            <w:tcW w:w="1078" w:type="dxa"/>
            <w:tcBorders>
              <w:bottom w:val="single" w:sz="4" w:space="0" w:color="auto"/>
            </w:tcBorders>
            <w:shd w:val="clear" w:color="auto" w:fill="E7F3F4"/>
            <w:vAlign w:val="center"/>
          </w:tcPr>
          <w:p w14:paraId="4B8E3AD3"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bottom w:val="single" w:sz="4" w:space="0" w:color="auto"/>
            </w:tcBorders>
            <w:shd w:val="clear" w:color="auto" w:fill="E7F3F4"/>
            <w:vAlign w:val="center"/>
          </w:tcPr>
          <w:p w14:paraId="2A73A0F9"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2016</w:t>
            </w:r>
          </w:p>
        </w:tc>
        <w:tc>
          <w:tcPr>
            <w:tcW w:w="519" w:type="dxa"/>
            <w:tcBorders>
              <w:bottom w:val="single" w:sz="4" w:space="0" w:color="auto"/>
            </w:tcBorders>
            <w:shd w:val="clear" w:color="auto" w:fill="E7F3F4"/>
            <w:vAlign w:val="center"/>
          </w:tcPr>
          <w:p w14:paraId="30F32EA6"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17</w:t>
            </w:r>
          </w:p>
        </w:tc>
        <w:tc>
          <w:tcPr>
            <w:tcW w:w="1078" w:type="dxa"/>
            <w:tcBorders>
              <w:bottom w:val="single" w:sz="4" w:space="0" w:color="auto"/>
            </w:tcBorders>
            <w:shd w:val="clear" w:color="auto" w:fill="E7F3F4"/>
            <w:noWrap/>
            <w:vAlign w:val="center"/>
            <w:hideMark/>
          </w:tcPr>
          <w:p w14:paraId="7C516700"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-0.0147</w:t>
            </w:r>
          </w:p>
        </w:tc>
        <w:tc>
          <w:tcPr>
            <w:tcW w:w="1076" w:type="dxa"/>
            <w:tcBorders>
              <w:bottom w:val="single" w:sz="4" w:space="0" w:color="auto"/>
            </w:tcBorders>
            <w:shd w:val="clear" w:color="auto" w:fill="E7F3F4"/>
            <w:noWrap/>
            <w:vAlign w:val="center"/>
            <w:hideMark/>
          </w:tcPr>
          <w:p w14:paraId="59E95CE4"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0.9671</w:t>
            </w:r>
          </w:p>
        </w:tc>
        <w:tc>
          <w:tcPr>
            <w:tcW w:w="2475" w:type="dxa"/>
            <w:tcBorders>
              <w:bottom w:val="single" w:sz="4" w:space="0" w:color="auto"/>
            </w:tcBorders>
            <w:shd w:val="clear" w:color="auto" w:fill="E7F3F4"/>
            <w:noWrap/>
            <w:vAlign w:val="center"/>
            <w:hideMark/>
          </w:tcPr>
          <w:p w14:paraId="689D7443" w14:textId="77777777" w:rsidR="001251BB" w:rsidRPr="00F64697"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-0.00001</w:t>
            </w:r>
          </w:p>
        </w:tc>
        <w:tc>
          <w:tcPr>
            <w:tcW w:w="1068" w:type="dxa"/>
            <w:tcBorders>
              <w:bottom w:val="single" w:sz="4" w:space="0" w:color="auto"/>
            </w:tcBorders>
            <w:shd w:val="clear" w:color="auto" w:fill="E7F3F4"/>
            <w:noWrap/>
            <w:vAlign w:val="center"/>
          </w:tcPr>
          <w:p w14:paraId="7B821B95"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3AF8554E" w14:textId="77777777" w:rsidTr="00D64955">
        <w:trPr>
          <w:cantSplit/>
          <w:trHeight w:val="312"/>
          <w:jc w:val="center"/>
        </w:trPr>
        <w:tc>
          <w:tcPr>
            <w:tcW w:w="2028" w:type="dxa"/>
            <w:vMerge/>
            <w:tcBorders>
              <w:bottom w:val="single" w:sz="4" w:space="0" w:color="auto"/>
            </w:tcBorders>
            <w:shd w:val="clear" w:color="auto" w:fill="E7F3F4"/>
            <w:noWrap/>
            <w:vAlign w:val="center"/>
          </w:tcPr>
          <w:p w14:paraId="608610BF"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D9D9D9" w:themeFill="background1" w:themeFillShade="D9"/>
            <w:noWrap/>
            <w:vAlign w:val="center"/>
          </w:tcPr>
          <w:p w14:paraId="123D58E4" w14:textId="77777777" w:rsidR="001251BB" w:rsidRPr="00625DAC" w:rsidRDefault="001251BB" w:rsidP="001251BB">
            <w:pPr>
              <w:pStyle w:val="BodyText"/>
              <w:spacing w:after="0"/>
              <w:jc w:val="left"/>
              <w:rPr>
                <w:rFonts w:asciiTheme="minorHAnsi" w:hAnsiTheme="minorHAnsi"/>
                <w:color w:val="000000"/>
                <w:sz w:val="20"/>
                <w:szCs w:val="20"/>
              </w:rPr>
            </w:pPr>
            <w:r>
              <w:rPr>
                <w:rFonts w:asciiTheme="minorHAnsi" w:hAnsiTheme="minorHAnsi"/>
                <w:color w:val="000000"/>
                <w:sz w:val="20"/>
                <w:szCs w:val="2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5687CCB6" w14:textId="77777777" w:rsidR="001251BB" w:rsidRPr="00625DAC" w:rsidRDefault="001251BB" w:rsidP="001251BB">
            <w:pPr>
              <w:pStyle w:val="BodyText"/>
              <w:spacing w:after="0"/>
              <w:jc w:val="center"/>
              <w:rPr>
                <w:rFonts w:asciiTheme="minorHAnsi" w:hAnsiTheme="minorHAnsi"/>
                <w:color w:val="000000"/>
                <w:sz w:val="20"/>
                <w:szCs w:val="20"/>
              </w:rPr>
            </w:pPr>
          </w:p>
        </w:tc>
        <w:tc>
          <w:tcPr>
            <w:tcW w:w="1078" w:type="dxa"/>
            <w:tcBorders>
              <w:top w:val="single" w:sz="4" w:space="0" w:color="auto"/>
              <w:bottom w:val="single" w:sz="4" w:space="0" w:color="auto"/>
            </w:tcBorders>
            <w:shd w:val="clear" w:color="auto" w:fill="D9D9D9" w:themeFill="background1" w:themeFillShade="D9"/>
            <w:vAlign w:val="center"/>
          </w:tcPr>
          <w:p w14:paraId="32C55090"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2002</w:t>
            </w:r>
          </w:p>
        </w:tc>
        <w:tc>
          <w:tcPr>
            <w:tcW w:w="1078" w:type="dxa"/>
            <w:tcBorders>
              <w:top w:val="single" w:sz="4" w:space="0" w:color="auto"/>
              <w:bottom w:val="single" w:sz="4" w:space="0" w:color="auto"/>
            </w:tcBorders>
            <w:shd w:val="clear" w:color="auto" w:fill="D9D9D9" w:themeFill="background1" w:themeFillShade="D9"/>
            <w:vAlign w:val="center"/>
          </w:tcPr>
          <w:p w14:paraId="56B0741C"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D9D9D9" w:themeFill="background1" w:themeFillShade="D9"/>
            <w:vAlign w:val="center"/>
          </w:tcPr>
          <w:p w14:paraId="4A63412B"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44</w:t>
            </w:r>
          </w:p>
        </w:tc>
        <w:tc>
          <w:tcPr>
            <w:tcW w:w="1078" w:type="dxa"/>
            <w:tcBorders>
              <w:top w:val="single" w:sz="4" w:space="0" w:color="auto"/>
              <w:bottom w:val="single" w:sz="4" w:space="0" w:color="auto"/>
            </w:tcBorders>
            <w:shd w:val="clear" w:color="auto" w:fill="D9D9D9" w:themeFill="background1" w:themeFillShade="D9"/>
            <w:noWrap/>
            <w:vAlign w:val="center"/>
          </w:tcPr>
          <w:p w14:paraId="5CC7F725" w14:textId="77777777" w:rsidR="001251BB" w:rsidRPr="000978B6" w:rsidRDefault="001251BB" w:rsidP="001251BB">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-0.205</w:t>
            </w:r>
          </w:p>
        </w:tc>
        <w:tc>
          <w:tcPr>
            <w:tcW w:w="1076" w:type="dxa"/>
            <w:tcBorders>
              <w:top w:val="single" w:sz="4" w:space="0" w:color="auto"/>
              <w:bottom w:val="single" w:sz="4" w:space="0" w:color="auto"/>
            </w:tcBorders>
            <w:shd w:val="clear" w:color="auto" w:fill="D9D9D9" w:themeFill="background1" w:themeFillShade="D9"/>
            <w:noWrap/>
            <w:vAlign w:val="center"/>
          </w:tcPr>
          <w:p w14:paraId="7E612F30" w14:textId="77777777" w:rsidR="001251BB" w:rsidRPr="000978B6" w:rsidRDefault="001251BB" w:rsidP="001251BB">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0.032</w:t>
            </w:r>
            <w:r w:rsidRPr="000978B6">
              <w:rPr>
                <w:rFonts w:asciiTheme="minorHAnsi" w:hAnsiTheme="minorHAnsi"/>
                <w:b/>
                <w:color w:val="000000"/>
                <w:sz w:val="20"/>
                <w:szCs w:val="20"/>
              </w:rPr>
              <w:t>5</w:t>
            </w:r>
          </w:p>
        </w:tc>
        <w:tc>
          <w:tcPr>
            <w:tcW w:w="2475" w:type="dxa"/>
            <w:tcBorders>
              <w:top w:val="single" w:sz="4" w:space="0" w:color="auto"/>
              <w:bottom w:val="single" w:sz="4" w:space="0" w:color="auto"/>
            </w:tcBorders>
            <w:shd w:val="clear" w:color="auto" w:fill="D9D9D9" w:themeFill="background1" w:themeFillShade="D9"/>
            <w:noWrap/>
            <w:vAlign w:val="center"/>
          </w:tcPr>
          <w:p w14:paraId="715C4217" w14:textId="77777777" w:rsidR="001251BB" w:rsidRDefault="001251BB" w:rsidP="001251BB">
            <w:pPr>
              <w:pStyle w:val="BodyText"/>
              <w:spacing w:after="0"/>
              <w:jc w:val="center"/>
              <w:rPr>
                <w:rFonts w:asciiTheme="minorHAnsi" w:hAnsiTheme="minorHAnsi"/>
                <w:color w:val="000000"/>
                <w:sz w:val="20"/>
                <w:szCs w:val="20"/>
              </w:rPr>
            </w:pPr>
            <w:r w:rsidRPr="002D058B">
              <w:rPr>
                <w:rFonts w:asciiTheme="minorHAnsi" w:hAnsiTheme="minorHAnsi"/>
                <w:b/>
                <w:color w:val="000000"/>
                <w:sz w:val="20"/>
                <w:szCs w:val="20"/>
              </w:rPr>
              <w:t>-0.0015</w:t>
            </w:r>
            <w:r>
              <w:rPr>
                <w:rFonts w:asciiTheme="minorHAnsi" w:hAnsiTheme="minorHAnsi"/>
                <w:color w:val="000000"/>
                <w:sz w:val="20"/>
                <w:szCs w:val="20"/>
              </w:rPr>
              <w:t xml:space="preserve"> </w:t>
            </w:r>
            <w:r w:rsidRPr="000978B6">
              <w:rPr>
                <w:rFonts w:asciiTheme="minorHAnsi" w:hAnsiTheme="minorHAnsi"/>
                <w:color w:val="000000"/>
                <w:sz w:val="16"/>
                <w:szCs w:val="16"/>
              </w:rPr>
              <w:t xml:space="preserve">( </w:t>
            </w:r>
            <w:r w:rsidRPr="002D058B">
              <w:rPr>
                <w:rFonts w:asciiTheme="minorHAnsi" w:hAnsiTheme="minorHAnsi"/>
                <w:color w:val="000000"/>
                <w:sz w:val="16"/>
                <w:szCs w:val="16"/>
              </w:rPr>
              <w:t>-0.0028</w:t>
            </w:r>
            <w:r w:rsidRPr="000978B6">
              <w:rPr>
                <w:rFonts w:asciiTheme="minorHAnsi" w:hAnsiTheme="minorHAnsi"/>
                <w:color w:val="000000"/>
                <w:sz w:val="16"/>
                <w:szCs w:val="16"/>
              </w:rPr>
              <w:t xml:space="preserve"> to </w:t>
            </w:r>
            <w:r w:rsidRPr="002D058B">
              <w:rPr>
                <w:rFonts w:asciiTheme="minorHAnsi" w:hAnsiTheme="minorHAnsi"/>
                <w:color w:val="000000"/>
                <w:sz w:val="16"/>
                <w:szCs w:val="16"/>
              </w:rPr>
              <w:t>-0.0002</w:t>
            </w:r>
            <w:r w:rsidRPr="000978B6">
              <w:rPr>
                <w:rFonts w:asciiTheme="minorHAnsi" w:hAnsiTheme="minorHAnsi"/>
                <w:color w:val="000000"/>
                <w:sz w:val="16"/>
                <w:szCs w:val="16"/>
              </w:rPr>
              <w:t>)</w:t>
            </w:r>
          </w:p>
        </w:tc>
        <w:tc>
          <w:tcPr>
            <w:tcW w:w="1068" w:type="dxa"/>
            <w:tcBorders>
              <w:top w:val="single" w:sz="4" w:space="0" w:color="auto"/>
              <w:bottom w:val="single" w:sz="4" w:space="0" w:color="auto"/>
            </w:tcBorders>
            <w:shd w:val="clear" w:color="auto" w:fill="D9D9D9" w:themeFill="background1" w:themeFillShade="D9"/>
            <w:noWrap/>
            <w:vAlign w:val="center"/>
          </w:tcPr>
          <w:p w14:paraId="7B605DB8" w14:textId="77777777" w:rsidR="001251BB" w:rsidRPr="000978B6" w:rsidRDefault="001251BB" w:rsidP="001251BB">
            <w:pPr>
              <w:pStyle w:val="BodyText"/>
              <w:spacing w:after="0"/>
              <w:jc w:val="center"/>
              <w:rPr>
                <w:rFonts w:asciiTheme="minorHAnsi" w:hAnsiTheme="minorHAnsi"/>
                <w:b/>
                <w:color w:val="000000"/>
                <w:sz w:val="20"/>
                <w:szCs w:val="20"/>
              </w:rPr>
            </w:pPr>
            <w:r w:rsidRPr="002D058B">
              <w:rPr>
                <w:rFonts w:asciiTheme="minorHAnsi" w:hAnsiTheme="minorHAnsi"/>
                <w:b/>
                <w:color w:val="000000"/>
                <w:sz w:val="20"/>
                <w:szCs w:val="20"/>
              </w:rPr>
              <w:t>decrease</w:t>
            </w:r>
          </w:p>
        </w:tc>
      </w:tr>
      <w:tr w:rsidR="001251BB" w:rsidRPr="00625DAC" w14:paraId="381A878A" w14:textId="77777777" w:rsidTr="00D64955">
        <w:trPr>
          <w:cantSplit/>
          <w:trHeight w:val="312"/>
          <w:jc w:val="center"/>
        </w:trPr>
        <w:tc>
          <w:tcPr>
            <w:tcW w:w="2028" w:type="dxa"/>
            <w:vMerge w:val="restart"/>
            <w:tcBorders>
              <w:top w:val="single" w:sz="4" w:space="0" w:color="auto"/>
            </w:tcBorders>
            <w:shd w:val="clear" w:color="auto" w:fill="F3F9FA"/>
            <w:noWrap/>
            <w:vAlign w:val="center"/>
            <w:hideMark/>
          </w:tcPr>
          <w:p w14:paraId="63ED55BE" w14:textId="00B165CD"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Burnett Mary</w:t>
            </w:r>
          </w:p>
        </w:tc>
        <w:tc>
          <w:tcPr>
            <w:tcW w:w="1874" w:type="dxa"/>
            <w:tcBorders>
              <w:top w:val="single" w:sz="4" w:space="0" w:color="auto"/>
            </w:tcBorders>
            <w:shd w:val="clear" w:color="auto" w:fill="F3F9FA"/>
            <w:noWrap/>
            <w:vAlign w:val="center"/>
            <w:hideMark/>
          </w:tcPr>
          <w:p w14:paraId="22FF5402" w14:textId="77777777"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estuarine intertidal</w:t>
            </w:r>
          </w:p>
        </w:tc>
        <w:tc>
          <w:tcPr>
            <w:tcW w:w="720" w:type="dxa"/>
            <w:tcBorders>
              <w:top w:val="single" w:sz="4" w:space="0" w:color="auto"/>
            </w:tcBorders>
            <w:shd w:val="clear" w:color="auto" w:fill="F3F9FA"/>
            <w:noWrap/>
            <w:vAlign w:val="center"/>
            <w:hideMark/>
          </w:tcPr>
          <w:p w14:paraId="38469F7A"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RD1</w:t>
            </w:r>
          </w:p>
        </w:tc>
        <w:tc>
          <w:tcPr>
            <w:tcW w:w="1078" w:type="dxa"/>
            <w:tcBorders>
              <w:top w:val="single" w:sz="4" w:space="0" w:color="auto"/>
            </w:tcBorders>
            <w:shd w:val="clear" w:color="auto" w:fill="F3F9FA"/>
            <w:vAlign w:val="center"/>
          </w:tcPr>
          <w:p w14:paraId="0860E17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top w:val="single" w:sz="4" w:space="0" w:color="auto"/>
            </w:tcBorders>
            <w:shd w:val="clear" w:color="auto" w:fill="F3F9FA"/>
            <w:vAlign w:val="center"/>
          </w:tcPr>
          <w:p w14:paraId="07B74DE8"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1E347A6D"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26</w:t>
            </w:r>
          </w:p>
        </w:tc>
        <w:tc>
          <w:tcPr>
            <w:tcW w:w="1078" w:type="dxa"/>
            <w:tcBorders>
              <w:top w:val="single" w:sz="4" w:space="0" w:color="auto"/>
            </w:tcBorders>
            <w:shd w:val="clear" w:color="auto" w:fill="F3F9FA"/>
            <w:noWrap/>
            <w:vAlign w:val="center"/>
            <w:hideMark/>
          </w:tcPr>
          <w:p w14:paraId="5E49637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-0.0404</w:t>
            </w:r>
          </w:p>
        </w:tc>
        <w:tc>
          <w:tcPr>
            <w:tcW w:w="1076" w:type="dxa"/>
            <w:tcBorders>
              <w:top w:val="single" w:sz="4" w:space="0" w:color="auto"/>
            </w:tcBorders>
            <w:shd w:val="clear" w:color="auto" w:fill="F3F9FA"/>
            <w:noWrap/>
            <w:vAlign w:val="center"/>
            <w:hideMark/>
          </w:tcPr>
          <w:p w14:paraId="4079AB1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0.79</w:t>
            </w:r>
            <w:r>
              <w:rPr>
                <w:rFonts w:asciiTheme="minorHAnsi" w:hAnsiTheme="minorHAnsi"/>
                <w:color w:val="000000"/>
                <w:sz w:val="20"/>
                <w:szCs w:val="20"/>
              </w:rPr>
              <w:t>10</w:t>
            </w:r>
          </w:p>
        </w:tc>
        <w:tc>
          <w:tcPr>
            <w:tcW w:w="2475" w:type="dxa"/>
            <w:tcBorders>
              <w:top w:val="single" w:sz="4" w:space="0" w:color="auto"/>
            </w:tcBorders>
            <w:shd w:val="clear" w:color="auto" w:fill="F3F9FA"/>
            <w:noWrap/>
            <w:vAlign w:val="center"/>
            <w:hideMark/>
          </w:tcPr>
          <w:p w14:paraId="16A5698D" w14:textId="77777777" w:rsidR="001251BB" w:rsidRPr="00F64697"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-0.0016</w:t>
            </w:r>
          </w:p>
        </w:tc>
        <w:tc>
          <w:tcPr>
            <w:tcW w:w="1068" w:type="dxa"/>
            <w:tcBorders>
              <w:top w:val="single" w:sz="4" w:space="0" w:color="auto"/>
            </w:tcBorders>
            <w:shd w:val="clear" w:color="auto" w:fill="F3F9FA"/>
            <w:noWrap/>
            <w:vAlign w:val="center"/>
          </w:tcPr>
          <w:p w14:paraId="62CEF1AE"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5D3A0156" w14:textId="77777777" w:rsidTr="00D64955">
        <w:trPr>
          <w:cantSplit/>
          <w:trHeight w:val="312"/>
          <w:jc w:val="center"/>
        </w:trPr>
        <w:tc>
          <w:tcPr>
            <w:tcW w:w="2028" w:type="dxa"/>
            <w:vMerge/>
            <w:shd w:val="clear" w:color="auto" w:fill="F3F9FA"/>
            <w:noWrap/>
            <w:vAlign w:val="center"/>
          </w:tcPr>
          <w:p w14:paraId="6CCE7F1D" w14:textId="45B660EE" w:rsidR="001251BB" w:rsidRPr="00625DAC" w:rsidRDefault="001251BB" w:rsidP="001251BB">
            <w:pPr>
              <w:pStyle w:val="BodyText"/>
              <w:spacing w:after="0"/>
              <w:jc w:val="left"/>
              <w:rPr>
                <w:rFonts w:asciiTheme="minorHAnsi" w:hAnsiTheme="minorHAnsi"/>
                <w:color w:val="000000"/>
                <w:sz w:val="20"/>
                <w:szCs w:val="20"/>
              </w:rPr>
            </w:pPr>
          </w:p>
        </w:tc>
        <w:tc>
          <w:tcPr>
            <w:tcW w:w="1874" w:type="dxa"/>
            <w:shd w:val="clear" w:color="auto" w:fill="F3F9FA"/>
            <w:noWrap/>
            <w:vAlign w:val="center"/>
          </w:tcPr>
          <w:p w14:paraId="48EF6E66"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246B2A6E"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RD2</w:t>
            </w:r>
          </w:p>
        </w:tc>
        <w:tc>
          <w:tcPr>
            <w:tcW w:w="1078" w:type="dxa"/>
            <w:tcBorders>
              <w:bottom w:val="single" w:sz="4" w:space="0" w:color="auto"/>
            </w:tcBorders>
            <w:shd w:val="clear" w:color="auto" w:fill="F3F9FA"/>
            <w:vAlign w:val="center"/>
          </w:tcPr>
          <w:p w14:paraId="3E477C9A"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2007</w:t>
            </w:r>
          </w:p>
        </w:tc>
        <w:tc>
          <w:tcPr>
            <w:tcW w:w="1078" w:type="dxa"/>
            <w:tcBorders>
              <w:bottom w:val="single" w:sz="4" w:space="0" w:color="auto"/>
            </w:tcBorders>
            <w:shd w:val="clear" w:color="auto" w:fill="F3F9FA"/>
            <w:vAlign w:val="center"/>
          </w:tcPr>
          <w:p w14:paraId="5783F417"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7C37EF84"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27</w:t>
            </w:r>
          </w:p>
        </w:tc>
        <w:tc>
          <w:tcPr>
            <w:tcW w:w="1078" w:type="dxa"/>
            <w:tcBorders>
              <w:bottom w:val="single" w:sz="4" w:space="0" w:color="auto"/>
            </w:tcBorders>
            <w:shd w:val="clear" w:color="auto" w:fill="F3F9FA"/>
            <w:noWrap/>
            <w:vAlign w:val="center"/>
            <w:hideMark/>
          </w:tcPr>
          <w:p w14:paraId="08ECA101"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-0.375</w:t>
            </w:r>
          </w:p>
        </w:tc>
        <w:tc>
          <w:tcPr>
            <w:tcW w:w="1076" w:type="dxa"/>
            <w:tcBorders>
              <w:bottom w:val="single" w:sz="4" w:space="0" w:color="auto"/>
            </w:tcBorders>
            <w:shd w:val="clear" w:color="auto" w:fill="F3F9FA"/>
            <w:noWrap/>
            <w:vAlign w:val="center"/>
            <w:hideMark/>
          </w:tcPr>
          <w:p w14:paraId="78E95530"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0.00</w:t>
            </w:r>
            <w:r>
              <w:rPr>
                <w:rFonts w:asciiTheme="minorHAnsi" w:hAnsiTheme="minorHAnsi"/>
                <w:b/>
                <w:color w:val="000000"/>
                <w:sz w:val="20"/>
                <w:szCs w:val="20"/>
              </w:rPr>
              <w:t>80</w:t>
            </w:r>
          </w:p>
        </w:tc>
        <w:tc>
          <w:tcPr>
            <w:tcW w:w="2475" w:type="dxa"/>
            <w:tcBorders>
              <w:bottom w:val="single" w:sz="4" w:space="0" w:color="auto"/>
            </w:tcBorders>
            <w:shd w:val="clear" w:color="auto" w:fill="F3F9FA"/>
            <w:noWrap/>
            <w:vAlign w:val="center"/>
            <w:hideMark/>
          </w:tcPr>
          <w:p w14:paraId="2A760AA0"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-0.0083 </w:t>
            </w:r>
            <w:r w:rsidRPr="00664ECE">
              <w:rPr>
                <w:rFonts w:asciiTheme="minorHAnsi" w:hAnsiTheme="minorHAnsi"/>
                <w:color w:val="000000"/>
                <w:sz w:val="16"/>
                <w:szCs w:val="16"/>
              </w:rPr>
              <w:t>(-0.0126 to -0.0049)</w:t>
            </w:r>
          </w:p>
        </w:tc>
        <w:tc>
          <w:tcPr>
            <w:tcW w:w="1068" w:type="dxa"/>
            <w:tcBorders>
              <w:bottom w:val="single" w:sz="4" w:space="0" w:color="auto"/>
            </w:tcBorders>
            <w:shd w:val="clear" w:color="auto" w:fill="F3F9FA"/>
            <w:noWrap/>
            <w:vAlign w:val="center"/>
            <w:hideMark/>
          </w:tcPr>
          <w:p w14:paraId="0D825D17"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decrease</w:t>
            </w:r>
          </w:p>
        </w:tc>
      </w:tr>
      <w:tr w:rsidR="001251BB" w:rsidRPr="00625DAC" w14:paraId="31F33B8D" w14:textId="77777777" w:rsidTr="00D64955">
        <w:trPr>
          <w:cantSplit/>
          <w:trHeight w:val="312"/>
          <w:jc w:val="center"/>
        </w:trPr>
        <w:tc>
          <w:tcPr>
            <w:tcW w:w="2028" w:type="dxa"/>
            <w:vMerge/>
            <w:shd w:val="clear" w:color="auto" w:fill="F3F9FA"/>
            <w:noWrap/>
            <w:vAlign w:val="center"/>
          </w:tcPr>
          <w:p w14:paraId="1552331C" w14:textId="68ED3ED5" w:rsidR="001251BB" w:rsidRPr="00625DAC" w:rsidRDefault="001251BB" w:rsidP="001251BB">
            <w:pPr>
              <w:pStyle w:val="BodyText"/>
              <w:spacing w:after="0"/>
              <w:jc w:val="left"/>
              <w:rPr>
                <w:rFonts w:asciiTheme="minorHAnsi" w:hAnsiTheme="minorHAnsi"/>
                <w:color w:val="000000"/>
                <w:sz w:val="20"/>
                <w:szCs w:val="20"/>
              </w:rPr>
            </w:pPr>
          </w:p>
        </w:tc>
        <w:tc>
          <w:tcPr>
            <w:tcW w:w="1874" w:type="dxa"/>
            <w:shd w:val="clear" w:color="auto" w:fill="F3F9FA"/>
            <w:noWrap/>
            <w:vAlign w:val="center"/>
          </w:tcPr>
          <w:p w14:paraId="0D7F7E1C"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top w:val="single" w:sz="4" w:space="0" w:color="auto"/>
            </w:tcBorders>
            <w:shd w:val="clear" w:color="auto" w:fill="F3F9FA"/>
            <w:noWrap/>
            <w:vAlign w:val="center"/>
            <w:hideMark/>
          </w:tcPr>
          <w:p w14:paraId="6F15AFD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UG1</w:t>
            </w:r>
          </w:p>
        </w:tc>
        <w:tc>
          <w:tcPr>
            <w:tcW w:w="1078" w:type="dxa"/>
            <w:tcBorders>
              <w:top w:val="single" w:sz="4" w:space="0" w:color="auto"/>
            </w:tcBorders>
            <w:shd w:val="clear" w:color="auto" w:fill="F3F9FA"/>
            <w:vAlign w:val="center"/>
          </w:tcPr>
          <w:p w14:paraId="2E07C9BC"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1998</w:t>
            </w:r>
          </w:p>
        </w:tc>
        <w:tc>
          <w:tcPr>
            <w:tcW w:w="1078" w:type="dxa"/>
            <w:tcBorders>
              <w:top w:val="single" w:sz="4" w:space="0" w:color="auto"/>
            </w:tcBorders>
            <w:shd w:val="clear" w:color="auto" w:fill="F3F9FA"/>
            <w:vAlign w:val="center"/>
          </w:tcPr>
          <w:p w14:paraId="7BD30A3C"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6A3C90F0"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62</w:t>
            </w:r>
          </w:p>
        </w:tc>
        <w:tc>
          <w:tcPr>
            <w:tcW w:w="1078" w:type="dxa"/>
            <w:tcBorders>
              <w:top w:val="single" w:sz="4" w:space="0" w:color="auto"/>
            </w:tcBorders>
            <w:shd w:val="clear" w:color="auto" w:fill="F3F9FA"/>
            <w:noWrap/>
            <w:vAlign w:val="center"/>
            <w:hideMark/>
          </w:tcPr>
          <w:p w14:paraId="30912BD1"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0.157</w:t>
            </w:r>
          </w:p>
        </w:tc>
        <w:tc>
          <w:tcPr>
            <w:tcW w:w="1076" w:type="dxa"/>
            <w:tcBorders>
              <w:top w:val="single" w:sz="4" w:space="0" w:color="auto"/>
            </w:tcBorders>
            <w:shd w:val="clear" w:color="auto" w:fill="F3F9FA"/>
            <w:noWrap/>
            <w:vAlign w:val="center"/>
            <w:hideMark/>
          </w:tcPr>
          <w:p w14:paraId="4C4AC897"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0.07</w:t>
            </w:r>
            <w:r>
              <w:rPr>
                <w:rFonts w:asciiTheme="minorHAnsi" w:hAnsiTheme="minorHAnsi"/>
                <w:color w:val="000000"/>
                <w:sz w:val="20"/>
                <w:szCs w:val="20"/>
              </w:rPr>
              <w:t>70</w:t>
            </w:r>
          </w:p>
        </w:tc>
        <w:tc>
          <w:tcPr>
            <w:tcW w:w="2475" w:type="dxa"/>
            <w:tcBorders>
              <w:top w:val="single" w:sz="4" w:space="0" w:color="auto"/>
            </w:tcBorders>
            <w:shd w:val="clear" w:color="auto" w:fill="F3F9FA"/>
            <w:noWrap/>
            <w:vAlign w:val="center"/>
            <w:hideMark/>
          </w:tcPr>
          <w:p w14:paraId="6BFE36A0" w14:textId="77777777" w:rsidR="001251BB" w:rsidRPr="00F64697"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0.0000</w:t>
            </w:r>
          </w:p>
        </w:tc>
        <w:tc>
          <w:tcPr>
            <w:tcW w:w="1068" w:type="dxa"/>
            <w:tcBorders>
              <w:top w:val="single" w:sz="4" w:space="0" w:color="auto"/>
            </w:tcBorders>
            <w:shd w:val="clear" w:color="auto" w:fill="F3F9FA"/>
            <w:noWrap/>
            <w:vAlign w:val="center"/>
            <w:hideMark/>
          </w:tcPr>
          <w:p w14:paraId="128275F0"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5AEF529C" w14:textId="77777777" w:rsidTr="00D64955">
        <w:trPr>
          <w:cantSplit/>
          <w:trHeight w:val="312"/>
          <w:jc w:val="center"/>
        </w:trPr>
        <w:tc>
          <w:tcPr>
            <w:tcW w:w="2028" w:type="dxa"/>
            <w:vMerge/>
            <w:shd w:val="clear" w:color="auto" w:fill="F3F9FA"/>
            <w:noWrap/>
            <w:vAlign w:val="center"/>
          </w:tcPr>
          <w:p w14:paraId="5B404F03" w14:textId="28755D35"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F3F9FA"/>
            <w:noWrap/>
            <w:vAlign w:val="center"/>
          </w:tcPr>
          <w:p w14:paraId="4D24082C"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7A5A50E7"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UG2</w:t>
            </w:r>
          </w:p>
        </w:tc>
        <w:tc>
          <w:tcPr>
            <w:tcW w:w="1078" w:type="dxa"/>
            <w:tcBorders>
              <w:bottom w:val="single" w:sz="4" w:space="0" w:color="auto"/>
            </w:tcBorders>
            <w:shd w:val="clear" w:color="auto" w:fill="F3F9FA"/>
            <w:vAlign w:val="center"/>
          </w:tcPr>
          <w:p w14:paraId="75DEB4B6"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1999</w:t>
            </w:r>
          </w:p>
        </w:tc>
        <w:tc>
          <w:tcPr>
            <w:tcW w:w="1078" w:type="dxa"/>
            <w:tcBorders>
              <w:bottom w:val="single" w:sz="4" w:space="0" w:color="auto"/>
            </w:tcBorders>
            <w:shd w:val="clear" w:color="auto" w:fill="F3F9FA"/>
            <w:vAlign w:val="center"/>
          </w:tcPr>
          <w:p w14:paraId="7BC7A1A0"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34906C8A"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57</w:t>
            </w:r>
          </w:p>
        </w:tc>
        <w:tc>
          <w:tcPr>
            <w:tcW w:w="1078" w:type="dxa"/>
            <w:tcBorders>
              <w:bottom w:val="single" w:sz="4" w:space="0" w:color="auto"/>
            </w:tcBorders>
            <w:shd w:val="clear" w:color="auto" w:fill="F3F9FA"/>
            <w:noWrap/>
            <w:vAlign w:val="center"/>
            <w:hideMark/>
          </w:tcPr>
          <w:p w14:paraId="23A0B5E3"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0.307</w:t>
            </w:r>
          </w:p>
        </w:tc>
        <w:tc>
          <w:tcPr>
            <w:tcW w:w="1076" w:type="dxa"/>
            <w:tcBorders>
              <w:bottom w:val="single" w:sz="4" w:space="0" w:color="auto"/>
            </w:tcBorders>
            <w:shd w:val="clear" w:color="auto" w:fill="F3F9FA"/>
            <w:noWrap/>
            <w:vAlign w:val="center"/>
            <w:hideMark/>
          </w:tcPr>
          <w:p w14:paraId="676E9171"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0.0008</w:t>
            </w:r>
          </w:p>
        </w:tc>
        <w:tc>
          <w:tcPr>
            <w:tcW w:w="2475" w:type="dxa"/>
            <w:tcBorders>
              <w:bottom w:val="single" w:sz="4" w:space="0" w:color="auto"/>
            </w:tcBorders>
            <w:shd w:val="clear" w:color="auto" w:fill="F3F9FA"/>
            <w:noWrap/>
            <w:vAlign w:val="center"/>
            <w:hideMark/>
          </w:tcPr>
          <w:p w14:paraId="17CE7CF0"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-0.0007 </w:t>
            </w:r>
            <w:r w:rsidRPr="00664ECE">
              <w:rPr>
                <w:rFonts w:asciiTheme="minorHAnsi" w:hAnsiTheme="minorHAnsi"/>
                <w:color w:val="000000"/>
                <w:sz w:val="16"/>
                <w:szCs w:val="16"/>
              </w:rPr>
              <w:t>(-0.0017 to -0.0002)</w:t>
            </w:r>
          </w:p>
        </w:tc>
        <w:tc>
          <w:tcPr>
            <w:tcW w:w="1068" w:type="dxa"/>
            <w:tcBorders>
              <w:bottom w:val="single" w:sz="4" w:space="0" w:color="auto"/>
            </w:tcBorders>
            <w:shd w:val="clear" w:color="auto" w:fill="F3F9FA"/>
            <w:noWrap/>
            <w:vAlign w:val="center"/>
            <w:hideMark/>
          </w:tcPr>
          <w:p w14:paraId="679BB157"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increase</w:t>
            </w:r>
          </w:p>
        </w:tc>
      </w:tr>
      <w:tr w:rsidR="001251BB" w:rsidRPr="00625DAC" w14:paraId="7792C23D" w14:textId="77777777" w:rsidTr="00D64955">
        <w:trPr>
          <w:cantSplit/>
          <w:trHeight w:val="312"/>
          <w:jc w:val="center"/>
        </w:trPr>
        <w:tc>
          <w:tcPr>
            <w:tcW w:w="2028" w:type="dxa"/>
            <w:vMerge/>
            <w:shd w:val="clear" w:color="auto" w:fill="F3F9FA"/>
            <w:noWrap/>
            <w:vAlign w:val="center"/>
          </w:tcPr>
          <w:p w14:paraId="2A411C1D"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tcBorders>
            <w:shd w:val="clear" w:color="auto" w:fill="F3F9FA"/>
            <w:noWrap/>
            <w:vAlign w:val="center"/>
            <w:hideMark/>
          </w:tcPr>
          <w:p w14:paraId="1EE05E87" w14:textId="77777777" w:rsidR="001251BB" w:rsidRPr="00625DAC" w:rsidRDefault="001251BB" w:rsidP="001251BB">
            <w:pPr>
              <w:pStyle w:val="BodyText"/>
              <w:spacing w:after="0"/>
              <w:jc w:val="left"/>
              <w:rPr>
                <w:rFonts w:asciiTheme="minorHAnsi" w:hAnsiTheme="minorHAnsi"/>
                <w:color w:val="000000"/>
                <w:sz w:val="20"/>
                <w:szCs w:val="20"/>
              </w:rPr>
            </w:pPr>
            <w:r w:rsidRPr="00625DAC">
              <w:rPr>
                <w:rFonts w:asciiTheme="minorHAnsi" w:hAnsiTheme="minorHAnsi"/>
                <w:color w:val="000000"/>
                <w:sz w:val="20"/>
                <w:szCs w:val="20"/>
              </w:rPr>
              <w:t>coastal intertidal</w:t>
            </w:r>
          </w:p>
        </w:tc>
        <w:tc>
          <w:tcPr>
            <w:tcW w:w="720" w:type="dxa"/>
            <w:tcBorders>
              <w:top w:val="single" w:sz="4" w:space="0" w:color="auto"/>
            </w:tcBorders>
            <w:shd w:val="clear" w:color="auto" w:fill="F3F9FA"/>
            <w:noWrap/>
            <w:vAlign w:val="center"/>
            <w:hideMark/>
          </w:tcPr>
          <w:p w14:paraId="20971A4A"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BH1</w:t>
            </w:r>
          </w:p>
        </w:tc>
        <w:tc>
          <w:tcPr>
            <w:tcW w:w="1078" w:type="dxa"/>
            <w:tcBorders>
              <w:top w:val="single" w:sz="4" w:space="0" w:color="auto"/>
            </w:tcBorders>
            <w:shd w:val="clear" w:color="auto" w:fill="F3F9FA"/>
            <w:vAlign w:val="center"/>
          </w:tcPr>
          <w:p w14:paraId="5FD85A07"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1999</w:t>
            </w:r>
          </w:p>
        </w:tc>
        <w:tc>
          <w:tcPr>
            <w:tcW w:w="1078" w:type="dxa"/>
            <w:tcBorders>
              <w:top w:val="single" w:sz="4" w:space="0" w:color="auto"/>
            </w:tcBorders>
            <w:shd w:val="clear" w:color="auto" w:fill="F3F9FA"/>
            <w:vAlign w:val="center"/>
          </w:tcPr>
          <w:p w14:paraId="0A02B3E2"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top w:val="single" w:sz="4" w:space="0" w:color="auto"/>
            </w:tcBorders>
            <w:shd w:val="clear" w:color="auto" w:fill="F3F9FA"/>
            <w:vAlign w:val="center"/>
          </w:tcPr>
          <w:p w14:paraId="24BBA9D0"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47</w:t>
            </w:r>
          </w:p>
        </w:tc>
        <w:tc>
          <w:tcPr>
            <w:tcW w:w="1078" w:type="dxa"/>
            <w:tcBorders>
              <w:top w:val="single" w:sz="4" w:space="0" w:color="auto"/>
            </w:tcBorders>
            <w:shd w:val="clear" w:color="auto" w:fill="F3F9FA"/>
            <w:noWrap/>
            <w:vAlign w:val="center"/>
            <w:hideMark/>
          </w:tcPr>
          <w:p w14:paraId="4E6E59B1"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0.0157</w:t>
            </w:r>
          </w:p>
        </w:tc>
        <w:tc>
          <w:tcPr>
            <w:tcW w:w="1076" w:type="dxa"/>
            <w:tcBorders>
              <w:top w:val="single" w:sz="4" w:space="0" w:color="auto"/>
            </w:tcBorders>
            <w:shd w:val="clear" w:color="auto" w:fill="F3F9FA"/>
            <w:noWrap/>
            <w:vAlign w:val="center"/>
            <w:hideMark/>
          </w:tcPr>
          <w:p w14:paraId="7A73BFED" w14:textId="77777777" w:rsidR="001251BB" w:rsidRPr="00625DAC" w:rsidRDefault="001251BB" w:rsidP="001251BB">
            <w:pPr>
              <w:pStyle w:val="BodyText"/>
              <w:spacing w:after="0"/>
              <w:jc w:val="center"/>
              <w:rPr>
                <w:rFonts w:asciiTheme="minorHAnsi" w:hAnsiTheme="minorHAnsi"/>
                <w:color w:val="000000"/>
                <w:sz w:val="20"/>
                <w:szCs w:val="20"/>
              </w:rPr>
            </w:pPr>
            <w:r w:rsidRPr="00625DAC">
              <w:rPr>
                <w:rFonts w:asciiTheme="minorHAnsi" w:hAnsiTheme="minorHAnsi"/>
                <w:color w:val="000000"/>
                <w:sz w:val="20"/>
                <w:szCs w:val="20"/>
              </w:rPr>
              <w:t>0.883</w:t>
            </w:r>
            <w:r>
              <w:rPr>
                <w:rFonts w:asciiTheme="minorHAnsi" w:hAnsiTheme="minorHAnsi"/>
                <w:color w:val="000000"/>
                <w:sz w:val="20"/>
                <w:szCs w:val="20"/>
              </w:rPr>
              <w:t>4</w:t>
            </w:r>
          </w:p>
        </w:tc>
        <w:tc>
          <w:tcPr>
            <w:tcW w:w="2475" w:type="dxa"/>
            <w:tcBorders>
              <w:top w:val="single" w:sz="4" w:space="0" w:color="auto"/>
            </w:tcBorders>
            <w:shd w:val="clear" w:color="auto" w:fill="F3F9FA"/>
            <w:noWrap/>
            <w:vAlign w:val="center"/>
            <w:hideMark/>
          </w:tcPr>
          <w:p w14:paraId="4596E521" w14:textId="77777777" w:rsidR="001251BB" w:rsidRPr="00F64697"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-0.00223</w:t>
            </w:r>
          </w:p>
        </w:tc>
        <w:tc>
          <w:tcPr>
            <w:tcW w:w="1068" w:type="dxa"/>
            <w:tcBorders>
              <w:top w:val="single" w:sz="4" w:space="0" w:color="auto"/>
            </w:tcBorders>
            <w:shd w:val="clear" w:color="auto" w:fill="F3F9FA"/>
            <w:noWrap/>
            <w:vAlign w:val="center"/>
            <w:hideMark/>
          </w:tcPr>
          <w:p w14:paraId="48E0EA8B" w14:textId="77777777" w:rsidR="001251BB" w:rsidRPr="00625DAC"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no trend</w:t>
            </w:r>
          </w:p>
        </w:tc>
      </w:tr>
      <w:tr w:rsidR="001251BB" w:rsidRPr="00625DAC" w14:paraId="3641C915" w14:textId="77777777" w:rsidTr="00D64955">
        <w:trPr>
          <w:cantSplit/>
          <w:trHeight w:val="312"/>
          <w:jc w:val="center"/>
        </w:trPr>
        <w:tc>
          <w:tcPr>
            <w:tcW w:w="2028" w:type="dxa"/>
            <w:vMerge/>
            <w:shd w:val="clear" w:color="auto" w:fill="F3F9FA"/>
            <w:noWrap/>
            <w:vAlign w:val="center"/>
          </w:tcPr>
          <w:p w14:paraId="5432A601"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bottom w:val="single" w:sz="4" w:space="0" w:color="auto"/>
            </w:tcBorders>
            <w:shd w:val="clear" w:color="auto" w:fill="F3F9FA"/>
            <w:noWrap/>
            <w:vAlign w:val="center"/>
            <w:hideMark/>
          </w:tcPr>
          <w:p w14:paraId="36175A57" w14:textId="77777777" w:rsidR="001251BB" w:rsidRPr="00625DAC" w:rsidRDefault="001251BB" w:rsidP="001251BB">
            <w:pPr>
              <w:pStyle w:val="BodyText"/>
              <w:spacing w:after="0"/>
              <w:jc w:val="left"/>
              <w:rPr>
                <w:rFonts w:asciiTheme="minorHAnsi" w:hAnsiTheme="minorHAnsi"/>
                <w:color w:val="000000"/>
                <w:sz w:val="20"/>
                <w:szCs w:val="20"/>
              </w:rPr>
            </w:pPr>
          </w:p>
        </w:tc>
        <w:tc>
          <w:tcPr>
            <w:tcW w:w="720" w:type="dxa"/>
            <w:tcBorders>
              <w:bottom w:val="single" w:sz="4" w:space="0" w:color="auto"/>
            </w:tcBorders>
            <w:shd w:val="clear" w:color="auto" w:fill="F3F9FA"/>
            <w:noWrap/>
            <w:vAlign w:val="center"/>
            <w:hideMark/>
          </w:tcPr>
          <w:p w14:paraId="38F19D9D"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BH3</w:t>
            </w:r>
          </w:p>
        </w:tc>
        <w:tc>
          <w:tcPr>
            <w:tcW w:w="1078" w:type="dxa"/>
            <w:tcBorders>
              <w:bottom w:val="single" w:sz="4" w:space="0" w:color="auto"/>
            </w:tcBorders>
            <w:shd w:val="clear" w:color="auto" w:fill="F3F9FA"/>
            <w:vAlign w:val="center"/>
          </w:tcPr>
          <w:p w14:paraId="283859F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1999</w:t>
            </w:r>
          </w:p>
        </w:tc>
        <w:tc>
          <w:tcPr>
            <w:tcW w:w="1078" w:type="dxa"/>
            <w:tcBorders>
              <w:bottom w:val="single" w:sz="4" w:space="0" w:color="auto"/>
            </w:tcBorders>
            <w:shd w:val="clear" w:color="auto" w:fill="F3F9FA"/>
            <w:vAlign w:val="center"/>
          </w:tcPr>
          <w:p w14:paraId="14E12378"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2017</w:t>
            </w:r>
          </w:p>
        </w:tc>
        <w:tc>
          <w:tcPr>
            <w:tcW w:w="519" w:type="dxa"/>
            <w:tcBorders>
              <w:bottom w:val="single" w:sz="4" w:space="0" w:color="auto"/>
            </w:tcBorders>
            <w:shd w:val="clear" w:color="auto" w:fill="F3F9FA"/>
            <w:vAlign w:val="center"/>
          </w:tcPr>
          <w:p w14:paraId="1C1A5CEE" w14:textId="77777777" w:rsidR="001251BB" w:rsidRPr="0080212E" w:rsidRDefault="001251BB" w:rsidP="001251BB">
            <w:pPr>
              <w:pStyle w:val="BodyText"/>
              <w:spacing w:after="0"/>
              <w:jc w:val="center"/>
              <w:rPr>
                <w:rFonts w:asciiTheme="minorHAnsi" w:hAnsiTheme="minorHAnsi"/>
                <w:color w:val="000000"/>
                <w:sz w:val="20"/>
                <w:szCs w:val="20"/>
              </w:rPr>
            </w:pPr>
            <w:r w:rsidRPr="0080212E">
              <w:rPr>
                <w:rFonts w:asciiTheme="minorHAnsi" w:hAnsiTheme="minorHAnsi"/>
                <w:color w:val="000000"/>
                <w:sz w:val="20"/>
                <w:szCs w:val="20"/>
              </w:rPr>
              <w:t>47</w:t>
            </w:r>
          </w:p>
        </w:tc>
        <w:tc>
          <w:tcPr>
            <w:tcW w:w="1078" w:type="dxa"/>
            <w:tcBorders>
              <w:bottom w:val="single" w:sz="4" w:space="0" w:color="auto"/>
            </w:tcBorders>
            <w:shd w:val="clear" w:color="auto" w:fill="F3F9FA"/>
            <w:noWrap/>
            <w:vAlign w:val="center"/>
            <w:hideMark/>
          </w:tcPr>
          <w:p w14:paraId="3A6BE1FD"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0.408</w:t>
            </w:r>
          </w:p>
        </w:tc>
        <w:tc>
          <w:tcPr>
            <w:tcW w:w="1076" w:type="dxa"/>
            <w:tcBorders>
              <w:bottom w:val="single" w:sz="4" w:space="0" w:color="auto"/>
            </w:tcBorders>
            <w:shd w:val="clear" w:color="auto" w:fill="F3F9FA"/>
            <w:noWrap/>
            <w:vAlign w:val="center"/>
            <w:hideMark/>
          </w:tcPr>
          <w:p w14:paraId="57C98458" w14:textId="77777777" w:rsidR="001251BB" w:rsidRPr="005B7EF2" w:rsidRDefault="001251BB" w:rsidP="001251BB">
            <w:pPr>
              <w:pStyle w:val="BodyText"/>
              <w:spacing w:after="0"/>
              <w:jc w:val="center"/>
              <w:rPr>
                <w:rFonts w:asciiTheme="minorHAnsi" w:hAnsiTheme="minorHAnsi"/>
                <w:b/>
                <w:color w:val="000000"/>
                <w:sz w:val="20"/>
                <w:szCs w:val="20"/>
              </w:rPr>
            </w:pPr>
            <w:r>
              <w:rPr>
                <w:rFonts w:asciiTheme="minorHAnsi" w:hAnsiTheme="minorHAnsi"/>
                <w:b/>
                <w:color w:val="000000"/>
                <w:sz w:val="20"/>
                <w:szCs w:val="20"/>
              </w:rPr>
              <w:t>&lt;</w:t>
            </w:r>
            <w:r w:rsidRPr="005B7EF2">
              <w:rPr>
                <w:rFonts w:asciiTheme="minorHAnsi" w:hAnsiTheme="minorHAnsi"/>
                <w:b/>
                <w:color w:val="000000"/>
                <w:sz w:val="20"/>
                <w:szCs w:val="20"/>
              </w:rPr>
              <w:t>0.000</w:t>
            </w:r>
            <w:r>
              <w:rPr>
                <w:rFonts w:asciiTheme="minorHAnsi" w:hAnsiTheme="minorHAnsi"/>
                <w:b/>
                <w:color w:val="000000"/>
                <w:sz w:val="20"/>
                <w:szCs w:val="20"/>
              </w:rPr>
              <w:t>1</w:t>
            </w:r>
          </w:p>
        </w:tc>
        <w:tc>
          <w:tcPr>
            <w:tcW w:w="2475" w:type="dxa"/>
            <w:tcBorders>
              <w:bottom w:val="single" w:sz="4" w:space="0" w:color="auto"/>
            </w:tcBorders>
            <w:shd w:val="clear" w:color="auto" w:fill="F3F9FA"/>
            <w:noWrap/>
            <w:vAlign w:val="center"/>
            <w:hideMark/>
          </w:tcPr>
          <w:p w14:paraId="68E71136"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 xml:space="preserve">-0.0023 </w:t>
            </w:r>
            <w:r w:rsidRPr="00664ECE">
              <w:rPr>
                <w:rFonts w:asciiTheme="minorHAnsi" w:hAnsiTheme="minorHAnsi"/>
                <w:color w:val="000000"/>
                <w:sz w:val="16"/>
                <w:szCs w:val="16"/>
              </w:rPr>
              <w:t>(-0.0049 to -0.0001)</w:t>
            </w:r>
          </w:p>
        </w:tc>
        <w:tc>
          <w:tcPr>
            <w:tcW w:w="1068" w:type="dxa"/>
            <w:tcBorders>
              <w:bottom w:val="single" w:sz="4" w:space="0" w:color="auto"/>
            </w:tcBorders>
            <w:shd w:val="clear" w:color="auto" w:fill="F3F9FA"/>
            <w:noWrap/>
            <w:vAlign w:val="center"/>
            <w:hideMark/>
          </w:tcPr>
          <w:p w14:paraId="038C3E61" w14:textId="77777777" w:rsidR="001251BB" w:rsidRPr="005B7EF2" w:rsidRDefault="001251BB" w:rsidP="001251BB">
            <w:pPr>
              <w:pStyle w:val="BodyText"/>
              <w:spacing w:after="0"/>
              <w:jc w:val="center"/>
              <w:rPr>
                <w:rFonts w:asciiTheme="minorHAnsi" w:hAnsiTheme="minorHAnsi"/>
                <w:b/>
                <w:color w:val="000000"/>
                <w:sz w:val="20"/>
                <w:szCs w:val="20"/>
              </w:rPr>
            </w:pPr>
            <w:r w:rsidRPr="005B7EF2">
              <w:rPr>
                <w:rFonts w:asciiTheme="minorHAnsi" w:hAnsiTheme="minorHAnsi"/>
                <w:b/>
                <w:color w:val="000000"/>
                <w:sz w:val="20"/>
                <w:szCs w:val="20"/>
              </w:rPr>
              <w:t>increase</w:t>
            </w:r>
          </w:p>
        </w:tc>
      </w:tr>
      <w:tr w:rsidR="001251BB" w:rsidRPr="00625DAC" w14:paraId="4DA3CC7E" w14:textId="77777777" w:rsidTr="00D64955">
        <w:trPr>
          <w:cantSplit/>
          <w:trHeight w:val="312"/>
          <w:jc w:val="center"/>
        </w:trPr>
        <w:tc>
          <w:tcPr>
            <w:tcW w:w="2028" w:type="dxa"/>
            <w:vMerge/>
            <w:tcBorders>
              <w:bottom w:val="single" w:sz="4" w:space="0" w:color="auto"/>
            </w:tcBorders>
            <w:shd w:val="clear" w:color="auto" w:fill="F3F9FA"/>
            <w:noWrap/>
            <w:vAlign w:val="center"/>
          </w:tcPr>
          <w:p w14:paraId="14CC0D2A" w14:textId="77777777" w:rsidR="001251BB" w:rsidRPr="00625DAC" w:rsidRDefault="001251BB" w:rsidP="001251BB">
            <w:pPr>
              <w:pStyle w:val="BodyText"/>
              <w:spacing w:after="0"/>
              <w:jc w:val="left"/>
              <w:rPr>
                <w:rFonts w:asciiTheme="minorHAnsi" w:hAnsiTheme="minorHAnsi"/>
                <w:color w:val="000000"/>
                <w:sz w:val="20"/>
                <w:szCs w:val="20"/>
              </w:rPr>
            </w:pPr>
          </w:p>
        </w:tc>
        <w:tc>
          <w:tcPr>
            <w:tcW w:w="1874" w:type="dxa"/>
            <w:tcBorders>
              <w:top w:val="single" w:sz="4" w:space="0" w:color="auto"/>
              <w:bottom w:val="single" w:sz="4" w:space="0" w:color="auto"/>
            </w:tcBorders>
            <w:shd w:val="clear" w:color="auto" w:fill="D9D9D9" w:themeFill="background1" w:themeFillShade="D9"/>
            <w:noWrap/>
            <w:vAlign w:val="center"/>
          </w:tcPr>
          <w:p w14:paraId="7321B243" w14:textId="77777777" w:rsidR="001251BB" w:rsidRPr="00625DAC" w:rsidRDefault="001251BB" w:rsidP="001251BB">
            <w:pPr>
              <w:pStyle w:val="BodyText"/>
              <w:spacing w:after="0"/>
              <w:jc w:val="left"/>
              <w:rPr>
                <w:rFonts w:asciiTheme="minorHAnsi" w:hAnsiTheme="minorHAnsi"/>
                <w:color w:val="000000"/>
                <w:sz w:val="20"/>
                <w:szCs w:val="20"/>
              </w:rPr>
            </w:pPr>
            <w:r>
              <w:rPr>
                <w:rFonts w:asciiTheme="minorHAnsi" w:hAnsiTheme="minorHAnsi"/>
                <w:color w:val="000000"/>
                <w:sz w:val="20"/>
                <w:szCs w:val="20"/>
              </w:rPr>
              <w:t>pooled</w:t>
            </w:r>
          </w:p>
        </w:tc>
        <w:tc>
          <w:tcPr>
            <w:tcW w:w="720" w:type="dxa"/>
            <w:tcBorders>
              <w:top w:val="single" w:sz="4" w:space="0" w:color="auto"/>
              <w:bottom w:val="single" w:sz="4" w:space="0" w:color="auto"/>
            </w:tcBorders>
            <w:shd w:val="clear" w:color="auto" w:fill="D9D9D9" w:themeFill="background1" w:themeFillShade="D9"/>
            <w:noWrap/>
            <w:vAlign w:val="center"/>
          </w:tcPr>
          <w:p w14:paraId="6EC0A268" w14:textId="77777777" w:rsidR="001251BB" w:rsidRPr="005B7EF2" w:rsidRDefault="001251BB" w:rsidP="001251BB">
            <w:pPr>
              <w:pStyle w:val="BodyText"/>
              <w:spacing w:after="0"/>
              <w:jc w:val="center"/>
              <w:rPr>
                <w:rFonts w:asciiTheme="minorHAnsi" w:hAnsiTheme="minorHAnsi"/>
                <w:b/>
                <w:color w:val="000000"/>
                <w:sz w:val="20"/>
                <w:szCs w:val="20"/>
              </w:rPr>
            </w:pPr>
          </w:p>
        </w:tc>
        <w:tc>
          <w:tcPr>
            <w:tcW w:w="1078" w:type="dxa"/>
            <w:tcBorders>
              <w:top w:val="single" w:sz="4" w:space="0" w:color="auto"/>
              <w:bottom w:val="single" w:sz="4" w:space="0" w:color="auto"/>
            </w:tcBorders>
            <w:shd w:val="clear" w:color="auto" w:fill="D9D9D9" w:themeFill="background1" w:themeFillShade="D9"/>
            <w:vAlign w:val="center"/>
          </w:tcPr>
          <w:p w14:paraId="6F23698A"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1998</w:t>
            </w:r>
          </w:p>
        </w:tc>
        <w:tc>
          <w:tcPr>
            <w:tcW w:w="1078" w:type="dxa"/>
            <w:tcBorders>
              <w:top w:val="single" w:sz="4" w:space="0" w:color="auto"/>
              <w:bottom w:val="single" w:sz="4" w:space="0" w:color="auto"/>
            </w:tcBorders>
            <w:shd w:val="clear" w:color="auto" w:fill="D9D9D9" w:themeFill="background1" w:themeFillShade="D9"/>
            <w:vAlign w:val="center"/>
          </w:tcPr>
          <w:p w14:paraId="3C94B36B"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2017</w:t>
            </w:r>
          </w:p>
        </w:tc>
        <w:tc>
          <w:tcPr>
            <w:tcW w:w="519" w:type="dxa"/>
            <w:tcBorders>
              <w:top w:val="single" w:sz="4" w:space="0" w:color="auto"/>
              <w:bottom w:val="single" w:sz="4" w:space="0" w:color="auto"/>
            </w:tcBorders>
            <w:shd w:val="clear" w:color="auto" w:fill="D9D9D9" w:themeFill="background1" w:themeFillShade="D9"/>
            <w:vAlign w:val="center"/>
          </w:tcPr>
          <w:p w14:paraId="2FB3D315" w14:textId="77777777" w:rsidR="001251BB" w:rsidRPr="0080212E" w:rsidRDefault="001251BB" w:rsidP="001251BB">
            <w:pPr>
              <w:pStyle w:val="BodyText"/>
              <w:spacing w:after="0"/>
              <w:jc w:val="center"/>
              <w:rPr>
                <w:rFonts w:asciiTheme="minorHAnsi" w:hAnsiTheme="minorHAnsi"/>
                <w:color w:val="000000"/>
                <w:sz w:val="20"/>
                <w:szCs w:val="20"/>
              </w:rPr>
            </w:pPr>
            <w:r>
              <w:rPr>
                <w:rFonts w:asciiTheme="minorHAnsi" w:hAnsiTheme="minorHAnsi"/>
                <w:color w:val="000000"/>
                <w:sz w:val="20"/>
                <w:szCs w:val="20"/>
              </w:rPr>
              <w:t>62</w:t>
            </w:r>
          </w:p>
        </w:tc>
        <w:tc>
          <w:tcPr>
            <w:tcW w:w="1078" w:type="dxa"/>
            <w:tcBorders>
              <w:top w:val="single" w:sz="4" w:space="0" w:color="auto"/>
              <w:bottom w:val="single" w:sz="4" w:space="0" w:color="auto"/>
            </w:tcBorders>
            <w:shd w:val="clear" w:color="auto" w:fill="D9D9D9" w:themeFill="background1" w:themeFillShade="D9"/>
            <w:noWrap/>
            <w:vAlign w:val="center"/>
          </w:tcPr>
          <w:p w14:paraId="20B5A3D9" w14:textId="77777777" w:rsidR="001251BB" w:rsidRPr="002D058B" w:rsidRDefault="001251BB" w:rsidP="001251BB">
            <w:pPr>
              <w:pStyle w:val="BodyText"/>
              <w:spacing w:after="0"/>
              <w:jc w:val="center"/>
              <w:rPr>
                <w:rFonts w:asciiTheme="minorHAnsi" w:hAnsiTheme="minorHAnsi"/>
                <w:color w:val="000000"/>
                <w:sz w:val="20"/>
                <w:szCs w:val="20"/>
              </w:rPr>
            </w:pPr>
            <w:r w:rsidRPr="002D058B">
              <w:rPr>
                <w:rFonts w:asciiTheme="minorHAnsi" w:hAnsiTheme="minorHAnsi"/>
                <w:color w:val="000000"/>
                <w:sz w:val="20"/>
                <w:szCs w:val="20"/>
              </w:rPr>
              <w:t>-0.0816</w:t>
            </w:r>
          </w:p>
        </w:tc>
        <w:tc>
          <w:tcPr>
            <w:tcW w:w="1076" w:type="dxa"/>
            <w:tcBorders>
              <w:top w:val="single" w:sz="4" w:space="0" w:color="auto"/>
              <w:bottom w:val="single" w:sz="4" w:space="0" w:color="auto"/>
            </w:tcBorders>
            <w:shd w:val="clear" w:color="auto" w:fill="D9D9D9" w:themeFill="background1" w:themeFillShade="D9"/>
            <w:noWrap/>
            <w:vAlign w:val="center"/>
          </w:tcPr>
          <w:p w14:paraId="735B7FCA" w14:textId="77777777" w:rsidR="001251BB" w:rsidRDefault="001251BB" w:rsidP="001251BB">
            <w:pPr>
              <w:pStyle w:val="BodyText"/>
              <w:spacing w:after="0"/>
              <w:jc w:val="center"/>
              <w:rPr>
                <w:rFonts w:asciiTheme="minorHAnsi" w:hAnsiTheme="minorHAnsi"/>
                <w:b/>
                <w:color w:val="000000"/>
                <w:sz w:val="20"/>
                <w:szCs w:val="20"/>
              </w:rPr>
            </w:pPr>
            <w:r w:rsidRPr="002D058B">
              <w:rPr>
                <w:rFonts w:asciiTheme="minorHAnsi" w:hAnsiTheme="minorHAnsi"/>
                <w:color w:val="000000"/>
                <w:sz w:val="20"/>
                <w:szCs w:val="20"/>
              </w:rPr>
              <w:t>0.24617</w:t>
            </w:r>
          </w:p>
        </w:tc>
        <w:tc>
          <w:tcPr>
            <w:tcW w:w="2475" w:type="dxa"/>
            <w:tcBorders>
              <w:top w:val="single" w:sz="4" w:space="0" w:color="auto"/>
              <w:bottom w:val="single" w:sz="4" w:space="0" w:color="auto"/>
            </w:tcBorders>
            <w:shd w:val="clear" w:color="auto" w:fill="D9D9D9" w:themeFill="background1" w:themeFillShade="D9"/>
            <w:noWrap/>
            <w:vAlign w:val="center"/>
          </w:tcPr>
          <w:p w14:paraId="18425EEC" w14:textId="77777777" w:rsidR="001251BB" w:rsidRPr="005B7EF2" w:rsidRDefault="001251BB" w:rsidP="001251BB">
            <w:pPr>
              <w:pStyle w:val="BodyText"/>
              <w:spacing w:after="0"/>
              <w:jc w:val="center"/>
              <w:rPr>
                <w:rFonts w:asciiTheme="minorHAnsi" w:hAnsiTheme="minorHAnsi"/>
                <w:b/>
                <w:color w:val="000000"/>
                <w:sz w:val="20"/>
                <w:szCs w:val="20"/>
              </w:rPr>
            </w:pPr>
            <w:r w:rsidRPr="002D058B">
              <w:rPr>
                <w:rFonts w:asciiTheme="minorHAnsi" w:hAnsiTheme="minorHAnsi"/>
                <w:color w:val="000000"/>
                <w:sz w:val="20"/>
                <w:szCs w:val="20"/>
              </w:rPr>
              <w:t>-0.00022</w:t>
            </w:r>
          </w:p>
        </w:tc>
        <w:tc>
          <w:tcPr>
            <w:tcW w:w="1068" w:type="dxa"/>
            <w:tcBorders>
              <w:top w:val="single" w:sz="4" w:space="0" w:color="auto"/>
              <w:bottom w:val="single" w:sz="4" w:space="0" w:color="auto"/>
            </w:tcBorders>
            <w:shd w:val="clear" w:color="auto" w:fill="D9D9D9" w:themeFill="background1" w:themeFillShade="D9"/>
            <w:noWrap/>
            <w:vAlign w:val="center"/>
          </w:tcPr>
          <w:p w14:paraId="454044FF" w14:textId="77777777" w:rsidR="001251BB" w:rsidRPr="005B7EF2" w:rsidRDefault="001251BB" w:rsidP="001251BB">
            <w:pPr>
              <w:pStyle w:val="BodyText"/>
              <w:spacing w:after="0"/>
              <w:jc w:val="center"/>
              <w:rPr>
                <w:rFonts w:asciiTheme="minorHAnsi" w:hAnsiTheme="minorHAnsi"/>
                <w:b/>
                <w:color w:val="000000"/>
                <w:sz w:val="20"/>
                <w:szCs w:val="20"/>
              </w:rPr>
            </w:pPr>
            <w:r>
              <w:rPr>
                <w:rFonts w:asciiTheme="minorHAnsi" w:hAnsiTheme="minorHAnsi"/>
                <w:color w:val="000000"/>
                <w:sz w:val="20"/>
                <w:szCs w:val="20"/>
              </w:rPr>
              <w:t>no trend</w:t>
            </w:r>
          </w:p>
        </w:tc>
      </w:tr>
    </w:tbl>
    <w:p w14:paraId="1FE8E028" w14:textId="77777777" w:rsidR="00306220" w:rsidRDefault="00306220" w:rsidP="00306220"/>
    <w:p w14:paraId="65E3F027" w14:textId="4E6B0957" w:rsidR="00620C8B" w:rsidRDefault="00620C8B">
      <w:pPr>
        <w:spacing w:before="0" w:after="0"/>
        <w:rPr>
          <w:color w:val="000000"/>
        </w:rPr>
      </w:pPr>
    </w:p>
    <w:sectPr w:rsidR="00620C8B" w:rsidSect="00306220">
      <w:headerReference w:type="even" r:id="rId307"/>
      <w:headerReference w:type="default" r:id="rId308"/>
      <w:footerReference w:type="default" r:id="rId309"/>
      <w:headerReference w:type="first" r:id="rId310"/>
      <w:pgSz w:w="16838" w:h="11906" w:orient="landscape" w:code="9"/>
      <w:pgMar w:top="1418" w:right="1134" w:bottom="1418"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A57ED85" w16cid:durableId="1EBFBC91"/>
  <w16cid:commentId w16cid:paraId="2EAF1E5B" w16cid:durableId="1EBFBDC0"/>
  <w16cid:commentId w16cid:paraId="77CD1CC5" w16cid:durableId="1EBFC02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345400" w14:textId="77777777" w:rsidR="00AA0DC3" w:rsidRDefault="00AA0DC3">
      <w:r>
        <w:separator/>
      </w:r>
    </w:p>
  </w:endnote>
  <w:endnote w:type="continuationSeparator" w:id="0">
    <w:p w14:paraId="12F46C21" w14:textId="77777777" w:rsidR="00AA0DC3" w:rsidRDefault="00AA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NewRoman">
    <w:altName w:val="Malgun Gothic"/>
    <w:panose1 w:val="00000000000000000000"/>
    <w:charset w:val="81"/>
    <w:family w:val="auto"/>
    <w:notTrueType/>
    <w:pitch w:val="default"/>
    <w:sig w:usb0="00000001" w:usb1="09060000" w:usb2="00000010" w:usb3="00000000" w:csb0="00080000" w:csb1="00000000"/>
  </w:font>
  <w:font w:name="MetaOT-Normal">
    <w:altName w:val="Times New Roman"/>
    <w:panose1 w:val="00000000000000000000"/>
    <w:charset w:val="00"/>
    <w:family w:val="swiss"/>
    <w:notTrueType/>
    <w:pitch w:val="default"/>
    <w:sig w:usb0="00000003" w:usb1="00000000" w:usb2="00000000" w:usb3="00000000" w:csb0="00000001" w:csb1="00000000"/>
  </w:font>
  <w:font w:name="TimesNewRomanPSMT">
    <w:altName w:val="Calibri"/>
    <w:panose1 w:val="00000000000000000000"/>
    <w:charset w:val="00"/>
    <w:family w:val="swiss"/>
    <w:notTrueType/>
    <w:pitch w:val="default"/>
    <w:sig w:usb0="00000003" w:usb1="00000000" w:usb2="00000000" w:usb3="00000000" w:csb0="00000001" w:csb1="00000000"/>
  </w:font>
  <w:font w:name="AdvTT94c8263f.I">
    <w:altName w:val="Times New Roman"/>
    <w:panose1 w:val="00000000000000000000"/>
    <w:charset w:val="4D"/>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Gill Sans MT">
    <w:panose1 w:val="020B0502020104020203"/>
    <w:charset w:val="00"/>
    <w:family w:val="swiss"/>
    <w:pitch w:val="variable"/>
    <w:sig w:usb0="00000007" w:usb1="00000000" w:usb2="00000000" w:usb3="00000000" w:csb0="00000003"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332CC2" w14:textId="77777777" w:rsidR="00AA0DC3" w:rsidRDefault="00AA0DC3" w:rsidP="00034AD4">
    <w:pPr>
      <w:framePr w:wrap="around" w:vAnchor="text" w:hAnchor="margin" w:xAlign="center" w:y="1"/>
    </w:pPr>
    <w:r>
      <w:fldChar w:fldCharType="begin"/>
    </w:r>
    <w:r>
      <w:instrText xml:space="preserve">PAGE  </w:instrText>
    </w:r>
    <w:r>
      <w:fldChar w:fldCharType="end"/>
    </w:r>
  </w:p>
  <w:p w14:paraId="0948E21A" w14:textId="77777777" w:rsidR="00AA0DC3" w:rsidRDefault="00AA0DC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975E2" w14:textId="77777777" w:rsidR="00AA0DC3" w:rsidRDefault="00AA0DC3" w:rsidP="00034AD4">
    <w:pPr>
      <w:framePr w:wrap="around" w:vAnchor="text" w:hAnchor="margin" w:xAlign="center" w:y="1"/>
    </w:pPr>
    <w:r>
      <w:fldChar w:fldCharType="begin"/>
    </w:r>
    <w:r>
      <w:instrText xml:space="preserve">PAGE  </w:instrText>
    </w:r>
    <w:r>
      <w:fldChar w:fldCharType="end"/>
    </w:r>
  </w:p>
  <w:p w14:paraId="7E2C648C" w14:textId="77777777" w:rsidR="00AA0DC3" w:rsidRDefault="00AA0DC3" w:rsidP="00034AD4">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DCB68" w14:textId="2FACCEC8" w:rsidR="00AA0DC3" w:rsidRDefault="00AA0DC3" w:rsidP="00034AD4">
    <w:pPr>
      <w:framePr w:wrap="around" w:vAnchor="text" w:hAnchor="margin" w:xAlign="center" w:y="1"/>
    </w:pPr>
    <w:r>
      <w:fldChar w:fldCharType="begin"/>
    </w:r>
    <w:r>
      <w:instrText xml:space="preserve">PAGE  </w:instrText>
    </w:r>
    <w:r>
      <w:fldChar w:fldCharType="separate"/>
    </w:r>
    <w:r w:rsidR="00D05880">
      <w:rPr>
        <w:noProof/>
      </w:rPr>
      <w:t>xvii</w:t>
    </w:r>
    <w:r>
      <w:fldChar w:fldCharType="end"/>
    </w:r>
  </w:p>
  <w:p w14:paraId="01F14015" w14:textId="77777777" w:rsidR="00AA0DC3" w:rsidRDefault="00AA0DC3" w:rsidP="00034AD4">
    <w:pP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88177" w14:textId="738A2370" w:rsidR="00AA0DC3" w:rsidRDefault="00AA0DC3" w:rsidP="001368E7">
    <w:pPr>
      <w:framePr w:wrap="around" w:vAnchor="text" w:hAnchor="margin" w:xAlign="right" w:y="1"/>
    </w:pPr>
    <w:r>
      <w:fldChar w:fldCharType="begin"/>
    </w:r>
    <w:r>
      <w:instrText xml:space="preserve">PAGE  </w:instrText>
    </w:r>
    <w:r>
      <w:fldChar w:fldCharType="separate"/>
    </w:r>
    <w:r w:rsidR="00D05880">
      <w:rPr>
        <w:noProof/>
      </w:rPr>
      <w:t>3</w:t>
    </w:r>
    <w:r>
      <w:fldChar w:fldCharType="end"/>
    </w:r>
  </w:p>
  <w:p w14:paraId="5EDB7464" w14:textId="13D96B28" w:rsidR="00AA0DC3" w:rsidRPr="008F0EC4" w:rsidRDefault="00AA0DC3" w:rsidP="00994F86">
    <w:pPr>
      <w:ind w:right="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A30ECA" w14:textId="77777777" w:rsidR="00AA0DC3" w:rsidRDefault="00AA0DC3"/>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9926E" w14:textId="77777777" w:rsidR="00AA0DC3" w:rsidRDefault="00AA0DC3"/>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D7E19D" w14:textId="3D7D284A" w:rsidR="00AA0DC3" w:rsidRDefault="00AA0DC3">
    <w:pP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D05880">
      <w:rPr>
        <w:rFonts w:ascii="Gill Sans MT" w:hAnsi="Gill Sans MT"/>
        <w:noProof/>
      </w:rPr>
      <w:t>247</w:t>
    </w:r>
    <w:r w:rsidRPr="004004DA">
      <w:rPr>
        <w:rFonts w:ascii="Gill Sans MT" w:hAnsi="Gill Sans MT"/>
      </w:rPr>
      <w:fldChar w:fldCharType="end"/>
    </w:r>
  </w:p>
  <w:p w14:paraId="10F720BA" w14:textId="77777777" w:rsidR="00AA0DC3" w:rsidRDefault="00AA0DC3"/>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B9ED87" w14:textId="36D02EEE" w:rsidR="00AA0DC3" w:rsidRDefault="00AA0DC3">
    <w:pP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D05880">
      <w:rPr>
        <w:rFonts w:ascii="Gill Sans MT" w:hAnsi="Gill Sans MT"/>
        <w:noProof/>
      </w:rPr>
      <w:t>250</w:t>
    </w:r>
    <w:r w:rsidRPr="004004DA">
      <w:rPr>
        <w:rFonts w:ascii="Gill Sans MT" w:hAnsi="Gill Sans MT"/>
      </w:rPr>
      <w:fldChar w:fldCharType="end"/>
    </w:r>
  </w:p>
  <w:p w14:paraId="0EDA056D" w14:textId="77777777" w:rsidR="00AA0DC3" w:rsidRDefault="00AA0DC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EFCE7E" w14:textId="77777777" w:rsidR="00AA0DC3" w:rsidRDefault="00AA0DC3">
      <w:r>
        <w:separator/>
      </w:r>
    </w:p>
  </w:footnote>
  <w:footnote w:type="continuationSeparator" w:id="0">
    <w:p w14:paraId="1B24F631" w14:textId="77777777" w:rsidR="00AA0DC3" w:rsidRDefault="00AA0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F8072D" w14:textId="77777777" w:rsidR="00AA0DC3" w:rsidRDefault="00D05880">
    <w:pPr>
      <w:pStyle w:val="Header"/>
    </w:pPr>
    <w:r>
      <w:rPr>
        <w:noProof/>
      </w:rPr>
      <w:pict w14:anchorId="0165CBC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8" o:spid="_x0000_s2061" type="#_x0000_t136" alt="" style="position:absolute;margin-left:0;margin-top:0;width:573.7pt;height:86.05pt;rotation:315;z-index:-251649024;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D20525" w14:textId="77777777" w:rsidR="00AA0DC3" w:rsidRDefault="00D05880">
    <w:pPr>
      <w:pStyle w:val="Header"/>
    </w:pPr>
    <w:r>
      <w:rPr>
        <w:noProof/>
      </w:rPr>
      <w:pict w14:anchorId="22BDEA2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7" o:spid="_x0000_s2056" type="#_x0000_t136" alt="" style="position:absolute;margin-left:0;margin-top:0;width:573.7pt;height:86.05pt;rotation:315;z-index:-251600896;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61DBA" w14:textId="156E58E6" w:rsidR="00AA0DC3" w:rsidRPr="00484F6F" w:rsidRDefault="00AA0DC3" w:rsidP="00484F6F">
    <w:pPr>
      <w:pBdr>
        <w:bottom w:val="single" w:sz="4" w:space="1" w:color="0070C0"/>
      </w:pBdr>
      <w:tabs>
        <w:tab w:val="left" w:pos="975"/>
      </w:tabs>
      <w:jc w:val="center"/>
      <w:rPr>
        <w:rFonts w:eastAsia="Calibri"/>
      </w:rPr>
    </w:pPr>
    <w:r>
      <w:t>Marine Monitoring Program – Great Barrier Reef Inshore Seagrass Monitoring 2016</w:t>
    </w:r>
    <w:r>
      <w:rPr>
        <w:color w:val="000000" w:themeColor="text1"/>
        <w:szCs w:val="22"/>
      </w:rPr>
      <w:t>–</w:t>
    </w:r>
    <w:r>
      <w:t>17</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34CB4" w14:textId="77777777" w:rsidR="00AA0DC3" w:rsidRDefault="00D05880">
    <w:pPr>
      <w:pStyle w:val="Header"/>
    </w:pPr>
    <w:r>
      <w:rPr>
        <w:noProof/>
      </w:rPr>
      <w:pict w14:anchorId="54E79D2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6" o:spid="_x0000_s2055" type="#_x0000_t136" alt="" style="position:absolute;margin-left:0;margin-top:0;width:573.7pt;height:86.05pt;rotation:315;z-index:-251601920;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D1F6E8" w14:textId="7A85009C" w:rsidR="00AA0DC3" w:rsidRDefault="00AA0DC3">
    <w:pPr>
      <w:pStyle w:val="Header"/>
    </w:pPr>
    <w:r>
      <w:rPr>
        <w:noProof/>
        <w:lang w:eastAsia="en-AU"/>
      </w:rPr>
      <mc:AlternateContent>
        <mc:Choice Requires="wps">
          <w:drawing>
            <wp:anchor distT="0" distB="0" distL="114300" distR="114300" simplePos="0" relativeHeight="251718656" behindDoc="1" locked="0" layoutInCell="0" allowOverlap="1" wp14:anchorId="482237DD" wp14:editId="62E807ED">
              <wp:simplePos x="0" y="0"/>
              <wp:positionH relativeFrom="margin">
                <wp:align>center</wp:align>
              </wp:positionH>
              <wp:positionV relativeFrom="margin">
                <wp:align>center</wp:align>
              </wp:positionV>
              <wp:extent cx="7285990" cy="106680"/>
              <wp:effectExtent l="0" t="2133600" r="0" b="2164715"/>
              <wp:wrapNone/>
              <wp:docPr id="51" name="WordArt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285990"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90D8D0C" w14:textId="77777777" w:rsidR="00AA0DC3" w:rsidRDefault="00AA0DC3"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82237DD" id="_x0000_t202" coordsize="21600,21600" o:spt="202" path="m,l,21600r21600,l21600,xe">
              <v:stroke joinstyle="miter"/>
              <v:path gradientshapeok="t" o:connecttype="rect"/>
            </v:shapetype>
            <v:shape id="WordArt 32" o:spid="_x0000_s1026" type="#_x0000_t202" style="position:absolute;margin-left:0;margin-top:0;width:573.7pt;height:8.4pt;rotation:-45;z-index:-2515978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9eYhgIAAP0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" o:allowincell="f" filled="f" stroked="f">
              <v:stroke joinstyle="round"/>
              <o:lock v:ext="edit" shapetype="t"/>
              <v:textbox style="mso-fit-shape-to-text:t">
                <w:txbxContent>
                  <w:p w14:paraId="390D8D0C" w14:textId="77777777" w:rsidR="00AA0DC3" w:rsidRDefault="00AA0DC3"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v:textbox>
              <w10:wrap anchorx="margin" anchory="margin"/>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C56D2" w14:textId="7E1A0053" w:rsidR="00AA0DC3" w:rsidRPr="001015C2" w:rsidRDefault="00AA0DC3" w:rsidP="00484F6F">
    <w:pPr>
      <w:pBdr>
        <w:bottom w:val="single" w:sz="4" w:space="1" w:color="0070C0"/>
      </w:pBdr>
      <w:tabs>
        <w:tab w:val="left" w:pos="975"/>
      </w:tabs>
      <w:jc w:val="center"/>
      <w:rPr>
        <w:rFonts w:eastAsia="Calibri" w:cs="Arial"/>
        <w:noProof/>
        <w:sz w:val="15"/>
        <w:szCs w:val="15"/>
        <w:lang w:eastAsia="en-AU"/>
      </w:rPr>
    </w:pPr>
    <w:r>
      <w:t>Marine Monitoring Program – Great Barrier Reef Inshore Seagrass Monitoring 2016</w:t>
    </w:r>
    <w:r>
      <w:rPr>
        <w:color w:val="000000" w:themeColor="text1"/>
        <w:szCs w:val="22"/>
      </w:rPr>
      <w:t>–</w:t>
    </w:r>
    <w:r>
      <w:t>17</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B6FE7" w14:textId="18F10471" w:rsidR="00AA0DC3" w:rsidRDefault="00AA0DC3">
    <w:pPr>
      <w:pStyle w:val="Header"/>
    </w:pPr>
    <w:r>
      <w:rPr>
        <w:noProof/>
        <w:lang w:eastAsia="en-AU"/>
      </w:rPr>
      <mc:AlternateContent>
        <mc:Choice Requires="wps">
          <w:drawing>
            <wp:anchor distT="0" distB="0" distL="114300" distR="114300" simplePos="0" relativeHeight="251717632" behindDoc="1" locked="0" layoutInCell="0" allowOverlap="1" wp14:anchorId="63C5F67E" wp14:editId="5D9E3200">
              <wp:simplePos x="0" y="0"/>
              <wp:positionH relativeFrom="margin">
                <wp:align>center</wp:align>
              </wp:positionH>
              <wp:positionV relativeFrom="margin">
                <wp:align>center</wp:align>
              </wp:positionV>
              <wp:extent cx="7285990" cy="106680"/>
              <wp:effectExtent l="0" t="2133600" r="0" b="2164715"/>
              <wp:wrapNone/>
              <wp:docPr id="47" name="WordArt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285990"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5D0699" w14:textId="77777777" w:rsidR="00AA0DC3" w:rsidRDefault="00AA0DC3"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3C5F67E" id="_x0000_t202" coordsize="21600,21600" o:spt="202" path="m,l,21600r21600,l21600,xe">
              <v:stroke joinstyle="miter"/>
              <v:path gradientshapeok="t" o:connecttype="rect"/>
            </v:shapetype>
            <v:shape id="WordArt 31" o:spid="_x0000_s1027" type="#_x0000_t202" style="position:absolute;margin-left:0;margin-top:0;width:573.7pt;height:8.4pt;rotation:-45;z-index:-2515988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" o:allowincell="f" filled="f" stroked="f">
              <v:stroke joinstyle="round"/>
              <o:lock v:ext="edit" shapetype="t"/>
              <v:textbox style="mso-fit-shape-to-text:t">
                <w:txbxContent>
                  <w:p w14:paraId="795D0699" w14:textId="77777777" w:rsidR="00AA0DC3" w:rsidRDefault="00AA0DC3"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v:textbox>
              <w10:wrap anchorx="margin" anchory="margin"/>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066639" w14:textId="77777777" w:rsidR="00AA0DC3" w:rsidRDefault="00D05880">
    <w:pPr>
      <w:pStyle w:val="Header"/>
    </w:pPr>
    <w:r>
      <w:rPr>
        <w:noProof/>
      </w:rPr>
      <w:pict w14:anchorId="423565A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3" o:spid="_x0000_s2054" type="#_x0000_t136" alt="" style="position:absolute;margin-left:0;margin-top:0;width:573.7pt;height:86.05pt;rotation:315;z-index:-251618304;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F10F1A" w14:textId="51F08403" w:rsidR="00AA0DC3" w:rsidRPr="00106667" w:rsidRDefault="00AA0DC3" w:rsidP="00106667">
    <w:pPr>
      <w:pBdr>
        <w:bottom w:val="single" w:sz="4" w:space="1" w:color="0070C0"/>
      </w:pBdr>
      <w:tabs>
        <w:tab w:val="left" w:pos="975"/>
      </w:tabs>
      <w:jc w:val="center"/>
      <w:rPr>
        <w:rFonts w:eastAsia="Calibri"/>
      </w:rPr>
    </w:pPr>
    <w:r>
      <w:t>Marine Monitoring Program – Great Barrier Reef Inshore Seagrass Monitoring 2016-17</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951E1" w14:textId="77777777" w:rsidR="00AA0DC3" w:rsidRDefault="00D05880">
    <w:pPr>
      <w:pStyle w:val="Header"/>
    </w:pPr>
    <w:r>
      <w:rPr>
        <w:noProof/>
      </w:rPr>
      <w:pict w14:anchorId="382060A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2" o:spid="_x0000_s2053" type="#_x0000_t136" alt="" style="position:absolute;margin-left:0;margin-top:0;width:573.7pt;height:86.05pt;rotation:315;z-index:-251620352;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A1AA7" w14:textId="77777777" w:rsidR="00AA0DC3" w:rsidRDefault="00D05880">
    <w:pPr>
      <w:pStyle w:val="Header"/>
    </w:pPr>
    <w:r>
      <w:rPr>
        <w:noProof/>
      </w:rPr>
      <w:pict w14:anchorId="4E547E4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6" o:spid="_x0000_s2052" type="#_x0000_t136" alt="" style="position:absolute;margin-left:0;margin-top:0;width:573.7pt;height:86.05pt;rotation:315;z-index:-251612160;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11B313" w14:textId="77777777" w:rsidR="00AA0DC3" w:rsidRDefault="00AA0DC3">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EF79" w14:textId="77777777" w:rsidR="00AA0DC3" w:rsidRDefault="00AA0DC3">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D1999" w14:textId="77777777" w:rsidR="00AA0DC3" w:rsidRDefault="00D05880">
    <w:pPr>
      <w:pStyle w:val="Header"/>
    </w:pPr>
    <w:r>
      <w:rPr>
        <w:noProof/>
      </w:rPr>
      <w:pict w14:anchorId="50341F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5" o:spid="_x0000_s2051" type="#_x0000_t136" alt="" style="position:absolute;margin-left:0;margin-top:0;width:573.7pt;height:86.05pt;rotation:315;z-index:-251614208;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FBAA78" w14:textId="77777777" w:rsidR="00AA0DC3" w:rsidRDefault="00D05880">
    <w:pPr>
      <w:pStyle w:val="Header"/>
    </w:pPr>
    <w:r>
      <w:rPr>
        <w:noProof/>
      </w:rPr>
      <w:pict w14:anchorId="55337E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9" o:spid="_x0000_s2050" type="#_x0000_t136" alt="" style="position:absolute;margin-left:0;margin-top:0;width:573.7pt;height:86.05pt;rotation:315;z-index:-251606016;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FBC931" w14:textId="77777777" w:rsidR="00AA0DC3" w:rsidRDefault="00AA0DC3">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19105D" w14:textId="77777777" w:rsidR="00AA0DC3" w:rsidRDefault="00D05880">
    <w:pPr>
      <w:pStyle w:val="Header"/>
    </w:pPr>
    <w:r>
      <w:rPr>
        <w:noProof/>
      </w:rPr>
      <w:pict w14:anchorId="65E202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8" o:spid="_x0000_s2049" type="#_x0000_t136" alt="" style="position:absolute;margin-left:0;margin-top:0;width:573.7pt;height:86.05pt;rotation:315;z-index:-251608064;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16C8D" w14:textId="77777777" w:rsidR="00AA0DC3" w:rsidRDefault="00D05880">
    <w:pPr>
      <w:pStyle w:val="Header"/>
    </w:pPr>
    <w:r>
      <w:rPr>
        <w:noProof/>
      </w:rPr>
      <w:pict w14:anchorId="5CC1403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7" o:spid="_x0000_s2060" type="#_x0000_t136" alt="" style="position:absolute;margin-left:0;margin-top:0;width:573.7pt;height:86.05pt;rotation:315;z-index:-251651072;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CCBC34" w14:textId="77777777" w:rsidR="00AA0DC3" w:rsidRDefault="00D05880">
    <w:pPr>
      <w:pStyle w:val="Header"/>
    </w:pPr>
    <w:r>
      <w:rPr>
        <w:noProof/>
      </w:rPr>
      <w:pict w14:anchorId="2C83D1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1" o:spid="_x0000_s2059" type="#_x0000_t136" alt="" style="position:absolute;margin-left:0;margin-top:0;width:573.7pt;height:86.05pt;rotation:315;z-index:-251642880;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0E3B56" w14:textId="77777777" w:rsidR="00AA0DC3" w:rsidRDefault="00AA0DC3">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54EB3E" w14:textId="77777777" w:rsidR="00AA0DC3" w:rsidRDefault="00AA0DC3">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33D4C7" w14:textId="77777777" w:rsidR="00AA0DC3" w:rsidRDefault="00D05880">
    <w:pPr>
      <w:pStyle w:val="Header"/>
    </w:pPr>
    <w:r>
      <w:rPr>
        <w:noProof/>
      </w:rPr>
      <w:pict w14:anchorId="7C02350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4" o:spid="_x0000_s2058" type="#_x0000_t136" alt="" style="position:absolute;margin-left:0;margin-top:0;width:573.7pt;height:86.05pt;rotation:315;z-index:-251636736;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43D803" w14:textId="07F40AE6" w:rsidR="00AA0DC3" w:rsidRPr="00484F6F" w:rsidRDefault="00AA0DC3" w:rsidP="00A44617">
    <w:pPr>
      <w:pBdr>
        <w:bottom w:val="single" w:sz="4" w:space="1" w:color="0070C0"/>
      </w:pBdr>
      <w:tabs>
        <w:tab w:val="left" w:pos="975"/>
      </w:tabs>
      <w:rPr>
        <w:rFonts w:eastAsia="Calibri"/>
      </w:rPr>
    </w:pPr>
    <w:r>
      <w:t>Marine Monitoring Program – Annual report for inshore seagrass monitoring 2016</w:t>
    </w:r>
    <w:r>
      <w:rPr>
        <w:color w:val="000000" w:themeColor="text1"/>
        <w:szCs w:val="22"/>
      </w:rPr>
      <w:t>–</w:t>
    </w:r>
    <w:r>
      <w:t>17</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221B8F" w14:textId="77777777" w:rsidR="00AA0DC3" w:rsidRDefault="00D05880">
    <w:pPr>
      <w:pStyle w:val="Header"/>
    </w:pPr>
    <w:r>
      <w:rPr>
        <w:noProof/>
      </w:rPr>
      <w:pict w14:anchorId="2959A17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3" o:spid="_x0000_s2057" type="#_x0000_t136" alt="" style="position:absolute;margin-left:0;margin-top:0;width:573.7pt;height:86.05pt;rotation:315;z-index:-251638784;mso-wrap-edited:f;mso-width-percent:0;mso-height-percent:0;mso-position-horizontal:center;mso-position-horizontal-relative:margin;mso-position-vertical:center;mso-position-vertical-relative:margin;mso-width-percent:0;mso-height-percent:0" o:allowincell="f" fillcolor="#f2f2f2 [3052]" stroked="f">
          <v:textpath style="font-family:&quot;Calibri&quot;;font-size:1pt" string="DRAFT not for distribution"/>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E26EA"/>
    <w:multiLevelType w:val="hybridMultilevel"/>
    <w:tmpl w:val="F26A8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CD0744"/>
    <w:multiLevelType w:val="hybridMultilevel"/>
    <w:tmpl w:val="DBE21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676F2B"/>
    <w:multiLevelType w:val="hybridMultilevel"/>
    <w:tmpl w:val="09E86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942F07"/>
    <w:multiLevelType w:val="hybridMultilevel"/>
    <w:tmpl w:val="2DF6BA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DA618A"/>
    <w:multiLevelType w:val="hybridMultilevel"/>
    <w:tmpl w:val="59A6B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913B22"/>
    <w:multiLevelType w:val="hybridMultilevel"/>
    <w:tmpl w:val="4A2035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673FF0"/>
    <w:multiLevelType w:val="multilevel"/>
    <w:tmpl w:val="66564BA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CDF22F1"/>
    <w:multiLevelType w:val="hybridMultilevel"/>
    <w:tmpl w:val="685CFF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BEE60E1"/>
    <w:multiLevelType w:val="hybridMultilevel"/>
    <w:tmpl w:val="1EC48B0E"/>
    <w:lvl w:ilvl="0" w:tplc="0C090001">
      <w:start w:val="1"/>
      <w:numFmt w:val="decimal"/>
      <w:lvlText w:val="%1."/>
      <w:lvlJc w:val="left"/>
      <w:pPr>
        <w:tabs>
          <w:tab w:val="num" w:pos="720"/>
        </w:tabs>
        <w:ind w:left="720" w:hanging="360"/>
      </w:pPr>
      <w:rPr>
        <w:rFonts w:cs="Times New Roman"/>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0" w15:restartNumberingAfterBreak="0">
    <w:nsid w:val="3F347145"/>
    <w:multiLevelType w:val="hybridMultilevel"/>
    <w:tmpl w:val="AC2CAA68"/>
    <w:lvl w:ilvl="0" w:tplc="0C090001">
      <w:start w:val="1"/>
      <w:numFmt w:val="bullet"/>
      <w:lvlText w:val=""/>
      <w:lvlJc w:val="left"/>
      <w:pPr>
        <w:tabs>
          <w:tab w:val="num" w:pos="1401"/>
        </w:tabs>
        <w:ind w:left="1401" w:hanging="360"/>
      </w:pPr>
      <w:rPr>
        <w:rFonts w:ascii="Symbol" w:hAnsi="Symbol" w:hint="default"/>
        <w:color w:val="auto"/>
        <w:sz w:val="24"/>
      </w:rPr>
    </w:lvl>
    <w:lvl w:ilvl="1" w:tplc="0C09001B">
      <w:start w:val="1"/>
      <w:numFmt w:val="bullet"/>
      <w:lvlText w:val="o"/>
      <w:lvlJc w:val="left"/>
      <w:pPr>
        <w:tabs>
          <w:tab w:val="num" w:pos="2121"/>
        </w:tabs>
        <w:ind w:left="2121" w:hanging="360"/>
      </w:pPr>
      <w:rPr>
        <w:rFonts w:ascii="Courier New" w:hAnsi="Courier New" w:hint="default"/>
      </w:rPr>
    </w:lvl>
    <w:lvl w:ilvl="2" w:tplc="0C090005" w:tentative="1">
      <w:start w:val="1"/>
      <w:numFmt w:val="bullet"/>
      <w:lvlText w:val=""/>
      <w:lvlJc w:val="left"/>
      <w:pPr>
        <w:tabs>
          <w:tab w:val="num" w:pos="2841"/>
        </w:tabs>
        <w:ind w:left="2841" w:hanging="360"/>
      </w:pPr>
      <w:rPr>
        <w:rFonts w:ascii="Wingdings" w:hAnsi="Wingdings" w:hint="default"/>
      </w:rPr>
    </w:lvl>
    <w:lvl w:ilvl="3" w:tplc="0C090001" w:tentative="1">
      <w:start w:val="1"/>
      <w:numFmt w:val="bullet"/>
      <w:lvlText w:val=""/>
      <w:lvlJc w:val="left"/>
      <w:pPr>
        <w:tabs>
          <w:tab w:val="num" w:pos="3561"/>
        </w:tabs>
        <w:ind w:left="3561" w:hanging="360"/>
      </w:pPr>
      <w:rPr>
        <w:rFonts w:ascii="Symbol" w:hAnsi="Symbol" w:hint="default"/>
      </w:rPr>
    </w:lvl>
    <w:lvl w:ilvl="4" w:tplc="0C090003" w:tentative="1">
      <w:start w:val="1"/>
      <w:numFmt w:val="bullet"/>
      <w:lvlText w:val="o"/>
      <w:lvlJc w:val="left"/>
      <w:pPr>
        <w:tabs>
          <w:tab w:val="num" w:pos="4281"/>
        </w:tabs>
        <w:ind w:left="4281" w:hanging="360"/>
      </w:pPr>
      <w:rPr>
        <w:rFonts w:ascii="Courier New" w:hAnsi="Courier New" w:hint="default"/>
      </w:rPr>
    </w:lvl>
    <w:lvl w:ilvl="5" w:tplc="0C090005" w:tentative="1">
      <w:start w:val="1"/>
      <w:numFmt w:val="bullet"/>
      <w:lvlText w:val=""/>
      <w:lvlJc w:val="left"/>
      <w:pPr>
        <w:tabs>
          <w:tab w:val="num" w:pos="5001"/>
        </w:tabs>
        <w:ind w:left="5001" w:hanging="360"/>
      </w:pPr>
      <w:rPr>
        <w:rFonts w:ascii="Wingdings" w:hAnsi="Wingdings" w:hint="default"/>
      </w:rPr>
    </w:lvl>
    <w:lvl w:ilvl="6" w:tplc="0C090001" w:tentative="1">
      <w:start w:val="1"/>
      <w:numFmt w:val="bullet"/>
      <w:lvlText w:val=""/>
      <w:lvlJc w:val="left"/>
      <w:pPr>
        <w:tabs>
          <w:tab w:val="num" w:pos="5721"/>
        </w:tabs>
        <w:ind w:left="5721" w:hanging="360"/>
      </w:pPr>
      <w:rPr>
        <w:rFonts w:ascii="Symbol" w:hAnsi="Symbol" w:hint="default"/>
      </w:rPr>
    </w:lvl>
    <w:lvl w:ilvl="7" w:tplc="0C090003" w:tentative="1">
      <w:start w:val="1"/>
      <w:numFmt w:val="bullet"/>
      <w:lvlText w:val="o"/>
      <w:lvlJc w:val="left"/>
      <w:pPr>
        <w:tabs>
          <w:tab w:val="num" w:pos="6441"/>
        </w:tabs>
        <w:ind w:left="6441" w:hanging="360"/>
      </w:pPr>
      <w:rPr>
        <w:rFonts w:ascii="Courier New" w:hAnsi="Courier New" w:hint="default"/>
      </w:rPr>
    </w:lvl>
    <w:lvl w:ilvl="8" w:tplc="0C090005" w:tentative="1">
      <w:start w:val="1"/>
      <w:numFmt w:val="bullet"/>
      <w:lvlText w:val=""/>
      <w:lvlJc w:val="left"/>
      <w:pPr>
        <w:tabs>
          <w:tab w:val="num" w:pos="7161"/>
        </w:tabs>
        <w:ind w:left="7161" w:hanging="360"/>
      </w:pPr>
      <w:rPr>
        <w:rFonts w:ascii="Wingdings" w:hAnsi="Wingdings" w:hint="default"/>
      </w:rPr>
    </w:lvl>
  </w:abstractNum>
  <w:abstractNum w:abstractNumId="11" w15:restartNumberingAfterBreak="0">
    <w:nsid w:val="41B04018"/>
    <w:multiLevelType w:val="hybridMultilevel"/>
    <w:tmpl w:val="3BD6E0DA"/>
    <w:lvl w:ilvl="0" w:tplc="6DFCD4C8">
      <w:start w:val="1"/>
      <w:numFmt w:val="decimal"/>
      <w:lvlText w:val="%1."/>
      <w:lvlJc w:val="left"/>
      <w:pPr>
        <w:tabs>
          <w:tab w:val="num" w:pos="720"/>
        </w:tabs>
        <w:ind w:left="720" w:hanging="360"/>
      </w:pPr>
      <w:rPr>
        <w:rFonts w:cs="Times New Roman"/>
      </w:rPr>
    </w:lvl>
    <w:lvl w:ilvl="1" w:tplc="0C090003" w:tentative="1">
      <w:start w:val="1"/>
      <w:numFmt w:val="lowerLetter"/>
      <w:lvlText w:val="%2."/>
      <w:lvlJc w:val="left"/>
      <w:pPr>
        <w:tabs>
          <w:tab w:val="num" w:pos="1440"/>
        </w:tabs>
        <w:ind w:left="1440" w:hanging="360"/>
      </w:pPr>
      <w:rPr>
        <w:rFonts w:cs="Times New Roman"/>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2" w15:restartNumberingAfterBreak="0">
    <w:nsid w:val="462C3626"/>
    <w:multiLevelType w:val="hybridMultilevel"/>
    <w:tmpl w:val="3B86D228"/>
    <w:lvl w:ilvl="0" w:tplc="0409000F">
      <w:start w:val="1"/>
      <w:numFmt w:val="bullet"/>
      <w:lvlText w:val=""/>
      <w:lvlJc w:val="left"/>
      <w:pPr>
        <w:tabs>
          <w:tab w:val="num" w:pos="360"/>
        </w:tabs>
        <w:ind w:left="360"/>
      </w:pPr>
      <w:rPr>
        <w:rFonts w:ascii="Symbol" w:hAnsi="Symbol" w:hint="default"/>
        <w:sz w:val="16"/>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AF131A7"/>
    <w:multiLevelType w:val="hybridMultilevel"/>
    <w:tmpl w:val="19E48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F4E16C0"/>
    <w:multiLevelType w:val="hybridMultilevel"/>
    <w:tmpl w:val="6F32656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522A6159"/>
    <w:multiLevelType w:val="multilevel"/>
    <w:tmpl w:val="0DEEACF2"/>
    <w:lvl w:ilvl="0">
      <w:start w:val="1"/>
      <w:numFmt w:val="decimal"/>
      <w:pStyle w:val="Heading1"/>
      <w:lvlText w:val="Appendix %1"/>
      <w:lvlJc w:val="left"/>
      <w:pPr>
        <w:tabs>
          <w:tab w:val="num" w:pos="851"/>
        </w:tabs>
        <w:ind w:left="432" w:hanging="432"/>
      </w:pPr>
      <w:rPr>
        <w:rFonts w:ascii="Century Gothic" w:hAnsi="Century Gothic" w:hint="default"/>
        <w:b/>
        <w:i w:val="0"/>
        <w:color w:val="auto"/>
        <w:sz w:val="32"/>
      </w:rPr>
    </w:lvl>
    <w:lvl w:ilvl="1">
      <w:start w:val="1"/>
      <w:numFmt w:val="decimal"/>
      <w:pStyle w:val="Heading2"/>
      <w:lvlText w:val="A%1.%2"/>
      <w:lvlJc w:val="left"/>
      <w:pPr>
        <w:tabs>
          <w:tab w:val="num" w:pos="576"/>
        </w:tabs>
        <w:ind w:left="576" w:hanging="576"/>
      </w:pPr>
      <w:rPr>
        <w:rFonts w:ascii="Arial" w:hAnsi="Arial" w:hint="default"/>
        <w:b/>
        <w:i w:val="0"/>
        <w:color w:val="auto"/>
        <w:sz w:val="28"/>
      </w:rPr>
    </w:lvl>
    <w:lvl w:ilvl="2">
      <w:start w:val="1"/>
      <w:numFmt w:val="decimal"/>
      <w:pStyle w:val="Heading3"/>
      <w:lvlText w:val="A%1.%2.%3"/>
      <w:lvlJc w:val="left"/>
      <w:pPr>
        <w:tabs>
          <w:tab w:val="num" w:pos="720"/>
        </w:tabs>
        <w:ind w:left="720" w:hanging="720"/>
      </w:pPr>
      <w:rPr>
        <w:rFonts w:ascii="Calibri" w:hAnsi="Calibri" w:hint="default"/>
        <w:b/>
        <w:i w:val="0"/>
        <w:color w:val="auto"/>
        <w:sz w:val="24"/>
      </w:rPr>
    </w:lvl>
    <w:lvl w:ilvl="3">
      <w:start w:val="1"/>
      <w:numFmt w:val="none"/>
      <w:pStyle w:val="Heading4"/>
      <w:lvlText w:val=""/>
      <w:lvlJc w:val="left"/>
      <w:pPr>
        <w:tabs>
          <w:tab w:val="num" w:pos="864"/>
        </w:tabs>
        <w:ind w:left="864" w:hanging="864"/>
      </w:pPr>
      <w:rPr>
        <w:rFonts w:hint="default"/>
        <w:color w:val="auto"/>
      </w:rPr>
    </w:lvl>
    <w:lvl w:ilvl="4">
      <w:start w:val="1"/>
      <w:numFmt w:val="none"/>
      <w:pStyle w:val="Heading5"/>
      <w:lvlText w:val=""/>
      <w:lvlJc w:val="left"/>
      <w:pPr>
        <w:tabs>
          <w:tab w:val="num" w:pos="1008"/>
        </w:tabs>
        <w:ind w:left="1008" w:hanging="1008"/>
      </w:pPr>
      <w:rPr>
        <w:rFonts w:hint="default"/>
      </w:rPr>
    </w:lvl>
    <w:lvl w:ilvl="5">
      <w:start w:val="1"/>
      <w:numFmt w:val="none"/>
      <w:pStyle w:val="Heading6"/>
      <w:lvlText w:val=""/>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6" w15:restartNumberingAfterBreak="0">
    <w:nsid w:val="54AF0B8E"/>
    <w:multiLevelType w:val="multilevel"/>
    <w:tmpl w:val="D892E1AC"/>
    <w:lvl w:ilvl="0">
      <w:start w:val="2"/>
      <w:numFmt w:val="decimal"/>
      <w:lvlText w:val="%1."/>
      <w:lvlJc w:val="left"/>
      <w:pPr>
        <w:tabs>
          <w:tab w:val="num" w:pos="0"/>
        </w:tabs>
        <w:ind w:left="0" w:firstLine="0"/>
      </w:pPr>
      <w:rPr>
        <w:rFonts w:hint="default"/>
      </w:rPr>
    </w:lvl>
    <w:lvl w:ilvl="1">
      <w:start w:val="1"/>
      <w:numFmt w:val="decimal"/>
      <w:lvlText w:val="A%1.%2."/>
      <w:lvlJc w:val="left"/>
      <w:pPr>
        <w:tabs>
          <w:tab w:val="num" w:pos="792"/>
        </w:tabs>
        <w:ind w:left="792" w:hanging="432"/>
      </w:pPr>
      <w:rPr>
        <w:rFonts w:hint="default"/>
        <w:color w:val="365F91"/>
        <w:sz w:val="28"/>
      </w:rPr>
    </w:lvl>
    <w:lvl w:ilvl="2">
      <w:start w:val="1"/>
      <w:numFmt w:val="decimal"/>
      <w:lvlText w:val="A%1.%2.%3."/>
      <w:lvlJc w:val="left"/>
      <w:pPr>
        <w:tabs>
          <w:tab w:val="num" w:pos="1440"/>
        </w:tabs>
        <w:ind w:left="1224" w:hanging="504"/>
      </w:pPr>
      <w:rPr>
        <w:rFonts w:ascii="Calibri" w:hAnsi="Calibri" w:hint="default"/>
        <w:color w:val="365F91"/>
        <w:sz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5A6065AD"/>
    <w:multiLevelType w:val="hybridMultilevel"/>
    <w:tmpl w:val="1EC48B0E"/>
    <w:lvl w:ilvl="0" w:tplc="0C090001">
      <w:start w:val="1"/>
      <w:numFmt w:val="decimal"/>
      <w:lvlText w:val="%1."/>
      <w:lvlJc w:val="left"/>
      <w:pPr>
        <w:tabs>
          <w:tab w:val="num" w:pos="720"/>
        </w:tabs>
        <w:ind w:left="720" w:hanging="360"/>
      </w:pPr>
      <w:rPr>
        <w:rFonts w:cs="Times New Roman"/>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8" w15:restartNumberingAfterBreak="0">
    <w:nsid w:val="5B6A492D"/>
    <w:multiLevelType w:val="hybridMultilevel"/>
    <w:tmpl w:val="5E241D7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DD90BD5"/>
    <w:multiLevelType w:val="hybridMultilevel"/>
    <w:tmpl w:val="2F9618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94E1330"/>
    <w:multiLevelType w:val="hybridMultilevel"/>
    <w:tmpl w:val="6F32656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7DBE2965"/>
    <w:multiLevelType w:val="hybridMultilevel"/>
    <w:tmpl w:val="3E00063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7F5D5BFA"/>
    <w:multiLevelType w:val="hybridMultilevel"/>
    <w:tmpl w:val="A6AA4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17"/>
  </w:num>
  <w:num w:numId="4">
    <w:abstractNumId w:val="10"/>
  </w:num>
  <w:num w:numId="5">
    <w:abstractNumId w:val="7"/>
  </w:num>
  <w:num w:numId="6">
    <w:abstractNumId w:val="22"/>
  </w:num>
  <w:num w:numId="7">
    <w:abstractNumId w:val="2"/>
  </w:num>
  <w:num w:numId="8">
    <w:abstractNumId w:val="4"/>
  </w:num>
  <w:num w:numId="9">
    <w:abstractNumId w:val="6"/>
  </w:num>
  <w:num w:numId="10">
    <w:abstractNumId w:val="16"/>
    <w:lvlOverride w:ilvl="0">
      <w:lvl w:ilvl="0">
        <w:start w:val="2"/>
        <w:numFmt w:val="decimal"/>
        <w:lvlText w:val="%1."/>
        <w:lvlJc w:val="left"/>
        <w:pPr>
          <w:tabs>
            <w:tab w:val="num" w:pos="0"/>
          </w:tabs>
          <w:ind w:left="0" w:firstLine="0"/>
        </w:pPr>
        <w:rPr>
          <w:rFonts w:hint="default"/>
        </w:rPr>
      </w:lvl>
    </w:lvlOverride>
    <w:lvlOverride w:ilvl="1">
      <w:lvl w:ilvl="1">
        <w:start w:val="1"/>
        <w:numFmt w:val="decimal"/>
        <w:lvlText w:val="A%1.%2."/>
        <w:lvlJc w:val="left"/>
        <w:pPr>
          <w:tabs>
            <w:tab w:val="num" w:pos="792"/>
          </w:tabs>
          <w:ind w:left="792" w:hanging="432"/>
        </w:pPr>
        <w:rPr>
          <w:rFonts w:hint="default"/>
          <w:color w:val="365F91"/>
          <w:sz w:val="28"/>
        </w:rPr>
      </w:lvl>
    </w:lvlOverride>
    <w:lvlOverride w:ilvl="2">
      <w:lvl w:ilvl="2">
        <w:start w:val="1"/>
        <w:numFmt w:val="decimal"/>
        <w:lvlText w:val="A%1.%2.%3."/>
        <w:lvlJc w:val="left"/>
        <w:pPr>
          <w:tabs>
            <w:tab w:val="num" w:pos="1440"/>
          </w:tabs>
          <w:ind w:left="1224" w:hanging="504"/>
        </w:pPr>
        <w:rPr>
          <w:rFonts w:ascii="Calibri" w:hAnsi="Calibri" w:hint="default"/>
          <w:color w:val="365F91"/>
          <w:sz w:val="24"/>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1">
    <w:abstractNumId w:val="0"/>
  </w:num>
  <w:num w:numId="12">
    <w:abstractNumId w:val="3"/>
  </w:num>
  <w:num w:numId="13">
    <w:abstractNumId w:val="13"/>
  </w:num>
  <w:num w:numId="14">
    <w:abstractNumId w:val="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5"/>
    <w:lvlOverride w:ilvl="0">
      <w:lvl w:ilvl="0">
        <w:start w:val="1"/>
        <w:numFmt w:val="decimal"/>
        <w:pStyle w:val="Heading1"/>
        <w:lvlText w:val="Appendix %1"/>
        <w:lvlJc w:val="left"/>
        <w:pPr>
          <w:tabs>
            <w:tab w:val="num" w:pos="851"/>
          </w:tabs>
          <w:ind w:left="851" w:hanging="851"/>
        </w:pPr>
        <w:rPr>
          <w:rFonts w:ascii="Century Gothic" w:hAnsi="Century Gothic" w:hint="default"/>
          <w:b/>
          <w:i w:val="0"/>
          <w:color w:val="auto"/>
          <w:sz w:val="32"/>
        </w:rPr>
      </w:lvl>
    </w:lvlOverride>
    <w:lvlOverride w:ilvl="1">
      <w:lvl w:ilvl="1">
        <w:start w:val="1"/>
        <w:numFmt w:val="decimal"/>
        <w:pStyle w:val="Heading2"/>
        <w:lvlText w:val="A%1.%2"/>
        <w:lvlJc w:val="left"/>
        <w:pPr>
          <w:tabs>
            <w:tab w:val="num" w:pos="851"/>
          </w:tabs>
          <w:ind w:left="851" w:hanging="851"/>
        </w:pPr>
        <w:rPr>
          <w:rFonts w:ascii="Arial" w:hAnsi="Arial" w:hint="default"/>
          <w:b/>
          <w:i w:val="0"/>
          <w:color w:val="auto"/>
          <w:sz w:val="28"/>
        </w:rPr>
      </w:lvl>
    </w:lvlOverride>
    <w:lvlOverride w:ilvl="2">
      <w:lvl w:ilvl="2">
        <w:start w:val="1"/>
        <w:numFmt w:val="decimal"/>
        <w:pStyle w:val="Heading3"/>
        <w:lvlText w:val="A%1.%2.%3"/>
        <w:lvlJc w:val="left"/>
        <w:pPr>
          <w:tabs>
            <w:tab w:val="num" w:pos="851"/>
          </w:tabs>
          <w:ind w:left="851" w:hanging="851"/>
        </w:pPr>
        <w:rPr>
          <w:rFonts w:ascii="Calibri" w:hAnsi="Calibri" w:hint="default"/>
          <w:b/>
          <w:i w:val="0"/>
          <w:color w:val="auto"/>
          <w:sz w:val="24"/>
        </w:rPr>
      </w:lvl>
    </w:lvlOverride>
    <w:lvlOverride w:ilvl="3">
      <w:lvl w:ilvl="3">
        <w:start w:val="1"/>
        <w:numFmt w:val="none"/>
        <w:pStyle w:val="Heading4"/>
        <w:lvlText w:val=""/>
        <w:lvlJc w:val="left"/>
        <w:pPr>
          <w:tabs>
            <w:tab w:val="num" w:pos="851"/>
          </w:tabs>
          <w:ind w:left="851" w:hanging="851"/>
        </w:pPr>
        <w:rPr>
          <w:rFonts w:hint="default"/>
          <w:color w:val="auto"/>
        </w:rPr>
      </w:lvl>
    </w:lvlOverride>
    <w:lvlOverride w:ilvl="4">
      <w:lvl w:ilvl="4">
        <w:start w:val="1"/>
        <w:numFmt w:val="none"/>
        <w:pStyle w:val="Heading5"/>
        <w:lvlText w:val=""/>
        <w:lvlJc w:val="left"/>
        <w:pPr>
          <w:tabs>
            <w:tab w:val="num" w:pos="851"/>
          </w:tabs>
          <w:ind w:left="851" w:hanging="851"/>
        </w:pPr>
        <w:rPr>
          <w:rFonts w:hint="default"/>
        </w:rPr>
      </w:lvl>
    </w:lvlOverride>
    <w:lvlOverride w:ilvl="5">
      <w:lvl w:ilvl="5">
        <w:start w:val="1"/>
        <w:numFmt w:val="none"/>
        <w:pStyle w:val="Heading6"/>
        <w:lvlText w:val=""/>
        <w:lvlJc w:val="left"/>
        <w:pPr>
          <w:tabs>
            <w:tab w:val="num" w:pos="851"/>
          </w:tabs>
          <w:ind w:left="851" w:hanging="851"/>
        </w:pPr>
        <w:rPr>
          <w:rFonts w:hint="default"/>
        </w:rPr>
      </w:lvl>
    </w:lvlOverride>
    <w:lvlOverride w:ilvl="6">
      <w:lvl w:ilvl="6">
        <w:start w:val="1"/>
        <w:numFmt w:val="decimal"/>
        <w:pStyle w:val="Heading7"/>
        <w:lvlText w:val="%1.%2.%3.%4.%5.%6.%7"/>
        <w:lvlJc w:val="left"/>
        <w:pPr>
          <w:tabs>
            <w:tab w:val="num" w:pos="851"/>
          </w:tabs>
          <w:ind w:left="851" w:hanging="851"/>
        </w:pPr>
        <w:rPr>
          <w:rFonts w:hint="default"/>
        </w:rPr>
      </w:lvl>
    </w:lvlOverride>
    <w:lvlOverride w:ilvl="7">
      <w:lvl w:ilvl="7">
        <w:start w:val="1"/>
        <w:numFmt w:val="decimal"/>
        <w:pStyle w:val="Heading8"/>
        <w:lvlText w:val="%1.%2.%3.%4.%5.%6.%7.%8"/>
        <w:lvlJc w:val="left"/>
        <w:pPr>
          <w:tabs>
            <w:tab w:val="num" w:pos="851"/>
          </w:tabs>
          <w:ind w:left="851" w:hanging="851"/>
        </w:pPr>
        <w:rPr>
          <w:rFonts w:hint="default"/>
        </w:rPr>
      </w:lvl>
    </w:lvlOverride>
    <w:lvlOverride w:ilvl="8">
      <w:lvl w:ilvl="8">
        <w:start w:val="1"/>
        <w:numFmt w:val="decimal"/>
        <w:pStyle w:val="Heading9"/>
        <w:lvlText w:val="%1.%2.%3.%4.%5.%6.%7.%8.%9"/>
        <w:lvlJc w:val="left"/>
        <w:pPr>
          <w:tabs>
            <w:tab w:val="num" w:pos="851"/>
          </w:tabs>
          <w:ind w:left="851" w:hanging="851"/>
        </w:pPr>
        <w:rPr>
          <w:rFonts w:hint="default"/>
        </w:rPr>
      </w:lvl>
    </w:lvlOverride>
  </w:num>
  <w:num w:numId="18">
    <w:abstractNumId w:val="9"/>
  </w:num>
  <w:num w:numId="19">
    <w:abstractNumId w:val="8"/>
  </w:num>
  <w:num w:numId="20">
    <w:abstractNumId w:val="5"/>
  </w:num>
  <w:num w:numId="21">
    <w:abstractNumId w:val="15"/>
  </w:num>
  <w:num w:numId="22">
    <w:abstractNumId w:val="15"/>
  </w:num>
  <w:num w:numId="23">
    <w:abstractNumId w:val="15"/>
  </w:num>
  <w:num w:numId="24">
    <w:abstractNumId w:val="15"/>
  </w:num>
  <w:num w:numId="25">
    <w:abstractNumId w:val="15"/>
  </w:num>
  <w:num w:numId="26">
    <w:abstractNumId w:val="15"/>
  </w:num>
  <w:num w:numId="27">
    <w:abstractNumId w:val="15"/>
  </w:num>
  <w:num w:numId="28">
    <w:abstractNumId w:val="15"/>
  </w:num>
  <w:num w:numId="29">
    <w:abstractNumId w:val="15"/>
  </w:num>
  <w:num w:numId="30">
    <w:abstractNumId w:val="15"/>
  </w:num>
  <w:num w:numId="31">
    <w:abstractNumId w:val="15"/>
  </w:num>
  <w:num w:numId="32">
    <w:abstractNumId w:val="15"/>
  </w:num>
  <w:num w:numId="33">
    <w:abstractNumId w:val="18"/>
  </w:num>
  <w:num w:numId="34">
    <w:abstractNumId w:val="20"/>
  </w:num>
  <w:num w:numId="35">
    <w:abstractNumId w:val="15"/>
  </w:num>
  <w:num w:numId="36">
    <w:abstractNumId w:val="15"/>
  </w:num>
  <w:num w:numId="37">
    <w:abstractNumId w:val="14"/>
  </w:num>
  <w:num w:numId="38">
    <w:abstractNumId w:val="21"/>
  </w:num>
  <w:num w:numId="39">
    <w:abstractNumId w:val="19"/>
  </w:num>
  <w:num w:numId="40">
    <w:abstractNumId w:val="15"/>
  </w:num>
  <w:num w:numId="41">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removePersonalInformation/>
  <w:removeDateAndTime/>
  <w:hideSpellingErrors/>
  <w:hideGrammaticalErrors/>
  <w:activeWritingStyle w:appName="MSWord" w:lang="en-AU" w:vendorID="64" w:dllVersion="6"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fr-FR" w:vendorID="64" w:dllVersion="0" w:nlCheck="1" w:checkStyle="0"/>
  <w:activeWritingStyle w:appName="MSWord" w:lang="da-DK" w:vendorID="64" w:dllVersion="0" w:nlCheck="1" w:checkStyle="0"/>
  <w:activeWritingStyle w:appName="MSWord" w:lang="tr-TR" w:vendorID="64" w:dllVersion="0" w:nlCheck="1" w:checkStyle="0"/>
  <w:activeWritingStyle w:appName="MSWord" w:lang="fi-FI" w:vendorID="64" w:dllVersion="0" w:nlCheck="1" w:checkStyle="0"/>
  <w:activeWritingStyle w:appName="MSWord" w:lang="nb-NO" w:vendorID="64" w:dllVersion="0" w:nlCheck="1" w:checkStyle="0"/>
  <w:activeWritingStyle w:appName="MSWord" w:lang="pt-BR" w:vendorID="64" w:dllVersion="0" w:nlCheck="1" w:checkStyle="0"/>
  <w:activeWritingStyle w:appName="MSWord" w:lang="de-DE" w:vendorID="64" w:dllVersion="0" w:nlCheck="1" w:checkStyle="0"/>
  <w:activeWritingStyle w:appName="MSWord" w:lang="nl-NL" w:vendorID="64" w:dllVersion="0" w:nlCheck="1" w:checkStyle="0"/>
  <w:activeWritingStyle w:appName="MSWord" w:lang="cs-CZ" w:vendorID="64" w:dllVersion="0" w:nlCheck="1" w:checkStyle="0"/>
  <w:activeWritingStyle w:appName="MSWord" w:lang="en-AU" w:vendorID="64" w:dllVersion="4096" w:nlCheck="1" w:checkStyle="0"/>
  <w:activeWritingStyle w:appName="MSWord" w:lang="en-US" w:vendorID="64" w:dllVersion="4096" w:nlCheck="1" w:checkStyle="0"/>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stylePaneSortMethod w:val="0000"/>
  <w:defaultTabStop w:val="720"/>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GBRMPA&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eve55x9y5vfd6e9dacxtew4eatve2dzds9a&quot;&gt;LJMcKenzie library&lt;record-ids&gt;&lt;item&gt;64&lt;/item&gt;&lt;item&gt;116&lt;/item&gt;&lt;item&gt;128&lt;/item&gt;&lt;item&gt;129&lt;/item&gt;&lt;item&gt;177&lt;/item&gt;&lt;item&gt;208&lt;/item&gt;&lt;item&gt;258&lt;/item&gt;&lt;item&gt;292&lt;/item&gt;&lt;item&gt;304&lt;/item&gt;&lt;item&gt;305&lt;/item&gt;&lt;item&gt;517&lt;/item&gt;&lt;item&gt;521&lt;/item&gt;&lt;item&gt;522&lt;/item&gt;&lt;item&gt;678&lt;/item&gt;&lt;item&gt;682&lt;/item&gt;&lt;item&gt;700&lt;/item&gt;&lt;item&gt;771&lt;/item&gt;&lt;item&gt;946&lt;/item&gt;&lt;item&gt;950&lt;/item&gt;&lt;item&gt;951&lt;/item&gt;&lt;item&gt;1082&lt;/item&gt;&lt;item&gt;1102&lt;/item&gt;&lt;item&gt;1247&lt;/item&gt;&lt;item&gt;1343&lt;/item&gt;&lt;item&gt;1346&lt;/item&gt;&lt;item&gt;1388&lt;/item&gt;&lt;item&gt;1687&lt;/item&gt;&lt;item&gt;1765&lt;/item&gt;&lt;item&gt;1954&lt;/item&gt;&lt;item&gt;2371&lt;/item&gt;&lt;item&gt;2582&lt;/item&gt;&lt;item&gt;2827&lt;/item&gt;&lt;item&gt;2838&lt;/item&gt;&lt;item&gt;2896&lt;/item&gt;&lt;item&gt;3703&lt;/item&gt;&lt;item&gt;3739&lt;/item&gt;&lt;item&gt;3782&lt;/item&gt;&lt;item&gt;3970&lt;/item&gt;&lt;item&gt;5408&lt;/item&gt;&lt;item&gt;5442&lt;/item&gt;&lt;item&gt;5476&lt;/item&gt;&lt;item&gt;5478&lt;/item&gt;&lt;item&gt;5658&lt;/item&gt;&lt;item&gt;5782&lt;/item&gt;&lt;item&gt;5808&lt;/item&gt;&lt;item&gt;6292&lt;/item&gt;&lt;item&gt;6844&lt;/item&gt;&lt;item&gt;6992&lt;/item&gt;&lt;item&gt;7086&lt;/item&gt;&lt;item&gt;7246&lt;/item&gt;&lt;item&gt;7281&lt;/item&gt;&lt;item&gt;7340&lt;/item&gt;&lt;item&gt;7350&lt;/item&gt;&lt;item&gt;7364&lt;/item&gt;&lt;item&gt;7367&lt;/item&gt;&lt;item&gt;7380&lt;/item&gt;&lt;item&gt;7405&lt;/item&gt;&lt;item&gt;7409&lt;/item&gt;&lt;item&gt;7418&lt;/item&gt;&lt;item&gt;7423&lt;/item&gt;&lt;item&gt;7505&lt;/item&gt;&lt;item&gt;7826&lt;/item&gt;&lt;item&gt;7829&lt;/item&gt;&lt;item&gt;7891&lt;/item&gt;&lt;item&gt;8021&lt;/item&gt;&lt;item&gt;8336&lt;/item&gt;&lt;item&gt;8887&lt;/item&gt;&lt;item&gt;9043&lt;/item&gt;&lt;item&gt;9070&lt;/item&gt;&lt;item&gt;9074&lt;/item&gt;&lt;item&gt;9077&lt;/item&gt;&lt;item&gt;9133&lt;/item&gt;&lt;item&gt;9144&lt;/item&gt;&lt;item&gt;9156&lt;/item&gt;&lt;item&gt;9168&lt;/item&gt;&lt;item&gt;9179&lt;/item&gt;&lt;item&gt;9186&lt;/item&gt;&lt;item&gt;9197&lt;/item&gt;&lt;item&gt;9240&lt;/item&gt;&lt;item&gt;9244&lt;/item&gt;&lt;item&gt;9279&lt;/item&gt;&lt;item&gt;9281&lt;/item&gt;&lt;item&gt;9285&lt;/item&gt;&lt;item&gt;9287&lt;/item&gt;&lt;item&gt;9288&lt;/item&gt;&lt;item&gt;9294&lt;/item&gt;&lt;item&gt;9304&lt;/item&gt;&lt;item&gt;9309&lt;/item&gt;&lt;item&gt;9319&lt;/item&gt;&lt;item&gt;9341&lt;/item&gt;&lt;item&gt;9352&lt;/item&gt;&lt;item&gt;9357&lt;/item&gt;&lt;item&gt;9363&lt;/item&gt;&lt;item&gt;9367&lt;/item&gt;&lt;item&gt;9368&lt;/item&gt;&lt;item&gt;9397&lt;/item&gt;&lt;item&gt;9435&lt;/item&gt;&lt;item&gt;9456&lt;/item&gt;&lt;item&gt;9457&lt;/item&gt;&lt;item&gt;9478&lt;/item&gt;&lt;item&gt;9486&lt;/item&gt;&lt;item&gt;9489&lt;/item&gt;&lt;item&gt;9490&lt;/item&gt;&lt;item&gt;9492&lt;/item&gt;&lt;item&gt;9493&lt;/item&gt;&lt;item&gt;9494&lt;/item&gt;&lt;item&gt;9495&lt;/item&gt;&lt;item&gt;9496&lt;/item&gt;&lt;item&gt;9497&lt;/item&gt;&lt;item&gt;9501&lt;/item&gt;&lt;item&gt;9502&lt;/item&gt;&lt;item&gt;9553&lt;/item&gt;&lt;item&gt;9604&lt;/item&gt;&lt;item&gt;9605&lt;/item&gt;&lt;item&gt;9606&lt;/item&gt;&lt;item&gt;9614&lt;/item&gt;&lt;item&gt;9645&lt;/item&gt;&lt;item&gt;9646&lt;/item&gt;&lt;item&gt;9647&lt;/item&gt;&lt;item&gt;9671&lt;/item&gt;&lt;item&gt;9672&lt;/item&gt;&lt;item&gt;9673&lt;/item&gt;&lt;item&gt;9675&lt;/item&gt;&lt;item&gt;9677&lt;/item&gt;&lt;item&gt;9678&lt;/item&gt;&lt;item&gt;9679&lt;/item&gt;&lt;item&gt;9680&lt;/item&gt;&lt;item&gt;9681&lt;/item&gt;&lt;item&gt;9682&lt;/item&gt;&lt;item&gt;9683&lt;/item&gt;&lt;item&gt;9684&lt;/item&gt;&lt;item&gt;9685&lt;/item&gt;&lt;item&gt;9686&lt;/item&gt;&lt;item&gt;9687&lt;/item&gt;&lt;item&gt;9690&lt;/item&gt;&lt;item&gt;9691&lt;/item&gt;&lt;item&gt;9692&lt;/item&gt;&lt;item&gt;9693&lt;/item&gt;&lt;item&gt;9694&lt;/item&gt;&lt;item&gt;9695&lt;/item&gt;&lt;item&gt;9696&lt;/item&gt;&lt;item&gt;9697&lt;/item&gt;&lt;item&gt;9698&lt;/item&gt;&lt;item&gt;9699&lt;/item&gt;&lt;item&gt;9700&lt;/item&gt;&lt;item&gt;9701&lt;/item&gt;&lt;item&gt;9703&lt;/item&gt;&lt;item&gt;9704&lt;/item&gt;&lt;item&gt;9707&lt;/item&gt;&lt;item&gt;9713&lt;/item&gt;&lt;item&gt;9740&lt;/item&gt;&lt;item&gt;9751&lt;/item&gt;&lt;item&gt;9754&lt;/item&gt;&lt;item&gt;9756&lt;/item&gt;&lt;item&gt;9758&lt;/item&gt;&lt;item&gt;9759&lt;/item&gt;&lt;item&gt;9760&lt;/item&gt;&lt;item&gt;9761&lt;/item&gt;&lt;item&gt;9762&lt;/item&gt;&lt;item&gt;9763&lt;/item&gt;&lt;item&gt;9764&lt;/item&gt;&lt;item&gt;9765&lt;/item&gt;&lt;item&gt;9766&lt;/item&gt;&lt;item&gt;9767&lt;/item&gt;&lt;item&gt;9768&lt;/item&gt;&lt;item&gt;9769&lt;/item&gt;&lt;item&gt;9770&lt;/item&gt;&lt;item&gt;9771&lt;/item&gt;&lt;item&gt;9772&lt;/item&gt;&lt;item&gt;9773&lt;/item&gt;&lt;item&gt;9775&lt;/item&gt;&lt;item&gt;9777&lt;/item&gt;&lt;item&gt;9778&lt;/item&gt;&lt;item&gt;9779&lt;/item&gt;&lt;item&gt;9780&lt;/item&gt;&lt;item&gt;9791&lt;/item&gt;&lt;item&gt;9792&lt;/item&gt;&lt;item&gt;9812&lt;/item&gt;&lt;item&gt;9824&lt;/item&gt;&lt;item&gt;9838&lt;/item&gt;&lt;item&gt;9847&lt;/item&gt;&lt;item&gt;9877&lt;/item&gt;&lt;item&gt;9878&lt;/item&gt;&lt;item&gt;9893&lt;/item&gt;&lt;item&gt;9961&lt;/item&gt;&lt;item&gt;9980&lt;/item&gt;&lt;item&gt;9996&lt;/item&gt;&lt;item&gt;10036&lt;/item&gt;&lt;item&gt;10039&lt;/item&gt;&lt;item&gt;10041&lt;/item&gt;&lt;item&gt;10060&lt;/item&gt;&lt;item&gt;10062&lt;/item&gt;&lt;item&gt;10077&lt;/item&gt;&lt;item&gt;10291&lt;/item&gt;&lt;item&gt;10292&lt;/item&gt;&lt;item&gt;10293&lt;/item&gt;&lt;item&gt;10294&lt;/item&gt;&lt;item&gt;10304&lt;/item&gt;&lt;item&gt;10306&lt;/item&gt;&lt;item&gt;10307&lt;/item&gt;&lt;item&gt;10310&lt;/item&gt;&lt;item&gt;10319&lt;/item&gt;&lt;item&gt;10320&lt;/item&gt;&lt;item&gt;10405&lt;/item&gt;&lt;item&gt;10411&lt;/item&gt;&lt;item&gt;10447&lt;/item&gt;&lt;item&gt;10474&lt;/item&gt;&lt;item&gt;10481&lt;/item&gt;&lt;item&gt;10482&lt;/item&gt;&lt;item&gt;10485&lt;/item&gt;&lt;item&gt;10488&lt;/item&gt;&lt;item&gt;10578&lt;/item&gt;&lt;item&gt;10579&lt;/item&gt;&lt;item&gt;10580&lt;/item&gt;&lt;item&gt;10583&lt;/item&gt;&lt;item&gt;10625&lt;/item&gt;&lt;item&gt;10665&lt;/item&gt;&lt;item&gt;10720&lt;/item&gt;&lt;item&gt;10760&lt;/item&gt;&lt;item&gt;10800&lt;/item&gt;&lt;item&gt;10813&lt;/item&gt;&lt;item&gt;10821&lt;/item&gt;&lt;item&gt;10822&lt;/item&gt;&lt;item&gt;10824&lt;/item&gt;&lt;item&gt;10877&lt;/item&gt;&lt;item&gt;10878&lt;/item&gt;&lt;item&gt;10905&lt;/item&gt;&lt;item&gt;10911&lt;/item&gt;&lt;item&gt;10913&lt;/item&gt;&lt;item&gt;10917&lt;/item&gt;&lt;item&gt;10919&lt;/item&gt;&lt;item&gt;10955&lt;/item&gt;&lt;item&gt;11337&lt;/item&gt;&lt;item&gt;11338&lt;/item&gt;&lt;item&gt;11339&lt;/item&gt;&lt;item&gt;11465&lt;/item&gt;&lt;item&gt;11466&lt;/item&gt;&lt;item&gt;11467&lt;/item&gt;&lt;item&gt;11468&lt;/item&gt;&lt;item&gt;11521&lt;/item&gt;&lt;item&gt;11522&lt;/item&gt;&lt;/record-ids&gt;&lt;/item&gt;&lt;/Libraries&gt;"/>
  </w:docVars>
  <w:rsids>
    <w:rsidRoot w:val="003469AB"/>
    <w:rsid w:val="0000049A"/>
    <w:rsid w:val="00000AF9"/>
    <w:rsid w:val="00000D6B"/>
    <w:rsid w:val="000011C5"/>
    <w:rsid w:val="000015EC"/>
    <w:rsid w:val="00001A9C"/>
    <w:rsid w:val="00001AA5"/>
    <w:rsid w:val="00001C6E"/>
    <w:rsid w:val="00002599"/>
    <w:rsid w:val="00002C32"/>
    <w:rsid w:val="00002DC4"/>
    <w:rsid w:val="00003363"/>
    <w:rsid w:val="000038BE"/>
    <w:rsid w:val="00003FCC"/>
    <w:rsid w:val="00004179"/>
    <w:rsid w:val="0000434C"/>
    <w:rsid w:val="00005FEC"/>
    <w:rsid w:val="00006EFE"/>
    <w:rsid w:val="00006FCB"/>
    <w:rsid w:val="00007082"/>
    <w:rsid w:val="000073DE"/>
    <w:rsid w:val="0001023E"/>
    <w:rsid w:val="000107A5"/>
    <w:rsid w:val="000108DB"/>
    <w:rsid w:val="00010926"/>
    <w:rsid w:val="00010FB7"/>
    <w:rsid w:val="00010FBB"/>
    <w:rsid w:val="0001103A"/>
    <w:rsid w:val="0001105C"/>
    <w:rsid w:val="000115D2"/>
    <w:rsid w:val="0001165C"/>
    <w:rsid w:val="00012F2C"/>
    <w:rsid w:val="000135E4"/>
    <w:rsid w:val="000138FB"/>
    <w:rsid w:val="000139DD"/>
    <w:rsid w:val="0001518D"/>
    <w:rsid w:val="00015190"/>
    <w:rsid w:val="00015AD8"/>
    <w:rsid w:val="000168DB"/>
    <w:rsid w:val="00016BE7"/>
    <w:rsid w:val="00016FBB"/>
    <w:rsid w:val="00017151"/>
    <w:rsid w:val="000172D4"/>
    <w:rsid w:val="0001759E"/>
    <w:rsid w:val="000205AF"/>
    <w:rsid w:val="00020CFF"/>
    <w:rsid w:val="00020F54"/>
    <w:rsid w:val="0002161B"/>
    <w:rsid w:val="000219E6"/>
    <w:rsid w:val="00021B77"/>
    <w:rsid w:val="00021C89"/>
    <w:rsid w:val="0002299A"/>
    <w:rsid w:val="00022E06"/>
    <w:rsid w:val="0002306F"/>
    <w:rsid w:val="00023437"/>
    <w:rsid w:val="00023460"/>
    <w:rsid w:val="00023994"/>
    <w:rsid w:val="00023A10"/>
    <w:rsid w:val="00024100"/>
    <w:rsid w:val="000242FC"/>
    <w:rsid w:val="000244AA"/>
    <w:rsid w:val="00024827"/>
    <w:rsid w:val="00024A6D"/>
    <w:rsid w:val="00024C3F"/>
    <w:rsid w:val="00024E68"/>
    <w:rsid w:val="00025245"/>
    <w:rsid w:val="000252FF"/>
    <w:rsid w:val="0002543D"/>
    <w:rsid w:val="000254B3"/>
    <w:rsid w:val="000258CE"/>
    <w:rsid w:val="00025B2F"/>
    <w:rsid w:val="000266AE"/>
    <w:rsid w:val="00026E46"/>
    <w:rsid w:val="00027B67"/>
    <w:rsid w:val="00027E9F"/>
    <w:rsid w:val="000303CC"/>
    <w:rsid w:val="00030955"/>
    <w:rsid w:val="00030977"/>
    <w:rsid w:val="00030B2E"/>
    <w:rsid w:val="000316DC"/>
    <w:rsid w:val="00031771"/>
    <w:rsid w:val="00031972"/>
    <w:rsid w:val="000323E1"/>
    <w:rsid w:val="00032723"/>
    <w:rsid w:val="00032A28"/>
    <w:rsid w:val="00032EAE"/>
    <w:rsid w:val="0003330D"/>
    <w:rsid w:val="000334E5"/>
    <w:rsid w:val="000336D1"/>
    <w:rsid w:val="000338E7"/>
    <w:rsid w:val="00033DF1"/>
    <w:rsid w:val="00034308"/>
    <w:rsid w:val="0003437A"/>
    <w:rsid w:val="0003479B"/>
    <w:rsid w:val="00034AD4"/>
    <w:rsid w:val="00034B88"/>
    <w:rsid w:val="00034C27"/>
    <w:rsid w:val="00034D68"/>
    <w:rsid w:val="000352C6"/>
    <w:rsid w:val="000352F0"/>
    <w:rsid w:val="00035426"/>
    <w:rsid w:val="0003559C"/>
    <w:rsid w:val="00035FDC"/>
    <w:rsid w:val="00036CBF"/>
    <w:rsid w:val="00036F41"/>
    <w:rsid w:val="0003748F"/>
    <w:rsid w:val="00037785"/>
    <w:rsid w:val="000377A0"/>
    <w:rsid w:val="00037AA5"/>
    <w:rsid w:val="00037AE5"/>
    <w:rsid w:val="00037BAC"/>
    <w:rsid w:val="00037C19"/>
    <w:rsid w:val="00040903"/>
    <w:rsid w:val="00041758"/>
    <w:rsid w:val="0004189E"/>
    <w:rsid w:val="00041981"/>
    <w:rsid w:val="00041C82"/>
    <w:rsid w:val="00041FE9"/>
    <w:rsid w:val="00042CFA"/>
    <w:rsid w:val="00043A4D"/>
    <w:rsid w:val="000440B8"/>
    <w:rsid w:val="000444DF"/>
    <w:rsid w:val="000447C9"/>
    <w:rsid w:val="00044A3B"/>
    <w:rsid w:val="00044F7A"/>
    <w:rsid w:val="0004596D"/>
    <w:rsid w:val="00045D87"/>
    <w:rsid w:val="00045E99"/>
    <w:rsid w:val="000464BD"/>
    <w:rsid w:val="000467F0"/>
    <w:rsid w:val="00046BE2"/>
    <w:rsid w:val="00046CED"/>
    <w:rsid w:val="00046FBC"/>
    <w:rsid w:val="000504E8"/>
    <w:rsid w:val="0005092C"/>
    <w:rsid w:val="00050A32"/>
    <w:rsid w:val="00051629"/>
    <w:rsid w:val="00051DA9"/>
    <w:rsid w:val="00051EA3"/>
    <w:rsid w:val="00052179"/>
    <w:rsid w:val="00052B6C"/>
    <w:rsid w:val="00052D8D"/>
    <w:rsid w:val="000533D0"/>
    <w:rsid w:val="00053571"/>
    <w:rsid w:val="000535CA"/>
    <w:rsid w:val="0005364D"/>
    <w:rsid w:val="00053C3F"/>
    <w:rsid w:val="00053E4A"/>
    <w:rsid w:val="00053E52"/>
    <w:rsid w:val="0005499A"/>
    <w:rsid w:val="00054D50"/>
    <w:rsid w:val="00055AA3"/>
    <w:rsid w:val="000563CC"/>
    <w:rsid w:val="00056F86"/>
    <w:rsid w:val="00057677"/>
    <w:rsid w:val="00057C8D"/>
    <w:rsid w:val="00057E27"/>
    <w:rsid w:val="000606C2"/>
    <w:rsid w:val="00061102"/>
    <w:rsid w:val="00061307"/>
    <w:rsid w:val="000621A1"/>
    <w:rsid w:val="000626FE"/>
    <w:rsid w:val="000630F4"/>
    <w:rsid w:val="00063983"/>
    <w:rsid w:val="00064336"/>
    <w:rsid w:val="0006481B"/>
    <w:rsid w:val="00064A56"/>
    <w:rsid w:val="00064DB3"/>
    <w:rsid w:val="00064F1E"/>
    <w:rsid w:val="0006575E"/>
    <w:rsid w:val="00067B5B"/>
    <w:rsid w:val="00067B61"/>
    <w:rsid w:val="00070651"/>
    <w:rsid w:val="00070712"/>
    <w:rsid w:val="000709C8"/>
    <w:rsid w:val="00070EBB"/>
    <w:rsid w:val="000710E0"/>
    <w:rsid w:val="000713D0"/>
    <w:rsid w:val="0007171C"/>
    <w:rsid w:val="00071761"/>
    <w:rsid w:val="000721E7"/>
    <w:rsid w:val="0007233D"/>
    <w:rsid w:val="00072E65"/>
    <w:rsid w:val="0007311D"/>
    <w:rsid w:val="00073388"/>
    <w:rsid w:val="0007362E"/>
    <w:rsid w:val="000736B0"/>
    <w:rsid w:val="0007459F"/>
    <w:rsid w:val="000747A8"/>
    <w:rsid w:val="000748D7"/>
    <w:rsid w:val="0007514A"/>
    <w:rsid w:val="000751EC"/>
    <w:rsid w:val="00075363"/>
    <w:rsid w:val="00075403"/>
    <w:rsid w:val="00075662"/>
    <w:rsid w:val="00075E7C"/>
    <w:rsid w:val="00075EC4"/>
    <w:rsid w:val="00076523"/>
    <w:rsid w:val="0007662C"/>
    <w:rsid w:val="000768AB"/>
    <w:rsid w:val="000772EC"/>
    <w:rsid w:val="00077E2C"/>
    <w:rsid w:val="0008011E"/>
    <w:rsid w:val="000805F4"/>
    <w:rsid w:val="000806A8"/>
    <w:rsid w:val="000807DF"/>
    <w:rsid w:val="00080867"/>
    <w:rsid w:val="00080CBE"/>
    <w:rsid w:val="00080EF8"/>
    <w:rsid w:val="00081015"/>
    <w:rsid w:val="00081143"/>
    <w:rsid w:val="000811EC"/>
    <w:rsid w:val="000813CB"/>
    <w:rsid w:val="00081490"/>
    <w:rsid w:val="000817F5"/>
    <w:rsid w:val="00081A95"/>
    <w:rsid w:val="00082564"/>
    <w:rsid w:val="000826A6"/>
    <w:rsid w:val="000826D4"/>
    <w:rsid w:val="00082929"/>
    <w:rsid w:val="00083619"/>
    <w:rsid w:val="000836F9"/>
    <w:rsid w:val="000837D2"/>
    <w:rsid w:val="00083A8F"/>
    <w:rsid w:val="00084619"/>
    <w:rsid w:val="000847DD"/>
    <w:rsid w:val="000848C8"/>
    <w:rsid w:val="00084CA2"/>
    <w:rsid w:val="00084DD2"/>
    <w:rsid w:val="00085EB2"/>
    <w:rsid w:val="00085F52"/>
    <w:rsid w:val="000860E4"/>
    <w:rsid w:val="000860F7"/>
    <w:rsid w:val="00086231"/>
    <w:rsid w:val="00086345"/>
    <w:rsid w:val="000867A7"/>
    <w:rsid w:val="00086CE5"/>
    <w:rsid w:val="00090006"/>
    <w:rsid w:val="000913EE"/>
    <w:rsid w:val="00091849"/>
    <w:rsid w:val="00092741"/>
    <w:rsid w:val="000929AA"/>
    <w:rsid w:val="00092AAE"/>
    <w:rsid w:val="00092C49"/>
    <w:rsid w:val="00093927"/>
    <w:rsid w:val="000945E8"/>
    <w:rsid w:val="00095DD0"/>
    <w:rsid w:val="00096D39"/>
    <w:rsid w:val="00096ED1"/>
    <w:rsid w:val="0009741C"/>
    <w:rsid w:val="00097C1D"/>
    <w:rsid w:val="000A0708"/>
    <w:rsid w:val="000A0B57"/>
    <w:rsid w:val="000A10A4"/>
    <w:rsid w:val="000A1B60"/>
    <w:rsid w:val="000A1B85"/>
    <w:rsid w:val="000A1EE9"/>
    <w:rsid w:val="000A215B"/>
    <w:rsid w:val="000A2C40"/>
    <w:rsid w:val="000A2DA8"/>
    <w:rsid w:val="000A33EF"/>
    <w:rsid w:val="000A43B3"/>
    <w:rsid w:val="000A483C"/>
    <w:rsid w:val="000A563D"/>
    <w:rsid w:val="000A57DC"/>
    <w:rsid w:val="000A5F0A"/>
    <w:rsid w:val="000A6C5A"/>
    <w:rsid w:val="000A70B2"/>
    <w:rsid w:val="000A7748"/>
    <w:rsid w:val="000A7A00"/>
    <w:rsid w:val="000A7B14"/>
    <w:rsid w:val="000A7F3B"/>
    <w:rsid w:val="000B0E9F"/>
    <w:rsid w:val="000B127D"/>
    <w:rsid w:val="000B17E1"/>
    <w:rsid w:val="000B1FB3"/>
    <w:rsid w:val="000B21EC"/>
    <w:rsid w:val="000B23BF"/>
    <w:rsid w:val="000B272F"/>
    <w:rsid w:val="000B2AD6"/>
    <w:rsid w:val="000B2E28"/>
    <w:rsid w:val="000B2F60"/>
    <w:rsid w:val="000B322C"/>
    <w:rsid w:val="000B3318"/>
    <w:rsid w:val="000B3991"/>
    <w:rsid w:val="000B41ED"/>
    <w:rsid w:val="000B437F"/>
    <w:rsid w:val="000B4531"/>
    <w:rsid w:val="000B4901"/>
    <w:rsid w:val="000B53BD"/>
    <w:rsid w:val="000B5BD5"/>
    <w:rsid w:val="000B61AD"/>
    <w:rsid w:val="000B7516"/>
    <w:rsid w:val="000B7DDD"/>
    <w:rsid w:val="000B7F10"/>
    <w:rsid w:val="000C0415"/>
    <w:rsid w:val="000C09EA"/>
    <w:rsid w:val="000C0A3D"/>
    <w:rsid w:val="000C118C"/>
    <w:rsid w:val="000C1261"/>
    <w:rsid w:val="000C1447"/>
    <w:rsid w:val="000C1656"/>
    <w:rsid w:val="000C1668"/>
    <w:rsid w:val="000C2604"/>
    <w:rsid w:val="000C27B1"/>
    <w:rsid w:val="000C2D6F"/>
    <w:rsid w:val="000C39C5"/>
    <w:rsid w:val="000C466F"/>
    <w:rsid w:val="000C46FF"/>
    <w:rsid w:val="000C4B99"/>
    <w:rsid w:val="000C4B9D"/>
    <w:rsid w:val="000C6754"/>
    <w:rsid w:val="000C6CC2"/>
    <w:rsid w:val="000C6E6E"/>
    <w:rsid w:val="000C715C"/>
    <w:rsid w:val="000C731C"/>
    <w:rsid w:val="000C7426"/>
    <w:rsid w:val="000C7E3A"/>
    <w:rsid w:val="000D008E"/>
    <w:rsid w:val="000D06EF"/>
    <w:rsid w:val="000D1A4B"/>
    <w:rsid w:val="000D1B3C"/>
    <w:rsid w:val="000D20CF"/>
    <w:rsid w:val="000D2ADB"/>
    <w:rsid w:val="000D2CE0"/>
    <w:rsid w:val="000D39B0"/>
    <w:rsid w:val="000D419F"/>
    <w:rsid w:val="000D4E21"/>
    <w:rsid w:val="000D4E9D"/>
    <w:rsid w:val="000D5093"/>
    <w:rsid w:val="000D5734"/>
    <w:rsid w:val="000D5BB6"/>
    <w:rsid w:val="000D6549"/>
    <w:rsid w:val="000D69F2"/>
    <w:rsid w:val="000D6EE6"/>
    <w:rsid w:val="000D7401"/>
    <w:rsid w:val="000D7B12"/>
    <w:rsid w:val="000E04B5"/>
    <w:rsid w:val="000E09D9"/>
    <w:rsid w:val="000E0B2C"/>
    <w:rsid w:val="000E0CA9"/>
    <w:rsid w:val="000E1AB5"/>
    <w:rsid w:val="000E1D02"/>
    <w:rsid w:val="000E1DFC"/>
    <w:rsid w:val="000E28FA"/>
    <w:rsid w:val="000E2DCC"/>
    <w:rsid w:val="000E4A11"/>
    <w:rsid w:val="000E4A7D"/>
    <w:rsid w:val="000E590B"/>
    <w:rsid w:val="000E598D"/>
    <w:rsid w:val="000E614D"/>
    <w:rsid w:val="000E61D6"/>
    <w:rsid w:val="000E6440"/>
    <w:rsid w:val="000E66A8"/>
    <w:rsid w:val="000E6890"/>
    <w:rsid w:val="000E6A45"/>
    <w:rsid w:val="000E759D"/>
    <w:rsid w:val="000E75CB"/>
    <w:rsid w:val="000E7655"/>
    <w:rsid w:val="000E7C5D"/>
    <w:rsid w:val="000E7CCC"/>
    <w:rsid w:val="000E7EFF"/>
    <w:rsid w:val="000E7F47"/>
    <w:rsid w:val="000F00B2"/>
    <w:rsid w:val="000F0B6B"/>
    <w:rsid w:val="000F0B97"/>
    <w:rsid w:val="000F0BC4"/>
    <w:rsid w:val="000F147B"/>
    <w:rsid w:val="000F19E1"/>
    <w:rsid w:val="000F1DF9"/>
    <w:rsid w:val="000F20D7"/>
    <w:rsid w:val="000F23C4"/>
    <w:rsid w:val="000F2600"/>
    <w:rsid w:val="000F2D3A"/>
    <w:rsid w:val="000F3845"/>
    <w:rsid w:val="000F45DC"/>
    <w:rsid w:val="000F46DC"/>
    <w:rsid w:val="000F4CB7"/>
    <w:rsid w:val="000F4FD2"/>
    <w:rsid w:val="000F5621"/>
    <w:rsid w:val="000F5B66"/>
    <w:rsid w:val="000F5B86"/>
    <w:rsid w:val="000F6562"/>
    <w:rsid w:val="000F674A"/>
    <w:rsid w:val="000F6CFB"/>
    <w:rsid w:val="000F7430"/>
    <w:rsid w:val="000F793C"/>
    <w:rsid w:val="000F7CA4"/>
    <w:rsid w:val="000F7D14"/>
    <w:rsid w:val="001000E7"/>
    <w:rsid w:val="00100535"/>
    <w:rsid w:val="001005EE"/>
    <w:rsid w:val="00100A41"/>
    <w:rsid w:val="00100F73"/>
    <w:rsid w:val="001015C2"/>
    <w:rsid w:val="001016B3"/>
    <w:rsid w:val="00101AAB"/>
    <w:rsid w:val="00101AFE"/>
    <w:rsid w:val="00101F59"/>
    <w:rsid w:val="00102BA3"/>
    <w:rsid w:val="00102D61"/>
    <w:rsid w:val="00102DCF"/>
    <w:rsid w:val="001034DF"/>
    <w:rsid w:val="00103973"/>
    <w:rsid w:val="00103BC9"/>
    <w:rsid w:val="00104000"/>
    <w:rsid w:val="001041C9"/>
    <w:rsid w:val="00104215"/>
    <w:rsid w:val="00106667"/>
    <w:rsid w:val="00106862"/>
    <w:rsid w:val="00106967"/>
    <w:rsid w:val="00106B28"/>
    <w:rsid w:val="00107443"/>
    <w:rsid w:val="0010776F"/>
    <w:rsid w:val="00107AEE"/>
    <w:rsid w:val="00107F96"/>
    <w:rsid w:val="00110019"/>
    <w:rsid w:val="00110359"/>
    <w:rsid w:val="001103AA"/>
    <w:rsid w:val="0011097C"/>
    <w:rsid w:val="00110BFF"/>
    <w:rsid w:val="00110C3B"/>
    <w:rsid w:val="001116CE"/>
    <w:rsid w:val="00111AE6"/>
    <w:rsid w:val="0011216C"/>
    <w:rsid w:val="00112864"/>
    <w:rsid w:val="00112B83"/>
    <w:rsid w:val="001137E7"/>
    <w:rsid w:val="001138FA"/>
    <w:rsid w:val="00113B9B"/>
    <w:rsid w:val="00113EE7"/>
    <w:rsid w:val="00113EFF"/>
    <w:rsid w:val="00114534"/>
    <w:rsid w:val="00114545"/>
    <w:rsid w:val="001150FD"/>
    <w:rsid w:val="00115153"/>
    <w:rsid w:val="001153A4"/>
    <w:rsid w:val="0011656B"/>
    <w:rsid w:val="00116C64"/>
    <w:rsid w:val="00116D0F"/>
    <w:rsid w:val="0011728E"/>
    <w:rsid w:val="00117357"/>
    <w:rsid w:val="00117828"/>
    <w:rsid w:val="00117E94"/>
    <w:rsid w:val="00117F21"/>
    <w:rsid w:val="00120016"/>
    <w:rsid w:val="00120417"/>
    <w:rsid w:val="00120EBB"/>
    <w:rsid w:val="0012120D"/>
    <w:rsid w:val="00121ABB"/>
    <w:rsid w:val="00121B11"/>
    <w:rsid w:val="00121CDB"/>
    <w:rsid w:val="00121D86"/>
    <w:rsid w:val="00122296"/>
    <w:rsid w:val="001227E6"/>
    <w:rsid w:val="00122CAD"/>
    <w:rsid w:val="0012301D"/>
    <w:rsid w:val="001233E9"/>
    <w:rsid w:val="00123944"/>
    <w:rsid w:val="00123EC2"/>
    <w:rsid w:val="00124073"/>
    <w:rsid w:val="00124163"/>
    <w:rsid w:val="00124455"/>
    <w:rsid w:val="001248CD"/>
    <w:rsid w:val="00125115"/>
    <w:rsid w:val="001251BB"/>
    <w:rsid w:val="001264B9"/>
    <w:rsid w:val="001268E0"/>
    <w:rsid w:val="00126C4F"/>
    <w:rsid w:val="00126CD4"/>
    <w:rsid w:val="00127078"/>
    <w:rsid w:val="0012708A"/>
    <w:rsid w:val="00127335"/>
    <w:rsid w:val="001274E9"/>
    <w:rsid w:val="0013064A"/>
    <w:rsid w:val="001308B6"/>
    <w:rsid w:val="001313B1"/>
    <w:rsid w:val="00131941"/>
    <w:rsid w:val="00131D6C"/>
    <w:rsid w:val="001320D2"/>
    <w:rsid w:val="0013279C"/>
    <w:rsid w:val="00132BA5"/>
    <w:rsid w:val="00132CC9"/>
    <w:rsid w:val="0013328A"/>
    <w:rsid w:val="00133536"/>
    <w:rsid w:val="00133901"/>
    <w:rsid w:val="00133CB8"/>
    <w:rsid w:val="00133CFD"/>
    <w:rsid w:val="0013419F"/>
    <w:rsid w:val="00134225"/>
    <w:rsid w:val="001346DE"/>
    <w:rsid w:val="00134B8A"/>
    <w:rsid w:val="00134CFE"/>
    <w:rsid w:val="00134D65"/>
    <w:rsid w:val="00134DF0"/>
    <w:rsid w:val="00135096"/>
    <w:rsid w:val="001354AE"/>
    <w:rsid w:val="001355FC"/>
    <w:rsid w:val="001359EF"/>
    <w:rsid w:val="00135E53"/>
    <w:rsid w:val="0013618E"/>
    <w:rsid w:val="001362B3"/>
    <w:rsid w:val="001368E7"/>
    <w:rsid w:val="00137046"/>
    <w:rsid w:val="00137342"/>
    <w:rsid w:val="00137EB1"/>
    <w:rsid w:val="00140051"/>
    <w:rsid w:val="0014011B"/>
    <w:rsid w:val="001402C9"/>
    <w:rsid w:val="001402CB"/>
    <w:rsid w:val="00140F52"/>
    <w:rsid w:val="00140F95"/>
    <w:rsid w:val="0014156A"/>
    <w:rsid w:val="00141DDD"/>
    <w:rsid w:val="001423BD"/>
    <w:rsid w:val="00142D7B"/>
    <w:rsid w:val="0014376B"/>
    <w:rsid w:val="00143C7F"/>
    <w:rsid w:val="001446FA"/>
    <w:rsid w:val="0014481E"/>
    <w:rsid w:val="00144953"/>
    <w:rsid w:val="00144A58"/>
    <w:rsid w:val="00144F99"/>
    <w:rsid w:val="00145312"/>
    <w:rsid w:val="001453C6"/>
    <w:rsid w:val="0014545D"/>
    <w:rsid w:val="001457C3"/>
    <w:rsid w:val="001458D9"/>
    <w:rsid w:val="001458EF"/>
    <w:rsid w:val="00145B89"/>
    <w:rsid w:val="00145D3C"/>
    <w:rsid w:val="00147059"/>
    <w:rsid w:val="001472A4"/>
    <w:rsid w:val="00147483"/>
    <w:rsid w:val="001474A2"/>
    <w:rsid w:val="00147645"/>
    <w:rsid w:val="00147BDD"/>
    <w:rsid w:val="00147C40"/>
    <w:rsid w:val="00147FB8"/>
    <w:rsid w:val="00150333"/>
    <w:rsid w:val="0015082E"/>
    <w:rsid w:val="00151B38"/>
    <w:rsid w:val="0015210B"/>
    <w:rsid w:val="001522F8"/>
    <w:rsid w:val="0015251F"/>
    <w:rsid w:val="00152601"/>
    <w:rsid w:val="00152D22"/>
    <w:rsid w:val="00153127"/>
    <w:rsid w:val="00153FDD"/>
    <w:rsid w:val="00154045"/>
    <w:rsid w:val="00154304"/>
    <w:rsid w:val="001546FC"/>
    <w:rsid w:val="001550AE"/>
    <w:rsid w:val="00155C8F"/>
    <w:rsid w:val="00156009"/>
    <w:rsid w:val="0015709B"/>
    <w:rsid w:val="00160623"/>
    <w:rsid w:val="001606E0"/>
    <w:rsid w:val="00160A10"/>
    <w:rsid w:val="00161049"/>
    <w:rsid w:val="001610E5"/>
    <w:rsid w:val="00161562"/>
    <w:rsid w:val="00161A0F"/>
    <w:rsid w:val="00161EB5"/>
    <w:rsid w:val="00161FE9"/>
    <w:rsid w:val="001621C4"/>
    <w:rsid w:val="00162234"/>
    <w:rsid w:val="001622C0"/>
    <w:rsid w:val="00162309"/>
    <w:rsid w:val="00162342"/>
    <w:rsid w:val="0016409B"/>
    <w:rsid w:val="00164F9B"/>
    <w:rsid w:val="0016512F"/>
    <w:rsid w:val="0016517E"/>
    <w:rsid w:val="0016562E"/>
    <w:rsid w:val="00165BA4"/>
    <w:rsid w:val="001661A5"/>
    <w:rsid w:val="001661BD"/>
    <w:rsid w:val="0016647F"/>
    <w:rsid w:val="00166850"/>
    <w:rsid w:val="00166D50"/>
    <w:rsid w:val="001673D8"/>
    <w:rsid w:val="001675ED"/>
    <w:rsid w:val="00167865"/>
    <w:rsid w:val="00167BA5"/>
    <w:rsid w:val="001700C7"/>
    <w:rsid w:val="00170649"/>
    <w:rsid w:val="001706A0"/>
    <w:rsid w:val="001707F7"/>
    <w:rsid w:val="00170D2D"/>
    <w:rsid w:val="00170E90"/>
    <w:rsid w:val="0017138C"/>
    <w:rsid w:val="001714F3"/>
    <w:rsid w:val="0017208D"/>
    <w:rsid w:val="00172348"/>
    <w:rsid w:val="00172C64"/>
    <w:rsid w:val="0017352B"/>
    <w:rsid w:val="00173D7F"/>
    <w:rsid w:val="00174104"/>
    <w:rsid w:val="00174B44"/>
    <w:rsid w:val="00174C71"/>
    <w:rsid w:val="00174E93"/>
    <w:rsid w:val="001762D7"/>
    <w:rsid w:val="0017683D"/>
    <w:rsid w:val="00177611"/>
    <w:rsid w:val="00180054"/>
    <w:rsid w:val="00180874"/>
    <w:rsid w:val="00180E43"/>
    <w:rsid w:val="00181000"/>
    <w:rsid w:val="00182D83"/>
    <w:rsid w:val="00183071"/>
    <w:rsid w:val="001837B0"/>
    <w:rsid w:val="001838E0"/>
    <w:rsid w:val="0018396C"/>
    <w:rsid w:val="00183FAE"/>
    <w:rsid w:val="001844F2"/>
    <w:rsid w:val="00184557"/>
    <w:rsid w:val="00184559"/>
    <w:rsid w:val="00184906"/>
    <w:rsid w:val="001849AE"/>
    <w:rsid w:val="00184B64"/>
    <w:rsid w:val="001850CB"/>
    <w:rsid w:val="001851D6"/>
    <w:rsid w:val="00185584"/>
    <w:rsid w:val="001855A5"/>
    <w:rsid w:val="00185C8D"/>
    <w:rsid w:val="00185CC0"/>
    <w:rsid w:val="00186144"/>
    <w:rsid w:val="0018655F"/>
    <w:rsid w:val="001875C7"/>
    <w:rsid w:val="001876B8"/>
    <w:rsid w:val="001906A1"/>
    <w:rsid w:val="001907B1"/>
    <w:rsid w:val="00190873"/>
    <w:rsid w:val="0019097F"/>
    <w:rsid w:val="00190989"/>
    <w:rsid w:val="001911A5"/>
    <w:rsid w:val="00191427"/>
    <w:rsid w:val="0019182F"/>
    <w:rsid w:val="00191AFC"/>
    <w:rsid w:val="00193282"/>
    <w:rsid w:val="0019429E"/>
    <w:rsid w:val="0019459E"/>
    <w:rsid w:val="001945A5"/>
    <w:rsid w:val="00194937"/>
    <w:rsid w:val="00194D1D"/>
    <w:rsid w:val="00194F3E"/>
    <w:rsid w:val="0019595C"/>
    <w:rsid w:val="00195BE2"/>
    <w:rsid w:val="001961E3"/>
    <w:rsid w:val="00196312"/>
    <w:rsid w:val="00196485"/>
    <w:rsid w:val="001964C4"/>
    <w:rsid w:val="00197784"/>
    <w:rsid w:val="00197823"/>
    <w:rsid w:val="00197E3F"/>
    <w:rsid w:val="001A023B"/>
    <w:rsid w:val="001A0D2C"/>
    <w:rsid w:val="001A1985"/>
    <w:rsid w:val="001A2258"/>
    <w:rsid w:val="001A317B"/>
    <w:rsid w:val="001A39D3"/>
    <w:rsid w:val="001A3CB1"/>
    <w:rsid w:val="001A3E45"/>
    <w:rsid w:val="001A489A"/>
    <w:rsid w:val="001A4B21"/>
    <w:rsid w:val="001A5186"/>
    <w:rsid w:val="001A55D6"/>
    <w:rsid w:val="001A5B38"/>
    <w:rsid w:val="001A5B75"/>
    <w:rsid w:val="001A5C9B"/>
    <w:rsid w:val="001A621B"/>
    <w:rsid w:val="001A6F04"/>
    <w:rsid w:val="001A743B"/>
    <w:rsid w:val="001A7523"/>
    <w:rsid w:val="001A75B9"/>
    <w:rsid w:val="001B0190"/>
    <w:rsid w:val="001B033F"/>
    <w:rsid w:val="001B051E"/>
    <w:rsid w:val="001B05FD"/>
    <w:rsid w:val="001B0763"/>
    <w:rsid w:val="001B07E5"/>
    <w:rsid w:val="001B0AA9"/>
    <w:rsid w:val="001B1446"/>
    <w:rsid w:val="001B1783"/>
    <w:rsid w:val="001B1E49"/>
    <w:rsid w:val="001B1EDD"/>
    <w:rsid w:val="001B2C57"/>
    <w:rsid w:val="001B3EED"/>
    <w:rsid w:val="001B450B"/>
    <w:rsid w:val="001B4B58"/>
    <w:rsid w:val="001B4ECE"/>
    <w:rsid w:val="001B52D4"/>
    <w:rsid w:val="001B5765"/>
    <w:rsid w:val="001B5B41"/>
    <w:rsid w:val="001B5CFE"/>
    <w:rsid w:val="001B60AB"/>
    <w:rsid w:val="001B61EB"/>
    <w:rsid w:val="001B6AA0"/>
    <w:rsid w:val="001B6B00"/>
    <w:rsid w:val="001B6CCE"/>
    <w:rsid w:val="001B7440"/>
    <w:rsid w:val="001B7895"/>
    <w:rsid w:val="001B796D"/>
    <w:rsid w:val="001B79E8"/>
    <w:rsid w:val="001B7FC7"/>
    <w:rsid w:val="001C03BC"/>
    <w:rsid w:val="001C082B"/>
    <w:rsid w:val="001C0B49"/>
    <w:rsid w:val="001C116B"/>
    <w:rsid w:val="001C1647"/>
    <w:rsid w:val="001C18DD"/>
    <w:rsid w:val="001C1E7B"/>
    <w:rsid w:val="001C287F"/>
    <w:rsid w:val="001C2E05"/>
    <w:rsid w:val="001C2FFD"/>
    <w:rsid w:val="001C33E7"/>
    <w:rsid w:val="001C3595"/>
    <w:rsid w:val="001C3797"/>
    <w:rsid w:val="001C3D48"/>
    <w:rsid w:val="001C3EC5"/>
    <w:rsid w:val="001C443C"/>
    <w:rsid w:val="001C46F1"/>
    <w:rsid w:val="001C535E"/>
    <w:rsid w:val="001C56F3"/>
    <w:rsid w:val="001C5A7F"/>
    <w:rsid w:val="001C5F02"/>
    <w:rsid w:val="001C638D"/>
    <w:rsid w:val="001C65DA"/>
    <w:rsid w:val="001C66FD"/>
    <w:rsid w:val="001C6797"/>
    <w:rsid w:val="001C6AF1"/>
    <w:rsid w:val="001C7A3F"/>
    <w:rsid w:val="001C7CC6"/>
    <w:rsid w:val="001C7EFC"/>
    <w:rsid w:val="001D05D4"/>
    <w:rsid w:val="001D0658"/>
    <w:rsid w:val="001D0B44"/>
    <w:rsid w:val="001D0D0D"/>
    <w:rsid w:val="001D0F5B"/>
    <w:rsid w:val="001D10EB"/>
    <w:rsid w:val="001D13B9"/>
    <w:rsid w:val="001D182C"/>
    <w:rsid w:val="001D1E60"/>
    <w:rsid w:val="001D1E94"/>
    <w:rsid w:val="001D2093"/>
    <w:rsid w:val="001D2540"/>
    <w:rsid w:val="001D2580"/>
    <w:rsid w:val="001D26C5"/>
    <w:rsid w:val="001D286C"/>
    <w:rsid w:val="001D2A9E"/>
    <w:rsid w:val="001D30DD"/>
    <w:rsid w:val="001D3A34"/>
    <w:rsid w:val="001D3DC7"/>
    <w:rsid w:val="001D3ECB"/>
    <w:rsid w:val="001D4512"/>
    <w:rsid w:val="001D45D6"/>
    <w:rsid w:val="001D4B1F"/>
    <w:rsid w:val="001D4D8E"/>
    <w:rsid w:val="001D5A48"/>
    <w:rsid w:val="001D5EED"/>
    <w:rsid w:val="001D64D5"/>
    <w:rsid w:val="001D65B8"/>
    <w:rsid w:val="001D6757"/>
    <w:rsid w:val="001D6B0B"/>
    <w:rsid w:val="001D6D83"/>
    <w:rsid w:val="001D7345"/>
    <w:rsid w:val="001D7923"/>
    <w:rsid w:val="001D7D5C"/>
    <w:rsid w:val="001D7DCF"/>
    <w:rsid w:val="001E0128"/>
    <w:rsid w:val="001E0449"/>
    <w:rsid w:val="001E08A5"/>
    <w:rsid w:val="001E1A0A"/>
    <w:rsid w:val="001E1AF6"/>
    <w:rsid w:val="001E1D1D"/>
    <w:rsid w:val="001E20FC"/>
    <w:rsid w:val="001E21CE"/>
    <w:rsid w:val="001E27EA"/>
    <w:rsid w:val="001E3347"/>
    <w:rsid w:val="001E3937"/>
    <w:rsid w:val="001E3C83"/>
    <w:rsid w:val="001E3D02"/>
    <w:rsid w:val="001E40C4"/>
    <w:rsid w:val="001E450E"/>
    <w:rsid w:val="001E4FB1"/>
    <w:rsid w:val="001E5549"/>
    <w:rsid w:val="001E64C8"/>
    <w:rsid w:val="001E6DCE"/>
    <w:rsid w:val="001E70A1"/>
    <w:rsid w:val="001E7280"/>
    <w:rsid w:val="001E7797"/>
    <w:rsid w:val="001E780D"/>
    <w:rsid w:val="001E7DF1"/>
    <w:rsid w:val="001F0006"/>
    <w:rsid w:val="001F0144"/>
    <w:rsid w:val="001F05B0"/>
    <w:rsid w:val="001F0B9B"/>
    <w:rsid w:val="001F129B"/>
    <w:rsid w:val="001F1649"/>
    <w:rsid w:val="001F26BD"/>
    <w:rsid w:val="001F3162"/>
    <w:rsid w:val="001F34C3"/>
    <w:rsid w:val="001F3507"/>
    <w:rsid w:val="001F3C40"/>
    <w:rsid w:val="001F437A"/>
    <w:rsid w:val="001F4593"/>
    <w:rsid w:val="001F460D"/>
    <w:rsid w:val="001F473C"/>
    <w:rsid w:val="001F5F8C"/>
    <w:rsid w:val="001F6AA0"/>
    <w:rsid w:val="001F6D3D"/>
    <w:rsid w:val="001F6D59"/>
    <w:rsid w:val="001F7B3E"/>
    <w:rsid w:val="001F7CC9"/>
    <w:rsid w:val="001F7E0D"/>
    <w:rsid w:val="001F7E65"/>
    <w:rsid w:val="001F7F3C"/>
    <w:rsid w:val="00200C32"/>
    <w:rsid w:val="002016D1"/>
    <w:rsid w:val="00201C37"/>
    <w:rsid w:val="00201ED3"/>
    <w:rsid w:val="0020225E"/>
    <w:rsid w:val="0020231D"/>
    <w:rsid w:val="002023B6"/>
    <w:rsid w:val="00202C51"/>
    <w:rsid w:val="00202E1C"/>
    <w:rsid w:val="00203C36"/>
    <w:rsid w:val="00205970"/>
    <w:rsid w:val="00205A63"/>
    <w:rsid w:val="00205D3E"/>
    <w:rsid w:val="00205E88"/>
    <w:rsid w:val="0020642A"/>
    <w:rsid w:val="00206A72"/>
    <w:rsid w:val="00207564"/>
    <w:rsid w:val="00207B5F"/>
    <w:rsid w:val="00210AD6"/>
    <w:rsid w:val="002111E5"/>
    <w:rsid w:val="002117C7"/>
    <w:rsid w:val="002117D4"/>
    <w:rsid w:val="00211B92"/>
    <w:rsid w:val="0021211D"/>
    <w:rsid w:val="00212B88"/>
    <w:rsid w:val="00212D8E"/>
    <w:rsid w:val="00212E8E"/>
    <w:rsid w:val="00212EE6"/>
    <w:rsid w:val="00213082"/>
    <w:rsid w:val="00214082"/>
    <w:rsid w:val="00214293"/>
    <w:rsid w:val="00215974"/>
    <w:rsid w:val="00215CB6"/>
    <w:rsid w:val="00216E1F"/>
    <w:rsid w:val="00217806"/>
    <w:rsid w:val="002179CD"/>
    <w:rsid w:val="00217CD8"/>
    <w:rsid w:val="0022204D"/>
    <w:rsid w:val="002220BC"/>
    <w:rsid w:val="002223AF"/>
    <w:rsid w:val="00222434"/>
    <w:rsid w:val="0022266A"/>
    <w:rsid w:val="00222918"/>
    <w:rsid w:val="00222A19"/>
    <w:rsid w:val="00222D49"/>
    <w:rsid w:val="00222E08"/>
    <w:rsid w:val="002230AC"/>
    <w:rsid w:val="00223169"/>
    <w:rsid w:val="0022318E"/>
    <w:rsid w:val="0022345F"/>
    <w:rsid w:val="0022398D"/>
    <w:rsid w:val="00223A5C"/>
    <w:rsid w:val="00223B18"/>
    <w:rsid w:val="00223F35"/>
    <w:rsid w:val="002242D2"/>
    <w:rsid w:val="0022430E"/>
    <w:rsid w:val="002245EF"/>
    <w:rsid w:val="00224773"/>
    <w:rsid w:val="0022481F"/>
    <w:rsid w:val="0022695F"/>
    <w:rsid w:val="00226BDB"/>
    <w:rsid w:val="002274FA"/>
    <w:rsid w:val="00227716"/>
    <w:rsid w:val="00227CC4"/>
    <w:rsid w:val="00227E53"/>
    <w:rsid w:val="002300B5"/>
    <w:rsid w:val="00231466"/>
    <w:rsid w:val="00231FC0"/>
    <w:rsid w:val="0023240F"/>
    <w:rsid w:val="00232418"/>
    <w:rsid w:val="00232432"/>
    <w:rsid w:val="00232443"/>
    <w:rsid w:val="00232F39"/>
    <w:rsid w:val="0023386F"/>
    <w:rsid w:val="00233A8B"/>
    <w:rsid w:val="00233C4D"/>
    <w:rsid w:val="002345EA"/>
    <w:rsid w:val="00234B94"/>
    <w:rsid w:val="00234EC1"/>
    <w:rsid w:val="00236C5B"/>
    <w:rsid w:val="00236DED"/>
    <w:rsid w:val="00237529"/>
    <w:rsid w:val="002378FE"/>
    <w:rsid w:val="00237EA6"/>
    <w:rsid w:val="002400F6"/>
    <w:rsid w:val="00240924"/>
    <w:rsid w:val="00240A82"/>
    <w:rsid w:val="00241144"/>
    <w:rsid w:val="00241871"/>
    <w:rsid w:val="002421FB"/>
    <w:rsid w:val="00242713"/>
    <w:rsid w:val="0024385F"/>
    <w:rsid w:val="00243A2E"/>
    <w:rsid w:val="002441B4"/>
    <w:rsid w:val="0024427E"/>
    <w:rsid w:val="00244499"/>
    <w:rsid w:val="00244850"/>
    <w:rsid w:val="00244FEE"/>
    <w:rsid w:val="002453C0"/>
    <w:rsid w:val="00245D08"/>
    <w:rsid w:val="0024647D"/>
    <w:rsid w:val="00246604"/>
    <w:rsid w:val="00246912"/>
    <w:rsid w:val="002469AE"/>
    <w:rsid w:val="002471A9"/>
    <w:rsid w:val="00247481"/>
    <w:rsid w:val="00250028"/>
    <w:rsid w:val="00250163"/>
    <w:rsid w:val="002506C0"/>
    <w:rsid w:val="002507AC"/>
    <w:rsid w:val="002507FD"/>
    <w:rsid w:val="00250AD6"/>
    <w:rsid w:val="00251080"/>
    <w:rsid w:val="0025127F"/>
    <w:rsid w:val="002528EE"/>
    <w:rsid w:val="00252B68"/>
    <w:rsid w:val="002532F9"/>
    <w:rsid w:val="00253341"/>
    <w:rsid w:val="00253537"/>
    <w:rsid w:val="00253667"/>
    <w:rsid w:val="00253B8A"/>
    <w:rsid w:val="00253F6A"/>
    <w:rsid w:val="00255480"/>
    <w:rsid w:val="0025552C"/>
    <w:rsid w:val="00255638"/>
    <w:rsid w:val="00255659"/>
    <w:rsid w:val="00255A11"/>
    <w:rsid w:val="00255CCC"/>
    <w:rsid w:val="002568CA"/>
    <w:rsid w:val="00257830"/>
    <w:rsid w:val="00257CC1"/>
    <w:rsid w:val="00257F50"/>
    <w:rsid w:val="00260291"/>
    <w:rsid w:val="002602CC"/>
    <w:rsid w:val="002605DA"/>
    <w:rsid w:val="00260C84"/>
    <w:rsid w:val="0026191F"/>
    <w:rsid w:val="00261BC5"/>
    <w:rsid w:val="00261C4D"/>
    <w:rsid w:val="00262166"/>
    <w:rsid w:val="0026233D"/>
    <w:rsid w:val="002623DC"/>
    <w:rsid w:val="00262962"/>
    <w:rsid w:val="00262EDB"/>
    <w:rsid w:val="002639A7"/>
    <w:rsid w:val="00263C14"/>
    <w:rsid w:val="002648D4"/>
    <w:rsid w:val="00264A45"/>
    <w:rsid w:val="00264B92"/>
    <w:rsid w:val="00264FE9"/>
    <w:rsid w:val="00265421"/>
    <w:rsid w:val="00265A8E"/>
    <w:rsid w:val="002661A3"/>
    <w:rsid w:val="00266544"/>
    <w:rsid w:val="0026675A"/>
    <w:rsid w:val="00266D0A"/>
    <w:rsid w:val="00267E40"/>
    <w:rsid w:val="00267F84"/>
    <w:rsid w:val="00270034"/>
    <w:rsid w:val="002702CB"/>
    <w:rsid w:val="0027061A"/>
    <w:rsid w:val="002707CB"/>
    <w:rsid w:val="002709B3"/>
    <w:rsid w:val="00270A51"/>
    <w:rsid w:val="00270DBF"/>
    <w:rsid w:val="00271090"/>
    <w:rsid w:val="002713FB"/>
    <w:rsid w:val="0027155A"/>
    <w:rsid w:val="00271562"/>
    <w:rsid w:val="00271879"/>
    <w:rsid w:val="00271910"/>
    <w:rsid w:val="00271A77"/>
    <w:rsid w:val="00271BBD"/>
    <w:rsid w:val="00271E58"/>
    <w:rsid w:val="00272A62"/>
    <w:rsid w:val="00272AAD"/>
    <w:rsid w:val="00273002"/>
    <w:rsid w:val="0027326B"/>
    <w:rsid w:val="0027399F"/>
    <w:rsid w:val="00273EAB"/>
    <w:rsid w:val="00274875"/>
    <w:rsid w:val="00275267"/>
    <w:rsid w:val="0027563C"/>
    <w:rsid w:val="00275A7C"/>
    <w:rsid w:val="00275D92"/>
    <w:rsid w:val="00276135"/>
    <w:rsid w:val="002765F1"/>
    <w:rsid w:val="00276A92"/>
    <w:rsid w:val="002770CE"/>
    <w:rsid w:val="0027729D"/>
    <w:rsid w:val="00277CF5"/>
    <w:rsid w:val="00277D18"/>
    <w:rsid w:val="0028012B"/>
    <w:rsid w:val="00280130"/>
    <w:rsid w:val="002816DF"/>
    <w:rsid w:val="00281B60"/>
    <w:rsid w:val="00282BCA"/>
    <w:rsid w:val="00283D91"/>
    <w:rsid w:val="00284840"/>
    <w:rsid w:val="0028494D"/>
    <w:rsid w:val="00285310"/>
    <w:rsid w:val="00285AB6"/>
    <w:rsid w:val="002860E9"/>
    <w:rsid w:val="002863FB"/>
    <w:rsid w:val="002867D8"/>
    <w:rsid w:val="002868E0"/>
    <w:rsid w:val="002868F2"/>
    <w:rsid w:val="002869B3"/>
    <w:rsid w:val="00286D9F"/>
    <w:rsid w:val="00287304"/>
    <w:rsid w:val="00287D9B"/>
    <w:rsid w:val="00287DF5"/>
    <w:rsid w:val="00290199"/>
    <w:rsid w:val="002901F4"/>
    <w:rsid w:val="0029049F"/>
    <w:rsid w:val="0029066D"/>
    <w:rsid w:val="0029074A"/>
    <w:rsid w:val="002908F6"/>
    <w:rsid w:val="00290D46"/>
    <w:rsid w:val="002913A8"/>
    <w:rsid w:val="002917E4"/>
    <w:rsid w:val="00291A06"/>
    <w:rsid w:val="00291CF0"/>
    <w:rsid w:val="00292745"/>
    <w:rsid w:val="0029361C"/>
    <w:rsid w:val="00293CE5"/>
    <w:rsid w:val="002945F4"/>
    <w:rsid w:val="00294B25"/>
    <w:rsid w:val="00294BBF"/>
    <w:rsid w:val="00294EEC"/>
    <w:rsid w:val="0029531B"/>
    <w:rsid w:val="002953A3"/>
    <w:rsid w:val="002955FD"/>
    <w:rsid w:val="00296770"/>
    <w:rsid w:val="00296D70"/>
    <w:rsid w:val="00297244"/>
    <w:rsid w:val="00297299"/>
    <w:rsid w:val="0029734A"/>
    <w:rsid w:val="00297CEB"/>
    <w:rsid w:val="00297FAD"/>
    <w:rsid w:val="002A027E"/>
    <w:rsid w:val="002A062E"/>
    <w:rsid w:val="002A0A9A"/>
    <w:rsid w:val="002A1E6E"/>
    <w:rsid w:val="002A1FE3"/>
    <w:rsid w:val="002A2110"/>
    <w:rsid w:val="002A362B"/>
    <w:rsid w:val="002A3E7D"/>
    <w:rsid w:val="002A4068"/>
    <w:rsid w:val="002A46DC"/>
    <w:rsid w:val="002A4C44"/>
    <w:rsid w:val="002A515E"/>
    <w:rsid w:val="002A51FF"/>
    <w:rsid w:val="002A545A"/>
    <w:rsid w:val="002A58EE"/>
    <w:rsid w:val="002A5906"/>
    <w:rsid w:val="002A5B41"/>
    <w:rsid w:val="002A5CD6"/>
    <w:rsid w:val="002A6234"/>
    <w:rsid w:val="002A6474"/>
    <w:rsid w:val="002A6A64"/>
    <w:rsid w:val="002A6F1A"/>
    <w:rsid w:val="002A7317"/>
    <w:rsid w:val="002A7518"/>
    <w:rsid w:val="002A79B5"/>
    <w:rsid w:val="002A7C2C"/>
    <w:rsid w:val="002B0154"/>
    <w:rsid w:val="002B05D1"/>
    <w:rsid w:val="002B06B1"/>
    <w:rsid w:val="002B0957"/>
    <w:rsid w:val="002B0E5B"/>
    <w:rsid w:val="002B13CA"/>
    <w:rsid w:val="002B13FA"/>
    <w:rsid w:val="002B1474"/>
    <w:rsid w:val="002B1AE3"/>
    <w:rsid w:val="002B20E7"/>
    <w:rsid w:val="002B28F6"/>
    <w:rsid w:val="002B2A4B"/>
    <w:rsid w:val="002B2E51"/>
    <w:rsid w:val="002B2F2C"/>
    <w:rsid w:val="002B31D7"/>
    <w:rsid w:val="002B3448"/>
    <w:rsid w:val="002B36BB"/>
    <w:rsid w:val="002B3CC4"/>
    <w:rsid w:val="002B3D4C"/>
    <w:rsid w:val="002B44D4"/>
    <w:rsid w:val="002B461D"/>
    <w:rsid w:val="002B4949"/>
    <w:rsid w:val="002B494C"/>
    <w:rsid w:val="002B4B54"/>
    <w:rsid w:val="002B599C"/>
    <w:rsid w:val="002B6214"/>
    <w:rsid w:val="002B6908"/>
    <w:rsid w:val="002B6E0D"/>
    <w:rsid w:val="002B7E12"/>
    <w:rsid w:val="002C099B"/>
    <w:rsid w:val="002C0BC5"/>
    <w:rsid w:val="002C16F4"/>
    <w:rsid w:val="002C3621"/>
    <w:rsid w:val="002C37DB"/>
    <w:rsid w:val="002C4299"/>
    <w:rsid w:val="002C452C"/>
    <w:rsid w:val="002C5394"/>
    <w:rsid w:val="002C55B2"/>
    <w:rsid w:val="002C568C"/>
    <w:rsid w:val="002C58C2"/>
    <w:rsid w:val="002C5909"/>
    <w:rsid w:val="002C5FA1"/>
    <w:rsid w:val="002C6055"/>
    <w:rsid w:val="002C6337"/>
    <w:rsid w:val="002C6536"/>
    <w:rsid w:val="002C6A12"/>
    <w:rsid w:val="002C6ECD"/>
    <w:rsid w:val="002C6FF2"/>
    <w:rsid w:val="002C7775"/>
    <w:rsid w:val="002C79EE"/>
    <w:rsid w:val="002C7B4C"/>
    <w:rsid w:val="002D014B"/>
    <w:rsid w:val="002D0437"/>
    <w:rsid w:val="002D0AC0"/>
    <w:rsid w:val="002D0EAA"/>
    <w:rsid w:val="002D259D"/>
    <w:rsid w:val="002D27D4"/>
    <w:rsid w:val="002D2818"/>
    <w:rsid w:val="002D353D"/>
    <w:rsid w:val="002D3891"/>
    <w:rsid w:val="002D3B69"/>
    <w:rsid w:val="002D3E73"/>
    <w:rsid w:val="002D434E"/>
    <w:rsid w:val="002D4701"/>
    <w:rsid w:val="002D4AD4"/>
    <w:rsid w:val="002D55DC"/>
    <w:rsid w:val="002D69C9"/>
    <w:rsid w:val="002D7219"/>
    <w:rsid w:val="002D787C"/>
    <w:rsid w:val="002E0D07"/>
    <w:rsid w:val="002E1F09"/>
    <w:rsid w:val="002E32A7"/>
    <w:rsid w:val="002E37BF"/>
    <w:rsid w:val="002E380D"/>
    <w:rsid w:val="002E3BB0"/>
    <w:rsid w:val="002E413F"/>
    <w:rsid w:val="002E42A6"/>
    <w:rsid w:val="002E4C66"/>
    <w:rsid w:val="002E5315"/>
    <w:rsid w:val="002E545F"/>
    <w:rsid w:val="002E5497"/>
    <w:rsid w:val="002E5FE6"/>
    <w:rsid w:val="002E6139"/>
    <w:rsid w:val="002E62B0"/>
    <w:rsid w:val="002E6480"/>
    <w:rsid w:val="002E6599"/>
    <w:rsid w:val="002E67CF"/>
    <w:rsid w:val="002E6856"/>
    <w:rsid w:val="002E6AD0"/>
    <w:rsid w:val="002E70EB"/>
    <w:rsid w:val="002E7353"/>
    <w:rsid w:val="002E7639"/>
    <w:rsid w:val="002E7872"/>
    <w:rsid w:val="002F00DE"/>
    <w:rsid w:val="002F06F8"/>
    <w:rsid w:val="002F086C"/>
    <w:rsid w:val="002F0FAA"/>
    <w:rsid w:val="002F13BB"/>
    <w:rsid w:val="002F2024"/>
    <w:rsid w:val="002F2A99"/>
    <w:rsid w:val="002F329B"/>
    <w:rsid w:val="002F3629"/>
    <w:rsid w:val="002F3E73"/>
    <w:rsid w:val="002F50BD"/>
    <w:rsid w:val="002F55F1"/>
    <w:rsid w:val="002F5B4B"/>
    <w:rsid w:val="002F6259"/>
    <w:rsid w:val="002F6647"/>
    <w:rsid w:val="002F6A9D"/>
    <w:rsid w:val="002F7460"/>
    <w:rsid w:val="002F77D5"/>
    <w:rsid w:val="002F7814"/>
    <w:rsid w:val="002F7DCC"/>
    <w:rsid w:val="003001AD"/>
    <w:rsid w:val="003003B4"/>
    <w:rsid w:val="0030041A"/>
    <w:rsid w:val="00300629"/>
    <w:rsid w:val="00300AF1"/>
    <w:rsid w:val="00300C2C"/>
    <w:rsid w:val="00300F72"/>
    <w:rsid w:val="00301B81"/>
    <w:rsid w:val="00301B93"/>
    <w:rsid w:val="00302C4F"/>
    <w:rsid w:val="00302EC4"/>
    <w:rsid w:val="00303763"/>
    <w:rsid w:val="003037FA"/>
    <w:rsid w:val="003037FC"/>
    <w:rsid w:val="003039BB"/>
    <w:rsid w:val="003047E5"/>
    <w:rsid w:val="00304FF9"/>
    <w:rsid w:val="003056D7"/>
    <w:rsid w:val="003057BF"/>
    <w:rsid w:val="003059B8"/>
    <w:rsid w:val="00305FE7"/>
    <w:rsid w:val="00306220"/>
    <w:rsid w:val="0030647E"/>
    <w:rsid w:val="00306555"/>
    <w:rsid w:val="0030690D"/>
    <w:rsid w:val="00306A1E"/>
    <w:rsid w:val="00306CAE"/>
    <w:rsid w:val="00306FDA"/>
    <w:rsid w:val="003100AA"/>
    <w:rsid w:val="003110C1"/>
    <w:rsid w:val="00311782"/>
    <w:rsid w:val="003117E2"/>
    <w:rsid w:val="0031189A"/>
    <w:rsid w:val="0031253C"/>
    <w:rsid w:val="003126B8"/>
    <w:rsid w:val="003127A4"/>
    <w:rsid w:val="00313F60"/>
    <w:rsid w:val="00314019"/>
    <w:rsid w:val="00314356"/>
    <w:rsid w:val="003151A0"/>
    <w:rsid w:val="00315739"/>
    <w:rsid w:val="00316033"/>
    <w:rsid w:val="0031632E"/>
    <w:rsid w:val="003166B0"/>
    <w:rsid w:val="00316CD7"/>
    <w:rsid w:val="00316F68"/>
    <w:rsid w:val="00317475"/>
    <w:rsid w:val="00317C47"/>
    <w:rsid w:val="003214B3"/>
    <w:rsid w:val="00321591"/>
    <w:rsid w:val="0032169E"/>
    <w:rsid w:val="0032196B"/>
    <w:rsid w:val="00322AD3"/>
    <w:rsid w:val="00322D61"/>
    <w:rsid w:val="003233EB"/>
    <w:rsid w:val="003234E5"/>
    <w:rsid w:val="0032359A"/>
    <w:rsid w:val="00323D57"/>
    <w:rsid w:val="00323F3A"/>
    <w:rsid w:val="0032403D"/>
    <w:rsid w:val="00324B2E"/>
    <w:rsid w:val="003252FD"/>
    <w:rsid w:val="0032552E"/>
    <w:rsid w:val="00325AFE"/>
    <w:rsid w:val="00325DA4"/>
    <w:rsid w:val="00326091"/>
    <w:rsid w:val="003260C7"/>
    <w:rsid w:val="0032634E"/>
    <w:rsid w:val="0032637F"/>
    <w:rsid w:val="003269BB"/>
    <w:rsid w:val="00326B1A"/>
    <w:rsid w:val="003275E8"/>
    <w:rsid w:val="003276F4"/>
    <w:rsid w:val="003278C5"/>
    <w:rsid w:val="00327A6D"/>
    <w:rsid w:val="00327A7D"/>
    <w:rsid w:val="00327AF7"/>
    <w:rsid w:val="00327C46"/>
    <w:rsid w:val="003302A3"/>
    <w:rsid w:val="003305C1"/>
    <w:rsid w:val="00330C26"/>
    <w:rsid w:val="00331F8D"/>
    <w:rsid w:val="00331FCE"/>
    <w:rsid w:val="00332718"/>
    <w:rsid w:val="003329BC"/>
    <w:rsid w:val="003329EA"/>
    <w:rsid w:val="0033362B"/>
    <w:rsid w:val="003338A7"/>
    <w:rsid w:val="00333AF6"/>
    <w:rsid w:val="00333E16"/>
    <w:rsid w:val="00333FA7"/>
    <w:rsid w:val="00334002"/>
    <w:rsid w:val="003341BE"/>
    <w:rsid w:val="00334665"/>
    <w:rsid w:val="00335109"/>
    <w:rsid w:val="0033559C"/>
    <w:rsid w:val="003357B3"/>
    <w:rsid w:val="0033617E"/>
    <w:rsid w:val="00337240"/>
    <w:rsid w:val="003376C5"/>
    <w:rsid w:val="00337E89"/>
    <w:rsid w:val="0034040C"/>
    <w:rsid w:val="00340574"/>
    <w:rsid w:val="0034068E"/>
    <w:rsid w:val="00340799"/>
    <w:rsid w:val="0034094E"/>
    <w:rsid w:val="00340D63"/>
    <w:rsid w:val="00340F84"/>
    <w:rsid w:val="00341634"/>
    <w:rsid w:val="003416EB"/>
    <w:rsid w:val="00341BA9"/>
    <w:rsid w:val="00341CED"/>
    <w:rsid w:val="003427E4"/>
    <w:rsid w:val="0034290E"/>
    <w:rsid w:val="0034380C"/>
    <w:rsid w:val="00343891"/>
    <w:rsid w:val="00343923"/>
    <w:rsid w:val="00343940"/>
    <w:rsid w:val="003439DD"/>
    <w:rsid w:val="00343A19"/>
    <w:rsid w:val="00343B5E"/>
    <w:rsid w:val="00343CD6"/>
    <w:rsid w:val="0034423C"/>
    <w:rsid w:val="0034428C"/>
    <w:rsid w:val="003443E3"/>
    <w:rsid w:val="00344730"/>
    <w:rsid w:val="00345135"/>
    <w:rsid w:val="00345188"/>
    <w:rsid w:val="0034589F"/>
    <w:rsid w:val="00345C82"/>
    <w:rsid w:val="0034611B"/>
    <w:rsid w:val="00346307"/>
    <w:rsid w:val="003469AB"/>
    <w:rsid w:val="00347468"/>
    <w:rsid w:val="003477F9"/>
    <w:rsid w:val="0034784B"/>
    <w:rsid w:val="00347C0C"/>
    <w:rsid w:val="003503F4"/>
    <w:rsid w:val="003509A0"/>
    <w:rsid w:val="00350B6A"/>
    <w:rsid w:val="003513E9"/>
    <w:rsid w:val="00351B01"/>
    <w:rsid w:val="00351C46"/>
    <w:rsid w:val="003520B1"/>
    <w:rsid w:val="003523A5"/>
    <w:rsid w:val="003530CC"/>
    <w:rsid w:val="00353248"/>
    <w:rsid w:val="0035325A"/>
    <w:rsid w:val="00353373"/>
    <w:rsid w:val="00353AF2"/>
    <w:rsid w:val="00354437"/>
    <w:rsid w:val="0035487B"/>
    <w:rsid w:val="00354D0B"/>
    <w:rsid w:val="00355FEA"/>
    <w:rsid w:val="00356043"/>
    <w:rsid w:val="003560A8"/>
    <w:rsid w:val="0035655A"/>
    <w:rsid w:val="00356AC9"/>
    <w:rsid w:val="003578D9"/>
    <w:rsid w:val="00357B35"/>
    <w:rsid w:val="00357B45"/>
    <w:rsid w:val="00357BD3"/>
    <w:rsid w:val="00357C17"/>
    <w:rsid w:val="00357D12"/>
    <w:rsid w:val="003600A0"/>
    <w:rsid w:val="003611ED"/>
    <w:rsid w:val="00361273"/>
    <w:rsid w:val="003615F2"/>
    <w:rsid w:val="00361646"/>
    <w:rsid w:val="003617DA"/>
    <w:rsid w:val="003624E9"/>
    <w:rsid w:val="003627C4"/>
    <w:rsid w:val="00362B28"/>
    <w:rsid w:val="00362D48"/>
    <w:rsid w:val="0036306F"/>
    <w:rsid w:val="00363524"/>
    <w:rsid w:val="00363DA8"/>
    <w:rsid w:val="00363E02"/>
    <w:rsid w:val="00363EBA"/>
    <w:rsid w:val="00364140"/>
    <w:rsid w:val="00364413"/>
    <w:rsid w:val="003645C3"/>
    <w:rsid w:val="00364AA8"/>
    <w:rsid w:val="00365F98"/>
    <w:rsid w:val="0036612C"/>
    <w:rsid w:val="00366B09"/>
    <w:rsid w:val="00367166"/>
    <w:rsid w:val="003674C1"/>
    <w:rsid w:val="00367B63"/>
    <w:rsid w:val="0037176C"/>
    <w:rsid w:val="00371ABF"/>
    <w:rsid w:val="00371C3C"/>
    <w:rsid w:val="00371CFF"/>
    <w:rsid w:val="003728FE"/>
    <w:rsid w:val="00372A66"/>
    <w:rsid w:val="003731B9"/>
    <w:rsid w:val="00373EDB"/>
    <w:rsid w:val="00374112"/>
    <w:rsid w:val="00374603"/>
    <w:rsid w:val="00374A95"/>
    <w:rsid w:val="00374E2B"/>
    <w:rsid w:val="00375366"/>
    <w:rsid w:val="00375417"/>
    <w:rsid w:val="00375964"/>
    <w:rsid w:val="00375F99"/>
    <w:rsid w:val="00375FC4"/>
    <w:rsid w:val="0037637E"/>
    <w:rsid w:val="003763EC"/>
    <w:rsid w:val="00376DBC"/>
    <w:rsid w:val="00377268"/>
    <w:rsid w:val="003777F3"/>
    <w:rsid w:val="00380266"/>
    <w:rsid w:val="00380970"/>
    <w:rsid w:val="00380C0B"/>
    <w:rsid w:val="00380F6C"/>
    <w:rsid w:val="00381343"/>
    <w:rsid w:val="003819FB"/>
    <w:rsid w:val="00381EFD"/>
    <w:rsid w:val="00382E6C"/>
    <w:rsid w:val="003831BD"/>
    <w:rsid w:val="00383896"/>
    <w:rsid w:val="00383BB4"/>
    <w:rsid w:val="00384526"/>
    <w:rsid w:val="00384530"/>
    <w:rsid w:val="00384793"/>
    <w:rsid w:val="003849B3"/>
    <w:rsid w:val="00384C62"/>
    <w:rsid w:val="00384E71"/>
    <w:rsid w:val="00385638"/>
    <w:rsid w:val="00385B6C"/>
    <w:rsid w:val="00385F1E"/>
    <w:rsid w:val="00385F5C"/>
    <w:rsid w:val="0038620F"/>
    <w:rsid w:val="003865D6"/>
    <w:rsid w:val="003873FC"/>
    <w:rsid w:val="00387D42"/>
    <w:rsid w:val="00390A0B"/>
    <w:rsid w:val="00390F66"/>
    <w:rsid w:val="00390FEB"/>
    <w:rsid w:val="00391310"/>
    <w:rsid w:val="00391383"/>
    <w:rsid w:val="00391D34"/>
    <w:rsid w:val="00392838"/>
    <w:rsid w:val="00392BBC"/>
    <w:rsid w:val="003936FE"/>
    <w:rsid w:val="003940EB"/>
    <w:rsid w:val="00394578"/>
    <w:rsid w:val="0039494C"/>
    <w:rsid w:val="00395386"/>
    <w:rsid w:val="003958A5"/>
    <w:rsid w:val="00395A22"/>
    <w:rsid w:val="00395A33"/>
    <w:rsid w:val="00395C21"/>
    <w:rsid w:val="0039608D"/>
    <w:rsid w:val="00396288"/>
    <w:rsid w:val="00397032"/>
    <w:rsid w:val="0039738D"/>
    <w:rsid w:val="003976D9"/>
    <w:rsid w:val="00397CFE"/>
    <w:rsid w:val="003A06A4"/>
    <w:rsid w:val="003A1090"/>
    <w:rsid w:val="003A1357"/>
    <w:rsid w:val="003A14DB"/>
    <w:rsid w:val="003A22B1"/>
    <w:rsid w:val="003A2703"/>
    <w:rsid w:val="003A3020"/>
    <w:rsid w:val="003A30F0"/>
    <w:rsid w:val="003A3B7D"/>
    <w:rsid w:val="003A3EAB"/>
    <w:rsid w:val="003A4B87"/>
    <w:rsid w:val="003A5000"/>
    <w:rsid w:val="003A51B1"/>
    <w:rsid w:val="003A5828"/>
    <w:rsid w:val="003A5AA5"/>
    <w:rsid w:val="003A5F50"/>
    <w:rsid w:val="003A7DAF"/>
    <w:rsid w:val="003A7ED7"/>
    <w:rsid w:val="003B023D"/>
    <w:rsid w:val="003B09B2"/>
    <w:rsid w:val="003B1206"/>
    <w:rsid w:val="003B14EE"/>
    <w:rsid w:val="003B3351"/>
    <w:rsid w:val="003B3563"/>
    <w:rsid w:val="003B4AB2"/>
    <w:rsid w:val="003B4D3B"/>
    <w:rsid w:val="003B6D57"/>
    <w:rsid w:val="003B7703"/>
    <w:rsid w:val="003B7AF3"/>
    <w:rsid w:val="003B7E3F"/>
    <w:rsid w:val="003B7ECD"/>
    <w:rsid w:val="003B7FB5"/>
    <w:rsid w:val="003C0785"/>
    <w:rsid w:val="003C08EF"/>
    <w:rsid w:val="003C13F5"/>
    <w:rsid w:val="003C1705"/>
    <w:rsid w:val="003C205B"/>
    <w:rsid w:val="003C2360"/>
    <w:rsid w:val="003C3697"/>
    <w:rsid w:val="003C37ED"/>
    <w:rsid w:val="003C3FDA"/>
    <w:rsid w:val="003C4147"/>
    <w:rsid w:val="003C4895"/>
    <w:rsid w:val="003C4CD5"/>
    <w:rsid w:val="003C5DDA"/>
    <w:rsid w:val="003C6B91"/>
    <w:rsid w:val="003C6E48"/>
    <w:rsid w:val="003C7D67"/>
    <w:rsid w:val="003C7D6C"/>
    <w:rsid w:val="003C7E95"/>
    <w:rsid w:val="003D0004"/>
    <w:rsid w:val="003D0691"/>
    <w:rsid w:val="003D08A1"/>
    <w:rsid w:val="003D09EB"/>
    <w:rsid w:val="003D1637"/>
    <w:rsid w:val="003D1C23"/>
    <w:rsid w:val="003D1F7F"/>
    <w:rsid w:val="003D243C"/>
    <w:rsid w:val="003D2A98"/>
    <w:rsid w:val="003D30A6"/>
    <w:rsid w:val="003D357D"/>
    <w:rsid w:val="003D3913"/>
    <w:rsid w:val="003D3B56"/>
    <w:rsid w:val="003D3BA7"/>
    <w:rsid w:val="003D41B4"/>
    <w:rsid w:val="003D4448"/>
    <w:rsid w:val="003D4CB7"/>
    <w:rsid w:val="003D64AD"/>
    <w:rsid w:val="003D69FA"/>
    <w:rsid w:val="003D70D6"/>
    <w:rsid w:val="003D7476"/>
    <w:rsid w:val="003D76B5"/>
    <w:rsid w:val="003D7A86"/>
    <w:rsid w:val="003D7D5F"/>
    <w:rsid w:val="003D7DD4"/>
    <w:rsid w:val="003E039B"/>
    <w:rsid w:val="003E080E"/>
    <w:rsid w:val="003E0D22"/>
    <w:rsid w:val="003E0D39"/>
    <w:rsid w:val="003E1248"/>
    <w:rsid w:val="003E1642"/>
    <w:rsid w:val="003E171B"/>
    <w:rsid w:val="003E19A3"/>
    <w:rsid w:val="003E1D94"/>
    <w:rsid w:val="003E1DA7"/>
    <w:rsid w:val="003E23D5"/>
    <w:rsid w:val="003E2C8F"/>
    <w:rsid w:val="003E2DD3"/>
    <w:rsid w:val="003E3E78"/>
    <w:rsid w:val="003E4529"/>
    <w:rsid w:val="003E4693"/>
    <w:rsid w:val="003E4BA7"/>
    <w:rsid w:val="003E54DE"/>
    <w:rsid w:val="003E645E"/>
    <w:rsid w:val="003E6849"/>
    <w:rsid w:val="003E69DB"/>
    <w:rsid w:val="003E73F2"/>
    <w:rsid w:val="003F065C"/>
    <w:rsid w:val="003F0E7A"/>
    <w:rsid w:val="003F0E9E"/>
    <w:rsid w:val="003F1626"/>
    <w:rsid w:val="003F1B2E"/>
    <w:rsid w:val="003F253C"/>
    <w:rsid w:val="003F2A09"/>
    <w:rsid w:val="003F2DB0"/>
    <w:rsid w:val="003F3D1D"/>
    <w:rsid w:val="003F45C0"/>
    <w:rsid w:val="003F49A8"/>
    <w:rsid w:val="003F4A55"/>
    <w:rsid w:val="003F575D"/>
    <w:rsid w:val="003F6E86"/>
    <w:rsid w:val="003F7F7E"/>
    <w:rsid w:val="0040059A"/>
    <w:rsid w:val="004006AB"/>
    <w:rsid w:val="004010E0"/>
    <w:rsid w:val="00401A2E"/>
    <w:rsid w:val="004024EE"/>
    <w:rsid w:val="00402575"/>
    <w:rsid w:val="004026E9"/>
    <w:rsid w:val="004028DC"/>
    <w:rsid w:val="0040305A"/>
    <w:rsid w:val="00403546"/>
    <w:rsid w:val="00403575"/>
    <w:rsid w:val="00403C4A"/>
    <w:rsid w:val="00403C51"/>
    <w:rsid w:val="00403D16"/>
    <w:rsid w:val="0040420B"/>
    <w:rsid w:val="00404C02"/>
    <w:rsid w:val="00405655"/>
    <w:rsid w:val="00405D54"/>
    <w:rsid w:val="00406125"/>
    <w:rsid w:val="0040654C"/>
    <w:rsid w:val="00407386"/>
    <w:rsid w:val="00407EDA"/>
    <w:rsid w:val="004107B2"/>
    <w:rsid w:val="00410E1C"/>
    <w:rsid w:val="004115B1"/>
    <w:rsid w:val="00411897"/>
    <w:rsid w:val="00411BCF"/>
    <w:rsid w:val="00411F2A"/>
    <w:rsid w:val="004120F0"/>
    <w:rsid w:val="0041227D"/>
    <w:rsid w:val="004127C4"/>
    <w:rsid w:val="0041342B"/>
    <w:rsid w:val="00413BBE"/>
    <w:rsid w:val="00414294"/>
    <w:rsid w:val="0041461B"/>
    <w:rsid w:val="00414682"/>
    <w:rsid w:val="00414B56"/>
    <w:rsid w:val="00415BB4"/>
    <w:rsid w:val="00416138"/>
    <w:rsid w:val="0041685B"/>
    <w:rsid w:val="00416E2C"/>
    <w:rsid w:val="0041715F"/>
    <w:rsid w:val="004176F2"/>
    <w:rsid w:val="00417907"/>
    <w:rsid w:val="00417E4B"/>
    <w:rsid w:val="00420073"/>
    <w:rsid w:val="00420162"/>
    <w:rsid w:val="0042061B"/>
    <w:rsid w:val="004209CF"/>
    <w:rsid w:val="0042194B"/>
    <w:rsid w:val="00422390"/>
    <w:rsid w:val="004223A0"/>
    <w:rsid w:val="004225B8"/>
    <w:rsid w:val="00422611"/>
    <w:rsid w:val="0042297A"/>
    <w:rsid w:val="00423E42"/>
    <w:rsid w:val="00423F43"/>
    <w:rsid w:val="00423FEC"/>
    <w:rsid w:val="00424552"/>
    <w:rsid w:val="0042459E"/>
    <w:rsid w:val="0042523D"/>
    <w:rsid w:val="004252D2"/>
    <w:rsid w:val="0042547C"/>
    <w:rsid w:val="004255A5"/>
    <w:rsid w:val="004255AA"/>
    <w:rsid w:val="00425D88"/>
    <w:rsid w:val="00425EF5"/>
    <w:rsid w:val="00426675"/>
    <w:rsid w:val="004266EE"/>
    <w:rsid w:val="00426747"/>
    <w:rsid w:val="004268E2"/>
    <w:rsid w:val="004268FD"/>
    <w:rsid w:val="00426FDE"/>
    <w:rsid w:val="00427340"/>
    <w:rsid w:val="00427458"/>
    <w:rsid w:val="00427674"/>
    <w:rsid w:val="00427C7A"/>
    <w:rsid w:val="0043035A"/>
    <w:rsid w:val="00430548"/>
    <w:rsid w:val="00430B7F"/>
    <w:rsid w:val="00431268"/>
    <w:rsid w:val="004316F7"/>
    <w:rsid w:val="004324D7"/>
    <w:rsid w:val="004328FD"/>
    <w:rsid w:val="00432D06"/>
    <w:rsid w:val="00432E6A"/>
    <w:rsid w:val="00433675"/>
    <w:rsid w:val="00434905"/>
    <w:rsid w:val="00435578"/>
    <w:rsid w:val="00436015"/>
    <w:rsid w:val="0043684F"/>
    <w:rsid w:val="00436D25"/>
    <w:rsid w:val="00440E4E"/>
    <w:rsid w:val="00440F73"/>
    <w:rsid w:val="00441135"/>
    <w:rsid w:val="004415FF"/>
    <w:rsid w:val="004416E1"/>
    <w:rsid w:val="00441914"/>
    <w:rsid w:val="00441D1F"/>
    <w:rsid w:val="00442300"/>
    <w:rsid w:val="00442CC4"/>
    <w:rsid w:val="00442F2A"/>
    <w:rsid w:val="004430AB"/>
    <w:rsid w:val="00443207"/>
    <w:rsid w:val="0044345C"/>
    <w:rsid w:val="0044359F"/>
    <w:rsid w:val="00443674"/>
    <w:rsid w:val="00443807"/>
    <w:rsid w:val="00443A54"/>
    <w:rsid w:val="00443D1C"/>
    <w:rsid w:val="00444464"/>
    <w:rsid w:val="004448B4"/>
    <w:rsid w:val="0044491C"/>
    <w:rsid w:val="00444A9A"/>
    <w:rsid w:val="00444C95"/>
    <w:rsid w:val="004451D5"/>
    <w:rsid w:val="004453EA"/>
    <w:rsid w:val="0044574D"/>
    <w:rsid w:val="00445929"/>
    <w:rsid w:val="00445A48"/>
    <w:rsid w:val="00445E15"/>
    <w:rsid w:val="004462C1"/>
    <w:rsid w:val="00446AE7"/>
    <w:rsid w:val="00446C3C"/>
    <w:rsid w:val="004470BE"/>
    <w:rsid w:val="00447115"/>
    <w:rsid w:val="00447838"/>
    <w:rsid w:val="004479A2"/>
    <w:rsid w:val="00447BD8"/>
    <w:rsid w:val="004502DF"/>
    <w:rsid w:val="00450DAB"/>
    <w:rsid w:val="00451368"/>
    <w:rsid w:val="00451765"/>
    <w:rsid w:val="004529C1"/>
    <w:rsid w:val="00452A27"/>
    <w:rsid w:val="00452B63"/>
    <w:rsid w:val="004537A8"/>
    <w:rsid w:val="004542DA"/>
    <w:rsid w:val="004543AC"/>
    <w:rsid w:val="004546B7"/>
    <w:rsid w:val="00454C08"/>
    <w:rsid w:val="00455389"/>
    <w:rsid w:val="004554E6"/>
    <w:rsid w:val="00456370"/>
    <w:rsid w:val="004563F0"/>
    <w:rsid w:val="00456D5F"/>
    <w:rsid w:val="0045762B"/>
    <w:rsid w:val="0045774F"/>
    <w:rsid w:val="0045784E"/>
    <w:rsid w:val="00457A83"/>
    <w:rsid w:val="00457D67"/>
    <w:rsid w:val="00457F36"/>
    <w:rsid w:val="0046002B"/>
    <w:rsid w:val="0046050B"/>
    <w:rsid w:val="004605EB"/>
    <w:rsid w:val="00460ACB"/>
    <w:rsid w:val="0046251C"/>
    <w:rsid w:val="0046286B"/>
    <w:rsid w:val="00462AAF"/>
    <w:rsid w:val="004631FA"/>
    <w:rsid w:val="00463668"/>
    <w:rsid w:val="00463A14"/>
    <w:rsid w:val="00463A55"/>
    <w:rsid w:val="00463E4C"/>
    <w:rsid w:val="00464632"/>
    <w:rsid w:val="00464A25"/>
    <w:rsid w:val="0046564F"/>
    <w:rsid w:val="00465BD6"/>
    <w:rsid w:val="00465F3B"/>
    <w:rsid w:val="004669D9"/>
    <w:rsid w:val="00467035"/>
    <w:rsid w:val="004673D4"/>
    <w:rsid w:val="004674F4"/>
    <w:rsid w:val="004677EF"/>
    <w:rsid w:val="00467C76"/>
    <w:rsid w:val="004703B7"/>
    <w:rsid w:val="004705FC"/>
    <w:rsid w:val="0047171A"/>
    <w:rsid w:val="0047199D"/>
    <w:rsid w:val="00471FCB"/>
    <w:rsid w:val="00472503"/>
    <w:rsid w:val="00472E2D"/>
    <w:rsid w:val="00473371"/>
    <w:rsid w:val="004734ED"/>
    <w:rsid w:val="00473725"/>
    <w:rsid w:val="00473822"/>
    <w:rsid w:val="00473C82"/>
    <w:rsid w:val="00473E8F"/>
    <w:rsid w:val="004745AA"/>
    <w:rsid w:val="00474776"/>
    <w:rsid w:val="00474779"/>
    <w:rsid w:val="004747F7"/>
    <w:rsid w:val="0047527E"/>
    <w:rsid w:val="004756DD"/>
    <w:rsid w:val="00475877"/>
    <w:rsid w:val="00475CDD"/>
    <w:rsid w:val="00475FC4"/>
    <w:rsid w:val="00475FF3"/>
    <w:rsid w:val="0047633C"/>
    <w:rsid w:val="00476D45"/>
    <w:rsid w:val="004775B3"/>
    <w:rsid w:val="00477642"/>
    <w:rsid w:val="004779BA"/>
    <w:rsid w:val="00477E7B"/>
    <w:rsid w:val="00477E83"/>
    <w:rsid w:val="004807AA"/>
    <w:rsid w:val="004809A5"/>
    <w:rsid w:val="00480B1B"/>
    <w:rsid w:val="00480FBF"/>
    <w:rsid w:val="0048142F"/>
    <w:rsid w:val="00481650"/>
    <w:rsid w:val="00481669"/>
    <w:rsid w:val="00481F1D"/>
    <w:rsid w:val="004822D2"/>
    <w:rsid w:val="0048278C"/>
    <w:rsid w:val="004827BB"/>
    <w:rsid w:val="00482A58"/>
    <w:rsid w:val="00483E0D"/>
    <w:rsid w:val="0048446B"/>
    <w:rsid w:val="00484B59"/>
    <w:rsid w:val="00484C15"/>
    <w:rsid w:val="00484DAB"/>
    <w:rsid w:val="00484F6F"/>
    <w:rsid w:val="00485275"/>
    <w:rsid w:val="004852A1"/>
    <w:rsid w:val="004854FF"/>
    <w:rsid w:val="00485F58"/>
    <w:rsid w:val="004879DF"/>
    <w:rsid w:val="00487ED3"/>
    <w:rsid w:val="004902B0"/>
    <w:rsid w:val="0049073D"/>
    <w:rsid w:val="00490B0E"/>
    <w:rsid w:val="00490DAE"/>
    <w:rsid w:val="00490DDA"/>
    <w:rsid w:val="0049141D"/>
    <w:rsid w:val="00491F44"/>
    <w:rsid w:val="004920D8"/>
    <w:rsid w:val="004923FF"/>
    <w:rsid w:val="004924AA"/>
    <w:rsid w:val="004926BC"/>
    <w:rsid w:val="004926CE"/>
    <w:rsid w:val="00493B9B"/>
    <w:rsid w:val="00493DD2"/>
    <w:rsid w:val="00494128"/>
    <w:rsid w:val="0049428C"/>
    <w:rsid w:val="0049540A"/>
    <w:rsid w:val="00495D93"/>
    <w:rsid w:val="0049600F"/>
    <w:rsid w:val="00496AF3"/>
    <w:rsid w:val="00497EAB"/>
    <w:rsid w:val="00497ED6"/>
    <w:rsid w:val="004A0141"/>
    <w:rsid w:val="004A0640"/>
    <w:rsid w:val="004A0E4E"/>
    <w:rsid w:val="004A1AD6"/>
    <w:rsid w:val="004A2467"/>
    <w:rsid w:val="004A333E"/>
    <w:rsid w:val="004A36C2"/>
    <w:rsid w:val="004A3A19"/>
    <w:rsid w:val="004A3BBC"/>
    <w:rsid w:val="004A3F46"/>
    <w:rsid w:val="004A401E"/>
    <w:rsid w:val="004A41D4"/>
    <w:rsid w:val="004A4333"/>
    <w:rsid w:val="004A52D2"/>
    <w:rsid w:val="004A5BCE"/>
    <w:rsid w:val="004A5DDC"/>
    <w:rsid w:val="004A6094"/>
    <w:rsid w:val="004A6165"/>
    <w:rsid w:val="004A6709"/>
    <w:rsid w:val="004A743E"/>
    <w:rsid w:val="004A7DD3"/>
    <w:rsid w:val="004A7EAD"/>
    <w:rsid w:val="004A7FE8"/>
    <w:rsid w:val="004B0033"/>
    <w:rsid w:val="004B0626"/>
    <w:rsid w:val="004B0DF4"/>
    <w:rsid w:val="004B0F14"/>
    <w:rsid w:val="004B0FBE"/>
    <w:rsid w:val="004B10B8"/>
    <w:rsid w:val="004B12B2"/>
    <w:rsid w:val="004B1AA3"/>
    <w:rsid w:val="004B23A1"/>
    <w:rsid w:val="004B24B1"/>
    <w:rsid w:val="004B259B"/>
    <w:rsid w:val="004B2B65"/>
    <w:rsid w:val="004B303F"/>
    <w:rsid w:val="004B3055"/>
    <w:rsid w:val="004B3822"/>
    <w:rsid w:val="004B3906"/>
    <w:rsid w:val="004B39AF"/>
    <w:rsid w:val="004B4006"/>
    <w:rsid w:val="004B450A"/>
    <w:rsid w:val="004B45F3"/>
    <w:rsid w:val="004B59F9"/>
    <w:rsid w:val="004B656A"/>
    <w:rsid w:val="004B6BA7"/>
    <w:rsid w:val="004B6C4E"/>
    <w:rsid w:val="004B6C75"/>
    <w:rsid w:val="004B7165"/>
    <w:rsid w:val="004B7238"/>
    <w:rsid w:val="004B74CD"/>
    <w:rsid w:val="004B7588"/>
    <w:rsid w:val="004B7B63"/>
    <w:rsid w:val="004C00ED"/>
    <w:rsid w:val="004C0145"/>
    <w:rsid w:val="004C0418"/>
    <w:rsid w:val="004C0582"/>
    <w:rsid w:val="004C0B9A"/>
    <w:rsid w:val="004C1222"/>
    <w:rsid w:val="004C1BF1"/>
    <w:rsid w:val="004C2077"/>
    <w:rsid w:val="004C26F3"/>
    <w:rsid w:val="004C2BD0"/>
    <w:rsid w:val="004C35DF"/>
    <w:rsid w:val="004C38F2"/>
    <w:rsid w:val="004C3A5D"/>
    <w:rsid w:val="004C4298"/>
    <w:rsid w:val="004C46E3"/>
    <w:rsid w:val="004C492B"/>
    <w:rsid w:val="004C4D19"/>
    <w:rsid w:val="004C5145"/>
    <w:rsid w:val="004C51DC"/>
    <w:rsid w:val="004C5528"/>
    <w:rsid w:val="004C5922"/>
    <w:rsid w:val="004C599F"/>
    <w:rsid w:val="004C5D8E"/>
    <w:rsid w:val="004C62BA"/>
    <w:rsid w:val="004C6C04"/>
    <w:rsid w:val="004C6F4B"/>
    <w:rsid w:val="004C73E2"/>
    <w:rsid w:val="004C7AE6"/>
    <w:rsid w:val="004C7C56"/>
    <w:rsid w:val="004C7DAD"/>
    <w:rsid w:val="004D0FF8"/>
    <w:rsid w:val="004D138D"/>
    <w:rsid w:val="004D1416"/>
    <w:rsid w:val="004D1734"/>
    <w:rsid w:val="004D28C1"/>
    <w:rsid w:val="004D3201"/>
    <w:rsid w:val="004D35BB"/>
    <w:rsid w:val="004D3E6A"/>
    <w:rsid w:val="004D4231"/>
    <w:rsid w:val="004D4601"/>
    <w:rsid w:val="004D4C15"/>
    <w:rsid w:val="004D568E"/>
    <w:rsid w:val="004D56BE"/>
    <w:rsid w:val="004D5897"/>
    <w:rsid w:val="004D5A98"/>
    <w:rsid w:val="004D5ED7"/>
    <w:rsid w:val="004D62A9"/>
    <w:rsid w:val="004D62AE"/>
    <w:rsid w:val="004D67BB"/>
    <w:rsid w:val="004D6969"/>
    <w:rsid w:val="004D69A6"/>
    <w:rsid w:val="004D6BB7"/>
    <w:rsid w:val="004D6DEF"/>
    <w:rsid w:val="004D7101"/>
    <w:rsid w:val="004D761B"/>
    <w:rsid w:val="004D7F52"/>
    <w:rsid w:val="004E098B"/>
    <w:rsid w:val="004E0EF8"/>
    <w:rsid w:val="004E15C2"/>
    <w:rsid w:val="004E19BE"/>
    <w:rsid w:val="004E1A5A"/>
    <w:rsid w:val="004E1DB0"/>
    <w:rsid w:val="004E23CE"/>
    <w:rsid w:val="004E2560"/>
    <w:rsid w:val="004E2953"/>
    <w:rsid w:val="004E37BD"/>
    <w:rsid w:val="004E4031"/>
    <w:rsid w:val="004E43E3"/>
    <w:rsid w:val="004E4950"/>
    <w:rsid w:val="004E496C"/>
    <w:rsid w:val="004E4B77"/>
    <w:rsid w:val="004E4D4F"/>
    <w:rsid w:val="004E4EBA"/>
    <w:rsid w:val="004E51E1"/>
    <w:rsid w:val="004E5744"/>
    <w:rsid w:val="004E5C3B"/>
    <w:rsid w:val="004E5D57"/>
    <w:rsid w:val="004E5DD4"/>
    <w:rsid w:val="004E68D6"/>
    <w:rsid w:val="004E7B5D"/>
    <w:rsid w:val="004E7D74"/>
    <w:rsid w:val="004F0406"/>
    <w:rsid w:val="004F11C7"/>
    <w:rsid w:val="004F12E2"/>
    <w:rsid w:val="004F1CCF"/>
    <w:rsid w:val="004F21F3"/>
    <w:rsid w:val="004F2236"/>
    <w:rsid w:val="004F234C"/>
    <w:rsid w:val="004F2C93"/>
    <w:rsid w:val="004F2D53"/>
    <w:rsid w:val="004F2F9D"/>
    <w:rsid w:val="004F3929"/>
    <w:rsid w:val="004F39E2"/>
    <w:rsid w:val="004F46CD"/>
    <w:rsid w:val="004F49B8"/>
    <w:rsid w:val="004F4D8D"/>
    <w:rsid w:val="004F52AE"/>
    <w:rsid w:val="004F584A"/>
    <w:rsid w:val="004F5CDB"/>
    <w:rsid w:val="004F6680"/>
    <w:rsid w:val="004F6B7C"/>
    <w:rsid w:val="004F6BF1"/>
    <w:rsid w:val="004F7213"/>
    <w:rsid w:val="004F7828"/>
    <w:rsid w:val="004F78EB"/>
    <w:rsid w:val="00500883"/>
    <w:rsid w:val="00500918"/>
    <w:rsid w:val="00500CF8"/>
    <w:rsid w:val="0050147F"/>
    <w:rsid w:val="005015F4"/>
    <w:rsid w:val="00501AA3"/>
    <w:rsid w:val="00501C82"/>
    <w:rsid w:val="0050222B"/>
    <w:rsid w:val="00503015"/>
    <w:rsid w:val="00503172"/>
    <w:rsid w:val="00503E20"/>
    <w:rsid w:val="0050419F"/>
    <w:rsid w:val="00504208"/>
    <w:rsid w:val="005042AD"/>
    <w:rsid w:val="0050462E"/>
    <w:rsid w:val="005047E2"/>
    <w:rsid w:val="00504C9B"/>
    <w:rsid w:val="00504EB7"/>
    <w:rsid w:val="0050510D"/>
    <w:rsid w:val="005055DC"/>
    <w:rsid w:val="00506158"/>
    <w:rsid w:val="00506EE6"/>
    <w:rsid w:val="00507796"/>
    <w:rsid w:val="00507D6B"/>
    <w:rsid w:val="00510038"/>
    <w:rsid w:val="0051020D"/>
    <w:rsid w:val="00510638"/>
    <w:rsid w:val="00510D6C"/>
    <w:rsid w:val="00510FB9"/>
    <w:rsid w:val="005110EA"/>
    <w:rsid w:val="00511624"/>
    <w:rsid w:val="0051183B"/>
    <w:rsid w:val="005121D0"/>
    <w:rsid w:val="0051227B"/>
    <w:rsid w:val="0051236B"/>
    <w:rsid w:val="005126B1"/>
    <w:rsid w:val="0051283E"/>
    <w:rsid w:val="005129A6"/>
    <w:rsid w:val="00512A00"/>
    <w:rsid w:val="00513219"/>
    <w:rsid w:val="005132EF"/>
    <w:rsid w:val="00513752"/>
    <w:rsid w:val="005137AB"/>
    <w:rsid w:val="00513870"/>
    <w:rsid w:val="0051394D"/>
    <w:rsid w:val="00513B1B"/>
    <w:rsid w:val="00513B39"/>
    <w:rsid w:val="00514689"/>
    <w:rsid w:val="00514E08"/>
    <w:rsid w:val="005155D3"/>
    <w:rsid w:val="005157CD"/>
    <w:rsid w:val="00515CE6"/>
    <w:rsid w:val="00517276"/>
    <w:rsid w:val="00517404"/>
    <w:rsid w:val="00517815"/>
    <w:rsid w:val="00517CB7"/>
    <w:rsid w:val="00517DF8"/>
    <w:rsid w:val="005209EC"/>
    <w:rsid w:val="00520A9E"/>
    <w:rsid w:val="00520E4A"/>
    <w:rsid w:val="005215D5"/>
    <w:rsid w:val="00521D93"/>
    <w:rsid w:val="00522611"/>
    <w:rsid w:val="0052282C"/>
    <w:rsid w:val="00522CD9"/>
    <w:rsid w:val="00523289"/>
    <w:rsid w:val="00523918"/>
    <w:rsid w:val="00523CD6"/>
    <w:rsid w:val="0052431B"/>
    <w:rsid w:val="005249BC"/>
    <w:rsid w:val="00524BEF"/>
    <w:rsid w:val="00524E1A"/>
    <w:rsid w:val="00526155"/>
    <w:rsid w:val="00526A6D"/>
    <w:rsid w:val="00526CA1"/>
    <w:rsid w:val="00526D61"/>
    <w:rsid w:val="00527017"/>
    <w:rsid w:val="00527C29"/>
    <w:rsid w:val="00527CBB"/>
    <w:rsid w:val="00527E4F"/>
    <w:rsid w:val="0053019E"/>
    <w:rsid w:val="00530B3A"/>
    <w:rsid w:val="00531052"/>
    <w:rsid w:val="00531494"/>
    <w:rsid w:val="005314A4"/>
    <w:rsid w:val="00531604"/>
    <w:rsid w:val="00531A05"/>
    <w:rsid w:val="00531C86"/>
    <w:rsid w:val="00531CCB"/>
    <w:rsid w:val="00531FA5"/>
    <w:rsid w:val="0053234E"/>
    <w:rsid w:val="005325E4"/>
    <w:rsid w:val="0053284D"/>
    <w:rsid w:val="0053313B"/>
    <w:rsid w:val="00533BC0"/>
    <w:rsid w:val="00534072"/>
    <w:rsid w:val="005341C6"/>
    <w:rsid w:val="00534E26"/>
    <w:rsid w:val="00535164"/>
    <w:rsid w:val="0053548F"/>
    <w:rsid w:val="005369A3"/>
    <w:rsid w:val="00536A63"/>
    <w:rsid w:val="00536B8E"/>
    <w:rsid w:val="00536CF6"/>
    <w:rsid w:val="00536F8F"/>
    <w:rsid w:val="0053739B"/>
    <w:rsid w:val="005373CC"/>
    <w:rsid w:val="00537530"/>
    <w:rsid w:val="00537DD3"/>
    <w:rsid w:val="00540272"/>
    <w:rsid w:val="005406BF"/>
    <w:rsid w:val="00540D6A"/>
    <w:rsid w:val="00542340"/>
    <w:rsid w:val="00542382"/>
    <w:rsid w:val="00542B4D"/>
    <w:rsid w:val="00542E24"/>
    <w:rsid w:val="0054306D"/>
    <w:rsid w:val="00543B5B"/>
    <w:rsid w:val="00544723"/>
    <w:rsid w:val="00544A8B"/>
    <w:rsid w:val="0054519F"/>
    <w:rsid w:val="00545457"/>
    <w:rsid w:val="00546336"/>
    <w:rsid w:val="00546467"/>
    <w:rsid w:val="0054782F"/>
    <w:rsid w:val="005478D5"/>
    <w:rsid w:val="00547ADD"/>
    <w:rsid w:val="0055069B"/>
    <w:rsid w:val="005515AE"/>
    <w:rsid w:val="00551BBD"/>
    <w:rsid w:val="005523EF"/>
    <w:rsid w:val="00552789"/>
    <w:rsid w:val="00554035"/>
    <w:rsid w:val="00554061"/>
    <w:rsid w:val="005543F9"/>
    <w:rsid w:val="00554B3E"/>
    <w:rsid w:val="00555003"/>
    <w:rsid w:val="005556A4"/>
    <w:rsid w:val="00555F68"/>
    <w:rsid w:val="00556019"/>
    <w:rsid w:val="005564C4"/>
    <w:rsid w:val="005566BE"/>
    <w:rsid w:val="00556AD8"/>
    <w:rsid w:val="00557B3D"/>
    <w:rsid w:val="00560244"/>
    <w:rsid w:val="005608B5"/>
    <w:rsid w:val="00560994"/>
    <w:rsid w:val="00560B88"/>
    <w:rsid w:val="00561115"/>
    <w:rsid w:val="005611CB"/>
    <w:rsid w:val="00561372"/>
    <w:rsid w:val="005617A7"/>
    <w:rsid w:val="0056200E"/>
    <w:rsid w:val="005629E1"/>
    <w:rsid w:val="00562A9E"/>
    <w:rsid w:val="00562BE9"/>
    <w:rsid w:val="00562C32"/>
    <w:rsid w:val="005634AC"/>
    <w:rsid w:val="005634B8"/>
    <w:rsid w:val="00563DA3"/>
    <w:rsid w:val="0056479D"/>
    <w:rsid w:val="005650DB"/>
    <w:rsid w:val="005656CC"/>
    <w:rsid w:val="005658FE"/>
    <w:rsid w:val="00565927"/>
    <w:rsid w:val="005659AC"/>
    <w:rsid w:val="00565FED"/>
    <w:rsid w:val="00566193"/>
    <w:rsid w:val="0056674A"/>
    <w:rsid w:val="00566B0D"/>
    <w:rsid w:val="00566CA2"/>
    <w:rsid w:val="00566D51"/>
    <w:rsid w:val="00566E0A"/>
    <w:rsid w:val="005672CD"/>
    <w:rsid w:val="005674F6"/>
    <w:rsid w:val="00567AAF"/>
    <w:rsid w:val="00567D6F"/>
    <w:rsid w:val="0057031E"/>
    <w:rsid w:val="00570476"/>
    <w:rsid w:val="0057057A"/>
    <w:rsid w:val="0057106E"/>
    <w:rsid w:val="005710C9"/>
    <w:rsid w:val="0057124A"/>
    <w:rsid w:val="00571438"/>
    <w:rsid w:val="005716B7"/>
    <w:rsid w:val="00571B2E"/>
    <w:rsid w:val="005720A5"/>
    <w:rsid w:val="005722FD"/>
    <w:rsid w:val="0057251E"/>
    <w:rsid w:val="0057377D"/>
    <w:rsid w:val="005738FD"/>
    <w:rsid w:val="005739BF"/>
    <w:rsid w:val="00573CBA"/>
    <w:rsid w:val="00573CD0"/>
    <w:rsid w:val="00574C5B"/>
    <w:rsid w:val="00574D52"/>
    <w:rsid w:val="00574DE1"/>
    <w:rsid w:val="005752EE"/>
    <w:rsid w:val="00575792"/>
    <w:rsid w:val="00575DBF"/>
    <w:rsid w:val="00576678"/>
    <w:rsid w:val="00576FE6"/>
    <w:rsid w:val="005804B3"/>
    <w:rsid w:val="0058085F"/>
    <w:rsid w:val="00581118"/>
    <w:rsid w:val="005813A5"/>
    <w:rsid w:val="005816C2"/>
    <w:rsid w:val="0058176A"/>
    <w:rsid w:val="00581A20"/>
    <w:rsid w:val="00581B67"/>
    <w:rsid w:val="0058201A"/>
    <w:rsid w:val="00582260"/>
    <w:rsid w:val="00582B03"/>
    <w:rsid w:val="005832E6"/>
    <w:rsid w:val="0058363B"/>
    <w:rsid w:val="00583CAC"/>
    <w:rsid w:val="00583F77"/>
    <w:rsid w:val="00584651"/>
    <w:rsid w:val="00584AB3"/>
    <w:rsid w:val="00584AF3"/>
    <w:rsid w:val="005852E6"/>
    <w:rsid w:val="0058547F"/>
    <w:rsid w:val="00585B89"/>
    <w:rsid w:val="00586066"/>
    <w:rsid w:val="005869F6"/>
    <w:rsid w:val="00587967"/>
    <w:rsid w:val="00587E10"/>
    <w:rsid w:val="005906BE"/>
    <w:rsid w:val="00590990"/>
    <w:rsid w:val="005918BE"/>
    <w:rsid w:val="00591DF9"/>
    <w:rsid w:val="005923BF"/>
    <w:rsid w:val="0059302B"/>
    <w:rsid w:val="00593315"/>
    <w:rsid w:val="00593D9E"/>
    <w:rsid w:val="00593EB4"/>
    <w:rsid w:val="00593F47"/>
    <w:rsid w:val="005945EA"/>
    <w:rsid w:val="00594DAA"/>
    <w:rsid w:val="00594EA8"/>
    <w:rsid w:val="0059518A"/>
    <w:rsid w:val="00595693"/>
    <w:rsid w:val="005956B1"/>
    <w:rsid w:val="00595A52"/>
    <w:rsid w:val="00595DC3"/>
    <w:rsid w:val="0059610E"/>
    <w:rsid w:val="005965C1"/>
    <w:rsid w:val="00596885"/>
    <w:rsid w:val="005A09F1"/>
    <w:rsid w:val="005A0BAC"/>
    <w:rsid w:val="005A2405"/>
    <w:rsid w:val="005A2BF8"/>
    <w:rsid w:val="005A2D5F"/>
    <w:rsid w:val="005A3EF5"/>
    <w:rsid w:val="005A4B4D"/>
    <w:rsid w:val="005A53E5"/>
    <w:rsid w:val="005A5AE9"/>
    <w:rsid w:val="005A621C"/>
    <w:rsid w:val="005A66EE"/>
    <w:rsid w:val="005A7173"/>
    <w:rsid w:val="005A748C"/>
    <w:rsid w:val="005A751D"/>
    <w:rsid w:val="005A79FA"/>
    <w:rsid w:val="005B0046"/>
    <w:rsid w:val="005B0459"/>
    <w:rsid w:val="005B0C33"/>
    <w:rsid w:val="005B0C7C"/>
    <w:rsid w:val="005B0EB8"/>
    <w:rsid w:val="005B11D0"/>
    <w:rsid w:val="005B1EEC"/>
    <w:rsid w:val="005B2C0E"/>
    <w:rsid w:val="005B2FC3"/>
    <w:rsid w:val="005B31A4"/>
    <w:rsid w:val="005B35E4"/>
    <w:rsid w:val="005B3615"/>
    <w:rsid w:val="005B373F"/>
    <w:rsid w:val="005B3BB7"/>
    <w:rsid w:val="005B3E75"/>
    <w:rsid w:val="005B483E"/>
    <w:rsid w:val="005B4C0A"/>
    <w:rsid w:val="005B5A65"/>
    <w:rsid w:val="005B5DD5"/>
    <w:rsid w:val="005B62F4"/>
    <w:rsid w:val="005B6D27"/>
    <w:rsid w:val="005B6E6D"/>
    <w:rsid w:val="005B6E72"/>
    <w:rsid w:val="005B7666"/>
    <w:rsid w:val="005B7775"/>
    <w:rsid w:val="005B79FD"/>
    <w:rsid w:val="005B7AB7"/>
    <w:rsid w:val="005B7F1F"/>
    <w:rsid w:val="005C004C"/>
    <w:rsid w:val="005C03F9"/>
    <w:rsid w:val="005C0533"/>
    <w:rsid w:val="005C0B31"/>
    <w:rsid w:val="005C0F26"/>
    <w:rsid w:val="005C1325"/>
    <w:rsid w:val="005C15E5"/>
    <w:rsid w:val="005C1844"/>
    <w:rsid w:val="005C1957"/>
    <w:rsid w:val="005C1D00"/>
    <w:rsid w:val="005C2D72"/>
    <w:rsid w:val="005C305F"/>
    <w:rsid w:val="005C342B"/>
    <w:rsid w:val="005C355D"/>
    <w:rsid w:val="005C35C3"/>
    <w:rsid w:val="005C3A14"/>
    <w:rsid w:val="005C40B3"/>
    <w:rsid w:val="005C43AE"/>
    <w:rsid w:val="005C4E8C"/>
    <w:rsid w:val="005C6060"/>
    <w:rsid w:val="005C62CE"/>
    <w:rsid w:val="005C6302"/>
    <w:rsid w:val="005C649B"/>
    <w:rsid w:val="005C6AD8"/>
    <w:rsid w:val="005C6BE6"/>
    <w:rsid w:val="005C6F53"/>
    <w:rsid w:val="005C796F"/>
    <w:rsid w:val="005C7B95"/>
    <w:rsid w:val="005D1167"/>
    <w:rsid w:val="005D1A37"/>
    <w:rsid w:val="005D1E4E"/>
    <w:rsid w:val="005D1F58"/>
    <w:rsid w:val="005D2481"/>
    <w:rsid w:val="005D293A"/>
    <w:rsid w:val="005D29FC"/>
    <w:rsid w:val="005D2D7B"/>
    <w:rsid w:val="005D2EB8"/>
    <w:rsid w:val="005D2F52"/>
    <w:rsid w:val="005D331A"/>
    <w:rsid w:val="005D356D"/>
    <w:rsid w:val="005D35A2"/>
    <w:rsid w:val="005D3CAE"/>
    <w:rsid w:val="005D4127"/>
    <w:rsid w:val="005D4789"/>
    <w:rsid w:val="005D4A92"/>
    <w:rsid w:val="005D4FA1"/>
    <w:rsid w:val="005D52E9"/>
    <w:rsid w:val="005D53F9"/>
    <w:rsid w:val="005D6C53"/>
    <w:rsid w:val="005D7318"/>
    <w:rsid w:val="005D73BF"/>
    <w:rsid w:val="005D78D7"/>
    <w:rsid w:val="005D7E5B"/>
    <w:rsid w:val="005D7F4B"/>
    <w:rsid w:val="005E058A"/>
    <w:rsid w:val="005E09B7"/>
    <w:rsid w:val="005E0E4D"/>
    <w:rsid w:val="005E140C"/>
    <w:rsid w:val="005E140E"/>
    <w:rsid w:val="005E166F"/>
    <w:rsid w:val="005E1B41"/>
    <w:rsid w:val="005E1EB5"/>
    <w:rsid w:val="005E20EB"/>
    <w:rsid w:val="005E3260"/>
    <w:rsid w:val="005E3A46"/>
    <w:rsid w:val="005E3C76"/>
    <w:rsid w:val="005E440F"/>
    <w:rsid w:val="005E45A1"/>
    <w:rsid w:val="005E4A65"/>
    <w:rsid w:val="005E5171"/>
    <w:rsid w:val="005E62F4"/>
    <w:rsid w:val="005E642C"/>
    <w:rsid w:val="005E6D0A"/>
    <w:rsid w:val="005E6D79"/>
    <w:rsid w:val="005E6F22"/>
    <w:rsid w:val="005E7050"/>
    <w:rsid w:val="005E74A3"/>
    <w:rsid w:val="005E76B4"/>
    <w:rsid w:val="005E7AD8"/>
    <w:rsid w:val="005E7B88"/>
    <w:rsid w:val="005E7D18"/>
    <w:rsid w:val="005F0287"/>
    <w:rsid w:val="005F0B18"/>
    <w:rsid w:val="005F12FF"/>
    <w:rsid w:val="005F18F8"/>
    <w:rsid w:val="005F1B3F"/>
    <w:rsid w:val="005F1E1B"/>
    <w:rsid w:val="005F2366"/>
    <w:rsid w:val="005F2472"/>
    <w:rsid w:val="005F2519"/>
    <w:rsid w:val="005F2B70"/>
    <w:rsid w:val="005F2D7F"/>
    <w:rsid w:val="005F2F2F"/>
    <w:rsid w:val="005F30D5"/>
    <w:rsid w:val="005F359E"/>
    <w:rsid w:val="005F40D6"/>
    <w:rsid w:val="005F428D"/>
    <w:rsid w:val="005F4B77"/>
    <w:rsid w:val="005F5897"/>
    <w:rsid w:val="005F5A8C"/>
    <w:rsid w:val="005F5B49"/>
    <w:rsid w:val="005F6872"/>
    <w:rsid w:val="005F6D6A"/>
    <w:rsid w:val="005F7954"/>
    <w:rsid w:val="005F7997"/>
    <w:rsid w:val="005F7D28"/>
    <w:rsid w:val="005F7F6E"/>
    <w:rsid w:val="0060031C"/>
    <w:rsid w:val="006007AA"/>
    <w:rsid w:val="006012AD"/>
    <w:rsid w:val="00601547"/>
    <w:rsid w:val="00601D2C"/>
    <w:rsid w:val="00601EDE"/>
    <w:rsid w:val="0060214D"/>
    <w:rsid w:val="00602274"/>
    <w:rsid w:val="00602431"/>
    <w:rsid w:val="00602BB7"/>
    <w:rsid w:val="00602C4B"/>
    <w:rsid w:val="00602F23"/>
    <w:rsid w:val="00603D74"/>
    <w:rsid w:val="00604875"/>
    <w:rsid w:val="00604B78"/>
    <w:rsid w:val="00604D5D"/>
    <w:rsid w:val="006053C2"/>
    <w:rsid w:val="00605DD9"/>
    <w:rsid w:val="006060A5"/>
    <w:rsid w:val="00606DE8"/>
    <w:rsid w:val="006070CB"/>
    <w:rsid w:val="006073F2"/>
    <w:rsid w:val="00607AC4"/>
    <w:rsid w:val="00607D7D"/>
    <w:rsid w:val="00610152"/>
    <w:rsid w:val="00610429"/>
    <w:rsid w:val="0061053A"/>
    <w:rsid w:val="00610801"/>
    <w:rsid w:val="00610D5C"/>
    <w:rsid w:val="006110E1"/>
    <w:rsid w:val="006113CB"/>
    <w:rsid w:val="0061197C"/>
    <w:rsid w:val="00611A5C"/>
    <w:rsid w:val="006127BD"/>
    <w:rsid w:val="00612B6C"/>
    <w:rsid w:val="006131FB"/>
    <w:rsid w:val="0061341F"/>
    <w:rsid w:val="00613679"/>
    <w:rsid w:val="0061380A"/>
    <w:rsid w:val="00613BFD"/>
    <w:rsid w:val="00613CB2"/>
    <w:rsid w:val="00614205"/>
    <w:rsid w:val="00614690"/>
    <w:rsid w:val="0061499C"/>
    <w:rsid w:val="006149C6"/>
    <w:rsid w:val="00614BA5"/>
    <w:rsid w:val="00614BDE"/>
    <w:rsid w:val="00615097"/>
    <w:rsid w:val="0061531D"/>
    <w:rsid w:val="00615738"/>
    <w:rsid w:val="006157A5"/>
    <w:rsid w:val="0061638E"/>
    <w:rsid w:val="006166EE"/>
    <w:rsid w:val="00616998"/>
    <w:rsid w:val="00617624"/>
    <w:rsid w:val="006178EE"/>
    <w:rsid w:val="00617AAB"/>
    <w:rsid w:val="00617D5A"/>
    <w:rsid w:val="0062007B"/>
    <w:rsid w:val="006207A8"/>
    <w:rsid w:val="00620C8B"/>
    <w:rsid w:val="00620E2F"/>
    <w:rsid w:val="006210C4"/>
    <w:rsid w:val="0062121C"/>
    <w:rsid w:val="006219CA"/>
    <w:rsid w:val="00621CD4"/>
    <w:rsid w:val="00621DA6"/>
    <w:rsid w:val="00621FD0"/>
    <w:rsid w:val="006222CA"/>
    <w:rsid w:val="006225BC"/>
    <w:rsid w:val="00622DAF"/>
    <w:rsid w:val="00623511"/>
    <w:rsid w:val="00623C6D"/>
    <w:rsid w:val="00623F54"/>
    <w:rsid w:val="006244BD"/>
    <w:rsid w:val="00624CE5"/>
    <w:rsid w:val="00625700"/>
    <w:rsid w:val="00625C14"/>
    <w:rsid w:val="00625F6D"/>
    <w:rsid w:val="00625FEA"/>
    <w:rsid w:val="00626EEF"/>
    <w:rsid w:val="00627106"/>
    <w:rsid w:val="006271BF"/>
    <w:rsid w:val="00627260"/>
    <w:rsid w:val="00627910"/>
    <w:rsid w:val="00627E45"/>
    <w:rsid w:val="006301CC"/>
    <w:rsid w:val="0063025A"/>
    <w:rsid w:val="00630574"/>
    <w:rsid w:val="006307D2"/>
    <w:rsid w:val="00630FC8"/>
    <w:rsid w:val="0063146C"/>
    <w:rsid w:val="006314B2"/>
    <w:rsid w:val="00631595"/>
    <w:rsid w:val="0063309A"/>
    <w:rsid w:val="00633355"/>
    <w:rsid w:val="00633EA0"/>
    <w:rsid w:val="006341F9"/>
    <w:rsid w:val="006345A7"/>
    <w:rsid w:val="0063478C"/>
    <w:rsid w:val="00634A7D"/>
    <w:rsid w:val="00635EF0"/>
    <w:rsid w:val="00635F01"/>
    <w:rsid w:val="006365D0"/>
    <w:rsid w:val="00636654"/>
    <w:rsid w:val="00636866"/>
    <w:rsid w:val="00636D51"/>
    <w:rsid w:val="00636D8D"/>
    <w:rsid w:val="006372FA"/>
    <w:rsid w:val="00637E81"/>
    <w:rsid w:val="00640184"/>
    <w:rsid w:val="006405E6"/>
    <w:rsid w:val="00640BF3"/>
    <w:rsid w:val="006411A2"/>
    <w:rsid w:val="00641204"/>
    <w:rsid w:val="00641C28"/>
    <w:rsid w:val="00642333"/>
    <w:rsid w:val="00642F1C"/>
    <w:rsid w:val="00642F7E"/>
    <w:rsid w:val="00643022"/>
    <w:rsid w:val="006432BD"/>
    <w:rsid w:val="0064348C"/>
    <w:rsid w:val="00643531"/>
    <w:rsid w:val="006443C0"/>
    <w:rsid w:val="0064459D"/>
    <w:rsid w:val="0064480C"/>
    <w:rsid w:val="00644A84"/>
    <w:rsid w:val="00645107"/>
    <w:rsid w:val="0064578E"/>
    <w:rsid w:val="00645841"/>
    <w:rsid w:val="0064588D"/>
    <w:rsid w:val="006458FD"/>
    <w:rsid w:val="006463B1"/>
    <w:rsid w:val="0064651D"/>
    <w:rsid w:val="006465A3"/>
    <w:rsid w:val="006465BD"/>
    <w:rsid w:val="006468B6"/>
    <w:rsid w:val="00646940"/>
    <w:rsid w:val="00646F26"/>
    <w:rsid w:val="00647581"/>
    <w:rsid w:val="00647979"/>
    <w:rsid w:val="00647DEC"/>
    <w:rsid w:val="00647E62"/>
    <w:rsid w:val="00651DE6"/>
    <w:rsid w:val="006520A0"/>
    <w:rsid w:val="00652150"/>
    <w:rsid w:val="0065236D"/>
    <w:rsid w:val="0065267C"/>
    <w:rsid w:val="006530DE"/>
    <w:rsid w:val="00653556"/>
    <w:rsid w:val="0065374A"/>
    <w:rsid w:val="006537FD"/>
    <w:rsid w:val="00653D95"/>
    <w:rsid w:val="006545B8"/>
    <w:rsid w:val="0065465B"/>
    <w:rsid w:val="00654937"/>
    <w:rsid w:val="00655045"/>
    <w:rsid w:val="00655454"/>
    <w:rsid w:val="00655594"/>
    <w:rsid w:val="00655F8E"/>
    <w:rsid w:val="006561E2"/>
    <w:rsid w:val="0065624A"/>
    <w:rsid w:val="0065640C"/>
    <w:rsid w:val="00656595"/>
    <w:rsid w:val="00657108"/>
    <w:rsid w:val="006574A4"/>
    <w:rsid w:val="006574F1"/>
    <w:rsid w:val="00657D22"/>
    <w:rsid w:val="00657D23"/>
    <w:rsid w:val="00660044"/>
    <w:rsid w:val="00660E45"/>
    <w:rsid w:val="00660EF2"/>
    <w:rsid w:val="0066102C"/>
    <w:rsid w:val="00661C6E"/>
    <w:rsid w:val="00661D33"/>
    <w:rsid w:val="006624EF"/>
    <w:rsid w:val="00662E54"/>
    <w:rsid w:val="006630EE"/>
    <w:rsid w:val="00663A3E"/>
    <w:rsid w:val="00663B53"/>
    <w:rsid w:val="00664816"/>
    <w:rsid w:val="00664E43"/>
    <w:rsid w:val="00665639"/>
    <w:rsid w:val="006659EF"/>
    <w:rsid w:val="00665BC8"/>
    <w:rsid w:val="00665D26"/>
    <w:rsid w:val="00665D56"/>
    <w:rsid w:val="00666B48"/>
    <w:rsid w:val="00666C24"/>
    <w:rsid w:val="0066770B"/>
    <w:rsid w:val="0066793A"/>
    <w:rsid w:val="0066793D"/>
    <w:rsid w:val="00667DCA"/>
    <w:rsid w:val="00667DCE"/>
    <w:rsid w:val="0067017C"/>
    <w:rsid w:val="0067051E"/>
    <w:rsid w:val="00670CAB"/>
    <w:rsid w:val="00670E0D"/>
    <w:rsid w:val="0067177B"/>
    <w:rsid w:val="006717B5"/>
    <w:rsid w:val="00671898"/>
    <w:rsid w:val="00671E24"/>
    <w:rsid w:val="006721A4"/>
    <w:rsid w:val="00672B5A"/>
    <w:rsid w:val="00673676"/>
    <w:rsid w:val="00673C0D"/>
    <w:rsid w:val="00673DAF"/>
    <w:rsid w:val="00674430"/>
    <w:rsid w:val="00675F1D"/>
    <w:rsid w:val="00675F39"/>
    <w:rsid w:val="00675F6D"/>
    <w:rsid w:val="006762AB"/>
    <w:rsid w:val="00676358"/>
    <w:rsid w:val="006763CC"/>
    <w:rsid w:val="00676F45"/>
    <w:rsid w:val="00676F9B"/>
    <w:rsid w:val="006775CD"/>
    <w:rsid w:val="00677FAD"/>
    <w:rsid w:val="006805C2"/>
    <w:rsid w:val="00680BB9"/>
    <w:rsid w:val="00680D68"/>
    <w:rsid w:val="00680FAD"/>
    <w:rsid w:val="00681546"/>
    <w:rsid w:val="00681693"/>
    <w:rsid w:val="00681768"/>
    <w:rsid w:val="00681E81"/>
    <w:rsid w:val="00682D46"/>
    <w:rsid w:val="006830A0"/>
    <w:rsid w:val="006830AB"/>
    <w:rsid w:val="006830BB"/>
    <w:rsid w:val="00683420"/>
    <w:rsid w:val="0068390A"/>
    <w:rsid w:val="00683D12"/>
    <w:rsid w:val="00684038"/>
    <w:rsid w:val="006843E3"/>
    <w:rsid w:val="006844DD"/>
    <w:rsid w:val="006844EA"/>
    <w:rsid w:val="006845E9"/>
    <w:rsid w:val="00684FB1"/>
    <w:rsid w:val="00685090"/>
    <w:rsid w:val="00685BA0"/>
    <w:rsid w:val="00686B59"/>
    <w:rsid w:val="00686DEF"/>
    <w:rsid w:val="00686F12"/>
    <w:rsid w:val="00687136"/>
    <w:rsid w:val="00687880"/>
    <w:rsid w:val="0068795D"/>
    <w:rsid w:val="00687DA2"/>
    <w:rsid w:val="00687DA4"/>
    <w:rsid w:val="00690A4B"/>
    <w:rsid w:val="00690FF0"/>
    <w:rsid w:val="00691042"/>
    <w:rsid w:val="006917E1"/>
    <w:rsid w:val="00691EC2"/>
    <w:rsid w:val="00691F38"/>
    <w:rsid w:val="0069228A"/>
    <w:rsid w:val="00692456"/>
    <w:rsid w:val="00692AAC"/>
    <w:rsid w:val="00692B5D"/>
    <w:rsid w:val="00692FB6"/>
    <w:rsid w:val="0069324B"/>
    <w:rsid w:val="006938DD"/>
    <w:rsid w:val="00693A7A"/>
    <w:rsid w:val="00693AAF"/>
    <w:rsid w:val="00694C3D"/>
    <w:rsid w:val="00694D97"/>
    <w:rsid w:val="0069519B"/>
    <w:rsid w:val="006959DE"/>
    <w:rsid w:val="00695BB2"/>
    <w:rsid w:val="0069685E"/>
    <w:rsid w:val="00696910"/>
    <w:rsid w:val="00696B7C"/>
    <w:rsid w:val="00696C16"/>
    <w:rsid w:val="00696C43"/>
    <w:rsid w:val="0069713B"/>
    <w:rsid w:val="00697263"/>
    <w:rsid w:val="00697ABD"/>
    <w:rsid w:val="00697BE0"/>
    <w:rsid w:val="00697D31"/>
    <w:rsid w:val="00697D61"/>
    <w:rsid w:val="006A0C3A"/>
    <w:rsid w:val="006A0D95"/>
    <w:rsid w:val="006A1D35"/>
    <w:rsid w:val="006A296A"/>
    <w:rsid w:val="006A2B97"/>
    <w:rsid w:val="006A2D5A"/>
    <w:rsid w:val="006A2D8B"/>
    <w:rsid w:val="006A2FDB"/>
    <w:rsid w:val="006A30BE"/>
    <w:rsid w:val="006A3340"/>
    <w:rsid w:val="006A33CF"/>
    <w:rsid w:val="006A3632"/>
    <w:rsid w:val="006A392C"/>
    <w:rsid w:val="006A3C61"/>
    <w:rsid w:val="006A3D30"/>
    <w:rsid w:val="006A3E91"/>
    <w:rsid w:val="006A445B"/>
    <w:rsid w:val="006A45A5"/>
    <w:rsid w:val="006A466A"/>
    <w:rsid w:val="006A46E5"/>
    <w:rsid w:val="006A499B"/>
    <w:rsid w:val="006A49C1"/>
    <w:rsid w:val="006A49EB"/>
    <w:rsid w:val="006A52DE"/>
    <w:rsid w:val="006A5C29"/>
    <w:rsid w:val="006A5E42"/>
    <w:rsid w:val="006A62D7"/>
    <w:rsid w:val="006A6828"/>
    <w:rsid w:val="006A6B0C"/>
    <w:rsid w:val="006A6BBD"/>
    <w:rsid w:val="006A6C0E"/>
    <w:rsid w:val="006A6F45"/>
    <w:rsid w:val="006A6F66"/>
    <w:rsid w:val="006A73BA"/>
    <w:rsid w:val="006A784A"/>
    <w:rsid w:val="006A7C8A"/>
    <w:rsid w:val="006A7DB9"/>
    <w:rsid w:val="006A7FB3"/>
    <w:rsid w:val="006B08E8"/>
    <w:rsid w:val="006B0EF6"/>
    <w:rsid w:val="006B1691"/>
    <w:rsid w:val="006B1D2D"/>
    <w:rsid w:val="006B2224"/>
    <w:rsid w:val="006B2240"/>
    <w:rsid w:val="006B2508"/>
    <w:rsid w:val="006B2BBC"/>
    <w:rsid w:val="006B2D07"/>
    <w:rsid w:val="006B3AB1"/>
    <w:rsid w:val="006B3F64"/>
    <w:rsid w:val="006B4212"/>
    <w:rsid w:val="006B435D"/>
    <w:rsid w:val="006B4CB0"/>
    <w:rsid w:val="006B4F66"/>
    <w:rsid w:val="006B5470"/>
    <w:rsid w:val="006B597D"/>
    <w:rsid w:val="006B5A80"/>
    <w:rsid w:val="006B64AD"/>
    <w:rsid w:val="006B6660"/>
    <w:rsid w:val="006B68E3"/>
    <w:rsid w:val="006B6ABB"/>
    <w:rsid w:val="006B6C5D"/>
    <w:rsid w:val="006B7609"/>
    <w:rsid w:val="006B775F"/>
    <w:rsid w:val="006B7BE4"/>
    <w:rsid w:val="006B7DC3"/>
    <w:rsid w:val="006C017A"/>
    <w:rsid w:val="006C017B"/>
    <w:rsid w:val="006C0523"/>
    <w:rsid w:val="006C0701"/>
    <w:rsid w:val="006C105D"/>
    <w:rsid w:val="006C1283"/>
    <w:rsid w:val="006C144C"/>
    <w:rsid w:val="006C16C9"/>
    <w:rsid w:val="006C1CBD"/>
    <w:rsid w:val="006C23B0"/>
    <w:rsid w:val="006C265D"/>
    <w:rsid w:val="006C2F03"/>
    <w:rsid w:val="006C4688"/>
    <w:rsid w:val="006C46B4"/>
    <w:rsid w:val="006C48E1"/>
    <w:rsid w:val="006C492E"/>
    <w:rsid w:val="006C4C43"/>
    <w:rsid w:val="006C4D04"/>
    <w:rsid w:val="006C530F"/>
    <w:rsid w:val="006C54D1"/>
    <w:rsid w:val="006C56B5"/>
    <w:rsid w:val="006C5D6E"/>
    <w:rsid w:val="006C5E63"/>
    <w:rsid w:val="006C6449"/>
    <w:rsid w:val="006C675D"/>
    <w:rsid w:val="006C6E49"/>
    <w:rsid w:val="006C71A3"/>
    <w:rsid w:val="006C7E85"/>
    <w:rsid w:val="006D029D"/>
    <w:rsid w:val="006D0573"/>
    <w:rsid w:val="006D0C5B"/>
    <w:rsid w:val="006D0E2B"/>
    <w:rsid w:val="006D16BC"/>
    <w:rsid w:val="006D184F"/>
    <w:rsid w:val="006D19B4"/>
    <w:rsid w:val="006D1A43"/>
    <w:rsid w:val="006D1BC9"/>
    <w:rsid w:val="006D237E"/>
    <w:rsid w:val="006D3082"/>
    <w:rsid w:val="006D351A"/>
    <w:rsid w:val="006D3675"/>
    <w:rsid w:val="006D376F"/>
    <w:rsid w:val="006D3C69"/>
    <w:rsid w:val="006D4E83"/>
    <w:rsid w:val="006D55DA"/>
    <w:rsid w:val="006D56F4"/>
    <w:rsid w:val="006D5BBD"/>
    <w:rsid w:val="006D680E"/>
    <w:rsid w:val="006D6BD1"/>
    <w:rsid w:val="006D7BEB"/>
    <w:rsid w:val="006D7E27"/>
    <w:rsid w:val="006E0687"/>
    <w:rsid w:val="006E13F5"/>
    <w:rsid w:val="006E1C5D"/>
    <w:rsid w:val="006E2489"/>
    <w:rsid w:val="006E25BB"/>
    <w:rsid w:val="006E2CC8"/>
    <w:rsid w:val="006E30A0"/>
    <w:rsid w:val="006E3219"/>
    <w:rsid w:val="006E32D4"/>
    <w:rsid w:val="006E34EB"/>
    <w:rsid w:val="006E36CB"/>
    <w:rsid w:val="006E375A"/>
    <w:rsid w:val="006E408D"/>
    <w:rsid w:val="006E40B2"/>
    <w:rsid w:val="006E47B4"/>
    <w:rsid w:val="006E4B1B"/>
    <w:rsid w:val="006E50B5"/>
    <w:rsid w:val="006E535A"/>
    <w:rsid w:val="006E5753"/>
    <w:rsid w:val="006E5F01"/>
    <w:rsid w:val="006E6144"/>
    <w:rsid w:val="006E7BE3"/>
    <w:rsid w:val="006F0627"/>
    <w:rsid w:val="006F0ED3"/>
    <w:rsid w:val="006F0F38"/>
    <w:rsid w:val="006F1A66"/>
    <w:rsid w:val="006F1D20"/>
    <w:rsid w:val="006F1E6C"/>
    <w:rsid w:val="006F2168"/>
    <w:rsid w:val="006F25DF"/>
    <w:rsid w:val="006F36A1"/>
    <w:rsid w:val="006F3E45"/>
    <w:rsid w:val="006F4537"/>
    <w:rsid w:val="006F45E9"/>
    <w:rsid w:val="006F49AA"/>
    <w:rsid w:val="006F61A2"/>
    <w:rsid w:val="006F6279"/>
    <w:rsid w:val="006F6754"/>
    <w:rsid w:val="006F67F6"/>
    <w:rsid w:val="006F75FF"/>
    <w:rsid w:val="006F7EF1"/>
    <w:rsid w:val="00701434"/>
    <w:rsid w:val="00701C6A"/>
    <w:rsid w:val="0070272D"/>
    <w:rsid w:val="00702AF9"/>
    <w:rsid w:val="0070343A"/>
    <w:rsid w:val="00703B29"/>
    <w:rsid w:val="00703FBD"/>
    <w:rsid w:val="00704917"/>
    <w:rsid w:val="00704D6A"/>
    <w:rsid w:val="00704E70"/>
    <w:rsid w:val="007051DA"/>
    <w:rsid w:val="00705BBF"/>
    <w:rsid w:val="0070619B"/>
    <w:rsid w:val="00706391"/>
    <w:rsid w:val="00706BAC"/>
    <w:rsid w:val="0070727F"/>
    <w:rsid w:val="0070741D"/>
    <w:rsid w:val="0070748C"/>
    <w:rsid w:val="00707686"/>
    <w:rsid w:val="00707914"/>
    <w:rsid w:val="00707E1B"/>
    <w:rsid w:val="00707FC4"/>
    <w:rsid w:val="007101C4"/>
    <w:rsid w:val="00710BBC"/>
    <w:rsid w:val="00710BFD"/>
    <w:rsid w:val="00711088"/>
    <w:rsid w:val="0071126B"/>
    <w:rsid w:val="00711815"/>
    <w:rsid w:val="00711847"/>
    <w:rsid w:val="007118C6"/>
    <w:rsid w:val="00711CB6"/>
    <w:rsid w:val="00712221"/>
    <w:rsid w:val="00712D14"/>
    <w:rsid w:val="00712F11"/>
    <w:rsid w:val="00713809"/>
    <w:rsid w:val="00713BAE"/>
    <w:rsid w:val="00713D23"/>
    <w:rsid w:val="00713D3C"/>
    <w:rsid w:val="00713D6C"/>
    <w:rsid w:val="00714297"/>
    <w:rsid w:val="007147E0"/>
    <w:rsid w:val="00714D3D"/>
    <w:rsid w:val="00715400"/>
    <w:rsid w:val="0071577B"/>
    <w:rsid w:val="00715D2B"/>
    <w:rsid w:val="00716070"/>
    <w:rsid w:val="007168E0"/>
    <w:rsid w:val="00716CE2"/>
    <w:rsid w:val="007170CA"/>
    <w:rsid w:val="0071743D"/>
    <w:rsid w:val="007179F3"/>
    <w:rsid w:val="00717A3E"/>
    <w:rsid w:val="00717DB1"/>
    <w:rsid w:val="00720435"/>
    <w:rsid w:val="0072046E"/>
    <w:rsid w:val="00720C91"/>
    <w:rsid w:val="00720CA5"/>
    <w:rsid w:val="00720CD6"/>
    <w:rsid w:val="00720E08"/>
    <w:rsid w:val="00720EA9"/>
    <w:rsid w:val="007211D2"/>
    <w:rsid w:val="0072135B"/>
    <w:rsid w:val="00721C0E"/>
    <w:rsid w:val="00721F44"/>
    <w:rsid w:val="007223AF"/>
    <w:rsid w:val="007223EB"/>
    <w:rsid w:val="00722B14"/>
    <w:rsid w:val="0072311C"/>
    <w:rsid w:val="007231A4"/>
    <w:rsid w:val="007242E6"/>
    <w:rsid w:val="00724722"/>
    <w:rsid w:val="007249C2"/>
    <w:rsid w:val="00724AF1"/>
    <w:rsid w:val="00724D45"/>
    <w:rsid w:val="00725705"/>
    <w:rsid w:val="007257D0"/>
    <w:rsid w:val="007259C7"/>
    <w:rsid w:val="007264D6"/>
    <w:rsid w:val="007265BF"/>
    <w:rsid w:val="00726664"/>
    <w:rsid w:val="0072669A"/>
    <w:rsid w:val="007269B2"/>
    <w:rsid w:val="00726C2E"/>
    <w:rsid w:val="0072787E"/>
    <w:rsid w:val="00727CFF"/>
    <w:rsid w:val="00730907"/>
    <w:rsid w:val="00730AD6"/>
    <w:rsid w:val="007311CF"/>
    <w:rsid w:val="00731A26"/>
    <w:rsid w:val="00731B88"/>
    <w:rsid w:val="00731B9B"/>
    <w:rsid w:val="00731D9E"/>
    <w:rsid w:val="0073295B"/>
    <w:rsid w:val="00732FCB"/>
    <w:rsid w:val="0073302D"/>
    <w:rsid w:val="0073408F"/>
    <w:rsid w:val="00734C8B"/>
    <w:rsid w:val="0073531E"/>
    <w:rsid w:val="00735734"/>
    <w:rsid w:val="0073595B"/>
    <w:rsid w:val="00735DA6"/>
    <w:rsid w:val="007363B3"/>
    <w:rsid w:val="007368BC"/>
    <w:rsid w:val="00737010"/>
    <w:rsid w:val="007371C3"/>
    <w:rsid w:val="0073741A"/>
    <w:rsid w:val="007377D4"/>
    <w:rsid w:val="007379B2"/>
    <w:rsid w:val="00737FBF"/>
    <w:rsid w:val="007400FA"/>
    <w:rsid w:val="0074015C"/>
    <w:rsid w:val="0074091B"/>
    <w:rsid w:val="00740990"/>
    <w:rsid w:val="00740EA9"/>
    <w:rsid w:val="007411B3"/>
    <w:rsid w:val="007415DC"/>
    <w:rsid w:val="00741E98"/>
    <w:rsid w:val="00742146"/>
    <w:rsid w:val="0074218B"/>
    <w:rsid w:val="007430F3"/>
    <w:rsid w:val="007436A5"/>
    <w:rsid w:val="007444FE"/>
    <w:rsid w:val="007449D2"/>
    <w:rsid w:val="00744B02"/>
    <w:rsid w:val="00744C57"/>
    <w:rsid w:val="00744CF0"/>
    <w:rsid w:val="00745183"/>
    <w:rsid w:val="007454A2"/>
    <w:rsid w:val="00745844"/>
    <w:rsid w:val="00745C97"/>
    <w:rsid w:val="0074626C"/>
    <w:rsid w:val="007462EA"/>
    <w:rsid w:val="00746ECF"/>
    <w:rsid w:val="007474B5"/>
    <w:rsid w:val="00747B29"/>
    <w:rsid w:val="0075013F"/>
    <w:rsid w:val="0075082F"/>
    <w:rsid w:val="0075107B"/>
    <w:rsid w:val="007520CE"/>
    <w:rsid w:val="00752978"/>
    <w:rsid w:val="00752D5C"/>
    <w:rsid w:val="0075399C"/>
    <w:rsid w:val="00753D5C"/>
    <w:rsid w:val="007541D0"/>
    <w:rsid w:val="007542FC"/>
    <w:rsid w:val="00754C3C"/>
    <w:rsid w:val="00754D5E"/>
    <w:rsid w:val="00754DE9"/>
    <w:rsid w:val="0075536C"/>
    <w:rsid w:val="00755C5C"/>
    <w:rsid w:val="0075661F"/>
    <w:rsid w:val="00756904"/>
    <w:rsid w:val="00756C24"/>
    <w:rsid w:val="00756C7A"/>
    <w:rsid w:val="00757416"/>
    <w:rsid w:val="007577B7"/>
    <w:rsid w:val="00757816"/>
    <w:rsid w:val="00757FCA"/>
    <w:rsid w:val="0076010D"/>
    <w:rsid w:val="0076036C"/>
    <w:rsid w:val="007607AA"/>
    <w:rsid w:val="00760C7C"/>
    <w:rsid w:val="007615D3"/>
    <w:rsid w:val="00761776"/>
    <w:rsid w:val="0076192D"/>
    <w:rsid w:val="00761A57"/>
    <w:rsid w:val="00762032"/>
    <w:rsid w:val="0076241E"/>
    <w:rsid w:val="00762828"/>
    <w:rsid w:val="007629AC"/>
    <w:rsid w:val="007631ED"/>
    <w:rsid w:val="00764FAC"/>
    <w:rsid w:val="007651ED"/>
    <w:rsid w:val="007652FB"/>
    <w:rsid w:val="00765C0D"/>
    <w:rsid w:val="00766090"/>
    <w:rsid w:val="007660E3"/>
    <w:rsid w:val="0076616A"/>
    <w:rsid w:val="0076617E"/>
    <w:rsid w:val="00766472"/>
    <w:rsid w:val="00766670"/>
    <w:rsid w:val="0076684B"/>
    <w:rsid w:val="00766B0C"/>
    <w:rsid w:val="00767499"/>
    <w:rsid w:val="00767FB9"/>
    <w:rsid w:val="00770BBD"/>
    <w:rsid w:val="0077169E"/>
    <w:rsid w:val="00771876"/>
    <w:rsid w:val="00771FD9"/>
    <w:rsid w:val="0077204F"/>
    <w:rsid w:val="00772828"/>
    <w:rsid w:val="0077371D"/>
    <w:rsid w:val="00775091"/>
    <w:rsid w:val="0077514B"/>
    <w:rsid w:val="00775733"/>
    <w:rsid w:val="00775B60"/>
    <w:rsid w:val="00776411"/>
    <w:rsid w:val="007765B5"/>
    <w:rsid w:val="0077709B"/>
    <w:rsid w:val="007771BB"/>
    <w:rsid w:val="00777845"/>
    <w:rsid w:val="00777C17"/>
    <w:rsid w:val="00780313"/>
    <w:rsid w:val="007806BD"/>
    <w:rsid w:val="007807B8"/>
    <w:rsid w:val="00780E75"/>
    <w:rsid w:val="00783626"/>
    <w:rsid w:val="00783B80"/>
    <w:rsid w:val="00783ED3"/>
    <w:rsid w:val="00784B8E"/>
    <w:rsid w:val="00785180"/>
    <w:rsid w:val="0078520E"/>
    <w:rsid w:val="00785428"/>
    <w:rsid w:val="00785846"/>
    <w:rsid w:val="007869EC"/>
    <w:rsid w:val="00786BD4"/>
    <w:rsid w:val="00786E68"/>
    <w:rsid w:val="00786EF1"/>
    <w:rsid w:val="00787997"/>
    <w:rsid w:val="0079015E"/>
    <w:rsid w:val="0079090F"/>
    <w:rsid w:val="00790B75"/>
    <w:rsid w:val="00790E58"/>
    <w:rsid w:val="0079165C"/>
    <w:rsid w:val="00791A68"/>
    <w:rsid w:val="0079209A"/>
    <w:rsid w:val="007923A8"/>
    <w:rsid w:val="007927D6"/>
    <w:rsid w:val="00792B82"/>
    <w:rsid w:val="00792C0E"/>
    <w:rsid w:val="00792E8D"/>
    <w:rsid w:val="007932C9"/>
    <w:rsid w:val="007933EF"/>
    <w:rsid w:val="007936FB"/>
    <w:rsid w:val="007937EA"/>
    <w:rsid w:val="00793CDE"/>
    <w:rsid w:val="007940E4"/>
    <w:rsid w:val="0079418B"/>
    <w:rsid w:val="0079428C"/>
    <w:rsid w:val="00794F31"/>
    <w:rsid w:val="00794FC8"/>
    <w:rsid w:val="007963F6"/>
    <w:rsid w:val="00796626"/>
    <w:rsid w:val="00796696"/>
    <w:rsid w:val="00796FE8"/>
    <w:rsid w:val="0079725B"/>
    <w:rsid w:val="00797899"/>
    <w:rsid w:val="00797B7E"/>
    <w:rsid w:val="00797C0E"/>
    <w:rsid w:val="007A024C"/>
    <w:rsid w:val="007A0404"/>
    <w:rsid w:val="007A0D89"/>
    <w:rsid w:val="007A212D"/>
    <w:rsid w:val="007A31D9"/>
    <w:rsid w:val="007A3841"/>
    <w:rsid w:val="007A386A"/>
    <w:rsid w:val="007A38EA"/>
    <w:rsid w:val="007A3C82"/>
    <w:rsid w:val="007A3DD6"/>
    <w:rsid w:val="007A3ED7"/>
    <w:rsid w:val="007A3F6E"/>
    <w:rsid w:val="007A4354"/>
    <w:rsid w:val="007A450A"/>
    <w:rsid w:val="007A4555"/>
    <w:rsid w:val="007A521C"/>
    <w:rsid w:val="007A5C33"/>
    <w:rsid w:val="007A5CCD"/>
    <w:rsid w:val="007A5E45"/>
    <w:rsid w:val="007A6808"/>
    <w:rsid w:val="007A7280"/>
    <w:rsid w:val="007A743A"/>
    <w:rsid w:val="007A7879"/>
    <w:rsid w:val="007A7C7F"/>
    <w:rsid w:val="007B0A21"/>
    <w:rsid w:val="007B0BF5"/>
    <w:rsid w:val="007B1944"/>
    <w:rsid w:val="007B1AC9"/>
    <w:rsid w:val="007B1E97"/>
    <w:rsid w:val="007B231F"/>
    <w:rsid w:val="007B244E"/>
    <w:rsid w:val="007B36D3"/>
    <w:rsid w:val="007B3801"/>
    <w:rsid w:val="007B4164"/>
    <w:rsid w:val="007B4306"/>
    <w:rsid w:val="007B49D0"/>
    <w:rsid w:val="007B54DB"/>
    <w:rsid w:val="007B5652"/>
    <w:rsid w:val="007B65D0"/>
    <w:rsid w:val="007B6A2B"/>
    <w:rsid w:val="007B6CCB"/>
    <w:rsid w:val="007B7122"/>
    <w:rsid w:val="007B729C"/>
    <w:rsid w:val="007B76A5"/>
    <w:rsid w:val="007B77AF"/>
    <w:rsid w:val="007B78EC"/>
    <w:rsid w:val="007B7E06"/>
    <w:rsid w:val="007B7E7D"/>
    <w:rsid w:val="007B7FA2"/>
    <w:rsid w:val="007C049C"/>
    <w:rsid w:val="007C05FE"/>
    <w:rsid w:val="007C0808"/>
    <w:rsid w:val="007C1081"/>
    <w:rsid w:val="007C12AB"/>
    <w:rsid w:val="007C174A"/>
    <w:rsid w:val="007C1F3C"/>
    <w:rsid w:val="007C23BD"/>
    <w:rsid w:val="007C2664"/>
    <w:rsid w:val="007C29B7"/>
    <w:rsid w:val="007C2B8C"/>
    <w:rsid w:val="007C3384"/>
    <w:rsid w:val="007C383C"/>
    <w:rsid w:val="007C3ABF"/>
    <w:rsid w:val="007C3B04"/>
    <w:rsid w:val="007C3FFB"/>
    <w:rsid w:val="007C4A74"/>
    <w:rsid w:val="007C4B99"/>
    <w:rsid w:val="007C5084"/>
    <w:rsid w:val="007C508F"/>
    <w:rsid w:val="007C5334"/>
    <w:rsid w:val="007C5CB3"/>
    <w:rsid w:val="007C5E60"/>
    <w:rsid w:val="007C6396"/>
    <w:rsid w:val="007C6633"/>
    <w:rsid w:val="007C6A4A"/>
    <w:rsid w:val="007C6C19"/>
    <w:rsid w:val="007C6C8F"/>
    <w:rsid w:val="007C740B"/>
    <w:rsid w:val="007C754F"/>
    <w:rsid w:val="007C798D"/>
    <w:rsid w:val="007C7D1D"/>
    <w:rsid w:val="007C7D41"/>
    <w:rsid w:val="007D0242"/>
    <w:rsid w:val="007D063A"/>
    <w:rsid w:val="007D0BCE"/>
    <w:rsid w:val="007D0FB4"/>
    <w:rsid w:val="007D1348"/>
    <w:rsid w:val="007D1D68"/>
    <w:rsid w:val="007D2338"/>
    <w:rsid w:val="007D28B4"/>
    <w:rsid w:val="007D29D0"/>
    <w:rsid w:val="007D4319"/>
    <w:rsid w:val="007D48C5"/>
    <w:rsid w:val="007D4BE7"/>
    <w:rsid w:val="007D4D28"/>
    <w:rsid w:val="007D5603"/>
    <w:rsid w:val="007D5701"/>
    <w:rsid w:val="007D5A48"/>
    <w:rsid w:val="007D5DB6"/>
    <w:rsid w:val="007D6358"/>
    <w:rsid w:val="007D639E"/>
    <w:rsid w:val="007D6509"/>
    <w:rsid w:val="007D65EC"/>
    <w:rsid w:val="007D6AC3"/>
    <w:rsid w:val="007D70B6"/>
    <w:rsid w:val="007E15D9"/>
    <w:rsid w:val="007E192A"/>
    <w:rsid w:val="007E1A10"/>
    <w:rsid w:val="007E1DF9"/>
    <w:rsid w:val="007E1F83"/>
    <w:rsid w:val="007E2477"/>
    <w:rsid w:val="007E2E4F"/>
    <w:rsid w:val="007E338A"/>
    <w:rsid w:val="007E33B7"/>
    <w:rsid w:val="007E33CC"/>
    <w:rsid w:val="007E34EF"/>
    <w:rsid w:val="007E3E28"/>
    <w:rsid w:val="007E40F9"/>
    <w:rsid w:val="007E46BD"/>
    <w:rsid w:val="007E47D7"/>
    <w:rsid w:val="007E4D5F"/>
    <w:rsid w:val="007E4EAE"/>
    <w:rsid w:val="007E553E"/>
    <w:rsid w:val="007E7124"/>
    <w:rsid w:val="007E741E"/>
    <w:rsid w:val="007E7894"/>
    <w:rsid w:val="007E7BAC"/>
    <w:rsid w:val="007E7ECC"/>
    <w:rsid w:val="007E7FEF"/>
    <w:rsid w:val="007F014B"/>
    <w:rsid w:val="007F0EDD"/>
    <w:rsid w:val="007F0F99"/>
    <w:rsid w:val="007F17EF"/>
    <w:rsid w:val="007F1B87"/>
    <w:rsid w:val="007F21DC"/>
    <w:rsid w:val="007F2269"/>
    <w:rsid w:val="007F296C"/>
    <w:rsid w:val="007F2D7B"/>
    <w:rsid w:val="007F32EA"/>
    <w:rsid w:val="007F36FB"/>
    <w:rsid w:val="007F41C8"/>
    <w:rsid w:val="007F4677"/>
    <w:rsid w:val="007F479A"/>
    <w:rsid w:val="007F502A"/>
    <w:rsid w:val="007F53D7"/>
    <w:rsid w:val="007F5C2D"/>
    <w:rsid w:val="007F61CB"/>
    <w:rsid w:val="007F6384"/>
    <w:rsid w:val="007F6753"/>
    <w:rsid w:val="007F68E8"/>
    <w:rsid w:val="007F6948"/>
    <w:rsid w:val="007F6C9A"/>
    <w:rsid w:val="007F720E"/>
    <w:rsid w:val="007F7A67"/>
    <w:rsid w:val="007F7D26"/>
    <w:rsid w:val="0080004D"/>
    <w:rsid w:val="00800235"/>
    <w:rsid w:val="00800B0C"/>
    <w:rsid w:val="00800B15"/>
    <w:rsid w:val="00800C8B"/>
    <w:rsid w:val="008010FC"/>
    <w:rsid w:val="00801136"/>
    <w:rsid w:val="008012AC"/>
    <w:rsid w:val="00801DBE"/>
    <w:rsid w:val="008026DE"/>
    <w:rsid w:val="00802B2F"/>
    <w:rsid w:val="0080427E"/>
    <w:rsid w:val="008046B9"/>
    <w:rsid w:val="008046EB"/>
    <w:rsid w:val="00804CD0"/>
    <w:rsid w:val="00804DBE"/>
    <w:rsid w:val="00805748"/>
    <w:rsid w:val="0080588E"/>
    <w:rsid w:val="00806329"/>
    <w:rsid w:val="0080651C"/>
    <w:rsid w:val="00806A28"/>
    <w:rsid w:val="00806B9B"/>
    <w:rsid w:val="0080753C"/>
    <w:rsid w:val="008079EA"/>
    <w:rsid w:val="00807B9F"/>
    <w:rsid w:val="008105CF"/>
    <w:rsid w:val="00810B9D"/>
    <w:rsid w:val="00811731"/>
    <w:rsid w:val="00811ABE"/>
    <w:rsid w:val="00811DA8"/>
    <w:rsid w:val="00811FA5"/>
    <w:rsid w:val="00812112"/>
    <w:rsid w:val="00812344"/>
    <w:rsid w:val="008125F4"/>
    <w:rsid w:val="00813255"/>
    <w:rsid w:val="0081330C"/>
    <w:rsid w:val="00813942"/>
    <w:rsid w:val="00813FFA"/>
    <w:rsid w:val="00814116"/>
    <w:rsid w:val="00815CC1"/>
    <w:rsid w:val="00815E91"/>
    <w:rsid w:val="00816252"/>
    <w:rsid w:val="00816605"/>
    <w:rsid w:val="00816725"/>
    <w:rsid w:val="008167EB"/>
    <w:rsid w:val="00816B50"/>
    <w:rsid w:val="0081715A"/>
    <w:rsid w:val="008173B6"/>
    <w:rsid w:val="00817552"/>
    <w:rsid w:val="00817930"/>
    <w:rsid w:val="00817B55"/>
    <w:rsid w:val="00817DD6"/>
    <w:rsid w:val="008201BF"/>
    <w:rsid w:val="0082027D"/>
    <w:rsid w:val="008208B2"/>
    <w:rsid w:val="00820DF8"/>
    <w:rsid w:val="00820EBC"/>
    <w:rsid w:val="00821EF1"/>
    <w:rsid w:val="00822436"/>
    <w:rsid w:val="00822DF4"/>
    <w:rsid w:val="00822ED9"/>
    <w:rsid w:val="0082388F"/>
    <w:rsid w:val="00823C39"/>
    <w:rsid w:val="00825227"/>
    <w:rsid w:val="00825FDA"/>
    <w:rsid w:val="008261A5"/>
    <w:rsid w:val="008263B0"/>
    <w:rsid w:val="00826440"/>
    <w:rsid w:val="00826CC3"/>
    <w:rsid w:val="00826CDD"/>
    <w:rsid w:val="0082736B"/>
    <w:rsid w:val="00827C73"/>
    <w:rsid w:val="00827F23"/>
    <w:rsid w:val="008300F2"/>
    <w:rsid w:val="0083012A"/>
    <w:rsid w:val="00830213"/>
    <w:rsid w:val="00830554"/>
    <w:rsid w:val="00830A19"/>
    <w:rsid w:val="008311D2"/>
    <w:rsid w:val="008316A0"/>
    <w:rsid w:val="00831849"/>
    <w:rsid w:val="00831AA9"/>
    <w:rsid w:val="00831B9A"/>
    <w:rsid w:val="00831DA4"/>
    <w:rsid w:val="008323E4"/>
    <w:rsid w:val="00832A08"/>
    <w:rsid w:val="00833388"/>
    <w:rsid w:val="00833432"/>
    <w:rsid w:val="00833B83"/>
    <w:rsid w:val="00833C7F"/>
    <w:rsid w:val="0083489D"/>
    <w:rsid w:val="008353BB"/>
    <w:rsid w:val="008356DD"/>
    <w:rsid w:val="00835D3F"/>
    <w:rsid w:val="00835DDA"/>
    <w:rsid w:val="00837586"/>
    <w:rsid w:val="0084033C"/>
    <w:rsid w:val="0084067C"/>
    <w:rsid w:val="00840A57"/>
    <w:rsid w:val="00840C4A"/>
    <w:rsid w:val="00840F28"/>
    <w:rsid w:val="00842050"/>
    <w:rsid w:val="008426F1"/>
    <w:rsid w:val="00842AFF"/>
    <w:rsid w:val="00842F00"/>
    <w:rsid w:val="00843009"/>
    <w:rsid w:val="008430E0"/>
    <w:rsid w:val="00843231"/>
    <w:rsid w:val="008433AB"/>
    <w:rsid w:val="0084376A"/>
    <w:rsid w:val="0084430C"/>
    <w:rsid w:val="0084447B"/>
    <w:rsid w:val="008444AF"/>
    <w:rsid w:val="00844AA9"/>
    <w:rsid w:val="00844AC3"/>
    <w:rsid w:val="00844D4D"/>
    <w:rsid w:val="00845C90"/>
    <w:rsid w:val="008468A2"/>
    <w:rsid w:val="008470F8"/>
    <w:rsid w:val="0084731A"/>
    <w:rsid w:val="0084747D"/>
    <w:rsid w:val="008476B0"/>
    <w:rsid w:val="008478FF"/>
    <w:rsid w:val="00847C9C"/>
    <w:rsid w:val="008501CC"/>
    <w:rsid w:val="0085025D"/>
    <w:rsid w:val="00850F6A"/>
    <w:rsid w:val="00851314"/>
    <w:rsid w:val="00851537"/>
    <w:rsid w:val="00852D85"/>
    <w:rsid w:val="00852DB0"/>
    <w:rsid w:val="00852E43"/>
    <w:rsid w:val="00853091"/>
    <w:rsid w:val="008531CD"/>
    <w:rsid w:val="00853640"/>
    <w:rsid w:val="0085401E"/>
    <w:rsid w:val="008540B5"/>
    <w:rsid w:val="00854614"/>
    <w:rsid w:val="0085471E"/>
    <w:rsid w:val="0085502E"/>
    <w:rsid w:val="008552FE"/>
    <w:rsid w:val="00855689"/>
    <w:rsid w:val="00855847"/>
    <w:rsid w:val="00855B64"/>
    <w:rsid w:val="00856107"/>
    <w:rsid w:val="00856683"/>
    <w:rsid w:val="00856E98"/>
    <w:rsid w:val="008572B1"/>
    <w:rsid w:val="0085748F"/>
    <w:rsid w:val="008574EC"/>
    <w:rsid w:val="00857847"/>
    <w:rsid w:val="008579CD"/>
    <w:rsid w:val="00857A2D"/>
    <w:rsid w:val="00857CFF"/>
    <w:rsid w:val="00857E05"/>
    <w:rsid w:val="00860052"/>
    <w:rsid w:val="0086047F"/>
    <w:rsid w:val="008604AC"/>
    <w:rsid w:val="0086053B"/>
    <w:rsid w:val="00860571"/>
    <w:rsid w:val="00860AB6"/>
    <w:rsid w:val="0086143F"/>
    <w:rsid w:val="0086171B"/>
    <w:rsid w:val="00861826"/>
    <w:rsid w:val="00862607"/>
    <w:rsid w:val="00863304"/>
    <w:rsid w:val="00863EF7"/>
    <w:rsid w:val="00863F37"/>
    <w:rsid w:val="00864A5B"/>
    <w:rsid w:val="00865BA2"/>
    <w:rsid w:val="0086636D"/>
    <w:rsid w:val="00866E56"/>
    <w:rsid w:val="00867BC7"/>
    <w:rsid w:val="008703EA"/>
    <w:rsid w:val="008705C0"/>
    <w:rsid w:val="00870BA0"/>
    <w:rsid w:val="00870BE4"/>
    <w:rsid w:val="008716ED"/>
    <w:rsid w:val="0087170E"/>
    <w:rsid w:val="00871AC6"/>
    <w:rsid w:val="00871C7A"/>
    <w:rsid w:val="008730D4"/>
    <w:rsid w:val="00873275"/>
    <w:rsid w:val="0087343E"/>
    <w:rsid w:val="00873EB9"/>
    <w:rsid w:val="00873F0A"/>
    <w:rsid w:val="00875D2E"/>
    <w:rsid w:val="00875F07"/>
    <w:rsid w:val="008767C3"/>
    <w:rsid w:val="0087748A"/>
    <w:rsid w:val="0087764B"/>
    <w:rsid w:val="00877E6D"/>
    <w:rsid w:val="00877F45"/>
    <w:rsid w:val="00880A75"/>
    <w:rsid w:val="00880E3C"/>
    <w:rsid w:val="00880FA8"/>
    <w:rsid w:val="008813D6"/>
    <w:rsid w:val="00881A43"/>
    <w:rsid w:val="008824B1"/>
    <w:rsid w:val="0088251B"/>
    <w:rsid w:val="008825EC"/>
    <w:rsid w:val="00882D0D"/>
    <w:rsid w:val="00882F2F"/>
    <w:rsid w:val="00883F8B"/>
    <w:rsid w:val="0088434E"/>
    <w:rsid w:val="008843D6"/>
    <w:rsid w:val="0088479E"/>
    <w:rsid w:val="008847A9"/>
    <w:rsid w:val="0088485A"/>
    <w:rsid w:val="00885204"/>
    <w:rsid w:val="00885B2F"/>
    <w:rsid w:val="008860CE"/>
    <w:rsid w:val="008864E2"/>
    <w:rsid w:val="0088734C"/>
    <w:rsid w:val="00887DBE"/>
    <w:rsid w:val="00887FFC"/>
    <w:rsid w:val="008911E3"/>
    <w:rsid w:val="0089173B"/>
    <w:rsid w:val="00891D1A"/>
    <w:rsid w:val="00892504"/>
    <w:rsid w:val="008925B3"/>
    <w:rsid w:val="0089280B"/>
    <w:rsid w:val="00893040"/>
    <w:rsid w:val="008933EA"/>
    <w:rsid w:val="00893498"/>
    <w:rsid w:val="008935ED"/>
    <w:rsid w:val="00894769"/>
    <w:rsid w:val="00894BF7"/>
    <w:rsid w:val="008952A1"/>
    <w:rsid w:val="00895A81"/>
    <w:rsid w:val="00895DB3"/>
    <w:rsid w:val="008964B8"/>
    <w:rsid w:val="008968C5"/>
    <w:rsid w:val="0089696F"/>
    <w:rsid w:val="00896BAB"/>
    <w:rsid w:val="008A0373"/>
    <w:rsid w:val="008A08BB"/>
    <w:rsid w:val="008A0926"/>
    <w:rsid w:val="008A129A"/>
    <w:rsid w:val="008A1426"/>
    <w:rsid w:val="008A154B"/>
    <w:rsid w:val="008A198F"/>
    <w:rsid w:val="008A28D7"/>
    <w:rsid w:val="008A2F1D"/>
    <w:rsid w:val="008A3868"/>
    <w:rsid w:val="008A41C4"/>
    <w:rsid w:val="008A426D"/>
    <w:rsid w:val="008A429D"/>
    <w:rsid w:val="008A42FF"/>
    <w:rsid w:val="008A43F1"/>
    <w:rsid w:val="008A4419"/>
    <w:rsid w:val="008A478C"/>
    <w:rsid w:val="008A4835"/>
    <w:rsid w:val="008A4ABB"/>
    <w:rsid w:val="008A519E"/>
    <w:rsid w:val="008A5918"/>
    <w:rsid w:val="008A5BB8"/>
    <w:rsid w:val="008A5CCA"/>
    <w:rsid w:val="008A5EF8"/>
    <w:rsid w:val="008A695E"/>
    <w:rsid w:val="008A71DB"/>
    <w:rsid w:val="008A733C"/>
    <w:rsid w:val="008B0432"/>
    <w:rsid w:val="008B1487"/>
    <w:rsid w:val="008B255F"/>
    <w:rsid w:val="008B2891"/>
    <w:rsid w:val="008B315F"/>
    <w:rsid w:val="008B4132"/>
    <w:rsid w:val="008B430D"/>
    <w:rsid w:val="008B45D1"/>
    <w:rsid w:val="008B4726"/>
    <w:rsid w:val="008B4845"/>
    <w:rsid w:val="008B5D57"/>
    <w:rsid w:val="008B6322"/>
    <w:rsid w:val="008B635A"/>
    <w:rsid w:val="008B6BE4"/>
    <w:rsid w:val="008B6D6B"/>
    <w:rsid w:val="008B70D5"/>
    <w:rsid w:val="008B72F5"/>
    <w:rsid w:val="008B7515"/>
    <w:rsid w:val="008B7D38"/>
    <w:rsid w:val="008B7FFB"/>
    <w:rsid w:val="008C024C"/>
    <w:rsid w:val="008C02C7"/>
    <w:rsid w:val="008C0404"/>
    <w:rsid w:val="008C08FC"/>
    <w:rsid w:val="008C147C"/>
    <w:rsid w:val="008C171D"/>
    <w:rsid w:val="008C189F"/>
    <w:rsid w:val="008C1CD9"/>
    <w:rsid w:val="008C23B1"/>
    <w:rsid w:val="008C27A6"/>
    <w:rsid w:val="008C348B"/>
    <w:rsid w:val="008C4A96"/>
    <w:rsid w:val="008C4B1E"/>
    <w:rsid w:val="008C5078"/>
    <w:rsid w:val="008C50F7"/>
    <w:rsid w:val="008C5478"/>
    <w:rsid w:val="008C54FE"/>
    <w:rsid w:val="008C5667"/>
    <w:rsid w:val="008C585C"/>
    <w:rsid w:val="008C6120"/>
    <w:rsid w:val="008C62F5"/>
    <w:rsid w:val="008C6F7C"/>
    <w:rsid w:val="008C742F"/>
    <w:rsid w:val="008C77C9"/>
    <w:rsid w:val="008C77D9"/>
    <w:rsid w:val="008C7F57"/>
    <w:rsid w:val="008D0507"/>
    <w:rsid w:val="008D092F"/>
    <w:rsid w:val="008D142C"/>
    <w:rsid w:val="008D17DB"/>
    <w:rsid w:val="008D19EF"/>
    <w:rsid w:val="008D1D00"/>
    <w:rsid w:val="008D28BD"/>
    <w:rsid w:val="008D31F8"/>
    <w:rsid w:val="008D3CB9"/>
    <w:rsid w:val="008D3F02"/>
    <w:rsid w:val="008D4273"/>
    <w:rsid w:val="008D43B5"/>
    <w:rsid w:val="008D6220"/>
    <w:rsid w:val="008D6EF3"/>
    <w:rsid w:val="008D74B5"/>
    <w:rsid w:val="008D7BA8"/>
    <w:rsid w:val="008D7C83"/>
    <w:rsid w:val="008E08E7"/>
    <w:rsid w:val="008E0ADD"/>
    <w:rsid w:val="008E0EEF"/>
    <w:rsid w:val="008E114F"/>
    <w:rsid w:val="008E13E5"/>
    <w:rsid w:val="008E158B"/>
    <w:rsid w:val="008E16BD"/>
    <w:rsid w:val="008E1EFA"/>
    <w:rsid w:val="008E2291"/>
    <w:rsid w:val="008E2365"/>
    <w:rsid w:val="008E276D"/>
    <w:rsid w:val="008E2E54"/>
    <w:rsid w:val="008E2E85"/>
    <w:rsid w:val="008E3830"/>
    <w:rsid w:val="008E3A54"/>
    <w:rsid w:val="008E4183"/>
    <w:rsid w:val="008E418C"/>
    <w:rsid w:val="008E437C"/>
    <w:rsid w:val="008E465F"/>
    <w:rsid w:val="008E4F34"/>
    <w:rsid w:val="008E50B1"/>
    <w:rsid w:val="008E5653"/>
    <w:rsid w:val="008E56A5"/>
    <w:rsid w:val="008E57E7"/>
    <w:rsid w:val="008E5AE7"/>
    <w:rsid w:val="008E5C2F"/>
    <w:rsid w:val="008E62EE"/>
    <w:rsid w:val="008E7603"/>
    <w:rsid w:val="008E7DC3"/>
    <w:rsid w:val="008F06A9"/>
    <w:rsid w:val="008F076A"/>
    <w:rsid w:val="008F0EC4"/>
    <w:rsid w:val="008F1379"/>
    <w:rsid w:val="008F153B"/>
    <w:rsid w:val="008F1734"/>
    <w:rsid w:val="008F1D01"/>
    <w:rsid w:val="008F1E0E"/>
    <w:rsid w:val="008F2224"/>
    <w:rsid w:val="008F265A"/>
    <w:rsid w:val="008F2778"/>
    <w:rsid w:val="008F2BEC"/>
    <w:rsid w:val="008F2EFD"/>
    <w:rsid w:val="008F2F27"/>
    <w:rsid w:val="008F2FA9"/>
    <w:rsid w:val="008F351D"/>
    <w:rsid w:val="008F3882"/>
    <w:rsid w:val="008F457F"/>
    <w:rsid w:val="008F4853"/>
    <w:rsid w:val="008F4AFC"/>
    <w:rsid w:val="008F4E2C"/>
    <w:rsid w:val="008F4F22"/>
    <w:rsid w:val="008F4F4B"/>
    <w:rsid w:val="008F514B"/>
    <w:rsid w:val="008F575C"/>
    <w:rsid w:val="008F5BC3"/>
    <w:rsid w:val="008F5E75"/>
    <w:rsid w:val="008F624A"/>
    <w:rsid w:val="008F6611"/>
    <w:rsid w:val="008F6987"/>
    <w:rsid w:val="008F6ECE"/>
    <w:rsid w:val="008F7331"/>
    <w:rsid w:val="008F76C4"/>
    <w:rsid w:val="0090020B"/>
    <w:rsid w:val="00900809"/>
    <w:rsid w:val="00900CC4"/>
    <w:rsid w:val="009014BE"/>
    <w:rsid w:val="0090152F"/>
    <w:rsid w:val="00901631"/>
    <w:rsid w:val="009025FC"/>
    <w:rsid w:val="00902727"/>
    <w:rsid w:val="00902825"/>
    <w:rsid w:val="00902FB0"/>
    <w:rsid w:val="00904051"/>
    <w:rsid w:val="0090461C"/>
    <w:rsid w:val="00904B46"/>
    <w:rsid w:val="009051FA"/>
    <w:rsid w:val="009055BE"/>
    <w:rsid w:val="00906FE6"/>
    <w:rsid w:val="0090798E"/>
    <w:rsid w:val="00907D11"/>
    <w:rsid w:val="009104AD"/>
    <w:rsid w:val="0091053D"/>
    <w:rsid w:val="00910576"/>
    <w:rsid w:val="00910671"/>
    <w:rsid w:val="00911050"/>
    <w:rsid w:val="009115B6"/>
    <w:rsid w:val="00912120"/>
    <w:rsid w:val="009121DB"/>
    <w:rsid w:val="00912384"/>
    <w:rsid w:val="0091275F"/>
    <w:rsid w:val="00912BC2"/>
    <w:rsid w:val="00912F09"/>
    <w:rsid w:val="00913461"/>
    <w:rsid w:val="0091359C"/>
    <w:rsid w:val="009137D8"/>
    <w:rsid w:val="0091436F"/>
    <w:rsid w:val="00914559"/>
    <w:rsid w:val="009149F7"/>
    <w:rsid w:val="00915906"/>
    <w:rsid w:val="00915B84"/>
    <w:rsid w:val="00915F10"/>
    <w:rsid w:val="00916679"/>
    <w:rsid w:val="00916783"/>
    <w:rsid w:val="009172D7"/>
    <w:rsid w:val="009179F8"/>
    <w:rsid w:val="00917D57"/>
    <w:rsid w:val="00917E19"/>
    <w:rsid w:val="00920BFD"/>
    <w:rsid w:val="009220C6"/>
    <w:rsid w:val="00922457"/>
    <w:rsid w:val="009227F1"/>
    <w:rsid w:val="00923DAB"/>
    <w:rsid w:val="00923E90"/>
    <w:rsid w:val="009243E9"/>
    <w:rsid w:val="009249BE"/>
    <w:rsid w:val="00924BF9"/>
    <w:rsid w:val="00925EA1"/>
    <w:rsid w:val="00925F0B"/>
    <w:rsid w:val="00926892"/>
    <w:rsid w:val="00926AB2"/>
    <w:rsid w:val="009272D7"/>
    <w:rsid w:val="009273C2"/>
    <w:rsid w:val="00927412"/>
    <w:rsid w:val="00927AFD"/>
    <w:rsid w:val="00930995"/>
    <w:rsid w:val="00930BC0"/>
    <w:rsid w:val="00930C93"/>
    <w:rsid w:val="00930D9C"/>
    <w:rsid w:val="00930DB3"/>
    <w:rsid w:val="009322D6"/>
    <w:rsid w:val="0093294A"/>
    <w:rsid w:val="00932F3F"/>
    <w:rsid w:val="009330FA"/>
    <w:rsid w:val="009335EC"/>
    <w:rsid w:val="00934724"/>
    <w:rsid w:val="00934887"/>
    <w:rsid w:val="0093563F"/>
    <w:rsid w:val="009365CA"/>
    <w:rsid w:val="00936D06"/>
    <w:rsid w:val="00937C28"/>
    <w:rsid w:val="0094043D"/>
    <w:rsid w:val="009404EC"/>
    <w:rsid w:val="00940B17"/>
    <w:rsid w:val="0094167F"/>
    <w:rsid w:val="00941B89"/>
    <w:rsid w:val="00941CA0"/>
    <w:rsid w:val="00941F16"/>
    <w:rsid w:val="0094260F"/>
    <w:rsid w:val="009434A3"/>
    <w:rsid w:val="00944078"/>
    <w:rsid w:val="0094499E"/>
    <w:rsid w:val="009458E5"/>
    <w:rsid w:val="00945B81"/>
    <w:rsid w:val="0094657E"/>
    <w:rsid w:val="00946685"/>
    <w:rsid w:val="009467AB"/>
    <w:rsid w:val="009467CF"/>
    <w:rsid w:val="009467D3"/>
    <w:rsid w:val="00946CA8"/>
    <w:rsid w:val="00946FF6"/>
    <w:rsid w:val="009474DB"/>
    <w:rsid w:val="009477C6"/>
    <w:rsid w:val="009501C0"/>
    <w:rsid w:val="00950271"/>
    <w:rsid w:val="009509C9"/>
    <w:rsid w:val="009510C5"/>
    <w:rsid w:val="009510DB"/>
    <w:rsid w:val="009514BF"/>
    <w:rsid w:val="00951A81"/>
    <w:rsid w:val="0095207B"/>
    <w:rsid w:val="0095258E"/>
    <w:rsid w:val="009526BE"/>
    <w:rsid w:val="00952715"/>
    <w:rsid w:val="00952F47"/>
    <w:rsid w:val="00953FA8"/>
    <w:rsid w:val="009540F9"/>
    <w:rsid w:val="00954B3C"/>
    <w:rsid w:val="00955221"/>
    <w:rsid w:val="0095535C"/>
    <w:rsid w:val="00955497"/>
    <w:rsid w:val="009562BD"/>
    <w:rsid w:val="0095640F"/>
    <w:rsid w:val="00956468"/>
    <w:rsid w:val="00956867"/>
    <w:rsid w:val="00957445"/>
    <w:rsid w:val="009575F7"/>
    <w:rsid w:val="00957846"/>
    <w:rsid w:val="00957EBE"/>
    <w:rsid w:val="00960BF7"/>
    <w:rsid w:val="00961A12"/>
    <w:rsid w:val="00961C6D"/>
    <w:rsid w:val="009625DF"/>
    <w:rsid w:val="00962B52"/>
    <w:rsid w:val="00962B8D"/>
    <w:rsid w:val="00962D08"/>
    <w:rsid w:val="0096368A"/>
    <w:rsid w:val="00963CAD"/>
    <w:rsid w:val="0096486C"/>
    <w:rsid w:val="0096644F"/>
    <w:rsid w:val="009666D3"/>
    <w:rsid w:val="009669D1"/>
    <w:rsid w:val="00966CC7"/>
    <w:rsid w:val="00966EF3"/>
    <w:rsid w:val="009670FF"/>
    <w:rsid w:val="00967596"/>
    <w:rsid w:val="009706C3"/>
    <w:rsid w:val="0097076C"/>
    <w:rsid w:val="00970D64"/>
    <w:rsid w:val="00971340"/>
    <w:rsid w:val="00971A6B"/>
    <w:rsid w:val="00971FFA"/>
    <w:rsid w:val="00972140"/>
    <w:rsid w:val="009724B7"/>
    <w:rsid w:val="00972E56"/>
    <w:rsid w:val="00973562"/>
    <w:rsid w:val="009747D9"/>
    <w:rsid w:val="0097499E"/>
    <w:rsid w:val="00974CB7"/>
    <w:rsid w:val="00975095"/>
    <w:rsid w:val="0097577A"/>
    <w:rsid w:val="00975908"/>
    <w:rsid w:val="00975D8F"/>
    <w:rsid w:val="00975F4A"/>
    <w:rsid w:val="00975F88"/>
    <w:rsid w:val="00976959"/>
    <w:rsid w:val="009769B8"/>
    <w:rsid w:val="00976B4F"/>
    <w:rsid w:val="00976C52"/>
    <w:rsid w:val="00976F88"/>
    <w:rsid w:val="0097739F"/>
    <w:rsid w:val="0097780F"/>
    <w:rsid w:val="00977C68"/>
    <w:rsid w:val="00977CD6"/>
    <w:rsid w:val="00977EC0"/>
    <w:rsid w:val="009805E2"/>
    <w:rsid w:val="009817B8"/>
    <w:rsid w:val="00981B86"/>
    <w:rsid w:val="009822BA"/>
    <w:rsid w:val="0098235B"/>
    <w:rsid w:val="00982549"/>
    <w:rsid w:val="00982946"/>
    <w:rsid w:val="00983C63"/>
    <w:rsid w:val="00984080"/>
    <w:rsid w:val="00984AF0"/>
    <w:rsid w:val="00984C90"/>
    <w:rsid w:val="00985543"/>
    <w:rsid w:val="009867A3"/>
    <w:rsid w:val="00986D3C"/>
    <w:rsid w:val="009877AB"/>
    <w:rsid w:val="009877D1"/>
    <w:rsid w:val="00987F27"/>
    <w:rsid w:val="009900F8"/>
    <w:rsid w:val="00990885"/>
    <w:rsid w:val="00990DD2"/>
    <w:rsid w:val="00990E84"/>
    <w:rsid w:val="00991037"/>
    <w:rsid w:val="009912F6"/>
    <w:rsid w:val="00991667"/>
    <w:rsid w:val="00991770"/>
    <w:rsid w:val="00991782"/>
    <w:rsid w:val="00991C70"/>
    <w:rsid w:val="00991C7F"/>
    <w:rsid w:val="00991CE5"/>
    <w:rsid w:val="00993358"/>
    <w:rsid w:val="00993AAC"/>
    <w:rsid w:val="0099409E"/>
    <w:rsid w:val="00994153"/>
    <w:rsid w:val="009941F9"/>
    <w:rsid w:val="009942CE"/>
    <w:rsid w:val="00994F68"/>
    <w:rsid w:val="00994F86"/>
    <w:rsid w:val="009952AA"/>
    <w:rsid w:val="009954F0"/>
    <w:rsid w:val="0099578D"/>
    <w:rsid w:val="00995B85"/>
    <w:rsid w:val="00996ADC"/>
    <w:rsid w:val="00996CC4"/>
    <w:rsid w:val="00997232"/>
    <w:rsid w:val="0099734B"/>
    <w:rsid w:val="009974F0"/>
    <w:rsid w:val="009974F2"/>
    <w:rsid w:val="009A0520"/>
    <w:rsid w:val="009A0D25"/>
    <w:rsid w:val="009A19FE"/>
    <w:rsid w:val="009A1A75"/>
    <w:rsid w:val="009A1A7B"/>
    <w:rsid w:val="009A1B1F"/>
    <w:rsid w:val="009A217A"/>
    <w:rsid w:val="009A231C"/>
    <w:rsid w:val="009A2C32"/>
    <w:rsid w:val="009A37EC"/>
    <w:rsid w:val="009A3E73"/>
    <w:rsid w:val="009A3E7D"/>
    <w:rsid w:val="009A4362"/>
    <w:rsid w:val="009A4C92"/>
    <w:rsid w:val="009A4D6E"/>
    <w:rsid w:val="009A51A0"/>
    <w:rsid w:val="009A51FB"/>
    <w:rsid w:val="009A568D"/>
    <w:rsid w:val="009A5C06"/>
    <w:rsid w:val="009A66FC"/>
    <w:rsid w:val="009A705A"/>
    <w:rsid w:val="009A718A"/>
    <w:rsid w:val="009A7A03"/>
    <w:rsid w:val="009A7BB7"/>
    <w:rsid w:val="009A7C58"/>
    <w:rsid w:val="009B0027"/>
    <w:rsid w:val="009B09C9"/>
    <w:rsid w:val="009B1019"/>
    <w:rsid w:val="009B1313"/>
    <w:rsid w:val="009B1319"/>
    <w:rsid w:val="009B1397"/>
    <w:rsid w:val="009B15CF"/>
    <w:rsid w:val="009B29AC"/>
    <w:rsid w:val="009B2DC1"/>
    <w:rsid w:val="009B2ED1"/>
    <w:rsid w:val="009B2FE5"/>
    <w:rsid w:val="009B349B"/>
    <w:rsid w:val="009B3935"/>
    <w:rsid w:val="009B3C2B"/>
    <w:rsid w:val="009B45E3"/>
    <w:rsid w:val="009B4F14"/>
    <w:rsid w:val="009B5520"/>
    <w:rsid w:val="009B5E1F"/>
    <w:rsid w:val="009B6627"/>
    <w:rsid w:val="009B67A6"/>
    <w:rsid w:val="009B69D5"/>
    <w:rsid w:val="009B6AD0"/>
    <w:rsid w:val="009B6D6F"/>
    <w:rsid w:val="009B6F0E"/>
    <w:rsid w:val="009B70C6"/>
    <w:rsid w:val="009B77A3"/>
    <w:rsid w:val="009B79FA"/>
    <w:rsid w:val="009C0090"/>
    <w:rsid w:val="009C00A1"/>
    <w:rsid w:val="009C0197"/>
    <w:rsid w:val="009C068F"/>
    <w:rsid w:val="009C06C8"/>
    <w:rsid w:val="009C11BB"/>
    <w:rsid w:val="009C135F"/>
    <w:rsid w:val="009C1697"/>
    <w:rsid w:val="009C223B"/>
    <w:rsid w:val="009C2B7B"/>
    <w:rsid w:val="009C3333"/>
    <w:rsid w:val="009C3F34"/>
    <w:rsid w:val="009C4817"/>
    <w:rsid w:val="009C48AE"/>
    <w:rsid w:val="009C493A"/>
    <w:rsid w:val="009C5824"/>
    <w:rsid w:val="009C5B23"/>
    <w:rsid w:val="009C657B"/>
    <w:rsid w:val="009C6886"/>
    <w:rsid w:val="009C69A5"/>
    <w:rsid w:val="009C6BA8"/>
    <w:rsid w:val="009C6F16"/>
    <w:rsid w:val="009C7692"/>
    <w:rsid w:val="009D01B5"/>
    <w:rsid w:val="009D0287"/>
    <w:rsid w:val="009D0730"/>
    <w:rsid w:val="009D0852"/>
    <w:rsid w:val="009D08C2"/>
    <w:rsid w:val="009D0CFE"/>
    <w:rsid w:val="009D0FF3"/>
    <w:rsid w:val="009D1171"/>
    <w:rsid w:val="009D144C"/>
    <w:rsid w:val="009D1ECE"/>
    <w:rsid w:val="009D223B"/>
    <w:rsid w:val="009D2302"/>
    <w:rsid w:val="009D2960"/>
    <w:rsid w:val="009D2AEA"/>
    <w:rsid w:val="009D2F68"/>
    <w:rsid w:val="009D3B6D"/>
    <w:rsid w:val="009D3F4B"/>
    <w:rsid w:val="009D4538"/>
    <w:rsid w:val="009D511F"/>
    <w:rsid w:val="009D5DBA"/>
    <w:rsid w:val="009D5EB6"/>
    <w:rsid w:val="009D6464"/>
    <w:rsid w:val="009D6AA1"/>
    <w:rsid w:val="009D6DDB"/>
    <w:rsid w:val="009D6F3D"/>
    <w:rsid w:val="009D7C0A"/>
    <w:rsid w:val="009D7C6B"/>
    <w:rsid w:val="009D7C70"/>
    <w:rsid w:val="009D7E19"/>
    <w:rsid w:val="009D7E3A"/>
    <w:rsid w:val="009E002A"/>
    <w:rsid w:val="009E0605"/>
    <w:rsid w:val="009E075C"/>
    <w:rsid w:val="009E0B76"/>
    <w:rsid w:val="009E0C63"/>
    <w:rsid w:val="009E0DD4"/>
    <w:rsid w:val="009E101C"/>
    <w:rsid w:val="009E1892"/>
    <w:rsid w:val="009E1D8A"/>
    <w:rsid w:val="009E22D8"/>
    <w:rsid w:val="009E3029"/>
    <w:rsid w:val="009E33DF"/>
    <w:rsid w:val="009E3AA5"/>
    <w:rsid w:val="009E427A"/>
    <w:rsid w:val="009E460B"/>
    <w:rsid w:val="009E48F5"/>
    <w:rsid w:val="009E5562"/>
    <w:rsid w:val="009E557C"/>
    <w:rsid w:val="009E5C78"/>
    <w:rsid w:val="009E5C7C"/>
    <w:rsid w:val="009E5DAA"/>
    <w:rsid w:val="009E5E2F"/>
    <w:rsid w:val="009E62FD"/>
    <w:rsid w:val="009E680A"/>
    <w:rsid w:val="009E6E71"/>
    <w:rsid w:val="009E743D"/>
    <w:rsid w:val="009E7595"/>
    <w:rsid w:val="009E7B21"/>
    <w:rsid w:val="009F02BB"/>
    <w:rsid w:val="009F0819"/>
    <w:rsid w:val="009F085E"/>
    <w:rsid w:val="009F09A4"/>
    <w:rsid w:val="009F1990"/>
    <w:rsid w:val="009F1CA7"/>
    <w:rsid w:val="009F27DA"/>
    <w:rsid w:val="009F2A73"/>
    <w:rsid w:val="009F2B39"/>
    <w:rsid w:val="009F3274"/>
    <w:rsid w:val="009F3525"/>
    <w:rsid w:val="009F3B1A"/>
    <w:rsid w:val="009F4001"/>
    <w:rsid w:val="009F4400"/>
    <w:rsid w:val="009F488C"/>
    <w:rsid w:val="009F4D7F"/>
    <w:rsid w:val="009F518F"/>
    <w:rsid w:val="009F53EE"/>
    <w:rsid w:val="009F5C48"/>
    <w:rsid w:val="009F615D"/>
    <w:rsid w:val="009F6666"/>
    <w:rsid w:val="009F66EA"/>
    <w:rsid w:val="009F6BB7"/>
    <w:rsid w:val="009F70B4"/>
    <w:rsid w:val="009F7BEA"/>
    <w:rsid w:val="00A009CE"/>
    <w:rsid w:val="00A00BC4"/>
    <w:rsid w:val="00A011F1"/>
    <w:rsid w:val="00A01C23"/>
    <w:rsid w:val="00A01EC1"/>
    <w:rsid w:val="00A02021"/>
    <w:rsid w:val="00A02160"/>
    <w:rsid w:val="00A02FEC"/>
    <w:rsid w:val="00A0339E"/>
    <w:rsid w:val="00A03FB0"/>
    <w:rsid w:val="00A0429A"/>
    <w:rsid w:val="00A042EA"/>
    <w:rsid w:val="00A05016"/>
    <w:rsid w:val="00A051CC"/>
    <w:rsid w:val="00A05961"/>
    <w:rsid w:val="00A062EF"/>
    <w:rsid w:val="00A06654"/>
    <w:rsid w:val="00A06CF0"/>
    <w:rsid w:val="00A06D96"/>
    <w:rsid w:val="00A072FB"/>
    <w:rsid w:val="00A07980"/>
    <w:rsid w:val="00A07CCD"/>
    <w:rsid w:val="00A108D7"/>
    <w:rsid w:val="00A11096"/>
    <w:rsid w:val="00A11207"/>
    <w:rsid w:val="00A11D6A"/>
    <w:rsid w:val="00A1226E"/>
    <w:rsid w:val="00A12512"/>
    <w:rsid w:val="00A12DFC"/>
    <w:rsid w:val="00A13032"/>
    <w:rsid w:val="00A13C52"/>
    <w:rsid w:val="00A14AB2"/>
    <w:rsid w:val="00A14B33"/>
    <w:rsid w:val="00A14D54"/>
    <w:rsid w:val="00A14EB5"/>
    <w:rsid w:val="00A14F86"/>
    <w:rsid w:val="00A1555C"/>
    <w:rsid w:val="00A15E1A"/>
    <w:rsid w:val="00A15F3E"/>
    <w:rsid w:val="00A16A8D"/>
    <w:rsid w:val="00A17314"/>
    <w:rsid w:val="00A174BA"/>
    <w:rsid w:val="00A17790"/>
    <w:rsid w:val="00A202F1"/>
    <w:rsid w:val="00A21368"/>
    <w:rsid w:val="00A21686"/>
    <w:rsid w:val="00A21829"/>
    <w:rsid w:val="00A2184C"/>
    <w:rsid w:val="00A2195B"/>
    <w:rsid w:val="00A21F7A"/>
    <w:rsid w:val="00A225D1"/>
    <w:rsid w:val="00A22671"/>
    <w:rsid w:val="00A22788"/>
    <w:rsid w:val="00A22A6D"/>
    <w:rsid w:val="00A22D98"/>
    <w:rsid w:val="00A22E5C"/>
    <w:rsid w:val="00A23233"/>
    <w:rsid w:val="00A23C55"/>
    <w:rsid w:val="00A23DA6"/>
    <w:rsid w:val="00A241A0"/>
    <w:rsid w:val="00A244E1"/>
    <w:rsid w:val="00A24B2D"/>
    <w:rsid w:val="00A25286"/>
    <w:rsid w:val="00A253B7"/>
    <w:rsid w:val="00A25700"/>
    <w:rsid w:val="00A268F7"/>
    <w:rsid w:val="00A26989"/>
    <w:rsid w:val="00A26A37"/>
    <w:rsid w:val="00A26DE8"/>
    <w:rsid w:val="00A27AC0"/>
    <w:rsid w:val="00A27C67"/>
    <w:rsid w:val="00A27D90"/>
    <w:rsid w:val="00A27EC0"/>
    <w:rsid w:val="00A27F46"/>
    <w:rsid w:val="00A30AD0"/>
    <w:rsid w:val="00A30C31"/>
    <w:rsid w:val="00A30EFA"/>
    <w:rsid w:val="00A3105B"/>
    <w:rsid w:val="00A314E9"/>
    <w:rsid w:val="00A319C6"/>
    <w:rsid w:val="00A32177"/>
    <w:rsid w:val="00A32AD0"/>
    <w:rsid w:val="00A32ADC"/>
    <w:rsid w:val="00A331D5"/>
    <w:rsid w:val="00A332CD"/>
    <w:rsid w:val="00A33701"/>
    <w:rsid w:val="00A33C40"/>
    <w:rsid w:val="00A33D00"/>
    <w:rsid w:val="00A340D2"/>
    <w:rsid w:val="00A34D85"/>
    <w:rsid w:val="00A3518E"/>
    <w:rsid w:val="00A3577E"/>
    <w:rsid w:val="00A35951"/>
    <w:rsid w:val="00A3605B"/>
    <w:rsid w:val="00A361AE"/>
    <w:rsid w:val="00A36636"/>
    <w:rsid w:val="00A36BB1"/>
    <w:rsid w:val="00A36F70"/>
    <w:rsid w:val="00A37A3A"/>
    <w:rsid w:val="00A4004C"/>
    <w:rsid w:val="00A40091"/>
    <w:rsid w:val="00A403A6"/>
    <w:rsid w:val="00A41792"/>
    <w:rsid w:val="00A41AE3"/>
    <w:rsid w:val="00A422A8"/>
    <w:rsid w:val="00A428F9"/>
    <w:rsid w:val="00A42C06"/>
    <w:rsid w:val="00A42FF9"/>
    <w:rsid w:val="00A43334"/>
    <w:rsid w:val="00A4370B"/>
    <w:rsid w:val="00A43D9C"/>
    <w:rsid w:val="00A44617"/>
    <w:rsid w:val="00A446C6"/>
    <w:rsid w:val="00A44E5D"/>
    <w:rsid w:val="00A459B8"/>
    <w:rsid w:val="00A45CDA"/>
    <w:rsid w:val="00A46062"/>
    <w:rsid w:val="00A462A2"/>
    <w:rsid w:val="00A474B9"/>
    <w:rsid w:val="00A47672"/>
    <w:rsid w:val="00A5075B"/>
    <w:rsid w:val="00A50825"/>
    <w:rsid w:val="00A50B1A"/>
    <w:rsid w:val="00A50F27"/>
    <w:rsid w:val="00A510C0"/>
    <w:rsid w:val="00A51A7E"/>
    <w:rsid w:val="00A51CBE"/>
    <w:rsid w:val="00A52594"/>
    <w:rsid w:val="00A52A57"/>
    <w:rsid w:val="00A532C9"/>
    <w:rsid w:val="00A53461"/>
    <w:rsid w:val="00A53DB6"/>
    <w:rsid w:val="00A53FCD"/>
    <w:rsid w:val="00A5437F"/>
    <w:rsid w:val="00A55117"/>
    <w:rsid w:val="00A55887"/>
    <w:rsid w:val="00A55CD6"/>
    <w:rsid w:val="00A55E14"/>
    <w:rsid w:val="00A56E73"/>
    <w:rsid w:val="00A56E8E"/>
    <w:rsid w:val="00A56F54"/>
    <w:rsid w:val="00A5764F"/>
    <w:rsid w:val="00A57695"/>
    <w:rsid w:val="00A6034D"/>
    <w:rsid w:val="00A6189F"/>
    <w:rsid w:val="00A61ACB"/>
    <w:rsid w:val="00A6275A"/>
    <w:rsid w:val="00A628A2"/>
    <w:rsid w:val="00A62C45"/>
    <w:rsid w:val="00A63086"/>
    <w:rsid w:val="00A63673"/>
    <w:rsid w:val="00A63DC2"/>
    <w:rsid w:val="00A640B0"/>
    <w:rsid w:val="00A643F0"/>
    <w:rsid w:val="00A64626"/>
    <w:rsid w:val="00A64AE0"/>
    <w:rsid w:val="00A65A62"/>
    <w:rsid w:val="00A65C8A"/>
    <w:rsid w:val="00A65DE9"/>
    <w:rsid w:val="00A66B33"/>
    <w:rsid w:val="00A674BD"/>
    <w:rsid w:val="00A678D6"/>
    <w:rsid w:val="00A67A01"/>
    <w:rsid w:val="00A70997"/>
    <w:rsid w:val="00A70BD3"/>
    <w:rsid w:val="00A70E4A"/>
    <w:rsid w:val="00A715D5"/>
    <w:rsid w:val="00A7171D"/>
    <w:rsid w:val="00A719AF"/>
    <w:rsid w:val="00A72093"/>
    <w:rsid w:val="00A7251F"/>
    <w:rsid w:val="00A72780"/>
    <w:rsid w:val="00A72C13"/>
    <w:rsid w:val="00A73FAF"/>
    <w:rsid w:val="00A754AF"/>
    <w:rsid w:val="00A75627"/>
    <w:rsid w:val="00A758BE"/>
    <w:rsid w:val="00A75D90"/>
    <w:rsid w:val="00A7619A"/>
    <w:rsid w:val="00A76273"/>
    <w:rsid w:val="00A76783"/>
    <w:rsid w:val="00A76A80"/>
    <w:rsid w:val="00A76FF8"/>
    <w:rsid w:val="00A7703F"/>
    <w:rsid w:val="00A770E4"/>
    <w:rsid w:val="00A77418"/>
    <w:rsid w:val="00A77D30"/>
    <w:rsid w:val="00A800E8"/>
    <w:rsid w:val="00A80225"/>
    <w:rsid w:val="00A80EEC"/>
    <w:rsid w:val="00A81574"/>
    <w:rsid w:val="00A8173E"/>
    <w:rsid w:val="00A819C0"/>
    <w:rsid w:val="00A81AF6"/>
    <w:rsid w:val="00A82688"/>
    <w:rsid w:val="00A83373"/>
    <w:rsid w:val="00A847AF"/>
    <w:rsid w:val="00A85215"/>
    <w:rsid w:val="00A8585F"/>
    <w:rsid w:val="00A85D46"/>
    <w:rsid w:val="00A85D57"/>
    <w:rsid w:val="00A860BC"/>
    <w:rsid w:val="00A865B1"/>
    <w:rsid w:val="00A86BAC"/>
    <w:rsid w:val="00A8760F"/>
    <w:rsid w:val="00A87658"/>
    <w:rsid w:val="00A87677"/>
    <w:rsid w:val="00A87C5C"/>
    <w:rsid w:val="00A87F91"/>
    <w:rsid w:val="00A90624"/>
    <w:rsid w:val="00A9088E"/>
    <w:rsid w:val="00A91091"/>
    <w:rsid w:val="00A9188E"/>
    <w:rsid w:val="00A927E0"/>
    <w:rsid w:val="00A92C37"/>
    <w:rsid w:val="00A935AA"/>
    <w:rsid w:val="00A9366C"/>
    <w:rsid w:val="00A93D8C"/>
    <w:rsid w:val="00A93D91"/>
    <w:rsid w:val="00A93E4D"/>
    <w:rsid w:val="00A946AA"/>
    <w:rsid w:val="00A946DE"/>
    <w:rsid w:val="00A94AB4"/>
    <w:rsid w:val="00A94B35"/>
    <w:rsid w:val="00A95286"/>
    <w:rsid w:val="00A956DA"/>
    <w:rsid w:val="00A956F1"/>
    <w:rsid w:val="00A95D6B"/>
    <w:rsid w:val="00A9635C"/>
    <w:rsid w:val="00A96521"/>
    <w:rsid w:val="00A96A2D"/>
    <w:rsid w:val="00A96BFC"/>
    <w:rsid w:val="00A96D9D"/>
    <w:rsid w:val="00A96FFF"/>
    <w:rsid w:val="00A97340"/>
    <w:rsid w:val="00A97503"/>
    <w:rsid w:val="00AA094F"/>
    <w:rsid w:val="00AA09C0"/>
    <w:rsid w:val="00AA0DC3"/>
    <w:rsid w:val="00AA1A51"/>
    <w:rsid w:val="00AA1D89"/>
    <w:rsid w:val="00AA1D91"/>
    <w:rsid w:val="00AA29D5"/>
    <w:rsid w:val="00AA2C03"/>
    <w:rsid w:val="00AA3612"/>
    <w:rsid w:val="00AA3AA8"/>
    <w:rsid w:val="00AA3BB2"/>
    <w:rsid w:val="00AA3C90"/>
    <w:rsid w:val="00AA4144"/>
    <w:rsid w:val="00AA4B33"/>
    <w:rsid w:val="00AA4BF5"/>
    <w:rsid w:val="00AA4E0B"/>
    <w:rsid w:val="00AA4F88"/>
    <w:rsid w:val="00AA4FED"/>
    <w:rsid w:val="00AA54BF"/>
    <w:rsid w:val="00AA55B7"/>
    <w:rsid w:val="00AA55CE"/>
    <w:rsid w:val="00AA56EE"/>
    <w:rsid w:val="00AA57E5"/>
    <w:rsid w:val="00AA662A"/>
    <w:rsid w:val="00AA69AD"/>
    <w:rsid w:val="00AA69C4"/>
    <w:rsid w:val="00AA6BD5"/>
    <w:rsid w:val="00AA6C5C"/>
    <w:rsid w:val="00AA6C76"/>
    <w:rsid w:val="00AA7903"/>
    <w:rsid w:val="00AA7BCE"/>
    <w:rsid w:val="00AA7D8F"/>
    <w:rsid w:val="00AB04B5"/>
    <w:rsid w:val="00AB04F4"/>
    <w:rsid w:val="00AB098D"/>
    <w:rsid w:val="00AB0C10"/>
    <w:rsid w:val="00AB189C"/>
    <w:rsid w:val="00AB1AA4"/>
    <w:rsid w:val="00AB1BB8"/>
    <w:rsid w:val="00AB2984"/>
    <w:rsid w:val="00AB30B3"/>
    <w:rsid w:val="00AB3496"/>
    <w:rsid w:val="00AB452F"/>
    <w:rsid w:val="00AB4626"/>
    <w:rsid w:val="00AB463C"/>
    <w:rsid w:val="00AB521C"/>
    <w:rsid w:val="00AB5713"/>
    <w:rsid w:val="00AB5998"/>
    <w:rsid w:val="00AB60E3"/>
    <w:rsid w:val="00AB6155"/>
    <w:rsid w:val="00AB6175"/>
    <w:rsid w:val="00AB6A10"/>
    <w:rsid w:val="00AB6F10"/>
    <w:rsid w:val="00AB701F"/>
    <w:rsid w:val="00AB707C"/>
    <w:rsid w:val="00AB7368"/>
    <w:rsid w:val="00AB73BD"/>
    <w:rsid w:val="00AB7635"/>
    <w:rsid w:val="00AB7905"/>
    <w:rsid w:val="00AB7DCE"/>
    <w:rsid w:val="00AC01D5"/>
    <w:rsid w:val="00AC1B3B"/>
    <w:rsid w:val="00AC2A84"/>
    <w:rsid w:val="00AC3225"/>
    <w:rsid w:val="00AC3E9D"/>
    <w:rsid w:val="00AC4C38"/>
    <w:rsid w:val="00AC4C59"/>
    <w:rsid w:val="00AC4C9D"/>
    <w:rsid w:val="00AC523C"/>
    <w:rsid w:val="00AC541E"/>
    <w:rsid w:val="00AC5835"/>
    <w:rsid w:val="00AC5D68"/>
    <w:rsid w:val="00AC6422"/>
    <w:rsid w:val="00AC6916"/>
    <w:rsid w:val="00AC6AF3"/>
    <w:rsid w:val="00AC6C4C"/>
    <w:rsid w:val="00AC6E4D"/>
    <w:rsid w:val="00AC7188"/>
    <w:rsid w:val="00AC7372"/>
    <w:rsid w:val="00AC7A47"/>
    <w:rsid w:val="00AD033C"/>
    <w:rsid w:val="00AD04B6"/>
    <w:rsid w:val="00AD0B51"/>
    <w:rsid w:val="00AD17B5"/>
    <w:rsid w:val="00AD22A9"/>
    <w:rsid w:val="00AD25FB"/>
    <w:rsid w:val="00AD3289"/>
    <w:rsid w:val="00AD350E"/>
    <w:rsid w:val="00AD358A"/>
    <w:rsid w:val="00AD39A3"/>
    <w:rsid w:val="00AD3D80"/>
    <w:rsid w:val="00AD3F3A"/>
    <w:rsid w:val="00AD3F3E"/>
    <w:rsid w:val="00AD408F"/>
    <w:rsid w:val="00AD4D8D"/>
    <w:rsid w:val="00AD4E1D"/>
    <w:rsid w:val="00AD584C"/>
    <w:rsid w:val="00AD5A0F"/>
    <w:rsid w:val="00AD637F"/>
    <w:rsid w:val="00AD6393"/>
    <w:rsid w:val="00AD6687"/>
    <w:rsid w:val="00AD6AFB"/>
    <w:rsid w:val="00AD7EF1"/>
    <w:rsid w:val="00AE15B4"/>
    <w:rsid w:val="00AE1837"/>
    <w:rsid w:val="00AE1E1F"/>
    <w:rsid w:val="00AE2229"/>
    <w:rsid w:val="00AE3326"/>
    <w:rsid w:val="00AE3585"/>
    <w:rsid w:val="00AE3C86"/>
    <w:rsid w:val="00AE3F97"/>
    <w:rsid w:val="00AE44BF"/>
    <w:rsid w:val="00AE4CA6"/>
    <w:rsid w:val="00AE4EFA"/>
    <w:rsid w:val="00AE5674"/>
    <w:rsid w:val="00AE5ED8"/>
    <w:rsid w:val="00AE678D"/>
    <w:rsid w:val="00AE6FBF"/>
    <w:rsid w:val="00AE7183"/>
    <w:rsid w:val="00AE7D65"/>
    <w:rsid w:val="00AE7DF1"/>
    <w:rsid w:val="00AF0C44"/>
    <w:rsid w:val="00AF11D4"/>
    <w:rsid w:val="00AF186C"/>
    <w:rsid w:val="00AF24D3"/>
    <w:rsid w:val="00AF2BD1"/>
    <w:rsid w:val="00AF2E36"/>
    <w:rsid w:val="00AF378C"/>
    <w:rsid w:val="00AF3F1D"/>
    <w:rsid w:val="00AF4159"/>
    <w:rsid w:val="00AF4E79"/>
    <w:rsid w:val="00AF6276"/>
    <w:rsid w:val="00AF648A"/>
    <w:rsid w:val="00AF67BF"/>
    <w:rsid w:val="00AF683A"/>
    <w:rsid w:val="00AF6DB1"/>
    <w:rsid w:val="00AF7732"/>
    <w:rsid w:val="00AF7BC1"/>
    <w:rsid w:val="00B0027A"/>
    <w:rsid w:val="00B0066D"/>
    <w:rsid w:val="00B00D0C"/>
    <w:rsid w:val="00B00E71"/>
    <w:rsid w:val="00B00ED4"/>
    <w:rsid w:val="00B00F50"/>
    <w:rsid w:val="00B020D9"/>
    <w:rsid w:val="00B0375D"/>
    <w:rsid w:val="00B03D35"/>
    <w:rsid w:val="00B03D82"/>
    <w:rsid w:val="00B03E05"/>
    <w:rsid w:val="00B04051"/>
    <w:rsid w:val="00B04132"/>
    <w:rsid w:val="00B04814"/>
    <w:rsid w:val="00B0490B"/>
    <w:rsid w:val="00B049E4"/>
    <w:rsid w:val="00B04F15"/>
    <w:rsid w:val="00B05710"/>
    <w:rsid w:val="00B05C76"/>
    <w:rsid w:val="00B06494"/>
    <w:rsid w:val="00B06BE9"/>
    <w:rsid w:val="00B06CDA"/>
    <w:rsid w:val="00B06E45"/>
    <w:rsid w:val="00B07165"/>
    <w:rsid w:val="00B07352"/>
    <w:rsid w:val="00B07497"/>
    <w:rsid w:val="00B0776D"/>
    <w:rsid w:val="00B078BD"/>
    <w:rsid w:val="00B07FC2"/>
    <w:rsid w:val="00B1009F"/>
    <w:rsid w:val="00B10853"/>
    <w:rsid w:val="00B10D22"/>
    <w:rsid w:val="00B10EDF"/>
    <w:rsid w:val="00B1185C"/>
    <w:rsid w:val="00B11DD0"/>
    <w:rsid w:val="00B124E8"/>
    <w:rsid w:val="00B1252F"/>
    <w:rsid w:val="00B1286A"/>
    <w:rsid w:val="00B13457"/>
    <w:rsid w:val="00B1350E"/>
    <w:rsid w:val="00B135EA"/>
    <w:rsid w:val="00B136DE"/>
    <w:rsid w:val="00B137B4"/>
    <w:rsid w:val="00B13B60"/>
    <w:rsid w:val="00B13CE9"/>
    <w:rsid w:val="00B13E47"/>
    <w:rsid w:val="00B140BE"/>
    <w:rsid w:val="00B146FE"/>
    <w:rsid w:val="00B15722"/>
    <w:rsid w:val="00B15B1C"/>
    <w:rsid w:val="00B15C1C"/>
    <w:rsid w:val="00B16356"/>
    <w:rsid w:val="00B1650C"/>
    <w:rsid w:val="00B166A7"/>
    <w:rsid w:val="00B167D9"/>
    <w:rsid w:val="00B16EFF"/>
    <w:rsid w:val="00B20319"/>
    <w:rsid w:val="00B206B1"/>
    <w:rsid w:val="00B20AA5"/>
    <w:rsid w:val="00B20AE8"/>
    <w:rsid w:val="00B20DDB"/>
    <w:rsid w:val="00B20DEC"/>
    <w:rsid w:val="00B21048"/>
    <w:rsid w:val="00B213FA"/>
    <w:rsid w:val="00B21B7E"/>
    <w:rsid w:val="00B21C1C"/>
    <w:rsid w:val="00B21C51"/>
    <w:rsid w:val="00B21DD5"/>
    <w:rsid w:val="00B21ED1"/>
    <w:rsid w:val="00B224C0"/>
    <w:rsid w:val="00B226E4"/>
    <w:rsid w:val="00B2272B"/>
    <w:rsid w:val="00B229A4"/>
    <w:rsid w:val="00B22FEC"/>
    <w:rsid w:val="00B2375D"/>
    <w:rsid w:val="00B23FBE"/>
    <w:rsid w:val="00B2417B"/>
    <w:rsid w:val="00B24516"/>
    <w:rsid w:val="00B24A50"/>
    <w:rsid w:val="00B24AAD"/>
    <w:rsid w:val="00B2545E"/>
    <w:rsid w:val="00B2561F"/>
    <w:rsid w:val="00B26D25"/>
    <w:rsid w:val="00B26E58"/>
    <w:rsid w:val="00B272C6"/>
    <w:rsid w:val="00B27CB8"/>
    <w:rsid w:val="00B27E0C"/>
    <w:rsid w:val="00B3027C"/>
    <w:rsid w:val="00B302A5"/>
    <w:rsid w:val="00B307B0"/>
    <w:rsid w:val="00B30A70"/>
    <w:rsid w:val="00B3133F"/>
    <w:rsid w:val="00B3151B"/>
    <w:rsid w:val="00B317BE"/>
    <w:rsid w:val="00B32B4D"/>
    <w:rsid w:val="00B3301A"/>
    <w:rsid w:val="00B331C8"/>
    <w:rsid w:val="00B3467F"/>
    <w:rsid w:val="00B349B5"/>
    <w:rsid w:val="00B35395"/>
    <w:rsid w:val="00B35396"/>
    <w:rsid w:val="00B353BC"/>
    <w:rsid w:val="00B35BE7"/>
    <w:rsid w:val="00B35DE3"/>
    <w:rsid w:val="00B35DE7"/>
    <w:rsid w:val="00B35F39"/>
    <w:rsid w:val="00B36482"/>
    <w:rsid w:val="00B36529"/>
    <w:rsid w:val="00B36CBF"/>
    <w:rsid w:val="00B3710D"/>
    <w:rsid w:val="00B37497"/>
    <w:rsid w:val="00B37B02"/>
    <w:rsid w:val="00B37E95"/>
    <w:rsid w:val="00B40578"/>
    <w:rsid w:val="00B4085D"/>
    <w:rsid w:val="00B4094B"/>
    <w:rsid w:val="00B40F12"/>
    <w:rsid w:val="00B41747"/>
    <w:rsid w:val="00B418B7"/>
    <w:rsid w:val="00B420A2"/>
    <w:rsid w:val="00B42B69"/>
    <w:rsid w:val="00B43114"/>
    <w:rsid w:val="00B43441"/>
    <w:rsid w:val="00B436F5"/>
    <w:rsid w:val="00B43F31"/>
    <w:rsid w:val="00B441C7"/>
    <w:rsid w:val="00B4451B"/>
    <w:rsid w:val="00B4456F"/>
    <w:rsid w:val="00B44D57"/>
    <w:rsid w:val="00B44FDF"/>
    <w:rsid w:val="00B45034"/>
    <w:rsid w:val="00B45CC6"/>
    <w:rsid w:val="00B45D8F"/>
    <w:rsid w:val="00B45DB4"/>
    <w:rsid w:val="00B45E36"/>
    <w:rsid w:val="00B46095"/>
    <w:rsid w:val="00B47B9B"/>
    <w:rsid w:val="00B47F5A"/>
    <w:rsid w:val="00B500A8"/>
    <w:rsid w:val="00B5072B"/>
    <w:rsid w:val="00B50935"/>
    <w:rsid w:val="00B518CD"/>
    <w:rsid w:val="00B5245B"/>
    <w:rsid w:val="00B534D6"/>
    <w:rsid w:val="00B53666"/>
    <w:rsid w:val="00B53A56"/>
    <w:rsid w:val="00B54B0B"/>
    <w:rsid w:val="00B54B5E"/>
    <w:rsid w:val="00B54CED"/>
    <w:rsid w:val="00B55409"/>
    <w:rsid w:val="00B55C63"/>
    <w:rsid w:val="00B55FCB"/>
    <w:rsid w:val="00B56152"/>
    <w:rsid w:val="00B60936"/>
    <w:rsid w:val="00B60F5D"/>
    <w:rsid w:val="00B61190"/>
    <w:rsid w:val="00B61E6E"/>
    <w:rsid w:val="00B621B9"/>
    <w:rsid w:val="00B6386E"/>
    <w:rsid w:val="00B63F0D"/>
    <w:rsid w:val="00B64116"/>
    <w:rsid w:val="00B646B1"/>
    <w:rsid w:val="00B64713"/>
    <w:rsid w:val="00B6498B"/>
    <w:rsid w:val="00B64A7A"/>
    <w:rsid w:val="00B64D15"/>
    <w:rsid w:val="00B65180"/>
    <w:rsid w:val="00B65283"/>
    <w:rsid w:val="00B65B25"/>
    <w:rsid w:val="00B67313"/>
    <w:rsid w:val="00B67611"/>
    <w:rsid w:val="00B67679"/>
    <w:rsid w:val="00B67854"/>
    <w:rsid w:val="00B678A5"/>
    <w:rsid w:val="00B67945"/>
    <w:rsid w:val="00B67C2F"/>
    <w:rsid w:val="00B67E4E"/>
    <w:rsid w:val="00B70684"/>
    <w:rsid w:val="00B70EE8"/>
    <w:rsid w:val="00B7176A"/>
    <w:rsid w:val="00B718C6"/>
    <w:rsid w:val="00B72276"/>
    <w:rsid w:val="00B728A2"/>
    <w:rsid w:val="00B7290A"/>
    <w:rsid w:val="00B7310F"/>
    <w:rsid w:val="00B7352A"/>
    <w:rsid w:val="00B7381E"/>
    <w:rsid w:val="00B73B3B"/>
    <w:rsid w:val="00B74347"/>
    <w:rsid w:val="00B746BD"/>
    <w:rsid w:val="00B747CF"/>
    <w:rsid w:val="00B7498D"/>
    <w:rsid w:val="00B75522"/>
    <w:rsid w:val="00B75584"/>
    <w:rsid w:val="00B75608"/>
    <w:rsid w:val="00B75BE9"/>
    <w:rsid w:val="00B75DBC"/>
    <w:rsid w:val="00B75E44"/>
    <w:rsid w:val="00B762CD"/>
    <w:rsid w:val="00B766D7"/>
    <w:rsid w:val="00B76B31"/>
    <w:rsid w:val="00B76F5A"/>
    <w:rsid w:val="00B773A2"/>
    <w:rsid w:val="00B8016C"/>
    <w:rsid w:val="00B802C8"/>
    <w:rsid w:val="00B80463"/>
    <w:rsid w:val="00B804CF"/>
    <w:rsid w:val="00B81570"/>
    <w:rsid w:val="00B83145"/>
    <w:rsid w:val="00B832AF"/>
    <w:rsid w:val="00B83745"/>
    <w:rsid w:val="00B838FA"/>
    <w:rsid w:val="00B83B39"/>
    <w:rsid w:val="00B842EB"/>
    <w:rsid w:val="00B8517D"/>
    <w:rsid w:val="00B85B17"/>
    <w:rsid w:val="00B85BE8"/>
    <w:rsid w:val="00B85F87"/>
    <w:rsid w:val="00B86904"/>
    <w:rsid w:val="00B86B0A"/>
    <w:rsid w:val="00B871AC"/>
    <w:rsid w:val="00B902CF"/>
    <w:rsid w:val="00B905F1"/>
    <w:rsid w:val="00B90AA1"/>
    <w:rsid w:val="00B90ADB"/>
    <w:rsid w:val="00B90AE5"/>
    <w:rsid w:val="00B90B87"/>
    <w:rsid w:val="00B90C6C"/>
    <w:rsid w:val="00B90EC0"/>
    <w:rsid w:val="00B910F2"/>
    <w:rsid w:val="00B9118A"/>
    <w:rsid w:val="00B91EF1"/>
    <w:rsid w:val="00B9236B"/>
    <w:rsid w:val="00B92B1D"/>
    <w:rsid w:val="00B92CF2"/>
    <w:rsid w:val="00B92E88"/>
    <w:rsid w:val="00B92F5A"/>
    <w:rsid w:val="00B93906"/>
    <w:rsid w:val="00B93C8F"/>
    <w:rsid w:val="00B93C9D"/>
    <w:rsid w:val="00B94B9F"/>
    <w:rsid w:val="00B94D45"/>
    <w:rsid w:val="00B953C9"/>
    <w:rsid w:val="00B95493"/>
    <w:rsid w:val="00B95873"/>
    <w:rsid w:val="00B9620C"/>
    <w:rsid w:val="00B96508"/>
    <w:rsid w:val="00B969B8"/>
    <w:rsid w:val="00B969D0"/>
    <w:rsid w:val="00B972A5"/>
    <w:rsid w:val="00B975CC"/>
    <w:rsid w:val="00BA10B6"/>
    <w:rsid w:val="00BA118A"/>
    <w:rsid w:val="00BA12BB"/>
    <w:rsid w:val="00BA1874"/>
    <w:rsid w:val="00BA1A5D"/>
    <w:rsid w:val="00BA214B"/>
    <w:rsid w:val="00BA2BCE"/>
    <w:rsid w:val="00BA362C"/>
    <w:rsid w:val="00BA409D"/>
    <w:rsid w:val="00BA45D5"/>
    <w:rsid w:val="00BA4BDD"/>
    <w:rsid w:val="00BA4F78"/>
    <w:rsid w:val="00BA64B5"/>
    <w:rsid w:val="00BA6BFA"/>
    <w:rsid w:val="00BA721F"/>
    <w:rsid w:val="00BB0EF6"/>
    <w:rsid w:val="00BB11FA"/>
    <w:rsid w:val="00BB12C1"/>
    <w:rsid w:val="00BB285A"/>
    <w:rsid w:val="00BB2963"/>
    <w:rsid w:val="00BB29EF"/>
    <w:rsid w:val="00BB454E"/>
    <w:rsid w:val="00BB4C11"/>
    <w:rsid w:val="00BB4E78"/>
    <w:rsid w:val="00BB52BF"/>
    <w:rsid w:val="00BB53AB"/>
    <w:rsid w:val="00BB53F0"/>
    <w:rsid w:val="00BB5405"/>
    <w:rsid w:val="00BB6BE1"/>
    <w:rsid w:val="00BB6EC9"/>
    <w:rsid w:val="00BB7003"/>
    <w:rsid w:val="00BB7399"/>
    <w:rsid w:val="00BB7647"/>
    <w:rsid w:val="00BC0A7F"/>
    <w:rsid w:val="00BC13E7"/>
    <w:rsid w:val="00BC173F"/>
    <w:rsid w:val="00BC17C3"/>
    <w:rsid w:val="00BC1CB2"/>
    <w:rsid w:val="00BC296C"/>
    <w:rsid w:val="00BC2FA5"/>
    <w:rsid w:val="00BC309A"/>
    <w:rsid w:val="00BC3252"/>
    <w:rsid w:val="00BC33E3"/>
    <w:rsid w:val="00BC3AAD"/>
    <w:rsid w:val="00BC49B5"/>
    <w:rsid w:val="00BC4AFB"/>
    <w:rsid w:val="00BC4D07"/>
    <w:rsid w:val="00BC4D53"/>
    <w:rsid w:val="00BC4EC5"/>
    <w:rsid w:val="00BC524E"/>
    <w:rsid w:val="00BC54DA"/>
    <w:rsid w:val="00BC57F1"/>
    <w:rsid w:val="00BC5A78"/>
    <w:rsid w:val="00BC5AA0"/>
    <w:rsid w:val="00BC5E5C"/>
    <w:rsid w:val="00BC6014"/>
    <w:rsid w:val="00BC6300"/>
    <w:rsid w:val="00BC6384"/>
    <w:rsid w:val="00BC7288"/>
    <w:rsid w:val="00BC73AF"/>
    <w:rsid w:val="00BC7845"/>
    <w:rsid w:val="00BD038B"/>
    <w:rsid w:val="00BD0604"/>
    <w:rsid w:val="00BD1830"/>
    <w:rsid w:val="00BD27FC"/>
    <w:rsid w:val="00BD4B80"/>
    <w:rsid w:val="00BD506C"/>
    <w:rsid w:val="00BD529A"/>
    <w:rsid w:val="00BD6434"/>
    <w:rsid w:val="00BD6B65"/>
    <w:rsid w:val="00BD6BC9"/>
    <w:rsid w:val="00BD728D"/>
    <w:rsid w:val="00BD7FC5"/>
    <w:rsid w:val="00BE000D"/>
    <w:rsid w:val="00BE0719"/>
    <w:rsid w:val="00BE0749"/>
    <w:rsid w:val="00BE089C"/>
    <w:rsid w:val="00BE0D6B"/>
    <w:rsid w:val="00BE169A"/>
    <w:rsid w:val="00BE17B1"/>
    <w:rsid w:val="00BE25FB"/>
    <w:rsid w:val="00BE2CBF"/>
    <w:rsid w:val="00BE2D9A"/>
    <w:rsid w:val="00BE314A"/>
    <w:rsid w:val="00BE31E8"/>
    <w:rsid w:val="00BE32C6"/>
    <w:rsid w:val="00BE3DAD"/>
    <w:rsid w:val="00BE4374"/>
    <w:rsid w:val="00BE49A9"/>
    <w:rsid w:val="00BE4B5E"/>
    <w:rsid w:val="00BE4C7E"/>
    <w:rsid w:val="00BE5303"/>
    <w:rsid w:val="00BE54AE"/>
    <w:rsid w:val="00BE550E"/>
    <w:rsid w:val="00BE66B9"/>
    <w:rsid w:val="00BE6F3E"/>
    <w:rsid w:val="00BE73F7"/>
    <w:rsid w:val="00BE7427"/>
    <w:rsid w:val="00BE7687"/>
    <w:rsid w:val="00BE7D62"/>
    <w:rsid w:val="00BF09C9"/>
    <w:rsid w:val="00BF09DF"/>
    <w:rsid w:val="00BF1134"/>
    <w:rsid w:val="00BF122F"/>
    <w:rsid w:val="00BF13DF"/>
    <w:rsid w:val="00BF25D9"/>
    <w:rsid w:val="00BF27A2"/>
    <w:rsid w:val="00BF2AA8"/>
    <w:rsid w:val="00BF38C8"/>
    <w:rsid w:val="00BF4144"/>
    <w:rsid w:val="00BF5422"/>
    <w:rsid w:val="00BF5723"/>
    <w:rsid w:val="00BF5856"/>
    <w:rsid w:val="00BF59CF"/>
    <w:rsid w:val="00BF6746"/>
    <w:rsid w:val="00BF6DFC"/>
    <w:rsid w:val="00BF7244"/>
    <w:rsid w:val="00BF7E27"/>
    <w:rsid w:val="00C00441"/>
    <w:rsid w:val="00C0083A"/>
    <w:rsid w:val="00C01771"/>
    <w:rsid w:val="00C021BA"/>
    <w:rsid w:val="00C02B42"/>
    <w:rsid w:val="00C035EE"/>
    <w:rsid w:val="00C03A85"/>
    <w:rsid w:val="00C03AB3"/>
    <w:rsid w:val="00C03C5F"/>
    <w:rsid w:val="00C04079"/>
    <w:rsid w:val="00C05090"/>
    <w:rsid w:val="00C052C5"/>
    <w:rsid w:val="00C053B9"/>
    <w:rsid w:val="00C05AA5"/>
    <w:rsid w:val="00C065DF"/>
    <w:rsid w:val="00C0663A"/>
    <w:rsid w:val="00C068E4"/>
    <w:rsid w:val="00C06DBA"/>
    <w:rsid w:val="00C07D26"/>
    <w:rsid w:val="00C112DF"/>
    <w:rsid w:val="00C114AF"/>
    <w:rsid w:val="00C118FA"/>
    <w:rsid w:val="00C12734"/>
    <w:rsid w:val="00C12B2C"/>
    <w:rsid w:val="00C12CD6"/>
    <w:rsid w:val="00C13AAA"/>
    <w:rsid w:val="00C13F2E"/>
    <w:rsid w:val="00C13FB2"/>
    <w:rsid w:val="00C1423E"/>
    <w:rsid w:val="00C14537"/>
    <w:rsid w:val="00C153CF"/>
    <w:rsid w:val="00C16F3F"/>
    <w:rsid w:val="00C170A4"/>
    <w:rsid w:val="00C1776D"/>
    <w:rsid w:val="00C2017D"/>
    <w:rsid w:val="00C201BF"/>
    <w:rsid w:val="00C20245"/>
    <w:rsid w:val="00C2093A"/>
    <w:rsid w:val="00C21312"/>
    <w:rsid w:val="00C21390"/>
    <w:rsid w:val="00C21655"/>
    <w:rsid w:val="00C21CA3"/>
    <w:rsid w:val="00C22312"/>
    <w:rsid w:val="00C22517"/>
    <w:rsid w:val="00C22B9F"/>
    <w:rsid w:val="00C23532"/>
    <w:rsid w:val="00C238CE"/>
    <w:rsid w:val="00C2462D"/>
    <w:rsid w:val="00C2464E"/>
    <w:rsid w:val="00C24884"/>
    <w:rsid w:val="00C25058"/>
    <w:rsid w:val="00C25BF0"/>
    <w:rsid w:val="00C25D90"/>
    <w:rsid w:val="00C26233"/>
    <w:rsid w:val="00C26365"/>
    <w:rsid w:val="00C26778"/>
    <w:rsid w:val="00C27123"/>
    <w:rsid w:val="00C27534"/>
    <w:rsid w:val="00C2765A"/>
    <w:rsid w:val="00C27A03"/>
    <w:rsid w:val="00C27B74"/>
    <w:rsid w:val="00C27C92"/>
    <w:rsid w:val="00C27FA2"/>
    <w:rsid w:val="00C3035F"/>
    <w:rsid w:val="00C30BD8"/>
    <w:rsid w:val="00C31422"/>
    <w:rsid w:val="00C31A51"/>
    <w:rsid w:val="00C31BE9"/>
    <w:rsid w:val="00C32556"/>
    <w:rsid w:val="00C329E6"/>
    <w:rsid w:val="00C3317D"/>
    <w:rsid w:val="00C334C8"/>
    <w:rsid w:val="00C3464E"/>
    <w:rsid w:val="00C34674"/>
    <w:rsid w:val="00C34D0D"/>
    <w:rsid w:val="00C34E54"/>
    <w:rsid w:val="00C354D9"/>
    <w:rsid w:val="00C35CC8"/>
    <w:rsid w:val="00C35CF4"/>
    <w:rsid w:val="00C35E3F"/>
    <w:rsid w:val="00C360FE"/>
    <w:rsid w:val="00C361E3"/>
    <w:rsid w:val="00C362CA"/>
    <w:rsid w:val="00C362D8"/>
    <w:rsid w:val="00C362ED"/>
    <w:rsid w:val="00C36ADD"/>
    <w:rsid w:val="00C36B27"/>
    <w:rsid w:val="00C37005"/>
    <w:rsid w:val="00C37C08"/>
    <w:rsid w:val="00C40132"/>
    <w:rsid w:val="00C4068B"/>
    <w:rsid w:val="00C40711"/>
    <w:rsid w:val="00C40846"/>
    <w:rsid w:val="00C4117D"/>
    <w:rsid w:val="00C41E76"/>
    <w:rsid w:val="00C41F18"/>
    <w:rsid w:val="00C422F0"/>
    <w:rsid w:val="00C4234A"/>
    <w:rsid w:val="00C42AC4"/>
    <w:rsid w:val="00C42D11"/>
    <w:rsid w:val="00C42EBA"/>
    <w:rsid w:val="00C431B6"/>
    <w:rsid w:val="00C437D6"/>
    <w:rsid w:val="00C43AF2"/>
    <w:rsid w:val="00C44710"/>
    <w:rsid w:val="00C451D2"/>
    <w:rsid w:val="00C45405"/>
    <w:rsid w:val="00C4541D"/>
    <w:rsid w:val="00C45494"/>
    <w:rsid w:val="00C45838"/>
    <w:rsid w:val="00C45977"/>
    <w:rsid w:val="00C469B5"/>
    <w:rsid w:val="00C46CF9"/>
    <w:rsid w:val="00C4733E"/>
    <w:rsid w:val="00C4787F"/>
    <w:rsid w:val="00C47D0A"/>
    <w:rsid w:val="00C506C7"/>
    <w:rsid w:val="00C50891"/>
    <w:rsid w:val="00C50DB3"/>
    <w:rsid w:val="00C51561"/>
    <w:rsid w:val="00C522F5"/>
    <w:rsid w:val="00C5239E"/>
    <w:rsid w:val="00C524F1"/>
    <w:rsid w:val="00C525B9"/>
    <w:rsid w:val="00C52990"/>
    <w:rsid w:val="00C53341"/>
    <w:rsid w:val="00C534F9"/>
    <w:rsid w:val="00C53627"/>
    <w:rsid w:val="00C538D6"/>
    <w:rsid w:val="00C548E4"/>
    <w:rsid w:val="00C54B92"/>
    <w:rsid w:val="00C54C10"/>
    <w:rsid w:val="00C54DD1"/>
    <w:rsid w:val="00C55B54"/>
    <w:rsid w:val="00C563DB"/>
    <w:rsid w:val="00C56B60"/>
    <w:rsid w:val="00C579D7"/>
    <w:rsid w:val="00C57D79"/>
    <w:rsid w:val="00C60158"/>
    <w:rsid w:val="00C603FE"/>
    <w:rsid w:val="00C60543"/>
    <w:rsid w:val="00C6113E"/>
    <w:rsid w:val="00C61865"/>
    <w:rsid w:val="00C61DFD"/>
    <w:rsid w:val="00C6227E"/>
    <w:rsid w:val="00C62A11"/>
    <w:rsid w:val="00C63125"/>
    <w:rsid w:val="00C6339F"/>
    <w:rsid w:val="00C63415"/>
    <w:rsid w:val="00C63AF0"/>
    <w:rsid w:val="00C63F93"/>
    <w:rsid w:val="00C64015"/>
    <w:rsid w:val="00C64CB8"/>
    <w:rsid w:val="00C64CFE"/>
    <w:rsid w:val="00C65463"/>
    <w:rsid w:val="00C65677"/>
    <w:rsid w:val="00C65E4C"/>
    <w:rsid w:val="00C66143"/>
    <w:rsid w:val="00C661C5"/>
    <w:rsid w:val="00C66BB3"/>
    <w:rsid w:val="00C6701D"/>
    <w:rsid w:val="00C67B1C"/>
    <w:rsid w:val="00C67C10"/>
    <w:rsid w:val="00C7038C"/>
    <w:rsid w:val="00C70963"/>
    <w:rsid w:val="00C70F4B"/>
    <w:rsid w:val="00C71214"/>
    <w:rsid w:val="00C71410"/>
    <w:rsid w:val="00C716D1"/>
    <w:rsid w:val="00C71F26"/>
    <w:rsid w:val="00C72793"/>
    <w:rsid w:val="00C72F27"/>
    <w:rsid w:val="00C738AB"/>
    <w:rsid w:val="00C73C3E"/>
    <w:rsid w:val="00C73D97"/>
    <w:rsid w:val="00C73F73"/>
    <w:rsid w:val="00C73FB6"/>
    <w:rsid w:val="00C7426E"/>
    <w:rsid w:val="00C74651"/>
    <w:rsid w:val="00C747CD"/>
    <w:rsid w:val="00C74D30"/>
    <w:rsid w:val="00C754F5"/>
    <w:rsid w:val="00C756E9"/>
    <w:rsid w:val="00C75C7D"/>
    <w:rsid w:val="00C75D25"/>
    <w:rsid w:val="00C75EBD"/>
    <w:rsid w:val="00C76195"/>
    <w:rsid w:val="00C763C9"/>
    <w:rsid w:val="00C76C36"/>
    <w:rsid w:val="00C770C7"/>
    <w:rsid w:val="00C7725F"/>
    <w:rsid w:val="00C80195"/>
    <w:rsid w:val="00C8070B"/>
    <w:rsid w:val="00C808EF"/>
    <w:rsid w:val="00C80D03"/>
    <w:rsid w:val="00C811B7"/>
    <w:rsid w:val="00C8158B"/>
    <w:rsid w:val="00C815FB"/>
    <w:rsid w:val="00C82006"/>
    <w:rsid w:val="00C822C4"/>
    <w:rsid w:val="00C82356"/>
    <w:rsid w:val="00C8321E"/>
    <w:rsid w:val="00C83356"/>
    <w:rsid w:val="00C8437B"/>
    <w:rsid w:val="00C84402"/>
    <w:rsid w:val="00C84483"/>
    <w:rsid w:val="00C84882"/>
    <w:rsid w:val="00C848CD"/>
    <w:rsid w:val="00C856B5"/>
    <w:rsid w:val="00C85702"/>
    <w:rsid w:val="00C85717"/>
    <w:rsid w:val="00C859A2"/>
    <w:rsid w:val="00C85D28"/>
    <w:rsid w:val="00C86557"/>
    <w:rsid w:val="00C86676"/>
    <w:rsid w:val="00C86706"/>
    <w:rsid w:val="00C868F3"/>
    <w:rsid w:val="00C87AD9"/>
    <w:rsid w:val="00C87AF6"/>
    <w:rsid w:val="00C90220"/>
    <w:rsid w:val="00C90732"/>
    <w:rsid w:val="00C90772"/>
    <w:rsid w:val="00C90E5E"/>
    <w:rsid w:val="00C91222"/>
    <w:rsid w:val="00C91494"/>
    <w:rsid w:val="00C91CDD"/>
    <w:rsid w:val="00C91D7E"/>
    <w:rsid w:val="00C925DE"/>
    <w:rsid w:val="00C93084"/>
    <w:rsid w:val="00C9350C"/>
    <w:rsid w:val="00C93CE6"/>
    <w:rsid w:val="00C941B5"/>
    <w:rsid w:val="00C9434B"/>
    <w:rsid w:val="00C944EF"/>
    <w:rsid w:val="00C94946"/>
    <w:rsid w:val="00C94FDF"/>
    <w:rsid w:val="00C954C8"/>
    <w:rsid w:val="00C956A8"/>
    <w:rsid w:val="00C95F3C"/>
    <w:rsid w:val="00C96129"/>
    <w:rsid w:val="00C966D5"/>
    <w:rsid w:val="00C97EEE"/>
    <w:rsid w:val="00C97F5E"/>
    <w:rsid w:val="00CA0325"/>
    <w:rsid w:val="00CA097E"/>
    <w:rsid w:val="00CA1E88"/>
    <w:rsid w:val="00CA26DA"/>
    <w:rsid w:val="00CA2B35"/>
    <w:rsid w:val="00CA2E83"/>
    <w:rsid w:val="00CA30B0"/>
    <w:rsid w:val="00CA35F6"/>
    <w:rsid w:val="00CA3B21"/>
    <w:rsid w:val="00CA3CAB"/>
    <w:rsid w:val="00CA4C8C"/>
    <w:rsid w:val="00CA4D62"/>
    <w:rsid w:val="00CA4E70"/>
    <w:rsid w:val="00CA5067"/>
    <w:rsid w:val="00CA53EC"/>
    <w:rsid w:val="00CA555B"/>
    <w:rsid w:val="00CA5DA8"/>
    <w:rsid w:val="00CA5F31"/>
    <w:rsid w:val="00CA6089"/>
    <w:rsid w:val="00CA6551"/>
    <w:rsid w:val="00CA665B"/>
    <w:rsid w:val="00CA6696"/>
    <w:rsid w:val="00CA6944"/>
    <w:rsid w:val="00CA77C0"/>
    <w:rsid w:val="00CA7806"/>
    <w:rsid w:val="00CA7F98"/>
    <w:rsid w:val="00CB02D5"/>
    <w:rsid w:val="00CB0F9D"/>
    <w:rsid w:val="00CB170F"/>
    <w:rsid w:val="00CB1A4F"/>
    <w:rsid w:val="00CB1B73"/>
    <w:rsid w:val="00CB2A2B"/>
    <w:rsid w:val="00CB2B0C"/>
    <w:rsid w:val="00CB2E95"/>
    <w:rsid w:val="00CB3F9D"/>
    <w:rsid w:val="00CB4065"/>
    <w:rsid w:val="00CB4236"/>
    <w:rsid w:val="00CB4773"/>
    <w:rsid w:val="00CB48ED"/>
    <w:rsid w:val="00CB4DF7"/>
    <w:rsid w:val="00CB538E"/>
    <w:rsid w:val="00CB545E"/>
    <w:rsid w:val="00CB5CDC"/>
    <w:rsid w:val="00CB67F2"/>
    <w:rsid w:val="00CB68A0"/>
    <w:rsid w:val="00CB6B41"/>
    <w:rsid w:val="00CB6CFF"/>
    <w:rsid w:val="00CB7059"/>
    <w:rsid w:val="00CB73EE"/>
    <w:rsid w:val="00CB79B1"/>
    <w:rsid w:val="00CC0262"/>
    <w:rsid w:val="00CC0431"/>
    <w:rsid w:val="00CC1240"/>
    <w:rsid w:val="00CC13EF"/>
    <w:rsid w:val="00CC156F"/>
    <w:rsid w:val="00CC16B7"/>
    <w:rsid w:val="00CC1859"/>
    <w:rsid w:val="00CC18AA"/>
    <w:rsid w:val="00CC19F0"/>
    <w:rsid w:val="00CC1C24"/>
    <w:rsid w:val="00CC1C79"/>
    <w:rsid w:val="00CC2043"/>
    <w:rsid w:val="00CC2044"/>
    <w:rsid w:val="00CC342A"/>
    <w:rsid w:val="00CC3430"/>
    <w:rsid w:val="00CC3926"/>
    <w:rsid w:val="00CC4030"/>
    <w:rsid w:val="00CC4329"/>
    <w:rsid w:val="00CC4E87"/>
    <w:rsid w:val="00CC4F76"/>
    <w:rsid w:val="00CC56B7"/>
    <w:rsid w:val="00CC5D7F"/>
    <w:rsid w:val="00CC60D9"/>
    <w:rsid w:val="00CC692A"/>
    <w:rsid w:val="00CC69FD"/>
    <w:rsid w:val="00CC74D0"/>
    <w:rsid w:val="00CD043C"/>
    <w:rsid w:val="00CD05F7"/>
    <w:rsid w:val="00CD06C7"/>
    <w:rsid w:val="00CD083E"/>
    <w:rsid w:val="00CD0A73"/>
    <w:rsid w:val="00CD14DD"/>
    <w:rsid w:val="00CD1912"/>
    <w:rsid w:val="00CD1A6D"/>
    <w:rsid w:val="00CD236F"/>
    <w:rsid w:val="00CD27BA"/>
    <w:rsid w:val="00CD282F"/>
    <w:rsid w:val="00CD3D1F"/>
    <w:rsid w:val="00CD3DA9"/>
    <w:rsid w:val="00CD3FD3"/>
    <w:rsid w:val="00CD42F7"/>
    <w:rsid w:val="00CD53D5"/>
    <w:rsid w:val="00CD6087"/>
    <w:rsid w:val="00CD6094"/>
    <w:rsid w:val="00CD61F3"/>
    <w:rsid w:val="00CD6FCC"/>
    <w:rsid w:val="00CD72C9"/>
    <w:rsid w:val="00CD7872"/>
    <w:rsid w:val="00CD79F9"/>
    <w:rsid w:val="00CD7A7B"/>
    <w:rsid w:val="00CD7DCB"/>
    <w:rsid w:val="00CE082B"/>
    <w:rsid w:val="00CE0CC6"/>
    <w:rsid w:val="00CE1DF4"/>
    <w:rsid w:val="00CE1FF0"/>
    <w:rsid w:val="00CE2453"/>
    <w:rsid w:val="00CE2A75"/>
    <w:rsid w:val="00CE3AAC"/>
    <w:rsid w:val="00CE3DA0"/>
    <w:rsid w:val="00CE3E1B"/>
    <w:rsid w:val="00CE3F8B"/>
    <w:rsid w:val="00CE4138"/>
    <w:rsid w:val="00CE4353"/>
    <w:rsid w:val="00CE4CAF"/>
    <w:rsid w:val="00CE4CFD"/>
    <w:rsid w:val="00CE5265"/>
    <w:rsid w:val="00CE5453"/>
    <w:rsid w:val="00CE56FB"/>
    <w:rsid w:val="00CE5A3A"/>
    <w:rsid w:val="00CE5A47"/>
    <w:rsid w:val="00CE5DD8"/>
    <w:rsid w:val="00CE5FFD"/>
    <w:rsid w:val="00CE6302"/>
    <w:rsid w:val="00CE65FB"/>
    <w:rsid w:val="00CE67AF"/>
    <w:rsid w:val="00CE7000"/>
    <w:rsid w:val="00CE702D"/>
    <w:rsid w:val="00CE7177"/>
    <w:rsid w:val="00CE7DDB"/>
    <w:rsid w:val="00CF0E71"/>
    <w:rsid w:val="00CF14A3"/>
    <w:rsid w:val="00CF167D"/>
    <w:rsid w:val="00CF1C05"/>
    <w:rsid w:val="00CF22B9"/>
    <w:rsid w:val="00CF27CA"/>
    <w:rsid w:val="00CF2B92"/>
    <w:rsid w:val="00CF2D99"/>
    <w:rsid w:val="00CF2E2A"/>
    <w:rsid w:val="00CF39C8"/>
    <w:rsid w:val="00CF42C0"/>
    <w:rsid w:val="00CF4364"/>
    <w:rsid w:val="00CF49AB"/>
    <w:rsid w:val="00CF4E2B"/>
    <w:rsid w:val="00CF54C7"/>
    <w:rsid w:val="00CF5B49"/>
    <w:rsid w:val="00CF6158"/>
    <w:rsid w:val="00CF6E85"/>
    <w:rsid w:val="00CF732E"/>
    <w:rsid w:val="00CF77D7"/>
    <w:rsid w:val="00CF7903"/>
    <w:rsid w:val="00CF7CE1"/>
    <w:rsid w:val="00CF7DA1"/>
    <w:rsid w:val="00D000AC"/>
    <w:rsid w:val="00D002BB"/>
    <w:rsid w:val="00D00322"/>
    <w:rsid w:val="00D00E97"/>
    <w:rsid w:val="00D00FD0"/>
    <w:rsid w:val="00D010DC"/>
    <w:rsid w:val="00D0114C"/>
    <w:rsid w:val="00D01AE5"/>
    <w:rsid w:val="00D01BD7"/>
    <w:rsid w:val="00D01EBE"/>
    <w:rsid w:val="00D01ECD"/>
    <w:rsid w:val="00D02A21"/>
    <w:rsid w:val="00D02E71"/>
    <w:rsid w:val="00D03D1C"/>
    <w:rsid w:val="00D03D52"/>
    <w:rsid w:val="00D040F1"/>
    <w:rsid w:val="00D0425E"/>
    <w:rsid w:val="00D04E18"/>
    <w:rsid w:val="00D056BE"/>
    <w:rsid w:val="00D0582B"/>
    <w:rsid w:val="00D05880"/>
    <w:rsid w:val="00D064CD"/>
    <w:rsid w:val="00D06955"/>
    <w:rsid w:val="00D06BF5"/>
    <w:rsid w:val="00D075F9"/>
    <w:rsid w:val="00D07A80"/>
    <w:rsid w:val="00D07F97"/>
    <w:rsid w:val="00D102C5"/>
    <w:rsid w:val="00D104C9"/>
    <w:rsid w:val="00D106DA"/>
    <w:rsid w:val="00D10770"/>
    <w:rsid w:val="00D10BA7"/>
    <w:rsid w:val="00D10D59"/>
    <w:rsid w:val="00D10F46"/>
    <w:rsid w:val="00D11218"/>
    <w:rsid w:val="00D117A7"/>
    <w:rsid w:val="00D12173"/>
    <w:rsid w:val="00D12642"/>
    <w:rsid w:val="00D13298"/>
    <w:rsid w:val="00D13657"/>
    <w:rsid w:val="00D1365A"/>
    <w:rsid w:val="00D13F98"/>
    <w:rsid w:val="00D14175"/>
    <w:rsid w:val="00D144B5"/>
    <w:rsid w:val="00D14722"/>
    <w:rsid w:val="00D15580"/>
    <w:rsid w:val="00D15910"/>
    <w:rsid w:val="00D1629A"/>
    <w:rsid w:val="00D170A5"/>
    <w:rsid w:val="00D170CE"/>
    <w:rsid w:val="00D17619"/>
    <w:rsid w:val="00D17E52"/>
    <w:rsid w:val="00D2006F"/>
    <w:rsid w:val="00D20408"/>
    <w:rsid w:val="00D20542"/>
    <w:rsid w:val="00D2119F"/>
    <w:rsid w:val="00D21B07"/>
    <w:rsid w:val="00D22C48"/>
    <w:rsid w:val="00D23232"/>
    <w:rsid w:val="00D23D53"/>
    <w:rsid w:val="00D23F75"/>
    <w:rsid w:val="00D247AF"/>
    <w:rsid w:val="00D24BEF"/>
    <w:rsid w:val="00D25A75"/>
    <w:rsid w:val="00D25EB3"/>
    <w:rsid w:val="00D26202"/>
    <w:rsid w:val="00D2630A"/>
    <w:rsid w:val="00D265DE"/>
    <w:rsid w:val="00D26625"/>
    <w:rsid w:val="00D26661"/>
    <w:rsid w:val="00D27475"/>
    <w:rsid w:val="00D274ED"/>
    <w:rsid w:val="00D2786A"/>
    <w:rsid w:val="00D313F1"/>
    <w:rsid w:val="00D314F7"/>
    <w:rsid w:val="00D3159D"/>
    <w:rsid w:val="00D31666"/>
    <w:rsid w:val="00D31F54"/>
    <w:rsid w:val="00D32294"/>
    <w:rsid w:val="00D32C6C"/>
    <w:rsid w:val="00D337E3"/>
    <w:rsid w:val="00D340F0"/>
    <w:rsid w:val="00D34897"/>
    <w:rsid w:val="00D348B0"/>
    <w:rsid w:val="00D353C5"/>
    <w:rsid w:val="00D35419"/>
    <w:rsid w:val="00D36219"/>
    <w:rsid w:val="00D3769B"/>
    <w:rsid w:val="00D37BAD"/>
    <w:rsid w:val="00D403F7"/>
    <w:rsid w:val="00D40428"/>
    <w:rsid w:val="00D40478"/>
    <w:rsid w:val="00D411EA"/>
    <w:rsid w:val="00D419C2"/>
    <w:rsid w:val="00D4220F"/>
    <w:rsid w:val="00D42C37"/>
    <w:rsid w:val="00D42DFD"/>
    <w:rsid w:val="00D4383B"/>
    <w:rsid w:val="00D43B9E"/>
    <w:rsid w:val="00D43C33"/>
    <w:rsid w:val="00D44E3D"/>
    <w:rsid w:val="00D44EC5"/>
    <w:rsid w:val="00D450C1"/>
    <w:rsid w:val="00D451E3"/>
    <w:rsid w:val="00D45F34"/>
    <w:rsid w:val="00D473A4"/>
    <w:rsid w:val="00D47655"/>
    <w:rsid w:val="00D478AB"/>
    <w:rsid w:val="00D50307"/>
    <w:rsid w:val="00D5031B"/>
    <w:rsid w:val="00D505F2"/>
    <w:rsid w:val="00D50665"/>
    <w:rsid w:val="00D50C97"/>
    <w:rsid w:val="00D51445"/>
    <w:rsid w:val="00D516EF"/>
    <w:rsid w:val="00D51852"/>
    <w:rsid w:val="00D51B1D"/>
    <w:rsid w:val="00D51D61"/>
    <w:rsid w:val="00D523C4"/>
    <w:rsid w:val="00D526E5"/>
    <w:rsid w:val="00D534BC"/>
    <w:rsid w:val="00D5353E"/>
    <w:rsid w:val="00D53606"/>
    <w:rsid w:val="00D53B64"/>
    <w:rsid w:val="00D53E0E"/>
    <w:rsid w:val="00D54025"/>
    <w:rsid w:val="00D54038"/>
    <w:rsid w:val="00D5409B"/>
    <w:rsid w:val="00D54673"/>
    <w:rsid w:val="00D54A28"/>
    <w:rsid w:val="00D54C8C"/>
    <w:rsid w:val="00D55253"/>
    <w:rsid w:val="00D56284"/>
    <w:rsid w:val="00D56894"/>
    <w:rsid w:val="00D57386"/>
    <w:rsid w:val="00D5756D"/>
    <w:rsid w:val="00D57986"/>
    <w:rsid w:val="00D60800"/>
    <w:rsid w:val="00D6086A"/>
    <w:rsid w:val="00D6090A"/>
    <w:rsid w:val="00D626D3"/>
    <w:rsid w:val="00D62A8D"/>
    <w:rsid w:val="00D63296"/>
    <w:rsid w:val="00D6376F"/>
    <w:rsid w:val="00D637EB"/>
    <w:rsid w:val="00D63ED2"/>
    <w:rsid w:val="00D64001"/>
    <w:rsid w:val="00D648BA"/>
    <w:rsid w:val="00D64955"/>
    <w:rsid w:val="00D64CF0"/>
    <w:rsid w:val="00D64E82"/>
    <w:rsid w:val="00D665EC"/>
    <w:rsid w:val="00D667C0"/>
    <w:rsid w:val="00D66C3B"/>
    <w:rsid w:val="00D67143"/>
    <w:rsid w:val="00D676C3"/>
    <w:rsid w:val="00D677EF"/>
    <w:rsid w:val="00D70AA4"/>
    <w:rsid w:val="00D70B49"/>
    <w:rsid w:val="00D70D20"/>
    <w:rsid w:val="00D7198E"/>
    <w:rsid w:val="00D7228B"/>
    <w:rsid w:val="00D72735"/>
    <w:rsid w:val="00D72BFB"/>
    <w:rsid w:val="00D72E4B"/>
    <w:rsid w:val="00D732A0"/>
    <w:rsid w:val="00D73308"/>
    <w:rsid w:val="00D73671"/>
    <w:rsid w:val="00D73DF6"/>
    <w:rsid w:val="00D74647"/>
    <w:rsid w:val="00D74AF7"/>
    <w:rsid w:val="00D74EC1"/>
    <w:rsid w:val="00D753B8"/>
    <w:rsid w:val="00D75D89"/>
    <w:rsid w:val="00D75F55"/>
    <w:rsid w:val="00D760BB"/>
    <w:rsid w:val="00D76136"/>
    <w:rsid w:val="00D7616C"/>
    <w:rsid w:val="00D761D8"/>
    <w:rsid w:val="00D763DA"/>
    <w:rsid w:val="00D76633"/>
    <w:rsid w:val="00D77005"/>
    <w:rsid w:val="00D7797C"/>
    <w:rsid w:val="00D77DD0"/>
    <w:rsid w:val="00D80909"/>
    <w:rsid w:val="00D80A21"/>
    <w:rsid w:val="00D80B65"/>
    <w:rsid w:val="00D817C1"/>
    <w:rsid w:val="00D81963"/>
    <w:rsid w:val="00D81D10"/>
    <w:rsid w:val="00D81E7E"/>
    <w:rsid w:val="00D821F1"/>
    <w:rsid w:val="00D82A3D"/>
    <w:rsid w:val="00D82E01"/>
    <w:rsid w:val="00D83C37"/>
    <w:rsid w:val="00D83CBC"/>
    <w:rsid w:val="00D844A1"/>
    <w:rsid w:val="00D84DD0"/>
    <w:rsid w:val="00D8526A"/>
    <w:rsid w:val="00D8531C"/>
    <w:rsid w:val="00D853A2"/>
    <w:rsid w:val="00D85A46"/>
    <w:rsid w:val="00D86C4A"/>
    <w:rsid w:val="00D87200"/>
    <w:rsid w:val="00D87D75"/>
    <w:rsid w:val="00D87FB2"/>
    <w:rsid w:val="00D90358"/>
    <w:rsid w:val="00D904FB"/>
    <w:rsid w:val="00D90552"/>
    <w:rsid w:val="00D918BF"/>
    <w:rsid w:val="00D91A9B"/>
    <w:rsid w:val="00D924CD"/>
    <w:rsid w:val="00D92824"/>
    <w:rsid w:val="00D92ECD"/>
    <w:rsid w:val="00D93138"/>
    <w:rsid w:val="00D933AB"/>
    <w:rsid w:val="00D933AD"/>
    <w:rsid w:val="00D9347D"/>
    <w:rsid w:val="00D93689"/>
    <w:rsid w:val="00D93D52"/>
    <w:rsid w:val="00D94EEF"/>
    <w:rsid w:val="00D950D7"/>
    <w:rsid w:val="00D95450"/>
    <w:rsid w:val="00D95CFC"/>
    <w:rsid w:val="00D961F6"/>
    <w:rsid w:val="00D96305"/>
    <w:rsid w:val="00D96F81"/>
    <w:rsid w:val="00D97105"/>
    <w:rsid w:val="00D97A56"/>
    <w:rsid w:val="00DA02C7"/>
    <w:rsid w:val="00DA0D11"/>
    <w:rsid w:val="00DA13F7"/>
    <w:rsid w:val="00DA1760"/>
    <w:rsid w:val="00DA1A8D"/>
    <w:rsid w:val="00DA1B4B"/>
    <w:rsid w:val="00DA1CA4"/>
    <w:rsid w:val="00DA2935"/>
    <w:rsid w:val="00DA2E64"/>
    <w:rsid w:val="00DA2EED"/>
    <w:rsid w:val="00DA2F28"/>
    <w:rsid w:val="00DA30F9"/>
    <w:rsid w:val="00DA3D0F"/>
    <w:rsid w:val="00DA466B"/>
    <w:rsid w:val="00DA4F89"/>
    <w:rsid w:val="00DA52AB"/>
    <w:rsid w:val="00DA5528"/>
    <w:rsid w:val="00DA5874"/>
    <w:rsid w:val="00DA5F5A"/>
    <w:rsid w:val="00DA6103"/>
    <w:rsid w:val="00DA63B1"/>
    <w:rsid w:val="00DA702C"/>
    <w:rsid w:val="00DA7291"/>
    <w:rsid w:val="00DA79C8"/>
    <w:rsid w:val="00DA7FB7"/>
    <w:rsid w:val="00DB1BE9"/>
    <w:rsid w:val="00DB1C8D"/>
    <w:rsid w:val="00DB2284"/>
    <w:rsid w:val="00DB2454"/>
    <w:rsid w:val="00DB271D"/>
    <w:rsid w:val="00DB29A9"/>
    <w:rsid w:val="00DB32BE"/>
    <w:rsid w:val="00DB3BE7"/>
    <w:rsid w:val="00DB3E86"/>
    <w:rsid w:val="00DB49D8"/>
    <w:rsid w:val="00DB50AA"/>
    <w:rsid w:val="00DB576B"/>
    <w:rsid w:val="00DB5931"/>
    <w:rsid w:val="00DB5A9F"/>
    <w:rsid w:val="00DB608A"/>
    <w:rsid w:val="00DB610B"/>
    <w:rsid w:val="00DB6735"/>
    <w:rsid w:val="00DB6FA5"/>
    <w:rsid w:val="00DB7326"/>
    <w:rsid w:val="00DB7C40"/>
    <w:rsid w:val="00DC0213"/>
    <w:rsid w:val="00DC0446"/>
    <w:rsid w:val="00DC09C4"/>
    <w:rsid w:val="00DC0A7A"/>
    <w:rsid w:val="00DC0AFC"/>
    <w:rsid w:val="00DC0ED7"/>
    <w:rsid w:val="00DC12FC"/>
    <w:rsid w:val="00DC1772"/>
    <w:rsid w:val="00DC224C"/>
    <w:rsid w:val="00DC2289"/>
    <w:rsid w:val="00DC2E21"/>
    <w:rsid w:val="00DC33FA"/>
    <w:rsid w:val="00DC3A0E"/>
    <w:rsid w:val="00DC43B3"/>
    <w:rsid w:val="00DC576A"/>
    <w:rsid w:val="00DC5CD2"/>
    <w:rsid w:val="00DC648B"/>
    <w:rsid w:val="00DC65B9"/>
    <w:rsid w:val="00DC68FC"/>
    <w:rsid w:val="00DC6C37"/>
    <w:rsid w:val="00DC6E4B"/>
    <w:rsid w:val="00DC6FCF"/>
    <w:rsid w:val="00DC7715"/>
    <w:rsid w:val="00DC7AC9"/>
    <w:rsid w:val="00DD0053"/>
    <w:rsid w:val="00DD133C"/>
    <w:rsid w:val="00DD1910"/>
    <w:rsid w:val="00DD1F7E"/>
    <w:rsid w:val="00DD1FF0"/>
    <w:rsid w:val="00DD26EE"/>
    <w:rsid w:val="00DD2AB8"/>
    <w:rsid w:val="00DD2C01"/>
    <w:rsid w:val="00DD3003"/>
    <w:rsid w:val="00DD3BAE"/>
    <w:rsid w:val="00DD417C"/>
    <w:rsid w:val="00DD4862"/>
    <w:rsid w:val="00DD4B0D"/>
    <w:rsid w:val="00DD4F10"/>
    <w:rsid w:val="00DD6E6B"/>
    <w:rsid w:val="00DD7107"/>
    <w:rsid w:val="00DD7173"/>
    <w:rsid w:val="00DD73CA"/>
    <w:rsid w:val="00DE0025"/>
    <w:rsid w:val="00DE101A"/>
    <w:rsid w:val="00DE10CD"/>
    <w:rsid w:val="00DE194C"/>
    <w:rsid w:val="00DE1C16"/>
    <w:rsid w:val="00DE2288"/>
    <w:rsid w:val="00DE259D"/>
    <w:rsid w:val="00DE2814"/>
    <w:rsid w:val="00DE2815"/>
    <w:rsid w:val="00DE2AFA"/>
    <w:rsid w:val="00DE2FE4"/>
    <w:rsid w:val="00DE3010"/>
    <w:rsid w:val="00DE31AC"/>
    <w:rsid w:val="00DE3693"/>
    <w:rsid w:val="00DE3A36"/>
    <w:rsid w:val="00DE4186"/>
    <w:rsid w:val="00DE4408"/>
    <w:rsid w:val="00DE4931"/>
    <w:rsid w:val="00DE4BAA"/>
    <w:rsid w:val="00DE4EF9"/>
    <w:rsid w:val="00DE50EA"/>
    <w:rsid w:val="00DE522B"/>
    <w:rsid w:val="00DE60EA"/>
    <w:rsid w:val="00DE665B"/>
    <w:rsid w:val="00DE6A92"/>
    <w:rsid w:val="00DE6DCE"/>
    <w:rsid w:val="00DE7535"/>
    <w:rsid w:val="00DE78F3"/>
    <w:rsid w:val="00DE79BD"/>
    <w:rsid w:val="00DE7EE6"/>
    <w:rsid w:val="00DE7F06"/>
    <w:rsid w:val="00DF02B8"/>
    <w:rsid w:val="00DF06E4"/>
    <w:rsid w:val="00DF0AA5"/>
    <w:rsid w:val="00DF0F90"/>
    <w:rsid w:val="00DF1255"/>
    <w:rsid w:val="00DF21B9"/>
    <w:rsid w:val="00DF26E5"/>
    <w:rsid w:val="00DF27B8"/>
    <w:rsid w:val="00DF2E03"/>
    <w:rsid w:val="00DF41E4"/>
    <w:rsid w:val="00DF43AB"/>
    <w:rsid w:val="00DF4472"/>
    <w:rsid w:val="00DF4477"/>
    <w:rsid w:val="00DF4740"/>
    <w:rsid w:val="00DF4760"/>
    <w:rsid w:val="00DF47C4"/>
    <w:rsid w:val="00DF4B77"/>
    <w:rsid w:val="00DF4BDF"/>
    <w:rsid w:val="00DF4FBD"/>
    <w:rsid w:val="00DF504D"/>
    <w:rsid w:val="00DF510B"/>
    <w:rsid w:val="00DF51E3"/>
    <w:rsid w:val="00DF534B"/>
    <w:rsid w:val="00DF544D"/>
    <w:rsid w:val="00DF5909"/>
    <w:rsid w:val="00DF6473"/>
    <w:rsid w:val="00DF6E47"/>
    <w:rsid w:val="00DF6FC0"/>
    <w:rsid w:val="00DF7097"/>
    <w:rsid w:val="00DF7647"/>
    <w:rsid w:val="00DF7984"/>
    <w:rsid w:val="00DF79B7"/>
    <w:rsid w:val="00DF7EA8"/>
    <w:rsid w:val="00DF7EEF"/>
    <w:rsid w:val="00E0118C"/>
    <w:rsid w:val="00E01B30"/>
    <w:rsid w:val="00E01BC5"/>
    <w:rsid w:val="00E01C76"/>
    <w:rsid w:val="00E01F25"/>
    <w:rsid w:val="00E026E2"/>
    <w:rsid w:val="00E02E4C"/>
    <w:rsid w:val="00E03046"/>
    <w:rsid w:val="00E03DD6"/>
    <w:rsid w:val="00E03E16"/>
    <w:rsid w:val="00E03E9F"/>
    <w:rsid w:val="00E0416B"/>
    <w:rsid w:val="00E057E2"/>
    <w:rsid w:val="00E05ACE"/>
    <w:rsid w:val="00E0661B"/>
    <w:rsid w:val="00E06837"/>
    <w:rsid w:val="00E06B84"/>
    <w:rsid w:val="00E06E85"/>
    <w:rsid w:val="00E07022"/>
    <w:rsid w:val="00E070F5"/>
    <w:rsid w:val="00E077C1"/>
    <w:rsid w:val="00E079F2"/>
    <w:rsid w:val="00E079FA"/>
    <w:rsid w:val="00E108EA"/>
    <w:rsid w:val="00E10E87"/>
    <w:rsid w:val="00E1116B"/>
    <w:rsid w:val="00E11619"/>
    <w:rsid w:val="00E1190A"/>
    <w:rsid w:val="00E12147"/>
    <w:rsid w:val="00E12BEC"/>
    <w:rsid w:val="00E13326"/>
    <w:rsid w:val="00E13659"/>
    <w:rsid w:val="00E13A98"/>
    <w:rsid w:val="00E13E6D"/>
    <w:rsid w:val="00E143D7"/>
    <w:rsid w:val="00E150BC"/>
    <w:rsid w:val="00E15238"/>
    <w:rsid w:val="00E15998"/>
    <w:rsid w:val="00E15D28"/>
    <w:rsid w:val="00E16A65"/>
    <w:rsid w:val="00E16A8B"/>
    <w:rsid w:val="00E16EA7"/>
    <w:rsid w:val="00E170D7"/>
    <w:rsid w:val="00E2010B"/>
    <w:rsid w:val="00E207CE"/>
    <w:rsid w:val="00E20821"/>
    <w:rsid w:val="00E20DD9"/>
    <w:rsid w:val="00E20E2D"/>
    <w:rsid w:val="00E20E44"/>
    <w:rsid w:val="00E21594"/>
    <w:rsid w:val="00E21C41"/>
    <w:rsid w:val="00E22CE9"/>
    <w:rsid w:val="00E2341F"/>
    <w:rsid w:val="00E235BE"/>
    <w:rsid w:val="00E23644"/>
    <w:rsid w:val="00E237C6"/>
    <w:rsid w:val="00E2394A"/>
    <w:rsid w:val="00E23974"/>
    <w:rsid w:val="00E23AFE"/>
    <w:rsid w:val="00E23C10"/>
    <w:rsid w:val="00E23E61"/>
    <w:rsid w:val="00E2425B"/>
    <w:rsid w:val="00E246A3"/>
    <w:rsid w:val="00E249FC"/>
    <w:rsid w:val="00E2514B"/>
    <w:rsid w:val="00E25370"/>
    <w:rsid w:val="00E26436"/>
    <w:rsid w:val="00E26592"/>
    <w:rsid w:val="00E27147"/>
    <w:rsid w:val="00E27420"/>
    <w:rsid w:val="00E27923"/>
    <w:rsid w:val="00E279CF"/>
    <w:rsid w:val="00E27F75"/>
    <w:rsid w:val="00E3009E"/>
    <w:rsid w:val="00E30106"/>
    <w:rsid w:val="00E3035F"/>
    <w:rsid w:val="00E3099F"/>
    <w:rsid w:val="00E30C48"/>
    <w:rsid w:val="00E30EE7"/>
    <w:rsid w:val="00E31174"/>
    <w:rsid w:val="00E31603"/>
    <w:rsid w:val="00E32174"/>
    <w:rsid w:val="00E32DED"/>
    <w:rsid w:val="00E333F5"/>
    <w:rsid w:val="00E3346D"/>
    <w:rsid w:val="00E33C22"/>
    <w:rsid w:val="00E33D9A"/>
    <w:rsid w:val="00E345EC"/>
    <w:rsid w:val="00E34837"/>
    <w:rsid w:val="00E34870"/>
    <w:rsid w:val="00E34BC9"/>
    <w:rsid w:val="00E34D3F"/>
    <w:rsid w:val="00E3555B"/>
    <w:rsid w:val="00E369D2"/>
    <w:rsid w:val="00E36F2A"/>
    <w:rsid w:val="00E373A2"/>
    <w:rsid w:val="00E37FB3"/>
    <w:rsid w:val="00E40462"/>
    <w:rsid w:val="00E40F45"/>
    <w:rsid w:val="00E40FD7"/>
    <w:rsid w:val="00E4119D"/>
    <w:rsid w:val="00E4132D"/>
    <w:rsid w:val="00E41B86"/>
    <w:rsid w:val="00E41BA7"/>
    <w:rsid w:val="00E41BC8"/>
    <w:rsid w:val="00E41E67"/>
    <w:rsid w:val="00E42A2E"/>
    <w:rsid w:val="00E4302E"/>
    <w:rsid w:val="00E43097"/>
    <w:rsid w:val="00E43132"/>
    <w:rsid w:val="00E4333F"/>
    <w:rsid w:val="00E43A3C"/>
    <w:rsid w:val="00E43A54"/>
    <w:rsid w:val="00E44E21"/>
    <w:rsid w:val="00E4557A"/>
    <w:rsid w:val="00E461F7"/>
    <w:rsid w:val="00E46C59"/>
    <w:rsid w:val="00E46E4C"/>
    <w:rsid w:val="00E47419"/>
    <w:rsid w:val="00E5035A"/>
    <w:rsid w:val="00E509BD"/>
    <w:rsid w:val="00E50C95"/>
    <w:rsid w:val="00E51B48"/>
    <w:rsid w:val="00E52299"/>
    <w:rsid w:val="00E5234E"/>
    <w:rsid w:val="00E527B2"/>
    <w:rsid w:val="00E52B0B"/>
    <w:rsid w:val="00E52F4C"/>
    <w:rsid w:val="00E53173"/>
    <w:rsid w:val="00E5349B"/>
    <w:rsid w:val="00E535CF"/>
    <w:rsid w:val="00E536D2"/>
    <w:rsid w:val="00E53A8F"/>
    <w:rsid w:val="00E53B6B"/>
    <w:rsid w:val="00E53BA1"/>
    <w:rsid w:val="00E53E58"/>
    <w:rsid w:val="00E5477B"/>
    <w:rsid w:val="00E548DF"/>
    <w:rsid w:val="00E54F1A"/>
    <w:rsid w:val="00E55207"/>
    <w:rsid w:val="00E55459"/>
    <w:rsid w:val="00E55797"/>
    <w:rsid w:val="00E55AAA"/>
    <w:rsid w:val="00E564B0"/>
    <w:rsid w:val="00E5764E"/>
    <w:rsid w:val="00E576EC"/>
    <w:rsid w:val="00E57745"/>
    <w:rsid w:val="00E6043D"/>
    <w:rsid w:val="00E60B8C"/>
    <w:rsid w:val="00E61CF1"/>
    <w:rsid w:val="00E62446"/>
    <w:rsid w:val="00E62FD9"/>
    <w:rsid w:val="00E6365C"/>
    <w:rsid w:val="00E6374C"/>
    <w:rsid w:val="00E64C33"/>
    <w:rsid w:val="00E6506A"/>
    <w:rsid w:val="00E65C32"/>
    <w:rsid w:val="00E65DED"/>
    <w:rsid w:val="00E66245"/>
    <w:rsid w:val="00E668DD"/>
    <w:rsid w:val="00E66F63"/>
    <w:rsid w:val="00E67604"/>
    <w:rsid w:val="00E67AE5"/>
    <w:rsid w:val="00E67F8F"/>
    <w:rsid w:val="00E705F8"/>
    <w:rsid w:val="00E70D67"/>
    <w:rsid w:val="00E72000"/>
    <w:rsid w:val="00E72154"/>
    <w:rsid w:val="00E7241D"/>
    <w:rsid w:val="00E72644"/>
    <w:rsid w:val="00E7271C"/>
    <w:rsid w:val="00E731A8"/>
    <w:rsid w:val="00E735BE"/>
    <w:rsid w:val="00E7390F"/>
    <w:rsid w:val="00E73922"/>
    <w:rsid w:val="00E742E9"/>
    <w:rsid w:val="00E74A59"/>
    <w:rsid w:val="00E74EBD"/>
    <w:rsid w:val="00E74FD4"/>
    <w:rsid w:val="00E75670"/>
    <w:rsid w:val="00E756E6"/>
    <w:rsid w:val="00E75C95"/>
    <w:rsid w:val="00E76089"/>
    <w:rsid w:val="00E76252"/>
    <w:rsid w:val="00E762DA"/>
    <w:rsid w:val="00E7638A"/>
    <w:rsid w:val="00E76AE1"/>
    <w:rsid w:val="00E76D28"/>
    <w:rsid w:val="00E76F3F"/>
    <w:rsid w:val="00E7718B"/>
    <w:rsid w:val="00E77397"/>
    <w:rsid w:val="00E77C82"/>
    <w:rsid w:val="00E77CA5"/>
    <w:rsid w:val="00E80150"/>
    <w:rsid w:val="00E8026A"/>
    <w:rsid w:val="00E8134B"/>
    <w:rsid w:val="00E815D5"/>
    <w:rsid w:val="00E81831"/>
    <w:rsid w:val="00E824B2"/>
    <w:rsid w:val="00E82D2E"/>
    <w:rsid w:val="00E83921"/>
    <w:rsid w:val="00E83AD4"/>
    <w:rsid w:val="00E847B5"/>
    <w:rsid w:val="00E84B78"/>
    <w:rsid w:val="00E85003"/>
    <w:rsid w:val="00E8577E"/>
    <w:rsid w:val="00E90524"/>
    <w:rsid w:val="00E9058A"/>
    <w:rsid w:val="00E90FBD"/>
    <w:rsid w:val="00E9102A"/>
    <w:rsid w:val="00E918BC"/>
    <w:rsid w:val="00E921F6"/>
    <w:rsid w:val="00E923EA"/>
    <w:rsid w:val="00E928B4"/>
    <w:rsid w:val="00E93489"/>
    <w:rsid w:val="00E9353B"/>
    <w:rsid w:val="00E9359F"/>
    <w:rsid w:val="00E9464A"/>
    <w:rsid w:val="00E948B3"/>
    <w:rsid w:val="00E94AAC"/>
    <w:rsid w:val="00E95049"/>
    <w:rsid w:val="00E9595E"/>
    <w:rsid w:val="00E95A7B"/>
    <w:rsid w:val="00E95FE2"/>
    <w:rsid w:val="00E9630B"/>
    <w:rsid w:val="00E966E6"/>
    <w:rsid w:val="00E97E10"/>
    <w:rsid w:val="00EA05A4"/>
    <w:rsid w:val="00EA10D7"/>
    <w:rsid w:val="00EA1257"/>
    <w:rsid w:val="00EA17C0"/>
    <w:rsid w:val="00EA299A"/>
    <w:rsid w:val="00EA2B11"/>
    <w:rsid w:val="00EA2CAD"/>
    <w:rsid w:val="00EA3ADF"/>
    <w:rsid w:val="00EA4A37"/>
    <w:rsid w:val="00EA4E07"/>
    <w:rsid w:val="00EA6305"/>
    <w:rsid w:val="00EA6C9B"/>
    <w:rsid w:val="00EA73DB"/>
    <w:rsid w:val="00EA77EE"/>
    <w:rsid w:val="00EB0630"/>
    <w:rsid w:val="00EB06DA"/>
    <w:rsid w:val="00EB0933"/>
    <w:rsid w:val="00EB0A7F"/>
    <w:rsid w:val="00EB13D2"/>
    <w:rsid w:val="00EB19B4"/>
    <w:rsid w:val="00EB1AD5"/>
    <w:rsid w:val="00EB2033"/>
    <w:rsid w:val="00EB220B"/>
    <w:rsid w:val="00EB2E86"/>
    <w:rsid w:val="00EB2ED9"/>
    <w:rsid w:val="00EB2F3B"/>
    <w:rsid w:val="00EB30D0"/>
    <w:rsid w:val="00EB3561"/>
    <w:rsid w:val="00EB37C6"/>
    <w:rsid w:val="00EB3CA9"/>
    <w:rsid w:val="00EB3EF0"/>
    <w:rsid w:val="00EB4306"/>
    <w:rsid w:val="00EB4A14"/>
    <w:rsid w:val="00EB4C5F"/>
    <w:rsid w:val="00EB4C95"/>
    <w:rsid w:val="00EB54A7"/>
    <w:rsid w:val="00EB62A9"/>
    <w:rsid w:val="00EB666B"/>
    <w:rsid w:val="00EB6823"/>
    <w:rsid w:val="00EB6854"/>
    <w:rsid w:val="00EB68B0"/>
    <w:rsid w:val="00EB73A6"/>
    <w:rsid w:val="00EB7436"/>
    <w:rsid w:val="00EB7476"/>
    <w:rsid w:val="00EB74B7"/>
    <w:rsid w:val="00EB7950"/>
    <w:rsid w:val="00EB7AA3"/>
    <w:rsid w:val="00EB7C68"/>
    <w:rsid w:val="00EC0012"/>
    <w:rsid w:val="00EC0218"/>
    <w:rsid w:val="00EC0343"/>
    <w:rsid w:val="00EC0A20"/>
    <w:rsid w:val="00EC0FC3"/>
    <w:rsid w:val="00EC1164"/>
    <w:rsid w:val="00EC16E9"/>
    <w:rsid w:val="00EC1FE9"/>
    <w:rsid w:val="00EC27A0"/>
    <w:rsid w:val="00EC2A36"/>
    <w:rsid w:val="00EC2E0B"/>
    <w:rsid w:val="00EC32AC"/>
    <w:rsid w:val="00EC364C"/>
    <w:rsid w:val="00EC378D"/>
    <w:rsid w:val="00EC46EC"/>
    <w:rsid w:val="00EC4719"/>
    <w:rsid w:val="00EC4A3B"/>
    <w:rsid w:val="00EC5565"/>
    <w:rsid w:val="00EC56A0"/>
    <w:rsid w:val="00EC61BD"/>
    <w:rsid w:val="00EC677D"/>
    <w:rsid w:val="00EC695D"/>
    <w:rsid w:val="00EC6A45"/>
    <w:rsid w:val="00EC6CA5"/>
    <w:rsid w:val="00EC7036"/>
    <w:rsid w:val="00EC74AC"/>
    <w:rsid w:val="00EC7975"/>
    <w:rsid w:val="00EC7D85"/>
    <w:rsid w:val="00ED00BA"/>
    <w:rsid w:val="00ED0424"/>
    <w:rsid w:val="00ED054E"/>
    <w:rsid w:val="00ED0898"/>
    <w:rsid w:val="00ED17A9"/>
    <w:rsid w:val="00ED1AB4"/>
    <w:rsid w:val="00ED2A87"/>
    <w:rsid w:val="00ED2BCA"/>
    <w:rsid w:val="00ED30F0"/>
    <w:rsid w:val="00ED31CD"/>
    <w:rsid w:val="00ED32CE"/>
    <w:rsid w:val="00ED37ED"/>
    <w:rsid w:val="00ED3A8D"/>
    <w:rsid w:val="00ED3F92"/>
    <w:rsid w:val="00ED4C4C"/>
    <w:rsid w:val="00ED4E20"/>
    <w:rsid w:val="00ED4EBE"/>
    <w:rsid w:val="00ED5057"/>
    <w:rsid w:val="00ED5067"/>
    <w:rsid w:val="00ED57BE"/>
    <w:rsid w:val="00ED6148"/>
    <w:rsid w:val="00ED628C"/>
    <w:rsid w:val="00ED6417"/>
    <w:rsid w:val="00ED6424"/>
    <w:rsid w:val="00ED661B"/>
    <w:rsid w:val="00ED6B04"/>
    <w:rsid w:val="00ED7313"/>
    <w:rsid w:val="00ED733F"/>
    <w:rsid w:val="00ED7B39"/>
    <w:rsid w:val="00EE0722"/>
    <w:rsid w:val="00EE09F8"/>
    <w:rsid w:val="00EE0CB7"/>
    <w:rsid w:val="00EE1122"/>
    <w:rsid w:val="00EE1AAC"/>
    <w:rsid w:val="00EE1BCB"/>
    <w:rsid w:val="00EE227F"/>
    <w:rsid w:val="00EE2751"/>
    <w:rsid w:val="00EE3426"/>
    <w:rsid w:val="00EE3452"/>
    <w:rsid w:val="00EE3616"/>
    <w:rsid w:val="00EE3A40"/>
    <w:rsid w:val="00EE4726"/>
    <w:rsid w:val="00EE4A39"/>
    <w:rsid w:val="00EE4FCB"/>
    <w:rsid w:val="00EE6FCA"/>
    <w:rsid w:val="00EE755E"/>
    <w:rsid w:val="00EE7582"/>
    <w:rsid w:val="00EE7948"/>
    <w:rsid w:val="00EE7E78"/>
    <w:rsid w:val="00EF00C1"/>
    <w:rsid w:val="00EF0176"/>
    <w:rsid w:val="00EF02B1"/>
    <w:rsid w:val="00EF0B59"/>
    <w:rsid w:val="00EF0C38"/>
    <w:rsid w:val="00EF0F65"/>
    <w:rsid w:val="00EF1048"/>
    <w:rsid w:val="00EF1F31"/>
    <w:rsid w:val="00EF350E"/>
    <w:rsid w:val="00EF38E5"/>
    <w:rsid w:val="00EF3B79"/>
    <w:rsid w:val="00EF3BD1"/>
    <w:rsid w:val="00EF3E06"/>
    <w:rsid w:val="00EF3E42"/>
    <w:rsid w:val="00EF40AD"/>
    <w:rsid w:val="00EF4588"/>
    <w:rsid w:val="00EF513A"/>
    <w:rsid w:val="00EF5C5E"/>
    <w:rsid w:val="00EF5F41"/>
    <w:rsid w:val="00EF7400"/>
    <w:rsid w:val="00EF7AF5"/>
    <w:rsid w:val="00EF7CF3"/>
    <w:rsid w:val="00EF7EC4"/>
    <w:rsid w:val="00F0094C"/>
    <w:rsid w:val="00F00C00"/>
    <w:rsid w:val="00F01546"/>
    <w:rsid w:val="00F015B4"/>
    <w:rsid w:val="00F01A8A"/>
    <w:rsid w:val="00F01F0E"/>
    <w:rsid w:val="00F021DE"/>
    <w:rsid w:val="00F02442"/>
    <w:rsid w:val="00F02D77"/>
    <w:rsid w:val="00F02E39"/>
    <w:rsid w:val="00F02FCC"/>
    <w:rsid w:val="00F03111"/>
    <w:rsid w:val="00F03430"/>
    <w:rsid w:val="00F03AFA"/>
    <w:rsid w:val="00F03F12"/>
    <w:rsid w:val="00F03FD5"/>
    <w:rsid w:val="00F048AE"/>
    <w:rsid w:val="00F04D63"/>
    <w:rsid w:val="00F04E38"/>
    <w:rsid w:val="00F0547B"/>
    <w:rsid w:val="00F054D3"/>
    <w:rsid w:val="00F05F4B"/>
    <w:rsid w:val="00F0659E"/>
    <w:rsid w:val="00F0676E"/>
    <w:rsid w:val="00F0737D"/>
    <w:rsid w:val="00F076D1"/>
    <w:rsid w:val="00F07952"/>
    <w:rsid w:val="00F10161"/>
    <w:rsid w:val="00F1083F"/>
    <w:rsid w:val="00F10D48"/>
    <w:rsid w:val="00F125BC"/>
    <w:rsid w:val="00F12624"/>
    <w:rsid w:val="00F12DB0"/>
    <w:rsid w:val="00F12DBA"/>
    <w:rsid w:val="00F13465"/>
    <w:rsid w:val="00F13469"/>
    <w:rsid w:val="00F137D5"/>
    <w:rsid w:val="00F1399F"/>
    <w:rsid w:val="00F13C1B"/>
    <w:rsid w:val="00F13FA4"/>
    <w:rsid w:val="00F14034"/>
    <w:rsid w:val="00F1472A"/>
    <w:rsid w:val="00F157C3"/>
    <w:rsid w:val="00F15A19"/>
    <w:rsid w:val="00F15A46"/>
    <w:rsid w:val="00F16288"/>
    <w:rsid w:val="00F16A50"/>
    <w:rsid w:val="00F16C11"/>
    <w:rsid w:val="00F16CF1"/>
    <w:rsid w:val="00F173EA"/>
    <w:rsid w:val="00F17443"/>
    <w:rsid w:val="00F17610"/>
    <w:rsid w:val="00F1783F"/>
    <w:rsid w:val="00F17B8D"/>
    <w:rsid w:val="00F17F08"/>
    <w:rsid w:val="00F206DF"/>
    <w:rsid w:val="00F2095A"/>
    <w:rsid w:val="00F21D68"/>
    <w:rsid w:val="00F22330"/>
    <w:rsid w:val="00F237D6"/>
    <w:rsid w:val="00F23A58"/>
    <w:rsid w:val="00F243AD"/>
    <w:rsid w:val="00F246A5"/>
    <w:rsid w:val="00F24A33"/>
    <w:rsid w:val="00F2589E"/>
    <w:rsid w:val="00F25C27"/>
    <w:rsid w:val="00F26200"/>
    <w:rsid w:val="00F263D1"/>
    <w:rsid w:val="00F26418"/>
    <w:rsid w:val="00F26775"/>
    <w:rsid w:val="00F26FBD"/>
    <w:rsid w:val="00F30988"/>
    <w:rsid w:val="00F31E72"/>
    <w:rsid w:val="00F31F8D"/>
    <w:rsid w:val="00F3241C"/>
    <w:rsid w:val="00F324DA"/>
    <w:rsid w:val="00F32983"/>
    <w:rsid w:val="00F335F4"/>
    <w:rsid w:val="00F339A5"/>
    <w:rsid w:val="00F33F2E"/>
    <w:rsid w:val="00F3574F"/>
    <w:rsid w:val="00F35785"/>
    <w:rsid w:val="00F35A94"/>
    <w:rsid w:val="00F36174"/>
    <w:rsid w:val="00F36620"/>
    <w:rsid w:val="00F36AE8"/>
    <w:rsid w:val="00F36F8B"/>
    <w:rsid w:val="00F37C25"/>
    <w:rsid w:val="00F37E11"/>
    <w:rsid w:val="00F4037E"/>
    <w:rsid w:val="00F40D1E"/>
    <w:rsid w:val="00F412D4"/>
    <w:rsid w:val="00F41D67"/>
    <w:rsid w:val="00F42238"/>
    <w:rsid w:val="00F4234A"/>
    <w:rsid w:val="00F42758"/>
    <w:rsid w:val="00F428D6"/>
    <w:rsid w:val="00F429DB"/>
    <w:rsid w:val="00F429FD"/>
    <w:rsid w:val="00F42C54"/>
    <w:rsid w:val="00F4372B"/>
    <w:rsid w:val="00F43DAC"/>
    <w:rsid w:val="00F43FDB"/>
    <w:rsid w:val="00F442B5"/>
    <w:rsid w:val="00F442C7"/>
    <w:rsid w:val="00F443F1"/>
    <w:rsid w:val="00F444E4"/>
    <w:rsid w:val="00F44637"/>
    <w:rsid w:val="00F44FE6"/>
    <w:rsid w:val="00F4530D"/>
    <w:rsid w:val="00F45DFA"/>
    <w:rsid w:val="00F46346"/>
    <w:rsid w:val="00F465C0"/>
    <w:rsid w:val="00F46873"/>
    <w:rsid w:val="00F46A6C"/>
    <w:rsid w:val="00F46D3B"/>
    <w:rsid w:val="00F4720F"/>
    <w:rsid w:val="00F476A9"/>
    <w:rsid w:val="00F478A9"/>
    <w:rsid w:val="00F47CF3"/>
    <w:rsid w:val="00F50823"/>
    <w:rsid w:val="00F5099A"/>
    <w:rsid w:val="00F5169A"/>
    <w:rsid w:val="00F51BEA"/>
    <w:rsid w:val="00F51FC3"/>
    <w:rsid w:val="00F520E9"/>
    <w:rsid w:val="00F52241"/>
    <w:rsid w:val="00F523BC"/>
    <w:rsid w:val="00F52465"/>
    <w:rsid w:val="00F52B77"/>
    <w:rsid w:val="00F53CEB"/>
    <w:rsid w:val="00F5438F"/>
    <w:rsid w:val="00F545C2"/>
    <w:rsid w:val="00F549F2"/>
    <w:rsid w:val="00F54A6E"/>
    <w:rsid w:val="00F54DB4"/>
    <w:rsid w:val="00F54EC8"/>
    <w:rsid w:val="00F55EF3"/>
    <w:rsid w:val="00F563FB"/>
    <w:rsid w:val="00F56AD7"/>
    <w:rsid w:val="00F57307"/>
    <w:rsid w:val="00F577E4"/>
    <w:rsid w:val="00F57F39"/>
    <w:rsid w:val="00F6021C"/>
    <w:rsid w:val="00F60A28"/>
    <w:rsid w:val="00F6139F"/>
    <w:rsid w:val="00F6186D"/>
    <w:rsid w:val="00F61BF9"/>
    <w:rsid w:val="00F61FEA"/>
    <w:rsid w:val="00F62A57"/>
    <w:rsid w:val="00F62BD2"/>
    <w:rsid w:val="00F62C68"/>
    <w:rsid w:val="00F62D77"/>
    <w:rsid w:val="00F63047"/>
    <w:rsid w:val="00F63096"/>
    <w:rsid w:val="00F63619"/>
    <w:rsid w:val="00F636A1"/>
    <w:rsid w:val="00F63BE7"/>
    <w:rsid w:val="00F641DA"/>
    <w:rsid w:val="00F6453E"/>
    <w:rsid w:val="00F648EB"/>
    <w:rsid w:val="00F64AA9"/>
    <w:rsid w:val="00F650F7"/>
    <w:rsid w:val="00F651B3"/>
    <w:rsid w:val="00F65CF3"/>
    <w:rsid w:val="00F660FB"/>
    <w:rsid w:val="00F6656F"/>
    <w:rsid w:val="00F66801"/>
    <w:rsid w:val="00F66D2C"/>
    <w:rsid w:val="00F6729C"/>
    <w:rsid w:val="00F6740D"/>
    <w:rsid w:val="00F679A8"/>
    <w:rsid w:val="00F679C4"/>
    <w:rsid w:val="00F70852"/>
    <w:rsid w:val="00F70888"/>
    <w:rsid w:val="00F70D76"/>
    <w:rsid w:val="00F710F8"/>
    <w:rsid w:val="00F7114B"/>
    <w:rsid w:val="00F719C8"/>
    <w:rsid w:val="00F71A88"/>
    <w:rsid w:val="00F72175"/>
    <w:rsid w:val="00F72539"/>
    <w:rsid w:val="00F72D6F"/>
    <w:rsid w:val="00F72ED9"/>
    <w:rsid w:val="00F73346"/>
    <w:rsid w:val="00F73A48"/>
    <w:rsid w:val="00F73FD3"/>
    <w:rsid w:val="00F74CC6"/>
    <w:rsid w:val="00F75525"/>
    <w:rsid w:val="00F758CA"/>
    <w:rsid w:val="00F75F8F"/>
    <w:rsid w:val="00F767FF"/>
    <w:rsid w:val="00F77290"/>
    <w:rsid w:val="00F775F0"/>
    <w:rsid w:val="00F77E55"/>
    <w:rsid w:val="00F803C7"/>
    <w:rsid w:val="00F80777"/>
    <w:rsid w:val="00F80B12"/>
    <w:rsid w:val="00F81258"/>
    <w:rsid w:val="00F8182C"/>
    <w:rsid w:val="00F81E42"/>
    <w:rsid w:val="00F81E7A"/>
    <w:rsid w:val="00F823E3"/>
    <w:rsid w:val="00F8266A"/>
    <w:rsid w:val="00F828FD"/>
    <w:rsid w:val="00F82CA4"/>
    <w:rsid w:val="00F8345B"/>
    <w:rsid w:val="00F83712"/>
    <w:rsid w:val="00F83852"/>
    <w:rsid w:val="00F83CB6"/>
    <w:rsid w:val="00F83E0B"/>
    <w:rsid w:val="00F84928"/>
    <w:rsid w:val="00F849D5"/>
    <w:rsid w:val="00F84A5C"/>
    <w:rsid w:val="00F8506E"/>
    <w:rsid w:val="00F854FE"/>
    <w:rsid w:val="00F85C4D"/>
    <w:rsid w:val="00F86556"/>
    <w:rsid w:val="00F86D0B"/>
    <w:rsid w:val="00F86F2E"/>
    <w:rsid w:val="00F86FF6"/>
    <w:rsid w:val="00F87843"/>
    <w:rsid w:val="00F878C1"/>
    <w:rsid w:val="00F87B55"/>
    <w:rsid w:val="00F87C8C"/>
    <w:rsid w:val="00F87DF9"/>
    <w:rsid w:val="00F9042F"/>
    <w:rsid w:val="00F904DC"/>
    <w:rsid w:val="00F91725"/>
    <w:rsid w:val="00F917A8"/>
    <w:rsid w:val="00F9188C"/>
    <w:rsid w:val="00F91FA6"/>
    <w:rsid w:val="00F92258"/>
    <w:rsid w:val="00F924FD"/>
    <w:rsid w:val="00F92CD6"/>
    <w:rsid w:val="00F92D44"/>
    <w:rsid w:val="00F93424"/>
    <w:rsid w:val="00F93670"/>
    <w:rsid w:val="00F9422B"/>
    <w:rsid w:val="00F9462F"/>
    <w:rsid w:val="00F94CC8"/>
    <w:rsid w:val="00F94FCA"/>
    <w:rsid w:val="00F95986"/>
    <w:rsid w:val="00F96510"/>
    <w:rsid w:val="00F96710"/>
    <w:rsid w:val="00F96893"/>
    <w:rsid w:val="00F96B43"/>
    <w:rsid w:val="00F96DB7"/>
    <w:rsid w:val="00F971A2"/>
    <w:rsid w:val="00F97C49"/>
    <w:rsid w:val="00F97E09"/>
    <w:rsid w:val="00FA0891"/>
    <w:rsid w:val="00FA095A"/>
    <w:rsid w:val="00FA0971"/>
    <w:rsid w:val="00FA17EB"/>
    <w:rsid w:val="00FA1B2B"/>
    <w:rsid w:val="00FA2276"/>
    <w:rsid w:val="00FA239C"/>
    <w:rsid w:val="00FA2886"/>
    <w:rsid w:val="00FA2DA3"/>
    <w:rsid w:val="00FA2FB1"/>
    <w:rsid w:val="00FA3177"/>
    <w:rsid w:val="00FA34C8"/>
    <w:rsid w:val="00FA3832"/>
    <w:rsid w:val="00FA38E8"/>
    <w:rsid w:val="00FA3AA7"/>
    <w:rsid w:val="00FA3BB5"/>
    <w:rsid w:val="00FA3C1C"/>
    <w:rsid w:val="00FA3DC2"/>
    <w:rsid w:val="00FA3DCD"/>
    <w:rsid w:val="00FA3F24"/>
    <w:rsid w:val="00FA3F66"/>
    <w:rsid w:val="00FA4086"/>
    <w:rsid w:val="00FA4864"/>
    <w:rsid w:val="00FA4C72"/>
    <w:rsid w:val="00FA5379"/>
    <w:rsid w:val="00FA552E"/>
    <w:rsid w:val="00FA56EE"/>
    <w:rsid w:val="00FA644E"/>
    <w:rsid w:val="00FA6F63"/>
    <w:rsid w:val="00FA724F"/>
    <w:rsid w:val="00FA7329"/>
    <w:rsid w:val="00FA742F"/>
    <w:rsid w:val="00FA75CB"/>
    <w:rsid w:val="00FA7D64"/>
    <w:rsid w:val="00FA7D8A"/>
    <w:rsid w:val="00FA7EC1"/>
    <w:rsid w:val="00FB04B1"/>
    <w:rsid w:val="00FB0534"/>
    <w:rsid w:val="00FB0B6E"/>
    <w:rsid w:val="00FB137C"/>
    <w:rsid w:val="00FB187E"/>
    <w:rsid w:val="00FB1B19"/>
    <w:rsid w:val="00FB1B26"/>
    <w:rsid w:val="00FB2113"/>
    <w:rsid w:val="00FB239D"/>
    <w:rsid w:val="00FB25AF"/>
    <w:rsid w:val="00FB2602"/>
    <w:rsid w:val="00FB280D"/>
    <w:rsid w:val="00FB39A9"/>
    <w:rsid w:val="00FB3DF6"/>
    <w:rsid w:val="00FB41C2"/>
    <w:rsid w:val="00FB48FC"/>
    <w:rsid w:val="00FB4B1C"/>
    <w:rsid w:val="00FB4B2B"/>
    <w:rsid w:val="00FB5297"/>
    <w:rsid w:val="00FB53C7"/>
    <w:rsid w:val="00FB58CF"/>
    <w:rsid w:val="00FB67EC"/>
    <w:rsid w:val="00FB6AB9"/>
    <w:rsid w:val="00FB7404"/>
    <w:rsid w:val="00FB7835"/>
    <w:rsid w:val="00FB7EC4"/>
    <w:rsid w:val="00FC06AE"/>
    <w:rsid w:val="00FC0A37"/>
    <w:rsid w:val="00FC0DC5"/>
    <w:rsid w:val="00FC201F"/>
    <w:rsid w:val="00FC236F"/>
    <w:rsid w:val="00FC2669"/>
    <w:rsid w:val="00FC2702"/>
    <w:rsid w:val="00FC2B7E"/>
    <w:rsid w:val="00FC2BAC"/>
    <w:rsid w:val="00FC2C20"/>
    <w:rsid w:val="00FC2DB6"/>
    <w:rsid w:val="00FC2F7C"/>
    <w:rsid w:val="00FC3297"/>
    <w:rsid w:val="00FC34B6"/>
    <w:rsid w:val="00FC378B"/>
    <w:rsid w:val="00FC4165"/>
    <w:rsid w:val="00FC4830"/>
    <w:rsid w:val="00FC4947"/>
    <w:rsid w:val="00FC4E7E"/>
    <w:rsid w:val="00FC502E"/>
    <w:rsid w:val="00FC56E8"/>
    <w:rsid w:val="00FC5C51"/>
    <w:rsid w:val="00FC62FD"/>
    <w:rsid w:val="00FC665A"/>
    <w:rsid w:val="00FC66BF"/>
    <w:rsid w:val="00FC79B4"/>
    <w:rsid w:val="00FC7CDE"/>
    <w:rsid w:val="00FC7E4D"/>
    <w:rsid w:val="00FD0889"/>
    <w:rsid w:val="00FD0995"/>
    <w:rsid w:val="00FD0A74"/>
    <w:rsid w:val="00FD0B74"/>
    <w:rsid w:val="00FD0CDA"/>
    <w:rsid w:val="00FD0E6C"/>
    <w:rsid w:val="00FD1055"/>
    <w:rsid w:val="00FD1713"/>
    <w:rsid w:val="00FD338E"/>
    <w:rsid w:val="00FD3B9C"/>
    <w:rsid w:val="00FD402D"/>
    <w:rsid w:val="00FD4186"/>
    <w:rsid w:val="00FD4ACF"/>
    <w:rsid w:val="00FD4C22"/>
    <w:rsid w:val="00FD4D51"/>
    <w:rsid w:val="00FD5779"/>
    <w:rsid w:val="00FD58A8"/>
    <w:rsid w:val="00FD59DB"/>
    <w:rsid w:val="00FD6EEB"/>
    <w:rsid w:val="00FD72E3"/>
    <w:rsid w:val="00FD7A1A"/>
    <w:rsid w:val="00FD7DCB"/>
    <w:rsid w:val="00FD7E76"/>
    <w:rsid w:val="00FE0045"/>
    <w:rsid w:val="00FE0C12"/>
    <w:rsid w:val="00FE0E1B"/>
    <w:rsid w:val="00FE0ED3"/>
    <w:rsid w:val="00FE1E52"/>
    <w:rsid w:val="00FE28CC"/>
    <w:rsid w:val="00FE2FFB"/>
    <w:rsid w:val="00FE4A6B"/>
    <w:rsid w:val="00FE5506"/>
    <w:rsid w:val="00FE5561"/>
    <w:rsid w:val="00FE5A1D"/>
    <w:rsid w:val="00FE5E8C"/>
    <w:rsid w:val="00FE5E9E"/>
    <w:rsid w:val="00FE6002"/>
    <w:rsid w:val="00FE6AA9"/>
    <w:rsid w:val="00FE6E50"/>
    <w:rsid w:val="00FE7195"/>
    <w:rsid w:val="00FE777F"/>
    <w:rsid w:val="00FE7B11"/>
    <w:rsid w:val="00FE7B4C"/>
    <w:rsid w:val="00FF0A86"/>
    <w:rsid w:val="00FF0DD9"/>
    <w:rsid w:val="00FF1178"/>
    <w:rsid w:val="00FF1EEB"/>
    <w:rsid w:val="00FF20B0"/>
    <w:rsid w:val="00FF2290"/>
    <w:rsid w:val="00FF2331"/>
    <w:rsid w:val="00FF285B"/>
    <w:rsid w:val="00FF2F8F"/>
    <w:rsid w:val="00FF34C9"/>
    <w:rsid w:val="00FF37A9"/>
    <w:rsid w:val="00FF46A1"/>
    <w:rsid w:val="00FF4D13"/>
    <w:rsid w:val="00FF5189"/>
    <w:rsid w:val="00FF523B"/>
    <w:rsid w:val="00FF5839"/>
    <w:rsid w:val="00FF5BDC"/>
    <w:rsid w:val="00FF6444"/>
    <w:rsid w:val="00FF655F"/>
    <w:rsid w:val="00FF6E3C"/>
    <w:rsid w:val="00FF73F0"/>
    <w:rsid w:val="00FF758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2"/>
    <o:shapelayout v:ext="edit">
      <o:idmap v:ext="edit" data="1"/>
    </o:shapelayout>
  </w:shapeDefaults>
  <w:decimalSymbol w:val="."/>
  <w:listSeparator w:val=","/>
  <w14:docId w14:val="1D100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iPriority="0"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iPriority="0" w:unhideWhenUsed="1"/>
    <w:lsdException w:name="Body Text" w:locked="1" w:semiHidden="1" w:uiPriority="0"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iPriority="0" w:unhideWhenUsed="1"/>
    <w:lsdException w:name="HTML Bottom of Form" w:locked="1" w:semiHidden="1" w:uiPriority="0" w:unhideWhenUsed="1"/>
    <w:lsdException w:name="Normal (Web)" w:locked="1" w:semiHidden="1" w:unhideWhenUsed="1"/>
    <w:lsdException w:name="HTML Acronym" w:locked="1" w:semiHidden="1" w:uiPriority="0" w:unhideWhenUsed="1"/>
    <w:lsdException w:name="HTML Address" w:locked="1" w:semiHidden="1" w:unhideWhenUsed="1"/>
    <w:lsdException w:name="HTML Cite" w:locked="1" w:semiHidden="1" w:uiPriority="0" w:unhideWhenUsed="1"/>
    <w:lsdException w:name="HTML Code" w:locked="1" w:semiHidden="1" w:uiPriority="0" w:unhideWhenUsed="1"/>
    <w:lsdException w:name="HTML Definition" w:locked="1" w:semiHidden="1" w:uiPriority="0" w:unhideWhenUsed="1"/>
    <w:lsdException w:name="HTML Keyboard" w:locked="1" w:semiHidden="1" w:uiPriority="0" w:unhideWhenUsed="1"/>
    <w:lsdException w:name="HTML Preformatted" w:locked="1" w:semiHidden="1" w:unhideWhenUsed="1"/>
    <w:lsdException w:name="HTML Sample" w:locked="1" w:semiHidden="1" w:uiPriority="0" w:unhideWhenUsed="1"/>
    <w:lsdException w:name="HTML Typewriter" w:locked="1" w:semiHidden="1" w:uiPriority="0" w:unhideWhenUsed="1"/>
    <w:lsdException w:name="HTML Variable" w:locked="1" w:semiHidden="1" w:uiPriority="0" w:unhideWhenUsed="1"/>
    <w:lsdException w:name="Normal Table" w:locked="1" w:semiHidden="1" w:uiPriority="0" w:unhideWhenUsed="1"/>
    <w:lsdException w:name="annotation subject" w:locked="1" w:semiHidden="1" w:unhideWhenUsed="1"/>
    <w:lsdException w:name="No List" w:locked="1" w:semiHidden="1" w:unhideWhenUsed="1"/>
    <w:lsdException w:name="Outline List 1" w:locked="1" w:semiHidden="1" w:uiPriority="0" w:unhideWhenUsed="1"/>
    <w:lsdException w:name="Outline List 2" w:locked="1" w:semiHidden="1" w:uiPriority="0" w:unhideWhenUsed="1"/>
    <w:lsdException w:name="Outline List 3" w:locked="1" w:semiHidden="1" w:uiPriority="0"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locked="1" w:semiHidden="1" w:unhideWhenUsed="1"/>
    <w:lsdException w:name="Table Grid" w:uiPriority="39"/>
    <w:lsdException w:name="Table Theme" w:locked="1" w:semiHidden="1" w:uiPriority="0"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F34"/>
    <w:pPr>
      <w:spacing w:before="120" w:after="120"/>
    </w:pPr>
    <w:rPr>
      <w:rFonts w:ascii="Calibri" w:hAnsi="Calibri"/>
      <w:sz w:val="22"/>
      <w:szCs w:val="24"/>
      <w:lang w:eastAsia="en-US"/>
    </w:rPr>
  </w:style>
  <w:style w:type="paragraph" w:styleId="Heading1">
    <w:name w:val="heading 1"/>
    <w:basedOn w:val="Normal"/>
    <w:next w:val="Normal"/>
    <w:link w:val="Heading1Char"/>
    <w:uiPriority w:val="9"/>
    <w:qFormat/>
    <w:rsid w:val="00AF186C"/>
    <w:pPr>
      <w:keepNext/>
      <w:pageBreakBefore/>
      <w:numPr>
        <w:numId w:val="16"/>
      </w:numPr>
      <w:spacing w:before="240" w:after="60"/>
      <w:outlineLvl w:val="0"/>
    </w:pPr>
    <w:rPr>
      <w:rFonts w:ascii="Arial" w:hAnsi="Arial"/>
      <w:b/>
      <w:kern w:val="32"/>
      <w:sz w:val="32"/>
      <w:szCs w:val="20"/>
    </w:rPr>
  </w:style>
  <w:style w:type="paragraph" w:styleId="Heading2">
    <w:name w:val="heading 2"/>
    <w:basedOn w:val="Normal"/>
    <w:next w:val="Normal"/>
    <w:link w:val="Heading2Char"/>
    <w:uiPriority w:val="9"/>
    <w:qFormat/>
    <w:rsid w:val="00AF186C"/>
    <w:pPr>
      <w:keepNext/>
      <w:numPr>
        <w:ilvl w:val="1"/>
        <w:numId w:val="16"/>
      </w:numPr>
      <w:spacing w:before="240" w:after="60"/>
      <w:outlineLvl w:val="1"/>
    </w:pPr>
    <w:rPr>
      <w:rFonts w:ascii="Arial" w:hAnsi="Arial"/>
      <w:b/>
      <w:sz w:val="28"/>
      <w:szCs w:val="20"/>
    </w:rPr>
  </w:style>
  <w:style w:type="paragraph" w:styleId="Heading3">
    <w:name w:val="heading 3"/>
    <w:aliases w:val="3rd Level Heading"/>
    <w:basedOn w:val="Normal"/>
    <w:next w:val="Normal"/>
    <w:link w:val="Heading3Char"/>
    <w:uiPriority w:val="9"/>
    <w:qFormat/>
    <w:rsid w:val="00AF186C"/>
    <w:pPr>
      <w:keepNext/>
      <w:numPr>
        <w:ilvl w:val="2"/>
        <w:numId w:val="16"/>
      </w:numPr>
      <w:spacing w:before="240" w:after="60"/>
      <w:outlineLvl w:val="2"/>
    </w:pPr>
    <w:rPr>
      <w:rFonts w:ascii="Times New Roman" w:hAnsi="Times New Roman"/>
      <w:b/>
      <w:sz w:val="26"/>
      <w:szCs w:val="20"/>
      <w:lang w:eastAsia="x-none"/>
    </w:rPr>
  </w:style>
  <w:style w:type="paragraph" w:styleId="Heading4">
    <w:name w:val="heading 4"/>
    <w:aliases w:val="4th Level Heading"/>
    <w:basedOn w:val="Normal"/>
    <w:next w:val="Normal"/>
    <w:link w:val="Heading4Char"/>
    <w:uiPriority w:val="99"/>
    <w:qFormat/>
    <w:rsid w:val="00AF186C"/>
    <w:pPr>
      <w:keepNext/>
      <w:numPr>
        <w:ilvl w:val="3"/>
        <w:numId w:val="16"/>
      </w:numPr>
      <w:spacing w:before="240" w:after="60"/>
      <w:outlineLvl w:val="3"/>
    </w:pPr>
    <w:rPr>
      <w:rFonts w:ascii="Times New Roman" w:hAnsi="Times New Roman"/>
      <w:i/>
      <w:sz w:val="28"/>
      <w:szCs w:val="20"/>
      <w:lang w:eastAsia="x-none"/>
    </w:rPr>
  </w:style>
  <w:style w:type="paragraph" w:styleId="Heading5">
    <w:name w:val="heading 5"/>
    <w:basedOn w:val="Normal"/>
    <w:next w:val="Normal"/>
    <w:link w:val="Heading5Char"/>
    <w:uiPriority w:val="99"/>
    <w:qFormat/>
    <w:rsid w:val="00AF186C"/>
    <w:pPr>
      <w:numPr>
        <w:ilvl w:val="4"/>
        <w:numId w:val="16"/>
      </w:numPr>
      <w:spacing w:before="240" w:after="60"/>
      <w:outlineLvl w:val="4"/>
    </w:pPr>
    <w:rPr>
      <w:rFonts w:ascii="Times New Roman" w:hAnsi="Times New Roman"/>
      <w:sz w:val="24"/>
      <w:szCs w:val="20"/>
      <w:u w:val="single"/>
    </w:rPr>
  </w:style>
  <w:style w:type="paragraph" w:styleId="Heading6">
    <w:name w:val="heading 6"/>
    <w:basedOn w:val="Normal"/>
    <w:next w:val="Normal"/>
    <w:link w:val="Heading6Char"/>
    <w:uiPriority w:val="99"/>
    <w:qFormat/>
    <w:rsid w:val="00AF186C"/>
    <w:pPr>
      <w:numPr>
        <w:ilvl w:val="5"/>
        <w:numId w:val="16"/>
      </w:numPr>
      <w:spacing w:before="240" w:after="60"/>
      <w:outlineLvl w:val="5"/>
    </w:pPr>
    <w:rPr>
      <w:rFonts w:ascii="Times New Roman" w:hAnsi="Times New Roman"/>
      <w:b/>
      <w:szCs w:val="20"/>
      <w:lang w:eastAsia="x-none"/>
    </w:rPr>
  </w:style>
  <w:style w:type="paragraph" w:styleId="Heading7">
    <w:name w:val="heading 7"/>
    <w:basedOn w:val="Normal"/>
    <w:next w:val="Normal"/>
    <w:link w:val="Heading7Char"/>
    <w:uiPriority w:val="99"/>
    <w:qFormat/>
    <w:rsid w:val="00AF186C"/>
    <w:pPr>
      <w:keepNext/>
      <w:numPr>
        <w:ilvl w:val="6"/>
        <w:numId w:val="16"/>
      </w:numPr>
      <w:jc w:val="center"/>
      <w:outlineLvl w:val="6"/>
    </w:pPr>
    <w:rPr>
      <w:rFonts w:ascii="Arial" w:hAnsi="Arial"/>
      <w:b/>
      <w:sz w:val="20"/>
      <w:szCs w:val="20"/>
      <w:lang w:eastAsia="x-none"/>
    </w:rPr>
  </w:style>
  <w:style w:type="paragraph" w:styleId="Heading8">
    <w:name w:val="heading 8"/>
    <w:basedOn w:val="Normal"/>
    <w:next w:val="Normal"/>
    <w:link w:val="Heading8Char"/>
    <w:uiPriority w:val="99"/>
    <w:qFormat/>
    <w:rsid w:val="004A36C2"/>
    <w:pPr>
      <w:keepNext/>
      <w:keepLines/>
      <w:numPr>
        <w:ilvl w:val="7"/>
        <w:numId w:val="16"/>
      </w:numPr>
      <w:spacing w:before="200" w:after="0"/>
      <w:jc w:val="both"/>
      <w:outlineLvl w:val="7"/>
    </w:pPr>
    <w:rPr>
      <w:rFonts w:ascii="Cambria" w:eastAsia="Calibri" w:hAnsi="Cambria"/>
      <w:color w:val="404040"/>
      <w:sz w:val="20"/>
      <w:szCs w:val="20"/>
      <w:lang w:val="en-US"/>
    </w:rPr>
  </w:style>
  <w:style w:type="paragraph" w:styleId="Heading9">
    <w:name w:val="heading 9"/>
    <w:basedOn w:val="Normal"/>
    <w:next w:val="Normal"/>
    <w:link w:val="Heading9Char"/>
    <w:uiPriority w:val="99"/>
    <w:qFormat/>
    <w:rsid w:val="00AF186C"/>
    <w:pPr>
      <w:keepNext/>
      <w:numPr>
        <w:ilvl w:val="8"/>
        <w:numId w:val="16"/>
      </w:numPr>
      <w:outlineLvl w:val="8"/>
    </w:pPr>
    <w:rPr>
      <w:rFonts w:ascii="Arial" w:eastAsia="Arial Unicode MS" w:hAnsi="Arial"/>
      <w:b/>
      <w:sz w:val="16"/>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AF186C"/>
    <w:rPr>
      <w:rFonts w:ascii="Arial" w:hAnsi="Arial"/>
      <w:b/>
      <w:kern w:val="32"/>
      <w:sz w:val="32"/>
      <w:lang w:eastAsia="en-US"/>
    </w:rPr>
  </w:style>
  <w:style w:type="character" w:customStyle="1" w:styleId="Heading2Char">
    <w:name w:val="Heading 2 Char"/>
    <w:link w:val="Heading2"/>
    <w:uiPriority w:val="9"/>
    <w:locked/>
    <w:rsid w:val="00AF186C"/>
    <w:rPr>
      <w:rFonts w:ascii="Arial" w:hAnsi="Arial"/>
      <w:b/>
      <w:sz w:val="28"/>
      <w:lang w:eastAsia="en-US"/>
    </w:rPr>
  </w:style>
  <w:style w:type="character" w:customStyle="1" w:styleId="Heading3Char">
    <w:name w:val="Heading 3 Char"/>
    <w:aliases w:val="3rd Level Heading Char"/>
    <w:link w:val="Heading3"/>
    <w:uiPriority w:val="9"/>
    <w:locked/>
    <w:rsid w:val="00AF186C"/>
    <w:rPr>
      <w:b/>
      <w:sz w:val="26"/>
      <w:lang w:eastAsia="x-none"/>
    </w:rPr>
  </w:style>
  <w:style w:type="character" w:customStyle="1" w:styleId="Heading4Char">
    <w:name w:val="Heading 4 Char"/>
    <w:aliases w:val="4th Level Heading Char"/>
    <w:link w:val="Heading4"/>
    <w:uiPriority w:val="99"/>
    <w:locked/>
    <w:rsid w:val="00AF186C"/>
    <w:rPr>
      <w:i/>
      <w:sz w:val="28"/>
      <w:lang w:eastAsia="x-none"/>
    </w:rPr>
  </w:style>
  <w:style w:type="character" w:customStyle="1" w:styleId="Heading5Char">
    <w:name w:val="Heading 5 Char"/>
    <w:link w:val="Heading5"/>
    <w:uiPriority w:val="99"/>
    <w:locked/>
    <w:rsid w:val="00AF186C"/>
    <w:rPr>
      <w:sz w:val="24"/>
      <w:u w:val="single"/>
      <w:lang w:eastAsia="en-US"/>
    </w:rPr>
  </w:style>
  <w:style w:type="character" w:customStyle="1" w:styleId="Heading6Char">
    <w:name w:val="Heading 6 Char"/>
    <w:link w:val="Heading6"/>
    <w:uiPriority w:val="99"/>
    <w:locked/>
    <w:rsid w:val="00AF186C"/>
    <w:rPr>
      <w:b/>
      <w:sz w:val="22"/>
      <w:lang w:eastAsia="x-none"/>
    </w:rPr>
  </w:style>
  <w:style w:type="character" w:customStyle="1" w:styleId="Heading7Char">
    <w:name w:val="Heading 7 Char"/>
    <w:link w:val="Heading7"/>
    <w:uiPriority w:val="99"/>
    <w:locked/>
    <w:rsid w:val="00AF186C"/>
    <w:rPr>
      <w:rFonts w:ascii="Arial" w:hAnsi="Arial"/>
      <w:b/>
      <w:lang w:eastAsia="x-none"/>
    </w:rPr>
  </w:style>
  <w:style w:type="character" w:customStyle="1" w:styleId="Heading8Char">
    <w:name w:val="Heading 8 Char"/>
    <w:link w:val="Heading8"/>
    <w:uiPriority w:val="99"/>
    <w:locked/>
    <w:rsid w:val="004A36C2"/>
    <w:rPr>
      <w:rFonts w:ascii="Cambria" w:eastAsia="Calibri" w:hAnsi="Cambria"/>
      <w:color w:val="404040"/>
      <w:lang w:val="en-US" w:eastAsia="en-US"/>
    </w:rPr>
  </w:style>
  <w:style w:type="character" w:customStyle="1" w:styleId="Heading9Char">
    <w:name w:val="Heading 9 Char"/>
    <w:link w:val="Heading9"/>
    <w:uiPriority w:val="99"/>
    <w:locked/>
    <w:rsid w:val="00AF186C"/>
    <w:rPr>
      <w:rFonts w:ascii="Arial" w:eastAsia="Arial Unicode MS" w:hAnsi="Arial"/>
      <w:b/>
      <w:sz w:val="16"/>
      <w:lang w:eastAsia="x-none"/>
    </w:rPr>
  </w:style>
  <w:style w:type="paragraph" w:styleId="TOC1">
    <w:name w:val="toc 1"/>
    <w:basedOn w:val="Normal"/>
    <w:next w:val="Normal"/>
    <w:autoRedefine/>
    <w:uiPriority w:val="39"/>
    <w:unhideWhenUsed/>
    <w:qFormat/>
    <w:rsid w:val="009F09A4"/>
    <w:pPr>
      <w:tabs>
        <w:tab w:val="right" w:leader="dot" w:pos="9060"/>
      </w:tabs>
    </w:pPr>
    <w:rPr>
      <w:rFonts w:asciiTheme="minorHAnsi" w:hAnsiTheme="minorHAnsi"/>
      <w:b/>
      <w:bCs/>
      <w:caps/>
      <w:sz w:val="20"/>
      <w:szCs w:val="20"/>
    </w:rPr>
  </w:style>
  <w:style w:type="paragraph" w:styleId="TOC2">
    <w:name w:val="toc 2"/>
    <w:basedOn w:val="Normal"/>
    <w:next w:val="Normal"/>
    <w:autoRedefine/>
    <w:uiPriority w:val="39"/>
    <w:unhideWhenUsed/>
    <w:qFormat/>
    <w:rsid w:val="002B44D4"/>
    <w:pPr>
      <w:spacing w:before="0" w:after="0"/>
      <w:ind w:left="220"/>
    </w:pPr>
    <w:rPr>
      <w:rFonts w:asciiTheme="minorHAnsi" w:hAnsiTheme="minorHAnsi"/>
      <w:smallCaps/>
      <w:sz w:val="20"/>
      <w:szCs w:val="20"/>
    </w:rPr>
  </w:style>
  <w:style w:type="paragraph" w:styleId="TOC3">
    <w:name w:val="toc 3"/>
    <w:basedOn w:val="Normal"/>
    <w:next w:val="Normal"/>
    <w:autoRedefine/>
    <w:uiPriority w:val="39"/>
    <w:unhideWhenUsed/>
    <w:qFormat/>
    <w:rsid w:val="002B44D4"/>
    <w:pPr>
      <w:spacing w:before="0" w:after="0"/>
      <w:ind w:left="440"/>
    </w:pPr>
    <w:rPr>
      <w:rFonts w:asciiTheme="minorHAnsi" w:hAnsiTheme="minorHAnsi"/>
      <w:i/>
      <w:iCs/>
      <w:sz w:val="20"/>
      <w:szCs w:val="20"/>
    </w:rPr>
  </w:style>
  <w:style w:type="paragraph" w:styleId="Revision">
    <w:name w:val="Revision"/>
    <w:hidden/>
    <w:uiPriority w:val="99"/>
    <w:semiHidden/>
    <w:rsid w:val="004316F7"/>
    <w:rPr>
      <w:sz w:val="24"/>
      <w:szCs w:val="24"/>
      <w:lang w:eastAsia="en-US"/>
    </w:rPr>
  </w:style>
  <w:style w:type="paragraph" w:customStyle="1" w:styleId="BasicParagraph">
    <w:name w:val="[Basic Paragraph]"/>
    <w:basedOn w:val="Normal"/>
    <w:rsid w:val="004A36C2"/>
    <w:pPr>
      <w:autoSpaceDE w:val="0"/>
      <w:autoSpaceDN w:val="0"/>
      <w:adjustRightInd w:val="0"/>
      <w:spacing w:before="0" w:after="0" w:line="288" w:lineRule="auto"/>
      <w:textAlignment w:val="center"/>
    </w:pPr>
    <w:rPr>
      <w:rFonts w:ascii="Times New Roman" w:hAnsi="Times New Roman"/>
      <w:color w:val="000000"/>
      <w:sz w:val="24"/>
      <w:lang w:val="en-GB"/>
    </w:rPr>
  </w:style>
  <w:style w:type="character" w:styleId="Hyperlink">
    <w:name w:val="Hyperlink"/>
    <w:basedOn w:val="DefaultParagraphFont"/>
    <w:uiPriority w:val="99"/>
    <w:unhideWhenUsed/>
    <w:locked/>
    <w:rsid w:val="002B44D4"/>
    <w:rPr>
      <w:color w:val="0563C1" w:themeColor="hyperlink"/>
      <w:u w:val="single"/>
    </w:rPr>
  </w:style>
  <w:style w:type="paragraph" w:styleId="TableofFigures">
    <w:name w:val="table of figures"/>
    <w:basedOn w:val="Normal"/>
    <w:next w:val="Normal"/>
    <w:uiPriority w:val="99"/>
    <w:unhideWhenUsed/>
    <w:locked/>
    <w:rsid w:val="003D3BA7"/>
    <w:pPr>
      <w:spacing w:after="0"/>
    </w:pPr>
  </w:style>
  <w:style w:type="paragraph" w:styleId="Caption">
    <w:name w:val="caption"/>
    <w:aliases w:val="Caption Char Char,Tables,Figures,Caption Figure,Monitoring Table Caption,Monitoring Fig Caption,Caption Figure1,Monitoring Table Caption1,Monitoring Fig Caption1,Caption Figure2,Monitoring Table Caption2,Monitoring Fig Caption2,Caption1"/>
    <w:basedOn w:val="Normal"/>
    <w:next w:val="Normal"/>
    <w:link w:val="CaptionChar"/>
    <w:qFormat/>
    <w:rsid w:val="002868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character" w:customStyle="1" w:styleId="CaptionChar">
    <w:name w:val="Caption Char"/>
    <w:aliases w:val="Caption Char Char Char,Tables Char,Figures Char,Caption Figure Char,Monitoring Table Caption Char,Monitoring Fig Caption Char,Caption Figure1 Char,Monitoring Table Caption1 Char,Monitoring Fig Caption1 Char,Caption Figure2 Char"/>
    <w:link w:val="Caption"/>
    <w:locked/>
    <w:rsid w:val="002868E0"/>
    <w:rPr>
      <w:rFonts w:ascii="Calibri" w:eastAsia="SimSun" w:hAnsi="Calibri"/>
      <w:sz w:val="22"/>
      <w:lang w:val="en-GB" w:eastAsia="en-US"/>
    </w:rPr>
  </w:style>
  <w:style w:type="paragraph" w:styleId="BalloonText">
    <w:name w:val="Balloon Text"/>
    <w:basedOn w:val="Normal"/>
    <w:link w:val="BalloonTextChar"/>
    <w:uiPriority w:val="99"/>
    <w:semiHidden/>
    <w:unhideWhenUsed/>
    <w:locked/>
    <w:rsid w:val="00EB19B4"/>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9B4"/>
    <w:rPr>
      <w:rFonts w:ascii="Segoe UI" w:hAnsi="Segoe UI" w:cs="Segoe UI"/>
      <w:sz w:val="18"/>
      <w:szCs w:val="18"/>
      <w:lang w:eastAsia="en-US"/>
    </w:rPr>
  </w:style>
  <w:style w:type="paragraph" w:styleId="Header">
    <w:name w:val="header"/>
    <w:basedOn w:val="Normal"/>
    <w:link w:val="HeaderChar"/>
    <w:uiPriority w:val="99"/>
    <w:unhideWhenUsed/>
    <w:locked/>
    <w:rsid w:val="00144A58"/>
    <w:pPr>
      <w:tabs>
        <w:tab w:val="center" w:pos="4513"/>
        <w:tab w:val="right" w:pos="9026"/>
      </w:tabs>
      <w:spacing w:before="0" w:after="0"/>
    </w:pPr>
  </w:style>
  <w:style w:type="character" w:customStyle="1" w:styleId="HeaderChar">
    <w:name w:val="Header Char"/>
    <w:basedOn w:val="DefaultParagraphFont"/>
    <w:link w:val="Header"/>
    <w:uiPriority w:val="99"/>
    <w:rsid w:val="00144A58"/>
    <w:rPr>
      <w:rFonts w:ascii="Calibri" w:hAnsi="Calibri"/>
      <w:sz w:val="22"/>
      <w:szCs w:val="24"/>
      <w:lang w:eastAsia="en-US"/>
    </w:rPr>
  </w:style>
  <w:style w:type="paragraph" w:styleId="Footer">
    <w:name w:val="footer"/>
    <w:basedOn w:val="Normal"/>
    <w:link w:val="FooterChar"/>
    <w:uiPriority w:val="99"/>
    <w:unhideWhenUsed/>
    <w:locked/>
    <w:rsid w:val="00144A58"/>
    <w:pPr>
      <w:tabs>
        <w:tab w:val="center" w:pos="4513"/>
        <w:tab w:val="right" w:pos="9026"/>
      </w:tabs>
      <w:spacing w:before="0" w:after="0"/>
    </w:pPr>
  </w:style>
  <w:style w:type="character" w:customStyle="1" w:styleId="FooterChar">
    <w:name w:val="Footer Char"/>
    <w:basedOn w:val="DefaultParagraphFont"/>
    <w:link w:val="Footer"/>
    <w:uiPriority w:val="99"/>
    <w:rsid w:val="00144A58"/>
    <w:rPr>
      <w:rFonts w:ascii="Calibri" w:hAnsi="Calibri"/>
      <w:sz w:val="22"/>
      <w:szCs w:val="24"/>
      <w:lang w:eastAsia="en-US"/>
    </w:rPr>
  </w:style>
  <w:style w:type="paragraph" w:styleId="TOC4">
    <w:name w:val="toc 4"/>
    <w:basedOn w:val="Normal"/>
    <w:next w:val="Normal"/>
    <w:autoRedefine/>
    <w:uiPriority w:val="39"/>
    <w:unhideWhenUsed/>
    <w:rsid w:val="00A2195B"/>
    <w:pPr>
      <w:spacing w:before="0" w:after="0"/>
      <w:ind w:left="660"/>
    </w:pPr>
    <w:rPr>
      <w:rFonts w:asciiTheme="minorHAnsi" w:hAnsiTheme="minorHAnsi"/>
      <w:sz w:val="18"/>
      <w:szCs w:val="18"/>
    </w:rPr>
  </w:style>
  <w:style w:type="paragraph" w:styleId="TOC5">
    <w:name w:val="toc 5"/>
    <w:basedOn w:val="Normal"/>
    <w:next w:val="Normal"/>
    <w:autoRedefine/>
    <w:uiPriority w:val="39"/>
    <w:unhideWhenUsed/>
    <w:rsid w:val="00A2195B"/>
    <w:pPr>
      <w:spacing w:before="0" w:after="0"/>
      <w:ind w:left="880"/>
    </w:pPr>
    <w:rPr>
      <w:rFonts w:asciiTheme="minorHAnsi" w:hAnsiTheme="minorHAnsi"/>
      <w:sz w:val="18"/>
      <w:szCs w:val="18"/>
    </w:rPr>
  </w:style>
  <w:style w:type="paragraph" w:styleId="TOC6">
    <w:name w:val="toc 6"/>
    <w:basedOn w:val="Normal"/>
    <w:next w:val="Normal"/>
    <w:autoRedefine/>
    <w:uiPriority w:val="39"/>
    <w:unhideWhenUsed/>
    <w:rsid w:val="00A2195B"/>
    <w:pPr>
      <w:spacing w:before="0" w:after="0"/>
      <w:ind w:left="1100"/>
    </w:pPr>
    <w:rPr>
      <w:rFonts w:asciiTheme="minorHAnsi" w:hAnsiTheme="minorHAnsi"/>
      <w:sz w:val="18"/>
      <w:szCs w:val="18"/>
    </w:rPr>
  </w:style>
  <w:style w:type="paragraph" w:styleId="TOC7">
    <w:name w:val="toc 7"/>
    <w:basedOn w:val="Normal"/>
    <w:next w:val="Normal"/>
    <w:autoRedefine/>
    <w:uiPriority w:val="39"/>
    <w:unhideWhenUsed/>
    <w:rsid w:val="00A2195B"/>
    <w:pPr>
      <w:spacing w:before="0" w:after="0"/>
      <w:ind w:left="1320"/>
    </w:pPr>
    <w:rPr>
      <w:rFonts w:asciiTheme="minorHAnsi" w:hAnsiTheme="minorHAnsi"/>
      <w:sz w:val="18"/>
      <w:szCs w:val="18"/>
    </w:rPr>
  </w:style>
  <w:style w:type="paragraph" w:styleId="TOC8">
    <w:name w:val="toc 8"/>
    <w:basedOn w:val="Normal"/>
    <w:next w:val="Normal"/>
    <w:autoRedefine/>
    <w:uiPriority w:val="39"/>
    <w:unhideWhenUsed/>
    <w:rsid w:val="00A2195B"/>
    <w:pPr>
      <w:spacing w:before="0" w:after="0"/>
      <w:ind w:left="1540"/>
    </w:pPr>
    <w:rPr>
      <w:rFonts w:asciiTheme="minorHAnsi" w:hAnsiTheme="minorHAnsi"/>
      <w:sz w:val="18"/>
      <w:szCs w:val="18"/>
    </w:rPr>
  </w:style>
  <w:style w:type="paragraph" w:styleId="TOC9">
    <w:name w:val="toc 9"/>
    <w:basedOn w:val="Normal"/>
    <w:next w:val="Normal"/>
    <w:autoRedefine/>
    <w:uiPriority w:val="39"/>
    <w:unhideWhenUsed/>
    <w:rsid w:val="00A2195B"/>
    <w:pPr>
      <w:spacing w:before="0" w:after="0"/>
      <w:ind w:left="1760"/>
    </w:pPr>
    <w:rPr>
      <w:rFonts w:asciiTheme="minorHAnsi" w:hAnsiTheme="minorHAnsi"/>
      <w:sz w:val="18"/>
      <w:szCs w:val="18"/>
    </w:rPr>
  </w:style>
  <w:style w:type="paragraph" w:styleId="ListParagraph">
    <w:name w:val="List Paragraph"/>
    <w:basedOn w:val="Normal"/>
    <w:uiPriority w:val="34"/>
    <w:qFormat/>
    <w:rsid w:val="004E4950"/>
    <w:pPr>
      <w:ind w:left="720"/>
      <w:contextualSpacing/>
    </w:pPr>
  </w:style>
  <w:style w:type="character" w:styleId="CommentReference">
    <w:name w:val="annotation reference"/>
    <w:basedOn w:val="DefaultParagraphFont"/>
    <w:uiPriority w:val="99"/>
    <w:unhideWhenUsed/>
    <w:locked/>
    <w:rsid w:val="00AD3D80"/>
    <w:rPr>
      <w:sz w:val="18"/>
      <w:szCs w:val="18"/>
    </w:rPr>
  </w:style>
  <w:style w:type="paragraph" w:styleId="CommentText">
    <w:name w:val="annotation text"/>
    <w:basedOn w:val="Normal"/>
    <w:link w:val="CommentTextChar"/>
    <w:uiPriority w:val="99"/>
    <w:unhideWhenUsed/>
    <w:locked/>
    <w:rsid w:val="00AD3D80"/>
    <w:rPr>
      <w:sz w:val="24"/>
    </w:rPr>
  </w:style>
  <w:style w:type="character" w:customStyle="1" w:styleId="CommentTextChar">
    <w:name w:val="Comment Text Char"/>
    <w:basedOn w:val="DefaultParagraphFont"/>
    <w:link w:val="CommentText"/>
    <w:uiPriority w:val="99"/>
    <w:rsid w:val="00AD3D80"/>
    <w:rPr>
      <w:rFonts w:ascii="Calibri" w:hAnsi="Calibri"/>
      <w:sz w:val="24"/>
      <w:szCs w:val="24"/>
      <w:lang w:eastAsia="en-US"/>
    </w:rPr>
  </w:style>
  <w:style w:type="character" w:styleId="FollowedHyperlink">
    <w:name w:val="FollowedHyperlink"/>
    <w:basedOn w:val="DefaultParagraphFont"/>
    <w:uiPriority w:val="99"/>
    <w:semiHidden/>
    <w:unhideWhenUsed/>
    <w:locked/>
    <w:rsid w:val="007C3ABF"/>
    <w:rPr>
      <w:color w:val="954F72" w:themeColor="followedHyperlink"/>
      <w:u w:val="single"/>
    </w:rPr>
  </w:style>
  <w:style w:type="paragraph" w:customStyle="1" w:styleId="Infopage">
    <w:name w:val="Info page"/>
    <w:basedOn w:val="Normal"/>
    <w:uiPriority w:val="99"/>
    <w:rsid w:val="006070CB"/>
    <w:pPr>
      <w:spacing w:before="0"/>
      <w:jc w:val="both"/>
    </w:pPr>
    <w:rPr>
      <w:rFonts w:ascii="Arial Narrow" w:hAnsi="Arial Narrow"/>
      <w:szCs w:val="22"/>
      <w:lang w:val="en-GB"/>
    </w:rPr>
  </w:style>
  <w:style w:type="character" w:styleId="PageNumber">
    <w:name w:val="page number"/>
    <w:basedOn w:val="DefaultParagraphFont"/>
    <w:uiPriority w:val="99"/>
    <w:locked/>
    <w:rsid w:val="006070CB"/>
    <w:rPr>
      <w:rFonts w:cs="Times New Roman"/>
    </w:rPr>
  </w:style>
  <w:style w:type="paragraph" w:styleId="BodyText3">
    <w:name w:val="Body Text 3"/>
    <w:basedOn w:val="Normal"/>
    <w:link w:val="BodyText3Char"/>
    <w:uiPriority w:val="99"/>
    <w:unhideWhenUsed/>
    <w:locked/>
    <w:rsid w:val="006070CB"/>
    <w:pPr>
      <w:spacing w:before="0"/>
      <w:jc w:val="both"/>
    </w:pPr>
    <w:rPr>
      <w:rFonts w:ascii="Arial" w:hAnsi="Arial"/>
      <w:sz w:val="16"/>
      <w:szCs w:val="16"/>
      <w:lang w:val="en-GB"/>
    </w:rPr>
  </w:style>
  <w:style w:type="character" w:customStyle="1" w:styleId="BodyText3Char">
    <w:name w:val="Body Text 3 Char"/>
    <w:basedOn w:val="DefaultParagraphFont"/>
    <w:link w:val="BodyText3"/>
    <w:uiPriority w:val="99"/>
    <w:rsid w:val="006070CB"/>
    <w:rPr>
      <w:rFonts w:ascii="Arial" w:hAnsi="Arial"/>
      <w:sz w:val="16"/>
      <w:szCs w:val="16"/>
      <w:lang w:val="en-GB" w:eastAsia="en-US"/>
    </w:rPr>
  </w:style>
  <w:style w:type="paragraph" w:customStyle="1" w:styleId="EndNoteBibliographyTitle">
    <w:name w:val="EndNote Bibliography Title"/>
    <w:basedOn w:val="Normal"/>
    <w:link w:val="EndNoteBibliographyTitleChar"/>
    <w:rsid w:val="005B0C7C"/>
    <w:pPr>
      <w:spacing w:after="0"/>
      <w:jc w:val="center"/>
    </w:pPr>
    <w:rPr>
      <w:noProof/>
      <w:sz w:val="20"/>
      <w:lang w:val="en-US"/>
    </w:rPr>
  </w:style>
  <w:style w:type="character" w:customStyle="1" w:styleId="EndNoteBibliographyTitleChar">
    <w:name w:val="EndNote Bibliography Title Char"/>
    <w:basedOn w:val="DefaultParagraphFont"/>
    <w:link w:val="EndNoteBibliographyTitle"/>
    <w:rsid w:val="005B0C7C"/>
    <w:rPr>
      <w:rFonts w:ascii="Calibri" w:hAnsi="Calibri"/>
      <w:noProof/>
      <w:szCs w:val="24"/>
      <w:lang w:val="en-US" w:eastAsia="en-US"/>
    </w:rPr>
  </w:style>
  <w:style w:type="paragraph" w:customStyle="1" w:styleId="EndNoteBibliography">
    <w:name w:val="EndNote Bibliography"/>
    <w:basedOn w:val="Normal"/>
    <w:link w:val="EndNoteBibliographyChar"/>
    <w:rsid w:val="005B0C7C"/>
    <w:rPr>
      <w:noProof/>
      <w:sz w:val="20"/>
      <w:lang w:val="en-US"/>
    </w:rPr>
  </w:style>
  <w:style w:type="character" w:customStyle="1" w:styleId="EndNoteBibliographyChar">
    <w:name w:val="EndNote Bibliography Char"/>
    <w:basedOn w:val="DefaultParagraphFont"/>
    <w:link w:val="EndNoteBibliography"/>
    <w:rsid w:val="005B0C7C"/>
    <w:rPr>
      <w:rFonts w:ascii="Calibri" w:hAnsi="Calibri"/>
      <w:noProof/>
      <w:szCs w:val="24"/>
      <w:lang w:val="en-US" w:eastAsia="en-US"/>
    </w:rPr>
  </w:style>
  <w:style w:type="paragraph" w:styleId="CommentSubject">
    <w:name w:val="annotation subject"/>
    <w:basedOn w:val="CommentText"/>
    <w:next w:val="CommentText"/>
    <w:link w:val="CommentSubjectChar"/>
    <w:uiPriority w:val="99"/>
    <w:semiHidden/>
    <w:unhideWhenUsed/>
    <w:locked/>
    <w:rsid w:val="0013328A"/>
    <w:rPr>
      <w:b/>
      <w:bCs/>
      <w:sz w:val="20"/>
      <w:szCs w:val="20"/>
    </w:rPr>
  </w:style>
  <w:style w:type="character" w:customStyle="1" w:styleId="CommentSubjectChar">
    <w:name w:val="Comment Subject Char"/>
    <w:basedOn w:val="CommentTextChar"/>
    <w:link w:val="CommentSubject"/>
    <w:uiPriority w:val="99"/>
    <w:semiHidden/>
    <w:rsid w:val="0013328A"/>
    <w:rPr>
      <w:rFonts w:ascii="Calibri" w:hAnsi="Calibri"/>
      <w:b/>
      <w:bCs/>
      <w:sz w:val="24"/>
      <w:szCs w:val="24"/>
      <w:lang w:eastAsia="en-US"/>
    </w:rPr>
  </w:style>
  <w:style w:type="paragraph" w:styleId="NormalWeb">
    <w:name w:val="Normal (Web)"/>
    <w:basedOn w:val="Normal"/>
    <w:uiPriority w:val="99"/>
    <w:unhideWhenUsed/>
    <w:locked/>
    <w:rsid w:val="00517CB7"/>
    <w:pPr>
      <w:spacing w:before="100" w:beforeAutospacing="1" w:after="100" w:afterAutospacing="1"/>
    </w:pPr>
    <w:rPr>
      <w:rFonts w:ascii="Times New Roman" w:eastAsiaTheme="minorEastAsia" w:hAnsi="Times New Roman"/>
      <w:sz w:val="24"/>
      <w:lang w:eastAsia="en-AU"/>
    </w:rPr>
  </w:style>
  <w:style w:type="table" w:styleId="TableGrid">
    <w:name w:val="Table Grid"/>
    <w:basedOn w:val="TableNormal"/>
    <w:uiPriority w:val="39"/>
    <w:rsid w:val="008D4273"/>
    <w:rPr>
      <w:rFonts w:asciiTheme="minorHAnsi" w:eastAsiaTheme="minorHAnsi" w:hAnsiTheme="minorHAnsi" w:cstheme="minorBidi"/>
      <w:sz w:val="24"/>
      <w:szCs w:val="24"/>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8D4273"/>
    <w:rPr>
      <w:b/>
      <w:bCs/>
    </w:rPr>
  </w:style>
  <w:style w:type="paragraph" w:customStyle="1" w:styleId="p1">
    <w:name w:val="p1"/>
    <w:basedOn w:val="Normal"/>
    <w:rsid w:val="00E2341F"/>
    <w:pPr>
      <w:spacing w:before="0" w:after="0"/>
    </w:pPr>
    <w:rPr>
      <w:rFonts w:ascii="Helvetica" w:hAnsi="Helvetica"/>
      <w:sz w:val="18"/>
      <w:szCs w:val="18"/>
      <w:lang w:val="en-GB" w:eastAsia="en-GB"/>
    </w:rPr>
  </w:style>
  <w:style w:type="character" w:customStyle="1" w:styleId="apple-converted-space">
    <w:name w:val="apple-converted-space"/>
    <w:basedOn w:val="DefaultParagraphFont"/>
    <w:rsid w:val="00E2341F"/>
  </w:style>
  <w:style w:type="character" w:customStyle="1" w:styleId="s1">
    <w:name w:val="s1"/>
    <w:basedOn w:val="DefaultParagraphFont"/>
    <w:rsid w:val="003A22B1"/>
    <w:rPr>
      <w:color w:val="000000"/>
    </w:rPr>
  </w:style>
  <w:style w:type="table" w:styleId="PlainTable5">
    <w:name w:val="Plain Table 5"/>
    <w:basedOn w:val="TableNormal"/>
    <w:uiPriority w:val="45"/>
    <w:rsid w:val="003A22B1"/>
    <w:rPr>
      <w:rFonts w:asciiTheme="minorHAnsi" w:eastAsiaTheme="minorHAnsi" w:hAnsiTheme="minorHAnsi" w:cstheme="minorBidi"/>
      <w:sz w:val="24"/>
      <w:szCs w:val="24"/>
      <w:lang w:val="en-GB"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7D5603"/>
    <w:rPr>
      <w:rFonts w:asciiTheme="minorHAnsi" w:eastAsiaTheme="minorHAnsi" w:hAnsiTheme="minorHAnsi" w:cstheme="minorBidi"/>
      <w:sz w:val="24"/>
      <w:szCs w:val="24"/>
      <w:lang w:val="en-US"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PlainText">
    <w:name w:val="Plain Text"/>
    <w:basedOn w:val="Normal"/>
    <w:link w:val="PlainTextChar"/>
    <w:uiPriority w:val="99"/>
    <w:semiHidden/>
    <w:unhideWhenUsed/>
    <w:locked/>
    <w:rsid w:val="007C6C19"/>
    <w:pPr>
      <w:spacing w:before="0" w:after="0"/>
    </w:pPr>
    <w:rPr>
      <w:rFonts w:eastAsiaTheme="minorHAnsi" w:cstheme="minorBidi"/>
      <w:szCs w:val="21"/>
    </w:rPr>
  </w:style>
  <w:style w:type="character" w:customStyle="1" w:styleId="PlainTextChar">
    <w:name w:val="Plain Text Char"/>
    <w:basedOn w:val="DefaultParagraphFont"/>
    <w:link w:val="PlainText"/>
    <w:uiPriority w:val="99"/>
    <w:semiHidden/>
    <w:rsid w:val="007C6C19"/>
    <w:rPr>
      <w:rFonts w:ascii="Calibri" w:eastAsiaTheme="minorHAnsi" w:hAnsi="Calibri" w:cstheme="minorBidi"/>
      <w:sz w:val="22"/>
      <w:szCs w:val="21"/>
      <w:lang w:eastAsia="en-US"/>
    </w:rPr>
  </w:style>
  <w:style w:type="paragraph" w:customStyle="1" w:styleId="Figure">
    <w:name w:val="Figure"/>
    <w:basedOn w:val="Normal"/>
    <w:link w:val="FigureChar"/>
    <w:qFormat/>
    <w:rsid w:val="00264FE9"/>
    <w:pPr>
      <w:jc w:val="both"/>
    </w:pPr>
    <w:rPr>
      <w:rFonts w:ascii="Arial" w:hAnsi="Arial"/>
      <w:sz w:val="18"/>
      <w:szCs w:val="20"/>
      <w:lang w:val="en-GB"/>
    </w:rPr>
  </w:style>
  <w:style w:type="character" w:customStyle="1" w:styleId="FigureChar">
    <w:name w:val="Figure Char"/>
    <w:link w:val="Figure"/>
    <w:locked/>
    <w:rsid w:val="00264FE9"/>
    <w:rPr>
      <w:rFonts w:ascii="Arial" w:hAnsi="Arial"/>
      <w:sz w:val="18"/>
      <w:lang w:val="en-GB" w:eastAsia="en-US"/>
    </w:rPr>
  </w:style>
  <w:style w:type="character" w:styleId="IntenseReference">
    <w:name w:val="Intense Reference"/>
    <w:aliases w:val="fig tab body"/>
    <w:basedOn w:val="FigureChar"/>
    <w:uiPriority w:val="32"/>
    <w:qFormat/>
    <w:rsid w:val="00264FE9"/>
    <w:rPr>
      <w:rFonts w:ascii="Arial" w:hAnsi="Arial"/>
      <w:b w:val="0"/>
      <w:bCs/>
      <w:caps w:val="0"/>
      <w:smallCaps w:val="0"/>
      <w:color w:val="000000" w:themeColor="text1"/>
      <w:spacing w:val="0"/>
      <w:w w:val="100"/>
      <w:sz w:val="18"/>
      <w:u w:val="none"/>
      <w:lang w:val="en-GB" w:eastAsia="en-US"/>
    </w:rPr>
  </w:style>
  <w:style w:type="character" w:customStyle="1" w:styleId="UnresolvedMention1">
    <w:name w:val="Unresolved Mention1"/>
    <w:basedOn w:val="DefaultParagraphFont"/>
    <w:uiPriority w:val="99"/>
    <w:semiHidden/>
    <w:unhideWhenUsed/>
    <w:rsid w:val="008C348B"/>
    <w:rPr>
      <w:color w:val="808080"/>
      <w:shd w:val="clear" w:color="auto" w:fill="E6E6E6"/>
    </w:rPr>
  </w:style>
  <w:style w:type="paragraph" w:styleId="BodyText">
    <w:name w:val="Body Text"/>
    <w:basedOn w:val="Normal"/>
    <w:link w:val="BodyTextChar"/>
    <w:locked/>
    <w:rsid w:val="00306220"/>
    <w:pPr>
      <w:spacing w:before="0"/>
      <w:jc w:val="both"/>
    </w:pPr>
    <w:rPr>
      <w:rFonts w:cs="Calibri"/>
      <w:szCs w:val="22"/>
      <w:lang w:eastAsia="en-AU"/>
    </w:rPr>
  </w:style>
  <w:style w:type="character" w:customStyle="1" w:styleId="BodyTextChar">
    <w:name w:val="Body Text Char"/>
    <w:basedOn w:val="DefaultParagraphFont"/>
    <w:link w:val="BodyText"/>
    <w:rsid w:val="00306220"/>
    <w:rPr>
      <w:rFonts w:ascii="Calibri" w:hAnsi="Calibri" w:cs="Calibri"/>
      <w:sz w:val="22"/>
      <w:szCs w:val="22"/>
    </w:rPr>
  </w:style>
  <w:style w:type="paragraph" w:styleId="EndnoteText">
    <w:name w:val="endnote text"/>
    <w:basedOn w:val="Normal"/>
    <w:link w:val="EndnoteTextChar"/>
    <w:uiPriority w:val="99"/>
    <w:semiHidden/>
    <w:unhideWhenUsed/>
    <w:locked/>
    <w:rsid w:val="00F03111"/>
    <w:pPr>
      <w:spacing w:before="0" w:after="0"/>
    </w:pPr>
    <w:rPr>
      <w:sz w:val="20"/>
      <w:szCs w:val="20"/>
    </w:rPr>
  </w:style>
  <w:style w:type="character" w:customStyle="1" w:styleId="EndnoteTextChar">
    <w:name w:val="Endnote Text Char"/>
    <w:basedOn w:val="DefaultParagraphFont"/>
    <w:link w:val="EndnoteText"/>
    <w:uiPriority w:val="99"/>
    <w:semiHidden/>
    <w:rsid w:val="00F03111"/>
    <w:rPr>
      <w:rFonts w:ascii="Calibri" w:hAnsi="Calibri"/>
      <w:lang w:eastAsia="en-US"/>
    </w:rPr>
  </w:style>
  <w:style w:type="character" w:styleId="EndnoteReference">
    <w:name w:val="endnote reference"/>
    <w:basedOn w:val="DefaultParagraphFont"/>
    <w:uiPriority w:val="99"/>
    <w:semiHidden/>
    <w:unhideWhenUsed/>
    <w:locked/>
    <w:rsid w:val="00F0311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7409799">
      <w:bodyDiv w:val="1"/>
      <w:marLeft w:val="0"/>
      <w:marRight w:val="0"/>
      <w:marTop w:val="0"/>
      <w:marBottom w:val="0"/>
      <w:divBdr>
        <w:top w:val="none" w:sz="0" w:space="0" w:color="auto"/>
        <w:left w:val="none" w:sz="0" w:space="0" w:color="auto"/>
        <w:bottom w:val="none" w:sz="0" w:space="0" w:color="auto"/>
        <w:right w:val="none" w:sz="0" w:space="0" w:color="auto"/>
      </w:divBdr>
    </w:div>
    <w:div w:id="27149358">
      <w:bodyDiv w:val="1"/>
      <w:marLeft w:val="0"/>
      <w:marRight w:val="0"/>
      <w:marTop w:val="0"/>
      <w:marBottom w:val="0"/>
      <w:divBdr>
        <w:top w:val="none" w:sz="0" w:space="0" w:color="auto"/>
        <w:left w:val="none" w:sz="0" w:space="0" w:color="auto"/>
        <w:bottom w:val="none" w:sz="0" w:space="0" w:color="auto"/>
        <w:right w:val="none" w:sz="0" w:space="0" w:color="auto"/>
      </w:divBdr>
    </w:div>
    <w:div w:id="76362949">
      <w:bodyDiv w:val="1"/>
      <w:marLeft w:val="0"/>
      <w:marRight w:val="0"/>
      <w:marTop w:val="0"/>
      <w:marBottom w:val="0"/>
      <w:divBdr>
        <w:top w:val="none" w:sz="0" w:space="0" w:color="auto"/>
        <w:left w:val="none" w:sz="0" w:space="0" w:color="auto"/>
        <w:bottom w:val="none" w:sz="0" w:space="0" w:color="auto"/>
        <w:right w:val="none" w:sz="0" w:space="0" w:color="auto"/>
      </w:divBdr>
    </w:div>
    <w:div w:id="97723391">
      <w:bodyDiv w:val="1"/>
      <w:marLeft w:val="0"/>
      <w:marRight w:val="0"/>
      <w:marTop w:val="0"/>
      <w:marBottom w:val="0"/>
      <w:divBdr>
        <w:top w:val="none" w:sz="0" w:space="0" w:color="auto"/>
        <w:left w:val="none" w:sz="0" w:space="0" w:color="auto"/>
        <w:bottom w:val="none" w:sz="0" w:space="0" w:color="auto"/>
        <w:right w:val="none" w:sz="0" w:space="0" w:color="auto"/>
      </w:divBdr>
    </w:div>
    <w:div w:id="159732929">
      <w:bodyDiv w:val="1"/>
      <w:marLeft w:val="0"/>
      <w:marRight w:val="0"/>
      <w:marTop w:val="0"/>
      <w:marBottom w:val="0"/>
      <w:divBdr>
        <w:top w:val="none" w:sz="0" w:space="0" w:color="auto"/>
        <w:left w:val="none" w:sz="0" w:space="0" w:color="auto"/>
        <w:bottom w:val="none" w:sz="0" w:space="0" w:color="auto"/>
        <w:right w:val="none" w:sz="0" w:space="0" w:color="auto"/>
      </w:divBdr>
    </w:div>
    <w:div w:id="175661287">
      <w:bodyDiv w:val="1"/>
      <w:marLeft w:val="0"/>
      <w:marRight w:val="0"/>
      <w:marTop w:val="0"/>
      <w:marBottom w:val="0"/>
      <w:divBdr>
        <w:top w:val="none" w:sz="0" w:space="0" w:color="auto"/>
        <w:left w:val="none" w:sz="0" w:space="0" w:color="auto"/>
        <w:bottom w:val="none" w:sz="0" w:space="0" w:color="auto"/>
        <w:right w:val="none" w:sz="0" w:space="0" w:color="auto"/>
      </w:divBdr>
    </w:div>
    <w:div w:id="230119805">
      <w:bodyDiv w:val="1"/>
      <w:marLeft w:val="0"/>
      <w:marRight w:val="0"/>
      <w:marTop w:val="0"/>
      <w:marBottom w:val="0"/>
      <w:divBdr>
        <w:top w:val="none" w:sz="0" w:space="0" w:color="auto"/>
        <w:left w:val="none" w:sz="0" w:space="0" w:color="auto"/>
        <w:bottom w:val="none" w:sz="0" w:space="0" w:color="auto"/>
        <w:right w:val="none" w:sz="0" w:space="0" w:color="auto"/>
      </w:divBdr>
    </w:div>
    <w:div w:id="240674936">
      <w:bodyDiv w:val="1"/>
      <w:marLeft w:val="0"/>
      <w:marRight w:val="0"/>
      <w:marTop w:val="0"/>
      <w:marBottom w:val="0"/>
      <w:divBdr>
        <w:top w:val="none" w:sz="0" w:space="0" w:color="auto"/>
        <w:left w:val="none" w:sz="0" w:space="0" w:color="auto"/>
        <w:bottom w:val="none" w:sz="0" w:space="0" w:color="auto"/>
        <w:right w:val="none" w:sz="0" w:space="0" w:color="auto"/>
      </w:divBdr>
    </w:div>
    <w:div w:id="241062200">
      <w:bodyDiv w:val="1"/>
      <w:marLeft w:val="0"/>
      <w:marRight w:val="0"/>
      <w:marTop w:val="0"/>
      <w:marBottom w:val="0"/>
      <w:divBdr>
        <w:top w:val="none" w:sz="0" w:space="0" w:color="auto"/>
        <w:left w:val="none" w:sz="0" w:space="0" w:color="auto"/>
        <w:bottom w:val="none" w:sz="0" w:space="0" w:color="auto"/>
        <w:right w:val="none" w:sz="0" w:space="0" w:color="auto"/>
      </w:divBdr>
    </w:div>
    <w:div w:id="243925918">
      <w:bodyDiv w:val="1"/>
      <w:marLeft w:val="0"/>
      <w:marRight w:val="0"/>
      <w:marTop w:val="0"/>
      <w:marBottom w:val="0"/>
      <w:divBdr>
        <w:top w:val="none" w:sz="0" w:space="0" w:color="auto"/>
        <w:left w:val="none" w:sz="0" w:space="0" w:color="auto"/>
        <w:bottom w:val="none" w:sz="0" w:space="0" w:color="auto"/>
        <w:right w:val="none" w:sz="0" w:space="0" w:color="auto"/>
      </w:divBdr>
    </w:div>
    <w:div w:id="314383602">
      <w:bodyDiv w:val="1"/>
      <w:marLeft w:val="0"/>
      <w:marRight w:val="0"/>
      <w:marTop w:val="0"/>
      <w:marBottom w:val="0"/>
      <w:divBdr>
        <w:top w:val="none" w:sz="0" w:space="0" w:color="auto"/>
        <w:left w:val="none" w:sz="0" w:space="0" w:color="auto"/>
        <w:bottom w:val="none" w:sz="0" w:space="0" w:color="auto"/>
        <w:right w:val="none" w:sz="0" w:space="0" w:color="auto"/>
      </w:divBdr>
    </w:div>
    <w:div w:id="335764099">
      <w:bodyDiv w:val="1"/>
      <w:marLeft w:val="0"/>
      <w:marRight w:val="0"/>
      <w:marTop w:val="0"/>
      <w:marBottom w:val="0"/>
      <w:divBdr>
        <w:top w:val="none" w:sz="0" w:space="0" w:color="auto"/>
        <w:left w:val="none" w:sz="0" w:space="0" w:color="auto"/>
        <w:bottom w:val="none" w:sz="0" w:space="0" w:color="auto"/>
        <w:right w:val="none" w:sz="0" w:space="0" w:color="auto"/>
      </w:divBdr>
    </w:div>
    <w:div w:id="360866259">
      <w:bodyDiv w:val="1"/>
      <w:marLeft w:val="0"/>
      <w:marRight w:val="0"/>
      <w:marTop w:val="0"/>
      <w:marBottom w:val="0"/>
      <w:divBdr>
        <w:top w:val="none" w:sz="0" w:space="0" w:color="auto"/>
        <w:left w:val="none" w:sz="0" w:space="0" w:color="auto"/>
        <w:bottom w:val="none" w:sz="0" w:space="0" w:color="auto"/>
        <w:right w:val="none" w:sz="0" w:space="0" w:color="auto"/>
      </w:divBdr>
    </w:div>
    <w:div w:id="372194104">
      <w:bodyDiv w:val="1"/>
      <w:marLeft w:val="0"/>
      <w:marRight w:val="0"/>
      <w:marTop w:val="0"/>
      <w:marBottom w:val="0"/>
      <w:divBdr>
        <w:top w:val="none" w:sz="0" w:space="0" w:color="auto"/>
        <w:left w:val="none" w:sz="0" w:space="0" w:color="auto"/>
        <w:bottom w:val="none" w:sz="0" w:space="0" w:color="auto"/>
        <w:right w:val="none" w:sz="0" w:space="0" w:color="auto"/>
      </w:divBdr>
    </w:div>
    <w:div w:id="407271730">
      <w:bodyDiv w:val="1"/>
      <w:marLeft w:val="0"/>
      <w:marRight w:val="0"/>
      <w:marTop w:val="0"/>
      <w:marBottom w:val="0"/>
      <w:divBdr>
        <w:top w:val="none" w:sz="0" w:space="0" w:color="auto"/>
        <w:left w:val="none" w:sz="0" w:space="0" w:color="auto"/>
        <w:bottom w:val="none" w:sz="0" w:space="0" w:color="auto"/>
        <w:right w:val="none" w:sz="0" w:space="0" w:color="auto"/>
      </w:divBdr>
    </w:div>
    <w:div w:id="534780420">
      <w:bodyDiv w:val="1"/>
      <w:marLeft w:val="0"/>
      <w:marRight w:val="0"/>
      <w:marTop w:val="0"/>
      <w:marBottom w:val="0"/>
      <w:divBdr>
        <w:top w:val="none" w:sz="0" w:space="0" w:color="auto"/>
        <w:left w:val="none" w:sz="0" w:space="0" w:color="auto"/>
        <w:bottom w:val="none" w:sz="0" w:space="0" w:color="auto"/>
        <w:right w:val="none" w:sz="0" w:space="0" w:color="auto"/>
      </w:divBdr>
    </w:div>
    <w:div w:id="559630863">
      <w:bodyDiv w:val="1"/>
      <w:marLeft w:val="0"/>
      <w:marRight w:val="0"/>
      <w:marTop w:val="0"/>
      <w:marBottom w:val="0"/>
      <w:divBdr>
        <w:top w:val="none" w:sz="0" w:space="0" w:color="auto"/>
        <w:left w:val="none" w:sz="0" w:space="0" w:color="auto"/>
        <w:bottom w:val="none" w:sz="0" w:space="0" w:color="auto"/>
        <w:right w:val="none" w:sz="0" w:space="0" w:color="auto"/>
      </w:divBdr>
    </w:div>
    <w:div w:id="570851291">
      <w:bodyDiv w:val="1"/>
      <w:marLeft w:val="0"/>
      <w:marRight w:val="0"/>
      <w:marTop w:val="0"/>
      <w:marBottom w:val="0"/>
      <w:divBdr>
        <w:top w:val="none" w:sz="0" w:space="0" w:color="auto"/>
        <w:left w:val="none" w:sz="0" w:space="0" w:color="auto"/>
        <w:bottom w:val="none" w:sz="0" w:space="0" w:color="auto"/>
        <w:right w:val="none" w:sz="0" w:space="0" w:color="auto"/>
      </w:divBdr>
    </w:div>
    <w:div w:id="579751325">
      <w:bodyDiv w:val="1"/>
      <w:marLeft w:val="0"/>
      <w:marRight w:val="0"/>
      <w:marTop w:val="0"/>
      <w:marBottom w:val="0"/>
      <w:divBdr>
        <w:top w:val="none" w:sz="0" w:space="0" w:color="auto"/>
        <w:left w:val="none" w:sz="0" w:space="0" w:color="auto"/>
        <w:bottom w:val="none" w:sz="0" w:space="0" w:color="auto"/>
        <w:right w:val="none" w:sz="0" w:space="0" w:color="auto"/>
      </w:divBdr>
    </w:div>
    <w:div w:id="625280090">
      <w:bodyDiv w:val="1"/>
      <w:marLeft w:val="0"/>
      <w:marRight w:val="0"/>
      <w:marTop w:val="0"/>
      <w:marBottom w:val="0"/>
      <w:divBdr>
        <w:top w:val="none" w:sz="0" w:space="0" w:color="auto"/>
        <w:left w:val="none" w:sz="0" w:space="0" w:color="auto"/>
        <w:bottom w:val="none" w:sz="0" w:space="0" w:color="auto"/>
        <w:right w:val="none" w:sz="0" w:space="0" w:color="auto"/>
      </w:divBdr>
    </w:div>
    <w:div w:id="681591073">
      <w:bodyDiv w:val="1"/>
      <w:marLeft w:val="0"/>
      <w:marRight w:val="0"/>
      <w:marTop w:val="0"/>
      <w:marBottom w:val="0"/>
      <w:divBdr>
        <w:top w:val="none" w:sz="0" w:space="0" w:color="auto"/>
        <w:left w:val="none" w:sz="0" w:space="0" w:color="auto"/>
        <w:bottom w:val="none" w:sz="0" w:space="0" w:color="auto"/>
        <w:right w:val="none" w:sz="0" w:space="0" w:color="auto"/>
      </w:divBdr>
    </w:div>
    <w:div w:id="683290941">
      <w:bodyDiv w:val="1"/>
      <w:marLeft w:val="0"/>
      <w:marRight w:val="0"/>
      <w:marTop w:val="0"/>
      <w:marBottom w:val="0"/>
      <w:divBdr>
        <w:top w:val="none" w:sz="0" w:space="0" w:color="auto"/>
        <w:left w:val="none" w:sz="0" w:space="0" w:color="auto"/>
        <w:bottom w:val="none" w:sz="0" w:space="0" w:color="auto"/>
        <w:right w:val="none" w:sz="0" w:space="0" w:color="auto"/>
      </w:divBdr>
    </w:div>
    <w:div w:id="799416871">
      <w:bodyDiv w:val="1"/>
      <w:marLeft w:val="0"/>
      <w:marRight w:val="0"/>
      <w:marTop w:val="0"/>
      <w:marBottom w:val="0"/>
      <w:divBdr>
        <w:top w:val="none" w:sz="0" w:space="0" w:color="auto"/>
        <w:left w:val="none" w:sz="0" w:space="0" w:color="auto"/>
        <w:bottom w:val="none" w:sz="0" w:space="0" w:color="auto"/>
        <w:right w:val="none" w:sz="0" w:space="0" w:color="auto"/>
      </w:divBdr>
    </w:div>
    <w:div w:id="839929137">
      <w:bodyDiv w:val="1"/>
      <w:marLeft w:val="0"/>
      <w:marRight w:val="0"/>
      <w:marTop w:val="0"/>
      <w:marBottom w:val="0"/>
      <w:divBdr>
        <w:top w:val="none" w:sz="0" w:space="0" w:color="auto"/>
        <w:left w:val="none" w:sz="0" w:space="0" w:color="auto"/>
        <w:bottom w:val="none" w:sz="0" w:space="0" w:color="auto"/>
        <w:right w:val="none" w:sz="0" w:space="0" w:color="auto"/>
      </w:divBdr>
    </w:div>
    <w:div w:id="879055871">
      <w:bodyDiv w:val="1"/>
      <w:marLeft w:val="0"/>
      <w:marRight w:val="0"/>
      <w:marTop w:val="0"/>
      <w:marBottom w:val="0"/>
      <w:divBdr>
        <w:top w:val="none" w:sz="0" w:space="0" w:color="auto"/>
        <w:left w:val="none" w:sz="0" w:space="0" w:color="auto"/>
        <w:bottom w:val="none" w:sz="0" w:space="0" w:color="auto"/>
        <w:right w:val="none" w:sz="0" w:space="0" w:color="auto"/>
      </w:divBdr>
    </w:div>
    <w:div w:id="948315688">
      <w:bodyDiv w:val="1"/>
      <w:marLeft w:val="0"/>
      <w:marRight w:val="0"/>
      <w:marTop w:val="0"/>
      <w:marBottom w:val="0"/>
      <w:divBdr>
        <w:top w:val="none" w:sz="0" w:space="0" w:color="auto"/>
        <w:left w:val="none" w:sz="0" w:space="0" w:color="auto"/>
        <w:bottom w:val="none" w:sz="0" w:space="0" w:color="auto"/>
        <w:right w:val="none" w:sz="0" w:space="0" w:color="auto"/>
      </w:divBdr>
    </w:div>
    <w:div w:id="977685534">
      <w:bodyDiv w:val="1"/>
      <w:marLeft w:val="0"/>
      <w:marRight w:val="0"/>
      <w:marTop w:val="0"/>
      <w:marBottom w:val="0"/>
      <w:divBdr>
        <w:top w:val="none" w:sz="0" w:space="0" w:color="auto"/>
        <w:left w:val="none" w:sz="0" w:space="0" w:color="auto"/>
        <w:bottom w:val="none" w:sz="0" w:space="0" w:color="auto"/>
        <w:right w:val="none" w:sz="0" w:space="0" w:color="auto"/>
      </w:divBdr>
    </w:div>
    <w:div w:id="1000743318">
      <w:bodyDiv w:val="1"/>
      <w:marLeft w:val="0"/>
      <w:marRight w:val="0"/>
      <w:marTop w:val="0"/>
      <w:marBottom w:val="0"/>
      <w:divBdr>
        <w:top w:val="none" w:sz="0" w:space="0" w:color="auto"/>
        <w:left w:val="none" w:sz="0" w:space="0" w:color="auto"/>
        <w:bottom w:val="none" w:sz="0" w:space="0" w:color="auto"/>
        <w:right w:val="none" w:sz="0" w:space="0" w:color="auto"/>
      </w:divBdr>
    </w:div>
    <w:div w:id="1021975402">
      <w:bodyDiv w:val="1"/>
      <w:marLeft w:val="0"/>
      <w:marRight w:val="0"/>
      <w:marTop w:val="0"/>
      <w:marBottom w:val="0"/>
      <w:divBdr>
        <w:top w:val="none" w:sz="0" w:space="0" w:color="auto"/>
        <w:left w:val="none" w:sz="0" w:space="0" w:color="auto"/>
        <w:bottom w:val="none" w:sz="0" w:space="0" w:color="auto"/>
        <w:right w:val="none" w:sz="0" w:space="0" w:color="auto"/>
      </w:divBdr>
    </w:div>
    <w:div w:id="1026448205">
      <w:bodyDiv w:val="1"/>
      <w:marLeft w:val="0"/>
      <w:marRight w:val="0"/>
      <w:marTop w:val="0"/>
      <w:marBottom w:val="0"/>
      <w:divBdr>
        <w:top w:val="none" w:sz="0" w:space="0" w:color="auto"/>
        <w:left w:val="none" w:sz="0" w:space="0" w:color="auto"/>
        <w:bottom w:val="none" w:sz="0" w:space="0" w:color="auto"/>
        <w:right w:val="none" w:sz="0" w:space="0" w:color="auto"/>
      </w:divBdr>
    </w:div>
    <w:div w:id="1044448402">
      <w:bodyDiv w:val="1"/>
      <w:marLeft w:val="0"/>
      <w:marRight w:val="0"/>
      <w:marTop w:val="0"/>
      <w:marBottom w:val="0"/>
      <w:divBdr>
        <w:top w:val="none" w:sz="0" w:space="0" w:color="auto"/>
        <w:left w:val="none" w:sz="0" w:space="0" w:color="auto"/>
        <w:bottom w:val="none" w:sz="0" w:space="0" w:color="auto"/>
        <w:right w:val="none" w:sz="0" w:space="0" w:color="auto"/>
      </w:divBdr>
    </w:div>
    <w:div w:id="1070468467">
      <w:bodyDiv w:val="1"/>
      <w:marLeft w:val="0"/>
      <w:marRight w:val="0"/>
      <w:marTop w:val="0"/>
      <w:marBottom w:val="0"/>
      <w:divBdr>
        <w:top w:val="none" w:sz="0" w:space="0" w:color="auto"/>
        <w:left w:val="none" w:sz="0" w:space="0" w:color="auto"/>
        <w:bottom w:val="none" w:sz="0" w:space="0" w:color="auto"/>
        <w:right w:val="none" w:sz="0" w:space="0" w:color="auto"/>
      </w:divBdr>
    </w:div>
    <w:div w:id="1092820970">
      <w:bodyDiv w:val="1"/>
      <w:marLeft w:val="0"/>
      <w:marRight w:val="0"/>
      <w:marTop w:val="0"/>
      <w:marBottom w:val="0"/>
      <w:divBdr>
        <w:top w:val="none" w:sz="0" w:space="0" w:color="auto"/>
        <w:left w:val="none" w:sz="0" w:space="0" w:color="auto"/>
        <w:bottom w:val="none" w:sz="0" w:space="0" w:color="auto"/>
        <w:right w:val="none" w:sz="0" w:space="0" w:color="auto"/>
      </w:divBdr>
    </w:div>
    <w:div w:id="1192302594">
      <w:bodyDiv w:val="1"/>
      <w:marLeft w:val="0"/>
      <w:marRight w:val="0"/>
      <w:marTop w:val="0"/>
      <w:marBottom w:val="0"/>
      <w:divBdr>
        <w:top w:val="none" w:sz="0" w:space="0" w:color="auto"/>
        <w:left w:val="none" w:sz="0" w:space="0" w:color="auto"/>
        <w:bottom w:val="none" w:sz="0" w:space="0" w:color="auto"/>
        <w:right w:val="none" w:sz="0" w:space="0" w:color="auto"/>
      </w:divBdr>
    </w:div>
    <w:div w:id="1200824596">
      <w:bodyDiv w:val="1"/>
      <w:marLeft w:val="0"/>
      <w:marRight w:val="0"/>
      <w:marTop w:val="0"/>
      <w:marBottom w:val="0"/>
      <w:divBdr>
        <w:top w:val="none" w:sz="0" w:space="0" w:color="auto"/>
        <w:left w:val="none" w:sz="0" w:space="0" w:color="auto"/>
        <w:bottom w:val="none" w:sz="0" w:space="0" w:color="auto"/>
        <w:right w:val="none" w:sz="0" w:space="0" w:color="auto"/>
      </w:divBdr>
    </w:div>
    <w:div w:id="1214924702">
      <w:bodyDiv w:val="1"/>
      <w:marLeft w:val="0"/>
      <w:marRight w:val="0"/>
      <w:marTop w:val="0"/>
      <w:marBottom w:val="0"/>
      <w:divBdr>
        <w:top w:val="none" w:sz="0" w:space="0" w:color="auto"/>
        <w:left w:val="none" w:sz="0" w:space="0" w:color="auto"/>
        <w:bottom w:val="none" w:sz="0" w:space="0" w:color="auto"/>
        <w:right w:val="none" w:sz="0" w:space="0" w:color="auto"/>
      </w:divBdr>
    </w:div>
    <w:div w:id="1284382757">
      <w:bodyDiv w:val="1"/>
      <w:marLeft w:val="0"/>
      <w:marRight w:val="0"/>
      <w:marTop w:val="0"/>
      <w:marBottom w:val="0"/>
      <w:divBdr>
        <w:top w:val="none" w:sz="0" w:space="0" w:color="auto"/>
        <w:left w:val="none" w:sz="0" w:space="0" w:color="auto"/>
        <w:bottom w:val="none" w:sz="0" w:space="0" w:color="auto"/>
        <w:right w:val="none" w:sz="0" w:space="0" w:color="auto"/>
      </w:divBdr>
    </w:div>
    <w:div w:id="1380982031">
      <w:bodyDiv w:val="1"/>
      <w:marLeft w:val="0"/>
      <w:marRight w:val="0"/>
      <w:marTop w:val="0"/>
      <w:marBottom w:val="0"/>
      <w:divBdr>
        <w:top w:val="none" w:sz="0" w:space="0" w:color="auto"/>
        <w:left w:val="none" w:sz="0" w:space="0" w:color="auto"/>
        <w:bottom w:val="none" w:sz="0" w:space="0" w:color="auto"/>
        <w:right w:val="none" w:sz="0" w:space="0" w:color="auto"/>
      </w:divBdr>
    </w:div>
    <w:div w:id="1507135696">
      <w:bodyDiv w:val="1"/>
      <w:marLeft w:val="0"/>
      <w:marRight w:val="0"/>
      <w:marTop w:val="0"/>
      <w:marBottom w:val="0"/>
      <w:divBdr>
        <w:top w:val="none" w:sz="0" w:space="0" w:color="auto"/>
        <w:left w:val="none" w:sz="0" w:space="0" w:color="auto"/>
        <w:bottom w:val="none" w:sz="0" w:space="0" w:color="auto"/>
        <w:right w:val="none" w:sz="0" w:space="0" w:color="auto"/>
      </w:divBdr>
    </w:div>
    <w:div w:id="1510098368">
      <w:bodyDiv w:val="1"/>
      <w:marLeft w:val="0"/>
      <w:marRight w:val="0"/>
      <w:marTop w:val="0"/>
      <w:marBottom w:val="0"/>
      <w:divBdr>
        <w:top w:val="none" w:sz="0" w:space="0" w:color="auto"/>
        <w:left w:val="none" w:sz="0" w:space="0" w:color="auto"/>
        <w:bottom w:val="none" w:sz="0" w:space="0" w:color="auto"/>
        <w:right w:val="none" w:sz="0" w:space="0" w:color="auto"/>
      </w:divBdr>
    </w:div>
    <w:div w:id="1577471069">
      <w:bodyDiv w:val="1"/>
      <w:marLeft w:val="0"/>
      <w:marRight w:val="0"/>
      <w:marTop w:val="0"/>
      <w:marBottom w:val="0"/>
      <w:divBdr>
        <w:top w:val="none" w:sz="0" w:space="0" w:color="auto"/>
        <w:left w:val="none" w:sz="0" w:space="0" w:color="auto"/>
        <w:bottom w:val="none" w:sz="0" w:space="0" w:color="auto"/>
        <w:right w:val="none" w:sz="0" w:space="0" w:color="auto"/>
      </w:divBdr>
    </w:div>
    <w:div w:id="1601061258">
      <w:bodyDiv w:val="1"/>
      <w:marLeft w:val="0"/>
      <w:marRight w:val="0"/>
      <w:marTop w:val="0"/>
      <w:marBottom w:val="0"/>
      <w:divBdr>
        <w:top w:val="none" w:sz="0" w:space="0" w:color="auto"/>
        <w:left w:val="none" w:sz="0" w:space="0" w:color="auto"/>
        <w:bottom w:val="none" w:sz="0" w:space="0" w:color="auto"/>
        <w:right w:val="none" w:sz="0" w:space="0" w:color="auto"/>
      </w:divBdr>
    </w:div>
    <w:div w:id="1605963609">
      <w:bodyDiv w:val="1"/>
      <w:marLeft w:val="0"/>
      <w:marRight w:val="0"/>
      <w:marTop w:val="0"/>
      <w:marBottom w:val="0"/>
      <w:divBdr>
        <w:top w:val="none" w:sz="0" w:space="0" w:color="auto"/>
        <w:left w:val="none" w:sz="0" w:space="0" w:color="auto"/>
        <w:bottom w:val="none" w:sz="0" w:space="0" w:color="auto"/>
        <w:right w:val="none" w:sz="0" w:space="0" w:color="auto"/>
      </w:divBdr>
    </w:div>
    <w:div w:id="1614509116">
      <w:bodyDiv w:val="1"/>
      <w:marLeft w:val="0"/>
      <w:marRight w:val="0"/>
      <w:marTop w:val="0"/>
      <w:marBottom w:val="0"/>
      <w:divBdr>
        <w:top w:val="none" w:sz="0" w:space="0" w:color="auto"/>
        <w:left w:val="none" w:sz="0" w:space="0" w:color="auto"/>
        <w:bottom w:val="none" w:sz="0" w:space="0" w:color="auto"/>
        <w:right w:val="none" w:sz="0" w:space="0" w:color="auto"/>
      </w:divBdr>
    </w:div>
    <w:div w:id="1622149312">
      <w:bodyDiv w:val="1"/>
      <w:marLeft w:val="0"/>
      <w:marRight w:val="0"/>
      <w:marTop w:val="0"/>
      <w:marBottom w:val="0"/>
      <w:divBdr>
        <w:top w:val="none" w:sz="0" w:space="0" w:color="auto"/>
        <w:left w:val="none" w:sz="0" w:space="0" w:color="auto"/>
        <w:bottom w:val="none" w:sz="0" w:space="0" w:color="auto"/>
        <w:right w:val="none" w:sz="0" w:space="0" w:color="auto"/>
      </w:divBdr>
    </w:div>
    <w:div w:id="1682389909">
      <w:bodyDiv w:val="1"/>
      <w:marLeft w:val="0"/>
      <w:marRight w:val="0"/>
      <w:marTop w:val="0"/>
      <w:marBottom w:val="0"/>
      <w:divBdr>
        <w:top w:val="none" w:sz="0" w:space="0" w:color="auto"/>
        <w:left w:val="none" w:sz="0" w:space="0" w:color="auto"/>
        <w:bottom w:val="none" w:sz="0" w:space="0" w:color="auto"/>
        <w:right w:val="none" w:sz="0" w:space="0" w:color="auto"/>
      </w:divBdr>
    </w:div>
    <w:div w:id="1714503342">
      <w:bodyDiv w:val="1"/>
      <w:marLeft w:val="0"/>
      <w:marRight w:val="0"/>
      <w:marTop w:val="0"/>
      <w:marBottom w:val="0"/>
      <w:divBdr>
        <w:top w:val="none" w:sz="0" w:space="0" w:color="auto"/>
        <w:left w:val="none" w:sz="0" w:space="0" w:color="auto"/>
        <w:bottom w:val="none" w:sz="0" w:space="0" w:color="auto"/>
        <w:right w:val="none" w:sz="0" w:space="0" w:color="auto"/>
      </w:divBdr>
    </w:div>
    <w:div w:id="1728259394">
      <w:bodyDiv w:val="1"/>
      <w:marLeft w:val="0"/>
      <w:marRight w:val="0"/>
      <w:marTop w:val="0"/>
      <w:marBottom w:val="0"/>
      <w:divBdr>
        <w:top w:val="none" w:sz="0" w:space="0" w:color="auto"/>
        <w:left w:val="none" w:sz="0" w:space="0" w:color="auto"/>
        <w:bottom w:val="none" w:sz="0" w:space="0" w:color="auto"/>
        <w:right w:val="none" w:sz="0" w:space="0" w:color="auto"/>
      </w:divBdr>
    </w:div>
    <w:div w:id="1793673597">
      <w:bodyDiv w:val="1"/>
      <w:marLeft w:val="0"/>
      <w:marRight w:val="0"/>
      <w:marTop w:val="0"/>
      <w:marBottom w:val="0"/>
      <w:divBdr>
        <w:top w:val="none" w:sz="0" w:space="0" w:color="auto"/>
        <w:left w:val="none" w:sz="0" w:space="0" w:color="auto"/>
        <w:bottom w:val="none" w:sz="0" w:space="0" w:color="auto"/>
        <w:right w:val="none" w:sz="0" w:space="0" w:color="auto"/>
      </w:divBdr>
    </w:div>
    <w:div w:id="1853841436">
      <w:bodyDiv w:val="1"/>
      <w:marLeft w:val="0"/>
      <w:marRight w:val="0"/>
      <w:marTop w:val="0"/>
      <w:marBottom w:val="0"/>
      <w:divBdr>
        <w:top w:val="none" w:sz="0" w:space="0" w:color="auto"/>
        <w:left w:val="none" w:sz="0" w:space="0" w:color="auto"/>
        <w:bottom w:val="none" w:sz="0" w:space="0" w:color="auto"/>
        <w:right w:val="none" w:sz="0" w:space="0" w:color="auto"/>
      </w:divBdr>
    </w:div>
    <w:div w:id="1973632731">
      <w:bodyDiv w:val="1"/>
      <w:marLeft w:val="0"/>
      <w:marRight w:val="0"/>
      <w:marTop w:val="0"/>
      <w:marBottom w:val="0"/>
      <w:divBdr>
        <w:top w:val="none" w:sz="0" w:space="0" w:color="auto"/>
        <w:left w:val="none" w:sz="0" w:space="0" w:color="auto"/>
        <w:bottom w:val="none" w:sz="0" w:space="0" w:color="auto"/>
        <w:right w:val="none" w:sz="0" w:space="0" w:color="auto"/>
      </w:divBdr>
    </w:div>
    <w:div w:id="204066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3.png"/><Relationship Id="rId299" Type="http://schemas.openxmlformats.org/officeDocument/2006/relationships/image" Target="media/image224.png"/><Relationship Id="rId21" Type="http://schemas.openxmlformats.org/officeDocument/2006/relationships/header" Target="header4.xml"/><Relationship Id="rId63" Type="http://schemas.openxmlformats.org/officeDocument/2006/relationships/image" Target="media/image29.png"/><Relationship Id="rId159" Type="http://schemas.openxmlformats.org/officeDocument/2006/relationships/image" Target="media/image125.jpeg"/><Relationship Id="rId170" Type="http://schemas.openxmlformats.org/officeDocument/2006/relationships/hyperlink" Target="http://www.nrm.gov.au/about/nrm/regions/qld-fitz.html" TargetMode="External"/><Relationship Id="rId226" Type="http://schemas.openxmlformats.org/officeDocument/2006/relationships/image" Target="media/image152.png"/><Relationship Id="rId268" Type="http://schemas.openxmlformats.org/officeDocument/2006/relationships/image" Target="media/image193.png"/><Relationship Id="rId32" Type="http://schemas.openxmlformats.org/officeDocument/2006/relationships/footer" Target="footer4.xml"/><Relationship Id="rId74" Type="http://schemas.openxmlformats.org/officeDocument/2006/relationships/image" Target="media/image40.png"/><Relationship Id="rId128" Type="http://schemas.openxmlformats.org/officeDocument/2006/relationships/image" Target="media/image94.png"/><Relationship Id="rId5" Type="http://schemas.openxmlformats.org/officeDocument/2006/relationships/customXml" Target="../customXml/item5.xml"/><Relationship Id="rId181" Type="http://schemas.openxmlformats.org/officeDocument/2006/relationships/hyperlink" Target="http://dx.doi.org/10.1016/j.scitotenv.2015.04.061" TargetMode="External"/><Relationship Id="rId237" Type="http://schemas.openxmlformats.org/officeDocument/2006/relationships/image" Target="media/image162.png"/><Relationship Id="rId279" Type="http://schemas.openxmlformats.org/officeDocument/2006/relationships/image" Target="media/image204.png"/><Relationship Id="rId43" Type="http://schemas.openxmlformats.org/officeDocument/2006/relationships/image" Target="media/image9.png"/><Relationship Id="rId139" Type="http://schemas.openxmlformats.org/officeDocument/2006/relationships/image" Target="media/image105.png"/><Relationship Id="rId290" Type="http://schemas.openxmlformats.org/officeDocument/2006/relationships/image" Target="media/image215.png"/><Relationship Id="rId304" Type="http://schemas.openxmlformats.org/officeDocument/2006/relationships/image" Target="media/image229.png"/><Relationship Id="rId85" Type="http://schemas.openxmlformats.org/officeDocument/2006/relationships/image" Target="media/image51.png"/><Relationship Id="rId150" Type="http://schemas.openxmlformats.org/officeDocument/2006/relationships/image" Target="media/image116.png"/><Relationship Id="rId192" Type="http://schemas.openxmlformats.org/officeDocument/2006/relationships/hyperlink" Target="http://dx.doi.org/10.1016/j.marpolbul.2014.02.013" TargetMode="External"/><Relationship Id="rId206" Type="http://schemas.openxmlformats.org/officeDocument/2006/relationships/image" Target="media/image137.png"/><Relationship Id="rId248" Type="http://schemas.openxmlformats.org/officeDocument/2006/relationships/image" Target="media/image173.png"/><Relationship Id="rId12" Type="http://schemas.openxmlformats.org/officeDocument/2006/relationships/image" Target="media/image1.jpeg"/><Relationship Id="rId108" Type="http://schemas.openxmlformats.org/officeDocument/2006/relationships/image" Target="media/image74.png"/><Relationship Id="rId54" Type="http://schemas.openxmlformats.org/officeDocument/2006/relationships/image" Target="media/image20.png"/><Relationship Id="rId96" Type="http://schemas.openxmlformats.org/officeDocument/2006/relationships/image" Target="media/image62.png"/><Relationship Id="rId161" Type="http://schemas.openxmlformats.org/officeDocument/2006/relationships/image" Target="media/image127.png"/><Relationship Id="rId217" Type="http://schemas.openxmlformats.org/officeDocument/2006/relationships/image" Target="media/image148.wmf"/><Relationship Id="rId259" Type="http://schemas.openxmlformats.org/officeDocument/2006/relationships/image" Target="media/image184.png"/><Relationship Id="rId23" Type="http://schemas.openxmlformats.org/officeDocument/2006/relationships/footer" Target="footer2.xml"/><Relationship Id="rId119" Type="http://schemas.openxmlformats.org/officeDocument/2006/relationships/image" Target="media/image85.png"/><Relationship Id="rId270" Type="http://schemas.openxmlformats.org/officeDocument/2006/relationships/image" Target="media/image195.png"/><Relationship Id="rId65" Type="http://schemas.openxmlformats.org/officeDocument/2006/relationships/image" Target="media/image31.png"/><Relationship Id="rId130" Type="http://schemas.openxmlformats.org/officeDocument/2006/relationships/image" Target="media/image96.png"/><Relationship Id="rId172" Type="http://schemas.openxmlformats.org/officeDocument/2006/relationships/hyperlink" Target="http://www.nrm.gov.au/about/nrm/regions/qld-fitz.html" TargetMode="External"/><Relationship Id="rId193" Type="http://schemas.openxmlformats.org/officeDocument/2006/relationships/hyperlink" Target="http://dx.doi.org/10.1071/MF97001" TargetMode="External"/><Relationship Id="rId207" Type="http://schemas.openxmlformats.org/officeDocument/2006/relationships/image" Target="media/image138.png"/><Relationship Id="rId228" Type="http://schemas.openxmlformats.org/officeDocument/2006/relationships/image" Target="media/image154.png"/><Relationship Id="rId249" Type="http://schemas.openxmlformats.org/officeDocument/2006/relationships/image" Target="media/image174.png"/><Relationship Id="rId13" Type="http://schemas.openxmlformats.org/officeDocument/2006/relationships/hyperlink" Target="http://creativecommons.org/licences/by/4.0" TargetMode="External"/><Relationship Id="rId109" Type="http://schemas.openxmlformats.org/officeDocument/2006/relationships/image" Target="media/image75.png"/><Relationship Id="rId260" Type="http://schemas.openxmlformats.org/officeDocument/2006/relationships/image" Target="media/image185.png"/><Relationship Id="rId281" Type="http://schemas.openxmlformats.org/officeDocument/2006/relationships/image" Target="media/image206.png"/><Relationship Id="rId34" Type="http://schemas.openxmlformats.org/officeDocument/2006/relationships/footer" Target="footer5.xml"/><Relationship Id="rId55" Type="http://schemas.openxmlformats.org/officeDocument/2006/relationships/image" Target="media/image21.png"/><Relationship Id="rId76" Type="http://schemas.openxmlformats.org/officeDocument/2006/relationships/image" Target="media/image42.png"/><Relationship Id="rId97" Type="http://schemas.openxmlformats.org/officeDocument/2006/relationships/image" Target="media/image63.png"/><Relationship Id="rId120" Type="http://schemas.openxmlformats.org/officeDocument/2006/relationships/image" Target="media/image86.png"/><Relationship Id="rId141" Type="http://schemas.openxmlformats.org/officeDocument/2006/relationships/image" Target="media/image107.png"/><Relationship Id="rId7" Type="http://schemas.openxmlformats.org/officeDocument/2006/relationships/styles" Target="styles.xml"/><Relationship Id="rId162" Type="http://schemas.openxmlformats.org/officeDocument/2006/relationships/image" Target="media/image128.png"/><Relationship Id="rId183" Type="http://schemas.openxmlformats.org/officeDocument/2006/relationships/hyperlink" Target="http://rrrc.org.au/wp-content/uploads/2014/06/113-QDPIF-McKenzie-L-2009-June-Milestone-Report.pdf" TargetMode="External"/><Relationship Id="rId218" Type="http://schemas.openxmlformats.org/officeDocument/2006/relationships/image" Target="media/image149.wmf"/><Relationship Id="rId239" Type="http://schemas.openxmlformats.org/officeDocument/2006/relationships/image" Target="media/image164.png"/><Relationship Id="rId250" Type="http://schemas.openxmlformats.org/officeDocument/2006/relationships/image" Target="media/image175.png"/><Relationship Id="rId271" Type="http://schemas.openxmlformats.org/officeDocument/2006/relationships/image" Target="media/image196.png"/><Relationship Id="rId292" Type="http://schemas.openxmlformats.org/officeDocument/2006/relationships/image" Target="media/image217.png"/><Relationship Id="rId306" Type="http://schemas.openxmlformats.org/officeDocument/2006/relationships/image" Target="media/image231.png"/><Relationship Id="rId24" Type="http://schemas.openxmlformats.org/officeDocument/2006/relationships/footer" Target="footer3.xml"/><Relationship Id="rId45" Type="http://schemas.openxmlformats.org/officeDocument/2006/relationships/image" Target="media/image11.png"/><Relationship Id="rId66" Type="http://schemas.openxmlformats.org/officeDocument/2006/relationships/image" Target="media/image32.png"/><Relationship Id="rId87" Type="http://schemas.openxmlformats.org/officeDocument/2006/relationships/image" Target="media/image53.png"/><Relationship Id="rId110" Type="http://schemas.openxmlformats.org/officeDocument/2006/relationships/image" Target="media/image76.png"/><Relationship Id="rId131" Type="http://schemas.openxmlformats.org/officeDocument/2006/relationships/image" Target="media/image97.png"/><Relationship Id="rId152" Type="http://schemas.openxmlformats.org/officeDocument/2006/relationships/image" Target="media/image118.png"/><Relationship Id="rId173" Type="http://schemas.openxmlformats.org/officeDocument/2006/relationships/hyperlink" Target="http://www.nrm.gov.au/about/nrm/regions/qld-mwhs.html" TargetMode="External"/><Relationship Id="rId194" Type="http://schemas.openxmlformats.org/officeDocument/2006/relationships/hyperlink" Target="http://dx.doi.org/10.1016/j.marpolbul.2015.08.016" TargetMode="External"/><Relationship Id="rId208" Type="http://schemas.openxmlformats.org/officeDocument/2006/relationships/image" Target="media/image139.png"/><Relationship Id="rId229" Type="http://schemas.openxmlformats.org/officeDocument/2006/relationships/image" Target="media/image155.png"/><Relationship Id="rId240" Type="http://schemas.openxmlformats.org/officeDocument/2006/relationships/image" Target="media/image165.png"/><Relationship Id="rId261" Type="http://schemas.openxmlformats.org/officeDocument/2006/relationships/image" Target="media/image186.png"/><Relationship Id="rId14" Type="http://schemas.openxmlformats.org/officeDocument/2006/relationships/hyperlink" Target="http://creativecommons.org/licences/by/3.0/au" TargetMode="External"/><Relationship Id="rId35" Type="http://schemas.openxmlformats.org/officeDocument/2006/relationships/image" Target="media/image7.png"/><Relationship Id="rId56" Type="http://schemas.openxmlformats.org/officeDocument/2006/relationships/image" Target="media/image22.png"/><Relationship Id="rId77" Type="http://schemas.openxmlformats.org/officeDocument/2006/relationships/image" Target="media/image43.png"/><Relationship Id="rId100" Type="http://schemas.openxmlformats.org/officeDocument/2006/relationships/image" Target="media/image66.png"/><Relationship Id="rId282" Type="http://schemas.openxmlformats.org/officeDocument/2006/relationships/image" Target="media/image207.png"/><Relationship Id="rId8" Type="http://schemas.openxmlformats.org/officeDocument/2006/relationships/settings" Target="settings.xml"/><Relationship Id="rId98" Type="http://schemas.openxmlformats.org/officeDocument/2006/relationships/image" Target="media/image64.png"/><Relationship Id="rId121" Type="http://schemas.openxmlformats.org/officeDocument/2006/relationships/image" Target="media/image87.png"/><Relationship Id="rId142" Type="http://schemas.openxmlformats.org/officeDocument/2006/relationships/image" Target="media/image108.png"/><Relationship Id="rId163" Type="http://schemas.openxmlformats.org/officeDocument/2006/relationships/image" Target="media/image129.png"/><Relationship Id="rId184" Type="http://schemas.openxmlformats.org/officeDocument/2006/relationships/hyperlink" Target="http://doi.pangaea.de/10.1594/PANGAEA.826368" TargetMode="External"/><Relationship Id="rId219" Type="http://schemas.openxmlformats.org/officeDocument/2006/relationships/image" Target="media/image150.jpeg"/><Relationship Id="rId230" Type="http://schemas.openxmlformats.org/officeDocument/2006/relationships/hyperlink" Target="file:///E:/New_Appendices%202014_15.docx" TargetMode="External"/><Relationship Id="rId251" Type="http://schemas.openxmlformats.org/officeDocument/2006/relationships/image" Target="media/image176.png"/><Relationship Id="rId25" Type="http://schemas.openxmlformats.org/officeDocument/2006/relationships/header" Target="header6.xml"/><Relationship Id="rId46" Type="http://schemas.openxmlformats.org/officeDocument/2006/relationships/image" Target="media/image12.png"/><Relationship Id="rId67" Type="http://schemas.openxmlformats.org/officeDocument/2006/relationships/image" Target="media/image33.png"/><Relationship Id="rId272" Type="http://schemas.openxmlformats.org/officeDocument/2006/relationships/image" Target="media/image197.png"/><Relationship Id="rId293" Type="http://schemas.openxmlformats.org/officeDocument/2006/relationships/image" Target="media/image218.png"/><Relationship Id="rId307" Type="http://schemas.openxmlformats.org/officeDocument/2006/relationships/header" Target="header22.xml"/><Relationship Id="rId88" Type="http://schemas.openxmlformats.org/officeDocument/2006/relationships/image" Target="media/image54.png"/><Relationship Id="rId111" Type="http://schemas.openxmlformats.org/officeDocument/2006/relationships/image" Target="media/image77.(null)"/><Relationship Id="rId132" Type="http://schemas.openxmlformats.org/officeDocument/2006/relationships/image" Target="media/image98.png"/><Relationship Id="rId153" Type="http://schemas.openxmlformats.org/officeDocument/2006/relationships/image" Target="media/image119.png"/><Relationship Id="rId174" Type="http://schemas.openxmlformats.org/officeDocument/2006/relationships/hyperlink" Target="http://www.nrm.gov.au/about/nrm/regions/qld-mwhs.html" TargetMode="External"/><Relationship Id="rId195" Type="http://schemas.openxmlformats.org/officeDocument/2006/relationships/header" Target="header16.xml"/><Relationship Id="rId209" Type="http://schemas.openxmlformats.org/officeDocument/2006/relationships/image" Target="media/image140.png"/><Relationship Id="rId220" Type="http://schemas.openxmlformats.org/officeDocument/2006/relationships/hyperlink" Target="http://www.nata.asn.au" TargetMode="External"/><Relationship Id="rId241" Type="http://schemas.openxmlformats.org/officeDocument/2006/relationships/image" Target="media/image166.png"/><Relationship Id="rId15" Type="http://schemas.openxmlformats.org/officeDocument/2006/relationships/image" Target="media/image2.png"/><Relationship Id="rId36" Type="http://schemas.openxmlformats.org/officeDocument/2006/relationships/header" Target="header10.xml"/><Relationship Id="rId57" Type="http://schemas.openxmlformats.org/officeDocument/2006/relationships/image" Target="media/image23.png"/><Relationship Id="rId262" Type="http://schemas.openxmlformats.org/officeDocument/2006/relationships/image" Target="media/image187.png"/><Relationship Id="rId283" Type="http://schemas.openxmlformats.org/officeDocument/2006/relationships/image" Target="media/image208.png"/><Relationship Id="rId78" Type="http://schemas.openxmlformats.org/officeDocument/2006/relationships/image" Target="media/image44.png"/><Relationship Id="rId99" Type="http://schemas.openxmlformats.org/officeDocument/2006/relationships/image" Target="media/image65.png"/><Relationship Id="rId101" Type="http://schemas.openxmlformats.org/officeDocument/2006/relationships/image" Target="media/image67.png"/><Relationship Id="rId122" Type="http://schemas.openxmlformats.org/officeDocument/2006/relationships/image" Target="media/image88.png"/><Relationship Id="rId143" Type="http://schemas.openxmlformats.org/officeDocument/2006/relationships/image" Target="media/image109.png"/><Relationship Id="rId164" Type="http://schemas.openxmlformats.org/officeDocument/2006/relationships/hyperlink" Target="http://dx.doi.org/10.1016/j.ecss.2008.05.009" TargetMode="External"/><Relationship Id="rId185" Type="http://schemas.openxmlformats.org/officeDocument/2006/relationships/hyperlink" Target="http://dx.doi.org/10.1016/j.marpolbul.2014.07.019" TargetMode="External"/><Relationship Id="rId9" Type="http://schemas.openxmlformats.org/officeDocument/2006/relationships/webSettings" Target="webSettings.xml"/><Relationship Id="rId210" Type="http://schemas.openxmlformats.org/officeDocument/2006/relationships/image" Target="media/image141.png"/><Relationship Id="rId26" Type="http://schemas.openxmlformats.org/officeDocument/2006/relationships/image" Target="media/image3.jpg"/><Relationship Id="rId231" Type="http://schemas.openxmlformats.org/officeDocument/2006/relationships/image" Target="media/image156.wmf"/><Relationship Id="rId252" Type="http://schemas.openxmlformats.org/officeDocument/2006/relationships/image" Target="media/image177.png"/><Relationship Id="rId273" Type="http://schemas.openxmlformats.org/officeDocument/2006/relationships/image" Target="media/image198.png"/><Relationship Id="rId294" Type="http://schemas.openxmlformats.org/officeDocument/2006/relationships/image" Target="media/image219.png"/><Relationship Id="rId308" Type="http://schemas.openxmlformats.org/officeDocument/2006/relationships/header" Target="header23.xml"/><Relationship Id="rId47" Type="http://schemas.openxmlformats.org/officeDocument/2006/relationships/image" Target="media/image13.png"/><Relationship Id="rId68" Type="http://schemas.openxmlformats.org/officeDocument/2006/relationships/image" Target="media/image34.png"/><Relationship Id="rId89" Type="http://schemas.openxmlformats.org/officeDocument/2006/relationships/image" Target="media/image55.png"/><Relationship Id="rId112" Type="http://schemas.openxmlformats.org/officeDocument/2006/relationships/image" Target="media/image78.emf"/><Relationship Id="rId133" Type="http://schemas.openxmlformats.org/officeDocument/2006/relationships/image" Target="media/image99.png"/><Relationship Id="rId154" Type="http://schemas.openxmlformats.org/officeDocument/2006/relationships/image" Target="media/image120.png"/><Relationship Id="rId175" Type="http://schemas.openxmlformats.org/officeDocument/2006/relationships/hyperlink" Target="http://www.nrm.gov.au/about/nrm/regions/qld-wetr.html" TargetMode="External"/><Relationship Id="rId196" Type="http://schemas.openxmlformats.org/officeDocument/2006/relationships/header" Target="header17.xml"/><Relationship Id="rId200" Type="http://schemas.openxmlformats.org/officeDocument/2006/relationships/image" Target="media/image131.png"/><Relationship Id="rId16" Type="http://schemas.openxmlformats.org/officeDocument/2006/relationships/hyperlink" Target="mailto:Tropwater@jcu.edu.au" TargetMode="External"/><Relationship Id="rId221" Type="http://schemas.openxmlformats.org/officeDocument/2006/relationships/header" Target="header19.xml"/><Relationship Id="rId242" Type="http://schemas.openxmlformats.org/officeDocument/2006/relationships/image" Target="media/image167.png"/><Relationship Id="rId263" Type="http://schemas.openxmlformats.org/officeDocument/2006/relationships/image" Target="media/image188.png"/><Relationship Id="rId284" Type="http://schemas.openxmlformats.org/officeDocument/2006/relationships/image" Target="media/image209.png"/><Relationship Id="rId319" Type="http://schemas.microsoft.com/office/2016/09/relationships/commentsIds" Target="commentsIds.xml"/><Relationship Id="rId37" Type="http://schemas.openxmlformats.org/officeDocument/2006/relationships/header" Target="header11.xml"/><Relationship Id="rId58" Type="http://schemas.openxmlformats.org/officeDocument/2006/relationships/image" Target="media/image24.png"/><Relationship Id="rId79" Type="http://schemas.openxmlformats.org/officeDocument/2006/relationships/image" Target="media/image45.png"/><Relationship Id="rId102" Type="http://schemas.openxmlformats.org/officeDocument/2006/relationships/image" Target="media/image68.png"/><Relationship Id="rId123" Type="http://schemas.openxmlformats.org/officeDocument/2006/relationships/image" Target="media/image89.png"/><Relationship Id="rId144" Type="http://schemas.openxmlformats.org/officeDocument/2006/relationships/image" Target="media/image110.png"/><Relationship Id="rId90" Type="http://schemas.openxmlformats.org/officeDocument/2006/relationships/image" Target="media/image56.png"/><Relationship Id="rId165" Type="http://schemas.openxmlformats.org/officeDocument/2006/relationships/hyperlink" Target="http://dx.doi.org/10.1016/j.ecolind.2016.02.050" TargetMode="External"/><Relationship Id="rId186" Type="http://schemas.openxmlformats.org/officeDocument/2006/relationships/hyperlink" Target="http://www.environment.gov.au/water/publications/environmental/rivers/nrhp/bioassess.html" TargetMode="External"/><Relationship Id="rId211" Type="http://schemas.openxmlformats.org/officeDocument/2006/relationships/image" Target="media/image142.png"/><Relationship Id="rId232" Type="http://schemas.openxmlformats.org/officeDocument/2006/relationships/image" Target="media/image157.emf"/><Relationship Id="rId253" Type="http://schemas.openxmlformats.org/officeDocument/2006/relationships/image" Target="media/image178.png"/><Relationship Id="rId274" Type="http://schemas.openxmlformats.org/officeDocument/2006/relationships/image" Target="media/image199.png"/><Relationship Id="rId295" Type="http://schemas.openxmlformats.org/officeDocument/2006/relationships/image" Target="media/image220.png"/><Relationship Id="rId309" Type="http://schemas.openxmlformats.org/officeDocument/2006/relationships/footer" Target="footer8.xml"/><Relationship Id="rId27" Type="http://schemas.openxmlformats.org/officeDocument/2006/relationships/image" Target="media/image4.png"/><Relationship Id="rId48" Type="http://schemas.openxmlformats.org/officeDocument/2006/relationships/image" Target="media/image14.png"/><Relationship Id="rId69" Type="http://schemas.openxmlformats.org/officeDocument/2006/relationships/image" Target="media/image35.png"/><Relationship Id="rId113" Type="http://schemas.openxmlformats.org/officeDocument/2006/relationships/image" Target="media/image79.png"/><Relationship Id="rId134" Type="http://schemas.openxmlformats.org/officeDocument/2006/relationships/image" Target="media/image100.png"/><Relationship Id="rId80" Type="http://schemas.openxmlformats.org/officeDocument/2006/relationships/image" Target="media/image46.png"/><Relationship Id="rId155" Type="http://schemas.openxmlformats.org/officeDocument/2006/relationships/image" Target="media/image121.png"/><Relationship Id="rId176" Type="http://schemas.openxmlformats.org/officeDocument/2006/relationships/hyperlink" Target="http://dx.doi.org/10.1016/j.marpolbul.2013.06.001" TargetMode="External"/><Relationship Id="rId197" Type="http://schemas.openxmlformats.org/officeDocument/2006/relationships/header" Target="header18.xml"/><Relationship Id="rId201" Type="http://schemas.openxmlformats.org/officeDocument/2006/relationships/image" Target="media/image132.png"/><Relationship Id="rId222" Type="http://schemas.openxmlformats.org/officeDocument/2006/relationships/header" Target="header20.xml"/><Relationship Id="rId243" Type="http://schemas.openxmlformats.org/officeDocument/2006/relationships/image" Target="media/image168.png"/><Relationship Id="rId264" Type="http://schemas.openxmlformats.org/officeDocument/2006/relationships/image" Target="media/image189.png"/><Relationship Id="rId285" Type="http://schemas.openxmlformats.org/officeDocument/2006/relationships/image" Target="media/image210.png"/><Relationship Id="rId17" Type="http://schemas.openxmlformats.org/officeDocument/2006/relationships/header" Target="header1.xml"/><Relationship Id="rId38" Type="http://schemas.openxmlformats.org/officeDocument/2006/relationships/header" Target="header12.xml"/><Relationship Id="rId59" Type="http://schemas.openxmlformats.org/officeDocument/2006/relationships/image" Target="media/image25.png"/><Relationship Id="rId103" Type="http://schemas.openxmlformats.org/officeDocument/2006/relationships/image" Target="media/image69.png"/><Relationship Id="rId124" Type="http://schemas.openxmlformats.org/officeDocument/2006/relationships/image" Target="media/image90.png"/><Relationship Id="rId310" Type="http://schemas.openxmlformats.org/officeDocument/2006/relationships/header" Target="header24.xml"/><Relationship Id="rId70" Type="http://schemas.openxmlformats.org/officeDocument/2006/relationships/image" Target="media/image36.png"/><Relationship Id="rId91" Type="http://schemas.openxmlformats.org/officeDocument/2006/relationships/image" Target="media/image57.png"/><Relationship Id="rId145" Type="http://schemas.openxmlformats.org/officeDocument/2006/relationships/image" Target="media/image111.png"/><Relationship Id="rId166" Type="http://schemas.openxmlformats.org/officeDocument/2006/relationships/hyperlink" Target="http://dx.doi.org/10.1016/j.jembe.2008.12.003" TargetMode="External"/><Relationship Id="rId187" Type="http://schemas.openxmlformats.org/officeDocument/2006/relationships/hyperlink" Target="http://dx.doi.org/10.1016/j.ecolind.2016.11.035" TargetMode="External"/><Relationship Id="rId1" Type="http://schemas.openxmlformats.org/officeDocument/2006/relationships/customXml" Target="../customXml/item1.xml"/><Relationship Id="rId212" Type="http://schemas.openxmlformats.org/officeDocument/2006/relationships/image" Target="media/image143.jpg"/><Relationship Id="rId233" Type="http://schemas.openxmlformats.org/officeDocument/2006/relationships/image" Target="media/image158.png"/><Relationship Id="rId254" Type="http://schemas.openxmlformats.org/officeDocument/2006/relationships/image" Target="media/image179.png"/><Relationship Id="rId28" Type="http://schemas.openxmlformats.org/officeDocument/2006/relationships/image" Target="media/image5.png"/><Relationship Id="rId49" Type="http://schemas.openxmlformats.org/officeDocument/2006/relationships/image" Target="media/image15.png"/><Relationship Id="rId114" Type="http://schemas.openxmlformats.org/officeDocument/2006/relationships/image" Target="media/image80.png"/><Relationship Id="rId275" Type="http://schemas.openxmlformats.org/officeDocument/2006/relationships/image" Target="media/image200.png"/><Relationship Id="rId296" Type="http://schemas.openxmlformats.org/officeDocument/2006/relationships/image" Target="media/image221.png"/><Relationship Id="rId300" Type="http://schemas.openxmlformats.org/officeDocument/2006/relationships/image" Target="media/image225.png"/><Relationship Id="rId60" Type="http://schemas.openxmlformats.org/officeDocument/2006/relationships/image" Target="media/image26.png"/><Relationship Id="rId81" Type="http://schemas.openxmlformats.org/officeDocument/2006/relationships/image" Target="media/image47.png"/><Relationship Id="rId135" Type="http://schemas.openxmlformats.org/officeDocument/2006/relationships/image" Target="media/image101.png"/><Relationship Id="rId156" Type="http://schemas.openxmlformats.org/officeDocument/2006/relationships/image" Target="media/image122.png"/><Relationship Id="rId177" Type="http://schemas.openxmlformats.org/officeDocument/2006/relationships/hyperlink" Target="http://www.reefplan.qld.gov.au/measuring-success/methods/scoring-system.aspx" TargetMode="External"/><Relationship Id="rId198" Type="http://schemas.openxmlformats.org/officeDocument/2006/relationships/footer" Target="footer6.xml"/><Relationship Id="rId202" Type="http://schemas.openxmlformats.org/officeDocument/2006/relationships/image" Target="media/image133.png"/><Relationship Id="rId223" Type="http://schemas.openxmlformats.org/officeDocument/2006/relationships/footer" Target="footer7.xml"/><Relationship Id="rId244" Type="http://schemas.openxmlformats.org/officeDocument/2006/relationships/image" Target="media/image169.png"/><Relationship Id="rId18" Type="http://schemas.openxmlformats.org/officeDocument/2006/relationships/header" Target="header2.xml"/><Relationship Id="rId39" Type="http://schemas.openxmlformats.org/officeDocument/2006/relationships/header" Target="header13.xml"/><Relationship Id="rId265" Type="http://schemas.openxmlformats.org/officeDocument/2006/relationships/image" Target="media/image190.png"/><Relationship Id="rId286" Type="http://schemas.openxmlformats.org/officeDocument/2006/relationships/image" Target="media/image211.png"/><Relationship Id="rId50" Type="http://schemas.openxmlformats.org/officeDocument/2006/relationships/image" Target="media/image16.png"/><Relationship Id="rId104" Type="http://schemas.openxmlformats.org/officeDocument/2006/relationships/image" Target="media/image70.png"/><Relationship Id="rId125" Type="http://schemas.openxmlformats.org/officeDocument/2006/relationships/image" Target="media/image91.png"/><Relationship Id="rId146" Type="http://schemas.openxmlformats.org/officeDocument/2006/relationships/image" Target="media/image112.png"/><Relationship Id="rId167" Type="http://schemas.openxmlformats.org/officeDocument/2006/relationships/hyperlink" Target="http://www.nrm.gov.au/about/nrm/regions/qld-burd.html" TargetMode="External"/><Relationship Id="rId188" Type="http://schemas.openxmlformats.org/officeDocument/2006/relationships/hyperlink" Target="http://dx.doi.org/10.1016/j.marpolbul.2004.03.020" TargetMode="External"/><Relationship Id="rId311" Type="http://schemas.openxmlformats.org/officeDocument/2006/relationships/fontTable" Target="fontTable.xml"/><Relationship Id="rId71" Type="http://schemas.openxmlformats.org/officeDocument/2006/relationships/image" Target="media/image37.png"/><Relationship Id="rId92" Type="http://schemas.openxmlformats.org/officeDocument/2006/relationships/image" Target="media/image58.png"/><Relationship Id="rId213" Type="http://schemas.openxmlformats.org/officeDocument/2006/relationships/image" Target="media/image144.png"/><Relationship Id="rId234" Type="http://schemas.openxmlformats.org/officeDocument/2006/relationships/image" Target="media/image159.png"/><Relationship Id="rId2" Type="http://schemas.openxmlformats.org/officeDocument/2006/relationships/customXml" Target="../customXml/item2.xml"/><Relationship Id="rId29" Type="http://schemas.openxmlformats.org/officeDocument/2006/relationships/image" Target="media/image6.png"/><Relationship Id="rId255" Type="http://schemas.openxmlformats.org/officeDocument/2006/relationships/image" Target="media/image180.png"/><Relationship Id="rId276" Type="http://schemas.openxmlformats.org/officeDocument/2006/relationships/image" Target="media/image201.png"/><Relationship Id="rId297" Type="http://schemas.openxmlformats.org/officeDocument/2006/relationships/image" Target="media/image222.png"/><Relationship Id="rId40" Type="http://schemas.openxmlformats.org/officeDocument/2006/relationships/header" Target="header14.xml"/><Relationship Id="rId115" Type="http://schemas.openxmlformats.org/officeDocument/2006/relationships/image" Target="media/image81.png"/><Relationship Id="rId136" Type="http://schemas.openxmlformats.org/officeDocument/2006/relationships/image" Target="media/image102.png"/><Relationship Id="rId157" Type="http://schemas.openxmlformats.org/officeDocument/2006/relationships/image" Target="media/image123.png"/><Relationship Id="rId178" Type="http://schemas.openxmlformats.org/officeDocument/2006/relationships/hyperlink" Target="http://www.environment.gov.au/node/25064" TargetMode="External"/><Relationship Id="rId301" Type="http://schemas.openxmlformats.org/officeDocument/2006/relationships/image" Target="media/image226.png"/><Relationship Id="rId61" Type="http://schemas.openxmlformats.org/officeDocument/2006/relationships/image" Target="media/image27.png"/><Relationship Id="rId82" Type="http://schemas.openxmlformats.org/officeDocument/2006/relationships/image" Target="media/image48.png"/><Relationship Id="rId199" Type="http://schemas.openxmlformats.org/officeDocument/2006/relationships/image" Target="media/image130.png"/><Relationship Id="rId203" Type="http://schemas.openxmlformats.org/officeDocument/2006/relationships/image" Target="media/image134.png"/><Relationship Id="rId19" Type="http://schemas.openxmlformats.org/officeDocument/2006/relationships/footer" Target="footer1.xml"/><Relationship Id="rId224" Type="http://schemas.openxmlformats.org/officeDocument/2006/relationships/header" Target="header21.xml"/><Relationship Id="rId245" Type="http://schemas.openxmlformats.org/officeDocument/2006/relationships/image" Target="media/image170.png"/><Relationship Id="rId266" Type="http://schemas.openxmlformats.org/officeDocument/2006/relationships/image" Target="media/image191.png"/><Relationship Id="rId287" Type="http://schemas.openxmlformats.org/officeDocument/2006/relationships/image" Target="media/image212.png"/><Relationship Id="rId30" Type="http://schemas.openxmlformats.org/officeDocument/2006/relationships/header" Target="header7.xml"/><Relationship Id="rId105" Type="http://schemas.openxmlformats.org/officeDocument/2006/relationships/image" Target="media/image71.png"/><Relationship Id="rId126" Type="http://schemas.openxmlformats.org/officeDocument/2006/relationships/image" Target="media/image92.(null)"/><Relationship Id="rId147" Type="http://schemas.openxmlformats.org/officeDocument/2006/relationships/image" Target="media/image113.png"/><Relationship Id="rId168" Type="http://schemas.openxmlformats.org/officeDocument/2006/relationships/hyperlink" Target="http://www.nrm.gov.au/about/nrm/regions/qld-burd.html" TargetMode="External"/><Relationship Id="rId312" Type="http://schemas.openxmlformats.org/officeDocument/2006/relationships/theme" Target="theme/theme1.xml"/><Relationship Id="rId51" Type="http://schemas.openxmlformats.org/officeDocument/2006/relationships/image" Target="media/image17.png"/><Relationship Id="rId72" Type="http://schemas.openxmlformats.org/officeDocument/2006/relationships/image" Target="media/image38.png"/><Relationship Id="rId93" Type="http://schemas.openxmlformats.org/officeDocument/2006/relationships/image" Target="media/image59.png"/><Relationship Id="rId189" Type="http://schemas.openxmlformats.org/officeDocument/2006/relationships/hyperlink" Target="http://dx.doi.org/10.1016/j.marenvres.2014.03.006" TargetMode="External"/><Relationship Id="rId3" Type="http://schemas.openxmlformats.org/officeDocument/2006/relationships/customXml" Target="../customXml/item3.xml"/><Relationship Id="rId214" Type="http://schemas.openxmlformats.org/officeDocument/2006/relationships/image" Target="media/image145.jpeg"/><Relationship Id="rId235" Type="http://schemas.openxmlformats.org/officeDocument/2006/relationships/image" Target="media/image160.png"/><Relationship Id="rId256" Type="http://schemas.openxmlformats.org/officeDocument/2006/relationships/image" Target="media/image181.png"/><Relationship Id="rId277" Type="http://schemas.openxmlformats.org/officeDocument/2006/relationships/image" Target="media/image202.png"/><Relationship Id="rId298" Type="http://schemas.openxmlformats.org/officeDocument/2006/relationships/image" Target="media/image223.png"/><Relationship Id="rId116" Type="http://schemas.openxmlformats.org/officeDocument/2006/relationships/image" Target="media/image82.png"/><Relationship Id="rId137" Type="http://schemas.openxmlformats.org/officeDocument/2006/relationships/image" Target="media/image103.png"/><Relationship Id="rId158" Type="http://schemas.openxmlformats.org/officeDocument/2006/relationships/image" Target="media/image124.png"/><Relationship Id="rId302" Type="http://schemas.openxmlformats.org/officeDocument/2006/relationships/image" Target="media/image227.png"/><Relationship Id="rId20" Type="http://schemas.openxmlformats.org/officeDocument/2006/relationships/header" Target="header3.xml"/><Relationship Id="rId41" Type="http://schemas.openxmlformats.org/officeDocument/2006/relationships/header" Target="header15.xml"/><Relationship Id="rId62" Type="http://schemas.openxmlformats.org/officeDocument/2006/relationships/image" Target="media/image28.png"/><Relationship Id="rId83" Type="http://schemas.openxmlformats.org/officeDocument/2006/relationships/image" Target="media/image49.png"/><Relationship Id="rId179" Type="http://schemas.openxmlformats.org/officeDocument/2006/relationships/hyperlink" Target="http://dx.doi.org/10.1016/S0304-3770(01)00193-0" TargetMode="External"/><Relationship Id="rId190" Type="http://schemas.openxmlformats.org/officeDocument/2006/relationships/hyperlink" Target="http://dx.doi.org/10.1016/j.jenvman.2013.11.050" TargetMode="External"/><Relationship Id="rId204" Type="http://schemas.openxmlformats.org/officeDocument/2006/relationships/image" Target="media/image135.png"/><Relationship Id="rId225" Type="http://schemas.openxmlformats.org/officeDocument/2006/relationships/image" Target="media/image151.wmf"/><Relationship Id="rId246" Type="http://schemas.openxmlformats.org/officeDocument/2006/relationships/image" Target="media/image171.png"/><Relationship Id="rId267" Type="http://schemas.openxmlformats.org/officeDocument/2006/relationships/image" Target="media/image192.png"/><Relationship Id="rId288" Type="http://schemas.openxmlformats.org/officeDocument/2006/relationships/image" Target="media/image213.png"/><Relationship Id="rId106" Type="http://schemas.openxmlformats.org/officeDocument/2006/relationships/image" Target="media/image72.png"/><Relationship Id="rId127" Type="http://schemas.openxmlformats.org/officeDocument/2006/relationships/image" Target="media/image93.png"/><Relationship Id="rId10" Type="http://schemas.openxmlformats.org/officeDocument/2006/relationships/footnotes" Target="footnotes.xml"/><Relationship Id="rId31" Type="http://schemas.openxmlformats.org/officeDocument/2006/relationships/header" Target="header8.xml"/><Relationship Id="rId52" Type="http://schemas.openxmlformats.org/officeDocument/2006/relationships/image" Target="media/image18.png"/><Relationship Id="rId73" Type="http://schemas.openxmlformats.org/officeDocument/2006/relationships/image" Target="media/image39.png"/><Relationship Id="rId94" Type="http://schemas.openxmlformats.org/officeDocument/2006/relationships/image" Target="media/image60.png"/><Relationship Id="rId148" Type="http://schemas.openxmlformats.org/officeDocument/2006/relationships/image" Target="media/image114.png"/><Relationship Id="rId169" Type="http://schemas.openxmlformats.org/officeDocument/2006/relationships/hyperlink" Target="http://www.nrm.gov.au/about/nrm/regions/qld-bmar.html" TargetMode="External"/><Relationship Id="rId4" Type="http://schemas.openxmlformats.org/officeDocument/2006/relationships/customXml" Target="../customXml/item4.xml"/><Relationship Id="rId180" Type="http://schemas.openxmlformats.org/officeDocument/2006/relationships/hyperlink" Target="http://dx.doi.org/10.1071/MF9900677" TargetMode="External"/><Relationship Id="rId215" Type="http://schemas.openxmlformats.org/officeDocument/2006/relationships/image" Target="media/image146.jpeg"/><Relationship Id="rId236" Type="http://schemas.openxmlformats.org/officeDocument/2006/relationships/image" Target="media/image161.png"/><Relationship Id="rId257" Type="http://schemas.openxmlformats.org/officeDocument/2006/relationships/image" Target="media/image182.png"/><Relationship Id="rId278" Type="http://schemas.openxmlformats.org/officeDocument/2006/relationships/image" Target="media/image203.png"/><Relationship Id="rId303" Type="http://schemas.openxmlformats.org/officeDocument/2006/relationships/image" Target="media/image228.png"/><Relationship Id="rId42" Type="http://schemas.openxmlformats.org/officeDocument/2006/relationships/image" Target="media/image8.wmf"/><Relationship Id="rId84" Type="http://schemas.openxmlformats.org/officeDocument/2006/relationships/image" Target="media/image50.png"/><Relationship Id="rId138" Type="http://schemas.openxmlformats.org/officeDocument/2006/relationships/image" Target="media/image104.png"/><Relationship Id="rId191" Type="http://schemas.openxmlformats.org/officeDocument/2006/relationships/hyperlink" Target="http://www.R-project.org/" TargetMode="External"/><Relationship Id="rId205" Type="http://schemas.openxmlformats.org/officeDocument/2006/relationships/image" Target="media/image136.png"/><Relationship Id="rId247" Type="http://schemas.openxmlformats.org/officeDocument/2006/relationships/image" Target="media/image172.png"/><Relationship Id="rId107" Type="http://schemas.openxmlformats.org/officeDocument/2006/relationships/image" Target="media/image73.png"/><Relationship Id="rId289" Type="http://schemas.openxmlformats.org/officeDocument/2006/relationships/image" Target="media/image214.png"/><Relationship Id="rId11" Type="http://schemas.openxmlformats.org/officeDocument/2006/relationships/endnotes" Target="endnotes.xml"/><Relationship Id="rId53" Type="http://schemas.openxmlformats.org/officeDocument/2006/relationships/image" Target="media/image19.png"/><Relationship Id="rId149" Type="http://schemas.openxmlformats.org/officeDocument/2006/relationships/image" Target="media/image115.png"/><Relationship Id="rId95" Type="http://schemas.openxmlformats.org/officeDocument/2006/relationships/image" Target="media/image61.(null)"/><Relationship Id="rId160" Type="http://schemas.openxmlformats.org/officeDocument/2006/relationships/image" Target="media/image126.png"/><Relationship Id="rId216" Type="http://schemas.openxmlformats.org/officeDocument/2006/relationships/image" Target="media/image147.jpeg"/><Relationship Id="rId258" Type="http://schemas.openxmlformats.org/officeDocument/2006/relationships/image" Target="media/image183.png"/><Relationship Id="rId22" Type="http://schemas.openxmlformats.org/officeDocument/2006/relationships/header" Target="header5.xml"/><Relationship Id="rId64" Type="http://schemas.openxmlformats.org/officeDocument/2006/relationships/image" Target="media/image30.png"/><Relationship Id="rId118" Type="http://schemas.openxmlformats.org/officeDocument/2006/relationships/image" Target="media/image84.png"/><Relationship Id="rId171" Type="http://schemas.openxmlformats.org/officeDocument/2006/relationships/hyperlink" Target="http://www.nrm.gov.au/about/nrm/regions/qld-fitz.html" TargetMode="External"/><Relationship Id="rId227" Type="http://schemas.openxmlformats.org/officeDocument/2006/relationships/image" Target="media/image153.png"/><Relationship Id="rId269" Type="http://schemas.openxmlformats.org/officeDocument/2006/relationships/image" Target="media/image194.png"/><Relationship Id="rId33" Type="http://schemas.openxmlformats.org/officeDocument/2006/relationships/header" Target="header9.xml"/><Relationship Id="rId129" Type="http://schemas.openxmlformats.org/officeDocument/2006/relationships/image" Target="media/image95.png"/><Relationship Id="rId280" Type="http://schemas.openxmlformats.org/officeDocument/2006/relationships/image" Target="media/image205.png"/><Relationship Id="rId75" Type="http://schemas.openxmlformats.org/officeDocument/2006/relationships/image" Target="media/image41.png"/><Relationship Id="rId140" Type="http://schemas.openxmlformats.org/officeDocument/2006/relationships/image" Target="media/image106.tiff"/><Relationship Id="rId182" Type="http://schemas.openxmlformats.org/officeDocument/2006/relationships/hyperlink" Target="http://nrmonline.nrm.gov.au/catalog/mql:2229" TargetMode="External"/><Relationship Id="rId6" Type="http://schemas.openxmlformats.org/officeDocument/2006/relationships/numbering" Target="numbering.xml"/><Relationship Id="rId238" Type="http://schemas.openxmlformats.org/officeDocument/2006/relationships/image" Target="media/image163.png"/><Relationship Id="rId291" Type="http://schemas.openxmlformats.org/officeDocument/2006/relationships/image" Target="media/image216.png"/><Relationship Id="rId305" Type="http://schemas.openxmlformats.org/officeDocument/2006/relationships/image" Target="media/image230.png"/><Relationship Id="rId44" Type="http://schemas.openxmlformats.org/officeDocument/2006/relationships/image" Target="media/image10.png"/><Relationship Id="rId86" Type="http://schemas.openxmlformats.org/officeDocument/2006/relationships/image" Target="media/image52.png"/><Relationship Id="rId151" Type="http://schemas.openxmlformats.org/officeDocument/2006/relationships/image" Target="media/image1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8ccc4631-9afc-4718-b120-5e2e37a03cc7">PROJ-1577287649-425</_dlc_DocId>
    <_dlc_DocIdUrl xmlns="8ccc4631-9afc-4718-b120-5e2e37a03cc7">
      <Url>http://thedock.gbrmpa.gov.au/sites/Projects/P000056/_layouts/DocIdRedir.aspx?ID=PROJ-1577287649-425</Url>
      <Description>PROJ-1577287649-425</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1" ma:contentTypeDescription="" ma:contentTypeScope="" ma:versionID="544dc8bde395105abfc8af941d6d41f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bb03517a4ce35c70295a645b1c678fc"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7405D1-9492-42BF-85F5-64C3F2CD4515}">
  <ds:schemaRefs>
    <ds:schemaRef ds:uri="http://purl.org/dc/elements/1.1/"/>
    <ds:schemaRef ds:uri="http://purl.org/dc/terms/"/>
    <ds:schemaRef ds:uri="http://schemas.microsoft.com/office/2006/documentManagement/types"/>
    <ds:schemaRef ds:uri="http://schemas.microsoft.com/office/2006/metadata/properties"/>
    <ds:schemaRef ds:uri="http://schemas.microsoft.com/sharepoint/v4"/>
    <ds:schemaRef ds:uri="http://www.w3.org/XML/1998/namespace"/>
    <ds:schemaRef ds:uri="http://purl.org/dc/dcmitype/"/>
    <ds:schemaRef ds:uri="http://schemas.microsoft.com/office/infopath/2007/PartnerControls"/>
    <ds:schemaRef ds:uri="http://schemas.openxmlformats.org/package/2006/metadata/core-properties"/>
    <ds:schemaRef ds:uri="8ccc4631-9afc-4718-b120-5e2e37a03cc7"/>
  </ds:schemaRefs>
</ds:datastoreItem>
</file>

<file path=customXml/itemProps2.xml><?xml version="1.0" encoding="utf-8"?>
<ds:datastoreItem xmlns:ds="http://schemas.openxmlformats.org/officeDocument/2006/customXml" ds:itemID="{F6CA2C5A-4A62-4E51-A0E5-A138AC593ABC}">
  <ds:schemaRefs>
    <ds:schemaRef ds:uri="http://schemas.microsoft.com/sharepoint/events"/>
  </ds:schemaRefs>
</ds:datastoreItem>
</file>

<file path=customXml/itemProps3.xml><?xml version="1.0" encoding="utf-8"?>
<ds:datastoreItem xmlns:ds="http://schemas.openxmlformats.org/officeDocument/2006/customXml" ds:itemID="{5ECA001C-DA90-4179-B4D4-5CB5DBC3646C}">
  <ds:schemaRefs>
    <ds:schemaRef ds:uri="http://schemas.microsoft.com/sharepoint/v3/contenttype/forms"/>
  </ds:schemaRefs>
</ds:datastoreItem>
</file>

<file path=customXml/itemProps4.xml><?xml version="1.0" encoding="utf-8"?>
<ds:datastoreItem xmlns:ds="http://schemas.openxmlformats.org/officeDocument/2006/customXml" ds:itemID="{0774DD38-26FD-4747-8953-C61EDD1C01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B7C33A1-DC29-48A6-A7E1-A182D036C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269</Pages>
  <Words>144586</Words>
  <Characters>824143</Characters>
  <Application>Microsoft Office Word</Application>
  <DocSecurity>0</DocSecurity>
  <Lines>6867</Lines>
  <Paragraphs>1933</Paragraphs>
  <ScaleCrop>false</ScaleCrop>
  <HeadingPairs>
    <vt:vector size="2" baseType="variant">
      <vt:variant>
        <vt:lpstr>Title</vt:lpstr>
      </vt:variant>
      <vt:variant>
        <vt:i4>1</vt:i4>
      </vt:variant>
    </vt:vector>
  </HeadingPairs>
  <TitlesOfParts>
    <vt:vector size="1" baseType="lpstr">
      <vt:lpstr>Marine-Monitoring-Program-Inshore-Seagrass-Report-2016-2017</vt:lpstr>
    </vt:vector>
  </TitlesOfParts>
  <Manager/>
  <Company/>
  <LinksUpToDate>false</LinksUpToDate>
  <CharactersWithSpaces>966796</CharactersWithSpaces>
  <SharedDoc>false</SharedDoc>
  <HLinks>
    <vt:vector size="4842" baseType="variant">
      <vt:variant>
        <vt:i4>4653067</vt:i4>
      </vt:variant>
      <vt:variant>
        <vt:i4>6818</vt:i4>
      </vt:variant>
      <vt:variant>
        <vt:i4>0</vt:i4>
      </vt:variant>
      <vt:variant>
        <vt:i4>5</vt:i4>
      </vt:variant>
      <vt:variant>
        <vt:lpwstr/>
      </vt:variant>
      <vt:variant>
        <vt:lpwstr>_ENREF_64</vt:lpwstr>
      </vt:variant>
      <vt:variant>
        <vt:i4>4653067</vt:i4>
      </vt:variant>
      <vt:variant>
        <vt:i4>6809</vt:i4>
      </vt:variant>
      <vt:variant>
        <vt:i4>0</vt:i4>
      </vt:variant>
      <vt:variant>
        <vt:i4>5</vt:i4>
      </vt:variant>
      <vt:variant>
        <vt:lpwstr/>
      </vt:variant>
      <vt:variant>
        <vt:lpwstr>_ENREF_64</vt:lpwstr>
      </vt:variant>
      <vt:variant>
        <vt:i4>4653067</vt:i4>
      </vt:variant>
      <vt:variant>
        <vt:i4>6797</vt:i4>
      </vt:variant>
      <vt:variant>
        <vt:i4>0</vt:i4>
      </vt:variant>
      <vt:variant>
        <vt:i4>5</vt:i4>
      </vt:variant>
      <vt:variant>
        <vt:lpwstr/>
      </vt:variant>
      <vt:variant>
        <vt:lpwstr>_ENREF_64</vt:lpwstr>
      </vt:variant>
      <vt:variant>
        <vt:i4>4653067</vt:i4>
      </vt:variant>
      <vt:variant>
        <vt:i4>6788</vt:i4>
      </vt:variant>
      <vt:variant>
        <vt:i4>0</vt:i4>
      </vt:variant>
      <vt:variant>
        <vt:i4>5</vt:i4>
      </vt:variant>
      <vt:variant>
        <vt:lpwstr/>
      </vt:variant>
      <vt:variant>
        <vt:lpwstr>_ENREF_64</vt:lpwstr>
      </vt:variant>
      <vt:variant>
        <vt:i4>4653067</vt:i4>
      </vt:variant>
      <vt:variant>
        <vt:i4>6776</vt:i4>
      </vt:variant>
      <vt:variant>
        <vt:i4>0</vt:i4>
      </vt:variant>
      <vt:variant>
        <vt:i4>5</vt:i4>
      </vt:variant>
      <vt:variant>
        <vt:lpwstr/>
      </vt:variant>
      <vt:variant>
        <vt:lpwstr>_ENREF_64</vt:lpwstr>
      </vt:variant>
      <vt:variant>
        <vt:i4>4653067</vt:i4>
      </vt:variant>
      <vt:variant>
        <vt:i4>6767</vt:i4>
      </vt:variant>
      <vt:variant>
        <vt:i4>0</vt:i4>
      </vt:variant>
      <vt:variant>
        <vt:i4>5</vt:i4>
      </vt:variant>
      <vt:variant>
        <vt:lpwstr/>
      </vt:variant>
      <vt:variant>
        <vt:lpwstr>_ENREF_64</vt:lpwstr>
      </vt:variant>
      <vt:variant>
        <vt:i4>4653067</vt:i4>
      </vt:variant>
      <vt:variant>
        <vt:i4>6758</vt:i4>
      </vt:variant>
      <vt:variant>
        <vt:i4>0</vt:i4>
      </vt:variant>
      <vt:variant>
        <vt:i4>5</vt:i4>
      </vt:variant>
      <vt:variant>
        <vt:lpwstr/>
      </vt:variant>
      <vt:variant>
        <vt:lpwstr>_ENREF_64</vt:lpwstr>
      </vt:variant>
      <vt:variant>
        <vt:i4>4653067</vt:i4>
      </vt:variant>
      <vt:variant>
        <vt:i4>6749</vt:i4>
      </vt:variant>
      <vt:variant>
        <vt:i4>0</vt:i4>
      </vt:variant>
      <vt:variant>
        <vt:i4>5</vt:i4>
      </vt:variant>
      <vt:variant>
        <vt:lpwstr/>
      </vt:variant>
      <vt:variant>
        <vt:lpwstr>_ENREF_64</vt:lpwstr>
      </vt:variant>
      <vt:variant>
        <vt:i4>4653067</vt:i4>
      </vt:variant>
      <vt:variant>
        <vt:i4>6740</vt:i4>
      </vt:variant>
      <vt:variant>
        <vt:i4>0</vt:i4>
      </vt:variant>
      <vt:variant>
        <vt:i4>5</vt:i4>
      </vt:variant>
      <vt:variant>
        <vt:lpwstr/>
      </vt:variant>
      <vt:variant>
        <vt:lpwstr>_ENREF_64</vt:lpwstr>
      </vt:variant>
      <vt:variant>
        <vt:i4>7340088</vt:i4>
      </vt:variant>
      <vt:variant>
        <vt:i4>6602</vt:i4>
      </vt:variant>
      <vt:variant>
        <vt:i4>0</vt:i4>
      </vt:variant>
      <vt:variant>
        <vt:i4>5</vt:i4>
      </vt:variant>
      <vt:variant>
        <vt:lpwstr/>
      </vt:variant>
      <vt:variant>
        <vt:lpwstr>_ENREF_130</vt:lpwstr>
      </vt:variant>
      <vt:variant>
        <vt:i4>7667771</vt:i4>
      </vt:variant>
      <vt:variant>
        <vt:i4>6569</vt:i4>
      </vt:variant>
      <vt:variant>
        <vt:i4>0</vt:i4>
      </vt:variant>
      <vt:variant>
        <vt:i4>5</vt:i4>
      </vt:variant>
      <vt:variant>
        <vt:lpwstr/>
      </vt:variant>
      <vt:variant>
        <vt:lpwstr>_ENREF_105</vt:lpwstr>
      </vt:variant>
      <vt:variant>
        <vt:i4>7340090</vt:i4>
      </vt:variant>
      <vt:variant>
        <vt:i4>6565</vt:i4>
      </vt:variant>
      <vt:variant>
        <vt:i4>0</vt:i4>
      </vt:variant>
      <vt:variant>
        <vt:i4>5</vt:i4>
      </vt:variant>
      <vt:variant>
        <vt:lpwstr/>
      </vt:variant>
      <vt:variant>
        <vt:lpwstr>_ENREF_110</vt:lpwstr>
      </vt:variant>
      <vt:variant>
        <vt:i4>4718603</vt:i4>
      </vt:variant>
      <vt:variant>
        <vt:i4>6562</vt:i4>
      </vt:variant>
      <vt:variant>
        <vt:i4>0</vt:i4>
      </vt:variant>
      <vt:variant>
        <vt:i4>5</vt:i4>
      </vt:variant>
      <vt:variant>
        <vt:lpwstr/>
      </vt:variant>
      <vt:variant>
        <vt:lpwstr>_ENREF_93</vt:lpwstr>
      </vt:variant>
      <vt:variant>
        <vt:i4>4194315</vt:i4>
      </vt:variant>
      <vt:variant>
        <vt:i4>6559</vt:i4>
      </vt:variant>
      <vt:variant>
        <vt:i4>0</vt:i4>
      </vt:variant>
      <vt:variant>
        <vt:i4>5</vt:i4>
      </vt:variant>
      <vt:variant>
        <vt:lpwstr/>
      </vt:variant>
      <vt:variant>
        <vt:lpwstr>_ENREF_10</vt:lpwstr>
      </vt:variant>
      <vt:variant>
        <vt:i4>7929914</vt:i4>
      </vt:variant>
      <vt:variant>
        <vt:i4>6551</vt:i4>
      </vt:variant>
      <vt:variant>
        <vt:i4>0</vt:i4>
      </vt:variant>
      <vt:variant>
        <vt:i4>5</vt:i4>
      </vt:variant>
      <vt:variant>
        <vt:lpwstr/>
      </vt:variant>
      <vt:variant>
        <vt:lpwstr>_ENREF_119</vt:lpwstr>
      </vt:variant>
      <vt:variant>
        <vt:i4>4325387</vt:i4>
      </vt:variant>
      <vt:variant>
        <vt:i4>6548</vt:i4>
      </vt:variant>
      <vt:variant>
        <vt:i4>0</vt:i4>
      </vt:variant>
      <vt:variant>
        <vt:i4>5</vt:i4>
      </vt:variant>
      <vt:variant>
        <vt:lpwstr/>
      </vt:variant>
      <vt:variant>
        <vt:lpwstr>_ENREF_3</vt:lpwstr>
      </vt:variant>
      <vt:variant>
        <vt:i4>7667770</vt:i4>
      </vt:variant>
      <vt:variant>
        <vt:i4>6460</vt:i4>
      </vt:variant>
      <vt:variant>
        <vt:i4>0</vt:i4>
      </vt:variant>
      <vt:variant>
        <vt:i4>5</vt:i4>
      </vt:variant>
      <vt:variant>
        <vt:lpwstr/>
      </vt:variant>
      <vt:variant>
        <vt:lpwstr>_ENREF_115</vt:lpwstr>
      </vt:variant>
      <vt:variant>
        <vt:i4>7602232</vt:i4>
      </vt:variant>
      <vt:variant>
        <vt:i4>6454</vt:i4>
      </vt:variant>
      <vt:variant>
        <vt:i4>0</vt:i4>
      </vt:variant>
      <vt:variant>
        <vt:i4>5</vt:i4>
      </vt:variant>
      <vt:variant>
        <vt:lpwstr/>
      </vt:variant>
      <vt:variant>
        <vt:lpwstr>_ENREF_237</vt:lpwstr>
      </vt:variant>
      <vt:variant>
        <vt:i4>4587531</vt:i4>
      </vt:variant>
      <vt:variant>
        <vt:i4>6448</vt:i4>
      </vt:variant>
      <vt:variant>
        <vt:i4>0</vt:i4>
      </vt:variant>
      <vt:variant>
        <vt:i4>5</vt:i4>
      </vt:variant>
      <vt:variant>
        <vt:lpwstr/>
      </vt:variant>
      <vt:variant>
        <vt:lpwstr>_ENREF_74</vt:lpwstr>
      </vt:variant>
      <vt:variant>
        <vt:i4>4784139</vt:i4>
      </vt:variant>
      <vt:variant>
        <vt:i4>6442</vt:i4>
      </vt:variant>
      <vt:variant>
        <vt:i4>0</vt:i4>
      </vt:variant>
      <vt:variant>
        <vt:i4>5</vt:i4>
      </vt:variant>
      <vt:variant>
        <vt:lpwstr/>
      </vt:variant>
      <vt:variant>
        <vt:lpwstr>_ENREF_85</vt:lpwstr>
      </vt:variant>
      <vt:variant>
        <vt:i4>4521995</vt:i4>
      </vt:variant>
      <vt:variant>
        <vt:i4>6436</vt:i4>
      </vt:variant>
      <vt:variant>
        <vt:i4>0</vt:i4>
      </vt:variant>
      <vt:variant>
        <vt:i4>5</vt:i4>
      </vt:variant>
      <vt:variant>
        <vt:lpwstr/>
      </vt:variant>
      <vt:variant>
        <vt:lpwstr>_ENREF_42</vt:lpwstr>
      </vt:variant>
      <vt:variant>
        <vt:i4>7536696</vt:i4>
      </vt:variant>
      <vt:variant>
        <vt:i4>6430</vt:i4>
      </vt:variant>
      <vt:variant>
        <vt:i4>0</vt:i4>
      </vt:variant>
      <vt:variant>
        <vt:i4>5</vt:i4>
      </vt:variant>
      <vt:variant>
        <vt:lpwstr/>
      </vt:variant>
      <vt:variant>
        <vt:lpwstr>_ENREF_230</vt:lpwstr>
      </vt:variant>
      <vt:variant>
        <vt:i4>7340090</vt:i4>
      </vt:variant>
      <vt:variant>
        <vt:i4>6424</vt:i4>
      </vt:variant>
      <vt:variant>
        <vt:i4>0</vt:i4>
      </vt:variant>
      <vt:variant>
        <vt:i4>5</vt:i4>
      </vt:variant>
      <vt:variant>
        <vt:lpwstr/>
      </vt:variant>
      <vt:variant>
        <vt:lpwstr>_ENREF_213</vt:lpwstr>
      </vt:variant>
      <vt:variant>
        <vt:i4>4587531</vt:i4>
      </vt:variant>
      <vt:variant>
        <vt:i4>6418</vt:i4>
      </vt:variant>
      <vt:variant>
        <vt:i4>0</vt:i4>
      </vt:variant>
      <vt:variant>
        <vt:i4>5</vt:i4>
      </vt:variant>
      <vt:variant>
        <vt:lpwstr/>
      </vt:variant>
      <vt:variant>
        <vt:lpwstr>_ENREF_70</vt:lpwstr>
      </vt:variant>
      <vt:variant>
        <vt:i4>7995448</vt:i4>
      </vt:variant>
      <vt:variant>
        <vt:i4>6412</vt:i4>
      </vt:variant>
      <vt:variant>
        <vt:i4>0</vt:i4>
      </vt:variant>
      <vt:variant>
        <vt:i4>5</vt:i4>
      </vt:variant>
      <vt:variant>
        <vt:lpwstr/>
      </vt:variant>
      <vt:variant>
        <vt:lpwstr>_ENREF_239</vt:lpwstr>
      </vt:variant>
      <vt:variant>
        <vt:i4>7340095</vt:i4>
      </vt:variant>
      <vt:variant>
        <vt:i4>6406</vt:i4>
      </vt:variant>
      <vt:variant>
        <vt:i4>0</vt:i4>
      </vt:variant>
      <vt:variant>
        <vt:i4>5</vt:i4>
      </vt:variant>
      <vt:variant>
        <vt:lpwstr/>
      </vt:variant>
      <vt:variant>
        <vt:lpwstr>_ENREF_243</vt:lpwstr>
      </vt:variant>
      <vt:variant>
        <vt:i4>4194315</vt:i4>
      </vt:variant>
      <vt:variant>
        <vt:i4>6400</vt:i4>
      </vt:variant>
      <vt:variant>
        <vt:i4>0</vt:i4>
      </vt:variant>
      <vt:variant>
        <vt:i4>5</vt:i4>
      </vt:variant>
      <vt:variant>
        <vt:lpwstr/>
      </vt:variant>
      <vt:variant>
        <vt:lpwstr>_ENREF_1</vt:lpwstr>
      </vt:variant>
      <vt:variant>
        <vt:i4>4325387</vt:i4>
      </vt:variant>
      <vt:variant>
        <vt:i4>6394</vt:i4>
      </vt:variant>
      <vt:variant>
        <vt:i4>0</vt:i4>
      </vt:variant>
      <vt:variant>
        <vt:i4>5</vt:i4>
      </vt:variant>
      <vt:variant>
        <vt:lpwstr/>
      </vt:variant>
      <vt:variant>
        <vt:lpwstr>_ENREF_39</vt:lpwstr>
      </vt:variant>
      <vt:variant>
        <vt:i4>7995449</vt:i4>
      </vt:variant>
      <vt:variant>
        <vt:i4>6388</vt:i4>
      </vt:variant>
      <vt:variant>
        <vt:i4>0</vt:i4>
      </vt:variant>
      <vt:variant>
        <vt:i4>5</vt:i4>
      </vt:variant>
      <vt:variant>
        <vt:lpwstr/>
      </vt:variant>
      <vt:variant>
        <vt:lpwstr>_ENREF_229</vt:lpwstr>
      </vt:variant>
      <vt:variant>
        <vt:i4>7733306</vt:i4>
      </vt:variant>
      <vt:variant>
        <vt:i4>6382</vt:i4>
      </vt:variant>
      <vt:variant>
        <vt:i4>0</vt:i4>
      </vt:variant>
      <vt:variant>
        <vt:i4>5</vt:i4>
      </vt:variant>
      <vt:variant>
        <vt:lpwstr/>
      </vt:variant>
      <vt:variant>
        <vt:lpwstr>_ENREF_116</vt:lpwstr>
      </vt:variant>
      <vt:variant>
        <vt:i4>7405625</vt:i4>
      </vt:variant>
      <vt:variant>
        <vt:i4>6376</vt:i4>
      </vt:variant>
      <vt:variant>
        <vt:i4>0</vt:i4>
      </vt:variant>
      <vt:variant>
        <vt:i4>5</vt:i4>
      </vt:variant>
      <vt:variant>
        <vt:lpwstr/>
      </vt:variant>
      <vt:variant>
        <vt:lpwstr>_ENREF_121</vt:lpwstr>
      </vt:variant>
      <vt:variant>
        <vt:i4>7340092</vt:i4>
      </vt:variant>
      <vt:variant>
        <vt:i4>6370</vt:i4>
      </vt:variant>
      <vt:variant>
        <vt:i4>0</vt:i4>
      </vt:variant>
      <vt:variant>
        <vt:i4>5</vt:i4>
      </vt:variant>
      <vt:variant>
        <vt:lpwstr/>
      </vt:variant>
      <vt:variant>
        <vt:lpwstr>_ENREF_170</vt:lpwstr>
      </vt:variant>
      <vt:variant>
        <vt:i4>7995451</vt:i4>
      </vt:variant>
      <vt:variant>
        <vt:i4>6364</vt:i4>
      </vt:variant>
      <vt:variant>
        <vt:i4>0</vt:i4>
      </vt:variant>
      <vt:variant>
        <vt:i4>5</vt:i4>
      </vt:variant>
      <vt:variant>
        <vt:lpwstr/>
      </vt:variant>
      <vt:variant>
        <vt:lpwstr>_ENREF_209</vt:lpwstr>
      </vt:variant>
      <vt:variant>
        <vt:i4>4194315</vt:i4>
      </vt:variant>
      <vt:variant>
        <vt:i4>6358</vt:i4>
      </vt:variant>
      <vt:variant>
        <vt:i4>0</vt:i4>
      </vt:variant>
      <vt:variant>
        <vt:i4>5</vt:i4>
      </vt:variant>
      <vt:variant>
        <vt:lpwstr/>
      </vt:variant>
      <vt:variant>
        <vt:lpwstr>_ENREF_18</vt:lpwstr>
      </vt:variant>
      <vt:variant>
        <vt:i4>7667775</vt:i4>
      </vt:variant>
      <vt:variant>
        <vt:i4>6352</vt:i4>
      </vt:variant>
      <vt:variant>
        <vt:i4>0</vt:i4>
      </vt:variant>
      <vt:variant>
        <vt:i4>5</vt:i4>
      </vt:variant>
      <vt:variant>
        <vt:lpwstr/>
      </vt:variant>
      <vt:variant>
        <vt:lpwstr>_ENREF_145</vt:lpwstr>
      </vt:variant>
      <vt:variant>
        <vt:i4>4587531</vt:i4>
      </vt:variant>
      <vt:variant>
        <vt:i4>6346</vt:i4>
      </vt:variant>
      <vt:variant>
        <vt:i4>0</vt:i4>
      </vt:variant>
      <vt:variant>
        <vt:i4>5</vt:i4>
      </vt:variant>
      <vt:variant>
        <vt:lpwstr/>
      </vt:variant>
      <vt:variant>
        <vt:lpwstr>_ENREF_7</vt:lpwstr>
      </vt:variant>
      <vt:variant>
        <vt:i4>8060987</vt:i4>
      </vt:variant>
      <vt:variant>
        <vt:i4>6340</vt:i4>
      </vt:variant>
      <vt:variant>
        <vt:i4>0</vt:i4>
      </vt:variant>
      <vt:variant>
        <vt:i4>5</vt:i4>
      </vt:variant>
      <vt:variant>
        <vt:lpwstr/>
      </vt:variant>
      <vt:variant>
        <vt:lpwstr>_ENREF_208</vt:lpwstr>
      </vt:variant>
      <vt:variant>
        <vt:i4>7405627</vt:i4>
      </vt:variant>
      <vt:variant>
        <vt:i4>6334</vt:i4>
      </vt:variant>
      <vt:variant>
        <vt:i4>0</vt:i4>
      </vt:variant>
      <vt:variant>
        <vt:i4>5</vt:i4>
      </vt:variant>
      <vt:variant>
        <vt:lpwstr/>
      </vt:variant>
      <vt:variant>
        <vt:lpwstr>_ENREF_202</vt:lpwstr>
      </vt:variant>
      <vt:variant>
        <vt:i4>7536696</vt:i4>
      </vt:variant>
      <vt:variant>
        <vt:i4>6328</vt:i4>
      </vt:variant>
      <vt:variant>
        <vt:i4>0</vt:i4>
      </vt:variant>
      <vt:variant>
        <vt:i4>5</vt:i4>
      </vt:variant>
      <vt:variant>
        <vt:lpwstr/>
      </vt:variant>
      <vt:variant>
        <vt:lpwstr>_ENREF_133</vt:lpwstr>
      </vt:variant>
      <vt:variant>
        <vt:i4>4718603</vt:i4>
      </vt:variant>
      <vt:variant>
        <vt:i4>6322</vt:i4>
      </vt:variant>
      <vt:variant>
        <vt:i4>0</vt:i4>
      </vt:variant>
      <vt:variant>
        <vt:i4>5</vt:i4>
      </vt:variant>
      <vt:variant>
        <vt:lpwstr/>
      </vt:variant>
      <vt:variant>
        <vt:lpwstr>_ENREF_96</vt:lpwstr>
      </vt:variant>
      <vt:variant>
        <vt:i4>4784139</vt:i4>
      </vt:variant>
      <vt:variant>
        <vt:i4>6316</vt:i4>
      </vt:variant>
      <vt:variant>
        <vt:i4>0</vt:i4>
      </vt:variant>
      <vt:variant>
        <vt:i4>5</vt:i4>
      </vt:variant>
      <vt:variant>
        <vt:lpwstr/>
      </vt:variant>
      <vt:variant>
        <vt:lpwstr>_ENREF_8</vt:lpwstr>
      </vt:variant>
      <vt:variant>
        <vt:i4>7405630</vt:i4>
      </vt:variant>
      <vt:variant>
        <vt:i4>6310</vt:i4>
      </vt:variant>
      <vt:variant>
        <vt:i4>0</vt:i4>
      </vt:variant>
      <vt:variant>
        <vt:i4>5</vt:i4>
      </vt:variant>
      <vt:variant>
        <vt:lpwstr/>
      </vt:variant>
      <vt:variant>
        <vt:lpwstr>_ENREF_252</vt:lpwstr>
      </vt:variant>
      <vt:variant>
        <vt:i4>7602232</vt:i4>
      </vt:variant>
      <vt:variant>
        <vt:i4>6304</vt:i4>
      </vt:variant>
      <vt:variant>
        <vt:i4>0</vt:i4>
      </vt:variant>
      <vt:variant>
        <vt:i4>5</vt:i4>
      </vt:variant>
      <vt:variant>
        <vt:lpwstr/>
      </vt:variant>
      <vt:variant>
        <vt:lpwstr>_ENREF_134</vt:lpwstr>
      </vt:variant>
      <vt:variant>
        <vt:i4>7798834</vt:i4>
      </vt:variant>
      <vt:variant>
        <vt:i4>6298</vt:i4>
      </vt:variant>
      <vt:variant>
        <vt:i4>0</vt:i4>
      </vt:variant>
      <vt:variant>
        <vt:i4>5</vt:i4>
      </vt:variant>
      <vt:variant>
        <vt:lpwstr/>
      </vt:variant>
      <vt:variant>
        <vt:lpwstr>_ENREF_197</vt:lpwstr>
      </vt:variant>
      <vt:variant>
        <vt:i4>4587531</vt:i4>
      </vt:variant>
      <vt:variant>
        <vt:i4>6292</vt:i4>
      </vt:variant>
      <vt:variant>
        <vt:i4>0</vt:i4>
      </vt:variant>
      <vt:variant>
        <vt:i4>5</vt:i4>
      </vt:variant>
      <vt:variant>
        <vt:lpwstr/>
      </vt:variant>
      <vt:variant>
        <vt:lpwstr>_ENREF_76</vt:lpwstr>
      </vt:variant>
      <vt:variant>
        <vt:i4>4521995</vt:i4>
      </vt:variant>
      <vt:variant>
        <vt:i4>6286</vt:i4>
      </vt:variant>
      <vt:variant>
        <vt:i4>0</vt:i4>
      </vt:variant>
      <vt:variant>
        <vt:i4>5</vt:i4>
      </vt:variant>
      <vt:variant>
        <vt:lpwstr/>
      </vt:variant>
      <vt:variant>
        <vt:lpwstr>_ENREF_48</vt:lpwstr>
      </vt:variant>
      <vt:variant>
        <vt:i4>8060984</vt:i4>
      </vt:variant>
      <vt:variant>
        <vt:i4>6280</vt:i4>
      </vt:variant>
      <vt:variant>
        <vt:i4>0</vt:i4>
      </vt:variant>
      <vt:variant>
        <vt:i4>5</vt:i4>
      </vt:variant>
      <vt:variant>
        <vt:lpwstr/>
      </vt:variant>
      <vt:variant>
        <vt:lpwstr>_ENREF_238</vt:lpwstr>
      </vt:variant>
      <vt:variant>
        <vt:i4>7405626</vt:i4>
      </vt:variant>
      <vt:variant>
        <vt:i4>6274</vt:i4>
      </vt:variant>
      <vt:variant>
        <vt:i4>0</vt:i4>
      </vt:variant>
      <vt:variant>
        <vt:i4>5</vt:i4>
      </vt:variant>
      <vt:variant>
        <vt:lpwstr/>
      </vt:variant>
      <vt:variant>
        <vt:lpwstr>_ENREF_212</vt:lpwstr>
      </vt:variant>
      <vt:variant>
        <vt:i4>4194315</vt:i4>
      </vt:variant>
      <vt:variant>
        <vt:i4>6268</vt:i4>
      </vt:variant>
      <vt:variant>
        <vt:i4>0</vt:i4>
      </vt:variant>
      <vt:variant>
        <vt:i4>5</vt:i4>
      </vt:variant>
      <vt:variant>
        <vt:lpwstr/>
      </vt:variant>
      <vt:variant>
        <vt:lpwstr>_ENREF_11</vt:lpwstr>
      </vt:variant>
      <vt:variant>
        <vt:i4>7667768</vt:i4>
      </vt:variant>
      <vt:variant>
        <vt:i4>6262</vt:i4>
      </vt:variant>
      <vt:variant>
        <vt:i4>0</vt:i4>
      </vt:variant>
      <vt:variant>
        <vt:i4>5</vt:i4>
      </vt:variant>
      <vt:variant>
        <vt:lpwstr/>
      </vt:variant>
      <vt:variant>
        <vt:lpwstr>_ENREF_135</vt:lpwstr>
      </vt:variant>
      <vt:variant>
        <vt:i4>7667773</vt:i4>
      </vt:variant>
      <vt:variant>
        <vt:i4>6256</vt:i4>
      </vt:variant>
      <vt:variant>
        <vt:i4>0</vt:i4>
      </vt:variant>
      <vt:variant>
        <vt:i4>5</vt:i4>
      </vt:variant>
      <vt:variant>
        <vt:lpwstr/>
      </vt:variant>
      <vt:variant>
        <vt:lpwstr>_ENREF_266</vt:lpwstr>
      </vt:variant>
      <vt:variant>
        <vt:i4>7733304</vt:i4>
      </vt:variant>
      <vt:variant>
        <vt:i4>6250</vt:i4>
      </vt:variant>
      <vt:variant>
        <vt:i4>0</vt:i4>
      </vt:variant>
      <vt:variant>
        <vt:i4>5</vt:i4>
      </vt:variant>
      <vt:variant>
        <vt:lpwstr/>
      </vt:variant>
      <vt:variant>
        <vt:lpwstr>_ENREF_136</vt:lpwstr>
      </vt:variant>
      <vt:variant>
        <vt:i4>7471162</vt:i4>
      </vt:variant>
      <vt:variant>
        <vt:i4>6244</vt:i4>
      </vt:variant>
      <vt:variant>
        <vt:i4>0</vt:i4>
      </vt:variant>
      <vt:variant>
        <vt:i4>5</vt:i4>
      </vt:variant>
      <vt:variant>
        <vt:lpwstr/>
      </vt:variant>
      <vt:variant>
        <vt:lpwstr>_ENREF_211</vt:lpwstr>
      </vt:variant>
      <vt:variant>
        <vt:i4>4194315</vt:i4>
      </vt:variant>
      <vt:variant>
        <vt:i4>6238</vt:i4>
      </vt:variant>
      <vt:variant>
        <vt:i4>0</vt:i4>
      </vt:variant>
      <vt:variant>
        <vt:i4>5</vt:i4>
      </vt:variant>
      <vt:variant>
        <vt:lpwstr/>
      </vt:variant>
      <vt:variant>
        <vt:lpwstr>_ENREF_15</vt:lpwstr>
      </vt:variant>
      <vt:variant>
        <vt:i4>4784139</vt:i4>
      </vt:variant>
      <vt:variant>
        <vt:i4>6232</vt:i4>
      </vt:variant>
      <vt:variant>
        <vt:i4>0</vt:i4>
      </vt:variant>
      <vt:variant>
        <vt:i4>5</vt:i4>
      </vt:variant>
      <vt:variant>
        <vt:lpwstr/>
      </vt:variant>
      <vt:variant>
        <vt:lpwstr>_ENREF_83</vt:lpwstr>
      </vt:variant>
      <vt:variant>
        <vt:i4>7340088</vt:i4>
      </vt:variant>
      <vt:variant>
        <vt:i4>6226</vt:i4>
      </vt:variant>
      <vt:variant>
        <vt:i4>0</vt:i4>
      </vt:variant>
      <vt:variant>
        <vt:i4>5</vt:i4>
      </vt:variant>
      <vt:variant>
        <vt:lpwstr/>
      </vt:variant>
      <vt:variant>
        <vt:lpwstr>_ENREF_233</vt:lpwstr>
      </vt:variant>
      <vt:variant>
        <vt:i4>7471167</vt:i4>
      </vt:variant>
      <vt:variant>
        <vt:i4>6220</vt:i4>
      </vt:variant>
      <vt:variant>
        <vt:i4>0</vt:i4>
      </vt:variant>
      <vt:variant>
        <vt:i4>5</vt:i4>
      </vt:variant>
      <vt:variant>
        <vt:lpwstr/>
      </vt:variant>
      <vt:variant>
        <vt:lpwstr>_ENREF_241</vt:lpwstr>
      </vt:variant>
      <vt:variant>
        <vt:i4>7405624</vt:i4>
      </vt:variant>
      <vt:variant>
        <vt:i4>6214</vt:i4>
      </vt:variant>
      <vt:variant>
        <vt:i4>0</vt:i4>
      </vt:variant>
      <vt:variant>
        <vt:i4>5</vt:i4>
      </vt:variant>
      <vt:variant>
        <vt:lpwstr/>
      </vt:variant>
      <vt:variant>
        <vt:lpwstr>_ENREF_232</vt:lpwstr>
      </vt:variant>
      <vt:variant>
        <vt:i4>7471162</vt:i4>
      </vt:variant>
      <vt:variant>
        <vt:i4>6208</vt:i4>
      </vt:variant>
      <vt:variant>
        <vt:i4>0</vt:i4>
      </vt:variant>
      <vt:variant>
        <vt:i4>5</vt:i4>
      </vt:variant>
      <vt:variant>
        <vt:lpwstr/>
      </vt:variant>
      <vt:variant>
        <vt:lpwstr>_ENREF_112</vt:lpwstr>
      </vt:variant>
      <vt:variant>
        <vt:i4>7471160</vt:i4>
      </vt:variant>
      <vt:variant>
        <vt:i4>6202</vt:i4>
      </vt:variant>
      <vt:variant>
        <vt:i4>0</vt:i4>
      </vt:variant>
      <vt:variant>
        <vt:i4>5</vt:i4>
      </vt:variant>
      <vt:variant>
        <vt:lpwstr/>
      </vt:variant>
      <vt:variant>
        <vt:lpwstr>_ENREF_132</vt:lpwstr>
      </vt:variant>
      <vt:variant>
        <vt:i4>7864378</vt:i4>
      </vt:variant>
      <vt:variant>
        <vt:i4>6196</vt:i4>
      </vt:variant>
      <vt:variant>
        <vt:i4>0</vt:i4>
      </vt:variant>
      <vt:variant>
        <vt:i4>5</vt:i4>
      </vt:variant>
      <vt:variant>
        <vt:lpwstr/>
      </vt:variant>
      <vt:variant>
        <vt:lpwstr>_ENREF_118</vt:lpwstr>
      </vt:variant>
      <vt:variant>
        <vt:i4>7798846</vt:i4>
      </vt:variant>
      <vt:variant>
        <vt:i4>6190</vt:i4>
      </vt:variant>
      <vt:variant>
        <vt:i4>0</vt:i4>
      </vt:variant>
      <vt:variant>
        <vt:i4>5</vt:i4>
      </vt:variant>
      <vt:variant>
        <vt:lpwstr/>
      </vt:variant>
      <vt:variant>
        <vt:lpwstr>_ENREF_157</vt:lpwstr>
      </vt:variant>
      <vt:variant>
        <vt:i4>4194315</vt:i4>
      </vt:variant>
      <vt:variant>
        <vt:i4>6184</vt:i4>
      </vt:variant>
      <vt:variant>
        <vt:i4>0</vt:i4>
      </vt:variant>
      <vt:variant>
        <vt:i4>5</vt:i4>
      </vt:variant>
      <vt:variant>
        <vt:lpwstr/>
      </vt:variant>
      <vt:variant>
        <vt:lpwstr>_ENREF_12</vt:lpwstr>
      </vt:variant>
      <vt:variant>
        <vt:i4>7340089</vt:i4>
      </vt:variant>
      <vt:variant>
        <vt:i4>6178</vt:i4>
      </vt:variant>
      <vt:variant>
        <vt:i4>0</vt:i4>
      </vt:variant>
      <vt:variant>
        <vt:i4>5</vt:i4>
      </vt:variant>
      <vt:variant>
        <vt:lpwstr/>
      </vt:variant>
      <vt:variant>
        <vt:lpwstr>_ENREF_223</vt:lpwstr>
      </vt:variant>
      <vt:variant>
        <vt:i4>4718603</vt:i4>
      </vt:variant>
      <vt:variant>
        <vt:i4>6172</vt:i4>
      </vt:variant>
      <vt:variant>
        <vt:i4>0</vt:i4>
      </vt:variant>
      <vt:variant>
        <vt:i4>5</vt:i4>
      </vt:variant>
      <vt:variant>
        <vt:lpwstr/>
      </vt:variant>
      <vt:variant>
        <vt:lpwstr>_ENREF_99</vt:lpwstr>
      </vt:variant>
      <vt:variant>
        <vt:i4>7471165</vt:i4>
      </vt:variant>
      <vt:variant>
        <vt:i4>6166</vt:i4>
      </vt:variant>
      <vt:variant>
        <vt:i4>0</vt:i4>
      </vt:variant>
      <vt:variant>
        <vt:i4>5</vt:i4>
      </vt:variant>
      <vt:variant>
        <vt:lpwstr/>
      </vt:variant>
      <vt:variant>
        <vt:lpwstr>_ENREF_162</vt:lpwstr>
      </vt:variant>
      <vt:variant>
        <vt:i4>4521995</vt:i4>
      </vt:variant>
      <vt:variant>
        <vt:i4>6160</vt:i4>
      </vt:variant>
      <vt:variant>
        <vt:i4>0</vt:i4>
      </vt:variant>
      <vt:variant>
        <vt:i4>5</vt:i4>
      </vt:variant>
      <vt:variant>
        <vt:lpwstr/>
      </vt:variant>
      <vt:variant>
        <vt:lpwstr>_ENREF_44</vt:lpwstr>
      </vt:variant>
      <vt:variant>
        <vt:i4>4194315</vt:i4>
      </vt:variant>
      <vt:variant>
        <vt:i4>6154</vt:i4>
      </vt:variant>
      <vt:variant>
        <vt:i4>0</vt:i4>
      </vt:variant>
      <vt:variant>
        <vt:i4>5</vt:i4>
      </vt:variant>
      <vt:variant>
        <vt:lpwstr/>
      </vt:variant>
      <vt:variant>
        <vt:lpwstr>_ENREF_16</vt:lpwstr>
      </vt:variant>
      <vt:variant>
        <vt:i4>7798847</vt:i4>
      </vt:variant>
      <vt:variant>
        <vt:i4>6148</vt:i4>
      </vt:variant>
      <vt:variant>
        <vt:i4>0</vt:i4>
      </vt:variant>
      <vt:variant>
        <vt:i4>5</vt:i4>
      </vt:variant>
      <vt:variant>
        <vt:lpwstr/>
      </vt:variant>
      <vt:variant>
        <vt:lpwstr>_ENREF_244</vt:lpwstr>
      </vt:variant>
      <vt:variant>
        <vt:i4>7536699</vt:i4>
      </vt:variant>
      <vt:variant>
        <vt:i4>6142</vt:i4>
      </vt:variant>
      <vt:variant>
        <vt:i4>0</vt:i4>
      </vt:variant>
      <vt:variant>
        <vt:i4>5</vt:i4>
      </vt:variant>
      <vt:variant>
        <vt:lpwstr/>
      </vt:variant>
      <vt:variant>
        <vt:lpwstr>_ENREF_200</vt:lpwstr>
      </vt:variant>
      <vt:variant>
        <vt:i4>7536697</vt:i4>
      </vt:variant>
      <vt:variant>
        <vt:i4>6136</vt:i4>
      </vt:variant>
      <vt:variant>
        <vt:i4>0</vt:i4>
      </vt:variant>
      <vt:variant>
        <vt:i4>5</vt:i4>
      </vt:variant>
      <vt:variant>
        <vt:lpwstr/>
      </vt:variant>
      <vt:variant>
        <vt:lpwstr>_ENREF_123</vt:lpwstr>
      </vt:variant>
      <vt:variant>
        <vt:i4>7864370</vt:i4>
      </vt:variant>
      <vt:variant>
        <vt:i4>6130</vt:i4>
      </vt:variant>
      <vt:variant>
        <vt:i4>0</vt:i4>
      </vt:variant>
      <vt:variant>
        <vt:i4>5</vt:i4>
      </vt:variant>
      <vt:variant>
        <vt:lpwstr/>
      </vt:variant>
      <vt:variant>
        <vt:lpwstr>_ENREF_198</vt:lpwstr>
      </vt:variant>
      <vt:variant>
        <vt:i4>4718603</vt:i4>
      </vt:variant>
      <vt:variant>
        <vt:i4>6124</vt:i4>
      </vt:variant>
      <vt:variant>
        <vt:i4>0</vt:i4>
      </vt:variant>
      <vt:variant>
        <vt:i4>5</vt:i4>
      </vt:variant>
      <vt:variant>
        <vt:lpwstr/>
      </vt:variant>
      <vt:variant>
        <vt:lpwstr>_ENREF_97</vt:lpwstr>
      </vt:variant>
      <vt:variant>
        <vt:i4>7733305</vt:i4>
      </vt:variant>
      <vt:variant>
        <vt:i4>6118</vt:i4>
      </vt:variant>
      <vt:variant>
        <vt:i4>0</vt:i4>
      </vt:variant>
      <vt:variant>
        <vt:i4>5</vt:i4>
      </vt:variant>
      <vt:variant>
        <vt:lpwstr/>
      </vt:variant>
      <vt:variant>
        <vt:lpwstr>_ENREF_225</vt:lpwstr>
      </vt:variant>
      <vt:variant>
        <vt:i4>4194315</vt:i4>
      </vt:variant>
      <vt:variant>
        <vt:i4>6112</vt:i4>
      </vt:variant>
      <vt:variant>
        <vt:i4>0</vt:i4>
      </vt:variant>
      <vt:variant>
        <vt:i4>5</vt:i4>
      </vt:variant>
      <vt:variant>
        <vt:lpwstr/>
      </vt:variant>
      <vt:variant>
        <vt:lpwstr>_ENREF_19</vt:lpwstr>
      </vt:variant>
      <vt:variant>
        <vt:i4>7405618</vt:i4>
      </vt:variant>
      <vt:variant>
        <vt:i4>6106</vt:i4>
      </vt:variant>
      <vt:variant>
        <vt:i4>0</vt:i4>
      </vt:variant>
      <vt:variant>
        <vt:i4>5</vt:i4>
      </vt:variant>
      <vt:variant>
        <vt:lpwstr/>
      </vt:variant>
      <vt:variant>
        <vt:lpwstr>_ENREF_191</vt:lpwstr>
      </vt:variant>
      <vt:variant>
        <vt:i4>7733305</vt:i4>
      </vt:variant>
      <vt:variant>
        <vt:i4>6100</vt:i4>
      </vt:variant>
      <vt:variant>
        <vt:i4>0</vt:i4>
      </vt:variant>
      <vt:variant>
        <vt:i4>5</vt:i4>
      </vt:variant>
      <vt:variant>
        <vt:lpwstr/>
      </vt:variant>
      <vt:variant>
        <vt:lpwstr>_ENREF_126</vt:lpwstr>
      </vt:variant>
      <vt:variant>
        <vt:i4>7667769</vt:i4>
      </vt:variant>
      <vt:variant>
        <vt:i4>6094</vt:i4>
      </vt:variant>
      <vt:variant>
        <vt:i4>0</vt:i4>
      </vt:variant>
      <vt:variant>
        <vt:i4>5</vt:i4>
      </vt:variant>
      <vt:variant>
        <vt:lpwstr/>
      </vt:variant>
      <vt:variant>
        <vt:lpwstr>_ENREF_125</vt:lpwstr>
      </vt:variant>
      <vt:variant>
        <vt:i4>7602239</vt:i4>
      </vt:variant>
      <vt:variant>
        <vt:i4>6088</vt:i4>
      </vt:variant>
      <vt:variant>
        <vt:i4>0</vt:i4>
      </vt:variant>
      <vt:variant>
        <vt:i4>5</vt:i4>
      </vt:variant>
      <vt:variant>
        <vt:lpwstr/>
      </vt:variant>
      <vt:variant>
        <vt:lpwstr>_ENREF_247</vt:lpwstr>
      </vt:variant>
      <vt:variant>
        <vt:i4>4784139</vt:i4>
      </vt:variant>
      <vt:variant>
        <vt:i4>6028</vt:i4>
      </vt:variant>
      <vt:variant>
        <vt:i4>0</vt:i4>
      </vt:variant>
      <vt:variant>
        <vt:i4>5</vt:i4>
      </vt:variant>
      <vt:variant>
        <vt:lpwstr/>
      </vt:variant>
      <vt:variant>
        <vt:lpwstr>_ENREF_89</vt:lpwstr>
      </vt:variant>
      <vt:variant>
        <vt:i4>4653067</vt:i4>
      </vt:variant>
      <vt:variant>
        <vt:i4>6001</vt:i4>
      </vt:variant>
      <vt:variant>
        <vt:i4>0</vt:i4>
      </vt:variant>
      <vt:variant>
        <vt:i4>5</vt:i4>
      </vt:variant>
      <vt:variant>
        <vt:lpwstr/>
      </vt:variant>
      <vt:variant>
        <vt:lpwstr>_ENREF_6</vt:lpwstr>
      </vt:variant>
      <vt:variant>
        <vt:i4>4784139</vt:i4>
      </vt:variant>
      <vt:variant>
        <vt:i4>5992</vt:i4>
      </vt:variant>
      <vt:variant>
        <vt:i4>0</vt:i4>
      </vt:variant>
      <vt:variant>
        <vt:i4>5</vt:i4>
      </vt:variant>
      <vt:variant>
        <vt:lpwstr/>
      </vt:variant>
      <vt:variant>
        <vt:lpwstr>_ENREF_88</vt:lpwstr>
      </vt:variant>
      <vt:variant>
        <vt:i4>4521995</vt:i4>
      </vt:variant>
      <vt:variant>
        <vt:i4>5986</vt:i4>
      </vt:variant>
      <vt:variant>
        <vt:i4>0</vt:i4>
      </vt:variant>
      <vt:variant>
        <vt:i4>5</vt:i4>
      </vt:variant>
      <vt:variant>
        <vt:lpwstr/>
      </vt:variant>
      <vt:variant>
        <vt:lpwstr>_ENREF_41</vt:lpwstr>
      </vt:variant>
      <vt:variant>
        <vt:i4>4390923</vt:i4>
      </vt:variant>
      <vt:variant>
        <vt:i4>5982</vt:i4>
      </vt:variant>
      <vt:variant>
        <vt:i4>0</vt:i4>
      </vt:variant>
      <vt:variant>
        <vt:i4>5</vt:i4>
      </vt:variant>
      <vt:variant>
        <vt:lpwstr/>
      </vt:variant>
      <vt:variant>
        <vt:lpwstr>_ENREF_26</vt:lpwstr>
      </vt:variant>
      <vt:variant>
        <vt:i4>4194315</vt:i4>
      </vt:variant>
      <vt:variant>
        <vt:i4>5979</vt:i4>
      </vt:variant>
      <vt:variant>
        <vt:i4>0</vt:i4>
      </vt:variant>
      <vt:variant>
        <vt:i4>5</vt:i4>
      </vt:variant>
      <vt:variant>
        <vt:lpwstr/>
      </vt:variant>
      <vt:variant>
        <vt:lpwstr>_ENREF_13</vt:lpwstr>
      </vt:variant>
      <vt:variant>
        <vt:i4>7471165</vt:i4>
      </vt:variant>
      <vt:variant>
        <vt:i4>5976</vt:i4>
      </vt:variant>
      <vt:variant>
        <vt:i4>0</vt:i4>
      </vt:variant>
      <vt:variant>
        <vt:i4>5</vt:i4>
      </vt:variant>
      <vt:variant>
        <vt:lpwstr/>
      </vt:variant>
      <vt:variant>
        <vt:lpwstr>_ENREF_261</vt:lpwstr>
      </vt:variant>
      <vt:variant>
        <vt:i4>7733309</vt:i4>
      </vt:variant>
      <vt:variant>
        <vt:i4>5973</vt:i4>
      </vt:variant>
      <vt:variant>
        <vt:i4>0</vt:i4>
      </vt:variant>
      <vt:variant>
        <vt:i4>5</vt:i4>
      </vt:variant>
      <vt:variant>
        <vt:lpwstr/>
      </vt:variant>
      <vt:variant>
        <vt:lpwstr>_ENREF_166</vt:lpwstr>
      </vt:variant>
      <vt:variant>
        <vt:i4>7929906</vt:i4>
      </vt:variant>
      <vt:variant>
        <vt:i4>5963</vt:i4>
      </vt:variant>
      <vt:variant>
        <vt:i4>0</vt:i4>
      </vt:variant>
      <vt:variant>
        <vt:i4>5</vt:i4>
      </vt:variant>
      <vt:variant>
        <vt:lpwstr/>
      </vt:variant>
      <vt:variant>
        <vt:lpwstr>_ENREF_199</vt:lpwstr>
      </vt:variant>
      <vt:variant>
        <vt:i4>4325387</vt:i4>
      </vt:variant>
      <vt:variant>
        <vt:i4>5957</vt:i4>
      </vt:variant>
      <vt:variant>
        <vt:i4>0</vt:i4>
      </vt:variant>
      <vt:variant>
        <vt:i4>5</vt:i4>
      </vt:variant>
      <vt:variant>
        <vt:lpwstr/>
      </vt:variant>
      <vt:variant>
        <vt:lpwstr>_ENREF_38</vt:lpwstr>
      </vt:variant>
      <vt:variant>
        <vt:i4>7536700</vt:i4>
      </vt:variant>
      <vt:variant>
        <vt:i4>5951</vt:i4>
      </vt:variant>
      <vt:variant>
        <vt:i4>0</vt:i4>
      </vt:variant>
      <vt:variant>
        <vt:i4>5</vt:i4>
      </vt:variant>
      <vt:variant>
        <vt:lpwstr/>
      </vt:variant>
      <vt:variant>
        <vt:lpwstr>_ENREF_173</vt:lpwstr>
      </vt:variant>
      <vt:variant>
        <vt:i4>7536691</vt:i4>
      </vt:variant>
      <vt:variant>
        <vt:i4>5941</vt:i4>
      </vt:variant>
      <vt:variant>
        <vt:i4>0</vt:i4>
      </vt:variant>
      <vt:variant>
        <vt:i4>5</vt:i4>
      </vt:variant>
      <vt:variant>
        <vt:lpwstr/>
      </vt:variant>
      <vt:variant>
        <vt:lpwstr>_ENREF_183</vt:lpwstr>
      </vt:variant>
      <vt:variant>
        <vt:i4>7602238</vt:i4>
      </vt:variant>
      <vt:variant>
        <vt:i4>5938</vt:i4>
      </vt:variant>
      <vt:variant>
        <vt:i4>0</vt:i4>
      </vt:variant>
      <vt:variant>
        <vt:i4>5</vt:i4>
      </vt:variant>
      <vt:variant>
        <vt:lpwstr/>
      </vt:variant>
      <vt:variant>
        <vt:lpwstr>_ENREF_154</vt:lpwstr>
      </vt:variant>
      <vt:variant>
        <vt:i4>7667763</vt:i4>
      </vt:variant>
      <vt:variant>
        <vt:i4>5935</vt:i4>
      </vt:variant>
      <vt:variant>
        <vt:i4>0</vt:i4>
      </vt:variant>
      <vt:variant>
        <vt:i4>5</vt:i4>
      </vt:variant>
      <vt:variant>
        <vt:lpwstr/>
      </vt:variant>
      <vt:variant>
        <vt:lpwstr>_ENREF_185</vt:lpwstr>
      </vt:variant>
      <vt:variant>
        <vt:i4>7340083</vt:i4>
      </vt:variant>
      <vt:variant>
        <vt:i4>5925</vt:i4>
      </vt:variant>
      <vt:variant>
        <vt:i4>0</vt:i4>
      </vt:variant>
      <vt:variant>
        <vt:i4>5</vt:i4>
      </vt:variant>
      <vt:variant>
        <vt:lpwstr/>
      </vt:variant>
      <vt:variant>
        <vt:lpwstr>_ENREF_180</vt:lpwstr>
      </vt:variant>
      <vt:variant>
        <vt:i4>3604542</vt:i4>
      </vt:variant>
      <vt:variant>
        <vt:i4>5916</vt:i4>
      </vt:variant>
      <vt:variant>
        <vt:i4>0</vt:i4>
      </vt:variant>
      <vt:variant>
        <vt:i4>5</vt:i4>
      </vt:variant>
      <vt:variant>
        <vt:lpwstr>http://www.nata.asn.au/</vt:lpwstr>
      </vt:variant>
      <vt:variant>
        <vt:lpwstr/>
      </vt:variant>
      <vt:variant>
        <vt:i4>7602236</vt:i4>
      </vt:variant>
      <vt:variant>
        <vt:i4>5901</vt:i4>
      </vt:variant>
      <vt:variant>
        <vt:i4>0</vt:i4>
      </vt:variant>
      <vt:variant>
        <vt:i4>5</vt:i4>
      </vt:variant>
      <vt:variant>
        <vt:lpwstr/>
      </vt:variant>
      <vt:variant>
        <vt:lpwstr>_ENREF_174</vt:lpwstr>
      </vt:variant>
      <vt:variant>
        <vt:i4>7536703</vt:i4>
      </vt:variant>
      <vt:variant>
        <vt:i4>5892</vt:i4>
      </vt:variant>
      <vt:variant>
        <vt:i4>0</vt:i4>
      </vt:variant>
      <vt:variant>
        <vt:i4>5</vt:i4>
      </vt:variant>
      <vt:variant>
        <vt:lpwstr/>
      </vt:variant>
      <vt:variant>
        <vt:lpwstr>_ENREF_143</vt:lpwstr>
      </vt:variant>
      <vt:variant>
        <vt:i4>7405628</vt:i4>
      </vt:variant>
      <vt:variant>
        <vt:i4>5886</vt:i4>
      </vt:variant>
      <vt:variant>
        <vt:i4>0</vt:i4>
      </vt:variant>
      <vt:variant>
        <vt:i4>5</vt:i4>
      </vt:variant>
      <vt:variant>
        <vt:lpwstr/>
      </vt:variant>
      <vt:variant>
        <vt:lpwstr>_ENREF_171</vt:lpwstr>
      </vt:variant>
      <vt:variant>
        <vt:i4>7929913</vt:i4>
      </vt:variant>
      <vt:variant>
        <vt:i4>5880</vt:i4>
      </vt:variant>
      <vt:variant>
        <vt:i4>0</vt:i4>
      </vt:variant>
      <vt:variant>
        <vt:i4>5</vt:i4>
      </vt:variant>
      <vt:variant>
        <vt:lpwstr/>
      </vt:variant>
      <vt:variant>
        <vt:lpwstr>_ENREF_129</vt:lpwstr>
      </vt:variant>
      <vt:variant>
        <vt:i4>7471155</vt:i4>
      </vt:variant>
      <vt:variant>
        <vt:i4>5874</vt:i4>
      </vt:variant>
      <vt:variant>
        <vt:i4>0</vt:i4>
      </vt:variant>
      <vt:variant>
        <vt:i4>5</vt:i4>
      </vt:variant>
      <vt:variant>
        <vt:lpwstr/>
      </vt:variant>
      <vt:variant>
        <vt:lpwstr>_ENREF_182</vt:lpwstr>
      </vt:variant>
      <vt:variant>
        <vt:i4>7602236</vt:i4>
      </vt:variant>
      <vt:variant>
        <vt:i4>5868</vt:i4>
      </vt:variant>
      <vt:variant>
        <vt:i4>0</vt:i4>
      </vt:variant>
      <vt:variant>
        <vt:i4>5</vt:i4>
      </vt:variant>
      <vt:variant>
        <vt:lpwstr/>
      </vt:variant>
      <vt:variant>
        <vt:lpwstr>_ENREF_174</vt:lpwstr>
      </vt:variant>
      <vt:variant>
        <vt:i4>7929917</vt:i4>
      </vt:variant>
      <vt:variant>
        <vt:i4>5859</vt:i4>
      </vt:variant>
      <vt:variant>
        <vt:i4>0</vt:i4>
      </vt:variant>
      <vt:variant>
        <vt:i4>5</vt:i4>
      </vt:variant>
      <vt:variant>
        <vt:lpwstr/>
      </vt:variant>
      <vt:variant>
        <vt:lpwstr>_ENREF_169</vt:lpwstr>
      </vt:variant>
      <vt:variant>
        <vt:i4>7340094</vt:i4>
      </vt:variant>
      <vt:variant>
        <vt:i4>5850</vt:i4>
      </vt:variant>
      <vt:variant>
        <vt:i4>0</vt:i4>
      </vt:variant>
      <vt:variant>
        <vt:i4>5</vt:i4>
      </vt:variant>
      <vt:variant>
        <vt:lpwstr/>
      </vt:variant>
      <vt:variant>
        <vt:lpwstr>_ENREF_253</vt:lpwstr>
      </vt:variant>
      <vt:variant>
        <vt:i4>7733308</vt:i4>
      </vt:variant>
      <vt:variant>
        <vt:i4>5844</vt:i4>
      </vt:variant>
      <vt:variant>
        <vt:i4>0</vt:i4>
      </vt:variant>
      <vt:variant>
        <vt:i4>5</vt:i4>
      </vt:variant>
      <vt:variant>
        <vt:lpwstr/>
      </vt:variant>
      <vt:variant>
        <vt:lpwstr>_ENREF_176</vt:lpwstr>
      </vt:variant>
      <vt:variant>
        <vt:i4>4653067</vt:i4>
      </vt:variant>
      <vt:variant>
        <vt:i4>5832</vt:i4>
      </vt:variant>
      <vt:variant>
        <vt:i4>0</vt:i4>
      </vt:variant>
      <vt:variant>
        <vt:i4>5</vt:i4>
      </vt:variant>
      <vt:variant>
        <vt:lpwstr/>
      </vt:variant>
      <vt:variant>
        <vt:lpwstr>_ENREF_64</vt:lpwstr>
      </vt:variant>
      <vt:variant>
        <vt:i4>7667771</vt:i4>
      </vt:variant>
      <vt:variant>
        <vt:i4>5709</vt:i4>
      </vt:variant>
      <vt:variant>
        <vt:i4>0</vt:i4>
      </vt:variant>
      <vt:variant>
        <vt:i4>5</vt:i4>
      </vt:variant>
      <vt:variant>
        <vt:lpwstr/>
      </vt:variant>
      <vt:variant>
        <vt:lpwstr>_ENREF_105</vt:lpwstr>
      </vt:variant>
      <vt:variant>
        <vt:i4>7340090</vt:i4>
      </vt:variant>
      <vt:variant>
        <vt:i4>5705</vt:i4>
      </vt:variant>
      <vt:variant>
        <vt:i4>0</vt:i4>
      </vt:variant>
      <vt:variant>
        <vt:i4>5</vt:i4>
      </vt:variant>
      <vt:variant>
        <vt:lpwstr/>
      </vt:variant>
      <vt:variant>
        <vt:lpwstr>_ENREF_110</vt:lpwstr>
      </vt:variant>
      <vt:variant>
        <vt:i4>4718603</vt:i4>
      </vt:variant>
      <vt:variant>
        <vt:i4>5702</vt:i4>
      </vt:variant>
      <vt:variant>
        <vt:i4>0</vt:i4>
      </vt:variant>
      <vt:variant>
        <vt:i4>5</vt:i4>
      </vt:variant>
      <vt:variant>
        <vt:lpwstr/>
      </vt:variant>
      <vt:variant>
        <vt:lpwstr>_ENREF_93</vt:lpwstr>
      </vt:variant>
      <vt:variant>
        <vt:i4>4194315</vt:i4>
      </vt:variant>
      <vt:variant>
        <vt:i4>5699</vt:i4>
      </vt:variant>
      <vt:variant>
        <vt:i4>0</vt:i4>
      </vt:variant>
      <vt:variant>
        <vt:i4>5</vt:i4>
      </vt:variant>
      <vt:variant>
        <vt:lpwstr/>
      </vt:variant>
      <vt:variant>
        <vt:lpwstr>_ENREF_10</vt:lpwstr>
      </vt:variant>
      <vt:variant>
        <vt:i4>7929914</vt:i4>
      </vt:variant>
      <vt:variant>
        <vt:i4>5691</vt:i4>
      </vt:variant>
      <vt:variant>
        <vt:i4>0</vt:i4>
      </vt:variant>
      <vt:variant>
        <vt:i4>5</vt:i4>
      </vt:variant>
      <vt:variant>
        <vt:lpwstr/>
      </vt:variant>
      <vt:variant>
        <vt:lpwstr>_ENREF_119</vt:lpwstr>
      </vt:variant>
      <vt:variant>
        <vt:i4>4325387</vt:i4>
      </vt:variant>
      <vt:variant>
        <vt:i4>5688</vt:i4>
      </vt:variant>
      <vt:variant>
        <vt:i4>0</vt:i4>
      </vt:variant>
      <vt:variant>
        <vt:i4>5</vt:i4>
      </vt:variant>
      <vt:variant>
        <vt:lpwstr/>
      </vt:variant>
      <vt:variant>
        <vt:lpwstr>_ENREF_3</vt:lpwstr>
      </vt:variant>
      <vt:variant>
        <vt:i4>7733308</vt:i4>
      </vt:variant>
      <vt:variant>
        <vt:i4>5627</vt:i4>
      </vt:variant>
      <vt:variant>
        <vt:i4>0</vt:i4>
      </vt:variant>
      <vt:variant>
        <vt:i4>5</vt:i4>
      </vt:variant>
      <vt:variant>
        <vt:lpwstr/>
      </vt:variant>
      <vt:variant>
        <vt:lpwstr>_ENREF_176</vt:lpwstr>
      </vt:variant>
      <vt:variant>
        <vt:i4>7864371</vt:i4>
      </vt:variant>
      <vt:variant>
        <vt:i4>5615</vt:i4>
      </vt:variant>
      <vt:variant>
        <vt:i4>0</vt:i4>
      </vt:variant>
      <vt:variant>
        <vt:i4>5</vt:i4>
      </vt:variant>
      <vt:variant>
        <vt:lpwstr/>
      </vt:variant>
      <vt:variant>
        <vt:lpwstr>_ENREF_188</vt:lpwstr>
      </vt:variant>
      <vt:variant>
        <vt:i4>7864371</vt:i4>
      </vt:variant>
      <vt:variant>
        <vt:i4>5609</vt:i4>
      </vt:variant>
      <vt:variant>
        <vt:i4>0</vt:i4>
      </vt:variant>
      <vt:variant>
        <vt:i4>5</vt:i4>
      </vt:variant>
      <vt:variant>
        <vt:lpwstr/>
      </vt:variant>
      <vt:variant>
        <vt:lpwstr>_ENREF_188</vt:lpwstr>
      </vt:variant>
      <vt:variant>
        <vt:i4>4521995</vt:i4>
      </vt:variant>
      <vt:variant>
        <vt:i4>5603</vt:i4>
      </vt:variant>
      <vt:variant>
        <vt:i4>0</vt:i4>
      </vt:variant>
      <vt:variant>
        <vt:i4>5</vt:i4>
      </vt:variant>
      <vt:variant>
        <vt:lpwstr/>
      </vt:variant>
      <vt:variant>
        <vt:lpwstr>_ENREF_47</vt:lpwstr>
      </vt:variant>
      <vt:variant>
        <vt:i4>7864371</vt:i4>
      </vt:variant>
      <vt:variant>
        <vt:i4>5597</vt:i4>
      </vt:variant>
      <vt:variant>
        <vt:i4>0</vt:i4>
      </vt:variant>
      <vt:variant>
        <vt:i4>5</vt:i4>
      </vt:variant>
      <vt:variant>
        <vt:lpwstr/>
      </vt:variant>
      <vt:variant>
        <vt:lpwstr>_ENREF_188</vt:lpwstr>
      </vt:variant>
      <vt:variant>
        <vt:i4>7602234</vt:i4>
      </vt:variant>
      <vt:variant>
        <vt:i4>5591</vt:i4>
      </vt:variant>
      <vt:variant>
        <vt:i4>0</vt:i4>
      </vt:variant>
      <vt:variant>
        <vt:i4>5</vt:i4>
      </vt:variant>
      <vt:variant>
        <vt:lpwstr/>
      </vt:variant>
      <vt:variant>
        <vt:lpwstr>_ENREF_217</vt:lpwstr>
      </vt:variant>
      <vt:variant>
        <vt:i4>7405630</vt:i4>
      </vt:variant>
      <vt:variant>
        <vt:i4>5585</vt:i4>
      </vt:variant>
      <vt:variant>
        <vt:i4>0</vt:i4>
      </vt:variant>
      <vt:variant>
        <vt:i4>5</vt:i4>
      </vt:variant>
      <vt:variant>
        <vt:lpwstr/>
      </vt:variant>
      <vt:variant>
        <vt:lpwstr>_ENREF_151</vt:lpwstr>
      </vt:variant>
      <vt:variant>
        <vt:i4>7405627</vt:i4>
      </vt:variant>
      <vt:variant>
        <vt:i4>5579</vt:i4>
      </vt:variant>
      <vt:variant>
        <vt:i4>0</vt:i4>
      </vt:variant>
      <vt:variant>
        <vt:i4>5</vt:i4>
      </vt:variant>
      <vt:variant>
        <vt:lpwstr/>
      </vt:variant>
      <vt:variant>
        <vt:lpwstr>_ENREF_101</vt:lpwstr>
      </vt:variant>
      <vt:variant>
        <vt:i4>4718603</vt:i4>
      </vt:variant>
      <vt:variant>
        <vt:i4>5573</vt:i4>
      </vt:variant>
      <vt:variant>
        <vt:i4>0</vt:i4>
      </vt:variant>
      <vt:variant>
        <vt:i4>5</vt:i4>
      </vt:variant>
      <vt:variant>
        <vt:lpwstr/>
      </vt:variant>
      <vt:variant>
        <vt:lpwstr>_ENREF_91</vt:lpwstr>
      </vt:variant>
      <vt:variant>
        <vt:i4>7733310</vt:i4>
      </vt:variant>
      <vt:variant>
        <vt:i4>5567</vt:i4>
      </vt:variant>
      <vt:variant>
        <vt:i4>0</vt:i4>
      </vt:variant>
      <vt:variant>
        <vt:i4>5</vt:i4>
      </vt:variant>
      <vt:variant>
        <vt:lpwstr/>
      </vt:variant>
      <vt:variant>
        <vt:lpwstr>_ENREF_255</vt:lpwstr>
      </vt:variant>
      <vt:variant>
        <vt:i4>4325387</vt:i4>
      </vt:variant>
      <vt:variant>
        <vt:i4>5561</vt:i4>
      </vt:variant>
      <vt:variant>
        <vt:i4>0</vt:i4>
      </vt:variant>
      <vt:variant>
        <vt:i4>5</vt:i4>
      </vt:variant>
      <vt:variant>
        <vt:lpwstr/>
      </vt:variant>
      <vt:variant>
        <vt:lpwstr>_ENREF_33</vt:lpwstr>
      </vt:variant>
      <vt:variant>
        <vt:i4>7602235</vt:i4>
      </vt:variant>
      <vt:variant>
        <vt:i4>5555</vt:i4>
      </vt:variant>
      <vt:variant>
        <vt:i4>0</vt:i4>
      </vt:variant>
      <vt:variant>
        <vt:i4>5</vt:i4>
      </vt:variant>
      <vt:variant>
        <vt:lpwstr/>
      </vt:variant>
      <vt:variant>
        <vt:lpwstr>_ENREF_104</vt:lpwstr>
      </vt:variant>
      <vt:variant>
        <vt:i4>7602235</vt:i4>
      </vt:variant>
      <vt:variant>
        <vt:i4>5549</vt:i4>
      </vt:variant>
      <vt:variant>
        <vt:i4>0</vt:i4>
      </vt:variant>
      <vt:variant>
        <vt:i4>5</vt:i4>
      </vt:variant>
      <vt:variant>
        <vt:lpwstr/>
      </vt:variant>
      <vt:variant>
        <vt:lpwstr>_ENREF_207</vt:lpwstr>
      </vt:variant>
      <vt:variant>
        <vt:i4>4325387</vt:i4>
      </vt:variant>
      <vt:variant>
        <vt:i4>5543</vt:i4>
      </vt:variant>
      <vt:variant>
        <vt:i4>0</vt:i4>
      </vt:variant>
      <vt:variant>
        <vt:i4>5</vt:i4>
      </vt:variant>
      <vt:variant>
        <vt:lpwstr/>
      </vt:variant>
      <vt:variant>
        <vt:lpwstr>_ENREF_32</vt:lpwstr>
      </vt:variant>
      <vt:variant>
        <vt:i4>4325387</vt:i4>
      </vt:variant>
      <vt:variant>
        <vt:i4>5534</vt:i4>
      </vt:variant>
      <vt:variant>
        <vt:i4>0</vt:i4>
      </vt:variant>
      <vt:variant>
        <vt:i4>5</vt:i4>
      </vt:variant>
      <vt:variant>
        <vt:lpwstr/>
      </vt:variant>
      <vt:variant>
        <vt:lpwstr>_ENREF_31</vt:lpwstr>
      </vt:variant>
      <vt:variant>
        <vt:i4>4653067</vt:i4>
      </vt:variant>
      <vt:variant>
        <vt:i4>5525</vt:i4>
      </vt:variant>
      <vt:variant>
        <vt:i4>0</vt:i4>
      </vt:variant>
      <vt:variant>
        <vt:i4>5</vt:i4>
      </vt:variant>
      <vt:variant>
        <vt:lpwstr/>
      </vt:variant>
      <vt:variant>
        <vt:lpwstr>_ENREF_66</vt:lpwstr>
      </vt:variant>
      <vt:variant>
        <vt:i4>4456459</vt:i4>
      </vt:variant>
      <vt:variant>
        <vt:i4>5504</vt:i4>
      </vt:variant>
      <vt:variant>
        <vt:i4>0</vt:i4>
      </vt:variant>
      <vt:variant>
        <vt:i4>5</vt:i4>
      </vt:variant>
      <vt:variant>
        <vt:lpwstr/>
      </vt:variant>
      <vt:variant>
        <vt:lpwstr>_ENREF_57</vt:lpwstr>
      </vt:variant>
      <vt:variant>
        <vt:i4>4325387</vt:i4>
      </vt:variant>
      <vt:variant>
        <vt:i4>5474</vt:i4>
      </vt:variant>
      <vt:variant>
        <vt:i4>0</vt:i4>
      </vt:variant>
      <vt:variant>
        <vt:i4>5</vt:i4>
      </vt:variant>
      <vt:variant>
        <vt:lpwstr/>
      </vt:variant>
      <vt:variant>
        <vt:lpwstr>_ENREF_39</vt:lpwstr>
      </vt:variant>
      <vt:variant>
        <vt:i4>7864382</vt:i4>
      </vt:variant>
      <vt:variant>
        <vt:i4>5462</vt:i4>
      </vt:variant>
      <vt:variant>
        <vt:i4>0</vt:i4>
      </vt:variant>
      <vt:variant>
        <vt:i4>5</vt:i4>
      </vt:variant>
      <vt:variant>
        <vt:lpwstr/>
      </vt:variant>
      <vt:variant>
        <vt:lpwstr>_ENREF_158</vt:lpwstr>
      </vt:variant>
      <vt:variant>
        <vt:i4>7667773</vt:i4>
      </vt:variant>
      <vt:variant>
        <vt:i4>5450</vt:i4>
      </vt:variant>
      <vt:variant>
        <vt:i4>0</vt:i4>
      </vt:variant>
      <vt:variant>
        <vt:i4>5</vt:i4>
      </vt:variant>
      <vt:variant>
        <vt:lpwstr/>
      </vt:variant>
      <vt:variant>
        <vt:lpwstr>_ENREF_165</vt:lpwstr>
      </vt:variant>
      <vt:variant>
        <vt:i4>7929914</vt:i4>
      </vt:variant>
      <vt:variant>
        <vt:i4>5389</vt:i4>
      </vt:variant>
      <vt:variant>
        <vt:i4>0</vt:i4>
      </vt:variant>
      <vt:variant>
        <vt:i4>5</vt:i4>
      </vt:variant>
      <vt:variant>
        <vt:lpwstr/>
      </vt:variant>
      <vt:variant>
        <vt:lpwstr>_ENREF_119</vt:lpwstr>
      </vt:variant>
      <vt:variant>
        <vt:i4>4325387</vt:i4>
      </vt:variant>
      <vt:variant>
        <vt:i4>5386</vt:i4>
      </vt:variant>
      <vt:variant>
        <vt:i4>0</vt:i4>
      </vt:variant>
      <vt:variant>
        <vt:i4>5</vt:i4>
      </vt:variant>
      <vt:variant>
        <vt:lpwstr/>
      </vt:variant>
      <vt:variant>
        <vt:lpwstr>_ENREF_3</vt:lpwstr>
      </vt:variant>
      <vt:variant>
        <vt:i4>4390923</vt:i4>
      </vt:variant>
      <vt:variant>
        <vt:i4>5340</vt:i4>
      </vt:variant>
      <vt:variant>
        <vt:i4>0</vt:i4>
      </vt:variant>
      <vt:variant>
        <vt:i4>5</vt:i4>
      </vt:variant>
      <vt:variant>
        <vt:lpwstr/>
      </vt:variant>
      <vt:variant>
        <vt:lpwstr>_ENREF_29</vt:lpwstr>
      </vt:variant>
      <vt:variant>
        <vt:i4>4390923</vt:i4>
      </vt:variant>
      <vt:variant>
        <vt:i4>5334</vt:i4>
      </vt:variant>
      <vt:variant>
        <vt:i4>0</vt:i4>
      </vt:variant>
      <vt:variant>
        <vt:i4>5</vt:i4>
      </vt:variant>
      <vt:variant>
        <vt:lpwstr/>
      </vt:variant>
      <vt:variant>
        <vt:lpwstr>_ENREF_29</vt:lpwstr>
      </vt:variant>
      <vt:variant>
        <vt:i4>4390923</vt:i4>
      </vt:variant>
      <vt:variant>
        <vt:i4>5328</vt:i4>
      </vt:variant>
      <vt:variant>
        <vt:i4>0</vt:i4>
      </vt:variant>
      <vt:variant>
        <vt:i4>5</vt:i4>
      </vt:variant>
      <vt:variant>
        <vt:lpwstr/>
      </vt:variant>
      <vt:variant>
        <vt:lpwstr>_ENREF_29</vt:lpwstr>
      </vt:variant>
      <vt:variant>
        <vt:i4>4390923</vt:i4>
      </vt:variant>
      <vt:variant>
        <vt:i4>5322</vt:i4>
      </vt:variant>
      <vt:variant>
        <vt:i4>0</vt:i4>
      </vt:variant>
      <vt:variant>
        <vt:i4>5</vt:i4>
      </vt:variant>
      <vt:variant>
        <vt:lpwstr/>
      </vt:variant>
      <vt:variant>
        <vt:lpwstr>_ENREF_29</vt:lpwstr>
      </vt:variant>
      <vt:variant>
        <vt:i4>4390923</vt:i4>
      </vt:variant>
      <vt:variant>
        <vt:i4>5316</vt:i4>
      </vt:variant>
      <vt:variant>
        <vt:i4>0</vt:i4>
      </vt:variant>
      <vt:variant>
        <vt:i4>5</vt:i4>
      </vt:variant>
      <vt:variant>
        <vt:lpwstr/>
      </vt:variant>
      <vt:variant>
        <vt:lpwstr>_ENREF_29</vt:lpwstr>
      </vt:variant>
      <vt:variant>
        <vt:i4>4521995</vt:i4>
      </vt:variant>
      <vt:variant>
        <vt:i4>5265</vt:i4>
      </vt:variant>
      <vt:variant>
        <vt:i4>0</vt:i4>
      </vt:variant>
      <vt:variant>
        <vt:i4>5</vt:i4>
      </vt:variant>
      <vt:variant>
        <vt:lpwstr/>
      </vt:variant>
      <vt:variant>
        <vt:lpwstr>_ENREF_48</vt:lpwstr>
      </vt:variant>
      <vt:variant>
        <vt:i4>4521995</vt:i4>
      </vt:variant>
      <vt:variant>
        <vt:i4>5259</vt:i4>
      </vt:variant>
      <vt:variant>
        <vt:i4>0</vt:i4>
      </vt:variant>
      <vt:variant>
        <vt:i4>5</vt:i4>
      </vt:variant>
      <vt:variant>
        <vt:lpwstr/>
      </vt:variant>
      <vt:variant>
        <vt:lpwstr>_ENREF_47</vt:lpwstr>
      </vt:variant>
      <vt:variant>
        <vt:i4>4521995</vt:i4>
      </vt:variant>
      <vt:variant>
        <vt:i4>5253</vt:i4>
      </vt:variant>
      <vt:variant>
        <vt:i4>0</vt:i4>
      </vt:variant>
      <vt:variant>
        <vt:i4>5</vt:i4>
      </vt:variant>
      <vt:variant>
        <vt:lpwstr/>
      </vt:variant>
      <vt:variant>
        <vt:lpwstr>_ENREF_47</vt:lpwstr>
      </vt:variant>
      <vt:variant>
        <vt:i4>7340082</vt:i4>
      </vt:variant>
      <vt:variant>
        <vt:i4>5247</vt:i4>
      </vt:variant>
      <vt:variant>
        <vt:i4>0</vt:i4>
      </vt:variant>
      <vt:variant>
        <vt:i4>5</vt:i4>
      </vt:variant>
      <vt:variant>
        <vt:lpwstr/>
      </vt:variant>
      <vt:variant>
        <vt:lpwstr>_ENREF_190</vt:lpwstr>
      </vt:variant>
      <vt:variant>
        <vt:i4>7602234</vt:i4>
      </vt:variant>
      <vt:variant>
        <vt:i4>5241</vt:i4>
      </vt:variant>
      <vt:variant>
        <vt:i4>0</vt:i4>
      </vt:variant>
      <vt:variant>
        <vt:i4>5</vt:i4>
      </vt:variant>
      <vt:variant>
        <vt:lpwstr/>
      </vt:variant>
      <vt:variant>
        <vt:lpwstr>_ENREF_217</vt:lpwstr>
      </vt:variant>
      <vt:variant>
        <vt:i4>4456459</vt:i4>
      </vt:variant>
      <vt:variant>
        <vt:i4>5235</vt:i4>
      </vt:variant>
      <vt:variant>
        <vt:i4>0</vt:i4>
      </vt:variant>
      <vt:variant>
        <vt:i4>5</vt:i4>
      </vt:variant>
      <vt:variant>
        <vt:lpwstr/>
      </vt:variant>
      <vt:variant>
        <vt:lpwstr>_ENREF_50</vt:lpwstr>
      </vt:variant>
      <vt:variant>
        <vt:i4>7471166</vt:i4>
      </vt:variant>
      <vt:variant>
        <vt:i4>5229</vt:i4>
      </vt:variant>
      <vt:variant>
        <vt:i4>0</vt:i4>
      </vt:variant>
      <vt:variant>
        <vt:i4>5</vt:i4>
      </vt:variant>
      <vt:variant>
        <vt:lpwstr/>
      </vt:variant>
      <vt:variant>
        <vt:lpwstr>_ENREF_152</vt:lpwstr>
      </vt:variant>
      <vt:variant>
        <vt:i4>4521995</vt:i4>
      </vt:variant>
      <vt:variant>
        <vt:i4>5223</vt:i4>
      </vt:variant>
      <vt:variant>
        <vt:i4>0</vt:i4>
      </vt:variant>
      <vt:variant>
        <vt:i4>5</vt:i4>
      </vt:variant>
      <vt:variant>
        <vt:lpwstr/>
      </vt:variant>
      <vt:variant>
        <vt:lpwstr>_ENREF_45</vt:lpwstr>
      </vt:variant>
      <vt:variant>
        <vt:i4>4653067</vt:i4>
      </vt:variant>
      <vt:variant>
        <vt:i4>5217</vt:i4>
      </vt:variant>
      <vt:variant>
        <vt:i4>0</vt:i4>
      </vt:variant>
      <vt:variant>
        <vt:i4>5</vt:i4>
      </vt:variant>
      <vt:variant>
        <vt:lpwstr/>
      </vt:variant>
      <vt:variant>
        <vt:lpwstr>_ENREF_67</vt:lpwstr>
      </vt:variant>
      <vt:variant>
        <vt:i4>4390923</vt:i4>
      </vt:variant>
      <vt:variant>
        <vt:i4>5205</vt:i4>
      </vt:variant>
      <vt:variant>
        <vt:i4>0</vt:i4>
      </vt:variant>
      <vt:variant>
        <vt:i4>5</vt:i4>
      </vt:variant>
      <vt:variant>
        <vt:lpwstr/>
      </vt:variant>
      <vt:variant>
        <vt:lpwstr>_ENREF_29</vt:lpwstr>
      </vt:variant>
      <vt:variant>
        <vt:i4>4456459</vt:i4>
      </vt:variant>
      <vt:variant>
        <vt:i4>5187</vt:i4>
      </vt:variant>
      <vt:variant>
        <vt:i4>0</vt:i4>
      </vt:variant>
      <vt:variant>
        <vt:i4>5</vt:i4>
      </vt:variant>
      <vt:variant>
        <vt:lpwstr/>
      </vt:variant>
      <vt:variant>
        <vt:lpwstr>_ENREF_57</vt:lpwstr>
      </vt:variant>
      <vt:variant>
        <vt:i4>4325387</vt:i4>
      </vt:variant>
      <vt:variant>
        <vt:i4>5157</vt:i4>
      </vt:variant>
      <vt:variant>
        <vt:i4>0</vt:i4>
      </vt:variant>
      <vt:variant>
        <vt:i4>5</vt:i4>
      </vt:variant>
      <vt:variant>
        <vt:lpwstr/>
      </vt:variant>
      <vt:variant>
        <vt:lpwstr>_ENREF_39</vt:lpwstr>
      </vt:variant>
      <vt:variant>
        <vt:i4>7667771</vt:i4>
      </vt:variant>
      <vt:variant>
        <vt:i4>5088</vt:i4>
      </vt:variant>
      <vt:variant>
        <vt:i4>0</vt:i4>
      </vt:variant>
      <vt:variant>
        <vt:i4>5</vt:i4>
      </vt:variant>
      <vt:variant>
        <vt:lpwstr/>
      </vt:variant>
      <vt:variant>
        <vt:lpwstr>_ENREF_105</vt:lpwstr>
      </vt:variant>
      <vt:variant>
        <vt:i4>7340090</vt:i4>
      </vt:variant>
      <vt:variant>
        <vt:i4>5084</vt:i4>
      </vt:variant>
      <vt:variant>
        <vt:i4>0</vt:i4>
      </vt:variant>
      <vt:variant>
        <vt:i4>5</vt:i4>
      </vt:variant>
      <vt:variant>
        <vt:lpwstr/>
      </vt:variant>
      <vt:variant>
        <vt:lpwstr>_ENREF_110</vt:lpwstr>
      </vt:variant>
      <vt:variant>
        <vt:i4>4718603</vt:i4>
      </vt:variant>
      <vt:variant>
        <vt:i4>5081</vt:i4>
      </vt:variant>
      <vt:variant>
        <vt:i4>0</vt:i4>
      </vt:variant>
      <vt:variant>
        <vt:i4>5</vt:i4>
      </vt:variant>
      <vt:variant>
        <vt:lpwstr/>
      </vt:variant>
      <vt:variant>
        <vt:lpwstr>_ENREF_93</vt:lpwstr>
      </vt:variant>
      <vt:variant>
        <vt:i4>4194315</vt:i4>
      </vt:variant>
      <vt:variant>
        <vt:i4>5078</vt:i4>
      </vt:variant>
      <vt:variant>
        <vt:i4>0</vt:i4>
      </vt:variant>
      <vt:variant>
        <vt:i4>5</vt:i4>
      </vt:variant>
      <vt:variant>
        <vt:lpwstr/>
      </vt:variant>
      <vt:variant>
        <vt:lpwstr>_ENREF_10</vt:lpwstr>
      </vt:variant>
      <vt:variant>
        <vt:i4>7929914</vt:i4>
      </vt:variant>
      <vt:variant>
        <vt:i4>5058</vt:i4>
      </vt:variant>
      <vt:variant>
        <vt:i4>0</vt:i4>
      </vt:variant>
      <vt:variant>
        <vt:i4>5</vt:i4>
      </vt:variant>
      <vt:variant>
        <vt:lpwstr/>
      </vt:variant>
      <vt:variant>
        <vt:lpwstr>_ENREF_119</vt:lpwstr>
      </vt:variant>
      <vt:variant>
        <vt:i4>4325387</vt:i4>
      </vt:variant>
      <vt:variant>
        <vt:i4>5055</vt:i4>
      </vt:variant>
      <vt:variant>
        <vt:i4>0</vt:i4>
      </vt:variant>
      <vt:variant>
        <vt:i4>5</vt:i4>
      </vt:variant>
      <vt:variant>
        <vt:lpwstr/>
      </vt:variant>
      <vt:variant>
        <vt:lpwstr>_ENREF_3</vt:lpwstr>
      </vt:variant>
      <vt:variant>
        <vt:i4>7798844</vt:i4>
      </vt:variant>
      <vt:variant>
        <vt:i4>4970</vt:i4>
      </vt:variant>
      <vt:variant>
        <vt:i4>0</vt:i4>
      </vt:variant>
      <vt:variant>
        <vt:i4>5</vt:i4>
      </vt:variant>
      <vt:variant>
        <vt:lpwstr/>
      </vt:variant>
      <vt:variant>
        <vt:lpwstr>_ENREF_177</vt:lpwstr>
      </vt:variant>
      <vt:variant>
        <vt:i4>4390923</vt:i4>
      </vt:variant>
      <vt:variant>
        <vt:i4>4949</vt:i4>
      </vt:variant>
      <vt:variant>
        <vt:i4>0</vt:i4>
      </vt:variant>
      <vt:variant>
        <vt:i4>5</vt:i4>
      </vt:variant>
      <vt:variant>
        <vt:lpwstr/>
      </vt:variant>
      <vt:variant>
        <vt:lpwstr>_ENREF_24</vt:lpwstr>
      </vt:variant>
      <vt:variant>
        <vt:i4>7929907</vt:i4>
      </vt:variant>
      <vt:variant>
        <vt:i4>4943</vt:i4>
      </vt:variant>
      <vt:variant>
        <vt:i4>0</vt:i4>
      </vt:variant>
      <vt:variant>
        <vt:i4>5</vt:i4>
      </vt:variant>
      <vt:variant>
        <vt:lpwstr/>
      </vt:variant>
      <vt:variant>
        <vt:lpwstr>_ENREF_189</vt:lpwstr>
      </vt:variant>
      <vt:variant>
        <vt:i4>7929907</vt:i4>
      </vt:variant>
      <vt:variant>
        <vt:i4>4937</vt:i4>
      </vt:variant>
      <vt:variant>
        <vt:i4>0</vt:i4>
      </vt:variant>
      <vt:variant>
        <vt:i4>5</vt:i4>
      </vt:variant>
      <vt:variant>
        <vt:lpwstr/>
      </vt:variant>
      <vt:variant>
        <vt:lpwstr>_ENREF_189</vt:lpwstr>
      </vt:variant>
      <vt:variant>
        <vt:i4>4521995</vt:i4>
      </vt:variant>
      <vt:variant>
        <vt:i4>4931</vt:i4>
      </vt:variant>
      <vt:variant>
        <vt:i4>0</vt:i4>
      </vt:variant>
      <vt:variant>
        <vt:i4>5</vt:i4>
      </vt:variant>
      <vt:variant>
        <vt:lpwstr/>
      </vt:variant>
      <vt:variant>
        <vt:lpwstr>_ENREF_40</vt:lpwstr>
      </vt:variant>
      <vt:variant>
        <vt:i4>7340082</vt:i4>
      </vt:variant>
      <vt:variant>
        <vt:i4>4925</vt:i4>
      </vt:variant>
      <vt:variant>
        <vt:i4>0</vt:i4>
      </vt:variant>
      <vt:variant>
        <vt:i4>5</vt:i4>
      </vt:variant>
      <vt:variant>
        <vt:lpwstr/>
      </vt:variant>
      <vt:variant>
        <vt:lpwstr>_ENREF_190</vt:lpwstr>
      </vt:variant>
      <vt:variant>
        <vt:i4>7536701</vt:i4>
      </vt:variant>
      <vt:variant>
        <vt:i4>4919</vt:i4>
      </vt:variant>
      <vt:variant>
        <vt:i4>0</vt:i4>
      </vt:variant>
      <vt:variant>
        <vt:i4>5</vt:i4>
      </vt:variant>
      <vt:variant>
        <vt:lpwstr/>
      </vt:variant>
      <vt:variant>
        <vt:lpwstr>_ENREF_163</vt:lpwstr>
      </vt:variant>
      <vt:variant>
        <vt:i4>4653067</vt:i4>
      </vt:variant>
      <vt:variant>
        <vt:i4>4910</vt:i4>
      </vt:variant>
      <vt:variant>
        <vt:i4>0</vt:i4>
      </vt:variant>
      <vt:variant>
        <vt:i4>5</vt:i4>
      </vt:variant>
      <vt:variant>
        <vt:lpwstr/>
      </vt:variant>
      <vt:variant>
        <vt:lpwstr>_ENREF_68</vt:lpwstr>
      </vt:variant>
      <vt:variant>
        <vt:i4>4653067</vt:i4>
      </vt:variant>
      <vt:variant>
        <vt:i4>4867</vt:i4>
      </vt:variant>
      <vt:variant>
        <vt:i4>0</vt:i4>
      </vt:variant>
      <vt:variant>
        <vt:i4>5</vt:i4>
      </vt:variant>
      <vt:variant>
        <vt:lpwstr/>
      </vt:variant>
      <vt:variant>
        <vt:lpwstr>_ENREF_64</vt:lpwstr>
      </vt:variant>
      <vt:variant>
        <vt:i4>4194315</vt:i4>
      </vt:variant>
      <vt:variant>
        <vt:i4>4864</vt:i4>
      </vt:variant>
      <vt:variant>
        <vt:i4>0</vt:i4>
      </vt:variant>
      <vt:variant>
        <vt:i4>5</vt:i4>
      </vt:variant>
      <vt:variant>
        <vt:lpwstr/>
      </vt:variant>
      <vt:variant>
        <vt:lpwstr>_ENREF_1</vt:lpwstr>
      </vt:variant>
      <vt:variant>
        <vt:i4>4325387</vt:i4>
      </vt:variant>
      <vt:variant>
        <vt:i4>4839</vt:i4>
      </vt:variant>
      <vt:variant>
        <vt:i4>0</vt:i4>
      </vt:variant>
      <vt:variant>
        <vt:i4>5</vt:i4>
      </vt:variant>
      <vt:variant>
        <vt:lpwstr/>
      </vt:variant>
      <vt:variant>
        <vt:lpwstr>_ENREF_39</vt:lpwstr>
      </vt:variant>
      <vt:variant>
        <vt:i4>4325387</vt:i4>
      </vt:variant>
      <vt:variant>
        <vt:i4>4830</vt:i4>
      </vt:variant>
      <vt:variant>
        <vt:i4>0</vt:i4>
      </vt:variant>
      <vt:variant>
        <vt:i4>5</vt:i4>
      </vt:variant>
      <vt:variant>
        <vt:lpwstr/>
      </vt:variant>
      <vt:variant>
        <vt:lpwstr>_ENREF_39</vt:lpwstr>
      </vt:variant>
      <vt:variant>
        <vt:i4>7929914</vt:i4>
      </vt:variant>
      <vt:variant>
        <vt:i4>4703</vt:i4>
      </vt:variant>
      <vt:variant>
        <vt:i4>0</vt:i4>
      </vt:variant>
      <vt:variant>
        <vt:i4>5</vt:i4>
      </vt:variant>
      <vt:variant>
        <vt:lpwstr/>
      </vt:variant>
      <vt:variant>
        <vt:lpwstr>_ENREF_119</vt:lpwstr>
      </vt:variant>
      <vt:variant>
        <vt:i4>4325387</vt:i4>
      </vt:variant>
      <vt:variant>
        <vt:i4>4700</vt:i4>
      </vt:variant>
      <vt:variant>
        <vt:i4>0</vt:i4>
      </vt:variant>
      <vt:variant>
        <vt:i4>5</vt:i4>
      </vt:variant>
      <vt:variant>
        <vt:lpwstr/>
      </vt:variant>
      <vt:variant>
        <vt:lpwstr>_ENREF_3</vt:lpwstr>
      </vt:variant>
      <vt:variant>
        <vt:i4>7798845</vt:i4>
      </vt:variant>
      <vt:variant>
        <vt:i4>4654</vt:i4>
      </vt:variant>
      <vt:variant>
        <vt:i4>0</vt:i4>
      </vt:variant>
      <vt:variant>
        <vt:i4>5</vt:i4>
      </vt:variant>
      <vt:variant>
        <vt:lpwstr/>
      </vt:variant>
      <vt:variant>
        <vt:lpwstr>_ENREF_167</vt:lpwstr>
      </vt:variant>
      <vt:variant>
        <vt:i4>7864381</vt:i4>
      </vt:variant>
      <vt:variant>
        <vt:i4>4648</vt:i4>
      </vt:variant>
      <vt:variant>
        <vt:i4>0</vt:i4>
      </vt:variant>
      <vt:variant>
        <vt:i4>5</vt:i4>
      </vt:variant>
      <vt:variant>
        <vt:lpwstr/>
      </vt:variant>
      <vt:variant>
        <vt:lpwstr>_ENREF_168</vt:lpwstr>
      </vt:variant>
      <vt:variant>
        <vt:i4>7864381</vt:i4>
      </vt:variant>
      <vt:variant>
        <vt:i4>4642</vt:i4>
      </vt:variant>
      <vt:variant>
        <vt:i4>0</vt:i4>
      </vt:variant>
      <vt:variant>
        <vt:i4>5</vt:i4>
      </vt:variant>
      <vt:variant>
        <vt:lpwstr/>
      </vt:variant>
      <vt:variant>
        <vt:lpwstr>_ENREF_168</vt:lpwstr>
      </vt:variant>
      <vt:variant>
        <vt:i4>7864381</vt:i4>
      </vt:variant>
      <vt:variant>
        <vt:i4>4636</vt:i4>
      </vt:variant>
      <vt:variant>
        <vt:i4>0</vt:i4>
      </vt:variant>
      <vt:variant>
        <vt:i4>5</vt:i4>
      </vt:variant>
      <vt:variant>
        <vt:lpwstr/>
      </vt:variant>
      <vt:variant>
        <vt:lpwstr>_ENREF_168</vt:lpwstr>
      </vt:variant>
      <vt:variant>
        <vt:i4>4456459</vt:i4>
      </vt:variant>
      <vt:variant>
        <vt:i4>4632</vt:i4>
      </vt:variant>
      <vt:variant>
        <vt:i4>0</vt:i4>
      </vt:variant>
      <vt:variant>
        <vt:i4>5</vt:i4>
      </vt:variant>
      <vt:variant>
        <vt:lpwstr/>
      </vt:variant>
      <vt:variant>
        <vt:lpwstr>_ENREF_53</vt:lpwstr>
      </vt:variant>
      <vt:variant>
        <vt:i4>4521995</vt:i4>
      </vt:variant>
      <vt:variant>
        <vt:i4>4629</vt:i4>
      </vt:variant>
      <vt:variant>
        <vt:i4>0</vt:i4>
      </vt:variant>
      <vt:variant>
        <vt:i4>5</vt:i4>
      </vt:variant>
      <vt:variant>
        <vt:lpwstr/>
      </vt:variant>
      <vt:variant>
        <vt:lpwstr>_ENREF_49</vt:lpwstr>
      </vt:variant>
      <vt:variant>
        <vt:i4>4587531</vt:i4>
      </vt:variant>
      <vt:variant>
        <vt:i4>4621</vt:i4>
      </vt:variant>
      <vt:variant>
        <vt:i4>0</vt:i4>
      </vt:variant>
      <vt:variant>
        <vt:i4>5</vt:i4>
      </vt:variant>
      <vt:variant>
        <vt:lpwstr/>
      </vt:variant>
      <vt:variant>
        <vt:lpwstr>_ENREF_79</vt:lpwstr>
      </vt:variant>
      <vt:variant>
        <vt:i4>4587531</vt:i4>
      </vt:variant>
      <vt:variant>
        <vt:i4>4615</vt:i4>
      </vt:variant>
      <vt:variant>
        <vt:i4>0</vt:i4>
      </vt:variant>
      <vt:variant>
        <vt:i4>5</vt:i4>
      </vt:variant>
      <vt:variant>
        <vt:lpwstr/>
      </vt:variant>
      <vt:variant>
        <vt:lpwstr>_ENREF_79</vt:lpwstr>
      </vt:variant>
      <vt:variant>
        <vt:i4>4587531</vt:i4>
      </vt:variant>
      <vt:variant>
        <vt:i4>4609</vt:i4>
      </vt:variant>
      <vt:variant>
        <vt:i4>0</vt:i4>
      </vt:variant>
      <vt:variant>
        <vt:i4>5</vt:i4>
      </vt:variant>
      <vt:variant>
        <vt:lpwstr/>
      </vt:variant>
      <vt:variant>
        <vt:lpwstr>_ENREF_79</vt:lpwstr>
      </vt:variant>
      <vt:variant>
        <vt:i4>7798844</vt:i4>
      </vt:variant>
      <vt:variant>
        <vt:i4>4573</vt:i4>
      </vt:variant>
      <vt:variant>
        <vt:i4>0</vt:i4>
      </vt:variant>
      <vt:variant>
        <vt:i4>5</vt:i4>
      </vt:variant>
      <vt:variant>
        <vt:lpwstr/>
      </vt:variant>
      <vt:variant>
        <vt:lpwstr>_ENREF_177</vt:lpwstr>
      </vt:variant>
      <vt:variant>
        <vt:i4>7667762</vt:i4>
      </vt:variant>
      <vt:variant>
        <vt:i4>4558</vt:i4>
      </vt:variant>
      <vt:variant>
        <vt:i4>0</vt:i4>
      </vt:variant>
      <vt:variant>
        <vt:i4>5</vt:i4>
      </vt:variant>
      <vt:variant>
        <vt:lpwstr/>
      </vt:variant>
      <vt:variant>
        <vt:lpwstr>_ENREF_195</vt:lpwstr>
      </vt:variant>
      <vt:variant>
        <vt:i4>7340090</vt:i4>
      </vt:variant>
      <vt:variant>
        <vt:i4>4552</vt:i4>
      </vt:variant>
      <vt:variant>
        <vt:i4>0</vt:i4>
      </vt:variant>
      <vt:variant>
        <vt:i4>5</vt:i4>
      </vt:variant>
      <vt:variant>
        <vt:lpwstr/>
      </vt:variant>
      <vt:variant>
        <vt:lpwstr>_ENREF_110</vt:lpwstr>
      </vt:variant>
      <vt:variant>
        <vt:i4>7798840</vt:i4>
      </vt:variant>
      <vt:variant>
        <vt:i4>4546</vt:i4>
      </vt:variant>
      <vt:variant>
        <vt:i4>0</vt:i4>
      </vt:variant>
      <vt:variant>
        <vt:i4>5</vt:i4>
      </vt:variant>
      <vt:variant>
        <vt:lpwstr/>
      </vt:variant>
      <vt:variant>
        <vt:lpwstr>_ENREF_234</vt:lpwstr>
      </vt:variant>
      <vt:variant>
        <vt:i4>7602232</vt:i4>
      </vt:variant>
      <vt:variant>
        <vt:i4>4534</vt:i4>
      </vt:variant>
      <vt:variant>
        <vt:i4>0</vt:i4>
      </vt:variant>
      <vt:variant>
        <vt:i4>5</vt:i4>
      </vt:variant>
      <vt:variant>
        <vt:lpwstr/>
      </vt:variant>
      <vt:variant>
        <vt:lpwstr>_ENREF_237</vt:lpwstr>
      </vt:variant>
      <vt:variant>
        <vt:i4>7602233</vt:i4>
      </vt:variant>
      <vt:variant>
        <vt:i4>4525</vt:i4>
      </vt:variant>
      <vt:variant>
        <vt:i4>0</vt:i4>
      </vt:variant>
      <vt:variant>
        <vt:i4>5</vt:i4>
      </vt:variant>
      <vt:variant>
        <vt:lpwstr/>
      </vt:variant>
      <vt:variant>
        <vt:lpwstr>_ENREF_124</vt:lpwstr>
      </vt:variant>
      <vt:variant>
        <vt:i4>8060985</vt:i4>
      </vt:variant>
      <vt:variant>
        <vt:i4>4519</vt:i4>
      </vt:variant>
      <vt:variant>
        <vt:i4>0</vt:i4>
      </vt:variant>
      <vt:variant>
        <vt:i4>5</vt:i4>
      </vt:variant>
      <vt:variant>
        <vt:lpwstr/>
      </vt:variant>
      <vt:variant>
        <vt:lpwstr>_ENREF_228</vt:lpwstr>
      </vt:variant>
      <vt:variant>
        <vt:i4>4521995</vt:i4>
      </vt:variant>
      <vt:variant>
        <vt:i4>4513</vt:i4>
      </vt:variant>
      <vt:variant>
        <vt:i4>0</vt:i4>
      </vt:variant>
      <vt:variant>
        <vt:i4>5</vt:i4>
      </vt:variant>
      <vt:variant>
        <vt:lpwstr/>
      </vt:variant>
      <vt:variant>
        <vt:lpwstr>_ENREF_47</vt:lpwstr>
      </vt:variant>
      <vt:variant>
        <vt:i4>4521995</vt:i4>
      </vt:variant>
      <vt:variant>
        <vt:i4>4507</vt:i4>
      </vt:variant>
      <vt:variant>
        <vt:i4>0</vt:i4>
      </vt:variant>
      <vt:variant>
        <vt:i4>5</vt:i4>
      </vt:variant>
      <vt:variant>
        <vt:lpwstr/>
      </vt:variant>
      <vt:variant>
        <vt:lpwstr>_ENREF_46</vt:lpwstr>
      </vt:variant>
      <vt:variant>
        <vt:i4>7929919</vt:i4>
      </vt:variant>
      <vt:variant>
        <vt:i4>4501</vt:i4>
      </vt:variant>
      <vt:variant>
        <vt:i4>0</vt:i4>
      </vt:variant>
      <vt:variant>
        <vt:i4>5</vt:i4>
      </vt:variant>
      <vt:variant>
        <vt:lpwstr/>
      </vt:variant>
      <vt:variant>
        <vt:lpwstr>_ENREF_149</vt:lpwstr>
      </vt:variant>
      <vt:variant>
        <vt:i4>7733310</vt:i4>
      </vt:variant>
      <vt:variant>
        <vt:i4>4495</vt:i4>
      </vt:variant>
      <vt:variant>
        <vt:i4>0</vt:i4>
      </vt:variant>
      <vt:variant>
        <vt:i4>5</vt:i4>
      </vt:variant>
      <vt:variant>
        <vt:lpwstr/>
      </vt:variant>
      <vt:variant>
        <vt:lpwstr>_ENREF_156</vt:lpwstr>
      </vt:variant>
      <vt:variant>
        <vt:i4>4521995</vt:i4>
      </vt:variant>
      <vt:variant>
        <vt:i4>4489</vt:i4>
      </vt:variant>
      <vt:variant>
        <vt:i4>0</vt:i4>
      </vt:variant>
      <vt:variant>
        <vt:i4>5</vt:i4>
      </vt:variant>
      <vt:variant>
        <vt:lpwstr/>
      </vt:variant>
      <vt:variant>
        <vt:lpwstr>_ENREF_47</vt:lpwstr>
      </vt:variant>
      <vt:variant>
        <vt:i4>7340082</vt:i4>
      </vt:variant>
      <vt:variant>
        <vt:i4>4483</vt:i4>
      </vt:variant>
      <vt:variant>
        <vt:i4>0</vt:i4>
      </vt:variant>
      <vt:variant>
        <vt:i4>5</vt:i4>
      </vt:variant>
      <vt:variant>
        <vt:lpwstr/>
      </vt:variant>
      <vt:variant>
        <vt:lpwstr>_ENREF_190</vt:lpwstr>
      </vt:variant>
      <vt:variant>
        <vt:i4>8060985</vt:i4>
      </vt:variant>
      <vt:variant>
        <vt:i4>4474</vt:i4>
      </vt:variant>
      <vt:variant>
        <vt:i4>0</vt:i4>
      </vt:variant>
      <vt:variant>
        <vt:i4>5</vt:i4>
      </vt:variant>
      <vt:variant>
        <vt:lpwstr/>
      </vt:variant>
      <vt:variant>
        <vt:lpwstr>_ENREF_228</vt:lpwstr>
      </vt:variant>
      <vt:variant>
        <vt:i4>4653067</vt:i4>
      </vt:variant>
      <vt:variant>
        <vt:i4>4468</vt:i4>
      </vt:variant>
      <vt:variant>
        <vt:i4>0</vt:i4>
      </vt:variant>
      <vt:variant>
        <vt:i4>5</vt:i4>
      </vt:variant>
      <vt:variant>
        <vt:lpwstr/>
      </vt:variant>
      <vt:variant>
        <vt:lpwstr>_ENREF_65</vt:lpwstr>
      </vt:variant>
      <vt:variant>
        <vt:i4>4587531</vt:i4>
      </vt:variant>
      <vt:variant>
        <vt:i4>4456</vt:i4>
      </vt:variant>
      <vt:variant>
        <vt:i4>0</vt:i4>
      </vt:variant>
      <vt:variant>
        <vt:i4>5</vt:i4>
      </vt:variant>
      <vt:variant>
        <vt:lpwstr/>
      </vt:variant>
      <vt:variant>
        <vt:lpwstr>_ENREF_79</vt:lpwstr>
      </vt:variant>
      <vt:variant>
        <vt:i4>4718603</vt:i4>
      </vt:variant>
      <vt:variant>
        <vt:i4>4441</vt:i4>
      </vt:variant>
      <vt:variant>
        <vt:i4>0</vt:i4>
      </vt:variant>
      <vt:variant>
        <vt:i4>5</vt:i4>
      </vt:variant>
      <vt:variant>
        <vt:lpwstr/>
      </vt:variant>
      <vt:variant>
        <vt:lpwstr>_ENREF_92</vt:lpwstr>
      </vt:variant>
      <vt:variant>
        <vt:i4>7536698</vt:i4>
      </vt:variant>
      <vt:variant>
        <vt:i4>4435</vt:i4>
      </vt:variant>
      <vt:variant>
        <vt:i4>0</vt:i4>
      </vt:variant>
      <vt:variant>
        <vt:i4>5</vt:i4>
      </vt:variant>
      <vt:variant>
        <vt:lpwstr/>
      </vt:variant>
      <vt:variant>
        <vt:lpwstr>_ENREF_113</vt:lpwstr>
      </vt:variant>
      <vt:variant>
        <vt:i4>4325387</vt:i4>
      </vt:variant>
      <vt:variant>
        <vt:i4>4351</vt:i4>
      </vt:variant>
      <vt:variant>
        <vt:i4>0</vt:i4>
      </vt:variant>
      <vt:variant>
        <vt:i4>5</vt:i4>
      </vt:variant>
      <vt:variant>
        <vt:lpwstr/>
      </vt:variant>
      <vt:variant>
        <vt:lpwstr>_ENREF_39</vt:lpwstr>
      </vt:variant>
      <vt:variant>
        <vt:i4>4325387</vt:i4>
      </vt:variant>
      <vt:variant>
        <vt:i4>4342</vt:i4>
      </vt:variant>
      <vt:variant>
        <vt:i4>0</vt:i4>
      </vt:variant>
      <vt:variant>
        <vt:i4>5</vt:i4>
      </vt:variant>
      <vt:variant>
        <vt:lpwstr/>
      </vt:variant>
      <vt:variant>
        <vt:lpwstr>_ENREF_39</vt:lpwstr>
      </vt:variant>
      <vt:variant>
        <vt:i4>7667771</vt:i4>
      </vt:variant>
      <vt:variant>
        <vt:i4>4252</vt:i4>
      </vt:variant>
      <vt:variant>
        <vt:i4>0</vt:i4>
      </vt:variant>
      <vt:variant>
        <vt:i4>5</vt:i4>
      </vt:variant>
      <vt:variant>
        <vt:lpwstr/>
      </vt:variant>
      <vt:variant>
        <vt:lpwstr>_ENREF_105</vt:lpwstr>
      </vt:variant>
      <vt:variant>
        <vt:i4>7340090</vt:i4>
      </vt:variant>
      <vt:variant>
        <vt:i4>4248</vt:i4>
      </vt:variant>
      <vt:variant>
        <vt:i4>0</vt:i4>
      </vt:variant>
      <vt:variant>
        <vt:i4>5</vt:i4>
      </vt:variant>
      <vt:variant>
        <vt:lpwstr/>
      </vt:variant>
      <vt:variant>
        <vt:lpwstr>_ENREF_110</vt:lpwstr>
      </vt:variant>
      <vt:variant>
        <vt:i4>4718603</vt:i4>
      </vt:variant>
      <vt:variant>
        <vt:i4>4245</vt:i4>
      </vt:variant>
      <vt:variant>
        <vt:i4>0</vt:i4>
      </vt:variant>
      <vt:variant>
        <vt:i4>5</vt:i4>
      </vt:variant>
      <vt:variant>
        <vt:lpwstr/>
      </vt:variant>
      <vt:variant>
        <vt:lpwstr>_ENREF_93</vt:lpwstr>
      </vt:variant>
      <vt:variant>
        <vt:i4>4194315</vt:i4>
      </vt:variant>
      <vt:variant>
        <vt:i4>4242</vt:i4>
      </vt:variant>
      <vt:variant>
        <vt:i4>0</vt:i4>
      </vt:variant>
      <vt:variant>
        <vt:i4>5</vt:i4>
      </vt:variant>
      <vt:variant>
        <vt:lpwstr/>
      </vt:variant>
      <vt:variant>
        <vt:lpwstr>_ENREF_10</vt:lpwstr>
      </vt:variant>
      <vt:variant>
        <vt:i4>7929914</vt:i4>
      </vt:variant>
      <vt:variant>
        <vt:i4>4216</vt:i4>
      </vt:variant>
      <vt:variant>
        <vt:i4>0</vt:i4>
      </vt:variant>
      <vt:variant>
        <vt:i4>5</vt:i4>
      </vt:variant>
      <vt:variant>
        <vt:lpwstr/>
      </vt:variant>
      <vt:variant>
        <vt:lpwstr>_ENREF_119</vt:lpwstr>
      </vt:variant>
      <vt:variant>
        <vt:i4>4325387</vt:i4>
      </vt:variant>
      <vt:variant>
        <vt:i4>4213</vt:i4>
      </vt:variant>
      <vt:variant>
        <vt:i4>0</vt:i4>
      </vt:variant>
      <vt:variant>
        <vt:i4>5</vt:i4>
      </vt:variant>
      <vt:variant>
        <vt:lpwstr/>
      </vt:variant>
      <vt:variant>
        <vt:lpwstr>_ENREF_3</vt:lpwstr>
      </vt:variant>
      <vt:variant>
        <vt:i4>7733309</vt:i4>
      </vt:variant>
      <vt:variant>
        <vt:i4>4155</vt:i4>
      </vt:variant>
      <vt:variant>
        <vt:i4>0</vt:i4>
      </vt:variant>
      <vt:variant>
        <vt:i4>5</vt:i4>
      </vt:variant>
      <vt:variant>
        <vt:lpwstr/>
      </vt:variant>
      <vt:variant>
        <vt:lpwstr>_ENREF_265</vt:lpwstr>
      </vt:variant>
      <vt:variant>
        <vt:i4>7733309</vt:i4>
      </vt:variant>
      <vt:variant>
        <vt:i4>4149</vt:i4>
      </vt:variant>
      <vt:variant>
        <vt:i4>0</vt:i4>
      </vt:variant>
      <vt:variant>
        <vt:i4>5</vt:i4>
      </vt:variant>
      <vt:variant>
        <vt:lpwstr/>
      </vt:variant>
      <vt:variant>
        <vt:lpwstr>_ENREF_265</vt:lpwstr>
      </vt:variant>
      <vt:variant>
        <vt:i4>7864376</vt:i4>
      </vt:variant>
      <vt:variant>
        <vt:i4>4143</vt:i4>
      </vt:variant>
      <vt:variant>
        <vt:i4>0</vt:i4>
      </vt:variant>
      <vt:variant>
        <vt:i4>5</vt:i4>
      </vt:variant>
      <vt:variant>
        <vt:lpwstr/>
      </vt:variant>
      <vt:variant>
        <vt:lpwstr>_ENREF_138</vt:lpwstr>
      </vt:variant>
      <vt:variant>
        <vt:i4>7864376</vt:i4>
      </vt:variant>
      <vt:variant>
        <vt:i4>4137</vt:i4>
      </vt:variant>
      <vt:variant>
        <vt:i4>0</vt:i4>
      </vt:variant>
      <vt:variant>
        <vt:i4>5</vt:i4>
      </vt:variant>
      <vt:variant>
        <vt:lpwstr/>
      </vt:variant>
      <vt:variant>
        <vt:lpwstr>_ENREF_138</vt:lpwstr>
      </vt:variant>
      <vt:variant>
        <vt:i4>7733309</vt:i4>
      </vt:variant>
      <vt:variant>
        <vt:i4>4133</vt:i4>
      </vt:variant>
      <vt:variant>
        <vt:i4>0</vt:i4>
      </vt:variant>
      <vt:variant>
        <vt:i4>5</vt:i4>
      </vt:variant>
      <vt:variant>
        <vt:lpwstr/>
      </vt:variant>
      <vt:variant>
        <vt:lpwstr>_ENREF_265</vt:lpwstr>
      </vt:variant>
      <vt:variant>
        <vt:i4>7864376</vt:i4>
      </vt:variant>
      <vt:variant>
        <vt:i4>4130</vt:i4>
      </vt:variant>
      <vt:variant>
        <vt:i4>0</vt:i4>
      </vt:variant>
      <vt:variant>
        <vt:i4>5</vt:i4>
      </vt:variant>
      <vt:variant>
        <vt:lpwstr/>
      </vt:variant>
      <vt:variant>
        <vt:lpwstr>_ENREF_138</vt:lpwstr>
      </vt:variant>
      <vt:variant>
        <vt:i4>7602239</vt:i4>
      </vt:variant>
      <vt:variant>
        <vt:i4>4071</vt:i4>
      </vt:variant>
      <vt:variant>
        <vt:i4>0</vt:i4>
      </vt:variant>
      <vt:variant>
        <vt:i4>5</vt:i4>
      </vt:variant>
      <vt:variant>
        <vt:lpwstr/>
      </vt:variant>
      <vt:variant>
        <vt:lpwstr>_ENREF_247</vt:lpwstr>
      </vt:variant>
      <vt:variant>
        <vt:i4>7340091</vt:i4>
      </vt:variant>
      <vt:variant>
        <vt:i4>4067</vt:i4>
      </vt:variant>
      <vt:variant>
        <vt:i4>0</vt:i4>
      </vt:variant>
      <vt:variant>
        <vt:i4>5</vt:i4>
      </vt:variant>
      <vt:variant>
        <vt:lpwstr/>
      </vt:variant>
      <vt:variant>
        <vt:lpwstr>_ENREF_100</vt:lpwstr>
      </vt:variant>
      <vt:variant>
        <vt:i4>7929915</vt:i4>
      </vt:variant>
      <vt:variant>
        <vt:i4>4064</vt:i4>
      </vt:variant>
      <vt:variant>
        <vt:i4>0</vt:i4>
      </vt:variant>
      <vt:variant>
        <vt:i4>5</vt:i4>
      </vt:variant>
      <vt:variant>
        <vt:lpwstr/>
      </vt:variant>
      <vt:variant>
        <vt:lpwstr>_ENREF_109</vt:lpwstr>
      </vt:variant>
      <vt:variant>
        <vt:i4>7798840</vt:i4>
      </vt:variant>
      <vt:variant>
        <vt:i4>4061</vt:i4>
      </vt:variant>
      <vt:variant>
        <vt:i4>0</vt:i4>
      </vt:variant>
      <vt:variant>
        <vt:i4>5</vt:i4>
      </vt:variant>
      <vt:variant>
        <vt:lpwstr/>
      </vt:variant>
      <vt:variant>
        <vt:lpwstr>_ENREF_234</vt:lpwstr>
      </vt:variant>
      <vt:variant>
        <vt:i4>7733310</vt:i4>
      </vt:variant>
      <vt:variant>
        <vt:i4>4033</vt:i4>
      </vt:variant>
      <vt:variant>
        <vt:i4>0</vt:i4>
      </vt:variant>
      <vt:variant>
        <vt:i4>5</vt:i4>
      </vt:variant>
      <vt:variant>
        <vt:lpwstr/>
      </vt:variant>
      <vt:variant>
        <vt:lpwstr>_ENREF_156</vt:lpwstr>
      </vt:variant>
      <vt:variant>
        <vt:i4>4521995</vt:i4>
      </vt:variant>
      <vt:variant>
        <vt:i4>4027</vt:i4>
      </vt:variant>
      <vt:variant>
        <vt:i4>0</vt:i4>
      </vt:variant>
      <vt:variant>
        <vt:i4>5</vt:i4>
      </vt:variant>
      <vt:variant>
        <vt:lpwstr/>
      </vt:variant>
      <vt:variant>
        <vt:lpwstr>_ENREF_47</vt:lpwstr>
      </vt:variant>
      <vt:variant>
        <vt:i4>7340082</vt:i4>
      </vt:variant>
      <vt:variant>
        <vt:i4>4021</vt:i4>
      </vt:variant>
      <vt:variant>
        <vt:i4>0</vt:i4>
      </vt:variant>
      <vt:variant>
        <vt:i4>5</vt:i4>
      </vt:variant>
      <vt:variant>
        <vt:lpwstr/>
      </vt:variant>
      <vt:variant>
        <vt:lpwstr>_ENREF_190</vt:lpwstr>
      </vt:variant>
      <vt:variant>
        <vt:i4>4653067</vt:i4>
      </vt:variant>
      <vt:variant>
        <vt:i4>4015</vt:i4>
      </vt:variant>
      <vt:variant>
        <vt:i4>0</vt:i4>
      </vt:variant>
      <vt:variant>
        <vt:i4>5</vt:i4>
      </vt:variant>
      <vt:variant>
        <vt:lpwstr/>
      </vt:variant>
      <vt:variant>
        <vt:lpwstr>_ENREF_69</vt:lpwstr>
      </vt:variant>
      <vt:variant>
        <vt:i4>7667772</vt:i4>
      </vt:variant>
      <vt:variant>
        <vt:i4>3985</vt:i4>
      </vt:variant>
      <vt:variant>
        <vt:i4>0</vt:i4>
      </vt:variant>
      <vt:variant>
        <vt:i4>5</vt:i4>
      </vt:variant>
      <vt:variant>
        <vt:lpwstr/>
      </vt:variant>
      <vt:variant>
        <vt:lpwstr>_ENREF_175</vt:lpwstr>
      </vt:variant>
      <vt:variant>
        <vt:i4>7667772</vt:i4>
      </vt:variant>
      <vt:variant>
        <vt:i4>3979</vt:i4>
      </vt:variant>
      <vt:variant>
        <vt:i4>0</vt:i4>
      </vt:variant>
      <vt:variant>
        <vt:i4>5</vt:i4>
      </vt:variant>
      <vt:variant>
        <vt:lpwstr/>
      </vt:variant>
      <vt:variant>
        <vt:lpwstr>_ENREF_175</vt:lpwstr>
      </vt:variant>
      <vt:variant>
        <vt:i4>4325387</vt:i4>
      </vt:variant>
      <vt:variant>
        <vt:i4>3961</vt:i4>
      </vt:variant>
      <vt:variant>
        <vt:i4>0</vt:i4>
      </vt:variant>
      <vt:variant>
        <vt:i4>5</vt:i4>
      </vt:variant>
      <vt:variant>
        <vt:lpwstr/>
      </vt:variant>
      <vt:variant>
        <vt:lpwstr>_ENREF_39</vt:lpwstr>
      </vt:variant>
      <vt:variant>
        <vt:i4>7667771</vt:i4>
      </vt:variant>
      <vt:variant>
        <vt:i4>3895</vt:i4>
      </vt:variant>
      <vt:variant>
        <vt:i4>0</vt:i4>
      </vt:variant>
      <vt:variant>
        <vt:i4>5</vt:i4>
      </vt:variant>
      <vt:variant>
        <vt:lpwstr/>
      </vt:variant>
      <vt:variant>
        <vt:lpwstr>_ENREF_105</vt:lpwstr>
      </vt:variant>
      <vt:variant>
        <vt:i4>7340090</vt:i4>
      </vt:variant>
      <vt:variant>
        <vt:i4>3891</vt:i4>
      </vt:variant>
      <vt:variant>
        <vt:i4>0</vt:i4>
      </vt:variant>
      <vt:variant>
        <vt:i4>5</vt:i4>
      </vt:variant>
      <vt:variant>
        <vt:lpwstr/>
      </vt:variant>
      <vt:variant>
        <vt:lpwstr>_ENREF_110</vt:lpwstr>
      </vt:variant>
      <vt:variant>
        <vt:i4>4718603</vt:i4>
      </vt:variant>
      <vt:variant>
        <vt:i4>3888</vt:i4>
      </vt:variant>
      <vt:variant>
        <vt:i4>0</vt:i4>
      </vt:variant>
      <vt:variant>
        <vt:i4>5</vt:i4>
      </vt:variant>
      <vt:variant>
        <vt:lpwstr/>
      </vt:variant>
      <vt:variant>
        <vt:lpwstr>_ENREF_93</vt:lpwstr>
      </vt:variant>
      <vt:variant>
        <vt:i4>4194315</vt:i4>
      </vt:variant>
      <vt:variant>
        <vt:i4>3885</vt:i4>
      </vt:variant>
      <vt:variant>
        <vt:i4>0</vt:i4>
      </vt:variant>
      <vt:variant>
        <vt:i4>5</vt:i4>
      </vt:variant>
      <vt:variant>
        <vt:lpwstr/>
      </vt:variant>
      <vt:variant>
        <vt:lpwstr>_ENREF_10</vt:lpwstr>
      </vt:variant>
      <vt:variant>
        <vt:i4>4325387</vt:i4>
      </vt:variant>
      <vt:variant>
        <vt:i4>3851</vt:i4>
      </vt:variant>
      <vt:variant>
        <vt:i4>0</vt:i4>
      </vt:variant>
      <vt:variant>
        <vt:i4>5</vt:i4>
      </vt:variant>
      <vt:variant>
        <vt:lpwstr/>
      </vt:variant>
      <vt:variant>
        <vt:lpwstr>_ENREF_3</vt:lpwstr>
      </vt:variant>
      <vt:variant>
        <vt:i4>7929916</vt:i4>
      </vt:variant>
      <vt:variant>
        <vt:i4>3764</vt:i4>
      </vt:variant>
      <vt:variant>
        <vt:i4>0</vt:i4>
      </vt:variant>
      <vt:variant>
        <vt:i4>5</vt:i4>
      </vt:variant>
      <vt:variant>
        <vt:lpwstr/>
      </vt:variant>
      <vt:variant>
        <vt:lpwstr>_ENREF_179</vt:lpwstr>
      </vt:variant>
      <vt:variant>
        <vt:i4>4587531</vt:i4>
      </vt:variant>
      <vt:variant>
        <vt:i4>3746</vt:i4>
      </vt:variant>
      <vt:variant>
        <vt:i4>0</vt:i4>
      </vt:variant>
      <vt:variant>
        <vt:i4>5</vt:i4>
      </vt:variant>
      <vt:variant>
        <vt:lpwstr/>
      </vt:variant>
      <vt:variant>
        <vt:lpwstr>_ENREF_77</vt:lpwstr>
      </vt:variant>
      <vt:variant>
        <vt:i4>7536697</vt:i4>
      </vt:variant>
      <vt:variant>
        <vt:i4>3740</vt:i4>
      </vt:variant>
      <vt:variant>
        <vt:i4>0</vt:i4>
      </vt:variant>
      <vt:variant>
        <vt:i4>5</vt:i4>
      </vt:variant>
      <vt:variant>
        <vt:lpwstr/>
      </vt:variant>
      <vt:variant>
        <vt:lpwstr>_ENREF_220</vt:lpwstr>
      </vt:variant>
      <vt:variant>
        <vt:i4>7536697</vt:i4>
      </vt:variant>
      <vt:variant>
        <vt:i4>3734</vt:i4>
      </vt:variant>
      <vt:variant>
        <vt:i4>0</vt:i4>
      </vt:variant>
      <vt:variant>
        <vt:i4>5</vt:i4>
      </vt:variant>
      <vt:variant>
        <vt:lpwstr/>
      </vt:variant>
      <vt:variant>
        <vt:lpwstr>_ENREF_220</vt:lpwstr>
      </vt:variant>
      <vt:variant>
        <vt:i4>7405624</vt:i4>
      </vt:variant>
      <vt:variant>
        <vt:i4>3716</vt:i4>
      </vt:variant>
      <vt:variant>
        <vt:i4>0</vt:i4>
      </vt:variant>
      <vt:variant>
        <vt:i4>5</vt:i4>
      </vt:variant>
      <vt:variant>
        <vt:lpwstr/>
      </vt:variant>
      <vt:variant>
        <vt:lpwstr>_ENREF_131</vt:lpwstr>
      </vt:variant>
      <vt:variant>
        <vt:i4>4521995</vt:i4>
      </vt:variant>
      <vt:variant>
        <vt:i4>3698</vt:i4>
      </vt:variant>
      <vt:variant>
        <vt:i4>0</vt:i4>
      </vt:variant>
      <vt:variant>
        <vt:i4>5</vt:i4>
      </vt:variant>
      <vt:variant>
        <vt:lpwstr/>
      </vt:variant>
      <vt:variant>
        <vt:lpwstr>_ENREF_47</vt:lpwstr>
      </vt:variant>
      <vt:variant>
        <vt:i4>7733306</vt:i4>
      </vt:variant>
      <vt:variant>
        <vt:i4>3694</vt:i4>
      </vt:variant>
      <vt:variant>
        <vt:i4>0</vt:i4>
      </vt:variant>
      <vt:variant>
        <vt:i4>5</vt:i4>
      </vt:variant>
      <vt:variant>
        <vt:lpwstr/>
      </vt:variant>
      <vt:variant>
        <vt:lpwstr>_ENREF_215</vt:lpwstr>
      </vt:variant>
      <vt:variant>
        <vt:i4>7733310</vt:i4>
      </vt:variant>
      <vt:variant>
        <vt:i4>3691</vt:i4>
      </vt:variant>
      <vt:variant>
        <vt:i4>0</vt:i4>
      </vt:variant>
      <vt:variant>
        <vt:i4>5</vt:i4>
      </vt:variant>
      <vt:variant>
        <vt:lpwstr/>
      </vt:variant>
      <vt:variant>
        <vt:lpwstr>_ENREF_156</vt:lpwstr>
      </vt:variant>
      <vt:variant>
        <vt:i4>4456459</vt:i4>
      </vt:variant>
      <vt:variant>
        <vt:i4>3688</vt:i4>
      </vt:variant>
      <vt:variant>
        <vt:i4>0</vt:i4>
      </vt:variant>
      <vt:variant>
        <vt:i4>5</vt:i4>
      </vt:variant>
      <vt:variant>
        <vt:lpwstr/>
      </vt:variant>
      <vt:variant>
        <vt:lpwstr>_ENREF_51</vt:lpwstr>
      </vt:variant>
      <vt:variant>
        <vt:i4>4521995</vt:i4>
      </vt:variant>
      <vt:variant>
        <vt:i4>3678</vt:i4>
      </vt:variant>
      <vt:variant>
        <vt:i4>0</vt:i4>
      </vt:variant>
      <vt:variant>
        <vt:i4>5</vt:i4>
      </vt:variant>
      <vt:variant>
        <vt:lpwstr/>
      </vt:variant>
      <vt:variant>
        <vt:lpwstr>_ENREF_47</vt:lpwstr>
      </vt:variant>
      <vt:variant>
        <vt:i4>7340082</vt:i4>
      </vt:variant>
      <vt:variant>
        <vt:i4>3672</vt:i4>
      </vt:variant>
      <vt:variant>
        <vt:i4>0</vt:i4>
      </vt:variant>
      <vt:variant>
        <vt:i4>5</vt:i4>
      </vt:variant>
      <vt:variant>
        <vt:lpwstr/>
      </vt:variant>
      <vt:variant>
        <vt:lpwstr>_ENREF_190</vt:lpwstr>
      </vt:variant>
      <vt:variant>
        <vt:i4>4718603</vt:i4>
      </vt:variant>
      <vt:variant>
        <vt:i4>3666</vt:i4>
      </vt:variant>
      <vt:variant>
        <vt:i4>0</vt:i4>
      </vt:variant>
      <vt:variant>
        <vt:i4>5</vt:i4>
      </vt:variant>
      <vt:variant>
        <vt:lpwstr/>
      </vt:variant>
      <vt:variant>
        <vt:lpwstr>_ENREF_94</vt:lpwstr>
      </vt:variant>
      <vt:variant>
        <vt:i4>4521995</vt:i4>
      </vt:variant>
      <vt:variant>
        <vt:i4>3639</vt:i4>
      </vt:variant>
      <vt:variant>
        <vt:i4>0</vt:i4>
      </vt:variant>
      <vt:variant>
        <vt:i4>5</vt:i4>
      </vt:variant>
      <vt:variant>
        <vt:lpwstr/>
      </vt:variant>
      <vt:variant>
        <vt:lpwstr>_ENREF_43</vt:lpwstr>
      </vt:variant>
      <vt:variant>
        <vt:i4>4653067</vt:i4>
      </vt:variant>
      <vt:variant>
        <vt:i4>3633</vt:i4>
      </vt:variant>
      <vt:variant>
        <vt:i4>0</vt:i4>
      </vt:variant>
      <vt:variant>
        <vt:i4>5</vt:i4>
      </vt:variant>
      <vt:variant>
        <vt:lpwstr/>
      </vt:variant>
      <vt:variant>
        <vt:lpwstr>_ENREF_64</vt:lpwstr>
      </vt:variant>
      <vt:variant>
        <vt:i4>7471163</vt:i4>
      </vt:variant>
      <vt:variant>
        <vt:i4>3620</vt:i4>
      </vt:variant>
      <vt:variant>
        <vt:i4>0</vt:i4>
      </vt:variant>
      <vt:variant>
        <vt:i4>5</vt:i4>
      </vt:variant>
      <vt:variant>
        <vt:lpwstr/>
      </vt:variant>
      <vt:variant>
        <vt:lpwstr>_ENREF_102</vt:lpwstr>
      </vt:variant>
      <vt:variant>
        <vt:i4>4456459</vt:i4>
      </vt:variant>
      <vt:variant>
        <vt:i4>3617</vt:i4>
      </vt:variant>
      <vt:variant>
        <vt:i4>0</vt:i4>
      </vt:variant>
      <vt:variant>
        <vt:i4>5</vt:i4>
      </vt:variant>
      <vt:variant>
        <vt:lpwstr/>
      </vt:variant>
      <vt:variant>
        <vt:lpwstr>_ENREF_5</vt:lpwstr>
      </vt:variant>
      <vt:variant>
        <vt:i4>4194315</vt:i4>
      </vt:variant>
      <vt:variant>
        <vt:i4>3606</vt:i4>
      </vt:variant>
      <vt:variant>
        <vt:i4>0</vt:i4>
      </vt:variant>
      <vt:variant>
        <vt:i4>5</vt:i4>
      </vt:variant>
      <vt:variant>
        <vt:lpwstr/>
      </vt:variant>
      <vt:variant>
        <vt:lpwstr>_ENREF_13</vt:lpwstr>
      </vt:variant>
      <vt:variant>
        <vt:i4>4653067</vt:i4>
      </vt:variant>
      <vt:variant>
        <vt:i4>3602</vt:i4>
      </vt:variant>
      <vt:variant>
        <vt:i4>0</vt:i4>
      </vt:variant>
      <vt:variant>
        <vt:i4>5</vt:i4>
      </vt:variant>
      <vt:variant>
        <vt:lpwstr/>
      </vt:variant>
      <vt:variant>
        <vt:lpwstr>_ENREF_64</vt:lpwstr>
      </vt:variant>
      <vt:variant>
        <vt:i4>4325387</vt:i4>
      </vt:variant>
      <vt:variant>
        <vt:i4>3599</vt:i4>
      </vt:variant>
      <vt:variant>
        <vt:i4>0</vt:i4>
      </vt:variant>
      <vt:variant>
        <vt:i4>5</vt:i4>
      </vt:variant>
      <vt:variant>
        <vt:lpwstr/>
      </vt:variant>
      <vt:variant>
        <vt:lpwstr>_ENREF_39</vt:lpwstr>
      </vt:variant>
      <vt:variant>
        <vt:i4>4194315</vt:i4>
      </vt:variant>
      <vt:variant>
        <vt:i4>3580</vt:i4>
      </vt:variant>
      <vt:variant>
        <vt:i4>0</vt:i4>
      </vt:variant>
      <vt:variant>
        <vt:i4>5</vt:i4>
      </vt:variant>
      <vt:variant>
        <vt:lpwstr/>
      </vt:variant>
      <vt:variant>
        <vt:lpwstr>_ENREF_13</vt:lpwstr>
      </vt:variant>
      <vt:variant>
        <vt:i4>4653067</vt:i4>
      </vt:variant>
      <vt:variant>
        <vt:i4>3576</vt:i4>
      </vt:variant>
      <vt:variant>
        <vt:i4>0</vt:i4>
      </vt:variant>
      <vt:variant>
        <vt:i4>5</vt:i4>
      </vt:variant>
      <vt:variant>
        <vt:lpwstr/>
      </vt:variant>
      <vt:variant>
        <vt:lpwstr>_ENREF_64</vt:lpwstr>
      </vt:variant>
      <vt:variant>
        <vt:i4>4325387</vt:i4>
      </vt:variant>
      <vt:variant>
        <vt:i4>3573</vt:i4>
      </vt:variant>
      <vt:variant>
        <vt:i4>0</vt:i4>
      </vt:variant>
      <vt:variant>
        <vt:i4>5</vt:i4>
      </vt:variant>
      <vt:variant>
        <vt:lpwstr/>
      </vt:variant>
      <vt:variant>
        <vt:lpwstr>_ENREF_39</vt:lpwstr>
      </vt:variant>
      <vt:variant>
        <vt:i4>7667771</vt:i4>
      </vt:variant>
      <vt:variant>
        <vt:i4>3539</vt:i4>
      </vt:variant>
      <vt:variant>
        <vt:i4>0</vt:i4>
      </vt:variant>
      <vt:variant>
        <vt:i4>5</vt:i4>
      </vt:variant>
      <vt:variant>
        <vt:lpwstr/>
      </vt:variant>
      <vt:variant>
        <vt:lpwstr>_ENREF_105</vt:lpwstr>
      </vt:variant>
      <vt:variant>
        <vt:i4>7340090</vt:i4>
      </vt:variant>
      <vt:variant>
        <vt:i4>3535</vt:i4>
      </vt:variant>
      <vt:variant>
        <vt:i4>0</vt:i4>
      </vt:variant>
      <vt:variant>
        <vt:i4>5</vt:i4>
      </vt:variant>
      <vt:variant>
        <vt:lpwstr/>
      </vt:variant>
      <vt:variant>
        <vt:lpwstr>_ENREF_110</vt:lpwstr>
      </vt:variant>
      <vt:variant>
        <vt:i4>4718603</vt:i4>
      </vt:variant>
      <vt:variant>
        <vt:i4>3532</vt:i4>
      </vt:variant>
      <vt:variant>
        <vt:i4>0</vt:i4>
      </vt:variant>
      <vt:variant>
        <vt:i4>5</vt:i4>
      </vt:variant>
      <vt:variant>
        <vt:lpwstr/>
      </vt:variant>
      <vt:variant>
        <vt:lpwstr>_ENREF_93</vt:lpwstr>
      </vt:variant>
      <vt:variant>
        <vt:i4>4194315</vt:i4>
      </vt:variant>
      <vt:variant>
        <vt:i4>3529</vt:i4>
      </vt:variant>
      <vt:variant>
        <vt:i4>0</vt:i4>
      </vt:variant>
      <vt:variant>
        <vt:i4>5</vt:i4>
      </vt:variant>
      <vt:variant>
        <vt:lpwstr/>
      </vt:variant>
      <vt:variant>
        <vt:lpwstr>_ENREF_10</vt:lpwstr>
      </vt:variant>
      <vt:variant>
        <vt:i4>7929914</vt:i4>
      </vt:variant>
      <vt:variant>
        <vt:i4>3494</vt:i4>
      </vt:variant>
      <vt:variant>
        <vt:i4>0</vt:i4>
      </vt:variant>
      <vt:variant>
        <vt:i4>5</vt:i4>
      </vt:variant>
      <vt:variant>
        <vt:lpwstr/>
      </vt:variant>
      <vt:variant>
        <vt:lpwstr>_ENREF_119</vt:lpwstr>
      </vt:variant>
      <vt:variant>
        <vt:i4>4325387</vt:i4>
      </vt:variant>
      <vt:variant>
        <vt:i4>3491</vt:i4>
      </vt:variant>
      <vt:variant>
        <vt:i4>0</vt:i4>
      </vt:variant>
      <vt:variant>
        <vt:i4>5</vt:i4>
      </vt:variant>
      <vt:variant>
        <vt:lpwstr/>
      </vt:variant>
      <vt:variant>
        <vt:lpwstr>_ENREF_3</vt:lpwstr>
      </vt:variant>
      <vt:variant>
        <vt:i4>7340090</vt:i4>
      </vt:variant>
      <vt:variant>
        <vt:i4>3471</vt:i4>
      </vt:variant>
      <vt:variant>
        <vt:i4>0</vt:i4>
      </vt:variant>
      <vt:variant>
        <vt:i4>5</vt:i4>
      </vt:variant>
      <vt:variant>
        <vt:lpwstr/>
      </vt:variant>
      <vt:variant>
        <vt:lpwstr>_ENREF_110</vt:lpwstr>
      </vt:variant>
      <vt:variant>
        <vt:i4>4194315</vt:i4>
      </vt:variant>
      <vt:variant>
        <vt:i4>3468</vt:i4>
      </vt:variant>
      <vt:variant>
        <vt:i4>0</vt:i4>
      </vt:variant>
      <vt:variant>
        <vt:i4>5</vt:i4>
      </vt:variant>
      <vt:variant>
        <vt:lpwstr/>
      </vt:variant>
      <vt:variant>
        <vt:lpwstr>_ENREF_10</vt:lpwstr>
      </vt:variant>
      <vt:variant>
        <vt:i4>7929914</vt:i4>
      </vt:variant>
      <vt:variant>
        <vt:i4>3462</vt:i4>
      </vt:variant>
      <vt:variant>
        <vt:i4>0</vt:i4>
      </vt:variant>
      <vt:variant>
        <vt:i4>5</vt:i4>
      </vt:variant>
      <vt:variant>
        <vt:lpwstr/>
      </vt:variant>
      <vt:variant>
        <vt:lpwstr>_ENREF_119</vt:lpwstr>
      </vt:variant>
      <vt:variant>
        <vt:i4>4325387</vt:i4>
      </vt:variant>
      <vt:variant>
        <vt:i4>3459</vt:i4>
      </vt:variant>
      <vt:variant>
        <vt:i4>0</vt:i4>
      </vt:variant>
      <vt:variant>
        <vt:i4>5</vt:i4>
      </vt:variant>
      <vt:variant>
        <vt:lpwstr/>
      </vt:variant>
      <vt:variant>
        <vt:lpwstr>_ENREF_3</vt:lpwstr>
      </vt:variant>
      <vt:variant>
        <vt:i4>4325387</vt:i4>
      </vt:variant>
      <vt:variant>
        <vt:i4>3449</vt:i4>
      </vt:variant>
      <vt:variant>
        <vt:i4>0</vt:i4>
      </vt:variant>
      <vt:variant>
        <vt:i4>5</vt:i4>
      </vt:variant>
      <vt:variant>
        <vt:lpwstr/>
      </vt:variant>
      <vt:variant>
        <vt:lpwstr>_ENREF_30</vt:lpwstr>
      </vt:variant>
      <vt:variant>
        <vt:i4>7602233</vt:i4>
      </vt:variant>
      <vt:variant>
        <vt:i4>3443</vt:i4>
      </vt:variant>
      <vt:variant>
        <vt:i4>0</vt:i4>
      </vt:variant>
      <vt:variant>
        <vt:i4>5</vt:i4>
      </vt:variant>
      <vt:variant>
        <vt:lpwstr/>
      </vt:variant>
      <vt:variant>
        <vt:lpwstr>_ENREF_227</vt:lpwstr>
      </vt:variant>
      <vt:variant>
        <vt:i4>7602233</vt:i4>
      </vt:variant>
      <vt:variant>
        <vt:i4>3434</vt:i4>
      </vt:variant>
      <vt:variant>
        <vt:i4>0</vt:i4>
      </vt:variant>
      <vt:variant>
        <vt:i4>5</vt:i4>
      </vt:variant>
      <vt:variant>
        <vt:lpwstr/>
      </vt:variant>
      <vt:variant>
        <vt:lpwstr>_ENREF_227</vt:lpwstr>
      </vt:variant>
      <vt:variant>
        <vt:i4>4718603</vt:i4>
      </vt:variant>
      <vt:variant>
        <vt:i4>3428</vt:i4>
      </vt:variant>
      <vt:variant>
        <vt:i4>0</vt:i4>
      </vt:variant>
      <vt:variant>
        <vt:i4>5</vt:i4>
      </vt:variant>
      <vt:variant>
        <vt:lpwstr/>
      </vt:variant>
      <vt:variant>
        <vt:lpwstr>_ENREF_93</vt:lpwstr>
      </vt:variant>
      <vt:variant>
        <vt:i4>7602233</vt:i4>
      </vt:variant>
      <vt:variant>
        <vt:i4>3419</vt:i4>
      </vt:variant>
      <vt:variant>
        <vt:i4>0</vt:i4>
      </vt:variant>
      <vt:variant>
        <vt:i4>5</vt:i4>
      </vt:variant>
      <vt:variant>
        <vt:lpwstr/>
      </vt:variant>
      <vt:variant>
        <vt:lpwstr>_ENREF_227</vt:lpwstr>
      </vt:variant>
      <vt:variant>
        <vt:i4>4718603</vt:i4>
      </vt:variant>
      <vt:variant>
        <vt:i4>3413</vt:i4>
      </vt:variant>
      <vt:variant>
        <vt:i4>0</vt:i4>
      </vt:variant>
      <vt:variant>
        <vt:i4>5</vt:i4>
      </vt:variant>
      <vt:variant>
        <vt:lpwstr/>
      </vt:variant>
      <vt:variant>
        <vt:lpwstr>_ENREF_93</vt:lpwstr>
      </vt:variant>
      <vt:variant>
        <vt:i4>4718603</vt:i4>
      </vt:variant>
      <vt:variant>
        <vt:i4>3407</vt:i4>
      </vt:variant>
      <vt:variant>
        <vt:i4>0</vt:i4>
      </vt:variant>
      <vt:variant>
        <vt:i4>5</vt:i4>
      </vt:variant>
      <vt:variant>
        <vt:lpwstr/>
      </vt:variant>
      <vt:variant>
        <vt:lpwstr>_ENREF_93</vt:lpwstr>
      </vt:variant>
      <vt:variant>
        <vt:i4>7405625</vt:i4>
      </vt:variant>
      <vt:variant>
        <vt:i4>3398</vt:i4>
      </vt:variant>
      <vt:variant>
        <vt:i4>0</vt:i4>
      </vt:variant>
      <vt:variant>
        <vt:i4>5</vt:i4>
      </vt:variant>
      <vt:variant>
        <vt:lpwstr/>
      </vt:variant>
      <vt:variant>
        <vt:lpwstr>_ENREF_222</vt:lpwstr>
      </vt:variant>
      <vt:variant>
        <vt:i4>7405625</vt:i4>
      </vt:variant>
      <vt:variant>
        <vt:i4>3392</vt:i4>
      </vt:variant>
      <vt:variant>
        <vt:i4>0</vt:i4>
      </vt:variant>
      <vt:variant>
        <vt:i4>5</vt:i4>
      </vt:variant>
      <vt:variant>
        <vt:lpwstr/>
      </vt:variant>
      <vt:variant>
        <vt:lpwstr>_ENREF_222</vt:lpwstr>
      </vt:variant>
      <vt:variant>
        <vt:i4>7405625</vt:i4>
      </vt:variant>
      <vt:variant>
        <vt:i4>3383</vt:i4>
      </vt:variant>
      <vt:variant>
        <vt:i4>0</vt:i4>
      </vt:variant>
      <vt:variant>
        <vt:i4>5</vt:i4>
      </vt:variant>
      <vt:variant>
        <vt:lpwstr/>
      </vt:variant>
      <vt:variant>
        <vt:lpwstr>_ENREF_222</vt:lpwstr>
      </vt:variant>
      <vt:variant>
        <vt:i4>7864380</vt:i4>
      </vt:variant>
      <vt:variant>
        <vt:i4>3377</vt:i4>
      </vt:variant>
      <vt:variant>
        <vt:i4>0</vt:i4>
      </vt:variant>
      <vt:variant>
        <vt:i4>5</vt:i4>
      </vt:variant>
      <vt:variant>
        <vt:lpwstr/>
      </vt:variant>
      <vt:variant>
        <vt:lpwstr>_ENREF_178</vt:lpwstr>
      </vt:variant>
      <vt:variant>
        <vt:i4>7929916</vt:i4>
      </vt:variant>
      <vt:variant>
        <vt:i4>3302</vt:i4>
      </vt:variant>
      <vt:variant>
        <vt:i4>0</vt:i4>
      </vt:variant>
      <vt:variant>
        <vt:i4>5</vt:i4>
      </vt:variant>
      <vt:variant>
        <vt:lpwstr/>
      </vt:variant>
      <vt:variant>
        <vt:lpwstr>_ENREF_179</vt:lpwstr>
      </vt:variant>
      <vt:variant>
        <vt:i4>4456459</vt:i4>
      </vt:variant>
      <vt:variant>
        <vt:i4>3281</vt:i4>
      </vt:variant>
      <vt:variant>
        <vt:i4>0</vt:i4>
      </vt:variant>
      <vt:variant>
        <vt:i4>5</vt:i4>
      </vt:variant>
      <vt:variant>
        <vt:lpwstr/>
      </vt:variant>
      <vt:variant>
        <vt:lpwstr>_ENREF_56</vt:lpwstr>
      </vt:variant>
      <vt:variant>
        <vt:i4>4456459</vt:i4>
      </vt:variant>
      <vt:variant>
        <vt:i4>3275</vt:i4>
      </vt:variant>
      <vt:variant>
        <vt:i4>0</vt:i4>
      </vt:variant>
      <vt:variant>
        <vt:i4>5</vt:i4>
      </vt:variant>
      <vt:variant>
        <vt:lpwstr/>
      </vt:variant>
      <vt:variant>
        <vt:lpwstr>_ENREF_54</vt:lpwstr>
      </vt:variant>
      <vt:variant>
        <vt:i4>4456459</vt:i4>
      </vt:variant>
      <vt:variant>
        <vt:i4>3269</vt:i4>
      </vt:variant>
      <vt:variant>
        <vt:i4>0</vt:i4>
      </vt:variant>
      <vt:variant>
        <vt:i4>5</vt:i4>
      </vt:variant>
      <vt:variant>
        <vt:lpwstr/>
      </vt:variant>
      <vt:variant>
        <vt:lpwstr>_ENREF_53</vt:lpwstr>
      </vt:variant>
      <vt:variant>
        <vt:i4>4456459</vt:i4>
      </vt:variant>
      <vt:variant>
        <vt:i4>3263</vt:i4>
      </vt:variant>
      <vt:variant>
        <vt:i4>0</vt:i4>
      </vt:variant>
      <vt:variant>
        <vt:i4>5</vt:i4>
      </vt:variant>
      <vt:variant>
        <vt:lpwstr/>
      </vt:variant>
      <vt:variant>
        <vt:lpwstr>_ENREF_55</vt:lpwstr>
      </vt:variant>
      <vt:variant>
        <vt:i4>7864380</vt:i4>
      </vt:variant>
      <vt:variant>
        <vt:i4>3257</vt:i4>
      </vt:variant>
      <vt:variant>
        <vt:i4>0</vt:i4>
      </vt:variant>
      <vt:variant>
        <vt:i4>5</vt:i4>
      </vt:variant>
      <vt:variant>
        <vt:lpwstr/>
      </vt:variant>
      <vt:variant>
        <vt:lpwstr>_ENREF_178</vt:lpwstr>
      </vt:variant>
      <vt:variant>
        <vt:i4>7864380</vt:i4>
      </vt:variant>
      <vt:variant>
        <vt:i4>3251</vt:i4>
      </vt:variant>
      <vt:variant>
        <vt:i4>0</vt:i4>
      </vt:variant>
      <vt:variant>
        <vt:i4>5</vt:i4>
      </vt:variant>
      <vt:variant>
        <vt:lpwstr/>
      </vt:variant>
      <vt:variant>
        <vt:lpwstr>_ENREF_178</vt:lpwstr>
      </vt:variant>
      <vt:variant>
        <vt:i4>7864380</vt:i4>
      </vt:variant>
      <vt:variant>
        <vt:i4>3245</vt:i4>
      </vt:variant>
      <vt:variant>
        <vt:i4>0</vt:i4>
      </vt:variant>
      <vt:variant>
        <vt:i4>5</vt:i4>
      </vt:variant>
      <vt:variant>
        <vt:lpwstr/>
      </vt:variant>
      <vt:variant>
        <vt:lpwstr>_ENREF_178</vt:lpwstr>
      </vt:variant>
      <vt:variant>
        <vt:i4>7864380</vt:i4>
      </vt:variant>
      <vt:variant>
        <vt:i4>3239</vt:i4>
      </vt:variant>
      <vt:variant>
        <vt:i4>0</vt:i4>
      </vt:variant>
      <vt:variant>
        <vt:i4>5</vt:i4>
      </vt:variant>
      <vt:variant>
        <vt:lpwstr/>
      </vt:variant>
      <vt:variant>
        <vt:lpwstr>_ENREF_178</vt:lpwstr>
      </vt:variant>
      <vt:variant>
        <vt:i4>7733310</vt:i4>
      </vt:variant>
      <vt:variant>
        <vt:i4>3230</vt:i4>
      </vt:variant>
      <vt:variant>
        <vt:i4>0</vt:i4>
      </vt:variant>
      <vt:variant>
        <vt:i4>5</vt:i4>
      </vt:variant>
      <vt:variant>
        <vt:lpwstr/>
      </vt:variant>
      <vt:variant>
        <vt:lpwstr>_ENREF_156</vt:lpwstr>
      </vt:variant>
      <vt:variant>
        <vt:i4>4653067</vt:i4>
      </vt:variant>
      <vt:variant>
        <vt:i4>3166</vt:i4>
      </vt:variant>
      <vt:variant>
        <vt:i4>0</vt:i4>
      </vt:variant>
      <vt:variant>
        <vt:i4>5</vt:i4>
      </vt:variant>
      <vt:variant>
        <vt:lpwstr/>
      </vt:variant>
      <vt:variant>
        <vt:lpwstr>_ENREF_60</vt:lpwstr>
      </vt:variant>
      <vt:variant>
        <vt:i4>4325387</vt:i4>
      </vt:variant>
      <vt:variant>
        <vt:i4>3163</vt:i4>
      </vt:variant>
      <vt:variant>
        <vt:i4>0</vt:i4>
      </vt:variant>
      <vt:variant>
        <vt:i4>5</vt:i4>
      </vt:variant>
      <vt:variant>
        <vt:lpwstr/>
      </vt:variant>
      <vt:variant>
        <vt:lpwstr>_ENREF_39</vt:lpwstr>
      </vt:variant>
      <vt:variant>
        <vt:i4>4653067</vt:i4>
      </vt:variant>
      <vt:variant>
        <vt:i4>3157</vt:i4>
      </vt:variant>
      <vt:variant>
        <vt:i4>0</vt:i4>
      </vt:variant>
      <vt:variant>
        <vt:i4>5</vt:i4>
      </vt:variant>
      <vt:variant>
        <vt:lpwstr/>
      </vt:variant>
      <vt:variant>
        <vt:lpwstr>_ENREF_62</vt:lpwstr>
      </vt:variant>
      <vt:variant>
        <vt:i4>4325387</vt:i4>
      </vt:variant>
      <vt:variant>
        <vt:i4>3154</vt:i4>
      </vt:variant>
      <vt:variant>
        <vt:i4>0</vt:i4>
      </vt:variant>
      <vt:variant>
        <vt:i4>5</vt:i4>
      </vt:variant>
      <vt:variant>
        <vt:lpwstr/>
      </vt:variant>
      <vt:variant>
        <vt:lpwstr>_ENREF_39</vt:lpwstr>
      </vt:variant>
      <vt:variant>
        <vt:i4>7929916</vt:i4>
      </vt:variant>
      <vt:variant>
        <vt:i4>3135</vt:i4>
      </vt:variant>
      <vt:variant>
        <vt:i4>0</vt:i4>
      </vt:variant>
      <vt:variant>
        <vt:i4>5</vt:i4>
      </vt:variant>
      <vt:variant>
        <vt:lpwstr/>
      </vt:variant>
      <vt:variant>
        <vt:lpwstr>_ENREF_179</vt:lpwstr>
      </vt:variant>
      <vt:variant>
        <vt:i4>7798847</vt:i4>
      </vt:variant>
      <vt:variant>
        <vt:i4>3131</vt:i4>
      </vt:variant>
      <vt:variant>
        <vt:i4>0</vt:i4>
      </vt:variant>
      <vt:variant>
        <vt:i4>5</vt:i4>
      </vt:variant>
      <vt:variant>
        <vt:lpwstr/>
      </vt:variant>
      <vt:variant>
        <vt:lpwstr>_ENREF_147</vt:lpwstr>
      </vt:variant>
      <vt:variant>
        <vt:i4>7340082</vt:i4>
      </vt:variant>
      <vt:variant>
        <vt:i4>3128</vt:i4>
      </vt:variant>
      <vt:variant>
        <vt:i4>0</vt:i4>
      </vt:variant>
      <vt:variant>
        <vt:i4>5</vt:i4>
      </vt:variant>
      <vt:variant>
        <vt:lpwstr/>
      </vt:variant>
      <vt:variant>
        <vt:lpwstr>_ENREF_190</vt:lpwstr>
      </vt:variant>
      <vt:variant>
        <vt:i4>7667775</vt:i4>
      </vt:variant>
      <vt:variant>
        <vt:i4>3125</vt:i4>
      </vt:variant>
      <vt:variant>
        <vt:i4>0</vt:i4>
      </vt:variant>
      <vt:variant>
        <vt:i4>5</vt:i4>
      </vt:variant>
      <vt:variant>
        <vt:lpwstr/>
      </vt:variant>
      <vt:variant>
        <vt:lpwstr>_ENREF_145</vt:lpwstr>
      </vt:variant>
      <vt:variant>
        <vt:i4>7471160</vt:i4>
      </vt:variant>
      <vt:variant>
        <vt:i4>3115</vt:i4>
      </vt:variant>
      <vt:variant>
        <vt:i4>0</vt:i4>
      </vt:variant>
      <vt:variant>
        <vt:i4>5</vt:i4>
      </vt:variant>
      <vt:variant>
        <vt:lpwstr/>
      </vt:variant>
      <vt:variant>
        <vt:lpwstr>_ENREF_231</vt:lpwstr>
      </vt:variant>
      <vt:variant>
        <vt:i4>7667774</vt:i4>
      </vt:variant>
      <vt:variant>
        <vt:i4>3109</vt:i4>
      </vt:variant>
      <vt:variant>
        <vt:i4>0</vt:i4>
      </vt:variant>
      <vt:variant>
        <vt:i4>5</vt:i4>
      </vt:variant>
      <vt:variant>
        <vt:lpwstr/>
      </vt:variant>
      <vt:variant>
        <vt:lpwstr>_ENREF_256</vt:lpwstr>
      </vt:variant>
      <vt:variant>
        <vt:i4>4718603</vt:i4>
      </vt:variant>
      <vt:variant>
        <vt:i4>3103</vt:i4>
      </vt:variant>
      <vt:variant>
        <vt:i4>0</vt:i4>
      </vt:variant>
      <vt:variant>
        <vt:i4>5</vt:i4>
      </vt:variant>
      <vt:variant>
        <vt:lpwstr/>
      </vt:variant>
      <vt:variant>
        <vt:lpwstr>_ENREF_90</vt:lpwstr>
      </vt:variant>
      <vt:variant>
        <vt:i4>4521995</vt:i4>
      </vt:variant>
      <vt:variant>
        <vt:i4>3097</vt:i4>
      </vt:variant>
      <vt:variant>
        <vt:i4>0</vt:i4>
      </vt:variant>
      <vt:variant>
        <vt:i4>5</vt:i4>
      </vt:variant>
      <vt:variant>
        <vt:lpwstr/>
      </vt:variant>
      <vt:variant>
        <vt:lpwstr>_ENREF_46</vt:lpwstr>
      </vt:variant>
      <vt:variant>
        <vt:i4>7340082</vt:i4>
      </vt:variant>
      <vt:variant>
        <vt:i4>3091</vt:i4>
      </vt:variant>
      <vt:variant>
        <vt:i4>0</vt:i4>
      </vt:variant>
      <vt:variant>
        <vt:i4>5</vt:i4>
      </vt:variant>
      <vt:variant>
        <vt:lpwstr/>
      </vt:variant>
      <vt:variant>
        <vt:lpwstr>_ENREF_190</vt:lpwstr>
      </vt:variant>
      <vt:variant>
        <vt:i4>7733299</vt:i4>
      </vt:variant>
      <vt:variant>
        <vt:i4>3064</vt:i4>
      </vt:variant>
      <vt:variant>
        <vt:i4>0</vt:i4>
      </vt:variant>
      <vt:variant>
        <vt:i4>5</vt:i4>
      </vt:variant>
      <vt:variant>
        <vt:lpwstr/>
      </vt:variant>
      <vt:variant>
        <vt:lpwstr>_ENREF_186</vt:lpwstr>
      </vt:variant>
      <vt:variant>
        <vt:i4>7340090</vt:i4>
      </vt:variant>
      <vt:variant>
        <vt:i4>3060</vt:i4>
      </vt:variant>
      <vt:variant>
        <vt:i4>0</vt:i4>
      </vt:variant>
      <vt:variant>
        <vt:i4>5</vt:i4>
      </vt:variant>
      <vt:variant>
        <vt:lpwstr/>
      </vt:variant>
      <vt:variant>
        <vt:lpwstr>_ENREF_110</vt:lpwstr>
      </vt:variant>
      <vt:variant>
        <vt:i4>4194315</vt:i4>
      </vt:variant>
      <vt:variant>
        <vt:i4>3057</vt:i4>
      </vt:variant>
      <vt:variant>
        <vt:i4>0</vt:i4>
      </vt:variant>
      <vt:variant>
        <vt:i4>5</vt:i4>
      </vt:variant>
      <vt:variant>
        <vt:lpwstr/>
      </vt:variant>
      <vt:variant>
        <vt:lpwstr>_ENREF_10</vt:lpwstr>
      </vt:variant>
      <vt:variant>
        <vt:i4>7405627</vt:i4>
      </vt:variant>
      <vt:variant>
        <vt:i4>3052</vt:i4>
      </vt:variant>
      <vt:variant>
        <vt:i4>0</vt:i4>
      </vt:variant>
      <vt:variant>
        <vt:i4>5</vt:i4>
      </vt:variant>
      <vt:variant>
        <vt:lpwstr/>
      </vt:variant>
      <vt:variant>
        <vt:lpwstr>_ENREF_101</vt:lpwstr>
      </vt:variant>
      <vt:variant>
        <vt:i4>4325387</vt:i4>
      </vt:variant>
      <vt:variant>
        <vt:i4>3046</vt:i4>
      </vt:variant>
      <vt:variant>
        <vt:i4>0</vt:i4>
      </vt:variant>
      <vt:variant>
        <vt:i4>5</vt:i4>
      </vt:variant>
      <vt:variant>
        <vt:lpwstr/>
      </vt:variant>
      <vt:variant>
        <vt:lpwstr>_ENREF_3</vt:lpwstr>
      </vt:variant>
      <vt:variant>
        <vt:i4>4456459</vt:i4>
      </vt:variant>
      <vt:variant>
        <vt:i4>3042</vt:i4>
      </vt:variant>
      <vt:variant>
        <vt:i4>0</vt:i4>
      </vt:variant>
      <vt:variant>
        <vt:i4>5</vt:i4>
      </vt:variant>
      <vt:variant>
        <vt:lpwstr/>
      </vt:variant>
      <vt:variant>
        <vt:lpwstr>_ENREF_59</vt:lpwstr>
      </vt:variant>
      <vt:variant>
        <vt:i4>4325387</vt:i4>
      </vt:variant>
      <vt:variant>
        <vt:i4>3039</vt:i4>
      </vt:variant>
      <vt:variant>
        <vt:i4>0</vt:i4>
      </vt:variant>
      <vt:variant>
        <vt:i4>5</vt:i4>
      </vt:variant>
      <vt:variant>
        <vt:lpwstr/>
      </vt:variant>
      <vt:variant>
        <vt:lpwstr>_ENREF_34</vt:lpwstr>
      </vt:variant>
      <vt:variant>
        <vt:i4>7929914</vt:i4>
      </vt:variant>
      <vt:variant>
        <vt:i4>3036</vt:i4>
      </vt:variant>
      <vt:variant>
        <vt:i4>0</vt:i4>
      </vt:variant>
      <vt:variant>
        <vt:i4>5</vt:i4>
      </vt:variant>
      <vt:variant>
        <vt:lpwstr/>
      </vt:variant>
      <vt:variant>
        <vt:lpwstr>_ENREF_119</vt:lpwstr>
      </vt:variant>
      <vt:variant>
        <vt:i4>4325387</vt:i4>
      </vt:variant>
      <vt:variant>
        <vt:i4>3033</vt:i4>
      </vt:variant>
      <vt:variant>
        <vt:i4>0</vt:i4>
      </vt:variant>
      <vt:variant>
        <vt:i4>5</vt:i4>
      </vt:variant>
      <vt:variant>
        <vt:lpwstr/>
      </vt:variant>
      <vt:variant>
        <vt:lpwstr>_ENREF_3</vt:lpwstr>
      </vt:variant>
      <vt:variant>
        <vt:i4>4456459</vt:i4>
      </vt:variant>
      <vt:variant>
        <vt:i4>3017</vt:i4>
      </vt:variant>
      <vt:variant>
        <vt:i4>0</vt:i4>
      </vt:variant>
      <vt:variant>
        <vt:i4>5</vt:i4>
      </vt:variant>
      <vt:variant>
        <vt:lpwstr/>
      </vt:variant>
      <vt:variant>
        <vt:lpwstr>_ENREF_58</vt:lpwstr>
      </vt:variant>
      <vt:variant>
        <vt:i4>4456459</vt:i4>
      </vt:variant>
      <vt:variant>
        <vt:i4>3011</vt:i4>
      </vt:variant>
      <vt:variant>
        <vt:i4>0</vt:i4>
      </vt:variant>
      <vt:variant>
        <vt:i4>5</vt:i4>
      </vt:variant>
      <vt:variant>
        <vt:lpwstr/>
      </vt:variant>
      <vt:variant>
        <vt:lpwstr>_ENREF_58</vt:lpwstr>
      </vt:variant>
      <vt:variant>
        <vt:i4>7798843</vt:i4>
      </vt:variant>
      <vt:variant>
        <vt:i4>3005</vt:i4>
      </vt:variant>
      <vt:variant>
        <vt:i4>0</vt:i4>
      </vt:variant>
      <vt:variant>
        <vt:i4>5</vt:i4>
      </vt:variant>
      <vt:variant>
        <vt:lpwstr/>
      </vt:variant>
      <vt:variant>
        <vt:lpwstr>_ENREF_204</vt:lpwstr>
      </vt:variant>
      <vt:variant>
        <vt:i4>7602238</vt:i4>
      </vt:variant>
      <vt:variant>
        <vt:i4>2999</vt:i4>
      </vt:variant>
      <vt:variant>
        <vt:i4>0</vt:i4>
      </vt:variant>
      <vt:variant>
        <vt:i4>5</vt:i4>
      </vt:variant>
      <vt:variant>
        <vt:lpwstr/>
      </vt:variant>
      <vt:variant>
        <vt:lpwstr>_ENREF_257</vt:lpwstr>
      </vt:variant>
      <vt:variant>
        <vt:i4>4456459</vt:i4>
      </vt:variant>
      <vt:variant>
        <vt:i4>2993</vt:i4>
      </vt:variant>
      <vt:variant>
        <vt:i4>0</vt:i4>
      </vt:variant>
      <vt:variant>
        <vt:i4>5</vt:i4>
      </vt:variant>
      <vt:variant>
        <vt:lpwstr/>
      </vt:variant>
      <vt:variant>
        <vt:lpwstr>_ENREF_58</vt:lpwstr>
      </vt:variant>
      <vt:variant>
        <vt:i4>4784139</vt:i4>
      </vt:variant>
      <vt:variant>
        <vt:i4>2978</vt:i4>
      </vt:variant>
      <vt:variant>
        <vt:i4>0</vt:i4>
      </vt:variant>
      <vt:variant>
        <vt:i4>5</vt:i4>
      </vt:variant>
      <vt:variant>
        <vt:lpwstr/>
      </vt:variant>
      <vt:variant>
        <vt:lpwstr>_ENREF_89</vt:lpwstr>
      </vt:variant>
      <vt:variant>
        <vt:i4>7536700</vt:i4>
      </vt:variant>
      <vt:variant>
        <vt:i4>2972</vt:i4>
      </vt:variant>
      <vt:variant>
        <vt:i4>0</vt:i4>
      </vt:variant>
      <vt:variant>
        <vt:i4>5</vt:i4>
      </vt:variant>
      <vt:variant>
        <vt:lpwstr/>
      </vt:variant>
      <vt:variant>
        <vt:lpwstr>_ENREF_173</vt:lpwstr>
      </vt:variant>
      <vt:variant>
        <vt:i4>4784139</vt:i4>
      </vt:variant>
      <vt:variant>
        <vt:i4>2966</vt:i4>
      </vt:variant>
      <vt:variant>
        <vt:i4>0</vt:i4>
      </vt:variant>
      <vt:variant>
        <vt:i4>5</vt:i4>
      </vt:variant>
      <vt:variant>
        <vt:lpwstr/>
      </vt:variant>
      <vt:variant>
        <vt:lpwstr>_ENREF_89</vt:lpwstr>
      </vt:variant>
      <vt:variant>
        <vt:i4>7798845</vt:i4>
      </vt:variant>
      <vt:variant>
        <vt:i4>2957</vt:i4>
      </vt:variant>
      <vt:variant>
        <vt:i4>0</vt:i4>
      </vt:variant>
      <vt:variant>
        <vt:i4>5</vt:i4>
      </vt:variant>
      <vt:variant>
        <vt:lpwstr/>
      </vt:variant>
      <vt:variant>
        <vt:lpwstr>_ENREF_264</vt:lpwstr>
      </vt:variant>
      <vt:variant>
        <vt:i4>7798845</vt:i4>
      </vt:variant>
      <vt:variant>
        <vt:i4>2951</vt:i4>
      </vt:variant>
      <vt:variant>
        <vt:i4>0</vt:i4>
      </vt:variant>
      <vt:variant>
        <vt:i4>5</vt:i4>
      </vt:variant>
      <vt:variant>
        <vt:lpwstr/>
      </vt:variant>
      <vt:variant>
        <vt:lpwstr>_ENREF_264</vt:lpwstr>
      </vt:variant>
      <vt:variant>
        <vt:i4>7536698</vt:i4>
      </vt:variant>
      <vt:variant>
        <vt:i4>2945</vt:i4>
      </vt:variant>
      <vt:variant>
        <vt:i4>0</vt:i4>
      </vt:variant>
      <vt:variant>
        <vt:i4>5</vt:i4>
      </vt:variant>
      <vt:variant>
        <vt:lpwstr/>
      </vt:variant>
      <vt:variant>
        <vt:lpwstr>_ENREF_210</vt:lpwstr>
      </vt:variant>
      <vt:variant>
        <vt:i4>7340093</vt:i4>
      </vt:variant>
      <vt:variant>
        <vt:i4>2939</vt:i4>
      </vt:variant>
      <vt:variant>
        <vt:i4>0</vt:i4>
      </vt:variant>
      <vt:variant>
        <vt:i4>5</vt:i4>
      </vt:variant>
      <vt:variant>
        <vt:lpwstr/>
      </vt:variant>
      <vt:variant>
        <vt:lpwstr>_ENREF_263</vt:lpwstr>
      </vt:variant>
      <vt:variant>
        <vt:i4>7798845</vt:i4>
      </vt:variant>
      <vt:variant>
        <vt:i4>2933</vt:i4>
      </vt:variant>
      <vt:variant>
        <vt:i4>0</vt:i4>
      </vt:variant>
      <vt:variant>
        <vt:i4>5</vt:i4>
      </vt:variant>
      <vt:variant>
        <vt:lpwstr/>
      </vt:variant>
      <vt:variant>
        <vt:lpwstr>_ENREF_264</vt:lpwstr>
      </vt:variant>
      <vt:variant>
        <vt:i4>4456459</vt:i4>
      </vt:variant>
      <vt:variant>
        <vt:i4>2927</vt:i4>
      </vt:variant>
      <vt:variant>
        <vt:i4>0</vt:i4>
      </vt:variant>
      <vt:variant>
        <vt:i4>5</vt:i4>
      </vt:variant>
      <vt:variant>
        <vt:lpwstr/>
      </vt:variant>
      <vt:variant>
        <vt:lpwstr>_ENREF_57</vt:lpwstr>
      </vt:variant>
      <vt:variant>
        <vt:i4>7471167</vt:i4>
      </vt:variant>
      <vt:variant>
        <vt:i4>2921</vt:i4>
      </vt:variant>
      <vt:variant>
        <vt:i4>0</vt:i4>
      </vt:variant>
      <vt:variant>
        <vt:i4>5</vt:i4>
      </vt:variant>
      <vt:variant>
        <vt:lpwstr/>
      </vt:variant>
      <vt:variant>
        <vt:lpwstr>_ENREF_142</vt:lpwstr>
      </vt:variant>
      <vt:variant>
        <vt:i4>4390923</vt:i4>
      </vt:variant>
      <vt:variant>
        <vt:i4>2915</vt:i4>
      </vt:variant>
      <vt:variant>
        <vt:i4>0</vt:i4>
      </vt:variant>
      <vt:variant>
        <vt:i4>5</vt:i4>
      </vt:variant>
      <vt:variant>
        <vt:lpwstr/>
      </vt:variant>
      <vt:variant>
        <vt:lpwstr>_ENREF_28</vt:lpwstr>
      </vt:variant>
      <vt:variant>
        <vt:i4>7340091</vt:i4>
      </vt:variant>
      <vt:variant>
        <vt:i4>2909</vt:i4>
      </vt:variant>
      <vt:variant>
        <vt:i4>0</vt:i4>
      </vt:variant>
      <vt:variant>
        <vt:i4>5</vt:i4>
      </vt:variant>
      <vt:variant>
        <vt:lpwstr/>
      </vt:variant>
      <vt:variant>
        <vt:lpwstr>_ENREF_203</vt:lpwstr>
      </vt:variant>
      <vt:variant>
        <vt:i4>4390923</vt:i4>
      </vt:variant>
      <vt:variant>
        <vt:i4>2903</vt:i4>
      </vt:variant>
      <vt:variant>
        <vt:i4>0</vt:i4>
      </vt:variant>
      <vt:variant>
        <vt:i4>5</vt:i4>
      </vt:variant>
      <vt:variant>
        <vt:lpwstr/>
      </vt:variant>
      <vt:variant>
        <vt:lpwstr>_ENREF_28</vt:lpwstr>
      </vt:variant>
      <vt:variant>
        <vt:i4>7405629</vt:i4>
      </vt:variant>
      <vt:variant>
        <vt:i4>2897</vt:i4>
      </vt:variant>
      <vt:variant>
        <vt:i4>0</vt:i4>
      </vt:variant>
      <vt:variant>
        <vt:i4>5</vt:i4>
      </vt:variant>
      <vt:variant>
        <vt:lpwstr/>
      </vt:variant>
      <vt:variant>
        <vt:lpwstr>_ENREF_262</vt:lpwstr>
      </vt:variant>
      <vt:variant>
        <vt:i4>7733311</vt:i4>
      </vt:variant>
      <vt:variant>
        <vt:i4>2891</vt:i4>
      </vt:variant>
      <vt:variant>
        <vt:i4>0</vt:i4>
      </vt:variant>
      <vt:variant>
        <vt:i4>5</vt:i4>
      </vt:variant>
      <vt:variant>
        <vt:lpwstr/>
      </vt:variant>
      <vt:variant>
        <vt:lpwstr>_ENREF_146</vt:lpwstr>
      </vt:variant>
      <vt:variant>
        <vt:i4>7405629</vt:i4>
      </vt:variant>
      <vt:variant>
        <vt:i4>2887</vt:i4>
      </vt:variant>
      <vt:variant>
        <vt:i4>0</vt:i4>
      </vt:variant>
      <vt:variant>
        <vt:i4>5</vt:i4>
      </vt:variant>
      <vt:variant>
        <vt:lpwstr/>
      </vt:variant>
      <vt:variant>
        <vt:lpwstr>_ENREF_262</vt:lpwstr>
      </vt:variant>
      <vt:variant>
        <vt:i4>4587531</vt:i4>
      </vt:variant>
      <vt:variant>
        <vt:i4>2884</vt:i4>
      </vt:variant>
      <vt:variant>
        <vt:i4>0</vt:i4>
      </vt:variant>
      <vt:variant>
        <vt:i4>5</vt:i4>
      </vt:variant>
      <vt:variant>
        <vt:lpwstr/>
      </vt:variant>
      <vt:variant>
        <vt:lpwstr>_ENREF_71</vt:lpwstr>
      </vt:variant>
      <vt:variant>
        <vt:i4>7471166</vt:i4>
      </vt:variant>
      <vt:variant>
        <vt:i4>2873</vt:i4>
      </vt:variant>
      <vt:variant>
        <vt:i4>0</vt:i4>
      </vt:variant>
      <vt:variant>
        <vt:i4>5</vt:i4>
      </vt:variant>
      <vt:variant>
        <vt:lpwstr/>
      </vt:variant>
      <vt:variant>
        <vt:lpwstr>_ENREF_251</vt:lpwstr>
      </vt:variant>
      <vt:variant>
        <vt:i4>4325387</vt:i4>
      </vt:variant>
      <vt:variant>
        <vt:i4>2869</vt:i4>
      </vt:variant>
      <vt:variant>
        <vt:i4>0</vt:i4>
      </vt:variant>
      <vt:variant>
        <vt:i4>5</vt:i4>
      </vt:variant>
      <vt:variant>
        <vt:lpwstr/>
      </vt:variant>
      <vt:variant>
        <vt:lpwstr>_ENREF_39</vt:lpwstr>
      </vt:variant>
      <vt:variant>
        <vt:i4>4390923</vt:i4>
      </vt:variant>
      <vt:variant>
        <vt:i4>2866</vt:i4>
      </vt:variant>
      <vt:variant>
        <vt:i4>0</vt:i4>
      </vt:variant>
      <vt:variant>
        <vt:i4>5</vt:i4>
      </vt:variant>
      <vt:variant>
        <vt:lpwstr/>
      </vt:variant>
      <vt:variant>
        <vt:lpwstr>_ENREF_20</vt:lpwstr>
      </vt:variant>
      <vt:variant>
        <vt:i4>7667768</vt:i4>
      </vt:variant>
      <vt:variant>
        <vt:i4>2863</vt:i4>
      </vt:variant>
      <vt:variant>
        <vt:i4>0</vt:i4>
      </vt:variant>
      <vt:variant>
        <vt:i4>5</vt:i4>
      </vt:variant>
      <vt:variant>
        <vt:lpwstr/>
      </vt:variant>
      <vt:variant>
        <vt:lpwstr>_ENREF_236</vt:lpwstr>
      </vt:variant>
      <vt:variant>
        <vt:i4>4718603</vt:i4>
      </vt:variant>
      <vt:variant>
        <vt:i4>2860</vt:i4>
      </vt:variant>
      <vt:variant>
        <vt:i4>0</vt:i4>
      </vt:variant>
      <vt:variant>
        <vt:i4>5</vt:i4>
      </vt:variant>
      <vt:variant>
        <vt:lpwstr/>
      </vt:variant>
      <vt:variant>
        <vt:lpwstr>_ENREF_98</vt:lpwstr>
      </vt:variant>
      <vt:variant>
        <vt:i4>7667771</vt:i4>
      </vt:variant>
      <vt:variant>
        <vt:i4>2850</vt:i4>
      </vt:variant>
      <vt:variant>
        <vt:i4>0</vt:i4>
      </vt:variant>
      <vt:variant>
        <vt:i4>5</vt:i4>
      </vt:variant>
      <vt:variant>
        <vt:lpwstr/>
      </vt:variant>
      <vt:variant>
        <vt:lpwstr>_ENREF_206</vt:lpwstr>
      </vt:variant>
      <vt:variant>
        <vt:i4>7471166</vt:i4>
      </vt:variant>
      <vt:variant>
        <vt:i4>2844</vt:i4>
      </vt:variant>
      <vt:variant>
        <vt:i4>0</vt:i4>
      </vt:variant>
      <vt:variant>
        <vt:i4>5</vt:i4>
      </vt:variant>
      <vt:variant>
        <vt:lpwstr/>
      </vt:variant>
      <vt:variant>
        <vt:lpwstr>_ENREF_251</vt:lpwstr>
      </vt:variant>
      <vt:variant>
        <vt:i4>7602227</vt:i4>
      </vt:variant>
      <vt:variant>
        <vt:i4>2838</vt:i4>
      </vt:variant>
      <vt:variant>
        <vt:i4>0</vt:i4>
      </vt:variant>
      <vt:variant>
        <vt:i4>5</vt:i4>
      </vt:variant>
      <vt:variant>
        <vt:lpwstr/>
      </vt:variant>
      <vt:variant>
        <vt:lpwstr>_ENREF_184</vt:lpwstr>
      </vt:variant>
      <vt:variant>
        <vt:i4>7340093</vt:i4>
      </vt:variant>
      <vt:variant>
        <vt:i4>2826</vt:i4>
      </vt:variant>
      <vt:variant>
        <vt:i4>0</vt:i4>
      </vt:variant>
      <vt:variant>
        <vt:i4>5</vt:i4>
      </vt:variant>
      <vt:variant>
        <vt:lpwstr/>
      </vt:variant>
      <vt:variant>
        <vt:lpwstr>_ENREF_160</vt:lpwstr>
      </vt:variant>
      <vt:variant>
        <vt:i4>7864383</vt:i4>
      </vt:variant>
      <vt:variant>
        <vt:i4>2820</vt:i4>
      </vt:variant>
      <vt:variant>
        <vt:i4>0</vt:i4>
      </vt:variant>
      <vt:variant>
        <vt:i4>5</vt:i4>
      </vt:variant>
      <vt:variant>
        <vt:lpwstr/>
      </vt:variant>
      <vt:variant>
        <vt:lpwstr>_ENREF_148</vt:lpwstr>
      </vt:variant>
      <vt:variant>
        <vt:i4>7864383</vt:i4>
      </vt:variant>
      <vt:variant>
        <vt:i4>2814</vt:i4>
      </vt:variant>
      <vt:variant>
        <vt:i4>0</vt:i4>
      </vt:variant>
      <vt:variant>
        <vt:i4>5</vt:i4>
      </vt:variant>
      <vt:variant>
        <vt:lpwstr/>
      </vt:variant>
      <vt:variant>
        <vt:lpwstr>_ENREF_148</vt:lpwstr>
      </vt:variant>
      <vt:variant>
        <vt:i4>4784139</vt:i4>
      </vt:variant>
      <vt:variant>
        <vt:i4>2808</vt:i4>
      </vt:variant>
      <vt:variant>
        <vt:i4>0</vt:i4>
      </vt:variant>
      <vt:variant>
        <vt:i4>5</vt:i4>
      </vt:variant>
      <vt:variant>
        <vt:lpwstr/>
      </vt:variant>
      <vt:variant>
        <vt:lpwstr>_ENREF_84</vt:lpwstr>
      </vt:variant>
      <vt:variant>
        <vt:i4>4521995</vt:i4>
      </vt:variant>
      <vt:variant>
        <vt:i4>2802</vt:i4>
      </vt:variant>
      <vt:variant>
        <vt:i4>0</vt:i4>
      </vt:variant>
      <vt:variant>
        <vt:i4>5</vt:i4>
      </vt:variant>
      <vt:variant>
        <vt:lpwstr/>
      </vt:variant>
      <vt:variant>
        <vt:lpwstr>_ENREF_43</vt:lpwstr>
      </vt:variant>
      <vt:variant>
        <vt:i4>4653067</vt:i4>
      </vt:variant>
      <vt:variant>
        <vt:i4>2796</vt:i4>
      </vt:variant>
      <vt:variant>
        <vt:i4>0</vt:i4>
      </vt:variant>
      <vt:variant>
        <vt:i4>5</vt:i4>
      </vt:variant>
      <vt:variant>
        <vt:lpwstr/>
      </vt:variant>
      <vt:variant>
        <vt:lpwstr>_ENREF_64</vt:lpwstr>
      </vt:variant>
      <vt:variant>
        <vt:i4>4653067</vt:i4>
      </vt:variant>
      <vt:variant>
        <vt:i4>2790</vt:i4>
      </vt:variant>
      <vt:variant>
        <vt:i4>0</vt:i4>
      </vt:variant>
      <vt:variant>
        <vt:i4>5</vt:i4>
      </vt:variant>
      <vt:variant>
        <vt:lpwstr/>
      </vt:variant>
      <vt:variant>
        <vt:lpwstr>_ENREF_63</vt:lpwstr>
      </vt:variant>
      <vt:variant>
        <vt:i4>4456459</vt:i4>
      </vt:variant>
      <vt:variant>
        <vt:i4>2784</vt:i4>
      </vt:variant>
      <vt:variant>
        <vt:i4>0</vt:i4>
      </vt:variant>
      <vt:variant>
        <vt:i4>5</vt:i4>
      </vt:variant>
      <vt:variant>
        <vt:lpwstr/>
      </vt:variant>
      <vt:variant>
        <vt:lpwstr>_ENREF_5</vt:lpwstr>
      </vt:variant>
      <vt:variant>
        <vt:i4>7471164</vt:i4>
      </vt:variant>
      <vt:variant>
        <vt:i4>2769</vt:i4>
      </vt:variant>
      <vt:variant>
        <vt:i4>0</vt:i4>
      </vt:variant>
      <vt:variant>
        <vt:i4>5</vt:i4>
      </vt:variant>
      <vt:variant>
        <vt:lpwstr/>
      </vt:variant>
      <vt:variant>
        <vt:lpwstr>_ENREF_172</vt:lpwstr>
      </vt:variant>
      <vt:variant>
        <vt:i4>4325387</vt:i4>
      </vt:variant>
      <vt:variant>
        <vt:i4>2765</vt:i4>
      </vt:variant>
      <vt:variant>
        <vt:i4>0</vt:i4>
      </vt:variant>
      <vt:variant>
        <vt:i4>5</vt:i4>
      </vt:variant>
      <vt:variant>
        <vt:lpwstr/>
      </vt:variant>
      <vt:variant>
        <vt:lpwstr>_ENREF_35</vt:lpwstr>
      </vt:variant>
      <vt:variant>
        <vt:i4>7733307</vt:i4>
      </vt:variant>
      <vt:variant>
        <vt:i4>2762</vt:i4>
      </vt:variant>
      <vt:variant>
        <vt:i4>0</vt:i4>
      </vt:variant>
      <vt:variant>
        <vt:i4>5</vt:i4>
      </vt:variant>
      <vt:variant>
        <vt:lpwstr/>
      </vt:variant>
      <vt:variant>
        <vt:lpwstr>_ENREF_205</vt:lpwstr>
      </vt:variant>
      <vt:variant>
        <vt:i4>4194315</vt:i4>
      </vt:variant>
      <vt:variant>
        <vt:i4>2756</vt:i4>
      </vt:variant>
      <vt:variant>
        <vt:i4>0</vt:i4>
      </vt:variant>
      <vt:variant>
        <vt:i4>5</vt:i4>
      </vt:variant>
      <vt:variant>
        <vt:lpwstr/>
      </vt:variant>
      <vt:variant>
        <vt:lpwstr>_ENREF_14</vt:lpwstr>
      </vt:variant>
      <vt:variant>
        <vt:i4>7471163</vt:i4>
      </vt:variant>
      <vt:variant>
        <vt:i4>2753</vt:i4>
      </vt:variant>
      <vt:variant>
        <vt:i4>0</vt:i4>
      </vt:variant>
      <vt:variant>
        <vt:i4>5</vt:i4>
      </vt:variant>
      <vt:variant>
        <vt:lpwstr/>
      </vt:variant>
      <vt:variant>
        <vt:lpwstr>_ENREF_201</vt:lpwstr>
      </vt:variant>
      <vt:variant>
        <vt:i4>7733304</vt:i4>
      </vt:variant>
      <vt:variant>
        <vt:i4>2750</vt:i4>
      </vt:variant>
      <vt:variant>
        <vt:i4>0</vt:i4>
      </vt:variant>
      <vt:variant>
        <vt:i4>5</vt:i4>
      </vt:variant>
      <vt:variant>
        <vt:lpwstr/>
      </vt:variant>
      <vt:variant>
        <vt:lpwstr>_ENREF_235</vt:lpwstr>
      </vt:variant>
      <vt:variant>
        <vt:i4>4390923</vt:i4>
      </vt:variant>
      <vt:variant>
        <vt:i4>2747</vt:i4>
      </vt:variant>
      <vt:variant>
        <vt:i4>0</vt:i4>
      </vt:variant>
      <vt:variant>
        <vt:i4>5</vt:i4>
      </vt:variant>
      <vt:variant>
        <vt:lpwstr/>
      </vt:variant>
      <vt:variant>
        <vt:lpwstr>_ENREF_22</vt:lpwstr>
      </vt:variant>
      <vt:variant>
        <vt:i4>7340095</vt:i4>
      </vt:variant>
      <vt:variant>
        <vt:i4>2739</vt:i4>
      </vt:variant>
      <vt:variant>
        <vt:i4>0</vt:i4>
      </vt:variant>
      <vt:variant>
        <vt:i4>5</vt:i4>
      </vt:variant>
      <vt:variant>
        <vt:lpwstr/>
      </vt:variant>
      <vt:variant>
        <vt:lpwstr>_ENREF_243</vt:lpwstr>
      </vt:variant>
      <vt:variant>
        <vt:i4>7798842</vt:i4>
      </vt:variant>
      <vt:variant>
        <vt:i4>2736</vt:i4>
      </vt:variant>
      <vt:variant>
        <vt:i4>0</vt:i4>
      </vt:variant>
      <vt:variant>
        <vt:i4>5</vt:i4>
      </vt:variant>
      <vt:variant>
        <vt:lpwstr/>
      </vt:variant>
      <vt:variant>
        <vt:lpwstr>_ENREF_214</vt:lpwstr>
      </vt:variant>
      <vt:variant>
        <vt:i4>7405626</vt:i4>
      </vt:variant>
      <vt:variant>
        <vt:i4>2733</vt:i4>
      </vt:variant>
      <vt:variant>
        <vt:i4>0</vt:i4>
      </vt:variant>
      <vt:variant>
        <vt:i4>5</vt:i4>
      </vt:variant>
      <vt:variant>
        <vt:lpwstr/>
      </vt:variant>
      <vt:variant>
        <vt:lpwstr>_ENREF_111</vt:lpwstr>
      </vt:variant>
      <vt:variant>
        <vt:i4>7471167</vt:i4>
      </vt:variant>
      <vt:variant>
        <vt:i4>2730</vt:i4>
      </vt:variant>
      <vt:variant>
        <vt:i4>0</vt:i4>
      </vt:variant>
      <vt:variant>
        <vt:i4>5</vt:i4>
      </vt:variant>
      <vt:variant>
        <vt:lpwstr/>
      </vt:variant>
      <vt:variant>
        <vt:lpwstr>_ENREF_241</vt:lpwstr>
      </vt:variant>
      <vt:variant>
        <vt:i4>7798846</vt:i4>
      </vt:variant>
      <vt:variant>
        <vt:i4>2727</vt:i4>
      </vt:variant>
      <vt:variant>
        <vt:i4>0</vt:i4>
      </vt:variant>
      <vt:variant>
        <vt:i4>5</vt:i4>
      </vt:variant>
      <vt:variant>
        <vt:lpwstr/>
      </vt:variant>
      <vt:variant>
        <vt:lpwstr>_ENREF_254</vt:lpwstr>
      </vt:variant>
      <vt:variant>
        <vt:i4>7405631</vt:i4>
      </vt:variant>
      <vt:variant>
        <vt:i4>2724</vt:i4>
      </vt:variant>
      <vt:variant>
        <vt:i4>0</vt:i4>
      </vt:variant>
      <vt:variant>
        <vt:i4>5</vt:i4>
      </vt:variant>
      <vt:variant>
        <vt:lpwstr/>
      </vt:variant>
      <vt:variant>
        <vt:lpwstr>_ENREF_242</vt:lpwstr>
      </vt:variant>
      <vt:variant>
        <vt:i4>7798841</vt:i4>
      </vt:variant>
      <vt:variant>
        <vt:i4>2721</vt:i4>
      </vt:variant>
      <vt:variant>
        <vt:i4>0</vt:i4>
      </vt:variant>
      <vt:variant>
        <vt:i4>5</vt:i4>
      </vt:variant>
      <vt:variant>
        <vt:lpwstr/>
      </vt:variant>
      <vt:variant>
        <vt:lpwstr>_ENREF_224</vt:lpwstr>
      </vt:variant>
      <vt:variant>
        <vt:i4>4390923</vt:i4>
      </vt:variant>
      <vt:variant>
        <vt:i4>2711</vt:i4>
      </vt:variant>
      <vt:variant>
        <vt:i4>0</vt:i4>
      </vt:variant>
      <vt:variant>
        <vt:i4>5</vt:i4>
      </vt:variant>
      <vt:variant>
        <vt:lpwstr/>
      </vt:variant>
      <vt:variant>
        <vt:lpwstr>_ENREF_21</vt:lpwstr>
      </vt:variant>
      <vt:variant>
        <vt:i4>7602227</vt:i4>
      </vt:variant>
      <vt:variant>
        <vt:i4>2705</vt:i4>
      </vt:variant>
      <vt:variant>
        <vt:i4>0</vt:i4>
      </vt:variant>
      <vt:variant>
        <vt:i4>5</vt:i4>
      </vt:variant>
      <vt:variant>
        <vt:lpwstr/>
      </vt:variant>
      <vt:variant>
        <vt:lpwstr>_ENREF_184</vt:lpwstr>
      </vt:variant>
      <vt:variant>
        <vt:i4>7798843</vt:i4>
      </vt:variant>
      <vt:variant>
        <vt:i4>2701</vt:i4>
      </vt:variant>
      <vt:variant>
        <vt:i4>0</vt:i4>
      </vt:variant>
      <vt:variant>
        <vt:i4>5</vt:i4>
      </vt:variant>
      <vt:variant>
        <vt:lpwstr/>
      </vt:variant>
      <vt:variant>
        <vt:lpwstr>_ENREF_107</vt:lpwstr>
      </vt:variant>
      <vt:variant>
        <vt:i4>7929914</vt:i4>
      </vt:variant>
      <vt:variant>
        <vt:i4>2698</vt:i4>
      </vt:variant>
      <vt:variant>
        <vt:i4>0</vt:i4>
      </vt:variant>
      <vt:variant>
        <vt:i4>5</vt:i4>
      </vt:variant>
      <vt:variant>
        <vt:lpwstr/>
      </vt:variant>
      <vt:variant>
        <vt:lpwstr>_ENREF_119</vt:lpwstr>
      </vt:variant>
      <vt:variant>
        <vt:i4>4259873</vt:i4>
      </vt:variant>
      <vt:variant>
        <vt:i4>2688</vt:i4>
      </vt:variant>
      <vt:variant>
        <vt:i4>0</vt:i4>
      </vt:variant>
      <vt:variant>
        <vt:i4>5</vt:i4>
      </vt:variant>
      <vt:variant>
        <vt:lpwstr>http://en.wikipedia.org/wiki/Isotopic_signature</vt:lpwstr>
      </vt:variant>
      <vt:variant>
        <vt:lpwstr/>
      </vt:variant>
      <vt:variant>
        <vt:i4>4784175</vt:i4>
      </vt:variant>
      <vt:variant>
        <vt:i4>2685</vt:i4>
      </vt:variant>
      <vt:variant>
        <vt:i4>0</vt:i4>
      </vt:variant>
      <vt:variant>
        <vt:i4>5</vt:i4>
      </vt:variant>
      <vt:variant>
        <vt:lpwstr>http://en.wikipedia.org/wiki/Stable_isotope</vt:lpwstr>
      </vt:variant>
      <vt:variant>
        <vt:lpwstr/>
      </vt:variant>
      <vt:variant>
        <vt:i4>7340095</vt:i4>
      </vt:variant>
      <vt:variant>
        <vt:i4>2679</vt:i4>
      </vt:variant>
      <vt:variant>
        <vt:i4>0</vt:i4>
      </vt:variant>
      <vt:variant>
        <vt:i4>5</vt:i4>
      </vt:variant>
      <vt:variant>
        <vt:lpwstr/>
      </vt:variant>
      <vt:variant>
        <vt:lpwstr>_ENREF_140</vt:lpwstr>
      </vt:variant>
      <vt:variant>
        <vt:i4>4587531</vt:i4>
      </vt:variant>
      <vt:variant>
        <vt:i4>2675</vt:i4>
      </vt:variant>
      <vt:variant>
        <vt:i4>0</vt:i4>
      </vt:variant>
      <vt:variant>
        <vt:i4>5</vt:i4>
      </vt:variant>
      <vt:variant>
        <vt:lpwstr/>
      </vt:variant>
      <vt:variant>
        <vt:lpwstr>_ENREF_75</vt:lpwstr>
      </vt:variant>
      <vt:variant>
        <vt:i4>4390923</vt:i4>
      </vt:variant>
      <vt:variant>
        <vt:i4>2672</vt:i4>
      </vt:variant>
      <vt:variant>
        <vt:i4>0</vt:i4>
      </vt:variant>
      <vt:variant>
        <vt:i4>5</vt:i4>
      </vt:variant>
      <vt:variant>
        <vt:lpwstr/>
      </vt:variant>
      <vt:variant>
        <vt:lpwstr>_ENREF_2</vt:lpwstr>
      </vt:variant>
      <vt:variant>
        <vt:i4>4784139</vt:i4>
      </vt:variant>
      <vt:variant>
        <vt:i4>2669</vt:i4>
      </vt:variant>
      <vt:variant>
        <vt:i4>0</vt:i4>
      </vt:variant>
      <vt:variant>
        <vt:i4>5</vt:i4>
      </vt:variant>
      <vt:variant>
        <vt:lpwstr/>
      </vt:variant>
      <vt:variant>
        <vt:lpwstr>_ENREF_85</vt:lpwstr>
      </vt:variant>
      <vt:variant>
        <vt:i4>7667775</vt:i4>
      </vt:variant>
      <vt:variant>
        <vt:i4>2666</vt:i4>
      </vt:variant>
      <vt:variant>
        <vt:i4>0</vt:i4>
      </vt:variant>
      <vt:variant>
        <vt:i4>5</vt:i4>
      </vt:variant>
      <vt:variant>
        <vt:lpwstr/>
      </vt:variant>
      <vt:variant>
        <vt:lpwstr>_ENREF_246</vt:lpwstr>
      </vt:variant>
      <vt:variant>
        <vt:i4>7602239</vt:i4>
      </vt:variant>
      <vt:variant>
        <vt:i4>2663</vt:i4>
      </vt:variant>
      <vt:variant>
        <vt:i4>0</vt:i4>
      </vt:variant>
      <vt:variant>
        <vt:i4>5</vt:i4>
      </vt:variant>
      <vt:variant>
        <vt:lpwstr/>
      </vt:variant>
      <vt:variant>
        <vt:lpwstr>_ENREF_144</vt:lpwstr>
      </vt:variant>
      <vt:variant>
        <vt:i4>7733311</vt:i4>
      </vt:variant>
      <vt:variant>
        <vt:i4>2653</vt:i4>
      </vt:variant>
      <vt:variant>
        <vt:i4>0</vt:i4>
      </vt:variant>
      <vt:variant>
        <vt:i4>5</vt:i4>
      </vt:variant>
      <vt:variant>
        <vt:lpwstr/>
      </vt:variant>
      <vt:variant>
        <vt:lpwstr>_ENREF_245</vt:lpwstr>
      </vt:variant>
      <vt:variant>
        <vt:i4>4587531</vt:i4>
      </vt:variant>
      <vt:variant>
        <vt:i4>2647</vt:i4>
      </vt:variant>
      <vt:variant>
        <vt:i4>0</vt:i4>
      </vt:variant>
      <vt:variant>
        <vt:i4>5</vt:i4>
      </vt:variant>
      <vt:variant>
        <vt:lpwstr/>
      </vt:variant>
      <vt:variant>
        <vt:lpwstr>_ENREF_73</vt:lpwstr>
      </vt:variant>
      <vt:variant>
        <vt:i4>7798841</vt:i4>
      </vt:variant>
      <vt:variant>
        <vt:i4>2641</vt:i4>
      </vt:variant>
      <vt:variant>
        <vt:i4>0</vt:i4>
      </vt:variant>
      <vt:variant>
        <vt:i4>5</vt:i4>
      </vt:variant>
      <vt:variant>
        <vt:lpwstr/>
      </vt:variant>
      <vt:variant>
        <vt:lpwstr>_ENREF_127</vt:lpwstr>
      </vt:variant>
      <vt:variant>
        <vt:i4>7733299</vt:i4>
      </vt:variant>
      <vt:variant>
        <vt:i4>2632</vt:i4>
      </vt:variant>
      <vt:variant>
        <vt:i4>0</vt:i4>
      </vt:variant>
      <vt:variant>
        <vt:i4>5</vt:i4>
      </vt:variant>
      <vt:variant>
        <vt:lpwstr/>
      </vt:variant>
      <vt:variant>
        <vt:lpwstr>_ENREF_186</vt:lpwstr>
      </vt:variant>
      <vt:variant>
        <vt:i4>7733299</vt:i4>
      </vt:variant>
      <vt:variant>
        <vt:i4>2626</vt:i4>
      </vt:variant>
      <vt:variant>
        <vt:i4>0</vt:i4>
      </vt:variant>
      <vt:variant>
        <vt:i4>5</vt:i4>
      </vt:variant>
      <vt:variant>
        <vt:lpwstr/>
      </vt:variant>
      <vt:variant>
        <vt:lpwstr>_ENREF_186</vt:lpwstr>
      </vt:variant>
      <vt:variant>
        <vt:i4>4194315</vt:i4>
      </vt:variant>
      <vt:variant>
        <vt:i4>2620</vt:i4>
      </vt:variant>
      <vt:variant>
        <vt:i4>0</vt:i4>
      </vt:variant>
      <vt:variant>
        <vt:i4>5</vt:i4>
      </vt:variant>
      <vt:variant>
        <vt:lpwstr/>
      </vt:variant>
      <vt:variant>
        <vt:lpwstr>_ENREF_10</vt:lpwstr>
      </vt:variant>
      <vt:variant>
        <vt:i4>7667771</vt:i4>
      </vt:variant>
      <vt:variant>
        <vt:i4>2614</vt:i4>
      </vt:variant>
      <vt:variant>
        <vt:i4>0</vt:i4>
      </vt:variant>
      <vt:variant>
        <vt:i4>5</vt:i4>
      </vt:variant>
      <vt:variant>
        <vt:lpwstr/>
      </vt:variant>
      <vt:variant>
        <vt:lpwstr>_ENREF_105</vt:lpwstr>
      </vt:variant>
      <vt:variant>
        <vt:i4>7340090</vt:i4>
      </vt:variant>
      <vt:variant>
        <vt:i4>2608</vt:i4>
      </vt:variant>
      <vt:variant>
        <vt:i4>0</vt:i4>
      </vt:variant>
      <vt:variant>
        <vt:i4>5</vt:i4>
      </vt:variant>
      <vt:variant>
        <vt:lpwstr/>
      </vt:variant>
      <vt:variant>
        <vt:lpwstr>_ENREF_110</vt:lpwstr>
      </vt:variant>
      <vt:variant>
        <vt:i4>4718603</vt:i4>
      </vt:variant>
      <vt:variant>
        <vt:i4>2602</vt:i4>
      </vt:variant>
      <vt:variant>
        <vt:i4>0</vt:i4>
      </vt:variant>
      <vt:variant>
        <vt:i4>5</vt:i4>
      </vt:variant>
      <vt:variant>
        <vt:lpwstr/>
      </vt:variant>
      <vt:variant>
        <vt:lpwstr>_ENREF_93</vt:lpwstr>
      </vt:variant>
      <vt:variant>
        <vt:i4>4194315</vt:i4>
      </vt:variant>
      <vt:variant>
        <vt:i4>2596</vt:i4>
      </vt:variant>
      <vt:variant>
        <vt:i4>0</vt:i4>
      </vt:variant>
      <vt:variant>
        <vt:i4>5</vt:i4>
      </vt:variant>
      <vt:variant>
        <vt:lpwstr/>
      </vt:variant>
      <vt:variant>
        <vt:lpwstr>_ENREF_10</vt:lpwstr>
      </vt:variant>
      <vt:variant>
        <vt:i4>7667771</vt:i4>
      </vt:variant>
      <vt:variant>
        <vt:i4>2590</vt:i4>
      </vt:variant>
      <vt:variant>
        <vt:i4>0</vt:i4>
      </vt:variant>
      <vt:variant>
        <vt:i4>5</vt:i4>
      </vt:variant>
      <vt:variant>
        <vt:lpwstr/>
      </vt:variant>
      <vt:variant>
        <vt:lpwstr>_ENREF_105</vt:lpwstr>
      </vt:variant>
      <vt:variant>
        <vt:i4>7864379</vt:i4>
      </vt:variant>
      <vt:variant>
        <vt:i4>2584</vt:i4>
      </vt:variant>
      <vt:variant>
        <vt:i4>0</vt:i4>
      </vt:variant>
      <vt:variant>
        <vt:i4>5</vt:i4>
      </vt:variant>
      <vt:variant>
        <vt:lpwstr/>
      </vt:variant>
      <vt:variant>
        <vt:lpwstr>_ENREF_108</vt:lpwstr>
      </vt:variant>
      <vt:variant>
        <vt:i4>4194315</vt:i4>
      </vt:variant>
      <vt:variant>
        <vt:i4>2578</vt:i4>
      </vt:variant>
      <vt:variant>
        <vt:i4>0</vt:i4>
      </vt:variant>
      <vt:variant>
        <vt:i4>5</vt:i4>
      </vt:variant>
      <vt:variant>
        <vt:lpwstr/>
      </vt:variant>
      <vt:variant>
        <vt:lpwstr>_ENREF_10</vt:lpwstr>
      </vt:variant>
      <vt:variant>
        <vt:i4>7995450</vt:i4>
      </vt:variant>
      <vt:variant>
        <vt:i4>2572</vt:i4>
      </vt:variant>
      <vt:variant>
        <vt:i4>0</vt:i4>
      </vt:variant>
      <vt:variant>
        <vt:i4>5</vt:i4>
      </vt:variant>
      <vt:variant>
        <vt:lpwstr/>
      </vt:variant>
      <vt:variant>
        <vt:lpwstr>_ENREF_219</vt:lpwstr>
      </vt:variant>
      <vt:variant>
        <vt:i4>4456459</vt:i4>
      </vt:variant>
      <vt:variant>
        <vt:i4>2566</vt:i4>
      </vt:variant>
      <vt:variant>
        <vt:i4>0</vt:i4>
      </vt:variant>
      <vt:variant>
        <vt:i4>5</vt:i4>
      </vt:variant>
      <vt:variant>
        <vt:lpwstr/>
      </vt:variant>
      <vt:variant>
        <vt:lpwstr>_ENREF_59</vt:lpwstr>
      </vt:variant>
      <vt:variant>
        <vt:i4>4325387</vt:i4>
      </vt:variant>
      <vt:variant>
        <vt:i4>2560</vt:i4>
      </vt:variant>
      <vt:variant>
        <vt:i4>0</vt:i4>
      </vt:variant>
      <vt:variant>
        <vt:i4>5</vt:i4>
      </vt:variant>
      <vt:variant>
        <vt:lpwstr/>
      </vt:variant>
      <vt:variant>
        <vt:lpwstr>_ENREF_34</vt:lpwstr>
      </vt:variant>
      <vt:variant>
        <vt:i4>7340091</vt:i4>
      </vt:variant>
      <vt:variant>
        <vt:i4>2557</vt:i4>
      </vt:variant>
      <vt:variant>
        <vt:i4>0</vt:i4>
      </vt:variant>
      <vt:variant>
        <vt:i4>5</vt:i4>
      </vt:variant>
      <vt:variant>
        <vt:lpwstr/>
      </vt:variant>
      <vt:variant>
        <vt:lpwstr>_ENREF_100</vt:lpwstr>
      </vt:variant>
      <vt:variant>
        <vt:i4>7929914</vt:i4>
      </vt:variant>
      <vt:variant>
        <vt:i4>2553</vt:i4>
      </vt:variant>
      <vt:variant>
        <vt:i4>0</vt:i4>
      </vt:variant>
      <vt:variant>
        <vt:i4>5</vt:i4>
      </vt:variant>
      <vt:variant>
        <vt:lpwstr/>
      </vt:variant>
      <vt:variant>
        <vt:lpwstr>_ENREF_119</vt:lpwstr>
      </vt:variant>
      <vt:variant>
        <vt:i4>4325387</vt:i4>
      </vt:variant>
      <vt:variant>
        <vt:i4>2550</vt:i4>
      </vt:variant>
      <vt:variant>
        <vt:i4>0</vt:i4>
      </vt:variant>
      <vt:variant>
        <vt:i4>5</vt:i4>
      </vt:variant>
      <vt:variant>
        <vt:lpwstr/>
      </vt:variant>
      <vt:variant>
        <vt:lpwstr>_ENREF_3</vt:lpwstr>
      </vt:variant>
      <vt:variant>
        <vt:i4>4718603</vt:i4>
      </vt:variant>
      <vt:variant>
        <vt:i4>2540</vt:i4>
      </vt:variant>
      <vt:variant>
        <vt:i4>0</vt:i4>
      </vt:variant>
      <vt:variant>
        <vt:i4>5</vt:i4>
      </vt:variant>
      <vt:variant>
        <vt:lpwstr/>
      </vt:variant>
      <vt:variant>
        <vt:lpwstr>_ENREF_93</vt:lpwstr>
      </vt:variant>
      <vt:variant>
        <vt:i4>4194315</vt:i4>
      </vt:variant>
      <vt:variant>
        <vt:i4>2534</vt:i4>
      </vt:variant>
      <vt:variant>
        <vt:i4>0</vt:i4>
      </vt:variant>
      <vt:variant>
        <vt:i4>5</vt:i4>
      </vt:variant>
      <vt:variant>
        <vt:lpwstr/>
      </vt:variant>
      <vt:variant>
        <vt:lpwstr>_ENREF_10</vt:lpwstr>
      </vt:variant>
      <vt:variant>
        <vt:i4>4718603</vt:i4>
      </vt:variant>
      <vt:variant>
        <vt:i4>2528</vt:i4>
      </vt:variant>
      <vt:variant>
        <vt:i4>0</vt:i4>
      </vt:variant>
      <vt:variant>
        <vt:i4>5</vt:i4>
      </vt:variant>
      <vt:variant>
        <vt:lpwstr/>
      </vt:variant>
      <vt:variant>
        <vt:lpwstr>_ENREF_93</vt:lpwstr>
      </vt:variant>
      <vt:variant>
        <vt:i4>4718603</vt:i4>
      </vt:variant>
      <vt:variant>
        <vt:i4>2522</vt:i4>
      </vt:variant>
      <vt:variant>
        <vt:i4>0</vt:i4>
      </vt:variant>
      <vt:variant>
        <vt:i4>5</vt:i4>
      </vt:variant>
      <vt:variant>
        <vt:lpwstr/>
      </vt:variant>
      <vt:variant>
        <vt:lpwstr>_ENREF_93</vt:lpwstr>
      </vt:variant>
      <vt:variant>
        <vt:i4>4194315</vt:i4>
      </vt:variant>
      <vt:variant>
        <vt:i4>2516</vt:i4>
      </vt:variant>
      <vt:variant>
        <vt:i4>0</vt:i4>
      </vt:variant>
      <vt:variant>
        <vt:i4>5</vt:i4>
      </vt:variant>
      <vt:variant>
        <vt:lpwstr/>
      </vt:variant>
      <vt:variant>
        <vt:lpwstr>_ENREF_10</vt:lpwstr>
      </vt:variant>
      <vt:variant>
        <vt:i4>7995450</vt:i4>
      </vt:variant>
      <vt:variant>
        <vt:i4>2510</vt:i4>
      </vt:variant>
      <vt:variant>
        <vt:i4>0</vt:i4>
      </vt:variant>
      <vt:variant>
        <vt:i4>5</vt:i4>
      </vt:variant>
      <vt:variant>
        <vt:lpwstr/>
      </vt:variant>
      <vt:variant>
        <vt:lpwstr>_ENREF_219</vt:lpwstr>
      </vt:variant>
      <vt:variant>
        <vt:i4>7602227</vt:i4>
      </vt:variant>
      <vt:variant>
        <vt:i4>2504</vt:i4>
      </vt:variant>
      <vt:variant>
        <vt:i4>0</vt:i4>
      </vt:variant>
      <vt:variant>
        <vt:i4>5</vt:i4>
      </vt:variant>
      <vt:variant>
        <vt:lpwstr/>
      </vt:variant>
      <vt:variant>
        <vt:lpwstr>_ENREF_184</vt:lpwstr>
      </vt:variant>
      <vt:variant>
        <vt:i4>4390923</vt:i4>
      </vt:variant>
      <vt:variant>
        <vt:i4>2498</vt:i4>
      </vt:variant>
      <vt:variant>
        <vt:i4>0</vt:i4>
      </vt:variant>
      <vt:variant>
        <vt:i4>5</vt:i4>
      </vt:variant>
      <vt:variant>
        <vt:lpwstr/>
      </vt:variant>
      <vt:variant>
        <vt:lpwstr>_ENREF_23</vt:lpwstr>
      </vt:variant>
      <vt:variant>
        <vt:i4>7602226</vt:i4>
      </vt:variant>
      <vt:variant>
        <vt:i4>2492</vt:i4>
      </vt:variant>
      <vt:variant>
        <vt:i4>0</vt:i4>
      </vt:variant>
      <vt:variant>
        <vt:i4>5</vt:i4>
      </vt:variant>
      <vt:variant>
        <vt:lpwstr/>
      </vt:variant>
      <vt:variant>
        <vt:lpwstr>_ENREF_194</vt:lpwstr>
      </vt:variant>
      <vt:variant>
        <vt:i4>7602227</vt:i4>
      </vt:variant>
      <vt:variant>
        <vt:i4>2480</vt:i4>
      </vt:variant>
      <vt:variant>
        <vt:i4>0</vt:i4>
      </vt:variant>
      <vt:variant>
        <vt:i4>5</vt:i4>
      </vt:variant>
      <vt:variant>
        <vt:lpwstr/>
      </vt:variant>
      <vt:variant>
        <vt:lpwstr>_ENREF_184</vt:lpwstr>
      </vt:variant>
      <vt:variant>
        <vt:i4>7798840</vt:i4>
      </vt:variant>
      <vt:variant>
        <vt:i4>2471</vt:i4>
      </vt:variant>
      <vt:variant>
        <vt:i4>0</vt:i4>
      </vt:variant>
      <vt:variant>
        <vt:i4>5</vt:i4>
      </vt:variant>
      <vt:variant>
        <vt:lpwstr/>
      </vt:variant>
      <vt:variant>
        <vt:lpwstr>_ENREF_137</vt:lpwstr>
      </vt:variant>
      <vt:variant>
        <vt:i4>4521995</vt:i4>
      </vt:variant>
      <vt:variant>
        <vt:i4>2465</vt:i4>
      </vt:variant>
      <vt:variant>
        <vt:i4>0</vt:i4>
      </vt:variant>
      <vt:variant>
        <vt:i4>5</vt:i4>
      </vt:variant>
      <vt:variant>
        <vt:lpwstr/>
      </vt:variant>
      <vt:variant>
        <vt:lpwstr>_ENREF_41</vt:lpwstr>
      </vt:variant>
      <vt:variant>
        <vt:i4>4194315</vt:i4>
      </vt:variant>
      <vt:variant>
        <vt:i4>2444</vt:i4>
      </vt:variant>
      <vt:variant>
        <vt:i4>0</vt:i4>
      </vt:variant>
      <vt:variant>
        <vt:i4>5</vt:i4>
      </vt:variant>
      <vt:variant>
        <vt:lpwstr/>
      </vt:variant>
      <vt:variant>
        <vt:lpwstr>_ENREF_18</vt:lpwstr>
      </vt:variant>
      <vt:variant>
        <vt:i4>7798835</vt:i4>
      </vt:variant>
      <vt:variant>
        <vt:i4>2438</vt:i4>
      </vt:variant>
      <vt:variant>
        <vt:i4>0</vt:i4>
      </vt:variant>
      <vt:variant>
        <vt:i4>5</vt:i4>
      </vt:variant>
      <vt:variant>
        <vt:lpwstr/>
      </vt:variant>
      <vt:variant>
        <vt:lpwstr>_ENREF_187</vt:lpwstr>
      </vt:variant>
      <vt:variant>
        <vt:i4>4325387</vt:i4>
      </vt:variant>
      <vt:variant>
        <vt:i4>2432</vt:i4>
      </vt:variant>
      <vt:variant>
        <vt:i4>0</vt:i4>
      </vt:variant>
      <vt:variant>
        <vt:i4>5</vt:i4>
      </vt:variant>
      <vt:variant>
        <vt:lpwstr/>
      </vt:variant>
      <vt:variant>
        <vt:lpwstr>_ENREF_36</vt:lpwstr>
      </vt:variant>
      <vt:variant>
        <vt:i4>7471161</vt:i4>
      </vt:variant>
      <vt:variant>
        <vt:i4>2423</vt:i4>
      </vt:variant>
      <vt:variant>
        <vt:i4>0</vt:i4>
      </vt:variant>
      <vt:variant>
        <vt:i4>5</vt:i4>
      </vt:variant>
      <vt:variant>
        <vt:lpwstr/>
      </vt:variant>
      <vt:variant>
        <vt:lpwstr>_ENREF_122</vt:lpwstr>
      </vt:variant>
      <vt:variant>
        <vt:i4>7667770</vt:i4>
      </vt:variant>
      <vt:variant>
        <vt:i4>2417</vt:i4>
      </vt:variant>
      <vt:variant>
        <vt:i4>0</vt:i4>
      </vt:variant>
      <vt:variant>
        <vt:i4>5</vt:i4>
      </vt:variant>
      <vt:variant>
        <vt:lpwstr/>
      </vt:variant>
      <vt:variant>
        <vt:lpwstr>_ENREF_216</vt:lpwstr>
      </vt:variant>
      <vt:variant>
        <vt:i4>4784139</vt:i4>
      </vt:variant>
      <vt:variant>
        <vt:i4>2411</vt:i4>
      </vt:variant>
      <vt:variant>
        <vt:i4>0</vt:i4>
      </vt:variant>
      <vt:variant>
        <vt:i4>5</vt:i4>
      </vt:variant>
      <vt:variant>
        <vt:lpwstr/>
      </vt:variant>
      <vt:variant>
        <vt:lpwstr>_ENREF_80</vt:lpwstr>
      </vt:variant>
      <vt:variant>
        <vt:i4>4521995</vt:i4>
      </vt:variant>
      <vt:variant>
        <vt:i4>2405</vt:i4>
      </vt:variant>
      <vt:variant>
        <vt:i4>0</vt:i4>
      </vt:variant>
      <vt:variant>
        <vt:i4>5</vt:i4>
      </vt:variant>
      <vt:variant>
        <vt:lpwstr/>
      </vt:variant>
      <vt:variant>
        <vt:lpwstr>_ENREF_41</vt:lpwstr>
      </vt:variant>
      <vt:variant>
        <vt:i4>4587531</vt:i4>
      </vt:variant>
      <vt:variant>
        <vt:i4>2399</vt:i4>
      </vt:variant>
      <vt:variant>
        <vt:i4>0</vt:i4>
      </vt:variant>
      <vt:variant>
        <vt:i4>5</vt:i4>
      </vt:variant>
      <vt:variant>
        <vt:lpwstr/>
      </vt:variant>
      <vt:variant>
        <vt:lpwstr>_ENREF_72</vt:lpwstr>
      </vt:variant>
      <vt:variant>
        <vt:i4>7340089</vt:i4>
      </vt:variant>
      <vt:variant>
        <vt:i4>2395</vt:i4>
      </vt:variant>
      <vt:variant>
        <vt:i4>0</vt:i4>
      </vt:variant>
      <vt:variant>
        <vt:i4>5</vt:i4>
      </vt:variant>
      <vt:variant>
        <vt:lpwstr/>
      </vt:variant>
      <vt:variant>
        <vt:lpwstr>_ENREF_120</vt:lpwstr>
      </vt:variant>
      <vt:variant>
        <vt:i4>7405629</vt:i4>
      </vt:variant>
      <vt:variant>
        <vt:i4>2392</vt:i4>
      </vt:variant>
      <vt:variant>
        <vt:i4>0</vt:i4>
      </vt:variant>
      <vt:variant>
        <vt:i4>5</vt:i4>
      </vt:variant>
      <vt:variant>
        <vt:lpwstr/>
      </vt:variant>
      <vt:variant>
        <vt:lpwstr>_ENREF_161</vt:lpwstr>
      </vt:variant>
      <vt:variant>
        <vt:i4>7405629</vt:i4>
      </vt:variant>
      <vt:variant>
        <vt:i4>2384</vt:i4>
      </vt:variant>
      <vt:variant>
        <vt:i4>0</vt:i4>
      </vt:variant>
      <vt:variant>
        <vt:i4>5</vt:i4>
      </vt:variant>
      <vt:variant>
        <vt:lpwstr/>
      </vt:variant>
      <vt:variant>
        <vt:lpwstr>_ENREF_161</vt:lpwstr>
      </vt:variant>
      <vt:variant>
        <vt:i4>7602234</vt:i4>
      </vt:variant>
      <vt:variant>
        <vt:i4>2378</vt:i4>
      </vt:variant>
      <vt:variant>
        <vt:i4>0</vt:i4>
      </vt:variant>
      <vt:variant>
        <vt:i4>5</vt:i4>
      </vt:variant>
      <vt:variant>
        <vt:lpwstr/>
      </vt:variant>
      <vt:variant>
        <vt:lpwstr>_ENREF_114</vt:lpwstr>
      </vt:variant>
      <vt:variant>
        <vt:i4>7536701</vt:i4>
      </vt:variant>
      <vt:variant>
        <vt:i4>2372</vt:i4>
      </vt:variant>
      <vt:variant>
        <vt:i4>0</vt:i4>
      </vt:variant>
      <vt:variant>
        <vt:i4>5</vt:i4>
      </vt:variant>
      <vt:variant>
        <vt:lpwstr/>
      </vt:variant>
      <vt:variant>
        <vt:lpwstr>_ENREF_260</vt:lpwstr>
      </vt:variant>
      <vt:variant>
        <vt:i4>7536703</vt:i4>
      </vt:variant>
      <vt:variant>
        <vt:i4>2366</vt:i4>
      </vt:variant>
      <vt:variant>
        <vt:i4>0</vt:i4>
      </vt:variant>
      <vt:variant>
        <vt:i4>5</vt:i4>
      </vt:variant>
      <vt:variant>
        <vt:lpwstr/>
      </vt:variant>
      <vt:variant>
        <vt:lpwstr>_ENREF_143</vt:lpwstr>
      </vt:variant>
      <vt:variant>
        <vt:i4>7405628</vt:i4>
      </vt:variant>
      <vt:variant>
        <vt:i4>2360</vt:i4>
      </vt:variant>
      <vt:variant>
        <vt:i4>0</vt:i4>
      </vt:variant>
      <vt:variant>
        <vt:i4>5</vt:i4>
      </vt:variant>
      <vt:variant>
        <vt:lpwstr/>
      </vt:variant>
      <vt:variant>
        <vt:lpwstr>_ENREF_171</vt:lpwstr>
      </vt:variant>
      <vt:variant>
        <vt:i4>7602236</vt:i4>
      </vt:variant>
      <vt:variant>
        <vt:i4>2354</vt:i4>
      </vt:variant>
      <vt:variant>
        <vt:i4>0</vt:i4>
      </vt:variant>
      <vt:variant>
        <vt:i4>5</vt:i4>
      </vt:variant>
      <vt:variant>
        <vt:lpwstr/>
      </vt:variant>
      <vt:variant>
        <vt:lpwstr>_ENREF_174</vt:lpwstr>
      </vt:variant>
      <vt:variant>
        <vt:i4>7405631</vt:i4>
      </vt:variant>
      <vt:variant>
        <vt:i4>2333</vt:i4>
      </vt:variant>
      <vt:variant>
        <vt:i4>0</vt:i4>
      </vt:variant>
      <vt:variant>
        <vt:i4>5</vt:i4>
      </vt:variant>
      <vt:variant>
        <vt:lpwstr/>
      </vt:variant>
      <vt:variant>
        <vt:lpwstr>_ENREF_141</vt:lpwstr>
      </vt:variant>
      <vt:variant>
        <vt:i4>4521995</vt:i4>
      </vt:variant>
      <vt:variant>
        <vt:i4>2321</vt:i4>
      </vt:variant>
      <vt:variant>
        <vt:i4>0</vt:i4>
      </vt:variant>
      <vt:variant>
        <vt:i4>5</vt:i4>
      </vt:variant>
      <vt:variant>
        <vt:lpwstr/>
      </vt:variant>
      <vt:variant>
        <vt:lpwstr>_ENREF_4</vt:lpwstr>
      </vt:variant>
      <vt:variant>
        <vt:i4>7536691</vt:i4>
      </vt:variant>
      <vt:variant>
        <vt:i4>2315</vt:i4>
      </vt:variant>
      <vt:variant>
        <vt:i4>0</vt:i4>
      </vt:variant>
      <vt:variant>
        <vt:i4>5</vt:i4>
      </vt:variant>
      <vt:variant>
        <vt:lpwstr/>
      </vt:variant>
      <vt:variant>
        <vt:lpwstr>_ENREF_183</vt:lpwstr>
      </vt:variant>
      <vt:variant>
        <vt:i4>7340094</vt:i4>
      </vt:variant>
      <vt:variant>
        <vt:i4>2309</vt:i4>
      </vt:variant>
      <vt:variant>
        <vt:i4>0</vt:i4>
      </vt:variant>
      <vt:variant>
        <vt:i4>5</vt:i4>
      </vt:variant>
      <vt:variant>
        <vt:lpwstr/>
      </vt:variant>
      <vt:variant>
        <vt:lpwstr>_ENREF_150</vt:lpwstr>
      </vt:variant>
      <vt:variant>
        <vt:i4>7667773</vt:i4>
      </vt:variant>
      <vt:variant>
        <vt:i4>2303</vt:i4>
      </vt:variant>
      <vt:variant>
        <vt:i4>0</vt:i4>
      </vt:variant>
      <vt:variant>
        <vt:i4>5</vt:i4>
      </vt:variant>
      <vt:variant>
        <vt:lpwstr/>
      </vt:variant>
      <vt:variant>
        <vt:lpwstr>_ENREF_165</vt:lpwstr>
      </vt:variant>
      <vt:variant>
        <vt:i4>4521995</vt:i4>
      </vt:variant>
      <vt:variant>
        <vt:i4>2297</vt:i4>
      </vt:variant>
      <vt:variant>
        <vt:i4>0</vt:i4>
      </vt:variant>
      <vt:variant>
        <vt:i4>5</vt:i4>
      </vt:variant>
      <vt:variant>
        <vt:lpwstr/>
      </vt:variant>
      <vt:variant>
        <vt:lpwstr>_ENREF_41</vt:lpwstr>
      </vt:variant>
      <vt:variant>
        <vt:i4>4718603</vt:i4>
      </vt:variant>
      <vt:variant>
        <vt:i4>2291</vt:i4>
      </vt:variant>
      <vt:variant>
        <vt:i4>0</vt:i4>
      </vt:variant>
      <vt:variant>
        <vt:i4>5</vt:i4>
      </vt:variant>
      <vt:variant>
        <vt:lpwstr/>
      </vt:variant>
      <vt:variant>
        <vt:lpwstr>_ENREF_95</vt:lpwstr>
      </vt:variant>
      <vt:variant>
        <vt:i4>4456459</vt:i4>
      </vt:variant>
      <vt:variant>
        <vt:i4>2284</vt:i4>
      </vt:variant>
      <vt:variant>
        <vt:i4>0</vt:i4>
      </vt:variant>
      <vt:variant>
        <vt:i4>5</vt:i4>
      </vt:variant>
      <vt:variant>
        <vt:lpwstr/>
      </vt:variant>
      <vt:variant>
        <vt:lpwstr>_ENREF_56</vt:lpwstr>
      </vt:variant>
      <vt:variant>
        <vt:i4>4456459</vt:i4>
      </vt:variant>
      <vt:variant>
        <vt:i4>2281</vt:i4>
      </vt:variant>
      <vt:variant>
        <vt:i4>0</vt:i4>
      </vt:variant>
      <vt:variant>
        <vt:i4>5</vt:i4>
      </vt:variant>
      <vt:variant>
        <vt:lpwstr/>
      </vt:variant>
      <vt:variant>
        <vt:lpwstr>_ENREF_54</vt:lpwstr>
      </vt:variant>
      <vt:variant>
        <vt:i4>4456459</vt:i4>
      </vt:variant>
      <vt:variant>
        <vt:i4>2278</vt:i4>
      </vt:variant>
      <vt:variant>
        <vt:i4>0</vt:i4>
      </vt:variant>
      <vt:variant>
        <vt:i4>5</vt:i4>
      </vt:variant>
      <vt:variant>
        <vt:lpwstr/>
      </vt:variant>
      <vt:variant>
        <vt:lpwstr>_ENREF_55</vt:lpwstr>
      </vt:variant>
      <vt:variant>
        <vt:i4>4456459</vt:i4>
      </vt:variant>
      <vt:variant>
        <vt:i4>2275</vt:i4>
      </vt:variant>
      <vt:variant>
        <vt:i4>0</vt:i4>
      </vt:variant>
      <vt:variant>
        <vt:i4>5</vt:i4>
      </vt:variant>
      <vt:variant>
        <vt:lpwstr/>
      </vt:variant>
      <vt:variant>
        <vt:lpwstr>_ENREF_53</vt:lpwstr>
      </vt:variant>
      <vt:variant>
        <vt:i4>4390923</vt:i4>
      </vt:variant>
      <vt:variant>
        <vt:i4>2265</vt:i4>
      </vt:variant>
      <vt:variant>
        <vt:i4>0</vt:i4>
      </vt:variant>
      <vt:variant>
        <vt:i4>5</vt:i4>
      </vt:variant>
      <vt:variant>
        <vt:lpwstr/>
      </vt:variant>
      <vt:variant>
        <vt:lpwstr>_ENREF_27</vt:lpwstr>
      </vt:variant>
      <vt:variant>
        <vt:i4>7929918</vt:i4>
      </vt:variant>
      <vt:variant>
        <vt:i4>2261</vt:i4>
      </vt:variant>
      <vt:variant>
        <vt:i4>0</vt:i4>
      </vt:variant>
      <vt:variant>
        <vt:i4>5</vt:i4>
      </vt:variant>
      <vt:variant>
        <vt:lpwstr/>
      </vt:variant>
      <vt:variant>
        <vt:lpwstr>_ENREF_159</vt:lpwstr>
      </vt:variant>
      <vt:variant>
        <vt:i4>7602226</vt:i4>
      </vt:variant>
      <vt:variant>
        <vt:i4>2258</vt:i4>
      </vt:variant>
      <vt:variant>
        <vt:i4>0</vt:i4>
      </vt:variant>
      <vt:variant>
        <vt:i4>5</vt:i4>
      </vt:variant>
      <vt:variant>
        <vt:lpwstr/>
      </vt:variant>
      <vt:variant>
        <vt:lpwstr>_ENREF_194</vt:lpwstr>
      </vt:variant>
      <vt:variant>
        <vt:i4>7405618</vt:i4>
      </vt:variant>
      <vt:variant>
        <vt:i4>2255</vt:i4>
      </vt:variant>
      <vt:variant>
        <vt:i4>0</vt:i4>
      </vt:variant>
      <vt:variant>
        <vt:i4>5</vt:i4>
      </vt:variant>
      <vt:variant>
        <vt:lpwstr/>
      </vt:variant>
      <vt:variant>
        <vt:lpwstr>_ENREF_191</vt:lpwstr>
      </vt:variant>
      <vt:variant>
        <vt:i4>7864382</vt:i4>
      </vt:variant>
      <vt:variant>
        <vt:i4>2252</vt:i4>
      </vt:variant>
      <vt:variant>
        <vt:i4>0</vt:i4>
      </vt:variant>
      <vt:variant>
        <vt:i4>5</vt:i4>
      </vt:variant>
      <vt:variant>
        <vt:lpwstr/>
      </vt:variant>
      <vt:variant>
        <vt:lpwstr>_ENREF_158</vt:lpwstr>
      </vt:variant>
      <vt:variant>
        <vt:i4>7733298</vt:i4>
      </vt:variant>
      <vt:variant>
        <vt:i4>2249</vt:i4>
      </vt:variant>
      <vt:variant>
        <vt:i4>0</vt:i4>
      </vt:variant>
      <vt:variant>
        <vt:i4>5</vt:i4>
      </vt:variant>
      <vt:variant>
        <vt:lpwstr/>
      </vt:variant>
      <vt:variant>
        <vt:lpwstr>_ENREF_196</vt:lpwstr>
      </vt:variant>
      <vt:variant>
        <vt:i4>4325387</vt:i4>
      </vt:variant>
      <vt:variant>
        <vt:i4>2246</vt:i4>
      </vt:variant>
      <vt:variant>
        <vt:i4>0</vt:i4>
      </vt:variant>
      <vt:variant>
        <vt:i4>5</vt:i4>
      </vt:variant>
      <vt:variant>
        <vt:lpwstr/>
      </vt:variant>
      <vt:variant>
        <vt:lpwstr>_ENREF_38</vt:lpwstr>
      </vt:variant>
      <vt:variant>
        <vt:i4>7667762</vt:i4>
      </vt:variant>
      <vt:variant>
        <vt:i4>2243</vt:i4>
      </vt:variant>
      <vt:variant>
        <vt:i4>0</vt:i4>
      </vt:variant>
      <vt:variant>
        <vt:i4>5</vt:i4>
      </vt:variant>
      <vt:variant>
        <vt:lpwstr/>
      </vt:variant>
      <vt:variant>
        <vt:lpwstr>_ENREF_195</vt:lpwstr>
      </vt:variant>
      <vt:variant>
        <vt:i4>4325387</vt:i4>
      </vt:variant>
      <vt:variant>
        <vt:i4>2240</vt:i4>
      </vt:variant>
      <vt:variant>
        <vt:i4>0</vt:i4>
      </vt:variant>
      <vt:variant>
        <vt:i4>5</vt:i4>
      </vt:variant>
      <vt:variant>
        <vt:lpwstr/>
      </vt:variant>
      <vt:variant>
        <vt:lpwstr>_ENREF_37</vt:lpwstr>
      </vt:variant>
      <vt:variant>
        <vt:i4>7602232</vt:i4>
      </vt:variant>
      <vt:variant>
        <vt:i4>2237</vt:i4>
      </vt:variant>
      <vt:variant>
        <vt:i4>0</vt:i4>
      </vt:variant>
      <vt:variant>
        <vt:i4>5</vt:i4>
      </vt:variant>
      <vt:variant>
        <vt:lpwstr/>
      </vt:variant>
      <vt:variant>
        <vt:lpwstr>_ENREF_134</vt:lpwstr>
      </vt:variant>
      <vt:variant>
        <vt:i4>7667769</vt:i4>
      </vt:variant>
      <vt:variant>
        <vt:i4>2234</vt:i4>
      </vt:variant>
      <vt:variant>
        <vt:i4>0</vt:i4>
      </vt:variant>
      <vt:variant>
        <vt:i4>5</vt:i4>
      </vt:variant>
      <vt:variant>
        <vt:lpwstr/>
      </vt:variant>
      <vt:variant>
        <vt:lpwstr>_ENREF_125</vt:lpwstr>
      </vt:variant>
      <vt:variant>
        <vt:i4>7602239</vt:i4>
      </vt:variant>
      <vt:variant>
        <vt:i4>2231</vt:i4>
      </vt:variant>
      <vt:variant>
        <vt:i4>0</vt:i4>
      </vt:variant>
      <vt:variant>
        <vt:i4>5</vt:i4>
      </vt:variant>
      <vt:variant>
        <vt:lpwstr/>
      </vt:variant>
      <vt:variant>
        <vt:lpwstr>_ENREF_247</vt:lpwstr>
      </vt:variant>
      <vt:variant>
        <vt:i4>7536703</vt:i4>
      </vt:variant>
      <vt:variant>
        <vt:i4>2228</vt:i4>
      </vt:variant>
      <vt:variant>
        <vt:i4>0</vt:i4>
      </vt:variant>
      <vt:variant>
        <vt:i4>5</vt:i4>
      </vt:variant>
      <vt:variant>
        <vt:lpwstr/>
      </vt:variant>
      <vt:variant>
        <vt:lpwstr>_ENREF_240</vt:lpwstr>
      </vt:variant>
      <vt:variant>
        <vt:i4>4784139</vt:i4>
      </vt:variant>
      <vt:variant>
        <vt:i4>2225</vt:i4>
      </vt:variant>
      <vt:variant>
        <vt:i4>0</vt:i4>
      </vt:variant>
      <vt:variant>
        <vt:i4>5</vt:i4>
      </vt:variant>
      <vt:variant>
        <vt:lpwstr/>
      </vt:variant>
      <vt:variant>
        <vt:lpwstr>_ENREF_87</vt:lpwstr>
      </vt:variant>
      <vt:variant>
        <vt:i4>7798842</vt:i4>
      </vt:variant>
      <vt:variant>
        <vt:i4>2215</vt:i4>
      </vt:variant>
      <vt:variant>
        <vt:i4>0</vt:i4>
      </vt:variant>
      <vt:variant>
        <vt:i4>5</vt:i4>
      </vt:variant>
      <vt:variant>
        <vt:lpwstr/>
      </vt:variant>
      <vt:variant>
        <vt:lpwstr>_ENREF_117</vt:lpwstr>
      </vt:variant>
      <vt:variant>
        <vt:i4>4521995</vt:i4>
      </vt:variant>
      <vt:variant>
        <vt:i4>2209</vt:i4>
      </vt:variant>
      <vt:variant>
        <vt:i4>0</vt:i4>
      </vt:variant>
      <vt:variant>
        <vt:i4>5</vt:i4>
      </vt:variant>
      <vt:variant>
        <vt:lpwstr/>
      </vt:variant>
      <vt:variant>
        <vt:lpwstr>_ENREF_40</vt:lpwstr>
      </vt:variant>
      <vt:variant>
        <vt:i4>7602234</vt:i4>
      </vt:variant>
      <vt:variant>
        <vt:i4>2203</vt:i4>
      </vt:variant>
      <vt:variant>
        <vt:i4>0</vt:i4>
      </vt:variant>
      <vt:variant>
        <vt:i4>5</vt:i4>
      </vt:variant>
      <vt:variant>
        <vt:lpwstr/>
      </vt:variant>
      <vt:variant>
        <vt:lpwstr>_ENREF_217</vt:lpwstr>
      </vt:variant>
      <vt:variant>
        <vt:i4>7405619</vt:i4>
      </vt:variant>
      <vt:variant>
        <vt:i4>2197</vt:i4>
      </vt:variant>
      <vt:variant>
        <vt:i4>0</vt:i4>
      </vt:variant>
      <vt:variant>
        <vt:i4>5</vt:i4>
      </vt:variant>
      <vt:variant>
        <vt:lpwstr/>
      </vt:variant>
      <vt:variant>
        <vt:lpwstr>_ENREF_181</vt:lpwstr>
      </vt:variant>
      <vt:variant>
        <vt:i4>7667774</vt:i4>
      </vt:variant>
      <vt:variant>
        <vt:i4>2191</vt:i4>
      </vt:variant>
      <vt:variant>
        <vt:i4>0</vt:i4>
      </vt:variant>
      <vt:variant>
        <vt:i4>5</vt:i4>
      </vt:variant>
      <vt:variant>
        <vt:lpwstr/>
      </vt:variant>
      <vt:variant>
        <vt:lpwstr>_ENREF_155</vt:lpwstr>
      </vt:variant>
      <vt:variant>
        <vt:i4>7536702</vt:i4>
      </vt:variant>
      <vt:variant>
        <vt:i4>2185</vt:i4>
      </vt:variant>
      <vt:variant>
        <vt:i4>0</vt:i4>
      </vt:variant>
      <vt:variant>
        <vt:i4>5</vt:i4>
      </vt:variant>
      <vt:variant>
        <vt:lpwstr/>
      </vt:variant>
      <vt:variant>
        <vt:lpwstr>_ENREF_153</vt:lpwstr>
      </vt:variant>
      <vt:variant>
        <vt:i4>7733310</vt:i4>
      </vt:variant>
      <vt:variant>
        <vt:i4>2179</vt:i4>
      </vt:variant>
      <vt:variant>
        <vt:i4>0</vt:i4>
      </vt:variant>
      <vt:variant>
        <vt:i4>5</vt:i4>
      </vt:variant>
      <vt:variant>
        <vt:lpwstr/>
      </vt:variant>
      <vt:variant>
        <vt:lpwstr>_ENREF_156</vt:lpwstr>
      </vt:variant>
      <vt:variant>
        <vt:i4>4784139</vt:i4>
      </vt:variant>
      <vt:variant>
        <vt:i4>2173</vt:i4>
      </vt:variant>
      <vt:variant>
        <vt:i4>0</vt:i4>
      </vt:variant>
      <vt:variant>
        <vt:i4>5</vt:i4>
      </vt:variant>
      <vt:variant>
        <vt:lpwstr/>
      </vt:variant>
      <vt:variant>
        <vt:lpwstr>_ENREF_82</vt:lpwstr>
      </vt:variant>
      <vt:variant>
        <vt:i4>7471154</vt:i4>
      </vt:variant>
      <vt:variant>
        <vt:i4>2167</vt:i4>
      </vt:variant>
      <vt:variant>
        <vt:i4>0</vt:i4>
      </vt:variant>
      <vt:variant>
        <vt:i4>5</vt:i4>
      </vt:variant>
      <vt:variant>
        <vt:lpwstr/>
      </vt:variant>
      <vt:variant>
        <vt:lpwstr>_ENREF_192</vt:lpwstr>
      </vt:variant>
      <vt:variant>
        <vt:i4>7471154</vt:i4>
      </vt:variant>
      <vt:variant>
        <vt:i4>2161</vt:i4>
      </vt:variant>
      <vt:variant>
        <vt:i4>0</vt:i4>
      </vt:variant>
      <vt:variant>
        <vt:i4>5</vt:i4>
      </vt:variant>
      <vt:variant>
        <vt:lpwstr/>
      </vt:variant>
      <vt:variant>
        <vt:lpwstr>_ENREF_192</vt:lpwstr>
      </vt:variant>
      <vt:variant>
        <vt:i4>8060990</vt:i4>
      </vt:variant>
      <vt:variant>
        <vt:i4>2146</vt:i4>
      </vt:variant>
      <vt:variant>
        <vt:i4>0</vt:i4>
      </vt:variant>
      <vt:variant>
        <vt:i4>5</vt:i4>
      </vt:variant>
      <vt:variant>
        <vt:lpwstr/>
      </vt:variant>
      <vt:variant>
        <vt:lpwstr>_ENREF_258</vt:lpwstr>
      </vt:variant>
      <vt:variant>
        <vt:i4>8060990</vt:i4>
      </vt:variant>
      <vt:variant>
        <vt:i4>2142</vt:i4>
      </vt:variant>
      <vt:variant>
        <vt:i4>0</vt:i4>
      </vt:variant>
      <vt:variant>
        <vt:i4>5</vt:i4>
      </vt:variant>
      <vt:variant>
        <vt:lpwstr/>
      </vt:variant>
      <vt:variant>
        <vt:lpwstr>_ENREF_258</vt:lpwstr>
      </vt:variant>
      <vt:variant>
        <vt:i4>7929912</vt:i4>
      </vt:variant>
      <vt:variant>
        <vt:i4>2139</vt:i4>
      </vt:variant>
      <vt:variant>
        <vt:i4>0</vt:i4>
      </vt:variant>
      <vt:variant>
        <vt:i4>5</vt:i4>
      </vt:variant>
      <vt:variant>
        <vt:lpwstr/>
      </vt:variant>
      <vt:variant>
        <vt:lpwstr>_ENREF_139</vt:lpwstr>
      </vt:variant>
      <vt:variant>
        <vt:i4>7929912</vt:i4>
      </vt:variant>
      <vt:variant>
        <vt:i4>2129</vt:i4>
      </vt:variant>
      <vt:variant>
        <vt:i4>0</vt:i4>
      </vt:variant>
      <vt:variant>
        <vt:i4>5</vt:i4>
      </vt:variant>
      <vt:variant>
        <vt:lpwstr/>
      </vt:variant>
      <vt:variant>
        <vt:lpwstr>_ENREF_139</vt:lpwstr>
      </vt:variant>
      <vt:variant>
        <vt:i4>4784139</vt:i4>
      </vt:variant>
      <vt:variant>
        <vt:i4>2123</vt:i4>
      </vt:variant>
      <vt:variant>
        <vt:i4>0</vt:i4>
      </vt:variant>
      <vt:variant>
        <vt:i4>5</vt:i4>
      </vt:variant>
      <vt:variant>
        <vt:lpwstr/>
      </vt:variant>
      <vt:variant>
        <vt:lpwstr>_ENREF_86</vt:lpwstr>
      </vt:variant>
      <vt:variant>
        <vt:i4>4653067</vt:i4>
      </vt:variant>
      <vt:variant>
        <vt:i4>2119</vt:i4>
      </vt:variant>
      <vt:variant>
        <vt:i4>0</vt:i4>
      </vt:variant>
      <vt:variant>
        <vt:i4>5</vt:i4>
      </vt:variant>
      <vt:variant>
        <vt:lpwstr/>
      </vt:variant>
      <vt:variant>
        <vt:lpwstr>_ENREF_61</vt:lpwstr>
      </vt:variant>
      <vt:variant>
        <vt:i4>8060990</vt:i4>
      </vt:variant>
      <vt:variant>
        <vt:i4>2116</vt:i4>
      </vt:variant>
      <vt:variant>
        <vt:i4>0</vt:i4>
      </vt:variant>
      <vt:variant>
        <vt:i4>5</vt:i4>
      </vt:variant>
      <vt:variant>
        <vt:lpwstr/>
      </vt:variant>
      <vt:variant>
        <vt:lpwstr>_ENREF_258</vt:lpwstr>
      </vt:variant>
      <vt:variant>
        <vt:i4>7667769</vt:i4>
      </vt:variant>
      <vt:variant>
        <vt:i4>2102</vt:i4>
      </vt:variant>
      <vt:variant>
        <vt:i4>0</vt:i4>
      </vt:variant>
      <vt:variant>
        <vt:i4>5</vt:i4>
      </vt:variant>
      <vt:variant>
        <vt:lpwstr/>
      </vt:variant>
      <vt:variant>
        <vt:lpwstr>_ENREF_226</vt:lpwstr>
      </vt:variant>
      <vt:variant>
        <vt:i4>4390923</vt:i4>
      </vt:variant>
      <vt:variant>
        <vt:i4>2096</vt:i4>
      </vt:variant>
      <vt:variant>
        <vt:i4>0</vt:i4>
      </vt:variant>
      <vt:variant>
        <vt:i4>5</vt:i4>
      </vt:variant>
      <vt:variant>
        <vt:lpwstr/>
      </vt:variant>
      <vt:variant>
        <vt:lpwstr>_ENREF_25</vt:lpwstr>
      </vt:variant>
      <vt:variant>
        <vt:i4>7471161</vt:i4>
      </vt:variant>
      <vt:variant>
        <vt:i4>2092</vt:i4>
      </vt:variant>
      <vt:variant>
        <vt:i4>0</vt:i4>
      </vt:variant>
      <vt:variant>
        <vt:i4>5</vt:i4>
      </vt:variant>
      <vt:variant>
        <vt:lpwstr/>
      </vt:variant>
      <vt:variant>
        <vt:lpwstr>_ENREF_221</vt:lpwstr>
      </vt:variant>
      <vt:variant>
        <vt:i4>4784139</vt:i4>
      </vt:variant>
      <vt:variant>
        <vt:i4>2089</vt:i4>
      </vt:variant>
      <vt:variant>
        <vt:i4>0</vt:i4>
      </vt:variant>
      <vt:variant>
        <vt:i4>5</vt:i4>
      </vt:variant>
      <vt:variant>
        <vt:lpwstr/>
      </vt:variant>
      <vt:variant>
        <vt:lpwstr>_ENREF_81</vt:lpwstr>
      </vt:variant>
      <vt:variant>
        <vt:i4>7864377</vt:i4>
      </vt:variant>
      <vt:variant>
        <vt:i4>2077</vt:i4>
      </vt:variant>
      <vt:variant>
        <vt:i4>0</vt:i4>
      </vt:variant>
      <vt:variant>
        <vt:i4>5</vt:i4>
      </vt:variant>
      <vt:variant>
        <vt:lpwstr/>
      </vt:variant>
      <vt:variant>
        <vt:lpwstr>_ENREF_128</vt:lpwstr>
      </vt:variant>
      <vt:variant>
        <vt:i4>7995455</vt:i4>
      </vt:variant>
      <vt:variant>
        <vt:i4>2073</vt:i4>
      </vt:variant>
      <vt:variant>
        <vt:i4>0</vt:i4>
      </vt:variant>
      <vt:variant>
        <vt:i4>5</vt:i4>
      </vt:variant>
      <vt:variant>
        <vt:lpwstr/>
      </vt:variant>
      <vt:variant>
        <vt:lpwstr>_ENREF_249</vt:lpwstr>
      </vt:variant>
      <vt:variant>
        <vt:i4>7733307</vt:i4>
      </vt:variant>
      <vt:variant>
        <vt:i4>2070</vt:i4>
      </vt:variant>
      <vt:variant>
        <vt:i4>0</vt:i4>
      </vt:variant>
      <vt:variant>
        <vt:i4>5</vt:i4>
      </vt:variant>
      <vt:variant>
        <vt:lpwstr/>
      </vt:variant>
      <vt:variant>
        <vt:lpwstr>_ENREF_106</vt:lpwstr>
      </vt:variant>
      <vt:variant>
        <vt:i4>8060991</vt:i4>
      </vt:variant>
      <vt:variant>
        <vt:i4>2060</vt:i4>
      </vt:variant>
      <vt:variant>
        <vt:i4>0</vt:i4>
      </vt:variant>
      <vt:variant>
        <vt:i4>5</vt:i4>
      </vt:variant>
      <vt:variant>
        <vt:lpwstr/>
      </vt:variant>
      <vt:variant>
        <vt:lpwstr>_ENREF_248</vt:lpwstr>
      </vt:variant>
      <vt:variant>
        <vt:i4>7995454</vt:i4>
      </vt:variant>
      <vt:variant>
        <vt:i4>2054</vt:i4>
      </vt:variant>
      <vt:variant>
        <vt:i4>0</vt:i4>
      </vt:variant>
      <vt:variant>
        <vt:i4>5</vt:i4>
      </vt:variant>
      <vt:variant>
        <vt:lpwstr/>
      </vt:variant>
      <vt:variant>
        <vt:lpwstr>_ENREF_259</vt:lpwstr>
      </vt:variant>
      <vt:variant>
        <vt:i4>7995455</vt:i4>
      </vt:variant>
      <vt:variant>
        <vt:i4>2050</vt:i4>
      </vt:variant>
      <vt:variant>
        <vt:i4>0</vt:i4>
      </vt:variant>
      <vt:variant>
        <vt:i4>5</vt:i4>
      </vt:variant>
      <vt:variant>
        <vt:lpwstr/>
      </vt:variant>
      <vt:variant>
        <vt:lpwstr>_ENREF_249</vt:lpwstr>
      </vt:variant>
      <vt:variant>
        <vt:i4>7733307</vt:i4>
      </vt:variant>
      <vt:variant>
        <vt:i4>2047</vt:i4>
      </vt:variant>
      <vt:variant>
        <vt:i4>0</vt:i4>
      </vt:variant>
      <vt:variant>
        <vt:i4>5</vt:i4>
      </vt:variant>
      <vt:variant>
        <vt:lpwstr/>
      </vt:variant>
      <vt:variant>
        <vt:lpwstr>_ENREF_106</vt:lpwstr>
      </vt:variant>
      <vt:variant>
        <vt:i4>4587531</vt:i4>
      </vt:variant>
      <vt:variant>
        <vt:i4>2037</vt:i4>
      </vt:variant>
      <vt:variant>
        <vt:i4>0</vt:i4>
      </vt:variant>
      <vt:variant>
        <vt:i4>5</vt:i4>
      </vt:variant>
      <vt:variant>
        <vt:lpwstr/>
      </vt:variant>
      <vt:variant>
        <vt:lpwstr>_ENREF_72</vt:lpwstr>
      </vt:variant>
      <vt:variant>
        <vt:i4>4587531</vt:i4>
      </vt:variant>
      <vt:variant>
        <vt:i4>2033</vt:i4>
      </vt:variant>
      <vt:variant>
        <vt:i4>0</vt:i4>
      </vt:variant>
      <vt:variant>
        <vt:i4>5</vt:i4>
      </vt:variant>
      <vt:variant>
        <vt:lpwstr/>
      </vt:variant>
      <vt:variant>
        <vt:lpwstr>_ENREF_78</vt:lpwstr>
      </vt:variant>
      <vt:variant>
        <vt:i4>4456459</vt:i4>
      </vt:variant>
      <vt:variant>
        <vt:i4>2030</vt:i4>
      </vt:variant>
      <vt:variant>
        <vt:i4>0</vt:i4>
      </vt:variant>
      <vt:variant>
        <vt:i4>5</vt:i4>
      </vt:variant>
      <vt:variant>
        <vt:lpwstr/>
      </vt:variant>
      <vt:variant>
        <vt:lpwstr>_ENREF_52</vt:lpwstr>
      </vt:variant>
      <vt:variant>
        <vt:i4>4521995</vt:i4>
      </vt:variant>
      <vt:variant>
        <vt:i4>2020</vt:i4>
      </vt:variant>
      <vt:variant>
        <vt:i4>0</vt:i4>
      </vt:variant>
      <vt:variant>
        <vt:i4>5</vt:i4>
      </vt:variant>
      <vt:variant>
        <vt:lpwstr/>
      </vt:variant>
      <vt:variant>
        <vt:lpwstr>_ENREF_41</vt:lpwstr>
      </vt:variant>
      <vt:variant>
        <vt:i4>7602237</vt:i4>
      </vt:variant>
      <vt:variant>
        <vt:i4>2016</vt:i4>
      </vt:variant>
      <vt:variant>
        <vt:i4>0</vt:i4>
      </vt:variant>
      <vt:variant>
        <vt:i4>5</vt:i4>
      </vt:variant>
      <vt:variant>
        <vt:lpwstr/>
      </vt:variant>
      <vt:variant>
        <vt:lpwstr>_ENREF_164</vt:lpwstr>
      </vt:variant>
      <vt:variant>
        <vt:i4>4718603</vt:i4>
      </vt:variant>
      <vt:variant>
        <vt:i4>2013</vt:i4>
      </vt:variant>
      <vt:variant>
        <vt:i4>0</vt:i4>
      </vt:variant>
      <vt:variant>
        <vt:i4>5</vt:i4>
      </vt:variant>
      <vt:variant>
        <vt:lpwstr/>
      </vt:variant>
      <vt:variant>
        <vt:lpwstr>_ENREF_9</vt:lpwstr>
      </vt:variant>
      <vt:variant>
        <vt:i4>8060986</vt:i4>
      </vt:variant>
      <vt:variant>
        <vt:i4>2010</vt:i4>
      </vt:variant>
      <vt:variant>
        <vt:i4>0</vt:i4>
      </vt:variant>
      <vt:variant>
        <vt:i4>5</vt:i4>
      </vt:variant>
      <vt:variant>
        <vt:lpwstr/>
      </vt:variant>
      <vt:variant>
        <vt:lpwstr>_ENREF_218</vt:lpwstr>
      </vt:variant>
      <vt:variant>
        <vt:i4>4587531</vt:i4>
      </vt:variant>
      <vt:variant>
        <vt:i4>2000</vt:i4>
      </vt:variant>
      <vt:variant>
        <vt:i4>0</vt:i4>
      </vt:variant>
      <vt:variant>
        <vt:i4>5</vt:i4>
      </vt:variant>
      <vt:variant>
        <vt:lpwstr/>
      </vt:variant>
      <vt:variant>
        <vt:lpwstr>_ENREF_78</vt:lpwstr>
      </vt:variant>
      <vt:variant>
        <vt:i4>4325387</vt:i4>
      </vt:variant>
      <vt:variant>
        <vt:i4>1993</vt:i4>
      </vt:variant>
      <vt:variant>
        <vt:i4>0</vt:i4>
      </vt:variant>
      <vt:variant>
        <vt:i4>5</vt:i4>
      </vt:variant>
      <vt:variant>
        <vt:lpwstr/>
      </vt:variant>
      <vt:variant>
        <vt:lpwstr>_ENREF_38</vt:lpwstr>
      </vt:variant>
      <vt:variant>
        <vt:i4>4194315</vt:i4>
      </vt:variant>
      <vt:variant>
        <vt:i4>1990</vt:i4>
      </vt:variant>
      <vt:variant>
        <vt:i4>0</vt:i4>
      </vt:variant>
      <vt:variant>
        <vt:i4>5</vt:i4>
      </vt:variant>
      <vt:variant>
        <vt:lpwstr/>
      </vt:variant>
      <vt:variant>
        <vt:lpwstr>_ENREF_18</vt:lpwstr>
      </vt:variant>
      <vt:variant>
        <vt:i4>7536702</vt:i4>
      </vt:variant>
      <vt:variant>
        <vt:i4>1982</vt:i4>
      </vt:variant>
      <vt:variant>
        <vt:i4>0</vt:i4>
      </vt:variant>
      <vt:variant>
        <vt:i4>5</vt:i4>
      </vt:variant>
      <vt:variant>
        <vt:lpwstr/>
      </vt:variant>
      <vt:variant>
        <vt:lpwstr>_ENREF_250</vt:lpwstr>
      </vt:variant>
      <vt:variant>
        <vt:i4>4194315</vt:i4>
      </vt:variant>
      <vt:variant>
        <vt:i4>1979</vt:i4>
      </vt:variant>
      <vt:variant>
        <vt:i4>0</vt:i4>
      </vt:variant>
      <vt:variant>
        <vt:i4>5</vt:i4>
      </vt:variant>
      <vt:variant>
        <vt:lpwstr/>
      </vt:variant>
      <vt:variant>
        <vt:lpwstr>_ENREF_16</vt:lpwstr>
      </vt:variant>
      <vt:variant>
        <vt:i4>7536702</vt:i4>
      </vt:variant>
      <vt:variant>
        <vt:i4>1975</vt:i4>
      </vt:variant>
      <vt:variant>
        <vt:i4>0</vt:i4>
      </vt:variant>
      <vt:variant>
        <vt:i4>5</vt:i4>
      </vt:variant>
      <vt:variant>
        <vt:lpwstr/>
      </vt:variant>
      <vt:variant>
        <vt:lpwstr>_ENREF_250</vt:lpwstr>
      </vt:variant>
      <vt:variant>
        <vt:i4>4194315</vt:i4>
      </vt:variant>
      <vt:variant>
        <vt:i4>1972</vt:i4>
      </vt:variant>
      <vt:variant>
        <vt:i4>0</vt:i4>
      </vt:variant>
      <vt:variant>
        <vt:i4>5</vt:i4>
      </vt:variant>
      <vt:variant>
        <vt:lpwstr/>
      </vt:variant>
      <vt:variant>
        <vt:lpwstr>_ENREF_17</vt:lpwstr>
      </vt:variant>
      <vt:variant>
        <vt:i4>7536699</vt:i4>
      </vt:variant>
      <vt:variant>
        <vt:i4>1969</vt:i4>
      </vt:variant>
      <vt:variant>
        <vt:i4>0</vt:i4>
      </vt:variant>
      <vt:variant>
        <vt:i4>5</vt:i4>
      </vt:variant>
      <vt:variant>
        <vt:lpwstr/>
      </vt:variant>
      <vt:variant>
        <vt:lpwstr>_ENREF_103</vt:lpwstr>
      </vt:variant>
      <vt:variant>
        <vt:i4>7536690</vt:i4>
      </vt:variant>
      <vt:variant>
        <vt:i4>1959</vt:i4>
      </vt:variant>
      <vt:variant>
        <vt:i4>0</vt:i4>
      </vt:variant>
      <vt:variant>
        <vt:i4>5</vt:i4>
      </vt:variant>
      <vt:variant>
        <vt:lpwstr/>
      </vt:variant>
      <vt:variant>
        <vt:lpwstr>_ENREF_193</vt:lpwstr>
      </vt:variant>
      <vt:variant>
        <vt:i4>1114172</vt:i4>
      </vt:variant>
      <vt:variant>
        <vt:i4>1952</vt:i4>
      </vt:variant>
      <vt:variant>
        <vt:i4>0</vt:i4>
      </vt:variant>
      <vt:variant>
        <vt:i4>5</vt:i4>
      </vt:variant>
      <vt:variant>
        <vt:lpwstr/>
      </vt:variant>
      <vt:variant>
        <vt:lpwstr>_Toc431494054</vt:lpwstr>
      </vt:variant>
      <vt:variant>
        <vt:i4>1114172</vt:i4>
      </vt:variant>
      <vt:variant>
        <vt:i4>1946</vt:i4>
      </vt:variant>
      <vt:variant>
        <vt:i4>0</vt:i4>
      </vt:variant>
      <vt:variant>
        <vt:i4>5</vt:i4>
      </vt:variant>
      <vt:variant>
        <vt:lpwstr/>
      </vt:variant>
      <vt:variant>
        <vt:lpwstr>_Toc431494053</vt:lpwstr>
      </vt:variant>
      <vt:variant>
        <vt:i4>1114172</vt:i4>
      </vt:variant>
      <vt:variant>
        <vt:i4>1940</vt:i4>
      </vt:variant>
      <vt:variant>
        <vt:i4>0</vt:i4>
      </vt:variant>
      <vt:variant>
        <vt:i4>5</vt:i4>
      </vt:variant>
      <vt:variant>
        <vt:lpwstr/>
      </vt:variant>
      <vt:variant>
        <vt:lpwstr>_Toc431494052</vt:lpwstr>
      </vt:variant>
      <vt:variant>
        <vt:i4>1114172</vt:i4>
      </vt:variant>
      <vt:variant>
        <vt:i4>1934</vt:i4>
      </vt:variant>
      <vt:variant>
        <vt:i4>0</vt:i4>
      </vt:variant>
      <vt:variant>
        <vt:i4>5</vt:i4>
      </vt:variant>
      <vt:variant>
        <vt:lpwstr/>
      </vt:variant>
      <vt:variant>
        <vt:lpwstr>_Toc431494051</vt:lpwstr>
      </vt:variant>
      <vt:variant>
        <vt:i4>1114172</vt:i4>
      </vt:variant>
      <vt:variant>
        <vt:i4>1928</vt:i4>
      </vt:variant>
      <vt:variant>
        <vt:i4>0</vt:i4>
      </vt:variant>
      <vt:variant>
        <vt:i4>5</vt:i4>
      </vt:variant>
      <vt:variant>
        <vt:lpwstr/>
      </vt:variant>
      <vt:variant>
        <vt:lpwstr>_Toc431494050</vt:lpwstr>
      </vt:variant>
      <vt:variant>
        <vt:i4>1048636</vt:i4>
      </vt:variant>
      <vt:variant>
        <vt:i4>1922</vt:i4>
      </vt:variant>
      <vt:variant>
        <vt:i4>0</vt:i4>
      </vt:variant>
      <vt:variant>
        <vt:i4>5</vt:i4>
      </vt:variant>
      <vt:variant>
        <vt:lpwstr/>
      </vt:variant>
      <vt:variant>
        <vt:lpwstr>_Toc431494049</vt:lpwstr>
      </vt:variant>
      <vt:variant>
        <vt:i4>1048636</vt:i4>
      </vt:variant>
      <vt:variant>
        <vt:i4>1916</vt:i4>
      </vt:variant>
      <vt:variant>
        <vt:i4>0</vt:i4>
      </vt:variant>
      <vt:variant>
        <vt:i4>5</vt:i4>
      </vt:variant>
      <vt:variant>
        <vt:lpwstr/>
      </vt:variant>
      <vt:variant>
        <vt:lpwstr>_Toc431494048</vt:lpwstr>
      </vt:variant>
      <vt:variant>
        <vt:i4>1048636</vt:i4>
      </vt:variant>
      <vt:variant>
        <vt:i4>1910</vt:i4>
      </vt:variant>
      <vt:variant>
        <vt:i4>0</vt:i4>
      </vt:variant>
      <vt:variant>
        <vt:i4>5</vt:i4>
      </vt:variant>
      <vt:variant>
        <vt:lpwstr/>
      </vt:variant>
      <vt:variant>
        <vt:lpwstr>_Toc431494047</vt:lpwstr>
      </vt:variant>
      <vt:variant>
        <vt:i4>1048636</vt:i4>
      </vt:variant>
      <vt:variant>
        <vt:i4>1904</vt:i4>
      </vt:variant>
      <vt:variant>
        <vt:i4>0</vt:i4>
      </vt:variant>
      <vt:variant>
        <vt:i4>5</vt:i4>
      </vt:variant>
      <vt:variant>
        <vt:lpwstr/>
      </vt:variant>
      <vt:variant>
        <vt:lpwstr>_Toc431494046</vt:lpwstr>
      </vt:variant>
      <vt:variant>
        <vt:i4>1048636</vt:i4>
      </vt:variant>
      <vt:variant>
        <vt:i4>1898</vt:i4>
      </vt:variant>
      <vt:variant>
        <vt:i4>0</vt:i4>
      </vt:variant>
      <vt:variant>
        <vt:i4>5</vt:i4>
      </vt:variant>
      <vt:variant>
        <vt:lpwstr/>
      </vt:variant>
      <vt:variant>
        <vt:lpwstr>_Toc431494045</vt:lpwstr>
      </vt:variant>
      <vt:variant>
        <vt:i4>1048636</vt:i4>
      </vt:variant>
      <vt:variant>
        <vt:i4>1892</vt:i4>
      </vt:variant>
      <vt:variant>
        <vt:i4>0</vt:i4>
      </vt:variant>
      <vt:variant>
        <vt:i4>5</vt:i4>
      </vt:variant>
      <vt:variant>
        <vt:lpwstr/>
      </vt:variant>
      <vt:variant>
        <vt:lpwstr>_Toc431494044</vt:lpwstr>
      </vt:variant>
      <vt:variant>
        <vt:i4>1048636</vt:i4>
      </vt:variant>
      <vt:variant>
        <vt:i4>1886</vt:i4>
      </vt:variant>
      <vt:variant>
        <vt:i4>0</vt:i4>
      </vt:variant>
      <vt:variant>
        <vt:i4>5</vt:i4>
      </vt:variant>
      <vt:variant>
        <vt:lpwstr/>
      </vt:variant>
      <vt:variant>
        <vt:lpwstr>_Toc431494043</vt:lpwstr>
      </vt:variant>
      <vt:variant>
        <vt:i4>1048636</vt:i4>
      </vt:variant>
      <vt:variant>
        <vt:i4>1880</vt:i4>
      </vt:variant>
      <vt:variant>
        <vt:i4>0</vt:i4>
      </vt:variant>
      <vt:variant>
        <vt:i4>5</vt:i4>
      </vt:variant>
      <vt:variant>
        <vt:lpwstr/>
      </vt:variant>
      <vt:variant>
        <vt:lpwstr>_Toc431494042</vt:lpwstr>
      </vt:variant>
      <vt:variant>
        <vt:i4>1048636</vt:i4>
      </vt:variant>
      <vt:variant>
        <vt:i4>1874</vt:i4>
      </vt:variant>
      <vt:variant>
        <vt:i4>0</vt:i4>
      </vt:variant>
      <vt:variant>
        <vt:i4>5</vt:i4>
      </vt:variant>
      <vt:variant>
        <vt:lpwstr/>
      </vt:variant>
      <vt:variant>
        <vt:lpwstr>_Toc431494041</vt:lpwstr>
      </vt:variant>
      <vt:variant>
        <vt:i4>1048636</vt:i4>
      </vt:variant>
      <vt:variant>
        <vt:i4>1868</vt:i4>
      </vt:variant>
      <vt:variant>
        <vt:i4>0</vt:i4>
      </vt:variant>
      <vt:variant>
        <vt:i4>5</vt:i4>
      </vt:variant>
      <vt:variant>
        <vt:lpwstr/>
      </vt:variant>
      <vt:variant>
        <vt:lpwstr>_Toc431494040</vt:lpwstr>
      </vt:variant>
      <vt:variant>
        <vt:i4>1507388</vt:i4>
      </vt:variant>
      <vt:variant>
        <vt:i4>1862</vt:i4>
      </vt:variant>
      <vt:variant>
        <vt:i4>0</vt:i4>
      </vt:variant>
      <vt:variant>
        <vt:i4>5</vt:i4>
      </vt:variant>
      <vt:variant>
        <vt:lpwstr/>
      </vt:variant>
      <vt:variant>
        <vt:lpwstr>_Toc431494039</vt:lpwstr>
      </vt:variant>
      <vt:variant>
        <vt:i4>1507388</vt:i4>
      </vt:variant>
      <vt:variant>
        <vt:i4>1856</vt:i4>
      </vt:variant>
      <vt:variant>
        <vt:i4>0</vt:i4>
      </vt:variant>
      <vt:variant>
        <vt:i4>5</vt:i4>
      </vt:variant>
      <vt:variant>
        <vt:lpwstr/>
      </vt:variant>
      <vt:variant>
        <vt:lpwstr>_Toc431494038</vt:lpwstr>
      </vt:variant>
      <vt:variant>
        <vt:i4>1507388</vt:i4>
      </vt:variant>
      <vt:variant>
        <vt:i4>1850</vt:i4>
      </vt:variant>
      <vt:variant>
        <vt:i4>0</vt:i4>
      </vt:variant>
      <vt:variant>
        <vt:i4>5</vt:i4>
      </vt:variant>
      <vt:variant>
        <vt:lpwstr/>
      </vt:variant>
      <vt:variant>
        <vt:lpwstr>_Toc431494037</vt:lpwstr>
      </vt:variant>
      <vt:variant>
        <vt:i4>1507388</vt:i4>
      </vt:variant>
      <vt:variant>
        <vt:i4>1844</vt:i4>
      </vt:variant>
      <vt:variant>
        <vt:i4>0</vt:i4>
      </vt:variant>
      <vt:variant>
        <vt:i4>5</vt:i4>
      </vt:variant>
      <vt:variant>
        <vt:lpwstr/>
      </vt:variant>
      <vt:variant>
        <vt:lpwstr>_Toc431494036</vt:lpwstr>
      </vt:variant>
      <vt:variant>
        <vt:i4>1507388</vt:i4>
      </vt:variant>
      <vt:variant>
        <vt:i4>1838</vt:i4>
      </vt:variant>
      <vt:variant>
        <vt:i4>0</vt:i4>
      </vt:variant>
      <vt:variant>
        <vt:i4>5</vt:i4>
      </vt:variant>
      <vt:variant>
        <vt:lpwstr/>
      </vt:variant>
      <vt:variant>
        <vt:lpwstr>_Toc431494035</vt:lpwstr>
      </vt:variant>
      <vt:variant>
        <vt:i4>1507388</vt:i4>
      </vt:variant>
      <vt:variant>
        <vt:i4>1832</vt:i4>
      </vt:variant>
      <vt:variant>
        <vt:i4>0</vt:i4>
      </vt:variant>
      <vt:variant>
        <vt:i4>5</vt:i4>
      </vt:variant>
      <vt:variant>
        <vt:lpwstr/>
      </vt:variant>
      <vt:variant>
        <vt:lpwstr>_Toc431494034</vt:lpwstr>
      </vt:variant>
      <vt:variant>
        <vt:i4>1507388</vt:i4>
      </vt:variant>
      <vt:variant>
        <vt:i4>1826</vt:i4>
      </vt:variant>
      <vt:variant>
        <vt:i4>0</vt:i4>
      </vt:variant>
      <vt:variant>
        <vt:i4>5</vt:i4>
      </vt:variant>
      <vt:variant>
        <vt:lpwstr/>
      </vt:variant>
      <vt:variant>
        <vt:lpwstr>_Toc431494033</vt:lpwstr>
      </vt:variant>
      <vt:variant>
        <vt:i4>1507388</vt:i4>
      </vt:variant>
      <vt:variant>
        <vt:i4>1820</vt:i4>
      </vt:variant>
      <vt:variant>
        <vt:i4>0</vt:i4>
      </vt:variant>
      <vt:variant>
        <vt:i4>5</vt:i4>
      </vt:variant>
      <vt:variant>
        <vt:lpwstr/>
      </vt:variant>
      <vt:variant>
        <vt:lpwstr>_Toc431494032</vt:lpwstr>
      </vt:variant>
      <vt:variant>
        <vt:i4>1507388</vt:i4>
      </vt:variant>
      <vt:variant>
        <vt:i4>1814</vt:i4>
      </vt:variant>
      <vt:variant>
        <vt:i4>0</vt:i4>
      </vt:variant>
      <vt:variant>
        <vt:i4>5</vt:i4>
      </vt:variant>
      <vt:variant>
        <vt:lpwstr/>
      </vt:variant>
      <vt:variant>
        <vt:lpwstr>_Toc431494031</vt:lpwstr>
      </vt:variant>
      <vt:variant>
        <vt:i4>1507388</vt:i4>
      </vt:variant>
      <vt:variant>
        <vt:i4>1808</vt:i4>
      </vt:variant>
      <vt:variant>
        <vt:i4>0</vt:i4>
      </vt:variant>
      <vt:variant>
        <vt:i4>5</vt:i4>
      </vt:variant>
      <vt:variant>
        <vt:lpwstr/>
      </vt:variant>
      <vt:variant>
        <vt:lpwstr>_Toc431494030</vt:lpwstr>
      </vt:variant>
      <vt:variant>
        <vt:i4>1441852</vt:i4>
      </vt:variant>
      <vt:variant>
        <vt:i4>1802</vt:i4>
      </vt:variant>
      <vt:variant>
        <vt:i4>0</vt:i4>
      </vt:variant>
      <vt:variant>
        <vt:i4>5</vt:i4>
      </vt:variant>
      <vt:variant>
        <vt:lpwstr/>
      </vt:variant>
      <vt:variant>
        <vt:lpwstr>_Toc431494029</vt:lpwstr>
      </vt:variant>
      <vt:variant>
        <vt:i4>1441852</vt:i4>
      </vt:variant>
      <vt:variant>
        <vt:i4>1796</vt:i4>
      </vt:variant>
      <vt:variant>
        <vt:i4>0</vt:i4>
      </vt:variant>
      <vt:variant>
        <vt:i4>5</vt:i4>
      </vt:variant>
      <vt:variant>
        <vt:lpwstr/>
      </vt:variant>
      <vt:variant>
        <vt:lpwstr>_Toc431494028</vt:lpwstr>
      </vt:variant>
      <vt:variant>
        <vt:i4>1441852</vt:i4>
      </vt:variant>
      <vt:variant>
        <vt:i4>1790</vt:i4>
      </vt:variant>
      <vt:variant>
        <vt:i4>0</vt:i4>
      </vt:variant>
      <vt:variant>
        <vt:i4>5</vt:i4>
      </vt:variant>
      <vt:variant>
        <vt:lpwstr/>
      </vt:variant>
      <vt:variant>
        <vt:lpwstr>_Toc431494027</vt:lpwstr>
      </vt:variant>
      <vt:variant>
        <vt:i4>1441852</vt:i4>
      </vt:variant>
      <vt:variant>
        <vt:i4>1784</vt:i4>
      </vt:variant>
      <vt:variant>
        <vt:i4>0</vt:i4>
      </vt:variant>
      <vt:variant>
        <vt:i4>5</vt:i4>
      </vt:variant>
      <vt:variant>
        <vt:lpwstr/>
      </vt:variant>
      <vt:variant>
        <vt:lpwstr>_Toc431494026</vt:lpwstr>
      </vt:variant>
      <vt:variant>
        <vt:i4>1441852</vt:i4>
      </vt:variant>
      <vt:variant>
        <vt:i4>1778</vt:i4>
      </vt:variant>
      <vt:variant>
        <vt:i4>0</vt:i4>
      </vt:variant>
      <vt:variant>
        <vt:i4>5</vt:i4>
      </vt:variant>
      <vt:variant>
        <vt:lpwstr/>
      </vt:variant>
      <vt:variant>
        <vt:lpwstr>_Toc431494025</vt:lpwstr>
      </vt:variant>
      <vt:variant>
        <vt:i4>1441852</vt:i4>
      </vt:variant>
      <vt:variant>
        <vt:i4>1772</vt:i4>
      </vt:variant>
      <vt:variant>
        <vt:i4>0</vt:i4>
      </vt:variant>
      <vt:variant>
        <vt:i4>5</vt:i4>
      </vt:variant>
      <vt:variant>
        <vt:lpwstr/>
      </vt:variant>
      <vt:variant>
        <vt:lpwstr>_Toc431494024</vt:lpwstr>
      </vt:variant>
      <vt:variant>
        <vt:i4>1441852</vt:i4>
      </vt:variant>
      <vt:variant>
        <vt:i4>1766</vt:i4>
      </vt:variant>
      <vt:variant>
        <vt:i4>0</vt:i4>
      </vt:variant>
      <vt:variant>
        <vt:i4>5</vt:i4>
      </vt:variant>
      <vt:variant>
        <vt:lpwstr/>
      </vt:variant>
      <vt:variant>
        <vt:lpwstr>_Toc431494023</vt:lpwstr>
      </vt:variant>
      <vt:variant>
        <vt:i4>1441852</vt:i4>
      </vt:variant>
      <vt:variant>
        <vt:i4>1760</vt:i4>
      </vt:variant>
      <vt:variant>
        <vt:i4>0</vt:i4>
      </vt:variant>
      <vt:variant>
        <vt:i4>5</vt:i4>
      </vt:variant>
      <vt:variant>
        <vt:lpwstr/>
      </vt:variant>
      <vt:variant>
        <vt:lpwstr>_Toc431494022</vt:lpwstr>
      </vt:variant>
      <vt:variant>
        <vt:i4>1441852</vt:i4>
      </vt:variant>
      <vt:variant>
        <vt:i4>1754</vt:i4>
      </vt:variant>
      <vt:variant>
        <vt:i4>0</vt:i4>
      </vt:variant>
      <vt:variant>
        <vt:i4>5</vt:i4>
      </vt:variant>
      <vt:variant>
        <vt:lpwstr/>
      </vt:variant>
      <vt:variant>
        <vt:lpwstr>_Toc431494021</vt:lpwstr>
      </vt:variant>
      <vt:variant>
        <vt:i4>1441852</vt:i4>
      </vt:variant>
      <vt:variant>
        <vt:i4>1748</vt:i4>
      </vt:variant>
      <vt:variant>
        <vt:i4>0</vt:i4>
      </vt:variant>
      <vt:variant>
        <vt:i4>5</vt:i4>
      </vt:variant>
      <vt:variant>
        <vt:lpwstr/>
      </vt:variant>
      <vt:variant>
        <vt:lpwstr>_Toc431494020</vt:lpwstr>
      </vt:variant>
      <vt:variant>
        <vt:i4>1376316</vt:i4>
      </vt:variant>
      <vt:variant>
        <vt:i4>1742</vt:i4>
      </vt:variant>
      <vt:variant>
        <vt:i4>0</vt:i4>
      </vt:variant>
      <vt:variant>
        <vt:i4>5</vt:i4>
      </vt:variant>
      <vt:variant>
        <vt:lpwstr/>
      </vt:variant>
      <vt:variant>
        <vt:lpwstr>_Toc431494019</vt:lpwstr>
      </vt:variant>
      <vt:variant>
        <vt:i4>1376316</vt:i4>
      </vt:variant>
      <vt:variant>
        <vt:i4>1736</vt:i4>
      </vt:variant>
      <vt:variant>
        <vt:i4>0</vt:i4>
      </vt:variant>
      <vt:variant>
        <vt:i4>5</vt:i4>
      </vt:variant>
      <vt:variant>
        <vt:lpwstr/>
      </vt:variant>
      <vt:variant>
        <vt:lpwstr>_Toc431494018</vt:lpwstr>
      </vt:variant>
      <vt:variant>
        <vt:i4>1376316</vt:i4>
      </vt:variant>
      <vt:variant>
        <vt:i4>1730</vt:i4>
      </vt:variant>
      <vt:variant>
        <vt:i4>0</vt:i4>
      </vt:variant>
      <vt:variant>
        <vt:i4>5</vt:i4>
      </vt:variant>
      <vt:variant>
        <vt:lpwstr/>
      </vt:variant>
      <vt:variant>
        <vt:lpwstr>_Toc431494017</vt:lpwstr>
      </vt:variant>
      <vt:variant>
        <vt:i4>1376316</vt:i4>
      </vt:variant>
      <vt:variant>
        <vt:i4>1724</vt:i4>
      </vt:variant>
      <vt:variant>
        <vt:i4>0</vt:i4>
      </vt:variant>
      <vt:variant>
        <vt:i4>5</vt:i4>
      </vt:variant>
      <vt:variant>
        <vt:lpwstr/>
      </vt:variant>
      <vt:variant>
        <vt:lpwstr>_Toc431494016</vt:lpwstr>
      </vt:variant>
      <vt:variant>
        <vt:i4>1376316</vt:i4>
      </vt:variant>
      <vt:variant>
        <vt:i4>1718</vt:i4>
      </vt:variant>
      <vt:variant>
        <vt:i4>0</vt:i4>
      </vt:variant>
      <vt:variant>
        <vt:i4>5</vt:i4>
      </vt:variant>
      <vt:variant>
        <vt:lpwstr/>
      </vt:variant>
      <vt:variant>
        <vt:lpwstr>_Toc431494015</vt:lpwstr>
      </vt:variant>
      <vt:variant>
        <vt:i4>1376316</vt:i4>
      </vt:variant>
      <vt:variant>
        <vt:i4>1712</vt:i4>
      </vt:variant>
      <vt:variant>
        <vt:i4>0</vt:i4>
      </vt:variant>
      <vt:variant>
        <vt:i4>5</vt:i4>
      </vt:variant>
      <vt:variant>
        <vt:lpwstr/>
      </vt:variant>
      <vt:variant>
        <vt:lpwstr>_Toc431494014</vt:lpwstr>
      </vt:variant>
      <vt:variant>
        <vt:i4>1376316</vt:i4>
      </vt:variant>
      <vt:variant>
        <vt:i4>1703</vt:i4>
      </vt:variant>
      <vt:variant>
        <vt:i4>0</vt:i4>
      </vt:variant>
      <vt:variant>
        <vt:i4>5</vt:i4>
      </vt:variant>
      <vt:variant>
        <vt:lpwstr/>
      </vt:variant>
      <vt:variant>
        <vt:lpwstr>_Toc431494013</vt:lpwstr>
      </vt:variant>
      <vt:variant>
        <vt:i4>1376316</vt:i4>
      </vt:variant>
      <vt:variant>
        <vt:i4>1697</vt:i4>
      </vt:variant>
      <vt:variant>
        <vt:i4>0</vt:i4>
      </vt:variant>
      <vt:variant>
        <vt:i4>5</vt:i4>
      </vt:variant>
      <vt:variant>
        <vt:lpwstr/>
      </vt:variant>
      <vt:variant>
        <vt:lpwstr>_Toc431494012</vt:lpwstr>
      </vt:variant>
      <vt:variant>
        <vt:i4>1376316</vt:i4>
      </vt:variant>
      <vt:variant>
        <vt:i4>1691</vt:i4>
      </vt:variant>
      <vt:variant>
        <vt:i4>0</vt:i4>
      </vt:variant>
      <vt:variant>
        <vt:i4>5</vt:i4>
      </vt:variant>
      <vt:variant>
        <vt:lpwstr/>
      </vt:variant>
      <vt:variant>
        <vt:lpwstr>_Toc431494011</vt:lpwstr>
      </vt:variant>
      <vt:variant>
        <vt:i4>1376316</vt:i4>
      </vt:variant>
      <vt:variant>
        <vt:i4>1685</vt:i4>
      </vt:variant>
      <vt:variant>
        <vt:i4>0</vt:i4>
      </vt:variant>
      <vt:variant>
        <vt:i4>5</vt:i4>
      </vt:variant>
      <vt:variant>
        <vt:lpwstr/>
      </vt:variant>
      <vt:variant>
        <vt:lpwstr>_Toc431494010</vt:lpwstr>
      </vt:variant>
      <vt:variant>
        <vt:i4>1310780</vt:i4>
      </vt:variant>
      <vt:variant>
        <vt:i4>1679</vt:i4>
      </vt:variant>
      <vt:variant>
        <vt:i4>0</vt:i4>
      </vt:variant>
      <vt:variant>
        <vt:i4>5</vt:i4>
      </vt:variant>
      <vt:variant>
        <vt:lpwstr/>
      </vt:variant>
      <vt:variant>
        <vt:lpwstr>_Toc431494009</vt:lpwstr>
      </vt:variant>
      <vt:variant>
        <vt:i4>1310780</vt:i4>
      </vt:variant>
      <vt:variant>
        <vt:i4>1673</vt:i4>
      </vt:variant>
      <vt:variant>
        <vt:i4>0</vt:i4>
      </vt:variant>
      <vt:variant>
        <vt:i4>5</vt:i4>
      </vt:variant>
      <vt:variant>
        <vt:lpwstr/>
      </vt:variant>
      <vt:variant>
        <vt:lpwstr>_Toc431494008</vt:lpwstr>
      </vt:variant>
      <vt:variant>
        <vt:i4>1310780</vt:i4>
      </vt:variant>
      <vt:variant>
        <vt:i4>1667</vt:i4>
      </vt:variant>
      <vt:variant>
        <vt:i4>0</vt:i4>
      </vt:variant>
      <vt:variant>
        <vt:i4>5</vt:i4>
      </vt:variant>
      <vt:variant>
        <vt:lpwstr/>
      </vt:variant>
      <vt:variant>
        <vt:lpwstr>_Toc431494007</vt:lpwstr>
      </vt:variant>
      <vt:variant>
        <vt:i4>1310780</vt:i4>
      </vt:variant>
      <vt:variant>
        <vt:i4>1661</vt:i4>
      </vt:variant>
      <vt:variant>
        <vt:i4>0</vt:i4>
      </vt:variant>
      <vt:variant>
        <vt:i4>5</vt:i4>
      </vt:variant>
      <vt:variant>
        <vt:lpwstr/>
      </vt:variant>
      <vt:variant>
        <vt:lpwstr>_Toc431494006</vt:lpwstr>
      </vt:variant>
      <vt:variant>
        <vt:i4>1310780</vt:i4>
      </vt:variant>
      <vt:variant>
        <vt:i4>1655</vt:i4>
      </vt:variant>
      <vt:variant>
        <vt:i4>0</vt:i4>
      </vt:variant>
      <vt:variant>
        <vt:i4>5</vt:i4>
      </vt:variant>
      <vt:variant>
        <vt:lpwstr/>
      </vt:variant>
      <vt:variant>
        <vt:lpwstr>_Toc431494005</vt:lpwstr>
      </vt:variant>
      <vt:variant>
        <vt:i4>1310780</vt:i4>
      </vt:variant>
      <vt:variant>
        <vt:i4>1649</vt:i4>
      </vt:variant>
      <vt:variant>
        <vt:i4>0</vt:i4>
      </vt:variant>
      <vt:variant>
        <vt:i4>5</vt:i4>
      </vt:variant>
      <vt:variant>
        <vt:lpwstr/>
      </vt:variant>
      <vt:variant>
        <vt:lpwstr>_Toc431494004</vt:lpwstr>
      </vt:variant>
      <vt:variant>
        <vt:i4>1310780</vt:i4>
      </vt:variant>
      <vt:variant>
        <vt:i4>1643</vt:i4>
      </vt:variant>
      <vt:variant>
        <vt:i4>0</vt:i4>
      </vt:variant>
      <vt:variant>
        <vt:i4>5</vt:i4>
      </vt:variant>
      <vt:variant>
        <vt:lpwstr/>
      </vt:variant>
      <vt:variant>
        <vt:lpwstr>_Toc431494003</vt:lpwstr>
      </vt:variant>
      <vt:variant>
        <vt:i4>1310780</vt:i4>
      </vt:variant>
      <vt:variant>
        <vt:i4>1637</vt:i4>
      </vt:variant>
      <vt:variant>
        <vt:i4>0</vt:i4>
      </vt:variant>
      <vt:variant>
        <vt:i4>5</vt:i4>
      </vt:variant>
      <vt:variant>
        <vt:lpwstr/>
      </vt:variant>
      <vt:variant>
        <vt:lpwstr>_Toc431494002</vt:lpwstr>
      </vt:variant>
      <vt:variant>
        <vt:i4>1310780</vt:i4>
      </vt:variant>
      <vt:variant>
        <vt:i4>1631</vt:i4>
      </vt:variant>
      <vt:variant>
        <vt:i4>0</vt:i4>
      </vt:variant>
      <vt:variant>
        <vt:i4>5</vt:i4>
      </vt:variant>
      <vt:variant>
        <vt:lpwstr/>
      </vt:variant>
      <vt:variant>
        <vt:lpwstr>_Toc431494001</vt:lpwstr>
      </vt:variant>
      <vt:variant>
        <vt:i4>1310780</vt:i4>
      </vt:variant>
      <vt:variant>
        <vt:i4>1625</vt:i4>
      </vt:variant>
      <vt:variant>
        <vt:i4>0</vt:i4>
      </vt:variant>
      <vt:variant>
        <vt:i4>5</vt:i4>
      </vt:variant>
      <vt:variant>
        <vt:lpwstr/>
      </vt:variant>
      <vt:variant>
        <vt:lpwstr>_Toc431494000</vt:lpwstr>
      </vt:variant>
      <vt:variant>
        <vt:i4>1703989</vt:i4>
      </vt:variant>
      <vt:variant>
        <vt:i4>1619</vt:i4>
      </vt:variant>
      <vt:variant>
        <vt:i4>0</vt:i4>
      </vt:variant>
      <vt:variant>
        <vt:i4>5</vt:i4>
      </vt:variant>
      <vt:variant>
        <vt:lpwstr/>
      </vt:variant>
      <vt:variant>
        <vt:lpwstr>_Toc431493999</vt:lpwstr>
      </vt:variant>
      <vt:variant>
        <vt:i4>1703989</vt:i4>
      </vt:variant>
      <vt:variant>
        <vt:i4>1613</vt:i4>
      </vt:variant>
      <vt:variant>
        <vt:i4>0</vt:i4>
      </vt:variant>
      <vt:variant>
        <vt:i4>5</vt:i4>
      </vt:variant>
      <vt:variant>
        <vt:lpwstr/>
      </vt:variant>
      <vt:variant>
        <vt:lpwstr>_Toc431493998</vt:lpwstr>
      </vt:variant>
      <vt:variant>
        <vt:i4>1703989</vt:i4>
      </vt:variant>
      <vt:variant>
        <vt:i4>1607</vt:i4>
      </vt:variant>
      <vt:variant>
        <vt:i4>0</vt:i4>
      </vt:variant>
      <vt:variant>
        <vt:i4>5</vt:i4>
      </vt:variant>
      <vt:variant>
        <vt:lpwstr/>
      </vt:variant>
      <vt:variant>
        <vt:lpwstr>_Toc431493997</vt:lpwstr>
      </vt:variant>
      <vt:variant>
        <vt:i4>1703989</vt:i4>
      </vt:variant>
      <vt:variant>
        <vt:i4>1601</vt:i4>
      </vt:variant>
      <vt:variant>
        <vt:i4>0</vt:i4>
      </vt:variant>
      <vt:variant>
        <vt:i4>5</vt:i4>
      </vt:variant>
      <vt:variant>
        <vt:lpwstr/>
      </vt:variant>
      <vt:variant>
        <vt:lpwstr>_Toc431493996</vt:lpwstr>
      </vt:variant>
      <vt:variant>
        <vt:i4>1703989</vt:i4>
      </vt:variant>
      <vt:variant>
        <vt:i4>1595</vt:i4>
      </vt:variant>
      <vt:variant>
        <vt:i4>0</vt:i4>
      </vt:variant>
      <vt:variant>
        <vt:i4>5</vt:i4>
      </vt:variant>
      <vt:variant>
        <vt:lpwstr/>
      </vt:variant>
      <vt:variant>
        <vt:lpwstr>_Toc431493995</vt:lpwstr>
      </vt:variant>
      <vt:variant>
        <vt:i4>1703989</vt:i4>
      </vt:variant>
      <vt:variant>
        <vt:i4>1589</vt:i4>
      </vt:variant>
      <vt:variant>
        <vt:i4>0</vt:i4>
      </vt:variant>
      <vt:variant>
        <vt:i4>5</vt:i4>
      </vt:variant>
      <vt:variant>
        <vt:lpwstr/>
      </vt:variant>
      <vt:variant>
        <vt:lpwstr>_Toc431493994</vt:lpwstr>
      </vt:variant>
      <vt:variant>
        <vt:i4>1703989</vt:i4>
      </vt:variant>
      <vt:variant>
        <vt:i4>1583</vt:i4>
      </vt:variant>
      <vt:variant>
        <vt:i4>0</vt:i4>
      </vt:variant>
      <vt:variant>
        <vt:i4>5</vt:i4>
      </vt:variant>
      <vt:variant>
        <vt:lpwstr/>
      </vt:variant>
      <vt:variant>
        <vt:lpwstr>_Toc431493993</vt:lpwstr>
      </vt:variant>
      <vt:variant>
        <vt:i4>1703989</vt:i4>
      </vt:variant>
      <vt:variant>
        <vt:i4>1577</vt:i4>
      </vt:variant>
      <vt:variant>
        <vt:i4>0</vt:i4>
      </vt:variant>
      <vt:variant>
        <vt:i4>5</vt:i4>
      </vt:variant>
      <vt:variant>
        <vt:lpwstr/>
      </vt:variant>
      <vt:variant>
        <vt:lpwstr>_Toc431493992</vt:lpwstr>
      </vt:variant>
      <vt:variant>
        <vt:i4>1703989</vt:i4>
      </vt:variant>
      <vt:variant>
        <vt:i4>1571</vt:i4>
      </vt:variant>
      <vt:variant>
        <vt:i4>0</vt:i4>
      </vt:variant>
      <vt:variant>
        <vt:i4>5</vt:i4>
      </vt:variant>
      <vt:variant>
        <vt:lpwstr/>
      </vt:variant>
      <vt:variant>
        <vt:lpwstr>_Toc431493991</vt:lpwstr>
      </vt:variant>
      <vt:variant>
        <vt:i4>1703989</vt:i4>
      </vt:variant>
      <vt:variant>
        <vt:i4>1565</vt:i4>
      </vt:variant>
      <vt:variant>
        <vt:i4>0</vt:i4>
      </vt:variant>
      <vt:variant>
        <vt:i4>5</vt:i4>
      </vt:variant>
      <vt:variant>
        <vt:lpwstr/>
      </vt:variant>
      <vt:variant>
        <vt:lpwstr>_Toc431493990</vt:lpwstr>
      </vt:variant>
      <vt:variant>
        <vt:i4>1769525</vt:i4>
      </vt:variant>
      <vt:variant>
        <vt:i4>1559</vt:i4>
      </vt:variant>
      <vt:variant>
        <vt:i4>0</vt:i4>
      </vt:variant>
      <vt:variant>
        <vt:i4>5</vt:i4>
      </vt:variant>
      <vt:variant>
        <vt:lpwstr/>
      </vt:variant>
      <vt:variant>
        <vt:lpwstr>_Toc431493989</vt:lpwstr>
      </vt:variant>
      <vt:variant>
        <vt:i4>1769525</vt:i4>
      </vt:variant>
      <vt:variant>
        <vt:i4>1553</vt:i4>
      </vt:variant>
      <vt:variant>
        <vt:i4>0</vt:i4>
      </vt:variant>
      <vt:variant>
        <vt:i4>5</vt:i4>
      </vt:variant>
      <vt:variant>
        <vt:lpwstr/>
      </vt:variant>
      <vt:variant>
        <vt:lpwstr>_Toc431493988</vt:lpwstr>
      </vt:variant>
      <vt:variant>
        <vt:i4>1769525</vt:i4>
      </vt:variant>
      <vt:variant>
        <vt:i4>1547</vt:i4>
      </vt:variant>
      <vt:variant>
        <vt:i4>0</vt:i4>
      </vt:variant>
      <vt:variant>
        <vt:i4>5</vt:i4>
      </vt:variant>
      <vt:variant>
        <vt:lpwstr/>
      </vt:variant>
      <vt:variant>
        <vt:lpwstr>_Toc431493987</vt:lpwstr>
      </vt:variant>
      <vt:variant>
        <vt:i4>1769525</vt:i4>
      </vt:variant>
      <vt:variant>
        <vt:i4>1541</vt:i4>
      </vt:variant>
      <vt:variant>
        <vt:i4>0</vt:i4>
      </vt:variant>
      <vt:variant>
        <vt:i4>5</vt:i4>
      </vt:variant>
      <vt:variant>
        <vt:lpwstr/>
      </vt:variant>
      <vt:variant>
        <vt:lpwstr>_Toc431493986</vt:lpwstr>
      </vt:variant>
      <vt:variant>
        <vt:i4>1769525</vt:i4>
      </vt:variant>
      <vt:variant>
        <vt:i4>1535</vt:i4>
      </vt:variant>
      <vt:variant>
        <vt:i4>0</vt:i4>
      </vt:variant>
      <vt:variant>
        <vt:i4>5</vt:i4>
      </vt:variant>
      <vt:variant>
        <vt:lpwstr/>
      </vt:variant>
      <vt:variant>
        <vt:lpwstr>_Toc431493985</vt:lpwstr>
      </vt:variant>
      <vt:variant>
        <vt:i4>1769525</vt:i4>
      </vt:variant>
      <vt:variant>
        <vt:i4>1529</vt:i4>
      </vt:variant>
      <vt:variant>
        <vt:i4>0</vt:i4>
      </vt:variant>
      <vt:variant>
        <vt:i4>5</vt:i4>
      </vt:variant>
      <vt:variant>
        <vt:lpwstr/>
      </vt:variant>
      <vt:variant>
        <vt:lpwstr>_Toc431493984</vt:lpwstr>
      </vt:variant>
      <vt:variant>
        <vt:i4>1769525</vt:i4>
      </vt:variant>
      <vt:variant>
        <vt:i4>1523</vt:i4>
      </vt:variant>
      <vt:variant>
        <vt:i4>0</vt:i4>
      </vt:variant>
      <vt:variant>
        <vt:i4>5</vt:i4>
      </vt:variant>
      <vt:variant>
        <vt:lpwstr/>
      </vt:variant>
      <vt:variant>
        <vt:lpwstr>_Toc431493983</vt:lpwstr>
      </vt:variant>
      <vt:variant>
        <vt:i4>1769525</vt:i4>
      </vt:variant>
      <vt:variant>
        <vt:i4>1517</vt:i4>
      </vt:variant>
      <vt:variant>
        <vt:i4>0</vt:i4>
      </vt:variant>
      <vt:variant>
        <vt:i4>5</vt:i4>
      </vt:variant>
      <vt:variant>
        <vt:lpwstr/>
      </vt:variant>
      <vt:variant>
        <vt:lpwstr>_Toc431493982</vt:lpwstr>
      </vt:variant>
      <vt:variant>
        <vt:i4>1769525</vt:i4>
      </vt:variant>
      <vt:variant>
        <vt:i4>1511</vt:i4>
      </vt:variant>
      <vt:variant>
        <vt:i4>0</vt:i4>
      </vt:variant>
      <vt:variant>
        <vt:i4>5</vt:i4>
      </vt:variant>
      <vt:variant>
        <vt:lpwstr/>
      </vt:variant>
      <vt:variant>
        <vt:lpwstr>_Toc431493981</vt:lpwstr>
      </vt:variant>
      <vt:variant>
        <vt:i4>1769525</vt:i4>
      </vt:variant>
      <vt:variant>
        <vt:i4>1505</vt:i4>
      </vt:variant>
      <vt:variant>
        <vt:i4>0</vt:i4>
      </vt:variant>
      <vt:variant>
        <vt:i4>5</vt:i4>
      </vt:variant>
      <vt:variant>
        <vt:lpwstr/>
      </vt:variant>
      <vt:variant>
        <vt:lpwstr>_Toc431493980</vt:lpwstr>
      </vt:variant>
      <vt:variant>
        <vt:i4>1310773</vt:i4>
      </vt:variant>
      <vt:variant>
        <vt:i4>1499</vt:i4>
      </vt:variant>
      <vt:variant>
        <vt:i4>0</vt:i4>
      </vt:variant>
      <vt:variant>
        <vt:i4>5</vt:i4>
      </vt:variant>
      <vt:variant>
        <vt:lpwstr/>
      </vt:variant>
      <vt:variant>
        <vt:lpwstr>_Toc431493979</vt:lpwstr>
      </vt:variant>
      <vt:variant>
        <vt:i4>1310773</vt:i4>
      </vt:variant>
      <vt:variant>
        <vt:i4>1493</vt:i4>
      </vt:variant>
      <vt:variant>
        <vt:i4>0</vt:i4>
      </vt:variant>
      <vt:variant>
        <vt:i4>5</vt:i4>
      </vt:variant>
      <vt:variant>
        <vt:lpwstr/>
      </vt:variant>
      <vt:variant>
        <vt:lpwstr>_Toc431493978</vt:lpwstr>
      </vt:variant>
      <vt:variant>
        <vt:i4>1310773</vt:i4>
      </vt:variant>
      <vt:variant>
        <vt:i4>1487</vt:i4>
      </vt:variant>
      <vt:variant>
        <vt:i4>0</vt:i4>
      </vt:variant>
      <vt:variant>
        <vt:i4>5</vt:i4>
      </vt:variant>
      <vt:variant>
        <vt:lpwstr/>
      </vt:variant>
      <vt:variant>
        <vt:lpwstr>_Toc431493977</vt:lpwstr>
      </vt:variant>
      <vt:variant>
        <vt:i4>1310773</vt:i4>
      </vt:variant>
      <vt:variant>
        <vt:i4>1481</vt:i4>
      </vt:variant>
      <vt:variant>
        <vt:i4>0</vt:i4>
      </vt:variant>
      <vt:variant>
        <vt:i4>5</vt:i4>
      </vt:variant>
      <vt:variant>
        <vt:lpwstr/>
      </vt:variant>
      <vt:variant>
        <vt:lpwstr>_Toc431493976</vt:lpwstr>
      </vt:variant>
      <vt:variant>
        <vt:i4>1310773</vt:i4>
      </vt:variant>
      <vt:variant>
        <vt:i4>1475</vt:i4>
      </vt:variant>
      <vt:variant>
        <vt:i4>0</vt:i4>
      </vt:variant>
      <vt:variant>
        <vt:i4>5</vt:i4>
      </vt:variant>
      <vt:variant>
        <vt:lpwstr/>
      </vt:variant>
      <vt:variant>
        <vt:lpwstr>_Toc431493975</vt:lpwstr>
      </vt:variant>
      <vt:variant>
        <vt:i4>1310773</vt:i4>
      </vt:variant>
      <vt:variant>
        <vt:i4>1469</vt:i4>
      </vt:variant>
      <vt:variant>
        <vt:i4>0</vt:i4>
      </vt:variant>
      <vt:variant>
        <vt:i4>5</vt:i4>
      </vt:variant>
      <vt:variant>
        <vt:lpwstr/>
      </vt:variant>
      <vt:variant>
        <vt:lpwstr>_Toc431493974</vt:lpwstr>
      </vt:variant>
      <vt:variant>
        <vt:i4>1310773</vt:i4>
      </vt:variant>
      <vt:variant>
        <vt:i4>1463</vt:i4>
      </vt:variant>
      <vt:variant>
        <vt:i4>0</vt:i4>
      </vt:variant>
      <vt:variant>
        <vt:i4>5</vt:i4>
      </vt:variant>
      <vt:variant>
        <vt:lpwstr/>
      </vt:variant>
      <vt:variant>
        <vt:lpwstr>_Toc431493973</vt:lpwstr>
      </vt:variant>
      <vt:variant>
        <vt:i4>1310773</vt:i4>
      </vt:variant>
      <vt:variant>
        <vt:i4>1457</vt:i4>
      </vt:variant>
      <vt:variant>
        <vt:i4>0</vt:i4>
      </vt:variant>
      <vt:variant>
        <vt:i4>5</vt:i4>
      </vt:variant>
      <vt:variant>
        <vt:lpwstr/>
      </vt:variant>
      <vt:variant>
        <vt:lpwstr>_Toc431493972</vt:lpwstr>
      </vt:variant>
      <vt:variant>
        <vt:i4>1310773</vt:i4>
      </vt:variant>
      <vt:variant>
        <vt:i4>1451</vt:i4>
      </vt:variant>
      <vt:variant>
        <vt:i4>0</vt:i4>
      </vt:variant>
      <vt:variant>
        <vt:i4>5</vt:i4>
      </vt:variant>
      <vt:variant>
        <vt:lpwstr/>
      </vt:variant>
      <vt:variant>
        <vt:lpwstr>_Toc431493971</vt:lpwstr>
      </vt:variant>
      <vt:variant>
        <vt:i4>1310773</vt:i4>
      </vt:variant>
      <vt:variant>
        <vt:i4>1445</vt:i4>
      </vt:variant>
      <vt:variant>
        <vt:i4>0</vt:i4>
      </vt:variant>
      <vt:variant>
        <vt:i4>5</vt:i4>
      </vt:variant>
      <vt:variant>
        <vt:lpwstr/>
      </vt:variant>
      <vt:variant>
        <vt:lpwstr>_Toc431493970</vt:lpwstr>
      </vt:variant>
      <vt:variant>
        <vt:i4>1376309</vt:i4>
      </vt:variant>
      <vt:variant>
        <vt:i4>1439</vt:i4>
      </vt:variant>
      <vt:variant>
        <vt:i4>0</vt:i4>
      </vt:variant>
      <vt:variant>
        <vt:i4>5</vt:i4>
      </vt:variant>
      <vt:variant>
        <vt:lpwstr/>
      </vt:variant>
      <vt:variant>
        <vt:lpwstr>_Toc431493969</vt:lpwstr>
      </vt:variant>
      <vt:variant>
        <vt:i4>1376309</vt:i4>
      </vt:variant>
      <vt:variant>
        <vt:i4>1433</vt:i4>
      </vt:variant>
      <vt:variant>
        <vt:i4>0</vt:i4>
      </vt:variant>
      <vt:variant>
        <vt:i4>5</vt:i4>
      </vt:variant>
      <vt:variant>
        <vt:lpwstr/>
      </vt:variant>
      <vt:variant>
        <vt:lpwstr>_Toc431493968</vt:lpwstr>
      </vt:variant>
      <vt:variant>
        <vt:i4>1376309</vt:i4>
      </vt:variant>
      <vt:variant>
        <vt:i4>1427</vt:i4>
      </vt:variant>
      <vt:variant>
        <vt:i4>0</vt:i4>
      </vt:variant>
      <vt:variant>
        <vt:i4>5</vt:i4>
      </vt:variant>
      <vt:variant>
        <vt:lpwstr/>
      </vt:variant>
      <vt:variant>
        <vt:lpwstr>_Toc431493967</vt:lpwstr>
      </vt:variant>
      <vt:variant>
        <vt:i4>1376309</vt:i4>
      </vt:variant>
      <vt:variant>
        <vt:i4>1421</vt:i4>
      </vt:variant>
      <vt:variant>
        <vt:i4>0</vt:i4>
      </vt:variant>
      <vt:variant>
        <vt:i4>5</vt:i4>
      </vt:variant>
      <vt:variant>
        <vt:lpwstr/>
      </vt:variant>
      <vt:variant>
        <vt:lpwstr>_Toc431493966</vt:lpwstr>
      </vt:variant>
      <vt:variant>
        <vt:i4>1376309</vt:i4>
      </vt:variant>
      <vt:variant>
        <vt:i4>1415</vt:i4>
      </vt:variant>
      <vt:variant>
        <vt:i4>0</vt:i4>
      </vt:variant>
      <vt:variant>
        <vt:i4>5</vt:i4>
      </vt:variant>
      <vt:variant>
        <vt:lpwstr/>
      </vt:variant>
      <vt:variant>
        <vt:lpwstr>_Toc431493965</vt:lpwstr>
      </vt:variant>
      <vt:variant>
        <vt:i4>1376309</vt:i4>
      </vt:variant>
      <vt:variant>
        <vt:i4>1409</vt:i4>
      </vt:variant>
      <vt:variant>
        <vt:i4>0</vt:i4>
      </vt:variant>
      <vt:variant>
        <vt:i4>5</vt:i4>
      </vt:variant>
      <vt:variant>
        <vt:lpwstr/>
      </vt:variant>
      <vt:variant>
        <vt:lpwstr>_Toc431493964</vt:lpwstr>
      </vt:variant>
      <vt:variant>
        <vt:i4>1376309</vt:i4>
      </vt:variant>
      <vt:variant>
        <vt:i4>1403</vt:i4>
      </vt:variant>
      <vt:variant>
        <vt:i4>0</vt:i4>
      </vt:variant>
      <vt:variant>
        <vt:i4>5</vt:i4>
      </vt:variant>
      <vt:variant>
        <vt:lpwstr/>
      </vt:variant>
      <vt:variant>
        <vt:lpwstr>_Toc431493963</vt:lpwstr>
      </vt:variant>
      <vt:variant>
        <vt:i4>1376309</vt:i4>
      </vt:variant>
      <vt:variant>
        <vt:i4>1397</vt:i4>
      </vt:variant>
      <vt:variant>
        <vt:i4>0</vt:i4>
      </vt:variant>
      <vt:variant>
        <vt:i4>5</vt:i4>
      </vt:variant>
      <vt:variant>
        <vt:lpwstr/>
      </vt:variant>
      <vt:variant>
        <vt:lpwstr>_Toc431493962</vt:lpwstr>
      </vt:variant>
      <vt:variant>
        <vt:i4>1376309</vt:i4>
      </vt:variant>
      <vt:variant>
        <vt:i4>1391</vt:i4>
      </vt:variant>
      <vt:variant>
        <vt:i4>0</vt:i4>
      </vt:variant>
      <vt:variant>
        <vt:i4>5</vt:i4>
      </vt:variant>
      <vt:variant>
        <vt:lpwstr/>
      </vt:variant>
      <vt:variant>
        <vt:lpwstr>_Toc431493961</vt:lpwstr>
      </vt:variant>
      <vt:variant>
        <vt:i4>1376309</vt:i4>
      </vt:variant>
      <vt:variant>
        <vt:i4>1385</vt:i4>
      </vt:variant>
      <vt:variant>
        <vt:i4>0</vt:i4>
      </vt:variant>
      <vt:variant>
        <vt:i4>5</vt:i4>
      </vt:variant>
      <vt:variant>
        <vt:lpwstr/>
      </vt:variant>
      <vt:variant>
        <vt:lpwstr>_Toc431493960</vt:lpwstr>
      </vt:variant>
      <vt:variant>
        <vt:i4>1441845</vt:i4>
      </vt:variant>
      <vt:variant>
        <vt:i4>1379</vt:i4>
      </vt:variant>
      <vt:variant>
        <vt:i4>0</vt:i4>
      </vt:variant>
      <vt:variant>
        <vt:i4>5</vt:i4>
      </vt:variant>
      <vt:variant>
        <vt:lpwstr/>
      </vt:variant>
      <vt:variant>
        <vt:lpwstr>_Toc431493959</vt:lpwstr>
      </vt:variant>
      <vt:variant>
        <vt:i4>1441845</vt:i4>
      </vt:variant>
      <vt:variant>
        <vt:i4>1373</vt:i4>
      </vt:variant>
      <vt:variant>
        <vt:i4>0</vt:i4>
      </vt:variant>
      <vt:variant>
        <vt:i4>5</vt:i4>
      </vt:variant>
      <vt:variant>
        <vt:lpwstr/>
      </vt:variant>
      <vt:variant>
        <vt:lpwstr>_Toc431493958</vt:lpwstr>
      </vt:variant>
      <vt:variant>
        <vt:i4>1441845</vt:i4>
      </vt:variant>
      <vt:variant>
        <vt:i4>1367</vt:i4>
      </vt:variant>
      <vt:variant>
        <vt:i4>0</vt:i4>
      </vt:variant>
      <vt:variant>
        <vt:i4>5</vt:i4>
      </vt:variant>
      <vt:variant>
        <vt:lpwstr/>
      </vt:variant>
      <vt:variant>
        <vt:lpwstr>_Toc431493957</vt:lpwstr>
      </vt:variant>
      <vt:variant>
        <vt:i4>1441845</vt:i4>
      </vt:variant>
      <vt:variant>
        <vt:i4>1361</vt:i4>
      </vt:variant>
      <vt:variant>
        <vt:i4>0</vt:i4>
      </vt:variant>
      <vt:variant>
        <vt:i4>5</vt:i4>
      </vt:variant>
      <vt:variant>
        <vt:lpwstr/>
      </vt:variant>
      <vt:variant>
        <vt:lpwstr>_Toc431493956</vt:lpwstr>
      </vt:variant>
      <vt:variant>
        <vt:i4>1441845</vt:i4>
      </vt:variant>
      <vt:variant>
        <vt:i4>1355</vt:i4>
      </vt:variant>
      <vt:variant>
        <vt:i4>0</vt:i4>
      </vt:variant>
      <vt:variant>
        <vt:i4>5</vt:i4>
      </vt:variant>
      <vt:variant>
        <vt:lpwstr/>
      </vt:variant>
      <vt:variant>
        <vt:lpwstr>_Toc431493955</vt:lpwstr>
      </vt:variant>
      <vt:variant>
        <vt:i4>1441845</vt:i4>
      </vt:variant>
      <vt:variant>
        <vt:i4>1349</vt:i4>
      </vt:variant>
      <vt:variant>
        <vt:i4>0</vt:i4>
      </vt:variant>
      <vt:variant>
        <vt:i4>5</vt:i4>
      </vt:variant>
      <vt:variant>
        <vt:lpwstr/>
      </vt:variant>
      <vt:variant>
        <vt:lpwstr>_Toc431493954</vt:lpwstr>
      </vt:variant>
      <vt:variant>
        <vt:i4>1441845</vt:i4>
      </vt:variant>
      <vt:variant>
        <vt:i4>1343</vt:i4>
      </vt:variant>
      <vt:variant>
        <vt:i4>0</vt:i4>
      </vt:variant>
      <vt:variant>
        <vt:i4>5</vt:i4>
      </vt:variant>
      <vt:variant>
        <vt:lpwstr/>
      </vt:variant>
      <vt:variant>
        <vt:lpwstr>_Toc431493953</vt:lpwstr>
      </vt:variant>
      <vt:variant>
        <vt:i4>1441845</vt:i4>
      </vt:variant>
      <vt:variant>
        <vt:i4>1337</vt:i4>
      </vt:variant>
      <vt:variant>
        <vt:i4>0</vt:i4>
      </vt:variant>
      <vt:variant>
        <vt:i4>5</vt:i4>
      </vt:variant>
      <vt:variant>
        <vt:lpwstr/>
      </vt:variant>
      <vt:variant>
        <vt:lpwstr>_Toc431493952</vt:lpwstr>
      </vt:variant>
      <vt:variant>
        <vt:i4>1441845</vt:i4>
      </vt:variant>
      <vt:variant>
        <vt:i4>1331</vt:i4>
      </vt:variant>
      <vt:variant>
        <vt:i4>0</vt:i4>
      </vt:variant>
      <vt:variant>
        <vt:i4>5</vt:i4>
      </vt:variant>
      <vt:variant>
        <vt:lpwstr/>
      </vt:variant>
      <vt:variant>
        <vt:lpwstr>_Toc431493951</vt:lpwstr>
      </vt:variant>
      <vt:variant>
        <vt:i4>1441845</vt:i4>
      </vt:variant>
      <vt:variant>
        <vt:i4>1325</vt:i4>
      </vt:variant>
      <vt:variant>
        <vt:i4>0</vt:i4>
      </vt:variant>
      <vt:variant>
        <vt:i4>5</vt:i4>
      </vt:variant>
      <vt:variant>
        <vt:lpwstr/>
      </vt:variant>
      <vt:variant>
        <vt:lpwstr>_Toc431493950</vt:lpwstr>
      </vt:variant>
      <vt:variant>
        <vt:i4>1507381</vt:i4>
      </vt:variant>
      <vt:variant>
        <vt:i4>1319</vt:i4>
      </vt:variant>
      <vt:variant>
        <vt:i4>0</vt:i4>
      </vt:variant>
      <vt:variant>
        <vt:i4>5</vt:i4>
      </vt:variant>
      <vt:variant>
        <vt:lpwstr/>
      </vt:variant>
      <vt:variant>
        <vt:lpwstr>_Toc431493949</vt:lpwstr>
      </vt:variant>
      <vt:variant>
        <vt:i4>1507381</vt:i4>
      </vt:variant>
      <vt:variant>
        <vt:i4>1313</vt:i4>
      </vt:variant>
      <vt:variant>
        <vt:i4>0</vt:i4>
      </vt:variant>
      <vt:variant>
        <vt:i4>5</vt:i4>
      </vt:variant>
      <vt:variant>
        <vt:lpwstr/>
      </vt:variant>
      <vt:variant>
        <vt:lpwstr>_Toc431493948</vt:lpwstr>
      </vt:variant>
      <vt:variant>
        <vt:i4>1507381</vt:i4>
      </vt:variant>
      <vt:variant>
        <vt:i4>1307</vt:i4>
      </vt:variant>
      <vt:variant>
        <vt:i4>0</vt:i4>
      </vt:variant>
      <vt:variant>
        <vt:i4>5</vt:i4>
      </vt:variant>
      <vt:variant>
        <vt:lpwstr/>
      </vt:variant>
      <vt:variant>
        <vt:lpwstr>_Toc431493947</vt:lpwstr>
      </vt:variant>
      <vt:variant>
        <vt:i4>1507381</vt:i4>
      </vt:variant>
      <vt:variant>
        <vt:i4>1301</vt:i4>
      </vt:variant>
      <vt:variant>
        <vt:i4>0</vt:i4>
      </vt:variant>
      <vt:variant>
        <vt:i4>5</vt:i4>
      </vt:variant>
      <vt:variant>
        <vt:lpwstr/>
      </vt:variant>
      <vt:variant>
        <vt:lpwstr>_Toc431493946</vt:lpwstr>
      </vt:variant>
      <vt:variant>
        <vt:i4>1507381</vt:i4>
      </vt:variant>
      <vt:variant>
        <vt:i4>1295</vt:i4>
      </vt:variant>
      <vt:variant>
        <vt:i4>0</vt:i4>
      </vt:variant>
      <vt:variant>
        <vt:i4>5</vt:i4>
      </vt:variant>
      <vt:variant>
        <vt:lpwstr/>
      </vt:variant>
      <vt:variant>
        <vt:lpwstr>_Toc431493945</vt:lpwstr>
      </vt:variant>
      <vt:variant>
        <vt:i4>1507381</vt:i4>
      </vt:variant>
      <vt:variant>
        <vt:i4>1289</vt:i4>
      </vt:variant>
      <vt:variant>
        <vt:i4>0</vt:i4>
      </vt:variant>
      <vt:variant>
        <vt:i4>5</vt:i4>
      </vt:variant>
      <vt:variant>
        <vt:lpwstr/>
      </vt:variant>
      <vt:variant>
        <vt:lpwstr>_Toc431493944</vt:lpwstr>
      </vt:variant>
      <vt:variant>
        <vt:i4>1507381</vt:i4>
      </vt:variant>
      <vt:variant>
        <vt:i4>1283</vt:i4>
      </vt:variant>
      <vt:variant>
        <vt:i4>0</vt:i4>
      </vt:variant>
      <vt:variant>
        <vt:i4>5</vt:i4>
      </vt:variant>
      <vt:variant>
        <vt:lpwstr/>
      </vt:variant>
      <vt:variant>
        <vt:lpwstr>_Toc431493943</vt:lpwstr>
      </vt:variant>
      <vt:variant>
        <vt:i4>1507381</vt:i4>
      </vt:variant>
      <vt:variant>
        <vt:i4>1277</vt:i4>
      </vt:variant>
      <vt:variant>
        <vt:i4>0</vt:i4>
      </vt:variant>
      <vt:variant>
        <vt:i4>5</vt:i4>
      </vt:variant>
      <vt:variant>
        <vt:lpwstr/>
      </vt:variant>
      <vt:variant>
        <vt:lpwstr>_Toc431493942</vt:lpwstr>
      </vt:variant>
      <vt:variant>
        <vt:i4>1507381</vt:i4>
      </vt:variant>
      <vt:variant>
        <vt:i4>1271</vt:i4>
      </vt:variant>
      <vt:variant>
        <vt:i4>0</vt:i4>
      </vt:variant>
      <vt:variant>
        <vt:i4>5</vt:i4>
      </vt:variant>
      <vt:variant>
        <vt:lpwstr/>
      </vt:variant>
      <vt:variant>
        <vt:lpwstr>_Toc431493941</vt:lpwstr>
      </vt:variant>
      <vt:variant>
        <vt:i4>1507381</vt:i4>
      </vt:variant>
      <vt:variant>
        <vt:i4>1265</vt:i4>
      </vt:variant>
      <vt:variant>
        <vt:i4>0</vt:i4>
      </vt:variant>
      <vt:variant>
        <vt:i4>5</vt:i4>
      </vt:variant>
      <vt:variant>
        <vt:lpwstr/>
      </vt:variant>
      <vt:variant>
        <vt:lpwstr>_Toc431493940</vt:lpwstr>
      </vt:variant>
      <vt:variant>
        <vt:i4>1048629</vt:i4>
      </vt:variant>
      <vt:variant>
        <vt:i4>1259</vt:i4>
      </vt:variant>
      <vt:variant>
        <vt:i4>0</vt:i4>
      </vt:variant>
      <vt:variant>
        <vt:i4>5</vt:i4>
      </vt:variant>
      <vt:variant>
        <vt:lpwstr/>
      </vt:variant>
      <vt:variant>
        <vt:lpwstr>_Toc431493939</vt:lpwstr>
      </vt:variant>
      <vt:variant>
        <vt:i4>1048629</vt:i4>
      </vt:variant>
      <vt:variant>
        <vt:i4>1253</vt:i4>
      </vt:variant>
      <vt:variant>
        <vt:i4>0</vt:i4>
      </vt:variant>
      <vt:variant>
        <vt:i4>5</vt:i4>
      </vt:variant>
      <vt:variant>
        <vt:lpwstr/>
      </vt:variant>
      <vt:variant>
        <vt:lpwstr>_Toc431493938</vt:lpwstr>
      </vt:variant>
      <vt:variant>
        <vt:i4>1048629</vt:i4>
      </vt:variant>
      <vt:variant>
        <vt:i4>1247</vt:i4>
      </vt:variant>
      <vt:variant>
        <vt:i4>0</vt:i4>
      </vt:variant>
      <vt:variant>
        <vt:i4>5</vt:i4>
      </vt:variant>
      <vt:variant>
        <vt:lpwstr/>
      </vt:variant>
      <vt:variant>
        <vt:lpwstr>_Toc431493937</vt:lpwstr>
      </vt:variant>
      <vt:variant>
        <vt:i4>1048629</vt:i4>
      </vt:variant>
      <vt:variant>
        <vt:i4>1241</vt:i4>
      </vt:variant>
      <vt:variant>
        <vt:i4>0</vt:i4>
      </vt:variant>
      <vt:variant>
        <vt:i4>5</vt:i4>
      </vt:variant>
      <vt:variant>
        <vt:lpwstr/>
      </vt:variant>
      <vt:variant>
        <vt:lpwstr>_Toc431493936</vt:lpwstr>
      </vt:variant>
      <vt:variant>
        <vt:i4>1048629</vt:i4>
      </vt:variant>
      <vt:variant>
        <vt:i4>1235</vt:i4>
      </vt:variant>
      <vt:variant>
        <vt:i4>0</vt:i4>
      </vt:variant>
      <vt:variant>
        <vt:i4>5</vt:i4>
      </vt:variant>
      <vt:variant>
        <vt:lpwstr/>
      </vt:variant>
      <vt:variant>
        <vt:lpwstr>_Toc431493935</vt:lpwstr>
      </vt:variant>
      <vt:variant>
        <vt:i4>1048629</vt:i4>
      </vt:variant>
      <vt:variant>
        <vt:i4>1229</vt:i4>
      </vt:variant>
      <vt:variant>
        <vt:i4>0</vt:i4>
      </vt:variant>
      <vt:variant>
        <vt:i4>5</vt:i4>
      </vt:variant>
      <vt:variant>
        <vt:lpwstr/>
      </vt:variant>
      <vt:variant>
        <vt:lpwstr>_Toc431493934</vt:lpwstr>
      </vt:variant>
      <vt:variant>
        <vt:i4>1048629</vt:i4>
      </vt:variant>
      <vt:variant>
        <vt:i4>1223</vt:i4>
      </vt:variant>
      <vt:variant>
        <vt:i4>0</vt:i4>
      </vt:variant>
      <vt:variant>
        <vt:i4>5</vt:i4>
      </vt:variant>
      <vt:variant>
        <vt:lpwstr/>
      </vt:variant>
      <vt:variant>
        <vt:lpwstr>_Toc431493933</vt:lpwstr>
      </vt:variant>
      <vt:variant>
        <vt:i4>1048629</vt:i4>
      </vt:variant>
      <vt:variant>
        <vt:i4>1217</vt:i4>
      </vt:variant>
      <vt:variant>
        <vt:i4>0</vt:i4>
      </vt:variant>
      <vt:variant>
        <vt:i4>5</vt:i4>
      </vt:variant>
      <vt:variant>
        <vt:lpwstr/>
      </vt:variant>
      <vt:variant>
        <vt:lpwstr>_Toc431493932</vt:lpwstr>
      </vt:variant>
      <vt:variant>
        <vt:i4>1048629</vt:i4>
      </vt:variant>
      <vt:variant>
        <vt:i4>1211</vt:i4>
      </vt:variant>
      <vt:variant>
        <vt:i4>0</vt:i4>
      </vt:variant>
      <vt:variant>
        <vt:i4>5</vt:i4>
      </vt:variant>
      <vt:variant>
        <vt:lpwstr/>
      </vt:variant>
      <vt:variant>
        <vt:lpwstr>_Toc431493931</vt:lpwstr>
      </vt:variant>
      <vt:variant>
        <vt:i4>1048629</vt:i4>
      </vt:variant>
      <vt:variant>
        <vt:i4>1205</vt:i4>
      </vt:variant>
      <vt:variant>
        <vt:i4>0</vt:i4>
      </vt:variant>
      <vt:variant>
        <vt:i4>5</vt:i4>
      </vt:variant>
      <vt:variant>
        <vt:lpwstr/>
      </vt:variant>
      <vt:variant>
        <vt:lpwstr>_Toc431493930</vt:lpwstr>
      </vt:variant>
      <vt:variant>
        <vt:i4>1114165</vt:i4>
      </vt:variant>
      <vt:variant>
        <vt:i4>1199</vt:i4>
      </vt:variant>
      <vt:variant>
        <vt:i4>0</vt:i4>
      </vt:variant>
      <vt:variant>
        <vt:i4>5</vt:i4>
      </vt:variant>
      <vt:variant>
        <vt:lpwstr/>
      </vt:variant>
      <vt:variant>
        <vt:lpwstr>_Toc431493929</vt:lpwstr>
      </vt:variant>
      <vt:variant>
        <vt:i4>1114165</vt:i4>
      </vt:variant>
      <vt:variant>
        <vt:i4>1193</vt:i4>
      </vt:variant>
      <vt:variant>
        <vt:i4>0</vt:i4>
      </vt:variant>
      <vt:variant>
        <vt:i4>5</vt:i4>
      </vt:variant>
      <vt:variant>
        <vt:lpwstr/>
      </vt:variant>
      <vt:variant>
        <vt:lpwstr>_Toc431493928</vt:lpwstr>
      </vt:variant>
      <vt:variant>
        <vt:i4>1114165</vt:i4>
      </vt:variant>
      <vt:variant>
        <vt:i4>1187</vt:i4>
      </vt:variant>
      <vt:variant>
        <vt:i4>0</vt:i4>
      </vt:variant>
      <vt:variant>
        <vt:i4>5</vt:i4>
      </vt:variant>
      <vt:variant>
        <vt:lpwstr/>
      </vt:variant>
      <vt:variant>
        <vt:lpwstr>_Toc431493927</vt:lpwstr>
      </vt:variant>
      <vt:variant>
        <vt:i4>1114165</vt:i4>
      </vt:variant>
      <vt:variant>
        <vt:i4>1181</vt:i4>
      </vt:variant>
      <vt:variant>
        <vt:i4>0</vt:i4>
      </vt:variant>
      <vt:variant>
        <vt:i4>5</vt:i4>
      </vt:variant>
      <vt:variant>
        <vt:lpwstr/>
      </vt:variant>
      <vt:variant>
        <vt:lpwstr>_Toc431493926</vt:lpwstr>
      </vt:variant>
      <vt:variant>
        <vt:i4>1114165</vt:i4>
      </vt:variant>
      <vt:variant>
        <vt:i4>1175</vt:i4>
      </vt:variant>
      <vt:variant>
        <vt:i4>0</vt:i4>
      </vt:variant>
      <vt:variant>
        <vt:i4>5</vt:i4>
      </vt:variant>
      <vt:variant>
        <vt:lpwstr/>
      </vt:variant>
      <vt:variant>
        <vt:lpwstr>_Toc431493925</vt:lpwstr>
      </vt:variant>
      <vt:variant>
        <vt:i4>1114165</vt:i4>
      </vt:variant>
      <vt:variant>
        <vt:i4>1169</vt:i4>
      </vt:variant>
      <vt:variant>
        <vt:i4>0</vt:i4>
      </vt:variant>
      <vt:variant>
        <vt:i4>5</vt:i4>
      </vt:variant>
      <vt:variant>
        <vt:lpwstr/>
      </vt:variant>
      <vt:variant>
        <vt:lpwstr>_Toc431493924</vt:lpwstr>
      </vt:variant>
      <vt:variant>
        <vt:i4>1114165</vt:i4>
      </vt:variant>
      <vt:variant>
        <vt:i4>1163</vt:i4>
      </vt:variant>
      <vt:variant>
        <vt:i4>0</vt:i4>
      </vt:variant>
      <vt:variant>
        <vt:i4>5</vt:i4>
      </vt:variant>
      <vt:variant>
        <vt:lpwstr/>
      </vt:variant>
      <vt:variant>
        <vt:lpwstr>_Toc431493923</vt:lpwstr>
      </vt:variant>
      <vt:variant>
        <vt:i4>1114165</vt:i4>
      </vt:variant>
      <vt:variant>
        <vt:i4>1157</vt:i4>
      </vt:variant>
      <vt:variant>
        <vt:i4>0</vt:i4>
      </vt:variant>
      <vt:variant>
        <vt:i4>5</vt:i4>
      </vt:variant>
      <vt:variant>
        <vt:lpwstr/>
      </vt:variant>
      <vt:variant>
        <vt:lpwstr>_Toc431493922</vt:lpwstr>
      </vt:variant>
      <vt:variant>
        <vt:i4>1114165</vt:i4>
      </vt:variant>
      <vt:variant>
        <vt:i4>1151</vt:i4>
      </vt:variant>
      <vt:variant>
        <vt:i4>0</vt:i4>
      </vt:variant>
      <vt:variant>
        <vt:i4>5</vt:i4>
      </vt:variant>
      <vt:variant>
        <vt:lpwstr/>
      </vt:variant>
      <vt:variant>
        <vt:lpwstr>_Toc431493921</vt:lpwstr>
      </vt:variant>
      <vt:variant>
        <vt:i4>1114165</vt:i4>
      </vt:variant>
      <vt:variant>
        <vt:i4>1145</vt:i4>
      </vt:variant>
      <vt:variant>
        <vt:i4>0</vt:i4>
      </vt:variant>
      <vt:variant>
        <vt:i4>5</vt:i4>
      </vt:variant>
      <vt:variant>
        <vt:lpwstr/>
      </vt:variant>
      <vt:variant>
        <vt:lpwstr>_Toc431493920</vt:lpwstr>
      </vt:variant>
      <vt:variant>
        <vt:i4>1179701</vt:i4>
      </vt:variant>
      <vt:variant>
        <vt:i4>1139</vt:i4>
      </vt:variant>
      <vt:variant>
        <vt:i4>0</vt:i4>
      </vt:variant>
      <vt:variant>
        <vt:i4>5</vt:i4>
      </vt:variant>
      <vt:variant>
        <vt:lpwstr/>
      </vt:variant>
      <vt:variant>
        <vt:lpwstr>_Toc431493919</vt:lpwstr>
      </vt:variant>
      <vt:variant>
        <vt:i4>1179701</vt:i4>
      </vt:variant>
      <vt:variant>
        <vt:i4>1133</vt:i4>
      </vt:variant>
      <vt:variant>
        <vt:i4>0</vt:i4>
      </vt:variant>
      <vt:variant>
        <vt:i4>5</vt:i4>
      </vt:variant>
      <vt:variant>
        <vt:lpwstr/>
      </vt:variant>
      <vt:variant>
        <vt:lpwstr>_Toc431493918</vt:lpwstr>
      </vt:variant>
      <vt:variant>
        <vt:i4>1179701</vt:i4>
      </vt:variant>
      <vt:variant>
        <vt:i4>1127</vt:i4>
      </vt:variant>
      <vt:variant>
        <vt:i4>0</vt:i4>
      </vt:variant>
      <vt:variant>
        <vt:i4>5</vt:i4>
      </vt:variant>
      <vt:variant>
        <vt:lpwstr/>
      </vt:variant>
      <vt:variant>
        <vt:lpwstr>_Toc431493917</vt:lpwstr>
      </vt:variant>
      <vt:variant>
        <vt:i4>1179701</vt:i4>
      </vt:variant>
      <vt:variant>
        <vt:i4>1121</vt:i4>
      </vt:variant>
      <vt:variant>
        <vt:i4>0</vt:i4>
      </vt:variant>
      <vt:variant>
        <vt:i4>5</vt:i4>
      </vt:variant>
      <vt:variant>
        <vt:lpwstr/>
      </vt:variant>
      <vt:variant>
        <vt:lpwstr>_Toc431493916</vt:lpwstr>
      </vt:variant>
      <vt:variant>
        <vt:i4>1179701</vt:i4>
      </vt:variant>
      <vt:variant>
        <vt:i4>1115</vt:i4>
      </vt:variant>
      <vt:variant>
        <vt:i4>0</vt:i4>
      </vt:variant>
      <vt:variant>
        <vt:i4>5</vt:i4>
      </vt:variant>
      <vt:variant>
        <vt:lpwstr/>
      </vt:variant>
      <vt:variant>
        <vt:lpwstr>_Toc431493915</vt:lpwstr>
      </vt:variant>
      <vt:variant>
        <vt:i4>1179701</vt:i4>
      </vt:variant>
      <vt:variant>
        <vt:i4>1109</vt:i4>
      </vt:variant>
      <vt:variant>
        <vt:i4>0</vt:i4>
      </vt:variant>
      <vt:variant>
        <vt:i4>5</vt:i4>
      </vt:variant>
      <vt:variant>
        <vt:lpwstr/>
      </vt:variant>
      <vt:variant>
        <vt:lpwstr>_Toc431493914</vt:lpwstr>
      </vt:variant>
      <vt:variant>
        <vt:i4>1179701</vt:i4>
      </vt:variant>
      <vt:variant>
        <vt:i4>1103</vt:i4>
      </vt:variant>
      <vt:variant>
        <vt:i4>0</vt:i4>
      </vt:variant>
      <vt:variant>
        <vt:i4>5</vt:i4>
      </vt:variant>
      <vt:variant>
        <vt:lpwstr/>
      </vt:variant>
      <vt:variant>
        <vt:lpwstr>_Toc431493913</vt:lpwstr>
      </vt:variant>
      <vt:variant>
        <vt:i4>1179701</vt:i4>
      </vt:variant>
      <vt:variant>
        <vt:i4>1097</vt:i4>
      </vt:variant>
      <vt:variant>
        <vt:i4>0</vt:i4>
      </vt:variant>
      <vt:variant>
        <vt:i4>5</vt:i4>
      </vt:variant>
      <vt:variant>
        <vt:lpwstr/>
      </vt:variant>
      <vt:variant>
        <vt:lpwstr>_Toc431493912</vt:lpwstr>
      </vt:variant>
      <vt:variant>
        <vt:i4>1179701</vt:i4>
      </vt:variant>
      <vt:variant>
        <vt:i4>1091</vt:i4>
      </vt:variant>
      <vt:variant>
        <vt:i4>0</vt:i4>
      </vt:variant>
      <vt:variant>
        <vt:i4>5</vt:i4>
      </vt:variant>
      <vt:variant>
        <vt:lpwstr/>
      </vt:variant>
      <vt:variant>
        <vt:lpwstr>_Toc431493911</vt:lpwstr>
      </vt:variant>
      <vt:variant>
        <vt:i4>1179701</vt:i4>
      </vt:variant>
      <vt:variant>
        <vt:i4>1085</vt:i4>
      </vt:variant>
      <vt:variant>
        <vt:i4>0</vt:i4>
      </vt:variant>
      <vt:variant>
        <vt:i4>5</vt:i4>
      </vt:variant>
      <vt:variant>
        <vt:lpwstr/>
      </vt:variant>
      <vt:variant>
        <vt:lpwstr>_Toc431493910</vt:lpwstr>
      </vt:variant>
      <vt:variant>
        <vt:i4>1245237</vt:i4>
      </vt:variant>
      <vt:variant>
        <vt:i4>1079</vt:i4>
      </vt:variant>
      <vt:variant>
        <vt:i4>0</vt:i4>
      </vt:variant>
      <vt:variant>
        <vt:i4>5</vt:i4>
      </vt:variant>
      <vt:variant>
        <vt:lpwstr/>
      </vt:variant>
      <vt:variant>
        <vt:lpwstr>_Toc431493909</vt:lpwstr>
      </vt:variant>
      <vt:variant>
        <vt:i4>1245237</vt:i4>
      </vt:variant>
      <vt:variant>
        <vt:i4>1073</vt:i4>
      </vt:variant>
      <vt:variant>
        <vt:i4>0</vt:i4>
      </vt:variant>
      <vt:variant>
        <vt:i4>5</vt:i4>
      </vt:variant>
      <vt:variant>
        <vt:lpwstr/>
      </vt:variant>
      <vt:variant>
        <vt:lpwstr>_Toc431493908</vt:lpwstr>
      </vt:variant>
      <vt:variant>
        <vt:i4>1245237</vt:i4>
      </vt:variant>
      <vt:variant>
        <vt:i4>1067</vt:i4>
      </vt:variant>
      <vt:variant>
        <vt:i4>0</vt:i4>
      </vt:variant>
      <vt:variant>
        <vt:i4>5</vt:i4>
      </vt:variant>
      <vt:variant>
        <vt:lpwstr/>
      </vt:variant>
      <vt:variant>
        <vt:lpwstr>_Toc431493907</vt:lpwstr>
      </vt:variant>
      <vt:variant>
        <vt:i4>1245237</vt:i4>
      </vt:variant>
      <vt:variant>
        <vt:i4>1061</vt:i4>
      </vt:variant>
      <vt:variant>
        <vt:i4>0</vt:i4>
      </vt:variant>
      <vt:variant>
        <vt:i4>5</vt:i4>
      </vt:variant>
      <vt:variant>
        <vt:lpwstr/>
      </vt:variant>
      <vt:variant>
        <vt:lpwstr>_Toc431493906</vt:lpwstr>
      </vt:variant>
      <vt:variant>
        <vt:i4>1245237</vt:i4>
      </vt:variant>
      <vt:variant>
        <vt:i4>1055</vt:i4>
      </vt:variant>
      <vt:variant>
        <vt:i4>0</vt:i4>
      </vt:variant>
      <vt:variant>
        <vt:i4>5</vt:i4>
      </vt:variant>
      <vt:variant>
        <vt:lpwstr/>
      </vt:variant>
      <vt:variant>
        <vt:lpwstr>_Toc431493905</vt:lpwstr>
      </vt:variant>
      <vt:variant>
        <vt:i4>1245237</vt:i4>
      </vt:variant>
      <vt:variant>
        <vt:i4>1049</vt:i4>
      </vt:variant>
      <vt:variant>
        <vt:i4>0</vt:i4>
      </vt:variant>
      <vt:variant>
        <vt:i4>5</vt:i4>
      </vt:variant>
      <vt:variant>
        <vt:lpwstr/>
      </vt:variant>
      <vt:variant>
        <vt:lpwstr>_Toc431493904</vt:lpwstr>
      </vt:variant>
      <vt:variant>
        <vt:i4>1245237</vt:i4>
      </vt:variant>
      <vt:variant>
        <vt:i4>1043</vt:i4>
      </vt:variant>
      <vt:variant>
        <vt:i4>0</vt:i4>
      </vt:variant>
      <vt:variant>
        <vt:i4>5</vt:i4>
      </vt:variant>
      <vt:variant>
        <vt:lpwstr/>
      </vt:variant>
      <vt:variant>
        <vt:lpwstr>_Toc431493903</vt:lpwstr>
      </vt:variant>
      <vt:variant>
        <vt:i4>1245237</vt:i4>
      </vt:variant>
      <vt:variant>
        <vt:i4>1037</vt:i4>
      </vt:variant>
      <vt:variant>
        <vt:i4>0</vt:i4>
      </vt:variant>
      <vt:variant>
        <vt:i4>5</vt:i4>
      </vt:variant>
      <vt:variant>
        <vt:lpwstr/>
      </vt:variant>
      <vt:variant>
        <vt:lpwstr>_Toc431493902</vt:lpwstr>
      </vt:variant>
      <vt:variant>
        <vt:i4>1245237</vt:i4>
      </vt:variant>
      <vt:variant>
        <vt:i4>1031</vt:i4>
      </vt:variant>
      <vt:variant>
        <vt:i4>0</vt:i4>
      </vt:variant>
      <vt:variant>
        <vt:i4>5</vt:i4>
      </vt:variant>
      <vt:variant>
        <vt:lpwstr/>
      </vt:variant>
      <vt:variant>
        <vt:lpwstr>_Toc431493901</vt:lpwstr>
      </vt:variant>
      <vt:variant>
        <vt:i4>1245237</vt:i4>
      </vt:variant>
      <vt:variant>
        <vt:i4>1025</vt:i4>
      </vt:variant>
      <vt:variant>
        <vt:i4>0</vt:i4>
      </vt:variant>
      <vt:variant>
        <vt:i4>5</vt:i4>
      </vt:variant>
      <vt:variant>
        <vt:lpwstr/>
      </vt:variant>
      <vt:variant>
        <vt:lpwstr>_Toc431493900</vt:lpwstr>
      </vt:variant>
      <vt:variant>
        <vt:i4>1703988</vt:i4>
      </vt:variant>
      <vt:variant>
        <vt:i4>1019</vt:i4>
      </vt:variant>
      <vt:variant>
        <vt:i4>0</vt:i4>
      </vt:variant>
      <vt:variant>
        <vt:i4>5</vt:i4>
      </vt:variant>
      <vt:variant>
        <vt:lpwstr/>
      </vt:variant>
      <vt:variant>
        <vt:lpwstr>_Toc431493899</vt:lpwstr>
      </vt:variant>
      <vt:variant>
        <vt:i4>1703988</vt:i4>
      </vt:variant>
      <vt:variant>
        <vt:i4>1013</vt:i4>
      </vt:variant>
      <vt:variant>
        <vt:i4>0</vt:i4>
      </vt:variant>
      <vt:variant>
        <vt:i4>5</vt:i4>
      </vt:variant>
      <vt:variant>
        <vt:lpwstr/>
      </vt:variant>
      <vt:variant>
        <vt:lpwstr>_Toc431493898</vt:lpwstr>
      </vt:variant>
      <vt:variant>
        <vt:i4>1703988</vt:i4>
      </vt:variant>
      <vt:variant>
        <vt:i4>1007</vt:i4>
      </vt:variant>
      <vt:variant>
        <vt:i4>0</vt:i4>
      </vt:variant>
      <vt:variant>
        <vt:i4>5</vt:i4>
      </vt:variant>
      <vt:variant>
        <vt:lpwstr/>
      </vt:variant>
      <vt:variant>
        <vt:lpwstr>_Toc431493897</vt:lpwstr>
      </vt:variant>
      <vt:variant>
        <vt:i4>1703988</vt:i4>
      </vt:variant>
      <vt:variant>
        <vt:i4>1001</vt:i4>
      </vt:variant>
      <vt:variant>
        <vt:i4>0</vt:i4>
      </vt:variant>
      <vt:variant>
        <vt:i4>5</vt:i4>
      </vt:variant>
      <vt:variant>
        <vt:lpwstr/>
      </vt:variant>
      <vt:variant>
        <vt:lpwstr>_Toc431493896</vt:lpwstr>
      </vt:variant>
      <vt:variant>
        <vt:i4>1703988</vt:i4>
      </vt:variant>
      <vt:variant>
        <vt:i4>995</vt:i4>
      </vt:variant>
      <vt:variant>
        <vt:i4>0</vt:i4>
      </vt:variant>
      <vt:variant>
        <vt:i4>5</vt:i4>
      </vt:variant>
      <vt:variant>
        <vt:lpwstr/>
      </vt:variant>
      <vt:variant>
        <vt:lpwstr>_Toc431493895</vt:lpwstr>
      </vt:variant>
      <vt:variant>
        <vt:i4>1703988</vt:i4>
      </vt:variant>
      <vt:variant>
        <vt:i4>989</vt:i4>
      </vt:variant>
      <vt:variant>
        <vt:i4>0</vt:i4>
      </vt:variant>
      <vt:variant>
        <vt:i4>5</vt:i4>
      </vt:variant>
      <vt:variant>
        <vt:lpwstr/>
      </vt:variant>
      <vt:variant>
        <vt:lpwstr>_Toc431493894</vt:lpwstr>
      </vt:variant>
      <vt:variant>
        <vt:i4>1703988</vt:i4>
      </vt:variant>
      <vt:variant>
        <vt:i4>983</vt:i4>
      </vt:variant>
      <vt:variant>
        <vt:i4>0</vt:i4>
      </vt:variant>
      <vt:variant>
        <vt:i4>5</vt:i4>
      </vt:variant>
      <vt:variant>
        <vt:lpwstr/>
      </vt:variant>
      <vt:variant>
        <vt:lpwstr>_Toc431493893</vt:lpwstr>
      </vt:variant>
      <vt:variant>
        <vt:i4>1703988</vt:i4>
      </vt:variant>
      <vt:variant>
        <vt:i4>977</vt:i4>
      </vt:variant>
      <vt:variant>
        <vt:i4>0</vt:i4>
      </vt:variant>
      <vt:variant>
        <vt:i4>5</vt:i4>
      </vt:variant>
      <vt:variant>
        <vt:lpwstr/>
      </vt:variant>
      <vt:variant>
        <vt:lpwstr>_Toc431493892</vt:lpwstr>
      </vt:variant>
      <vt:variant>
        <vt:i4>1703988</vt:i4>
      </vt:variant>
      <vt:variant>
        <vt:i4>971</vt:i4>
      </vt:variant>
      <vt:variant>
        <vt:i4>0</vt:i4>
      </vt:variant>
      <vt:variant>
        <vt:i4>5</vt:i4>
      </vt:variant>
      <vt:variant>
        <vt:lpwstr/>
      </vt:variant>
      <vt:variant>
        <vt:lpwstr>_Toc431493891</vt:lpwstr>
      </vt:variant>
      <vt:variant>
        <vt:i4>1703988</vt:i4>
      </vt:variant>
      <vt:variant>
        <vt:i4>965</vt:i4>
      </vt:variant>
      <vt:variant>
        <vt:i4>0</vt:i4>
      </vt:variant>
      <vt:variant>
        <vt:i4>5</vt:i4>
      </vt:variant>
      <vt:variant>
        <vt:lpwstr/>
      </vt:variant>
      <vt:variant>
        <vt:lpwstr>_Toc431493890</vt:lpwstr>
      </vt:variant>
      <vt:variant>
        <vt:i4>1769524</vt:i4>
      </vt:variant>
      <vt:variant>
        <vt:i4>959</vt:i4>
      </vt:variant>
      <vt:variant>
        <vt:i4>0</vt:i4>
      </vt:variant>
      <vt:variant>
        <vt:i4>5</vt:i4>
      </vt:variant>
      <vt:variant>
        <vt:lpwstr/>
      </vt:variant>
      <vt:variant>
        <vt:lpwstr>_Toc431493889</vt:lpwstr>
      </vt:variant>
      <vt:variant>
        <vt:i4>1769524</vt:i4>
      </vt:variant>
      <vt:variant>
        <vt:i4>953</vt:i4>
      </vt:variant>
      <vt:variant>
        <vt:i4>0</vt:i4>
      </vt:variant>
      <vt:variant>
        <vt:i4>5</vt:i4>
      </vt:variant>
      <vt:variant>
        <vt:lpwstr/>
      </vt:variant>
      <vt:variant>
        <vt:lpwstr>_Toc431493888</vt:lpwstr>
      </vt:variant>
      <vt:variant>
        <vt:i4>1769524</vt:i4>
      </vt:variant>
      <vt:variant>
        <vt:i4>947</vt:i4>
      </vt:variant>
      <vt:variant>
        <vt:i4>0</vt:i4>
      </vt:variant>
      <vt:variant>
        <vt:i4>5</vt:i4>
      </vt:variant>
      <vt:variant>
        <vt:lpwstr/>
      </vt:variant>
      <vt:variant>
        <vt:lpwstr>_Toc431493887</vt:lpwstr>
      </vt:variant>
      <vt:variant>
        <vt:i4>1769524</vt:i4>
      </vt:variant>
      <vt:variant>
        <vt:i4>941</vt:i4>
      </vt:variant>
      <vt:variant>
        <vt:i4>0</vt:i4>
      </vt:variant>
      <vt:variant>
        <vt:i4>5</vt:i4>
      </vt:variant>
      <vt:variant>
        <vt:lpwstr/>
      </vt:variant>
      <vt:variant>
        <vt:lpwstr>_Toc431493886</vt:lpwstr>
      </vt:variant>
      <vt:variant>
        <vt:i4>1769524</vt:i4>
      </vt:variant>
      <vt:variant>
        <vt:i4>935</vt:i4>
      </vt:variant>
      <vt:variant>
        <vt:i4>0</vt:i4>
      </vt:variant>
      <vt:variant>
        <vt:i4>5</vt:i4>
      </vt:variant>
      <vt:variant>
        <vt:lpwstr/>
      </vt:variant>
      <vt:variant>
        <vt:lpwstr>_Toc431493885</vt:lpwstr>
      </vt:variant>
      <vt:variant>
        <vt:i4>1769524</vt:i4>
      </vt:variant>
      <vt:variant>
        <vt:i4>929</vt:i4>
      </vt:variant>
      <vt:variant>
        <vt:i4>0</vt:i4>
      </vt:variant>
      <vt:variant>
        <vt:i4>5</vt:i4>
      </vt:variant>
      <vt:variant>
        <vt:lpwstr/>
      </vt:variant>
      <vt:variant>
        <vt:lpwstr>_Toc431493884</vt:lpwstr>
      </vt:variant>
      <vt:variant>
        <vt:i4>1769524</vt:i4>
      </vt:variant>
      <vt:variant>
        <vt:i4>923</vt:i4>
      </vt:variant>
      <vt:variant>
        <vt:i4>0</vt:i4>
      </vt:variant>
      <vt:variant>
        <vt:i4>5</vt:i4>
      </vt:variant>
      <vt:variant>
        <vt:lpwstr/>
      </vt:variant>
      <vt:variant>
        <vt:lpwstr>_Toc431493883</vt:lpwstr>
      </vt:variant>
      <vt:variant>
        <vt:i4>1769524</vt:i4>
      </vt:variant>
      <vt:variant>
        <vt:i4>917</vt:i4>
      </vt:variant>
      <vt:variant>
        <vt:i4>0</vt:i4>
      </vt:variant>
      <vt:variant>
        <vt:i4>5</vt:i4>
      </vt:variant>
      <vt:variant>
        <vt:lpwstr/>
      </vt:variant>
      <vt:variant>
        <vt:lpwstr>_Toc431493882</vt:lpwstr>
      </vt:variant>
      <vt:variant>
        <vt:i4>1769524</vt:i4>
      </vt:variant>
      <vt:variant>
        <vt:i4>911</vt:i4>
      </vt:variant>
      <vt:variant>
        <vt:i4>0</vt:i4>
      </vt:variant>
      <vt:variant>
        <vt:i4>5</vt:i4>
      </vt:variant>
      <vt:variant>
        <vt:lpwstr/>
      </vt:variant>
      <vt:variant>
        <vt:lpwstr>_Toc431493881</vt:lpwstr>
      </vt:variant>
      <vt:variant>
        <vt:i4>1769524</vt:i4>
      </vt:variant>
      <vt:variant>
        <vt:i4>905</vt:i4>
      </vt:variant>
      <vt:variant>
        <vt:i4>0</vt:i4>
      </vt:variant>
      <vt:variant>
        <vt:i4>5</vt:i4>
      </vt:variant>
      <vt:variant>
        <vt:lpwstr/>
      </vt:variant>
      <vt:variant>
        <vt:lpwstr>_Toc431493880</vt:lpwstr>
      </vt:variant>
      <vt:variant>
        <vt:i4>1310772</vt:i4>
      </vt:variant>
      <vt:variant>
        <vt:i4>899</vt:i4>
      </vt:variant>
      <vt:variant>
        <vt:i4>0</vt:i4>
      </vt:variant>
      <vt:variant>
        <vt:i4>5</vt:i4>
      </vt:variant>
      <vt:variant>
        <vt:lpwstr/>
      </vt:variant>
      <vt:variant>
        <vt:lpwstr>_Toc431493879</vt:lpwstr>
      </vt:variant>
      <vt:variant>
        <vt:i4>1310772</vt:i4>
      </vt:variant>
      <vt:variant>
        <vt:i4>893</vt:i4>
      </vt:variant>
      <vt:variant>
        <vt:i4>0</vt:i4>
      </vt:variant>
      <vt:variant>
        <vt:i4>5</vt:i4>
      </vt:variant>
      <vt:variant>
        <vt:lpwstr/>
      </vt:variant>
      <vt:variant>
        <vt:lpwstr>_Toc431493878</vt:lpwstr>
      </vt:variant>
      <vt:variant>
        <vt:i4>1310772</vt:i4>
      </vt:variant>
      <vt:variant>
        <vt:i4>887</vt:i4>
      </vt:variant>
      <vt:variant>
        <vt:i4>0</vt:i4>
      </vt:variant>
      <vt:variant>
        <vt:i4>5</vt:i4>
      </vt:variant>
      <vt:variant>
        <vt:lpwstr/>
      </vt:variant>
      <vt:variant>
        <vt:lpwstr>_Toc431493877</vt:lpwstr>
      </vt:variant>
      <vt:variant>
        <vt:i4>1310772</vt:i4>
      </vt:variant>
      <vt:variant>
        <vt:i4>881</vt:i4>
      </vt:variant>
      <vt:variant>
        <vt:i4>0</vt:i4>
      </vt:variant>
      <vt:variant>
        <vt:i4>5</vt:i4>
      </vt:variant>
      <vt:variant>
        <vt:lpwstr/>
      </vt:variant>
      <vt:variant>
        <vt:lpwstr>_Toc431493876</vt:lpwstr>
      </vt:variant>
      <vt:variant>
        <vt:i4>1310772</vt:i4>
      </vt:variant>
      <vt:variant>
        <vt:i4>875</vt:i4>
      </vt:variant>
      <vt:variant>
        <vt:i4>0</vt:i4>
      </vt:variant>
      <vt:variant>
        <vt:i4>5</vt:i4>
      </vt:variant>
      <vt:variant>
        <vt:lpwstr/>
      </vt:variant>
      <vt:variant>
        <vt:lpwstr>_Toc431493875</vt:lpwstr>
      </vt:variant>
      <vt:variant>
        <vt:i4>1310772</vt:i4>
      </vt:variant>
      <vt:variant>
        <vt:i4>869</vt:i4>
      </vt:variant>
      <vt:variant>
        <vt:i4>0</vt:i4>
      </vt:variant>
      <vt:variant>
        <vt:i4>5</vt:i4>
      </vt:variant>
      <vt:variant>
        <vt:lpwstr/>
      </vt:variant>
      <vt:variant>
        <vt:lpwstr>_Toc431493874</vt:lpwstr>
      </vt:variant>
      <vt:variant>
        <vt:i4>1310772</vt:i4>
      </vt:variant>
      <vt:variant>
        <vt:i4>863</vt:i4>
      </vt:variant>
      <vt:variant>
        <vt:i4>0</vt:i4>
      </vt:variant>
      <vt:variant>
        <vt:i4>5</vt:i4>
      </vt:variant>
      <vt:variant>
        <vt:lpwstr/>
      </vt:variant>
      <vt:variant>
        <vt:lpwstr>_Toc431493873</vt:lpwstr>
      </vt:variant>
      <vt:variant>
        <vt:i4>1310772</vt:i4>
      </vt:variant>
      <vt:variant>
        <vt:i4>857</vt:i4>
      </vt:variant>
      <vt:variant>
        <vt:i4>0</vt:i4>
      </vt:variant>
      <vt:variant>
        <vt:i4>5</vt:i4>
      </vt:variant>
      <vt:variant>
        <vt:lpwstr/>
      </vt:variant>
      <vt:variant>
        <vt:lpwstr>_Toc431493872</vt:lpwstr>
      </vt:variant>
      <vt:variant>
        <vt:i4>1310772</vt:i4>
      </vt:variant>
      <vt:variant>
        <vt:i4>851</vt:i4>
      </vt:variant>
      <vt:variant>
        <vt:i4>0</vt:i4>
      </vt:variant>
      <vt:variant>
        <vt:i4>5</vt:i4>
      </vt:variant>
      <vt:variant>
        <vt:lpwstr/>
      </vt:variant>
      <vt:variant>
        <vt:lpwstr>_Toc431493871</vt:lpwstr>
      </vt:variant>
      <vt:variant>
        <vt:i4>1310772</vt:i4>
      </vt:variant>
      <vt:variant>
        <vt:i4>845</vt:i4>
      </vt:variant>
      <vt:variant>
        <vt:i4>0</vt:i4>
      </vt:variant>
      <vt:variant>
        <vt:i4>5</vt:i4>
      </vt:variant>
      <vt:variant>
        <vt:lpwstr/>
      </vt:variant>
      <vt:variant>
        <vt:lpwstr>_Toc431493870</vt:lpwstr>
      </vt:variant>
      <vt:variant>
        <vt:i4>1376308</vt:i4>
      </vt:variant>
      <vt:variant>
        <vt:i4>839</vt:i4>
      </vt:variant>
      <vt:variant>
        <vt:i4>0</vt:i4>
      </vt:variant>
      <vt:variant>
        <vt:i4>5</vt:i4>
      </vt:variant>
      <vt:variant>
        <vt:lpwstr/>
      </vt:variant>
      <vt:variant>
        <vt:lpwstr>_Toc431493869</vt:lpwstr>
      </vt:variant>
      <vt:variant>
        <vt:i4>1376308</vt:i4>
      </vt:variant>
      <vt:variant>
        <vt:i4>833</vt:i4>
      </vt:variant>
      <vt:variant>
        <vt:i4>0</vt:i4>
      </vt:variant>
      <vt:variant>
        <vt:i4>5</vt:i4>
      </vt:variant>
      <vt:variant>
        <vt:lpwstr/>
      </vt:variant>
      <vt:variant>
        <vt:lpwstr>_Toc431493868</vt:lpwstr>
      </vt:variant>
      <vt:variant>
        <vt:i4>1376308</vt:i4>
      </vt:variant>
      <vt:variant>
        <vt:i4>827</vt:i4>
      </vt:variant>
      <vt:variant>
        <vt:i4>0</vt:i4>
      </vt:variant>
      <vt:variant>
        <vt:i4>5</vt:i4>
      </vt:variant>
      <vt:variant>
        <vt:lpwstr/>
      </vt:variant>
      <vt:variant>
        <vt:lpwstr>_Toc431493867</vt:lpwstr>
      </vt:variant>
      <vt:variant>
        <vt:i4>1376308</vt:i4>
      </vt:variant>
      <vt:variant>
        <vt:i4>821</vt:i4>
      </vt:variant>
      <vt:variant>
        <vt:i4>0</vt:i4>
      </vt:variant>
      <vt:variant>
        <vt:i4>5</vt:i4>
      </vt:variant>
      <vt:variant>
        <vt:lpwstr/>
      </vt:variant>
      <vt:variant>
        <vt:lpwstr>_Toc431493866</vt:lpwstr>
      </vt:variant>
      <vt:variant>
        <vt:i4>1376308</vt:i4>
      </vt:variant>
      <vt:variant>
        <vt:i4>815</vt:i4>
      </vt:variant>
      <vt:variant>
        <vt:i4>0</vt:i4>
      </vt:variant>
      <vt:variant>
        <vt:i4>5</vt:i4>
      </vt:variant>
      <vt:variant>
        <vt:lpwstr/>
      </vt:variant>
      <vt:variant>
        <vt:lpwstr>_Toc431493865</vt:lpwstr>
      </vt:variant>
      <vt:variant>
        <vt:i4>1376308</vt:i4>
      </vt:variant>
      <vt:variant>
        <vt:i4>809</vt:i4>
      </vt:variant>
      <vt:variant>
        <vt:i4>0</vt:i4>
      </vt:variant>
      <vt:variant>
        <vt:i4>5</vt:i4>
      </vt:variant>
      <vt:variant>
        <vt:lpwstr/>
      </vt:variant>
      <vt:variant>
        <vt:lpwstr>_Toc431493864</vt:lpwstr>
      </vt:variant>
      <vt:variant>
        <vt:i4>1376308</vt:i4>
      </vt:variant>
      <vt:variant>
        <vt:i4>803</vt:i4>
      </vt:variant>
      <vt:variant>
        <vt:i4>0</vt:i4>
      </vt:variant>
      <vt:variant>
        <vt:i4>5</vt:i4>
      </vt:variant>
      <vt:variant>
        <vt:lpwstr/>
      </vt:variant>
      <vt:variant>
        <vt:lpwstr>_Toc431493863</vt:lpwstr>
      </vt:variant>
      <vt:variant>
        <vt:i4>1376308</vt:i4>
      </vt:variant>
      <vt:variant>
        <vt:i4>797</vt:i4>
      </vt:variant>
      <vt:variant>
        <vt:i4>0</vt:i4>
      </vt:variant>
      <vt:variant>
        <vt:i4>5</vt:i4>
      </vt:variant>
      <vt:variant>
        <vt:lpwstr/>
      </vt:variant>
      <vt:variant>
        <vt:lpwstr>_Toc431493862</vt:lpwstr>
      </vt:variant>
      <vt:variant>
        <vt:i4>1376308</vt:i4>
      </vt:variant>
      <vt:variant>
        <vt:i4>791</vt:i4>
      </vt:variant>
      <vt:variant>
        <vt:i4>0</vt:i4>
      </vt:variant>
      <vt:variant>
        <vt:i4>5</vt:i4>
      </vt:variant>
      <vt:variant>
        <vt:lpwstr/>
      </vt:variant>
      <vt:variant>
        <vt:lpwstr>_Toc431493861</vt:lpwstr>
      </vt:variant>
      <vt:variant>
        <vt:i4>1376308</vt:i4>
      </vt:variant>
      <vt:variant>
        <vt:i4>785</vt:i4>
      </vt:variant>
      <vt:variant>
        <vt:i4>0</vt:i4>
      </vt:variant>
      <vt:variant>
        <vt:i4>5</vt:i4>
      </vt:variant>
      <vt:variant>
        <vt:lpwstr/>
      </vt:variant>
      <vt:variant>
        <vt:lpwstr>_Toc431493860</vt:lpwstr>
      </vt:variant>
      <vt:variant>
        <vt:i4>1441844</vt:i4>
      </vt:variant>
      <vt:variant>
        <vt:i4>779</vt:i4>
      </vt:variant>
      <vt:variant>
        <vt:i4>0</vt:i4>
      </vt:variant>
      <vt:variant>
        <vt:i4>5</vt:i4>
      </vt:variant>
      <vt:variant>
        <vt:lpwstr/>
      </vt:variant>
      <vt:variant>
        <vt:lpwstr>_Toc431493859</vt:lpwstr>
      </vt:variant>
      <vt:variant>
        <vt:i4>1441844</vt:i4>
      </vt:variant>
      <vt:variant>
        <vt:i4>773</vt:i4>
      </vt:variant>
      <vt:variant>
        <vt:i4>0</vt:i4>
      </vt:variant>
      <vt:variant>
        <vt:i4>5</vt:i4>
      </vt:variant>
      <vt:variant>
        <vt:lpwstr/>
      </vt:variant>
      <vt:variant>
        <vt:lpwstr>_Toc431493858</vt:lpwstr>
      </vt:variant>
      <vt:variant>
        <vt:i4>1441844</vt:i4>
      </vt:variant>
      <vt:variant>
        <vt:i4>767</vt:i4>
      </vt:variant>
      <vt:variant>
        <vt:i4>0</vt:i4>
      </vt:variant>
      <vt:variant>
        <vt:i4>5</vt:i4>
      </vt:variant>
      <vt:variant>
        <vt:lpwstr/>
      </vt:variant>
      <vt:variant>
        <vt:lpwstr>_Toc431493857</vt:lpwstr>
      </vt:variant>
      <vt:variant>
        <vt:i4>1441844</vt:i4>
      </vt:variant>
      <vt:variant>
        <vt:i4>761</vt:i4>
      </vt:variant>
      <vt:variant>
        <vt:i4>0</vt:i4>
      </vt:variant>
      <vt:variant>
        <vt:i4>5</vt:i4>
      </vt:variant>
      <vt:variant>
        <vt:lpwstr/>
      </vt:variant>
      <vt:variant>
        <vt:lpwstr>_Toc431493856</vt:lpwstr>
      </vt:variant>
      <vt:variant>
        <vt:i4>1441844</vt:i4>
      </vt:variant>
      <vt:variant>
        <vt:i4>755</vt:i4>
      </vt:variant>
      <vt:variant>
        <vt:i4>0</vt:i4>
      </vt:variant>
      <vt:variant>
        <vt:i4>5</vt:i4>
      </vt:variant>
      <vt:variant>
        <vt:lpwstr/>
      </vt:variant>
      <vt:variant>
        <vt:lpwstr>_Toc431493855</vt:lpwstr>
      </vt:variant>
      <vt:variant>
        <vt:i4>1441844</vt:i4>
      </vt:variant>
      <vt:variant>
        <vt:i4>749</vt:i4>
      </vt:variant>
      <vt:variant>
        <vt:i4>0</vt:i4>
      </vt:variant>
      <vt:variant>
        <vt:i4>5</vt:i4>
      </vt:variant>
      <vt:variant>
        <vt:lpwstr/>
      </vt:variant>
      <vt:variant>
        <vt:lpwstr>_Toc431493854</vt:lpwstr>
      </vt:variant>
      <vt:variant>
        <vt:i4>1441844</vt:i4>
      </vt:variant>
      <vt:variant>
        <vt:i4>743</vt:i4>
      </vt:variant>
      <vt:variant>
        <vt:i4>0</vt:i4>
      </vt:variant>
      <vt:variant>
        <vt:i4>5</vt:i4>
      </vt:variant>
      <vt:variant>
        <vt:lpwstr/>
      </vt:variant>
      <vt:variant>
        <vt:lpwstr>_Toc431493853</vt:lpwstr>
      </vt:variant>
      <vt:variant>
        <vt:i4>1441844</vt:i4>
      </vt:variant>
      <vt:variant>
        <vt:i4>737</vt:i4>
      </vt:variant>
      <vt:variant>
        <vt:i4>0</vt:i4>
      </vt:variant>
      <vt:variant>
        <vt:i4>5</vt:i4>
      </vt:variant>
      <vt:variant>
        <vt:lpwstr/>
      </vt:variant>
      <vt:variant>
        <vt:lpwstr>_Toc431493852</vt:lpwstr>
      </vt:variant>
      <vt:variant>
        <vt:i4>1441844</vt:i4>
      </vt:variant>
      <vt:variant>
        <vt:i4>731</vt:i4>
      </vt:variant>
      <vt:variant>
        <vt:i4>0</vt:i4>
      </vt:variant>
      <vt:variant>
        <vt:i4>5</vt:i4>
      </vt:variant>
      <vt:variant>
        <vt:lpwstr/>
      </vt:variant>
      <vt:variant>
        <vt:lpwstr>_Toc431493851</vt:lpwstr>
      </vt:variant>
      <vt:variant>
        <vt:i4>1441844</vt:i4>
      </vt:variant>
      <vt:variant>
        <vt:i4>725</vt:i4>
      </vt:variant>
      <vt:variant>
        <vt:i4>0</vt:i4>
      </vt:variant>
      <vt:variant>
        <vt:i4>5</vt:i4>
      </vt:variant>
      <vt:variant>
        <vt:lpwstr/>
      </vt:variant>
      <vt:variant>
        <vt:lpwstr>_Toc431493850</vt:lpwstr>
      </vt:variant>
      <vt:variant>
        <vt:i4>1507380</vt:i4>
      </vt:variant>
      <vt:variant>
        <vt:i4>719</vt:i4>
      </vt:variant>
      <vt:variant>
        <vt:i4>0</vt:i4>
      </vt:variant>
      <vt:variant>
        <vt:i4>5</vt:i4>
      </vt:variant>
      <vt:variant>
        <vt:lpwstr/>
      </vt:variant>
      <vt:variant>
        <vt:lpwstr>_Toc431493849</vt:lpwstr>
      </vt:variant>
      <vt:variant>
        <vt:i4>1507380</vt:i4>
      </vt:variant>
      <vt:variant>
        <vt:i4>713</vt:i4>
      </vt:variant>
      <vt:variant>
        <vt:i4>0</vt:i4>
      </vt:variant>
      <vt:variant>
        <vt:i4>5</vt:i4>
      </vt:variant>
      <vt:variant>
        <vt:lpwstr/>
      </vt:variant>
      <vt:variant>
        <vt:lpwstr>_Toc431493848</vt:lpwstr>
      </vt:variant>
      <vt:variant>
        <vt:i4>1507380</vt:i4>
      </vt:variant>
      <vt:variant>
        <vt:i4>707</vt:i4>
      </vt:variant>
      <vt:variant>
        <vt:i4>0</vt:i4>
      </vt:variant>
      <vt:variant>
        <vt:i4>5</vt:i4>
      </vt:variant>
      <vt:variant>
        <vt:lpwstr/>
      </vt:variant>
      <vt:variant>
        <vt:lpwstr>_Toc431493847</vt:lpwstr>
      </vt:variant>
      <vt:variant>
        <vt:i4>1507380</vt:i4>
      </vt:variant>
      <vt:variant>
        <vt:i4>701</vt:i4>
      </vt:variant>
      <vt:variant>
        <vt:i4>0</vt:i4>
      </vt:variant>
      <vt:variant>
        <vt:i4>5</vt:i4>
      </vt:variant>
      <vt:variant>
        <vt:lpwstr/>
      </vt:variant>
      <vt:variant>
        <vt:lpwstr>_Toc431493846</vt:lpwstr>
      </vt:variant>
      <vt:variant>
        <vt:i4>1507380</vt:i4>
      </vt:variant>
      <vt:variant>
        <vt:i4>695</vt:i4>
      </vt:variant>
      <vt:variant>
        <vt:i4>0</vt:i4>
      </vt:variant>
      <vt:variant>
        <vt:i4>5</vt:i4>
      </vt:variant>
      <vt:variant>
        <vt:lpwstr/>
      </vt:variant>
      <vt:variant>
        <vt:lpwstr>_Toc431493845</vt:lpwstr>
      </vt:variant>
      <vt:variant>
        <vt:i4>1507380</vt:i4>
      </vt:variant>
      <vt:variant>
        <vt:i4>689</vt:i4>
      </vt:variant>
      <vt:variant>
        <vt:i4>0</vt:i4>
      </vt:variant>
      <vt:variant>
        <vt:i4>5</vt:i4>
      </vt:variant>
      <vt:variant>
        <vt:lpwstr/>
      </vt:variant>
      <vt:variant>
        <vt:lpwstr>_Toc431493844</vt:lpwstr>
      </vt:variant>
      <vt:variant>
        <vt:i4>1507380</vt:i4>
      </vt:variant>
      <vt:variant>
        <vt:i4>683</vt:i4>
      </vt:variant>
      <vt:variant>
        <vt:i4>0</vt:i4>
      </vt:variant>
      <vt:variant>
        <vt:i4>5</vt:i4>
      </vt:variant>
      <vt:variant>
        <vt:lpwstr/>
      </vt:variant>
      <vt:variant>
        <vt:lpwstr>_Toc431493843</vt:lpwstr>
      </vt:variant>
      <vt:variant>
        <vt:i4>1507380</vt:i4>
      </vt:variant>
      <vt:variant>
        <vt:i4>677</vt:i4>
      </vt:variant>
      <vt:variant>
        <vt:i4>0</vt:i4>
      </vt:variant>
      <vt:variant>
        <vt:i4>5</vt:i4>
      </vt:variant>
      <vt:variant>
        <vt:lpwstr/>
      </vt:variant>
      <vt:variant>
        <vt:lpwstr>_Toc431493842</vt:lpwstr>
      </vt:variant>
      <vt:variant>
        <vt:i4>1507380</vt:i4>
      </vt:variant>
      <vt:variant>
        <vt:i4>671</vt:i4>
      </vt:variant>
      <vt:variant>
        <vt:i4>0</vt:i4>
      </vt:variant>
      <vt:variant>
        <vt:i4>5</vt:i4>
      </vt:variant>
      <vt:variant>
        <vt:lpwstr/>
      </vt:variant>
      <vt:variant>
        <vt:lpwstr>_Toc431493841</vt:lpwstr>
      </vt:variant>
      <vt:variant>
        <vt:i4>1507380</vt:i4>
      </vt:variant>
      <vt:variant>
        <vt:i4>665</vt:i4>
      </vt:variant>
      <vt:variant>
        <vt:i4>0</vt:i4>
      </vt:variant>
      <vt:variant>
        <vt:i4>5</vt:i4>
      </vt:variant>
      <vt:variant>
        <vt:lpwstr/>
      </vt:variant>
      <vt:variant>
        <vt:lpwstr>_Toc431493840</vt:lpwstr>
      </vt:variant>
      <vt:variant>
        <vt:i4>1048628</vt:i4>
      </vt:variant>
      <vt:variant>
        <vt:i4>659</vt:i4>
      </vt:variant>
      <vt:variant>
        <vt:i4>0</vt:i4>
      </vt:variant>
      <vt:variant>
        <vt:i4>5</vt:i4>
      </vt:variant>
      <vt:variant>
        <vt:lpwstr/>
      </vt:variant>
      <vt:variant>
        <vt:lpwstr>_Toc431493839</vt:lpwstr>
      </vt:variant>
      <vt:variant>
        <vt:i4>1048628</vt:i4>
      </vt:variant>
      <vt:variant>
        <vt:i4>653</vt:i4>
      </vt:variant>
      <vt:variant>
        <vt:i4>0</vt:i4>
      </vt:variant>
      <vt:variant>
        <vt:i4>5</vt:i4>
      </vt:variant>
      <vt:variant>
        <vt:lpwstr/>
      </vt:variant>
      <vt:variant>
        <vt:lpwstr>_Toc431493838</vt:lpwstr>
      </vt:variant>
      <vt:variant>
        <vt:i4>1048628</vt:i4>
      </vt:variant>
      <vt:variant>
        <vt:i4>647</vt:i4>
      </vt:variant>
      <vt:variant>
        <vt:i4>0</vt:i4>
      </vt:variant>
      <vt:variant>
        <vt:i4>5</vt:i4>
      </vt:variant>
      <vt:variant>
        <vt:lpwstr/>
      </vt:variant>
      <vt:variant>
        <vt:lpwstr>_Toc431493837</vt:lpwstr>
      </vt:variant>
      <vt:variant>
        <vt:i4>1048628</vt:i4>
      </vt:variant>
      <vt:variant>
        <vt:i4>641</vt:i4>
      </vt:variant>
      <vt:variant>
        <vt:i4>0</vt:i4>
      </vt:variant>
      <vt:variant>
        <vt:i4>5</vt:i4>
      </vt:variant>
      <vt:variant>
        <vt:lpwstr/>
      </vt:variant>
      <vt:variant>
        <vt:lpwstr>_Toc431493836</vt:lpwstr>
      </vt:variant>
      <vt:variant>
        <vt:i4>1048628</vt:i4>
      </vt:variant>
      <vt:variant>
        <vt:i4>635</vt:i4>
      </vt:variant>
      <vt:variant>
        <vt:i4>0</vt:i4>
      </vt:variant>
      <vt:variant>
        <vt:i4>5</vt:i4>
      </vt:variant>
      <vt:variant>
        <vt:lpwstr/>
      </vt:variant>
      <vt:variant>
        <vt:lpwstr>_Toc431493835</vt:lpwstr>
      </vt:variant>
      <vt:variant>
        <vt:i4>1048628</vt:i4>
      </vt:variant>
      <vt:variant>
        <vt:i4>629</vt:i4>
      </vt:variant>
      <vt:variant>
        <vt:i4>0</vt:i4>
      </vt:variant>
      <vt:variant>
        <vt:i4>5</vt:i4>
      </vt:variant>
      <vt:variant>
        <vt:lpwstr/>
      </vt:variant>
      <vt:variant>
        <vt:lpwstr>_Toc431493834</vt:lpwstr>
      </vt:variant>
      <vt:variant>
        <vt:i4>1048628</vt:i4>
      </vt:variant>
      <vt:variant>
        <vt:i4>623</vt:i4>
      </vt:variant>
      <vt:variant>
        <vt:i4>0</vt:i4>
      </vt:variant>
      <vt:variant>
        <vt:i4>5</vt:i4>
      </vt:variant>
      <vt:variant>
        <vt:lpwstr/>
      </vt:variant>
      <vt:variant>
        <vt:lpwstr>_Toc431493833</vt:lpwstr>
      </vt:variant>
      <vt:variant>
        <vt:i4>1048628</vt:i4>
      </vt:variant>
      <vt:variant>
        <vt:i4>617</vt:i4>
      </vt:variant>
      <vt:variant>
        <vt:i4>0</vt:i4>
      </vt:variant>
      <vt:variant>
        <vt:i4>5</vt:i4>
      </vt:variant>
      <vt:variant>
        <vt:lpwstr/>
      </vt:variant>
      <vt:variant>
        <vt:lpwstr>_Toc431493832</vt:lpwstr>
      </vt:variant>
      <vt:variant>
        <vt:i4>1048628</vt:i4>
      </vt:variant>
      <vt:variant>
        <vt:i4>611</vt:i4>
      </vt:variant>
      <vt:variant>
        <vt:i4>0</vt:i4>
      </vt:variant>
      <vt:variant>
        <vt:i4>5</vt:i4>
      </vt:variant>
      <vt:variant>
        <vt:lpwstr/>
      </vt:variant>
      <vt:variant>
        <vt:lpwstr>_Toc431493831</vt:lpwstr>
      </vt:variant>
      <vt:variant>
        <vt:i4>1048628</vt:i4>
      </vt:variant>
      <vt:variant>
        <vt:i4>605</vt:i4>
      </vt:variant>
      <vt:variant>
        <vt:i4>0</vt:i4>
      </vt:variant>
      <vt:variant>
        <vt:i4>5</vt:i4>
      </vt:variant>
      <vt:variant>
        <vt:lpwstr/>
      </vt:variant>
      <vt:variant>
        <vt:lpwstr>_Toc431493830</vt:lpwstr>
      </vt:variant>
      <vt:variant>
        <vt:i4>1114164</vt:i4>
      </vt:variant>
      <vt:variant>
        <vt:i4>599</vt:i4>
      </vt:variant>
      <vt:variant>
        <vt:i4>0</vt:i4>
      </vt:variant>
      <vt:variant>
        <vt:i4>5</vt:i4>
      </vt:variant>
      <vt:variant>
        <vt:lpwstr/>
      </vt:variant>
      <vt:variant>
        <vt:lpwstr>_Toc431493829</vt:lpwstr>
      </vt:variant>
      <vt:variant>
        <vt:i4>1114164</vt:i4>
      </vt:variant>
      <vt:variant>
        <vt:i4>593</vt:i4>
      </vt:variant>
      <vt:variant>
        <vt:i4>0</vt:i4>
      </vt:variant>
      <vt:variant>
        <vt:i4>5</vt:i4>
      </vt:variant>
      <vt:variant>
        <vt:lpwstr/>
      </vt:variant>
      <vt:variant>
        <vt:lpwstr>_Toc431493828</vt:lpwstr>
      </vt:variant>
      <vt:variant>
        <vt:i4>1114164</vt:i4>
      </vt:variant>
      <vt:variant>
        <vt:i4>587</vt:i4>
      </vt:variant>
      <vt:variant>
        <vt:i4>0</vt:i4>
      </vt:variant>
      <vt:variant>
        <vt:i4>5</vt:i4>
      </vt:variant>
      <vt:variant>
        <vt:lpwstr/>
      </vt:variant>
      <vt:variant>
        <vt:lpwstr>_Toc431493827</vt:lpwstr>
      </vt:variant>
      <vt:variant>
        <vt:i4>1114164</vt:i4>
      </vt:variant>
      <vt:variant>
        <vt:i4>581</vt:i4>
      </vt:variant>
      <vt:variant>
        <vt:i4>0</vt:i4>
      </vt:variant>
      <vt:variant>
        <vt:i4>5</vt:i4>
      </vt:variant>
      <vt:variant>
        <vt:lpwstr/>
      </vt:variant>
      <vt:variant>
        <vt:lpwstr>_Toc431493826</vt:lpwstr>
      </vt:variant>
      <vt:variant>
        <vt:i4>1114164</vt:i4>
      </vt:variant>
      <vt:variant>
        <vt:i4>575</vt:i4>
      </vt:variant>
      <vt:variant>
        <vt:i4>0</vt:i4>
      </vt:variant>
      <vt:variant>
        <vt:i4>5</vt:i4>
      </vt:variant>
      <vt:variant>
        <vt:lpwstr/>
      </vt:variant>
      <vt:variant>
        <vt:lpwstr>_Toc431493825</vt:lpwstr>
      </vt:variant>
      <vt:variant>
        <vt:i4>1114164</vt:i4>
      </vt:variant>
      <vt:variant>
        <vt:i4>569</vt:i4>
      </vt:variant>
      <vt:variant>
        <vt:i4>0</vt:i4>
      </vt:variant>
      <vt:variant>
        <vt:i4>5</vt:i4>
      </vt:variant>
      <vt:variant>
        <vt:lpwstr/>
      </vt:variant>
      <vt:variant>
        <vt:lpwstr>_Toc431493824</vt:lpwstr>
      </vt:variant>
      <vt:variant>
        <vt:i4>1114164</vt:i4>
      </vt:variant>
      <vt:variant>
        <vt:i4>563</vt:i4>
      </vt:variant>
      <vt:variant>
        <vt:i4>0</vt:i4>
      </vt:variant>
      <vt:variant>
        <vt:i4>5</vt:i4>
      </vt:variant>
      <vt:variant>
        <vt:lpwstr/>
      </vt:variant>
      <vt:variant>
        <vt:lpwstr>_Toc431493823</vt:lpwstr>
      </vt:variant>
      <vt:variant>
        <vt:i4>1114164</vt:i4>
      </vt:variant>
      <vt:variant>
        <vt:i4>557</vt:i4>
      </vt:variant>
      <vt:variant>
        <vt:i4>0</vt:i4>
      </vt:variant>
      <vt:variant>
        <vt:i4>5</vt:i4>
      </vt:variant>
      <vt:variant>
        <vt:lpwstr/>
      </vt:variant>
      <vt:variant>
        <vt:lpwstr>_Toc431493822</vt:lpwstr>
      </vt:variant>
      <vt:variant>
        <vt:i4>1114164</vt:i4>
      </vt:variant>
      <vt:variant>
        <vt:i4>551</vt:i4>
      </vt:variant>
      <vt:variant>
        <vt:i4>0</vt:i4>
      </vt:variant>
      <vt:variant>
        <vt:i4>5</vt:i4>
      </vt:variant>
      <vt:variant>
        <vt:lpwstr/>
      </vt:variant>
      <vt:variant>
        <vt:lpwstr>_Toc431493821</vt:lpwstr>
      </vt:variant>
      <vt:variant>
        <vt:i4>1114164</vt:i4>
      </vt:variant>
      <vt:variant>
        <vt:i4>545</vt:i4>
      </vt:variant>
      <vt:variant>
        <vt:i4>0</vt:i4>
      </vt:variant>
      <vt:variant>
        <vt:i4>5</vt:i4>
      </vt:variant>
      <vt:variant>
        <vt:lpwstr/>
      </vt:variant>
      <vt:variant>
        <vt:lpwstr>_Toc431493820</vt:lpwstr>
      </vt:variant>
      <vt:variant>
        <vt:i4>1179700</vt:i4>
      </vt:variant>
      <vt:variant>
        <vt:i4>539</vt:i4>
      </vt:variant>
      <vt:variant>
        <vt:i4>0</vt:i4>
      </vt:variant>
      <vt:variant>
        <vt:i4>5</vt:i4>
      </vt:variant>
      <vt:variant>
        <vt:lpwstr/>
      </vt:variant>
      <vt:variant>
        <vt:lpwstr>_Toc431493819</vt:lpwstr>
      </vt:variant>
      <vt:variant>
        <vt:i4>1179700</vt:i4>
      </vt:variant>
      <vt:variant>
        <vt:i4>533</vt:i4>
      </vt:variant>
      <vt:variant>
        <vt:i4>0</vt:i4>
      </vt:variant>
      <vt:variant>
        <vt:i4>5</vt:i4>
      </vt:variant>
      <vt:variant>
        <vt:lpwstr/>
      </vt:variant>
      <vt:variant>
        <vt:lpwstr>_Toc431493818</vt:lpwstr>
      </vt:variant>
      <vt:variant>
        <vt:i4>1179700</vt:i4>
      </vt:variant>
      <vt:variant>
        <vt:i4>527</vt:i4>
      </vt:variant>
      <vt:variant>
        <vt:i4>0</vt:i4>
      </vt:variant>
      <vt:variant>
        <vt:i4>5</vt:i4>
      </vt:variant>
      <vt:variant>
        <vt:lpwstr/>
      </vt:variant>
      <vt:variant>
        <vt:lpwstr>_Toc431493817</vt:lpwstr>
      </vt:variant>
      <vt:variant>
        <vt:i4>1179700</vt:i4>
      </vt:variant>
      <vt:variant>
        <vt:i4>521</vt:i4>
      </vt:variant>
      <vt:variant>
        <vt:i4>0</vt:i4>
      </vt:variant>
      <vt:variant>
        <vt:i4>5</vt:i4>
      </vt:variant>
      <vt:variant>
        <vt:lpwstr/>
      </vt:variant>
      <vt:variant>
        <vt:lpwstr>_Toc431493816</vt:lpwstr>
      </vt:variant>
      <vt:variant>
        <vt:i4>1179700</vt:i4>
      </vt:variant>
      <vt:variant>
        <vt:i4>515</vt:i4>
      </vt:variant>
      <vt:variant>
        <vt:i4>0</vt:i4>
      </vt:variant>
      <vt:variant>
        <vt:i4>5</vt:i4>
      </vt:variant>
      <vt:variant>
        <vt:lpwstr/>
      </vt:variant>
      <vt:variant>
        <vt:lpwstr>_Toc431493815</vt:lpwstr>
      </vt:variant>
      <vt:variant>
        <vt:i4>1179700</vt:i4>
      </vt:variant>
      <vt:variant>
        <vt:i4>509</vt:i4>
      </vt:variant>
      <vt:variant>
        <vt:i4>0</vt:i4>
      </vt:variant>
      <vt:variant>
        <vt:i4>5</vt:i4>
      </vt:variant>
      <vt:variant>
        <vt:lpwstr/>
      </vt:variant>
      <vt:variant>
        <vt:lpwstr>_Toc431493814</vt:lpwstr>
      </vt:variant>
      <vt:variant>
        <vt:i4>1179700</vt:i4>
      </vt:variant>
      <vt:variant>
        <vt:i4>503</vt:i4>
      </vt:variant>
      <vt:variant>
        <vt:i4>0</vt:i4>
      </vt:variant>
      <vt:variant>
        <vt:i4>5</vt:i4>
      </vt:variant>
      <vt:variant>
        <vt:lpwstr/>
      </vt:variant>
      <vt:variant>
        <vt:lpwstr>_Toc431493813</vt:lpwstr>
      </vt:variant>
      <vt:variant>
        <vt:i4>1179700</vt:i4>
      </vt:variant>
      <vt:variant>
        <vt:i4>497</vt:i4>
      </vt:variant>
      <vt:variant>
        <vt:i4>0</vt:i4>
      </vt:variant>
      <vt:variant>
        <vt:i4>5</vt:i4>
      </vt:variant>
      <vt:variant>
        <vt:lpwstr/>
      </vt:variant>
      <vt:variant>
        <vt:lpwstr>_Toc431493812</vt:lpwstr>
      </vt:variant>
      <vt:variant>
        <vt:i4>1179700</vt:i4>
      </vt:variant>
      <vt:variant>
        <vt:i4>491</vt:i4>
      </vt:variant>
      <vt:variant>
        <vt:i4>0</vt:i4>
      </vt:variant>
      <vt:variant>
        <vt:i4>5</vt:i4>
      </vt:variant>
      <vt:variant>
        <vt:lpwstr/>
      </vt:variant>
      <vt:variant>
        <vt:lpwstr>_Toc431493811</vt:lpwstr>
      </vt:variant>
      <vt:variant>
        <vt:i4>1179700</vt:i4>
      </vt:variant>
      <vt:variant>
        <vt:i4>485</vt:i4>
      </vt:variant>
      <vt:variant>
        <vt:i4>0</vt:i4>
      </vt:variant>
      <vt:variant>
        <vt:i4>5</vt:i4>
      </vt:variant>
      <vt:variant>
        <vt:lpwstr/>
      </vt:variant>
      <vt:variant>
        <vt:lpwstr>_Toc431493810</vt:lpwstr>
      </vt:variant>
      <vt:variant>
        <vt:i4>1245236</vt:i4>
      </vt:variant>
      <vt:variant>
        <vt:i4>479</vt:i4>
      </vt:variant>
      <vt:variant>
        <vt:i4>0</vt:i4>
      </vt:variant>
      <vt:variant>
        <vt:i4>5</vt:i4>
      </vt:variant>
      <vt:variant>
        <vt:lpwstr/>
      </vt:variant>
      <vt:variant>
        <vt:lpwstr>_Toc431493809</vt:lpwstr>
      </vt:variant>
      <vt:variant>
        <vt:i4>1245236</vt:i4>
      </vt:variant>
      <vt:variant>
        <vt:i4>473</vt:i4>
      </vt:variant>
      <vt:variant>
        <vt:i4>0</vt:i4>
      </vt:variant>
      <vt:variant>
        <vt:i4>5</vt:i4>
      </vt:variant>
      <vt:variant>
        <vt:lpwstr/>
      </vt:variant>
      <vt:variant>
        <vt:lpwstr>_Toc431493808</vt:lpwstr>
      </vt:variant>
      <vt:variant>
        <vt:i4>1245236</vt:i4>
      </vt:variant>
      <vt:variant>
        <vt:i4>467</vt:i4>
      </vt:variant>
      <vt:variant>
        <vt:i4>0</vt:i4>
      </vt:variant>
      <vt:variant>
        <vt:i4>5</vt:i4>
      </vt:variant>
      <vt:variant>
        <vt:lpwstr/>
      </vt:variant>
      <vt:variant>
        <vt:lpwstr>_Toc431493807</vt:lpwstr>
      </vt:variant>
      <vt:variant>
        <vt:i4>1245236</vt:i4>
      </vt:variant>
      <vt:variant>
        <vt:i4>461</vt:i4>
      </vt:variant>
      <vt:variant>
        <vt:i4>0</vt:i4>
      </vt:variant>
      <vt:variant>
        <vt:i4>5</vt:i4>
      </vt:variant>
      <vt:variant>
        <vt:lpwstr/>
      </vt:variant>
      <vt:variant>
        <vt:lpwstr>_Toc431493806</vt:lpwstr>
      </vt:variant>
      <vt:variant>
        <vt:i4>1245236</vt:i4>
      </vt:variant>
      <vt:variant>
        <vt:i4>455</vt:i4>
      </vt:variant>
      <vt:variant>
        <vt:i4>0</vt:i4>
      </vt:variant>
      <vt:variant>
        <vt:i4>5</vt:i4>
      </vt:variant>
      <vt:variant>
        <vt:lpwstr/>
      </vt:variant>
      <vt:variant>
        <vt:lpwstr>_Toc431493805</vt:lpwstr>
      </vt:variant>
      <vt:variant>
        <vt:i4>1245236</vt:i4>
      </vt:variant>
      <vt:variant>
        <vt:i4>449</vt:i4>
      </vt:variant>
      <vt:variant>
        <vt:i4>0</vt:i4>
      </vt:variant>
      <vt:variant>
        <vt:i4>5</vt:i4>
      </vt:variant>
      <vt:variant>
        <vt:lpwstr/>
      </vt:variant>
      <vt:variant>
        <vt:lpwstr>_Toc431493804</vt:lpwstr>
      </vt:variant>
      <vt:variant>
        <vt:i4>1245236</vt:i4>
      </vt:variant>
      <vt:variant>
        <vt:i4>443</vt:i4>
      </vt:variant>
      <vt:variant>
        <vt:i4>0</vt:i4>
      </vt:variant>
      <vt:variant>
        <vt:i4>5</vt:i4>
      </vt:variant>
      <vt:variant>
        <vt:lpwstr/>
      </vt:variant>
      <vt:variant>
        <vt:lpwstr>_Toc431493803</vt:lpwstr>
      </vt:variant>
      <vt:variant>
        <vt:i4>1245236</vt:i4>
      </vt:variant>
      <vt:variant>
        <vt:i4>437</vt:i4>
      </vt:variant>
      <vt:variant>
        <vt:i4>0</vt:i4>
      </vt:variant>
      <vt:variant>
        <vt:i4>5</vt:i4>
      </vt:variant>
      <vt:variant>
        <vt:lpwstr/>
      </vt:variant>
      <vt:variant>
        <vt:lpwstr>_Toc431493802</vt:lpwstr>
      </vt:variant>
      <vt:variant>
        <vt:i4>1245236</vt:i4>
      </vt:variant>
      <vt:variant>
        <vt:i4>431</vt:i4>
      </vt:variant>
      <vt:variant>
        <vt:i4>0</vt:i4>
      </vt:variant>
      <vt:variant>
        <vt:i4>5</vt:i4>
      </vt:variant>
      <vt:variant>
        <vt:lpwstr/>
      </vt:variant>
      <vt:variant>
        <vt:lpwstr>_Toc431493801</vt:lpwstr>
      </vt:variant>
      <vt:variant>
        <vt:i4>1245236</vt:i4>
      </vt:variant>
      <vt:variant>
        <vt:i4>425</vt:i4>
      </vt:variant>
      <vt:variant>
        <vt:i4>0</vt:i4>
      </vt:variant>
      <vt:variant>
        <vt:i4>5</vt:i4>
      </vt:variant>
      <vt:variant>
        <vt:lpwstr/>
      </vt:variant>
      <vt:variant>
        <vt:lpwstr>_Toc431493800</vt:lpwstr>
      </vt:variant>
      <vt:variant>
        <vt:i4>1703995</vt:i4>
      </vt:variant>
      <vt:variant>
        <vt:i4>419</vt:i4>
      </vt:variant>
      <vt:variant>
        <vt:i4>0</vt:i4>
      </vt:variant>
      <vt:variant>
        <vt:i4>5</vt:i4>
      </vt:variant>
      <vt:variant>
        <vt:lpwstr/>
      </vt:variant>
      <vt:variant>
        <vt:lpwstr>_Toc431493799</vt:lpwstr>
      </vt:variant>
      <vt:variant>
        <vt:i4>1703995</vt:i4>
      </vt:variant>
      <vt:variant>
        <vt:i4>413</vt:i4>
      </vt:variant>
      <vt:variant>
        <vt:i4>0</vt:i4>
      </vt:variant>
      <vt:variant>
        <vt:i4>5</vt:i4>
      </vt:variant>
      <vt:variant>
        <vt:lpwstr/>
      </vt:variant>
      <vt:variant>
        <vt:lpwstr>_Toc431493798</vt:lpwstr>
      </vt:variant>
      <vt:variant>
        <vt:i4>1703995</vt:i4>
      </vt:variant>
      <vt:variant>
        <vt:i4>407</vt:i4>
      </vt:variant>
      <vt:variant>
        <vt:i4>0</vt:i4>
      </vt:variant>
      <vt:variant>
        <vt:i4>5</vt:i4>
      </vt:variant>
      <vt:variant>
        <vt:lpwstr/>
      </vt:variant>
      <vt:variant>
        <vt:lpwstr>_Toc431493797</vt:lpwstr>
      </vt:variant>
      <vt:variant>
        <vt:i4>1703995</vt:i4>
      </vt:variant>
      <vt:variant>
        <vt:i4>401</vt:i4>
      </vt:variant>
      <vt:variant>
        <vt:i4>0</vt:i4>
      </vt:variant>
      <vt:variant>
        <vt:i4>5</vt:i4>
      </vt:variant>
      <vt:variant>
        <vt:lpwstr/>
      </vt:variant>
      <vt:variant>
        <vt:lpwstr>_Toc431493796</vt:lpwstr>
      </vt:variant>
      <vt:variant>
        <vt:i4>1703995</vt:i4>
      </vt:variant>
      <vt:variant>
        <vt:i4>395</vt:i4>
      </vt:variant>
      <vt:variant>
        <vt:i4>0</vt:i4>
      </vt:variant>
      <vt:variant>
        <vt:i4>5</vt:i4>
      </vt:variant>
      <vt:variant>
        <vt:lpwstr/>
      </vt:variant>
      <vt:variant>
        <vt:lpwstr>_Toc431493795</vt:lpwstr>
      </vt:variant>
      <vt:variant>
        <vt:i4>1703995</vt:i4>
      </vt:variant>
      <vt:variant>
        <vt:i4>389</vt:i4>
      </vt:variant>
      <vt:variant>
        <vt:i4>0</vt:i4>
      </vt:variant>
      <vt:variant>
        <vt:i4>5</vt:i4>
      </vt:variant>
      <vt:variant>
        <vt:lpwstr/>
      </vt:variant>
      <vt:variant>
        <vt:lpwstr>_Toc431493794</vt:lpwstr>
      </vt:variant>
      <vt:variant>
        <vt:i4>1703995</vt:i4>
      </vt:variant>
      <vt:variant>
        <vt:i4>383</vt:i4>
      </vt:variant>
      <vt:variant>
        <vt:i4>0</vt:i4>
      </vt:variant>
      <vt:variant>
        <vt:i4>5</vt:i4>
      </vt:variant>
      <vt:variant>
        <vt:lpwstr/>
      </vt:variant>
      <vt:variant>
        <vt:lpwstr>_Toc431493793</vt:lpwstr>
      </vt:variant>
      <vt:variant>
        <vt:i4>1703995</vt:i4>
      </vt:variant>
      <vt:variant>
        <vt:i4>374</vt:i4>
      </vt:variant>
      <vt:variant>
        <vt:i4>0</vt:i4>
      </vt:variant>
      <vt:variant>
        <vt:i4>5</vt:i4>
      </vt:variant>
      <vt:variant>
        <vt:lpwstr/>
      </vt:variant>
      <vt:variant>
        <vt:lpwstr>_Toc431493792</vt:lpwstr>
      </vt:variant>
      <vt:variant>
        <vt:i4>1703995</vt:i4>
      </vt:variant>
      <vt:variant>
        <vt:i4>368</vt:i4>
      </vt:variant>
      <vt:variant>
        <vt:i4>0</vt:i4>
      </vt:variant>
      <vt:variant>
        <vt:i4>5</vt:i4>
      </vt:variant>
      <vt:variant>
        <vt:lpwstr/>
      </vt:variant>
      <vt:variant>
        <vt:lpwstr>_Toc431493791</vt:lpwstr>
      </vt:variant>
      <vt:variant>
        <vt:i4>1703995</vt:i4>
      </vt:variant>
      <vt:variant>
        <vt:i4>362</vt:i4>
      </vt:variant>
      <vt:variant>
        <vt:i4>0</vt:i4>
      </vt:variant>
      <vt:variant>
        <vt:i4>5</vt:i4>
      </vt:variant>
      <vt:variant>
        <vt:lpwstr/>
      </vt:variant>
      <vt:variant>
        <vt:lpwstr>_Toc431493790</vt:lpwstr>
      </vt:variant>
      <vt:variant>
        <vt:i4>1769531</vt:i4>
      </vt:variant>
      <vt:variant>
        <vt:i4>356</vt:i4>
      </vt:variant>
      <vt:variant>
        <vt:i4>0</vt:i4>
      </vt:variant>
      <vt:variant>
        <vt:i4>5</vt:i4>
      </vt:variant>
      <vt:variant>
        <vt:lpwstr/>
      </vt:variant>
      <vt:variant>
        <vt:lpwstr>_Toc431493789</vt:lpwstr>
      </vt:variant>
      <vt:variant>
        <vt:i4>1769531</vt:i4>
      </vt:variant>
      <vt:variant>
        <vt:i4>350</vt:i4>
      </vt:variant>
      <vt:variant>
        <vt:i4>0</vt:i4>
      </vt:variant>
      <vt:variant>
        <vt:i4>5</vt:i4>
      </vt:variant>
      <vt:variant>
        <vt:lpwstr/>
      </vt:variant>
      <vt:variant>
        <vt:lpwstr>_Toc431493788</vt:lpwstr>
      </vt:variant>
      <vt:variant>
        <vt:i4>1769531</vt:i4>
      </vt:variant>
      <vt:variant>
        <vt:i4>344</vt:i4>
      </vt:variant>
      <vt:variant>
        <vt:i4>0</vt:i4>
      </vt:variant>
      <vt:variant>
        <vt:i4>5</vt:i4>
      </vt:variant>
      <vt:variant>
        <vt:lpwstr/>
      </vt:variant>
      <vt:variant>
        <vt:lpwstr>_Toc431493787</vt:lpwstr>
      </vt:variant>
      <vt:variant>
        <vt:i4>1769531</vt:i4>
      </vt:variant>
      <vt:variant>
        <vt:i4>338</vt:i4>
      </vt:variant>
      <vt:variant>
        <vt:i4>0</vt:i4>
      </vt:variant>
      <vt:variant>
        <vt:i4>5</vt:i4>
      </vt:variant>
      <vt:variant>
        <vt:lpwstr/>
      </vt:variant>
      <vt:variant>
        <vt:lpwstr>_Toc431493786</vt:lpwstr>
      </vt:variant>
      <vt:variant>
        <vt:i4>1769531</vt:i4>
      </vt:variant>
      <vt:variant>
        <vt:i4>332</vt:i4>
      </vt:variant>
      <vt:variant>
        <vt:i4>0</vt:i4>
      </vt:variant>
      <vt:variant>
        <vt:i4>5</vt:i4>
      </vt:variant>
      <vt:variant>
        <vt:lpwstr/>
      </vt:variant>
      <vt:variant>
        <vt:lpwstr>_Toc431493785</vt:lpwstr>
      </vt:variant>
      <vt:variant>
        <vt:i4>1769531</vt:i4>
      </vt:variant>
      <vt:variant>
        <vt:i4>326</vt:i4>
      </vt:variant>
      <vt:variant>
        <vt:i4>0</vt:i4>
      </vt:variant>
      <vt:variant>
        <vt:i4>5</vt:i4>
      </vt:variant>
      <vt:variant>
        <vt:lpwstr/>
      </vt:variant>
      <vt:variant>
        <vt:lpwstr>_Toc431493784</vt:lpwstr>
      </vt:variant>
      <vt:variant>
        <vt:i4>1769531</vt:i4>
      </vt:variant>
      <vt:variant>
        <vt:i4>320</vt:i4>
      </vt:variant>
      <vt:variant>
        <vt:i4>0</vt:i4>
      </vt:variant>
      <vt:variant>
        <vt:i4>5</vt:i4>
      </vt:variant>
      <vt:variant>
        <vt:lpwstr/>
      </vt:variant>
      <vt:variant>
        <vt:lpwstr>_Toc431493783</vt:lpwstr>
      </vt:variant>
      <vt:variant>
        <vt:i4>1769531</vt:i4>
      </vt:variant>
      <vt:variant>
        <vt:i4>314</vt:i4>
      </vt:variant>
      <vt:variant>
        <vt:i4>0</vt:i4>
      </vt:variant>
      <vt:variant>
        <vt:i4>5</vt:i4>
      </vt:variant>
      <vt:variant>
        <vt:lpwstr/>
      </vt:variant>
      <vt:variant>
        <vt:lpwstr>_Toc431493782</vt:lpwstr>
      </vt:variant>
      <vt:variant>
        <vt:i4>1769531</vt:i4>
      </vt:variant>
      <vt:variant>
        <vt:i4>308</vt:i4>
      </vt:variant>
      <vt:variant>
        <vt:i4>0</vt:i4>
      </vt:variant>
      <vt:variant>
        <vt:i4>5</vt:i4>
      </vt:variant>
      <vt:variant>
        <vt:lpwstr/>
      </vt:variant>
      <vt:variant>
        <vt:lpwstr>_Toc431493781</vt:lpwstr>
      </vt:variant>
      <vt:variant>
        <vt:i4>1769531</vt:i4>
      </vt:variant>
      <vt:variant>
        <vt:i4>302</vt:i4>
      </vt:variant>
      <vt:variant>
        <vt:i4>0</vt:i4>
      </vt:variant>
      <vt:variant>
        <vt:i4>5</vt:i4>
      </vt:variant>
      <vt:variant>
        <vt:lpwstr/>
      </vt:variant>
      <vt:variant>
        <vt:lpwstr>_Toc431493780</vt:lpwstr>
      </vt:variant>
      <vt:variant>
        <vt:i4>1310779</vt:i4>
      </vt:variant>
      <vt:variant>
        <vt:i4>296</vt:i4>
      </vt:variant>
      <vt:variant>
        <vt:i4>0</vt:i4>
      </vt:variant>
      <vt:variant>
        <vt:i4>5</vt:i4>
      </vt:variant>
      <vt:variant>
        <vt:lpwstr/>
      </vt:variant>
      <vt:variant>
        <vt:lpwstr>_Toc431493779</vt:lpwstr>
      </vt:variant>
      <vt:variant>
        <vt:i4>1310779</vt:i4>
      </vt:variant>
      <vt:variant>
        <vt:i4>290</vt:i4>
      </vt:variant>
      <vt:variant>
        <vt:i4>0</vt:i4>
      </vt:variant>
      <vt:variant>
        <vt:i4>5</vt:i4>
      </vt:variant>
      <vt:variant>
        <vt:lpwstr/>
      </vt:variant>
      <vt:variant>
        <vt:lpwstr>_Toc431493778</vt:lpwstr>
      </vt:variant>
      <vt:variant>
        <vt:i4>1310779</vt:i4>
      </vt:variant>
      <vt:variant>
        <vt:i4>284</vt:i4>
      </vt:variant>
      <vt:variant>
        <vt:i4>0</vt:i4>
      </vt:variant>
      <vt:variant>
        <vt:i4>5</vt:i4>
      </vt:variant>
      <vt:variant>
        <vt:lpwstr/>
      </vt:variant>
      <vt:variant>
        <vt:lpwstr>_Toc431493777</vt:lpwstr>
      </vt:variant>
      <vt:variant>
        <vt:i4>1310779</vt:i4>
      </vt:variant>
      <vt:variant>
        <vt:i4>278</vt:i4>
      </vt:variant>
      <vt:variant>
        <vt:i4>0</vt:i4>
      </vt:variant>
      <vt:variant>
        <vt:i4>5</vt:i4>
      </vt:variant>
      <vt:variant>
        <vt:lpwstr/>
      </vt:variant>
      <vt:variant>
        <vt:lpwstr>_Toc431493776</vt:lpwstr>
      </vt:variant>
      <vt:variant>
        <vt:i4>1310779</vt:i4>
      </vt:variant>
      <vt:variant>
        <vt:i4>272</vt:i4>
      </vt:variant>
      <vt:variant>
        <vt:i4>0</vt:i4>
      </vt:variant>
      <vt:variant>
        <vt:i4>5</vt:i4>
      </vt:variant>
      <vt:variant>
        <vt:lpwstr/>
      </vt:variant>
      <vt:variant>
        <vt:lpwstr>_Toc431493775</vt:lpwstr>
      </vt:variant>
      <vt:variant>
        <vt:i4>1310779</vt:i4>
      </vt:variant>
      <vt:variant>
        <vt:i4>266</vt:i4>
      </vt:variant>
      <vt:variant>
        <vt:i4>0</vt:i4>
      </vt:variant>
      <vt:variant>
        <vt:i4>5</vt:i4>
      </vt:variant>
      <vt:variant>
        <vt:lpwstr/>
      </vt:variant>
      <vt:variant>
        <vt:lpwstr>_Toc431493774</vt:lpwstr>
      </vt:variant>
      <vt:variant>
        <vt:i4>1310779</vt:i4>
      </vt:variant>
      <vt:variant>
        <vt:i4>260</vt:i4>
      </vt:variant>
      <vt:variant>
        <vt:i4>0</vt:i4>
      </vt:variant>
      <vt:variant>
        <vt:i4>5</vt:i4>
      </vt:variant>
      <vt:variant>
        <vt:lpwstr/>
      </vt:variant>
      <vt:variant>
        <vt:lpwstr>_Toc431493773</vt:lpwstr>
      </vt:variant>
      <vt:variant>
        <vt:i4>1310779</vt:i4>
      </vt:variant>
      <vt:variant>
        <vt:i4>254</vt:i4>
      </vt:variant>
      <vt:variant>
        <vt:i4>0</vt:i4>
      </vt:variant>
      <vt:variant>
        <vt:i4>5</vt:i4>
      </vt:variant>
      <vt:variant>
        <vt:lpwstr/>
      </vt:variant>
      <vt:variant>
        <vt:lpwstr>_Toc431493772</vt:lpwstr>
      </vt:variant>
      <vt:variant>
        <vt:i4>1310779</vt:i4>
      </vt:variant>
      <vt:variant>
        <vt:i4>248</vt:i4>
      </vt:variant>
      <vt:variant>
        <vt:i4>0</vt:i4>
      </vt:variant>
      <vt:variant>
        <vt:i4>5</vt:i4>
      </vt:variant>
      <vt:variant>
        <vt:lpwstr/>
      </vt:variant>
      <vt:variant>
        <vt:lpwstr>_Toc431493771</vt:lpwstr>
      </vt:variant>
      <vt:variant>
        <vt:i4>1310779</vt:i4>
      </vt:variant>
      <vt:variant>
        <vt:i4>242</vt:i4>
      </vt:variant>
      <vt:variant>
        <vt:i4>0</vt:i4>
      </vt:variant>
      <vt:variant>
        <vt:i4>5</vt:i4>
      </vt:variant>
      <vt:variant>
        <vt:lpwstr/>
      </vt:variant>
      <vt:variant>
        <vt:lpwstr>_Toc431493770</vt:lpwstr>
      </vt:variant>
      <vt:variant>
        <vt:i4>1376315</vt:i4>
      </vt:variant>
      <vt:variant>
        <vt:i4>236</vt:i4>
      </vt:variant>
      <vt:variant>
        <vt:i4>0</vt:i4>
      </vt:variant>
      <vt:variant>
        <vt:i4>5</vt:i4>
      </vt:variant>
      <vt:variant>
        <vt:lpwstr/>
      </vt:variant>
      <vt:variant>
        <vt:lpwstr>_Toc431493769</vt:lpwstr>
      </vt:variant>
      <vt:variant>
        <vt:i4>1376315</vt:i4>
      </vt:variant>
      <vt:variant>
        <vt:i4>230</vt:i4>
      </vt:variant>
      <vt:variant>
        <vt:i4>0</vt:i4>
      </vt:variant>
      <vt:variant>
        <vt:i4>5</vt:i4>
      </vt:variant>
      <vt:variant>
        <vt:lpwstr/>
      </vt:variant>
      <vt:variant>
        <vt:lpwstr>_Toc431493768</vt:lpwstr>
      </vt:variant>
      <vt:variant>
        <vt:i4>1376315</vt:i4>
      </vt:variant>
      <vt:variant>
        <vt:i4>224</vt:i4>
      </vt:variant>
      <vt:variant>
        <vt:i4>0</vt:i4>
      </vt:variant>
      <vt:variant>
        <vt:i4>5</vt:i4>
      </vt:variant>
      <vt:variant>
        <vt:lpwstr/>
      </vt:variant>
      <vt:variant>
        <vt:lpwstr>_Toc431493767</vt:lpwstr>
      </vt:variant>
      <vt:variant>
        <vt:i4>1376315</vt:i4>
      </vt:variant>
      <vt:variant>
        <vt:i4>218</vt:i4>
      </vt:variant>
      <vt:variant>
        <vt:i4>0</vt:i4>
      </vt:variant>
      <vt:variant>
        <vt:i4>5</vt:i4>
      </vt:variant>
      <vt:variant>
        <vt:lpwstr/>
      </vt:variant>
      <vt:variant>
        <vt:lpwstr>_Toc431493766</vt:lpwstr>
      </vt:variant>
      <vt:variant>
        <vt:i4>1376315</vt:i4>
      </vt:variant>
      <vt:variant>
        <vt:i4>212</vt:i4>
      </vt:variant>
      <vt:variant>
        <vt:i4>0</vt:i4>
      </vt:variant>
      <vt:variant>
        <vt:i4>5</vt:i4>
      </vt:variant>
      <vt:variant>
        <vt:lpwstr/>
      </vt:variant>
      <vt:variant>
        <vt:lpwstr>_Toc431493765</vt:lpwstr>
      </vt:variant>
      <vt:variant>
        <vt:i4>1376315</vt:i4>
      </vt:variant>
      <vt:variant>
        <vt:i4>206</vt:i4>
      </vt:variant>
      <vt:variant>
        <vt:i4>0</vt:i4>
      </vt:variant>
      <vt:variant>
        <vt:i4>5</vt:i4>
      </vt:variant>
      <vt:variant>
        <vt:lpwstr/>
      </vt:variant>
      <vt:variant>
        <vt:lpwstr>_Toc431493764</vt:lpwstr>
      </vt:variant>
      <vt:variant>
        <vt:i4>1376315</vt:i4>
      </vt:variant>
      <vt:variant>
        <vt:i4>200</vt:i4>
      </vt:variant>
      <vt:variant>
        <vt:i4>0</vt:i4>
      </vt:variant>
      <vt:variant>
        <vt:i4>5</vt:i4>
      </vt:variant>
      <vt:variant>
        <vt:lpwstr/>
      </vt:variant>
      <vt:variant>
        <vt:lpwstr>_Toc431493763</vt:lpwstr>
      </vt:variant>
      <vt:variant>
        <vt:i4>1376315</vt:i4>
      </vt:variant>
      <vt:variant>
        <vt:i4>194</vt:i4>
      </vt:variant>
      <vt:variant>
        <vt:i4>0</vt:i4>
      </vt:variant>
      <vt:variant>
        <vt:i4>5</vt:i4>
      </vt:variant>
      <vt:variant>
        <vt:lpwstr/>
      </vt:variant>
      <vt:variant>
        <vt:lpwstr>_Toc431493762</vt:lpwstr>
      </vt:variant>
      <vt:variant>
        <vt:i4>1376315</vt:i4>
      </vt:variant>
      <vt:variant>
        <vt:i4>188</vt:i4>
      </vt:variant>
      <vt:variant>
        <vt:i4>0</vt:i4>
      </vt:variant>
      <vt:variant>
        <vt:i4>5</vt:i4>
      </vt:variant>
      <vt:variant>
        <vt:lpwstr/>
      </vt:variant>
      <vt:variant>
        <vt:lpwstr>_Toc431493761</vt:lpwstr>
      </vt:variant>
      <vt:variant>
        <vt:i4>1376315</vt:i4>
      </vt:variant>
      <vt:variant>
        <vt:i4>182</vt:i4>
      </vt:variant>
      <vt:variant>
        <vt:i4>0</vt:i4>
      </vt:variant>
      <vt:variant>
        <vt:i4>5</vt:i4>
      </vt:variant>
      <vt:variant>
        <vt:lpwstr/>
      </vt:variant>
      <vt:variant>
        <vt:lpwstr>_Toc431493760</vt:lpwstr>
      </vt:variant>
      <vt:variant>
        <vt:i4>1441851</vt:i4>
      </vt:variant>
      <vt:variant>
        <vt:i4>176</vt:i4>
      </vt:variant>
      <vt:variant>
        <vt:i4>0</vt:i4>
      </vt:variant>
      <vt:variant>
        <vt:i4>5</vt:i4>
      </vt:variant>
      <vt:variant>
        <vt:lpwstr/>
      </vt:variant>
      <vt:variant>
        <vt:lpwstr>_Toc431493759</vt:lpwstr>
      </vt:variant>
      <vt:variant>
        <vt:i4>1441851</vt:i4>
      </vt:variant>
      <vt:variant>
        <vt:i4>170</vt:i4>
      </vt:variant>
      <vt:variant>
        <vt:i4>0</vt:i4>
      </vt:variant>
      <vt:variant>
        <vt:i4>5</vt:i4>
      </vt:variant>
      <vt:variant>
        <vt:lpwstr/>
      </vt:variant>
      <vt:variant>
        <vt:lpwstr>_Toc431493758</vt:lpwstr>
      </vt:variant>
      <vt:variant>
        <vt:i4>1441851</vt:i4>
      </vt:variant>
      <vt:variant>
        <vt:i4>164</vt:i4>
      </vt:variant>
      <vt:variant>
        <vt:i4>0</vt:i4>
      </vt:variant>
      <vt:variant>
        <vt:i4>5</vt:i4>
      </vt:variant>
      <vt:variant>
        <vt:lpwstr/>
      </vt:variant>
      <vt:variant>
        <vt:lpwstr>_Toc431493757</vt:lpwstr>
      </vt:variant>
      <vt:variant>
        <vt:i4>1441851</vt:i4>
      </vt:variant>
      <vt:variant>
        <vt:i4>158</vt:i4>
      </vt:variant>
      <vt:variant>
        <vt:i4>0</vt:i4>
      </vt:variant>
      <vt:variant>
        <vt:i4>5</vt:i4>
      </vt:variant>
      <vt:variant>
        <vt:lpwstr/>
      </vt:variant>
      <vt:variant>
        <vt:lpwstr>_Toc431493756</vt:lpwstr>
      </vt:variant>
      <vt:variant>
        <vt:i4>1441851</vt:i4>
      </vt:variant>
      <vt:variant>
        <vt:i4>152</vt:i4>
      </vt:variant>
      <vt:variant>
        <vt:i4>0</vt:i4>
      </vt:variant>
      <vt:variant>
        <vt:i4>5</vt:i4>
      </vt:variant>
      <vt:variant>
        <vt:lpwstr/>
      </vt:variant>
      <vt:variant>
        <vt:lpwstr>_Toc431493755</vt:lpwstr>
      </vt:variant>
      <vt:variant>
        <vt:i4>1441851</vt:i4>
      </vt:variant>
      <vt:variant>
        <vt:i4>146</vt:i4>
      </vt:variant>
      <vt:variant>
        <vt:i4>0</vt:i4>
      </vt:variant>
      <vt:variant>
        <vt:i4>5</vt:i4>
      </vt:variant>
      <vt:variant>
        <vt:lpwstr/>
      </vt:variant>
      <vt:variant>
        <vt:lpwstr>_Toc431493754</vt:lpwstr>
      </vt:variant>
      <vt:variant>
        <vt:i4>1441851</vt:i4>
      </vt:variant>
      <vt:variant>
        <vt:i4>140</vt:i4>
      </vt:variant>
      <vt:variant>
        <vt:i4>0</vt:i4>
      </vt:variant>
      <vt:variant>
        <vt:i4>5</vt:i4>
      </vt:variant>
      <vt:variant>
        <vt:lpwstr/>
      </vt:variant>
      <vt:variant>
        <vt:lpwstr>_Toc431493753</vt:lpwstr>
      </vt:variant>
      <vt:variant>
        <vt:i4>1441851</vt:i4>
      </vt:variant>
      <vt:variant>
        <vt:i4>134</vt:i4>
      </vt:variant>
      <vt:variant>
        <vt:i4>0</vt:i4>
      </vt:variant>
      <vt:variant>
        <vt:i4>5</vt:i4>
      </vt:variant>
      <vt:variant>
        <vt:lpwstr/>
      </vt:variant>
      <vt:variant>
        <vt:lpwstr>_Toc431493752</vt:lpwstr>
      </vt:variant>
      <vt:variant>
        <vt:i4>1441851</vt:i4>
      </vt:variant>
      <vt:variant>
        <vt:i4>128</vt:i4>
      </vt:variant>
      <vt:variant>
        <vt:i4>0</vt:i4>
      </vt:variant>
      <vt:variant>
        <vt:i4>5</vt:i4>
      </vt:variant>
      <vt:variant>
        <vt:lpwstr/>
      </vt:variant>
      <vt:variant>
        <vt:lpwstr>_Toc431493751</vt:lpwstr>
      </vt:variant>
      <vt:variant>
        <vt:i4>1441851</vt:i4>
      </vt:variant>
      <vt:variant>
        <vt:i4>122</vt:i4>
      </vt:variant>
      <vt:variant>
        <vt:i4>0</vt:i4>
      </vt:variant>
      <vt:variant>
        <vt:i4>5</vt:i4>
      </vt:variant>
      <vt:variant>
        <vt:lpwstr/>
      </vt:variant>
      <vt:variant>
        <vt:lpwstr>_Toc431493750</vt:lpwstr>
      </vt:variant>
      <vt:variant>
        <vt:i4>1507387</vt:i4>
      </vt:variant>
      <vt:variant>
        <vt:i4>116</vt:i4>
      </vt:variant>
      <vt:variant>
        <vt:i4>0</vt:i4>
      </vt:variant>
      <vt:variant>
        <vt:i4>5</vt:i4>
      </vt:variant>
      <vt:variant>
        <vt:lpwstr/>
      </vt:variant>
      <vt:variant>
        <vt:lpwstr>_Toc431493749</vt:lpwstr>
      </vt:variant>
      <vt:variant>
        <vt:i4>1507387</vt:i4>
      </vt:variant>
      <vt:variant>
        <vt:i4>110</vt:i4>
      </vt:variant>
      <vt:variant>
        <vt:i4>0</vt:i4>
      </vt:variant>
      <vt:variant>
        <vt:i4>5</vt:i4>
      </vt:variant>
      <vt:variant>
        <vt:lpwstr/>
      </vt:variant>
      <vt:variant>
        <vt:lpwstr>_Toc431493748</vt:lpwstr>
      </vt:variant>
      <vt:variant>
        <vt:i4>1507387</vt:i4>
      </vt:variant>
      <vt:variant>
        <vt:i4>104</vt:i4>
      </vt:variant>
      <vt:variant>
        <vt:i4>0</vt:i4>
      </vt:variant>
      <vt:variant>
        <vt:i4>5</vt:i4>
      </vt:variant>
      <vt:variant>
        <vt:lpwstr/>
      </vt:variant>
      <vt:variant>
        <vt:lpwstr>_Toc431493747</vt:lpwstr>
      </vt:variant>
      <vt:variant>
        <vt:i4>1507387</vt:i4>
      </vt:variant>
      <vt:variant>
        <vt:i4>98</vt:i4>
      </vt:variant>
      <vt:variant>
        <vt:i4>0</vt:i4>
      </vt:variant>
      <vt:variant>
        <vt:i4>5</vt:i4>
      </vt:variant>
      <vt:variant>
        <vt:lpwstr/>
      </vt:variant>
      <vt:variant>
        <vt:lpwstr>_Toc431493746</vt:lpwstr>
      </vt:variant>
      <vt:variant>
        <vt:i4>1507387</vt:i4>
      </vt:variant>
      <vt:variant>
        <vt:i4>92</vt:i4>
      </vt:variant>
      <vt:variant>
        <vt:i4>0</vt:i4>
      </vt:variant>
      <vt:variant>
        <vt:i4>5</vt:i4>
      </vt:variant>
      <vt:variant>
        <vt:lpwstr/>
      </vt:variant>
      <vt:variant>
        <vt:lpwstr>_Toc431493745</vt:lpwstr>
      </vt:variant>
      <vt:variant>
        <vt:i4>1507387</vt:i4>
      </vt:variant>
      <vt:variant>
        <vt:i4>86</vt:i4>
      </vt:variant>
      <vt:variant>
        <vt:i4>0</vt:i4>
      </vt:variant>
      <vt:variant>
        <vt:i4>5</vt:i4>
      </vt:variant>
      <vt:variant>
        <vt:lpwstr/>
      </vt:variant>
      <vt:variant>
        <vt:lpwstr>_Toc431493744</vt:lpwstr>
      </vt:variant>
      <vt:variant>
        <vt:i4>1507387</vt:i4>
      </vt:variant>
      <vt:variant>
        <vt:i4>80</vt:i4>
      </vt:variant>
      <vt:variant>
        <vt:i4>0</vt:i4>
      </vt:variant>
      <vt:variant>
        <vt:i4>5</vt:i4>
      </vt:variant>
      <vt:variant>
        <vt:lpwstr/>
      </vt:variant>
      <vt:variant>
        <vt:lpwstr>_Toc431493743</vt:lpwstr>
      </vt:variant>
      <vt:variant>
        <vt:i4>1507387</vt:i4>
      </vt:variant>
      <vt:variant>
        <vt:i4>74</vt:i4>
      </vt:variant>
      <vt:variant>
        <vt:i4>0</vt:i4>
      </vt:variant>
      <vt:variant>
        <vt:i4>5</vt:i4>
      </vt:variant>
      <vt:variant>
        <vt:lpwstr/>
      </vt:variant>
      <vt:variant>
        <vt:lpwstr>_Toc431493742</vt:lpwstr>
      </vt:variant>
      <vt:variant>
        <vt:i4>1507387</vt:i4>
      </vt:variant>
      <vt:variant>
        <vt:i4>68</vt:i4>
      </vt:variant>
      <vt:variant>
        <vt:i4>0</vt:i4>
      </vt:variant>
      <vt:variant>
        <vt:i4>5</vt:i4>
      </vt:variant>
      <vt:variant>
        <vt:lpwstr/>
      </vt:variant>
      <vt:variant>
        <vt:lpwstr>_Toc431493741</vt:lpwstr>
      </vt:variant>
      <vt:variant>
        <vt:i4>1507387</vt:i4>
      </vt:variant>
      <vt:variant>
        <vt:i4>62</vt:i4>
      </vt:variant>
      <vt:variant>
        <vt:i4>0</vt:i4>
      </vt:variant>
      <vt:variant>
        <vt:i4>5</vt:i4>
      </vt:variant>
      <vt:variant>
        <vt:lpwstr/>
      </vt:variant>
      <vt:variant>
        <vt:lpwstr>_Toc431493740</vt:lpwstr>
      </vt:variant>
      <vt:variant>
        <vt:i4>1048635</vt:i4>
      </vt:variant>
      <vt:variant>
        <vt:i4>56</vt:i4>
      </vt:variant>
      <vt:variant>
        <vt:i4>0</vt:i4>
      </vt:variant>
      <vt:variant>
        <vt:i4>5</vt:i4>
      </vt:variant>
      <vt:variant>
        <vt:lpwstr/>
      </vt:variant>
      <vt:variant>
        <vt:lpwstr>_Toc431493739</vt:lpwstr>
      </vt:variant>
      <vt:variant>
        <vt:i4>1048635</vt:i4>
      </vt:variant>
      <vt:variant>
        <vt:i4>50</vt:i4>
      </vt:variant>
      <vt:variant>
        <vt:i4>0</vt:i4>
      </vt:variant>
      <vt:variant>
        <vt:i4>5</vt:i4>
      </vt:variant>
      <vt:variant>
        <vt:lpwstr/>
      </vt:variant>
      <vt:variant>
        <vt:lpwstr>_Toc431493738</vt:lpwstr>
      </vt:variant>
      <vt:variant>
        <vt:i4>1048635</vt:i4>
      </vt:variant>
      <vt:variant>
        <vt:i4>44</vt:i4>
      </vt:variant>
      <vt:variant>
        <vt:i4>0</vt:i4>
      </vt:variant>
      <vt:variant>
        <vt:i4>5</vt:i4>
      </vt:variant>
      <vt:variant>
        <vt:lpwstr/>
      </vt:variant>
      <vt:variant>
        <vt:lpwstr>_Toc431493737</vt:lpwstr>
      </vt:variant>
      <vt:variant>
        <vt:i4>1048635</vt:i4>
      </vt:variant>
      <vt:variant>
        <vt:i4>38</vt:i4>
      </vt:variant>
      <vt:variant>
        <vt:i4>0</vt:i4>
      </vt:variant>
      <vt:variant>
        <vt:i4>5</vt:i4>
      </vt:variant>
      <vt:variant>
        <vt:lpwstr/>
      </vt:variant>
      <vt:variant>
        <vt:lpwstr>_Toc431493736</vt:lpwstr>
      </vt:variant>
      <vt:variant>
        <vt:i4>1048635</vt:i4>
      </vt:variant>
      <vt:variant>
        <vt:i4>32</vt:i4>
      </vt:variant>
      <vt:variant>
        <vt:i4>0</vt:i4>
      </vt:variant>
      <vt:variant>
        <vt:i4>5</vt:i4>
      </vt:variant>
      <vt:variant>
        <vt:lpwstr/>
      </vt:variant>
      <vt:variant>
        <vt:lpwstr>_Toc431493735</vt:lpwstr>
      </vt:variant>
      <vt:variant>
        <vt:i4>1048635</vt:i4>
      </vt:variant>
      <vt:variant>
        <vt:i4>26</vt:i4>
      </vt:variant>
      <vt:variant>
        <vt:i4>0</vt:i4>
      </vt:variant>
      <vt:variant>
        <vt:i4>5</vt:i4>
      </vt:variant>
      <vt:variant>
        <vt:lpwstr/>
      </vt:variant>
      <vt:variant>
        <vt:lpwstr>_Toc431493734</vt:lpwstr>
      </vt:variant>
      <vt:variant>
        <vt:i4>1048635</vt:i4>
      </vt:variant>
      <vt:variant>
        <vt:i4>20</vt:i4>
      </vt:variant>
      <vt:variant>
        <vt:i4>0</vt:i4>
      </vt:variant>
      <vt:variant>
        <vt:i4>5</vt:i4>
      </vt:variant>
      <vt:variant>
        <vt:lpwstr/>
      </vt:variant>
      <vt:variant>
        <vt:lpwstr>_Toc431493733</vt:lpwstr>
      </vt:variant>
      <vt:variant>
        <vt:i4>1048635</vt:i4>
      </vt:variant>
      <vt:variant>
        <vt:i4>14</vt:i4>
      </vt:variant>
      <vt:variant>
        <vt:i4>0</vt:i4>
      </vt:variant>
      <vt:variant>
        <vt:i4>5</vt:i4>
      </vt:variant>
      <vt:variant>
        <vt:lpwstr/>
      </vt:variant>
      <vt:variant>
        <vt:lpwstr>_Toc431493732</vt:lpwstr>
      </vt:variant>
      <vt:variant>
        <vt:i4>1048635</vt:i4>
      </vt:variant>
      <vt:variant>
        <vt:i4>8</vt:i4>
      </vt:variant>
      <vt:variant>
        <vt:i4>0</vt:i4>
      </vt:variant>
      <vt:variant>
        <vt:i4>5</vt:i4>
      </vt:variant>
      <vt:variant>
        <vt:lpwstr/>
      </vt:variant>
      <vt:variant>
        <vt:lpwstr>_Toc431493731</vt:lpwstr>
      </vt:variant>
      <vt:variant>
        <vt:i4>1048635</vt:i4>
      </vt:variant>
      <vt:variant>
        <vt:i4>2</vt:i4>
      </vt:variant>
      <vt:variant>
        <vt:i4>0</vt:i4>
      </vt:variant>
      <vt:variant>
        <vt:i4>5</vt:i4>
      </vt:variant>
      <vt:variant>
        <vt:lpwstr/>
      </vt:variant>
      <vt:variant>
        <vt:lpwstr>_Toc431493730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Marine-Monitoring-Program-Inshore-Seagrass-Report-2016-2017</dc:title>
  <dc:subject/>
  <dc:creator/>
  <cp:keywords/>
  <dc:description/>
  <cp:lastModifiedBy/>
  <cp:revision>1</cp:revision>
  <dcterms:created xsi:type="dcterms:W3CDTF">2018-08-26T22:30:00Z</dcterms:created>
  <dcterms:modified xsi:type="dcterms:W3CDTF">2018-08-26T22:30:00Z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_dlc_DocIdItemGuid">
    <vt:lpwstr>8c410d06-48da-4e0e-b909-9eaa49442096</vt:lpwstr>
  </property>
  <property fmtid="{D5CDD505-2E9C-101B-9397-08002B2CF9AE}" pid="4" name="ProjectPhase">
    <vt:lpwstr>3;#Finalise|6b5bfe78-1288-4ab6-8e22-c299117e2677</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{4b37b1f1-1864-45c7-8f8d-9f91400467f1}</vt:lpwstr>
  </property>
  <property fmtid="{D5CDD505-2E9C-101B-9397-08002B2CF9AE}" pid="8" name="RecordPoint_ActiveItemUniqueId">
    <vt:lpwstr>{da3db1fa-eb1b-4289-872f-0b58f044b741}</vt:lpwstr>
  </property>
  <property fmtid="{D5CDD505-2E9C-101B-9397-08002B2CF9AE}" pid="9" name="RecordPoint_ActiveItemWebId">
    <vt:lpwstr>{e7821751-c451-45dc-b45e-82cfe574dc6e}</vt:lpwstr>
  </property>
</Properties>
</file>